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3B7A28">
      <w:pPr>
        <w:spacing w:line="480" w:lineRule="auto"/>
        <w:jc w:val="center"/>
        <w:rPr>
          <w:rFonts w:hint="eastAsia" w:ascii="等线" w:hAnsi="等线" w:eastAsia="等线" w:cs="等线"/>
          <w:b/>
          <w:bCs/>
          <w:sz w:val="52"/>
          <w:szCs w:val="52"/>
        </w:rPr>
      </w:pPr>
    </w:p>
    <w:p w14:paraId="3FCA4977">
      <w:pPr>
        <w:spacing w:line="480" w:lineRule="auto"/>
        <w:jc w:val="center"/>
        <w:rPr>
          <w:rFonts w:hint="eastAsia" w:ascii="等线" w:hAnsi="等线" w:eastAsia="等线" w:cs="等线"/>
          <w:b/>
          <w:bCs/>
          <w:sz w:val="52"/>
          <w:szCs w:val="52"/>
        </w:rPr>
      </w:pPr>
    </w:p>
    <w:p w14:paraId="4E713AAA">
      <w:pPr>
        <w:spacing w:line="480" w:lineRule="auto"/>
        <w:jc w:val="center"/>
        <w:rPr>
          <w:rFonts w:hint="eastAsia" w:ascii="等线" w:hAnsi="等线" w:eastAsia="等线" w:cs="等线"/>
          <w:b/>
          <w:bCs/>
          <w:sz w:val="52"/>
          <w:szCs w:val="52"/>
        </w:rPr>
      </w:pPr>
    </w:p>
    <w:p w14:paraId="68E45CD4">
      <w:pPr>
        <w:spacing w:line="480" w:lineRule="auto"/>
        <w:jc w:val="center"/>
        <w:rPr>
          <w:rFonts w:hint="eastAsia" w:ascii="等线" w:hAnsi="等线" w:eastAsia="等线" w:cs="等线"/>
          <w:b/>
          <w:bCs/>
          <w:sz w:val="52"/>
          <w:szCs w:val="52"/>
        </w:rPr>
      </w:pPr>
      <w:r>
        <w:rPr>
          <w:rFonts w:hint="eastAsia" w:ascii="等线" w:hAnsi="等线" w:eastAsia="等线" w:cs="等线"/>
          <w:b/>
          <w:bCs/>
          <w:sz w:val="52"/>
          <w:szCs w:val="52"/>
        </w:rPr>
        <w:t>小学教育专业2025级课程教学大纲</w:t>
      </w:r>
    </w:p>
    <w:p w14:paraId="1BCA1F63">
      <w:pPr>
        <w:spacing w:line="480" w:lineRule="auto"/>
        <w:jc w:val="center"/>
        <w:rPr>
          <w:rFonts w:hint="eastAsia" w:ascii="等线" w:hAnsi="等线" w:eastAsia="等线" w:cs="等线"/>
          <w:b/>
          <w:bCs/>
          <w:sz w:val="44"/>
          <w:szCs w:val="44"/>
        </w:rPr>
      </w:pPr>
    </w:p>
    <w:p w14:paraId="3422E1CC">
      <w:pPr>
        <w:spacing w:line="480" w:lineRule="auto"/>
        <w:jc w:val="center"/>
        <w:rPr>
          <w:rFonts w:hint="eastAsia" w:ascii="等线" w:hAnsi="等线" w:eastAsia="等线" w:cs="等线"/>
          <w:b/>
          <w:bCs/>
          <w:sz w:val="44"/>
          <w:szCs w:val="44"/>
        </w:rPr>
      </w:pPr>
    </w:p>
    <w:p w14:paraId="393D17DE">
      <w:pPr>
        <w:spacing w:line="480" w:lineRule="auto"/>
        <w:jc w:val="center"/>
        <w:rPr>
          <w:rFonts w:hint="eastAsia" w:ascii="等线" w:hAnsi="等线" w:eastAsia="等线" w:cs="等线"/>
          <w:b/>
          <w:bCs/>
          <w:sz w:val="44"/>
          <w:szCs w:val="44"/>
        </w:rPr>
      </w:pPr>
      <w:r>
        <w:rPr>
          <w:rFonts w:hint="eastAsia" w:ascii="等线" w:hAnsi="等线" w:eastAsia="等线" w:cs="等线"/>
          <w:b/>
          <w:bCs/>
          <w:sz w:val="44"/>
          <w:szCs w:val="44"/>
        </w:rPr>
        <w:t>小学教育（文）</w:t>
      </w:r>
    </w:p>
    <w:p w14:paraId="77C9616F">
      <w:pPr>
        <w:spacing w:line="480" w:lineRule="auto"/>
        <w:jc w:val="center"/>
        <w:rPr>
          <w:rFonts w:hint="eastAsia" w:ascii="等线" w:hAnsi="等线" w:eastAsia="等线" w:cs="等线"/>
          <w:b/>
          <w:bCs/>
          <w:sz w:val="44"/>
          <w:szCs w:val="44"/>
        </w:rPr>
      </w:pPr>
    </w:p>
    <w:p w14:paraId="03ABCB9A">
      <w:pPr>
        <w:spacing w:line="480" w:lineRule="auto"/>
        <w:jc w:val="center"/>
        <w:rPr>
          <w:rFonts w:hint="eastAsia" w:ascii="等线" w:hAnsi="等线" w:eastAsia="等线" w:cs="等线"/>
          <w:b/>
          <w:bCs/>
          <w:sz w:val="44"/>
          <w:szCs w:val="44"/>
        </w:rPr>
      </w:pPr>
    </w:p>
    <w:p w14:paraId="70AE7230">
      <w:pPr>
        <w:spacing w:line="480" w:lineRule="auto"/>
        <w:jc w:val="center"/>
        <w:rPr>
          <w:rFonts w:hint="eastAsia" w:ascii="等线" w:hAnsi="等线" w:eastAsia="等线" w:cs="等线"/>
          <w:b/>
          <w:bCs/>
          <w:sz w:val="44"/>
          <w:szCs w:val="44"/>
        </w:rPr>
      </w:pPr>
    </w:p>
    <w:p w14:paraId="6F5F91D2">
      <w:pPr>
        <w:spacing w:line="480" w:lineRule="auto"/>
        <w:jc w:val="center"/>
        <w:rPr>
          <w:rFonts w:hint="eastAsia" w:ascii="等线" w:hAnsi="等线" w:eastAsia="等线" w:cs="等线"/>
          <w:b/>
          <w:bCs/>
          <w:sz w:val="44"/>
          <w:szCs w:val="44"/>
        </w:rPr>
      </w:pPr>
    </w:p>
    <w:p w14:paraId="406A2531">
      <w:pPr>
        <w:spacing w:line="480" w:lineRule="auto"/>
        <w:jc w:val="center"/>
        <w:rPr>
          <w:rFonts w:hint="eastAsia" w:ascii="等线" w:hAnsi="等线" w:eastAsia="等线" w:cs="等线"/>
          <w:b/>
          <w:bCs/>
          <w:sz w:val="44"/>
          <w:szCs w:val="44"/>
        </w:rPr>
      </w:pPr>
    </w:p>
    <w:p w14:paraId="4321A50A">
      <w:pPr>
        <w:spacing w:line="480" w:lineRule="auto"/>
        <w:jc w:val="center"/>
        <w:rPr>
          <w:rFonts w:hint="eastAsia" w:ascii="等线" w:hAnsi="等线" w:eastAsia="等线" w:cs="等线"/>
          <w:b/>
          <w:bCs/>
          <w:sz w:val="44"/>
          <w:szCs w:val="44"/>
        </w:rPr>
      </w:pPr>
    </w:p>
    <w:p w14:paraId="7CC53B1C">
      <w:pPr>
        <w:spacing w:line="480" w:lineRule="auto"/>
        <w:jc w:val="center"/>
        <w:rPr>
          <w:rFonts w:hint="eastAsia" w:ascii="等线" w:hAnsi="等线" w:eastAsia="等线" w:cs="等线"/>
          <w:b/>
          <w:bCs/>
          <w:sz w:val="44"/>
          <w:szCs w:val="44"/>
        </w:rPr>
      </w:pPr>
    </w:p>
    <w:p w14:paraId="35799024">
      <w:pPr>
        <w:spacing w:line="720" w:lineRule="auto"/>
        <w:jc w:val="center"/>
        <w:rPr>
          <w:rFonts w:hint="eastAsia" w:ascii="等线" w:hAnsi="等线" w:eastAsia="等线" w:cs="等线"/>
          <w:b/>
          <w:bCs/>
          <w:sz w:val="36"/>
          <w:szCs w:val="36"/>
        </w:rPr>
      </w:pPr>
      <w:r>
        <w:rPr>
          <w:rFonts w:hint="eastAsia" w:ascii="等线" w:hAnsi="等线" w:eastAsia="等线" w:cs="等线"/>
          <w:b/>
          <w:bCs/>
          <w:sz w:val="36"/>
          <w:szCs w:val="36"/>
        </w:rPr>
        <w:t>师范学院小学教育系</w:t>
      </w:r>
    </w:p>
    <w:p w14:paraId="139B8F5F">
      <w:pPr>
        <w:spacing w:line="720" w:lineRule="auto"/>
        <w:jc w:val="center"/>
        <w:rPr>
          <w:rFonts w:hint="eastAsia" w:ascii="等线" w:hAnsi="等线" w:eastAsia="等线" w:cs="等线"/>
          <w:b/>
          <w:bCs/>
          <w:sz w:val="36"/>
          <w:szCs w:val="36"/>
        </w:rPr>
      </w:pPr>
      <w:r>
        <w:rPr>
          <w:rFonts w:hint="eastAsia" w:ascii="等线" w:hAnsi="等线" w:eastAsia="等线" w:cs="等线"/>
          <w:b/>
          <w:bCs/>
          <w:sz w:val="36"/>
          <w:szCs w:val="36"/>
        </w:rPr>
        <w:t>2025年9月</w:t>
      </w:r>
    </w:p>
    <w:p w14:paraId="51D7DE44">
      <w:pPr>
        <w:rPr>
          <w:rFonts w:hint="eastAsia" w:ascii="等线" w:hAnsi="等线" w:eastAsia="等线" w:cs="等线"/>
          <w:b/>
          <w:bCs/>
          <w:sz w:val="36"/>
          <w:szCs w:val="36"/>
        </w:rPr>
      </w:pPr>
      <w:r>
        <w:rPr>
          <w:rFonts w:hint="eastAsia" w:ascii="等线" w:hAnsi="等线" w:eastAsia="等线" w:cs="等线"/>
          <w:b/>
          <w:bCs/>
          <w:sz w:val="36"/>
          <w:szCs w:val="36"/>
        </w:rPr>
        <w:br w:type="page"/>
      </w:r>
    </w:p>
    <w:p w14:paraId="6176BDBA">
      <w:pPr>
        <w:spacing w:line="720" w:lineRule="auto"/>
        <w:jc w:val="center"/>
        <w:rPr>
          <w:rFonts w:hint="eastAsia" w:ascii="等线" w:hAnsi="等线" w:eastAsia="等线" w:cs="等线"/>
          <w:b/>
          <w:bCs/>
          <w:sz w:val="36"/>
          <w:szCs w:val="36"/>
        </w:rPr>
      </w:pPr>
    </w:p>
    <w:p w14:paraId="23597F69">
      <w:pPr>
        <w:pStyle w:val="9"/>
        <w:tabs>
          <w:tab w:val="right" w:leader="dot" w:pos="8306"/>
        </w:tabs>
        <w:rPr>
          <w:rFonts w:hint="eastAsia" w:ascii="等线" w:hAnsi="等线" w:eastAsia="等线" w:cs="等线"/>
          <w:b/>
          <w:bCs/>
          <w:sz w:val="36"/>
          <w:szCs w:val="36"/>
        </w:rPr>
        <w:sectPr>
          <w:headerReference r:id="rId4" w:type="first"/>
          <w:footerReference r:id="rId6" w:type="first"/>
          <w:headerReference r:id="rId3" w:type="even"/>
          <w:footerReference r:id="rId5" w:type="even"/>
          <w:pgSz w:w="11906" w:h="16838"/>
          <w:pgMar w:top="1440" w:right="1800" w:bottom="1440" w:left="1800" w:header="851" w:footer="992" w:gutter="0"/>
          <w:pgNumType w:start="1"/>
          <w:cols w:space="425" w:num="1"/>
          <w:docGrid w:type="lines" w:linePitch="312" w:charSpace="0"/>
        </w:sectPr>
      </w:pPr>
    </w:p>
    <w:p w14:paraId="3B7995C5">
      <w:pPr>
        <w:pStyle w:val="9"/>
        <w:tabs>
          <w:tab w:val="right" w:leader="dot" w:pos="8306"/>
        </w:tabs>
        <w:spacing w:line="360" w:lineRule="auto"/>
        <w:jc w:val="center"/>
        <w:rPr>
          <w:rFonts w:hint="eastAsia" w:ascii="等线" w:hAnsi="等线" w:eastAsia="等线" w:cs="等线"/>
          <w:b/>
          <w:bCs/>
          <w:sz w:val="36"/>
          <w:szCs w:val="36"/>
        </w:rPr>
      </w:pPr>
      <w:r>
        <w:rPr>
          <w:rFonts w:ascii="Calibri" w:hAnsi="Calibri" w:eastAsia="宋体" w:cs="Times New Roman"/>
          <w:b/>
          <w:kern w:val="44"/>
          <w:sz w:val="36"/>
          <w:szCs w:val="36"/>
        </w:rPr>
        <w:t>目</w:t>
      </w:r>
      <w:r>
        <w:rPr>
          <w:rFonts w:hint="eastAsia" w:ascii="Calibri" w:hAnsi="Calibri" w:eastAsia="宋体" w:cs="Times New Roman"/>
          <w:b/>
          <w:kern w:val="44"/>
          <w:sz w:val="36"/>
          <w:szCs w:val="36"/>
        </w:rPr>
        <w:t xml:space="preserve">  </w:t>
      </w:r>
      <w:r>
        <w:rPr>
          <w:rFonts w:ascii="Calibri" w:hAnsi="Calibri" w:eastAsia="宋体" w:cs="Times New Roman"/>
          <w:b/>
          <w:kern w:val="44"/>
          <w:sz w:val="36"/>
          <w:szCs w:val="36"/>
        </w:rPr>
        <w:t>录</w:t>
      </w:r>
    </w:p>
    <w:p w14:paraId="42736A01">
      <w:pPr>
        <w:pStyle w:val="9"/>
        <w:tabs>
          <w:tab w:val="right" w:leader="dot" w:pos="8306"/>
        </w:tabs>
        <w:spacing w:line="348" w:lineRule="auto"/>
        <w:rPr>
          <w:szCs w:val="21"/>
        </w:rPr>
      </w:pPr>
      <w:r>
        <w:rPr>
          <w:rFonts w:hint="eastAsia" w:ascii="等线" w:hAnsi="等线" w:eastAsia="等线" w:cs="等线"/>
          <w:b/>
          <w:bCs/>
          <w:szCs w:val="21"/>
        </w:rPr>
        <w:fldChar w:fldCharType="begin"/>
      </w:r>
      <w:r>
        <w:rPr>
          <w:rFonts w:hint="eastAsia" w:ascii="等线" w:hAnsi="等线" w:eastAsia="等线" w:cs="等线"/>
          <w:b/>
          <w:bCs/>
          <w:szCs w:val="21"/>
        </w:rPr>
        <w:instrText xml:space="preserve">TOC \o "1-1" \h \u </w:instrText>
      </w:r>
      <w:r>
        <w:rPr>
          <w:rFonts w:hint="eastAsia" w:ascii="等线" w:hAnsi="等线" w:eastAsia="等线" w:cs="等线"/>
          <w:b/>
          <w:bCs/>
          <w:szCs w:val="21"/>
        </w:rPr>
        <w:fldChar w:fldCharType="separate"/>
      </w:r>
      <w:r>
        <w:fldChar w:fldCharType="begin"/>
      </w:r>
      <w:r>
        <w:instrText xml:space="preserve"> HYPERLINK \l "_Toc19632" </w:instrText>
      </w:r>
      <w:r>
        <w:fldChar w:fldCharType="separate"/>
      </w:r>
      <w:r>
        <w:rPr>
          <w:rFonts w:hint="eastAsia" w:ascii="Times New Roman" w:hAnsi="Times New Roman" w:eastAsia="宋体" w:cs="Times New Roman"/>
          <w:szCs w:val="21"/>
        </w:rPr>
        <w:t>《思想道德与法治》课程教学大纲</w:t>
      </w:r>
      <w:r>
        <w:rPr>
          <w:szCs w:val="21"/>
        </w:rPr>
        <w:tab/>
      </w:r>
      <w:r>
        <w:rPr>
          <w:szCs w:val="21"/>
        </w:rPr>
        <w:fldChar w:fldCharType="begin"/>
      </w:r>
      <w:r>
        <w:rPr>
          <w:szCs w:val="21"/>
        </w:rPr>
        <w:instrText xml:space="preserve"> PAGEREF _Toc19632 \h </w:instrText>
      </w:r>
      <w:r>
        <w:rPr>
          <w:szCs w:val="21"/>
        </w:rPr>
        <w:fldChar w:fldCharType="separate"/>
      </w:r>
      <w:r>
        <w:rPr>
          <w:szCs w:val="21"/>
        </w:rPr>
        <w:t>1</w:t>
      </w:r>
      <w:r>
        <w:rPr>
          <w:szCs w:val="21"/>
        </w:rPr>
        <w:fldChar w:fldCharType="end"/>
      </w:r>
      <w:r>
        <w:rPr>
          <w:szCs w:val="21"/>
        </w:rPr>
        <w:fldChar w:fldCharType="end"/>
      </w:r>
    </w:p>
    <w:p w14:paraId="60B66E1F">
      <w:pPr>
        <w:pStyle w:val="9"/>
        <w:tabs>
          <w:tab w:val="right" w:leader="dot" w:pos="8306"/>
        </w:tabs>
        <w:spacing w:line="348" w:lineRule="auto"/>
        <w:rPr>
          <w:szCs w:val="21"/>
        </w:rPr>
      </w:pPr>
      <w:r>
        <w:fldChar w:fldCharType="begin"/>
      </w:r>
      <w:r>
        <w:instrText xml:space="preserve"> HYPERLINK \l "_Toc16802" </w:instrText>
      </w:r>
      <w:r>
        <w:fldChar w:fldCharType="separate"/>
      </w:r>
      <w:r>
        <w:rPr>
          <w:rFonts w:hint="eastAsia" w:ascii="Times New Roman" w:hAnsi="Times New Roman" w:eastAsia="宋体" w:cs="Times New Roman"/>
          <w:szCs w:val="21"/>
        </w:rPr>
        <w:t>《中国近现代史纲要》课程教学大纲</w:t>
      </w:r>
      <w:r>
        <w:rPr>
          <w:szCs w:val="21"/>
        </w:rPr>
        <w:tab/>
      </w:r>
      <w:r>
        <w:rPr>
          <w:szCs w:val="21"/>
        </w:rPr>
        <w:fldChar w:fldCharType="begin"/>
      </w:r>
      <w:r>
        <w:rPr>
          <w:szCs w:val="21"/>
        </w:rPr>
        <w:instrText xml:space="preserve"> PAGEREF _Toc16802 \h </w:instrText>
      </w:r>
      <w:r>
        <w:rPr>
          <w:szCs w:val="21"/>
        </w:rPr>
        <w:fldChar w:fldCharType="separate"/>
      </w:r>
      <w:r>
        <w:rPr>
          <w:szCs w:val="21"/>
        </w:rPr>
        <w:t>6</w:t>
      </w:r>
      <w:r>
        <w:rPr>
          <w:szCs w:val="21"/>
        </w:rPr>
        <w:fldChar w:fldCharType="end"/>
      </w:r>
      <w:r>
        <w:rPr>
          <w:szCs w:val="21"/>
        </w:rPr>
        <w:fldChar w:fldCharType="end"/>
      </w:r>
    </w:p>
    <w:p w14:paraId="51AB7939">
      <w:pPr>
        <w:pStyle w:val="9"/>
        <w:tabs>
          <w:tab w:val="right" w:leader="dot" w:pos="8306"/>
        </w:tabs>
        <w:spacing w:line="348" w:lineRule="auto"/>
        <w:rPr>
          <w:szCs w:val="21"/>
        </w:rPr>
      </w:pPr>
      <w:r>
        <w:fldChar w:fldCharType="begin"/>
      </w:r>
      <w:r>
        <w:instrText xml:space="preserve"> HYPERLINK \l "_Toc2221" </w:instrText>
      </w:r>
      <w:r>
        <w:fldChar w:fldCharType="separate"/>
      </w:r>
      <w:r>
        <w:rPr>
          <w:rFonts w:hint="eastAsia" w:ascii="Times New Roman" w:hAnsi="Times New Roman" w:eastAsia="宋体" w:cs="Times New Roman"/>
          <w:szCs w:val="21"/>
        </w:rPr>
        <w:t>《马克思主义基本原理》课程教学大纲</w:t>
      </w:r>
      <w:r>
        <w:rPr>
          <w:szCs w:val="21"/>
        </w:rPr>
        <w:tab/>
      </w:r>
      <w:r>
        <w:rPr>
          <w:szCs w:val="21"/>
        </w:rPr>
        <w:fldChar w:fldCharType="begin"/>
      </w:r>
      <w:r>
        <w:rPr>
          <w:szCs w:val="21"/>
        </w:rPr>
        <w:instrText xml:space="preserve"> PAGEREF _Toc2221 \h </w:instrText>
      </w:r>
      <w:r>
        <w:rPr>
          <w:szCs w:val="21"/>
        </w:rPr>
        <w:fldChar w:fldCharType="separate"/>
      </w:r>
      <w:r>
        <w:rPr>
          <w:szCs w:val="21"/>
        </w:rPr>
        <w:t>11</w:t>
      </w:r>
      <w:r>
        <w:rPr>
          <w:szCs w:val="21"/>
        </w:rPr>
        <w:fldChar w:fldCharType="end"/>
      </w:r>
      <w:r>
        <w:rPr>
          <w:szCs w:val="21"/>
        </w:rPr>
        <w:fldChar w:fldCharType="end"/>
      </w:r>
    </w:p>
    <w:p w14:paraId="3A565101">
      <w:pPr>
        <w:pStyle w:val="9"/>
        <w:tabs>
          <w:tab w:val="right" w:leader="dot" w:pos="8306"/>
        </w:tabs>
        <w:spacing w:line="348" w:lineRule="auto"/>
        <w:rPr>
          <w:szCs w:val="21"/>
        </w:rPr>
      </w:pPr>
      <w:r>
        <w:fldChar w:fldCharType="begin"/>
      </w:r>
      <w:r>
        <w:instrText xml:space="preserve"> HYPERLINK \l "_Toc3494" </w:instrText>
      </w:r>
      <w:r>
        <w:fldChar w:fldCharType="separate"/>
      </w:r>
      <w:r>
        <w:rPr>
          <w:rFonts w:hint="eastAsia" w:ascii="Times New Roman" w:hAnsi="Times New Roman" w:eastAsia="宋体" w:cs="Times New Roman"/>
          <w:szCs w:val="21"/>
        </w:rPr>
        <w:t>《毛泽东思想和中国特色社会主义理论体系概论》课程教学大纲</w:t>
      </w:r>
      <w:r>
        <w:rPr>
          <w:szCs w:val="21"/>
        </w:rPr>
        <w:tab/>
      </w:r>
      <w:r>
        <w:rPr>
          <w:szCs w:val="21"/>
        </w:rPr>
        <w:fldChar w:fldCharType="begin"/>
      </w:r>
      <w:r>
        <w:rPr>
          <w:szCs w:val="21"/>
        </w:rPr>
        <w:instrText xml:space="preserve"> PAGEREF _Toc3494 \h </w:instrText>
      </w:r>
      <w:r>
        <w:rPr>
          <w:szCs w:val="21"/>
        </w:rPr>
        <w:fldChar w:fldCharType="separate"/>
      </w:r>
      <w:r>
        <w:rPr>
          <w:szCs w:val="21"/>
        </w:rPr>
        <w:t>15</w:t>
      </w:r>
      <w:r>
        <w:rPr>
          <w:szCs w:val="21"/>
        </w:rPr>
        <w:fldChar w:fldCharType="end"/>
      </w:r>
      <w:r>
        <w:rPr>
          <w:szCs w:val="21"/>
        </w:rPr>
        <w:fldChar w:fldCharType="end"/>
      </w:r>
    </w:p>
    <w:p w14:paraId="1C6E7047">
      <w:pPr>
        <w:pStyle w:val="9"/>
        <w:tabs>
          <w:tab w:val="right" w:leader="dot" w:pos="8306"/>
        </w:tabs>
        <w:spacing w:line="348" w:lineRule="auto"/>
        <w:rPr>
          <w:szCs w:val="21"/>
        </w:rPr>
      </w:pPr>
      <w:r>
        <w:fldChar w:fldCharType="begin"/>
      </w:r>
      <w:r>
        <w:instrText xml:space="preserve"> HYPERLINK \l "_Toc14921" </w:instrText>
      </w:r>
      <w:r>
        <w:fldChar w:fldCharType="separate"/>
      </w:r>
      <w:r>
        <w:rPr>
          <w:rFonts w:hint="eastAsia" w:ascii="Times New Roman" w:hAnsi="Times New Roman" w:eastAsia="宋体" w:cs="Times New Roman"/>
          <w:szCs w:val="21"/>
        </w:rPr>
        <w:t>《习近平新时代中国特色社会主义思想概论》课程教学大纲</w:t>
      </w:r>
      <w:r>
        <w:rPr>
          <w:szCs w:val="21"/>
        </w:rPr>
        <w:tab/>
      </w:r>
      <w:r>
        <w:rPr>
          <w:szCs w:val="21"/>
        </w:rPr>
        <w:fldChar w:fldCharType="begin"/>
      </w:r>
      <w:r>
        <w:rPr>
          <w:szCs w:val="21"/>
        </w:rPr>
        <w:instrText xml:space="preserve"> PAGEREF _Toc14921 \h </w:instrText>
      </w:r>
      <w:r>
        <w:rPr>
          <w:szCs w:val="21"/>
        </w:rPr>
        <w:fldChar w:fldCharType="separate"/>
      </w:r>
      <w:r>
        <w:rPr>
          <w:szCs w:val="21"/>
        </w:rPr>
        <w:t>21</w:t>
      </w:r>
      <w:r>
        <w:rPr>
          <w:szCs w:val="21"/>
        </w:rPr>
        <w:fldChar w:fldCharType="end"/>
      </w:r>
      <w:r>
        <w:rPr>
          <w:szCs w:val="21"/>
        </w:rPr>
        <w:fldChar w:fldCharType="end"/>
      </w:r>
    </w:p>
    <w:p w14:paraId="53D61042">
      <w:pPr>
        <w:pStyle w:val="9"/>
        <w:tabs>
          <w:tab w:val="right" w:leader="dot" w:pos="8306"/>
        </w:tabs>
        <w:spacing w:line="348" w:lineRule="auto"/>
        <w:rPr>
          <w:szCs w:val="21"/>
        </w:rPr>
      </w:pPr>
      <w:r>
        <w:fldChar w:fldCharType="begin"/>
      </w:r>
      <w:r>
        <w:instrText xml:space="preserve"> HYPERLINK \l "_Toc23253" </w:instrText>
      </w:r>
      <w:r>
        <w:fldChar w:fldCharType="separate"/>
      </w:r>
      <w:r>
        <w:rPr>
          <w:rFonts w:hint="eastAsia" w:ascii="Times New Roman" w:hAnsi="Times New Roman" w:eastAsia="宋体" w:cs="Times New Roman"/>
          <w:szCs w:val="21"/>
        </w:rPr>
        <w:t>《形势与政策》课程教学大纲</w:t>
      </w:r>
      <w:r>
        <w:rPr>
          <w:szCs w:val="21"/>
        </w:rPr>
        <w:tab/>
      </w:r>
      <w:r>
        <w:rPr>
          <w:szCs w:val="21"/>
        </w:rPr>
        <w:fldChar w:fldCharType="begin"/>
      </w:r>
      <w:r>
        <w:rPr>
          <w:szCs w:val="21"/>
        </w:rPr>
        <w:instrText xml:space="preserve"> PAGEREF _Toc23253 \h </w:instrText>
      </w:r>
      <w:r>
        <w:rPr>
          <w:szCs w:val="21"/>
        </w:rPr>
        <w:fldChar w:fldCharType="separate"/>
      </w:r>
      <w:r>
        <w:rPr>
          <w:szCs w:val="21"/>
        </w:rPr>
        <w:t>29</w:t>
      </w:r>
      <w:r>
        <w:rPr>
          <w:szCs w:val="21"/>
        </w:rPr>
        <w:fldChar w:fldCharType="end"/>
      </w:r>
      <w:r>
        <w:rPr>
          <w:szCs w:val="21"/>
        </w:rPr>
        <w:fldChar w:fldCharType="end"/>
      </w:r>
    </w:p>
    <w:p w14:paraId="563AA438">
      <w:pPr>
        <w:pStyle w:val="9"/>
        <w:tabs>
          <w:tab w:val="right" w:leader="dot" w:pos="8306"/>
        </w:tabs>
        <w:spacing w:line="348" w:lineRule="auto"/>
        <w:rPr>
          <w:szCs w:val="21"/>
        </w:rPr>
      </w:pPr>
      <w:r>
        <w:fldChar w:fldCharType="begin"/>
      </w:r>
      <w:r>
        <w:instrText xml:space="preserve"> HYPERLINK \l "_Toc28483" </w:instrText>
      </w:r>
      <w:r>
        <w:fldChar w:fldCharType="separate"/>
      </w:r>
      <w:r>
        <w:rPr>
          <w:rFonts w:hint="eastAsia" w:ascii="Times New Roman" w:hAnsi="Times New Roman" w:eastAsia="宋体" w:cs="Times New Roman"/>
          <w:szCs w:val="21"/>
        </w:rPr>
        <w:t>《体育I》课程教学大纲</w:t>
      </w:r>
      <w:r>
        <w:rPr>
          <w:szCs w:val="21"/>
        </w:rPr>
        <w:tab/>
      </w:r>
      <w:r>
        <w:rPr>
          <w:szCs w:val="21"/>
        </w:rPr>
        <w:fldChar w:fldCharType="begin"/>
      </w:r>
      <w:r>
        <w:rPr>
          <w:szCs w:val="21"/>
        </w:rPr>
        <w:instrText xml:space="preserve"> PAGEREF _Toc28483 \h </w:instrText>
      </w:r>
      <w:r>
        <w:rPr>
          <w:szCs w:val="21"/>
        </w:rPr>
        <w:fldChar w:fldCharType="separate"/>
      </w:r>
      <w:r>
        <w:rPr>
          <w:szCs w:val="21"/>
        </w:rPr>
        <w:t>32</w:t>
      </w:r>
      <w:r>
        <w:rPr>
          <w:szCs w:val="21"/>
        </w:rPr>
        <w:fldChar w:fldCharType="end"/>
      </w:r>
      <w:r>
        <w:rPr>
          <w:szCs w:val="21"/>
        </w:rPr>
        <w:fldChar w:fldCharType="end"/>
      </w:r>
    </w:p>
    <w:p w14:paraId="22BAD5EE">
      <w:pPr>
        <w:pStyle w:val="9"/>
        <w:tabs>
          <w:tab w:val="right" w:leader="dot" w:pos="8306"/>
        </w:tabs>
        <w:spacing w:line="348" w:lineRule="auto"/>
        <w:rPr>
          <w:szCs w:val="21"/>
        </w:rPr>
      </w:pPr>
      <w:r>
        <w:fldChar w:fldCharType="begin"/>
      </w:r>
      <w:r>
        <w:instrText xml:space="preserve"> HYPERLINK \l "_Toc2214" </w:instrText>
      </w:r>
      <w:r>
        <w:fldChar w:fldCharType="separate"/>
      </w:r>
      <w:r>
        <w:rPr>
          <w:rFonts w:hint="eastAsia" w:ascii="Times New Roman" w:hAnsi="Times New Roman" w:eastAsia="宋体" w:cs="Times New Roman"/>
          <w:szCs w:val="21"/>
        </w:rPr>
        <w:t>《体育II》课程教学大纲</w:t>
      </w:r>
      <w:r>
        <w:rPr>
          <w:szCs w:val="21"/>
        </w:rPr>
        <w:tab/>
      </w:r>
      <w:r>
        <w:rPr>
          <w:szCs w:val="21"/>
        </w:rPr>
        <w:fldChar w:fldCharType="begin"/>
      </w:r>
      <w:r>
        <w:rPr>
          <w:szCs w:val="21"/>
        </w:rPr>
        <w:instrText xml:space="preserve"> PAGEREF _Toc2214 \h </w:instrText>
      </w:r>
      <w:r>
        <w:rPr>
          <w:szCs w:val="21"/>
        </w:rPr>
        <w:fldChar w:fldCharType="separate"/>
      </w:r>
      <w:r>
        <w:rPr>
          <w:szCs w:val="21"/>
        </w:rPr>
        <w:t>36</w:t>
      </w:r>
      <w:r>
        <w:rPr>
          <w:szCs w:val="21"/>
        </w:rPr>
        <w:fldChar w:fldCharType="end"/>
      </w:r>
      <w:r>
        <w:rPr>
          <w:szCs w:val="21"/>
        </w:rPr>
        <w:fldChar w:fldCharType="end"/>
      </w:r>
    </w:p>
    <w:p w14:paraId="74ADE047">
      <w:pPr>
        <w:pStyle w:val="9"/>
        <w:tabs>
          <w:tab w:val="right" w:leader="dot" w:pos="8306"/>
        </w:tabs>
        <w:spacing w:line="348" w:lineRule="auto"/>
        <w:rPr>
          <w:szCs w:val="21"/>
        </w:rPr>
      </w:pPr>
      <w:r>
        <w:fldChar w:fldCharType="begin"/>
      </w:r>
      <w:r>
        <w:instrText xml:space="preserve"> HYPERLINK \l "_Toc2023" </w:instrText>
      </w:r>
      <w:r>
        <w:fldChar w:fldCharType="separate"/>
      </w:r>
      <w:r>
        <w:rPr>
          <w:rFonts w:hint="eastAsia" w:ascii="Times New Roman" w:hAnsi="Times New Roman" w:eastAsia="宋体" w:cs="Times New Roman"/>
          <w:szCs w:val="21"/>
        </w:rPr>
        <w:t>《体育III》课程教学大纲</w:t>
      </w:r>
      <w:r>
        <w:rPr>
          <w:szCs w:val="21"/>
        </w:rPr>
        <w:tab/>
      </w:r>
      <w:r>
        <w:rPr>
          <w:szCs w:val="21"/>
        </w:rPr>
        <w:fldChar w:fldCharType="begin"/>
      </w:r>
      <w:r>
        <w:rPr>
          <w:szCs w:val="21"/>
        </w:rPr>
        <w:instrText xml:space="preserve"> PAGEREF _Toc2023 \h </w:instrText>
      </w:r>
      <w:r>
        <w:rPr>
          <w:szCs w:val="21"/>
        </w:rPr>
        <w:fldChar w:fldCharType="separate"/>
      </w:r>
      <w:r>
        <w:rPr>
          <w:szCs w:val="21"/>
        </w:rPr>
        <w:t>40</w:t>
      </w:r>
      <w:r>
        <w:rPr>
          <w:szCs w:val="21"/>
        </w:rPr>
        <w:fldChar w:fldCharType="end"/>
      </w:r>
      <w:r>
        <w:rPr>
          <w:szCs w:val="21"/>
        </w:rPr>
        <w:fldChar w:fldCharType="end"/>
      </w:r>
    </w:p>
    <w:p w14:paraId="4D81F54F">
      <w:pPr>
        <w:pStyle w:val="9"/>
        <w:tabs>
          <w:tab w:val="right" w:leader="dot" w:pos="8306"/>
        </w:tabs>
        <w:spacing w:line="348" w:lineRule="auto"/>
        <w:rPr>
          <w:szCs w:val="21"/>
        </w:rPr>
      </w:pPr>
      <w:r>
        <w:fldChar w:fldCharType="begin"/>
      </w:r>
      <w:r>
        <w:instrText xml:space="preserve"> HYPERLINK \l "_Toc31130" </w:instrText>
      </w:r>
      <w:r>
        <w:fldChar w:fldCharType="separate"/>
      </w:r>
      <w:r>
        <w:rPr>
          <w:rFonts w:hint="eastAsia" w:ascii="Times New Roman" w:hAnsi="Times New Roman" w:eastAsia="宋体" w:cs="Times New Roman"/>
          <w:szCs w:val="21"/>
        </w:rPr>
        <w:t>《体育IV》课程教学大纲</w:t>
      </w:r>
      <w:r>
        <w:rPr>
          <w:szCs w:val="21"/>
        </w:rPr>
        <w:tab/>
      </w:r>
      <w:r>
        <w:rPr>
          <w:szCs w:val="21"/>
        </w:rPr>
        <w:fldChar w:fldCharType="begin"/>
      </w:r>
      <w:r>
        <w:rPr>
          <w:szCs w:val="21"/>
        </w:rPr>
        <w:instrText xml:space="preserve"> PAGEREF _Toc31130 \h </w:instrText>
      </w:r>
      <w:r>
        <w:rPr>
          <w:szCs w:val="21"/>
        </w:rPr>
        <w:fldChar w:fldCharType="separate"/>
      </w:r>
      <w:r>
        <w:rPr>
          <w:szCs w:val="21"/>
        </w:rPr>
        <w:t>44</w:t>
      </w:r>
      <w:r>
        <w:rPr>
          <w:szCs w:val="21"/>
        </w:rPr>
        <w:fldChar w:fldCharType="end"/>
      </w:r>
      <w:r>
        <w:rPr>
          <w:szCs w:val="21"/>
        </w:rPr>
        <w:fldChar w:fldCharType="end"/>
      </w:r>
    </w:p>
    <w:p w14:paraId="0DACB8BC">
      <w:pPr>
        <w:pStyle w:val="9"/>
        <w:tabs>
          <w:tab w:val="right" w:leader="dot" w:pos="8306"/>
        </w:tabs>
        <w:spacing w:line="348" w:lineRule="auto"/>
        <w:rPr>
          <w:szCs w:val="21"/>
        </w:rPr>
      </w:pPr>
      <w:r>
        <w:fldChar w:fldCharType="begin"/>
      </w:r>
      <w:r>
        <w:instrText xml:space="preserve"> HYPERLINK \l "_Toc8463" </w:instrText>
      </w:r>
      <w:r>
        <w:fldChar w:fldCharType="separate"/>
      </w:r>
      <w:r>
        <w:rPr>
          <w:rFonts w:hint="eastAsia" w:ascii="Times New Roman" w:hAnsi="Times New Roman" w:eastAsia="宋体" w:cs="Times New Roman"/>
          <w:szCs w:val="21"/>
        </w:rPr>
        <w:t>《体育Ⅴ》课程教学大纲</w:t>
      </w:r>
      <w:r>
        <w:rPr>
          <w:szCs w:val="21"/>
        </w:rPr>
        <w:tab/>
      </w:r>
      <w:r>
        <w:rPr>
          <w:szCs w:val="21"/>
        </w:rPr>
        <w:fldChar w:fldCharType="begin"/>
      </w:r>
      <w:r>
        <w:rPr>
          <w:szCs w:val="21"/>
        </w:rPr>
        <w:instrText xml:space="preserve"> PAGEREF _Toc8463 \h </w:instrText>
      </w:r>
      <w:r>
        <w:rPr>
          <w:szCs w:val="21"/>
        </w:rPr>
        <w:fldChar w:fldCharType="separate"/>
      </w:r>
      <w:r>
        <w:rPr>
          <w:szCs w:val="21"/>
        </w:rPr>
        <w:t>48</w:t>
      </w:r>
      <w:r>
        <w:rPr>
          <w:szCs w:val="21"/>
        </w:rPr>
        <w:fldChar w:fldCharType="end"/>
      </w:r>
      <w:r>
        <w:rPr>
          <w:szCs w:val="21"/>
        </w:rPr>
        <w:fldChar w:fldCharType="end"/>
      </w:r>
    </w:p>
    <w:p w14:paraId="3637C064">
      <w:pPr>
        <w:pStyle w:val="9"/>
        <w:tabs>
          <w:tab w:val="right" w:leader="dot" w:pos="8306"/>
        </w:tabs>
        <w:spacing w:line="348" w:lineRule="auto"/>
        <w:rPr>
          <w:szCs w:val="21"/>
        </w:rPr>
      </w:pPr>
      <w:r>
        <w:fldChar w:fldCharType="begin"/>
      </w:r>
      <w:r>
        <w:instrText xml:space="preserve"> HYPERLINK \l "_Toc5172" </w:instrText>
      </w:r>
      <w:r>
        <w:fldChar w:fldCharType="separate"/>
      </w:r>
      <w:r>
        <w:rPr>
          <w:rFonts w:ascii="Times New Roman" w:hAnsi="Times New Roman" w:eastAsia="宋体" w:cs="Times New Roman"/>
          <w:szCs w:val="21"/>
        </w:rPr>
        <w:t>《体育Ⅵ》课程教学大纲</w:t>
      </w:r>
      <w:r>
        <w:rPr>
          <w:szCs w:val="21"/>
        </w:rPr>
        <w:tab/>
      </w:r>
      <w:r>
        <w:rPr>
          <w:szCs w:val="21"/>
        </w:rPr>
        <w:fldChar w:fldCharType="begin"/>
      </w:r>
      <w:r>
        <w:rPr>
          <w:szCs w:val="21"/>
        </w:rPr>
        <w:instrText xml:space="preserve"> PAGEREF _Toc5172 \h </w:instrText>
      </w:r>
      <w:r>
        <w:rPr>
          <w:szCs w:val="21"/>
        </w:rPr>
        <w:fldChar w:fldCharType="separate"/>
      </w:r>
      <w:r>
        <w:rPr>
          <w:szCs w:val="21"/>
        </w:rPr>
        <w:t>51</w:t>
      </w:r>
      <w:r>
        <w:rPr>
          <w:szCs w:val="21"/>
        </w:rPr>
        <w:fldChar w:fldCharType="end"/>
      </w:r>
      <w:r>
        <w:rPr>
          <w:szCs w:val="21"/>
        </w:rPr>
        <w:fldChar w:fldCharType="end"/>
      </w:r>
    </w:p>
    <w:p w14:paraId="13DC89BB">
      <w:pPr>
        <w:pStyle w:val="9"/>
        <w:tabs>
          <w:tab w:val="right" w:leader="dot" w:pos="8306"/>
        </w:tabs>
        <w:spacing w:line="348" w:lineRule="auto"/>
        <w:rPr>
          <w:szCs w:val="21"/>
        </w:rPr>
      </w:pPr>
      <w:r>
        <w:fldChar w:fldCharType="begin"/>
      </w:r>
      <w:r>
        <w:instrText xml:space="preserve"> HYPERLINK \l "_Toc8355" </w:instrText>
      </w:r>
      <w:r>
        <w:fldChar w:fldCharType="separate"/>
      </w:r>
      <w:r>
        <w:rPr>
          <w:rFonts w:hint="eastAsia" w:ascii="Times New Roman" w:hAnsi="Times New Roman" w:eastAsia="宋体" w:cs="Times New Roman"/>
          <w:szCs w:val="21"/>
        </w:rPr>
        <w:t>《大学生创新创业基础》课程教学大纲</w:t>
      </w:r>
      <w:r>
        <w:rPr>
          <w:szCs w:val="21"/>
        </w:rPr>
        <w:tab/>
      </w:r>
      <w:r>
        <w:rPr>
          <w:szCs w:val="21"/>
        </w:rPr>
        <w:fldChar w:fldCharType="begin"/>
      </w:r>
      <w:r>
        <w:rPr>
          <w:szCs w:val="21"/>
        </w:rPr>
        <w:instrText xml:space="preserve"> PAGEREF _Toc8355 \h </w:instrText>
      </w:r>
      <w:r>
        <w:rPr>
          <w:szCs w:val="21"/>
        </w:rPr>
        <w:fldChar w:fldCharType="separate"/>
      </w:r>
      <w:r>
        <w:rPr>
          <w:szCs w:val="21"/>
        </w:rPr>
        <w:t>54</w:t>
      </w:r>
      <w:r>
        <w:rPr>
          <w:szCs w:val="21"/>
        </w:rPr>
        <w:fldChar w:fldCharType="end"/>
      </w:r>
      <w:r>
        <w:rPr>
          <w:szCs w:val="21"/>
        </w:rPr>
        <w:fldChar w:fldCharType="end"/>
      </w:r>
    </w:p>
    <w:p w14:paraId="0E9C96C4">
      <w:pPr>
        <w:pStyle w:val="9"/>
        <w:tabs>
          <w:tab w:val="right" w:leader="dot" w:pos="8306"/>
        </w:tabs>
        <w:spacing w:line="348" w:lineRule="auto"/>
        <w:rPr>
          <w:szCs w:val="21"/>
        </w:rPr>
      </w:pPr>
      <w:r>
        <w:fldChar w:fldCharType="begin"/>
      </w:r>
      <w:r>
        <w:instrText xml:space="preserve"> HYPERLINK \l "_Toc8811" </w:instrText>
      </w:r>
      <w:r>
        <w:fldChar w:fldCharType="separate"/>
      </w:r>
      <w:r>
        <w:rPr>
          <w:rFonts w:hint="eastAsia" w:ascii="Times New Roman" w:hAnsi="Times New Roman" w:eastAsia="宋体" w:cs="Times New Roman"/>
          <w:szCs w:val="21"/>
        </w:rPr>
        <w:t>《大学英语A》课程教学大纲</w:t>
      </w:r>
      <w:r>
        <w:rPr>
          <w:szCs w:val="21"/>
        </w:rPr>
        <w:tab/>
      </w:r>
      <w:r>
        <w:rPr>
          <w:szCs w:val="21"/>
        </w:rPr>
        <w:fldChar w:fldCharType="begin"/>
      </w:r>
      <w:r>
        <w:rPr>
          <w:szCs w:val="21"/>
        </w:rPr>
        <w:instrText xml:space="preserve"> PAGEREF _Toc8811 \h </w:instrText>
      </w:r>
      <w:r>
        <w:rPr>
          <w:szCs w:val="21"/>
        </w:rPr>
        <w:fldChar w:fldCharType="separate"/>
      </w:r>
      <w:r>
        <w:rPr>
          <w:szCs w:val="21"/>
        </w:rPr>
        <w:t>61</w:t>
      </w:r>
      <w:r>
        <w:rPr>
          <w:szCs w:val="21"/>
        </w:rPr>
        <w:fldChar w:fldCharType="end"/>
      </w:r>
      <w:r>
        <w:rPr>
          <w:szCs w:val="21"/>
        </w:rPr>
        <w:fldChar w:fldCharType="end"/>
      </w:r>
    </w:p>
    <w:p w14:paraId="285089CA">
      <w:pPr>
        <w:pStyle w:val="9"/>
        <w:tabs>
          <w:tab w:val="right" w:leader="dot" w:pos="8306"/>
        </w:tabs>
        <w:spacing w:line="348" w:lineRule="auto"/>
        <w:rPr>
          <w:szCs w:val="21"/>
        </w:rPr>
      </w:pPr>
      <w:r>
        <w:fldChar w:fldCharType="begin"/>
      </w:r>
      <w:r>
        <w:instrText xml:space="preserve"> HYPERLINK \l "_Toc24005" </w:instrText>
      </w:r>
      <w:r>
        <w:fldChar w:fldCharType="separate"/>
      </w:r>
      <w:r>
        <w:rPr>
          <w:rFonts w:hint="eastAsia" w:asciiTheme="majorHAnsi" w:hAnsiTheme="majorHAnsi" w:eastAsiaTheme="majorEastAsia" w:cstheme="majorBidi"/>
          <w:bCs/>
          <w:szCs w:val="21"/>
        </w:rPr>
        <w:t>《大学英语B3》课程教学大纲</w:t>
      </w:r>
      <w:r>
        <w:rPr>
          <w:szCs w:val="21"/>
        </w:rPr>
        <w:tab/>
      </w:r>
      <w:r>
        <w:rPr>
          <w:szCs w:val="21"/>
        </w:rPr>
        <w:fldChar w:fldCharType="begin"/>
      </w:r>
      <w:r>
        <w:rPr>
          <w:szCs w:val="21"/>
        </w:rPr>
        <w:instrText xml:space="preserve"> PAGEREF _Toc24005 \h </w:instrText>
      </w:r>
      <w:r>
        <w:rPr>
          <w:szCs w:val="21"/>
        </w:rPr>
        <w:fldChar w:fldCharType="separate"/>
      </w:r>
      <w:r>
        <w:rPr>
          <w:szCs w:val="21"/>
        </w:rPr>
        <w:t>67</w:t>
      </w:r>
      <w:r>
        <w:rPr>
          <w:szCs w:val="21"/>
        </w:rPr>
        <w:fldChar w:fldCharType="end"/>
      </w:r>
      <w:r>
        <w:rPr>
          <w:szCs w:val="21"/>
        </w:rPr>
        <w:fldChar w:fldCharType="end"/>
      </w:r>
    </w:p>
    <w:p w14:paraId="34C2C0C8">
      <w:pPr>
        <w:pStyle w:val="9"/>
        <w:tabs>
          <w:tab w:val="right" w:leader="dot" w:pos="8306"/>
        </w:tabs>
        <w:spacing w:line="348" w:lineRule="auto"/>
        <w:rPr>
          <w:szCs w:val="21"/>
        </w:rPr>
      </w:pPr>
      <w:r>
        <w:fldChar w:fldCharType="begin"/>
      </w:r>
      <w:r>
        <w:instrText xml:space="preserve"> HYPERLINK \l "_Toc2003" </w:instrText>
      </w:r>
      <w:r>
        <w:fldChar w:fldCharType="separate"/>
      </w:r>
      <w:r>
        <w:rPr>
          <w:rFonts w:hint="eastAsia" w:asciiTheme="majorHAnsi" w:hAnsiTheme="majorHAnsi" w:eastAsiaTheme="majorEastAsia" w:cstheme="majorBidi"/>
          <w:bCs/>
          <w:szCs w:val="21"/>
        </w:rPr>
        <w:t>《计算机与人工智能基础C》课程教学大纲</w:t>
      </w:r>
      <w:r>
        <w:rPr>
          <w:szCs w:val="21"/>
        </w:rPr>
        <w:tab/>
      </w:r>
      <w:r>
        <w:rPr>
          <w:szCs w:val="21"/>
        </w:rPr>
        <w:fldChar w:fldCharType="begin"/>
      </w:r>
      <w:r>
        <w:rPr>
          <w:szCs w:val="21"/>
        </w:rPr>
        <w:instrText xml:space="preserve"> PAGEREF _Toc2003 \h </w:instrText>
      </w:r>
      <w:r>
        <w:rPr>
          <w:szCs w:val="21"/>
        </w:rPr>
        <w:fldChar w:fldCharType="separate"/>
      </w:r>
      <w:r>
        <w:rPr>
          <w:szCs w:val="21"/>
        </w:rPr>
        <w:t>74</w:t>
      </w:r>
      <w:r>
        <w:rPr>
          <w:szCs w:val="21"/>
        </w:rPr>
        <w:fldChar w:fldCharType="end"/>
      </w:r>
      <w:r>
        <w:rPr>
          <w:szCs w:val="21"/>
        </w:rPr>
        <w:fldChar w:fldCharType="end"/>
      </w:r>
    </w:p>
    <w:p w14:paraId="2E6A8D8D">
      <w:pPr>
        <w:pStyle w:val="9"/>
        <w:tabs>
          <w:tab w:val="right" w:leader="dot" w:pos="8306"/>
        </w:tabs>
        <w:spacing w:line="348" w:lineRule="auto"/>
        <w:rPr>
          <w:szCs w:val="21"/>
        </w:rPr>
      </w:pPr>
      <w:r>
        <w:fldChar w:fldCharType="begin"/>
      </w:r>
      <w:r>
        <w:instrText xml:space="preserve"> HYPERLINK \l "_Toc23242" </w:instrText>
      </w:r>
      <w:r>
        <w:fldChar w:fldCharType="separate"/>
      </w:r>
      <w:r>
        <w:rPr>
          <w:rFonts w:hint="eastAsia" w:ascii="Times New Roman" w:hAnsi="Times New Roman" w:eastAsia="宋体" w:cs="Times New Roman"/>
          <w:szCs w:val="21"/>
        </w:rPr>
        <w:t>《专业导学》课程教学大纲</w:t>
      </w:r>
      <w:r>
        <w:rPr>
          <w:szCs w:val="21"/>
        </w:rPr>
        <w:tab/>
      </w:r>
      <w:r>
        <w:rPr>
          <w:szCs w:val="21"/>
        </w:rPr>
        <w:fldChar w:fldCharType="begin"/>
      </w:r>
      <w:r>
        <w:rPr>
          <w:szCs w:val="21"/>
        </w:rPr>
        <w:instrText xml:space="preserve"> PAGEREF _Toc23242 \h </w:instrText>
      </w:r>
      <w:r>
        <w:rPr>
          <w:szCs w:val="21"/>
        </w:rPr>
        <w:fldChar w:fldCharType="separate"/>
      </w:r>
      <w:r>
        <w:rPr>
          <w:szCs w:val="21"/>
        </w:rPr>
        <w:t>82</w:t>
      </w:r>
      <w:r>
        <w:rPr>
          <w:szCs w:val="21"/>
        </w:rPr>
        <w:fldChar w:fldCharType="end"/>
      </w:r>
      <w:r>
        <w:rPr>
          <w:szCs w:val="21"/>
        </w:rPr>
        <w:fldChar w:fldCharType="end"/>
      </w:r>
    </w:p>
    <w:p w14:paraId="48C52C58">
      <w:pPr>
        <w:pStyle w:val="9"/>
        <w:tabs>
          <w:tab w:val="right" w:leader="dot" w:pos="8306"/>
        </w:tabs>
        <w:spacing w:line="348" w:lineRule="auto"/>
        <w:rPr>
          <w:szCs w:val="21"/>
        </w:rPr>
      </w:pPr>
      <w:r>
        <w:fldChar w:fldCharType="begin"/>
      </w:r>
      <w:r>
        <w:instrText xml:space="preserve"> HYPERLINK \l "_Toc32307" </w:instrText>
      </w:r>
      <w:r>
        <w:fldChar w:fldCharType="separate"/>
      </w:r>
      <w:r>
        <w:rPr>
          <w:rFonts w:hint="eastAsia" w:ascii="Times New Roman" w:hAnsi="Times New Roman" w:eastAsia="宋体" w:cs="Times New Roman"/>
          <w:szCs w:val="21"/>
        </w:rPr>
        <w:t>《大学生职业生涯规划》课程教学大纲</w:t>
      </w:r>
      <w:r>
        <w:rPr>
          <w:szCs w:val="21"/>
        </w:rPr>
        <w:tab/>
      </w:r>
      <w:r>
        <w:rPr>
          <w:szCs w:val="21"/>
        </w:rPr>
        <w:fldChar w:fldCharType="begin"/>
      </w:r>
      <w:r>
        <w:rPr>
          <w:szCs w:val="21"/>
        </w:rPr>
        <w:instrText xml:space="preserve"> PAGEREF _Toc32307 \h </w:instrText>
      </w:r>
      <w:r>
        <w:rPr>
          <w:szCs w:val="21"/>
        </w:rPr>
        <w:fldChar w:fldCharType="separate"/>
      </w:r>
      <w:r>
        <w:rPr>
          <w:szCs w:val="21"/>
        </w:rPr>
        <w:t>86</w:t>
      </w:r>
      <w:r>
        <w:rPr>
          <w:szCs w:val="21"/>
        </w:rPr>
        <w:fldChar w:fldCharType="end"/>
      </w:r>
      <w:r>
        <w:rPr>
          <w:szCs w:val="21"/>
        </w:rPr>
        <w:fldChar w:fldCharType="end"/>
      </w:r>
    </w:p>
    <w:p w14:paraId="4F4308CE">
      <w:pPr>
        <w:pStyle w:val="9"/>
        <w:tabs>
          <w:tab w:val="right" w:leader="dot" w:pos="8306"/>
        </w:tabs>
        <w:spacing w:line="348" w:lineRule="auto"/>
        <w:rPr>
          <w:szCs w:val="21"/>
        </w:rPr>
      </w:pPr>
      <w:r>
        <w:fldChar w:fldCharType="begin"/>
      </w:r>
      <w:r>
        <w:instrText xml:space="preserve"> HYPERLINK \l "_Toc20473" </w:instrText>
      </w:r>
      <w:r>
        <w:fldChar w:fldCharType="separate"/>
      </w:r>
      <w:r>
        <w:rPr>
          <w:rFonts w:hint="eastAsia" w:ascii="Times New Roman" w:hAnsi="Times New Roman" w:eastAsia="宋体" w:cs="Times New Roman"/>
          <w:szCs w:val="21"/>
        </w:rPr>
        <w:t>《大学生就业指导》课程教学大纲</w:t>
      </w:r>
      <w:r>
        <w:rPr>
          <w:szCs w:val="21"/>
        </w:rPr>
        <w:tab/>
      </w:r>
      <w:r>
        <w:rPr>
          <w:szCs w:val="21"/>
        </w:rPr>
        <w:fldChar w:fldCharType="begin"/>
      </w:r>
      <w:r>
        <w:rPr>
          <w:szCs w:val="21"/>
        </w:rPr>
        <w:instrText xml:space="preserve"> PAGEREF _Toc20473 \h </w:instrText>
      </w:r>
      <w:r>
        <w:rPr>
          <w:szCs w:val="21"/>
        </w:rPr>
        <w:fldChar w:fldCharType="separate"/>
      </w:r>
      <w:r>
        <w:rPr>
          <w:szCs w:val="21"/>
        </w:rPr>
        <w:t>91</w:t>
      </w:r>
      <w:r>
        <w:rPr>
          <w:szCs w:val="21"/>
        </w:rPr>
        <w:fldChar w:fldCharType="end"/>
      </w:r>
      <w:r>
        <w:rPr>
          <w:szCs w:val="21"/>
        </w:rPr>
        <w:fldChar w:fldCharType="end"/>
      </w:r>
    </w:p>
    <w:p w14:paraId="59B5A2B2">
      <w:pPr>
        <w:pStyle w:val="9"/>
        <w:tabs>
          <w:tab w:val="right" w:leader="dot" w:pos="8306"/>
        </w:tabs>
        <w:spacing w:line="348" w:lineRule="auto"/>
        <w:rPr>
          <w:szCs w:val="21"/>
        </w:rPr>
      </w:pPr>
      <w:r>
        <w:fldChar w:fldCharType="begin"/>
      </w:r>
      <w:r>
        <w:instrText xml:space="preserve"> HYPERLINK \l "_Toc13266" </w:instrText>
      </w:r>
      <w:r>
        <w:fldChar w:fldCharType="separate"/>
      </w:r>
      <w:r>
        <w:rPr>
          <w:rFonts w:hint="eastAsia" w:ascii="Times New Roman" w:hAnsi="Times New Roman" w:eastAsia="宋体" w:cs="Times New Roman"/>
          <w:szCs w:val="21"/>
        </w:rPr>
        <w:t>《大学生劳动教育》课程教学大纲</w:t>
      </w:r>
      <w:r>
        <w:rPr>
          <w:szCs w:val="21"/>
        </w:rPr>
        <w:tab/>
      </w:r>
      <w:r>
        <w:rPr>
          <w:szCs w:val="21"/>
        </w:rPr>
        <w:fldChar w:fldCharType="begin"/>
      </w:r>
      <w:r>
        <w:rPr>
          <w:szCs w:val="21"/>
        </w:rPr>
        <w:instrText xml:space="preserve"> PAGEREF _Toc13266 \h </w:instrText>
      </w:r>
      <w:r>
        <w:rPr>
          <w:szCs w:val="21"/>
        </w:rPr>
        <w:fldChar w:fldCharType="separate"/>
      </w:r>
      <w:r>
        <w:rPr>
          <w:szCs w:val="21"/>
        </w:rPr>
        <w:t>100</w:t>
      </w:r>
      <w:r>
        <w:rPr>
          <w:szCs w:val="21"/>
        </w:rPr>
        <w:fldChar w:fldCharType="end"/>
      </w:r>
      <w:r>
        <w:rPr>
          <w:szCs w:val="21"/>
        </w:rPr>
        <w:fldChar w:fldCharType="end"/>
      </w:r>
    </w:p>
    <w:p w14:paraId="282F7B08">
      <w:pPr>
        <w:pStyle w:val="9"/>
        <w:tabs>
          <w:tab w:val="right" w:leader="dot" w:pos="8306"/>
        </w:tabs>
        <w:spacing w:line="348" w:lineRule="auto"/>
        <w:rPr>
          <w:szCs w:val="21"/>
        </w:rPr>
      </w:pPr>
      <w:r>
        <w:fldChar w:fldCharType="begin"/>
      </w:r>
      <w:r>
        <w:instrText xml:space="preserve"> HYPERLINK \l "_Toc5430" </w:instrText>
      </w:r>
      <w:r>
        <w:fldChar w:fldCharType="separate"/>
      </w:r>
      <w:r>
        <w:rPr>
          <w:rFonts w:hint="eastAsia" w:ascii="Times New Roman" w:hAnsi="Times New Roman" w:eastAsia="宋体" w:cs="Times New Roman"/>
          <w:szCs w:val="21"/>
        </w:rPr>
        <w:t>《军事理论》课程教学大纲</w:t>
      </w:r>
      <w:r>
        <w:rPr>
          <w:szCs w:val="21"/>
        </w:rPr>
        <w:tab/>
      </w:r>
      <w:r>
        <w:rPr>
          <w:szCs w:val="21"/>
        </w:rPr>
        <w:fldChar w:fldCharType="begin"/>
      </w:r>
      <w:r>
        <w:rPr>
          <w:szCs w:val="21"/>
        </w:rPr>
        <w:instrText xml:space="preserve"> PAGEREF _Toc5430 \h </w:instrText>
      </w:r>
      <w:r>
        <w:rPr>
          <w:szCs w:val="21"/>
        </w:rPr>
        <w:fldChar w:fldCharType="separate"/>
      </w:r>
      <w:r>
        <w:rPr>
          <w:szCs w:val="21"/>
        </w:rPr>
        <w:t>106</w:t>
      </w:r>
      <w:r>
        <w:rPr>
          <w:szCs w:val="21"/>
        </w:rPr>
        <w:fldChar w:fldCharType="end"/>
      </w:r>
      <w:r>
        <w:rPr>
          <w:szCs w:val="21"/>
        </w:rPr>
        <w:fldChar w:fldCharType="end"/>
      </w:r>
    </w:p>
    <w:p w14:paraId="408F98C1">
      <w:pPr>
        <w:pStyle w:val="9"/>
        <w:tabs>
          <w:tab w:val="right" w:leader="dot" w:pos="8306"/>
        </w:tabs>
        <w:spacing w:line="348" w:lineRule="auto"/>
        <w:rPr>
          <w:szCs w:val="21"/>
        </w:rPr>
      </w:pPr>
      <w:r>
        <w:fldChar w:fldCharType="begin"/>
      </w:r>
      <w:r>
        <w:instrText xml:space="preserve"> HYPERLINK \l "_Toc16624" </w:instrText>
      </w:r>
      <w:r>
        <w:fldChar w:fldCharType="separate"/>
      </w:r>
      <w:r>
        <w:rPr>
          <w:rFonts w:hint="eastAsia" w:ascii="Times New Roman" w:hAnsi="Times New Roman" w:eastAsia="宋体" w:cs="Times New Roman"/>
          <w:szCs w:val="21"/>
        </w:rPr>
        <w:t>《大学生心理健康教育》课程教学大纲</w:t>
      </w:r>
      <w:r>
        <w:rPr>
          <w:szCs w:val="21"/>
        </w:rPr>
        <w:tab/>
      </w:r>
      <w:r>
        <w:rPr>
          <w:szCs w:val="21"/>
        </w:rPr>
        <w:fldChar w:fldCharType="begin"/>
      </w:r>
      <w:r>
        <w:rPr>
          <w:szCs w:val="21"/>
        </w:rPr>
        <w:instrText xml:space="preserve"> PAGEREF _Toc16624 \h </w:instrText>
      </w:r>
      <w:r>
        <w:rPr>
          <w:szCs w:val="21"/>
        </w:rPr>
        <w:fldChar w:fldCharType="separate"/>
      </w:r>
      <w:r>
        <w:rPr>
          <w:szCs w:val="21"/>
        </w:rPr>
        <w:t>112</w:t>
      </w:r>
      <w:r>
        <w:rPr>
          <w:szCs w:val="21"/>
        </w:rPr>
        <w:fldChar w:fldCharType="end"/>
      </w:r>
      <w:r>
        <w:rPr>
          <w:szCs w:val="21"/>
        </w:rPr>
        <w:fldChar w:fldCharType="end"/>
      </w:r>
    </w:p>
    <w:p w14:paraId="5FE3FC74">
      <w:pPr>
        <w:pStyle w:val="9"/>
        <w:tabs>
          <w:tab w:val="right" w:leader="dot" w:pos="8306"/>
        </w:tabs>
        <w:spacing w:line="348" w:lineRule="auto"/>
        <w:rPr>
          <w:szCs w:val="21"/>
        </w:rPr>
      </w:pPr>
      <w:r>
        <w:fldChar w:fldCharType="begin"/>
      </w:r>
      <w:r>
        <w:instrText xml:space="preserve"> HYPERLINK \l "_Toc10750" </w:instrText>
      </w:r>
      <w:r>
        <w:fldChar w:fldCharType="separate"/>
      </w:r>
      <w:r>
        <w:rPr>
          <w:rFonts w:hint="eastAsia" w:ascii="Times New Roman" w:hAnsi="Times New Roman" w:eastAsia="宋体" w:cs="Times New Roman"/>
          <w:szCs w:val="21"/>
        </w:rPr>
        <w:t>《大学生安全教育》课程教学大纲</w:t>
      </w:r>
      <w:r>
        <w:rPr>
          <w:szCs w:val="21"/>
        </w:rPr>
        <w:tab/>
      </w:r>
      <w:r>
        <w:rPr>
          <w:szCs w:val="21"/>
        </w:rPr>
        <w:fldChar w:fldCharType="begin"/>
      </w:r>
      <w:r>
        <w:rPr>
          <w:szCs w:val="21"/>
        </w:rPr>
        <w:instrText xml:space="preserve"> PAGEREF _Toc10750 \h </w:instrText>
      </w:r>
      <w:r>
        <w:rPr>
          <w:szCs w:val="21"/>
        </w:rPr>
        <w:fldChar w:fldCharType="separate"/>
      </w:r>
      <w:r>
        <w:rPr>
          <w:szCs w:val="21"/>
        </w:rPr>
        <w:t>121</w:t>
      </w:r>
      <w:r>
        <w:rPr>
          <w:szCs w:val="21"/>
        </w:rPr>
        <w:fldChar w:fldCharType="end"/>
      </w:r>
      <w:r>
        <w:rPr>
          <w:szCs w:val="21"/>
        </w:rPr>
        <w:fldChar w:fldCharType="end"/>
      </w:r>
    </w:p>
    <w:p w14:paraId="4858CDE6">
      <w:pPr>
        <w:pStyle w:val="9"/>
        <w:tabs>
          <w:tab w:val="right" w:leader="dot" w:pos="8306"/>
        </w:tabs>
        <w:spacing w:line="348" w:lineRule="auto"/>
        <w:rPr>
          <w:szCs w:val="21"/>
        </w:rPr>
      </w:pPr>
      <w:r>
        <w:fldChar w:fldCharType="begin"/>
      </w:r>
      <w:r>
        <w:instrText xml:space="preserve"> HYPERLINK \l "_Toc22093" </w:instrText>
      </w:r>
      <w:r>
        <w:fldChar w:fldCharType="separate"/>
      </w:r>
      <w:r>
        <w:rPr>
          <w:rFonts w:hint="eastAsia" w:ascii="Times New Roman" w:hAnsi="Times New Roman" w:eastAsia="宋体" w:cs="Times New Roman"/>
          <w:szCs w:val="21"/>
        </w:rPr>
        <w:t>《实验室安全教育》课程教学大纲</w:t>
      </w:r>
      <w:r>
        <w:rPr>
          <w:szCs w:val="21"/>
        </w:rPr>
        <w:tab/>
      </w:r>
      <w:r>
        <w:rPr>
          <w:szCs w:val="21"/>
        </w:rPr>
        <w:fldChar w:fldCharType="begin"/>
      </w:r>
      <w:r>
        <w:rPr>
          <w:szCs w:val="21"/>
        </w:rPr>
        <w:instrText xml:space="preserve"> PAGEREF _Toc22093 \h </w:instrText>
      </w:r>
      <w:r>
        <w:rPr>
          <w:szCs w:val="21"/>
        </w:rPr>
        <w:fldChar w:fldCharType="separate"/>
      </w:r>
      <w:r>
        <w:rPr>
          <w:szCs w:val="21"/>
        </w:rPr>
        <w:t>126</w:t>
      </w:r>
      <w:r>
        <w:rPr>
          <w:szCs w:val="21"/>
        </w:rPr>
        <w:fldChar w:fldCharType="end"/>
      </w:r>
      <w:r>
        <w:rPr>
          <w:szCs w:val="21"/>
        </w:rPr>
        <w:fldChar w:fldCharType="end"/>
      </w:r>
    </w:p>
    <w:p w14:paraId="11DFCFA4">
      <w:pPr>
        <w:pStyle w:val="9"/>
        <w:tabs>
          <w:tab w:val="right" w:leader="dot" w:pos="8306"/>
        </w:tabs>
        <w:spacing w:line="348" w:lineRule="auto"/>
        <w:rPr>
          <w:szCs w:val="21"/>
        </w:rPr>
      </w:pPr>
      <w:r>
        <w:fldChar w:fldCharType="begin"/>
      </w:r>
      <w:r>
        <w:instrText xml:space="preserve"> HYPERLINK \l "_Toc22121" </w:instrText>
      </w:r>
      <w:r>
        <w:fldChar w:fldCharType="separate"/>
      </w:r>
      <w:r>
        <w:rPr>
          <w:rFonts w:hint="eastAsia" w:ascii="Times New Roman" w:hAnsi="Times New Roman" w:eastAsia="宋体" w:cs="Times New Roman"/>
          <w:szCs w:val="21"/>
        </w:rPr>
        <w:t>《经典阅读与学术素养》课程教学大纲</w:t>
      </w:r>
      <w:r>
        <w:rPr>
          <w:szCs w:val="21"/>
        </w:rPr>
        <w:tab/>
      </w:r>
      <w:r>
        <w:rPr>
          <w:szCs w:val="21"/>
        </w:rPr>
        <w:fldChar w:fldCharType="begin"/>
      </w:r>
      <w:r>
        <w:rPr>
          <w:szCs w:val="21"/>
        </w:rPr>
        <w:instrText xml:space="preserve"> PAGEREF _Toc22121 \h </w:instrText>
      </w:r>
      <w:r>
        <w:rPr>
          <w:szCs w:val="21"/>
        </w:rPr>
        <w:fldChar w:fldCharType="separate"/>
      </w:r>
      <w:r>
        <w:rPr>
          <w:szCs w:val="21"/>
        </w:rPr>
        <w:t>129</w:t>
      </w:r>
      <w:r>
        <w:rPr>
          <w:szCs w:val="21"/>
        </w:rPr>
        <w:fldChar w:fldCharType="end"/>
      </w:r>
      <w:r>
        <w:rPr>
          <w:szCs w:val="21"/>
        </w:rPr>
        <w:fldChar w:fldCharType="end"/>
      </w:r>
    </w:p>
    <w:p w14:paraId="522D8D4F">
      <w:pPr>
        <w:pStyle w:val="9"/>
        <w:tabs>
          <w:tab w:val="right" w:leader="dot" w:pos="8306"/>
        </w:tabs>
        <w:spacing w:line="348" w:lineRule="auto"/>
        <w:rPr>
          <w:szCs w:val="21"/>
        </w:rPr>
      </w:pPr>
      <w:r>
        <w:fldChar w:fldCharType="begin"/>
      </w:r>
      <w:r>
        <w:instrText xml:space="preserve"> HYPERLINK \l "_Toc21677" </w:instrText>
      </w:r>
      <w:r>
        <w:fldChar w:fldCharType="separate"/>
      </w:r>
      <w:r>
        <w:rPr>
          <w:rFonts w:hint="eastAsia" w:ascii="Times New Roman" w:hAnsi="Times New Roman" w:eastAsia="宋体" w:cs="Times New Roman"/>
          <w:szCs w:val="21"/>
        </w:rPr>
        <w:t>《国家安全教育》课程教学大纲</w:t>
      </w:r>
      <w:r>
        <w:rPr>
          <w:szCs w:val="21"/>
        </w:rPr>
        <w:tab/>
      </w:r>
      <w:r>
        <w:rPr>
          <w:szCs w:val="21"/>
        </w:rPr>
        <w:fldChar w:fldCharType="begin"/>
      </w:r>
      <w:r>
        <w:rPr>
          <w:szCs w:val="21"/>
        </w:rPr>
        <w:instrText xml:space="preserve"> PAGEREF _Toc21677 \h </w:instrText>
      </w:r>
      <w:r>
        <w:rPr>
          <w:szCs w:val="21"/>
        </w:rPr>
        <w:fldChar w:fldCharType="separate"/>
      </w:r>
      <w:r>
        <w:rPr>
          <w:szCs w:val="21"/>
        </w:rPr>
        <w:t>135</w:t>
      </w:r>
      <w:r>
        <w:rPr>
          <w:szCs w:val="21"/>
        </w:rPr>
        <w:fldChar w:fldCharType="end"/>
      </w:r>
      <w:r>
        <w:rPr>
          <w:szCs w:val="21"/>
        </w:rPr>
        <w:fldChar w:fldCharType="end"/>
      </w:r>
    </w:p>
    <w:p w14:paraId="3892FB86">
      <w:pPr>
        <w:pStyle w:val="9"/>
        <w:tabs>
          <w:tab w:val="right" w:leader="dot" w:pos="8306"/>
        </w:tabs>
        <w:spacing w:line="348" w:lineRule="auto"/>
        <w:rPr>
          <w:szCs w:val="21"/>
        </w:rPr>
      </w:pPr>
      <w:r>
        <w:fldChar w:fldCharType="begin"/>
      </w:r>
      <w:r>
        <w:instrText xml:space="preserve"> HYPERLINK \l "_Toc29959" </w:instrText>
      </w:r>
      <w:r>
        <w:fldChar w:fldCharType="separate"/>
      </w:r>
      <w:r>
        <w:rPr>
          <w:rFonts w:hint="eastAsia" w:ascii="Times New Roman" w:hAnsi="Times New Roman" w:eastAsia="宋体" w:cs="Times New Roman"/>
          <w:szCs w:val="21"/>
        </w:rPr>
        <w:t>《书写技能》课程教学大纲</w:t>
      </w:r>
      <w:r>
        <w:rPr>
          <w:szCs w:val="21"/>
        </w:rPr>
        <w:tab/>
      </w:r>
      <w:r>
        <w:rPr>
          <w:szCs w:val="21"/>
        </w:rPr>
        <w:fldChar w:fldCharType="begin"/>
      </w:r>
      <w:r>
        <w:rPr>
          <w:szCs w:val="21"/>
        </w:rPr>
        <w:instrText xml:space="preserve"> PAGEREF _Toc29959 \h </w:instrText>
      </w:r>
      <w:r>
        <w:rPr>
          <w:szCs w:val="21"/>
        </w:rPr>
        <w:fldChar w:fldCharType="separate"/>
      </w:r>
      <w:r>
        <w:rPr>
          <w:szCs w:val="21"/>
        </w:rPr>
        <w:t>141</w:t>
      </w:r>
      <w:r>
        <w:rPr>
          <w:szCs w:val="21"/>
        </w:rPr>
        <w:fldChar w:fldCharType="end"/>
      </w:r>
      <w:r>
        <w:rPr>
          <w:szCs w:val="21"/>
        </w:rPr>
        <w:fldChar w:fldCharType="end"/>
      </w:r>
    </w:p>
    <w:p w14:paraId="79C805C3">
      <w:pPr>
        <w:pStyle w:val="9"/>
        <w:tabs>
          <w:tab w:val="right" w:leader="dot" w:pos="8306"/>
        </w:tabs>
        <w:spacing w:line="348" w:lineRule="auto"/>
        <w:rPr>
          <w:szCs w:val="21"/>
        </w:rPr>
      </w:pPr>
      <w:r>
        <w:fldChar w:fldCharType="begin"/>
      </w:r>
      <w:r>
        <w:instrText xml:space="preserve"> HYPERLINK \l "_Toc15801" </w:instrText>
      </w:r>
      <w:r>
        <w:fldChar w:fldCharType="separate"/>
      </w:r>
      <w:r>
        <w:rPr>
          <w:rFonts w:hint="eastAsia" w:ascii="Times New Roman" w:hAnsi="Times New Roman" w:eastAsia="宋体" w:cs="Times New Roman"/>
          <w:szCs w:val="21"/>
        </w:rPr>
        <w:t>《普通话训练指导》课程教学大纲</w:t>
      </w:r>
      <w:r>
        <w:rPr>
          <w:szCs w:val="21"/>
        </w:rPr>
        <w:tab/>
      </w:r>
      <w:r>
        <w:rPr>
          <w:szCs w:val="21"/>
        </w:rPr>
        <w:fldChar w:fldCharType="begin"/>
      </w:r>
      <w:r>
        <w:rPr>
          <w:szCs w:val="21"/>
        </w:rPr>
        <w:instrText xml:space="preserve"> PAGEREF _Toc15801 \h </w:instrText>
      </w:r>
      <w:r>
        <w:rPr>
          <w:szCs w:val="21"/>
        </w:rPr>
        <w:fldChar w:fldCharType="separate"/>
      </w:r>
      <w:r>
        <w:rPr>
          <w:szCs w:val="21"/>
        </w:rPr>
        <w:t>144</w:t>
      </w:r>
      <w:r>
        <w:rPr>
          <w:szCs w:val="21"/>
        </w:rPr>
        <w:fldChar w:fldCharType="end"/>
      </w:r>
      <w:r>
        <w:rPr>
          <w:szCs w:val="21"/>
        </w:rPr>
        <w:fldChar w:fldCharType="end"/>
      </w:r>
    </w:p>
    <w:p w14:paraId="099211FD">
      <w:pPr>
        <w:pStyle w:val="9"/>
        <w:tabs>
          <w:tab w:val="right" w:leader="dot" w:pos="8306"/>
        </w:tabs>
        <w:spacing w:line="348" w:lineRule="auto"/>
        <w:rPr>
          <w:szCs w:val="21"/>
        </w:rPr>
      </w:pPr>
      <w:r>
        <w:fldChar w:fldCharType="begin"/>
      </w:r>
      <w:r>
        <w:instrText xml:space="preserve"> HYPERLINK \l "_Toc13521" </w:instrText>
      </w:r>
      <w:r>
        <w:fldChar w:fldCharType="separate"/>
      </w:r>
      <w:r>
        <w:rPr>
          <w:rFonts w:hint="eastAsia" w:ascii="Times New Roman" w:hAnsi="Times New Roman" w:eastAsia="宋体" w:cs="Times New Roman"/>
          <w:szCs w:val="21"/>
        </w:rPr>
        <w:t>《小学心理学》课程教学大纲</w:t>
      </w:r>
      <w:r>
        <w:rPr>
          <w:szCs w:val="21"/>
        </w:rPr>
        <w:tab/>
      </w:r>
      <w:r>
        <w:rPr>
          <w:szCs w:val="21"/>
        </w:rPr>
        <w:fldChar w:fldCharType="begin"/>
      </w:r>
      <w:r>
        <w:rPr>
          <w:szCs w:val="21"/>
        </w:rPr>
        <w:instrText xml:space="preserve"> PAGEREF _Toc13521 \h </w:instrText>
      </w:r>
      <w:r>
        <w:rPr>
          <w:szCs w:val="21"/>
        </w:rPr>
        <w:fldChar w:fldCharType="separate"/>
      </w:r>
      <w:r>
        <w:rPr>
          <w:szCs w:val="21"/>
        </w:rPr>
        <w:t>149</w:t>
      </w:r>
      <w:r>
        <w:rPr>
          <w:szCs w:val="21"/>
        </w:rPr>
        <w:fldChar w:fldCharType="end"/>
      </w:r>
      <w:r>
        <w:rPr>
          <w:szCs w:val="21"/>
        </w:rPr>
        <w:fldChar w:fldCharType="end"/>
      </w:r>
    </w:p>
    <w:p w14:paraId="43C8CC09">
      <w:pPr>
        <w:pStyle w:val="9"/>
        <w:tabs>
          <w:tab w:val="right" w:leader="dot" w:pos="8306"/>
        </w:tabs>
        <w:spacing w:line="348" w:lineRule="auto"/>
        <w:rPr>
          <w:szCs w:val="21"/>
        </w:rPr>
      </w:pPr>
      <w:r>
        <w:fldChar w:fldCharType="begin"/>
      </w:r>
      <w:r>
        <w:instrText xml:space="preserve"> HYPERLINK \l "_Toc12464" </w:instrText>
      </w:r>
      <w:r>
        <w:fldChar w:fldCharType="separate"/>
      </w:r>
      <w:r>
        <w:rPr>
          <w:rFonts w:hint="eastAsia" w:ascii="Times New Roman" w:hAnsi="Times New Roman" w:eastAsia="宋体" w:cs="Times New Roman"/>
          <w:szCs w:val="21"/>
        </w:rPr>
        <w:t>《教育原理》课程教学大纲</w:t>
      </w:r>
      <w:r>
        <w:rPr>
          <w:szCs w:val="21"/>
        </w:rPr>
        <w:tab/>
      </w:r>
      <w:r>
        <w:rPr>
          <w:szCs w:val="21"/>
        </w:rPr>
        <w:fldChar w:fldCharType="begin"/>
      </w:r>
      <w:r>
        <w:rPr>
          <w:szCs w:val="21"/>
        </w:rPr>
        <w:instrText xml:space="preserve"> PAGEREF _Toc12464 \h </w:instrText>
      </w:r>
      <w:r>
        <w:rPr>
          <w:szCs w:val="21"/>
        </w:rPr>
        <w:fldChar w:fldCharType="separate"/>
      </w:r>
      <w:r>
        <w:rPr>
          <w:szCs w:val="21"/>
        </w:rPr>
        <w:t>155</w:t>
      </w:r>
      <w:r>
        <w:rPr>
          <w:szCs w:val="21"/>
        </w:rPr>
        <w:fldChar w:fldCharType="end"/>
      </w:r>
      <w:r>
        <w:rPr>
          <w:szCs w:val="21"/>
        </w:rPr>
        <w:fldChar w:fldCharType="end"/>
      </w:r>
    </w:p>
    <w:p w14:paraId="094846CC">
      <w:pPr>
        <w:pStyle w:val="9"/>
        <w:tabs>
          <w:tab w:val="right" w:leader="dot" w:pos="8306"/>
        </w:tabs>
        <w:spacing w:line="348" w:lineRule="auto"/>
        <w:rPr>
          <w:szCs w:val="21"/>
        </w:rPr>
      </w:pPr>
      <w:r>
        <w:fldChar w:fldCharType="begin"/>
      </w:r>
      <w:r>
        <w:instrText xml:space="preserve"> HYPERLINK \l "_Toc23436" </w:instrText>
      </w:r>
      <w:r>
        <w:fldChar w:fldCharType="separate"/>
      </w:r>
      <w:r>
        <w:rPr>
          <w:rFonts w:hint="eastAsia" w:ascii="Times New Roman" w:hAnsi="Times New Roman" w:eastAsia="宋体" w:cs="Times New Roman"/>
          <w:szCs w:val="21"/>
        </w:rPr>
        <w:t>《中国教育史》课程教学大纲</w:t>
      </w:r>
      <w:r>
        <w:rPr>
          <w:szCs w:val="21"/>
        </w:rPr>
        <w:tab/>
      </w:r>
      <w:r>
        <w:rPr>
          <w:szCs w:val="21"/>
        </w:rPr>
        <w:fldChar w:fldCharType="begin"/>
      </w:r>
      <w:r>
        <w:rPr>
          <w:szCs w:val="21"/>
        </w:rPr>
        <w:instrText xml:space="preserve"> PAGEREF _Toc23436 \h </w:instrText>
      </w:r>
      <w:r>
        <w:rPr>
          <w:szCs w:val="21"/>
        </w:rPr>
        <w:fldChar w:fldCharType="separate"/>
      </w:r>
      <w:r>
        <w:rPr>
          <w:szCs w:val="21"/>
        </w:rPr>
        <w:t>162</w:t>
      </w:r>
      <w:r>
        <w:rPr>
          <w:szCs w:val="21"/>
        </w:rPr>
        <w:fldChar w:fldCharType="end"/>
      </w:r>
      <w:r>
        <w:rPr>
          <w:szCs w:val="21"/>
        </w:rPr>
        <w:fldChar w:fldCharType="end"/>
      </w:r>
    </w:p>
    <w:p w14:paraId="34D0A533">
      <w:pPr>
        <w:pStyle w:val="9"/>
        <w:tabs>
          <w:tab w:val="right" w:leader="dot" w:pos="8306"/>
        </w:tabs>
        <w:spacing w:line="348" w:lineRule="auto"/>
        <w:rPr>
          <w:szCs w:val="21"/>
        </w:rPr>
      </w:pPr>
      <w:r>
        <w:fldChar w:fldCharType="begin"/>
      </w:r>
      <w:r>
        <w:instrText xml:space="preserve"> HYPERLINK \l "_Toc31165" </w:instrText>
      </w:r>
      <w:r>
        <w:fldChar w:fldCharType="separate"/>
      </w:r>
      <w:r>
        <w:rPr>
          <w:rFonts w:hint="eastAsia" w:ascii="Times New Roman" w:hAnsi="Times New Roman" w:eastAsia="宋体" w:cs="Times New Roman"/>
          <w:szCs w:val="21"/>
        </w:rPr>
        <w:t>《外国教育史》课程与教学大纲</w:t>
      </w:r>
      <w:r>
        <w:rPr>
          <w:szCs w:val="21"/>
        </w:rPr>
        <w:tab/>
      </w:r>
      <w:r>
        <w:rPr>
          <w:szCs w:val="21"/>
        </w:rPr>
        <w:fldChar w:fldCharType="begin"/>
      </w:r>
      <w:r>
        <w:rPr>
          <w:szCs w:val="21"/>
        </w:rPr>
        <w:instrText xml:space="preserve"> PAGEREF _Toc31165 \h </w:instrText>
      </w:r>
      <w:r>
        <w:rPr>
          <w:szCs w:val="21"/>
        </w:rPr>
        <w:fldChar w:fldCharType="separate"/>
      </w:r>
      <w:r>
        <w:rPr>
          <w:szCs w:val="21"/>
        </w:rPr>
        <w:t>168</w:t>
      </w:r>
      <w:r>
        <w:rPr>
          <w:szCs w:val="21"/>
        </w:rPr>
        <w:fldChar w:fldCharType="end"/>
      </w:r>
      <w:r>
        <w:rPr>
          <w:szCs w:val="21"/>
        </w:rPr>
        <w:fldChar w:fldCharType="end"/>
      </w:r>
    </w:p>
    <w:p w14:paraId="435E6BFF">
      <w:pPr>
        <w:pStyle w:val="9"/>
        <w:tabs>
          <w:tab w:val="right" w:leader="dot" w:pos="8306"/>
        </w:tabs>
        <w:spacing w:line="348" w:lineRule="auto"/>
        <w:rPr>
          <w:szCs w:val="21"/>
        </w:rPr>
      </w:pPr>
      <w:r>
        <w:fldChar w:fldCharType="begin"/>
      </w:r>
      <w:r>
        <w:instrText xml:space="preserve"> HYPERLINK \l "_Toc5195" </w:instrText>
      </w:r>
      <w:r>
        <w:fldChar w:fldCharType="separate"/>
      </w:r>
      <w:r>
        <w:rPr>
          <w:rFonts w:hint="eastAsia" w:ascii="Times New Roman" w:hAnsi="Times New Roman" w:eastAsia="宋体" w:cs="Times New Roman"/>
          <w:szCs w:val="21"/>
        </w:rPr>
        <w:t>《小学教育政策与法规》课程与教学大纲</w:t>
      </w:r>
      <w:r>
        <w:rPr>
          <w:szCs w:val="21"/>
        </w:rPr>
        <w:tab/>
      </w:r>
      <w:r>
        <w:rPr>
          <w:szCs w:val="21"/>
        </w:rPr>
        <w:fldChar w:fldCharType="begin"/>
      </w:r>
      <w:r>
        <w:rPr>
          <w:szCs w:val="21"/>
        </w:rPr>
        <w:instrText xml:space="preserve"> PAGEREF _Toc5195 \h </w:instrText>
      </w:r>
      <w:r>
        <w:rPr>
          <w:szCs w:val="21"/>
        </w:rPr>
        <w:fldChar w:fldCharType="separate"/>
      </w:r>
      <w:r>
        <w:rPr>
          <w:szCs w:val="21"/>
        </w:rPr>
        <w:t>174</w:t>
      </w:r>
      <w:r>
        <w:rPr>
          <w:szCs w:val="21"/>
        </w:rPr>
        <w:fldChar w:fldCharType="end"/>
      </w:r>
      <w:r>
        <w:rPr>
          <w:szCs w:val="21"/>
        </w:rPr>
        <w:fldChar w:fldCharType="end"/>
      </w:r>
    </w:p>
    <w:p w14:paraId="1861E0A5">
      <w:pPr>
        <w:pStyle w:val="9"/>
        <w:tabs>
          <w:tab w:val="right" w:leader="dot" w:pos="8306"/>
        </w:tabs>
        <w:spacing w:line="348" w:lineRule="auto"/>
        <w:rPr>
          <w:szCs w:val="21"/>
        </w:rPr>
      </w:pPr>
      <w:r>
        <w:fldChar w:fldCharType="begin"/>
      </w:r>
      <w:r>
        <w:instrText xml:space="preserve"> HYPERLINK \l "_Toc12532" </w:instrText>
      </w:r>
      <w:r>
        <w:fldChar w:fldCharType="separate"/>
      </w:r>
      <w:r>
        <w:rPr>
          <w:rFonts w:hint="eastAsia" w:ascii="Times New Roman" w:hAnsi="Times New Roman" w:eastAsia="宋体" w:cs="Times New Roman"/>
          <w:szCs w:val="21"/>
        </w:rPr>
        <w:t>《教师职业道德》课程教学大纲</w:t>
      </w:r>
      <w:r>
        <w:rPr>
          <w:szCs w:val="21"/>
        </w:rPr>
        <w:tab/>
      </w:r>
      <w:r>
        <w:rPr>
          <w:szCs w:val="21"/>
        </w:rPr>
        <w:fldChar w:fldCharType="begin"/>
      </w:r>
      <w:r>
        <w:rPr>
          <w:szCs w:val="21"/>
        </w:rPr>
        <w:instrText xml:space="preserve"> PAGEREF _Toc12532 \h </w:instrText>
      </w:r>
      <w:r>
        <w:rPr>
          <w:szCs w:val="21"/>
        </w:rPr>
        <w:fldChar w:fldCharType="separate"/>
      </w:r>
      <w:r>
        <w:rPr>
          <w:szCs w:val="21"/>
        </w:rPr>
        <w:t>179</w:t>
      </w:r>
      <w:r>
        <w:rPr>
          <w:szCs w:val="21"/>
        </w:rPr>
        <w:fldChar w:fldCharType="end"/>
      </w:r>
      <w:r>
        <w:rPr>
          <w:szCs w:val="21"/>
        </w:rPr>
        <w:fldChar w:fldCharType="end"/>
      </w:r>
    </w:p>
    <w:p w14:paraId="7DF3C698">
      <w:pPr>
        <w:pStyle w:val="9"/>
        <w:tabs>
          <w:tab w:val="right" w:leader="dot" w:pos="8306"/>
        </w:tabs>
        <w:spacing w:line="348" w:lineRule="auto"/>
        <w:rPr>
          <w:szCs w:val="21"/>
        </w:rPr>
      </w:pPr>
      <w:r>
        <w:fldChar w:fldCharType="begin"/>
      </w:r>
      <w:r>
        <w:instrText xml:space="preserve"> HYPERLINK \l "_Toc29424" </w:instrText>
      </w:r>
      <w:r>
        <w:fldChar w:fldCharType="separate"/>
      </w:r>
      <w:r>
        <w:rPr>
          <w:rFonts w:hint="eastAsia" w:ascii="Times New Roman" w:hAnsi="Times New Roman" w:eastAsia="宋体" w:cs="Times New Roman"/>
          <w:szCs w:val="21"/>
        </w:rPr>
        <w:t>《课程与教学论》课程教学大纲</w:t>
      </w:r>
      <w:r>
        <w:rPr>
          <w:szCs w:val="21"/>
        </w:rPr>
        <w:tab/>
      </w:r>
      <w:r>
        <w:rPr>
          <w:szCs w:val="21"/>
        </w:rPr>
        <w:fldChar w:fldCharType="begin"/>
      </w:r>
      <w:r>
        <w:rPr>
          <w:szCs w:val="21"/>
        </w:rPr>
        <w:instrText xml:space="preserve"> PAGEREF _Toc29424 \h </w:instrText>
      </w:r>
      <w:r>
        <w:rPr>
          <w:szCs w:val="21"/>
        </w:rPr>
        <w:fldChar w:fldCharType="separate"/>
      </w:r>
      <w:r>
        <w:rPr>
          <w:szCs w:val="21"/>
        </w:rPr>
        <w:t>184</w:t>
      </w:r>
      <w:r>
        <w:rPr>
          <w:szCs w:val="21"/>
        </w:rPr>
        <w:fldChar w:fldCharType="end"/>
      </w:r>
      <w:r>
        <w:rPr>
          <w:szCs w:val="21"/>
        </w:rPr>
        <w:fldChar w:fldCharType="end"/>
      </w:r>
    </w:p>
    <w:p w14:paraId="0C16BF51">
      <w:pPr>
        <w:pStyle w:val="9"/>
        <w:tabs>
          <w:tab w:val="right" w:leader="dot" w:pos="8306"/>
        </w:tabs>
        <w:spacing w:line="348" w:lineRule="auto"/>
        <w:rPr>
          <w:szCs w:val="21"/>
        </w:rPr>
      </w:pPr>
      <w:r>
        <w:fldChar w:fldCharType="begin"/>
      </w:r>
      <w:r>
        <w:instrText xml:space="preserve"> HYPERLINK \l "_Toc3651" </w:instrText>
      </w:r>
      <w:r>
        <w:fldChar w:fldCharType="separate"/>
      </w:r>
      <w:r>
        <w:rPr>
          <w:rFonts w:hint="eastAsia" w:ascii="Times New Roman" w:hAnsi="Times New Roman" w:eastAsia="宋体" w:cs="Times New Roman"/>
          <w:szCs w:val="21"/>
        </w:rPr>
        <w:t>《教育心理学》课程教学大纲</w:t>
      </w:r>
      <w:r>
        <w:rPr>
          <w:szCs w:val="21"/>
        </w:rPr>
        <w:tab/>
      </w:r>
      <w:r>
        <w:rPr>
          <w:szCs w:val="21"/>
        </w:rPr>
        <w:fldChar w:fldCharType="begin"/>
      </w:r>
      <w:r>
        <w:rPr>
          <w:szCs w:val="21"/>
        </w:rPr>
        <w:instrText xml:space="preserve"> PAGEREF _Toc3651 \h </w:instrText>
      </w:r>
      <w:r>
        <w:rPr>
          <w:szCs w:val="21"/>
        </w:rPr>
        <w:fldChar w:fldCharType="separate"/>
      </w:r>
      <w:r>
        <w:rPr>
          <w:szCs w:val="21"/>
        </w:rPr>
        <w:t>191</w:t>
      </w:r>
      <w:r>
        <w:rPr>
          <w:szCs w:val="21"/>
        </w:rPr>
        <w:fldChar w:fldCharType="end"/>
      </w:r>
      <w:r>
        <w:rPr>
          <w:szCs w:val="21"/>
        </w:rPr>
        <w:fldChar w:fldCharType="end"/>
      </w:r>
    </w:p>
    <w:p w14:paraId="5FB630E9">
      <w:pPr>
        <w:pStyle w:val="9"/>
        <w:tabs>
          <w:tab w:val="right" w:leader="dot" w:pos="8306"/>
        </w:tabs>
        <w:spacing w:line="348" w:lineRule="auto"/>
        <w:rPr>
          <w:szCs w:val="21"/>
        </w:rPr>
      </w:pPr>
      <w:r>
        <w:fldChar w:fldCharType="begin"/>
      </w:r>
      <w:r>
        <w:instrText xml:space="preserve"> HYPERLINK \l "_Toc23781" </w:instrText>
      </w:r>
      <w:r>
        <w:fldChar w:fldCharType="separate"/>
      </w:r>
      <w:r>
        <w:rPr>
          <w:rFonts w:hint="eastAsia" w:ascii="Times New Roman" w:hAnsi="Times New Roman" w:eastAsia="宋体" w:cs="Times New Roman"/>
          <w:szCs w:val="21"/>
        </w:rPr>
        <w:t>《现代教育技术》课程教学大纲</w:t>
      </w:r>
      <w:r>
        <w:rPr>
          <w:szCs w:val="21"/>
        </w:rPr>
        <w:tab/>
      </w:r>
      <w:r>
        <w:rPr>
          <w:szCs w:val="21"/>
        </w:rPr>
        <w:fldChar w:fldCharType="begin"/>
      </w:r>
      <w:r>
        <w:rPr>
          <w:szCs w:val="21"/>
        </w:rPr>
        <w:instrText xml:space="preserve"> PAGEREF _Toc23781 \h </w:instrText>
      </w:r>
      <w:r>
        <w:rPr>
          <w:szCs w:val="21"/>
        </w:rPr>
        <w:fldChar w:fldCharType="separate"/>
      </w:r>
      <w:r>
        <w:rPr>
          <w:szCs w:val="21"/>
        </w:rPr>
        <w:t>197</w:t>
      </w:r>
      <w:r>
        <w:rPr>
          <w:szCs w:val="21"/>
        </w:rPr>
        <w:fldChar w:fldCharType="end"/>
      </w:r>
      <w:r>
        <w:rPr>
          <w:szCs w:val="21"/>
        </w:rPr>
        <w:fldChar w:fldCharType="end"/>
      </w:r>
    </w:p>
    <w:p w14:paraId="6B7F341B">
      <w:pPr>
        <w:pStyle w:val="9"/>
        <w:tabs>
          <w:tab w:val="right" w:leader="dot" w:pos="8306"/>
        </w:tabs>
        <w:spacing w:line="348" w:lineRule="auto"/>
        <w:rPr>
          <w:szCs w:val="21"/>
        </w:rPr>
      </w:pPr>
      <w:r>
        <w:fldChar w:fldCharType="begin"/>
      </w:r>
      <w:r>
        <w:instrText xml:space="preserve"> HYPERLINK \l "_Toc474" </w:instrText>
      </w:r>
      <w:r>
        <w:fldChar w:fldCharType="separate"/>
      </w:r>
      <w:r>
        <w:rPr>
          <w:rFonts w:hint="eastAsia" w:ascii="Times New Roman" w:hAnsi="Times New Roman" w:eastAsia="宋体" w:cs="Times New Roman"/>
          <w:szCs w:val="21"/>
        </w:rPr>
        <w:t>《教育科学研究方法》课程教学大纲</w:t>
      </w:r>
      <w:r>
        <w:rPr>
          <w:szCs w:val="21"/>
        </w:rPr>
        <w:tab/>
      </w:r>
      <w:r>
        <w:rPr>
          <w:szCs w:val="21"/>
        </w:rPr>
        <w:fldChar w:fldCharType="begin"/>
      </w:r>
      <w:r>
        <w:rPr>
          <w:szCs w:val="21"/>
        </w:rPr>
        <w:instrText xml:space="preserve"> PAGEREF _Toc474 \h </w:instrText>
      </w:r>
      <w:r>
        <w:rPr>
          <w:szCs w:val="21"/>
        </w:rPr>
        <w:fldChar w:fldCharType="separate"/>
      </w:r>
      <w:r>
        <w:rPr>
          <w:szCs w:val="21"/>
        </w:rPr>
        <w:t>203</w:t>
      </w:r>
      <w:r>
        <w:rPr>
          <w:szCs w:val="21"/>
        </w:rPr>
        <w:fldChar w:fldCharType="end"/>
      </w:r>
      <w:r>
        <w:rPr>
          <w:szCs w:val="21"/>
        </w:rPr>
        <w:fldChar w:fldCharType="end"/>
      </w:r>
    </w:p>
    <w:p w14:paraId="09FEEB5E">
      <w:pPr>
        <w:pStyle w:val="9"/>
        <w:tabs>
          <w:tab w:val="right" w:leader="dot" w:pos="8306"/>
        </w:tabs>
        <w:spacing w:line="348" w:lineRule="auto"/>
        <w:rPr>
          <w:szCs w:val="21"/>
        </w:rPr>
      </w:pPr>
      <w:r>
        <w:fldChar w:fldCharType="begin"/>
      </w:r>
      <w:r>
        <w:instrText xml:space="preserve"> HYPERLINK \l "_Toc18528" </w:instrText>
      </w:r>
      <w:r>
        <w:fldChar w:fldCharType="separate"/>
      </w:r>
      <w:r>
        <w:rPr>
          <w:rFonts w:hint="eastAsia" w:ascii="Times New Roman" w:hAnsi="Times New Roman" w:eastAsia="宋体" w:cs="Times New Roman"/>
          <w:szCs w:val="21"/>
        </w:rPr>
        <w:t>《小学班队管理》课程教学大纲</w:t>
      </w:r>
      <w:r>
        <w:rPr>
          <w:szCs w:val="21"/>
        </w:rPr>
        <w:tab/>
      </w:r>
      <w:r>
        <w:rPr>
          <w:szCs w:val="21"/>
        </w:rPr>
        <w:fldChar w:fldCharType="begin"/>
      </w:r>
      <w:r>
        <w:rPr>
          <w:szCs w:val="21"/>
        </w:rPr>
        <w:instrText xml:space="preserve"> PAGEREF _Toc18528 \h </w:instrText>
      </w:r>
      <w:r>
        <w:rPr>
          <w:szCs w:val="21"/>
        </w:rPr>
        <w:fldChar w:fldCharType="separate"/>
      </w:r>
      <w:r>
        <w:rPr>
          <w:szCs w:val="21"/>
        </w:rPr>
        <w:t>211</w:t>
      </w:r>
      <w:r>
        <w:rPr>
          <w:szCs w:val="21"/>
        </w:rPr>
        <w:fldChar w:fldCharType="end"/>
      </w:r>
      <w:r>
        <w:rPr>
          <w:szCs w:val="21"/>
        </w:rPr>
        <w:fldChar w:fldCharType="end"/>
      </w:r>
    </w:p>
    <w:p w14:paraId="13983CDC">
      <w:pPr>
        <w:pStyle w:val="9"/>
        <w:tabs>
          <w:tab w:val="right" w:leader="dot" w:pos="8306"/>
        </w:tabs>
        <w:spacing w:line="348" w:lineRule="auto"/>
        <w:rPr>
          <w:szCs w:val="21"/>
        </w:rPr>
      </w:pPr>
      <w:r>
        <w:fldChar w:fldCharType="begin"/>
      </w:r>
      <w:r>
        <w:instrText xml:space="preserve"> HYPERLINK \l "_Toc23760" </w:instrText>
      </w:r>
      <w:r>
        <w:fldChar w:fldCharType="separate"/>
      </w:r>
      <w:r>
        <w:rPr>
          <w:rFonts w:hint="eastAsia" w:ascii="Times New Roman" w:hAnsi="Times New Roman" w:eastAsia="宋体" w:cs="Times New Roman"/>
          <w:szCs w:val="21"/>
        </w:rPr>
        <w:t>《教师口语与礼仪》课程教学大纲</w:t>
      </w:r>
      <w:r>
        <w:rPr>
          <w:szCs w:val="21"/>
        </w:rPr>
        <w:tab/>
      </w:r>
      <w:r>
        <w:rPr>
          <w:szCs w:val="21"/>
        </w:rPr>
        <w:fldChar w:fldCharType="begin"/>
      </w:r>
      <w:r>
        <w:rPr>
          <w:szCs w:val="21"/>
        </w:rPr>
        <w:instrText xml:space="preserve"> PAGEREF _Toc23760 \h </w:instrText>
      </w:r>
      <w:r>
        <w:rPr>
          <w:szCs w:val="21"/>
        </w:rPr>
        <w:fldChar w:fldCharType="separate"/>
      </w:r>
      <w:r>
        <w:rPr>
          <w:szCs w:val="21"/>
        </w:rPr>
        <w:t>217</w:t>
      </w:r>
      <w:r>
        <w:rPr>
          <w:szCs w:val="21"/>
        </w:rPr>
        <w:fldChar w:fldCharType="end"/>
      </w:r>
      <w:r>
        <w:rPr>
          <w:szCs w:val="21"/>
        </w:rPr>
        <w:fldChar w:fldCharType="end"/>
      </w:r>
    </w:p>
    <w:p w14:paraId="526370E1">
      <w:pPr>
        <w:pStyle w:val="9"/>
        <w:tabs>
          <w:tab w:val="right" w:leader="dot" w:pos="8306"/>
        </w:tabs>
        <w:spacing w:line="348" w:lineRule="auto"/>
        <w:rPr>
          <w:szCs w:val="21"/>
        </w:rPr>
      </w:pPr>
      <w:r>
        <w:fldChar w:fldCharType="begin"/>
      </w:r>
      <w:r>
        <w:instrText xml:space="preserve"> HYPERLINK \l "_Toc3816" </w:instrText>
      </w:r>
      <w:r>
        <w:fldChar w:fldCharType="separate"/>
      </w:r>
      <w:r>
        <w:rPr>
          <w:rFonts w:hint="eastAsia" w:ascii="Times New Roman" w:hAnsi="Times New Roman" w:eastAsia="宋体" w:cs="Times New Roman"/>
          <w:szCs w:val="21"/>
        </w:rPr>
        <w:t>《教育统计与测量》课程教学大纲</w:t>
      </w:r>
      <w:r>
        <w:rPr>
          <w:szCs w:val="21"/>
        </w:rPr>
        <w:tab/>
      </w:r>
      <w:r>
        <w:rPr>
          <w:szCs w:val="21"/>
        </w:rPr>
        <w:fldChar w:fldCharType="begin"/>
      </w:r>
      <w:r>
        <w:rPr>
          <w:szCs w:val="21"/>
        </w:rPr>
        <w:instrText xml:space="preserve"> PAGEREF _Toc3816 \h </w:instrText>
      </w:r>
      <w:r>
        <w:rPr>
          <w:szCs w:val="21"/>
        </w:rPr>
        <w:fldChar w:fldCharType="separate"/>
      </w:r>
      <w:r>
        <w:rPr>
          <w:szCs w:val="21"/>
        </w:rPr>
        <w:t>223</w:t>
      </w:r>
      <w:r>
        <w:rPr>
          <w:szCs w:val="21"/>
        </w:rPr>
        <w:fldChar w:fldCharType="end"/>
      </w:r>
      <w:r>
        <w:rPr>
          <w:szCs w:val="21"/>
        </w:rPr>
        <w:fldChar w:fldCharType="end"/>
      </w:r>
    </w:p>
    <w:p w14:paraId="4BEE40FA">
      <w:pPr>
        <w:pStyle w:val="9"/>
        <w:tabs>
          <w:tab w:val="right" w:leader="dot" w:pos="8306"/>
        </w:tabs>
        <w:spacing w:line="348" w:lineRule="auto"/>
        <w:rPr>
          <w:szCs w:val="21"/>
        </w:rPr>
      </w:pPr>
      <w:r>
        <w:fldChar w:fldCharType="begin"/>
      </w:r>
      <w:r>
        <w:instrText xml:space="preserve"> HYPERLINK \l "_Toc29723" </w:instrText>
      </w:r>
      <w:r>
        <w:fldChar w:fldCharType="separate"/>
      </w:r>
      <w:r>
        <w:rPr>
          <w:rFonts w:hint="eastAsia" w:ascii="Times New Roman" w:hAnsi="Times New Roman" w:eastAsia="宋体" w:cs="Times New Roman"/>
          <w:szCs w:val="21"/>
        </w:rPr>
        <w:t>《中外基础教育改革热点》课程教学大纲</w:t>
      </w:r>
      <w:r>
        <w:rPr>
          <w:szCs w:val="21"/>
        </w:rPr>
        <w:tab/>
      </w:r>
      <w:r>
        <w:rPr>
          <w:szCs w:val="21"/>
        </w:rPr>
        <w:fldChar w:fldCharType="begin"/>
      </w:r>
      <w:r>
        <w:rPr>
          <w:szCs w:val="21"/>
        </w:rPr>
        <w:instrText xml:space="preserve"> PAGEREF _Toc29723 \h </w:instrText>
      </w:r>
      <w:r>
        <w:rPr>
          <w:szCs w:val="21"/>
        </w:rPr>
        <w:fldChar w:fldCharType="separate"/>
      </w:r>
      <w:r>
        <w:rPr>
          <w:szCs w:val="21"/>
        </w:rPr>
        <w:t>228</w:t>
      </w:r>
      <w:r>
        <w:rPr>
          <w:szCs w:val="21"/>
        </w:rPr>
        <w:fldChar w:fldCharType="end"/>
      </w:r>
      <w:r>
        <w:rPr>
          <w:szCs w:val="21"/>
        </w:rPr>
        <w:fldChar w:fldCharType="end"/>
      </w:r>
    </w:p>
    <w:p w14:paraId="0E3F9D7A">
      <w:pPr>
        <w:pStyle w:val="9"/>
        <w:tabs>
          <w:tab w:val="right" w:leader="dot" w:pos="8306"/>
        </w:tabs>
        <w:spacing w:line="348" w:lineRule="auto"/>
        <w:rPr>
          <w:szCs w:val="21"/>
        </w:rPr>
      </w:pPr>
      <w:r>
        <w:fldChar w:fldCharType="begin"/>
      </w:r>
      <w:r>
        <w:instrText xml:space="preserve"> HYPERLINK \l "_Toc13566" </w:instrText>
      </w:r>
      <w:r>
        <w:fldChar w:fldCharType="separate"/>
      </w:r>
      <w:r>
        <w:rPr>
          <w:rFonts w:hint="eastAsia" w:ascii="Times New Roman" w:hAnsi="Times New Roman" w:eastAsia="宋体" w:cs="Times New Roman"/>
          <w:szCs w:val="21"/>
        </w:rPr>
        <w:t>《教育哲学》课程教学大纲</w:t>
      </w:r>
      <w:r>
        <w:rPr>
          <w:szCs w:val="21"/>
        </w:rPr>
        <w:tab/>
      </w:r>
      <w:r>
        <w:rPr>
          <w:szCs w:val="21"/>
        </w:rPr>
        <w:fldChar w:fldCharType="begin"/>
      </w:r>
      <w:r>
        <w:rPr>
          <w:szCs w:val="21"/>
        </w:rPr>
        <w:instrText xml:space="preserve"> PAGEREF _Toc13566 \h </w:instrText>
      </w:r>
      <w:r>
        <w:rPr>
          <w:szCs w:val="21"/>
        </w:rPr>
        <w:fldChar w:fldCharType="separate"/>
      </w:r>
      <w:r>
        <w:rPr>
          <w:szCs w:val="21"/>
        </w:rPr>
        <w:t>232</w:t>
      </w:r>
      <w:r>
        <w:rPr>
          <w:szCs w:val="21"/>
        </w:rPr>
        <w:fldChar w:fldCharType="end"/>
      </w:r>
      <w:r>
        <w:rPr>
          <w:szCs w:val="21"/>
        </w:rPr>
        <w:fldChar w:fldCharType="end"/>
      </w:r>
    </w:p>
    <w:p w14:paraId="3988FEF4">
      <w:pPr>
        <w:pStyle w:val="9"/>
        <w:tabs>
          <w:tab w:val="right" w:leader="dot" w:pos="8306"/>
        </w:tabs>
        <w:spacing w:line="348" w:lineRule="auto"/>
        <w:rPr>
          <w:szCs w:val="21"/>
        </w:rPr>
      </w:pPr>
      <w:r>
        <w:fldChar w:fldCharType="begin"/>
      </w:r>
      <w:r>
        <w:instrText xml:space="preserve"> HYPERLINK \l "_Toc14352" </w:instrText>
      </w:r>
      <w:r>
        <w:fldChar w:fldCharType="separate"/>
      </w:r>
      <w:r>
        <w:rPr>
          <w:rFonts w:hint="eastAsia" w:ascii="Times New Roman" w:hAnsi="Times New Roman" w:eastAsia="宋体" w:cs="Times New Roman"/>
          <w:szCs w:val="21"/>
        </w:rPr>
        <w:t>《教育社会学》课程与教学大纲</w:t>
      </w:r>
      <w:r>
        <w:rPr>
          <w:szCs w:val="21"/>
        </w:rPr>
        <w:tab/>
      </w:r>
      <w:r>
        <w:rPr>
          <w:szCs w:val="21"/>
        </w:rPr>
        <w:fldChar w:fldCharType="begin"/>
      </w:r>
      <w:r>
        <w:rPr>
          <w:szCs w:val="21"/>
        </w:rPr>
        <w:instrText xml:space="preserve"> PAGEREF _Toc14352 \h </w:instrText>
      </w:r>
      <w:r>
        <w:rPr>
          <w:szCs w:val="21"/>
        </w:rPr>
        <w:fldChar w:fldCharType="separate"/>
      </w:r>
      <w:r>
        <w:rPr>
          <w:szCs w:val="21"/>
        </w:rPr>
        <w:t>240</w:t>
      </w:r>
      <w:r>
        <w:rPr>
          <w:szCs w:val="21"/>
        </w:rPr>
        <w:fldChar w:fldCharType="end"/>
      </w:r>
      <w:r>
        <w:rPr>
          <w:szCs w:val="21"/>
        </w:rPr>
        <w:fldChar w:fldCharType="end"/>
      </w:r>
    </w:p>
    <w:p w14:paraId="57A9A1DE">
      <w:pPr>
        <w:pStyle w:val="9"/>
        <w:tabs>
          <w:tab w:val="right" w:leader="dot" w:pos="8306"/>
        </w:tabs>
        <w:spacing w:line="348" w:lineRule="auto"/>
        <w:rPr>
          <w:szCs w:val="21"/>
        </w:rPr>
      </w:pPr>
      <w:r>
        <w:fldChar w:fldCharType="begin"/>
      </w:r>
      <w:r>
        <w:instrText xml:space="preserve"> HYPERLINK \l "_Toc22550" </w:instrText>
      </w:r>
      <w:r>
        <w:fldChar w:fldCharType="separate"/>
      </w:r>
      <w:r>
        <w:rPr>
          <w:rFonts w:hint="eastAsia" w:ascii="Times New Roman" w:hAnsi="Times New Roman" w:eastAsia="宋体" w:cs="Times New Roman"/>
          <w:szCs w:val="21"/>
        </w:rPr>
        <w:t>《家校社协同育人》课程教学大纲</w:t>
      </w:r>
      <w:r>
        <w:rPr>
          <w:szCs w:val="21"/>
        </w:rPr>
        <w:tab/>
      </w:r>
      <w:r>
        <w:rPr>
          <w:szCs w:val="21"/>
        </w:rPr>
        <w:fldChar w:fldCharType="begin"/>
      </w:r>
      <w:r>
        <w:rPr>
          <w:szCs w:val="21"/>
        </w:rPr>
        <w:instrText xml:space="preserve"> PAGEREF _Toc22550 \h </w:instrText>
      </w:r>
      <w:r>
        <w:rPr>
          <w:szCs w:val="21"/>
        </w:rPr>
        <w:fldChar w:fldCharType="separate"/>
      </w:r>
      <w:r>
        <w:rPr>
          <w:szCs w:val="21"/>
        </w:rPr>
        <w:t>246</w:t>
      </w:r>
      <w:r>
        <w:rPr>
          <w:szCs w:val="21"/>
        </w:rPr>
        <w:fldChar w:fldCharType="end"/>
      </w:r>
      <w:r>
        <w:rPr>
          <w:szCs w:val="21"/>
        </w:rPr>
        <w:fldChar w:fldCharType="end"/>
      </w:r>
    </w:p>
    <w:p w14:paraId="21B3A993">
      <w:pPr>
        <w:pStyle w:val="9"/>
        <w:tabs>
          <w:tab w:val="right" w:leader="dot" w:pos="8306"/>
        </w:tabs>
        <w:spacing w:line="348" w:lineRule="auto"/>
        <w:rPr>
          <w:szCs w:val="21"/>
        </w:rPr>
      </w:pPr>
      <w:r>
        <w:fldChar w:fldCharType="begin"/>
      </w:r>
      <w:r>
        <w:instrText xml:space="preserve"> HYPERLINK \l "_Toc19713" </w:instrText>
      </w:r>
      <w:r>
        <w:fldChar w:fldCharType="separate"/>
      </w:r>
      <w:r>
        <w:rPr>
          <w:rFonts w:hint="eastAsia" w:ascii="Times New Roman" w:hAnsi="Times New Roman" w:eastAsia="宋体" w:cs="Times New Roman"/>
          <w:szCs w:val="21"/>
        </w:rPr>
        <w:t>《中外教育名著导读》课程教学大纲</w:t>
      </w:r>
      <w:r>
        <w:rPr>
          <w:szCs w:val="21"/>
        </w:rPr>
        <w:tab/>
      </w:r>
      <w:r>
        <w:rPr>
          <w:szCs w:val="21"/>
        </w:rPr>
        <w:fldChar w:fldCharType="begin"/>
      </w:r>
      <w:r>
        <w:rPr>
          <w:szCs w:val="21"/>
        </w:rPr>
        <w:instrText xml:space="preserve"> PAGEREF _Toc19713 \h </w:instrText>
      </w:r>
      <w:r>
        <w:rPr>
          <w:szCs w:val="21"/>
        </w:rPr>
        <w:fldChar w:fldCharType="separate"/>
      </w:r>
      <w:r>
        <w:rPr>
          <w:szCs w:val="21"/>
        </w:rPr>
        <w:t>251</w:t>
      </w:r>
      <w:r>
        <w:rPr>
          <w:szCs w:val="21"/>
        </w:rPr>
        <w:fldChar w:fldCharType="end"/>
      </w:r>
      <w:r>
        <w:rPr>
          <w:szCs w:val="21"/>
        </w:rPr>
        <w:fldChar w:fldCharType="end"/>
      </w:r>
    </w:p>
    <w:p w14:paraId="047D43C6">
      <w:pPr>
        <w:pStyle w:val="9"/>
        <w:tabs>
          <w:tab w:val="right" w:leader="dot" w:pos="8306"/>
        </w:tabs>
        <w:spacing w:line="348" w:lineRule="auto"/>
        <w:rPr>
          <w:szCs w:val="21"/>
        </w:rPr>
      </w:pPr>
      <w:r>
        <w:fldChar w:fldCharType="begin"/>
      </w:r>
      <w:r>
        <w:instrText xml:space="preserve"> HYPERLINK \l "_Toc15679" </w:instrText>
      </w:r>
      <w:r>
        <w:fldChar w:fldCharType="separate"/>
      </w:r>
      <w:r>
        <w:rPr>
          <w:rFonts w:hint="eastAsia" w:ascii="Times New Roman" w:hAnsi="Times New Roman" w:eastAsia="宋体" w:cs="Times New Roman"/>
          <w:szCs w:val="21"/>
        </w:rPr>
        <w:t>《课堂观察与模拟教学》课程教学大纲</w:t>
      </w:r>
      <w:r>
        <w:rPr>
          <w:szCs w:val="21"/>
        </w:rPr>
        <w:tab/>
      </w:r>
      <w:r>
        <w:rPr>
          <w:szCs w:val="21"/>
        </w:rPr>
        <w:fldChar w:fldCharType="begin"/>
      </w:r>
      <w:r>
        <w:rPr>
          <w:szCs w:val="21"/>
        </w:rPr>
        <w:instrText xml:space="preserve"> PAGEREF _Toc15679 \h </w:instrText>
      </w:r>
      <w:r>
        <w:rPr>
          <w:szCs w:val="21"/>
        </w:rPr>
        <w:fldChar w:fldCharType="separate"/>
      </w:r>
      <w:r>
        <w:rPr>
          <w:szCs w:val="21"/>
        </w:rPr>
        <w:t>255</w:t>
      </w:r>
      <w:r>
        <w:rPr>
          <w:szCs w:val="21"/>
        </w:rPr>
        <w:fldChar w:fldCharType="end"/>
      </w:r>
      <w:r>
        <w:rPr>
          <w:szCs w:val="21"/>
        </w:rPr>
        <w:fldChar w:fldCharType="end"/>
      </w:r>
    </w:p>
    <w:p w14:paraId="549DAE76">
      <w:pPr>
        <w:pStyle w:val="9"/>
        <w:tabs>
          <w:tab w:val="right" w:leader="dot" w:pos="8306"/>
        </w:tabs>
        <w:spacing w:line="348" w:lineRule="auto"/>
        <w:rPr>
          <w:szCs w:val="21"/>
        </w:rPr>
      </w:pPr>
      <w:r>
        <w:fldChar w:fldCharType="begin"/>
      </w:r>
      <w:r>
        <w:instrText xml:space="preserve"> HYPERLINK \l "_Toc21942" </w:instrText>
      </w:r>
      <w:r>
        <w:fldChar w:fldCharType="separate"/>
      </w:r>
      <w:r>
        <w:rPr>
          <w:rFonts w:hint="eastAsia" w:ascii="Times New Roman" w:hAnsi="Times New Roman" w:eastAsia="宋体" w:cs="Times New Roman"/>
          <w:szCs w:val="21"/>
        </w:rPr>
        <w:t>《校本课程开发》课程教学大纲</w:t>
      </w:r>
      <w:r>
        <w:rPr>
          <w:szCs w:val="21"/>
        </w:rPr>
        <w:tab/>
      </w:r>
      <w:r>
        <w:rPr>
          <w:szCs w:val="21"/>
        </w:rPr>
        <w:fldChar w:fldCharType="begin"/>
      </w:r>
      <w:r>
        <w:rPr>
          <w:szCs w:val="21"/>
        </w:rPr>
        <w:instrText xml:space="preserve"> PAGEREF _Toc21942 \h </w:instrText>
      </w:r>
      <w:r>
        <w:rPr>
          <w:szCs w:val="21"/>
        </w:rPr>
        <w:fldChar w:fldCharType="separate"/>
      </w:r>
      <w:r>
        <w:rPr>
          <w:szCs w:val="21"/>
        </w:rPr>
        <w:t>260</w:t>
      </w:r>
      <w:r>
        <w:rPr>
          <w:szCs w:val="21"/>
        </w:rPr>
        <w:fldChar w:fldCharType="end"/>
      </w:r>
      <w:r>
        <w:rPr>
          <w:szCs w:val="21"/>
        </w:rPr>
        <w:fldChar w:fldCharType="end"/>
      </w:r>
    </w:p>
    <w:p w14:paraId="403AD329">
      <w:pPr>
        <w:pStyle w:val="9"/>
        <w:tabs>
          <w:tab w:val="right" w:leader="dot" w:pos="8306"/>
        </w:tabs>
        <w:spacing w:line="348" w:lineRule="auto"/>
        <w:rPr>
          <w:szCs w:val="21"/>
        </w:rPr>
      </w:pPr>
      <w:r>
        <w:fldChar w:fldCharType="begin"/>
      </w:r>
      <w:r>
        <w:instrText xml:space="preserve"> HYPERLINK \l "_Toc3632" </w:instrText>
      </w:r>
      <w:r>
        <w:fldChar w:fldCharType="separate"/>
      </w:r>
      <w:r>
        <w:rPr>
          <w:rFonts w:hint="eastAsia" w:ascii="Times New Roman" w:hAnsi="Times New Roman" w:eastAsia="宋体" w:cs="Times New Roman"/>
          <w:szCs w:val="21"/>
        </w:rPr>
        <w:t>《小学生心理辅导》课程教学大纲</w:t>
      </w:r>
      <w:r>
        <w:rPr>
          <w:szCs w:val="21"/>
        </w:rPr>
        <w:tab/>
      </w:r>
      <w:r>
        <w:rPr>
          <w:szCs w:val="21"/>
        </w:rPr>
        <w:fldChar w:fldCharType="begin"/>
      </w:r>
      <w:r>
        <w:rPr>
          <w:szCs w:val="21"/>
        </w:rPr>
        <w:instrText xml:space="preserve"> PAGEREF _Toc3632 \h </w:instrText>
      </w:r>
      <w:r>
        <w:rPr>
          <w:szCs w:val="21"/>
        </w:rPr>
        <w:fldChar w:fldCharType="separate"/>
      </w:r>
      <w:r>
        <w:rPr>
          <w:szCs w:val="21"/>
        </w:rPr>
        <w:t>266</w:t>
      </w:r>
      <w:r>
        <w:rPr>
          <w:szCs w:val="21"/>
        </w:rPr>
        <w:fldChar w:fldCharType="end"/>
      </w:r>
      <w:r>
        <w:rPr>
          <w:szCs w:val="21"/>
        </w:rPr>
        <w:fldChar w:fldCharType="end"/>
      </w:r>
    </w:p>
    <w:p w14:paraId="2BC3B41F">
      <w:pPr>
        <w:pStyle w:val="9"/>
        <w:tabs>
          <w:tab w:val="right" w:leader="dot" w:pos="8306"/>
        </w:tabs>
        <w:spacing w:line="348" w:lineRule="auto"/>
        <w:rPr>
          <w:szCs w:val="21"/>
        </w:rPr>
      </w:pPr>
      <w:r>
        <w:fldChar w:fldCharType="begin"/>
      </w:r>
      <w:r>
        <w:instrText xml:space="preserve"> HYPERLINK \l "_Toc26327" </w:instrText>
      </w:r>
      <w:r>
        <w:fldChar w:fldCharType="separate"/>
      </w:r>
      <w:r>
        <w:rPr>
          <w:rFonts w:hint="eastAsia" w:ascii="Times New Roman" w:hAnsi="Times New Roman" w:eastAsia="宋体" w:cs="Times New Roman"/>
          <w:szCs w:val="21"/>
        </w:rPr>
        <w:t>《小学跨学科学习》课程教学大纲</w:t>
      </w:r>
      <w:r>
        <w:rPr>
          <w:szCs w:val="21"/>
        </w:rPr>
        <w:tab/>
      </w:r>
      <w:r>
        <w:rPr>
          <w:szCs w:val="21"/>
        </w:rPr>
        <w:fldChar w:fldCharType="begin"/>
      </w:r>
      <w:r>
        <w:rPr>
          <w:szCs w:val="21"/>
        </w:rPr>
        <w:instrText xml:space="preserve"> PAGEREF _Toc26327 \h </w:instrText>
      </w:r>
      <w:r>
        <w:rPr>
          <w:szCs w:val="21"/>
        </w:rPr>
        <w:fldChar w:fldCharType="separate"/>
      </w:r>
      <w:r>
        <w:rPr>
          <w:szCs w:val="21"/>
        </w:rPr>
        <w:t>273</w:t>
      </w:r>
      <w:r>
        <w:rPr>
          <w:szCs w:val="21"/>
        </w:rPr>
        <w:fldChar w:fldCharType="end"/>
      </w:r>
      <w:r>
        <w:rPr>
          <w:szCs w:val="21"/>
        </w:rPr>
        <w:fldChar w:fldCharType="end"/>
      </w:r>
    </w:p>
    <w:p w14:paraId="0DE1D624">
      <w:pPr>
        <w:pStyle w:val="9"/>
        <w:tabs>
          <w:tab w:val="right" w:leader="dot" w:pos="8306"/>
        </w:tabs>
        <w:spacing w:line="348" w:lineRule="auto"/>
        <w:rPr>
          <w:szCs w:val="21"/>
        </w:rPr>
      </w:pPr>
      <w:r>
        <w:fldChar w:fldCharType="begin"/>
      </w:r>
      <w:r>
        <w:instrText xml:space="preserve"> HYPERLINK \l "_Toc32657" </w:instrText>
      </w:r>
      <w:r>
        <w:fldChar w:fldCharType="separate"/>
      </w:r>
      <w:r>
        <w:rPr>
          <w:rFonts w:hint="eastAsia" w:ascii="Times New Roman" w:hAnsi="Times New Roman" w:eastAsia="宋体" w:cs="Times New Roman"/>
          <w:szCs w:val="21"/>
        </w:rPr>
        <w:t>《教育论文写作》课程教学大纲</w:t>
      </w:r>
      <w:r>
        <w:rPr>
          <w:szCs w:val="21"/>
        </w:rPr>
        <w:tab/>
      </w:r>
      <w:r>
        <w:rPr>
          <w:szCs w:val="21"/>
        </w:rPr>
        <w:fldChar w:fldCharType="begin"/>
      </w:r>
      <w:r>
        <w:rPr>
          <w:szCs w:val="21"/>
        </w:rPr>
        <w:instrText xml:space="preserve"> PAGEREF _Toc32657 \h </w:instrText>
      </w:r>
      <w:r>
        <w:rPr>
          <w:szCs w:val="21"/>
        </w:rPr>
        <w:fldChar w:fldCharType="separate"/>
      </w:r>
      <w:r>
        <w:rPr>
          <w:szCs w:val="21"/>
        </w:rPr>
        <w:t>277</w:t>
      </w:r>
      <w:r>
        <w:rPr>
          <w:szCs w:val="21"/>
        </w:rPr>
        <w:fldChar w:fldCharType="end"/>
      </w:r>
      <w:r>
        <w:rPr>
          <w:szCs w:val="21"/>
        </w:rPr>
        <w:fldChar w:fldCharType="end"/>
      </w:r>
    </w:p>
    <w:p w14:paraId="2BE0E47E">
      <w:pPr>
        <w:pStyle w:val="9"/>
        <w:tabs>
          <w:tab w:val="right" w:leader="dot" w:pos="8306"/>
        </w:tabs>
        <w:spacing w:line="348" w:lineRule="auto"/>
        <w:rPr>
          <w:szCs w:val="21"/>
        </w:rPr>
      </w:pPr>
      <w:r>
        <w:fldChar w:fldCharType="begin"/>
      </w:r>
      <w:r>
        <w:instrText xml:space="preserve"> HYPERLINK \l "_Toc4739" </w:instrText>
      </w:r>
      <w:r>
        <w:fldChar w:fldCharType="separate"/>
      </w:r>
      <w:r>
        <w:rPr>
          <w:rFonts w:hint="eastAsia" w:ascii="Times New Roman" w:hAnsi="Times New Roman" w:eastAsia="宋体" w:cs="Times New Roman"/>
          <w:szCs w:val="21"/>
        </w:rPr>
        <w:t>《古代汉语》课程教学大纲</w:t>
      </w:r>
      <w:r>
        <w:rPr>
          <w:szCs w:val="21"/>
        </w:rPr>
        <w:tab/>
      </w:r>
      <w:r>
        <w:rPr>
          <w:szCs w:val="21"/>
        </w:rPr>
        <w:fldChar w:fldCharType="begin"/>
      </w:r>
      <w:r>
        <w:rPr>
          <w:szCs w:val="21"/>
        </w:rPr>
        <w:instrText xml:space="preserve"> PAGEREF _Toc4739 \h </w:instrText>
      </w:r>
      <w:r>
        <w:rPr>
          <w:szCs w:val="21"/>
        </w:rPr>
        <w:fldChar w:fldCharType="separate"/>
      </w:r>
      <w:r>
        <w:rPr>
          <w:szCs w:val="21"/>
        </w:rPr>
        <w:t>283</w:t>
      </w:r>
      <w:r>
        <w:rPr>
          <w:szCs w:val="21"/>
        </w:rPr>
        <w:fldChar w:fldCharType="end"/>
      </w:r>
      <w:r>
        <w:rPr>
          <w:szCs w:val="21"/>
        </w:rPr>
        <w:fldChar w:fldCharType="end"/>
      </w:r>
    </w:p>
    <w:p w14:paraId="6DAA7F33">
      <w:pPr>
        <w:pStyle w:val="9"/>
        <w:tabs>
          <w:tab w:val="right" w:leader="dot" w:pos="8306"/>
        </w:tabs>
        <w:spacing w:line="348" w:lineRule="auto"/>
        <w:rPr>
          <w:szCs w:val="21"/>
        </w:rPr>
      </w:pPr>
      <w:r>
        <w:fldChar w:fldCharType="begin"/>
      </w:r>
      <w:r>
        <w:instrText xml:space="preserve"> HYPERLINK \l "_Toc12987" </w:instrText>
      </w:r>
      <w:r>
        <w:fldChar w:fldCharType="separate"/>
      </w:r>
      <w:r>
        <w:rPr>
          <w:rFonts w:hint="eastAsia" w:ascii="Times New Roman" w:hAnsi="Times New Roman" w:eastAsia="宋体" w:cs="Times New Roman"/>
          <w:szCs w:val="21"/>
        </w:rPr>
        <w:t>《现代汉语》课程教学大纲</w:t>
      </w:r>
      <w:r>
        <w:rPr>
          <w:szCs w:val="21"/>
        </w:rPr>
        <w:tab/>
      </w:r>
      <w:r>
        <w:rPr>
          <w:szCs w:val="21"/>
        </w:rPr>
        <w:fldChar w:fldCharType="begin"/>
      </w:r>
      <w:r>
        <w:rPr>
          <w:szCs w:val="21"/>
        </w:rPr>
        <w:instrText xml:space="preserve"> PAGEREF _Toc12987 \h </w:instrText>
      </w:r>
      <w:r>
        <w:rPr>
          <w:szCs w:val="21"/>
        </w:rPr>
        <w:fldChar w:fldCharType="separate"/>
      </w:r>
      <w:r>
        <w:rPr>
          <w:szCs w:val="21"/>
        </w:rPr>
        <w:t>289</w:t>
      </w:r>
      <w:r>
        <w:rPr>
          <w:szCs w:val="21"/>
        </w:rPr>
        <w:fldChar w:fldCharType="end"/>
      </w:r>
      <w:r>
        <w:rPr>
          <w:szCs w:val="21"/>
        </w:rPr>
        <w:fldChar w:fldCharType="end"/>
      </w:r>
    </w:p>
    <w:p w14:paraId="40DEC808">
      <w:pPr>
        <w:pStyle w:val="9"/>
        <w:tabs>
          <w:tab w:val="right" w:leader="dot" w:pos="8306"/>
        </w:tabs>
        <w:spacing w:line="348" w:lineRule="auto"/>
        <w:rPr>
          <w:szCs w:val="21"/>
        </w:rPr>
      </w:pPr>
      <w:r>
        <w:fldChar w:fldCharType="begin"/>
      </w:r>
      <w:r>
        <w:instrText xml:space="preserve"> HYPERLINK \l "_Toc13726" </w:instrText>
      </w:r>
      <w:r>
        <w:fldChar w:fldCharType="separate"/>
      </w:r>
      <w:r>
        <w:rPr>
          <w:rFonts w:hint="eastAsia" w:ascii="Times New Roman" w:hAnsi="Times New Roman" w:eastAsia="宋体" w:cs="Times New Roman"/>
          <w:szCs w:val="21"/>
        </w:rPr>
        <w:t>《中国古代文学》课程教学大纲</w:t>
      </w:r>
      <w:r>
        <w:rPr>
          <w:szCs w:val="21"/>
        </w:rPr>
        <w:tab/>
      </w:r>
      <w:r>
        <w:rPr>
          <w:szCs w:val="21"/>
        </w:rPr>
        <w:fldChar w:fldCharType="begin"/>
      </w:r>
      <w:r>
        <w:rPr>
          <w:szCs w:val="21"/>
        </w:rPr>
        <w:instrText xml:space="preserve"> PAGEREF _Toc13726 \h </w:instrText>
      </w:r>
      <w:r>
        <w:rPr>
          <w:szCs w:val="21"/>
        </w:rPr>
        <w:fldChar w:fldCharType="separate"/>
      </w:r>
      <w:r>
        <w:rPr>
          <w:szCs w:val="21"/>
        </w:rPr>
        <w:t>296</w:t>
      </w:r>
      <w:r>
        <w:rPr>
          <w:szCs w:val="21"/>
        </w:rPr>
        <w:fldChar w:fldCharType="end"/>
      </w:r>
      <w:r>
        <w:rPr>
          <w:szCs w:val="21"/>
        </w:rPr>
        <w:fldChar w:fldCharType="end"/>
      </w:r>
    </w:p>
    <w:p w14:paraId="3DACA22A">
      <w:pPr>
        <w:pStyle w:val="9"/>
        <w:tabs>
          <w:tab w:val="right" w:leader="dot" w:pos="8306"/>
        </w:tabs>
        <w:spacing w:line="348" w:lineRule="auto"/>
        <w:rPr>
          <w:szCs w:val="21"/>
        </w:rPr>
      </w:pPr>
      <w:r>
        <w:fldChar w:fldCharType="begin"/>
      </w:r>
      <w:r>
        <w:instrText xml:space="preserve"> HYPERLINK \l "_Toc15523" </w:instrText>
      </w:r>
      <w:r>
        <w:fldChar w:fldCharType="separate"/>
      </w:r>
      <w:r>
        <w:rPr>
          <w:rFonts w:hint="eastAsia" w:ascii="Times New Roman" w:hAnsi="Times New Roman" w:eastAsia="宋体" w:cs="Times New Roman"/>
          <w:szCs w:val="21"/>
        </w:rPr>
        <w:t>《中国现当代文学》课程教学大纲</w:t>
      </w:r>
      <w:r>
        <w:rPr>
          <w:szCs w:val="21"/>
        </w:rPr>
        <w:tab/>
      </w:r>
      <w:r>
        <w:rPr>
          <w:szCs w:val="21"/>
        </w:rPr>
        <w:fldChar w:fldCharType="begin"/>
      </w:r>
      <w:r>
        <w:rPr>
          <w:szCs w:val="21"/>
        </w:rPr>
        <w:instrText xml:space="preserve"> PAGEREF _Toc15523 \h </w:instrText>
      </w:r>
      <w:r>
        <w:rPr>
          <w:szCs w:val="21"/>
        </w:rPr>
        <w:fldChar w:fldCharType="separate"/>
      </w:r>
      <w:r>
        <w:rPr>
          <w:szCs w:val="21"/>
        </w:rPr>
        <w:t>302</w:t>
      </w:r>
      <w:r>
        <w:rPr>
          <w:szCs w:val="21"/>
        </w:rPr>
        <w:fldChar w:fldCharType="end"/>
      </w:r>
      <w:r>
        <w:rPr>
          <w:szCs w:val="21"/>
        </w:rPr>
        <w:fldChar w:fldCharType="end"/>
      </w:r>
    </w:p>
    <w:p w14:paraId="22D5F522">
      <w:pPr>
        <w:pStyle w:val="9"/>
        <w:tabs>
          <w:tab w:val="right" w:leader="dot" w:pos="8306"/>
        </w:tabs>
        <w:spacing w:line="348" w:lineRule="auto"/>
        <w:rPr>
          <w:szCs w:val="21"/>
        </w:rPr>
      </w:pPr>
      <w:r>
        <w:fldChar w:fldCharType="begin"/>
      </w:r>
      <w:r>
        <w:instrText xml:space="preserve"> HYPERLINK \l "_Toc25604" </w:instrText>
      </w:r>
      <w:r>
        <w:fldChar w:fldCharType="separate"/>
      </w:r>
      <w:r>
        <w:rPr>
          <w:rFonts w:hint="eastAsia" w:ascii="Times New Roman" w:hAnsi="Times New Roman" w:eastAsia="宋体" w:cs="Times New Roman"/>
          <w:szCs w:val="21"/>
        </w:rPr>
        <w:t>《文学概论》课程教学大纲</w:t>
      </w:r>
      <w:r>
        <w:rPr>
          <w:szCs w:val="21"/>
        </w:rPr>
        <w:tab/>
      </w:r>
      <w:r>
        <w:rPr>
          <w:szCs w:val="21"/>
        </w:rPr>
        <w:fldChar w:fldCharType="begin"/>
      </w:r>
      <w:r>
        <w:rPr>
          <w:szCs w:val="21"/>
        </w:rPr>
        <w:instrText xml:space="preserve"> PAGEREF _Toc25604 \h </w:instrText>
      </w:r>
      <w:r>
        <w:rPr>
          <w:szCs w:val="21"/>
        </w:rPr>
        <w:fldChar w:fldCharType="separate"/>
      </w:r>
      <w:r>
        <w:rPr>
          <w:szCs w:val="21"/>
        </w:rPr>
        <w:t>309</w:t>
      </w:r>
      <w:r>
        <w:rPr>
          <w:szCs w:val="21"/>
        </w:rPr>
        <w:fldChar w:fldCharType="end"/>
      </w:r>
      <w:r>
        <w:rPr>
          <w:szCs w:val="21"/>
        </w:rPr>
        <w:fldChar w:fldCharType="end"/>
      </w:r>
    </w:p>
    <w:p w14:paraId="0529E4F5">
      <w:pPr>
        <w:pStyle w:val="9"/>
        <w:tabs>
          <w:tab w:val="right" w:leader="dot" w:pos="8306"/>
        </w:tabs>
        <w:spacing w:line="348" w:lineRule="auto"/>
        <w:rPr>
          <w:szCs w:val="21"/>
        </w:rPr>
      </w:pPr>
      <w:r>
        <w:fldChar w:fldCharType="begin"/>
      </w:r>
      <w:r>
        <w:instrText xml:space="preserve"> HYPERLINK \l "_Toc1025" </w:instrText>
      </w:r>
      <w:r>
        <w:fldChar w:fldCharType="separate"/>
      </w:r>
      <w:r>
        <w:rPr>
          <w:rFonts w:hint="eastAsia" w:ascii="Times New Roman" w:hAnsi="Times New Roman" w:eastAsia="宋体" w:cs="Times New Roman"/>
          <w:szCs w:val="21"/>
        </w:rPr>
        <w:t>《儿童文学》课程教学大纲</w:t>
      </w:r>
      <w:r>
        <w:rPr>
          <w:szCs w:val="21"/>
        </w:rPr>
        <w:tab/>
      </w:r>
      <w:r>
        <w:rPr>
          <w:szCs w:val="21"/>
        </w:rPr>
        <w:fldChar w:fldCharType="begin"/>
      </w:r>
      <w:r>
        <w:rPr>
          <w:szCs w:val="21"/>
        </w:rPr>
        <w:instrText xml:space="preserve"> PAGEREF _Toc1025 \h </w:instrText>
      </w:r>
      <w:r>
        <w:rPr>
          <w:szCs w:val="21"/>
        </w:rPr>
        <w:fldChar w:fldCharType="separate"/>
      </w:r>
      <w:r>
        <w:rPr>
          <w:szCs w:val="21"/>
        </w:rPr>
        <w:t>315</w:t>
      </w:r>
      <w:r>
        <w:rPr>
          <w:szCs w:val="21"/>
        </w:rPr>
        <w:fldChar w:fldCharType="end"/>
      </w:r>
      <w:r>
        <w:rPr>
          <w:szCs w:val="21"/>
        </w:rPr>
        <w:fldChar w:fldCharType="end"/>
      </w:r>
    </w:p>
    <w:p w14:paraId="3341490C">
      <w:pPr>
        <w:pStyle w:val="9"/>
        <w:tabs>
          <w:tab w:val="right" w:leader="dot" w:pos="8306"/>
        </w:tabs>
        <w:spacing w:line="348" w:lineRule="auto"/>
        <w:rPr>
          <w:szCs w:val="21"/>
        </w:rPr>
      </w:pPr>
      <w:r>
        <w:fldChar w:fldCharType="begin"/>
      </w:r>
      <w:r>
        <w:instrText xml:space="preserve"> HYPERLINK \l "_Toc4253" </w:instrText>
      </w:r>
      <w:r>
        <w:fldChar w:fldCharType="separate"/>
      </w:r>
      <w:r>
        <w:rPr>
          <w:rFonts w:hint="eastAsia" w:ascii="Times New Roman" w:hAnsi="Times New Roman" w:eastAsia="宋体" w:cs="Times New Roman"/>
          <w:szCs w:val="21"/>
        </w:rPr>
        <w:t>《外国文学》课程教学大纲</w:t>
      </w:r>
      <w:r>
        <w:rPr>
          <w:szCs w:val="21"/>
        </w:rPr>
        <w:tab/>
      </w:r>
      <w:r>
        <w:rPr>
          <w:szCs w:val="21"/>
        </w:rPr>
        <w:fldChar w:fldCharType="begin"/>
      </w:r>
      <w:r>
        <w:rPr>
          <w:szCs w:val="21"/>
        </w:rPr>
        <w:instrText xml:space="preserve"> PAGEREF _Toc4253 \h </w:instrText>
      </w:r>
      <w:r>
        <w:rPr>
          <w:szCs w:val="21"/>
        </w:rPr>
        <w:fldChar w:fldCharType="separate"/>
      </w:r>
      <w:r>
        <w:rPr>
          <w:szCs w:val="21"/>
        </w:rPr>
        <w:t>322</w:t>
      </w:r>
      <w:r>
        <w:rPr>
          <w:szCs w:val="21"/>
        </w:rPr>
        <w:fldChar w:fldCharType="end"/>
      </w:r>
      <w:r>
        <w:rPr>
          <w:szCs w:val="21"/>
        </w:rPr>
        <w:fldChar w:fldCharType="end"/>
      </w:r>
    </w:p>
    <w:p w14:paraId="6A9C141E">
      <w:pPr>
        <w:pStyle w:val="9"/>
        <w:tabs>
          <w:tab w:val="right" w:leader="dot" w:pos="8306"/>
        </w:tabs>
        <w:spacing w:line="348" w:lineRule="auto"/>
        <w:rPr>
          <w:szCs w:val="21"/>
        </w:rPr>
      </w:pPr>
      <w:r>
        <w:fldChar w:fldCharType="begin"/>
      </w:r>
      <w:r>
        <w:instrText xml:space="preserve"> HYPERLINK \l "_Toc22592" </w:instrText>
      </w:r>
      <w:r>
        <w:fldChar w:fldCharType="separate"/>
      </w:r>
      <w:r>
        <w:rPr>
          <w:rFonts w:hint="eastAsia" w:ascii="Times New Roman" w:hAnsi="Times New Roman" w:eastAsia="宋体" w:cs="Times New Roman"/>
          <w:szCs w:val="21"/>
        </w:rPr>
        <w:t>《写作》课程教学大纲</w:t>
      </w:r>
      <w:r>
        <w:rPr>
          <w:szCs w:val="21"/>
        </w:rPr>
        <w:tab/>
      </w:r>
      <w:r>
        <w:rPr>
          <w:szCs w:val="21"/>
        </w:rPr>
        <w:fldChar w:fldCharType="begin"/>
      </w:r>
      <w:r>
        <w:rPr>
          <w:szCs w:val="21"/>
        </w:rPr>
        <w:instrText xml:space="preserve"> PAGEREF _Toc22592 \h </w:instrText>
      </w:r>
      <w:r>
        <w:rPr>
          <w:szCs w:val="21"/>
        </w:rPr>
        <w:fldChar w:fldCharType="separate"/>
      </w:r>
      <w:r>
        <w:rPr>
          <w:szCs w:val="21"/>
        </w:rPr>
        <w:t>331</w:t>
      </w:r>
      <w:r>
        <w:rPr>
          <w:szCs w:val="21"/>
        </w:rPr>
        <w:fldChar w:fldCharType="end"/>
      </w:r>
      <w:r>
        <w:rPr>
          <w:szCs w:val="21"/>
        </w:rPr>
        <w:fldChar w:fldCharType="end"/>
      </w:r>
    </w:p>
    <w:p w14:paraId="00BCBD09">
      <w:pPr>
        <w:pStyle w:val="9"/>
        <w:tabs>
          <w:tab w:val="right" w:leader="dot" w:pos="8306"/>
        </w:tabs>
        <w:spacing w:line="348" w:lineRule="auto"/>
        <w:rPr>
          <w:szCs w:val="21"/>
        </w:rPr>
      </w:pPr>
      <w:r>
        <w:fldChar w:fldCharType="begin"/>
      </w:r>
      <w:r>
        <w:instrText xml:space="preserve"> HYPERLINK \l "_Toc24418" </w:instrText>
      </w:r>
      <w:r>
        <w:fldChar w:fldCharType="separate"/>
      </w:r>
      <w:r>
        <w:rPr>
          <w:rFonts w:hint="eastAsia" w:ascii="Times New Roman" w:hAnsi="Times New Roman" w:eastAsia="宋体" w:cs="Times New Roman"/>
          <w:szCs w:val="21"/>
        </w:rPr>
        <w:t>《小学语文课程标准与教材分析》课程教学大纲</w:t>
      </w:r>
      <w:r>
        <w:rPr>
          <w:szCs w:val="21"/>
        </w:rPr>
        <w:tab/>
      </w:r>
      <w:r>
        <w:rPr>
          <w:szCs w:val="21"/>
        </w:rPr>
        <w:fldChar w:fldCharType="begin"/>
      </w:r>
      <w:r>
        <w:rPr>
          <w:szCs w:val="21"/>
        </w:rPr>
        <w:instrText xml:space="preserve"> PAGEREF _Toc24418 \h </w:instrText>
      </w:r>
      <w:r>
        <w:rPr>
          <w:szCs w:val="21"/>
        </w:rPr>
        <w:fldChar w:fldCharType="separate"/>
      </w:r>
      <w:r>
        <w:rPr>
          <w:szCs w:val="21"/>
        </w:rPr>
        <w:t>339</w:t>
      </w:r>
      <w:r>
        <w:rPr>
          <w:szCs w:val="21"/>
        </w:rPr>
        <w:fldChar w:fldCharType="end"/>
      </w:r>
      <w:r>
        <w:rPr>
          <w:szCs w:val="21"/>
        </w:rPr>
        <w:fldChar w:fldCharType="end"/>
      </w:r>
    </w:p>
    <w:p w14:paraId="63ACB897">
      <w:pPr>
        <w:pStyle w:val="9"/>
        <w:tabs>
          <w:tab w:val="right" w:leader="dot" w:pos="8306"/>
        </w:tabs>
        <w:spacing w:line="348" w:lineRule="auto"/>
        <w:rPr>
          <w:szCs w:val="21"/>
        </w:rPr>
      </w:pPr>
      <w:r>
        <w:fldChar w:fldCharType="begin"/>
      </w:r>
      <w:r>
        <w:instrText xml:space="preserve"> HYPERLINK \l "_Toc31883" </w:instrText>
      </w:r>
      <w:r>
        <w:fldChar w:fldCharType="separate"/>
      </w:r>
      <w:r>
        <w:rPr>
          <w:rFonts w:hint="eastAsia" w:ascii="Times New Roman" w:hAnsi="Times New Roman" w:eastAsia="宋体" w:cs="Times New Roman"/>
          <w:szCs w:val="21"/>
        </w:rPr>
        <w:t>《小学道德与法治课程与教学论》课程教学大纲</w:t>
      </w:r>
      <w:r>
        <w:rPr>
          <w:szCs w:val="21"/>
        </w:rPr>
        <w:tab/>
      </w:r>
      <w:r>
        <w:rPr>
          <w:szCs w:val="21"/>
        </w:rPr>
        <w:fldChar w:fldCharType="begin"/>
      </w:r>
      <w:r>
        <w:rPr>
          <w:szCs w:val="21"/>
        </w:rPr>
        <w:instrText xml:space="preserve"> PAGEREF _Toc31883 \h </w:instrText>
      </w:r>
      <w:r>
        <w:rPr>
          <w:szCs w:val="21"/>
        </w:rPr>
        <w:fldChar w:fldCharType="separate"/>
      </w:r>
      <w:r>
        <w:rPr>
          <w:szCs w:val="21"/>
        </w:rPr>
        <w:t>347</w:t>
      </w:r>
      <w:r>
        <w:rPr>
          <w:szCs w:val="21"/>
        </w:rPr>
        <w:fldChar w:fldCharType="end"/>
      </w:r>
      <w:r>
        <w:rPr>
          <w:szCs w:val="21"/>
        </w:rPr>
        <w:fldChar w:fldCharType="end"/>
      </w:r>
    </w:p>
    <w:p w14:paraId="74326D24">
      <w:pPr>
        <w:pStyle w:val="9"/>
        <w:tabs>
          <w:tab w:val="right" w:leader="dot" w:pos="8306"/>
        </w:tabs>
        <w:spacing w:line="348" w:lineRule="auto"/>
        <w:rPr>
          <w:szCs w:val="21"/>
        </w:rPr>
      </w:pPr>
      <w:r>
        <w:fldChar w:fldCharType="begin"/>
      </w:r>
      <w:r>
        <w:instrText xml:space="preserve"> HYPERLINK \l "_Toc26454" </w:instrText>
      </w:r>
      <w:r>
        <w:fldChar w:fldCharType="separate"/>
      </w:r>
      <w:r>
        <w:rPr>
          <w:rFonts w:hint="eastAsia" w:ascii="Times New Roman" w:hAnsi="Times New Roman" w:eastAsia="宋体" w:cs="Times New Roman"/>
          <w:szCs w:val="21"/>
        </w:rPr>
        <w:t>《小学语文教学设计与实施》课程教学大纲</w:t>
      </w:r>
      <w:r>
        <w:rPr>
          <w:szCs w:val="21"/>
        </w:rPr>
        <w:tab/>
      </w:r>
      <w:r>
        <w:rPr>
          <w:szCs w:val="21"/>
        </w:rPr>
        <w:fldChar w:fldCharType="begin"/>
      </w:r>
      <w:r>
        <w:rPr>
          <w:szCs w:val="21"/>
        </w:rPr>
        <w:instrText xml:space="preserve"> PAGEREF _Toc26454 \h </w:instrText>
      </w:r>
      <w:r>
        <w:rPr>
          <w:szCs w:val="21"/>
        </w:rPr>
        <w:fldChar w:fldCharType="separate"/>
      </w:r>
      <w:r>
        <w:rPr>
          <w:szCs w:val="21"/>
        </w:rPr>
        <w:t>353</w:t>
      </w:r>
      <w:r>
        <w:rPr>
          <w:szCs w:val="21"/>
        </w:rPr>
        <w:fldChar w:fldCharType="end"/>
      </w:r>
      <w:r>
        <w:rPr>
          <w:szCs w:val="21"/>
        </w:rPr>
        <w:fldChar w:fldCharType="end"/>
      </w:r>
    </w:p>
    <w:p w14:paraId="4D920626">
      <w:pPr>
        <w:pStyle w:val="9"/>
        <w:tabs>
          <w:tab w:val="right" w:leader="dot" w:pos="8306"/>
        </w:tabs>
        <w:spacing w:line="348" w:lineRule="auto"/>
        <w:rPr>
          <w:szCs w:val="21"/>
        </w:rPr>
      </w:pPr>
      <w:r>
        <w:fldChar w:fldCharType="begin"/>
      </w:r>
      <w:r>
        <w:instrText xml:space="preserve"> HYPERLINK \l "_Toc4690" </w:instrText>
      </w:r>
      <w:r>
        <w:fldChar w:fldCharType="separate"/>
      </w:r>
      <w:r>
        <w:rPr>
          <w:rFonts w:hint="eastAsia" w:ascii="Times New Roman" w:hAnsi="Times New Roman" w:eastAsia="宋体" w:cs="Times New Roman"/>
          <w:szCs w:val="21"/>
        </w:rPr>
        <w:t>《教师口语与礼仪》课程教学大纲</w:t>
      </w:r>
      <w:r>
        <w:rPr>
          <w:szCs w:val="21"/>
        </w:rPr>
        <w:tab/>
      </w:r>
      <w:r>
        <w:rPr>
          <w:szCs w:val="21"/>
        </w:rPr>
        <w:fldChar w:fldCharType="begin"/>
      </w:r>
      <w:r>
        <w:rPr>
          <w:szCs w:val="21"/>
        </w:rPr>
        <w:instrText xml:space="preserve"> PAGEREF _Toc4690 \h </w:instrText>
      </w:r>
      <w:r>
        <w:rPr>
          <w:szCs w:val="21"/>
        </w:rPr>
        <w:fldChar w:fldCharType="separate"/>
      </w:r>
      <w:r>
        <w:rPr>
          <w:szCs w:val="21"/>
        </w:rPr>
        <w:t>361</w:t>
      </w:r>
      <w:r>
        <w:rPr>
          <w:szCs w:val="21"/>
        </w:rPr>
        <w:fldChar w:fldCharType="end"/>
      </w:r>
      <w:r>
        <w:rPr>
          <w:szCs w:val="21"/>
        </w:rPr>
        <w:fldChar w:fldCharType="end"/>
      </w:r>
    </w:p>
    <w:p w14:paraId="7602B43F">
      <w:pPr>
        <w:pStyle w:val="9"/>
        <w:tabs>
          <w:tab w:val="right" w:leader="dot" w:pos="8306"/>
        </w:tabs>
        <w:spacing w:line="348" w:lineRule="auto"/>
        <w:rPr>
          <w:szCs w:val="21"/>
        </w:rPr>
      </w:pPr>
      <w:r>
        <w:fldChar w:fldCharType="begin"/>
      </w:r>
      <w:r>
        <w:instrText xml:space="preserve"> HYPERLINK \l "_Toc30907" </w:instrText>
      </w:r>
      <w:r>
        <w:fldChar w:fldCharType="separate"/>
      </w:r>
      <w:r>
        <w:rPr>
          <w:rFonts w:hint="eastAsia" w:ascii="Times New Roman" w:hAnsi="Times New Roman" w:eastAsia="宋体" w:cs="Times New Roman"/>
          <w:szCs w:val="21"/>
        </w:rPr>
        <w:t>《社会学概论》课程与教学大纲</w:t>
      </w:r>
      <w:r>
        <w:rPr>
          <w:szCs w:val="21"/>
        </w:rPr>
        <w:tab/>
      </w:r>
      <w:r>
        <w:rPr>
          <w:szCs w:val="21"/>
        </w:rPr>
        <w:fldChar w:fldCharType="begin"/>
      </w:r>
      <w:r>
        <w:rPr>
          <w:szCs w:val="21"/>
        </w:rPr>
        <w:instrText xml:space="preserve"> PAGEREF _Toc30907 \h </w:instrText>
      </w:r>
      <w:r>
        <w:rPr>
          <w:szCs w:val="21"/>
        </w:rPr>
        <w:fldChar w:fldCharType="separate"/>
      </w:r>
      <w:r>
        <w:rPr>
          <w:szCs w:val="21"/>
        </w:rPr>
        <w:t>367</w:t>
      </w:r>
      <w:r>
        <w:rPr>
          <w:szCs w:val="21"/>
        </w:rPr>
        <w:fldChar w:fldCharType="end"/>
      </w:r>
      <w:r>
        <w:rPr>
          <w:szCs w:val="21"/>
        </w:rPr>
        <w:fldChar w:fldCharType="end"/>
      </w:r>
    </w:p>
    <w:p w14:paraId="60C9C9EC">
      <w:pPr>
        <w:pStyle w:val="9"/>
        <w:tabs>
          <w:tab w:val="right" w:leader="dot" w:pos="8306"/>
        </w:tabs>
        <w:spacing w:line="348" w:lineRule="auto"/>
        <w:rPr>
          <w:szCs w:val="21"/>
        </w:rPr>
      </w:pPr>
      <w:r>
        <w:fldChar w:fldCharType="begin"/>
      </w:r>
      <w:r>
        <w:instrText xml:space="preserve"> HYPERLINK \l "_Toc21272" </w:instrText>
      </w:r>
      <w:r>
        <w:fldChar w:fldCharType="separate"/>
      </w:r>
      <w:r>
        <w:rPr>
          <w:rFonts w:hint="eastAsia" w:ascii="Times New Roman" w:hAnsi="Times New Roman" w:eastAsia="宋体" w:cs="Times New Roman"/>
          <w:szCs w:val="21"/>
        </w:rPr>
        <w:t>《美术基础》课程与教学大纲</w:t>
      </w:r>
      <w:r>
        <w:rPr>
          <w:szCs w:val="21"/>
        </w:rPr>
        <w:tab/>
      </w:r>
      <w:r>
        <w:rPr>
          <w:szCs w:val="21"/>
        </w:rPr>
        <w:fldChar w:fldCharType="begin"/>
      </w:r>
      <w:r>
        <w:rPr>
          <w:szCs w:val="21"/>
        </w:rPr>
        <w:instrText xml:space="preserve"> PAGEREF _Toc21272 \h </w:instrText>
      </w:r>
      <w:r>
        <w:rPr>
          <w:szCs w:val="21"/>
        </w:rPr>
        <w:fldChar w:fldCharType="separate"/>
      </w:r>
      <w:r>
        <w:rPr>
          <w:szCs w:val="21"/>
        </w:rPr>
        <w:t>372</w:t>
      </w:r>
      <w:r>
        <w:rPr>
          <w:szCs w:val="21"/>
        </w:rPr>
        <w:fldChar w:fldCharType="end"/>
      </w:r>
      <w:r>
        <w:rPr>
          <w:szCs w:val="21"/>
        </w:rPr>
        <w:fldChar w:fldCharType="end"/>
      </w:r>
    </w:p>
    <w:p w14:paraId="38545873">
      <w:pPr>
        <w:pStyle w:val="9"/>
        <w:tabs>
          <w:tab w:val="right" w:leader="dot" w:pos="8306"/>
        </w:tabs>
        <w:spacing w:line="348" w:lineRule="auto"/>
        <w:rPr>
          <w:szCs w:val="21"/>
        </w:rPr>
      </w:pPr>
      <w:r>
        <w:fldChar w:fldCharType="begin"/>
      </w:r>
      <w:r>
        <w:instrText xml:space="preserve"> HYPERLINK \l "_Toc4136" </w:instrText>
      </w:r>
      <w:r>
        <w:fldChar w:fldCharType="separate"/>
      </w:r>
      <w:r>
        <w:rPr>
          <w:rFonts w:hint="eastAsia" w:ascii="Times New Roman" w:hAnsi="Times New Roman" w:eastAsia="宋体" w:cs="Times New Roman"/>
          <w:szCs w:val="21"/>
        </w:rPr>
        <w:t>《音乐基础》课程教学大纲</w:t>
      </w:r>
      <w:r>
        <w:rPr>
          <w:szCs w:val="21"/>
        </w:rPr>
        <w:tab/>
      </w:r>
      <w:r>
        <w:rPr>
          <w:szCs w:val="21"/>
        </w:rPr>
        <w:fldChar w:fldCharType="begin"/>
      </w:r>
      <w:r>
        <w:rPr>
          <w:szCs w:val="21"/>
        </w:rPr>
        <w:instrText xml:space="preserve"> PAGEREF _Toc4136 \h </w:instrText>
      </w:r>
      <w:r>
        <w:rPr>
          <w:szCs w:val="21"/>
        </w:rPr>
        <w:fldChar w:fldCharType="separate"/>
      </w:r>
      <w:r>
        <w:rPr>
          <w:szCs w:val="21"/>
        </w:rPr>
        <w:t>377</w:t>
      </w:r>
      <w:r>
        <w:rPr>
          <w:szCs w:val="21"/>
        </w:rPr>
        <w:fldChar w:fldCharType="end"/>
      </w:r>
      <w:r>
        <w:rPr>
          <w:szCs w:val="21"/>
        </w:rPr>
        <w:fldChar w:fldCharType="end"/>
      </w:r>
    </w:p>
    <w:p w14:paraId="16D1F4F8">
      <w:pPr>
        <w:pStyle w:val="9"/>
        <w:tabs>
          <w:tab w:val="right" w:leader="dot" w:pos="8306"/>
        </w:tabs>
        <w:spacing w:line="348" w:lineRule="auto"/>
        <w:rPr>
          <w:szCs w:val="21"/>
        </w:rPr>
      </w:pPr>
      <w:r>
        <w:fldChar w:fldCharType="begin"/>
      </w:r>
      <w:r>
        <w:instrText xml:space="preserve"> HYPERLINK \l "_Toc21940" </w:instrText>
      </w:r>
      <w:r>
        <w:fldChar w:fldCharType="separate"/>
      </w:r>
      <w:r>
        <w:rPr>
          <w:rFonts w:hint="eastAsia" w:ascii="Times New Roman" w:hAnsi="Times New Roman" w:eastAsia="宋体" w:cs="Times New Roman"/>
          <w:szCs w:val="21"/>
        </w:rPr>
        <w:t>《儿童戏剧》课程与教学大纲</w:t>
      </w:r>
      <w:r>
        <w:rPr>
          <w:szCs w:val="21"/>
        </w:rPr>
        <w:tab/>
      </w:r>
      <w:r>
        <w:rPr>
          <w:szCs w:val="21"/>
        </w:rPr>
        <w:fldChar w:fldCharType="begin"/>
      </w:r>
      <w:r>
        <w:rPr>
          <w:szCs w:val="21"/>
        </w:rPr>
        <w:instrText xml:space="preserve"> PAGEREF _Toc21940 \h </w:instrText>
      </w:r>
      <w:r>
        <w:rPr>
          <w:szCs w:val="21"/>
        </w:rPr>
        <w:fldChar w:fldCharType="separate"/>
      </w:r>
      <w:r>
        <w:rPr>
          <w:szCs w:val="21"/>
        </w:rPr>
        <w:t>382</w:t>
      </w:r>
      <w:r>
        <w:rPr>
          <w:szCs w:val="21"/>
        </w:rPr>
        <w:fldChar w:fldCharType="end"/>
      </w:r>
      <w:r>
        <w:rPr>
          <w:szCs w:val="21"/>
        </w:rPr>
        <w:fldChar w:fldCharType="end"/>
      </w:r>
    </w:p>
    <w:p w14:paraId="0FAF829F">
      <w:pPr>
        <w:pStyle w:val="9"/>
        <w:tabs>
          <w:tab w:val="right" w:leader="dot" w:pos="8306"/>
        </w:tabs>
        <w:spacing w:line="348" w:lineRule="auto"/>
        <w:rPr>
          <w:szCs w:val="21"/>
        </w:rPr>
      </w:pPr>
      <w:r>
        <w:fldChar w:fldCharType="begin"/>
      </w:r>
      <w:r>
        <w:instrText xml:space="preserve"> HYPERLINK \l "_Toc11081" </w:instrText>
      </w:r>
      <w:r>
        <w:fldChar w:fldCharType="separate"/>
      </w:r>
      <w:r>
        <w:rPr>
          <w:rFonts w:hint="eastAsia" w:ascii="Times New Roman" w:hAnsi="Times New Roman" w:eastAsia="宋体" w:cs="Times New Roman"/>
          <w:szCs w:val="21"/>
        </w:rPr>
        <w:t>《社会统计软件》课程教学大纲</w:t>
      </w:r>
      <w:r>
        <w:rPr>
          <w:szCs w:val="21"/>
        </w:rPr>
        <w:tab/>
      </w:r>
      <w:r>
        <w:rPr>
          <w:szCs w:val="21"/>
        </w:rPr>
        <w:fldChar w:fldCharType="begin"/>
      </w:r>
      <w:r>
        <w:rPr>
          <w:szCs w:val="21"/>
        </w:rPr>
        <w:instrText xml:space="preserve"> PAGEREF _Toc11081 \h </w:instrText>
      </w:r>
      <w:r>
        <w:rPr>
          <w:szCs w:val="21"/>
        </w:rPr>
        <w:fldChar w:fldCharType="separate"/>
      </w:r>
      <w:r>
        <w:rPr>
          <w:szCs w:val="21"/>
        </w:rPr>
        <w:t>390</w:t>
      </w:r>
      <w:r>
        <w:rPr>
          <w:szCs w:val="21"/>
        </w:rPr>
        <w:fldChar w:fldCharType="end"/>
      </w:r>
      <w:r>
        <w:rPr>
          <w:szCs w:val="21"/>
        </w:rPr>
        <w:fldChar w:fldCharType="end"/>
      </w:r>
    </w:p>
    <w:p w14:paraId="5B32CDE6">
      <w:pPr>
        <w:pStyle w:val="9"/>
        <w:tabs>
          <w:tab w:val="right" w:leader="dot" w:pos="8306"/>
        </w:tabs>
        <w:spacing w:line="348" w:lineRule="auto"/>
        <w:rPr>
          <w:szCs w:val="21"/>
        </w:rPr>
      </w:pPr>
      <w:r>
        <w:fldChar w:fldCharType="begin"/>
      </w:r>
      <w:r>
        <w:instrText xml:space="preserve"> HYPERLINK \l "_Toc8841" </w:instrText>
      </w:r>
      <w:r>
        <w:fldChar w:fldCharType="separate"/>
      </w:r>
      <w:r>
        <w:rPr>
          <w:rFonts w:hint="eastAsia" w:ascii="Times New Roman" w:hAnsi="Times New Roman" w:eastAsia="宋体" w:cs="Times New Roman"/>
          <w:szCs w:val="21"/>
        </w:rPr>
        <w:t>《习近平总书记关于教育的重要论述研究》课程教学大纲</w:t>
      </w:r>
      <w:r>
        <w:rPr>
          <w:szCs w:val="21"/>
        </w:rPr>
        <w:tab/>
      </w:r>
      <w:r>
        <w:rPr>
          <w:szCs w:val="21"/>
        </w:rPr>
        <w:fldChar w:fldCharType="begin"/>
      </w:r>
      <w:r>
        <w:rPr>
          <w:szCs w:val="21"/>
        </w:rPr>
        <w:instrText xml:space="preserve"> PAGEREF _Toc8841 \h </w:instrText>
      </w:r>
      <w:r>
        <w:rPr>
          <w:szCs w:val="21"/>
        </w:rPr>
        <w:fldChar w:fldCharType="separate"/>
      </w:r>
      <w:r>
        <w:rPr>
          <w:szCs w:val="21"/>
        </w:rPr>
        <w:t>395</w:t>
      </w:r>
      <w:r>
        <w:rPr>
          <w:szCs w:val="21"/>
        </w:rPr>
        <w:fldChar w:fldCharType="end"/>
      </w:r>
      <w:r>
        <w:rPr>
          <w:szCs w:val="21"/>
        </w:rPr>
        <w:fldChar w:fldCharType="end"/>
      </w:r>
    </w:p>
    <w:p w14:paraId="4711DCFA">
      <w:pPr>
        <w:pStyle w:val="9"/>
        <w:tabs>
          <w:tab w:val="right" w:leader="dot" w:pos="8306"/>
        </w:tabs>
        <w:spacing w:line="348" w:lineRule="auto"/>
        <w:rPr>
          <w:szCs w:val="21"/>
        </w:rPr>
      </w:pPr>
      <w:r>
        <w:fldChar w:fldCharType="begin"/>
      </w:r>
      <w:r>
        <w:instrText xml:space="preserve"> HYPERLINK \l "_Toc13949" </w:instrText>
      </w:r>
      <w:r>
        <w:fldChar w:fldCharType="separate"/>
      </w:r>
      <w:r>
        <w:rPr>
          <w:rFonts w:hint="eastAsia" w:ascii="Times New Roman" w:hAnsi="Times New Roman" w:eastAsia="宋体" w:cs="Times New Roman"/>
          <w:szCs w:val="21"/>
        </w:rPr>
        <w:t>《汉语修辞学》课程教学大纲</w:t>
      </w:r>
      <w:r>
        <w:rPr>
          <w:szCs w:val="21"/>
        </w:rPr>
        <w:tab/>
      </w:r>
      <w:r>
        <w:rPr>
          <w:szCs w:val="21"/>
        </w:rPr>
        <w:fldChar w:fldCharType="begin"/>
      </w:r>
      <w:r>
        <w:rPr>
          <w:szCs w:val="21"/>
        </w:rPr>
        <w:instrText xml:space="preserve"> PAGEREF _Toc13949 \h </w:instrText>
      </w:r>
      <w:r>
        <w:rPr>
          <w:szCs w:val="21"/>
        </w:rPr>
        <w:fldChar w:fldCharType="separate"/>
      </w:r>
      <w:r>
        <w:rPr>
          <w:szCs w:val="21"/>
        </w:rPr>
        <w:t>400</w:t>
      </w:r>
      <w:r>
        <w:rPr>
          <w:szCs w:val="21"/>
        </w:rPr>
        <w:fldChar w:fldCharType="end"/>
      </w:r>
      <w:r>
        <w:rPr>
          <w:szCs w:val="21"/>
        </w:rPr>
        <w:fldChar w:fldCharType="end"/>
      </w:r>
    </w:p>
    <w:p w14:paraId="1357364B">
      <w:pPr>
        <w:pStyle w:val="9"/>
        <w:tabs>
          <w:tab w:val="right" w:leader="dot" w:pos="8306"/>
        </w:tabs>
        <w:spacing w:line="348" w:lineRule="auto"/>
        <w:rPr>
          <w:szCs w:val="21"/>
        </w:rPr>
      </w:pPr>
      <w:r>
        <w:fldChar w:fldCharType="begin"/>
      </w:r>
      <w:r>
        <w:instrText xml:space="preserve"> HYPERLINK \l "_Toc10142" </w:instrText>
      </w:r>
      <w:r>
        <w:fldChar w:fldCharType="separate"/>
      </w:r>
      <w:r>
        <w:rPr>
          <w:rFonts w:hint="eastAsia" w:ascii="Times New Roman" w:hAnsi="Times New Roman" w:eastAsia="宋体" w:cs="Times New Roman"/>
          <w:szCs w:val="21"/>
        </w:rPr>
        <w:t>《逻辑学》课程教学大纲</w:t>
      </w:r>
      <w:r>
        <w:rPr>
          <w:szCs w:val="21"/>
        </w:rPr>
        <w:tab/>
      </w:r>
      <w:r>
        <w:rPr>
          <w:szCs w:val="21"/>
        </w:rPr>
        <w:fldChar w:fldCharType="begin"/>
      </w:r>
      <w:r>
        <w:rPr>
          <w:szCs w:val="21"/>
        </w:rPr>
        <w:instrText xml:space="preserve"> PAGEREF _Toc10142 \h </w:instrText>
      </w:r>
      <w:r>
        <w:rPr>
          <w:szCs w:val="21"/>
        </w:rPr>
        <w:fldChar w:fldCharType="separate"/>
      </w:r>
      <w:r>
        <w:rPr>
          <w:szCs w:val="21"/>
        </w:rPr>
        <w:t>406</w:t>
      </w:r>
      <w:r>
        <w:rPr>
          <w:szCs w:val="21"/>
        </w:rPr>
        <w:fldChar w:fldCharType="end"/>
      </w:r>
      <w:r>
        <w:rPr>
          <w:szCs w:val="21"/>
        </w:rPr>
        <w:fldChar w:fldCharType="end"/>
      </w:r>
    </w:p>
    <w:p w14:paraId="13CA9C10">
      <w:pPr>
        <w:pStyle w:val="9"/>
        <w:tabs>
          <w:tab w:val="right" w:leader="dot" w:pos="8306"/>
        </w:tabs>
        <w:spacing w:line="348" w:lineRule="auto"/>
        <w:rPr>
          <w:szCs w:val="21"/>
        </w:rPr>
      </w:pPr>
      <w:r>
        <w:fldChar w:fldCharType="begin"/>
      </w:r>
      <w:r>
        <w:instrText xml:space="preserve"> HYPERLINK \l "_Toc21180" </w:instrText>
      </w:r>
      <w:r>
        <w:fldChar w:fldCharType="separate"/>
      </w:r>
      <w:r>
        <w:rPr>
          <w:rFonts w:hint="eastAsia" w:ascii="Times New Roman" w:hAnsi="Times New Roman" w:eastAsia="宋体" w:cs="Times New Roman"/>
          <w:szCs w:val="21"/>
        </w:rPr>
        <w:t>《中国文化概论》课程教学大纲</w:t>
      </w:r>
      <w:r>
        <w:rPr>
          <w:szCs w:val="21"/>
        </w:rPr>
        <w:tab/>
      </w:r>
      <w:r>
        <w:rPr>
          <w:szCs w:val="21"/>
        </w:rPr>
        <w:fldChar w:fldCharType="begin"/>
      </w:r>
      <w:r>
        <w:rPr>
          <w:szCs w:val="21"/>
        </w:rPr>
        <w:instrText xml:space="preserve"> PAGEREF _Toc21180 \h </w:instrText>
      </w:r>
      <w:r>
        <w:rPr>
          <w:szCs w:val="21"/>
        </w:rPr>
        <w:fldChar w:fldCharType="separate"/>
      </w:r>
      <w:r>
        <w:rPr>
          <w:szCs w:val="21"/>
        </w:rPr>
        <w:t>412</w:t>
      </w:r>
      <w:r>
        <w:rPr>
          <w:szCs w:val="21"/>
        </w:rPr>
        <w:fldChar w:fldCharType="end"/>
      </w:r>
      <w:r>
        <w:rPr>
          <w:szCs w:val="21"/>
        </w:rPr>
        <w:fldChar w:fldCharType="end"/>
      </w:r>
    </w:p>
    <w:p w14:paraId="5ED1C9DB">
      <w:pPr>
        <w:pStyle w:val="9"/>
        <w:tabs>
          <w:tab w:val="right" w:leader="dot" w:pos="8306"/>
        </w:tabs>
        <w:spacing w:line="348" w:lineRule="auto"/>
        <w:rPr>
          <w:szCs w:val="21"/>
        </w:rPr>
      </w:pPr>
      <w:r>
        <w:fldChar w:fldCharType="begin"/>
      </w:r>
      <w:r>
        <w:instrText xml:space="preserve"> HYPERLINK \l "_Toc20685" </w:instrText>
      </w:r>
      <w:r>
        <w:fldChar w:fldCharType="separate"/>
      </w:r>
      <w:r>
        <w:rPr>
          <w:rFonts w:hint="eastAsia" w:ascii="Times New Roman" w:hAnsi="Times New Roman" w:eastAsia="宋体" w:cs="Times New Roman"/>
          <w:szCs w:val="21"/>
        </w:rPr>
        <w:t>《科学概论》课程教学大纲</w:t>
      </w:r>
      <w:r>
        <w:rPr>
          <w:szCs w:val="21"/>
        </w:rPr>
        <w:tab/>
      </w:r>
      <w:r>
        <w:rPr>
          <w:szCs w:val="21"/>
        </w:rPr>
        <w:fldChar w:fldCharType="begin"/>
      </w:r>
      <w:r>
        <w:rPr>
          <w:szCs w:val="21"/>
        </w:rPr>
        <w:instrText xml:space="preserve"> PAGEREF _Toc20685 \h </w:instrText>
      </w:r>
      <w:r>
        <w:rPr>
          <w:szCs w:val="21"/>
        </w:rPr>
        <w:fldChar w:fldCharType="separate"/>
      </w:r>
      <w:r>
        <w:rPr>
          <w:szCs w:val="21"/>
        </w:rPr>
        <w:t>420</w:t>
      </w:r>
      <w:r>
        <w:rPr>
          <w:szCs w:val="21"/>
        </w:rPr>
        <w:fldChar w:fldCharType="end"/>
      </w:r>
      <w:r>
        <w:rPr>
          <w:szCs w:val="21"/>
        </w:rPr>
        <w:fldChar w:fldCharType="end"/>
      </w:r>
    </w:p>
    <w:p w14:paraId="3139D1AB">
      <w:pPr>
        <w:pStyle w:val="9"/>
        <w:tabs>
          <w:tab w:val="right" w:leader="dot" w:pos="8306"/>
        </w:tabs>
        <w:spacing w:line="348" w:lineRule="auto"/>
        <w:rPr>
          <w:szCs w:val="21"/>
        </w:rPr>
      </w:pPr>
      <w:r>
        <w:fldChar w:fldCharType="begin"/>
      </w:r>
      <w:r>
        <w:instrText xml:space="preserve"> HYPERLINK \l "_Toc10125" </w:instrText>
      </w:r>
      <w:r>
        <w:fldChar w:fldCharType="separate"/>
      </w:r>
      <w:r>
        <w:rPr>
          <w:rFonts w:hint="eastAsia" w:ascii="Times New Roman" w:hAnsi="Times New Roman" w:eastAsia="宋体" w:cs="Times New Roman"/>
          <w:szCs w:val="21"/>
        </w:rPr>
        <w:t>《STEAM课程设计》课程教学大纲</w:t>
      </w:r>
      <w:r>
        <w:rPr>
          <w:szCs w:val="21"/>
        </w:rPr>
        <w:tab/>
      </w:r>
      <w:r>
        <w:rPr>
          <w:szCs w:val="21"/>
        </w:rPr>
        <w:fldChar w:fldCharType="begin"/>
      </w:r>
      <w:r>
        <w:rPr>
          <w:szCs w:val="21"/>
        </w:rPr>
        <w:instrText xml:space="preserve"> PAGEREF _Toc10125 \h </w:instrText>
      </w:r>
      <w:r>
        <w:rPr>
          <w:szCs w:val="21"/>
        </w:rPr>
        <w:fldChar w:fldCharType="separate"/>
      </w:r>
      <w:r>
        <w:rPr>
          <w:szCs w:val="21"/>
        </w:rPr>
        <w:t>426</w:t>
      </w:r>
      <w:r>
        <w:rPr>
          <w:szCs w:val="21"/>
        </w:rPr>
        <w:fldChar w:fldCharType="end"/>
      </w:r>
      <w:r>
        <w:rPr>
          <w:szCs w:val="21"/>
        </w:rPr>
        <w:fldChar w:fldCharType="end"/>
      </w:r>
    </w:p>
    <w:p w14:paraId="122D514F">
      <w:pPr>
        <w:pStyle w:val="9"/>
        <w:tabs>
          <w:tab w:val="right" w:leader="dot" w:pos="8306"/>
        </w:tabs>
        <w:spacing w:line="348" w:lineRule="auto"/>
        <w:rPr>
          <w:szCs w:val="21"/>
        </w:rPr>
      </w:pPr>
      <w:r>
        <w:fldChar w:fldCharType="begin"/>
      </w:r>
      <w:r>
        <w:instrText xml:space="preserve"> HYPERLINK \l "_Toc742" </w:instrText>
      </w:r>
      <w:r>
        <w:fldChar w:fldCharType="separate"/>
      </w:r>
      <w:r>
        <w:rPr>
          <w:rFonts w:hint="eastAsia" w:ascii="Times New Roman" w:hAnsi="Times New Roman" w:eastAsia="宋体" w:cs="Times New Roman"/>
          <w:szCs w:val="21"/>
        </w:rPr>
        <w:t>《综合实践活动设计》课程教学大纲</w:t>
      </w:r>
      <w:r>
        <w:rPr>
          <w:szCs w:val="21"/>
        </w:rPr>
        <w:tab/>
      </w:r>
      <w:r>
        <w:rPr>
          <w:szCs w:val="21"/>
        </w:rPr>
        <w:fldChar w:fldCharType="begin"/>
      </w:r>
      <w:r>
        <w:rPr>
          <w:szCs w:val="21"/>
        </w:rPr>
        <w:instrText xml:space="preserve"> PAGEREF _Toc742 \h </w:instrText>
      </w:r>
      <w:r>
        <w:rPr>
          <w:szCs w:val="21"/>
        </w:rPr>
        <w:fldChar w:fldCharType="separate"/>
      </w:r>
      <w:r>
        <w:rPr>
          <w:szCs w:val="21"/>
        </w:rPr>
        <w:t>431</w:t>
      </w:r>
      <w:r>
        <w:rPr>
          <w:szCs w:val="21"/>
        </w:rPr>
        <w:fldChar w:fldCharType="end"/>
      </w:r>
      <w:r>
        <w:rPr>
          <w:szCs w:val="21"/>
        </w:rPr>
        <w:fldChar w:fldCharType="end"/>
      </w:r>
    </w:p>
    <w:p w14:paraId="6F950269">
      <w:pPr>
        <w:pStyle w:val="9"/>
        <w:tabs>
          <w:tab w:val="right" w:leader="dot" w:pos="8306"/>
        </w:tabs>
        <w:spacing w:line="348" w:lineRule="auto"/>
        <w:rPr>
          <w:szCs w:val="21"/>
        </w:rPr>
      </w:pPr>
      <w:r>
        <w:fldChar w:fldCharType="begin"/>
      </w:r>
      <w:r>
        <w:instrText xml:space="preserve"> HYPERLINK \l "_Toc6844" </w:instrText>
      </w:r>
      <w:r>
        <w:fldChar w:fldCharType="separate"/>
      </w:r>
      <w:r>
        <w:rPr>
          <w:rFonts w:hint="eastAsia" w:ascii="Times New Roman" w:hAnsi="Times New Roman" w:eastAsia="宋体" w:cs="Times New Roman"/>
          <w:szCs w:val="21"/>
        </w:rPr>
        <w:t>《影视文学》课程教学大纲</w:t>
      </w:r>
      <w:r>
        <w:rPr>
          <w:szCs w:val="21"/>
        </w:rPr>
        <w:tab/>
      </w:r>
      <w:r>
        <w:rPr>
          <w:szCs w:val="21"/>
        </w:rPr>
        <w:fldChar w:fldCharType="begin"/>
      </w:r>
      <w:r>
        <w:rPr>
          <w:szCs w:val="21"/>
        </w:rPr>
        <w:instrText xml:space="preserve"> PAGEREF _Toc6844 \h </w:instrText>
      </w:r>
      <w:r>
        <w:rPr>
          <w:szCs w:val="21"/>
        </w:rPr>
        <w:fldChar w:fldCharType="separate"/>
      </w:r>
      <w:r>
        <w:rPr>
          <w:szCs w:val="21"/>
        </w:rPr>
        <w:t>438</w:t>
      </w:r>
      <w:r>
        <w:rPr>
          <w:szCs w:val="21"/>
        </w:rPr>
        <w:fldChar w:fldCharType="end"/>
      </w:r>
      <w:r>
        <w:rPr>
          <w:szCs w:val="21"/>
        </w:rPr>
        <w:fldChar w:fldCharType="end"/>
      </w:r>
    </w:p>
    <w:p w14:paraId="428A779F">
      <w:pPr>
        <w:pStyle w:val="9"/>
        <w:tabs>
          <w:tab w:val="right" w:leader="dot" w:pos="8306"/>
        </w:tabs>
        <w:spacing w:line="348" w:lineRule="auto"/>
        <w:rPr>
          <w:szCs w:val="21"/>
        </w:rPr>
      </w:pPr>
      <w:r>
        <w:fldChar w:fldCharType="begin"/>
      </w:r>
      <w:r>
        <w:instrText xml:space="preserve"> HYPERLINK \l "_Toc15242" </w:instrText>
      </w:r>
      <w:r>
        <w:fldChar w:fldCharType="separate"/>
      </w:r>
      <w:r>
        <w:rPr>
          <w:rFonts w:hint="eastAsia" w:ascii="Times New Roman" w:hAnsi="Times New Roman" w:eastAsia="宋体" w:cs="Times New Roman"/>
          <w:szCs w:val="21"/>
        </w:rPr>
        <w:t>《美学基础》课程教学大纲</w:t>
      </w:r>
      <w:r>
        <w:rPr>
          <w:szCs w:val="21"/>
        </w:rPr>
        <w:tab/>
      </w:r>
      <w:r>
        <w:rPr>
          <w:szCs w:val="21"/>
        </w:rPr>
        <w:fldChar w:fldCharType="begin"/>
      </w:r>
      <w:r>
        <w:rPr>
          <w:szCs w:val="21"/>
        </w:rPr>
        <w:instrText xml:space="preserve"> PAGEREF _Toc15242 \h </w:instrText>
      </w:r>
      <w:r>
        <w:rPr>
          <w:szCs w:val="21"/>
        </w:rPr>
        <w:fldChar w:fldCharType="separate"/>
      </w:r>
      <w:r>
        <w:rPr>
          <w:szCs w:val="21"/>
        </w:rPr>
        <w:t>443</w:t>
      </w:r>
      <w:r>
        <w:rPr>
          <w:szCs w:val="21"/>
        </w:rPr>
        <w:fldChar w:fldCharType="end"/>
      </w:r>
      <w:r>
        <w:rPr>
          <w:szCs w:val="21"/>
        </w:rPr>
        <w:fldChar w:fldCharType="end"/>
      </w:r>
    </w:p>
    <w:p w14:paraId="551BE3CE">
      <w:pPr>
        <w:pStyle w:val="9"/>
        <w:tabs>
          <w:tab w:val="right" w:leader="dot" w:pos="8306"/>
        </w:tabs>
        <w:spacing w:line="348" w:lineRule="auto"/>
        <w:rPr>
          <w:szCs w:val="21"/>
        </w:rPr>
      </w:pPr>
      <w:r>
        <w:fldChar w:fldCharType="begin"/>
      </w:r>
      <w:r>
        <w:instrText xml:space="preserve"> HYPERLINK \l "_Toc11878" </w:instrText>
      </w:r>
      <w:r>
        <w:fldChar w:fldCharType="separate"/>
      </w:r>
      <w:r>
        <w:rPr>
          <w:rFonts w:hint="eastAsia" w:ascii="Times New Roman" w:hAnsi="Times New Roman" w:eastAsia="宋体" w:cs="Times New Roman"/>
          <w:szCs w:val="21"/>
        </w:rPr>
        <w:t>《中国古代文学名家选讲》课程教学大纲</w:t>
      </w:r>
      <w:r>
        <w:rPr>
          <w:szCs w:val="21"/>
        </w:rPr>
        <w:tab/>
      </w:r>
      <w:r>
        <w:rPr>
          <w:szCs w:val="21"/>
        </w:rPr>
        <w:fldChar w:fldCharType="begin"/>
      </w:r>
      <w:r>
        <w:rPr>
          <w:szCs w:val="21"/>
        </w:rPr>
        <w:instrText xml:space="preserve"> PAGEREF _Toc11878 \h </w:instrText>
      </w:r>
      <w:r>
        <w:rPr>
          <w:szCs w:val="21"/>
        </w:rPr>
        <w:fldChar w:fldCharType="separate"/>
      </w:r>
      <w:r>
        <w:rPr>
          <w:szCs w:val="21"/>
        </w:rPr>
        <w:t>449</w:t>
      </w:r>
      <w:r>
        <w:rPr>
          <w:szCs w:val="21"/>
        </w:rPr>
        <w:fldChar w:fldCharType="end"/>
      </w:r>
      <w:r>
        <w:rPr>
          <w:szCs w:val="21"/>
        </w:rPr>
        <w:fldChar w:fldCharType="end"/>
      </w:r>
    </w:p>
    <w:p w14:paraId="29FF35E5">
      <w:pPr>
        <w:pStyle w:val="9"/>
        <w:tabs>
          <w:tab w:val="right" w:leader="dot" w:pos="8306"/>
        </w:tabs>
        <w:spacing w:line="348" w:lineRule="auto"/>
        <w:rPr>
          <w:szCs w:val="21"/>
        </w:rPr>
      </w:pPr>
      <w:r>
        <w:fldChar w:fldCharType="begin"/>
      </w:r>
      <w:r>
        <w:instrText xml:space="preserve"> HYPERLINK \l "_Toc27501" </w:instrText>
      </w:r>
      <w:r>
        <w:fldChar w:fldCharType="separate"/>
      </w:r>
      <w:r>
        <w:rPr>
          <w:rFonts w:hint="eastAsia" w:ascii="Times New Roman" w:hAnsi="Times New Roman" w:eastAsia="宋体" w:cs="Times New Roman"/>
          <w:szCs w:val="21"/>
        </w:rPr>
        <w:t>《中国现当代文学名家选讲》课程教学大纲</w:t>
      </w:r>
      <w:r>
        <w:rPr>
          <w:szCs w:val="21"/>
        </w:rPr>
        <w:tab/>
      </w:r>
      <w:r>
        <w:rPr>
          <w:szCs w:val="21"/>
        </w:rPr>
        <w:fldChar w:fldCharType="begin"/>
      </w:r>
      <w:r>
        <w:rPr>
          <w:szCs w:val="21"/>
        </w:rPr>
        <w:instrText xml:space="preserve"> PAGEREF _Toc27501 \h </w:instrText>
      </w:r>
      <w:r>
        <w:rPr>
          <w:szCs w:val="21"/>
        </w:rPr>
        <w:fldChar w:fldCharType="separate"/>
      </w:r>
      <w:r>
        <w:rPr>
          <w:szCs w:val="21"/>
        </w:rPr>
        <w:t>456</w:t>
      </w:r>
      <w:r>
        <w:rPr>
          <w:szCs w:val="21"/>
        </w:rPr>
        <w:fldChar w:fldCharType="end"/>
      </w:r>
      <w:r>
        <w:rPr>
          <w:szCs w:val="21"/>
        </w:rPr>
        <w:fldChar w:fldCharType="end"/>
      </w:r>
    </w:p>
    <w:p w14:paraId="3EC366C9">
      <w:pPr>
        <w:pStyle w:val="9"/>
        <w:tabs>
          <w:tab w:val="right" w:leader="dot" w:pos="8306"/>
        </w:tabs>
        <w:spacing w:line="348" w:lineRule="auto"/>
        <w:rPr>
          <w:szCs w:val="21"/>
        </w:rPr>
      </w:pPr>
      <w:r>
        <w:fldChar w:fldCharType="begin"/>
      </w:r>
      <w:r>
        <w:instrText xml:space="preserve"> HYPERLINK \l "_Toc29492" </w:instrText>
      </w:r>
      <w:r>
        <w:fldChar w:fldCharType="separate"/>
      </w:r>
      <w:r>
        <w:rPr>
          <w:rFonts w:hint="eastAsia" w:ascii="Times New Roman" w:hAnsi="Times New Roman" w:eastAsia="宋体" w:cs="Times New Roman"/>
          <w:szCs w:val="21"/>
        </w:rPr>
        <w:t>《小学道德与法治教学案例研究》课程教学大纲</w:t>
      </w:r>
      <w:r>
        <w:rPr>
          <w:szCs w:val="21"/>
        </w:rPr>
        <w:tab/>
      </w:r>
      <w:r>
        <w:rPr>
          <w:szCs w:val="21"/>
        </w:rPr>
        <w:fldChar w:fldCharType="begin"/>
      </w:r>
      <w:r>
        <w:rPr>
          <w:szCs w:val="21"/>
        </w:rPr>
        <w:instrText xml:space="preserve"> PAGEREF _Toc29492 \h </w:instrText>
      </w:r>
      <w:r>
        <w:rPr>
          <w:szCs w:val="21"/>
        </w:rPr>
        <w:fldChar w:fldCharType="separate"/>
      </w:r>
      <w:r>
        <w:rPr>
          <w:szCs w:val="21"/>
        </w:rPr>
        <w:t>463</w:t>
      </w:r>
      <w:r>
        <w:rPr>
          <w:szCs w:val="21"/>
        </w:rPr>
        <w:fldChar w:fldCharType="end"/>
      </w:r>
      <w:r>
        <w:rPr>
          <w:szCs w:val="21"/>
        </w:rPr>
        <w:fldChar w:fldCharType="end"/>
      </w:r>
    </w:p>
    <w:p w14:paraId="694B09A1">
      <w:pPr>
        <w:pStyle w:val="9"/>
        <w:tabs>
          <w:tab w:val="right" w:leader="dot" w:pos="8306"/>
        </w:tabs>
        <w:spacing w:line="348" w:lineRule="auto"/>
        <w:rPr>
          <w:szCs w:val="21"/>
        </w:rPr>
      </w:pPr>
      <w:r>
        <w:fldChar w:fldCharType="begin"/>
      </w:r>
      <w:r>
        <w:instrText xml:space="preserve"> HYPERLINK \l "_Toc24635" </w:instrText>
      </w:r>
      <w:r>
        <w:fldChar w:fldCharType="separate"/>
      </w:r>
      <w:r>
        <w:rPr>
          <w:rFonts w:hint="eastAsia" w:ascii="Times New Roman" w:hAnsi="Times New Roman" w:eastAsia="宋体" w:cs="Times New Roman"/>
          <w:szCs w:val="21"/>
        </w:rPr>
        <w:t>《小学语文教学案例研究》课程教学大纲</w:t>
      </w:r>
      <w:r>
        <w:rPr>
          <w:szCs w:val="21"/>
        </w:rPr>
        <w:tab/>
      </w:r>
      <w:r>
        <w:rPr>
          <w:szCs w:val="21"/>
        </w:rPr>
        <w:fldChar w:fldCharType="begin"/>
      </w:r>
      <w:r>
        <w:rPr>
          <w:szCs w:val="21"/>
        </w:rPr>
        <w:instrText xml:space="preserve"> PAGEREF _Toc24635 \h </w:instrText>
      </w:r>
      <w:r>
        <w:rPr>
          <w:szCs w:val="21"/>
        </w:rPr>
        <w:fldChar w:fldCharType="separate"/>
      </w:r>
      <w:r>
        <w:rPr>
          <w:szCs w:val="21"/>
        </w:rPr>
        <w:t>469</w:t>
      </w:r>
      <w:r>
        <w:rPr>
          <w:szCs w:val="21"/>
        </w:rPr>
        <w:fldChar w:fldCharType="end"/>
      </w:r>
      <w:r>
        <w:rPr>
          <w:szCs w:val="21"/>
        </w:rPr>
        <w:fldChar w:fldCharType="end"/>
      </w:r>
    </w:p>
    <w:p w14:paraId="7EBD52CE">
      <w:pPr>
        <w:pStyle w:val="9"/>
        <w:tabs>
          <w:tab w:val="right" w:leader="dot" w:pos="8306"/>
        </w:tabs>
        <w:spacing w:line="348" w:lineRule="auto"/>
        <w:rPr>
          <w:szCs w:val="21"/>
        </w:rPr>
      </w:pPr>
      <w:r>
        <w:fldChar w:fldCharType="begin"/>
      </w:r>
      <w:r>
        <w:instrText xml:space="preserve"> HYPERLINK \l "_Toc2366" </w:instrText>
      </w:r>
      <w:r>
        <w:fldChar w:fldCharType="separate"/>
      </w:r>
      <w:r>
        <w:rPr>
          <w:rFonts w:hint="eastAsia" w:ascii="Times New Roman" w:hAnsi="Times New Roman" w:eastAsia="宋体" w:cs="Times New Roman"/>
          <w:szCs w:val="21"/>
        </w:rPr>
        <w:t>《认知实习》课程教学大纲</w:t>
      </w:r>
      <w:r>
        <w:rPr>
          <w:szCs w:val="21"/>
        </w:rPr>
        <w:tab/>
      </w:r>
      <w:r>
        <w:rPr>
          <w:szCs w:val="21"/>
        </w:rPr>
        <w:fldChar w:fldCharType="begin"/>
      </w:r>
      <w:r>
        <w:rPr>
          <w:szCs w:val="21"/>
        </w:rPr>
        <w:instrText xml:space="preserve"> PAGEREF _Toc2366 \h </w:instrText>
      </w:r>
      <w:r>
        <w:rPr>
          <w:szCs w:val="21"/>
        </w:rPr>
        <w:fldChar w:fldCharType="separate"/>
      </w:r>
      <w:r>
        <w:rPr>
          <w:szCs w:val="21"/>
        </w:rPr>
        <w:t>477</w:t>
      </w:r>
      <w:r>
        <w:rPr>
          <w:szCs w:val="21"/>
        </w:rPr>
        <w:fldChar w:fldCharType="end"/>
      </w:r>
      <w:r>
        <w:rPr>
          <w:szCs w:val="21"/>
        </w:rPr>
        <w:fldChar w:fldCharType="end"/>
      </w:r>
    </w:p>
    <w:p w14:paraId="401EA990">
      <w:pPr>
        <w:pStyle w:val="9"/>
        <w:tabs>
          <w:tab w:val="right" w:leader="dot" w:pos="8306"/>
        </w:tabs>
        <w:spacing w:line="348" w:lineRule="auto"/>
        <w:rPr>
          <w:szCs w:val="21"/>
        </w:rPr>
      </w:pPr>
      <w:r>
        <w:fldChar w:fldCharType="begin"/>
      </w:r>
      <w:r>
        <w:instrText xml:space="preserve"> HYPERLINK \l "_Toc1633" </w:instrText>
      </w:r>
      <w:r>
        <w:fldChar w:fldCharType="separate"/>
      </w:r>
      <w:r>
        <w:rPr>
          <w:rFonts w:hint="eastAsia" w:ascii="Times New Roman" w:hAnsi="Times New Roman" w:eastAsia="宋体" w:cs="Times New Roman"/>
          <w:szCs w:val="21"/>
        </w:rPr>
        <w:t>《教育见习I》课程教学大纲</w:t>
      </w:r>
      <w:r>
        <w:rPr>
          <w:szCs w:val="21"/>
        </w:rPr>
        <w:tab/>
      </w:r>
      <w:r>
        <w:rPr>
          <w:szCs w:val="21"/>
        </w:rPr>
        <w:fldChar w:fldCharType="begin"/>
      </w:r>
      <w:r>
        <w:rPr>
          <w:szCs w:val="21"/>
        </w:rPr>
        <w:instrText xml:space="preserve"> PAGEREF _Toc1633 \h </w:instrText>
      </w:r>
      <w:r>
        <w:rPr>
          <w:szCs w:val="21"/>
        </w:rPr>
        <w:fldChar w:fldCharType="separate"/>
      </w:r>
      <w:r>
        <w:rPr>
          <w:szCs w:val="21"/>
        </w:rPr>
        <w:t>482</w:t>
      </w:r>
      <w:r>
        <w:rPr>
          <w:szCs w:val="21"/>
        </w:rPr>
        <w:fldChar w:fldCharType="end"/>
      </w:r>
      <w:r>
        <w:rPr>
          <w:szCs w:val="21"/>
        </w:rPr>
        <w:fldChar w:fldCharType="end"/>
      </w:r>
    </w:p>
    <w:p w14:paraId="735BD58C">
      <w:pPr>
        <w:pStyle w:val="9"/>
        <w:tabs>
          <w:tab w:val="right" w:leader="dot" w:pos="8306"/>
        </w:tabs>
        <w:spacing w:line="348" w:lineRule="auto"/>
        <w:rPr>
          <w:szCs w:val="21"/>
        </w:rPr>
      </w:pPr>
      <w:r>
        <w:fldChar w:fldCharType="begin"/>
      </w:r>
      <w:r>
        <w:instrText xml:space="preserve"> HYPERLINK \l "_Toc3370" </w:instrText>
      </w:r>
      <w:r>
        <w:fldChar w:fldCharType="separate"/>
      </w:r>
      <w:r>
        <w:rPr>
          <w:rFonts w:hint="eastAsia" w:ascii="Times New Roman" w:hAnsi="Times New Roman" w:eastAsia="宋体" w:cs="Times New Roman"/>
          <w:szCs w:val="21"/>
        </w:rPr>
        <w:t>《教育见习Ⅱ》教学大纲</w:t>
      </w:r>
      <w:r>
        <w:rPr>
          <w:szCs w:val="21"/>
        </w:rPr>
        <w:tab/>
      </w:r>
      <w:r>
        <w:rPr>
          <w:szCs w:val="21"/>
        </w:rPr>
        <w:fldChar w:fldCharType="begin"/>
      </w:r>
      <w:r>
        <w:rPr>
          <w:szCs w:val="21"/>
        </w:rPr>
        <w:instrText xml:space="preserve"> PAGEREF _Toc3370 \h </w:instrText>
      </w:r>
      <w:r>
        <w:rPr>
          <w:szCs w:val="21"/>
        </w:rPr>
        <w:fldChar w:fldCharType="separate"/>
      </w:r>
      <w:r>
        <w:rPr>
          <w:szCs w:val="21"/>
        </w:rPr>
        <w:t>487</w:t>
      </w:r>
      <w:r>
        <w:rPr>
          <w:szCs w:val="21"/>
        </w:rPr>
        <w:fldChar w:fldCharType="end"/>
      </w:r>
      <w:r>
        <w:rPr>
          <w:szCs w:val="21"/>
        </w:rPr>
        <w:fldChar w:fldCharType="end"/>
      </w:r>
    </w:p>
    <w:p w14:paraId="251C4CB4">
      <w:pPr>
        <w:pStyle w:val="9"/>
        <w:tabs>
          <w:tab w:val="right" w:leader="dot" w:pos="8306"/>
        </w:tabs>
        <w:spacing w:line="348" w:lineRule="auto"/>
        <w:rPr>
          <w:szCs w:val="21"/>
        </w:rPr>
      </w:pPr>
      <w:r>
        <w:fldChar w:fldCharType="begin"/>
      </w:r>
      <w:r>
        <w:instrText xml:space="preserve"> HYPERLINK \l "_Toc2600" </w:instrText>
      </w:r>
      <w:r>
        <w:fldChar w:fldCharType="separate"/>
      </w:r>
      <w:r>
        <w:rPr>
          <w:rFonts w:hint="eastAsia" w:ascii="Times New Roman" w:hAnsi="Times New Roman" w:eastAsia="宋体" w:cs="Times New Roman"/>
          <w:szCs w:val="21"/>
        </w:rPr>
        <w:t>《教学实训》课程教学大纲</w:t>
      </w:r>
      <w:r>
        <w:rPr>
          <w:szCs w:val="21"/>
        </w:rPr>
        <w:tab/>
      </w:r>
      <w:r>
        <w:rPr>
          <w:szCs w:val="21"/>
        </w:rPr>
        <w:fldChar w:fldCharType="begin"/>
      </w:r>
      <w:r>
        <w:rPr>
          <w:szCs w:val="21"/>
        </w:rPr>
        <w:instrText xml:space="preserve"> PAGEREF _Toc2600 \h </w:instrText>
      </w:r>
      <w:r>
        <w:rPr>
          <w:szCs w:val="21"/>
        </w:rPr>
        <w:fldChar w:fldCharType="separate"/>
      </w:r>
      <w:r>
        <w:rPr>
          <w:szCs w:val="21"/>
        </w:rPr>
        <w:t>492</w:t>
      </w:r>
      <w:r>
        <w:rPr>
          <w:szCs w:val="21"/>
        </w:rPr>
        <w:fldChar w:fldCharType="end"/>
      </w:r>
      <w:r>
        <w:rPr>
          <w:szCs w:val="21"/>
        </w:rPr>
        <w:fldChar w:fldCharType="end"/>
      </w:r>
    </w:p>
    <w:p w14:paraId="49B75E25">
      <w:pPr>
        <w:pStyle w:val="9"/>
        <w:tabs>
          <w:tab w:val="right" w:leader="dot" w:pos="8306"/>
        </w:tabs>
        <w:spacing w:line="348" w:lineRule="auto"/>
        <w:rPr>
          <w:szCs w:val="21"/>
        </w:rPr>
      </w:pPr>
      <w:r>
        <w:fldChar w:fldCharType="begin"/>
      </w:r>
      <w:r>
        <w:instrText xml:space="preserve"> HYPERLINK \l "_Toc31570" </w:instrText>
      </w:r>
      <w:r>
        <w:fldChar w:fldCharType="separate"/>
      </w:r>
      <w:r>
        <w:rPr>
          <w:rFonts w:hint="eastAsia" w:ascii="Times New Roman" w:hAnsi="Times New Roman" w:eastAsia="宋体" w:cs="Times New Roman"/>
          <w:szCs w:val="21"/>
        </w:rPr>
        <w:t>《教育实习I》课程教学大纲</w:t>
      </w:r>
      <w:r>
        <w:rPr>
          <w:szCs w:val="21"/>
        </w:rPr>
        <w:tab/>
      </w:r>
      <w:r>
        <w:rPr>
          <w:szCs w:val="21"/>
        </w:rPr>
        <w:fldChar w:fldCharType="begin"/>
      </w:r>
      <w:r>
        <w:rPr>
          <w:szCs w:val="21"/>
        </w:rPr>
        <w:instrText xml:space="preserve"> PAGEREF _Toc31570 \h </w:instrText>
      </w:r>
      <w:r>
        <w:rPr>
          <w:szCs w:val="21"/>
        </w:rPr>
        <w:fldChar w:fldCharType="separate"/>
      </w:r>
      <w:r>
        <w:rPr>
          <w:szCs w:val="21"/>
        </w:rPr>
        <w:t>496</w:t>
      </w:r>
      <w:r>
        <w:rPr>
          <w:szCs w:val="21"/>
        </w:rPr>
        <w:fldChar w:fldCharType="end"/>
      </w:r>
      <w:r>
        <w:rPr>
          <w:szCs w:val="21"/>
        </w:rPr>
        <w:fldChar w:fldCharType="end"/>
      </w:r>
    </w:p>
    <w:p w14:paraId="1AA39998">
      <w:pPr>
        <w:pStyle w:val="9"/>
        <w:tabs>
          <w:tab w:val="right" w:leader="dot" w:pos="8306"/>
        </w:tabs>
        <w:spacing w:line="348" w:lineRule="auto"/>
        <w:rPr>
          <w:szCs w:val="21"/>
        </w:rPr>
      </w:pPr>
      <w:r>
        <w:fldChar w:fldCharType="begin"/>
      </w:r>
      <w:r>
        <w:instrText xml:space="preserve"> HYPERLINK \l "_Toc23256" </w:instrText>
      </w:r>
      <w:r>
        <w:fldChar w:fldCharType="separate"/>
      </w:r>
      <w:r>
        <w:rPr>
          <w:rFonts w:hint="eastAsia" w:ascii="Times New Roman" w:hAnsi="Times New Roman" w:eastAsia="宋体" w:cs="Times New Roman"/>
          <w:szCs w:val="21"/>
        </w:rPr>
        <w:t>《教育研习》课程教学大纲</w:t>
      </w:r>
      <w:r>
        <w:rPr>
          <w:szCs w:val="21"/>
        </w:rPr>
        <w:tab/>
      </w:r>
      <w:r>
        <w:rPr>
          <w:szCs w:val="21"/>
        </w:rPr>
        <w:fldChar w:fldCharType="begin"/>
      </w:r>
      <w:r>
        <w:rPr>
          <w:szCs w:val="21"/>
        </w:rPr>
        <w:instrText xml:space="preserve"> PAGEREF _Toc23256 \h </w:instrText>
      </w:r>
      <w:r>
        <w:rPr>
          <w:szCs w:val="21"/>
        </w:rPr>
        <w:fldChar w:fldCharType="separate"/>
      </w:r>
      <w:r>
        <w:rPr>
          <w:szCs w:val="21"/>
        </w:rPr>
        <w:t>501</w:t>
      </w:r>
      <w:r>
        <w:rPr>
          <w:szCs w:val="21"/>
        </w:rPr>
        <w:fldChar w:fldCharType="end"/>
      </w:r>
      <w:r>
        <w:rPr>
          <w:szCs w:val="21"/>
        </w:rPr>
        <w:fldChar w:fldCharType="end"/>
      </w:r>
    </w:p>
    <w:p w14:paraId="11482221">
      <w:pPr>
        <w:pStyle w:val="9"/>
        <w:tabs>
          <w:tab w:val="right" w:leader="dot" w:pos="8306"/>
        </w:tabs>
        <w:spacing w:line="348" w:lineRule="auto"/>
        <w:rPr>
          <w:szCs w:val="21"/>
        </w:rPr>
      </w:pPr>
      <w:r>
        <w:fldChar w:fldCharType="begin"/>
      </w:r>
      <w:r>
        <w:instrText xml:space="preserve"> HYPERLINK \l "_Toc8425" </w:instrText>
      </w:r>
      <w:r>
        <w:fldChar w:fldCharType="separate"/>
      </w:r>
      <w:r>
        <w:rPr>
          <w:rFonts w:hint="eastAsia" w:ascii="Times New Roman" w:hAnsi="Times New Roman" w:eastAsia="宋体" w:cs="Times New Roman"/>
          <w:szCs w:val="21"/>
        </w:rPr>
        <w:t>《教育实习II》课程教学大纲</w:t>
      </w:r>
      <w:r>
        <w:rPr>
          <w:szCs w:val="21"/>
        </w:rPr>
        <w:tab/>
      </w:r>
      <w:r>
        <w:rPr>
          <w:szCs w:val="21"/>
        </w:rPr>
        <w:fldChar w:fldCharType="begin"/>
      </w:r>
      <w:r>
        <w:rPr>
          <w:szCs w:val="21"/>
        </w:rPr>
        <w:instrText xml:space="preserve"> PAGEREF _Toc8425 \h </w:instrText>
      </w:r>
      <w:r>
        <w:rPr>
          <w:szCs w:val="21"/>
        </w:rPr>
        <w:fldChar w:fldCharType="separate"/>
      </w:r>
      <w:r>
        <w:rPr>
          <w:szCs w:val="21"/>
        </w:rPr>
        <w:t>507</w:t>
      </w:r>
      <w:r>
        <w:rPr>
          <w:szCs w:val="21"/>
        </w:rPr>
        <w:fldChar w:fldCharType="end"/>
      </w:r>
      <w:r>
        <w:rPr>
          <w:szCs w:val="21"/>
        </w:rPr>
        <w:fldChar w:fldCharType="end"/>
      </w:r>
    </w:p>
    <w:p w14:paraId="17521186">
      <w:pPr>
        <w:pStyle w:val="9"/>
        <w:tabs>
          <w:tab w:val="right" w:leader="dot" w:pos="8306"/>
        </w:tabs>
        <w:spacing w:line="348" w:lineRule="auto"/>
        <w:rPr>
          <w:szCs w:val="21"/>
        </w:rPr>
      </w:pPr>
      <w:r>
        <w:fldChar w:fldCharType="begin"/>
      </w:r>
      <w:r>
        <w:instrText xml:space="preserve"> HYPERLINK \l "_Toc26550" </w:instrText>
      </w:r>
      <w:r>
        <w:fldChar w:fldCharType="separate"/>
      </w:r>
      <w:r>
        <w:rPr>
          <w:rFonts w:hint="eastAsia" w:ascii="Times New Roman" w:hAnsi="Times New Roman" w:eastAsia="宋体" w:cs="Times New Roman"/>
          <w:szCs w:val="21"/>
        </w:rPr>
        <w:t>《毕业论文》课程教学大纲</w:t>
      </w:r>
      <w:r>
        <w:rPr>
          <w:szCs w:val="21"/>
        </w:rPr>
        <w:tab/>
      </w:r>
      <w:r>
        <w:rPr>
          <w:szCs w:val="21"/>
        </w:rPr>
        <w:fldChar w:fldCharType="begin"/>
      </w:r>
      <w:r>
        <w:rPr>
          <w:szCs w:val="21"/>
        </w:rPr>
        <w:instrText xml:space="preserve"> PAGEREF _Toc26550 \h </w:instrText>
      </w:r>
      <w:r>
        <w:rPr>
          <w:szCs w:val="21"/>
        </w:rPr>
        <w:fldChar w:fldCharType="separate"/>
      </w:r>
      <w:r>
        <w:rPr>
          <w:szCs w:val="21"/>
        </w:rPr>
        <w:t>512</w:t>
      </w:r>
      <w:r>
        <w:rPr>
          <w:szCs w:val="21"/>
        </w:rPr>
        <w:fldChar w:fldCharType="end"/>
      </w:r>
      <w:r>
        <w:rPr>
          <w:szCs w:val="21"/>
        </w:rPr>
        <w:fldChar w:fldCharType="end"/>
      </w:r>
    </w:p>
    <w:p w14:paraId="42770ABC">
      <w:pPr>
        <w:spacing w:line="348" w:lineRule="auto"/>
        <w:jc w:val="center"/>
        <w:outlineLvl w:val="0"/>
        <w:rPr>
          <w:rFonts w:hint="eastAsia" w:ascii="等线" w:hAnsi="等线" w:eastAsia="等线" w:cs="等线"/>
          <w:bCs/>
          <w:szCs w:val="21"/>
        </w:rPr>
        <w:sectPr>
          <w:footerReference r:id="rId7" w:type="default"/>
          <w:pgSz w:w="11906" w:h="16838"/>
          <w:pgMar w:top="1440" w:right="1800" w:bottom="1440" w:left="1800" w:header="851" w:footer="992" w:gutter="0"/>
          <w:pgNumType w:fmt="upperRoman" w:start="1"/>
          <w:cols w:space="425" w:num="1"/>
          <w:docGrid w:type="lines" w:linePitch="312" w:charSpace="0"/>
        </w:sectPr>
      </w:pPr>
      <w:r>
        <w:rPr>
          <w:rFonts w:hint="eastAsia" w:ascii="等线" w:hAnsi="等线" w:eastAsia="等线" w:cs="等线"/>
          <w:bCs/>
          <w:szCs w:val="21"/>
        </w:rPr>
        <w:fldChar w:fldCharType="end"/>
      </w:r>
      <w:bookmarkStart w:id="0" w:name="_Toc19632"/>
      <w:bookmarkStart w:id="1" w:name="_Toc5411"/>
      <w:bookmarkStart w:id="2" w:name="_Toc32482"/>
      <w:bookmarkStart w:id="3" w:name="_Toc16291"/>
    </w:p>
    <w:p w14:paraId="347B651C">
      <w:pPr>
        <w:spacing w:line="348" w:lineRule="auto"/>
        <w:jc w:val="center"/>
        <w:outlineLvl w:val="0"/>
        <w:rPr>
          <w:rFonts w:hint="eastAsia" w:ascii="Times New Roman" w:hAnsi="Times New Roman" w:eastAsia="宋体" w:cs="Times New Roman"/>
          <w:b/>
          <w:sz w:val="44"/>
          <w:szCs w:val="44"/>
        </w:rPr>
        <w:sectPr>
          <w:footerReference r:id="rId8" w:type="default"/>
          <w:pgSz w:w="11906" w:h="16838"/>
          <w:pgMar w:top="1440" w:right="1800" w:bottom="1440" w:left="1800" w:header="851" w:footer="992" w:gutter="0"/>
          <w:pgNumType w:start="1"/>
          <w:cols w:space="425" w:num="1"/>
          <w:docGrid w:type="lines" w:linePitch="312" w:charSpace="0"/>
        </w:sectPr>
      </w:pPr>
    </w:p>
    <w:p w14:paraId="6BE3ABF4">
      <w:pPr>
        <w:spacing w:line="348" w:lineRule="auto"/>
        <w:jc w:val="center"/>
        <w:outlineLvl w:val="0"/>
        <w:rPr>
          <w:rFonts w:ascii="Times New Roman" w:hAnsi="Times New Roman" w:eastAsia="宋体" w:cs="Times New Roman"/>
          <w:b/>
          <w:sz w:val="44"/>
          <w:szCs w:val="44"/>
        </w:rPr>
      </w:pPr>
      <w:bookmarkStart w:id="2160" w:name="_GoBack"/>
      <w:bookmarkEnd w:id="2160"/>
      <w:r>
        <w:rPr>
          <w:rFonts w:hint="eastAsia" w:ascii="Times New Roman" w:hAnsi="Times New Roman" w:eastAsia="宋体" w:cs="Times New Roman"/>
          <w:b/>
          <w:sz w:val="44"/>
          <w:szCs w:val="44"/>
        </w:rPr>
        <w:t>《思想道德与法治》课程教学大纲</w:t>
      </w:r>
      <w:bookmarkEnd w:id="0"/>
      <w:bookmarkEnd w:id="1"/>
    </w:p>
    <w:p w14:paraId="1848B1CB">
      <w:pPr>
        <w:spacing w:line="360" w:lineRule="auto"/>
        <w:jc w:val="center"/>
        <w:rPr>
          <w:rFonts w:ascii="Times New Roman" w:hAnsi="Times New Roman" w:eastAsia="宋体" w:cs="Times New Roman"/>
          <w:b/>
          <w:bCs/>
          <w:sz w:val="28"/>
          <w:szCs w:val="28"/>
        </w:rPr>
      </w:pPr>
      <w:bookmarkStart w:id="4" w:name="_Toc16613"/>
      <w:bookmarkStart w:id="5" w:name="_Toc2070"/>
      <w:bookmarkStart w:id="6" w:name="_Toc17756"/>
      <w:bookmarkStart w:id="7" w:name="_Toc19119"/>
      <w:bookmarkStart w:id="8" w:name="_Toc24151"/>
      <w:r>
        <w:rPr>
          <w:rFonts w:ascii="Times New Roman" w:hAnsi="Times New Roman" w:eastAsia="宋体" w:cs="Times New Roman"/>
          <w:b/>
          <w:bCs/>
          <w:sz w:val="28"/>
          <w:szCs w:val="28"/>
        </w:rPr>
        <w:t>（Ideological Morality and Rule of Law）</w:t>
      </w:r>
      <w:bookmarkEnd w:id="4"/>
      <w:bookmarkEnd w:id="5"/>
      <w:bookmarkEnd w:id="6"/>
      <w:bookmarkEnd w:id="7"/>
      <w:bookmarkEnd w:id="8"/>
    </w:p>
    <w:p w14:paraId="37D97FDB">
      <w:pPr>
        <w:jc w:val="center"/>
        <w:rPr>
          <w:rFonts w:ascii="Times New Roman" w:hAnsi="Times New Roman" w:eastAsia="宋体" w:cs="Times New Roman"/>
          <w:b/>
          <w:bCs/>
          <w:szCs w:val="21"/>
        </w:rPr>
      </w:pPr>
    </w:p>
    <w:p w14:paraId="2E0AB67F">
      <w:pPr>
        <w:spacing w:line="360" w:lineRule="auto"/>
        <w:ind w:firstLine="482" w:firstLineChars="200"/>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课程名称：思想道德与法治</w:t>
      </w:r>
    </w:p>
    <w:p w14:paraId="6C07F9FB">
      <w:pPr>
        <w:spacing w:line="360" w:lineRule="auto"/>
        <w:ind w:firstLine="482" w:firstLineChars="200"/>
        <w:rPr>
          <w:rFonts w:ascii="Times New Roman" w:hAnsi="Times New Roman" w:eastAsia="宋体" w:cs="Times New Roman"/>
          <w:b/>
          <w:bCs/>
          <w:sz w:val="28"/>
          <w:szCs w:val="28"/>
        </w:rPr>
      </w:pPr>
      <w:r>
        <w:rPr>
          <w:rFonts w:ascii="Times New Roman" w:hAnsi="Times New Roman" w:eastAsia="宋体" w:cs="Times New Roman"/>
          <w:b/>
          <w:bCs/>
          <w:kern w:val="0"/>
          <w:sz w:val="24"/>
        </w:rPr>
        <w:t>课程代码：</w:t>
      </w:r>
      <w:r>
        <w:rPr>
          <w:rFonts w:hint="eastAsia" w:ascii="Times New Roman" w:hAnsi="Times New Roman" w:eastAsia="宋体" w:cs="Times New Roman"/>
          <w:b/>
          <w:bCs/>
          <w:kern w:val="0"/>
          <w:sz w:val="24"/>
        </w:rPr>
        <w:t>10010</w:t>
      </w:r>
      <w:r>
        <w:rPr>
          <w:rFonts w:ascii="Times New Roman" w:hAnsi="Times New Roman" w:eastAsia="宋体" w:cs="Times New Roman"/>
          <w:b/>
          <w:bCs/>
          <w:kern w:val="0"/>
          <w:sz w:val="24"/>
        </w:rPr>
        <w:t>3</w:t>
      </w:r>
      <w:r>
        <w:rPr>
          <w:rFonts w:hint="eastAsia" w:ascii="Times New Roman" w:hAnsi="Times New Roman" w:eastAsia="宋体" w:cs="Times New Roman"/>
          <w:b/>
          <w:bCs/>
          <w:kern w:val="0"/>
          <w:sz w:val="24"/>
        </w:rPr>
        <w:t>1</w:t>
      </w:r>
    </w:p>
    <w:p w14:paraId="090DF5D8">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分：</w:t>
      </w:r>
      <w:r>
        <w:rPr>
          <w:rFonts w:hint="eastAsia" w:ascii="Times New Roman" w:hAnsi="Times New Roman" w:eastAsia="宋体" w:cs="Times New Roman"/>
          <w:b/>
          <w:bCs/>
          <w:kern w:val="0"/>
          <w:sz w:val="24"/>
        </w:rPr>
        <w:t>3</w:t>
      </w:r>
    </w:p>
    <w:p w14:paraId="779D030E">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时：</w:t>
      </w:r>
      <w:r>
        <w:rPr>
          <w:rFonts w:hint="eastAsia" w:ascii="Times New Roman" w:hAnsi="Times New Roman" w:eastAsia="宋体" w:cs="Times New Roman"/>
          <w:b/>
          <w:bCs/>
          <w:kern w:val="0"/>
          <w:sz w:val="24"/>
        </w:rPr>
        <w:t>48</w:t>
      </w:r>
      <w:r>
        <w:rPr>
          <w:rFonts w:ascii="Times New Roman" w:hAnsi="Times New Roman" w:eastAsia="宋体" w:cs="Times New Roman"/>
          <w:b/>
          <w:bCs/>
          <w:kern w:val="0"/>
          <w:sz w:val="24"/>
        </w:rPr>
        <w:t xml:space="preserve"> </w:t>
      </w:r>
      <w:r>
        <w:rPr>
          <w:rFonts w:hint="eastAsia" w:ascii="Times New Roman" w:hAnsi="Times New Roman" w:eastAsia="宋体" w:cs="Times New Roman"/>
          <w:b/>
          <w:bCs/>
          <w:kern w:val="0"/>
          <w:sz w:val="24"/>
        </w:rPr>
        <w:t>（其中：讲授学时42， 实践学时6）</w:t>
      </w:r>
    </w:p>
    <w:p w14:paraId="5D8B3B00">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先修课程：</w:t>
      </w:r>
      <w:r>
        <w:rPr>
          <w:rFonts w:hint="eastAsia" w:ascii="宋体" w:hAnsi="宋体" w:eastAsia="宋体" w:cs="Times New Roman"/>
          <w:b/>
          <w:bCs/>
          <w:kern w:val="0"/>
          <w:sz w:val="24"/>
        </w:rPr>
        <w:t>无</w:t>
      </w:r>
    </w:p>
    <w:p w14:paraId="41636636">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适用专业：</w:t>
      </w:r>
      <w:r>
        <w:rPr>
          <w:rFonts w:hint="eastAsia" w:ascii="宋体" w:hAnsi="宋体" w:eastAsia="宋体" w:cs="Times New Roman"/>
          <w:b/>
          <w:bCs/>
          <w:kern w:val="0"/>
          <w:sz w:val="24"/>
        </w:rPr>
        <w:t>全校所有专业</w:t>
      </w:r>
    </w:p>
    <w:p w14:paraId="1D54FF16">
      <w:pPr>
        <w:spacing w:before="62" w:beforeLines="20" w:after="62" w:afterLines="20"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60CA9DD2">
      <w:pPr>
        <w:spacing w:before="62" w:beforeLines="20" w:after="62" w:afterLines="20"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kern w:val="0"/>
          <w:szCs w:val="21"/>
        </w:rPr>
        <w:t>本课程是面向小学教育专业开设的通识必修课。通过本课程的学习，培养学生了解中华民族的传统美德和社会主义核心价值体系的基本内容，掌握以爱国主义为核心的民族精神和以改革创新为核心的时代精神实质，认识建设社会主义法治体系的基本内涵和重要意义，坚定科学的理想信念，树立正确的人生观和价值观，培养良好的思想道德素质和法律素质，加强自我修养，从而成为德智体美劳全面发展的社会主义事业的合格建设者和可靠接班人。</w:t>
      </w:r>
    </w:p>
    <w:p w14:paraId="58156F48">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495B0FDF">
      <w:pPr>
        <w:spacing w:line="360" w:lineRule="auto"/>
        <w:ind w:firstLine="422" w:firstLineChars="200"/>
        <w:rPr>
          <w:rFonts w:hint="eastAsia" w:ascii="宋体" w:hAnsi="宋体" w:eastAsia="宋体" w:cs="Times New Roman"/>
          <w:b/>
          <w:szCs w:val="21"/>
        </w:rPr>
      </w:pPr>
      <w:bookmarkStart w:id="9" w:name="_Toc27847297"/>
      <w:bookmarkStart w:id="10" w:name="_Toc27846279"/>
      <w:r>
        <w:rPr>
          <w:rFonts w:hint="eastAsia" w:ascii="宋体" w:hAnsi="宋体" w:eastAsia="宋体" w:cs="Times New Roman"/>
          <w:b/>
          <w:szCs w:val="21"/>
        </w:rPr>
        <w:t>（一）课程具体目标</w:t>
      </w:r>
      <w:bookmarkEnd w:id="9"/>
      <w:bookmarkEnd w:id="10"/>
    </w:p>
    <w:p w14:paraId="457CBB5F">
      <w:pPr>
        <w:snapToGrid w:val="0"/>
        <w:spacing w:line="360" w:lineRule="auto"/>
        <w:ind w:firstLine="413" w:firstLineChars="196"/>
        <w:rPr>
          <w:rFonts w:hint="eastAsia" w:ascii="宋体" w:hAnsi="宋体" w:eastAsia="宋体"/>
          <w:kern w:val="0"/>
          <w:szCs w:val="21"/>
        </w:rPr>
      </w:pPr>
      <w:r>
        <w:rPr>
          <w:rFonts w:hint="eastAsia" w:ascii="宋体" w:hAnsi="宋体" w:eastAsia="宋体"/>
          <w:b/>
          <w:bCs/>
          <w:kern w:val="0"/>
          <w:szCs w:val="21"/>
        </w:rPr>
        <w:t>目标1：</w:t>
      </w:r>
      <w:r>
        <w:rPr>
          <w:rFonts w:hint="eastAsia" w:ascii="宋体" w:hAnsi="宋体" w:eastAsia="宋体"/>
          <w:kern w:val="0"/>
          <w:szCs w:val="21"/>
        </w:rPr>
        <w:t>坚定科学的理想信念，树立正确的人生观和价值观，能够科学认识社会，理解和认同社会主义核心价值观。</w:t>
      </w:r>
    </w:p>
    <w:p w14:paraId="5D2D11CA">
      <w:pPr>
        <w:snapToGrid w:val="0"/>
        <w:spacing w:line="360" w:lineRule="auto"/>
        <w:ind w:firstLine="413" w:firstLineChars="196"/>
        <w:rPr>
          <w:rFonts w:hint="eastAsia" w:ascii="宋体" w:hAnsi="宋体" w:eastAsia="宋体"/>
          <w:kern w:val="0"/>
          <w:szCs w:val="21"/>
        </w:rPr>
      </w:pPr>
      <w:r>
        <w:rPr>
          <w:rFonts w:hint="eastAsia" w:ascii="宋体" w:hAnsi="宋体" w:eastAsia="宋体"/>
          <w:b/>
          <w:bCs/>
          <w:kern w:val="0"/>
          <w:szCs w:val="21"/>
        </w:rPr>
        <w:t>目标2：</w:t>
      </w:r>
      <w:r>
        <w:rPr>
          <w:rFonts w:hint="eastAsia" w:ascii="Times New Roman" w:hAnsi="Times New Roman" w:eastAsia="宋体" w:cs="Times New Roman"/>
          <w:kern w:val="0"/>
          <w:szCs w:val="21"/>
        </w:rPr>
        <w:t>了解社会主义法治体系，</w:t>
      </w:r>
      <w:r>
        <w:rPr>
          <w:rFonts w:hint="eastAsia" w:ascii="宋体" w:hAnsi="宋体" w:eastAsia="宋体"/>
          <w:kern w:val="0"/>
          <w:szCs w:val="21"/>
        </w:rPr>
        <w:t>能够掌握与专业相关的法律规范，具备</w:t>
      </w:r>
      <w:r>
        <w:rPr>
          <w:rFonts w:hint="eastAsia" w:ascii="Times New Roman" w:hAnsi="Times New Roman" w:eastAsia="宋体" w:cs="Times New Roman"/>
          <w:kern w:val="0"/>
          <w:szCs w:val="21"/>
        </w:rPr>
        <w:t>良好的</w:t>
      </w:r>
      <w:r>
        <w:rPr>
          <w:rFonts w:hint="eastAsia" w:ascii="宋体" w:hAnsi="宋体" w:eastAsia="宋体"/>
          <w:kern w:val="0"/>
          <w:szCs w:val="21"/>
        </w:rPr>
        <w:t>法律素养。</w:t>
      </w:r>
    </w:p>
    <w:p w14:paraId="251049E7">
      <w:pPr>
        <w:snapToGrid w:val="0"/>
        <w:spacing w:line="360" w:lineRule="auto"/>
        <w:ind w:firstLine="413" w:firstLineChars="196"/>
        <w:rPr>
          <w:rFonts w:hint="eastAsia" w:ascii="宋体" w:hAnsi="宋体" w:eastAsia="宋体"/>
          <w:b/>
          <w:bCs/>
          <w:kern w:val="0"/>
          <w:szCs w:val="21"/>
        </w:rPr>
      </w:pPr>
      <w:r>
        <w:rPr>
          <w:rFonts w:hint="eastAsia" w:ascii="宋体" w:hAnsi="宋体" w:eastAsia="宋体"/>
          <w:b/>
          <w:bCs/>
          <w:kern w:val="0"/>
          <w:szCs w:val="21"/>
        </w:rPr>
        <w:t>目标3：</w:t>
      </w:r>
      <w:r>
        <w:rPr>
          <w:rFonts w:hint="eastAsia" w:ascii="Times New Roman" w:hAnsi="Times New Roman" w:eastAsia="宋体" w:cs="Times New Roman"/>
          <w:kern w:val="0"/>
          <w:szCs w:val="21"/>
        </w:rPr>
        <w:t>了解社会主义核心价值体系和社会主义道德规范，</w:t>
      </w:r>
      <w:r>
        <w:rPr>
          <w:rFonts w:hint="eastAsia" w:ascii="宋体" w:hAnsi="宋体" w:eastAsia="宋体"/>
          <w:kern w:val="0"/>
          <w:szCs w:val="21"/>
        </w:rPr>
        <w:t>具备良好的思想道德素质。</w:t>
      </w:r>
      <w:r>
        <w:rPr>
          <w:rFonts w:hint="eastAsia" w:ascii="宋体" w:hAnsi="宋体" w:eastAsia="宋体"/>
          <w:b/>
          <w:bCs/>
          <w:kern w:val="0"/>
          <w:szCs w:val="21"/>
        </w:rPr>
        <w:t xml:space="preserve"> </w:t>
      </w:r>
    </w:p>
    <w:p w14:paraId="7CEFDC62">
      <w:pPr>
        <w:snapToGrid w:val="0"/>
        <w:spacing w:line="360" w:lineRule="auto"/>
        <w:ind w:firstLine="413" w:firstLineChars="196"/>
        <w:rPr>
          <w:rFonts w:hint="eastAsia" w:ascii="宋体" w:hAnsi="宋体" w:eastAsia="宋体"/>
          <w:b/>
          <w:bCs/>
          <w:szCs w:val="21"/>
        </w:rPr>
      </w:pPr>
      <w:bookmarkStart w:id="11" w:name="OLE_LINK26"/>
      <w:r>
        <w:rPr>
          <w:rFonts w:hint="eastAsia" w:ascii="宋体" w:hAnsi="宋体" w:eastAsia="宋体"/>
          <w:b/>
          <w:bCs/>
          <w:szCs w:val="21"/>
        </w:rPr>
        <w:t>（二）</w:t>
      </w:r>
      <w:r>
        <w:rPr>
          <w:rFonts w:ascii="宋体" w:hAnsi="宋体" w:eastAsia="宋体"/>
          <w:b/>
          <w:bCs/>
          <w:szCs w:val="21"/>
        </w:rPr>
        <w:t>课程目标</w:t>
      </w:r>
      <w:r>
        <w:rPr>
          <w:rFonts w:hint="eastAsia" w:ascii="宋体" w:hAnsi="宋体" w:eastAsia="宋体"/>
          <w:b/>
          <w:bCs/>
          <w:szCs w:val="21"/>
        </w:rPr>
        <w:t>及其</w:t>
      </w:r>
      <w:r>
        <w:rPr>
          <w:rFonts w:ascii="宋体" w:hAnsi="宋体" w:eastAsia="宋体"/>
          <w:b/>
          <w:bCs/>
          <w:szCs w:val="21"/>
        </w:rPr>
        <w:t>对毕业要求指标点的支撑</w:t>
      </w:r>
    </w:p>
    <w:bookmarkEnd w:id="11"/>
    <w:tbl>
      <w:tblPr>
        <w:tblStyle w:val="12"/>
        <w:tblW w:w="8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363"/>
        <w:gridCol w:w="6030"/>
        <w:gridCol w:w="1110"/>
      </w:tblGrid>
      <w:tr w14:paraId="0555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90" w:hRule="atLeast"/>
        </w:trPr>
        <w:tc>
          <w:tcPr>
            <w:tcW w:w="1363" w:type="dxa"/>
            <w:tcBorders>
              <w:top w:val="single" w:color="000000" w:sz="8" w:space="0"/>
              <w:left w:val="single" w:color="000000" w:sz="8" w:space="0"/>
              <w:bottom w:val="single" w:color="000000" w:sz="8" w:space="0"/>
              <w:right w:val="single" w:color="000000" w:sz="8" w:space="0"/>
            </w:tcBorders>
          </w:tcPr>
          <w:p w14:paraId="18E6A805">
            <w:pPr>
              <w:snapToGrid w:val="0"/>
              <w:ind w:left="112" w:right="102"/>
              <w:jc w:val="center"/>
              <w:rPr>
                <w:rFonts w:hint="eastAsia" w:ascii="宋体" w:hAnsi="宋体" w:eastAsia="宋体"/>
                <w:b/>
                <w:bCs/>
                <w:kern w:val="0"/>
                <w:szCs w:val="21"/>
              </w:rPr>
            </w:pPr>
            <w:r>
              <w:rPr>
                <w:rFonts w:hint="eastAsia" w:ascii="宋体" w:hAnsi="宋体" w:eastAsia="宋体"/>
                <w:b/>
                <w:bCs/>
                <w:kern w:val="0"/>
                <w:szCs w:val="21"/>
              </w:rPr>
              <w:t>毕业要求</w:t>
            </w:r>
          </w:p>
        </w:tc>
        <w:tc>
          <w:tcPr>
            <w:tcW w:w="6030" w:type="dxa"/>
            <w:tcBorders>
              <w:top w:val="single" w:color="000000" w:sz="8" w:space="0"/>
              <w:left w:val="single" w:color="000000" w:sz="8" w:space="0"/>
              <w:bottom w:val="single" w:color="000000" w:sz="8" w:space="0"/>
              <w:right w:val="single" w:color="000000" w:sz="8" w:space="0"/>
            </w:tcBorders>
          </w:tcPr>
          <w:p w14:paraId="63C88A93">
            <w:pPr>
              <w:snapToGrid w:val="0"/>
              <w:ind w:left="442"/>
              <w:jc w:val="center"/>
              <w:rPr>
                <w:rFonts w:hint="eastAsia" w:ascii="宋体" w:hAnsi="宋体" w:eastAsia="宋体"/>
                <w:b/>
                <w:bCs/>
                <w:kern w:val="0"/>
                <w:szCs w:val="21"/>
              </w:rPr>
            </w:pPr>
            <w:r>
              <w:rPr>
                <w:rFonts w:ascii="宋体" w:hAnsi="宋体" w:eastAsia="宋体"/>
                <w:b/>
                <w:bCs/>
                <w:kern w:val="0"/>
                <w:szCs w:val="21"/>
              </w:rPr>
              <w:t>支撑毕业要求指标点</w:t>
            </w:r>
          </w:p>
        </w:tc>
        <w:tc>
          <w:tcPr>
            <w:tcW w:w="1110" w:type="dxa"/>
            <w:tcBorders>
              <w:top w:val="single" w:color="000000" w:sz="8" w:space="0"/>
              <w:left w:val="single" w:color="000000" w:sz="8" w:space="0"/>
              <w:bottom w:val="single" w:color="000000" w:sz="8" w:space="0"/>
              <w:right w:val="single" w:color="000000" w:sz="8" w:space="0"/>
            </w:tcBorders>
          </w:tcPr>
          <w:p w14:paraId="1F79238A">
            <w:pPr>
              <w:snapToGrid w:val="0"/>
              <w:ind w:left="64" w:right="60"/>
              <w:jc w:val="center"/>
              <w:rPr>
                <w:rFonts w:hint="eastAsia" w:ascii="宋体" w:hAnsi="宋体" w:eastAsia="宋体"/>
                <w:b/>
                <w:bCs/>
                <w:kern w:val="0"/>
                <w:szCs w:val="21"/>
              </w:rPr>
            </w:pPr>
            <w:r>
              <w:rPr>
                <w:rFonts w:hint="eastAsia" w:ascii="宋体" w:hAnsi="宋体" w:eastAsia="宋体"/>
                <w:b/>
                <w:bCs/>
                <w:kern w:val="0"/>
                <w:szCs w:val="21"/>
              </w:rPr>
              <w:t>课程目标</w:t>
            </w:r>
          </w:p>
        </w:tc>
      </w:tr>
      <w:tr w14:paraId="3341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55" w:hRule="atLeast"/>
        </w:trPr>
        <w:tc>
          <w:tcPr>
            <w:tcW w:w="1363" w:type="dxa"/>
            <w:vMerge w:val="restart"/>
            <w:tcBorders>
              <w:top w:val="single" w:color="000000" w:sz="8" w:space="0"/>
              <w:left w:val="single" w:color="000000" w:sz="8" w:space="0"/>
              <w:right w:val="single" w:color="000000" w:sz="8" w:space="0"/>
            </w:tcBorders>
            <w:vAlign w:val="center"/>
          </w:tcPr>
          <w:p w14:paraId="2D0B256E">
            <w:pPr>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毕业要求1</w:t>
            </w:r>
          </w:p>
          <w:p w14:paraId="1FA7C335">
            <w:pPr>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师德规范</w:t>
            </w:r>
          </w:p>
          <w:p w14:paraId="01F87E5B">
            <w:pPr>
              <w:snapToGrid w:val="0"/>
              <w:jc w:val="center"/>
              <w:rPr>
                <w:rFonts w:hint="eastAsia" w:ascii="宋体" w:hAnsi="宋体" w:eastAsia="宋体"/>
                <w:kern w:val="0"/>
                <w:sz w:val="15"/>
                <w:szCs w:val="15"/>
              </w:rPr>
            </w:pPr>
          </w:p>
        </w:tc>
        <w:tc>
          <w:tcPr>
            <w:tcW w:w="6030" w:type="dxa"/>
            <w:tcBorders>
              <w:top w:val="single" w:color="000000" w:sz="8" w:space="0"/>
              <w:left w:val="single" w:color="000000" w:sz="8" w:space="0"/>
              <w:bottom w:val="single" w:color="000000" w:sz="8" w:space="0"/>
              <w:right w:val="single" w:color="000000" w:sz="8" w:space="0"/>
            </w:tcBorders>
            <w:vAlign w:val="center"/>
          </w:tcPr>
          <w:p w14:paraId="35142214">
            <w:pPr>
              <w:snapToGrid w:val="0"/>
              <w:spacing w:line="360" w:lineRule="auto"/>
              <w:jc w:val="left"/>
              <w:rPr>
                <w:rFonts w:hint="eastAsia" w:ascii="宋体" w:hAnsi="宋体" w:eastAsia="宋体"/>
                <w:kern w:val="0"/>
                <w:szCs w:val="21"/>
              </w:rPr>
            </w:pPr>
            <w:r>
              <w:rPr>
                <w:rFonts w:hint="eastAsia" w:ascii="宋体" w:hAnsi="宋体" w:eastAsia="宋体"/>
                <w:b/>
                <w:kern w:val="0"/>
                <w:szCs w:val="21"/>
              </w:rPr>
              <w:t>指标点1-1</w:t>
            </w:r>
            <w:r>
              <w:rPr>
                <w:rFonts w:hint="eastAsia" w:ascii="宋体" w:hAnsi="宋体" w:eastAsia="宋体"/>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10" w:type="dxa"/>
            <w:tcBorders>
              <w:top w:val="single" w:color="000000" w:sz="8" w:space="0"/>
              <w:left w:val="single" w:color="000000" w:sz="8" w:space="0"/>
              <w:bottom w:val="single" w:color="000000" w:sz="8" w:space="0"/>
              <w:right w:val="single" w:color="000000" w:sz="8" w:space="0"/>
            </w:tcBorders>
            <w:vAlign w:val="center"/>
          </w:tcPr>
          <w:p w14:paraId="606C3BDF">
            <w:pPr>
              <w:snapToGrid w:val="0"/>
              <w:jc w:val="center"/>
              <w:rPr>
                <w:rFonts w:hint="eastAsia" w:ascii="宋体" w:hAnsi="宋体" w:eastAsia="宋体"/>
                <w:kern w:val="0"/>
                <w:szCs w:val="21"/>
              </w:rPr>
            </w:pPr>
            <w:r>
              <w:rPr>
                <w:rFonts w:hint="eastAsia" w:ascii="Times New Roman" w:hAnsi="Times New Roman" w:eastAsia="宋体" w:cs="Times New Roman"/>
                <w:szCs w:val="21"/>
              </w:rPr>
              <w:t>课程目标1</w:t>
            </w:r>
          </w:p>
        </w:tc>
      </w:tr>
      <w:tr w14:paraId="3807F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512" w:hRule="atLeast"/>
        </w:trPr>
        <w:tc>
          <w:tcPr>
            <w:tcW w:w="1363" w:type="dxa"/>
            <w:vMerge w:val="continue"/>
            <w:tcBorders>
              <w:left w:val="single" w:color="000000" w:sz="8" w:space="0"/>
              <w:bottom w:val="single" w:color="000000" w:sz="8" w:space="0"/>
              <w:right w:val="single" w:color="000000" w:sz="8" w:space="0"/>
            </w:tcBorders>
            <w:vAlign w:val="center"/>
          </w:tcPr>
          <w:p w14:paraId="7E497993">
            <w:pPr>
              <w:snapToGrid w:val="0"/>
              <w:jc w:val="center"/>
              <w:rPr>
                <w:rFonts w:hint="eastAsia" w:ascii="宋体" w:hAnsi="宋体" w:eastAsia="宋体"/>
                <w:kern w:val="0"/>
                <w:sz w:val="15"/>
                <w:szCs w:val="15"/>
              </w:rPr>
            </w:pPr>
          </w:p>
        </w:tc>
        <w:tc>
          <w:tcPr>
            <w:tcW w:w="6030" w:type="dxa"/>
            <w:tcBorders>
              <w:top w:val="single" w:color="000000" w:sz="8" w:space="0"/>
              <w:left w:val="single" w:color="000000" w:sz="8" w:space="0"/>
              <w:bottom w:val="single" w:color="000000" w:sz="8" w:space="0"/>
              <w:right w:val="single" w:color="000000" w:sz="8" w:space="0"/>
            </w:tcBorders>
            <w:vAlign w:val="center"/>
          </w:tcPr>
          <w:p w14:paraId="63C9F748">
            <w:pPr>
              <w:snapToGrid w:val="0"/>
              <w:spacing w:line="360" w:lineRule="auto"/>
              <w:jc w:val="left"/>
              <w:rPr>
                <w:rFonts w:hint="eastAsia" w:ascii="宋体" w:hAnsi="宋体" w:eastAsia="宋体"/>
                <w:kern w:val="0"/>
                <w:szCs w:val="21"/>
              </w:rPr>
            </w:pPr>
            <w:r>
              <w:rPr>
                <w:rFonts w:hint="eastAsia" w:ascii="宋体" w:hAnsi="宋体" w:eastAsia="宋体"/>
                <w:b/>
                <w:bCs/>
                <w:kern w:val="0"/>
                <w:szCs w:val="21"/>
              </w:rPr>
              <w:t>指标点1-2：</w:t>
            </w:r>
            <w:r>
              <w:rPr>
                <w:rFonts w:hint="eastAsia" w:ascii="宋体" w:hAnsi="宋体" w:eastAsia="宋体"/>
                <w:kern w:val="0"/>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110" w:type="dxa"/>
            <w:tcBorders>
              <w:top w:val="single" w:color="000000" w:sz="8" w:space="0"/>
              <w:left w:val="single" w:color="000000" w:sz="8" w:space="0"/>
              <w:bottom w:val="single" w:color="000000" w:sz="8" w:space="0"/>
              <w:right w:val="single" w:color="000000" w:sz="8" w:space="0"/>
            </w:tcBorders>
            <w:vAlign w:val="center"/>
          </w:tcPr>
          <w:p w14:paraId="56208129">
            <w:pPr>
              <w:snapToGrid w:val="0"/>
              <w:jc w:val="center"/>
              <w:rPr>
                <w:rFonts w:hint="eastAsia" w:ascii="宋体" w:hAnsi="宋体" w:eastAsia="宋体"/>
                <w:kern w:val="0"/>
                <w:szCs w:val="21"/>
              </w:rPr>
            </w:pPr>
            <w:r>
              <w:rPr>
                <w:rFonts w:hint="eastAsia" w:ascii="Times New Roman" w:hAnsi="Times New Roman" w:eastAsia="宋体" w:cs="Times New Roman"/>
                <w:szCs w:val="21"/>
              </w:rPr>
              <w:t>课程目标2</w:t>
            </w:r>
          </w:p>
        </w:tc>
      </w:tr>
      <w:tr w14:paraId="609B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193" w:hRule="atLeast"/>
        </w:trPr>
        <w:tc>
          <w:tcPr>
            <w:tcW w:w="1363" w:type="dxa"/>
            <w:tcBorders>
              <w:top w:val="single" w:color="000000" w:sz="8" w:space="0"/>
              <w:left w:val="single" w:color="000000" w:sz="8" w:space="0"/>
              <w:bottom w:val="single" w:color="000000" w:sz="8" w:space="0"/>
              <w:right w:val="single" w:color="000000" w:sz="8" w:space="0"/>
            </w:tcBorders>
            <w:vAlign w:val="center"/>
          </w:tcPr>
          <w:p w14:paraId="240F043C">
            <w:pPr>
              <w:widowControl/>
              <w:jc w:val="center"/>
              <w:rPr>
                <w:b/>
                <w:bCs/>
                <w:kern w:val="0"/>
                <w:szCs w:val="21"/>
              </w:rPr>
            </w:pPr>
            <w:r>
              <w:rPr>
                <w:b/>
                <w:bCs/>
                <w:kern w:val="0"/>
                <w:szCs w:val="21"/>
              </w:rPr>
              <w:t>毕业要求2</w:t>
            </w:r>
          </w:p>
          <w:p w14:paraId="6F222B0A">
            <w:pPr>
              <w:widowControl/>
              <w:jc w:val="center"/>
              <w:rPr>
                <w:b/>
                <w:bCs/>
                <w:szCs w:val="21"/>
              </w:rPr>
            </w:pPr>
            <w:r>
              <w:rPr>
                <w:b/>
                <w:bCs/>
                <w:szCs w:val="21"/>
              </w:rPr>
              <w:t>教育情怀</w:t>
            </w:r>
          </w:p>
          <w:p w14:paraId="0CDA1626">
            <w:pPr>
              <w:snapToGrid w:val="0"/>
              <w:jc w:val="center"/>
              <w:rPr>
                <w:rFonts w:ascii="Times New Roman" w:hAnsi="Times New Roman" w:eastAsia="宋体" w:cs="Times New Roman"/>
                <w:b/>
                <w:bCs/>
                <w:sz w:val="15"/>
                <w:szCs w:val="15"/>
              </w:rPr>
            </w:pPr>
          </w:p>
        </w:tc>
        <w:tc>
          <w:tcPr>
            <w:tcW w:w="6030" w:type="dxa"/>
            <w:tcBorders>
              <w:top w:val="single" w:color="000000" w:sz="8" w:space="0"/>
              <w:left w:val="single" w:color="000000" w:sz="8" w:space="0"/>
              <w:bottom w:val="single" w:color="000000" w:sz="8" w:space="0"/>
              <w:right w:val="single" w:color="000000" w:sz="8" w:space="0"/>
            </w:tcBorders>
            <w:vAlign w:val="center"/>
          </w:tcPr>
          <w:p w14:paraId="2590587E">
            <w:pPr>
              <w:snapToGrid w:val="0"/>
              <w:spacing w:line="360" w:lineRule="auto"/>
              <w:jc w:val="left"/>
              <w:rPr>
                <w:rFonts w:hint="eastAsia" w:ascii="宋体" w:hAnsi="宋体" w:eastAsia="宋体"/>
                <w:b/>
                <w:bCs/>
                <w:kern w:val="0"/>
                <w:szCs w:val="21"/>
              </w:rPr>
            </w:pPr>
            <w:r>
              <w:rPr>
                <w:rFonts w:hint="eastAsia" w:ascii="宋体" w:hAnsi="宋体" w:eastAsia="宋体"/>
                <w:b/>
                <w:bCs/>
                <w:kern w:val="0"/>
                <w:szCs w:val="21"/>
              </w:rPr>
              <w:t>指标点2-3：</w:t>
            </w:r>
            <w:r>
              <w:rPr>
                <w:rFonts w:hint="eastAsia" w:ascii="宋体" w:hAnsi="宋体" w:eastAsia="宋体"/>
                <w:kern w:val="0"/>
                <w:szCs w:val="21"/>
              </w:rPr>
              <w:t>【自身修养良好】具有较好的人文艺术底蕴与科学精神，言行举止符合教师职业标准，情感积极，人格健全，身心健康。</w:t>
            </w:r>
          </w:p>
        </w:tc>
        <w:tc>
          <w:tcPr>
            <w:tcW w:w="1110" w:type="dxa"/>
            <w:tcBorders>
              <w:top w:val="single" w:color="000000" w:sz="8" w:space="0"/>
              <w:left w:val="single" w:color="000000" w:sz="8" w:space="0"/>
              <w:bottom w:val="single" w:color="000000" w:sz="8" w:space="0"/>
              <w:right w:val="single" w:color="000000" w:sz="8" w:space="0"/>
            </w:tcBorders>
            <w:vAlign w:val="center"/>
          </w:tcPr>
          <w:p w14:paraId="2D9FA574">
            <w:pPr>
              <w:snapToGrid w:val="0"/>
              <w:jc w:val="center"/>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38FA4ECF">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三、课程内容及要求</w:t>
      </w:r>
    </w:p>
    <w:tbl>
      <w:tblPr>
        <w:tblStyle w:val="11"/>
        <w:tblW w:w="1092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88"/>
        <w:gridCol w:w="2486"/>
        <w:gridCol w:w="1082"/>
        <w:gridCol w:w="3586"/>
        <w:gridCol w:w="1571"/>
        <w:gridCol w:w="708"/>
      </w:tblGrid>
      <w:tr w14:paraId="51B62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8" w:type="dxa"/>
            <w:vAlign w:val="center"/>
          </w:tcPr>
          <w:p w14:paraId="75AE2F57">
            <w:pPr>
              <w:jc w:val="center"/>
              <w:rPr>
                <w:rFonts w:hint="eastAsia" w:ascii="宋体" w:hAnsi="宋体" w:eastAsia="宋体" w:cs="宋体"/>
                <w:b/>
                <w:bCs/>
                <w:szCs w:val="21"/>
              </w:rPr>
            </w:pPr>
            <w:r>
              <w:rPr>
                <w:rFonts w:hint="eastAsia" w:ascii="宋体" w:hAnsi="宋体" w:eastAsia="宋体" w:cs="宋体"/>
                <w:b/>
                <w:bCs/>
                <w:szCs w:val="21"/>
              </w:rPr>
              <w:t>知识单元</w:t>
            </w:r>
          </w:p>
        </w:tc>
        <w:tc>
          <w:tcPr>
            <w:tcW w:w="2486" w:type="dxa"/>
            <w:vAlign w:val="center"/>
          </w:tcPr>
          <w:p w14:paraId="365B1C22">
            <w:pPr>
              <w:jc w:val="center"/>
              <w:rPr>
                <w:rFonts w:hint="eastAsia" w:ascii="宋体" w:hAnsi="宋体" w:eastAsia="宋体" w:cs="宋体"/>
                <w:b/>
                <w:bCs/>
                <w:szCs w:val="21"/>
              </w:rPr>
            </w:pPr>
            <w:r>
              <w:rPr>
                <w:rFonts w:hint="eastAsia" w:ascii="宋体" w:hAnsi="宋体" w:eastAsia="宋体" w:cs="宋体"/>
                <w:b/>
                <w:bCs/>
                <w:szCs w:val="21"/>
              </w:rPr>
              <w:t>知识点</w:t>
            </w:r>
          </w:p>
        </w:tc>
        <w:tc>
          <w:tcPr>
            <w:tcW w:w="1082" w:type="dxa"/>
            <w:vAlign w:val="center"/>
          </w:tcPr>
          <w:p w14:paraId="6053242F">
            <w:pPr>
              <w:jc w:val="center"/>
              <w:rPr>
                <w:rFonts w:hint="eastAsia" w:ascii="宋体" w:hAnsi="宋体" w:eastAsia="宋体" w:cs="宋体"/>
                <w:b/>
                <w:szCs w:val="21"/>
              </w:rPr>
            </w:pPr>
            <w:r>
              <w:rPr>
                <w:rFonts w:hint="eastAsia" w:ascii="宋体" w:hAnsi="宋体" w:eastAsia="宋体" w:cs="宋体"/>
                <w:b/>
                <w:szCs w:val="21"/>
              </w:rPr>
              <w:t>对应</w:t>
            </w:r>
          </w:p>
          <w:p w14:paraId="70A00520">
            <w:pPr>
              <w:jc w:val="center"/>
              <w:rPr>
                <w:rFonts w:hint="eastAsia" w:ascii="宋体" w:hAnsi="宋体" w:eastAsia="宋体" w:cs="宋体"/>
                <w:b/>
                <w:bCs/>
                <w:szCs w:val="21"/>
              </w:rPr>
            </w:pPr>
            <w:r>
              <w:rPr>
                <w:rFonts w:hint="eastAsia" w:ascii="宋体" w:hAnsi="宋体" w:eastAsia="宋体" w:cs="宋体"/>
                <w:b/>
                <w:szCs w:val="21"/>
              </w:rPr>
              <w:t>课程目标</w:t>
            </w:r>
          </w:p>
        </w:tc>
        <w:tc>
          <w:tcPr>
            <w:tcW w:w="3586" w:type="dxa"/>
            <w:vAlign w:val="center"/>
          </w:tcPr>
          <w:p w14:paraId="45F18599">
            <w:pPr>
              <w:jc w:val="center"/>
              <w:rPr>
                <w:rFonts w:hint="eastAsia" w:ascii="宋体" w:hAnsi="宋体" w:eastAsia="宋体" w:cs="宋体"/>
                <w:b/>
                <w:bCs/>
                <w:szCs w:val="21"/>
              </w:rPr>
            </w:pPr>
            <w:r>
              <w:rPr>
                <w:rFonts w:hint="eastAsia" w:ascii="宋体" w:hAnsi="宋体" w:eastAsia="宋体" w:cs="宋体"/>
                <w:b/>
                <w:bCs/>
                <w:szCs w:val="21"/>
              </w:rPr>
              <w:t>预期学习成效</w:t>
            </w:r>
          </w:p>
        </w:tc>
        <w:tc>
          <w:tcPr>
            <w:tcW w:w="1571" w:type="dxa"/>
            <w:vAlign w:val="center"/>
          </w:tcPr>
          <w:p w14:paraId="5D9F2ADA">
            <w:pPr>
              <w:jc w:val="center"/>
              <w:rPr>
                <w:rFonts w:hint="eastAsia" w:ascii="宋体" w:hAnsi="宋体" w:eastAsia="宋体" w:cs="宋体"/>
                <w:b/>
                <w:bCs/>
                <w:szCs w:val="21"/>
              </w:rPr>
            </w:pPr>
            <w:r>
              <w:rPr>
                <w:rFonts w:hint="eastAsia" w:ascii="宋体" w:hAnsi="宋体" w:eastAsia="宋体" w:cs="宋体"/>
                <w:b/>
                <w:bCs/>
                <w:szCs w:val="21"/>
              </w:rPr>
              <w:t>实现</w:t>
            </w:r>
          </w:p>
          <w:p w14:paraId="3E3BD918">
            <w:pPr>
              <w:jc w:val="center"/>
              <w:rPr>
                <w:rFonts w:hint="eastAsia" w:ascii="宋体" w:hAnsi="宋体" w:eastAsia="宋体" w:cs="宋体"/>
                <w:b/>
                <w:bCs/>
                <w:szCs w:val="21"/>
              </w:rPr>
            </w:pPr>
            <w:r>
              <w:rPr>
                <w:rFonts w:hint="eastAsia" w:ascii="宋体" w:hAnsi="宋体" w:eastAsia="宋体" w:cs="宋体"/>
                <w:b/>
                <w:bCs/>
                <w:szCs w:val="21"/>
              </w:rPr>
              <w:t>环节</w:t>
            </w:r>
          </w:p>
        </w:tc>
        <w:tc>
          <w:tcPr>
            <w:tcW w:w="708" w:type="dxa"/>
            <w:vAlign w:val="center"/>
          </w:tcPr>
          <w:p w14:paraId="190436C7">
            <w:pPr>
              <w:jc w:val="center"/>
              <w:rPr>
                <w:rFonts w:hint="eastAsia" w:ascii="宋体" w:hAnsi="宋体" w:eastAsia="宋体" w:cs="宋体"/>
                <w:b/>
                <w:bCs/>
                <w:szCs w:val="21"/>
              </w:rPr>
            </w:pPr>
            <w:r>
              <w:rPr>
                <w:rFonts w:hint="eastAsia" w:ascii="宋体" w:hAnsi="宋体" w:eastAsia="宋体" w:cs="宋体"/>
                <w:b/>
                <w:bCs/>
                <w:szCs w:val="21"/>
              </w:rPr>
              <w:t>学时</w:t>
            </w:r>
          </w:p>
        </w:tc>
      </w:tr>
      <w:tr w14:paraId="5F2C32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7" w:hRule="atLeast"/>
          <w:jc w:val="center"/>
        </w:trPr>
        <w:tc>
          <w:tcPr>
            <w:tcW w:w="1488" w:type="dxa"/>
            <w:vAlign w:val="center"/>
          </w:tcPr>
          <w:p w14:paraId="5419A7A4">
            <w:pPr>
              <w:adjustRightInd w:val="0"/>
              <w:snapToGrid w:val="0"/>
              <w:jc w:val="center"/>
              <w:rPr>
                <w:rFonts w:hint="eastAsia" w:ascii="宋体" w:hAnsi="宋体" w:eastAsia="宋体" w:cs="宋体"/>
                <w:bCs/>
                <w:szCs w:val="21"/>
              </w:rPr>
            </w:pPr>
            <w:r>
              <w:rPr>
                <w:rFonts w:hint="eastAsia" w:ascii="宋体" w:hAnsi="宋体" w:eastAsia="宋体" w:cs="宋体"/>
                <w:bCs/>
                <w:szCs w:val="21"/>
              </w:rPr>
              <w:t xml:space="preserve">绪论 </w:t>
            </w:r>
          </w:p>
          <w:p w14:paraId="77412BF8">
            <w:pPr>
              <w:adjustRightInd w:val="0"/>
              <w:snapToGrid w:val="0"/>
              <w:rPr>
                <w:rFonts w:hint="eastAsia" w:ascii="宋体" w:hAnsi="宋体" w:eastAsia="宋体" w:cs="宋体"/>
                <w:bCs/>
                <w:szCs w:val="21"/>
              </w:rPr>
            </w:pPr>
            <w:r>
              <w:rPr>
                <w:rFonts w:hint="eastAsia" w:ascii="宋体" w:hAnsi="宋体" w:eastAsia="宋体" w:cs="宋体"/>
                <w:bCs/>
                <w:szCs w:val="21"/>
              </w:rPr>
              <w:t>担当复兴大任 成就时代新人</w:t>
            </w:r>
          </w:p>
        </w:tc>
        <w:tc>
          <w:tcPr>
            <w:tcW w:w="2486" w:type="dxa"/>
            <w:vAlign w:val="center"/>
          </w:tcPr>
          <w:p w14:paraId="1A40D0CB">
            <w:pPr>
              <w:adjustRightInd w:val="0"/>
              <w:snapToGrid w:val="0"/>
              <w:rPr>
                <w:rFonts w:hint="eastAsia" w:ascii="宋体" w:hAnsi="宋体" w:eastAsia="宋体" w:cs="宋体"/>
                <w:szCs w:val="21"/>
              </w:rPr>
            </w:pPr>
            <w:r>
              <w:rPr>
                <w:rFonts w:hint="eastAsia" w:ascii="宋体" w:hAnsi="宋体" w:eastAsia="宋体" w:cs="宋体"/>
                <w:szCs w:val="21"/>
              </w:rPr>
              <w:t>（1）我们处在中国特色社会主义新时代</w:t>
            </w:r>
          </w:p>
          <w:p w14:paraId="4396AD6C">
            <w:pPr>
              <w:adjustRightInd w:val="0"/>
              <w:snapToGrid w:val="0"/>
              <w:rPr>
                <w:rFonts w:hint="eastAsia" w:ascii="宋体" w:hAnsi="宋体" w:eastAsia="宋体" w:cs="宋体"/>
                <w:szCs w:val="21"/>
              </w:rPr>
            </w:pPr>
            <w:r>
              <w:rPr>
                <w:rFonts w:hint="eastAsia" w:ascii="宋体" w:hAnsi="宋体" w:eastAsia="宋体" w:cs="宋体"/>
                <w:szCs w:val="21"/>
              </w:rPr>
              <w:t>（2）新时代呼唤民族复兴大任的时代新人</w:t>
            </w:r>
          </w:p>
          <w:p w14:paraId="0687F27D">
            <w:pPr>
              <w:adjustRightInd w:val="0"/>
              <w:snapToGrid w:val="0"/>
              <w:rPr>
                <w:rFonts w:hint="eastAsia" w:ascii="宋体" w:hAnsi="宋体" w:eastAsia="宋体" w:cs="宋体"/>
                <w:szCs w:val="21"/>
              </w:rPr>
            </w:pPr>
            <w:r>
              <w:rPr>
                <w:rFonts w:hint="eastAsia" w:ascii="宋体" w:hAnsi="宋体" w:eastAsia="宋体" w:cs="宋体"/>
                <w:szCs w:val="21"/>
              </w:rPr>
              <w:t>（3）不断提升思想道德素质和法治素养</w:t>
            </w:r>
          </w:p>
        </w:tc>
        <w:tc>
          <w:tcPr>
            <w:tcW w:w="1082" w:type="dxa"/>
            <w:vAlign w:val="center"/>
          </w:tcPr>
          <w:p w14:paraId="286E4841">
            <w:pPr>
              <w:jc w:val="center"/>
              <w:rPr>
                <w:rFonts w:hint="eastAsia" w:ascii="宋体" w:hAnsi="宋体" w:eastAsia="宋体" w:cs="宋体"/>
                <w:szCs w:val="21"/>
              </w:rPr>
            </w:pPr>
            <w:r>
              <w:rPr>
                <w:rFonts w:hint="eastAsia" w:ascii="宋体" w:hAnsi="宋体" w:eastAsia="宋体" w:cs="宋体"/>
                <w:szCs w:val="21"/>
              </w:rPr>
              <w:t>目标1</w:t>
            </w:r>
          </w:p>
          <w:p w14:paraId="29D6AAD9">
            <w:pPr>
              <w:jc w:val="center"/>
              <w:rPr>
                <w:rFonts w:hint="eastAsia" w:ascii="宋体" w:hAnsi="宋体" w:eastAsia="宋体" w:cs="宋体"/>
                <w:szCs w:val="21"/>
              </w:rPr>
            </w:pPr>
            <w:r>
              <w:rPr>
                <w:rFonts w:hint="eastAsia" w:ascii="宋体" w:hAnsi="宋体" w:eastAsia="宋体" w:cs="宋体"/>
                <w:szCs w:val="21"/>
              </w:rPr>
              <w:t>目标2</w:t>
            </w:r>
          </w:p>
          <w:p w14:paraId="2B651A61">
            <w:pPr>
              <w:jc w:val="center"/>
              <w:rPr>
                <w:rFonts w:hint="eastAsia" w:ascii="宋体" w:hAnsi="宋体" w:eastAsia="宋体" w:cs="宋体"/>
                <w:szCs w:val="21"/>
              </w:rPr>
            </w:pPr>
            <w:r>
              <w:rPr>
                <w:rFonts w:hint="eastAsia" w:ascii="宋体" w:hAnsi="宋体" w:eastAsia="宋体" w:cs="宋体"/>
                <w:szCs w:val="21"/>
              </w:rPr>
              <w:t>目标3</w:t>
            </w:r>
          </w:p>
        </w:tc>
        <w:tc>
          <w:tcPr>
            <w:tcW w:w="3586" w:type="dxa"/>
            <w:vAlign w:val="center"/>
          </w:tcPr>
          <w:p w14:paraId="60B1C305">
            <w:pPr>
              <w:autoSpaceDE w:val="0"/>
              <w:autoSpaceDN w:val="0"/>
              <w:adjustRightInd w:val="0"/>
              <w:rPr>
                <w:rFonts w:hint="eastAsia" w:ascii="宋体" w:hAnsi="宋体" w:eastAsia="宋体" w:cs="宋体"/>
                <w:kern w:val="0"/>
                <w:szCs w:val="21"/>
              </w:rPr>
            </w:pPr>
            <w:r>
              <w:rPr>
                <w:rFonts w:hint="eastAsia" w:ascii="宋体" w:hAnsi="宋体" w:eastAsia="宋体" w:cs="宋体"/>
                <w:kern w:val="0"/>
                <w:szCs w:val="21"/>
              </w:rPr>
              <w:t>了解中国发展的新方位，中国特色社会主义进入了新时代；理解中国特色社会主义进入新时代的实践价值和世界意义；掌握学习本课程的学习方法，增强学习的积极性和主动性，明确自己肩负的历史使命和时代责任</w:t>
            </w:r>
          </w:p>
        </w:tc>
        <w:tc>
          <w:tcPr>
            <w:tcW w:w="1571" w:type="dxa"/>
            <w:vAlign w:val="center"/>
          </w:tcPr>
          <w:p w14:paraId="1E93711B">
            <w:pPr>
              <w:jc w:val="left"/>
              <w:rPr>
                <w:rFonts w:hint="eastAsia" w:ascii="宋体" w:hAnsi="宋体" w:eastAsia="宋体" w:cs="Times New Roman"/>
                <w:szCs w:val="21"/>
              </w:rPr>
            </w:pPr>
            <w:r>
              <w:rPr>
                <w:rFonts w:hint="eastAsia" w:ascii="宋体" w:hAnsi="宋体" w:eastAsia="宋体" w:cs="Times New Roman"/>
                <w:szCs w:val="21"/>
              </w:rPr>
              <w:t>1.线上学习</w:t>
            </w:r>
          </w:p>
          <w:p w14:paraId="1966EDEE">
            <w:pPr>
              <w:jc w:val="left"/>
              <w:rPr>
                <w:rFonts w:hint="eastAsia" w:ascii="宋体" w:hAnsi="宋体" w:eastAsia="宋体" w:cs="Times New Roman"/>
                <w:szCs w:val="21"/>
              </w:rPr>
            </w:pPr>
            <w:r>
              <w:rPr>
                <w:rFonts w:hint="eastAsia" w:ascii="宋体" w:hAnsi="宋体" w:eastAsia="宋体" w:cs="Times New Roman"/>
                <w:szCs w:val="21"/>
              </w:rPr>
              <w:t>2.多媒体教学</w:t>
            </w:r>
          </w:p>
          <w:p w14:paraId="1CC28420">
            <w:pPr>
              <w:jc w:val="left"/>
              <w:rPr>
                <w:rFonts w:hint="eastAsia" w:ascii="宋体" w:hAnsi="宋体" w:eastAsia="宋体" w:cs="Times New Roman"/>
                <w:szCs w:val="21"/>
              </w:rPr>
            </w:pPr>
            <w:r>
              <w:rPr>
                <w:rFonts w:hint="eastAsia" w:ascii="宋体" w:hAnsi="宋体" w:eastAsia="宋体" w:cs="Times New Roman"/>
                <w:szCs w:val="21"/>
              </w:rPr>
              <w:t>3.课堂讨论</w:t>
            </w:r>
          </w:p>
          <w:p w14:paraId="6D539018">
            <w:pPr>
              <w:rPr>
                <w:rFonts w:hint="eastAsia" w:ascii="宋体" w:hAnsi="宋体" w:eastAsia="宋体" w:cs="宋体"/>
                <w:szCs w:val="21"/>
              </w:rPr>
            </w:pPr>
            <w:r>
              <w:rPr>
                <w:rFonts w:hint="eastAsia" w:ascii="宋体" w:hAnsi="宋体" w:eastAsia="宋体" w:cs="Times New Roman"/>
                <w:szCs w:val="21"/>
              </w:rPr>
              <w:t>4.单元测验</w:t>
            </w:r>
          </w:p>
        </w:tc>
        <w:tc>
          <w:tcPr>
            <w:tcW w:w="708" w:type="dxa"/>
            <w:vAlign w:val="center"/>
          </w:tcPr>
          <w:p w14:paraId="39CBEC12">
            <w:pPr>
              <w:jc w:val="center"/>
              <w:rPr>
                <w:rFonts w:hint="eastAsia" w:ascii="宋体" w:hAnsi="宋体" w:eastAsia="宋体" w:cs="宋体"/>
                <w:szCs w:val="21"/>
              </w:rPr>
            </w:pPr>
            <w:r>
              <w:rPr>
                <w:rFonts w:hint="eastAsia" w:ascii="宋体" w:hAnsi="宋体" w:eastAsia="宋体" w:cs="宋体"/>
                <w:szCs w:val="21"/>
              </w:rPr>
              <w:t>2</w:t>
            </w:r>
          </w:p>
        </w:tc>
      </w:tr>
      <w:tr w14:paraId="7FD1A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8" w:type="dxa"/>
            <w:vAlign w:val="center"/>
          </w:tcPr>
          <w:p w14:paraId="3D88E973">
            <w:pPr>
              <w:adjustRightInd w:val="0"/>
              <w:snapToGrid w:val="0"/>
              <w:jc w:val="center"/>
              <w:rPr>
                <w:rFonts w:hint="eastAsia" w:ascii="宋体" w:hAnsi="宋体" w:eastAsia="宋体" w:cs="宋体"/>
                <w:szCs w:val="21"/>
              </w:rPr>
            </w:pPr>
            <w:r>
              <w:rPr>
                <w:rFonts w:hint="eastAsia" w:ascii="宋体" w:hAnsi="宋体" w:eastAsia="宋体" w:cs="宋体"/>
                <w:szCs w:val="21"/>
              </w:rPr>
              <w:t xml:space="preserve">第一章 </w:t>
            </w:r>
          </w:p>
          <w:p w14:paraId="4870BA9E">
            <w:pPr>
              <w:adjustRightInd w:val="0"/>
              <w:snapToGrid w:val="0"/>
              <w:jc w:val="center"/>
              <w:rPr>
                <w:rFonts w:hint="eastAsia" w:ascii="宋体" w:hAnsi="宋体" w:eastAsia="宋体" w:cs="宋体"/>
                <w:szCs w:val="21"/>
              </w:rPr>
            </w:pPr>
            <w:r>
              <w:rPr>
                <w:rFonts w:hint="eastAsia" w:ascii="宋体" w:hAnsi="宋体" w:eastAsia="宋体" w:cs="宋体"/>
                <w:szCs w:val="21"/>
              </w:rPr>
              <w:t>领悟人生真谛 把握人生方向</w:t>
            </w:r>
          </w:p>
        </w:tc>
        <w:tc>
          <w:tcPr>
            <w:tcW w:w="2486" w:type="dxa"/>
            <w:vAlign w:val="center"/>
          </w:tcPr>
          <w:p w14:paraId="27B41112">
            <w:pPr>
              <w:rPr>
                <w:rFonts w:hint="eastAsia" w:ascii="宋体" w:hAnsi="宋体" w:eastAsia="宋体" w:cs="宋体"/>
                <w:szCs w:val="21"/>
              </w:rPr>
            </w:pPr>
            <w:r>
              <w:rPr>
                <w:rFonts w:hint="eastAsia" w:ascii="宋体" w:hAnsi="宋体" w:eastAsia="宋体" w:cs="宋体"/>
                <w:szCs w:val="21"/>
              </w:rPr>
              <w:t>（1）人生观是对人生的总看法</w:t>
            </w:r>
          </w:p>
          <w:p w14:paraId="41FFB8EE">
            <w:pPr>
              <w:rPr>
                <w:rFonts w:hint="eastAsia" w:ascii="宋体" w:hAnsi="宋体" w:eastAsia="宋体" w:cs="宋体"/>
                <w:szCs w:val="21"/>
              </w:rPr>
            </w:pPr>
            <w:r>
              <w:rPr>
                <w:rFonts w:hint="eastAsia" w:ascii="宋体" w:hAnsi="宋体" w:eastAsia="宋体" w:cs="宋体"/>
                <w:szCs w:val="21"/>
              </w:rPr>
              <w:t>（2）正确的人生观</w:t>
            </w:r>
          </w:p>
          <w:p w14:paraId="0A6650B1">
            <w:pPr>
              <w:rPr>
                <w:rFonts w:hint="eastAsia" w:ascii="宋体" w:hAnsi="宋体" w:eastAsia="宋体" w:cs="宋体"/>
                <w:szCs w:val="21"/>
              </w:rPr>
            </w:pPr>
            <w:r>
              <w:rPr>
                <w:rFonts w:hint="eastAsia" w:ascii="宋体" w:hAnsi="宋体" w:eastAsia="宋体" w:cs="宋体"/>
                <w:szCs w:val="21"/>
              </w:rPr>
              <w:t>（3）创造有意义的人生</w:t>
            </w:r>
          </w:p>
        </w:tc>
        <w:tc>
          <w:tcPr>
            <w:tcW w:w="1082" w:type="dxa"/>
            <w:vAlign w:val="center"/>
          </w:tcPr>
          <w:p w14:paraId="12323BB1">
            <w:pPr>
              <w:jc w:val="center"/>
              <w:rPr>
                <w:rFonts w:hint="eastAsia" w:ascii="宋体" w:hAnsi="宋体" w:eastAsia="宋体" w:cs="宋体"/>
                <w:szCs w:val="21"/>
              </w:rPr>
            </w:pPr>
            <w:r>
              <w:rPr>
                <w:rFonts w:hint="eastAsia" w:ascii="宋体" w:hAnsi="宋体" w:eastAsia="宋体" w:cs="宋体"/>
                <w:szCs w:val="21"/>
              </w:rPr>
              <w:t>目标1</w:t>
            </w:r>
          </w:p>
        </w:tc>
        <w:tc>
          <w:tcPr>
            <w:tcW w:w="3586" w:type="dxa"/>
            <w:vAlign w:val="center"/>
          </w:tcPr>
          <w:p w14:paraId="2C28C148">
            <w:pPr>
              <w:rPr>
                <w:rFonts w:hint="eastAsia" w:ascii="宋体" w:hAnsi="宋体" w:eastAsia="宋体" w:cs="宋体"/>
                <w:szCs w:val="21"/>
              </w:rPr>
            </w:pPr>
            <w:r>
              <w:rPr>
                <w:rFonts w:hint="eastAsia" w:ascii="宋体" w:hAnsi="宋体" w:eastAsia="宋体" w:cs="宋体"/>
                <w:szCs w:val="21"/>
              </w:rPr>
              <w:t>了解人生观的基本内涵以及对人生的重要作用；理解树立为人民服务的人生观的重要意义；掌握处理各种关系的方法，立志在实践中创造有价值的人生，做到和谐发展</w:t>
            </w:r>
          </w:p>
        </w:tc>
        <w:tc>
          <w:tcPr>
            <w:tcW w:w="1571" w:type="dxa"/>
            <w:vAlign w:val="center"/>
          </w:tcPr>
          <w:p w14:paraId="328BA1AD">
            <w:pPr>
              <w:jc w:val="left"/>
              <w:rPr>
                <w:rFonts w:hint="eastAsia" w:ascii="宋体" w:hAnsi="宋体" w:eastAsia="宋体" w:cs="Times New Roman"/>
                <w:szCs w:val="21"/>
              </w:rPr>
            </w:pPr>
            <w:r>
              <w:rPr>
                <w:rFonts w:hint="eastAsia" w:ascii="宋体" w:hAnsi="宋体" w:eastAsia="宋体" w:cs="Times New Roman"/>
                <w:szCs w:val="21"/>
              </w:rPr>
              <w:t>1.线上学习</w:t>
            </w:r>
          </w:p>
          <w:p w14:paraId="31C63E5E">
            <w:pPr>
              <w:jc w:val="left"/>
              <w:rPr>
                <w:rFonts w:hint="eastAsia" w:ascii="宋体" w:hAnsi="宋体" w:eastAsia="宋体" w:cs="Times New Roman"/>
                <w:szCs w:val="21"/>
              </w:rPr>
            </w:pPr>
            <w:r>
              <w:rPr>
                <w:rFonts w:hint="eastAsia" w:ascii="宋体" w:hAnsi="宋体" w:eastAsia="宋体" w:cs="Times New Roman"/>
                <w:szCs w:val="21"/>
              </w:rPr>
              <w:t>2.多媒体教学</w:t>
            </w:r>
          </w:p>
          <w:p w14:paraId="1D5371CB">
            <w:pPr>
              <w:jc w:val="left"/>
              <w:rPr>
                <w:rFonts w:hint="eastAsia" w:ascii="宋体" w:hAnsi="宋体" w:eastAsia="宋体" w:cs="Times New Roman"/>
                <w:szCs w:val="21"/>
              </w:rPr>
            </w:pPr>
            <w:r>
              <w:rPr>
                <w:rFonts w:hint="eastAsia" w:ascii="宋体" w:hAnsi="宋体" w:eastAsia="宋体" w:cs="Times New Roman"/>
                <w:szCs w:val="21"/>
              </w:rPr>
              <w:t>3.课堂讨论</w:t>
            </w:r>
          </w:p>
          <w:p w14:paraId="254143D4">
            <w:pPr>
              <w:rPr>
                <w:rFonts w:hint="eastAsia" w:ascii="宋体" w:hAnsi="宋体" w:eastAsia="宋体" w:cs="宋体"/>
                <w:szCs w:val="21"/>
              </w:rPr>
            </w:pPr>
            <w:r>
              <w:rPr>
                <w:rFonts w:hint="eastAsia" w:ascii="宋体" w:hAnsi="宋体" w:eastAsia="宋体" w:cs="Times New Roman"/>
                <w:szCs w:val="21"/>
              </w:rPr>
              <w:t>4.单元测验</w:t>
            </w:r>
          </w:p>
        </w:tc>
        <w:tc>
          <w:tcPr>
            <w:tcW w:w="708" w:type="dxa"/>
            <w:vAlign w:val="center"/>
          </w:tcPr>
          <w:p w14:paraId="53D3CFA4">
            <w:pPr>
              <w:jc w:val="center"/>
              <w:rPr>
                <w:rFonts w:hint="eastAsia" w:ascii="宋体" w:hAnsi="宋体" w:eastAsia="宋体" w:cs="宋体"/>
                <w:szCs w:val="21"/>
              </w:rPr>
            </w:pPr>
            <w:r>
              <w:rPr>
                <w:rFonts w:hint="eastAsia" w:ascii="宋体" w:hAnsi="宋体" w:eastAsia="宋体" w:cs="宋体"/>
                <w:szCs w:val="21"/>
              </w:rPr>
              <w:t>6</w:t>
            </w:r>
          </w:p>
        </w:tc>
      </w:tr>
      <w:tr w14:paraId="5A1F9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8" w:type="dxa"/>
            <w:vAlign w:val="center"/>
          </w:tcPr>
          <w:p w14:paraId="28E15096">
            <w:pPr>
              <w:jc w:val="center"/>
              <w:rPr>
                <w:rFonts w:hint="eastAsia" w:ascii="宋体" w:hAnsi="宋体" w:eastAsia="宋体" w:cs="宋体"/>
                <w:szCs w:val="21"/>
              </w:rPr>
            </w:pPr>
            <w:r>
              <w:rPr>
                <w:rFonts w:hint="eastAsia" w:ascii="宋体" w:hAnsi="宋体" w:eastAsia="宋体" w:cs="宋体"/>
                <w:szCs w:val="21"/>
              </w:rPr>
              <w:t xml:space="preserve">第二章 </w:t>
            </w:r>
          </w:p>
          <w:p w14:paraId="66DD598A">
            <w:pPr>
              <w:jc w:val="center"/>
              <w:rPr>
                <w:rFonts w:hint="eastAsia" w:ascii="宋体" w:hAnsi="宋体" w:eastAsia="宋体" w:cs="宋体"/>
                <w:szCs w:val="21"/>
              </w:rPr>
            </w:pPr>
            <w:r>
              <w:rPr>
                <w:rFonts w:hint="eastAsia" w:ascii="宋体" w:hAnsi="宋体" w:eastAsia="宋体" w:cs="宋体"/>
                <w:szCs w:val="21"/>
              </w:rPr>
              <w:t>追求远大理想 坚定崇高信念</w:t>
            </w:r>
          </w:p>
        </w:tc>
        <w:tc>
          <w:tcPr>
            <w:tcW w:w="2486" w:type="dxa"/>
            <w:vAlign w:val="center"/>
          </w:tcPr>
          <w:p w14:paraId="54C0F52C">
            <w:pPr>
              <w:rPr>
                <w:rFonts w:hint="eastAsia" w:ascii="宋体" w:hAnsi="宋体" w:eastAsia="宋体" w:cs="宋体"/>
                <w:szCs w:val="21"/>
              </w:rPr>
            </w:pPr>
            <w:r>
              <w:rPr>
                <w:rFonts w:hint="eastAsia" w:ascii="宋体" w:hAnsi="宋体" w:eastAsia="宋体" w:cs="宋体"/>
                <w:szCs w:val="21"/>
              </w:rPr>
              <w:t>（1）理想信念的内涵及重要性</w:t>
            </w:r>
          </w:p>
          <w:p w14:paraId="098A845C">
            <w:pPr>
              <w:rPr>
                <w:rFonts w:hint="eastAsia" w:ascii="宋体" w:hAnsi="宋体" w:eastAsia="宋体" w:cs="宋体"/>
                <w:szCs w:val="21"/>
              </w:rPr>
            </w:pPr>
            <w:r>
              <w:rPr>
                <w:rFonts w:hint="eastAsia" w:ascii="宋体" w:hAnsi="宋体" w:eastAsia="宋体" w:cs="宋体"/>
                <w:szCs w:val="21"/>
              </w:rPr>
              <w:t>（2）坚定信仰信念信心</w:t>
            </w:r>
          </w:p>
          <w:p w14:paraId="22047C10">
            <w:pPr>
              <w:rPr>
                <w:rFonts w:hint="eastAsia" w:ascii="宋体" w:hAnsi="宋体" w:eastAsia="宋体" w:cs="宋体"/>
                <w:szCs w:val="21"/>
              </w:rPr>
            </w:pPr>
            <w:r>
              <w:rPr>
                <w:rFonts w:hint="eastAsia" w:ascii="宋体" w:hAnsi="宋体" w:eastAsia="宋体" w:cs="宋体"/>
                <w:szCs w:val="21"/>
              </w:rPr>
              <w:t>（3）在实现中国梦的实践中放飞青春梦想</w:t>
            </w:r>
          </w:p>
        </w:tc>
        <w:tc>
          <w:tcPr>
            <w:tcW w:w="1082" w:type="dxa"/>
            <w:vAlign w:val="center"/>
          </w:tcPr>
          <w:p w14:paraId="211845F6">
            <w:pPr>
              <w:jc w:val="center"/>
              <w:rPr>
                <w:rFonts w:hint="eastAsia" w:ascii="宋体" w:hAnsi="宋体" w:eastAsia="宋体" w:cs="宋体"/>
                <w:szCs w:val="21"/>
              </w:rPr>
            </w:pPr>
            <w:r>
              <w:rPr>
                <w:rFonts w:hint="eastAsia" w:ascii="宋体" w:hAnsi="宋体" w:eastAsia="宋体" w:cs="宋体"/>
                <w:szCs w:val="21"/>
              </w:rPr>
              <w:t>目标1</w:t>
            </w:r>
          </w:p>
        </w:tc>
        <w:tc>
          <w:tcPr>
            <w:tcW w:w="3586" w:type="dxa"/>
            <w:vAlign w:val="center"/>
          </w:tcPr>
          <w:p w14:paraId="3B40A12B">
            <w:pPr>
              <w:rPr>
                <w:rFonts w:hint="eastAsia" w:ascii="宋体" w:hAnsi="宋体" w:eastAsia="宋体" w:cs="宋体"/>
                <w:szCs w:val="21"/>
              </w:rPr>
            </w:pPr>
            <w:r>
              <w:rPr>
                <w:rFonts w:hint="eastAsia" w:ascii="宋体" w:hAnsi="宋体" w:eastAsia="宋体" w:cs="宋体"/>
                <w:szCs w:val="21"/>
              </w:rPr>
              <w:t>了解理想信念、共同理想的含义和特征；理解理想信念对大学生成才的重要意义，树立马克思主义的崇高的理想信念；掌握把理想转化为现实，实现中国梦的基本条件</w:t>
            </w:r>
          </w:p>
        </w:tc>
        <w:tc>
          <w:tcPr>
            <w:tcW w:w="1571" w:type="dxa"/>
            <w:vAlign w:val="center"/>
          </w:tcPr>
          <w:p w14:paraId="3973CE4E">
            <w:pPr>
              <w:jc w:val="left"/>
              <w:rPr>
                <w:rFonts w:hint="eastAsia" w:ascii="宋体" w:hAnsi="宋体" w:eastAsia="宋体" w:cs="Times New Roman"/>
                <w:szCs w:val="21"/>
              </w:rPr>
            </w:pPr>
            <w:r>
              <w:rPr>
                <w:rFonts w:hint="eastAsia" w:ascii="宋体" w:hAnsi="宋体" w:eastAsia="宋体" w:cs="Times New Roman"/>
                <w:szCs w:val="21"/>
              </w:rPr>
              <w:t>1.线上学习</w:t>
            </w:r>
          </w:p>
          <w:p w14:paraId="2ABE5E74">
            <w:pPr>
              <w:jc w:val="left"/>
              <w:rPr>
                <w:rFonts w:hint="eastAsia" w:ascii="宋体" w:hAnsi="宋体" w:eastAsia="宋体" w:cs="Times New Roman"/>
                <w:szCs w:val="21"/>
              </w:rPr>
            </w:pPr>
            <w:r>
              <w:rPr>
                <w:rFonts w:hint="eastAsia" w:ascii="宋体" w:hAnsi="宋体" w:eastAsia="宋体" w:cs="Times New Roman"/>
                <w:szCs w:val="21"/>
              </w:rPr>
              <w:t>2.多媒体教学</w:t>
            </w:r>
          </w:p>
          <w:p w14:paraId="643A52FE">
            <w:pPr>
              <w:jc w:val="left"/>
              <w:rPr>
                <w:rFonts w:hint="eastAsia" w:ascii="宋体" w:hAnsi="宋体" w:eastAsia="宋体" w:cs="Times New Roman"/>
                <w:szCs w:val="21"/>
              </w:rPr>
            </w:pPr>
            <w:r>
              <w:rPr>
                <w:rFonts w:hint="eastAsia" w:ascii="宋体" w:hAnsi="宋体" w:eastAsia="宋体" w:cs="Times New Roman"/>
                <w:szCs w:val="21"/>
              </w:rPr>
              <w:t>3.课堂讨论</w:t>
            </w:r>
          </w:p>
          <w:p w14:paraId="2C8EC5B9">
            <w:pPr>
              <w:rPr>
                <w:rFonts w:hint="eastAsia" w:ascii="宋体" w:hAnsi="宋体" w:eastAsia="宋体" w:cs="宋体"/>
                <w:szCs w:val="21"/>
              </w:rPr>
            </w:pPr>
            <w:r>
              <w:rPr>
                <w:rFonts w:hint="eastAsia" w:ascii="宋体" w:hAnsi="宋体" w:eastAsia="宋体" w:cs="Times New Roman"/>
                <w:szCs w:val="21"/>
              </w:rPr>
              <w:t>4.单元测验</w:t>
            </w:r>
          </w:p>
        </w:tc>
        <w:tc>
          <w:tcPr>
            <w:tcW w:w="708" w:type="dxa"/>
            <w:vAlign w:val="center"/>
          </w:tcPr>
          <w:p w14:paraId="7C440FD0">
            <w:pPr>
              <w:jc w:val="center"/>
              <w:rPr>
                <w:rFonts w:hint="eastAsia" w:ascii="宋体" w:hAnsi="宋体" w:eastAsia="宋体" w:cs="宋体"/>
                <w:szCs w:val="21"/>
              </w:rPr>
            </w:pPr>
            <w:r>
              <w:rPr>
                <w:rFonts w:hint="eastAsia" w:ascii="宋体" w:hAnsi="宋体" w:eastAsia="宋体" w:cs="宋体"/>
                <w:szCs w:val="21"/>
              </w:rPr>
              <w:t>6</w:t>
            </w:r>
          </w:p>
        </w:tc>
      </w:tr>
      <w:tr w14:paraId="7C702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8" w:type="dxa"/>
            <w:vAlign w:val="center"/>
          </w:tcPr>
          <w:p w14:paraId="08A207D2">
            <w:pPr>
              <w:jc w:val="center"/>
              <w:rPr>
                <w:rFonts w:hint="eastAsia" w:ascii="宋体" w:hAnsi="宋体" w:eastAsia="宋体" w:cs="宋体"/>
                <w:szCs w:val="21"/>
              </w:rPr>
            </w:pPr>
            <w:r>
              <w:rPr>
                <w:rFonts w:hint="eastAsia" w:ascii="宋体" w:hAnsi="宋体" w:eastAsia="宋体" w:cs="宋体"/>
                <w:szCs w:val="21"/>
              </w:rPr>
              <w:t xml:space="preserve">第三章 </w:t>
            </w:r>
          </w:p>
          <w:p w14:paraId="4B12B916">
            <w:pPr>
              <w:jc w:val="center"/>
              <w:rPr>
                <w:rFonts w:hint="eastAsia" w:ascii="宋体" w:hAnsi="宋体" w:eastAsia="宋体" w:cs="宋体"/>
                <w:szCs w:val="21"/>
              </w:rPr>
            </w:pPr>
            <w:r>
              <w:rPr>
                <w:rFonts w:hint="eastAsia" w:ascii="宋体" w:hAnsi="宋体" w:eastAsia="宋体" w:cs="宋体"/>
                <w:szCs w:val="21"/>
              </w:rPr>
              <w:t>继承优良传统 弘扬中国精神</w:t>
            </w:r>
          </w:p>
        </w:tc>
        <w:tc>
          <w:tcPr>
            <w:tcW w:w="2486" w:type="dxa"/>
            <w:vAlign w:val="center"/>
          </w:tcPr>
          <w:p w14:paraId="28536ADE">
            <w:pPr>
              <w:rPr>
                <w:rFonts w:hint="eastAsia" w:ascii="宋体" w:hAnsi="宋体" w:eastAsia="宋体" w:cs="宋体"/>
                <w:szCs w:val="21"/>
              </w:rPr>
            </w:pPr>
            <w:r>
              <w:rPr>
                <w:rFonts w:hint="eastAsia" w:ascii="宋体" w:hAnsi="宋体" w:eastAsia="宋体" w:cs="宋体"/>
                <w:szCs w:val="21"/>
              </w:rPr>
              <w:t>（1）中国精神是兴国强国之魂；</w:t>
            </w:r>
          </w:p>
          <w:p w14:paraId="23379361">
            <w:pPr>
              <w:rPr>
                <w:rFonts w:hint="eastAsia" w:ascii="宋体" w:hAnsi="宋体" w:eastAsia="宋体" w:cs="宋体"/>
                <w:szCs w:val="21"/>
              </w:rPr>
            </w:pPr>
            <w:r>
              <w:rPr>
                <w:rFonts w:hint="eastAsia" w:ascii="宋体" w:hAnsi="宋体" w:eastAsia="宋体" w:cs="宋体"/>
                <w:szCs w:val="21"/>
              </w:rPr>
              <w:t>（2）做新时代的忠诚爱国者</w:t>
            </w:r>
          </w:p>
          <w:p w14:paraId="261DA3B7">
            <w:pPr>
              <w:rPr>
                <w:rFonts w:hint="eastAsia" w:ascii="宋体" w:hAnsi="宋体" w:eastAsia="宋体" w:cs="宋体"/>
                <w:szCs w:val="21"/>
              </w:rPr>
            </w:pPr>
            <w:r>
              <w:rPr>
                <w:rFonts w:hint="eastAsia" w:ascii="宋体" w:hAnsi="宋体" w:eastAsia="宋体" w:cs="宋体"/>
                <w:szCs w:val="21"/>
              </w:rPr>
              <w:t>（3）让改革创新成为青春远航的动力</w:t>
            </w:r>
          </w:p>
        </w:tc>
        <w:tc>
          <w:tcPr>
            <w:tcW w:w="1082" w:type="dxa"/>
            <w:vAlign w:val="center"/>
          </w:tcPr>
          <w:p w14:paraId="5A1E7527">
            <w:pPr>
              <w:jc w:val="center"/>
              <w:rPr>
                <w:rFonts w:hint="eastAsia" w:ascii="宋体" w:hAnsi="宋体" w:eastAsia="宋体" w:cs="宋体"/>
                <w:szCs w:val="21"/>
              </w:rPr>
            </w:pPr>
            <w:r>
              <w:rPr>
                <w:rFonts w:hint="eastAsia" w:ascii="宋体" w:hAnsi="宋体" w:eastAsia="宋体" w:cs="宋体"/>
                <w:szCs w:val="21"/>
              </w:rPr>
              <w:t>目标1</w:t>
            </w:r>
          </w:p>
        </w:tc>
        <w:tc>
          <w:tcPr>
            <w:tcW w:w="3586" w:type="dxa"/>
            <w:vAlign w:val="center"/>
          </w:tcPr>
          <w:p w14:paraId="5D81328E">
            <w:pPr>
              <w:autoSpaceDE w:val="0"/>
              <w:autoSpaceDN w:val="0"/>
              <w:adjustRightInd w:val="0"/>
              <w:rPr>
                <w:rFonts w:hint="eastAsia" w:ascii="宋体" w:hAnsi="宋体" w:eastAsia="宋体" w:cs="宋体"/>
                <w:szCs w:val="21"/>
              </w:rPr>
            </w:pPr>
            <w:r>
              <w:rPr>
                <w:rFonts w:hint="eastAsia" w:ascii="宋体" w:hAnsi="宋体" w:eastAsia="宋体" w:cs="宋体"/>
                <w:szCs w:val="21"/>
              </w:rPr>
              <w:t>了解中国精神的科学内涵，实现中国梦必须弘扬中国精神；理解爱国主义的科学内涵和民族精神的优良传统，创新创造是中华民族的民族禀赋；掌握做忠诚的爱国者及改革创新实践者的途径</w:t>
            </w:r>
          </w:p>
        </w:tc>
        <w:tc>
          <w:tcPr>
            <w:tcW w:w="1571" w:type="dxa"/>
            <w:vAlign w:val="center"/>
          </w:tcPr>
          <w:p w14:paraId="407D662D">
            <w:pPr>
              <w:jc w:val="left"/>
              <w:rPr>
                <w:rFonts w:hint="eastAsia" w:ascii="宋体" w:hAnsi="宋体" w:eastAsia="宋体" w:cs="Times New Roman"/>
                <w:szCs w:val="21"/>
              </w:rPr>
            </w:pPr>
            <w:r>
              <w:rPr>
                <w:rFonts w:hint="eastAsia" w:ascii="宋体" w:hAnsi="宋体" w:eastAsia="宋体" w:cs="Times New Roman"/>
                <w:szCs w:val="21"/>
              </w:rPr>
              <w:t>1.线上学习</w:t>
            </w:r>
          </w:p>
          <w:p w14:paraId="25C5981A">
            <w:pPr>
              <w:jc w:val="left"/>
              <w:rPr>
                <w:rFonts w:hint="eastAsia" w:ascii="宋体" w:hAnsi="宋体" w:eastAsia="宋体" w:cs="Times New Roman"/>
                <w:szCs w:val="21"/>
              </w:rPr>
            </w:pPr>
            <w:r>
              <w:rPr>
                <w:rFonts w:hint="eastAsia" w:ascii="宋体" w:hAnsi="宋体" w:eastAsia="宋体" w:cs="Times New Roman"/>
                <w:szCs w:val="21"/>
              </w:rPr>
              <w:t>2.多媒体教学</w:t>
            </w:r>
          </w:p>
          <w:p w14:paraId="2868E96D">
            <w:pPr>
              <w:jc w:val="left"/>
              <w:rPr>
                <w:rFonts w:hint="eastAsia" w:ascii="宋体" w:hAnsi="宋体" w:eastAsia="宋体" w:cs="Times New Roman"/>
                <w:szCs w:val="21"/>
              </w:rPr>
            </w:pPr>
            <w:r>
              <w:rPr>
                <w:rFonts w:hint="eastAsia" w:ascii="宋体" w:hAnsi="宋体" w:eastAsia="宋体" w:cs="Times New Roman"/>
                <w:szCs w:val="21"/>
              </w:rPr>
              <w:t>3.课堂讨论</w:t>
            </w:r>
          </w:p>
          <w:p w14:paraId="5BCFB51E">
            <w:pPr>
              <w:rPr>
                <w:rFonts w:hint="eastAsia" w:ascii="宋体" w:hAnsi="宋体" w:eastAsia="宋体" w:cs="宋体"/>
                <w:szCs w:val="21"/>
              </w:rPr>
            </w:pPr>
            <w:r>
              <w:rPr>
                <w:rFonts w:hint="eastAsia" w:ascii="宋体" w:hAnsi="宋体" w:eastAsia="宋体" w:cs="Times New Roman"/>
                <w:szCs w:val="21"/>
              </w:rPr>
              <w:t>4.单元测验</w:t>
            </w:r>
          </w:p>
        </w:tc>
        <w:tc>
          <w:tcPr>
            <w:tcW w:w="708" w:type="dxa"/>
            <w:vAlign w:val="center"/>
          </w:tcPr>
          <w:p w14:paraId="4A64146B">
            <w:pPr>
              <w:jc w:val="center"/>
              <w:rPr>
                <w:rFonts w:hint="eastAsia" w:ascii="宋体" w:hAnsi="宋体" w:eastAsia="宋体" w:cs="宋体"/>
                <w:szCs w:val="21"/>
              </w:rPr>
            </w:pPr>
            <w:r>
              <w:rPr>
                <w:rFonts w:hint="eastAsia" w:ascii="宋体" w:hAnsi="宋体" w:eastAsia="宋体" w:cs="宋体"/>
                <w:szCs w:val="21"/>
              </w:rPr>
              <w:t>6</w:t>
            </w:r>
          </w:p>
        </w:tc>
      </w:tr>
      <w:tr w14:paraId="5F6BF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8" w:type="dxa"/>
            <w:vAlign w:val="center"/>
          </w:tcPr>
          <w:p w14:paraId="74E8ED07">
            <w:pPr>
              <w:jc w:val="center"/>
              <w:rPr>
                <w:rFonts w:hint="eastAsia" w:ascii="宋体" w:hAnsi="宋体" w:eastAsia="宋体" w:cs="宋体"/>
                <w:szCs w:val="21"/>
              </w:rPr>
            </w:pPr>
            <w:r>
              <w:rPr>
                <w:rFonts w:hint="eastAsia" w:ascii="宋体" w:hAnsi="宋体" w:eastAsia="宋体" w:cs="宋体"/>
                <w:szCs w:val="21"/>
              </w:rPr>
              <w:t xml:space="preserve">第四章 </w:t>
            </w:r>
          </w:p>
          <w:p w14:paraId="26DA260C">
            <w:pPr>
              <w:jc w:val="center"/>
              <w:rPr>
                <w:rFonts w:hint="eastAsia" w:ascii="宋体" w:hAnsi="宋体" w:eastAsia="宋体" w:cs="宋体"/>
                <w:szCs w:val="21"/>
              </w:rPr>
            </w:pPr>
            <w:r>
              <w:rPr>
                <w:rFonts w:hint="eastAsia" w:ascii="宋体" w:hAnsi="宋体" w:eastAsia="宋体" w:cs="宋体"/>
                <w:szCs w:val="21"/>
              </w:rPr>
              <w:t>明确价值要求 践行价值准则</w:t>
            </w:r>
          </w:p>
        </w:tc>
        <w:tc>
          <w:tcPr>
            <w:tcW w:w="2486" w:type="dxa"/>
            <w:vAlign w:val="center"/>
          </w:tcPr>
          <w:p w14:paraId="19F2619E">
            <w:pPr>
              <w:adjustRightInd w:val="0"/>
              <w:snapToGrid w:val="0"/>
              <w:rPr>
                <w:rFonts w:hint="eastAsia" w:ascii="宋体" w:hAnsi="宋体" w:eastAsia="宋体" w:cs="宋体"/>
                <w:szCs w:val="21"/>
              </w:rPr>
            </w:pPr>
            <w:r>
              <w:rPr>
                <w:rFonts w:hint="eastAsia" w:ascii="宋体" w:hAnsi="宋体" w:eastAsia="宋体" w:cs="宋体"/>
                <w:szCs w:val="21"/>
              </w:rPr>
              <w:t>（1）全体人民共同的价值追求</w:t>
            </w:r>
          </w:p>
          <w:p w14:paraId="0297BA47">
            <w:pPr>
              <w:adjustRightInd w:val="0"/>
              <w:snapToGrid w:val="0"/>
              <w:rPr>
                <w:rFonts w:hint="eastAsia" w:ascii="宋体" w:hAnsi="宋体" w:eastAsia="宋体" w:cs="宋体"/>
                <w:szCs w:val="21"/>
              </w:rPr>
            </w:pPr>
            <w:r>
              <w:rPr>
                <w:rFonts w:hint="eastAsia" w:ascii="宋体" w:hAnsi="宋体" w:eastAsia="宋体" w:cs="宋体"/>
                <w:szCs w:val="21"/>
              </w:rPr>
              <w:t>（2)社会主义核心价值观的显著特征</w:t>
            </w:r>
          </w:p>
          <w:p w14:paraId="11D1DB09">
            <w:pPr>
              <w:adjustRightInd w:val="0"/>
              <w:snapToGrid w:val="0"/>
              <w:rPr>
                <w:rFonts w:hint="eastAsia" w:ascii="宋体" w:hAnsi="宋体" w:eastAsia="宋体" w:cs="宋体"/>
                <w:szCs w:val="21"/>
              </w:rPr>
            </w:pPr>
            <w:r>
              <w:rPr>
                <w:rFonts w:hint="eastAsia" w:ascii="宋体" w:hAnsi="宋体" w:eastAsia="宋体" w:cs="宋体"/>
                <w:szCs w:val="21"/>
              </w:rPr>
              <w:t>(3)积极践行社会主义核心价值观</w:t>
            </w:r>
          </w:p>
        </w:tc>
        <w:tc>
          <w:tcPr>
            <w:tcW w:w="1082" w:type="dxa"/>
            <w:vAlign w:val="center"/>
          </w:tcPr>
          <w:p w14:paraId="3ACCA650">
            <w:pPr>
              <w:jc w:val="center"/>
              <w:rPr>
                <w:rFonts w:hint="eastAsia" w:ascii="宋体" w:hAnsi="宋体" w:eastAsia="宋体" w:cs="宋体"/>
                <w:szCs w:val="21"/>
              </w:rPr>
            </w:pPr>
            <w:r>
              <w:rPr>
                <w:rFonts w:hint="eastAsia" w:ascii="宋体" w:hAnsi="宋体" w:eastAsia="宋体" w:cs="宋体"/>
                <w:szCs w:val="21"/>
              </w:rPr>
              <w:t>目标1</w:t>
            </w:r>
          </w:p>
          <w:p w14:paraId="581524D3">
            <w:pPr>
              <w:jc w:val="center"/>
              <w:rPr>
                <w:rFonts w:hint="eastAsia" w:ascii="宋体" w:hAnsi="宋体" w:eastAsia="宋体" w:cs="宋体"/>
                <w:szCs w:val="21"/>
              </w:rPr>
            </w:pPr>
            <w:r>
              <w:rPr>
                <w:rFonts w:hint="eastAsia" w:ascii="宋体" w:hAnsi="宋体" w:eastAsia="宋体" w:cs="宋体"/>
                <w:szCs w:val="21"/>
              </w:rPr>
              <w:t>目标2</w:t>
            </w:r>
          </w:p>
        </w:tc>
        <w:tc>
          <w:tcPr>
            <w:tcW w:w="3586" w:type="dxa"/>
            <w:vAlign w:val="center"/>
          </w:tcPr>
          <w:p w14:paraId="3E32A3B8">
            <w:pPr>
              <w:rPr>
                <w:rFonts w:hint="eastAsia" w:ascii="宋体" w:hAnsi="宋体" w:eastAsia="宋体" w:cs="宋体"/>
                <w:szCs w:val="21"/>
              </w:rPr>
            </w:pPr>
            <w:r>
              <w:rPr>
                <w:rFonts w:hint="eastAsia" w:ascii="宋体" w:hAnsi="宋体" w:eastAsia="宋体" w:cs="宋体"/>
                <w:szCs w:val="21"/>
              </w:rPr>
              <w:t>了解社会主义核心价值观的基本内容；理解社会主义核心价值观的历史底蕴、现实基础、道义力量；掌握积极努力做社会主义核心价值观的践行者，扣好人生的第一个扣子</w:t>
            </w:r>
          </w:p>
          <w:p w14:paraId="37BFA75B">
            <w:pPr>
              <w:rPr>
                <w:rFonts w:hint="eastAsia" w:ascii="宋体" w:hAnsi="宋体" w:eastAsia="宋体" w:cs="宋体"/>
                <w:szCs w:val="21"/>
              </w:rPr>
            </w:pPr>
          </w:p>
        </w:tc>
        <w:tc>
          <w:tcPr>
            <w:tcW w:w="1571" w:type="dxa"/>
            <w:vAlign w:val="center"/>
          </w:tcPr>
          <w:p w14:paraId="4E841BE9">
            <w:pPr>
              <w:jc w:val="left"/>
              <w:rPr>
                <w:rFonts w:hint="eastAsia" w:ascii="宋体" w:hAnsi="宋体" w:eastAsia="宋体" w:cs="Times New Roman"/>
                <w:szCs w:val="21"/>
              </w:rPr>
            </w:pPr>
            <w:r>
              <w:rPr>
                <w:rFonts w:hint="eastAsia" w:ascii="宋体" w:hAnsi="宋体" w:eastAsia="宋体" w:cs="Times New Roman"/>
                <w:szCs w:val="21"/>
              </w:rPr>
              <w:t>1.线上学习</w:t>
            </w:r>
          </w:p>
          <w:p w14:paraId="3D2F88EB">
            <w:pPr>
              <w:jc w:val="left"/>
              <w:rPr>
                <w:rFonts w:hint="eastAsia" w:ascii="宋体" w:hAnsi="宋体" w:eastAsia="宋体" w:cs="Times New Roman"/>
                <w:szCs w:val="21"/>
              </w:rPr>
            </w:pPr>
            <w:r>
              <w:rPr>
                <w:rFonts w:hint="eastAsia" w:ascii="宋体" w:hAnsi="宋体" w:eastAsia="宋体" w:cs="Times New Roman"/>
                <w:szCs w:val="21"/>
              </w:rPr>
              <w:t>2.多媒体教学</w:t>
            </w:r>
          </w:p>
          <w:p w14:paraId="63A47FF4">
            <w:pPr>
              <w:jc w:val="left"/>
              <w:rPr>
                <w:rFonts w:hint="eastAsia" w:ascii="宋体" w:hAnsi="宋体" w:eastAsia="宋体" w:cs="Times New Roman"/>
                <w:szCs w:val="21"/>
              </w:rPr>
            </w:pPr>
            <w:r>
              <w:rPr>
                <w:rFonts w:hint="eastAsia" w:ascii="宋体" w:hAnsi="宋体" w:eastAsia="宋体" w:cs="Times New Roman"/>
                <w:szCs w:val="21"/>
              </w:rPr>
              <w:t>3.课堂讨论</w:t>
            </w:r>
          </w:p>
          <w:p w14:paraId="38CD92A7">
            <w:pPr>
              <w:rPr>
                <w:rFonts w:hint="eastAsia" w:ascii="宋体" w:hAnsi="宋体" w:eastAsia="宋体" w:cs="宋体"/>
                <w:szCs w:val="21"/>
              </w:rPr>
            </w:pPr>
            <w:r>
              <w:rPr>
                <w:rFonts w:hint="eastAsia" w:ascii="宋体" w:hAnsi="宋体" w:eastAsia="宋体" w:cs="Times New Roman"/>
                <w:szCs w:val="21"/>
              </w:rPr>
              <w:t>4.单元测验</w:t>
            </w:r>
          </w:p>
        </w:tc>
        <w:tc>
          <w:tcPr>
            <w:tcW w:w="708" w:type="dxa"/>
            <w:vAlign w:val="center"/>
          </w:tcPr>
          <w:p w14:paraId="417FD06F">
            <w:pPr>
              <w:jc w:val="center"/>
              <w:rPr>
                <w:rFonts w:hint="eastAsia" w:ascii="宋体" w:hAnsi="宋体" w:eastAsia="宋体" w:cs="宋体"/>
                <w:szCs w:val="21"/>
              </w:rPr>
            </w:pPr>
            <w:r>
              <w:rPr>
                <w:rFonts w:hint="eastAsia" w:ascii="宋体" w:hAnsi="宋体" w:eastAsia="宋体" w:cs="宋体"/>
                <w:szCs w:val="21"/>
              </w:rPr>
              <w:t>6</w:t>
            </w:r>
          </w:p>
        </w:tc>
      </w:tr>
      <w:tr w14:paraId="50F68E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488" w:type="dxa"/>
            <w:vAlign w:val="center"/>
          </w:tcPr>
          <w:p w14:paraId="4CABB4FE">
            <w:pPr>
              <w:jc w:val="center"/>
              <w:rPr>
                <w:rFonts w:hint="eastAsia" w:ascii="宋体" w:hAnsi="宋体" w:eastAsia="宋体" w:cs="宋体"/>
                <w:szCs w:val="21"/>
              </w:rPr>
            </w:pPr>
            <w:r>
              <w:rPr>
                <w:rFonts w:hint="eastAsia" w:ascii="宋体" w:hAnsi="宋体" w:eastAsia="宋体" w:cs="宋体"/>
                <w:szCs w:val="21"/>
              </w:rPr>
              <w:t xml:space="preserve">第五章 </w:t>
            </w:r>
          </w:p>
          <w:p w14:paraId="724B5993">
            <w:pPr>
              <w:jc w:val="center"/>
              <w:rPr>
                <w:rFonts w:hint="eastAsia" w:ascii="宋体" w:hAnsi="宋体" w:eastAsia="宋体" w:cs="宋体"/>
                <w:szCs w:val="21"/>
              </w:rPr>
            </w:pPr>
            <w:r>
              <w:rPr>
                <w:rFonts w:hint="eastAsia" w:ascii="宋体" w:hAnsi="宋体" w:eastAsia="宋体" w:cs="宋体"/>
                <w:szCs w:val="21"/>
              </w:rPr>
              <w:t>遵守道德规范 锤炼道德品格</w:t>
            </w:r>
          </w:p>
        </w:tc>
        <w:tc>
          <w:tcPr>
            <w:tcW w:w="2486" w:type="dxa"/>
            <w:vAlign w:val="center"/>
          </w:tcPr>
          <w:p w14:paraId="4FB84C6B">
            <w:pPr>
              <w:rPr>
                <w:rFonts w:hint="eastAsia" w:ascii="宋体" w:hAnsi="宋体" w:eastAsia="宋体" w:cs="宋体"/>
                <w:szCs w:val="21"/>
              </w:rPr>
            </w:pPr>
            <w:r>
              <w:rPr>
                <w:rFonts w:hint="eastAsia" w:ascii="宋体" w:hAnsi="宋体" w:eastAsia="宋体" w:cs="宋体"/>
                <w:szCs w:val="21"/>
              </w:rPr>
              <w:t>(1)社会主义道德的核心与原则</w:t>
            </w:r>
          </w:p>
          <w:p w14:paraId="6C5893FD">
            <w:pPr>
              <w:rPr>
                <w:rFonts w:hint="eastAsia" w:ascii="宋体" w:hAnsi="宋体" w:eastAsia="宋体" w:cs="宋体"/>
                <w:szCs w:val="21"/>
              </w:rPr>
            </w:pPr>
            <w:r>
              <w:rPr>
                <w:rFonts w:hint="eastAsia" w:ascii="宋体" w:hAnsi="宋体" w:eastAsia="宋体" w:cs="宋体"/>
                <w:szCs w:val="21"/>
              </w:rPr>
              <w:t>(2)吸收借鉴优秀道德成果</w:t>
            </w:r>
          </w:p>
          <w:p w14:paraId="1D323910">
            <w:pPr>
              <w:rPr>
                <w:rFonts w:hint="eastAsia" w:ascii="宋体" w:hAnsi="宋体" w:eastAsia="宋体" w:cs="宋体"/>
                <w:szCs w:val="21"/>
              </w:rPr>
            </w:pPr>
            <w:r>
              <w:rPr>
                <w:rFonts w:hint="eastAsia" w:ascii="宋体" w:hAnsi="宋体" w:eastAsia="宋体" w:cs="宋体"/>
                <w:szCs w:val="21"/>
              </w:rPr>
              <w:t>(3)投身崇德向善的道德实践</w:t>
            </w:r>
          </w:p>
        </w:tc>
        <w:tc>
          <w:tcPr>
            <w:tcW w:w="1082" w:type="dxa"/>
            <w:vAlign w:val="center"/>
          </w:tcPr>
          <w:p w14:paraId="2AC3E0DF">
            <w:pPr>
              <w:jc w:val="center"/>
              <w:rPr>
                <w:rFonts w:hint="eastAsia" w:ascii="宋体" w:hAnsi="宋体" w:eastAsia="宋体" w:cs="宋体"/>
                <w:szCs w:val="21"/>
              </w:rPr>
            </w:pPr>
            <w:r>
              <w:rPr>
                <w:rFonts w:hint="eastAsia" w:ascii="宋体" w:hAnsi="宋体" w:eastAsia="宋体" w:cs="宋体"/>
                <w:szCs w:val="21"/>
              </w:rPr>
              <w:t>目标1</w:t>
            </w:r>
          </w:p>
          <w:p w14:paraId="37969E7C">
            <w:pPr>
              <w:jc w:val="center"/>
              <w:rPr>
                <w:rFonts w:hint="eastAsia" w:ascii="宋体" w:hAnsi="宋体" w:eastAsia="宋体" w:cs="宋体"/>
                <w:kern w:val="0"/>
                <w:szCs w:val="21"/>
              </w:rPr>
            </w:pPr>
            <w:r>
              <w:rPr>
                <w:rFonts w:hint="eastAsia" w:ascii="宋体" w:hAnsi="宋体" w:eastAsia="宋体" w:cs="宋体"/>
                <w:szCs w:val="21"/>
              </w:rPr>
              <w:t>目标3</w:t>
            </w:r>
          </w:p>
        </w:tc>
        <w:tc>
          <w:tcPr>
            <w:tcW w:w="3586" w:type="dxa"/>
            <w:vAlign w:val="center"/>
          </w:tcPr>
          <w:p w14:paraId="284ABBDD">
            <w:pPr>
              <w:rPr>
                <w:rFonts w:hint="eastAsia" w:ascii="宋体" w:hAnsi="宋体" w:eastAsia="宋体" w:cs="宋体"/>
                <w:kern w:val="0"/>
                <w:szCs w:val="21"/>
              </w:rPr>
            </w:pPr>
            <w:r>
              <w:rPr>
                <w:rFonts w:hint="eastAsia" w:ascii="宋体" w:hAnsi="宋体" w:eastAsia="宋体" w:cs="宋体"/>
                <w:kern w:val="0"/>
                <w:szCs w:val="21"/>
              </w:rPr>
              <w:t>了解道德的历史演变、功能、作用和中华民族优良道德传统、革命道德；理解公共生活、职业生活、婚姻家庭生活中的道德与法律的内容；正确的择业观、职业观、恋爱观、婚姻观及公德意识的养成；掌握学习和掌握社会生活领域的道德规范和法律规范，自觉加强道德修养和法律修养，锤炼高尚品格</w:t>
            </w:r>
          </w:p>
        </w:tc>
        <w:tc>
          <w:tcPr>
            <w:tcW w:w="1571" w:type="dxa"/>
            <w:vAlign w:val="center"/>
          </w:tcPr>
          <w:p w14:paraId="5615C555">
            <w:pPr>
              <w:jc w:val="left"/>
              <w:rPr>
                <w:rFonts w:hint="eastAsia" w:ascii="宋体" w:hAnsi="宋体" w:eastAsia="宋体" w:cs="Times New Roman"/>
                <w:szCs w:val="21"/>
              </w:rPr>
            </w:pPr>
            <w:r>
              <w:rPr>
                <w:rFonts w:hint="eastAsia" w:ascii="宋体" w:hAnsi="宋体" w:eastAsia="宋体" w:cs="Times New Roman"/>
                <w:szCs w:val="21"/>
              </w:rPr>
              <w:t>1.线上学习</w:t>
            </w:r>
          </w:p>
          <w:p w14:paraId="1C4022A0">
            <w:pPr>
              <w:jc w:val="left"/>
              <w:rPr>
                <w:rFonts w:hint="eastAsia" w:ascii="宋体" w:hAnsi="宋体" w:eastAsia="宋体" w:cs="Times New Roman"/>
                <w:szCs w:val="21"/>
              </w:rPr>
            </w:pPr>
            <w:r>
              <w:rPr>
                <w:rFonts w:hint="eastAsia" w:ascii="宋体" w:hAnsi="宋体" w:eastAsia="宋体" w:cs="Times New Roman"/>
                <w:szCs w:val="21"/>
              </w:rPr>
              <w:t>2.多媒体教学</w:t>
            </w:r>
          </w:p>
          <w:p w14:paraId="637D184F">
            <w:pPr>
              <w:jc w:val="left"/>
              <w:rPr>
                <w:rFonts w:hint="eastAsia" w:ascii="宋体" w:hAnsi="宋体" w:eastAsia="宋体" w:cs="Times New Roman"/>
                <w:szCs w:val="21"/>
              </w:rPr>
            </w:pPr>
            <w:r>
              <w:rPr>
                <w:rFonts w:hint="eastAsia" w:ascii="宋体" w:hAnsi="宋体" w:eastAsia="宋体" w:cs="Times New Roman"/>
                <w:szCs w:val="21"/>
              </w:rPr>
              <w:t>3.课堂讨论</w:t>
            </w:r>
          </w:p>
          <w:p w14:paraId="511A73C7">
            <w:pPr>
              <w:rPr>
                <w:rFonts w:hint="eastAsia" w:ascii="宋体" w:hAnsi="宋体" w:eastAsia="宋体" w:cs="宋体"/>
                <w:szCs w:val="21"/>
              </w:rPr>
            </w:pPr>
            <w:r>
              <w:rPr>
                <w:rFonts w:hint="eastAsia" w:ascii="宋体" w:hAnsi="宋体" w:eastAsia="宋体" w:cs="Times New Roman"/>
                <w:szCs w:val="21"/>
              </w:rPr>
              <w:t>4.单元测验</w:t>
            </w:r>
          </w:p>
        </w:tc>
        <w:tc>
          <w:tcPr>
            <w:tcW w:w="708" w:type="dxa"/>
            <w:vAlign w:val="center"/>
          </w:tcPr>
          <w:p w14:paraId="7ED87467">
            <w:pPr>
              <w:jc w:val="center"/>
              <w:rPr>
                <w:rFonts w:hint="eastAsia" w:ascii="宋体" w:hAnsi="宋体" w:eastAsia="宋体" w:cs="宋体"/>
                <w:szCs w:val="21"/>
              </w:rPr>
            </w:pPr>
            <w:r>
              <w:rPr>
                <w:rFonts w:hint="eastAsia" w:ascii="宋体" w:hAnsi="宋体" w:eastAsia="宋体" w:cs="宋体"/>
                <w:szCs w:val="21"/>
              </w:rPr>
              <w:t>8</w:t>
            </w:r>
          </w:p>
        </w:tc>
      </w:tr>
      <w:tr w14:paraId="50C38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8" w:type="dxa"/>
            <w:vAlign w:val="center"/>
          </w:tcPr>
          <w:p w14:paraId="1DD214CA">
            <w:pPr>
              <w:jc w:val="center"/>
              <w:rPr>
                <w:rFonts w:hint="eastAsia" w:ascii="宋体" w:hAnsi="宋体" w:eastAsia="宋体" w:cs="宋体"/>
                <w:szCs w:val="21"/>
              </w:rPr>
            </w:pPr>
            <w:r>
              <w:rPr>
                <w:rFonts w:hint="eastAsia" w:ascii="宋体" w:hAnsi="宋体" w:eastAsia="宋体" w:cs="宋体"/>
                <w:szCs w:val="21"/>
              </w:rPr>
              <w:t xml:space="preserve">第六章 </w:t>
            </w:r>
          </w:p>
          <w:p w14:paraId="1F743E96">
            <w:pPr>
              <w:jc w:val="center"/>
              <w:rPr>
                <w:rFonts w:hint="eastAsia" w:ascii="宋体" w:hAnsi="宋体" w:eastAsia="宋体" w:cs="宋体"/>
                <w:szCs w:val="21"/>
              </w:rPr>
            </w:pPr>
            <w:r>
              <w:rPr>
                <w:rFonts w:hint="eastAsia" w:ascii="宋体" w:hAnsi="宋体" w:eastAsia="宋体" w:cs="宋体"/>
                <w:szCs w:val="21"/>
              </w:rPr>
              <w:t>学习法治思想 提升法治素养</w:t>
            </w:r>
          </w:p>
        </w:tc>
        <w:tc>
          <w:tcPr>
            <w:tcW w:w="2486" w:type="dxa"/>
            <w:vAlign w:val="center"/>
          </w:tcPr>
          <w:p w14:paraId="4991B29E">
            <w:pPr>
              <w:rPr>
                <w:rFonts w:hint="eastAsia" w:ascii="宋体" w:hAnsi="宋体" w:eastAsia="宋体" w:cs="宋体"/>
                <w:szCs w:val="21"/>
              </w:rPr>
            </w:pPr>
            <w:r>
              <w:rPr>
                <w:rFonts w:hint="eastAsia" w:ascii="宋体" w:hAnsi="宋体" w:eastAsia="宋体" w:cs="宋体"/>
                <w:szCs w:val="21"/>
              </w:rPr>
              <w:t>（1）社会主义法律的特征和运行</w:t>
            </w:r>
          </w:p>
          <w:p w14:paraId="757E4517">
            <w:pPr>
              <w:rPr>
                <w:rFonts w:hint="eastAsia" w:ascii="宋体" w:hAnsi="宋体" w:eastAsia="宋体" w:cs="宋体"/>
                <w:szCs w:val="21"/>
              </w:rPr>
            </w:pPr>
            <w:r>
              <w:rPr>
                <w:rFonts w:hint="eastAsia" w:ascii="宋体" w:hAnsi="宋体" w:eastAsia="宋体" w:cs="宋体"/>
                <w:szCs w:val="21"/>
              </w:rPr>
              <w:t>（2）坚持全面依法治国；</w:t>
            </w:r>
          </w:p>
          <w:p w14:paraId="082D8090">
            <w:pPr>
              <w:rPr>
                <w:rFonts w:hint="eastAsia" w:ascii="宋体" w:hAnsi="宋体" w:eastAsia="宋体" w:cs="宋体"/>
                <w:szCs w:val="21"/>
              </w:rPr>
            </w:pPr>
            <w:r>
              <w:rPr>
                <w:rFonts w:hint="eastAsia" w:ascii="宋体" w:hAnsi="宋体" w:eastAsia="宋体" w:cs="宋体"/>
                <w:szCs w:val="21"/>
              </w:rPr>
              <w:t>（3）维护宪法权威</w:t>
            </w:r>
          </w:p>
          <w:p w14:paraId="54A9DBDE">
            <w:pPr>
              <w:rPr>
                <w:rFonts w:hint="eastAsia" w:ascii="宋体" w:hAnsi="宋体" w:eastAsia="宋体" w:cs="宋体"/>
                <w:szCs w:val="21"/>
              </w:rPr>
            </w:pPr>
            <w:r>
              <w:rPr>
                <w:rFonts w:hint="eastAsia" w:ascii="宋体" w:hAnsi="宋体" w:eastAsia="宋体" w:cs="宋体"/>
                <w:szCs w:val="21"/>
              </w:rPr>
              <w:t>（4）自觉尊法学法守法用法</w:t>
            </w:r>
          </w:p>
        </w:tc>
        <w:tc>
          <w:tcPr>
            <w:tcW w:w="1082" w:type="dxa"/>
            <w:vAlign w:val="center"/>
          </w:tcPr>
          <w:p w14:paraId="1364BF66">
            <w:pPr>
              <w:jc w:val="center"/>
              <w:rPr>
                <w:rFonts w:hint="eastAsia" w:ascii="宋体" w:hAnsi="宋体" w:eastAsia="宋体" w:cs="宋体"/>
                <w:szCs w:val="21"/>
              </w:rPr>
            </w:pPr>
            <w:r>
              <w:rPr>
                <w:rFonts w:hint="eastAsia" w:ascii="宋体" w:hAnsi="宋体" w:eastAsia="宋体" w:cs="宋体"/>
                <w:szCs w:val="21"/>
              </w:rPr>
              <w:t>目标1</w:t>
            </w:r>
          </w:p>
          <w:p w14:paraId="1B0F672D">
            <w:pPr>
              <w:jc w:val="center"/>
              <w:rPr>
                <w:rFonts w:hint="eastAsia" w:ascii="宋体" w:hAnsi="宋体" w:eastAsia="宋体" w:cs="宋体"/>
                <w:szCs w:val="21"/>
              </w:rPr>
            </w:pPr>
            <w:r>
              <w:rPr>
                <w:rFonts w:hint="eastAsia" w:ascii="宋体" w:hAnsi="宋体" w:eastAsia="宋体" w:cs="宋体"/>
                <w:szCs w:val="21"/>
              </w:rPr>
              <w:t>目标2</w:t>
            </w:r>
          </w:p>
          <w:p w14:paraId="38F5E8E3">
            <w:pPr>
              <w:jc w:val="center"/>
              <w:rPr>
                <w:rFonts w:hint="eastAsia" w:ascii="宋体" w:hAnsi="宋体" w:eastAsia="宋体" w:cs="宋体"/>
                <w:kern w:val="0"/>
                <w:szCs w:val="21"/>
              </w:rPr>
            </w:pPr>
          </w:p>
        </w:tc>
        <w:tc>
          <w:tcPr>
            <w:tcW w:w="3586" w:type="dxa"/>
            <w:vAlign w:val="center"/>
          </w:tcPr>
          <w:p w14:paraId="4CF42781">
            <w:pPr>
              <w:rPr>
                <w:rFonts w:hint="eastAsia" w:ascii="宋体" w:hAnsi="宋体" w:eastAsia="宋体" w:cs="宋体"/>
                <w:kern w:val="0"/>
                <w:szCs w:val="21"/>
              </w:rPr>
            </w:pPr>
            <w:r>
              <w:rPr>
                <w:rFonts w:hint="eastAsia" w:ascii="宋体" w:hAnsi="宋体" w:eastAsia="宋体" w:cs="宋体"/>
                <w:kern w:val="0"/>
                <w:szCs w:val="21"/>
              </w:rPr>
              <w:t>了解法律的概念与历史发展，宪法规定的基本制度、实体法律部门和程序法律部门，社会主义法治思维方式与法律的至上地位，法律权利与义务以及二者的关系；理解社会主义法治观念的主要内容、社主义法治思维方式的基本含义和特征，我国宪法法律规定的权利和义务；掌握中国特色社会主义法治体系，不断增强维护法律尊严的自觉性和责任感；树立法治理念，培养法治思维，维护法律权威，成为具有良好的法律素质的社会主义建设者和接班人，如何依法行使权利和履行义务</w:t>
            </w:r>
          </w:p>
        </w:tc>
        <w:tc>
          <w:tcPr>
            <w:tcW w:w="1571" w:type="dxa"/>
            <w:vAlign w:val="center"/>
          </w:tcPr>
          <w:p w14:paraId="4D9C4DF0">
            <w:pPr>
              <w:jc w:val="left"/>
              <w:rPr>
                <w:rFonts w:hint="eastAsia" w:ascii="宋体" w:hAnsi="宋体" w:eastAsia="宋体" w:cs="Times New Roman"/>
                <w:szCs w:val="21"/>
              </w:rPr>
            </w:pPr>
            <w:r>
              <w:rPr>
                <w:rFonts w:hint="eastAsia" w:ascii="宋体" w:hAnsi="宋体" w:eastAsia="宋体" w:cs="Times New Roman"/>
                <w:szCs w:val="21"/>
              </w:rPr>
              <w:t>1.线上学习</w:t>
            </w:r>
          </w:p>
          <w:p w14:paraId="0066D45F">
            <w:pPr>
              <w:jc w:val="left"/>
              <w:rPr>
                <w:rFonts w:hint="eastAsia" w:ascii="宋体" w:hAnsi="宋体" w:eastAsia="宋体" w:cs="Times New Roman"/>
                <w:szCs w:val="21"/>
              </w:rPr>
            </w:pPr>
            <w:r>
              <w:rPr>
                <w:rFonts w:hint="eastAsia" w:ascii="宋体" w:hAnsi="宋体" w:eastAsia="宋体" w:cs="Times New Roman"/>
                <w:szCs w:val="21"/>
              </w:rPr>
              <w:t>2.多媒体教学</w:t>
            </w:r>
          </w:p>
          <w:p w14:paraId="03EDEE5F">
            <w:pPr>
              <w:jc w:val="left"/>
              <w:rPr>
                <w:rFonts w:hint="eastAsia" w:ascii="宋体" w:hAnsi="宋体" w:eastAsia="宋体" w:cs="Times New Roman"/>
                <w:szCs w:val="21"/>
              </w:rPr>
            </w:pPr>
            <w:r>
              <w:rPr>
                <w:rFonts w:hint="eastAsia" w:ascii="宋体" w:hAnsi="宋体" w:eastAsia="宋体" w:cs="Times New Roman"/>
                <w:szCs w:val="21"/>
              </w:rPr>
              <w:t>3.课堂讨论</w:t>
            </w:r>
          </w:p>
          <w:p w14:paraId="59DE6C48">
            <w:pPr>
              <w:rPr>
                <w:rFonts w:hint="eastAsia" w:ascii="宋体" w:hAnsi="宋体" w:eastAsia="宋体" w:cs="宋体"/>
                <w:szCs w:val="21"/>
              </w:rPr>
            </w:pPr>
            <w:r>
              <w:rPr>
                <w:rFonts w:hint="eastAsia" w:ascii="宋体" w:hAnsi="宋体" w:eastAsia="宋体" w:cs="Times New Roman"/>
                <w:szCs w:val="21"/>
              </w:rPr>
              <w:t>4.单元测验</w:t>
            </w:r>
          </w:p>
        </w:tc>
        <w:tc>
          <w:tcPr>
            <w:tcW w:w="708" w:type="dxa"/>
            <w:vAlign w:val="center"/>
          </w:tcPr>
          <w:p w14:paraId="44ECF017">
            <w:pPr>
              <w:jc w:val="center"/>
              <w:rPr>
                <w:rFonts w:hint="eastAsia" w:ascii="宋体" w:hAnsi="宋体" w:eastAsia="宋体" w:cs="宋体"/>
                <w:szCs w:val="21"/>
              </w:rPr>
            </w:pPr>
            <w:r>
              <w:rPr>
                <w:rFonts w:hint="eastAsia" w:ascii="宋体" w:hAnsi="宋体" w:eastAsia="宋体" w:cs="宋体"/>
                <w:szCs w:val="21"/>
              </w:rPr>
              <w:t>8</w:t>
            </w:r>
          </w:p>
        </w:tc>
      </w:tr>
      <w:tr w14:paraId="040226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88" w:type="dxa"/>
            <w:vAlign w:val="center"/>
          </w:tcPr>
          <w:p w14:paraId="77E7ABAB">
            <w:pPr>
              <w:jc w:val="center"/>
              <w:rPr>
                <w:rFonts w:hint="eastAsia" w:ascii="宋体" w:hAnsi="宋体" w:eastAsia="宋体" w:cs="宋体"/>
                <w:bCs/>
                <w:szCs w:val="21"/>
              </w:rPr>
            </w:pPr>
            <w:r>
              <w:rPr>
                <w:rFonts w:hint="eastAsia" w:ascii="宋体" w:hAnsi="宋体" w:eastAsia="宋体" w:cs="宋体"/>
                <w:bCs/>
                <w:szCs w:val="21"/>
              </w:rPr>
              <w:t>思想政治</w:t>
            </w:r>
          </w:p>
          <w:p w14:paraId="0DB1AE78">
            <w:pPr>
              <w:jc w:val="center"/>
              <w:rPr>
                <w:rFonts w:hint="eastAsia" w:ascii="宋体" w:hAnsi="宋体" w:eastAsia="宋体" w:cs="宋体"/>
                <w:szCs w:val="21"/>
              </w:rPr>
            </w:pPr>
            <w:r>
              <w:rPr>
                <w:rFonts w:hint="eastAsia" w:ascii="宋体" w:hAnsi="宋体" w:eastAsia="宋体" w:cs="宋体"/>
                <w:bCs/>
                <w:szCs w:val="21"/>
              </w:rPr>
              <w:t>理论课实践</w:t>
            </w:r>
          </w:p>
        </w:tc>
        <w:tc>
          <w:tcPr>
            <w:tcW w:w="8725" w:type="dxa"/>
            <w:gridSpan w:val="4"/>
            <w:vAlign w:val="center"/>
          </w:tcPr>
          <w:p w14:paraId="747EE212">
            <w:pPr>
              <w:rPr>
                <w:rFonts w:hint="eastAsia" w:ascii="宋体" w:hAnsi="宋体" w:eastAsia="宋体" w:cs="宋体"/>
                <w:szCs w:val="21"/>
              </w:rPr>
            </w:pPr>
            <w:r>
              <w:rPr>
                <w:rFonts w:hint="eastAsia" w:ascii="宋体" w:hAnsi="宋体" w:eastAsia="宋体" w:cs="宋体"/>
                <w:bCs/>
                <w:szCs w:val="21"/>
              </w:rPr>
              <w:t>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tc>
        <w:tc>
          <w:tcPr>
            <w:tcW w:w="708" w:type="dxa"/>
            <w:vAlign w:val="center"/>
          </w:tcPr>
          <w:p w14:paraId="42B3BA62">
            <w:pPr>
              <w:jc w:val="center"/>
              <w:rPr>
                <w:rFonts w:hint="eastAsia" w:ascii="宋体" w:hAnsi="宋体" w:eastAsia="宋体" w:cs="宋体"/>
                <w:szCs w:val="21"/>
              </w:rPr>
            </w:pPr>
            <w:r>
              <w:rPr>
                <w:rFonts w:hint="eastAsia" w:ascii="宋体" w:hAnsi="宋体" w:eastAsia="宋体" w:cs="宋体"/>
                <w:szCs w:val="21"/>
              </w:rPr>
              <w:t>6</w:t>
            </w:r>
          </w:p>
        </w:tc>
      </w:tr>
    </w:tbl>
    <w:p w14:paraId="618CFC95">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78C2BD69">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1E96AD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2010"/>
        <w:gridCol w:w="1553"/>
        <w:gridCol w:w="1335"/>
        <w:gridCol w:w="1494"/>
        <w:gridCol w:w="815"/>
      </w:tblGrid>
      <w:tr w14:paraId="0B24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restart"/>
            <w:vAlign w:val="center"/>
          </w:tcPr>
          <w:p w14:paraId="52B3AF90">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392" w:type="dxa"/>
            <w:gridSpan w:val="4"/>
            <w:vAlign w:val="center"/>
          </w:tcPr>
          <w:p w14:paraId="526306C5">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815" w:type="dxa"/>
            <w:vMerge w:val="restart"/>
            <w:vAlign w:val="center"/>
          </w:tcPr>
          <w:p w14:paraId="3C079D24">
            <w:pPr>
              <w:jc w:val="center"/>
              <w:rPr>
                <w:rFonts w:hint="eastAsia" w:ascii="宋体" w:hAnsi="宋体" w:eastAsia="宋体" w:cs="Times New Roman"/>
                <w:szCs w:val="21"/>
              </w:rPr>
            </w:pPr>
            <w:r>
              <w:rPr>
                <w:rFonts w:hint="eastAsia" w:ascii="宋体" w:hAnsi="宋体" w:eastAsia="宋体" w:cs="Times New Roman"/>
                <w:szCs w:val="21"/>
              </w:rPr>
              <w:t>分值</w:t>
            </w:r>
          </w:p>
        </w:tc>
      </w:tr>
      <w:tr w14:paraId="4B76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Merge w:val="continue"/>
            <w:vAlign w:val="center"/>
          </w:tcPr>
          <w:p w14:paraId="09833893">
            <w:pPr>
              <w:jc w:val="center"/>
              <w:rPr>
                <w:rFonts w:hint="eastAsia" w:ascii="宋体" w:hAnsi="宋体" w:eastAsia="宋体" w:cs="Times New Roman"/>
                <w:szCs w:val="21"/>
              </w:rPr>
            </w:pPr>
          </w:p>
        </w:tc>
        <w:tc>
          <w:tcPr>
            <w:tcW w:w="2010" w:type="dxa"/>
            <w:vAlign w:val="center"/>
          </w:tcPr>
          <w:p w14:paraId="0A1E0937">
            <w:pPr>
              <w:jc w:val="center"/>
              <w:rPr>
                <w:rFonts w:hint="eastAsia" w:ascii="宋体" w:hAnsi="宋体" w:eastAsia="宋体" w:cs="Times New Roman"/>
                <w:szCs w:val="21"/>
              </w:rPr>
            </w:pPr>
            <w:r>
              <w:rPr>
                <w:rFonts w:hint="eastAsia" w:ascii="宋体" w:hAnsi="宋体" w:eastAsia="宋体" w:cs="Times New Roman"/>
                <w:szCs w:val="21"/>
              </w:rPr>
              <w:t>网络课堂学习</w:t>
            </w:r>
          </w:p>
        </w:tc>
        <w:tc>
          <w:tcPr>
            <w:tcW w:w="1553" w:type="dxa"/>
            <w:vAlign w:val="center"/>
          </w:tcPr>
          <w:p w14:paraId="3D544418">
            <w:pPr>
              <w:jc w:val="center"/>
              <w:rPr>
                <w:rFonts w:hint="eastAsia" w:ascii="宋体" w:hAnsi="宋体" w:eastAsia="宋体" w:cs="Times New Roman"/>
                <w:szCs w:val="21"/>
              </w:rPr>
            </w:pPr>
            <w:r>
              <w:rPr>
                <w:rFonts w:hint="eastAsia" w:ascii="宋体" w:hAnsi="宋体" w:eastAsia="宋体" w:cs="Times New Roman"/>
                <w:szCs w:val="21"/>
              </w:rPr>
              <w:t>平时表现</w:t>
            </w:r>
          </w:p>
        </w:tc>
        <w:tc>
          <w:tcPr>
            <w:tcW w:w="1335" w:type="dxa"/>
            <w:vAlign w:val="center"/>
          </w:tcPr>
          <w:p w14:paraId="64C520A3">
            <w:pPr>
              <w:jc w:val="center"/>
              <w:rPr>
                <w:rFonts w:hint="eastAsia" w:ascii="宋体" w:hAnsi="宋体" w:eastAsia="宋体" w:cs="Times New Roman"/>
                <w:szCs w:val="21"/>
              </w:rPr>
            </w:pPr>
            <w:r>
              <w:rPr>
                <w:rFonts w:hint="eastAsia" w:ascii="宋体" w:hAnsi="宋体" w:eastAsia="宋体" w:cs="Times New Roman"/>
                <w:szCs w:val="21"/>
              </w:rPr>
              <w:t>作业</w:t>
            </w:r>
          </w:p>
        </w:tc>
        <w:tc>
          <w:tcPr>
            <w:tcW w:w="1494" w:type="dxa"/>
            <w:vAlign w:val="center"/>
          </w:tcPr>
          <w:p w14:paraId="7981F7D6">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815" w:type="dxa"/>
            <w:vMerge w:val="continue"/>
            <w:vAlign w:val="center"/>
          </w:tcPr>
          <w:p w14:paraId="0A0DB8CB">
            <w:pPr>
              <w:jc w:val="center"/>
              <w:rPr>
                <w:rFonts w:hint="eastAsia" w:ascii="宋体" w:hAnsi="宋体" w:eastAsia="宋体" w:cs="Times New Roman"/>
                <w:szCs w:val="21"/>
              </w:rPr>
            </w:pPr>
          </w:p>
        </w:tc>
      </w:tr>
      <w:tr w14:paraId="7048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14:paraId="2D8F9C09">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010" w:type="dxa"/>
            <w:vAlign w:val="center"/>
          </w:tcPr>
          <w:p w14:paraId="7961D990">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3" w:type="dxa"/>
            <w:vAlign w:val="center"/>
          </w:tcPr>
          <w:p w14:paraId="39E4506A">
            <w:pPr>
              <w:jc w:val="center"/>
              <w:rPr>
                <w:rFonts w:hint="eastAsia" w:ascii="宋体" w:hAnsi="宋体" w:eastAsia="宋体" w:cs="Times New Roman"/>
                <w:szCs w:val="21"/>
              </w:rPr>
            </w:pPr>
          </w:p>
        </w:tc>
        <w:tc>
          <w:tcPr>
            <w:tcW w:w="1335" w:type="dxa"/>
            <w:vAlign w:val="center"/>
          </w:tcPr>
          <w:p w14:paraId="06EDC9F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94" w:type="dxa"/>
            <w:vAlign w:val="center"/>
          </w:tcPr>
          <w:p w14:paraId="6B69482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15" w:type="dxa"/>
            <w:vAlign w:val="center"/>
          </w:tcPr>
          <w:p w14:paraId="41017740">
            <w:pPr>
              <w:jc w:val="center"/>
              <w:rPr>
                <w:rFonts w:hint="eastAsia" w:ascii="宋体" w:hAnsi="宋体" w:eastAsia="宋体" w:cs="Times New Roman"/>
                <w:szCs w:val="21"/>
              </w:rPr>
            </w:pPr>
            <w:r>
              <w:rPr>
                <w:rFonts w:hint="eastAsia" w:ascii="宋体" w:hAnsi="宋体" w:eastAsia="宋体" w:cs="Times New Roman"/>
                <w:szCs w:val="21"/>
              </w:rPr>
              <w:t>36</w:t>
            </w:r>
          </w:p>
        </w:tc>
      </w:tr>
      <w:tr w14:paraId="45A1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14:paraId="3137E66C">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010" w:type="dxa"/>
            <w:vAlign w:val="center"/>
          </w:tcPr>
          <w:p w14:paraId="488F8C49">
            <w:pPr>
              <w:jc w:val="center"/>
              <w:rPr>
                <w:rFonts w:hint="eastAsia" w:ascii="宋体" w:hAnsi="宋体" w:eastAsia="宋体" w:cs="Times New Roman"/>
                <w:szCs w:val="21"/>
              </w:rPr>
            </w:pPr>
          </w:p>
        </w:tc>
        <w:tc>
          <w:tcPr>
            <w:tcW w:w="1553" w:type="dxa"/>
            <w:vAlign w:val="center"/>
          </w:tcPr>
          <w:p w14:paraId="46059832">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5" w:type="dxa"/>
            <w:vAlign w:val="center"/>
          </w:tcPr>
          <w:p w14:paraId="5FACA189">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94" w:type="dxa"/>
            <w:vAlign w:val="center"/>
          </w:tcPr>
          <w:p w14:paraId="7CBDE9C5">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15" w:type="dxa"/>
            <w:vAlign w:val="center"/>
          </w:tcPr>
          <w:p w14:paraId="1CBE2514">
            <w:pPr>
              <w:jc w:val="center"/>
              <w:rPr>
                <w:rFonts w:hint="eastAsia" w:ascii="宋体" w:hAnsi="宋体" w:eastAsia="宋体" w:cs="Times New Roman"/>
                <w:szCs w:val="21"/>
              </w:rPr>
            </w:pPr>
            <w:r>
              <w:rPr>
                <w:rFonts w:hint="eastAsia" w:ascii="宋体" w:hAnsi="宋体" w:eastAsia="宋体" w:cs="Times New Roman"/>
                <w:szCs w:val="21"/>
              </w:rPr>
              <w:t>42</w:t>
            </w:r>
          </w:p>
        </w:tc>
      </w:tr>
      <w:tr w14:paraId="3EB2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14:paraId="51CE02BB">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010" w:type="dxa"/>
            <w:vAlign w:val="center"/>
          </w:tcPr>
          <w:p w14:paraId="674B93ED">
            <w:pPr>
              <w:jc w:val="center"/>
              <w:rPr>
                <w:rFonts w:hint="eastAsia" w:ascii="宋体" w:hAnsi="宋体" w:eastAsia="宋体" w:cs="Times New Roman"/>
                <w:szCs w:val="21"/>
              </w:rPr>
            </w:pPr>
          </w:p>
        </w:tc>
        <w:tc>
          <w:tcPr>
            <w:tcW w:w="1553" w:type="dxa"/>
            <w:vAlign w:val="center"/>
          </w:tcPr>
          <w:p w14:paraId="5976DCB0">
            <w:pPr>
              <w:jc w:val="center"/>
              <w:rPr>
                <w:rFonts w:hint="eastAsia" w:ascii="宋体" w:hAnsi="宋体" w:eastAsia="宋体" w:cs="Times New Roman"/>
                <w:szCs w:val="21"/>
              </w:rPr>
            </w:pPr>
          </w:p>
        </w:tc>
        <w:tc>
          <w:tcPr>
            <w:tcW w:w="1335" w:type="dxa"/>
            <w:vAlign w:val="center"/>
          </w:tcPr>
          <w:p w14:paraId="3FFD33DD">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94" w:type="dxa"/>
            <w:vAlign w:val="center"/>
          </w:tcPr>
          <w:p w14:paraId="6FBB7CA6">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15" w:type="dxa"/>
            <w:vAlign w:val="center"/>
          </w:tcPr>
          <w:p w14:paraId="06A9E492">
            <w:pPr>
              <w:jc w:val="center"/>
              <w:rPr>
                <w:rFonts w:hint="eastAsia" w:ascii="宋体" w:hAnsi="宋体" w:eastAsia="宋体" w:cs="Times New Roman"/>
                <w:szCs w:val="21"/>
              </w:rPr>
            </w:pPr>
            <w:r>
              <w:rPr>
                <w:rFonts w:hint="eastAsia" w:ascii="宋体" w:hAnsi="宋体" w:eastAsia="宋体" w:cs="Times New Roman"/>
                <w:szCs w:val="21"/>
              </w:rPr>
              <w:t>22</w:t>
            </w:r>
          </w:p>
        </w:tc>
      </w:tr>
      <w:tr w14:paraId="2A40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3" w:type="dxa"/>
            <w:vAlign w:val="center"/>
          </w:tcPr>
          <w:p w14:paraId="5AB44067">
            <w:pPr>
              <w:jc w:val="center"/>
              <w:rPr>
                <w:rFonts w:hint="eastAsia" w:ascii="宋体" w:hAnsi="宋体" w:eastAsia="宋体" w:cs="Times New Roman"/>
                <w:szCs w:val="21"/>
              </w:rPr>
            </w:pPr>
            <w:r>
              <w:rPr>
                <w:rFonts w:hint="eastAsia" w:ascii="宋体" w:hAnsi="宋体" w:eastAsia="宋体" w:cs="Times New Roman"/>
                <w:szCs w:val="21"/>
              </w:rPr>
              <w:t>合计</w:t>
            </w:r>
          </w:p>
        </w:tc>
        <w:tc>
          <w:tcPr>
            <w:tcW w:w="2010" w:type="dxa"/>
            <w:vAlign w:val="center"/>
          </w:tcPr>
          <w:p w14:paraId="50179E89">
            <w:pPr>
              <w:jc w:val="center"/>
              <w:rPr>
                <w:rFonts w:hint="eastAsia" w:ascii="宋体" w:hAnsi="宋体" w:eastAsia="宋体" w:cs="Times New Roman"/>
                <w:szCs w:val="21"/>
              </w:rPr>
            </w:pPr>
          </w:p>
        </w:tc>
        <w:tc>
          <w:tcPr>
            <w:tcW w:w="1553" w:type="dxa"/>
            <w:vAlign w:val="center"/>
          </w:tcPr>
          <w:p w14:paraId="3529D5EC">
            <w:pPr>
              <w:jc w:val="center"/>
              <w:rPr>
                <w:rFonts w:hint="eastAsia" w:ascii="宋体" w:hAnsi="宋体" w:eastAsia="宋体" w:cs="Times New Roman"/>
                <w:szCs w:val="21"/>
              </w:rPr>
            </w:pPr>
          </w:p>
        </w:tc>
        <w:tc>
          <w:tcPr>
            <w:tcW w:w="1335" w:type="dxa"/>
            <w:vAlign w:val="center"/>
          </w:tcPr>
          <w:p w14:paraId="210084A5">
            <w:pPr>
              <w:jc w:val="center"/>
              <w:rPr>
                <w:rFonts w:hint="eastAsia" w:ascii="宋体" w:hAnsi="宋体" w:eastAsia="宋体" w:cs="Times New Roman"/>
                <w:szCs w:val="21"/>
              </w:rPr>
            </w:pPr>
          </w:p>
        </w:tc>
        <w:tc>
          <w:tcPr>
            <w:tcW w:w="1494" w:type="dxa"/>
            <w:vAlign w:val="center"/>
          </w:tcPr>
          <w:p w14:paraId="2BED737A">
            <w:pPr>
              <w:jc w:val="center"/>
              <w:rPr>
                <w:rFonts w:hint="eastAsia" w:ascii="宋体" w:hAnsi="宋体" w:eastAsia="宋体" w:cs="Times New Roman"/>
                <w:szCs w:val="21"/>
              </w:rPr>
            </w:pPr>
          </w:p>
        </w:tc>
        <w:tc>
          <w:tcPr>
            <w:tcW w:w="815" w:type="dxa"/>
            <w:vAlign w:val="center"/>
          </w:tcPr>
          <w:p w14:paraId="4F73D860">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0FF43B8F">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79DA3F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6649"/>
        <w:gridCol w:w="638"/>
      </w:tblGrid>
      <w:tr w14:paraId="1B2E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vAlign w:val="center"/>
          </w:tcPr>
          <w:p w14:paraId="65A8B58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649" w:type="dxa"/>
            <w:vAlign w:val="center"/>
          </w:tcPr>
          <w:p w14:paraId="144860E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7BAFAA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999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vAlign w:val="center"/>
          </w:tcPr>
          <w:p w14:paraId="67A2EC7E">
            <w:pPr>
              <w:jc w:val="center"/>
              <w:rPr>
                <w:rFonts w:ascii="Times New Roman" w:hAnsi="Times New Roman" w:eastAsia="宋体" w:cs="Times New Roman"/>
                <w:b/>
                <w:bCs/>
                <w:szCs w:val="21"/>
              </w:rPr>
            </w:pPr>
            <w:r>
              <w:rPr>
                <w:rFonts w:hint="eastAsia" w:ascii="Times New Roman" w:hAnsi="Times New Roman" w:eastAsia="宋体" w:cs="Times New Roman"/>
                <w:szCs w:val="21"/>
              </w:rPr>
              <w:t>网络课堂学习</w:t>
            </w:r>
          </w:p>
        </w:tc>
        <w:tc>
          <w:tcPr>
            <w:tcW w:w="6649" w:type="dxa"/>
            <w:vAlign w:val="center"/>
          </w:tcPr>
          <w:p w14:paraId="70579B33">
            <w:pPr>
              <w:rPr>
                <w:rFonts w:ascii="Times New Roman" w:hAnsi="Times New Roman" w:eastAsia="宋体" w:cs="Times New Roman"/>
                <w:szCs w:val="21"/>
              </w:rPr>
            </w:pPr>
            <w:r>
              <w:rPr>
                <w:rFonts w:hint="eastAsia" w:ascii="Times New Roman" w:hAnsi="Times New Roman" w:eastAsia="宋体" w:cs="Times New Roman"/>
                <w:szCs w:val="21"/>
              </w:rPr>
              <w:t>通过网络视频观看、互动讨论等，考核对思想道德与法治理论的理解和运用</w:t>
            </w:r>
          </w:p>
        </w:tc>
        <w:tc>
          <w:tcPr>
            <w:tcW w:w="0" w:type="auto"/>
            <w:vAlign w:val="center"/>
          </w:tcPr>
          <w:p w14:paraId="6BE9F646">
            <w:pPr>
              <w:jc w:val="center"/>
              <w:rPr>
                <w:rFonts w:hint="eastAsia" w:ascii="宋体" w:hAnsi="宋体" w:eastAsia="宋体" w:cs="宋体"/>
                <w:szCs w:val="21"/>
              </w:rPr>
            </w:pPr>
            <w:r>
              <w:rPr>
                <w:rFonts w:hint="eastAsia" w:ascii="宋体" w:hAnsi="宋体" w:eastAsia="宋体" w:cs="宋体"/>
                <w:szCs w:val="21"/>
              </w:rPr>
              <w:t>10%</w:t>
            </w:r>
          </w:p>
        </w:tc>
      </w:tr>
      <w:tr w14:paraId="5F8B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vAlign w:val="center"/>
          </w:tcPr>
          <w:p w14:paraId="6E57E9EC">
            <w:pPr>
              <w:jc w:val="center"/>
              <w:rPr>
                <w:rFonts w:ascii="Times New Roman" w:hAnsi="Times New Roman" w:eastAsia="宋体" w:cs="Times New Roman"/>
                <w:szCs w:val="21"/>
              </w:rPr>
            </w:pPr>
            <w:r>
              <w:rPr>
                <w:rFonts w:hint="eastAsia" w:ascii="Times New Roman" w:hAnsi="Times New Roman" w:eastAsia="宋体" w:cs="Times New Roman"/>
                <w:szCs w:val="21"/>
              </w:rPr>
              <w:t>平时表现</w:t>
            </w:r>
          </w:p>
        </w:tc>
        <w:tc>
          <w:tcPr>
            <w:tcW w:w="6649" w:type="dxa"/>
            <w:vAlign w:val="center"/>
          </w:tcPr>
          <w:p w14:paraId="3DB606E9">
            <w:pPr>
              <w:widowControl/>
              <w:rPr>
                <w:rFonts w:ascii="Times New Roman" w:hAnsi="Times New Roman" w:eastAsia="宋体" w:cs="Times New Roman"/>
                <w:szCs w:val="21"/>
              </w:rPr>
            </w:pPr>
            <w:r>
              <w:rPr>
                <w:rFonts w:hint="eastAsia" w:ascii="宋体" w:hAnsi="宋体" w:eastAsia="宋体" w:cs="宋体"/>
                <w:kern w:val="0"/>
                <w:szCs w:val="21"/>
                <w:lang w:bidi="ar"/>
              </w:rPr>
              <w:t>通过出勤情况、听课表现、学习互动等，考核对思想道德与法治理论的理解和运用。</w:t>
            </w:r>
          </w:p>
        </w:tc>
        <w:tc>
          <w:tcPr>
            <w:tcW w:w="0" w:type="auto"/>
            <w:vAlign w:val="center"/>
          </w:tcPr>
          <w:p w14:paraId="0B33DC02">
            <w:pPr>
              <w:jc w:val="center"/>
              <w:rPr>
                <w:rFonts w:hint="eastAsia" w:ascii="宋体" w:hAnsi="宋体" w:eastAsia="宋体" w:cs="宋体"/>
                <w:szCs w:val="21"/>
              </w:rPr>
            </w:pPr>
            <w:r>
              <w:rPr>
                <w:rFonts w:hint="eastAsia" w:ascii="宋体" w:hAnsi="宋体" w:eastAsia="宋体" w:cs="宋体"/>
                <w:szCs w:val="21"/>
              </w:rPr>
              <w:t>20%</w:t>
            </w:r>
          </w:p>
        </w:tc>
      </w:tr>
      <w:tr w14:paraId="56F8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vAlign w:val="center"/>
          </w:tcPr>
          <w:p w14:paraId="17A36509">
            <w:pPr>
              <w:jc w:val="center"/>
              <w:rPr>
                <w:rFonts w:ascii="Times New Roman" w:hAnsi="Times New Roman" w:eastAsia="宋体" w:cs="Times New Roman"/>
                <w:szCs w:val="21"/>
              </w:rPr>
            </w:pPr>
            <w:r>
              <w:rPr>
                <w:rFonts w:hint="eastAsia" w:ascii="Times New Roman" w:hAnsi="Times New Roman" w:eastAsia="宋体" w:cs="Times New Roman"/>
                <w:szCs w:val="21"/>
              </w:rPr>
              <w:t>作业</w:t>
            </w:r>
          </w:p>
        </w:tc>
        <w:tc>
          <w:tcPr>
            <w:tcW w:w="6649" w:type="dxa"/>
            <w:vAlign w:val="center"/>
          </w:tcPr>
          <w:p w14:paraId="7267DB30">
            <w:pPr>
              <w:widowControl/>
              <w:rPr>
                <w:rFonts w:hint="eastAsia" w:ascii="宋体" w:hAnsi="宋体" w:eastAsia="宋体" w:cs="宋体"/>
                <w:kern w:val="0"/>
                <w:szCs w:val="21"/>
                <w:lang w:bidi="ar"/>
              </w:rPr>
            </w:pPr>
            <w:r>
              <w:rPr>
                <w:rFonts w:hint="eastAsia" w:ascii="Times New Roman" w:hAnsi="Times New Roman" w:eastAsia="宋体" w:cs="Times New Roman"/>
                <w:szCs w:val="21"/>
              </w:rPr>
              <w:t>平时作业共3次。</w:t>
            </w:r>
            <w:r>
              <w:rPr>
                <w:rFonts w:hint="eastAsia" w:ascii="宋体" w:hAnsi="宋体" w:eastAsia="宋体" w:cs="宋体"/>
                <w:kern w:val="0"/>
                <w:szCs w:val="21"/>
                <w:lang w:bidi="ar"/>
              </w:rPr>
              <w:t>一</w:t>
            </w:r>
            <w:r>
              <w:rPr>
                <w:rFonts w:hint="eastAsia" w:ascii="Times New Roman" w:hAnsi="Times New Roman" w:eastAsia="宋体" w:cs="Times New Roman"/>
                <w:szCs w:val="21"/>
              </w:rPr>
              <w:t>和二为主观题，以小论文或分析报告等的规范性、准确性、逻辑性及整洁性等为评分的主要依据。三为单元测试题，</w:t>
            </w:r>
            <w:r>
              <w:rPr>
                <w:rFonts w:hint="eastAsia" w:ascii="宋体" w:hAnsi="宋体" w:eastAsia="宋体" w:cs="宋体"/>
                <w:kern w:val="0"/>
                <w:szCs w:val="21"/>
                <w:lang w:bidi="ar"/>
              </w:rPr>
              <w:t>主要考查基础知识和基本理论的掌握，以题目的正确率为得分依据。</w:t>
            </w:r>
          </w:p>
        </w:tc>
        <w:tc>
          <w:tcPr>
            <w:tcW w:w="0" w:type="auto"/>
            <w:vAlign w:val="center"/>
          </w:tcPr>
          <w:p w14:paraId="1550C73D">
            <w:pPr>
              <w:jc w:val="center"/>
              <w:rPr>
                <w:rFonts w:hint="eastAsia" w:ascii="宋体" w:hAnsi="宋体" w:eastAsia="宋体" w:cs="宋体"/>
                <w:szCs w:val="21"/>
              </w:rPr>
            </w:pPr>
            <w:r>
              <w:rPr>
                <w:rFonts w:hint="eastAsia" w:ascii="宋体" w:hAnsi="宋体" w:eastAsia="宋体" w:cs="宋体"/>
                <w:szCs w:val="21"/>
              </w:rPr>
              <w:t>30%</w:t>
            </w:r>
          </w:p>
        </w:tc>
      </w:tr>
      <w:tr w14:paraId="63D69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dxa"/>
            <w:vAlign w:val="center"/>
          </w:tcPr>
          <w:p w14:paraId="070827E4">
            <w:pPr>
              <w:jc w:val="cente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649" w:type="dxa"/>
            <w:vAlign w:val="center"/>
          </w:tcPr>
          <w:p w14:paraId="5EEF1A89">
            <w:pPr>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单项选择题</w:t>
            </w:r>
            <w:r>
              <w:rPr>
                <w:rFonts w:ascii="Times New Roman" w:hAnsi="Times New Roman" w:eastAsia="宋体" w:cs="Times New Roman"/>
                <w:szCs w:val="21"/>
              </w:rPr>
              <w:t>、</w:t>
            </w:r>
            <w:r>
              <w:rPr>
                <w:rFonts w:hint="eastAsia" w:ascii="Times New Roman" w:hAnsi="Times New Roman" w:eastAsia="宋体" w:cs="Times New Roman"/>
                <w:szCs w:val="21"/>
              </w:rPr>
              <w:t>多项选择题</w:t>
            </w:r>
            <w:r>
              <w:rPr>
                <w:rFonts w:ascii="Times New Roman" w:hAnsi="Times New Roman" w:eastAsia="宋体" w:cs="Times New Roman"/>
                <w:szCs w:val="21"/>
              </w:rPr>
              <w:t>、</w:t>
            </w:r>
            <w:r>
              <w:rPr>
                <w:rFonts w:hint="eastAsia" w:ascii="Times New Roman" w:hAnsi="Times New Roman" w:eastAsia="宋体" w:cs="Times New Roman"/>
                <w:szCs w:val="21"/>
              </w:rPr>
              <w:t>判断题、填空题、论述题</w:t>
            </w:r>
            <w:r>
              <w:rPr>
                <w:rFonts w:ascii="Times New Roman" w:hAnsi="Times New Roman" w:eastAsia="宋体" w:cs="Times New Roman"/>
                <w:szCs w:val="21"/>
              </w:rPr>
              <w:t>等，以卷面成绩的</w:t>
            </w:r>
            <w:r>
              <w:rPr>
                <w:rFonts w:hint="eastAsia" w:ascii="Times New Roman" w:hAnsi="Times New Roman" w:eastAsia="宋体" w:cs="Times New Roman"/>
                <w:szCs w:val="21"/>
              </w:rPr>
              <w:t>40</w:t>
            </w:r>
            <w:r>
              <w:rPr>
                <w:rFonts w:ascii="Times New Roman" w:hAnsi="Times New Roman" w:eastAsia="宋体" w:cs="Times New Roman"/>
                <w:szCs w:val="21"/>
              </w:rPr>
              <w:t>%计入课程总成绩。其中考核</w:t>
            </w:r>
            <w:r>
              <w:rPr>
                <w:rFonts w:hint="eastAsia" w:ascii="Times New Roman" w:hAnsi="Times New Roman" w:eastAsia="宋体" w:cs="Times New Roman"/>
                <w:szCs w:val="21"/>
              </w:rPr>
              <w:t>思想道德与法治基本理论和知识型题目占5</w:t>
            </w:r>
            <w:r>
              <w:rPr>
                <w:rFonts w:ascii="Times New Roman" w:hAnsi="Times New Roman" w:eastAsia="宋体" w:cs="Times New Roman"/>
                <w:szCs w:val="21"/>
              </w:rPr>
              <w:t>0</w:t>
            </w:r>
            <w:r>
              <w:rPr>
                <w:rFonts w:hint="eastAsia" w:ascii="Times New Roman" w:hAnsi="Times New Roman" w:eastAsia="宋体" w:cs="Times New Roman"/>
                <w:szCs w:val="21"/>
              </w:rPr>
              <w:t>%；考核学生运用思想道德与法治基本理论知识进行分析问题和解决问题能力的题型占5</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15D9E944">
            <w:pPr>
              <w:jc w:val="center"/>
              <w:rPr>
                <w:rFonts w:hint="eastAsia" w:ascii="宋体" w:hAnsi="宋体" w:eastAsia="宋体" w:cs="宋体"/>
                <w:szCs w:val="21"/>
              </w:rPr>
            </w:pPr>
            <w:r>
              <w:rPr>
                <w:rFonts w:hint="eastAsia" w:ascii="宋体" w:hAnsi="宋体" w:eastAsia="宋体" w:cs="宋体"/>
                <w:szCs w:val="21"/>
              </w:rPr>
              <w:t>40%</w:t>
            </w:r>
          </w:p>
        </w:tc>
      </w:tr>
      <w:tr w14:paraId="3AE4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67" w:type="dxa"/>
            <w:vAlign w:val="center"/>
          </w:tcPr>
          <w:p w14:paraId="39F768C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649" w:type="dxa"/>
            <w:vAlign w:val="center"/>
          </w:tcPr>
          <w:p w14:paraId="637AC83F">
            <w:pPr>
              <w:jc w:val="left"/>
              <w:rPr>
                <w:rFonts w:ascii="Times New Roman" w:hAnsi="Times New Roman" w:eastAsia="宋体" w:cs="Times New Roman"/>
                <w:szCs w:val="21"/>
              </w:rPr>
            </w:pPr>
          </w:p>
        </w:tc>
        <w:tc>
          <w:tcPr>
            <w:tcW w:w="0" w:type="auto"/>
            <w:vAlign w:val="center"/>
          </w:tcPr>
          <w:p w14:paraId="7860F6B2">
            <w:pPr>
              <w:jc w:val="center"/>
              <w:rPr>
                <w:rFonts w:hint="eastAsia" w:ascii="宋体" w:hAnsi="宋体" w:eastAsia="宋体" w:cs="宋体"/>
                <w:szCs w:val="21"/>
              </w:rPr>
            </w:pPr>
            <w:r>
              <w:rPr>
                <w:rFonts w:hint="eastAsia" w:ascii="宋体" w:hAnsi="宋体" w:eastAsia="宋体" w:cs="宋体"/>
                <w:szCs w:val="21"/>
              </w:rPr>
              <w:t>100%</w:t>
            </w:r>
          </w:p>
        </w:tc>
      </w:tr>
    </w:tbl>
    <w:p w14:paraId="7C805F31">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63D0C3D9">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5AF64F25">
      <w:pPr>
        <w:snapToGrid w:val="0"/>
        <w:spacing w:line="360" w:lineRule="auto"/>
        <w:ind w:firstLine="210" w:firstLineChars="100"/>
        <w:rPr>
          <w:rFonts w:hint="eastAsia" w:ascii="宋体" w:hAnsi="宋体" w:eastAsia="宋体" w:cs="Times New Roman"/>
          <w:szCs w:val="21"/>
        </w:rPr>
      </w:pPr>
      <w:r>
        <w:rPr>
          <w:rFonts w:ascii="宋体" w:hAnsi="宋体" w:eastAsia="宋体" w:cs="Times New Roman"/>
          <w:szCs w:val="21"/>
        </w:rPr>
        <w:object>
          <v:shape id="_x0000_i1025" o:spt="75" type="#_x0000_t75" style="height:25pt;width:404.45pt;" o:ole="t" filled="f" o:preferrelative="t" stroked="f" coordsize="21600,21600">
            <v:path/>
            <v:fill on="f" focussize="0,0"/>
            <v:stroke on="f" joinstyle="miter"/>
            <v:imagedata r:id="rId12" o:title=""/>
            <o:lock v:ext="edit" aspectratio="t"/>
            <w10:wrap type="none"/>
            <w10:anchorlock/>
          </v:shape>
          <o:OLEObject Type="Embed" ProgID="Equation.3" ShapeID="_x0000_i1025" DrawAspect="Content" ObjectID="_1468075725" r:id="rId11">
            <o:LockedField>false</o:LockedField>
          </o:OLEObject>
        </w:object>
      </w:r>
    </w:p>
    <w:p w14:paraId="36472D3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w:t>
      </w:r>
      <w:r>
        <w:rPr>
          <w:rFonts w:ascii="Times New Roman" w:hAnsi="Times New Roman" w:eastAsia="宋体" w:cs="Times New Roman"/>
          <w:b/>
          <w:sz w:val="24"/>
        </w:rPr>
        <w:t>、</w:t>
      </w:r>
      <w:r>
        <w:rPr>
          <w:rFonts w:hint="eastAsia" w:ascii="Times New Roman" w:hAnsi="Times New Roman" w:eastAsia="宋体" w:cs="Times New Roman"/>
          <w:b/>
          <w:sz w:val="24"/>
        </w:rPr>
        <w:t>有关说明</w:t>
      </w:r>
    </w:p>
    <w:p w14:paraId="639D4FBF">
      <w:pPr>
        <w:spacing w:line="360" w:lineRule="auto"/>
        <w:ind w:firstLine="420"/>
        <w:rPr>
          <w:rFonts w:ascii="Times New Roman" w:hAnsi="Times New Roman" w:eastAsia="宋体" w:cs="Times New Roman"/>
          <w:b/>
          <w:szCs w:val="21"/>
        </w:rPr>
      </w:pPr>
      <w:r>
        <w:rPr>
          <w:rFonts w:hint="eastAsia" w:ascii="Times New Roman" w:hAnsi="Times New Roman" w:eastAsia="宋体" w:cs="Times New Roman"/>
          <w:b/>
          <w:szCs w:val="21"/>
        </w:rPr>
        <w:t xml:space="preserve">（一）持续改进 </w:t>
      </w:r>
    </w:p>
    <w:p w14:paraId="25092CE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本课程根据网络课堂学习、平时表现、作业和期末考试等考核情况，以及学生、教学督导等反馈，及时对教学中不足之处进行改进，并在下一轮课程教学中整改完善，确保相应毕业要求观测点达成。</w:t>
      </w:r>
    </w:p>
    <w:p w14:paraId="6C0C5D93">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16ED16E">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 xml:space="preserve">《思想道德与法治》，本书编写组主编，高等教育出版社，2023年2月版 </w:t>
      </w:r>
    </w:p>
    <w:p w14:paraId="03653AB6">
      <w:pPr>
        <w:spacing w:line="360" w:lineRule="auto"/>
        <w:ind w:firstLine="420"/>
        <w:rPr>
          <w:rFonts w:ascii="Times New Roman" w:hAnsi="Times New Roman" w:eastAsia="宋体" w:cs="Times New Roman"/>
          <w:b/>
          <w:szCs w:val="21"/>
        </w:rPr>
      </w:pPr>
      <w:r>
        <w:rPr>
          <w:rFonts w:hint="eastAsia" w:ascii="Times New Roman" w:hAnsi="Times New Roman" w:eastAsia="宋体" w:cs="Times New Roman"/>
          <w:b/>
          <w:szCs w:val="21"/>
        </w:rPr>
        <w:t>（三）</w:t>
      </w:r>
      <w:r>
        <w:rPr>
          <w:rFonts w:ascii="Times New Roman" w:hAnsi="Times New Roman" w:eastAsia="宋体" w:cs="Times New Roman"/>
          <w:b/>
          <w:szCs w:val="21"/>
        </w:rPr>
        <w:t>参考书目</w:t>
      </w:r>
    </w:p>
    <w:p w14:paraId="5D8A121C">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1.《习近平谈治国理政》第一卷，外文出版社，2018</w:t>
      </w:r>
    </w:p>
    <w:p w14:paraId="14E5ACA4">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2.《习近平关于实现中华民族伟大复兴的中国梦论述摘编》，中央文献出版社，2013</w:t>
      </w:r>
    </w:p>
    <w:p w14:paraId="4A1CDBB4">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3.《新时代爱国主义教育实施纲要》，人民出版社，2019</w:t>
      </w:r>
    </w:p>
    <w:p w14:paraId="50257735">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4.《新时代公民道德建设实施纲要》，人民出版社，2019</w:t>
      </w:r>
    </w:p>
    <w:p w14:paraId="485B1EE5">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5.《中华人民共和国民法典》，法律出版社，2020</w:t>
      </w:r>
    </w:p>
    <w:p w14:paraId="6ABD0D95">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6.《习近平法治思想概论》，高等教育出版社，2021</w:t>
      </w:r>
    </w:p>
    <w:p w14:paraId="71BEF786">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7.《习近平法治思想学习纲要》，人民出版社、学习出版社，2021</w:t>
      </w:r>
    </w:p>
    <w:p w14:paraId="462ACD2F">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8.《习近平关于社会主义精神文明建设论述摘编》，中央文献出版社，2022</w:t>
      </w:r>
    </w:p>
    <w:p w14:paraId="730E6780">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9. 毛泽东：《为人民服务》，《毛泽东选集》第3卷，人民出版社，1991</w:t>
      </w:r>
    </w:p>
    <w:p w14:paraId="0AA59B21">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10. 习近平：《在纪念马克思诞辰200周年大会上的讲话》，人民出版社，2018</w:t>
      </w:r>
    </w:p>
    <w:p w14:paraId="0E3CFDC2">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11. 习近平：《论坚持全面依法治国》，中央文献出版社，2020</w:t>
      </w:r>
    </w:p>
    <w:p w14:paraId="54DFBADD">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12. 习近平：《高举中国特色社会主义伟大旗帜 为全面建设社会主义现代化国家而团结奋斗——在中国共产党第二十次全国代表大会上的报告》，人民出版社，2022</w:t>
      </w:r>
    </w:p>
    <w:p w14:paraId="2610A3C0">
      <w:pPr>
        <w:autoSpaceDE w:val="0"/>
        <w:autoSpaceDN w:val="0"/>
        <w:adjustRightInd w:val="0"/>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（四）教学改革</w:t>
      </w:r>
    </w:p>
    <w:p w14:paraId="6766D311">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本课程的教学改革，需制定相应的教学方案。</w:t>
      </w:r>
    </w:p>
    <w:p w14:paraId="6EBC169A">
      <w:pPr>
        <w:spacing w:line="360" w:lineRule="auto"/>
        <w:ind w:firstLine="420" w:firstLineChars="200"/>
        <w:rPr>
          <w:rFonts w:ascii="Times New Roman" w:hAnsi="Times New Roman" w:eastAsia="宋体" w:cs="Times New Roman"/>
          <w:szCs w:val="21"/>
        </w:rPr>
      </w:pPr>
    </w:p>
    <w:p w14:paraId="40BC1392">
      <w:pPr>
        <w:autoSpaceDE w:val="0"/>
        <w:autoSpaceDN w:val="0"/>
        <w:adjustRightInd w:val="0"/>
        <w:spacing w:line="360" w:lineRule="auto"/>
        <w:ind w:firstLine="4935" w:firstLineChars="2350"/>
        <w:jc w:val="left"/>
        <w:rPr>
          <w:rFonts w:ascii="Times New Roman" w:hAnsi="Times New Roman" w:eastAsia="宋体" w:cs="Times New Roman"/>
          <w:kern w:val="0"/>
          <w:szCs w:val="21"/>
        </w:rPr>
      </w:pPr>
    </w:p>
    <w:p w14:paraId="0A47AB2C">
      <w:pPr>
        <w:autoSpaceDE w:val="0"/>
        <w:autoSpaceDN w:val="0"/>
        <w:adjustRightInd w:val="0"/>
        <w:spacing w:line="360" w:lineRule="auto"/>
        <w:ind w:firstLine="4935" w:firstLineChars="2350"/>
        <w:jc w:val="right"/>
        <w:rPr>
          <w:rFonts w:ascii="Times New Roman" w:hAnsi="Times New Roman" w:eastAsia="宋体" w:cs="Times New Roman"/>
          <w:kern w:val="0"/>
          <w:szCs w:val="21"/>
        </w:rPr>
      </w:pPr>
      <w:r>
        <w:rPr>
          <w:rFonts w:ascii="Times New Roman" w:hAnsi="Times New Roman" w:eastAsia="宋体" w:cs="Times New Roman"/>
          <w:kern w:val="0"/>
          <w:szCs w:val="21"/>
        </w:rPr>
        <w:t>执笔人：</w:t>
      </w:r>
      <w:r>
        <w:rPr>
          <w:rFonts w:hint="eastAsia" w:ascii="Times New Roman" w:hAnsi="Times New Roman" w:eastAsia="宋体" w:cs="Times New Roman"/>
          <w:kern w:val="0"/>
          <w:szCs w:val="21"/>
        </w:rPr>
        <w:t xml:space="preserve">陈 </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瑶</w:t>
      </w:r>
    </w:p>
    <w:p w14:paraId="7A7E765F">
      <w:pPr>
        <w:autoSpaceDE w:val="0"/>
        <w:autoSpaceDN w:val="0"/>
        <w:adjustRightInd w:val="0"/>
        <w:spacing w:line="360" w:lineRule="auto"/>
        <w:ind w:left="5670" w:leftChars="2700"/>
        <w:jc w:val="right"/>
        <w:rPr>
          <w:rFonts w:ascii="Times New Roman" w:hAnsi="Times New Roman" w:eastAsia="宋体" w:cs="Times New Roman"/>
          <w:kern w:val="0"/>
          <w:szCs w:val="21"/>
        </w:rPr>
      </w:pPr>
      <w:r>
        <w:rPr>
          <w:rFonts w:ascii="Times New Roman" w:hAnsi="Times New Roman" w:eastAsia="宋体" w:cs="Times New Roman"/>
          <w:kern w:val="0"/>
          <w:szCs w:val="21"/>
        </w:rPr>
        <w:t>审定人：</w:t>
      </w:r>
      <w:r>
        <w:rPr>
          <w:rFonts w:hint="eastAsia" w:ascii="Times New Roman" w:hAnsi="Times New Roman" w:eastAsia="宋体" w:cs="Times New Roman"/>
          <w:kern w:val="0"/>
          <w:szCs w:val="21"/>
        </w:rPr>
        <w:t>夏天静</w:t>
      </w:r>
    </w:p>
    <w:p w14:paraId="60900DF9">
      <w:pPr>
        <w:autoSpaceDE w:val="0"/>
        <w:autoSpaceDN w:val="0"/>
        <w:adjustRightInd w:val="0"/>
        <w:spacing w:line="360" w:lineRule="auto"/>
        <w:ind w:left="5670" w:leftChars="2700"/>
        <w:jc w:val="right"/>
        <w:rPr>
          <w:rFonts w:ascii="Times New Roman" w:hAnsi="Times New Roman" w:eastAsia="宋体" w:cs="Times New Roman"/>
          <w:kern w:val="0"/>
          <w:szCs w:val="21"/>
        </w:rPr>
      </w:pPr>
      <w:r>
        <w:rPr>
          <w:rFonts w:hint="eastAsia" w:ascii="Times New Roman" w:hAnsi="Times New Roman" w:eastAsia="宋体" w:cs="Times New Roman"/>
          <w:kern w:val="0"/>
          <w:szCs w:val="21"/>
        </w:rPr>
        <w:t>审批</w:t>
      </w:r>
      <w:r>
        <w:rPr>
          <w:rFonts w:ascii="Times New Roman" w:hAnsi="Times New Roman" w:eastAsia="宋体" w:cs="Times New Roman"/>
          <w:kern w:val="0"/>
          <w:szCs w:val="21"/>
        </w:rPr>
        <w:t>人：</w:t>
      </w:r>
      <w:r>
        <w:rPr>
          <w:rFonts w:hint="eastAsia" w:ascii="Times New Roman" w:hAnsi="Times New Roman" w:eastAsia="宋体" w:cs="Times New Roman"/>
          <w:kern w:val="0"/>
          <w:szCs w:val="21"/>
        </w:rPr>
        <w:t>熊焱生</w:t>
      </w:r>
    </w:p>
    <w:p w14:paraId="11750637">
      <w:pPr>
        <w:autoSpaceDE w:val="0"/>
        <w:autoSpaceDN w:val="0"/>
        <w:adjustRightInd w:val="0"/>
        <w:spacing w:line="360" w:lineRule="auto"/>
        <w:ind w:firstLine="4620" w:firstLineChars="2200"/>
        <w:jc w:val="right"/>
        <w:rPr>
          <w:rFonts w:ascii="Times New Roman" w:hAnsi="Times New Roman" w:eastAsia="宋体" w:cs="Times New Roman"/>
          <w:szCs w:val="21"/>
        </w:rPr>
      </w:pPr>
      <w:r>
        <w:rPr>
          <w:rFonts w:hint="eastAsia" w:ascii="Times New Roman" w:hAnsi="Times New Roman" w:eastAsia="宋体" w:cs="Times New Roman"/>
          <w:kern w:val="0"/>
          <w:szCs w:val="21"/>
        </w:rPr>
        <w:t>批准时间：2025年7月1日</w:t>
      </w:r>
    </w:p>
    <w:p w14:paraId="517C3004">
      <w:pPr>
        <w:rPr>
          <w:sz w:val="24"/>
        </w:rPr>
      </w:pPr>
      <w:bookmarkStart w:id="12" w:name="_Toc72821551"/>
      <w:bookmarkStart w:id="13" w:name="_Toc45149938"/>
      <w:r>
        <w:rPr>
          <w:rFonts w:hint="eastAsia"/>
          <w:sz w:val="24"/>
        </w:rPr>
        <w:br w:type="page"/>
      </w:r>
    </w:p>
    <w:p w14:paraId="244AE099">
      <w:pPr>
        <w:spacing w:line="360" w:lineRule="auto"/>
        <w:jc w:val="center"/>
        <w:outlineLvl w:val="0"/>
        <w:rPr>
          <w:rFonts w:ascii="Times New Roman" w:hAnsi="Times New Roman" w:eastAsia="宋体" w:cs="Times New Roman"/>
          <w:b/>
          <w:sz w:val="44"/>
          <w:szCs w:val="44"/>
        </w:rPr>
      </w:pPr>
      <w:bookmarkStart w:id="14" w:name="_Toc16802"/>
      <w:r>
        <w:rPr>
          <w:rFonts w:hint="eastAsia" w:ascii="Times New Roman" w:hAnsi="Times New Roman" w:eastAsia="宋体" w:cs="Times New Roman"/>
          <w:b/>
          <w:sz w:val="44"/>
          <w:szCs w:val="44"/>
        </w:rPr>
        <w:t>《中国近现代史纲要》课程教学大纲</w:t>
      </w:r>
      <w:bookmarkEnd w:id="12"/>
      <w:bookmarkEnd w:id="13"/>
      <w:bookmarkEnd w:id="14"/>
    </w:p>
    <w:p w14:paraId="67970A92">
      <w:pPr>
        <w:spacing w:line="360" w:lineRule="auto"/>
        <w:jc w:val="center"/>
        <w:rPr>
          <w:rFonts w:ascii="Times New Roman" w:hAnsi="Times New Roman" w:eastAsia="宋体" w:cs="Times New Roman"/>
          <w:b/>
          <w:bCs/>
          <w:sz w:val="28"/>
          <w:szCs w:val="28"/>
        </w:rPr>
      </w:pPr>
      <w:bookmarkStart w:id="15" w:name="_Toc25505"/>
      <w:bookmarkStart w:id="16" w:name="_Toc19437"/>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Introduction to Chinese Modern and Contemporary History</w:t>
      </w:r>
      <w:r>
        <w:rPr>
          <w:rFonts w:ascii="Times New Roman" w:hAnsi="Times New Roman" w:eastAsia="宋体" w:cs="Times New Roman"/>
          <w:b/>
          <w:bCs/>
          <w:sz w:val="28"/>
          <w:szCs w:val="28"/>
        </w:rPr>
        <w:t>）</w:t>
      </w:r>
      <w:bookmarkEnd w:id="15"/>
      <w:bookmarkEnd w:id="16"/>
    </w:p>
    <w:p w14:paraId="287D7DB3">
      <w:pPr>
        <w:spacing w:line="360" w:lineRule="auto"/>
        <w:jc w:val="center"/>
        <w:rPr>
          <w:rFonts w:ascii="Times New Roman" w:hAnsi="Times New Roman" w:eastAsia="宋体" w:cs="Times New Roman"/>
          <w:bCs/>
          <w:szCs w:val="21"/>
        </w:rPr>
      </w:pPr>
    </w:p>
    <w:p w14:paraId="714BFCC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课程名称：中国近现代史纲要</w:t>
      </w:r>
    </w:p>
    <w:p w14:paraId="0B2CC2A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课程代码：1002031</w:t>
      </w:r>
    </w:p>
    <w:p w14:paraId="4F340CE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分：3</w:t>
      </w:r>
    </w:p>
    <w:p w14:paraId="1ADF04E2">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时：48（其中：讲授学时4</w:t>
      </w:r>
      <w:r>
        <w:rPr>
          <w:rFonts w:ascii="Times New Roman" w:hAnsi="Times New Roman" w:eastAsia="宋体" w:cs="Times New Roman"/>
          <w:b/>
          <w:sz w:val="24"/>
        </w:rPr>
        <w:t>2</w:t>
      </w:r>
      <w:r>
        <w:rPr>
          <w:rFonts w:hint="eastAsia" w:ascii="Times New Roman" w:hAnsi="Times New Roman" w:eastAsia="宋体" w:cs="Times New Roman"/>
          <w:b/>
          <w:sz w:val="24"/>
        </w:rPr>
        <w:t>，实践学时6）</w:t>
      </w:r>
    </w:p>
    <w:p w14:paraId="78CB103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先修课程：思想道德与法治</w:t>
      </w:r>
    </w:p>
    <w:p w14:paraId="2139FE1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适用专业：全新所有专业</w:t>
      </w:r>
    </w:p>
    <w:p w14:paraId="48D4EE8D">
      <w:pPr>
        <w:spacing w:before="62" w:beforeLines="20" w:after="62" w:afterLines="20"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2BD0744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通识必修课。通过本课程的学习，培养学生的唯物史观，帮助学生了解国史、国情，深刻领会历史和人民是怎样选择了马克思主义，选择了中国共产党，选择了社会主义道路、选择了改革开放，深刻领会中国共产党为什么能、马克思主义为什么行、中国特色社会主义为什么好，为后续思想政治理论课及思想政治理论课实践环节奠定基础。</w:t>
      </w:r>
    </w:p>
    <w:p w14:paraId="7709DEE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50B9EBBC">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079569A3">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具有坚定的政治信念，践行社会主义核心价值观；具有正确的历史观念，具有投身小学教育事业的责任感、使命感，具有坚定的心有大我、至诚报国的理想信念</w:t>
      </w:r>
      <w:r>
        <w:rPr>
          <w:rFonts w:ascii="Times New Roman" w:hAnsi="Times New Roman" w:eastAsia="宋体" w:cs="Times New Roman"/>
          <w:szCs w:val="21"/>
        </w:rPr>
        <w:t>。</w:t>
      </w:r>
    </w:p>
    <w:p w14:paraId="0A0239A1">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具有良好的中国近现代历史素养、了解国史国情，具有家国情怀，热爱教育事业，愿意投身小学教育事业、践行教育家精神。</w:t>
      </w:r>
    </w:p>
    <w:p w14:paraId="12699DCC">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ascii="Times New Roman" w:hAnsi="Times New Roman" w:eastAsia="宋体" w:cs="Times New Roman"/>
          <w:b/>
          <w:szCs w:val="21"/>
        </w:rPr>
        <w:t xml:space="preserve">. </w:t>
      </w:r>
      <w:bookmarkStart w:id="17" w:name="_Hlk195467603"/>
      <w:r>
        <w:rPr>
          <w:rFonts w:hint="eastAsia" w:ascii="Times New Roman" w:hAnsi="Times New Roman" w:eastAsia="宋体" w:cs="Times New Roman"/>
          <w:szCs w:val="21"/>
        </w:rPr>
        <w:t>具有良好的中国近现代历史的知识底蕴和扎实的专业能力，胜任小学历史学科的教学，具有较强的教学研究能力。</w:t>
      </w:r>
    </w:p>
    <w:bookmarkEnd w:id="17"/>
    <w:p w14:paraId="78D75972">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45DD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88F6F6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1B1F8D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13A541E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400E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DD87D6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054F92DE">
            <w:pPr>
              <w:spacing w:line="276" w:lineRule="auto"/>
              <w:jc w:val="left"/>
              <w:rPr>
                <w:rFonts w:ascii="Times New Roman" w:hAnsi="Times New Roman" w:eastAsia="宋体" w:cs="Times New Roman"/>
                <w:szCs w:val="21"/>
              </w:rPr>
            </w:pPr>
            <w:r>
              <w:rPr>
                <w:rFonts w:hint="eastAsia" w:ascii="Times New Roman" w:hAnsi="Times New Roman" w:eastAsia="宋体" w:cs="Times New Roman"/>
                <w:b/>
                <w:szCs w:val="21"/>
              </w:rPr>
              <w:t>指标点1-1</w:t>
            </w:r>
            <w:r>
              <w:rPr>
                <w:rFonts w:ascii="Times New Roman" w:hAnsi="Times New Roman" w:eastAsia="宋体" w:cs="Times New Roman"/>
                <w:szCs w:val="21"/>
              </w:rPr>
              <w:t>：</w:t>
            </w:r>
            <w:r>
              <w:rPr>
                <w:rFonts w:hint="eastAsia" w:ascii="Times New Roman" w:hAnsi="Times New Roman" w:eastAsia="宋体" w:cs="Times New Roman"/>
                <w:szCs w:val="21"/>
              </w:rPr>
              <w:t>【理想信念坚定】认同中国特色社会主义，贯彻党的教育方针，自觉践行社会主义核心价值观，树立职业理想，立志成为有理想信念、有道德情操、有扎实学识、有仁爱之心的好教师。</w:t>
            </w:r>
          </w:p>
        </w:tc>
        <w:tc>
          <w:tcPr>
            <w:tcW w:w="1191" w:type="dxa"/>
            <w:vAlign w:val="center"/>
          </w:tcPr>
          <w:p w14:paraId="58C1F5D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32C4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27E01E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471CE4F9">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指标点2-1</w:t>
            </w:r>
            <w:r>
              <w:rPr>
                <w:rFonts w:ascii="宋体" w:hAnsi="宋体" w:eastAsia="宋体" w:cs="Times New Roman"/>
                <w:spacing w:val="2"/>
                <w:kern w:val="0"/>
                <w:szCs w:val="21"/>
              </w:rPr>
              <w:t>：</w:t>
            </w:r>
            <w:r>
              <w:rPr>
                <w:rFonts w:hint="eastAsia" w:ascii="宋体" w:hAnsi="宋体" w:eastAsia="宋体" w:cs="Times New Roman"/>
                <w:spacing w:val="2"/>
                <w:kern w:val="0"/>
                <w:szCs w:val="21"/>
              </w:rPr>
              <w:t>【职业认同感强】具有家国情怀，热爱教育事业，践行教育家精神，认同教师职业的意义、价值与专业性。</w:t>
            </w:r>
          </w:p>
        </w:tc>
        <w:tc>
          <w:tcPr>
            <w:tcW w:w="1191" w:type="dxa"/>
            <w:vAlign w:val="center"/>
          </w:tcPr>
          <w:p w14:paraId="3A88F24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0CAD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9D4240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1A7772A5">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指标点3-1</w:t>
            </w:r>
            <w:r>
              <w:rPr>
                <w:rFonts w:ascii="宋体" w:hAnsi="宋体" w:eastAsia="宋体" w:cs="Times New Roman"/>
                <w:spacing w:val="2"/>
                <w:kern w:val="0"/>
                <w:szCs w:val="21"/>
              </w:rPr>
              <w:t>：</w:t>
            </w:r>
            <w:r>
              <w:rPr>
                <w:rFonts w:hint="eastAsia" w:ascii="宋体" w:hAnsi="宋体" w:eastAsia="宋体" w:cs="Times New Roman"/>
                <w:spacing w:val="2"/>
                <w:kern w:val="0"/>
                <w:szCs w:val="21"/>
              </w:rPr>
              <w:t>【通识知识广博】具有相应的自然科学和人文社会科学知识素养。</w:t>
            </w:r>
          </w:p>
        </w:tc>
        <w:tc>
          <w:tcPr>
            <w:tcW w:w="1191" w:type="dxa"/>
            <w:vAlign w:val="center"/>
          </w:tcPr>
          <w:p w14:paraId="7375E3B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7255851A">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840"/>
        <w:gridCol w:w="1159"/>
        <w:gridCol w:w="2241"/>
        <w:gridCol w:w="1415"/>
        <w:gridCol w:w="438"/>
      </w:tblGrid>
      <w:tr w14:paraId="573D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5E029AF">
            <w:pPr>
              <w:jc w:val="center"/>
              <w:rPr>
                <w:rFonts w:hint="eastAsia" w:ascii="宋体" w:hAnsi="宋体" w:eastAsia="宋体" w:cs="Times New Roman"/>
                <w:b/>
                <w:szCs w:val="21"/>
              </w:rPr>
            </w:pPr>
            <w:r>
              <w:rPr>
                <w:rFonts w:hint="eastAsia" w:ascii="宋体" w:hAnsi="宋体" w:eastAsia="宋体" w:cs="Times New Roman"/>
                <w:b/>
                <w:szCs w:val="21"/>
              </w:rPr>
              <w:t>知识</w:t>
            </w:r>
          </w:p>
          <w:p w14:paraId="13AC0681">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840" w:type="dxa"/>
            <w:vAlign w:val="center"/>
          </w:tcPr>
          <w:p w14:paraId="498233DE">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59" w:type="dxa"/>
            <w:vAlign w:val="center"/>
          </w:tcPr>
          <w:p w14:paraId="230C9D8C">
            <w:pPr>
              <w:jc w:val="center"/>
              <w:rPr>
                <w:rFonts w:hint="eastAsia" w:ascii="宋体" w:hAnsi="宋体" w:eastAsia="宋体" w:cs="Times New Roman"/>
                <w:b/>
                <w:szCs w:val="21"/>
              </w:rPr>
            </w:pPr>
            <w:r>
              <w:rPr>
                <w:rFonts w:hint="eastAsia" w:ascii="宋体" w:hAnsi="宋体" w:eastAsia="宋体" w:cs="Times New Roman"/>
                <w:b/>
                <w:szCs w:val="21"/>
              </w:rPr>
              <w:t>对应</w:t>
            </w:r>
          </w:p>
          <w:p w14:paraId="3604CBCB">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241" w:type="dxa"/>
            <w:vAlign w:val="center"/>
          </w:tcPr>
          <w:p w14:paraId="710AEC9B">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415" w:type="dxa"/>
            <w:vAlign w:val="center"/>
          </w:tcPr>
          <w:p w14:paraId="4B23E98C">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3BC387C9">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5997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A6B04DC">
            <w:pPr>
              <w:jc w:val="center"/>
              <w:rPr>
                <w:rFonts w:hint="eastAsia" w:ascii="宋体" w:hAnsi="宋体" w:eastAsia="宋体" w:cs="Times New Roman"/>
                <w:szCs w:val="21"/>
              </w:rPr>
            </w:pPr>
            <w:r>
              <w:rPr>
                <w:rFonts w:hint="eastAsia" w:ascii="宋体" w:hAnsi="宋体" w:eastAsia="宋体" w:cs="Times New Roman"/>
                <w:szCs w:val="21"/>
              </w:rPr>
              <w:t>1.导言</w:t>
            </w:r>
          </w:p>
        </w:tc>
        <w:tc>
          <w:tcPr>
            <w:tcW w:w="2840" w:type="dxa"/>
            <w:vAlign w:val="center"/>
          </w:tcPr>
          <w:p w14:paraId="56A65A37">
            <w:pPr>
              <w:jc w:val="left"/>
              <w:rPr>
                <w:rFonts w:hint="eastAsia" w:ascii="宋体" w:hAnsi="宋体" w:eastAsia="宋体" w:cs="Times New Roman"/>
                <w:szCs w:val="21"/>
              </w:rPr>
            </w:pPr>
            <w:r>
              <w:rPr>
                <w:rFonts w:hint="eastAsia" w:ascii="宋体" w:hAnsi="宋体" w:eastAsia="宋体" w:cs="Times New Roman"/>
                <w:szCs w:val="21"/>
              </w:rPr>
              <w:t>（1）中国近代史综述</w:t>
            </w:r>
          </w:p>
          <w:p w14:paraId="46DFD835">
            <w:pPr>
              <w:jc w:val="left"/>
              <w:rPr>
                <w:rFonts w:hint="eastAsia" w:ascii="宋体" w:hAnsi="宋体" w:eastAsia="宋体" w:cs="Times New Roman"/>
                <w:szCs w:val="21"/>
              </w:rPr>
            </w:pPr>
            <w:r>
              <w:rPr>
                <w:rFonts w:hint="eastAsia" w:ascii="宋体" w:hAnsi="宋体" w:eastAsia="宋体" w:cs="Times New Roman"/>
                <w:szCs w:val="21"/>
              </w:rPr>
              <w:t>（2）中国现代史综述</w:t>
            </w:r>
          </w:p>
          <w:p w14:paraId="14763622">
            <w:pPr>
              <w:jc w:val="left"/>
              <w:rPr>
                <w:rFonts w:hint="eastAsia" w:ascii="宋体" w:hAnsi="宋体" w:eastAsia="宋体" w:cs="Times New Roman"/>
                <w:szCs w:val="21"/>
              </w:rPr>
            </w:pPr>
            <w:r>
              <w:rPr>
                <w:rFonts w:hint="eastAsia" w:ascii="宋体" w:hAnsi="宋体" w:eastAsia="宋体" w:cs="Times New Roman"/>
                <w:szCs w:val="21"/>
              </w:rPr>
              <w:t>（3）学习中国近现代史的目的和要求</w:t>
            </w:r>
          </w:p>
        </w:tc>
        <w:tc>
          <w:tcPr>
            <w:tcW w:w="1159" w:type="dxa"/>
            <w:vAlign w:val="center"/>
          </w:tcPr>
          <w:p w14:paraId="160777C4">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378A63A2">
            <w:pPr>
              <w:jc w:val="left"/>
              <w:rPr>
                <w:rFonts w:hint="eastAsia" w:ascii="宋体" w:hAnsi="宋体" w:eastAsia="宋体" w:cs="Times New Roman"/>
                <w:szCs w:val="21"/>
              </w:rPr>
            </w:pPr>
            <w:r>
              <w:rPr>
                <w:rFonts w:hint="eastAsia" w:ascii="宋体" w:hAnsi="宋体" w:eastAsia="宋体" w:cs="Times New Roman"/>
                <w:szCs w:val="21"/>
              </w:rPr>
              <w:t>1.理解中国近现代史的主流和本质；</w:t>
            </w:r>
          </w:p>
          <w:p w14:paraId="531D17FD">
            <w:pPr>
              <w:rPr>
                <w:rFonts w:hint="eastAsia" w:ascii="宋体" w:hAnsi="宋体" w:eastAsia="宋体" w:cs="Times New Roman"/>
                <w:szCs w:val="21"/>
              </w:rPr>
            </w:pPr>
            <w:r>
              <w:rPr>
                <w:rFonts w:hint="eastAsia" w:ascii="宋体" w:hAnsi="宋体" w:eastAsia="宋体" w:cs="Times New Roman"/>
                <w:szCs w:val="21"/>
              </w:rPr>
              <w:t>2.认识学习中国近现代史的目的和要求。</w:t>
            </w:r>
          </w:p>
        </w:tc>
        <w:tc>
          <w:tcPr>
            <w:tcW w:w="1415" w:type="dxa"/>
            <w:vAlign w:val="center"/>
          </w:tcPr>
          <w:p w14:paraId="1E2E3275">
            <w:pPr>
              <w:jc w:val="left"/>
              <w:rPr>
                <w:rFonts w:hint="eastAsia" w:ascii="宋体" w:hAnsi="宋体" w:eastAsia="宋体" w:cs="Times New Roman"/>
                <w:szCs w:val="21"/>
              </w:rPr>
            </w:pPr>
            <w:r>
              <w:rPr>
                <w:rFonts w:hint="eastAsia" w:ascii="宋体" w:hAnsi="宋体" w:eastAsia="宋体" w:cs="Times New Roman"/>
                <w:szCs w:val="21"/>
              </w:rPr>
              <w:t>1.线上学习</w:t>
            </w:r>
          </w:p>
          <w:p w14:paraId="6D527B68">
            <w:pPr>
              <w:jc w:val="left"/>
              <w:rPr>
                <w:rFonts w:hint="eastAsia" w:ascii="宋体" w:hAnsi="宋体" w:eastAsia="宋体" w:cs="Times New Roman"/>
                <w:szCs w:val="21"/>
              </w:rPr>
            </w:pPr>
            <w:r>
              <w:rPr>
                <w:rFonts w:hint="eastAsia" w:ascii="宋体" w:hAnsi="宋体" w:eastAsia="宋体" w:cs="Times New Roman"/>
                <w:szCs w:val="21"/>
              </w:rPr>
              <w:t>2.课堂教学</w:t>
            </w:r>
          </w:p>
          <w:p w14:paraId="10553ADF">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30C03AAE">
            <w:pPr>
              <w:jc w:val="center"/>
              <w:rPr>
                <w:rFonts w:hint="eastAsia" w:ascii="宋体" w:hAnsi="宋体" w:eastAsia="宋体" w:cs="Times New Roman"/>
                <w:szCs w:val="21"/>
              </w:rPr>
            </w:pPr>
            <w:r>
              <w:rPr>
                <w:rFonts w:hint="eastAsia" w:ascii="宋体" w:hAnsi="宋体" w:eastAsia="宋体" w:cs="Times New Roman"/>
                <w:szCs w:val="21"/>
              </w:rPr>
              <w:t>3</w:t>
            </w:r>
          </w:p>
        </w:tc>
      </w:tr>
      <w:tr w14:paraId="71AE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4322926">
            <w:pPr>
              <w:jc w:val="center"/>
              <w:rPr>
                <w:rFonts w:hint="eastAsia" w:ascii="宋体" w:hAnsi="宋体" w:eastAsia="宋体" w:cs="Times New Roman"/>
                <w:szCs w:val="21"/>
              </w:rPr>
            </w:pPr>
            <w:r>
              <w:rPr>
                <w:rFonts w:hint="eastAsia" w:ascii="宋体" w:hAnsi="宋体" w:eastAsia="宋体" w:cs="Times New Roman"/>
                <w:szCs w:val="21"/>
              </w:rPr>
              <w:t>2.进入近代后中华民族的磨难与抗争</w:t>
            </w:r>
          </w:p>
        </w:tc>
        <w:tc>
          <w:tcPr>
            <w:tcW w:w="2840" w:type="dxa"/>
            <w:vAlign w:val="center"/>
          </w:tcPr>
          <w:p w14:paraId="0361719F">
            <w:pPr>
              <w:jc w:val="left"/>
              <w:rPr>
                <w:rFonts w:hint="eastAsia" w:ascii="宋体" w:hAnsi="宋体" w:eastAsia="宋体" w:cs="Times New Roman"/>
                <w:szCs w:val="21"/>
              </w:rPr>
            </w:pPr>
            <w:r>
              <w:rPr>
                <w:rFonts w:hint="eastAsia" w:ascii="宋体" w:hAnsi="宋体" w:eastAsia="宋体" w:cs="Times New Roman"/>
                <w:szCs w:val="21"/>
              </w:rPr>
              <w:t>（1）鸦片战争前后的中国与世界</w:t>
            </w:r>
          </w:p>
          <w:p w14:paraId="4C5099EE">
            <w:pPr>
              <w:jc w:val="left"/>
              <w:rPr>
                <w:rFonts w:hint="eastAsia" w:ascii="宋体" w:hAnsi="宋体" w:eastAsia="宋体" w:cs="Times New Roman"/>
                <w:szCs w:val="21"/>
              </w:rPr>
            </w:pPr>
            <w:r>
              <w:rPr>
                <w:rFonts w:hint="eastAsia" w:ascii="宋体" w:hAnsi="宋体" w:eastAsia="宋体" w:cs="Times New Roman"/>
                <w:szCs w:val="21"/>
              </w:rPr>
              <w:t>（2）西方列强对中国的侵略</w:t>
            </w:r>
          </w:p>
          <w:p w14:paraId="4B2E3001">
            <w:pPr>
              <w:jc w:val="left"/>
              <w:rPr>
                <w:rFonts w:hint="eastAsia" w:ascii="宋体" w:hAnsi="宋体" w:eastAsia="宋体" w:cs="Times New Roman"/>
                <w:szCs w:val="21"/>
              </w:rPr>
            </w:pPr>
            <w:r>
              <w:rPr>
                <w:rFonts w:hint="eastAsia" w:ascii="宋体" w:hAnsi="宋体" w:eastAsia="宋体" w:cs="Times New Roman"/>
                <w:szCs w:val="21"/>
              </w:rPr>
              <w:t>（3）反抗外国武装侵略的斗争</w:t>
            </w:r>
          </w:p>
          <w:p w14:paraId="45F46975">
            <w:pPr>
              <w:jc w:val="left"/>
              <w:rPr>
                <w:rFonts w:hint="eastAsia" w:ascii="宋体" w:hAnsi="宋体" w:eastAsia="宋体" w:cs="Times New Roman"/>
                <w:szCs w:val="21"/>
              </w:rPr>
            </w:pPr>
            <w:r>
              <w:rPr>
                <w:rFonts w:hint="eastAsia" w:ascii="宋体" w:hAnsi="宋体" w:eastAsia="宋体" w:cs="Times New Roman"/>
                <w:szCs w:val="21"/>
              </w:rPr>
              <w:t>（4）反侵略战争的失败与民族意识的觉醒</w:t>
            </w:r>
          </w:p>
        </w:tc>
        <w:tc>
          <w:tcPr>
            <w:tcW w:w="1159" w:type="dxa"/>
            <w:vAlign w:val="center"/>
          </w:tcPr>
          <w:p w14:paraId="4C7E9834">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2FA1CF8B">
            <w:pPr>
              <w:jc w:val="left"/>
              <w:rPr>
                <w:rFonts w:hint="eastAsia" w:ascii="宋体" w:hAnsi="宋体" w:eastAsia="宋体" w:cs="Times New Roman"/>
                <w:szCs w:val="21"/>
              </w:rPr>
            </w:pPr>
            <w:r>
              <w:rPr>
                <w:rFonts w:hint="eastAsia" w:ascii="宋体" w:hAnsi="宋体" w:eastAsia="宋体" w:cs="Times New Roman"/>
                <w:szCs w:val="21"/>
              </w:rPr>
              <w:t>1.认识近代以来西方列强对中国的侵略；</w:t>
            </w:r>
          </w:p>
          <w:p w14:paraId="6DA3DA5D">
            <w:pPr>
              <w:jc w:val="left"/>
              <w:rPr>
                <w:rFonts w:hint="eastAsia" w:ascii="宋体" w:hAnsi="宋体" w:eastAsia="宋体" w:cs="Times New Roman"/>
                <w:szCs w:val="21"/>
              </w:rPr>
            </w:pPr>
            <w:r>
              <w:rPr>
                <w:rFonts w:hint="eastAsia" w:ascii="宋体" w:hAnsi="宋体" w:eastAsia="宋体" w:cs="Times New Roman"/>
                <w:szCs w:val="21"/>
              </w:rPr>
              <w:t>2.了解近代以来中国人民的反侵略斗争；</w:t>
            </w:r>
          </w:p>
          <w:p w14:paraId="41FD1DF1">
            <w:pPr>
              <w:jc w:val="left"/>
              <w:rPr>
                <w:rFonts w:hint="eastAsia" w:ascii="宋体" w:hAnsi="宋体" w:eastAsia="宋体" w:cs="Times New Roman"/>
                <w:szCs w:val="21"/>
              </w:rPr>
            </w:pPr>
            <w:r>
              <w:rPr>
                <w:rFonts w:hint="eastAsia" w:ascii="宋体" w:hAnsi="宋体" w:eastAsia="宋体" w:cs="Times New Roman"/>
                <w:szCs w:val="21"/>
              </w:rPr>
              <w:t>3.理解反侵略战争的失败如何引起民族意识的觉醒。</w:t>
            </w:r>
          </w:p>
        </w:tc>
        <w:tc>
          <w:tcPr>
            <w:tcW w:w="1415" w:type="dxa"/>
            <w:vAlign w:val="center"/>
          </w:tcPr>
          <w:p w14:paraId="26727FA4">
            <w:pPr>
              <w:jc w:val="left"/>
              <w:rPr>
                <w:rFonts w:hint="eastAsia" w:ascii="宋体" w:hAnsi="宋体" w:eastAsia="宋体" w:cs="Times New Roman"/>
                <w:szCs w:val="21"/>
              </w:rPr>
            </w:pPr>
            <w:r>
              <w:rPr>
                <w:rFonts w:hint="eastAsia" w:ascii="宋体" w:hAnsi="宋体" w:eastAsia="宋体" w:cs="Times New Roman"/>
                <w:szCs w:val="21"/>
              </w:rPr>
              <w:t>1.线上学习</w:t>
            </w:r>
          </w:p>
          <w:p w14:paraId="11978F4C">
            <w:pPr>
              <w:jc w:val="left"/>
              <w:rPr>
                <w:rFonts w:hint="eastAsia" w:ascii="宋体" w:hAnsi="宋体" w:eastAsia="宋体" w:cs="Times New Roman"/>
                <w:szCs w:val="21"/>
              </w:rPr>
            </w:pPr>
            <w:r>
              <w:rPr>
                <w:rFonts w:hint="eastAsia" w:ascii="宋体" w:hAnsi="宋体" w:eastAsia="宋体" w:cs="Times New Roman"/>
                <w:szCs w:val="21"/>
              </w:rPr>
              <w:t>2.课堂教学</w:t>
            </w:r>
          </w:p>
          <w:p w14:paraId="7E610C7B">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6C28BB86">
            <w:pPr>
              <w:jc w:val="center"/>
              <w:rPr>
                <w:rFonts w:hint="eastAsia" w:ascii="宋体" w:hAnsi="宋体" w:eastAsia="宋体" w:cs="Times New Roman"/>
                <w:szCs w:val="21"/>
              </w:rPr>
            </w:pPr>
            <w:r>
              <w:rPr>
                <w:rFonts w:hint="eastAsia" w:ascii="宋体" w:hAnsi="宋体" w:eastAsia="宋体" w:cs="Times New Roman"/>
                <w:szCs w:val="21"/>
              </w:rPr>
              <w:t>3</w:t>
            </w:r>
          </w:p>
        </w:tc>
      </w:tr>
      <w:tr w14:paraId="775A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FA56455">
            <w:pPr>
              <w:jc w:val="center"/>
              <w:rPr>
                <w:rFonts w:hint="eastAsia" w:ascii="宋体" w:hAnsi="宋体" w:eastAsia="宋体" w:cs="Times New Roman"/>
                <w:szCs w:val="21"/>
              </w:rPr>
            </w:pPr>
            <w:r>
              <w:rPr>
                <w:rFonts w:hint="eastAsia" w:ascii="宋体" w:hAnsi="宋体" w:eastAsia="宋体" w:cs="Times New Roman"/>
                <w:szCs w:val="21"/>
              </w:rPr>
              <w:t>3.不同社会力量对国家出路的早期探索</w:t>
            </w:r>
          </w:p>
        </w:tc>
        <w:tc>
          <w:tcPr>
            <w:tcW w:w="2840" w:type="dxa"/>
            <w:vAlign w:val="center"/>
          </w:tcPr>
          <w:p w14:paraId="67070431">
            <w:pPr>
              <w:jc w:val="left"/>
              <w:rPr>
                <w:rFonts w:hint="eastAsia" w:ascii="宋体" w:hAnsi="宋体" w:eastAsia="宋体" w:cs="Times New Roman"/>
                <w:szCs w:val="21"/>
              </w:rPr>
            </w:pPr>
            <w:r>
              <w:rPr>
                <w:rFonts w:hint="eastAsia" w:ascii="宋体" w:hAnsi="宋体" w:eastAsia="宋体" w:cs="Times New Roman"/>
                <w:szCs w:val="21"/>
              </w:rPr>
              <w:t>（1）太平天国运动的起落</w:t>
            </w:r>
          </w:p>
          <w:p w14:paraId="1338BA8C">
            <w:pPr>
              <w:jc w:val="left"/>
              <w:rPr>
                <w:rFonts w:hint="eastAsia" w:ascii="宋体" w:hAnsi="宋体" w:eastAsia="宋体" w:cs="Times New Roman"/>
                <w:szCs w:val="21"/>
              </w:rPr>
            </w:pPr>
            <w:r>
              <w:rPr>
                <w:rFonts w:hint="eastAsia" w:ascii="宋体" w:hAnsi="宋体" w:eastAsia="宋体" w:cs="Times New Roman"/>
                <w:szCs w:val="21"/>
              </w:rPr>
              <w:t>（2）洋务运动的兴衰</w:t>
            </w:r>
          </w:p>
          <w:p w14:paraId="0259522C">
            <w:pPr>
              <w:jc w:val="left"/>
              <w:rPr>
                <w:rFonts w:hint="eastAsia" w:ascii="宋体" w:hAnsi="宋体" w:eastAsia="宋体" w:cs="Times New Roman"/>
                <w:szCs w:val="21"/>
              </w:rPr>
            </w:pPr>
            <w:r>
              <w:rPr>
                <w:rFonts w:hint="eastAsia" w:ascii="宋体" w:hAnsi="宋体" w:eastAsia="宋体" w:cs="Times New Roman"/>
                <w:szCs w:val="21"/>
              </w:rPr>
              <w:t>（3）维新运动的兴起和夭折</w:t>
            </w:r>
          </w:p>
        </w:tc>
        <w:tc>
          <w:tcPr>
            <w:tcW w:w="1159" w:type="dxa"/>
            <w:vAlign w:val="center"/>
          </w:tcPr>
          <w:p w14:paraId="37B2162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46080061">
            <w:pPr>
              <w:jc w:val="left"/>
              <w:rPr>
                <w:rFonts w:hint="eastAsia" w:ascii="宋体" w:hAnsi="宋体" w:eastAsia="宋体" w:cs="Times New Roman"/>
                <w:szCs w:val="21"/>
              </w:rPr>
            </w:pPr>
            <w:r>
              <w:rPr>
                <w:rFonts w:hint="eastAsia" w:ascii="宋体" w:hAnsi="宋体" w:eastAsia="宋体" w:cs="Times New Roman"/>
                <w:szCs w:val="21"/>
              </w:rPr>
              <w:t>1.认识近代中国不同社会力量对国家出路的早期探索过程；</w:t>
            </w:r>
          </w:p>
          <w:p w14:paraId="3C03548B">
            <w:pPr>
              <w:jc w:val="left"/>
              <w:rPr>
                <w:rFonts w:hint="eastAsia" w:ascii="宋体" w:hAnsi="宋体" w:eastAsia="宋体" w:cs="Times New Roman"/>
                <w:szCs w:val="21"/>
              </w:rPr>
            </w:pPr>
            <w:r>
              <w:rPr>
                <w:rFonts w:hint="eastAsia" w:ascii="宋体" w:hAnsi="宋体" w:eastAsia="宋体" w:cs="Times New Roman"/>
                <w:szCs w:val="21"/>
              </w:rPr>
              <w:t>2.理解近代中国不同社会力量对国家出路早期探索失败的原因</w:t>
            </w:r>
            <w:r>
              <w:rPr>
                <w:rFonts w:ascii="宋体" w:hAnsi="宋体" w:eastAsia="宋体" w:cs="Times New Roman"/>
                <w:szCs w:val="21"/>
              </w:rPr>
              <w:t>。</w:t>
            </w:r>
          </w:p>
        </w:tc>
        <w:tc>
          <w:tcPr>
            <w:tcW w:w="1415" w:type="dxa"/>
            <w:vAlign w:val="center"/>
          </w:tcPr>
          <w:p w14:paraId="66CF2106">
            <w:pPr>
              <w:jc w:val="left"/>
              <w:rPr>
                <w:rFonts w:hint="eastAsia" w:ascii="宋体" w:hAnsi="宋体" w:eastAsia="宋体" w:cs="Times New Roman"/>
                <w:szCs w:val="21"/>
              </w:rPr>
            </w:pPr>
            <w:r>
              <w:rPr>
                <w:rFonts w:hint="eastAsia" w:ascii="宋体" w:hAnsi="宋体" w:eastAsia="宋体" w:cs="Times New Roman"/>
                <w:szCs w:val="21"/>
              </w:rPr>
              <w:t>1.线上学习</w:t>
            </w:r>
          </w:p>
          <w:p w14:paraId="3332DCCA">
            <w:pPr>
              <w:jc w:val="left"/>
              <w:rPr>
                <w:rFonts w:hint="eastAsia" w:ascii="宋体" w:hAnsi="宋体" w:eastAsia="宋体" w:cs="Times New Roman"/>
                <w:szCs w:val="21"/>
              </w:rPr>
            </w:pPr>
            <w:r>
              <w:rPr>
                <w:rFonts w:hint="eastAsia" w:ascii="宋体" w:hAnsi="宋体" w:eastAsia="宋体" w:cs="Times New Roman"/>
                <w:szCs w:val="21"/>
              </w:rPr>
              <w:t>2.课堂教学</w:t>
            </w:r>
          </w:p>
          <w:p w14:paraId="414D03A8">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42920871">
            <w:pPr>
              <w:jc w:val="center"/>
              <w:rPr>
                <w:rFonts w:hint="eastAsia" w:ascii="宋体" w:hAnsi="宋体" w:eastAsia="宋体" w:cs="Times New Roman"/>
                <w:szCs w:val="21"/>
              </w:rPr>
            </w:pPr>
            <w:r>
              <w:rPr>
                <w:rFonts w:hint="eastAsia" w:ascii="宋体" w:hAnsi="宋体" w:eastAsia="宋体" w:cs="Times New Roman"/>
                <w:szCs w:val="21"/>
              </w:rPr>
              <w:t>3</w:t>
            </w:r>
          </w:p>
        </w:tc>
      </w:tr>
      <w:tr w14:paraId="24F0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C52573B">
            <w:pPr>
              <w:jc w:val="center"/>
              <w:rPr>
                <w:rFonts w:hint="eastAsia" w:ascii="宋体" w:hAnsi="宋体" w:eastAsia="宋体" w:cs="Times New Roman"/>
                <w:szCs w:val="21"/>
              </w:rPr>
            </w:pPr>
            <w:r>
              <w:rPr>
                <w:rFonts w:hint="eastAsia" w:ascii="宋体" w:hAnsi="宋体" w:eastAsia="宋体" w:cs="Times New Roman"/>
                <w:szCs w:val="21"/>
              </w:rPr>
              <w:t>4.辛亥革命与君主专制制度的终结</w:t>
            </w:r>
          </w:p>
        </w:tc>
        <w:tc>
          <w:tcPr>
            <w:tcW w:w="2840" w:type="dxa"/>
            <w:vAlign w:val="center"/>
          </w:tcPr>
          <w:p w14:paraId="2DE96F0A">
            <w:pPr>
              <w:jc w:val="left"/>
              <w:rPr>
                <w:rFonts w:hint="eastAsia" w:ascii="宋体" w:hAnsi="宋体" w:eastAsia="宋体" w:cs="Times New Roman"/>
                <w:szCs w:val="21"/>
              </w:rPr>
            </w:pPr>
            <w:r>
              <w:rPr>
                <w:rFonts w:hint="eastAsia" w:ascii="宋体" w:hAnsi="宋体" w:eastAsia="宋体" w:cs="Times New Roman"/>
                <w:szCs w:val="21"/>
              </w:rPr>
              <w:t>（1）举起近代民族民主革命的旗帜</w:t>
            </w:r>
          </w:p>
          <w:p w14:paraId="6F55AF2B">
            <w:pPr>
              <w:jc w:val="left"/>
              <w:rPr>
                <w:rFonts w:hint="eastAsia" w:ascii="宋体" w:hAnsi="宋体" w:eastAsia="宋体" w:cs="Times New Roman"/>
                <w:szCs w:val="21"/>
              </w:rPr>
            </w:pPr>
            <w:r>
              <w:rPr>
                <w:rFonts w:hint="eastAsia" w:ascii="宋体" w:hAnsi="宋体" w:eastAsia="宋体" w:cs="Times New Roman"/>
                <w:szCs w:val="21"/>
              </w:rPr>
              <w:t>（2）辛亥革命与中华民国的建立</w:t>
            </w:r>
          </w:p>
          <w:p w14:paraId="452DEAF9">
            <w:pPr>
              <w:jc w:val="left"/>
              <w:rPr>
                <w:rFonts w:hint="eastAsia" w:ascii="宋体" w:hAnsi="宋体" w:eastAsia="宋体" w:cs="Times New Roman"/>
                <w:szCs w:val="21"/>
              </w:rPr>
            </w:pPr>
            <w:r>
              <w:rPr>
                <w:rFonts w:hint="eastAsia" w:ascii="宋体" w:hAnsi="宋体" w:eastAsia="宋体" w:cs="Times New Roman"/>
                <w:szCs w:val="21"/>
              </w:rPr>
              <w:t>（3）北洋军阀统治与旧民主主义革命的失败</w:t>
            </w:r>
          </w:p>
        </w:tc>
        <w:tc>
          <w:tcPr>
            <w:tcW w:w="1159" w:type="dxa"/>
            <w:vAlign w:val="center"/>
          </w:tcPr>
          <w:p w14:paraId="0D9C3118">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3C142901">
            <w:pPr>
              <w:jc w:val="left"/>
              <w:rPr>
                <w:rFonts w:hint="eastAsia" w:ascii="宋体" w:hAnsi="宋体" w:eastAsia="宋体" w:cs="Times New Roman"/>
                <w:szCs w:val="21"/>
              </w:rPr>
            </w:pPr>
            <w:r>
              <w:rPr>
                <w:rFonts w:hint="eastAsia" w:ascii="宋体" w:hAnsi="宋体" w:eastAsia="宋体" w:cs="Times New Roman"/>
                <w:szCs w:val="21"/>
              </w:rPr>
              <w:t>1.了解辛亥革命爆发的历史条件；</w:t>
            </w:r>
          </w:p>
          <w:p w14:paraId="6C75E98C">
            <w:pPr>
              <w:jc w:val="left"/>
              <w:rPr>
                <w:rFonts w:hint="eastAsia" w:ascii="宋体" w:hAnsi="宋体" w:eastAsia="宋体" w:cs="Times New Roman"/>
                <w:szCs w:val="21"/>
              </w:rPr>
            </w:pPr>
            <w:r>
              <w:rPr>
                <w:rFonts w:hint="eastAsia" w:ascii="宋体" w:hAnsi="宋体" w:eastAsia="宋体" w:cs="Times New Roman"/>
                <w:szCs w:val="21"/>
              </w:rPr>
              <w:t>2.认识辛亥革命的历史意义；</w:t>
            </w:r>
          </w:p>
          <w:p w14:paraId="028D8611">
            <w:pPr>
              <w:jc w:val="left"/>
              <w:rPr>
                <w:rFonts w:hint="eastAsia" w:ascii="宋体" w:hAnsi="宋体" w:eastAsia="宋体" w:cs="Times New Roman"/>
                <w:szCs w:val="21"/>
              </w:rPr>
            </w:pPr>
            <w:r>
              <w:rPr>
                <w:rFonts w:hint="eastAsia" w:ascii="宋体" w:hAnsi="宋体" w:eastAsia="宋体" w:cs="Times New Roman"/>
                <w:szCs w:val="21"/>
              </w:rPr>
              <w:t>3.理解辛亥革命失败的原因。</w:t>
            </w:r>
          </w:p>
        </w:tc>
        <w:tc>
          <w:tcPr>
            <w:tcW w:w="1415" w:type="dxa"/>
            <w:vAlign w:val="center"/>
          </w:tcPr>
          <w:p w14:paraId="0A5CE45D">
            <w:pPr>
              <w:jc w:val="left"/>
              <w:rPr>
                <w:rFonts w:hint="eastAsia" w:ascii="宋体" w:hAnsi="宋体" w:eastAsia="宋体" w:cs="Times New Roman"/>
                <w:szCs w:val="21"/>
              </w:rPr>
            </w:pPr>
            <w:r>
              <w:rPr>
                <w:rFonts w:hint="eastAsia" w:ascii="宋体" w:hAnsi="宋体" w:eastAsia="宋体" w:cs="Times New Roman"/>
                <w:szCs w:val="21"/>
              </w:rPr>
              <w:t>1.线上学习</w:t>
            </w:r>
          </w:p>
          <w:p w14:paraId="28B18161">
            <w:pPr>
              <w:jc w:val="left"/>
              <w:rPr>
                <w:rFonts w:hint="eastAsia" w:ascii="宋体" w:hAnsi="宋体" w:eastAsia="宋体" w:cs="Times New Roman"/>
                <w:szCs w:val="21"/>
              </w:rPr>
            </w:pPr>
            <w:r>
              <w:rPr>
                <w:rFonts w:hint="eastAsia" w:ascii="宋体" w:hAnsi="宋体" w:eastAsia="宋体" w:cs="Times New Roman"/>
                <w:szCs w:val="21"/>
              </w:rPr>
              <w:t>2.课堂教学</w:t>
            </w:r>
          </w:p>
          <w:p w14:paraId="3CBD3C8C">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42C89B0B">
            <w:pPr>
              <w:jc w:val="center"/>
              <w:rPr>
                <w:rFonts w:hint="eastAsia" w:ascii="宋体" w:hAnsi="宋体" w:eastAsia="宋体" w:cs="Times New Roman"/>
                <w:szCs w:val="21"/>
              </w:rPr>
            </w:pPr>
            <w:r>
              <w:rPr>
                <w:rFonts w:hint="eastAsia" w:ascii="宋体" w:hAnsi="宋体" w:eastAsia="宋体" w:cs="Times New Roman"/>
                <w:szCs w:val="21"/>
              </w:rPr>
              <w:t>3</w:t>
            </w:r>
          </w:p>
        </w:tc>
      </w:tr>
      <w:tr w14:paraId="7678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2C635BD">
            <w:pPr>
              <w:jc w:val="center"/>
              <w:rPr>
                <w:rFonts w:hint="eastAsia" w:ascii="宋体" w:hAnsi="宋体" w:eastAsia="宋体" w:cs="Times New Roman"/>
                <w:szCs w:val="21"/>
              </w:rPr>
            </w:pPr>
            <w:r>
              <w:rPr>
                <w:rFonts w:hint="eastAsia" w:ascii="宋体" w:hAnsi="宋体" w:eastAsia="宋体" w:cs="Times New Roman"/>
                <w:szCs w:val="21"/>
              </w:rPr>
              <w:t>5.中国共产党成立和中国革命新局面</w:t>
            </w:r>
          </w:p>
        </w:tc>
        <w:tc>
          <w:tcPr>
            <w:tcW w:w="2840" w:type="dxa"/>
            <w:vAlign w:val="center"/>
          </w:tcPr>
          <w:p w14:paraId="49085AD8">
            <w:pPr>
              <w:jc w:val="left"/>
              <w:rPr>
                <w:rFonts w:hint="eastAsia" w:ascii="宋体" w:hAnsi="宋体" w:eastAsia="宋体" w:cs="Times New Roman"/>
                <w:szCs w:val="21"/>
              </w:rPr>
            </w:pPr>
            <w:r>
              <w:rPr>
                <w:rFonts w:hint="eastAsia" w:ascii="宋体" w:hAnsi="宋体" w:eastAsia="宋体" w:cs="Times New Roman"/>
                <w:szCs w:val="21"/>
              </w:rPr>
              <w:t>（1）新文化运动和五四运动</w:t>
            </w:r>
          </w:p>
          <w:p w14:paraId="6091D95F">
            <w:pPr>
              <w:jc w:val="left"/>
              <w:rPr>
                <w:rFonts w:hint="eastAsia" w:ascii="宋体" w:hAnsi="宋体" w:eastAsia="宋体" w:cs="Times New Roman"/>
                <w:szCs w:val="21"/>
              </w:rPr>
            </w:pPr>
            <w:r>
              <w:rPr>
                <w:rFonts w:hint="eastAsia" w:ascii="宋体" w:hAnsi="宋体" w:eastAsia="宋体" w:cs="Times New Roman"/>
                <w:szCs w:val="21"/>
              </w:rPr>
              <w:t>（2）马克思主义广泛传播与中国共产党诞生</w:t>
            </w:r>
          </w:p>
          <w:p w14:paraId="564D0799">
            <w:pPr>
              <w:jc w:val="left"/>
              <w:rPr>
                <w:rFonts w:hint="eastAsia" w:ascii="宋体" w:hAnsi="宋体" w:eastAsia="宋体" w:cs="Times New Roman"/>
                <w:szCs w:val="21"/>
              </w:rPr>
            </w:pPr>
            <w:r>
              <w:rPr>
                <w:rFonts w:hint="eastAsia" w:ascii="宋体" w:hAnsi="宋体" w:eastAsia="宋体" w:cs="Times New Roman"/>
                <w:szCs w:val="21"/>
              </w:rPr>
              <w:t>（3）中国革命的新局面</w:t>
            </w:r>
          </w:p>
        </w:tc>
        <w:tc>
          <w:tcPr>
            <w:tcW w:w="1159" w:type="dxa"/>
            <w:vAlign w:val="center"/>
          </w:tcPr>
          <w:p w14:paraId="64295C9C">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21D2B952">
            <w:pPr>
              <w:jc w:val="left"/>
              <w:rPr>
                <w:rFonts w:hint="eastAsia" w:ascii="宋体" w:hAnsi="宋体" w:eastAsia="宋体" w:cs="Times New Roman"/>
                <w:szCs w:val="21"/>
              </w:rPr>
            </w:pPr>
            <w:r>
              <w:rPr>
                <w:rFonts w:hint="eastAsia" w:ascii="宋体" w:hAnsi="宋体" w:eastAsia="宋体" w:cs="Times New Roman"/>
                <w:szCs w:val="21"/>
              </w:rPr>
              <w:t>1.认识五四运动的历史意义；</w:t>
            </w:r>
          </w:p>
          <w:p w14:paraId="2C1C40CD">
            <w:pPr>
              <w:jc w:val="left"/>
              <w:rPr>
                <w:rFonts w:hint="eastAsia" w:ascii="宋体" w:hAnsi="宋体" w:eastAsia="宋体" w:cs="Times New Roman"/>
                <w:szCs w:val="21"/>
              </w:rPr>
            </w:pPr>
            <w:r>
              <w:rPr>
                <w:rFonts w:hint="eastAsia" w:ascii="宋体" w:hAnsi="宋体" w:eastAsia="宋体" w:cs="Times New Roman"/>
                <w:szCs w:val="21"/>
              </w:rPr>
              <w:t>2.认识中国共产党成立的背景和过程；</w:t>
            </w:r>
          </w:p>
          <w:p w14:paraId="52EED349">
            <w:pPr>
              <w:jc w:val="left"/>
              <w:rPr>
                <w:rFonts w:hint="eastAsia" w:ascii="宋体" w:hAnsi="宋体" w:eastAsia="宋体" w:cs="Times New Roman"/>
                <w:szCs w:val="21"/>
              </w:rPr>
            </w:pPr>
            <w:r>
              <w:rPr>
                <w:rFonts w:hint="eastAsia" w:ascii="宋体" w:hAnsi="宋体" w:eastAsia="宋体" w:cs="Times New Roman"/>
                <w:szCs w:val="21"/>
              </w:rPr>
              <w:t>3.认识中国共产党推动中国革命出现新局面</w:t>
            </w:r>
            <w:r>
              <w:rPr>
                <w:rFonts w:ascii="宋体" w:hAnsi="宋体" w:eastAsia="宋体" w:cs="Times New Roman"/>
                <w:szCs w:val="21"/>
              </w:rPr>
              <w:t>。</w:t>
            </w:r>
          </w:p>
        </w:tc>
        <w:tc>
          <w:tcPr>
            <w:tcW w:w="1415" w:type="dxa"/>
            <w:vAlign w:val="center"/>
          </w:tcPr>
          <w:p w14:paraId="2F2C770E">
            <w:pPr>
              <w:jc w:val="left"/>
              <w:rPr>
                <w:rFonts w:hint="eastAsia" w:ascii="宋体" w:hAnsi="宋体" w:eastAsia="宋体" w:cs="Times New Roman"/>
                <w:szCs w:val="21"/>
              </w:rPr>
            </w:pPr>
            <w:r>
              <w:rPr>
                <w:rFonts w:hint="eastAsia" w:ascii="宋体" w:hAnsi="宋体" w:eastAsia="宋体" w:cs="Times New Roman"/>
                <w:szCs w:val="21"/>
              </w:rPr>
              <w:t>1.线上学习</w:t>
            </w:r>
          </w:p>
          <w:p w14:paraId="57E01E44">
            <w:pPr>
              <w:jc w:val="left"/>
              <w:rPr>
                <w:rFonts w:hint="eastAsia" w:ascii="宋体" w:hAnsi="宋体" w:eastAsia="宋体" w:cs="Times New Roman"/>
                <w:szCs w:val="21"/>
              </w:rPr>
            </w:pPr>
            <w:r>
              <w:rPr>
                <w:rFonts w:hint="eastAsia" w:ascii="宋体" w:hAnsi="宋体" w:eastAsia="宋体" w:cs="Times New Roman"/>
                <w:szCs w:val="21"/>
              </w:rPr>
              <w:t>2.课堂教学</w:t>
            </w:r>
          </w:p>
          <w:p w14:paraId="4BF5E9CC">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341721CF">
            <w:pPr>
              <w:jc w:val="center"/>
              <w:rPr>
                <w:rFonts w:hint="eastAsia" w:ascii="宋体" w:hAnsi="宋体" w:eastAsia="宋体" w:cs="Times New Roman"/>
                <w:szCs w:val="21"/>
              </w:rPr>
            </w:pPr>
            <w:r>
              <w:rPr>
                <w:rFonts w:hint="eastAsia" w:ascii="宋体" w:hAnsi="宋体" w:eastAsia="宋体" w:cs="Times New Roman"/>
                <w:szCs w:val="21"/>
              </w:rPr>
              <w:t>6</w:t>
            </w:r>
          </w:p>
        </w:tc>
      </w:tr>
      <w:tr w14:paraId="3AC4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3A45412">
            <w:pPr>
              <w:jc w:val="center"/>
              <w:rPr>
                <w:rFonts w:hint="eastAsia" w:ascii="宋体" w:hAnsi="宋体" w:eastAsia="宋体" w:cs="Times New Roman"/>
                <w:szCs w:val="21"/>
              </w:rPr>
            </w:pPr>
            <w:r>
              <w:rPr>
                <w:rFonts w:hint="eastAsia" w:ascii="宋体" w:hAnsi="宋体" w:eastAsia="宋体" w:cs="Times New Roman"/>
                <w:szCs w:val="21"/>
              </w:rPr>
              <w:t>6.中国革命的新道路</w:t>
            </w:r>
          </w:p>
        </w:tc>
        <w:tc>
          <w:tcPr>
            <w:tcW w:w="2840" w:type="dxa"/>
            <w:vAlign w:val="center"/>
          </w:tcPr>
          <w:p w14:paraId="2239E61F">
            <w:pPr>
              <w:jc w:val="left"/>
              <w:rPr>
                <w:rFonts w:hint="eastAsia" w:ascii="宋体" w:hAnsi="宋体" w:eastAsia="宋体" w:cs="Times New Roman"/>
                <w:szCs w:val="21"/>
              </w:rPr>
            </w:pPr>
            <w:r>
              <w:rPr>
                <w:rFonts w:hint="eastAsia" w:ascii="宋体" w:hAnsi="宋体" w:eastAsia="宋体" w:cs="Times New Roman"/>
                <w:szCs w:val="21"/>
              </w:rPr>
              <w:t>（1）中国共产党对革命新道路的探索</w:t>
            </w:r>
          </w:p>
          <w:p w14:paraId="223DF3DA">
            <w:pPr>
              <w:jc w:val="left"/>
              <w:rPr>
                <w:rFonts w:hint="eastAsia" w:ascii="宋体" w:hAnsi="宋体" w:eastAsia="宋体" w:cs="Times New Roman"/>
                <w:szCs w:val="21"/>
              </w:rPr>
            </w:pPr>
            <w:r>
              <w:rPr>
                <w:rFonts w:hint="eastAsia" w:ascii="宋体" w:hAnsi="宋体" w:eastAsia="宋体" w:cs="Times New Roman"/>
                <w:szCs w:val="21"/>
              </w:rPr>
              <w:t>（2）中国革命在曲折中前进</w:t>
            </w:r>
          </w:p>
        </w:tc>
        <w:tc>
          <w:tcPr>
            <w:tcW w:w="1159" w:type="dxa"/>
            <w:vAlign w:val="center"/>
          </w:tcPr>
          <w:p w14:paraId="3DC0BBB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25EDA323">
            <w:pPr>
              <w:jc w:val="left"/>
              <w:rPr>
                <w:rFonts w:hint="eastAsia" w:ascii="宋体" w:hAnsi="宋体" w:eastAsia="宋体" w:cs="Times New Roman"/>
                <w:szCs w:val="21"/>
              </w:rPr>
            </w:pPr>
            <w:r>
              <w:rPr>
                <w:rFonts w:hint="eastAsia" w:ascii="宋体" w:hAnsi="宋体" w:eastAsia="宋体" w:cs="Times New Roman"/>
                <w:szCs w:val="21"/>
              </w:rPr>
              <w:t>1.认识国民党统治及其本质；</w:t>
            </w:r>
          </w:p>
          <w:p w14:paraId="289838C7">
            <w:pPr>
              <w:jc w:val="left"/>
              <w:rPr>
                <w:rFonts w:hint="eastAsia" w:ascii="宋体" w:hAnsi="宋体" w:eastAsia="宋体" w:cs="Times New Roman"/>
                <w:szCs w:val="21"/>
              </w:rPr>
            </w:pPr>
            <w:r>
              <w:rPr>
                <w:rFonts w:hint="eastAsia" w:ascii="宋体" w:hAnsi="宋体" w:eastAsia="宋体" w:cs="Times New Roman"/>
                <w:szCs w:val="21"/>
              </w:rPr>
              <w:t>2.了解中国共产党探索革命新道路的艰辛历程；</w:t>
            </w:r>
          </w:p>
          <w:p w14:paraId="72C6F392">
            <w:pPr>
              <w:jc w:val="left"/>
              <w:rPr>
                <w:rFonts w:hint="eastAsia" w:ascii="宋体" w:hAnsi="宋体" w:eastAsia="宋体" w:cs="Times New Roman"/>
                <w:szCs w:val="21"/>
              </w:rPr>
            </w:pPr>
            <w:r>
              <w:rPr>
                <w:rFonts w:hint="eastAsia" w:ascii="宋体" w:hAnsi="宋体" w:eastAsia="宋体" w:cs="Times New Roman"/>
                <w:szCs w:val="21"/>
              </w:rPr>
              <w:t>3.理解中国革命如何实现伟大转折。</w:t>
            </w:r>
          </w:p>
        </w:tc>
        <w:tc>
          <w:tcPr>
            <w:tcW w:w="1415" w:type="dxa"/>
            <w:vAlign w:val="center"/>
          </w:tcPr>
          <w:p w14:paraId="557B1A9A">
            <w:pPr>
              <w:jc w:val="left"/>
              <w:rPr>
                <w:rFonts w:hint="eastAsia" w:ascii="宋体" w:hAnsi="宋体" w:eastAsia="宋体" w:cs="Times New Roman"/>
                <w:szCs w:val="21"/>
              </w:rPr>
            </w:pPr>
            <w:r>
              <w:rPr>
                <w:rFonts w:hint="eastAsia" w:ascii="宋体" w:hAnsi="宋体" w:eastAsia="宋体" w:cs="Times New Roman"/>
                <w:szCs w:val="21"/>
              </w:rPr>
              <w:t>1.线上学习</w:t>
            </w:r>
          </w:p>
          <w:p w14:paraId="6EB87BCE">
            <w:pPr>
              <w:jc w:val="left"/>
              <w:rPr>
                <w:rFonts w:hint="eastAsia" w:ascii="宋体" w:hAnsi="宋体" w:eastAsia="宋体" w:cs="Times New Roman"/>
                <w:szCs w:val="21"/>
              </w:rPr>
            </w:pPr>
            <w:r>
              <w:rPr>
                <w:rFonts w:hint="eastAsia" w:ascii="宋体" w:hAnsi="宋体" w:eastAsia="宋体" w:cs="Times New Roman"/>
                <w:szCs w:val="21"/>
              </w:rPr>
              <w:t>2.课堂教学</w:t>
            </w:r>
          </w:p>
          <w:p w14:paraId="36728353">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6224D9CC">
            <w:pPr>
              <w:jc w:val="center"/>
              <w:rPr>
                <w:rFonts w:hint="eastAsia" w:ascii="宋体" w:hAnsi="宋体" w:eastAsia="宋体" w:cs="Times New Roman"/>
                <w:szCs w:val="21"/>
              </w:rPr>
            </w:pPr>
            <w:r>
              <w:rPr>
                <w:rFonts w:hint="eastAsia" w:ascii="宋体" w:hAnsi="宋体" w:eastAsia="宋体" w:cs="Times New Roman"/>
                <w:szCs w:val="21"/>
              </w:rPr>
              <w:t>3</w:t>
            </w:r>
          </w:p>
        </w:tc>
      </w:tr>
      <w:tr w14:paraId="1F20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7FF04CD">
            <w:pPr>
              <w:jc w:val="center"/>
              <w:rPr>
                <w:rFonts w:hint="eastAsia" w:ascii="宋体" w:hAnsi="宋体" w:eastAsia="宋体" w:cs="Times New Roman"/>
                <w:szCs w:val="21"/>
              </w:rPr>
            </w:pPr>
            <w:r>
              <w:rPr>
                <w:rFonts w:hint="eastAsia" w:ascii="宋体" w:hAnsi="宋体" w:eastAsia="宋体" w:cs="Times New Roman"/>
                <w:szCs w:val="21"/>
              </w:rPr>
              <w:t>7.中华民族的抗日战争</w:t>
            </w:r>
          </w:p>
        </w:tc>
        <w:tc>
          <w:tcPr>
            <w:tcW w:w="2840" w:type="dxa"/>
            <w:vAlign w:val="center"/>
          </w:tcPr>
          <w:p w14:paraId="2D67FD19">
            <w:pPr>
              <w:jc w:val="left"/>
              <w:rPr>
                <w:rFonts w:hint="eastAsia" w:ascii="宋体" w:hAnsi="宋体" w:eastAsia="宋体" w:cs="Times New Roman"/>
                <w:szCs w:val="21"/>
              </w:rPr>
            </w:pPr>
            <w:r>
              <w:rPr>
                <w:rFonts w:hint="eastAsia" w:ascii="宋体" w:hAnsi="宋体" w:eastAsia="宋体" w:cs="Times New Roman"/>
                <w:szCs w:val="21"/>
              </w:rPr>
              <w:t>（1）日本发动企图灭亡中国的侵略战争</w:t>
            </w:r>
          </w:p>
          <w:p w14:paraId="09656CA5">
            <w:pPr>
              <w:jc w:val="left"/>
              <w:rPr>
                <w:rFonts w:hint="eastAsia" w:ascii="宋体" w:hAnsi="宋体" w:eastAsia="宋体" w:cs="Times New Roman"/>
                <w:szCs w:val="21"/>
              </w:rPr>
            </w:pPr>
            <w:r>
              <w:rPr>
                <w:rFonts w:hint="eastAsia" w:ascii="宋体" w:hAnsi="宋体" w:eastAsia="宋体" w:cs="Times New Roman"/>
                <w:szCs w:val="21"/>
              </w:rPr>
              <w:t>（2）中国人民奋起抗击日本侵略者</w:t>
            </w:r>
          </w:p>
          <w:p w14:paraId="1305B123">
            <w:pPr>
              <w:jc w:val="left"/>
              <w:rPr>
                <w:rFonts w:hint="eastAsia" w:ascii="宋体" w:hAnsi="宋体" w:eastAsia="宋体" w:cs="Times New Roman"/>
                <w:szCs w:val="21"/>
              </w:rPr>
            </w:pPr>
            <w:r>
              <w:rPr>
                <w:rFonts w:hint="eastAsia" w:ascii="宋体" w:hAnsi="宋体" w:eastAsia="宋体" w:cs="Times New Roman"/>
                <w:szCs w:val="21"/>
              </w:rPr>
              <w:t>（3）抗日战争的正面战场</w:t>
            </w:r>
          </w:p>
          <w:p w14:paraId="5C695239">
            <w:pPr>
              <w:jc w:val="left"/>
              <w:rPr>
                <w:rFonts w:hint="eastAsia" w:ascii="宋体" w:hAnsi="宋体" w:eastAsia="宋体" w:cs="Times New Roman"/>
                <w:szCs w:val="21"/>
              </w:rPr>
            </w:pPr>
            <w:r>
              <w:rPr>
                <w:rFonts w:hint="eastAsia" w:ascii="宋体" w:hAnsi="宋体" w:eastAsia="宋体" w:cs="Times New Roman"/>
                <w:szCs w:val="21"/>
              </w:rPr>
              <w:t>（4）抗日战争的中流砥柱</w:t>
            </w:r>
          </w:p>
          <w:p w14:paraId="4F842BA0">
            <w:pPr>
              <w:jc w:val="left"/>
              <w:rPr>
                <w:rFonts w:hint="eastAsia" w:ascii="宋体" w:hAnsi="宋体" w:eastAsia="宋体" w:cs="Times New Roman"/>
                <w:szCs w:val="21"/>
              </w:rPr>
            </w:pPr>
            <w:r>
              <w:rPr>
                <w:rFonts w:hint="eastAsia" w:ascii="宋体" w:hAnsi="宋体" w:eastAsia="宋体" w:cs="Times New Roman"/>
                <w:szCs w:val="21"/>
              </w:rPr>
              <w:t>（5）抗日战争的胜利及其意义</w:t>
            </w:r>
          </w:p>
        </w:tc>
        <w:tc>
          <w:tcPr>
            <w:tcW w:w="1159" w:type="dxa"/>
            <w:vAlign w:val="center"/>
          </w:tcPr>
          <w:p w14:paraId="1C8A6794">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04B4531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认识抗日战争的历史进程、主流和本质；</w:t>
            </w:r>
          </w:p>
          <w:p w14:paraId="14E34C6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理解中国共产党是全民族抗战的中流砥柱；</w:t>
            </w:r>
          </w:p>
          <w:p w14:paraId="6EF7D39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认识抗日战争胜利的重大意义。</w:t>
            </w:r>
          </w:p>
        </w:tc>
        <w:tc>
          <w:tcPr>
            <w:tcW w:w="1415" w:type="dxa"/>
            <w:vAlign w:val="center"/>
          </w:tcPr>
          <w:p w14:paraId="347DAB44">
            <w:pPr>
              <w:jc w:val="left"/>
              <w:rPr>
                <w:rFonts w:hint="eastAsia" w:ascii="宋体" w:hAnsi="宋体" w:eastAsia="宋体" w:cs="Times New Roman"/>
                <w:szCs w:val="21"/>
              </w:rPr>
            </w:pPr>
            <w:r>
              <w:rPr>
                <w:rFonts w:hint="eastAsia" w:ascii="宋体" w:hAnsi="宋体" w:eastAsia="宋体" w:cs="Times New Roman"/>
                <w:szCs w:val="21"/>
              </w:rPr>
              <w:t>1.线上学习</w:t>
            </w:r>
          </w:p>
          <w:p w14:paraId="54200DF8">
            <w:pPr>
              <w:jc w:val="left"/>
              <w:rPr>
                <w:rFonts w:hint="eastAsia" w:ascii="宋体" w:hAnsi="宋体" w:eastAsia="宋体" w:cs="Times New Roman"/>
                <w:szCs w:val="21"/>
              </w:rPr>
            </w:pPr>
            <w:r>
              <w:rPr>
                <w:rFonts w:hint="eastAsia" w:ascii="宋体" w:hAnsi="宋体" w:eastAsia="宋体" w:cs="Times New Roman"/>
                <w:szCs w:val="21"/>
              </w:rPr>
              <w:t>2.课堂教学</w:t>
            </w:r>
          </w:p>
          <w:p w14:paraId="6CC4BAC2">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523D923F">
            <w:pPr>
              <w:jc w:val="center"/>
              <w:rPr>
                <w:rFonts w:hint="eastAsia" w:ascii="宋体" w:hAnsi="宋体" w:eastAsia="宋体" w:cs="Times New Roman"/>
                <w:szCs w:val="21"/>
              </w:rPr>
            </w:pPr>
            <w:r>
              <w:rPr>
                <w:rFonts w:hint="eastAsia" w:ascii="宋体" w:hAnsi="宋体" w:eastAsia="宋体" w:cs="Times New Roman"/>
                <w:szCs w:val="21"/>
              </w:rPr>
              <w:t>6</w:t>
            </w:r>
          </w:p>
        </w:tc>
      </w:tr>
      <w:tr w14:paraId="078B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6FA6E42">
            <w:pPr>
              <w:jc w:val="center"/>
              <w:rPr>
                <w:rFonts w:hint="eastAsia" w:ascii="宋体" w:hAnsi="宋体" w:eastAsia="宋体" w:cs="Times New Roman"/>
                <w:szCs w:val="21"/>
              </w:rPr>
            </w:pPr>
            <w:r>
              <w:rPr>
                <w:rFonts w:hint="eastAsia" w:ascii="宋体" w:hAnsi="宋体" w:eastAsia="宋体" w:cs="Times New Roman"/>
                <w:szCs w:val="21"/>
              </w:rPr>
              <w:t>8.为建立新中国而奋斗</w:t>
            </w:r>
          </w:p>
        </w:tc>
        <w:tc>
          <w:tcPr>
            <w:tcW w:w="2840" w:type="dxa"/>
            <w:vAlign w:val="center"/>
          </w:tcPr>
          <w:p w14:paraId="4064BB02">
            <w:pPr>
              <w:jc w:val="left"/>
              <w:rPr>
                <w:rFonts w:hint="eastAsia" w:ascii="宋体" w:hAnsi="宋体" w:eastAsia="宋体" w:cs="Times New Roman"/>
                <w:szCs w:val="21"/>
              </w:rPr>
            </w:pPr>
            <w:r>
              <w:rPr>
                <w:rFonts w:hint="eastAsia" w:ascii="宋体" w:hAnsi="宋体" w:eastAsia="宋体" w:cs="Times New Roman"/>
                <w:szCs w:val="21"/>
              </w:rPr>
              <w:t>（1）从争取和平民主到击退国民党的军事进攻</w:t>
            </w:r>
          </w:p>
          <w:p w14:paraId="73671E2E">
            <w:pPr>
              <w:jc w:val="left"/>
              <w:rPr>
                <w:rFonts w:hint="eastAsia" w:ascii="宋体" w:hAnsi="宋体" w:eastAsia="宋体" w:cs="Times New Roman"/>
                <w:szCs w:val="21"/>
              </w:rPr>
            </w:pPr>
            <w:r>
              <w:rPr>
                <w:rFonts w:hint="eastAsia" w:ascii="宋体" w:hAnsi="宋体" w:eastAsia="宋体" w:cs="Times New Roman"/>
                <w:szCs w:val="21"/>
              </w:rPr>
              <w:t>（2）全国解放战争的发展和第二条战线的形成</w:t>
            </w:r>
          </w:p>
          <w:p w14:paraId="55FDBE79">
            <w:pPr>
              <w:jc w:val="left"/>
              <w:rPr>
                <w:rFonts w:hint="eastAsia" w:ascii="宋体" w:hAnsi="宋体" w:eastAsia="宋体" w:cs="Times New Roman"/>
                <w:szCs w:val="21"/>
              </w:rPr>
            </w:pPr>
            <w:r>
              <w:rPr>
                <w:rFonts w:hint="eastAsia" w:ascii="宋体" w:hAnsi="宋体" w:eastAsia="宋体" w:cs="Times New Roman"/>
                <w:szCs w:val="21"/>
              </w:rPr>
              <w:t>（3）中国共产党与民主党派的团结合作</w:t>
            </w:r>
          </w:p>
          <w:p w14:paraId="02811A3A">
            <w:pPr>
              <w:jc w:val="left"/>
              <w:rPr>
                <w:rFonts w:hint="eastAsia" w:ascii="宋体" w:hAnsi="宋体" w:eastAsia="宋体" w:cs="Times New Roman"/>
                <w:szCs w:val="21"/>
              </w:rPr>
            </w:pPr>
            <w:r>
              <w:rPr>
                <w:rFonts w:hint="eastAsia" w:ascii="宋体" w:hAnsi="宋体" w:eastAsia="宋体" w:cs="Times New Roman"/>
                <w:szCs w:val="21"/>
              </w:rPr>
              <w:t>（4）建立人民民主专政的新中国</w:t>
            </w:r>
          </w:p>
        </w:tc>
        <w:tc>
          <w:tcPr>
            <w:tcW w:w="1159" w:type="dxa"/>
            <w:vAlign w:val="center"/>
          </w:tcPr>
          <w:p w14:paraId="2DD7D69F">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4C516A67">
            <w:pPr>
              <w:jc w:val="left"/>
              <w:rPr>
                <w:rFonts w:hint="eastAsia" w:ascii="宋体" w:hAnsi="宋体" w:eastAsia="宋体" w:cs="Times New Roman"/>
                <w:szCs w:val="21"/>
              </w:rPr>
            </w:pPr>
            <w:r>
              <w:rPr>
                <w:rFonts w:hint="eastAsia" w:ascii="宋体" w:hAnsi="宋体" w:eastAsia="宋体" w:cs="Times New Roman"/>
                <w:szCs w:val="21"/>
              </w:rPr>
              <w:t>（1）认识第二条战线形成和发展的重要意义；</w:t>
            </w:r>
          </w:p>
          <w:p w14:paraId="6A6BDDB0">
            <w:pPr>
              <w:jc w:val="left"/>
              <w:rPr>
                <w:szCs w:val="21"/>
              </w:rPr>
            </w:pPr>
            <w:r>
              <w:rPr>
                <w:rFonts w:hint="eastAsia" w:ascii="宋体" w:hAnsi="宋体" w:eastAsia="宋体" w:cs="Times New Roman"/>
                <w:szCs w:val="21"/>
              </w:rPr>
              <w:t>（2）认识中华人民共和国的建立和中国共产党执政地位的确立是历史和人民的选择</w:t>
            </w:r>
            <w:r>
              <w:rPr>
                <w:rFonts w:ascii="宋体" w:hAnsi="宋体" w:eastAsia="宋体" w:cs="Times New Roman"/>
                <w:szCs w:val="21"/>
              </w:rPr>
              <w:t>。</w:t>
            </w:r>
          </w:p>
        </w:tc>
        <w:tc>
          <w:tcPr>
            <w:tcW w:w="1415" w:type="dxa"/>
            <w:vAlign w:val="center"/>
          </w:tcPr>
          <w:p w14:paraId="472494D6">
            <w:pPr>
              <w:jc w:val="left"/>
              <w:rPr>
                <w:rFonts w:hint="eastAsia" w:ascii="宋体" w:hAnsi="宋体" w:eastAsia="宋体" w:cs="Times New Roman"/>
                <w:szCs w:val="21"/>
              </w:rPr>
            </w:pPr>
            <w:r>
              <w:rPr>
                <w:rFonts w:hint="eastAsia" w:ascii="宋体" w:hAnsi="宋体" w:eastAsia="宋体" w:cs="Times New Roman"/>
                <w:szCs w:val="21"/>
              </w:rPr>
              <w:t>1.线上学习</w:t>
            </w:r>
          </w:p>
          <w:p w14:paraId="616E9ECC">
            <w:pPr>
              <w:jc w:val="left"/>
              <w:rPr>
                <w:rFonts w:hint="eastAsia" w:ascii="宋体" w:hAnsi="宋体" w:eastAsia="宋体" w:cs="Times New Roman"/>
                <w:szCs w:val="21"/>
              </w:rPr>
            </w:pPr>
            <w:r>
              <w:rPr>
                <w:rFonts w:hint="eastAsia" w:ascii="宋体" w:hAnsi="宋体" w:eastAsia="宋体" w:cs="Times New Roman"/>
                <w:szCs w:val="21"/>
              </w:rPr>
              <w:t>2.课堂教学</w:t>
            </w:r>
          </w:p>
          <w:p w14:paraId="6BCED5C4">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78EBC25A">
            <w:pPr>
              <w:jc w:val="center"/>
              <w:rPr>
                <w:rFonts w:hint="eastAsia" w:ascii="宋体" w:hAnsi="宋体" w:eastAsia="宋体" w:cs="Times New Roman"/>
                <w:szCs w:val="21"/>
              </w:rPr>
            </w:pPr>
            <w:r>
              <w:rPr>
                <w:rFonts w:hint="eastAsia" w:ascii="宋体" w:hAnsi="宋体" w:eastAsia="宋体" w:cs="Times New Roman"/>
                <w:szCs w:val="21"/>
              </w:rPr>
              <w:t>3</w:t>
            </w:r>
          </w:p>
        </w:tc>
      </w:tr>
      <w:tr w14:paraId="0927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CBD07A3">
            <w:pPr>
              <w:jc w:val="center"/>
              <w:rPr>
                <w:rFonts w:hint="eastAsia" w:ascii="宋体" w:hAnsi="宋体" w:eastAsia="宋体" w:cs="Times New Roman"/>
                <w:szCs w:val="21"/>
              </w:rPr>
            </w:pPr>
            <w:r>
              <w:rPr>
                <w:rFonts w:hint="eastAsia" w:ascii="宋体" w:hAnsi="宋体" w:eastAsia="宋体" w:cs="Times New Roman"/>
                <w:szCs w:val="21"/>
              </w:rPr>
              <w:t>9.中华人民共和国的成立与中国社会主义建设道路的探索</w:t>
            </w:r>
          </w:p>
        </w:tc>
        <w:tc>
          <w:tcPr>
            <w:tcW w:w="2840" w:type="dxa"/>
            <w:vAlign w:val="center"/>
          </w:tcPr>
          <w:p w14:paraId="1ADAACAB">
            <w:pPr>
              <w:jc w:val="left"/>
              <w:rPr>
                <w:rFonts w:hint="eastAsia" w:ascii="宋体" w:hAnsi="宋体" w:eastAsia="宋体" w:cs="Times New Roman"/>
                <w:szCs w:val="21"/>
              </w:rPr>
            </w:pPr>
            <w:r>
              <w:rPr>
                <w:rFonts w:hint="eastAsia" w:ascii="宋体" w:hAnsi="宋体" w:eastAsia="宋体" w:cs="Times New Roman"/>
                <w:szCs w:val="21"/>
              </w:rPr>
              <w:t>（1）中华人民共和国的成立和新生人民政权的巩固</w:t>
            </w:r>
          </w:p>
          <w:p w14:paraId="521ED54A">
            <w:pPr>
              <w:jc w:val="left"/>
              <w:rPr>
                <w:rFonts w:hint="eastAsia" w:ascii="宋体" w:hAnsi="宋体" w:eastAsia="宋体" w:cs="Times New Roman"/>
                <w:szCs w:val="21"/>
              </w:rPr>
            </w:pPr>
            <w:r>
              <w:rPr>
                <w:rFonts w:hint="eastAsia" w:ascii="宋体" w:hAnsi="宋体" w:eastAsia="宋体" w:cs="Times New Roman"/>
                <w:szCs w:val="21"/>
              </w:rPr>
              <w:t>（2）党在过渡时期的总路线及其实施</w:t>
            </w:r>
          </w:p>
          <w:p w14:paraId="03E9686E">
            <w:pPr>
              <w:jc w:val="left"/>
              <w:rPr>
                <w:rFonts w:hint="eastAsia" w:ascii="宋体" w:hAnsi="宋体" w:eastAsia="宋体" w:cs="Times New Roman"/>
                <w:szCs w:val="21"/>
              </w:rPr>
            </w:pPr>
            <w:r>
              <w:rPr>
                <w:rFonts w:hint="eastAsia" w:ascii="宋体" w:hAnsi="宋体" w:eastAsia="宋体" w:cs="Times New Roman"/>
                <w:szCs w:val="21"/>
              </w:rPr>
              <w:t>（3）初步确立社会主义基本制度</w:t>
            </w:r>
          </w:p>
          <w:p w14:paraId="2C57F0B2">
            <w:pPr>
              <w:jc w:val="left"/>
              <w:rPr>
                <w:rFonts w:hint="eastAsia" w:ascii="宋体" w:hAnsi="宋体" w:eastAsia="宋体" w:cs="Times New Roman"/>
                <w:szCs w:val="21"/>
              </w:rPr>
            </w:pPr>
            <w:r>
              <w:rPr>
                <w:rFonts w:hint="eastAsia" w:ascii="宋体" w:hAnsi="宋体" w:eastAsia="宋体" w:cs="Times New Roman"/>
                <w:szCs w:val="21"/>
              </w:rPr>
              <w:t>（4）全面建设社会主义的良好开端</w:t>
            </w:r>
          </w:p>
          <w:p w14:paraId="44B9A100">
            <w:pPr>
              <w:jc w:val="left"/>
              <w:rPr>
                <w:rFonts w:hint="eastAsia" w:ascii="宋体" w:hAnsi="宋体" w:eastAsia="宋体" w:cs="Times New Roman"/>
                <w:szCs w:val="21"/>
              </w:rPr>
            </w:pPr>
            <w:r>
              <w:rPr>
                <w:rFonts w:hint="eastAsia" w:ascii="宋体" w:hAnsi="宋体" w:eastAsia="宋体" w:cs="Times New Roman"/>
                <w:szCs w:val="21"/>
              </w:rPr>
              <w:t>（5）社会主义道路的艰辛探索和曲折发展</w:t>
            </w:r>
          </w:p>
        </w:tc>
        <w:tc>
          <w:tcPr>
            <w:tcW w:w="1159" w:type="dxa"/>
            <w:vAlign w:val="center"/>
          </w:tcPr>
          <w:p w14:paraId="206249A7">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75B05E89">
            <w:pPr>
              <w:jc w:val="left"/>
              <w:rPr>
                <w:rFonts w:hint="eastAsia" w:ascii="宋体" w:hAnsi="宋体" w:eastAsia="宋体" w:cs="Times New Roman"/>
                <w:szCs w:val="21"/>
              </w:rPr>
            </w:pPr>
            <w:r>
              <w:rPr>
                <w:rFonts w:hint="eastAsia" w:ascii="宋体" w:hAnsi="宋体" w:eastAsia="宋体" w:cs="Times New Roman"/>
                <w:szCs w:val="21"/>
              </w:rPr>
              <w:t>1.了解中华人民共和国的成立和新生人民政权巩固的过程；</w:t>
            </w:r>
          </w:p>
          <w:p w14:paraId="0A27A9EE">
            <w:pPr>
              <w:jc w:val="left"/>
              <w:rPr>
                <w:rFonts w:hint="eastAsia" w:ascii="宋体" w:hAnsi="宋体" w:eastAsia="宋体" w:cs="Times New Roman"/>
                <w:szCs w:val="21"/>
              </w:rPr>
            </w:pPr>
            <w:r>
              <w:rPr>
                <w:rFonts w:hint="eastAsia" w:ascii="宋体" w:hAnsi="宋体" w:eastAsia="宋体" w:cs="Times New Roman"/>
                <w:szCs w:val="21"/>
              </w:rPr>
              <w:t>2.认识中华人民共和国走上社会主义道路是历史和人民的选择；</w:t>
            </w:r>
          </w:p>
          <w:p w14:paraId="2EAEC230">
            <w:pPr>
              <w:jc w:val="left"/>
              <w:rPr>
                <w:rFonts w:hint="eastAsia" w:ascii="宋体" w:hAnsi="宋体" w:eastAsia="宋体" w:cs="Times New Roman"/>
                <w:szCs w:val="21"/>
              </w:rPr>
            </w:pPr>
            <w:r>
              <w:rPr>
                <w:rFonts w:hint="eastAsia" w:ascii="宋体" w:hAnsi="宋体" w:eastAsia="宋体" w:cs="Times New Roman"/>
                <w:szCs w:val="21"/>
              </w:rPr>
              <w:t>3.认识中华人民共和国确立社会主义基本制度的历史意义。</w:t>
            </w:r>
          </w:p>
        </w:tc>
        <w:tc>
          <w:tcPr>
            <w:tcW w:w="1415" w:type="dxa"/>
            <w:vAlign w:val="center"/>
          </w:tcPr>
          <w:p w14:paraId="015C8428">
            <w:pPr>
              <w:jc w:val="left"/>
              <w:rPr>
                <w:rFonts w:hint="eastAsia" w:ascii="宋体" w:hAnsi="宋体" w:eastAsia="宋体" w:cs="Times New Roman"/>
                <w:szCs w:val="21"/>
              </w:rPr>
            </w:pPr>
            <w:r>
              <w:rPr>
                <w:rFonts w:hint="eastAsia" w:ascii="宋体" w:hAnsi="宋体" w:eastAsia="宋体" w:cs="Times New Roman"/>
                <w:szCs w:val="21"/>
              </w:rPr>
              <w:t>1.线上学习</w:t>
            </w:r>
          </w:p>
          <w:p w14:paraId="5546A867">
            <w:pPr>
              <w:jc w:val="left"/>
              <w:rPr>
                <w:rFonts w:hint="eastAsia" w:ascii="宋体" w:hAnsi="宋体" w:eastAsia="宋体" w:cs="Times New Roman"/>
                <w:szCs w:val="21"/>
              </w:rPr>
            </w:pPr>
            <w:r>
              <w:rPr>
                <w:rFonts w:hint="eastAsia" w:ascii="宋体" w:hAnsi="宋体" w:eastAsia="宋体" w:cs="Times New Roman"/>
                <w:szCs w:val="21"/>
              </w:rPr>
              <w:t>2.课堂教学</w:t>
            </w:r>
          </w:p>
          <w:p w14:paraId="12B76844">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2127A669">
            <w:pPr>
              <w:jc w:val="center"/>
              <w:rPr>
                <w:rFonts w:hint="eastAsia" w:ascii="宋体" w:hAnsi="宋体" w:eastAsia="宋体" w:cs="Times New Roman"/>
                <w:szCs w:val="21"/>
              </w:rPr>
            </w:pPr>
            <w:r>
              <w:rPr>
                <w:rFonts w:hint="eastAsia" w:ascii="宋体" w:hAnsi="宋体" w:eastAsia="宋体" w:cs="Times New Roman"/>
                <w:szCs w:val="21"/>
              </w:rPr>
              <w:t>3</w:t>
            </w:r>
          </w:p>
        </w:tc>
      </w:tr>
      <w:tr w14:paraId="6ECE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93CD969">
            <w:pPr>
              <w:jc w:val="center"/>
              <w:rPr>
                <w:rFonts w:hint="eastAsia" w:ascii="宋体" w:hAnsi="宋体" w:eastAsia="宋体" w:cs="Times New Roman"/>
                <w:szCs w:val="21"/>
              </w:rPr>
            </w:pPr>
            <w:r>
              <w:rPr>
                <w:rFonts w:hint="eastAsia" w:ascii="宋体" w:hAnsi="宋体" w:eastAsia="宋体" w:cs="Times New Roman"/>
                <w:szCs w:val="21"/>
              </w:rPr>
              <w:t>10.改革开放与中国特色社会主义的开创和发展</w:t>
            </w:r>
          </w:p>
        </w:tc>
        <w:tc>
          <w:tcPr>
            <w:tcW w:w="2840" w:type="dxa"/>
            <w:vAlign w:val="center"/>
          </w:tcPr>
          <w:p w14:paraId="0E6D68E4">
            <w:pPr>
              <w:jc w:val="left"/>
              <w:rPr>
                <w:rFonts w:hint="eastAsia" w:ascii="宋体" w:hAnsi="宋体" w:eastAsia="宋体" w:cs="Times New Roman"/>
                <w:szCs w:val="21"/>
              </w:rPr>
            </w:pPr>
            <w:r>
              <w:rPr>
                <w:rFonts w:hint="eastAsia" w:ascii="宋体" w:hAnsi="宋体" w:eastAsia="宋体" w:cs="Times New Roman"/>
                <w:szCs w:val="21"/>
              </w:rPr>
              <w:t>（1）历史性的伟大转折和改革开放的起步</w:t>
            </w:r>
          </w:p>
          <w:p w14:paraId="165D9AD8">
            <w:pPr>
              <w:jc w:val="left"/>
              <w:rPr>
                <w:rFonts w:hint="eastAsia" w:ascii="宋体" w:hAnsi="宋体" w:eastAsia="宋体" w:cs="Times New Roman"/>
                <w:szCs w:val="21"/>
              </w:rPr>
            </w:pPr>
            <w:r>
              <w:rPr>
                <w:rFonts w:hint="eastAsia" w:ascii="宋体" w:hAnsi="宋体" w:eastAsia="宋体" w:cs="Times New Roman"/>
                <w:szCs w:val="21"/>
              </w:rPr>
              <w:t>（2）改革开放和社会主义现代化建设新局面</w:t>
            </w:r>
          </w:p>
          <w:p w14:paraId="200A03CC">
            <w:pPr>
              <w:jc w:val="left"/>
              <w:rPr>
                <w:rFonts w:hint="eastAsia" w:ascii="宋体" w:hAnsi="宋体" w:eastAsia="宋体" w:cs="Times New Roman"/>
                <w:szCs w:val="21"/>
              </w:rPr>
            </w:pPr>
            <w:r>
              <w:rPr>
                <w:rFonts w:hint="eastAsia" w:ascii="宋体" w:hAnsi="宋体" w:eastAsia="宋体" w:cs="Times New Roman"/>
                <w:szCs w:val="21"/>
              </w:rPr>
              <w:t>（3）把中国特色社会主义全面推向21世纪</w:t>
            </w:r>
          </w:p>
          <w:p w14:paraId="3B406CD8">
            <w:pPr>
              <w:jc w:val="left"/>
              <w:rPr>
                <w:rFonts w:hint="eastAsia" w:ascii="宋体" w:hAnsi="宋体" w:eastAsia="宋体" w:cs="Times New Roman"/>
                <w:szCs w:val="21"/>
              </w:rPr>
            </w:pPr>
            <w:r>
              <w:rPr>
                <w:rFonts w:hint="eastAsia" w:ascii="宋体" w:hAnsi="宋体" w:eastAsia="宋体" w:cs="Times New Roman"/>
                <w:szCs w:val="21"/>
              </w:rPr>
              <w:t>（4）在新形势下坚持和发展中国特色社会主义</w:t>
            </w:r>
          </w:p>
        </w:tc>
        <w:tc>
          <w:tcPr>
            <w:tcW w:w="1159" w:type="dxa"/>
            <w:vAlign w:val="center"/>
          </w:tcPr>
          <w:p w14:paraId="319C7C1A">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5B51BEEB">
            <w:pPr>
              <w:jc w:val="left"/>
              <w:rPr>
                <w:rFonts w:hint="eastAsia" w:ascii="宋体" w:hAnsi="宋体" w:eastAsia="宋体" w:cs="Times New Roman"/>
                <w:szCs w:val="21"/>
              </w:rPr>
            </w:pPr>
            <w:r>
              <w:rPr>
                <w:rFonts w:hint="eastAsia" w:ascii="宋体" w:hAnsi="宋体" w:eastAsia="宋体" w:cs="Times New Roman"/>
                <w:szCs w:val="21"/>
              </w:rPr>
              <w:t>1.认识历史性的伟大转折和社会主义现代化建设新局面；</w:t>
            </w:r>
          </w:p>
          <w:p w14:paraId="6A163687">
            <w:pPr>
              <w:jc w:val="left"/>
              <w:rPr>
                <w:rFonts w:hint="eastAsia" w:ascii="宋体" w:hAnsi="宋体" w:eastAsia="宋体" w:cs="Times New Roman"/>
                <w:szCs w:val="21"/>
              </w:rPr>
            </w:pPr>
            <w:r>
              <w:rPr>
                <w:rFonts w:hint="eastAsia" w:ascii="宋体" w:hAnsi="宋体" w:eastAsia="宋体" w:cs="Times New Roman"/>
                <w:szCs w:val="21"/>
              </w:rPr>
              <w:t>2.认识改革开放和社会主义现代化建设发展的历史进程。</w:t>
            </w:r>
          </w:p>
        </w:tc>
        <w:tc>
          <w:tcPr>
            <w:tcW w:w="1415" w:type="dxa"/>
            <w:vAlign w:val="center"/>
          </w:tcPr>
          <w:p w14:paraId="7136CE3A">
            <w:pPr>
              <w:jc w:val="left"/>
              <w:rPr>
                <w:rFonts w:hint="eastAsia" w:ascii="宋体" w:hAnsi="宋体" w:eastAsia="宋体" w:cs="Times New Roman"/>
                <w:szCs w:val="21"/>
              </w:rPr>
            </w:pPr>
            <w:r>
              <w:rPr>
                <w:rFonts w:hint="eastAsia" w:ascii="宋体" w:hAnsi="宋体" w:eastAsia="宋体" w:cs="Times New Roman"/>
                <w:szCs w:val="21"/>
              </w:rPr>
              <w:t>1.线上学习</w:t>
            </w:r>
          </w:p>
          <w:p w14:paraId="5E928A91">
            <w:pPr>
              <w:jc w:val="left"/>
              <w:rPr>
                <w:rFonts w:hint="eastAsia" w:ascii="宋体" w:hAnsi="宋体" w:eastAsia="宋体" w:cs="Times New Roman"/>
                <w:szCs w:val="21"/>
              </w:rPr>
            </w:pPr>
            <w:r>
              <w:rPr>
                <w:rFonts w:hint="eastAsia" w:ascii="宋体" w:hAnsi="宋体" w:eastAsia="宋体" w:cs="Times New Roman"/>
                <w:szCs w:val="21"/>
              </w:rPr>
              <w:t>2.课堂教学</w:t>
            </w:r>
          </w:p>
          <w:p w14:paraId="36DAD47D">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041683E6">
            <w:pPr>
              <w:jc w:val="center"/>
              <w:rPr>
                <w:rFonts w:hint="eastAsia" w:ascii="宋体" w:hAnsi="宋体" w:eastAsia="宋体" w:cs="Times New Roman"/>
                <w:szCs w:val="21"/>
              </w:rPr>
            </w:pPr>
            <w:r>
              <w:rPr>
                <w:rFonts w:hint="eastAsia" w:ascii="宋体" w:hAnsi="宋体" w:eastAsia="宋体" w:cs="Times New Roman"/>
                <w:szCs w:val="21"/>
              </w:rPr>
              <w:t>3</w:t>
            </w:r>
          </w:p>
        </w:tc>
      </w:tr>
      <w:tr w14:paraId="5929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D133D4A">
            <w:pPr>
              <w:jc w:val="center"/>
              <w:rPr>
                <w:rFonts w:hint="eastAsia" w:ascii="宋体" w:hAnsi="宋体" w:eastAsia="宋体" w:cs="Times New Roman"/>
                <w:szCs w:val="21"/>
              </w:rPr>
            </w:pPr>
            <w:r>
              <w:rPr>
                <w:rFonts w:hint="eastAsia" w:ascii="宋体" w:hAnsi="宋体" w:eastAsia="宋体" w:cs="Times New Roman"/>
                <w:szCs w:val="21"/>
              </w:rPr>
              <w:t>11.中国特色社会主义进入新时代</w:t>
            </w:r>
          </w:p>
        </w:tc>
        <w:tc>
          <w:tcPr>
            <w:tcW w:w="2840" w:type="dxa"/>
            <w:vAlign w:val="center"/>
          </w:tcPr>
          <w:p w14:paraId="3622F010">
            <w:pPr>
              <w:jc w:val="left"/>
              <w:rPr>
                <w:rFonts w:hint="eastAsia" w:ascii="宋体" w:hAnsi="宋体" w:eastAsia="宋体" w:cs="Times New Roman"/>
                <w:szCs w:val="21"/>
              </w:rPr>
            </w:pPr>
            <w:r>
              <w:rPr>
                <w:rFonts w:hint="eastAsia" w:ascii="宋体" w:hAnsi="宋体" w:eastAsia="宋体" w:cs="Times New Roman"/>
                <w:szCs w:val="21"/>
              </w:rPr>
              <w:t>（1）开拓中国特色社会主义更为广阔的发展前景</w:t>
            </w:r>
          </w:p>
          <w:p w14:paraId="756067C8">
            <w:pPr>
              <w:jc w:val="left"/>
              <w:rPr>
                <w:rFonts w:hint="eastAsia" w:ascii="宋体" w:hAnsi="宋体" w:eastAsia="宋体" w:cs="Times New Roman"/>
                <w:szCs w:val="21"/>
              </w:rPr>
            </w:pPr>
            <w:r>
              <w:rPr>
                <w:rFonts w:hint="eastAsia" w:ascii="宋体" w:hAnsi="宋体" w:eastAsia="宋体" w:cs="Times New Roman"/>
                <w:szCs w:val="21"/>
              </w:rPr>
              <w:t>（2）把新时代中国特色社会主义不断推向前进</w:t>
            </w:r>
          </w:p>
          <w:p w14:paraId="0E7A58EC">
            <w:pPr>
              <w:jc w:val="left"/>
              <w:rPr>
                <w:rFonts w:hint="eastAsia" w:ascii="宋体" w:hAnsi="宋体" w:eastAsia="宋体" w:cs="Times New Roman"/>
                <w:szCs w:val="21"/>
              </w:rPr>
            </w:pPr>
            <w:r>
              <w:rPr>
                <w:rFonts w:hint="eastAsia" w:ascii="宋体" w:hAnsi="宋体" w:eastAsia="宋体" w:cs="Times New Roman"/>
                <w:szCs w:val="21"/>
              </w:rPr>
              <w:t>（3）开启全面建设社会主义现代化国家新征程</w:t>
            </w:r>
          </w:p>
        </w:tc>
        <w:tc>
          <w:tcPr>
            <w:tcW w:w="1159" w:type="dxa"/>
            <w:vAlign w:val="center"/>
          </w:tcPr>
          <w:p w14:paraId="06B2138E">
            <w:pPr>
              <w:jc w:val="center"/>
              <w:rPr>
                <w:rFonts w:hint="eastAsia" w:ascii="宋体" w:hAnsi="宋体" w:eastAsia="宋体" w:cs="Times New Roman"/>
                <w:szCs w:val="21"/>
              </w:rPr>
            </w:pPr>
            <w:r>
              <w:rPr>
                <w:rFonts w:hint="eastAsia" w:ascii="宋体" w:hAnsi="宋体" w:eastAsia="宋体" w:cs="Times New Roman"/>
                <w:szCs w:val="21"/>
              </w:rPr>
              <w:t>课程目标1、2、3</w:t>
            </w:r>
          </w:p>
          <w:p w14:paraId="78A4DC70">
            <w:pPr>
              <w:jc w:val="center"/>
              <w:rPr>
                <w:rFonts w:hint="eastAsia" w:ascii="宋体" w:hAnsi="宋体" w:eastAsia="宋体" w:cs="Times New Roman"/>
                <w:szCs w:val="21"/>
              </w:rPr>
            </w:pPr>
          </w:p>
        </w:tc>
        <w:tc>
          <w:tcPr>
            <w:tcW w:w="2241" w:type="dxa"/>
            <w:vAlign w:val="center"/>
          </w:tcPr>
          <w:p w14:paraId="67A9BB2F">
            <w:pPr>
              <w:jc w:val="left"/>
              <w:rPr>
                <w:rFonts w:hint="eastAsia" w:ascii="宋体" w:hAnsi="宋体" w:eastAsia="宋体" w:cs="Times New Roman"/>
                <w:szCs w:val="21"/>
              </w:rPr>
            </w:pPr>
            <w:r>
              <w:rPr>
                <w:rFonts w:hint="eastAsia" w:ascii="宋体" w:hAnsi="宋体" w:eastAsia="宋体" w:cs="Times New Roman"/>
                <w:szCs w:val="21"/>
              </w:rPr>
              <w:t>1.了解中国特色社会主义进入新时代的发展成就；</w:t>
            </w:r>
          </w:p>
          <w:p w14:paraId="757ED5B5">
            <w:pPr>
              <w:jc w:val="left"/>
              <w:rPr>
                <w:rFonts w:hint="eastAsia" w:ascii="宋体" w:hAnsi="宋体" w:eastAsia="宋体" w:cs="Times New Roman"/>
                <w:szCs w:val="21"/>
              </w:rPr>
            </w:pPr>
            <w:r>
              <w:rPr>
                <w:rFonts w:hint="eastAsia" w:ascii="宋体" w:hAnsi="宋体" w:eastAsia="宋体" w:cs="Times New Roman"/>
                <w:szCs w:val="21"/>
              </w:rPr>
              <w:t>2.认识习近平新时代中国特色社会主义思想的意义；</w:t>
            </w:r>
          </w:p>
          <w:p w14:paraId="1DD98694">
            <w:pPr>
              <w:jc w:val="left"/>
              <w:rPr>
                <w:rFonts w:hint="eastAsia" w:ascii="宋体" w:hAnsi="宋体" w:eastAsia="宋体" w:cs="Times New Roman"/>
                <w:szCs w:val="21"/>
              </w:rPr>
            </w:pPr>
            <w:r>
              <w:rPr>
                <w:rFonts w:hint="eastAsia" w:ascii="宋体" w:hAnsi="宋体" w:eastAsia="宋体" w:cs="Times New Roman"/>
                <w:szCs w:val="21"/>
              </w:rPr>
              <w:t>3.认识中国共产党的百年奋斗重大成就和历史经验。</w:t>
            </w:r>
          </w:p>
        </w:tc>
        <w:tc>
          <w:tcPr>
            <w:tcW w:w="1415" w:type="dxa"/>
            <w:vAlign w:val="center"/>
          </w:tcPr>
          <w:p w14:paraId="3D0C9F20">
            <w:pPr>
              <w:jc w:val="left"/>
              <w:rPr>
                <w:rFonts w:hint="eastAsia" w:ascii="宋体" w:hAnsi="宋体" w:eastAsia="宋体" w:cs="Times New Roman"/>
                <w:szCs w:val="21"/>
              </w:rPr>
            </w:pPr>
            <w:r>
              <w:rPr>
                <w:rFonts w:hint="eastAsia" w:ascii="宋体" w:hAnsi="宋体" w:eastAsia="宋体" w:cs="Times New Roman"/>
                <w:szCs w:val="21"/>
              </w:rPr>
              <w:t>1.线上学习</w:t>
            </w:r>
          </w:p>
          <w:p w14:paraId="284173C8">
            <w:pPr>
              <w:jc w:val="left"/>
              <w:rPr>
                <w:rFonts w:hint="eastAsia" w:ascii="宋体" w:hAnsi="宋体" w:eastAsia="宋体" w:cs="Times New Roman"/>
                <w:szCs w:val="21"/>
              </w:rPr>
            </w:pPr>
            <w:r>
              <w:rPr>
                <w:rFonts w:hint="eastAsia" w:ascii="宋体" w:hAnsi="宋体" w:eastAsia="宋体" w:cs="Times New Roman"/>
                <w:szCs w:val="21"/>
              </w:rPr>
              <w:t>2.课堂教学</w:t>
            </w:r>
          </w:p>
          <w:p w14:paraId="72037B5F">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0AA0E2CD">
            <w:pPr>
              <w:jc w:val="center"/>
              <w:rPr>
                <w:rFonts w:hint="eastAsia" w:ascii="宋体" w:hAnsi="宋体" w:eastAsia="宋体" w:cs="Times New Roman"/>
                <w:szCs w:val="21"/>
              </w:rPr>
            </w:pPr>
            <w:r>
              <w:rPr>
                <w:rFonts w:hint="eastAsia" w:ascii="宋体" w:hAnsi="宋体" w:eastAsia="宋体" w:cs="Times New Roman"/>
                <w:szCs w:val="21"/>
              </w:rPr>
              <w:t>6</w:t>
            </w:r>
          </w:p>
        </w:tc>
      </w:tr>
      <w:tr w14:paraId="1AD8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1205" w:type="dxa"/>
            <w:vAlign w:val="center"/>
          </w:tcPr>
          <w:p w14:paraId="2A018192">
            <w:pPr>
              <w:jc w:val="center"/>
              <w:rPr>
                <w:rFonts w:hint="eastAsia" w:ascii="宋体" w:hAnsi="宋体" w:eastAsia="宋体" w:cs="Times New Roman"/>
                <w:szCs w:val="21"/>
              </w:rPr>
            </w:pPr>
            <w:r>
              <w:rPr>
                <w:rFonts w:hint="eastAsia" w:ascii="宋体" w:hAnsi="宋体" w:eastAsia="宋体" w:cs="Times New Roman"/>
                <w:szCs w:val="21"/>
              </w:rPr>
              <w:t>12．思想政治理论课实践</w:t>
            </w:r>
          </w:p>
        </w:tc>
        <w:tc>
          <w:tcPr>
            <w:tcW w:w="2840" w:type="dxa"/>
            <w:vAlign w:val="center"/>
          </w:tcPr>
          <w:p w14:paraId="16D4860C">
            <w:pPr>
              <w:jc w:val="left"/>
              <w:rPr>
                <w:rFonts w:hint="eastAsia" w:ascii="宋体" w:hAnsi="宋体" w:eastAsia="宋体" w:cs="Times New Roman"/>
                <w:szCs w:val="21"/>
              </w:rPr>
            </w:pPr>
          </w:p>
        </w:tc>
        <w:tc>
          <w:tcPr>
            <w:tcW w:w="1159" w:type="dxa"/>
            <w:vAlign w:val="center"/>
          </w:tcPr>
          <w:p w14:paraId="72274330">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241" w:type="dxa"/>
            <w:vAlign w:val="center"/>
          </w:tcPr>
          <w:p w14:paraId="6749778E">
            <w:pPr>
              <w:jc w:val="left"/>
              <w:rPr>
                <w:rFonts w:hint="eastAsia" w:ascii="宋体" w:hAnsi="宋体" w:eastAsia="宋体" w:cs="Times New Roman"/>
                <w:szCs w:val="21"/>
              </w:rPr>
            </w:pPr>
          </w:p>
        </w:tc>
        <w:tc>
          <w:tcPr>
            <w:tcW w:w="1415" w:type="dxa"/>
            <w:vAlign w:val="center"/>
          </w:tcPr>
          <w:p w14:paraId="087C6AD1">
            <w:pPr>
              <w:jc w:val="left"/>
              <w:rPr>
                <w:rFonts w:hint="eastAsia" w:ascii="宋体" w:hAnsi="宋体" w:eastAsia="宋体" w:cs="Times New Roman"/>
                <w:szCs w:val="21"/>
              </w:rPr>
            </w:pPr>
          </w:p>
        </w:tc>
        <w:tc>
          <w:tcPr>
            <w:tcW w:w="438" w:type="dxa"/>
            <w:vAlign w:val="center"/>
          </w:tcPr>
          <w:p w14:paraId="281A7A71">
            <w:pPr>
              <w:jc w:val="center"/>
              <w:rPr>
                <w:rFonts w:hint="eastAsia" w:ascii="宋体" w:hAnsi="宋体" w:eastAsia="宋体" w:cs="Times New Roman"/>
                <w:szCs w:val="21"/>
              </w:rPr>
            </w:pPr>
            <w:r>
              <w:rPr>
                <w:rFonts w:hint="eastAsia" w:ascii="宋体" w:hAnsi="宋体" w:eastAsia="宋体" w:cs="Times New Roman"/>
                <w:szCs w:val="21"/>
              </w:rPr>
              <w:t>6</w:t>
            </w:r>
          </w:p>
        </w:tc>
      </w:tr>
    </w:tbl>
    <w:p w14:paraId="6BE358A8">
      <w:pPr>
        <w:spacing w:before="62" w:beforeLines="20" w:after="62" w:afterLines="20" w:line="360" w:lineRule="auto"/>
        <w:jc w:val="left"/>
        <w:rPr>
          <w:rFonts w:ascii="Times New Roman" w:hAnsi="Times New Roman" w:eastAsia="宋体" w:cs="Times New Roman"/>
          <w:sz w:val="24"/>
        </w:rPr>
      </w:pPr>
      <w:r>
        <w:rPr>
          <w:rFonts w:hint="eastAsia" w:ascii="宋体" w:hAnsi="宋体" w:eastAsia="宋体" w:cs="Times New Roman"/>
          <w:b/>
          <w:sz w:val="24"/>
        </w:rPr>
        <w:t>四、目标评价与成绩评定</w:t>
      </w:r>
    </w:p>
    <w:p w14:paraId="0BCD2589">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825C00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w:t>
      </w:r>
      <w:r>
        <w:rPr>
          <w:rFonts w:ascii="Times New Roman" w:hAnsi="Times New Roman" w:eastAsia="宋体" w:cs="Times New Roman"/>
          <w:szCs w:val="21"/>
        </w:rPr>
        <w:t>所示。</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0"/>
        <w:gridCol w:w="1254"/>
        <w:gridCol w:w="1560"/>
        <w:gridCol w:w="1560"/>
        <w:gridCol w:w="1360"/>
        <w:gridCol w:w="958"/>
      </w:tblGrid>
      <w:tr w14:paraId="24A1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Merge w:val="restart"/>
            <w:vAlign w:val="center"/>
          </w:tcPr>
          <w:p w14:paraId="3B449C6B">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364" w:type="pct"/>
            <w:gridSpan w:val="4"/>
            <w:vAlign w:val="center"/>
          </w:tcPr>
          <w:p w14:paraId="52318079">
            <w:pPr>
              <w:spacing w:line="312"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562" w:type="pct"/>
            <w:vMerge w:val="restart"/>
            <w:vAlign w:val="center"/>
          </w:tcPr>
          <w:p w14:paraId="501A865C">
            <w:pPr>
              <w:spacing w:line="312"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3852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Merge w:val="continue"/>
            <w:vAlign w:val="center"/>
          </w:tcPr>
          <w:p w14:paraId="5E01AEA1">
            <w:pPr>
              <w:spacing w:line="312" w:lineRule="auto"/>
              <w:jc w:val="center"/>
              <w:rPr>
                <w:rFonts w:hint="eastAsia" w:ascii="宋体" w:hAnsi="宋体" w:eastAsia="宋体" w:cs="Times New Roman"/>
                <w:szCs w:val="21"/>
              </w:rPr>
            </w:pPr>
          </w:p>
        </w:tc>
        <w:tc>
          <w:tcPr>
            <w:tcW w:w="736" w:type="pct"/>
            <w:vAlign w:val="center"/>
          </w:tcPr>
          <w:p w14:paraId="0195332E">
            <w:pPr>
              <w:spacing w:line="312" w:lineRule="auto"/>
              <w:jc w:val="center"/>
              <w:rPr>
                <w:rFonts w:hint="eastAsia" w:ascii="宋体" w:hAnsi="宋体" w:eastAsia="宋体" w:cs="Times New Roman"/>
                <w:szCs w:val="21"/>
              </w:rPr>
            </w:pPr>
            <w:r>
              <w:rPr>
                <w:rFonts w:hint="eastAsia" w:ascii="宋体" w:hAnsi="宋体" w:eastAsia="宋体" w:cs="Times New Roman"/>
                <w:szCs w:val="21"/>
              </w:rPr>
              <w:t>网络学习</w:t>
            </w:r>
          </w:p>
        </w:tc>
        <w:tc>
          <w:tcPr>
            <w:tcW w:w="915" w:type="pct"/>
            <w:vAlign w:val="center"/>
          </w:tcPr>
          <w:p w14:paraId="53D91346">
            <w:pPr>
              <w:spacing w:line="312" w:lineRule="auto"/>
              <w:jc w:val="center"/>
              <w:rPr>
                <w:rFonts w:hint="eastAsia" w:ascii="宋体" w:hAnsi="宋体" w:eastAsia="宋体" w:cs="Times New Roman"/>
                <w:szCs w:val="21"/>
              </w:rPr>
            </w:pPr>
            <w:r>
              <w:rPr>
                <w:rFonts w:hint="eastAsia"/>
                <w:szCs w:val="21"/>
              </w:rPr>
              <w:t>平时表现</w:t>
            </w:r>
          </w:p>
        </w:tc>
        <w:tc>
          <w:tcPr>
            <w:tcW w:w="915" w:type="pct"/>
            <w:vAlign w:val="center"/>
          </w:tcPr>
          <w:p w14:paraId="49C53AAC">
            <w:pPr>
              <w:spacing w:line="312" w:lineRule="auto"/>
              <w:jc w:val="center"/>
              <w:rPr>
                <w:rFonts w:hint="eastAsia" w:ascii="宋体" w:hAnsi="宋体" w:eastAsia="宋体" w:cs="Times New Roman"/>
                <w:szCs w:val="21"/>
              </w:rPr>
            </w:pPr>
            <w:r>
              <w:rPr>
                <w:rFonts w:hint="eastAsia"/>
                <w:szCs w:val="21"/>
              </w:rPr>
              <w:t>作业成绩</w:t>
            </w:r>
          </w:p>
        </w:tc>
        <w:tc>
          <w:tcPr>
            <w:tcW w:w="798" w:type="pct"/>
          </w:tcPr>
          <w:p w14:paraId="2E68C069">
            <w:pPr>
              <w:spacing w:line="312" w:lineRule="auto"/>
              <w:jc w:val="center"/>
              <w:rPr>
                <w:rFonts w:hint="eastAsia" w:ascii="宋体" w:hAnsi="宋体" w:eastAsia="宋体" w:cs="Times New Roman"/>
                <w:szCs w:val="21"/>
              </w:rPr>
            </w:pPr>
            <w:r>
              <w:rPr>
                <w:rFonts w:eastAsia="宋体"/>
              </w:rPr>
              <w:t>期末考试</w:t>
            </w:r>
          </w:p>
        </w:tc>
        <w:tc>
          <w:tcPr>
            <w:tcW w:w="562" w:type="pct"/>
            <w:vMerge w:val="continue"/>
            <w:vAlign w:val="center"/>
          </w:tcPr>
          <w:p w14:paraId="03AA5384">
            <w:pPr>
              <w:spacing w:line="312" w:lineRule="auto"/>
              <w:jc w:val="center"/>
              <w:rPr>
                <w:rFonts w:hint="eastAsia" w:ascii="宋体" w:hAnsi="宋体" w:eastAsia="宋体" w:cs="Times New Roman"/>
                <w:szCs w:val="21"/>
              </w:rPr>
            </w:pPr>
          </w:p>
        </w:tc>
      </w:tr>
      <w:tr w14:paraId="3959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53FD7557">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736" w:type="pct"/>
            <w:vAlign w:val="center"/>
          </w:tcPr>
          <w:p w14:paraId="3D8B72D5">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15" w:type="pct"/>
            <w:vAlign w:val="center"/>
          </w:tcPr>
          <w:p w14:paraId="29C12242">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15" w:type="pct"/>
            <w:vAlign w:val="center"/>
          </w:tcPr>
          <w:p w14:paraId="714BFF63">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98" w:type="pct"/>
          </w:tcPr>
          <w:p w14:paraId="0B9168C3">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62" w:type="pct"/>
            <w:vAlign w:val="center"/>
          </w:tcPr>
          <w:p w14:paraId="646CB49D">
            <w:pPr>
              <w:spacing w:line="312"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2F2B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46D69509">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736" w:type="pct"/>
            <w:vAlign w:val="center"/>
          </w:tcPr>
          <w:p w14:paraId="312049FF">
            <w:pPr>
              <w:spacing w:line="312" w:lineRule="auto"/>
              <w:jc w:val="center"/>
              <w:rPr>
                <w:rFonts w:hint="eastAsia" w:ascii="宋体" w:hAnsi="宋体" w:eastAsia="宋体" w:cs="Times New Roman"/>
                <w:szCs w:val="21"/>
              </w:rPr>
            </w:pPr>
          </w:p>
        </w:tc>
        <w:tc>
          <w:tcPr>
            <w:tcW w:w="915" w:type="pct"/>
            <w:vAlign w:val="center"/>
          </w:tcPr>
          <w:p w14:paraId="3EC3794E">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15" w:type="pct"/>
            <w:vAlign w:val="center"/>
          </w:tcPr>
          <w:p w14:paraId="6C116B9E">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98" w:type="pct"/>
          </w:tcPr>
          <w:p w14:paraId="735A74C5">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62" w:type="pct"/>
            <w:vAlign w:val="center"/>
          </w:tcPr>
          <w:p w14:paraId="703EAAD1">
            <w:pPr>
              <w:spacing w:line="312"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067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4535F3F7">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736" w:type="pct"/>
            <w:vAlign w:val="center"/>
          </w:tcPr>
          <w:p w14:paraId="41DD210C">
            <w:pPr>
              <w:spacing w:line="312" w:lineRule="auto"/>
              <w:jc w:val="center"/>
              <w:rPr>
                <w:rFonts w:hint="eastAsia" w:ascii="宋体" w:hAnsi="宋体" w:eastAsia="宋体" w:cs="Times New Roman"/>
                <w:szCs w:val="21"/>
              </w:rPr>
            </w:pPr>
          </w:p>
        </w:tc>
        <w:tc>
          <w:tcPr>
            <w:tcW w:w="915" w:type="pct"/>
            <w:vAlign w:val="center"/>
          </w:tcPr>
          <w:p w14:paraId="5B49ACCA">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15" w:type="pct"/>
            <w:vAlign w:val="center"/>
          </w:tcPr>
          <w:p w14:paraId="34769CA6">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98" w:type="pct"/>
          </w:tcPr>
          <w:p w14:paraId="456448EC">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62" w:type="pct"/>
            <w:vAlign w:val="center"/>
          </w:tcPr>
          <w:p w14:paraId="334E5D8D">
            <w:pPr>
              <w:spacing w:line="312"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4847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 w:type="pct"/>
            <w:vAlign w:val="center"/>
          </w:tcPr>
          <w:p w14:paraId="072CF33F">
            <w:pPr>
              <w:spacing w:line="312"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736" w:type="pct"/>
            <w:vAlign w:val="center"/>
          </w:tcPr>
          <w:p w14:paraId="627C7BFF">
            <w:pPr>
              <w:spacing w:line="312" w:lineRule="auto"/>
              <w:jc w:val="center"/>
              <w:rPr>
                <w:rFonts w:hint="eastAsia" w:ascii="宋体" w:hAnsi="宋体" w:eastAsia="宋体" w:cs="Times New Roman"/>
                <w:szCs w:val="21"/>
              </w:rPr>
            </w:pPr>
          </w:p>
        </w:tc>
        <w:tc>
          <w:tcPr>
            <w:tcW w:w="915" w:type="pct"/>
            <w:vAlign w:val="center"/>
          </w:tcPr>
          <w:p w14:paraId="5CADC3BF">
            <w:pPr>
              <w:spacing w:line="312" w:lineRule="auto"/>
              <w:jc w:val="center"/>
              <w:rPr>
                <w:rFonts w:hint="eastAsia" w:ascii="宋体" w:hAnsi="宋体" w:eastAsia="宋体" w:cs="Times New Roman"/>
                <w:szCs w:val="21"/>
              </w:rPr>
            </w:pPr>
          </w:p>
        </w:tc>
        <w:tc>
          <w:tcPr>
            <w:tcW w:w="915" w:type="pct"/>
            <w:vAlign w:val="center"/>
          </w:tcPr>
          <w:p w14:paraId="113B55A0">
            <w:pPr>
              <w:spacing w:line="312" w:lineRule="auto"/>
              <w:jc w:val="center"/>
              <w:rPr>
                <w:rFonts w:hint="eastAsia" w:ascii="宋体" w:hAnsi="宋体" w:eastAsia="宋体" w:cs="Times New Roman"/>
                <w:szCs w:val="21"/>
              </w:rPr>
            </w:pPr>
          </w:p>
        </w:tc>
        <w:tc>
          <w:tcPr>
            <w:tcW w:w="798" w:type="pct"/>
          </w:tcPr>
          <w:p w14:paraId="2C50896F">
            <w:pPr>
              <w:spacing w:line="312" w:lineRule="auto"/>
              <w:jc w:val="center"/>
              <w:rPr>
                <w:rFonts w:hint="eastAsia" w:ascii="宋体" w:hAnsi="宋体" w:eastAsia="宋体" w:cs="Times New Roman"/>
                <w:szCs w:val="21"/>
              </w:rPr>
            </w:pPr>
          </w:p>
        </w:tc>
        <w:tc>
          <w:tcPr>
            <w:tcW w:w="562" w:type="pct"/>
            <w:vAlign w:val="center"/>
          </w:tcPr>
          <w:p w14:paraId="28B5248B">
            <w:pPr>
              <w:spacing w:line="312"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084B69F">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E5EA3F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6092"/>
        <w:gridCol w:w="706"/>
      </w:tblGrid>
      <w:tr w14:paraId="3228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0FC5090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92" w:type="dxa"/>
            <w:vAlign w:val="center"/>
          </w:tcPr>
          <w:p w14:paraId="14F8563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1611564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F96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5933D87F">
            <w:pPr>
              <w:jc w:val="center"/>
              <w:rPr>
                <w:rFonts w:ascii="Times New Roman" w:hAnsi="Times New Roman" w:eastAsia="宋体" w:cs="Times New Roman"/>
                <w:szCs w:val="21"/>
              </w:rPr>
            </w:pPr>
            <w:r>
              <w:rPr>
                <w:rFonts w:hint="eastAsia" w:ascii="Times New Roman" w:hAnsi="Times New Roman" w:eastAsia="宋体" w:cs="Times New Roman"/>
                <w:szCs w:val="21"/>
              </w:rPr>
              <w:t>网络学习</w:t>
            </w:r>
          </w:p>
        </w:tc>
        <w:tc>
          <w:tcPr>
            <w:tcW w:w="6092" w:type="dxa"/>
            <w:vAlign w:val="center"/>
          </w:tcPr>
          <w:p w14:paraId="35055EC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通过视频学习、互动讨论等考核对课程理论的理解和运用</w:t>
            </w:r>
          </w:p>
        </w:tc>
        <w:tc>
          <w:tcPr>
            <w:tcW w:w="0" w:type="auto"/>
            <w:vAlign w:val="center"/>
          </w:tcPr>
          <w:p w14:paraId="2A119538">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E85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724" w:type="dxa"/>
            <w:vAlign w:val="center"/>
          </w:tcPr>
          <w:p w14:paraId="41B55A76">
            <w:pPr>
              <w:jc w:val="center"/>
              <w:rPr>
                <w:rFonts w:ascii="Times New Roman" w:hAnsi="Times New Roman" w:eastAsia="宋体" w:cs="Times New Roman"/>
                <w:szCs w:val="21"/>
              </w:rPr>
            </w:pPr>
            <w:r>
              <w:rPr>
                <w:rFonts w:hint="eastAsia" w:ascii="Times New Roman" w:hAnsi="Times New Roman" w:eastAsia="宋体" w:cs="Times New Roman"/>
                <w:szCs w:val="21"/>
              </w:rPr>
              <w:t>平时表现</w:t>
            </w:r>
          </w:p>
        </w:tc>
        <w:tc>
          <w:tcPr>
            <w:tcW w:w="6092" w:type="dxa"/>
            <w:vAlign w:val="center"/>
          </w:tcPr>
          <w:p w14:paraId="655C316A">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通过课堂互动、听课表现等考核对课程理论的理解和运用</w:t>
            </w:r>
          </w:p>
        </w:tc>
        <w:tc>
          <w:tcPr>
            <w:tcW w:w="0" w:type="auto"/>
            <w:vAlign w:val="center"/>
          </w:tcPr>
          <w:p w14:paraId="1CE09377">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1F83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724" w:type="dxa"/>
            <w:vAlign w:val="center"/>
          </w:tcPr>
          <w:p w14:paraId="250FEFFF">
            <w:pPr>
              <w:jc w:val="center"/>
              <w:rPr>
                <w:rFonts w:ascii="Times New Roman" w:hAnsi="Times New Roman" w:eastAsia="宋体" w:cs="Times New Roman"/>
                <w:szCs w:val="21"/>
              </w:rPr>
            </w:pPr>
            <w:r>
              <w:rPr>
                <w:rFonts w:hint="eastAsia" w:ascii="Times New Roman" w:hAnsi="Times New Roman" w:eastAsia="宋体" w:cs="Times New Roman"/>
                <w:szCs w:val="21"/>
              </w:rPr>
              <w:t>作业</w:t>
            </w:r>
          </w:p>
        </w:tc>
        <w:tc>
          <w:tcPr>
            <w:tcW w:w="6092" w:type="dxa"/>
            <w:vAlign w:val="center"/>
          </w:tcPr>
          <w:p w14:paraId="6F76BDB6">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通过章节测验、思考题等考核对课程理论的理解和运用</w:t>
            </w:r>
          </w:p>
        </w:tc>
        <w:tc>
          <w:tcPr>
            <w:tcW w:w="0" w:type="auto"/>
            <w:vAlign w:val="center"/>
          </w:tcPr>
          <w:p w14:paraId="3958D22C">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4A0B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1C8CD688">
            <w:pPr>
              <w:jc w:val="cente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092" w:type="dxa"/>
            <w:vAlign w:val="center"/>
          </w:tcPr>
          <w:p w14:paraId="620EED1B">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通过选择题、填空题和论述题等考核对课程理论的理解和运用</w:t>
            </w:r>
          </w:p>
        </w:tc>
        <w:tc>
          <w:tcPr>
            <w:tcW w:w="0" w:type="auto"/>
            <w:vAlign w:val="center"/>
          </w:tcPr>
          <w:p w14:paraId="71AB0C82">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3BB2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724" w:type="dxa"/>
            <w:vAlign w:val="center"/>
          </w:tcPr>
          <w:p w14:paraId="3FD3910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92" w:type="dxa"/>
            <w:vAlign w:val="center"/>
          </w:tcPr>
          <w:p w14:paraId="3270BA3A">
            <w:pPr>
              <w:jc w:val="left"/>
              <w:rPr>
                <w:rFonts w:ascii="Times New Roman" w:hAnsi="Times New Roman" w:eastAsia="宋体" w:cs="Times New Roman"/>
                <w:szCs w:val="21"/>
              </w:rPr>
            </w:pPr>
          </w:p>
        </w:tc>
        <w:tc>
          <w:tcPr>
            <w:tcW w:w="0" w:type="auto"/>
            <w:vAlign w:val="center"/>
          </w:tcPr>
          <w:p w14:paraId="29A50B6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14A7A66">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614684B4">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95DCB93">
      <w:pPr>
        <w:spacing w:before="156" w:beforeLines="50" w:line="360" w:lineRule="auto"/>
        <w:ind w:firstLine="420" w:firstLineChars="200"/>
        <w:jc w:val="left"/>
        <w:rPr>
          <w:rFonts w:ascii="Times New Roman" w:hAnsi="Times New Roman" w:eastAsia="宋体" w:cs="Times New Roman"/>
          <w:b/>
          <w:bCs/>
          <w:sz w:val="24"/>
        </w:rPr>
      </w:pPr>
      <w:r>
        <w:rPr>
          <w:rFonts w:ascii="宋体" w:hAnsi="宋体" w:eastAsia="宋体" w:cs="Times New Roman"/>
          <w:szCs w:val="21"/>
        </w:rPr>
        <w:object>
          <v:shape id="_x0000_i1026" o:spt="75" type="#_x0000_t75" style="height:25pt;width:404.5pt;" o:ole="t" filled="f" o:preferrelative="t" stroked="f" coordsize="21600,21600">
            <v:path/>
            <v:fill on="f" focussize="0,0"/>
            <v:stroke on="f" joinstyle="miter"/>
            <v:imagedata r:id="rId12" o:title=""/>
            <o:lock v:ext="edit" aspectratio="t"/>
            <w10:wrap type="none"/>
            <w10:anchorlock/>
          </v:shape>
          <o:OLEObject Type="Embed" ProgID="Equation.3" ShapeID="_x0000_i1026" DrawAspect="Content" ObjectID="_1468075726" r:id="rId13">
            <o:LockedField>false</o:LockedField>
          </o:OLEObject>
        </w:object>
      </w:r>
      <w:r>
        <w:rPr>
          <w:rFonts w:hint="eastAsia" w:ascii="宋体" w:hAnsi="宋体" w:eastAsia="宋体" w:cs="Times New Roman"/>
          <w:b/>
          <w:sz w:val="24"/>
        </w:rPr>
        <w:t>五、有关说明</w:t>
      </w:r>
    </w:p>
    <w:p w14:paraId="4E57AC9B">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148586DC">
      <w:pPr>
        <w:spacing w:line="312"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本课程根据平时表现、作业和期末考试等考核情况，以及学生、教学督导等反馈，及时对教学中不足之处进行改进，并在下一轮课程教学中整改完善，确保相应毕业要求观测点达成。</w:t>
      </w:r>
    </w:p>
    <w:p w14:paraId="61936383">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6E5D7E44">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《中国近现代史纲要》，本书编写组主编，高等教育出版社，2023年2月</w:t>
      </w:r>
    </w:p>
    <w:p w14:paraId="13C1E334">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1035F5F8">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1.《从鸦片战争到五四运动》，人民出版社，1998</w:t>
      </w:r>
    </w:p>
    <w:p w14:paraId="0129E7CA">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2.《习近平新时代中国特色社会主义思想学习问答》，学习出版社、人民出版社，2021</w:t>
      </w:r>
    </w:p>
    <w:p w14:paraId="3FADE8CE">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3.《中国共产党简史》，人民出版社，2021</w:t>
      </w:r>
    </w:p>
    <w:p w14:paraId="0DC8F810">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4.《中国共产党的一百年》，中共党史出版社，2022</w:t>
      </w:r>
    </w:p>
    <w:p w14:paraId="71E138DA">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5.《党的二十届三中全会〈决定〉学习辅导百问》，党建读物出版社、学习出版社，2024</w:t>
      </w:r>
    </w:p>
    <w:p w14:paraId="684F087E">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（四）教学改革</w:t>
      </w:r>
    </w:p>
    <w:p w14:paraId="3B05A902">
      <w:pPr>
        <w:spacing w:line="312" w:lineRule="auto"/>
        <w:ind w:firstLine="420" w:firstLineChars="200"/>
      </w:pPr>
      <w:r>
        <w:rPr>
          <w:rFonts w:hint="eastAsia" w:ascii="Times New Roman" w:hAnsi="Times New Roman" w:eastAsia="宋体" w:cs="Times New Roman"/>
          <w:bCs/>
          <w:szCs w:val="21"/>
        </w:rPr>
        <w:t>本课程的教学改革，需制定相应的教学方案。</w:t>
      </w:r>
    </w:p>
    <w:p w14:paraId="63318665">
      <w:pPr>
        <w:spacing w:line="312" w:lineRule="auto"/>
        <w:ind w:right="1200"/>
        <w:jc w:val="right"/>
        <w:rPr>
          <w:rFonts w:ascii="Times New Roman" w:hAnsi="Times New Roman" w:eastAsia="宋体" w:cs="Times New Roman"/>
          <w:szCs w:val="21"/>
        </w:rPr>
      </w:pPr>
      <w:r>
        <w:rPr>
          <w:rFonts w:hint="eastAsia" w:ascii="Times New Roman" w:hAnsi="Times New Roman" w:eastAsia="宋体" w:cs="Times New Roman"/>
          <w:szCs w:val="21"/>
        </w:rPr>
        <w:t>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王若颖</w:t>
      </w:r>
    </w:p>
    <w:p w14:paraId="7DFDB445">
      <w:pPr>
        <w:spacing w:line="312" w:lineRule="auto"/>
        <w:ind w:right="1200"/>
        <w:jc w:val="right"/>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夏天静</w:t>
      </w:r>
    </w:p>
    <w:p w14:paraId="08F9A445">
      <w:pPr>
        <w:spacing w:line="312" w:lineRule="auto"/>
        <w:ind w:right="1200"/>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熊焱生</w:t>
      </w:r>
    </w:p>
    <w:p w14:paraId="6C1F9F70">
      <w:r>
        <w:rPr>
          <w:rFonts w:hint="eastAsia" w:ascii="Times New Roman" w:hAnsi="Times New Roman" w:eastAsia="宋体" w:cs="Times New Roman"/>
          <w:szCs w:val="21"/>
        </w:rPr>
        <w:t xml:space="preserve">                                                  批准时间：2025年7月1日</w:t>
      </w:r>
      <w:r>
        <w:rPr>
          <w:rFonts w:ascii="Times New Roman" w:hAnsi="Times New Roman" w:eastAsia="宋体" w:cs="Times New Roman"/>
          <w:szCs w:val="21"/>
        </w:rPr>
        <w:br w:type="page"/>
      </w:r>
    </w:p>
    <w:p w14:paraId="14348A9E">
      <w:pPr>
        <w:spacing w:line="360" w:lineRule="auto"/>
        <w:jc w:val="center"/>
        <w:outlineLvl w:val="0"/>
        <w:rPr>
          <w:rFonts w:ascii="Times New Roman" w:hAnsi="Times New Roman" w:eastAsia="宋体" w:cs="Times New Roman"/>
          <w:b/>
          <w:sz w:val="44"/>
          <w:szCs w:val="44"/>
        </w:rPr>
      </w:pPr>
      <w:bookmarkStart w:id="18" w:name="_Toc2221"/>
      <w:r>
        <w:rPr>
          <w:rFonts w:hint="eastAsia" w:ascii="Times New Roman" w:hAnsi="Times New Roman" w:eastAsia="宋体" w:cs="Times New Roman"/>
          <w:b/>
          <w:sz w:val="44"/>
          <w:szCs w:val="44"/>
        </w:rPr>
        <w:t>《马克思主义基本原理》课程教学大纲</w:t>
      </w:r>
      <w:bookmarkEnd w:id="18"/>
    </w:p>
    <w:p w14:paraId="3EB69DD9">
      <w:pPr>
        <w:spacing w:line="360" w:lineRule="auto"/>
        <w:jc w:val="center"/>
        <w:rPr>
          <w:rFonts w:ascii="Times New Roman" w:hAnsi="Times New Roman" w:eastAsia="宋体" w:cs="Times New Roman"/>
          <w:b/>
          <w:bCs/>
          <w:sz w:val="28"/>
          <w:szCs w:val="28"/>
        </w:rPr>
      </w:pPr>
      <w:bookmarkStart w:id="19" w:name="_Toc21883"/>
      <w:r>
        <w:rPr>
          <w:rFonts w:hint="eastAsia" w:ascii="Times New Roman" w:hAnsi="Times New Roman" w:eastAsia="宋体" w:cs="Times New Roman"/>
          <w:b/>
          <w:bCs/>
          <w:sz w:val="28"/>
          <w:szCs w:val="28"/>
        </w:rPr>
        <w:t>（Basic Principles of Marxism）</w:t>
      </w:r>
      <w:bookmarkEnd w:id="19"/>
    </w:p>
    <w:p w14:paraId="7ED26E7C">
      <w:pPr>
        <w:spacing w:line="360" w:lineRule="auto"/>
        <w:jc w:val="center"/>
        <w:rPr>
          <w:rFonts w:ascii="Times New Roman" w:hAnsi="Times New Roman" w:eastAsia="宋体" w:cs="Times New Roman"/>
          <w:b/>
          <w:bCs/>
          <w:szCs w:val="21"/>
        </w:rPr>
      </w:pPr>
    </w:p>
    <w:p w14:paraId="69E59763">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课程名称：马克思主义基本原理</w:t>
      </w:r>
    </w:p>
    <w:p w14:paraId="27ED930C">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课程代码：1003031</w:t>
      </w:r>
    </w:p>
    <w:p w14:paraId="602F0448">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 xml:space="preserve">学 </w:t>
      </w:r>
      <w:r>
        <w:rPr>
          <w:rFonts w:ascii="宋体" w:hAnsi="宋体" w:eastAsia="宋体" w:cs="Times New Roman"/>
          <w:b/>
          <w:sz w:val="24"/>
        </w:rPr>
        <w:t xml:space="preserve">   </w:t>
      </w:r>
      <w:r>
        <w:rPr>
          <w:rFonts w:hint="eastAsia" w:ascii="宋体" w:hAnsi="宋体" w:eastAsia="宋体" w:cs="Times New Roman"/>
          <w:b/>
          <w:sz w:val="24"/>
        </w:rPr>
        <w:t>分：3</w:t>
      </w:r>
    </w:p>
    <w:p w14:paraId="06C41E98">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 xml:space="preserve">学 </w:t>
      </w:r>
      <w:r>
        <w:rPr>
          <w:rFonts w:ascii="宋体" w:hAnsi="宋体" w:eastAsia="宋体" w:cs="Times New Roman"/>
          <w:b/>
          <w:sz w:val="24"/>
        </w:rPr>
        <w:t xml:space="preserve">   </w:t>
      </w:r>
      <w:r>
        <w:rPr>
          <w:rFonts w:hint="eastAsia" w:ascii="宋体" w:hAnsi="宋体" w:eastAsia="宋体" w:cs="Times New Roman"/>
          <w:b/>
          <w:sz w:val="24"/>
        </w:rPr>
        <w:t>时：48（其中：讲授学时42，实践学时6）</w:t>
      </w:r>
    </w:p>
    <w:p w14:paraId="2CD657EE">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先修课程：思想道德与法治、中国近现代史纲要</w:t>
      </w:r>
    </w:p>
    <w:p w14:paraId="35F80D78">
      <w:pPr>
        <w:spacing w:line="360" w:lineRule="auto"/>
        <w:ind w:firstLine="482" w:firstLineChars="200"/>
        <w:jc w:val="left"/>
        <w:rPr>
          <w:rFonts w:hint="eastAsia" w:ascii="宋体" w:hAnsi="宋体" w:eastAsia="宋体" w:cs="Times New Roman"/>
          <w:b/>
          <w:sz w:val="24"/>
        </w:rPr>
      </w:pPr>
      <w:r>
        <w:rPr>
          <w:rFonts w:hint="eastAsia" w:ascii="宋体" w:hAnsi="宋体" w:eastAsia="宋体" w:cs="Times New Roman"/>
          <w:b/>
          <w:sz w:val="24"/>
        </w:rPr>
        <w:t>适用专业：全校所有专业</w:t>
      </w:r>
    </w:p>
    <w:p w14:paraId="08297D6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3ABD875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面向小学教育专业开设的通识必修课。通过本课程的学习，使学生理解马克思主义基本原理相关理论，掌握辩证唯物主义和历史唯物主义的基本观点，认识资本主义本质和社会主义建立、实践和发展的必然性，学会运用马克思主义的立场、观点、方法来认识、分析和解决问题，树立马克思主义的世界观、人生观和价值观，为后续思想政治理论课及思想政治理论课实践环节奠定基础，从而完成人才培养目标。</w:t>
      </w:r>
    </w:p>
    <w:p w14:paraId="13FE6FD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23159DBE">
      <w:pPr>
        <w:spacing w:line="360" w:lineRule="auto"/>
        <w:ind w:firstLine="422" w:firstLineChars="200"/>
        <w:rPr>
          <w:rFonts w:hint="eastAsia" w:ascii="宋体" w:hAnsi="宋体" w:eastAsia="宋体" w:cs="Times New Roman"/>
          <w:b/>
          <w:szCs w:val="21"/>
        </w:rPr>
      </w:pPr>
      <w:bookmarkStart w:id="20" w:name="OLE_LINK27"/>
      <w:bookmarkStart w:id="21" w:name="_Hlk187778138"/>
      <w:r>
        <w:rPr>
          <w:rFonts w:hint="eastAsia" w:ascii="宋体" w:hAnsi="宋体" w:eastAsia="宋体" w:cs="Times New Roman"/>
          <w:b/>
          <w:szCs w:val="21"/>
        </w:rPr>
        <w:t>（一）课程具体目标</w:t>
      </w:r>
    </w:p>
    <w:bookmarkEnd w:id="20"/>
    <w:p w14:paraId="0F51478F">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w:t>
      </w:r>
      <w:r>
        <w:rPr>
          <w:rFonts w:ascii="Times New Roman" w:hAnsi="Times New Roman" w:eastAsia="宋体" w:cs="Times New Roman"/>
          <w:bCs/>
          <w:szCs w:val="21"/>
        </w:rPr>
        <w:t>培养学生立足国情认知与全球视野，系统理解新时代中国特色社会主义思想理论体系，准确把握其对中国式现代化建设的核心指导价值。坚定中国特色社会主义政治认同，自觉践行社会主义核心价值观，将党的教育方针转化为育人实践的行动自觉。深植教师职业价值认同，铸就</w:t>
      </w:r>
      <w:r>
        <w:rPr>
          <w:rFonts w:hint="eastAsia" w:ascii="Times New Roman" w:hAnsi="Times New Roman" w:eastAsia="宋体" w:cs="Times New Roman"/>
          <w:bCs/>
          <w:szCs w:val="21"/>
        </w:rPr>
        <w:t>“</w:t>
      </w:r>
      <w:r>
        <w:rPr>
          <w:rFonts w:ascii="Times New Roman" w:hAnsi="Times New Roman" w:eastAsia="宋体" w:cs="Times New Roman"/>
          <w:bCs/>
          <w:szCs w:val="21"/>
        </w:rPr>
        <w:t>四有</w:t>
      </w:r>
      <w:r>
        <w:rPr>
          <w:rFonts w:hint="eastAsia" w:ascii="Times New Roman" w:hAnsi="Times New Roman" w:eastAsia="宋体" w:cs="Times New Roman"/>
          <w:bCs/>
          <w:szCs w:val="21"/>
        </w:rPr>
        <w:t>”</w:t>
      </w:r>
      <w:r>
        <w:rPr>
          <w:rFonts w:ascii="Times New Roman" w:hAnsi="Times New Roman" w:eastAsia="宋体" w:cs="Times New Roman"/>
          <w:bCs/>
          <w:szCs w:val="21"/>
        </w:rPr>
        <w:t>教师核心素养。</w:t>
      </w:r>
    </w:p>
    <w:p w14:paraId="3C330201">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Cs/>
          <w:szCs w:val="21"/>
        </w:rPr>
        <w:t>在马克思主义理论指导下培养学生的</w:t>
      </w:r>
      <w:r>
        <w:rPr>
          <w:rFonts w:ascii="Times New Roman" w:hAnsi="Times New Roman" w:eastAsia="宋体" w:cs="Times New Roman"/>
          <w:bCs/>
          <w:szCs w:val="21"/>
        </w:rPr>
        <w:t>人文艺术涵养与求实科学精神，恪守教师职业行为规范，保持正向情感状态，形成健全人格特质，实现身心协调发展</w:t>
      </w:r>
      <w:r>
        <w:rPr>
          <w:rFonts w:hint="eastAsia" w:ascii="Times New Roman" w:hAnsi="Times New Roman" w:eastAsia="宋体" w:cs="Times New Roman"/>
          <w:bCs/>
          <w:szCs w:val="21"/>
        </w:rPr>
        <w:t>。</w:t>
      </w:r>
    </w:p>
    <w:p w14:paraId="0BE0BE07">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目标3：</w:t>
      </w:r>
      <w:bookmarkEnd w:id="21"/>
      <w:r>
        <w:rPr>
          <w:rFonts w:hint="eastAsia" w:ascii="Times New Roman" w:hAnsi="Times New Roman" w:eastAsia="宋体" w:cs="Times New Roman"/>
          <w:bCs/>
          <w:szCs w:val="21"/>
        </w:rPr>
        <w:t>科学地运用马克思主义的世界观和方法论，帮助学生培养与小学教育本科专业相应的自然科学和人文社会科学知识素养，并将其运用到教育实践中。</w:t>
      </w:r>
    </w:p>
    <w:p w14:paraId="47E6C7F7">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Cs/>
          <w:szCs w:val="21"/>
        </w:rPr>
        <w:t>培养反思意识和批判性思维素养，对在日常学习和教育实践中发现的教育现象和问题，能运用辩证唯物主义和历史唯物主义的方法进行探索和研究，通过持续反思优化教学实践。</w:t>
      </w:r>
    </w:p>
    <w:p w14:paraId="7B923C1F">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6408"/>
        <w:gridCol w:w="1281"/>
      </w:tblGrid>
      <w:tr w14:paraId="0C7C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341978F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408" w:type="dxa"/>
            <w:vAlign w:val="center"/>
          </w:tcPr>
          <w:p w14:paraId="5042270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81" w:type="dxa"/>
            <w:vAlign w:val="center"/>
          </w:tcPr>
          <w:p w14:paraId="14E0BB3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485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124142F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毕业要求1</w:t>
            </w:r>
          </w:p>
          <w:p w14:paraId="6CB25E2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师德规范</w:t>
            </w:r>
          </w:p>
        </w:tc>
        <w:tc>
          <w:tcPr>
            <w:tcW w:w="6408" w:type="dxa"/>
            <w:vAlign w:val="center"/>
          </w:tcPr>
          <w:p w14:paraId="11D41F39">
            <w:pPr>
              <w:jc w:val="left"/>
              <w:rPr>
                <w:rFonts w:ascii="Times New Roman" w:hAnsi="Times New Roman" w:eastAsia="宋体" w:cs="Times New Roman"/>
                <w:szCs w:val="21"/>
              </w:rPr>
            </w:pPr>
            <w:r>
              <w:rPr>
                <w:rFonts w:hint="eastAsia" w:ascii="Times New Roman" w:hAnsi="Times New Roman" w:eastAsia="宋体" w:cs="Times New Roman"/>
                <w:b/>
                <w:szCs w:val="21"/>
              </w:rPr>
              <w:t>指标点1-1</w:t>
            </w:r>
            <w:r>
              <w:rPr>
                <w:rFonts w:hint="eastAsia" w:ascii="Times New Roman" w:hAnsi="Times New Roman" w:eastAsia="宋体" w:cs="Times New Roman"/>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281" w:type="dxa"/>
            <w:vAlign w:val="center"/>
          </w:tcPr>
          <w:p w14:paraId="11BE81C9">
            <w:pPr>
              <w:jc w:val="center"/>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1A74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290BFCE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毕业要求2</w:t>
            </w:r>
          </w:p>
          <w:p w14:paraId="4BF1FB2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教育情怀</w:t>
            </w:r>
          </w:p>
        </w:tc>
        <w:tc>
          <w:tcPr>
            <w:tcW w:w="6408" w:type="dxa"/>
            <w:vAlign w:val="center"/>
          </w:tcPr>
          <w:p w14:paraId="1D3C6A06">
            <w:pPr>
              <w:jc w:val="left"/>
              <w:rPr>
                <w:rFonts w:ascii="Times New Roman" w:hAnsi="Times New Roman" w:eastAsia="宋体" w:cs="Times New Roman"/>
                <w:szCs w:val="21"/>
              </w:rPr>
            </w:pPr>
            <w:r>
              <w:rPr>
                <w:rFonts w:hint="eastAsia" w:ascii="宋体" w:hAnsi="宋体" w:eastAsia="宋体" w:cs="Times New Roman"/>
                <w:b/>
                <w:bCs/>
                <w:spacing w:val="2"/>
                <w:kern w:val="0"/>
                <w:szCs w:val="21"/>
              </w:rPr>
              <w:t>指标点2-3：</w:t>
            </w:r>
            <w:r>
              <w:rPr>
                <w:rFonts w:hint="eastAsia" w:ascii="宋体" w:hAnsi="宋体" w:eastAsia="宋体" w:cs="Times New Roman"/>
                <w:spacing w:val="2"/>
                <w:kern w:val="0"/>
                <w:szCs w:val="21"/>
              </w:rPr>
              <w:t>【自身修养良好】具有较好的人文艺术底蕴与科学精神，言行举止符合教师职业标准，情感积极，人格健全，身心健康。</w:t>
            </w:r>
          </w:p>
        </w:tc>
        <w:tc>
          <w:tcPr>
            <w:tcW w:w="1281" w:type="dxa"/>
            <w:vAlign w:val="center"/>
          </w:tcPr>
          <w:p w14:paraId="31BC28C5">
            <w:pPr>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3F21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0F6BAEA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毕业要求3</w:t>
            </w:r>
          </w:p>
          <w:p w14:paraId="3117D95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学科素养</w:t>
            </w:r>
          </w:p>
        </w:tc>
        <w:tc>
          <w:tcPr>
            <w:tcW w:w="6408" w:type="dxa"/>
            <w:vAlign w:val="center"/>
          </w:tcPr>
          <w:p w14:paraId="7AFAB46D">
            <w:pPr>
              <w:jc w:val="left"/>
              <w:rPr>
                <w:rFonts w:hint="eastAsia" w:ascii="宋体" w:hAnsi="宋体" w:eastAsia="宋体" w:cs="Times New Roman"/>
                <w:spacing w:val="2"/>
                <w:kern w:val="0"/>
                <w:szCs w:val="21"/>
              </w:rPr>
            </w:pPr>
            <w:r>
              <w:rPr>
                <w:rFonts w:hint="eastAsia" w:ascii="宋体" w:hAnsi="宋体" w:eastAsia="宋体" w:cs="Times New Roman"/>
                <w:b/>
                <w:bCs/>
                <w:spacing w:val="2"/>
                <w:kern w:val="0"/>
                <w:szCs w:val="21"/>
              </w:rPr>
              <w:t>指标点3-1：</w:t>
            </w:r>
            <w:r>
              <w:rPr>
                <w:rFonts w:hint="eastAsia" w:ascii="宋体" w:hAnsi="宋体" w:eastAsia="宋体" w:cs="Times New Roman"/>
                <w:spacing w:val="2"/>
                <w:kern w:val="0"/>
                <w:szCs w:val="21"/>
              </w:rPr>
              <w:t>【通识知识广博】具有小学教育本科专业相应的自然科学和人文社会科学知识素养。</w:t>
            </w:r>
          </w:p>
        </w:tc>
        <w:tc>
          <w:tcPr>
            <w:tcW w:w="1281" w:type="dxa"/>
            <w:vAlign w:val="center"/>
          </w:tcPr>
          <w:p w14:paraId="7EE8AC29">
            <w:pPr>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594E1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8" w:type="dxa"/>
            <w:vAlign w:val="center"/>
          </w:tcPr>
          <w:p w14:paraId="06A15FA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毕业要求7</w:t>
            </w:r>
          </w:p>
          <w:p w14:paraId="77E0497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学会反思</w:t>
            </w:r>
          </w:p>
        </w:tc>
        <w:tc>
          <w:tcPr>
            <w:tcW w:w="6408" w:type="dxa"/>
            <w:vAlign w:val="center"/>
          </w:tcPr>
          <w:p w14:paraId="726F16FF">
            <w:pPr>
              <w:jc w:val="left"/>
              <w:rPr>
                <w:rFonts w:ascii="Times New Roman" w:hAnsi="Times New Roman" w:eastAsia="宋体" w:cs="Times New Roman"/>
                <w:szCs w:val="21"/>
              </w:rPr>
            </w:pPr>
            <w:r>
              <w:rPr>
                <w:rFonts w:hint="eastAsia" w:ascii="宋体" w:hAnsi="宋体" w:eastAsia="宋体" w:cs="Times New Roman"/>
                <w:b/>
                <w:bCs/>
                <w:kern w:val="0"/>
                <w:szCs w:val="21"/>
              </w:rPr>
              <w:t>指标点7-3：</w:t>
            </w:r>
            <w:r>
              <w:rPr>
                <w:rFonts w:hint="eastAsia" w:ascii="宋体" w:hAnsi="宋体" w:eastAsia="宋体" w:cs="Times New Roman"/>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281" w:type="dxa"/>
            <w:vAlign w:val="center"/>
          </w:tcPr>
          <w:p w14:paraId="2AD21A77">
            <w:pPr>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bl>
    <w:p w14:paraId="247D0B0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635"/>
        <w:gridCol w:w="1134"/>
        <w:gridCol w:w="3260"/>
        <w:gridCol w:w="1342"/>
        <w:gridCol w:w="656"/>
      </w:tblGrid>
      <w:tr w14:paraId="07D0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C1D5E50">
            <w:pPr>
              <w:jc w:val="center"/>
              <w:rPr>
                <w:rFonts w:hint="eastAsia" w:ascii="宋体" w:hAnsi="宋体" w:eastAsia="宋体" w:cs="Times New Roman"/>
                <w:b/>
                <w:szCs w:val="21"/>
              </w:rPr>
            </w:pPr>
            <w:r>
              <w:rPr>
                <w:rFonts w:hint="eastAsia" w:ascii="宋体" w:hAnsi="宋体" w:eastAsia="宋体" w:cs="Times New Roman"/>
                <w:b/>
                <w:szCs w:val="21"/>
              </w:rPr>
              <w:t>知识</w:t>
            </w:r>
          </w:p>
          <w:p w14:paraId="3DB8218B">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635" w:type="dxa"/>
            <w:vAlign w:val="center"/>
          </w:tcPr>
          <w:p w14:paraId="5BEB9C59">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78D9EDC7">
            <w:pPr>
              <w:jc w:val="center"/>
              <w:rPr>
                <w:rFonts w:hint="eastAsia" w:ascii="宋体" w:hAnsi="宋体" w:eastAsia="宋体" w:cs="Times New Roman"/>
                <w:b/>
                <w:szCs w:val="21"/>
              </w:rPr>
            </w:pPr>
            <w:r>
              <w:rPr>
                <w:rFonts w:hint="eastAsia" w:ascii="宋体" w:hAnsi="宋体" w:eastAsia="宋体" w:cs="Times New Roman"/>
                <w:b/>
                <w:szCs w:val="21"/>
              </w:rPr>
              <w:t>对应</w:t>
            </w:r>
          </w:p>
          <w:p w14:paraId="5B83D743">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6BE61BCD">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342" w:type="dxa"/>
            <w:vAlign w:val="center"/>
          </w:tcPr>
          <w:p w14:paraId="75C567FA">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656" w:type="dxa"/>
            <w:vAlign w:val="center"/>
          </w:tcPr>
          <w:p w14:paraId="3132E03A">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7849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71896414">
            <w:pPr>
              <w:jc w:val="center"/>
              <w:rPr>
                <w:rFonts w:hint="eastAsia" w:ascii="宋体" w:hAnsi="宋体" w:eastAsia="宋体" w:cs="Times New Roman"/>
                <w:szCs w:val="21"/>
              </w:rPr>
            </w:pPr>
            <w:r>
              <w:rPr>
                <w:rFonts w:hint="eastAsia" w:ascii="宋体" w:hAnsi="宋体" w:eastAsia="宋体" w:cs="Times New Roman"/>
                <w:szCs w:val="21"/>
              </w:rPr>
              <w:t>1.导论</w:t>
            </w:r>
          </w:p>
        </w:tc>
        <w:tc>
          <w:tcPr>
            <w:tcW w:w="1635" w:type="dxa"/>
            <w:vAlign w:val="center"/>
          </w:tcPr>
          <w:p w14:paraId="3ED13ABE">
            <w:pPr>
              <w:jc w:val="center"/>
              <w:rPr>
                <w:rFonts w:hint="eastAsia" w:ascii="宋体" w:hAnsi="宋体" w:eastAsia="宋体" w:cs="Times New Roman"/>
                <w:szCs w:val="21"/>
              </w:rPr>
            </w:pPr>
            <w:r>
              <w:rPr>
                <w:rFonts w:hint="eastAsia" w:ascii="宋体" w:hAnsi="宋体" w:eastAsia="宋体" w:cs="Times New Roman"/>
                <w:szCs w:val="21"/>
              </w:rPr>
              <w:t>（1）什么是马克思主义</w:t>
            </w:r>
          </w:p>
          <w:p w14:paraId="7BC75F04">
            <w:pPr>
              <w:jc w:val="center"/>
              <w:rPr>
                <w:rFonts w:hint="eastAsia" w:ascii="宋体" w:hAnsi="宋体" w:eastAsia="宋体" w:cs="Times New Roman"/>
                <w:szCs w:val="21"/>
              </w:rPr>
            </w:pPr>
            <w:r>
              <w:rPr>
                <w:rFonts w:hint="eastAsia" w:ascii="宋体" w:hAnsi="宋体" w:eastAsia="宋体" w:cs="Times New Roman"/>
                <w:szCs w:val="21"/>
              </w:rPr>
              <w:t>（2）马克思主义的创立与发展（3）马克思主义的鲜明特征（4）马克思主义的当代价值</w:t>
            </w:r>
          </w:p>
          <w:p w14:paraId="2A950E0C">
            <w:pPr>
              <w:jc w:val="center"/>
              <w:rPr>
                <w:rFonts w:hint="eastAsia" w:ascii="宋体" w:hAnsi="宋体" w:eastAsia="宋体" w:cs="Times New Roman"/>
                <w:szCs w:val="21"/>
              </w:rPr>
            </w:pPr>
            <w:r>
              <w:rPr>
                <w:rFonts w:hint="eastAsia" w:ascii="宋体" w:hAnsi="宋体" w:eastAsia="宋体" w:cs="Times New Roman"/>
                <w:szCs w:val="21"/>
              </w:rPr>
              <w:t>（5）自觉学习和运用马克思主义</w:t>
            </w:r>
          </w:p>
        </w:tc>
        <w:tc>
          <w:tcPr>
            <w:tcW w:w="1134" w:type="dxa"/>
            <w:vAlign w:val="center"/>
          </w:tcPr>
          <w:p w14:paraId="3348A3EC">
            <w:pPr>
              <w:jc w:val="center"/>
              <w:rPr>
                <w:rFonts w:hint="eastAsia" w:ascii="宋体" w:hAnsi="宋体" w:eastAsia="宋体" w:cs="Times New Roman"/>
                <w:szCs w:val="21"/>
              </w:rPr>
            </w:pPr>
            <w:r>
              <w:rPr>
                <w:rFonts w:hint="eastAsia" w:ascii="宋体" w:hAnsi="宋体" w:eastAsia="宋体" w:cs="Times New Roman"/>
                <w:szCs w:val="21"/>
              </w:rPr>
              <w:t>目标1</w:t>
            </w:r>
          </w:p>
          <w:p w14:paraId="04C56C1B">
            <w:pPr>
              <w:jc w:val="center"/>
              <w:rPr>
                <w:rFonts w:hint="eastAsia" w:ascii="宋体" w:hAnsi="宋体" w:eastAsia="宋体" w:cs="Times New Roman"/>
                <w:szCs w:val="21"/>
              </w:rPr>
            </w:pPr>
            <w:r>
              <w:rPr>
                <w:rFonts w:hint="eastAsia" w:ascii="宋体" w:hAnsi="宋体" w:eastAsia="宋体" w:cs="Times New Roman"/>
                <w:szCs w:val="21"/>
              </w:rPr>
              <w:t>目标2</w:t>
            </w:r>
          </w:p>
          <w:p w14:paraId="24D0F358">
            <w:pPr>
              <w:jc w:val="center"/>
              <w:rPr>
                <w:rFonts w:hint="eastAsia" w:ascii="宋体" w:hAnsi="宋体" w:eastAsia="宋体" w:cs="Times New Roman"/>
                <w:szCs w:val="21"/>
              </w:rPr>
            </w:pPr>
            <w:r>
              <w:rPr>
                <w:rFonts w:hint="eastAsia" w:ascii="宋体" w:hAnsi="宋体" w:eastAsia="宋体" w:cs="Times New Roman"/>
                <w:szCs w:val="21"/>
              </w:rPr>
              <w:t>目标3</w:t>
            </w:r>
          </w:p>
          <w:p w14:paraId="7F143EE5">
            <w:pPr>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46BDE5C8">
            <w:pPr>
              <w:jc w:val="center"/>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学生能够从总体上理解和把握什么是马克思主义，；</w:t>
            </w:r>
          </w:p>
          <w:p w14:paraId="7E24F69B">
            <w:pPr>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了解马克思主义产生的历史过程和发展阶段；</w:t>
            </w:r>
          </w:p>
          <w:p w14:paraId="6B15870D">
            <w:pPr>
              <w:jc w:val="center"/>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掌握马克思主义的鲜明特征；</w:t>
            </w:r>
          </w:p>
          <w:p w14:paraId="33EAE98C">
            <w:pPr>
              <w:jc w:val="center"/>
              <w:rPr>
                <w:rFonts w:hint="eastAsia" w:ascii="宋体" w:hAnsi="宋体" w:eastAsia="宋体" w:cs="Times New Roman"/>
                <w:szCs w:val="21"/>
              </w:rPr>
            </w:pPr>
            <w:r>
              <w:rPr>
                <w:rFonts w:hint="eastAsia" w:ascii="宋体" w:hAnsi="宋体" w:eastAsia="宋体" w:cs="Times New Roman"/>
                <w:szCs w:val="21"/>
              </w:rPr>
              <w:t>4.认识马克思主义的当代价值；</w:t>
            </w:r>
          </w:p>
          <w:p w14:paraId="560E6205">
            <w:pPr>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w:t>
            </w:r>
            <w:r>
              <w:rPr>
                <w:rFonts w:hint="eastAsia" w:ascii="宋体" w:hAnsi="宋体" w:eastAsia="宋体" w:cs="Times New Roman"/>
                <w:szCs w:val="21"/>
              </w:rPr>
              <w:t>理解为什么要学习马克思主义，掌握学习、运用科学理论的原则和方法。</w:t>
            </w:r>
          </w:p>
        </w:tc>
        <w:tc>
          <w:tcPr>
            <w:tcW w:w="1342" w:type="dxa"/>
            <w:vAlign w:val="center"/>
          </w:tcPr>
          <w:p w14:paraId="00D34292">
            <w:pPr>
              <w:jc w:val="center"/>
              <w:rPr>
                <w:rFonts w:hint="eastAsia" w:ascii="宋体" w:hAnsi="宋体" w:eastAsia="宋体" w:cs="Times New Roman"/>
                <w:szCs w:val="21"/>
              </w:rPr>
            </w:pPr>
            <w:r>
              <w:rPr>
                <w:rFonts w:hint="eastAsia" w:ascii="宋体" w:hAnsi="宋体" w:eastAsia="宋体" w:cs="Times New Roman"/>
                <w:szCs w:val="21"/>
              </w:rPr>
              <w:t>1.线上学习</w:t>
            </w:r>
          </w:p>
          <w:p w14:paraId="43AD8BF8">
            <w:pPr>
              <w:jc w:val="center"/>
              <w:rPr>
                <w:rFonts w:hint="eastAsia" w:ascii="宋体" w:hAnsi="宋体" w:eastAsia="宋体" w:cs="Times New Roman"/>
                <w:szCs w:val="21"/>
              </w:rPr>
            </w:pPr>
            <w:r>
              <w:rPr>
                <w:rFonts w:hint="eastAsia" w:ascii="宋体" w:hAnsi="宋体" w:eastAsia="宋体" w:cs="Times New Roman"/>
                <w:szCs w:val="21"/>
              </w:rPr>
              <w:t>2.课堂教学</w:t>
            </w:r>
          </w:p>
          <w:p w14:paraId="73DF7405">
            <w:pPr>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5E72E1B2">
            <w:pPr>
              <w:jc w:val="center"/>
              <w:rPr>
                <w:rFonts w:hint="eastAsia" w:ascii="宋体" w:hAnsi="宋体" w:eastAsia="宋体" w:cs="Times New Roman"/>
                <w:szCs w:val="21"/>
              </w:rPr>
            </w:pPr>
            <w:r>
              <w:rPr>
                <w:rFonts w:hint="eastAsia" w:ascii="宋体" w:hAnsi="宋体" w:eastAsia="宋体" w:cs="Times New Roman"/>
                <w:szCs w:val="21"/>
              </w:rPr>
              <w:t>3</w:t>
            </w:r>
          </w:p>
        </w:tc>
      </w:tr>
      <w:tr w14:paraId="21E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E957331">
            <w:pPr>
              <w:jc w:val="center"/>
              <w:rPr>
                <w:rFonts w:hint="eastAsia" w:ascii="宋体" w:hAnsi="宋体" w:eastAsia="宋体" w:cs="Times New Roman"/>
                <w:szCs w:val="21"/>
              </w:rPr>
            </w:pPr>
            <w:r>
              <w:rPr>
                <w:rFonts w:hint="eastAsia" w:ascii="宋体" w:hAnsi="宋体" w:eastAsia="宋体" w:cs="Times New Roman"/>
                <w:szCs w:val="21"/>
              </w:rPr>
              <w:t>2.世界的</w:t>
            </w:r>
          </w:p>
          <w:p w14:paraId="3670E190">
            <w:pPr>
              <w:jc w:val="center"/>
              <w:rPr>
                <w:rFonts w:hint="eastAsia" w:ascii="宋体" w:hAnsi="宋体" w:eastAsia="宋体" w:cs="Times New Roman"/>
                <w:szCs w:val="21"/>
              </w:rPr>
            </w:pPr>
            <w:r>
              <w:rPr>
                <w:rFonts w:hint="eastAsia" w:ascii="宋体" w:hAnsi="宋体" w:eastAsia="宋体" w:cs="Times New Roman"/>
                <w:szCs w:val="21"/>
              </w:rPr>
              <w:t>物质性及</w:t>
            </w:r>
          </w:p>
          <w:p w14:paraId="238A2516">
            <w:pPr>
              <w:jc w:val="center"/>
              <w:rPr>
                <w:rFonts w:hint="eastAsia" w:ascii="宋体" w:hAnsi="宋体" w:eastAsia="宋体" w:cs="Times New Roman"/>
                <w:szCs w:val="21"/>
              </w:rPr>
            </w:pPr>
            <w:r>
              <w:rPr>
                <w:rFonts w:hint="eastAsia" w:ascii="宋体" w:hAnsi="宋体" w:eastAsia="宋体" w:cs="Times New Roman"/>
                <w:szCs w:val="21"/>
              </w:rPr>
              <w:t>发展规律</w:t>
            </w:r>
          </w:p>
        </w:tc>
        <w:tc>
          <w:tcPr>
            <w:tcW w:w="1635" w:type="dxa"/>
            <w:vAlign w:val="center"/>
          </w:tcPr>
          <w:p w14:paraId="05BD7352">
            <w:pPr>
              <w:jc w:val="center"/>
              <w:rPr>
                <w:rFonts w:hint="eastAsia" w:ascii="宋体" w:hAnsi="宋体" w:eastAsia="宋体" w:cs="Times New Roman"/>
                <w:szCs w:val="21"/>
              </w:rPr>
            </w:pPr>
            <w:r>
              <w:rPr>
                <w:rFonts w:hint="eastAsia" w:ascii="宋体" w:hAnsi="宋体" w:eastAsia="宋体" w:cs="Times New Roman"/>
                <w:szCs w:val="21"/>
              </w:rPr>
              <w:t>（1）世界多样性与物质统一性</w:t>
            </w:r>
          </w:p>
          <w:p w14:paraId="4FFDB85A">
            <w:pPr>
              <w:jc w:val="center"/>
              <w:rPr>
                <w:rFonts w:hint="eastAsia" w:ascii="宋体" w:hAnsi="宋体" w:eastAsia="宋体" w:cs="Times New Roman"/>
                <w:szCs w:val="21"/>
              </w:rPr>
            </w:pPr>
            <w:r>
              <w:rPr>
                <w:rFonts w:hint="eastAsia" w:ascii="宋体" w:hAnsi="宋体" w:eastAsia="宋体" w:cs="Times New Roman"/>
                <w:szCs w:val="21"/>
              </w:rPr>
              <w:t>（2）事物的普遍联系和变化发展</w:t>
            </w:r>
          </w:p>
          <w:p w14:paraId="53962AF0">
            <w:pPr>
              <w:jc w:val="center"/>
              <w:rPr>
                <w:rFonts w:hint="eastAsia" w:ascii="宋体" w:hAnsi="宋体" w:eastAsia="宋体" w:cs="Times New Roman"/>
                <w:szCs w:val="21"/>
              </w:rPr>
            </w:pPr>
            <w:r>
              <w:rPr>
                <w:rFonts w:hint="eastAsia" w:ascii="宋体" w:hAnsi="宋体" w:eastAsia="宋体" w:cs="Times New Roman"/>
                <w:szCs w:val="21"/>
              </w:rPr>
              <w:t>（3）唯物辩证法是认识世界和改造世界的根本方法</w:t>
            </w:r>
          </w:p>
        </w:tc>
        <w:tc>
          <w:tcPr>
            <w:tcW w:w="1134" w:type="dxa"/>
            <w:vAlign w:val="center"/>
          </w:tcPr>
          <w:p w14:paraId="42FA15A6">
            <w:pPr>
              <w:jc w:val="center"/>
              <w:rPr>
                <w:rFonts w:hint="eastAsia" w:ascii="宋体" w:hAnsi="宋体" w:eastAsia="宋体" w:cs="Times New Roman"/>
                <w:szCs w:val="21"/>
              </w:rPr>
            </w:pPr>
            <w:r>
              <w:rPr>
                <w:rFonts w:hint="eastAsia" w:ascii="宋体" w:hAnsi="宋体" w:eastAsia="宋体" w:cs="Times New Roman"/>
                <w:szCs w:val="21"/>
              </w:rPr>
              <w:t>目标2</w:t>
            </w:r>
          </w:p>
          <w:p w14:paraId="0F1D60B1">
            <w:pPr>
              <w:jc w:val="center"/>
              <w:rPr>
                <w:rFonts w:hint="eastAsia" w:ascii="宋体" w:hAnsi="宋体" w:eastAsia="宋体" w:cs="Times New Roman"/>
                <w:szCs w:val="21"/>
              </w:rPr>
            </w:pPr>
            <w:r>
              <w:rPr>
                <w:rFonts w:hint="eastAsia" w:ascii="宋体" w:hAnsi="宋体" w:eastAsia="宋体" w:cs="Times New Roman"/>
                <w:szCs w:val="21"/>
              </w:rPr>
              <w:t>目标3</w:t>
            </w:r>
          </w:p>
          <w:p w14:paraId="7513228A">
            <w:pPr>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7A2109D5">
            <w:pPr>
              <w:jc w:val="center"/>
              <w:rPr>
                <w:rFonts w:hint="eastAsia" w:ascii="宋体" w:hAnsi="宋体" w:eastAsia="宋体" w:cs="Times New Roman"/>
                <w:szCs w:val="21"/>
              </w:rPr>
            </w:pPr>
            <w:r>
              <w:rPr>
                <w:rFonts w:hint="eastAsia" w:ascii="宋体" w:hAnsi="宋体" w:eastAsia="宋体" w:cs="Times New Roman"/>
                <w:szCs w:val="21"/>
              </w:rPr>
              <w:t>1.掌握辩证唯物主义基本原理，把握物质与意识的辩证关系以及世界的物质统一性；</w:t>
            </w:r>
          </w:p>
          <w:p w14:paraId="60831A67">
            <w:pPr>
              <w:jc w:val="center"/>
              <w:rPr>
                <w:rFonts w:hint="eastAsia" w:ascii="宋体" w:hAnsi="宋体" w:eastAsia="宋体" w:cs="Times New Roman"/>
                <w:szCs w:val="21"/>
              </w:rPr>
            </w:pPr>
            <w:r>
              <w:rPr>
                <w:rFonts w:hint="eastAsia" w:ascii="宋体" w:hAnsi="宋体" w:eastAsia="宋体" w:cs="Times New Roman"/>
                <w:szCs w:val="21"/>
              </w:rPr>
              <w:t>2.</w:t>
            </w:r>
            <w:r>
              <w:rPr>
                <w:rFonts w:hint="eastAsia" w:ascii="宋体" w:hAnsi="宋体" w:eastAsia="宋体"/>
              </w:rPr>
              <w:t>理解</w:t>
            </w:r>
            <w:r>
              <w:rPr>
                <w:rFonts w:hint="eastAsia" w:ascii="宋体" w:hAnsi="宋体" w:eastAsia="宋体" w:cs="Times New Roman"/>
                <w:szCs w:val="21"/>
              </w:rPr>
              <w:t>事</w:t>
            </w:r>
            <w:r>
              <w:rPr>
                <w:rFonts w:hint="eastAsia" w:ascii="宋体" w:hAnsi="宋体" w:eastAsia="宋体"/>
              </w:rPr>
              <w:t>物联系和发展</w:t>
            </w:r>
            <w:r>
              <w:rPr>
                <w:rFonts w:hint="eastAsia" w:ascii="宋体" w:hAnsi="宋体" w:eastAsia="宋体" w:cs="Times New Roman"/>
                <w:szCs w:val="21"/>
              </w:rPr>
              <w:t>的基本规律和基本环节；</w:t>
            </w:r>
          </w:p>
          <w:p w14:paraId="2098BC29">
            <w:pPr>
              <w:jc w:val="center"/>
              <w:rPr>
                <w:rFonts w:hint="eastAsia" w:ascii="宋体" w:hAnsi="宋体" w:eastAsia="宋体" w:cs="Times New Roman"/>
                <w:szCs w:val="21"/>
              </w:rPr>
            </w:pPr>
            <w:r>
              <w:rPr>
                <w:rFonts w:hint="eastAsia" w:ascii="宋体" w:hAnsi="宋体" w:eastAsia="宋体" w:cs="Times New Roman"/>
                <w:szCs w:val="21"/>
              </w:rPr>
              <w:t>3.坚持科学的世界观和方法论，运用唯物辩证法分析和解决问题，不断增强思维能力</w:t>
            </w:r>
            <w:r>
              <w:rPr>
                <w:rFonts w:ascii="宋体" w:hAnsi="宋体" w:eastAsia="宋体" w:cs="Times New Roman"/>
                <w:szCs w:val="21"/>
              </w:rPr>
              <w:t>。</w:t>
            </w:r>
          </w:p>
        </w:tc>
        <w:tc>
          <w:tcPr>
            <w:tcW w:w="1342" w:type="dxa"/>
            <w:vAlign w:val="center"/>
          </w:tcPr>
          <w:p w14:paraId="1E772319">
            <w:pPr>
              <w:jc w:val="center"/>
              <w:rPr>
                <w:rFonts w:hint="eastAsia" w:ascii="宋体" w:hAnsi="宋体" w:eastAsia="宋体" w:cs="Times New Roman"/>
                <w:szCs w:val="21"/>
              </w:rPr>
            </w:pPr>
            <w:r>
              <w:rPr>
                <w:rFonts w:hint="eastAsia" w:ascii="宋体" w:hAnsi="宋体" w:eastAsia="宋体" w:cs="Times New Roman"/>
                <w:szCs w:val="21"/>
              </w:rPr>
              <w:t>1.线上学习</w:t>
            </w:r>
          </w:p>
          <w:p w14:paraId="5B8A4461">
            <w:pPr>
              <w:jc w:val="center"/>
              <w:rPr>
                <w:rFonts w:hint="eastAsia" w:ascii="宋体" w:hAnsi="宋体" w:eastAsia="宋体" w:cs="Times New Roman"/>
                <w:szCs w:val="21"/>
              </w:rPr>
            </w:pPr>
            <w:r>
              <w:rPr>
                <w:rFonts w:hint="eastAsia" w:ascii="宋体" w:hAnsi="宋体" w:eastAsia="宋体" w:cs="Times New Roman"/>
                <w:szCs w:val="21"/>
              </w:rPr>
              <w:t>2.课堂教学</w:t>
            </w:r>
          </w:p>
          <w:p w14:paraId="626E3652">
            <w:pPr>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3926D602">
            <w:pPr>
              <w:jc w:val="center"/>
              <w:rPr>
                <w:rFonts w:hint="eastAsia" w:ascii="宋体" w:hAnsi="宋体" w:eastAsia="宋体" w:cs="Times New Roman"/>
                <w:szCs w:val="21"/>
              </w:rPr>
            </w:pPr>
            <w:r>
              <w:rPr>
                <w:rFonts w:hint="eastAsia" w:ascii="宋体" w:hAnsi="宋体" w:eastAsia="宋体" w:cs="Times New Roman"/>
                <w:szCs w:val="21"/>
              </w:rPr>
              <w:t>9</w:t>
            </w:r>
          </w:p>
        </w:tc>
      </w:tr>
      <w:tr w14:paraId="0B9F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925F38C">
            <w:pPr>
              <w:jc w:val="center"/>
              <w:rPr>
                <w:rFonts w:hint="eastAsia" w:ascii="宋体" w:hAnsi="宋体" w:eastAsia="宋体" w:cs="Times New Roman"/>
                <w:szCs w:val="21"/>
              </w:rPr>
            </w:pPr>
            <w:r>
              <w:rPr>
                <w:rFonts w:hint="eastAsia" w:ascii="宋体" w:hAnsi="宋体" w:eastAsia="宋体" w:cs="Times New Roman"/>
                <w:szCs w:val="21"/>
              </w:rPr>
              <w:t>3.实践与认识</w:t>
            </w:r>
          </w:p>
          <w:p w14:paraId="5FFD02E5">
            <w:pPr>
              <w:jc w:val="center"/>
              <w:rPr>
                <w:rFonts w:hint="eastAsia" w:ascii="宋体" w:hAnsi="宋体" w:eastAsia="宋体" w:cs="Times New Roman"/>
                <w:szCs w:val="21"/>
              </w:rPr>
            </w:pPr>
            <w:r>
              <w:rPr>
                <w:rFonts w:hint="eastAsia" w:ascii="宋体" w:hAnsi="宋体" w:eastAsia="宋体" w:cs="Times New Roman"/>
                <w:szCs w:val="21"/>
              </w:rPr>
              <w:t>及其发展规律</w:t>
            </w:r>
          </w:p>
        </w:tc>
        <w:tc>
          <w:tcPr>
            <w:tcW w:w="1635" w:type="dxa"/>
            <w:vAlign w:val="center"/>
          </w:tcPr>
          <w:p w14:paraId="0864FE82">
            <w:pPr>
              <w:jc w:val="center"/>
              <w:rPr>
                <w:rFonts w:hint="eastAsia" w:ascii="宋体" w:hAnsi="宋体" w:eastAsia="宋体" w:cs="Times New Roman"/>
                <w:szCs w:val="21"/>
              </w:rPr>
            </w:pPr>
            <w:r>
              <w:rPr>
                <w:rFonts w:hint="eastAsia" w:ascii="宋体" w:hAnsi="宋体" w:eastAsia="宋体" w:cs="Times New Roman"/>
                <w:szCs w:val="21"/>
              </w:rPr>
              <w:t>（1）实践与认识</w:t>
            </w:r>
          </w:p>
          <w:p w14:paraId="2584899C">
            <w:pPr>
              <w:jc w:val="center"/>
              <w:rPr>
                <w:rFonts w:hint="eastAsia" w:ascii="宋体" w:hAnsi="宋体" w:eastAsia="宋体" w:cs="Times New Roman"/>
                <w:szCs w:val="21"/>
              </w:rPr>
            </w:pPr>
            <w:r>
              <w:rPr>
                <w:rFonts w:hint="eastAsia" w:ascii="宋体" w:hAnsi="宋体" w:eastAsia="宋体" w:cs="Times New Roman"/>
                <w:szCs w:val="21"/>
              </w:rPr>
              <w:t>（2）真理与价值</w:t>
            </w:r>
          </w:p>
          <w:p w14:paraId="689FEAFA">
            <w:pPr>
              <w:jc w:val="center"/>
              <w:rPr>
                <w:rFonts w:hint="eastAsia" w:ascii="宋体" w:hAnsi="宋体" w:eastAsia="宋体" w:cs="Times New Roman"/>
                <w:szCs w:val="21"/>
              </w:rPr>
            </w:pPr>
            <w:r>
              <w:rPr>
                <w:rFonts w:hint="eastAsia" w:ascii="宋体" w:hAnsi="宋体" w:eastAsia="宋体" w:cs="Times New Roman"/>
                <w:szCs w:val="21"/>
              </w:rPr>
              <w:t>（3）认识世界和改造世界</w:t>
            </w:r>
          </w:p>
        </w:tc>
        <w:tc>
          <w:tcPr>
            <w:tcW w:w="1134" w:type="dxa"/>
            <w:vAlign w:val="center"/>
          </w:tcPr>
          <w:p w14:paraId="5A0679B2">
            <w:pPr>
              <w:jc w:val="center"/>
              <w:rPr>
                <w:rFonts w:hint="eastAsia" w:ascii="宋体" w:hAnsi="宋体" w:eastAsia="宋体" w:cs="Times New Roman"/>
                <w:szCs w:val="21"/>
              </w:rPr>
            </w:pPr>
            <w:r>
              <w:rPr>
                <w:rFonts w:hint="eastAsia" w:ascii="宋体" w:hAnsi="宋体" w:eastAsia="宋体" w:cs="Times New Roman"/>
                <w:szCs w:val="21"/>
              </w:rPr>
              <w:t>目标3</w:t>
            </w:r>
          </w:p>
          <w:p w14:paraId="45778BB0">
            <w:pPr>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1636B99B">
            <w:pPr>
              <w:jc w:val="center"/>
              <w:rPr>
                <w:rFonts w:hint="eastAsia" w:ascii="宋体" w:hAnsi="宋体" w:eastAsia="宋体" w:cs="Times New Roman"/>
                <w:szCs w:val="21"/>
              </w:rPr>
            </w:pPr>
            <w:r>
              <w:rPr>
                <w:rFonts w:hint="eastAsia" w:ascii="宋体" w:hAnsi="宋体" w:eastAsia="宋体" w:cs="Times New Roman"/>
                <w:szCs w:val="21"/>
              </w:rPr>
              <w:t>1.了解马克思主义的实践观、认识论和价值论的基本观点；</w:t>
            </w:r>
          </w:p>
          <w:p w14:paraId="4C7B1A8B">
            <w:pPr>
              <w:jc w:val="center"/>
              <w:rPr>
                <w:rFonts w:hint="eastAsia" w:ascii="宋体" w:hAnsi="宋体" w:eastAsia="宋体" w:cs="Times New Roman"/>
                <w:szCs w:val="21"/>
              </w:rPr>
            </w:pPr>
            <w:r>
              <w:rPr>
                <w:rFonts w:hint="eastAsia" w:ascii="宋体" w:hAnsi="宋体" w:eastAsia="宋体" w:cs="Times New Roman"/>
                <w:szCs w:val="21"/>
              </w:rPr>
              <w:t>2.掌握实践、认识、真理、价值的本质及其相互关系，树立实践第一的观点，树立正确的价值观；</w:t>
            </w:r>
          </w:p>
          <w:p w14:paraId="29B618EB">
            <w:pPr>
              <w:jc w:val="center"/>
              <w:rPr>
                <w:rFonts w:hint="eastAsia" w:ascii="宋体" w:hAnsi="宋体" w:eastAsia="宋体" w:cs="Times New Roman"/>
                <w:szCs w:val="21"/>
              </w:rPr>
            </w:pPr>
            <w:r>
              <w:rPr>
                <w:rFonts w:hint="eastAsia" w:ascii="宋体" w:hAnsi="宋体" w:eastAsia="宋体" w:cs="Times New Roman"/>
                <w:szCs w:val="21"/>
              </w:rPr>
              <w:t>3.</w:t>
            </w:r>
            <w:r>
              <w:rPr>
                <w:rFonts w:hint="eastAsia" w:ascii="宋体" w:hAnsi="宋体" w:eastAsia="宋体"/>
              </w:rPr>
              <w:t>理解如何</w:t>
            </w:r>
            <w:r>
              <w:rPr>
                <w:rFonts w:hint="eastAsia" w:ascii="宋体" w:hAnsi="宋体" w:eastAsia="宋体" w:cs="Times New Roman"/>
                <w:szCs w:val="21"/>
              </w:rPr>
              <w:t>在改造客观世界的同时改造主观世界，努力实现理论创新和实践创新的良性互动</w:t>
            </w:r>
            <w:r>
              <w:rPr>
                <w:rFonts w:ascii="宋体" w:hAnsi="宋体" w:eastAsia="宋体" w:cs="Times New Roman"/>
                <w:szCs w:val="21"/>
              </w:rPr>
              <w:t>。</w:t>
            </w:r>
          </w:p>
        </w:tc>
        <w:tc>
          <w:tcPr>
            <w:tcW w:w="1342" w:type="dxa"/>
            <w:vAlign w:val="center"/>
          </w:tcPr>
          <w:p w14:paraId="49E6C1B8">
            <w:pPr>
              <w:jc w:val="center"/>
              <w:rPr>
                <w:rFonts w:hint="eastAsia" w:ascii="宋体" w:hAnsi="宋体" w:eastAsia="宋体" w:cs="Times New Roman"/>
                <w:szCs w:val="21"/>
              </w:rPr>
            </w:pPr>
            <w:r>
              <w:rPr>
                <w:rFonts w:hint="eastAsia" w:ascii="宋体" w:hAnsi="宋体" w:eastAsia="宋体" w:cs="Times New Roman"/>
                <w:szCs w:val="21"/>
              </w:rPr>
              <w:t>1.线上学习</w:t>
            </w:r>
          </w:p>
          <w:p w14:paraId="34A27B39">
            <w:pPr>
              <w:jc w:val="center"/>
              <w:rPr>
                <w:rFonts w:hint="eastAsia" w:ascii="宋体" w:hAnsi="宋体" w:eastAsia="宋体" w:cs="Times New Roman"/>
                <w:szCs w:val="21"/>
              </w:rPr>
            </w:pPr>
            <w:r>
              <w:rPr>
                <w:rFonts w:hint="eastAsia" w:ascii="宋体" w:hAnsi="宋体" w:eastAsia="宋体" w:cs="Times New Roman"/>
                <w:szCs w:val="21"/>
              </w:rPr>
              <w:t>2.课堂教学</w:t>
            </w:r>
          </w:p>
          <w:p w14:paraId="585E0934">
            <w:pPr>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2A940561">
            <w:pPr>
              <w:jc w:val="center"/>
              <w:rPr>
                <w:rFonts w:hint="eastAsia" w:ascii="宋体" w:hAnsi="宋体" w:eastAsia="宋体" w:cs="Times New Roman"/>
                <w:szCs w:val="21"/>
              </w:rPr>
            </w:pPr>
            <w:r>
              <w:rPr>
                <w:rFonts w:hint="eastAsia" w:ascii="宋体" w:hAnsi="宋体" w:eastAsia="宋体" w:cs="Times New Roman"/>
                <w:szCs w:val="21"/>
              </w:rPr>
              <w:t>6</w:t>
            </w:r>
          </w:p>
        </w:tc>
      </w:tr>
      <w:tr w14:paraId="30DE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7489C15A">
            <w:pPr>
              <w:jc w:val="center"/>
              <w:rPr>
                <w:rFonts w:hint="eastAsia" w:ascii="宋体" w:hAnsi="宋体" w:eastAsia="宋体" w:cs="Times New Roman"/>
                <w:szCs w:val="21"/>
              </w:rPr>
            </w:pPr>
            <w:r>
              <w:rPr>
                <w:rFonts w:hint="eastAsia" w:ascii="宋体" w:hAnsi="宋体" w:eastAsia="宋体" w:cs="Times New Roman"/>
                <w:szCs w:val="21"/>
              </w:rPr>
              <w:t>4.人类社会及其发展规律</w:t>
            </w:r>
          </w:p>
        </w:tc>
        <w:tc>
          <w:tcPr>
            <w:tcW w:w="1635" w:type="dxa"/>
            <w:vAlign w:val="center"/>
          </w:tcPr>
          <w:p w14:paraId="63CB7F12">
            <w:pPr>
              <w:jc w:val="center"/>
              <w:rPr>
                <w:rFonts w:hint="eastAsia" w:ascii="宋体" w:hAnsi="宋体" w:eastAsia="宋体" w:cs="Times New Roman"/>
                <w:szCs w:val="21"/>
              </w:rPr>
            </w:pPr>
            <w:r>
              <w:rPr>
                <w:rFonts w:hint="eastAsia" w:ascii="宋体" w:hAnsi="宋体" w:eastAsia="宋体" w:cs="Times New Roman"/>
                <w:szCs w:val="21"/>
              </w:rPr>
              <w:t>（1）人类社会的存在与发展（2）社会历史发展的动力</w:t>
            </w:r>
          </w:p>
          <w:p w14:paraId="10D6CC9A">
            <w:pPr>
              <w:jc w:val="center"/>
              <w:rPr>
                <w:rFonts w:hint="eastAsia" w:ascii="宋体" w:hAnsi="宋体" w:eastAsia="宋体" w:cs="Times New Roman"/>
                <w:szCs w:val="21"/>
              </w:rPr>
            </w:pPr>
            <w:r>
              <w:rPr>
                <w:rFonts w:hint="eastAsia" w:ascii="宋体" w:hAnsi="宋体" w:eastAsia="宋体" w:cs="Times New Roman"/>
                <w:szCs w:val="21"/>
              </w:rPr>
              <w:t>（3）人民群众在历史发展中的作用</w:t>
            </w:r>
          </w:p>
        </w:tc>
        <w:tc>
          <w:tcPr>
            <w:tcW w:w="1134" w:type="dxa"/>
            <w:vAlign w:val="center"/>
          </w:tcPr>
          <w:p w14:paraId="1B73FB7A">
            <w:pPr>
              <w:jc w:val="center"/>
              <w:rPr>
                <w:rFonts w:hint="eastAsia" w:ascii="宋体" w:hAnsi="宋体" w:eastAsia="宋体" w:cs="Times New Roman"/>
                <w:szCs w:val="21"/>
              </w:rPr>
            </w:pPr>
            <w:r>
              <w:rPr>
                <w:rFonts w:hint="eastAsia" w:ascii="宋体" w:hAnsi="宋体" w:eastAsia="宋体" w:cs="Times New Roman"/>
                <w:szCs w:val="21"/>
              </w:rPr>
              <w:t>目标1</w:t>
            </w:r>
          </w:p>
          <w:p w14:paraId="4B832E64">
            <w:pPr>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02979F94">
            <w:pPr>
              <w:jc w:val="center"/>
              <w:rPr>
                <w:rFonts w:hint="eastAsia" w:ascii="宋体" w:hAnsi="宋体" w:eastAsia="宋体" w:cs="Times New Roman"/>
                <w:szCs w:val="21"/>
              </w:rPr>
            </w:pPr>
            <w:r>
              <w:rPr>
                <w:rFonts w:hint="eastAsia" w:ascii="宋体" w:hAnsi="宋体" w:eastAsia="宋体" w:cs="Times New Roman"/>
                <w:szCs w:val="21"/>
              </w:rPr>
              <w:t>1.学习和把握历史唯物主义的基本原理，着重了解社会存在与社会意识的辩证关系；</w:t>
            </w:r>
          </w:p>
          <w:p w14:paraId="0DD19DCD">
            <w:pPr>
              <w:jc w:val="center"/>
              <w:rPr>
                <w:rFonts w:hint="eastAsia" w:ascii="宋体" w:hAnsi="宋体" w:eastAsia="宋体" w:cs="Times New Roman"/>
                <w:szCs w:val="21"/>
              </w:rPr>
            </w:pPr>
            <w:r>
              <w:rPr>
                <w:rFonts w:hint="eastAsia" w:ascii="宋体" w:hAnsi="宋体" w:eastAsia="宋体" w:cs="Times New Roman"/>
                <w:szCs w:val="21"/>
              </w:rPr>
              <w:t>2.</w:t>
            </w:r>
            <w:r>
              <w:rPr>
                <w:rFonts w:hint="eastAsia" w:ascii="宋体" w:hAnsi="宋体" w:eastAsia="宋体"/>
              </w:rPr>
              <w:t>理解</w:t>
            </w:r>
            <w:r>
              <w:rPr>
                <w:rFonts w:hint="eastAsia" w:ascii="宋体" w:hAnsi="宋体" w:eastAsia="宋体" w:cs="Times New Roman"/>
                <w:szCs w:val="21"/>
              </w:rPr>
              <w:t>社会基本矛盾及其运动规律、社会发展的动力以及人民群众和个人在社会历史中的作用；</w:t>
            </w:r>
          </w:p>
          <w:p w14:paraId="3D9F7B52">
            <w:pPr>
              <w:jc w:val="center"/>
              <w:rPr>
                <w:rFonts w:hint="eastAsia" w:ascii="宋体" w:hAnsi="宋体" w:eastAsia="宋体" w:cs="Times New Roman"/>
                <w:szCs w:val="21"/>
              </w:rPr>
            </w:pPr>
            <w:r>
              <w:rPr>
                <w:rFonts w:hint="eastAsia" w:ascii="宋体" w:hAnsi="宋体" w:eastAsia="宋体" w:cs="Times New Roman"/>
                <w:szCs w:val="21"/>
              </w:rPr>
              <w:t>3.提高运用历史唯物主义正确认识历史和现实、正确认识社会发展规律的自觉性和能力。</w:t>
            </w:r>
          </w:p>
        </w:tc>
        <w:tc>
          <w:tcPr>
            <w:tcW w:w="1342" w:type="dxa"/>
            <w:vAlign w:val="center"/>
          </w:tcPr>
          <w:p w14:paraId="2A4ACBF6">
            <w:pPr>
              <w:jc w:val="center"/>
              <w:rPr>
                <w:rFonts w:hint="eastAsia" w:ascii="宋体" w:hAnsi="宋体" w:eastAsia="宋体" w:cs="Times New Roman"/>
                <w:szCs w:val="21"/>
              </w:rPr>
            </w:pPr>
            <w:r>
              <w:rPr>
                <w:rFonts w:hint="eastAsia" w:ascii="宋体" w:hAnsi="宋体" w:eastAsia="宋体" w:cs="Times New Roman"/>
                <w:szCs w:val="21"/>
              </w:rPr>
              <w:t>1.线上学习</w:t>
            </w:r>
          </w:p>
          <w:p w14:paraId="127F67AC">
            <w:pPr>
              <w:jc w:val="center"/>
              <w:rPr>
                <w:rFonts w:hint="eastAsia" w:ascii="宋体" w:hAnsi="宋体" w:eastAsia="宋体" w:cs="Times New Roman"/>
                <w:szCs w:val="21"/>
              </w:rPr>
            </w:pPr>
            <w:r>
              <w:rPr>
                <w:rFonts w:hint="eastAsia" w:ascii="宋体" w:hAnsi="宋体" w:eastAsia="宋体" w:cs="Times New Roman"/>
                <w:szCs w:val="21"/>
              </w:rPr>
              <w:t>2.课堂教学</w:t>
            </w:r>
          </w:p>
          <w:p w14:paraId="3CB8FA04">
            <w:pPr>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1F5C3EB3">
            <w:pPr>
              <w:jc w:val="center"/>
              <w:rPr>
                <w:rFonts w:hint="eastAsia" w:ascii="宋体" w:hAnsi="宋体" w:eastAsia="宋体" w:cs="Times New Roman"/>
                <w:szCs w:val="21"/>
              </w:rPr>
            </w:pPr>
            <w:r>
              <w:rPr>
                <w:rFonts w:hint="eastAsia" w:ascii="宋体" w:hAnsi="宋体" w:eastAsia="宋体" w:cs="Times New Roman"/>
                <w:szCs w:val="21"/>
              </w:rPr>
              <w:t>6</w:t>
            </w:r>
          </w:p>
        </w:tc>
      </w:tr>
      <w:tr w14:paraId="198B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562FED62">
            <w:pPr>
              <w:jc w:val="center"/>
              <w:rPr>
                <w:rFonts w:hint="eastAsia" w:ascii="宋体" w:hAnsi="宋体" w:eastAsia="宋体" w:cs="Times New Roman"/>
                <w:szCs w:val="21"/>
              </w:rPr>
            </w:pPr>
            <w:r>
              <w:rPr>
                <w:rFonts w:hint="eastAsia" w:ascii="宋体" w:hAnsi="宋体" w:eastAsia="宋体" w:cs="Times New Roman"/>
                <w:szCs w:val="21"/>
              </w:rPr>
              <w:t>5.资本主义的本质及规律</w:t>
            </w:r>
          </w:p>
        </w:tc>
        <w:tc>
          <w:tcPr>
            <w:tcW w:w="1635" w:type="dxa"/>
            <w:vAlign w:val="center"/>
          </w:tcPr>
          <w:p w14:paraId="07B29C3A">
            <w:pPr>
              <w:jc w:val="center"/>
              <w:rPr>
                <w:rFonts w:hint="eastAsia" w:ascii="宋体" w:hAnsi="宋体" w:eastAsia="宋体" w:cs="Times New Roman"/>
                <w:szCs w:val="21"/>
              </w:rPr>
            </w:pPr>
            <w:r>
              <w:rPr>
                <w:rFonts w:hint="eastAsia" w:ascii="宋体" w:hAnsi="宋体" w:eastAsia="宋体" w:cs="Times New Roman"/>
                <w:szCs w:val="21"/>
              </w:rPr>
              <w:t>（1）商品经济和价值规律（2）资本主义经济制度的本质</w:t>
            </w:r>
          </w:p>
          <w:p w14:paraId="6A200574">
            <w:pPr>
              <w:jc w:val="center"/>
              <w:rPr>
                <w:rFonts w:hint="eastAsia" w:ascii="宋体" w:hAnsi="宋体" w:eastAsia="宋体" w:cs="Times New Roman"/>
                <w:szCs w:val="21"/>
              </w:rPr>
            </w:pPr>
            <w:r>
              <w:rPr>
                <w:rFonts w:hint="eastAsia" w:ascii="宋体" w:hAnsi="宋体" w:eastAsia="宋体" w:cs="Times New Roman"/>
                <w:szCs w:val="21"/>
              </w:rPr>
              <w:t>（3）资本主义政治制度和意识形态</w:t>
            </w:r>
          </w:p>
        </w:tc>
        <w:tc>
          <w:tcPr>
            <w:tcW w:w="1134" w:type="dxa"/>
            <w:vAlign w:val="center"/>
          </w:tcPr>
          <w:p w14:paraId="697E2FAB">
            <w:pPr>
              <w:jc w:val="center"/>
              <w:rPr>
                <w:rFonts w:hint="eastAsia" w:ascii="宋体" w:hAnsi="宋体" w:eastAsia="宋体" w:cs="Times New Roman"/>
                <w:szCs w:val="21"/>
              </w:rPr>
            </w:pPr>
            <w:r>
              <w:rPr>
                <w:rFonts w:hint="eastAsia" w:ascii="宋体" w:hAnsi="宋体" w:eastAsia="宋体" w:cs="Times New Roman"/>
                <w:szCs w:val="21"/>
              </w:rPr>
              <w:t>目标1</w:t>
            </w:r>
          </w:p>
        </w:tc>
        <w:tc>
          <w:tcPr>
            <w:tcW w:w="3260" w:type="dxa"/>
            <w:vAlign w:val="center"/>
          </w:tcPr>
          <w:p w14:paraId="28F7AEFB">
            <w:pPr>
              <w:jc w:val="center"/>
              <w:rPr>
                <w:rFonts w:hint="eastAsia" w:ascii="宋体" w:hAnsi="宋体" w:eastAsia="宋体" w:cs="Times New Roman"/>
                <w:szCs w:val="21"/>
              </w:rPr>
            </w:pPr>
            <w:r>
              <w:rPr>
                <w:rFonts w:hint="eastAsia" w:ascii="宋体" w:hAnsi="宋体" w:eastAsia="宋体" w:cs="Times New Roman"/>
                <w:szCs w:val="21"/>
              </w:rPr>
              <w:t>1.运用马克思主义的立场观点方法，准确认识资本主义生产方式的基本矛盾；</w:t>
            </w:r>
          </w:p>
          <w:p w14:paraId="41009053">
            <w:pPr>
              <w:jc w:val="center"/>
              <w:rPr>
                <w:rFonts w:hint="eastAsia" w:ascii="宋体" w:hAnsi="宋体" w:eastAsia="宋体" w:cs="Times New Roman"/>
                <w:szCs w:val="21"/>
              </w:rPr>
            </w:pPr>
            <w:r>
              <w:rPr>
                <w:rFonts w:hint="eastAsia" w:ascii="宋体" w:hAnsi="宋体" w:eastAsia="宋体" w:cs="Times New Roman"/>
                <w:szCs w:val="21"/>
              </w:rPr>
              <w:t>2.深刻理解资本主义经济制度的本质，正确把握社会化大生产和商品经济运动的一般规律；</w:t>
            </w:r>
          </w:p>
          <w:p w14:paraId="4DADA262">
            <w:pPr>
              <w:jc w:val="center"/>
              <w:rPr>
                <w:rFonts w:hint="eastAsia" w:ascii="宋体" w:hAnsi="宋体" w:eastAsia="宋体" w:cs="Times New Roman"/>
                <w:szCs w:val="21"/>
              </w:rPr>
            </w:pPr>
            <w:r>
              <w:rPr>
                <w:rFonts w:hint="eastAsia" w:ascii="宋体" w:hAnsi="宋体" w:eastAsia="宋体" w:cs="Times New Roman"/>
                <w:szCs w:val="21"/>
              </w:rPr>
              <w:t>3.正确认识和把握资本主义政治制度、意识形态及其本质。</w:t>
            </w:r>
          </w:p>
        </w:tc>
        <w:tc>
          <w:tcPr>
            <w:tcW w:w="1342" w:type="dxa"/>
            <w:vAlign w:val="center"/>
          </w:tcPr>
          <w:p w14:paraId="193B6877">
            <w:pPr>
              <w:jc w:val="center"/>
              <w:rPr>
                <w:rFonts w:hint="eastAsia" w:ascii="宋体" w:hAnsi="宋体" w:eastAsia="宋体" w:cs="Times New Roman"/>
                <w:szCs w:val="21"/>
              </w:rPr>
            </w:pPr>
            <w:r>
              <w:rPr>
                <w:rFonts w:hint="eastAsia" w:ascii="宋体" w:hAnsi="宋体" w:eastAsia="宋体" w:cs="Times New Roman"/>
                <w:szCs w:val="21"/>
              </w:rPr>
              <w:t>1.线上学习</w:t>
            </w:r>
          </w:p>
          <w:p w14:paraId="17234F10">
            <w:pPr>
              <w:jc w:val="center"/>
              <w:rPr>
                <w:rFonts w:hint="eastAsia" w:ascii="宋体" w:hAnsi="宋体" w:eastAsia="宋体" w:cs="Times New Roman"/>
                <w:szCs w:val="21"/>
              </w:rPr>
            </w:pPr>
            <w:r>
              <w:rPr>
                <w:rFonts w:hint="eastAsia" w:ascii="宋体" w:hAnsi="宋体" w:eastAsia="宋体" w:cs="Times New Roman"/>
                <w:szCs w:val="21"/>
              </w:rPr>
              <w:t>2.课堂教学</w:t>
            </w:r>
          </w:p>
          <w:p w14:paraId="409CC445">
            <w:pPr>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59227264">
            <w:pPr>
              <w:jc w:val="center"/>
              <w:rPr>
                <w:rFonts w:hint="eastAsia" w:ascii="宋体" w:hAnsi="宋体" w:eastAsia="宋体" w:cs="Times New Roman"/>
                <w:szCs w:val="21"/>
              </w:rPr>
            </w:pPr>
            <w:r>
              <w:rPr>
                <w:rFonts w:hint="eastAsia" w:ascii="宋体" w:hAnsi="宋体" w:eastAsia="宋体" w:cs="Times New Roman"/>
                <w:szCs w:val="21"/>
              </w:rPr>
              <w:t>6</w:t>
            </w:r>
          </w:p>
        </w:tc>
      </w:tr>
      <w:tr w14:paraId="58E3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0EF835A">
            <w:pPr>
              <w:jc w:val="center"/>
              <w:rPr>
                <w:rFonts w:hint="eastAsia" w:ascii="宋体" w:hAnsi="宋体" w:eastAsia="宋体" w:cs="Times New Roman"/>
                <w:szCs w:val="21"/>
              </w:rPr>
            </w:pPr>
            <w:r>
              <w:rPr>
                <w:rFonts w:hint="eastAsia" w:ascii="宋体" w:hAnsi="宋体" w:eastAsia="宋体" w:cs="Times New Roman"/>
                <w:szCs w:val="21"/>
              </w:rPr>
              <w:t>6.资本主义的发展及其趋势</w:t>
            </w:r>
          </w:p>
        </w:tc>
        <w:tc>
          <w:tcPr>
            <w:tcW w:w="1635" w:type="dxa"/>
            <w:vAlign w:val="center"/>
          </w:tcPr>
          <w:p w14:paraId="4F8ED8A1">
            <w:pPr>
              <w:jc w:val="center"/>
              <w:rPr>
                <w:rFonts w:hint="eastAsia" w:ascii="宋体" w:hAnsi="宋体" w:eastAsia="宋体" w:cs="Times New Roman"/>
                <w:szCs w:val="21"/>
              </w:rPr>
            </w:pPr>
            <w:r>
              <w:rPr>
                <w:rFonts w:hint="eastAsia" w:ascii="宋体" w:hAnsi="宋体" w:eastAsia="宋体" w:cs="Times New Roman"/>
                <w:szCs w:val="21"/>
              </w:rPr>
              <w:t>（1）垄断资本主义的形成与发展</w:t>
            </w:r>
          </w:p>
          <w:p w14:paraId="36197686">
            <w:pPr>
              <w:jc w:val="center"/>
              <w:rPr>
                <w:rFonts w:hint="eastAsia" w:ascii="宋体" w:hAnsi="宋体" w:eastAsia="宋体" w:cs="Times New Roman"/>
                <w:szCs w:val="21"/>
              </w:rPr>
            </w:pPr>
            <w:r>
              <w:rPr>
                <w:rFonts w:hint="eastAsia" w:ascii="宋体" w:hAnsi="宋体" w:eastAsia="宋体" w:cs="Times New Roman"/>
                <w:szCs w:val="21"/>
              </w:rPr>
              <w:t>（2）正确认识当代资本主义的新变化</w:t>
            </w:r>
          </w:p>
          <w:p w14:paraId="09E4CAF3">
            <w:pPr>
              <w:jc w:val="center"/>
              <w:rPr>
                <w:rFonts w:hint="eastAsia" w:ascii="宋体" w:hAnsi="宋体" w:eastAsia="宋体" w:cs="Times New Roman"/>
                <w:szCs w:val="21"/>
              </w:rPr>
            </w:pPr>
            <w:r>
              <w:rPr>
                <w:rFonts w:hint="eastAsia" w:ascii="宋体" w:hAnsi="宋体" w:eastAsia="宋体" w:cs="Times New Roman"/>
                <w:szCs w:val="21"/>
              </w:rPr>
              <w:t>（3）资本主义的历史地位和发展趋势</w:t>
            </w:r>
          </w:p>
        </w:tc>
        <w:tc>
          <w:tcPr>
            <w:tcW w:w="1134" w:type="dxa"/>
            <w:vAlign w:val="center"/>
          </w:tcPr>
          <w:p w14:paraId="294A7EB5">
            <w:pPr>
              <w:jc w:val="center"/>
              <w:rPr>
                <w:rFonts w:hint="eastAsia" w:ascii="宋体" w:hAnsi="宋体" w:eastAsia="宋体" w:cs="Times New Roman"/>
                <w:szCs w:val="21"/>
              </w:rPr>
            </w:pPr>
            <w:r>
              <w:rPr>
                <w:rFonts w:hint="eastAsia" w:ascii="宋体" w:hAnsi="宋体" w:eastAsia="宋体" w:cs="Times New Roman"/>
                <w:szCs w:val="21"/>
              </w:rPr>
              <w:t>目标2</w:t>
            </w:r>
          </w:p>
          <w:p w14:paraId="29EBA299">
            <w:pPr>
              <w:jc w:val="center"/>
              <w:rPr>
                <w:rFonts w:hint="eastAsia" w:ascii="宋体" w:hAnsi="宋体" w:eastAsia="宋体" w:cs="Times New Roman"/>
                <w:szCs w:val="21"/>
              </w:rPr>
            </w:pPr>
            <w:r>
              <w:rPr>
                <w:rFonts w:hint="eastAsia" w:ascii="宋体" w:hAnsi="宋体" w:eastAsia="宋体" w:cs="Times New Roman"/>
                <w:szCs w:val="21"/>
              </w:rPr>
              <w:t>目标4</w:t>
            </w:r>
          </w:p>
        </w:tc>
        <w:tc>
          <w:tcPr>
            <w:tcW w:w="3260" w:type="dxa"/>
            <w:vAlign w:val="center"/>
          </w:tcPr>
          <w:p w14:paraId="4FC98DF0">
            <w:pPr>
              <w:jc w:val="center"/>
              <w:rPr>
                <w:rFonts w:hint="eastAsia" w:ascii="宋体" w:hAnsi="宋体" w:eastAsia="宋体" w:cs="Times New Roman"/>
                <w:szCs w:val="21"/>
              </w:rPr>
            </w:pPr>
            <w:r>
              <w:rPr>
                <w:rFonts w:hint="eastAsia" w:ascii="宋体" w:hAnsi="宋体" w:eastAsia="宋体" w:cs="Times New Roman"/>
                <w:szCs w:val="21"/>
              </w:rPr>
              <w:t>1.了解资本主义从自由竞争发展到垄断的进程，科学认识国家垄断资本主义和经济全球化；</w:t>
            </w:r>
          </w:p>
          <w:p w14:paraId="02571F89">
            <w:pPr>
              <w:jc w:val="center"/>
              <w:rPr>
                <w:rFonts w:hint="eastAsia" w:ascii="宋体" w:hAnsi="宋体" w:eastAsia="宋体" w:cs="Times New Roman"/>
                <w:szCs w:val="21"/>
              </w:rPr>
            </w:pPr>
            <w:r>
              <w:rPr>
                <w:rFonts w:hint="eastAsia" w:ascii="宋体" w:hAnsi="宋体" w:eastAsia="宋体" w:cs="Times New Roman"/>
                <w:szCs w:val="21"/>
              </w:rPr>
              <w:t>2.正确认识第二次世界大战后资本主义的变化及其实质，当代资本主义变化的新特征，世界大变局下资本主义的矛盾与冲突；</w:t>
            </w:r>
          </w:p>
          <w:p w14:paraId="63617B19">
            <w:pPr>
              <w:jc w:val="center"/>
              <w:rPr>
                <w:rFonts w:hint="eastAsia" w:ascii="宋体" w:hAnsi="宋体" w:eastAsia="宋体" w:cs="Times New Roman"/>
                <w:szCs w:val="21"/>
              </w:rPr>
            </w:pPr>
            <w:r>
              <w:rPr>
                <w:rFonts w:hint="eastAsia" w:ascii="宋体" w:hAnsi="宋体" w:eastAsia="宋体" w:cs="Times New Roman"/>
                <w:szCs w:val="21"/>
              </w:rPr>
              <w:t>3.</w:t>
            </w:r>
            <w:r>
              <w:rPr>
                <w:rFonts w:hint="eastAsia"/>
              </w:rPr>
              <w:t xml:space="preserve"> </w:t>
            </w:r>
            <w:r>
              <w:rPr>
                <w:rFonts w:hint="eastAsia" w:ascii="宋体" w:hAnsi="宋体" w:eastAsia="宋体" w:cs="Times New Roman"/>
                <w:szCs w:val="21"/>
              </w:rPr>
              <w:t>深刻理解资本主义的历史地位及其为社会主义所代替的历史必然性，坚定资本主义必然灭亡、社会主义必然胜利的信念。</w:t>
            </w:r>
          </w:p>
        </w:tc>
        <w:tc>
          <w:tcPr>
            <w:tcW w:w="1342" w:type="dxa"/>
            <w:vAlign w:val="center"/>
          </w:tcPr>
          <w:p w14:paraId="2DBC4DFE">
            <w:pPr>
              <w:jc w:val="center"/>
              <w:rPr>
                <w:rFonts w:hint="eastAsia" w:ascii="宋体" w:hAnsi="宋体" w:eastAsia="宋体" w:cs="Times New Roman"/>
                <w:szCs w:val="21"/>
              </w:rPr>
            </w:pPr>
            <w:r>
              <w:rPr>
                <w:rFonts w:hint="eastAsia" w:ascii="宋体" w:hAnsi="宋体" w:eastAsia="宋体" w:cs="Times New Roman"/>
                <w:szCs w:val="21"/>
              </w:rPr>
              <w:t>1.线上学习</w:t>
            </w:r>
          </w:p>
          <w:p w14:paraId="2C08E6EF">
            <w:pPr>
              <w:jc w:val="center"/>
              <w:rPr>
                <w:rFonts w:hint="eastAsia" w:ascii="宋体" w:hAnsi="宋体" w:eastAsia="宋体" w:cs="Times New Roman"/>
                <w:szCs w:val="21"/>
              </w:rPr>
            </w:pPr>
            <w:r>
              <w:rPr>
                <w:rFonts w:hint="eastAsia" w:ascii="宋体" w:hAnsi="宋体" w:eastAsia="宋体" w:cs="Times New Roman"/>
                <w:szCs w:val="21"/>
              </w:rPr>
              <w:t>2.课堂教学</w:t>
            </w:r>
          </w:p>
          <w:p w14:paraId="6C903A9C">
            <w:pPr>
              <w:jc w:val="center"/>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74256010">
            <w:pPr>
              <w:jc w:val="center"/>
              <w:rPr>
                <w:rFonts w:hint="eastAsia" w:ascii="宋体" w:hAnsi="宋体" w:eastAsia="宋体" w:cs="Times New Roman"/>
                <w:szCs w:val="21"/>
              </w:rPr>
            </w:pPr>
            <w:r>
              <w:rPr>
                <w:rFonts w:hint="eastAsia" w:ascii="宋体" w:hAnsi="宋体" w:eastAsia="宋体" w:cs="Times New Roman"/>
                <w:szCs w:val="21"/>
              </w:rPr>
              <w:t>6</w:t>
            </w:r>
          </w:p>
        </w:tc>
      </w:tr>
      <w:tr w14:paraId="17781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3214C45">
            <w:pPr>
              <w:jc w:val="center"/>
              <w:rPr>
                <w:rFonts w:hint="eastAsia" w:ascii="宋体" w:hAnsi="宋体" w:eastAsia="宋体" w:cs="Times New Roman"/>
                <w:szCs w:val="21"/>
              </w:rPr>
            </w:pPr>
            <w:r>
              <w:rPr>
                <w:rFonts w:hint="eastAsia" w:ascii="宋体" w:hAnsi="宋体" w:eastAsia="宋体" w:cs="Times New Roman"/>
                <w:szCs w:val="21"/>
              </w:rPr>
              <w:t>7.</w:t>
            </w:r>
            <w:r>
              <w:rPr>
                <w:rFonts w:hint="eastAsia"/>
              </w:rPr>
              <w:t xml:space="preserve"> </w:t>
            </w:r>
            <w:r>
              <w:rPr>
                <w:rFonts w:hint="eastAsia" w:ascii="宋体" w:hAnsi="宋体" w:eastAsia="宋体" w:cs="Times New Roman"/>
                <w:szCs w:val="21"/>
              </w:rPr>
              <w:t>社会主义的发展及其规律</w:t>
            </w:r>
          </w:p>
        </w:tc>
        <w:tc>
          <w:tcPr>
            <w:tcW w:w="1635" w:type="dxa"/>
            <w:vAlign w:val="center"/>
          </w:tcPr>
          <w:p w14:paraId="4F77B6F3">
            <w:pPr>
              <w:jc w:val="left"/>
              <w:rPr>
                <w:rFonts w:hint="eastAsia" w:ascii="宋体" w:hAnsi="宋体" w:eastAsia="宋体" w:cs="Times New Roman"/>
                <w:szCs w:val="21"/>
              </w:rPr>
            </w:pPr>
            <w:r>
              <w:rPr>
                <w:rFonts w:hint="eastAsia" w:ascii="宋体" w:hAnsi="宋体" w:eastAsia="宋体" w:cs="Times New Roman"/>
                <w:szCs w:val="21"/>
              </w:rPr>
              <w:t>（1）社会主义五百年的历史进程</w:t>
            </w:r>
          </w:p>
          <w:p w14:paraId="3EB277D9">
            <w:pPr>
              <w:jc w:val="left"/>
              <w:rPr>
                <w:rFonts w:hint="eastAsia" w:ascii="宋体" w:hAnsi="宋体" w:eastAsia="宋体" w:cs="Times New Roman"/>
                <w:szCs w:val="21"/>
              </w:rPr>
            </w:pPr>
            <w:r>
              <w:rPr>
                <w:rFonts w:hint="eastAsia" w:ascii="宋体" w:hAnsi="宋体" w:eastAsia="宋体" w:cs="Times New Roman"/>
                <w:szCs w:val="21"/>
              </w:rPr>
              <w:t>（2）科学社会主义基本原则（3）在实践中探索现实社会主义的发展规律</w:t>
            </w:r>
          </w:p>
        </w:tc>
        <w:tc>
          <w:tcPr>
            <w:tcW w:w="1134" w:type="dxa"/>
            <w:vAlign w:val="center"/>
          </w:tcPr>
          <w:p w14:paraId="5FAC8510">
            <w:pPr>
              <w:jc w:val="center"/>
              <w:rPr>
                <w:rFonts w:hint="eastAsia" w:ascii="宋体" w:hAnsi="宋体" w:eastAsia="宋体" w:cs="Times New Roman"/>
                <w:szCs w:val="21"/>
              </w:rPr>
            </w:pPr>
            <w:r>
              <w:rPr>
                <w:rFonts w:hint="eastAsia" w:ascii="宋体" w:hAnsi="宋体" w:eastAsia="宋体" w:cs="Times New Roman"/>
                <w:szCs w:val="21"/>
              </w:rPr>
              <w:t>目标1</w:t>
            </w:r>
          </w:p>
          <w:p w14:paraId="7879B0B8">
            <w:pPr>
              <w:jc w:val="center"/>
              <w:rPr>
                <w:rFonts w:hint="eastAsia" w:ascii="宋体" w:hAnsi="宋体" w:eastAsia="宋体" w:cs="Times New Roman"/>
                <w:szCs w:val="21"/>
              </w:rPr>
            </w:pPr>
            <w:r>
              <w:rPr>
                <w:rFonts w:hint="eastAsia" w:ascii="宋体" w:hAnsi="宋体" w:eastAsia="宋体" w:cs="Times New Roman"/>
                <w:szCs w:val="21"/>
              </w:rPr>
              <w:t>目标2</w:t>
            </w:r>
          </w:p>
          <w:p w14:paraId="6F7D70FC">
            <w:pPr>
              <w:jc w:val="center"/>
              <w:rPr>
                <w:rFonts w:hint="eastAsia" w:ascii="宋体" w:hAnsi="宋体" w:eastAsia="宋体" w:cs="Times New Roman"/>
                <w:szCs w:val="21"/>
              </w:rPr>
            </w:pPr>
            <w:r>
              <w:rPr>
                <w:rFonts w:hint="eastAsia" w:ascii="宋体" w:hAnsi="宋体" w:eastAsia="宋体" w:cs="Times New Roman"/>
                <w:szCs w:val="21"/>
              </w:rPr>
              <w:t>目标3</w:t>
            </w:r>
          </w:p>
        </w:tc>
        <w:tc>
          <w:tcPr>
            <w:tcW w:w="3260" w:type="dxa"/>
            <w:vAlign w:val="center"/>
          </w:tcPr>
          <w:p w14:paraId="3A647459">
            <w:pPr>
              <w:jc w:val="left"/>
              <w:rPr>
                <w:rFonts w:hint="eastAsia" w:ascii="宋体" w:hAnsi="宋体" w:eastAsia="宋体" w:cs="Times New Roman"/>
                <w:szCs w:val="21"/>
              </w:rPr>
            </w:pPr>
            <w:r>
              <w:rPr>
                <w:rFonts w:hint="eastAsia" w:ascii="宋体" w:hAnsi="宋体" w:eastAsia="宋体" w:cs="Times New Roman"/>
                <w:szCs w:val="21"/>
              </w:rPr>
              <w:t>1.学习和了解社会主义五百年的发展历程，把握科学社会主义基本原则；</w:t>
            </w:r>
          </w:p>
          <w:p w14:paraId="3AD05D76">
            <w:pPr>
              <w:jc w:val="left"/>
              <w:rPr>
                <w:rFonts w:hint="eastAsia" w:ascii="宋体" w:hAnsi="宋体" w:eastAsia="宋体" w:cs="Times New Roman"/>
                <w:szCs w:val="21"/>
              </w:rPr>
            </w:pPr>
            <w:r>
              <w:rPr>
                <w:rFonts w:hint="eastAsia" w:ascii="宋体" w:hAnsi="宋体" w:eastAsia="宋体" w:cs="Times New Roman"/>
                <w:szCs w:val="21"/>
              </w:rPr>
              <w:t>2.认识社会主义建设过程的长期性，明确社会主义发展道路的多样性，把握新时代中国特色社会主义在社会主义发展史上的里程碑意义；</w:t>
            </w:r>
          </w:p>
          <w:p w14:paraId="669E5D9E">
            <w:pPr>
              <w:jc w:val="left"/>
              <w:rPr>
                <w:rFonts w:hint="eastAsia" w:ascii="宋体" w:hAnsi="宋体" w:eastAsia="宋体" w:cs="Times New Roman"/>
                <w:szCs w:val="21"/>
              </w:rPr>
            </w:pPr>
            <w:r>
              <w:rPr>
                <w:rFonts w:hint="eastAsia" w:ascii="宋体" w:hAnsi="宋体" w:eastAsia="宋体" w:cs="Times New Roman"/>
                <w:szCs w:val="21"/>
              </w:rPr>
              <w:t>3.能够遵循社会主义在实践中开拓前进的发展规律，以昂扬奋进的姿态推进社会主义事业走向光明未来。</w:t>
            </w:r>
          </w:p>
        </w:tc>
        <w:tc>
          <w:tcPr>
            <w:tcW w:w="1342" w:type="dxa"/>
            <w:vAlign w:val="center"/>
          </w:tcPr>
          <w:p w14:paraId="647A69DC">
            <w:pPr>
              <w:jc w:val="left"/>
              <w:rPr>
                <w:rFonts w:hint="eastAsia" w:ascii="宋体" w:hAnsi="宋体" w:eastAsia="宋体" w:cs="Times New Roman"/>
                <w:szCs w:val="21"/>
              </w:rPr>
            </w:pPr>
            <w:r>
              <w:rPr>
                <w:rFonts w:hint="eastAsia" w:ascii="宋体" w:hAnsi="宋体" w:eastAsia="宋体" w:cs="Times New Roman"/>
                <w:szCs w:val="21"/>
              </w:rPr>
              <w:t>1.线上学习</w:t>
            </w:r>
          </w:p>
          <w:p w14:paraId="473C199A">
            <w:pPr>
              <w:jc w:val="left"/>
              <w:rPr>
                <w:rFonts w:hint="eastAsia" w:ascii="宋体" w:hAnsi="宋体" w:eastAsia="宋体" w:cs="Times New Roman"/>
                <w:szCs w:val="21"/>
              </w:rPr>
            </w:pPr>
            <w:r>
              <w:rPr>
                <w:rFonts w:hint="eastAsia" w:ascii="宋体" w:hAnsi="宋体" w:eastAsia="宋体" w:cs="Times New Roman"/>
                <w:szCs w:val="21"/>
              </w:rPr>
              <w:t>2.课堂教学</w:t>
            </w:r>
          </w:p>
          <w:p w14:paraId="67AF0C60">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417A9A23">
            <w:pPr>
              <w:jc w:val="center"/>
              <w:rPr>
                <w:rFonts w:hint="eastAsia" w:ascii="宋体" w:hAnsi="宋体" w:eastAsia="宋体" w:cs="Times New Roman"/>
                <w:szCs w:val="21"/>
              </w:rPr>
            </w:pPr>
            <w:r>
              <w:rPr>
                <w:rFonts w:hint="eastAsia" w:ascii="宋体" w:hAnsi="宋体" w:eastAsia="宋体" w:cs="Times New Roman"/>
                <w:szCs w:val="21"/>
              </w:rPr>
              <w:t>3</w:t>
            </w:r>
          </w:p>
        </w:tc>
      </w:tr>
      <w:tr w14:paraId="13EF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74986B7A">
            <w:pPr>
              <w:jc w:val="center"/>
              <w:rPr>
                <w:rFonts w:hint="eastAsia" w:ascii="宋体" w:hAnsi="宋体" w:eastAsia="宋体" w:cs="Times New Roman"/>
                <w:szCs w:val="21"/>
              </w:rPr>
            </w:pPr>
            <w:r>
              <w:rPr>
                <w:rFonts w:hint="eastAsia" w:ascii="宋体" w:hAnsi="宋体" w:eastAsia="宋体" w:cs="Times New Roman"/>
                <w:szCs w:val="21"/>
              </w:rPr>
              <w:t>8.共产主义崇高理想及其最终实现</w:t>
            </w:r>
          </w:p>
        </w:tc>
        <w:tc>
          <w:tcPr>
            <w:tcW w:w="1635" w:type="dxa"/>
            <w:vAlign w:val="center"/>
          </w:tcPr>
          <w:p w14:paraId="16602308">
            <w:pPr>
              <w:jc w:val="left"/>
              <w:rPr>
                <w:rFonts w:hint="eastAsia" w:ascii="宋体" w:hAnsi="宋体" w:eastAsia="宋体" w:cs="Times New Roman"/>
                <w:szCs w:val="21"/>
              </w:rPr>
            </w:pPr>
            <w:r>
              <w:rPr>
                <w:rFonts w:hint="eastAsia" w:ascii="宋体" w:hAnsi="宋体" w:eastAsia="宋体" w:cs="Times New Roman"/>
                <w:szCs w:val="21"/>
              </w:rPr>
              <w:t>（1）展望未来共产主义新社会（2）实现共产主义是历史发展的必然趋势</w:t>
            </w:r>
          </w:p>
          <w:p w14:paraId="012C9931">
            <w:pPr>
              <w:jc w:val="left"/>
              <w:rPr>
                <w:rFonts w:hint="eastAsia" w:ascii="宋体" w:hAnsi="宋体" w:eastAsia="宋体" w:cs="Times New Roman"/>
                <w:szCs w:val="21"/>
              </w:rPr>
            </w:pPr>
            <w:r>
              <w:rPr>
                <w:rFonts w:hint="eastAsia" w:ascii="宋体" w:hAnsi="宋体" w:eastAsia="宋体" w:cs="Times New Roman"/>
                <w:szCs w:val="21"/>
              </w:rPr>
              <w:t>（3）共产主义远大理想与中国特色社会主义共同理想</w:t>
            </w:r>
          </w:p>
        </w:tc>
        <w:tc>
          <w:tcPr>
            <w:tcW w:w="1134" w:type="dxa"/>
            <w:vAlign w:val="center"/>
          </w:tcPr>
          <w:p w14:paraId="26FD9184">
            <w:pPr>
              <w:jc w:val="center"/>
              <w:rPr>
                <w:rFonts w:hint="eastAsia" w:ascii="宋体" w:hAnsi="宋体" w:eastAsia="宋体" w:cs="Times New Roman"/>
                <w:szCs w:val="21"/>
              </w:rPr>
            </w:pPr>
            <w:r>
              <w:rPr>
                <w:rFonts w:hint="eastAsia" w:ascii="宋体" w:hAnsi="宋体" w:eastAsia="宋体" w:cs="Times New Roman"/>
                <w:szCs w:val="21"/>
              </w:rPr>
              <w:t>目标1</w:t>
            </w:r>
          </w:p>
          <w:p w14:paraId="68C44EF1">
            <w:pPr>
              <w:jc w:val="center"/>
              <w:rPr>
                <w:rFonts w:hint="eastAsia" w:ascii="宋体" w:hAnsi="宋体" w:eastAsia="宋体" w:cs="Times New Roman"/>
                <w:szCs w:val="21"/>
              </w:rPr>
            </w:pPr>
            <w:r>
              <w:rPr>
                <w:rFonts w:hint="eastAsia" w:ascii="宋体" w:hAnsi="宋体" w:eastAsia="宋体" w:cs="Times New Roman"/>
                <w:szCs w:val="21"/>
              </w:rPr>
              <w:t>目标2</w:t>
            </w:r>
          </w:p>
          <w:p w14:paraId="4E155EA9">
            <w:pPr>
              <w:jc w:val="center"/>
              <w:rPr>
                <w:rFonts w:hint="eastAsia" w:ascii="宋体" w:hAnsi="宋体" w:eastAsia="宋体" w:cs="Times New Roman"/>
                <w:szCs w:val="21"/>
              </w:rPr>
            </w:pPr>
            <w:r>
              <w:rPr>
                <w:rFonts w:hint="eastAsia" w:ascii="宋体" w:hAnsi="宋体" w:eastAsia="宋体" w:cs="Times New Roman"/>
                <w:szCs w:val="21"/>
              </w:rPr>
              <w:t>目标3</w:t>
            </w:r>
          </w:p>
        </w:tc>
        <w:tc>
          <w:tcPr>
            <w:tcW w:w="3260" w:type="dxa"/>
            <w:vAlign w:val="center"/>
          </w:tcPr>
          <w:p w14:paraId="24DD5928">
            <w:pPr>
              <w:jc w:val="left"/>
              <w:rPr>
                <w:rFonts w:hint="eastAsia" w:ascii="宋体" w:hAnsi="宋体" w:eastAsia="宋体" w:cs="Times New Roman"/>
                <w:szCs w:val="21"/>
              </w:rPr>
            </w:pPr>
            <w:r>
              <w:rPr>
                <w:rFonts w:hint="eastAsia" w:ascii="宋体" w:hAnsi="宋体" w:eastAsia="宋体" w:cs="Times New Roman"/>
                <w:szCs w:val="21"/>
              </w:rPr>
              <w:t>1.掌握预见未来社会的方法论原则，把握共产主义社会的基本特征；</w:t>
            </w:r>
          </w:p>
          <w:p w14:paraId="5AB20C40">
            <w:pPr>
              <w:jc w:val="left"/>
              <w:rPr>
                <w:rFonts w:hint="eastAsia" w:ascii="宋体" w:hAnsi="宋体" w:eastAsia="宋体" w:cs="Times New Roman"/>
                <w:szCs w:val="21"/>
              </w:rPr>
            </w:pPr>
            <w:r>
              <w:rPr>
                <w:rFonts w:hint="eastAsia" w:ascii="宋体" w:hAnsi="宋体" w:eastAsia="宋体" w:cs="Times New Roman"/>
                <w:szCs w:val="21"/>
              </w:rPr>
              <w:t>2.深刻认识实现共产主义的历史必然性和长期性；</w:t>
            </w:r>
          </w:p>
          <w:p w14:paraId="7B8CE058">
            <w:pPr>
              <w:jc w:val="left"/>
              <w:rPr>
                <w:rFonts w:hint="eastAsia" w:ascii="宋体" w:hAnsi="宋体" w:eastAsia="宋体" w:cs="Times New Roman"/>
                <w:szCs w:val="21"/>
              </w:rPr>
            </w:pPr>
            <w:r>
              <w:rPr>
                <w:rFonts w:hint="eastAsia" w:ascii="宋体" w:hAnsi="宋体" w:eastAsia="宋体" w:cs="Times New Roman"/>
                <w:szCs w:val="21"/>
              </w:rPr>
              <w:t>3.帮助学生正确处理理想与现实、个人理想和社会理想、远大理想与共同理想的关系，坚定理想信念，投身新时代中国特色社会主义事业。</w:t>
            </w:r>
          </w:p>
        </w:tc>
        <w:tc>
          <w:tcPr>
            <w:tcW w:w="1342" w:type="dxa"/>
            <w:vAlign w:val="center"/>
          </w:tcPr>
          <w:p w14:paraId="66877BCA">
            <w:pPr>
              <w:jc w:val="left"/>
              <w:rPr>
                <w:rFonts w:hint="eastAsia" w:ascii="宋体" w:hAnsi="宋体" w:eastAsia="宋体" w:cs="Times New Roman"/>
                <w:szCs w:val="21"/>
              </w:rPr>
            </w:pPr>
            <w:r>
              <w:rPr>
                <w:rFonts w:hint="eastAsia" w:ascii="宋体" w:hAnsi="宋体" w:eastAsia="宋体" w:cs="Times New Roman"/>
                <w:szCs w:val="21"/>
              </w:rPr>
              <w:t>1.线上学习</w:t>
            </w:r>
          </w:p>
          <w:p w14:paraId="76A4DCE8">
            <w:pPr>
              <w:jc w:val="left"/>
              <w:rPr>
                <w:rFonts w:hint="eastAsia" w:ascii="宋体" w:hAnsi="宋体" w:eastAsia="宋体" w:cs="Times New Roman"/>
                <w:szCs w:val="21"/>
              </w:rPr>
            </w:pPr>
            <w:r>
              <w:rPr>
                <w:rFonts w:hint="eastAsia" w:ascii="宋体" w:hAnsi="宋体" w:eastAsia="宋体" w:cs="Times New Roman"/>
                <w:szCs w:val="21"/>
              </w:rPr>
              <w:t>2.课堂教学</w:t>
            </w:r>
          </w:p>
          <w:p w14:paraId="2DBB9908">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656" w:type="dxa"/>
            <w:vAlign w:val="center"/>
          </w:tcPr>
          <w:p w14:paraId="10EA9F5A">
            <w:pPr>
              <w:jc w:val="center"/>
              <w:rPr>
                <w:rFonts w:hint="eastAsia" w:ascii="宋体" w:hAnsi="宋体" w:eastAsia="宋体" w:cs="Times New Roman"/>
                <w:szCs w:val="21"/>
              </w:rPr>
            </w:pPr>
            <w:r>
              <w:rPr>
                <w:rFonts w:hint="eastAsia" w:ascii="宋体" w:hAnsi="宋体" w:eastAsia="宋体" w:cs="Times New Roman"/>
                <w:szCs w:val="21"/>
              </w:rPr>
              <w:t>3</w:t>
            </w:r>
          </w:p>
        </w:tc>
      </w:tr>
      <w:tr w14:paraId="376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271" w:type="dxa"/>
            <w:vAlign w:val="center"/>
          </w:tcPr>
          <w:p w14:paraId="772B5256">
            <w:pPr>
              <w:jc w:val="center"/>
              <w:rPr>
                <w:rFonts w:hint="eastAsia" w:ascii="宋体" w:hAnsi="宋体" w:eastAsia="宋体" w:cs="Times New Roman"/>
                <w:szCs w:val="21"/>
              </w:rPr>
            </w:pPr>
            <w:r>
              <w:rPr>
                <w:rFonts w:hint="eastAsia" w:ascii="宋体" w:hAnsi="宋体" w:eastAsia="宋体" w:cs="Times New Roman"/>
                <w:szCs w:val="21"/>
              </w:rPr>
              <w:t>思想政治理论课实践</w:t>
            </w:r>
          </w:p>
        </w:tc>
        <w:tc>
          <w:tcPr>
            <w:tcW w:w="7371" w:type="dxa"/>
            <w:gridSpan w:val="4"/>
            <w:vAlign w:val="center"/>
          </w:tcPr>
          <w:p w14:paraId="540295D7">
            <w:pPr>
              <w:jc w:val="left"/>
              <w:rPr>
                <w:rFonts w:hint="eastAsia" w:ascii="宋体" w:hAnsi="宋体" w:eastAsia="宋体" w:cs="Times New Roman"/>
                <w:szCs w:val="21"/>
              </w:rPr>
            </w:pPr>
            <w:r>
              <w:rPr>
                <w:rFonts w:hint="eastAsia" w:ascii="宋体" w:hAnsi="宋体" w:eastAsia="宋体" w:cs="Times New Roman"/>
                <w:szCs w:val="21"/>
              </w:rPr>
              <w:t>落实教育部要求，本课程的实践学时计入“思想政治理论课实践”课程。学院组织实践教师指导学生分散在第一学期至第四学期完成“思想政治理论课实践”项目，学生的实践成绩在第四学期计入“思想政治理论课实践”课程成绩。</w:t>
            </w:r>
          </w:p>
        </w:tc>
        <w:tc>
          <w:tcPr>
            <w:tcW w:w="656" w:type="dxa"/>
            <w:vAlign w:val="center"/>
          </w:tcPr>
          <w:p w14:paraId="023B48D4">
            <w:pPr>
              <w:jc w:val="center"/>
              <w:rPr>
                <w:rFonts w:hint="eastAsia" w:ascii="宋体" w:hAnsi="宋体" w:eastAsia="宋体" w:cs="Times New Roman"/>
                <w:szCs w:val="21"/>
              </w:rPr>
            </w:pPr>
            <w:r>
              <w:rPr>
                <w:rFonts w:hint="eastAsia" w:ascii="宋体" w:hAnsi="宋体" w:eastAsia="宋体" w:cs="Times New Roman"/>
                <w:szCs w:val="21"/>
              </w:rPr>
              <w:t>6</w:t>
            </w:r>
          </w:p>
        </w:tc>
      </w:tr>
    </w:tbl>
    <w:p w14:paraId="4FCAFEF5">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39A3DC8A">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E50644F">
      <w:pPr>
        <w:spacing w:line="360" w:lineRule="auto"/>
        <w:ind w:firstLine="420" w:firstLineChars="200"/>
        <w:jc w:val="left"/>
        <w:rPr>
          <w:rFonts w:ascii="Times New Roman" w:hAnsi="Times New Roman" w:eastAsia="宋体" w:cs="Times New Roman"/>
          <w:b/>
          <w:bCs/>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616"/>
        <w:gridCol w:w="1560"/>
        <w:gridCol w:w="1559"/>
        <w:gridCol w:w="1559"/>
        <w:gridCol w:w="992"/>
      </w:tblGrid>
      <w:tr w14:paraId="68FC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restart"/>
            <w:vAlign w:val="center"/>
          </w:tcPr>
          <w:p w14:paraId="4D252428">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294" w:type="dxa"/>
            <w:gridSpan w:val="4"/>
            <w:vAlign w:val="center"/>
          </w:tcPr>
          <w:p w14:paraId="24E8FD3B">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992" w:type="dxa"/>
            <w:vMerge w:val="restart"/>
            <w:vAlign w:val="center"/>
          </w:tcPr>
          <w:p w14:paraId="19478D17">
            <w:pPr>
              <w:jc w:val="center"/>
              <w:rPr>
                <w:rFonts w:hint="eastAsia" w:ascii="宋体" w:hAnsi="宋体" w:eastAsia="宋体" w:cs="Times New Roman"/>
                <w:szCs w:val="21"/>
              </w:rPr>
            </w:pPr>
            <w:r>
              <w:rPr>
                <w:rFonts w:hint="eastAsia" w:ascii="宋体" w:hAnsi="宋体" w:eastAsia="宋体" w:cs="Times New Roman"/>
                <w:szCs w:val="21"/>
              </w:rPr>
              <w:t>分值</w:t>
            </w:r>
          </w:p>
        </w:tc>
      </w:tr>
      <w:tr w14:paraId="200D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continue"/>
            <w:vAlign w:val="center"/>
          </w:tcPr>
          <w:p w14:paraId="33C38F14">
            <w:pPr>
              <w:jc w:val="center"/>
              <w:rPr>
                <w:rFonts w:hint="eastAsia" w:ascii="宋体" w:hAnsi="宋体" w:eastAsia="宋体" w:cs="Times New Roman"/>
                <w:szCs w:val="21"/>
              </w:rPr>
            </w:pPr>
          </w:p>
        </w:tc>
        <w:tc>
          <w:tcPr>
            <w:tcW w:w="1616" w:type="dxa"/>
          </w:tcPr>
          <w:p w14:paraId="7054CB47">
            <w:pPr>
              <w:jc w:val="center"/>
              <w:rPr>
                <w:rFonts w:hint="eastAsia" w:ascii="宋体" w:hAnsi="宋体" w:eastAsia="宋体" w:cs="Times New Roman"/>
                <w:szCs w:val="21"/>
              </w:rPr>
            </w:pPr>
            <w:r>
              <w:rPr>
                <w:rFonts w:hint="eastAsia" w:ascii="宋体" w:hAnsi="宋体" w:eastAsia="宋体" w:cs="Times New Roman"/>
                <w:szCs w:val="21"/>
              </w:rPr>
              <w:t>网络学习</w:t>
            </w:r>
          </w:p>
        </w:tc>
        <w:tc>
          <w:tcPr>
            <w:tcW w:w="1560" w:type="dxa"/>
            <w:vAlign w:val="center"/>
          </w:tcPr>
          <w:p w14:paraId="00075AE8">
            <w:pPr>
              <w:jc w:val="center"/>
              <w:rPr>
                <w:rFonts w:hint="eastAsia" w:ascii="宋体" w:hAnsi="宋体" w:eastAsia="宋体" w:cs="Times New Roman"/>
                <w:szCs w:val="21"/>
              </w:rPr>
            </w:pPr>
            <w:r>
              <w:rPr>
                <w:rFonts w:hint="eastAsia" w:ascii="宋体" w:hAnsi="宋体" w:eastAsia="宋体" w:cs="Times New Roman"/>
                <w:szCs w:val="21"/>
              </w:rPr>
              <w:t>平时表现</w:t>
            </w:r>
          </w:p>
        </w:tc>
        <w:tc>
          <w:tcPr>
            <w:tcW w:w="1559" w:type="dxa"/>
            <w:vAlign w:val="center"/>
          </w:tcPr>
          <w:p w14:paraId="3537305A">
            <w:pPr>
              <w:jc w:val="center"/>
              <w:rPr>
                <w:rFonts w:hint="eastAsia" w:ascii="宋体" w:hAnsi="宋体" w:eastAsia="宋体" w:cs="Times New Roman"/>
                <w:szCs w:val="21"/>
              </w:rPr>
            </w:pPr>
            <w:r>
              <w:rPr>
                <w:rFonts w:hint="eastAsia" w:ascii="宋体" w:hAnsi="宋体" w:eastAsia="宋体" w:cs="Times New Roman"/>
                <w:szCs w:val="21"/>
              </w:rPr>
              <w:t>作业</w:t>
            </w:r>
          </w:p>
        </w:tc>
        <w:tc>
          <w:tcPr>
            <w:tcW w:w="1559" w:type="dxa"/>
            <w:vAlign w:val="center"/>
          </w:tcPr>
          <w:p w14:paraId="2146BDC5">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992" w:type="dxa"/>
            <w:vMerge w:val="continue"/>
            <w:vAlign w:val="center"/>
          </w:tcPr>
          <w:p w14:paraId="31EB0436">
            <w:pPr>
              <w:jc w:val="center"/>
              <w:rPr>
                <w:rFonts w:hint="eastAsia" w:ascii="宋体" w:hAnsi="宋体" w:eastAsia="宋体" w:cs="Times New Roman"/>
                <w:szCs w:val="21"/>
              </w:rPr>
            </w:pPr>
          </w:p>
        </w:tc>
      </w:tr>
      <w:tr w14:paraId="2E58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3AC3C4A7">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616" w:type="dxa"/>
          </w:tcPr>
          <w:p w14:paraId="035C1A48">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7F68E6F0">
            <w:pPr>
              <w:jc w:val="center"/>
              <w:rPr>
                <w:rFonts w:hint="eastAsia" w:ascii="宋体" w:hAnsi="宋体" w:eastAsia="宋体" w:cs="Times New Roman"/>
                <w:szCs w:val="21"/>
              </w:rPr>
            </w:pPr>
          </w:p>
        </w:tc>
        <w:tc>
          <w:tcPr>
            <w:tcW w:w="1559" w:type="dxa"/>
            <w:vAlign w:val="center"/>
          </w:tcPr>
          <w:p w14:paraId="76707A86">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541951E7">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6A67E20F">
            <w:pPr>
              <w:jc w:val="center"/>
              <w:rPr>
                <w:rFonts w:hint="eastAsia" w:ascii="宋体" w:hAnsi="宋体" w:eastAsia="宋体" w:cs="Times New Roman"/>
                <w:szCs w:val="21"/>
              </w:rPr>
            </w:pPr>
            <w:r>
              <w:rPr>
                <w:rFonts w:hint="eastAsia" w:ascii="宋体" w:hAnsi="宋体" w:eastAsia="宋体" w:cs="Times New Roman"/>
                <w:szCs w:val="21"/>
              </w:rPr>
              <w:t>26</w:t>
            </w:r>
          </w:p>
        </w:tc>
      </w:tr>
      <w:tr w14:paraId="1AC7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0A217F22">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616" w:type="dxa"/>
          </w:tcPr>
          <w:p w14:paraId="4216FC17">
            <w:pPr>
              <w:jc w:val="center"/>
              <w:rPr>
                <w:rFonts w:hint="eastAsia" w:ascii="宋体" w:hAnsi="宋体" w:eastAsia="宋体" w:cs="Times New Roman"/>
                <w:szCs w:val="21"/>
              </w:rPr>
            </w:pPr>
          </w:p>
        </w:tc>
        <w:tc>
          <w:tcPr>
            <w:tcW w:w="1560" w:type="dxa"/>
            <w:vAlign w:val="center"/>
          </w:tcPr>
          <w:p w14:paraId="06D1D5CD">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3B03CBFA">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1BB4F9A2">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08D97E18">
            <w:pPr>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3</w:t>
            </w:r>
          </w:p>
        </w:tc>
      </w:tr>
      <w:tr w14:paraId="146F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5F997649">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616" w:type="dxa"/>
          </w:tcPr>
          <w:p w14:paraId="1D5BC030">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63E8B9F7">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72333256">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311F05E1">
            <w:pPr>
              <w:jc w:val="center"/>
              <w:rPr>
                <w:rFonts w:hint="eastAsia" w:ascii="宋体" w:hAnsi="宋体" w:eastAsia="宋体" w:cs="Times New Roman"/>
                <w:szCs w:val="21"/>
              </w:rPr>
            </w:pPr>
          </w:p>
        </w:tc>
        <w:tc>
          <w:tcPr>
            <w:tcW w:w="992" w:type="dxa"/>
            <w:vAlign w:val="center"/>
          </w:tcPr>
          <w:p w14:paraId="0E314D4D">
            <w:pPr>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5</w:t>
            </w:r>
          </w:p>
        </w:tc>
      </w:tr>
      <w:tr w14:paraId="30AB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0AB0BE22">
            <w:pPr>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616" w:type="dxa"/>
          </w:tcPr>
          <w:p w14:paraId="397ACEE8">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0" w:type="dxa"/>
            <w:vAlign w:val="center"/>
          </w:tcPr>
          <w:p w14:paraId="376068BB">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9" w:type="dxa"/>
            <w:vAlign w:val="center"/>
          </w:tcPr>
          <w:p w14:paraId="089EAE98">
            <w:pPr>
              <w:jc w:val="center"/>
              <w:rPr>
                <w:rFonts w:hint="eastAsia" w:ascii="宋体" w:hAnsi="宋体" w:eastAsia="宋体" w:cs="Times New Roman"/>
                <w:szCs w:val="21"/>
              </w:rPr>
            </w:pPr>
          </w:p>
        </w:tc>
        <w:tc>
          <w:tcPr>
            <w:tcW w:w="1559" w:type="dxa"/>
            <w:vAlign w:val="center"/>
          </w:tcPr>
          <w:p w14:paraId="4A9CBCD5">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92" w:type="dxa"/>
            <w:vAlign w:val="center"/>
          </w:tcPr>
          <w:p w14:paraId="7A051962">
            <w:pPr>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6</w:t>
            </w:r>
          </w:p>
        </w:tc>
      </w:tr>
      <w:tr w14:paraId="10DC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46488000">
            <w:pPr>
              <w:jc w:val="center"/>
              <w:rPr>
                <w:rFonts w:hint="eastAsia" w:ascii="宋体" w:hAnsi="宋体" w:eastAsia="宋体" w:cs="Times New Roman"/>
                <w:szCs w:val="21"/>
              </w:rPr>
            </w:pPr>
            <w:r>
              <w:rPr>
                <w:rFonts w:hint="eastAsia" w:ascii="宋体" w:hAnsi="宋体" w:eastAsia="宋体" w:cs="Times New Roman"/>
                <w:szCs w:val="21"/>
              </w:rPr>
              <w:t>合计</w:t>
            </w:r>
          </w:p>
        </w:tc>
        <w:tc>
          <w:tcPr>
            <w:tcW w:w="1616" w:type="dxa"/>
          </w:tcPr>
          <w:p w14:paraId="666357AA">
            <w:pPr>
              <w:jc w:val="center"/>
              <w:rPr>
                <w:rFonts w:hint="eastAsia" w:ascii="宋体" w:hAnsi="宋体" w:eastAsia="宋体" w:cs="Times New Roman"/>
                <w:szCs w:val="21"/>
              </w:rPr>
            </w:pPr>
          </w:p>
        </w:tc>
        <w:tc>
          <w:tcPr>
            <w:tcW w:w="1560" w:type="dxa"/>
            <w:vAlign w:val="center"/>
          </w:tcPr>
          <w:p w14:paraId="0C270288">
            <w:pPr>
              <w:jc w:val="center"/>
              <w:rPr>
                <w:rFonts w:hint="eastAsia" w:ascii="宋体" w:hAnsi="宋体" w:eastAsia="宋体" w:cs="Times New Roman"/>
                <w:szCs w:val="21"/>
              </w:rPr>
            </w:pPr>
          </w:p>
        </w:tc>
        <w:tc>
          <w:tcPr>
            <w:tcW w:w="1559" w:type="dxa"/>
            <w:vAlign w:val="center"/>
          </w:tcPr>
          <w:p w14:paraId="4F98D2DA">
            <w:pPr>
              <w:jc w:val="center"/>
              <w:rPr>
                <w:rFonts w:hint="eastAsia" w:ascii="宋体" w:hAnsi="宋体" w:eastAsia="宋体" w:cs="Times New Roman"/>
                <w:szCs w:val="21"/>
              </w:rPr>
            </w:pPr>
          </w:p>
        </w:tc>
        <w:tc>
          <w:tcPr>
            <w:tcW w:w="1559" w:type="dxa"/>
            <w:vAlign w:val="center"/>
          </w:tcPr>
          <w:p w14:paraId="34DDDEEC">
            <w:pPr>
              <w:jc w:val="center"/>
              <w:rPr>
                <w:rFonts w:hint="eastAsia" w:ascii="宋体" w:hAnsi="宋体" w:eastAsia="宋体" w:cs="Times New Roman"/>
                <w:szCs w:val="21"/>
              </w:rPr>
            </w:pPr>
          </w:p>
        </w:tc>
        <w:tc>
          <w:tcPr>
            <w:tcW w:w="992" w:type="dxa"/>
            <w:vAlign w:val="center"/>
          </w:tcPr>
          <w:p w14:paraId="3EBDC286">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73DEB9C2">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2894E46">
      <w:pPr>
        <w:spacing w:line="360" w:lineRule="auto"/>
        <w:ind w:firstLine="420" w:firstLineChars="200"/>
        <w:jc w:val="left"/>
        <w:rPr>
          <w:rFonts w:ascii="Times New Roman" w:hAnsi="Times New Roman" w:eastAsia="宋体" w:cs="Times New Roman"/>
          <w:b/>
          <w:bCs/>
          <w:szCs w:val="21"/>
        </w:rPr>
      </w:pPr>
      <w:r>
        <w:rPr>
          <w:rFonts w:hint="eastAsia" w:ascii="Times New Roman" w:hAnsi="Times New Roman" w:eastAsia="宋体" w:cs="Times New Roman"/>
          <w:szCs w:val="21"/>
        </w:rPr>
        <w:t>各部分的评价方式和成绩评定的细则如下表所示。</w:t>
      </w:r>
    </w:p>
    <w:tbl>
      <w:tblPr>
        <w:tblStyle w:val="12"/>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7126"/>
        <w:gridCol w:w="850"/>
      </w:tblGrid>
      <w:tr w14:paraId="1595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288CA49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26" w:type="dxa"/>
            <w:vAlign w:val="center"/>
          </w:tcPr>
          <w:p w14:paraId="369290B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850" w:type="dxa"/>
            <w:vAlign w:val="center"/>
          </w:tcPr>
          <w:p w14:paraId="2FC78DB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358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6" w:type="dxa"/>
            <w:vAlign w:val="center"/>
          </w:tcPr>
          <w:p w14:paraId="1722F03B">
            <w:pPr>
              <w:jc w:val="center"/>
              <w:rPr>
                <w:rFonts w:hint="eastAsia" w:ascii="宋体" w:hAnsi="宋体" w:eastAsia="宋体"/>
              </w:rPr>
            </w:pPr>
            <w:r>
              <w:rPr>
                <w:rFonts w:hint="eastAsia" w:ascii="宋体" w:hAnsi="宋体" w:eastAsia="宋体"/>
              </w:rPr>
              <w:t>网络学习</w:t>
            </w:r>
          </w:p>
        </w:tc>
        <w:tc>
          <w:tcPr>
            <w:tcW w:w="7126" w:type="dxa"/>
            <w:vAlign w:val="center"/>
          </w:tcPr>
          <w:p w14:paraId="3266B8BD">
            <w:pPr>
              <w:spacing w:line="264" w:lineRule="auto"/>
              <w:jc w:val="left"/>
              <w:rPr>
                <w:rFonts w:hint="eastAsia" w:ascii="宋体" w:hAnsi="宋体" w:eastAsia="宋体"/>
              </w:rPr>
            </w:pPr>
            <w:r>
              <w:rPr>
                <w:rFonts w:hint="eastAsia" w:ascii="宋体" w:hAnsi="宋体" w:eastAsia="宋体"/>
              </w:rPr>
              <w:t>通过视频学习，互动讨论等考核对课程理论的理解和运用</w:t>
            </w:r>
          </w:p>
        </w:tc>
        <w:tc>
          <w:tcPr>
            <w:tcW w:w="850" w:type="dxa"/>
            <w:vAlign w:val="center"/>
          </w:tcPr>
          <w:p w14:paraId="29C9F212">
            <w:pPr>
              <w:jc w:val="center"/>
              <w:rPr>
                <w:rFonts w:hint="eastAsia" w:ascii="宋体" w:hAnsi="宋体" w:eastAsia="宋体" w:cs="Times New Roman"/>
                <w:szCs w:val="21"/>
              </w:rPr>
            </w:pPr>
            <w:r>
              <w:rPr>
                <w:rFonts w:hint="eastAsia"/>
              </w:rPr>
              <w:t>10%</w:t>
            </w:r>
          </w:p>
        </w:tc>
      </w:tr>
      <w:tr w14:paraId="656B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2E9AD446">
            <w:pPr>
              <w:jc w:val="center"/>
              <w:rPr>
                <w:rFonts w:hint="eastAsia" w:ascii="宋体" w:hAnsi="宋体" w:eastAsia="宋体"/>
              </w:rPr>
            </w:pPr>
            <w:r>
              <w:rPr>
                <w:rFonts w:hint="eastAsia" w:ascii="宋体" w:hAnsi="宋体" w:eastAsia="宋体"/>
              </w:rPr>
              <w:t>平时表现</w:t>
            </w:r>
          </w:p>
        </w:tc>
        <w:tc>
          <w:tcPr>
            <w:tcW w:w="7126" w:type="dxa"/>
            <w:vAlign w:val="center"/>
          </w:tcPr>
          <w:p w14:paraId="04CE4039">
            <w:pPr>
              <w:spacing w:line="264" w:lineRule="auto"/>
              <w:jc w:val="left"/>
              <w:rPr>
                <w:rFonts w:hint="eastAsia" w:ascii="宋体" w:hAnsi="宋体" w:eastAsia="宋体" w:cs="Times New Roman"/>
                <w:szCs w:val="21"/>
              </w:rPr>
            </w:pPr>
            <w:r>
              <w:rPr>
                <w:rFonts w:hint="eastAsia" w:ascii="宋体" w:hAnsi="宋体" w:eastAsia="宋体"/>
              </w:rPr>
              <w:t>通过课堂互动、听课表现等考核学生对马克思主义基本原理的理解和运用。</w:t>
            </w:r>
          </w:p>
        </w:tc>
        <w:tc>
          <w:tcPr>
            <w:tcW w:w="850" w:type="dxa"/>
            <w:vAlign w:val="center"/>
          </w:tcPr>
          <w:p w14:paraId="7782866C">
            <w:pPr>
              <w:jc w:val="center"/>
              <w:rPr>
                <w:rFonts w:hint="eastAsia" w:ascii="宋体" w:hAnsi="宋体" w:eastAsia="宋体" w:cs="Times New Roman"/>
                <w:szCs w:val="21"/>
              </w:rPr>
            </w:pPr>
            <w:r>
              <w:rPr>
                <w:rFonts w:hint="eastAsia"/>
              </w:rPr>
              <w:t>20%</w:t>
            </w:r>
          </w:p>
        </w:tc>
      </w:tr>
      <w:tr w14:paraId="24BD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74C4D2BF">
            <w:pPr>
              <w:jc w:val="center"/>
              <w:rPr>
                <w:rFonts w:hint="eastAsia" w:ascii="宋体" w:hAnsi="宋体" w:eastAsia="宋体"/>
              </w:rPr>
            </w:pPr>
            <w:r>
              <w:rPr>
                <w:rFonts w:hint="eastAsia" w:ascii="宋体" w:hAnsi="宋体" w:eastAsia="宋体"/>
              </w:rPr>
              <w:t>作业</w:t>
            </w:r>
          </w:p>
        </w:tc>
        <w:tc>
          <w:tcPr>
            <w:tcW w:w="7126" w:type="dxa"/>
            <w:vAlign w:val="center"/>
          </w:tcPr>
          <w:p w14:paraId="3DD5E0D3">
            <w:pPr>
              <w:widowControl/>
              <w:spacing w:line="264" w:lineRule="auto"/>
              <w:jc w:val="left"/>
              <w:rPr>
                <w:rFonts w:hint="eastAsia" w:ascii="宋体" w:hAnsi="宋体" w:eastAsia="宋体" w:cs="宋体"/>
                <w:kern w:val="0"/>
                <w:szCs w:val="21"/>
                <w:lang w:bidi="ar"/>
              </w:rPr>
            </w:pPr>
            <w:r>
              <w:rPr>
                <w:rFonts w:hint="eastAsia" w:ascii="宋体" w:hAnsi="宋体" w:eastAsia="宋体"/>
              </w:rPr>
              <w:t>通过章节测验、思考题等考核学生对课程知识点的理解和应用；对每次作业完成情况做记录并百分制打分，计算全部作业的平均成绩。</w:t>
            </w:r>
          </w:p>
        </w:tc>
        <w:tc>
          <w:tcPr>
            <w:tcW w:w="850" w:type="dxa"/>
            <w:vAlign w:val="center"/>
          </w:tcPr>
          <w:p w14:paraId="511EC6CF">
            <w:pPr>
              <w:jc w:val="center"/>
              <w:rPr>
                <w:rFonts w:hint="eastAsia" w:ascii="宋体" w:hAnsi="宋体" w:eastAsia="宋体" w:cs="Times New Roman"/>
                <w:szCs w:val="21"/>
              </w:rPr>
            </w:pPr>
            <w:r>
              <w:rPr>
                <w:rFonts w:hint="eastAsia"/>
              </w:rPr>
              <w:t>30%</w:t>
            </w:r>
          </w:p>
        </w:tc>
      </w:tr>
      <w:tr w14:paraId="0345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vAlign w:val="center"/>
          </w:tcPr>
          <w:p w14:paraId="1FF9EF9C">
            <w:pPr>
              <w:jc w:val="center"/>
              <w:rPr>
                <w:rFonts w:hint="eastAsia" w:ascii="宋体" w:hAnsi="宋体" w:eastAsia="宋体"/>
              </w:rPr>
            </w:pPr>
            <w:r>
              <w:rPr>
                <w:rFonts w:hint="eastAsia" w:ascii="宋体" w:hAnsi="宋体" w:eastAsia="宋体"/>
              </w:rPr>
              <w:t>期末考试</w:t>
            </w:r>
          </w:p>
        </w:tc>
        <w:tc>
          <w:tcPr>
            <w:tcW w:w="7126" w:type="dxa"/>
            <w:vAlign w:val="center"/>
          </w:tcPr>
          <w:p w14:paraId="5269F635">
            <w:pPr>
              <w:widowControl/>
              <w:spacing w:line="264" w:lineRule="auto"/>
              <w:jc w:val="left"/>
              <w:rPr>
                <w:rFonts w:hint="eastAsia" w:ascii="宋体" w:hAnsi="宋体" w:eastAsia="宋体" w:cs="宋体"/>
                <w:kern w:val="0"/>
                <w:szCs w:val="21"/>
                <w:lang w:bidi="ar"/>
              </w:rPr>
            </w:pPr>
            <w:r>
              <w:rPr>
                <w:rFonts w:hint="eastAsia" w:ascii="宋体" w:hAnsi="宋体" w:eastAsia="宋体"/>
              </w:rPr>
              <w:t>通过单项选择题、多项选择题、填空题、判断题和论述题等，考核思想政治理论基础知识和马克思主义的立场、观点和方法的运用。</w:t>
            </w:r>
          </w:p>
        </w:tc>
        <w:tc>
          <w:tcPr>
            <w:tcW w:w="850" w:type="dxa"/>
            <w:vAlign w:val="center"/>
          </w:tcPr>
          <w:p w14:paraId="4617347B">
            <w:pPr>
              <w:jc w:val="center"/>
              <w:rPr>
                <w:rFonts w:hint="eastAsia" w:ascii="宋体" w:hAnsi="宋体" w:eastAsia="宋体" w:cs="Times New Roman"/>
                <w:szCs w:val="21"/>
              </w:rPr>
            </w:pPr>
            <w:r>
              <w:rPr>
                <w:rFonts w:hint="eastAsia"/>
              </w:rPr>
              <w:t>40%</w:t>
            </w:r>
          </w:p>
        </w:tc>
      </w:tr>
      <w:tr w14:paraId="4974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dxa"/>
          </w:tcPr>
          <w:p w14:paraId="1211681A">
            <w:pPr>
              <w:rPr>
                <w:rFonts w:hint="eastAsia" w:ascii="宋体" w:hAnsi="宋体" w:eastAsia="宋体" w:cs="Times New Roman"/>
                <w:szCs w:val="21"/>
              </w:rPr>
            </w:pPr>
            <w:r>
              <w:rPr>
                <w:rFonts w:hint="eastAsia" w:ascii="宋体" w:hAnsi="宋体" w:eastAsia="宋体"/>
              </w:rPr>
              <w:t>合计</w:t>
            </w:r>
          </w:p>
        </w:tc>
        <w:tc>
          <w:tcPr>
            <w:tcW w:w="7126" w:type="dxa"/>
          </w:tcPr>
          <w:p w14:paraId="40D367E4">
            <w:pPr>
              <w:spacing w:line="264" w:lineRule="auto"/>
              <w:jc w:val="left"/>
              <w:rPr>
                <w:rFonts w:hint="eastAsia" w:ascii="宋体" w:hAnsi="宋体" w:eastAsia="宋体" w:cs="Times New Roman"/>
                <w:szCs w:val="21"/>
              </w:rPr>
            </w:pPr>
          </w:p>
        </w:tc>
        <w:tc>
          <w:tcPr>
            <w:tcW w:w="850" w:type="dxa"/>
            <w:vAlign w:val="center"/>
          </w:tcPr>
          <w:p w14:paraId="09457A63">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21B49F81">
      <w:pPr>
        <w:spacing w:line="360" w:lineRule="auto"/>
        <w:ind w:firstLine="412"/>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2957CEF0">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28AA9412">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27" o:spt="75" type="#_x0000_t75" style="height:25.3pt;width:404.3pt;" o:ole="t" filled="f" o:preferrelative="t" stroked="f" coordsize="21600,21600">
            <v:path/>
            <v:fill on="f" focussize="0,0"/>
            <v:stroke on="f" joinstyle="miter"/>
            <v:imagedata r:id="rId12" o:title=""/>
            <o:lock v:ext="edit" aspectratio="t"/>
            <w10:wrap type="none"/>
            <w10:anchorlock/>
          </v:shape>
          <o:OLEObject Type="Embed" ProgID="Equation.3" ShapeID="_x0000_i1027" DrawAspect="Content" ObjectID="_1468075727" r:id="rId14">
            <o:LockedField>false</o:LockedField>
          </o:OLEObject>
        </w:object>
      </w:r>
      <w:r>
        <w:rPr>
          <w:rFonts w:hint="eastAsia" w:ascii="Times New Roman" w:hAnsi="Times New Roman" w:eastAsia="宋体" w:cs="Times New Roman"/>
          <w:b/>
          <w:sz w:val="24"/>
        </w:rPr>
        <w:t>五、有关说明</w:t>
      </w:r>
    </w:p>
    <w:p w14:paraId="32FF49EF">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6C4360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本课程根据学生作业、课堂讨论、平时考核情况，以及学生、教学督导等反馈，及时对教学中不足之处进行改进，并在下一轮课程教学中整改完善，确保相应毕业要求指标点达成。</w:t>
      </w:r>
    </w:p>
    <w:p w14:paraId="3059B370">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C45A40E">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《马克思主义基本原理》，本书编写组主编，高等教育出版社，2023年2月</w:t>
      </w:r>
    </w:p>
    <w:p w14:paraId="16B39B29">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35420EE">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1.《马克思恩格斯选集》（1-4卷），人民出版社，2012</w:t>
      </w:r>
    </w:p>
    <w:p w14:paraId="4D80044E">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2.《列宁选集》（1-4卷），人民出版社，2012</w:t>
      </w:r>
    </w:p>
    <w:p w14:paraId="433206DE">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3.《毛泽东选集》（1-4卷），人民出版社，1991</w:t>
      </w:r>
    </w:p>
    <w:p w14:paraId="713E5E05">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4.《邓小平文选》（1-3卷），人民出版社，1995</w:t>
      </w:r>
    </w:p>
    <w:p w14:paraId="00A9CAD3">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5.《江泽民文选》（1-3卷），人民出版社，2006</w:t>
      </w:r>
    </w:p>
    <w:p w14:paraId="0CD6AE70">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6.《胡锦涛文选》（1-3卷），人民出版社，2016</w:t>
      </w:r>
    </w:p>
    <w:p w14:paraId="22EEB17E">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7.《习近平著作选读》（第一卷），人民出版社，2023</w:t>
      </w:r>
    </w:p>
    <w:p w14:paraId="3A1BF399">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8.《习近平著作选读》（第二卷），人民出版社，2023</w:t>
      </w:r>
    </w:p>
    <w:p w14:paraId="5D5CF4FB">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9.《习近平经济思想学习纲要》，人民出版社、学习出版社，2022</w:t>
      </w:r>
    </w:p>
    <w:p w14:paraId="522F32C6">
      <w:pPr>
        <w:spacing w:line="360" w:lineRule="auto"/>
        <w:ind w:firstLine="420"/>
        <w:rPr>
          <w:rFonts w:hint="eastAsia" w:ascii="宋体" w:hAnsi="宋体" w:eastAsia="宋体" w:cs="Times New Roman"/>
          <w:bCs/>
          <w:szCs w:val="21"/>
        </w:rPr>
      </w:pPr>
      <w:r>
        <w:rPr>
          <w:rFonts w:hint="eastAsia" w:ascii="宋体" w:hAnsi="宋体" w:eastAsia="宋体" w:cs="Times New Roman"/>
          <w:bCs/>
          <w:szCs w:val="21"/>
        </w:rPr>
        <w:t>10.《习近平新时代中国特色社会主义思想专题摘编》，党建读物出版社，2023</w:t>
      </w:r>
    </w:p>
    <w:p w14:paraId="77BBBDDA">
      <w:pPr>
        <w:spacing w:line="360" w:lineRule="auto"/>
        <w:ind w:firstLine="422" w:firstLineChars="200"/>
        <w:rPr>
          <w:rFonts w:hint="eastAsia" w:ascii="宋体" w:hAnsi="宋体" w:eastAsia="宋体"/>
          <w:b/>
          <w:bCs/>
        </w:rPr>
      </w:pPr>
      <w:r>
        <w:rPr>
          <w:rFonts w:hint="eastAsia" w:ascii="宋体" w:hAnsi="宋体" w:eastAsia="宋体"/>
          <w:b/>
          <w:bCs/>
        </w:rPr>
        <w:t>（四）教学改革</w:t>
      </w:r>
    </w:p>
    <w:p w14:paraId="786F51EC">
      <w:pPr>
        <w:spacing w:line="360" w:lineRule="auto"/>
        <w:ind w:firstLine="420"/>
        <w:rPr>
          <w:rFonts w:ascii="Times New Roman" w:hAnsi="Times New Roman" w:eastAsia="宋体" w:cs="Times New Roman"/>
          <w:sz w:val="24"/>
        </w:rPr>
      </w:pPr>
      <w:r>
        <w:rPr>
          <w:rFonts w:hint="eastAsia" w:ascii="宋体" w:hAnsi="宋体" w:eastAsia="宋体"/>
        </w:rPr>
        <w:t>本课程的教学改革，需制定相应的教学方案。</w:t>
      </w:r>
      <w:r>
        <w:rPr>
          <w:rFonts w:hint="eastAsia" w:ascii="Times New Roman" w:hAnsi="Times New Roman" w:eastAsia="宋体" w:cs="Times New Roman"/>
          <w:sz w:val="24"/>
        </w:rPr>
        <w:t xml:space="preserve">                                            </w:t>
      </w:r>
    </w:p>
    <w:p w14:paraId="61A6C324">
      <w:pPr>
        <w:spacing w:line="360" w:lineRule="auto"/>
        <w:ind w:firstLine="4830" w:firstLineChars="2300"/>
        <w:jc w:val="right"/>
        <w:rPr>
          <w:rFonts w:hint="eastAsia" w:ascii="宋体" w:hAnsi="宋体" w:eastAsia="宋体"/>
          <w:szCs w:val="21"/>
        </w:rPr>
      </w:pPr>
      <w:r>
        <w:rPr>
          <w:rFonts w:hint="eastAsia" w:ascii="Times New Roman" w:hAnsi="Times New Roman" w:eastAsia="宋体" w:cs="Times New Roman"/>
          <w:szCs w:val="21"/>
        </w:rPr>
        <w:t xml:space="preserve"> </w:t>
      </w:r>
      <w:r>
        <w:rPr>
          <w:rFonts w:hint="eastAsia" w:ascii="宋体" w:hAnsi="宋体" w:eastAsia="宋体"/>
          <w:szCs w:val="21"/>
        </w:rPr>
        <w:t xml:space="preserve">执 笔 人：赵菲菲    </w:t>
      </w:r>
    </w:p>
    <w:p w14:paraId="55993862">
      <w:pPr>
        <w:spacing w:line="360" w:lineRule="auto"/>
        <w:jc w:val="right"/>
        <w:rPr>
          <w:rFonts w:hint="eastAsia" w:ascii="宋体" w:hAnsi="宋体" w:eastAsia="宋体"/>
          <w:szCs w:val="21"/>
        </w:rPr>
      </w:pPr>
      <w:r>
        <w:rPr>
          <w:rFonts w:hint="eastAsia" w:ascii="宋体" w:hAnsi="宋体" w:eastAsia="宋体"/>
          <w:szCs w:val="21"/>
        </w:rPr>
        <w:t xml:space="preserve">                                               审 定 人：夏天静</w:t>
      </w:r>
    </w:p>
    <w:p w14:paraId="7214EE8D">
      <w:pPr>
        <w:spacing w:line="360" w:lineRule="auto"/>
        <w:jc w:val="right"/>
        <w:rPr>
          <w:rFonts w:ascii="Times New Roman" w:hAnsi="Times New Roman" w:eastAsia="宋体" w:cs="Times New Roman"/>
          <w:szCs w:val="21"/>
        </w:rPr>
      </w:pPr>
      <w:r>
        <w:rPr>
          <w:rFonts w:hint="eastAsia" w:ascii="宋体" w:hAnsi="宋体" w:eastAsia="宋体"/>
          <w:szCs w:val="21"/>
        </w:rPr>
        <w:t xml:space="preserve">                                          审 批 人：熊焱生</w:t>
      </w:r>
    </w:p>
    <w:p w14:paraId="28108718">
      <w:pPr>
        <w:spacing w:line="360" w:lineRule="auto"/>
        <w:jc w:val="center"/>
        <w:outlineLvl w:val="0"/>
        <w:rPr>
          <w:rFonts w:ascii="Times New Roman" w:hAnsi="Times New Roman" w:eastAsia="宋体" w:cs="Times New Roman"/>
          <w:b/>
          <w:sz w:val="44"/>
          <w:szCs w:val="44"/>
        </w:rPr>
      </w:pPr>
      <w:r>
        <w:rPr>
          <w:rFonts w:hint="eastAsia" w:ascii="Times New Roman" w:hAnsi="Times New Roman" w:eastAsia="宋体" w:cs="Times New Roman"/>
          <w:szCs w:val="21"/>
        </w:rPr>
        <w:t xml:space="preserve">                  </w:t>
      </w:r>
      <w:r>
        <w:rPr>
          <w:rFonts w:hint="eastAsia" w:ascii="宋体" w:hAnsi="宋体" w:eastAsia="宋体" w:cs="Times New Roman"/>
          <w:szCs w:val="21"/>
        </w:rPr>
        <w:t xml:space="preserve">                                    </w:t>
      </w:r>
      <w:bookmarkStart w:id="22" w:name="_Toc3494"/>
      <w:r>
        <w:rPr>
          <w:rFonts w:hint="eastAsia" w:ascii="宋体" w:hAnsi="宋体" w:eastAsia="宋体" w:cs="Times New Roman"/>
          <w:szCs w:val="21"/>
        </w:rPr>
        <w:t>批准时间：2025年7月1日</w:t>
      </w:r>
      <w:r>
        <w:rPr>
          <w:rFonts w:hint="eastAsia" w:ascii="Times New Roman" w:hAnsi="Times New Roman" w:eastAsia="宋体" w:cs="Times New Roman"/>
          <w:b/>
          <w:sz w:val="44"/>
          <w:szCs w:val="44"/>
        </w:rPr>
        <w:br w:type="page"/>
      </w:r>
      <w:r>
        <w:rPr>
          <w:rFonts w:hint="eastAsia" w:ascii="Times New Roman" w:hAnsi="Times New Roman" w:eastAsia="宋体" w:cs="Times New Roman"/>
          <w:b/>
          <w:sz w:val="44"/>
          <w:szCs w:val="44"/>
        </w:rPr>
        <w:t>《毛泽东思想和中国特色社会主义理论体系概论》课程教学大纲</w:t>
      </w:r>
      <w:bookmarkEnd w:id="22"/>
    </w:p>
    <w:p w14:paraId="1D1B5E8A">
      <w:pPr>
        <w:spacing w:line="360" w:lineRule="auto"/>
        <w:jc w:val="center"/>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（Introduction to Mao Zedong Thought and Theoretical System of Socialism with Chinese Characteristics）</w:t>
      </w:r>
    </w:p>
    <w:p w14:paraId="3E069E2A">
      <w:pPr>
        <w:spacing w:line="360" w:lineRule="auto"/>
        <w:ind w:firstLine="422" w:firstLineChars="200"/>
        <w:jc w:val="center"/>
        <w:outlineLvl w:val="0"/>
        <w:rPr>
          <w:rFonts w:ascii="Times New Roman" w:hAnsi="Times New Roman" w:eastAsia="宋体" w:cs="Times New Roman"/>
          <w:b/>
          <w:szCs w:val="21"/>
        </w:rPr>
      </w:pPr>
    </w:p>
    <w:p w14:paraId="1EEE766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课程代码：1004031</w:t>
      </w:r>
    </w:p>
    <w:p w14:paraId="3D41B37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分：3</w:t>
      </w:r>
    </w:p>
    <w:p w14:paraId="1C8E0EA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时：48（其中：讲授学时42，实践学时6）</w:t>
      </w:r>
    </w:p>
    <w:p w14:paraId="10D6032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先修课程：思想道德与法治、中国近现代史纲要、马克思主义基本原理</w:t>
      </w:r>
    </w:p>
    <w:p w14:paraId="7D42BB43">
      <w:pPr>
        <w:spacing w:line="360" w:lineRule="auto"/>
        <w:ind w:firstLine="482" w:firstLineChars="200"/>
        <w:jc w:val="left"/>
        <w:rPr>
          <w:rFonts w:ascii="Times New Roman" w:hAnsi="Times New Roman" w:eastAsia="宋体" w:cs="Times New Roman"/>
          <w:bCs/>
          <w:sz w:val="30"/>
        </w:rPr>
      </w:pPr>
      <w:r>
        <w:rPr>
          <w:rFonts w:hint="eastAsia" w:ascii="Times New Roman" w:hAnsi="Times New Roman" w:eastAsia="宋体" w:cs="Times New Roman"/>
          <w:b/>
          <w:sz w:val="24"/>
        </w:rPr>
        <w:t>适用专业：全校所有专业</w:t>
      </w:r>
    </w:p>
    <w:p w14:paraId="0416F4FA">
      <w:pPr>
        <w:spacing w:before="62" w:beforeLines="20" w:after="62" w:afterLines="20" w:line="360" w:lineRule="auto"/>
        <w:jc w:val="left"/>
        <w:rPr>
          <w:rFonts w:hint="eastAsia" w:ascii="宋体" w:hAnsi="宋体" w:eastAsia="宋体" w:cs="Times New Roman"/>
          <w:b/>
          <w:sz w:val="24"/>
        </w:rPr>
      </w:pPr>
      <w:r>
        <w:rPr>
          <w:rFonts w:hint="eastAsia" w:ascii="宋体" w:hAnsi="宋体" w:eastAsia="宋体" w:cs="Times New Roman"/>
          <w:b/>
          <w:sz w:val="24"/>
        </w:rPr>
        <w:t>一、课程简介</w:t>
      </w:r>
    </w:p>
    <w:p w14:paraId="7FC0C334">
      <w:pPr>
        <w:pStyle w:val="31"/>
        <w:autoSpaceDE w:val="0"/>
        <w:autoSpaceDN w:val="0"/>
        <w:adjustRightInd w:val="0"/>
        <w:spacing w:line="360" w:lineRule="auto"/>
        <w:jc w:val="left"/>
        <w:rPr>
          <w:rFonts w:hint="eastAsia" w:ascii="宋体" w:hAnsi="宋体"/>
          <w:b/>
          <w:bCs/>
          <w:kern w:val="0"/>
          <w:sz w:val="24"/>
        </w:rPr>
      </w:pPr>
      <w:r>
        <w:rPr>
          <w:rFonts w:hint="eastAsia"/>
          <w:kern w:val="0"/>
          <w:szCs w:val="21"/>
        </w:rPr>
        <w:t>本课程</w:t>
      </w:r>
      <w:r>
        <w:rPr>
          <w:kern w:val="0"/>
          <w:szCs w:val="21"/>
        </w:rPr>
        <w:t>是</w:t>
      </w:r>
      <w:r>
        <w:rPr>
          <w:rFonts w:hint="eastAsia"/>
          <w:kern w:val="0"/>
          <w:szCs w:val="21"/>
        </w:rPr>
        <w:t>所有本科专业的通识必修</w:t>
      </w:r>
      <w:r>
        <w:rPr>
          <w:kern w:val="0"/>
          <w:szCs w:val="21"/>
        </w:rPr>
        <w:t>课。</w:t>
      </w:r>
      <w:r>
        <w:rPr>
          <w:rFonts w:hint="eastAsia"/>
          <w:kern w:val="0"/>
          <w:szCs w:val="21"/>
        </w:rPr>
        <w:t>本课程系统介绍了马克思主义中国化进程中形成的理论成果，在回顾中国共产党领导人民进行的革命、建设、改革的历史进程、历史变革、历史成就的基础上，着重介绍了中国共产党在新时代坚持的基本理论、基本路线、基本方略，培养学生运用马克思主义的立场、观点和方法认识问题、分析问题和解决问题的能力，坚定中国特色社会主义道路自信、理论自信、制度自信和文化自信，努力成为中国特色社会主义事业的建设者和接班人，自觉为实现中华民族伟大复兴的中国梦而努力奋斗，为后续思想政治理论课及思想政治理论课实践环节奠定基础。</w:t>
      </w:r>
    </w:p>
    <w:p w14:paraId="210D9E6C">
      <w:pPr>
        <w:spacing w:before="62" w:beforeLines="20" w:after="62" w:afterLines="20" w:line="360" w:lineRule="auto"/>
        <w:jc w:val="left"/>
        <w:rPr>
          <w:rFonts w:hint="eastAsia" w:ascii="宋体" w:hAnsi="宋体"/>
          <w:b/>
          <w:bCs/>
          <w:kern w:val="0"/>
          <w:sz w:val="24"/>
        </w:rPr>
      </w:pPr>
      <w:r>
        <w:rPr>
          <w:rFonts w:hint="eastAsia" w:ascii="宋体" w:hAnsi="宋体" w:eastAsia="宋体" w:cs="Times New Roman"/>
          <w:b/>
          <w:sz w:val="24"/>
        </w:rPr>
        <w:t>二、课程目标</w:t>
      </w:r>
    </w:p>
    <w:p w14:paraId="22836AE1">
      <w:pPr>
        <w:spacing w:line="360" w:lineRule="auto"/>
        <w:ind w:left="489"/>
        <w:rPr>
          <w:rFonts w:hint="eastAsia" w:ascii="宋体" w:hAnsi="宋体" w:eastAsia="宋体"/>
          <w:b/>
          <w:szCs w:val="21"/>
        </w:rPr>
      </w:pPr>
      <w:r>
        <w:rPr>
          <w:rFonts w:hint="eastAsia" w:ascii="宋体" w:hAnsi="宋体" w:eastAsia="宋体"/>
          <w:b/>
          <w:szCs w:val="21"/>
        </w:rPr>
        <w:t>（一）课程具体目标</w:t>
      </w:r>
    </w:p>
    <w:p w14:paraId="26A804D1">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目标1：掌握马克思主义中国化时代化的历史进程和理论成果，认同中国特色社会主义，能够在实践中自觉践行社会主义核心价值观，履行社会责任。</w:t>
      </w:r>
    </w:p>
    <w:p w14:paraId="16CD9FEB">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目标2：掌握毛泽东思想的形成发展、主要内容和历史地位，具有较好的人文底蕴和科学精神。</w:t>
      </w:r>
    </w:p>
    <w:p w14:paraId="697CB39D">
      <w:pPr>
        <w:spacing w:line="360" w:lineRule="auto"/>
        <w:ind w:firstLine="420" w:firstLineChars="200"/>
        <w:rPr>
          <w:rFonts w:hint="eastAsia" w:ascii="宋体" w:hAnsi="宋体" w:eastAsia="宋体" w:cs="宋体"/>
          <w:szCs w:val="21"/>
        </w:rPr>
      </w:pPr>
      <w:r>
        <w:rPr>
          <w:rFonts w:hint="eastAsia" w:ascii="宋体" w:hAnsi="宋体" w:eastAsia="宋体" w:cs="宋体"/>
          <w:kern w:val="0"/>
          <w:szCs w:val="21"/>
        </w:rPr>
        <w:t>目标3:掌握邓小平理论的形成发展、主要内容和历史地位，具有相应的人文社会科学知识素养。掌握 “三个代表”重要思想、科学发展观的形成发展、主要内容和历史地位，</w:t>
      </w:r>
      <w:r>
        <w:rPr>
          <w:rFonts w:hint="eastAsia" w:ascii="宋体" w:hAnsi="宋体" w:eastAsia="宋体" w:cs="宋体"/>
          <w:szCs w:val="21"/>
        </w:rPr>
        <w:t>初步掌握反思方法和技能，对在日常学习中发现的现象和问题，进行探索和研究，有自己的思考和见解。</w:t>
      </w:r>
    </w:p>
    <w:p w14:paraId="7003858B">
      <w:pPr>
        <w:spacing w:line="360" w:lineRule="auto"/>
        <w:ind w:firstLine="422" w:firstLineChars="200"/>
        <w:jc w:val="left"/>
        <w:rPr>
          <w:rFonts w:hint="eastAsia" w:ascii="宋体" w:hAnsi="宋体" w:eastAsia="宋体" w:cs="宋体"/>
          <w:szCs w:val="21"/>
        </w:rPr>
      </w:pPr>
      <w:r>
        <w:rPr>
          <w:rFonts w:hint="eastAsia" w:ascii="宋体" w:hAnsi="宋体" w:eastAsia="宋体"/>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0"/>
        <w:gridCol w:w="6086"/>
        <w:gridCol w:w="1191"/>
      </w:tblGrid>
      <w:tr w14:paraId="7B41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Align w:val="center"/>
          </w:tcPr>
          <w:p w14:paraId="52271AD5">
            <w:pPr>
              <w:spacing w:line="360"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w:t>
            </w:r>
          </w:p>
        </w:tc>
        <w:tc>
          <w:tcPr>
            <w:tcW w:w="6086" w:type="dxa"/>
            <w:vAlign w:val="center"/>
          </w:tcPr>
          <w:p w14:paraId="413D489A">
            <w:pPr>
              <w:spacing w:line="360"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毕业要求指标点</w:t>
            </w:r>
          </w:p>
        </w:tc>
        <w:tc>
          <w:tcPr>
            <w:tcW w:w="1191" w:type="dxa"/>
            <w:vAlign w:val="center"/>
          </w:tcPr>
          <w:p w14:paraId="67171303">
            <w:pPr>
              <w:spacing w:line="360" w:lineRule="auto"/>
              <w:jc w:val="center"/>
              <w:rPr>
                <w:rFonts w:hint="eastAsia" w:ascii="宋体" w:hAnsi="宋体" w:eastAsia="宋体" w:cs="宋体"/>
                <w:b/>
                <w:bCs/>
                <w:kern w:val="0"/>
                <w:szCs w:val="21"/>
              </w:rPr>
            </w:pPr>
            <w:r>
              <w:rPr>
                <w:rFonts w:hint="eastAsia" w:ascii="宋体" w:hAnsi="宋体" w:eastAsia="宋体" w:cs="宋体"/>
                <w:b/>
                <w:bCs/>
                <w:kern w:val="0"/>
                <w:szCs w:val="21"/>
              </w:rPr>
              <w:t>课程目标</w:t>
            </w:r>
          </w:p>
        </w:tc>
      </w:tr>
      <w:tr w14:paraId="3234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Align w:val="center"/>
          </w:tcPr>
          <w:p w14:paraId="0FD3BEBD">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毕业要求1</w:t>
            </w:r>
          </w:p>
          <w:p w14:paraId="49491906">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师德规范</w:t>
            </w:r>
          </w:p>
        </w:tc>
        <w:tc>
          <w:tcPr>
            <w:tcW w:w="6086" w:type="dxa"/>
            <w:vAlign w:val="center"/>
          </w:tcPr>
          <w:p w14:paraId="1451D625">
            <w:pPr>
              <w:widowControl/>
              <w:jc w:val="left"/>
              <w:rPr>
                <w:rFonts w:hint="eastAsia" w:ascii="宋体" w:hAnsi="宋体" w:eastAsia="宋体" w:cs="Times New Roman"/>
                <w:kern w:val="0"/>
                <w:szCs w:val="21"/>
              </w:rPr>
            </w:pPr>
            <w:r>
              <w:rPr>
                <w:rFonts w:hint="eastAsia" w:ascii="宋体" w:hAnsi="宋体" w:eastAsia="宋体" w:cs="Times New Roman"/>
                <w:b/>
                <w:szCs w:val="21"/>
              </w:rPr>
              <w:t>指标点1-1</w:t>
            </w:r>
            <w:r>
              <w:rPr>
                <w:rFonts w:hint="eastAsia" w:ascii="宋体" w:hAnsi="宋体" w:eastAsia="宋体" w:cs="Times New Roman"/>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2291108D">
            <w:pPr>
              <w:spacing w:line="276" w:lineRule="auto"/>
              <w:jc w:val="left"/>
              <w:rPr>
                <w:rFonts w:hint="eastAsia" w:ascii="宋体" w:hAnsi="宋体" w:eastAsia="宋体" w:cs="宋体"/>
                <w:kern w:val="0"/>
                <w:szCs w:val="21"/>
              </w:rPr>
            </w:pPr>
            <w:r>
              <w:rPr>
                <w:rFonts w:hint="eastAsia" w:ascii="宋体" w:hAnsi="宋体" w:eastAsia="宋体" w:cs="宋体"/>
                <w:kern w:val="0"/>
                <w:szCs w:val="21"/>
              </w:rPr>
              <w:t>课程目标1</w:t>
            </w:r>
          </w:p>
        </w:tc>
      </w:tr>
      <w:tr w14:paraId="7ACE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0" w:type="dxa"/>
            <w:vAlign w:val="center"/>
          </w:tcPr>
          <w:p w14:paraId="2AC9FFBE">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毕业要求2</w:t>
            </w:r>
          </w:p>
          <w:p w14:paraId="2264D951">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教育情怀</w:t>
            </w:r>
          </w:p>
        </w:tc>
        <w:tc>
          <w:tcPr>
            <w:tcW w:w="6086" w:type="dxa"/>
            <w:vAlign w:val="center"/>
          </w:tcPr>
          <w:p w14:paraId="11F1C23C">
            <w:pPr>
              <w:widowControl/>
              <w:jc w:val="left"/>
              <w:rPr>
                <w:rFonts w:hint="eastAsia" w:ascii="宋体" w:hAnsi="宋体" w:eastAsia="宋体" w:cs="Times New Roman"/>
                <w:kern w:val="0"/>
                <w:szCs w:val="21"/>
              </w:rPr>
            </w:pPr>
            <w:r>
              <w:rPr>
                <w:rFonts w:hint="eastAsia" w:ascii="宋体" w:hAnsi="宋体" w:eastAsia="宋体" w:cs="宋体"/>
                <w:b/>
                <w:spacing w:val="2"/>
                <w:kern w:val="0"/>
                <w:szCs w:val="21"/>
              </w:rPr>
              <w:t>指标点2-3</w:t>
            </w:r>
            <w:r>
              <w:rPr>
                <w:rFonts w:ascii="宋体" w:hAnsi="宋体" w:eastAsia="宋体" w:cs="宋体"/>
                <w:spacing w:val="2"/>
                <w:kern w:val="0"/>
                <w:szCs w:val="21"/>
              </w:rPr>
              <w:t>：</w:t>
            </w:r>
            <w:r>
              <w:rPr>
                <w:rFonts w:hint="eastAsia" w:ascii="宋体" w:hAnsi="宋体" w:eastAsia="宋体" w:cs="宋体"/>
                <w:spacing w:val="2"/>
                <w:kern w:val="0"/>
                <w:szCs w:val="21"/>
              </w:rPr>
              <w:t>【自身修养良好】</w:t>
            </w:r>
            <w:r>
              <w:rPr>
                <w:rFonts w:hint="eastAsia" w:ascii="宋体" w:hAnsi="宋体" w:eastAsia="宋体" w:cs="Times New Roman"/>
                <w:szCs w:val="21"/>
              </w:rPr>
              <w:t>具有较好的人文艺术底蕴与科学精神，言行举止符合教师职业标准，情感积极，人格健全，身心健康。</w:t>
            </w:r>
          </w:p>
        </w:tc>
        <w:tc>
          <w:tcPr>
            <w:tcW w:w="1191" w:type="dxa"/>
            <w:vAlign w:val="center"/>
          </w:tcPr>
          <w:p w14:paraId="02B5280E">
            <w:pPr>
              <w:spacing w:line="276" w:lineRule="auto"/>
              <w:jc w:val="left"/>
              <w:rPr>
                <w:rFonts w:hint="eastAsia" w:ascii="宋体" w:hAnsi="宋体" w:eastAsia="宋体" w:cs="宋体"/>
                <w:kern w:val="0"/>
                <w:szCs w:val="21"/>
              </w:rPr>
            </w:pPr>
            <w:r>
              <w:rPr>
                <w:rFonts w:hint="eastAsia" w:ascii="宋体" w:hAnsi="宋体" w:eastAsia="宋体" w:cs="宋体"/>
                <w:kern w:val="0"/>
                <w:szCs w:val="21"/>
              </w:rPr>
              <w:t>课程目标2</w:t>
            </w:r>
          </w:p>
        </w:tc>
      </w:tr>
      <w:tr w14:paraId="315F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700" w:type="dxa"/>
            <w:vAlign w:val="center"/>
          </w:tcPr>
          <w:p w14:paraId="586C6B8A">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毕业要求7</w:t>
            </w:r>
          </w:p>
          <w:p w14:paraId="52666253">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学会反思</w:t>
            </w:r>
          </w:p>
        </w:tc>
        <w:tc>
          <w:tcPr>
            <w:tcW w:w="6086" w:type="dxa"/>
            <w:vAlign w:val="center"/>
          </w:tcPr>
          <w:p w14:paraId="3CD6F826">
            <w:pPr>
              <w:widowControl/>
              <w:jc w:val="left"/>
              <w:rPr>
                <w:rFonts w:hint="eastAsia" w:ascii="宋体" w:hAnsi="宋体" w:eastAsia="宋体" w:cs="Times New Roman"/>
                <w:kern w:val="0"/>
                <w:szCs w:val="21"/>
              </w:rPr>
            </w:pPr>
            <w:r>
              <w:rPr>
                <w:rFonts w:hint="eastAsia" w:ascii="宋体" w:hAnsi="宋体" w:eastAsia="宋体" w:cs="宋体"/>
                <w:b/>
                <w:spacing w:val="2"/>
                <w:kern w:val="0"/>
                <w:szCs w:val="21"/>
              </w:rPr>
              <w:t>指标点7-1</w:t>
            </w:r>
            <w:r>
              <w:rPr>
                <w:rFonts w:ascii="宋体" w:hAnsi="宋体" w:eastAsia="宋体" w:cs="宋体"/>
                <w:spacing w:val="2"/>
                <w:kern w:val="0"/>
                <w:szCs w:val="21"/>
              </w:rPr>
              <w:t>：</w:t>
            </w:r>
            <w:r>
              <w:rPr>
                <w:rFonts w:hint="eastAsia" w:ascii="宋体" w:hAnsi="宋体" w:eastAsia="宋体" w:cs="Times New Roman"/>
                <w:szCs w:val="21"/>
              </w:rPr>
              <w:t xml:space="preserve">【教育视野开阔】积极关注基础教育领域的国内外交流进展，了解国内外基础教育改革发展的动态，具有宽广的教育视野，能够主动适应新时代和教育发展需求。 </w:t>
            </w:r>
          </w:p>
        </w:tc>
        <w:tc>
          <w:tcPr>
            <w:tcW w:w="1191" w:type="dxa"/>
            <w:vAlign w:val="center"/>
          </w:tcPr>
          <w:p w14:paraId="1DFA9629">
            <w:pPr>
              <w:spacing w:line="276" w:lineRule="auto"/>
              <w:jc w:val="left"/>
              <w:rPr>
                <w:rFonts w:hint="eastAsia" w:ascii="宋体" w:hAnsi="宋体" w:eastAsia="宋体" w:cs="宋体"/>
                <w:kern w:val="0"/>
                <w:szCs w:val="21"/>
              </w:rPr>
            </w:pPr>
            <w:r>
              <w:rPr>
                <w:rFonts w:hint="eastAsia" w:ascii="宋体" w:hAnsi="宋体" w:eastAsia="宋体" w:cs="宋体"/>
                <w:kern w:val="0"/>
                <w:szCs w:val="21"/>
              </w:rPr>
              <w:t>课程目标3</w:t>
            </w:r>
          </w:p>
        </w:tc>
      </w:tr>
    </w:tbl>
    <w:p w14:paraId="3208661B">
      <w:pPr>
        <w:spacing w:before="62" w:beforeLines="20" w:after="62" w:afterLines="20" w:line="360" w:lineRule="auto"/>
        <w:jc w:val="left"/>
        <w:rPr>
          <w:rFonts w:hint="eastAsia" w:ascii="宋体" w:hAnsi="宋体" w:eastAsia="宋体" w:cs="Times New Roman"/>
          <w:b/>
          <w:sz w:val="24"/>
        </w:rPr>
      </w:pPr>
      <w:r>
        <w:rPr>
          <w:rFonts w:hint="eastAsia" w:ascii="宋体" w:hAnsi="宋体"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2042"/>
        <w:gridCol w:w="1147"/>
        <w:gridCol w:w="3040"/>
        <w:gridCol w:w="1560"/>
        <w:gridCol w:w="438"/>
      </w:tblGrid>
      <w:tr w14:paraId="7F8F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0741F154">
            <w:pPr>
              <w:jc w:val="center"/>
              <w:rPr>
                <w:rFonts w:hint="eastAsia" w:ascii="宋体" w:hAnsi="宋体" w:eastAsia="宋体" w:cs="宋体"/>
                <w:b/>
                <w:kern w:val="0"/>
                <w:szCs w:val="21"/>
              </w:rPr>
            </w:pPr>
            <w:r>
              <w:rPr>
                <w:rFonts w:hint="eastAsia" w:ascii="宋体" w:hAnsi="宋体" w:eastAsia="宋体" w:cs="宋体"/>
                <w:b/>
                <w:kern w:val="0"/>
                <w:szCs w:val="21"/>
              </w:rPr>
              <w:t>知识</w:t>
            </w:r>
          </w:p>
          <w:p w14:paraId="07D3DCFD">
            <w:pPr>
              <w:jc w:val="center"/>
              <w:rPr>
                <w:rFonts w:hint="eastAsia" w:ascii="宋体" w:hAnsi="宋体" w:eastAsia="宋体" w:cs="宋体"/>
                <w:b/>
                <w:kern w:val="0"/>
                <w:szCs w:val="21"/>
              </w:rPr>
            </w:pPr>
            <w:r>
              <w:rPr>
                <w:rFonts w:hint="eastAsia" w:ascii="宋体" w:hAnsi="宋体" w:eastAsia="宋体" w:cs="宋体"/>
                <w:b/>
                <w:kern w:val="0"/>
                <w:szCs w:val="21"/>
              </w:rPr>
              <w:t>单元</w:t>
            </w:r>
          </w:p>
        </w:tc>
        <w:tc>
          <w:tcPr>
            <w:tcW w:w="2042" w:type="dxa"/>
            <w:vAlign w:val="center"/>
          </w:tcPr>
          <w:p w14:paraId="65D19599">
            <w:pPr>
              <w:jc w:val="center"/>
              <w:rPr>
                <w:rFonts w:hint="eastAsia" w:ascii="宋体" w:hAnsi="宋体" w:eastAsia="宋体" w:cs="宋体"/>
                <w:b/>
                <w:kern w:val="0"/>
                <w:szCs w:val="21"/>
              </w:rPr>
            </w:pPr>
            <w:r>
              <w:rPr>
                <w:rFonts w:hint="eastAsia" w:ascii="宋体" w:hAnsi="宋体" w:eastAsia="宋体" w:cs="宋体"/>
                <w:b/>
                <w:kern w:val="0"/>
                <w:szCs w:val="21"/>
              </w:rPr>
              <w:t>知识点</w:t>
            </w:r>
          </w:p>
        </w:tc>
        <w:tc>
          <w:tcPr>
            <w:tcW w:w="1147" w:type="dxa"/>
            <w:vAlign w:val="center"/>
          </w:tcPr>
          <w:p w14:paraId="3464F78F">
            <w:pPr>
              <w:jc w:val="center"/>
              <w:rPr>
                <w:rFonts w:hint="eastAsia" w:ascii="宋体" w:hAnsi="宋体" w:eastAsia="宋体" w:cs="宋体"/>
                <w:b/>
                <w:kern w:val="0"/>
                <w:szCs w:val="21"/>
              </w:rPr>
            </w:pPr>
            <w:r>
              <w:rPr>
                <w:rFonts w:hint="eastAsia" w:ascii="宋体" w:hAnsi="宋体" w:eastAsia="宋体" w:cs="宋体"/>
                <w:b/>
                <w:kern w:val="0"/>
                <w:szCs w:val="21"/>
              </w:rPr>
              <w:t>对应</w:t>
            </w:r>
          </w:p>
          <w:p w14:paraId="2079EEC9">
            <w:pPr>
              <w:jc w:val="center"/>
              <w:rPr>
                <w:rFonts w:hint="eastAsia" w:ascii="宋体" w:hAnsi="宋体" w:eastAsia="宋体" w:cs="宋体"/>
                <w:b/>
                <w:kern w:val="0"/>
                <w:szCs w:val="21"/>
              </w:rPr>
            </w:pPr>
            <w:r>
              <w:rPr>
                <w:rFonts w:hint="eastAsia" w:ascii="宋体" w:hAnsi="宋体" w:eastAsia="宋体" w:cs="宋体"/>
                <w:b/>
                <w:kern w:val="0"/>
                <w:szCs w:val="21"/>
              </w:rPr>
              <w:t>课程目标</w:t>
            </w:r>
          </w:p>
        </w:tc>
        <w:tc>
          <w:tcPr>
            <w:tcW w:w="3040" w:type="dxa"/>
            <w:vAlign w:val="center"/>
          </w:tcPr>
          <w:p w14:paraId="00CA5397">
            <w:pPr>
              <w:jc w:val="center"/>
              <w:rPr>
                <w:rFonts w:hint="eastAsia" w:ascii="宋体" w:hAnsi="宋体" w:eastAsia="宋体" w:cs="宋体"/>
                <w:b/>
                <w:kern w:val="0"/>
                <w:szCs w:val="21"/>
              </w:rPr>
            </w:pPr>
            <w:r>
              <w:rPr>
                <w:rFonts w:hint="eastAsia" w:ascii="宋体" w:hAnsi="宋体" w:eastAsia="宋体" w:cs="宋体"/>
                <w:b/>
                <w:kern w:val="0"/>
                <w:szCs w:val="21"/>
              </w:rPr>
              <w:t>预期学习成效</w:t>
            </w:r>
          </w:p>
        </w:tc>
        <w:tc>
          <w:tcPr>
            <w:tcW w:w="1560" w:type="dxa"/>
            <w:vAlign w:val="center"/>
          </w:tcPr>
          <w:p w14:paraId="6CF56EAA">
            <w:pPr>
              <w:jc w:val="center"/>
              <w:rPr>
                <w:rFonts w:hint="eastAsia" w:ascii="宋体" w:hAnsi="宋体" w:eastAsia="宋体" w:cs="宋体"/>
                <w:b/>
                <w:kern w:val="0"/>
                <w:szCs w:val="21"/>
              </w:rPr>
            </w:pPr>
            <w:r>
              <w:rPr>
                <w:rFonts w:hint="eastAsia" w:ascii="宋体" w:hAnsi="宋体" w:eastAsia="宋体" w:cs="宋体"/>
                <w:b/>
                <w:kern w:val="0"/>
                <w:szCs w:val="21"/>
              </w:rPr>
              <w:t>实现环节</w:t>
            </w:r>
          </w:p>
        </w:tc>
        <w:tc>
          <w:tcPr>
            <w:tcW w:w="438" w:type="dxa"/>
            <w:vAlign w:val="center"/>
          </w:tcPr>
          <w:p w14:paraId="1EA37369">
            <w:pPr>
              <w:jc w:val="center"/>
              <w:rPr>
                <w:rFonts w:hint="eastAsia" w:ascii="宋体" w:hAnsi="宋体" w:eastAsia="宋体" w:cs="宋体"/>
                <w:b/>
                <w:kern w:val="0"/>
                <w:szCs w:val="21"/>
              </w:rPr>
            </w:pPr>
            <w:r>
              <w:rPr>
                <w:rFonts w:hint="eastAsia" w:ascii="宋体" w:hAnsi="宋体" w:eastAsia="宋体" w:cs="宋体"/>
                <w:b/>
                <w:kern w:val="0"/>
                <w:szCs w:val="21"/>
              </w:rPr>
              <w:t>学时</w:t>
            </w:r>
          </w:p>
        </w:tc>
      </w:tr>
      <w:tr w14:paraId="46465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4" w:hRule="atLeast"/>
          <w:jc w:val="center"/>
        </w:trPr>
        <w:tc>
          <w:tcPr>
            <w:tcW w:w="1071" w:type="dxa"/>
            <w:vAlign w:val="center"/>
          </w:tcPr>
          <w:p w14:paraId="36BEA5F3">
            <w:pPr>
              <w:spacing w:line="264" w:lineRule="auto"/>
              <w:rPr>
                <w:rFonts w:hint="eastAsia" w:ascii="宋体" w:hAnsi="宋体" w:eastAsia="宋体" w:cs="宋体"/>
                <w:kern w:val="0"/>
                <w:szCs w:val="21"/>
              </w:rPr>
            </w:pPr>
            <w:r>
              <w:rPr>
                <w:rFonts w:hint="eastAsia" w:ascii="宋体" w:hAnsi="宋体" w:eastAsia="宋体" w:cs="宋体"/>
                <w:kern w:val="0"/>
                <w:szCs w:val="21"/>
              </w:rPr>
              <w:t>1.导论</w:t>
            </w:r>
          </w:p>
        </w:tc>
        <w:tc>
          <w:tcPr>
            <w:tcW w:w="2042" w:type="dxa"/>
            <w:vAlign w:val="center"/>
          </w:tcPr>
          <w:p w14:paraId="4AF121EF">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（1）马克思主义中国化的科学内涵</w:t>
            </w:r>
          </w:p>
          <w:p w14:paraId="1FAFB2AE">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（2）马克思主义中国化的两大历史性飞跃</w:t>
            </w:r>
          </w:p>
          <w:p w14:paraId="3266836B">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（3）毛泽东思想和中国特色社会主义理论体系的关系</w:t>
            </w:r>
          </w:p>
        </w:tc>
        <w:tc>
          <w:tcPr>
            <w:tcW w:w="1147" w:type="dxa"/>
            <w:vAlign w:val="center"/>
          </w:tcPr>
          <w:p w14:paraId="21CC8148">
            <w:pPr>
              <w:adjustRightInd w:val="0"/>
              <w:snapToGrid w:val="0"/>
              <w:spacing w:line="264" w:lineRule="auto"/>
              <w:jc w:val="center"/>
              <w:rPr>
                <w:rFonts w:hint="eastAsia" w:ascii="宋体" w:hAnsi="宋体" w:eastAsia="宋体" w:cs="宋体"/>
                <w:kern w:val="0"/>
                <w:szCs w:val="21"/>
              </w:rPr>
            </w:pPr>
            <w:r>
              <w:rPr>
                <w:rFonts w:hint="eastAsia" w:ascii="宋体" w:hAnsi="宋体" w:eastAsia="宋体" w:cs="宋体"/>
                <w:kern w:val="0"/>
                <w:szCs w:val="21"/>
              </w:rPr>
              <w:t>课程目标1、2、3</w:t>
            </w:r>
          </w:p>
        </w:tc>
        <w:tc>
          <w:tcPr>
            <w:tcW w:w="3040" w:type="dxa"/>
            <w:vAlign w:val="center"/>
          </w:tcPr>
          <w:p w14:paraId="3D885FBA">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1.通过教学，使学生了解和掌握马克思主义中国化的科学内涵、实质及两大历史性飞跃；</w:t>
            </w:r>
          </w:p>
          <w:p w14:paraId="33CD41BB">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2.了解开设本课程的目的与要求、教材主要内容及逻辑结构、学习要求；</w:t>
            </w:r>
          </w:p>
          <w:p w14:paraId="645F70A2">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3.理解毛泽东思想和中国特色社会主义理论体系的关系；深刻认识学习本课程的重要性。</w:t>
            </w:r>
          </w:p>
        </w:tc>
        <w:tc>
          <w:tcPr>
            <w:tcW w:w="1560" w:type="dxa"/>
            <w:vAlign w:val="center"/>
          </w:tcPr>
          <w:p w14:paraId="3C70DE8E">
            <w:pPr>
              <w:spacing w:line="269" w:lineRule="auto"/>
              <w:jc w:val="left"/>
              <w:rPr>
                <w:rFonts w:hint="eastAsia" w:ascii="宋体" w:hAnsi="宋体" w:eastAsia="宋体" w:cs="宋体"/>
                <w:kern w:val="0"/>
                <w:szCs w:val="21"/>
              </w:rPr>
            </w:pPr>
            <w:r>
              <w:rPr>
                <w:rFonts w:hint="eastAsia" w:ascii="宋体" w:hAnsi="宋体" w:eastAsia="宋体" w:cs="宋体"/>
                <w:kern w:val="0"/>
                <w:szCs w:val="21"/>
              </w:rPr>
              <w:t>1.线上学习</w:t>
            </w:r>
          </w:p>
          <w:p w14:paraId="5116B00C">
            <w:pPr>
              <w:spacing w:line="269" w:lineRule="auto"/>
              <w:jc w:val="left"/>
              <w:rPr>
                <w:rFonts w:hint="eastAsia" w:ascii="宋体" w:hAnsi="宋体" w:eastAsia="宋体" w:cs="宋体"/>
                <w:kern w:val="0"/>
                <w:szCs w:val="21"/>
              </w:rPr>
            </w:pPr>
            <w:r>
              <w:rPr>
                <w:rFonts w:hint="eastAsia" w:ascii="宋体" w:hAnsi="宋体" w:eastAsia="宋体" w:cs="宋体"/>
                <w:kern w:val="0"/>
                <w:szCs w:val="21"/>
              </w:rPr>
              <w:t>2.多媒体教学</w:t>
            </w:r>
          </w:p>
          <w:p w14:paraId="6E6C9A9E">
            <w:pPr>
              <w:spacing w:line="269" w:lineRule="auto"/>
              <w:jc w:val="left"/>
              <w:rPr>
                <w:rFonts w:hint="eastAsia" w:ascii="宋体" w:hAnsi="宋体" w:eastAsia="宋体" w:cs="宋体"/>
                <w:kern w:val="0"/>
                <w:szCs w:val="21"/>
              </w:rPr>
            </w:pPr>
            <w:r>
              <w:rPr>
                <w:rFonts w:hint="eastAsia" w:ascii="宋体" w:hAnsi="宋体" w:eastAsia="宋体" w:cs="宋体"/>
                <w:kern w:val="0"/>
                <w:szCs w:val="21"/>
              </w:rPr>
              <w:t>3.课堂讨论</w:t>
            </w:r>
          </w:p>
          <w:p w14:paraId="57748C91">
            <w:pPr>
              <w:spacing w:line="269" w:lineRule="auto"/>
              <w:jc w:val="left"/>
              <w:rPr>
                <w:rFonts w:hint="eastAsia" w:ascii="宋体" w:hAnsi="宋体" w:eastAsia="宋体" w:cs="宋体"/>
                <w:kern w:val="0"/>
                <w:szCs w:val="21"/>
              </w:rPr>
            </w:pPr>
            <w:r>
              <w:rPr>
                <w:rFonts w:hint="eastAsia" w:ascii="宋体" w:hAnsi="宋体" w:eastAsia="宋体" w:cs="宋体"/>
                <w:kern w:val="0"/>
                <w:szCs w:val="21"/>
              </w:rPr>
              <w:t>4.单元测验</w:t>
            </w:r>
          </w:p>
        </w:tc>
        <w:tc>
          <w:tcPr>
            <w:tcW w:w="438" w:type="dxa"/>
            <w:vAlign w:val="center"/>
          </w:tcPr>
          <w:p w14:paraId="2D41898B">
            <w:pPr>
              <w:spacing w:line="269" w:lineRule="auto"/>
              <w:jc w:val="center"/>
              <w:rPr>
                <w:rFonts w:hint="eastAsia" w:ascii="宋体" w:hAnsi="宋体" w:eastAsia="宋体" w:cs="宋体"/>
                <w:kern w:val="0"/>
                <w:szCs w:val="21"/>
              </w:rPr>
            </w:pPr>
            <w:r>
              <w:rPr>
                <w:rFonts w:hint="eastAsia" w:ascii="宋体" w:hAnsi="宋体" w:eastAsia="宋体" w:cs="宋体"/>
                <w:kern w:val="0"/>
                <w:szCs w:val="21"/>
              </w:rPr>
              <w:t>3</w:t>
            </w:r>
          </w:p>
        </w:tc>
      </w:tr>
      <w:tr w14:paraId="28C6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14A18000">
            <w:pPr>
              <w:spacing w:line="264" w:lineRule="auto"/>
              <w:rPr>
                <w:rFonts w:hint="eastAsia" w:ascii="宋体" w:hAnsi="宋体" w:eastAsia="宋体" w:cs="宋体"/>
                <w:kern w:val="0"/>
                <w:szCs w:val="21"/>
              </w:rPr>
            </w:pPr>
            <w:r>
              <w:rPr>
                <w:rFonts w:hint="eastAsia" w:ascii="宋体" w:hAnsi="宋体" w:eastAsia="宋体" w:cs="宋体"/>
                <w:kern w:val="0"/>
                <w:szCs w:val="21"/>
              </w:rPr>
              <w:t>2.毛泽东思想及其历史地位</w:t>
            </w:r>
          </w:p>
        </w:tc>
        <w:tc>
          <w:tcPr>
            <w:tcW w:w="2042" w:type="dxa"/>
            <w:vAlign w:val="center"/>
          </w:tcPr>
          <w:p w14:paraId="12B831E8">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（1）毛泽东思想的形成</w:t>
            </w:r>
          </w:p>
          <w:p w14:paraId="3F5F43B5">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（2）毛泽东思想的主要内容和活的灵魂</w:t>
            </w:r>
          </w:p>
          <w:p w14:paraId="44B559F6">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（3）毛泽东思想的历史地位</w:t>
            </w:r>
          </w:p>
        </w:tc>
        <w:tc>
          <w:tcPr>
            <w:tcW w:w="1147" w:type="dxa"/>
            <w:vAlign w:val="center"/>
          </w:tcPr>
          <w:p w14:paraId="7C48F8B9">
            <w:pPr>
              <w:adjustRightInd w:val="0"/>
              <w:snapToGrid w:val="0"/>
              <w:spacing w:line="264" w:lineRule="auto"/>
              <w:jc w:val="center"/>
              <w:rPr>
                <w:rFonts w:hint="eastAsia" w:ascii="宋体" w:hAnsi="宋体" w:eastAsia="宋体" w:cs="宋体"/>
                <w:kern w:val="0"/>
                <w:szCs w:val="21"/>
              </w:rPr>
            </w:pPr>
            <w:r>
              <w:rPr>
                <w:rFonts w:hint="eastAsia" w:ascii="宋体" w:hAnsi="宋体" w:eastAsia="宋体" w:cs="宋体"/>
                <w:kern w:val="0"/>
                <w:szCs w:val="21"/>
              </w:rPr>
              <w:t>课程目标1、2</w:t>
            </w:r>
          </w:p>
        </w:tc>
        <w:tc>
          <w:tcPr>
            <w:tcW w:w="3040" w:type="dxa"/>
            <w:vAlign w:val="center"/>
          </w:tcPr>
          <w:p w14:paraId="167AC08E">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1.通过教学，帮助学生了解毛泽东思想形成的社会历史条件和过程、主要内容；</w:t>
            </w:r>
          </w:p>
          <w:p w14:paraId="7E39B810">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2.理解毛泽东思想活的灵魂；深刻认识毛泽东思想的历史地位和指导意义。</w:t>
            </w:r>
          </w:p>
        </w:tc>
        <w:tc>
          <w:tcPr>
            <w:tcW w:w="1560" w:type="dxa"/>
            <w:vAlign w:val="center"/>
          </w:tcPr>
          <w:p w14:paraId="07572BA9">
            <w:pPr>
              <w:spacing w:line="269" w:lineRule="auto"/>
              <w:jc w:val="left"/>
              <w:rPr>
                <w:rFonts w:hint="eastAsia" w:ascii="宋体" w:hAnsi="宋体" w:eastAsia="宋体" w:cs="宋体"/>
                <w:kern w:val="0"/>
                <w:szCs w:val="21"/>
              </w:rPr>
            </w:pPr>
            <w:r>
              <w:rPr>
                <w:rFonts w:hint="eastAsia" w:ascii="宋体" w:hAnsi="宋体" w:eastAsia="宋体" w:cs="宋体"/>
                <w:kern w:val="0"/>
                <w:szCs w:val="21"/>
              </w:rPr>
              <w:t>1.线上学习</w:t>
            </w:r>
          </w:p>
          <w:p w14:paraId="3632B0F6">
            <w:pPr>
              <w:spacing w:line="269" w:lineRule="auto"/>
              <w:jc w:val="left"/>
              <w:rPr>
                <w:rFonts w:hint="eastAsia" w:ascii="宋体" w:hAnsi="宋体" w:eastAsia="宋体" w:cs="宋体"/>
                <w:kern w:val="0"/>
                <w:szCs w:val="21"/>
              </w:rPr>
            </w:pPr>
            <w:r>
              <w:rPr>
                <w:rFonts w:hint="eastAsia" w:ascii="宋体" w:hAnsi="宋体" w:eastAsia="宋体" w:cs="宋体"/>
                <w:kern w:val="0"/>
                <w:szCs w:val="21"/>
              </w:rPr>
              <w:t>2.多媒体教学</w:t>
            </w:r>
          </w:p>
          <w:p w14:paraId="51BB9A8B">
            <w:pPr>
              <w:spacing w:line="269" w:lineRule="auto"/>
              <w:jc w:val="left"/>
              <w:rPr>
                <w:rFonts w:hint="eastAsia" w:ascii="宋体" w:hAnsi="宋体" w:eastAsia="宋体" w:cs="宋体"/>
                <w:kern w:val="0"/>
                <w:szCs w:val="21"/>
              </w:rPr>
            </w:pPr>
            <w:r>
              <w:rPr>
                <w:rFonts w:hint="eastAsia" w:ascii="宋体" w:hAnsi="宋体" w:eastAsia="宋体" w:cs="宋体"/>
                <w:kern w:val="0"/>
                <w:szCs w:val="21"/>
              </w:rPr>
              <w:t>3.课堂讨论</w:t>
            </w:r>
          </w:p>
          <w:p w14:paraId="2524A3C9">
            <w:pPr>
              <w:spacing w:line="269" w:lineRule="auto"/>
              <w:jc w:val="left"/>
              <w:rPr>
                <w:rFonts w:hint="eastAsia" w:ascii="宋体" w:hAnsi="宋体" w:eastAsia="宋体" w:cs="宋体"/>
                <w:kern w:val="0"/>
                <w:szCs w:val="21"/>
              </w:rPr>
            </w:pPr>
            <w:r>
              <w:rPr>
                <w:rFonts w:hint="eastAsia" w:ascii="宋体" w:hAnsi="宋体" w:eastAsia="宋体" w:cs="宋体"/>
                <w:kern w:val="0"/>
                <w:szCs w:val="21"/>
              </w:rPr>
              <w:t>4.单元测验</w:t>
            </w:r>
          </w:p>
        </w:tc>
        <w:tc>
          <w:tcPr>
            <w:tcW w:w="438" w:type="dxa"/>
            <w:vAlign w:val="center"/>
          </w:tcPr>
          <w:p w14:paraId="09AC0EF8">
            <w:pPr>
              <w:spacing w:line="269" w:lineRule="auto"/>
              <w:jc w:val="center"/>
              <w:rPr>
                <w:rFonts w:hint="eastAsia" w:ascii="宋体" w:hAnsi="宋体" w:eastAsia="宋体" w:cs="宋体"/>
                <w:kern w:val="0"/>
                <w:szCs w:val="21"/>
              </w:rPr>
            </w:pPr>
            <w:r>
              <w:rPr>
                <w:rFonts w:hint="eastAsia" w:ascii="宋体" w:hAnsi="宋体" w:eastAsia="宋体" w:cs="宋体"/>
                <w:kern w:val="0"/>
                <w:szCs w:val="21"/>
              </w:rPr>
              <w:t>6</w:t>
            </w:r>
          </w:p>
        </w:tc>
      </w:tr>
      <w:tr w14:paraId="3CF7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73BFF69B">
            <w:pPr>
              <w:spacing w:line="264" w:lineRule="auto"/>
              <w:jc w:val="center"/>
              <w:rPr>
                <w:rFonts w:hint="eastAsia" w:ascii="宋体" w:hAnsi="宋体" w:eastAsia="宋体" w:cs="宋体"/>
                <w:kern w:val="0"/>
                <w:szCs w:val="21"/>
              </w:rPr>
            </w:pPr>
            <w:r>
              <w:rPr>
                <w:rFonts w:hint="eastAsia" w:ascii="宋体" w:hAnsi="宋体" w:eastAsia="宋体" w:cs="宋体"/>
                <w:kern w:val="0"/>
                <w:szCs w:val="21"/>
              </w:rPr>
              <w:t>3.新民主主义革命理论</w:t>
            </w:r>
          </w:p>
        </w:tc>
        <w:tc>
          <w:tcPr>
            <w:tcW w:w="2042" w:type="dxa"/>
            <w:vAlign w:val="center"/>
          </w:tcPr>
          <w:p w14:paraId="266481E2">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（1）新民主主义革命理论形成</w:t>
            </w:r>
          </w:p>
          <w:p w14:paraId="78D79264">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（2）新民主主义革命的总路线和基本纲领</w:t>
            </w:r>
          </w:p>
          <w:p w14:paraId="0117F7A0">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（3）新民主主义革命的道路和基本经验</w:t>
            </w:r>
          </w:p>
        </w:tc>
        <w:tc>
          <w:tcPr>
            <w:tcW w:w="1147" w:type="dxa"/>
            <w:vAlign w:val="center"/>
          </w:tcPr>
          <w:p w14:paraId="0F835AD1">
            <w:pPr>
              <w:adjustRightInd w:val="0"/>
              <w:snapToGrid w:val="0"/>
              <w:spacing w:line="264" w:lineRule="auto"/>
              <w:jc w:val="center"/>
              <w:rPr>
                <w:rFonts w:hint="eastAsia" w:ascii="宋体" w:hAnsi="宋体" w:eastAsia="宋体" w:cs="宋体"/>
                <w:kern w:val="0"/>
                <w:szCs w:val="21"/>
              </w:rPr>
            </w:pPr>
            <w:r>
              <w:rPr>
                <w:rFonts w:hint="eastAsia" w:ascii="宋体" w:hAnsi="宋体" w:eastAsia="宋体" w:cs="宋体"/>
                <w:kern w:val="0"/>
                <w:szCs w:val="21"/>
              </w:rPr>
              <w:t>课程目标1、2</w:t>
            </w:r>
          </w:p>
        </w:tc>
        <w:tc>
          <w:tcPr>
            <w:tcW w:w="3040" w:type="dxa"/>
            <w:vAlign w:val="center"/>
          </w:tcPr>
          <w:p w14:paraId="3D3FC56A">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1.通过教学帮助学生了解和掌握新民主主义革命理论的形成；</w:t>
            </w:r>
          </w:p>
          <w:p w14:paraId="52854F68">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2.理解新民主主义革命的总路线和基本纲领、新民主主义的革命道路和基本经验；</w:t>
            </w:r>
          </w:p>
          <w:p w14:paraId="5F442D7C">
            <w:p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kern w:val="0"/>
                <w:szCs w:val="21"/>
              </w:rPr>
              <w:t>3.深刻认识新民主主义革命理论的意义。</w:t>
            </w:r>
          </w:p>
        </w:tc>
        <w:tc>
          <w:tcPr>
            <w:tcW w:w="1560" w:type="dxa"/>
            <w:vAlign w:val="center"/>
          </w:tcPr>
          <w:p w14:paraId="5591CCAE">
            <w:pPr>
              <w:spacing w:line="269" w:lineRule="auto"/>
              <w:jc w:val="left"/>
              <w:rPr>
                <w:rFonts w:hint="eastAsia" w:ascii="宋体" w:hAnsi="宋体" w:eastAsia="宋体" w:cs="宋体"/>
                <w:kern w:val="0"/>
                <w:szCs w:val="21"/>
              </w:rPr>
            </w:pPr>
            <w:r>
              <w:rPr>
                <w:rFonts w:hint="eastAsia" w:ascii="宋体" w:hAnsi="宋体" w:eastAsia="宋体" w:cs="宋体"/>
                <w:kern w:val="0"/>
                <w:szCs w:val="21"/>
              </w:rPr>
              <w:t>1.线上学习</w:t>
            </w:r>
          </w:p>
          <w:p w14:paraId="556618DC">
            <w:pPr>
              <w:spacing w:line="269" w:lineRule="auto"/>
              <w:jc w:val="left"/>
              <w:rPr>
                <w:rFonts w:hint="eastAsia" w:ascii="宋体" w:hAnsi="宋体" w:eastAsia="宋体" w:cs="宋体"/>
                <w:kern w:val="0"/>
                <w:szCs w:val="21"/>
              </w:rPr>
            </w:pPr>
            <w:r>
              <w:rPr>
                <w:rFonts w:hint="eastAsia" w:ascii="宋体" w:hAnsi="宋体" w:eastAsia="宋体" w:cs="宋体"/>
                <w:kern w:val="0"/>
                <w:szCs w:val="21"/>
              </w:rPr>
              <w:t>2.多媒体教学</w:t>
            </w:r>
          </w:p>
          <w:p w14:paraId="48D48E1B">
            <w:pPr>
              <w:spacing w:line="269" w:lineRule="auto"/>
              <w:jc w:val="left"/>
              <w:rPr>
                <w:rFonts w:hint="eastAsia" w:ascii="宋体" w:hAnsi="宋体" w:eastAsia="宋体" w:cs="宋体"/>
                <w:kern w:val="0"/>
                <w:szCs w:val="21"/>
              </w:rPr>
            </w:pPr>
            <w:r>
              <w:rPr>
                <w:rFonts w:hint="eastAsia" w:ascii="宋体" w:hAnsi="宋体" w:eastAsia="宋体" w:cs="宋体"/>
                <w:kern w:val="0"/>
                <w:szCs w:val="21"/>
              </w:rPr>
              <w:t>3.课堂讨论</w:t>
            </w:r>
          </w:p>
          <w:p w14:paraId="1D5C8803">
            <w:pPr>
              <w:spacing w:line="269" w:lineRule="auto"/>
              <w:jc w:val="left"/>
              <w:rPr>
                <w:rFonts w:hint="eastAsia" w:ascii="宋体" w:hAnsi="宋体" w:eastAsia="宋体" w:cs="宋体"/>
                <w:kern w:val="0"/>
                <w:szCs w:val="21"/>
              </w:rPr>
            </w:pPr>
            <w:r>
              <w:rPr>
                <w:rFonts w:hint="eastAsia" w:ascii="宋体" w:hAnsi="宋体" w:eastAsia="宋体" w:cs="宋体"/>
                <w:kern w:val="0"/>
                <w:szCs w:val="21"/>
              </w:rPr>
              <w:t>4.单元测验</w:t>
            </w:r>
          </w:p>
        </w:tc>
        <w:tc>
          <w:tcPr>
            <w:tcW w:w="438" w:type="dxa"/>
            <w:vAlign w:val="center"/>
          </w:tcPr>
          <w:p w14:paraId="01DAABA4">
            <w:pPr>
              <w:spacing w:line="269" w:lineRule="auto"/>
              <w:jc w:val="center"/>
              <w:rPr>
                <w:rFonts w:hint="eastAsia" w:ascii="宋体" w:hAnsi="宋体" w:eastAsia="宋体" w:cs="宋体"/>
                <w:kern w:val="0"/>
                <w:szCs w:val="21"/>
              </w:rPr>
            </w:pPr>
            <w:r>
              <w:rPr>
                <w:rFonts w:hint="eastAsia" w:ascii="宋体" w:hAnsi="宋体" w:eastAsia="宋体" w:cs="宋体"/>
                <w:kern w:val="0"/>
                <w:szCs w:val="21"/>
              </w:rPr>
              <w:t>3</w:t>
            </w:r>
          </w:p>
        </w:tc>
      </w:tr>
      <w:tr w14:paraId="212C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7B97074C">
            <w:pPr>
              <w:spacing w:line="264" w:lineRule="auto"/>
              <w:jc w:val="center"/>
              <w:rPr>
                <w:rFonts w:hint="eastAsia" w:ascii="宋体" w:hAnsi="宋体" w:eastAsia="宋体" w:cs="宋体"/>
                <w:kern w:val="0"/>
                <w:szCs w:val="21"/>
              </w:rPr>
            </w:pPr>
            <w:r>
              <w:rPr>
                <w:rFonts w:hint="eastAsia" w:ascii="宋体" w:hAnsi="宋体" w:eastAsia="宋体" w:cs="宋体"/>
                <w:kern w:val="0"/>
                <w:szCs w:val="21"/>
              </w:rPr>
              <w:t>4.</w:t>
            </w:r>
            <w:r>
              <w:rPr>
                <w:rFonts w:hint="eastAsia" w:ascii="宋体" w:hAnsi="宋体" w:eastAsia="宋体" w:cs="宋体"/>
                <w:szCs w:val="21"/>
              </w:rPr>
              <w:t>社会主义改造理论</w:t>
            </w:r>
          </w:p>
        </w:tc>
        <w:tc>
          <w:tcPr>
            <w:tcW w:w="2042" w:type="dxa"/>
            <w:vAlign w:val="center"/>
          </w:tcPr>
          <w:p w14:paraId="6BFFF21B">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（1）从新民主主义到社会主义的转变</w:t>
            </w:r>
          </w:p>
          <w:p w14:paraId="54F7ED9E">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（2）社会主义改造道路和历史经验</w:t>
            </w:r>
          </w:p>
          <w:p w14:paraId="4663B152">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（3）社会主义制度在中国的确立</w:t>
            </w:r>
          </w:p>
          <w:p w14:paraId="79967858">
            <w:pPr>
              <w:adjustRightInd w:val="0"/>
              <w:snapToGrid w:val="0"/>
              <w:spacing w:line="264" w:lineRule="auto"/>
              <w:jc w:val="left"/>
              <w:rPr>
                <w:rFonts w:hint="eastAsia" w:ascii="宋体" w:hAnsi="宋体" w:eastAsia="宋体" w:cs="宋体"/>
                <w:kern w:val="0"/>
                <w:szCs w:val="21"/>
              </w:rPr>
            </w:pPr>
          </w:p>
        </w:tc>
        <w:tc>
          <w:tcPr>
            <w:tcW w:w="1147" w:type="dxa"/>
            <w:vAlign w:val="center"/>
          </w:tcPr>
          <w:p w14:paraId="1C93B4D8">
            <w:pPr>
              <w:adjustRightInd w:val="0"/>
              <w:snapToGrid w:val="0"/>
              <w:spacing w:line="264" w:lineRule="auto"/>
              <w:jc w:val="center"/>
              <w:rPr>
                <w:rFonts w:hint="eastAsia" w:ascii="宋体" w:hAnsi="宋体" w:eastAsia="宋体" w:cs="宋体"/>
                <w:kern w:val="0"/>
                <w:szCs w:val="21"/>
              </w:rPr>
            </w:pPr>
            <w:r>
              <w:rPr>
                <w:rFonts w:hint="eastAsia" w:ascii="宋体" w:hAnsi="宋体" w:eastAsia="宋体" w:cs="宋体"/>
                <w:kern w:val="0"/>
                <w:szCs w:val="21"/>
              </w:rPr>
              <w:t>课程目标1、2</w:t>
            </w:r>
          </w:p>
        </w:tc>
        <w:tc>
          <w:tcPr>
            <w:tcW w:w="3040" w:type="dxa"/>
            <w:vAlign w:val="center"/>
          </w:tcPr>
          <w:p w14:paraId="698D7318">
            <w:pPr>
              <w:numPr>
                <w:ilvl w:val="0"/>
                <w:numId w:val="1"/>
              </w:numPr>
              <w:adjustRightInd w:val="0"/>
              <w:snapToGrid w:val="0"/>
              <w:spacing w:line="264" w:lineRule="auto"/>
              <w:rPr>
                <w:rFonts w:hint="eastAsia" w:ascii="宋体" w:hAnsi="宋体" w:eastAsia="宋体" w:cs="宋体"/>
                <w:szCs w:val="21"/>
              </w:rPr>
            </w:pPr>
            <w:r>
              <w:rPr>
                <w:rFonts w:hint="eastAsia" w:ascii="宋体" w:hAnsi="宋体" w:eastAsia="宋体" w:cs="宋体"/>
                <w:szCs w:val="21"/>
              </w:rPr>
              <w:t>通过教学，帮助学生了解从新民主主义向社会主义的转变的历史必然性；</w:t>
            </w:r>
          </w:p>
          <w:p w14:paraId="72855B7F">
            <w:pPr>
              <w:numPr>
                <w:ilvl w:val="0"/>
                <w:numId w:val="1"/>
              </w:numPr>
              <w:adjustRightInd w:val="0"/>
              <w:snapToGrid w:val="0"/>
              <w:spacing w:line="264" w:lineRule="auto"/>
              <w:rPr>
                <w:rFonts w:hint="eastAsia" w:ascii="宋体" w:hAnsi="宋体" w:eastAsia="宋体" w:cs="宋体"/>
                <w:szCs w:val="21"/>
              </w:rPr>
            </w:pPr>
            <w:r>
              <w:rPr>
                <w:rFonts w:hint="eastAsia" w:ascii="宋体" w:hAnsi="宋体" w:eastAsia="宋体" w:cs="宋体"/>
                <w:szCs w:val="21"/>
              </w:rPr>
              <w:t>理解适合中国特点的社会主义改造道路；</w:t>
            </w:r>
          </w:p>
          <w:p w14:paraId="01141A0A">
            <w:pPr>
              <w:numPr>
                <w:ilvl w:val="0"/>
                <w:numId w:val="1"/>
              </w:numPr>
              <w:adjustRightInd w:val="0"/>
              <w:snapToGrid w:val="0"/>
              <w:spacing w:line="264" w:lineRule="auto"/>
              <w:rPr>
                <w:rFonts w:hint="eastAsia" w:ascii="宋体" w:hAnsi="宋体" w:eastAsia="宋体" w:cs="宋体"/>
                <w:kern w:val="0"/>
                <w:szCs w:val="21"/>
              </w:rPr>
            </w:pPr>
            <w:r>
              <w:rPr>
                <w:rFonts w:hint="eastAsia" w:ascii="宋体" w:hAnsi="宋体" w:eastAsia="宋体" w:cs="宋体"/>
                <w:szCs w:val="21"/>
              </w:rPr>
              <w:t>深刻认识社会主义制度在中国确立的历史意义。</w:t>
            </w:r>
          </w:p>
        </w:tc>
        <w:tc>
          <w:tcPr>
            <w:tcW w:w="1560" w:type="dxa"/>
            <w:vAlign w:val="center"/>
          </w:tcPr>
          <w:p w14:paraId="7B37B1B1">
            <w:pPr>
              <w:spacing w:line="269" w:lineRule="auto"/>
              <w:jc w:val="left"/>
              <w:rPr>
                <w:rFonts w:hint="eastAsia" w:ascii="宋体" w:hAnsi="宋体" w:eastAsia="宋体" w:cs="宋体"/>
                <w:kern w:val="0"/>
                <w:szCs w:val="21"/>
              </w:rPr>
            </w:pPr>
            <w:r>
              <w:rPr>
                <w:rFonts w:hint="eastAsia" w:ascii="宋体" w:hAnsi="宋体" w:eastAsia="宋体" w:cs="宋体"/>
                <w:kern w:val="0"/>
                <w:szCs w:val="21"/>
              </w:rPr>
              <w:t>1.线上学习</w:t>
            </w:r>
          </w:p>
          <w:p w14:paraId="22A8DF1F">
            <w:pPr>
              <w:spacing w:line="269" w:lineRule="auto"/>
              <w:jc w:val="left"/>
              <w:rPr>
                <w:rFonts w:hint="eastAsia" w:ascii="宋体" w:hAnsi="宋体" w:eastAsia="宋体" w:cs="宋体"/>
                <w:kern w:val="0"/>
                <w:szCs w:val="21"/>
              </w:rPr>
            </w:pPr>
            <w:r>
              <w:rPr>
                <w:rFonts w:hint="eastAsia" w:ascii="宋体" w:hAnsi="宋体" w:eastAsia="宋体" w:cs="宋体"/>
                <w:kern w:val="0"/>
                <w:szCs w:val="21"/>
              </w:rPr>
              <w:t>2.多媒体教学</w:t>
            </w:r>
          </w:p>
          <w:p w14:paraId="43846507">
            <w:pPr>
              <w:spacing w:line="269" w:lineRule="auto"/>
              <w:jc w:val="left"/>
              <w:rPr>
                <w:rFonts w:hint="eastAsia" w:ascii="宋体" w:hAnsi="宋体" w:eastAsia="宋体" w:cs="宋体"/>
                <w:kern w:val="0"/>
                <w:szCs w:val="21"/>
              </w:rPr>
            </w:pPr>
            <w:r>
              <w:rPr>
                <w:rFonts w:hint="eastAsia" w:ascii="宋体" w:hAnsi="宋体" w:eastAsia="宋体" w:cs="宋体"/>
                <w:kern w:val="0"/>
                <w:szCs w:val="21"/>
              </w:rPr>
              <w:t>3.课堂讨论</w:t>
            </w:r>
          </w:p>
          <w:p w14:paraId="4924A34C">
            <w:pPr>
              <w:spacing w:line="269" w:lineRule="auto"/>
              <w:jc w:val="left"/>
              <w:rPr>
                <w:rFonts w:hint="eastAsia" w:ascii="宋体" w:hAnsi="宋体" w:eastAsia="宋体" w:cs="宋体"/>
                <w:kern w:val="0"/>
                <w:szCs w:val="21"/>
              </w:rPr>
            </w:pPr>
            <w:r>
              <w:rPr>
                <w:rFonts w:hint="eastAsia" w:ascii="宋体" w:hAnsi="宋体" w:eastAsia="宋体" w:cs="宋体"/>
                <w:kern w:val="0"/>
                <w:szCs w:val="21"/>
              </w:rPr>
              <w:t>4.单元测验</w:t>
            </w:r>
          </w:p>
        </w:tc>
        <w:tc>
          <w:tcPr>
            <w:tcW w:w="438" w:type="dxa"/>
            <w:vAlign w:val="center"/>
          </w:tcPr>
          <w:p w14:paraId="1D9967B7">
            <w:pPr>
              <w:spacing w:line="269" w:lineRule="auto"/>
              <w:jc w:val="center"/>
              <w:rPr>
                <w:rFonts w:hint="eastAsia" w:ascii="宋体" w:hAnsi="宋体" w:eastAsia="宋体" w:cs="宋体"/>
                <w:kern w:val="0"/>
                <w:szCs w:val="21"/>
              </w:rPr>
            </w:pPr>
            <w:r>
              <w:rPr>
                <w:rFonts w:hint="eastAsia" w:ascii="宋体" w:hAnsi="宋体" w:eastAsia="宋体" w:cs="宋体"/>
                <w:kern w:val="0"/>
                <w:szCs w:val="21"/>
              </w:rPr>
              <w:t>6</w:t>
            </w:r>
          </w:p>
        </w:tc>
      </w:tr>
      <w:tr w14:paraId="0EE3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445490C1">
            <w:pPr>
              <w:spacing w:line="276" w:lineRule="auto"/>
              <w:jc w:val="center"/>
              <w:rPr>
                <w:rFonts w:hint="eastAsia" w:ascii="宋体" w:hAnsi="宋体" w:eastAsia="宋体" w:cs="宋体"/>
                <w:kern w:val="0"/>
                <w:szCs w:val="21"/>
              </w:rPr>
            </w:pPr>
            <w:r>
              <w:rPr>
                <w:rFonts w:hint="eastAsia" w:ascii="宋体" w:hAnsi="宋体" w:eastAsia="宋体" w:cs="宋体"/>
                <w:kern w:val="0"/>
                <w:szCs w:val="21"/>
              </w:rPr>
              <w:t>5.社会主义建设道路初步探索的理论成果</w:t>
            </w:r>
          </w:p>
        </w:tc>
        <w:tc>
          <w:tcPr>
            <w:tcW w:w="2042" w:type="dxa"/>
            <w:vAlign w:val="center"/>
          </w:tcPr>
          <w:p w14:paraId="7B42175F">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（1）社会主义建设道路初步探索的重要理论成果</w:t>
            </w:r>
          </w:p>
          <w:p w14:paraId="3187A0DB">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（2）社会主义建设道路初步探索的意义和经验教训</w:t>
            </w:r>
          </w:p>
          <w:p w14:paraId="3B32C973">
            <w:pPr>
              <w:adjustRightInd w:val="0"/>
              <w:snapToGrid w:val="0"/>
              <w:spacing w:line="264" w:lineRule="auto"/>
              <w:jc w:val="left"/>
              <w:rPr>
                <w:rFonts w:hint="eastAsia" w:ascii="宋体" w:hAnsi="宋体" w:eastAsia="宋体" w:cs="宋体"/>
                <w:kern w:val="0"/>
                <w:szCs w:val="21"/>
              </w:rPr>
            </w:pPr>
          </w:p>
        </w:tc>
        <w:tc>
          <w:tcPr>
            <w:tcW w:w="1147" w:type="dxa"/>
            <w:vAlign w:val="center"/>
          </w:tcPr>
          <w:p w14:paraId="26671D17">
            <w:pPr>
              <w:adjustRightInd w:val="0"/>
              <w:snapToGrid w:val="0"/>
              <w:spacing w:line="264" w:lineRule="auto"/>
              <w:jc w:val="center"/>
              <w:rPr>
                <w:rFonts w:hint="eastAsia" w:ascii="宋体" w:hAnsi="宋体" w:eastAsia="宋体" w:cs="宋体"/>
                <w:kern w:val="0"/>
                <w:szCs w:val="21"/>
              </w:rPr>
            </w:pPr>
            <w:r>
              <w:rPr>
                <w:rFonts w:hint="eastAsia" w:ascii="宋体" w:hAnsi="宋体" w:eastAsia="宋体" w:cs="宋体"/>
                <w:kern w:val="0"/>
                <w:szCs w:val="21"/>
              </w:rPr>
              <w:t>课程目标1、2</w:t>
            </w:r>
          </w:p>
        </w:tc>
        <w:tc>
          <w:tcPr>
            <w:tcW w:w="3040" w:type="dxa"/>
            <w:vAlign w:val="center"/>
          </w:tcPr>
          <w:p w14:paraId="5CD3CCCD">
            <w:pPr>
              <w:numPr>
                <w:ilvl w:val="0"/>
                <w:numId w:val="2"/>
              </w:numPr>
              <w:adjustRightInd w:val="0"/>
              <w:snapToGrid w:val="0"/>
              <w:spacing w:line="264" w:lineRule="auto"/>
              <w:jc w:val="left"/>
              <w:rPr>
                <w:rFonts w:hint="eastAsia" w:ascii="宋体" w:hAnsi="宋体" w:eastAsia="宋体" w:cs="宋体"/>
                <w:szCs w:val="21"/>
              </w:rPr>
            </w:pPr>
            <w:r>
              <w:rPr>
                <w:rFonts w:hint="eastAsia" w:ascii="宋体" w:hAnsi="宋体" w:eastAsia="宋体" w:cs="宋体"/>
                <w:szCs w:val="21"/>
              </w:rPr>
              <w:t>通过教学，帮助学生了解新中国成立后党对社会主义建设道路初步探索的思想成果；</w:t>
            </w:r>
          </w:p>
          <w:p w14:paraId="4464BF52">
            <w:pPr>
              <w:numPr>
                <w:ilvl w:val="0"/>
                <w:numId w:val="2"/>
              </w:num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szCs w:val="21"/>
              </w:rPr>
              <w:t>理解社会主义建设道路初步探索的意义和经验教训；</w:t>
            </w:r>
          </w:p>
          <w:p w14:paraId="680C8760">
            <w:pPr>
              <w:numPr>
                <w:ilvl w:val="0"/>
                <w:numId w:val="2"/>
              </w:num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szCs w:val="21"/>
              </w:rPr>
              <w:t>深刻认识社会主义建设道路初步探索过程中形成的正确的理论原则和经验总结，是毛泽东思想体系的重要内容。</w:t>
            </w:r>
          </w:p>
        </w:tc>
        <w:tc>
          <w:tcPr>
            <w:tcW w:w="1560" w:type="dxa"/>
            <w:vAlign w:val="center"/>
          </w:tcPr>
          <w:p w14:paraId="43B25EDE">
            <w:pPr>
              <w:spacing w:line="276" w:lineRule="auto"/>
              <w:jc w:val="left"/>
              <w:rPr>
                <w:rFonts w:hint="eastAsia" w:ascii="宋体" w:hAnsi="宋体" w:eastAsia="宋体" w:cs="宋体"/>
                <w:kern w:val="0"/>
                <w:szCs w:val="21"/>
              </w:rPr>
            </w:pPr>
            <w:r>
              <w:rPr>
                <w:rFonts w:hint="eastAsia" w:ascii="宋体" w:hAnsi="宋体" w:eastAsia="宋体" w:cs="宋体"/>
                <w:kern w:val="0"/>
                <w:szCs w:val="21"/>
              </w:rPr>
              <w:t>1.线上学习</w:t>
            </w:r>
          </w:p>
          <w:p w14:paraId="2CEE4131">
            <w:pPr>
              <w:spacing w:line="276" w:lineRule="auto"/>
              <w:jc w:val="left"/>
              <w:rPr>
                <w:rFonts w:hint="eastAsia" w:ascii="宋体" w:hAnsi="宋体" w:eastAsia="宋体" w:cs="宋体"/>
                <w:kern w:val="0"/>
                <w:szCs w:val="21"/>
              </w:rPr>
            </w:pPr>
            <w:r>
              <w:rPr>
                <w:rFonts w:hint="eastAsia" w:ascii="宋体" w:hAnsi="宋体" w:eastAsia="宋体" w:cs="宋体"/>
                <w:kern w:val="0"/>
                <w:szCs w:val="21"/>
              </w:rPr>
              <w:t>2.多媒体教学</w:t>
            </w:r>
          </w:p>
          <w:p w14:paraId="4B47C6C6">
            <w:pPr>
              <w:spacing w:line="276" w:lineRule="auto"/>
              <w:jc w:val="left"/>
              <w:rPr>
                <w:rFonts w:hint="eastAsia" w:ascii="宋体" w:hAnsi="宋体" w:eastAsia="宋体" w:cs="宋体"/>
                <w:kern w:val="0"/>
                <w:szCs w:val="21"/>
              </w:rPr>
            </w:pPr>
            <w:r>
              <w:rPr>
                <w:rFonts w:hint="eastAsia" w:ascii="宋体" w:hAnsi="宋体" w:eastAsia="宋体" w:cs="宋体"/>
                <w:kern w:val="0"/>
                <w:szCs w:val="21"/>
              </w:rPr>
              <w:t>3.课堂讨论</w:t>
            </w:r>
          </w:p>
          <w:p w14:paraId="1BA168D5">
            <w:pPr>
              <w:spacing w:line="276" w:lineRule="auto"/>
              <w:jc w:val="left"/>
              <w:rPr>
                <w:rFonts w:hint="eastAsia" w:ascii="宋体" w:hAnsi="宋体" w:eastAsia="宋体" w:cs="宋体"/>
                <w:kern w:val="0"/>
                <w:szCs w:val="21"/>
              </w:rPr>
            </w:pPr>
            <w:r>
              <w:rPr>
                <w:rFonts w:hint="eastAsia" w:ascii="宋体" w:hAnsi="宋体" w:eastAsia="宋体" w:cs="宋体"/>
                <w:kern w:val="0"/>
                <w:szCs w:val="21"/>
              </w:rPr>
              <w:t>4.单元测验</w:t>
            </w:r>
          </w:p>
        </w:tc>
        <w:tc>
          <w:tcPr>
            <w:tcW w:w="438" w:type="dxa"/>
            <w:vAlign w:val="center"/>
          </w:tcPr>
          <w:p w14:paraId="1A3F711F">
            <w:pPr>
              <w:spacing w:line="269" w:lineRule="auto"/>
              <w:jc w:val="center"/>
              <w:rPr>
                <w:rFonts w:hint="eastAsia" w:ascii="宋体" w:hAnsi="宋体" w:eastAsia="宋体" w:cs="宋体"/>
                <w:kern w:val="0"/>
                <w:szCs w:val="21"/>
              </w:rPr>
            </w:pPr>
            <w:r>
              <w:rPr>
                <w:rFonts w:hint="eastAsia" w:ascii="宋体" w:hAnsi="宋体" w:eastAsia="宋体" w:cs="宋体"/>
                <w:kern w:val="0"/>
                <w:szCs w:val="21"/>
              </w:rPr>
              <w:t>3</w:t>
            </w:r>
          </w:p>
        </w:tc>
      </w:tr>
      <w:tr w14:paraId="25C6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489FA8D8">
            <w:pPr>
              <w:spacing w:line="276" w:lineRule="auto"/>
              <w:jc w:val="center"/>
              <w:rPr>
                <w:rFonts w:hint="eastAsia" w:ascii="宋体" w:hAnsi="宋体" w:eastAsia="宋体" w:cs="宋体"/>
                <w:kern w:val="0"/>
                <w:szCs w:val="21"/>
              </w:rPr>
            </w:pPr>
            <w:r>
              <w:rPr>
                <w:rFonts w:hint="eastAsia" w:ascii="宋体" w:hAnsi="宋体" w:eastAsia="宋体" w:cs="宋体"/>
                <w:kern w:val="0"/>
                <w:szCs w:val="21"/>
              </w:rPr>
              <w:t>6.</w:t>
            </w:r>
            <w:r>
              <w:rPr>
                <w:rFonts w:hint="eastAsia" w:ascii="宋体" w:hAnsi="宋体" w:eastAsia="宋体" w:cs="宋体"/>
                <w:szCs w:val="21"/>
              </w:rPr>
              <w:t>邓小平理论</w:t>
            </w:r>
          </w:p>
        </w:tc>
        <w:tc>
          <w:tcPr>
            <w:tcW w:w="2042" w:type="dxa"/>
            <w:vAlign w:val="center"/>
          </w:tcPr>
          <w:p w14:paraId="301D41A8">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（1）邓小平理论的形成</w:t>
            </w:r>
          </w:p>
          <w:p w14:paraId="6D6CA60A">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（2）邓小平理论的基本问题和主要内容</w:t>
            </w:r>
          </w:p>
          <w:p w14:paraId="7C2ACFEE">
            <w:pPr>
              <w:adjustRightInd w:val="0"/>
              <w:snapToGrid w:val="0"/>
              <w:spacing w:line="264" w:lineRule="auto"/>
              <w:rPr>
                <w:rFonts w:hint="eastAsia" w:ascii="宋体" w:hAnsi="宋体" w:eastAsia="宋体" w:cs="宋体"/>
                <w:kern w:val="0"/>
                <w:szCs w:val="21"/>
              </w:rPr>
            </w:pPr>
            <w:r>
              <w:rPr>
                <w:rFonts w:hint="eastAsia" w:ascii="宋体" w:hAnsi="宋体" w:eastAsia="宋体" w:cs="宋体"/>
                <w:szCs w:val="21"/>
              </w:rPr>
              <w:t>（3）邓小平理论的历史地位</w:t>
            </w:r>
          </w:p>
        </w:tc>
        <w:tc>
          <w:tcPr>
            <w:tcW w:w="1147" w:type="dxa"/>
            <w:vAlign w:val="center"/>
          </w:tcPr>
          <w:p w14:paraId="1177D8DF">
            <w:pPr>
              <w:adjustRightInd w:val="0"/>
              <w:snapToGrid w:val="0"/>
              <w:spacing w:line="264" w:lineRule="auto"/>
              <w:jc w:val="center"/>
              <w:rPr>
                <w:rFonts w:hint="eastAsia" w:ascii="宋体" w:hAnsi="宋体" w:eastAsia="宋体" w:cs="宋体"/>
                <w:kern w:val="0"/>
                <w:szCs w:val="21"/>
              </w:rPr>
            </w:pPr>
            <w:r>
              <w:rPr>
                <w:rFonts w:hint="eastAsia" w:ascii="宋体" w:hAnsi="宋体" w:eastAsia="宋体" w:cs="宋体"/>
                <w:kern w:val="0"/>
                <w:szCs w:val="21"/>
              </w:rPr>
              <w:t>课程目标1、3</w:t>
            </w:r>
          </w:p>
        </w:tc>
        <w:tc>
          <w:tcPr>
            <w:tcW w:w="3040" w:type="dxa"/>
            <w:vAlign w:val="center"/>
          </w:tcPr>
          <w:p w14:paraId="3DC79CC8">
            <w:pPr>
              <w:numPr>
                <w:ilvl w:val="0"/>
                <w:numId w:val="3"/>
              </w:numPr>
              <w:adjustRightInd w:val="0"/>
              <w:snapToGrid w:val="0"/>
              <w:spacing w:line="264" w:lineRule="auto"/>
              <w:jc w:val="left"/>
              <w:rPr>
                <w:rFonts w:hint="eastAsia" w:ascii="宋体" w:hAnsi="宋体" w:eastAsia="宋体" w:cs="宋体"/>
                <w:szCs w:val="21"/>
              </w:rPr>
            </w:pPr>
            <w:r>
              <w:rPr>
                <w:rFonts w:hint="eastAsia" w:ascii="宋体" w:hAnsi="宋体" w:eastAsia="宋体" w:cs="宋体"/>
                <w:szCs w:val="21"/>
              </w:rPr>
              <w:t>通过教学，帮助学生了解邓小平理论形成的社会历史条件、过程；</w:t>
            </w:r>
          </w:p>
          <w:p w14:paraId="2DD68038">
            <w:pPr>
              <w:numPr>
                <w:ilvl w:val="0"/>
                <w:numId w:val="3"/>
              </w:num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szCs w:val="21"/>
              </w:rPr>
              <w:t>掌握和理解邓小平理论的基本问题和主要内容；</w:t>
            </w:r>
          </w:p>
          <w:p w14:paraId="1901BCD6">
            <w:pPr>
              <w:numPr>
                <w:ilvl w:val="0"/>
                <w:numId w:val="3"/>
              </w:numPr>
              <w:adjustRightInd w:val="0"/>
              <w:snapToGrid w:val="0"/>
              <w:spacing w:line="264" w:lineRule="auto"/>
              <w:jc w:val="left"/>
              <w:rPr>
                <w:rFonts w:hint="eastAsia" w:ascii="宋体" w:hAnsi="宋体" w:eastAsia="宋体" w:cs="宋体"/>
                <w:kern w:val="0"/>
                <w:szCs w:val="21"/>
              </w:rPr>
            </w:pPr>
            <w:r>
              <w:rPr>
                <w:rFonts w:hint="eastAsia" w:ascii="宋体" w:hAnsi="宋体" w:eastAsia="宋体" w:cs="宋体"/>
                <w:szCs w:val="21"/>
              </w:rPr>
              <w:t>深刻认识邓小平理论的历史地位和意义。</w:t>
            </w:r>
          </w:p>
        </w:tc>
        <w:tc>
          <w:tcPr>
            <w:tcW w:w="1560" w:type="dxa"/>
            <w:vAlign w:val="center"/>
          </w:tcPr>
          <w:p w14:paraId="72B62512">
            <w:pPr>
              <w:spacing w:line="276" w:lineRule="auto"/>
              <w:jc w:val="left"/>
              <w:rPr>
                <w:rFonts w:hint="eastAsia" w:ascii="宋体" w:hAnsi="宋体" w:eastAsia="宋体" w:cs="宋体"/>
                <w:kern w:val="0"/>
                <w:szCs w:val="21"/>
              </w:rPr>
            </w:pPr>
            <w:r>
              <w:rPr>
                <w:rFonts w:hint="eastAsia" w:ascii="宋体" w:hAnsi="宋体" w:eastAsia="宋体" w:cs="宋体"/>
                <w:kern w:val="0"/>
                <w:szCs w:val="21"/>
              </w:rPr>
              <w:t>1.线上学习</w:t>
            </w:r>
          </w:p>
          <w:p w14:paraId="50B920BE">
            <w:pPr>
              <w:spacing w:line="276" w:lineRule="auto"/>
              <w:jc w:val="left"/>
              <w:rPr>
                <w:rFonts w:hint="eastAsia" w:ascii="宋体" w:hAnsi="宋体" w:eastAsia="宋体" w:cs="宋体"/>
                <w:kern w:val="0"/>
                <w:szCs w:val="21"/>
              </w:rPr>
            </w:pPr>
            <w:r>
              <w:rPr>
                <w:rFonts w:hint="eastAsia" w:ascii="宋体" w:hAnsi="宋体" w:eastAsia="宋体" w:cs="宋体"/>
                <w:kern w:val="0"/>
                <w:szCs w:val="21"/>
              </w:rPr>
              <w:t>2.多媒体教学</w:t>
            </w:r>
          </w:p>
          <w:p w14:paraId="692A06F1">
            <w:pPr>
              <w:spacing w:line="276" w:lineRule="auto"/>
              <w:jc w:val="left"/>
              <w:rPr>
                <w:rFonts w:hint="eastAsia" w:ascii="宋体" w:hAnsi="宋体" w:eastAsia="宋体" w:cs="宋体"/>
                <w:kern w:val="0"/>
                <w:szCs w:val="21"/>
              </w:rPr>
            </w:pPr>
            <w:r>
              <w:rPr>
                <w:rFonts w:hint="eastAsia" w:ascii="宋体" w:hAnsi="宋体" w:eastAsia="宋体" w:cs="宋体"/>
                <w:kern w:val="0"/>
                <w:szCs w:val="21"/>
              </w:rPr>
              <w:t>3.课堂讨论</w:t>
            </w:r>
          </w:p>
          <w:p w14:paraId="0C59374D">
            <w:pPr>
              <w:spacing w:line="276" w:lineRule="auto"/>
              <w:jc w:val="left"/>
              <w:rPr>
                <w:rFonts w:hint="eastAsia" w:ascii="宋体" w:hAnsi="宋体" w:eastAsia="宋体" w:cs="宋体"/>
                <w:kern w:val="0"/>
                <w:szCs w:val="21"/>
              </w:rPr>
            </w:pPr>
            <w:r>
              <w:rPr>
                <w:rFonts w:hint="eastAsia" w:ascii="宋体" w:hAnsi="宋体" w:eastAsia="宋体" w:cs="宋体"/>
                <w:kern w:val="0"/>
                <w:szCs w:val="21"/>
              </w:rPr>
              <w:t>4.单元测验</w:t>
            </w:r>
          </w:p>
        </w:tc>
        <w:tc>
          <w:tcPr>
            <w:tcW w:w="438" w:type="dxa"/>
            <w:vAlign w:val="center"/>
          </w:tcPr>
          <w:p w14:paraId="55AB4017">
            <w:pPr>
              <w:spacing w:line="269" w:lineRule="auto"/>
              <w:jc w:val="center"/>
              <w:rPr>
                <w:rFonts w:hint="eastAsia" w:ascii="宋体" w:hAnsi="宋体" w:eastAsia="宋体" w:cs="宋体"/>
                <w:kern w:val="0"/>
                <w:szCs w:val="21"/>
              </w:rPr>
            </w:pPr>
            <w:r>
              <w:rPr>
                <w:rFonts w:hint="eastAsia" w:ascii="宋体" w:hAnsi="宋体" w:eastAsia="宋体" w:cs="宋体"/>
                <w:kern w:val="0"/>
                <w:szCs w:val="21"/>
              </w:rPr>
              <w:t>6</w:t>
            </w:r>
          </w:p>
        </w:tc>
      </w:tr>
      <w:tr w14:paraId="760F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4ECBF704">
            <w:pPr>
              <w:spacing w:line="276" w:lineRule="auto"/>
              <w:jc w:val="center"/>
              <w:rPr>
                <w:rFonts w:hint="eastAsia" w:ascii="宋体" w:hAnsi="宋体" w:eastAsia="宋体" w:cs="宋体"/>
                <w:kern w:val="0"/>
                <w:szCs w:val="21"/>
              </w:rPr>
            </w:pPr>
            <w:r>
              <w:rPr>
                <w:rFonts w:hint="eastAsia" w:ascii="宋体" w:hAnsi="宋体" w:eastAsia="宋体" w:cs="宋体"/>
                <w:kern w:val="0"/>
                <w:szCs w:val="21"/>
              </w:rPr>
              <w:t>7.</w:t>
            </w:r>
            <w:r>
              <w:rPr>
                <w:rFonts w:hint="eastAsia" w:ascii="宋体" w:hAnsi="宋体" w:eastAsia="宋体" w:cs="宋体"/>
                <w:szCs w:val="21"/>
              </w:rPr>
              <w:t>“三个代表”重要思想</w:t>
            </w:r>
          </w:p>
        </w:tc>
        <w:tc>
          <w:tcPr>
            <w:tcW w:w="2042" w:type="dxa"/>
            <w:vAlign w:val="center"/>
          </w:tcPr>
          <w:p w14:paraId="01D02288">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（1）“三个代表”重要思想的形成</w:t>
            </w:r>
          </w:p>
          <w:p w14:paraId="28C97939">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（2）“三个代表”重要思想的核心观点和主要内容</w:t>
            </w:r>
          </w:p>
          <w:p w14:paraId="543C53EE">
            <w:pPr>
              <w:adjustRightInd w:val="0"/>
              <w:snapToGrid w:val="0"/>
              <w:spacing w:line="264" w:lineRule="auto"/>
              <w:rPr>
                <w:rFonts w:hint="eastAsia" w:ascii="宋体" w:hAnsi="宋体" w:eastAsia="宋体" w:cs="宋体"/>
                <w:kern w:val="0"/>
                <w:szCs w:val="21"/>
              </w:rPr>
            </w:pPr>
            <w:r>
              <w:rPr>
                <w:rFonts w:hint="eastAsia" w:ascii="宋体" w:hAnsi="宋体" w:eastAsia="宋体" w:cs="宋体"/>
                <w:szCs w:val="21"/>
              </w:rPr>
              <w:t>（3）“三个代表”重要思想的历史地位和意义</w:t>
            </w:r>
          </w:p>
        </w:tc>
        <w:tc>
          <w:tcPr>
            <w:tcW w:w="1147" w:type="dxa"/>
            <w:vAlign w:val="center"/>
          </w:tcPr>
          <w:p w14:paraId="296CA23C">
            <w:pPr>
              <w:adjustRightInd w:val="0"/>
              <w:snapToGrid w:val="0"/>
              <w:spacing w:line="264" w:lineRule="auto"/>
              <w:jc w:val="center"/>
              <w:rPr>
                <w:rFonts w:hint="eastAsia" w:ascii="宋体" w:hAnsi="宋体" w:eastAsia="宋体" w:cs="宋体"/>
                <w:kern w:val="0"/>
                <w:szCs w:val="21"/>
              </w:rPr>
            </w:pPr>
            <w:r>
              <w:rPr>
                <w:rFonts w:hint="eastAsia" w:ascii="宋体" w:hAnsi="宋体" w:eastAsia="宋体" w:cs="宋体"/>
                <w:kern w:val="0"/>
                <w:szCs w:val="21"/>
              </w:rPr>
              <w:t>课程目标1、3</w:t>
            </w:r>
          </w:p>
        </w:tc>
        <w:tc>
          <w:tcPr>
            <w:tcW w:w="3040" w:type="dxa"/>
            <w:vAlign w:val="center"/>
          </w:tcPr>
          <w:p w14:paraId="4798AA4B">
            <w:pPr>
              <w:numPr>
                <w:ilvl w:val="0"/>
                <w:numId w:val="4"/>
              </w:numPr>
              <w:adjustRightInd w:val="0"/>
              <w:snapToGrid w:val="0"/>
              <w:spacing w:line="264" w:lineRule="auto"/>
              <w:rPr>
                <w:rFonts w:hint="eastAsia" w:ascii="宋体" w:hAnsi="宋体" w:eastAsia="宋体" w:cs="宋体"/>
                <w:szCs w:val="21"/>
              </w:rPr>
            </w:pPr>
            <w:r>
              <w:rPr>
                <w:rFonts w:hint="eastAsia" w:ascii="宋体" w:hAnsi="宋体" w:eastAsia="宋体" w:cs="宋体"/>
                <w:szCs w:val="21"/>
              </w:rPr>
              <w:t>通过学习，帮助学生了解“三个代表”重要思想的形成的社会历史条件和形成过程；</w:t>
            </w:r>
          </w:p>
          <w:p w14:paraId="46C9D88F">
            <w:pPr>
              <w:numPr>
                <w:ilvl w:val="0"/>
                <w:numId w:val="4"/>
              </w:numPr>
              <w:adjustRightInd w:val="0"/>
              <w:snapToGrid w:val="0"/>
              <w:spacing w:line="264" w:lineRule="auto"/>
              <w:rPr>
                <w:rFonts w:hint="eastAsia" w:ascii="宋体" w:hAnsi="宋体" w:eastAsia="宋体" w:cs="宋体"/>
                <w:szCs w:val="21"/>
              </w:rPr>
            </w:pPr>
            <w:r>
              <w:rPr>
                <w:rFonts w:hint="eastAsia" w:ascii="宋体" w:hAnsi="宋体" w:eastAsia="宋体" w:cs="宋体"/>
                <w:szCs w:val="21"/>
              </w:rPr>
              <w:t>理解“三个代表”重要思想的核心观点和主要内容；</w:t>
            </w:r>
          </w:p>
          <w:p w14:paraId="4885D392">
            <w:pPr>
              <w:numPr>
                <w:ilvl w:val="0"/>
                <w:numId w:val="4"/>
              </w:numPr>
              <w:adjustRightInd w:val="0"/>
              <w:snapToGrid w:val="0"/>
              <w:spacing w:line="264" w:lineRule="auto"/>
              <w:rPr>
                <w:rFonts w:hint="eastAsia" w:ascii="宋体" w:hAnsi="宋体" w:eastAsia="宋体" w:cs="宋体"/>
                <w:kern w:val="0"/>
                <w:szCs w:val="21"/>
              </w:rPr>
            </w:pPr>
            <w:r>
              <w:rPr>
                <w:rFonts w:hint="eastAsia" w:ascii="宋体" w:hAnsi="宋体" w:eastAsia="宋体" w:cs="宋体"/>
                <w:szCs w:val="21"/>
              </w:rPr>
              <w:t>深刻认识“三个代表”重要思想的历史地位和意义。</w:t>
            </w:r>
          </w:p>
        </w:tc>
        <w:tc>
          <w:tcPr>
            <w:tcW w:w="1560" w:type="dxa"/>
            <w:vAlign w:val="center"/>
          </w:tcPr>
          <w:p w14:paraId="511257E9">
            <w:pPr>
              <w:spacing w:line="276" w:lineRule="auto"/>
              <w:jc w:val="left"/>
              <w:rPr>
                <w:rFonts w:hint="eastAsia" w:ascii="宋体" w:hAnsi="宋体" w:eastAsia="宋体" w:cs="宋体"/>
                <w:kern w:val="0"/>
                <w:szCs w:val="21"/>
              </w:rPr>
            </w:pPr>
            <w:r>
              <w:rPr>
                <w:rFonts w:hint="eastAsia" w:ascii="宋体" w:hAnsi="宋体" w:eastAsia="宋体" w:cs="宋体"/>
                <w:kern w:val="0"/>
                <w:szCs w:val="21"/>
              </w:rPr>
              <w:t>1.线上学习</w:t>
            </w:r>
          </w:p>
          <w:p w14:paraId="47C3779C">
            <w:pPr>
              <w:spacing w:line="276" w:lineRule="auto"/>
              <w:jc w:val="left"/>
              <w:rPr>
                <w:rFonts w:hint="eastAsia" w:ascii="宋体" w:hAnsi="宋体" w:eastAsia="宋体" w:cs="宋体"/>
                <w:kern w:val="0"/>
                <w:szCs w:val="21"/>
              </w:rPr>
            </w:pPr>
            <w:r>
              <w:rPr>
                <w:rFonts w:hint="eastAsia" w:ascii="宋体" w:hAnsi="宋体" w:eastAsia="宋体" w:cs="宋体"/>
                <w:kern w:val="0"/>
                <w:szCs w:val="21"/>
              </w:rPr>
              <w:t>2.多媒体教学</w:t>
            </w:r>
          </w:p>
          <w:p w14:paraId="30D08014">
            <w:pPr>
              <w:spacing w:line="276" w:lineRule="auto"/>
              <w:jc w:val="left"/>
              <w:rPr>
                <w:rFonts w:hint="eastAsia" w:ascii="宋体" w:hAnsi="宋体" w:eastAsia="宋体" w:cs="宋体"/>
                <w:kern w:val="0"/>
                <w:szCs w:val="21"/>
              </w:rPr>
            </w:pPr>
            <w:r>
              <w:rPr>
                <w:rFonts w:hint="eastAsia" w:ascii="宋体" w:hAnsi="宋体" w:eastAsia="宋体" w:cs="宋体"/>
                <w:kern w:val="0"/>
                <w:szCs w:val="21"/>
              </w:rPr>
              <w:t>3.课堂讨论</w:t>
            </w:r>
          </w:p>
          <w:p w14:paraId="49CE4207">
            <w:pPr>
              <w:spacing w:line="276" w:lineRule="auto"/>
              <w:jc w:val="left"/>
              <w:rPr>
                <w:rFonts w:hint="eastAsia" w:ascii="宋体" w:hAnsi="宋体" w:eastAsia="宋体" w:cs="宋体"/>
                <w:kern w:val="0"/>
                <w:szCs w:val="21"/>
              </w:rPr>
            </w:pPr>
            <w:r>
              <w:rPr>
                <w:rFonts w:hint="eastAsia" w:ascii="宋体" w:hAnsi="宋体" w:eastAsia="宋体" w:cs="宋体"/>
                <w:kern w:val="0"/>
                <w:szCs w:val="21"/>
              </w:rPr>
              <w:t>4.单元测验</w:t>
            </w:r>
          </w:p>
        </w:tc>
        <w:tc>
          <w:tcPr>
            <w:tcW w:w="438" w:type="dxa"/>
            <w:vAlign w:val="center"/>
          </w:tcPr>
          <w:p w14:paraId="08C7DA51">
            <w:pPr>
              <w:spacing w:line="269" w:lineRule="auto"/>
              <w:jc w:val="center"/>
              <w:rPr>
                <w:rFonts w:hint="eastAsia" w:ascii="宋体" w:hAnsi="宋体" w:eastAsia="宋体" w:cs="宋体"/>
                <w:kern w:val="0"/>
                <w:szCs w:val="21"/>
              </w:rPr>
            </w:pPr>
            <w:r>
              <w:rPr>
                <w:rFonts w:hint="eastAsia" w:ascii="宋体" w:hAnsi="宋体" w:eastAsia="宋体" w:cs="宋体"/>
                <w:kern w:val="0"/>
                <w:szCs w:val="21"/>
              </w:rPr>
              <w:t>6</w:t>
            </w:r>
          </w:p>
        </w:tc>
      </w:tr>
      <w:tr w14:paraId="484E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3A4292AD">
            <w:pPr>
              <w:spacing w:line="264" w:lineRule="auto"/>
              <w:jc w:val="center"/>
              <w:rPr>
                <w:rFonts w:hint="eastAsia" w:ascii="宋体" w:hAnsi="宋体" w:eastAsia="宋体" w:cs="宋体"/>
                <w:kern w:val="0"/>
                <w:szCs w:val="21"/>
              </w:rPr>
            </w:pPr>
            <w:r>
              <w:rPr>
                <w:rFonts w:hint="eastAsia" w:ascii="宋体" w:hAnsi="宋体" w:eastAsia="宋体" w:cs="宋体"/>
                <w:kern w:val="0"/>
                <w:szCs w:val="21"/>
              </w:rPr>
              <w:t>8.</w:t>
            </w:r>
            <w:r>
              <w:rPr>
                <w:rFonts w:hint="eastAsia" w:ascii="宋体" w:hAnsi="宋体" w:eastAsia="宋体" w:cs="宋体"/>
                <w:szCs w:val="21"/>
              </w:rPr>
              <w:t>科学发展观</w:t>
            </w:r>
          </w:p>
        </w:tc>
        <w:tc>
          <w:tcPr>
            <w:tcW w:w="2042" w:type="dxa"/>
            <w:vAlign w:val="center"/>
          </w:tcPr>
          <w:p w14:paraId="2701CD18">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（1）科学发展观的形成</w:t>
            </w:r>
          </w:p>
          <w:p w14:paraId="0B25C7D2">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（2）科学发展观重要思想的科学内涵和主要内容</w:t>
            </w:r>
          </w:p>
          <w:p w14:paraId="436F7C4F">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（3）科学发展观的历史地位和意义</w:t>
            </w:r>
          </w:p>
        </w:tc>
        <w:tc>
          <w:tcPr>
            <w:tcW w:w="1147" w:type="dxa"/>
            <w:vAlign w:val="center"/>
          </w:tcPr>
          <w:p w14:paraId="2700C54F">
            <w:pPr>
              <w:adjustRightInd w:val="0"/>
              <w:snapToGrid w:val="0"/>
              <w:spacing w:line="264" w:lineRule="auto"/>
              <w:jc w:val="center"/>
              <w:rPr>
                <w:rFonts w:hint="eastAsia" w:ascii="宋体" w:hAnsi="宋体" w:eastAsia="宋体" w:cs="宋体"/>
                <w:kern w:val="0"/>
                <w:szCs w:val="21"/>
              </w:rPr>
            </w:pPr>
            <w:r>
              <w:rPr>
                <w:rFonts w:hint="eastAsia" w:ascii="宋体" w:hAnsi="宋体" w:eastAsia="宋体" w:cs="宋体"/>
                <w:kern w:val="0"/>
                <w:szCs w:val="21"/>
              </w:rPr>
              <w:t>课程目标1、2</w:t>
            </w:r>
          </w:p>
        </w:tc>
        <w:tc>
          <w:tcPr>
            <w:tcW w:w="3040" w:type="dxa"/>
            <w:vAlign w:val="center"/>
          </w:tcPr>
          <w:p w14:paraId="639E1CAC">
            <w:pPr>
              <w:numPr>
                <w:ilvl w:val="0"/>
                <w:numId w:val="5"/>
              </w:numPr>
              <w:adjustRightInd w:val="0"/>
              <w:snapToGrid w:val="0"/>
              <w:spacing w:line="264" w:lineRule="auto"/>
              <w:rPr>
                <w:rFonts w:hint="eastAsia" w:ascii="宋体" w:hAnsi="宋体" w:eastAsia="宋体" w:cs="宋体"/>
                <w:szCs w:val="21"/>
              </w:rPr>
            </w:pPr>
            <w:r>
              <w:rPr>
                <w:rFonts w:hint="eastAsia" w:ascii="宋体" w:hAnsi="宋体" w:eastAsia="宋体" w:cs="宋体"/>
                <w:szCs w:val="21"/>
              </w:rPr>
              <w:t>通过学习，帮助学生了解科学发展观形成的社会历史条件和形成过程；</w:t>
            </w:r>
          </w:p>
          <w:p w14:paraId="43BEDC6F">
            <w:pPr>
              <w:numPr>
                <w:ilvl w:val="0"/>
                <w:numId w:val="5"/>
              </w:numPr>
              <w:adjustRightInd w:val="0"/>
              <w:snapToGrid w:val="0"/>
              <w:spacing w:line="264" w:lineRule="auto"/>
              <w:rPr>
                <w:rFonts w:hint="eastAsia" w:ascii="宋体" w:hAnsi="宋体" w:eastAsia="宋体" w:cs="宋体"/>
                <w:szCs w:val="21"/>
              </w:rPr>
            </w:pPr>
            <w:r>
              <w:rPr>
                <w:rFonts w:hint="eastAsia" w:ascii="宋体" w:hAnsi="宋体" w:eastAsia="宋体" w:cs="宋体"/>
                <w:szCs w:val="21"/>
              </w:rPr>
              <w:t>理解科学发展观重要思想的科学内涵和主要内容；</w:t>
            </w:r>
          </w:p>
          <w:p w14:paraId="0C1B6206">
            <w:pPr>
              <w:numPr>
                <w:ilvl w:val="0"/>
                <w:numId w:val="5"/>
              </w:numPr>
              <w:adjustRightInd w:val="0"/>
              <w:snapToGrid w:val="0"/>
              <w:spacing w:line="264" w:lineRule="auto"/>
              <w:rPr>
                <w:rFonts w:hint="eastAsia" w:ascii="宋体" w:hAnsi="宋体" w:eastAsia="宋体" w:cs="宋体"/>
                <w:kern w:val="0"/>
                <w:szCs w:val="21"/>
              </w:rPr>
            </w:pPr>
            <w:r>
              <w:rPr>
                <w:rFonts w:hint="eastAsia" w:ascii="宋体" w:hAnsi="宋体" w:eastAsia="宋体" w:cs="宋体"/>
                <w:szCs w:val="21"/>
              </w:rPr>
              <w:t>深刻认识科学发展观的历史地位和意义。</w:t>
            </w:r>
          </w:p>
        </w:tc>
        <w:tc>
          <w:tcPr>
            <w:tcW w:w="1560" w:type="dxa"/>
            <w:vAlign w:val="center"/>
          </w:tcPr>
          <w:p w14:paraId="118C2F8A">
            <w:pPr>
              <w:spacing w:line="264" w:lineRule="auto"/>
              <w:jc w:val="left"/>
              <w:rPr>
                <w:rFonts w:hint="eastAsia" w:ascii="宋体" w:hAnsi="宋体" w:eastAsia="宋体" w:cs="宋体"/>
                <w:kern w:val="0"/>
                <w:szCs w:val="21"/>
              </w:rPr>
            </w:pPr>
            <w:r>
              <w:rPr>
                <w:rFonts w:hint="eastAsia" w:ascii="宋体" w:hAnsi="宋体" w:eastAsia="宋体" w:cs="宋体"/>
                <w:kern w:val="0"/>
                <w:szCs w:val="21"/>
              </w:rPr>
              <w:t>1.线上学习</w:t>
            </w:r>
          </w:p>
          <w:p w14:paraId="4A086CD1">
            <w:pPr>
              <w:spacing w:line="264" w:lineRule="auto"/>
              <w:jc w:val="left"/>
              <w:rPr>
                <w:rFonts w:hint="eastAsia" w:ascii="宋体" w:hAnsi="宋体" w:eastAsia="宋体" w:cs="宋体"/>
                <w:kern w:val="0"/>
                <w:szCs w:val="21"/>
              </w:rPr>
            </w:pPr>
            <w:r>
              <w:rPr>
                <w:rFonts w:hint="eastAsia" w:ascii="宋体" w:hAnsi="宋体" w:eastAsia="宋体" w:cs="宋体"/>
                <w:kern w:val="0"/>
                <w:szCs w:val="21"/>
              </w:rPr>
              <w:t>2.多媒体教学</w:t>
            </w:r>
          </w:p>
          <w:p w14:paraId="404363CB">
            <w:pPr>
              <w:spacing w:line="264" w:lineRule="auto"/>
              <w:jc w:val="left"/>
              <w:rPr>
                <w:rFonts w:hint="eastAsia" w:ascii="宋体" w:hAnsi="宋体" w:eastAsia="宋体" w:cs="宋体"/>
                <w:kern w:val="0"/>
                <w:szCs w:val="21"/>
              </w:rPr>
            </w:pPr>
            <w:r>
              <w:rPr>
                <w:rFonts w:hint="eastAsia" w:ascii="宋体" w:hAnsi="宋体" w:eastAsia="宋体" w:cs="宋体"/>
                <w:kern w:val="0"/>
                <w:szCs w:val="21"/>
              </w:rPr>
              <w:t>3.课堂讨论</w:t>
            </w:r>
          </w:p>
          <w:p w14:paraId="745842BA">
            <w:pPr>
              <w:spacing w:line="264" w:lineRule="auto"/>
              <w:jc w:val="left"/>
              <w:rPr>
                <w:rFonts w:hint="eastAsia" w:ascii="宋体" w:hAnsi="宋体" w:eastAsia="宋体" w:cs="宋体"/>
                <w:kern w:val="0"/>
                <w:szCs w:val="21"/>
              </w:rPr>
            </w:pPr>
            <w:r>
              <w:rPr>
                <w:rFonts w:hint="eastAsia" w:ascii="宋体" w:hAnsi="宋体" w:eastAsia="宋体" w:cs="宋体"/>
                <w:kern w:val="0"/>
                <w:szCs w:val="21"/>
              </w:rPr>
              <w:t>4.单元测验</w:t>
            </w:r>
          </w:p>
        </w:tc>
        <w:tc>
          <w:tcPr>
            <w:tcW w:w="438" w:type="dxa"/>
            <w:vAlign w:val="center"/>
          </w:tcPr>
          <w:p w14:paraId="7904CD8E">
            <w:pPr>
              <w:spacing w:line="269" w:lineRule="auto"/>
              <w:jc w:val="center"/>
              <w:rPr>
                <w:rFonts w:hint="eastAsia" w:ascii="宋体" w:hAnsi="宋体" w:eastAsia="宋体" w:cs="宋体"/>
                <w:kern w:val="0"/>
                <w:szCs w:val="21"/>
              </w:rPr>
            </w:pPr>
            <w:r>
              <w:rPr>
                <w:rFonts w:hint="eastAsia" w:ascii="宋体" w:hAnsi="宋体" w:eastAsia="宋体" w:cs="宋体"/>
                <w:kern w:val="0"/>
                <w:szCs w:val="21"/>
              </w:rPr>
              <w:t>6</w:t>
            </w:r>
          </w:p>
        </w:tc>
      </w:tr>
      <w:tr w14:paraId="62E8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1" w:type="dxa"/>
            <w:vAlign w:val="center"/>
          </w:tcPr>
          <w:p w14:paraId="114F4B3C">
            <w:pPr>
              <w:spacing w:line="264" w:lineRule="auto"/>
              <w:rPr>
                <w:rFonts w:hint="eastAsia" w:ascii="宋体" w:hAnsi="宋体" w:eastAsia="宋体" w:cs="宋体"/>
                <w:szCs w:val="21"/>
              </w:rPr>
            </w:pPr>
            <w:r>
              <w:rPr>
                <w:rFonts w:hint="eastAsia" w:ascii="宋体" w:hAnsi="宋体" w:eastAsia="宋体" w:cs="宋体"/>
                <w:szCs w:val="21"/>
              </w:rPr>
              <w:t>9.实践</w:t>
            </w:r>
          </w:p>
        </w:tc>
        <w:tc>
          <w:tcPr>
            <w:tcW w:w="2042" w:type="dxa"/>
            <w:vAlign w:val="center"/>
          </w:tcPr>
          <w:p w14:paraId="2A05FB4A">
            <w:pPr>
              <w:adjustRightInd w:val="0"/>
              <w:snapToGrid w:val="0"/>
              <w:spacing w:line="264" w:lineRule="auto"/>
              <w:rPr>
                <w:rFonts w:hint="eastAsia" w:ascii="宋体" w:hAnsi="宋体" w:eastAsia="宋体" w:cs="宋体"/>
                <w:szCs w:val="21"/>
              </w:rPr>
            </w:pPr>
            <w:r>
              <w:rPr>
                <w:rFonts w:hint="eastAsia" w:ascii="宋体" w:hAnsi="宋体" w:eastAsia="宋体" w:cs="宋体"/>
                <w:szCs w:val="21"/>
              </w:rPr>
              <w:t>（1）与思想政治理论相关的实践</w:t>
            </w:r>
          </w:p>
          <w:p w14:paraId="42860C17">
            <w:pPr>
              <w:adjustRightInd w:val="0"/>
              <w:snapToGrid w:val="0"/>
              <w:spacing w:line="264" w:lineRule="auto"/>
              <w:jc w:val="left"/>
              <w:rPr>
                <w:rFonts w:hint="eastAsia" w:ascii="宋体" w:hAnsi="宋体" w:eastAsia="宋体" w:cs="宋体"/>
                <w:szCs w:val="21"/>
              </w:rPr>
            </w:pPr>
            <w:r>
              <w:rPr>
                <w:rFonts w:hint="eastAsia" w:ascii="宋体" w:hAnsi="宋体" w:eastAsia="宋体" w:cs="宋体"/>
                <w:szCs w:val="21"/>
              </w:rPr>
              <w:t>（2）理论联系实际</w:t>
            </w:r>
          </w:p>
        </w:tc>
        <w:tc>
          <w:tcPr>
            <w:tcW w:w="1147" w:type="dxa"/>
            <w:vAlign w:val="center"/>
          </w:tcPr>
          <w:p w14:paraId="2B8AAFC4">
            <w:pPr>
              <w:adjustRightInd w:val="0"/>
              <w:snapToGrid w:val="0"/>
              <w:spacing w:line="264" w:lineRule="auto"/>
              <w:jc w:val="center"/>
              <w:rPr>
                <w:rFonts w:hint="eastAsia" w:ascii="宋体" w:hAnsi="宋体" w:eastAsia="宋体" w:cs="宋体"/>
                <w:szCs w:val="21"/>
              </w:rPr>
            </w:pPr>
            <w:r>
              <w:rPr>
                <w:rFonts w:hint="eastAsia" w:ascii="宋体" w:hAnsi="宋体" w:eastAsia="宋体" w:cs="宋体"/>
                <w:szCs w:val="21"/>
              </w:rPr>
              <w:t>课程目标1、2、3</w:t>
            </w:r>
          </w:p>
        </w:tc>
        <w:tc>
          <w:tcPr>
            <w:tcW w:w="3040" w:type="dxa"/>
            <w:vAlign w:val="center"/>
          </w:tcPr>
          <w:p w14:paraId="0285AAC7">
            <w:pPr>
              <w:adjustRightInd w:val="0"/>
              <w:snapToGrid w:val="0"/>
              <w:spacing w:line="264" w:lineRule="auto"/>
              <w:jc w:val="left"/>
              <w:rPr>
                <w:rFonts w:hint="eastAsia" w:ascii="宋体" w:hAnsi="宋体" w:eastAsia="宋体" w:cs="宋体"/>
                <w:szCs w:val="21"/>
              </w:rPr>
            </w:pPr>
            <w:r>
              <w:rPr>
                <w:rFonts w:hint="eastAsia" w:ascii="宋体" w:hAnsi="宋体" w:eastAsia="宋体" w:cs="宋体"/>
                <w:szCs w:val="21"/>
              </w:rPr>
              <w:t>能够将思想政治理论联系社会现实，积极参与校内外相关实践。</w:t>
            </w:r>
          </w:p>
        </w:tc>
        <w:tc>
          <w:tcPr>
            <w:tcW w:w="1560" w:type="dxa"/>
            <w:vAlign w:val="center"/>
          </w:tcPr>
          <w:p w14:paraId="5CF54D16">
            <w:pPr>
              <w:spacing w:line="269" w:lineRule="auto"/>
              <w:jc w:val="left"/>
              <w:rPr>
                <w:rFonts w:hint="eastAsia" w:ascii="宋体" w:hAnsi="宋体" w:eastAsia="宋体" w:cs="宋体"/>
                <w:szCs w:val="21"/>
              </w:rPr>
            </w:pPr>
            <w:r>
              <w:rPr>
                <w:rFonts w:hint="eastAsia" w:ascii="宋体" w:hAnsi="宋体" w:eastAsia="宋体" w:cs="宋体"/>
                <w:szCs w:val="21"/>
              </w:rPr>
              <w:t>实践教学</w:t>
            </w:r>
          </w:p>
        </w:tc>
        <w:tc>
          <w:tcPr>
            <w:tcW w:w="438" w:type="dxa"/>
            <w:vAlign w:val="center"/>
          </w:tcPr>
          <w:p w14:paraId="499B390F">
            <w:pPr>
              <w:spacing w:line="269" w:lineRule="auto"/>
              <w:jc w:val="center"/>
              <w:rPr>
                <w:rFonts w:hint="eastAsia" w:ascii="宋体" w:hAnsi="宋体" w:eastAsia="宋体" w:cs="宋体"/>
                <w:kern w:val="0"/>
                <w:szCs w:val="21"/>
              </w:rPr>
            </w:pPr>
            <w:r>
              <w:rPr>
                <w:rFonts w:hint="eastAsia" w:ascii="宋体" w:hAnsi="宋体" w:eastAsia="宋体" w:cs="宋体"/>
                <w:kern w:val="0"/>
                <w:szCs w:val="21"/>
              </w:rPr>
              <w:t>6</w:t>
            </w:r>
          </w:p>
        </w:tc>
      </w:tr>
    </w:tbl>
    <w:p w14:paraId="18054125">
      <w:pPr>
        <w:spacing w:before="62" w:beforeLines="20" w:after="62" w:afterLines="20" w:line="360" w:lineRule="auto"/>
        <w:jc w:val="left"/>
        <w:rPr>
          <w:rFonts w:hint="eastAsia" w:ascii="宋体" w:hAnsi="宋体" w:eastAsia="宋体" w:cs="Times New Roman"/>
          <w:b/>
          <w:sz w:val="24"/>
        </w:rPr>
      </w:pPr>
      <w:r>
        <w:rPr>
          <w:rFonts w:hint="eastAsia" w:ascii="宋体" w:hAnsi="宋体" w:eastAsia="宋体" w:cs="Times New Roman"/>
          <w:b/>
          <w:sz w:val="24"/>
        </w:rPr>
        <w:t>四、目标评价与成绩评定</w:t>
      </w:r>
    </w:p>
    <w:p w14:paraId="1CA0E12A">
      <w:pPr>
        <w:adjustRightInd w:val="0"/>
        <w:snapToGrid w:val="0"/>
        <w:spacing w:before="156" w:beforeLines="50" w:after="156" w:afterLines="50" w:line="360" w:lineRule="auto"/>
        <w:ind w:firstLine="422" w:firstLineChars="200"/>
        <w:jc w:val="left"/>
        <w:rPr>
          <w:rFonts w:hint="eastAsia" w:ascii="宋体" w:hAnsi="宋体" w:eastAsia="宋体"/>
          <w:b/>
          <w:sz w:val="24"/>
        </w:rPr>
      </w:pPr>
      <w:r>
        <w:rPr>
          <w:rFonts w:hint="eastAsia" w:ascii="宋体" w:hAnsi="宋体" w:eastAsia="宋体"/>
          <w:b/>
          <w:szCs w:val="21"/>
        </w:rPr>
        <w:t>（一）课程目标评价方式</w:t>
      </w:r>
    </w:p>
    <w:p w14:paraId="62EACEFD">
      <w:pPr>
        <w:spacing w:line="360" w:lineRule="auto"/>
        <w:ind w:firstLine="420" w:firstLineChars="200"/>
        <w:jc w:val="left"/>
        <w:rPr>
          <w:rFonts w:hint="eastAsia" w:ascii="宋体" w:hAnsi="宋体" w:eastAsia="宋体"/>
          <w:szCs w:val="21"/>
        </w:rPr>
      </w:pPr>
      <w:r>
        <w:rPr>
          <w:rFonts w:hint="eastAsia" w:ascii="宋体" w:hAnsi="宋体" w:eastAsia="宋体"/>
          <w:szCs w:val="21"/>
        </w:rPr>
        <w:t>根据总体设计，用于评价各课程目标的评价方式如下表所示</w:t>
      </w:r>
      <w:r>
        <w:rPr>
          <w:rFonts w:ascii="宋体" w:hAnsi="宋体" w:eastAsia="宋体"/>
          <w:szCs w:val="21"/>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397"/>
        <w:gridCol w:w="1594"/>
        <w:gridCol w:w="1476"/>
        <w:gridCol w:w="1615"/>
        <w:gridCol w:w="994"/>
      </w:tblGrid>
      <w:tr w14:paraId="7078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513ABBB">
            <w:pPr>
              <w:spacing w:line="360" w:lineRule="auto"/>
              <w:jc w:val="center"/>
              <w:rPr>
                <w:rFonts w:hint="eastAsia" w:ascii="宋体" w:hAnsi="宋体" w:eastAsia="宋体" w:cs="宋体"/>
                <w:szCs w:val="21"/>
              </w:rPr>
            </w:pPr>
            <w:r>
              <w:rPr>
                <w:rFonts w:hint="eastAsia" w:ascii="宋体" w:hAnsi="宋体" w:eastAsia="宋体" w:cs="宋体"/>
                <w:szCs w:val="21"/>
              </w:rPr>
              <w:t>课程目标</w:t>
            </w:r>
          </w:p>
        </w:tc>
        <w:tc>
          <w:tcPr>
            <w:tcW w:w="6082" w:type="dxa"/>
            <w:gridSpan w:val="4"/>
            <w:vAlign w:val="center"/>
          </w:tcPr>
          <w:p w14:paraId="3EB00D62">
            <w:pPr>
              <w:spacing w:line="360" w:lineRule="auto"/>
              <w:jc w:val="center"/>
              <w:rPr>
                <w:rFonts w:hint="eastAsia" w:ascii="宋体" w:hAnsi="宋体" w:eastAsia="宋体" w:cs="宋体"/>
                <w:szCs w:val="21"/>
              </w:rPr>
            </w:pPr>
            <w:r>
              <w:rPr>
                <w:rFonts w:hint="eastAsia" w:ascii="宋体" w:hAnsi="宋体" w:eastAsia="宋体" w:cs="宋体"/>
                <w:szCs w:val="21"/>
              </w:rPr>
              <w:t>评价与成绩评定方法</w:t>
            </w:r>
          </w:p>
        </w:tc>
        <w:tc>
          <w:tcPr>
            <w:tcW w:w="994" w:type="dxa"/>
            <w:vMerge w:val="restart"/>
            <w:vAlign w:val="center"/>
          </w:tcPr>
          <w:p w14:paraId="02FE4A63">
            <w:pPr>
              <w:spacing w:line="360" w:lineRule="auto"/>
              <w:jc w:val="center"/>
              <w:rPr>
                <w:rFonts w:hint="eastAsia" w:ascii="宋体" w:hAnsi="宋体" w:eastAsia="宋体" w:cs="宋体"/>
                <w:szCs w:val="21"/>
              </w:rPr>
            </w:pPr>
            <w:r>
              <w:rPr>
                <w:rFonts w:hint="eastAsia" w:ascii="宋体" w:hAnsi="宋体" w:eastAsia="宋体" w:cs="宋体"/>
                <w:szCs w:val="21"/>
              </w:rPr>
              <w:t>分值</w:t>
            </w:r>
          </w:p>
        </w:tc>
      </w:tr>
      <w:tr w14:paraId="096A0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56FAFD02">
            <w:pPr>
              <w:spacing w:line="360" w:lineRule="auto"/>
              <w:jc w:val="center"/>
              <w:rPr>
                <w:rFonts w:hint="eastAsia" w:ascii="宋体" w:hAnsi="宋体" w:eastAsia="宋体" w:cs="宋体"/>
                <w:szCs w:val="21"/>
              </w:rPr>
            </w:pPr>
          </w:p>
        </w:tc>
        <w:tc>
          <w:tcPr>
            <w:tcW w:w="1397" w:type="dxa"/>
            <w:vAlign w:val="center"/>
          </w:tcPr>
          <w:p w14:paraId="75C91C4D">
            <w:pPr>
              <w:spacing w:line="360" w:lineRule="auto"/>
              <w:jc w:val="center"/>
              <w:rPr>
                <w:rFonts w:hint="eastAsia" w:ascii="宋体" w:hAnsi="宋体" w:eastAsia="宋体" w:cs="宋体"/>
                <w:szCs w:val="21"/>
              </w:rPr>
            </w:pPr>
            <w:r>
              <w:rPr>
                <w:rFonts w:hint="eastAsia" w:ascii="宋体" w:hAnsi="宋体" w:eastAsia="宋体" w:cs="宋体"/>
                <w:szCs w:val="21"/>
              </w:rPr>
              <w:t>平时作业</w:t>
            </w:r>
          </w:p>
        </w:tc>
        <w:tc>
          <w:tcPr>
            <w:tcW w:w="1594" w:type="dxa"/>
            <w:vAlign w:val="center"/>
          </w:tcPr>
          <w:p w14:paraId="3F4FA95D">
            <w:pPr>
              <w:spacing w:line="360" w:lineRule="auto"/>
              <w:jc w:val="center"/>
              <w:rPr>
                <w:rFonts w:hint="eastAsia" w:ascii="宋体" w:hAnsi="宋体" w:eastAsia="宋体" w:cs="宋体"/>
                <w:szCs w:val="21"/>
              </w:rPr>
            </w:pPr>
            <w:r>
              <w:rPr>
                <w:rFonts w:hint="eastAsia" w:ascii="宋体" w:hAnsi="宋体" w:eastAsia="宋体" w:cs="宋体"/>
                <w:szCs w:val="21"/>
              </w:rPr>
              <w:t>平时表现</w:t>
            </w:r>
          </w:p>
        </w:tc>
        <w:tc>
          <w:tcPr>
            <w:tcW w:w="1476" w:type="dxa"/>
            <w:vAlign w:val="center"/>
          </w:tcPr>
          <w:p w14:paraId="6E212422">
            <w:pPr>
              <w:spacing w:line="360" w:lineRule="auto"/>
              <w:jc w:val="center"/>
              <w:rPr>
                <w:rFonts w:hint="eastAsia" w:ascii="宋体" w:hAnsi="宋体" w:eastAsia="宋体" w:cs="宋体"/>
                <w:szCs w:val="21"/>
              </w:rPr>
            </w:pPr>
            <w:r>
              <w:rPr>
                <w:rFonts w:hint="eastAsia" w:ascii="宋体" w:hAnsi="宋体" w:eastAsia="宋体" w:cs="宋体"/>
                <w:szCs w:val="21"/>
              </w:rPr>
              <w:t>网络学习</w:t>
            </w:r>
          </w:p>
        </w:tc>
        <w:tc>
          <w:tcPr>
            <w:tcW w:w="1615" w:type="dxa"/>
            <w:vAlign w:val="center"/>
          </w:tcPr>
          <w:p w14:paraId="087413E8">
            <w:pPr>
              <w:spacing w:line="360" w:lineRule="auto"/>
              <w:jc w:val="center"/>
              <w:rPr>
                <w:rFonts w:hint="eastAsia" w:ascii="宋体" w:hAnsi="宋体" w:eastAsia="宋体" w:cs="宋体"/>
                <w:szCs w:val="21"/>
              </w:rPr>
            </w:pPr>
            <w:r>
              <w:rPr>
                <w:rFonts w:hint="eastAsia" w:ascii="宋体" w:hAnsi="宋体" w:eastAsia="宋体" w:cs="宋体"/>
                <w:szCs w:val="21"/>
              </w:rPr>
              <w:t>期末考试</w:t>
            </w:r>
          </w:p>
        </w:tc>
        <w:tc>
          <w:tcPr>
            <w:tcW w:w="994" w:type="dxa"/>
            <w:vMerge w:val="continue"/>
            <w:vAlign w:val="center"/>
          </w:tcPr>
          <w:p w14:paraId="682C5FF4">
            <w:pPr>
              <w:spacing w:line="360" w:lineRule="auto"/>
              <w:jc w:val="center"/>
              <w:rPr>
                <w:rFonts w:hint="eastAsia" w:ascii="宋体" w:hAnsi="宋体" w:eastAsia="宋体" w:cs="宋体"/>
                <w:szCs w:val="21"/>
              </w:rPr>
            </w:pPr>
          </w:p>
        </w:tc>
      </w:tr>
      <w:tr w14:paraId="5A72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3C4CB72">
            <w:pPr>
              <w:spacing w:line="360" w:lineRule="auto"/>
              <w:jc w:val="center"/>
              <w:rPr>
                <w:rFonts w:hint="eastAsia" w:ascii="宋体" w:hAnsi="宋体" w:eastAsia="宋体" w:cs="宋体"/>
                <w:szCs w:val="21"/>
              </w:rPr>
            </w:pPr>
            <w:r>
              <w:rPr>
                <w:rFonts w:hint="eastAsia" w:ascii="宋体" w:hAnsi="宋体" w:eastAsia="宋体" w:cs="宋体"/>
                <w:szCs w:val="21"/>
              </w:rPr>
              <w:t>课程目标1</w:t>
            </w:r>
          </w:p>
        </w:tc>
        <w:tc>
          <w:tcPr>
            <w:tcW w:w="1397" w:type="dxa"/>
            <w:vAlign w:val="center"/>
          </w:tcPr>
          <w:p w14:paraId="6FBDA8A2">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594" w:type="dxa"/>
            <w:vAlign w:val="center"/>
          </w:tcPr>
          <w:p w14:paraId="59FB2EFC">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76" w:type="dxa"/>
            <w:vAlign w:val="center"/>
          </w:tcPr>
          <w:p w14:paraId="14465530">
            <w:pPr>
              <w:spacing w:line="360" w:lineRule="auto"/>
              <w:jc w:val="center"/>
              <w:rPr>
                <w:rFonts w:hint="eastAsia" w:ascii="宋体" w:hAnsi="宋体" w:eastAsia="宋体" w:cs="宋体"/>
                <w:szCs w:val="21"/>
              </w:rPr>
            </w:pPr>
          </w:p>
        </w:tc>
        <w:tc>
          <w:tcPr>
            <w:tcW w:w="1615" w:type="dxa"/>
            <w:vAlign w:val="center"/>
          </w:tcPr>
          <w:p w14:paraId="693ECB88">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994" w:type="dxa"/>
            <w:vAlign w:val="center"/>
          </w:tcPr>
          <w:p w14:paraId="291309FB">
            <w:pPr>
              <w:spacing w:line="360" w:lineRule="auto"/>
              <w:jc w:val="center"/>
              <w:rPr>
                <w:rFonts w:hint="eastAsia" w:ascii="宋体" w:hAnsi="宋体" w:eastAsia="宋体" w:cs="宋体"/>
                <w:szCs w:val="21"/>
              </w:rPr>
            </w:pPr>
            <w:r>
              <w:rPr>
                <w:rFonts w:hint="eastAsia" w:ascii="宋体" w:hAnsi="宋体" w:eastAsia="宋体" w:cs="宋体"/>
                <w:szCs w:val="21"/>
              </w:rPr>
              <w:t>35</w:t>
            </w:r>
          </w:p>
        </w:tc>
      </w:tr>
      <w:tr w14:paraId="707C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E3F6860">
            <w:pPr>
              <w:spacing w:line="360" w:lineRule="auto"/>
              <w:jc w:val="center"/>
              <w:rPr>
                <w:rFonts w:hint="eastAsia" w:ascii="宋体" w:hAnsi="宋体" w:eastAsia="宋体" w:cs="宋体"/>
                <w:szCs w:val="21"/>
              </w:rPr>
            </w:pPr>
            <w:r>
              <w:rPr>
                <w:rFonts w:hint="eastAsia" w:ascii="宋体" w:hAnsi="宋体" w:eastAsia="宋体" w:cs="宋体"/>
                <w:szCs w:val="21"/>
              </w:rPr>
              <w:t>课程目标2</w:t>
            </w:r>
          </w:p>
        </w:tc>
        <w:tc>
          <w:tcPr>
            <w:tcW w:w="1397" w:type="dxa"/>
            <w:vAlign w:val="center"/>
          </w:tcPr>
          <w:p w14:paraId="61942169">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594" w:type="dxa"/>
            <w:vAlign w:val="center"/>
          </w:tcPr>
          <w:p w14:paraId="0AD2A0C6">
            <w:pPr>
              <w:spacing w:line="360" w:lineRule="auto"/>
              <w:jc w:val="center"/>
              <w:rPr>
                <w:rFonts w:hint="eastAsia" w:ascii="宋体" w:hAnsi="宋体" w:eastAsia="宋体" w:cs="宋体"/>
                <w:szCs w:val="21"/>
              </w:rPr>
            </w:pPr>
          </w:p>
        </w:tc>
        <w:tc>
          <w:tcPr>
            <w:tcW w:w="1476" w:type="dxa"/>
            <w:vAlign w:val="center"/>
          </w:tcPr>
          <w:p w14:paraId="4D6E876C">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615" w:type="dxa"/>
            <w:vAlign w:val="center"/>
          </w:tcPr>
          <w:p w14:paraId="244E1C9E">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994" w:type="dxa"/>
            <w:vAlign w:val="center"/>
          </w:tcPr>
          <w:p w14:paraId="63AC9FD4">
            <w:pPr>
              <w:spacing w:line="360" w:lineRule="auto"/>
              <w:jc w:val="center"/>
              <w:rPr>
                <w:rFonts w:hint="eastAsia" w:ascii="宋体" w:hAnsi="宋体" w:eastAsia="宋体" w:cs="宋体"/>
                <w:szCs w:val="21"/>
              </w:rPr>
            </w:pPr>
            <w:r>
              <w:rPr>
                <w:rFonts w:hint="eastAsia" w:ascii="宋体" w:hAnsi="宋体" w:eastAsia="宋体" w:cs="宋体"/>
                <w:szCs w:val="21"/>
              </w:rPr>
              <w:t>35</w:t>
            </w:r>
          </w:p>
        </w:tc>
      </w:tr>
      <w:tr w14:paraId="7CD5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3072F15">
            <w:pPr>
              <w:spacing w:line="360" w:lineRule="auto"/>
              <w:jc w:val="center"/>
              <w:rPr>
                <w:rFonts w:hint="eastAsia" w:ascii="宋体" w:hAnsi="宋体" w:eastAsia="宋体" w:cs="宋体"/>
                <w:szCs w:val="21"/>
              </w:rPr>
            </w:pPr>
            <w:r>
              <w:rPr>
                <w:rFonts w:hint="eastAsia" w:ascii="宋体" w:hAnsi="宋体" w:eastAsia="宋体" w:cs="宋体"/>
                <w:szCs w:val="21"/>
              </w:rPr>
              <w:t>课程目标3</w:t>
            </w:r>
          </w:p>
        </w:tc>
        <w:tc>
          <w:tcPr>
            <w:tcW w:w="1397" w:type="dxa"/>
            <w:vAlign w:val="center"/>
          </w:tcPr>
          <w:p w14:paraId="75A63F6C">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594" w:type="dxa"/>
            <w:vAlign w:val="center"/>
          </w:tcPr>
          <w:p w14:paraId="05DC09C0">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76" w:type="dxa"/>
            <w:vAlign w:val="center"/>
          </w:tcPr>
          <w:p w14:paraId="656EB36F">
            <w:pPr>
              <w:spacing w:line="360" w:lineRule="auto"/>
              <w:jc w:val="center"/>
              <w:rPr>
                <w:rFonts w:hint="eastAsia" w:ascii="宋体" w:hAnsi="宋体" w:eastAsia="宋体" w:cs="宋体"/>
                <w:szCs w:val="21"/>
              </w:rPr>
            </w:pPr>
          </w:p>
        </w:tc>
        <w:tc>
          <w:tcPr>
            <w:tcW w:w="1615" w:type="dxa"/>
            <w:vAlign w:val="center"/>
          </w:tcPr>
          <w:p w14:paraId="62E69B5D">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994" w:type="dxa"/>
            <w:vAlign w:val="center"/>
          </w:tcPr>
          <w:p w14:paraId="43E32A28">
            <w:pPr>
              <w:spacing w:line="360" w:lineRule="auto"/>
              <w:jc w:val="center"/>
              <w:rPr>
                <w:rFonts w:hint="eastAsia" w:ascii="宋体" w:hAnsi="宋体" w:eastAsia="宋体" w:cs="宋体"/>
                <w:szCs w:val="21"/>
              </w:rPr>
            </w:pPr>
            <w:r>
              <w:rPr>
                <w:rFonts w:hint="eastAsia" w:ascii="宋体" w:hAnsi="宋体" w:eastAsia="宋体" w:cs="宋体"/>
                <w:szCs w:val="21"/>
              </w:rPr>
              <w:t>30</w:t>
            </w:r>
          </w:p>
        </w:tc>
      </w:tr>
      <w:tr w14:paraId="3994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80DCCEB">
            <w:pPr>
              <w:spacing w:line="360" w:lineRule="auto"/>
              <w:jc w:val="center"/>
              <w:rPr>
                <w:rFonts w:hint="eastAsia" w:ascii="宋体" w:hAnsi="宋体" w:eastAsia="宋体" w:cs="宋体"/>
                <w:szCs w:val="21"/>
              </w:rPr>
            </w:pPr>
            <w:r>
              <w:rPr>
                <w:rFonts w:hint="eastAsia" w:ascii="宋体" w:hAnsi="宋体" w:eastAsia="宋体" w:cs="宋体"/>
                <w:szCs w:val="21"/>
              </w:rPr>
              <w:t>合计</w:t>
            </w:r>
          </w:p>
        </w:tc>
        <w:tc>
          <w:tcPr>
            <w:tcW w:w="1397" w:type="dxa"/>
            <w:vAlign w:val="center"/>
          </w:tcPr>
          <w:p w14:paraId="647B063F">
            <w:pPr>
              <w:spacing w:line="360" w:lineRule="auto"/>
              <w:jc w:val="center"/>
              <w:rPr>
                <w:rFonts w:hint="eastAsia" w:ascii="宋体" w:hAnsi="宋体" w:eastAsia="宋体" w:cs="宋体"/>
                <w:szCs w:val="21"/>
              </w:rPr>
            </w:pPr>
          </w:p>
        </w:tc>
        <w:tc>
          <w:tcPr>
            <w:tcW w:w="1594" w:type="dxa"/>
            <w:vAlign w:val="center"/>
          </w:tcPr>
          <w:p w14:paraId="5EAB8589">
            <w:pPr>
              <w:spacing w:line="360" w:lineRule="auto"/>
              <w:jc w:val="center"/>
              <w:rPr>
                <w:rFonts w:hint="eastAsia" w:ascii="宋体" w:hAnsi="宋体" w:eastAsia="宋体" w:cs="宋体"/>
                <w:szCs w:val="21"/>
              </w:rPr>
            </w:pPr>
          </w:p>
        </w:tc>
        <w:tc>
          <w:tcPr>
            <w:tcW w:w="1476" w:type="dxa"/>
            <w:vAlign w:val="center"/>
          </w:tcPr>
          <w:p w14:paraId="752ED320">
            <w:pPr>
              <w:spacing w:line="360" w:lineRule="auto"/>
              <w:jc w:val="center"/>
              <w:rPr>
                <w:rFonts w:hint="eastAsia" w:ascii="宋体" w:hAnsi="宋体" w:eastAsia="宋体" w:cs="宋体"/>
                <w:szCs w:val="21"/>
              </w:rPr>
            </w:pPr>
          </w:p>
        </w:tc>
        <w:tc>
          <w:tcPr>
            <w:tcW w:w="1615" w:type="dxa"/>
            <w:vAlign w:val="center"/>
          </w:tcPr>
          <w:p w14:paraId="20666438">
            <w:pPr>
              <w:spacing w:line="360" w:lineRule="auto"/>
              <w:jc w:val="center"/>
              <w:rPr>
                <w:rFonts w:hint="eastAsia" w:ascii="宋体" w:hAnsi="宋体" w:eastAsia="宋体" w:cs="宋体"/>
                <w:szCs w:val="21"/>
              </w:rPr>
            </w:pPr>
          </w:p>
        </w:tc>
        <w:tc>
          <w:tcPr>
            <w:tcW w:w="994" w:type="dxa"/>
            <w:vAlign w:val="center"/>
          </w:tcPr>
          <w:p w14:paraId="131F79E9">
            <w:pPr>
              <w:spacing w:line="360" w:lineRule="auto"/>
              <w:jc w:val="center"/>
              <w:rPr>
                <w:rFonts w:hint="eastAsia" w:ascii="宋体" w:hAnsi="宋体" w:eastAsia="宋体" w:cs="宋体"/>
                <w:szCs w:val="21"/>
              </w:rPr>
            </w:pPr>
            <w:r>
              <w:rPr>
                <w:rFonts w:hint="eastAsia" w:ascii="宋体" w:hAnsi="宋体" w:eastAsia="宋体" w:cs="宋体"/>
                <w:szCs w:val="21"/>
              </w:rPr>
              <w:t>100</w:t>
            </w:r>
          </w:p>
        </w:tc>
      </w:tr>
    </w:tbl>
    <w:p w14:paraId="137E0234">
      <w:pPr>
        <w:spacing w:before="156" w:beforeLines="50" w:line="360" w:lineRule="auto"/>
        <w:ind w:firstLine="422" w:firstLineChars="200"/>
        <w:jc w:val="left"/>
        <w:rPr>
          <w:rFonts w:hint="eastAsia" w:ascii="宋体" w:hAnsi="宋体" w:eastAsia="宋体"/>
          <w:b/>
          <w:szCs w:val="21"/>
        </w:rPr>
      </w:pPr>
      <w:r>
        <w:rPr>
          <w:rFonts w:hint="eastAsia" w:ascii="宋体" w:hAnsi="宋体" w:eastAsia="宋体"/>
          <w:b/>
          <w:szCs w:val="21"/>
        </w:rPr>
        <w:t>（二）成绩评定细则</w:t>
      </w:r>
    </w:p>
    <w:p w14:paraId="64274CD2">
      <w:pPr>
        <w:spacing w:line="360" w:lineRule="auto"/>
        <w:jc w:val="left"/>
        <w:rPr>
          <w:rFonts w:hint="eastAsia" w:ascii="宋体" w:hAnsi="宋体" w:eastAsia="宋体"/>
          <w:szCs w:val="21"/>
        </w:rPr>
      </w:pPr>
      <w:r>
        <w:rPr>
          <w:rFonts w:hint="eastAsia" w:ascii="宋体" w:hAnsi="宋体" w:eastAsia="宋体"/>
          <w:szCs w:val="21"/>
        </w:rPr>
        <w:t>各部分的评价方式和成绩评定的细则如下表所示。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6923"/>
        <w:gridCol w:w="706"/>
      </w:tblGrid>
      <w:tr w14:paraId="484C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52BAFC8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3" w:type="dxa"/>
            <w:vAlign w:val="center"/>
          </w:tcPr>
          <w:p w14:paraId="6A7620D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0D64CC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803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4601857D">
            <w:pPr>
              <w:rPr>
                <w:rFonts w:ascii="Times New Roman" w:hAnsi="Times New Roman" w:eastAsia="宋体" w:cs="Times New Roman"/>
                <w:szCs w:val="21"/>
              </w:rPr>
            </w:pPr>
            <w:r>
              <w:rPr>
                <w:rFonts w:hint="eastAsia" w:ascii="Times New Roman" w:hAnsi="Times New Roman" w:eastAsia="宋体" w:cs="Times New Roman"/>
                <w:szCs w:val="21"/>
              </w:rPr>
              <w:t>网络学习</w:t>
            </w:r>
          </w:p>
        </w:tc>
        <w:tc>
          <w:tcPr>
            <w:tcW w:w="6923" w:type="dxa"/>
            <w:vAlign w:val="center"/>
          </w:tcPr>
          <w:p w14:paraId="436AD39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通过视频学习、互动讨论等考核对课程理论的理解和运用。</w:t>
            </w:r>
          </w:p>
        </w:tc>
        <w:tc>
          <w:tcPr>
            <w:tcW w:w="0" w:type="auto"/>
            <w:vAlign w:val="center"/>
          </w:tcPr>
          <w:p w14:paraId="7444371F">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72AF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3CABB85D">
            <w:pPr>
              <w:rPr>
                <w:rFonts w:ascii="Times New Roman" w:hAnsi="Times New Roman" w:eastAsia="宋体" w:cs="Times New Roman"/>
                <w:szCs w:val="21"/>
              </w:rPr>
            </w:pPr>
            <w:r>
              <w:rPr>
                <w:rFonts w:hint="eastAsia" w:ascii="Times New Roman" w:hAnsi="Times New Roman" w:eastAsia="宋体" w:cs="Times New Roman"/>
                <w:szCs w:val="21"/>
              </w:rPr>
              <w:t>平时表现</w:t>
            </w:r>
          </w:p>
        </w:tc>
        <w:tc>
          <w:tcPr>
            <w:tcW w:w="6923" w:type="dxa"/>
            <w:vAlign w:val="center"/>
          </w:tcPr>
          <w:p w14:paraId="22CC8E25">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通过课堂互动、学习态度等考核对课程理论的理解和运用。</w:t>
            </w:r>
          </w:p>
        </w:tc>
        <w:tc>
          <w:tcPr>
            <w:tcW w:w="0" w:type="auto"/>
            <w:vAlign w:val="center"/>
          </w:tcPr>
          <w:p w14:paraId="1C75EA6D">
            <w:pPr>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w:t>
            </w:r>
          </w:p>
        </w:tc>
      </w:tr>
      <w:tr w14:paraId="4C2D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3FCFEF02">
            <w:pPr>
              <w:rPr>
                <w:rFonts w:ascii="Times New Roman" w:hAnsi="Times New Roman" w:eastAsia="宋体" w:cs="Times New Roman"/>
                <w:szCs w:val="21"/>
              </w:rPr>
            </w:pPr>
            <w:r>
              <w:rPr>
                <w:rFonts w:hint="eastAsia" w:ascii="Times New Roman" w:hAnsi="Times New Roman" w:eastAsia="宋体" w:cs="Times New Roman"/>
                <w:szCs w:val="21"/>
              </w:rPr>
              <w:t>作业</w:t>
            </w:r>
          </w:p>
        </w:tc>
        <w:tc>
          <w:tcPr>
            <w:tcW w:w="6923" w:type="dxa"/>
            <w:vAlign w:val="center"/>
          </w:tcPr>
          <w:p w14:paraId="2710E663">
            <w:pPr>
              <w:rPr>
                <w:rFonts w:hint="eastAsia" w:eastAsia="宋体" w:cs="Times New Roman" w:asciiTheme="minorEastAsia" w:hAnsiTheme="minorEastAsia"/>
                <w:kern w:val="0"/>
                <w:szCs w:val="21"/>
              </w:rPr>
            </w:pPr>
            <w:r>
              <w:rPr>
                <w:rFonts w:hint="eastAsia" w:ascii="Times New Roman" w:hAnsi="Times New Roman" w:eastAsia="宋体" w:cs="Times New Roman"/>
                <w:szCs w:val="21"/>
              </w:rPr>
              <w:t>通过章节测验、思考题等考核对课程理论的理解和运用。</w:t>
            </w:r>
          </w:p>
        </w:tc>
        <w:tc>
          <w:tcPr>
            <w:tcW w:w="0" w:type="auto"/>
            <w:vAlign w:val="center"/>
          </w:tcPr>
          <w:p w14:paraId="4E632274">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66D60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14:paraId="0EAE2F87">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3" w:type="dxa"/>
            <w:vAlign w:val="center"/>
          </w:tcPr>
          <w:p w14:paraId="4B62069D">
            <w:pPr>
              <w:spacing w:line="264" w:lineRule="auto"/>
              <w:jc w:val="left"/>
              <w:rPr>
                <w:rFonts w:ascii="Times New Roman" w:hAnsi="Times New Roman" w:eastAsia="宋体" w:cs="Times New Roman"/>
                <w:szCs w:val="21"/>
              </w:rPr>
            </w:pPr>
            <w:r>
              <w:rPr>
                <w:rFonts w:eastAsia="宋体" w:cs="Times New Roman" w:asciiTheme="minorEastAsia" w:hAnsiTheme="minorEastAsia"/>
                <w:bCs/>
                <w:kern w:val="24"/>
                <w:szCs w:val="21"/>
              </w:rPr>
              <w:t>试卷题型包括</w:t>
            </w:r>
            <w:r>
              <w:rPr>
                <w:rFonts w:hint="eastAsia" w:eastAsia="宋体" w:cs="Times New Roman" w:asciiTheme="minorEastAsia" w:hAnsiTheme="minorEastAsia"/>
                <w:bCs/>
                <w:kern w:val="24"/>
                <w:szCs w:val="21"/>
              </w:rPr>
              <w:t>单项</w:t>
            </w:r>
            <w:r>
              <w:rPr>
                <w:rFonts w:eastAsia="宋体" w:cs="Times New Roman" w:asciiTheme="minorEastAsia" w:hAnsiTheme="minorEastAsia"/>
                <w:bCs/>
                <w:kern w:val="24"/>
                <w:szCs w:val="21"/>
              </w:rPr>
              <w:t>选择题、</w:t>
            </w:r>
            <w:r>
              <w:rPr>
                <w:rFonts w:eastAsia="宋体" w:cs="Times New Roman" w:asciiTheme="minorEastAsia" w:hAnsiTheme="minorEastAsia"/>
                <w:kern w:val="0"/>
                <w:szCs w:val="21"/>
              </w:rPr>
              <w:t>判断题</w:t>
            </w:r>
            <w:r>
              <w:rPr>
                <w:rFonts w:eastAsia="宋体" w:cs="Times New Roman" w:asciiTheme="minorEastAsia" w:hAnsiTheme="minorEastAsia"/>
                <w:bCs/>
                <w:kern w:val="24"/>
                <w:szCs w:val="21"/>
              </w:rPr>
              <w:t>、</w:t>
            </w:r>
            <w:r>
              <w:rPr>
                <w:rFonts w:hint="eastAsia" w:eastAsia="宋体" w:cs="Times New Roman" w:asciiTheme="minorEastAsia" w:hAnsiTheme="minorEastAsia"/>
                <w:bCs/>
                <w:kern w:val="24"/>
                <w:szCs w:val="21"/>
              </w:rPr>
              <w:t>多项选择</w:t>
            </w:r>
            <w:r>
              <w:rPr>
                <w:rFonts w:eastAsia="宋体" w:cs="Times New Roman" w:asciiTheme="minorEastAsia" w:hAnsiTheme="minorEastAsia"/>
                <w:bCs/>
                <w:kern w:val="24"/>
                <w:szCs w:val="21"/>
              </w:rPr>
              <w:t>题等。考核思政理论基础知识</w:t>
            </w:r>
            <w:r>
              <w:rPr>
                <w:rFonts w:hint="eastAsia" w:eastAsia="宋体" w:cs="Times New Roman" w:asciiTheme="minorEastAsia" w:hAnsiTheme="minorEastAsia"/>
                <w:bCs/>
                <w:kern w:val="24"/>
                <w:szCs w:val="21"/>
              </w:rPr>
              <w:t>和</w:t>
            </w:r>
            <w:r>
              <w:rPr>
                <w:rFonts w:eastAsia="宋体" w:cs="Times New Roman" w:asciiTheme="minorEastAsia" w:hAnsiTheme="minorEastAsia"/>
                <w:bCs/>
                <w:kern w:val="24"/>
                <w:szCs w:val="21"/>
              </w:rPr>
              <w:t>马克思主义的立场</w:t>
            </w:r>
            <w:r>
              <w:rPr>
                <w:rFonts w:hint="eastAsia" w:eastAsia="宋体" w:cs="Times New Roman" w:asciiTheme="minorEastAsia" w:hAnsiTheme="minorEastAsia"/>
                <w:bCs/>
                <w:kern w:val="24"/>
                <w:szCs w:val="21"/>
              </w:rPr>
              <w:t>、</w:t>
            </w:r>
            <w:r>
              <w:rPr>
                <w:rFonts w:eastAsia="宋体" w:cs="Times New Roman" w:asciiTheme="minorEastAsia" w:hAnsiTheme="minorEastAsia"/>
                <w:bCs/>
                <w:kern w:val="24"/>
                <w:szCs w:val="21"/>
              </w:rPr>
              <w:t>观点和方法</w:t>
            </w:r>
            <w:r>
              <w:rPr>
                <w:rFonts w:hint="eastAsia" w:eastAsia="宋体" w:cs="Times New Roman" w:asciiTheme="minorEastAsia" w:hAnsiTheme="minorEastAsia"/>
                <w:bCs/>
                <w:kern w:val="24"/>
                <w:szCs w:val="21"/>
              </w:rPr>
              <w:t>的</w:t>
            </w:r>
            <w:r>
              <w:rPr>
                <w:rFonts w:eastAsia="宋体" w:cs="Times New Roman" w:asciiTheme="minorEastAsia" w:hAnsiTheme="minorEastAsia"/>
                <w:bCs/>
                <w:kern w:val="24"/>
                <w:szCs w:val="21"/>
              </w:rPr>
              <w:t>运用</w:t>
            </w:r>
            <w:r>
              <w:rPr>
                <w:rFonts w:hint="eastAsia" w:eastAsia="宋体" w:cs="Times New Roman" w:asciiTheme="minorEastAsia" w:hAnsiTheme="minorEastAsia"/>
                <w:kern w:val="0"/>
                <w:szCs w:val="21"/>
              </w:rPr>
              <w:t>。</w:t>
            </w:r>
          </w:p>
        </w:tc>
        <w:tc>
          <w:tcPr>
            <w:tcW w:w="0" w:type="auto"/>
            <w:vAlign w:val="center"/>
          </w:tcPr>
          <w:p w14:paraId="0AA49433">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213D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Align w:val="center"/>
          </w:tcPr>
          <w:p w14:paraId="3D2B78F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7CD445F">
            <w:pPr>
              <w:jc w:val="left"/>
              <w:rPr>
                <w:rFonts w:ascii="Times New Roman" w:hAnsi="Times New Roman" w:eastAsia="宋体" w:cs="Times New Roman"/>
                <w:szCs w:val="21"/>
              </w:rPr>
            </w:pPr>
          </w:p>
        </w:tc>
        <w:tc>
          <w:tcPr>
            <w:tcW w:w="0" w:type="auto"/>
            <w:vAlign w:val="center"/>
          </w:tcPr>
          <w:p w14:paraId="28C4CEC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71C4716">
      <w:pPr>
        <w:adjustRightInd w:val="0"/>
        <w:snapToGrid w:val="0"/>
        <w:spacing w:before="156" w:beforeLines="50" w:line="360" w:lineRule="auto"/>
        <w:ind w:firstLine="422" w:firstLineChars="200"/>
        <w:jc w:val="left"/>
        <w:rPr>
          <w:rFonts w:hint="eastAsia" w:ascii="宋体" w:hAnsi="宋体" w:eastAsia="宋体"/>
          <w:b/>
          <w:szCs w:val="21"/>
        </w:rPr>
      </w:pPr>
      <w:r>
        <w:rPr>
          <w:rFonts w:hint="eastAsia" w:ascii="宋体" w:hAnsi="宋体" w:eastAsia="宋体"/>
          <w:b/>
          <w:szCs w:val="21"/>
        </w:rPr>
        <w:t>（三）课程目标达成度计算方法</w:t>
      </w:r>
    </w:p>
    <w:p w14:paraId="22DFFB53">
      <w:pPr>
        <w:spacing w:line="360" w:lineRule="auto"/>
        <w:ind w:firstLine="411" w:firstLineChars="196"/>
        <w:jc w:val="left"/>
        <w:rPr>
          <w:rFonts w:hint="eastAsia" w:ascii="宋体" w:hAnsi="宋体" w:eastAsia="宋体"/>
          <w:sz w:val="24"/>
        </w:rPr>
      </w:pPr>
      <w:r>
        <w:rPr>
          <w:rFonts w:hint="eastAsia" w:ascii="宋体" w:hAnsi="宋体" w:eastAsia="宋体"/>
          <w:szCs w:val="21"/>
        </w:rPr>
        <w:t>所有课程目标均需大于等于</w:t>
      </w:r>
      <w:r>
        <w:rPr>
          <w:rFonts w:ascii="宋体" w:hAnsi="宋体" w:eastAsia="宋体"/>
          <w:szCs w:val="21"/>
        </w:rPr>
        <w:t>0.6，否则总评成绩不及格，需要补考或重修。每门课程目标总体达成度计算方法如下：</w:t>
      </w:r>
    </w:p>
    <w:p w14:paraId="05B95AF3">
      <w:pPr>
        <w:spacing w:before="156" w:beforeLines="50" w:line="360" w:lineRule="auto"/>
        <w:ind w:firstLine="420" w:firstLineChars="200"/>
        <w:jc w:val="left"/>
        <w:rPr>
          <w:rFonts w:hint="eastAsia" w:ascii="宋体" w:hAnsi="宋体" w:eastAsia="宋体" w:cs="Times New Roman"/>
          <w:b/>
          <w:sz w:val="24"/>
        </w:rPr>
      </w:pPr>
      <w:r>
        <w:rPr>
          <w:rFonts w:ascii="宋体" w:hAnsi="宋体"/>
          <w:szCs w:val="21"/>
        </w:rPr>
        <w:object>
          <v:shape id="_x0000_i1028" o:spt="75" type="#_x0000_t75" style="height:25.1pt;width:404.05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15">
            <o:LockedField>false</o:LockedField>
          </o:OLEObject>
        </w:object>
      </w:r>
      <w:r>
        <w:rPr>
          <w:rFonts w:hint="eastAsia" w:ascii="宋体" w:hAnsi="宋体" w:eastAsia="宋体" w:cs="Times New Roman"/>
          <w:b/>
          <w:sz w:val="24"/>
        </w:rPr>
        <w:t>五、有关说明</w:t>
      </w:r>
    </w:p>
    <w:p w14:paraId="32E2CDCE">
      <w:pPr>
        <w:spacing w:line="360" w:lineRule="auto"/>
        <w:ind w:firstLine="422" w:firstLineChars="200"/>
        <w:rPr>
          <w:rFonts w:hint="eastAsia" w:ascii="宋体" w:hAnsi="宋体" w:eastAsia="宋体"/>
          <w:b/>
          <w:szCs w:val="21"/>
        </w:rPr>
      </w:pPr>
      <w:r>
        <w:rPr>
          <w:rFonts w:hint="eastAsia" w:ascii="宋体" w:hAnsi="宋体" w:eastAsia="宋体"/>
          <w:b/>
          <w:szCs w:val="21"/>
        </w:rPr>
        <w:t>（一）持续改进</w:t>
      </w:r>
    </w:p>
    <w:p w14:paraId="41FE342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本课程根据平时表现、作业、实践和期末考试等考核情况，以及学生、教学督导等反馈，及时对教学中不足之处进行改进，并在下一轮课程教学中整改完善，确保相应毕业要求达成。</w:t>
      </w:r>
    </w:p>
    <w:p w14:paraId="50236740">
      <w:pPr>
        <w:spacing w:line="360" w:lineRule="auto"/>
        <w:ind w:firstLine="422" w:firstLineChars="200"/>
        <w:rPr>
          <w:rFonts w:hint="eastAsia" w:ascii="宋体" w:hAnsi="宋体" w:eastAsia="宋体"/>
          <w:b/>
          <w:szCs w:val="21"/>
        </w:rPr>
      </w:pPr>
      <w:r>
        <w:rPr>
          <w:rFonts w:hint="eastAsia" w:ascii="宋体" w:hAnsi="宋体" w:eastAsia="宋体"/>
          <w:b/>
          <w:szCs w:val="21"/>
        </w:rPr>
        <w:t>（二）建议教材</w:t>
      </w:r>
    </w:p>
    <w:p w14:paraId="793CED18">
      <w:pPr>
        <w:spacing w:line="336" w:lineRule="auto"/>
        <w:ind w:firstLine="420" w:firstLineChars="200"/>
        <w:rPr>
          <w:rFonts w:hint="eastAsia" w:ascii="宋体" w:hAnsi="宋体" w:eastAsia="宋体" w:cs="Times New Roman"/>
          <w:szCs w:val="21"/>
        </w:rPr>
      </w:pPr>
      <w:r>
        <w:rPr>
          <w:rFonts w:hint="eastAsia" w:ascii="宋体" w:hAnsi="宋体" w:eastAsia="宋体" w:cs="Times New Roman"/>
          <w:szCs w:val="21"/>
        </w:rPr>
        <w:t>《毛泽东思想和中国特色社会主义理论体系概论》编写组主编</w:t>
      </w:r>
      <w:r>
        <w:rPr>
          <w:rFonts w:ascii="宋体" w:hAnsi="宋体" w:eastAsia="宋体" w:cs="Times New Roman"/>
          <w:szCs w:val="21"/>
        </w:rPr>
        <w:t>.</w:t>
      </w:r>
      <w:r>
        <w:rPr>
          <w:rFonts w:hint="eastAsia" w:ascii="宋体" w:hAnsi="宋体" w:eastAsia="宋体" w:cs="Times New Roman"/>
          <w:szCs w:val="21"/>
        </w:rPr>
        <w:t xml:space="preserve"> 毛泽东思想和中国特色社会主义理论体系概论，高等教育出版社，2021</w:t>
      </w:r>
      <w:r>
        <w:rPr>
          <w:rFonts w:ascii="宋体" w:hAnsi="宋体" w:eastAsia="宋体" w:cs="Times New Roman"/>
          <w:szCs w:val="21"/>
        </w:rPr>
        <w:t>.</w:t>
      </w:r>
      <w:r>
        <w:rPr>
          <w:rFonts w:hint="eastAsia" w:ascii="宋体" w:hAnsi="宋体" w:eastAsia="宋体" w:cs="Times New Roman"/>
          <w:szCs w:val="21"/>
        </w:rPr>
        <w:t xml:space="preserve"> （马克思主义理论研究和建设工程重点教材）</w:t>
      </w:r>
    </w:p>
    <w:p w14:paraId="3160B2AC">
      <w:pPr>
        <w:spacing w:line="360" w:lineRule="auto"/>
        <w:ind w:firstLine="422" w:firstLineChars="200"/>
        <w:rPr>
          <w:rFonts w:hint="eastAsia" w:ascii="宋体" w:hAnsi="宋体" w:eastAsia="宋体"/>
          <w:b/>
          <w:szCs w:val="21"/>
        </w:rPr>
      </w:pPr>
      <w:r>
        <w:rPr>
          <w:rFonts w:hint="eastAsia" w:ascii="宋体" w:hAnsi="宋体" w:eastAsia="宋体"/>
          <w:b/>
          <w:szCs w:val="21"/>
        </w:rPr>
        <w:t>（三）</w:t>
      </w:r>
      <w:r>
        <w:rPr>
          <w:rFonts w:ascii="宋体" w:hAnsi="宋体" w:eastAsia="宋体"/>
          <w:b/>
          <w:szCs w:val="21"/>
        </w:rPr>
        <w:t>参考书目</w:t>
      </w:r>
    </w:p>
    <w:p w14:paraId="65B33B30">
      <w:pPr>
        <w:spacing w:line="360" w:lineRule="auto"/>
        <w:ind w:firstLine="420"/>
        <w:rPr>
          <w:rFonts w:hint="eastAsia" w:ascii="宋体" w:hAnsi="宋体" w:eastAsia="宋体" w:cs="宋体"/>
          <w:szCs w:val="21"/>
        </w:rPr>
      </w:pPr>
      <w:r>
        <w:rPr>
          <w:rFonts w:hint="eastAsia" w:ascii="宋体" w:hAnsi="宋体" w:eastAsia="宋体" w:cs="宋体"/>
          <w:szCs w:val="21"/>
        </w:rPr>
        <w:t>1.毛泽东选集（第1-4卷）.人民出版社，1991.</w:t>
      </w:r>
    </w:p>
    <w:p w14:paraId="27F27DF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2.邓小平文选（第1-3卷）.人民出版社，1995.</w:t>
      </w:r>
    </w:p>
    <w:p w14:paraId="1CD6A121">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3.江泽民文选（1-3卷）.人民出版社，2006.</w:t>
      </w:r>
    </w:p>
    <w:p w14:paraId="70F03E4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4.胡锦涛文选（第1-3卷）.人民出版社，2016.</w:t>
      </w:r>
    </w:p>
    <w:p w14:paraId="4B9170E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5.习近平新时代中国特色社会主义思想概论</w:t>
      </w:r>
      <w:r>
        <w:rPr>
          <w:rFonts w:ascii="宋体" w:hAnsi="宋体" w:eastAsia="宋体" w:cs="宋体"/>
          <w:szCs w:val="21"/>
        </w:rPr>
        <w:t>.</w:t>
      </w:r>
      <w:r>
        <w:rPr>
          <w:rFonts w:hint="eastAsia" w:ascii="宋体" w:hAnsi="宋体" w:eastAsia="宋体" w:cs="宋体"/>
          <w:szCs w:val="21"/>
        </w:rPr>
        <w:t>高等教育出版社、人民出版社，2023</w:t>
      </w:r>
      <w:r>
        <w:rPr>
          <w:rFonts w:ascii="宋体" w:hAnsi="宋体" w:eastAsia="宋体" w:cs="宋体"/>
          <w:szCs w:val="21"/>
        </w:rPr>
        <w:t>.</w:t>
      </w:r>
    </w:p>
    <w:p w14:paraId="25A5ECD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6.习近平新时代中国特色社会主义思想专题摘编</w:t>
      </w:r>
      <w:r>
        <w:rPr>
          <w:rFonts w:ascii="宋体" w:hAnsi="宋体" w:eastAsia="宋体" w:cs="宋体"/>
          <w:szCs w:val="21"/>
        </w:rPr>
        <w:t>.</w:t>
      </w:r>
      <w:r>
        <w:rPr>
          <w:rFonts w:hint="eastAsia" w:ascii="宋体" w:hAnsi="宋体" w:eastAsia="宋体" w:cs="宋体"/>
          <w:szCs w:val="21"/>
        </w:rPr>
        <w:t>党建读物出版社，2023</w:t>
      </w:r>
      <w:r>
        <w:rPr>
          <w:rFonts w:ascii="宋体" w:hAnsi="宋体" w:eastAsia="宋体" w:cs="宋体"/>
          <w:szCs w:val="21"/>
        </w:rPr>
        <w:t>.</w:t>
      </w:r>
    </w:p>
    <w:p w14:paraId="697AFB05">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（四）教学改革</w:t>
      </w:r>
    </w:p>
    <w:p w14:paraId="2DFCDAA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本课程的教学改革，需制定相应的教学方案。</w:t>
      </w:r>
    </w:p>
    <w:p w14:paraId="585C87AA">
      <w:pPr>
        <w:autoSpaceDE w:val="0"/>
        <w:autoSpaceDN w:val="0"/>
        <w:adjustRightInd w:val="0"/>
        <w:spacing w:line="360" w:lineRule="auto"/>
        <w:ind w:firstLine="480" w:firstLineChars="200"/>
        <w:jc w:val="right"/>
        <w:rPr>
          <w:rFonts w:hint="eastAsia" w:ascii="宋体" w:hAnsi="宋体" w:eastAsia="宋体" w:cs="宋体"/>
          <w:kern w:val="0"/>
          <w:sz w:val="24"/>
        </w:rPr>
      </w:pPr>
      <w:r>
        <w:rPr>
          <w:rFonts w:hint="eastAsia" w:ascii="宋体" w:hAnsi="宋体" w:eastAsia="宋体" w:cs="宋体"/>
          <w:kern w:val="0"/>
          <w:sz w:val="24"/>
        </w:rPr>
        <w:t>执笔人：赵  颖</w:t>
      </w:r>
    </w:p>
    <w:p w14:paraId="70CD6689">
      <w:pPr>
        <w:autoSpaceDE w:val="0"/>
        <w:autoSpaceDN w:val="0"/>
        <w:adjustRightInd w:val="0"/>
        <w:spacing w:line="360" w:lineRule="auto"/>
        <w:ind w:firstLine="480" w:firstLineChars="200"/>
        <w:jc w:val="right"/>
        <w:rPr>
          <w:rFonts w:hint="eastAsia" w:ascii="宋体" w:hAnsi="宋体" w:eastAsia="宋体" w:cs="宋体"/>
          <w:kern w:val="0"/>
          <w:sz w:val="24"/>
        </w:rPr>
      </w:pPr>
      <w:r>
        <w:rPr>
          <w:rFonts w:hint="eastAsia" w:ascii="宋体" w:hAnsi="宋体" w:eastAsia="宋体" w:cs="宋体"/>
          <w:kern w:val="0"/>
          <w:sz w:val="24"/>
        </w:rPr>
        <w:t>审定人：夏天静</w:t>
      </w:r>
    </w:p>
    <w:p w14:paraId="12E3978C">
      <w:pPr>
        <w:autoSpaceDE w:val="0"/>
        <w:autoSpaceDN w:val="0"/>
        <w:adjustRightInd w:val="0"/>
        <w:spacing w:line="360" w:lineRule="auto"/>
        <w:ind w:firstLine="480" w:firstLineChars="200"/>
        <w:jc w:val="right"/>
        <w:rPr>
          <w:rFonts w:hint="eastAsia" w:ascii="宋体" w:hAnsi="宋体" w:eastAsia="宋体" w:cs="宋体"/>
          <w:kern w:val="0"/>
          <w:sz w:val="24"/>
        </w:rPr>
      </w:pPr>
      <w:r>
        <w:rPr>
          <w:rFonts w:hint="eastAsia" w:ascii="宋体" w:hAnsi="宋体" w:eastAsia="宋体" w:cs="宋体"/>
          <w:kern w:val="0"/>
          <w:sz w:val="24"/>
        </w:rPr>
        <w:t>审批人：</w:t>
      </w:r>
      <w:r>
        <w:rPr>
          <w:rFonts w:hint="eastAsia" w:ascii="Times New Roman" w:hAnsi="Times New Roman" w:eastAsia="宋体" w:cs="Times New Roman"/>
          <w:kern w:val="0"/>
          <w:sz w:val="24"/>
          <w:szCs w:val="21"/>
        </w:rPr>
        <w:t>熊焱生</w:t>
      </w:r>
    </w:p>
    <w:p w14:paraId="4039A06A">
      <w:pPr>
        <w:autoSpaceDE w:val="0"/>
        <w:autoSpaceDN w:val="0"/>
        <w:adjustRightInd w:val="0"/>
        <w:spacing w:line="360" w:lineRule="auto"/>
        <w:ind w:firstLine="480" w:firstLineChars="200"/>
        <w:jc w:val="right"/>
        <w:rPr>
          <w:rFonts w:hint="eastAsia" w:ascii="宋体" w:hAnsi="宋体" w:eastAsia="宋体" w:cs="宋体"/>
          <w:kern w:val="0"/>
          <w:sz w:val="24"/>
        </w:rPr>
      </w:pPr>
      <w:r>
        <w:rPr>
          <w:rFonts w:hint="eastAsia" w:ascii="宋体" w:hAnsi="宋体" w:eastAsia="宋体" w:cs="宋体"/>
          <w:kern w:val="0"/>
          <w:sz w:val="24"/>
        </w:rPr>
        <w:t>批准时间：2025年7月1日</w:t>
      </w:r>
    </w:p>
    <w:p w14:paraId="7DCBD214">
      <w:pPr>
        <w:rPr>
          <w:rFonts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0F4745BA">
      <w:pPr>
        <w:spacing w:line="360" w:lineRule="auto"/>
        <w:jc w:val="center"/>
        <w:outlineLvl w:val="0"/>
        <w:rPr>
          <w:rFonts w:ascii="Times New Roman" w:hAnsi="Times New Roman" w:eastAsia="宋体" w:cs="Times New Roman"/>
          <w:b/>
          <w:sz w:val="40"/>
          <w:szCs w:val="40"/>
        </w:rPr>
      </w:pPr>
      <w:bookmarkStart w:id="23" w:name="_Toc14921"/>
      <w:r>
        <w:rPr>
          <w:rFonts w:hint="eastAsia" w:ascii="Times New Roman" w:hAnsi="Times New Roman" w:eastAsia="宋体" w:cs="Times New Roman"/>
          <w:b/>
          <w:sz w:val="40"/>
          <w:szCs w:val="40"/>
        </w:rPr>
        <w:t>《习近平新时代中国特色社会主义思想概论》</w:t>
      </w:r>
      <w:bookmarkEnd w:id="23"/>
    </w:p>
    <w:p w14:paraId="3C4A98CF">
      <w:pPr>
        <w:spacing w:line="360" w:lineRule="auto"/>
        <w:jc w:val="center"/>
        <w:outlineLvl w:val="0"/>
        <w:rPr>
          <w:rFonts w:ascii="Times New Roman" w:hAnsi="Times New Roman" w:eastAsia="宋体" w:cs="Times New Roman"/>
          <w:b/>
          <w:sz w:val="40"/>
          <w:szCs w:val="40"/>
        </w:rPr>
      </w:pPr>
      <w:bookmarkStart w:id="24" w:name="_Toc32364"/>
      <w:bookmarkStart w:id="25" w:name="_Toc25181"/>
      <w:r>
        <w:rPr>
          <w:rFonts w:hint="eastAsia" w:ascii="Times New Roman" w:hAnsi="Times New Roman" w:eastAsia="宋体" w:cs="Times New Roman"/>
          <w:b/>
          <w:sz w:val="40"/>
          <w:szCs w:val="40"/>
        </w:rPr>
        <w:t>课程教学大纲</w:t>
      </w:r>
      <w:bookmarkEnd w:id="24"/>
      <w:bookmarkEnd w:id="25"/>
    </w:p>
    <w:p w14:paraId="14D5056F">
      <w:pPr>
        <w:spacing w:line="360" w:lineRule="auto"/>
        <w:jc w:val="center"/>
        <w:rPr>
          <w:rFonts w:ascii="Times New Roman" w:hAnsi="Times New Roman" w:eastAsia="宋体" w:cs="Times New Roman"/>
          <w:b/>
          <w:bCs/>
          <w:sz w:val="28"/>
          <w:szCs w:val="28"/>
        </w:rPr>
      </w:pPr>
      <w:bookmarkStart w:id="26" w:name="_Toc875"/>
      <w:r>
        <w:rPr>
          <w:rFonts w:hint="eastAsia" w:ascii="Times New Roman" w:hAnsi="Times New Roman" w:eastAsia="宋体" w:cs="Times New Roman"/>
          <w:b/>
          <w:bCs/>
          <w:sz w:val="28"/>
          <w:szCs w:val="28"/>
        </w:rPr>
        <w:t>（Introduction to Xi Jinping Thought on Socialism with Chinese Characteristics for a New Era）</w:t>
      </w:r>
      <w:bookmarkEnd w:id="26"/>
    </w:p>
    <w:p w14:paraId="4B3E2AB2"/>
    <w:p w14:paraId="2AF8D16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课程名称：习近平新时代中国特色社会主义概论</w:t>
      </w:r>
    </w:p>
    <w:p w14:paraId="2686DF26">
      <w:pPr>
        <w:spacing w:line="336" w:lineRule="auto"/>
        <w:ind w:firstLine="482" w:firstLineChars="200"/>
        <w:rPr>
          <w:rFonts w:ascii="Times New Roman" w:hAnsi="Times New Roman" w:eastAsia="宋体" w:cs="Times New Roman"/>
          <w:b/>
          <w:bCs/>
          <w:sz w:val="28"/>
          <w:szCs w:val="28"/>
        </w:rPr>
      </w:pPr>
      <w:r>
        <w:rPr>
          <w:rFonts w:ascii="Times New Roman" w:hAnsi="Times New Roman" w:eastAsia="宋体" w:cs="Times New Roman"/>
          <w:b/>
          <w:bCs/>
          <w:kern w:val="0"/>
          <w:sz w:val="24"/>
        </w:rPr>
        <w:t>课程代码：1005031</w:t>
      </w:r>
    </w:p>
    <w:p w14:paraId="1F2B7026">
      <w:pPr>
        <w:spacing w:line="336"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分：3</w:t>
      </w:r>
    </w:p>
    <w:p w14:paraId="607A363F">
      <w:pPr>
        <w:spacing w:line="336"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时：48</w:t>
      </w:r>
    </w:p>
    <w:p w14:paraId="4B8003ED">
      <w:pPr>
        <w:spacing w:line="336"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先修课程：</w:t>
      </w:r>
      <w:r>
        <w:rPr>
          <w:rFonts w:hint="eastAsia" w:ascii="Times New Roman" w:hAnsi="Times New Roman" w:eastAsia="宋体" w:cs="Times New Roman"/>
          <w:b/>
          <w:bCs/>
          <w:kern w:val="0"/>
          <w:sz w:val="24"/>
        </w:rPr>
        <w:t>思想道德与法治、中国近现代史纲要、马克思主义基本原理</w:t>
      </w:r>
    </w:p>
    <w:p w14:paraId="09236A4D">
      <w:pPr>
        <w:spacing w:line="336"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适用专业：</w:t>
      </w:r>
      <w:r>
        <w:rPr>
          <w:rFonts w:hint="eastAsia" w:ascii="Times New Roman" w:hAnsi="Times New Roman" w:eastAsia="宋体" w:cs="Times New Roman"/>
          <w:b/>
          <w:bCs/>
          <w:kern w:val="0"/>
          <w:sz w:val="24"/>
        </w:rPr>
        <w:t>全校所有专业</w:t>
      </w:r>
    </w:p>
    <w:p w14:paraId="2EB1BF3A">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一、课程</w:t>
      </w:r>
      <w:r>
        <w:rPr>
          <w:rFonts w:hint="eastAsia" w:ascii="Times New Roman" w:hAnsi="Times New Roman" w:eastAsia="宋体" w:cs="Times New Roman"/>
          <w:b/>
          <w:sz w:val="24"/>
        </w:rPr>
        <w:t>简介</w:t>
      </w:r>
    </w:p>
    <w:p w14:paraId="7401D0D6">
      <w:pPr>
        <w:autoSpaceDE w:val="0"/>
        <w:autoSpaceDN w:val="0"/>
        <w:adjustRightIn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kern w:val="0"/>
          <w:szCs w:val="21"/>
        </w:rPr>
        <w:t>本课程</w:t>
      </w:r>
      <w:r>
        <w:rPr>
          <w:rFonts w:ascii="Times New Roman" w:hAnsi="Times New Roman" w:eastAsia="宋体" w:cs="Times New Roman"/>
          <w:kern w:val="0"/>
          <w:szCs w:val="21"/>
        </w:rPr>
        <w:t>是</w:t>
      </w:r>
      <w:r>
        <w:rPr>
          <w:rFonts w:hint="eastAsia" w:ascii="Times New Roman" w:hAnsi="Times New Roman" w:eastAsia="宋体" w:cs="Times New Roman"/>
          <w:kern w:val="0"/>
          <w:szCs w:val="21"/>
        </w:rPr>
        <w:t>小学教育本科专业的通识必修</w:t>
      </w:r>
      <w:r>
        <w:rPr>
          <w:rFonts w:ascii="Times New Roman" w:hAnsi="Times New Roman" w:eastAsia="宋体" w:cs="Times New Roman"/>
          <w:kern w:val="0"/>
          <w:szCs w:val="21"/>
        </w:rPr>
        <w:t>课</w:t>
      </w:r>
      <w:r>
        <w:rPr>
          <w:rFonts w:ascii="Times New Roman" w:hAnsi="Times New Roman" w:eastAsia="宋体" w:cs="Times New Roman"/>
          <w:szCs w:val="21"/>
        </w:rPr>
        <w:t>。</w:t>
      </w:r>
      <w:r>
        <w:rPr>
          <w:rFonts w:hint="eastAsia" w:ascii="Times New Roman" w:hAnsi="Times New Roman" w:eastAsia="宋体" w:cs="Times New Roman"/>
          <w:szCs w:val="21"/>
        </w:rPr>
        <w:t>本课程围绕科学回答新时代坚持和发展什么样的中国特色社会主义、怎样坚持和发展中国特色社会主义，建设什么样的社会主义现代化强国、怎样建设社会主义现代化强国，建设什么样的长期执政的马克思主义政党、怎样建设长期执政的马克思主义政党等重大时代课题而展开，通过系统讲授习近平新时代中国特色社会主义思想形成的时代背景、核心要义、精神实质、丰富内涵、重大意义、历史地位和实践要求，帮助大学生掌握党的最新理论创新成果，提升理论素养，树牢“四个意识”</w:t>
      </w:r>
      <w:r>
        <w:rPr>
          <w:rFonts w:ascii="Times New Roman" w:hAnsi="Times New Roman" w:eastAsia="宋体" w:cs="Times New Roman"/>
          <w:szCs w:val="21"/>
        </w:rPr>
        <w:t>，坚定</w:t>
      </w:r>
      <w:r>
        <w:rPr>
          <w:rFonts w:hint="eastAsia" w:ascii="Times New Roman" w:hAnsi="Times New Roman" w:eastAsia="宋体" w:cs="Times New Roman"/>
          <w:szCs w:val="21"/>
        </w:rPr>
        <w:t>“四个自信”</w:t>
      </w:r>
      <w:r>
        <w:rPr>
          <w:rFonts w:ascii="Times New Roman" w:hAnsi="Times New Roman" w:eastAsia="宋体" w:cs="Times New Roman"/>
          <w:szCs w:val="21"/>
        </w:rPr>
        <w:t>，坚决做到</w:t>
      </w:r>
      <w:r>
        <w:rPr>
          <w:rFonts w:hint="eastAsia" w:ascii="Times New Roman" w:hAnsi="Times New Roman" w:eastAsia="宋体" w:cs="Times New Roman"/>
          <w:szCs w:val="21"/>
        </w:rPr>
        <w:t>“两个维护”</w:t>
      </w:r>
      <w:r>
        <w:rPr>
          <w:rFonts w:ascii="Times New Roman" w:hAnsi="Times New Roman" w:eastAsia="宋体" w:cs="Times New Roman"/>
          <w:szCs w:val="21"/>
        </w:rPr>
        <w:t>，有助于学生更好把握中国特色社会主义</w:t>
      </w:r>
      <w:r>
        <w:rPr>
          <w:rFonts w:hint="eastAsia" w:ascii="Times New Roman" w:hAnsi="Times New Roman" w:eastAsia="宋体" w:cs="Times New Roman"/>
          <w:szCs w:val="21"/>
        </w:rPr>
        <w:t>的理论精髓与实践要义，自觉投身到建设新时代中国特色社会主义的伟大历史进程中去，成为中国特色社会主义事业的建设者和接班人。</w:t>
      </w:r>
    </w:p>
    <w:p w14:paraId="04B58780">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二、课程目标及对毕业要求的支撑</w:t>
      </w:r>
    </w:p>
    <w:p w14:paraId="431BE063">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（一）课程具体目标</w:t>
      </w:r>
    </w:p>
    <w:p w14:paraId="1F7C1A39">
      <w:pPr>
        <w:spacing w:line="360" w:lineRule="auto"/>
        <w:ind w:firstLine="422" w:firstLineChars="200"/>
        <w:rPr>
          <w:rFonts w:hint="eastAsia" w:ascii="宋体" w:hAnsi="宋体" w:eastAsia="宋体" w:cs="宋体"/>
          <w:bCs/>
          <w:szCs w:val="21"/>
        </w:rPr>
      </w:pPr>
      <w:r>
        <w:rPr>
          <w:rFonts w:hint="eastAsia" w:ascii="宋体" w:hAnsi="宋体" w:eastAsia="宋体" w:cs="宋体"/>
          <w:b/>
          <w:szCs w:val="21"/>
        </w:rPr>
        <w:t>目标1.</w:t>
      </w:r>
      <w:r>
        <w:rPr>
          <w:rFonts w:hint="eastAsia" w:ascii="宋体" w:hAnsi="宋体" w:eastAsia="宋体" w:cs="宋体"/>
          <w:bCs/>
          <w:szCs w:val="21"/>
        </w:rPr>
        <w:t xml:space="preserve"> 能够掌握党的最新理论创新成果，更好把握中国特色社会主义的理论精髓，提升理论素养。认同中国特色社会主义，自觉践行社会主义核心价值观，贯彻党的教育方针。</w:t>
      </w:r>
    </w:p>
    <w:p w14:paraId="7706B187">
      <w:pPr>
        <w:spacing w:line="360" w:lineRule="auto"/>
        <w:ind w:firstLine="422" w:firstLineChars="200"/>
        <w:rPr>
          <w:rFonts w:hint="eastAsia" w:ascii="宋体" w:hAnsi="宋体" w:eastAsia="宋体" w:cs="宋体"/>
          <w:bCs/>
          <w:szCs w:val="21"/>
        </w:rPr>
      </w:pPr>
      <w:r>
        <w:rPr>
          <w:rFonts w:hint="eastAsia" w:ascii="宋体" w:hAnsi="宋体" w:eastAsia="宋体" w:cs="宋体"/>
          <w:b/>
          <w:szCs w:val="21"/>
        </w:rPr>
        <w:t>目标 2.</w:t>
      </w:r>
      <w:r>
        <w:rPr>
          <w:rFonts w:hint="eastAsia" w:ascii="宋体" w:hAnsi="宋体" w:eastAsia="宋体" w:cs="宋体"/>
          <w:bCs/>
          <w:szCs w:val="21"/>
        </w:rPr>
        <w:t>能够掌握习</w:t>
      </w:r>
      <w:bookmarkStart w:id="27" w:name="_Hlk187841676"/>
      <w:r>
        <w:rPr>
          <w:rFonts w:hint="eastAsia" w:ascii="宋体" w:hAnsi="宋体" w:eastAsia="宋体" w:cs="宋体"/>
          <w:bCs/>
          <w:szCs w:val="21"/>
        </w:rPr>
        <w:t>近平新时代中国特色社会主义思想</w:t>
      </w:r>
      <w:bookmarkEnd w:id="27"/>
      <w:r>
        <w:rPr>
          <w:rFonts w:hint="eastAsia" w:ascii="宋体" w:hAnsi="宋体" w:eastAsia="宋体" w:cs="宋体"/>
          <w:bCs/>
          <w:szCs w:val="21"/>
        </w:rPr>
        <w:t>的核心要义、方法论、根本立场，增强运用习近平新时代中国特色社会主义思想指导实践的能力，提高科学思维能力，增强分析问题、解决问题的实践本领。</w:t>
      </w:r>
    </w:p>
    <w:p w14:paraId="56D58A6B">
      <w:pPr>
        <w:spacing w:line="360" w:lineRule="auto"/>
        <w:ind w:firstLine="422" w:firstLineChars="200"/>
        <w:rPr>
          <w:rFonts w:hint="eastAsia" w:ascii="宋体" w:hAnsi="宋体" w:eastAsia="宋体" w:cs="宋体"/>
          <w:bCs/>
          <w:szCs w:val="21"/>
        </w:rPr>
      </w:pPr>
      <w:r>
        <w:rPr>
          <w:rFonts w:hint="eastAsia" w:ascii="宋体" w:hAnsi="宋体" w:eastAsia="宋体" w:cs="宋体"/>
          <w:b/>
          <w:szCs w:val="21"/>
        </w:rPr>
        <w:t>目标</w:t>
      </w:r>
      <w:r>
        <w:rPr>
          <w:rFonts w:ascii="宋体" w:hAnsi="宋体" w:eastAsia="宋体" w:cs="宋体"/>
          <w:b/>
          <w:szCs w:val="21"/>
        </w:rPr>
        <w:t>3</w:t>
      </w:r>
      <w:r>
        <w:rPr>
          <w:rFonts w:hint="eastAsia" w:ascii="宋体" w:hAnsi="宋体" w:eastAsia="宋体" w:cs="宋体"/>
          <w:b/>
          <w:szCs w:val="21"/>
        </w:rPr>
        <w:t>.</w:t>
      </w:r>
      <w:r>
        <w:rPr>
          <w:rFonts w:hint="eastAsia" w:ascii="宋体" w:hAnsi="宋体" w:eastAsia="宋体" w:cs="宋体"/>
          <w:bCs/>
          <w:szCs w:val="21"/>
        </w:rPr>
        <w:t>能够掌握近平新时代中国特色社会主义思想主要内容，掌握“十个明确”“十四个坚持”“十三个方面成就”所涉及的相关知识。</w:t>
      </w:r>
    </w:p>
    <w:p w14:paraId="592C06CF">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（二）课程目标及其对毕业要求指标点的支撑</w:t>
      </w:r>
    </w:p>
    <w:tbl>
      <w:tblPr>
        <w:tblStyle w:val="11"/>
        <w:tblW w:w="8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5836"/>
        <w:gridCol w:w="1345"/>
      </w:tblGrid>
      <w:tr w14:paraId="5E80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47" w:type="dxa"/>
            <w:noWrap/>
            <w:vAlign w:val="center"/>
          </w:tcPr>
          <w:p w14:paraId="090E082C">
            <w:pPr>
              <w:widowControl/>
              <w:jc w:val="center"/>
              <w:rPr>
                <w:rFonts w:hint="eastAsia" w:ascii="宋体" w:hAnsi="宋体" w:eastAsia="宋体" w:cs="宋体"/>
                <w:b/>
                <w:bCs/>
                <w:kern w:val="0"/>
                <w:szCs w:val="21"/>
              </w:rPr>
            </w:pPr>
            <w:r>
              <w:rPr>
                <w:rFonts w:hint="eastAsia" w:ascii="宋体" w:hAnsi="宋体" w:eastAsia="宋体" w:cs="宋体"/>
                <w:b/>
                <w:bCs/>
                <w:kern w:val="0"/>
                <w:szCs w:val="21"/>
              </w:rPr>
              <w:t>毕业要求</w:t>
            </w:r>
          </w:p>
        </w:tc>
        <w:tc>
          <w:tcPr>
            <w:tcW w:w="5836" w:type="dxa"/>
            <w:noWrap/>
            <w:vAlign w:val="center"/>
          </w:tcPr>
          <w:p w14:paraId="7A5C32B5">
            <w:pPr>
              <w:widowControl/>
              <w:jc w:val="center"/>
              <w:rPr>
                <w:rFonts w:hint="eastAsia" w:ascii="宋体" w:hAnsi="宋体" w:eastAsia="宋体" w:cs="宋体"/>
                <w:b/>
                <w:bCs/>
                <w:kern w:val="0"/>
                <w:szCs w:val="21"/>
              </w:rPr>
            </w:pPr>
            <w:r>
              <w:rPr>
                <w:rFonts w:hint="eastAsia" w:ascii="宋体" w:hAnsi="宋体" w:eastAsia="宋体" w:cs="宋体"/>
                <w:b/>
                <w:bCs/>
                <w:kern w:val="0"/>
                <w:szCs w:val="21"/>
              </w:rPr>
              <w:t>毕业要求指标点</w:t>
            </w:r>
          </w:p>
        </w:tc>
        <w:tc>
          <w:tcPr>
            <w:tcW w:w="1345" w:type="dxa"/>
            <w:noWrap/>
            <w:vAlign w:val="center"/>
          </w:tcPr>
          <w:p w14:paraId="3E1248D5">
            <w:pPr>
              <w:widowControl/>
              <w:jc w:val="center"/>
              <w:rPr>
                <w:rFonts w:hint="eastAsia" w:ascii="宋体" w:hAnsi="宋体" w:eastAsia="宋体" w:cs="宋体"/>
                <w:b/>
                <w:bCs/>
                <w:kern w:val="0"/>
                <w:szCs w:val="21"/>
              </w:rPr>
            </w:pPr>
            <w:r>
              <w:rPr>
                <w:rFonts w:hint="eastAsia" w:ascii="宋体" w:hAnsi="宋体" w:eastAsia="宋体" w:cs="宋体"/>
                <w:b/>
                <w:bCs/>
                <w:kern w:val="0"/>
                <w:szCs w:val="21"/>
              </w:rPr>
              <w:t>课程目标</w:t>
            </w:r>
          </w:p>
        </w:tc>
      </w:tr>
      <w:tr w14:paraId="09C5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47" w:type="dxa"/>
            <w:noWrap/>
            <w:vAlign w:val="center"/>
          </w:tcPr>
          <w:p w14:paraId="13754AE1">
            <w:pPr>
              <w:widowControl/>
              <w:jc w:val="center"/>
              <w:rPr>
                <w:rFonts w:hint="eastAsia" w:ascii="宋体" w:hAnsi="宋体" w:eastAsia="宋体" w:cs="宋体"/>
                <w:kern w:val="0"/>
                <w:szCs w:val="21"/>
              </w:rPr>
            </w:pPr>
            <w:r>
              <w:rPr>
                <w:rFonts w:hint="eastAsia" w:ascii="宋体" w:hAnsi="宋体" w:eastAsia="宋体" w:cs="宋体"/>
                <w:kern w:val="0"/>
                <w:szCs w:val="21"/>
              </w:rPr>
              <w:t>毕业要求1</w:t>
            </w:r>
          </w:p>
          <w:p w14:paraId="15C66259">
            <w:pPr>
              <w:widowControl/>
              <w:jc w:val="center"/>
              <w:rPr>
                <w:rFonts w:hint="eastAsia" w:ascii="宋体" w:hAnsi="宋体" w:eastAsia="宋体" w:cs="宋体"/>
                <w:kern w:val="0"/>
                <w:szCs w:val="21"/>
              </w:rPr>
            </w:pPr>
            <w:r>
              <w:rPr>
                <w:rFonts w:hint="eastAsia" w:ascii="宋体" w:hAnsi="宋体" w:eastAsia="宋体" w:cs="宋体"/>
                <w:kern w:val="0"/>
                <w:szCs w:val="21"/>
              </w:rPr>
              <w:t>师德规范</w:t>
            </w:r>
          </w:p>
        </w:tc>
        <w:tc>
          <w:tcPr>
            <w:tcW w:w="5836" w:type="dxa"/>
            <w:noWrap/>
            <w:vAlign w:val="center"/>
          </w:tcPr>
          <w:p w14:paraId="76B7A42E">
            <w:pPr>
              <w:rPr>
                <w:rFonts w:hint="eastAsia" w:ascii="宋体" w:hAnsi="宋体" w:eastAsia="宋体" w:cs="宋体"/>
                <w:bCs/>
                <w:kern w:val="0"/>
                <w:szCs w:val="21"/>
              </w:rPr>
            </w:pPr>
            <w:r>
              <w:rPr>
                <w:rFonts w:hint="eastAsia" w:ascii="宋体" w:hAnsi="宋体" w:eastAsia="宋体" w:cs="宋体"/>
                <w:b/>
                <w:bCs/>
                <w:kern w:val="0"/>
                <w:szCs w:val="21"/>
              </w:rPr>
              <w:t>指标点1-1</w:t>
            </w:r>
            <w:r>
              <w:rPr>
                <w:rFonts w:hint="eastAsia" w:ascii="宋体" w:hAnsi="宋体" w:eastAsia="宋体" w:cs="宋体"/>
                <w:bCs/>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345" w:type="dxa"/>
            <w:noWrap/>
            <w:vAlign w:val="center"/>
          </w:tcPr>
          <w:p w14:paraId="7E226D39">
            <w:pPr>
              <w:widowControl/>
              <w:rPr>
                <w:rFonts w:hint="eastAsia" w:ascii="宋体" w:hAnsi="宋体" w:eastAsia="宋体" w:cs="宋体"/>
                <w:bCs/>
                <w:kern w:val="0"/>
                <w:szCs w:val="21"/>
              </w:rPr>
            </w:pPr>
            <w:r>
              <w:rPr>
                <w:rFonts w:hint="eastAsia" w:ascii="宋体" w:hAnsi="宋体" w:eastAsia="宋体" w:cs="宋体"/>
                <w:bCs/>
                <w:kern w:val="0"/>
                <w:szCs w:val="21"/>
              </w:rPr>
              <w:t>课程目标1</w:t>
            </w:r>
          </w:p>
        </w:tc>
      </w:tr>
      <w:tr w14:paraId="1762F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247" w:type="dxa"/>
            <w:noWrap/>
            <w:vAlign w:val="center"/>
          </w:tcPr>
          <w:p w14:paraId="67DA979A">
            <w:pPr>
              <w:widowControl/>
              <w:jc w:val="center"/>
              <w:rPr>
                <w:rFonts w:hint="eastAsia" w:ascii="宋体" w:hAnsi="宋体" w:eastAsia="宋体" w:cs="宋体"/>
                <w:kern w:val="0"/>
                <w:szCs w:val="21"/>
              </w:rPr>
            </w:pPr>
            <w:r>
              <w:rPr>
                <w:rFonts w:hint="eastAsia" w:ascii="宋体" w:hAnsi="宋体" w:eastAsia="宋体" w:cs="宋体"/>
                <w:kern w:val="0"/>
                <w:szCs w:val="21"/>
              </w:rPr>
              <w:t>毕业要求2</w:t>
            </w:r>
          </w:p>
          <w:p w14:paraId="47F6D24D">
            <w:pPr>
              <w:widowControl/>
              <w:jc w:val="center"/>
              <w:rPr>
                <w:rFonts w:hint="eastAsia" w:ascii="宋体" w:hAnsi="宋体" w:eastAsia="宋体" w:cs="宋体"/>
                <w:kern w:val="0"/>
                <w:szCs w:val="21"/>
              </w:rPr>
            </w:pPr>
            <w:r>
              <w:rPr>
                <w:rFonts w:hint="eastAsia" w:ascii="宋体" w:hAnsi="宋体" w:eastAsia="宋体" w:cs="宋体"/>
                <w:kern w:val="0"/>
                <w:szCs w:val="21"/>
              </w:rPr>
              <w:t>教育情怀</w:t>
            </w:r>
          </w:p>
        </w:tc>
        <w:tc>
          <w:tcPr>
            <w:tcW w:w="5836" w:type="dxa"/>
            <w:noWrap/>
            <w:vAlign w:val="center"/>
          </w:tcPr>
          <w:p w14:paraId="62EEA844">
            <w:pPr>
              <w:rPr>
                <w:rFonts w:hint="eastAsia" w:ascii="宋体" w:hAnsi="宋体" w:eastAsia="宋体" w:cs="宋体"/>
                <w:bCs/>
                <w:kern w:val="0"/>
                <w:szCs w:val="21"/>
              </w:rPr>
            </w:pPr>
            <w:r>
              <w:rPr>
                <w:rFonts w:hint="eastAsia" w:ascii="宋体" w:hAnsi="宋体" w:eastAsia="宋体" w:cs="宋体"/>
                <w:b/>
                <w:bCs/>
                <w:kern w:val="0"/>
                <w:szCs w:val="21"/>
              </w:rPr>
              <w:t>指标点2-3</w:t>
            </w:r>
            <w:r>
              <w:rPr>
                <w:rFonts w:ascii="宋体" w:hAnsi="宋体" w:eastAsia="宋体" w:cs="宋体"/>
                <w:bCs/>
                <w:kern w:val="0"/>
                <w:szCs w:val="21"/>
              </w:rPr>
              <w:t>：【自身修养良好】具有较好的人文艺术底蕴与科学</w:t>
            </w:r>
            <w:r>
              <w:rPr>
                <w:rFonts w:hint="eastAsia" w:ascii="宋体" w:hAnsi="宋体" w:eastAsia="宋体" w:cs="宋体"/>
                <w:bCs/>
                <w:kern w:val="0"/>
                <w:szCs w:val="21"/>
              </w:rPr>
              <w:t>精神，言行举止符合教师职业标准，情感积极，人格健全，身心健康。</w:t>
            </w:r>
          </w:p>
        </w:tc>
        <w:tc>
          <w:tcPr>
            <w:tcW w:w="1345" w:type="dxa"/>
            <w:noWrap/>
            <w:vAlign w:val="center"/>
          </w:tcPr>
          <w:p w14:paraId="78BA1FCD">
            <w:pPr>
              <w:widowControl/>
              <w:rPr>
                <w:rFonts w:hint="eastAsia" w:ascii="宋体" w:hAnsi="宋体" w:eastAsia="宋体" w:cs="宋体"/>
                <w:bCs/>
                <w:kern w:val="0"/>
                <w:szCs w:val="21"/>
              </w:rPr>
            </w:pPr>
            <w:r>
              <w:rPr>
                <w:rFonts w:hint="eastAsia" w:ascii="宋体" w:hAnsi="宋体" w:eastAsia="宋体" w:cs="宋体"/>
                <w:bCs/>
                <w:kern w:val="0"/>
                <w:szCs w:val="21"/>
              </w:rPr>
              <w:t>课程目标2</w:t>
            </w:r>
          </w:p>
        </w:tc>
      </w:tr>
      <w:tr w14:paraId="2B40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247" w:type="dxa"/>
            <w:noWrap/>
            <w:vAlign w:val="center"/>
          </w:tcPr>
          <w:p w14:paraId="4B01F1BC">
            <w:pPr>
              <w:widowControl/>
              <w:jc w:val="center"/>
              <w:rPr>
                <w:rFonts w:hint="eastAsia" w:ascii="宋体" w:hAnsi="宋体" w:eastAsia="宋体" w:cs="宋体"/>
                <w:kern w:val="0"/>
                <w:szCs w:val="21"/>
              </w:rPr>
            </w:pPr>
            <w:r>
              <w:rPr>
                <w:rFonts w:hint="eastAsia" w:ascii="宋体" w:hAnsi="宋体" w:eastAsia="宋体" w:cs="宋体"/>
                <w:kern w:val="0"/>
                <w:szCs w:val="21"/>
              </w:rPr>
              <w:t>毕业要求7</w:t>
            </w:r>
          </w:p>
          <w:p w14:paraId="24A38414">
            <w:pPr>
              <w:widowControl/>
              <w:jc w:val="center"/>
              <w:rPr>
                <w:rFonts w:hint="eastAsia" w:ascii="宋体" w:hAnsi="宋体" w:eastAsia="宋体" w:cs="宋体"/>
                <w:kern w:val="0"/>
                <w:szCs w:val="21"/>
              </w:rPr>
            </w:pPr>
            <w:r>
              <w:rPr>
                <w:rFonts w:hint="eastAsia" w:ascii="宋体" w:hAnsi="宋体" w:eastAsia="宋体" w:cs="宋体"/>
                <w:kern w:val="0"/>
                <w:szCs w:val="21"/>
              </w:rPr>
              <w:t>学会反思</w:t>
            </w:r>
          </w:p>
        </w:tc>
        <w:tc>
          <w:tcPr>
            <w:tcW w:w="5836" w:type="dxa"/>
            <w:noWrap/>
            <w:vAlign w:val="center"/>
          </w:tcPr>
          <w:p w14:paraId="300EB162">
            <w:pPr>
              <w:widowControl/>
              <w:rPr>
                <w:rFonts w:hint="eastAsia" w:ascii="宋体" w:hAnsi="宋体" w:eastAsia="宋体" w:cs="宋体"/>
                <w:kern w:val="0"/>
                <w:szCs w:val="21"/>
              </w:rPr>
            </w:pPr>
            <w:r>
              <w:rPr>
                <w:rFonts w:hint="eastAsia" w:ascii="宋体" w:hAnsi="宋体" w:eastAsia="宋体" w:cs="宋体"/>
                <w:b/>
                <w:kern w:val="0"/>
                <w:szCs w:val="21"/>
              </w:rPr>
              <w:t>指标点7-1</w:t>
            </w:r>
            <w:r>
              <w:rPr>
                <w:rFonts w:ascii="宋体" w:hAnsi="宋体" w:eastAsia="宋体" w:cs="宋体"/>
                <w:kern w:val="0"/>
                <w:szCs w:val="21"/>
              </w:rPr>
              <w:t>：【教育视野开阔】积极关注基础教育领域的国内外</w:t>
            </w:r>
            <w:r>
              <w:rPr>
                <w:rFonts w:hint="eastAsia" w:ascii="宋体" w:hAnsi="宋体" w:eastAsia="宋体" w:cs="宋体"/>
                <w:kern w:val="0"/>
                <w:szCs w:val="21"/>
              </w:rPr>
              <w:t>交流进展，了解国内外基础教育改革发展的动态，具有宽广的教育视野，能够主动适应新时代和教育发展需求。</w:t>
            </w:r>
          </w:p>
        </w:tc>
        <w:tc>
          <w:tcPr>
            <w:tcW w:w="1345" w:type="dxa"/>
            <w:noWrap/>
            <w:vAlign w:val="center"/>
          </w:tcPr>
          <w:p w14:paraId="3EB7C655">
            <w:pPr>
              <w:widowControl/>
              <w:ind w:right="34" w:rightChars="16"/>
              <w:rPr>
                <w:rFonts w:hint="eastAsia" w:ascii="宋体" w:hAnsi="宋体" w:eastAsia="宋体" w:cs="宋体"/>
                <w:bCs/>
                <w:kern w:val="0"/>
                <w:szCs w:val="21"/>
              </w:rPr>
            </w:pPr>
            <w:r>
              <w:rPr>
                <w:rFonts w:hint="eastAsia" w:ascii="宋体" w:hAnsi="宋体" w:eastAsia="宋体" w:cs="宋体"/>
                <w:bCs/>
                <w:kern w:val="0"/>
                <w:szCs w:val="21"/>
              </w:rPr>
              <w:t>课程目标</w:t>
            </w:r>
            <w:r>
              <w:rPr>
                <w:rFonts w:ascii="宋体" w:hAnsi="宋体" w:eastAsia="宋体" w:cs="宋体"/>
                <w:bCs/>
                <w:kern w:val="0"/>
                <w:szCs w:val="21"/>
              </w:rPr>
              <w:t>3</w:t>
            </w:r>
          </w:p>
        </w:tc>
      </w:tr>
    </w:tbl>
    <w:p w14:paraId="63A96A1A">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三、</w:t>
      </w:r>
      <w:r>
        <w:rPr>
          <w:rFonts w:hint="eastAsia" w:ascii="Times New Roman" w:hAnsi="Times New Roman" w:eastAsia="宋体" w:cs="Times New Roman"/>
          <w:b/>
          <w:sz w:val="24"/>
        </w:rPr>
        <w:t>教学内容与预期学习成效</w:t>
      </w:r>
    </w:p>
    <w:tbl>
      <w:tblPr>
        <w:tblStyle w:val="11"/>
        <w:tblW w:w="8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2126"/>
        <w:gridCol w:w="1276"/>
        <w:gridCol w:w="2512"/>
        <w:gridCol w:w="1489"/>
        <w:gridCol w:w="535"/>
      </w:tblGrid>
      <w:tr w14:paraId="5BC4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5" w:type="dxa"/>
            <w:vAlign w:val="center"/>
          </w:tcPr>
          <w:p w14:paraId="75585836">
            <w:pPr>
              <w:jc w:val="center"/>
              <w:rPr>
                <w:rFonts w:hint="eastAsia" w:ascii="宋体" w:hAnsi="宋体" w:eastAsia="宋体" w:cs="Times New Roman"/>
                <w:szCs w:val="21"/>
              </w:rPr>
            </w:pPr>
            <w:r>
              <w:rPr>
                <w:rFonts w:hint="eastAsia" w:ascii="宋体" w:hAnsi="宋体" w:eastAsia="宋体" w:cs="Times New Roman"/>
                <w:szCs w:val="21"/>
              </w:rPr>
              <w:t>知识</w:t>
            </w:r>
          </w:p>
          <w:p w14:paraId="593CF79E">
            <w:pPr>
              <w:jc w:val="center"/>
              <w:rPr>
                <w:rFonts w:hint="eastAsia" w:ascii="宋体" w:hAnsi="宋体" w:eastAsia="宋体" w:cs="Times New Roman"/>
                <w:szCs w:val="21"/>
              </w:rPr>
            </w:pPr>
            <w:r>
              <w:rPr>
                <w:rFonts w:hint="eastAsia" w:ascii="宋体" w:hAnsi="宋体" w:eastAsia="宋体" w:cs="Times New Roman"/>
                <w:szCs w:val="21"/>
              </w:rPr>
              <w:t>单元</w:t>
            </w:r>
          </w:p>
        </w:tc>
        <w:tc>
          <w:tcPr>
            <w:tcW w:w="2126" w:type="dxa"/>
            <w:vAlign w:val="center"/>
          </w:tcPr>
          <w:p w14:paraId="12F446BC">
            <w:pPr>
              <w:jc w:val="center"/>
              <w:rPr>
                <w:rFonts w:hint="eastAsia" w:ascii="宋体" w:hAnsi="宋体" w:eastAsia="宋体" w:cs="Times New Roman"/>
                <w:szCs w:val="21"/>
              </w:rPr>
            </w:pPr>
            <w:r>
              <w:rPr>
                <w:rFonts w:hint="eastAsia" w:ascii="宋体" w:hAnsi="宋体" w:eastAsia="宋体" w:cs="Times New Roman"/>
                <w:szCs w:val="21"/>
              </w:rPr>
              <w:t>知识点</w:t>
            </w:r>
          </w:p>
        </w:tc>
        <w:tc>
          <w:tcPr>
            <w:tcW w:w="1276" w:type="dxa"/>
            <w:vAlign w:val="center"/>
          </w:tcPr>
          <w:p w14:paraId="404A6813">
            <w:pPr>
              <w:jc w:val="center"/>
              <w:rPr>
                <w:rFonts w:hint="eastAsia" w:ascii="宋体" w:hAnsi="宋体" w:eastAsia="宋体" w:cs="宋体"/>
                <w:szCs w:val="21"/>
              </w:rPr>
            </w:pPr>
            <w:r>
              <w:rPr>
                <w:rFonts w:hint="eastAsia" w:ascii="宋体" w:hAnsi="宋体" w:eastAsia="宋体" w:cs="宋体"/>
                <w:szCs w:val="21"/>
              </w:rPr>
              <w:t>对应</w:t>
            </w:r>
          </w:p>
          <w:p w14:paraId="01876936">
            <w:pPr>
              <w:jc w:val="center"/>
              <w:rPr>
                <w:rFonts w:hint="eastAsia" w:ascii="宋体" w:hAnsi="宋体" w:eastAsia="宋体" w:cs="Times New Roman"/>
                <w:szCs w:val="21"/>
              </w:rPr>
            </w:pPr>
            <w:r>
              <w:rPr>
                <w:rFonts w:hint="eastAsia" w:ascii="宋体" w:hAnsi="宋体" w:eastAsia="宋体" w:cs="宋体"/>
                <w:szCs w:val="21"/>
              </w:rPr>
              <w:t>课程目标</w:t>
            </w:r>
          </w:p>
        </w:tc>
        <w:tc>
          <w:tcPr>
            <w:tcW w:w="2512" w:type="dxa"/>
            <w:vAlign w:val="center"/>
          </w:tcPr>
          <w:p w14:paraId="42DBFAF5">
            <w:pPr>
              <w:jc w:val="center"/>
              <w:rPr>
                <w:rFonts w:hint="eastAsia" w:ascii="宋体" w:hAnsi="宋体" w:eastAsia="宋体" w:cs="Times New Roman"/>
                <w:szCs w:val="21"/>
              </w:rPr>
            </w:pPr>
            <w:r>
              <w:rPr>
                <w:rFonts w:hint="eastAsia" w:ascii="宋体" w:hAnsi="宋体" w:eastAsia="宋体" w:cs="Times New Roman"/>
                <w:szCs w:val="21"/>
              </w:rPr>
              <w:t>预期学习成果</w:t>
            </w:r>
          </w:p>
        </w:tc>
        <w:tc>
          <w:tcPr>
            <w:tcW w:w="1489" w:type="dxa"/>
            <w:vAlign w:val="center"/>
          </w:tcPr>
          <w:p w14:paraId="0C3767A5">
            <w:pPr>
              <w:jc w:val="center"/>
              <w:rPr>
                <w:rFonts w:hint="eastAsia" w:ascii="宋体" w:hAnsi="宋体" w:eastAsia="宋体" w:cs="Times New Roman"/>
                <w:szCs w:val="21"/>
              </w:rPr>
            </w:pPr>
            <w:r>
              <w:rPr>
                <w:rFonts w:hint="eastAsia" w:ascii="宋体" w:hAnsi="宋体" w:eastAsia="宋体" w:cs="宋体"/>
                <w:szCs w:val="21"/>
              </w:rPr>
              <w:t>实现环节</w:t>
            </w:r>
          </w:p>
        </w:tc>
        <w:tc>
          <w:tcPr>
            <w:tcW w:w="535" w:type="dxa"/>
            <w:vAlign w:val="center"/>
          </w:tcPr>
          <w:p w14:paraId="448FCD54">
            <w:pPr>
              <w:jc w:val="center"/>
              <w:rPr>
                <w:rFonts w:hint="eastAsia" w:ascii="宋体" w:hAnsi="宋体" w:eastAsia="宋体" w:cs="Times New Roman"/>
                <w:szCs w:val="21"/>
              </w:rPr>
            </w:pPr>
            <w:r>
              <w:rPr>
                <w:rFonts w:hint="eastAsia" w:ascii="宋体" w:hAnsi="宋体" w:eastAsia="宋体" w:cs="Times New Roman"/>
                <w:szCs w:val="21"/>
              </w:rPr>
              <w:t>学时</w:t>
            </w:r>
          </w:p>
        </w:tc>
      </w:tr>
      <w:tr w14:paraId="78BA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2BAC4012">
            <w:pPr>
              <w:jc w:val="center"/>
              <w:rPr>
                <w:rFonts w:hint="eastAsia" w:ascii="宋体" w:hAnsi="宋体" w:eastAsia="宋体" w:cs="Times New Roman"/>
                <w:szCs w:val="21"/>
              </w:rPr>
            </w:pPr>
            <w:r>
              <w:rPr>
                <w:rFonts w:hint="eastAsia" w:ascii="宋体" w:hAnsi="宋体" w:eastAsia="宋体" w:cs="Times New Roman"/>
                <w:szCs w:val="21"/>
              </w:rPr>
              <w:t>1.导论</w:t>
            </w:r>
          </w:p>
        </w:tc>
        <w:tc>
          <w:tcPr>
            <w:tcW w:w="2126" w:type="dxa"/>
            <w:vAlign w:val="center"/>
          </w:tcPr>
          <w:p w14:paraId="0A22AFA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1）习近平新时代中国特色社会主义思想创立的时代背景</w:t>
            </w:r>
          </w:p>
          <w:p w14:paraId="6FBA887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2）习近平新时代中国特色社会主义思想是“两个结合”的重大成果</w:t>
            </w:r>
          </w:p>
          <w:p w14:paraId="621135E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3）习近平新时代中国特色社会主义思想是完整的科学体系</w:t>
            </w:r>
          </w:p>
          <w:p w14:paraId="494E03F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4）习近平新时代中国特色社会主义思想的历史地位</w:t>
            </w:r>
          </w:p>
          <w:p w14:paraId="50FBBA4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5）深刻领悟“两个确立”的决定性意义</w:t>
            </w:r>
          </w:p>
          <w:p w14:paraId="6427216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6）学好用好习近平新时代中国特色社会主义思想</w:t>
            </w:r>
          </w:p>
        </w:tc>
        <w:tc>
          <w:tcPr>
            <w:tcW w:w="1276" w:type="dxa"/>
            <w:vAlign w:val="center"/>
          </w:tcPr>
          <w:p w14:paraId="4C39F2F7">
            <w:pPr>
              <w:jc w:val="left"/>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w:t>
            </w:r>
            <w:r>
              <w:rPr>
                <w:rFonts w:hint="eastAsia" w:ascii="宋体" w:hAnsi="宋体" w:eastAsia="宋体" w:cs="Times New Roman"/>
                <w:szCs w:val="21"/>
              </w:rPr>
              <w:t>课程目标</w:t>
            </w:r>
            <w:r>
              <w:rPr>
                <w:rFonts w:ascii="宋体" w:hAnsi="宋体" w:eastAsia="宋体" w:cs="Times New Roman"/>
                <w:szCs w:val="21"/>
              </w:rPr>
              <w:t>2</w:t>
            </w:r>
            <w:r>
              <w:rPr>
                <w:rFonts w:hint="eastAsia" w:ascii="宋体" w:hAnsi="宋体" w:eastAsia="宋体" w:cs="Times New Roman"/>
                <w:szCs w:val="21"/>
              </w:rPr>
              <w:t>课程目标</w:t>
            </w:r>
            <w:r>
              <w:rPr>
                <w:rFonts w:ascii="宋体" w:hAnsi="宋体" w:eastAsia="宋体" w:cs="Times New Roman"/>
                <w:szCs w:val="21"/>
              </w:rPr>
              <w:t>3</w:t>
            </w:r>
          </w:p>
        </w:tc>
        <w:tc>
          <w:tcPr>
            <w:tcW w:w="2512" w:type="dxa"/>
            <w:vAlign w:val="center"/>
          </w:tcPr>
          <w:p w14:paraId="662AD98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1）掌握习近平新时代中国特色社会主义思想形成的时代背景、核心要义、精神实质、丰富内涵</w:t>
            </w:r>
          </w:p>
          <w:p w14:paraId="14E8DEA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2）理解习近平新时代中国特色社会主义思想的重大意义、历史地位和实践要求</w:t>
            </w:r>
          </w:p>
        </w:tc>
        <w:tc>
          <w:tcPr>
            <w:tcW w:w="1489" w:type="dxa"/>
            <w:vAlign w:val="center"/>
          </w:tcPr>
          <w:p w14:paraId="44B34E44">
            <w:pPr>
              <w:jc w:val="left"/>
              <w:rPr>
                <w:rFonts w:hint="eastAsia" w:ascii="宋体" w:hAnsi="宋体" w:eastAsia="宋体" w:cs="Times New Roman"/>
                <w:szCs w:val="21"/>
              </w:rPr>
            </w:pPr>
            <w:r>
              <w:rPr>
                <w:rFonts w:ascii="宋体" w:hAnsi="宋体" w:eastAsia="宋体" w:cs="Times New Roman"/>
                <w:szCs w:val="21"/>
              </w:rPr>
              <w:t>1.线上学习</w:t>
            </w:r>
          </w:p>
          <w:p w14:paraId="2DCE621E">
            <w:pPr>
              <w:jc w:val="left"/>
              <w:rPr>
                <w:rFonts w:hint="eastAsia" w:ascii="宋体" w:hAnsi="宋体" w:eastAsia="宋体" w:cs="Times New Roman"/>
                <w:szCs w:val="21"/>
              </w:rPr>
            </w:pPr>
            <w:r>
              <w:rPr>
                <w:rFonts w:ascii="宋体" w:hAnsi="宋体" w:eastAsia="宋体" w:cs="Times New Roman"/>
                <w:szCs w:val="21"/>
              </w:rPr>
              <w:t>2.多媒体教学</w:t>
            </w:r>
          </w:p>
          <w:p w14:paraId="6196E373">
            <w:pPr>
              <w:jc w:val="left"/>
              <w:rPr>
                <w:rFonts w:hint="eastAsia" w:ascii="宋体" w:hAnsi="宋体" w:eastAsia="宋体" w:cs="Times New Roman"/>
                <w:szCs w:val="21"/>
              </w:rPr>
            </w:pPr>
            <w:r>
              <w:rPr>
                <w:rFonts w:ascii="宋体" w:hAnsi="宋体" w:eastAsia="宋体" w:cs="Times New Roman"/>
                <w:szCs w:val="21"/>
              </w:rPr>
              <w:t>3.课堂讨论</w:t>
            </w:r>
          </w:p>
          <w:p w14:paraId="74A0A8B6">
            <w:pPr>
              <w:jc w:val="left"/>
              <w:rPr>
                <w:rFonts w:hint="eastAsia" w:ascii="宋体" w:hAnsi="宋体" w:eastAsia="宋体" w:cs="Times New Roman"/>
                <w:szCs w:val="21"/>
              </w:rPr>
            </w:pPr>
            <w:r>
              <w:rPr>
                <w:rFonts w:ascii="宋体" w:hAnsi="宋体" w:eastAsia="宋体" w:cs="Times New Roman"/>
                <w:szCs w:val="21"/>
              </w:rPr>
              <w:t>4.单元测验</w:t>
            </w:r>
          </w:p>
        </w:tc>
        <w:tc>
          <w:tcPr>
            <w:tcW w:w="535" w:type="dxa"/>
            <w:vAlign w:val="center"/>
          </w:tcPr>
          <w:p w14:paraId="52754A93">
            <w:pPr>
              <w:jc w:val="center"/>
              <w:rPr>
                <w:rFonts w:hint="eastAsia" w:ascii="宋体" w:hAnsi="宋体" w:eastAsia="宋体" w:cs="Times New Roman"/>
                <w:szCs w:val="21"/>
              </w:rPr>
            </w:pPr>
            <w:r>
              <w:rPr>
                <w:rFonts w:hint="eastAsia" w:ascii="宋体" w:hAnsi="宋体" w:eastAsia="宋体" w:cs="Times New Roman"/>
                <w:szCs w:val="21"/>
              </w:rPr>
              <w:t>3</w:t>
            </w:r>
          </w:p>
        </w:tc>
      </w:tr>
      <w:tr w14:paraId="0766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2E31C698">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新时代坚持和发展中国特色社会主义</w:t>
            </w:r>
          </w:p>
          <w:p w14:paraId="469C92F4">
            <w:pPr>
              <w:jc w:val="center"/>
              <w:rPr>
                <w:rFonts w:hint="eastAsia" w:ascii="宋体" w:hAnsi="宋体" w:eastAsia="宋体" w:cs="Times New Roman"/>
                <w:szCs w:val="21"/>
              </w:rPr>
            </w:pPr>
          </w:p>
        </w:tc>
        <w:tc>
          <w:tcPr>
            <w:tcW w:w="2126" w:type="dxa"/>
            <w:vAlign w:val="center"/>
          </w:tcPr>
          <w:p w14:paraId="7FBE7D6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1）方向决定道路，道路决定命运</w:t>
            </w:r>
          </w:p>
          <w:p w14:paraId="49DD74F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2）中国特色社会主义进入新时代</w:t>
            </w:r>
            <w:r>
              <w:rPr>
                <w:rFonts w:ascii="宋体" w:hAnsi="宋体" w:eastAsia="宋体" w:cs="Times New Roman"/>
                <w:szCs w:val="21"/>
              </w:rPr>
              <w:tab/>
            </w:r>
          </w:p>
          <w:p w14:paraId="4FDD098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3）新时代坚持和发展中国特色社会主义要一以贯之</w:t>
            </w:r>
          </w:p>
          <w:p w14:paraId="6DC2C200">
            <w:pPr>
              <w:jc w:val="left"/>
              <w:rPr>
                <w:rFonts w:hint="eastAsia" w:ascii="宋体" w:hAnsi="宋体" w:eastAsia="宋体" w:cs="Times New Roman"/>
                <w:szCs w:val="21"/>
              </w:rPr>
            </w:pPr>
          </w:p>
        </w:tc>
        <w:tc>
          <w:tcPr>
            <w:tcW w:w="1276" w:type="dxa"/>
            <w:vAlign w:val="center"/>
          </w:tcPr>
          <w:p w14:paraId="63996AEA">
            <w:pPr>
              <w:jc w:val="left"/>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1课程目标2课程目标3</w:t>
            </w:r>
          </w:p>
        </w:tc>
        <w:tc>
          <w:tcPr>
            <w:tcW w:w="2512" w:type="dxa"/>
            <w:vAlign w:val="center"/>
          </w:tcPr>
          <w:p w14:paraId="0FA7890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1）理解中国特色社会主义是历史和人民的选择</w:t>
            </w:r>
          </w:p>
          <w:p w14:paraId="294061E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2）掌握中国特色社会主义新时代的科学内涵、新时代伟大变革及其里程碑意义</w:t>
            </w:r>
          </w:p>
          <w:p w14:paraId="25F7BF2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3）理解全面贯彻党的基本理论、基本路线、基本方略，统筹推进“五位一体”总体布局和协调推进“四个全面”战略布局的重大意义</w:t>
            </w:r>
          </w:p>
        </w:tc>
        <w:tc>
          <w:tcPr>
            <w:tcW w:w="1489" w:type="dxa"/>
            <w:vAlign w:val="center"/>
          </w:tcPr>
          <w:p w14:paraId="2C6CB015">
            <w:pPr>
              <w:jc w:val="left"/>
              <w:rPr>
                <w:rFonts w:hint="eastAsia" w:ascii="宋体" w:hAnsi="宋体" w:eastAsia="宋体"/>
                <w:szCs w:val="21"/>
              </w:rPr>
            </w:pPr>
            <w:r>
              <w:rPr>
                <w:rFonts w:ascii="宋体" w:hAnsi="宋体" w:eastAsia="宋体"/>
                <w:szCs w:val="21"/>
              </w:rPr>
              <w:t>1.线上学习</w:t>
            </w:r>
          </w:p>
          <w:p w14:paraId="60ABCD99">
            <w:pPr>
              <w:jc w:val="left"/>
              <w:rPr>
                <w:rFonts w:hint="eastAsia" w:ascii="宋体" w:hAnsi="宋体" w:eastAsia="宋体"/>
                <w:szCs w:val="21"/>
              </w:rPr>
            </w:pPr>
            <w:r>
              <w:rPr>
                <w:rFonts w:ascii="宋体" w:hAnsi="宋体" w:eastAsia="宋体"/>
                <w:szCs w:val="21"/>
              </w:rPr>
              <w:t>2.多媒体教学</w:t>
            </w:r>
          </w:p>
          <w:p w14:paraId="39FB5AB9">
            <w:pPr>
              <w:jc w:val="left"/>
              <w:rPr>
                <w:rFonts w:hint="eastAsia" w:ascii="宋体" w:hAnsi="宋体" w:eastAsia="宋体"/>
                <w:szCs w:val="21"/>
              </w:rPr>
            </w:pPr>
            <w:r>
              <w:rPr>
                <w:rFonts w:ascii="宋体" w:hAnsi="宋体" w:eastAsia="宋体"/>
                <w:szCs w:val="21"/>
              </w:rPr>
              <w:t>3.课堂讨论</w:t>
            </w:r>
          </w:p>
          <w:p w14:paraId="7AD43382">
            <w:pPr>
              <w:jc w:val="left"/>
              <w:rPr>
                <w:rFonts w:hint="eastAsia" w:ascii="宋体" w:hAnsi="宋体" w:eastAsia="宋体"/>
                <w:szCs w:val="21"/>
              </w:rPr>
            </w:pPr>
            <w:r>
              <w:rPr>
                <w:rFonts w:ascii="宋体" w:hAnsi="宋体" w:eastAsia="宋体"/>
                <w:szCs w:val="21"/>
              </w:rPr>
              <w:t>4.单元测验</w:t>
            </w:r>
          </w:p>
        </w:tc>
        <w:tc>
          <w:tcPr>
            <w:tcW w:w="535" w:type="dxa"/>
            <w:vMerge w:val="restart"/>
            <w:vAlign w:val="center"/>
          </w:tcPr>
          <w:p w14:paraId="39C90D4B">
            <w:pPr>
              <w:jc w:val="center"/>
              <w:rPr>
                <w:rFonts w:hint="eastAsia" w:ascii="宋体" w:hAnsi="宋体" w:eastAsia="宋体" w:cs="Times New Roman"/>
                <w:szCs w:val="21"/>
              </w:rPr>
            </w:pPr>
            <w:r>
              <w:rPr>
                <w:rFonts w:ascii="宋体" w:hAnsi="宋体" w:eastAsia="宋体"/>
                <w:szCs w:val="21"/>
              </w:rPr>
              <w:t>3</w:t>
            </w:r>
          </w:p>
          <w:p w14:paraId="710FD4E1">
            <w:pPr>
              <w:jc w:val="center"/>
              <w:rPr>
                <w:rFonts w:hint="eastAsia" w:ascii="宋体" w:hAnsi="宋体" w:eastAsia="宋体" w:cs="Times New Roman"/>
                <w:szCs w:val="21"/>
              </w:rPr>
            </w:pPr>
          </w:p>
        </w:tc>
      </w:tr>
      <w:tr w14:paraId="36D6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07E3A54E">
            <w:pPr>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以中国式现代化全面推进中华民族伟大复兴</w:t>
            </w:r>
          </w:p>
        </w:tc>
        <w:tc>
          <w:tcPr>
            <w:tcW w:w="2126" w:type="dxa"/>
            <w:vAlign w:val="center"/>
          </w:tcPr>
          <w:p w14:paraId="434948C0">
            <w:pPr>
              <w:jc w:val="left"/>
              <w:rPr>
                <w:rFonts w:hint="eastAsia" w:ascii="宋体" w:hAnsi="宋体" w:eastAsia="宋体" w:cs="Times New Roman"/>
                <w:szCs w:val="21"/>
              </w:rPr>
            </w:pPr>
          </w:p>
          <w:p w14:paraId="6D78B60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1）中华民族近代以来最伟大的梦想</w:t>
            </w:r>
          </w:p>
          <w:p w14:paraId="4AED1BC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2）中国式现代化是强国建设、民族复兴的唯一正确道路</w:t>
            </w:r>
          </w:p>
          <w:p w14:paraId="054FF30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3）推进中国式现代化行稳致远</w:t>
            </w:r>
          </w:p>
          <w:p w14:paraId="672ACA1A">
            <w:pPr>
              <w:jc w:val="left"/>
              <w:rPr>
                <w:rFonts w:hint="eastAsia" w:ascii="宋体" w:hAnsi="宋体" w:eastAsia="宋体" w:cs="Times New Roman"/>
                <w:szCs w:val="21"/>
              </w:rPr>
            </w:pPr>
          </w:p>
        </w:tc>
        <w:tc>
          <w:tcPr>
            <w:tcW w:w="1276" w:type="dxa"/>
            <w:vAlign w:val="center"/>
          </w:tcPr>
          <w:p w14:paraId="6F9825A1">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3AE877B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1）理解中华民族伟大复兴中国梦的内涵</w:t>
            </w:r>
          </w:p>
          <w:p w14:paraId="034491D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2）理解全面建成小康社会的里程碑意义</w:t>
            </w:r>
          </w:p>
          <w:p w14:paraId="789C15C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3）掌握中国式现代化的中国特色、本质要求和重大原则</w:t>
            </w:r>
          </w:p>
          <w:p w14:paraId="16FCA5B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4）掌握推进中国式现代化需要正确处理的重大关系</w:t>
            </w:r>
          </w:p>
        </w:tc>
        <w:tc>
          <w:tcPr>
            <w:tcW w:w="1489" w:type="dxa"/>
            <w:vAlign w:val="center"/>
          </w:tcPr>
          <w:p w14:paraId="756DA129">
            <w:pPr>
              <w:jc w:val="left"/>
              <w:rPr>
                <w:rFonts w:hint="eastAsia" w:ascii="宋体" w:hAnsi="宋体" w:eastAsia="宋体" w:cs="Times New Roman"/>
                <w:szCs w:val="21"/>
              </w:rPr>
            </w:pPr>
            <w:r>
              <w:rPr>
                <w:rFonts w:ascii="宋体" w:hAnsi="宋体" w:eastAsia="宋体" w:cs="Times New Roman"/>
                <w:szCs w:val="21"/>
              </w:rPr>
              <w:t>1.线上学习</w:t>
            </w:r>
          </w:p>
          <w:p w14:paraId="09CC99A2">
            <w:pPr>
              <w:jc w:val="left"/>
              <w:rPr>
                <w:rFonts w:hint="eastAsia" w:ascii="宋体" w:hAnsi="宋体" w:eastAsia="宋体" w:cs="Times New Roman"/>
                <w:szCs w:val="21"/>
              </w:rPr>
            </w:pPr>
            <w:r>
              <w:rPr>
                <w:rFonts w:ascii="宋体" w:hAnsi="宋体" w:eastAsia="宋体" w:cs="Times New Roman"/>
                <w:szCs w:val="21"/>
              </w:rPr>
              <w:t>2.多媒体教学</w:t>
            </w:r>
          </w:p>
          <w:p w14:paraId="092E9985">
            <w:pPr>
              <w:jc w:val="left"/>
              <w:rPr>
                <w:rFonts w:hint="eastAsia" w:ascii="宋体" w:hAnsi="宋体" w:eastAsia="宋体" w:cs="Times New Roman"/>
                <w:szCs w:val="21"/>
              </w:rPr>
            </w:pPr>
            <w:r>
              <w:rPr>
                <w:rFonts w:ascii="宋体" w:hAnsi="宋体" w:eastAsia="宋体" w:cs="Times New Roman"/>
                <w:szCs w:val="21"/>
              </w:rPr>
              <w:t>3.课堂讨论</w:t>
            </w:r>
          </w:p>
          <w:p w14:paraId="5BC44999">
            <w:pPr>
              <w:jc w:val="left"/>
              <w:rPr>
                <w:rFonts w:hint="eastAsia" w:ascii="宋体" w:hAnsi="宋体" w:eastAsia="宋体" w:cs="Times New Roman"/>
                <w:szCs w:val="21"/>
              </w:rPr>
            </w:pPr>
            <w:r>
              <w:rPr>
                <w:rFonts w:ascii="宋体" w:hAnsi="宋体" w:eastAsia="宋体" w:cs="Times New Roman"/>
                <w:szCs w:val="21"/>
              </w:rPr>
              <w:t>4.单元测验</w:t>
            </w:r>
          </w:p>
        </w:tc>
        <w:tc>
          <w:tcPr>
            <w:tcW w:w="535" w:type="dxa"/>
            <w:vMerge w:val="continue"/>
            <w:vAlign w:val="center"/>
          </w:tcPr>
          <w:p w14:paraId="14485AF6">
            <w:pPr>
              <w:jc w:val="center"/>
              <w:rPr>
                <w:rFonts w:hint="eastAsia" w:ascii="宋体" w:hAnsi="宋体" w:eastAsia="宋体" w:cs="Times New Roman"/>
                <w:szCs w:val="21"/>
              </w:rPr>
            </w:pPr>
          </w:p>
        </w:tc>
      </w:tr>
      <w:tr w14:paraId="5DC6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54F48875">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坚持党的全面领导</w:t>
            </w:r>
          </w:p>
        </w:tc>
        <w:tc>
          <w:tcPr>
            <w:tcW w:w="2126" w:type="dxa"/>
            <w:vAlign w:val="center"/>
          </w:tcPr>
          <w:p w14:paraId="4423E10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1）中国共产党领导是中国特色社会主义最本质的特征</w:t>
            </w:r>
          </w:p>
          <w:p w14:paraId="2F7D5C7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2）坚持党对一切工作的领导</w:t>
            </w:r>
          </w:p>
          <w:p w14:paraId="7750B8D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3）健全和完善党的领导制度体系</w:t>
            </w:r>
          </w:p>
        </w:tc>
        <w:tc>
          <w:tcPr>
            <w:tcW w:w="1276" w:type="dxa"/>
            <w:vAlign w:val="center"/>
          </w:tcPr>
          <w:p w14:paraId="6ECFDCC1">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3754D16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1）掌握中国共产党领导是中国特色社会主义最本质的特征，党的领导制度是我国的根本领导制度</w:t>
            </w:r>
          </w:p>
          <w:p w14:paraId="4BF2F91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2）掌握坚持党对一切工作的领导的重大意义、科学内涵、历史必然性和现实紧迫性</w:t>
            </w:r>
          </w:p>
          <w:p w14:paraId="434A036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3）理解党的领导是全面的、系统的、整体的，自觉在思想上政治上行动上同以习近平同志为核心的党中央保持高度一致</w:t>
            </w:r>
          </w:p>
        </w:tc>
        <w:tc>
          <w:tcPr>
            <w:tcW w:w="1489" w:type="dxa"/>
            <w:vAlign w:val="center"/>
          </w:tcPr>
          <w:p w14:paraId="0971546C">
            <w:pPr>
              <w:jc w:val="left"/>
              <w:rPr>
                <w:rFonts w:hint="eastAsia" w:ascii="宋体" w:hAnsi="宋体" w:eastAsia="宋体"/>
                <w:szCs w:val="21"/>
              </w:rPr>
            </w:pPr>
            <w:r>
              <w:rPr>
                <w:rFonts w:ascii="宋体" w:hAnsi="宋体" w:eastAsia="宋体"/>
                <w:szCs w:val="21"/>
              </w:rPr>
              <w:t>1.线上学习</w:t>
            </w:r>
          </w:p>
          <w:p w14:paraId="5BC06A15">
            <w:pPr>
              <w:jc w:val="left"/>
              <w:rPr>
                <w:rFonts w:hint="eastAsia" w:ascii="宋体" w:hAnsi="宋体" w:eastAsia="宋体"/>
                <w:szCs w:val="21"/>
              </w:rPr>
            </w:pPr>
            <w:r>
              <w:rPr>
                <w:rFonts w:ascii="宋体" w:hAnsi="宋体" w:eastAsia="宋体"/>
                <w:szCs w:val="21"/>
              </w:rPr>
              <w:t>2.多媒体教学</w:t>
            </w:r>
          </w:p>
          <w:p w14:paraId="7FB27FF7">
            <w:pPr>
              <w:jc w:val="left"/>
              <w:rPr>
                <w:rFonts w:hint="eastAsia" w:ascii="宋体" w:hAnsi="宋体" w:eastAsia="宋体"/>
                <w:szCs w:val="21"/>
              </w:rPr>
            </w:pPr>
            <w:r>
              <w:rPr>
                <w:rFonts w:ascii="宋体" w:hAnsi="宋体" w:eastAsia="宋体"/>
                <w:szCs w:val="21"/>
              </w:rPr>
              <w:t>3.课堂讨论</w:t>
            </w:r>
          </w:p>
          <w:p w14:paraId="7DE42CD9">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3599866E">
            <w:pPr>
              <w:jc w:val="center"/>
              <w:rPr>
                <w:rFonts w:hint="eastAsia" w:ascii="宋体" w:hAnsi="宋体" w:eastAsia="宋体" w:cs="Times New Roman"/>
                <w:szCs w:val="21"/>
              </w:rPr>
            </w:pPr>
            <w:r>
              <w:rPr>
                <w:rFonts w:ascii="宋体" w:hAnsi="宋体" w:eastAsia="宋体"/>
                <w:szCs w:val="21"/>
              </w:rPr>
              <w:t>3</w:t>
            </w:r>
          </w:p>
        </w:tc>
      </w:tr>
      <w:tr w14:paraId="6410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362629F1">
            <w:pPr>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w:t>
            </w:r>
            <w:r>
              <w:rPr>
                <w:rFonts w:hint="eastAsia" w:ascii="宋体" w:hAnsi="宋体" w:eastAsia="宋体" w:cs="Times New Roman"/>
                <w:szCs w:val="21"/>
              </w:rPr>
              <w:t>坚持以人民为中心</w:t>
            </w:r>
          </w:p>
        </w:tc>
        <w:tc>
          <w:tcPr>
            <w:tcW w:w="2126" w:type="dxa"/>
            <w:vAlign w:val="center"/>
          </w:tcPr>
          <w:p w14:paraId="7123C14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1）江山就是人民，人民就是江山</w:t>
            </w:r>
          </w:p>
          <w:p w14:paraId="03BA28D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2）坚持人民至上</w:t>
            </w:r>
          </w:p>
          <w:p w14:paraId="17BCAEF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3）全面落实以人民为中心的发展思想</w:t>
            </w:r>
          </w:p>
          <w:p w14:paraId="3C914027">
            <w:pPr>
              <w:jc w:val="left"/>
              <w:rPr>
                <w:rFonts w:hint="eastAsia" w:ascii="宋体" w:hAnsi="宋体" w:eastAsia="宋体" w:cs="Times New Roman"/>
                <w:szCs w:val="21"/>
              </w:rPr>
            </w:pPr>
          </w:p>
        </w:tc>
        <w:tc>
          <w:tcPr>
            <w:tcW w:w="1276" w:type="dxa"/>
            <w:vAlign w:val="center"/>
          </w:tcPr>
          <w:p w14:paraId="2B56ECC3">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40C5D17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1）理解“江山就是人民，人民就是江山”的深刻内涵</w:t>
            </w:r>
          </w:p>
          <w:p w14:paraId="0001161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2）掌握坚持人民至上的实践要求</w:t>
            </w:r>
          </w:p>
          <w:p w14:paraId="44B9977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3）掌握坚持以人民为中心的发展思想的基本内涵</w:t>
            </w:r>
          </w:p>
          <w:p w14:paraId="1EF3CC8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4）掌握扎实推动全体人民共同富裕的原则和思路</w:t>
            </w:r>
          </w:p>
        </w:tc>
        <w:tc>
          <w:tcPr>
            <w:tcW w:w="1489" w:type="dxa"/>
            <w:vAlign w:val="center"/>
          </w:tcPr>
          <w:p w14:paraId="09F93B45">
            <w:pPr>
              <w:jc w:val="left"/>
              <w:rPr>
                <w:rFonts w:hint="eastAsia" w:ascii="宋体" w:hAnsi="宋体" w:eastAsia="宋体"/>
                <w:szCs w:val="21"/>
              </w:rPr>
            </w:pPr>
            <w:r>
              <w:rPr>
                <w:rFonts w:ascii="宋体" w:hAnsi="宋体" w:eastAsia="宋体"/>
                <w:szCs w:val="21"/>
              </w:rPr>
              <w:t>1.线上学习</w:t>
            </w:r>
          </w:p>
          <w:p w14:paraId="396387B4">
            <w:pPr>
              <w:jc w:val="left"/>
              <w:rPr>
                <w:rFonts w:hint="eastAsia" w:ascii="宋体" w:hAnsi="宋体" w:eastAsia="宋体"/>
                <w:szCs w:val="21"/>
              </w:rPr>
            </w:pPr>
            <w:r>
              <w:rPr>
                <w:rFonts w:ascii="宋体" w:hAnsi="宋体" w:eastAsia="宋体"/>
                <w:szCs w:val="21"/>
              </w:rPr>
              <w:t>2.多媒体教学</w:t>
            </w:r>
          </w:p>
          <w:p w14:paraId="3A59E2BA">
            <w:pPr>
              <w:jc w:val="left"/>
              <w:rPr>
                <w:rFonts w:hint="eastAsia" w:ascii="宋体" w:hAnsi="宋体" w:eastAsia="宋体"/>
                <w:szCs w:val="21"/>
              </w:rPr>
            </w:pPr>
            <w:r>
              <w:rPr>
                <w:rFonts w:ascii="宋体" w:hAnsi="宋体" w:eastAsia="宋体"/>
                <w:szCs w:val="21"/>
              </w:rPr>
              <w:t>3.课堂讨论</w:t>
            </w:r>
          </w:p>
          <w:p w14:paraId="255BC759">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4CFB69A3">
            <w:pPr>
              <w:jc w:val="center"/>
              <w:rPr>
                <w:rFonts w:hint="eastAsia" w:ascii="宋体" w:hAnsi="宋体" w:eastAsia="宋体" w:cs="Times New Roman"/>
                <w:szCs w:val="21"/>
              </w:rPr>
            </w:pPr>
            <w:r>
              <w:rPr>
                <w:rFonts w:ascii="宋体" w:hAnsi="宋体" w:eastAsia="宋体"/>
                <w:szCs w:val="21"/>
              </w:rPr>
              <w:t>3</w:t>
            </w:r>
          </w:p>
        </w:tc>
      </w:tr>
      <w:tr w14:paraId="0957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66AEF401">
            <w:pPr>
              <w:jc w:val="left"/>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w:t>
            </w:r>
            <w:r>
              <w:rPr>
                <w:rFonts w:hint="eastAsia" w:ascii="宋体" w:hAnsi="宋体" w:eastAsia="宋体" w:cs="Times New Roman"/>
                <w:szCs w:val="21"/>
              </w:rPr>
              <w:t>全面深化改革开放</w:t>
            </w:r>
          </w:p>
          <w:p w14:paraId="60D3B403">
            <w:pPr>
              <w:jc w:val="center"/>
              <w:rPr>
                <w:rFonts w:hint="eastAsia" w:ascii="宋体" w:hAnsi="宋体" w:eastAsia="宋体" w:cs="Times New Roman"/>
                <w:szCs w:val="21"/>
              </w:rPr>
            </w:pPr>
          </w:p>
        </w:tc>
        <w:tc>
          <w:tcPr>
            <w:tcW w:w="2126" w:type="dxa"/>
            <w:vAlign w:val="center"/>
          </w:tcPr>
          <w:p w14:paraId="34ADB54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1）改革开放是决定当代中国命运的关键一招</w:t>
            </w:r>
          </w:p>
          <w:p w14:paraId="071024A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2）统筹推进各领域各方面改革开放</w:t>
            </w:r>
          </w:p>
          <w:p w14:paraId="115A2B6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3）将改革开放进行到底</w:t>
            </w:r>
          </w:p>
        </w:tc>
        <w:tc>
          <w:tcPr>
            <w:tcW w:w="1276" w:type="dxa"/>
            <w:vAlign w:val="center"/>
          </w:tcPr>
          <w:p w14:paraId="4B3FCC02">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69824E6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1）理解新时代全面深化改革开放是一场深刻革命</w:t>
            </w:r>
          </w:p>
          <w:p w14:paraId="4706B1E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2）掌握坚持全面深化改革开放的正确方向，全面深化改革的重大意义、总目标、重大部署、方法论等。</w:t>
            </w:r>
          </w:p>
        </w:tc>
        <w:tc>
          <w:tcPr>
            <w:tcW w:w="1489" w:type="dxa"/>
            <w:vAlign w:val="center"/>
          </w:tcPr>
          <w:p w14:paraId="66E43872">
            <w:pPr>
              <w:jc w:val="left"/>
              <w:rPr>
                <w:rFonts w:hint="eastAsia" w:ascii="宋体" w:hAnsi="宋体" w:eastAsia="宋体"/>
                <w:szCs w:val="21"/>
              </w:rPr>
            </w:pPr>
            <w:r>
              <w:rPr>
                <w:rFonts w:ascii="宋体" w:hAnsi="宋体" w:eastAsia="宋体"/>
                <w:szCs w:val="21"/>
              </w:rPr>
              <w:t>1.线上学习</w:t>
            </w:r>
          </w:p>
          <w:p w14:paraId="5C565078">
            <w:pPr>
              <w:jc w:val="left"/>
              <w:rPr>
                <w:rFonts w:hint="eastAsia" w:ascii="宋体" w:hAnsi="宋体" w:eastAsia="宋体"/>
                <w:szCs w:val="21"/>
              </w:rPr>
            </w:pPr>
            <w:r>
              <w:rPr>
                <w:rFonts w:ascii="宋体" w:hAnsi="宋体" w:eastAsia="宋体"/>
                <w:szCs w:val="21"/>
              </w:rPr>
              <w:t>2.多媒体教学</w:t>
            </w:r>
          </w:p>
          <w:p w14:paraId="7659EA60">
            <w:pPr>
              <w:jc w:val="left"/>
              <w:rPr>
                <w:rFonts w:hint="eastAsia" w:ascii="宋体" w:hAnsi="宋体" w:eastAsia="宋体"/>
                <w:szCs w:val="21"/>
              </w:rPr>
            </w:pPr>
            <w:r>
              <w:rPr>
                <w:rFonts w:ascii="宋体" w:hAnsi="宋体" w:eastAsia="宋体"/>
                <w:szCs w:val="21"/>
              </w:rPr>
              <w:t>3.课堂讨论</w:t>
            </w:r>
          </w:p>
          <w:p w14:paraId="72815C75">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67C4F0CF">
            <w:pPr>
              <w:jc w:val="center"/>
              <w:rPr>
                <w:rFonts w:hint="eastAsia" w:ascii="宋体" w:hAnsi="宋体" w:eastAsia="宋体" w:cs="Times New Roman"/>
                <w:szCs w:val="21"/>
              </w:rPr>
            </w:pPr>
            <w:r>
              <w:rPr>
                <w:rFonts w:ascii="宋体" w:hAnsi="宋体" w:eastAsia="宋体"/>
                <w:szCs w:val="21"/>
              </w:rPr>
              <w:t>3</w:t>
            </w:r>
          </w:p>
        </w:tc>
      </w:tr>
      <w:tr w14:paraId="7C06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6DE2AD8A">
            <w:pPr>
              <w:jc w:val="left"/>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w:t>
            </w:r>
            <w:r>
              <w:rPr>
                <w:rFonts w:hint="eastAsia" w:ascii="宋体" w:hAnsi="宋体" w:eastAsia="宋体" w:cs="Times New Roman"/>
                <w:szCs w:val="21"/>
              </w:rPr>
              <w:t>推动高质量发展</w:t>
            </w:r>
          </w:p>
          <w:p w14:paraId="2C288A7C">
            <w:pPr>
              <w:jc w:val="center"/>
              <w:rPr>
                <w:rFonts w:hint="eastAsia" w:ascii="宋体" w:hAnsi="宋体" w:eastAsia="宋体" w:cs="Times New Roman"/>
                <w:szCs w:val="21"/>
              </w:rPr>
            </w:pPr>
          </w:p>
        </w:tc>
        <w:tc>
          <w:tcPr>
            <w:tcW w:w="2126" w:type="dxa"/>
            <w:vAlign w:val="center"/>
          </w:tcPr>
          <w:p w14:paraId="2A557A8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1）完整、准确、全面贯彻新发展理念</w:t>
            </w:r>
          </w:p>
          <w:p w14:paraId="2C4B8CA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2）坚持和完善社会主义基本经济制度</w:t>
            </w:r>
          </w:p>
          <w:p w14:paraId="6960A2A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3）加快构建新发展格局</w:t>
            </w:r>
          </w:p>
          <w:p w14:paraId="3B4E0B9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4）建设现代化经济体系</w:t>
            </w:r>
          </w:p>
        </w:tc>
        <w:tc>
          <w:tcPr>
            <w:tcW w:w="1276" w:type="dxa"/>
            <w:vAlign w:val="center"/>
          </w:tcPr>
          <w:p w14:paraId="3C203910">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3B39E90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1）理解新发展理念的形成背景、科学内涵和实践要求</w:t>
            </w:r>
          </w:p>
          <w:p w14:paraId="37ADF06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2）理解我国经济转向高质量发展的深刻内涵和重大意义</w:t>
            </w:r>
          </w:p>
          <w:p w14:paraId="26EBD1F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3）掌握坚持和完善社会主义基本经济制度的内涵和重大意义</w:t>
            </w:r>
          </w:p>
          <w:p w14:paraId="3FE1EB6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4）掌握构建以国内大循环为主体、国内国际双循环相互促进的新发展格局</w:t>
            </w:r>
          </w:p>
        </w:tc>
        <w:tc>
          <w:tcPr>
            <w:tcW w:w="1489" w:type="dxa"/>
            <w:vAlign w:val="center"/>
          </w:tcPr>
          <w:p w14:paraId="5911D5D8">
            <w:pPr>
              <w:jc w:val="left"/>
              <w:rPr>
                <w:rFonts w:hint="eastAsia" w:ascii="宋体" w:hAnsi="宋体" w:eastAsia="宋体"/>
                <w:szCs w:val="21"/>
              </w:rPr>
            </w:pPr>
            <w:r>
              <w:rPr>
                <w:rFonts w:ascii="宋体" w:hAnsi="宋体" w:eastAsia="宋体"/>
                <w:szCs w:val="21"/>
              </w:rPr>
              <w:t>1.线上学习</w:t>
            </w:r>
          </w:p>
          <w:p w14:paraId="1C45951D">
            <w:pPr>
              <w:jc w:val="left"/>
              <w:rPr>
                <w:rFonts w:hint="eastAsia" w:ascii="宋体" w:hAnsi="宋体" w:eastAsia="宋体"/>
                <w:szCs w:val="21"/>
              </w:rPr>
            </w:pPr>
            <w:r>
              <w:rPr>
                <w:rFonts w:ascii="宋体" w:hAnsi="宋体" w:eastAsia="宋体"/>
                <w:szCs w:val="21"/>
              </w:rPr>
              <w:t>2.多媒体教学</w:t>
            </w:r>
          </w:p>
          <w:p w14:paraId="3476449D">
            <w:pPr>
              <w:jc w:val="left"/>
              <w:rPr>
                <w:rFonts w:hint="eastAsia" w:ascii="宋体" w:hAnsi="宋体" w:eastAsia="宋体"/>
                <w:szCs w:val="21"/>
              </w:rPr>
            </w:pPr>
            <w:r>
              <w:rPr>
                <w:rFonts w:ascii="宋体" w:hAnsi="宋体" w:eastAsia="宋体"/>
                <w:szCs w:val="21"/>
              </w:rPr>
              <w:t>3.课堂讨论</w:t>
            </w:r>
          </w:p>
          <w:p w14:paraId="38331506">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1ABA66CA">
            <w:pPr>
              <w:jc w:val="center"/>
              <w:rPr>
                <w:rFonts w:hint="eastAsia" w:ascii="宋体" w:hAnsi="宋体" w:eastAsia="宋体" w:cs="Times New Roman"/>
                <w:szCs w:val="21"/>
              </w:rPr>
            </w:pPr>
            <w:r>
              <w:rPr>
                <w:rFonts w:ascii="宋体" w:hAnsi="宋体" w:eastAsia="宋体"/>
                <w:szCs w:val="21"/>
              </w:rPr>
              <w:t>3</w:t>
            </w:r>
          </w:p>
        </w:tc>
      </w:tr>
      <w:tr w14:paraId="2B71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12B44462">
            <w:pPr>
              <w:jc w:val="center"/>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社会主义现代化建设的教育、科技、人才战略</w:t>
            </w:r>
          </w:p>
        </w:tc>
        <w:tc>
          <w:tcPr>
            <w:tcW w:w="2126" w:type="dxa"/>
            <w:vAlign w:val="center"/>
          </w:tcPr>
          <w:p w14:paraId="28B02876">
            <w:pPr>
              <w:jc w:val="left"/>
              <w:rPr>
                <w:rFonts w:hint="eastAsia" w:ascii="宋体" w:hAnsi="宋体" w:eastAsia="宋体" w:cs="Times New Roman"/>
                <w:szCs w:val="21"/>
              </w:rPr>
            </w:pPr>
          </w:p>
          <w:p w14:paraId="090D0DF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1）全面建设社会主义现代化国家的基础性、战略性支撑</w:t>
            </w:r>
          </w:p>
          <w:p w14:paraId="54DC663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2）加快建设教育强国</w:t>
            </w:r>
          </w:p>
          <w:p w14:paraId="2649FE0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3）加快建设科技强国</w:t>
            </w:r>
          </w:p>
          <w:p w14:paraId="7FA35FA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4）加快建设人才强国</w:t>
            </w:r>
          </w:p>
        </w:tc>
        <w:tc>
          <w:tcPr>
            <w:tcW w:w="1276" w:type="dxa"/>
            <w:vAlign w:val="center"/>
          </w:tcPr>
          <w:p w14:paraId="3998A4D1">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2FF7AD2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1）理解教育、科技、人才是全面建设社会主义现代化国家的基础性、战略性支撑</w:t>
            </w:r>
          </w:p>
          <w:p w14:paraId="4BBBB3F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2）理解教育是国之大计、党之大计、在国家发展中的基础性先导性全局性地位</w:t>
            </w:r>
          </w:p>
          <w:p w14:paraId="7AF33CE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3）理解科技自立自强是国家强盛之基、安全之要，人才是实现民族振兴、赢得国际竞争主动的战略资源</w:t>
            </w:r>
          </w:p>
          <w:p w14:paraId="6073682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4）掌握建设教育强国、科技强国、人才强国的内在一致性和相互支撑性</w:t>
            </w:r>
          </w:p>
        </w:tc>
        <w:tc>
          <w:tcPr>
            <w:tcW w:w="1489" w:type="dxa"/>
            <w:vAlign w:val="center"/>
          </w:tcPr>
          <w:p w14:paraId="466F1634">
            <w:pPr>
              <w:jc w:val="left"/>
              <w:rPr>
                <w:rFonts w:hint="eastAsia" w:ascii="宋体" w:hAnsi="宋体" w:eastAsia="宋体"/>
                <w:szCs w:val="21"/>
              </w:rPr>
            </w:pPr>
            <w:r>
              <w:rPr>
                <w:rFonts w:ascii="宋体" w:hAnsi="宋体" w:eastAsia="宋体"/>
                <w:szCs w:val="21"/>
              </w:rPr>
              <w:t>1.线上学习</w:t>
            </w:r>
          </w:p>
          <w:p w14:paraId="2EB39CA9">
            <w:pPr>
              <w:jc w:val="left"/>
              <w:rPr>
                <w:rFonts w:hint="eastAsia" w:ascii="宋体" w:hAnsi="宋体" w:eastAsia="宋体"/>
                <w:szCs w:val="21"/>
              </w:rPr>
            </w:pPr>
            <w:r>
              <w:rPr>
                <w:rFonts w:ascii="宋体" w:hAnsi="宋体" w:eastAsia="宋体"/>
                <w:szCs w:val="21"/>
              </w:rPr>
              <w:t>2.多媒体教学</w:t>
            </w:r>
          </w:p>
          <w:p w14:paraId="3B8DDC15">
            <w:pPr>
              <w:jc w:val="left"/>
              <w:rPr>
                <w:rFonts w:hint="eastAsia" w:ascii="宋体" w:hAnsi="宋体" w:eastAsia="宋体"/>
                <w:szCs w:val="21"/>
              </w:rPr>
            </w:pPr>
            <w:r>
              <w:rPr>
                <w:rFonts w:ascii="宋体" w:hAnsi="宋体" w:eastAsia="宋体"/>
                <w:szCs w:val="21"/>
              </w:rPr>
              <w:t>3.课堂讨论</w:t>
            </w:r>
          </w:p>
          <w:p w14:paraId="4C40DF8E">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6FCD20D3">
            <w:pPr>
              <w:jc w:val="center"/>
              <w:rPr>
                <w:rFonts w:hint="eastAsia" w:ascii="宋体" w:hAnsi="宋体" w:eastAsia="宋体" w:cs="Times New Roman"/>
                <w:szCs w:val="21"/>
              </w:rPr>
            </w:pPr>
            <w:r>
              <w:rPr>
                <w:rFonts w:ascii="宋体" w:hAnsi="宋体" w:eastAsia="宋体"/>
                <w:szCs w:val="21"/>
              </w:rPr>
              <w:t>3</w:t>
            </w:r>
          </w:p>
        </w:tc>
      </w:tr>
      <w:tr w14:paraId="1E4D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32E9C4DB">
            <w:pPr>
              <w:jc w:val="left"/>
              <w:rPr>
                <w:rFonts w:hint="eastAsia" w:ascii="宋体" w:hAnsi="宋体" w:eastAsia="宋体" w:cs="Times New Roman"/>
                <w:szCs w:val="21"/>
              </w:rPr>
            </w:pPr>
            <w:r>
              <w:rPr>
                <w:rFonts w:hint="eastAsia" w:ascii="宋体" w:hAnsi="宋体" w:eastAsia="宋体" w:cs="Times New Roman"/>
                <w:szCs w:val="21"/>
              </w:rPr>
              <w:t>9</w:t>
            </w:r>
            <w:r>
              <w:rPr>
                <w:rFonts w:ascii="宋体" w:hAnsi="宋体" w:eastAsia="宋体" w:cs="Times New Roman"/>
                <w:szCs w:val="21"/>
              </w:rPr>
              <w:t>.</w:t>
            </w:r>
            <w:r>
              <w:rPr>
                <w:rFonts w:hint="eastAsia" w:ascii="宋体" w:hAnsi="宋体" w:eastAsia="宋体" w:cs="Times New Roman"/>
                <w:szCs w:val="21"/>
              </w:rPr>
              <w:t>发展全过程人民民主</w:t>
            </w:r>
          </w:p>
        </w:tc>
        <w:tc>
          <w:tcPr>
            <w:tcW w:w="2126" w:type="dxa"/>
            <w:vAlign w:val="center"/>
          </w:tcPr>
          <w:p w14:paraId="4D31CFB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1）坚定中国特色社会主义政治制度自信</w:t>
            </w:r>
          </w:p>
          <w:p w14:paraId="0AFB58C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2）全过程人民民主是社会主义民主政治的本质属性</w:t>
            </w:r>
          </w:p>
          <w:p w14:paraId="6788CEC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3）健全人民当家作主的制度体系</w:t>
            </w:r>
          </w:p>
          <w:p w14:paraId="0672CE3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4）巩固和发展新时代爱国统一战线</w:t>
            </w:r>
          </w:p>
        </w:tc>
        <w:tc>
          <w:tcPr>
            <w:tcW w:w="1276" w:type="dxa"/>
            <w:vAlign w:val="center"/>
          </w:tcPr>
          <w:p w14:paraId="7D5DE6D9">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166E0EF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1）理解全过程人民民主是社会主义民主政治的本质属性</w:t>
            </w:r>
          </w:p>
          <w:p w14:paraId="1741D90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2）掌握全过程人民民主的基本内涵，发展全过程人民民主的重大意义和实践要求，人民当家作主制度体系的主要内容</w:t>
            </w:r>
          </w:p>
          <w:p w14:paraId="542EADB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3）理解巩固和发展新时代爱国统一战线的重要意义</w:t>
            </w:r>
          </w:p>
          <w:p w14:paraId="1DCB21B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4）掌握坚定不移走中国特色社会主义政治发展道路意义与内涵</w:t>
            </w:r>
          </w:p>
        </w:tc>
        <w:tc>
          <w:tcPr>
            <w:tcW w:w="1489" w:type="dxa"/>
            <w:vAlign w:val="center"/>
          </w:tcPr>
          <w:p w14:paraId="14D95A53">
            <w:pPr>
              <w:jc w:val="left"/>
              <w:rPr>
                <w:rFonts w:hint="eastAsia" w:ascii="宋体" w:hAnsi="宋体" w:eastAsia="宋体"/>
                <w:szCs w:val="21"/>
              </w:rPr>
            </w:pPr>
            <w:r>
              <w:rPr>
                <w:rFonts w:ascii="宋体" w:hAnsi="宋体" w:eastAsia="宋体"/>
                <w:szCs w:val="21"/>
              </w:rPr>
              <w:t>1.线上学习</w:t>
            </w:r>
          </w:p>
          <w:p w14:paraId="716AEAC1">
            <w:pPr>
              <w:jc w:val="left"/>
              <w:rPr>
                <w:rFonts w:hint="eastAsia" w:ascii="宋体" w:hAnsi="宋体" w:eastAsia="宋体"/>
                <w:szCs w:val="21"/>
              </w:rPr>
            </w:pPr>
            <w:r>
              <w:rPr>
                <w:rFonts w:ascii="宋体" w:hAnsi="宋体" w:eastAsia="宋体"/>
                <w:szCs w:val="21"/>
              </w:rPr>
              <w:t>2.多媒体教学</w:t>
            </w:r>
          </w:p>
          <w:p w14:paraId="2DBCEEB1">
            <w:pPr>
              <w:jc w:val="left"/>
              <w:rPr>
                <w:rFonts w:hint="eastAsia" w:ascii="宋体" w:hAnsi="宋体" w:eastAsia="宋体"/>
                <w:szCs w:val="21"/>
              </w:rPr>
            </w:pPr>
            <w:r>
              <w:rPr>
                <w:rFonts w:ascii="宋体" w:hAnsi="宋体" w:eastAsia="宋体"/>
                <w:szCs w:val="21"/>
              </w:rPr>
              <w:t>3.课堂讨论</w:t>
            </w:r>
          </w:p>
          <w:p w14:paraId="441DCA73">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45EC88ED">
            <w:pPr>
              <w:jc w:val="center"/>
              <w:rPr>
                <w:rFonts w:hint="eastAsia" w:ascii="宋体" w:hAnsi="宋体" w:eastAsia="宋体" w:cs="Times New Roman"/>
                <w:szCs w:val="21"/>
              </w:rPr>
            </w:pPr>
            <w:r>
              <w:rPr>
                <w:rFonts w:ascii="宋体" w:hAnsi="宋体" w:eastAsia="宋体"/>
                <w:szCs w:val="21"/>
              </w:rPr>
              <w:t>3</w:t>
            </w:r>
          </w:p>
        </w:tc>
      </w:tr>
      <w:tr w14:paraId="16F8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5" w:type="dxa"/>
            <w:vAlign w:val="center"/>
          </w:tcPr>
          <w:p w14:paraId="2739AAAC">
            <w:pPr>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全面依法治国</w:t>
            </w:r>
          </w:p>
        </w:tc>
        <w:tc>
          <w:tcPr>
            <w:tcW w:w="2126" w:type="dxa"/>
            <w:vAlign w:val="center"/>
          </w:tcPr>
          <w:p w14:paraId="6A556086">
            <w:pPr>
              <w:jc w:val="left"/>
              <w:rPr>
                <w:rFonts w:hint="eastAsia" w:ascii="宋体" w:hAnsi="宋体" w:eastAsia="宋体" w:cs="Times New Roman"/>
                <w:b/>
                <w:szCs w:val="21"/>
              </w:rPr>
            </w:pPr>
          </w:p>
          <w:p w14:paraId="6864DEED">
            <w:pPr>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1）坚持中国特色社会主义法治道路</w:t>
            </w:r>
          </w:p>
          <w:p w14:paraId="00C919AC">
            <w:pPr>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2）建设中国特色社会主义法治体系</w:t>
            </w:r>
          </w:p>
          <w:p w14:paraId="3DEA7A5B">
            <w:pPr>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3）加快建设法治中国</w:t>
            </w:r>
          </w:p>
        </w:tc>
        <w:tc>
          <w:tcPr>
            <w:tcW w:w="1276" w:type="dxa"/>
            <w:vAlign w:val="center"/>
          </w:tcPr>
          <w:p w14:paraId="6764C89A">
            <w:pPr>
              <w:jc w:val="left"/>
              <w:rPr>
                <w:rFonts w:hint="eastAsia" w:ascii="宋体" w:hAnsi="宋体" w:eastAsia="宋体" w:cs="Times New Roman"/>
                <w:bCs/>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2070B58E">
            <w:pPr>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1）掌握全面依法治国的总目标，全面依法治国的重大意义和实践要求</w:t>
            </w:r>
          </w:p>
          <w:p w14:paraId="1EF1DADC">
            <w:pPr>
              <w:jc w:val="left"/>
              <w:rPr>
                <w:rFonts w:hint="eastAsia" w:ascii="宋体" w:hAnsi="宋体" w:eastAsia="宋体" w:cs="Times New Roman"/>
                <w:bCs/>
                <w:szCs w:val="21"/>
              </w:rPr>
            </w:pPr>
            <w:r>
              <w:rPr>
                <w:rFonts w:hint="eastAsia" w:ascii="宋体" w:hAnsi="宋体" w:eastAsia="宋体" w:cs="Times New Roman"/>
                <w:bCs/>
                <w:szCs w:val="21"/>
              </w:rPr>
              <w:t>（</w:t>
            </w:r>
            <w:r>
              <w:rPr>
                <w:rFonts w:ascii="宋体" w:hAnsi="宋体" w:eastAsia="宋体" w:cs="Times New Roman"/>
                <w:bCs/>
                <w:szCs w:val="21"/>
              </w:rPr>
              <w:t>2）掌握中国特色社会主义法治道路的核心要义和基本原则，中国特色社会主义法治体系的主要内容</w:t>
            </w:r>
          </w:p>
          <w:p w14:paraId="3F65EE55">
            <w:pPr>
              <w:jc w:val="left"/>
              <w:rPr>
                <w:rFonts w:hint="eastAsia" w:ascii="宋体" w:hAnsi="宋体" w:eastAsia="宋体" w:cs="Times New Roman"/>
                <w:szCs w:val="21"/>
              </w:rPr>
            </w:pPr>
            <w:r>
              <w:rPr>
                <w:rFonts w:hint="eastAsia" w:ascii="宋体" w:hAnsi="宋体" w:eastAsia="宋体" w:cs="Times New Roman"/>
                <w:bCs/>
                <w:szCs w:val="21"/>
              </w:rPr>
              <w:t>（</w:t>
            </w:r>
            <w:r>
              <w:rPr>
                <w:rFonts w:ascii="宋体" w:hAnsi="宋体" w:eastAsia="宋体" w:cs="Times New Roman"/>
                <w:bCs/>
                <w:szCs w:val="21"/>
              </w:rPr>
              <w:t>2）了解加快推进法治中国建设的主要任务</w:t>
            </w:r>
          </w:p>
        </w:tc>
        <w:tc>
          <w:tcPr>
            <w:tcW w:w="1489" w:type="dxa"/>
            <w:vAlign w:val="center"/>
          </w:tcPr>
          <w:p w14:paraId="44750680">
            <w:pPr>
              <w:jc w:val="left"/>
              <w:rPr>
                <w:rFonts w:hint="eastAsia" w:ascii="宋体" w:hAnsi="宋体" w:eastAsia="宋体"/>
                <w:szCs w:val="21"/>
              </w:rPr>
            </w:pPr>
            <w:r>
              <w:rPr>
                <w:rFonts w:ascii="宋体" w:hAnsi="宋体" w:eastAsia="宋体"/>
                <w:szCs w:val="21"/>
              </w:rPr>
              <w:t>1.线上学习</w:t>
            </w:r>
          </w:p>
          <w:p w14:paraId="58872B40">
            <w:pPr>
              <w:jc w:val="left"/>
              <w:rPr>
                <w:rFonts w:hint="eastAsia" w:ascii="宋体" w:hAnsi="宋体" w:eastAsia="宋体"/>
                <w:szCs w:val="21"/>
              </w:rPr>
            </w:pPr>
            <w:r>
              <w:rPr>
                <w:rFonts w:ascii="宋体" w:hAnsi="宋体" w:eastAsia="宋体"/>
                <w:szCs w:val="21"/>
              </w:rPr>
              <w:t>2.多媒体教学</w:t>
            </w:r>
          </w:p>
          <w:p w14:paraId="54930C6B">
            <w:pPr>
              <w:jc w:val="left"/>
              <w:rPr>
                <w:rFonts w:hint="eastAsia" w:ascii="宋体" w:hAnsi="宋体" w:eastAsia="宋体"/>
                <w:szCs w:val="21"/>
              </w:rPr>
            </w:pPr>
            <w:r>
              <w:rPr>
                <w:rFonts w:ascii="宋体" w:hAnsi="宋体" w:eastAsia="宋体"/>
                <w:szCs w:val="21"/>
              </w:rPr>
              <w:t>3.课堂讨论</w:t>
            </w:r>
          </w:p>
          <w:p w14:paraId="28503A5E">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28DBE54B">
            <w:pPr>
              <w:jc w:val="center"/>
              <w:rPr>
                <w:rFonts w:hint="eastAsia" w:ascii="宋体" w:hAnsi="宋体" w:eastAsia="宋体" w:cs="Times New Roman"/>
                <w:szCs w:val="21"/>
              </w:rPr>
            </w:pPr>
            <w:r>
              <w:rPr>
                <w:rFonts w:ascii="宋体" w:hAnsi="宋体" w:eastAsia="宋体"/>
                <w:szCs w:val="21"/>
              </w:rPr>
              <w:t>3</w:t>
            </w:r>
          </w:p>
        </w:tc>
      </w:tr>
      <w:tr w14:paraId="0D700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49747965">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建设社会主义文化强国</w:t>
            </w:r>
          </w:p>
          <w:p w14:paraId="1461EFE3">
            <w:pPr>
              <w:jc w:val="center"/>
              <w:rPr>
                <w:rFonts w:hint="eastAsia" w:ascii="宋体" w:hAnsi="宋体" w:eastAsia="宋体" w:cs="Times New Roman"/>
                <w:szCs w:val="21"/>
              </w:rPr>
            </w:pPr>
          </w:p>
        </w:tc>
        <w:tc>
          <w:tcPr>
            <w:tcW w:w="2126" w:type="dxa"/>
            <w:vAlign w:val="center"/>
          </w:tcPr>
          <w:p w14:paraId="0C3C82E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1）文化是民族生存和发展的重要力量</w:t>
            </w:r>
          </w:p>
          <w:p w14:paraId="08777F1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2）建设具有强大凝聚力和引领力的社会主义意识形态</w:t>
            </w:r>
          </w:p>
          <w:p w14:paraId="6B524EC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3）以社会主义核心价值观引领文化建设</w:t>
            </w:r>
          </w:p>
          <w:p w14:paraId="4FA5B49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4）铸就社会主义文化新辉煌</w:t>
            </w:r>
          </w:p>
          <w:p w14:paraId="230EB00C">
            <w:pPr>
              <w:jc w:val="left"/>
              <w:rPr>
                <w:rFonts w:hint="eastAsia" w:ascii="宋体" w:hAnsi="宋体" w:eastAsia="宋体" w:cs="Times New Roman"/>
                <w:szCs w:val="21"/>
              </w:rPr>
            </w:pPr>
          </w:p>
        </w:tc>
        <w:tc>
          <w:tcPr>
            <w:tcW w:w="1276" w:type="dxa"/>
            <w:vAlign w:val="center"/>
          </w:tcPr>
          <w:p w14:paraId="05847B01">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466F832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1）理解文化自信是实现中华民族伟大复兴的强大精神力量</w:t>
            </w:r>
          </w:p>
          <w:p w14:paraId="3F06FB9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2）掌握建设中国特色社会主义文化、坚持马克思主义在意识形态领域指导地位的根本制度、用社会主义核心价值观凝心聚力的重大意义，理解提升国家文化软实力和中华文化影响力的实践要求</w:t>
            </w:r>
            <w:r>
              <w:rPr>
                <w:rFonts w:ascii="宋体" w:hAnsi="宋体" w:eastAsia="宋体" w:cs="Times New Roman"/>
                <w:szCs w:val="21"/>
              </w:rPr>
              <w:tab/>
            </w:r>
          </w:p>
          <w:p w14:paraId="09EF48F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3）掌握培育和践行社会主义核心价值观的基本要求</w:t>
            </w:r>
          </w:p>
          <w:p w14:paraId="3BD0106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4）了解中华文明的突出特性</w:t>
            </w:r>
          </w:p>
        </w:tc>
        <w:tc>
          <w:tcPr>
            <w:tcW w:w="1489" w:type="dxa"/>
            <w:vAlign w:val="center"/>
          </w:tcPr>
          <w:p w14:paraId="3811972F">
            <w:pPr>
              <w:jc w:val="left"/>
              <w:rPr>
                <w:rFonts w:hint="eastAsia" w:ascii="宋体" w:hAnsi="宋体" w:eastAsia="宋体"/>
                <w:szCs w:val="21"/>
              </w:rPr>
            </w:pPr>
          </w:p>
        </w:tc>
        <w:tc>
          <w:tcPr>
            <w:tcW w:w="535" w:type="dxa"/>
            <w:vAlign w:val="center"/>
          </w:tcPr>
          <w:p w14:paraId="15E1AB29">
            <w:pPr>
              <w:jc w:val="center"/>
              <w:rPr>
                <w:rFonts w:hint="eastAsia" w:ascii="宋体" w:hAnsi="宋体" w:eastAsia="宋体" w:cs="Times New Roman"/>
                <w:szCs w:val="21"/>
              </w:rPr>
            </w:pPr>
            <w:r>
              <w:rPr>
                <w:rFonts w:ascii="宋体" w:hAnsi="宋体" w:eastAsia="宋体"/>
                <w:szCs w:val="21"/>
              </w:rPr>
              <w:t>3</w:t>
            </w:r>
          </w:p>
        </w:tc>
      </w:tr>
      <w:tr w14:paraId="609A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1E2969E4">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以保障和改善民生为重点加强社会建设</w:t>
            </w:r>
          </w:p>
        </w:tc>
        <w:tc>
          <w:tcPr>
            <w:tcW w:w="2126" w:type="dxa"/>
            <w:vAlign w:val="center"/>
          </w:tcPr>
          <w:p w14:paraId="35D0030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1）让人民生活幸福是“国之大者”</w:t>
            </w:r>
          </w:p>
          <w:p w14:paraId="0810198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2）不断提高人民生活品质</w:t>
            </w:r>
          </w:p>
          <w:p w14:paraId="6CB0138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3）在共建共治共享中推进社会治理现代化</w:t>
            </w:r>
          </w:p>
        </w:tc>
        <w:tc>
          <w:tcPr>
            <w:tcW w:w="1276" w:type="dxa"/>
            <w:vAlign w:val="center"/>
          </w:tcPr>
          <w:p w14:paraId="39EAFB50">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06B805E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1）理解在发展中增进民生福祉</w:t>
            </w:r>
          </w:p>
          <w:p w14:paraId="5CC7409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2）理解提高人民生活品质的主要着力点</w:t>
            </w:r>
          </w:p>
          <w:p w14:paraId="6305BA3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3）理解以民生为重点的社会建设的重大意义，理解增强人民获得感、幸福感、安全感，推进社会治理现代化的实践要求。</w:t>
            </w:r>
          </w:p>
          <w:p w14:paraId="6DC6D11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4）掌握加强和创新社会治理的意义和要求</w:t>
            </w:r>
          </w:p>
        </w:tc>
        <w:tc>
          <w:tcPr>
            <w:tcW w:w="1489" w:type="dxa"/>
            <w:vAlign w:val="center"/>
          </w:tcPr>
          <w:p w14:paraId="7F511149">
            <w:pPr>
              <w:jc w:val="left"/>
              <w:rPr>
                <w:rFonts w:hint="eastAsia" w:ascii="宋体" w:hAnsi="宋体" w:eastAsia="宋体"/>
                <w:szCs w:val="21"/>
              </w:rPr>
            </w:pPr>
            <w:r>
              <w:rPr>
                <w:rFonts w:ascii="宋体" w:hAnsi="宋体" w:eastAsia="宋体"/>
                <w:szCs w:val="21"/>
              </w:rPr>
              <w:t>1.线上学习</w:t>
            </w:r>
          </w:p>
          <w:p w14:paraId="64110FEF">
            <w:pPr>
              <w:jc w:val="left"/>
              <w:rPr>
                <w:rFonts w:hint="eastAsia" w:ascii="宋体" w:hAnsi="宋体" w:eastAsia="宋体"/>
                <w:szCs w:val="21"/>
              </w:rPr>
            </w:pPr>
            <w:r>
              <w:rPr>
                <w:rFonts w:ascii="宋体" w:hAnsi="宋体" w:eastAsia="宋体"/>
                <w:szCs w:val="21"/>
              </w:rPr>
              <w:t>2.多媒体教学</w:t>
            </w:r>
          </w:p>
          <w:p w14:paraId="7D9D2BBF">
            <w:pPr>
              <w:jc w:val="left"/>
              <w:rPr>
                <w:rFonts w:hint="eastAsia" w:ascii="宋体" w:hAnsi="宋体" w:eastAsia="宋体"/>
                <w:szCs w:val="21"/>
              </w:rPr>
            </w:pPr>
            <w:r>
              <w:rPr>
                <w:rFonts w:ascii="宋体" w:hAnsi="宋体" w:eastAsia="宋体"/>
                <w:szCs w:val="21"/>
              </w:rPr>
              <w:t>3.课堂讨论</w:t>
            </w:r>
          </w:p>
          <w:p w14:paraId="11A43C1F">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64A31CF1">
            <w:pPr>
              <w:jc w:val="center"/>
              <w:rPr>
                <w:rFonts w:hint="eastAsia" w:ascii="宋体" w:hAnsi="宋体" w:eastAsia="宋体" w:cs="Times New Roman"/>
                <w:szCs w:val="21"/>
              </w:rPr>
            </w:pPr>
            <w:r>
              <w:rPr>
                <w:rFonts w:ascii="宋体" w:hAnsi="宋体" w:eastAsia="宋体"/>
                <w:szCs w:val="21"/>
              </w:rPr>
              <w:t>3</w:t>
            </w:r>
          </w:p>
        </w:tc>
      </w:tr>
      <w:tr w14:paraId="5ECF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1973E9A4">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3.</w:t>
            </w:r>
            <w:r>
              <w:rPr>
                <w:rFonts w:hint="eastAsia" w:ascii="宋体" w:hAnsi="宋体" w:eastAsia="宋体" w:cs="Times New Roman"/>
                <w:szCs w:val="21"/>
              </w:rPr>
              <w:t>建设社会主义生态文明</w:t>
            </w:r>
          </w:p>
          <w:p w14:paraId="0ED70635">
            <w:pPr>
              <w:jc w:val="center"/>
              <w:rPr>
                <w:rFonts w:hint="eastAsia" w:ascii="宋体" w:hAnsi="宋体" w:eastAsia="宋体" w:cs="Times New Roman"/>
                <w:szCs w:val="21"/>
              </w:rPr>
            </w:pPr>
          </w:p>
        </w:tc>
        <w:tc>
          <w:tcPr>
            <w:tcW w:w="2126" w:type="dxa"/>
            <w:vAlign w:val="center"/>
          </w:tcPr>
          <w:p w14:paraId="6A15D99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1）坚持人与自然和谐共生</w:t>
            </w:r>
          </w:p>
          <w:p w14:paraId="634A95B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2）建设美丽中国</w:t>
            </w:r>
          </w:p>
          <w:p w14:paraId="3F5E1EA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3）共谋全球生态文明建设之路</w:t>
            </w:r>
          </w:p>
          <w:p w14:paraId="18CA43E9">
            <w:pPr>
              <w:jc w:val="left"/>
              <w:rPr>
                <w:rFonts w:hint="eastAsia" w:ascii="宋体" w:hAnsi="宋体" w:eastAsia="宋体" w:cs="Times New Roman"/>
                <w:szCs w:val="21"/>
              </w:rPr>
            </w:pPr>
          </w:p>
        </w:tc>
        <w:tc>
          <w:tcPr>
            <w:tcW w:w="1276" w:type="dxa"/>
            <w:vAlign w:val="center"/>
          </w:tcPr>
          <w:p w14:paraId="229BFC51">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552B6B8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1）掌握社会主义生态文明的科学内涵</w:t>
            </w:r>
          </w:p>
          <w:p w14:paraId="7DC89AB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2）理解建设生态文明的重大意义和实践要求</w:t>
            </w:r>
          </w:p>
          <w:p w14:paraId="13E450A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3）掌握绿水青山就是金山银山的科学内涵</w:t>
            </w:r>
          </w:p>
          <w:p w14:paraId="38F7A96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4）了解建设美丽中国的主要任务</w:t>
            </w:r>
          </w:p>
          <w:p w14:paraId="102BBDB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5）了解全球环境治理的中国方案</w:t>
            </w:r>
          </w:p>
        </w:tc>
        <w:tc>
          <w:tcPr>
            <w:tcW w:w="1489" w:type="dxa"/>
            <w:vAlign w:val="center"/>
          </w:tcPr>
          <w:p w14:paraId="791A3719">
            <w:pPr>
              <w:jc w:val="left"/>
              <w:rPr>
                <w:rFonts w:hint="eastAsia" w:ascii="宋体" w:hAnsi="宋体" w:eastAsia="宋体"/>
                <w:szCs w:val="21"/>
              </w:rPr>
            </w:pPr>
            <w:r>
              <w:rPr>
                <w:rFonts w:ascii="宋体" w:hAnsi="宋体" w:eastAsia="宋体"/>
                <w:szCs w:val="21"/>
              </w:rPr>
              <w:t>1.线上学习</w:t>
            </w:r>
          </w:p>
          <w:p w14:paraId="7DC0B290">
            <w:pPr>
              <w:jc w:val="left"/>
              <w:rPr>
                <w:rFonts w:hint="eastAsia" w:ascii="宋体" w:hAnsi="宋体" w:eastAsia="宋体"/>
                <w:szCs w:val="21"/>
              </w:rPr>
            </w:pPr>
            <w:r>
              <w:rPr>
                <w:rFonts w:ascii="宋体" w:hAnsi="宋体" w:eastAsia="宋体"/>
                <w:szCs w:val="21"/>
              </w:rPr>
              <w:t>2.多媒体教学</w:t>
            </w:r>
          </w:p>
          <w:p w14:paraId="648F4183">
            <w:pPr>
              <w:jc w:val="left"/>
              <w:rPr>
                <w:rFonts w:hint="eastAsia" w:ascii="宋体" w:hAnsi="宋体" w:eastAsia="宋体"/>
                <w:szCs w:val="21"/>
              </w:rPr>
            </w:pPr>
            <w:r>
              <w:rPr>
                <w:rFonts w:ascii="宋体" w:hAnsi="宋体" w:eastAsia="宋体"/>
                <w:szCs w:val="21"/>
              </w:rPr>
              <w:t>3.课堂讨论</w:t>
            </w:r>
          </w:p>
          <w:p w14:paraId="66D11A86">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7EF38202">
            <w:pPr>
              <w:jc w:val="center"/>
              <w:rPr>
                <w:rFonts w:hint="eastAsia" w:ascii="宋体" w:hAnsi="宋体" w:eastAsia="宋体" w:cs="Times New Roman"/>
                <w:szCs w:val="21"/>
              </w:rPr>
            </w:pPr>
            <w:r>
              <w:rPr>
                <w:rFonts w:ascii="宋体" w:hAnsi="宋体" w:eastAsia="宋体"/>
                <w:szCs w:val="21"/>
              </w:rPr>
              <w:t>3</w:t>
            </w:r>
          </w:p>
        </w:tc>
      </w:tr>
      <w:tr w14:paraId="16D2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5A5B6B80">
            <w:pPr>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4.</w:t>
            </w:r>
            <w:r>
              <w:rPr>
                <w:rFonts w:hint="eastAsia" w:ascii="宋体" w:hAnsi="宋体" w:eastAsia="宋体" w:cs="Times New Roman"/>
                <w:szCs w:val="21"/>
              </w:rPr>
              <w:t>维护和塑造国家安全</w:t>
            </w:r>
          </w:p>
        </w:tc>
        <w:tc>
          <w:tcPr>
            <w:tcW w:w="2126" w:type="dxa"/>
            <w:vAlign w:val="center"/>
          </w:tcPr>
          <w:p w14:paraId="0037F0B6">
            <w:pPr>
              <w:jc w:val="left"/>
              <w:rPr>
                <w:rFonts w:hint="eastAsia" w:ascii="宋体" w:hAnsi="宋体" w:eastAsia="宋体" w:cs="Times New Roman"/>
                <w:b/>
                <w:bCs/>
                <w:szCs w:val="21"/>
              </w:rPr>
            </w:pPr>
          </w:p>
          <w:p w14:paraId="7D1A161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1）坚持总体国家安全观</w:t>
            </w:r>
          </w:p>
          <w:p w14:paraId="6CCF1F8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2）构建统筹各领域安全的新安全格局</w:t>
            </w:r>
          </w:p>
          <w:p w14:paraId="60F8F00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3）开创新时代国家安全工作新局面</w:t>
            </w:r>
          </w:p>
        </w:tc>
        <w:tc>
          <w:tcPr>
            <w:tcW w:w="1276" w:type="dxa"/>
            <w:vAlign w:val="center"/>
          </w:tcPr>
          <w:p w14:paraId="491D3E18">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01E3FAB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1）理解国家安全是民族复兴的根基</w:t>
            </w:r>
          </w:p>
          <w:p w14:paraId="2216B3D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2）理解总体国家安全观的丰富内涵和指导意义</w:t>
            </w:r>
          </w:p>
          <w:p w14:paraId="5BFF46F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3）掌握构建统筹各领域安全的新安全格局</w:t>
            </w:r>
          </w:p>
          <w:p w14:paraId="6B52FB4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4）掌握推进国家安全体系和能力现代化</w:t>
            </w:r>
          </w:p>
        </w:tc>
        <w:tc>
          <w:tcPr>
            <w:tcW w:w="1489" w:type="dxa"/>
            <w:vAlign w:val="center"/>
          </w:tcPr>
          <w:p w14:paraId="697EA271">
            <w:pPr>
              <w:jc w:val="left"/>
              <w:rPr>
                <w:rFonts w:hint="eastAsia" w:ascii="宋体" w:hAnsi="宋体" w:eastAsia="宋体"/>
                <w:szCs w:val="21"/>
              </w:rPr>
            </w:pPr>
            <w:r>
              <w:rPr>
                <w:rFonts w:ascii="宋体" w:hAnsi="宋体" w:eastAsia="宋体"/>
                <w:szCs w:val="21"/>
              </w:rPr>
              <w:t>1.线上学习</w:t>
            </w:r>
          </w:p>
          <w:p w14:paraId="3A2AA630">
            <w:pPr>
              <w:jc w:val="left"/>
              <w:rPr>
                <w:rFonts w:hint="eastAsia" w:ascii="宋体" w:hAnsi="宋体" w:eastAsia="宋体"/>
                <w:szCs w:val="21"/>
              </w:rPr>
            </w:pPr>
            <w:r>
              <w:rPr>
                <w:rFonts w:ascii="宋体" w:hAnsi="宋体" w:eastAsia="宋体"/>
                <w:szCs w:val="21"/>
              </w:rPr>
              <w:t>2.多媒体教学</w:t>
            </w:r>
          </w:p>
          <w:p w14:paraId="113650D0">
            <w:pPr>
              <w:jc w:val="left"/>
              <w:rPr>
                <w:rFonts w:hint="eastAsia" w:ascii="宋体" w:hAnsi="宋体" w:eastAsia="宋体"/>
                <w:szCs w:val="21"/>
              </w:rPr>
            </w:pPr>
            <w:r>
              <w:rPr>
                <w:rFonts w:ascii="宋体" w:hAnsi="宋体" w:eastAsia="宋体"/>
                <w:szCs w:val="21"/>
              </w:rPr>
              <w:t>3.课堂讨论</w:t>
            </w:r>
          </w:p>
          <w:p w14:paraId="6BC6F914">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4B4E52FA">
            <w:pPr>
              <w:jc w:val="center"/>
              <w:rPr>
                <w:rFonts w:hint="eastAsia" w:ascii="宋体" w:hAnsi="宋体" w:eastAsia="宋体" w:cs="Times New Roman"/>
                <w:szCs w:val="21"/>
              </w:rPr>
            </w:pPr>
            <w:r>
              <w:rPr>
                <w:rFonts w:ascii="宋体" w:hAnsi="宋体" w:eastAsia="宋体"/>
                <w:szCs w:val="21"/>
              </w:rPr>
              <w:t>3</w:t>
            </w:r>
          </w:p>
        </w:tc>
      </w:tr>
      <w:tr w14:paraId="3F09E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12FFB1F8">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5.</w:t>
            </w:r>
            <w:r>
              <w:rPr>
                <w:rFonts w:hint="eastAsia" w:ascii="宋体" w:hAnsi="宋体" w:eastAsia="宋体" w:cs="Times New Roman"/>
                <w:szCs w:val="21"/>
              </w:rPr>
              <w:t>建设巩固国防和强大人民军队</w:t>
            </w:r>
          </w:p>
        </w:tc>
        <w:tc>
          <w:tcPr>
            <w:tcW w:w="2126" w:type="dxa"/>
            <w:vAlign w:val="center"/>
          </w:tcPr>
          <w:p w14:paraId="765B374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1）强国必须强军，军强才能国安</w:t>
            </w:r>
          </w:p>
          <w:p w14:paraId="24659EB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2）实现党在新时代的强军目标</w:t>
            </w:r>
          </w:p>
          <w:p w14:paraId="698714E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3）加快推进国防和军队现代化</w:t>
            </w:r>
          </w:p>
        </w:tc>
        <w:tc>
          <w:tcPr>
            <w:tcW w:w="1276" w:type="dxa"/>
            <w:vAlign w:val="center"/>
          </w:tcPr>
          <w:p w14:paraId="7E3A62EB">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20F1D2A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1）理解建设巩固国防和强大人民军队的重大意义</w:t>
            </w:r>
          </w:p>
          <w:p w14:paraId="782A045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2）理解党在新时代的强军目标</w:t>
            </w:r>
          </w:p>
          <w:p w14:paraId="7EF54AA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3）掌握坚持党对人民军队绝对领导的根本原则和制度</w:t>
            </w:r>
          </w:p>
          <w:p w14:paraId="233CF83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4）掌握习近平强军思想的重大意义、丰富内涵和精神实质</w:t>
            </w:r>
          </w:p>
        </w:tc>
        <w:tc>
          <w:tcPr>
            <w:tcW w:w="1489" w:type="dxa"/>
            <w:vAlign w:val="center"/>
          </w:tcPr>
          <w:p w14:paraId="750AA426">
            <w:pPr>
              <w:jc w:val="left"/>
              <w:rPr>
                <w:rFonts w:hint="eastAsia" w:ascii="宋体" w:hAnsi="宋体" w:eastAsia="宋体"/>
                <w:szCs w:val="21"/>
              </w:rPr>
            </w:pPr>
            <w:r>
              <w:rPr>
                <w:rFonts w:ascii="宋体" w:hAnsi="宋体" w:eastAsia="宋体"/>
                <w:szCs w:val="21"/>
              </w:rPr>
              <w:t>1.线上学习</w:t>
            </w:r>
          </w:p>
          <w:p w14:paraId="34484E06">
            <w:pPr>
              <w:jc w:val="left"/>
              <w:rPr>
                <w:rFonts w:hint="eastAsia" w:ascii="宋体" w:hAnsi="宋体" w:eastAsia="宋体"/>
                <w:szCs w:val="21"/>
              </w:rPr>
            </w:pPr>
            <w:r>
              <w:rPr>
                <w:rFonts w:ascii="宋体" w:hAnsi="宋体" w:eastAsia="宋体"/>
                <w:szCs w:val="21"/>
              </w:rPr>
              <w:t>2.多媒体教学</w:t>
            </w:r>
          </w:p>
          <w:p w14:paraId="54E61EB6">
            <w:pPr>
              <w:jc w:val="left"/>
              <w:rPr>
                <w:rFonts w:hint="eastAsia" w:ascii="宋体" w:hAnsi="宋体" w:eastAsia="宋体"/>
                <w:szCs w:val="21"/>
              </w:rPr>
            </w:pPr>
            <w:r>
              <w:rPr>
                <w:rFonts w:ascii="宋体" w:hAnsi="宋体" w:eastAsia="宋体"/>
                <w:szCs w:val="21"/>
              </w:rPr>
              <w:t>3.课堂讨论</w:t>
            </w:r>
          </w:p>
          <w:p w14:paraId="1B35007D">
            <w:pPr>
              <w:jc w:val="left"/>
              <w:rPr>
                <w:rFonts w:hint="eastAsia" w:ascii="宋体" w:hAnsi="宋体" w:eastAsia="宋体"/>
                <w:szCs w:val="21"/>
              </w:rPr>
            </w:pPr>
            <w:r>
              <w:rPr>
                <w:rFonts w:ascii="宋体" w:hAnsi="宋体" w:eastAsia="宋体"/>
                <w:szCs w:val="21"/>
              </w:rPr>
              <w:t>4.单元测验</w:t>
            </w:r>
          </w:p>
        </w:tc>
        <w:tc>
          <w:tcPr>
            <w:tcW w:w="535" w:type="dxa"/>
            <w:vMerge w:val="restart"/>
            <w:vAlign w:val="center"/>
          </w:tcPr>
          <w:p w14:paraId="5B60831D">
            <w:pPr>
              <w:jc w:val="center"/>
              <w:rPr>
                <w:rFonts w:hint="eastAsia" w:ascii="宋体" w:hAnsi="宋体" w:eastAsia="宋体" w:cs="Times New Roman"/>
                <w:szCs w:val="21"/>
              </w:rPr>
            </w:pPr>
            <w:r>
              <w:rPr>
                <w:rFonts w:ascii="宋体" w:hAnsi="宋体" w:eastAsia="宋体"/>
                <w:szCs w:val="21"/>
              </w:rPr>
              <w:t>3</w:t>
            </w:r>
          </w:p>
          <w:p w14:paraId="2092E939">
            <w:pPr>
              <w:jc w:val="center"/>
              <w:rPr>
                <w:rFonts w:hint="eastAsia" w:ascii="宋体" w:hAnsi="宋体" w:eastAsia="宋体" w:cs="Times New Roman"/>
                <w:szCs w:val="21"/>
              </w:rPr>
            </w:pPr>
          </w:p>
        </w:tc>
      </w:tr>
      <w:tr w14:paraId="35F8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794654C7">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6.</w:t>
            </w:r>
            <w:r>
              <w:rPr>
                <w:rFonts w:hint="eastAsia" w:ascii="宋体" w:hAnsi="宋体" w:eastAsia="宋体" w:cs="Times New Roman"/>
                <w:szCs w:val="21"/>
              </w:rPr>
              <w:t>坚持“一国两制”和推进祖国完全统一</w:t>
            </w:r>
          </w:p>
        </w:tc>
        <w:tc>
          <w:tcPr>
            <w:tcW w:w="2126" w:type="dxa"/>
            <w:vAlign w:val="center"/>
          </w:tcPr>
          <w:p w14:paraId="1A2F50A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1）全面准确理解和贯彻"一国两制"方针</w:t>
            </w:r>
          </w:p>
          <w:p w14:paraId="2435E1F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2）保持香港、澳门长期繁荣稳定</w:t>
            </w:r>
          </w:p>
          <w:p w14:paraId="422AD5F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3）推进祖国完全统一</w:t>
            </w:r>
          </w:p>
        </w:tc>
        <w:tc>
          <w:tcPr>
            <w:tcW w:w="1276" w:type="dxa"/>
            <w:vAlign w:val="center"/>
          </w:tcPr>
          <w:p w14:paraId="00601E29">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0271B6C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1）理解“一国两制”的科学内涵和重大意义</w:t>
            </w:r>
          </w:p>
          <w:p w14:paraId="5F7EC13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2）理解新时代“一国两制”在香港、澳门的成功实践</w:t>
            </w:r>
          </w:p>
          <w:p w14:paraId="1CC86FE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3）理解新时代党解决台湾问题的总体方略</w:t>
            </w:r>
          </w:p>
        </w:tc>
        <w:tc>
          <w:tcPr>
            <w:tcW w:w="1489" w:type="dxa"/>
            <w:vAlign w:val="center"/>
          </w:tcPr>
          <w:p w14:paraId="5078FB21">
            <w:pPr>
              <w:jc w:val="left"/>
              <w:rPr>
                <w:rFonts w:hint="eastAsia" w:ascii="宋体" w:hAnsi="宋体" w:eastAsia="宋体" w:cs="Times New Roman"/>
                <w:szCs w:val="21"/>
              </w:rPr>
            </w:pPr>
            <w:r>
              <w:rPr>
                <w:rFonts w:ascii="宋体" w:hAnsi="宋体" w:eastAsia="宋体" w:cs="Times New Roman"/>
                <w:szCs w:val="21"/>
              </w:rPr>
              <w:t>1.线上学习</w:t>
            </w:r>
          </w:p>
          <w:p w14:paraId="4C470C83">
            <w:pPr>
              <w:jc w:val="left"/>
              <w:rPr>
                <w:rFonts w:hint="eastAsia" w:ascii="宋体" w:hAnsi="宋体" w:eastAsia="宋体" w:cs="Times New Roman"/>
                <w:szCs w:val="21"/>
              </w:rPr>
            </w:pPr>
            <w:r>
              <w:rPr>
                <w:rFonts w:ascii="宋体" w:hAnsi="宋体" w:eastAsia="宋体" w:cs="Times New Roman"/>
                <w:szCs w:val="21"/>
              </w:rPr>
              <w:t>2.多媒体教学</w:t>
            </w:r>
          </w:p>
          <w:p w14:paraId="5CB7CA2A">
            <w:pPr>
              <w:jc w:val="left"/>
              <w:rPr>
                <w:rFonts w:hint="eastAsia" w:ascii="宋体" w:hAnsi="宋体" w:eastAsia="宋体" w:cs="Times New Roman"/>
                <w:szCs w:val="21"/>
              </w:rPr>
            </w:pPr>
            <w:r>
              <w:rPr>
                <w:rFonts w:ascii="宋体" w:hAnsi="宋体" w:eastAsia="宋体" w:cs="Times New Roman"/>
                <w:szCs w:val="21"/>
              </w:rPr>
              <w:t>3.课堂讨论</w:t>
            </w:r>
          </w:p>
          <w:p w14:paraId="11D39F87">
            <w:pPr>
              <w:jc w:val="left"/>
              <w:rPr>
                <w:rFonts w:hint="eastAsia" w:ascii="宋体" w:hAnsi="宋体" w:eastAsia="宋体" w:cs="Times New Roman"/>
                <w:szCs w:val="21"/>
              </w:rPr>
            </w:pPr>
            <w:r>
              <w:rPr>
                <w:rFonts w:ascii="宋体" w:hAnsi="宋体" w:eastAsia="宋体" w:cs="Times New Roman"/>
                <w:szCs w:val="21"/>
              </w:rPr>
              <w:t>4.单元测验</w:t>
            </w:r>
          </w:p>
        </w:tc>
        <w:tc>
          <w:tcPr>
            <w:tcW w:w="535" w:type="dxa"/>
            <w:vMerge w:val="continue"/>
            <w:vAlign w:val="center"/>
          </w:tcPr>
          <w:p w14:paraId="7E9BB197">
            <w:pPr>
              <w:jc w:val="center"/>
              <w:rPr>
                <w:rFonts w:hint="eastAsia" w:ascii="宋体" w:hAnsi="宋体" w:eastAsia="宋体" w:cs="Times New Roman"/>
                <w:szCs w:val="21"/>
              </w:rPr>
            </w:pPr>
          </w:p>
        </w:tc>
      </w:tr>
      <w:tr w14:paraId="738D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29A38944">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7.</w:t>
            </w:r>
            <w:r>
              <w:rPr>
                <w:rFonts w:hint="eastAsia" w:ascii="宋体" w:hAnsi="宋体" w:eastAsia="宋体" w:cs="Times New Roman"/>
                <w:szCs w:val="21"/>
              </w:rPr>
              <w:t>中国特色大国外交和推动构建人类命运共同体</w:t>
            </w:r>
          </w:p>
        </w:tc>
        <w:tc>
          <w:tcPr>
            <w:tcW w:w="2126" w:type="dxa"/>
            <w:vAlign w:val="center"/>
          </w:tcPr>
          <w:p w14:paraId="01D5CB46">
            <w:pPr>
              <w:jc w:val="left"/>
              <w:rPr>
                <w:rFonts w:hint="eastAsia" w:ascii="宋体" w:hAnsi="宋体" w:eastAsia="宋体" w:cs="Times New Roman"/>
                <w:szCs w:val="21"/>
              </w:rPr>
            </w:pPr>
            <w:r>
              <w:rPr>
                <w:rFonts w:ascii="宋体" w:hAnsi="宋体" w:eastAsia="宋体" w:cs="Times New Roman"/>
                <w:szCs w:val="21"/>
              </w:rPr>
              <w:t>1.教学内容</w:t>
            </w:r>
          </w:p>
          <w:p w14:paraId="01E4008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1）新时代中国外交在大变局中开创新局</w:t>
            </w:r>
          </w:p>
          <w:p w14:paraId="22F58C3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2）全面推进中国特色大国外交</w:t>
            </w:r>
          </w:p>
          <w:p w14:paraId="41121CC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3）推动构建人类命运共同体</w:t>
            </w:r>
          </w:p>
        </w:tc>
        <w:tc>
          <w:tcPr>
            <w:tcW w:w="1276" w:type="dxa"/>
            <w:vAlign w:val="center"/>
          </w:tcPr>
          <w:p w14:paraId="6EE6026F">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08F852D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1）理解当今世界正经历百年未有之大变局</w:t>
            </w:r>
          </w:p>
          <w:p w14:paraId="398FA98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2）掌握全面推进中国特色大国外交的原则和布局</w:t>
            </w:r>
          </w:p>
          <w:p w14:paraId="576841B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3）理解推动构建人类命运共同体的丰富内涵和实践成果</w:t>
            </w:r>
          </w:p>
        </w:tc>
        <w:tc>
          <w:tcPr>
            <w:tcW w:w="1489" w:type="dxa"/>
            <w:vAlign w:val="center"/>
          </w:tcPr>
          <w:p w14:paraId="55ADEBDC">
            <w:pPr>
              <w:jc w:val="left"/>
              <w:rPr>
                <w:rFonts w:hint="eastAsia" w:ascii="宋体" w:hAnsi="宋体" w:eastAsia="宋体"/>
                <w:szCs w:val="21"/>
              </w:rPr>
            </w:pPr>
            <w:r>
              <w:rPr>
                <w:rFonts w:ascii="宋体" w:hAnsi="宋体" w:eastAsia="宋体"/>
                <w:szCs w:val="21"/>
              </w:rPr>
              <w:t>1.线上学习</w:t>
            </w:r>
          </w:p>
          <w:p w14:paraId="0C3E43B9">
            <w:pPr>
              <w:jc w:val="left"/>
              <w:rPr>
                <w:rFonts w:hint="eastAsia" w:ascii="宋体" w:hAnsi="宋体" w:eastAsia="宋体"/>
                <w:szCs w:val="21"/>
              </w:rPr>
            </w:pPr>
            <w:r>
              <w:rPr>
                <w:rFonts w:ascii="宋体" w:hAnsi="宋体" w:eastAsia="宋体"/>
                <w:szCs w:val="21"/>
              </w:rPr>
              <w:t>2.多媒体教学</w:t>
            </w:r>
          </w:p>
          <w:p w14:paraId="4BB8B9CB">
            <w:pPr>
              <w:jc w:val="left"/>
              <w:rPr>
                <w:rFonts w:hint="eastAsia" w:ascii="宋体" w:hAnsi="宋体" w:eastAsia="宋体"/>
                <w:szCs w:val="21"/>
              </w:rPr>
            </w:pPr>
            <w:r>
              <w:rPr>
                <w:rFonts w:ascii="宋体" w:hAnsi="宋体" w:eastAsia="宋体"/>
                <w:szCs w:val="21"/>
              </w:rPr>
              <w:t>3.课堂讨论</w:t>
            </w:r>
          </w:p>
          <w:p w14:paraId="08BC7352">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40A0CAB5">
            <w:pPr>
              <w:jc w:val="center"/>
              <w:rPr>
                <w:rFonts w:hint="eastAsia" w:ascii="宋体" w:hAnsi="宋体" w:eastAsia="宋体" w:cs="Times New Roman"/>
                <w:szCs w:val="21"/>
              </w:rPr>
            </w:pPr>
            <w:r>
              <w:rPr>
                <w:rFonts w:ascii="宋体" w:hAnsi="宋体" w:eastAsia="宋体"/>
                <w:szCs w:val="21"/>
              </w:rPr>
              <w:t>3</w:t>
            </w:r>
          </w:p>
        </w:tc>
      </w:tr>
      <w:tr w14:paraId="3DAB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85" w:type="dxa"/>
            <w:vAlign w:val="center"/>
          </w:tcPr>
          <w:p w14:paraId="13586CDD">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8.</w:t>
            </w:r>
            <w:r>
              <w:rPr>
                <w:rFonts w:hint="eastAsia" w:ascii="宋体" w:hAnsi="宋体" w:eastAsia="宋体" w:cs="Times New Roman"/>
                <w:szCs w:val="21"/>
              </w:rPr>
              <w:t>全面从严治党</w:t>
            </w:r>
          </w:p>
        </w:tc>
        <w:tc>
          <w:tcPr>
            <w:tcW w:w="2126" w:type="dxa"/>
            <w:vAlign w:val="center"/>
          </w:tcPr>
          <w:p w14:paraId="42552271">
            <w:pPr>
              <w:jc w:val="left"/>
              <w:rPr>
                <w:rFonts w:hint="eastAsia" w:ascii="宋体" w:hAnsi="宋体" w:eastAsia="宋体" w:cs="Times New Roman"/>
                <w:szCs w:val="21"/>
              </w:rPr>
            </w:pPr>
            <w:r>
              <w:rPr>
                <w:rFonts w:ascii="宋体" w:hAnsi="宋体" w:eastAsia="宋体" w:cs="Times New Roman"/>
                <w:szCs w:val="21"/>
              </w:rPr>
              <w:t>1.教学内容</w:t>
            </w:r>
          </w:p>
          <w:p w14:paraId="57171FD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1）全面从严治党是新时代党的建设的鲜明主题</w:t>
            </w:r>
          </w:p>
          <w:p w14:paraId="2D2C7BC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2）以政治建设为统领深入推进党的建设</w:t>
            </w:r>
          </w:p>
          <w:p w14:paraId="1E96506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3）坚定不移推进反腐败斗争</w:t>
            </w:r>
          </w:p>
          <w:p w14:paraId="079631B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4）建设长期执政的马克思主义政党二个答案</w:t>
            </w:r>
          </w:p>
          <w:p w14:paraId="27FF08B6">
            <w:pPr>
              <w:jc w:val="left"/>
              <w:rPr>
                <w:rFonts w:hint="eastAsia" w:ascii="宋体" w:hAnsi="宋体" w:eastAsia="宋体" w:cs="Times New Roman"/>
                <w:szCs w:val="21"/>
              </w:rPr>
            </w:pPr>
          </w:p>
        </w:tc>
        <w:tc>
          <w:tcPr>
            <w:tcW w:w="1276" w:type="dxa"/>
            <w:vAlign w:val="center"/>
          </w:tcPr>
          <w:p w14:paraId="7DFDFAEA">
            <w:pPr>
              <w:jc w:val="left"/>
              <w:rPr>
                <w:rFonts w:hint="eastAsia" w:ascii="宋体" w:hAnsi="宋体" w:eastAsia="宋体" w:cs="Times New Roman"/>
                <w:szCs w:val="21"/>
              </w:rPr>
            </w:pPr>
            <w:r>
              <w:rPr>
                <w:rFonts w:hint="eastAsia" w:ascii="宋体" w:hAnsi="宋体" w:eastAsia="宋体"/>
              </w:rPr>
              <w:t>课程目标</w:t>
            </w:r>
            <w:r>
              <w:rPr>
                <w:rFonts w:ascii="宋体" w:hAnsi="宋体" w:eastAsia="宋体"/>
              </w:rPr>
              <w:t>1课程目标2课程目标3</w:t>
            </w:r>
          </w:p>
        </w:tc>
        <w:tc>
          <w:tcPr>
            <w:tcW w:w="2512" w:type="dxa"/>
            <w:vAlign w:val="center"/>
          </w:tcPr>
          <w:p w14:paraId="138FEA2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1）掌握全面从严治党的基本内涵</w:t>
            </w:r>
          </w:p>
          <w:p w14:paraId="1317B44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2）理解全面从严治党这场伟大自我革命的重大意义</w:t>
            </w:r>
          </w:p>
          <w:p w14:paraId="0F6B481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3）掌握以党的政治建设统领党的建设各项工作</w:t>
            </w:r>
          </w:p>
          <w:p w14:paraId="21B9FE8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4）理解反腐败斗争取得压倒性胜利并全面巩固</w:t>
            </w:r>
          </w:p>
          <w:p w14:paraId="7765C51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5）掌握党的自我革命是跳出历史周期率的第</w:t>
            </w:r>
          </w:p>
        </w:tc>
        <w:tc>
          <w:tcPr>
            <w:tcW w:w="1489" w:type="dxa"/>
            <w:vAlign w:val="center"/>
          </w:tcPr>
          <w:p w14:paraId="1647444C">
            <w:pPr>
              <w:jc w:val="left"/>
              <w:rPr>
                <w:rFonts w:hint="eastAsia" w:ascii="宋体" w:hAnsi="宋体" w:eastAsia="宋体"/>
                <w:szCs w:val="21"/>
              </w:rPr>
            </w:pPr>
            <w:r>
              <w:rPr>
                <w:rFonts w:ascii="宋体" w:hAnsi="宋体" w:eastAsia="宋体"/>
                <w:szCs w:val="21"/>
              </w:rPr>
              <w:t>1.线上学习</w:t>
            </w:r>
          </w:p>
          <w:p w14:paraId="4713E6F5">
            <w:pPr>
              <w:jc w:val="left"/>
              <w:rPr>
                <w:rFonts w:hint="eastAsia" w:ascii="宋体" w:hAnsi="宋体" w:eastAsia="宋体"/>
                <w:szCs w:val="21"/>
              </w:rPr>
            </w:pPr>
            <w:r>
              <w:rPr>
                <w:rFonts w:ascii="宋体" w:hAnsi="宋体" w:eastAsia="宋体"/>
                <w:szCs w:val="21"/>
              </w:rPr>
              <w:t>2.多媒体教学</w:t>
            </w:r>
          </w:p>
          <w:p w14:paraId="61902C8E">
            <w:pPr>
              <w:jc w:val="left"/>
              <w:rPr>
                <w:rFonts w:hint="eastAsia" w:ascii="宋体" w:hAnsi="宋体" w:eastAsia="宋体"/>
                <w:szCs w:val="21"/>
              </w:rPr>
            </w:pPr>
            <w:r>
              <w:rPr>
                <w:rFonts w:ascii="宋体" w:hAnsi="宋体" w:eastAsia="宋体"/>
                <w:szCs w:val="21"/>
              </w:rPr>
              <w:t>3.课堂讨论</w:t>
            </w:r>
          </w:p>
          <w:p w14:paraId="730A1E79">
            <w:pPr>
              <w:jc w:val="left"/>
              <w:rPr>
                <w:rFonts w:hint="eastAsia" w:ascii="宋体" w:hAnsi="宋体" w:eastAsia="宋体"/>
                <w:szCs w:val="21"/>
              </w:rPr>
            </w:pPr>
            <w:r>
              <w:rPr>
                <w:rFonts w:ascii="宋体" w:hAnsi="宋体" w:eastAsia="宋体"/>
                <w:szCs w:val="21"/>
              </w:rPr>
              <w:t>4.单元测验</w:t>
            </w:r>
          </w:p>
        </w:tc>
        <w:tc>
          <w:tcPr>
            <w:tcW w:w="535" w:type="dxa"/>
            <w:vAlign w:val="center"/>
          </w:tcPr>
          <w:p w14:paraId="663FEE75">
            <w:pPr>
              <w:jc w:val="center"/>
              <w:rPr>
                <w:rFonts w:hint="eastAsia" w:ascii="宋体" w:hAnsi="宋体" w:eastAsia="宋体" w:cs="Times New Roman"/>
                <w:szCs w:val="21"/>
              </w:rPr>
            </w:pPr>
            <w:r>
              <w:rPr>
                <w:rFonts w:ascii="宋体" w:hAnsi="宋体" w:eastAsia="宋体"/>
                <w:szCs w:val="21"/>
              </w:rPr>
              <w:t>3</w:t>
            </w:r>
          </w:p>
        </w:tc>
      </w:tr>
    </w:tbl>
    <w:p w14:paraId="0760599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1658F6DB">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（一）课程目标评价方式</w:t>
      </w:r>
    </w:p>
    <w:p w14:paraId="6E02E79A">
      <w:pPr>
        <w:spacing w:line="360" w:lineRule="auto"/>
        <w:ind w:firstLine="420" w:firstLineChars="200"/>
        <w:rPr>
          <w:rFonts w:hint="eastAsia" w:ascii="宋体" w:hAnsi="宋体" w:eastAsia="宋体" w:cs="宋体"/>
          <w:bCs/>
          <w:szCs w:val="21"/>
        </w:rPr>
      </w:pPr>
      <w:r>
        <w:rPr>
          <w:rFonts w:hint="eastAsia" w:ascii="宋体" w:hAnsi="宋体" w:eastAsia="宋体" w:cs="宋体"/>
          <w:bCs/>
          <w:szCs w:val="21"/>
        </w:rPr>
        <w:t>根据总体设计，用于评价各课程目标的评价方式如下表所示。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3"/>
        <w:gridCol w:w="1383"/>
        <w:gridCol w:w="1383"/>
      </w:tblGrid>
      <w:tr w14:paraId="5A420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vAlign w:val="center"/>
          </w:tcPr>
          <w:p w14:paraId="007BFA0F">
            <w:pPr>
              <w:jc w:val="center"/>
              <w:rPr>
                <w:rFonts w:hint="eastAsia" w:ascii="宋体" w:hAnsi="宋体" w:eastAsia="宋体" w:cs="宋体"/>
                <w:bCs/>
                <w:szCs w:val="21"/>
              </w:rPr>
            </w:pPr>
            <w:r>
              <w:rPr>
                <w:rFonts w:hint="eastAsia" w:ascii="宋体" w:hAnsi="宋体" w:eastAsia="宋体" w:cs="宋体"/>
                <w:bCs/>
                <w:szCs w:val="21"/>
              </w:rPr>
              <w:t>课程目标</w:t>
            </w:r>
          </w:p>
        </w:tc>
        <w:tc>
          <w:tcPr>
            <w:tcW w:w="5531" w:type="dxa"/>
            <w:gridSpan w:val="4"/>
          </w:tcPr>
          <w:p w14:paraId="2F34AF59">
            <w:pPr>
              <w:jc w:val="center"/>
              <w:rPr>
                <w:rFonts w:hint="eastAsia" w:ascii="宋体" w:hAnsi="宋体" w:eastAsia="宋体" w:cs="宋体"/>
                <w:bCs/>
                <w:szCs w:val="21"/>
              </w:rPr>
            </w:pPr>
            <w:r>
              <w:rPr>
                <w:rFonts w:hint="eastAsia" w:ascii="宋体" w:hAnsi="宋体" w:eastAsia="宋体" w:cs="宋体"/>
                <w:bCs/>
                <w:szCs w:val="21"/>
              </w:rPr>
              <w:t>评价与成绩评定方法</w:t>
            </w:r>
          </w:p>
        </w:tc>
        <w:tc>
          <w:tcPr>
            <w:tcW w:w="1383" w:type="dxa"/>
            <w:vMerge w:val="restart"/>
            <w:vAlign w:val="center"/>
          </w:tcPr>
          <w:p w14:paraId="1337AF05">
            <w:pPr>
              <w:jc w:val="center"/>
              <w:rPr>
                <w:rFonts w:hint="eastAsia" w:ascii="宋体" w:hAnsi="宋体" w:eastAsia="宋体" w:cs="宋体"/>
                <w:bCs/>
                <w:szCs w:val="21"/>
              </w:rPr>
            </w:pPr>
            <w:r>
              <w:rPr>
                <w:rFonts w:hint="eastAsia" w:ascii="宋体" w:hAnsi="宋体" w:eastAsia="宋体" w:cs="宋体"/>
                <w:bCs/>
                <w:szCs w:val="21"/>
              </w:rPr>
              <w:t>分值</w:t>
            </w:r>
          </w:p>
        </w:tc>
      </w:tr>
      <w:tr w14:paraId="432B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14:paraId="33443DFB">
            <w:pPr>
              <w:rPr>
                <w:rFonts w:hint="eastAsia" w:ascii="宋体" w:hAnsi="宋体" w:eastAsia="宋体" w:cs="宋体"/>
                <w:bCs/>
                <w:szCs w:val="21"/>
              </w:rPr>
            </w:pPr>
          </w:p>
        </w:tc>
        <w:tc>
          <w:tcPr>
            <w:tcW w:w="1382" w:type="dxa"/>
          </w:tcPr>
          <w:p w14:paraId="5C0AA318">
            <w:pPr>
              <w:rPr>
                <w:rFonts w:hint="eastAsia" w:ascii="宋体" w:hAnsi="宋体" w:eastAsia="宋体" w:cs="宋体"/>
                <w:bCs/>
                <w:szCs w:val="21"/>
              </w:rPr>
            </w:pPr>
            <w:r>
              <w:rPr>
                <w:rFonts w:hint="eastAsia" w:ascii="宋体" w:hAnsi="宋体" w:eastAsia="宋体" w:cs="宋体"/>
                <w:bCs/>
                <w:szCs w:val="21"/>
              </w:rPr>
              <w:t>网络学习</w:t>
            </w:r>
          </w:p>
        </w:tc>
        <w:tc>
          <w:tcPr>
            <w:tcW w:w="1383" w:type="dxa"/>
          </w:tcPr>
          <w:p w14:paraId="1F1FB28D">
            <w:pPr>
              <w:rPr>
                <w:rFonts w:hint="eastAsia" w:ascii="宋体" w:hAnsi="宋体" w:eastAsia="宋体" w:cs="宋体"/>
                <w:bCs/>
                <w:szCs w:val="21"/>
              </w:rPr>
            </w:pPr>
            <w:r>
              <w:rPr>
                <w:rFonts w:hint="eastAsia" w:ascii="宋体" w:hAnsi="宋体" w:eastAsia="宋体" w:cs="宋体"/>
                <w:bCs/>
                <w:szCs w:val="21"/>
              </w:rPr>
              <w:t>平时表现</w:t>
            </w:r>
          </w:p>
        </w:tc>
        <w:tc>
          <w:tcPr>
            <w:tcW w:w="1383" w:type="dxa"/>
          </w:tcPr>
          <w:p w14:paraId="1E11951B">
            <w:pPr>
              <w:rPr>
                <w:rFonts w:hint="eastAsia" w:ascii="宋体" w:hAnsi="宋体" w:eastAsia="宋体" w:cs="宋体"/>
                <w:bCs/>
                <w:szCs w:val="21"/>
              </w:rPr>
            </w:pPr>
            <w:r>
              <w:rPr>
                <w:rFonts w:hint="eastAsia" w:ascii="宋体" w:hAnsi="宋体" w:eastAsia="宋体" w:cs="宋体"/>
                <w:bCs/>
                <w:szCs w:val="21"/>
              </w:rPr>
              <w:t>作业</w:t>
            </w:r>
          </w:p>
        </w:tc>
        <w:tc>
          <w:tcPr>
            <w:tcW w:w="1383" w:type="dxa"/>
          </w:tcPr>
          <w:p w14:paraId="2391E408">
            <w:pPr>
              <w:rPr>
                <w:rFonts w:hint="eastAsia" w:ascii="宋体" w:hAnsi="宋体" w:eastAsia="宋体" w:cs="宋体"/>
                <w:bCs/>
                <w:szCs w:val="21"/>
              </w:rPr>
            </w:pPr>
            <w:r>
              <w:rPr>
                <w:rFonts w:hint="eastAsia" w:ascii="宋体" w:hAnsi="宋体" w:eastAsia="宋体" w:cs="宋体"/>
                <w:bCs/>
                <w:szCs w:val="21"/>
              </w:rPr>
              <w:t>期末考试</w:t>
            </w:r>
          </w:p>
        </w:tc>
        <w:tc>
          <w:tcPr>
            <w:tcW w:w="1383" w:type="dxa"/>
            <w:vMerge w:val="continue"/>
          </w:tcPr>
          <w:p w14:paraId="2EE5DBBA">
            <w:pPr>
              <w:rPr>
                <w:rFonts w:hint="eastAsia" w:ascii="宋体" w:hAnsi="宋体" w:eastAsia="宋体" w:cs="宋体"/>
                <w:bCs/>
                <w:szCs w:val="21"/>
              </w:rPr>
            </w:pPr>
          </w:p>
        </w:tc>
      </w:tr>
      <w:tr w14:paraId="4BF5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14:paraId="6C524F29">
            <w:pPr>
              <w:rPr>
                <w:rFonts w:hint="eastAsia" w:ascii="宋体" w:hAnsi="宋体" w:eastAsia="宋体" w:cs="宋体"/>
                <w:bCs/>
                <w:szCs w:val="21"/>
              </w:rPr>
            </w:pPr>
            <w:r>
              <w:rPr>
                <w:rFonts w:hint="eastAsia" w:ascii="宋体" w:hAnsi="宋体" w:eastAsia="宋体" w:cs="宋体"/>
                <w:bCs/>
                <w:szCs w:val="21"/>
              </w:rPr>
              <w:t>课程目标 1</w:t>
            </w:r>
          </w:p>
        </w:tc>
        <w:tc>
          <w:tcPr>
            <w:tcW w:w="1382" w:type="dxa"/>
          </w:tcPr>
          <w:p w14:paraId="2CB3D9BF">
            <w:pPr>
              <w:jc w:val="center"/>
              <w:rPr>
                <w:rFonts w:hint="eastAsia" w:ascii="宋体" w:hAnsi="宋体" w:eastAsia="宋体" w:cs="宋体"/>
                <w:bCs/>
                <w:szCs w:val="21"/>
                <w:highlight w:val="yellow"/>
              </w:rPr>
            </w:pPr>
            <w:r>
              <w:rPr>
                <w:rFonts w:hint="eastAsia" w:ascii="宋体" w:hAnsi="宋体" w:eastAsia="宋体" w:cs="宋体"/>
                <w:bCs/>
                <w:szCs w:val="21"/>
              </w:rPr>
              <w:t>√</w:t>
            </w:r>
          </w:p>
        </w:tc>
        <w:tc>
          <w:tcPr>
            <w:tcW w:w="1383" w:type="dxa"/>
          </w:tcPr>
          <w:p w14:paraId="0AB545FD">
            <w:pPr>
              <w:jc w:val="center"/>
              <w:rPr>
                <w:rFonts w:hint="eastAsia" w:ascii="宋体" w:hAnsi="宋体" w:eastAsia="宋体" w:cs="宋体"/>
                <w:bCs/>
                <w:szCs w:val="21"/>
                <w:highlight w:val="yellow"/>
              </w:rPr>
            </w:pPr>
            <w:r>
              <w:rPr>
                <w:rFonts w:hint="eastAsia" w:ascii="宋体" w:hAnsi="宋体" w:eastAsia="宋体" w:cs="宋体"/>
                <w:bCs/>
                <w:szCs w:val="21"/>
              </w:rPr>
              <w:t>√</w:t>
            </w:r>
          </w:p>
        </w:tc>
        <w:tc>
          <w:tcPr>
            <w:tcW w:w="1383" w:type="dxa"/>
          </w:tcPr>
          <w:p w14:paraId="674AA6F7">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tcPr>
          <w:p w14:paraId="35F44A71">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vAlign w:val="center"/>
          </w:tcPr>
          <w:p w14:paraId="77D89C6D">
            <w:pPr>
              <w:jc w:val="center"/>
              <w:rPr>
                <w:rFonts w:hint="eastAsia" w:ascii="宋体" w:hAnsi="宋体" w:eastAsia="宋体" w:cs="宋体"/>
                <w:bCs/>
                <w:szCs w:val="21"/>
              </w:rPr>
            </w:pPr>
            <w:r>
              <w:rPr>
                <w:rFonts w:hint="eastAsia" w:ascii="宋体" w:hAnsi="宋体" w:eastAsia="宋体" w:cs="宋体"/>
                <w:bCs/>
                <w:szCs w:val="21"/>
              </w:rPr>
              <w:t>4</w:t>
            </w:r>
            <w:r>
              <w:rPr>
                <w:rFonts w:ascii="宋体" w:hAnsi="宋体" w:eastAsia="宋体" w:cs="宋体"/>
                <w:bCs/>
                <w:szCs w:val="21"/>
              </w:rPr>
              <w:t>0</w:t>
            </w:r>
          </w:p>
        </w:tc>
      </w:tr>
      <w:tr w14:paraId="749D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14:paraId="36233911">
            <w:pPr>
              <w:rPr>
                <w:rFonts w:hint="eastAsia" w:ascii="宋体" w:hAnsi="宋体" w:eastAsia="宋体" w:cs="宋体"/>
                <w:bCs/>
                <w:szCs w:val="21"/>
              </w:rPr>
            </w:pPr>
            <w:r>
              <w:rPr>
                <w:rFonts w:hint="eastAsia" w:ascii="宋体" w:hAnsi="宋体" w:eastAsia="宋体" w:cs="宋体"/>
                <w:bCs/>
                <w:szCs w:val="21"/>
              </w:rPr>
              <w:t>课程目标 2</w:t>
            </w:r>
          </w:p>
        </w:tc>
        <w:tc>
          <w:tcPr>
            <w:tcW w:w="1382" w:type="dxa"/>
          </w:tcPr>
          <w:p w14:paraId="00511ACB">
            <w:pPr>
              <w:jc w:val="center"/>
              <w:rPr>
                <w:rFonts w:hint="eastAsia" w:ascii="宋体" w:hAnsi="宋体" w:eastAsia="宋体" w:cs="宋体"/>
                <w:bCs/>
                <w:szCs w:val="21"/>
              </w:rPr>
            </w:pPr>
          </w:p>
        </w:tc>
        <w:tc>
          <w:tcPr>
            <w:tcW w:w="1383" w:type="dxa"/>
          </w:tcPr>
          <w:p w14:paraId="427D9A83">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tcPr>
          <w:p w14:paraId="679D7958">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tcPr>
          <w:p w14:paraId="1F450075">
            <w:pPr>
              <w:jc w:val="center"/>
              <w:rPr>
                <w:rFonts w:hint="eastAsia" w:ascii="宋体" w:hAnsi="宋体" w:eastAsia="宋体" w:cs="宋体"/>
                <w:bCs/>
                <w:szCs w:val="21"/>
              </w:rPr>
            </w:pPr>
            <w:r>
              <w:rPr>
                <w:rFonts w:hint="eastAsia" w:ascii="宋体" w:hAnsi="宋体" w:eastAsia="宋体" w:cs="宋体"/>
                <w:bCs/>
                <w:szCs w:val="21"/>
              </w:rPr>
              <w:t>√</w:t>
            </w:r>
          </w:p>
        </w:tc>
        <w:tc>
          <w:tcPr>
            <w:tcW w:w="1383" w:type="dxa"/>
            <w:vAlign w:val="center"/>
          </w:tcPr>
          <w:p w14:paraId="352F5A07">
            <w:pPr>
              <w:jc w:val="center"/>
              <w:rPr>
                <w:rFonts w:hint="eastAsia" w:ascii="宋体" w:hAnsi="宋体" w:eastAsia="宋体" w:cs="宋体"/>
                <w:bCs/>
                <w:szCs w:val="21"/>
              </w:rPr>
            </w:pPr>
            <w:r>
              <w:rPr>
                <w:rFonts w:hint="eastAsia" w:ascii="宋体" w:hAnsi="宋体" w:eastAsia="宋体" w:cs="宋体"/>
                <w:bCs/>
                <w:szCs w:val="21"/>
              </w:rPr>
              <w:t>4</w:t>
            </w:r>
            <w:r>
              <w:rPr>
                <w:rFonts w:ascii="宋体" w:hAnsi="宋体" w:eastAsia="宋体" w:cs="宋体"/>
                <w:bCs/>
                <w:szCs w:val="21"/>
              </w:rPr>
              <w:t>0</w:t>
            </w:r>
          </w:p>
        </w:tc>
      </w:tr>
      <w:tr w14:paraId="2335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14:paraId="5AC3D21A">
            <w:pPr>
              <w:rPr>
                <w:rFonts w:hint="eastAsia" w:ascii="宋体" w:hAnsi="宋体" w:eastAsia="宋体" w:cs="宋体"/>
                <w:bCs/>
                <w:szCs w:val="21"/>
              </w:rPr>
            </w:pPr>
            <w:r>
              <w:rPr>
                <w:rFonts w:hint="eastAsia" w:ascii="宋体" w:hAnsi="宋体" w:eastAsia="宋体" w:cs="宋体"/>
                <w:bCs/>
                <w:szCs w:val="21"/>
              </w:rPr>
              <w:t>课程目标 3</w:t>
            </w:r>
          </w:p>
        </w:tc>
        <w:tc>
          <w:tcPr>
            <w:tcW w:w="1382" w:type="dxa"/>
          </w:tcPr>
          <w:p w14:paraId="256020F7">
            <w:pPr>
              <w:jc w:val="center"/>
              <w:rPr>
                <w:rFonts w:hint="eastAsia" w:ascii="宋体" w:hAnsi="宋体" w:eastAsia="宋体" w:cs="宋体"/>
                <w:bCs/>
                <w:szCs w:val="21"/>
                <w:highlight w:val="yellow"/>
              </w:rPr>
            </w:pPr>
          </w:p>
        </w:tc>
        <w:tc>
          <w:tcPr>
            <w:tcW w:w="1383" w:type="dxa"/>
          </w:tcPr>
          <w:p w14:paraId="73DD5E52">
            <w:pPr>
              <w:jc w:val="center"/>
              <w:rPr>
                <w:rFonts w:hint="eastAsia" w:ascii="宋体" w:hAnsi="宋体" w:eastAsia="宋体" w:cs="宋体"/>
                <w:bCs/>
                <w:szCs w:val="21"/>
                <w:highlight w:val="yellow"/>
              </w:rPr>
            </w:pPr>
          </w:p>
        </w:tc>
        <w:tc>
          <w:tcPr>
            <w:tcW w:w="1383" w:type="dxa"/>
          </w:tcPr>
          <w:p w14:paraId="0E7871A5">
            <w:pPr>
              <w:jc w:val="center"/>
              <w:rPr>
                <w:rFonts w:hint="eastAsia" w:ascii="宋体" w:hAnsi="宋体" w:eastAsia="宋体" w:cs="宋体"/>
                <w:bCs/>
                <w:szCs w:val="21"/>
                <w:highlight w:val="yellow"/>
              </w:rPr>
            </w:pPr>
            <w:r>
              <w:rPr>
                <w:rFonts w:hint="eastAsia" w:ascii="宋体" w:hAnsi="宋体" w:eastAsia="宋体" w:cs="宋体"/>
                <w:bCs/>
                <w:szCs w:val="21"/>
              </w:rPr>
              <w:t>√</w:t>
            </w:r>
          </w:p>
        </w:tc>
        <w:tc>
          <w:tcPr>
            <w:tcW w:w="1383" w:type="dxa"/>
          </w:tcPr>
          <w:p w14:paraId="3DAC722D">
            <w:pPr>
              <w:jc w:val="center"/>
              <w:rPr>
                <w:rFonts w:hint="eastAsia" w:ascii="宋体" w:hAnsi="宋体" w:eastAsia="宋体" w:cs="宋体"/>
                <w:bCs/>
                <w:szCs w:val="21"/>
                <w:highlight w:val="yellow"/>
              </w:rPr>
            </w:pPr>
            <w:r>
              <w:rPr>
                <w:rFonts w:hint="eastAsia" w:ascii="宋体" w:hAnsi="宋体" w:eastAsia="宋体" w:cs="宋体"/>
                <w:bCs/>
                <w:szCs w:val="21"/>
              </w:rPr>
              <w:t>√</w:t>
            </w:r>
          </w:p>
        </w:tc>
        <w:tc>
          <w:tcPr>
            <w:tcW w:w="1383" w:type="dxa"/>
            <w:vAlign w:val="center"/>
          </w:tcPr>
          <w:p w14:paraId="1BA4FAC5">
            <w:pPr>
              <w:jc w:val="center"/>
              <w:rPr>
                <w:rFonts w:hint="eastAsia" w:ascii="宋体" w:hAnsi="宋体" w:eastAsia="宋体" w:cs="宋体"/>
                <w:bCs/>
                <w:szCs w:val="21"/>
              </w:rPr>
            </w:pPr>
            <w:r>
              <w:rPr>
                <w:rFonts w:hint="eastAsia" w:ascii="宋体" w:hAnsi="宋体" w:eastAsia="宋体" w:cs="宋体"/>
                <w:bCs/>
                <w:szCs w:val="21"/>
              </w:rPr>
              <w:t>2</w:t>
            </w:r>
            <w:r>
              <w:rPr>
                <w:rFonts w:ascii="宋体" w:hAnsi="宋体" w:eastAsia="宋体" w:cs="宋体"/>
                <w:bCs/>
                <w:szCs w:val="21"/>
              </w:rPr>
              <w:t>0</w:t>
            </w:r>
          </w:p>
        </w:tc>
      </w:tr>
      <w:tr w14:paraId="316C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14:paraId="4995C163">
            <w:pPr>
              <w:rPr>
                <w:rFonts w:hint="eastAsia" w:ascii="宋体" w:hAnsi="宋体" w:eastAsia="宋体" w:cs="宋体"/>
                <w:bCs/>
                <w:szCs w:val="21"/>
              </w:rPr>
            </w:pPr>
            <w:r>
              <w:rPr>
                <w:rFonts w:hint="eastAsia" w:ascii="宋体" w:hAnsi="宋体" w:eastAsia="宋体" w:cs="宋体"/>
                <w:bCs/>
                <w:szCs w:val="21"/>
              </w:rPr>
              <w:t>合计</w:t>
            </w:r>
          </w:p>
        </w:tc>
        <w:tc>
          <w:tcPr>
            <w:tcW w:w="1382" w:type="dxa"/>
          </w:tcPr>
          <w:p w14:paraId="1128C278">
            <w:pPr>
              <w:rPr>
                <w:rFonts w:hint="eastAsia" w:ascii="宋体" w:hAnsi="宋体" w:eastAsia="宋体" w:cs="宋体"/>
                <w:bCs/>
                <w:strike/>
                <w:szCs w:val="21"/>
                <w:highlight w:val="yellow"/>
              </w:rPr>
            </w:pPr>
          </w:p>
        </w:tc>
        <w:tc>
          <w:tcPr>
            <w:tcW w:w="1383" w:type="dxa"/>
          </w:tcPr>
          <w:p w14:paraId="63B91E5A">
            <w:pPr>
              <w:rPr>
                <w:rFonts w:hint="eastAsia" w:ascii="宋体" w:hAnsi="宋体" w:eastAsia="宋体" w:cs="宋体"/>
                <w:bCs/>
                <w:strike/>
                <w:szCs w:val="21"/>
                <w:highlight w:val="yellow"/>
              </w:rPr>
            </w:pPr>
          </w:p>
        </w:tc>
        <w:tc>
          <w:tcPr>
            <w:tcW w:w="1383" w:type="dxa"/>
          </w:tcPr>
          <w:p w14:paraId="4FCE5BB4">
            <w:pPr>
              <w:rPr>
                <w:rFonts w:hint="eastAsia" w:ascii="宋体" w:hAnsi="宋体" w:eastAsia="宋体" w:cs="宋体"/>
                <w:bCs/>
                <w:szCs w:val="21"/>
                <w:highlight w:val="yellow"/>
              </w:rPr>
            </w:pPr>
          </w:p>
        </w:tc>
        <w:tc>
          <w:tcPr>
            <w:tcW w:w="1383" w:type="dxa"/>
          </w:tcPr>
          <w:p w14:paraId="3AA0EFA4">
            <w:pPr>
              <w:rPr>
                <w:rFonts w:hint="eastAsia" w:ascii="宋体" w:hAnsi="宋体" w:eastAsia="宋体" w:cs="宋体"/>
                <w:bCs/>
                <w:szCs w:val="21"/>
                <w:highlight w:val="yellow"/>
              </w:rPr>
            </w:pPr>
          </w:p>
        </w:tc>
        <w:tc>
          <w:tcPr>
            <w:tcW w:w="1383" w:type="dxa"/>
            <w:vAlign w:val="center"/>
          </w:tcPr>
          <w:p w14:paraId="4B164BF5">
            <w:pPr>
              <w:jc w:val="center"/>
              <w:rPr>
                <w:rFonts w:hint="eastAsia" w:ascii="宋体" w:hAnsi="宋体" w:eastAsia="宋体" w:cs="宋体"/>
                <w:bCs/>
                <w:szCs w:val="21"/>
              </w:rPr>
            </w:pPr>
            <w:r>
              <w:rPr>
                <w:rFonts w:hint="eastAsia" w:ascii="宋体" w:hAnsi="宋体" w:eastAsia="宋体" w:cs="宋体"/>
                <w:bCs/>
                <w:szCs w:val="21"/>
              </w:rPr>
              <w:t>100</w:t>
            </w:r>
          </w:p>
        </w:tc>
      </w:tr>
    </w:tbl>
    <w:p w14:paraId="350CD30C">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（二）成绩评定细则</w:t>
      </w:r>
    </w:p>
    <w:p w14:paraId="480954EA">
      <w:pPr>
        <w:spacing w:line="360" w:lineRule="auto"/>
        <w:ind w:firstLine="420" w:firstLineChars="200"/>
        <w:rPr>
          <w:rFonts w:hint="eastAsia" w:ascii="宋体" w:hAnsi="宋体" w:eastAsia="宋体" w:cs="宋体"/>
          <w:b/>
          <w:szCs w:val="21"/>
        </w:rPr>
      </w:pPr>
      <w:r>
        <w:rPr>
          <w:rFonts w:hint="eastAsia" w:ascii="宋体" w:hAnsi="宋体" w:eastAsia="宋体" w:cs="宋体"/>
          <w:bCs/>
          <w:szCs w:val="21"/>
        </w:rPr>
        <w:t>各部分的评价方式和成绩评定的细则下表所示。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8"/>
        <w:gridCol w:w="5978"/>
        <w:gridCol w:w="930"/>
      </w:tblGrid>
      <w:tr w14:paraId="6092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vAlign w:val="center"/>
          </w:tcPr>
          <w:p w14:paraId="290B81E1">
            <w:pPr>
              <w:jc w:val="center"/>
              <w:rPr>
                <w:rFonts w:hint="eastAsia" w:ascii="宋体" w:hAnsi="宋体" w:eastAsia="宋体" w:cs="宋体"/>
                <w:b/>
                <w:szCs w:val="21"/>
              </w:rPr>
            </w:pPr>
            <w:r>
              <w:rPr>
                <w:rFonts w:hint="eastAsia" w:ascii="宋体" w:hAnsi="宋体" w:eastAsia="宋体" w:cs="宋体"/>
                <w:b/>
                <w:szCs w:val="21"/>
              </w:rPr>
              <w:t>评价方式</w:t>
            </w:r>
          </w:p>
        </w:tc>
        <w:tc>
          <w:tcPr>
            <w:tcW w:w="5978" w:type="dxa"/>
            <w:vAlign w:val="center"/>
          </w:tcPr>
          <w:p w14:paraId="39826BA8">
            <w:pPr>
              <w:jc w:val="center"/>
              <w:rPr>
                <w:rFonts w:hint="eastAsia" w:ascii="宋体" w:hAnsi="宋体" w:eastAsia="宋体" w:cs="宋体"/>
                <w:b/>
                <w:szCs w:val="21"/>
              </w:rPr>
            </w:pPr>
            <w:r>
              <w:rPr>
                <w:rFonts w:hint="eastAsia" w:ascii="宋体" w:hAnsi="宋体" w:eastAsia="宋体" w:cs="宋体"/>
                <w:b/>
                <w:szCs w:val="21"/>
              </w:rPr>
              <w:t>评定细则</w:t>
            </w:r>
          </w:p>
        </w:tc>
        <w:tc>
          <w:tcPr>
            <w:tcW w:w="930" w:type="dxa"/>
            <w:vAlign w:val="center"/>
          </w:tcPr>
          <w:p w14:paraId="5B68DA7B">
            <w:pPr>
              <w:jc w:val="center"/>
              <w:rPr>
                <w:rFonts w:hint="eastAsia" w:ascii="宋体" w:hAnsi="宋体" w:eastAsia="宋体" w:cs="宋体"/>
                <w:b/>
                <w:szCs w:val="21"/>
              </w:rPr>
            </w:pPr>
            <w:r>
              <w:rPr>
                <w:rFonts w:hint="eastAsia" w:ascii="宋体" w:hAnsi="宋体" w:eastAsia="宋体" w:cs="宋体"/>
                <w:b/>
                <w:szCs w:val="21"/>
              </w:rPr>
              <w:t>占比</w:t>
            </w:r>
          </w:p>
        </w:tc>
      </w:tr>
      <w:tr w14:paraId="6622C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6F78CC95">
            <w:pPr>
              <w:jc w:val="center"/>
              <w:rPr>
                <w:rFonts w:hint="eastAsia" w:ascii="宋体" w:hAnsi="宋体" w:eastAsia="宋体" w:cs="宋体"/>
                <w:bCs/>
                <w:szCs w:val="21"/>
              </w:rPr>
            </w:pPr>
            <w:r>
              <w:rPr>
                <w:rFonts w:hint="eastAsia" w:ascii="宋体" w:hAnsi="宋体" w:eastAsia="宋体" w:cs="宋体"/>
                <w:bCs/>
                <w:szCs w:val="21"/>
              </w:rPr>
              <w:t>网络学习</w:t>
            </w:r>
          </w:p>
        </w:tc>
        <w:tc>
          <w:tcPr>
            <w:tcW w:w="5978" w:type="dxa"/>
          </w:tcPr>
          <w:p w14:paraId="084D5224">
            <w:pPr>
              <w:ind w:firstLine="420" w:firstLineChars="200"/>
              <w:jc w:val="left"/>
              <w:rPr>
                <w:rFonts w:hint="eastAsia" w:ascii="宋体" w:hAnsi="宋体" w:eastAsia="宋体" w:cs="宋体"/>
                <w:bCs/>
                <w:szCs w:val="21"/>
              </w:rPr>
            </w:pPr>
            <w:r>
              <w:rPr>
                <w:rFonts w:hint="eastAsia" w:ascii="宋体" w:hAnsi="宋体" w:eastAsia="宋体" w:cs="宋体"/>
                <w:bCs/>
                <w:szCs w:val="21"/>
              </w:rPr>
              <w:t>通过视频学习时长、线上互动讨论等评定</w:t>
            </w:r>
          </w:p>
        </w:tc>
        <w:tc>
          <w:tcPr>
            <w:tcW w:w="930" w:type="dxa"/>
            <w:vAlign w:val="center"/>
          </w:tcPr>
          <w:p w14:paraId="1954D2AC">
            <w:pPr>
              <w:jc w:val="center"/>
              <w:rPr>
                <w:rFonts w:hint="eastAsia" w:ascii="宋体" w:hAnsi="宋体" w:eastAsia="宋体" w:cs="宋体"/>
                <w:bCs/>
                <w:szCs w:val="21"/>
              </w:rPr>
            </w:pPr>
            <w:r>
              <w:rPr>
                <w:rFonts w:hint="eastAsia" w:ascii="宋体" w:hAnsi="宋体" w:eastAsia="宋体" w:cs="宋体"/>
                <w:bCs/>
                <w:szCs w:val="21"/>
              </w:rPr>
              <w:t>1</w:t>
            </w:r>
            <w:r>
              <w:rPr>
                <w:rFonts w:ascii="宋体" w:hAnsi="宋体" w:eastAsia="宋体" w:cs="宋体"/>
                <w:bCs/>
                <w:szCs w:val="21"/>
              </w:rPr>
              <w:t>0%</w:t>
            </w:r>
          </w:p>
        </w:tc>
      </w:tr>
      <w:tr w14:paraId="3D26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605F938B">
            <w:pPr>
              <w:jc w:val="center"/>
              <w:rPr>
                <w:rFonts w:hint="eastAsia" w:ascii="宋体" w:hAnsi="宋体" w:eastAsia="宋体" w:cs="宋体"/>
                <w:bCs/>
                <w:szCs w:val="21"/>
              </w:rPr>
            </w:pPr>
            <w:r>
              <w:rPr>
                <w:rFonts w:hint="eastAsia" w:ascii="宋体" w:hAnsi="宋体" w:eastAsia="宋体" w:cs="宋体"/>
                <w:bCs/>
                <w:szCs w:val="21"/>
              </w:rPr>
              <w:t>平时表现</w:t>
            </w:r>
          </w:p>
        </w:tc>
        <w:tc>
          <w:tcPr>
            <w:tcW w:w="5978" w:type="dxa"/>
          </w:tcPr>
          <w:p w14:paraId="4DAC2D63">
            <w:pPr>
              <w:ind w:firstLine="420" w:firstLineChars="200"/>
              <w:jc w:val="left"/>
              <w:rPr>
                <w:rFonts w:hint="eastAsia" w:ascii="宋体" w:hAnsi="宋体" w:eastAsia="宋体" w:cs="宋体"/>
                <w:bCs/>
                <w:szCs w:val="21"/>
              </w:rPr>
            </w:pPr>
            <w:r>
              <w:rPr>
                <w:rFonts w:hint="eastAsia" w:ascii="宋体" w:hAnsi="宋体" w:eastAsia="宋体" w:cs="宋体"/>
                <w:bCs/>
                <w:szCs w:val="21"/>
              </w:rPr>
              <w:t>一是课堂不定期点名，考核能否按时到勤，旷课一次扣20分，迟到或早退一次扣5分。二是关注学生做笔记的情况以及课堂听课情况，以督促学生按时上课，认真听讲；课堂随机提问，提高学生上课的集中度和参与度，并考察学生当堂课程的掌握情况。三是线上学习时长、讨论互动。</w:t>
            </w:r>
          </w:p>
        </w:tc>
        <w:tc>
          <w:tcPr>
            <w:tcW w:w="930" w:type="dxa"/>
            <w:vAlign w:val="center"/>
          </w:tcPr>
          <w:p w14:paraId="61560C66">
            <w:pPr>
              <w:jc w:val="center"/>
              <w:rPr>
                <w:rFonts w:hint="eastAsia" w:ascii="宋体" w:hAnsi="宋体" w:eastAsia="宋体" w:cs="宋体"/>
                <w:bCs/>
                <w:szCs w:val="21"/>
              </w:rPr>
            </w:pPr>
            <w:r>
              <w:rPr>
                <w:rFonts w:ascii="宋体" w:hAnsi="宋体" w:eastAsia="宋体" w:cs="宋体"/>
                <w:bCs/>
                <w:szCs w:val="21"/>
              </w:rPr>
              <w:t>20</w:t>
            </w:r>
            <w:r>
              <w:rPr>
                <w:rFonts w:hint="eastAsia" w:ascii="宋体" w:hAnsi="宋体" w:eastAsia="宋体" w:cs="宋体"/>
                <w:bCs/>
                <w:szCs w:val="21"/>
              </w:rPr>
              <w:t>%</w:t>
            </w:r>
          </w:p>
        </w:tc>
      </w:tr>
      <w:tr w14:paraId="05A9E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0BC7675F">
            <w:pPr>
              <w:jc w:val="center"/>
              <w:rPr>
                <w:rFonts w:hint="eastAsia" w:ascii="宋体" w:hAnsi="宋体" w:eastAsia="宋体" w:cs="宋体"/>
                <w:bCs/>
                <w:szCs w:val="21"/>
              </w:rPr>
            </w:pPr>
            <w:r>
              <w:rPr>
                <w:rFonts w:hint="eastAsia" w:ascii="宋体" w:hAnsi="宋体" w:eastAsia="宋体" w:cs="宋体"/>
                <w:bCs/>
                <w:szCs w:val="21"/>
              </w:rPr>
              <w:t>作业</w:t>
            </w:r>
          </w:p>
        </w:tc>
        <w:tc>
          <w:tcPr>
            <w:tcW w:w="5978" w:type="dxa"/>
          </w:tcPr>
          <w:p w14:paraId="7BD5615A">
            <w:pPr>
              <w:ind w:firstLine="420" w:firstLineChars="200"/>
              <w:jc w:val="left"/>
              <w:rPr>
                <w:rFonts w:hint="eastAsia" w:ascii="宋体" w:hAnsi="宋体" w:eastAsia="宋体" w:cs="宋体"/>
                <w:bCs/>
                <w:szCs w:val="21"/>
              </w:rPr>
            </w:pPr>
            <w:r>
              <w:rPr>
                <w:rFonts w:hint="eastAsia" w:ascii="宋体" w:hAnsi="宋体" w:eastAsia="宋体" w:cs="宋体"/>
                <w:bCs/>
                <w:szCs w:val="21"/>
              </w:rPr>
              <w:t>通过两次理论作业和每个单元的测验考核学生对课程知识点的理解和应用：对每次作业完成情况做记录并百分制打分，计算全部作业的平均成绩。</w:t>
            </w:r>
          </w:p>
        </w:tc>
        <w:tc>
          <w:tcPr>
            <w:tcW w:w="930" w:type="dxa"/>
            <w:vAlign w:val="center"/>
          </w:tcPr>
          <w:p w14:paraId="4404C297">
            <w:pPr>
              <w:jc w:val="center"/>
              <w:rPr>
                <w:rFonts w:hint="eastAsia" w:ascii="宋体" w:hAnsi="宋体" w:eastAsia="宋体" w:cs="宋体"/>
                <w:bCs/>
                <w:szCs w:val="21"/>
              </w:rPr>
            </w:pPr>
            <w:r>
              <w:rPr>
                <w:rFonts w:ascii="宋体" w:hAnsi="宋体" w:eastAsia="宋体" w:cs="宋体"/>
                <w:bCs/>
                <w:szCs w:val="21"/>
              </w:rPr>
              <w:t>30</w:t>
            </w:r>
            <w:r>
              <w:rPr>
                <w:rFonts w:hint="eastAsia" w:ascii="宋体" w:hAnsi="宋体" w:eastAsia="宋体" w:cs="宋体"/>
                <w:bCs/>
                <w:szCs w:val="21"/>
              </w:rPr>
              <w:t>%</w:t>
            </w:r>
          </w:p>
        </w:tc>
      </w:tr>
      <w:tr w14:paraId="638C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634E2BA5">
            <w:pPr>
              <w:jc w:val="center"/>
              <w:rPr>
                <w:rFonts w:hint="eastAsia" w:ascii="宋体" w:hAnsi="宋体" w:eastAsia="宋体" w:cs="宋体"/>
                <w:bCs/>
                <w:szCs w:val="21"/>
              </w:rPr>
            </w:pPr>
            <w:r>
              <w:rPr>
                <w:rFonts w:hint="eastAsia" w:ascii="宋体" w:hAnsi="宋体" w:eastAsia="宋体" w:cs="宋体"/>
                <w:bCs/>
                <w:szCs w:val="21"/>
              </w:rPr>
              <w:t>期末考试</w:t>
            </w:r>
          </w:p>
        </w:tc>
        <w:tc>
          <w:tcPr>
            <w:tcW w:w="5978" w:type="dxa"/>
          </w:tcPr>
          <w:p w14:paraId="48ED4E81">
            <w:pPr>
              <w:jc w:val="left"/>
              <w:rPr>
                <w:rFonts w:hint="eastAsia" w:ascii="宋体" w:hAnsi="宋体" w:eastAsia="宋体" w:cs="宋体"/>
                <w:bCs/>
                <w:szCs w:val="21"/>
              </w:rPr>
            </w:pPr>
            <w:r>
              <w:rPr>
                <w:rFonts w:hint="eastAsia" w:ascii="宋体" w:hAnsi="宋体" w:eastAsia="宋体" w:cs="宋体"/>
                <w:bCs/>
                <w:szCs w:val="21"/>
              </w:rPr>
              <w:t>试卷题型包括判断题、填空题、单项选择题等。考核对习近平新时代中国特色社会主义思想的理解和运用。</w:t>
            </w:r>
          </w:p>
        </w:tc>
        <w:tc>
          <w:tcPr>
            <w:tcW w:w="930" w:type="dxa"/>
            <w:vAlign w:val="center"/>
          </w:tcPr>
          <w:p w14:paraId="52E9847A">
            <w:pPr>
              <w:jc w:val="center"/>
              <w:rPr>
                <w:rFonts w:hint="eastAsia" w:ascii="宋体" w:hAnsi="宋体" w:eastAsia="宋体" w:cs="宋体"/>
                <w:bCs/>
                <w:szCs w:val="21"/>
              </w:rPr>
            </w:pPr>
            <w:r>
              <w:rPr>
                <w:rFonts w:hint="eastAsia" w:ascii="宋体" w:hAnsi="宋体" w:eastAsia="宋体" w:cs="宋体"/>
                <w:bCs/>
                <w:szCs w:val="21"/>
              </w:rPr>
              <w:t>40%</w:t>
            </w:r>
          </w:p>
        </w:tc>
      </w:tr>
      <w:tr w14:paraId="2A25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dxa"/>
          </w:tcPr>
          <w:p w14:paraId="119F6488">
            <w:pPr>
              <w:jc w:val="center"/>
              <w:rPr>
                <w:rFonts w:hint="eastAsia" w:ascii="宋体" w:hAnsi="宋体" w:eastAsia="宋体" w:cs="宋体"/>
                <w:b/>
                <w:szCs w:val="21"/>
              </w:rPr>
            </w:pPr>
            <w:r>
              <w:rPr>
                <w:rFonts w:hint="eastAsia" w:ascii="宋体" w:hAnsi="宋体" w:eastAsia="宋体" w:cs="宋体"/>
                <w:b/>
                <w:szCs w:val="21"/>
              </w:rPr>
              <w:t>合计</w:t>
            </w:r>
          </w:p>
        </w:tc>
        <w:tc>
          <w:tcPr>
            <w:tcW w:w="5978" w:type="dxa"/>
          </w:tcPr>
          <w:p w14:paraId="2AE08282">
            <w:pPr>
              <w:jc w:val="center"/>
              <w:rPr>
                <w:rFonts w:hint="eastAsia" w:ascii="宋体" w:hAnsi="宋体" w:eastAsia="宋体" w:cs="宋体"/>
                <w:b/>
                <w:szCs w:val="21"/>
              </w:rPr>
            </w:pPr>
          </w:p>
        </w:tc>
        <w:tc>
          <w:tcPr>
            <w:tcW w:w="930" w:type="dxa"/>
          </w:tcPr>
          <w:p w14:paraId="01FB8B8C">
            <w:pPr>
              <w:jc w:val="center"/>
              <w:rPr>
                <w:rFonts w:hint="eastAsia" w:ascii="宋体" w:hAnsi="宋体" w:eastAsia="宋体" w:cs="宋体"/>
                <w:b/>
                <w:szCs w:val="21"/>
              </w:rPr>
            </w:pPr>
            <w:r>
              <w:rPr>
                <w:rFonts w:hint="eastAsia" w:ascii="宋体" w:hAnsi="宋体" w:eastAsia="宋体" w:cs="宋体"/>
                <w:b/>
                <w:szCs w:val="21"/>
              </w:rPr>
              <w:t>100%</w:t>
            </w:r>
          </w:p>
        </w:tc>
      </w:tr>
    </w:tbl>
    <w:p w14:paraId="70B8FD5C">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（三）课程目标达成度计算方法</w:t>
      </w:r>
    </w:p>
    <w:p w14:paraId="03DCAC69">
      <w:pPr>
        <w:spacing w:line="360" w:lineRule="auto"/>
        <w:ind w:firstLine="420" w:firstLineChars="200"/>
        <w:jc w:val="left"/>
        <w:rPr>
          <w:rFonts w:hint="eastAsia" w:ascii="宋体" w:hAnsi="宋体" w:eastAsia="宋体" w:cs="宋体"/>
          <w:bCs/>
          <w:szCs w:val="21"/>
        </w:rPr>
      </w:pPr>
      <w:r>
        <w:rPr>
          <w:rFonts w:hint="eastAsia" w:ascii="宋体" w:hAnsi="宋体" w:eastAsia="宋体" w:cs="宋体"/>
          <w:bCs/>
          <w:szCs w:val="21"/>
        </w:rPr>
        <w:t xml:space="preserve">所有课程目标均需大于等于 0.6，否则总评成绩不及格，需要补考或重修。每门课程目标总体达成度计算方法如下： </w:t>
      </w:r>
    </w:p>
    <w:p w14:paraId="43CEE088">
      <w:pPr>
        <w:spacing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29" o:spt="75" type="#_x0000_t75" style="height:25.5pt;width:404.3pt;" o:ole="t" filled="f" o:preferrelative="t" stroked="f" coordsize="21600,21600">
            <v:path/>
            <v:fill on="f" focussize="0,0"/>
            <v:stroke on="f" joinstyle="miter"/>
            <v:imagedata r:id="rId12" o:title=""/>
            <o:lock v:ext="edit" aspectratio="t"/>
            <w10:wrap type="none"/>
            <w10:anchorlock/>
          </v:shape>
          <o:OLEObject Type="Embed" ProgID="Equation.3" ShapeID="_x0000_i1029" DrawAspect="Content" ObjectID="_1468075729" r:id="rId16">
            <o:LockedField>false</o:LockedField>
          </o:OLEObject>
        </w:object>
      </w:r>
      <w:r>
        <w:rPr>
          <w:rFonts w:hint="eastAsia" w:ascii="Times New Roman" w:hAnsi="Times New Roman" w:eastAsia="宋体" w:cs="Times New Roman"/>
          <w:b/>
          <w:sz w:val="24"/>
        </w:rPr>
        <w:t>五</w:t>
      </w:r>
      <w:r>
        <w:rPr>
          <w:rFonts w:ascii="Times New Roman" w:hAnsi="Times New Roman" w:eastAsia="宋体" w:cs="Times New Roman"/>
          <w:b/>
          <w:sz w:val="24"/>
        </w:rPr>
        <w:t>、</w:t>
      </w:r>
      <w:r>
        <w:rPr>
          <w:rFonts w:hint="eastAsia" w:ascii="Times New Roman" w:hAnsi="Times New Roman" w:eastAsia="宋体" w:cs="Times New Roman"/>
          <w:b/>
          <w:sz w:val="24"/>
        </w:rPr>
        <w:t>有关说明</w:t>
      </w:r>
    </w:p>
    <w:p w14:paraId="72889792">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（一）持续改进</w:t>
      </w:r>
    </w:p>
    <w:p w14:paraId="7D2BB7E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本课程根据平时表现、作业、实践和期末考试等考核情况，以及学生、教学督导等反馈，及时对教学中不足之处进行改进，并在下一轮课程教学中整改完善，确保相应毕业要求达成。</w:t>
      </w:r>
    </w:p>
    <w:p w14:paraId="113AAFC6">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（二）参考书目及学习资料</w:t>
      </w:r>
    </w:p>
    <w:p w14:paraId="137601D8">
      <w:pPr>
        <w:spacing w:line="360" w:lineRule="auto"/>
        <w:ind w:firstLine="420" w:firstLineChars="200"/>
        <w:rPr>
          <w:rFonts w:hint="eastAsia" w:ascii="宋体" w:hAnsi="宋体" w:eastAsia="宋体" w:cs="宋体"/>
          <w:szCs w:val="21"/>
        </w:rPr>
      </w:pPr>
      <w:bookmarkStart w:id="28" w:name="_Hlk116297680"/>
      <w:bookmarkStart w:id="29" w:name="_Hlk44772693"/>
      <w:r>
        <w:rPr>
          <w:rFonts w:hint="eastAsia" w:ascii="宋体" w:hAnsi="宋体" w:eastAsia="宋体" w:cs="宋体"/>
          <w:szCs w:val="21"/>
        </w:rPr>
        <w:t>1. 《习近平谈治国理政》，外文出版社，2014</w:t>
      </w:r>
    </w:p>
    <w:p w14:paraId="313176D0">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2. </w:t>
      </w:r>
      <w:bookmarkStart w:id="30" w:name="_Hlk115408979"/>
      <w:r>
        <w:rPr>
          <w:rFonts w:hint="eastAsia" w:ascii="宋体" w:hAnsi="宋体" w:eastAsia="宋体" w:cs="宋体"/>
          <w:szCs w:val="21"/>
        </w:rPr>
        <w:t>《习近平谈治国理政（第二卷）》，外文出版社，2017</w:t>
      </w:r>
      <w:bookmarkEnd w:id="30"/>
    </w:p>
    <w:p w14:paraId="51A7DE0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 《习近平谈治国理政（第三卷）》，外文出版社，2020</w:t>
      </w:r>
    </w:p>
    <w:p w14:paraId="2FFCC16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 《习近平谈治国理政（第四卷）》，外文出版社，2022</w:t>
      </w:r>
    </w:p>
    <w:bookmarkEnd w:id="28"/>
    <w:p w14:paraId="0E945B9F">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5.《习近平新时代中国特色社会主义思想学习纲要》，学习出版社、人民出版社，2019</w:t>
      </w:r>
    </w:p>
    <w:p w14:paraId="6C8B960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6.《习近平新时代中国特色社会主义思想基本问题》，中共中央党校出版社，2020</w:t>
      </w:r>
    </w:p>
    <w:p w14:paraId="4206D438">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（三）教学改革</w:t>
      </w:r>
    </w:p>
    <w:p w14:paraId="1B084E2D">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本课程的教学改革，需制定相应的教学方案。</w:t>
      </w:r>
      <w:bookmarkEnd w:id="29"/>
    </w:p>
    <w:p w14:paraId="28ABC20E">
      <w:pPr>
        <w:autoSpaceDE w:val="0"/>
        <w:autoSpaceDN w:val="0"/>
        <w:adjustRightInd w:val="0"/>
        <w:spacing w:line="360" w:lineRule="auto"/>
        <w:ind w:right="720" w:firstLine="420" w:firstLineChars="200"/>
        <w:jc w:val="right"/>
        <w:rPr>
          <w:rFonts w:ascii="Times New Roman" w:hAnsi="Times New Roman" w:eastAsia="宋体" w:cs="Times New Roman"/>
          <w:kern w:val="0"/>
          <w:szCs w:val="21"/>
        </w:rPr>
      </w:pPr>
      <w:r>
        <w:rPr>
          <w:rFonts w:ascii="Times New Roman" w:hAnsi="Times New Roman" w:eastAsia="宋体" w:cs="Times New Roman"/>
          <w:kern w:val="0"/>
          <w:szCs w:val="21"/>
        </w:rPr>
        <w:t>执笔人：</w:t>
      </w:r>
      <w:r>
        <w:rPr>
          <w:rFonts w:hint="eastAsia" w:ascii="Times New Roman" w:hAnsi="Times New Roman" w:eastAsia="宋体" w:cs="Times New Roman"/>
          <w:kern w:val="0"/>
          <w:szCs w:val="21"/>
        </w:rPr>
        <w:t>袁青欢</w:t>
      </w:r>
    </w:p>
    <w:p w14:paraId="60406548">
      <w:pPr>
        <w:autoSpaceDE w:val="0"/>
        <w:autoSpaceDN w:val="0"/>
        <w:adjustRightInd w:val="0"/>
        <w:spacing w:line="360" w:lineRule="auto"/>
        <w:ind w:right="720" w:firstLine="420" w:firstLineChars="200"/>
        <w:jc w:val="right"/>
        <w:rPr>
          <w:rFonts w:ascii="Times New Roman" w:hAnsi="Times New Roman" w:eastAsia="宋体" w:cs="Times New Roman"/>
          <w:kern w:val="0"/>
          <w:szCs w:val="21"/>
        </w:rPr>
      </w:pPr>
      <w:r>
        <w:rPr>
          <w:rFonts w:ascii="Times New Roman" w:hAnsi="Times New Roman" w:eastAsia="宋体" w:cs="Times New Roman"/>
          <w:kern w:val="0"/>
          <w:szCs w:val="21"/>
        </w:rPr>
        <w:t>审定人：</w:t>
      </w:r>
      <w:r>
        <w:rPr>
          <w:rFonts w:hint="eastAsia" w:ascii="Times New Roman" w:hAnsi="Times New Roman" w:eastAsia="宋体" w:cs="Times New Roman"/>
          <w:kern w:val="0"/>
          <w:szCs w:val="21"/>
        </w:rPr>
        <w:t>夏天静</w:t>
      </w:r>
    </w:p>
    <w:p w14:paraId="217A5EF7">
      <w:pPr>
        <w:autoSpaceDE w:val="0"/>
        <w:autoSpaceDN w:val="0"/>
        <w:adjustRightInd w:val="0"/>
        <w:spacing w:line="360" w:lineRule="auto"/>
        <w:ind w:right="720" w:firstLine="420" w:firstLineChars="200"/>
        <w:jc w:val="right"/>
        <w:rPr>
          <w:rFonts w:ascii="Times New Roman" w:hAnsi="Times New Roman" w:eastAsia="宋体" w:cs="Times New Roman"/>
          <w:kern w:val="0"/>
          <w:szCs w:val="21"/>
        </w:rPr>
      </w:pPr>
      <w:r>
        <w:rPr>
          <w:rFonts w:ascii="Times New Roman" w:hAnsi="Times New Roman" w:eastAsia="宋体" w:cs="Times New Roman"/>
          <w:kern w:val="0"/>
          <w:szCs w:val="21"/>
        </w:rPr>
        <w:t>审批人：</w:t>
      </w:r>
      <w:r>
        <w:rPr>
          <w:rFonts w:hint="eastAsia" w:ascii="Times New Roman" w:hAnsi="Times New Roman" w:eastAsia="宋体" w:cs="Times New Roman"/>
          <w:kern w:val="0"/>
          <w:szCs w:val="21"/>
        </w:rPr>
        <w:t>熊焱生</w:t>
      </w:r>
    </w:p>
    <w:p w14:paraId="6E99DB1B">
      <w:pPr>
        <w:autoSpaceDE w:val="0"/>
        <w:autoSpaceDN w:val="0"/>
        <w:adjustRightInd w:val="0"/>
        <w:spacing w:line="360" w:lineRule="auto"/>
        <w:ind w:right="651" w:firstLine="420" w:firstLineChars="200"/>
        <w:jc w:val="right"/>
        <w:rPr>
          <w:rFonts w:eastAsia="宋体"/>
          <w:szCs w:val="21"/>
        </w:rPr>
      </w:pPr>
      <w:r>
        <w:rPr>
          <w:rFonts w:hint="eastAsia" w:ascii="Times New Roman" w:hAnsi="Times New Roman" w:eastAsia="宋体" w:cs="Times New Roman"/>
          <w:kern w:val="0"/>
          <w:szCs w:val="21"/>
        </w:rPr>
        <w:t>批准时间：2025年7月1日</w:t>
      </w:r>
    </w:p>
    <w:p w14:paraId="1F778F8D">
      <w:pPr>
        <w:spacing w:line="360" w:lineRule="auto"/>
        <w:jc w:val="right"/>
        <w:rPr>
          <w:rFonts w:hint="eastAsia" w:ascii="宋体" w:hAnsi="宋体" w:eastAsia="宋体" w:cs="Times New Roman"/>
          <w:szCs w:val="21"/>
        </w:rPr>
      </w:pPr>
    </w:p>
    <w:p w14:paraId="48CAC7B3">
      <w:pPr>
        <w:rPr>
          <w:rFonts w:hint="eastAsia" w:ascii="宋体" w:hAnsi="宋体" w:eastAsia="宋体" w:cs="宋体"/>
          <w:szCs w:val="21"/>
        </w:rPr>
      </w:pPr>
    </w:p>
    <w:p w14:paraId="265BEFB3">
      <w:bookmarkStart w:id="31" w:name="_Toc6125"/>
      <w:r>
        <w:rPr>
          <w:rFonts w:hint="eastAsia"/>
        </w:rPr>
        <w:br w:type="page"/>
      </w:r>
    </w:p>
    <w:p w14:paraId="30077F6B">
      <w:pPr>
        <w:spacing w:line="360" w:lineRule="auto"/>
        <w:jc w:val="center"/>
        <w:outlineLvl w:val="0"/>
        <w:rPr>
          <w:rFonts w:ascii="Times New Roman" w:hAnsi="Times New Roman" w:eastAsia="宋体" w:cs="Times New Roman"/>
          <w:b/>
          <w:sz w:val="44"/>
          <w:szCs w:val="44"/>
        </w:rPr>
      </w:pPr>
      <w:bookmarkStart w:id="32" w:name="_Toc23253"/>
      <w:r>
        <w:rPr>
          <w:rFonts w:hint="eastAsia" w:ascii="Times New Roman" w:hAnsi="Times New Roman" w:eastAsia="宋体" w:cs="Times New Roman"/>
          <w:b/>
          <w:sz w:val="44"/>
          <w:szCs w:val="44"/>
        </w:rPr>
        <w:t>《形势与政策》课程教学大纲</w:t>
      </w:r>
      <w:bookmarkEnd w:id="2"/>
      <w:bookmarkEnd w:id="3"/>
      <w:bookmarkEnd w:id="31"/>
      <w:bookmarkEnd w:id="32"/>
    </w:p>
    <w:p w14:paraId="2AAFFA19">
      <w:pPr>
        <w:spacing w:line="360" w:lineRule="auto"/>
        <w:jc w:val="center"/>
        <w:rPr>
          <w:rFonts w:ascii="Times New Roman" w:hAnsi="Times New Roman" w:eastAsia="宋体" w:cs="Times New Roman"/>
          <w:b/>
          <w:bCs/>
          <w:sz w:val="28"/>
          <w:szCs w:val="28"/>
        </w:rPr>
      </w:pPr>
      <w:bookmarkStart w:id="33" w:name="_Toc6210"/>
      <w:bookmarkStart w:id="34" w:name="_Toc4918"/>
      <w:bookmarkStart w:id="35" w:name="_Toc29632"/>
      <w:bookmarkStart w:id="36" w:name="_Toc26887"/>
      <w:bookmarkStart w:id="37" w:name="_Toc25705"/>
      <w:bookmarkStart w:id="38" w:name="_Toc455"/>
      <w:bookmarkStart w:id="39" w:name="_Toc3405"/>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Situation And Policy</w:t>
      </w:r>
      <w:r>
        <w:rPr>
          <w:rFonts w:ascii="Times New Roman" w:hAnsi="Times New Roman" w:eastAsia="宋体" w:cs="Times New Roman"/>
          <w:b/>
          <w:bCs/>
          <w:sz w:val="28"/>
          <w:szCs w:val="28"/>
        </w:rPr>
        <w:t>）</w:t>
      </w:r>
      <w:bookmarkEnd w:id="33"/>
      <w:bookmarkEnd w:id="34"/>
      <w:bookmarkEnd w:id="35"/>
      <w:bookmarkEnd w:id="36"/>
      <w:bookmarkEnd w:id="37"/>
      <w:bookmarkEnd w:id="38"/>
      <w:bookmarkEnd w:id="39"/>
    </w:p>
    <w:p w14:paraId="3C1A5CD6">
      <w:pPr>
        <w:spacing w:line="360" w:lineRule="auto"/>
        <w:jc w:val="center"/>
        <w:rPr>
          <w:rFonts w:ascii="Times New Roman" w:hAnsi="Times New Roman" w:eastAsia="宋体" w:cs="Times New Roman"/>
          <w:bCs/>
          <w:szCs w:val="21"/>
        </w:rPr>
      </w:pPr>
    </w:p>
    <w:p w14:paraId="5A6849B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课程名称：形势与政策</w:t>
      </w:r>
    </w:p>
    <w:p w14:paraId="6DE0F8B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课程代码：1006031形势与政策Ⅰ(上)、1006032形势与政策Ⅰ(下)</w:t>
      </w:r>
    </w:p>
    <w:p w14:paraId="6AB2CC16">
      <w:pPr>
        <w:spacing w:line="360" w:lineRule="auto"/>
        <w:ind w:firstLine="1687" w:firstLineChars="700"/>
        <w:jc w:val="left"/>
        <w:rPr>
          <w:rFonts w:ascii="Times New Roman" w:hAnsi="Times New Roman" w:eastAsia="宋体" w:cs="Times New Roman"/>
          <w:b/>
          <w:sz w:val="24"/>
        </w:rPr>
      </w:pPr>
      <w:r>
        <w:rPr>
          <w:rFonts w:hint="eastAsia" w:ascii="Times New Roman" w:hAnsi="Times New Roman" w:eastAsia="宋体" w:cs="Times New Roman"/>
          <w:b/>
          <w:sz w:val="24"/>
        </w:rPr>
        <w:t>1006033形势与政策Ⅱ(上)、1006034形势与政策Ⅱ(下)</w:t>
      </w:r>
    </w:p>
    <w:p w14:paraId="684C63FF">
      <w:pPr>
        <w:spacing w:line="360" w:lineRule="auto"/>
        <w:ind w:firstLine="1687" w:firstLineChars="700"/>
        <w:jc w:val="left"/>
        <w:rPr>
          <w:rFonts w:ascii="Times New Roman" w:hAnsi="Times New Roman" w:eastAsia="宋体" w:cs="Times New Roman"/>
          <w:b/>
          <w:sz w:val="24"/>
        </w:rPr>
      </w:pPr>
      <w:r>
        <w:rPr>
          <w:rFonts w:hint="eastAsia" w:ascii="Times New Roman" w:hAnsi="Times New Roman" w:eastAsia="宋体" w:cs="Times New Roman"/>
          <w:b/>
          <w:sz w:val="24"/>
        </w:rPr>
        <w:t>1006035形势与政策Ⅲ(上)、1006036形势与政策Ⅲ(下)</w:t>
      </w:r>
    </w:p>
    <w:p w14:paraId="55A51F14">
      <w:pPr>
        <w:spacing w:line="360" w:lineRule="auto"/>
        <w:ind w:firstLine="1687" w:firstLineChars="700"/>
        <w:jc w:val="left"/>
        <w:rPr>
          <w:rFonts w:ascii="Times New Roman" w:hAnsi="Times New Roman" w:eastAsia="宋体" w:cs="Times New Roman"/>
          <w:b/>
          <w:sz w:val="24"/>
        </w:rPr>
      </w:pPr>
      <w:r>
        <w:rPr>
          <w:rFonts w:hint="eastAsia" w:ascii="Times New Roman" w:hAnsi="Times New Roman" w:eastAsia="宋体" w:cs="Times New Roman"/>
          <w:b/>
          <w:sz w:val="24"/>
        </w:rPr>
        <w:t>1006037形势与政策Ⅳ(上)、1006038形势与政策Ⅳ(下)</w:t>
      </w:r>
    </w:p>
    <w:p w14:paraId="3AA61C4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r>
        <w:rPr>
          <w:rFonts w:hint="eastAsia" w:ascii="Times New Roman" w:hAnsi="Times New Roman" w:eastAsia="宋体" w:cs="Times New Roman"/>
          <w:bCs/>
          <w:sz w:val="24"/>
        </w:rPr>
        <w:t>（其中，形势与政策Ⅰ(上)0.25、形势与政策Ⅰ(下)0.25、形势与政策Ⅱ(上) 0.25、形势与政策Ⅱ(下) 0.25、形势与政策Ⅲ(上) 0.25、形势与政策Ⅲ(下) 0.25、形势与政策Ⅳ(上) 0.25、形势与政策Ⅳ(下) 0.25）</w:t>
      </w:r>
    </w:p>
    <w:p w14:paraId="1196C93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时：64</w:t>
      </w:r>
    </w:p>
    <w:p w14:paraId="60B260D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363A808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适用专业：全校所有专业</w:t>
      </w:r>
    </w:p>
    <w:p w14:paraId="7D61CC7A">
      <w:pPr>
        <w:spacing w:before="62" w:beforeLines="20" w:after="62" w:afterLines="20" w:line="360" w:lineRule="auto"/>
        <w:jc w:val="left"/>
        <w:rPr>
          <w:rFonts w:ascii="Times New Roman" w:hAnsi="Times New Roman" w:eastAsia="宋体" w:cs="Times New Roman"/>
          <w:b/>
          <w:sz w:val="24"/>
        </w:rPr>
      </w:pPr>
      <w:bookmarkStart w:id="40" w:name="_Toc3492"/>
      <w:bookmarkStart w:id="41" w:name="_Toc9647"/>
      <w:bookmarkStart w:id="42" w:name="_Toc10632"/>
      <w:bookmarkStart w:id="43" w:name="_Toc11796"/>
      <w:bookmarkStart w:id="44" w:name="_Toc24307"/>
      <w:bookmarkStart w:id="45" w:name="_Toc19608"/>
      <w:bookmarkStart w:id="46" w:name="_Toc26600"/>
      <w:r>
        <w:rPr>
          <w:rFonts w:hint="eastAsia" w:ascii="Times New Roman" w:hAnsi="Times New Roman" w:eastAsia="宋体" w:cs="Times New Roman"/>
          <w:b/>
          <w:sz w:val="24"/>
        </w:rPr>
        <w:t>一、课程简介</w:t>
      </w:r>
      <w:bookmarkEnd w:id="40"/>
      <w:bookmarkEnd w:id="41"/>
      <w:bookmarkEnd w:id="42"/>
      <w:bookmarkEnd w:id="43"/>
      <w:bookmarkEnd w:id="44"/>
      <w:bookmarkEnd w:id="45"/>
      <w:bookmarkEnd w:id="46"/>
    </w:p>
    <w:p w14:paraId="2BEE53D1">
      <w:pPr>
        <w:spacing w:line="360" w:lineRule="auto"/>
        <w:ind w:firstLine="420" w:firstLineChars="200"/>
        <w:jc w:val="left"/>
        <w:rPr>
          <w:rFonts w:hint="eastAsia" w:ascii="宋体" w:hAnsi="宋体" w:eastAsia="宋体" w:cs="Times New Roman"/>
          <w:b/>
          <w:szCs w:val="21"/>
        </w:rPr>
      </w:pPr>
      <w:r>
        <w:rPr>
          <w:rFonts w:hint="eastAsia" w:ascii="Times New Roman" w:hAnsi="Times New Roman" w:eastAsia="宋体" w:cs="Times New Roman"/>
          <w:szCs w:val="21"/>
        </w:rPr>
        <w:t>本课程是小学教育专业的通识必修课。本课程系统介绍了新时代国内外形势、党和国家事业的历史性成就、历史性变革和历史性机遇挑战，培养学生准确理解党的基本理论、基本路线和基本方略的能力，树立“四个意识”，坚定“四个自信”。</w:t>
      </w:r>
    </w:p>
    <w:p w14:paraId="71123730">
      <w:pPr>
        <w:spacing w:before="62" w:beforeLines="20" w:after="62" w:afterLines="20" w:line="360" w:lineRule="auto"/>
        <w:jc w:val="left"/>
        <w:rPr>
          <w:rFonts w:ascii="Times New Roman" w:hAnsi="Times New Roman" w:eastAsia="宋体" w:cs="Times New Roman"/>
          <w:b/>
          <w:sz w:val="24"/>
        </w:rPr>
      </w:pPr>
      <w:bookmarkStart w:id="47" w:name="_Toc20008"/>
      <w:bookmarkStart w:id="48" w:name="_Toc22787"/>
      <w:bookmarkStart w:id="49" w:name="_Toc3167"/>
      <w:bookmarkStart w:id="50" w:name="_Toc3390"/>
      <w:bookmarkStart w:id="51" w:name="_Toc24737"/>
      <w:bookmarkStart w:id="52" w:name="_Toc14350"/>
      <w:bookmarkStart w:id="53" w:name="_Toc23101"/>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47"/>
      <w:bookmarkEnd w:id="48"/>
      <w:bookmarkEnd w:id="49"/>
      <w:bookmarkEnd w:id="50"/>
      <w:bookmarkEnd w:id="51"/>
      <w:bookmarkEnd w:id="52"/>
      <w:bookmarkEnd w:id="53"/>
    </w:p>
    <w:p w14:paraId="62DC2A77">
      <w:pPr>
        <w:spacing w:line="360" w:lineRule="auto"/>
        <w:ind w:firstLine="422" w:firstLineChars="200"/>
        <w:outlineLvl w:val="1"/>
        <w:rPr>
          <w:rFonts w:hint="eastAsia" w:ascii="宋体" w:hAnsi="宋体" w:eastAsia="宋体" w:cs="Times New Roman"/>
          <w:b/>
          <w:szCs w:val="21"/>
        </w:rPr>
      </w:pPr>
      <w:bookmarkStart w:id="54" w:name="_Toc21258"/>
      <w:r>
        <w:rPr>
          <w:rFonts w:hint="eastAsia" w:ascii="宋体" w:hAnsi="宋体" w:eastAsia="宋体" w:cs="Times New Roman"/>
          <w:b/>
          <w:szCs w:val="21"/>
        </w:rPr>
        <w:t>（一）课程具体目标</w:t>
      </w:r>
      <w:bookmarkEnd w:id="54"/>
    </w:p>
    <w:p w14:paraId="33560527">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bookmarkStart w:id="55" w:name="_Hlk187586849"/>
      <w:r>
        <w:rPr>
          <w:rFonts w:hint="eastAsia" w:ascii="Times New Roman" w:hAnsi="Times New Roman" w:eastAsia="宋体" w:cs="Times New Roman"/>
          <w:b/>
          <w:szCs w:val="21"/>
        </w:rPr>
        <w:t xml:space="preserve"> </w:t>
      </w:r>
      <w:bookmarkEnd w:id="55"/>
      <w:r>
        <w:rPr>
          <w:rFonts w:hint="eastAsia" w:ascii="Times New Roman" w:hAnsi="Times New Roman" w:eastAsia="宋体" w:cs="Times New Roman"/>
          <w:szCs w:val="21"/>
        </w:rPr>
        <w:t>帮助学生了解时代发展大势、基本国情和党的教育方针，引导学生积极践行社会主义核心价值观，以立德树人为己任，忠诚党的教育方针。增强人文社会科学素养和社会责任感，了解相关法律法规政策，能够依法执教，知晓作为社会主义接班人所肩负的责任和使命。</w:t>
      </w:r>
    </w:p>
    <w:p w14:paraId="06106E8E">
      <w:pPr>
        <w:spacing w:line="360" w:lineRule="auto"/>
        <w:ind w:firstLine="422" w:firstLineChars="200"/>
        <w:jc w:val="left"/>
        <w:outlineLvl w:val="1"/>
        <w:rPr>
          <w:rFonts w:ascii="Times New Roman" w:hAnsi="Times New Roman" w:eastAsia="宋体" w:cs="Times New Roman"/>
          <w:b/>
          <w:bCs/>
          <w:szCs w:val="21"/>
        </w:rPr>
      </w:pPr>
      <w:bookmarkStart w:id="56" w:name="_Toc15725"/>
      <w:r>
        <w:rPr>
          <w:rFonts w:hint="eastAsia" w:ascii="Times New Roman" w:hAnsi="Times New Roman" w:eastAsia="宋体" w:cs="Times New Roman"/>
          <w:b/>
          <w:bCs/>
          <w:szCs w:val="21"/>
        </w:rPr>
        <w:t>（二）课程目标及其对毕业要求指标点的支撑</w:t>
      </w:r>
      <w:bookmarkEnd w:id="56"/>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5748"/>
        <w:gridCol w:w="1425"/>
      </w:tblGrid>
      <w:tr w14:paraId="383F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331" w:type="dxa"/>
            <w:vAlign w:val="center"/>
          </w:tcPr>
          <w:p w14:paraId="3F6DF8B4">
            <w:pPr>
              <w:jc w:val="center"/>
              <w:rPr>
                <w:rFonts w:ascii="Times New Roman" w:hAnsi="Times New Roman" w:eastAsia="宋体" w:cs="Times New Roman"/>
                <w:b/>
                <w:bCs/>
                <w:szCs w:val="21"/>
              </w:rPr>
            </w:pPr>
            <w:bookmarkStart w:id="57" w:name="_Hlk196643264"/>
            <w:r>
              <w:rPr>
                <w:rFonts w:hint="eastAsia" w:ascii="Times New Roman" w:hAnsi="Times New Roman" w:eastAsia="宋体" w:cs="Times New Roman"/>
                <w:b/>
                <w:bCs/>
                <w:szCs w:val="21"/>
              </w:rPr>
              <w:t>毕业要求</w:t>
            </w:r>
          </w:p>
        </w:tc>
        <w:tc>
          <w:tcPr>
            <w:tcW w:w="5748" w:type="dxa"/>
            <w:vAlign w:val="center"/>
          </w:tcPr>
          <w:p w14:paraId="78EAF74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425" w:type="dxa"/>
            <w:vAlign w:val="center"/>
          </w:tcPr>
          <w:p w14:paraId="691DD34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bookmarkEnd w:id="57"/>
      <w:tr w14:paraId="023B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dxa"/>
            <w:vAlign w:val="center"/>
          </w:tcPr>
          <w:p w14:paraId="732C3C44">
            <w:pPr>
              <w:jc w:val="center"/>
              <w:rPr>
                <w:rFonts w:ascii="Times New Roman" w:hAnsi="Times New Roman" w:eastAsia="宋体" w:cs="Times New Roman"/>
                <w:szCs w:val="21"/>
              </w:rPr>
            </w:pPr>
            <w:r>
              <w:rPr>
                <w:rFonts w:hint="eastAsia" w:ascii="Times New Roman" w:hAnsi="Times New Roman" w:eastAsia="宋体" w:cs="Times New Roman"/>
                <w:b/>
                <w:bCs/>
                <w:szCs w:val="21"/>
              </w:rPr>
              <w:t>毕业要求1师德规范</w:t>
            </w:r>
          </w:p>
        </w:tc>
        <w:tc>
          <w:tcPr>
            <w:tcW w:w="5748" w:type="dxa"/>
            <w:vAlign w:val="center"/>
          </w:tcPr>
          <w:p w14:paraId="0310F32B">
            <w:pPr>
              <w:jc w:val="left"/>
              <w:rPr>
                <w:rFonts w:ascii="Times New Roman" w:hAnsi="Times New Roman" w:eastAsia="宋体" w:cs="Times New Roman"/>
                <w:szCs w:val="21"/>
              </w:rPr>
            </w:pPr>
            <w:r>
              <w:rPr>
                <w:rFonts w:hint="eastAsia" w:ascii="Times New Roman" w:hAnsi="Times New Roman" w:eastAsia="宋体" w:cs="Times New Roman"/>
                <w:b/>
                <w:szCs w:val="21"/>
              </w:rPr>
              <w:t>指标点1-1</w:t>
            </w:r>
            <w:r>
              <w:rPr>
                <w:rFonts w:hint="eastAsia" w:ascii="Times New Roman" w:hAnsi="Times New Roman" w:eastAsia="宋体" w:cs="Times New Roman"/>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425" w:type="dxa"/>
            <w:vAlign w:val="center"/>
          </w:tcPr>
          <w:p w14:paraId="3C4D72D7">
            <w:pPr>
              <w:jc w:val="center"/>
              <w:rPr>
                <w:rFonts w:ascii="Times New Roman" w:hAnsi="Times New Roman" w:eastAsia="宋体" w:cs="Times New Roman"/>
                <w:szCs w:val="21"/>
              </w:rPr>
            </w:pPr>
            <w:bookmarkStart w:id="58" w:name="OLE_LINK28"/>
            <w:r>
              <w:rPr>
                <w:rFonts w:hint="eastAsia" w:ascii="Times New Roman" w:hAnsi="Times New Roman" w:eastAsia="宋体" w:cs="Times New Roman"/>
                <w:szCs w:val="21"/>
              </w:rPr>
              <w:t>课程目标1</w:t>
            </w:r>
            <w:bookmarkEnd w:id="58"/>
          </w:p>
        </w:tc>
      </w:tr>
    </w:tbl>
    <w:p w14:paraId="3FD532AA">
      <w:pPr>
        <w:spacing w:before="62" w:beforeLines="20" w:after="62" w:afterLines="20" w:line="360" w:lineRule="auto"/>
        <w:jc w:val="left"/>
        <w:rPr>
          <w:rFonts w:ascii="Times New Roman" w:hAnsi="Times New Roman" w:eastAsia="宋体" w:cs="Times New Roman"/>
          <w:b/>
          <w:sz w:val="24"/>
        </w:rPr>
      </w:pPr>
      <w:bookmarkStart w:id="59" w:name="_Toc3787"/>
      <w:bookmarkStart w:id="60" w:name="_Toc6804"/>
      <w:bookmarkStart w:id="61" w:name="_Toc9627"/>
      <w:bookmarkStart w:id="62" w:name="_Toc10661"/>
      <w:bookmarkStart w:id="63" w:name="_Toc8834"/>
      <w:bookmarkStart w:id="64" w:name="_Toc18498"/>
      <w:bookmarkStart w:id="65" w:name="_Toc28107"/>
      <w:r>
        <w:rPr>
          <w:rFonts w:hint="eastAsia" w:ascii="Times New Roman" w:hAnsi="Times New Roman" w:eastAsia="宋体" w:cs="Times New Roman"/>
          <w:b/>
          <w:sz w:val="24"/>
        </w:rPr>
        <w:t>三、教学内容与预期学习成效</w:t>
      </w:r>
      <w:bookmarkEnd w:id="59"/>
      <w:bookmarkEnd w:id="60"/>
      <w:bookmarkEnd w:id="61"/>
      <w:bookmarkEnd w:id="62"/>
      <w:bookmarkEnd w:id="63"/>
      <w:bookmarkEnd w:id="64"/>
      <w:bookmarkEnd w:id="65"/>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2064"/>
        <w:gridCol w:w="1230"/>
        <w:gridCol w:w="2667"/>
        <w:gridCol w:w="1522"/>
        <w:gridCol w:w="636"/>
      </w:tblGrid>
      <w:tr w14:paraId="6A85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71058AA2">
            <w:pPr>
              <w:jc w:val="center"/>
              <w:rPr>
                <w:rFonts w:hint="eastAsia" w:ascii="宋体" w:hAnsi="宋体" w:eastAsia="宋体" w:cs="Times New Roman"/>
                <w:b/>
                <w:szCs w:val="21"/>
              </w:rPr>
            </w:pPr>
            <w:r>
              <w:rPr>
                <w:rFonts w:hint="eastAsia" w:ascii="宋体" w:hAnsi="宋体" w:eastAsia="宋体" w:cs="Times New Roman"/>
                <w:b/>
                <w:szCs w:val="21"/>
              </w:rPr>
              <w:t>知识</w:t>
            </w:r>
          </w:p>
          <w:p w14:paraId="7CA468C0">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064" w:type="dxa"/>
            <w:vAlign w:val="center"/>
          </w:tcPr>
          <w:p w14:paraId="4A53905A">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30" w:type="dxa"/>
            <w:vAlign w:val="center"/>
          </w:tcPr>
          <w:p w14:paraId="02D59741">
            <w:pPr>
              <w:jc w:val="center"/>
              <w:rPr>
                <w:rFonts w:hint="eastAsia" w:ascii="宋体" w:hAnsi="宋体" w:eastAsia="宋体" w:cs="Times New Roman"/>
                <w:b/>
                <w:szCs w:val="21"/>
              </w:rPr>
            </w:pPr>
            <w:r>
              <w:rPr>
                <w:rFonts w:hint="eastAsia" w:ascii="宋体" w:hAnsi="宋体" w:eastAsia="宋体" w:cs="Times New Roman"/>
                <w:b/>
                <w:szCs w:val="21"/>
              </w:rPr>
              <w:t>对应</w:t>
            </w:r>
          </w:p>
          <w:p w14:paraId="571841D3">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667" w:type="dxa"/>
            <w:vAlign w:val="center"/>
          </w:tcPr>
          <w:p w14:paraId="58A211BF">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22" w:type="dxa"/>
            <w:vAlign w:val="center"/>
          </w:tcPr>
          <w:p w14:paraId="5C8FB1EA">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636" w:type="dxa"/>
            <w:vAlign w:val="center"/>
          </w:tcPr>
          <w:p w14:paraId="0FA93C92">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51C3D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1B27AA5E">
            <w:pPr>
              <w:rPr>
                <w:rFonts w:hint="eastAsia" w:ascii="宋体" w:hAnsi="宋体" w:eastAsia="宋体" w:cs="Times New Roman"/>
                <w:szCs w:val="21"/>
              </w:rPr>
            </w:pPr>
            <w:r>
              <w:rPr>
                <w:rFonts w:hint="eastAsia" w:ascii="宋体" w:hAnsi="宋体" w:eastAsia="宋体" w:cs="Times New Roman"/>
                <w:szCs w:val="21"/>
              </w:rPr>
              <w:t>1.</w:t>
            </w:r>
            <w:r>
              <w:rPr>
                <w:rFonts w:hint="eastAsia" w:ascii="等线" w:hAnsi="等线" w:eastAsia="等线" w:cs="Times New Roman"/>
                <w:szCs w:val="22"/>
              </w:rPr>
              <w:t xml:space="preserve"> </w:t>
            </w:r>
            <w:r>
              <w:rPr>
                <w:rFonts w:hint="eastAsia" w:ascii="宋体" w:hAnsi="宋体" w:eastAsia="宋体" w:cs="Times New Roman"/>
                <w:szCs w:val="21"/>
              </w:rPr>
              <w:t>全面从严治党形势与政策专题</w:t>
            </w:r>
          </w:p>
        </w:tc>
        <w:tc>
          <w:tcPr>
            <w:tcW w:w="2064" w:type="dxa"/>
            <w:vAlign w:val="center"/>
          </w:tcPr>
          <w:p w14:paraId="5BBF979D">
            <w:pPr>
              <w:jc w:val="left"/>
              <w:rPr>
                <w:rFonts w:hint="eastAsia" w:ascii="宋体" w:hAnsi="宋体" w:eastAsia="宋体" w:cs="Times New Roman"/>
                <w:szCs w:val="21"/>
              </w:rPr>
            </w:pPr>
            <w:r>
              <w:rPr>
                <w:rFonts w:hint="eastAsia" w:ascii="宋体" w:hAnsi="宋体" w:eastAsia="宋体" w:cs="Times New Roman"/>
                <w:szCs w:val="21"/>
              </w:rPr>
              <w:t>（1）党的二十大精神</w:t>
            </w:r>
          </w:p>
          <w:p w14:paraId="6028361A">
            <w:pPr>
              <w:jc w:val="left"/>
              <w:rPr>
                <w:rFonts w:hint="eastAsia" w:ascii="宋体" w:hAnsi="宋体" w:eastAsia="宋体" w:cs="Times New Roman"/>
                <w:szCs w:val="21"/>
              </w:rPr>
            </w:pPr>
            <w:r>
              <w:rPr>
                <w:rFonts w:hint="eastAsia" w:ascii="宋体" w:hAnsi="宋体" w:eastAsia="宋体" w:cs="Times New Roman"/>
                <w:szCs w:val="21"/>
              </w:rPr>
              <w:t>（2）党的领导制度体系</w:t>
            </w:r>
          </w:p>
          <w:p w14:paraId="01B07C02">
            <w:pPr>
              <w:jc w:val="left"/>
              <w:rPr>
                <w:rFonts w:hint="eastAsia" w:ascii="宋体" w:hAnsi="宋体" w:eastAsia="宋体" w:cs="Times New Roman"/>
                <w:szCs w:val="21"/>
              </w:rPr>
            </w:pPr>
            <w:r>
              <w:rPr>
                <w:rFonts w:hint="eastAsia" w:ascii="宋体" w:hAnsi="宋体" w:eastAsia="宋体" w:cs="Times New Roman"/>
                <w:szCs w:val="21"/>
              </w:rPr>
              <w:t>（3）爱国主义精神</w:t>
            </w:r>
          </w:p>
        </w:tc>
        <w:tc>
          <w:tcPr>
            <w:tcW w:w="1230" w:type="dxa"/>
            <w:vAlign w:val="center"/>
          </w:tcPr>
          <w:p w14:paraId="6A92162A">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667" w:type="dxa"/>
            <w:vAlign w:val="center"/>
          </w:tcPr>
          <w:p w14:paraId="0169475E">
            <w:pPr>
              <w:jc w:val="left"/>
              <w:rPr>
                <w:rFonts w:hint="eastAsia" w:ascii="宋体" w:hAnsi="宋体" w:eastAsia="宋体" w:cs="Times New Roman"/>
                <w:szCs w:val="21"/>
              </w:rPr>
            </w:pPr>
            <w:r>
              <w:rPr>
                <w:rFonts w:hint="eastAsia" w:ascii="宋体" w:hAnsi="宋体" w:eastAsia="宋体" w:cs="Times New Roman"/>
                <w:szCs w:val="21"/>
              </w:rPr>
              <w:t>能够正确理解党的基本路线、重大方针和政策，把对课程的认识统一到党和国家的科学判断上和正确决策上。</w:t>
            </w:r>
          </w:p>
        </w:tc>
        <w:tc>
          <w:tcPr>
            <w:tcW w:w="1522" w:type="dxa"/>
            <w:vAlign w:val="center"/>
          </w:tcPr>
          <w:p w14:paraId="3EE3A02A">
            <w:pPr>
              <w:jc w:val="left"/>
              <w:rPr>
                <w:rFonts w:hint="eastAsia" w:ascii="宋体" w:hAnsi="宋体" w:eastAsia="宋体" w:cs="Times New Roman"/>
                <w:szCs w:val="21"/>
              </w:rPr>
            </w:pPr>
            <w:r>
              <w:rPr>
                <w:rFonts w:hint="eastAsia" w:ascii="宋体" w:hAnsi="宋体" w:eastAsia="宋体" w:cs="Times New Roman"/>
                <w:szCs w:val="21"/>
              </w:rPr>
              <w:t>1.多媒体教学</w:t>
            </w:r>
          </w:p>
          <w:p w14:paraId="3D843BE2">
            <w:pPr>
              <w:jc w:val="left"/>
              <w:rPr>
                <w:rFonts w:hint="eastAsia" w:ascii="宋体" w:hAnsi="宋体" w:eastAsia="宋体" w:cs="Times New Roman"/>
                <w:szCs w:val="21"/>
              </w:rPr>
            </w:pPr>
            <w:r>
              <w:rPr>
                <w:rFonts w:hint="eastAsia" w:ascii="宋体" w:hAnsi="宋体" w:eastAsia="宋体" w:cs="Times New Roman"/>
                <w:szCs w:val="21"/>
              </w:rPr>
              <w:t>2.单元测验</w:t>
            </w:r>
          </w:p>
          <w:p w14:paraId="14FA1D21">
            <w:pPr>
              <w:jc w:val="left"/>
              <w:rPr>
                <w:rFonts w:hint="eastAsia" w:ascii="宋体" w:hAnsi="宋体" w:eastAsia="宋体" w:cs="Times New Roman"/>
                <w:szCs w:val="21"/>
              </w:rPr>
            </w:pPr>
            <w:r>
              <w:rPr>
                <w:rFonts w:hint="eastAsia" w:ascii="宋体" w:hAnsi="宋体" w:eastAsia="宋体" w:cs="Times New Roman"/>
                <w:szCs w:val="21"/>
              </w:rPr>
              <w:t>3.互动讨论</w:t>
            </w:r>
          </w:p>
        </w:tc>
        <w:tc>
          <w:tcPr>
            <w:tcW w:w="636" w:type="dxa"/>
            <w:vAlign w:val="center"/>
          </w:tcPr>
          <w:p w14:paraId="5A3C2E2A">
            <w:pPr>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 xml:space="preserve"> </w:t>
            </w:r>
          </w:p>
        </w:tc>
      </w:tr>
      <w:tr w14:paraId="7A41E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62123BBE">
            <w:pPr>
              <w:rPr>
                <w:rFonts w:hint="eastAsia" w:ascii="宋体" w:hAnsi="宋体" w:eastAsia="宋体" w:cs="Times New Roman"/>
                <w:szCs w:val="21"/>
              </w:rPr>
            </w:pPr>
            <w:r>
              <w:rPr>
                <w:rFonts w:hint="eastAsia" w:ascii="宋体" w:hAnsi="宋体" w:eastAsia="宋体" w:cs="Times New Roman"/>
                <w:szCs w:val="21"/>
              </w:rPr>
              <w:t>2.我国经济社会发展形势与政策专题</w:t>
            </w:r>
          </w:p>
        </w:tc>
        <w:tc>
          <w:tcPr>
            <w:tcW w:w="2064" w:type="dxa"/>
            <w:vAlign w:val="center"/>
          </w:tcPr>
          <w:p w14:paraId="708ADB1C">
            <w:pPr>
              <w:jc w:val="left"/>
              <w:rPr>
                <w:rFonts w:hint="eastAsia" w:ascii="宋体" w:hAnsi="宋体" w:eastAsia="宋体" w:cs="Times New Roman"/>
                <w:szCs w:val="21"/>
              </w:rPr>
            </w:pPr>
            <w:r>
              <w:rPr>
                <w:rFonts w:hint="eastAsia" w:ascii="宋体" w:hAnsi="宋体" w:eastAsia="宋体" w:cs="Times New Roman"/>
                <w:szCs w:val="21"/>
              </w:rPr>
              <w:t>（1）脱贫攻坚战</w:t>
            </w:r>
          </w:p>
          <w:p w14:paraId="1A04C160">
            <w:pPr>
              <w:jc w:val="left"/>
              <w:rPr>
                <w:rFonts w:hint="eastAsia" w:ascii="宋体" w:hAnsi="宋体" w:eastAsia="宋体" w:cs="Times New Roman"/>
                <w:szCs w:val="21"/>
              </w:rPr>
            </w:pPr>
            <w:r>
              <w:rPr>
                <w:rFonts w:hint="eastAsia" w:ascii="宋体" w:hAnsi="宋体" w:eastAsia="宋体" w:cs="Times New Roman"/>
                <w:szCs w:val="21"/>
              </w:rPr>
              <w:t>（2）我国经济形势与发展战略</w:t>
            </w:r>
          </w:p>
          <w:p w14:paraId="437B519F">
            <w:pPr>
              <w:jc w:val="left"/>
              <w:rPr>
                <w:rFonts w:hint="eastAsia" w:ascii="宋体" w:hAnsi="宋体" w:eastAsia="宋体" w:cs="Times New Roman"/>
                <w:szCs w:val="21"/>
              </w:rPr>
            </w:pPr>
            <w:r>
              <w:rPr>
                <w:rFonts w:hint="eastAsia" w:ascii="宋体" w:hAnsi="宋体" w:eastAsia="宋体" w:cs="Times New Roman"/>
                <w:szCs w:val="21"/>
              </w:rPr>
              <w:t>（3）科技创新体制机制</w:t>
            </w:r>
          </w:p>
        </w:tc>
        <w:tc>
          <w:tcPr>
            <w:tcW w:w="1230" w:type="dxa"/>
            <w:vAlign w:val="center"/>
          </w:tcPr>
          <w:p w14:paraId="6CF7211E">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667" w:type="dxa"/>
            <w:vAlign w:val="center"/>
          </w:tcPr>
          <w:p w14:paraId="5FBE6C5D">
            <w:pPr>
              <w:jc w:val="left"/>
              <w:rPr>
                <w:rFonts w:hint="eastAsia" w:ascii="宋体" w:hAnsi="宋体" w:eastAsia="宋体" w:cs="Times New Roman"/>
                <w:szCs w:val="21"/>
              </w:rPr>
            </w:pPr>
            <w:r>
              <w:rPr>
                <w:rFonts w:hint="eastAsia" w:ascii="宋体" w:hAnsi="宋体" w:eastAsia="宋体" w:cs="Times New Roman"/>
                <w:szCs w:val="21"/>
              </w:rPr>
              <w:t>能够正确理解党的基本路线、重大方针和政策，把对课程的认识统一到党和国家的科学判断上和正确决策上。</w:t>
            </w:r>
          </w:p>
        </w:tc>
        <w:tc>
          <w:tcPr>
            <w:tcW w:w="1522" w:type="dxa"/>
            <w:vAlign w:val="center"/>
          </w:tcPr>
          <w:p w14:paraId="27501E5A">
            <w:pPr>
              <w:jc w:val="left"/>
              <w:rPr>
                <w:rFonts w:hint="eastAsia" w:ascii="宋体" w:hAnsi="宋体" w:eastAsia="宋体" w:cs="Times New Roman"/>
                <w:szCs w:val="21"/>
              </w:rPr>
            </w:pPr>
            <w:r>
              <w:rPr>
                <w:rFonts w:hint="eastAsia" w:ascii="宋体" w:hAnsi="宋体" w:eastAsia="宋体" w:cs="Times New Roman"/>
                <w:szCs w:val="21"/>
              </w:rPr>
              <w:t>1.多媒体教学</w:t>
            </w:r>
          </w:p>
          <w:p w14:paraId="47A9321F">
            <w:pPr>
              <w:jc w:val="left"/>
              <w:rPr>
                <w:rFonts w:hint="eastAsia" w:ascii="宋体" w:hAnsi="宋体" w:eastAsia="宋体" w:cs="Times New Roman"/>
                <w:szCs w:val="21"/>
              </w:rPr>
            </w:pPr>
            <w:r>
              <w:rPr>
                <w:rFonts w:hint="eastAsia" w:ascii="宋体" w:hAnsi="宋体" w:eastAsia="宋体" w:cs="Times New Roman"/>
                <w:szCs w:val="21"/>
              </w:rPr>
              <w:t>2.单元测验</w:t>
            </w:r>
          </w:p>
          <w:p w14:paraId="40F4976B">
            <w:pPr>
              <w:jc w:val="left"/>
              <w:rPr>
                <w:rFonts w:hint="eastAsia" w:ascii="宋体" w:hAnsi="宋体" w:eastAsia="宋体" w:cs="Times New Roman"/>
                <w:szCs w:val="21"/>
              </w:rPr>
            </w:pPr>
            <w:r>
              <w:rPr>
                <w:rFonts w:hint="eastAsia" w:ascii="宋体" w:hAnsi="宋体" w:eastAsia="宋体" w:cs="Times New Roman"/>
                <w:szCs w:val="21"/>
              </w:rPr>
              <w:t>3.互动讨论</w:t>
            </w:r>
          </w:p>
        </w:tc>
        <w:tc>
          <w:tcPr>
            <w:tcW w:w="636" w:type="dxa"/>
            <w:vAlign w:val="center"/>
          </w:tcPr>
          <w:p w14:paraId="0261BAA4">
            <w:pPr>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 xml:space="preserve"> </w:t>
            </w:r>
          </w:p>
        </w:tc>
      </w:tr>
      <w:tr w14:paraId="2E65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4D24E942">
            <w:pPr>
              <w:rPr>
                <w:rFonts w:hint="eastAsia" w:ascii="宋体" w:hAnsi="宋体" w:eastAsia="宋体" w:cs="Times New Roman"/>
                <w:szCs w:val="21"/>
              </w:rPr>
            </w:pPr>
            <w:r>
              <w:rPr>
                <w:rFonts w:hint="eastAsia" w:ascii="宋体" w:hAnsi="宋体" w:eastAsia="宋体" w:cs="Times New Roman"/>
                <w:szCs w:val="21"/>
              </w:rPr>
              <w:t>3.港澳台工作形势与政策专题</w:t>
            </w:r>
          </w:p>
        </w:tc>
        <w:tc>
          <w:tcPr>
            <w:tcW w:w="2064" w:type="dxa"/>
            <w:vAlign w:val="center"/>
          </w:tcPr>
          <w:p w14:paraId="1C155EEC">
            <w:pPr>
              <w:jc w:val="left"/>
              <w:rPr>
                <w:rFonts w:hint="eastAsia" w:ascii="宋体" w:hAnsi="宋体" w:eastAsia="宋体" w:cs="Times New Roman"/>
                <w:szCs w:val="21"/>
              </w:rPr>
            </w:pPr>
            <w:r>
              <w:rPr>
                <w:rFonts w:hint="eastAsia" w:ascii="宋体" w:hAnsi="宋体" w:eastAsia="宋体" w:cs="Times New Roman"/>
                <w:szCs w:val="21"/>
              </w:rPr>
              <w:t>（1）“一国两制”“港人治港”“澳人治澳”</w:t>
            </w:r>
          </w:p>
          <w:p w14:paraId="7AE74452">
            <w:pPr>
              <w:jc w:val="left"/>
              <w:rPr>
                <w:rFonts w:hint="eastAsia" w:ascii="宋体" w:hAnsi="宋体" w:eastAsia="宋体" w:cs="Times New Roman"/>
                <w:szCs w:val="21"/>
              </w:rPr>
            </w:pPr>
            <w:r>
              <w:rPr>
                <w:rFonts w:hint="eastAsia" w:ascii="宋体" w:hAnsi="宋体" w:eastAsia="宋体" w:cs="Times New Roman"/>
                <w:szCs w:val="21"/>
              </w:rPr>
              <w:t>（2）高度自治的方针</w:t>
            </w:r>
          </w:p>
          <w:p w14:paraId="1534EDA9">
            <w:pPr>
              <w:jc w:val="left"/>
              <w:rPr>
                <w:rFonts w:hint="eastAsia" w:ascii="宋体" w:hAnsi="宋体" w:eastAsia="宋体" w:cs="Times New Roman"/>
                <w:szCs w:val="21"/>
              </w:rPr>
            </w:pPr>
            <w:r>
              <w:rPr>
                <w:rFonts w:hint="eastAsia" w:ascii="宋体" w:hAnsi="宋体" w:eastAsia="宋体" w:cs="Times New Roman"/>
                <w:szCs w:val="21"/>
              </w:rPr>
              <w:t>（3）两岸关系发展大势</w:t>
            </w:r>
          </w:p>
        </w:tc>
        <w:tc>
          <w:tcPr>
            <w:tcW w:w="1230" w:type="dxa"/>
            <w:vAlign w:val="center"/>
          </w:tcPr>
          <w:p w14:paraId="2A8E2737">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667" w:type="dxa"/>
            <w:vAlign w:val="center"/>
          </w:tcPr>
          <w:p w14:paraId="2A833303">
            <w:pPr>
              <w:jc w:val="left"/>
              <w:rPr>
                <w:rFonts w:hint="eastAsia" w:ascii="宋体" w:hAnsi="宋体" w:eastAsia="宋体" w:cs="Times New Roman"/>
                <w:szCs w:val="21"/>
              </w:rPr>
            </w:pPr>
            <w:r>
              <w:rPr>
                <w:rFonts w:hint="eastAsia" w:ascii="宋体" w:hAnsi="宋体" w:eastAsia="宋体" w:cs="Times New Roman"/>
                <w:szCs w:val="21"/>
              </w:rPr>
              <w:t>能够深刻认识中国特色社会主义制度的显著优势，坚定“一国两制”制度自信；充分了解对台工作的新局势新气象。</w:t>
            </w:r>
          </w:p>
        </w:tc>
        <w:tc>
          <w:tcPr>
            <w:tcW w:w="1522" w:type="dxa"/>
            <w:vAlign w:val="center"/>
          </w:tcPr>
          <w:p w14:paraId="0648BF41">
            <w:pPr>
              <w:jc w:val="left"/>
              <w:rPr>
                <w:rFonts w:hint="eastAsia" w:ascii="宋体" w:hAnsi="宋体" w:eastAsia="宋体" w:cs="Times New Roman"/>
                <w:szCs w:val="21"/>
              </w:rPr>
            </w:pPr>
            <w:r>
              <w:rPr>
                <w:rFonts w:hint="eastAsia" w:ascii="宋体" w:hAnsi="宋体" w:eastAsia="宋体" w:cs="Times New Roman"/>
                <w:szCs w:val="21"/>
              </w:rPr>
              <w:t>1.多媒体教学</w:t>
            </w:r>
          </w:p>
          <w:p w14:paraId="2FDDC6D4">
            <w:pPr>
              <w:jc w:val="left"/>
              <w:rPr>
                <w:rFonts w:hint="eastAsia" w:ascii="宋体" w:hAnsi="宋体" w:eastAsia="宋体" w:cs="Times New Roman"/>
                <w:szCs w:val="21"/>
              </w:rPr>
            </w:pPr>
            <w:r>
              <w:rPr>
                <w:rFonts w:hint="eastAsia" w:ascii="宋体" w:hAnsi="宋体" w:eastAsia="宋体" w:cs="Times New Roman"/>
                <w:szCs w:val="21"/>
              </w:rPr>
              <w:t>2.单元测验</w:t>
            </w:r>
          </w:p>
          <w:p w14:paraId="6A217EEA">
            <w:pPr>
              <w:jc w:val="left"/>
              <w:rPr>
                <w:rFonts w:hint="eastAsia" w:ascii="宋体" w:hAnsi="宋体" w:eastAsia="宋体" w:cs="Times New Roman"/>
                <w:szCs w:val="21"/>
              </w:rPr>
            </w:pPr>
            <w:r>
              <w:rPr>
                <w:rFonts w:hint="eastAsia" w:ascii="宋体" w:hAnsi="宋体" w:eastAsia="宋体" w:cs="Times New Roman"/>
                <w:szCs w:val="21"/>
              </w:rPr>
              <w:t>3.互动讨论</w:t>
            </w:r>
          </w:p>
        </w:tc>
        <w:tc>
          <w:tcPr>
            <w:tcW w:w="636" w:type="dxa"/>
            <w:vAlign w:val="center"/>
          </w:tcPr>
          <w:p w14:paraId="220ED74A">
            <w:pPr>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 xml:space="preserve"> </w:t>
            </w:r>
          </w:p>
        </w:tc>
      </w:tr>
      <w:tr w14:paraId="64F5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9" w:type="dxa"/>
            <w:vAlign w:val="center"/>
          </w:tcPr>
          <w:p w14:paraId="15EECE2A">
            <w:pPr>
              <w:rPr>
                <w:rFonts w:hint="eastAsia" w:ascii="宋体" w:hAnsi="宋体" w:eastAsia="宋体" w:cs="Times New Roman"/>
                <w:szCs w:val="21"/>
              </w:rPr>
            </w:pPr>
            <w:r>
              <w:rPr>
                <w:rFonts w:hint="eastAsia" w:ascii="宋体" w:hAnsi="宋体" w:eastAsia="宋体" w:cs="Times New Roman"/>
                <w:szCs w:val="21"/>
              </w:rPr>
              <w:t>4.国际形势与政策专题</w:t>
            </w:r>
          </w:p>
        </w:tc>
        <w:tc>
          <w:tcPr>
            <w:tcW w:w="2064" w:type="dxa"/>
            <w:vAlign w:val="center"/>
          </w:tcPr>
          <w:p w14:paraId="0567EFDD">
            <w:pPr>
              <w:jc w:val="left"/>
              <w:rPr>
                <w:rFonts w:hint="eastAsia" w:ascii="宋体" w:hAnsi="宋体" w:eastAsia="宋体" w:cs="Times New Roman"/>
                <w:szCs w:val="21"/>
              </w:rPr>
            </w:pPr>
            <w:r>
              <w:rPr>
                <w:rFonts w:hint="eastAsia" w:ascii="宋体" w:hAnsi="宋体" w:eastAsia="宋体" w:cs="Times New Roman"/>
                <w:szCs w:val="21"/>
              </w:rPr>
              <w:t>（1）世界百年未有之大变局与新时代中国特色大国外交</w:t>
            </w:r>
          </w:p>
          <w:p w14:paraId="7F699326">
            <w:pPr>
              <w:jc w:val="left"/>
              <w:rPr>
                <w:rFonts w:hint="eastAsia" w:ascii="宋体" w:hAnsi="宋体" w:eastAsia="宋体" w:cs="Times New Roman"/>
                <w:szCs w:val="21"/>
              </w:rPr>
            </w:pPr>
            <w:r>
              <w:rPr>
                <w:rFonts w:hint="eastAsia" w:ascii="宋体" w:hAnsi="宋体" w:eastAsia="宋体" w:cs="Times New Roman"/>
                <w:szCs w:val="21"/>
              </w:rPr>
              <w:t>（2）开放型世界经济</w:t>
            </w:r>
          </w:p>
        </w:tc>
        <w:tc>
          <w:tcPr>
            <w:tcW w:w="1230" w:type="dxa"/>
            <w:vAlign w:val="center"/>
          </w:tcPr>
          <w:p w14:paraId="103F1CE8">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667" w:type="dxa"/>
            <w:vAlign w:val="center"/>
          </w:tcPr>
          <w:p w14:paraId="6044ACBF">
            <w:pPr>
              <w:jc w:val="left"/>
              <w:rPr>
                <w:rFonts w:hint="eastAsia" w:ascii="宋体" w:hAnsi="宋体" w:eastAsia="宋体" w:cs="Times New Roman"/>
                <w:szCs w:val="21"/>
              </w:rPr>
            </w:pPr>
            <w:r>
              <w:rPr>
                <w:rFonts w:hint="eastAsia" w:ascii="宋体" w:hAnsi="宋体" w:eastAsia="宋体" w:cs="Times New Roman"/>
                <w:szCs w:val="21"/>
              </w:rPr>
              <w:t>能够掌握正确分析形势和理解政策的能力，特别是对国际重大事件的分析和判断能力，进一步坚定中国特色社会主义制度自信。</w:t>
            </w:r>
          </w:p>
        </w:tc>
        <w:tc>
          <w:tcPr>
            <w:tcW w:w="1522" w:type="dxa"/>
            <w:vAlign w:val="center"/>
          </w:tcPr>
          <w:p w14:paraId="45A40BA1">
            <w:pPr>
              <w:jc w:val="left"/>
              <w:rPr>
                <w:rFonts w:hint="eastAsia" w:ascii="宋体" w:hAnsi="宋体" w:eastAsia="宋体" w:cs="Times New Roman"/>
                <w:szCs w:val="21"/>
              </w:rPr>
            </w:pPr>
            <w:r>
              <w:rPr>
                <w:rFonts w:hint="eastAsia" w:ascii="宋体" w:hAnsi="宋体" w:eastAsia="宋体" w:cs="Times New Roman"/>
                <w:szCs w:val="21"/>
              </w:rPr>
              <w:t>1.多媒体教学</w:t>
            </w:r>
          </w:p>
          <w:p w14:paraId="415EFD13">
            <w:pPr>
              <w:jc w:val="left"/>
              <w:rPr>
                <w:rFonts w:hint="eastAsia" w:ascii="宋体" w:hAnsi="宋体" w:eastAsia="宋体" w:cs="Times New Roman"/>
                <w:szCs w:val="21"/>
              </w:rPr>
            </w:pPr>
            <w:r>
              <w:rPr>
                <w:rFonts w:hint="eastAsia" w:ascii="宋体" w:hAnsi="宋体" w:eastAsia="宋体" w:cs="Times New Roman"/>
                <w:szCs w:val="21"/>
              </w:rPr>
              <w:t>2.单元测验</w:t>
            </w:r>
          </w:p>
          <w:p w14:paraId="741F96B8">
            <w:pPr>
              <w:jc w:val="left"/>
              <w:rPr>
                <w:rFonts w:hint="eastAsia" w:ascii="宋体" w:hAnsi="宋体" w:eastAsia="宋体" w:cs="Times New Roman"/>
                <w:szCs w:val="21"/>
              </w:rPr>
            </w:pPr>
            <w:r>
              <w:rPr>
                <w:rFonts w:hint="eastAsia" w:ascii="宋体" w:hAnsi="宋体" w:eastAsia="宋体" w:cs="Times New Roman"/>
                <w:szCs w:val="21"/>
              </w:rPr>
              <w:t>3.互动讨论</w:t>
            </w:r>
          </w:p>
        </w:tc>
        <w:tc>
          <w:tcPr>
            <w:tcW w:w="636" w:type="dxa"/>
            <w:vAlign w:val="center"/>
          </w:tcPr>
          <w:p w14:paraId="7AE6025B">
            <w:pPr>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 xml:space="preserve"> </w:t>
            </w:r>
          </w:p>
        </w:tc>
      </w:tr>
    </w:tbl>
    <w:p w14:paraId="351B98AC">
      <w:pPr>
        <w:spacing w:before="62" w:beforeLines="20" w:after="62" w:afterLines="20" w:line="360" w:lineRule="auto"/>
        <w:jc w:val="left"/>
        <w:rPr>
          <w:rFonts w:ascii="Times New Roman" w:hAnsi="Times New Roman" w:eastAsia="宋体" w:cs="Times New Roman"/>
          <w:b/>
          <w:sz w:val="24"/>
        </w:rPr>
      </w:pPr>
      <w:bookmarkStart w:id="66" w:name="_Toc23044"/>
      <w:bookmarkStart w:id="67" w:name="_Toc12714"/>
      <w:bookmarkStart w:id="68" w:name="_Toc9019"/>
      <w:bookmarkStart w:id="69" w:name="_Toc31964"/>
      <w:bookmarkStart w:id="70" w:name="_Toc15382"/>
      <w:bookmarkStart w:id="71" w:name="_Toc2883"/>
      <w:bookmarkStart w:id="72" w:name="_Toc27070"/>
      <w:r>
        <w:rPr>
          <w:rFonts w:hint="eastAsia" w:ascii="Times New Roman" w:hAnsi="Times New Roman" w:eastAsia="宋体" w:cs="Times New Roman"/>
          <w:b/>
          <w:sz w:val="24"/>
        </w:rPr>
        <w:t>四、目标评价与成绩评定</w:t>
      </w:r>
      <w:bookmarkEnd w:id="66"/>
      <w:bookmarkEnd w:id="67"/>
      <w:bookmarkEnd w:id="68"/>
      <w:bookmarkEnd w:id="69"/>
      <w:bookmarkEnd w:id="70"/>
      <w:bookmarkEnd w:id="71"/>
      <w:bookmarkEnd w:id="72"/>
    </w:p>
    <w:p w14:paraId="7EBCD2DA">
      <w:pPr>
        <w:spacing w:line="360" w:lineRule="auto"/>
        <w:ind w:firstLine="420"/>
        <w:jc w:val="left"/>
        <w:outlineLvl w:val="1"/>
        <w:rPr>
          <w:rFonts w:ascii="Times New Roman" w:hAnsi="Times New Roman" w:eastAsia="宋体" w:cs="Times New Roman"/>
          <w:b/>
          <w:szCs w:val="21"/>
        </w:rPr>
      </w:pPr>
      <w:bookmarkStart w:id="73" w:name="_Toc16107"/>
      <w:r>
        <w:rPr>
          <w:rFonts w:hint="eastAsia" w:ascii="Times New Roman" w:hAnsi="Times New Roman" w:eastAsia="宋体" w:cs="Times New Roman"/>
          <w:b/>
          <w:szCs w:val="21"/>
        </w:rPr>
        <w:t>（一）课程目标评价方式</w:t>
      </w:r>
      <w:bookmarkEnd w:id="73"/>
    </w:p>
    <w:p w14:paraId="2CF1E34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71"/>
        <w:gridCol w:w="1985"/>
        <w:gridCol w:w="1984"/>
        <w:gridCol w:w="1418"/>
      </w:tblGrid>
      <w:tr w14:paraId="5A9A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56A87B19">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840" w:type="dxa"/>
            <w:gridSpan w:val="3"/>
            <w:vAlign w:val="center"/>
          </w:tcPr>
          <w:p w14:paraId="18874E4B">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418" w:type="dxa"/>
            <w:vMerge w:val="restart"/>
            <w:vAlign w:val="center"/>
          </w:tcPr>
          <w:p w14:paraId="19D34F6B">
            <w:pPr>
              <w:jc w:val="center"/>
              <w:rPr>
                <w:rFonts w:hint="eastAsia" w:ascii="宋体" w:hAnsi="宋体" w:eastAsia="宋体" w:cs="Times New Roman"/>
                <w:szCs w:val="21"/>
              </w:rPr>
            </w:pPr>
            <w:r>
              <w:rPr>
                <w:rFonts w:hint="eastAsia" w:ascii="宋体" w:hAnsi="宋体" w:eastAsia="宋体" w:cs="Times New Roman"/>
                <w:szCs w:val="21"/>
              </w:rPr>
              <w:t>分值</w:t>
            </w:r>
          </w:p>
        </w:tc>
      </w:tr>
      <w:tr w14:paraId="2BB2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0DCA471">
            <w:pPr>
              <w:jc w:val="center"/>
              <w:rPr>
                <w:rFonts w:hint="eastAsia" w:ascii="宋体" w:hAnsi="宋体" w:eastAsia="宋体" w:cs="Times New Roman"/>
                <w:szCs w:val="21"/>
              </w:rPr>
            </w:pPr>
          </w:p>
        </w:tc>
        <w:tc>
          <w:tcPr>
            <w:tcW w:w="1871" w:type="dxa"/>
            <w:vAlign w:val="center"/>
          </w:tcPr>
          <w:p w14:paraId="5B9D7CBC">
            <w:pPr>
              <w:jc w:val="center"/>
              <w:rPr>
                <w:rFonts w:hint="eastAsia" w:ascii="宋体" w:hAnsi="宋体" w:eastAsia="宋体" w:cs="Times New Roman"/>
                <w:szCs w:val="21"/>
              </w:rPr>
            </w:pPr>
            <w:r>
              <w:rPr>
                <w:rFonts w:hint="eastAsia" w:ascii="宋体" w:hAnsi="宋体" w:eastAsia="宋体" w:cs="Times New Roman"/>
                <w:szCs w:val="21"/>
              </w:rPr>
              <w:t>平时表现成绩</w:t>
            </w:r>
          </w:p>
        </w:tc>
        <w:tc>
          <w:tcPr>
            <w:tcW w:w="1985" w:type="dxa"/>
            <w:vAlign w:val="center"/>
          </w:tcPr>
          <w:p w14:paraId="43C71189">
            <w:pPr>
              <w:jc w:val="center"/>
              <w:rPr>
                <w:rFonts w:hint="eastAsia" w:ascii="宋体" w:hAnsi="宋体" w:eastAsia="宋体" w:cs="Times New Roman"/>
                <w:szCs w:val="21"/>
              </w:rPr>
            </w:pPr>
            <w:r>
              <w:rPr>
                <w:rFonts w:hint="eastAsia" w:ascii="宋体" w:hAnsi="宋体" w:eastAsia="宋体" w:cs="Times New Roman"/>
                <w:szCs w:val="21"/>
              </w:rPr>
              <w:t>作业成绩</w:t>
            </w:r>
          </w:p>
        </w:tc>
        <w:tc>
          <w:tcPr>
            <w:tcW w:w="1984" w:type="dxa"/>
            <w:vAlign w:val="center"/>
          </w:tcPr>
          <w:p w14:paraId="46F89B6C">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418" w:type="dxa"/>
            <w:vMerge w:val="continue"/>
            <w:vAlign w:val="center"/>
          </w:tcPr>
          <w:p w14:paraId="4A6F523B">
            <w:pPr>
              <w:jc w:val="center"/>
              <w:rPr>
                <w:rFonts w:hint="eastAsia" w:ascii="宋体" w:hAnsi="宋体" w:eastAsia="宋体" w:cs="Times New Roman"/>
                <w:szCs w:val="21"/>
              </w:rPr>
            </w:pPr>
          </w:p>
        </w:tc>
      </w:tr>
      <w:tr w14:paraId="0D92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6FF7751">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71" w:type="dxa"/>
            <w:vAlign w:val="center"/>
          </w:tcPr>
          <w:p w14:paraId="41915C28">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85" w:type="dxa"/>
            <w:vAlign w:val="center"/>
          </w:tcPr>
          <w:p w14:paraId="00893C95">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84" w:type="dxa"/>
            <w:vAlign w:val="center"/>
          </w:tcPr>
          <w:p w14:paraId="2BE5CFA3">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8" w:type="dxa"/>
            <w:vAlign w:val="center"/>
          </w:tcPr>
          <w:p w14:paraId="2A5B59D6">
            <w:pPr>
              <w:jc w:val="center"/>
              <w:rPr>
                <w:rFonts w:hint="eastAsia" w:ascii="宋体" w:hAnsi="宋体" w:eastAsia="宋体" w:cs="Times New Roman"/>
                <w:szCs w:val="21"/>
              </w:rPr>
            </w:pPr>
            <w:r>
              <w:rPr>
                <w:rFonts w:hint="eastAsia" w:ascii="宋体" w:hAnsi="宋体" w:eastAsia="宋体" w:cs="Times New Roman"/>
                <w:szCs w:val="21"/>
              </w:rPr>
              <w:t>100</w:t>
            </w:r>
          </w:p>
        </w:tc>
      </w:tr>
      <w:tr w14:paraId="4A12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EA91708">
            <w:pPr>
              <w:jc w:val="center"/>
              <w:rPr>
                <w:rFonts w:hint="eastAsia" w:ascii="宋体" w:hAnsi="宋体" w:eastAsia="宋体" w:cs="Times New Roman"/>
                <w:szCs w:val="21"/>
              </w:rPr>
            </w:pPr>
            <w:r>
              <w:rPr>
                <w:rFonts w:hint="eastAsia" w:ascii="宋体" w:hAnsi="宋体" w:eastAsia="宋体" w:cs="Times New Roman"/>
                <w:szCs w:val="21"/>
              </w:rPr>
              <w:t>合计</w:t>
            </w:r>
          </w:p>
        </w:tc>
        <w:tc>
          <w:tcPr>
            <w:tcW w:w="1871" w:type="dxa"/>
            <w:vAlign w:val="center"/>
          </w:tcPr>
          <w:p w14:paraId="77E554E6">
            <w:pPr>
              <w:jc w:val="center"/>
              <w:rPr>
                <w:rFonts w:hint="eastAsia" w:ascii="宋体" w:hAnsi="宋体" w:eastAsia="宋体" w:cs="Times New Roman"/>
                <w:szCs w:val="21"/>
              </w:rPr>
            </w:pPr>
          </w:p>
        </w:tc>
        <w:tc>
          <w:tcPr>
            <w:tcW w:w="1985" w:type="dxa"/>
            <w:vAlign w:val="center"/>
          </w:tcPr>
          <w:p w14:paraId="33F6EC8C">
            <w:pPr>
              <w:jc w:val="center"/>
              <w:rPr>
                <w:rFonts w:hint="eastAsia" w:ascii="宋体" w:hAnsi="宋体" w:eastAsia="宋体" w:cs="Times New Roman"/>
                <w:szCs w:val="21"/>
              </w:rPr>
            </w:pPr>
          </w:p>
        </w:tc>
        <w:tc>
          <w:tcPr>
            <w:tcW w:w="1984" w:type="dxa"/>
            <w:vAlign w:val="center"/>
          </w:tcPr>
          <w:p w14:paraId="22DD8D67">
            <w:pPr>
              <w:jc w:val="center"/>
              <w:rPr>
                <w:rFonts w:hint="eastAsia" w:ascii="宋体" w:hAnsi="宋体" w:eastAsia="宋体" w:cs="Times New Roman"/>
                <w:szCs w:val="21"/>
              </w:rPr>
            </w:pPr>
          </w:p>
        </w:tc>
        <w:tc>
          <w:tcPr>
            <w:tcW w:w="1418" w:type="dxa"/>
            <w:vAlign w:val="center"/>
          </w:tcPr>
          <w:p w14:paraId="28867A64">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33F81E2D">
      <w:pPr>
        <w:spacing w:before="156" w:beforeLines="50" w:line="360" w:lineRule="auto"/>
        <w:ind w:firstLine="420"/>
        <w:jc w:val="left"/>
        <w:outlineLvl w:val="1"/>
        <w:rPr>
          <w:rFonts w:ascii="Times New Roman" w:hAnsi="Times New Roman" w:eastAsia="宋体" w:cs="Times New Roman"/>
          <w:b/>
          <w:szCs w:val="21"/>
        </w:rPr>
      </w:pPr>
      <w:bookmarkStart w:id="74" w:name="_Toc26076"/>
      <w:r>
        <w:rPr>
          <w:rFonts w:hint="eastAsia" w:ascii="Times New Roman" w:hAnsi="Times New Roman" w:eastAsia="宋体" w:cs="Times New Roman"/>
          <w:b/>
          <w:szCs w:val="21"/>
        </w:rPr>
        <w:t>（二）成绩评定细则</w:t>
      </w:r>
      <w:bookmarkEnd w:id="74"/>
    </w:p>
    <w:p w14:paraId="50AA719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6569"/>
        <w:gridCol w:w="706"/>
      </w:tblGrid>
      <w:tr w14:paraId="18BD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Align w:val="center"/>
          </w:tcPr>
          <w:p w14:paraId="35D4DED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569" w:type="dxa"/>
            <w:vAlign w:val="center"/>
          </w:tcPr>
          <w:p w14:paraId="427592E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392907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575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Align w:val="center"/>
          </w:tcPr>
          <w:p w14:paraId="31621F29">
            <w:pPr>
              <w:jc w:val="center"/>
              <w:rPr>
                <w:rFonts w:ascii="Times New Roman" w:hAnsi="Times New Roman" w:eastAsia="宋体" w:cs="Times New Roman"/>
                <w:szCs w:val="21"/>
              </w:rPr>
            </w:pPr>
            <w:r>
              <w:rPr>
                <w:rFonts w:hint="eastAsia" w:ascii="Times New Roman" w:hAnsi="Times New Roman" w:eastAsia="宋体" w:cs="Times New Roman"/>
                <w:szCs w:val="21"/>
              </w:rPr>
              <w:t>平时表现</w:t>
            </w:r>
          </w:p>
        </w:tc>
        <w:tc>
          <w:tcPr>
            <w:tcW w:w="6569" w:type="dxa"/>
            <w:vAlign w:val="center"/>
          </w:tcPr>
          <w:p w14:paraId="1C5240FD">
            <w:pPr>
              <w:jc w:val="left"/>
              <w:rPr>
                <w:rFonts w:ascii="Times New Roman" w:hAnsi="Times New Roman" w:eastAsia="宋体" w:cs="Times New Roman"/>
                <w:szCs w:val="21"/>
              </w:rPr>
            </w:pPr>
            <w:r>
              <w:rPr>
                <w:rFonts w:hint="eastAsia" w:ascii="Times New Roman" w:hAnsi="Times New Roman" w:eastAsia="宋体" w:cs="Times New Roman"/>
                <w:szCs w:val="21"/>
              </w:rPr>
              <w:t>通过网络学习、听课表现、学习互动等情况，考核对形势与政策专题理论的理解和运用</w:t>
            </w:r>
          </w:p>
        </w:tc>
        <w:tc>
          <w:tcPr>
            <w:tcW w:w="0" w:type="auto"/>
            <w:vAlign w:val="center"/>
          </w:tcPr>
          <w:p w14:paraId="1A93DC44">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6D20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Align w:val="center"/>
          </w:tcPr>
          <w:p w14:paraId="041C4240">
            <w:pPr>
              <w:jc w:val="center"/>
              <w:rPr>
                <w:rFonts w:ascii="Times New Roman" w:hAnsi="Times New Roman" w:eastAsia="宋体" w:cs="Times New Roman"/>
                <w:szCs w:val="21"/>
              </w:rPr>
            </w:pPr>
            <w:r>
              <w:rPr>
                <w:rFonts w:hint="eastAsia" w:ascii="Times New Roman" w:hAnsi="Times New Roman" w:eastAsia="宋体" w:cs="Times New Roman"/>
                <w:szCs w:val="21"/>
              </w:rPr>
              <w:t>作业</w:t>
            </w:r>
          </w:p>
        </w:tc>
        <w:tc>
          <w:tcPr>
            <w:tcW w:w="6569" w:type="dxa"/>
            <w:vAlign w:val="center"/>
          </w:tcPr>
          <w:p w14:paraId="4B26337E">
            <w:pPr>
              <w:widowControl/>
              <w:jc w:val="left"/>
              <w:rPr>
                <w:rFonts w:ascii="Times New Roman" w:hAnsi="Times New Roman" w:eastAsia="宋体" w:cs="Times New Roman"/>
                <w:szCs w:val="21"/>
              </w:rPr>
            </w:pPr>
            <w:r>
              <w:rPr>
                <w:rFonts w:hint="eastAsia" w:ascii="宋体" w:hAnsi="宋体" w:eastAsia="宋体" w:cs="宋体"/>
                <w:kern w:val="0"/>
                <w:szCs w:val="21"/>
                <w:lang w:bidi="ar"/>
              </w:rPr>
              <w:t>通过每个专题的单元测验考核对课程理论的理解和运用</w:t>
            </w:r>
          </w:p>
        </w:tc>
        <w:tc>
          <w:tcPr>
            <w:tcW w:w="0" w:type="auto"/>
            <w:vAlign w:val="center"/>
          </w:tcPr>
          <w:p w14:paraId="139242FD">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4EF1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7" w:type="dxa"/>
            <w:vAlign w:val="center"/>
          </w:tcPr>
          <w:p w14:paraId="1A5BD499">
            <w:pPr>
              <w:jc w:val="cente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569" w:type="dxa"/>
            <w:vAlign w:val="center"/>
          </w:tcPr>
          <w:p w14:paraId="4FF7C1D4">
            <w:pPr>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单选题</w:t>
            </w:r>
            <w:r>
              <w:rPr>
                <w:rFonts w:ascii="Times New Roman" w:hAnsi="Times New Roman" w:eastAsia="宋体" w:cs="Times New Roman"/>
                <w:szCs w:val="21"/>
              </w:rPr>
              <w:t>、</w:t>
            </w:r>
            <w:r>
              <w:rPr>
                <w:rFonts w:hint="eastAsia" w:ascii="Times New Roman" w:hAnsi="Times New Roman" w:eastAsia="宋体" w:cs="Times New Roman"/>
                <w:szCs w:val="21"/>
              </w:rPr>
              <w:t>多选题</w:t>
            </w:r>
            <w:r>
              <w:rPr>
                <w:rFonts w:ascii="Times New Roman" w:hAnsi="Times New Roman" w:eastAsia="宋体" w:cs="Times New Roman"/>
                <w:szCs w:val="21"/>
              </w:rPr>
              <w:t>、</w:t>
            </w:r>
            <w:r>
              <w:rPr>
                <w:rFonts w:hint="eastAsia" w:ascii="Times New Roman" w:hAnsi="Times New Roman" w:eastAsia="宋体" w:cs="Times New Roman"/>
                <w:szCs w:val="21"/>
              </w:rPr>
              <w:t>填空题</w:t>
            </w:r>
            <w:r>
              <w:rPr>
                <w:rFonts w:ascii="Times New Roman" w:hAnsi="Times New Roman" w:eastAsia="宋体" w:cs="Times New Roman"/>
                <w:szCs w:val="21"/>
              </w:rPr>
              <w:t>，以卷面成绩的</w:t>
            </w:r>
            <w:r>
              <w:rPr>
                <w:rFonts w:hint="eastAsia" w:ascii="Times New Roman" w:hAnsi="Times New Roman" w:eastAsia="宋体" w:cs="Times New Roman"/>
                <w:szCs w:val="21"/>
              </w:rPr>
              <w:t>4</w:t>
            </w:r>
            <w:r>
              <w:rPr>
                <w:rFonts w:ascii="Times New Roman" w:hAnsi="Times New Roman" w:eastAsia="宋体" w:cs="Times New Roman"/>
                <w:szCs w:val="21"/>
              </w:rPr>
              <w:t>0%计入课程总成绩。</w:t>
            </w:r>
            <w:r>
              <w:rPr>
                <w:rFonts w:hint="eastAsia" w:ascii="Times New Roman" w:hAnsi="Times New Roman" w:eastAsia="宋体" w:cs="Times New Roman"/>
                <w:szCs w:val="21"/>
              </w:rPr>
              <w:t>主要考核学生对新时代国内外形势的认识；对新时期党和国家事业的历史性成就、历史性变革、历史性机遇和挑战的认识。</w:t>
            </w:r>
          </w:p>
        </w:tc>
        <w:tc>
          <w:tcPr>
            <w:tcW w:w="0" w:type="auto"/>
            <w:vAlign w:val="center"/>
          </w:tcPr>
          <w:p w14:paraId="6ED3D075">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0855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47" w:type="dxa"/>
            <w:vAlign w:val="center"/>
          </w:tcPr>
          <w:p w14:paraId="10CC7AD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569" w:type="dxa"/>
            <w:vAlign w:val="center"/>
          </w:tcPr>
          <w:p w14:paraId="0F910683">
            <w:pPr>
              <w:jc w:val="left"/>
              <w:rPr>
                <w:rFonts w:ascii="Times New Roman" w:hAnsi="Times New Roman" w:eastAsia="宋体" w:cs="Times New Roman"/>
                <w:szCs w:val="21"/>
              </w:rPr>
            </w:pPr>
          </w:p>
        </w:tc>
        <w:tc>
          <w:tcPr>
            <w:tcW w:w="0" w:type="auto"/>
            <w:vAlign w:val="center"/>
          </w:tcPr>
          <w:p w14:paraId="49B38DD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1D4927A">
      <w:pPr>
        <w:spacing w:line="360" w:lineRule="auto"/>
        <w:ind w:firstLine="412"/>
        <w:jc w:val="left"/>
        <w:outlineLvl w:val="1"/>
        <w:rPr>
          <w:rFonts w:hint="eastAsia" w:ascii="宋体" w:hAnsi="宋体" w:eastAsia="宋体" w:cs="Times New Roman"/>
          <w:b/>
          <w:szCs w:val="21"/>
        </w:rPr>
      </w:pPr>
      <w:bookmarkStart w:id="75" w:name="_Toc17311"/>
      <w:r>
        <w:rPr>
          <w:rFonts w:hint="eastAsia" w:ascii="宋体" w:hAnsi="宋体" w:eastAsia="宋体" w:cs="Times New Roman"/>
          <w:b/>
          <w:szCs w:val="21"/>
        </w:rPr>
        <w:t>（三）课程目标达成度计算方法</w:t>
      </w:r>
      <w:bookmarkEnd w:id="75"/>
    </w:p>
    <w:p w14:paraId="33043022">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42B74BB6">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30" o:spt="75" type="#_x0000_t75" style="height:24.75pt;width:404.25pt;" o:ole="t" filled="f" o:preferrelative="t" stroked="f" coordsize="21600,21600">
            <v:path/>
            <v:fill on="f" focussize="0,0"/>
            <v:stroke on="f" joinstyle="miter"/>
            <v:imagedata r:id="rId12" o:title=""/>
            <o:lock v:ext="edit" aspectratio="t"/>
            <w10:wrap type="none"/>
            <w10:anchorlock/>
          </v:shape>
          <o:OLEObject Type="Embed" ProgID="Equation.3" ShapeID="_x0000_i1030" DrawAspect="Content" ObjectID="_1468075730" r:id="rId17">
            <o:LockedField>false</o:LockedField>
          </o:OLEObject>
        </w:object>
      </w:r>
      <w:bookmarkStart w:id="76" w:name="_Toc29054"/>
      <w:bookmarkStart w:id="77" w:name="_Toc17015"/>
      <w:bookmarkStart w:id="78" w:name="_Toc9409"/>
      <w:bookmarkStart w:id="79" w:name="_Toc10558"/>
      <w:bookmarkStart w:id="80" w:name="_Toc16015"/>
      <w:bookmarkStart w:id="81" w:name="_Toc26534"/>
      <w:bookmarkStart w:id="82" w:name="_Toc19436"/>
      <w:r>
        <w:rPr>
          <w:rFonts w:hint="eastAsia" w:ascii="Times New Roman" w:hAnsi="Times New Roman" w:eastAsia="宋体" w:cs="Times New Roman"/>
          <w:b/>
          <w:sz w:val="24"/>
        </w:rPr>
        <w:t>五、有关说明</w:t>
      </w:r>
      <w:bookmarkEnd w:id="76"/>
      <w:bookmarkEnd w:id="77"/>
      <w:bookmarkEnd w:id="78"/>
      <w:bookmarkEnd w:id="79"/>
      <w:bookmarkEnd w:id="80"/>
      <w:bookmarkEnd w:id="81"/>
      <w:bookmarkEnd w:id="82"/>
    </w:p>
    <w:p w14:paraId="0CE06A46">
      <w:pPr>
        <w:spacing w:line="360" w:lineRule="auto"/>
        <w:ind w:firstLine="420"/>
        <w:jc w:val="left"/>
        <w:outlineLvl w:val="1"/>
        <w:rPr>
          <w:rFonts w:ascii="Times New Roman" w:hAnsi="Times New Roman" w:eastAsia="宋体" w:cs="Times New Roman"/>
          <w:b/>
          <w:szCs w:val="21"/>
        </w:rPr>
      </w:pPr>
      <w:bookmarkStart w:id="83" w:name="_Toc31623"/>
      <w:r>
        <w:rPr>
          <w:rFonts w:hint="eastAsia" w:ascii="Times New Roman" w:hAnsi="Times New Roman" w:eastAsia="宋体" w:cs="Times New Roman"/>
          <w:b/>
          <w:szCs w:val="21"/>
        </w:rPr>
        <w:t>（一）持续改进</w:t>
      </w:r>
      <w:bookmarkEnd w:id="83"/>
    </w:p>
    <w:p w14:paraId="1859BB2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本课程根据平时表现、作业和期末考试等考核情况，以及学生、教学督导等反馈情况，及时对教学中不足之处进行改进，并在下一轮课程教学中整改完善，确保相应毕业要求观测点达成。</w:t>
      </w:r>
    </w:p>
    <w:p w14:paraId="456D71BA">
      <w:pPr>
        <w:spacing w:line="360" w:lineRule="auto"/>
        <w:ind w:firstLine="420"/>
        <w:jc w:val="left"/>
        <w:outlineLvl w:val="1"/>
        <w:rPr>
          <w:rFonts w:ascii="Times New Roman" w:hAnsi="Times New Roman" w:eastAsia="宋体" w:cs="Times New Roman"/>
          <w:b/>
          <w:szCs w:val="21"/>
        </w:rPr>
      </w:pPr>
      <w:bookmarkStart w:id="84" w:name="_Toc3166"/>
      <w:r>
        <w:rPr>
          <w:rFonts w:hint="eastAsia" w:ascii="Times New Roman" w:hAnsi="Times New Roman" w:eastAsia="宋体" w:cs="Times New Roman"/>
          <w:b/>
          <w:szCs w:val="21"/>
        </w:rPr>
        <w:t>（二）建议教材</w:t>
      </w:r>
      <w:bookmarkEnd w:id="84"/>
    </w:p>
    <w:p w14:paraId="12B0CD02">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《形势与政策》，江苏省形势与政策教学指导委员会编，南京大学出版社，最新版</w:t>
      </w:r>
    </w:p>
    <w:p w14:paraId="23B57070">
      <w:pPr>
        <w:spacing w:line="360" w:lineRule="auto"/>
        <w:ind w:firstLine="420"/>
        <w:jc w:val="left"/>
        <w:outlineLvl w:val="1"/>
        <w:rPr>
          <w:rFonts w:ascii="Times New Roman" w:hAnsi="Times New Roman" w:eastAsia="宋体" w:cs="Times New Roman"/>
          <w:b/>
          <w:szCs w:val="21"/>
        </w:rPr>
      </w:pPr>
      <w:bookmarkStart w:id="85" w:name="_Toc20304"/>
      <w:r>
        <w:rPr>
          <w:rFonts w:hint="eastAsia" w:ascii="Times New Roman" w:hAnsi="Times New Roman" w:eastAsia="宋体" w:cs="Times New Roman"/>
          <w:b/>
          <w:szCs w:val="21"/>
        </w:rPr>
        <w:t>（三）参考书目</w:t>
      </w:r>
      <w:bookmarkEnd w:id="85"/>
    </w:p>
    <w:p w14:paraId="02A740B3">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 教育部印发《高校“形势与政策”课教学要点》</w:t>
      </w:r>
    </w:p>
    <w:p w14:paraId="6569B57E">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 《时事报告》，中共中央宣传部主管，《时事报告》杂志社</w:t>
      </w:r>
    </w:p>
    <w:p w14:paraId="236491E6">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 《习近平新时代中国特色社会主义思想学习纲要》，学习出版社，2019</w:t>
      </w:r>
    </w:p>
    <w:p w14:paraId="643DD6FB">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4.《党的二十届三中全会〈决定〉学习辅导百问》，学习出版社、党建读物出版社，2024</w:t>
      </w:r>
    </w:p>
    <w:p w14:paraId="336D3E64">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5. 学习网站：人民网、新华网、光明网等</w:t>
      </w:r>
    </w:p>
    <w:p w14:paraId="00FF48B1">
      <w:pPr>
        <w:jc w:val="right"/>
        <w:rPr>
          <w:rFonts w:hint="eastAsia" w:ascii="等线" w:hAnsi="等线" w:eastAsia="等线" w:cs="Times New Roman"/>
          <w:szCs w:val="21"/>
        </w:rPr>
      </w:pPr>
    </w:p>
    <w:p w14:paraId="5C9450EB">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执 笔 人：姚彦琳</w:t>
      </w:r>
    </w:p>
    <w:p w14:paraId="40F11E11">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定 人：夏天静</w:t>
      </w:r>
    </w:p>
    <w:p w14:paraId="7D1B372E">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批 人：熊焱生</w:t>
      </w:r>
    </w:p>
    <w:p w14:paraId="1820EB15">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批准时间：2025年7月1日</w:t>
      </w:r>
    </w:p>
    <w:p w14:paraId="41E73269">
      <w:pPr>
        <w:rPr>
          <w:rFonts w:ascii="Times New Roman" w:hAnsi="Times New Roman" w:eastAsia="宋体" w:cs="Times New Roman"/>
          <w:sz w:val="24"/>
        </w:rPr>
      </w:pPr>
      <w:r>
        <w:rPr>
          <w:rFonts w:ascii="Times New Roman" w:hAnsi="Times New Roman" w:eastAsia="宋体" w:cs="Times New Roman"/>
          <w:sz w:val="24"/>
        </w:rPr>
        <w:br w:type="page"/>
      </w:r>
    </w:p>
    <w:p w14:paraId="5D85BF4F">
      <w:pPr>
        <w:spacing w:line="360" w:lineRule="auto"/>
        <w:jc w:val="center"/>
        <w:outlineLvl w:val="0"/>
        <w:rPr>
          <w:rFonts w:ascii="Times New Roman" w:hAnsi="Times New Roman" w:eastAsia="宋体" w:cs="Times New Roman"/>
          <w:b/>
          <w:sz w:val="44"/>
          <w:szCs w:val="44"/>
        </w:rPr>
      </w:pPr>
      <w:bookmarkStart w:id="86" w:name="_Toc28483"/>
      <w:bookmarkStart w:id="87" w:name="_Toc21687"/>
      <w:r>
        <w:rPr>
          <w:rFonts w:hint="eastAsia" w:ascii="Times New Roman" w:hAnsi="Times New Roman" w:eastAsia="宋体" w:cs="Times New Roman"/>
          <w:b/>
          <w:sz w:val="44"/>
          <w:szCs w:val="44"/>
        </w:rPr>
        <w:t>《体育I》课程教学大纲</w:t>
      </w:r>
      <w:bookmarkEnd w:id="86"/>
      <w:bookmarkEnd w:id="87"/>
    </w:p>
    <w:p w14:paraId="6F091961">
      <w:pPr>
        <w:spacing w:line="360" w:lineRule="auto"/>
        <w:jc w:val="center"/>
        <w:rPr>
          <w:rFonts w:ascii="Times New Roman" w:hAnsi="Times New Roman" w:eastAsia="宋体" w:cs="Times New Roman"/>
          <w:b/>
          <w:bCs/>
          <w:sz w:val="28"/>
          <w:szCs w:val="28"/>
        </w:rPr>
      </w:pPr>
      <w:bookmarkStart w:id="88" w:name="_Toc28712"/>
      <w:bookmarkStart w:id="89" w:name="_Toc269"/>
      <w:bookmarkStart w:id="90" w:name="_Toc7523"/>
      <w:bookmarkStart w:id="91" w:name="_Toc24059"/>
      <w:bookmarkStart w:id="92" w:name="_Toc11088"/>
      <w:bookmarkStart w:id="93" w:name="_Toc12475"/>
      <w:bookmarkStart w:id="94" w:name="_Toc16645"/>
      <w:r>
        <w:rPr>
          <w:rFonts w:hint="eastAsia" w:ascii="Times New Roman" w:hAnsi="Times New Roman" w:eastAsia="宋体" w:cs="Times New Roman"/>
          <w:b/>
          <w:bCs/>
          <w:sz w:val="28"/>
          <w:szCs w:val="28"/>
        </w:rPr>
        <w:t>（Physical  Education I）</w:t>
      </w:r>
      <w:bookmarkEnd w:id="88"/>
      <w:bookmarkEnd w:id="89"/>
      <w:bookmarkEnd w:id="90"/>
      <w:bookmarkEnd w:id="91"/>
      <w:bookmarkEnd w:id="92"/>
      <w:bookmarkEnd w:id="93"/>
      <w:bookmarkEnd w:id="94"/>
    </w:p>
    <w:p w14:paraId="4B1F9CB8">
      <w:pPr>
        <w:spacing w:line="360" w:lineRule="auto"/>
        <w:ind w:firstLine="413" w:firstLineChars="196"/>
        <w:rPr>
          <w:rFonts w:hint="eastAsia" w:ascii="宋体" w:hAnsi="宋体" w:eastAsia="宋体" w:cs="宋体"/>
          <w:b/>
          <w:szCs w:val="21"/>
        </w:rPr>
      </w:pPr>
    </w:p>
    <w:p w14:paraId="16CC09B3">
      <w:pPr>
        <w:spacing w:line="360" w:lineRule="auto"/>
        <w:ind w:firstLine="482" w:firstLineChars="200"/>
        <w:rPr>
          <w:rFonts w:hint="eastAsia" w:ascii="宋体" w:hAnsi="宋体" w:eastAsia="宋体" w:cs="宋体"/>
          <w:b/>
          <w:bCs/>
          <w:kern w:val="0"/>
          <w:sz w:val="24"/>
        </w:rPr>
      </w:pPr>
      <w:r>
        <w:rPr>
          <w:rFonts w:hint="eastAsia" w:ascii="宋体" w:hAnsi="宋体" w:eastAsia="宋体" w:cs="宋体"/>
          <w:b/>
          <w:bCs/>
          <w:kern w:val="0"/>
          <w:sz w:val="24"/>
        </w:rPr>
        <w:t>课程名称：体育I</w:t>
      </w:r>
    </w:p>
    <w:p w14:paraId="2C9CDD1D">
      <w:pPr>
        <w:spacing w:line="360" w:lineRule="auto"/>
        <w:ind w:firstLine="482" w:firstLineChars="200"/>
        <w:rPr>
          <w:rFonts w:hint="eastAsia" w:ascii="宋体" w:hAnsi="宋体" w:eastAsia="宋体" w:cs="宋体"/>
          <w:b/>
          <w:bCs/>
          <w:sz w:val="24"/>
        </w:rPr>
      </w:pPr>
      <w:r>
        <w:rPr>
          <w:rFonts w:hint="eastAsia" w:ascii="宋体" w:hAnsi="宋体" w:eastAsia="宋体" w:cs="宋体"/>
          <w:b/>
          <w:bCs/>
          <w:kern w:val="0"/>
          <w:sz w:val="24"/>
        </w:rPr>
        <w:t>课程代码：1101010</w:t>
      </w:r>
    </w:p>
    <w:p w14:paraId="18DB6725">
      <w:pPr>
        <w:spacing w:line="360" w:lineRule="auto"/>
        <w:ind w:firstLine="482" w:firstLineChars="200"/>
        <w:rPr>
          <w:rFonts w:hint="eastAsia" w:ascii="宋体" w:hAnsi="宋体" w:eastAsia="宋体" w:cs="宋体"/>
          <w:b/>
          <w:bCs/>
          <w:kern w:val="0"/>
          <w:sz w:val="24"/>
        </w:rPr>
      </w:pPr>
      <w:r>
        <w:rPr>
          <w:rFonts w:hint="eastAsia" w:ascii="宋体" w:hAnsi="宋体" w:eastAsia="宋体" w:cs="宋体"/>
          <w:b/>
          <w:bCs/>
          <w:kern w:val="0"/>
          <w:sz w:val="24"/>
        </w:rPr>
        <w:t>学    分：0.75</w:t>
      </w:r>
    </w:p>
    <w:p w14:paraId="3410C677">
      <w:pPr>
        <w:spacing w:line="360" w:lineRule="auto"/>
        <w:ind w:firstLine="482" w:firstLineChars="200"/>
        <w:rPr>
          <w:rFonts w:hint="eastAsia" w:ascii="宋体" w:hAnsi="宋体" w:eastAsia="宋体" w:cs="宋体"/>
          <w:b/>
          <w:bCs/>
          <w:kern w:val="0"/>
          <w:sz w:val="24"/>
        </w:rPr>
      </w:pPr>
      <w:r>
        <w:rPr>
          <w:rFonts w:hint="eastAsia" w:ascii="宋体" w:hAnsi="宋体" w:eastAsia="宋体" w:cs="宋体"/>
          <w:b/>
          <w:bCs/>
          <w:kern w:val="0"/>
          <w:sz w:val="24"/>
        </w:rPr>
        <w:t>学    时：30</w:t>
      </w:r>
    </w:p>
    <w:p w14:paraId="029A9CC6">
      <w:pPr>
        <w:spacing w:line="360" w:lineRule="auto"/>
        <w:ind w:firstLine="482" w:firstLineChars="200"/>
        <w:rPr>
          <w:rFonts w:hint="eastAsia" w:ascii="宋体" w:hAnsi="宋体" w:eastAsia="宋体" w:cs="宋体"/>
          <w:b/>
          <w:bCs/>
          <w:kern w:val="0"/>
          <w:sz w:val="24"/>
        </w:rPr>
      </w:pPr>
      <w:r>
        <w:rPr>
          <w:rFonts w:hint="eastAsia" w:ascii="宋体" w:hAnsi="宋体" w:eastAsia="宋体" w:cs="宋体"/>
          <w:b/>
          <w:bCs/>
          <w:kern w:val="0"/>
          <w:sz w:val="24"/>
        </w:rPr>
        <w:t>先修课程：无</w:t>
      </w:r>
    </w:p>
    <w:p w14:paraId="007D0DBB">
      <w:pPr>
        <w:spacing w:line="360" w:lineRule="auto"/>
        <w:ind w:firstLine="482" w:firstLineChars="200"/>
        <w:rPr>
          <w:rFonts w:hint="eastAsia" w:ascii="宋体" w:hAnsi="宋体" w:eastAsia="宋体" w:cs="宋体"/>
          <w:b/>
          <w:bCs/>
          <w:kern w:val="0"/>
          <w:sz w:val="24"/>
        </w:rPr>
      </w:pPr>
      <w:r>
        <w:rPr>
          <w:rFonts w:hint="eastAsia" w:ascii="宋体" w:hAnsi="宋体" w:eastAsia="宋体" w:cs="宋体"/>
          <w:b/>
          <w:bCs/>
          <w:kern w:val="0"/>
          <w:sz w:val="24"/>
        </w:rPr>
        <w:t xml:space="preserve">适用专业：全校各专业                        </w:t>
      </w:r>
    </w:p>
    <w:p w14:paraId="58848272">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bookmarkStart w:id="95" w:name="_Hlk27938417"/>
      <w:r>
        <w:rPr>
          <w:rFonts w:hint="eastAsia" w:ascii="宋体" w:hAnsi="宋体" w:eastAsia="宋体" w:cs="宋体"/>
          <w:b/>
          <w:bCs/>
          <w:kern w:val="0"/>
          <w:sz w:val="24"/>
        </w:rPr>
        <w:t>一、课程简介</w:t>
      </w:r>
    </w:p>
    <w:p w14:paraId="6E8D3323">
      <w:pPr>
        <w:autoSpaceDE w:val="0"/>
        <w:autoSpaceDN w:val="0"/>
        <w:adjustRightInd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本课程是面向全校各专业开设的以身体练习为主要手段，以培养学生体育人文素养和塑造健全人格为主要目的，以提高学生体质健康水平为主要目标的通识必修课。其教学安排在第一学年第一学期进行。</w:t>
      </w:r>
    </w:p>
    <w:p w14:paraId="39EFA9BF">
      <w:pPr>
        <w:autoSpaceDE w:val="0"/>
        <w:autoSpaceDN w:val="0"/>
        <w:adjustRightInd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通过本课程的学习，学生掌握和应用基本的体育与健康知识及运动技能，增强学生体质与健康水平，激发学生参与体育活动的兴趣，促进身心和谐发展和体育技能与素养的提高。坚持以立德树人为根本，通过融入社会主义核心价值观、做人做事的道理和体育精神等课程思政元素，培养学生的爱国情怀、体育道德、规则意识、合作精神和意志品质，增强与他人交流沟通、团结合作的能力，提升学生体育核心素养。本课程将为后续课程的学习以及相关课程的学习与训练奠定重要的基础。</w:t>
      </w:r>
    </w:p>
    <w:bookmarkEnd w:id="95"/>
    <w:p w14:paraId="3A4FCABF">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二、课程目标与毕业要求指标点对应关系</w:t>
      </w:r>
    </w:p>
    <w:p w14:paraId="2221CA5E">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1：全面发展体能，提高运动能力，掌握体育基本理论知识和基本技术，了解体育锻炼的健身原理，具有一定的体育文化素养和欣赏能力。树立“健康第一”思想和正确的体育道德观，增强团结协作意识、规则意识、公平意识和积极进取意识。</w:t>
      </w:r>
    </w:p>
    <w:p w14:paraId="055D4ED8">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目标2：积极参与各种体育活动，掌握所学项目的基本技能和锻炼方法，能科学地进行体育锻炼，掌握常见运动损伤的处理方法。学会利用体育调节身心，改善心理状态，养成积极乐观的生活态度。</w:t>
      </w:r>
    </w:p>
    <w:p w14:paraId="67A66E03">
      <w:pPr>
        <w:spacing w:line="360" w:lineRule="auto"/>
        <w:ind w:firstLine="480" w:firstLineChars="200"/>
        <w:rPr>
          <w:rFonts w:hint="eastAsia" w:ascii="宋体" w:hAnsi="宋体" w:eastAsia="宋体" w:cs="宋体"/>
          <w:sz w:val="24"/>
        </w:rPr>
      </w:pPr>
      <w:r>
        <w:rPr>
          <w:rFonts w:hint="eastAsia" w:ascii="宋体" w:hAnsi="宋体" w:eastAsia="宋体" w:cs="宋体"/>
          <w:sz w:val="24"/>
        </w:rPr>
        <w:t>本课程支撑专业培养方案中毕业要求2、6(不同专业会略有区别，具体见培养方案中的毕业要求实现矩阵)，对应关系如下表所示。</w:t>
      </w:r>
    </w:p>
    <w:tbl>
      <w:tblPr>
        <w:tblStyle w:val="12"/>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6259"/>
        <w:gridCol w:w="1189"/>
      </w:tblGrid>
      <w:tr w14:paraId="6423E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50" w:type="pct"/>
            <w:vAlign w:val="center"/>
          </w:tcPr>
          <w:p w14:paraId="76D7561C">
            <w:pPr>
              <w:jc w:val="center"/>
              <w:rPr>
                <w:rFonts w:hint="eastAsia" w:ascii="宋体" w:hAnsi="宋体" w:eastAsia="宋体" w:cs="宋体"/>
                <w:b/>
                <w:bCs/>
              </w:rPr>
            </w:pPr>
            <w:r>
              <w:rPr>
                <w:rFonts w:hint="eastAsia" w:ascii="宋体" w:hAnsi="宋体" w:eastAsia="宋体" w:cs="宋体"/>
                <w:b/>
                <w:bCs/>
              </w:rPr>
              <w:t>毕业要求2</w:t>
            </w:r>
          </w:p>
          <w:p w14:paraId="3E0F5507">
            <w:pPr>
              <w:jc w:val="center"/>
              <w:rPr>
                <w:rFonts w:hint="eastAsia" w:ascii="宋体" w:hAnsi="宋体" w:eastAsia="宋体" w:cs="宋体"/>
                <w:b/>
                <w:bCs/>
              </w:rPr>
            </w:pPr>
            <w:r>
              <w:rPr>
                <w:rFonts w:hint="eastAsia" w:ascii="宋体" w:hAnsi="宋体" w:eastAsia="宋体" w:cs="宋体"/>
                <w:b/>
                <w:bCs/>
              </w:rPr>
              <w:t>教育情怀</w:t>
            </w:r>
          </w:p>
        </w:tc>
        <w:tc>
          <w:tcPr>
            <w:tcW w:w="3486" w:type="pct"/>
            <w:vAlign w:val="center"/>
          </w:tcPr>
          <w:p w14:paraId="6D3DB3E6">
            <w:pPr>
              <w:rPr>
                <w:rFonts w:hint="eastAsia" w:ascii="宋体" w:hAnsi="宋体" w:eastAsia="宋体" w:cs="宋体"/>
              </w:rPr>
            </w:pPr>
            <w:r>
              <w:rPr>
                <w:rFonts w:hint="eastAsia" w:ascii="宋体" w:hAnsi="宋体" w:eastAsia="宋体" w:cs="宋体"/>
                <w:b/>
                <w:bCs/>
              </w:rPr>
              <w:t>指标点2-3：</w:t>
            </w:r>
            <w:r>
              <w:rPr>
                <w:rFonts w:hint="eastAsia" w:ascii="宋体" w:hAnsi="宋体" w:eastAsia="宋体" w:cs="宋体"/>
              </w:rPr>
              <w:t>【自身修养良好】具有较好的人文艺术底蕴与科学精神，言行举止符合教师职业标准，情感积极，人格健全，身心健康。</w:t>
            </w:r>
          </w:p>
        </w:tc>
        <w:tc>
          <w:tcPr>
            <w:tcW w:w="662" w:type="pct"/>
            <w:vAlign w:val="center"/>
          </w:tcPr>
          <w:p w14:paraId="732B6DE5">
            <w:pPr>
              <w:rPr>
                <w:rFonts w:hint="eastAsia" w:ascii="宋体" w:hAnsi="宋体" w:eastAsia="宋体" w:cs="宋体"/>
                <w:lang w:eastAsia="zh"/>
              </w:rPr>
            </w:pPr>
            <w:r>
              <w:rPr>
                <w:rFonts w:hint="eastAsia" w:ascii="宋体" w:hAnsi="宋体" w:eastAsia="宋体" w:cs="宋体"/>
              </w:rPr>
              <w:t>课程目标</w:t>
            </w:r>
            <w:r>
              <w:rPr>
                <w:rFonts w:hint="eastAsia" w:ascii="宋体" w:hAnsi="宋体" w:eastAsia="宋体" w:cs="宋体"/>
                <w:lang w:eastAsia="zh"/>
              </w:rPr>
              <w:t>1</w:t>
            </w:r>
          </w:p>
        </w:tc>
      </w:tr>
      <w:tr w14:paraId="7168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0" w:type="pct"/>
            <w:vAlign w:val="center"/>
          </w:tcPr>
          <w:p w14:paraId="5070FB9C">
            <w:pPr>
              <w:jc w:val="center"/>
              <w:rPr>
                <w:rFonts w:hint="eastAsia" w:ascii="宋体" w:hAnsi="宋体" w:eastAsia="宋体" w:cs="宋体"/>
                <w:b/>
                <w:bCs/>
              </w:rPr>
            </w:pPr>
            <w:r>
              <w:rPr>
                <w:rFonts w:hint="eastAsia" w:ascii="宋体" w:hAnsi="宋体" w:eastAsia="宋体" w:cs="宋体"/>
                <w:b/>
                <w:bCs/>
              </w:rPr>
              <w:t>毕业要求6</w:t>
            </w:r>
          </w:p>
          <w:p w14:paraId="19717B6C">
            <w:pPr>
              <w:jc w:val="center"/>
              <w:rPr>
                <w:rFonts w:hint="eastAsia" w:ascii="宋体" w:hAnsi="宋体" w:eastAsia="宋体" w:cs="宋体"/>
                <w:b/>
                <w:bCs/>
              </w:rPr>
            </w:pPr>
            <w:r>
              <w:rPr>
                <w:rFonts w:hint="eastAsia" w:ascii="宋体" w:hAnsi="宋体" w:eastAsia="宋体" w:cs="宋体"/>
                <w:b/>
                <w:bCs/>
              </w:rPr>
              <w:t>综合育人</w:t>
            </w:r>
          </w:p>
        </w:tc>
        <w:tc>
          <w:tcPr>
            <w:tcW w:w="3486" w:type="pct"/>
            <w:vAlign w:val="center"/>
          </w:tcPr>
          <w:p w14:paraId="3198995B">
            <w:pPr>
              <w:rPr>
                <w:rFonts w:hint="eastAsia" w:ascii="宋体" w:hAnsi="宋体" w:eastAsia="宋体" w:cs="宋体"/>
              </w:rPr>
            </w:pPr>
            <w:r>
              <w:rPr>
                <w:rFonts w:hint="eastAsia" w:ascii="宋体" w:hAnsi="宋体" w:eastAsia="宋体" w:cs="宋体"/>
                <w:b/>
                <w:bCs/>
              </w:rPr>
              <w:t>指标点6-3：</w:t>
            </w:r>
            <w:r>
              <w:rPr>
                <w:rFonts w:hint="eastAsia" w:ascii="宋体" w:hAnsi="宋体" w:eastAsia="宋体" w:cs="宋体"/>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662" w:type="pct"/>
            <w:vAlign w:val="center"/>
          </w:tcPr>
          <w:p w14:paraId="463FF799">
            <w:pPr>
              <w:rPr>
                <w:rFonts w:hint="eastAsia" w:ascii="宋体" w:hAnsi="宋体" w:eastAsia="宋体" w:cs="宋体"/>
              </w:rPr>
            </w:pPr>
            <w:r>
              <w:rPr>
                <w:rFonts w:hint="eastAsia" w:ascii="宋体" w:hAnsi="宋体" w:eastAsia="宋体" w:cs="宋体"/>
              </w:rPr>
              <w:t>课程目标1</w:t>
            </w:r>
          </w:p>
          <w:p w14:paraId="1F0A839F">
            <w:pPr>
              <w:rPr>
                <w:rFonts w:hint="eastAsia" w:ascii="宋体" w:hAnsi="宋体" w:eastAsia="宋体" w:cs="宋体"/>
              </w:rPr>
            </w:pPr>
            <w:r>
              <w:rPr>
                <w:rFonts w:hint="eastAsia" w:ascii="宋体" w:hAnsi="宋体" w:eastAsia="宋体" w:cs="宋体"/>
              </w:rPr>
              <w:t>课程目标2</w:t>
            </w:r>
          </w:p>
        </w:tc>
      </w:tr>
    </w:tbl>
    <w:p w14:paraId="46594DEC">
      <w:pPr>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三、</w:t>
      </w:r>
      <w:r>
        <w:rPr>
          <w:rFonts w:hint="eastAsia" w:ascii="宋体" w:hAnsi="宋体" w:eastAsia="宋体" w:cs="Times New Roman"/>
          <w:b/>
          <w:color w:val="000000"/>
          <w:sz w:val="24"/>
        </w:rPr>
        <w:t>教学内容与预期学习成效</w:t>
      </w:r>
    </w:p>
    <w:tbl>
      <w:tblPr>
        <w:tblStyle w:val="11"/>
        <w:tblW w:w="87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3737"/>
        <w:gridCol w:w="2806"/>
        <w:gridCol w:w="687"/>
        <w:gridCol w:w="977"/>
      </w:tblGrid>
      <w:tr w14:paraId="4425A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Align w:val="center"/>
          </w:tcPr>
          <w:p w14:paraId="6B0F2B07">
            <w:pPr>
              <w:jc w:val="center"/>
              <w:rPr>
                <w:rFonts w:hint="eastAsia" w:ascii="宋体" w:hAnsi="宋体" w:eastAsia="宋体" w:cs="宋体"/>
                <w:b/>
                <w:bCs/>
                <w:szCs w:val="21"/>
              </w:rPr>
            </w:pPr>
            <w:r>
              <w:rPr>
                <w:rFonts w:hint="eastAsia" w:ascii="宋体" w:hAnsi="宋体" w:eastAsia="宋体" w:cs="宋体"/>
                <w:b/>
                <w:bCs/>
                <w:szCs w:val="21"/>
              </w:rPr>
              <w:t>序号</w:t>
            </w:r>
          </w:p>
        </w:tc>
        <w:tc>
          <w:tcPr>
            <w:tcW w:w="2127" w:type="pct"/>
            <w:vAlign w:val="center"/>
          </w:tcPr>
          <w:p w14:paraId="3FF292A5">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1597" w:type="pct"/>
            <w:vAlign w:val="center"/>
          </w:tcPr>
          <w:p w14:paraId="57F09B62">
            <w:pPr>
              <w:jc w:val="center"/>
              <w:rPr>
                <w:rFonts w:hint="eastAsia" w:ascii="宋体" w:hAnsi="宋体" w:eastAsia="宋体" w:cs="宋体"/>
                <w:b/>
                <w:bCs/>
                <w:szCs w:val="21"/>
              </w:rPr>
            </w:pPr>
            <w:r>
              <w:rPr>
                <w:rFonts w:hint="eastAsia" w:ascii="宋体" w:hAnsi="宋体" w:eastAsia="宋体" w:cs="宋体"/>
                <w:b/>
                <w:bCs/>
                <w:szCs w:val="21"/>
              </w:rPr>
              <w:t>预期学习成效</w:t>
            </w:r>
          </w:p>
        </w:tc>
        <w:tc>
          <w:tcPr>
            <w:tcW w:w="391" w:type="pct"/>
            <w:vAlign w:val="center"/>
          </w:tcPr>
          <w:p w14:paraId="4485D777">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555" w:type="pct"/>
            <w:vAlign w:val="center"/>
          </w:tcPr>
          <w:p w14:paraId="5DA7DA67">
            <w:pPr>
              <w:jc w:val="center"/>
              <w:rPr>
                <w:rFonts w:hint="eastAsia" w:ascii="宋体" w:hAnsi="宋体" w:eastAsia="宋体" w:cs="宋体"/>
                <w:b/>
                <w:bCs/>
                <w:szCs w:val="21"/>
              </w:rPr>
            </w:pPr>
            <w:r>
              <w:rPr>
                <w:rFonts w:hint="eastAsia" w:ascii="宋体" w:hAnsi="宋体" w:eastAsia="宋体" w:cs="宋体"/>
                <w:b/>
                <w:bCs/>
                <w:szCs w:val="21"/>
              </w:rPr>
              <w:t>教学</w:t>
            </w:r>
          </w:p>
          <w:p w14:paraId="0B728A05">
            <w:pPr>
              <w:jc w:val="center"/>
              <w:rPr>
                <w:rFonts w:hint="eastAsia" w:ascii="宋体" w:hAnsi="宋体" w:eastAsia="宋体" w:cs="宋体"/>
                <w:b/>
                <w:bCs/>
                <w:szCs w:val="21"/>
              </w:rPr>
            </w:pPr>
            <w:r>
              <w:rPr>
                <w:rFonts w:hint="eastAsia" w:ascii="宋体" w:hAnsi="宋体" w:eastAsia="宋体" w:cs="宋体"/>
                <w:b/>
                <w:bCs/>
                <w:szCs w:val="21"/>
              </w:rPr>
              <w:t>方式</w:t>
            </w:r>
          </w:p>
        </w:tc>
      </w:tr>
      <w:tr w14:paraId="3C5F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Merge w:val="restart"/>
            <w:vAlign w:val="center"/>
          </w:tcPr>
          <w:p w14:paraId="74248A27">
            <w:pPr>
              <w:jc w:val="center"/>
              <w:rPr>
                <w:rFonts w:hint="eastAsia" w:ascii="宋体" w:hAnsi="宋体" w:eastAsia="宋体" w:cs="宋体"/>
                <w:szCs w:val="21"/>
              </w:rPr>
            </w:pPr>
            <w:r>
              <w:rPr>
                <w:rFonts w:hint="eastAsia" w:ascii="宋体" w:hAnsi="宋体" w:eastAsia="宋体" w:cs="宋体"/>
                <w:szCs w:val="21"/>
              </w:rPr>
              <w:t>1</w:t>
            </w:r>
          </w:p>
        </w:tc>
        <w:tc>
          <w:tcPr>
            <w:tcW w:w="2127" w:type="pct"/>
            <w:vAlign w:val="center"/>
          </w:tcPr>
          <w:p w14:paraId="38D4EBD6">
            <w:pPr>
              <w:jc w:val="left"/>
              <w:rPr>
                <w:rFonts w:hint="eastAsia" w:ascii="宋体" w:hAnsi="宋体" w:eastAsia="宋体" w:cs="宋体"/>
                <w:b/>
                <w:szCs w:val="21"/>
              </w:rPr>
            </w:pPr>
            <w:r>
              <w:rPr>
                <w:rFonts w:hint="eastAsia" w:ascii="宋体" w:hAnsi="宋体" w:eastAsia="宋体" w:cs="宋体"/>
                <w:b/>
                <w:szCs w:val="21"/>
              </w:rPr>
              <w:t>㈠体育理论部分:</w:t>
            </w:r>
          </w:p>
          <w:p w14:paraId="5B683959">
            <w:pPr>
              <w:jc w:val="left"/>
              <w:rPr>
                <w:rFonts w:hint="eastAsia" w:ascii="宋体" w:hAnsi="宋体" w:eastAsia="宋体" w:cs="宋体"/>
                <w:bCs/>
              </w:rPr>
            </w:pPr>
            <w:r>
              <w:rPr>
                <w:rFonts w:hint="eastAsia" w:ascii="宋体" w:hAnsi="宋体" w:eastAsia="宋体" w:cs="宋体"/>
                <w:bCs/>
              </w:rPr>
              <w:t>1.学生思想政治教育：我校体育运动发展概况、国家领导人与体育、奥运明星的励志故事、社会主义核心价值观与体育等；</w:t>
            </w:r>
          </w:p>
          <w:p w14:paraId="486CE58C">
            <w:pPr>
              <w:rPr>
                <w:rFonts w:hint="eastAsia" w:ascii="宋体" w:hAnsi="宋体" w:eastAsia="宋体" w:cs="宋体"/>
                <w:bCs/>
              </w:rPr>
            </w:pPr>
            <w:r>
              <w:rPr>
                <w:rFonts w:hint="eastAsia" w:ascii="宋体" w:hAnsi="宋体" w:eastAsia="宋体" w:cs="宋体"/>
                <w:bCs/>
              </w:rPr>
              <w:t>2.体育安全教育：我校体育课堂管理规定、体育运动伤害事故的安全教育及预防与处理措施、常见运动损伤的预防与处理等；</w:t>
            </w:r>
          </w:p>
          <w:p w14:paraId="14AEFA03">
            <w:pPr>
              <w:rPr>
                <w:rFonts w:hint="eastAsia" w:ascii="宋体" w:hAnsi="宋体" w:eastAsia="宋体" w:cs="宋体"/>
                <w:szCs w:val="21"/>
              </w:rPr>
            </w:pPr>
            <w:r>
              <w:rPr>
                <w:rFonts w:hint="eastAsia" w:ascii="宋体" w:hAnsi="宋体" w:eastAsia="宋体" w:cs="宋体"/>
                <w:bCs/>
              </w:rPr>
              <w:t>3.体育基本理论：各运动项目的基本技战术知识、组织与竞赛、基本规则和裁判法，大学体育概述、</w:t>
            </w:r>
            <w:r>
              <w:rPr>
                <w:rFonts w:hint="eastAsia" w:ascii="宋体" w:hAnsi="宋体" w:eastAsia="宋体" w:cs="宋体"/>
                <w:szCs w:val="21"/>
              </w:rPr>
              <w:t xml:space="preserve">体育锻炼与健康、体质测量与评价。 </w:t>
            </w:r>
          </w:p>
        </w:tc>
        <w:tc>
          <w:tcPr>
            <w:tcW w:w="1597" w:type="pct"/>
            <w:vAlign w:val="center"/>
          </w:tcPr>
          <w:p w14:paraId="17BA09E0">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教学，使学生全方位了解我校体育工作、课程学习内容和要求，方便同学办理体育事宜、完成体育学习、发挥体育特长、丰富体育生活、激发学生奋发向上的意志品质和阳光心态；帮助学生树立“健康第一”的观念，养成体育锻炼习惯；培养学生家国情怀、社会责任感和良好的个人品质，发扬体育的力量。</w:t>
            </w:r>
          </w:p>
        </w:tc>
        <w:tc>
          <w:tcPr>
            <w:tcW w:w="391" w:type="pct"/>
            <w:vAlign w:val="center"/>
          </w:tcPr>
          <w:p w14:paraId="5719A679">
            <w:pPr>
              <w:jc w:val="center"/>
              <w:rPr>
                <w:rFonts w:hint="eastAsia" w:ascii="宋体" w:hAnsi="宋体" w:eastAsia="宋体" w:cs="宋体"/>
                <w:szCs w:val="21"/>
              </w:rPr>
            </w:pPr>
            <w:r>
              <w:rPr>
                <w:rFonts w:hint="eastAsia" w:ascii="宋体" w:hAnsi="宋体" w:eastAsia="宋体" w:cs="宋体"/>
                <w:szCs w:val="21"/>
              </w:rPr>
              <w:t>4</w:t>
            </w:r>
          </w:p>
        </w:tc>
        <w:tc>
          <w:tcPr>
            <w:tcW w:w="555" w:type="pct"/>
            <w:vAlign w:val="center"/>
          </w:tcPr>
          <w:p w14:paraId="0E145078">
            <w:pPr>
              <w:jc w:val="center"/>
              <w:rPr>
                <w:rFonts w:hint="eastAsia" w:ascii="宋体" w:hAnsi="宋体" w:eastAsia="宋体" w:cs="宋体"/>
                <w:szCs w:val="21"/>
              </w:rPr>
            </w:pPr>
            <w:r>
              <w:rPr>
                <w:rFonts w:hint="eastAsia" w:ascii="宋体" w:hAnsi="宋体" w:eastAsia="宋体" w:cs="宋体"/>
                <w:szCs w:val="21"/>
              </w:rPr>
              <w:t>讲授法</w:t>
            </w:r>
          </w:p>
        </w:tc>
      </w:tr>
      <w:tr w14:paraId="5600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Merge w:val="continue"/>
            <w:vAlign w:val="center"/>
          </w:tcPr>
          <w:p w14:paraId="3FECEA51">
            <w:pPr>
              <w:jc w:val="center"/>
              <w:rPr>
                <w:rFonts w:hint="eastAsia" w:ascii="宋体" w:hAnsi="宋体" w:eastAsia="宋体" w:cs="宋体"/>
                <w:szCs w:val="21"/>
              </w:rPr>
            </w:pPr>
          </w:p>
        </w:tc>
        <w:tc>
          <w:tcPr>
            <w:tcW w:w="4671" w:type="pct"/>
            <w:gridSpan w:val="4"/>
            <w:vAlign w:val="center"/>
          </w:tcPr>
          <w:p w14:paraId="7EE5EEA1">
            <w:pPr>
              <w:jc w:val="center"/>
              <w:rPr>
                <w:rFonts w:hint="eastAsia" w:ascii="宋体" w:hAnsi="宋体" w:eastAsia="宋体" w:cs="宋体"/>
                <w:szCs w:val="21"/>
              </w:rPr>
            </w:pPr>
            <w:r>
              <w:rPr>
                <w:rFonts w:hint="eastAsia" w:ascii="宋体" w:hAnsi="宋体" w:eastAsia="宋体" w:cs="宋体"/>
                <w:szCs w:val="21"/>
              </w:rPr>
              <w:t>课程思政元素：</w:t>
            </w:r>
            <w:r>
              <w:rPr>
                <w:rFonts w:hint="eastAsia" w:ascii="宋体" w:hAnsi="宋体" w:eastAsia="宋体" w:cs="宋体"/>
                <w:kern w:val="0"/>
                <w:szCs w:val="21"/>
              </w:rPr>
              <w:t>理想信念、国家认同和</w:t>
            </w:r>
            <w:r>
              <w:rPr>
                <w:rFonts w:hint="eastAsia" w:ascii="宋体" w:hAnsi="宋体" w:eastAsia="宋体" w:cs="宋体"/>
                <w:szCs w:val="21"/>
              </w:rPr>
              <w:t>社会主义核心价值观等</w:t>
            </w:r>
            <w:r>
              <w:rPr>
                <w:rFonts w:hint="eastAsia" w:ascii="宋体" w:hAnsi="宋体" w:eastAsia="宋体" w:cs="宋体"/>
                <w:kern w:val="0"/>
                <w:szCs w:val="21"/>
              </w:rPr>
              <w:t>教育；健康中国教育。</w:t>
            </w:r>
          </w:p>
        </w:tc>
      </w:tr>
      <w:tr w14:paraId="3CC6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Merge w:val="restart"/>
            <w:vAlign w:val="center"/>
          </w:tcPr>
          <w:p w14:paraId="6C8B5989">
            <w:pPr>
              <w:jc w:val="center"/>
              <w:rPr>
                <w:rFonts w:hint="eastAsia" w:ascii="宋体" w:hAnsi="宋体" w:eastAsia="宋体" w:cs="宋体"/>
                <w:szCs w:val="21"/>
              </w:rPr>
            </w:pPr>
            <w:r>
              <w:rPr>
                <w:rFonts w:hint="eastAsia" w:ascii="宋体" w:hAnsi="宋体" w:eastAsia="宋体" w:cs="宋体"/>
                <w:szCs w:val="21"/>
              </w:rPr>
              <w:t>2</w:t>
            </w:r>
          </w:p>
        </w:tc>
        <w:tc>
          <w:tcPr>
            <w:tcW w:w="2127" w:type="pct"/>
            <w:vAlign w:val="center"/>
          </w:tcPr>
          <w:p w14:paraId="38F6CAEA">
            <w:pPr>
              <w:jc w:val="left"/>
              <w:rPr>
                <w:rFonts w:hint="eastAsia" w:ascii="宋体" w:hAnsi="宋体" w:eastAsia="宋体" w:cs="宋体"/>
                <w:b/>
                <w:szCs w:val="21"/>
              </w:rPr>
            </w:pPr>
            <w:r>
              <w:rPr>
                <w:rFonts w:hint="eastAsia" w:ascii="宋体" w:hAnsi="宋体" w:eastAsia="宋体" w:cs="宋体"/>
                <w:b/>
                <w:szCs w:val="21"/>
              </w:rPr>
              <w:t>㈡实践部分：</w:t>
            </w:r>
          </w:p>
          <w:p w14:paraId="6ED34D72">
            <w:pPr>
              <w:rPr>
                <w:rFonts w:hint="eastAsia" w:ascii="宋体" w:hAnsi="宋体" w:eastAsia="宋体" w:cs="宋体"/>
                <w:bCs/>
              </w:rPr>
            </w:pPr>
            <w:r>
              <w:rPr>
                <w:rFonts w:hint="eastAsia" w:ascii="宋体" w:hAnsi="宋体" w:eastAsia="宋体" w:cs="宋体"/>
                <w:bCs/>
              </w:rPr>
              <w:t>1.各运动项目和身体素质为主，主要包括篮球、足球、五人制足球、排球、乒乓球、排舞(女)、武术、散打、健美操(女)、排舞(女)、花样跳绳、飞盘和体育保健等。</w:t>
            </w:r>
          </w:p>
          <w:p w14:paraId="3B4EF178">
            <w:pPr>
              <w:rPr>
                <w:rFonts w:hint="eastAsia" w:ascii="宋体" w:hAnsi="宋体" w:eastAsia="宋体" w:cs="宋体"/>
                <w:bCs/>
              </w:rPr>
            </w:pPr>
            <w:r>
              <w:rPr>
                <w:rFonts w:hint="eastAsia" w:ascii="宋体" w:hAnsi="宋体" w:eastAsia="宋体" w:cs="宋体"/>
                <w:bCs/>
              </w:rPr>
              <w:t>2.健康标准测试和发展体能</w:t>
            </w:r>
          </w:p>
        </w:tc>
        <w:tc>
          <w:tcPr>
            <w:tcW w:w="1597" w:type="pct"/>
            <w:vAlign w:val="center"/>
          </w:tcPr>
          <w:p w14:paraId="5E926787">
            <w:pPr>
              <w:jc w:val="left"/>
              <w:rPr>
                <w:rFonts w:hint="eastAsia" w:ascii="宋体" w:hAnsi="宋体" w:eastAsia="宋体" w:cs="宋体"/>
                <w:szCs w:val="21"/>
              </w:rPr>
            </w:pPr>
            <w:r>
              <w:rPr>
                <w:rFonts w:hint="eastAsia" w:ascii="宋体" w:hAnsi="宋体" w:eastAsia="宋体" w:cs="宋体"/>
                <w:szCs w:val="21"/>
              </w:rPr>
              <w:t>通过学习，使学生了解和掌握所选运动项目基本知识、基本技术和锻炼方法；发展身体素质，增强体质；提升人际交往能力，提高竞争、合作意识和社会责任感；遵守规则和诚信自律，形成健康的生活方式和积极进取且充满活力的人生态度。</w:t>
            </w:r>
          </w:p>
        </w:tc>
        <w:tc>
          <w:tcPr>
            <w:tcW w:w="391" w:type="pct"/>
            <w:vAlign w:val="center"/>
          </w:tcPr>
          <w:p w14:paraId="319A8534">
            <w:pPr>
              <w:jc w:val="center"/>
              <w:rPr>
                <w:rFonts w:hint="eastAsia" w:ascii="宋体" w:hAnsi="宋体" w:eastAsia="宋体" w:cs="宋体"/>
                <w:szCs w:val="21"/>
              </w:rPr>
            </w:pPr>
            <w:r>
              <w:rPr>
                <w:rFonts w:hint="eastAsia" w:ascii="宋体" w:hAnsi="宋体" w:eastAsia="宋体" w:cs="宋体"/>
                <w:szCs w:val="21"/>
              </w:rPr>
              <w:t>26</w:t>
            </w:r>
          </w:p>
        </w:tc>
        <w:tc>
          <w:tcPr>
            <w:tcW w:w="555" w:type="pct"/>
            <w:vAlign w:val="center"/>
          </w:tcPr>
          <w:p w14:paraId="0FF4E998">
            <w:pPr>
              <w:jc w:val="center"/>
              <w:rPr>
                <w:rFonts w:hint="eastAsia" w:ascii="宋体" w:hAnsi="宋体" w:eastAsia="宋体" w:cs="宋体"/>
                <w:szCs w:val="21"/>
              </w:rPr>
            </w:pPr>
            <w:r>
              <w:rPr>
                <w:rFonts w:hint="eastAsia" w:ascii="宋体" w:hAnsi="宋体" w:eastAsia="宋体" w:cs="宋体"/>
                <w:szCs w:val="21"/>
              </w:rPr>
              <w:t>讲授法</w:t>
            </w:r>
          </w:p>
          <w:p w14:paraId="41B22D8E">
            <w:pPr>
              <w:jc w:val="center"/>
              <w:rPr>
                <w:rFonts w:hint="eastAsia" w:ascii="宋体" w:hAnsi="宋体" w:eastAsia="宋体" w:cs="宋体"/>
                <w:szCs w:val="21"/>
              </w:rPr>
            </w:pPr>
            <w:r>
              <w:rPr>
                <w:rFonts w:hint="eastAsia" w:ascii="宋体" w:hAnsi="宋体" w:eastAsia="宋体" w:cs="宋体"/>
                <w:szCs w:val="21"/>
              </w:rPr>
              <w:t>演示法</w:t>
            </w:r>
          </w:p>
          <w:p w14:paraId="6B8A8969">
            <w:pPr>
              <w:jc w:val="center"/>
              <w:rPr>
                <w:rFonts w:hint="eastAsia" w:ascii="宋体" w:hAnsi="宋体" w:eastAsia="宋体" w:cs="宋体"/>
                <w:szCs w:val="21"/>
              </w:rPr>
            </w:pPr>
            <w:r>
              <w:rPr>
                <w:rFonts w:hint="eastAsia" w:ascii="宋体" w:hAnsi="宋体" w:eastAsia="宋体" w:cs="宋体"/>
                <w:szCs w:val="21"/>
              </w:rPr>
              <w:t>练习法</w:t>
            </w:r>
          </w:p>
        </w:tc>
      </w:tr>
      <w:tr w14:paraId="69F9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8" w:type="pct"/>
            <w:vMerge w:val="continue"/>
            <w:vAlign w:val="center"/>
          </w:tcPr>
          <w:p w14:paraId="2146DFBE">
            <w:pPr>
              <w:jc w:val="center"/>
              <w:rPr>
                <w:rFonts w:hint="eastAsia" w:ascii="宋体" w:hAnsi="宋体" w:eastAsia="宋体" w:cs="宋体"/>
                <w:szCs w:val="21"/>
              </w:rPr>
            </w:pPr>
          </w:p>
        </w:tc>
        <w:tc>
          <w:tcPr>
            <w:tcW w:w="4671" w:type="pct"/>
            <w:gridSpan w:val="4"/>
            <w:vAlign w:val="center"/>
          </w:tcPr>
          <w:p w14:paraId="37023006">
            <w:pPr>
              <w:jc w:val="left"/>
              <w:rPr>
                <w:rFonts w:hint="eastAsia" w:ascii="宋体" w:hAnsi="宋体" w:eastAsia="宋体" w:cs="宋体"/>
                <w:szCs w:val="21"/>
              </w:rPr>
            </w:pPr>
            <w:r>
              <w:rPr>
                <w:rFonts w:hint="eastAsia" w:ascii="宋体" w:hAnsi="宋体" w:eastAsia="宋体" w:cs="宋体"/>
                <w:szCs w:val="21"/>
              </w:rPr>
              <w:t>课程思政元素：</w:t>
            </w:r>
            <w:r>
              <w:rPr>
                <w:rFonts w:hint="eastAsia" w:ascii="宋体" w:hAnsi="宋体" w:eastAsia="宋体" w:cs="宋体"/>
                <w:kern w:val="0"/>
                <w:szCs w:val="21"/>
              </w:rPr>
              <w:t>爱国主义和集体主义教育；体育道德观、意志品德培育；遵纪守则和诚信意识教育。</w:t>
            </w:r>
          </w:p>
        </w:tc>
      </w:tr>
    </w:tbl>
    <w:p w14:paraId="180A3D9C">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四、课程实施</w:t>
      </w:r>
    </w:p>
    <w:p w14:paraId="5BEA5A85">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（一）教学方法与手段</w:t>
      </w:r>
    </w:p>
    <w:p w14:paraId="489F79C8">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1．本课程以实践教学为主，教学方法与手段的运用要考虑到学生的实际情况，从实际出发，因材施教，注意区别对待，激发学生学习兴趣，着重培养学生自学、自练、自评、互评等能力。</w:t>
      </w:r>
    </w:p>
    <w:p w14:paraId="290FC2DA">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2．教学方法与手段的运用合理，注意防止伤害事故发生，重视学生自我保护能力培养。</w:t>
      </w:r>
    </w:p>
    <w:p w14:paraId="5CB2ECD3">
      <w:pPr>
        <w:spacing w:line="360" w:lineRule="auto"/>
        <w:ind w:firstLine="420" w:firstLineChars="200"/>
        <w:jc w:val="left"/>
        <w:rPr>
          <w:rFonts w:hint="eastAsia" w:ascii="宋体" w:hAnsi="宋体" w:eastAsia="宋体" w:cs="宋体"/>
          <w:sz w:val="24"/>
        </w:rPr>
      </w:pPr>
      <w:r>
        <w:rPr>
          <w:rFonts w:hint="eastAsia" w:ascii="宋体" w:hAnsi="宋体" w:eastAsia="宋体" w:cs="宋体"/>
          <w:szCs w:val="21"/>
        </w:rPr>
        <w:t>3．针对体育教学的特点，本课程将采用：讲解法、示范法、完整法、分解法、集体练习、小组练习等教学方法，并利用多媒体教学方式，提高学生的欣赏能力、让学生更加深刻的了解所学项目</w:t>
      </w:r>
      <w:r>
        <w:rPr>
          <w:rFonts w:hint="eastAsia" w:ascii="宋体" w:hAnsi="宋体" w:eastAsia="宋体" w:cs="宋体"/>
          <w:sz w:val="24"/>
        </w:rPr>
        <w:t>。</w:t>
      </w:r>
    </w:p>
    <w:p w14:paraId="57344D5E">
      <w:pPr>
        <w:spacing w:line="360" w:lineRule="auto"/>
        <w:ind w:firstLine="482" w:firstLineChars="200"/>
        <w:rPr>
          <w:rFonts w:hint="eastAsia" w:ascii="宋体" w:hAnsi="宋体" w:eastAsia="宋体" w:cs="宋体"/>
          <w:b/>
          <w:sz w:val="24"/>
        </w:rPr>
      </w:pPr>
      <w:r>
        <w:rPr>
          <w:rFonts w:hint="eastAsia" w:ascii="宋体" w:hAnsi="宋体" w:eastAsia="宋体" w:cs="宋体"/>
          <w:b/>
          <w:sz w:val="24"/>
        </w:rPr>
        <w:t>（二）课程实施与保障</w:t>
      </w:r>
    </w:p>
    <w:tbl>
      <w:tblPr>
        <w:tblStyle w:val="11"/>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991"/>
        <w:gridCol w:w="6781"/>
      </w:tblGrid>
      <w:tr w14:paraId="4606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dxa"/>
            <w:gridSpan w:val="2"/>
            <w:tcBorders>
              <w:top w:val="single" w:color="auto" w:sz="8" w:space="0"/>
              <w:left w:val="single" w:color="auto" w:sz="8" w:space="0"/>
              <w:right w:val="single" w:color="auto" w:sz="8" w:space="0"/>
            </w:tcBorders>
            <w:tcMar>
              <w:left w:w="28" w:type="dxa"/>
              <w:right w:w="28" w:type="dxa"/>
            </w:tcMar>
            <w:vAlign w:val="center"/>
          </w:tcPr>
          <w:p w14:paraId="0C88EC83">
            <w:pPr>
              <w:jc w:val="center"/>
              <w:rPr>
                <w:rFonts w:hint="eastAsia" w:ascii="宋体" w:hAnsi="宋体" w:eastAsia="宋体" w:cs="宋体"/>
                <w:szCs w:val="21"/>
              </w:rPr>
            </w:pPr>
            <w:r>
              <w:rPr>
                <w:rFonts w:hint="eastAsia" w:ascii="宋体" w:hAnsi="宋体" w:eastAsia="宋体" w:cs="宋体"/>
                <w:b/>
                <w:bCs/>
                <w:szCs w:val="21"/>
              </w:rPr>
              <w:t>主要教学环节</w:t>
            </w:r>
          </w:p>
        </w:tc>
        <w:tc>
          <w:tcPr>
            <w:tcW w:w="6781" w:type="dxa"/>
            <w:tcBorders>
              <w:top w:val="single" w:color="auto" w:sz="8" w:space="0"/>
              <w:left w:val="single" w:color="auto" w:sz="8" w:space="0"/>
              <w:right w:val="single" w:color="auto" w:sz="8" w:space="0"/>
            </w:tcBorders>
            <w:vAlign w:val="center"/>
          </w:tcPr>
          <w:p w14:paraId="7BE61D80">
            <w:pPr>
              <w:jc w:val="center"/>
              <w:rPr>
                <w:rFonts w:hint="eastAsia" w:ascii="宋体" w:hAnsi="宋体" w:eastAsia="宋体" w:cs="宋体"/>
                <w:szCs w:val="21"/>
              </w:rPr>
            </w:pPr>
            <w:r>
              <w:rPr>
                <w:rFonts w:hint="eastAsia" w:ascii="宋体" w:hAnsi="宋体" w:eastAsia="宋体" w:cs="宋体"/>
                <w:b/>
                <w:bCs/>
                <w:szCs w:val="21"/>
              </w:rPr>
              <w:t>质量要求</w:t>
            </w:r>
          </w:p>
        </w:tc>
      </w:tr>
      <w:tr w14:paraId="4594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left w:val="single" w:color="auto" w:sz="8" w:space="0"/>
            </w:tcBorders>
            <w:vAlign w:val="center"/>
          </w:tcPr>
          <w:p w14:paraId="0A692A13">
            <w:pPr>
              <w:jc w:val="center"/>
              <w:rPr>
                <w:rFonts w:hint="eastAsia" w:ascii="宋体" w:hAnsi="宋体" w:eastAsia="宋体" w:cs="宋体"/>
                <w:szCs w:val="21"/>
              </w:rPr>
            </w:pPr>
            <w:r>
              <w:rPr>
                <w:rFonts w:hint="eastAsia" w:ascii="宋体" w:hAnsi="宋体" w:eastAsia="宋体" w:cs="宋体"/>
                <w:szCs w:val="21"/>
              </w:rPr>
              <w:t>1</w:t>
            </w:r>
          </w:p>
        </w:tc>
        <w:tc>
          <w:tcPr>
            <w:tcW w:w="991" w:type="dxa"/>
            <w:tcMar>
              <w:left w:w="28" w:type="dxa"/>
              <w:right w:w="28" w:type="dxa"/>
            </w:tcMar>
            <w:vAlign w:val="center"/>
          </w:tcPr>
          <w:p w14:paraId="7F7FDA96">
            <w:pPr>
              <w:jc w:val="center"/>
              <w:rPr>
                <w:rFonts w:hint="eastAsia" w:ascii="宋体" w:hAnsi="宋体" w:eastAsia="宋体" w:cs="宋体"/>
                <w:szCs w:val="21"/>
              </w:rPr>
            </w:pPr>
            <w:r>
              <w:rPr>
                <w:rFonts w:hint="eastAsia" w:ascii="宋体" w:hAnsi="宋体" w:eastAsia="宋体" w:cs="宋体"/>
                <w:szCs w:val="21"/>
              </w:rPr>
              <w:t>备课</w:t>
            </w:r>
          </w:p>
        </w:tc>
        <w:tc>
          <w:tcPr>
            <w:tcW w:w="6781" w:type="dxa"/>
            <w:tcBorders>
              <w:right w:val="single" w:color="auto" w:sz="8" w:space="0"/>
            </w:tcBorders>
            <w:vAlign w:val="center"/>
          </w:tcPr>
          <w:p w14:paraId="66F1BBD4">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1.掌握本课程教学大纲内容，严格按照教学大纲要求进行本课程教学内容的组织；</w:t>
            </w:r>
          </w:p>
          <w:p w14:paraId="62BFA049">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2.熟悉教材各章节，借助相关专业书籍资料，并依据教学大纲编写授课计划；</w:t>
            </w:r>
          </w:p>
          <w:p w14:paraId="6C74FC6A">
            <w:pPr>
              <w:autoSpaceDE w:val="0"/>
              <w:autoSpaceDN w:val="0"/>
              <w:adjustRightInd w:val="0"/>
              <w:snapToGrid w:val="0"/>
              <w:jc w:val="left"/>
              <w:rPr>
                <w:rFonts w:hint="eastAsia" w:ascii="宋体" w:hAnsi="宋体" w:eastAsia="宋体" w:cs="宋体"/>
                <w:spacing w:val="-8"/>
                <w:kern w:val="0"/>
                <w:szCs w:val="21"/>
              </w:rPr>
            </w:pPr>
            <w:r>
              <w:rPr>
                <w:rFonts w:hint="eastAsia" w:ascii="宋体" w:hAnsi="宋体" w:eastAsia="宋体" w:cs="宋体"/>
                <w:spacing w:val="-8"/>
                <w:kern w:val="0"/>
                <w:szCs w:val="21"/>
              </w:rPr>
              <w:t xml:space="preserve">3.结合课程特点，制作课件，运用多媒体教学手段讲授部分教学内容； </w:t>
            </w:r>
          </w:p>
          <w:p w14:paraId="5F045DED">
            <w:pPr>
              <w:autoSpaceDE w:val="0"/>
              <w:autoSpaceDN w:val="0"/>
              <w:adjustRightInd w:val="0"/>
              <w:snapToGrid w:val="0"/>
              <w:jc w:val="left"/>
              <w:rPr>
                <w:rFonts w:hint="eastAsia" w:ascii="宋体" w:hAnsi="宋体" w:eastAsia="宋体" w:cs="宋体"/>
                <w:szCs w:val="21"/>
              </w:rPr>
            </w:pPr>
            <w:r>
              <w:rPr>
                <w:rFonts w:hint="eastAsia" w:ascii="宋体" w:hAnsi="宋体" w:eastAsia="宋体" w:cs="宋体"/>
                <w:kern w:val="0"/>
                <w:szCs w:val="21"/>
              </w:rPr>
              <w:t>4.确定各章节课程内容的教学方法，构思授课思路、技巧和方法。</w:t>
            </w:r>
          </w:p>
        </w:tc>
      </w:tr>
      <w:tr w14:paraId="40AC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left w:val="single" w:color="auto" w:sz="8" w:space="0"/>
            </w:tcBorders>
            <w:vAlign w:val="center"/>
          </w:tcPr>
          <w:p w14:paraId="603C1022">
            <w:pPr>
              <w:jc w:val="center"/>
              <w:rPr>
                <w:rFonts w:hint="eastAsia" w:ascii="宋体" w:hAnsi="宋体" w:eastAsia="宋体" w:cs="宋体"/>
                <w:szCs w:val="21"/>
              </w:rPr>
            </w:pPr>
            <w:r>
              <w:rPr>
                <w:rFonts w:hint="eastAsia" w:ascii="宋体" w:hAnsi="宋体" w:eastAsia="宋体" w:cs="宋体"/>
                <w:szCs w:val="21"/>
              </w:rPr>
              <w:t>2</w:t>
            </w:r>
          </w:p>
        </w:tc>
        <w:tc>
          <w:tcPr>
            <w:tcW w:w="991" w:type="dxa"/>
            <w:tcMar>
              <w:left w:w="28" w:type="dxa"/>
              <w:right w:w="28" w:type="dxa"/>
            </w:tcMar>
            <w:vAlign w:val="center"/>
          </w:tcPr>
          <w:p w14:paraId="7B43D19F">
            <w:pPr>
              <w:jc w:val="center"/>
              <w:rPr>
                <w:rFonts w:hint="eastAsia" w:ascii="宋体" w:hAnsi="宋体" w:eastAsia="宋体" w:cs="宋体"/>
                <w:szCs w:val="21"/>
              </w:rPr>
            </w:pPr>
            <w:r>
              <w:rPr>
                <w:rFonts w:hint="eastAsia" w:ascii="宋体" w:hAnsi="宋体" w:eastAsia="宋体" w:cs="宋体"/>
                <w:szCs w:val="21"/>
              </w:rPr>
              <w:t>讲授</w:t>
            </w:r>
          </w:p>
        </w:tc>
        <w:tc>
          <w:tcPr>
            <w:tcW w:w="6781" w:type="dxa"/>
            <w:tcBorders>
              <w:right w:val="single" w:color="auto" w:sz="8" w:space="0"/>
            </w:tcBorders>
            <w:vAlign w:val="center"/>
          </w:tcPr>
          <w:p w14:paraId="73CDC8D4">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w:t>
            </w:r>
            <w:r>
              <w:rPr>
                <w:rFonts w:hint="eastAsia" w:ascii="宋体" w:hAnsi="宋体" w:eastAsia="宋体" w:cs="宋体"/>
                <w:szCs w:val="21"/>
              </w:rPr>
              <w:t>满足需要，发展个性；</w:t>
            </w:r>
            <w:r>
              <w:rPr>
                <w:rFonts w:hint="eastAsia" w:ascii="宋体" w:hAnsi="宋体" w:eastAsia="宋体" w:cs="宋体"/>
                <w:kern w:val="0"/>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389E67D3">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2.采用多种教学方式（如启发式教学、导学式、发现式等），精讲多练，培养学生自学、自练、自评、互评等能力。</w:t>
            </w:r>
          </w:p>
          <w:p w14:paraId="3001D867">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51D7BD96">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4.区别对待，因材施教。重视安全和关心基础较差的学生成长。</w:t>
            </w:r>
          </w:p>
          <w:p w14:paraId="5C90F8FC">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5.教学中教师要以身作则，言传身教，做到既教学又育人。培养学生的优良品质，达到身心全面发展。</w:t>
            </w:r>
          </w:p>
        </w:tc>
      </w:tr>
      <w:tr w14:paraId="673B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left w:val="single" w:color="auto" w:sz="8" w:space="0"/>
            </w:tcBorders>
            <w:vAlign w:val="center"/>
          </w:tcPr>
          <w:p w14:paraId="3E2A37F4">
            <w:pPr>
              <w:jc w:val="center"/>
              <w:rPr>
                <w:rFonts w:hint="eastAsia" w:ascii="宋体" w:hAnsi="宋体" w:eastAsia="宋体" w:cs="宋体"/>
                <w:szCs w:val="21"/>
              </w:rPr>
            </w:pPr>
            <w:r>
              <w:rPr>
                <w:rFonts w:hint="eastAsia" w:ascii="宋体" w:hAnsi="宋体" w:eastAsia="宋体" w:cs="宋体"/>
                <w:szCs w:val="21"/>
              </w:rPr>
              <w:t>3</w:t>
            </w:r>
          </w:p>
        </w:tc>
        <w:tc>
          <w:tcPr>
            <w:tcW w:w="991" w:type="dxa"/>
            <w:tcMar>
              <w:left w:w="28" w:type="dxa"/>
              <w:right w:w="28" w:type="dxa"/>
            </w:tcMar>
            <w:vAlign w:val="center"/>
          </w:tcPr>
          <w:p w14:paraId="74B16A7F">
            <w:pPr>
              <w:jc w:val="center"/>
              <w:rPr>
                <w:rFonts w:hint="eastAsia" w:ascii="宋体" w:hAnsi="宋体" w:eastAsia="宋体" w:cs="宋体"/>
                <w:szCs w:val="21"/>
              </w:rPr>
            </w:pPr>
            <w:r>
              <w:rPr>
                <w:rFonts w:hint="eastAsia" w:ascii="宋体" w:hAnsi="宋体" w:eastAsia="宋体" w:cs="宋体"/>
                <w:szCs w:val="21"/>
              </w:rPr>
              <w:t>课外练习</w:t>
            </w:r>
          </w:p>
        </w:tc>
        <w:tc>
          <w:tcPr>
            <w:tcW w:w="6781" w:type="dxa"/>
            <w:tcBorders>
              <w:right w:val="single" w:color="auto" w:sz="8" w:space="0"/>
            </w:tcBorders>
            <w:vAlign w:val="center"/>
          </w:tcPr>
          <w:p w14:paraId="554F88B1">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课外练习是教师布置课外练习内容，重点要求学生利用课余时间巩固课堂上所学的技术动作，形成正确的动力定型，同时要求学生加强身体素质练习。</w:t>
            </w:r>
          </w:p>
        </w:tc>
      </w:tr>
      <w:tr w14:paraId="0AAF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dxa"/>
            <w:tcBorders>
              <w:left w:val="single" w:color="auto" w:sz="8" w:space="0"/>
            </w:tcBorders>
            <w:vAlign w:val="center"/>
          </w:tcPr>
          <w:p w14:paraId="7A492C75">
            <w:pPr>
              <w:jc w:val="center"/>
              <w:rPr>
                <w:rFonts w:hint="eastAsia" w:ascii="宋体" w:hAnsi="宋体" w:eastAsia="宋体" w:cs="宋体"/>
                <w:szCs w:val="21"/>
              </w:rPr>
            </w:pPr>
            <w:r>
              <w:rPr>
                <w:rFonts w:hint="eastAsia" w:ascii="宋体" w:hAnsi="宋体" w:eastAsia="宋体" w:cs="宋体"/>
                <w:szCs w:val="21"/>
              </w:rPr>
              <w:t>4</w:t>
            </w:r>
          </w:p>
        </w:tc>
        <w:tc>
          <w:tcPr>
            <w:tcW w:w="991" w:type="dxa"/>
            <w:tcMar>
              <w:left w:w="28" w:type="dxa"/>
              <w:right w:w="28" w:type="dxa"/>
            </w:tcMar>
            <w:vAlign w:val="center"/>
          </w:tcPr>
          <w:p w14:paraId="643B6CBA">
            <w:pPr>
              <w:jc w:val="center"/>
              <w:rPr>
                <w:rFonts w:hint="eastAsia" w:ascii="宋体" w:hAnsi="宋体" w:eastAsia="宋体" w:cs="宋体"/>
                <w:szCs w:val="21"/>
              </w:rPr>
            </w:pPr>
            <w:r>
              <w:rPr>
                <w:rFonts w:hint="eastAsia" w:ascii="宋体" w:hAnsi="宋体" w:eastAsia="宋体" w:cs="宋体"/>
                <w:szCs w:val="21"/>
              </w:rPr>
              <w:t>成绩考核</w:t>
            </w:r>
          </w:p>
        </w:tc>
        <w:tc>
          <w:tcPr>
            <w:tcW w:w="6781" w:type="dxa"/>
            <w:tcBorders>
              <w:right w:val="single" w:color="auto" w:sz="8" w:space="0"/>
            </w:tcBorders>
            <w:vAlign w:val="center"/>
          </w:tcPr>
          <w:p w14:paraId="56C70EE2">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本课程考核的方式：考试。总评成绩的评定见课程评分方案。有下列情况之一者，总评成绩为不及格：</w:t>
            </w:r>
          </w:p>
          <w:p w14:paraId="2D92E2D9">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1.课外体育锻炼不合格者；</w:t>
            </w:r>
          </w:p>
          <w:p w14:paraId="77156423">
            <w:pPr>
              <w:autoSpaceDE w:val="0"/>
              <w:autoSpaceDN w:val="0"/>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2.缺课次数达本学期总授课学时的1/3以上者；</w:t>
            </w:r>
          </w:p>
        </w:tc>
      </w:tr>
    </w:tbl>
    <w:p w14:paraId="0CBDF1E2">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五、课程考核</w:t>
      </w:r>
    </w:p>
    <w:p w14:paraId="6DF51F66">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（一）课程考核由期末考试和平时考核构成，期末考试采用随堂方式。</w:t>
      </w:r>
    </w:p>
    <w:p w14:paraId="6FC28403">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（二）课程总评成绩=平时成绩50%+期末考试50%，平时成绩=课堂表现10%+课外锻炼20%+体质测试20%。</w:t>
      </w:r>
    </w:p>
    <w:p w14:paraId="144F5FF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具体内容和比例如表所示：</w:t>
      </w:r>
    </w:p>
    <w:tbl>
      <w:tblPr>
        <w:tblStyle w:val="11"/>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43EC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4420C6AB">
            <w:pPr>
              <w:jc w:val="center"/>
              <w:rPr>
                <w:rFonts w:hint="eastAsia" w:ascii="宋体" w:hAnsi="宋体" w:eastAsia="宋体" w:cs="宋体"/>
                <w:szCs w:val="21"/>
              </w:rPr>
            </w:pPr>
            <w:r>
              <w:rPr>
                <w:rFonts w:hint="eastAsia" w:ascii="宋体" w:hAnsi="宋体" w:eastAsia="宋体" w:cs="宋体"/>
                <w:szCs w:val="21"/>
              </w:rPr>
              <w:t>成绩组成</w:t>
            </w:r>
          </w:p>
        </w:tc>
        <w:tc>
          <w:tcPr>
            <w:tcW w:w="1301" w:type="dxa"/>
            <w:shd w:val="clear" w:color="auto" w:fill="FFFFFF"/>
            <w:vAlign w:val="center"/>
          </w:tcPr>
          <w:p w14:paraId="38725C59">
            <w:pPr>
              <w:jc w:val="center"/>
              <w:rPr>
                <w:rFonts w:hint="eastAsia" w:ascii="宋体" w:hAnsi="宋体" w:eastAsia="宋体" w:cs="宋体"/>
                <w:szCs w:val="21"/>
              </w:rPr>
            </w:pPr>
            <w:r>
              <w:rPr>
                <w:rFonts w:hint="eastAsia" w:ascii="宋体" w:hAnsi="宋体" w:eastAsia="宋体" w:cs="宋体"/>
                <w:szCs w:val="21"/>
              </w:rPr>
              <w:t>考核/评价环节</w:t>
            </w:r>
          </w:p>
        </w:tc>
        <w:tc>
          <w:tcPr>
            <w:tcW w:w="741" w:type="dxa"/>
            <w:shd w:val="clear" w:color="auto" w:fill="FFFFFF"/>
            <w:vAlign w:val="center"/>
          </w:tcPr>
          <w:p w14:paraId="164D8E16">
            <w:pPr>
              <w:jc w:val="center"/>
              <w:rPr>
                <w:rFonts w:hint="eastAsia" w:ascii="宋体" w:hAnsi="宋体" w:eastAsia="宋体" w:cs="宋体"/>
                <w:szCs w:val="21"/>
              </w:rPr>
            </w:pPr>
            <w:r>
              <w:rPr>
                <w:rFonts w:hint="eastAsia" w:ascii="宋体" w:hAnsi="宋体" w:eastAsia="宋体" w:cs="宋体"/>
                <w:szCs w:val="21"/>
              </w:rPr>
              <w:t>权重</w:t>
            </w:r>
          </w:p>
        </w:tc>
        <w:tc>
          <w:tcPr>
            <w:tcW w:w="4086" w:type="dxa"/>
            <w:shd w:val="clear" w:color="auto" w:fill="FFFFFF"/>
            <w:vAlign w:val="center"/>
          </w:tcPr>
          <w:p w14:paraId="3850ADF8">
            <w:pPr>
              <w:jc w:val="center"/>
              <w:rPr>
                <w:rFonts w:hint="eastAsia" w:ascii="宋体" w:hAnsi="宋体" w:eastAsia="宋体" w:cs="宋体"/>
                <w:szCs w:val="21"/>
              </w:rPr>
            </w:pPr>
            <w:r>
              <w:rPr>
                <w:rFonts w:hint="eastAsia" w:ascii="宋体" w:hAnsi="宋体" w:eastAsia="宋体" w:cs="宋体"/>
                <w:szCs w:val="21"/>
              </w:rPr>
              <w:t>考核/评价细则</w:t>
            </w:r>
          </w:p>
        </w:tc>
        <w:tc>
          <w:tcPr>
            <w:tcW w:w="1310" w:type="dxa"/>
            <w:shd w:val="clear" w:color="auto" w:fill="FFFFFF"/>
            <w:vAlign w:val="center"/>
          </w:tcPr>
          <w:p w14:paraId="0A2EE3FB">
            <w:pPr>
              <w:jc w:val="center"/>
              <w:rPr>
                <w:rFonts w:hint="eastAsia" w:ascii="宋体" w:hAnsi="宋体" w:eastAsia="宋体" w:cs="宋体"/>
                <w:szCs w:val="21"/>
              </w:rPr>
            </w:pPr>
            <w:r>
              <w:rPr>
                <w:rFonts w:hint="eastAsia" w:ascii="宋体" w:hAnsi="宋体" w:eastAsia="宋体" w:cs="宋体"/>
                <w:szCs w:val="21"/>
              </w:rPr>
              <w:t>对应的毕业要求指标点</w:t>
            </w:r>
          </w:p>
        </w:tc>
      </w:tr>
      <w:tr w14:paraId="1F62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6CE8593F">
            <w:pPr>
              <w:jc w:val="center"/>
              <w:rPr>
                <w:rFonts w:hint="eastAsia" w:ascii="宋体" w:hAnsi="宋体" w:eastAsia="宋体" w:cs="宋体"/>
                <w:szCs w:val="21"/>
              </w:rPr>
            </w:pPr>
            <w:r>
              <w:rPr>
                <w:rFonts w:hint="eastAsia" w:ascii="宋体" w:hAnsi="宋体" w:eastAsia="宋体" w:cs="宋体"/>
                <w:szCs w:val="21"/>
              </w:rPr>
              <w:t>平时成绩</w:t>
            </w:r>
          </w:p>
          <w:p w14:paraId="28B4B754">
            <w:pPr>
              <w:jc w:val="center"/>
              <w:rPr>
                <w:rFonts w:hint="eastAsia" w:ascii="宋体" w:hAnsi="宋体" w:eastAsia="宋体" w:cs="宋体"/>
                <w:szCs w:val="21"/>
              </w:rPr>
            </w:pPr>
            <w:r>
              <w:rPr>
                <w:rFonts w:hint="eastAsia" w:ascii="宋体" w:hAnsi="宋体" w:eastAsia="宋体" w:cs="宋体"/>
                <w:szCs w:val="21"/>
              </w:rPr>
              <w:t>50%</w:t>
            </w:r>
          </w:p>
        </w:tc>
        <w:tc>
          <w:tcPr>
            <w:tcW w:w="1301" w:type="dxa"/>
            <w:vAlign w:val="center"/>
          </w:tcPr>
          <w:p w14:paraId="37E9EBA8">
            <w:pPr>
              <w:spacing w:line="276" w:lineRule="auto"/>
              <w:jc w:val="center"/>
              <w:rPr>
                <w:rFonts w:hint="eastAsia" w:ascii="宋体" w:hAnsi="宋体" w:eastAsia="宋体" w:cs="宋体"/>
                <w:szCs w:val="21"/>
              </w:rPr>
            </w:pPr>
            <w:r>
              <w:rPr>
                <w:rFonts w:hint="eastAsia" w:ascii="宋体" w:hAnsi="宋体" w:eastAsia="宋体" w:cs="宋体"/>
                <w:szCs w:val="21"/>
              </w:rPr>
              <w:t>课堂表现</w:t>
            </w:r>
          </w:p>
        </w:tc>
        <w:tc>
          <w:tcPr>
            <w:tcW w:w="741" w:type="dxa"/>
            <w:vAlign w:val="center"/>
          </w:tcPr>
          <w:p w14:paraId="24025337">
            <w:pPr>
              <w:rPr>
                <w:rFonts w:hint="eastAsia" w:ascii="宋体" w:hAnsi="宋体" w:eastAsia="宋体" w:cs="宋体"/>
                <w:szCs w:val="21"/>
              </w:rPr>
            </w:pPr>
            <w:r>
              <w:rPr>
                <w:rFonts w:hint="eastAsia" w:ascii="宋体" w:hAnsi="宋体" w:eastAsia="宋体" w:cs="宋体"/>
                <w:szCs w:val="21"/>
              </w:rPr>
              <w:t xml:space="preserve"> 10%</w:t>
            </w:r>
          </w:p>
        </w:tc>
        <w:tc>
          <w:tcPr>
            <w:tcW w:w="4086" w:type="dxa"/>
            <w:vAlign w:val="center"/>
          </w:tcPr>
          <w:p w14:paraId="083F2DE4">
            <w:pPr>
              <w:spacing w:line="320" w:lineRule="exact"/>
              <w:jc w:val="left"/>
              <w:rPr>
                <w:rFonts w:hint="eastAsia" w:ascii="宋体" w:hAnsi="宋体" w:eastAsia="宋体" w:cs="宋体"/>
                <w:sz w:val="24"/>
              </w:rPr>
            </w:pPr>
            <w:r>
              <w:rPr>
                <w:rFonts w:hint="eastAsia" w:ascii="宋体" w:hAnsi="宋体" w:eastAsia="宋体" w:cs="宋体"/>
                <w:bCs/>
                <w:kern w:val="24"/>
                <w:szCs w:val="21"/>
              </w:rPr>
              <w:t>课堂整队点名，考核</w:t>
            </w:r>
            <w:r>
              <w:rPr>
                <w:rFonts w:hint="eastAsia" w:ascii="宋体" w:hAnsi="宋体" w:eastAsia="宋体" w:cs="宋体"/>
                <w:szCs w:val="21"/>
              </w:rPr>
              <w:t>能否按时到勤，旷课一次扣20分，迟到与早退等一次扣10分。</w:t>
            </w:r>
          </w:p>
        </w:tc>
        <w:tc>
          <w:tcPr>
            <w:tcW w:w="1310" w:type="dxa"/>
            <w:vAlign w:val="center"/>
          </w:tcPr>
          <w:p w14:paraId="7AD02D2F">
            <w:pPr>
              <w:jc w:val="center"/>
              <w:rPr>
                <w:rFonts w:hint="eastAsia" w:ascii="宋体" w:hAnsi="宋体" w:eastAsia="宋体" w:cs="宋体"/>
                <w:szCs w:val="21"/>
              </w:rPr>
            </w:pPr>
            <w:r>
              <w:rPr>
                <w:rFonts w:hint="eastAsia" w:ascii="宋体" w:hAnsi="宋体" w:eastAsia="宋体" w:cs="宋体"/>
                <w:bCs/>
                <w:szCs w:val="21"/>
              </w:rPr>
              <w:t>2、6</w:t>
            </w:r>
          </w:p>
        </w:tc>
      </w:tr>
      <w:tr w14:paraId="0637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1E34B7F4">
            <w:pPr>
              <w:jc w:val="center"/>
              <w:rPr>
                <w:rFonts w:hint="eastAsia" w:ascii="宋体" w:hAnsi="宋体" w:eastAsia="宋体" w:cs="宋体"/>
                <w:szCs w:val="21"/>
              </w:rPr>
            </w:pPr>
          </w:p>
        </w:tc>
        <w:tc>
          <w:tcPr>
            <w:tcW w:w="1301" w:type="dxa"/>
            <w:vAlign w:val="center"/>
          </w:tcPr>
          <w:p w14:paraId="6781D49E">
            <w:pPr>
              <w:spacing w:line="276" w:lineRule="auto"/>
              <w:jc w:val="center"/>
              <w:rPr>
                <w:rFonts w:hint="eastAsia" w:ascii="宋体" w:hAnsi="宋体" w:eastAsia="宋体" w:cs="宋体"/>
                <w:szCs w:val="21"/>
              </w:rPr>
            </w:pPr>
            <w:r>
              <w:rPr>
                <w:rFonts w:hint="eastAsia" w:ascii="宋体" w:hAnsi="宋体" w:eastAsia="宋体" w:cs="宋体"/>
                <w:szCs w:val="21"/>
              </w:rPr>
              <w:t>课外锻炼</w:t>
            </w:r>
          </w:p>
        </w:tc>
        <w:tc>
          <w:tcPr>
            <w:tcW w:w="741" w:type="dxa"/>
            <w:vAlign w:val="center"/>
          </w:tcPr>
          <w:p w14:paraId="7AC6AE73">
            <w:pPr>
              <w:rPr>
                <w:rFonts w:hint="eastAsia" w:ascii="宋体" w:hAnsi="宋体" w:eastAsia="宋体" w:cs="宋体"/>
                <w:szCs w:val="21"/>
              </w:rPr>
            </w:pPr>
            <w:r>
              <w:rPr>
                <w:rFonts w:hint="eastAsia" w:ascii="宋体" w:hAnsi="宋体" w:eastAsia="宋体" w:cs="宋体"/>
                <w:szCs w:val="21"/>
              </w:rPr>
              <w:t xml:space="preserve"> 20%</w:t>
            </w:r>
          </w:p>
        </w:tc>
        <w:tc>
          <w:tcPr>
            <w:tcW w:w="4086" w:type="dxa"/>
            <w:vAlign w:val="center"/>
          </w:tcPr>
          <w:p w14:paraId="331F780D">
            <w:pPr>
              <w:spacing w:line="320" w:lineRule="exact"/>
              <w:jc w:val="left"/>
              <w:rPr>
                <w:rFonts w:hint="eastAsia" w:ascii="宋体" w:hAnsi="宋体" w:eastAsia="宋体" w:cs="宋体"/>
                <w:bCs/>
                <w:kern w:val="24"/>
                <w:szCs w:val="21"/>
              </w:rPr>
            </w:pPr>
            <w:r>
              <w:rPr>
                <w:rFonts w:hint="eastAsia" w:ascii="宋体" w:hAnsi="宋体" w:eastAsia="宋体" w:cs="宋体"/>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10" w:type="dxa"/>
            <w:vAlign w:val="center"/>
          </w:tcPr>
          <w:p w14:paraId="594D5161">
            <w:pPr>
              <w:jc w:val="center"/>
              <w:rPr>
                <w:rFonts w:hint="eastAsia" w:ascii="宋体" w:hAnsi="宋体" w:eastAsia="宋体" w:cs="宋体"/>
              </w:rPr>
            </w:pPr>
            <w:r>
              <w:rPr>
                <w:rFonts w:hint="eastAsia" w:ascii="宋体" w:hAnsi="宋体" w:eastAsia="宋体" w:cs="宋体"/>
              </w:rPr>
              <w:t>2、6</w:t>
            </w:r>
          </w:p>
        </w:tc>
      </w:tr>
      <w:tr w14:paraId="57A4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1040" w:type="dxa"/>
            <w:vMerge w:val="continue"/>
            <w:tcMar>
              <w:left w:w="57" w:type="dxa"/>
              <w:right w:w="57" w:type="dxa"/>
            </w:tcMar>
            <w:vAlign w:val="center"/>
          </w:tcPr>
          <w:p w14:paraId="27DCEDEE">
            <w:pPr>
              <w:jc w:val="center"/>
              <w:rPr>
                <w:rFonts w:hint="eastAsia" w:ascii="宋体" w:hAnsi="宋体" w:eastAsia="宋体" w:cs="宋体"/>
                <w:szCs w:val="21"/>
              </w:rPr>
            </w:pPr>
          </w:p>
        </w:tc>
        <w:tc>
          <w:tcPr>
            <w:tcW w:w="1301" w:type="dxa"/>
            <w:vAlign w:val="center"/>
          </w:tcPr>
          <w:p w14:paraId="61A07E81">
            <w:pPr>
              <w:spacing w:line="276" w:lineRule="auto"/>
              <w:jc w:val="center"/>
              <w:rPr>
                <w:rFonts w:hint="eastAsia" w:ascii="宋体" w:hAnsi="宋体" w:eastAsia="宋体" w:cs="宋体"/>
                <w:szCs w:val="21"/>
              </w:rPr>
            </w:pPr>
            <w:r>
              <w:rPr>
                <w:rFonts w:hint="eastAsia" w:ascii="宋体" w:hAnsi="宋体" w:eastAsia="宋体" w:cs="宋体"/>
                <w:szCs w:val="21"/>
              </w:rPr>
              <w:t>体质测试</w:t>
            </w:r>
          </w:p>
        </w:tc>
        <w:tc>
          <w:tcPr>
            <w:tcW w:w="741" w:type="dxa"/>
            <w:vAlign w:val="center"/>
          </w:tcPr>
          <w:p w14:paraId="6521F9CC">
            <w:pPr>
              <w:jc w:val="center"/>
              <w:rPr>
                <w:rFonts w:hint="eastAsia" w:ascii="宋体" w:hAnsi="宋体" w:eastAsia="宋体" w:cs="宋体"/>
                <w:szCs w:val="21"/>
              </w:rPr>
            </w:pPr>
            <w:r>
              <w:rPr>
                <w:rFonts w:hint="eastAsia" w:ascii="宋体" w:hAnsi="宋体" w:eastAsia="宋体" w:cs="宋体"/>
                <w:szCs w:val="21"/>
              </w:rPr>
              <w:t>20%</w:t>
            </w:r>
          </w:p>
        </w:tc>
        <w:tc>
          <w:tcPr>
            <w:tcW w:w="4086" w:type="dxa"/>
            <w:vAlign w:val="center"/>
          </w:tcPr>
          <w:p w14:paraId="6378E644">
            <w:pPr>
              <w:spacing w:line="320" w:lineRule="exact"/>
              <w:jc w:val="left"/>
              <w:rPr>
                <w:rFonts w:hint="eastAsia" w:ascii="宋体" w:hAnsi="宋体" w:eastAsia="宋体" w:cs="宋体"/>
                <w:sz w:val="24"/>
              </w:rPr>
            </w:pPr>
            <w:r>
              <w:rPr>
                <w:rFonts w:hint="eastAsia" w:ascii="宋体" w:hAnsi="宋体" w:eastAsia="宋体" w:cs="宋体"/>
                <w:bCs/>
                <w:kern w:val="24"/>
                <w:szCs w:val="21"/>
              </w:rPr>
              <w:t>根据《国家学生体质健康标准》测试要求，测试身高、体重、肺活量、立定跳远、一分钟仰卧起坐（女）/引体向上（男）、坐位体前屈、50M、1000M（男）/800M（女）等八个项目；课堂测试，评分参照《国家学生体质健康标准》。</w:t>
            </w:r>
          </w:p>
        </w:tc>
        <w:tc>
          <w:tcPr>
            <w:tcW w:w="1310" w:type="dxa"/>
            <w:vAlign w:val="center"/>
          </w:tcPr>
          <w:p w14:paraId="3026B2C5">
            <w:pPr>
              <w:jc w:val="center"/>
              <w:rPr>
                <w:rFonts w:hint="eastAsia" w:ascii="宋体" w:hAnsi="宋体" w:eastAsia="宋体" w:cs="宋体"/>
              </w:rPr>
            </w:pPr>
            <w:r>
              <w:rPr>
                <w:rFonts w:hint="eastAsia" w:ascii="宋体" w:hAnsi="宋体" w:eastAsia="宋体" w:cs="宋体"/>
              </w:rPr>
              <w:t>2、6</w:t>
            </w:r>
          </w:p>
        </w:tc>
      </w:tr>
      <w:tr w14:paraId="009C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tcMar>
              <w:left w:w="57" w:type="dxa"/>
              <w:right w:w="57" w:type="dxa"/>
            </w:tcMar>
            <w:vAlign w:val="center"/>
          </w:tcPr>
          <w:p w14:paraId="6DBAB6BD">
            <w:pPr>
              <w:jc w:val="center"/>
              <w:rPr>
                <w:rFonts w:hint="eastAsia" w:ascii="宋体" w:hAnsi="宋体" w:eastAsia="宋体" w:cs="宋体"/>
                <w:szCs w:val="21"/>
              </w:rPr>
            </w:pPr>
            <w:r>
              <w:rPr>
                <w:rFonts w:hint="eastAsia" w:ascii="宋体" w:hAnsi="宋体" w:eastAsia="宋体" w:cs="宋体"/>
                <w:szCs w:val="21"/>
              </w:rPr>
              <w:t>期末考试</w:t>
            </w:r>
          </w:p>
          <w:p w14:paraId="2F017549">
            <w:pPr>
              <w:jc w:val="center"/>
              <w:rPr>
                <w:rFonts w:hint="eastAsia" w:ascii="宋体" w:hAnsi="宋体" w:eastAsia="宋体" w:cs="宋体"/>
                <w:szCs w:val="21"/>
              </w:rPr>
            </w:pPr>
            <w:r>
              <w:rPr>
                <w:rFonts w:hint="eastAsia" w:ascii="宋体" w:hAnsi="宋体" w:eastAsia="宋体" w:cs="宋体"/>
                <w:szCs w:val="21"/>
              </w:rPr>
              <w:t>50%</w:t>
            </w:r>
          </w:p>
        </w:tc>
        <w:tc>
          <w:tcPr>
            <w:tcW w:w="1301" w:type="dxa"/>
            <w:vAlign w:val="center"/>
          </w:tcPr>
          <w:p w14:paraId="65FD387A">
            <w:pPr>
              <w:jc w:val="center"/>
              <w:rPr>
                <w:rFonts w:hint="eastAsia" w:ascii="宋体" w:hAnsi="宋体" w:eastAsia="宋体" w:cs="宋体"/>
                <w:szCs w:val="21"/>
              </w:rPr>
            </w:pPr>
            <w:r>
              <w:rPr>
                <w:rFonts w:hint="eastAsia" w:ascii="宋体" w:hAnsi="宋体" w:eastAsia="宋体" w:cs="宋体"/>
                <w:szCs w:val="21"/>
              </w:rPr>
              <w:t>期末运动技能考试</w:t>
            </w:r>
          </w:p>
        </w:tc>
        <w:tc>
          <w:tcPr>
            <w:tcW w:w="741" w:type="dxa"/>
            <w:vAlign w:val="center"/>
          </w:tcPr>
          <w:p w14:paraId="3E6C7AAF">
            <w:pPr>
              <w:jc w:val="center"/>
              <w:rPr>
                <w:rFonts w:hint="eastAsia" w:ascii="宋体" w:hAnsi="宋体" w:eastAsia="宋体" w:cs="宋体"/>
                <w:szCs w:val="21"/>
              </w:rPr>
            </w:pPr>
            <w:r>
              <w:rPr>
                <w:rFonts w:hint="eastAsia" w:ascii="宋体" w:hAnsi="宋体" w:eastAsia="宋体" w:cs="宋体"/>
                <w:szCs w:val="21"/>
              </w:rPr>
              <w:t xml:space="preserve">   50%</w:t>
            </w:r>
          </w:p>
        </w:tc>
        <w:tc>
          <w:tcPr>
            <w:tcW w:w="4086" w:type="dxa"/>
            <w:vAlign w:val="center"/>
          </w:tcPr>
          <w:p w14:paraId="62AB67A9">
            <w:pPr>
              <w:spacing w:line="400" w:lineRule="exact"/>
              <w:jc w:val="center"/>
              <w:rPr>
                <w:rFonts w:hint="eastAsia" w:ascii="宋体" w:hAnsi="宋体" w:eastAsia="宋体" w:cs="宋体"/>
                <w:szCs w:val="21"/>
              </w:rPr>
            </w:pPr>
            <w:r>
              <w:rPr>
                <w:rFonts w:hint="eastAsia" w:ascii="宋体" w:hAnsi="宋体" w:eastAsia="宋体" w:cs="宋体"/>
                <w:szCs w:val="21"/>
              </w:rPr>
              <w:t>各专项技能</w:t>
            </w:r>
          </w:p>
        </w:tc>
        <w:tc>
          <w:tcPr>
            <w:tcW w:w="1310" w:type="dxa"/>
            <w:vAlign w:val="center"/>
          </w:tcPr>
          <w:p w14:paraId="64B4A14C">
            <w:pPr>
              <w:jc w:val="center"/>
              <w:rPr>
                <w:rFonts w:hint="eastAsia" w:ascii="宋体" w:hAnsi="宋体" w:eastAsia="宋体" w:cs="宋体"/>
                <w:szCs w:val="21"/>
              </w:rPr>
            </w:pPr>
            <w:r>
              <w:rPr>
                <w:rFonts w:hint="eastAsia" w:ascii="宋体" w:hAnsi="宋体" w:eastAsia="宋体" w:cs="宋体"/>
                <w:bCs/>
                <w:szCs w:val="21"/>
              </w:rPr>
              <w:t>2、6</w:t>
            </w:r>
          </w:p>
        </w:tc>
      </w:tr>
    </w:tbl>
    <w:p w14:paraId="1C106CC2">
      <w:pPr>
        <w:autoSpaceDE w:val="0"/>
        <w:autoSpaceDN w:val="0"/>
        <w:adjustRightInd w:val="0"/>
        <w:spacing w:before="62" w:beforeLines="20" w:after="62" w:afterLines="20" w:line="360" w:lineRule="auto"/>
        <w:jc w:val="left"/>
        <w:rPr>
          <w:rFonts w:hint="eastAsia" w:ascii="宋体" w:hAnsi="宋体" w:eastAsia="宋体" w:cs="宋体"/>
          <w:b/>
          <w:sz w:val="28"/>
          <w:szCs w:val="28"/>
        </w:rPr>
      </w:pPr>
      <w:r>
        <w:rPr>
          <w:rFonts w:hint="eastAsia" w:ascii="宋体" w:hAnsi="宋体" w:eastAsia="宋体" w:cs="宋体"/>
          <w:b/>
          <w:bCs/>
          <w:kern w:val="0"/>
          <w:sz w:val="24"/>
        </w:rPr>
        <w:t>六、有关说明</w:t>
      </w:r>
    </w:p>
    <w:p w14:paraId="3D28FD4F">
      <w:pPr>
        <w:spacing w:line="312" w:lineRule="auto"/>
        <w:ind w:firstLine="422" w:firstLineChars="200"/>
        <w:rPr>
          <w:rFonts w:hint="eastAsia" w:ascii="宋体" w:hAnsi="宋体" w:eastAsia="宋体" w:cs="宋体"/>
          <w:b/>
          <w:szCs w:val="21"/>
        </w:rPr>
      </w:pPr>
      <w:r>
        <w:rPr>
          <w:rFonts w:hint="eastAsia" w:ascii="宋体" w:hAnsi="宋体" w:eastAsia="宋体" w:cs="宋体"/>
          <w:b/>
          <w:szCs w:val="21"/>
        </w:rPr>
        <w:t>（一）持续改进</w:t>
      </w:r>
    </w:p>
    <w:p w14:paraId="688A92D4">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本课程根据学生课外体育锻炼、课堂表现、体质测试、平时考核情况，以及学生、教学督导等反馈，及时对教学中不足之处进行改进</w:t>
      </w:r>
      <w:r>
        <w:rPr>
          <w:rFonts w:hint="eastAsia" w:ascii="宋体" w:hAnsi="宋体" w:eastAsia="宋体" w:cs="宋体"/>
          <w:szCs w:val="20"/>
        </w:rPr>
        <w:t>，并在下一轮课程教学中整改完善，</w:t>
      </w:r>
      <w:r>
        <w:rPr>
          <w:rFonts w:hint="eastAsia" w:ascii="宋体" w:hAnsi="宋体" w:eastAsia="宋体" w:cs="宋体"/>
          <w:szCs w:val="21"/>
        </w:rPr>
        <w:t>确保相应毕业要求指标点达成。</w:t>
      </w:r>
    </w:p>
    <w:p w14:paraId="272FD058">
      <w:pPr>
        <w:spacing w:line="312" w:lineRule="auto"/>
        <w:ind w:firstLine="422" w:firstLineChars="200"/>
        <w:jc w:val="left"/>
        <w:rPr>
          <w:rFonts w:hint="eastAsia" w:ascii="宋体" w:hAnsi="宋体" w:eastAsia="宋体" w:cs="宋体"/>
          <w:szCs w:val="21"/>
        </w:rPr>
      </w:pPr>
      <w:r>
        <w:rPr>
          <w:rFonts w:hint="eastAsia" w:ascii="宋体" w:hAnsi="宋体" w:eastAsia="宋体" w:cs="宋体"/>
          <w:b/>
          <w:szCs w:val="21"/>
        </w:rPr>
        <w:t>（二）教学参考书</w:t>
      </w:r>
    </w:p>
    <w:p w14:paraId="70588713">
      <w:pPr>
        <w:spacing w:line="312" w:lineRule="auto"/>
        <w:ind w:firstLine="420" w:firstLineChars="200"/>
        <w:jc w:val="left"/>
        <w:rPr>
          <w:rFonts w:hint="eastAsia" w:ascii="宋体" w:hAnsi="宋体" w:eastAsia="宋体" w:cs="宋体"/>
          <w:szCs w:val="21"/>
        </w:rPr>
      </w:pPr>
      <w:r>
        <w:rPr>
          <w:rFonts w:hint="eastAsia" w:ascii="宋体" w:hAnsi="宋体" w:eastAsia="宋体" w:cs="宋体"/>
          <w:szCs w:val="21"/>
        </w:rPr>
        <w:t>1.毛振明.大学体育文化与实技教程[M].沈阳：东北大学出版社，2013.</w:t>
      </w:r>
    </w:p>
    <w:p w14:paraId="0F42CC35">
      <w:pPr>
        <w:wordWrap w:val="0"/>
        <w:spacing w:line="312" w:lineRule="auto"/>
        <w:ind w:firstLine="420" w:firstLineChars="200"/>
        <w:jc w:val="right"/>
        <w:rPr>
          <w:rFonts w:hint="eastAsia" w:ascii="宋体" w:hAnsi="宋体" w:eastAsia="宋体" w:cs="宋体"/>
          <w:szCs w:val="21"/>
        </w:rPr>
      </w:pPr>
      <w:r>
        <w:rPr>
          <w:rFonts w:hint="eastAsia" w:ascii="宋体" w:hAnsi="宋体" w:eastAsia="宋体" w:cs="宋体"/>
          <w:szCs w:val="21"/>
        </w:rPr>
        <w:t xml:space="preserve">执笔人：顾  宏 </w:t>
      </w:r>
    </w:p>
    <w:p w14:paraId="10A0BABD">
      <w:pPr>
        <w:wordWrap w:val="0"/>
        <w:spacing w:line="312" w:lineRule="auto"/>
        <w:ind w:firstLine="420" w:firstLineChars="200"/>
        <w:jc w:val="right"/>
        <w:rPr>
          <w:rFonts w:hint="eastAsia" w:ascii="宋体" w:hAnsi="宋体" w:eastAsia="宋体" w:cs="宋体"/>
          <w:szCs w:val="21"/>
        </w:rPr>
      </w:pPr>
      <w:r>
        <w:rPr>
          <w:rFonts w:hint="eastAsia" w:ascii="宋体" w:hAnsi="宋体" w:eastAsia="宋体" w:cs="宋体"/>
          <w:szCs w:val="21"/>
        </w:rPr>
        <w:t xml:space="preserve">审定人：朱亚男 </w:t>
      </w:r>
    </w:p>
    <w:p w14:paraId="0128A1F5">
      <w:pPr>
        <w:wordWrap w:val="0"/>
        <w:spacing w:line="312" w:lineRule="auto"/>
        <w:ind w:firstLine="420" w:firstLineChars="200"/>
        <w:jc w:val="right"/>
        <w:rPr>
          <w:rFonts w:hint="eastAsia" w:ascii="宋体" w:hAnsi="宋体" w:eastAsia="宋体" w:cs="宋体"/>
          <w:szCs w:val="21"/>
        </w:rPr>
      </w:pPr>
      <w:r>
        <w:rPr>
          <w:rFonts w:hint="eastAsia" w:ascii="宋体" w:hAnsi="宋体" w:eastAsia="宋体" w:cs="宋体"/>
          <w:szCs w:val="21"/>
        </w:rPr>
        <w:t xml:space="preserve">批准人：王红福 </w:t>
      </w:r>
    </w:p>
    <w:p w14:paraId="0ED9D773">
      <w:pPr>
        <w:jc w:val="right"/>
        <w:rPr>
          <w:rFonts w:hint="eastAsia" w:ascii="等线" w:hAnsi="等线" w:eastAsia="等线" w:cs="等线"/>
          <w:b/>
          <w:bCs/>
          <w:sz w:val="36"/>
          <w:szCs w:val="36"/>
        </w:rPr>
      </w:pPr>
      <w:r>
        <w:rPr>
          <w:rFonts w:hint="eastAsia" w:ascii="宋体" w:hAnsi="宋体" w:eastAsia="宋体" w:cs="宋体"/>
          <w:sz w:val="24"/>
        </w:rPr>
        <w:t>批准时间：2025年7月1日</w:t>
      </w:r>
    </w:p>
    <w:p w14:paraId="562B0708">
      <w:pPr>
        <w:rPr>
          <w:rFonts w:hint="eastAsia" w:ascii="等线" w:hAnsi="等线" w:eastAsia="等线" w:cs="等线"/>
          <w:b/>
          <w:bCs/>
          <w:sz w:val="36"/>
          <w:szCs w:val="36"/>
        </w:rPr>
      </w:pPr>
    </w:p>
    <w:p w14:paraId="4BB9A259">
      <w:pPr>
        <w:rPr>
          <w:rFonts w:hint="eastAsia" w:ascii="等线" w:hAnsi="等线" w:eastAsia="等线" w:cs="等线"/>
          <w:b/>
          <w:bCs/>
          <w:sz w:val="36"/>
          <w:szCs w:val="36"/>
        </w:rPr>
      </w:pPr>
      <w:r>
        <w:rPr>
          <w:rFonts w:hint="eastAsia" w:ascii="等线" w:hAnsi="等线" w:eastAsia="等线" w:cs="等线"/>
          <w:b/>
          <w:bCs/>
          <w:sz w:val="36"/>
          <w:szCs w:val="36"/>
        </w:rPr>
        <w:br w:type="page"/>
      </w:r>
    </w:p>
    <w:p w14:paraId="2B9609CC">
      <w:pPr>
        <w:spacing w:line="360" w:lineRule="auto"/>
        <w:jc w:val="center"/>
        <w:outlineLvl w:val="0"/>
        <w:rPr>
          <w:rFonts w:ascii="Times New Roman" w:hAnsi="Times New Roman" w:eastAsia="宋体" w:cs="Times New Roman"/>
          <w:b/>
          <w:sz w:val="44"/>
          <w:szCs w:val="44"/>
        </w:rPr>
      </w:pPr>
      <w:bookmarkStart w:id="96" w:name="_Toc26118"/>
      <w:bookmarkStart w:id="97" w:name="_Toc19586"/>
      <w:bookmarkStart w:id="98" w:name="_Toc2214"/>
      <w:bookmarkStart w:id="99" w:name="_Toc6055"/>
      <w:r>
        <w:rPr>
          <w:rFonts w:hint="eastAsia" w:ascii="Times New Roman" w:hAnsi="Times New Roman" w:eastAsia="宋体" w:cs="Times New Roman"/>
          <w:b/>
          <w:sz w:val="44"/>
          <w:szCs w:val="44"/>
        </w:rPr>
        <w:t>《体育II》课程教学大纲</w:t>
      </w:r>
      <w:bookmarkEnd w:id="96"/>
      <w:bookmarkEnd w:id="97"/>
      <w:bookmarkEnd w:id="98"/>
      <w:bookmarkEnd w:id="99"/>
    </w:p>
    <w:p w14:paraId="3602AC4E">
      <w:pPr>
        <w:spacing w:line="360" w:lineRule="auto"/>
        <w:jc w:val="center"/>
        <w:rPr>
          <w:rFonts w:ascii="Times New Roman" w:hAnsi="Times New Roman" w:eastAsia="宋体" w:cs="Times New Roman"/>
          <w:b/>
          <w:bCs/>
          <w:sz w:val="28"/>
          <w:szCs w:val="28"/>
        </w:rPr>
      </w:pPr>
      <w:bookmarkStart w:id="100" w:name="_Toc24251"/>
      <w:bookmarkStart w:id="101" w:name="_Toc30414"/>
      <w:bookmarkStart w:id="102" w:name="_Toc17123"/>
      <w:bookmarkStart w:id="103" w:name="_Toc3853"/>
      <w:bookmarkStart w:id="104" w:name="_Toc6168"/>
      <w:bookmarkStart w:id="105" w:name="_Toc20654"/>
      <w:bookmarkStart w:id="106" w:name="_Toc1767"/>
      <w:r>
        <w:rPr>
          <w:rFonts w:hint="eastAsia" w:ascii="Times New Roman" w:hAnsi="Times New Roman" w:eastAsia="宋体" w:cs="Times New Roman"/>
          <w:b/>
          <w:bCs/>
          <w:sz w:val="28"/>
          <w:szCs w:val="28"/>
        </w:rPr>
        <w:t>（Physical  Education II）</w:t>
      </w:r>
      <w:bookmarkEnd w:id="100"/>
      <w:bookmarkEnd w:id="101"/>
      <w:bookmarkEnd w:id="102"/>
      <w:bookmarkEnd w:id="103"/>
      <w:bookmarkEnd w:id="104"/>
      <w:bookmarkEnd w:id="105"/>
      <w:bookmarkEnd w:id="106"/>
    </w:p>
    <w:p w14:paraId="1F98F3F8">
      <w:pPr>
        <w:rPr>
          <w:rFonts w:hint="eastAsia" w:ascii="宋体" w:hAnsi="宋体" w:eastAsia="宋体" w:cs="宋体"/>
          <w:szCs w:val="20"/>
        </w:rPr>
      </w:pPr>
    </w:p>
    <w:p w14:paraId="49D43D72">
      <w:pPr>
        <w:spacing w:line="360" w:lineRule="auto"/>
        <w:ind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rPr>
        <w:t>课程名称：体育II</w:t>
      </w:r>
    </w:p>
    <w:p w14:paraId="6E461BC6">
      <w:pPr>
        <w:spacing w:line="360" w:lineRule="auto"/>
        <w:ind w:firstLine="482" w:firstLineChars="200"/>
        <w:jc w:val="left"/>
        <w:rPr>
          <w:rFonts w:hint="eastAsia" w:ascii="宋体" w:hAnsi="宋体" w:eastAsia="宋体" w:cs="宋体"/>
          <w:b/>
          <w:bCs/>
          <w:sz w:val="24"/>
        </w:rPr>
      </w:pPr>
      <w:r>
        <w:rPr>
          <w:rFonts w:hint="eastAsia" w:ascii="宋体" w:hAnsi="宋体" w:eastAsia="宋体" w:cs="宋体"/>
          <w:b/>
          <w:bCs/>
          <w:kern w:val="0"/>
          <w:sz w:val="24"/>
        </w:rPr>
        <w:t>课程代码：1101020</w:t>
      </w:r>
    </w:p>
    <w:p w14:paraId="12A46136">
      <w:pPr>
        <w:spacing w:line="360" w:lineRule="auto"/>
        <w:ind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rPr>
        <w:t>学    分：0.75</w:t>
      </w:r>
    </w:p>
    <w:p w14:paraId="473205D8">
      <w:pPr>
        <w:spacing w:line="360" w:lineRule="auto"/>
        <w:ind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rPr>
        <w:t>学    时：30</w:t>
      </w:r>
    </w:p>
    <w:p w14:paraId="65171645">
      <w:pPr>
        <w:spacing w:line="360" w:lineRule="auto"/>
        <w:ind w:firstLine="482" w:firstLineChars="200"/>
        <w:jc w:val="left"/>
        <w:rPr>
          <w:rFonts w:hint="eastAsia" w:ascii="宋体" w:hAnsi="宋体" w:eastAsia="宋体" w:cs="宋体"/>
          <w:b/>
          <w:bCs/>
          <w:kern w:val="0"/>
          <w:sz w:val="24"/>
        </w:rPr>
      </w:pPr>
      <w:r>
        <w:rPr>
          <w:rFonts w:hint="eastAsia" w:ascii="宋体" w:hAnsi="宋体" w:eastAsia="宋体" w:cs="宋体"/>
          <w:b/>
          <w:bCs/>
          <w:kern w:val="0"/>
          <w:sz w:val="24"/>
        </w:rPr>
        <w:t>先修课程：无</w:t>
      </w:r>
    </w:p>
    <w:p w14:paraId="41BE36FF">
      <w:pPr>
        <w:spacing w:line="360" w:lineRule="auto"/>
        <w:ind w:firstLine="482" w:firstLineChars="200"/>
        <w:jc w:val="left"/>
        <w:rPr>
          <w:rFonts w:hint="eastAsia" w:ascii="宋体" w:hAnsi="宋体" w:eastAsia="宋体" w:cs="宋体"/>
          <w:kern w:val="0"/>
          <w:sz w:val="24"/>
        </w:rPr>
      </w:pPr>
      <w:r>
        <w:rPr>
          <w:rFonts w:hint="eastAsia" w:ascii="宋体" w:hAnsi="宋体" w:eastAsia="宋体" w:cs="宋体"/>
          <w:b/>
          <w:bCs/>
          <w:kern w:val="0"/>
          <w:sz w:val="24"/>
        </w:rPr>
        <w:t xml:space="preserve">适用专业：全校各专业    </w:t>
      </w:r>
      <w:r>
        <w:rPr>
          <w:rFonts w:hint="eastAsia" w:ascii="宋体" w:hAnsi="宋体" w:eastAsia="宋体" w:cs="宋体"/>
          <w:kern w:val="0"/>
          <w:sz w:val="24"/>
        </w:rPr>
        <w:t xml:space="preserve">                    </w:t>
      </w:r>
    </w:p>
    <w:p w14:paraId="3950BDFD">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一、课程简介</w:t>
      </w:r>
    </w:p>
    <w:p w14:paraId="69955538">
      <w:pPr>
        <w:autoSpaceDE w:val="0"/>
        <w:autoSpaceDN w:val="0"/>
        <w:adjustRightInd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本课程是面向全校各专业开设的以身体练习为主要手段，以培养学生体育人文素养和塑造健全人格为主要目的，以提高学生体质健康水平为主要目标的通识必修课；是学校课程体系的重要组成部分；是高等学校体育工作的重要环节。其教学安排在第一学年第二学期进行。</w:t>
      </w:r>
    </w:p>
    <w:p w14:paraId="20F33C08">
      <w:pPr>
        <w:autoSpaceDE w:val="0"/>
        <w:autoSpaceDN w:val="0"/>
        <w:adjustRightInd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通过本课程的学习，使学生掌握和应用基本的体育与健康知识及运动技能，增强学生体质与健康水平，激发学生参与体育活动的兴趣，促进身心和谐发展和体育技能与素养的提高。坚持以立德树人为根本，通过融入社会主义核心价值观、做人做事的道理和体育精神等课程思政元素，培养学生的爱国情怀、体育道德、规则意识、合作精神和意志品质，增强与他人交流沟通、团结合作的能力，提升学生体育核心素养。本课程将为后续课程的学习以及相关课程的学习与训练奠定重要的基础。</w:t>
      </w:r>
    </w:p>
    <w:p w14:paraId="2E52CDF5">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二、课程目标</w:t>
      </w:r>
    </w:p>
    <w:p w14:paraId="39B3FBAF">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1：全面发展体能，提高运动能力，掌握体育基本理论知识和基本技术，了解体育锻炼的健身原理，具有一定的体育文化素养和体育欣赏能力。树立“健康第一”思想和正确的体育道德观，增强团结协作意识、规则意识、公平意识和积极进取意识。</w:t>
      </w:r>
    </w:p>
    <w:p w14:paraId="48CB2D95">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目标2：积极参与各种体育活动，掌握所学项目的基本技能和锻炼方法，能科学地进行体育锻炼，掌握常见运动损伤的处理方法。学会利用体育调节身心，改善心理状态，养成积极乐观的生活态度。</w:t>
      </w:r>
    </w:p>
    <w:p w14:paraId="35A0922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本课程支撑专业培养方案中毕业要求2、6(不同专业会略有区别，具体见培养方案中的毕业要求实现矩阵)，对应关系如下表所示。</w:t>
      </w:r>
    </w:p>
    <w:tbl>
      <w:tblPr>
        <w:tblStyle w:val="12"/>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6227"/>
        <w:gridCol w:w="1318"/>
      </w:tblGrid>
      <w:tr w14:paraId="1AB8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96" w:type="pct"/>
            <w:vAlign w:val="center"/>
          </w:tcPr>
          <w:p w14:paraId="6C12F67E">
            <w:pPr>
              <w:jc w:val="center"/>
              <w:rPr>
                <w:rFonts w:hint="eastAsia" w:ascii="宋体" w:hAnsi="宋体" w:eastAsia="宋体" w:cs="宋体"/>
                <w:b/>
                <w:bCs/>
              </w:rPr>
            </w:pPr>
            <w:r>
              <w:rPr>
                <w:rFonts w:hint="eastAsia" w:ascii="宋体" w:hAnsi="宋体" w:eastAsia="宋体" w:cs="宋体"/>
                <w:b/>
                <w:bCs/>
              </w:rPr>
              <w:t>毕业要求2</w:t>
            </w:r>
          </w:p>
          <w:p w14:paraId="2E873F4E">
            <w:pPr>
              <w:jc w:val="center"/>
              <w:rPr>
                <w:rFonts w:hint="eastAsia" w:ascii="宋体" w:hAnsi="宋体" w:eastAsia="宋体" w:cs="宋体"/>
                <w:b/>
                <w:bCs/>
              </w:rPr>
            </w:pPr>
            <w:r>
              <w:rPr>
                <w:rFonts w:hint="eastAsia" w:ascii="宋体" w:hAnsi="宋体" w:eastAsia="宋体" w:cs="宋体"/>
                <w:b/>
                <w:bCs/>
              </w:rPr>
              <w:t>教育情怀</w:t>
            </w:r>
          </w:p>
        </w:tc>
        <w:tc>
          <w:tcPr>
            <w:tcW w:w="3468" w:type="pct"/>
            <w:vAlign w:val="center"/>
          </w:tcPr>
          <w:p w14:paraId="15944CCF">
            <w:pPr>
              <w:rPr>
                <w:rFonts w:hint="eastAsia" w:ascii="宋体" w:hAnsi="宋体" w:eastAsia="宋体" w:cs="宋体"/>
              </w:rPr>
            </w:pPr>
            <w:r>
              <w:rPr>
                <w:rFonts w:hint="eastAsia" w:ascii="宋体" w:hAnsi="宋体" w:eastAsia="宋体" w:cs="宋体"/>
                <w:b/>
                <w:bCs/>
              </w:rPr>
              <w:t>指标点2-3：</w:t>
            </w:r>
            <w:r>
              <w:rPr>
                <w:rFonts w:hint="eastAsia" w:ascii="宋体" w:hAnsi="宋体" w:eastAsia="宋体" w:cs="宋体"/>
              </w:rPr>
              <w:t>【自身修养良好】具有较好的人文艺术底蕴与科学精神，言行举止符合教师职业标准，情感积极，人格健全，身心健康。</w:t>
            </w:r>
          </w:p>
        </w:tc>
        <w:tc>
          <w:tcPr>
            <w:tcW w:w="734" w:type="pct"/>
            <w:vAlign w:val="center"/>
          </w:tcPr>
          <w:p w14:paraId="755360E3">
            <w:pPr>
              <w:jc w:val="center"/>
              <w:rPr>
                <w:rFonts w:hint="eastAsia" w:ascii="宋体" w:hAnsi="宋体" w:eastAsia="宋体" w:cs="宋体"/>
                <w:lang w:eastAsia="zh"/>
              </w:rPr>
            </w:pPr>
            <w:r>
              <w:rPr>
                <w:rFonts w:hint="eastAsia" w:ascii="宋体" w:hAnsi="宋体" w:eastAsia="宋体" w:cs="宋体"/>
              </w:rPr>
              <w:t>课程目标</w:t>
            </w:r>
            <w:r>
              <w:rPr>
                <w:rFonts w:hint="eastAsia" w:ascii="宋体" w:hAnsi="宋体" w:eastAsia="宋体" w:cs="宋体"/>
                <w:lang w:eastAsia="zh"/>
              </w:rPr>
              <w:t>1</w:t>
            </w:r>
          </w:p>
        </w:tc>
      </w:tr>
      <w:tr w14:paraId="4FC8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pct"/>
            <w:vAlign w:val="center"/>
          </w:tcPr>
          <w:p w14:paraId="3EAE2DF6">
            <w:pPr>
              <w:jc w:val="center"/>
              <w:rPr>
                <w:rFonts w:hint="eastAsia" w:ascii="宋体" w:hAnsi="宋体" w:eastAsia="宋体" w:cs="宋体"/>
                <w:b/>
                <w:bCs/>
              </w:rPr>
            </w:pPr>
            <w:r>
              <w:rPr>
                <w:rFonts w:hint="eastAsia" w:ascii="宋体" w:hAnsi="宋体" w:eastAsia="宋体" w:cs="宋体"/>
                <w:b/>
                <w:bCs/>
              </w:rPr>
              <w:t>毕业要求6</w:t>
            </w:r>
          </w:p>
          <w:p w14:paraId="3B25FBE7">
            <w:pPr>
              <w:jc w:val="center"/>
              <w:rPr>
                <w:rFonts w:hint="eastAsia" w:ascii="宋体" w:hAnsi="宋体" w:eastAsia="宋体" w:cs="宋体"/>
                <w:b/>
                <w:bCs/>
              </w:rPr>
            </w:pPr>
            <w:r>
              <w:rPr>
                <w:rFonts w:hint="eastAsia" w:ascii="宋体" w:hAnsi="宋体" w:eastAsia="宋体" w:cs="宋体"/>
                <w:b/>
                <w:bCs/>
              </w:rPr>
              <w:t>综合育人</w:t>
            </w:r>
          </w:p>
        </w:tc>
        <w:tc>
          <w:tcPr>
            <w:tcW w:w="3468" w:type="pct"/>
            <w:vAlign w:val="center"/>
          </w:tcPr>
          <w:p w14:paraId="3B3D95F9">
            <w:pPr>
              <w:rPr>
                <w:rFonts w:hint="eastAsia" w:ascii="宋体" w:hAnsi="宋体" w:eastAsia="宋体" w:cs="宋体"/>
              </w:rPr>
            </w:pPr>
            <w:r>
              <w:rPr>
                <w:rFonts w:hint="eastAsia" w:ascii="宋体" w:hAnsi="宋体" w:eastAsia="宋体" w:cs="宋体"/>
                <w:b/>
                <w:bCs/>
              </w:rPr>
              <w:t>指标点6-3：</w:t>
            </w:r>
            <w:r>
              <w:rPr>
                <w:rFonts w:hint="eastAsia" w:ascii="宋体" w:hAnsi="宋体" w:eastAsia="宋体" w:cs="宋体"/>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734" w:type="pct"/>
            <w:vAlign w:val="center"/>
          </w:tcPr>
          <w:p w14:paraId="44AF4F1E">
            <w:pPr>
              <w:jc w:val="center"/>
              <w:rPr>
                <w:rFonts w:hint="eastAsia" w:ascii="宋体" w:hAnsi="宋体" w:eastAsia="宋体" w:cs="宋体"/>
              </w:rPr>
            </w:pPr>
            <w:r>
              <w:rPr>
                <w:rFonts w:hint="eastAsia" w:ascii="宋体" w:hAnsi="宋体" w:eastAsia="宋体" w:cs="宋体"/>
              </w:rPr>
              <w:t>课程目标1</w:t>
            </w:r>
          </w:p>
          <w:p w14:paraId="147B0DB0">
            <w:pPr>
              <w:jc w:val="center"/>
              <w:rPr>
                <w:rFonts w:hint="eastAsia" w:ascii="宋体" w:hAnsi="宋体" w:eastAsia="宋体" w:cs="宋体"/>
              </w:rPr>
            </w:pPr>
            <w:r>
              <w:rPr>
                <w:rFonts w:hint="eastAsia" w:ascii="宋体" w:hAnsi="宋体" w:eastAsia="宋体" w:cs="宋体"/>
              </w:rPr>
              <w:t>课程目标2</w:t>
            </w:r>
          </w:p>
        </w:tc>
      </w:tr>
    </w:tbl>
    <w:p w14:paraId="68450E6C">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三、教学内容与预期学习成效</w:t>
      </w:r>
    </w:p>
    <w:tbl>
      <w:tblPr>
        <w:tblStyle w:val="11"/>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3358"/>
        <w:gridCol w:w="2953"/>
        <w:gridCol w:w="732"/>
        <w:gridCol w:w="891"/>
      </w:tblGrid>
      <w:tr w14:paraId="48CF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3C474390">
            <w:pPr>
              <w:jc w:val="center"/>
              <w:rPr>
                <w:rFonts w:hint="eastAsia" w:ascii="宋体" w:hAnsi="宋体" w:eastAsia="宋体" w:cs="宋体"/>
                <w:b/>
                <w:bCs/>
                <w:szCs w:val="21"/>
              </w:rPr>
            </w:pPr>
            <w:r>
              <w:rPr>
                <w:rFonts w:hint="eastAsia" w:ascii="宋体" w:hAnsi="宋体" w:eastAsia="宋体" w:cs="宋体"/>
                <w:b/>
                <w:bCs/>
                <w:szCs w:val="21"/>
              </w:rPr>
              <w:t>序号</w:t>
            </w:r>
          </w:p>
        </w:tc>
        <w:tc>
          <w:tcPr>
            <w:tcW w:w="1974" w:type="pct"/>
            <w:vAlign w:val="center"/>
          </w:tcPr>
          <w:p w14:paraId="14F7CE98">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1736" w:type="pct"/>
            <w:vAlign w:val="center"/>
          </w:tcPr>
          <w:p w14:paraId="01BD6A8D">
            <w:pPr>
              <w:jc w:val="center"/>
              <w:rPr>
                <w:rFonts w:hint="eastAsia" w:ascii="宋体" w:hAnsi="宋体" w:eastAsia="宋体" w:cs="宋体"/>
                <w:b/>
                <w:bCs/>
                <w:szCs w:val="21"/>
              </w:rPr>
            </w:pPr>
            <w:r>
              <w:rPr>
                <w:rFonts w:hint="eastAsia" w:ascii="宋体" w:hAnsi="宋体" w:eastAsia="宋体" w:cs="宋体"/>
                <w:b/>
                <w:bCs/>
                <w:szCs w:val="21"/>
              </w:rPr>
              <w:t>预期学习成效</w:t>
            </w:r>
          </w:p>
        </w:tc>
        <w:tc>
          <w:tcPr>
            <w:tcW w:w="430" w:type="pct"/>
            <w:vAlign w:val="center"/>
          </w:tcPr>
          <w:p w14:paraId="5AAD41B8">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523" w:type="pct"/>
            <w:vAlign w:val="center"/>
          </w:tcPr>
          <w:p w14:paraId="43BF06EA">
            <w:pPr>
              <w:jc w:val="center"/>
              <w:rPr>
                <w:rFonts w:hint="eastAsia" w:ascii="宋体" w:hAnsi="宋体" w:eastAsia="宋体" w:cs="宋体"/>
                <w:b/>
                <w:bCs/>
                <w:szCs w:val="21"/>
              </w:rPr>
            </w:pPr>
            <w:r>
              <w:rPr>
                <w:rFonts w:hint="eastAsia" w:ascii="宋体" w:hAnsi="宋体" w:eastAsia="宋体" w:cs="宋体"/>
                <w:b/>
                <w:bCs/>
                <w:szCs w:val="21"/>
              </w:rPr>
              <w:t>教学</w:t>
            </w:r>
          </w:p>
          <w:p w14:paraId="12790C0A">
            <w:pPr>
              <w:jc w:val="center"/>
              <w:rPr>
                <w:rFonts w:hint="eastAsia" w:ascii="宋体" w:hAnsi="宋体" w:eastAsia="宋体" w:cs="宋体"/>
                <w:b/>
                <w:bCs/>
                <w:szCs w:val="21"/>
              </w:rPr>
            </w:pPr>
            <w:r>
              <w:rPr>
                <w:rFonts w:hint="eastAsia" w:ascii="宋体" w:hAnsi="宋体" w:eastAsia="宋体" w:cs="宋体"/>
                <w:b/>
                <w:bCs/>
                <w:szCs w:val="21"/>
              </w:rPr>
              <w:t>方式</w:t>
            </w:r>
          </w:p>
        </w:tc>
      </w:tr>
      <w:tr w14:paraId="01B6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5C1F88F3">
            <w:pPr>
              <w:jc w:val="center"/>
              <w:rPr>
                <w:rFonts w:hint="eastAsia" w:ascii="宋体" w:hAnsi="宋体" w:eastAsia="宋体" w:cs="宋体"/>
                <w:szCs w:val="21"/>
              </w:rPr>
            </w:pPr>
            <w:r>
              <w:rPr>
                <w:rFonts w:hint="eastAsia" w:ascii="宋体" w:hAnsi="宋体" w:eastAsia="宋体" w:cs="宋体"/>
                <w:szCs w:val="21"/>
              </w:rPr>
              <w:t>1</w:t>
            </w:r>
          </w:p>
        </w:tc>
        <w:tc>
          <w:tcPr>
            <w:tcW w:w="1974" w:type="pct"/>
            <w:vAlign w:val="center"/>
          </w:tcPr>
          <w:p w14:paraId="40D5AD2A">
            <w:pPr>
              <w:jc w:val="left"/>
              <w:rPr>
                <w:rFonts w:hint="eastAsia" w:ascii="宋体" w:hAnsi="宋体" w:eastAsia="宋体" w:cs="宋体"/>
                <w:b/>
                <w:szCs w:val="21"/>
              </w:rPr>
            </w:pPr>
            <w:r>
              <w:rPr>
                <w:rFonts w:hint="eastAsia" w:ascii="宋体" w:hAnsi="宋体" w:eastAsia="宋体" w:cs="宋体"/>
                <w:b/>
                <w:szCs w:val="21"/>
              </w:rPr>
              <w:t>㈠体育理论部分:</w:t>
            </w:r>
          </w:p>
          <w:p w14:paraId="60610AC2">
            <w:pPr>
              <w:jc w:val="left"/>
              <w:rPr>
                <w:rFonts w:hint="eastAsia" w:ascii="宋体" w:hAnsi="宋体" w:eastAsia="宋体" w:cs="宋体"/>
                <w:bCs/>
                <w:szCs w:val="21"/>
              </w:rPr>
            </w:pPr>
            <w:r>
              <w:rPr>
                <w:rFonts w:hint="eastAsia" w:ascii="宋体" w:hAnsi="宋体" w:eastAsia="宋体" w:cs="宋体"/>
                <w:bCs/>
                <w:szCs w:val="21"/>
              </w:rPr>
              <w:t>1.学生思想政治教育：国家领导人与体育、奥运明星的励志故事、社会主义核心价值观与体育等；</w:t>
            </w:r>
          </w:p>
          <w:p w14:paraId="05E6A0E7">
            <w:pPr>
              <w:jc w:val="left"/>
              <w:rPr>
                <w:rFonts w:hint="eastAsia" w:ascii="宋体" w:hAnsi="宋体" w:eastAsia="宋体" w:cs="宋体"/>
                <w:b/>
                <w:szCs w:val="21"/>
              </w:rPr>
            </w:pPr>
            <w:r>
              <w:rPr>
                <w:rFonts w:hint="eastAsia" w:ascii="宋体" w:hAnsi="宋体" w:eastAsia="宋体" w:cs="宋体"/>
                <w:bCs/>
                <w:szCs w:val="21"/>
              </w:rPr>
              <w:t>2.体育安全教育：体育运动伤害事故的安全教育及预防与处理措施、常见运动损伤的预防与处理等；</w:t>
            </w:r>
          </w:p>
          <w:p w14:paraId="7BB76B06">
            <w:pPr>
              <w:jc w:val="center"/>
              <w:rPr>
                <w:rFonts w:hint="eastAsia" w:ascii="宋体" w:hAnsi="宋体" w:eastAsia="宋体" w:cs="宋体"/>
                <w:kern w:val="0"/>
                <w:szCs w:val="21"/>
              </w:rPr>
            </w:pPr>
            <w:r>
              <w:rPr>
                <w:rFonts w:hint="eastAsia" w:ascii="宋体" w:hAnsi="宋体" w:eastAsia="宋体" w:cs="宋体"/>
                <w:szCs w:val="21"/>
              </w:rPr>
              <w:t>3.体育基本理论：各运动项目的基本理论知识，体育竞赛与欣赏等。</w:t>
            </w:r>
          </w:p>
        </w:tc>
        <w:tc>
          <w:tcPr>
            <w:tcW w:w="1736" w:type="pct"/>
            <w:vAlign w:val="center"/>
          </w:tcPr>
          <w:p w14:paraId="4691AC5B">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教学，使学生了解和基本掌握常见运动创伤预防和处理方法，具备一定欣赏各类体育竞赛能力，了解中国与奥林匹克运动简史和奥林匹克文化精神，激发学生爱国情怀和追求和平、向往美好、顽强拼搏、不甘平庸、不断进取的体育精神。</w:t>
            </w:r>
          </w:p>
        </w:tc>
        <w:tc>
          <w:tcPr>
            <w:tcW w:w="430" w:type="pct"/>
            <w:vAlign w:val="center"/>
          </w:tcPr>
          <w:p w14:paraId="5D8DFD8B">
            <w:pPr>
              <w:jc w:val="center"/>
              <w:rPr>
                <w:rFonts w:hint="eastAsia" w:ascii="宋体" w:hAnsi="宋体" w:eastAsia="宋体" w:cs="宋体"/>
                <w:szCs w:val="21"/>
              </w:rPr>
            </w:pPr>
            <w:r>
              <w:rPr>
                <w:rFonts w:hint="eastAsia" w:ascii="宋体" w:hAnsi="宋体" w:eastAsia="宋体" w:cs="宋体"/>
                <w:szCs w:val="21"/>
              </w:rPr>
              <w:t>4</w:t>
            </w:r>
          </w:p>
        </w:tc>
        <w:tc>
          <w:tcPr>
            <w:tcW w:w="523" w:type="pct"/>
            <w:vAlign w:val="center"/>
          </w:tcPr>
          <w:p w14:paraId="2B449936">
            <w:pPr>
              <w:jc w:val="center"/>
              <w:rPr>
                <w:rFonts w:hint="eastAsia" w:ascii="宋体" w:hAnsi="宋体" w:eastAsia="宋体" w:cs="宋体"/>
                <w:szCs w:val="21"/>
              </w:rPr>
            </w:pPr>
            <w:r>
              <w:rPr>
                <w:rFonts w:hint="eastAsia" w:ascii="宋体" w:hAnsi="宋体" w:eastAsia="宋体" w:cs="宋体"/>
                <w:szCs w:val="21"/>
              </w:rPr>
              <w:t>讲授法</w:t>
            </w:r>
          </w:p>
        </w:tc>
      </w:tr>
      <w:tr w14:paraId="57AC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4E7434AA">
            <w:pPr>
              <w:jc w:val="center"/>
              <w:rPr>
                <w:rFonts w:hint="eastAsia" w:ascii="宋体" w:hAnsi="宋体" w:eastAsia="宋体" w:cs="宋体"/>
                <w:szCs w:val="21"/>
              </w:rPr>
            </w:pPr>
          </w:p>
        </w:tc>
        <w:tc>
          <w:tcPr>
            <w:tcW w:w="4664" w:type="pct"/>
            <w:gridSpan w:val="4"/>
            <w:vAlign w:val="center"/>
          </w:tcPr>
          <w:p w14:paraId="5B15355A">
            <w:pPr>
              <w:rPr>
                <w:rFonts w:hint="eastAsia" w:ascii="宋体" w:hAnsi="宋体" w:eastAsia="宋体" w:cs="宋体"/>
                <w:szCs w:val="21"/>
              </w:rPr>
            </w:pPr>
            <w:r>
              <w:rPr>
                <w:rFonts w:hint="eastAsia" w:ascii="宋体" w:hAnsi="宋体" w:eastAsia="宋体" w:cs="宋体"/>
                <w:szCs w:val="21"/>
              </w:rPr>
              <w:t>课程思政元素：</w:t>
            </w:r>
            <w:r>
              <w:rPr>
                <w:rFonts w:hint="eastAsia" w:ascii="宋体" w:hAnsi="宋体" w:eastAsia="宋体" w:cs="宋体"/>
                <w:kern w:val="0"/>
                <w:szCs w:val="21"/>
              </w:rPr>
              <w:t>理想信念、国家认同和</w:t>
            </w:r>
            <w:r>
              <w:rPr>
                <w:rFonts w:hint="eastAsia" w:ascii="宋体" w:hAnsi="宋体" w:eastAsia="宋体" w:cs="宋体"/>
                <w:szCs w:val="21"/>
              </w:rPr>
              <w:t>社会主义核心价值观等</w:t>
            </w:r>
            <w:r>
              <w:rPr>
                <w:rFonts w:hint="eastAsia" w:ascii="宋体" w:hAnsi="宋体" w:eastAsia="宋体" w:cs="宋体"/>
                <w:kern w:val="0"/>
                <w:szCs w:val="21"/>
              </w:rPr>
              <w:t>教育。</w:t>
            </w:r>
          </w:p>
        </w:tc>
      </w:tr>
      <w:tr w14:paraId="6B76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12E23895">
            <w:pPr>
              <w:jc w:val="center"/>
              <w:rPr>
                <w:rFonts w:hint="eastAsia" w:ascii="宋体" w:hAnsi="宋体" w:eastAsia="宋体" w:cs="宋体"/>
                <w:szCs w:val="21"/>
              </w:rPr>
            </w:pPr>
            <w:r>
              <w:rPr>
                <w:rFonts w:hint="eastAsia" w:ascii="宋体" w:hAnsi="宋体" w:eastAsia="宋体" w:cs="宋体"/>
                <w:szCs w:val="21"/>
              </w:rPr>
              <w:t>2</w:t>
            </w:r>
          </w:p>
        </w:tc>
        <w:tc>
          <w:tcPr>
            <w:tcW w:w="1974" w:type="pct"/>
            <w:vAlign w:val="center"/>
          </w:tcPr>
          <w:p w14:paraId="0BA16FF1">
            <w:pPr>
              <w:jc w:val="left"/>
              <w:rPr>
                <w:rFonts w:hint="eastAsia" w:ascii="宋体" w:hAnsi="宋体" w:eastAsia="宋体" w:cs="宋体"/>
                <w:b/>
                <w:szCs w:val="21"/>
              </w:rPr>
            </w:pPr>
            <w:r>
              <w:rPr>
                <w:rFonts w:hint="eastAsia" w:ascii="宋体" w:hAnsi="宋体" w:eastAsia="宋体" w:cs="宋体"/>
                <w:b/>
                <w:szCs w:val="21"/>
              </w:rPr>
              <w:t>㈡实践部分：</w:t>
            </w:r>
          </w:p>
          <w:p w14:paraId="4B5032C9">
            <w:pPr>
              <w:jc w:val="left"/>
              <w:rPr>
                <w:rFonts w:hint="eastAsia" w:ascii="宋体" w:hAnsi="宋体" w:eastAsia="宋体" w:cs="宋体"/>
                <w:bCs/>
                <w:szCs w:val="21"/>
              </w:rPr>
            </w:pPr>
            <w:r>
              <w:rPr>
                <w:rFonts w:hint="eastAsia" w:ascii="宋体" w:hAnsi="宋体" w:eastAsia="宋体" w:cs="宋体"/>
                <w:bCs/>
                <w:szCs w:val="21"/>
              </w:rPr>
              <w:t>1.各运动项目和身体素质为主，主要包括篮球、足球、五人制足球、排球、乒乓球、排舞(女)、武术、散打、健美操(女)、排舞(女)、花样跳绳、飞盘和体育保健等。</w:t>
            </w:r>
          </w:p>
          <w:p w14:paraId="5EB938BC">
            <w:pPr>
              <w:widowControl/>
              <w:ind w:left="-44" w:leftChars="-21" w:right="-109" w:rightChars="-52" w:firstLine="44" w:firstLineChars="21"/>
              <w:jc w:val="left"/>
              <w:rPr>
                <w:rFonts w:hint="eastAsia" w:ascii="宋体" w:hAnsi="宋体" w:eastAsia="宋体" w:cs="宋体"/>
                <w:kern w:val="0"/>
                <w:szCs w:val="21"/>
              </w:rPr>
            </w:pPr>
            <w:r>
              <w:rPr>
                <w:rFonts w:hint="eastAsia" w:ascii="宋体" w:hAnsi="宋体" w:eastAsia="宋体" w:cs="宋体"/>
                <w:bCs/>
                <w:szCs w:val="21"/>
              </w:rPr>
              <w:t>2.健康标准测试和发展体能</w:t>
            </w:r>
          </w:p>
        </w:tc>
        <w:tc>
          <w:tcPr>
            <w:tcW w:w="1736" w:type="pct"/>
            <w:vAlign w:val="center"/>
          </w:tcPr>
          <w:p w14:paraId="02C27DD6">
            <w:pPr>
              <w:jc w:val="left"/>
              <w:rPr>
                <w:rFonts w:hint="eastAsia" w:ascii="宋体" w:hAnsi="宋体" w:eastAsia="宋体" w:cs="宋体"/>
                <w:szCs w:val="21"/>
              </w:rPr>
            </w:pPr>
            <w:r>
              <w:rPr>
                <w:rFonts w:hint="eastAsia" w:ascii="宋体" w:hAnsi="宋体" w:eastAsia="宋体" w:cs="宋体"/>
                <w:szCs w:val="21"/>
              </w:rPr>
              <w:t>通过学习，使学生了解和掌握所选运动项目的基本知识、基本技术和锻炼方法；</w:t>
            </w:r>
            <w:r>
              <w:rPr>
                <w:rFonts w:hint="eastAsia" w:ascii="宋体" w:hAnsi="宋体" w:eastAsia="宋体" w:cs="宋体"/>
                <w:bCs/>
                <w:szCs w:val="21"/>
              </w:rPr>
              <w:t>发展学生的力量、灵敏、协调、平衡等身体素质及提高感知能力</w:t>
            </w:r>
            <w:r>
              <w:rPr>
                <w:rFonts w:hint="eastAsia" w:ascii="宋体" w:hAnsi="宋体" w:eastAsia="宋体" w:cs="宋体"/>
                <w:szCs w:val="21"/>
              </w:rPr>
              <w:t>；增强人际交往能力，培养团结协作的集体主义精神、顽强拼搏的竞争意识和爱国主义情怀。</w:t>
            </w:r>
          </w:p>
        </w:tc>
        <w:tc>
          <w:tcPr>
            <w:tcW w:w="430" w:type="pct"/>
            <w:vAlign w:val="center"/>
          </w:tcPr>
          <w:p w14:paraId="7A621FAE">
            <w:pPr>
              <w:jc w:val="center"/>
              <w:rPr>
                <w:rFonts w:hint="eastAsia" w:ascii="宋体" w:hAnsi="宋体" w:eastAsia="宋体" w:cs="宋体"/>
                <w:szCs w:val="21"/>
              </w:rPr>
            </w:pPr>
            <w:r>
              <w:rPr>
                <w:rFonts w:hint="eastAsia" w:ascii="宋体" w:hAnsi="宋体" w:eastAsia="宋体" w:cs="宋体"/>
                <w:szCs w:val="21"/>
              </w:rPr>
              <w:t>26</w:t>
            </w:r>
          </w:p>
        </w:tc>
        <w:tc>
          <w:tcPr>
            <w:tcW w:w="523" w:type="pct"/>
            <w:vAlign w:val="center"/>
          </w:tcPr>
          <w:p w14:paraId="2166451C">
            <w:pPr>
              <w:rPr>
                <w:rFonts w:hint="eastAsia" w:ascii="宋体" w:hAnsi="宋体" w:eastAsia="宋体" w:cs="宋体"/>
                <w:szCs w:val="21"/>
              </w:rPr>
            </w:pPr>
            <w:r>
              <w:rPr>
                <w:rFonts w:hint="eastAsia" w:ascii="宋体" w:hAnsi="宋体" w:eastAsia="宋体" w:cs="宋体"/>
                <w:szCs w:val="21"/>
              </w:rPr>
              <w:t>讲授法演示法练习法</w:t>
            </w:r>
          </w:p>
        </w:tc>
      </w:tr>
      <w:tr w14:paraId="00996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29FC7387">
            <w:pPr>
              <w:jc w:val="center"/>
              <w:rPr>
                <w:rFonts w:hint="eastAsia" w:ascii="宋体" w:hAnsi="宋体" w:eastAsia="宋体" w:cs="宋体"/>
                <w:szCs w:val="21"/>
              </w:rPr>
            </w:pPr>
          </w:p>
        </w:tc>
        <w:tc>
          <w:tcPr>
            <w:tcW w:w="4664" w:type="pct"/>
            <w:gridSpan w:val="4"/>
            <w:vAlign w:val="center"/>
          </w:tcPr>
          <w:p w14:paraId="54E8C34E">
            <w:pPr>
              <w:rPr>
                <w:rFonts w:hint="eastAsia" w:ascii="宋体" w:hAnsi="宋体" w:eastAsia="宋体" w:cs="宋体"/>
                <w:szCs w:val="21"/>
              </w:rPr>
            </w:pPr>
            <w:r>
              <w:rPr>
                <w:rFonts w:hint="eastAsia" w:ascii="宋体" w:hAnsi="宋体" w:eastAsia="宋体" w:cs="宋体"/>
                <w:szCs w:val="21"/>
              </w:rPr>
              <w:t>课程思政元素：</w:t>
            </w:r>
            <w:r>
              <w:rPr>
                <w:rFonts w:hint="eastAsia" w:ascii="宋体" w:hAnsi="宋体" w:eastAsia="宋体" w:cs="宋体"/>
                <w:kern w:val="0"/>
                <w:szCs w:val="21"/>
              </w:rPr>
              <w:t>爱国主义和集体主义教育；体育道德观、意志品德培育；规则意识和诚信意识教育。</w:t>
            </w:r>
          </w:p>
        </w:tc>
      </w:tr>
    </w:tbl>
    <w:p w14:paraId="18655F2F">
      <w:pPr>
        <w:autoSpaceDE w:val="0"/>
        <w:autoSpaceDN w:val="0"/>
        <w:adjustRightInd w:val="0"/>
        <w:spacing w:before="62" w:beforeLines="20" w:after="62" w:afterLines="20" w:line="360" w:lineRule="auto"/>
        <w:jc w:val="left"/>
        <w:rPr>
          <w:rFonts w:hint="eastAsia" w:ascii="宋体" w:hAnsi="宋体" w:eastAsia="宋体" w:cs="宋体"/>
          <w:b/>
          <w:sz w:val="28"/>
          <w:szCs w:val="28"/>
        </w:rPr>
      </w:pPr>
      <w:r>
        <w:rPr>
          <w:rFonts w:hint="eastAsia" w:ascii="宋体" w:hAnsi="宋体" w:eastAsia="宋体" w:cs="宋体"/>
          <w:b/>
          <w:bCs/>
          <w:kern w:val="0"/>
          <w:sz w:val="24"/>
        </w:rPr>
        <w:t>四、课程实施</w:t>
      </w:r>
    </w:p>
    <w:p w14:paraId="04015483">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（一）教学方法与手段</w:t>
      </w:r>
    </w:p>
    <w:p w14:paraId="4213DAAD">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1．本课程以实践教学为主，教学方法与手段的运用要考虑到学生的实际情况，从实际出发，因材施教，注意区别对待，激发学生学习兴趣，着重培养学生自学、自练、自评、互评等能力。  </w:t>
      </w:r>
    </w:p>
    <w:p w14:paraId="0EB9001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2．教学方法与手段的运用合理，注意防止伤害事故发生，重视学生自我保护能力培养。</w:t>
      </w:r>
    </w:p>
    <w:p w14:paraId="6A446CD5">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3．针对体育教学的特点，本课程将采用：讲解法、示范法、完整法、分解法、集体练习、小组练习等教学方法，并利用多媒体教学方式，提高学生的欣赏能力、让学生更加深刻的了解所学项目。</w:t>
      </w:r>
    </w:p>
    <w:p w14:paraId="5E100D5B">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（二）课程实施与保障</w:t>
      </w:r>
    </w:p>
    <w:tbl>
      <w:tblPr>
        <w:tblStyle w:val="11"/>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134"/>
        <w:gridCol w:w="6758"/>
      </w:tblGrid>
      <w:tr w14:paraId="64E3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3" w:type="dxa"/>
            <w:gridSpan w:val="2"/>
            <w:tcBorders>
              <w:top w:val="single" w:color="auto" w:sz="8" w:space="0"/>
              <w:left w:val="single" w:color="auto" w:sz="8" w:space="0"/>
              <w:right w:val="single" w:color="auto" w:sz="8" w:space="0"/>
            </w:tcBorders>
            <w:tcMar>
              <w:left w:w="28" w:type="dxa"/>
              <w:right w:w="28" w:type="dxa"/>
            </w:tcMar>
            <w:vAlign w:val="center"/>
          </w:tcPr>
          <w:p w14:paraId="28DD3E11">
            <w:pPr>
              <w:spacing w:line="276" w:lineRule="auto"/>
              <w:jc w:val="center"/>
              <w:rPr>
                <w:rFonts w:hint="eastAsia" w:ascii="宋体" w:hAnsi="宋体" w:eastAsia="宋体" w:cs="宋体"/>
                <w:sz w:val="24"/>
              </w:rPr>
            </w:pPr>
            <w:r>
              <w:rPr>
                <w:rFonts w:hint="eastAsia" w:ascii="宋体" w:hAnsi="宋体" w:eastAsia="宋体" w:cs="宋体"/>
                <w:b/>
                <w:bCs/>
                <w:sz w:val="24"/>
              </w:rPr>
              <w:t>主要教学环节</w:t>
            </w:r>
          </w:p>
        </w:tc>
        <w:tc>
          <w:tcPr>
            <w:tcW w:w="6758" w:type="dxa"/>
            <w:tcBorders>
              <w:top w:val="single" w:color="auto" w:sz="8" w:space="0"/>
              <w:left w:val="single" w:color="auto" w:sz="8" w:space="0"/>
              <w:right w:val="single" w:color="auto" w:sz="8" w:space="0"/>
            </w:tcBorders>
            <w:vAlign w:val="center"/>
          </w:tcPr>
          <w:p w14:paraId="4AA2DC21">
            <w:pPr>
              <w:spacing w:line="276" w:lineRule="auto"/>
              <w:jc w:val="center"/>
              <w:rPr>
                <w:rFonts w:hint="eastAsia" w:ascii="宋体" w:hAnsi="宋体" w:eastAsia="宋体" w:cs="宋体"/>
                <w:sz w:val="24"/>
              </w:rPr>
            </w:pPr>
            <w:r>
              <w:rPr>
                <w:rFonts w:hint="eastAsia" w:ascii="宋体" w:hAnsi="宋体" w:eastAsia="宋体" w:cs="宋体"/>
                <w:b/>
                <w:bCs/>
                <w:sz w:val="24"/>
              </w:rPr>
              <w:t>质量要求</w:t>
            </w:r>
          </w:p>
        </w:tc>
      </w:tr>
      <w:tr w14:paraId="33D3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10AB1F32">
            <w:pPr>
              <w:spacing w:line="276" w:lineRule="auto"/>
              <w:jc w:val="center"/>
              <w:rPr>
                <w:rFonts w:hint="eastAsia" w:ascii="宋体" w:hAnsi="宋体" w:eastAsia="宋体" w:cs="宋体"/>
                <w:sz w:val="24"/>
              </w:rPr>
            </w:pPr>
            <w:r>
              <w:rPr>
                <w:rFonts w:hint="eastAsia" w:ascii="宋体" w:hAnsi="宋体" w:eastAsia="宋体" w:cs="宋体"/>
                <w:sz w:val="24"/>
              </w:rPr>
              <w:t>1</w:t>
            </w:r>
          </w:p>
        </w:tc>
        <w:tc>
          <w:tcPr>
            <w:tcW w:w="1134" w:type="dxa"/>
            <w:tcMar>
              <w:left w:w="28" w:type="dxa"/>
              <w:right w:w="28" w:type="dxa"/>
            </w:tcMar>
            <w:vAlign w:val="center"/>
          </w:tcPr>
          <w:p w14:paraId="0FD88CB2">
            <w:pPr>
              <w:spacing w:line="276" w:lineRule="auto"/>
              <w:jc w:val="center"/>
              <w:rPr>
                <w:rFonts w:hint="eastAsia" w:ascii="宋体" w:hAnsi="宋体" w:eastAsia="宋体" w:cs="宋体"/>
                <w:sz w:val="24"/>
              </w:rPr>
            </w:pPr>
            <w:r>
              <w:rPr>
                <w:rFonts w:hint="eastAsia" w:ascii="宋体" w:hAnsi="宋体" w:eastAsia="宋体" w:cs="宋体"/>
                <w:sz w:val="24"/>
              </w:rPr>
              <w:t>备课</w:t>
            </w:r>
          </w:p>
        </w:tc>
        <w:tc>
          <w:tcPr>
            <w:tcW w:w="6758" w:type="dxa"/>
            <w:tcBorders>
              <w:right w:val="single" w:color="auto" w:sz="8" w:space="0"/>
            </w:tcBorders>
            <w:vAlign w:val="center"/>
          </w:tcPr>
          <w:p w14:paraId="019A3FBE">
            <w:pPr>
              <w:autoSpaceDE w:val="0"/>
              <w:autoSpaceDN w:val="0"/>
              <w:adjustRightInd w:val="0"/>
              <w:snapToGrid w:val="0"/>
              <w:spacing w:line="320" w:lineRule="exact"/>
              <w:jc w:val="left"/>
              <w:rPr>
                <w:rFonts w:hint="eastAsia" w:ascii="宋体" w:hAnsi="宋体" w:eastAsia="宋体" w:cs="宋体"/>
                <w:kern w:val="0"/>
                <w:szCs w:val="21"/>
              </w:rPr>
            </w:pPr>
            <w:r>
              <w:rPr>
                <w:rFonts w:hint="eastAsia" w:ascii="宋体" w:hAnsi="宋体" w:eastAsia="宋体" w:cs="宋体"/>
                <w:kern w:val="0"/>
                <w:szCs w:val="21"/>
              </w:rPr>
              <w:t>1.掌握本课程教学大纲内容，严格按照教学大纲要求进行本课程教学内容的组织；</w:t>
            </w:r>
          </w:p>
          <w:p w14:paraId="158BFC8C">
            <w:pPr>
              <w:autoSpaceDE w:val="0"/>
              <w:autoSpaceDN w:val="0"/>
              <w:adjustRightInd w:val="0"/>
              <w:snapToGrid w:val="0"/>
              <w:spacing w:line="320" w:lineRule="exact"/>
              <w:jc w:val="left"/>
              <w:rPr>
                <w:rFonts w:hint="eastAsia" w:ascii="宋体" w:hAnsi="宋体" w:eastAsia="宋体" w:cs="宋体"/>
                <w:kern w:val="0"/>
                <w:szCs w:val="21"/>
              </w:rPr>
            </w:pPr>
            <w:r>
              <w:rPr>
                <w:rFonts w:hint="eastAsia" w:ascii="宋体" w:hAnsi="宋体" w:eastAsia="宋体" w:cs="宋体"/>
                <w:kern w:val="0"/>
                <w:szCs w:val="21"/>
              </w:rPr>
              <w:t>2.熟悉教材各章节，借助相关专业书籍资料，并依据教学大纲编写授课计划；</w:t>
            </w:r>
          </w:p>
          <w:p w14:paraId="366433E5">
            <w:pPr>
              <w:autoSpaceDE w:val="0"/>
              <w:autoSpaceDN w:val="0"/>
              <w:adjustRightInd w:val="0"/>
              <w:snapToGrid w:val="0"/>
              <w:spacing w:line="320" w:lineRule="exact"/>
              <w:jc w:val="left"/>
              <w:rPr>
                <w:rFonts w:hint="eastAsia" w:ascii="宋体" w:hAnsi="宋体" w:eastAsia="宋体" w:cs="宋体"/>
                <w:spacing w:val="-10"/>
                <w:kern w:val="0"/>
                <w:szCs w:val="21"/>
              </w:rPr>
            </w:pPr>
            <w:r>
              <w:rPr>
                <w:rFonts w:hint="eastAsia" w:ascii="宋体" w:hAnsi="宋体" w:eastAsia="宋体" w:cs="宋体"/>
                <w:spacing w:val="-10"/>
                <w:kern w:val="0"/>
                <w:szCs w:val="21"/>
              </w:rPr>
              <w:t xml:space="preserve">3.结合课程特点，制作课件，运用多媒体教学手段讲授部分教学内容； </w:t>
            </w:r>
          </w:p>
          <w:p w14:paraId="3D279D8A">
            <w:pPr>
              <w:autoSpaceDE w:val="0"/>
              <w:autoSpaceDN w:val="0"/>
              <w:adjustRightInd w:val="0"/>
              <w:snapToGrid w:val="0"/>
              <w:spacing w:line="320" w:lineRule="exact"/>
              <w:jc w:val="left"/>
              <w:rPr>
                <w:rFonts w:hint="eastAsia" w:ascii="宋体" w:hAnsi="宋体" w:eastAsia="宋体" w:cs="宋体"/>
                <w:szCs w:val="21"/>
              </w:rPr>
            </w:pPr>
            <w:r>
              <w:rPr>
                <w:rFonts w:hint="eastAsia" w:ascii="宋体" w:hAnsi="宋体" w:eastAsia="宋体" w:cs="宋体"/>
                <w:kern w:val="0"/>
                <w:szCs w:val="21"/>
              </w:rPr>
              <w:t>4.确定各章节课程内容的教学方法，构思授课思路、技巧和方法。</w:t>
            </w:r>
          </w:p>
        </w:tc>
      </w:tr>
      <w:tr w14:paraId="750B9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542BAC1F">
            <w:pPr>
              <w:spacing w:line="276" w:lineRule="auto"/>
              <w:jc w:val="center"/>
              <w:rPr>
                <w:rFonts w:hint="eastAsia" w:ascii="宋体" w:hAnsi="宋体" w:eastAsia="宋体" w:cs="宋体"/>
                <w:sz w:val="24"/>
              </w:rPr>
            </w:pPr>
            <w:r>
              <w:rPr>
                <w:rFonts w:hint="eastAsia" w:ascii="宋体" w:hAnsi="宋体" w:eastAsia="宋体" w:cs="宋体"/>
                <w:sz w:val="24"/>
              </w:rPr>
              <w:t>2</w:t>
            </w:r>
          </w:p>
        </w:tc>
        <w:tc>
          <w:tcPr>
            <w:tcW w:w="1134" w:type="dxa"/>
            <w:tcMar>
              <w:left w:w="28" w:type="dxa"/>
              <w:right w:w="28" w:type="dxa"/>
            </w:tcMar>
            <w:vAlign w:val="center"/>
          </w:tcPr>
          <w:p w14:paraId="2A77115B">
            <w:pPr>
              <w:spacing w:line="276" w:lineRule="auto"/>
              <w:jc w:val="center"/>
              <w:rPr>
                <w:rFonts w:hint="eastAsia" w:ascii="宋体" w:hAnsi="宋体" w:eastAsia="宋体" w:cs="宋体"/>
                <w:sz w:val="24"/>
              </w:rPr>
            </w:pPr>
            <w:r>
              <w:rPr>
                <w:rFonts w:hint="eastAsia" w:ascii="宋体" w:hAnsi="宋体" w:eastAsia="宋体" w:cs="宋体"/>
                <w:sz w:val="24"/>
              </w:rPr>
              <w:t>讲授</w:t>
            </w:r>
          </w:p>
        </w:tc>
        <w:tc>
          <w:tcPr>
            <w:tcW w:w="6758" w:type="dxa"/>
            <w:tcBorders>
              <w:right w:val="single" w:color="auto" w:sz="8" w:space="0"/>
            </w:tcBorders>
            <w:vAlign w:val="center"/>
          </w:tcPr>
          <w:p w14:paraId="34E19FB5">
            <w:pPr>
              <w:autoSpaceDE w:val="0"/>
              <w:autoSpaceDN w:val="0"/>
              <w:adjustRightInd w:val="0"/>
              <w:snapToGrid w:val="0"/>
              <w:spacing w:line="320" w:lineRule="exact"/>
              <w:jc w:val="left"/>
              <w:rPr>
                <w:rFonts w:hint="eastAsia" w:ascii="宋体" w:hAnsi="宋体" w:eastAsia="宋体" w:cs="宋体"/>
                <w:kern w:val="0"/>
                <w:szCs w:val="21"/>
              </w:rPr>
            </w:pPr>
            <w:r>
              <w:rPr>
                <w:rFonts w:hint="eastAsia" w:ascii="宋体" w:hAnsi="宋体" w:eastAsia="宋体" w:cs="宋体"/>
                <w:kern w:val="0"/>
                <w:szCs w:val="21"/>
              </w:rPr>
              <w:t>1.</w:t>
            </w:r>
            <w:r>
              <w:rPr>
                <w:rFonts w:hint="eastAsia" w:ascii="宋体" w:hAnsi="宋体" w:eastAsia="宋体" w:cs="宋体"/>
                <w:szCs w:val="21"/>
              </w:rPr>
              <w:t>满足需要，发展个性；</w:t>
            </w:r>
            <w:r>
              <w:rPr>
                <w:rFonts w:hint="eastAsia" w:ascii="宋体" w:hAnsi="宋体" w:eastAsia="宋体" w:cs="宋体"/>
                <w:kern w:val="0"/>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4EB8BFD0">
            <w:pPr>
              <w:autoSpaceDE w:val="0"/>
              <w:autoSpaceDN w:val="0"/>
              <w:adjustRightInd w:val="0"/>
              <w:snapToGrid w:val="0"/>
              <w:spacing w:line="320" w:lineRule="exact"/>
              <w:jc w:val="left"/>
              <w:rPr>
                <w:rFonts w:hint="eastAsia" w:ascii="宋体" w:hAnsi="宋体" w:eastAsia="宋体" w:cs="宋体"/>
                <w:kern w:val="0"/>
                <w:szCs w:val="21"/>
              </w:rPr>
            </w:pPr>
            <w:r>
              <w:rPr>
                <w:rFonts w:hint="eastAsia" w:ascii="宋体" w:hAnsi="宋体" w:eastAsia="宋体" w:cs="宋体"/>
                <w:kern w:val="0"/>
                <w:szCs w:val="21"/>
              </w:rPr>
              <w:t>2.采用多种教学方式（如启发式教学、导学式、发现式等），精讲多练，培养学生自学、自练、自评、互评等能力。</w:t>
            </w:r>
          </w:p>
          <w:p w14:paraId="20A37F55">
            <w:pPr>
              <w:autoSpaceDE w:val="0"/>
              <w:autoSpaceDN w:val="0"/>
              <w:adjustRightInd w:val="0"/>
              <w:snapToGrid w:val="0"/>
              <w:spacing w:line="320" w:lineRule="exact"/>
              <w:jc w:val="left"/>
              <w:rPr>
                <w:rFonts w:hint="eastAsia" w:ascii="宋体" w:hAnsi="宋体" w:eastAsia="宋体" w:cs="宋体"/>
                <w:kern w:val="0"/>
                <w:szCs w:val="21"/>
              </w:rPr>
            </w:pPr>
            <w:r>
              <w:rPr>
                <w:rFonts w:hint="eastAsia" w:ascii="宋体" w:hAnsi="宋体" w:eastAsia="宋体" w:cs="宋体"/>
                <w:kern w:val="0"/>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3B58A184">
            <w:pPr>
              <w:autoSpaceDE w:val="0"/>
              <w:autoSpaceDN w:val="0"/>
              <w:adjustRightInd w:val="0"/>
              <w:snapToGrid w:val="0"/>
              <w:spacing w:line="320" w:lineRule="exact"/>
              <w:jc w:val="left"/>
              <w:rPr>
                <w:rFonts w:hint="eastAsia" w:ascii="宋体" w:hAnsi="宋体" w:eastAsia="宋体" w:cs="宋体"/>
                <w:kern w:val="0"/>
                <w:szCs w:val="21"/>
              </w:rPr>
            </w:pPr>
            <w:r>
              <w:rPr>
                <w:rFonts w:hint="eastAsia" w:ascii="宋体" w:hAnsi="宋体" w:eastAsia="宋体" w:cs="宋体"/>
                <w:kern w:val="0"/>
                <w:szCs w:val="21"/>
              </w:rPr>
              <w:t>4.区别对待，因材施教。重视安全和关心基础较差的学生成长。</w:t>
            </w:r>
          </w:p>
          <w:p w14:paraId="52392349">
            <w:pPr>
              <w:autoSpaceDE w:val="0"/>
              <w:autoSpaceDN w:val="0"/>
              <w:adjustRightInd w:val="0"/>
              <w:snapToGrid w:val="0"/>
              <w:spacing w:line="320" w:lineRule="exact"/>
              <w:jc w:val="left"/>
              <w:rPr>
                <w:rFonts w:hint="eastAsia" w:ascii="宋体" w:hAnsi="宋体" w:eastAsia="宋体" w:cs="宋体"/>
                <w:kern w:val="0"/>
                <w:szCs w:val="21"/>
              </w:rPr>
            </w:pPr>
            <w:r>
              <w:rPr>
                <w:rFonts w:hint="eastAsia" w:ascii="宋体" w:hAnsi="宋体" w:eastAsia="宋体" w:cs="宋体"/>
                <w:kern w:val="0"/>
                <w:szCs w:val="21"/>
              </w:rPr>
              <w:t>5.教学中教师要以身作则，言传身教，做到既教学又育人。培养学生的优良品质，达到身心全面发展。</w:t>
            </w:r>
          </w:p>
        </w:tc>
      </w:tr>
      <w:tr w14:paraId="4E12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595F6AB3">
            <w:pPr>
              <w:spacing w:line="276" w:lineRule="auto"/>
              <w:jc w:val="center"/>
              <w:rPr>
                <w:rFonts w:hint="eastAsia" w:ascii="宋体" w:hAnsi="宋体" w:eastAsia="宋体" w:cs="宋体"/>
                <w:sz w:val="24"/>
              </w:rPr>
            </w:pPr>
            <w:r>
              <w:rPr>
                <w:rFonts w:hint="eastAsia" w:ascii="宋体" w:hAnsi="宋体" w:eastAsia="宋体" w:cs="宋体"/>
                <w:sz w:val="24"/>
              </w:rPr>
              <w:t>3</w:t>
            </w:r>
          </w:p>
        </w:tc>
        <w:tc>
          <w:tcPr>
            <w:tcW w:w="1134" w:type="dxa"/>
            <w:tcMar>
              <w:left w:w="28" w:type="dxa"/>
              <w:right w:w="28" w:type="dxa"/>
            </w:tcMar>
            <w:vAlign w:val="center"/>
          </w:tcPr>
          <w:p w14:paraId="3C8D39CE">
            <w:pPr>
              <w:spacing w:line="276" w:lineRule="auto"/>
              <w:jc w:val="center"/>
              <w:rPr>
                <w:rFonts w:hint="eastAsia" w:ascii="宋体" w:hAnsi="宋体" w:eastAsia="宋体" w:cs="宋体"/>
                <w:sz w:val="24"/>
              </w:rPr>
            </w:pPr>
            <w:r>
              <w:rPr>
                <w:rFonts w:hint="eastAsia" w:ascii="宋体" w:hAnsi="宋体" w:eastAsia="宋体" w:cs="宋体"/>
                <w:sz w:val="24"/>
              </w:rPr>
              <w:t>课外练习</w:t>
            </w:r>
          </w:p>
        </w:tc>
        <w:tc>
          <w:tcPr>
            <w:tcW w:w="6758" w:type="dxa"/>
            <w:tcBorders>
              <w:right w:val="single" w:color="auto" w:sz="8" w:space="0"/>
            </w:tcBorders>
            <w:vAlign w:val="center"/>
          </w:tcPr>
          <w:p w14:paraId="10EF7971">
            <w:pPr>
              <w:autoSpaceDE w:val="0"/>
              <w:autoSpaceDN w:val="0"/>
              <w:adjustRightInd w:val="0"/>
              <w:snapToGrid w:val="0"/>
              <w:spacing w:line="320" w:lineRule="exact"/>
              <w:jc w:val="left"/>
              <w:rPr>
                <w:rFonts w:hint="eastAsia" w:ascii="宋体" w:hAnsi="宋体" w:eastAsia="宋体" w:cs="宋体"/>
                <w:kern w:val="0"/>
                <w:sz w:val="22"/>
              </w:rPr>
            </w:pPr>
            <w:r>
              <w:rPr>
                <w:rFonts w:hint="eastAsia" w:ascii="宋体" w:hAnsi="宋体" w:eastAsia="宋体" w:cs="宋体"/>
                <w:kern w:val="0"/>
                <w:sz w:val="22"/>
              </w:rPr>
              <w:t>课外练习是教师布置课外练习内容，重点要求学生利用课余时间巩固课堂上所学的技术动作，形成正确的动力定型，同时要求学生加强身体素质练习。</w:t>
            </w:r>
          </w:p>
        </w:tc>
      </w:tr>
      <w:tr w14:paraId="3489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3C0C538A">
            <w:pPr>
              <w:spacing w:line="276" w:lineRule="auto"/>
              <w:jc w:val="center"/>
              <w:rPr>
                <w:rFonts w:hint="eastAsia" w:ascii="宋体" w:hAnsi="宋体" w:eastAsia="宋体" w:cs="宋体"/>
                <w:sz w:val="24"/>
              </w:rPr>
            </w:pPr>
            <w:r>
              <w:rPr>
                <w:rFonts w:hint="eastAsia" w:ascii="宋体" w:hAnsi="宋体" w:eastAsia="宋体" w:cs="宋体"/>
                <w:sz w:val="24"/>
              </w:rPr>
              <w:t>4</w:t>
            </w:r>
          </w:p>
        </w:tc>
        <w:tc>
          <w:tcPr>
            <w:tcW w:w="1134" w:type="dxa"/>
            <w:tcMar>
              <w:left w:w="28" w:type="dxa"/>
              <w:right w:w="28" w:type="dxa"/>
            </w:tcMar>
            <w:vAlign w:val="center"/>
          </w:tcPr>
          <w:p w14:paraId="3FEDB7D0">
            <w:pPr>
              <w:spacing w:line="276" w:lineRule="auto"/>
              <w:jc w:val="center"/>
              <w:rPr>
                <w:rFonts w:hint="eastAsia" w:ascii="宋体" w:hAnsi="宋体" w:eastAsia="宋体" w:cs="宋体"/>
                <w:sz w:val="24"/>
              </w:rPr>
            </w:pPr>
            <w:r>
              <w:rPr>
                <w:rFonts w:hint="eastAsia" w:ascii="宋体" w:hAnsi="宋体" w:eastAsia="宋体" w:cs="宋体"/>
                <w:sz w:val="24"/>
              </w:rPr>
              <w:t>成绩考核</w:t>
            </w:r>
          </w:p>
        </w:tc>
        <w:tc>
          <w:tcPr>
            <w:tcW w:w="6758" w:type="dxa"/>
            <w:tcBorders>
              <w:right w:val="single" w:color="auto" w:sz="8" w:space="0"/>
            </w:tcBorders>
            <w:vAlign w:val="center"/>
          </w:tcPr>
          <w:p w14:paraId="1DB188DF">
            <w:pPr>
              <w:autoSpaceDE w:val="0"/>
              <w:autoSpaceDN w:val="0"/>
              <w:adjustRightInd w:val="0"/>
              <w:snapToGrid w:val="0"/>
              <w:spacing w:line="320" w:lineRule="exact"/>
              <w:jc w:val="left"/>
              <w:rPr>
                <w:rFonts w:hint="eastAsia" w:ascii="宋体" w:hAnsi="宋体" w:eastAsia="宋体" w:cs="宋体"/>
                <w:kern w:val="0"/>
                <w:sz w:val="22"/>
              </w:rPr>
            </w:pPr>
            <w:r>
              <w:rPr>
                <w:rFonts w:hint="eastAsia" w:ascii="宋体" w:hAnsi="宋体" w:eastAsia="宋体" w:cs="宋体"/>
                <w:kern w:val="0"/>
                <w:sz w:val="22"/>
              </w:rPr>
              <w:t>本课程考核的方式：考试。总评成绩的评定见课程评分方案。有下列情况之一者，总评成绩为不及格：</w:t>
            </w:r>
          </w:p>
          <w:p w14:paraId="3EDC927A">
            <w:pPr>
              <w:autoSpaceDE w:val="0"/>
              <w:autoSpaceDN w:val="0"/>
              <w:adjustRightInd w:val="0"/>
              <w:snapToGrid w:val="0"/>
              <w:spacing w:line="320" w:lineRule="exact"/>
              <w:jc w:val="left"/>
              <w:rPr>
                <w:rFonts w:hint="eastAsia" w:ascii="宋体" w:hAnsi="宋体" w:eastAsia="宋体" w:cs="宋体"/>
                <w:kern w:val="0"/>
                <w:sz w:val="22"/>
              </w:rPr>
            </w:pPr>
            <w:r>
              <w:rPr>
                <w:rFonts w:hint="eastAsia" w:ascii="宋体" w:hAnsi="宋体" w:eastAsia="宋体" w:cs="宋体"/>
                <w:kern w:val="0"/>
                <w:sz w:val="22"/>
              </w:rPr>
              <w:t>1.课外体育锻炼不合格者；</w:t>
            </w:r>
          </w:p>
          <w:p w14:paraId="2EEC2664">
            <w:pPr>
              <w:autoSpaceDE w:val="0"/>
              <w:autoSpaceDN w:val="0"/>
              <w:adjustRightInd w:val="0"/>
              <w:snapToGrid w:val="0"/>
              <w:spacing w:line="320" w:lineRule="exact"/>
              <w:jc w:val="left"/>
              <w:rPr>
                <w:rFonts w:hint="eastAsia" w:ascii="宋体" w:hAnsi="宋体" w:eastAsia="宋体" w:cs="宋体"/>
                <w:kern w:val="0"/>
                <w:sz w:val="22"/>
              </w:rPr>
            </w:pPr>
            <w:r>
              <w:rPr>
                <w:rFonts w:hint="eastAsia" w:ascii="宋体" w:hAnsi="宋体" w:eastAsia="宋体" w:cs="宋体"/>
                <w:kern w:val="0"/>
                <w:sz w:val="22"/>
              </w:rPr>
              <w:t>2.缺课次数达本学期总授课学时的1/3以上者；</w:t>
            </w:r>
          </w:p>
        </w:tc>
      </w:tr>
    </w:tbl>
    <w:p w14:paraId="1E46A47D">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五、课程考核</w:t>
      </w:r>
    </w:p>
    <w:p w14:paraId="172100C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（一）课程考核由期末考试和平时考核构成，期末考试采用随堂方式。</w:t>
      </w:r>
    </w:p>
    <w:p w14:paraId="682813C1">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（二）课程总评成绩=平时成绩50%+期末考试50%，平时成绩=课堂表现10%+课外体育锻炼20%+身体素质20%。</w:t>
      </w:r>
    </w:p>
    <w:p w14:paraId="648AD32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具体内容和比例如表所示：</w:t>
      </w:r>
    </w:p>
    <w:tbl>
      <w:tblPr>
        <w:tblStyle w:val="11"/>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86"/>
        <w:gridCol w:w="1310"/>
      </w:tblGrid>
      <w:tr w14:paraId="27FE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3CD3DC5B">
            <w:pPr>
              <w:jc w:val="center"/>
              <w:rPr>
                <w:rFonts w:hint="eastAsia" w:ascii="宋体" w:hAnsi="宋体" w:eastAsia="宋体" w:cs="宋体"/>
                <w:szCs w:val="21"/>
              </w:rPr>
            </w:pPr>
            <w:r>
              <w:rPr>
                <w:rFonts w:hint="eastAsia" w:ascii="宋体" w:hAnsi="宋体" w:eastAsia="宋体" w:cs="宋体"/>
                <w:szCs w:val="21"/>
              </w:rPr>
              <w:t>成绩组成</w:t>
            </w:r>
          </w:p>
        </w:tc>
        <w:tc>
          <w:tcPr>
            <w:tcW w:w="1301" w:type="dxa"/>
            <w:shd w:val="clear" w:color="auto" w:fill="FFFFFF"/>
            <w:vAlign w:val="center"/>
          </w:tcPr>
          <w:p w14:paraId="26B970B1">
            <w:pPr>
              <w:jc w:val="center"/>
              <w:rPr>
                <w:rFonts w:hint="eastAsia" w:ascii="宋体" w:hAnsi="宋体" w:eastAsia="宋体" w:cs="宋体"/>
                <w:szCs w:val="21"/>
              </w:rPr>
            </w:pPr>
            <w:r>
              <w:rPr>
                <w:rFonts w:hint="eastAsia" w:ascii="宋体" w:hAnsi="宋体" w:eastAsia="宋体" w:cs="宋体"/>
                <w:szCs w:val="21"/>
              </w:rPr>
              <w:t>考核/评价环节</w:t>
            </w:r>
          </w:p>
        </w:tc>
        <w:tc>
          <w:tcPr>
            <w:tcW w:w="741" w:type="dxa"/>
            <w:shd w:val="clear" w:color="auto" w:fill="FFFFFF"/>
            <w:vAlign w:val="center"/>
          </w:tcPr>
          <w:p w14:paraId="332503C7">
            <w:pPr>
              <w:jc w:val="center"/>
              <w:rPr>
                <w:rFonts w:hint="eastAsia" w:ascii="宋体" w:hAnsi="宋体" w:eastAsia="宋体" w:cs="宋体"/>
                <w:szCs w:val="21"/>
              </w:rPr>
            </w:pPr>
            <w:r>
              <w:rPr>
                <w:rFonts w:hint="eastAsia" w:ascii="宋体" w:hAnsi="宋体" w:eastAsia="宋体" w:cs="宋体"/>
                <w:szCs w:val="21"/>
              </w:rPr>
              <w:t>权重</w:t>
            </w:r>
          </w:p>
        </w:tc>
        <w:tc>
          <w:tcPr>
            <w:tcW w:w="4086" w:type="dxa"/>
            <w:shd w:val="clear" w:color="auto" w:fill="FFFFFF"/>
            <w:vAlign w:val="center"/>
          </w:tcPr>
          <w:p w14:paraId="2E0EBC17">
            <w:pPr>
              <w:jc w:val="center"/>
              <w:rPr>
                <w:rFonts w:hint="eastAsia" w:ascii="宋体" w:hAnsi="宋体" w:eastAsia="宋体" w:cs="宋体"/>
                <w:szCs w:val="21"/>
              </w:rPr>
            </w:pPr>
            <w:r>
              <w:rPr>
                <w:rFonts w:hint="eastAsia" w:ascii="宋体" w:hAnsi="宋体" w:eastAsia="宋体" w:cs="宋体"/>
                <w:szCs w:val="21"/>
              </w:rPr>
              <w:t>考核/评价细则</w:t>
            </w:r>
          </w:p>
        </w:tc>
        <w:tc>
          <w:tcPr>
            <w:tcW w:w="1310" w:type="dxa"/>
            <w:shd w:val="clear" w:color="auto" w:fill="FFFFFF"/>
            <w:vAlign w:val="center"/>
          </w:tcPr>
          <w:p w14:paraId="06528D2F">
            <w:pPr>
              <w:jc w:val="center"/>
              <w:rPr>
                <w:rFonts w:hint="eastAsia" w:ascii="宋体" w:hAnsi="宋体" w:eastAsia="宋体" w:cs="宋体"/>
                <w:szCs w:val="21"/>
              </w:rPr>
            </w:pPr>
            <w:r>
              <w:rPr>
                <w:rFonts w:hint="eastAsia" w:ascii="宋体" w:hAnsi="宋体" w:eastAsia="宋体" w:cs="宋体"/>
                <w:szCs w:val="21"/>
              </w:rPr>
              <w:t>对应的毕业要求指标点</w:t>
            </w:r>
          </w:p>
        </w:tc>
      </w:tr>
      <w:tr w14:paraId="1914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7BEA2833">
            <w:pPr>
              <w:jc w:val="center"/>
              <w:rPr>
                <w:rFonts w:hint="eastAsia" w:ascii="宋体" w:hAnsi="宋体" w:eastAsia="宋体" w:cs="宋体"/>
                <w:szCs w:val="21"/>
              </w:rPr>
            </w:pPr>
            <w:r>
              <w:rPr>
                <w:rFonts w:hint="eastAsia" w:ascii="宋体" w:hAnsi="宋体" w:eastAsia="宋体" w:cs="宋体"/>
                <w:szCs w:val="21"/>
              </w:rPr>
              <w:t>平时成绩</w:t>
            </w:r>
          </w:p>
          <w:p w14:paraId="611536C5">
            <w:pPr>
              <w:jc w:val="center"/>
              <w:rPr>
                <w:rFonts w:hint="eastAsia" w:ascii="宋体" w:hAnsi="宋体" w:eastAsia="宋体" w:cs="宋体"/>
                <w:szCs w:val="21"/>
              </w:rPr>
            </w:pPr>
            <w:r>
              <w:rPr>
                <w:rFonts w:hint="eastAsia" w:ascii="宋体" w:hAnsi="宋体" w:eastAsia="宋体" w:cs="宋体"/>
                <w:szCs w:val="21"/>
              </w:rPr>
              <w:t>50%</w:t>
            </w:r>
          </w:p>
        </w:tc>
        <w:tc>
          <w:tcPr>
            <w:tcW w:w="1301" w:type="dxa"/>
            <w:vAlign w:val="center"/>
          </w:tcPr>
          <w:p w14:paraId="05E3025B">
            <w:pPr>
              <w:spacing w:line="276" w:lineRule="auto"/>
              <w:jc w:val="center"/>
              <w:rPr>
                <w:rFonts w:hint="eastAsia" w:ascii="宋体" w:hAnsi="宋体" w:eastAsia="宋体" w:cs="宋体"/>
                <w:szCs w:val="21"/>
              </w:rPr>
            </w:pPr>
            <w:r>
              <w:rPr>
                <w:rFonts w:hint="eastAsia" w:ascii="宋体" w:hAnsi="宋体" w:eastAsia="宋体" w:cs="宋体"/>
                <w:szCs w:val="21"/>
              </w:rPr>
              <w:t>课堂表现</w:t>
            </w:r>
          </w:p>
        </w:tc>
        <w:tc>
          <w:tcPr>
            <w:tcW w:w="741" w:type="dxa"/>
            <w:vAlign w:val="center"/>
          </w:tcPr>
          <w:p w14:paraId="70DE07EA">
            <w:pPr>
              <w:rPr>
                <w:rFonts w:hint="eastAsia" w:ascii="宋体" w:hAnsi="宋体" w:eastAsia="宋体" w:cs="宋体"/>
                <w:szCs w:val="21"/>
              </w:rPr>
            </w:pPr>
            <w:r>
              <w:rPr>
                <w:rFonts w:hint="eastAsia" w:ascii="宋体" w:hAnsi="宋体" w:eastAsia="宋体" w:cs="宋体"/>
                <w:szCs w:val="21"/>
              </w:rPr>
              <w:t xml:space="preserve"> 10%</w:t>
            </w:r>
          </w:p>
        </w:tc>
        <w:tc>
          <w:tcPr>
            <w:tcW w:w="4086" w:type="dxa"/>
            <w:vAlign w:val="center"/>
          </w:tcPr>
          <w:p w14:paraId="10E29851">
            <w:pPr>
              <w:spacing w:line="320" w:lineRule="exact"/>
              <w:jc w:val="left"/>
              <w:rPr>
                <w:rFonts w:hint="eastAsia" w:ascii="宋体" w:hAnsi="宋体" w:eastAsia="宋体" w:cs="宋体"/>
                <w:szCs w:val="21"/>
              </w:rPr>
            </w:pPr>
            <w:r>
              <w:rPr>
                <w:rFonts w:hint="eastAsia" w:ascii="宋体" w:hAnsi="宋体" w:eastAsia="宋体" w:cs="宋体"/>
                <w:bCs/>
                <w:kern w:val="24"/>
                <w:szCs w:val="21"/>
              </w:rPr>
              <w:t>课堂整队点名，考核</w:t>
            </w:r>
            <w:r>
              <w:rPr>
                <w:rFonts w:hint="eastAsia" w:ascii="宋体" w:hAnsi="宋体" w:eastAsia="宋体" w:cs="宋体"/>
                <w:szCs w:val="21"/>
              </w:rPr>
              <w:t>能否按时到勤，旷课一次扣20分，迟到与早退等一次扣10分。</w:t>
            </w:r>
          </w:p>
        </w:tc>
        <w:tc>
          <w:tcPr>
            <w:tcW w:w="1310" w:type="dxa"/>
            <w:vAlign w:val="center"/>
          </w:tcPr>
          <w:p w14:paraId="5FFA1C16">
            <w:pPr>
              <w:jc w:val="center"/>
              <w:rPr>
                <w:rFonts w:hint="eastAsia" w:ascii="宋体" w:hAnsi="宋体" w:eastAsia="宋体" w:cs="宋体"/>
                <w:szCs w:val="21"/>
              </w:rPr>
            </w:pPr>
            <w:r>
              <w:rPr>
                <w:rFonts w:hint="eastAsia" w:ascii="宋体" w:hAnsi="宋体" w:eastAsia="宋体" w:cs="宋体"/>
                <w:bCs/>
                <w:szCs w:val="21"/>
              </w:rPr>
              <w:t>2、6</w:t>
            </w:r>
          </w:p>
        </w:tc>
      </w:tr>
      <w:tr w14:paraId="5F99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3FEC9801">
            <w:pPr>
              <w:jc w:val="center"/>
              <w:rPr>
                <w:rFonts w:hint="eastAsia" w:ascii="宋体" w:hAnsi="宋体" w:eastAsia="宋体" w:cs="宋体"/>
                <w:szCs w:val="21"/>
              </w:rPr>
            </w:pPr>
          </w:p>
        </w:tc>
        <w:tc>
          <w:tcPr>
            <w:tcW w:w="1301" w:type="dxa"/>
            <w:vAlign w:val="center"/>
          </w:tcPr>
          <w:p w14:paraId="729021CC">
            <w:pPr>
              <w:spacing w:line="276" w:lineRule="auto"/>
              <w:jc w:val="center"/>
              <w:rPr>
                <w:rFonts w:hint="eastAsia" w:ascii="宋体" w:hAnsi="宋体" w:eastAsia="宋体" w:cs="宋体"/>
                <w:szCs w:val="21"/>
              </w:rPr>
            </w:pPr>
            <w:r>
              <w:rPr>
                <w:rFonts w:hint="eastAsia" w:ascii="宋体" w:hAnsi="宋体" w:eastAsia="宋体" w:cs="宋体"/>
                <w:szCs w:val="21"/>
              </w:rPr>
              <w:t>课外锻炼</w:t>
            </w:r>
          </w:p>
        </w:tc>
        <w:tc>
          <w:tcPr>
            <w:tcW w:w="741" w:type="dxa"/>
            <w:vAlign w:val="center"/>
          </w:tcPr>
          <w:p w14:paraId="1E6D7B3C">
            <w:pPr>
              <w:rPr>
                <w:rFonts w:hint="eastAsia" w:ascii="宋体" w:hAnsi="宋体" w:eastAsia="宋体" w:cs="宋体"/>
                <w:szCs w:val="21"/>
              </w:rPr>
            </w:pPr>
            <w:r>
              <w:rPr>
                <w:rFonts w:hint="eastAsia" w:ascii="宋体" w:hAnsi="宋体" w:eastAsia="宋体" w:cs="宋体"/>
                <w:szCs w:val="21"/>
              </w:rPr>
              <w:t xml:space="preserve"> 20%</w:t>
            </w:r>
          </w:p>
        </w:tc>
        <w:tc>
          <w:tcPr>
            <w:tcW w:w="4086" w:type="dxa"/>
            <w:vAlign w:val="center"/>
          </w:tcPr>
          <w:p w14:paraId="691D6477">
            <w:pPr>
              <w:spacing w:line="280" w:lineRule="exact"/>
              <w:jc w:val="left"/>
              <w:rPr>
                <w:rFonts w:hint="eastAsia" w:ascii="宋体" w:hAnsi="宋体" w:eastAsia="宋体" w:cs="宋体"/>
                <w:bCs/>
                <w:kern w:val="24"/>
                <w:szCs w:val="21"/>
              </w:rPr>
            </w:pPr>
            <w:r>
              <w:rPr>
                <w:rFonts w:hint="eastAsia" w:ascii="宋体" w:hAnsi="宋体" w:eastAsia="宋体" w:cs="宋体"/>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10" w:type="dxa"/>
            <w:vAlign w:val="center"/>
          </w:tcPr>
          <w:p w14:paraId="27A427DC">
            <w:pPr>
              <w:jc w:val="center"/>
              <w:rPr>
                <w:rFonts w:hint="eastAsia" w:ascii="宋体" w:hAnsi="宋体" w:eastAsia="宋体" w:cs="宋体"/>
                <w:szCs w:val="21"/>
              </w:rPr>
            </w:pPr>
            <w:r>
              <w:rPr>
                <w:rFonts w:hint="eastAsia" w:ascii="宋体" w:hAnsi="宋体" w:eastAsia="宋体" w:cs="宋体"/>
                <w:szCs w:val="21"/>
              </w:rPr>
              <w:t>2、6</w:t>
            </w:r>
          </w:p>
        </w:tc>
      </w:tr>
      <w:tr w14:paraId="75F4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040" w:type="dxa"/>
            <w:vMerge w:val="continue"/>
            <w:tcMar>
              <w:left w:w="57" w:type="dxa"/>
              <w:right w:w="57" w:type="dxa"/>
            </w:tcMar>
            <w:vAlign w:val="center"/>
          </w:tcPr>
          <w:p w14:paraId="315A5853">
            <w:pPr>
              <w:jc w:val="center"/>
              <w:rPr>
                <w:rFonts w:hint="eastAsia" w:ascii="宋体" w:hAnsi="宋体" w:eastAsia="宋体" w:cs="宋体"/>
                <w:szCs w:val="21"/>
              </w:rPr>
            </w:pPr>
          </w:p>
        </w:tc>
        <w:tc>
          <w:tcPr>
            <w:tcW w:w="1301" w:type="dxa"/>
            <w:vAlign w:val="center"/>
          </w:tcPr>
          <w:p w14:paraId="71FB2E82">
            <w:pPr>
              <w:spacing w:line="276" w:lineRule="auto"/>
              <w:jc w:val="center"/>
              <w:rPr>
                <w:rFonts w:hint="eastAsia" w:ascii="宋体" w:hAnsi="宋体" w:eastAsia="宋体" w:cs="宋体"/>
                <w:szCs w:val="21"/>
              </w:rPr>
            </w:pPr>
            <w:r>
              <w:rPr>
                <w:rFonts w:hint="eastAsia" w:ascii="宋体" w:hAnsi="宋体" w:eastAsia="宋体" w:cs="宋体"/>
                <w:szCs w:val="21"/>
              </w:rPr>
              <w:t>身体素质</w:t>
            </w:r>
          </w:p>
        </w:tc>
        <w:tc>
          <w:tcPr>
            <w:tcW w:w="741" w:type="dxa"/>
            <w:vAlign w:val="center"/>
          </w:tcPr>
          <w:p w14:paraId="4C342092">
            <w:pPr>
              <w:jc w:val="center"/>
              <w:rPr>
                <w:rFonts w:hint="eastAsia" w:ascii="宋体" w:hAnsi="宋体" w:eastAsia="宋体" w:cs="宋体"/>
                <w:szCs w:val="21"/>
              </w:rPr>
            </w:pPr>
            <w:r>
              <w:rPr>
                <w:rFonts w:hint="eastAsia" w:ascii="宋体" w:hAnsi="宋体" w:eastAsia="宋体" w:cs="宋体"/>
                <w:szCs w:val="21"/>
              </w:rPr>
              <w:t>20%</w:t>
            </w:r>
          </w:p>
        </w:tc>
        <w:tc>
          <w:tcPr>
            <w:tcW w:w="4086" w:type="dxa"/>
            <w:vAlign w:val="center"/>
          </w:tcPr>
          <w:p w14:paraId="06D257E3">
            <w:pPr>
              <w:spacing w:line="280" w:lineRule="exact"/>
              <w:jc w:val="left"/>
              <w:rPr>
                <w:rFonts w:hint="eastAsia" w:ascii="宋体" w:hAnsi="宋体" w:eastAsia="宋体" w:cs="宋体"/>
                <w:szCs w:val="21"/>
              </w:rPr>
            </w:pPr>
            <w:r>
              <w:rPr>
                <w:rFonts w:hint="eastAsia" w:ascii="宋体" w:hAnsi="宋体" w:eastAsia="宋体" w:cs="宋体"/>
                <w:bCs/>
                <w:kern w:val="24"/>
                <w:szCs w:val="21"/>
              </w:rPr>
              <w:t>课堂测试，评分参照《国家学生体质健康标准》。</w:t>
            </w:r>
          </w:p>
        </w:tc>
        <w:tc>
          <w:tcPr>
            <w:tcW w:w="1310" w:type="dxa"/>
            <w:vAlign w:val="center"/>
          </w:tcPr>
          <w:p w14:paraId="4E824095">
            <w:pPr>
              <w:jc w:val="center"/>
              <w:rPr>
                <w:rFonts w:hint="eastAsia" w:ascii="宋体" w:hAnsi="宋体" w:eastAsia="宋体" w:cs="宋体"/>
                <w:szCs w:val="21"/>
              </w:rPr>
            </w:pPr>
            <w:r>
              <w:rPr>
                <w:rFonts w:hint="eastAsia" w:ascii="宋体" w:hAnsi="宋体" w:eastAsia="宋体" w:cs="宋体"/>
                <w:szCs w:val="21"/>
              </w:rPr>
              <w:t>2、6</w:t>
            </w:r>
          </w:p>
        </w:tc>
      </w:tr>
      <w:tr w14:paraId="77DD5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40" w:type="dxa"/>
            <w:tcMar>
              <w:left w:w="57" w:type="dxa"/>
              <w:right w:w="57" w:type="dxa"/>
            </w:tcMar>
            <w:vAlign w:val="center"/>
          </w:tcPr>
          <w:p w14:paraId="3ECF41E2">
            <w:pPr>
              <w:jc w:val="center"/>
              <w:rPr>
                <w:rFonts w:hint="eastAsia" w:ascii="宋体" w:hAnsi="宋体" w:eastAsia="宋体" w:cs="宋体"/>
                <w:szCs w:val="21"/>
              </w:rPr>
            </w:pPr>
            <w:r>
              <w:rPr>
                <w:rFonts w:hint="eastAsia" w:ascii="宋体" w:hAnsi="宋体" w:eastAsia="宋体" w:cs="宋体"/>
                <w:szCs w:val="21"/>
              </w:rPr>
              <w:t>期末考试</w:t>
            </w:r>
          </w:p>
          <w:p w14:paraId="301F60A1">
            <w:pPr>
              <w:jc w:val="center"/>
              <w:rPr>
                <w:rFonts w:hint="eastAsia" w:ascii="宋体" w:hAnsi="宋体" w:eastAsia="宋体" w:cs="宋体"/>
                <w:szCs w:val="21"/>
              </w:rPr>
            </w:pPr>
            <w:r>
              <w:rPr>
                <w:rFonts w:hint="eastAsia" w:ascii="宋体" w:hAnsi="宋体" w:eastAsia="宋体" w:cs="宋体"/>
                <w:szCs w:val="21"/>
              </w:rPr>
              <w:t>50%</w:t>
            </w:r>
          </w:p>
        </w:tc>
        <w:tc>
          <w:tcPr>
            <w:tcW w:w="1301" w:type="dxa"/>
            <w:vAlign w:val="center"/>
          </w:tcPr>
          <w:p w14:paraId="3ECADF0C">
            <w:pPr>
              <w:jc w:val="center"/>
              <w:rPr>
                <w:rFonts w:hint="eastAsia" w:ascii="宋体" w:hAnsi="宋体" w:eastAsia="宋体" w:cs="宋体"/>
                <w:szCs w:val="21"/>
              </w:rPr>
            </w:pPr>
            <w:r>
              <w:rPr>
                <w:rFonts w:hint="eastAsia" w:ascii="宋体" w:hAnsi="宋体" w:eastAsia="宋体" w:cs="宋体"/>
                <w:szCs w:val="21"/>
              </w:rPr>
              <w:t>期末运动技能考试</w:t>
            </w:r>
          </w:p>
        </w:tc>
        <w:tc>
          <w:tcPr>
            <w:tcW w:w="741" w:type="dxa"/>
            <w:vAlign w:val="center"/>
          </w:tcPr>
          <w:p w14:paraId="07DBB20B">
            <w:pPr>
              <w:jc w:val="center"/>
              <w:rPr>
                <w:rFonts w:hint="eastAsia" w:ascii="宋体" w:hAnsi="宋体" w:eastAsia="宋体" w:cs="宋体"/>
                <w:szCs w:val="21"/>
              </w:rPr>
            </w:pPr>
            <w:r>
              <w:rPr>
                <w:rFonts w:hint="eastAsia" w:ascii="宋体" w:hAnsi="宋体" w:eastAsia="宋体" w:cs="宋体"/>
                <w:szCs w:val="21"/>
              </w:rPr>
              <w:t>50%</w:t>
            </w:r>
          </w:p>
        </w:tc>
        <w:tc>
          <w:tcPr>
            <w:tcW w:w="4086" w:type="dxa"/>
            <w:vAlign w:val="center"/>
          </w:tcPr>
          <w:p w14:paraId="124A0BF1">
            <w:pPr>
              <w:spacing w:line="400" w:lineRule="exact"/>
              <w:jc w:val="center"/>
              <w:rPr>
                <w:rFonts w:hint="eastAsia" w:ascii="宋体" w:hAnsi="宋体" w:eastAsia="宋体" w:cs="宋体"/>
                <w:szCs w:val="21"/>
              </w:rPr>
            </w:pPr>
            <w:r>
              <w:rPr>
                <w:rFonts w:hint="eastAsia" w:ascii="宋体" w:hAnsi="宋体" w:eastAsia="宋体" w:cs="宋体"/>
                <w:szCs w:val="21"/>
              </w:rPr>
              <w:t>各专项技能</w:t>
            </w:r>
          </w:p>
        </w:tc>
        <w:tc>
          <w:tcPr>
            <w:tcW w:w="1310" w:type="dxa"/>
            <w:vAlign w:val="center"/>
          </w:tcPr>
          <w:p w14:paraId="3DB8DC04">
            <w:pPr>
              <w:jc w:val="center"/>
              <w:rPr>
                <w:rFonts w:hint="eastAsia" w:ascii="宋体" w:hAnsi="宋体" w:eastAsia="宋体" w:cs="宋体"/>
                <w:szCs w:val="21"/>
              </w:rPr>
            </w:pPr>
            <w:r>
              <w:rPr>
                <w:rFonts w:hint="eastAsia" w:ascii="宋体" w:hAnsi="宋体" w:eastAsia="宋体" w:cs="宋体"/>
                <w:bCs/>
                <w:szCs w:val="21"/>
              </w:rPr>
              <w:t>2、6</w:t>
            </w:r>
          </w:p>
        </w:tc>
      </w:tr>
    </w:tbl>
    <w:p w14:paraId="01C03BE1">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六、有关说明</w:t>
      </w:r>
    </w:p>
    <w:p w14:paraId="46C5E441">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（一）持续改进</w:t>
      </w:r>
    </w:p>
    <w:p w14:paraId="30D2705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本课程根据学生课外体育锻炼、课堂表现、身体素质测试、平时考核情况，以及学生、教学督导等反馈，及时对教学中不足之处进行改进</w:t>
      </w:r>
      <w:r>
        <w:rPr>
          <w:rFonts w:hint="eastAsia" w:ascii="宋体" w:hAnsi="宋体" w:eastAsia="宋体" w:cs="宋体"/>
          <w:szCs w:val="20"/>
        </w:rPr>
        <w:t>，并在下一轮课程教学中整改完善，</w:t>
      </w:r>
      <w:r>
        <w:rPr>
          <w:rFonts w:hint="eastAsia" w:ascii="宋体" w:hAnsi="宋体" w:eastAsia="宋体" w:cs="宋体"/>
          <w:szCs w:val="21"/>
        </w:rPr>
        <w:t>确保相应毕业要求指标点达成。</w:t>
      </w:r>
    </w:p>
    <w:p w14:paraId="142C016A">
      <w:pPr>
        <w:spacing w:line="360" w:lineRule="auto"/>
        <w:ind w:firstLine="422" w:firstLineChars="200"/>
        <w:jc w:val="left"/>
        <w:rPr>
          <w:rFonts w:hint="eastAsia" w:ascii="宋体" w:hAnsi="宋体" w:eastAsia="宋体" w:cs="宋体"/>
          <w:szCs w:val="21"/>
        </w:rPr>
      </w:pPr>
      <w:r>
        <w:rPr>
          <w:rFonts w:hint="eastAsia" w:ascii="宋体" w:hAnsi="宋体" w:eastAsia="宋体" w:cs="宋体"/>
          <w:b/>
          <w:szCs w:val="21"/>
        </w:rPr>
        <w:t>（二）教学参考书</w:t>
      </w:r>
    </w:p>
    <w:p w14:paraId="773EEA24">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1.毛振明.大学体育文化与实技教程[M].沈阳：东北大学出版社，2013.</w:t>
      </w:r>
    </w:p>
    <w:p w14:paraId="43A94E7B">
      <w:pPr>
        <w:wordWrap w:val="0"/>
        <w:spacing w:line="360" w:lineRule="auto"/>
        <w:ind w:firstLine="420" w:firstLineChars="200"/>
        <w:jc w:val="right"/>
        <w:rPr>
          <w:rFonts w:hint="eastAsia" w:ascii="宋体" w:hAnsi="宋体" w:eastAsia="宋体" w:cs="宋体"/>
          <w:szCs w:val="21"/>
        </w:rPr>
      </w:pPr>
      <w:r>
        <w:rPr>
          <w:rFonts w:hint="eastAsia" w:ascii="宋体" w:hAnsi="宋体" w:eastAsia="宋体" w:cs="宋体"/>
          <w:szCs w:val="21"/>
        </w:rPr>
        <w:t>执笔人：顾  宏</w:t>
      </w:r>
    </w:p>
    <w:p w14:paraId="513491A2">
      <w:pPr>
        <w:wordWrap w:val="0"/>
        <w:spacing w:line="360" w:lineRule="auto"/>
        <w:ind w:firstLine="420" w:firstLineChars="200"/>
        <w:jc w:val="right"/>
        <w:rPr>
          <w:rFonts w:hint="eastAsia" w:ascii="宋体" w:hAnsi="宋体" w:eastAsia="宋体" w:cs="宋体"/>
          <w:szCs w:val="21"/>
        </w:rPr>
      </w:pPr>
      <w:r>
        <w:rPr>
          <w:rFonts w:hint="eastAsia" w:ascii="宋体" w:hAnsi="宋体" w:eastAsia="宋体" w:cs="宋体"/>
          <w:szCs w:val="21"/>
        </w:rPr>
        <w:t>审定人：朱亚男</w:t>
      </w:r>
    </w:p>
    <w:p w14:paraId="68C3E298">
      <w:pPr>
        <w:spacing w:line="360" w:lineRule="auto"/>
        <w:ind w:firstLine="420" w:firstLineChars="200"/>
        <w:jc w:val="right"/>
        <w:rPr>
          <w:rFonts w:hint="eastAsia" w:ascii="宋体" w:hAnsi="宋体" w:eastAsia="宋体" w:cs="宋体"/>
          <w:szCs w:val="21"/>
        </w:rPr>
      </w:pPr>
      <w:r>
        <w:rPr>
          <w:rFonts w:hint="eastAsia" w:ascii="宋体" w:hAnsi="宋体" w:eastAsia="宋体" w:cs="宋体"/>
          <w:szCs w:val="21"/>
        </w:rPr>
        <w:t>批准人：王红福</w:t>
      </w:r>
    </w:p>
    <w:p w14:paraId="3DD8CCE4">
      <w:pPr>
        <w:jc w:val="right"/>
        <w:rPr>
          <w:rFonts w:hint="eastAsia" w:ascii="宋体" w:hAnsi="宋体" w:eastAsia="宋体" w:cs="宋体"/>
          <w:sz w:val="24"/>
          <w:szCs w:val="22"/>
        </w:rPr>
      </w:pPr>
      <w:r>
        <w:rPr>
          <w:rFonts w:hint="eastAsia" w:ascii="宋体" w:hAnsi="宋体" w:eastAsia="宋体" w:cs="宋体"/>
          <w:szCs w:val="21"/>
        </w:rPr>
        <w:t>批准时间：2025年7月1日</w:t>
      </w:r>
    </w:p>
    <w:p w14:paraId="41392157">
      <w:pPr>
        <w:rPr>
          <w:rFonts w:hint="eastAsia" w:ascii="宋体" w:hAnsi="宋体" w:eastAsia="宋体" w:cs="宋体"/>
          <w:sz w:val="24"/>
          <w:szCs w:val="22"/>
        </w:rPr>
      </w:pPr>
      <w:r>
        <w:rPr>
          <w:rFonts w:hint="eastAsia" w:ascii="宋体" w:hAnsi="宋体" w:eastAsia="宋体" w:cs="宋体"/>
          <w:sz w:val="24"/>
          <w:szCs w:val="22"/>
        </w:rPr>
        <w:br w:type="page"/>
      </w:r>
    </w:p>
    <w:p w14:paraId="47C0F0A1">
      <w:pPr>
        <w:spacing w:line="360" w:lineRule="auto"/>
        <w:jc w:val="center"/>
        <w:outlineLvl w:val="0"/>
        <w:rPr>
          <w:rFonts w:ascii="Times New Roman" w:hAnsi="Times New Roman" w:eastAsia="宋体" w:cs="Times New Roman"/>
          <w:b/>
          <w:sz w:val="44"/>
          <w:szCs w:val="44"/>
        </w:rPr>
      </w:pPr>
      <w:bookmarkStart w:id="107" w:name="_Toc31253"/>
      <w:bookmarkStart w:id="108" w:name="_Toc27470"/>
      <w:bookmarkStart w:id="109" w:name="_Toc33"/>
      <w:bookmarkStart w:id="110" w:name="_Toc2023"/>
      <w:r>
        <w:rPr>
          <w:rFonts w:hint="eastAsia" w:ascii="Times New Roman" w:hAnsi="Times New Roman" w:eastAsia="宋体" w:cs="Times New Roman"/>
          <w:b/>
          <w:sz w:val="44"/>
          <w:szCs w:val="44"/>
        </w:rPr>
        <w:t>《体育III》课程教学大纲</w:t>
      </w:r>
      <w:bookmarkEnd w:id="107"/>
      <w:bookmarkEnd w:id="108"/>
      <w:bookmarkEnd w:id="109"/>
      <w:bookmarkEnd w:id="110"/>
    </w:p>
    <w:p w14:paraId="4FDC2B27">
      <w:pPr>
        <w:spacing w:line="360" w:lineRule="auto"/>
        <w:jc w:val="center"/>
        <w:rPr>
          <w:rFonts w:ascii="Times New Roman" w:hAnsi="Times New Roman" w:eastAsia="宋体" w:cs="Times New Roman"/>
          <w:b/>
          <w:bCs/>
          <w:sz w:val="28"/>
          <w:szCs w:val="28"/>
        </w:rPr>
      </w:pPr>
      <w:bookmarkStart w:id="111" w:name="_Toc24628"/>
      <w:bookmarkStart w:id="112" w:name="_Toc18836"/>
      <w:bookmarkStart w:id="113" w:name="_Toc7679"/>
      <w:bookmarkStart w:id="114" w:name="_Toc9288"/>
      <w:bookmarkStart w:id="115" w:name="_Toc26611"/>
      <w:bookmarkStart w:id="116" w:name="_Toc9251"/>
      <w:bookmarkStart w:id="117" w:name="_Toc16661"/>
      <w:r>
        <w:rPr>
          <w:rFonts w:hint="eastAsia" w:ascii="Times New Roman" w:hAnsi="Times New Roman" w:eastAsia="宋体" w:cs="Times New Roman"/>
          <w:b/>
          <w:bCs/>
          <w:sz w:val="28"/>
          <w:szCs w:val="28"/>
        </w:rPr>
        <w:t>（Physical  Education III）</w:t>
      </w:r>
      <w:bookmarkEnd w:id="111"/>
      <w:bookmarkEnd w:id="112"/>
      <w:bookmarkEnd w:id="113"/>
      <w:bookmarkEnd w:id="114"/>
      <w:bookmarkEnd w:id="115"/>
      <w:bookmarkEnd w:id="116"/>
      <w:bookmarkEnd w:id="117"/>
    </w:p>
    <w:p w14:paraId="4C7048C4">
      <w:pPr>
        <w:spacing w:line="360" w:lineRule="auto"/>
        <w:ind w:firstLine="422" w:firstLineChars="200"/>
        <w:rPr>
          <w:rFonts w:hint="eastAsia" w:cs="宋体" w:asciiTheme="majorEastAsia" w:hAnsiTheme="majorEastAsia" w:eastAsiaTheme="majorEastAsia"/>
          <w:b/>
          <w:szCs w:val="21"/>
        </w:rPr>
      </w:pPr>
    </w:p>
    <w:p w14:paraId="0AA459A1">
      <w:pPr>
        <w:spacing w:line="360" w:lineRule="auto"/>
        <w:ind w:firstLine="482" w:firstLineChars="200"/>
        <w:rPr>
          <w:rFonts w:hint="eastAsia" w:cs="宋体" w:asciiTheme="majorEastAsia" w:hAnsiTheme="majorEastAsia" w:eastAsiaTheme="majorEastAsia"/>
          <w:b/>
          <w:bCs/>
          <w:kern w:val="0"/>
          <w:sz w:val="24"/>
        </w:rPr>
      </w:pPr>
      <w:r>
        <w:rPr>
          <w:rFonts w:hint="eastAsia" w:cs="宋体" w:asciiTheme="majorEastAsia" w:hAnsiTheme="majorEastAsia" w:eastAsiaTheme="majorEastAsia"/>
          <w:b/>
          <w:bCs/>
          <w:kern w:val="0"/>
          <w:sz w:val="24"/>
        </w:rPr>
        <w:t>课程名称：体育III</w:t>
      </w:r>
    </w:p>
    <w:p w14:paraId="5E0F2178">
      <w:pPr>
        <w:spacing w:line="360" w:lineRule="auto"/>
        <w:ind w:firstLine="482" w:firstLineChars="200"/>
        <w:rPr>
          <w:rFonts w:hint="eastAsia" w:cs="宋体" w:asciiTheme="majorEastAsia" w:hAnsiTheme="majorEastAsia" w:eastAsiaTheme="majorEastAsia"/>
          <w:b/>
          <w:bCs/>
          <w:sz w:val="24"/>
        </w:rPr>
      </w:pPr>
      <w:r>
        <w:rPr>
          <w:rFonts w:hint="eastAsia" w:cs="宋体" w:asciiTheme="majorEastAsia" w:hAnsiTheme="majorEastAsia" w:eastAsiaTheme="majorEastAsia"/>
          <w:b/>
          <w:bCs/>
          <w:kern w:val="0"/>
          <w:sz w:val="24"/>
        </w:rPr>
        <w:t>课程代码：1102010</w:t>
      </w:r>
    </w:p>
    <w:p w14:paraId="0583EA57">
      <w:pPr>
        <w:spacing w:line="360" w:lineRule="auto"/>
        <w:ind w:firstLine="482" w:firstLineChars="200"/>
        <w:rPr>
          <w:rFonts w:hint="eastAsia" w:cs="宋体" w:asciiTheme="majorEastAsia" w:hAnsiTheme="majorEastAsia" w:eastAsiaTheme="majorEastAsia"/>
          <w:b/>
          <w:bCs/>
          <w:kern w:val="0"/>
          <w:sz w:val="24"/>
        </w:rPr>
      </w:pPr>
      <w:r>
        <w:rPr>
          <w:rFonts w:hint="eastAsia" w:cs="宋体" w:asciiTheme="majorEastAsia" w:hAnsiTheme="majorEastAsia" w:eastAsiaTheme="majorEastAsia"/>
          <w:b/>
          <w:bCs/>
          <w:kern w:val="0"/>
          <w:sz w:val="24"/>
        </w:rPr>
        <w:t>学    分：0.75</w:t>
      </w:r>
    </w:p>
    <w:p w14:paraId="30C1B4BE">
      <w:pPr>
        <w:spacing w:line="360" w:lineRule="auto"/>
        <w:ind w:firstLine="482" w:firstLineChars="200"/>
        <w:rPr>
          <w:rFonts w:hint="eastAsia" w:cs="宋体" w:asciiTheme="majorEastAsia" w:hAnsiTheme="majorEastAsia" w:eastAsiaTheme="majorEastAsia"/>
          <w:b/>
          <w:bCs/>
          <w:kern w:val="0"/>
          <w:sz w:val="24"/>
        </w:rPr>
      </w:pPr>
      <w:r>
        <w:rPr>
          <w:rFonts w:hint="eastAsia" w:cs="宋体" w:asciiTheme="majorEastAsia" w:hAnsiTheme="majorEastAsia" w:eastAsiaTheme="majorEastAsia"/>
          <w:b/>
          <w:bCs/>
          <w:kern w:val="0"/>
          <w:sz w:val="24"/>
        </w:rPr>
        <w:t>学    时：30</w:t>
      </w:r>
    </w:p>
    <w:p w14:paraId="123FAC27">
      <w:pPr>
        <w:spacing w:line="360" w:lineRule="auto"/>
        <w:ind w:firstLine="482" w:firstLineChars="200"/>
        <w:rPr>
          <w:rFonts w:hint="eastAsia" w:cs="宋体" w:asciiTheme="majorEastAsia" w:hAnsiTheme="majorEastAsia" w:eastAsiaTheme="majorEastAsia"/>
          <w:b/>
          <w:bCs/>
          <w:kern w:val="0"/>
          <w:sz w:val="24"/>
        </w:rPr>
      </w:pPr>
      <w:r>
        <w:rPr>
          <w:rFonts w:hint="eastAsia" w:cs="宋体" w:asciiTheme="majorEastAsia" w:hAnsiTheme="majorEastAsia" w:eastAsiaTheme="majorEastAsia"/>
          <w:b/>
          <w:bCs/>
          <w:kern w:val="0"/>
          <w:sz w:val="24"/>
        </w:rPr>
        <w:t>先修课程：无</w:t>
      </w:r>
    </w:p>
    <w:p w14:paraId="2FBC0074">
      <w:pPr>
        <w:spacing w:line="360" w:lineRule="auto"/>
        <w:ind w:firstLine="482" w:firstLineChars="200"/>
        <w:rPr>
          <w:rFonts w:hint="eastAsia" w:cs="宋体" w:asciiTheme="majorEastAsia" w:hAnsiTheme="majorEastAsia" w:eastAsiaTheme="majorEastAsia"/>
          <w:kern w:val="0"/>
          <w:szCs w:val="21"/>
        </w:rPr>
      </w:pPr>
      <w:r>
        <w:rPr>
          <w:rFonts w:hint="eastAsia" w:cs="宋体" w:asciiTheme="majorEastAsia" w:hAnsiTheme="majorEastAsia" w:eastAsiaTheme="majorEastAsia"/>
          <w:b/>
          <w:bCs/>
          <w:kern w:val="0"/>
          <w:sz w:val="24"/>
        </w:rPr>
        <w:t xml:space="preserve">适用专业：全校各专业    </w:t>
      </w:r>
      <w:r>
        <w:rPr>
          <w:rFonts w:hint="eastAsia" w:cs="宋体" w:asciiTheme="majorEastAsia" w:hAnsiTheme="majorEastAsia" w:eastAsiaTheme="majorEastAsia"/>
          <w:kern w:val="0"/>
          <w:szCs w:val="21"/>
        </w:rPr>
        <w:t xml:space="preserve">                    </w:t>
      </w:r>
    </w:p>
    <w:p w14:paraId="5A6A2307">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一、课程简介</w:t>
      </w:r>
    </w:p>
    <w:p w14:paraId="34CEA8EC">
      <w:pPr>
        <w:autoSpaceDE w:val="0"/>
        <w:autoSpaceDN w:val="0"/>
        <w:adjustRightInd w:val="0"/>
        <w:spacing w:line="360" w:lineRule="auto"/>
        <w:ind w:firstLine="420" w:firstLineChars="200"/>
        <w:jc w:val="left"/>
        <w:rPr>
          <w:rFonts w:hint="eastAsia" w:cs="宋体" w:asciiTheme="majorEastAsia" w:hAnsiTheme="majorEastAsia" w:eastAsiaTheme="majorEastAsia"/>
          <w:szCs w:val="21"/>
        </w:rPr>
      </w:pPr>
      <w:r>
        <w:rPr>
          <w:rFonts w:hint="eastAsia" w:cs="宋体" w:asciiTheme="majorEastAsia" w:hAnsiTheme="majorEastAsia" w:eastAsiaTheme="majorEastAsia"/>
          <w:szCs w:val="21"/>
        </w:rPr>
        <w:t>本课程是面向全校各专业开设的以身体练习为主要手段，以培养学生体育人文素养和塑造健全人格为主要目的，以提高学生体质健康水平为主要目标的通识必修课。其教学安排在第二学年</w:t>
      </w:r>
    </w:p>
    <w:p w14:paraId="7733365B">
      <w:pPr>
        <w:autoSpaceDE w:val="0"/>
        <w:autoSpaceDN w:val="0"/>
        <w:adjustRightInd w:val="0"/>
        <w:spacing w:line="360" w:lineRule="auto"/>
        <w:ind w:firstLine="420" w:firstLineChars="200"/>
        <w:jc w:val="left"/>
        <w:rPr>
          <w:rFonts w:hint="eastAsia" w:cs="宋体" w:asciiTheme="majorEastAsia" w:hAnsiTheme="majorEastAsia" w:eastAsiaTheme="majorEastAsia"/>
          <w:szCs w:val="21"/>
        </w:rPr>
      </w:pPr>
      <w:r>
        <w:rPr>
          <w:rFonts w:hint="eastAsia" w:cs="宋体" w:asciiTheme="majorEastAsia" w:hAnsiTheme="majorEastAsia" w:eastAsiaTheme="majorEastAsia"/>
          <w:szCs w:val="21"/>
        </w:rPr>
        <w:t>第三学期进行。课程主要内容包括篮球、足球、排球、羽毛球、乒乓球、网球、武术、手球、健美（男）、健美操（女）、艺术体操、跆拳道、散打、瑜伽、体育舞蹈和体育保健等项目。</w:t>
      </w:r>
    </w:p>
    <w:p w14:paraId="02B92BFC">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通过本课程的学习，使学生较全面、系统地掌握所学项目的基本理论知识，正确、熟练地掌握所学项目基本技术和战术，发展专项身体素质，并能在比赛或练习中灵活运用，从而提高学生的身体素质和促进学生身心健康发展。坚持以立德树人为根本，通过融入社会主义核心价值观、做人做事的道理和体育精神等课程思政元素，培养学生的爱国情怀、良好的体育道德风尚、团队精神、体育文化素养和顽强的意志品质。基本形成终身体育意识和自觉锻炼习惯。</w:t>
      </w:r>
    </w:p>
    <w:p w14:paraId="14D91DD1">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二、课程目标</w:t>
      </w:r>
    </w:p>
    <w:p w14:paraId="6859A867">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目标1：全面发展体能，提高运动能力，掌握体育基本理论知识和基本技术，具有一定的体育文化素养和体育欣赏能力。树立“健康第一”思想和正确的体育道德观，培养勇于拼搏、团结进取、战胜自我的优良品质。</w:t>
      </w:r>
    </w:p>
    <w:p w14:paraId="529E6137">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目标2：爱好并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2104671B">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本课程支撑专业培养方案中毕业要求2、6(不同专业会略有区别，具体见培养方案中的毕业要求实现矩阵)，对应关系如下表所示。</w:t>
      </w:r>
    </w:p>
    <w:tbl>
      <w:tblPr>
        <w:tblStyle w:val="12"/>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6445"/>
        <w:gridCol w:w="1188"/>
      </w:tblGrid>
      <w:tr w14:paraId="16DC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vAlign w:val="center"/>
          </w:tcPr>
          <w:p w14:paraId="40F42E68">
            <w:pPr>
              <w:jc w:val="center"/>
              <w:rPr>
                <w:rFonts w:hint="eastAsia" w:cs="宋体" w:asciiTheme="majorEastAsia" w:hAnsiTheme="majorEastAsia" w:eastAsiaTheme="majorEastAsia"/>
                <w:b/>
                <w:bCs/>
                <w:szCs w:val="21"/>
              </w:rPr>
            </w:pPr>
            <w:r>
              <w:rPr>
                <w:rFonts w:hint="eastAsia" w:cs="宋体" w:asciiTheme="majorEastAsia" w:hAnsiTheme="majorEastAsia" w:eastAsiaTheme="majorEastAsia"/>
                <w:b/>
                <w:bCs/>
                <w:szCs w:val="21"/>
              </w:rPr>
              <w:t>毕业要求2</w:t>
            </w:r>
          </w:p>
          <w:p w14:paraId="72A51D13">
            <w:pPr>
              <w:jc w:val="center"/>
              <w:rPr>
                <w:rFonts w:hint="eastAsia" w:cs="宋体" w:asciiTheme="majorEastAsia" w:hAnsiTheme="majorEastAsia" w:eastAsiaTheme="majorEastAsia"/>
                <w:b/>
                <w:bCs/>
                <w:szCs w:val="21"/>
              </w:rPr>
            </w:pPr>
            <w:r>
              <w:rPr>
                <w:rFonts w:hint="eastAsia" w:cs="宋体" w:asciiTheme="majorEastAsia" w:hAnsiTheme="majorEastAsia" w:eastAsiaTheme="majorEastAsia"/>
                <w:b/>
                <w:bCs/>
                <w:szCs w:val="21"/>
              </w:rPr>
              <w:t>教育情怀</w:t>
            </w:r>
          </w:p>
        </w:tc>
        <w:tc>
          <w:tcPr>
            <w:tcW w:w="3590" w:type="pct"/>
            <w:vAlign w:val="center"/>
          </w:tcPr>
          <w:p w14:paraId="4359652D">
            <w:pPr>
              <w:rPr>
                <w:rFonts w:hint="eastAsia" w:cs="宋体" w:asciiTheme="majorEastAsia" w:hAnsiTheme="majorEastAsia" w:eastAsiaTheme="majorEastAsia"/>
                <w:szCs w:val="21"/>
              </w:rPr>
            </w:pPr>
            <w:r>
              <w:rPr>
                <w:rFonts w:hint="eastAsia" w:cs="宋体" w:asciiTheme="majorEastAsia" w:hAnsiTheme="majorEastAsia" w:eastAsiaTheme="majorEastAsia"/>
                <w:b/>
                <w:bCs/>
                <w:szCs w:val="21"/>
              </w:rPr>
              <w:t>指标点2-3：</w:t>
            </w:r>
            <w:r>
              <w:rPr>
                <w:rFonts w:hint="eastAsia" w:cs="宋体" w:asciiTheme="majorEastAsia" w:hAnsiTheme="majorEastAsia" w:eastAsiaTheme="majorEastAsia"/>
                <w:szCs w:val="21"/>
              </w:rPr>
              <w:t>【自身修养良好】具有较好的人文艺术底蕴与科学精神，言行举止符合教师职业标准，情感积极，人格健全，身心健康。</w:t>
            </w:r>
          </w:p>
        </w:tc>
        <w:tc>
          <w:tcPr>
            <w:tcW w:w="662" w:type="pct"/>
            <w:vAlign w:val="center"/>
          </w:tcPr>
          <w:p w14:paraId="578B522D">
            <w:pPr>
              <w:rPr>
                <w:rFonts w:hint="eastAsia" w:cs="宋体" w:asciiTheme="majorEastAsia" w:hAnsiTheme="majorEastAsia" w:eastAsiaTheme="majorEastAsia"/>
                <w:szCs w:val="21"/>
                <w:lang w:eastAsia="zh"/>
              </w:rPr>
            </w:pPr>
            <w:r>
              <w:rPr>
                <w:rFonts w:hint="eastAsia" w:cs="宋体" w:asciiTheme="majorEastAsia" w:hAnsiTheme="majorEastAsia" w:eastAsiaTheme="majorEastAsia"/>
                <w:szCs w:val="21"/>
              </w:rPr>
              <w:t>课程目标</w:t>
            </w:r>
            <w:r>
              <w:rPr>
                <w:rFonts w:hint="eastAsia" w:cs="宋体" w:asciiTheme="majorEastAsia" w:hAnsiTheme="majorEastAsia" w:eastAsiaTheme="majorEastAsia"/>
                <w:szCs w:val="21"/>
                <w:lang w:eastAsia="zh"/>
              </w:rPr>
              <w:t>1</w:t>
            </w:r>
          </w:p>
        </w:tc>
      </w:tr>
      <w:tr w14:paraId="69955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vAlign w:val="center"/>
          </w:tcPr>
          <w:p w14:paraId="230B1671">
            <w:pPr>
              <w:jc w:val="center"/>
              <w:rPr>
                <w:rFonts w:hint="eastAsia" w:cs="宋体" w:asciiTheme="majorEastAsia" w:hAnsiTheme="majorEastAsia" w:eastAsiaTheme="majorEastAsia"/>
                <w:b/>
                <w:bCs/>
                <w:szCs w:val="21"/>
              </w:rPr>
            </w:pPr>
            <w:r>
              <w:rPr>
                <w:rFonts w:hint="eastAsia" w:cs="宋体" w:asciiTheme="majorEastAsia" w:hAnsiTheme="majorEastAsia" w:eastAsiaTheme="majorEastAsia"/>
                <w:b/>
                <w:bCs/>
                <w:szCs w:val="21"/>
              </w:rPr>
              <w:t>毕业要求6</w:t>
            </w:r>
          </w:p>
          <w:p w14:paraId="7B68C1DE">
            <w:pPr>
              <w:jc w:val="center"/>
              <w:rPr>
                <w:rFonts w:hint="eastAsia" w:cs="宋体" w:asciiTheme="majorEastAsia" w:hAnsiTheme="majorEastAsia" w:eastAsiaTheme="majorEastAsia"/>
                <w:b/>
                <w:bCs/>
                <w:szCs w:val="21"/>
              </w:rPr>
            </w:pPr>
            <w:r>
              <w:rPr>
                <w:rFonts w:hint="eastAsia" w:cs="宋体" w:asciiTheme="majorEastAsia" w:hAnsiTheme="majorEastAsia" w:eastAsiaTheme="majorEastAsia"/>
                <w:b/>
                <w:bCs/>
                <w:szCs w:val="21"/>
              </w:rPr>
              <w:t>综合育人</w:t>
            </w:r>
          </w:p>
        </w:tc>
        <w:tc>
          <w:tcPr>
            <w:tcW w:w="3590" w:type="pct"/>
            <w:vAlign w:val="center"/>
          </w:tcPr>
          <w:p w14:paraId="7CE25329">
            <w:pPr>
              <w:rPr>
                <w:rFonts w:hint="eastAsia" w:cs="宋体" w:asciiTheme="majorEastAsia" w:hAnsiTheme="majorEastAsia" w:eastAsiaTheme="majorEastAsia"/>
                <w:szCs w:val="21"/>
              </w:rPr>
            </w:pPr>
            <w:r>
              <w:rPr>
                <w:rFonts w:hint="eastAsia" w:cs="宋体" w:asciiTheme="majorEastAsia" w:hAnsiTheme="majorEastAsia" w:eastAsiaTheme="majorEastAsia"/>
                <w:b/>
                <w:bCs/>
                <w:szCs w:val="21"/>
              </w:rPr>
              <w:t>指标点6-3：</w:t>
            </w:r>
            <w:r>
              <w:rPr>
                <w:rFonts w:hint="eastAsia" w:cs="宋体" w:asciiTheme="majorEastAsia" w:hAnsiTheme="majorEastAsia" w:eastAsiaTheme="majorEastAsia"/>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662" w:type="pct"/>
            <w:vAlign w:val="center"/>
          </w:tcPr>
          <w:p w14:paraId="119D534B">
            <w:pPr>
              <w:rPr>
                <w:rFonts w:hint="eastAsia" w:cs="宋体" w:asciiTheme="majorEastAsia" w:hAnsiTheme="majorEastAsia" w:eastAsiaTheme="majorEastAsia"/>
                <w:szCs w:val="21"/>
              </w:rPr>
            </w:pPr>
            <w:r>
              <w:rPr>
                <w:rFonts w:hint="eastAsia" w:cs="宋体" w:asciiTheme="majorEastAsia" w:hAnsiTheme="majorEastAsia" w:eastAsiaTheme="majorEastAsia"/>
                <w:szCs w:val="21"/>
              </w:rPr>
              <w:t>课程目标1</w:t>
            </w:r>
          </w:p>
          <w:p w14:paraId="5B91206A">
            <w:pPr>
              <w:rPr>
                <w:rFonts w:hint="eastAsia" w:cs="宋体" w:asciiTheme="majorEastAsia" w:hAnsiTheme="majorEastAsia" w:eastAsiaTheme="majorEastAsia"/>
                <w:szCs w:val="21"/>
              </w:rPr>
            </w:pPr>
            <w:r>
              <w:rPr>
                <w:rFonts w:hint="eastAsia" w:cs="宋体" w:asciiTheme="majorEastAsia" w:hAnsiTheme="majorEastAsia" w:eastAsiaTheme="majorEastAsia"/>
                <w:szCs w:val="21"/>
              </w:rPr>
              <w:t>课程目标2</w:t>
            </w:r>
          </w:p>
        </w:tc>
      </w:tr>
    </w:tbl>
    <w:p w14:paraId="2132BD72">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三、教学内容与预期学习成效</w:t>
      </w:r>
    </w:p>
    <w:tbl>
      <w:tblPr>
        <w:tblStyle w:val="1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027"/>
        <w:gridCol w:w="2706"/>
        <w:gridCol w:w="780"/>
        <w:gridCol w:w="951"/>
      </w:tblGrid>
      <w:tr w14:paraId="50F1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329A91BC">
            <w:pPr>
              <w:jc w:val="center"/>
              <w:rPr>
                <w:rFonts w:hint="eastAsia" w:ascii="宋体" w:hAnsi="宋体" w:eastAsia="宋体" w:cs="宋体"/>
                <w:b/>
                <w:bCs/>
                <w:szCs w:val="21"/>
              </w:rPr>
            </w:pPr>
            <w:r>
              <w:rPr>
                <w:rFonts w:hint="eastAsia" w:ascii="宋体" w:hAnsi="宋体" w:eastAsia="宋体" w:cs="宋体"/>
                <w:b/>
                <w:bCs/>
                <w:szCs w:val="21"/>
              </w:rPr>
              <w:t>序号</w:t>
            </w:r>
          </w:p>
        </w:tc>
        <w:tc>
          <w:tcPr>
            <w:tcW w:w="2219" w:type="pct"/>
            <w:vAlign w:val="center"/>
          </w:tcPr>
          <w:p w14:paraId="6ED5B289">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1491" w:type="pct"/>
            <w:vAlign w:val="center"/>
          </w:tcPr>
          <w:p w14:paraId="172F186D">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430" w:type="pct"/>
            <w:vAlign w:val="center"/>
          </w:tcPr>
          <w:p w14:paraId="04C8BB62">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523" w:type="pct"/>
            <w:vAlign w:val="center"/>
          </w:tcPr>
          <w:p w14:paraId="23C95168">
            <w:pPr>
              <w:jc w:val="center"/>
              <w:rPr>
                <w:rFonts w:hint="eastAsia" w:ascii="宋体" w:hAnsi="宋体" w:eastAsia="宋体" w:cs="宋体"/>
                <w:b/>
                <w:bCs/>
                <w:szCs w:val="21"/>
              </w:rPr>
            </w:pPr>
            <w:r>
              <w:rPr>
                <w:rFonts w:hint="eastAsia" w:ascii="宋体" w:hAnsi="宋体" w:eastAsia="宋体" w:cs="宋体"/>
                <w:b/>
                <w:bCs/>
                <w:szCs w:val="21"/>
              </w:rPr>
              <w:t>教学</w:t>
            </w:r>
          </w:p>
          <w:p w14:paraId="7D44BC19">
            <w:pPr>
              <w:jc w:val="center"/>
              <w:rPr>
                <w:rFonts w:hint="eastAsia" w:ascii="宋体" w:hAnsi="宋体" w:eastAsia="宋体" w:cs="宋体"/>
                <w:b/>
                <w:bCs/>
                <w:szCs w:val="21"/>
              </w:rPr>
            </w:pPr>
            <w:r>
              <w:rPr>
                <w:rFonts w:hint="eastAsia" w:ascii="宋体" w:hAnsi="宋体" w:eastAsia="宋体" w:cs="宋体"/>
                <w:b/>
                <w:bCs/>
                <w:szCs w:val="21"/>
              </w:rPr>
              <w:t>方式</w:t>
            </w:r>
          </w:p>
        </w:tc>
      </w:tr>
      <w:tr w14:paraId="50F4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4A08A42A">
            <w:pPr>
              <w:jc w:val="center"/>
              <w:rPr>
                <w:rFonts w:hint="eastAsia" w:ascii="宋体" w:hAnsi="宋体" w:eastAsia="宋体" w:cs="宋体"/>
                <w:szCs w:val="21"/>
              </w:rPr>
            </w:pPr>
            <w:r>
              <w:rPr>
                <w:rFonts w:hint="eastAsia" w:ascii="宋体" w:hAnsi="宋体" w:eastAsia="宋体" w:cs="宋体"/>
                <w:szCs w:val="21"/>
              </w:rPr>
              <w:t>1</w:t>
            </w:r>
          </w:p>
        </w:tc>
        <w:tc>
          <w:tcPr>
            <w:tcW w:w="2219" w:type="pct"/>
            <w:vAlign w:val="center"/>
          </w:tcPr>
          <w:p w14:paraId="488ECAB4">
            <w:pPr>
              <w:rPr>
                <w:rFonts w:hint="eastAsia" w:ascii="宋体" w:hAnsi="宋体" w:eastAsia="宋体" w:cs="宋体"/>
                <w:b/>
                <w:szCs w:val="21"/>
              </w:rPr>
            </w:pPr>
            <w:r>
              <w:rPr>
                <w:rFonts w:hint="eastAsia" w:ascii="宋体" w:hAnsi="宋体" w:eastAsia="宋体" w:cs="宋体"/>
                <w:b/>
                <w:szCs w:val="21"/>
              </w:rPr>
              <w:t>㈠体育理论部分:</w:t>
            </w:r>
          </w:p>
          <w:p w14:paraId="2903475D">
            <w:pPr>
              <w:rPr>
                <w:rFonts w:hint="eastAsia" w:ascii="宋体" w:hAnsi="宋体" w:eastAsia="宋体" w:cs="宋体"/>
                <w:bCs/>
                <w:szCs w:val="21"/>
              </w:rPr>
            </w:pPr>
            <w:r>
              <w:rPr>
                <w:rFonts w:hint="eastAsia" w:ascii="宋体" w:hAnsi="宋体" w:eastAsia="宋体" w:cs="宋体"/>
                <w:bCs/>
                <w:szCs w:val="21"/>
              </w:rPr>
              <w:t>1.学生思想政治教育：我校体育运动发展概况、国家领导人与体育、奥运明星的励志故事、社会主义核心价值观与体育等；</w:t>
            </w:r>
          </w:p>
          <w:p w14:paraId="7DD58ACE">
            <w:pPr>
              <w:rPr>
                <w:rFonts w:hint="eastAsia" w:ascii="宋体" w:hAnsi="宋体" w:eastAsia="宋体" w:cs="宋体"/>
                <w:szCs w:val="21"/>
              </w:rPr>
            </w:pPr>
            <w:r>
              <w:rPr>
                <w:rFonts w:hint="eastAsia" w:ascii="宋体" w:hAnsi="宋体" w:eastAsia="宋体" w:cs="宋体"/>
                <w:bCs/>
                <w:szCs w:val="21"/>
              </w:rPr>
              <w:t>2.</w:t>
            </w:r>
            <w:r>
              <w:rPr>
                <w:rFonts w:hint="eastAsia" w:ascii="宋体" w:hAnsi="宋体" w:eastAsia="宋体" w:cs="宋体"/>
                <w:szCs w:val="21"/>
              </w:rPr>
              <w:t>体育安全教育：体育运动伤害事故的安全教育及预防与处理措施、常见运动损伤的预防与处理等；</w:t>
            </w:r>
          </w:p>
          <w:p w14:paraId="043B00BE">
            <w:pPr>
              <w:rPr>
                <w:rFonts w:hint="eastAsia" w:ascii="宋体" w:hAnsi="宋体" w:eastAsia="宋体" w:cs="宋体"/>
                <w:kern w:val="0"/>
                <w:szCs w:val="21"/>
              </w:rPr>
            </w:pPr>
            <w:r>
              <w:rPr>
                <w:rFonts w:hint="eastAsia" w:ascii="宋体" w:hAnsi="宋体" w:eastAsia="宋体" w:cs="宋体"/>
                <w:szCs w:val="21"/>
              </w:rPr>
              <w:t>3.体育基本理论：各运动项目的基本技战术知识、组织与竞赛、基本规则和裁判法，运动健身的基本原理与锻炼方法，体育锻炼的自我监督与评价，体育养生与保健知识等；</w:t>
            </w:r>
          </w:p>
        </w:tc>
        <w:tc>
          <w:tcPr>
            <w:tcW w:w="1491" w:type="pct"/>
            <w:vAlign w:val="center"/>
          </w:tcPr>
          <w:p w14:paraId="66982EE5">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通过教学，提高对体育的正确认识，形成正确积极的体育态度，学会运用科学理论指导健身锻炼实际，从而自觉遵循体育运动的规律，实现体育锻炼的目的。</w:t>
            </w:r>
          </w:p>
        </w:tc>
        <w:tc>
          <w:tcPr>
            <w:tcW w:w="430" w:type="pct"/>
            <w:vAlign w:val="center"/>
          </w:tcPr>
          <w:p w14:paraId="774BF808">
            <w:pPr>
              <w:jc w:val="center"/>
              <w:rPr>
                <w:rFonts w:hint="eastAsia" w:ascii="宋体" w:hAnsi="宋体" w:eastAsia="宋体" w:cs="宋体"/>
                <w:szCs w:val="21"/>
              </w:rPr>
            </w:pPr>
            <w:r>
              <w:rPr>
                <w:rFonts w:hint="eastAsia" w:ascii="宋体" w:hAnsi="宋体" w:eastAsia="宋体" w:cs="宋体"/>
                <w:szCs w:val="21"/>
              </w:rPr>
              <w:t>4</w:t>
            </w:r>
          </w:p>
        </w:tc>
        <w:tc>
          <w:tcPr>
            <w:tcW w:w="523" w:type="pct"/>
            <w:vAlign w:val="center"/>
          </w:tcPr>
          <w:p w14:paraId="387739E0">
            <w:pPr>
              <w:jc w:val="left"/>
              <w:rPr>
                <w:rFonts w:hint="eastAsia" w:ascii="宋体" w:hAnsi="宋体" w:eastAsia="宋体" w:cs="宋体"/>
                <w:szCs w:val="21"/>
              </w:rPr>
            </w:pPr>
            <w:r>
              <w:rPr>
                <w:rFonts w:hint="eastAsia" w:ascii="宋体" w:hAnsi="宋体" w:eastAsia="宋体" w:cs="宋体"/>
                <w:szCs w:val="21"/>
              </w:rPr>
              <w:t>讲授法</w:t>
            </w:r>
          </w:p>
        </w:tc>
      </w:tr>
      <w:tr w14:paraId="593B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4095EEE0">
            <w:pPr>
              <w:jc w:val="center"/>
              <w:rPr>
                <w:rFonts w:hint="eastAsia" w:ascii="宋体" w:hAnsi="宋体" w:eastAsia="宋体" w:cs="宋体"/>
                <w:szCs w:val="21"/>
              </w:rPr>
            </w:pPr>
          </w:p>
        </w:tc>
        <w:tc>
          <w:tcPr>
            <w:tcW w:w="4664" w:type="pct"/>
            <w:gridSpan w:val="4"/>
            <w:vAlign w:val="center"/>
          </w:tcPr>
          <w:p w14:paraId="52F9EE67">
            <w:pPr>
              <w:rPr>
                <w:rFonts w:hint="eastAsia" w:ascii="宋体" w:hAnsi="宋体" w:eastAsia="宋体" w:cs="宋体"/>
                <w:szCs w:val="21"/>
              </w:rPr>
            </w:pPr>
            <w:r>
              <w:rPr>
                <w:rFonts w:hint="eastAsia" w:ascii="宋体" w:hAnsi="宋体" w:eastAsia="宋体" w:cs="宋体"/>
                <w:b/>
                <w:bCs/>
                <w:szCs w:val="21"/>
              </w:rPr>
              <w:t>思政元素：</w:t>
            </w:r>
            <w:r>
              <w:rPr>
                <w:rFonts w:hint="eastAsia" w:ascii="宋体" w:hAnsi="宋体" w:eastAsia="宋体" w:cs="宋体"/>
                <w:kern w:val="0"/>
                <w:szCs w:val="21"/>
              </w:rPr>
              <w:t>理想信念、国家认同和社会主义核心价值观等教育；安全意识、健康意识教育</w:t>
            </w:r>
          </w:p>
        </w:tc>
      </w:tr>
      <w:tr w14:paraId="2834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62BDC8D0">
            <w:pPr>
              <w:jc w:val="center"/>
              <w:rPr>
                <w:rFonts w:hint="eastAsia" w:ascii="宋体" w:hAnsi="宋体" w:eastAsia="宋体" w:cs="宋体"/>
                <w:szCs w:val="21"/>
              </w:rPr>
            </w:pPr>
            <w:r>
              <w:rPr>
                <w:rFonts w:hint="eastAsia" w:ascii="宋体" w:hAnsi="宋体" w:eastAsia="宋体" w:cs="宋体"/>
                <w:szCs w:val="21"/>
              </w:rPr>
              <w:t>2</w:t>
            </w:r>
          </w:p>
        </w:tc>
        <w:tc>
          <w:tcPr>
            <w:tcW w:w="2219" w:type="pct"/>
            <w:vAlign w:val="center"/>
          </w:tcPr>
          <w:p w14:paraId="25CDBD5D">
            <w:pPr>
              <w:jc w:val="left"/>
              <w:rPr>
                <w:rFonts w:hint="eastAsia" w:ascii="宋体" w:hAnsi="宋体" w:eastAsia="宋体" w:cs="宋体"/>
                <w:b/>
                <w:szCs w:val="21"/>
              </w:rPr>
            </w:pPr>
            <w:r>
              <w:rPr>
                <w:rFonts w:hint="eastAsia" w:ascii="宋体" w:hAnsi="宋体" w:eastAsia="宋体" w:cs="宋体"/>
                <w:b/>
                <w:szCs w:val="21"/>
              </w:rPr>
              <w:t>㈡实践部分：</w:t>
            </w:r>
          </w:p>
          <w:p w14:paraId="60E65E8B">
            <w:pPr>
              <w:widowControl/>
              <w:ind w:left="-44" w:leftChars="-21" w:right="-109" w:rightChars="-52" w:firstLine="44" w:firstLineChars="21"/>
              <w:jc w:val="left"/>
              <w:rPr>
                <w:rFonts w:hint="eastAsia" w:ascii="宋体" w:hAnsi="宋体" w:eastAsia="宋体" w:cs="宋体"/>
                <w:kern w:val="0"/>
                <w:szCs w:val="21"/>
              </w:rPr>
            </w:pPr>
            <w:r>
              <w:rPr>
                <w:rFonts w:hint="eastAsia" w:ascii="宋体" w:hAnsi="宋体" w:eastAsia="宋体" w:cs="宋体"/>
                <w:bCs/>
                <w:szCs w:val="21"/>
              </w:rPr>
              <w:t>各运动项目和身体素质为主，主要包括篮球、足球、排球、手球、乒乓球、网球、羽毛球、台球、健美（男）、体育舞蹈、武术、散打、跆拳道、艺术体操、健美操（女）、排舞（女）、瑜伽、体育舞蹈和体育保健等项目。</w:t>
            </w:r>
          </w:p>
        </w:tc>
        <w:tc>
          <w:tcPr>
            <w:tcW w:w="1491" w:type="pct"/>
            <w:vAlign w:val="center"/>
          </w:tcPr>
          <w:p w14:paraId="00C5D876">
            <w:pPr>
              <w:rPr>
                <w:rFonts w:hint="eastAsia" w:ascii="宋体" w:hAnsi="宋体" w:eastAsia="宋体" w:cs="宋体"/>
                <w:szCs w:val="21"/>
              </w:rPr>
            </w:pPr>
            <w:r>
              <w:rPr>
                <w:rFonts w:hint="eastAsia" w:ascii="宋体" w:hAnsi="宋体" w:eastAsia="宋体" w:cs="宋体"/>
                <w:szCs w:val="21"/>
              </w:rPr>
              <w:t>通过学习，</w:t>
            </w:r>
            <w:r>
              <w:rPr>
                <w:rFonts w:hint="eastAsia" w:ascii="宋体" w:hAnsi="宋体" w:eastAsia="宋体" w:cs="宋体"/>
                <w:kern w:val="0"/>
                <w:szCs w:val="21"/>
              </w:rPr>
              <w:t>使学生了解和掌握所选运动项目的基本知识、基本技术和锻炼方法；爱好并积极参与各种体育运动，发展学生速度、灵敏、耐力等身体素质，增强体质</w:t>
            </w:r>
            <w:r>
              <w:rPr>
                <w:rFonts w:hint="eastAsia" w:ascii="宋体" w:hAnsi="宋体" w:eastAsia="宋体" w:cs="宋体"/>
                <w:szCs w:val="21"/>
              </w:rPr>
              <w:t>；培养团结协作的集体主义精神和顽强拼搏的竞争意识；达到“国家体质健康标准”</w:t>
            </w:r>
            <w:r>
              <w:rPr>
                <w:rFonts w:hint="eastAsia" w:ascii="宋体" w:hAnsi="宋体" w:eastAsia="宋体" w:cs="宋体"/>
                <w:kern w:val="0"/>
                <w:szCs w:val="21"/>
              </w:rPr>
              <w:t>。</w:t>
            </w:r>
          </w:p>
        </w:tc>
        <w:tc>
          <w:tcPr>
            <w:tcW w:w="430" w:type="pct"/>
            <w:vAlign w:val="center"/>
          </w:tcPr>
          <w:p w14:paraId="410DD1CD">
            <w:pPr>
              <w:jc w:val="center"/>
              <w:rPr>
                <w:rFonts w:hint="eastAsia" w:ascii="宋体" w:hAnsi="宋体" w:eastAsia="宋体" w:cs="宋体"/>
                <w:szCs w:val="21"/>
              </w:rPr>
            </w:pPr>
            <w:r>
              <w:rPr>
                <w:rFonts w:hint="eastAsia" w:ascii="宋体" w:hAnsi="宋体" w:eastAsia="宋体" w:cs="宋体"/>
                <w:szCs w:val="21"/>
              </w:rPr>
              <w:t>26</w:t>
            </w:r>
          </w:p>
        </w:tc>
        <w:tc>
          <w:tcPr>
            <w:tcW w:w="523" w:type="pct"/>
            <w:vAlign w:val="center"/>
          </w:tcPr>
          <w:p w14:paraId="4A368262">
            <w:pPr>
              <w:rPr>
                <w:rFonts w:hint="eastAsia" w:ascii="宋体" w:hAnsi="宋体" w:eastAsia="宋体" w:cs="宋体"/>
                <w:szCs w:val="21"/>
              </w:rPr>
            </w:pPr>
            <w:r>
              <w:rPr>
                <w:rFonts w:hint="eastAsia" w:ascii="宋体" w:hAnsi="宋体" w:eastAsia="宋体" w:cs="宋体"/>
                <w:szCs w:val="21"/>
              </w:rPr>
              <w:t>讲授法演示法练习法</w:t>
            </w:r>
          </w:p>
        </w:tc>
      </w:tr>
      <w:tr w14:paraId="3E69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0E4B546C">
            <w:pPr>
              <w:jc w:val="center"/>
              <w:rPr>
                <w:rFonts w:hint="eastAsia" w:ascii="宋体" w:hAnsi="宋体" w:eastAsia="宋体" w:cs="宋体"/>
                <w:szCs w:val="21"/>
              </w:rPr>
            </w:pPr>
          </w:p>
        </w:tc>
        <w:tc>
          <w:tcPr>
            <w:tcW w:w="4664" w:type="pct"/>
            <w:gridSpan w:val="4"/>
            <w:vAlign w:val="center"/>
          </w:tcPr>
          <w:p w14:paraId="7AF259BF">
            <w:pPr>
              <w:rPr>
                <w:rFonts w:hint="eastAsia" w:ascii="宋体" w:hAnsi="宋体" w:eastAsia="宋体" w:cs="宋体"/>
                <w:szCs w:val="21"/>
              </w:rPr>
            </w:pPr>
            <w:r>
              <w:rPr>
                <w:rFonts w:hint="eastAsia" w:ascii="宋体" w:hAnsi="宋体" w:eastAsia="宋体" w:cs="宋体"/>
                <w:b/>
                <w:bCs/>
                <w:szCs w:val="21"/>
              </w:rPr>
              <w:t>思政元素：</w:t>
            </w:r>
            <w:r>
              <w:rPr>
                <w:rFonts w:hint="eastAsia" w:ascii="宋体" w:hAnsi="宋体" w:eastAsia="宋体" w:cs="宋体"/>
                <w:kern w:val="0"/>
                <w:szCs w:val="21"/>
              </w:rPr>
              <w:t>爱国主义和集体主义教育；体育道德观、意志品德培育；规则意识和诚信意识教育。</w:t>
            </w:r>
          </w:p>
        </w:tc>
      </w:tr>
    </w:tbl>
    <w:p w14:paraId="7E3000C2">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四、课程实施</w:t>
      </w:r>
    </w:p>
    <w:p w14:paraId="129A19F3">
      <w:pPr>
        <w:spacing w:line="360" w:lineRule="auto"/>
        <w:ind w:firstLine="422" w:firstLineChars="200"/>
        <w:jc w:val="left"/>
        <w:rPr>
          <w:rFonts w:hint="eastAsia" w:cs="宋体" w:asciiTheme="majorEastAsia" w:hAnsiTheme="majorEastAsia" w:eastAsiaTheme="majorEastAsia"/>
          <w:b/>
          <w:szCs w:val="21"/>
        </w:rPr>
      </w:pPr>
      <w:r>
        <w:rPr>
          <w:rFonts w:hint="eastAsia" w:cs="宋体" w:asciiTheme="majorEastAsia" w:hAnsiTheme="majorEastAsia" w:eastAsiaTheme="majorEastAsia"/>
          <w:b/>
          <w:szCs w:val="21"/>
        </w:rPr>
        <w:t>（一）教学方法与手段</w:t>
      </w:r>
    </w:p>
    <w:p w14:paraId="3CE24257">
      <w:pPr>
        <w:spacing w:line="360" w:lineRule="auto"/>
        <w:ind w:firstLine="420" w:firstLineChars="200"/>
        <w:jc w:val="left"/>
        <w:rPr>
          <w:rFonts w:hint="eastAsia" w:cs="宋体" w:asciiTheme="majorEastAsia" w:hAnsiTheme="majorEastAsia" w:eastAsiaTheme="majorEastAsia"/>
          <w:szCs w:val="21"/>
        </w:rPr>
      </w:pPr>
      <w:r>
        <w:rPr>
          <w:rFonts w:hint="eastAsia" w:cs="宋体" w:asciiTheme="majorEastAsia" w:hAnsiTheme="majorEastAsia" w:eastAsiaTheme="majorEastAsia"/>
          <w:szCs w:val="21"/>
        </w:rPr>
        <w:t xml:space="preserve">1．本课程以实践教学为主，教学方法与手段的运用要考虑到学生的实际情况，从实际出发，因材施教，注意区别对待，激发学生学习兴趣，并在教学中重视学生实践能力的培养。  </w:t>
      </w:r>
    </w:p>
    <w:p w14:paraId="4F17CCE2">
      <w:pPr>
        <w:spacing w:line="360" w:lineRule="auto"/>
        <w:ind w:firstLine="420" w:firstLineChars="200"/>
        <w:jc w:val="left"/>
        <w:rPr>
          <w:rFonts w:hint="eastAsia" w:cs="宋体" w:asciiTheme="majorEastAsia" w:hAnsiTheme="majorEastAsia" w:eastAsiaTheme="majorEastAsia"/>
          <w:szCs w:val="21"/>
        </w:rPr>
      </w:pPr>
      <w:r>
        <w:rPr>
          <w:rFonts w:hint="eastAsia" w:cs="宋体" w:asciiTheme="majorEastAsia" w:hAnsiTheme="majorEastAsia" w:eastAsiaTheme="majorEastAsia"/>
          <w:szCs w:val="21"/>
        </w:rPr>
        <w:t>2．教学方法与手段的运用合理，注意防止伤害事故发生，重视学生自我保护能力培养。</w:t>
      </w:r>
    </w:p>
    <w:p w14:paraId="5F1BECAA">
      <w:pPr>
        <w:spacing w:line="360" w:lineRule="auto"/>
        <w:ind w:firstLine="420" w:firstLineChars="200"/>
        <w:jc w:val="left"/>
        <w:rPr>
          <w:rFonts w:hint="eastAsia" w:cs="宋体" w:asciiTheme="majorEastAsia" w:hAnsiTheme="majorEastAsia" w:eastAsiaTheme="majorEastAsia"/>
          <w:szCs w:val="21"/>
        </w:rPr>
      </w:pPr>
      <w:r>
        <w:rPr>
          <w:rFonts w:hint="eastAsia" w:cs="宋体" w:asciiTheme="majorEastAsia" w:hAnsiTheme="majorEastAsia" w:eastAsiaTheme="majorEastAsia"/>
          <w:szCs w:val="21"/>
        </w:rPr>
        <w:t>3．针对体育教学技术教学的特点，本课程将采用：讲解法、示范法、完整法、分解法、集体练习、小组练习等教学方法，并利用多媒体教学方式，提高学生的欣赏能力、让学生更加深刻的了解所学项目。</w:t>
      </w:r>
    </w:p>
    <w:p w14:paraId="4D532B8B">
      <w:pPr>
        <w:spacing w:line="360" w:lineRule="auto"/>
        <w:ind w:firstLine="422" w:firstLineChars="200"/>
        <w:rPr>
          <w:rFonts w:hint="eastAsia" w:cs="宋体" w:asciiTheme="majorEastAsia" w:hAnsiTheme="majorEastAsia" w:eastAsiaTheme="majorEastAsia"/>
          <w:b/>
          <w:szCs w:val="21"/>
        </w:rPr>
      </w:pPr>
      <w:r>
        <w:rPr>
          <w:rFonts w:hint="eastAsia" w:cs="宋体" w:asciiTheme="majorEastAsia" w:hAnsiTheme="majorEastAsia" w:eastAsiaTheme="majorEastAsia"/>
          <w:b/>
          <w:szCs w:val="21"/>
        </w:rPr>
        <w:t>（二）课程实施与保障</w:t>
      </w:r>
    </w:p>
    <w:tbl>
      <w:tblPr>
        <w:tblStyle w:val="11"/>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1247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691" w:type="dxa"/>
            <w:gridSpan w:val="2"/>
            <w:tcBorders>
              <w:top w:val="single" w:color="auto" w:sz="8" w:space="0"/>
              <w:left w:val="single" w:color="auto" w:sz="8" w:space="0"/>
              <w:right w:val="single" w:color="auto" w:sz="8" w:space="0"/>
            </w:tcBorders>
            <w:tcMar>
              <w:left w:w="28" w:type="dxa"/>
              <w:right w:w="28" w:type="dxa"/>
            </w:tcMar>
            <w:vAlign w:val="center"/>
          </w:tcPr>
          <w:p w14:paraId="0ABA6205">
            <w:pPr>
              <w:jc w:val="center"/>
              <w:rPr>
                <w:rFonts w:hint="eastAsia" w:cs="宋体" w:asciiTheme="majorEastAsia" w:hAnsiTheme="majorEastAsia" w:eastAsiaTheme="majorEastAsia"/>
                <w:szCs w:val="21"/>
              </w:rPr>
            </w:pPr>
            <w:r>
              <w:rPr>
                <w:rFonts w:hint="eastAsia" w:cs="宋体" w:asciiTheme="majorEastAsia" w:hAnsiTheme="majorEastAsia" w:eastAsiaTheme="majorEastAsia"/>
                <w:b/>
                <w:bCs/>
                <w:szCs w:val="21"/>
              </w:rPr>
              <w:t>主要教学环节</w:t>
            </w:r>
          </w:p>
        </w:tc>
        <w:tc>
          <w:tcPr>
            <w:tcW w:w="6640" w:type="dxa"/>
            <w:tcBorders>
              <w:top w:val="single" w:color="auto" w:sz="8" w:space="0"/>
              <w:left w:val="single" w:color="auto" w:sz="8" w:space="0"/>
              <w:right w:val="single" w:color="auto" w:sz="8" w:space="0"/>
            </w:tcBorders>
            <w:vAlign w:val="center"/>
          </w:tcPr>
          <w:p w14:paraId="2B4F0A39">
            <w:pPr>
              <w:jc w:val="center"/>
              <w:rPr>
                <w:rFonts w:hint="eastAsia" w:cs="宋体" w:asciiTheme="majorEastAsia" w:hAnsiTheme="majorEastAsia" w:eastAsiaTheme="majorEastAsia"/>
                <w:szCs w:val="21"/>
              </w:rPr>
            </w:pPr>
            <w:r>
              <w:rPr>
                <w:rFonts w:hint="eastAsia" w:cs="宋体" w:asciiTheme="majorEastAsia" w:hAnsiTheme="majorEastAsia" w:eastAsiaTheme="majorEastAsia"/>
                <w:b/>
                <w:bCs/>
                <w:szCs w:val="21"/>
              </w:rPr>
              <w:t>质量要求</w:t>
            </w:r>
          </w:p>
        </w:tc>
      </w:tr>
      <w:tr w14:paraId="31CF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6C64663E">
            <w:pPr>
              <w:jc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1</w:t>
            </w:r>
          </w:p>
        </w:tc>
        <w:tc>
          <w:tcPr>
            <w:tcW w:w="1252" w:type="dxa"/>
            <w:tcMar>
              <w:left w:w="28" w:type="dxa"/>
              <w:right w:w="28" w:type="dxa"/>
            </w:tcMar>
            <w:vAlign w:val="center"/>
          </w:tcPr>
          <w:p w14:paraId="62B33DC0">
            <w:pPr>
              <w:jc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备课</w:t>
            </w:r>
          </w:p>
        </w:tc>
        <w:tc>
          <w:tcPr>
            <w:tcW w:w="6640" w:type="dxa"/>
            <w:tcBorders>
              <w:right w:val="single" w:color="auto" w:sz="8" w:space="0"/>
            </w:tcBorders>
            <w:vAlign w:val="center"/>
          </w:tcPr>
          <w:p w14:paraId="1154D7E1">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1.掌握本课程教学大纲内容，严格按照教学大纲要求进行本课程教学内容的组织；</w:t>
            </w:r>
          </w:p>
          <w:p w14:paraId="7EEA8024">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2.熟悉教材各章节，借助相关专业书籍资料，并依据教学大纲编写授课计划；</w:t>
            </w:r>
          </w:p>
          <w:p w14:paraId="0542E822">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 xml:space="preserve">3.结合课程特点，制作课件，运用多媒体教学手段讲授部分教学内容； </w:t>
            </w:r>
          </w:p>
          <w:p w14:paraId="72D007FC">
            <w:pPr>
              <w:autoSpaceDE w:val="0"/>
              <w:autoSpaceDN w:val="0"/>
              <w:adjustRightInd w:val="0"/>
              <w:snapToGrid w:val="0"/>
              <w:jc w:val="left"/>
              <w:rPr>
                <w:rFonts w:hint="eastAsia" w:cs="宋体" w:asciiTheme="majorEastAsia" w:hAnsiTheme="majorEastAsia" w:eastAsiaTheme="majorEastAsia"/>
                <w:szCs w:val="21"/>
              </w:rPr>
            </w:pPr>
            <w:r>
              <w:rPr>
                <w:rFonts w:hint="eastAsia" w:cs="宋体" w:asciiTheme="majorEastAsia" w:hAnsiTheme="majorEastAsia" w:eastAsiaTheme="majorEastAsia"/>
                <w:kern w:val="0"/>
                <w:szCs w:val="21"/>
              </w:rPr>
              <w:t>4.确定各章节课程内容的教学方法，构思授课思路、技巧和方法。</w:t>
            </w:r>
          </w:p>
        </w:tc>
      </w:tr>
      <w:tr w14:paraId="25BE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798E4799">
            <w:pPr>
              <w:jc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2</w:t>
            </w:r>
          </w:p>
        </w:tc>
        <w:tc>
          <w:tcPr>
            <w:tcW w:w="1252" w:type="dxa"/>
            <w:tcMar>
              <w:left w:w="28" w:type="dxa"/>
              <w:right w:w="28" w:type="dxa"/>
            </w:tcMar>
            <w:vAlign w:val="center"/>
          </w:tcPr>
          <w:p w14:paraId="625DBEB4">
            <w:pPr>
              <w:jc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讲授</w:t>
            </w:r>
          </w:p>
        </w:tc>
        <w:tc>
          <w:tcPr>
            <w:tcW w:w="6640" w:type="dxa"/>
            <w:tcBorders>
              <w:right w:val="single" w:color="auto" w:sz="8" w:space="0"/>
            </w:tcBorders>
            <w:vAlign w:val="center"/>
          </w:tcPr>
          <w:p w14:paraId="4169DEA0">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1.</w:t>
            </w:r>
            <w:r>
              <w:rPr>
                <w:rFonts w:hint="eastAsia" w:cs="宋体" w:asciiTheme="majorEastAsia" w:hAnsiTheme="majorEastAsia" w:eastAsiaTheme="majorEastAsia"/>
                <w:szCs w:val="21"/>
              </w:rPr>
              <w:t>满足需要，发展个性；</w:t>
            </w:r>
            <w:r>
              <w:rPr>
                <w:rFonts w:hint="eastAsia" w:cs="宋体" w:asciiTheme="majorEastAsia" w:hAnsiTheme="majorEastAsia" w:eastAsiaTheme="majorEastAsia"/>
                <w:kern w:val="0"/>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158E74CC">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2.采用多种教学方式（如启发式教学、导学式、发现式等），精讲多练，培养学生自学、自练、自评、互评等能力。</w:t>
            </w:r>
          </w:p>
          <w:p w14:paraId="15237354">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0C0C205B">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4.区别对待，因材施教。重视安全和关心基础较差的学生成长。</w:t>
            </w:r>
          </w:p>
          <w:p w14:paraId="4841F76F">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5.教学中教师要以身作则，言传身教，做到既教学又育人。培养学生的优良品质，达到身心全面发展。</w:t>
            </w:r>
          </w:p>
        </w:tc>
      </w:tr>
      <w:tr w14:paraId="7262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0D263A22">
            <w:pPr>
              <w:jc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3</w:t>
            </w:r>
          </w:p>
        </w:tc>
        <w:tc>
          <w:tcPr>
            <w:tcW w:w="1252" w:type="dxa"/>
            <w:tcMar>
              <w:left w:w="28" w:type="dxa"/>
              <w:right w:w="28" w:type="dxa"/>
            </w:tcMar>
            <w:vAlign w:val="center"/>
          </w:tcPr>
          <w:p w14:paraId="0E90D6B6">
            <w:pPr>
              <w:jc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课外练习</w:t>
            </w:r>
          </w:p>
        </w:tc>
        <w:tc>
          <w:tcPr>
            <w:tcW w:w="6640" w:type="dxa"/>
            <w:tcBorders>
              <w:right w:val="single" w:color="auto" w:sz="8" w:space="0"/>
            </w:tcBorders>
            <w:vAlign w:val="center"/>
          </w:tcPr>
          <w:p w14:paraId="6589CBF9">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课外练习是教师布置课外练习内容，重点要求学生利用课余时间巩固课堂上所学的技术动作，形成正确的动力定型，同时要求学生加强身体素质练习。</w:t>
            </w:r>
          </w:p>
        </w:tc>
      </w:tr>
      <w:tr w14:paraId="192F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58B96D7A">
            <w:pPr>
              <w:jc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4</w:t>
            </w:r>
          </w:p>
        </w:tc>
        <w:tc>
          <w:tcPr>
            <w:tcW w:w="1252" w:type="dxa"/>
            <w:tcMar>
              <w:left w:w="28" w:type="dxa"/>
              <w:right w:w="28" w:type="dxa"/>
            </w:tcMar>
            <w:vAlign w:val="center"/>
          </w:tcPr>
          <w:p w14:paraId="5CA9C8CB">
            <w:pPr>
              <w:jc w:val="center"/>
              <w:rPr>
                <w:rFonts w:hint="eastAsia" w:cs="宋体" w:asciiTheme="majorEastAsia" w:hAnsiTheme="majorEastAsia" w:eastAsiaTheme="majorEastAsia"/>
                <w:szCs w:val="21"/>
              </w:rPr>
            </w:pPr>
            <w:r>
              <w:rPr>
                <w:rFonts w:hint="eastAsia" w:cs="宋体" w:asciiTheme="majorEastAsia" w:hAnsiTheme="majorEastAsia" w:eastAsiaTheme="majorEastAsia"/>
                <w:szCs w:val="21"/>
              </w:rPr>
              <w:t>成绩考核</w:t>
            </w:r>
          </w:p>
        </w:tc>
        <w:tc>
          <w:tcPr>
            <w:tcW w:w="6640" w:type="dxa"/>
            <w:tcBorders>
              <w:right w:val="single" w:color="auto" w:sz="8" w:space="0"/>
            </w:tcBorders>
            <w:vAlign w:val="center"/>
          </w:tcPr>
          <w:p w14:paraId="78890E07">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本课程考核的方式：考试。总评成绩的评定见课程评分方案。有下列情况之一者，总评成绩为不及格：</w:t>
            </w:r>
          </w:p>
          <w:p w14:paraId="3CEC0D2B">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1.课外体育锻炼不合格者；</w:t>
            </w:r>
          </w:p>
          <w:p w14:paraId="46C1F061">
            <w:pPr>
              <w:autoSpaceDE w:val="0"/>
              <w:autoSpaceDN w:val="0"/>
              <w:adjustRightInd w:val="0"/>
              <w:snapToGrid w:val="0"/>
              <w:jc w:val="left"/>
              <w:rPr>
                <w:rFonts w:hint="eastAsia" w:cs="宋体" w:asciiTheme="majorEastAsia" w:hAnsiTheme="majorEastAsia" w:eastAsiaTheme="majorEastAsia"/>
                <w:kern w:val="0"/>
                <w:szCs w:val="21"/>
              </w:rPr>
            </w:pPr>
            <w:r>
              <w:rPr>
                <w:rFonts w:hint="eastAsia" w:cs="宋体" w:asciiTheme="majorEastAsia" w:hAnsiTheme="majorEastAsia" w:eastAsiaTheme="majorEastAsia"/>
                <w:kern w:val="0"/>
                <w:szCs w:val="21"/>
              </w:rPr>
              <w:t>2.缺课次数达本学期总授课学时的1/3以上者；</w:t>
            </w:r>
          </w:p>
        </w:tc>
      </w:tr>
    </w:tbl>
    <w:p w14:paraId="51C850D3">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五、课程考核</w:t>
      </w:r>
    </w:p>
    <w:p w14:paraId="0CD18B91">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（一）课程考核由期末考试和平时考核构成，期末考试采用随堂方式。</w:t>
      </w:r>
    </w:p>
    <w:p w14:paraId="5DE3F624">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（二）课程总评成绩=平时成绩×50%+期末考试×50%，平时成绩=课堂表现×20%+课外锻炼×40%+身体素质×40%。</w:t>
      </w:r>
    </w:p>
    <w:p w14:paraId="0D66B353">
      <w:pPr>
        <w:spacing w:line="360" w:lineRule="auto"/>
        <w:ind w:firstLine="420" w:firstLineChars="200"/>
        <w:rPr>
          <w:rFonts w:hint="eastAsia" w:cs="宋体" w:asciiTheme="majorEastAsia" w:hAnsiTheme="majorEastAsia" w:eastAsiaTheme="majorEastAsia"/>
          <w:szCs w:val="21"/>
        </w:rPr>
      </w:pPr>
      <w:r>
        <w:rPr>
          <w:rFonts w:hint="eastAsia" w:cs="宋体" w:asciiTheme="majorEastAsia" w:hAnsiTheme="majorEastAsia" w:eastAsiaTheme="majorEastAsia"/>
          <w:szCs w:val="21"/>
        </w:rPr>
        <w:t>具体内容和比例如表所示：</w:t>
      </w:r>
    </w:p>
    <w:tbl>
      <w:tblPr>
        <w:tblStyle w:val="11"/>
        <w:tblW w:w="8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65B0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040" w:type="dxa"/>
            <w:tcMar>
              <w:left w:w="57" w:type="dxa"/>
              <w:right w:w="57" w:type="dxa"/>
            </w:tcMar>
            <w:vAlign w:val="center"/>
          </w:tcPr>
          <w:p w14:paraId="37FA2E60">
            <w:pPr>
              <w:jc w:val="center"/>
              <w:rPr>
                <w:rFonts w:ascii="Times New Roman" w:hAnsi="Times New Roman" w:cs="Times New Roman" w:eastAsiaTheme="majorEastAsia"/>
                <w:szCs w:val="21"/>
              </w:rPr>
            </w:pPr>
            <w:r>
              <w:rPr>
                <w:rFonts w:ascii="Times New Roman" w:hAnsi="Times New Roman" w:cs="Times New Roman" w:eastAsiaTheme="majorEastAsia"/>
                <w:szCs w:val="21"/>
              </w:rPr>
              <w:t>成绩组成</w:t>
            </w:r>
          </w:p>
        </w:tc>
        <w:tc>
          <w:tcPr>
            <w:tcW w:w="1301" w:type="dxa"/>
            <w:vAlign w:val="center"/>
          </w:tcPr>
          <w:p w14:paraId="13D1EDB2">
            <w:pPr>
              <w:jc w:val="center"/>
              <w:rPr>
                <w:rFonts w:ascii="Times New Roman" w:hAnsi="Times New Roman" w:cs="Times New Roman" w:eastAsiaTheme="majorEastAsia"/>
                <w:szCs w:val="21"/>
              </w:rPr>
            </w:pPr>
            <w:r>
              <w:rPr>
                <w:rFonts w:ascii="Times New Roman" w:hAnsi="Times New Roman" w:cs="Times New Roman" w:eastAsiaTheme="majorEastAsia"/>
                <w:szCs w:val="21"/>
              </w:rPr>
              <w:t>考核/评价环节</w:t>
            </w:r>
          </w:p>
        </w:tc>
        <w:tc>
          <w:tcPr>
            <w:tcW w:w="741" w:type="dxa"/>
            <w:vAlign w:val="center"/>
          </w:tcPr>
          <w:p w14:paraId="779890D0">
            <w:pPr>
              <w:jc w:val="center"/>
              <w:rPr>
                <w:rFonts w:ascii="Times New Roman" w:hAnsi="Times New Roman" w:cs="Times New Roman" w:eastAsiaTheme="majorEastAsia"/>
                <w:szCs w:val="21"/>
              </w:rPr>
            </w:pPr>
            <w:r>
              <w:rPr>
                <w:rFonts w:ascii="Times New Roman" w:hAnsi="Times New Roman" w:cs="Times New Roman" w:eastAsiaTheme="majorEastAsia"/>
                <w:szCs w:val="21"/>
              </w:rPr>
              <w:t>权重</w:t>
            </w:r>
          </w:p>
        </w:tc>
        <w:tc>
          <w:tcPr>
            <w:tcW w:w="4047" w:type="dxa"/>
            <w:vAlign w:val="center"/>
          </w:tcPr>
          <w:p w14:paraId="32F882E2">
            <w:pPr>
              <w:jc w:val="center"/>
              <w:rPr>
                <w:rFonts w:ascii="Times New Roman" w:hAnsi="Times New Roman" w:cs="Times New Roman" w:eastAsiaTheme="majorEastAsia"/>
                <w:szCs w:val="21"/>
              </w:rPr>
            </w:pPr>
            <w:r>
              <w:rPr>
                <w:rFonts w:ascii="Times New Roman" w:hAnsi="Times New Roman" w:cs="Times New Roman" w:eastAsiaTheme="majorEastAsia"/>
                <w:szCs w:val="21"/>
              </w:rPr>
              <w:t>考核/评价细则</w:t>
            </w:r>
          </w:p>
        </w:tc>
        <w:tc>
          <w:tcPr>
            <w:tcW w:w="1349" w:type="dxa"/>
            <w:vAlign w:val="center"/>
          </w:tcPr>
          <w:p w14:paraId="02C1F3BE">
            <w:pPr>
              <w:jc w:val="center"/>
              <w:rPr>
                <w:rFonts w:ascii="Times New Roman" w:hAnsi="Times New Roman" w:cs="Times New Roman" w:eastAsiaTheme="majorEastAsia"/>
                <w:szCs w:val="21"/>
              </w:rPr>
            </w:pPr>
            <w:r>
              <w:rPr>
                <w:rFonts w:ascii="Times New Roman" w:hAnsi="Times New Roman" w:cs="Times New Roman" w:eastAsiaTheme="majorEastAsia"/>
                <w:szCs w:val="21"/>
              </w:rPr>
              <w:t>对应的毕业要求指标点</w:t>
            </w:r>
          </w:p>
        </w:tc>
      </w:tr>
      <w:tr w14:paraId="3BE0A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040" w:type="dxa"/>
            <w:vMerge w:val="restart"/>
            <w:tcMar>
              <w:left w:w="57" w:type="dxa"/>
              <w:right w:w="57" w:type="dxa"/>
            </w:tcMar>
            <w:vAlign w:val="center"/>
          </w:tcPr>
          <w:p w14:paraId="3E235D7A">
            <w:pPr>
              <w:jc w:val="center"/>
              <w:rPr>
                <w:rFonts w:ascii="Times New Roman" w:hAnsi="Times New Roman" w:cs="Times New Roman" w:eastAsiaTheme="majorEastAsia"/>
                <w:szCs w:val="21"/>
              </w:rPr>
            </w:pPr>
            <w:r>
              <w:rPr>
                <w:rFonts w:ascii="Times New Roman" w:hAnsi="Times New Roman" w:cs="Times New Roman" w:eastAsiaTheme="majorEastAsia"/>
                <w:szCs w:val="21"/>
              </w:rPr>
              <w:t>平时成绩</w:t>
            </w:r>
          </w:p>
          <w:p w14:paraId="6DC5D92D">
            <w:pPr>
              <w:jc w:val="center"/>
              <w:rPr>
                <w:rFonts w:ascii="Times New Roman" w:hAnsi="Times New Roman" w:cs="Times New Roman" w:eastAsiaTheme="majorEastAsia"/>
                <w:szCs w:val="21"/>
              </w:rPr>
            </w:pPr>
            <w:r>
              <w:rPr>
                <w:rFonts w:ascii="Times New Roman" w:hAnsi="Times New Roman" w:cs="Times New Roman" w:eastAsiaTheme="majorEastAsia"/>
                <w:szCs w:val="21"/>
              </w:rPr>
              <w:t>50%</w:t>
            </w:r>
          </w:p>
        </w:tc>
        <w:tc>
          <w:tcPr>
            <w:tcW w:w="1301" w:type="dxa"/>
            <w:vAlign w:val="center"/>
          </w:tcPr>
          <w:p w14:paraId="5A29749A">
            <w:pPr>
              <w:jc w:val="center"/>
              <w:rPr>
                <w:rFonts w:ascii="Times New Roman" w:hAnsi="Times New Roman" w:cs="Times New Roman" w:eastAsiaTheme="majorEastAsia"/>
                <w:szCs w:val="21"/>
              </w:rPr>
            </w:pPr>
            <w:r>
              <w:rPr>
                <w:rFonts w:ascii="Times New Roman" w:hAnsi="Times New Roman" w:cs="Times New Roman" w:eastAsiaTheme="majorEastAsia"/>
                <w:szCs w:val="21"/>
              </w:rPr>
              <w:t>课堂表现</w:t>
            </w:r>
          </w:p>
        </w:tc>
        <w:tc>
          <w:tcPr>
            <w:tcW w:w="741" w:type="dxa"/>
            <w:vAlign w:val="center"/>
          </w:tcPr>
          <w:p w14:paraId="036B2F76">
            <w:pPr>
              <w:rPr>
                <w:rFonts w:ascii="Times New Roman" w:hAnsi="Times New Roman" w:cs="Times New Roman" w:eastAsiaTheme="majorEastAsia"/>
                <w:szCs w:val="21"/>
              </w:rPr>
            </w:pPr>
            <w:r>
              <w:rPr>
                <w:rFonts w:ascii="Times New Roman" w:hAnsi="Times New Roman" w:cs="Times New Roman" w:eastAsiaTheme="majorEastAsia"/>
                <w:szCs w:val="21"/>
              </w:rPr>
              <w:t>10%</w:t>
            </w:r>
          </w:p>
        </w:tc>
        <w:tc>
          <w:tcPr>
            <w:tcW w:w="4047" w:type="dxa"/>
            <w:vAlign w:val="center"/>
          </w:tcPr>
          <w:p w14:paraId="42086A7B">
            <w:pPr>
              <w:rPr>
                <w:rFonts w:ascii="Times New Roman" w:hAnsi="Times New Roman" w:cs="Times New Roman" w:eastAsiaTheme="majorEastAsia"/>
                <w:szCs w:val="21"/>
              </w:rPr>
            </w:pPr>
            <w:r>
              <w:rPr>
                <w:rFonts w:ascii="Times New Roman" w:hAnsi="Times New Roman" w:cs="Times New Roman" w:eastAsiaTheme="majorEastAsia"/>
                <w:bCs/>
                <w:kern w:val="24"/>
                <w:szCs w:val="21"/>
              </w:rPr>
              <w:t>课堂整队点名，考核</w:t>
            </w:r>
            <w:r>
              <w:rPr>
                <w:rFonts w:ascii="Times New Roman" w:hAnsi="Times New Roman" w:cs="Times New Roman" w:eastAsiaTheme="majorEastAsia"/>
                <w:szCs w:val="21"/>
              </w:rPr>
              <w:t>能否按时到勤，旷课一次扣20分，迟到与早退一次扣10分。</w:t>
            </w:r>
          </w:p>
        </w:tc>
        <w:tc>
          <w:tcPr>
            <w:tcW w:w="1349" w:type="dxa"/>
            <w:vAlign w:val="center"/>
          </w:tcPr>
          <w:p w14:paraId="57E9B564">
            <w:pPr>
              <w:jc w:val="center"/>
              <w:rPr>
                <w:rFonts w:ascii="Times New Roman" w:hAnsi="Times New Roman" w:cs="Times New Roman" w:eastAsiaTheme="majorEastAsia"/>
                <w:szCs w:val="21"/>
              </w:rPr>
            </w:pPr>
            <w:r>
              <w:rPr>
                <w:rFonts w:ascii="Times New Roman" w:hAnsi="Times New Roman" w:cs="Times New Roman" w:eastAsiaTheme="majorEastAsia"/>
                <w:bCs/>
                <w:szCs w:val="21"/>
              </w:rPr>
              <w:t>2、6</w:t>
            </w:r>
          </w:p>
        </w:tc>
      </w:tr>
      <w:tr w14:paraId="3F58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040" w:type="dxa"/>
            <w:vMerge w:val="continue"/>
            <w:tcMar>
              <w:left w:w="57" w:type="dxa"/>
              <w:right w:w="57" w:type="dxa"/>
            </w:tcMar>
            <w:vAlign w:val="center"/>
          </w:tcPr>
          <w:p w14:paraId="3552D8EB">
            <w:pPr>
              <w:jc w:val="center"/>
              <w:rPr>
                <w:rFonts w:ascii="Times New Roman" w:hAnsi="Times New Roman" w:cs="Times New Roman" w:eastAsiaTheme="majorEastAsia"/>
                <w:szCs w:val="21"/>
              </w:rPr>
            </w:pPr>
          </w:p>
        </w:tc>
        <w:tc>
          <w:tcPr>
            <w:tcW w:w="1301" w:type="dxa"/>
            <w:vAlign w:val="center"/>
          </w:tcPr>
          <w:p w14:paraId="4658870A">
            <w:pPr>
              <w:jc w:val="center"/>
              <w:rPr>
                <w:rFonts w:ascii="Times New Roman" w:hAnsi="Times New Roman" w:cs="Times New Roman" w:eastAsiaTheme="majorEastAsia"/>
                <w:szCs w:val="21"/>
              </w:rPr>
            </w:pPr>
            <w:r>
              <w:rPr>
                <w:rFonts w:ascii="Times New Roman" w:hAnsi="Times New Roman" w:cs="Times New Roman" w:eastAsiaTheme="majorEastAsia"/>
                <w:szCs w:val="21"/>
              </w:rPr>
              <w:t>课外锻炼</w:t>
            </w:r>
          </w:p>
        </w:tc>
        <w:tc>
          <w:tcPr>
            <w:tcW w:w="741" w:type="dxa"/>
            <w:vAlign w:val="center"/>
          </w:tcPr>
          <w:p w14:paraId="4D41520A">
            <w:pPr>
              <w:rPr>
                <w:rFonts w:ascii="Times New Roman" w:hAnsi="Times New Roman" w:cs="Times New Roman" w:eastAsiaTheme="majorEastAsia"/>
                <w:szCs w:val="21"/>
              </w:rPr>
            </w:pPr>
            <w:r>
              <w:rPr>
                <w:rFonts w:ascii="Times New Roman" w:hAnsi="Times New Roman" w:cs="Times New Roman" w:eastAsiaTheme="majorEastAsia"/>
                <w:szCs w:val="21"/>
              </w:rPr>
              <w:t>20%</w:t>
            </w:r>
          </w:p>
        </w:tc>
        <w:tc>
          <w:tcPr>
            <w:tcW w:w="4047" w:type="dxa"/>
            <w:vAlign w:val="center"/>
          </w:tcPr>
          <w:p w14:paraId="5DF52771">
            <w:pPr>
              <w:rPr>
                <w:rFonts w:ascii="Times New Roman" w:hAnsi="Times New Roman" w:cs="Times New Roman" w:eastAsiaTheme="majorEastAsia"/>
                <w:szCs w:val="21"/>
              </w:rPr>
            </w:pPr>
            <w:r>
              <w:rPr>
                <w:rFonts w:ascii="Times New Roman" w:hAnsi="Times New Roman" w:cs="Times New Roman" w:eastAsiaTheme="majorEastAsia"/>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vAlign w:val="center"/>
          </w:tcPr>
          <w:p w14:paraId="20F703C7">
            <w:pPr>
              <w:jc w:val="center"/>
              <w:rPr>
                <w:rFonts w:ascii="Times New Roman" w:hAnsi="Times New Roman" w:cs="Times New Roman" w:eastAsiaTheme="majorEastAsia"/>
                <w:szCs w:val="21"/>
              </w:rPr>
            </w:pPr>
            <w:r>
              <w:rPr>
                <w:rFonts w:ascii="Times New Roman" w:hAnsi="Times New Roman" w:cs="Times New Roman" w:eastAsiaTheme="majorEastAsia"/>
                <w:szCs w:val="21"/>
              </w:rPr>
              <w:t>2、6</w:t>
            </w:r>
          </w:p>
        </w:tc>
      </w:tr>
      <w:tr w14:paraId="4354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040" w:type="dxa"/>
            <w:vMerge w:val="continue"/>
            <w:tcMar>
              <w:left w:w="57" w:type="dxa"/>
              <w:right w:w="57" w:type="dxa"/>
            </w:tcMar>
            <w:vAlign w:val="center"/>
          </w:tcPr>
          <w:p w14:paraId="47350FB6">
            <w:pPr>
              <w:jc w:val="center"/>
              <w:rPr>
                <w:rFonts w:ascii="Times New Roman" w:hAnsi="Times New Roman" w:cs="Times New Roman" w:eastAsiaTheme="majorEastAsia"/>
                <w:szCs w:val="21"/>
              </w:rPr>
            </w:pPr>
          </w:p>
        </w:tc>
        <w:tc>
          <w:tcPr>
            <w:tcW w:w="1301" w:type="dxa"/>
            <w:vAlign w:val="center"/>
          </w:tcPr>
          <w:p w14:paraId="59A88A0A">
            <w:pPr>
              <w:jc w:val="center"/>
              <w:rPr>
                <w:rFonts w:ascii="Times New Roman" w:hAnsi="Times New Roman" w:cs="Times New Roman" w:eastAsiaTheme="majorEastAsia"/>
                <w:szCs w:val="21"/>
              </w:rPr>
            </w:pPr>
            <w:r>
              <w:rPr>
                <w:rFonts w:ascii="Times New Roman" w:hAnsi="Times New Roman" w:cs="Times New Roman" w:eastAsiaTheme="majorEastAsia"/>
                <w:szCs w:val="21"/>
              </w:rPr>
              <w:t>身体素质</w:t>
            </w:r>
          </w:p>
        </w:tc>
        <w:tc>
          <w:tcPr>
            <w:tcW w:w="741" w:type="dxa"/>
            <w:vAlign w:val="center"/>
          </w:tcPr>
          <w:p w14:paraId="31C48211">
            <w:pPr>
              <w:jc w:val="center"/>
              <w:rPr>
                <w:rFonts w:ascii="Times New Roman" w:hAnsi="Times New Roman" w:cs="Times New Roman" w:eastAsiaTheme="majorEastAsia"/>
                <w:szCs w:val="21"/>
              </w:rPr>
            </w:pPr>
            <w:r>
              <w:rPr>
                <w:rFonts w:ascii="Times New Roman" w:hAnsi="Times New Roman" w:cs="Times New Roman" w:eastAsiaTheme="majorEastAsia"/>
                <w:szCs w:val="21"/>
              </w:rPr>
              <w:t>20%</w:t>
            </w:r>
          </w:p>
        </w:tc>
        <w:tc>
          <w:tcPr>
            <w:tcW w:w="4047" w:type="dxa"/>
            <w:vAlign w:val="center"/>
          </w:tcPr>
          <w:p w14:paraId="5ABE973F">
            <w:pPr>
              <w:jc w:val="left"/>
              <w:rPr>
                <w:rFonts w:ascii="Times New Roman" w:hAnsi="Times New Roman" w:cs="Times New Roman" w:eastAsiaTheme="majorEastAsia"/>
                <w:bCs/>
                <w:kern w:val="24"/>
                <w:szCs w:val="21"/>
              </w:rPr>
            </w:pPr>
            <w:r>
              <w:rPr>
                <w:rFonts w:ascii="Times New Roman" w:hAnsi="Times New Roman" w:cs="Times New Roman" w:eastAsiaTheme="majorEastAsia"/>
                <w:bCs/>
                <w:kern w:val="24"/>
                <w:szCs w:val="21"/>
              </w:rPr>
              <w:t>1.2400米（男）、2000米（女）</w:t>
            </w:r>
          </w:p>
          <w:p w14:paraId="5CBD3A41">
            <w:pPr>
              <w:jc w:val="left"/>
              <w:rPr>
                <w:rFonts w:ascii="Times New Roman" w:hAnsi="Times New Roman" w:cs="Times New Roman" w:eastAsiaTheme="majorEastAsia"/>
                <w:bCs/>
                <w:kern w:val="24"/>
                <w:szCs w:val="21"/>
              </w:rPr>
            </w:pPr>
            <w:r>
              <w:rPr>
                <w:rFonts w:ascii="Times New Roman" w:hAnsi="Times New Roman" w:cs="Times New Roman" w:eastAsiaTheme="majorEastAsia"/>
                <w:bCs/>
                <w:kern w:val="24"/>
                <w:szCs w:val="21"/>
              </w:rPr>
              <w:t>2.引体向上（男）、立定跳远（女）</w:t>
            </w:r>
          </w:p>
          <w:p w14:paraId="6270BECE">
            <w:pPr>
              <w:jc w:val="left"/>
              <w:rPr>
                <w:rFonts w:ascii="Times New Roman" w:hAnsi="Times New Roman" w:cs="Times New Roman" w:eastAsiaTheme="majorEastAsia"/>
                <w:szCs w:val="21"/>
              </w:rPr>
            </w:pPr>
            <w:r>
              <w:rPr>
                <w:rFonts w:ascii="Times New Roman" w:hAnsi="Times New Roman" w:cs="Times New Roman" w:eastAsiaTheme="majorEastAsia"/>
                <w:bCs/>
                <w:kern w:val="24"/>
                <w:szCs w:val="21"/>
              </w:rPr>
              <w:t>课堂测试，评分参照《国家学生体质健康标准》。</w:t>
            </w:r>
          </w:p>
        </w:tc>
        <w:tc>
          <w:tcPr>
            <w:tcW w:w="1349" w:type="dxa"/>
            <w:vAlign w:val="center"/>
          </w:tcPr>
          <w:p w14:paraId="1A54D3F5">
            <w:pPr>
              <w:jc w:val="center"/>
              <w:rPr>
                <w:rFonts w:ascii="Times New Roman" w:hAnsi="Times New Roman" w:cs="Times New Roman" w:eastAsiaTheme="majorEastAsia"/>
                <w:szCs w:val="21"/>
              </w:rPr>
            </w:pPr>
            <w:r>
              <w:rPr>
                <w:rFonts w:ascii="Times New Roman" w:hAnsi="Times New Roman" w:cs="Times New Roman" w:eastAsiaTheme="majorEastAsia"/>
                <w:szCs w:val="21"/>
              </w:rPr>
              <w:t>2、6</w:t>
            </w:r>
          </w:p>
        </w:tc>
      </w:tr>
      <w:tr w14:paraId="33FF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40" w:type="dxa"/>
            <w:tcMar>
              <w:left w:w="57" w:type="dxa"/>
              <w:right w:w="57" w:type="dxa"/>
            </w:tcMar>
            <w:vAlign w:val="center"/>
          </w:tcPr>
          <w:p w14:paraId="0D5474A8">
            <w:pPr>
              <w:jc w:val="center"/>
              <w:rPr>
                <w:rFonts w:ascii="Times New Roman" w:hAnsi="Times New Roman" w:cs="Times New Roman" w:eastAsiaTheme="majorEastAsia"/>
                <w:szCs w:val="21"/>
              </w:rPr>
            </w:pPr>
            <w:r>
              <w:rPr>
                <w:rFonts w:ascii="Times New Roman" w:hAnsi="Times New Roman" w:cs="Times New Roman" w:eastAsiaTheme="majorEastAsia"/>
                <w:szCs w:val="21"/>
              </w:rPr>
              <w:t>期末考试</w:t>
            </w:r>
          </w:p>
          <w:p w14:paraId="7C0C1690">
            <w:pPr>
              <w:jc w:val="center"/>
              <w:rPr>
                <w:rFonts w:ascii="Times New Roman" w:hAnsi="Times New Roman" w:cs="Times New Roman" w:eastAsiaTheme="majorEastAsia"/>
                <w:szCs w:val="21"/>
              </w:rPr>
            </w:pPr>
            <w:r>
              <w:rPr>
                <w:rFonts w:ascii="Times New Roman" w:hAnsi="Times New Roman" w:cs="Times New Roman" w:eastAsiaTheme="majorEastAsia"/>
                <w:szCs w:val="21"/>
              </w:rPr>
              <w:t>50%</w:t>
            </w:r>
          </w:p>
        </w:tc>
        <w:tc>
          <w:tcPr>
            <w:tcW w:w="1301" w:type="dxa"/>
            <w:vAlign w:val="center"/>
          </w:tcPr>
          <w:p w14:paraId="76CA81BA">
            <w:pPr>
              <w:jc w:val="center"/>
              <w:rPr>
                <w:rFonts w:ascii="Times New Roman" w:hAnsi="Times New Roman" w:cs="Times New Roman" w:eastAsiaTheme="majorEastAsia"/>
                <w:szCs w:val="21"/>
              </w:rPr>
            </w:pPr>
            <w:r>
              <w:rPr>
                <w:rFonts w:ascii="Times New Roman" w:hAnsi="Times New Roman" w:cs="Times New Roman" w:eastAsiaTheme="majorEastAsia"/>
                <w:szCs w:val="21"/>
              </w:rPr>
              <w:t>期末运动技能考试</w:t>
            </w:r>
          </w:p>
        </w:tc>
        <w:tc>
          <w:tcPr>
            <w:tcW w:w="741" w:type="dxa"/>
            <w:vAlign w:val="center"/>
          </w:tcPr>
          <w:p w14:paraId="51DFC0AB">
            <w:pPr>
              <w:jc w:val="center"/>
              <w:rPr>
                <w:rFonts w:ascii="Times New Roman" w:hAnsi="Times New Roman" w:cs="Times New Roman" w:eastAsiaTheme="majorEastAsia"/>
                <w:szCs w:val="21"/>
              </w:rPr>
            </w:pPr>
            <w:r>
              <w:rPr>
                <w:rFonts w:ascii="Times New Roman" w:hAnsi="Times New Roman" w:cs="Times New Roman" w:eastAsiaTheme="majorEastAsia"/>
                <w:szCs w:val="21"/>
              </w:rPr>
              <w:t>50%</w:t>
            </w:r>
          </w:p>
        </w:tc>
        <w:tc>
          <w:tcPr>
            <w:tcW w:w="4047" w:type="dxa"/>
            <w:vAlign w:val="center"/>
          </w:tcPr>
          <w:p w14:paraId="0FEF42F4">
            <w:pPr>
              <w:jc w:val="center"/>
              <w:rPr>
                <w:rFonts w:ascii="Times New Roman" w:hAnsi="Times New Roman" w:cs="Times New Roman" w:eastAsiaTheme="majorEastAsia"/>
                <w:szCs w:val="21"/>
              </w:rPr>
            </w:pPr>
            <w:r>
              <w:rPr>
                <w:rFonts w:ascii="Times New Roman" w:hAnsi="Times New Roman" w:cs="Times New Roman" w:eastAsiaTheme="majorEastAsia"/>
                <w:szCs w:val="21"/>
              </w:rPr>
              <w:t>各专项技能</w:t>
            </w:r>
          </w:p>
        </w:tc>
        <w:tc>
          <w:tcPr>
            <w:tcW w:w="1349" w:type="dxa"/>
            <w:vAlign w:val="center"/>
          </w:tcPr>
          <w:p w14:paraId="68E85485">
            <w:pPr>
              <w:jc w:val="center"/>
              <w:rPr>
                <w:rFonts w:ascii="Times New Roman" w:hAnsi="Times New Roman" w:cs="Times New Roman" w:eastAsiaTheme="majorEastAsia"/>
                <w:szCs w:val="21"/>
              </w:rPr>
            </w:pPr>
            <w:r>
              <w:rPr>
                <w:rFonts w:ascii="Times New Roman" w:hAnsi="Times New Roman" w:cs="Times New Roman" w:eastAsiaTheme="majorEastAsia"/>
                <w:bCs/>
                <w:szCs w:val="21"/>
              </w:rPr>
              <w:t>2、6</w:t>
            </w:r>
          </w:p>
        </w:tc>
      </w:tr>
    </w:tbl>
    <w:p w14:paraId="64A925BC">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六、有关说明</w:t>
      </w:r>
    </w:p>
    <w:p w14:paraId="48198ED0">
      <w:pPr>
        <w:spacing w:line="360" w:lineRule="auto"/>
        <w:ind w:firstLine="422" w:firstLineChars="200"/>
        <w:rPr>
          <w:rFonts w:ascii="Times New Roman" w:hAnsi="Times New Roman" w:cs="Times New Roman" w:eastAsiaTheme="majorEastAsia"/>
          <w:b/>
          <w:szCs w:val="21"/>
        </w:rPr>
      </w:pPr>
      <w:r>
        <w:rPr>
          <w:rFonts w:ascii="Times New Roman" w:hAnsi="Times New Roman" w:cs="Times New Roman" w:eastAsiaTheme="majorEastAsia"/>
          <w:b/>
          <w:szCs w:val="21"/>
        </w:rPr>
        <w:t>（一）持续改进</w:t>
      </w:r>
    </w:p>
    <w:p w14:paraId="1788A286">
      <w:pPr>
        <w:spacing w:line="360" w:lineRule="auto"/>
        <w:ind w:firstLine="420" w:firstLineChars="200"/>
        <w:rPr>
          <w:rFonts w:ascii="Times New Roman" w:hAnsi="Times New Roman" w:cs="Times New Roman" w:eastAsiaTheme="majorEastAsia"/>
          <w:szCs w:val="21"/>
        </w:rPr>
      </w:pPr>
      <w:r>
        <w:rPr>
          <w:rFonts w:ascii="Times New Roman" w:hAnsi="Times New Roman" w:cs="Times New Roman" w:eastAsiaTheme="majorEastAsia"/>
          <w:szCs w:val="21"/>
        </w:rPr>
        <w:t>本课程根据学生课外体育锻炼、课堂表现、体质测试、平时考核情况，以及学生、教学督导等反馈，及时对教学中不足之处进行改进，并在下一轮课程教学中整改完善，确保相应毕业要求指标点达成。</w:t>
      </w:r>
    </w:p>
    <w:p w14:paraId="6FCFA3CD">
      <w:pPr>
        <w:spacing w:line="360" w:lineRule="auto"/>
        <w:ind w:firstLine="422" w:firstLineChars="200"/>
        <w:jc w:val="left"/>
        <w:rPr>
          <w:rFonts w:ascii="Times New Roman" w:hAnsi="Times New Roman" w:cs="Times New Roman" w:eastAsiaTheme="majorEastAsia"/>
          <w:szCs w:val="21"/>
        </w:rPr>
      </w:pPr>
      <w:r>
        <w:rPr>
          <w:rFonts w:ascii="Times New Roman" w:hAnsi="Times New Roman" w:cs="Times New Roman" w:eastAsiaTheme="majorEastAsia"/>
          <w:b/>
          <w:szCs w:val="21"/>
        </w:rPr>
        <w:t>（二）教学参考书</w:t>
      </w:r>
    </w:p>
    <w:p w14:paraId="0BCBE75D">
      <w:pPr>
        <w:spacing w:line="360" w:lineRule="auto"/>
        <w:ind w:firstLine="420" w:firstLineChars="200"/>
        <w:jc w:val="left"/>
        <w:rPr>
          <w:rFonts w:ascii="Times New Roman" w:hAnsi="Times New Roman" w:cs="Times New Roman" w:eastAsiaTheme="majorEastAsia"/>
          <w:szCs w:val="21"/>
        </w:rPr>
      </w:pPr>
      <w:r>
        <w:rPr>
          <w:rFonts w:ascii="Times New Roman" w:hAnsi="Times New Roman" w:cs="Times New Roman" w:eastAsiaTheme="majorEastAsia"/>
          <w:szCs w:val="21"/>
        </w:rPr>
        <w:t>1.毛振明.大学体育文化与实技教程[M].沈阳：东北大学出版社，2013</w:t>
      </w:r>
    </w:p>
    <w:p w14:paraId="28777FE0">
      <w:pPr>
        <w:wordWrap w:val="0"/>
        <w:spacing w:line="360" w:lineRule="auto"/>
        <w:jc w:val="right"/>
        <w:rPr>
          <w:rFonts w:ascii="Times New Roman" w:hAnsi="Times New Roman" w:eastAsia="宋体" w:cs="Times New Roman"/>
          <w:szCs w:val="20"/>
        </w:rPr>
      </w:pPr>
      <w:r>
        <w:rPr>
          <w:rFonts w:ascii="Times New Roman" w:hAnsi="Times New Roman" w:eastAsia="宋体" w:cs="Times New Roman"/>
          <w:sz w:val="24"/>
          <w:szCs w:val="22"/>
        </w:rPr>
        <w:t xml:space="preserve">                                                      </w:t>
      </w:r>
      <w:r>
        <w:rPr>
          <w:rFonts w:ascii="Times New Roman" w:hAnsi="Times New Roman" w:eastAsia="宋体" w:cs="Times New Roman"/>
          <w:szCs w:val="20"/>
        </w:rPr>
        <w:t xml:space="preserve"> 执笔人：顾  宏</w:t>
      </w:r>
    </w:p>
    <w:p w14:paraId="0B718AD9">
      <w:pPr>
        <w:spacing w:line="360" w:lineRule="auto"/>
        <w:ind w:firstLine="420" w:firstLineChars="200"/>
        <w:jc w:val="right"/>
        <w:rPr>
          <w:rFonts w:ascii="Times New Roman" w:hAnsi="Times New Roman" w:eastAsia="宋体" w:cs="Times New Roman"/>
          <w:szCs w:val="20"/>
        </w:rPr>
      </w:pPr>
      <w:r>
        <w:rPr>
          <w:rFonts w:ascii="Times New Roman" w:hAnsi="Times New Roman" w:eastAsia="宋体" w:cs="Times New Roman"/>
          <w:szCs w:val="20"/>
        </w:rPr>
        <w:t>审定人：方曙光</w:t>
      </w:r>
    </w:p>
    <w:p w14:paraId="1DE84B79">
      <w:pPr>
        <w:spacing w:line="360" w:lineRule="auto"/>
        <w:jc w:val="right"/>
        <w:rPr>
          <w:rFonts w:ascii="Times New Roman" w:hAnsi="Times New Roman" w:eastAsia="宋体" w:cs="Times New Roman"/>
          <w:szCs w:val="20"/>
        </w:rPr>
      </w:pPr>
      <w:r>
        <w:rPr>
          <w:rFonts w:ascii="Times New Roman" w:hAnsi="Times New Roman" w:eastAsia="宋体" w:cs="Times New Roman"/>
          <w:szCs w:val="20"/>
        </w:rPr>
        <w:t>批准人：王红福</w:t>
      </w:r>
    </w:p>
    <w:p w14:paraId="73A433FA">
      <w:pPr>
        <w:spacing w:line="360" w:lineRule="auto"/>
        <w:ind w:firstLine="420" w:firstLineChars="200"/>
        <w:jc w:val="right"/>
        <w:rPr>
          <w:rFonts w:ascii="Times New Roman" w:hAnsi="Times New Roman" w:eastAsia="宋体" w:cs="Times New Roman"/>
          <w:szCs w:val="20"/>
        </w:rPr>
      </w:pPr>
      <w:r>
        <w:rPr>
          <w:rFonts w:hint="eastAsia" w:ascii="Times New Roman" w:hAnsi="Times New Roman" w:eastAsia="宋体" w:cs="Times New Roman"/>
          <w:szCs w:val="20"/>
        </w:rPr>
        <w:t>批准时间：2025年7月1日</w:t>
      </w:r>
    </w:p>
    <w:p w14:paraId="7D6AE18C">
      <w:pPr>
        <w:rPr>
          <w:rFonts w:hint="eastAsia" w:ascii="宋体" w:hAnsi="宋体" w:eastAsia="宋体" w:cs="宋体"/>
          <w:sz w:val="24"/>
          <w:szCs w:val="22"/>
        </w:rPr>
      </w:pPr>
      <w:r>
        <w:rPr>
          <w:rFonts w:hint="eastAsia" w:ascii="宋体" w:hAnsi="宋体" w:eastAsia="宋体" w:cs="宋体"/>
          <w:sz w:val="24"/>
          <w:szCs w:val="22"/>
        </w:rPr>
        <w:br w:type="page"/>
      </w:r>
    </w:p>
    <w:p w14:paraId="085BAF13">
      <w:pPr>
        <w:spacing w:line="360" w:lineRule="auto"/>
        <w:jc w:val="center"/>
        <w:outlineLvl w:val="0"/>
        <w:rPr>
          <w:rFonts w:ascii="Times New Roman" w:hAnsi="Times New Roman" w:eastAsia="宋体" w:cs="Times New Roman"/>
          <w:b/>
          <w:sz w:val="44"/>
          <w:szCs w:val="44"/>
        </w:rPr>
      </w:pPr>
      <w:bookmarkStart w:id="118" w:name="_Toc23698"/>
      <w:bookmarkStart w:id="119" w:name="_Toc31130"/>
      <w:bookmarkStart w:id="120" w:name="_Toc6978"/>
      <w:bookmarkStart w:id="121" w:name="_Toc30097"/>
      <w:r>
        <w:rPr>
          <w:rFonts w:hint="eastAsia" w:ascii="Times New Roman" w:hAnsi="Times New Roman" w:eastAsia="宋体" w:cs="Times New Roman"/>
          <w:b/>
          <w:sz w:val="44"/>
          <w:szCs w:val="44"/>
        </w:rPr>
        <w:t>《体育IV》课程教学大纲</w:t>
      </w:r>
      <w:bookmarkEnd w:id="118"/>
      <w:bookmarkEnd w:id="119"/>
      <w:bookmarkEnd w:id="120"/>
      <w:bookmarkEnd w:id="121"/>
    </w:p>
    <w:p w14:paraId="40581F14">
      <w:pPr>
        <w:spacing w:line="360" w:lineRule="auto"/>
        <w:jc w:val="center"/>
        <w:rPr>
          <w:rFonts w:ascii="Times New Roman" w:hAnsi="Times New Roman" w:eastAsia="宋体" w:cs="Times New Roman"/>
          <w:b/>
          <w:bCs/>
          <w:sz w:val="28"/>
          <w:szCs w:val="28"/>
        </w:rPr>
      </w:pPr>
      <w:bookmarkStart w:id="122" w:name="_Toc19837"/>
      <w:bookmarkStart w:id="123" w:name="_Toc10290"/>
      <w:bookmarkStart w:id="124" w:name="_Toc20929"/>
      <w:bookmarkStart w:id="125" w:name="_Toc2648"/>
      <w:bookmarkStart w:id="126" w:name="_Toc3790"/>
      <w:bookmarkStart w:id="127" w:name="_Toc28278"/>
      <w:bookmarkStart w:id="128" w:name="_Toc24034"/>
      <w:r>
        <w:rPr>
          <w:rFonts w:hint="eastAsia" w:ascii="Times New Roman" w:hAnsi="Times New Roman" w:eastAsia="宋体" w:cs="Times New Roman"/>
          <w:b/>
          <w:bCs/>
          <w:sz w:val="28"/>
          <w:szCs w:val="28"/>
        </w:rPr>
        <w:t>（Physical  Education IV）</w:t>
      </w:r>
      <w:bookmarkEnd w:id="122"/>
      <w:bookmarkEnd w:id="123"/>
      <w:bookmarkEnd w:id="124"/>
      <w:bookmarkEnd w:id="125"/>
      <w:bookmarkEnd w:id="126"/>
      <w:bookmarkEnd w:id="127"/>
      <w:bookmarkEnd w:id="128"/>
    </w:p>
    <w:p w14:paraId="0FAD1E6E">
      <w:pPr>
        <w:spacing w:line="360" w:lineRule="auto"/>
        <w:ind w:firstLine="422" w:firstLineChars="200"/>
        <w:rPr>
          <w:rFonts w:hint="eastAsia" w:ascii="宋体" w:hAnsi="宋体" w:eastAsia="宋体" w:cs="宋体"/>
          <w:b/>
          <w:szCs w:val="21"/>
        </w:rPr>
      </w:pPr>
    </w:p>
    <w:p w14:paraId="7F752578">
      <w:pPr>
        <w:spacing w:line="360" w:lineRule="auto"/>
        <w:ind w:firstLine="482" w:firstLineChars="200"/>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课程名称：体育IV</w:t>
      </w:r>
    </w:p>
    <w:p w14:paraId="4C2B5FAF">
      <w:pPr>
        <w:spacing w:line="360" w:lineRule="auto"/>
        <w:ind w:firstLine="482" w:firstLineChars="200"/>
        <w:rPr>
          <w:rFonts w:ascii="Times New Roman" w:hAnsi="Times New Roman" w:eastAsia="宋体" w:cs="Times New Roman"/>
          <w:bCs/>
          <w:sz w:val="28"/>
          <w:szCs w:val="28"/>
        </w:rPr>
      </w:pPr>
      <w:r>
        <w:rPr>
          <w:rFonts w:ascii="Times New Roman" w:hAnsi="Times New Roman" w:eastAsia="宋体" w:cs="Times New Roman"/>
          <w:b/>
          <w:bCs/>
          <w:kern w:val="0"/>
          <w:sz w:val="24"/>
        </w:rPr>
        <w:t>课程代码</w:t>
      </w:r>
      <w:r>
        <w:rPr>
          <w:rFonts w:ascii="Times New Roman" w:hAnsi="Times New Roman" w:eastAsia="宋体" w:cs="Times New Roman"/>
          <w:b/>
          <w:kern w:val="0"/>
          <w:sz w:val="24"/>
        </w:rPr>
        <w:t>：</w:t>
      </w:r>
      <w:r>
        <w:rPr>
          <w:rFonts w:ascii="Times New Roman" w:hAnsi="Times New Roman" w:eastAsia="宋体" w:cs="Times New Roman"/>
          <w:bCs/>
          <w:kern w:val="0"/>
          <w:sz w:val="24"/>
        </w:rPr>
        <w:t>1102020</w:t>
      </w:r>
    </w:p>
    <w:p w14:paraId="3702966A">
      <w:pPr>
        <w:spacing w:line="360" w:lineRule="auto"/>
        <w:ind w:firstLine="482" w:firstLineChars="200"/>
        <w:rPr>
          <w:rFonts w:ascii="Times New Roman" w:hAnsi="Times New Roman" w:eastAsia="宋体" w:cs="Times New Roman"/>
          <w:bCs/>
          <w:kern w:val="0"/>
          <w:sz w:val="24"/>
        </w:rPr>
      </w:pPr>
      <w:r>
        <w:rPr>
          <w:rFonts w:ascii="Times New Roman" w:hAnsi="Times New Roman" w:eastAsia="宋体" w:cs="Times New Roman"/>
          <w:b/>
          <w:bCs/>
          <w:kern w:val="0"/>
          <w:sz w:val="24"/>
        </w:rPr>
        <w:t>学    分</w:t>
      </w:r>
      <w:r>
        <w:rPr>
          <w:rFonts w:ascii="Times New Roman" w:hAnsi="Times New Roman" w:eastAsia="宋体" w:cs="Times New Roman"/>
          <w:b/>
          <w:kern w:val="0"/>
          <w:sz w:val="24"/>
        </w:rPr>
        <w:t>：</w:t>
      </w:r>
      <w:r>
        <w:rPr>
          <w:rFonts w:ascii="Times New Roman" w:hAnsi="Times New Roman" w:eastAsia="宋体" w:cs="Times New Roman"/>
          <w:bCs/>
          <w:kern w:val="0"/>
          <w:sz w:val="24"/>
        </w:rPr>
        <w:t>0.75</w:t>
      </w:r>
    </w:p>
    <w:p w14:paraId="7951322D">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时</w:t>
      </w:r>
      <w:r>
        <w:rPr>
          <w:rFonts w:ascii="Times New Roman" w:hAnsi="Times New Roman" w:eastAsia="宋体" w:cs="Times New Roman"/>
          <w:b/>
          <w:kern w:val="0"/>
          <w:sz w:val="24"/>
        </w:rPr>
        <w:t>：</w:t>
      </w:r>
      <w:r>
        <w:rPr>
          <w:rFonts w:ascii="Times New Roman" w:hAnsi="Times New Roman" w:eastAsia="宋体" w:cs="Times New Roman"/>
          <w:kern w:val="0"/>
          <w:sz w:val="24"/>
        </w:rPr>
        <w:t>30</w:t>
      </w:r>
    </w:p>
    <w:p w14:paraId="3AFEE81A">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适用专业</w:t>
      </w:r>
      <w:r>
        <w:rPr>
          <w:rFonts w:ascii="Times New Roman" w:hAnsi="Times New Roman" w:eastAsia="宋体" w:cs="Times New Roman"/>
          <w:b/>
          <w:kern w:val="0"/>
          <w:sz w:val="24"/>
        </w:rPr>
        <w:t>：</w:t>
      </w:r>
      <w:r>
        <w:rPr>
          <w:rFonts w:ascii="Times New Roman" w:hAnsi="Times New Roman" w:eastAsia="宋体" w:cs="Times New Roman"/>
          <w:kern w:val="0"/>
          <w:sz w:val="24"/>
        </w:rPr>
        <w:t xml:space="preserve"> 全校各专业                        </w:t>
      </w:r>
    </w:p>
    <w:p w14:paraId="601AFBBE">
      <w:pPr>
        <w:autoSpaceDE w:val="0"/>
        <w:autoSpaceDN w:val="0"/>
        <w:adjustRightInd w:val="0"/>
        <w:spacing w:before="62" w:beforeLines="20" w:after="62" w:afterLines="20" w:line="360" w:lineRule="auto"/>
        <w:jc w:val="left"/>
        <w:rPr>
          <w:rFonts w:ascii="Times New Roman" w:hAnsi="Times New Roman" w:eastAsia="宋体" w:cs="Times New Roman"/>
          <w:b/>
          <w:bCs/>
          <w:kern w:val="0"/>
          <w:sz w:val="24"/>
        </w:rPr>
      </w:pPr>
      <w:r>
        <w:rPr>
          <w:rFonts w:hint="eastAsia" w:ascii="宋体" w:hAnsi="宋体" w:eastAsia="宋体" w:cs="宋体"/>
          <w:b/>
          <w:bCs/>
          <w:kern w:val="0"/>
          <w:sz w:val="24"/>
        </w:rPr>
        <w:t>一、课程简介</w:t>
      </w:r>
    </w:p>
    <w:p w14:paraId="0638A11D">
      <w:pPr>
        <w:autoSpaceDE w:val="0"/>
        <w:autoSpaceDN w:val="0"/>
        <w:adjustRightInd w:val="0"/>
        <w:spacing w:line="420" w:lineRule="exac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课程是面向全校各专业开设的以身体练习为主要手段，以培养学生体育人文素养和塑造健全人格为主要目的，以提高学生体质健康水平为主要目标的通识必修课。其教学安排在第二学年第二、四学期进行。课程主要内容包括篮球、足球、排球、羽毛球、乒乓球、网球、武术、手球、健美（男）、健美操（女）、艺术体操、跆拳道、散打、瑜伽、体育舞蹈和体育保健等项目。</w:t>
      </w:r>
    </w:p>
    <w:p w14:paraId="45897707">
      <w:pPr>
        <w:spacing w:line="420" w:lineRule="exact"/>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通过本课程的学习，使学生较全面、系统地掌握所学项目的基本理论知识，正确、熟练地掌握所学项目基本技术和战术，发展专项身体素质，并能在比赛或练习中灵活运用，从而提高学生的身体素质和促进学生身心健康发展。通过融入社会主义核心价值观、做人做事的道理和体育精神等课程思政元素，培养学生的爱国情怀、良好的体育道德风尚、团队精神、体育文化素养和顽强的意志品质。基本形成终身体育意识和自觉锻炼习惯。</w:t>
      </w:r>
    </w:p>
    <w:p w14:paraId="45A828CD">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ascii="宋体" w:hAnsi="宋体" w:eastAsia="宋体" w:cs="宋体"/>
          <w:b/>
          <w:bCs/>
          <w:kern w:val="0"/>
          <w:sz w:val="24"/>
        </w:rPr>
        <w:t>二、课程目标</w:t>
      </w:r>
    </w:p>
    <w:p w14:paraId="5F321178">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目标1：全面发展体能，提高运动能力，掌握体育基本理论知识和基本技术，具有一定的体育文化素养和体育欣赏能力。树立“健康第一”思想和正确的体育道德观，培养勇于拼搏、团结进取、战胜自我的优良品质。 </w:t>
      </w:r>
    </w:p>
    <w:p w14:paraId="1ED50FFF">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目标2：积极参与各种体育运动，掌握1-2项自己感兴趣的运动技能和锻炼方法，不断提高运动技术水平，增强体育锻炼的实效性，并为终身体育锻炼奠定基础。学会利用体育调节身心，改善心理状态，养成积极乐观的生活态度，形成健康的生活方式，具有健康的体魄。</w:t>
      </w:r>
    </w:p>
    <w:p w14:paraId="6ED37696">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本课程支撑专业培养方案中毕业要求</w:t>
      </w:r>
      <w:r>
        <w:rPr>
          <w:rFonts w:hint="eastAsia" w:ascii="Times New Roman" w:hAnsi="Times New Roman" w:eastAsia="宋体" w:cs="Times New Roman"/>
          <w:szCs w:val="21"/>
        </w:rPr>
        <w:t>2</w:t>
      </w:r>
      <w:r>
        <w:rPr>
          <w:rFonts w:ascii="Times New Roman" w:hAnsi="Times New Roman" w:eastAsia="宋体" w:cs="Times New Roman"/>
          <w:szCs w:val="21"/>
        </w:rPr>
        <w:t>、</w:t>
      </w:r>
      <w:r>
        <w:rPr>
          <w:rFonts w:hint="eastAsia" w:ascii="Times New Roman" w:hAnsi="Times New Roman" w:eastAsia="宋体" w:cs="Times New Roman"/>
          <w:szCs w:val="21"/>
        </w:rPr>
        <w:t>6</w:t>
      </w:r>
      <w:r>
        <w:rPr>
          <w:rFonts w:ascii="Times New Roman" w:hAnsi="Times New Roman" w:eastAsia="宋体" w:cs="Times New Roman"/>
          <w:szCs w:val="21"/>
        </w:rPr>
        <w:t>(不同专业会略有区别，具体见培养方案中的毕业要求实现矩阵)，对应关系如下表所示。</w:t>
      </w:r>
    </w:p>
    <w:tbl>
      <w:tblPr>
        <w:tblStyle w:val="12"/>
        <w:tblW w:w="52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5"/>
        <w:gridCol w:w="5690"/>
        <w:gridCol w:w="1190"/>
      </w:tblGrid>
      <w:tr w14:paraId="0489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Align w:val="center"/>
          </w:tcPr>
          <w:p w14:paraId="4179473D">
            <w:pPr>
              <w:jc w:val="center"/>
              <w:rPr>
                <w:rFonts w:ascii="Times New Roman" w:hAnsi="Times New Roman" w:eastAsia="宋体" w:cs="Times New Roman"/>
                <w:b/>
                <w:bCs/>
              </w:rPr>
            </w:pPr>
            <w:r>
              <w:rPr>
                <w:rFonts w:ascii="Times New Roman" w:hAnsi="Times New Roman" w:eastAsia="宋体" w:cs="Times New Roman"/>
                <w:b/>
                <w:bCs/>
              </w:rPr>
              <w:t>毕业要求2</w:t>
            </w:r>
          </w:p>
          <w:p w14:paraId="64AEB49E">
            <w:pPr>
              <w:jc w:val="center"/>
              <w:rPr>
                <w:rFonts w:ascii="Times New Roman" w:hAnsi="Times New Roman" w:eastAsia="宋体" w:cs="Times New Roman"/>
                <w:b/>
                <w:bCs/>
              </w:rPr>
            </w:pPr>
            <w:r>
              <w:rPr>
                <w:rFonts w:ascii="Times New Roman" w:hAnsi="Times New Roman" w:eastAsia="宋体" w:cs="Times New Roman"/>
                <w:b/>
                <w:bCs/>
              </w:rPr>
              <w:t>教育情怀</w:t>
            </w:r>
          </w:p>
        </w:tc>
        <w:tc>
          <w:tcPr>
            <w:tcW w:w="3169" w:type="pct"/>
            <w:vAlign w:val="center"/>
          </w:tcPr>
          <w:p w14:paraId="1D53F9DA">
            <w:pPr>
              <w:rPr>
                <w:rFonts w:ascii="Times New Roman" w:hAnsi="Times New Roman" w:eastAsia="宋体" w:cs="Times New Roman"/>
              </w:rPr>
            </w:pPr>
            <w:r>
              <w:rPr>
                <w:rFonts w:ascii="Times New Roman" w:hAnsi="Times New Roman" w:eastAsia="宋体" w:cs="Times New Roman"/>
                <w:b/>
                <w:bCs/>
              </w:rPr>
              <w:t>指标点2-3：</w:t>
            </w:r>
            <w:r>
              <w:rPr>
                <w:rFonts w:ascii="Times New Roman" w:hAnsi="Times New Roman" w:eastAsia="宋体" w:cs="Times New Roman"/>
              </w:rPr>
              <w:t>【自身修养良好】具有较好的人文艺术底蕴与科学精神，言行举止符合教师职业标准，情感积极，人格健全，身心健康。</w:t>
            </w:r>
          </w:p>
        </w:tc>
        <w:tc>
          <w:tcPr>
            <w:tcW w:w="663" w:type="pct"/>
            <w:vAlign w:val="center"/>
          </w:tcPr>
          <w:p w14:paraId="39A4DB9D">
            <w:pPr>
              <w:rPr>
                <w:rFonts w:ascii="Times New Roman" w:hAnsi="Times New Roman" w:eastAsia="宋体" w:cs="Times New Roman"/>
                <w:lang w:eastAsia="zh"/>
              </w:rPr>
            </w:pPr>
            <w:r>
              <w:rPr>
                <w:rFonts w:ascii="Times New Roman" w:hAnsi="Times New Roman" w:eastAsia="宋体" w:cs="Times New Roman"/>
              </w:rPr>
              <w:t>课程目标</w:t>
            </w:r>
            <w:r>
              <w:rPr>
                <w:rFonts w:ascii="Times New Roman" w:hAnsi="Times New Roman" w:eastAsia="宋体" w:cs="Times New Roman"/>
                <w:lang w:eastAsia="zh"/>
              </w:rPr>
              <w:t>1</w:t>
            </w:r>
          </w:p>
        </w:tc>
      </w:tr>
      <w:tr w14:paraId="6845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 w:type="pct"/>
            <w:vAlign w:val="center"/>
          </w:tcPr>
          <w:p w14:paraId="3B009355">
            <w:pPr>
              <w:jc w:val="center"/>
              <w:rPr>
                <w:rFonts w:ascii="Times New Roman" w:hAnsi="Times New Roman" w:eastAsia="宋体" w:cs="Times New Roman"/>
                <w:b/>
                <w:bCs/>
              </w:rPr>
            </w:pPr>
            <w:r>
              <w:rPr>
                <w:rFonts w:ascii="Times New Roman" w:hAnsi="Times New Roman" w:eastAsia="宋体" w:cs="Times New Roman"/>
                <w:b/>
                <w:bCs/>
              </w:rPr>
              <w:t>毕业要求6</w:t>
            </w:r>
          </w:p>
          <w:p w14:paraId="2020F374">
            <w:pPr>
              <w:jc w:val="center"/>
              <w:rPr>
                <w:rFonts w:ascii="Times New Roman" w:hAnsi="Times New Roman" w:eastAsia="宋体" w:cs="Times New Roman"/>
                <w:b/>
                <w:bCs/>
              </w:rPr>
            </w:pPr>
            <w:r>
              <w:rPr>
                <w:rFonts w:ascii="Times New Roman" w:hAnsi="Times New Roman" w:eastAsia="宋体" w:cs="Times New Roman"/>
                <w:b/>
                <w:bCs/>
              </w:rPr>
              <w:t>综合育人</w:t>
            </w:r>
          </w:p>
        </w:tc>
        <w:tc>
          <w:tcPr>
            <w:tcW w:w="3169" w:type="pct"/>
            <w:vAlign w:val="center"/>
          </w:tcPr>
          <w:p w14:paraId="2B287F3C">
            <w:pPr>
              <w:rPr>
                <w:rFonts w:ascii="Times New Roman" w:hAnsi="Times New Roman" w:eastAsia="宋体" w:cs="Times New Roman"/>
              </w:rPr>
            </w:pPr>
            <w:r>
              <w:rPr>
                <w:rFonts w:hint="eastAsia" w:ascii="Times New Roman" w:hAnsi="Times New Roman" w:eastAsia="宋体" w:cs="Times New Roman"/>
                <w:b/>
                <w:bCs/>
              </w:rPr>
              <w:t>指标点6-3：</w:t>
            </w:r>
            <w:r>
              <w:rPr>
                <w:rFonts w:hint="eastAsia" w:ascii="Times New Roman" w:hAnsi="Times New Roman" w:eastAsia="宋体" w:cs="Times New Roman"/>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663" w:type="pct"/>
            <w:vAlign w:val="center"/>
          </w:tcPr>
          <w:p w14:paraId="4BA5EF52">
            <w:pPr>
              <w:rPr>
                <w:rFonts w:ascii="Times New Roman" w:hAnsi="Times New Roman" w:eastAsia="宋体" w:cs="Times New Roman"/>
              </w:rPr>
            </w:pPr>
            <w:r>
              <w:rPr>
                <w:rFonts w:ascii="Times New Roman" w:hAnsi="Times New Roman" w:eastAsia="宋体" w:cs="Times New Roman"/>
              </w:rPr>
              <w:t>课程目标1</w:t>
            </w:r>
          </w:p>
          <w:p w14:paraId="37DB046A">
            <w:pPr>
              <w:rPr>
                <w:rFonts w:ascii="Times New Roman" w:hAnsi="Times New Roman" w:eastAsia="宋体" w:cs="Times New Roman"/>
              </w:rPr>
            </w:pPr>
            <w:r>
              <w:rPr>
                <w:rFonts w:ascii="Times New Roman" w:hAnsi="Times New Roman" w:eastAsia="宋体" w:cs="Times New Roman"/>
              </w:rPr>
              <w:t>课程目标2</w:t>
            </w:r>
          </w:p>
        </w:tc>
      </w:tr>
    </w:tbl>
    <w:p w14:paraId="42902A2B">
      <w:pPr>
        <w:numPr>
          <w:ilvl w:val="0"/>
          <w:numId w:val="6"/>
        </w:num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教学内容与预期学习成效</w:t>
      </w:r>
    </w:p>
    <w:tbl>
      <w:tblPr>
        <w:tblStyle w:val="1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027"/>
        <w:gridCol w:w="2706"/>
        <w:gridCol w:w="780"/>
        <w:gridCol w:w="951"/>
      </w:tblGrid>
      <w:tr w14:paraId="1567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2FAE7A0E">
            <w:pPr>
              <w:jc w:val="center"/>
              <w:rPr>
                <w:rFonts w:hint="eastAsia" w:ascii="宋体" w:hAnsi="宋体" w:eastAsia="宋体" w:cs="宋体"/>
                <w:b/>
                <w:bCs/>
                <w:szCs w:val="21"/>
              </w:rPr>
            </w:pPr>
            <w:r>
              <w:rPr>
                <w:rFonts w:hint="eastAsia" w:ascii="宋体" w:hAnsi="宋体" w:eastAsia="宋体" w:cs="宋体"/>
                <w:b/>
                <w:bCs/>
                <w:szCs w:val="21"/>
              </w:rPr>
              <w:t>序号</w:t>
            </w:r>
          </w:p>
        </w:tc>
        <w:tc>
          <w:tcPr>
            <w:tcW w:w="2219" w:type="pct"/>
            <w:vAlign w:val="center"/>
          </w:tcPr>
          <w:p w14:paraId="538D3B09">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1491" w:type="pct"/>
            <w:vAlign w:val="center"/>
          </w:tcPr>
          <w:p w14:paraId="6C1E9AD7">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430" w:type="pct"/>
            <w:vAlign w:val="center"/>
          </w:tcPr>
          <w:p w14:paraId="6D270A63">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523" w:type="pct"/>
            <w:vAlign w:val="center"/>
          </w:tcPr>
          <w:p w14:paraId="0DC6618B">
            <w:pPr>
              <w:jc w:val="center"/>
              <w:rPr>
                <w:rFonts w:hint="eastAsia" w:ascii="宋体" w:hAnsi="宋体" w:eastAsia="宋体" w:cs="宋体"/>
                <w:b/>
                <w:bCs/>
                <w:szCs w:val="21"/>
              </w:rPr>
            </w:pPr>
            <w:r>
              <w:rPr>
                <w:rFonts w:hint="eastAsia" w:ascii="宋体" w:hAnsi="宋体" w:eastAsia="宋体" w:cs="宋体"/>
                <w:b/>
                <w:bCs/>
                <w:szCs w:val="21"/>
              </w:rPr>
              <w:t>教学</w:t>
            </w:r>
          </w:p>
          <w:p w14:paraId="0E98C26D">
            <w:pPr>
              <w:jc w:val="center"/>
              <w:rPr>
                <w:rFonts w:hint="eastAsia" w:ascii="宋体" w:hAnsi="宋体" w:eastAsia="宋体" w:cs="宋体"/>
                <w:b/>
                <w:bCs/>
                <w:szCs w:val="21"/>
              </w:rPr>
            </w:pPr>
            <w:r>
              <w:rPr>
                <w:rFonts w:hint="eastAsia" w:ascii="宋体" w:hAnsi="宋体" w:eastAsia="宋体" w:cs="宋体"/>
                <w:b/>
                <w:bCs/>
                <w:szCs w:val="21"/>
              </w:rPr>
              <w:t>方式</w:t>
            </w:r>
          </w:p>
        </w:tc>
      </w:tr>
      <w:tr w14:paraId="1A4A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429FF918">
            <w:pPr>
              <w:jc w:val="center"/>
              <w:rPr>
                <w:rFonts w:hint="eastAsia" w:ascii="宋体" w:hAnsi="宋体" w:eastAsia="宋体" w:cs="宋体"/>
                <w:szCs w:val="21"/>
              </w:rPr>
            </w:pPr>
            <w:r>
              <w:rPr>
                <w:rFonts w:hint="eastAsia" w:ascii="宋体" w:hAnsi="宋体" w:eastAsia="宋体" w:cs="宋体"/>
                <w:szCs w:val="21"/>
              </w:rPr>
              <w:t>1</w:t>
            </w:r>
          </w:p>
        </w:tc>
        <w:tc>
          <w:tcPr>
            <w:tcW w:w="2219" w:type="pct"/>
            <w:vAlign w:val="center"/>
          </w:tcPr>
          <w:p w14:paraId="0E23F593">
            <w:pPr>
              <w:rPr>
                <w:rFonts w:ascii="Times New Roman" w:hAnsi="Times New Roman" w:eastAsia="宋体" w:cs="Times New Roman"/>
                <w:b/>
                <w:szCs w:val="21"/>
              </w:rPr>
            </w:pPr>
            <w:r>
              <w:rPr>
                <w:rFonts w:ascii="Times New Roman" w:hAnsi="Times New Roman" w:eastAsia="宋体" w:cs="Times New Roman"/>
                <w:b/>
                <w:szCs w:val="21"/>
              </w:rPr>
              <w:t>㈠体育理论部分:</w:t>
            </w:r>
          </w:p>
          <w:p w14:paraId="1490B271">
            <w:pPr>
              <w:rPr>
                <w:rFonts w:ascii="Times New Roman" w:hAnsi="Times New Roman" w:eastAsia="宋体" w:cs="Times New Roman"/>
                <w:bCs/>
                <w:szCs w:val="21"/>
              </w:rPr>
            </w:pPr>
            <w:r>
              <w:rPr>
                <w:rFonts w:ascii="Times New Roman" w:hAnsi="Times New Roman" w:eastAsia="宋体" w:cs="Times New Roman"/>
                <w:bCs/>
                <w:szCs w:val="21"/>
              </w:rPr>
              <w:t>1.学生思想政治教育：我校体育运动发展概况、国家领导人与体育、奥运明星的励志故事、社会主义核心价值观与体育等；</w:t>
            </w:r>
          </w:p>
          <w:p w14:paraId="0E1A48B5">
            <w:pPr>
              <w:rPr>
                <w:rFonts w:ascii="Times New Roman" w:hAnsi="Times New Roman" w:eastAsia="宋体" w:cs="Times New Roman"/>
                <w:szCs w:val="21"/>
              </w:rPr>
            </w:pPr>
            <w:r>
              <w:rPr>
                <w:rFonts w:ascii="Times New Roman" w:hAnsi="Times New Roman" w:eastAsia="宋体" w:cs="Times New Roman"/>
                <w:bCs/>
                <w:szCs w:val="21"/>
              </w:rPr>
              <w:t>2.</w:t>
            </w:r>
            <w:r>
              <w:rPr>
                <w:rFonts w:ascii="Times New Roman" w:hAnsi="Times New Roman" w:eastAsia="宋体" w:cs="Times New Roman"/>
                <w:szCs w:val="21"/>
              </w:rPr>
              <w:t>体育安全教育：体育运动伤害事故的安全教育及预防与处理措施、常见运动损伤的预防与处理等；</w:t>
            </w:r>
          </w:p>
          <w:p w14:paraId="21640F50">
            <w:pPr>
              <w:rPr>
                <w:rFonts w:hint="eastAsia" w:ascii="宋体" w:hAnsi="宋体" w:eastAsia="宋体" w:cs="宋体"/>
                <w:kern w:val="0"/>
                <w:szCs w:val="21"/>
              </w:rPr>
            </w:pPr>
            <w:r>
              <w:rPr>
                <w:rFonts w:ascii="Times New Roman" w:hAnsi="Times New Roman" w:eastAsia="宋体" w:cs="Times New Roman"/>
                <w:szCs w:val="21"/>
              </w:rPr>
              <w:t>3.体育基本理论：各运动项目的基本技战术知识、组织与竞赛、基本规则和裁判法，运动健身的基本原理与锻炼方法，体育锻炼的自我监督与评价，体育养生与保健知识等</w:t>
            </w:r>
          </w:p>
        </w:tc>
        <w:tc>
          <w:tcPr>
            <w:tcW w:w="1491" w:type="pct"/>
            <w:vAlign w:val="center"/>
          </w:tcPr>
          <w:p w14:paraId="16AC3573">
            <w:pPr>
              <w:autoSpaceDE w:val="0"/>
              <w:autoSpaceDN w:val="0"/>
              <w:adjustRightInd w:val="0"/>
              <w:jc w:val="left"/>
              <w:rPr>
                <w:rFonts w:hint="eastAsia" w:ascii="宋体" w:hAnsi="宋体" w:eastAsia="宋体" w:cs="宋体"/>
                <w:kern w:val="0"/>
                <w:szCs w:val="21"/>
              </w:rPr>
            </w:pPr>
            <w:r>
              <w:rPr>
                <w:rFonts w:ascii="Times New Roman" w:hAnsi="Times New Roman" w:eastAsia="宋体" w:cs="Times New Roman"/>
                <w:kern w:val="0"/>
                <w:szCs w:val="21"/>
              </w:rPr>
              <w:t>通过教学，提高对体育的正确认识，形成正确积极的体育态度，学会运用科学理论指导健身锻炼实际，从而自觉遵循体育运动的规律，实现体育锻炼的目的。</w:t>
            </w:r>
          </w:p>
        </w:tc>
        <w:tc>
          <w:tcPr>
            <w:tcW w:w="430" w:type="pct"/>
            <w:vAlign w:val="center"/>
          </w:tcPr>
          <w:p w14:paraId="678B37E5">
            <w:pPr>
              <w:jc w:val="center"/>
              <w:rPr>
                <w:rFonts w:hint="eastAsia" w:ascii="宋体" w:hAnsi="宋体" w:eastAsia="宋体" w:cs="宋体"/>
                <w:szCs w:val="21"/>
              </w:rPr>
            </w:pPr>
            <w:r>
              <w:rPr>
                <w:rFonts w:hint="eastAsia" w:ascii="宋体" w:hAnsi="宋体" w:eastAsia="宋体" w:cs="宋体"/>
                <w:szCs w:val="21"/>
              </w:rPr>
              <w:t>4</w:t>
            </w:r>
          </w:p>
        </w:tc>
        <w:tc>
          <w:tcPr>
            <w:tcW w:w="523" w:type="pct"/>
            <w:vAlign w:val="center"/>
          </w:tcPr>
          <w:p w14:paraId="62EC3218">
            <w:pPr>
              <w:jc w:val="left"/>
              <w:rPr>
                <w:rFonts w:hint="eastAsia" w:ascii="宋体" w:hAnsi="宋体" w:eastAsia="宋体" w:cs="宋体"/>
                <w:szCs w:val="21"/>
              </w:rPr>
            </w:pPr>
            <w:r>
              <w:rPr>
                <w:rFonts w:hint="eastAsia" w:ascii="宋体" w:hAnsi="宋体" w:eastAsia="宋体" w:cs="宋体"/>
                <w:szCs w:val="21"/>
              </w:rPr>
              <w:t>讲授法</w:t>
            </w:r>
          </w:p>
        </w:tc>
      </w:tr>
      <w:tr w14:paraId="1694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3B92E98D">
            <w:pPr>
              <w:jc w:val="center"/>
              <w:rPr>
                <w:rFonts w:hint="eastAsia" w:ascii="宋体" w:hAnsi="宋体" w:eastAsia="宋体" w:cs="宋体"/>
                <w:szCs w:val="21"/>
              </w:rPr>
            </w:pPr>
          </w:p>
        </w:tc>
        <w:tc>
          <w:tcPr>
            <w:tcW w:w="4664" w:type="pct"/>
            <w:gridSpan w:val="4"/>
            <w:vAlign w:val="center"/>
          </w:tcPr>
          <w:p w14:paraId="0E16AA68">
            <w:pPr>
              <w:rPr>
                <w:rFonts w:hint="eastAsia" w:ascii="宋体" w:hAnsi="宋体" w:eastAsia="宋体" w:cs="宋体"/>
                <w:szCs w:val="21"/>
              </w:rPr>
            </w:pPr>
            <w:r>
              <w:rPr>
                <w:rFonts w:hint="eastAsia" w:ascii="宋体" w:hAnsi="宋体" w:eastAsia="宋体" w:cs="宋体"/>
                <w:b/>
                <w:bCs/>
                <w:szCs w:val="21"/>
              </w:rPr>
              <w:t>思政元素：</w:t>
            </w:r>
            <w:r>
              <w:rPr>
                <w:rFonts w:hint="eastAsia" w:ascii="宋体" w:hAnsi="宋体" w:eastAsia="宋体" w:cs="宋体"/>
                <w:kern w:val="0"/>
                <w:szCs w:val="21"/>
              </w:rPr>
              <w:t>理想信念、国家认同和社会主义核心价值观等教育；安全意识、健康意识教育</w:t>
            </w:r>
          </w:p>
        </w:tc>
      </w:tr>
      <w:tr w14:paraId="18F6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47A91E59">
            <w:pPr>
              <w:jc w:val="center"/>
              <w:rPr>
                <w:rFonts w:hint="eastAsia" w:ascii="宋体" w:hAnsi="宋体" w:eastAsia="宋体" w:cs="宋体"/>
                <w:szCs w:val="21"/>
              </w:rPr>
            </w:pPr>
            <w:r>
              <w:rPr>
                <w:rFonts w:hint="eastAsia" w:ascii="宋体" w:hAnsi="宋体" w:eastAsia="宋体" w:cs="宋体"/>
                <w:szCs w:val="21"/>
              </w:rPr>
              <w:t>2</w:t>
            </w:r>
          </w:p>
        </w:tc>
        <w:tc>
          <w:tcPr>
            <w:tcW w:w="2219" w:type="pct"/>
            <w:vAlign w:val="center"/>
          </w:tcPr>
          <w:p w14:paraId="3DFE17E5">
            <w:pPr>
              <w:jc w:val="left"/>
              <w:rPr>
                <w:rFonts w:ascii="Times New Roman" w:hAnsi="Times New Roman" w:eastAsia="宋体" w:cs="Times New Roman"/>
                <w:b/>
                <w:szCs w:val="21"/>
              </w:rPr>
            </w:pPr>
            <w:r>
              <w:rPr>
                <w:rFonts w:ascii="Times New Roman" w:hAnsi="Times New Roman" w:eastAsia="宋体" w:cs="Times New Roman"/>
                <w:b/>
                <w:szCs w:val="21"/>
              </w:rPr>
              <w:t>㈡实践部分：</w:t>
            </w:r>
          </w:p>
          <w:p w14:paraId="57E784AE">
            <w:pPr>
              <w:rPr>
                <w:rFonts w:hint="eastAsia" w:ascii="宋体" w:hAnsi="宋体" w:eastAsia="宋体" w:cs="宋体"/>
                <w:kern w:val="0"/>
                <w:szCs w:val="21"/>
              </w:rPr>
            </w:pPr>
            <w:r>
              <w:rPr>
                <w:rFonts w:ascii="Times New Roman" w:hAnsi="Times New Roman" w:eastAsia="宋体" w:cs="Times New Roman"/>
                <w:bCs/>
                <w:szCs w:val="21"/>
              </w:rPr>
              <w:t>以各运动项目和国家学生体质健康标准中的身体素质项目为主，主要包括篮球、足球、排球、手球、乒乓球、网球、羽毛球、台球、健美（男）、体育舞蹈、武术、散打、跆拳道、艺术体操、健美操（女）、排舞（女）、瑜伽、体育舞蹈和体育保健等项目。</w:t>
            </w:r>
          </w:p>
        </w:tc>
        <w:tc>
          <w:tcPr>
            <w:tcW w:w="1491" w:type="pct"/>
            <w:vAlign w:val="center"/>
          </w:tcPr>
          <w:p w14:paraId="67D9F4E7">
            <w:pPr>
              <w:rPr>
                <w:rFonts w:hint="eastAsia" w:ascii="宋体" w:hAnsi="宋体" w:eastAsia="宋体" w:cs="宋体"/>
                <w:szCs w:val="21"/>
              </w:rPr>
            </w:pPr>
            <w:r>
              <w:rPr>
                <w:rFonts w:ascii="Times New Roman" w:hAnsi="Times New Roman" w:eastAsia="宋体" w:cs="Times New Roman"/>
                <w:szCs w:val="21"/>
              </w:rPr>
              <w:t>通过学习，</w:t>
            </w:r>
            <w:r>
              <w:rPr>
                <w:rFonts w:ascii="Times New Roman" w:hAnsi="Times New Roman" w:eastAsia="宋体" w:cs="Times New Roman"/>
                <w:kern w:val="0"/>
                <w:szCs w:val="21"/>
              </w:rPr>
              <w:t>使学生了解和掌握所选运动项目的基本知识、基本技术和锻炼方法；爱好并积极参与各种体育运动，发展学生速度、灵敏、耐力等身体素质，增强体质</w:t>
            </w:r>
            <w:r>
              <w:rPr>
                <w:rFonts w:ascii="Times New Roman" w:hAnsi="Times New Roman" w:eastAsia="宋体" w:cs="Times New Roman"/>
                <w:szCs w:val="21"/>
              </w:rPr>
              <w:t>；培养团结协作的集体主义精神和顽强拼搏的竞争意识；达到“国家体质健康标准”</w:t>
            </w:r>
            <w:r>
              <w:rPr>
                <w:rFonts w:ascii="Times New Roman" w:hAnsi="Times New Roman" w:eastAsia="宋体" w:cs="Times New Roman"/>
                <w:kern w:val="0"/>
                <w:szCs w:val="21"/>
              </w:rPr>
              <w:t>。</w:t>
            </w:r>
          </w:p>
        </w:tc>
        <w:tc>
          <w:tcPr>
            <w:tcW w:w="430" w:type="pct"/>
            <w:vAlign w:val="center"/>
          </w:tcPr>
          <w:p w14:paraId="2F953F20">
            <w:pPr>
              <w:jc w:val="center"/>
              <w:rPr>
                <w:rFonts w:hint="eastAsia" w:ascii="宋体" w:hAnsi="宋体" w:eastAsia="宋体" w:cs="宋体"/>
                <w:szCs w:val="21"/>
              </w:rPr>
            </w:pPr>
            <w:r>
              <w:rPr>
                <w:rFonts w:hint="eastAsia" w:ascii="宋体" w:hAnsi="宋体" w:eastAsia="宋体" w:cs="宋体"/>
                <w:szCs w:val="21"/>
              </w:rPr>
              <w:t>26</w:t>
            </w:r>
          </w:p>
        </w:tc>
        <w:tc>
          <w:tcPr>
            <w:tcW w:w="523" w:type="pct"/>
            <w:vAlign w:val="center"/>
          </w:tcPr>
          <w:p w14:paraId="0BA3761C">
            <w:pPr>
              <w:rPr>
                <w:rFonts w:hint="eastAsia" w:ascii="宋体" w:hAnsi="宋体" w:eastAsia="宋体" w:cs="宋体"/>
                <w:szCs w:val="21"/>
              </w:rPr>
            </w:pPr>
            <w:r>
              <w:rPr>
                <w:rFonts w:hint="eastAsia" w:ascii="宋体" w:hAnsi="宋体" w:eastAsia="宋体" w:cs="宋体"/>
                <w:szCs w:val="21"/>
              </w:rPr>
              <w:t>讲授法演示法练习法</w:t>
            </w:r>
          </w:p>
        </w:tc>
      </w:tr>
      <w:tr w14:paraId="0730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4F603618">
            <w:pPr>
              <w:jc w:val="center"/>
              <w:rPr>
                <w:rFonts w:hint="eastAsia" w:ascii="宋体" w:hAnsi="宋体" w:eastAsia="宋体" w:cs="宋体"/>
                <w:szCs w:val="21"/>
              </w:rPr>
            </w:pPr>
          </w:p>
        </w:tc>
        <w:tc>
          <w:tcPr>
            <w:tcW w:w="4664" w:type="pct"/>
            <w:gridSpan w:val="4"/>
            <w:vAlign w:val="center"/>
          </w:tcPr>
          <w:p w14:paraId="39081C3F">
            <w:pPr>
              <w:rPr>
                <w:rFonts w:hint="eastAsia" w:ascii="宋体" w:hAnsi="宋体" w:eastAsia="宋体" w:cs="宋体"/>
                <w:szCs w:val="21"/>
              </w:rPr>
            </w:pPr>
            <w:r>
              <w:rPr>
                <w:rFonts w:hint="eastAsia" w:ascii="宋体" w:hAnsi="宋体" w:eastAsia="宋体" w:cs="宋体"/>
                <w:b/>
                <w:bCs/>
                <w:szCs w:val="21"/>
              </w:rPr>
              <w:t>思政元素：</w:t>
            </w:r>
            <w:r>
              <w:rPr>
                <w:rFonts w:hint="eastAsia" w:ascii="宋体" w:hAnsi="宋体" w:eastAsia="宋体" w:cs="宋体"/>
                <w:kern w:val="0"/>
                <w:szCs w:val="21"/>
              </w:rPr>
              <w:t>爱国主义和集体主义教育；体育道德观、意志品德培育；规则意识和诚信意识教育。</w:t>
            </w:r>
          </w:p>
        </w:tc>
      </w:tr>
    </w:tbl>
    <w:p w14:paraId="69FCA718">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ascii="宋体" w:hAnsi="宋体" w:eastAsia="宋体" w:cs="宋体"/>
          <w:b/>
          <w:bCs/>
          <w:kern w:val="0"/>
          <w:sz w:val="24"/>
        </w:rPr>
        <w:t>四、课程实施</w:t>
      </w:r>
    </w:p>
    <w:p w14:paraId="1CA32607">
      <w:pPr>
        <w:spacing w:line="360" w:lineRule="auto"/>
        <w:ind w:firstLine="422" w:firstLineChars="200"/>
        <w:jc w:val="left"/>
        <w:rPr>
          <w:rFonts w:ascii="Times New Roman" w:hAnsi="Times New Roman" w:eastAsia="宋体" w:cs="Times New Roman"/>
          <w:b/>
          <w:szCs w:val="21"/>
        </w:rPr>
      </w:pPr>
      <w:r>
        <w:rPr>
          <w:rFonts w:ascii="Times New Roman" w:hAnsi="Times New Roman" w:eastAsia="宋体" w:cs="Times New Roman"/>
          <w:b/>
          <w:szCs w:val="21"/>
        </w:rPr>
        <w:t>（一）教学方法与手段</w:t>
      </w:r>
    </w:p>
    <w:p w14:paraId="39F69A02">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1．本课程以实践教学为主，教学方法与手段的运用要考虑到学生的实际情况，从实际出发，因材施教，注意区别对待，激发学生学习兴趣，并在教学中重视学生实践能力的培养。</w:t>
      </w:r>
    </w:p>
    <w:p w14:paraId="447F12CC">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2．教学方法与手段的运用合理，注意防止伤害事故发生，重视学生自我保护能力培养。</w:t>
      </w:r>
    </w:p>
    <w:p w14:paraId="5A00EE4E">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3．针对体育教学技术教学的特点，本课程将采用：讲解法、示范法、完整法、分解法、集体练习、小组练习等教学方法，并利用多媒体教学方式，提高学生的欣赏能力、让学生更加深刻的了解所学项目。</w:t>
      </w:r>
    </w:p>
    <w:p w14:paraId="70C30A23">
      <w:pPr>
        <w:spacing w:line="360" w:lineRule="auto"/>
        <w:ind w:firstLine="422" w:firstLineChars="200"/>
        <w:rPr>
          <w:rFonts w:ascii="Times New Roman" w:hAnsi="Times New Roman" w:eastAsia="宋体" w:cs="Times New Roman"/>
          <w:b/>
          <w:szCs w:val="21"/>
        </w:rPr>
      </w:pPr>
      <w:r>
        <w:rPr>
          <w:rFonts w:ascii="Times New Roman" w:hAnsi="Times New Roman" w:eastAsia="宋体" w:cs="Times New Roman"/>
          <w:b/>
          <w:szCs w:val="21"/>
        </w:rPr>
        <w:t>（二）课程实施与保障</w:t>
      </w:r>
    </w:p>
    <w:tbl>
      <w:tblPr>
        <w:tblStyle w:val="11"/>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59DE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8" w:space="0"/>
              <w:left w:val="single" w:color="auto" w:sz="8" w:space="0"/>
              <w:right w:val="single" w:color="auto" w:sz="8" w:space="0"/>
            </w:tcBorders>
            <w:tcMar>
              <w:left w:w="28" w:type="dxa"/>
              <w:right w:w="28" w:type="dxa"/>
            </w:tcMar>
            <w:vAlign w:val="center"/>
          </w:tcPr>
          <w:p w14:paraId="0568DED3">
            <w:pPr>
              <w:spacing w:line="276" w:lineRule="auto"/>
              <w:jc w:val="center"/>
              <w:rPr>
                <w:rFonts w:ascii="Times New Roman" w:hAnsi="Times New Roman" w:eastAsia="宋体" w:cs="Times New Roman"/>
                <w:szCs w:val="21"/>
              </w:rPr>
            </w:pPr>
            <w:r>
              <w:rPr>
                <w:rFonts w:ascii="Times New Roman" w:hAnsi="Times New Roman" w:eastAsia="宋体" w:cs="Times New Roman"/>
                <w:b/>
                <w:bCs/>
                <w:szCs w:val="21"/>
              </w:rPr>
              <w:t>主要教学环节</w:t>
            </w:r>
          </w:p>
        </w:tc>
        <w:tc>
          <w:tcPr>
            <w:tcW w:w="6640" w:type="dxa"/>
            <w:tcBorders>
              <w:top w:val="single" w:color="auto" w:sz="8" w:space="0"/>
              <w:left w:val="single" w:color="auto" w:sz="8" w:space="0"/>
              <w:right w:val="single" w:color="auto" w:sz="8" w:space="0"/>
            </w:tcBorders>
            <w:vAlign w:val="center"/>
          </w:tcPr>
          <w:p w14:paraId="2338ECBE">
            <w:pPr>
              <w:spacing w:line="276" w:lineRule="auto"/>
              <w:jc w:val="center"/>
              <w:rPr>
                <w:rFonts w:ascii="Times New Roman" w:hAnsi="Times New Roman" w:eastAsia="宋体" w:cs="Times New Roman"/>
                <w:szCs w:val="21"/>
              </w:rPr>
            </w:pPr>
            <w:r>
              <w:rPr>
                <w:rFonts w:ascii="Times New Roman" w:hAnsi="Times New Roman" w:eastAsia="宋体" w:cs="Times New Roman"/>
                <w:b/>
                <w:bCs/>
                <w:szCs w:val="21"/>
              </w:rPr>
              <w:t>质量要求</w:t>
            </w:r>
          </w:p>
        </w:tc>
      </w:tr>
      <w:tr w14:paraId="718B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588FDC6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1252" w:type="dxa"/>
            <w:tcMar>
              <w:left w:w="28" w:type="dxa"/>
              <w:right w:w="28" w:type="dxa"/>
            </w:tcMar>
            <w:vAlign w:val="center"/>
          </w:tcPr>
          <w:p w14:paraId="22073D6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640" w:type="dxa"/>
            <w:tcBorders>
              <w:right w:val="single" w:color="auto" w:sz="8" w:space="0"/>
            </w:tcBorders>
            <w:vAlign w:val="center"/>
          </w:tcPr>
          <w:p w14:paraId="0ACC488E">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1.掌握本课程教学大纲内容，严格按照教学大纲要求进行本课程教学内容的组织；</w:t>
            </w:r>
          </w:p>
          <w:p w14:paraId="5A082DC6">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2.熟悉教材各章节，借助相关专业书籍资料，并依据教学大纲编写授课计划；</w:t>
            </w:r>
          </w:p>
          <w:p w14:paraId="06D0FBFF">
            <w:pPr>
              <w:autoSpaceDE w:val="0"/>
              <w:autoSpaceDN w:val="0"/>
              <w:adjustRightInd w:val="0"/>
              <w:snapToGrid w:val="0"/>
              <w:spacing w:line="320" w:lineRule="exact"/>
              <w:jc w:val="left"/>
              <w:rPr>
                <w:rFonts w:ascii="Times New Roman" w:hAnsi="Times New Roman" w:eastAsia="宋体" w:cs="Times New Roman"/>
                <w:spacing w:val="-14"/>
                <w:kern w:val="0"/>
                <w:szCs w:val="21"/>
              </w:rPr>
            </w:pPr>
            <w:r>
              <w:rPr>
                <w:rFonts w:ascii="Times New Roman" w:hAnsi="Times New Roman" w:eastAsia="宋体" w:cs="Times New Roman"/>
                <w:spacing w:val="-14"/>
                <w:kern w:val="0"/>
                <w:szCs w:val="21"/>
              </w:rPr>
              <w:t xml:space="preserve">3.结合课程特点，制作课件，运用多媒体教学手段讲授部分教学内容； </w:t>
            </w:r>
          </w:p>
          <w:p w14:paraId="1A600ACE">
            <w:pPr>
              <w:autoSpaceDE w:val="0"/>
              <w:autoSpaceDN w:val="0"/>
              <w:adjustRightInd w:val="0"/>
              <w:snapToGrid w:val="0"/>
              <w:spacing w:line="320" w:lineRule="exact"/>
              <w:jc w:val="left"/>
              <w:rPr>
                <w:rFonts w:ascii="Times New Roman" w:hAnsi="Times New Roman" w:eastAsia="宋体" w:cs="Times New Roman"/>
                <w:szCs w:val="21"/>
              </w:rPr>
            </w:pPr>
            <w:r>
              <w:rPr>
                <w:rFonts w:ascii="Times New Roman" w:hAnsi="Times New Roman" w:eastAsia="宋体" w:cs="Times New Roman"/>
                <w:kern w:val="0"/>
                <w:szCs w:val="21"/>
              </w:rPr>
              <w:t>4.确定各章节课程内容的教学方法，构思授课思路、技巧和方法。</w:t>
            </w:r>
          </w:p>
        </w:tc>
      </w:tr>
      <w:tr w14:paraId="321E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04ECAC88">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1252" w:type="dxa"/>
            <w:tcMar>
              <w:left w:w="28" w:type="dxa"/>
              <w:right w:w="28" w:type="dxa"/>
            </w:tcMar>
            <w:vAlign w:val="center"/>
          </w:tcPr>
          <w:p w14:paraId="06A38A98">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640" w:type="dxa"/>
            <w:tcBorders>
              <w:right w:val="single" w:color="auto" w:sz="8" w:space="0"/>
            </w:tcBorders>
            <w:vAlign w:val="center"/>
          </w:tcPr>
          <w:p w14:paraId="4B088AA3">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1.</w:t>
            </w:r>
            <w:r>
              <w:rPr>
                <w:rFonts w:ascii="Times New Roman" w:hAnsi="Times New Roman" w:eastAsia="宋体" w:cs="Times New Roman"/>
                <w:szCs w:val="21"/>
              </w:rPr>
              <w:t>满足需要，发展个性；</w:t>
            </w:r>
            <w:r>
              <w:rPr>
                <w:rFonts w:ascii="Times New Roman" w:hAnsi="Times New Roman" w:eastAsia="宋体" w:cs="Times New Roman"/>
                <w:kern w:val="0"/>
                <w:szCs w:val="21"/>
              </w:rPr>
              <w:t>在教学过程中充分发挥教师的主导作用和学生的主体作用。教师的主导作用体现在：激发学生的体育学习热情，教会学生体育锻炼方法、培养学生的终身体育意识、鼓励学生进行创新思维；学生的主体作用体现在：增强自主意识，主动学习，积极思考，重视学习过程、锻炼过程，感悟体育对人的生活的启迪，享受体育所带来的乐趣。教与学两方面紧密配合，以更好地实现体育教学的目标。</w:t>
            </w:r>
          </w:p>
          <w:p w14:paraId="21BB6981">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2.采用多种教学方式（如启发式教学、导学式、发现式等），精讲多练，培养学生自学、自练、自评、互评等能力。</w:t>
            </w:r>
          </w:p>
          <w:p w14:paraId="2DCB4EFC">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3.重视开展学生体质健康的测试与评价。每堂课均应安排一定时数的素质练习，提高学生的体质健康水平；同时严格按照教育部的规定，准确地对学生体质健康指标进行测定与评价，以便发现学生体质健康方面存在的问题，及时采取措施解决问题。</w:t>
            </w:r>
          </w:p>
          <w:p w14:paraId="6BA1DA35">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4.区别对待，因材施教。重视安全和关心基础较差的学生成长。</w:t>
            </w:r>
          </w:p>
          <w:p w14:paraId="3B3D1A17">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5.教学中教师要以身作则，言传身教，做到既教学又育人。培养学生的优良品质，达到身心全面发展。</w:t>
            </w:r>
          </w:p>
        </w:tc>
      </w:tr>
      <w:tr w14:paraId="1CD8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60F1D025">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1252" w:type="dxa"/>
            <w:tcMar>
              <w:left w:w="28" w:type="dxa"/>
              <w:right w:w="28" w:type="dxa"/>
            </w:tcMar>
            <w:vAlign w:val="center"/>
          </w:tcPr>
          <w:p w14:paraId="37CAFF5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课外练习</w:t>
            </w:r>
          </w:p>
        </w:tc>
        <w:tc>
          <w:tcPr>
            <w:tcW w:w="6640" w:type="dxa"/>
            <w:tcBorders>
              <w:right w:val="single" w:color="auto" w:sz="8" w:space="0"/>
            </w:tcBorders>
            <w:vAlign w:val="center"/>
          </w:tcPr>
          <w:p w14:paraId="01B1CB81">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课外练习是教师布置课外练习内容，重点要求学生利用课余时间巩固课堂上所学的技术动作，形成正确的动力定型，同时要求学生加强身体素质练习。</w:t>
            </w:r>
          </w:p>
        </w:tc>
      </w:tr>
      <w:tr w14:paraId="7534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8" w:space="0"/>
            </w:tcBorders>
            <w:vAlign w:val="center"/>
          </w:tcPr>
          <w:p w14:paraId="410E412E">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252" w:type="dxa"/>
            <w:tcMar>
              <w:left w:w="28" w:type="dxa"/>
              <w:right w:w="28" w:type="dxa"/>
            </w:tcMar>
            <w:vAlign w:val="center"/>
          </w:tcPr>
          <w:p w14:paraId="5AE758E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成绩考核</w:t>
            </w:r>
          </w:p>
        </w:tc>
        <w:tc>
          <w:tcPr>
            <w:tcW w:w="6640" w:type="dxa"/>
            <w:tcBorders>
              <w:right w:val="single" w:color="auto" w:sz="8" w:space="0"/>
            </w:tcBorders>
            <w:vAlign w:val="center"/>
          </w:tcPr>
          <w:p w14:paraId="784B666B">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本课程考核的方式：考试。总评成绩的评定见课程评分方案。有下列情况之一者，总评成绩为不及格：</w:t>
            </w:r>
          </w:p>
          <w:p w14:paraId="7FA50D67">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1.课外体育锻炼不合格者；</w:t>
            </w:r>
          </w:p>
          <w:p w14:paraId="7A003667">
            <w:pPr>
              <w:autoSpaceDE w:val="0"/>
              <w:autoSpaceDN w:val="0"/>
              <w:adjustRightInd w:val="0"/>
              <w:snapToGrid w:val="0"/>
              <w:spacing w:line="320" w:lineRule="exact"/>
              <w:jc w:val="left"/>
              <w:rPr>
                <w:rFonts w:ascii="Times New Roman" w:hAnsi="Times New Roman" w:eastAsia="宋体" w:cs="Times New Roman"/>
                <w:kern w:val="0"/>
                <w:szCs w:val="21"/>
              </w:rPr>
            </w:pPr>
            <w:r>
              <w:rPr>
                <w:rFonts w:ascii="Times New Roman" w:hAnsi="Times New Roman" w:eastAsia="宋体" w:cs="Times New Roman"/>
                <w:kern w:val="0"/>
                <w:szCs w:val="21"/>
              </w:rPr>
              <w:t>2.缺课次数达本学期总授课学时的1/3以上者；</w:t>
            </w:r>
          </w:p>
        </w:tc>
      </w:tr>
    </w:tbl>
    <w:p w14:paraId="6A31D08A">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ascii="宋体" w:hAnsi="宋体" w:eastAsia="宋体" w:cs="宋体"/>
          <w:b/>
          <w:bCs/>
          <w:kern w:val="0"/>
          <w:sz w:val="24"/>
        </w:rPr>
        <w:t>五、课程考核</w:t>
      </w:r>
    </w:p>
    <w:p w14:paraId="141A2DDB">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（一）课程考核由期末考试和平时考核构成，期末考试采用随堂方式。</w:t>
      </w:r>
    </w:p>
    <w:p w14:paraId="4B5DD75E">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（二）课程总评成绩=平时成绩50%+期末考试50%，平时成绩=课堂表现10%+课外锻炼20%+体育理论20%。</w:t>
      </w:r>
    </w:p>
    <w:p w14:paraId="6A1BFC73">
      <w:pPr>
        <w:spacing w:line="360" w:lineRule="auto"/>
        <w:ind w:firstLine="420" w:firstLineChars="200"/>
        <w:rPr>
          <w:rFonts w:ascii="Times New Roman" w:hAnsi="Times New Roman" w:eastAsia="宋体" w:cs="Times New Roman"/>
          <w:sz w:val="24"/>
        </w:rPr>
      </w:pPr>
      <w:r>
        <w:rPr>
          <w:rFonts w:ascii="Times New Roman" w:hAnsi="Times New Roman" w:eastAsia="宋体" w:cs="Times New Roman"/>
          <w:szCs w:val="21"/>
        </w:rPr>
        <w:t>具体内容和比例如表所示：</w:t>
      </w:r>
    </w:p>
    <w:tbl>
      <w:tblPr>
        <w:tblStyle w:val="11"/>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1301"/>
        <w:gridCol w:w="741"/>
        <w:gridCol w:w="4047"/>
        <w:gridCol w:w="1349"/>
      </w:tblGrid>
      <w:tr w14:paraId="39C1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0" w:type="dxa"/>
            <w:shd w:val="clear" w:color="auto" w:fill="FFFFFF"/>
            <w:tcMar>
              <w:left w:w="57" w:type="dxa"/>
              <w:right w:w="57" w:type="dxa"/>
            </w:tcMar>
            <w:vAlign w:val="center"/>
          </w:tcPr>
          <w:p w14:paraId="4EB0B6AC">
            <w:pPr>
              <w:jc w:val="center"/>
              <w:rPr>
                <w:rFonts w:ascii="Times New Roman" w:hAnsi="Times New Roman" w:eastAsia="宋体" w:cs="Times New Roman"/>
                <w:szCs w:val="21"/>
              </w:rPr>
            </w:pPr>
            <w:r>
              <w:rPr>
                <w:rFonts w:ascii="Times New Roman" w:hAnsi="Times New Roman" w:eastAsia="宋体" w:cs="Times New Roman"/>
                <w:szCs w:val="21"/>
              </w:rPr>
              <w:t>成绩组成</w:t>
            </w:r>
          </w:p>
        </w:tc>
        <w:tc>
          <w:tcPr>
            <w:tcW w:w="1301" w:type="dxa"/>
            <w:shd w:val="clear" w:color="auto" w:fill="FFFFFF"/>
            <w:vAlign w:val="center"/>
          </w:tcPr>
          <w:p w14:paraId="6C5CB7BA">
            <w:pPr>
              <w:jc w:val="center"/>
              <w:rPr>
                <w:rFonts w:ascii="Times New Roman" w:hAnsi="Times New Roman" w:eastAsia="宋体" w:cs="Times New Roman"/>
                <w:szCs w:val="21"/>
              </w:rPr>
            </w:pPr>
            <w:r>
              <w:rPr>
                <w:rFonts w:ascii="Times New Roman" w:hAnsi="Times New Roman" w:eastAsia="宋体" w:cs="Times New Roman"/>
                <w:szCs w:val="21"/>
              </w:rPr>
              <w:t>考核/评价环节</w:t>
            </w:r>
          </w:p>
        </w:tc>
        <w:tc>
          <w:tcPr>
            <w:tcW w:w="741" w:type="dxa"/>
            <w:shd w:val="clear" w:color="auto" w:fill="FFFFFF"/>
            <w:vAlign w:val="center"/>
          </w:tcPr>
          <w:p w14:paraId="3C015335">
            <w:pPr>
              <w:jc w:val="center"/>
              <w:rPr>
                <w:rFonts w:ascii="Times New Roman" w:hAnsi="Times New Roman" w:eastAsia="宋体" w:cs="Times New Roman"/>
                <w:szCs w:val="21"/>
              </w:rPr>
            </w:pPr>
            <w:r>
              <w:rPr>
                <w:rFonts w:ascii="Times New Roman" w:hAnsi="Times New Roman" w:eastAsia="宋体" w:cs="Times New Roman"/>
                <w:szCs w:val="21"/>
              </w:rPr>
              <w:t>权重</w:t>
            </w:r>
          </w:p>
        </w:tc>
        <w:tc>
          <w:tcPr>
            <w:tcW w:w="4047" w:type="dxa"/>
            <w:shd w:val="clear" w:color="auto" w:fill="FFFFFF"/>
            <w:vAlign w:val="center"/>
          </w:tcPr>
          <w:p w14:paraId="19E1DCD1">
            <w:pPr>
              <w:jc w:val="center"/>
              <w:rPr>
                <w:rFonts w:ascii="Times New Roman" w:hAnsi="Times New Roman" w:eastAsia="宋体" w:cs="Times New Roman"/>
                <w:szCs w:val="21"/>
              </w:rPr>
            </w:pPr>
            <w:r>
              <w:rPr>
                <w:rFonts w:ascii="Times New Roman" w:hAnsi="Times New Roman" w:eastAsia="宋体" w:cs="Times New Roman"/>
                <w:szCs w:val="21"/>
              </w:rPr>
              <w:t>考核/评价细则</w:t>
            </w:r>
          </w:p>
        </w:tc>
        <w:tc>
          <w:tcPr>
            <w:tcW w:w="1349" w:type="dxa"/>
            <w:shd w:val="clear" w:color="auto" w:fill="FFFFFF"/>
            <w:vAlign w:val="center"/>
          </w:tcPr>
          <w:p w14:paraId="08E0F91F">
            <w:pPr>
              <w:jc w:val="center"/>
              <w:rPr>
                <w:rFonts w:ascii="Times New Roman" w:hAnsi="Times New Roman" w:eastAsia="宋体" w:cs="Times New Roman"/>
                <w:szCs w:val="21"/>
              </w:rPr>
            </w:pPr>
            <w:r>
              <w:rPr>
                <w:rFonts w:ascii="Times New Roman" w:hAnsi="Times New Roman" w:eastAsia="宋体" w:cs="Times New Roman"/>
                <w:szCs w:val="21"/>
              </w:rPr>
              <w:t>对应的毕业要求指标点</w:t>
            </w:r>
          </w:p>
        </w:tc>
      </w:tr>
      <w:tr w14:paraId="0260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0" w:type="dxa"/>
            <w:vMerge w:val="restart"/>
            <w:tcMar>
              <w:left w:w="57" w:type="dxa"/>
              <w:right w:w="57" w:type="dxa"/>
            </w:tcMar>
            <w:vAlign w:val="center"/>
          </w:tcPr>
          <w:p w14:paraId="5DD8BC7B">
            <w:pPr>
              <w:jc w:val="center"/>
              <w:rPr>
                <w:rFonts w:ascii="Times New Roman" w:hAnsi="Times New Roman" w:eastAsia="宋体" w:cs="Times New Roman"/>
                <w:szCs w:val="21"/>
              </w:rPr>
            </w:pPr>
            <w:r>
              <w:rPr>
                <w:rFonts w:ascii="Times New Roman" w:hAnsi="Times New Roman" w:eastAsia="宋体" w:cs="Times New Roman"/>
                <w:szCs w:val="21"/>
              </w:rPr>
              <w:t>平时成绩</w:t>
            </w:r>
          </w:p>
          <w:p w14:paraId="5EC3AF7F">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1301" w:type="dxa"/>
            <w:vAlign w:val="center"/>
          </w:tcPr>
          <w:p w14:paraId="14307BC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课堂表现</w:t>
            </w:r>
          </w:p>
        </w:tc>
        <w:tc>
          <w:tcPr>
            <w:tcW w:w="741" w:type="dxa"/>
            <w:vAlign w:val="center"/>
          </w:tcPr>
          <w:p w14:paraId="230A00BA">
            <w:pPr>
              <w:rPr>
                <w:rFonts w:ascii="Times New Roman" w:hAnsi="Times New Roman" w:eastAsia="宋体" w:cs="Times New Roman"/>
                <w:szCs w:val="21"/>
              </w:rPr>
            </w:pPr>
            <w:r>
              <w:rPr>
                <w:rFonts w:ascii="Times New Roman" w:hAnsi="Times New Roman" w:eastAsia="宋体" w:cs="Times New Roman"/>
                <w:szCs w:val="21"/>
              </w:rPr>
              <w:t xml:space="preserve"> 10%</w:t>
            </w:r>
          </w:p>
        </w:tc>
        <w:tc>
          <w:tcPr>
            <w:tcW w:w="4047" w:type="dxa"/>
            <w:vAlign w:val="center"/>
          </w:tcPr>
          <w:p w14:paraId="51CA9B36">
            <w:pPr>
              <w:spacing w:line="360" w:lineRule="exact"/>
              <w:rPr>
                <w:rFonts w:ascii="Times New Roman" w:hAnsi="Times New Roman" w:eastAsia="宋体" w:cs="Times New Roman"/>
                <w:sz w:val="24"/>
              </w:rPr>
            </w:pPr>
            <w:r>
              <w:rPr>
                <w:rFonts w:ascii="Times New Roman" w:hAnsi="Times New Roman" w:eastAsia="宋体" w:cs="Times New Roman"/>
                <w:bCs/>
                <w:kern w:val="24"/>
                <w:szCs w:val="21"/>
              </w:rPr>
              <w:t>课堂整队点名，考核</w:t>
            </w:r>
            <w:r>
              <w:rPr>
                <w:rFonts w:ascii="Times New Roman" w:hAnsi="Times New Roman" w:eastAsia="宋体" w:cs="Times New Roman"/>
                <w:szCs w:val="21"/>
              </w:rPr>
              <w:t>能否按时到勤，旷课一次扣20分，迟到与早退一次扣10分。</w:t>
            </w:r>
          </w:p>
        </w:tc>
        <w:tc>
          <w:tcPr>
            <w:tcW w:w="1349" w:type="dxa"/>
            <w:vAlign w:val="center"/>
          </w:tcPr>
          <w:p w14:paraId="64B156EF">
            <w:pPr>
              <w:jc w:val="center"/>
              <w:rPr>
                <w:rFonts w:ascii="Times New Roman" w:hAnsi="Times New Roman" w:eastAsia="宋体" w:cs="Times New Roman"/>
                <w:szCs w:val="21"/>
              </w:rPr>
            </w:pPr>
            <w:r>
              <w:rPr>
                <w:rFonts w:hint="eastAsia" w:ascii="Times New Roman" w:hAnsi="Times New Roman" w:eastAsia="宋体" w:cs="Times New Roman"/>
                <w:szCs w:val="21"/>
              </w:rPr>
              <w:t>2、6</w:t>
            </w:r>
          </w:p>
        </w:tc>
      </w:tr>
      <w:tr w14:paraId="31C16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040" w:type="dxa"/>
            <w:vMerge w:val="continue"/>
            <w:tcMar>
              <w:left w:w="57" w:type="dxa"/>
              <w:right w:w="57" w:type="dxa"/>
            </w:tcMar>
            <w:vAlign w:val="center"/>
          </w:tcPr>
          <w:p w14:paraId="5C65A0EF">
            <w:pPr>
              <w:jc w:val="center"/>
              <w:rPr>
                <w:rFonts w:ascii="Times New Roman" w:hAnsi="Times New Roman" w:eastAsia="宋体" w:cs="Times New Roman"/>
                <w:szCs w:val="21"/>
              </w:rPr>
            </w:pPr>
          </w:p>
        </w:tc>
        <w:tc>
          <w:tcPr>
            <w:tcW w:w="1301" w:type="dxa"/>
            <w:vAlign w:val="center"/>
          </w:tcPr>
          <w:p w14:paraId="41DBE2B8">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课外锻炼</w:t>
            </w:r>
          </w:p>
        </w:tc>
        <w:tc>
          <w:tcPr>
            <w:tcW w:w="741" w:type="dxa"/>
            <w:vAlign w:val="center"/>
          </w:tcPr>
          <w:p w14:paraId="2B957AEC">
            <w:pPr>
              <w:rPr>
                <w:rFonts w:ascii="Times New Roman" w:hAnsi="Times New Roman" w:eastAsia="宋体" w:cs="Times New Roman"/>
                <w:szCs w:val="21"/>
              </w:rPr>
            </w:pPr>
            <w:r>
              <w:rPr>
                <w:rFonts w:ascii="Times New Roman" w:hAnsi="Times New Roman" w:eastAsia="宋体" w:cs="Times New Roman"/>
                <w:szCs w:val="21"/>
              </w:rPr>
              <w:t xml:space="preserve"> 20%</w:t>
            </w:r>
          </w:p>
        </w:tc>
        <w:tc>
          <w:tcPr>
            <w:tcW w:w="4047" w:type="dxa"/>
            <w:vAlign w:val="center"/>
          </w:tcPr>
          <w:p w14:paraId="20996D8D">
            <w:pPr>
              <w:spacing w:line="360" w:lineRule="exact"/>
              <w:jc w:val="left"/>
              <w:rPr>
                <w:rFonts w:ascii="Times New Roman" w:hAnsi="Times New Roman" w:eastAsia="宋体" w:cs="Times New Roman"/>
                <w:sz w:val="24"/>
              </w:rPr>
            </w:pPr>
            <w:r>
              <w:rPr>
                <w:rFonts w:ascii="Times New Roman" w:hAnsi="Times New Roman" w:eastAsia="宋体" w:cs="Times New Roman"/>
                <w:bCs/>
                <w:kern w:val="24"/>
                <w:szCs w:val="21"/>
              </w:rPr>
              <w:t>课外体育锻炼成绩纳入学期体育成绩总评，占总评分数的20%。主要包括晨跑、课外健身跑、健身辅导站、体育社团或单项协会健身活动和校级、院级、体育社团组织的体育竞赛活动等。</w:t>
            </w:r>
          </w:p>
        </w:tc>
        <w:tc>
          <w:tcPr>
            <w:tcW w:w="1349" w:type="dxa"/>
            <w:vAlign w:val="center"/>
          </w:tcPr>
          <w:p w14:paraId="390C8E71">
            <w:pPr>
              <w:jc w:val="center"/>
              <w:rPr>
                <w:rFonts w:ascii="Times New Roman" w:hAnsi="Times New Roman" w:eastAsia="宋体" w:cs="Times New Roman"/>
              </w:rPr>
            </w:pPr>
            <w:r>
              <w:rPr>
                <w:rFonts w:hint="eastAsia" w:ascii="Times New Roman" w:hAnsi="Times New Roman" w:eastAsia="宋体" w:cs="Times New Roman"/>
              </w:rPr>
              <w:t>2、6</w:t>
            </w:r>
          </w:p>
        </w:tc>
      </w:tr>
      <w:tr w14:paraId="0411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40" w:type="dxa"/>
            <w:vMerge w:val="continue"/>
            <w:tcMar>
              <w:left w:w="57" w:type="dxa"/>
              <w:right w:w="57" w:type="dxa"/>
            </w:tcMar>
            <w:vAlign w:val="center"/>
          </w:tcPr>
          <w:p w14:paraId="635397A2">
            <w:pPr>
              <w:jc w:val="center"/>
              <w:rPr>
                <w:rFonts w:ascii="Times New Roman" w:hAnsi="Times New Roman" w:eastAsia="宋体" w:cs="Times New Roman"/>
                <w:szCs w:val="21"/>
              </w:rPr>
            </w:pPr>
          </w:p>
        </w:tc>
        <w:tc>
          <w:tcPr>
            <w:tcW w:w="1301" w:type="dxa"/>
            <w:vAlign w:val="center"/>
          </w:tcPr>
          <w:p w14:paraId="18ED20B5">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体育理论</w:t>
            </w:r>
          </w:p>
        </w:tc>
        <w:tc>
          <w:tcPr>
            <w:tcW w:w="741" w:type="dxa"/>
            <w:vAlign w:val="center"/>
          </w:tcPr>
          <w:p w14:paraId="5C0C8716">
            <w:pPr>
              <w:jc w:val="center"/>
              <w:rPr>
                <w:rFonts w:ascii="Times New Roman" w:hAnsi="Times New Roman" w:eastAsia="宋体" w:cs="Times New Roman"/>
                <w:szCs w:val="21"/>
              </w:rPr>
            </w:pPr>
            <w:r>
              <w:rPr>
                <w:rFonts w:ascii="Times New Roman" w:hAnsi="Times New Roman" w:eastAsia="宋体" w:cs="Times New Roman"/>
                <w:szCs w:val="21"/>
              </w:rPr>
              <w:t>20%</w:t>
            </w:r>
          </w:p>
        </w:tc>
        <w:tc>
          <w:tcPr>
            <w:tcW w:w="4047" w:type="dxa"/>
            <w:vAlign w:val="center"/>
          </w:tcPr>
          <w:p w14:paraId="67A72DD5">
            <w:pPr>
              <w:spacing w:line="440" w:lineRule="exact"/>
              <w:jc w:val="left"/>
              <w:rPr>
                <w:rFonts w:ascii="Times New Roman" w:hAnsi="Times New Roman" w:eastAsia="宋体" w:cs="Times New Roman"/>
                <w:sz w:val="24"/>
              </w:rPr>
            </w:pPr>
            <w:r>
              <w:rPr>
                <w:rFonts w:ascii="Times New Roman" w:hAnsi="Times New Roman" w:eastAsia="宋体" w:cs="Times New Roman"/>
                <w:bCs/>
                <w:kern w:val="24"/>
                <w:szCs w:val="21"/>
              </w:rPr>
              <w:t>课外网上测试，校毕博系统。</w:t>
            </w:r>
          </w:p>
        </w:tc>
        <w:tc>
          <w:tcPr>
            <w:tcW w:w="1349" w:type="dxa"/>
            <w:vAlign w:val="center"/>
          </w:tcPr>
          <w:p w14:paraId="1396323A">
            <w:pPr>
              <w:jc w:val="center"/>
              <w:rPr>
                <w:rFonts w:ascii="Times New Roman" w:hAnsi="Times New Roman" w:eastAsia="宋体" w:cs="Times New Roman"/>
              </w:rPr>
            </w:pPr>
            <w:r>
              <w:rPr>
                <w:rFonts w:hint="eastAsia" w:ascii="Times New Roman" w:hAnsi="Times New Roman" w:eastAsia="宋体" w:cs="Times New Roman"/>
              </w:rPr>
              <w:t>2、6</w:t>
            </w:r>
          </w:p>
        </w:tc>
      </w:tr>
      <w:tr w14:paraId="21E7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40" w:type="dxa"/>
            <w:tcMar>
              <w:left w:w="57" w:type="dxa"/>
              <w:right w:w="57" w:type="dxa"/>
            </w:tcMar>
            <w:vAlign w:val="center"/>
          </w:tcPr>
          <w:p w14:paraId="323A0FA7">
            <w:pPr>
              <w:jc w:val="center"/>
              <w:rPr>
                <w:rFonts w:ascii="Times New Roman" w:hAnsi="Times New Roman" w:eastAsia="宋体" w:cs="Times New Roman"/>
                <w:szCs w:val="21"/>
              </w:rPr>
            </w:pPr>
            <w:r>
              <w:rPr>
                <w:rFonts w:ascii="Times New Roman" w:hAnsi="Times New Roman" w:eastAsia="宋体" w:cs="Times New Roman"/>
                <w:szCs w:val="21"/>
              </w:rPr>
              <w:t>期末考试</w:t>
            </w:r>
          </w:p>
          <w:p w14:paraId="787738D4">
            <w:pPr>
              <w:jc w:val="center"/>
              <w:rPr>
                <w:rFonts w:ascii="Times New Roman" w:hAnsi="Times New Roman" w:eastAsia="宋体" w:cs="Times New Roman"/>
                <w:szCs w:val="21"/>
              </w:rPr>
            </w:pPr>
            <w:r>
              <w:rPr>
                <w:rFonts w:ascii="Times New Roman" w:hAnsi="Times New Roman" w:eastAsia="宋体" w:cs="Times New Roman"/>
                <w:szCs w:val="21"/>
              </w:rPr>
              <w:t>50%</w:t>
            </w:r>
          </w:p>
        </w:tc>
        <w:tc>
          <w:tcPr>
            <w:tcW w:w="1301" w:type="dxa"/>
            <w:vAlign w:val="center"/>
          </w:tcPr>
          <w:p w14:paraId="10CC21F1">
            <w:pPr>
              <w:jc w:val="center"/>
              <w:rPr>
                <w:rFonts w:ascii="Times New Roman" w:hAnsi="Times New Roman" w:eastAsia="宋体" w:cs="Times New Roman"/>
                <w:szCs w:val="21"/>
              </w:rPr>
            </w:pPr>
            <w:r>
              <w:rPr>
                <w:rFonts w:ascii="Times New Roman" w:hAnsi="Times New Roman" w:eastAsia="宋体" w:cs="Times New Roman"/>
                <w:szCs w:val="21"/>
              </w:rPr>
              <w:t>期末运动技能考试</w:t>
            </w:r>
          </w:p>
        </w:tc>
        <w:tc>
          <w:tcPr>
            <w:tcW w:w="741" w:type="dxa"/>
            <w:vAlign w:val="center"/>
          </w:tcPr>
          <w:p w14:paraId="023ED706">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047" w:type="dxa"/>
            <w:vAlign w:val="center"/>
          </w:tcPr>
          <w:p w14:paraId="3FCBA4B2">
            <w:pPr>
              <w:spacing w:line="440" w:lineRule="exact"/>
              <w:rPr>
                <w:rFonts w:ascii="Times New Roman" w:hAnsi="Times New Roman" w:eastAsia="宋体" w:cs="Times New Roman"/>
                <w:szCs w:val="21"/>
              </w:rPr>
            </w:pPr>
            <w:r>
              <w:rPr>
                <w:rFonts w:ascii="Times New Roman" w:hAnsi="Times New Roman" w:eastAsia="宋体" w:cs="Times New Roman"/>
                <w:szCs w:val="21"/>
              </w:rPr>
              <w:t>各专项技能</w:t>
            </w:r>
          </w:p>
        </w:tc>
        <w:tc>
          <w:tcPr>
            <w:tcW w:w="1349" w:type="dxa"/>
            <w:vAlign w:val="center"/>
          </w:tcPr>
          <w:p w14:paraId="027A1E42">
            <w:pPr>
              <w:jc w:val="center"/>
              <w:rPr>
                <w:rFonts w:ascii="Times New Roman" w:hAnsi="Times New Roman" w:eastAsia="宋体" w:cs="Times New Roman"/>
                <w:szCs w:val="21"/>
              </w:rPr>
            </w:pPr>
            <w:r>
              <w:rPr>
                <w:rFonts w:hint="eastAsia" w:ascii="Times New Roman" w:hAnsi="Times New Roman" w:eastAsia="宋体" w:cs="Times New Roman"/>
                <w:szCs w:val="21"/>
              </w:rPr>
              <w:t>2、6</w:t>
            </w:r>
          </w:p>
        </w:tc>
      </w:tr>
    </w:tbl>
    <w:p w14:paraId="45B6BFFE">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ascii="宋体" w:hAnsi="宋体" w:eastAsia="宋体" w:cs="宋体"/>
          <w:b/>
          <w:bCs/>
          <w:kern w:val="0"/>
          <w:sz w:val="24"/>
        </w:rPr>
        <w:t>六、有关说明</w:t>
      </w:r>
    </w:p>
    <w:p w14:paraId="0EF045B3">
      <w:pPr>
        <w:spacing w:line="360" w:lineRule="auto"/>
        <w:ind w:firstLine="422" w:firstLineChars="200"/>
        <w:rPr>
          <w:rFonts w:ascii="Times New Roman" w:hAnsi="Times New Roman" w:eastAsia="宋体" w:cs="Times New Roman"/>
          <w:b/>
          <w:szCs w:val="21"/>
        </w:rPr>
      </w:pPr>
      <w:r>
        <w:rPr>
          <w:rFonts w:ascii="Times New Roman" w:hAnsi="Times New Roman" w:eastAsia="宋体" w:cs="Times New Roman"/>
          <w:b/>
          <w:szCs w:val="21"/>
        </w:rPr>
        <w:t>（一）持续改进</w:t>
      </w:r>
    </w:p>
    <w:p w14:paraId="32AE9003">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本课程根据学生课外体育锻炼、课堂表现、体质测试、平时考核情况，以及学生、教学督导等反馈，及时对教学中不足之处进行改进，并在下一轮课程教学中整改完善，确保相应毕业要求指标点达成。</w:t>
      </w:r>
    </w:p>
    <w:p w14:paraId="6DD78E77">
      <w:pPr>
        <w:spacing w:line="360" w:lineRule="auto"/>
        <w:ind w:firstLine="422" w:firstLineChars="200"/>
        <w:jc w:val="left"/>
        <w:rPr>
          <w:rFonts w:ascii="Times New Roman" w:hAnsi="Times New Roman" w:eastAsia="宋体" w:cs="Times New Roman"/>
          <w:szCs w:val="21"/>
        </w:rPr>
      </w:pPr>
      <w:r>
        <w:rPr>
          <w:rFonts w:ascii="Times New Roman" w:hAnsi="Times New Roman" w:eastAsia="宋体" w:cs="Times New Roman"/>
          <w:b/>
          <w:szCs w:val="21"/>
        </w:rPr>
        <w:t>（二）教学参考书</w:t>
      </w:r>
    </w:p>
    <w:p w14:paraId="01816119">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1.毛振明.大学体育文化与实技教程[M].沈阳：东北大学出版社，2013.</w:t>
      </w:r>
    </w:p>
    <w:p w14:paraId="5B76A4EB">
      <w:pPr>
        <w:wordWrap w:val="0"/>
        <w:spacing w:line="360" w:lineRule="exact"/>
        <w:jc w:val="right"/>
        <w:rPr>
          <w:rFonts w:ascii="Times New Roman" w:hAnsi="Times New Roman" w:eastAsia="宋体" w:cs="Times New Roman"/>
          <w:sz w:val="24"/>
        </w:rPr>
      </w:pPr>
    </w:p>
    <w:p w14:paraId="71A1A4FC">
      <w:pPr>
        <w:spacing w:line="360" w:lineRule="exact"/>
        <w:jc w:val="right"/>
        <w:rPr>
          <w:rFonts w:ascii="Times New Roman" w:hAnsi="Times New Roman" w:eastAsia="宋体" w:cs="Times New Roman"/>
          <w:szCs w:val="21"/>
        </w:rPr>
      </w:pPr>
      <w:r>
        <w:rPr>
          <w:rFonts w:ascii="Times New Roman" w:hAnsi="Times New Roman" w:eastAsia="宋体" w:cs="Times New Roman"/>
          <w:szCs w:val="21"/>
        </w:rPr>
        <w:t>执笔人：顾  宏</w:t>
      </w:r>
    </w:p>
    <w:p w14:paraId="61434624">
      <w:pPr>
        <w:spacing w:line="360" w:lineRule="exact"/>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审定人：方曙光</w:t>
      </w:r>
    </w:p>
    <w:p w14:paraId="6CE6B0D0">
      <w:pPr>
        <w:autoSpaceDE w:val="0"/>
        <w:autoSpaceDN w:val="0"/>
        <w:adjustRightInd w:val="0"/>
        <w:spacing w:line="360" w:lineRule="auto"/>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批准人：王红福</w:t>
      </w:r>
    </w:p>
    <w:p w14:paraId="6919FE51">
      <w:pPr>
        <w:autoSpaceDE w:val="0"/>
        <w:autoSpaceDN w:val="0"/>
        <w:adjustRightInd w:val="0"/>
        <w:spacing w:line="360" w:lineRule="auto"/>
        <w:ind w:firstLine="420" w:firstLineChars="200"/>
        <w:jc w:val="righ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253E52DA">
      <w:pPr>
        <w:autoSpaceDE w:val="0"/>
        <w:autoSpaceDN w:val="0"/>
        <w:adjustRightInd w:val="0"/>
        <w:spacing w:line="360" w:lineRule="auto"/>
        <w:ind w:firstLine="420" w:firstLineChars="200"/>
        <w:rPr>
          <w:rFonts w:ascii="Times New Roman" w:hAnsi="Times New Roman" w:eastAsia="宋体" w:cs="Times New Roman"/>
          <w:szCs w:val="21"/>
        </w:rPr>
      </w:pPr>
    </w:p>
    <w:p w14:paraId="62FD3E79">
      <w:pPr>
        <w:rPr>
          <w:rFonts w:hint="eastAsia" w:ascii="宋体" w:hAnsi="宋体" w:eastAsia="宋体" w:cs="宋体"/>
          <w:sz w:val="24"/>
          <w:szCs w:val="22"/>
        </w:rPr>
      </w:pPr>
    </w:p>
    <w:p w14:paraId="28529A86">
      <w:pPr>
        <w:rPr>
          <w:rFonts w:hint="eastAsia" w:ascii="宋体" w:hAnsi="宋体" w:eastAsia="宋体" w:cs="宋体"/>
          <w:sz w:val="24"/>
          <w:szCs w:val="22"/>
        </w:rPr>
      </w:pPr>
      <w:r>
        <w:rPr>
          <w:rFonts w:hint="eastAsia" w:ascii="宋体" w:hAnsi="宋体" w:eastAsia="宋体" w:cs="宋体"/>
          <w:sz w:val="24"/>
          <w:szCs w:val="22"/>
        </w:rPr>
        <w:br w:type="page"/>
      </w:r>
    </w:p>
    <w:p w14:paraId="03FED61C">
      <w:pPr>
        <w:spacing w:line="360" w:lineRule="auto"/>
        <w:jc w:val="center"/>
        <w:outlineLvl w:val="0"/>
        <w:rPr>
          <w:rFonts w:ascii="Times New Roman" w:hAnsi="Times New Roman" w:eastAsia="宋体" w:cs="Times New Roman"/>
          <w:b/>
          <w:sz w:val="44"/>
          <w:szCs w:val="44"/>
        </w:rPr>
      </w:pPr>
      <w:bookmarkStart w:id="129" w:name="_Toc8463"/>
      <w:bookmarkStart w:id="130" w:name="_Toc24865"/>
      <w:bookmarkStart w:id="131" w:name="_Toc27061"/>
      <w:bookmarkStart w:id="132" w:name="_Toc7164"/>
      <w:r>
        <w:rPr>
          <w:rFonts w:hint="eastAsia" w:ascii="Times New Roman" w:hAnsi="Times New Roman" w:eastAsia="宋体" w:cs="Times New Roman"/>
          <w:b/>
          <w:sz w:val="44"/>
          <w:szCs w:val="44"/>
        </w:rPr>
        <w:t>《体育Ⅴ》课程教学大纲</w:t>
      </w:r>
      <w:bookmarkEnd w:id="129"/>
      <w:bookmarkEnd w:id="130"/>
      <w:bookmarkEnd w:id="131"/>
      <w:bookmarkEnd w:id="132"/>
    </w:p>
    <w:p w14:paraId="626891F6">
      <w:pPr>
        <w:spacing w:line="360" w:lineRule="auto"/>
        <w:jc w:val="center"/>
        <w:rPr>
          <w:rFonts w:ascii="Times New Roman" w:hAnsi="Times New Roman" w:eastAsia="宋体" w:cs="Times New Roman"/>
          <w:b/>
          <w:bCs/>
          <w:sz w:val="28"/>
          <w:szCs w:val="28"/>
        </w:rPr>
      </w:pPr>
      <w:bookmarkStart w:id="133" w:name="_Toc27088"/>
      <w:bookmarkStart w:id="134" w:name="_Toc18064"/>
      <w:bookmarkStart w:id="135" w:name="_Toc26151"/>
      <w:bookmarkStart w:id="136" w:name="_Toc16404"/>
      <w:bookmarkStart w:id="137" w:name="_Toc27048"/>
      <w:bookmarkStart w:id="138" w:name="_Toc10262"/>
      <w:bookmarkStart w:id="139" w:name="_Toc16774"/>
      <w:r>
        <w:rPr>
          <w:rFonts w:hint="eastAsia" w:ascii="Times New Roman" w:hAnsi="Times New Roman" w:eastAsia="宋体" w:cs="Times New Roman"/>
          <w:b/>
          <w:bCs/>
          <w:sz w:val="28"/>
          <w:szCs w:val="28"/>
        </w:rPr>
        <w:t>（Physical  Education</w:t>
      </w:r>
      <w:r>
        <w:rPr>
          <w:rFonts w:hint="eastAsia" w:ascii="Times New Roman" w:hAnsi="Times New Roman" w:eastAsia="宋体" w:cs="Times New Roman"/>
          <w:b/>
          <w:bCs/>
          <w:sz w:val="28"/>
          <w:szCs w:val="28"/>
          <w:lang w:eastAsia="ja-JP"/>
        </w:rPr>
        <w:t>Ⅴ</w:t>
      </w:r>
      <w:r>
        <w:rPr>
          <w:rFonts w:hint="eastAsia" w:ascii="Times New Roman" w:hAnsi="Times New Roman" w:eastAsia="宋体" w:cs="Times New Roman"/>
          <w:b/>
          <w:bCs/>
          <w:sz w:val="28"/>
          <w:szCs w:val="28"/>
        </w:rPr>
        <w:t>）</w:t>
      </w:r>
      <w:bookmarkEnd w:id="133"/>
      <w:bookmarkEnd w:id="134"/>
      <w:bookmarkEnd w:id="135"/>
      <w:bookmarkEnd w:id="136"/>
      <w:bookmarkEnd w:id="137"/>
      <w:bookmarkEnd w:id="138"/>
      <w:bookmarkEnd w:id="139"/>
    </w:p>
    <w:p w14:paraId="60B4877F">
      <w:pPr>
        <w:spacing w:line="360" w:lineRule="auto"/>
        <w:ind w:firstLine="562" w:firstLineChars="200"/>
        <w:rPr>
          <w:rFonts w:hint="eastAsia" w:ascii="宋体" w:hAnsi="宋体" w:eastAsia="宋体" w:cs="宋体"/>
          <w:b/>
          <w:sz w:val="28"/>
          <w:szCs w:val="28"/>
        </w:rPr>
      </w:pPr>
    </w:p>
    <w:p w14:paraId="08BEFA04">
      <w:pPr>
        <w:spacing w:line="360" w:lineRule="auto"/>
        <w:ind w:firstLine="482" w:firstLineChars="200"/>
        <w:rPr>
          <w:rFonts w:hint="eastAsia" w:ascii="宋体" w:hAnsi="宋体" w:eastAsia="宋体" w:cs="宋体"/>
          <w:b/>
          <w:bCs/>
          <w:kern w:val="0"/>
          <w:sz w:val="24"/>
        </w:rPr>
      </w:pPr>
      <w:r>
        <w:rPr>
          <w:rFonts w:hint="eastAsia" w:ascii="宋体" w:hAnsi="宋体" w:eastAsia="宋体" w:cs="宋体"/>
          <w:b/>
          <w:bCs/>
          <w:kern w:val="0"/>
          <w:sz w:val="24"/>
        </w:rPr>
        <w:t>课程名称：体育V</w:t>
      </w:r>
    </w:p>
    <w:p w14:paraId="218A2DFE">
      <w:pPr>
        <w:spacing w:line="360" w:lineRule="auto"/>
        <w:ind w:firstLine="482" w:firstLineChars="200"/>
        <w:rPr>
          <w:rFonts w:hint="eastAsia" w:ascii="宋体" w:hAnsi="宋体" w:eastAsia="宋体" w:cs="宋体"/>
          <w:b/>
          <w:bCs/>
          <w:sz w:val="24"/>
        </w:rPr>
      </w:pPr>
      <w:r>
        <w:rPr>
          <w:rFonts w:hint="eastAsia" w:ascii="宋体" w:hAnsi="宋体" w:eastAsia="宋体" w:cs="宋体"/>
          <w:b/>
          <w:bCs/>
          <w:kern w:val="0"/>
          <w:sz w:val="24"/>
        </w:rPr>
        <w:t>课程代码：1103010</w:t>
      </w:r>
    </w:p>
    <w:p w14:paraId="4D132823">
      <w:pPr>
        <w:spacing w:line="360" w:lineRule="auto"/>
        <w:ind w:firstLine="482" w:firstLineChars="200"/>
        <w:rPr>
          <w:rFonts w:hint="eastAsia" w:ascii="宋体" w:hAnsi="宋体" w:eastAsia="宋体" w:cs="宋体"/>
          <w:b/>
          <w:bCs/>
          <w:kern w:val="0"/>
          <w:sz w:val="24"/>
        </w:rPr>
      </w:pPr>
      <w:r>
        <w:rPr>
          <w:rFonts w:hint="eastAsia" w:ascii="宋体" w:hAnsi="宋体" w:eastAsia="宋体" w:cs="宋体"/>
          <w:b/>
          <w:bCs/>
          <w:kern w:val="0"/>
          <w:sz w:val="24"/>
        </w:rPr>
        <w:t>学    分：0.5</w:t>
      </w:r>
    </w:p>
    <w:p w14:paraId="72F7AFC3">
      <w:pPr>
        <w:spacing w:line="360" w:lineRule="auto"/>
        <w:ind w:firstLine="482" w:firstLineChars="200"/>
        <w:rPr>
          <w:rFonts w:hint="eastAsia" w:ascii="宋体" w:hAnsi="宋体" w:eastAsia="宋体" w:cs="宋体"/>
          <w:b/>
          <w:bCs/>
          <w:kern w:val="0"/>
          <w:sz w:val="24"/>
        </w:rPr>
      </w:pPr>
      <w:r>
        <w:rPr>
          <w:rFonts w:hint="eastAsia" w:ascii="宋体" w:hAnsi="宋体" w:eastAsia="宋体" w:cs="宋体"/>
          <w:b/>
          <w:bCs/>
          <w:kern w:val="0"/>
          <w:sz w:val="24"/>
        </w:rPr>
        <w:t>学    时：18</w:t>
      </w:r>
    </w:p>
    <w:p w14:paraId="231EBF02">
      <w:pPr>
        <w:spacing w:line="360" w:lineRule="auto"/>
        <w:ind w:firstLine="482" w:firstLineChars="200"/>
        <w:rPr>
          <w:rFonts w:hint="eastAsia" w:ascii="宋体" w:hAnsi="宋体" w:eastAsia="宋体" w:cs="宋体"/>
          <w:b/>
          <w:bCs/>
          <w:kern w:val="0"/>
          <w:sz w:val="24"/>
        </w:rPr>
      </w:pPr>
      <w:r>
        <w:rPr>
          <w:rFonts w:hint="eastAsia" w:ascii="宋体" w:hAnsi="宋体" w:eastAsia="宋体" w:cs="宋体"/>
          <w:b/>
          <w:bCs/>
          <w:kern w:val="0"/>
          <w:sz w:val="24"/>
        </w:rPr>
        <w:t xml:space="preserve">适用专业：全校各专业                        </w:t>
      </w:r>
    </w:p>
    <w:p w14:paraId="6D926A3E">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一、课程简介</w:t>
      </w:r>
    </w:p>
    <w:p w14:paraId="2502C768">
      <w:pPr>
        <w:autoSpaceDE w:val="0"/>
        <w:autoSpaceDN w:val="0"/>
        <w:adjustRightInd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体质测试和课外体育俱乐部等组织形式作为本课程重要组成部分，从而巩固课内学习效果，培养学生自我锻炼意识和习惯。</w:t>
      </w:r>
    </w:p>
    <w:p w14:paraId="76A8B66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416B3EAD">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二、课程目标</w:t>
      </w:r>
    </w:p>
    <w:p w14:paraId="4A504CF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1：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05A64D1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本课程支撑专业培养方案中毕业要求2、6(不同专业会略有区别，具体见培养方案中的毕业要求实现矩阵)，对应关系如下表所示。</w:t>
      </w:r>
    </w:p>
    <w:tbl>
      <w:tblPr>
        <w:tblStyle w:val="12"/>
        <w:tblW w:w="52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6313"/>
        <w:gridCol w:w="1189"/>
      </w:tblGrid>
      <w:tr w14:paraId="2FBC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820" w:type="pct"/>
            <w:vAlign w:val="center"/>
          </w:tcPr>
          <w:p w14:paraId="57E85A9F">
            <w:pPr>
              <w:jc w:val="center"/>
              <w:rPr>
                <w:rFonts w:hint="eastAsia" w:ascii="宋体" w:hAnsi="宋体" w:eastAsia="宋体" w:cs="宋体"/>
                <w:b/>
                <w:bCs/>
                <w:szCs w:val="21"/>
              </w:rPr>
            </w:pPr>
            <w:r>
              <w:rPr>
                <w:rFonts w:hint="eastAsia" w:ascii="宋体" w:hAnsi="宋体" w:eastAsia="宋体" w:cs="宋体"/>
                <w:b/>
                <w:bCs/>
                <w:szCs w:val="21"/>
              </w:rPr>
              <w:t>毕业要求2</w:t>
            </w:r>
          </w:p>
          <w:p w14:paraId="07E97BDA">
            <w:pPr>
              <w:jc w:val="center"/>
              <w:rPr>
                <w:rFonts w:hint="eastAsia" w:ascii="宋体" w:hAnsi="宋体" w:eastAsia="宋体" w:cs="宋体"/>
                <w:b/>
                <w:bCs/>
                <w:szCs w:val="21"/>
              </w:rPr>
            </w:pPr>
            <w:r>
              <w:rPr>
                <w:rFonts w:hint="eastAsia" w:ascii="宋体" w:hAnsi="宋体" w:eastAsia="宋体" w:cs="宋体"/>
                <w:b/>
                <w:bCs/>
                <w:szCs w:val="21"/>
              </w:rPr>
              <w:t>教育情怀</w:t>
            </w:r>
          </w:p>
        </w:tc>
        <w:tc>
          <w:tcPr>
            <w:tcW w:w="3516" w:type="pct"/>
            <w:vAlign w:val="center"/>
          </w:tcPr>
          <w:p w14:paraId="234117DD">
            <w:pPr>
              <w:rPr>
                <w:rFonts w:hint="eastAsia" w:ascii="宋体" w:hAnsi="宋体" w:eastAsia="宋体" w:cs="宋体"/>
                <w:szCs w:val="21"/>
              </w:rPr>
            </w:pPr>
            <w:r>
              <w:rPr>
                <w:rFonts w:hint="eastAsia" w:ascii="宋体" w:hAnsi="宋体" w:eastAsia="宋体" w:cs="宋体"/>
                <w:b/>
                <w:szCs w:val="21"/>
              </w:rPr>
              <w:t>指标点2-3</w:t>
            </w:r>
            <w:r>
              <w:rPr>
                <w:rFonts w:hint="eastAsia" w:ascii="宋体" w:hAnsi="宋体" w:eastAsia="宋体" w:cs="宋体"/>
                <w:szCs w:val="21"/>
              </w:rPr>
              <w:t>：【自身修养良好】具有较好的人文艺术底蕴与科学精神，言行举止符合教师职业标准，情感积极，人格健全，身心健康。</w:t>
            </w:r>
          </w:p>
        </w:tc>
        <w:tc>
          <w:tcPr>
            <w:tcW w:w="662" w:type="pct"/>
            <w:vAlign w:val="center"/>
          </w:tcPr>
          <w:p w14:paraId="133D3F92">
            <w:pPr>
              <w:rPr>
                <w:rFonts w:hint="eastAsia" w:ascii="宋体" w:hAnsi="宋体" w:eastAsia="宋体" w:cs="宋体"/>
                <w:szCs w:val="21"/>
                <w:lang w:eastAsia="zh"/>
              </w:rPr>
            </w:pPr>
            <w:r>
              <w:rPr>
                <w:rFonts w:hint="eastAsia" w:ascii="宋体" w:hAnsi="宋体" w:eastAsia="宋体" w:cs="宋体"/>
                <w:szCs w:val="21"/>
              </w:rPr>
              <w:t>课程目标</w:t>
            </w:r>
            <w:r>
              <w:rPr>
                <w:rFonts w:hint="eastAsia" w:ascii="宋体" w:hAnsi="宋体" w:eastAsia="宋体" w:cs="宋体"/>
                <w:szCs w:val="21"/>
                <w:lang w:eastAsia="zh"/>
              </w:rPr>
              <w:t>1</w:t>
            </w:r>
          </w:p>
        </w:tc>
      </w:tr>
      <w:tr w14:paraId="06EF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820" w:type="pct"/>
            <w:vAlign w:val="center"/>
          </w:tcPr>
          <w:p w14:paraId="6E6F7B89">
            <w:pPr>
              <w:jc w:val="center"/>
              <w:rPr>
                <w:rFonts w:hint="eastAsia" w:ascii="宋体" w:hAnsi="宋体" w:eastAsia="宋体" w:cs="宋体"/>
                <w:b/>
                <w:bCs/>
                <w:szCs w:val="21"/>
              </w:rPr>
            </w:pPr>
            <w:r>
              <w:rPr>
                <w:rFonts w:hint="eastAsia" w:ascii="宋体" w:hAnsi="宋体" w:eastAsia="宋体" w:cs="宋体"/>
                <w:b/>
                <w:bCs/>
                <w:szCs w:val="21"/>
              </w:rPr>
              <w:t>毕业要求6</w:t>
            </w:r>
          </w:p>
          <w:p w14:paraId="45E3164E">
            <w:pPr>
              <w:jc w:val="center"/>
              <w:rPr>
                <w:rFonts w:hint="eastAsia" w:ascii="宋体" w:hAnsi="宋体" w:eastAsia="宋体" w:cs="宋体"/>
                <w:b/>
                <w:bCs/>
                <w:szCs w:val="21"/>
              </w:rPr>
            </w:pPr>
            <w:r>
              <w:rPr>
                <w:rFonts w:hint="eastAsia" w:ascii="宋体" w:hAnsi="宋体" w:eastAsia="宋体" w:cs="宋体"/>
                <w:b/>
                <w:bCs/>
                <w:szCs w:val="21"/>
              </w:rPr>
              <w:t>综合育人</w:t>
            </w:r>
          </w:p>
        </w:tc>
        <w:tc>
          <w:tcPr>
            <w:tcW w:w="3516" w:type="pct"/>
            <w:vAlign w:val="center"/>
          </w:tcPr>
          <w:p w14:paraId="33DB7897">
            <w:pPr>
              <w:rPr>
                <w:rFonts w:hint="eastAsia" w:ascii="宋体" w:hAnsi="宋体" w:eastAsia="宋体" w:cs="宋体"/>
                <w:szCs w:val="21"/>
              </w:rPr>
            </w:pPr>
            <w:r>
              <w:rPr>
                <w:rFonts w:hint="eastAsia" w:ascii="宋体" w:hAnsi="宋体" w:eastAsia="宋体" w:cs="宋体"/>
                <w:b/>
                <w:szCs w:val="21"/>
              </w:rPr>
              <w:t>指标点6-3</w:t>
            </w:r>
            <w:r>
              <w:rPr>
                <w:rFonts w:hint="eastAsia" w:ascii="宋体" w:hAnsi="宋体" w:eastAsia="宋体" w:cs="宋体"/>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662" w:type="pct"/>
            <w:vAlign w:val="center"/>
          </w:tcPr>
          <w:p w14:paraId="05AE12EC">
            <w:pPr>
              <w:rPr>
                <w:rFonts w:hint="eastAsia" w:ascii="宋体" w:hAnsi="宋体" w:eastAsia="宋体" w:cs="宋体"/>
                <w:szCs w:val="21"/>
              </w:rPr>
            </w:pPr>
            <w:r>
              <w:rPr>
                <w:rFonts w:hint="eastAsia" w:ascii="宋体" w:hAnsi="宋体" w:eastAsia="宋体" w:cs="宋体"/>
                <w:szCs w:val="21"/>
              </w:rPr>
              <w:t>课程目标1</w:t>
            </w:r>
          </w:p>
          <w:p w14:paraId="0218A7F4">
            <w:pPr>
              <w:rPr>
                <w:rFonts w:hint="eastAsia" w:ascii="宋体" w:hAnsi="宋体" w:eastAsia="宋体" w:cs="宋体"/>
                <w:szCs w:val="21"/>
              </w:rPr>
            </w:pPr>
            <w:r>
              <w:rPr>
                <w:rFonts w:hint="eastAsia" w:ascii="宋体" w:hAnsi="宋体" w:eastAsia="宋体" w:cs="宋体"/>
                <w:szCs w:val="21"/>
              </w:rPr>
              <w:t>课程目标2</w:t>
            </w:r>
          </w:p>
        </w:tc>
      </w:tr>
    </w:tbl>
    <w:p w14:paraId="3BC999B0">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三、教学内容与预期学习成效</w:t>
      </w:r>
    </w:p>
    <w:tbl>
      <w:tblPr>
        <w:tblStyle w:val="1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027"/>
        <w:gridCol w:w="2706"/>
        <w:gridCol w:w="780"/>
        <w:gridCol w:w="951"/>
      </w:tblGrid>
      <w:tr w14:paraId="096B7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4019CD1E">
            <w:pPr>
              <w:jc w:val="center"/>
              <w:rPr>
                <w:rFonts w:hint="eastAsia" w:ascii="宋体" w:hAnsi="宋体" w:eastAsia="宋体" w:cs="宋体"/>
                <w:b/>
                <w:bCs/>
                <w:szCs w:val="21"/>
              </w:rPr>
            </w:pPr>
            <w:r>
              <w:rPr>
                <w:rFonts w:hint="eastAsia" w:ascii="宋体" w:hAnsi="宋体" w:eastAsia="宋体" w:cs="宋体"/>
                <w:b/>
                <w:bCs/>
                <w:szCs w:val="21"/>
              </w:rPr>
              <w:t>序号</w:t>
            </w:r>
          </w:p>
        </w:tc>
        <w:tc>
          <w:tcPr>
            <w:tcW w:w="2219" w:type="pct"/>
            <w:vAlign w:val="center"/>
          </w:tcPr>
          <w:p w14:paraId="38DEE0CC">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1491" w:type="pct"/>
            <w:vAlign w:val="center"/>
          </w:tcPr>
          <w:p w14:paraId="5962D756">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430" w:type="pct"/>
            <w:vAlign w:val="center"/>
          </w:tcPr>
          <w:p w14:paraId="3FEBE74B">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523" w:type="pct"/>
            <w:vAlign w:val="center"/>
          </w:tcPr>
          <w:p w14:paraId="5814F50C">
            <w:pPr>
              <w:jc w:val="center"/>
              <w:rPr>
                <w:rFonts w:hint="eastAsia" w:ascii="宋体" w:hAnsi="宋体" w:eastAsia="宋体" w:cs="宋体"/>
                <w:b/>
                <w:bCs/>
                <w:szCs w:val="21"/>
              </w:rPr>
            </w:pPr>
            <w:r>
              <w:rPr>
                <w:rFonts w:hint="eastAsia" w:ascii="宋体" w:hAnsi="宋体" w:eastAsia="宋体" w:cs="宋体"/>
                <w:b/>
                <w:bCs/>
                <w:szCs w:val="21"/>
              </w:rPr>
              <w:t>教学</w:t>
            </w:r>
          </w:p>
          <w:p w14:paraId="3709AE2B">
            <w:pPr>
              <w:jc w:val="center"/>
              <w:rPr>
                <w:rFonts w:hint="eastAsia" w:ascii="宋体" w:hAnsi="宋体" w:eastAsia="宋体" w:cs="宋体"/>
                <w:b/>
                <w:bCs/>
                <w:szCs w:val="21"/>
              </w:rPr>
            </w:pPr>
            <w:r>
              <w:rPr>
                <w:rFonts w:hint="eastAsia" w:ascii="宋体" w:hAnsi="宋体" w:eastAsia="宋体" w:cs="宋体"/>
                <w:b/>
                <w:bCs/>
                <w:szCs w:val="21"/>
              </w:rPr>
              <w:t>方式</w:t>
            </w:r>
          </w:p>
        </w:tc>
      </w:tr>
      <w:tr w14:paraId="0D52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7A7AF2BF">
            <w:pPr>
              <w:jc w:val="center"/>
              <w:rPr>
                <w:rFonts w:hint="eastAsia" w:ascii="宋体" w:hAnsi="宋体" w:eastAsia="宋体" w:cs="宋体"/>
                <w:szCs w:val="21"/>
              </w:rPr>
            </w:pPr>
            <w:r>
              <w:rPr>
                <w:rFonts w:hint="eastAsia" w:ascii="宋体" w:hAnsi="宋体" w:eastAsia="宋体" w:cs="宋体"/>
                <w:szCs w:val="21"/>
              </w:rPr>
              <w:t>1</w:t>
            </w:r>
          </w:p>
        </w:tc>
        <w:tc>
          <w:tcPr>
            <w:tcW w:w="2219" w:type="pct"/>
            <w:vAlign w:val="center"/>
          </w:tcPr>
          <w:p w14:paraId="59BF7A74">
            <w:pPr>
              <w:rPr>
                <w:rFonts w:ascii="Times New Roman" w:hAnsi="Times New Roman" w:eastAsia="宋体" w:cs="Times New Roman"/>
                <w:b/>
                <w:szCs w:val="21"/>
              </w:rPr>
            </w:pPr>
            <w:r>
              <w:rPr>
                <w:rFonts w:ascii="Times New Roman" w:hAnsi="Times New Roman" w:eastAsia="宋体" w:cs="Times New Roman"/>
                <w:b/>
                <w:szCs w:val="21"/>
              </w:rPr>
              <w:t>㈠体育理论部分:</w:t>
            </w:r>
          </w:p>
          <w:p w14:paraId="21C991BA">
            <w:pPr>
              <w:rPr>
                <w:rFonts w:ascii="Times New Roman" w:hAnsi="Times New Roman" w:eastAsia="宋体" w:cs="Times New Roman"/>
                <w:bCs/>
                <w:szCs w:val="21"/>
              </w:rPr>
            </w:pPr>
            <w:r>
              <w:rPr>
                <w:rFonts w:ascii="Times New Roman" w:hAnsi="Times New Roman" w:eastAsia="宋体" w:cs="Times New Roman"/>
                <w:bCs/>
                <w:szCs w:val="21"/>
              </w:rPr>
              <w:t>1.学生思想政治教育：我校体育运动发展概况、国家领导人与体育、奥运明星的励志故事、社会主义核心价值观与体育等；</w:t>
            </w:r>
          </w:p>
          <w:p w14:paraId="4CE86164">
            <w:pPr>
              <w:rPr>
                <w:rFonts w:ascii="Times New Roman" w:hAnsi="Times New Roman" w:eastAsia="宋体" w:cs="Times New Roman"/>
                <w:szCs w:val="21"/>
              </w:rPr>
            </w:pPr>
            <w:r>
              <w:rPr>
                <w:rFonts w:ascii="Times New Roman" w:hAnsi="Times New Roman" w:eastAsia="宋体" w:cs="Times New Roman"/>
                <w:bCs/>
                <w:szCs w:val="21"/>
              </w:rPr>
              <w:t>2.</w:t>
            </w:r>
            <w:r>
              <w:rPr>
                <w:rFonts w:ascii="Times New Roman" w:hAnsi="Times New Roman" w:eastAsia="宋体" w:cs="Times New Roman"/>
                <w:szCs w:val="21"/>
              </w:rPr>
              <w:t>体育安全教育：体育运动伤害事故的安全教育及预防与处理措施、常见运动损伤的预防与处理等；</w:t>
            </w:r>
          </w:p>
          <w:p w14:paraId="09ED047C">
            <w:pPr>
              <w:rPr>
                <w:rFonts w:hint="eastAsia" w:ascii="宋体" w:hAnsi="宋体" w:eastAsia="宋体" w:cs="宋体"/>
                <w:kern w:val="0"/>
                <w:szCs w:val="21"/>
              </w:rPr>
            </w:pPr>
            <w:r>
              <w:rPr>
                <w:rFonts w:ascii="Times New Roman" w:hAnsi="Times New Roman" w:eastAsia="宋体" w:cs="Times New Roman"/>
                <w:szCs w:val="21"/>
              </w:rPr>
              <w:t>3.体育基本理论：各运动项目的基本技战术知识、组织与竞赛、基本规则和裁判法，运动健身的基本原理与锻炼方法，体育锻炼的自我监督与评价，体育养生与保健知识等</w:t>
            </w:r>
            <w:r>
              <w:rPr>
                <w:rFonts w:hint="eastAsia" w:ascii="Times New Roman" w:hAnsi="Times New Roman" w:eastAsia="宋体" w:cs="Times New Roman"/>
                <w:szCs w:val="21"/>
              </w:rPr>
              <w:t>。</w:t>
            </w:r>
          </w:p>
        </w:tc>
        <w:tc>
          <w:tcPr>
            <w:tcW w:w="1491" w:type="pct"/>
            <w:vAlign w:val="center"/>
          </w:tcPr>
          <w:p w14:paraId="64D1C3A4">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通过学习，进一步巩固和提高学生对体育的正确认识，形成正确积极的体育态度，学会运用科学理论指导健身锻炼实际，从而自觉遵循体育运动的规律，实现体育锻炼的目的。</w:t>
            </w:r>
          </w:p>
        </w:tc>
        <w:tc>
          <w:tcPr>
            <w:tcW w:w="430" w:type="pct"/>
            <w:vAlign w:val="center"/>
          </w:tcPr>
          <w:p w14:paraId="5E4B4610">
            <w:pPr>
              <w:jc w:val="center"/>
              <w:rPr>
                <w:rFonts w:hint="eastAsia" w:ascii="宋体" w:hAnsi="宋体" w:eastAsia="宋体" w:cs="宋体"/>
                <w:szCs w:val="21"/>
              </w:rPr>
            </w:pPr>
            <w:r>
              <w:rPr>
                <w:rFonts w:hint="eastAsia" w:ascii="宋体" w:hAnsi="宋体" w:eastAsia="宋体" w:cs="宋体"/>
                <w:szCs w:val="21"/>
              </w:rPr>
              <w:t>2</w:t>
            </w:r>
          </w:p>
        </w:tc>
        <w:tc>
          <w:tcPr>
            <w:tcW w:w="523" w:type="pct"/>
            <w:vAlign w:val="center"/>
          </w:tcPr>
          <w:p w14:paraId="08CBCBB4">
            <w:pPr>
              <w:jc w:val="left"/>
              <w:rPr>
                <w:rFonts w:hint="eastAsia" w:ascii="宋体" w:hAnsi="宋体" w:eastAsia="宋体" w:cs="宋体"/>
                <w:szCs w:val="21"/>
              </w:rPr>
            </w:pPr>
            <w:r>
              <w:rPr>
                <w:rFonts w:hint="eastAsia" w:ascii="宋体" w:hAnsi="宋体" w:eastAsia="宋体" w:cs="宋体"/>
                <w:szCs w:val="21"/>
              </w:rPr>
              <w:t>讲授法</w:t>
            </w:r>
          </w:p>
        </w:tc>
      </w:tr>
      <w:tr w14:paraId="53CC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2BD90E27">
            <w:pPr>
              <w:jc w:val="center"/>
              <w:rPr>
                <w:rFonts w:hint="eastAsia" w:ascii="宋体" w:hAnsi="宋体" w:eastAsia="宋体" w:cs="宋体"/>
                <w:szCs w:val="21"/>
              </w:rPr>
            </w:pPr>
          </w:p>
        </w:tc>
        <w:tc>
          <w:tcPr>
            <w:tcW w:w="4664" w:type="pct"/>
            <w:gridSpan w:val="4"/>
            <w:vAlign w:val="center"/>
          </w:tcPr>
          <w:p w14:paraId="4100B92C">
            <w:pPr>
              <w:rPr>
                <w:rFonts w:hint="eastAsia" w:ascii="宋体" w:hAnsi="宋体" w:eastAsia="宋体" w:cs="宋体"/>
                <w:szCs w:val="21"/>
              </w:rPr>
            </w:pPr>
            <w:r>
              <w:rPr>
                <w:rFonts w:hint="eastAsia" w:ascii="宋体" w:hAnsi="宋体" w:eastAsia="宋体" w:cs="宋体"/>
                <w:b/>
                <w:bCs/>
                <w:szCs w:val="21"/>
              </w:rPr>
              <w:t>思政元素：</w:t>
            </w:r>
            <w:r>
              <w:rPr>
                <w:rFonts w:hint="eastAsia" w:ascii="宋体" w:hAnsi="宋体" w:eastAsia="宋体" w:cs="宋体"/>
                <w:kern w:val="0"/>
                <w:szCs w:val="21"/>
              </w:rPr>
              <w:t>理想信念、国家认同和社会主义核心价值观等教育；安全意识、健康意识教育</w:t>
            </w:r>
          </w:p>
        </w:tc>
      </w:tr>
      <w:tr w14:paraId="1771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6C232A17">
            <w:pPr>
              <w:jc w:val="center"/>
              <w:rPr>
                <w:rFonts w:hint="eastAsia" w:ascii="宋体" w:hAnsi="宋体" w:eastAsia="宋体" w:cs="宋体"/>
                <w:szCs w:val="21"/>
              </w:rPr>
            </w:pPr>
            <w:r>
              <w:rPr>
                <w:rFonts w:hint="eastAsia" w:ascii="宋体" w:hAnsi="宋体" w:eastAsia="宋体" w:cs="宋体"/>
                <w:szCs w:val="21"/>
              </w:rPr>
              <w:t>2</w:t>
            </w:r>
          </w:p>
        </w:tc>
        <w:tc>
          <w:tcPr>
            <w:tcW w:w="2219" w:type="pct"/>
            <w:vAlign w:val="center"/>
          </w:tcPr>
          <w:p w14:paraId="1C12AB7E">
            <w:pPr>
              <w:jc w:val="left"/>
              <w:rPr>
                <w:rFonts w:hint="eastAsia" w:ascii="宋体" w:hAnsi="宋体" w:eastAsia="宋体" w:cs="宋体"/>
                <w:b/>
                <w:szCs w:val="21"/>
              </w:rPr>
            </w:pPr>
            <w:r>
              <w:rPr>
                <w:rFonts w:hint="eastAsia" w:ascii="宋体" w:hAnsi="宋体" w:eastAsia="宋体" w:cs="宋体"/>
                <w:b/>
                <w:szCs w:val="21"/>
              </w:rPr>
              <w:t>㈡实践部分：</w:t>
            </w:r>
          </w:p>
          <w:p w14:paraId="1349D36C">
            <w:pPr>
              <w:rPr>
                <w:rFonts w:hint="eastAsia" w:ascii="宋体" w:hAnsi="宋体" w:eastAsia="宋体" w:cs="宋体"/>
                <w:bCs/>
                <w:szCs w:val="21"/>
              </w:rPr>
            </w:pPr>
            <w:r>
              <w:rPr>
                <w:rFonts w:hint="eastAsia" w:ascii="宋体" w:hAnsi="宋体" w:eastAsia="宋体" w:cs="宋体"/>
                <w:bCs/>
                <w:szCs w:val="21"/>
              </w:rPr>
              <w:t>各类体育活动和国家学生体质健康标准测试项目为主，主要包括体质测试、早锻炼、学生课外健身活动以及校级、院级和体育社团组织的各种体育比赛活动等。</w:t>
            </w:r>
          </w:p>
          <w:p w14:paraId="12409720">
            <w:pPr>
              <w:rPr>
                <w:rFonts w:hint="eastAsia" w:ascii="宋体" w:hAnsi="宋体" w:eastAsia="宋体" w:cs="宋体"/>
                <w:bCs/>
                <w:szCs w:val="21"/>
              </w:rPr>
            </w:pPr>
            <w:r>
              <w:rPr>
                <w:rFonts w:hint="eastAsia" w:ascii="宋体" w:hAnsi="宋体" w:eastAsia="宋体" w:cs="宋体"/>
                <w:b/>
                <w:bCs/>
                <w:szCs w:val="21"/>
              </w:rPr>
              <w:t>重点：</w:t>
            </w:r>
            <w:r>
              <w:rPr>
                <w:rFonts w:hint="eastAsia" w:ascii="宋体" w:hAnsi="宋体" w:eastAsia="宋体" w:cs="宋体"/>
                <w:bCs/>
                <w:szCs w:val="21"/>
              </w:rPr>
              <w:t>编制可行的个人体育锻炼计划并积极实践。</w:t>
            </w:r>
          </w:p>
          <w:p w14:paraId="52F265A4">
            <w:pPr>
              <w:rPr>
                <w:rFonts w:hint="eastAsia" w:ascii="宋体" w:hAnsi="宋体" w:eastAsia="宋体" w:cs="宋体"/>
                <w:kern w:val="0"/>
                <w:szCs w:val="21"/>
              </w:rPr>
            </w:pPr>
            <w:r>
              <w:rPr>
                <w:rFonts w:hint="eastAsia" w:ascii="宋体" w:hAnsi="宋体" w:eastAsia="宋体" w:cs="宋体"/>
                <w:b/>
                <w:bCs/>
                <w:szCs w:val="21"/>
              </w:rPr>
              <w:t>难点：</w:t>
            </w:r>
            <w:r>
              <w:rPr>
                <w:rFonts w:hint="eastAsia" w:ascii="宋体" w:hAnsi="宋体" w:eastAsia="宋体" w:cs="宋体"/>
                <w:bCs/>
                <w:szCs w:val="21"/>
              </w:rPr>
              <w:t>全面发展体能，完成体质健康标准测试。</w:t>
            </w:r>
          </w:p>
        </w:tc>
        <w:tc>
          <w:tcPr>
            <w:tcW w:w="1491" w:type="pct"/>
            <w:vAlign w:val="center"/>
          </w:tcPr>
          <w:p w14:paraId="38321534">
            <w:pPr>
              <w:rPr>
                <w:rFonts w:hint="eastAsia" w:ascii="宋体" w:hAnsi="宋体" w:eastAsia="宋体" w:cs="宋体"/>
                <w:szCs w:val="21"/>
              </w:rPr>
            </w:pPr>
            <w:r>
              <w:rPr>
                <w:rFonts w:hint="eastAsia" w:ascii="宋体" w:hAnsi="宋体" w:eastAsia="宋体" w:cs="宋体"/>
                <w:szCs w:val="21"/>
              </w:rPr>
              <w:t>通过课外实践，使学生巩固课内学习效果，掌握科学锻炼的基础知识、基本技能和有效方法，</w:t>
            </w:r>
            <w:r>
              <w:rPr>
                <w:rFonts w:hint="eastAsia" w:ascii="宋体" w:hAnsi="宋体" w:eastAsia="宋体" w:cs="宋体"/>
                <w:kern w:val="0"/>
                <w:szCs w:val="21"/>
              </w:rPr>
              <w:t>发展身体素质</w:t>
            </w:r>
            <w:r>
              <w:rPr>
                <w:rFonts w:hint="eastAsia" w:ascii="宋体" w:hAnsi="宋体" w:eastAsia="宋体" w:cs="宋体"/>
                <w:szCs w:val="21"/>
              </w:rPr>
              <w:t>；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宋体" w:hAnsi="宋体" w:eastAsia="宋体" w:cs="宋体"/>
                <w:kern w:val="0"/>
                <w:szCs w:val="21"/>
              </w:rPr>
              <w:t>。</w:t>
            </w:r>
          </w:p>
        </w:tc>
        <w:tc>
          <w:tcPr>
            <w:tcW w:w="430" w:type="pct"/>
            <w:vAlign w:val="center"/>
          </w:tcPr>
          <w:p w14:paraId="74643072">
            <w:pPr>
              <w:jc w:val="center"/>
              <w:rPr>
                <w:rFonts w:hint="eastAsia" w:ascii="宋体" w:hAnsi="宋体" w:eastAsia="宋体" w:cs="宋体"/>
                <w:szCs w:val="21"/>
              </w:rPr>
            </w:pPr>
            <w:r>
              <w:rPr>
                <w:rFonts w:hint="eastAsia" w:ascii="宋体" w:hAnsi="宋体" w:eastAsia="宋体" w:cs="宋体"/>
                <w:szCs w:val="21"/>
              </w:rPr>
              <w:t>16</w:t>
            </w:r>
          </w:p>
        </w:tc>
        <w:tc>
          <w:tcPr>
            <w:tcW w:w="523" w:type="pct"/>
            <w:vAlign w:val="center"/>
          </w:tcPr>
          <w:p w14:paraId="42A38D56">
            <w:pPr>
              <w:rPr>
                <w:rFonts w:hint="eastAsia" w:ascii="宋体" w:hAnsi="宋体" w:eastAsia="宋体" w:cs="宋体"/>
                <w:szCs w:val="21"/>
              </w:rPr>
            </w:pPr>
            <w:r>
              <w:rPr>
                <w:rFonts w:hint="eastAsia" w:ascii="宋体" w:hAnsi="宋体" w:eastAsia="宋体" w:cs="宋体"/>
                <w:szCs w:val="21"/>
              </w:rPr>
              <w:t>讲授法演示法练习法</w:t>
            </w:r>
          </w:p>
        </w:tc>
      </w:tr>
      <w:tr w14:paraId="56A63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071A7669">
            <w:pPr>
              <w:jc w:val="center"/>
              <w:rPr>
                <w:rFonts w:hint="eastAsia" w:ascii="宋体" w:hAnsi="宋体" w:eastAsia="宋体" w:cs="宋体"/>
                <w:szCs w:val="21"/>
              </w:rPr>
            </w:pPr>
          </w:p>
        </w:tc>
        <w:tc>
          <w:tcPr>
            <w:tcW w:w="4664" w:type="pct"/>
            <w:gridSpan w:val="4"/>
            <w:vAlign w:val="center"/>
          </w:tcPr>
          <w:p w14:paraId="1D3D605B">
            <w:pPr>
              <w:rPr>
                <w:rFonts w:hint="eastAsia" w:ascii="宋体" w:hAnsi="宋体" w:eastAsia="宋体" w:cs="宋体"/>
                <w:szCs w:val="21"/>
              </w:rPr>
            </w:pPr>
            <w:r>
              <w:rPr>
                <w:rFonts w:hint="eastAsia" w:ascii="宋体" w:hAnsi="宋体" w:eastAsia="宋体" w:cs="宋体"/>
                <w:b/>
                <w:bCs/>
                <w:szCs w:val="21"/>
              </w:rPr>
              <w:t>思政元素：</w:t>
            </w:r>
            <w:r>
              <w:rPr>
                <w:rFonts w:hint="eastAsia" w:ascii="宋体" w:hAnsi="宋体" w:eastAsia="宋体" w:cs="宋体"/>
                <w:kern w:val="0"/>
                <w:szCs w:val="21"/>
              </w:rPr>
              <w:t>爱国主义和集体主义教育；体育道德观、意志品德培育；规则意识和诚信意识教育。</w:t>
            </w:r>
          </w:p>
        </w:tc>
      </w:tr>
    </w:tbl>
    <w:p w14:paraId="42A94A61">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四、课程实施</w:t>
      </w:r>
    </w:p>
    <w:p w14:paraId="73974A65">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（一）方法与手段</w:t>
      </w:r>
    </w:p>
    <w:p w14:paraId="0E0DF8C2">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采用线上+线下、自主锻炼、体质测试和课外体育俱乐部等组织形式。</w:t>
      </w:r>
    </w:p>
    <w:p w14:paraId="490CEBE4">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（二）课程实施与保障</w:t>
      </w:r>
    </w:p>
    <w:tbl>
      <w:tblPr>
        <w:tblStyle w:val="11"/>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1662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4" w:space="0"/>
              <w:left w:val="single" w:color="auto" w:sz="4" w:space="0"/>
              <w:right w:val="single" w:color="auto" w:sz="4" w:space="0"/>
            </w:tcBorders>
            <w:tcMar>
              <w:left w:w="28" w:type="dxa"/>
              <w:right w:w="28" w:type="dxa"/>
            </w:tcMar>
            <w:vAlign w:val="center"/>
          </w:tcPr>
          <w:p w14:paraId="0FC25343">
            <w:pPr>
              <w:spacing w:line="360" w:lineRule="auto"/>
              <w:jc w:val="center"/>
              <w:rPr>
                <w:rFonts w:hint="eastAsia" w:ascii="宋体" w:hAnsi="宋体" w:eastAsia="宋体" w:cs="宋体"/>
                <w:szCs w:val="21"/>
              </w:rPr>
            </w:pPr>
            <w:r>
              <w:rPr>
                <w:rFonts w:hint="eastAsia" w:ascii="宋体" w:hAnsi="宋体" w:eastAsia="宋体" w:cs="宋体"/>
                <w:b/>
                <w:bCs/>
                <w:szCs w:val="21"/>
              </w:rPr>
              <w:t>主要环节</w:t>
            </w:r>
          </w:p>
        </w:tc>
        <w:tc>
          <w:tcPr>
            <w:tcW w:w="6640" w:type="dxa"/>
            <w:tcBorders>
              <w:top w:val="single" w:color="auto" w:sz="4" w:space="0"/>
              <w:left w:val="single" w:color="auto" w:sz="4" w:space="0"/>
              <w:right w:val="single" w:color="auto" w:sz="4" w:space="0"/>
            </w:tcBorders>
            <w:vAlign w:val="center"/>
          </w:tcPr>
          <w:p w14:paraId="2D00E51E">
            <w:pPr>
              <w:spacing w:line="360" w:lineRule="auto"/>
              <w:jc w:val="center"/>
              <w:rPr>
                <w:rFonts w:hint="eastAsia" w:ascii="宋体" w:hAnsi="宋体" w:eastAsia="宋体" w:cs="宋体"/>
                <w:szCs w:val="21"/>
              </w:rPr>
            </w:pPr>
            <w:r>
              <w:rPr>
                <w:rFonts w:hint="eastAsia" w:ascii="宋体" w:hAnsi="宋体" w:eastAsia="宋体" w:cs="宋体"/>
                <w:b/>
                <w:bCs/>
                <w:szCs w:val="21"/>
              </w:rPr>
              <w:t>质量要求</w:t>
            </w:r>
          </w:p>
        </w:tc>
      </w:tr>
      <w:tr w14:paraId="67E0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jc w:val="center"/>
        </w:trPr>
        <w:tc>
          <w:tcPr>
            <w:tcW w:w="439" w:type="dxa"/>
            <w:tcBorders>
              <w:left w:val="single" w:color="auto" w:sz="4" w:space="0"/>
              <w:right w:val="single" w:color="auto" w:sz="4" w:space="0"/>
            </w:tcBorders>
            <w:vAlign w:val="center"/>
          </w:tcPr>
          <w:p w14:paraId="5A7F2988">
            <w:pPr>
              <w:spacing w:line="360" w:lineRule="auto"/>
              <w:jc w:val="center"/>
              <w:rPr>
                <w:rFonts w:hint="eastAsia" w:ascii="宋体" w:hAnsi="宋体" w:eastAsia="宋体" w:cs="宋体"/>
                <w:szCs w:val="21"/>
              </w:rPr>
            </w:pPr>
            <w:r>
              <w:rPr>
                <w:rFonts w:hint="eastAsia" w:ascii="宋体" w:hAnsi="宋体" w:eastAsia="宋体" w:cs="宋体"/>
                <w:szCs w:val="21"/>
              </w:rPr>
              <w:t>1</w:t>
            </w:r>
          </w:p>
        </w:tc>
        <w:tc>
          <w:tcPr>
            <w:tcW w:w="1252" w:type="dxa"/>
            <w:tcBorders>
              <w:left w:val="single" w:color="auto" w:sz="4" w:space="0"/>
              <w:right w:val="single" w:color="auto" w:sz="4" w:space="0"/>
            </w:tcBorders>
            <w:tcMar>
              <w:left w:w="28" w:type="dxa"/>
              <w:right w:w="28" w:type="dxa"/>
            </w:tcMar>
            <w:vAlign w:val="center"/>
          </w:tcPr>
          <w:p w14:paraId="5B693C7E">
            <w:pPr>
              <w:spacing w:line="360" w:lineRule="auto"/>
              <w:jc w:val="center"/>
              <w:rPr>
                <w:rFonts w:hint="eastAsia" w:ascii="宋体" w:hAnsi="宋体" w:eastAsia="宋体" w:cs="宋体"/>
                <w:szCs w:val="21"/>
              </w:rPr>
            </w:pPr>
            <w:r>
              <w:rPr>
                <w:rFonts w:hint="eastAsia" w:ascii="宋体" w:hAnsi="宋体" w:eastAsia="宋体" w:cs="宋体"/>
                <w:szCs w:val="21"/>
              </w:rPr>
              <w:t>课外锻炼</w:t>
            </w:r>
          </w:p>
        </w:tc>
        <w:tc>
          <w:tcPr>
            <w:tcW w:w="6640" w:type="dxa"/>
            <w:tcBorders>
              <w:left w:val="single" w:color="auto" w:sz="4" w:space="0"/>
              <w:right w:val="single" w:color="auto" w:sz="4" w:space="0"/>
            </w:tcBorders>
            <w:vAlign w:val="center"/>
          </w:tcPr>
          <w:p w14:paraId="6F4291CD">
            <w:pPr>
              <w:autoSpaceDE w:val="0"/>
              <w:autoSpaceDN w:val="0"/>
              <w:adjustRightInd w:val="0"/>
              <w:snapToGrid w:val="0"/>
              <w:spacing w:line="360" w:lineRule="auto"/>
              <w:jc w:val="left"/>
              <w:rPr>
                <w:rFonts w:hint="eastAsia" w:ascii="宋体" w:hAnsi="宋体" w:eastAsia="宋体" w:cs="宋体"/>
                <w:kern w:val="0"/>
                <w:szCs w:val="21"/>
              </w:rPr>
            </w:pPr>
            <w:r>
              <w:rPr>
                <w:rFonts w:hint="eastAsia" w:ascii="宋体" w:hAnsi="宋体" w:eastAsia="宋体" w:cs="宋体"/>
                <w:kern w:val="0"/>
                <w:szCs w:val="21"/>
              </w:rPr>
              <w:t>学生利用课余时间通过参加体质测试、早锻炼、课外健身活动以及校级、院级和体育社团组织的各种体育比赛等活动，巩固课内学习效果，提高身体素质，培养学生自我锻炼意识和习惯。</w:t>
            </w:r>
          </w:p>
        </w:tc>
      </w:tr>
      <w:tr w14:paraId="402C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4" w:space="0"/>
              <w:right w:val="single" w:color="auto" w:sz="4" w:space="0"/>
            </w:tcBorders>
            <w:vAlign w:val="center"/>
          </w:tcPr>
          <w:p w14:paraId="23BB316D">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252" w:type="dxa"/>
            <w:tcBorders>
              <w:left w:val="single" w:color="auto" w:sz="4" w:space="0"/>
              <w:right w:val="single" w:color="auto" w:sz="4" w:space="0"/>
            </w:tcBorders>
            <w:tcMar>
              <w:left w:w="28" w:type="dxa"/>
              <w:right w:w="28" w:type="dxa"/>
            </w:tcMar>
            <w:vAlign w:val="center"/>
          </w:tcPr>
          <w:p w14:paraId="5F63E4FC">
            <w:pPr>
              <w:spacing w:line="360" w:lineRule="auto"/>
              <w:jc w:val="center"/>
              <w:rPr>
                <w:rFonts w:hint="eastAsia" w:ascii="宋体" w:hAnsi="宋体" w:eastAsia="宋体" w:cs="宋体"/>
                <w:szCs w:val="21"/>
              </w:rPr>
            </w:pPr>
            <w:r>
              <w:rPr>
                <w:rFonts w:hint="eastAsia" w:ascii="宋体" w:hAnsi="宋体" w:eastAsia="宋体" w:cs="宋体"/>
                <w:szCs w:val="21"/>
              </w:rPr>
              <w:t>成绩考核</w:t>
            </w:r>
          </w:p>
        </w:tc>
        <w:tc>
          <w:tcPr>
            <w:tcW w:w="6640" w:type="dxa"/>
            <w:tcBorders>
              <w:left w:val="single" w:color="auto" w:sz="4" w:space="0"/>
              <w:right w:val="single" w:color="auto" w:sz="4" w:space="0"/>
            </w:tcBorders>
            <w:vAlign w:val="center"/>
          </w:tcPr>
          <w:p w14:paraId="16546ED7">
            <w:pPr>
              <w:autoSpaceDE w:val="0"/>
              <w:autoSpaceDN w:val="0"/>
              <w:adjustRightInd w:val="0"/>
              <w:snapToGrid w:val="0"/>
              <w:spacing w:line="360" w:lineRule="auto"/>
              <w:jc w:val="left"/>
              <w:rPr>
                <w:rFonts w:hint="eastAsia" w:ascii="宋体" w:hAnsi="宋体" w:eastAsia="宋体" w:cs="宋体"/>
                <w:kern w:val="0"/>
                <w:szCs w:val="21"/>
              </w:rPr>
            </w:pPr>
            <w:r>
              <w:rPr>
                <w:rFonts w:hint="eastAsia" w:ascii="宋体" w:hAnsi="宋体" w:eastAsia="宋体" w:cs="宋体"/>
                <w:kern w:val="0"/>
                <w:szCs w:val="21"/>
              </w:rPr>
              <w:t>本课程考核的方式：以学生参加课外体育活动的考勤次数为依据。总评成绩的评定见《学生参加课外体育活动成绩评定标准》。</w:t>
            </w:r>
          </w:p>
        </w:tc>
      </w:tr>
    </w:tbl>
    <w:p w14:paraId="185A9A53">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五、课程考核</w:t>
      </w:r>
    </w:p>
    <w:p w14:paraId="66DF23A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课程考核以学生参加课外体育活动的考勤次数为依据，制定学生参加课外体育活动成绩评定标准。主要包括晨跑、课外自主健身跑、健身辅导站、体育社团或单项协会健身活动和校级、院级、体育社团组织的体育竞赛活动等。</w:t>
      </w:r>
    </w:p>
    <w:p w14:paraId="19671AFB">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（二）学生课外体育活动成绩评定标准。</w:t>
      </w:r>
    </w:p>
    <w:p w14:paraId="2382BED7">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学生参加课外体育活动成绩评定标准（百分制）</w:t>
      </w:r>
    </w:p>
    <w:tbl>
      <w:tblPr>
        <w:tblStyle w:val="11"/>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762"/>
        <w:gridCol w:w="762"/>
        <w:gridCol w:w="760"/>
        <w:gridCol w:w="762"/>
        <w:gridCol w:w="760"/>
        <w:gridCol w:w="762"/>
        <w:gridCol w:w="760"/>
        <w:gridCol w:w="762"/>
        <w:gridCol w:w="763"/>
      </w:tblGrid>
      <w:tr w14:paraId="5906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69E005A9">
            <w:pPr>
              <w:jc w:val="center"/>
              <w:rPr>
                <w:rFonts w:hint="eastAsia" w:ascii="宋体" w:hAnsi="宋体" w:eastAsia="宋体" w:cs="宋体"/>
                <w:szCs w:val="21"/>
              </w:rPr>
            </w:pPr>
            <w:r>
              <w:rPr>
                <w:rFonts w:hint="eastAsia" w:ascii="宋体" w:hAnsi="宋体" w:eastAsia="宋体" w:cs="宋体"/>
                <w:szCs w:val="21"/>
              </w:rPr>
              <w:t>考勤次数</w:t>
            </w:r>
          </w:p>
        </w:tc>
        <w:tc>
          <w:tcPr>
            <w:tcW w:w="447" w:type="pct"/>
            <w:vAlign w:val="center"/>
          </w:tcPr>
          <w:p w14:paraId="52461024">
            <w:pPr>
              <w:jc w:val="center"/>
              <w:rPr>
                <w:rFonts w:hint="eastAsia" w:ascii="宋体" w:hAnsi="宋体" w:eastAsia="宋体" w:cs="宋体"/>
                <w:szCs w:val="21"/>
              </w:rPr>
            </w:pPr>
            <w:r>
              <w:rPr>
                <w:rFonts w:hint="eastAsia" w:ascii="宋体" w:hAnsi="宋体" w:eastAsia="宋体" w:cs="宋体"/>
                <w:szCs w:val="21"/>
              </w:rPr>
              <w:t>0</w:t>
            </w:r>
          </w:p>
        </w:tc>
        <w:tc>
          <w:tcPr>
            <w:tcW w:w="447" w:type="pct"/>
            <w:vAlign w:val="center"/>
          </w:tcPr>
          <w:p w14:paraId="64E6168F">
            <w:pPr>
              <w:jc w:val="center"/>
              <w:rPr>
                <w:rFonts w:hint="eastAsia" w:ascii="宋体" w:hAnsi="宋体" w:eastAsia="宋体" w:cs="宋体"/>
                <w:szCs w:val="21"/>
              </w:rPr>
            </w:pPr>
            <w:r>
              <w:rPr>
                <w:rFonts w:hint="eastAsia" w:ascii="宋体" w:hAnsi="宋体" w:eastAsia="宋体" w:cs="宋体"/>
                <w:szCs w:val="21"/>
              </w:rPr>
              <w:t>5</w:t>
            </w:r>
          </w:p>
        </w:tc>
        <w:tc>
          <w:tcPr>
            <w:tcW w:w="446" w:type="pct"/>
            <w:vAlign w:val="center"/>
          </w:tcPr>
          <w:p w14:paraId="69FC51D9">
            <w:pPr>
              <w:jc w:val="center"/>
              <w:rPr>
                <w:rFonts w:hint="eastAsia" w:ascii="宋体" w:hAnsi="宋体" w:eastAsia="宋体" w:cs="宋体"/>
                <w:szCs w:val="21"/>
              </w:rPr>
            </w:pPr>
            <w:r>
              <w:rPr>
                <w:rFonts w:hint="eastAsia" w:ascii="宋体" w:hAnsi="宋体" w:eastAsia="宋体" w:cs="宋体"/>
                <w:szCs w:val="21"/>
              </w:rPr>
              <w:t>10</w:t>
            </w:r>
          </w:p>
        </w:tc>
        <w:tc>
          <w:tcPr>
            <w:tcW w:w="447" w:type="pct"/>
            <w:vAlign w:val="center"/>
          </w:tcPr>
          <w:p w14:paraId="0FDCF33D">
            <w:pPr>
              <w:jc w:val="center"/>
              <w:rPr>
                <w:rFonts w:hint="eastAsia" w:ascii="宋体" w:hAnsi="宋体" w:eastAsia="宋体" w:cs="宋体"/>
                <w:szCs w:val="21"/>
              </w:rPr>
            </w:pPr>
            <w:r>
              <w:rPr>
                <w:rFonts w:hint="eastAsia" w:ascii="宋体" w:hAnsi="宋体" w:eastAsia="宋体" w:cs="宋体"/>
                <w:szCs w:val="21"/>
              </w:rPr>
              <w:t>15</w:t>
            </w:r>
          </w:p>
        </w:tc>
        <w:tc>
          <w:tcPr>
            <w:tcW w:w="446" w:type="pct"/>
            <w:vAlign w:val="center"/>
          </w:tcPr>
          <w:p w14:paraId="2A6C12E0">
            <w:pPr>
              <w:jc w:val="center"/>
              <w:rPr>
                <w:rFonts w:hint="eastAsia" w:ascii="宋体" w:hAnsi="宋体" w:eastAsia="宋体" w:cs="宋体"/>
                <w:szCs w:val="21"/>
              </w:rPr>
            </w:pPr>
            <w:r>
              <w:rPr>
                <w:rFonts w:hint="eastAsia" w:ascii="宋体" w:hAnsi="宋体" w:eastAsia="宋体" w:cs="宋体"/>
                <w:szCs w:val="21"/>
              </w:rPr>
              <w:t>20</w:t>
            </w:r>
          </w:p>
        </w:tc>
        <w:tc>
          <w:tcPr>
            <w:tcW w:w="447" w:type="pct"/>
            <w:vAlign w:val="center"/>
          </w:tcPr>
          <w:p w14:paraId="0F1CD932">
            <w:pPr>
              <w:jc w:val="center"/>
              <w:rPr>
                <w:rFonts w:hint="eastAsia" w:ascii="宋体" w:hAnsi="宋体" w:eastAsia="宋体" w:cs="宋体"/>
                <w:szCs w:val="21"/>
              </w:rPr>
            </w:pPr>
            <w:r>
              <w:rPr>
                <w:rFonts w:hint="eastAsia" w:ascii="宋体" w:hAnsi="宋体" w:eastAsia="宋体" w:cs="宋体"/>
                <w:szCs w:val="21"/>
              </w:rPr>
              <w:t>25</w:t>
            </w:r>
          </w:p>
        </w:tc>
        <w:tc>
          <w:tcPr>
            <w:tcW w:w="446" w:type="pct"/>
            <w:vAlign w:val="center"/>
          </w:tcPr>
          <w:p w14:paraId="60C50105">
            <w:pPr>
              <w:jc w:val="center"/>
              <w:rPr>
                <w:rFonts w:hint="eastAsia" w:ascii="宋体" w:hAnsi="宋体" w:eastAsia="宋体" w:cs="宋体"/>
                <w:szCs w:val="21"/>
              </w:rPr>
            </w:pPr>
            <w:r>
              <w:rPr>
                <w:rFonts w:hint="eastAsia" w:ascii="宋体" w:hAnsi="宋体" w:eastAsia="宋体" w:cs="宋体"/>
                <w:szCs w:val="21"/>
              </w:rPr>
              <w:t>30</w:t>
            </w:r>
          </w:p>
        </w:tc>
        <w:tc>
          <w:tcPr>
            <w:tcW w:w="447" w:type="pct"/>
            <w:vAlign w:val="center"/>
          </w:tcPr>
          <w:p w14:paraId="00C4FCF4">
            <w:pPr>
              <w:jc w:val="center"/>
              <w:rPr>
                <w:rFonts w:hint="eastAsia" w:ascii="宋体" w:hAnsi="宋体" w:eastAsia="宋体" w:cs="宋体"/>
                <w:szCs w:val="21"/>
              </w:rPr>
            </w:pPr>
            <w:r>
              <w:rPr>
                <w:rFonts w:hint="eastAsia" w:ascii="宋体" w:hAnsi="宋体" w:eastAsia="宋体" w:cs="宋体"/>
                <w:szCs w:val="21"/>
              </w:rPr>
              <w:t>35</w:t>
            </w:r>
          </w:p>
        </w:tc>
        <w:tc>
          <w:tcPr>
            <w:tcW w:w="447" w:type="pct"/>
            <w:vAlign w:val="center"/>
          </w:tcPr>
          <w:p w14:paraId="2028D1D8">
            <w:pPr>
              <w:jc w:val="center"/>
              <w:rPr>
                <w:rFonts w:hint="eastAsia" w:ascii="宋体" w:hAnsi="宋体" w:eastAsia="宋体" w:cs="宋体"/>
                <w:szCs w:val="21"/>
              </w:rPr>
            </w:pPr>
            <w:r>
              <w:rPr>
                <w:rFonts w:hint="eastAsia" w:ascii="宋体" w:hAnsi="宋体" w:eastAsia="宋体" w:cs="宋体"/>
                <w:szCs w:val="21"/>
              </w:rPr>
              <w:t>40</w:t>
            </w:r>
          </w:p>
        </w:tc>
      </w:tr>
      <w:tr w14:paraId="57CC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7C3BA969">
            <w:pPr>
              <w:jc w:val="center"/>
              <w:rPr>
                <w:rFonts w:hint="eastAsia" w:ascii="宋体" w:hAnsi="宋体" w:eastAsia="宋体" w:cs="宋体"/>
                <w:szCs w:val="21"/>
              </w:rPr>
            </w:pPr>
            <w:r>
              <w:rPr>
                <w:rFonts w:hint="eastAsia" w:ascii="宋体" w:hAnsi="宋体" w:eastAsia="宋体" w:cs="宋体"/>
                <w:szCs w:val="21"/>
              </w:rPr>
              <w:t>成绩</w:t>
            </w:r>
          </w:p>
        </w:tc>
        <w:tc>
          <w:tcPr>
            <w:tcW w:w="447" w:type="pct"/>
            <w:vAlign w:val="center"/>
          </w:tcPr>
          <w:p w14:paraId="17DF2CF7">
            <w:pPr>
              <w:jc w:val="center"/>
              <w:rPr>
                <w:rFonts w:hint="eastAsia" w:ascii="宋体" w:hAnsi="宋体" w:eastAsia="宋体" w:cs="宋体"/>
                <w:szCs w:val="21"/>
              </w:rPr>
            </w:pPr>
            <w:r>
              <w:rPr>
                <w:rFonts w:hint="eastAsia" w:ascii="宋体" w:hAnsi="宋体" w:eastAsia="宋体" w:cs="宋体"/>
                <w:szCs w:val="21"/>
              </w:rPr>
              <w:t>0</w:t>
            </w:r>
          </w:p>
        </w:tc>
        <w:tc>
          <w:tcPr>
            <w:tcW w:w="447" w:type="pct"/>
            <w:vAlign w:val="center"/>
          </w:tcPr>
          <w:p w14:paraId="67CCB11B">
            <w:pPr>
              <w:jc w:val="center"/>
              <w:rPr>
                <w:rFonts w:hint="eastAsia" w:ascii="宋体" w:hAnsi="宋体" w:eastAsia="宋体" w:cs="宋体"/>
                <w:szCs w:val="21"/>
              </w:rPr>
            </w:pPr>
            <w:r>
              <w:rPr>
                <w:rFonts w:hint="eastAsia" w:ascii="宋体" w:hAnsi="宋体" w:eastAsia="宋体" w:cs="宋体"/>
                <w:szCs w:val="21"/>
              </w:rPr>
              <w:t>12.5</w:t>
            </w:r>
          </w:p>
        </w:tc>
        <w:tc>
          <w:tcPr>
            <w:tcW w:w="446" w:type="pct"/>
            <w:vAlign w:val="center"/>
          </w:tcPr>
          <w:p w14:paraId="32B34D8C">
            <w:pPr>
              <w:jc w:val="center"/>
              <w:rPr>
                <w:rFonts w:hint="eastAsia" w:ascii="宋体" w:hAnsi="宋体" w:eastAsia="宋体" w:cs="宋体"/>
                <w:szCs w:val="21"/>
              </w:rPr>
            </w:pPr>
            <w:r>
              <w:rPr>
                <w:rFonts w:hint="eastAsia" w:ascii="宋体" w:hAnsi="宋体" w:eastAsia="宋体" w:cs="宋体"/>
                <w:szCs w:val="21"/>
              </w:rPr>
              <w:t>25</w:t>
            </w:r>
          </w:p>
        </w:tc>
        <w:tc>
          <w:tcPr>
            <w:tcW w:w="447" w:type="pct"/>
            <w:vAlign w:val="center"/>
          </w:tcPr>
          <w:p w14:paraId="23B2CD8D">
            <w:pPr>
              <w:jc w:val="center"/>
              <w:rPr>
                <w:rFonts w:hint="eastAsia" w:ascii="宋体" w:hAnsi="宋体" w:eastAsia="宋体" w:cs="宋体"/>
                <w:szCs w:val="21"/>
              </w:rPr>
            </w:pPr>
            <w:r>
              <w:rPr>
                <w:rFonts w:hint="eastAsia" w:ascii="宋体" w:hAnsi="宋体" w:eastAsia="宋体" w:cs="宋体"/>
                <w:szCs w:val="21"/>
              </w:rPr>
              <w:t>37.5</w:t>
            </w:r>
          </w:p>
        </w:tc>
        <w:tc>
          <w:tcPr>
            <w:tcW w:w="446" w:type="pct"/>
            <w:vAlign w:val="center"/>
          </w:tcPr>
          <w:p w14:paraId="1D845DF6">
            <w:pPr>
              <w:jc w:val="center"/>
              <w:rPr>
                <w:rFonts w:hint="eastAsia" w:ascii="宋体" w:hAnsi="宋体" w:eastAsia="宋体" w:cs="宋体"/>
                <w:szCs w:val="21"/>
              </w:rPr>
            </w:pPr>
            <w:r>
              <w:rPr>
                <w:rFonts w:hint="eastAsia" w:ascii="宋体" w:hAnsi="宋体" w:eastAsia="宋体" w:cs="宋体"/>
                <w:szCs w:val="21"/>
              </w:rPr>
              <w:t>50</w:t>
            </w:r>
          </w:p>
        </w:tc>
        <w:tc>
          <w:tcPr>
            <w:tcW w:w="447" w:type="pct"/>
            <w:vAlign w:val="center"/>
          </w:tcPr>
          <w:p w14:paraId="7A1561A2">
            <w:pPr>
              <w:jc w:val="center"/>
              <w:rPr>
                <w:rFonts w:hint="eastAsia" w:ascii="宋体" w:hAnsi="宋体" w:eastAsia="宋体" w:cs="宋体"/>
                <w:szCs w:val="21"/>
              </w:rPr>
            </w:pPr>
            <w:r>
              <w:rPr>
                <w:rFonts w:hint="eastAsia" w:ascii="宋体" w:hAnsi="宋体" w:eastAsia="宋体" w:cs="宋体"/>
                <w:szCs w:val="21"/>
              </w:rPr>
              <w:t>62.5</w:t>
            </w:r>
          </w:p>
        </w:tc>
        <w:tc>
          <w:tcPr>
            <w:tcW w:w="446" w:type="pct"/>
            <w:vAlign w:val="center"/>
          </w:tcPr>
          <w:p w14:paraId="214F77B1">
            <w:pPr>
              <w:jc w:val="center"/>
              <w:rPr>
                <w:rFonts w:hint="eastAsia" w:ascii="宋体" w:hAnsi="宋体" w:eastAsia="宋体" w:cs="宋体"/>
                <w:szCs w:val="21"/>
              </w:rPr>
            </w:pPr>
            <w:r>
              <w:rPr>
                <w:rFonts w:hint="eastAsia" w:ascii="宋体" w:hAnsi="宋体" w:eastAsia="宋体" w:cs="宋体"/>
                <w:szCs w:val="21"/>
              </w:rPr>
              <w:t>75</w:t>
            </w:r>
          </w:p>
        </w:tc>
        <w:tc>
          <w:tcPr>
            <w:tcW w:w="447" w:type="pct"/>
            <w:vAlign w:val="center"/>
          </w:tcPr>
          <w:p w14:paraId="00AF9440">
            <w:pPr>
              <w:jc w:val="center"/>
              <w:rPr>
                <w:rFonts w:hint="eastAsia" w:ascii="宋体" w:hAnsi="宋体" w:eastAsia="宋体" w:cs="宋体"/>
                <w:szCs w:val="21"/>
              </w:rPr>
            </w:pPr>
            <w:r>
              <w:rPr>
                <w:rFonts w:hint="eastAsia" w:ascii="宋体" w:hAnsi="宋体" w:eastAsia="宋体" w:cs="宋体"/>
                <w:szCs w:val="21"/>
              </w:rPr>
              <w:t>87.5</w:t>
            </w:r>
          </w:p>
        </w:tc>
        <w:tc>
          <w:tcPr>
            <w:tcW w:w="447" w:type="pct"/>
            <w:vAlign w:val="center"/>
          </w:tcPr>
          <w:p w14:paraId="6AD711A5">
            <w:pPr>
              <w:jc w:val="center"/>
              <w:rPr>
                <w:rFonts w:hint="eastAsia" w:ascii="宋体" w:hAnsi="宋体" w:eastAsia="宋体" w:cs="宋体"/>
                <w:szCs w:val="21"/>
              </w:rPr>
            </w:pPr>
            <w:r>
              <w:rPr>
                <w:rFonts w:hint="eastAsia" w:ascii="宋体" w:hAnsi="宋体" w:eastAsia="宋体" w:cs="宋体"/>
                <w:szCs w:val="21"/>
              </w:rPr>
              <w:t>100</w:t>
            </w:r>
          </w:p>
        </w:tc>
      </w:tr>
    </w:tbl>
    <w:p w14:paraId="6A0E9C43">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五、有关说明</w:t>
      </w:r>
    </w:p>
    <w:p w14:paraId="4D8D9918">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（一）持续改进</w:t>
      </w:r>
    </w:p>
    <w:p w14:paraId="4C3716FE">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本课程根据学生课外锻炼、体质测试等情况，以及学生、教学督导等反馈，及时对教学中不足之处进行改进，并在下一轮课程教学中整改完善，确保相应毕业要求指标点达成。</w:t>
      </w:r>
    </w:p>
    <w:p w14:paraId="7879EFFA">
      <w:pPr>
        <w:spacing w:line="360" w:lineRule="auto"/>
        <w:ind w:firstLine="422" w:firstLineChars="200"/>
        <w:jc w:val="left"/>
        <w:rPr>
          <w:rFonts w:hint="eastAsia" w:ascii="宋体" w:hAnsi="宋体" w:eastAsia="宋体" w:cs="宋体"/>
          <w:szCs w:val="21"/>
        </w:rPr>
      </w:pPr>
      <w:r>
        <w:rPr>
          <w:rFonts w:hint="eastAsia" w:ascii="宋体" w:hAnsi="宋体" w:eastAsia="宋体" w:cs="宋体"/>
          <w:b/>
          <w:szCs w:val="21"/>
        </w:rPr>
        <w:t>（二）教学参考书</w:t>
      </w:r>
    </w:p>
    <w:p w14:paraId="78F844A0">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1.毛振明.大学体育文化与实技教程[M].沈阳：东北大学出版社，2013.</w:t>
      </w:r>
    </w:p>
    <w:p w14:paraId="676DA33C">
      <w:pPr>
        <w:wordWrap w:val="0"/>
        <w:spacing w:line="360" w:lineRule="exact"/>
        <w:jc w:val="right"/>
        <w:rPr>
          <w:rFonts w:hint="eastAsia" w:ascii="宋体" w:hAnsi="宋体" w:eastAsia="宋体" w:cs="宋体"/>
          <w:szCs w:val="21"/>
        </w:rPr>
      </w:pPr>
      <w:r>
        <w:rPr>
          <w:rFonts w:hint="eastAsia" w:ascii="宋体" w:hAnsi="宋体" w:eastAsia="宋体" w:cs="宋体"/>
          <w:szCs w:val="21"/>
        </w:rPr>
        <w:t xml:space="preserve">                                                       执笔人：顾  宏</w:t>
      </w:r>
    </w:p>
    <w:p w14:paraId="741C3166">
      <w:pPr>
        <w:spacing w:line="360" w:lineRule="exact"/>
        <w:ind w:firstLine="420" w:firstLineChars="200"/>
        <w:jc w:val="right"/>
        <w:rPr>
          <w:rFonts w:hint="eastAsia" w:ascii="宋体" w:hAnsi="宋体" w:eastAsia="宋体" w:cs="宋体"/>
          <w:szCs w:val="21"/>
        </w:rPr>
      </w:pPr>
      <w:r>
        <w:rPr>
          <w:rFonts w:hint="eastAsia" w:ascii="宋体" w:hAnsi="宋体" w:eastAsia="宋体" w:cs="宋体"/>
          <w:szCs w:val="21"/>
        </w:rPr>
        <w:t>审定人：方曙光</w:t>
      </w:r>
    </w:p>
    <w:p w14:paraId="78A018E0">
      <w:pPr>
        <w:spacing w:line="360" w:lineRule="exact"/>
        <w:jc w:val="right"/>
        <w:rPr>
          <w:rFonts w:hint="eastAsia" w:ascii="宋体" w:hAnsi="宋体" w:eastAsia="宋体" w:cs="宋体"/>
          <w:szCs w:val="21"/>
        </w:rPr>
      </w:pPr>
      <w:r>
        <w:rPr>
          <w:rFonts w:hint="eastAsia" w:ascii="宋体" w:hAnsi="宋体" w:eastAsia="宋体" w:cs="宋体"/>
          <w:szCs w:val="21"/>
        </w:rPr>
        <w:t>批准人：王红福</w:t>
      </w:r>
    </w:p>
    <w:p w14:paraId="30E74F46">
      <w:pPr>
        <w:spacing w:line="360" w:lineRule="exact"/>
        <w:ind w:firstLine="420" w:firstLineChars="200"/>
        <w:jc w:val="right"/>
        <w:rPr>
          <w:rFonts w:hint="eastAsia" w:ascii="宋体" w:hAnsi="宋体" w:eastAsia="宋体" w:cs="宋体"/>
          <w:szCs w:val="21"/>
        </w:rPr>
      </w:pPr>
      <w:r>
        <w:rPr>
          <w:rFonts w:hint="eastAsia" w:ascii="宋体" w:hAnsi="宋体" w:eastAsia="宋体" w:cs="宋体"/>
          <w:szCs w:val="21"/>
        </w:rPr>
        <w:t>批准时间：2025年7月1日</w:t>
      </w:r>
    </w:p>
    <w:p w14:paraId="34D8FAAF">
      <w:pPr>
        <w:rPr>
          <w:rFonts w:hint="eastAsia" w:ascii="宋体" w:hAnsi="宋体" w:eastAsia="宋体" w:cs="宋体"/>
          <w:sz w:val="24"/>
          <w:szCs w:val="22"/>
        </w:rPr>
      </w:pPr>
      <w:r>
        <w:rPr>
          <w:rFonts w:hint="eastAsia" w:ascii="宋体" w:hAnsi="宋体" w:eastAsia="宋体" w:cs="宋体"/>
          <w:sz w:val="24"/>
          <w:szCs w:val="22"/>
        </w:rPr>
        <w:br w:type="page"/>
      </w:r>
    </w:p>
    <w:p w14:paraId="0315E5A4">
      <w:pPr>
        <w:spacing w:line="360" w:lineRule="auto"/>
        <w:jc w:val="center"/>
        <w:outlineLvl w:val="0"/>
        <w:rPr>
          <w:rFonts w:ascii="Times New Roman" w:hAnsi="Times New Roman" w:eastAsia="宋体" w:cs="Times New Roman"/>
          <w:b/>
          <w:sz w:val="44"/>
          <w:szCs w:val="44"/>
        </w:rPr>
      </w:pPr>
      <w:bookmarkStart w:id="140" w:name="_Toc28826"/>
      <w:bookmarkStart w:id="141" w:name="_Toc15659"/>
      <w:bookmarkStart w:id="142" w:name="_Toc1194"/>
      <w:bookmarkStart w:id="143" w:name="_Toc5172"/>
      <w:r>
        <w:rPr>
          <w:rFonts w:ascii="Times New Roman" w:hAnsi="Times New Roman" w:eastAsia="宋体" w:cs="Times New Roman"/>
          <w:b/>
          <w:sz w:val="44"/>
          <w:szCs w:val="44"/>
        </w:rPr>
        <w:t>《体育Ⅵ》课程教学大纲</w:t>
      </w:r>
      <w:bookmarkEnd w:id="140"/>
      <w:bookmarkEnd w:id="141"/>
      <w:bookmarkEnd w:id="142"/>
      <w:bookmarkEnd w:id="143"/>
    </w:p>
    <w:p w14:paraId="7A1784CA">
      <w:pPr>
        <w:spacing w:line="360" w:lineRule="auto"/>
        <w:jc w:val="center"/>
        <w:rPr>
          <w:rFonts w:ascii="Times New Roman" w:hAnsi="Times New Roman" w:eastAsia="宋体" w:cs="Times New Roman"/>
          <w:b/>
          <w:bCs/>
          <w:sz w:val="28"/>
          <w:szCs w:val="28"/>
        </w:rPr>
      </w:pPr>
      <w:bookmarkStart w:id="144" w:name="_Toc20617"/>
      <w:bookmarkStart w:id="145" w:name="_Toc15857"/>
      <w:bookmarkStart w:id="146" w:name="_Toc9031"/>
      <w:bookmarkStart w:id="147" w:name="_Toc14398"/>
      <w:bookmarkStart w:id="148" w:name="_Toc4927"/>
      <w:bookmarkStart w:id="149" w:name="_Toc23332"/>
      <w:bookmarkStart w:id="150" w:name="_Toc22801"/>
      <w:r>
        <w:rPr>
          <w:rFonts w:ascii="Times New Roman" w:hAnsi="Times New Roman" w:eastAsia="宋体" w:cs="Times New Roman"/>
          <w:b/>
          <w:bCs/>
          <w:sz w:val="28"/>
          <w:szCs w:val="28"/>
        </w:rPr>
        <w:t>（Physical  Education Ⅵ）</w:t>
      </w:r>
      <w:bookmarkEnd w:id="144"/>
      <w:bookmarkEnd w:id="145"/>
      <w:bookmarkEnd w:id="146"/>
      <w:bookmarkEnd w:id="147"/>
      <w:bookmarkEnd w:id="148"/>
      <w:bookmarkEnd w:id="149"/>
      <w:bookmarkEnd w:id="150"/>
    </w:p>
    <w:p w14:paraId="734E2CC6">
      <w:pPr>
        <w:spacing w:line="360" w:lineRule="auto"/>
        <w:ind w:firstLine="422" w:firstLineChars="200"/>
        <w:rPr>
          <w:rFonts w:hint="eastAsia" w:ascii="宋体" w:hAnsi="宋体" w:eastAsia="宋体" w:cs="宋体"/>
          <w:b/>
          <w:szCs w:val="21"/>
        </w:rPr>
      </w:pPr>
    </w:p>
    <w:p w14:paraId="19188E5C">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课程名称：体育VI</w:t>
      </w:r>
    </w:p>
    <w:p w14:paraId="5E1A1E96">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kern w:val="0"/>
          <w:sz w:val="24"/>
        </w:rPr>
        <w:t>课程代码：1103010</w:t>
      </w:r>
    </w:p>
    <w:p w14:paraId="2B143F0E">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分：0.5</w:t>
      </w:r>
    </w:p>
    <w:p w14:paraId="42C3B867">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时：18</w:t>
      </w:r>
    </w:p>
    <w:p w14:paraId="698629B9">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先修课程：体育选项课</w:t>
      </w:r>
    </w:p>
    <w:p w14:paraId="5AFB8409">
      <w:pPr>
        <w:spacing w:line="360" w:lineRule="auto"/>
        <w:ind w:firstLine="482" w:firstLineChars="200"/>
        <w:rPr>
          <w:rFonts w:hint="eastAsia" w:ascii="宋体" w:hAnsi="宋体" w:eastAsia="宋体" w:cs="宋体"/>
          <w:b/>
          <w:bCs/>
          <w:kern w:val="0"/>
          <w:sz w:val="24"/>
        </w:rPr>
      </w:pPr>
      <w:r>
        <w:rPr>
          <w:rFonts w:ascii="Times New Roman" w:hAnsi="Times New Roman" w:eastAsia="宋体" w:cs="Times New Roman"/>
          <w:b/>
          <w:bCs/>
          <w:kern w:val="0"/>
          <w:sz w:val="24"/>
        </w:rPr>
        <w:t xml:space="preserve">适用专业：全校各专业  </w:t>
      </w:r>
      <w:r>
        <w:rPr>
          <w:rFonts w:hint="eastAsia" w:ascii="宋体" w:hAnsi="宋体" w:eastAsia="宋体" w:cs="宋体"/>
          <w:b/>
          <w:bCs/>
          <w:kern w:val="0"/>
          <w:sz w:val="24"/>
        </w:rPr>
        <w:t xml:space="preserve">                      </w:t>
      </w:r>
    </w:p>
    <w:p w14:paraId="7E052156">
      <w:pPr>
        <w:autoSpaceDE w:val="0"/>
        <w:autoSpaceDN w:val="0"/>
        <w:adjustRightInd w:val="0"/>
        <w:spacing w:before="62" w:beforeLines="20" w:after="62" w:afterLines="20" w:line="360" w:lineRule="auto"/>
        <w:jc w:val="left"/>
        <w:rPr>
          <w:rFonts w:hint="eastAsia" w:ascii="宋体" w:hAnsi="宋体" w:eastAsia="宋体" w:cs="宋体"/>
          <w:b/>
          <w:bCs/>
          <w:kern w:val="0"/>
          <w:szCs w:val="21"/>
        </w:rPr>
      </w:pPr>
      <w:r>
        <w:rPr>
          <w:rFonts w:hint="eastAsia" w:ascii="宋体" w:hAnsi="宋体" w:eastAsia="宋体" w:cs="宋体"/>
          <w:b/>
          <w:bCs/>
          <w:kern w:val="0"/>
          <w:sz w:val="24"/>
        </w:rPr>
        <w:t>一、课程简介</w:t>
      </w:r>
    </w:p>
    <w:p w14:paraId="25DCD8CE">
      <w:pPr>
        <w:autoSpaceDE w:val="0"/>
        <w:autoSpaceDN w:val="0"/>
        <w:adjustRightInd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本课程是面向全校各专业开设的以身体练习为主要手段，以培养学生体育人文素养和塑造健全人格为主要目的，以提高学生体质健康水平为主要目标的通识必修课。其教学安排在第三学年第五学期进行。课程主要采用线上+线下、自主锻炼、体质测试和课外体育俱乐部等组织形式作为本课程重要组成部分，从而巩固课内学习效果，培养学生自我锻炼意识和习惯。</w:t>
      </w:r>
    </w:p>
    <w:p w14:paraId="2476145B">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通过本课程的学习，实现大学3年体育课程教育，大学4年学生不间断体育健身与体能活动；实现体育教学、群体活动、体育竞赛协同发展；使学生掌握科学锻炼的基础知识、基本技能和有效方法，学会至少两项终身受益的体育锻炼项目，养成良好的锻炼习惯，为终身体育打下良好的基础。</w:t>
      </w:r>
    </w:p>
    <w:p w14:paraId="60F79F67">
      <w:pPr>
        <w:autoSpaceDE w:val="0"/>
        <w:autoSpaceDN w:val="0"/>
        <w:adjustRightInd w:val="0"/>
        <w:spacing w:before="62" w:beforeLines="20" w:after="62" w:afterLines="20" w:line="360" w:lineRule="auto"/>
        <w:jc w:val="left"/>
        <w:rPr>
          <w:rFonts w:hint="eastAsia" w:ascii="宋体" w:hAnsi="宋体" w:eastAsia="宋体" w:cs="宋体"/>
          <w:b/>
          <w:bCs/>
          <w:kern w:val="0"/>
          <w:sz w:val="24"/>
        </w:rPr>
      </w:pPr>
      <w:r>
        <w:rPr>
          <w:rFonts w:hint="eastAsia" w:ascii="宋体" w:hAnsi="宋体" w:eastAsia="宋体" w:cs="宋体"/>
          <w:b/>
          <w:bCs/>
          <w:kern w:val="0"/>
          <w:sz w:val="24"/>
        </w:rPr>
        <w:t>二、课程目标</w:t>
      </w:r>
    </w:p>
    <w:p w14:paraId="16AB230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爱好并积极参与各种体育活动，全面发展体能，能正确评价和测试自己的身体体质与健康状况，能够编制可行的个人锻炼计划。树立“健康第一”思想和正确的体育道德观，养成健康的生活方式，具有健康的体魄。学会运用适宜的方法调节自己的情绪，积极调整和改善自己的心理现状，在体育锻炼中体验运动的乐趣和成功的感觉，增强与他人交流沟通、团结合作的能力，正确处理好竞争与合作的关系，提高社会适应能力。</w:t>
      </w:r>
    </w:p>
    <w:p w14:paraId="3E6BEA55">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本课程支撑专业培养方案中毕业要求2、6(不同专业会略有区别，具体见培养方案中的毕业要求实现矩阵)，对应关系如下表所示。</w:t>
      </w:r>
    </w:p>
    <w:tbl>
      <w:tblPr>
        <w:tblStyle w:val="12"/>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6398"/>
        <w:gridCol w:w="1189"/>
      </w:tblGrid>
      <w:tr w14:paraId="7B6B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387" w:type="dxa"/>
            <w:vAlign w:val="center"/>
          </w:tcPr>
          <w:p w14:paraId="4D09A575">
            <w:pPr>
              <w:jc w:val="center"/>
              <w:rPr>
                <w:rFonts w:hint="eastAsia" w:ascii="宋体" w:hAnsi="宋体" w:eastAsia="宋体" w:cs="宋体"/>
                <w:b/>
                <w:bCs/>
              </w:rPr>
            </w:pPr>
            <w:r>
              <w:rPr>
                <w:rFonts w:hint="eastAsia" w:ascii="宋体" w:hAnsi="宋体" w:eastAsia="宋体" w:cs="宋体"/>
                <w:b/>
                <w:bCs/>
              </w:rPr>
              <w:t>毕业要求2</w:t>
            </w:r>
          </w:p>
          <w:p w14:paraId="061D4689">
            <w:pPr>
              <w:jc w:val="center"/>
              <w:rPr>
                <w:rFonts w:hint="eastAsia" w:ascii="宋体" w:hAnsi="宋体" w:eastAsia="宋体" w:cs="宋体"/>
                <w:b/>
                <w:bCs/>
              </w:rPr>
            </w:pPr>
            <w:r>
              <w:rPr>
                <w:rFonts w:hint="eastAsia" w:ascii="宋体" w:hAnsi="宋体" w:eastAsia="宋体" w:cs="宋体"/>
                <w:b/>
                <w:bCs/>
              </w:rPr>
              <w:t>教育情怀</w:t>
            </w:r>
          </w:p>
        </w:tc>
        <w:tc>
          <w:tcPr>
            <w:tcW w:w="6398" w:type="dxa"/>
            <w:vAlign w:val="center"/>
          </w:tcPr>
          <w:p w14:paraId="2C279EC2">
            <w:pPr>
              <w:rPr>
                <w:rFonts w:hint="eastAsia" w:ascii="宋体" w:hAnsi="宋体" w:eastAsia="宋体" w:cs="宋体"/>
              </w:rPr>
            </w:pPr>
            <w:r>
              <w:rPr>
                <w:rFonts w:hint="eastAsia" w:ascii="宋体" w:hAnsi="宋体" w:eastAsia="宋体" w:cs="宋体"/>
                <w:b/>
              </w:rPr>
              <w:t>指标点2-3</w:t>
            </w:r>
            <w:r>
              <w:rPr>
                <w:rFonts w:hint="eastAsia" w:ascii="宋体" w:hAnsi="宋体" w:eastAsia="宋体" w:cs="宋体"/>
              </w:rPr>
              <w:t>：【自身修养良好】具有较好的人文艺术底蕴与科学精神，言行举止符合教师职业标准，情感积极，人格健全，身心健康。</w:t>
            </w:r>
          </w:p>
        </w:tc>
        <w:tc>
          <w:tcPr>
            <w:tcW w:w="1189" w:type="dxa"/>
            <w:vAlign w:val="center"/>
          </w:tcPr>
          <w:p w14:paraId="070239AB">
            <w:pPr>
              <w:rPr>
                <w:rFonts w:hint="eastAsia" w:ascii="宋体" w:hAnsi="宋体" w:eastAsia="宋体" w:cs="宋体"/>
                <w:lang w:eastAsia="zh"/>
              </w:rPr>
            </w:pPr>
            <w:r>
              <w:rPr>
                <w:rFonts w:hint="eastAsia" w:ascii="宋体" w:hAnsi="宋体" w:eastAsia="宋体" w:cs="宋体"/>
              </w:rPr>
              <w:t>课程目标</w:t>
            </w:r>
            <w:r>
              <w:rPr>
                <w:rFonts w:hint="eastAsia" w:ascii="宋体" w:hAnsi="宋体" w:eastAsia="宋体" w:cs="宋体"/>
                <w:lang w:eastAsia="zh"/>
              </w:rPr>
              <w:t>1</w:t>
            </w:r>
          </w:p>
        </w:tc>
      </w:tr>
      <w:tr w14:paraId="4EE2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545DE571">
            <w:pPr>
              <w:jc w:val="center"/>
              <w:rPr>
                <w:rFonts w:hint="eastAsia" w:ascii="宋体" w:hAnsi="宋体" w:eastAsia="宋体" w:cs="宋体"/>
                <w:b/>
                <w:bCs/>
              </w:rPr>
            </w:pPr>
            <w:r>
              <w:rPr>
                <w:rFonts w:hint="eastAsia" w:ascii="宋体" w:hAnsi="宋体" w:eastAsia="宋体" w:cs="宋体"/>
                <w:b/>
                <w:bCs/>
              </w:rPr>
              <w:t>毕业要求6</w:t>
            </w:r>
          </w:p>
          <w:p w14:paraId="31380C79">
            <w:pPr>
              <w:jc w:val="center"/>
              <w:rPr>
                <w:rFonts w:hint="eastAsia" w:ascii="宋体" w:hAnsi="宋体" w:eastAsia="宋体" w:cs="宋体"/>
                <w:b/>
                <w:bCs/>
              </w:rPr>
            </w:pPr>
            <w:r>
              <w:rPr>
                <w:rFonts w:hint="eastAsia" w:ascii="宋体" w:hAnsi="宋体" w:eastAsia="宋体" w:cs="宋体"/>
                <w:b/>
                <w:bCs/>
              </w:rPr>
              <w:t>综合育人</w:t>
            </w:r>
          </w:p>
        </w:tc>
        <w:tc>
          <w:tcPr>
            <w:tcW w:w="6398" w:type="dxa"/>
            <w:vAlign w:val="center"/>
          </w:tcPr>
          <w:p w14:paraId="4E43516D">
            <w:pPr>
              <w:rPr>
                <w:rFonts w:hint="eastAsia" w:ascii="宋体" w:hAnsi="宋体" w:eastAsia="宋体" w:cs="宋体"/>
              </w:rPr>
            </w:pPr>
            <w:r>
              <w:rPr>
                <w:rFonts w:hint="eastAsia" w:ascii="宋体" w:hAnsi="宋体" w:eastAsia="宋体" w:cs="宋体"/>
                <w:b/>
              </w:rPr>
              <w:t>指标点6-3</w:t>
            </w:r>
            <w:r>
              <w:rPr>
                <w:rFonts w:hint="eastAsia" w:ascii="宋体" w:hAnsi="宋体" w:eastAsia="宋体" w:cs="宋体"/>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89" w:type="dxa"/>
            <w:vAlign w:val="center"/>
          </w:tcPr>
          <w:p w14:paraId="0797A9C7">
            <w:pPr>
              <w:rPr>
                <w:rFonts w:hint="eastAsia" w:ascii="宋体" w:hAnsi="宋体" w:eastAsia="宋体" w:cs="宋体"/>
              </w:rPr>
            </w:pPr>
            <w:r>
              <w:rPr>
                <w:rFonts w:hint="eastAsia" w:ascii="宋体" w:hAnsi="宋体" w:eastAsia="宋体" w:cs="宋体"/>
              </w:rPr>
              <w:t>课程目标1</w:t>
            </w:r>
          </w:p>
          <w:p w14:paraId="6058EF56">
            <w:pPr>
              <w:rPr>
                <w:rFonts w:hint="eastAsia" w:ascii="宋体" w:hAnsi="宋体" w:eastAsia="宋体" w:cs="宋体"/>
              </w:rPr>
            </w:pPr>
            <w:r>
              <w:rPr>
                <w:rFonts w:hint="eastAsia" w:ascii="宋体" w:hAnsi="宋体" w:eastAsia="宋体" w:cs="宋体"/>
              </w:rPr>
              <w:t>课程目标2</w:t>
            </w:r>
          </w:p>
        </w:tc>
      </w:tr>
    </w:tbl>
    <w:p w14:paraId="69BA8DE1">
      <w:pPr>
        <w:numPr>
          <w:ilvl w:val="0"/>
          <w:numId w:val="6"/>
        </w:num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教学内容与预期学习成效</w:t>
      </w:r>
    </w:p>
    <w:tbl>
      <w:tblPr>
        <w:tblStyle w:val="1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4027"/>
        <w:gridCol w:w="2706"/>
        <w:gridCol w:w="780"/>
        <w:gridCol w:w="951"/>
      </w:tblGrid>
      <w:tr w14:paraId="1784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Align w:val="center"/>
          </w:tcPr>
          <w:p w14:paraId="34E1D5D1">
            <w:pPr>
              <w:jc w:val="center"/>
              <w:rPr>
                <w:rFonts w:hint="eastAsia" w:ascii="宋体" w:hAnsi="宋体" w:eastAsia="宋体" w:cs="宋体"/>
                <w:b/>
                <w:bCs/>
                <w:szCs w:val="21"/>
              </w:rPr>
            </w:pPr>
            <w:r>
              <w:rPr>
                <w:rFonts w:hint="eastAsia" w:ascii="宋体" w:hAnsi="宋体" w:eastAsia="宋体" w:cs="宋体"/>
                <w:b/>
                <w:bCs/>
                <w:szCs w:val="21"/>
              </w:rPr>
              <w:t>序号</w:t>
            </w:r>
          </w:p>
        </w:tc>
        <w:tc>
          <w:tcPr>
            <w:tcW w:w="2219" w:type="pct"/>
            <w:vAlign w:val="center"/>
          </w:tcPr>
          <w:p w14:paraId="56D48E0A">
            <w:pPr>
              <w:jc w:val="center"/>
              <w:rPr>
                <w:rFonts w:hint="eastAsia" w:ascii="宋体" w:hAnsi="宋体" w:eastAsia="宋体" w:cs="宋体"/>
                <w:b/>
                <w:bCs/>
                <w:szCs w:val="21"/>
              </w:rPr>
            </w:pPr>
            <w:r>
              <w:rPr>
                <w:rFonts w:hint="eastAsia" w:ascii="宋体" w:hAnsi="宋体" w:eastAsia="宋体" w:cs="宋体"/>
                <w:b/>
                <w:bCs/>
                <w:szCs w:val="21"/>
              </w:rPr>
              <w:t>教学内容</w:t>
            </w:r>
          </w:p>
        </w:tc>
        <w:tc>
          <w:tcPr>
            <w:tcW w:w="1491" w:type="pct"/>
            <w:vAlign w:val="center"/>
          </w:tcPr>
          <w:p w14:paraId="3359EAAD">
            <w:pPr>
              <w:jc w:val="center"/>
              <w:rPr>
                <w:rFonts w:hint="eastAsia" w:ascii="宋体" w:hAnsi="宋体" w:eastAsia="宋体" w:cs="宋体"/>
                <w:b/>
                <w:bCs/>
                <w:szCs w:val="21"/>
              </w:rPr>
            </w:pPr>
            <w:r>
              <w:rPr>
                <w:rFonts w:hint="eastAsia" w:ascii="宋体" w:hAnsi="宋体" w:eastAsia="宋体" w:cs="宋体"/>
                <w:b/>
                <w:bCs/>
                <w:szCs w:val="21"/>
              </w:rPr>
              <w:t>预期学习成果</w:t>
            </w:r>
          </w:p>
        </w:tc>
        <w:tc>
          <w:tcPr>
            <w:tcW w:w="430" w:type="pct"/>
            <w:vAlign w:val="center"/>
          </w:tcPr>
          <w:p w14:paraId="1B8CCEE9">
            <w:pPr>
              <w:jc w:val="center"/>
              <w:rPr>
                <w:rFonts w:hint="eastAsia" w:ascii="宋体" w:hAnsi="宋体" w:eastAsia="宋体" w:cs="宋体"/>
                <w:b/>
                <w:bCs/>
                <w:szCs w:val="21"/>
              </w:rPr>
            </w:pPr>
            <w:r>
              <w:rPr>
                <w:rFonts w:hint="eastAsia" w:ascii="宋体" w:hAnsi="宋体" w:eastAsia="宋体" w:cs="宋体"/>
                <w:b/>
                <w:bCs/>
                <w:szCs w:val="21"/>
              </w:rPr>
              <w:t>教学学时</w:t>
            </w:r>
          </w:p>
        </w:tc>
        <w:tc>
          <w:tcPr>
            <w:tcW w:w="523" w:type="pct"/>
            <w:vAlign w:val="center"/>
          </w:tcPr>
          <w:p w14:paraId="03EA6EE1">
            <w:pPr>
              <w:jc w:val="center"/>
              <w:rPr>
                <w:rFonts w:hint="eastAsia" w:ascii="宋体" w:hAnsi="宋体" w:eastAsia="宋体" w:cs="宋体"/>
                <w:b/>
                <w:bCs/>
                <w:szCs w:val="21"/>
              </w:rPr>
            </w:pPr>
            <w:r>
              <w:rPr>
                <w:rFonts w:hint="eastAsia" w:ascii="宋体" w:hAnsi="宋体" w:eastAsia="宋体" w:cs="宋体"/>
                <w:b/>
                <w:bCs/>
                <w:szCs w:val="21"/>
              </w:rPr>
              <w:t>教学</w:t>
            </w:r>
          </w:p>
          <w:p w14:paraId="53AC63FC">
            <w:pPr>
              <w:jc w:val="center"/>
              <w:rPr>
                <w:rFonts w:hint="eastAsia" w:ascii="宋体" w:hAnsi="宋体" w:eastAsia="宋体" w:cs="宋体"/>
                <w:b/>
                <w:bCs/>
                <w:szCs w:val="21"/>
              </w:rPr>
            </w:pPr>
            <w:r>
              <w:rPr>
                <w:rFonts w:hint="eastAsia" w:ascii="宋体" w:hAnsi="宋体" w:eastAsia="宋体" w:cs="宋体"/>
                <w:b/>
                <w:bCs/>
                <w:szCs w:val="21"/>
              </w:rPr>
              <w:t>方式</w:t>
            </w:r>
          </w:p>
        </w:tc>
      </w:tr>
      <w:tr w14:paraId="094AD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5728CA03">
            <w:pPr>
              <w:jc w:val="center"/>
              <w:rPr>
                <w:rFonts w:hint="eastAsia" w:ascii="宋体" w:hAnsi="宋体" w:eastAsia="宋体" w:cs="宋体"/>
                <w:szCs w:val="21"/>
              </w:rPr>
            </w:pPr>
            <w:r>
              <w:rPr>
                <w:rFonts w:hint="eastAsia" w:ascii="宋体" w:hAnsi="宋体" w:eastAsia="宋体" w:cs="宋体"/>
                <w:szCs w:val="21"/>
              </w:rPr>
              <w:t>1</w:t>
            </w:r>
          </w:p>
        </w:tc>
        <w:tc>
          <w:tcPr>
            <w:tcW w:w="2219" w:type="pct"/>
            <w:vAlign w:val="center"/>
          </w:tcPr>
          <w:p w14:paraId="52DAB12D">
            <w:pPr>
              <w:jc w:val="left"/>
              <w:rPr>
                <w:rFonts w:hint="eastAsia" w:ascii="宋体" w:hAnsi="宋体" w:eastAsia="宋体" w:cs="宋体"/>
                <w:b/>
                <w:szCs w:val="21"/>
              </w:rPr>
            </w:pPr>
            <w:r>
              <w:rPr>
                <w:rFonts w:hint="eastAsia" w:ascii="宋体" w:hAnsi="宋体" w:eastAsia="宋体" w:cs="宋体"/>
                <w:b/>
                <w:szCs w:val="21"/>
              </w:rPr>
              <w:t>㈠体育理论部分:</w:t>
            </w:r>
          </w:p>
          <w:p w14:paraId="2ACBEE41">
            <w:pPr>
              <w:jc w:val="left"/>
              <w:rPr>
                <w:rFonts w:hint="eastAsia" w:ascii="宋体" w:hAnsi="宋体" w:eastAsia="宋体" w:cs="宋体"/>
                <w:bCs/>
                <w:szCs w:val="22"/>
              </w:rPr>
            </w:pPr>
            <w:r>
              <w:rPr>
                <w:rFonts w:hint="eastAsia" w:ascii="宋体" w:hAnsi="宋体" w:eastAsia="宋体" w:cs="宋体"/>
                <w:bCs/>
                <w:szCs w:val="22"/>
              </w:rPr>
              <w:t>1.学生思想政治教育：我校体育运动发展概况、国家领导人与体育、奥运明星的励志故事、社会主义核心价值观与体育等；</w:t>
            </w:r>
          </w:p>
          <w:p w14:paraId="6C800475">
            <w:pPr>
              <w:jc w:val="left"/>
              <w:rPr>
                <w:rFonts w:hint="eastAsia" w:ascii="宋体" w:hAnsi="宋体" w:eastAsia="宋体" w:cs="宋体"/>
                <w:szCs w:val="22"/>
              </w:rPr>
            </w:pPr>
            <w:r>
              <w:rPr>
                <w:rFonts w:hint="eastAsia" w:ascii="宋体" w:hAnsi="宋体" w:eastAsia="宋体" w:cs="宋体"/>
                <w:bCs/>
                <w:szCs w:val="22"/>
              </w:rPr>
              <w:t>2.</w:t>
            </w:r>
            <w:r>
              <w:rPr>
                <w:rFonts w:hint="eastAsia" w:ascii="宋体" w:hAnsi="宋体" w:eastAsia="宋体" w:cs="宋体"/>
                <w:szCs w:val="22"/>
              </w:rPr>
              <w:t>体育安全教育：体育运动伤害事故的安全教育及预防与处理措施、常见运动损伤的预防与处理等；</w:t>
            </w:r>
          </w:p>
          <w:p w14:paraId="0637FC56">
            <w:pPr>
              <w:jc w:val="left"/>
              <w:rPr>
                <w:rFonts w:hint="eastAsia" w:ascii="宋体" w:hAnsi="宋体" w:eastAsia="宋体" w:cs="宋体"/>
                <w:kern w:val="0"/>
                <w:szCs w:val="21"/>
              </w:rPr>
            </w:pPr>
            <w:r>
              <w:rPr>
                <w:rFonts w:hint="eastAsia" w:ascii="宋体" w:hAnsi="宋体" w:eastAsia="宋体" w:cs="宋体"/>
                <w:szCs w:val="22"/>
              </w:rPr>
              <w:t>3.体育基本理论：各运动项目的基本技战术知识、组织与竞赛、基本规则和裁判法，运动健身的基本原理与锻炼方法，体育锻炼的自我监督与评价，体育养生与保健知识等；</w:t>
            </w:r>
          </w:p>
        </w:tc>
        <w:tc>
          <w:tcPr>
            <w:tcW w:w="1491" w:type="pct"/>
            <w:vAlign w:val="center"/>
          </w:tcPr>
          <w:p w14:paraId="2CD81E39">
            <w:pPr>
              <w:autoSpaceDE w:val="0"/>
              <w:autoSpaceDN w:val="0"/>
              <w:adjustRightInd w:val="0"/>
              <w:jc w:val="left"/>
              <w:rPr>
                <w:rFonts w:hint="eastAsia" w:ascii="宋体" w:hAnsi="宋体" w:eastAsia="宋体" w:cs="宋体"/>
                <w:kern w:val="0"/>
                <w:szCs w:val="21"/>
              </w:rPr>
            </w:pPr>
            <w:r>
              <w:rPr>
                <w:rFonts w:hint="eastAsia" w:ascii="宋体" w:hAnsi="宋体" w:eastAsia="宋体" w:cs="宋体"/>
                <w:kern w:val="0"/>
                <w:szCs w:val="21"/>
              </w:rPr>
              <w:t>通过教学，提高对体育的正确认识，形成正确积极的体育态度，学会运用科学理论指导健身锻炼实际，从而自觉遵循体育运动的规律，实现体育锻炼的目的。</w:t>
            </w:r>
          </w:p>
        </w:tc>
        <w:tc>
          <w:tcPr>
            <w:tcW w:w="430" w:type="pct"/>
            <w:vAlign w:val="center"/>
          </w:tcPr>
          <w:p w14:paraId="7A0C4646">
            <w:pPr>
              <w:jc w:val="center"/>
              <w:rPr>
                <w:rFonts w:hint="eastAsia" w:ascii="宋体" w:hAnsi="宋体" w:eastAsia="宋体" w:cs="宋体"/>
                <w:szCs w:val="21"/>
              </w:rPr>
            </w:pPr>
            <w:r>
              <w:rPr>
                <w:rFonts w:hint="eastAsia" w:ascii="宋体" w:hAnsi="宋体" w:eastAsia="宋体" w:cs="宋体"/>
                <w:szCs w:val="21"/>
              </w:rPr>
              <w:t>2</w:t>
            </w:r>
          </w:p>
        </w:tc>
        <w:tc>
          <w:tcPr>
            <w:tcW w:w="523" w:type="pct"/>
            <w:vAlign w:val="center"/>
          </w:tcPr>
          <w:p w14:paraId="43F0D5E7">
            <w:pPr>
              <w:jc w:val="left"/>
              <w:rPr>
                <w:rFonts w:hint="eastAsia" w:ascii="宋体" w:hAnsi="宋体" w:eastAsia="宋体" w:cs="宋体"/>
                <w:szCs w:val="21"/>
              </w:rPr>
            </w:pPr>
            <w:r>
              <w:rPr>
                <w:rFonts w:hint="eastAsia" w:ascii="宋体" w:hAnsi="宋体" w:eastAsia="宋体" w:cs="宋体"/>
                <w:szCs w:val="21"/>
              </w:rPr>
              <w:t>讲授法</w:t>
            </w:r>
          </w:p>
        </w:tc>
      </w:tr>
      <w:tr w14:paraId="7D2B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181114A6">
            <w:pPr>
              <w:jc w:val="center"/>
              <w:rPr>
                <w:rFonts w:hint="eastAsia" w:ascii="宋体" w:hAnsi="宋体" w:eastAsia="宋体" w:cs="宋体"/>
                <w:szCs w:val="21"/>
              </w:rPr>
            </w:pPr>
          </w:p>
        </w:tc>
        <w:tc>
          <w:tcPr>
            <w:tcW w:w="4664" w:type="pct"/>
            <w:gridSpan w:val="4"/>
            <w:vAlign w:val="center"/>
          </w:tcPr>
          <w:p w14:paraId="6251F4DA">
            <w:pPr>
              <w:rPr>
                <w:rFonts w:hint="eastAsia" w:ascii="宋体" w:hAnsi="宋体" w:eastAsia="宋体" w:cs="宋体"/>
                <w:szCs w:val="21"/>
              </w:rPr>
            </w:pPr>
            <w:r>
              <w:rPr>
                <w:rFonts w:hint="eastAsia" w:ascii="宋体" w:hAnsi="宋体" w:eastAsia="宋体" w:cs="宋体"/>
                <w:b/>
                <w:bCs/>
                <w:szCs w:val="21"/>
              </w:rPr>
              <w:t>思政元素：</w:t>
            </w:r>
            <w:r>
              <w:rPr>
                <w:rFonts w:hint="eastAsia" w:ascii="宋体" w:hAnsi="宋体" w:eastAsia="宋体" w:cs="宋体"/>
                <w:kern w:val="0"/>
                <w:szCs w:val="21"/>
              </w:rPr>
              <w:t>理想信念、国家认同和社会主义核心价值观等教育；安全意识、健康意识教育</w:t>
            </w:r>
          </w:p>
        </w:tc>
      </w:tr>
      <w:tr w14:paraId="3B82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restart"/>
            <w:vAlign w:val="center"/>
          </w:tcPr>
          <w:p w14:paraId="7D561E7B">
            <w:pPr>
              <w:jc w:val="center"/>
              <w:rPr>
                <w:rFonts w:hint="eastAsia" w:ascii="宋体" w:hAnsi="宋体" w:eastAsia="宋体" w:cs="宋体"/>
                <w:szCs w:val="21"/>
              </w:rPr>
            </w:pPr>
            <w:r>
              <w:rPr>
                <w:rFonts w:hint="eastAsia" w:ascii="宋体" w:hAnsi="宋体" w:eastAsia="宋体" w:cs="宋体"/>
                <w:szCs w:val="21"/>
              </w:rPr>
              <w:t>2</w:t>
            </w:r>
          </w:p>
        </w:tc>
        <w:tc>
          <w:tcPr>
            <w:tcW w:w="2219" w:type="pct"/>
            <w:vAlign w:val="center"/>
          </w:tcPr>
          <w:p w14:paraId="6BDC4141">
            <w:pPr>
              <w:jc w:val="left"/>
              <w:rPr>
                <w:rFonts w:hint="eastAsia" w:ascii="宋体" w:hAnsi="宋体" w:eastAsia="宋体" w:cs="宋体"/>
                <w:b/>
                <w:szCs w:val="21"/>
              </w:rPr>
            </w:pPr>
            <w:r>
              <w:rPr>
                <w:rFonts w:hint="eastAsia" w:ascii="宋体" w:hAnsi="宋体" w:eastAsia="宋体" w:cs="宋体"/>
                <w:b/>
                <w:szCs w:val="21"/>
              </w:rPr>
              <w:t>㈡实践部分：</w:t>
            </w:r>
          </w:p>
          <w:p w14:paraId="7BC03C17">
            <w:pPr>
              <w:rPr>
                <w:rFonts w:hint="eastAsia" w:ascii="宋体" w:hAnsi="宋体" w:eastAsia="宋体" w:cs="宋体"/>
                <w:kern w:val="0"/>
                <w:szCs w:val="21"/>
              </w:rPr>
            </w:pPr>
            <w:r>
              <w:rPr>
                <w:rFonts w:hint="eastAsia" w:ascii="宋体" w:hAnsi="宋体" w:eastAsia="宋体" w:cs="宋体"/>
                <w:bCs/>
                <w:szCs w:val="22"/>
              </w:rPr>
              <w:t>各运动项目和国家学生体质健康标准测试的身体素质项目为主，主要包括体质测试、早锻炼、学生课外健身活动以及校级、院级和体育社团组织的各种体育比赛活动等。</w:t>
            </w:r>
          </w:p>
        </w:tc>
        <w:tc>
          <w:tcPr>
            <w:tcW w:w="1491" w:type="pct"/>
            <w:vAlign w:val="center"/>
          </w:tcPr>
          <w:p w14:paraId="18CE4AB3">
            <w:pPr>
              <w:rPr>
                <w:rFonts w:hint="eastAsia" w:ascii="宋体" w:hAnsi="宋体" w:eastAsia="宋体" w:cs="宋体"/>
                <w:szCs w:val="21"/>
              </w:rPr>
            </w:pPr>
            <w:r>
              <w:rPr>
                <w:rFonts w:hint="eastAsia" w:ascii="宋体" w:hAnsi="宋体" w:eastAsia="宋体" w:cs="宋体"/>
                <w:szCs w:val="21"/>
              </w:rPr>
              <w:t>通过课外实践，使学生巩固课内学习效果，掌握科学锻炼的基础知识、基本技能和有效方法，发展身体素质；在运动中体验运动的乐趣和成功的感觉；选择适宜的体育活动调节自己的情绪，减轻学习压力，提高学习效率；表现出良好的体育道德和合作精神；正确处理竞争与合作的关系。通过体育活动，建立良好的人际关系；达到“国家体质健康标准”</w:t>
            </w:r>
            <w:r>
              <w:rPr>
                <w:rFonts w:hint="eastAsia" w:ascii="宋体" w:hAnsi="宋体" w:eastAsia="宋体" w:cs="宋体"/>
                <w:kern w:val="0"/>
                <w:szCs w:val="21"/>
              </w:rPr>
              <w:t>。。</w:t>
            </w:r>
          </w:p>
        </w:tc>
        <w:tc>
          <w:tcPr>
            <w:tcW w:w="430" w:type="pct"/>
            <w:vAlign w:val="center"/>
          </w:tcPr>
          <w:p w14:paraId="3D1470BF">
            <w:pPr>
              <w:jc w:val="center"/>
              <w:rPr>
                <w:rFonts w:hint="eastAsia" w:ascii="宋体" w:hAnsi="宋体" w:eastAsia="宋体" w:cs="宋体"/>
                <w:szCs w:val="21"/>
              </w:rPr>
            </w:pPr>
            <w:r>
              <w:rPr>
                <w:rFonts w:hint="eastAsia" w:ascii="宋体" w:hAnsi="宋体" w:eastAsia="宋体" w:cs="宋体"/>
                <w:szCs w:val="21"/>
              </w:rPr>
              <w:t>16</w:t>
            </w:r>
          </w:p>
        </w:tc>
        <w:tc>
          <w:tcPr>
            <w:tcW w:w="523" w:type="pct"/>
            <w:vAlign w:val="center"/>
          </w:tcPr>
          <w:p w14:paraId="5436204F">
            <w:pPr>
              <w:rPr>
                <w:rFonts w:hint="eastAsia" w:ascii="宋体" w:hAnsi="宋体" w:eastAsia="宋体" w:cs="宋体"/>
                <w:szCs w:val="21"/>
              </w:rPr>
            </w:pPr>
            <w:r>
              <w:rPr>
                <w:rFonts w:hint="eastAsia" w:ascii="宋体" w:hAnsi="宋体" w:eastAsia="宋体" w:cs="宋体"/>
                <w:szCs w:val="21"/>
              </w:rPr>
              <w:t>讲授法演示法练习法</w:t>
            </w:r>
          </w:p>
        </w:tc>
      </w:tr>
      <w:tr w14:paraId="4A9E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5" w:type="pct"/>
            <w:vMerge w:val="continue"/>
            <w:vAlign w:val="center"/>
          </w:tcPr>
          <w:p w14:paraId="1255846D">
            <w:pPr>
              <w:jc w:val="center"/>
              <w:rPr>
                <w:rFonts w:hint="eastAsia" w:ascii="宋体" w:hAnsi="宋体" w:eastAsia="宋体" w:cs="宋体"/>
                <w:szCs w:val="21"/>
              </w:rPr>
            </w:pPr>
          </w:p>
        </w:tc>
        <w:tc>
          <w:tcPr>
            <w:tcW w:w="4664" w:type="pct"/>
            <w:gridSpan w:val="4"/>
            <w:vAlign w:val="center"/>
          </w:tcPr>
          <w:p w14:paraId="75C6119A">
            <w:pPr>
              <w:rPr>
                <w:rFonts w:hint="eastAsia" w:ascii="宋体" w:hAnsi="宋体" w:eastAsia="宋体" w:cs="宋体"/>
                <w:szCs w:val="21"/>
              </w:rPr>
            </w:pPr>
            <w:r>
              <w:rPr>
                <w:rFonts w:hint="eastAsia" w:ascii="宋体" w:hAnsi="宋体" w:eastAsia="宋体" w:cs="宋体"/>
                <w:b/>
                <w:bCs/>
                <w:szCs w:val="21"/>
              </w:rPr>
              <w:t>思政元素：</w:t>
            </w:r>
            <w:r>
              <w:rPr>
                <w:rFonts w:hint="eastAsia" w:ascii="宋体" w:hAnsi="宋体" w:eastAsia="宋体" w:cs="宋体"/>
                <w:kern w:val="0"/>
                <w:szCs w:val="21"/>
              </w:rPr>
              <w:t>爱国主义和集体主义教育；体育道德观、意志品德培育；规则意识和诚信意识教育。</w:t>
            </w:r>
          </w:p>
        </w:tc>
      </w:tr>
    </w:tbl>
    <w:p w14:paraId="31A99DD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五、课程实施</w:t>
      </w:r>
    </w:p>
    <w:p w14:paraId="5318DC87">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（一）方法与手段</w:t>
      </w:r>
    </w:p>
    <w:p w14:paraId="7BD11350">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采用线上+线下、自主锻炼、体质测试和课外体育俱乐部等组织形式。</w:t>
      </w:r>
    </w:p>
    <w:p w14:paraId="1EDECFF6">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（二）课程实施与保障</w:t>
      </w:r>
    </w:p>
    <w:tbl>
      <w:tblPr>
        <w:tblStyle w:val="11"/>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52"/>
        <w:gridCol w:w="6640"/>
      </w:tblGrid>
      <w:tr w14:paraId="691FE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1" w:type="dxa"/>
            <w:gridSpan w:val="2"/>
            <w:tcBorders>
              <w:top w:val="single" w:color="auto" w:sz="4" w:space="0"/>
              <w:left w:val="single" w:color="auto" w:sz="4" w:space="0"/>
              <w:right w:val="single" w:color="auto" w:sz="4" w:space="0"/>
            </w:tcBorders>
            <w:tcMar>
              <w:left w:w="28" w:type="dxa"/>
              <w:right w:w="28" w:type="dxa"/>
            </w:tcMar>
            <w:vAlign w:val="center"/>
          </w:tcPr>
          <w:p w14:paraId="64DCD96C">
            <w:pPr>
              <w:jc w:val="center"/>
              <w:rPr>
                <w:rFonts w:hint="eastAsia" w:ascii="宋体" w:hAnsi="宋体" w:eastAsia="宋体" w:cs="宋体"/>
                <w:szCs w:val="21"/>
              </w:rPr>
            </w:pPr>
            <w:r>
              <w:rPr>
                <w:rFonts w:hint="eastAsia" w:ascii="宋体" w:hAnsi="宋体" w:eastAsia="宋体" w:cs="宋体"/>
                <w:b/>
                <w:bCs/>
                <w:szCs w:val="21"/>
              </w:rPr>
              <w:t>主要环节</w:t>
            </w:r>
          </w:p>
        </w:tc>
        <w:tc>
          <w:tcPr>
            <w:tcW w:w="6640" w:type="dxa"/>
            <w:tcBorders>
              <w:top w:val="single" w:color="auto" w:sz="4" w:space="0"/>
              <w:left w:val="single" w:color="auto" w:sz="4" w:space="0"/>
              <w:right w:val="single" w:color="auto" w:sz="4" w:space="0"/>
            </w:tcBorders>
            <w:vAlign w:val="center"/>
          </w:tcPr>
          <w:p w14:paraId="078DE1E6">
            <w:pPr>
              <w:jc w:val="center"/>
              <w:rPr>
                <w:rFonts w:hint="eastAsia" w:ascii="宋体" w:hAnsi="宋体" w:eastAsia="宋体" w:cs="宋体"/>
                <w:szCs w:val="21"/>
              </w:rPr>
            </w:pPr>
            <w:r>
              <w:rPr>
                <w:rFonts w:hint="eastAsia" w:ascii="宋体" w:hAnsi="宋体" w:eastAsia="宋体" w:cs="宋体"/>
                <w:b/>
                <w:bCs/>
                <w:szCs w:val="21"/>
              </w:rPr>
              <w:t>质量要求</w:t>
            </w:r>
          </w:p>
        </w:tc>
      </w:tr>
      <w:tr w14:paraId="3B11D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4" w:space="0"/>
              <w:right w:val="single" w:color="auto" w:sz="4" w:space="0"/>
            </w:tcBorders>
            <w:vAlign w:val="center"/>
          </w:tcPr>
          <w:p w14:paraId="08600938">
            <w:pPr>
              <w:jc w:val="center"/>
              <w:rPr>
                <w:rFonts w:hint="eastAsia" w:ascii="宋体" w:hAnsi="宋体" w:eastAsia="宋体" w:cs="宋体"/>
                <w:szCs w:val="21"/>
              </w:rPr>
            </w:pPr>
            <w:r>
              <w:rPr>
                <w:rFonts w:hint="eastAsia" w:ascii="宋体" w:hAnsi="宋体" w:eastAsia="宋体" w:cs="宋体"/>
                <w:szCs w:val="21"/>
              </w:rPr>
              <w:t>1</w:t>
            </w:r>
          </w:p>
        </w:tc>
        <w:tc>
          <w:tcPr>
            <w:tcW w:w="1252" w:type="dxa"/>
            <w:tcBorders>
              <w:left w:val="single" w:color="auto" w:sz="4" w:space="0"/>
              <w:right w:val="single" w:color="auto" w:sz="4" w:space="0"/>
            </w:tcBorders>
            <w:tcMar>
              <w:left w:w="28" w:type="dxa"/>
              <w:right w:w="28" w:type="dxa"/>
            </w:tcMar>
            <w:vAlign w:val="center"/>
          </w:tcPr>
          <w:p w14:paraId="674E644F">
            <w:pPr>
              <w:spacing w:line="360" w:lineRule="auto"/>
              <w:jc w:val="center"/>
              <w:rPr>
                <w:rFonts w:hint="eastAsia" w:ascii="宋体" w:hAnsi="宋体" w:eastAsia="宋体" w:cs="宋体"/>
                <w:szCs w:val="21"/>
              </w:rPr>
            </w:pPr>
            <w:r>
              <w:rPr>
                <w:rFonts w:hint="eastAsia" w:ascii="宋体" w:hAnsi="宋体" w:eastAsia="宋体" w:cs="宋体"/>
                <w:szCs w:val="21"/>
              </w:rPr>
              <w:t>课外锻炼</w:t>
            </w:r>
          </w:p>
        </w:tc>
        <w:tc>
          <w:tcPr>
            <w:tcW w:w="6640" w:type="dxa"/>
            <w:tcBorders>
              <w:left w:val="single" w:color="auto" w:sz="4" w:space="0"/>
              <w:right w:val="single" w:color="auto" w:sz="4" w:space="0"/>
            </w:tcBorders>
            <w:vAlign w:val="center"/>
          </w:tcPr>
          <w:p w14:paraId="456B2907">
            <w:pPr>
              <w:autoSpaceDE w:val="0"/>
              <w:autoSpaceDN w:val="0"/>
              <w:adjustRightInd w:val="0"/>
              <w:snapToGrid w:val="0"/>
              <w:spacing w:line="312" w:lineRule="auto"/>
              <w:jc w:val="left"/>
              <w:rPr>
                <w:rFonts w:hint="eastAsia" w:ascii="宋体" w:hAnsi="宋体" w:eastAsia="宋体" w:cs="宋体"/>
                <w:kern w:val="0"/>
                <w:szCs w:val="21"/>
              </w:rPr>
            </w:pPr>
            <w:r>
              <w:rPr>
                <w:rFonts w:hint="eastAsia" w:ascii="宋体" w:hAnsi="宋体" w:eastAsia="宋体" w:cs="宋体"/>
                <w:kern w:val="0"/>
                <w:szCs w:val="21"/>
              </w:rPr>
              <w:t>学生利用课余时间通过参加体质测试、早锻炼、课外健身活动以及校级、院级和体育社团组织的各种体育比赛等活动，巩固课内学习效果，提高身体素质，培养学生自我锻炼意识和习惯。</w:t>
            </w:r>
          </w:p>
        </w:tc>
      </w:tr>
      <w:tr w14:paraId="1319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39" w:type="dxa"/>
            <w:tcBorders>
              <w:left w:val="single" w:color="auto" w:sz="4" w:space="0"/>
              <w:right w:val="single" w:color="auto" w:sz="4" w:space="0"/>
            </w:tcBorders>
            <w:vAlign w:val="center"/>
          </w:tcPr>
          <w:p w14:paraId="361E6FFB">
            <w:pPr>
              <w:jc w:val="center"/>
              <w:rPr>
                <w:rFonts w:hint="eastAsia" w:ascii="宋体" w:hAnsi="宋体" w:eastAsia="宋体" w:cs="宋体"/>
                <w:szCs w:val="21"/>
              </w:rPr>
            </w:pPr>
            <w:r>
              <w:rPr>
                <w:rFonts w:hint="eastAsia" w:ascii="宋体" w:hAnsi="宋体" w:eastAsia="宋体" w:cs="宋体"/>
                <w:szCs w:val="21"/>
              </w:rPr>
              <w:t>2</w:t>
            </w:r>
          </w:p>
        </w:tc>
        <w:tc>
          <w:tcPr>
            <w:tcW w:w="1252" w:type="dxa"/>
            <w:tcBorders>
              <w:left w:val="single" w:color="auto" w:sz="4" w:space="0"/>
              <w:right w:val="single" w:color="auto" w:sz="4" w:space="0"/>
            </w:tcBorders>
            <w:tcMar>
              <w:left w:w="28" w:type="dxa"/>
              <w:right w:w="28" w:type="dxa"/>
            </w:tcMar>
            <w:vAlign w:val="center"/>
          </w:tcPr>
          <w:p w14:paraId="48BAB50B">
            <w:pPr>
              <w:spacing w:line="360" w:lineRule="auto"/>
              <w:jc w:val="center"/>
              <w:rPr>
                <w:rFonts w:hint="eastAsia" w:ascii="宋体" w:hAnsi="宋体" w:eastAsia="宋体" w:cs="宋体"/>
                <w:szCs w:val="21"/>
              </w:rPr>
            </w:pPr>
            <w:r>
              <w:rPr>
                <w:rFonts w:hint="eastAsia" w:ascii="宋体" w:hAnsi="宋体" w:eastAsia="宋体" w:cs="宋体"/>
                <w:szCs w:val="21"/>
              </w:rPr>
              <w:t>体质测试</w:t>
            </w:r>
          </w:p>
        </w:tc>
        <w:tc>
          <w:tcPr>
            <w:tcW w:w="6640" w:type="dxa"/>
            <w:tcBorders>
              <w:left w:val="single" w:color="auto" w:sz="4" w:space="0"/>
              <w:right w:val="single" w:color="auto" w:sz="4" w:space="0"/>
            </w:tcBorders>
            <w:vAlign w:val="center"/>
          </w:tcPr>
          <w:p w14:paraId="3DC03E10">
            <w:pPr>
              <w:autoSpaceDE w:val="0"/>
              <w:autoSpaceDN w:val="0"/>
              <w:adjustRightInd w:val="0"/>
              <w:snapToGrid w:val="0"/>
              <w:spacing w:line="312" w:lineRule="auto"/>
              <w:jc w:val="left"/>
              <w:rPr>
                <w:rFonts w:hint="eastAsia" w:ascii="宋体" w:hAnsi="宋体" w:eastAsia="宋体" w:cs="宋体"/>
                <w:kern w:val="0"/>
                <w:szCs w:val="21"/>
              </w:rPr>
            </w:pPr>
            <w:r>
              <w:rPr>
                <w:rFonts w:hint="eastAsia" w:ascii="宋体" w:hAnsi="宋体" w:eastAsia="宋体" w:cs="宋体"/>
                <w:kern w:val="0"/>
                <w:szCs w:val="21"/>
              </w:rPr>
              <w:t>完成《国家学生体质健康标准》项目测试。</w:t>
            </w:r>
          </w:p>
        </w:tc>
      </w:tr>
      <w:tr w14:paraId="28A1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 w:type="dxa"/>
            <w:tcBorders>
              <w:left w:val="single" w:color="auto" w:sz="4" w:space="0"/>
              <w:right w:val="single" w:color="auto" w:sz="4" w:space="0"/>
            </w:tcBorders>
            <w:vAlign w:val="center"/>
          </w:tcPr>
          <w:p w14:paraId="5F2224F1">
            <w:pPr>
              <w:jc w:val="center"/>
              <w:rPr>
                <w:rFonts w:hint="eastAsia" w:ascii="宋体" w:hAnsi="宋体" w:eastAsia="宋体" w:cs="宋体"/>
                <w:szCs w:val="21"/>
              </w:rPr>
            </w:pPr>
            <w:r>
              <w:rPr>
                <w:rFonts w:hint="eastAsia" w:ascii="宋体" w:hAnsi="宋体" w:eastAsia="宋体" w:cs="宋体"/>
                <w:szCs w:val="21"/>
              </w:rPr>
              <w:t>3</w:t>
            </w:r>
          </w:p>
        </w:tc>
        <w:tc>
          <w:tcPr>
            <w:tcW w:w="1252" w:type="dxa"/>
            <w:tcBorders>
              <w:left w:val="single" w:color="auto" w:sz="4" w:space="0"/>
              <w:right w:val="single" w:color="auto" w:sz="4" w:space="0"/>
            </w:tcBorders>
            <w:tcMar>
              <w:left w:w="28" w:type="dxa"/>
              <w:right w:w="28" w:type="dxa"/>
            </w:tcMar>
            <w:vAlign w:val="center"/>
          </w:tcPr>
          <w:p w14:paraId="3BF01847">
            <w:pPr>
              <w:spacing w:line="360" w:lineRule="auto"/>
              <w:jc w:val="center"/>
              <w:rPr>
                <w:rFonts w:hint="eastAsia" w:ascii="宋体" w:hAnsi="宋体" w:eastAsia="宋体" w:cs="宋体"/>
                <w:szCs w:val="21"/>
              </w:rPr>
            </w:pPr>
            <w:r>
              <w:rPr>
                <w:rFonts w:hint="eastAsia" w:ascii="宋体" w:hAnsi="宋体" w:eastAsia="宋体" w:cs="宋体"/>
                <w:szCs w:val="21"/>
              </w:rPr>
              <w:t>成绩考核</w:t>
            </w:r>
          </w:p>
        </w:tc>
        <w:tc>
          <w:tcPr>
            <w:tcW w:w="6640" w:type="dxa"/>
            <w:tcBorders>
              <w:left w:val="single" w:color="auto" w:sz="4" w:space="0"/>
              <w:right w:val="single" w:color="auto" w:sz="4" w:space="0"/>
            </w:tcBorders>
            <w:vAlign w:val="center"/>
          </w:tcPr>
          <w:p w14:paraId="04E036C3">
            <w:pPr>
              <w:autoSpaceDE w:val="0"/>
              <w:autoSpaceDN w:val="0"/>
              <w:adjustRightInd w:val="0"/>
              <w:snapToGrid w:val="0"/>
              <w:spacing w:line="312" w:lineRule="auto"/>
              <w:jc w:val="left"/>
              <w:rPr>
                <w:rFonts w:hint="eastAsia" w:ascii="宋体" w:hAnsi="宋体" w:eastAsia="宋体" w:cs="宋体"/>
                <w:kern w:val="0"/>
                <w:szCs w:val="21"/>
              </w:rPr>
            </w:pPr>
            <w:r>
              <w:rPr>
                <w:rFonts w:hint="eastAsia" w:ascii="宋体" w:hAnsi="宋体" w:eastAsia="宋体" w:cs="宋体"/>
                <w:kern w:val="0"/>
                <w:szCs w:val="21"/>
              </w:rPr>
              <w:t>本课程考核的方式：以学生参加课外体育活动的考勤次数为依据。总评成绩的评定见《学生参加课外体育活动成绩评定标准》。</w:t>
            </w:r>
          </w:p>
        </w:tc>
      </w:tr>
    </w:tbl>
    <w:p w14:paraId="5575776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六、课程考核</w:t>
      </w:r>
    </w:p>
    <w:p w14:paraId="16738ACF">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（一）课程考核由课外体育活动和体质测试构成。</w:t>
      </w:r>
    </w:p>
    <w:p w14:paraId="69A0E47D">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（二）课程总评成绩=课外体育活动×50%+体质测试×50%。</w:t>
      </w:r>
    </w:p>
    <w:p w14:paraId="5C6A7F9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具体内容和比例如表所示。</w:t>
      </w:r>
    </w:p>
    <w:tbl>
      <w:tblPr>
        <w:tblStyle w:val="11"/>
        <w:tblW w:w="8478"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716"/>
        <w:gridCol w:w="750"/>
        <w:gridCol w:w="3046"/>
        <w:gridCol w:w="1349"/>
      </w:tblGrid>
      <w:tr w14:paraId="1F6F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617" w:type="dxa"/>
            <w:tcMar>
              <w:left w:w="57" w:type="dxa"/>
              <w:right w:w="57" w:type="dxa"/>
            </w:tcMar>
            <w:vAlign w:val="center"/>
          </w:tcPr>
          <w:p w14:paraId="7CAD2761">
            <w:pPr>
              <w:jc w:val="center"/>
              <w:rPr>
                <w:rFonts w:hint="eastAsia" w:ascii="宋体" w:hAnsi="宋体" w:eastAsia="宋体" w:cs="宋体"/>
                <w:szCs w:val="21"/>
              </w:rPr>
            </w:pPr>
            <w:r>
              <w:rPr>
                <w:rFonts w:hint="eastAsia" w:ascii="宋体" w:hAnsi="宋体" w:eastAsia="宋体" w:cs="宋体"/>
                <w:szCs w:val="21"/>
              </w:rPr>
              <w:t>成绩组成</w:t>
            </w:r>
          </w:p>
        </w:tc>
        <w:tc>
          <w:tcPr>
            <w:tcW w:w="1716" w:type="dxa"/>
            <w:vAlign w:val="center"/>
          </w:tcPr>
          <w:p w14:paraId="19CCB38B">
            <w:pPr>
              <w:jc w:val="center"/>
              <w:rPr>
                <w:rFonts w:hint="eastAsia" w:ascii="宋体" w:hAnsi="宋体" w:eastAsia="宋体" w:cs="宋体"/>
                <w:szCs w:val="21"/>
              </w:rPr>
            </w:pPr>
            <w:r>
              <w:rPr>
                <w:rFonts w:hint="eastAsia" w:ascii="宋体" w:hAnsi="宋体" w:eastAsia="宋体" w:cs="宋体"/>
                <w:szCs w:val="21"/>
              </w:rPr>
              <w:t>考核/评价环节</w:t>
            </w:r>
          </w:p>
        </w:tc>
        <w:tc>
          <w:tcPr>
            <w:tcW w:w="750" w:type="dxa"/>
            <w:vAlign w:val="center"/>
          </w:tcPr>
          <w:p w14:paraId="5D10A659">
            <w:pPr>
              <w:jc w:val="center"/>
              <w:rPr>
                <w:rFonts w:hint="eastAsia" w:ascii="宋体" w:hAnsi="宋体" w:eastAsia="宋体" w:cs="宋体"/>
                <w:szCs w:val="21"/>
              </w:rPr>
            </w:pPr>
            <w:r>
              <w:rPr>
                <w:rFonts w:hint="eastAsia" w:ascii="宋体" w:hAnsi="宋体" w:eastAsia="宋体" w:cs="宋体"/>
                <w:szCs w:val="21"/>
              </w:rPr>
              <w:t>权重</w:t>
            </w:r>
          </w:p>
        </w:tc>
        <w:tc>
          <w:tcPr>
            <w:tcW w:w="3046" w:type="dxa"/>
            <w:vAlign w:val="center"/>
          </w:tcPr>
          <w:p w14:paraId="62CA8FC7">
            <w:pPr>
              <w:jc w:val="center"/>
              <w:rPr>
                <w:rFonts w:hint="eastAsia" w:ascii="宋体" w:hAnsi="宋体" w:eastAsia="宋体" w:cs="宋体"/>
                <w:szCs w:val="21"/>
              </w:rPr>
            </w:pPr>
            <w:r>
              <w:rPr>
                <w:rFonts w:hint="eastAsia" w:ascii="宋体" w:hAnsi="宋体" w:eastAsia="宋体" w:cs="宋体"/>
                <w:szCs w:val="21"/>
              </w:rPr>
              <w:t>考核/评价细则</w:t>
            </w:r>
          </w:p>
        </w:tc>
        <w:tc>
          <w:tcPr>
            <w:tcW w:w="1349" w:type="dxa"/>
            <w:vAlign w:val="center"/>
          </w:tcPr>
          <w:p w14:paraId="0FFAB145">
            <w:pPr>
              <w:jc w:val="center"/>
              <w:rPr>
                <w:rFonts w:hint="eastAsia" w:ascii="宋体" w:hAnsi="宋体" w:eastAsia="宋体" w:cs="宋体"/>
                <w:szCs w:val="21"/>
              </w:rPr>
            </w:pPr>
            <w:r>
              <w:rPr>
                <w:rFonts w:hint="eastAsia" w:ascii="宋体" w:hAnsi="宋体" w:eastAsia="宋体" w:cs="宋体"/>
                <w:szCs w:val="21"/>
              </w:rPr>
              <w:t>对应的毕业要求指标点</w:t>
            </w:r>
          </w:p>
        </w:tc>
      </w:tr>
      <w:tr w14:paraId="6993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617" w:type="dxa"/>
            <w:tcMar>
              <w:left w:w="57" w:type="dxa"/>
              <w:right w:w="57" w:type="dxa"/>
            </w:tcMar>
            <w:vAlign w:val="center"/>
          </w:tcPr>
          <w:p w14:paraId="0C05B21D">
            <w:pPr>
              <w:jc w:val="center"/>
              <w:rPr>
                <w:rFonts w:hint="eastAsia" w:ascii="宋体" w:hAnsi="宋体" w:eastAsia="宋体" w:cs="宋体"/>
                <w:szCs w:val="21"/>
              </w:rPr>
            </w:pPr>
            <w:r>
              <w:rPr>
                <w:rFonts w:hint="eastAsia" w:ascii="宋体" w:hAnsi="宋体" w:eastAsia="宋体" w:cs="宋体"/>
                <w:szCs w:val="21"/>
              </w:rPr>
              <w:t>课外体育活动</w:t>
            </w:r>
          </w:p>
          <w:p w14:paraId="518EB855">
            <w:pPr>
              <w:jc w:val="center"/>
              <w:rPr>
                <w:rFonts w:hint="eastAsia" w:ascii="宋体" w:hAnsi="宋体" w:eastAsia="宋体" w:cs="宋体"/>
                <w:szCs w:val="21"/>
              </w:rPr>
            </w:pPr>
            <w:r>
              <w:rPr>
                <w:rFonts w:hint="eastAsia" w:ascii="宋体" w:hAnsi="宋体" w:eastAsia="宋体" w:cs="宋体"/>
                <w:szCs w:val="21"/>
              </w:rPr>
              <w:t>50%</w:t>
            </w:r>
          </w:p>
        </w:tc>
        <w:tc>
          <w:tcPr>
            <w:tcW w:w="1716" w:type="dxa"/>
            <w:vAlign w:val="center"/>
          </w:tcPr>
          <w:p w14:paraId="6B427EC0">
            <w:pPr>
              <w:jc w:val="center"/>
              <w:rPr>
                <w:rFonts w:hint="eastAsia" w:ascii="宋体" w:hAnsi="宋体" w:eastAsia="宋体" w:cs="宋体"/>
                <w:szCs w:val="21"/>
              </w:rPr>
            </w:pPr>
            <w:r>
              <w:rPr>
                <w:rFonts w:hint="eastAsia" w:ascii="宋体" w:hAnsi="宋体" w:eastAsia="宋体" w:cs="宋体"/>
                <w:szCs w:val="21"/>
              </w:rPr>
              <w:t>课外体育活动</w:t>
            </w:r>
          </w:p>
        </w:tc>
        <w:tc>
          <w:tcPr>
            <w:tcW w:w="750" w:type="dxa"/>
            <w:vAlign w:val="center"/>
          </w:tcPr>
          <w:p w14:paraId="71057ED6">
            <w:pPr>
              <w:jc w:val="center"/>
              <w:rPr>
                <w:rFonts w:hint="eastAsia" w:ascii="宋体" w:hAnsi="宋体" w:eastAsia="宋体" w:cs="宋体"/>
                <w:szCs w:val="21"/>
              </w:rPr>
            </w:pPr>
            <w:r>
              <w:rPr>
                <w:rFonts w:hint="eastAsia" w:ascii="宋体" w:hAnsi="宋体" w:eastAsia="宋体" w:cs="宋体"/>
                <w:szCs w:val="21"/>
              </w:rPr>
              <w:t>50%</w:t>
            </w:r>
          </w:p>
        </w:tc>
        <w:tc>
          <w:tcPr>
            <w:tcW w:w="3046" w:type="dxa"/>
            <w:vAlign w:val="center"/>
          </w:tcPr>
          <w:p w14:paraId="7ADFD7F1">
            <w:pPr>
              <w:jc w:val="left"/>
              <w:rPr>
                <w:rFonts w:hint="eastAsia" w:ascii="宋体" w:hAnsi="宋体" w:eastAsia="宋体" w:cs="宋体"/>
                <w:szCs w:val="21"/>
              </w:rPr>
            </w:pPr>
            <w:r>
              <w:rPr>
                <w:rFonts w:hint="eastAsia" w:ascii="宋体" w:hAnsi="宋体" w:eastAsia="宋体" w:cs="宋体"/>
                <w:szCs w:val="21"/>
              </w:rPr>
              <w:t>具体见《学生参加课外体育活动成绩评定标准（百分制）》</w:t>
            </w:r>
          </w:p>
        </w:tc>
        <w:tc>
          <w:tcPr>
            <w:tcW w:w="1349" w:type="dxa"/>
            <w:vAlign w:val="center"/>
          </w:tcPr>
          <w:p w14:paraId="786C30A8">
            <w:pPr>
              <w:jc w:val="center"/>
              <w:rPr>
                <w:rFonts w:hint="eastAsia" w:ascii="宋体" w:hAnsi="宋体" w:eastAsia="宋体" w:cs="宋体"/>
                <w:szCs w:val="21"/>
              </w:rPr>
            </w:pPr>
            <w:r>
              <w:rPr>
                <w:rFonts w:hint="eastAsia" w:ascii="宋体" w:hAnsi="宋体" w:eastAsia="宋体" w:cs="宋体"/>
                <w:szCs w:val="21"/>
              </w:rPr>
              <w:t>2、6</w:t>
            </w:r>
          </w:p>
        </w:tc>
      </w:tr>
      <w:tr w14:paraId="1309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617" w:type="dxa"/>
            <w:tcMar>
              <w:left w:w="57" w:type="dxa"/>
              <w:right w:w="57" w:type="dxa"/>
            </w:tcMar>
            <w:vAlign w:val="center"/>
          </w:tcPr>
          <w:p w14:paraId="6000CD29">
            <w:pPr>
              <w:jc w:val="center"/>
              <w:rPr>
                <w:rFonts w:hint="eastAsia" w:ascii="宋体" w:hAnsi="宋体" w:eastAsia="宋体" w:cs="宋体"/>
                <w:szCs w:val="21"/>
              </w:rPr>
            </w:pPr>
            <w:r>
              <w:rPr>
                <w:rFonts w:hint="eastAsia" w:ascii="宋体" w:hAnsi="宋体" w:eastAsia="宋体" w:cs="宋体"/>
                <w:szCs w:val="21"/>
              </w:rPr>
              <w:t>体质测试</w:t>
            </w:r>
          </w:p>
          <w:p w14:paraId="19CB933C">
            <w:pPr>
              <w:jc w:val="center"/>
              <w:rPr>
                <w:rFonts w:hint="eastAsia" w:ascii="宋体" w:hAnsi="宋体" w:eastAsia="宋体" w:cs="宋体"/>
                <w:szCs w:val="21"/>
              </w:rPr>
            </w:pPr>
            <w:r>
              <w:rPr>
                <w:rFonts w:hint="eastAsia" w:ascii="宋体" w:hAnsi="宋体" w:eastAsia="宋体" w:cs="宋体"/>
                <w:szCs w:val="21"/>
              </w:rPr>
              <w:t>50%</w:t>
            </w:r>
          </w:p>
        </w:tc>
        <w:tc>
          <w:tcPr>
            <w:tcW w:w="1716" w:type="dxa"/>
            <w:vAlign w:val="center"/>
          </w:tcPr>
          <w:p w14:paraId="31DC2982">
            <w:pPr>
              <w:jc w:val="center"/>
              <w:rPr>
                <w:rFonts w:hint="eastAsia" w:ascii="宋体" w:hAnsi="宋体" w:eastAsia="宋体" w:cs="宋体"/>
                <w:szCs w:val="21"/>
              </w:rPr>
            </w:pPr>
            <w:r>
              <w:rPr>
                <w:rFonts w:hint="eastAsia" w:ascii="宋体" w:hAnsi="宋体" w:eastAsia="宋体" w:cs="宋体"/>
                <w:szCs w:val="21"/>
              </w:rPr>
              <w:t>体质测试</w:t>
            </w:r>
          </w:p>
        </w:tc>
        <w:tc>
          <w:tcPr>
            <w:tcW w:w="750" w:type="dxa"/>
            <w:vAlign w:val="center"/>
          </w:tcPr>
          <w:p w14:paraId="6631295B">
            <w:pPr>
              <w:jc w:val="center"/>
              <w:rPr>
                <w:rFonts w:hint="eastAsia" w:ascii="宋体" w:hAnsi="宋体" w:eastAsia="宋体" w:cs="宋体"/>
                <w:szCs w:val="21"/>
              </w:rPr>
            </w:pPr>
            <w:r>
              <w:rPr>
                <w:rFonts w:hint="eastAsia" w:ascii="宋体" w:hAnsi="宋体" w:eastAsia="宋体" w:cs="宋体"/>
                <w:szCs w:val="21"/>
              </w:rPr>
              <w:t xml:space="preserve">   100%</w:t>
            </w:r>
          </w:p>
        </w:tc>
        <w:tc>
          <w:tcPr>
            <w:tcW w:w="3046" w:type="dxa"/>
            <w:vAlign w:val="center"/>
          </w:tcPr>
          <w:p w14:paraId="070C6CB1">
            <w:pPr>
              <w:rPr>
                <w:rFonts w:hint="eastAsia" w:ascii="宋体" w:hAnsi="宋体" w:eastAsia="宋体" w:cs="宋体"/>
                <w:szCs w:val="21"/>
              </w:rPr>
            </w:pPr>
            <w:r>
              <w:rPr>
                <w:rFonts w:hint="eastAsia" w:ascii="宋体" w:hAnsi="宋体" w:eastAsia="宋体" w:cs="宋体"/>
                <w:bCs/>
                <w:kern w:val="24"/>
                <w:szCs w:val="21"/>
              </w:rPr>
              <w:t>课外测试，评分参照《国家学生体质健康标准》。</w:t>
            </w:r>
          </w:p>
        </w:tc>
        <w:tc>
          <w:tcPr>
            <w:tcW w:w="1349" w:type="dxa"/>
            <w:vAlign w:val="center"/>
          </w:tcPr>
          <w:p w14:paraId="02B2739C">
            <w:pPr>
              <w:jc w:val="center"/>
              <w:rPr>
                <w:rFonts w:hint="eastAsia" w:ascii="宋体" w:hAnsi="宋体" w:eastAsia="宋体" w:cs="宋体"/>
                <w:szCs w:val="21"/>
              </w:rPr>
            </w:pPr>
            <w:r>
              <w:rPr>
                <w:rFonts w:hint="eastAsia" w:ascii="宋体" w:hAnsi="宋体" w:eastAsia="宋体" w:cs="宋体"/>
                <w:bCs/>
                <w:szCs w:val="21"/>
              </w:rPr>
              <w:t>2、6</w:t>
            </w:r>
          </w:p>
        </w:tc>
      </w:tr>
    </w:tbl>
    <w:p w14:paraId="7965F24A">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学生参加课外体育活动成绩评定标准（百分制）</w:t>
      </w:r>
    </w:p>
    <w:tbl>
      <w:tblPr>
        <w:tblStyle w:val="11"/>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762"/>
        <w:gridCol w:w="762"/>
        <w:gridCol w:w="760"/>
        <w:gridCol w:w="762"/>
        <w:gridCol w:w="760"/>
        <w:gridCol w:w="762"/>
        <w:gridCol w:w="760"/>
        <w:gridCol w:w="762"/>
        <w:gridCol w:w="763"/>
      </w:tblGrid>
      <w:tr w14:paraId="222F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570D019C">
            <w:pPr>
              <w:jc w:val="center"/>
              <w:rPr>
                <w:rFonts w:hint="eastAsia" w:ascii="宋体" w:hAnsi="宋体" w:eastAsia="宋体" w:cs="宋体"/>
                <w:szCs w:val="21"/>
              </w:rPr>
            </w:pPr>
            <w:r>
              <w:rPr>
                <w:rFonts w:hint="eastAsia" w:ascii="宋体" w:hAnsi="宋体" w:eastAsia="宋体" w:cs="宋体"/>
                <w:szCs w:val="21"/>
              </w:rPr>
              <w:t>考勤次数</w:t>
            </w:r>
          </w:p>
        </w:tc>
        <w:tc>
          <w:tcPr>
            <w:tcW w:w="447" w:type="pct"/>
            <w:vAlign w:val="center"/>
          </w:tcPr>
          <w:p w14:paraId="290399E9">
            <w:pPr>
              <w:jc w:val="center"/>
              <w:rPr>
                <w:rFonts w:hint="eastAsia" w:ascii="宋体" w:hAnsi="宋体" w:eastAsia="宋体" w:cs="宋体"/>
                <w:szCs w:val="21"/>
              </w:rPr>
            </w:pPr>
            <w:r>
              <w:rPr>
                <w:rFonts w:hint="eastAsia" w:ascii="宋体" w:hAnsi="宋体" w:eastAsia="宋体" w:cs="宋体"/>
                <w:szCs w:val="21"/>
              </w:rPr>
              <w:t>0</w:t>
            </w:r>
          </w:p>
        </w:tc>
        <w:tc>
          <w:tcPr>
            <w:tcW w:w="447" w:type="pct"/>
            <w:vAlign w:val="center"/>
          </w:tcPr>
          <w:p w14:paraId="0A344A20">
            <w:pPr>
              <w:jc w:val="center"/>
              <w:rPr>
                <w:rFonts w:hint="eastAsia" w:ascii="宋体" w:hAnsi="宋体" w:eastAsia="宋体" w:cs="宋体"/>
                <w:szCs w:val="21"/>
              </w:rPr>
            </w:pPr>
            <w:r>
              <w:rPr>
                <w:rFonts w:hint="eastAsia" w:ascii="宋体" w:hAnsi="宋体" w:eastAsia="宋体" w:cs="宋体"/>
                <w:szCs w:val="21"/>
              </w:rPr>
              <w:t>5</w:t>
            </w:r>
          </w:p>
        </w:tc>
        <w:tc>
          <w:tcPr>
            <w:tcW w:w="446" w:type="pct"/>
            <w:vAlign w:val="center"/>
          </w:tcPr>
          <w:p w14:paraId="130C763C">
            <w:pPr>
              <w:jc w:val="center"/>
              <w:rPr>
                <w:rFonts w:hint="eastAsia" w:ascii="宋体" w:hAnsi="宋体" w:eastAsia="宋体" w:cs="宋体"/>
                <w:szCs w:val="21"/>
              </w:rPr>
            </w:pPr>
            <w:r>
              <w:rPr>
                <w:rFonts w:hint="eastAsia" w:ascii="宋体" w:hAnsi="宋体" w:eastAsia="宋体" w:cs="宋体"/>
                <w:szCs w:val="21"/>
              </w:rPr>
              <w:t>10</w:t>
            </w:r>
          </w:p>
        </w:tc>
        <w:tc>
          <w:tcPr>
            <w:tcW w:w="447" w:type="pct"/>
            <w:vAlign w:val="center"/>
          </w:tcPr>
          <w:p w14:paraId="60208FA5">
            <w:pPr>
              <w:jc w:val="center"/>
              <w:rPr>
                <w:rFonts w:hint="eastAsia" w:ascii="宋体" w:hAnsi="宋体" w:eastAsia="宋体" w:cs="宋体"/>
                <w:szCs w:val="21"/>
              </w:rPr>
            </w:pPr>
            <w:r>
              <w:rPr>
                <w:rFonts w:hint="eastAsia" w:ascii="宋体" w:hAnsi="宋体" w:eastAsia="宋体" w:cs="宋体"/>
                <w:szCs w:val="21"/>
              </w:rPr>
              <w:t>15</w:t>
            </w:r>
          </w:p>
        </w:tc>
        <w:tc>
          <w:tcPr>
            <w:tcW w:w="446" w:type="pct"/>
            <w:vAlign w:val="center"/>
          </w:tcPr>
          <w:p w14:paraId="5C33A174">
            <w:pPr>
              <w:jc w:val="center"/>
              <w:rPr>
                <w:rFonts w:hint="eastAsia" w:ascii="宋体" w:hAnsi="宋体" w:eastAsia="宋体" w:cs="宋体"/>
                <w:szCs w:val="21"/>
              </w:rPr>
            </w:pPr>
            <w:r>
              <w:rPr>
                <w:rFonts w:hint="eastAsia" w:ascii="宋体" w:hAnsi="宋体" w:eastAsia="宋体" w:cs="宋体"/>
                <w:szCs w:val="21"/>
              </w:rPr>
              <w:t>20</w:t>
            </w:r>
          </w:p>
        </w:tc>
        <w:tc>
          <w:tcPr>
            <w:tcW w:w="447" w:type="pct"/>
            <w:vAlign w:val="center"/>
          </w:tcPr>
          <w:p w14:paraId="43C5CA4A">
            <w:pPr>
              <w:jc w:val="center"/>
              <w:rPr>
                <w:rFonts w:hint="eastAsia" w:ascii="宋体" w:hAnsi="宋体" w:eastAsia="宋体" w:cs="宋体"/>
                <w:szCs w:val="21"/>
              </w:rPr>
            </w:pPr>
            <w:r>
              <w:rPr>
                <w:rFonts w:hint="eastAsia" w:ascii="宋体" w:hAnsi="宋体" w:eastAsia="宋体" w:cs="宋体"/>
                <w:szCs w:val="21"/>
              </w:rPr>
              <w:t>25</w:t>
            </w:r>
          </w:p>
        </w:tc>
        <w:tc>
          <w:tcPr>
            <w:tcW w:w="446" w:type="pct"/>
            <w:vAlign w:val="center"/>
          </w:tcPr>
          <w:p w14:paraId="15EE48FC">
            <w:pPr>
              <w:jc w:val="center"/>
              <w:rPr>
                <w:rFonts w:hint="eastAsia" w:ascii="宋体" w:hAnsi="宋体" w:eastAsia="宋体" w:cs="宋体"/>
                <w:szCs w:val="21"/>
              </w:rPr>
            </w:pPr>
            <w:r>
              <w:rPr>
                <w:rFonts w:hint="eastAsia" w:ascii="宋体" w:hAnsi="宋体" w:eastAsia="宋体" w:cs="宋体"/>
                <w:szCs w:val="21"/>
              </w:rPr>
              <w:t>30</w:t>
            </w:r>
          </w:p>
        </w:tc>
        <w:tc>
          <w:tcPr>
            <w:tcW w:w="447" w:type="pct"/>
            <w:vAlign w:val="center"/>
          </w:tcPr>
          <w:p w14:paraId="7172A5B0">
            <w:pPr>
              <w:jc w:val="center"/>
              <w:rPr>
                <w:rFonts w:hint="eastAsia" w:ascii="宋体" w:hAnsi="宋体" w:eastAsia="宋体" w:cs="宋体"/>
                <w:szCs w:val="21"/>
              </w:rPr>
            </w:pPr>
            <w:r>
              <w:rPr>
                <w:rFonts w:hint="eastAsia" w:ascii="宋体" w:hAnsi="宋体" w:eastAsia="宋体" w:cs="宋体"/>
                <w:szCs w:val="21"/>
              </w:rPr>
              <w:t>35</w:t>
            </w:r>
          </w:p>
        </w:tc>
        <w:tc>
          <w:tcPr>
            <w:tcW w:w="447" w:type="pct"/>
            <w:vAlign w:val="center"/>
          </w:tcPr>
          <w:p w14:paraId="564B4F57">
            <w:pPr>
              <w:jc w:val="center"/>
              <w:rPr>
                <w:rFonts w:hint="eastAsia" w:ascii="宋体" w:hAnsi="宋体" w:eastAsia="宋体" w:cs="宋体"/>
                <w:szCs w:val="21"/>
              </w:rPr>
            </w:pPr>
            <w:r>
              <w:rPr>
                <w:rFonts w:hint="eastAsia" w:ascii="宋体" w:hAnsi="宋体" w:eastAsia="宋体" w:cs="宋体"/>
                <w:szCs w:val="21"/>
              </w:rPr>
              <w:t>40</w:t>
            </w:r>
          </w:p>
        </w:tc>
      </w:tr>
      <w:tr w14:paraId="54CB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79" w:type="pct"/>
            <w:vAlign w:val="center"/>
          </w:tcPr>
          <w:p w14:paraId="1923C8A3">
            <w:pPr>
              <w:jc w:val="center"/>
              <w:rPr>
                <w:rFonts w:hint="eastAsia" w:ascii="宋体" w:hAnsi="宋体" w:eastAsia="宋体" w:cs="宋体"/>
                <w:szCs w:val="21"/>
              </w:rPr>
            </w:pPr>
            <w:r>
              <w:rPr>
                <w:rFonts w:hint="eastAsia" w:ascii="宋体" w:hAnsi="宋体" w:eastAsia="宋体" w:cs="宋体"/>
                <w:szCs w:val="21"/>
              </w:rPr>
              <w:t>成绩</w:t>
            </w:r>
          </w:p>
        </w:tc>
        <w:tc>
          <w:tcPr>
            <w:tcW w:w="447" w:type="pct"/>
            <w:vAlign w:val="center"/>
          </w:tcPr>
          <w:p w14:paraId="0CD4D655">
            <w:pPr>
              <w:jc w:val="center"/>
              <w:rPr>
                <w:rFonts w:hint="eastAsia" w:ascii="宋体" w:hAnsi="宋体" w:eastAsia="宋体" w:cs="宋体"/>
                <w:szCs w:val="21"/>
              </w:rPr>
            </w:pPr>
            <w:r>
              <w:rPr>
                <w:rFonts w:hint="eastAsia" w:ascii="宋体" w:hAnsi="宋体" w:eastAsia="宋体" w:cs="宋体"/>
                <w:szCs w:val="21"/>
              </w:rPr>
              <w:t>0</w:t>
            </w:r>
          </w:p>
        </w:tc>
        <w:tc>
          <w:tcPr>
            <w:tcW w:w="447" w:type="pct"/>
            <w:vAlign w:val="center"/>
          </w:tcPr>
          <w:p w14:paraId="5C2F286F">
            <w:pPr>
              <w:jc w:val="center"/>
              <w:rPr>
                <w:rFonts w:hint="eastAsia" w:ascii="宋体" w:hAnsi="宋体" w:eastAsia="宋体" w:cs="宋体"/>
                <w:szCs w:val="21"/>
              </w:rPr>
            </w:pPr>
            <w:r>
              <w:rPr>
                <w:rFonts w:hint="eastAsia" w:ascii="宋体" w:hAnsi="宋体" w:eastAsia="宋体" w:cs="宋体"/>
                <w:szCs w:val="21"/>
              </w:rPr>
              <w:t>12.5</w:t>
            </w:r>
          </w:p>
        </w:tc>
        <w:tc>
          <w:tcPr>
            <w:tcW w:w="446" w:type="pct"/>
            <w:vAlign w:val="center"/>
          </w:tcPr>
          <w:p w14:paraId="182F14F3">
            <w:pPr>
              <w:jc w:val="center"/>
              <w:rPr>
                <w:rFonts w:hint="eastAsia" w:ascii="宋体" w:hAnsi="宋体" w:eastAsia="宋体" w:cs="宋体"/>
                <w:szCs w:val="21"/>
              </w:rPr>
            </w:pPr>
            <w:r>
              <w:rPr>
                <w:rFonts w:hint="eastAsia" w:ascii="宋体" w:hAnsi="宋体" w:eastAsia="宋体" w:cs="宋体"/>
                <w:szCs w:val="21"/>
              </w:rPr>
              <w:t>25</w:t>
            </w:r>
          </w:p>
        </w:tc>
        <w:tc>
          <w:tcPr>
            <w:tcW w:w="447" w:type="pct"/>
            <w:vAlign w:val="center"/>
          </w:tcPr>
          <w:p w14:paraId="614373F5">
            <w:pPr>
              <w:jc w:val="center"/>
              <w:rPr>
                <w:rFonts w:hint="eastAsia" w:ascii="宋体" w:hAnsi="宋体" w:eastAsia="宋体" w:cs="宋体"/>
                <w:szCs w:val="21"/>
              </w:rPr>
            </w:pPr>
            <w:r>
              <w:rPr>
                <w:rFonts w:hint="eastAsia" w:ascii="宋体" w:hAnsi="宋体" w:eastAsia="宋体" w:cs="宋体"/>
                <w:szCs w:val="21"/>
              </w:rPr>
              <w:t>37.5</w:t>
            </w:r>
          </w:p>
        </w:tc>
        <w:tc>
          <w:tcPr>
            <w:tcW w:w="446" w:type="pct"/>
            <w:vAlign w:val="center"/>
          </w:tcPr>
          <w:p w14:paraId="73C47B5B">
            <w:pPr>
              <w:jc w:val="center"/>
              <w:rPr>
                <w:rFonts w:hint="eastAsia" w:ascii="宋体" w:hAnsi="宋体" w:eastAsia="宋体" w:cs="宋体"/>
                <w:szCs w:val="21"/>
              </w:rPr>
            </w:pPr>
            <w:r>
              <w:rPr>
                <w:rFonts w:hint="eastAsia" w:ascii="宋体" w:hAnsi="宋体" w:eastAsia="宋体" w:cs="宋体"/>
                <w:szCs w:val="21"/>
              </w:rPr>
              <w:t>50</w:t>
            </w:r>
          </w:p>
        </w:tc>
        <w:tc>
          <w:tcPr>
            <w:tcW w:w="447" w:type="pct"/>
            <w:vAlign w:val="center"/>
          </w:tcPr>
          <w:p w14:paraId="53BD4DD7">
            <w:pPr>
              <w:jc w:val="center"/>
              <w:rPr>
                <w:rFonts w:hint="eastAsia" w:ascii="宋体" w:hAnsi="宋体" w:eastAsia="宋体" w:cs="宋体"/>
                <w:szCs w:val="21"/>
              </w:rPr>
            </w:pPr>
            <w:r>
              <w:rPr>
                <w:rFonts w:hint="eastAsia" w:ascii="宋体" w:hAnsi="宋体" w:eastAsia="宋体" w:cs="宋体"/>
                <w:szCs w:val="21"/>
              </w:rPr>
              <w:t>62.5</w:t>
            </w:r>
          </w:p>
        </w:tc>
        <w:tc>
          <w:tcPr>
            <w:tcW w:w="446" w:type="pct"/>
            <w:vAlign w:val="center"/>
          </w:tcPr>
          <w:p w14:paraId="20600DA5">
            <w:pPr>
              <w:jc w:val="center"/>
              <w:rPr>
                <w:rFonts w:hint="eastAsia" w:ascii="宋体" w:hAnsi="宋体" w:eastAsia="宋体" w:cs="宋体"/>
                <w:szCs w:val="21"/>
              </w:rPr>
            </w:pPr>
            <w:r>
              <w:rPr>
                <w:rFonts w:hint="eastAsia" w:ascii="宋体" w:hAnsi="宋体" w:eastAsia="宋体" w:cs="宋体"/>
                <w:szCs w:val="21"/>
              </w:rPr>
              <w:t>75</w:t>
            </w:r>
          </w:p>
        </w:tc>
        <w:tc>
          <w:tcPr>
            <w:tcW w:w="447" w:type="pct"/>
            <w:vAlign w:val="center"/>
          </w:tcPr>
          <w:p w14:paraId="1FF832EF">
            <w:pPr>
              <w:jc w:val="center"/>
              <w:rPr>
                <w:rFonts w:hint="eastAsia" w:ascii="宋体" w:hAnsi="宋体" w:eastAsia="宋体" w:cs="宋体"/>
                <w:szCs w:val="21"/>
              </w:rPr>
            </w:pPr>
            <w:r>
              <w:rPr>
                <w:rFonts w:hint="eastAsia" w:ascii="宋体" w:hAnsi="宋体" w:eastAsia="宋体" w:cs="宋体"/>
                <w:szCs w:val="21"/>
              </w:rPr>
              <w:t>87.5</w:t>
            </w:r>
          </w:p>
        </w:tc>
        <w:tc>
          <w:tcPr>
            <w:tcW w:w="447" w:type="pct"/>
            <w:vAlign w:val="center"/>
          </w:tcPr>
          <w:p w14:paraId="0FC6B2F3">
            <w:pPr>
              <w:jc w:val="center"/>
              <w:rPr>
                <w:rFonts w:hint="eastAsia" w:ascii="宋体" w:hAnsi="宋体" w:eastAsia="宋体" w:cs="宋体"/>
                <w:szCs w:val="21"/>
              </w:rPr>
            </w:pPr>
            <w:r>
              <w:rPr>
                <w:rFonts w:hint="eastAsia" w:ascii="宋体" w:hAnsi="宋体" w:eastAsia="宋体" w:cs="宋体"/>
                <w:szCs w:val="21"/>
              </w:rPr>
              <w:t>100</w:t>
            </w:r>
          </w:p>
        </w:tc>
      </w:tr>
    </w:tbl>
    <w:p w14:paraId="2902E58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七</w:t>
      </w:r>
      <w:r>
        <w:rPr>
          <w:rFonts w:ascii="Times New Roman" w:hAnsi="Times New Roman" w:eastAsia="宋体" w:cs="Times New Roman"/>
          <w:b/>
          <w:sz w:val="24"/>
        </w:rPr>
        <w:t>、有关说明</w:t>
      </w:r>
    </w:p>
    <w:p w14:paraId="6F2D37AC">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（一）持续改进</w:t>
      </w:r>
    </w:p>
    <w:p w14:paraId="34BDBF71">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本课程根据学生课外锻炼、体质测试等情况，以及学生、教学督导等反馈，及时对教学中不足之处进行改进，并在下一轮课程教学中整改完善，确保相应毕业要求指标点达成。</w:t>
      </w:r>
    </w:p>
    <w:p w14:paraId="6E661290">
      <w:pPr>
        <w:spacing w:line="360" w:lineRule="auto"/>
        <w:ind w:firstLine="422" w:firstLineChars="200"/>
        <w:jc w:val="left"/>
        <w:rPr>
          <w:rFonts w:hint="eastAsia" w:ascii="宋体" w:hAnsi="宋体" w:eastAsia="宋体" w:cs="宋体"/>
          <w:szCs w:val="21"/>
        </w:rPr>
      </w:pPr>
      <w:r>
        <w:rPr>
          <w:rFonts w:hint="eastAsia" w:ascii="宋体" w:hAnsi="宋体" w:eastAsia="宋体" w:cs="宋体"/>
          <w:b/>
          <w:szCs w:val="21"/>
        </w:rPr>
        <w:t>（二）教学参考书</w:t>
      </w:r>
    </w:p>
    <w:p w14:paraId="5CE30736">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1.毛振明.大学体育文化与实技教程[M].沈阳：东北大学出版社，2013.</w:t>
      </w:r>
    </w:p>
    <w:p w14:paraId="0C9887D9">
      <w:pPr>
        <w:wordWrap w:val="0"/>
        <w:spacing w:line="360" w:lineRule="exact"/>
        <w:jc w:val="right"/>
        <w:rPr>
          <w:rFonts w:hint="eastAsia" w:ascii="宋体" w:hAnsi="宋体" w:eastAsia="宋体" w:cs="宋体"/>
          <w:szCs w:val="21"/>
        </w:rPr>
      </w:pPr>
      <w:r>
        <w:rPr>
          <w:rFonts w:hint="eastAsia" w:ascii="宋体" w:hAnsi="宋体" w:eastAsia="宋体" w:cs="宋体"/>
          <w:szCs w:val="21"/>
        </w:rPr>
        <w:t>执笔人：顾  宏</w:t>
      </w:r>
    </w:p>
    <w:p w14:paraId="52A05284">
      <w:pPr>
        <w:spacing w:line="360" w:lineRule="exact"/>
        <w:ind w:firstLine="420" w:firstLineChars="200"/>
        <w:jc w:val="right"/>
        <w:rPr>
          <w:rFonts w:hint="eastAsia" w:ascii="宋体" w:hAnsi="宋体" w:eastAsia="宋体" w:cs="宋体"/>
          <w:szCs w:val="21"/>
        </w:rPr>
      </w:pPr>
      <w:r>
        <w:rPr>
          <w:rFonts w:hint="eastAsia" w:ascii="宋体" w:hAnsi="宋体" w:eastAsia="宋体" w:cs="宋体"/>
          <w:szCs w:val="21"/>
        </w:rPr>
        <w:t xml:space="preserve"> 审定人：方曙光</w:t>
      </w:r>
    </w:p>
    <w:p w14:paraId="6B8A851E">
      <w:pPr>
        <w:autoSpaceDE w:val="0"/>
        <w:autoSpaceDN w:val="0"/>
        <w:adjustRightInd w:val="0"/>
        <w:spacing w:line="360" w:lineRule="auto"/>
        <w:ind w:firstLine="420" w:firstLineChars="200"/>
        <w:jc w:val="right"/>
        <w:rPr>
          <w:rFonts w:hint="eastAsia" w:ascii="宋体" w:hAnsi="宋体" w:eastAsia="宋体" w:cs="宋体"/>
          <w:szCs w:val="21"/>
        </w:rPr>
      </w:pPr>
      <w:r>
        <w:rPr>
          <w:rFonts w:hint="eastAsia" w:ascii="宋体" w:hAnsi="宋体" w:eastAsia="宋体" w:cs="宋体"/>
          <w:szCs w:val="21"/>
        </w:rPr>
        <w:t>批准人：王红福</w:t>
      </w:r>
    </w:p>
    <w:p w14:paraId="3C21B0B5">
      <w:pPr>
        <w:autoSpaceDE w:val="0"/>
        <w:autoSpaceDN w:val="0"/>
        <w:adjustRightInd w:val="0"/>
        <w:spacing w:line="360" w:lineRule="auto"/>
        <w:ind w:firstLine="420" w:firstLineChars="200"/>
        <w:jc w:val="right"/>
        <w:rPr>
          <w:rFonts w:hint="eastAsia" w:ascii="宋体" w:hAnsi="宋体" w:eastAsia="宋体" w:cs="宋体"/>
          <w:szCs w:val="21"/>
        </w:rPr>
      </w:pPr>
      <w:r>
        <w:rPr>
          <w:rFonts w:hint="eastAsia" w:ascii="宋体" w:hAnsi="宋体" w:eastAsia="宋体" w:cs="宋体"/>
          <w:szCs w:val="21"/>
        </w:rPr>
        <w:t>批准时间：2025年7月1日</w:t>
      </w:r>
    </w:p>
    <w:p w14:paraId="7384DD4D">
      <w:pPr>
        <w:rPr>
          <w:rFonts w:ascii="Times New Roman" w:hAnsi="Times New Roman" w:eastAsia="宋体" w:cs="Times New Roman"/>
          <w:b/>
          <w:szCs w:val="21"/>
        </w:rPr>
      </w:pPr>
      <w:r>
        <w:rPr>
          <w:rFonts w:hint="eastAsia" w:ascii="Times New Roman" w:hAnsi="Times New Roman" w:eastAsia="宋体" w:cs="Times New Roman"/>
          <w:b/>
          <w:szCs w:val="21"/>
        </w:rPr>
        <w:br w:type="page"/>
      </w:r>
    </w:p>
    <w:p w14:paraId="4B2AD31A">
      <w:pPr>
        <w:spacing w:line="360" w:lineRule="auto"/>
        <w:jc w:val="center"/>
        <w:outlineLvl w:val="0"/>
        <w:rPr>
          <w:rFonts w:ascii="Times New Roman" w:hAnsi="Times New Roman" w:eastAsia="宋体" w:cs="Times New Roman"/>
          <w:b/>
          <w:sz w:val="44"/>
          <w:szCs w:val="44"/>
        </w:rPr>
      </w:pPr>
      <w:bookmarkStart w:id="151" w:name="_Toc8355"/>
      <w:r>
        <w:rPr>
          <w:rFonts w:hint="eastAsia" w:ascii="Times New Roman" w:hAnsi="Times New Roman" w:eastAsia="宋体" w:cs="Times New Roman"/>
          <w:b/>
          <w:sz w:val="44"/>
          <w:szCs w:val="44"/>
        </w:rPr>
        <w:t>《大学生创新创业基础》课程教学大纲</w:t>
      </w:r>
      <w:bookmarkEnd w:id="151"/>
    </w:p>
    <w:p w14:paraId="44F1574C">
      <w:pPr>
        <w:spacing w:line="360" w:lineRule="auto"/>
        <w:jc w:val="center"/>
        <w:rPr>
          <w:rFonts w:ascii="Times New Roman" w:hAnsi="Times New Roman" w:eastAsia="宋体" w:cs="Times New Roman"/>
          <w:b/>
          <w:bCs/>
          <w:sz w:val="28"/>
          <w:szCs w:val="28"/>
        </w:rPr>
      </w:pPr>
      <w:bookmarkStart w:id="152" w:name="_Toc30344"/>
      <w:r>
        <w:rPr>
          <w:rFonts w:ascii="Times New Roman" w:hAnsi="Times New Roman" w:eastAsia="宋体" w:cs="Times New Roman"/>
          <w:b/>
          <w:bCs/>
          <w:sz w:val="28"/>
          <w:szCs w:val="28"/>
        </w:rPr>
        <w:t>（Foundations of Innovation and Entrepreneurship</w:t>
      </w:r>
      <w:bookmarkEnd w:id="152"/>
      <w:r>
        <w:rPr>
          <w:rFonts w:ascii="Times New Roman" w:hAnsi="Times New Roman" w:eastAsia="宋体" w:cs="Times New Roman"/>
          <w:b/>
          <w:bCs/>
          <w:sz w:val="28"/>
          <w:szCs w:val="28"/>
        </w:rPr>
        <w:t xml:space="preserve"> </w:t>
      </w:r>
    </w:p>
    <w:p w14:paraId="79AEEA0E">
      <w:pPr>
        <w:spacing w:line="360" w:lineRule="auto"/>
        <w:jc w:val="center"/>
        <w:rPr>
          <w:rFonts w:ascii="Times New Roman" w:hAnsi="Times New Roman" w:eastAsia="宋体" w:cs="Times New Roman"/>
          <w:b/>
          <w:bCs/>
          <w:sz w:val="28"/>
          <w:szCs w:val="28"/>
        </w:rPr>
      </w:pPr>
      <w:bookmarkStart w:id="153" w:name="_Toc32387"/>
      <w:r>
        <w:rPr>
          <w:rFonts w:ascii="Times New Roman" w:hAnsi="Times New Roman" w:eastAsia="宋体" w:cs="Times New Roman"/>
          <w:b/>
          <w:bCs/>
          <w:sz w:val="28"/>
          <w:szCs w:val="28"/>
        </w:rPr>
        <w:t>for College Students）</w:t>
      </w:r>
      <w:bookmarkEnd w:id="153"/>
    </w:p>
    <w:p w14:paraId="4656070F">
      <w:pPr>
        <w:spacing w:line="360" w:lineRule="auto"/>
        <w:jc w:val="center"/>
        <w:rPr>
          <w:rFonts w:ascii="Times New Roman" w:hAnsi="Times New Roman" w:eastAsia="宋体" w:cs="Times New Roman"/>
          <w:bCs/>
          <w:szCs w:val="21"/>
        </w:rPr>
      </w:pPr>
    </w:p>
    <w:p w14:paraId="6D599A8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课程名称：大学生创新创业基础</w:t>
      </w:r>
    </w:p>
    <w:p w14:paraId="218ACD5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课程代码：0000008</w:t>
      </w:r>
    </w:p>
    <w:p w14:paraId="64F5673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358486B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382FD72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先修课程：大学生劳动教育、大学生职业生涯规划</w:t>
      </w:r>
    </w:p>
    <w:p w14:paraId="1E5D6BA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00F89F6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5D07AD79">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本课程是根据国家和地方政府关于深化高等学校创新创业教育改革实施意见等系列文件精神而开设的一门理论性、政策性和实践性较强的通识教育必修课程，主要针对大一学生开展创新创业的普及型启蒙教育。</w:t>
      </w:r>
    </w:p>
    <w:p w14:paraId="0A96D540">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课程以传授创新创业知识为基础，以锻炼创新创业能力为关键，以培养创新创业精神为  核心，让学生了解创新创业教育的发展历程与时代背景，理解创新、创业、专业、产业以及  与职业生涯发展的逻辑关系。课程将中国共产党百年创业史和中国国际大学生创新大赛、“挑  战杯”中国大学生创业计划竞赛、“挑战杯”全国大学生课外学术科技作品竞赛等高水平赛  事贯穿其中，通过项目挖掘、头脑风暴、角色扮演、案例分析、小组合作、路演汇报等高度  参与的项目制教学方法，帮助当代大学生在新时代背景下运用创新思维方法与工具激发、梳  理和筛选各种创新创业的灵感、想法和构思，分析创新创业的资源、财务和风险，了解商业  模式的设计与运行，加强创新创业团队建设，撰写可行的项目计划书或社会调查报告，让学  生初步体会作业-作品-产品-商品的转变过程，形成创新创业的行动路线，学会从“0到1” 做项目，一方面激发学生创新创业热情和家国情怀，树立正确的人生观、价值观、创业观及民族自豪感，另一方面，为后续的专创融合进阶课程和产教融合实战课程打下基础，不断完善基于产教融合的创新创业人才培养体系，实现应用型地方高校人才培养供给侧和产业发展  需求侧的有机衔接。</w:t>
      </w:r>
    </w:p>
    <w:p w14:paraId="577FB278">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58EE849A">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5161EE12">
      <w:pPr>
        <w:spacing w:line="360" w:lineRule="auto"/>
        <w:ind w:firstLine="482"/>
        <w:rPr>
          <w:rFonts w:ascii="Times New Roman" w:hAnsi="Times New Roman" w:eastAsia="宋体" w:cs="Times New Roman"/>
          <w:b/>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ascii="Times New Roman" w:hAnsi="Times New Roman" w:eastAsia="宋体" w:cs="Times New Roman"/>
          <w:bCs/>
          <w:szCs w:val="21"/>
        </w:rPr>
        <w:t>以项目申报书、专利申请书、社会调查报告或商业计划书为标准，分析中国国际大学生创新大赛、“挑战杯”中国大学生创业计划竞赛、"挑战杯"全国大学生课外学术科技作品竞赛等高水平赛事的发展历史与赛事规则，为后续进一步提升和打磨项目，开设专创融合进阶课程和产教融合实战课程打下基础。</w:t>
      </w:r>
    </w:p>
    <w:p w14:paraId="34F7187C">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以立德树人为根本，培养爱国情操和家国情怀，能够挖掘创新创业项目并对其理解、分析和归纳总结，培养解决实际问题的能力。</w:t>
      </w:r>
    </w:p>
    <w:p w14:paraId="06730EC3">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6145"/>
        <w:gridCol w:w="1304"/>
      </w:tblGrid>
      <w:tr w14:paraId="788D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070A0DC9">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6502" w:type="dxa"/>
            <w:vAlign w:val="center"/>
          </w:tcPr>
          <w:p w14:paraId="27BF7B50">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362" w:type="dxa"/>
            <w:vAlign w:val="center"/>
          </w:tcPr>
          <w:p w14:paraId="77EA74BD">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383A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672F815B">
            <w:pPr>
              <w:autoSpaceDE w:val="0"/>
              <w:autoSpaceDN w:val="0"/>
              <w:jc w:val="center"/>
              <w:rPr>
                <w:rFonts w:hint="eastAsia" w:ascii="宋体" w:hAnsi="宋体" w:eastAsia="宋体" w:cs="宋体"/>
                <w:b/>
                <w:bCs/>
                <w:kern w:val="0"/>
                <w:szCs w:val="21"/>
              </w:rPr>
            </w:pPr>
            <w:r>
              <w:rPr>
                <w:rFonts w:hint="eastAsia" w:ascii="宋体" w:hAnsi="宋体" w:eastAsia="宋体" w:cs="宋体"/>
                <w:b/>
                <w:bCs/>
                <w:kern w:val="0"/>
                <w:szCs w:val="21"/>
              </w:rPr>
              <w:t>毕业要求7</w:t>
            </w:r>
          </w:p>
          <w:p w14:paraId="248272A0">
            <w:pPr>
              <w:autoSpaceDE w:val="0"/>
              <w:autoSpaceDN w:val="0"/>
              <w:jc w:val="center"/>
              <w:rPr>
                <w:rFonts w:hint="eastAsia" w:ascii="宋体" w:hAnsi="宋体" w:eastAsia="宋体" w:cs="宋体"/>
                <w:b/>
                <w:bCs/>
                <w:kern w:val="0"/>
                <w:szCs w:val="21"/>
              </w:rPr>
            </w:pPr>
            <w:r>
              <w:rPr>
                <w:rFonts w:hint="eastAsia" w:ascii="宋体" w:hAnsi="宋体" w:eastAsia="宋体" w:cs="宋体"/>
                <w:b/>
                <w:bCs/>
                <w:kern w:val="0"/>
                <w:szCs w:val="21"/>
              </w:rPr>
              <w:t>学会反思</w:t>
            </w:r>
          </w:p>
        </w:tc>
        <w:tc>
          <w:tcPr>
            <w:tcW w:w="6502" w:type="dxa"/>
            <w:vAlign w:val="center"/>
          </w:tcPr>
          <w:p w14:paraId="3B74338D">
            <w:pPr>
              <w:spacing w:line="276" w:lineRule="auto"/>
              <w:jc w:val="left"/>
              <w:rPr>
                <w:rFonts w:hint="eastAsia" w:ascii="宋体" w:hAnsi="宋体" w:eastAsia="宋体" w:cs="宋体"/>
                <w:szCs w:val="21"/>
              </w:rPr>
            </w:pPr>
            <w:r>
              <w:rPr>
                <w:rFonts w:hint="eastAsia" w:ascii="宋体" w:hAnsi="宋体" w:eastAsia="宋体" w:cs="宋体"/>
                <w:b/>
                <w:kern w:val="0"/>
                <w:szCs w:val="21"/>
              </w:rPr>
              <w:t>指标点7-2</w:t>
            </w:r>
            <w:r>
              <w:rPr>
                <w:rFonts w:hint="eastAsia" w:ascii="宋体" w:hAnsi="宋体" w:eastAsia="宋体" w:cs="宋体"/>
                <w:szCs w:val="21"/>
              </w:rPr>
              <w:t>：【职业规划合理】了解教师专业发展的要求，形成终身学习的意识和习惯，注重自身的专业发展，根据基础教育课程改革的动态和发展情况，进行职业生涯规划和自主学习。</w:t>
            </w:r>
          </w:p>
          <w:p w14:paraId="73EA7060">
            <w:pPr>
              <w:spacing w:line="276" w:lineRule="auto"/>
              <w:jc w:val="left"/>
              <w:rPr>
                <w:rFonts w:hint="eastAsia" w:ascii="宋体" w:hAnsi="宋体" w:eastAsia="宋体" w:cs="Times New Roman"/>
                <w:szCs w:val="21"/>
              </w:rPr>
            </w:pPr>
            <w:r>
              <w:rPr>
                <w:rFonts w:hint="eastAsia" w:ascii="宋体" w:hAnsi="宋体" w:eastAsia="宋体" w:cs="宋体"/>
                <w:b/>
                <w:kern w:val="0"/>
                <w:szCs w:val="21"/>
              </w:rPr>
              <w:t>指标点7-3</w:t>
            </w:r>
            <w:r>
              <w:rPr>
                <w:rFonts w:hint="eastAsia" w:ascii="宋体" w:hAnsi="宋体" w:eastAsia="宋体" w:cs="宋体"/>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62" w:type="dxa"/>
            <w:vAlign w:val="center"/>
          </w:tcPr>
          <w:p w14:paraId="03E61002">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p w14:paraId="2C00DD64">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r w14:paraId="5A59B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Align w:val="center"/>
          </w:tcPr>
          <w:p w14:paraId="27633676">
            <w:pPr>
              <w:autoSpaceDE w:val="0"/>
              <w:autoSpaceDN w:val="0"/>
              <w:jc w:val="center"/>
              <w:rPr>
                <w:rFonts w:hint="eastAsia" w:ascii="宋体" w:hAnsi="宋体" w:eastAsia="宋体" w:cs="宋体"/>
                <w:b/>
                <w:bCs/>
                <w:kern w:val="0"/>
                <w:szCs w:val="21"/>
              </w:rPr>
            </w:pPr>
            <w:r>
              <w:rPr>
                <w:rFonts w:hint="eastAsia" w:ascii="宋体" w:hAnsi="宋体" w:eastAsia="宋体" w:cs="宋体"/>
                <w:b/>
                <w:bCs/>
                <w:kern w:val="0"/>
                <w:szCs w:val="21"/>
              </w:rPr>
              <w:t>毕业要求8</w:t>
            </w:r>
          </w:p>
          <w:p w14:paraId="242D104E">
            <w:pPr>
              <w:autoSpaceDE w:val="0"/>
              <w:autoSpaceDN w:val="0"/>
              <w:jc w:val="center"/>
              <w:rPr>
                <w:rFonts w:hint="eastAsia" w:ascii="宋体" w:hAnsi="宋体" w:eastAsia="宋体" w:cs="宋体"/>
                <w:b/>
                <w:bCs/>
                <w:szCs w:val="21"/>
              </w:rPr>
            </w:pPr>
            <w:r>
              <w:rPr>
                <w:rFonts w:hint="eastAsia" w:ascii="宋体" w:hAnsi="宋体" w:eastAsia="宋体" w:cs="宋体"/>
                <w:b/>
                <w:bCs/>
                <w:szCs w:val="21"/>
              </w:rPr>
              <w:t>沟通合作</w:t>
            </w:r>
          </w:p>
        </w:tc>
        <w:tc>
          <w:tcPr>
            <w:tcW w:w="6502" w:type="dxa"/>
            <w:vAlign w:val="center"/>
          </w:tcPr>
          <w:p w14:paraId="6FD74617">
            <w:pPr>
              <w:spacing w:line="276" w:lineRule="auto"/>
              <w:jc w:val="left"/>
              <w:rPr>
                <w:rFonts w:hint="eastAsia" w:ascii="宋体" w:hAnsi="宋体" w:eastAsia="宋体" w:cs="Times New Roman"/>
                <w:szCs w:val="21"/>
              </w:rPr>
            </w:pPr>
            <w:r>
              <w:rPr>
                <w:rFonts w:hint="eastAsia" w:ascii="宋体" w:hAnsi="宋体" w:eastAsia="宋体" w:cs="宋体"/>
                <w:b/>
                <w:kern w:val="0"/>
                <w:szCs w:val="21"/>
              </w:rPr>
              <w:t>指标点8-1</w:t>
            </w:r>
            <w:r>
              <w:rPr>
                <w:rFonts w:hint="eastAsia" w:ascii="宋体" w:hAnsi="宋体" w:eastAsia="宋体" w:cs="宋体"/>
                <w:kern w:val="0"/>
                <w:szCs w:val="21"/>
              </w:rPr>
              <w:t>：【善于团队合作】理解学习共同体的本质和价值，掌握团队协作的基本策略，在课堂学习与教育实践中获得合作学习体验，形成团队协作精神。</w:t>
            </w:r>
          </w:p>
        </w:tc>
        <w:tc>
          <w:tcPr>
            <w:tcW w:w="1362" w:type="dxa"/>
            <w:vAlign w:val="center"/>
          </w:tcPr>
          <w:p w14:paraId="30A8E4AE">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bl>
    <w:p w14:paraId="3F0DEFE1">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14B86554">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一方面激发学生创新创业热情和家国情怀，树立正确的人生观、价值观、创业观及民族自豪感，另一方面，为后续的专创融合进阶课程和产教融合实战课程打下基础，不断完善基于产教融合的创新创业人才培养体系，实现应用型地方高校人才培养供给侧和产业发展  需求侧的有机衔接。</w:t>
      </w:r>
    </w:p>
    <w:p w14:paraId="0114122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51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855"/>
        <w:gridCol w:w="1330"/>
        <w:gridCol w:w="2125"/>
        <w:gridCol w:w="1560"/>
        <w:gridCol w:w="439"/>
      </w:tblGrid>
      <w:tr w14:paraId="7A1A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Align w:val="center"/>
          </w:tcPr>
          <w:p w14:paraId="7A08EBFB">
            <w:pPr>
              <w:jc w:val="center"/>
              <w:rPr>
                <w:rFonts w:hint="eastAsia" w:ascii="宋体" w:hAnsi="宋体" w:eastAsia="宋体" w:cs="Times New Roman"/>
                <w:b/>
                <w:szCs w:val="21"/>
              </w:rPr>
            </w:pPr>
            <w:r>
              <w:rPr>
                <w:rFonts w:hint="eastAsia" w:ascii="宋体" w:hAnsi="宋体" w:eastAsia="宋体" w:cs="Times New Roman"/>
                <w:b/>
                <w:szCs w:val="21"/>
              </w:rPr>
              <w:t>知识</w:t>
            </w:r>
          </w:p>
          <w:p w14:paraId="4351F485">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855" w:type="dxa"/>
            <w:vAlign w:val="center"/>
          </w:tcPr>
          <w:p w14:paraId="3A1E6CC1">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330" w:type="dxa"/>
            <w:vAlign w:val="center"/>
          </w:tcPr>
          <w:p w14:paraId="3C3F0B2B">
            <w:pPr>
              <w:jc w:val="center"/>
              <w:rPr>
                <w:rFonts w:hint="eastAsia" w:ascii="宋体" w:hAnsi="宋体" w:eastAsia="宋体" w:cs="Times New Roman"/>
                <w:b/>
                <w:szCs w:val="21"/>
              </w:rPr>
            </w:pPr>
            <w:r>
              <w:rPr>
                <w:rFonts w:hint="eastAsia" w:ascii="宋体" w:hAnsi="宋体" w:eastAsia="宋体" w:cs="Times New Roman"/>
                <w:b/>
                <w:szCs w:val="21"/>
              </w:rPr>
              <w:t>对应</w:t>
            </w:r>
          </w:p>
          <w:p w14:paraId="599C4F67">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125" w:type="dxa"/>
            <w:vAlign w:val="center"/>
          </w:tcPr>
          <w:p w14:paraId="5C9F1A01">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5EB56E4E">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9" w:type="dxa"/>
            <w:vAlign w:val="center"/>
          </w:tcPr>
          <w:p w14:paraId="71558D49">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264F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564CCC25">
            <w:pPr>
              <w:jc w:val="center"/>
              <w:rPr>
                <w:rFonts w:hint="eastAsia" w:ascii="宋体" w:hAnsi="宋体" w:eastAsia="宋体" w:cs="Times New Roman"/>
                <w:szCs w:val="21"/>
              </w:rPr>
            </w:pPr>
            <w:r>
              <w:rPr>
                <w:rFonts w:hint="eastAsia" w:ascii="宋体" w:hAnsi="宋体" w:eastAsia="宋体"/>
                <w:b/>
                <w:bCs/>
                <w:spacing w:val="-16"/>
                <w:szCs w:val="21"/>
              </w:rPr>
              <w:t>1.</w:t>
            </w:r>
            <w:r>
              <w:rPr>
                <w:rFonts w:ascii="宋体" w:hAnsi="宋体" w:eastAsia="宋体"/>
                <w:b/>
                <w:bCs/>
                <w:spacing w:val="-16"/>
                <w:szCs w:val="21"/>
              </w:rPr>
              <w:t>导</w:t>
            </w:r>
            <w:r>
              <w:rPr>
                <w:rFonts w:ascii="宋体" w:hAnsi="宋体" w:eastAsia="宋体"/>
                <w:spacing w:val="-16"/>
                <w:szCs w:val="21"/>
              </w:rPr>
              <w:t xml:space="preserve"> </w:t>
            </w:r>
            <w:r>
              <w:rPr>
                <w:rFonts w:ascii="宋体" w:hAnsi="宋体" w:eastAsia="宋体"/>
                <w:b/>
                <w:bCs/>
                <w:spacing w:val="-16"/>
                <w:szCs w:val="21"/>
              </w:rPr>
              <w:t>论</w:t>
            </w:r>
          </w:p>
        </w:tc>
        <w:tc>
          <w:tcPr>
            <w:tcW w:w="2855" w:type="dxa"/>
            <w:vAlign w:val="center"/>
          </w:tcPr>
          <w:p w14:paraId="5B4097E8">
            <w:pPr>
              <w:pStyle w:val="34"/>
              <w:spacing w:before="68"/>
              <w:ind w:left="13" w:leftChars="5" w:right="-38" w:rightChars="-18" w:hanging="3" w:hangingChars="2"/>
              <w:jc w:val="both"/>
              <w:rPr>
                <w:rFonts w:hint="eastAsia"/>
                <w:color w:val="auto"/>
                <w:lang w:eastAsia="zh-CN"/>
              </w:rPr>
            </w:pPr>
            <w:r>
              <w:rPr>
                <w:color w:val="auto"/>
                <w:spacing w:val="-16"/>
                <w:lang w:eastAsia="zh-CN"/>
              </w:rPr>
              <w:t>新时代背景对大学</w:t>
            </w:r>
            <w:r>
              <w:rPr>
                <w:color w:val="auto"/>
                <w:spacing w:val="1"/>
                <w:lang w:eastAsia="zh-CN"/>
              </w:rPr>
              <w:t>生创新创业的要求；大学</w:t>
            </w:r>
            <w:r>
              <w:rPr>
                <w:color w:val="auto"/>
                <w:spacing w:val="10"/>
                <w:lang w:eastAsia="zh-CN"/>
              </w:rPr>
              <w:t>生创新和创业的类型；</w:t>
            </w:r>
            <w:r>
              <w:rPr>
                <w:color w:val="auto"/>
                <w:spacing w:val="9"/>
                <w:lang w:eastAsia="zh-CN"/>
              </w:rPr>
              <w:t>“四新”建设和大学生创</w:t>
            </w:r>
            <w:r>
              <w:rPr>
                <w:color w:val="auto"/>
                <w:spacing w:val="-1"/>
                <w:lang w:eastAsia="zh-CN"/>
              </w:rPr>
              <w:t>新创业教育；中国国际大</w:t>
            </w:r>
            <w:r>
              <w:rPr>
                <w:color w:val="auto"/>
                <w:spacing w:val="1"/>
                <w:lang w:eastAsia="zh-CN"/>
              </w:rPr>
              <w:t>学生创新大赛与高校创</w:t>
            </w:r>
            <w:r>
              <w:rPr>
                <w:color w:val="auto"/>
                <w:spacing w:val="4"/>
                <w:lang w:eastAsia="zh-CN"/>
              </w:rPr>
              <w:t xml:space="preserve"> </w:t>
            </w:r>
            <w:r>
              <w:rPr>
                <w:color w:val="auto"/>
                <w:spacing w:val="-1"/>
                <w:lang w:eastAsia="zh-CN"/>
              </w:rPr>
              <w:t>新创业人才培养。</w:t>
            </w:r>
          </w:p>
        </w:tc>
        <w:tc>
          <w:tcPr>
            <w:tcW w:w="1330" w:type="dxa"/>
            <w:vAlign w:val="center"/>
          </w:tcPr>
          <w:p w14:paraId="581091C5">
            <w:pPr>
              <w:pStyle w:val="34"/>
              <w:spacing w:before="68"/>
              <w:ind w:left="159"/>
              <w:jc w:val="center"/>
              <w:rPr>
                <w:rFonts w:hint="eastAsia"/>
                <w:color w:val="auto"/>
                <w:spacing w:val="8"/>
              </w:rPr>
            </w:pPr>
            <w:r>
              <w:rPr>
                <w:rFonts w:hint="eastAsia"/>
                <w:color w:val="auto"/>
                <w:spacing w:val="8"/>
                <w:lang w:eastAsia="zh-CN"/>
              </w:rPr>
              <w:t>课程</w:t>
            </w:r>
            <w:r>
              <w:rPr>
                <w:color w:val="auto"/>
                <w:spacing w:val="8"/>
              </w:rPr>
              <w:t>目标</w:t>
            </w:r>
          </w:p>
          <w:p w14:paraId="0EB52164">
            <w:pPr>
              <w:pStyle w:val="34"/>
              <w:spacing w:before="68"/>
              <w:ind w:left="159"/>
              <w:jc w:val="center"/>
              <w:rPr>
                <w:rFonts w:hint="eastAsia"/>
                <w:color w:val="auto"/>
                <w:spacing w:val="-5"/>
              </w:rPr>
            </w:pPr>
            <w:r>
              <w:rPr>
                <w:color w:val="auto"/>
                <w:spacing w:val="-5"/>
              </w:rPr>
              <w:t>1、2</w:t>
            </w:r>
          </w:p>
        </w:tc>
        <w:tc>
          <w:tcPr>
            <w:tcW w:w="2125" w:type="dxa"/>
            <w:vAlign w:val="center"/>
          </w:tcPr>
          <w:p w14:paraId="55CE9F3E">
            <w:pPr>
              <w:rPr>
                <w:rFonts w:hint="eastAsia" w:ascii="宋体" w:hAnsi="宋体" w:eastAsia="宋体" w:cs="Times New Roman"/>
                <w:szCs w:val="21"/>
              </w:rPr>
            </w:pPr>
            <w:r>
              <w:rPr>
                <w:rFonts w:ascii="宋体" w:hAnsi="宋体" w:eastAsia="宋体"/>
                <w:spacing w:val="1"/>
                <w:szCs w:val="21"/>
              </w:rPr>
              <w:t>理解大学生创新和</w:t>
            </w:r>
            <w:r>
              <w:rPr>
                <w:rFonts w:ascii="宋体" w:hAnsi="宋体" w:eastAsia="宋体"/>
                <w:spacing w:val="16"/>
                <w:szCs w:val="21"/>
              </w:rPr>
              <w:t>创业的类型和创</w:t>
            </w:r>
            <w:r>
              <w:rPr>
                <w:rFonts w:ascii="宋体" w:hAnsi="宋体" w:eastAsia="宋体"/>
                <w:spacing w:val="12"/>
                <w:szCs w:val="21"/>
              </w:rPr>
              <w:t>新、创业、专业、</w:t>
            </w:r>
            <w:r>
              <w:rPr>
                <w:rFonts w:ascii="宋体" w:hAnsi="宋体" w:eastAsia="宋体"/>
                <w:spacing w:val="-2"/>
                <w:szCs w:val="21"/>
              </w:rPr>
              <w:t>产业以及与职业生</w:t>
            </w:r>
            <w:r>
              <w:rPr>
                <w:rFonts w:ascii="宋体" w:hAnsi="宋体" w:eastAsia="宋体"/>
                <w:spacing w:val="15"/>
                <w:szCs w:val="21"/>
              </w:rPr>
              <w:t>涯发展的逻辑关</w:t>
            </w:r>
            <w:r>
              <w:rPr>
                <w:rFonts w:ascii="宋体" w:hAnsi="宋体" w:eastAsia="宋体"/>
                <w:szCs w:val="21"/>
              </w:rPr>
              <w:t>系；熟悉中国国际</w:t>
            </w:r>
            <w:r>
              <w:rPr>
                <w:rFonts w:ascii="宋体" w:hAnsi="宋体" w:eastAsia="宋体"/>
                <w:spacing w:val="1"/>
                <w:szCs w:val="21"/>
              </w:rPr>
              <w:t>大学生创新大赛与</w:t>
            </w:r>
            <w:r>
              <w:rPr>
                <w:rFonts w:ascii="宋体" w:hAnsi="宋体" w:eastAsia="宋体"/>
                <w:szCs w:val="21"/>
              </w:rPr>
              <w:t>高校创新创业人才</w:t>
            </w:r>
            <w:r>
              <w:rPr>
                <w:rFonts w:ascii="宋体" w:hAnsi="宋体" w:eastAsia="宋体"/>
                <w:spacing w:val="-2"/>
                <w:szCs w:val="21"/>
              </w:rPr>
              <w:t>培养。</w:t>
            </w:r>
          </w:p>
        </w:tc>
        <w:tc>
          <w:tcPr>
            <w:tcW w:w="1560" w:type="dxa"/>
            <w:vAlign w:val="center"/>
          </w:tcPr>
          <w:p w14:paraId="72BFE3EA">
            <w:pPr>
              <w:jc w:val="left"/>
              <w:rPr>
                <w:rFonts w:hint="eastAsia" w:ascii="宋体" w:hAnsi="宋体" w:eastAsia="宋体" w:cs="Times New Roman"/>
                <w:szCs w:val="21"/>
              </w:rPr>
            </w:pPr>
            <w:r>
              <w:rPr>
                <w:rFonts w:hint="eastAsia" w:ascii="宋体" w:hAnsi="宋体" w:eastAsia="宋体" w:cs="Times New Roman"/>
                <w:szCs w:val="21"/>
              </w:rPr>
              <w:t>1.线下学习</w:t>
            </w:r>
          </w:p>
          <w:p w14:paraId="46977268">
            <w:pPr>
              <w:jc w:val="left"/>
              <w:rPr>
                <w:rFonts w:hint="eastAsia" w:ascii="宋体" w:hAnsi="宋体" w:eastAsia="宋体" w:cs="Times New Roman"/>
                <w:szCs w:val="21"/>
              </w:rPr>
            </w:pPr>
            <w:r>
              <w:rPr>
                <w:rFonts w:hint="eastAsia" w:ascii="宋体" w:hAnsi="宋体" w:eastAsia="宋体" w:cs="Times New Roman"/>
                <w:szCs w:val="21"/>
              </w:rPr>
              <w:t>2.多媒体教学</w:t>
            </w:r>
          </w:p>
          <w:p w14:paraId="3B0CD6EC">
            <w:pPr>
              <w:jc w:val="left"/>
              <w:rPr>
                <w:rFonts w:hint="eastAsia" w:ascii="宋体" w:hAnsi="宋体" w:eastAsia="宋体" w:cs="Times New Roman"/>
                <w:szCs w:val="21"/>
              </w:rPr>
            </w:pPr>
            <w:r>
              <w:rPr>
                <w:rFonts w:hint="eastAsia" w:ascii="宋体" w:hAnsi="宋体" w:eastAsia="宋体" w:cs="Times New Roman"/>
                <w:szCs w:val="21"/>
              </w:rPr>
              <w:t>3.课堂讨论</w:t>
            </w:r>
          </w:p>
        </w:tc>
        <w:tc>
          <w:tcPr>
            <w:tcW w:w="439" w:type="dxa"/>
            <w:vAlign w:val="center"/>
          </w:tcPr>
          <w:p w14:paraId="769DFF16">
            <w:pPr>
              <w:jc w:val="center"/>
              <w:rPr>
                <w:rFonts w:hint="eastAsia" w:ascii="宋体" w:hAnsi="宋体" w:eastAsia="宋体" w:cs="Times New Roman"/>
                <w:szCs w:val="21"/>
              </w:rPr>
            </w:pPr>
            <w:r>
              <w:rPr>
                <w:rFonts w:hint="eastAsia" w:ascii="宋体" w:hAnsi="宋体" w:eastAsia="宋体" w:cs="Times New Roman"/>
                <w:szCs w:val="21"/>
              </w:rPr>
              <w:t>2</w:t>
            </w:r>
          </w:p>
        </w:tc>
      </w:tr>
      <w:tr w14:paraId="0109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62C36C7B">
            <w:pPr>
              <w:jc w:val="center"/>
              <w:rPr>
                <w:rFonts w:hint="eastAsia" w:ascii="宋体" w:hAnsi="宋体" w:eastAsia="宋体" w:cs="Times New Roman"/>
                <w:szCs w:val="21"/>
              </w:rPr>
            </w:pPr>
          </w:p>
        </w:tc>
        <w:tc>
          <w:tcPr>
            <w:tcW w:w="8309" w:type="dxa"/>
            <w:gridSpan w:val="5"/>
            <w:vAlign w:val="center"/>
          </w:tcPr>
          <w:p w14:paraId="7E25891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spacing w:val="-1"/>
                <w:szCs w:val="21"/>
              </w:rPr>
              <w:t>跟党学双创，深入理解党的二十大和二十届二中、三中全会</w:t>
            </w:r>
            <w:r>
              <w:rPr>
                <w:rFonts w:ascii="宋体" w:hAnsi="宋体" w:eastAsia="宋体"/>
                <w:szCs w:val="21"/>
              </w:rPr>
              <w:t>以及全国教育大会精神，从教育、科技、人才一体推进的战</w:t>
            </w:r>
            <w:r>
              <w:rPr>
                <w:rFonts w:ascii="宋体" w:hAnsi="宋体" w:eastAsia="宋体"/>
                <w:spacing w:val="8"/>
                <w:szCs w:val="21"/>
              </w:rPr>
              <w:t>略上深化创新创业教育改革；</w:t>
            </w:r>
            <w:r>
              <w:rPr>
                <w:rFonts w:ascii="宋体" w:hAnsi="宋体" w:eastAsia="宋体"/>
                <w:spacing w:val="-1"/>
                <w:szCs w:val="21"/>
              </w:rPr>
              <w:t>深刻领会中共中央总书记习近平给中国国际大学生创新大赛</w:t>
            </w:r>
            <w:r>
              <w:rPr>
                <w:rFonts w:ascii="宋体" w:hAnsi="宋体" w:eastAsia="宋体"/>
                <w:szCs w:val="21"/>
              </w:rPr>
              <w:t>参赛学生代表的回信内涵，为</w:t>
            </w:r>
            <w:r>
              <w:rPr>
                <w:rFonts w:ascii="宋体" w:hAnsi="宋体" w:eastAsia="宋体"/>
                <w:spacing w:val="-1"/>
                <w:szCs w:val="21"/>
              </w:rPr>
              <w:t>建设教育强国和新质生产力发</w:t>
            </w:r>
            <w:r>
              <w:rPr>
                <w:rFonts w:ascii="宋体" w:hAnsi="宋体" w:eastAsia="宋体"/>
                <w:szCs w:val="21"/>
              </w:rPr>
              <w:t>展提供坚实人才支撑。</w:t>
            </w:r>
          </w:p>
        </w:tc>
      </w:tr>
      <w:tr w14:paraId="2F61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58E1C37D">
            <w:pPr>
              <w:jc w:val="center"/>
              <w:rPr>
                <w:rFonts w:hint="eastAsia" w:ascii="宋体" w:hAnsi="宋体" w:eastAsia="宋体" w:cs="Times New Roman"/>
                <w:szCs w:val="21"/>
              </w:rPr>
            </w:pPr>
            <w:r>
              <w:rPr>
                <w:rFonts w:hint="eastAsia" w:ascii="宋体" w:hAnsi="宋体" w:eastAsia="宋体"/>
                <w:b/>
                <w:bCs/>
                <w:spacing w:val="-3"/>
                <w:szCs w:val="21"/>
              </w:rPr>
              <w:t>2.</w:t>
            </w:r>
            <w:r>
              <w:rPr>
                <w:rFonts w:ascii="宋体" w:hAnsi="宋体" w:eastAsia="宋体"/>
                <w:b/>
                <w:bCs/>
                <w:spacing w:val="-3"/>
                <w:szCs w:val="21"/>
              </w:rPr>
              <w:t>创新思维基础</w:t>
            </w:r>
          </w:p>
        </w:tc>
        <w:tc>
          <w:tcPr>
            <w:tcW w:w="2855" w:type="dxa"/>
            <w:vAlign w:val="center"/>
          </w:tcPr>
          <w:p w14:paraId="68157E75">
            <w:pPr>
              <w:pStyle w:val="34"/>
              <w:spacing w:before="92"/>
              <w:jc w:val="both"/>
              <w:rPr>
                <w:rFonts w:hint="eastAsia"/>
                <w:color w:val="auto"/>
                <w:lang w:eastAsia="zh-CN"/>
              </w:rPr>
            </w:pPr>
            <w:r>
              <w:rPr>
                <w:color w:val="auto"/>
                <w:spacing w:val="-3"/>
                <w:lang w:eastAsia="zh-CN"/>
              </w:rPr>
              <w:t>创新思维</w:t>
            </w:r>
            <w:r>
              <w:rPr>
                <w:color w:val="auto"/>
                <w:spacing w:val="1"/>
                <w:lang w:eastAsia="zh-CN"/>
              </w:rPr>
              <w:t>的概念、类型和过程以及</w:t>
            </w:r>
            <w:r>
              <w:rPr>
                <w:color w:val="auto"/>
                <w:spacing w:val="-1"/>
                <w:lang w:eastAsia="zh-CN"/>
              </w:rPr>
              <w:t>培养方法；应用案例分析</w:t>
            </w:r>
            <w:r>
              <w:rPr>
                <w:color w:val="auto"/>
                <w:spacing w:val="2"/>
                <w:lang w:eastAsia="zh-CN"/>
              </w:rPr>
              <w:t>大学生创新创业项目中</w:t>
            </w:r>
            <w:r>
              <w:rPr>
                <w:color w:val="auto"/>
                <w:spacing w:val="-1"/>
                <w:lang w:eastAsia="zh-CN"/>
              </w:rPr>
              <w:t>包含的创新思维策略。</w:t>
            </w:r>
          </w:p>
        </w:tc>
        <w:tc>
          <w:tcPr>
            <w:tcW w:w="1330" w:type="dxa"/>
            <w:vAlign w:val="center"/>
          </w:tcPr>
          <w:p w14:paraId="1BA130F6">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125" w:type="dxa"/>
            <w:vAlign w:val="center"/>
          </w:tcPr>
          <w:p w14:paraId="11E01AC5">
            <w:pPr>
              <w:jc w:val="left"/>
              <w:rPr>
                <w:rFonts w:hint="eastAsia" w:ascii="宋体" w:hAnsi="宋体" w:eastAsia="宋体" w:cs="Times New Roman"/>
                <w:szCs w:val="21"/>
              </w:rPr>
            </w:pPr>
            <w:r>
              <w:rPr>
                <w:rFonts w:ascii="宋体" w:hAnsi="宋体" w:eastAsia="宋体"/>
                <w:spacing w:val="1"/>
                <w:szCs w:val="21"/>
              </w:rPr>
              <w:t>掌握创新思维的培</w:t>
            </w:r>
            <w:r>
              <w:rPr>
                <w:rFonts w:ascii="宋体" w:hAnsi="宋体" w:eastAsia="宋体"/>
                <w:spacing w:val="-2"/>
                <w:szCs w:val="21"/>
              </w:rPr>
              <w:t>养方法以及大学生创新创业项目中包</w:t>
            </w:r>
            <w:r>
              <w:rPr>
                <w:rFonts w:ascii="宋体" w:hAnsi="宋体" w:eastAsia="宋体"/>
                <w:spacing w:val="13"/>
                <w:szCs w:val="21"/>
              </w:rPr>
              <w:t>含的创新思维策</w:t>
            </w:r>
            <w:r>
              <w:rPr>
                <w:rFonts w:ascii="宋体" w:hAnsi="宋体" w:eastAsia="宋体"/>
                <w:spacing w:val="-2"/>
                <w:szCs w:val="21"/>
              </w:rPr>
              <w:t>略。</w:t>
            </w:r>
          </w:p>
        </w:tc>
        <w:tc>
          <w:tcPr>
            <w:tcW w:w="1560" w:type="dxa"/>
            <w:vAlign w:val="center"/>
          </w:tcPr>
          <w:p w14:paraId="5D6FC364">
            <w:pPr>
              <w:jc w:val="left"/>
              <w:rPr>
                <w:rFonts w:hint="eastAsia" w:ascii="宋体" w:hAnsi="宋体" w:eastAsia="宋体" w:cs="Times New Roman"/>
                <w:szCs w:val="21"/>
              </w:rPr>
            </w:pPr>
            <w:r>
              <w:rPr>
                <w:rFonts w:hint="eastAsia" w:ascii="宋体" w:hAnsi="宋体" w:eastAsia="宋体" w:cs="Times New Roman"/>
                <w:szCs w:val="21"/>
              </w:rPr>
              <w:t>1.线下学习</w:t>
            </w:r>
          </w:p>
          <w:p w14:paraId="23A7CCA4">
            <w:pPr>
              <w:jc w:val="left"/>
              <w:rPr>
                <w:rFonts w:hint="eastAsia" w:ascii="宋体" w:hAnsi="宋体" w:eastAsia="宋体" w:cs="Times New Roman"/>
                <w:szCs w:val="21"/>
              </w:rPr>
            </w:pPr>
            <w:r>
              <w:rPr>
                <w:rFonts w:hint="eastAsia" w:ascii="宋体" w:hAnsi="宋体" w:eastAsia="宋体" w:cs="Times New Roman"/>
                <w:szCs w:val="21"/>
              </w:rPr>
              <w:t>2.多媒体教学</w:t>
            </w:r>
          </w:p>
          <w:p w14:paraId="776265F9">
            <w:pPr>
              <w:jc w:val="left"/>
              <w:rPr>
                <w:rFonts w:hint="eastAsia" w:ascii="宋体" w:hAnsi="宋体" w:eastAsia="宋体" w:cs="Times New Roman"/>
                <w:szCs w:val="21"/>
              </w:rPr>
            </w:pPr>
            <w:r>
              <w:rPr>
                <w:rFonts w:hint="eastAsia" w:ascii="宋体" w:hAnsi="宋体" w:eastAsia="宋体" w:cs="Times New Roman"/>
                <w:szCs w:val="21"/>
              </w:rPr>
              <w:t>3.课堂讨论</w:t>
            </w:r>
          </w:p>
        </w:tc>
        <w:tc>
          <w:tcPr>
            <w:tcW w:w="439" w:type="dxa"/>
            <w:vAlign w:val="center"/>
          </w:tcPr>
          <w:p w14:paraId="14EEFCB8">
            <w:pPr>
              <w:jc w:val="center"/>
              <w:rPr>
                <w:rFonts w:hint="eastAsia" w:ascii="宋体" w:hAnsi="宋体" w:eastAsia="宋体" w:cs="Times New Roman"/>
                <w:szCs w:val="21"/>
              </w:rPr>
            </w:pPr>
            <w:r>
              <w:rPr>
                <w:rFonts w:hint="eastAsia" w:ascii="宋体" w:hAnsi="宋体" w:eastAsia="宋体" w:cs="Times New Roman"/>
                <w:szCs w:val="21"/>
              </w:rPr>
              <w:t>2</w:t>
            </w:r>
          </w:p>
        </w:tc>
      </w:tr>
      <w:tr w14:paraId="1094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55A932A7">
            <w:pPr>
              <w:jc w:val="center"/>
              <w:rPr>
                <w:rFonts w:hint="eastAsia" w:ascii="宋体" w:hAnsi="宋体" w:eastAsia="宋体" w:cs="Times New Roman"/>
                <w:szCs w:val="21"/>
              </w:rPr>
            </w:pPr>
          </w:p>
        </w:tc>
        <w:tc>
          <w:tcPr>
            <w:tcW w:w="8309" w:type="dxa"/>
            <w:gridSpan w:val="5"/>
            <w:vAlign w:val="center"/>
          </w:tcPr>
          <w:p w14:paraId="5709086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spacing w:val="-1"/>
                <w:szCs w:val="21"/>
              </w:rPr>
              <w:t>培养创新思维，引导学生树立</w:t>
            </w:r>
            <w:r>
              <w:rPr>
                <w:rFonts w:ascii="宋体" w:hAnsi="宋体" w:eastAsia="宋体"/>
                <w:spacing w:val="2"/>
                <w:szCs w:val="21"/>
              </w:rPr>
              <w:t xml:space="preserve"> </w:t>
            </w:r>
            <w:r>
              <w:rPr>
                <w:rFonts w:ascii="宋体" w:hAnsi="宋体" w:eastAsia="宋体"/>
                <w:szCs w:val="21"/>
              </w:rPr>
              <w:t>正确人生观和价值观，激发爱</w:t>
            </w:r>
            <w:r>
              <w:rPr>
                <w:rFonts w:ascii="宋体" w:hAnsi="宋体" w:eastAsia="宋体"/>
                <w:spacing w:val="9"/>
                <w:szCs w:val="21"/>
              </w:rPr>
              <w:t xml:space="preserve"> </w:t>
            </w:r>
            <w:r>
              <w:rPr>
                <w:rFonts w:ascii="宋体" w:hAnsi="宋体" w:eastAsia="宋体"/>
                <w:szCs w:val="21"/>
              </w:rPr>
              <w:t>国主义情怀，践行社会主义核</w:t>
            </w:r>
            <w:r>
              <w:rPr>
                <w:rFonts w:ascii="宋体" w:hAnsi="宋体" w:eastAsia="宋体"/>
                <w:spacing w:val="11"/>
                <w:szCs w:val="21"/>
              </w:rPr>
              <w:t xml:space="preserve"> </w:t>
            </w:r>
            <w:r>
              <w:rPr>
                <w:rFonts w:ascii="宋体" w:hAnsi="宋体" w:eastAsia="宋体"/>
                <w:szCs w:val="21"/>
              </w:rPr>
              <w:t>心价值观，成为德才兼备、全面发展的创新型人才。</w:t>
            </w:r>
          </w:p>
        </w:tc>
      </w:tr>
      <w:tr w14:paraId="1C25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29FA3202">
            <w:pPr>
              <w:jc w:val="center"/>
              <w:rPr>
                <w:rFonts w:hint="eastAsia" w:ascii="宋体" w:hAnsi="宋体" w:eastAsia="宋体" w:cs="Times New Roman"/>
                <w:szCs w:val="21"/>
              </w:rPr>
            </w:pPr>
            <w:r>
              <w:rPr>
                <w:rFonts w:hint="eastAsia" w:ascii="宋体" w:hAnsi="宋体" w:eastAsia="宋体"/>
                <w:b/>
                <w:bCs/>
                <w:spacing w:val="-3"/>
                <w:szCs w:val="21"/>
              </w:rPr>
              <w:t>3.</w:t>
            </w:r>
            <w:r>
              <w:rPr>
                <w:rFonts w:ascii="宋体" w:hAnsi="宋体" w:eastAsia="宋体"/>
                <w:b/>
                <w:bCs/>
                <w:spacing w:val="-3"/>
                <w:szCs w:val="21"/>
              </w:rPr>
              <w:t>创新思维方法与工具</w:t>
            </w:r>
          </w:p>
        </w:tc>
        <w:tc>
          <w:tcPr>
            <w:tcW w:w="2855" w:type="dxa"/>
            <w:vAlign w:val="center"/>
          </w:tcPr>
          <w:p w14:paraId="7E5D3A75">
            <w:pPr>
              <w:pStyle w:val="34"/>
              <w:spacing w:before="104"/>
              <w:ind w:left="-34" w:leftChars="-16" w:right="-38" w:rightChars="-18"/>
              <w:jc w:val="both"/>
              <w:rPr>
                <w:rFonts w:hint="eastAsia"/>
                <w:color w:val="auto"/>
                <w:lang w:eastAsia="zh-CN"/>
              </w:rPr>
            </w:pPr>
            <w:r>
              <w:rPr>
                <w:color w:val="auto"/>
                <w:spacing w:val="-3"/>
                <w:lang w:eastAsia="zh-CN"/>
              </w:rPr>
              <w:t>常</w:t>
            </w:r>
            <w:r>
              <w:rPr>
                <w:color w:val="auto"/>
                <w:spacing w:val="1"/>
                <w:lang w:eastAsia="zh-CN"/>
              </w:rPr>
              <w:t>见的创新思维方法和思</w:t>
            </w:r>
            <w:r>
              <w:rPr>
                <w:color w:val="auto"/>
                <w:lang w:eastAsia="zh-CN"/>
              </w:rPr>
              <w:t>维分析工具；社会调查报</w:t>
            </w:r>
            <w:r>
              <w:rPr>
                <w:color w:val="auto"/>
                <w:spacing w:val="1"/>
                <w:lang w:eastAsia="zh-CN"/>
              </w:rPr>
              <w:t>告和专利撰写的基本结构；“挑战杯”全国大学</w:t>
            </w:r>
            <w:r>
              <w:rPr>
                <w:color w:val="auto"/>
                <w:spacing w:val="-1"/>
                <w:lang w:eastAsia="zh-CN"/>
              </w:rPr>
              <w:t>生课外学术作品竞赛获</w:t>
            </w:r>
            <w:r>
              <w:rPr>
                <w:color w:val="auto"/>
                <w:spacing w:val="-2"/>
                <w:lang w:eastAsia="zh-CN"/>
              </w:rPr>
              <w:t>奖案例分析</w:t>
            </w:r>
            <w:r>
              <w:rPr>
                <w:rFonts w:hint="eastAsia"/>
                <w:color w:val="auto"/>
                <w:spacing w:val="-2"/>
                <w:lang w:eastAsia="zh-CN"/>
              </w:rPr>
              <w:t>。</w:t>
            </w:r>
          </w:p>
        </w:tc>
        <w:tc>
          <w:tcPr>
            <w:tcW w:w="1330" w:type="dxa"/>
            <w:vAlign w:val="center"/>
          </w:tcPr>
          <w:p w14:paraId="5998A27F">
            <w:pPr>
              <w:jc w:val="center"/>
              <w:rPr>
                <w:rFonts w:hint="eastAsia" w:ascii="宋体" w:hAnsi="宋体" w:eastAsia="宋体" w:cs="Times New Roman"/>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2125" w:type="dxa"/>
            <w:vAlign w:val="center"/>
          </w:tcPr>
          <w:p w14:paraId="4F9ED60D">
            <w:pPr>
              <w:pStyle w:val="34"/>
              <w:spacing w:before="68"/>
              <w:ind w:right="-105" w:rightChars="-50"/>
              <w:rPr>
                <w:rFonts w:hint="eastAsia"/>
                <w:color w:val="auto"/>
                <w:lang w:eastAsia="zh-CN"/>
              </w:rPr>
            </w:pPr>
            <w:r>
              <w:rPr>
                <w:color w:val="auto"/>
                <w:spacing w:val="-2"/>
                <w:lang w:eastAsia="zh-CN"/>
              </w:rPr>
              <w:t>能够应用“挑战杯”全国大学生课外学</w:t>
            </w:r>
            <w:r>
              <w:rPr>
                <w:color w:val="auto"/>
                <w:spacing w:val="1"/>
                <w:lang w:eastAsia="zh-CN"/>
              </w:rPr>
              <w:t>术作品竞赛获奖案</w:t>
            </w:r>
            <w:r>
              <w:rPr>
                <w:color w:val="auto"/>
                <w:spacing w:val="-2"/>
                <w:lang w:eastAsia="zh-CN"/>
              </w:rPr>
              <w:t>例分析创新思维方</w:t>
            </w:r>
            <w:r>
              <w:rPr>
                <w:color w:val="auto"/>
                <w:spacing w:val="6"/>
                <w:lang w:eastAsia="zh-CN"/>
              </w:rPr>
              <w:t xml:space="preserve"> </w:t>
            </w:r>
            <w:r>
              <w:rPr>
                <w:color w:val="auto"/>
                <w:spacing w:val="2"/>
                <w:lang w:eastAsia="zh-CN"/>
              </w:rPr>
              <w:t>法的使用。</w:t>
            </w:r>
          </w:p>
        </w:tc>
        <w:tc>
          <w:tcPr>
            <w:tcW w:w="1560" w:type="dxa"/>
            <w:vAlign w:val="center"/>
          </w:tcPr>
          <w:p w14:paraId="1B868A7D">
            <w:pPr>
              <w:jc w:val="left"/>
              <w:rPr>
                <w:rFonts w:hint="eastAsia" w:ascii="宋体" w:hAnsi="宋体" w:eastAsia="宋体" w:cs="Times New Roman"/>
                <w:szCs w:val="21"/>
              </w:rPr>
            </w:pPr>
            <w:r>
              <w:rPr>
                <w:rFonts w:hint="eastAsia" w:ascii="宋体" w:hAnsi="宋体" w:eastAsia="宋体" w:cs="Times New Roman"/>
                <w:szCs w:val="21"/>
              </w:rPr>
              <w:t>1.线下学习</w:t>
            </w:r>
          </w:p>
          <w:p w14:paraId="137BA81E">
            <w:pPr>
              <w:jc w:val="left"/>
              <w:rPr>
                <w:rFonts w:hint="eastAsia" w:ascii="宋体" w:hAnsi="宋体" w:eastAsia="宋体" w:cs="Times New Roman"/>
                <w:szCs w:val="21"/>
              </w:rPr>
            </w:pPr>
            <w:r>
              <w:rPr>
                <w:rFonts w:hint="eastAsia" w:ascii="宋体" w:hAnsi="宋体" w:eastAsia="宋体" w:cs="Times New Roman"/>
                <w:szCs w:val="21"/>
              </w:rPr>
              <w:t>2.多媒体教学</w:t>
            </w:r>
          </w:p>
          <w:p w14:paraId="09ED3E0D">
            <w:pPr>
              <w:jc w:val="left"/>
              <w:rPr>
                <w:rFonts w:hint="eastAsia" w:ascii="宋体" w:hAnsi="宋体" w:eastAsia="宋体" w:cs="Times New Roman"/>
                <w:szCs w:val="21"/>
              </w:rPr>
            </w:pPr>
            <w:r>
              <w:rPr>
                <w:rFonts w:hint="eastAsia" w:ascii="宋体" w:hAnsi="宋体" w:eastAsia="宋体" w:cs="Times New Roman"/>
                <w:szCs w:val="21"/>
              </w:rPr>
              <w:t>3.课堂讨论</w:t>
            </w:r>
          </w:p>
          <w:p w14:paraId="6D722035">
            <w:pPr>
              <w:jc w:val="left"/>
              <w:rPr>
                <w:rFonts w:hint="eastAsia" w:ascii="宋体" w:hAnsi="宋体" w:eastAsia="宋体" w:cs="Times New Roman"/>
                <w:szCs w:val="21"/>
              </w:rPr>
            </w:pPr>
            <w:r>
              <w:rPr>
                <w:rFonts w:hint="eastAsia" w:ascii="宋体" w:hAnsi="宋体" w:eastAsia="宋体" w:cs="Times New Roman"/>
                <w:szCs w:val="21"/>
              </w:rPr>
              <w:t>4.课堂汇报</w:t>
            </w:r>
          </w:p>
        </w:tc>
        <w:tc>
          <w:tcPr>
            <w:tcW w:w="439" w:type="dxa"/>
            <w:vAlign w:val="center"/>
          </w:tcPr>
          <w:p w14:paraId="4E4A86E4">
            <w:pPr>
              <w:jc w:val="center"/>
              <w:rPr>
                <w:rFonts w:hint="eastAsia" w:ascii="宋体" w:hAnsi="宋体" w:eastAsia="宋体" w:cs="Times New Roman"/>
                <w:szCs w:val="21"/>
              </w:rPr>
            </w:pPr>
            <w:r>
              <w:rPr>
                <w:rFonts w:hint="eastAsia" w:ascii="宋体" w:hAnsi="宋体" w:eastAsia="宋体" w:cs="Times New Roman"/>
                <w:szCs w:val="21"/>
              </w:rPr>
              <w:t>4</w:t>
            </w:r>
          </w:p>
        </w:tc>
      </w:tr>
      <w:tr w14:paraId="4CDD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6E4C8FE4">
            <w:pPr>
              <w:jc w:val="center"/>
              <w:rPr>
                <w:rFonts w:hint="eastAsia" w:ascii="宋体" w:hAnsi="宋体" w:eastAsia="宋体" w:cs="Times New Roman"/>
                <w:szCs w:val="21"/>
              </w:rPr>
            </w:pPr>
          </w:p>
        </w:tc>
        <w:tc>
          <w:tcPr>
            <w:tcW w:w="8309" w:type="dxa"/>
            <w:gridSpan w:val="5"/>
            <w:vAlign w:val="center"/>
          </w:tcPr>
          <w:p w14:paraId="0A39221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spacing w:val="-1"/>
                <w:szCs w:val="21"/>
              </w:rPr>
              <w:t>将创新思维方法与工具，灵活</w:t>
            </w:r>
            <w:r>
              <w:rPr>
                <w:rFonts w:ascii="宋体" w:hAnsi="宋体" w:eastAsia="宋体"/>
                <w:spacing w:val="5"/>
                <w:szCs w:val="21"/>
              </w:rPr>
              <w:t xml:space="preserve"> </w:t>
            </w:r>
            <w:r>
              <w:rPr>
                <w:rFonts w:ascii="宋体" w:hAnsi="宋体" w:eastAsia="宋体"/>
                <w:spacing w:val="-1"/>
                <w:szCs w:val="21"/>
              </w:rPr>
              <w:t>应用到生活实践当中，提高学</w:t>
            </w:r>
            <w:r>
              <w:rPr>
                <w:rFonts w:ascii="宋体" w:hAnsi="宋体" w:eastAsia="宋体"/>
                <w:spacing w:val="3"/>
                <w:szCs w:val="21"/>
              </w:rPr>
              <w:t xml:space="preserve"> </w:t>
            </w:r>
            <w:r>
              <w:rPr>
                <w:rFonts w:ascii="宋体" w:hAnsi="宋体" w:eastAsia="宋体"/>
                <w:spacing w:val="1"/>
                <w:szCs w:val="21"/>
              </w:rPr>
              <w:t>生对创新创业活动的积极性和</w:t>
            </w:r>
            <w:r>
              <w:rPr>
                <w:rFonts w:ascii="宋体" w:hAnsi="宋体" w:eastAsia="宋体"/>
                <w:spacing w:val="-1"/>
                <w:szCs w:val="21"/>
              </w:rPr>
              <w:t>参与度，培养良好的思维习惯</w:t>
            </w:r>
            <w:r>
              <w:rPr>
                <w:rFonts w:ascii="宋体" w:hAnsi="宋体" w:eastAsia="宋体"/>
                <w:spacing w:val="2"/>
                <w:szCs w:val="21"/>
              </w:rPr>
              <w:t xml:space="preserve"> </w:t>
            </w:r>
            <w:r>
              <w:rPr>
                <w:rFonts w:ascii="宋体" w:hAnsi="宋体" w:eastAsia="宋体"/>
                <w:spacing w:val="-1"/>
                <w:szCs w:val="21"/>
              </w:rPr>
              <w:t>与创新人格。</w:t>
            </w:r>
          </w:p>
        </w:tc>
      </w:tr>
      <w:tr w14:paraId="5123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5AAE3F1F">
            <w:pPr>
              <w:rPr>
                <w:rFonts w:hint="eastAsia" w:ascii="宋体" w:hAnsi="宋体" w:eastAsia="宋体" w:cs="Times New Roman"/>
                <w:szCs w:val="21"/>
              </w:rPr>
            </w:pPr>
            <w:r>
              <w:rPr>
                <w:rFonts w:hint="eastAsia" w:ascii="宋体" w:hAnsi="宋体" w:eastAsia="宋体"/>
                <w:b/>
                <w:bCs/>
                <w:szCs w:val="21"/>
              </w:rPr>
              <w:t>4.</w:t>
            </w:r>
            <w:r>
              <w:rPr>
                <w:rFonts w:ascii="宋体" w:hAnsi="宋体" w:eastAsia="宋体"/>
                <w:b/>
                <w:bCs/>
                <w:szCs w:val="21"/>
              </w:rPr>
              <w:t>创业</w:t>
            </w:r>
          </w:p>
          <w:p w14:paraId="69B86698">
            <w:pPr>
              <w:ind w:firstLine="211" w:firstLineChars="100"/>
              <w:rPr>
                <w:rFonts w:hint="eastAsia" w:ascii="宋体" w:hAnsi="宋体" w:eastAsia="宋体" w:cs="Times New Roman"/>
                <w:szCs w:val="21"/>
              </w:rPr>
            </w:pPr>
            <w:r>
              <w:rPr>
                <w:rFonts w:ascii="宋体" w:hAnsi="宋体" w:eastAsia="宋体"/>
                <w:b/>
                <w:bCs/>
                <w:szCs w:val="21"/>
              </w:rPr>
              <w:t>基础</w:t>
            </w:r>
          </w:p>
        </w:tc>
        <w:tc>
          <w:tcPr>
            <w:tcW w:w="2855" w:type="dxa"/>
            <w:vAlign w:val="center"/>
          </w:tcPr>
          <w:p w14:paraId="6244C95B">
            <w:pPr>
              <w:ind w:right="-181" w:rightChars="-86"/>
              <w:jc w:val="left"/>
              <w:rPr>
                <w:rFonts w:hint="eastAsia" w:ascii="宋体" w:hAnsi="宋体" w:eastAsia="宋体" w:cs="Times New Roman"/>
                <w:szCs w:val="21"/>
              </w:rPr>
            </w:pPr>
            <w:r>
              <w:rPr>
                <w:rFonts w:ascii="宋体" w:hAnsi="宋体" w:eastAsia="宋体"/>
                <w:szCs w:val="21"/>
              </w:rPr>
              <w:t>大学生创业的市场机会与评估；挖掘大</w:t>
            </w:r>
            <w:r>
              <w:rPr>
                <w:rFonts w:ascii="宋体" w:hAnsi="宋体" w:eastAsia="宋体"/>
                <w:spacing w:val="10"/>
                <w:szCs w:val="21"/>
              </w:rPr>
              <w:t>学生创业项目的常用方</w:t>
            </w:r>
            <w:r>
              <w:rPr>
                <w:rFonts w:ascii="宋体" w:hAnsi="宋体" w:eastAsia="宋体"/>
                <w:spacing w:val="-1"/>
                <w:szCs w:val="21"/>
              </w:rPr>
              <w:t>法；大学生创业的风险类</w:t>
            </w:r>
            <w:r>
              <w:rPr>
                <w:rFonts w:ascii="宋体" w:hAnsi="宋体" w:eastAsia="宋体"/>
                <w:szCs w:val="21"/>
              </w:rPr>
              <w:t xml:space="preserve"> </w:t>
            </w:r>
            <w:r>
              <w:rPr>
                <w:rFonts w:ascii="宋体" w:hAnsi="宋体" w:eastAsia="宋体"/>
                <w:spacing w:val="2"/>
                <w:szCs w:val="21"/>
              </w:rPr>
              <w:t>型和应对策略。</w:t>
            </w:r>
          </w:p>
        </w:tc>
        <w:tc>
          <w:tcPr>
            <w:tcW w:w="1330" w:type="dxa"/>
            <w:vAlign w:val="center"/>
          </w:tcPr>
          <w:p w14:paraId="03ED96BB">
            <w:pPr>
              <w:jc w:val="center"/>
              <w:rPr>
                <w:rFonts w:hint="eastAsia" w:ascii="宋体" w:hAnsi="宋体" w:eastAsia="宋体" w:cs="Times New Roman"/>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2125" w:type="dxa"/>
            <w:vAlign w:val="center"/>
          </w:tcPr>
          <w:p w14:paraId="4CBC4246">
            <w:pPr>
              <w:jc w:val="left"/>
              <w:rPr>
                <w:rFonts w:hint="eastAsia" w:ascii="宋体" w:hAnsi="宋体" w:eastAsia="宋体" w:cs="Times New Roman"/>
                <w:szCs w:val="21"/>
              </w:rPr>
            </w:pPr>
            <w:r>
              <w:rPr>
                <w:rFonts w:ascii="宋体" w:hAnsi="宋体" w:eastAsia="宋体"/>
                <w:spacing w:val="1"/>
                <w:szCs w:val="21"/>
              </w:rPr>
              <w:t>掌握挖掘大学生创</w:t>
            </w:r>
            <w:r>
              <w:rPr>
                <w:rFonts w:ascii="宋体" w:hAnsi="宋体" w:eastAsia="宋体"/>
                <w:spacing w:val="13"/>
                <w:szCs w:val="21"/>
              </w:rPr>
              <w:t>业项目的常用方</w:t>
            </w:r>
            <w:r>
              <w:rPr>
                <w:rFonts w:ascii="宋体" w:hAnsi="宋体" w:eastAsia="宋体"/>
                <w:spacing w:val="-2"/>
                <w:szCs w:val="21"/>
              </w:rPr>
              <w:t>法；应用案例评估与分析大学生创业</w:t>
            </w:r>
            <w:r>
              <w:rPr>
                <w:rFonts w:ascii="宋体" w:hAnsi="宋体" w:eastAsia="宋体"/>
                <w:spacing w:val="2"/>
                <w:szCs w:val="21"/>
              </w:rPr>
              <w:t xml:space="preserve"> </w:t>
            </w:r>
            <w:r>
              <w:rPr>
                <w:rFonts w:ascii="宋体" w:hAnsi="宋体" w:eastAsia="宋体"/>
                <w:spacing w:val="1"/>
                <w:szCs w:val="21"/>
              </w:rPr>
              <w:t>项目的可行性</w:t>
            </w:r>
          </w:p>
        </w:tc>
        <w:tc>
          <w:tcPr>
            <w:tcW w:w="1560" w:type="dxa"/>
            <w:vAlign w:val="center"/>
          </w:tcPr>
          <w:p w14:paraId="6D475610">
            <w:pPr>
              <w:jc w:val="left"/>
              <w:rPr>
                <w:rFonts w:hint="eastAsia" w:ascii="宋体" w:hAnsi="宋体" w:eastAsia="宋体" w:cs="Times New Roman"/>
                <w:szCs w:val="21"/>
              </w:rPr>
            </w:pPr>
            <w:r>
              <w:rPr>
                <w:rFonts w:hint="eastAsia" w:ascii="宋体" w:hAnsi="宋体" w:eastAsia="宋体" w:cs="Times New Roman"/>
                <w:szCs w:val="21"/>
              </w:rPr>
              <w:t>1.线下学习</w:t>
            </w:r>
          </w:p>
          <w:p w14:paraId="64BD8D76">
            <w:pPr>
              <w:jc w:val="left"/>
              <w:rPr>
                <w:rFonts w:hint="eastAsia" w:ascii="宋体" w:hAnsi="宋体" w:eastAsia="宋体" w:cs="Times New Roman"/>
                <w:szCs w:val="21"/>
              </w:rPr>
            </w:pPr>
            <w:r>
              <w:rPr>
                <w:rFonts w:hint="eastAsia" w:ascii="宋体" w:hAnsi="宋体" w:eastAsia="宋体" w:cs="Times New Roman"/>
                <w:szCs w:val="21"/>
              </w:rPr>
              <w:t>2.多媒体教学</w:t>
            </w:r>
          </w:p>
          <w:p w14:paraId="56E8C633">
            <w:pPr>
              <w:jc w:val="left"/>
              <w:rPr>
                <w:rFonts w:hint="eastAsia" w:ascii="宋体" w:hAnsi="宋体" w:eastAsia="宋体" w:cs="Times New Roman"/>
                <w:szCs w:val="21"/>
              </w:rPr>
            </w:pPr>
            <w:r>
              <w:rPr>
                <w:rFonts w:hint="eastAsia" w:ascii="宋体" w:hAnsi="宋体" w:eastAsia="宋体" w:cs="Times New Roman"/>
                <w:szCs w:val="21"/>
              </w:rPr>
              <w:t>3.课堂讨论</w:t>
            </w:r>
          </w:p>
        </w:tc>
        <w:tc>
          <w:tcPr>
            <w:tcW w:w="439" w:type="dxa"/>
            <w:vAlign w:val="center"/>
          </w:tcPr>
          <w:p w14:paraId="3B0886AB">
            <w:pPr>
              <w:jc w:val="center"/>
              <w:rPr>
                <w:rFonts w:hint="eastAsia" w:ascii="宋体" w:hAnsi="宋体" w:eastAsia="宋体" w:cs="Times New Roman"/>
                <w:szCs w:val="21"/>
              </w:rPr>
            </w:pPr>
            <w:r>
              <w:rPr>
                <w:rFonts w:hint="eastAsia" w:ascii="宋体" w:hAnsi="宋体" w:eastAsia="宋体" w:cs="Times New Roman"/>
                <w:szCs w:val="21"/>
              </w:rPr>
              <w:t>4</w:t>
            </w:r>
          </w:p>
        </w:tc>
      </w:tr>
      <w:tr w14:paraId="5715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4A20384D">
            <w:pPr>
              <w:jc w:val="center"/>
              <w:rPr>
                <w:rFonts w:hint="eastAsia" w:ascii="宋体" w:hAnsi="宋体" w:eastAsia="宋体" w:cs="Times New Roman"/>
                <w:szCs w:val="21"/>
              </w:rPr>
            </w:pPr>
          </w:p>
        </w:tc>
        <w:tc>
          <w:tcPr>
            <w:tcW w:w="8309" w:type="dxa"/>
            <w:gridSpan w:val="5"/>
            <w:vAlign w:val="center"/>
          </w:tcPr>
          <w:p w14:paraId="511CC09B">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spacing w:val="8"/>
                <w:szCs w:val="21"/>
              </w:rPr>
              <w:t>引导学生树立正确的创业观、</w:t>
            </w:r>
            <w:r>
              <w:rPr>
                <w:rFonts w:ascii="宋体" w:hAnsi="宋体" w:eastAsia="宋体"/>
                <w:spacing w:val="-1"/>
                <w:szCs w:val="21"/>
              </w:rPr>
              <w:t>纯正的创业动机、良好的创业操守和远大的职业理想，让大</w:t>
            </w:r>
            <w:r>
              <w:rPr>
                <w:rFonts w:ascii="宋体" w:hAnsi="宋体" w:eastAsia="宋体"/>
                <w:szCs w:val="21"/>
              </w:rPr>
              <w:t>学生明白创业初期应该脚踏实</w:t>
            </w:r>
            <w:r>
              <w:rPr>
                <w:rFonts w:ascii="宋体" w:hAnsi="宋体" w:eastAsia="宋体"/>
                <w:spacing w:val="1"/>
                <w:szCs w:val="21"/>
              </w:rPr>
              <w:t>地、精打细算、量力而行，以创新来驱动创业激发潜能，同</w:t>
            </w:r>
            <w:r>
              <w:rPr>
                <w:rFonts w:ascii="宋体" w:hAnsi="宋体" w:eastAsia="宋体"/>
                <w:spacing w:val="4"/>
                <w:szCs w:val="21"/>
              </w:rPr>
              <w:t>时做好风险管控和应对措施</w:t>
            </w:r>
            <w:r>
              <w:rPr>
                <w:rFonts w:hint="eastAsia" w:ascii="宋体" w:hAnsi="宋体" w:eastAsia="宋体"/>
                <w:spacing w:val="4"/>
                <w:szCs w:val="21"/>
              </w:rPr>
              <w:t>，</w:t>
            </w:r>
            <w:r>
              <w:rPr>
                <w:rFonts w:ascii="宋体" w:hAnsi="宋体" w:eastAsia="宋体"/>
                <w:spacing w:val="1"/>
                <w:szCs w:val="21"/>
              </w:rPr>
              <w:t>切不可做一夜暴富的美梦。</w:t>
            </w:r>
          </w:p>
        </w:tc>
      </w:tr>
      <w:tr w14:paraId="4DA64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7DD70C2F">
            <w:pPr>
              <w:ind w:firstLine="207" w:firstLineChars="100"/>
              <w:jc w:val="center"/>
              <w:rPr>
                <w:rFonts w:hint="eastAsia" w:ascii="宋体" w:hAnsi="宋体" w:eastAsia="宋体" w:cs="Times New Roman"/>
                <w:szCs w:val="21"/>
              </w:rPr>
            </w:pPr>
            <w:r>
              <w:rPr>
                <w:rFonts w:hint="eastAsia" w:ascii="宋体" w:hAnsi="宋体" w:eastAsia="宋体"/>
                <w:b/>
                <w:bCs/>
                <w:spacing w:val="-2"/>
                <w:szCs w:val="21"/>
              </w:rPr>
              <w:t>5.</w:t>
            </w:r>
            <w:r>
              <w:rPr>
                <w:rFonts w:ascii="宋体" w:hAnsi="宋体" w:eastAsia="宋体"/>
                <w:b/>
                <w:bCs/>
                <w:spacing w:val="-2"/>
                <w:szCs w:val="21"/>
              </w:rPr>
              <w:t>创业计划</w:t>
            </w:r>
          </w:p>
        </w:tc>
        <w:tc>
          <w:tcPr>
            <w:tcW w:w="2855" w:type="dxa"/>
            <w:vAlign w:val="center"/>
          </w:tcPr>
          <w:p w14:paraId="3DFB73A4">
            <w:pPr>
              <w:jc w:val="left"/>
              <w:rPr>
                <w:rFonts w:hint="eastAsia" w:ascii="宋体" w:hAnsi="宋体" w:eastAsia="宋体" w:cs="Times New Roman"/>
                <w:szCs w:val="21"/>
              </w:rPr>
            </w:pPr>
            <w:r>
              <w:rPr>
                <w:rFonts w:ascii="宋体" w:hAnsi="宋体" w:eastAsia="宋体"/>
                <w:spacing w:val="-2"/>
                <w:szCs w:val="21"/>
              </w:rPr>
              <w:t>顾客需求和市</w:t>
            </w:r>
            <w:r>
              <w:rPr>
                <w:rFonts w:ascii="宋体" w:hAnsi="宋体" w:eastAsia="宋体"/>
                <w:spacing w:val="1"/>
                <w:szCs w:val="21"/>
              </w:rPr>
              <w:t xml:space="preserve">  </w:t>
            </w:r>
            <w:r>
              <w:rPr>
                <w:rFonts w:ascii="宋体" w:hAnsi="宋体" w:eastAsia="宋体"/>
                <w:spacing w:val="-1"/>
                <w:szCs w:val="21"/>
              </w:rPr>
              <w:t>场调研；市场营销、分销</w:t>
            </w:r>
            <w:r>
              <w:rPr>
                <w:rFonts w:ascii="宋体" w:hAnsi="宋体" w:eastAsia="宋体"/>
                <w:spacing w:val="4"/>
                <w:szCs w:val="21"/>
              </w:rPr>
              <w:t xml:space="preserve">  </w:t>
            </w:r>
            <w:r>
              <w:rPr>
                <w:rFonts w:ascii="宋体" w:hAnsi="宋体" w:eastAsia="宋体"/>
                <w:spacing w:val="9"/>
                <w:szCs w:val="21"/>
              </w:rPr>
              <w:t>渠道的选择和营业推广</w:t>
            </w:r>
            <w:r>
              <w:rPr>
                <w:rFonts w:ascii="宋体" w:hAnsi="宋体" w:eastAsia="宋体"/>
                <w:spacing w:val="-1"/>
                <w:szCs w:val="21"/>
              </w:rPr>
              <w:t>的形式；大学生创业初期的启动资金；财务规划与</w:t>
            </w:r>
            <w:r>
              <w:rPr>
                <w:rFonts w:ascii="宋体" w:hAnsi="宋体" w:eastAsia="宋体"/>
                <w:spacing w:val="4"/>
                <w:szCs w:val="21"/>
              </w:rPr>
              <w:t xml:space="preserve">  </w:t>
            </w:r>
            <w:r>
              <w:rPr>
                <w:rFonts w:ascii="宋体" w:hAnsi="宋体" w:eastAsia="宋体"/>
                <w:spacing w:val="-3"/>
                <w:szCs w:val="21"/>
              </w:rPr>
              <w:t>分析；企业的注册登记流</w:t>
            </w:r>
            <w:r>
              <w:rPr>
                <w:rFonts w:ascii="宋体" w:hAnsi="宋体" w:eastAsia="宋体"/>
                <w:spacing w:val="7"/>
                <w:szCs w:val="21"/>
              </w:rPr>
              <w:t>程；常见企业法律形态；</w:t>
            </w:r>
            <w:r>
              <w:rPr>
                <w:rFonts w:ascii="宋体" w:hAnsi="宋体" w:eastAsia="宋体"/>
                <w:spacing w:val="9"/>
                <w:szCs w:val="21"/>
              </w:rPr>
              <w:t xml:space="preserve"> </w:t>
            </w:r>
            <w:r>
              <w:rPr>
                <w:rFonts w:ascii="宋体" w:hAnsi="宋体" w:eastAsia="宋体"/>
                <w:spacing w:val="12"/>
                <w:szCs w:val="21"/>
              </w:rPr>
              <w:t>商业计划书和创新项目</w:t>
            </w:r>
            <w:r>
              <w:rPr>
                <w:rFonts w:ascii="宋体" w:hAnsi="宋体" w:eastAsia="宋体"/>
                <w:spacing w:val="2"/>
                <w:szCs w:val="21"/>
              </w:rPr>
              <w:t>申报书的基本构成要素，</w:t>
            </w:r>
            <w:r>
              <w:rPr>
                <w:rFonts w:ascii="宋体" w:hAnsi="宋体" w:eastAsia="宋体"/>
                <w:spacing w:val="5"/>
                <w:szCs w:val="21"/>
              </w:rPr>
              <w:t xml:space="preserve"> </w:t>
            </w:r>
            <w:r>
              <w:rPr>
                <w:rFonts w:ascii="宋体" w:hAnsi="宋体" w:eastAsia="宋体"/>
                <w:spacing w:val="9"/>
                <w:szCs w:val="21"/>
              </w:rPr>
              <w:t>中国国际大学生创新大</w:t>
            </w:r>
            <w:r>
              <w:rPr>
                <w:rFonts w:ascii="宋体" w:hAnsi="宋体" w:eastAsia="宋体"/>
                <w:szCs w:val="21"/>
              </w:rPr>
              <w:t xml:space="preserve">   </w:t>
            </w:r>
            <w:r>
              <w:rPr>
                <w:rFonts w:ascii="宋体" w:hAnsi="宋体" w:eastAsia="宋体"/>
                <w:spacing w:val="2"/>
                <w:szCs w:val="21"/>
              </w:rPr>
              <w:t>赛的四部曲。</w:t>
            </w:r>
          </w:p>
        </w:tc>
        <w:tc>
          <w:tcPr>
            <w:tcW w:w="1330" w:type="dxa"/>
            <w:vAlign w:val="center"/>
          </w:tcPr>
          <w:p w14:paraId="72902B20">
            <w:pPr>
              <w:jc w:val="center"/>
              <w:rPr>
                <w:rFonts w:hint="eastAsia" w:ascii="宋体" w:hAnsi="宋体" w:eastAsia="宋体" w:cs="Times New Roman"/>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2125" w:type="dxa"/>
            <w:vAlign w:val="center"/>
          </w:tcPr>
          <w:p w14:paraId="1FD34E95">
            <w:pPr>
              <w:jc w:val="left"/>
              <w:rPr>
                <w:rFonts w:hint="eastAsia" w:ascii="宋体" w:hAnsi="宋体" w:eastAsia="宋体" w:cs="Times New Roman"/>
                <w:szCs w:val="21"/>
              </w:rPr>
            </w:pPr>
            <w:r>
              <w:rPr>
                <w:rFonts w:ascii="宋体" w:hAnsi="宋体" w:eastAsia="宋体"/>
                <w:spacing w:val="1"/>
                <w:szCs w:val="21"/>
              </w:rPr>
              <w:t>了解市场调研的基</w:t>
            </w:r>
            <w:r>
              <w:rPr>
                <w:rFonts w:ascii="宋体" w:hAnsi="宋体" w:eastAsia="宋体"/>
                <w:spacing w:val="18"/>
                <w:szCs w:val="21"/>
              </w:rPr>
              <w:t>本方法与基本内</w:t>
            </w:r>
            <w:r>
              <w:rPr>
                <w:rFonts w:ascii="宋体" w:hAnsi="宋体" w:eastAsia="宋体"/>
                <w:spacing w:val="1"/>
                <w:szCs w:val="21"/>
              </w:rPr>
              <w:t>容；学会预测大学</w:t>
            </w:r>
            <w:r>
              <w:rPr>
                <w:rFonts w:ascii="宋体" w:hAnsi="宋体" w:eastAsia="宋体"/>
                <w:spacing w:val="3"/>
                <w:szCs w:val="21"/>
              </w:rPr>
              <w:t>生创业初期所需启</w:t>
            </w:r>
            <w:r>
              <w:rPr>
                <w:rFonts w:ascii="宋体" w:hAnsi="宋体" w:eastAsia="宋体"/>
                <w:spacing w:val="1"/>
                <w:szCs w:val="21"/>
              </w:rPr>
              <w:t>动资金；商业计划</w:t>
            </w:r>
            <w:r>
              <w:rPr>
                <w:rFonts w:ascii="宋体" w:hAnsi="宋体" w:eastAsia="宋体"/>
                <w:spacing w:val="6"/>
                <w:szCs w:val="21"/>
              </w:rPr>
              <w:t xml:space="preserve"> </w:t>
            </w:r>
            <w:r>
              <w:rPr>
                <w:rFonts w:ascii="宋体" w:hAnsi="宋体" w:eastAsia="宋体"/>
                <w:spacing w:val="1"/>
                <w:szCs w:val="21"/>
              </w:rPr>
              <w:t>书和创新项目申报</w:t>
            </w:r>
            <w:r>
              <w:rPr>
                <w:rFonts w:ascii="宋体" w:hAnsi="宋体" w:eastAsia="宋体"/>
                <w:spacing w:val="15"/>
                <w:szCs w:val="21"/>
              </w:rPr>
              <w:t>书的基本构成要</w:t>
            </w:r>
            <w:r>
              <w:rPr>
                <w:rFonts w:ascii="宋体" w:hAnsi="宋体" w:eastAsia="宋体"/>
                <w:spacing w:val="-2"/>
                <w:szCs w:val="21"/>
              </w:rPr>
              <w:t>素；熟悉中国国际</w:t>
            </w:r>
            <w:r>
              <w:rPr>
                <w:rFonts w:ascii="宋体" w:hAnsi="宋体" w:eastAsia="宋体"/>
                <w:spacing w:val="2"/>
                <w:szCs w:val="21"/>
              </w:rPr>
              <w:t>大学生创新大赛的</w:t>
            </w:r>
            <w:r>
              <w:rPr>
                <w:rFonts w:ascii="宋体" w:hAnsi="宋体" w:eastAsia="宋体"/>
                <w:spacing w:val="3"/>
                <w:szCs w:val="21"/>
              </w:rPr>
              <w:t>四部曲。</w:t>
            </w:r>
          </w:p>
        </w:tc>
        <w:tc>
          <w:tcPr>
            <w:tcW w:w="1560" w:type="dxa"/>
            <w:vAlign w:val="center"/>
          </w:tcPr>
          <w:p w14:paraId="087A6999">
            <w:pPr>
              <w:jc w:val="left"/>
              <w:rPr>
                <w:rFonts w:hint="eastAsia" w:ascii="宋体" w:hAnsi="宋体" w:eastAsia="宋体" w:cs="Times New Roman"/>
                <w:szCs w:val="21"/>
              </w:rPr>
            </w:pPr>
            <w:r>
              <w:rPr>
                <w:rFonts w:hint="eastAsia" w:ascii="宋体" w:hAnsi="宋体" w:eastAsia="宋体" w:cs="Times New Roman"/>
                <w:szCs w:val="21"/>
              </w:rPr>
              <w:t>1.线下学习</w:t>
            </w:r>
          </w:p>
          <w:p w14:paraId="5B31C049">
            <w:pPr>
              <w:jc w:val="left"/>
              <w:rPr>
                <w:rFonts w:hint="eastAsia" w:ascii="宋体" w:hAnsi="宋体" w:eastAsia="宋体" w:cs="Times New Roman"/>
                <w:szCs w:val="21"/>
              </w:rPr>
            </w:pPr>
            <w:r>
              <w:rPr>
                <w:rFonts w:hint="eastAsia" w:ascii="宋体" w:hAnsi="宋体" w:eastAsia="宋体" w:cs="Times New Roman"/>
                <w:szCs w:val="21"/>
              </w:rPr>
              <w:t>2.多媒体教学</w:t>
            </w:r>
          </w:p>
          <w:p w14:paraId="1EAAA915">
            <w:pPr>
              <w:jc w:val="left"/>
              <w:rPr>
                <w:rFonts w:hint="eastAsia" w:ascii="宋体" w:hAnsi="宋体" w:eastAsia="宋体" w:cs="Times New Roman"/>
                <w:szCs w:val="21"/>
              </w:rPr>
            </w:pPr>
            <w:r>
              <w:rPr>
                <w:rFonts w:hint="eastAsia" w:ascii="宋体" w:hAnsi="宋体" w:eastAsia="宋体" w:cs="Times New Roman"/>
                <w:szCs w:val="21"/>
              </w:rPr>
              <w:t>3.课堂讨论</w:t>
            </w:r>
          </w:p>
          <w:p w14:paraId="14254813">
            <w:pPr>
              <w:jc w:val="left"/>
              <w:rPr>
                <w:rFonts w:hint="eastAsia" w:ascii="宋体" w:hAnsi="宋体" w:eastAsia="宋体" w:cs="Times New Roman"/>
                <w:szCs w:val="21"/>
              </w:rPr>
            </w:pPr>
            <w:r>
              <w:rPr>
                <w:rFonts w:hint="eastAsia" w:ascii="宋体" w:hAnsi="宋体" w:eastAsia="宋体" w:cs="Times New Roman"/>
                <w:szCs w:val="21"/>
              </w:rPr>
              <w:t>4.课堂汇报</w:t>
            </w:r>
          </w:p>
        </w:tc>
        <w:tc>
          <w:tcPr>
            <w:tcW w:w="439" w:type="dxa"/>
            <w:vAlign w:val="center"/>
          </w:tcPr>
          <w:p w14:paraId="754AB247">
            <w:pPr>
              <w:jc w:val="center"/>
              <w:rPr>
                <w:rFonts w:hint="eastAsia" w:ascii="宋体" w:hAnsi="宋体" w:eastAsia="宋体" w:cs="Times New Roman"/>
                <w:szCs w:val="21"/>
              </w:rPr>
            </w:pPr>
            <w:r>
              <w:rPr>
                <w:rFonts w:hint="eastAsia" w:ascii="宋体" w:hAnsi="宋体" w:eastAsia="宋体" w:cs="Times New Roman"/>
                <w:szCs w:val="21"/>
              </w:rPr>
              <w:t>6</w:t>
            </w:r>
          </w:p>
        </w:tc>
      </w:tr>
      <w:tr w14:paraId="6879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7E53353E">
            <w:pPr>
              <w:jc w:val="center"/>
              <w:rPr>
                <w:rFonts w:hint="eastAsia" w:ascii="宋体" w:hAnsi="宋体" w:eastAsia="宋体" w:cs="Times New Roman"/>
                <w:szCs w:val="21"/>
              </w:rPr>
            </w:pPr>
          </w:p>
        </w:tc>
        <w:tc>
          <w:tcPr>
            <w:tcW w:w="8309" w:type="dxa"/>
            <w:gridSpan w:val="5"/>
            <w:vAlign w:val="center"/>
          </w:tcPr>
          <w:p w14:paraId="592E838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spacing w:val="-1"/>
                <w:szCs w:val="21"/>
              </w:rPr>
              <w:t>跟党学双创，领会中国共产党</w:t>
            </w:r>
            <w:r>
              <w:rPr>
                <w:rFonts w:ascii="宋体" w:hAnsi="宋体" w:eastAsia="宋体"/>
                <w:spacing w:val="5"/>
                <w:szCs w:val="21"/>
              </w:rPr>
              <w:t xml:space="preserve"> </w:t>
            </w:r>
            <w:r>
              <w:rPr>
                <w:rFonts w:ascii="宋体" w:hAnsi="宋体" w:eastAsia="宋体"/>
                <w:szCs w:val="21"/>
              </w:rPr>
              <w:t>一经诞生，就把“为中国人民</w:t>
            </w:r>
            <w:r>
              <w:rPr>
                <w:rFonts w:ascii="宋体" w:hAnsi="宋体" w:eastAsia="宋体"/>
                <w:spacing w:val="5"/>
                <w:szCs w:val="21"/>
              </w:rPr>
              <w:t>谋幸福、为中华民族谋复兴"</w:t>
            </w:r>
            <w:r>
              <w:rPr>
                <w:rFonts w:ascii="宋体" w:hAnsi="宋体" w:eastAsia="宋体"/>
                <w:spacing w:val="3"/>
                <w:szCs w:val="21"/>
              </w:rPr>
              <w:t xml:space="preserve">  </w:t>
            </w:r>
            <w:r>
              <w:rPr>
                <w:rFonts w:ascii="宋体" w:hAnsi="宋体" w:eastAsia="宋体"/>
                <w:spacing w:val="-1"/>
                <w:szCs w:val="21"/>
              </w:rPr>
              <w:t>确立为创业初心和使命，践行</w:t>
            </w:r>
            <w:r>
              <w:rPr>
                <w:rFonts w:ascii="宋体" w:hAnsi="宋体" w:eastAsia="宋体"/>
                <w:spacing w:val="3"/>
                <w:szCs w:val="21"/>
              </w:rPr>
              <w:t xml:space="preserve"> </w:t>
            </w:r>
            <w:r>
              <w:rPr>
                <w:rFonts w:ascii="宋体" w:hAnsi="宋体" w:eastAsia="宋体"/>
                <w:spacing w:val="4"/>
                <w:szCs w:val="21"/>
              </w:rPr>
              <w:t>"江山就是人民、人民就是江</w:t>
            </w:r>
            <w:r>
              <w:rPr>
                <w:rFonts w:ascii="宋体" w:hAnsi="宋体" w:eastAsia="宋体"/>
                <w:spacing w:val="5"/>
                <w:szCs w:val="21"/>
              </w:rPr>
              <w:t>山"的用户思想，分析古今中</w:t>
            </w:r>
            <w:r>
              <w:rPr>
                <w:rFonts w:ascii="宋体" w:hAnsi="宋体" w:eastAsia="宋体"/>
                <w:spacing w:val="4"/>
                <w:szCs w:val="21"/>
              </w:rPr>
              <w:t>外掣肘我国发展的竞争对手，在创新创业道路上击鼓催征，</w:t>
            </w:r>
            <w:r>
              <w:rPr>
                <w:rFonts w:ascii="宋体" w:hAnsi="宋体" w:eastAsia="宋体"/>
                <w:spacing w:val="2"/>
                <w:szCs w:val="21"/>
              </w:rPr>
              <w:t xml:space="preserve"> </w:t>
            </w:r>
            <w:r>
              <w:rPr>
                <w:rFonts w:ascii="宋体" w:hAnsi="宋体" w:eastAsia="宋体"/>
                <w:spacing w:val="-1"/>
                <w:szCs w:val="21"/>
              </w:rPr>
              <w:t>踔厉奋发，敢闯会创，实现人</w:t>
            </w:r>
            <w:r>
              <w:rPr>
                <w:rFonts w:ascii="宋体" w:hAnsi="宋体" w:eastAsia="宋体"/>
                <w:spacing w:val="2"/>
                <w:szCs w:val="21"/>
              </w:rPr>
              <w:t xml:space="preserve"> </w:t>
            </w:r>
            <w:r>
              <w:rPr>
                <w:rFonts w:ascii="宋体" w:hAnsi="宋体" w:eastAsia="宋体"/>
                <w:spacing w:val="1"/>
                <w:szCs w:val="21"/>
              </w:rPr>
              <w:t>类命运共同体的伟大构想。</w:t>
            </w:r>
            <w:r>
              <w:rPr>
                <w:rFonts w:hint="eastAsia" w:ascii="宋体" w:hAnsi="宋体" w:eastAsia="宋体" w:cs="Times New Roman"/>
                <w:szCs w:val="21"/>
              </w:rPr>
              <w:t xml:space="preserve"> </w:t>
            </w:r>
          </w:p>
        </w:tc>
      </w:tr>
      <w:tr w14:paraId="763C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26593D93">
            <w:pPr>
              <w:ind w:firstLine="213" w:firstLineChars="100"/>
              <w:jc w:val="center"/>
              <w:rPr>
                <w:rFonts w:hint="eastAsia" w:ascii="宋体" w:hAnsi="宋体" w:eastAsia="宋体"/>
                <w:b/>
                <w:bCs/>
                <w:spacing w:val="1"/>
                <w:szCs w:val="21"/>
              </w:rPr>
            </w:pPr>
            <w:r>
              <w:rPr>
                <w:rFonts w:hint="eastAsia" w:ascii="宋体" w:hAnsi="宋体" w:eastAsia="宋体"/>
                <w:b/>
                <w:bCs/>
                <w:spacing w:val="1"/>
                <w:szCs w:val="21"/>
              </w:rPr>
              <w:t>6.</w:t>
            </w:r>
            <w:r>
              <w:rPr>
                <w:rFonts w:ascii="宋体" w:hAnsi="宋体" w:eastAsia="宋体"/>
                <w:b/>
                <w:bCs/>
                <w:spacing w:val="1"/>
                <w:szCs w:val="21"/>
              </w:rPr>
              <w:t>商业</w:t>
            </w:r>
          </w:p>
          <w:p w14:paraId="489BF3EA">
            <w:pPr>
              <w:ind w:firstLine="213" w:firstLineChars="100"/>
              <w:jc w:val="center"/>
              <w:rPr>
                <w:rFonts w:hint="eastAsia" w:ascii="宋体" w:hAnsi="宋体" w:eastAsia="宋体" w:cs="Times New Roman"/>
                <w:szCs w:val="21"/>
              </w:rPr>
            </w:pPr>
            <w:r>
              <w:rPr>
                <w:rFonts w:ascii="宋体" w:hAnsi="宋体" w:eastAsia="宋体"/>
                <w:b/>
                <w:bCs/>
                <w:spacing w:val="1"/>
                <w:szCs w:val="21"/>
              </w:rPr>
              <w:t>模式</w:t>
            </w:r>
          </w:p>
        </w:tc>
        <w:tc>
          <w:tcPr>
            <w:tcW w:w="2855" w:type="dxa"/>
            <w:vAlign w:val="center"/>
          </w:tcPr>
          <w:p w14:paraId="21E924BD">
            <w:pPr>
              <w:jc w:val="left"/>
              <w:rPr>
                <w:rFonts w:hint="eastAsia" w:ascii="宋体" w:hAnsi="宋体" w:eastAsia="宋体" w:cs="Times New Roman"/>
                <w:szCs w:val="21"/>
              </w:rPr>
            </w:pPr>
            <w:r>
              <w:rPr>
                <w:rFonts w:ascii="宋体" w:hAnsi="宋体" w:eastAsia="宋体"/>
                <w:spacing w:val="1"/>
                <w:szCs w:val="21"/>
              </w:rPr>
              <w:t>商业模式的内</w:t>
            </w:r>
            <w:r>
              <w:rPr>
                <w:rFonts w:ascii="宋体" w:hAnsi="宋体" w:eastAsia="宋体"/>
                <w:spacing w:val="2"/>
                <w:szCs w:val="21"/>
              </w:rPr>
              <w:t xml:space="preserve"> </w:t>
            </w:r>
            <w:r>
              <w:rPr>
                <w:rFonts w:ascii="宋体" w:hAnsi="宋体" w:eastAsia="宋体"/>
                <w:spacing w:val="-1"/>
                <w:szCs w:val="21"/>
              </w:rPr>
              <w:t>涵和构成要素；商业模式</w:t>
            </w:r>
            <w:r>
              <w:rPr>
                <w:rFonts w:ascii="宋体" w:hAnsi="宋体" w:eastAsia="宋体"/>
                <w:szCs w:val="21"/>
              </w:rPr>
              <w:t xml:space="preserve"> </w:t>
            </w:r>
            <w:r>
              <w:rPr>
                <w:rFonts w:ascii="宋体" w:hAnsi="宋体" w:eastAsia="宋体"/>
                <w:spacing w:val="2"/>
                <w:szCs w:val="21"/>
              </w:rPr>
              <w:t xml:space="preserve">的设计与分析工具；应用 </w:t>
            </w:r>
            <w:r>
              <w:rPr>
                <w:rFonts w:ascii="宋体" w:hAnsi="宋体" w:eastAsia="宋体"/>
                <w:spacing w:val="10"/>
                <w:szCs w:val="21"/>
              </w:rPr>
              <w:t>中国国际大学生创新大</w:t>
            </w:r>
            <w:r>
              <w:rPr>
                <w:rFonts w:ascii="宋体" w:hAnsi="宋体" w:eastAsia="宋体"/>
                <w:spacing w:val="9"/>
                <w:szCs w:val="21"/>
              </w:rPr>
              <w:t>赛的获奖案例分析商业</w:t>
            </w:r>
            <w:r>
              <w:rPr>
                <w:rFonts w:ascii="宋体" w:hAnsi="宋体" w:eastAsia="宋体"/>
                <w:szCs w:val="21"/>
              </w:rPr>
              <w:t xml:space="preserve">  </w:t>
            </w:r>
            <w:r>
              <w:rPr>
                <w:rFonts w:ascii="宋体" w:hAnsi="宋体" w:eastAsia="宋体"/>
                <w:spacing w:val="5"/>
                <w:szCs w:val="21"/>
              </w:rPr>
              <w:t>模式的创新。</w:t>
            </w:r>
          </w:p>
        </w:tc>
        <w:tc>
          <w:tcPr>
            <w:tcW w:w="1330" w:type="dxa"/>
            <w:vAlign w:val="center"/>
          </w:tcPr>
          <w:p w14:paraId="08331A24">
            <w:pPr>
              <w:jc w:val="center"/>
              <w:rPr>
                <w:rFonts w:hint="eastAsia" w:ascii="宋体" w:hAnsi="宋体" w:eastAsia="宋体" w:cs="Times New Roman"/>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2125" w:type="dxa"/>
            <w:vAlign w:val="center"/>
          </w:tcPr>
          <w:p w14:paraId="2B7E8263">
            <w:pPr>
              <w:jc w:val="left"/>
              <w:rPr>
                <w:rFonts w:hint="eastAsia" w:ascii="宋体" w:hAnsi="宋体" w:eastAsia="宋体" w:cs="Times New Roman"/>
                <w:szCs w:val="21"/>
              </w:rPr>
            </w:pPr>
            <w:r>
              <w:rPr>
                <w:rFonts w:ascii="宋体" w:hAnsi="宋体" w:eastAsia="宋体"/>
                <w:spacing w:val="3"/>
                <w:szCs w:val="21"/>
              </w:rPr>
              <w:t>理解商业模式的内</w:t>
            </w:r>
            <w:r>
              <w:rPr>
                <w:rFonts w:ascii="宋体" w:hAnsi="宋体" w:eastAsia="宋体"/>
                <w:spacing w:val="-2"/>
                <w:szCs w:val="21"/>
              </w:rPr>
              <w:t>涵与构成要素；能应用案例分析商业</w:t>
            </w:r>
            <w:r>
              <w:rPr>
                <w:rFonts w:ascii="宋体" w:hAnsi="宋体" w:eastAsia="宋体"/>
                <w:spacing w:val="4"/>
                <w:szCs w:val="21"/>
              </w:rPr>
              <w:t>模式的创新。</w:t>
            </w:r>
          </w:p>
        </w:tc>
        <w:tc>
          <w:tcPr>
            <w:tcW w:w="1560" w:type="dxa"/>
            <w:vAlign w:val="center"/>
          </w:tcPr>
          <w:p w14:paraId="2F5CE95B">
            <w:pPr>
              <w:jc w:val="left"/>
              <w:rPr>
                <w:rFonts w:hint="eastAsia" w:ascii="宋体" w:hAnsi="宋体" w:eastAsia="宋体" w:cs="Times New Roman"/>
                <w:szCs w:val="21"/>
              </w:rPr>
            </w:pPr>
            <w:r>
              <w:rPr>
                <w:rFonts w:hint="eastAsia" w:ascii="宋体" w:hAnsi="宋体" w:eastAsia="宋体" w:cs="Times New Roman"/>
                <w:szCs w:val="21"/>
              </w:rPr>
              <w:t>1.线下学习</w:t>
            </w:r>
          </w:p>
          <w:p w14:paraId="1A711649">
            <w:pPr>
              <w:jc w:val="left"/>
              <w:rPr>
                <w:rFonts w:hint="eastAsia" w:ascii="宋体" w:hAnsi="宋体" w:eastAsia="宋体" w:cs="Times New Roman"/>
                <w:szCs w:val="21"/>
              </w:rPr>
            </w:pPr>
            <w:r>
              <w:rPr>
                <w:rFonts w:hint="eastAsia" w:ascii="宋体" w:hAnsi="宋体" w:eastAsia="宋体" w:cs="Times New Roman"/>
                <w:szCs w:val="21"/>
              </w:rPr>
              <w:t>2.多媒体教学</w:t>
            </w:r>
          </w:p>
          <w:p w14:paraId="7F70BA45">
            <w:pPr>
              <w:jc w:val="left"/>
              <w:rPr>
                <w:rFonts w:hint="eastAsia" w:ascii="宋体" w:hAnsi="宋体" w:eastAsia="宋体" w:cs="Times New Roman"/>
                <w:szCs w:val="21"/>
              </w:rPr>
            </w:pPr>
            <w:r>
              <w:rPr>
                <w:rFonts w:hint="eastAsia" w:ascii="宋体" w:hAnsi="宋体" w:eastAsia="宋体" w:cs="Times New Roman"/>
                <w:szCs w:val="21"/>
              </w:rPr>
              <w:t>3.课堂讨论</w:t>
            </w:r>
          </w:p>
        </w:tc>
        <w:tc>
          <w:tcPr>
            <w:tcW w:w="439" w:type="dxa"/>
            <w:vAlign w:val="center"/>
          </w:tcPr>
          <w:p w14:paraId="22A6DB69">
            <w:pPr>
              <w:jc w:val="center"/>
              <w:rPr>
                <w:rFonts w:hint="eastAsia" w:ascii="宋体" w:hAnsi="宋体" w:eastAsia="宋体" w:cs="Times New Roman"/>
                <w:szCs w:val="21"/>
              </w:rPr>
            </w:pPr>
            <w:r>
              <w:rPr>
                <w:rFonts w:hint="eastAsia" w:ascii="宋体" w:hAnsi="宋体" w:eastAsia="宋体" w:cs="Times New Roman"/>
                <w:szCs w:val="21"/>
              </w:rPr>
              <w:t>4</w:t>
            </w:r>
          </w:p>
        </w:tc>
      </w:tr>
      <w:tr w14:paraId="11F6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77B7DF04">
            <w:pPr>
              <w:jc w:val="center"/>
              <w:rPr>
                <w:rFonts w:hint="eastAsia" w:ascii="宋体" w:hAnsi="宋体" w:eastAsia="宋体" w:cs="Times New Roman"/>
                <w:szCs w:val="21"/>
              </w:rPr>
            </w:pPr>
          </w:p>
        </w:tc>
        <w:tc>
          <w:tcPr>
            <w:tcW w:w="8309" w:type="dxa"/>
            <w:gridSpan w:val="5"/>
            <w:vAlign w:val="center"/>
          </w:tcPr>
          <w:p w14:paraId="63F3905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spacing w:val="1"/>
                <w:szCs w:val="21"/>
              </w:rPr>
              <w:t>强化社会责任感与诚信经营意</w:t>
            </w:r>
            <w:r>
              <w:rPr>
                <w:rFonts w:ascii="宋体" w:hAnsi="宋体" w:eastAsia="宋体"/>
                <w:spacing w:val="-1"/>
                <w:szCs w:val="21"/>
              </w:rPr>
              <w:t>识，倡导可持续发展的商业理</w:t>
            </w:r>
            <w:r>
              <w:rPr>
                <w:rFonts w:ascii="宋体" w:hAnsi="宋体" w:eastAsia="宋体"/>
                <w:spacing w:val="2"/>
                <w:szCs w:val="21"/>
              </w:rPr>
              <w:t xml:space="preserve"> </w:t>
            </w:r>
            <w:r>
              <w:rPr>
                <w:rFonts w:ascii="宋体" w:hAnsi="宋体" w:eastAsia="宋体"/>
                <w:spacing w:val="-1"/>
                <w:szCs w:val="21"/>
              </w:rPr>
              <w:t>念，培养在商业模式创新中兼</w:t>
            </w:r>
            <w:r>
              <w:rPr>
                <w:rFonts w:ascii="宋体" w:hAnsi="宋体" w:eastAsia="宋体"/>
                <w:spacing w:val="4"/>
                <w:szCs w:val="21"/>
              </w:rPr>
              <w:t xml:space="preserve"> </w:t>
            </w:r>
            <w:r>
              <w:rPr>
                <w:rFonts w:ascii="宋体" w:hAnsi="宋体" w:eastAsia="宋体"/>
                <w:spacing w:val="-1"/>
                <w:szCs w:val="21"/>
              </w:rPr>
              <w:t>顾经济效益与社会效益的价值</w:t>
            </w:r>
            <w:r>
              <w:rPr>
                <w:rFonts w:ascii="宋体" w:hAnsi="宋体" w:eastAsia="宋体"/>
                <w:spacing w:val="3"/>
                <w:szCs w:val="21"/>
              </w:rPr>
              <w:t xml:space="preserve"> </w:t>
            </w:r>
            <w:r>
              <w:rPr>
                <w:rFonts w:ascii="宋体" w:hAnsi="宋体" w:eastAsia="宋体"/>
                <w:spacing w:val="1"/>
                <w:szCs w:val="21"/>
              </w:rPr>
              <w:t>观，培育良好的职业道德和团</w:t>
            </w:r>
            <w:r>
              <w:rPr>
                <w:rFonts w:ascii="宋体" w:hAnsi="宋体" w:eastAsia="宋体"/>
                <w:spacing w:val="4"/>
                <w:szCs w:val="21"/>
              </w:rPr>
              <w:t xml:space="preserve"> </w:t>
            </w:r>
            <w:r>
              <w:rPr>
                <w:rFonts w:ascii="宋体" w:hAnsi="宋体" w:eastAsia="宋体"/>
                <w:szCs w:val="21"/>
              </w:rPr>
              <w:t>队协作精神。</w:t>
            </w:r>
          </w:p>
        </w:tc>
      </w:tr>
      <w:tr w14:paraId="3BF8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2F019E95">
            <w:pPr>
              <w:jc w:val="center"/>
              <w:rPr>
                <w:rFonts w:hint="eastAsia" w:ascii="宋体" w:hAnsi="宋体" w:eastAsia="宋体" w:cs="Times New Roman"/>
                <w:szCs w:val="21"/>
              </w:rPr>
            </w:pPr>
            <w:r>
              <w:rPr>
                <w:rFonts w:hint="eastAsia" w:ascii="宋体" w:hAnsi="宋体" w:eastAsia="宋体"/>
                <w:b/>
                <w:bCs/>
                <w:spacing w:val="-4"/>
                <w:szCs w:val="21"/>
              </w:rPr>
              <w:t>7.</w:t>
            </w:r>
            <w:r>
              <w:rPr>
                <w:rFonts w:ascii="宋体" w:hAnsi="宋体" w:eastAsia="宋体"/>
                <w:b/>
                <w:bCs/>
                <w:spacing w:val="-4"/>
                <w:szCs w:val="21"/>
              </w:rPr>
              <w:t>创新创业资源</w:t>
            </w:r>
          </w:p>
        </w:tc>
        <w:tc>
          <w:tcPr>
            <w:tcW w:w="2855" w:type="dxa"/>
            <w:vAlign w:val="center"/>
          </w:tcPr>
          <w:p w14:paraId="6C2D9384">
            <w:pPr>
              <w:jc w:val="left"/>
              <w:rPr>
                <w:rFonts w:hint="eastAsia" w:ascii="宋体" w:hAnsi="宋体" w:eastAsia="宋体" w:cs="Times New Roman"/>
                <w:szCs w:val="21"/>
              </w:rPr>
            </w:pPr>
            <w:r>
              <w:rPr>
                <w:rFonts w:ascii="宋体" w:hAnsi="宋体" w:eastAsia="宋体"/>
                <w:spacing w:val="-4"/>
                <w:szCs w:val="21"/>
              </w:rPr>
              <w:t>创新创业</w:t>
            </w:r>
            <w:r>
              <w:rPr>
                <w:rFonts w:ascii="宋体" w:hAnsi="宋体" w:eastAsia="宋体"/>
                <w:spacing w:val="7"/>
                <w:szCs w:val="21"/>
              </w:rPr>
              <w:t>的政策资源、法律资源、</w:t>
            </w:r>
            <w:r>
              <w:rPr>
                <w:rFonts w:ascii="宋体" w:hAnsi="宋体" w:eastAsia="宋体"/>
                <w:spacing w:val="-1"/>
                <w:szCs w:val="21"/>
              </w:rPr>
              <w:t>资金资源、赛事资源和平</w:t>
            </w:r>
            <w:r>
              <w:rPr>
                <w:rFonts w:ascii="宋体" w:hAnsi="宋体" w:eastAsia="宋体"/>
                <w:spacing w:val="2"/>
                <w:szCs w:val="21"/>
              </w:rPr>
              <w:t>台资源。</w:t>
            </w:r>
          </w:p>
        </w:tc>
        <w:tc>
          <w:tcPr>
            <w:tcW w:w="1330" w:type="dxa"/>
            <w:vAlign w:val="center"/>
          </w:tcPr>
          <w:p w14:paraId="2B81238B">
            <w:pPr>
              <w:jc w:val="center"/>
              <w:rPr>
                <w:rFonts w:hint="eastAsia" w:ascii="宋体" w:hAnsi="宋体" w:eastAsia="宋体" w:cs="Times New Roman"/>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w:t>
            </w:r>
          </w:p>
        </w:tc>
        <w:tc>
          <w:tcPr>
            <w:tcW w:w="2125" w:type="dxa"/>
            <w:vAlign w:val="center"/>
          </w:tcPr>
          <w:p w14:paraId="143D5740">
            <w:pPr>
              <w:rPr>
                <w:rFonts w:hint="eastAsia" w:ascii="宋体" w:hAnsi="宋体" w:eastAsia="宋体" w:cs="Times New Roman"/>
                <w:szCs w:val="21"/>
              </w:rPr>
            </w:pPr>
            <w:r>
              <w:rPr>
                <w:rFonts w:ascii="宋体" w:hAnsi="宋体" w:eastAsia="宋体"/>
                <w:spacing w:val="-10"/>
                <w:szCs w:val="21"/>
              </w:rPr>
              <w:t>了解大学生创新创</w:t>
            </w:r>
            <w:r>
              <w:rPr>
                <w:rFonts w:ascii="宋体" w:hAnsi="宋体" w:eastAsia="宋体"/>
                <w:spacing w:val="-13"/>
                <w:szCs w:val="21"/>
              </w:rPr>
              <w:t>业的政策资源、法</w:t>
            </w:r>
            <w:r>
              <w:rPr>
                <w:rFonts w:ascii="宋体" w:hAnsi="宋体" w:eastAsia="宋体"/>
                <w:spacing w:val="1"/>
                <w:szCs w:val="21"/>
              </w:rPr>
              <w:t xml:space="preserve">   </w:t>
            </w:r>
            <w:r>
              <w:rPr>
                <w:rFonts w:ascii="宋体" w:hAnsi="宋体" w:eastAsia="宋体"/>
                <w:spacing w:val="-13"/>
                <w:szCs w:val="21"/>
              </w:rPr>
              <w:t>律资源、资金资源、</w:t>
            </w:r>
            <w:r>
              <w:rPr>
                <w:rFonts w:ascii="宋体" w:hAnsi="宋体" w:eastAsia="宋体"/>
                <w:spacing w:val="-10"/>
                <w:szCs w:val="21"/>
              </w:rPr>
              <w:t>赛事资源和平台资</w:t>
            </w:r>
            <w:r>
              <w:rPr>
                <w:rFonts w:ascii="宋体" w:hAnsi="宋体" w:eastAsia="宋体"/>
                <w:spacing w:val="-13"/>
                <w:szCs w:val="21"/>
              </w:rPr>
              <w:t>源；能应用“挑战</w:t>
            </w:r>
            <w:r>
              <w:rPr>
                <w:rFonts w:ascii="宋体" w:hAnsi="宋体" w:eastAsia="宋体"/>
                <w:spacing w:val="-10"/>
                <w:szCs w:val="21"/>
              </w:rPr>
              <w:t>杯”中国大学生创</w:t>
            </w:r>
            <w:r>
              <w:rPr>
                <w:rFonts w:ascii="宋体" w:hAnsi="宋体" w:eastAsia="宋体"/>
                <w:spacing w:val="-13"/>
                <w:szCs w:val="21"/>
              </w:rPr>
              <w:t>业计划竞赛金奖案</w:t>
            </w:r>
            <w:r>
              <w:rPr>
                <w:rFonts w:ascii="宋体" w:hAnsi="宋体" w:eastAsia="宋体"/>
                <w:spacing w:val="-10"/>
                <w:szCs w:val="21"/>
              </w:rPr>
              <w:t>例分析创新创业资</w:t>
            </w:r>
            <w:r>
              <w:rPr>
                <w:rFonts w:ascii="宋体" w:hAnsi="宋体" w:eastAsia="宋体"/>
                <w:spacing w:val="-9"/>
                <w:szCs w:val="21"/>
              </w:rPr>
              <w:t>源的获取渠道。</w:t>
            </w:r>
          </w:p>
        </w:tc>
        <w:tc>
          <w:tcPr>
            <w:tcW w:w="1560" w:type="dxa"/>
            <w:vAlign w:val="center"/>
          </w:tcPr>
          <w:p w14:paraId="1048FE3B">
            <w:pPr>
              <w:jc w:val="left"/>
              <w:rPr>
                <w:rFonts w:hint="eastAsia" w:ascii="宋体" w:hAnsi="宋体" w:eastAsia="宋体" w:cs="Times New Roman"/>
                <w:szCs w:val="21"/>
              </w:rPr>
            </w:pPr>
            <w:r>
              <w:rPr>
                <w:rFonts w:hint="eastAsia" w:ascii="宋体" w:hAnsi="宋体" w:eastAsia="宋体" w:cs="Times New Roman"/>
                <w:szCs w:val="21"/>
              </w:rPr>
              <w:t>1.线下学习</w:t>
            </w:r>
          </w:p>
          <w:p w14:paraId="5B4DD7F4">
            <w:pPr>
              <w:jc w:val="left"/>
              <w:rPr>
                <w:rFonts w:hint="eastAsia" w:ascii="宋体" w:hAnsi="宋体" w:eastAsia="宋体" w:cs="Times New Roman"/>
                <w:szCs w:val="21"/>
              </w:rPr>
            </w:pPr>
            <w:r>
              <w:rPr>
                <w:rFonts w:hint="eastAsia" w:ascii="宋体" w:hAnsi="宋体" w:eastAsia="宋体" w:cs="Times New Roman"/>
                <w:szCs w:val="21"/>
              </w:rPr>
              <w:t>2.多媒体教学</w:t>
            </w:r>
          </w:p>
          <w:p w14:paraId="54628029">
            <w:pPr>
              <w:jc w:val="left"/>
              <w:rPr>
                <w:rFonts w:hint="eastAsia" w:ascii="宋体" w:hAnsi="宋体" w:eastAsia="宋体" w:cs="Times New Roman"/>
                <w:szCs w:val="21"/>
              </w:rPr>
            </w:pPr>
            <w:r>
              <w:rPr>
                <w:rFonts w:hint="eastAsia" w:ascii="宋体" w:hAnsi="宋体" w:eastAsia="宋体" w:cs="Times New Roman"/>
                <w:szCs w:val="21"/>
              </w:rPr>
              <w:t>3.课堂讨论</w:t>
            </w:r>
          </w:p>
        </w:tc>
        <w:tc>
          <w:tcPr>
            <w:tcW w:w="439" w:type="dxa"/>
            <w:vAlign w:val="center"/>
          </w:tcPr>
          <w:p w14:paraId="61DB7A89">
            <w:pPr>
              <w:jc w:val="center"/>
              <w:rPr>
                <w:rFonts w:hint="eastAsia" w:ascii="宋体" w:hAnsi="宋体" w:eastAsia="宋体" w:cs="Times New Roman"/>
                <w:szCs w:val="21"/>
              </w:rPr>
            </w:pPr>
            <w:r>
              <w:rPr>
                <w:rFonts w:hint="eastAsia" w:ascii="宋体" w:hAnsi="宋体" w:eastAsia="宋体" w:cs="Times New Roman"/>
                <w:szCs w:val="21"/>
              </w:rPr>
              <w:t>2</w:t>
            </w:r>
          </w:p>
        </w:tc>
      </w:tr>
      <w:tr w14:paraId="36D5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1203" w:type="dxa"/>
            <w:vMerge w:val="continue"/>
            <w:vAlign w:val="center"/>
          </w:tcPr>
          <w:p w14:paraId="5298B09B">
            <w:pPr>
              <w:jc w:val="center"/>
              <w:rPr>
                <w:rFonts w:hint="eastAsia" w:ascii="宋体" w:hAnsi="宋体" w:eastAsia="宋体" w:cs="Times New Roman"/>
                <w:szCs w:val="21"/>
              </w:rPr>
            </w:pPr>
          </w:p>
        </w:tc>
        <w:tc>
          <w:tcPr>
            <w:tcW w:w="8309" w:type="dxa"/>
            <w:gridSpan w:val="5"/>
            <w:vAlign w:val="center"/>
          </w:tcPr>
          <w:p w14:paraId="46BC09EB">
            <w:pPr>
              <w:pStyle w:val="34"/>
              <w:spacing w:before="244"/>
              <w:ind w:left="123" w:right="79"/>
              <w:jc w:val="both"/>
              <w:rPr>
                <w:rFonts w:hint="eastAsia"/>
                <w:color w:val="auto"/>
                <w:lang w:eastAsia="zh-CN"/>
              </w:rPr>
            </w:pPr>
            <w:r>
              <w:rPr>
                <w:rFonts w:hint="eastAsia" w:cs="Times New Roman"/>
                <w:b/>
                <w:color w:val="auto"/>
                <w:lang w:eastAsia="zh-CN"/>
              </w:rPr>
              <w:t>课程思政目标：</w:t>
            </w:r>
            <w:r>
              <w:rPr>
                <w:color w:val="auto"/>
                <w:spacing w:val="-1"/>
                <w:lang w:eastAsia="zh-CN"/>
              </w:rPr>
              <w:t>激发学生创新创业热情，树立敢于尝试、不屈不挠、坚持奋</w:t>
            </w:r>
            <w:r>
              <w:rPr>
                <w:color w:val="auto"/>
                <w:spacing w:val="2"/>
                <w:lang w:eastAsia="zh-CN"/>
              </w:rPr>
              <w:t>斗、勇于创新的精神风貌，引</w:t>
            </w:r>
            <w:r>
              <w:rPr>
                <w:color w:val="auto"/>
                <w:lang w:eastAsia="zh-CN"/>
              </w:rPr>
              <w:t>导学生在创新创业过程中关注</w:t>
            </w:r>
            <w:r>
              <w:rPr>
                <w:color w:val="auto"/>
                <w:spacing w:val="9"/>
                <w:lang w:eastAsia="zh-CN"/>
              </w:rPr>
              <w:t xml:space="preserve"> </w:t>
            </w:r>
            <w:r>
              <w:rPr>
                <w:color w:val="auto"/>
                <w:spacing w:val="-1"/>
                <w:lang w:eastAsia="zh-CN"/>
              </w:rPr>
              <w:t>社会需求和公共利益，将个人</w:t>
            </w:r>
            <w:r>
              <w:rPr>
                <w:color w:val="auto"/>
                <w:spacing w:val="2"/>
                <w:lang w:eastAsia="zh-CN"/>
              </w:rPr>
              <w:t xml:space="preserve"> </w:t>
            </w:r>
            <w:r>
              <w:rPr>
                <w:color w:val="auto"/>
                <w:spacing w:val="4"/>
                <w:lang w:eastAsia="zh-CN"/>
              </w:rPr>
              <w:t>创业梦想与社会发展相结合，</w:t>
            </w:r>
            <w:r>
              <w:rPr>
                <w:color w:val="auto"/>
                <w:lang w:eastAsia="zh-CN"/>
              </w:rPr>
              <w:t>实现个人价值与社会价值的统</w:t>
            </w:r>
            <w:r>
              <w:rPr>
                <w:color w:val="auto"/>
                <w:spacing w:val="8"/>
                <w:lang w:eastAsia="zh-CN"/>
              </w:rPr>
              <w:t xml:space="preserve"> </w:t>
            </w:r>
            <w:r>
              <w:rPr>
                <w:color w:val="auto"/>
                <w:spacing w:val="12"/>
                <w:lang w:eastAsia="zh-CN"/>
              </w:rPr>
              <w:t>一。</w:t>
            </w:r>
          </w:p>
        </w:tc>
      </w:tr>
      <w:tr w14:paraId="61C7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300BB64B">
            <w:pPr>
              <w:jc w:val="center"/>
              <w:rPr>
                <w:rFonts w:hint="eastAsia" w:ascii="宋体" w:hAnsi="宋体" w:eastAsia="宋体" w:cs="Times New Roman"/>
                <w:szCs w:val="21"/>
              </w:rPr>
            </w:pPr>
            <w:r>
              <w:rPr>
                <w:rFonts w:hint="eastAsia" w:ascii="宋体" w:hAnsi="宋体" w:eastAsia="宋体"/>
                <w:b/>
                <w:bCs/>
                <w:spacing w:val="-3"/>
                <w:szCs w:val="21"/>
              </w:rPr>
              <w:t>8.</w:t>
            </w:r>
            <w:r>
              <w:rPr>
                <w:rFonts w:ascii="宋体" w:hAnsi="宋体" w:eastAsia="宋体"/>
                <w:b/>
                <w:bCs/>
                <w:spacing w:val="-3"/>
                <w:szCs w:val="21"/>
              </w:rPr>
              <w:t>创新创业团队</w:t>
            </w:r>
          </w:p>
        </w:tc>
        <w:tc>
          <w:tcPr>
            <w:tcW w:w="2855" w:type="dxa"/>
            <w:vAlign w:val="center"/>
          </w:tcPr>
          <w:p w14:paraId="4C5D1FF4">
            <w:pPr>
              <w:jc w:val="left"/>
              <w:rPr>
                <w:rFonts w:hint="eastAsia" w:ascii="宋体" w:hAnsi="宋体" w:eastAsia="宋体" w:cs="Times New Roman"/>
                <w:szCs w:val="21"/>
              </w:rPr>
            </w:pPr>
            <w:r>
              <w:rPr>
                <w:rFonts w:ascii="宋体" w:hAnsi="宋体" w:eastAsia="宋体"/>
                <w:spacing w:val="-3"/>
                <w:szCs w:val="21"/>
              </w:rPr>
              <w:t>创新创业</w:t>
            </w:r>
            <w:r>
              <w:rPr>
                <w:rFonts w:ascii="宋体" w:hAnsi="宋体" w:eastAsia="宋体"/>
                <w:szCs w:val="21"/>
              </w:rPr>
              <w:t>团队的概念、要素及价值</w:t>
            </w:r>
            <w:r>
              <w:rPr>
                <w:rFonts w:ascii="宋体" w:hAnsi="宋体" w:eastAsia="宋体"/>
                <w:spacing w:val="9"/>
                <w:szCs w:val="21"/>
              </w:rPr>
              <w:t>创新创业团队的人员组</w:t>
            </w:r>
            <w:r>
              <w:rPr>
                <w:rFonts w:ascii="宋体" w:hAnsi="宋体" w:eastAsia="宋体"/>
                <w:spacing w:val="11"/>
                <w:szCs w:val="21"/>
              </w:rPr>
              <w:t>成、角色分工和组织架</w:t>
            </w:r>
            <w:r>
              <w:rPr>
                <w:rFonts w:ascii="宋体" w:hAnsi="宋体" w:eastAsia="宋体"/>
                <w:szCs w:val="21"/>
              </w:rPr>
              <w:t xml:space="preserve">  </w:t>
            </w:r>
            <w:r>
              <w:rPr>
                <w:rFonts w:ascii="宋体" w:hAnsi="宋体" w:eastAsia="宋体"/>
                <w:spacing w:val="-2"/>
                <w:szCs w:val="21"/>
              </w:rPr>
              <w:t>构。</w:t>
            </w:r>
          </w:p>
        </w:tc>
        <w:tc>
          <w:tcPr>
            <w:tcW w:w="1330" w:type="dxa"/>
            <w:vAlign w:val="center"/>
          </w:tcPr>
          <w:p w14:paraId="2B9FC323">
            <w:pPr>
              <w:jc w:val="center"/>
              <w:rPr>
                <w:rFonts w:hint="eastAsia" w:ascii="宋体" w:hAnsi="宋体" w:eastAsia="宋体" w:cs="Times New Roman"/>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1、2</w:t>
            </w:r>
          </w:p>
        </w:tc>
        <w:tc>
          <w:tcPr>
            <w:tcW w:w="2125" w:type="dxa"/>
            <w:vAlign w:val="center"/>
          </w:tcPr>
          <w:p w14:paraId="2B0DD3FB">
            <w:pPr>
              <w:jc w:val="left"/>
              <w:rPr>
                <w:rFonts w:hint="eastAsia" w:ascii="宋体" w:hAnsi="宋体" w:eastAsia="宋体" w:cs="Times New Roman"/>
                <w:szCs w:val="21"/>
              </w:rPr>
            </w:pPr>
            <w:r>
              <w:rPr>
                <w:rFonts w:ascii="宋体" w:hAnsi="宋体" w:eastAsia="宋体"/>
                <w:spacing w:val="-2"/>
                <w:szCs w:val="21"/>
              </w:rPr>
              <w:t>应用案例学会设计创新创业团队的组</w:t>
            </w:r>
            <w:r>
              <w:rPr>
                <w:rFonts w:ascii="宋体" w:hAnsi="宋体" w:eastAsia="宋体"/>
                <w:spacing w:val="1"/>
                <w:szCs w:val="21"/>
              </w:rPr>
              <w:t>织架构。</w:t>
            </w:r>
          </w:p>
        </w:tc>
        <w:tc>
          <w:tcPr>
            <w:tcW w:w="1560" w:type="dxa"/>
            <w:vAlign w:val="center"/>
          </w:tcPr>
          <w:p w14:paraId="4C8A1BD9">
            <w:pPr>
              <w:jc w:val="left"/>
              <w:rPr>
                <w:rFonts w:hint="eastAsia" w:ascii="宋体" w:hAnsi="宋体" w:eastAsia="宋体" w:cs="Times New Roman"/>
                <w:szCs w:val="21"/>
              </w:rPr>
            </w:pPr>
            <w:r>
              <w:rPr>
                <w:rFonts w:hint="eastAsia" w:ascii="宋体" w:hAnsi="宋体" w:eastAsia="宋体" w:cs="Times New Roman"/>
                <w:szCs w:val="21"/>
              </w:rPr>
              <w:t>1.线下学习</w:t>
            </w:r>
          </w:p>
          <w:p w14:paraId="695B419A">
            <w:pPr>
              <w:jc w:val="left"/>
              <w:rPr>
                <w:rFonts w:hint="eastAsia" w:ascii="宋体" w:hAnsi="宋体" w:eastAsia="宋体" w:cs="Times New Roman"/>
                <w:szCs w:val="21"/>
              </w:rPr>
            </w:pPr>
            <w:r>
              <w:rPr>
                <w:rFonts w:hint="eastAsia" w:ascii="宋体" w:hAnsi="宋体" w:eastAsia="宋体" w:cs="Times New Roman"/>
                <w:szCs w:val="21"/>
              </w:rPr>
              <w:t>2.多媒体教学</w:t>
            </w:r>
          </w:p>
          <w:p w14:paraId="6CF08EC1">
            <w:pPr>
              <w:jc w:val="left"/>
              <w:rPr>
                <w:rFonts w:hint="eastAsia" w:ascii="宋体" w:hAnsi="宋体" w:eastAsia="宋体" w:cs="Times New Roman"/>
                <w:szCs w:val="21"/>
              </w:rPr>
            </w:pPr>
            <w:r>
              <w:rPr>
                <w:rFonts w:hint="eastAsia" w:ascii="宋体" w:hAnsi="宋体" w:eastAsia="宋体" w:cs="Times New Roman"/>
                <w:szCs w:val="21"/>
              </w:rPr>
              <w:t>3.课堂讨论</w:t>
            </w:r>
          </w:p>
          <w:p w14:paraId="63A16BD6">
            <w:pPr>
              <w:jc w:val="left"/>
              <w:rPr>
                <w:rFonts w:hint="eastAsia" w:ascii="宋体" w:hAnsi="宋体" w:eastAsia="宋体" w:cs="Times New Roman"/>
                <w:szCs w:val="21"/>
              </w:rPr>
            </w:pPr>
            <w:r>
              <w:rPr>
                <w:rFonts w:hint="eastAsia" w:ascii="宋体" w:hAnsi="宋体" w:eastAsia="宋体" w:cs="Times New Roman"/>
                <w:szCs w:val="21"/>
              </w:rPr>
              <w:t>4.课堂汇报</w:t>
            </w:r>
          </w:p>
        </w:tc>
        <w:tc>
          <w:tcPr>
            <w:tcW w:w="439" w:type="dxa"/>
            <w:vAlign w:val="center"/>
          </w:tcPr>
          <w:p w14:paraId="42B2D5F8">
            <w:pPr>
              <w:jc w:val="center"/>
              <w:rPr>
                <w:rFonts w:hint="eastAsia" w:ascii="宋体" w:hAnsi="宋体" w:eastAsia="宋体" w:cs="Times New Roman"/>
                <w:szCs w:val="21"/>
              </w:rPr>
            </w:pPr>
            <w:r>
              <w:rPr>
                <w:rFonts w:hint="eastAsia" w:ascii="宋体" w:hAnsi="宋体" w:eastAsia="宋体" w:cs="Times New Roman"/>
                <w:szCs w:val="21"/>
              </w:rPr>
              <w:t>4</w:t>
            </w:r>
          </w:p>
        </w:tc>
      </w:tr>
      <w:tr w14:paraId="086D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3BBF7C3E">
            <w:pPr>
              <w:jc w:val="center"/>
              <w:rPr>
                <w:rFonts w:hint="eastAsia" w:ascii="宋体" w:hAnsi="宋体" w:eastAsia="宋体" w:cs="Times New Roman"/>
                <w:szCs w:val="21"/>
              </w:rPr>
            </w:pPr>
          </w:p>
        </w:tc>
        <w:tc>
          <w:tcPr>
            <w:tcW w:w="8309" w:type="dxa"/>
            <w:gridSpan w:val="5"/>
            <w:vAlign w:val="center"/>
          </w:tcPr>
          <w:p w14:paraId="3C0E375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spacing w:val="-1"/>
                <w:szCs w:val="21"/>
              </w:rPr>
              <w:t>跟党学双创，能领会中国共产党是世界上最强大的创新创业</w:t>
            </w:r>
            <w:r>
              <w:rPr>
                <w:rFonts w:ascii="宋体" w:hAnsi="宋体" w:eastAsia="宋体"/>
                <w:szCs w:val="21"/>
              </w:rPr>
              <w:t>团队，始终坚持理想信念和初心使命，带领各族人民，历经</w:t>
            </w:r>
            <w:r>
              <w:rPr>
                <w:rFonts w:ascii="宋体" w:hAnsi="宋体" w:eastAsia="宋体"/>
                <w:spacing w:val="4"/>
                <w:szCs w:val="21"/>
              </w:rPr>
              <w:t>风雨，不屈不挠，改革创新，</w:t>
            </w:r>
            <w:r>
              <w:rPr>
                <w:rFonts w:ascii="宋体" w:hAnsi="宋体" w:eastAsia="宋体"/>
                <w:szCs w:val="21"/>
              </w:rPr>
              <w:t>以中国式现代化全面推进中华</w:t>
            </w:r>
            <w:r>
              <w:rPr>
                <w:rFonts w:ascii="宋体" w:hAnsi="宋体" w:eastAsia="宋体"/>
                <w:spacing w:val="4"/>
                <w:szCs w:val="21"/>
              </w:rPr>
              <w:t>民族的伟大复兴。跟党学习，</w:t>
            </w:r>
            <w:r>
              <w:rPr>
                <w:rFonts w:ascii="宋体" w:hAnsi="宋体" w:eastAsia="宋体"/>
                <w:szCs w:val="21"/>
              </w:rPr>
              <w:t>团队在创新创业的过程中，通</w:t>
            </w:r>
            <w:r>
              <w:rPr>
                <w:rFonts w:ascii="宋体" w:hAnsi="宋体" w:eastAsia="宋体"/>
                <w:spacing w:val="4"/>
                <w:szCs w:val="21"/>
              </w:rPr>
              <w:t>过沟通、分享、互补、协作，</w:t>
            </w:r>
            <w:r>
              <w:rPr>
                <w:rFonts w:ascii="宋体" w:hAnsi="宋体" w:eastAsia="宋体"/>
                <w:spacing w:val="-1"/>
                <w:szCs w:val="21"/>
              </w:rPr>
              <w:t>解决创新创业道路上的一个又一个困难，实现最终目标。</w:t>
            </w:r>
          </w:p>
        </w:tc>
      </w:tr>
      <w:tr w14:paraId="14E8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restart"/>
            <w:vAlign w:val="center"/>
          </w:tcPr>
          <w:p w14:paraId="6CA4A6B9">
            <w:pPr>
              <w:jc w:val="center"/>
              <w:rPr>
                <w:rFonts w:hint="eastAsia" w:ascii="宋体" w:hAnsi="宋体" w:eastAsia="宋体" w:cs="Times New Roman"/>
                <w:szCs w:val="21"/>
              </w:rPr>
            </w:pPr>
            <w:r>
              <w:rPr>
                <w:rFonts w:hint="eastAsia" w:ascii="宋体" w:hAnsi="宋体" w:eastAsia="宋体"/>
                <w:b/>
                <w:bCs/>
                <w:spacing w:val="-1"/>
                <w:szCs w:val="21"/>
              </w:rPr>
              <w:t>9.</w:t>
            </w:r>
            <w:r>
              <w:rPr>
                <w:rFonts w:ascii="宋体" w:hAnsi="宋体" w:eastAsia="宋体"/>
                <w:b/>
                <w:bCs/>
                <w:spacing w:val="-1"/>
                <w:szCs w:val="21"/>
              </w:rPr>
              <w:t>互联网创业指南</w:t>
            </w:r>
          </w:p>
        </w:tc>
        <w:tc>
          <w:tcPr>
            <w:tcW w:w="2855" w:type="dxa"/>
            <w:vAlign w:val="center"/>
          </w:tcPr>
          <w:p w14:paraId="039CF847">
            <w:pPr>
              <w:ind w:right="-82" w:rightChars="-39"/>
              <w:jc w:val="left"/>
              <w:rPr>
                <w:rFonts w:hint="eastAsia" w:ascii="宋体" w:hAnsi="宋体" w:eastAsia="宋体" w:cs="Times New Roman"/>
                <w:b/>
                <w:szCs w:val="21"/>
              </w:rPr>
            </w:pPr>
            <w:r>
              <w:rPr>
                <w:rFonts w:ascii="宋体" w:hAnsi="宋体" w:eastAsia="宋体"/>
                <w:spacing w:val="-1"/>
                <w:szCs w:val="21"/>
              </w:rPr>
              <w:t>互联网</w:t>
            </w:r>
            <w:r>
              <w:rPr>
                <w:rFonts w:ascii="宋体" w:hAnsi="宋体" w:eastAsia="宋体"/>
                <w:spacing w:val="11"/>
                <w:szCs w:val="21"/>
              </w:rPr>
              <w:t>的发展历程和未来趋势及互联网创业的概念和</w:t>
            </w:r>
            <w:r>
              <w:rPr>
                <w:rFonts w:ascii="宋体" w:hAnsi="宋体" w:eastAsia="宋体"/>
                <w:spacing w:val="3"/>
                <w:szCs w:val="21"/>
              </w:rPr>
              <w:t xml:space="preserve">  </w:t>
            </w:r>
            <w:r>
              <w:rPr>
                <w:rFonts w:ascii="宋体" w:hAnsi="宋体" w:eastAsia="宋体"/>
                <w:spacing w:val="-1"/>
                <w:szCs w:val="21"/>
              </w:rPr>
              <w:t>特点；不同互联网创业平</w:t>
            </w:r>
            <w:r>
              <w:rPr>
                <w:rFonts w:ascii="宋体" w:hAnsi="宋体" w:eastAsia="宋体"/>
                <w:spacing w:val="1"/>
                <w:szCs w:val="21"/>
              </w:rPr>
              <w:t>台的特点及选择策略；网</w:t>
            </w:r>
            <w:r>
              <w:rPr>
                <w:rFonts w:ascii="宋体" w:hAnsi="宋体" w:eastAsia="宋体"/>
                <w:spacing w:val="11"/>
                <w:szCs w:val="21"/>
              </w:rPr>
              <w:t>上开店的流程与运营管</w:t>
            </w:r>
            <w:r>
              <w:rPr>
                <w:rFonts w:ascii="宋体" w:hAnsi="宋体" w:eastAsia="宋体"/>
                <w:spacing w:val="1"/>
                <w:szCs w:val="21"/>
              </w:rPr>
              <w:t>理技巧；共享经济模式的</w:t>
            </w:r>
            <w:r>
              <w:rPr>
                <w:rFonts w:ascii="宋体" w:hAnsi="宋体" w:eastAsia="宋体"/>
                <w:spacing w:val="2"/>
                <w:szCs w:val="21"/>
              </w:rPr>
              <w:t>运作机制和发展前景。</w:t>
            </w:r>
          </w:p>
        </w:tc>
        <w:tc>
          <w:tcPr>
            <w:tcW w:w="1330" w:type="dxa"/>
            <w:vAlign w:val="center"/>
          </w:tcPr>
          <w:p w14:paraId="37ED7304">
            <w:pPr>
              <w:jc w:val="left"/>
              <w:rPr>
                <w:rFonts w:hint="eastAsia" w:ascii="宋体" w:hAnsi="宋体" w:eastAsia="宋体" w:cs="Times New Roman"/>
                <w:b/>
                <w:szCs w:val="21"/>
              </w:rPr>
            </w:pPr>
            <w:r>
              <w:rPr>
                <w:rFonts w:hint="eastAsia" w:ascii="宋体" w:hAnsi="宋体" w:eastAsia="宋体"/>
                <w:spacing w:val="8"/>
                <w:szCs w:val="21"/>
              </w:rPr>
              <w:t>课程</w:t>
            </w:r>
            <w:r>
              <w:rPr>
                <w:rFonts w:ascii="宋体" w:hAnsi="宋体" w:eastAsia="宋体"/>
                <w:spacing w:val="8"/>
                <w:szCs w:val="21"/>
              </w:rPr>
              <w:t>目标</w:t>
            </w:r>
            <w:r>
              <w:rPr>
                <w:rFonts w:ascii="宋体" w:hAnsi="宋体" w:eastAsia="宋体"/>
                <w:spacing w:val="-5"/>
                <w:szCs w:val="21"/>
              </w:rPr>
              <w:t>2</w:t>
            </w:r>
          </w:p>
        </w:tc>
        <w:tc>
          <w:tcPr>
            <w:tcW w:w="2125" w:type="dxa"/>
            <w:vAlign w:val="center"/>
          </w:tcPr>
          <w:p w14:paraId="2B623546">
            <w:pPr>
              <w:rPr>
                <w:rFonts w:hint="eastAsia" w:ascii="宋体" w:hAnsi="宋体" w:eastAsia="宋体" w:cs="Times New Roman"/>
                <w:b/>
                <w:szCs w:val="21"/>
              </w:rPr>
            </w:pPr>
            <w:r>
              <w:rPr>
                <w:rFonts w:ascii="宋体" w:hAnsi="宋体" w:eastAsia="宋体"/>
                <w:spacing w:val="1"/>
                <w:szCs w:val="21"/>
              </w:rPr>
              <w:t>能应用全国大学</w:t>
            </w:r>
            <w:r>
              <w:rPr>
                <w:rFonts w:ascii="宋体" w:hAnsi="宋体" w:eastAsia="宋体"/>
                <w:spacing w:val="13"/>
                <w:szCs w:val="21"/>
              </w:rPr>
              <w:t>电子商务“创新、</w:t>
            </w:r>
            <w:r>
              <w:rPr>
                <w:rFonts w:ascii="宋体" w:hAnsi="宋体" w:eastAsia="宋体"/>
                <w:spacing w:val="5"/>
                <w:szCs w:val="21"/>
              </w:rPr>
              <w:t>创意及创业"挑战</w:t>
            </w:r>
            <w:r>
              <w:rPr>
                <w:rFonts w:ascii="宋体" w:hAnsi="宋体" w:eastAsia="宋体"/>
                <w:spacing w:val="-2"/>
                <w:szCs w:val="21"/>
              </w:rPr>
              <w:t>赛获奖案例分析互联网创业的发展现</w:t>
            </w:r>
            <w:r>
              <w:rPr>
                <w:rFonts w:ascii="宋体" w:hAnsi="宋体" w:eastAsia="宋体"/>
                <w:spacing w:val="-1"/>
                <w:szCs w:val="21"/>
              </w:rPr>
              <w:t>状与未来趋势。</w:t>
            </w:r>
          </w:p>
        </w:tc>
        <w:tc>
          <w:tcPr>
            <w:tcW w:w="1560" w:type="dxa"/>
            <w:vAlign w:val="center"/>
          </w:tcPr>
          <w:p w14:paraId="71A28994">
            <w:pPr>
              <w:jc w:val="left"/>
              <w:rPr>
                <w:rFonts w:hint="eastAsia" w:ascii="宋体" w:hAnsi="宋体" w:eastAsia="宋体" w:cs="Times New Roman"/>
                <w:szCs w:val="21"/>
              </w:rPr>
            </w:pPr>
            <w:r>
              <w:rPr>
                <w:rFonts w:hint="eastAsia" w:ascii="宋体" w:hAnsi="宋体" w:eastAsia="宋体" w:cs="Times New Roman"/>
                <w:szCs w:val="21"/>
              </w:rPr>
              <w:t>1.线下学习</w:t>
            </w:r>
          </w:p>
          <w:p w14:paraId="0384FA17">
            <w:pPr>
              <w:jc w:val="left"/>
              <w:rPr>
                <w:rFonts w:hint="eastAsia" w:ascii="宋体" w:hAnsi="宋体" w:eastAsia="宋体" w:cs="Times New Roman"/>
                <w:szCs w:val="21"/>
              </w:rPr>
            </w:pPr>
            <w:r>
              <w:rPr>
                <w:rFonts w:hint="eastAsia" w:ascii="宋体" w:hAnsi="宋体" w:eastAsia="宋体" w:cs="Times New Roman"/>
                <w:szCs w:val="21"/>
              </w:rPr>
              <w:t>2.多媒体教学</w:t>
            </w:r>
          </w:p>
          <w:p w14:paraId="1F7AF9A2">
            <w:pPr>
              <w:jc w:val="left"/>
              <w:rPr>
                <w:rFonts w:hint="eastAsia" w:ascii="宋体" w:hAnsi="宋体" w:eastAsia="宋体" w:cs="Times New Roman"/>
                <w:szCs w:val="21"/>
              </w:rPr>
            </w:pPr>
            <w:r>
              <w:rPr>
                <w:rFonts w:hint="eastAsia" w:ascii="宋体" w:hAnsi="宋体" w:eastAsia="宋体" w:cs="Times New Roman"/>
                <w:szCs w:val="21"/>
              </w:rPr>
              <w:t>3.课堂讨论</w:t>
            </w:r>
          </w:p>
          <w:p w14:paraId="4BC774F2">
            <w:pPr>
              <w:jc w:val="left"/>
              <w:rPr>
                <w:rFonts w:hint="eastAsia" w:ascii="宋体" w:hAnsi="宋体" w:eastAsia="宋体" w:cs="Times New Roman"/>
                <w:b/>
                <w:szCs w:val="21"/>
              </w:rPr>
            </w:pPr>
            <w:r>
              <w:rPr>
                <w:rFonts w:hint="eastAsia" w:ascii="宋体" w:hAnsi="宋体" w:eastAsia="宋体" w:cs="Times New Roman"/>
                <w:szCs w:val="21"/>
              </w:rPr>
              <w:t>4.课堂汇报</w:t>
            </w:r>
          </w:p>
        </w:tc>
        <w:tc>
          <w:tcPr>
            <w:tcW w:w="439" w:type="dxa"/>
            <w:vAlign w:val="center"/>
          </w:tcPr>
          <w:p w14:paraId="3DDE517D">
            <w:pPr>
              <w:jc w:val="left"/>
              <w:rPr>
                <w:rFonts w:hint="eastAsia" w:ascii="宋体" w:hAnsi="宋体" w:eastAsia="宋体" w:cs="Times New Roman"/>
                <w:b/>
                <w:szCs w:val="21"/>
              </w:rPr>
            </w:pPr>
            <w:r>
              <w:rPr>
                <w:rFonts w:hint="eastAsia" w:ascii="宋体" w:hAnsi="宋体" w:eastAsia="宋体" w:cs="Times New Roman"/>
                <w:szCs w:val="21"/>
              </w:rPr>
              <w:t>4</w:t>
            </w:r>
          </w:p>
        </w:tc>
      </w:tr>
      <w:tr w14:paraId="2FCD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3" w:type="dxa"/>
            <w:vMerge w:val="continue"/>
            <w:vAlign w:val="center"/>
          </w:tcPr>
          <w:p w14:paraId="49A38773">
            <w:pPr>
              <w:jc w:val="center"/>
              <w:rPr>
                <w:rFonts w:hint="eastAsia" w:ascii="宋体" w:hAnsi="宋体" w:eastAsia="宋体" w:cs="Times New Roman"/>
                <w:szCs w:val="21"/>
              </w:rPr>
            </w:pPr>
          </w:p>
        </w:tc>
        <w:tc>
          <w:tcPr>
            <w:tcW w:w="8309" w:type="dxa"/>
            <w:gridSpan w:val="5"/>
            <w:vAlign w:val="center"/>
          </w:tcPr>
          <w:p w14:paraId="219016F4">
            <w:pPr>
              <w:jc w:val="left"/>
              <w:rPr>
                <w:rFonts w:hint="eastAsia" w:ascii="宋体" w:hAnsi="宋体" w:eastAsia="宋体" w:cs="Times New Roman"/>
                <w:b/>
                <w:szCs w:val="21"/>
              </w:rPr>
            </w:pPr>
            <w:r>
              <w:rPr>
                <w:rFonts w:hint="eastAsia" w:ascii="宋体" w:hAnsi="宋体" w:eastAsia="宋体" w:cs="Times New Roman"/>
                <w:b/>
                <w:szCs w:val="21"/>
              </w:rPr>
              <w:t>课程思政目标：</w:t>
            </w:r>
            <w:r>
              <w:rPr>
                <w:rFonts w:ascii="宋体" w:hAnsi="宋体" w:eastAsia="宋体"/>
                <w:spacing w:val="-1"/>
                <w:szCs w:val="21"/>
              </w:rPr>
              <w:t>培养学生在互联网领域探索未</w:t>
            </w:r>
            <w:r>
              <w:rPr>
                <w:rFonts w:ascii="宋体" w:hAnsi="宋体" w:eastAsia="宋体"/>
                <w:szCs w:val="21"/>
              </w:rPr>
              <w:t>知、挑战自我以及面对失败不屈不挠、勇于担当的精神。强调互联网创业中涉及的知识产</w:t>
            </w:r>
            <w:r>
              <w:rPr>
                <w:rFonts w:ascii="宋体" w:hAnsi="宋体" w:eastAsia="宋体"/>
                <w:spacing w:val="-1"/>
                <w:szCs w:val="21"/>
              </w:rPr>
              <w:t>权和公平竞争的重要性，实现个人价值的同时，为社会创造</w:t>
            </w:r>
            <w:r>
              <w:rPr>
                <w:rFonts w:ascii="宋体" w:hAnsi="宋体" w:eastAsia="宋体"/>
                <w:szCs w:val="21"/>
              </w:rPr>
              <w:t>更多价值。</w:t>
            </w:r>
          </w:p>
        </w:tc>
      </w:tr>
    </w:tbl>
    <w:p w14:paraId="72797308">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383EE488">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FD1FB2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w:t>
      </w:r>
      <w:r>
        <w:rPr>
          <w:rFonts w:ascii="Times New Roman" w:hAnsi="Times New Roman" w:eastAsia="宋体" w:cs="Times New Roman"/>
          <w:szCs w:val="21"/>
        </w:rPr>
        <w:t>所示。</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1458"/>
        <w:gridCol w:w="1081"/>
        <w:gridCol w:w="1805"/>
        <w:gridCol w:w="1697"/>
        <w:gridCol w:w="1024"/>
      </w:tblGrid>
      <w:tr w14:paraId="5DF3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Merge w:val="restart"/>
            <w:vAlign w:val="center"/>
          </w:tcPr>
          <w:p w14:paraId="159D583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867" w:type="dxa"/>
            <w:gridSpan w:val="4"/>
            <w:vAlign w:val="center"/>
          </w:tcPr>
          <w:p w14:paraId="504E2DA4">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993" w:type="dxa"/>
            <w:vAlign w:val="center"/>
          </w:tcPr>
          <w:p w14:paraId="6239C97D">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ADE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Merge w:val="continue"/>
            <w:vAlign w:val="center"/>
          </w:tcPr>
          <w:p w14:paraId="66CA4B67">
            <w:pPr>
              <w:spacing w:line="360" w:lineRule="auto"/>
              <w:jc w:val="center"/>
              <w:rPr>
                <w:rFonts w:hint="eastAsia" w:ascii="宋体" w:hAnsi="宋体" w:eastAsia="宋体" w:cs="Times New Roman"/>
                <w:szCs w:val="21"/>
              </w:rPr>
            </w:pPr>
          </w:p>
        </w:tc>
        <w:tc>
          <w:tcPr>
            <w:tcW w:w="1416" w:type="dxa"/>
            <w:vAlign w:val="center"/>
          </w:tcPr>
          <w:p w14:paraId="79BB8C00">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平时表现</w:t>
            </w:r>
          </w:p>
        </w:tc>
        <w:tc>
          <w:tcPr>
            <w:tcW w:w="1050" w:type="dxa"/>
            <w:vAlign w:val="center"/>
          </w:tcPr>
          <w:p w14:paraId="2AF6D72F">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w:t>
            </w:r>
          </w:p>
        </w:tc>
        <w:tc>
          <w:tcPr>
            <w:tcW w:w="1753" w:type="dxa"/>
            <w:vAlign w:val="center"/>
          </w:tcPr>
          <w:p w14:paraId="5AA9F13A">
            <w:pPr>
              <w:spacing w:line="360" w:lineRule="auto"/>
              <w:jc w:val="center"/>
              <w:rPr>
                <w:rFonts w:hint="eastAsia" w:ascii="宋体" w:hAnsi="宋体" w:eastAsia="宋体" w:cs="Times New Roman"/>
                <w:szCs w:val="21"/>
              </w:rPr>
            </w:pPr>
            <w:r>
              <w:rPr>
                <w:rFonts w:hint="eastAsia" w:ascii="宋体" w:hAnsi="宋体" w:eastAsia="宋体" w:cs="Times New Roman"/>
                <w:szCs w:val="21"/>
              </w:rPr>
              <w:t>项目汇报</w:t>
            </w:r>
          </w:p>
        </w:tc>
        <w:tc>
          <w:tcPr>
            <w:tcW w:w="1648" w:type="dxa"/>
            <w:vAlign w:val="center"/>
          </w:tcPr>
          <w:p w14:paraId="44981F0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课程考核大作业</w:t>
            </w:r>
          </w:p>
        </w:tc>
        <w:tc>
          <w:tcPr>
            <w:tcW w:w="993" w:type="dxa"/>
            <w:vAlign w:val="center"/>
          </w:tcPr>
          <w:p w14:paraId="1AEB2B08">
            <w:pPr>
              <w:spacing w:line="360" w:lineRule="auto"/>
              <w:jc w:val="center"/>
              <w:rPr>
                <w:rFonts w:hint="eastAsia" w:ascii="宋体" w:hAnsi="宋体" w:eastAsia="宋体" w:cs="Times New Roman"/>
                <w:szCs w:val="21"/>
              </w:rPr>
            </w:pPr>
          </w:p>
        </w:tc>
      </w:tr>
      <w:tr w14:paraId="1FE83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Align w:val="center"/>
          </w:tcPr>
          <w:p w14:paraId="5A307E6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16" w:type="dxa"/>
            <w:vAlign w:val="center"/>
          </w:tcPr>
          <w:p w14:paraId="116E7EFA">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050" w:type="dxa"/>
            <w:vAlign w:val="center"/>
          </w:tcPr>
          <w:p w14:paraId="570A07D3">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753" w:type="dxa"/>
            <w:vAlign w:val="center"/>
          </w:tcPr>
          <w:p w14:paraId="36DAFCAC">
            <w:pPr>
              <w:spacing w:line="360" w:lineRule="auto"/>
              <w:jc w:val="center"/>
              <w:rPr>
                <w:rFonts w:hint="eastAsia" w:ascii="宋体" w:hAnsi="宋体" w:eastAsia="宋体" w:cs="Times New Roman"/>
                <w:szCs w:val="21"/>
              </w:rPr>
            </w:pPr>
          </w:p>
        </w:tc>
        <w:tc>
          <w:tcPr>
            <w:tcW w:w="1648" w:type="dxa"/>
            <w:vAlign w:val="center"/>
          </w:tcPr>
          <w:p w14:paraId="0A1C3638">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993" w:type="dxa"/>
            <w:vAlign w:val="center"/>
          </w:tcPr>
          <w:p w14:paraId="7758ACC0">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716C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Align w:val="center"/>
          </w:tcPr>
          <w:p w14:paraId="2B1D4C1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16" w:type="dxa"/>
            <w:vAlign w:val="center"/>
          </w:tcPr>
          <w:p w14:paraId="1DFBD00A">
            <w:pPr>
              <w:spacing w:line="360" w:lineRule="auto"/>
              <w:jc w:val="center"/>
              <w:rPr>
                <w:rFonts w:hint="eastAsia" w:ascii="宋体" w:hAnsi="宋体" w:eastAsia="宋体" w:cs="Times New Roman"/>
                <w:szCs w:val="21"/>
              </w:rPr>
            </w:pPr>
          </w:p>
        </w:tc>
        <w:tc>
          <w:tcPr>
            <w:tcW w:w="1050" w:type="dxa"/>
            <w:vAlign w:val="center"/>
          </w:tcPr>
          <w:p w14:paraId="6068DB62">
            <w:pPr>
              <w:spacing w:line="360" w:lineRule="auto"/>
              <w:jc w:val="center"/>
              <w:rPr>
                <w:rFonts w:hint="eastAsia" w:ascii="宋体" w:hAnsi="宋体" w:eastAsia="宋体" w:cs="Times New Roman"/>
                <w:szCs w:val="21"/>
              </w:rPr>
            </w:pPr>
          </w:p>
        </w:tc>
        <w:tc>
          <w:tcPr>
            <w:tcW w:w="1753" w:type="dxa"/>
            <w:vAlign w:val="center"/>
          </w:tcPr>
          <w:p w14:paraId="31B530F1">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648" w:type="dxa"/>
            <w:vAlign w:val="center"/>
          </w:tcPr>
          <w:p w14:paraId="0F236E7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993" w:type="dxa"/>
            <w:vAlign w:val="center"/>
          </w:tcPr>
          <w:p w14:paraId="5D506CD8">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1398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7" w:type="dxa"/>
            <w:vAlign w:val="center"/>
          </w:tcPr>
          <w:p w14:paraId="6815D39C">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16" w:type="dxa"/>
            <w:vAlign w:val="center"/>
          </w:tcPr>
          <w:p w14:paraId="2864082D">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050" w:type="dxa"/>
            <w:vAlign w:val="center"/>
          </w:tcPr>
          <w:p w14:paraId="209A6D88">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753" w:type="dxa"/>
            <w:vAlign w:val="center"/>
          </w:tcPr>
          <w:p w14:paraId="5F68C34F">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648" w:type="dxa"/>
            <w:vAlign w:val="center"/>
          </w:tcPr>
          <w:p w14:paraId="5119A3C9">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993" w:type="dxa"/>
            <w:vAlign w:val="center"/>
          </w:tcPr>
          <w:p w14:paraId="5FAD3A0C">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7B0CDBC">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4D1A67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923"/>
        <w:gridCol w:w="706"/>
      </w:tblGrid>
      <w:tr w14:paraId="2F43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9EC4F7D">
            <w:pPr>
              <w:jc w:val="center"/>
              <w:rPr>
                <w:rFonts w:hint="eastAsia" w:ascii="宋体" w:hAnsi="宋体" w:eastAsia="宋体" w:cs="Times New Roman"/>
                <w:b/>
                <w:bCs/>
                <w:szCs w:val="21"/>
              </w:rPr>
            </w:pPr>
            <w:r>
              <w:rPr>
                <w:rFonts w:hint="eastAsia" w:ascii="宋体" w:hAnsi="宋体" w:eastAsia="宋体" w:cs="Times New Roman"/>
                <w:b/>
                <w:bCs/>
                <w:szCs w:val="21"/>
              </w:rPr>
              <w:t>评价方式</w:t>
            </w:r>
          </w:p>
        </w:tc>
        <w:tc>
          <w:tcPr>
            <w:tcW w:w="6923" w:type="dxa"/>
            <w:vAlign w:val="center"/>
          </w:tcPr>
          <w:p w14:paraId="79B25EF3">
            <w:pPr>
              <w:jc w:val="center"/>
              <w:rPr>
                <w:rFonts w:hint="eastAsia" w:ascii="宋体" w:hAnsi="宋体" w:eastAsia="宋体" w:cs="Times New Roman"/>
                <w:b/>
                <w:bCs/>
                <w:szCs w:val="21"/>
              </w:rPr>
            </w:pPr>
            <w:r>
              <w:rPr>
                <w:rFonts w:hint="eastAsia" w:ascii="宋体" w:hAnsi="宋体" w:eastAsia="宋体" w:cs="Times New Roman"/>
                <w:b/>
                <w:bCs/>
                <w:szCs w:val="21"/>
              </w:rPr>
              <w:t>评定细则</w:t>
            </w:r>
          </w:p>
        </w:tc>
        <w:tc>
          <w:tcPr>
            <w:tcW w:w="0" w:type="auto"/>
            <w:vAlign w:val="center"/>
          </w:tcPr>
          <w:p w14:paraId="4AF189E3">
            <w:pPr>
              <w:rPr>
                <w:rFonts w:hint="eastAsia" w:ascii="宋体" w:hAnsi="宋体" w:eastAsia="宋体" w:cs="Times New Roman"/>
                <w:b/>
                <w:bCs/>
                <w:szCs w:val="21"/>
              </w:rPr>
            </w:pPr>
            <w:r>
              <w:rPr>
                <w:rFonts w:hint="eastAsia" w:ascii="宋体" w:hAnsi="宋体" w:eastAsia="宋体" w:cs="Times New Roman"/>
                <w:b/>
                <w:bCs/>
                <w:szCs w:val="21"/>
              </w:rPr>
              <w:t>占比</w:t>
            </w:r>
          </w:p>
        </w:tc>
      </w:tr>
      <w:tr w14:paraId="372C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FBD45F1">
            <w:pPr>
              <w:jc w:val="center"/>
              <w:rPr>
                <w:rFonts w:hint="eastAsia" w:ascii="宋体" w:hAnsi="宋体" w:eastAsia="宋体" w:cs="Times New Roman"/>
                <w:szCs w:val="21"/>
              </w:rPr>
            </w:pPr>
            <w:r>
              <w:rPr>
                <w:rFonts w:hint="eastAsia" w:ascii="宋体" w:hAnsi="宋体" w:eastAsia="宋体" w:cs="Times New Roman"/>
                <w:szCs w:val="21"/>
              </w:rPr>
              <w:t>平时表现</w:t>
            </w:r>
          </w:p>
        </w:tc>
        <w:tc>
          <w:tcPr>
            <w:tcW w:w="6923" w:type="dxa"/>
            <w:vAlign w:val="center"/>
          </w:tcPr>
          <w:p w14:paraId="2B30FE0D">
            <w:pPr>
              <w:spacing w:line="264" w:lineRule="auto"/>
              <w:rPr>
                <w:rFonts w:hint="eastAsia" w:ascii="宋体" w:hAnsi="宋体" w:eastAsia="宋体" w:cs="Times New Roman"/>
                <w:szCs w:val="21"/>
              </w:rPr>
            </w:pPr>
            <w:r>
              <w:rPr>
                <w:rFonts w:ascii="宋体" w:hAnsi="宋体" w:eastAsia="宋体"/>
                <w:spacing w:val="-1"/>
              </w:rPr>
              <w:t>学生出勤、课堂提问和互动情况。</w:t>
            </w:r>
          </w:p>
        </w:tc>
        <w:tc>
          <w:tcPr>
            <w:tcW w:w="0" w:type="auto"/>
            <w:vAlign w:val="center"/>
          </w:tcPr>
          <w:p w14:paraId="118F07DA">
            <w:pPr>
              <w:rPr>
                <w:rFonts w:hint="eastAsia" w:ascii="宋体" w:hAnsi="宋体" w:eastAsia="宋体" w:cs="Times New Roman"/>
                <w:szCs w:val="21"/>
              </w:rPr>
            </w:pPr>
            <w:r>
              <w:rPr>
                <w:rFonts w:ascii="宋体" w:hAnsi="宋体" w:eastAsia="宋体"/>
                <w:spacing w:val="-6"/>
              </w:rPr>
              <w:t>10%</w:t>
            </w:r>
          </w:p>
        </w:tc>
      </w:tr>
      <w:tr w14:paraId="6D328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FF94992">
            <w:pPr>
              <w:jc w:val="center"/>
              <w:rPr>
                <w:rFonts w:hint="eastAsia" w:ascii="宋体" w:hAnsi="宋体" w:eastAsia="宋体" w:cs="Times New Roman"/>
                <w:szCs w:val="21"/>
              </w:rPr>
            </w:pPr>
            <w:r>
              <w:rPr>
                <w:rFonts w:hint="eastAsia" w:ascii="宋体" w:hAnsi="宋体" w:eastAsia="宋体" w:cs="Times New Roman"/>
                <w:szCs w:val="21"/>
              </w:rPr>
              <w:t>作业</w:t>
            </w:r>
          </w:p>
        </w:tc>
        <w:tc>
          <w:tcPr>
            <w:tcW w:w="6923" w:type="dxa"/>
            <w:vAlign w:val="center"/>
          </w:tcPr>
          <w:p w14:paraId="29884B6B">
            <w:pPr>
              <w:widowControl/>
              <w:spacing w:line="264" w:lineRule="auto"/>
              <w:rPr>
                <w:rFonts w:hint="eastAsia" w:ascii="宋体" w:hAnsi="宋体" w:eastAsia="宋体" w:cs="Times New Roman"/>
                <w:szCs w:val="21"/>
              </w:rPr>
            </w:pPr>
            <w:r>
              <w:rPr>
                <w:rFonts w:ascii="宋体" w:hAnsi="宋体" w:eastAsia="宋体"/>
              </w:rPr>
              <w:t>课后作业布置不少于3次，完成项目申报书、专</w:t>
            </w:r>
            <w:r>
              <w:rPr>
                <w:rFonts w:ascii="宋体" w:hAnsi="宋体" w:eastAsia="宋体"/>
                <w:spacing w:val="1"/>
              </w:rPr>
              <w:t>利申请书、社会调查报告或商业计划书的阶段性</w:t>
            </w:r>
            <w:r>
              <w:rPr>
                <w:rFonts w:ascii="宋体" w:hAnsi="宋体" w:eastAsia="宋体"/>
                <w:spacing w:val="3"/>
              </w:rPr>
              <w:t>资料或教材的章节练习，主要考核学生对项目的</w:t>
            </w:r>
            <w:r>
              <w:rPr>
                <w:rFonts w:ascii="宋体" w:hAnsi="宋体" w:eastAsia="宋体"/>
                <w:spacing w:val="-1"/>
              </w:rPr>
              <w:t>资料搜集和知识的理解程度。作业按百分制计分。</w:t>
            </w:r>
          </w:p>
        </w:tc>
        <w:tc>
          <w:tcPr>
            <w:tcW w:w="0" w:type="auto"/>
            <w:vAlign w:val="center"/>
          </w:tcPr>
          <w:p w14:paraId="6CC2187E">
            <w:pPr>
              <w:rPr>
                <w:rFonts w:hint="eastAsia" w:ascii="宋体" w:hAnsi="宋体" w:eastAsia="宋体" w:cs="Times New Roman"/>
                <w:szCs w:val="21"/>
              </w:rPr>
            </w:pPr>
            <w:r>
              <w:rPr>
                <w:rFonts w:ascii="宋体" w:hAnsi="宋体" w:eastAsia="宋体"/>
                <w:spacing w:val="-3"/>
              </w:rPr>
              <w:t>20%</w:t>
            </w:r>
          </w:p>
        </w:tc>
      </w:tr>
      <w:tr w14:paraId="65FB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619824C">
            <w:pPr>
              <w:jc w:val="center"/>
              <w:rPr>
                <w:rFonts w:hint="eastAsia" w:ascii="宋体" w:hAnsi="宋体" w:eastAsia="宋体" w:cs="Times New Roman"/>
                <w:szCs w:val="21"/>
              </w:rPr>
            </w:pPr>
            <w:r>
              <w:rPr>
                <w:rFonts w:hint="eastAsia" w:ascii="宋体" w:hAnsi="宋体" w:eastAsia="宋体" w:cs="Times New Roman"/>
                <w:szCs w:val="21"/>
              </w:rPr>
              <w:t>项目汇报</w:t>
            </w:r>
          </w:p>
        </w:tc>
        <w:tc>
          <w:tcPr>
            <w:tcW w:w="6923" w:type="dxa"/>
            <w:vAlign w:val="center"/>
          </w:tcPr>
          <w:p w14:paraId="5BA86B29">
            <w:pPr>
              <w:widowControl/>
              <w:spacing w:line="264" w:lineRule="auto"/>
              <w:rPr>
                <w:rFonts w:hint="eastAsia" w:ascii="宋体" w:hAnsi="宋体" w:eastAsia="宋体" w:cs="宋体"/>
                <w:kern w:val="0"/>
                <w:szCs w:val="21"/>
                <w:lang w:bidi="ar"/>
              </w:rPr>
            </w:pPr>
            <w:r>
              <w:rPr>
                <w:rFonts w:ascii="宋体" w:hAnsi="宋体" w:eastAsia="宋体"/>
                <w:spacing w:val="-1"/>
              </w:rPr>
              <w:t>采用团队汇报形式，主要考核学生对于创新创业</w:t>
            </w:r>
            <w:r>
              <w:rPr>
                <w:rFonts w:ascii="宋体" w:hAnsi="宋体" w:eastAsia="宋体"/>
              </w:rPr>
              <w:t>项目的检索归纳和理解程度以及表达展示与沟通</w:t>
            </w:r>
            <w:r>
              <w:rPr>
                <w:rFonts w:ascii="宋体" w:hAnsi="宋体" w:eastAsia="宋体"/>
                <w:spacing w:val="-1"/>
              </w:rPr>
              <w:t>交流的能力。</w:t>
            </w:r>
          </w:p>
        </w:tc>
        <w:tc>
          <w:tcPr>
            <w:tcW w:w="0" w:type="auto"/>
            <w:vAlign w:val="center"/>
          </w:tcPr>
          <w:p w14:paraId="6723DDA8">
            <w:pPr>
              <w:rPr>
                <w:rFonts w:hint="eastAsia" w:ascii="宋体" w:hAnsi="宋体" w:eastAsia="宋体" w:cs="Times New Roman"/>
                <w:szCs w:val="21"/>
              </w:rPr>
            </w:pPr>
            <w:r>
              <w:rPr>
                <w:rFonts w:ascii="宋体" w:hAnsi="宋体" w:eastAsia="宋体"/>
                <w:spacing w:val="-3"/>
              </w:rPr>
              <w:t>20%</w:t>
            </w:r>
          </w:p>
        </w:tc>
      </w:tr>
      <w:tr w14:paraId="59CA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8AF0797">
            <w:pPr>
              <w:jc w:val="center"/>
              <w:rPr>
                <w:rFonts w:hint="eastAsia" w:ascii="宋体" w:hAnsi="宋体" w:eastAsia="宋体" w:cs="Times New Roman"/>
                <w:szCs w:val="21"/>
              </w:rPr>
            </w:pPr>
            <w:r>
              <w:rPr>
                <w:rFonts w:hint="eastAsia" w:ascii="宋体" w:hAnsi="宋体" w:eastAsia="宋体" w:cs="Times New Roman"/>
                <w:szCs w:val="21"/>
              </w:rPr>
              <w:t>课程考察大作业</w:t>
            </w:r>
          </w:p>
        </w:tc>
        <w:tc>
          <w:tcPr>
            <w:tcW w:w="6923" w:type="dxa"/>
            <w:vAlign w:val="center"/>
          </w:tcPr>
          <w:p w14:paraId="6DC32011">
            <w:pPr>
              <w:widowControl/>
              <w:spacing w:line="264" w:lineRule="auto"/>
              <w:rPr>
                <w:rFonts w:hint="eastAsia" w:ascii="宋体" w:hAnsi="宋体" w:eastAsia="宋体" w:cs="宋体"/>
                <w:kern w:val="0"/>
                <w:szCs w:val="21"/>
                <w:lang w:bidi="ar"/>
              </w:rPr>
            </w:pPr>
            <w:r>
              <w:rPr>
                <w:rFonts w:ascii="宋体" w:hAnsi="宋体" w:eastAsia="宋体"/>
              </w:rPr>
              <w:t>强调项目申报书、专利申请书、社会调查报告或</w:t>
            </w:r>
            <w:r>
              <w:rPr>
                <w:rFonts w:ascii="宋体" w:hAnsi="宋体" w:eastAsia="宋体"/>
                <w:spacing w:val="2"/>
              </w:rPr>
              <w:t>商业计划书的内容完整性、方案创新性、项目可</w:t>
            </w:r>
            <w:r>
              <w:rPr>
                <w:rFonts w:ascii="宋体" w:hAnsi="宋体" w:eastAsia="宋体"/>
                <w:spacing w:val="6"/>
              </w:rPr>
              <w:t>行性、语言流畅性、个人参与性、团队合作性、</w:t>
            </w:r>
            <w:r>
              <w:rPr>
                <w:rFonts w:ascii="宋体" w:hAnsi="宋体" w:eastAsia="宋体"/>
                <w:spacing w:val="-1"/>
              </w:rPr>
              <w:t>格式规范性。</w:t>
            </w:r>
          </w:p>
        </w:tc>
        <w:tc>
          <w:tcPr>
            <w:tcW w:w="0" w:type="auto"/>
            <w:vAlign w:val="center"/>
          </w:tcPr>
          <w:p w14:paraId="71B221E3">
            <w:pPr>
              <w:rPr>
                <w:rFonts w:hint="eastAsia" w:ascii="宋体" w:hAnsi="宋体" w:eastAsia="宋体" w:cs="Times New Roman"/>
                <w:szCs w:val="21"/>
              </w:rPr>
            </w:pPr>
            <w:r>
              <w:rPr>
                <w:rFonts w:ascii="宋体" w:hAnsi="宋体" w:eastAsia="宋体"/>
                <w:spacing w:val="-3"/>
              </w:rPr>
              <w:t>50%</w:t>
            </w:r>
          </w:p>
        </w:tc>
      </w:tr>
      <w:tr w14:paraId="34D4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9" w:type="dxa"/>
            <w:vAlign w:val="center"/>
          </w:tcPr>
          <w:p w14:paraId="585CF949">
            <w:pPr>
              <w:rPr>
                <w:rFonts w:hint="eastAsia" w:ascii="宋体" w:hAnsi="宋体" w:eastAsia="宋体" w:cs="Times New Roman"/>
                <w:b/>
                <w:bCs/>
                <w:szCs w:val="21"/>
              </w:rPr>
            </w:pPr>
            <w:r>
              <w:rPr>
                <w:rFonts w:hint="eastAsia" w:ascii="宋体" w:hAnsi="宋体" w:eastAsia="宋体" w:cs="Times New Roman"/>
                <w:b/>
                <w:bCs/>
                <w:szCs w:val="21"/>
              </w:rPr>
              <w:t>合计</w:t>
            </w:r>
          </w:p>
        </w:tc>
        <w:tc>
          <w:tcPr>
            <w:tcW w:w="0" w:type="auto"/>
            <w:vAlign w:val="center"/>
          </w:tcPr>
          <w:p w14:paraId="01D44EDF">
            <w:pPr>
              <w:rPr>
                <w:rFonts w:hint="eastAsia" w:ascii="宋体" w:hAnsi="宋体" w:eastAsia="宋体" w:cs="Times New Roman"/>
                <w:szCs w:val="21"/>
              </w:rPr>
            </w:pPr>
          </w:p>
        </w:tc>
        <w:tc>
          <w:tcPr>
            <w:tcW w:w="0" w:type="auto"/>
            <w:vAlign w:val="center"/>
          </w:tcPr>
          <w:p w14:paraId="48E28353">
            <w:pPr>
              <w:rPr>
                <w:rFonts w:hint="eastAsia" w:ascii="宋体" w:hAnsi="宋体" w:eastAsia="宋体" w:cs="Times New Roman"/>
                <w:szCs w:val="21"/>
              </w:rPr>
            </w:pPr>
            <w:r>
              <w:rPr>
                <w:rFonts w:hint="eastAsia" w:ascii="宋体" w:hAnsi="宋体" w:eastAsia="宋体" w:cs="Times New Roman"/>
                <w:szCs w:val="21"/>
              </w:rPr>
              <w:t>100%</w:t>
            </w:r>
          </w:p>
        </w:tc>
      </w:tr>
    </w:tbl>
    <w:p w14:paraId="645B495F">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1D1AAA7D">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0.6，否则总评成绩不及格，需要补考或重修。课程目标体达成度计算方法如下：</w:t>
      </w:r>
    </w:p>
    <w:p w14:paraId="230B433F">
      <w:pPr>
        <w:spacing w:before="62" w:beforeLines="20" w:after="62" w:afterLines="20" w:line="360" w:lineRule="auto"/>
        <w:jc w:val="left"/>
        <w:rPr>
          <w:rFonts w:ascii="Times New Roman" w:hAnsi="Times New Roman" w:eastAsia="宋体" w:cs="Times New Roman"/>
          <w:b/>
          <w:sz w:val="16"/>
          <w:szCs w:val="16"/>
        </w:rPr>
      </w:pPr>
      <w:r>
        <w:rPr>
          <w:rFonts w:ascii="宋体" w:hAnsi="宋体" w:eastAsia="宋体" w:cs="Times New Roman"/>
          <w:color w:val="000000"/>
          <w:szCs w:val="21"/>
        </w:rPr>
        <w:object>
          <v:shape id="_x0000_i1031" o:spt="75" type="#_x0000_t75" style="height:25.05pt;width:404.45pt;" o:ole="t" filled="f" o:preferrelative="t" stroked="f" coordsize="21600,21600">
            <v:path/>
            <v:fill on="f" focussize="0,0"/>
            <v:stroke on="f" joinstyle="miter"/>
            <v:imagedata r:id="rId12" o:title=""/>
            <o:lock v:ext="edit" aspectratio="t"/>
            <w10:wrap type="none"/>
            <w10:anchorlock/>
          </v:shape>
          <o:OLEObject Type="Embed" ProgID="Equation.3" ShapeID="_x0000_i1031" DrawAspect="Content" ObjectID="_1468075731" r:id="rId18">
            <o:LockedField>false</o:LockedField>
          </o:OLEObject>
        </w:object>
      </w:r>
    </w:p>
    <w:p w14:paraId="021F8675">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五、课程实践</w:t>
      </w:r>
      <w:r>
        <w:rPr>
          <w:rFonts w:hint="eastAsia" w:ascii="Times New Roman" w:hAnsi="Times New Roman" w:eastAsia="宋体" w:cs="Times New Roman"/>
          <w:bCs/>
          <w:szCs w:val="21"/>
        </w:rPr>
        <w:t>（利用第二课堂，不占总学时）</w:t>
      </w:r>
    </w:p>
    <w:p w14:paraId="0E75DD52">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tbl>
      <w:tblPr>
        <w:tblStyle w:val="1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894"/>
        <w:gridCol w:w="2126"/>
        <w:gridCol w:w="2287"/>
      </w:tblGrid>
      <w:tr w14:paraId="44FB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AB849B6">
            <w:pPr>
              <w:jc w:val="center"/>
              <w:rPr>
                <w:rFonts w:hint="eastAsia" w:ascii="宋体" w:hAnsi="宋体" w:eastAsia="宋体" w:cs="宋体"/>
                <w:b/>
                <w:bCs/>
                <w:szCs w:val="21"/>
              </w:rPr>
            </w:pPr>
            <w:r>
              <w:rPr>
                <w:rFonts w:hint="eastAsia" w:ascii="宋体" w:hAnsi="宋体" w:eastAsia="宋体" w:cs="宋体"/>
                <w:b/>
                <w:bCs/>
                <w:szCs w:val="21"/>
              </w:rPr>
              <w:t>活动主题</w:t>
            </w:r>
          </w:p>
        </w:tc>
        <w:tc>
          <w:tcPr>
            <w:tcW w:w="2894" w:type="dxa"/>
            <w:vAlign w:val="center"/>
          </w:tcPr>
          <w:p w14:paraId="6AF0C16D">
            <w:pPr>
              <w:jc w:val="center"/>
              <w:rPr>
                <w:rFonts w:hint="eastAsia" w:ascii="宋体" w:hAnsi="宋体" w:eastAsia="宋体" w:cs="宋体"/>
                <w:b/>
                <w:bCs/>
                <w:szCs w:val="21"/>
              </w:rPr>
            </w:pPr>
            <w:r>
              <w:rPr>
                <w:rFonts w:hint="eastAsia" w:ascii="宋体" w:hAnsi="宋体" w:eastAsia="宋体" w:cs="宋体"/>
                <w:b/>
                <w:bCs/>
                <w:szCs w:val="21"/>
              </w:rPr>
              <w:t>活动内容</w:t>
            </w:r>
          </w:p>
        </w:tc>
        <w:tc>
          <w:tcPr>
            <w:tcW w:w="2126" w:type="dxa"/>
            <w:vAlign w:val="center"/>
          </w:tcPr>
          <w:p w14:paraId="31396B88">
            <w:pPr>
              <w:jc w:val="center"/>
              <w:rPr>
                <w:rFonts w:hint="eastAsia" w:ascii="宋体" w:hAnsi="宋体" w:eastAsia="宋体" w:cs="宋体"/>
                <w:b/>
                <w:bCs/>
                <w:szCs w:val="21"/>
              </w:rPr>
            </w:pPr>
            <w:r>
              <w:rPr>
                <w:rFonts w:hint="eastAsia" w:ascii="宋体" w:hAnsi="宋体" w:eastAsia="宋体" w:cs="宋体"/>
                <w:b/>
                <w:bCs/>
                <w:szCs w:val="21"/>
              </w:rPr>
              <w:t>活动方式</w:t>
            </w:r>
          </w:p>
        </w:tc>
        <w:tc>
          <w:tcPr>
            <w:tcW w:w="2287" w:type="dxa"/>
            <w:vAlign w:val="center"/>
          </w:tcPr>
          <w:p w14:paraId="02DF20D8">
            <w:pPr>
              <w:jc w:val="center"/>
              <w:rPr>
                <w:rFonts w:hint="eastAsia" w:ascii="宋体" w:hAnsi="宋体" w:eastAsia="宋体" w:cs="宋体"/>
                <w:b/>
                <w:bCs/>
                <w:szCs w:val="21"/>
              </w:rPr>
            </w:pPr>
            <w:r>
              <w:rPr>
                <w:rFonts w:hint="eastAsia" w:ascii="宋体" w:hAnsi="宋体" w:eastAsia="宋体" w:cs="宋体"/>
                <w:b/>
                <w:bCs/>
                <w:szCs w:val="21"/>
              </w:rPr>
              <w:t>思政目标</w:t>
            </w:r>
          </w:p>
        </w:tc>
      </w:tr>
      <w:tr w14:paraId="046A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212" w:type="dxa"/>
            <w:vAlign w:val="center"/>
          </w:tcPr>
          <w:p w14:paraId="059611B9">
            <w:pPr>
              <w:jc w:val="center"/>
              <w:rPr>
                <w:rFonts w:hint="eastAsia" w:ascii="宋体" w:hAnsi="宋体" w:eastAsia="宋体" w:cs="宋体"/>
                <w:szCs w:val="21"/>
              </w:rPr>
            </w:pPr>
            <w:r>
              <w:rPr>
                <w:rFonts w:hint="eastAsia" w:ascii="宋体" w:hAnsi="宋体" w:eastAsia="宋体"/>
                <w:szCs w:val="21"/>
              </w:rPr>
              <w:t>用“逆向头脑风暴”挖掘社会痛点中的创业机遇</w:t>
            </w:r>
          </w:p>
        </w:tc>
        <w:tc>
          <w:tcPr>
            <w:tcW w:w="2894" w:type="dxa"/>
            <w:vAlign w:val="center"/>
          </w:tcPr>
          <w:p w14:paraId="69329FAD">
            <w:pPr>
              <w:widowControl/>
              <w:jc w:val="left"/>
              <w:rPr>
                <w:rFonts w:hint="eastAsia" w:ascii="宋体" w:hAnsi="宋体" w:eastAsia="宋体" w:cs="宋体"/>
                <w:kern w:val="0"/>
                <w:szCs w:val="21"/>
              </w:rPr>
            </w:pPr>
            <w:r>
              <w:rPr>
                <w:rStyle w:val="14"/>
                <w:rFonts w:hint="eastAsia" w:ascii="宋体" w:hAnsi="宋体" w:eastAsia="宋体" w:cs="微软雅黑"/>
                <w:b w:val="0"/>
                <w:bCs w:val="0"/>
                <w:szCs w:val="21"/>
              </w:rPr>
              <w:t>角色扮演</w:t>
            </w:r>
            <w:r>
              <w:rPr>
                <w:rFonts w:hint="eastAsia" w:ascii="宋体" w:hAnsi="宋体" w:eastAsia="宋体"/>
                <w:szCs w:val="21"/>
              </w:rPr>
              <w:t>：分组扮演“社区工作者”“大学生”“银发族”等角色，通过情景模拟发现未被满足的需求。</w:t>
            </w:r>
          </w:p>
          <w:p w14:paraId="562495E6">
            <w:pPr>
              <w:widowControl/>
              <w:jc w:val="left"/>
              <w:rPr>
                <w:rFonts w:hint="eastAsia" w:ascii="宋体" w:hAnsi="宋体" w:eastAsia="宋体"/>
                <w:szCs w:val="21"/>
              </w:rPr>
            </w:pPr>
            <w:r>
              <w:rPr>
                <w:rStyle w:val="14"/>
                <w:rFonts w:hint="eastAsia" w:ascii="宋体" w:hAnsi="宋体" w:eastAsia="宋体" w:cs="微软雅黑"/>
                <w:b w:val="0"/>
                <w:bCs w:val="0"/>
                <w:szCs w:val="21"/>
              </w:rPr>
              <w:t>案例分析</w:t>
            </w:r>
            <w:r>
              <w:rPr>
                <w:rFonts w:hint="eastAsia" w:ascii="宋体" w:hAnsi="宋体" w:eastAsia="宋体"/>
                <w:szCs w:val="21"/>
              </w:rPr>
              <w:t>：拆解“乡村快递最后一公里”等社会痛点型创业案例，提炼价值主张设计逻辑。</w:t>
            </w:r>
          </w:p>
          <w:p w14:paraId="54978187">
            <w:pPr>
              <w:widowControl/>
              <w:jc w:val="left"/>
              <w:rPr>
                <w:rFonts w:hint="eastAsia" w:ascii="宋体" w:hAnsi="宋体" w:eastAsia="宋体"/>
                <w:szCs w:val="21"/>
              </w:rPr>
            </w:pPr>
            <w:r>
              <w:rPr>
                <w:rStyle w:val="14"/>
                <w:rFonts w:hint="eastAsia" w:ascii="宋体" w:hAnsi="宋体" w:eastAsia="宋体" w:cs="微软雅黑"/>
                <w:b w:val="0"/>
                <w:bCs w:val="0"/>
                <w:szCs w:val="21"/>
              </w:rPr>
              <w:t>思政融合</w:t>
            </w:r>
            <w:r>
              <w:rPr>
                <w:rFonts w:hint="eastAsia" w:ascii="宋体" w:hAnsi="宋体" w:eastAsia="宋体"/>
                <w:szCs w:val="21"/>
              </w:rPr>
              <w:t>：结合“共同富裕”政策，讨论创业如何助力弱势群体赋能。</w:t>
            </w:r>
          </w:p>
        </w:tc>
        <w:tc>
          <w:tcPr>
            <w:tcW w:w="2126" w:type="dxa"/>
            <w:vAlign w:val="center"/>
          </w:tcPr>
          <w:p w14:paraId="5351043D">
            <w:pPr>
              <w:widowControl/>
              <w:jc w:val="left"/>
              <w:rPr>
                <w:rFonts w:hint="eastAsia" w:ascii="宋体" w:hAnsi="宋体" w:eastAsia="宋体" w:cs="宋体"/>
                <w:kern w:val="0"/>
                <w:szCs w:val="21"/>
              </w:rPr>
            </w:pPr>
            <w:r>
              <w:rPr>
                <w:rStyle w:val="14"/>
                <w:rFonts w:hint="eastAsia" w:ascii="宋体" w:hAnsi="宋体" w:eastAsia="宋体" w:cs="微软雅黑"/>
                <w:b w:val="0"/>
                <w:bCs w:val="0"/>
                <w:szCs w:val="21"/>
              </w:rPr>
              <w:t>工具</w:t>
            </w:r>
            <w:r>
              <w:rPr>
                <w:rFonts w:hint="eastAsia" w:ascii="宋体" w:hAnsi="宋体" w:eastAsia="宋体"/>
                <w:szCs w:val="21"/>
              </w:rPr>
              <w:t>：使用“问题树”工具梳理社会痛点，开展逆向头脑风暴（如“如何让老年人更难买到药？”）反向推导解决方案。</w:t>
            </w:r>
          </w:p>
          <w:p w14:paraId="661C7D16">
            <w:pPr>
              <w:widowControl/>
              <w:jc w:val="left"/>
              <w:rPr>
                <w:rFonts w:hint="eastAsia" w:ascii="宋体" w:hAnsi="宋体" w:eastAsia="宋体"/>
                <w:szCs w:val="21"/>
              </w:rPr>
            </w:pPr>
            <w:r>
              <w:rPr>
                <w:rStyle w:val="14"/>
                <w:rFonts w:hint="eastAsia" w:ascii="宋体" w:hAnsi="宋体" w:eastAsia="宋体" w:cs="微软雅黑"/>
                <w:b w:val="0"/>
                <w:bCs w:val="0"/>
                <w:szCs w:val="21"/>
              </w:rPr>
              <w:t>产出</w:t>
            </w:r>
            <w:r>
              <w:rPr>
                <w:rFonts w:hint="eastAsia" w:ascii="宋体" w:hAnsi="宋体" w:eastAsia="宋体"/>
                <w:szCs w:val="21"/>
              </w:rPr>
              <w:t>：每组提交《社会痛点创业机会分析报告》，需包含至少3个思政价值锚点（如“乡村振兴”“代际公平”）。</w:t>
            </w:r>
          </w:p>
        </w:tc>
        <w:tc>
          <w:tcPr>
            <w:tcW w:w="2287" w:type="dxa"/>
            <w:vAlign w:val="center"/>
          </w:tcPr>
          <w:p w14:paraId="6DF7A887">
            <w:pPr>
              <w:widowControl/>
              <w:jc w:val="left"/>
              <w:rPr>
                <w:rFonts w:hint="eastAsia" w:ascii="宋体" w:hAnsi="宋体" w:eastAsia="宋体" w:cs="宋体"/>
                <w:kern w:val="0"/>
                <w:szCs w:val="21"/>
              </w:rPr>
            </w:pPr>
            <w:r>
              <w:rPr>
                <w:rStyle w:val="14"/>
                <w:rFonts w:hint="eastAsia" w:ascii="宋体" w:hAnsi="宋体" w:eastAsia="宋体" w:cs="微软雅黑"/>
                <w:b w:val="0"/>
                <w:bCs w:val="0"/>
                <w:szCs w:val="21"/>
              </w:rPr>
              <w:t>树立</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以人民为中心</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的创业观</w:t>
            </w:r>
            <w:r>
              <w:rPr>
                <w:rFonts w:hint="eastAsia" w:ascii="宋体" w:hAnsi="宋体" w:eastAsia="宋体"/>
                <w:szCs w:val="21"/>
              </w:rPr>
              <w:t>，理解社会痛点与国家政策（如共同富裕、老龄化社会需求）的关联性。</w:t>
            </w:r>
          </w:p>
          <w:p w14:paraId="510946B1">
            <w:pPr>
              <w:widowControl/>
              <w:jc w:val="left"/>
              <w:rPr>
                <w:rFonts w:hint="eastAsia" w:ascii="宋体" w:hAnsi="宋体" w:eastAsia="宋体"/>
                <w:szCs w:val="21"/>
              </w:rPr>
            </w:pPr>
            <w:r>
              <w:rPr>
                <w:rStyle w:val="14"/>
                <w:rFonts w:hint="eastAsia" w:ascii="宋体" w:hAnsi="宋体" w:eastAsia="宋体" w:cs="微软雅黑"/>
                <w:b w:val="0"/>
                <w:bCs w:val="0"/>
                <w:szCs w:val="21"/>
              </w:rPr>
              <w:t>培养</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问题导向</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思维</w:t>
            </w:r>
            <w:r>
              <w:rPr>
                <w:rFonts w:hint="eastAsia" w:ascii="宋体" w:hAnsi="宋体" w:eastAsia="宋体"/>
                <w:szCs w:val="21"/>
              </w:rPr>
              <w:t>，将社会痛点转化为创业机会。</w:t>
            </w:r>
          </w:p>
          <w:p w14:paraId="6BE9D3AF">
            <w:pPr>
              <w:jc w:val="left"/>
              <w:rPr>
                <w:rFonts w:hint="eastAsia" w:ascii="宋体" w:hAnsi="宋体" w:eastAsia="宋体" w:cs="宋体"/>
                <w:szCs w:val="21"/>
              </w:rPr>
            </w:pPr>
          </w:p>
        </w:tc>
      </w:tr>
      <w:tr w14:paraId="046C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ECE970D">
            <w:pPr>
              <w:pStyle w:val="4"/>
              <w:spacing w:before="0" w:beforeAutospacing="0" w:after="0" w:afterAutospacing="0"/>
              <w:jc w:val="center"/>
              <w:rPr>
                <w:rFonts w:hint="eastAsia"/>
                <w:b w:val="0"/>
                <w:bCs w:val="0"/>
                <w:sz w:val="21"/>
                <w:szCs w:val="21"/>
              </w:rPr>
            </w:pPr>
            <w:r>
              <w:rPr>
                <w:rStyle w:val="14"/>
                <w:rFonts w:cs="Segoe UI"/>
                <w:b w:val="0"/>
                <w:bCs w:val="0"/>
                <w:sz w:val="21"/>
                <w:szCs w:val="21"/>
              </w:rPr>
              <w:t>团队熔炼——从“冲突”到“共创”</w:t>
            </w:r>
          </w:p>
        </w:tc>
        <w:tc>
          <w:tcPr>
            <w:tcW w:w="2894" w:type="dxa"/>
            <w:vAlign w:val="center"/>
          </w:tcPr>
          <w:p w14:paraId="2685914F">
            <w:pPr>
              <w:widowControl/>
              <w:jc w:val="left"/>
              <w:rPr>
                <w:rFonts w:hint="eastAsia" w:ascii="宋体" w:hAnsi="宋体" w:eastAsia="宋体" w:cs="宋体"/>
                <w:kern w:val="0"/>
                <w:szCs w:val="21"/>
              </w:rPr>
            </w:pPr>
            <w:r>
              <w:rPr>
                <w:rStyle w:val="14"/>
                <w:rFonts w:hint="eastAsia" w:ascii="宋体" w:hAnsi="宋体" w:eastAsia="宋体" w:cs="微软雅黑"/>
                <w:b w:val="0"/>
                <w:bCs w:val="0"/>
                <w:szCs w:val="21"/>
              </w:rPr>
              <w:t>角色扮演</w:t>
            </w:r>
            <w:r>
              <w:rPr>
                <w:rFonts w:hint="eastAsia" w:ascii="宋体" w:hAnsi="宋体" w:eastAsia="宋体"/>
                <w:szCs w:val="21"/>
              </w:rPr>
              <w:t>：分组模拟“技术大牛+营销达人+资金方”团队，围绕股权分配、品牌价值观冲突展开辩论。</w:t>
            </w:r>
          </w:p>
          <w:p w14:paraId="6D245764">
            <w:pPr>
              <w:widowControl/>
              <w:jc w:val="left"/>
              <w:rPr>
                <w:rFonts w:hint="eastAsia" w:ascii="宋体" w:hAnsi="宋体" w:eastAsia="宋体"/>
                <w:szCs w:val="21"/>
              </w:rPr>
            </w:pPr>
            <w:r>
              <w:rPr>
                <w:rStyle w:val="14"/>
                <w:rFonts w:hint="eastAsia" w:ascii="宋体" w:hAnsi="宋体" w:eastAsia="宋体" w:cs="微软雅黑"/>
                <w:b w:val="0"/>
                <w:bCs w:val="0"/>
                <w:szCs w:val="21"/>
              </w:rPr>
              <w:t>小组合作</w:t>
            </w:r>
            <w:r>
              <w:rPr>
                <w:rFonts w:hint="eastAsia" w:ascii="宋体" w:hAnsi="宋体" w:eastAsia="宋体"/>
                <w:szCs w:val="21"/>
              </w:rPr>
              <w:t>：设计《团队冲突解决机制手册》，需包含沟通协议、伦理准则条款。</w:t>
            </w:r>
          </w:p>
          <w:p w14:paraId="26399369">
            <w:pPr>
              <w:widowControl/>
              <w:jc w:val="left"/>
              <w:rPr>
                <w:rFonts w:hint="eastAsia" w:ascii="宋体" w:hAnsi="宋体" w:eastAsia="宋体"/>
                <w:szCs w:val="21"/>
              </w:rPr>
            </w:pPr>
            <w:r>
              <w:rPr>
                <w:rStyle w:val="14"/>
                <w:rFonts w:hint="eastAsia" w:ascii="宋体" w:hAnsi="宋体" w:eastAsia="宋体" w:cs="微软雅黑"/>
                <w:b w:val="0"/>
                <w:bCs w:val="0"/>
                <w:szCs w:val="21"/>
              </w:rPr>
              <w:t>思政融合</w:t>
            </w:r>
            <w:r>
              <w:rPr>
                <w:rFonts w:hint="eastAsia" w:ascii="宋体" w:hAnsi="宋体" w:eastAsia="宋体"/>
                <w:szCs w:val="21"/>
              </w:rPr>
              <w:t>：引入“红船精神”中的团队协作案例，讨论利益与使命的平衡。</w:t>
            </w:r>
          </w:p>
        </w:tc>
        <w:tc>
          <w:tcPr>
            <w:tcW w:w="2126" w:type="dxa"/>
            <w:vAlign w:val="center"/>
          </w:tcPr>
          <w:p w14:paraId="09D8F532">
            <w:pPr>
              <w:widowControl/>
              <w:jc w:val="left"/>
              <w:rPr>
                <w:rFonts w:hint="eastAsia" w:ascii="宋体" w:hAnsi="宋体" w:eastAsia="宋体" w:cs="宋体"/>
                <w:kern w:val="0"/>
                <w:szCs w:val="21"/>
              </w:rPr>
            </w:pPr>
            <w:r>
              <w:rPr>
                <w:rStyle w:val="14"/>
                <w:rFonts w:hint="eastAsia" w:ascii="宋体" w:hAnsi="宋体" w:eastAsia="宋体" w:cs="微软雅黑"/>
                <w:b w:val="0"/>
                <w:bCs w:val="0"/>
                <w:szCs w:val="21"/>
              </w:rPr>
              <w:t>工具</w:t>
            </w:r>
            <w:r>
              <w:rPr>
                <w:rFonts w:hint="eastAsia" w:ascii="宋体" w:hAnsi="宋体" w:eastAsia="宋体"/>
                <w:szCs w:val="21"/>
              </w:rPr>
              <w:t>：使用“SWOT分析”评估团队组合，通过“世界咖啡”模式轮换角色视角。</w:t>
            </w:r>
          </w:p>
          <w:p w14:paraId="63432EAB">
            <w:pPr>
              <w:widowControl/>
              <w:jc w:val="left"/>
              <w:rPr>
                <w:rFonts w:hint="eastAsia" w:ascii="宋体" w:hAnsi="宋体" w:eastAsia="宋体"/>
                <w:szCs w:val="21"/>
              </w:rPr>
            </w:pPr>
            <w:r>
              <w:rPr>
                <w:rStyle w:val="14"/>
                <w:rFonts w:hint="eastAsia" w:ascii="宋体" w:hAnsi="宋体" w:eastAsia="宋体" w:cs="微软雅黑"/>
                <w:b w:val="0"/>
                <w:bCs w:val="0"/>
                <w:szCs w:val="21"/>
              </w:rPr>
              <w:t>产出</w:t>
            </w:r>
            <w:r>
              <w:rPr>
                <w:rFonts w:hint="eastAsia" w:ascii="宋体" w:hAnsi="宋体" w:eastAsia="宋体"/>
                <w:szCs w:val="21"/>
              </w:rPr>
              <w:t>：角色扮演视频记录+《团队伦理决策案例集》。</w:t>
            </w:r>
          </w:p>
        </w:tc>
        <w:tc>
          <w:tcPr>
            <w:tcW w:w="2287" w:type="dxa"/>
            <w:vAlign w:val="center"/>
          </w:tcPr>
          <w:p w14:paraId="2362361B">
            <w:pPr>
              <w:widowControl/>
              <w:jc w:val="left"/>
              <w:rPr>
                <w:rFonts w:hint="eastAsia" w:ascii="宋体" w:hAnsi="宋体" w:eastAsia="宋体" w:cs="宋体"/>
                <w:kern w:val="0"/>
                <w:szCs w:val="21"/>
              </w:rPr>
            </w:pPr>
            <w:r>
              <w:rPr>
                <w:rStyle w:val="14"/>
                <w:rFonts w:hint="eastAsia" w:ascii="宋体" w:hAnsi="宋体" w:eastAsia="宋体" w:cs="微软雅黑"/>
                <w:b w:val="0"/>
                <w:bCs w:val="0"/>
                <w:szCs w:val="21"/>
              </w:rPr>
              <w:t>强化</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集体主义</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精神</w:t>
            </w:r>
            <w:r>
              <w:rPr>
                <w:rFonts w:hint="eastAsia" w:ascii="宋体" w:hAnsi="宋体" w:eastAsia="宋体"/>
                <w:szCs w:val="21"/>
              </w:rPr>
              <w:t>，理解创业中个人利益与团队目标的辩证关系。</w:t>
            </w:r>
          </w:p>
          <w:p w14:paraId="09C27770">
            <w:pPr>
              <w:widowControl/>
              <w:jc w:val="left"/>
              <w:rPr>
                <w:rFonts w:hint="eastAsia" w:ascii="宋体" w:hAnsi="宋体" w:eastAsia="宋体"/>
                <w:szCs w:val="21"/>
              </w:rPr>
            </w:pPr>
            <w:r>
              <w:rPr>
                <w:rStyle w:val="14"/>
                <w:rFonts w:hint="eastAsia" w:ascii="宋体" w:hAnsi="宋体" w:eastAsia="宋体" w:cs="微软雅黑"/>
                <w:b w:val="0"/>
                <w:bCs w:val="0"/>
                <w:szCs w:val="21"/>
              </w:rPr>
              <w:t>建立</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诚信、共赢</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的团队伦理观</w:t>
            </w:r>
            <w:r>
              <w:rPr>
                <w:rFonts w:hint="eastAsia" w:ascii="宋体" w:hAnsi="宋体" w:eastAsia="宋体"/>
                <w:szCs w:val="21"/>
              </w:rPr>
              <w:t>，在冲突中寻求价值共识。</w:t>
            </w:r>
          </w:p>
        </w:tc>
      </w:tr>
      <w:tr w14:paraId="426D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AC40C08">
            <w:pPr>
              <w:jc w:val="center"/>
              <w:rPr>
                <w:rFonts w:hint="eastAsia" w:ascii="宋体" w:hAnsi="宋体" w:eastAsia="宋体" w:cs="宋体"/>
                <w:szCs w:val="21"/>
              </w:rPr>
            </w:pPr>
            <w:r>
              <w:rPr>
                <w:rFonts w:hint="eastAsia" w:ascii="宋体" w:hAnsi="宋体" w:eastAsia="宋体"/>
                <w:szCs w:val="21"/>
              </w:rPr>
              <w:t>路演实战：用“家国情怀”打动投资人</w:t>
            </w:r>
          </w:p>
        </w:tc>
        <w:tc>
          <w:tcPr>
            <w:tcW w:w="2894" w:type="dxa"/>
            <w:vAlign w:val="center"/>
          </w:tcPr>
          <w:p w14:paraId="2E0E6CCB">
            <w:pPr>
              <w:widowControl/>
              <w:jc w:val="left"/>
              <w:rPr>
                <w:rFonts w:hint="eastAsia" w:ascii="宋体" w:hAnsi="宋体" w:eastAsia="宋体" w:cs="宋体"/>
                <w:kern w:val="0"/>
                <w:szCs w:val="21"/>
              </w:rPr>
            </w:pPr>
            <w:r>
              <w:rPr>
                <w:rStyle w:val="14"/>
                <w:rFonts w:hint="eastAsia" w:ascii="宋体" w:hAnsi="宋体" w:eastAsia="宋体" w:cs="微软雅黑"/>
                <w:b w:val="0"/>
                <w:bCs w:val="0"/>
                <w:szCs w:val="21"/>
              </w:rPr>
              <w:t>头脑风暴</w:t>
            </w:r>
            <w:r>
              <w:rPr>
                <w:rFonts w:hint="eastAsia" w:ascii="宋体" w:hAnsi="宋体" w:eastAsia="宋体"/>
                <w:szCs w:val="21"/>
              </w:rPr>
              <w:t>：设计“乡村振兴+科技赋能”主题项目，如AI农业监测系统。</w:t>
            </w:r>
          </w:p>
          <w:p w14:paraId="7A707212">
            <w:pPr>
              <w:widowControl/>
              <w:jc w:val="left"/>
              <w:rPr>
                <w:rFonts w:hint="eastAsia" w:ascii="宋体" w:hAnsi="宋体" w:eastAsia="宋体"/>
                <w:szCs w:val="21"/>
              </w:rPr>
            </w:pPr>
            <w:r>
              <w:rPr>
                <w:rStyle w:val="14"/>
                <w:rFonts w:hint="eastAsia" w:ascii="宋体" w:hAnsi="宋体" w:eastAsia="宋体" w:cs="微软雅黑"/>
                <w:b w:val="0"/>
                <w:bCs w:val="0"/>
                <w:szCs w:val="21"/>
              </w:rPr>
              <w:t>路演汇报</w:t>
            </w:r>
            <w:r>
              <w:rPr>
                <w:rFonts w:hint="eastAsia" w:ascii="宋体" w:hAnsi="宋体" w:eastAsia="宋体"/>
                <w:szCs w:val="21"/>
              </w:rPr>
              <w:t>：模拟投资人提问环节，重点考核社会价值表达（如“项目如何助力碳中和？”）。</w:t>
            </w:r>
          </w:p>
          <w:p w14:paraId="46D523EF">
            <w:pPr>
              <w:widowControl/>
              <w:jc w:val="left"/>
              <w:rPr>
                <w:rFonts w:hint="eastAsia" w:ascii="宋体" w:hAnsi="宋体" w:eastAsia="宋体"/>
                <w:szCs w:val="21"/>
              </w:rPr>
            </w:pPr>
            <w:r>
              <w:rPr>
                <w:rStyle w:val="14"/>
                <w:rFonts w:hint="eastAsia" w:ascii="宋体" w:hAnsi="宋体" w:eastAsia="宋体" w:cs="微软雅黑"/>
                <w:b w:val="0"/>
                <w:bCs w:val="0"/>
                <w:szCs w:val="21"/>
              </w:rPr>
              <w:t>思政融合</w:t>
            </w:r>
            <w:r>
              <w:rPr>
                <w:rFonts w:hint="eastAsia" w:ascii="宋体" w:hAnsi="宋体" w:eastAsia="宋体"/>
                <w:szCs w:val="21"/>
              </w:rPr>
              <w:t>：分析“华为芯片突围”等案例，讨论技术创业的国产替代使命。</w:t>
            </w:r>
          </w:p>
        </w:tc>
        <w:tc>
          <w:tcPr>
            <w:tcW w:w="2126" w:type="dxa"/>
            <w:vAlign w:val="center"/>
          </w:tcPr>
          <w:p w14:paraId="79D06A5A">
            <w:pPr>
              <w:widowControl/>
              <w:jc w:val="left"/>
              <w:rPr>
                <w:rFonts w:hint="eastAsia" w:ascii="宋体" w:hAnsi="宋体" w:eastAsia="宋体" w:cs="宋体"/>
                <w:kern w:val="0"/>
                <w:szCs w:val="21"/>
              </w:rPr>
            </w:pPr>
            <w:r>
              <w:rPr>
                <w:rStyle w:val="14"/>
                <w:rFonts w:hint="eastAsia" w:ascii="宋体" w:hAnsi="宋体" w:eastAsia="宋体" w:cs="微软雅黑"/>
                <w:b w:val="0"/>
                <w:bCs w:val="0"/>
                <w:szCs w:val="21"/>
              </w:rPr>
              <w:t>工具</w:t>
            </w:r>
            <w:r>
              <w:rPr>
                <w:rFonts w:hint="eastAsia" w:ascii="宋体" w:hAnsi="宋体" w:eastAsia="宋体"/>
                <w:szCs w:val="21"/>
              </w:rPr>
              <w:t>：使用“商业模式画布”搭建项目框架，融入ESG（环境、社会、治理）指标。</w:t>
            </w:r>
          </w:p>
          <w:p w14:paraId="4B8CF96D">
            <w:pPr>
              <w:widowControl/>
              <w:jc w:val="left"/>
              <w:rPr>
                <w:rFonts w:hint="eastAsia" w:ascii="宋体" w:hAnsi="宋体" w:eastAsia="宋体"/>
                <w:szCs w:val="21"/>
              </w:rPr>
            </w:pPr>
            <w:r>
              <w:rPr>
                <w:rStyle w:val="14"/>
                <w:rFonts w:hint="eastAsia" w:ascii="宋体" w:hAnsi="宋体" w:eastAsia="宋体" w:cs="微软雅黑"/>
                <w:b w:val="0"/>
                <w:bCs w:val="0"/>
                <w:szCs w:val="21"/>
              </w:rPr>
              <w:t>产出</w:t>
            </w:r>
            <w:r>
              <w:rPr>
                <w:rFonts w:hint="eastAsia" w:ascii="宋体" w:hAnsi="宋体" w:eastAsia="宋体"/>
                <w:szCs w:val="21"/>
              </w:rPr>
              <w:t>：8分钟路演视频+《项目社会影响力评估报告》。</w:t>
            </w:r>
          </w:p>
        </w:tc>
        <w:tc>
          <w:tcPr>
            <w:tcW w:w="2287" w:type="dxa"/>
            <w:vAlign w:val="center"/>
          </w:tcPr>
          <w:p w14:paraId="7A49B8D0">
            <w:pPr>
              <w:widowControl/>
              <w:jc w:val="left"/>
              <w:rPr>
                <w:rFonts w:hint="eastAsia" w:ascii="宋体" w:hAnsi="宋体" w:eastAsia="宋体" w:cs="宋体"/>
                <w:kern w:val="0"/>
                <w:szCs w:val="21"/>
              </w:rPr>
            </w:pPr>
            <w:r>
              <w:rPr>
                <w:rStyle w:val="14"/>
                <w:rFonts w:hint="eastAsia" w:ascii="宋体" w:hAnsi="宋体" w:eastAsia="宋体" w:cs="微软雅黑"/>
                <w:b w:val="0"/>
                <w:bCs w:val="0"/>
                <w:szCs w:val="21"/>
              </w:rPr>
              <w:t>践行</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科技报国</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使命</w:t>
            </w:r>
            <w:r>
              <w:rPr>
                <w:rFonts w:hint="eastAsia" w:ascii="宋体" w:hAnsi="宋体" w:eastAsia="宋体"/>
                <w:szCs w:val="21"/>
              </w:rPr>
              <w:t>，将技术创业与国家战略需求结合。</w:t>
            </w:r>
          </w:p>
          <w:p w14:paraId="79440B2E">
            <w:pPr>
              <w:widowControl/>
              <w:jc w:val="left"/>
              <w:rPr>
                <w:rFonts w:hint="eastAsia" w:ascii="宋体" w:hAnsi="宋体" w:eastAsia="宋体"/>
                <w:szCs w:val="21"/>
              </w:rPr>
            </w:pPr>
            <w:r>
              <w:rPr>
                <w:rStyle w:val="14"/>
                <w:rFonts w:hint="eastAsia" w:ascii="宋体" w:hAnsi="宋体" w:eastAsia="宋体" w:cs="微软雅黑"/>
                <w:b w:val="0"/>
                <w:bCs w:val="0"/>
                <w:szCs w:val="21"/>
              </w:rPr>
              <w:t>理解</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创新驱动发展</w:t>
            </w:r>
            <w:r>
              <w:rPr>
                <w:rStyle w:val="14"/>
                <w:rFonts w:ascii="宋体" w:hAnsi="宋体" w:eastAsia="宋体" w:cs="Segoe UI"/>
                <w:b w:val="0"/>
                <w:bCs w:val="0"/>
                <w:szCs w:val="21"/>
              </w:rPr>
              <w:t>”</w:t>
            </w:r>
            <w:r>
              <w:rPr>
                <w:rStyle w:val="14"/>
                <w:rFonts w:hint="eastAsia" w:ascii="宋体" w:hAnsi="宋体" w:eastAsia="宋体" w:cs="微软雅黑"/>
                <w:b w:val="0"/>
                <w:bCs w:val="0"/>
                <w:szCs w:val="21"/>
              </w:rPr>
              <w:t>的创业逻辑</w:t>
            </w:r>
            <w:r>
              <w:rPr>
                <w:rFonts w:hint="eastAsia" w:ascii="宋体" w:hAnsi="宋体" w:eastAsia="宋体"/>
                <w:szCs w:val="21"/>
              </w:rPr>
              <w:t>，在硬科技中注入家国情怀。</w:t>
            </w:r>
          </w:p>
        </w:tc>
      </w:tr>
    </w:tbl>
    <w:p w14:paraId="0B7FE8C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45112627">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3DF1918A">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1.开课前组织任课教师开展师资培训，邀请校外专家分享创新创业教育领域最新的研究热 点，分学科选择教师代表分组讨论与交流教学经验，不断提高教学质量。另外，根据学生平 时的形成性考核和期末课程考核大作业以及学生、教学督导的反馈，及时改进教学中的不足 之处，并在下一轮课程教学中完善，确保达成相应毕业要求指标点。</w:t>
      </w:r>
    </w:p>
    <w:p w14:paraId="77694022">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2.引用的项目案例紧贴应用型地方高校特别是本校学生创新创业的亲身经历，使创新创业 更鲜活、更典型、更接地气，更有浓郁的地方特色。</w:t>
      </w:r>
    </w:p>
    <w:p w14:paraId="1BCE52DD">
      <w:pPr>
        <w:spacing w:line="360"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3.进一步丰富课程资源，形成以中国国际大学生创新大赛、“挑战杯”竞赛等重大赛事为 标志的“课-学-教-赛-创-产”多层次一体化的课程资源。</w:t>
      </w:r>
    </w:p>
    <w:p w14:paraId="554D9B29">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1D465A8C">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创新思维与创业实践，吕敏、张弘、赵军主编，上海交通大学出版社，2025 年 1 月</w:t>
      </w:r>
    </w:p>
    <w:p w14:paraId="2F0C80DB">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DB81CCA">
      <w:pPr>
        <w:spacing w:line="360" w:lineRule="auto"/>
        <w:ind w:firstLine="420" w:firstLineChars="200"/>
        <w:rPr>
          <w:rFonts w:hint="eastAsia" w:ascii="宋体" w:hAnsi="宋体" w:eastAsia="宋体"/>
        </w:rPr>
      </w:pPr>
      <w:r>
        <w:rPr>
          <w:rFonts w:ascii="宋体" w:hAnsi="宋体" w:eastAsia="宋体"/>
        </w:rPr>
        <w:t>(1)倪志伟. 自下而上的变革：中国的市场化转型[M].北京：北京大学出版社，2019.</w:t>
      </w:r>
    </w:p>
    <w:p w14:paraId="6B3532F1">
      <w:pPr>
        <w:spacing w:line="360" w:lineRule="auto"/>
        <w:ind w:firstLine="420" w:firstLineChars="200"/>
        <w:rPr>
          <w:rFonts w:hint="eastAsia" w:ascii="宋体" w:hAnsi="宋体" w:eastAsia="宋体"/>
        </w:rPr>
      </w:pPr>
      <w:r>
        <w:rPr>
          <w:rFonts w:ascii="宋体" w:hAnsi="宋体" w:eastAsia="宋体"/>
        </w:rPr>
        <w:t>(2)王艳茹，金镭.新时代大学生创新与创业教程[M].北京：中国传媒大学出版社，2023.</w:t>
      </w:r>
    </w:p>
    <w:p w14:paraId="72F04547">
      <w:pPr>
        <w:spacing w:line="360" w:lineRule="auto"/>
        <w:ind w:firstLine="420" w:firstLineChars="200"/>
        <w:rPr>
          <w:rFonts w:hint="eastAsia" w:ascii="宋体" w:hAnsi="宋体" w:eastAsia="宋体"/>
        </w:rPr>
      </w:pPr>
      <w:r>
        <w:rPr>
          <w:rFonts w:ascii="宋体" w:hAnsi="宋体" w:eastAsia="宋体"/>
        </w:rPr>
        <w:t>(3)李宝斌.大学生创新创业实务教程[M]. 上海：上海科学技术出版社，2024.</w:t>
      </w:r>
    </w:p>
    <w:p w14:paraId="069EAD35">
      <w:pPr>
        <w:spacing w:line="360" w:lineRule="auto"/>
        <w:ind w:firstLine="420" w:firstLineChars="200"/>
        <w:rPr>
          <w:rFonts w:hint="eastAsia" w:ascii="宋体" w:hAnsi="宋体" w:eastAsia="宋体"/>
        </w:rPr>
      </w:pPr>
      <w:r>
        <w:rPr>
          <w:rFonts w:ascii="宋体" w:hAnsi="宋体" w:eastAsia="宋体"/>
        </w:rPr>
        <w:t>(4)李家华，林洪冰.大学生创新创业创造教程[M].湖南：湖南科学技术出版社，2022.</w:t>
      </w:r>
    </w:p>
    <w:p w14:paraId="106779D6">
      <w:pPr>
        <w:spacing w:line="360" w:lineRule="auto"/>
        <w:ind w:firstLine="420" w:firstLineChars="200"/>
        <w:rPr>
          <w:rFonts w:hint="eastAsia" w:ascii="宋体" w:hAnsi="宋体" w:eastAsia="宋体"/>
        </w:rPr>
      </w:pPr>
      <w:r>
        <w:rPr>
          <w:rFonts w:ascii="宋体" w:hAnsi="宋体" w:eastAsia="宋体"/>
        </w:rPr>
        <w:t>(5)黄萧萧.创新创业创未来[M].四川：电子科技大学出版社，2020.</w:t>
      </w:r>
    </w:p>
    <w:p w14:paraId="6CB9C754">
      <w:pPr>
        <w:spacing w:line="360" w:lineRule="auto"/>
        <w:ind w:firstLine="420" w:firstLineChars="200"/>
        <w:rPr>
          <w:rFonts w:hint="eastAsia" w:ascii="宋体" w:hAnsi="宋体" w:eastAsia="宋体"/>
        </w:rPr>
      </w:pPr>
      <w:r>
        <w:rPr>
          <w:rFonts w:ascii="宋体" w:hAnsi="宋体" w:eastAsia="宋体"/>
        </w:rPr>
        <w:t>(6)吕敏，李荧，金卫东.大学生创业基础教程[M].南京：南京大学出版社，2021.</w:t>
      </w:r>
    </w:p>
    <w:p w14:paraId="2E20D163">
      <w:pPr>
        <w:spacing w:line="360" w:lineRule="auto"/>
        <w:ind w:firstLine="420" w:firstLineChars="200"/>
        <w:rPr>
          <w:rFonts w:hint="eastAsia" w:ascii="宋体" w:hAnsi="宋体" w:eastAsia="宋体"/>
        </w:rPr>
      </w:pPr>
      <w:r>
        <w:rPr>
          <w:rFonts w:ascii="宋体" w:hAnsi="宋体" w:eastAsia="宋体"/>
        </w:rPr>
        <w:t>(7)陈功，郭杰，刘芝怡，赵麟. 电类专业大学生创新实践培训教程[M].南京：东南大学 出版社，2021.</w:t>
      </w:r>
    </w:p>
    <w:p w14:paraId="3C0D7DC9">
      <w:pPr>
        <w:spacing w:line="360" w:lineRule="auto"/>
        <w:ind w:firstLine="420" w:firstLineChars="200"/>
        <w:rPr>
          <w:rFonts w:hint="eastAsia" w:ascii="宋体" w:hAnsi="宋体" w:eastAsia="宋体"/>
        </w:rPr>
      </w:pPr>
      <w:r>
        <w:rPr>
          <w:rFonts w:ascii="宋体" w:hAnsi="宋体" w:eastAsia="宋体"/>
        </w:rPr>
        <w:t>(8)韩炜，杨俊，叶竹馨.数字经济时代的创业前沿系列-商业模式创新实践的网络基础 与理论挑战[M].北京：科学出版社，2024.</w:t>
      </w:r>
    </w:p>
    <w:p w14:paraId="6C9F520C">
      <w:pPr>
        <w:spacing w:line="360" w:lineRule="auto"/>
        <w:ind w:firstLine="420" w:firstLineChars="200"/>
        <w:rPr>
          <w:rFonts w:hint="eastAsia" w:ascii="宋体" w:hAnsi="宋体" w:eastAsia="宋体"/>
        </w:rPr>
      </w:pPr>
      <w:r>
        <w:rPr>
          <w:rFonts w:ascii="宋体" w:hAnsi="宋体" w:eastAsia="宋体"/>
        </w:rPr>
        <w:t>(9)宫春艳.大学生创新创业能力提升实践教程[M]. 北京：清华大学出版社，2023.</w:t>
      </w:r>
    </w:p>
    <w:p w14:paraId="371B81E2">
      <w:pPr>
        <w:spacing w:line="360" w:lineRule="auto"/>
        <w:ind w:firstLine="420" w:firstLineChars="200"/>
        <w:rPr>
          <w:rFonts w:hint="eastAsia" w:ascii="宋体" w:hAnsi="宋体" w:eastAsia="宋体"/>
        </w:rPr>
      </w:pPr>
      <w:r>
        <w:rPr>
          <w:rFonts w:ascii="宋体" w:hAnsi="宋体" w:eastAsia="宋体"/>
        </w:rPr>
        <w:t>(10)陈建校.创新创业典型案例分析[M].北京：机械工业出版社，2022.</w:t>
      </w:r>
    </w:p>
    <w:p w14:paraId="355287C1">
      <w:pPr>
        <w:spacing w:line="360" w:lineRule="auto"/>
        <w:ind w:firstLine="420" w:firstLineChars="200"/>
        <w:rPr>
          <w:rFonts w:hint="eastAsia" w:ascii="宋体" w:hAnsi="宋体" w:eastAsia="宋体"/>
        </w:rPr>
      </w:pPr>
      <w:r>
        <w:rPr>
          <w:rFonts w:ascii="宋体" w:hAnsi="宋体" w:eastAsia="宋体"/>
        </w:rPr>
        <w:t>(11)(美)蒂莫西·克拉克 (TIM CLARK),  (美)布鲁斯 · 黑曾 (BRUCE HAZEN), (瑞士)亚历山大 · 奥斯特瓦德 (ALEXANDER OSTERWALDER), (比利时)伊夫 · 皮尼 厄 (YVES       PIGNEUR),  (加拿大)艾伦 · 史密斯 (ALAN  SMITH)著;  贺芳芳，杜军译.商业模式新生代个人篇-一张画布重塑你的职业生涯第2版[M].北京：人民邮电出版社，2023.</w:t>
      </w:r>
    </w:p>
    <w:p w14:paraId="3A2EC9FC">
      <w:pPr>
        <w:spacing w:line="360" w:lineRule="auto"/>
        <w:ind w:firstLine="420" w:firstLineChars="200"/>
        <w:rPr>
          <w:rFonts w:hint="eastAsia" w:ascii="宋体" w:hAnsi="宋体" w:eastAsia="宋体"/>
        </w:rPr>
      </w:pPr>
      <w:r>
        <w:rPr>
          <w:rFonts w:ascii="宋体" w:hAnsi="宋体" w:eastAsia="宋体"/>
        </w:rPr>
        <w:t>(12)方奇凤，向永胜.商业模式创新的动因、路径与类型：理论回顾与整合分析框架[J]</w:t>
      </w:r>
      <w:r>
        <w:rPr>
          <w:rFonts w:hint="eastAsia"/>
        </w:rPr>
        <w:t>，</w:t>
      </w:r>
      <w:r>
        <w:rPr>
          <w:rFonts w:ascii="宋体" w:hAnsi="宋体" w:eastAsia="宋体"/>
        </w:rPr>
        <w:t>企业经济，2022,(10):76.</w:t>
      </w:r>
    </w:p>
    <w:p w14:paraId="30079E57">
      <w:pPr>
        <w:spacing w:line="360" w:lineRule="auto"/>
        <w:ind w:firstLine="420" w:firstLineChars="200"/>
      </w:pPr>
    </w:p>
    <w:p w14:paraId="2F52489F"/>
    <w:p w14:paraId="02B8CD83">
      <w:pPr>
        <w:spacing w:line="360" w:lineRule="auto"/>
        <w:ind w:firstLine="5250" w:firstLineChars="2500"/>
        <w:jc w:val="center"/>
        <w:rPr>
          <w:rFonts w:ascii="Times New Roman" w:hAnsi="Times New Roman" w:eastAsia="宋体" w:cs="Times New Roman"/>
          <w:szCs w:val="21"/>
        </w:rPr>
      </w:pPr>
      <w:r>
        <w:rPr>
          <w:rFonts w:hint="eastAsia" w:ascii="Times New Roman" w:hAnsi="Times New Roman" w:eastAsia="宋体" w:cs="Times New Roman"/>
          <w:szCs w:val="21"/>
        </w:rPr>
        <w:t xml:space="preserve">           执 笔 人：</w:t>
      </w:r>
      <w:r>
        <w:rPr>
          <w:rFonts w:ascii="Times New Roman" w:hAnsi="Times New Roman" w:eastAsia="宋体" w:cs="Times New Roman"/>
          <w:szCs w:val="21"/>
        </w:rPr>
        <w:t xml:space="preserve">吕 </w:t>
      </w:r>
      <w:r>
        <w:rPr>
          <w:rFonts w:hint="eastAsia" w:ascii="Times New Roman" w:hAnsi="Times New Roman" w:eastAsia="宋体" w:cs="Times New Roman"/>
          <w:szCs w:val="21"/>
        </w:rPr>
        <w:t xml:space="preserve"> </w:t>
      </w:r>
      <w:r>
        <w:rPr>
          <w:rFonts w:ascii="Times New Roman" w:hAnsi="Times New Roman" w:eastAsia="宋体" w:cs="Times New Roman"/>
          <w:szCs w:val="21"/>
        </w:rPr>
        <w:t>敏</w:t>
      </w:r>
    </w:p>
    <w:p w14:paraId="06B0D497">
      <w:pPr>
        <w:wordWrap w:val="0"/>
        <w:spacing w:line="360" w:lineRule="auto"/>
        <w:ind w:firstLine="5250" w:firstLineChars="2500"/>
        <w:jc w:val="right"/>
        <w:rPr>
          <w:rFonts w:ascii="Times New Roman" w:hAnsi="Times New Roman" w:eastAsia="宋体" w:cs="Times New Roman"/>
          <w:szCs w:val="21"/>
        </w:rPr>
      </w:pPr>
      <w:r>
        <w:rPr>
          <w:rFonts w:hint="eastAsia" w:ascii="Times New Roman" w:hAnsi="Times New Roman" w:eastAsia="宋体" w:cs="Times New Roman"/>
          <w:szCs w:val="21"/>
        </w:rPr>
        <w:t xml:space="preserve">审 定 人：王  健 </w:t>
      </w:r>
    </w:p>
    <w:p w14:paraId="48D84899">
      <w:pPr>
        <w:spacing w:line="360" w:lineRule="auto"/>
        <w:ind w:firstLine="5250" w:firstLineChars="2500"/>
        <w:jc w:val="right"/>
        <w:rPr>
          <w:rFonts w:ascii="Times New Roman" w:hAnsi="Times New Roman" w:eastAsia="宋体" w:cs="Times New Roman"/>
          <w:szCs w:val="21"/>
        </w:rPr>
      </w:pPr>
      <w:r>
        <w:rPr>
          <w:rFonts w:hint="eastAsia" w:ascii="Times New Roman" w:hAnsi="Times New Roman" w:eastAsia="宋体" w:cs="Times New Roman"/>
          <w:szCs w:val="21"/>
        </w:rPr>
        <w:t>审 批 人：张志欣</w:t>
      </w:r>
    </w:p>
    <w:p w14:paraId="2C65F8B4">
      <w:pPr>
        <w:spacing w:line="360" w:lineRule="auto"/>
        <w:ind w:firstLine="5250" w:firstLineChars="2500"/>
        <w:jc w:val="right"/>
        <w:rPr>
          <w:rFonts w:ascii="Times New Roman" w:hAnsi="Times New Roman" w:eastAsia="宋体" w:cs="Times New Roman"/>
          <w:szCs w:val="21"/>
        </w:rPr>
      </w:pPr>
      <w:r>
        <w:rPr>
          <w:rFonts w:hint="eastAsia" w:ascii="Times New Roman" w:hAnsi="Times New Roman" w:eastAsia="宋体" w:cs="Times New Roman"/>
          <w:szCs w:val="21"/>
        </w:rPr>
        <w:t>批准时间： 202</w:t>
      </w:r>
      <w:r>
        <w:rPr>
          <w:rFonts w:ascii="Times New Roman" w:hAnsi="Times New Roman" w:eastAsia="宋体" w:cs="Times New Roman"/>
          <w:szCs w:val="21"/>
        </w:rPr>
        <w:t>4年</w:t>
      </w:r>
      <w:r>
        <w:rPr>
          <w:rFonts w:hint="eastAsia" w:ascii="Times New Roman" w:hAnsi="Times New Roman" w:eastAsia="宋体" w:cs="Times New Roman"/>
          <w:szCs w:val="21"/>
        </w:rPr>
        <w:t xml:space="preserve"> </w:t>
      </w:r>
      <w:r>
        <w:rPr>
          <w:rFonts w:ascii="Times New Roman" w:hAnsi="Times New Roman" w:eastAsia="宋体" w:cs="Times New Roman"/>
          <w:szCs w:val="21"/>
        </w:rPr>
        <w:t>8月30</w:t>
      </w:r>
      <w:r>
        <w:rPr>
          <w:rFonts w:hint="eastAsia" w:ascii="Times New Roman" w:hAnsi="Times New Roman" w:eastAsia="宋体" w:cs="Times New Roman"/>
          <w:szCs w:val="21"/>
        </w:rPr>
        <w:t xml:space="preserve"> </w:t>
      </w:r>
      <w:r>
        <w:rPr>
          <w:rFonts w:ascii="Times New Roman" w:hAnsi="Times New Roman" w:eastAsia="宋体" w:cs="Times New Roman"/>
          <w:szCs w:val="21"/>
        </w:rPr>
        <w:t>日</w:t>
      </w:r>
    </w:p>
    <w:p w14:paraId="5F02E7DB">
      <w:pPr>
        <w:rPr>
          <w:rFonts w:ascii="Times New Roman" w:hAnsi="Times New Roman" w:eastAsia="宋体" w:cs="Times New Roman"/>
          <w:szCs w:val="21"/>
        </w:rPr>
      </w:pPr>
      <w:r>
        <w:rPr>
          <w:rFonts w:ascii="Times New Roman" w:hAnsi="Times New Roman" w:eastAsia="宋体" w:cs="Times New Roman"/>
          <w:szCs w:val="21"/>
        </w:rPr>
        <w:br w:type="page"/>
      </w:r>
    </w:p>
    <w:p w14:paraId="0D85ADEE">
      <w:pPr>
        <w:spacing w:line="360" w:lineRule="auto"/>
        <w:jc w:val="center"/>
        <w:outlineLvl w:val="0"/>
        <w:rPr>
          <w:rFonts w:ascii="Times New Roman" w:hAnsi="Times New Roman" w:eastAsia="宋体" w:cs="Times New Roman"/>
          <w:b/>
          <w:sz w:val="44"/>
          <w:szCs w:val="44"/>
        </w:rPr>
      </w:pPr>
      <w:bookmarkStart w:id="154" w:name="_Toc8811"/>
      <w:r>
        <w:rPr>
          <w:rFonts w:hint="eastAsia" w:ascii="Times New Roman" w:hAnsi="Times New Roman" w:eastAsia="宋体" w:cs="Times New Roman"/>
          <w:b/>
          <w:sz w:val="44"/>
          <w:szCs w:val="44"/>
        </w:rPr>
        <w:t>《大学英语A》课程教学大纲</w:t>
      </w:r>
      <w:bookmarkEnd w:id="154"/>
    </w:p>
    <w:p w14:paraId="5C6E301E">
      <w:pPr>
        <w:spacing w:line="312" w:lineRule="auto"/>
        <w:jc w:val="center"/>
        <w:rPr>
          <w:b/>
          <w:bCs/>
          <w:sz w:val="30"/>
        </w:rPr>
      </w:pPr>
      <w:r>
        <w:rPr>
          <w:rFonts w:hint="eastAsia" w:ascii="Times New Roman" w:hAnsi="Times New Roman" w:eastAsia="宋体" w:cs="Times New Roman"/>
          <w:b/>
          <w:bCs/>
          <w:sz w:val="28"/>
          <w:szCs w:val="28"/>
        </w:rPr>
        <w:t>（College English A）</w:t>
      </w:r>
    </w:p>
    <w:p w14:paraId="0A38D2A2">
      <w:pPr>
        <w:snapToGrid w:val="0"/>
        <w:spacing w:line="360" w:lineRule="auto"/>
        <w:ind w:firstLine="413" w:firstLineChars="196"/>
        <w:rPr>
          <w:b/>
          <w:szCs w:val="21"/>
        </w:rPr>
      </w:pPr>
    </w:p>
    <w:p w14:paraId="40F53B43">
      <w:pPr>
        <w:snapToGrid w:val="0"/>
        <w:spacing w:line="360" w:lineRule="auto"/>
        <w:ind w:firstLine="482" w:firstLineChars="200"/>
        <w:rPr>
          <w:kern w:val="0"/>
          <w:sz w:val="24"/>
        </w:rPr>
      </w:pPr>
      <w:r>
        <w:rPr>
          <w:b/>
          <w:bCs/>
          <w:kern w:val="0"/>
          <w:sz w:val="24"/>
        </w:rPr>
        <w:t>课程代码</w:t>
      </w:r>
      <w:r>
        <w:rPr>
          <w:b/>
          <w:kern w:val="0"/>
          <w:sz w:val="24"/>
        </w:rPr>
        <w:t>：</w:t>
      </w:r>
      <w:r>
        <w:rPr>
          <w:rFonts w:hint="eastAsia"/>
          <w:bCs/>
          <w:kern w:val="0"/>
          <w:sz w:val="24"/>
        </w:rPr>
        <w:t>0606001</w:t>
      </w:r>
    </w:p>
    <w:p w14:paraId="1AEF4BD7">
      <w:pPr>
        <w:snapToGrid w:val="0"/>
        <w:spacing w:line="360" w:lineRule="auto"/>
        <w:ind w:firstLine="482" w:firstLineChars="200"/>
        <w:rPr>
          <w:color w:val="000000"/>
          <w:kern w:val="0"/>
          <w:sz w:val="24"/>
        </w:rPr>
      </w:pPr>
      <w:r>
        <w:rPr>
          <w:b/>
          <w:bCs/>
          <w:color w:val="000000"/>
          <w:kern w:val="0"/>
          <w:sz w:val="24"/>
        </w:rPr>
        <w:t>学    分</w:t>
      </w:r>
      <w:r>
        <w:rPr>
          <w:b/>
          <w:color w:val="000000"/>
          <w:kern w:val="0"/>
          <w:sz w:val="24"/>
        </w:rPr>
        <w:t>：</w:t>
      </w:r>
      <w:r>
        <w:rPr>
          <w:rFonts w:hint="eastAsia"/>
          <w:bCs/>
          <w:color w:val="000000"/>
          <w:kern w:val="0"/>
          <w:sz w:val="24"/>
        </w:rPr>
        <w:t>2</w:t>
      </w:r>
    </w:p>
    <w:p w14:paraId="693D2A0E">
      <w:pPr>
        <w:snapToGrid w:val="0"/>
        <w:spacing w:line="360" w:lineRule="auto"/>
        <w:ind w:firstLine="482" w:firstLineChars="200"/>
        <w:rPr>
          <w:color w:val="000000"/>
          <w:kern w:val="0"/>
          <w:sz w:val="24"/>
        </w:rPr>
      </w:pPr>
      <w:r>
        <w:rPr>
          <w:b/>
          <w:bCs/>
          <w:color w:val="000000"/>
          <w:kern w:val="0"/>
          <w:sz w:val="24"/>
        </w:rPr>
        <w:t>学    时</w:t>
      </w:r>
      <w:r>
        <w:rPr>
          <w:b/>
          <w:color w:val="000000"/>
          <w:kern w:val="0"/>
          <w:sz w:val="24"/>
        </w:rPr>
        <w:t>：</w:t>
      </w:r>
      <w:r>
        <w:rPr>
          <w:rFonts w:hint="eastAsia"/>
          <w:bCs/>
          <w:color w:val="000000"/>
          <w:kern w:val="0"/>
          <w:sz w:val="24"/>
        </w:rPr>
        <w:t>33</w:t>
      </w:r>
    </w:p>
    <w:p w14:paraId="6A8348B4">
      <w:pPr>
        <w:snapToGrid w:val="0"/>
        <w:spacing w:line="360" w:lineRule="auto"/>
        <w:ind w:firstLine="482" w:firstLineChars="200"/>
        <w:rPr>
          <w:bCs/>
          <w:kern w:val="0"/>
          <w:sz w:val="24"/>
        </w:rPr>
      </w:pPr>
      <w:r>
        <w:rPr>
          <w:b/>
          <w:bCs/>
          <w:kern w:val="0"/>
          <w:sz w:val="24"/>
        </w:rPr>
        <w:t>先修课程</w:t>
      </w:r>
      <w:r>
        <w:rPr>
          <w:b/>
          <w:kern w:val="0"/>
          <w:sz w:val="24"/>
        </w:rPr>
        <w:t>：</w:t>
      </w:r>
      <w:r>
        <w:rPr>
          <w:rFonts w:hint="eastAsia"/>
          <w:bCs/>
          <w:kern w:val="0"/>
          <w:sz w:val="24"/>
        </w:rPr>
        <w:t>高中英语</w:t>
      </w:r>
    </w:p>
    <w:p w14:paraId="498917A1">
      <w:pPr>
        <w:snapToGrid w:val="0"/>
        <w:spacing w:line="360" w:lineRule="auto"/>
        <w:ind w:firstLine="482" w:firstLineChars="200"/>
        <w:rPr>
          <w:bCs/>
          <w:sz w:val="24"/>
        </w:rPr>
      </w:pPr>
      <w:r>
        <w:rPr>
          <w:b/>
          <w:bCs/>
          <w:kern w:val="0"/>
          <w:sz w:val="24"/>
        </w:rPr>
        <w:t>适用专业</w:t>
      </w:r>
      <w:r>
        <w:rPr>
          <w:b/>
          <w:kern w:val="0"/>
          <w:sz w:val="24"/>
        </w:rPr>
        <w:t>：</w:t>
      </w:r>
      <w:r>
        <w:rPr>
          <w:rFonts w:hint="eastAsia"/>
          <w:bCs/>
          <w:kern w:val="0"/>
          <w:sz w:val="24"/>
        </w:rPr>
        <w:t>非英语专业</w:t>
      </w:r>
    </w:p>
    <w:p w14:paraId="2B5C4718">
      <w:pPr>
        <w:snapToGrid w:val="0"/>
        <w:spacing w:line="360" w:lineRule="auto"/>
        <w:ind w:firstLine="482" w:firstLineChars="200"/>
        <w:rPr>
          <w:b/>
          <w:bCs/>
          <w:kern w:val="0"/>
          <w:sz w:val="24"/>
        </w:rPr>
      </w:pPr>
      <w:r>
        <w:rPr>
          <w:rFonts w:hint="eastAsia"/>
          <w:b/>
          <w:bCs/>
          <w:kern w:val="0"/>
          <w:sz w:val="24"/>
        </w:rPr>
        <w:t>适用年级：</w:t>
      </w:r>
      <w:r>
        <w:rPr>
          <w:rFonts w:hint="eastAsia"/>
          <w:kern w:val="0"/>
          <w:sz w:val="24"/>
        </w:rPr>
        <w:t>2025级</w:t>
      </w:r>
    </w:p>
    <w:p w14:paraId="0E2021C3">
      <w:pPr>
        <w:snapToGrid w:val="0"/>
        <w:spacing w:line="360" w:lineRule="auto"/>
        <w:ind w:firstLine="472" w:firstLineChars="196"/>
        <w:rPr>
          <w:rFonts w:eastAsia="宋体"/>
          <w:b/>
          <w:sz w:val="24"/>
        </w:rPr>
      </w:pPr>
      <w:r>
        <w:rPr>
          <w:rFonts w:hint="eastAsia"/>
          <w:b/>
          <w:sz w:val="24"/>
        </w:rPr>
        <w:t>一</w:t>
      </w:r>
      <w:r>
        <w:rPr>
          <w:b/>
          <w:sz w:val="24"/>
        </w:rPr>
        <w:t>、课程</w:t>
      </w:r>
      <w:r>
        <w:rPr>
          <w:rFonts w:hint="eastAsia"/>
          <w:b/>
          <w:sz w:val="24"/>
        </w:rPr>
        <w:t>简介</w:t>
      </w:r>
    </w:p>
    <w:p w14:paraId="01BBF89B">
      <w:pPr>
        <w:spacing w:line="360" w:lineRule="auto"/>
        <w:ind w:firstLine="420" w:firstLineChars="200"/>
        <w:rPr>
          <w:b/>
          <w:szCs w:val="21"/>
        </w:rPr>
      </w:pPr>
      <w:r>
        <w:rPr>
          <w:rFonts w:hint="eastAsia" w:ascii="宋体" w:hAnsi="宋体" w:eastAsia="宋体" w:cs="宋体"/>
          <w:kern w:val="0"/>
          <w:szCs w:val="21"/>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233CFFB8">
      <w:pPr>
        <w:snapToGrid w:val="0"/>
        <w:spacing w:line="360" w:lineRule="auto"/>
        <w:ind w:firstLine="472" w:firstLineChars="196"/>
        <w:rPr>
          <w:kern w:val="0"/>
          <w:szCs w:val="21"/>
        </w:rPr>
      </w:pPr>
      <w:r>
        <w:rPr>
          <w:rFonts w:hint="eastAsia" w:ascii="Times New Roman" w:hAnsi="Times New Roman" w:eastAsia="宋体" w:cs="Times New Roman"/>
          <w:b/>
          <w:sz w:val="24"/>
        </w:rPr>
        <w:t>二、课程目标</w:t>
      </w:r>
    </w:p>
    <w:p w14:paraId="762AEC2B">
      <w:pPr>
        <w:tabs>
          <w:tab w:val="left" w:pos="1260"/>
        </w:tabs>
        <w:snapToGrid w:val="0"/>
        <w:spacing w:line="360" w:lineRule="auto"/>
        <w:ind w:firstLine="367" w:firstLineChars="175"/>
        <w:rPr>
          <w:kern w:val="0"/>
          <w:szCs w:val="21"/>
        </w:rPr>
      </w:pPr>
      <w:r>
        <w:rPr>
          <w:rFonts w:hint="eastAsia"/>
          <w:kern w:val="0"/>
          <w:szCs w:val="21"/>
        </w:rPr>
        <w:t>目标1：系统掌握英语语言体系的核心知识与跨文化交际常识，构建综合应用的结构化知识体系。</w:t>
      </w:r>
    </w:p>
    <w:p w14:paraId="67B3128C">
      <w:pPr>
        <w:tabs>
          <w:tab w:val="left" w:pos="1260"/>
        </w:tabs>
        <w:snapToGrid w:val="0"/>
        <w:spacing w:line="360" w:lineRule="auto"/>
        <w:ind w:firstLine="367" w:firstLineChars="175"/>
        <w:rPr>
          <w:kern w:val="0"/>
          <w:szCs w:val="21"/>
        </w:rPr>
      </w:pPr>
      <w:r>
        <w:rPr>
          <w:rFonts w:hint="eastAsia"/>
          <w:kern w:val="0"/>
          <w:szCs w:val="21"/>
        </w:rPr>
        <w:t>目标2：培养英语听、说、读、写、译综合应用能力，融汇跨文化沟通策略。</w:t>
      </w:r>
    </w:p>
    <w:p w14:paraId="5BDB7879">
      <w:pPr>
        <w:tabs>
          <w:tab w:val="left" w:pos="1260"/>
        </w:tabs>
        <w:snapToGrid w:val="0"/>
        <w:spacing w:line="360" w:lineRule="auto"/>
        <w:ind w:firstLine="367" w:firstLineChars="175"/>
        <w:rPr>
          <w:kern w:val="0"/>
          <w:szCs w:val="21"/>
        </w:rPr>
      </w:pPr>
      <w:r>
        <w:rPr>
          <w:rFonts w:hint="eastAsia"/>
          <w:kern w:val="0"/>
          <w:szCs w:val="21"/>
        </w:rPr>
        <w:t>目标3：引导学生理性对比中西文化、拓展国际视野，掌握和运用有效的学习策略，强化自主学习能力与终身学习意识。</w:t>
      </w:r>
    </w:p>
    <w:p w14:paraId="0DA99E37">
      <w:pPr>
        <w:tabs>
          <w:tab w:val="left" w:pos="1260"/>
        </w:tabs>
        <w:snapToGrid w:val="0"/>
        <w:spacing w:line="360" w:lineRule="auto"/>
        <w:ind w:firstLine="367" w:firstLineChars="175"/>
        <w:rPr>
          <w:kern w:val="0"/>
          <w:szCs w:val="21"/>
        </w:rPr>
      </w:pPr>
      <w:r>
        <w:rPr>
          <w:rFonts w:hint="eastAsia"/>
          <w:kern w:val="0"/>
          <w:szCs w:val="21"/>
        </w:rPr>
        <w:t>课程思政育人目标：以语言知识和语言技能为桥梁，在培养学生跨文化交际能力的同时，引导学生树立正确的世界观、人生观和价值观，讲好“中国故事”，筑牢国家认同与民族情怀。课程目标与毕业要求观测点的对应关系如表1所示。</w:t>
      </w:r>
    </w:p>
    <w:p w14:paraId="3F2758CE">
      <w:pPr>
        <w:snapToGrid w:val="0"/>
        <w:spacing w:line="360" w:lineRule="auto"/>
        <w:jc w:val="center"/>
        <w:rPr>
          <w:kern w:val="0"/>
          <w:szCs w:val="21"/>
        </w:rPr>
      </w:pPr>
      <w:r>
        <w:rPr>
          <w:kern w:val="0"/>
          <w:szCs w:val="21"/>
        </w:rPr>
        <w:t>表1  课程目标与毕业要求</w:t>
      </w:r>
      <w:r>
        <w:rPr>
          <w:rFonts w:hint="eastAsia"/>
          <w:kern w:val="0"/>
          <w:szCs w:val="21"/>
        </w:rPr>
        <w:t>观测</w:t>
      </w:r>
      <w:r>
        <w:rPr>
          <w:kern w:val="0"/>
          <w:szCs w:val="21"/>
        </w:rPr>
        <w:t>点的对应关系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5280"/>
        <w:gridCol w:w="1581"/>
      </w:tblGrid>
      <w:tr w14:paraId="1C11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435" w:type="dxa"/>
            <w:vAlign w:val="center"/>
          </w:tcPr>
          <w:p w14:paraId="6386B2D9">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w:t>
            </w:r>
          </w:p>
        </w:tc>
        <w:tc>
          <w:tcPr>
            <w:tcW w:w="5280" w:type="dxa"/>
            <w:vAlign w:val="center"/>
          </w:tcPr>
          <w:p w14:paraId="41880AC5">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毕业要求指标点</w:t>
            </w:r>
          </w:p>
        </w:tc>
        <w:tc>
          <w:tcPr>
            <w:tcW w:w="1581" w:type="dxa"/>
            <w:vAlign w:val="center"/>
          </w:tcPr>
          <w:p w14:paraId="1B11FC8A">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w:t>
            </w:r>
          </w:p>
        </w:tc>
      </w:tr>
      <w:tr w14:paraId="712A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vAlign w:val="center"/>
          </w:tcPr>
          <w:p w14:paraId="76B88CA2">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毕业要求3</w:t>
            </w:r>
          </w:p>
          <w:p w14:paraId="20F82574">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学科素养</w:t>
            </w:r>
          </w:p>
        </w:tc>
        <w:tc>
          <w:tcPr>
            <w:tcW w:w="5280" w:type="dxa"/>
            <w:vAlign w:val="center"/>
          </w:tcPr>
          <w:p w14:paraId="6AC19DB1">
            <w:pPr>
              <w:autoSpaceDE w:val="0"/>
              <w:autoSpaceDN w:val="0"/>
              <w:adjustRightInd w:val="0"/>
              <w:rPr>
                <w:rFonts w:hint="eastAsia" w:ascii="宋体" w:hAnsi="宋体" w:eastAsia="宋体" w:cs="宋体"/>
                <w:kern w:val="0"/>
                <w:szCs w:val="21"/>
              </w:rPr>
            </w:pPr>
            <w:r>
              <w:rPr>
                <w:rFonts w:hint="eastAsia" w:ascii="宋体" w:hAnsi="宋体" w:eastAsia="宋体" w:cs="宋体"/>
                <w:b/>
                <w:kern w:val="0"/>
                <w:szCs w:val="21"/>
              </w:rPr>
              <w:t>指标点3-1</w:t>
            </w:r>
            <w:r>
              <w:rPr>
                <w:rFonts w:hint="eastAsia" w:ascii="宋体" w:hAnsi="宋体" w:eastAsia="宋体" w:cs="宋体"/>
                <w:kern w:val="0"/>
                <w:szCs w:val="21"/>
              </w:rPr>
              <w:t>：【通识知识广博】具有小学教育本科专业相应的自然科学和人文社会科学知识素养。</w:t>
            </w:r>
          </w:p>
        </w:tc>
        <w:tc>
          <w:tcPr>
            <w:tcW w:w="1581" w:type="dxa"/>
            <w:vAlign w:val="center"/>
          </w:tcPr>
          <w:p w14:paraId="20CB853D">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课程目标1</w:t>
            </w:r>
          </w:p>
          <w:p w14:paraId="3AC34B41">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课程目标2</w:t>
            </w:r>
          </w:p>
        </w:tc>
      </w:tr>
      <w:tr w14:paraId="2AC8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vAlign w:val="center"/>
          </w:tcPr>
          <w:p w14:paraId="11BFE558">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毕业要求7</w:t>
            </w:r>
          </w:p>
          <w:p w14:paraId="09CE1C8A">
            <w:pPr>
              <w:autoSpaceDE w:val="0"/>
              <w:autoSpaceDN w:val="0"/>
              <w:adjustRightInd w:val="0"/>
              <w:jc w:val="center"/>
              <w:rPr>
                <w:rFonts w:hint="eastAsia" w:ascii="宋体" w:hAnsi="宋体" w:eastAsia="宋体" w:cs="宋体"/>
                <w:kern w:val="0"/>
                <w:szCs w:val="21"/>
              </w:rPr>
            </w:pPr>
            <w:r>
              <w:rPr>
                <w:rFonts w:ascii="宋体" w:hAnsi="宋体" w:eastAsia="宋体" w:cs="宋体"/>
                <w:kern w:val="0"/>
                <w:szCs w:val="21"/>
              </w:rPr>
              <w:t>学会反思</w:t>
            </w:r>
          </w:p>
        </w:tc>
        <w:tc>
          <w:tcPr>
            <w:tcW w:w="5280" w:type="dxa"/>
          </w:tcPr>
          <w:p w14:paraId="43299D1E">
            <w:pPr>
              <w:autoSpaceDE w:val="0"/>
              <w:autoSpaceDN w:val="0"/>
              <w:adjustRightInd w:val="0"/>
              <w:rPr>
                <w:rFonts w:hint="eastAsia" w:ascii="宋体" w:hAnsi="宋体" w:eastAsia="宋体" w:cs="宋体"/>
                <w:kern w:val="0"/>
                <w:szCs w:val="21"/>
              </w:rPr>
            </w:pPr>
            <w:r>
              <w:rPr>
                <w:rFonts w:hint="eastAsia" w:ascii="宋体" w:hAnsi="宋体" w:eastAsia="宋体" w:cs="宋体"/>
                <w:b/>
                <w:kern w:val="0"/>
                <w:szCs w:val="21"/>
              </w:rPr>
              <w:t>指标点7-1</w:t>
            </w:r>
            <w:r>
              <w:rPr>
                <w:rFonts w:hint="eastAsia" w:ascii="宋体" w:hAnsi="宋体" w:eastAsia="宋体" w:cs="宋体"/>
                <w:kern w:val="0"/>
                <w:szCs w:val="21"/>
              </w:rPr>
              <w:t>：【教育视野开阔】积极关注基础教育领域的国内外交流进展，了解国内外基础教育改革发展的动态，具有宽广的教育视野，能够主动适应新时代和教育发展需求。</w:t>
            </w:r>
          </w:p>
        </w:tc>
        <w:tc>
          <w:tcPr>
            <w:tcW w:w="1581" w:type="dxa"/>
            <w:vAlign w:val="center"/>
          </w:tcPr>
          <w:p w14:paraId="2E7D7093">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课程目标1</w:t>
            </w:r>
          </w:p>
          <w:p w14:paraId="1D5487BA">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课程目标2</w:t>
            </w:r>
          </w:p>
          <w:p w14:paraId="4EE7B99E">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课程目标3</w:t>
            </w:r>
          </w:p>
        </w:tc>
      </w:tr>
      <w:tr w14:paraId="253E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vAlign w:val="center"/>
          </w:tcPr>
          <w:p w14:paraId="758AB80F">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毕业要求8</w:t>
            </w:r>
          </w:p>
          <w:p w14:paraId="65C3FC73">
            <w:pPr>
              <w:autoSpaceDE w:val="0"/>
              <w:autoSpaceDN w:val="0"/>
              <w:adjustRightInd w:val="0"/>
              <w:jc w:val="center"/>
              <w:rPr>
                <w:rFonts w:hint="eastAsia" w:ascii="宋体" w:hAnsi="宋体" w:eastAsia="宋体" w:cs="宋体"/>
                <w:kern w:val="0"/>
                <w:szCs w:val="21"/>
              </w:rPr>
            </w:pPr>
            <w:r>
              <w:rPr>
                <w:rFonts w:ascii="宋体" w:hAnsi="宋体" w:eastAsia="宋体" w:cs="宋体"/>
                <w:kern w:val="0"/>
                <w:szCs w:val="21"/>
              </w:rPr>
              <w:t>沟通合作</w:t>
            </w:r>
          </w:p>
        </w:tc>
        <w:tc>
          <w:tcPr>
            <w:tcW w:w="5280" w:type="dxa"/>
          </w:tcPr>
          <w:p w14:paraId="2AB8C249">
            <w:pPr>
              <w:autoSpaceDE w:val="0"/>
              <w:autoSpaceDN w:val="0"/>
              <w:adjustRightInd w:val="0"/>
              <w:rPr>
                <w:rFonts w:hint="eastAsia" w:ascii="宋体" w:hAnsi="宋体" w:eastAsia="宋体" w:cs="宋体"/>
                <w:kern w:val="0"/>
                <w:szCs w:val="21"/>
              </w:rPr>
            </w:pPr>
            <w:r>
              <w:rPr>
                <w:rFonts w:hint="eastAsia" w:ascii="宋体" w:hAnsi="宋体" w:eastAsia="宋体" w:cs="宋体"/>
                <w:b/>
                <w:kern w:val="0"/>
                <w:szCs w:val="21"/>
              </w:rPr>
              <w:t>指标点8-2</w:t>
            </w:r>
            <w:r>
              <w:rPr>
                <w:rFonts w:hint="eastAsia" w:ascii="宋体" w:hAnsi="宋体" w:eastAsia="宋体" w:cs="宋体"/>
                <w:kern w:val="0"/>
                <w:szCs w:val="21"/>
              </w:rPr>
              <w:t>：【学会沟通交流】掌握人际沟通合作技能与方法，在教育教学实践中，能与学生和家长以及同行、同事、专家进行有效沟通与合作，实现共同发展。</w:t>
            </w:r>
          </w:p>
        </w:tc>
        <w:tc>
          <w:tcPr>
            <w:tcW w:w="1581" w:type="dxa"/>
            <w:vAlign w:val="center"/>
          </w:tcPr>
          <w:p w14:paraId="0D0243B0">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课程目标1</w:t>
            </w:r>
          </w:p>
          <w:p w14:paraId="2AEB7042">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课程目标3</w:t>
            </w:r>
          </w:p>
        </w:tc>
      </w:tr>
    </w:tbl>
    <w:p w14:paraId="66C59F92">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三、课程内容及要求</w:t>
      </w:r>
    </w:p>
    <w:p w14:paraId="46878F7C">
      <w:pPr>
        <w:snapToGrid w:val="0"/>
        <w:spacing w:line="360" w:lineRule="auto"/>
        <w:ind w:firstLine="413" w:firstLineChars="196"/>
        <w:rPr>
          <w:b/>
          <w:szCs w:val="21"/>
        </w:rPr>
      </w:pPr>
      <w:r>
        <w:rPr>
          <w:b/>
          <w:szCs w:val="21"/>
        </w:rPr>
        <w:t>（一）</w:t>
      </w:r>
      <w:r>
        <w:rPr>
          <w:rFonts w:hint="eastAsia"/>
          <w:b/>
          <w:szCs w:val="21"/>
        </w:rPr>
        <w:t>听力理解</w:t>
      </w:r>
    </w:p>
    <w:p w14:paraId="59987404">
      <w:pPr>
        <w:snapToGrid w:val="0"/>
        <w:spacing w:line="360" w:lineRule="auto"/>
        <w:ind w:firstLine="420" w:firstLineChars="200"/>
        <w:rPr>
          <w:szCs w:val="21"/>
        </w:rPr>
      </w:pPr>
      <w:r>
        <w:rPr>
          <w:szCs w:val="21"/>
        </w:rPr>
        <w:t>1.教学内容</w:t>
      </w:r>
    </w:p>
    <w:p w14:paraId="48A7B3D7">
      <w:pPr>
        <w:adjustRightInd w:val="0"/>
        <w:snapToGrid w:val="0"/>
        <w:spacing w:line="360" w:lineRule="auto"/>
        <w:ind w:firstLine="420" w:firstLineChars="200"/>
        <w:rPr>
          <w:szCs w:val="21"/>
        </w:rPr>
      </w:pPr>
      <w:r>
        <w:rPr>
          <w:rFonts w:hint="eastAsia"/>
          <w:szCs w:val="21"/>
        </w:rPr>
        <w:t>（1）基础辨音</w:t>
      </w:r>
    </w:p>
    <w:p w14:paraId="64AB18A5">
      <w:pPr>
        <w:adjustRightInd w:val="0"/>
        <w:snapToGrid w:val="0"/>
        <w:spacing w:line="360" w:lineRule="auto"/>
        <w:ind w:firstLine="420" w:firstLineChars="200"/>
        <w:rPr>
          <w:szCs w:val="21"/>
        </w:rPr>
      </w:pPr>
      <w:r>
        <w:rPr>
          <w:rFonts w:hint="eastAsia"/>
          <w:szCs w:val="21"/>
        </w:rPr>
        <w:t>（2）信息提取、逻辑推理</w:t>
      </w:r>
    </w:p>
    <w:p w14:paraId="12DD4E1B">
      <w:pPr>
        <w:adjustRightInd w:val="0"/>
        <w:snapToGrid w:val="0"/>
        <w:spacing w:line="360" w:lineRule="auto"/>
        <w:ind w:firstLine="420" w:firstLineChars="200"/>
        <w:rPr>
          <w:color w:val="000000"/>
          <w:szCs w:val="21"/>
        </w:rPr>
      </w:pPr>
      <w:r>
        <w:rPr>
          <w:rFonts w:hint="eastAsia"/>
          <w:color w:val="000000"/>
          <w:szCs w:val="21"/>
        </w:rPr>
        <w:t>（3）</w:t>
      </w:r>
      <w:r>
        <w:rPr>
          <w:rFonts w:hint="eastAsia"/>
          <w:szCs w:val="21"/>
        </w:rPr>
        <w:t>笔记策略</w:t>
      </w:r>
    </w:p>
    <w:p w14:paraId="4F0A2552">
      <w:pPr>
        <w:adjustRightInd w:val="0"/>
        <w:snapToGrid w:val="0"/>
        <w:spacing w:line="360" w:lineRule="auto"/>
        <w:ind w:firstLine="420" w:firstLineChars="200"/>
        <w:rPr>
          <w:szCs w:val="21"/>
        </w:rPr>
      </w:pPr>
      <w:r>
        <w:rPr>
          <w:rFonts w:hint="eastAsia"/>
          <w:szCs w:val="21"/>
        </w:rPr>
        <w:t>（4）听力技巧</w:t>
      </w:r>
    </w:p>
    <w:p w14:paraId="53468784">
      <w:pPr>
        <w:spacing w:line="360" w:lineRule="auto"/>
        <w:ind w:firstLine="420" w:firstLineChars="200"/>
        <w:rPr>
          <w:color w:val="000000"/>
          <w:szCs w:val="21"/>
        </w:rPr>
      </w:pPr>
      <w:r>
        <w:rPr>
          <w:color w:val="000000"/>
          <w:szCs w:val="21"/>
        </w:rPr>
        <w:t>2.基本要求</w:t>
      </w:r>
    </w:p>
    <w:p w14:paraId="53C9ACCB">
      <w:pPr>
        <w:spacing w:line="360" w:lineRule="auto"/>
        <w:ind w:firstLine="630" w:firstLineChars="300"/>
        <w:rPr>
          <w:color w:val="000000"/>
          <w:szCs w:val="21"/>
        </w:rPr>
      </w:pPr>
      <w:r>
        <w:rPr>
          <w:rFonts w:hint="eastAsia"/>
          <w:color w:val="000000"/>
          <w:szCs w:val="21"/>
        </w:rPr>
        <w:t>能听懂英语授课，并能听懂题材熟悉、句子结构比较简单、基本上无生词、语速为130-150个单词/分钟的简短会话、谈话、报道或讲座，掌握其中心大意，抓住要点和有关细节，领会讲话者的观点和态度。</w:t>
      </w:r>
    </w:p>
    <w:p w14:paraId="7AF6B96A">
      <w:pPr>
        <w:spacing w:line="360" w:lineRule="auto"/>
        <w:ind w:firstLine="413" w:firstLineChars="196"/>
        <w:rPr>
          <w:b/>
          <w:szCs w:val="21"/>
        </w:rPr>
      </w:pPr>
      <w:r>
        <w:rPr>
          <w:rFonts w:hint="eastAsia"/>
          <w:b/>
          <w:szCs w:val="21"/>
        </w:rPr>
        <w:t>（二）口语表达</w:t>
      </w:r>
    </w:p>
    <w:p w14:paraId="66341742">
      <w:pPr>
        <w:spacing w:line="360" w:lineRule="auto"/>
        <w:ind w:firstLine="411" w:firstLineChars="196"/>
        <w:rPr>
          <w:szCs w:val="21"/>
        </w:rPr>
      </w:pPr>
      <w:r>
        <w:rPr>
          <w:rFonts w:hint="eastAsia"/>
          <w:szCs w:val="21"/>
        </w:rPr>
        <w:t>1.教学内容</w:t>
      </w:r>
    </w:p>
    <w:p w14:paraId="776D33A3">
      <w:pPr>
        <w:spacing w:line="360" w:lineRule="auto"/>
        <w:ind w:firstLine="411" w:firstLineChars="196"/>
        <w:rPr>
          <w:szCs w:val="21"/>
        </w:rPr>
      </w:pPr>
      <w:r>
        <w:rPr>
          <w:rFonts w:hint="eastAsia"/>
          <w:szCs w:val="21"/>
        </w:rPr>
        <w:t>（1）语音语调</w:t>
      </w:r>
    </w:p>
    <w:p w14:paraId="3362ED4D">
      <w:pPr>
        <w:spacing w:line="360" w:lineRule="auto"/>
        <w:ind w:firstLine="411" w:firstLineChars="196"/>
        <w:rPr>
          <w:szCs w:val="21"/>
        </w:rPr>
      </w:pPr>
      <w:r>
        <w:rPr>
          <w:rFonts w:hint="eastAsia"/>
          <w:szCs w:val="21"/>
        </w:rPr>
        <w:t>（2）场景对话、话题发言、主题讨论</w:t>
      </w:r>
    </w:p>
    <w:p w14:paraId="75366AD3">
      <w:pPr>
        <w:spacing w:line="360" w:lineRule="auto"/>
        <w:ind w:firstLine="411" w:firstLineChars="196"/>
        <w:rPr>
          <w:szCs w:val="21"/>
        </w:rPr>
      </w:pPr>
      <w:r>
        <w:rPr>
          <w:rFonts w:hint="eastAsia"/>
          <w:color w:val="000000"/>
          <w:szCs w:val="21"/>
        </w:rPr>
        <w:t>（3）会话技巧</w:t>
      </w:r>
    </w:p>
    <w:p w14:paraId="43AD2846">
      <w:pPr>
        <w:spacing w:line="360" w:lineRule="auto"/>
        <w:ind w:firstLine="411" w:firstLineChars="196"/>
        <w:rPr>
          <w:szCs w:val="21"/>
        </w:rPr>
      </w:pPr>
      <w:r>
        <w:rPr>
          <w:rFonts w:hint="eastAsia"/>
          <w:szCs w:val="21"/>
        </w:rPr>
        <w:t>2.基本要求</w:t>
      </w:r>
    </w:p>
    <w:p w14:paraId="64EED693">
      <w:pPr>
        <w:spacing w:line="360" w:lineRule="auto"/>
        <w:ind w:firstLine="411" w:firstLineChars="196"/>
        <w:rPr>
          <w:szCs w:val="21"/>
        </w:rPr>
      </w:pPr>
      <w:r>
        <w:rPr>
          <w:rFonts w:hint="eastAsia"/>
          <w:szCs w:val="21"/>
        </w:rPr>
        <w:t>能就日常话题用英语进行简短但多话轮的交谈；能对一般性事件和物体进行简单的叙述或描述；经准备后能就所熟悉的话题作简短发言；能就学习或未来工作相关的主题进行简单的讨论。语言表达结构比较清楚，语音、语调、语法等基本符合交际规范。能运用基本的会话技巧。</w:t>
      </w:r>
    </w:p>
    <w:p w14:paraId="39AABABE">
      <w:pPr>
        <w:spacing w:line="360" w:lineRule="auto"/>
        <w:ind w:firstLine="413" w:firstLineChars="196"/>
        <w:rPr>
          <w:b/>
          <w:szCs w:val="21"/>
        </w:rPr>
      </w:pPr>
      <w:r>
        <w:rPr>
          <w:rFonts w:hint="eastAsia"/>
          <w:b/>
          <w:szCs w:val="21"/>
        </w:rPr>
        <w:t>（三）阅读理解</w:t>
      </w:r>
    </w:p>
    <w:p w14:paraId="65CACFBB">
      <w:pPr>
        <w:spacing w:line="360" w:lineRule="auto"/>
        <w:ind w:firstLine="411" w:firstLineChars="196"/>
        <w:rPr>
          <w:b/>
          <w:szCs w:val="21"/>
        </w:rPr>
      </w:pPr>
      <w:r>
        <w:rPr>
          <w:rFonts w:hint="eastAsia"/>
          <w:szCs w:val="21"/>
        </w:rPr>
        <w:t>1.教学内容</w:t>
      </w:r>
    </w:p>
    <w:p w14:paraId="3090286E">
      <w:pPr>
        <w:spacing w:line="360" w:lineRule="auto"/>
        <w:ind w:firstLine="420" w:firstLineChars="200"/>
        <w:rPr>
          <w:szCs w:val="21"/>
        </w:rPr>
      </w:pPr>
      <w:r>
        <w:rPr>
          <w:rFonts w:hint="eastAsia"/>
          <w:szCs w:val="21"/>
        </w:rPr>
        <w:t>（1）语篇结构理解</w:t>
      </w:r>
    </w:p>
    <w:p w14:paraId="256BC23A">
      <w:pPr>
        <w:spacing w:line="360" w:lineRule="auto"/>
        <w:ind w:firstLine="411" w:firstLineChars="196"/>
        <w:rPr>
          <w:szCs w:val="21"/>
        </w:rPr>
      </w:pPr>
      <w:r>
        <w:rPr>
          <w:rFonts w:hint="eastAsia"/>
          <w:szCs w:val="21"/>
        </w:rPr>
        <w:t>（2）长难句分析</w:t>
      </w:r>
    </w:p>
    <w:p w14:paraId="320702BD">
      <w:pPr>
        <w:spacing w:line="360" w:lineRule="auto"/>
        <w:ind w:firstLine="411" w:firstLineChars="196"/>
        <w:rPr>
          <w:szCs w:val="21"/>
        </w:rPr>
      </w:pPr>
      <w:r>
        <w:rPr>
          <w:rFonts w:hint="eastAsia"/>
          <w:szCs w:val="21"/>
        </w:rPr>
        <w:t>（3）阅读技巧</w:t>
      </w:r>
    </w:p>
    <w:p w14:paraId="5200D411">
      <w:pPr>
        <w:spacing w:line="360" w:lineRule="auto"/>
        <w:ind w:firstLine="411" w:firstLineChars="196"/>
        <w:rPr>
          <w:szCs w:val="21"/>
        </w:rPr>
      </w:pPr>
      <w:r>
        <w:rPr>
          <w:rFonts w:hint="eastAsia"/>
          <w:szCs w:val="21"/>
        </w:rPr>
        <w:t>2.基本要求</w:t>
      </w:r>
    </w:p>
    <w:p w14:paraId="04D46DFD">
      <w:pPr>
        <w:spacing w:line="360" w:lineRule="auto"/>
        <w:ind w:firstLine="411" w:firstLineChars="196"/>
        <w:rPr>
          <w:szCs w:val="21"/>
        </w:rPr>
      </w:pPr>
      <w:r>
        <w:rPr>
          <w:szCs w:val="21"/>
        </w:rPr>
        <w:t>读懂一般性题材的文章，能基本读懂国内英文报刊，能读懂工作、生活中常见的应用文体的材料；阅读速度达到70单词/分钟；能借助词典阅读英语教材和未来工作、生活中常见的应用文和简单的英文</w:t>
      </w:r>
      <w:r>
        <w:rPr>
          <w:rFonts w:hint="eastAsia"/>
          <w:szCs w:val="21"/>
        </w:rPr>
        <w:t>材料</w:t>
      </w:r>
      <w:r>
        <w:rPr>
          <w:szCs w:val="21"/>
        </w:rPr>
        <w:t>，掌握中心大意，理解主要事实和有关细节，能根据阅读目的的不同和阅读材料的难易，适当调整阅读速度和方法。能运用基本的阅读技巧。</w:t>
      </w:r>
    </w:p>
    <w:p w14:paraId="648C4645">
      <w:pPr>
        <w:spacing w:line="360" w:lineRule="auto"/>
        <w:ind w:firstLine="413" w:firstLineChars="196"/>
        <w:rPr>
          <w:b/>
          <w:szCs w:val="21"/>
        </w:rPr>
      </w:pPr>
      <w:r>
        <w:rPr>
          <w:rFonts w:hint="eastAsia"/>
          <w:b/>
          <w:szCs w:val="21"/>
        </w:rPr>
        <w:t>（四）书面表达</w:t>
      </w:r>
    </w:p>
    <w:p w14:paraId="7470AA37">
      <w:pPr>
        <w:spacing w:line="360" w:lineRule="auto"/>
        <w:ind w:firstLine="411" w:firstLineChars="196"/>
        <w:rPr>
          <w:b/>
          <w:szCs w:val="21"/>
        </w:rPr>
      </w:pPr>
      <w:r>
        <w:rPr>
          <w:rFonts w:hint="eastAsia"/>
          <w:szCs w:val="21"/>
        </w:rPr>
        <w:t>1.教学内容</w:t>
      </w:r>
    </w:p>
    <w:p w14:paraId="213F086D">
      <w:pPr>
        <w:spacing w:line="360" w:lineRule="auto"/>
        <w:ind w:firstLine="411" w:firstLineChars="196"/>
        <w:rPr>
          <w:szCs w:val="21"/>
        </w:rPr>
      </w:pPr>
      <w:r>
        <w:rPr>
          <w:rFonts w:hint="eastAsia"/>
          <w:szCs w:val="21"/>
        </w:rPr>
        <w:t>（1）句式结构</w:t>
      </w:r>
    </w:p>
    <w:p w14:paraId="0A330E99">
      <w:pPr>
        <w:spacing w:line="360" w:lineRule="auto"/>
        <w:ind w:firstLine="411" w:firstLineChars="196"/>
        <w:rPr>
          <w:szCs w:val="21"/>
        </w:rPr>
      </w:pPr>
      <w:r>
        <w:rPr>
          <w:rFonts w:hint="eastAsia"/>
          <w:szCs w:val="21"/>
        </w:rPr>
        <w:t>（2）词汇表达</w:t>
      </w:r>
    </w:p>
    <w:p w14:paraId="63C3C49E">
      <w:pPr>
        <w:spacing w:line="360" w:lineRule="auto"/>
        <w:ind w:firstLine="411" w:firstLineChars="196"/>
        <w:rPr>
          <w:szCs w:val="21"/>
        </w:rPr>
      </w:pPr>
      <w:r>
        <w:rPr>
          <w:rFonts w:hint="eastAsia"/>
          <w:szCs w:val="21"/>
        </w:rPr>
        <w:t>（3）段落发展</w:t>
      </w:r>
    </w:p>
    <w:p w14:paraId="685AD4B6">
      <w:pPr>
        <w:spacing w:line="360" w:lineRule="auto"/>
        <w:ind w:firstLine="411" w:firstLineChars="196"/>
        <w:rPr>
          <w:szCs w:val="21"/>
        </w:rPr>
      </w:pPr>
      <w:r>
        <w:rPr>
          <w:rFonts w:hint="eastAsia"/>
          <w:szCs w:val="21"/>
        </w:rPr>
        <w:t>（4）语篇衔接</w:t>
      </w:r>
    </w:p>
    <w:p w14:paraId="7F9F38DC">
      <w:pPr>
        <w:spacing w:line="360" w:lineRule="auto"/>
        <w:ind w:firstLine="411" w:firstLineChars="196"/>
        <w:rPr>
          <w:szCs w:val="21"/>
        </w:rPr>
      </w:pPr>
      <w:r>
        <w:rPr>
          <w:rFonts w:hint="eastAsia"/>
          <w:szCs w:val="21"/>
        </w:rPr>
        <w:t>（5）实用写作</w:t>
      </w:r>
    </w:p>
    <w:p w14:paraId="1A553B99">
      <w:pPr>
        <w:spacing w:line="360" w:lineRule="auto"/>
        <w:ind w:firstLine="411" w:firstLineChars="196"/>
        <w:rPr>
          <w:szCs w:val="21"/>
        </w:rPr>
      </w:pPr>
      <w:r>
        <w:rPr>
          <w:rFonts w:hint="eastAsia"/>
          <w:szCs w:val="21"/>
        </w:rPr>
        <w:t>2.基本要求</w:t>
      </w:r>
    </w:p>
    <w:p w14:paraId="52DC10CE">
      <w:pPr>
        <w:spacing w:line="360" w:lineRule="auto"/>
        <w:ind w:firstLine="411" w:firstLineChars="196"/>
        <w:rPr>
          <w:szCs w:val="21"/>
        </w:rPr>
      </w:pPr>
      <w:r>
        <w:rPr>
          <w:rFonts w:hint="eastAsia"/>
          <w:szCs w:val="21"/>
        </w:rPr>
        <w:t>能完成一般性写作任务，用英语描述个人经历、观感、情感和发生的事件等。能就给定话题或提纲在30分钟内写出大约150个单词的短文；能写常见的应用文；能就一般性话题或提纲以短文的形式展开简短的讨论、解释、说明等。语言结构基本完整，中心思想明确，用词较为恰当，语意连贯。能运用基本的写作技巧。</w:t>
      </w:r>
    </w:p>
    <w:p w14:paraId="5F7D9FD4">
      <w:pPr>
        <w:spacing w:line="360" w:lineRule="auto"/>
        <w:ind w:left="412" w:leftChars="196"/>
        <w:rPr>
          <w:b/>
          <w:szCs w:val="21"/>
        </w:rPr>
      </w:pPr>
      <w:r>
        <w:rPr>
          <w:rFonts w:hint="eastAsia"/>
          <w:b/>
          <w:szCs w:val="21"/>
        </w:rPr>
        <w:t>（五）中英互译</w:t>
      </w:r>
    </w:p>
    <w:p w14:paraId="71695E8E">
      <w:pPr>
        <w:spacing w:line="360" w:lineRule="auto"/>
        <w:ind w:firstLine="411" w:firstLineChars="196"/>
        <w:rPr>
          <w:b/>
          <w:szCs w:val="21"/>
        </w:rPr>
      </w:pPr>
      <w:r>
        <w:rPr>
          <w:rFonts w:hint="eastAsia"/>
          <w:szCs w:val="21"/>
        </w:rPr>
        <w:t>1.教学内容</w:t>
      </w:r>
    </w:p>
    <w:p w14:paraId="725D65EB">
      <w:pPr>
        <w:spacing w:line="360" w:lineRule="auto"/>
        <w:ind w:firstLine="420" w:firstLineChars="200"/>
        <w:rPr>
          <w:szCs w:val="21"/>
        </w:rPr>
      </w:pPr>
      <w:r>
        <w:rPr>
          <w:rFonts w:hint="eastAsia"/>
          <w:szCs w:val="21"/>
        </w:rPr>
        <w:t>（1）中西语言差异</w:t>
      </w:r>
    </w:p>
    <w:p w14:paraId="041BDDCA">
      <w:pPr>
        <w:spacing w:line="360" w:lineRule="auto"/>
        <w:ind w:firstLine="420" w:firstLineChars="200"/>
        <w:rPr>
          <w:szCs w:val="21"/>
        </w:rPr>
      </w:pPr>
      <w:r>
        <w:rPr>
          <w:rFonts w:hint="eastAsia"/>
          <w:szCs w:val="21"/>
        </w:rPr>
        <w:t>（2）翻译策略</w:t>
      </w:r>
    </w:p>
    <w:p w14:paraId="3C1833C6">
      <w:pPr>
        <w:spacing w:line="360" w:lineRule="auto"/>
        <w:ind w:firstLine="411" w:firstLineChars="196"/>
        <w:rPr>
          <w:szCs w:val="21"/>
        </w:rPr>
      </w:pPr>
      <w:r>
        <w:rPr>
          <w:rFonts w:hint="eastAsia"/>
          <w:szCs w:val="21"/>
        </w:rPr>
        <w:t>2.基本要求</w:t>
      </w:r>
    </w:p>
    <w:p w14:paraId="0786FEE9">
      <w:pPr>
        <w:spacing w:line="360" w:lineRule="auto"/>
        <w:ind w:firstLine="420" w:firstLineChars="200"/>
        <w:rPr>
          <w:szCs w:val="21"/>
        </w:rPr>
      </w:pPr>
      <w:r>
        <w:rPr>
          <w:rFonts w:hint="eastAsia"/>
          <w:szCs w:val="21"/>
        </w:rPr>
        <w:t>能借助词典对题材熟悉、结构清晰、语言难度较低的文章进行英汉互译，能借助词典翻译有一定深度的介绍中外国情或文化的文字资料，译文基本准确，无重大的理解和语言表达错误。能运用基本的翻译技巧。</w:t>
      </w:r>
    </w:p>
    <w:p w14:paraId="60EDEB29">
      <w:pPr>
        <w:spacing w:line="360" w:lineRule="auto"/>
        <w:ind w:firstLine="420" w:firstLineChars="200"/>
        <w:rPr>
          <w:szCs w:val="21"/>
        </w:rPr>
      </w:pPr>
      <w:r>
        <w:rPr>
          <w:rFonts w:hint="eastAsia"/>
          <w:szCs w:val="21"/>
        </w:rPr>
        <w:t>教学内容与</w:t>
      </w:r>
      <w:r>
        <w:rPr>
          <w:szCs w:val="21"/>
        </w:rPr>
        <w:t>课程目标的</w:t>
      </w:r>
      <w:r>
        <w:rPr>
          <w:rFonts w:hint="eastAsia"/>
          <w:szCs w:val="21"/>
        </w:rPr>
        <w:t>对应关系及</w:t>
      </w:r>
      <w:r>
        <w:rPr>
          <w:szCs w:val="21"/>
        </w:rPr>
        <w:t>学时分配</w:t>
      </w:r>
      <w:r>
        <w:rPr>
          <w:rFonts w:hint="eastAsia"/>
          <w:szCs w:val="21"/>
        </w:rPr>
        <w:t>如表2所示。</w:t>
      </w:r>
    </w:p>
    <w:p w14:paraId="22637EC7">
      <w:pPr>
        <w:spacing w:line="360" w:lineRule="auto"/>
        <w:ind w:firstLine="420" w:firstLineChars="200"/>
        <w:jc w:val="center"/>
        <w:rPr>
          <w:szCs w:val="21"/>
        </w:rPr>
      </w:pPr>
      <w:r>
        <w:rPr>
          <w:szCs w:val="21"/>
        </w:rPr>
        <w:t>表2  教学内容与课程目标的对应关系及学时分配表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163"/>
        <w:gridCol w:w="1512"/>
        <w:gridCol w:w="1638"/>
        <w:gridCol w:w="737"/>
        <w:gridCol w:w="750"/>
        <w:gridCol w:w="3209"/>
      </w:tblGrid>
      <w:tr w14:paraId="3803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67" w:type="dxa"/>
            <w:tcBorders>
              <w:top w:val="single" w:color="auto" w:sz="4" w:space="0"/>
              <w:left w:val="single" w:color="auto" w:sz="4" w:space="0"/>
              <w:bottom w:val="single" w:color="auto" w:sz="4" w:space="0"/>
              <w:right w:val="single" w:color="auto" w:sz="4" w:space="0"/>
            </w:tcBorders>
            <w:shd w:val="clear" w:color="auto" w:fill="FFFFFF"/>
            <w:vAlign w:val="center"/>
          </w:tcPr>
          <w:p w14:paraId="5E036DEF">
            <w:pPr>
              <w:widowControl/>
              <w:adjustRightInd w:val="0"/>
              <w:snapToGrid w:val="0"/>
              <w:jc w:val="center"/>
              <w:rPr>
                <w:b/>
                <w:bCs/>
                <w:szCs w:val="21"/>
              </w:rPr>
            </w:pPr>
            <w:r>
              <w:rPr>
                <w:b/>
                <w:bCs/>
                <w:szCs w:val="21"/>
              </w:rPr>
              <w:t>序号</w:t>
            </w:r>
          </w:p>
        </w:tc>
        <w:tc>
          <w:tcPr>
            <w:tcW w:w="1163" w:type="dxa"/>
            <w:tcBorders>
              <w:top w:val="single" w:color="auto" w:sz="4" w:space="0"/>
              <w:left w:val="single" w:color="auto" w:sz="4" w:space="0"/>
              <w:bottom w:val="single" w:color="auto" w:sz="4" w:space="0"/>
              <w:right w:val="single" w:color="auto" w:sz="4" w:space="0"/>
            </w:tcBorders>
            <w:shd w:val="clear" w:color="auto" w:fill="FFFFFF"/>
            <w:vAlign w:val="center"/>
          </w:tcPr>
          <w:p w14:paraId="449D5B44">
            <w:pPr>
              <w:widowControl/>
              <w:adjustRightInd w:val="0"/>
              <w:snapToGrid w:val="0"/>
              <w:jc w:val="center"/>
              <w:rPr>
                <w:b/>
                <w:bCs/>
                <w:szCs w:val="21"/>
              </w:rPr>
            </w:pPr>
            <w:r>
              <w:rPr>
                <w:b/>
                <w:bCs/>
                <w:szCs w:val="21"/>
              </w:rPr>
              <w:t>教学内容</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14:paraId="63C319B1">
            <w:pPr>
              <w:widowControl/>
              <w:adjustRightInd w:val="0"/>
              <w:snapToGrid w:val="0"/>
              <w:jc w:val="center"/>
              <w:rPr>
                <w:b/>
                <w:bCs/>
                <w:szCs w:val="21"/>
              </w:rPr>
            </w:pPr>
            <w:r>
              <w:rPr>
                <w:b/>
                <w:bCs/>
                <w:szCs w:val="21"/>
              </w:rPr>
              <w:t>支撑的课程目标</w:t>
            </w:r>
          </w:p>
        </w:tc>
        <w:tc>
          <w:tcPr>
            <w:tcW w:w="1638" w:type="dxa"/>
            <w:tcBorders>
              <w:top w:val="single" w:color="auto" w:sz="4" w:space="0"/>
              <w:left w:val="single" w:color="auto" w:sz="4" w:space="0"/>
              <w:bottom w:val="single" w:color="auto" w:sz="4" w:space="0"/>
              <w:right w:val="single" w:color="auto" w:sz="4" w:space="0"/>
            </w:tcBorders>
            <w:shd w:val="clear" w:color="auto" w:fill="FFFFFF"/>
            <w:vAlign w:val="center"/>
          </w:tcPr>
          <w:p w14:paraId="4EBD7AE9">
            <w:pPr>
              <w:widowControl/>
              <w:adjustRightInd w:val="0"/>
              <w:snapToGrid w:val="0"/>
              <w:jc w:val="center"/>
              <w:rPr>
                <w:b/>
                <w:bCs/>
                <w:szCs w:val="21"/>
              </w:rPr>
            </w:pPr>
            <w:r>
              <w:rPr>
                <w:b/>
                <w:bCs/>
                <w:szCs w:val="21"/>
              </w:rPr>
              <w:t>支撑的毕业要求</w:t>
            </w:r>
            <w:r>
              <w:rPr>
                <w:rFonts w:hint="eastAsia"/>
                <w:b/>
                <w:bCs/>
                <w:szCs w:val="21"/>
              </w:rPr>
              <w:t>观测</w:t>
            </w:r>
            <w:r>
              <w:rPr>
                <w:b/>
                <w:bCs/>
                <w:szCs w:val="21"/>
              </w:rPr>
              <w:t>点</w:t>
            </w:r>
          </w:p>
        </w:tc>
        <w:tc>
          <w:tcPr>
            <w:tcW w:w="737" w:type="dxa"/>
            <w:tcBorders>
              <w:top w:val="single" w:color="auto" w:sz="4" w:space="0"/>
              <w:left w:val="single" w:color="auto" w:sz="4" w:space="0"/>
              <w:bottom w:val="single" w:color="auto" w:sz="4" w:space="0"/>
              <w:right w:val="single" w:color="auto" w:sz="4" w:space="0"/>
            </w:tcBorders>
            <w:shd w:val="clear" w:color="auto" w:fill="FFFFFF"/>
            <w:vAlign w:val="center"/>
          </w:tcPr>
          <w:p w14:paraId="56210DCA">
            <w:pPr>
              <w:widowControl/>
              <w:adjustRightInd w:val="0"/>
              <w:snapToGrid w:val="0"/>
              <w:jc w:val="center"/>
              <w:rPr>
                <w:b/>
                <w:bCs/>
                <w:color w:val="FF0000"/>
                <w:szCs w:val="21"/>
              </w:rPr>
            </w:pPr>
            <w:r>
              <w:rPr>
                <w:b/>
                <w:bCs/>
                <w:color w:val="000000"/>
                <w:szCs w:val="21"/>
              </w:rPr>
              <w:t>讲授学时</w:t>
            </w:r>
          </w:p>
        </w:tc>
        <w:tc>
          <w:tcPr>
            <w:tcW w:w="750" w:type="dxa"/>
            <w:tcBorders>
              <w:top w:val="single" w:color="auto" w:sz="4" w:space="0"/>
              <w:left w:val="single" w:color="auto" w:sz="4" w:space="0"/>
              <w:bottom w:val="single" w:color="auto" w:sz="4" w:space="0"/>
              <w:right w:val="single" w:color="auto" w:sz="4" w:space="0"/>
            </w:tcBorders>
            <w:shd w:val="clear" w:color="auto" w:fill="FFFFFF"/>
            <w:vAlign w:val="center"/>
          </w:tcPr>
          <w:p w14:paraId="4D1AF3B8">
            <w:pPr>
              <w:widowControl/>
              <w:adjustRightInd w:val="0"/>
              <w:snapToGrid w:val="0"/>
              <w:jc w:val="center"/>
              <w:rPr>
                <w:b/>
                <w:bCs/>
                <w:szCs w:val="21"/>
              </w:rPr>
            </w:pPr>
            <w:r>
              <w:rPr>
                <w:b/>
                <w:bCs/>
                <w:szCs w:val="21"/>
              </w:rPr>
              <w:t>实验学时</w:t>
            </w:r>
          </w:p>
        </w:tc>
        <w:tc>
          <w:tcPr>
            <w:tcW w:w="3209" w:type="dxa"/>
            <w:tcBorders>
              <w:top w:val="single" w:color="auto" w:sz="4" w:space="0"/>
              <w:left w:val="single" w:color="auto" w:sz="4" w:space="0"/>
              <w:bottom w:val="single" w:color="auto" w:sz="4" w:space="0"/>
              <w:right w:val="single" w:color="auto" w:sz="4" w:space="0"/>
            </w:tcBorders>
            <w:shd w:val="clear" w:color="auto" w:fill="FFFFFF"/>
            <w:vAlign w:val="center"/>
          </w:tcPr>
          <w:p w14:paraId="1E04C4EB">
            <w:pPr>
              <w:widowControl/>
              <w:adjustRightInd w:val="0"/>
              <w:snapToGrid w:val="0"/>
              <w:jc w:val="center"/>
              <w:rPr>
                <w:b/>
                <w:bCs/>
                <w:szCs w:val="21"/>
              </w:rPr>
            </w:pPr>
            <w:r>
              <w:rPr>
                <w:rFonts w:hint="eastAsia"/>
                <w:b/>
                <w:bCs/>
                <w:szCs w:val="21"/>
              </w:rPr>
              <w:t>课程思政融入点</w:t>
            </w:r>
          </w:p>
        </w:tc>
      </w:tr>
      <w:tr w14:paraId="5C25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667" w:type="dxa"/>
            <w:tcBorders>
              <w:top w:val="single" w:color="auto" w:sz="4" w:space="0"/>
              <w:left w:val="single" w:color="auto" w:sz="4" w:space="0"/>
              <w:bottom w:val="single" w:color="auto" w:sz="4" w:space="0"/>
              <w:right w:val="single" w:color="auto" w:sz="4" w:space="0"/>
            </w:tcBorders>
            <w:vAlign w:val="center"/>
          </w:tcPr>
          <w:p w14:paraId="6E01F720">
            <w:pPr>
              <w:widowControl/>
              <w:adjustRightInd w:val="0"/>
              <w:snapToGrid w:val="0"/>
              <w:jc w:val="center"/>
              <w:rPr>
                <w:szCs w:val="21"/>
              </w:rPr>
            </w:pPr>
            <w:r>
              <w:rPr>
                <w:szCs w:val="21"/>
              </w:rPr>
              <w:t>1</w:t>
            </w:r>
          </w:p>
        </w:tc>
        <w:tc>
          <w:tcPr>
            <w:tcW w:w="1163" w:type="dxa"/>
            <w:tcBorders>
              <w:top w:val="single" w:color="auto" w:sz="4" w:space="0"/>
              <w:left w:val="single" w:color="auto" w:sz="4" w:space="0"/>
              <w:bottom w:val="single" w:color="auto" w:sz="4" w:space="0"/>
              <w:right w:val="single" w:color="auto" w:sz="4" w:space="0"/>
            </w:tcBorders>
            <w:vAlign w:val="center"/>
          </w:tcPr>
          <w:p w14:paraId="5C7284A7">
            <w:pPr>
              <w:widowControl/>
              <w:adjustRightInd w:val="0"/>
              <w:snapToGrid w:val="0"/>
              <w:jc w:val="center"/>
              <w:rPr>
                <w:color w:val="000000"/>
                <w:szCs w:val="21"/>
              </w:rPr>
            </w:pPr>
            <w:r>
              <w:rPr>
                <w:rFonts w:hint="eastAsia"/>
                <w:color w:val="000000"/>
                <w:szCs w:val="21"/>
              </w:rPr>
              <w:t>听力理解</w:t>
            </w:r>
          </w:p>
        </w:tc>
        <w:tc>
          <w:tcPr>
            <w:tcW w:w="1512" w:type="dxa"/>
            <w:tcBorders>
              <w:top w:val="single" w:color="auto" w:sz="4" w:space="0"/>
              <w:left w:val="single" w:color="auto" w:sz="4" w:space="0"/>
              <w:bottom w:val="single" w:color="auto" w:sz="4" w:space="0"/>
              <w:right w:val="single" w:color="auto" w:sz="4" w:space="0"/>
            </w:tcBorders>
            <w:vAlign w:val="center"/>
          </w:tcPr>
          <w:p w14:paraId="3057E897">
            <w:pPr>
              <w:widowControl/>
              <w:adjustRightInd w:val="0"/>
              <w:snapToGrid w:val="0"/>
              <w:jc w:val="center"/>
              <w:rPr>
                <w:color w:val="000000"/>
                <w:szCs w:val="21"/>
              </w:rPr>
            </w:pPr>
            <w:r>
              <w:rPr>
                <w:color w:val="000000"/>
                <w:szCs w:val="21"/>
              </w:rPr>
              <w:t>1、</w:t>
            </w:r>
            <w:r>
              <w:rPr>
                <w:rFonts w:hint="eastAsia"/>
                <w:color w:val="000000"/>
                <w:szCs w:val="21"/>
              </w:rPr>
              <w:t>2、 3</w:t>
            </w:r>
          </w:p>
        </w:tc>
        <w:tc>
          <w:tcPr>
            <w:tcW w:w="1638" w:type="dxa"/>
            <w:tcBorders>
              <w:top w:val="single" w:color="auto" w:sz="4" w:space="0"/>
              <w:left w:val="single" w:color="auto" w:sz="4" w:space="0"/>
              <w:bottom w:val="single" w:color="auto" w:sz="4" w:space="0"/>
              <w:right w:val="single" w:color="auto" w:sz="4" w:space="0"/>
            </w:tcBorders>
            <w:vAlign w:val="center"/>
          </w:tcPr>
          <w:p w14:paraId="3782AE3D">
            <w:pPr>
              <w:widowControl/>
              <w:adjustRightInd w:val="0"/>
              <w:snapToGrid w:val="0"/>
              <w:jc w:val="center"/>
              <w:rPr>
                <w:rFonts w:eastAsia="宋体"/>
                <w:szCs w:val="21"/>
              </w:rPr>
            </w:pPr>
            <w:r>
              <w:rPr>
                <w:rFonts w:hint="eastAsia"/>
                <w:color w:val="000000"/>
                <w:szCs w:val="21"/>
              </w:rPr>
              <w:t>3-1、8-2</w:t>
            </w:r>
          </w:p>
        </w:tc>
        <w:tc>
          <w:tcPr>
            <w:tcW w:w="737" w:type="dxa"/>
            <w:tcBorders>
              <w:top w:val="single" w:color="auto" w:sz="4" w:space="0"/>
              <w:left w:val="single" w:color="auto" w:sz="4" w:space="0"/>
              <w:bottom w:val="single" w:color="auto" w:sz="4" w:space="0"/>
              <w:right w:val="single" w:color="auto" w:sz="4" w:space="0"/>
            </w:tcBorders>
            <w:vAlign w:val="center"/>
          </w:tcPr>
          <w:p w14:paraId="2B633BA5">
            <w:pPr>
              <w:widowControl/>
              <w:adjustRightInd w:val="0"/>
              <w:snapToGrid w:val="0"/>
              <w:jc w:val="center"/>
              <w:rPr>
                <w:color w:val="000000"/>
                <w:szCs w:val="21"/>
              </w:rPr>
            </w:pPr>
            <w:r>
              <w:rPr>
                <w:rFonts w:hint="eastAsia"/>
                <w:color w:val="000000"/>
                <w:szCs w:val="21"/>
              </w:rPr>
              <w:t>8</w:t>
            </w:r>
          </w:p>
        </w:tc>
        <w:tc>
          <w:tcPr>
            <w:tcW w:w="750" w:type="dxa"/>
            <w:tcBorders>
              <w:top w:val="single" w:color="auto" w:sz="4" w:space="0"/>
              <w:left w:val="single" w:color="auto" w:sz="4" w:space="0"/>
              <w:bottom w:val="single" w:color="auto" w:sz="4" w:space="0"/>
              <w:right w:val="single" w:color="auto" w:sz="4" w:space="0"/>
            </w:tcBorders>
            <w:vAlign w:val="center"/>
          </w:tcPr>
          <w:p w14:paraId="18F3E87C">
            <w:pPr>
              <w:widowControl/>
              <w:adjustRightInd w:val="0"/>
              <w:snapToGrid w:val="0"/>
              <w:jc w:val="center"/>
              <w:rPr>
                <w:szCs w:val="21"/>
              </w:rPr>
            </w:pPr>
            <w:r>
              <w:rPr>
                <w:rFonts w:hint="eastAsia"/>
                <w:szCs w:val="21"/>
              </w:rPr>
              <w:t>0</w:t>
            </w:r>
          </w:p>
        </w:tc>
        <w:tc>
          <w:tcPr>
            <w:tcW w:w="3209" w:type="dxa"/>
            <w:tcBorders>
              <w:top w:val="single" w:color="auto" w:sz="4" w:space="0"/>
              <w:left w:val="single" w:color="auto" w:sz="4" w:space="0"/>
              <w:bottom w:val="single" w:color="auto" w:sz="4" w:space="0"/>
              <w:right w:val="single" w:color="auto" w:sz="4" w:space="0"/>
            </w:tcBorders>
          </w:tcPr>
          <w:p w14:paraId="602A91B8">
            <w:pPr>
              <w:widowControl/>
              <w:adjustRightInd w:val="0"/>
              <w:snapToGrid w:val="0"/>
              <w:jc w:val="left"/>
              <w:rPr>
                <w:color w:val="000000"/>
                <w:szCs w:val="21"/>
              </w:rPr>
            </w:pPr>
            <w:r>
              <w:rPr>
                <w:rFonts w:hint="eastAsia"/>
                <w:color w:val="000000"/>
                <w:szCs w:val="21"/>
              </w:rPr>
              <w:t>国家认同与民族情怀。文化辨识与批判思维。文化自信。</w:t>
            </w:r>
          </w:p>
        </w:tc>
      </w:tr>
      <w:tr w14:paraId="04FBA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667" w:type="dxa"/>
            <w:tcBorders>
              <w:top w:val="single" w:color="auto" w:sz="4" w:space="0"/>
              <w:left w:val="single" w:color="auto" w:sz="4" w:space="0"/>
              <w:bottom w:val="single" w:color="auto" w:sz="4" w:space="0"/>
              <w:right w:val="single" w:color="auto" w:sz="4" w:space="0"/>
            </w:tcBorders>
            <w:vAlign w:val="center"/>
          </w:tcPr>
          <w:p w14:paraId="1A539257">
            <w:pPr>
              <w:widowControl/>
              <w:adjustRightInd w:val="0"/>
              <w:snapToGrid w:val="0"/>
              <w:jc w:val="center"/>
              <w:rPr>
                <w:szCs w:val="21"/>
              </w:rPr>
            </w:pPr>
            <w:r>
              <w:rPr>
                <w:szCs w:val="21"/>
              </w:rPr>
              <w:t>2</w:t>
            </w:r>
          </w:p>
        </w:tc>
        <w:tc>
          <w:tcPr>
            <w:tcW w:w="1163" w:type="dxa"/>
            <w:tcBorders>
              <w:top w:val="single" w:color="auto" w:sz="4" w:space="0"/>
              <w:left w:val="single" w:color="auto" w:sz="4" w:space="0"/>
              <w:bottom w:val="single" w:color="auto" w:sz="4" w:space="0"/>
              <w:right w:val="single" w:color="auto" w:sz="4" w:space="0"/>
            </w:tcBorders>
            <w:vAlign w:val="center"/>
          </w:tcPr>
          <w:p w14:paraId="1321C177">
            <w:pPr>
              <w:widowControl/>
              <w:adjustRightInd w:val="0"/>
              <w:snapToGrid w:val="0"/>
              <w:jc w:val="center"/>
              <w:rPr>
                <w:color w:val="000000"/>
                <w:szCs w:val="21"/>
              </w:rPr>
            </w:pPr>
            <w:r>
              <w:rPr>
                <w:rFonts w:hint="eastAsia"/>
                <w:color w:val="000000"/>
                <w:szCs w:val="21"/>
              </w:rPr>
              <w:t>口语表达</w:t>
            </w:r>
          </w:p>
        </w:tc>
        <w:tc>
          <w:tcPr>
            <w:tcW w:w="1512" w:type="dxa"/>
            <w:tcBorders>
              <w:top w:val="single" w:color="auto" w:sz="4" w:space="0"/>
              <w:left w:val="single" w:color="auto" w:sz="4" w:space="0"/>
              <w:bottom w:val="single" w:color="auto" w:sz="4" w:space="0"/>
              <w:right w:val="single" w:color="auto" w:sz="4" w:space="0"/>
            </w:tcBorders>
            <w:vAlign w:val="center"/>
          </w:tcPr>
          <w:p w14:paraId="1107AC01">
            <w:pPr>
              <w:widowControl/>
              <w:adjustRightInd w:val="0"/>
              <w:snapToGrid w:val="0"/>
              <w:jc w:val="center"/>
              <w:rPr>
                <w:color w:val="000000"/>
                <w:szCs w:val="21"/>
              </w:rPr>
            </w:pPr>
            <w:r>
              <w:rPr>
                <w:rFonts w:hint="eastAsia"/>
                <w:color w:val="000000"/>
                <w:szCs w:val="21"/>
              </w:rPr>
              <w:t>1</w:t>
            </w:r>
            <w:r>
              <w:rPr>
                <w:color w:val="000000"/>
                <w:szCs w:val="21"/>
              </w:rPr>
              <w:t>、</w:t>
            </w:r>
            <w:r>
              <w:rPr>
                <w:rFonts w:hint="eastAsia"/>
                <w:color w:val="000000"/>
                <w:szCs w:val="21"/>
              </w:rPr>
              <w:t>2、 3</w:t>
            </w:r>
          </w:p>
        </w:tc>
        <w:tc>
          <w:tcPr>
            <w:tcW w:w="1638" w:type="dxa"/>
            <w:tcBorders>
              <w:top w:val="single" w:color="auto" w:sz="4" w:space="0"/>
              <w:left w:val="single" w:color="auto" w:sz="4" w:space="0"/>
              <w:bottom w:val="single" w:color="auto" w:sz="4" w:space="0"/>
              <w:right w:val="single" w:color="auto" w:sz="4" w:space="0"/>
            </w:tcBorders>
            <w:vAlign w:val="center"/>
          </w:tcPr>
          <w:p w14:paraId="6E5E578F">
            <w:pPr>
              <w:widowControl/>
              <w:adjustRightInd w:val="0"/>
              <w:snapToGrid w:val="0"/>
              <w:jc w:val="center"/>
              <w:rPr>
                <w:rFonts w:eastAsia="宋体"/>
                <w:szCs w:val="21"/>
              </w:rPr>
            </w:pPr>
            <w:r>
              <w:rPr>
                <w:rFonts w:hint="eastAsia"/>
                <w:color w:val="000000"/>
                <w:szCs w:val="21"/>
              </w:rPr>
              <w:t>3-1、7-1</w:t>
            </w:r>
          </w:p>
        </w:tc>
        <w:tc>
          <w:tcPr>
            <w:tcW w:w="737" w:type="dxa"/>
            <w:tcBorders>
              <w:top w:val="single" w:color="auto" w:sz="4" w:space="0"/>
              <w:left w:val="single" w:color="auto" w:sz="4" w:space="0"/>
              <w:bottom w:val="single" w:color="auto" w:sz="4" w:space="0"/>
              <w:right w:val="single" w:color="auto" w:sz="4" w:space="0"/>
            </w:tcBorders>
            <w:vAlign w:val="center"/>
          </w:tcPr>
          <w:p w14:paraId="345207CE">
            <w:pPr>
              <w:widowControl/>
              <w:adjustRightInd w:val="0"/>
              <w:snapToGrid w:val="0"/>
              <w:jc w:val="center"/>
              <w:rPr>
                <w:color w:val="000000"/>
                <w:szCs w:val="21"/>
              </w:rPr>
            </w:pPr>
            <w:r>
              <w:rPr>
                <w:rFonts w:hint="eastAsia"/>
                <w:color w:val="000000"/>
                <w:szCs w:val="21"/>
              </w:rPr>
              <w:t>5</w:t>
            </w:r>
          </w:p>
        </w:tc>
        <w:tc>
          <w:tcPr>
            <w:tcW w:w="750" w:type="dxa"/>
            <w:tcBorders>
              <w:top w:val="single" w:color="auto" w:sz="4" w:space="0"/>
              <w:left w:val="single" w:color="auto" w:sz="4" w:space="0"/>
              <w:bottom w:val="single" w:color="auto" w:sz="4" w:space="0"/>
              <w:right w:val="single" w:color="auto" w:sz="4" w:space="0"/>
            </w:tcBorders>
            <w:vAlign w:val="center"/>
          </w:tcPr>
          <w:p w14:paraId="4A02313E">
            <w:pPr>
              <w:widowControl/>
              <w:adjustRightInd w:val="0"/>
              <w:snapToGrid w:val="0"/>
              <w:jc w:val="center"/>
              <w:rPr>
                <w:szCs w:val="21"/>
              </w:rPr>
            </w:pPr>
            <w:r>
              <w:rPr>
                <w:rFonts w:hint="eastAsia"/>
                <w:szCs w:val="21"/>
              </w:rPr>
              <w:t>0</w:t>
            </w:r>
          </w:p>
        </w:tc>
        <w:tc>
          <w:tcPr>
            <w:tcW w:w="3209" w:type="dxa"/>
            <w:tcBorders>
              <w:top w:val="single" w:color="auto" w:sz="4" w:space="0"/>
              <w:left w:val="single" w:color="auto" w:sz="4" w:space="0"/>
              <w:bottom w:val="single" w:color="auto" w:sz="4" w:space="0"/>
              <w:right w:val="single" w:color="auto" w:sz="4" w:space="0"/>
            </w:tcBorders>
          </w:tcPr>
          <w:p w14:paraId="5127F555">
            <w:pPr>
              <w:widowControl/>
              <w:adjustRightInd w:val="0"/>
              <w:snapToGrid w:val="0"/>
              <w:jc w:val="left"/>
              <w:rPr>
                <w:color w:val="000000"/>
                <w:szCs w:val="21"/>
              </w:rPr>
            </w:pPr>
            <w:r>
              <w:rPr>
                <w:rFonts w:hint="eastAsia"/>
                <w:color w:val="000000"/>
                <w:szCs w:val="21"/>
              </w:rPr>
              <w:t>克服焦虑，树立信心。传播社会主义核心价值观、中华优秀传统文化。讲好中国故事。</w:t>
            </w:r>
          </w:p>
        </w:tc>
      </w:tr>
      <w:tr w14:paraId="68BB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667" w:type="dxa"/>
            <w:tcBorders>
              <w:top w:val="single" w:color="auto" w:sz="4" w:space="0"/>
              <w:left w:val="single" w:color="auto" w:sz="4" w:space="0"/>
              <w:bottom w:val="single" w:color="auto" w:sz="4" w:space="0"/>
              <w:right w:val="single" w:color="auto" w:sz="4" w:space="0"/>
            </w:tcBorders>
            <w:vAlign w:val="center"/>
          </w:tcPr>
          <w:p w14:paraId="4559A419">
            <w:pPr>
              <w:widowControl/>
              <w:adjustRightInd w:val="0"/>
              <w:snapToGrid w:val="0"/>
              <w:jc w:val="center"/>
              <w:rPr>
                <w:szCs w:val="21"/>
              </w:rPr>
            </w:pPr>
            <w:r>
              <w:rPr>
                <w:szCs w:val="21"/>
              </w:rPr>
              <w:t>3</w:t>
            </w:r>
          </w:p>
        </w:tc>
        <w:tc>
          <w:tcPr>
            <w:tcW w:w="1163" w:type="dxa"/>
            <w:tcBorders>
              <w:top w:val="single" w:color="auto" w:sz="4" w:space="0"/>
              <w:left w:val="single" w:color="auto" w:sz="4" w:space="0"/>
              <w:bottom w:val="single" w:color="auto" w:sz="4" w:space="0"/>
              <w:right w:val="single" w:color="auto" w:sz="4" w:space="0"/>
            </w:tcBorders>
            <w:vAlign w:val="center"/>
          </w:tcPr>
          <w:p w14:paraId="1AF9352A">
            <w:pPr>
              <w:widowControl/>
              <w:adjustRightInd w:val="0"/>
              <w:snapToGrid w:val="0"/>
              <w:jc w:val="center"/>
              <w:rPr>
                <w:color w:val="000000"/>
                <w:szCs w:val="21"/>
              </w:rPr>
            </w:pPr>
            <w:r>
              <w:rPr>
                <w:rFonts w:hint="eastAsia"/>
                <w:color w:val="000000"/>
                <w:szCs w:val="21"/>
              </w:rPr>
              <w:t>阅读理解</w:t>
            </w:r>
          </w:p>
        </w:tc>
        <w:tc>
          <w:tcPr>
            <w:tcW w:w="1512" w:type="dxa"/>
            <w:tcBorders>
              <w:top w:val="single" w:color="auto" w:sz="4" w:space="0"/>
              <w:left w:val="single" w:color="auto" w:sz="4" w:space="0"/>
              <w:bottom w:val="single" w:color="auto" w:sz="4" w:space="0"/>
              <w:right w:val="single" w:color="auto" w:sz="4" w:space="0"/>
            </w:tcBorders>
            <w:vAlign w:val="center"/>
          </w:tcPr>
          <w:p w14:paraId="65795D2E">
            <w:pPr>
              <w:widowControl/>
              <w:adjustRightInd w:val="0"/>
              <w:snapToGrid w:val="0"/>
              <w:jc w:val="center"/>
              <w:rPr>
                <w:color w:val="000000"/>
                <w:szCs w:val="21"/>
              </w:rPr>
            </w:pPr>
            <w:r>
              <w:rPr>
                <w:rFonts w:hint="eastAsia"/>
                <w:color w:val="000000"/>
                <w:szCs w:val="21"/>
              </w:rPr>
              <w:t>1</w:t>
            </w:r>
            <w:r>
              <w:rPr>
                <w:color w:val="000000"/>
                <w:szCs w:val="21"/>
              </w:rPr>
              <w:t>、</w:t>
            </w:r>
            <w:r>
              <w:rPr>
                <w:rFonts w:hint="eastAsia"/>
                <w:color w:val="000000"/>
                <w:szCs w:val="21"/>
              </w:rPr>
              <w:t>2、 3</w:t>
            </w:r>
          </w:p>
        </w:tc>
        <w:tc>
          <w:tcPr>
            <w:tcW w:w="1638" w:type="dxa"/>
            <w:tcBorders>
              <w:top w:val="single" w:color="auto" w:sz="4" w:space="0"/>
              <w:left w:val="single" w:color="auto" w:sz="4" w:space="0"/>
              <w:bottom w:val="single" w:color="auto" w:sz="4" w:space="0"/>
              <w:right w:val="single" w:color="auto" w:sz="4" w:space="0"/>
            </w:tcBorders>
            <w:vAlign w:val="center"/>
          </w:tcPr>
          <w:p w14:paraId="7BF88E24">
            <w:pPr>
              <w:widowControl/>
              <w:adjustRightInd w:val="0"/>
              <w:snapToGrid w:val="0"/>
              <w:jc w:val="center"/>
              <w:rPr>
                <w:rFonts w:eastAsia="宋体"/>
                <w:szCs w:val="21"/>
              </w:rPr>
            </w:pPr>
            <w:r>
              <w:rPr>
                <w:rFonts w:hint="eastAsia"/>
                <w:color w:val="000000"/>
                <w:szCs w:val="21"/>
              </w:rPr>
              <w:t>3-1、7-1</w:t>
            </w:r>
          </w:p>
        </w:tc>
        <w:tc>
          <w:tcPr>
            <w:tcW w:w="737" w:type="dxa"/>
            <w:tcBorders>
              <w:top w:val="single" w:color="auto" w:sz="4" w:space="0"/>
              <w:left w:val="single" w:color="auto" w:sz="4" w:space="0"/>
              <w:bottom w:val="single" w:color="auto" w:sz="4" w:space="0"/>
              <w:right w:val="single" w:color="auto" w:sz="4" w:space="0"/>
            </w:tcBorders>
            <w:vAlign w:val="center"/>
          </w:tcPr>
          <w:p w14:paraId="0971F284">
            <w:pPr>
              <w:widowControl/>
              <w:adjustRightInd w:val="0"/>
              <w:snapToGrid w:val="0"/>
              <w:jc w:val="center"/>
              <w:rPr>
                <w:color w:val="000000"/>
                <w:szCs w:val="21"/>
              </w:rPr>
            </w:pPr>
            <w:r>
              <w:rPr>
                <w:rFonts w:hint="eastAsia"/>
                <w:color w:val="000000"/>
                <w:szCs w:val="21"/>
              </w:rPr>
              <w:t>10</w:t>
            </w:r>
          </w:p>
        </w:tc>
        <w:tc>
          <w:tcPr>
            <w:tcW w:w="750" w:type="dxa"/>
            <w:tcBorders>
              <w:top w:val="single" w:color="auto" w:sz="4" w:space="0"/>
              <w:left w:val="single" w:color="auto" w:sz="4" w:space="0"/>
              <w:bottom w:val="single" w:color="auto" w:sz="4" w:space="0"/>
              <w:right w:val="single" w:color="auto" w:sz="4" w:space="0"/>
            </w:tcBorders>
            <w:vAlign w:val="center"/>
          </w:tcPr>
          <w:p w14:paraId="73717A1B">
            <w:pPr>
              <w:widowControl/>
              <w:adjustRightInd w:val="0"/>
              <w:snapToGrid w:val="0"/>
              <w:jc w:val="center"/>
              <w:rPr>
                <w:szCs w:val="21"/>
              </w:rPr>
            </w:pPr>
            <w:r>
              <w:rPr>
                <w:rFonts w:hint="eastAsia"/>
                <w:szCs w:val="21"/>
              </w:rPr>
              <w:t>0</w:t>
            </w:r>
          </w:p>
        </w:tc>
        <w:tc>
          <w:tcPr>
            <w:tcW w:w="3209" w:type="dxa"/>
            <w:tcBorders>
              <w:top w:val="single" w:color="auto" w:sz="4" w:space="0"/>
              <w:left w:val="single" w:color="auto" w:sz="4" w:space="0"/>
              <w:bottom w:val="single" w:color="auto" w:sz="4" w:space="0"/>
              <w:right w:val="single" w:color="auto" w:sz="4" w:space="0"/>
            </w:tcBorders>
          </w:tcPr>
          <w:p w14:paraId="63665AF0">
            <w:pPr>
              <w:widowControl/>
              <w:adjustRightInd w:val="0"/>
              <w:snapToGrid w:val="0"/>
              <w:jc w:val="left"/>
              <w:rPr>
                <w:color w:val="000000"/>
                <w:szCs w:val="21"/>
              </w:rPr>
            </w:pPr>
            <w:r>
              <w:rPr>
                <w:rFonts w:hint="eastAsia"/>
                <w:color w:val="000000"/>
                <w:szCs w:val="21"/>
              </w:rPr>
              <w:t>国家认同与民族情怀。文化自信。文化辨识与批判思维。</w:t>
            </w:r>
          </w:p>
        </w:tc>
      </w:tr>
      <w:tr w14:paraId="7139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667" w:type="dxa"/>
            <w:tcBorders>
              <w:top w:val="single" w:color="auto" w:sz="4" w:space="0"/>
              <w:left w:val="single" w:color="auto" w:sz="4" w:space="0"/>
              <w:bottom w:val="single" w:color="auto" w:sz="4" w:space="0"/>
              <w:right w:val="single" w:color="auto" w:sz="4" w:space="0"/>
            </w:tcBorders>
            <w:vAlign w:val="center"/>
          </w:tcPr>
          <w:p w14:paraId="7E985E73">
            <w:pPr>
              <w:widowControl/>
              <w:adjustRightInd w:val="0"/>
              <w:snapToGrid w:val="0"/>
              <w:jc w:val="center"/>
              <w:rPr>
                <w:szCs w:val="21"/>
              </w:rPr>
            </w:pPr>
            <w:r>
              <w:rPr>
                <w:rFonts w:hint="eastAsia"/>
                <w:szCs w:val="21"/>
              </w:rPr>
              <w:t>4</w:t>
            </w:r>
          </w:p>
        </w:tc>
        <w:tc>
          <w:tcPr>
            <w:tcW w:w="1163" w:type="dxa"/>
            <w:tcBorders>
              <w:top w:val="single" w:color="auto" w:sz="4" w:space="0"/>
              <w:left w:val="single" w:color="auto" w:sz="4" w:space="0"/>
              <w:bottom w:val="single" w:color="auto" w:sz="4" w:space="0"/>
              <w:right w:val="single" w:color="auto" w:sz="4" w:space="0"/>
            </w:tcBorders>
            <w:vAlign w:val="center"/>
          </w:tcPr>
          <w:p w14:paraId="366C6521">
            <w:pPr>
              <w:widowControl/>
              <w:adjustRightInd w:val="0"/>
              <w:snapToGrid w:val="0"/>
              <w:jc w:val="center"/>
              <w:rPr>
                <w:color w:val="000000"/>
                <w:szCs w:val="21"/>
              </w:rPr>
            </w:pPr>
            <w:r>
              <w:rPr>
                <w:rFonts w:hint="eastAsia"/>
                <w:color w:val="000000"/>
                <w:szCs w:val="21"/>
              </w:rPr>
              <w:t>书面表达</w:t>
            </w:r>
          </w:p>
        </w:tc>
        <w:tc>
          <w:tcPr>
            <w:tcW w:w="1512" w:type="dxa"/>
            <w:tcBorders>
              <w:top w:val="single" w:color="auto" w:sz="4" w:space="0"/>
              <w:left w:val="single" w:color="auto" w:sz="4" w:space="0"/>
              <w:bottom w:val="single" w:color="auto" w:sz="4" w:space="0"/>
              <w:right w:val="single" w:color="auto" w:sz="4" w:space="0"/>
            </w:tcBorders>
            <w:vAlign w:val="center"/>
          </w:tcPr>
          <w:p w14:paraId="7770667F">
            <w:pPr>
              <w:widowControl/>
              <w:adjustRightInd w:val="0"/>
              <w:snapToGrid w:val="0"/>
              <w:jc w:val="center"/>
              <w:rPr>
                <w:color w:val="000000"/>
                <w:szCs w:val="21"/>
              </w:rPr>
            </w:pPr>
            <w:r>
              <w:rPr>
                <w:rFonts w:hint="eastAsia"/>
                <w:color w:val="000000"/>
                <w:szCs w:val="21"/>
              </w:rPr>
              <w:t>1</w:t>
            </w:r>
            <w:r>
              <w:rPr>
                <w:color w:val="000000"/>
                <w:szCs w:val="21"/>
              </w:rPr>
              <w:t>、</w:t>
            </w:r>
            <w:r>
              <w:rPr>
                <w:rFonts w:hint="eastAsia"/>
                <w:color w:val="000000"/>
                <w:szCs w:val="21"/>
              </w:rPr>
              <w:t>2、 3</w:t>
            </w:r>
          </w:p>
        </w:tc>
        <w:tc>
          <w:tcPr>
            <w:tcW w:w="1638" w:type="dxa"/>
            <w:tcBorders>
              <w:top w:val="single" w:color="auto" w:sz="4" w:space="0"/>
              <w:left w:val="single" w:color="auto" w:sz="4" w:space="0"/>
              <w:bottom w:val="single" w:color="auto" w:sz="4" w:space="0"/>
              <w:right w:val="single" w:color="auto" w:sz="4" w:space="0"/>
            </w:tcBorders>
            <w:vAlign w:val="center"/>
          </w:tcPr>
          <w:p w14:paraId="2E19093A">
            <w:pPr>
              <w:widowControl/>
              <w:adjustRightInd w:val="0"/>
              <w:snapToGrid w:val="0"/>
              <w:jc w:val="center"/>
              <w:rPr>
                <w:rFonts w:eastAsia="宋体"/>
                <w:szCs w:val="21"/>
              </w:rPr>
            </w:pPr>
            <w:r>
              <w:rPr>
                <w:rFonts w:hint="eastAsia"/>
                <w:color w:val="000000"/>
                <w:szCs w:val="21"/>
              </w:rPr>
              <w:t>3-1、8-2</w:t>
            </w:r>
          </w:p>
        </w:tc>
        <w:tc>
          <w:tcPr>
            <w:tcW w:w="737" w:type="dxa"/>
            <w:tcBorders>
              <w:top w:val="single" w:color="auto" w:sz="4" w:space="0"/>
              <w:left w:val="single" w:color="auto" w:sz="4" w:space="0"/>
              <w:bottom w:val="single" w:color="auto" w:sz="4" w:space="0"/>
              <w:right w:val="single" w:color="auto" w:sz="4" w:space="0"/>
            </w:tcBorders>
            <w:vAlign w:val="center"/>
          </w:tcPr>
          <w:p w14:paraId="1183CFEA">
            <w:pPr>
              <w:widowControl/>
              <w:adjustRightInd w:val="0"/>
              <w:snapToGrid w:val="0"/>
              <w:jc w:val="center"/>
              <w:rPr>
                <w:color w:val="000000"/>
                <w:szCs w:val="21"/>
              </w:rPr>
            </w:pPr>
            <w:r>
              <w:rPr>
                <w:rFonts w:hint="eastAsia"/>
                <w:color w:val="000000"/>
                <w:szCs w:val="21"/>
              </w:rPr>
              <w:t>5</w:t>
            </w:r>
          </w:p>
        </w:tc>
        <w:tc>
          <w:tcPr>
            <w:tcW w:w="750" w:type="dxa"/>
            <w:tcBorders>
              <w:top w:val="single" w:color="auto" w:sz="4" w:space="0"/>
              <w:left w:val="single" w:color="auto" w:sz="4" w:space="0"/>
              <w:bottom w:val="single" w:color="auto" w:sz="4" w:space="0"/>
              <w:right w:val="single" w:color="auto" w:sz="4" w:space="0"/>
            </w:tcBorders>
            <w:vAlign w:val="center"/>
          </w:tcPr>
          <w:p w14:paraId="08CBEF52">
            <w:pPr>
              <w:widowControl/>
              <w:adjustRightInd w:val="0"/>
              <w:snapToGrid w:val="0"/>
              <w:jc w:val="center"/>
              <w:rPr>
                <w:szCs w:val="21"/>
              </w:rPr>
            </w:pPr>
            <w:r>
              <w:rPr>
                <w:rFonts w:hint="eastAsia"/>
                <w:szCs w:val="21"/>
              </w:rPr>
              <w:t>0</w:t>
            </w:r>
          </w:p>
        </w:tc>
        <w:tc>
          <w:tcPr>
            <w:tcW w:w="3209" w:type="dxa"/>
            <w:tcBorders>
              <w:top w:val="single" w:color="auto" w:sz="4" w:space="0"/>
              <w:left w:val="single" w:color="auto" w:sz="4" w:space="0"/>
              <w:bottom w:val="single" w:color="auto" w:sz="4" w:space="0"/>
              <w:right w:val="single" w:color="auto" w:sz="4" w:space="0"/>
            </w:tcBorders>
          </w:tcPr>
          <w:p w14:paraId="12A8CFD1">
            <w:pPr>
              <w:widowControl/>
              <w:adjustRightInd w:val="0"/>
              <w:snapToGrid w:val="0"/>
              <w:jc w:val="left"/>
              <w:rPr>
                <w:color w:val="000000"/>
                <w:szCs w:val="21"/>
              </w:rPr>
            </w:pPr>
            <w:r>
              <w:rPr>
                <w:rFonts w:hint="eastAsia"/>
                <w:color w:val="000000"/>
                <w:szCs w:val="21"/>
              </w:rPr>
              <w:t>文化辨识与批判思维。文化自信。传播社会主义核心价值观、中华优秀传统文化。讲好中国故事。</w:t>
            </w:r>
          </w:p>
        </w:tc>
      </w:tr>
      <w:tr w14:paraId="740E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667" w:type="dxa"/>
            <w:tcBorders>
              <w:top w:val="single" w:color="auto" w:sz="4" w:space="0"/>
              <w:left w:val="single" w:color="auto" w:sz="4" w:space="0"/>
              <w:bottom w:val="single" w:color="auto" w:sz="4" w:space="0"/>
              <w:right w:val="single" w:color="auto" w:sz="4" w:space="0"/>
            </w:tcBorders>
            <w:vAlign w:val="center"/>
          </w:tcPr>
          <w:p w14:paraId="3F37CAEC">
            <w:pPr>
              <w:widowControl/>
              <w:adjustRightInd w:val="0"/>
              <w:snapToGrid w:val="0"/>
              <w:jc w:val="center"/>
              <w:rPr>
                <w:szCs w:val="21"/>
              </w:rPr>
            </w:pPr>
            <w:r>
              <w:rPr>
                <w:rFonts w:hint="eastAsia"/>
                <w:szCs w:val="21"/>
              </w:rPr>
              <w:t>5</w:t>
            </w:r>
          </w:p>
        </w:tc>
        <w:tc>
          <w:tcPr>
            <w:tcW w:w="1163" w:type="dxa"/>
            <w:tcBorders>
              <w:top w:val="single" w:color="auto" w:sz="4" w:space="0"/>
              <w:left w:val="single" w:color="auto" w:sz="4" w:space="0"/>
              <w:bottom w:val="single" w:color="auto" w:sz="4" w:space="0"/>
              <w:right w:val="single" w:color="auto" w:sz="4" w:space="0"/>
            </w:tcBorders>
            <w:vAlign w:val="center"/>
          </w:tcPr>
          <w:p w14:paraId="5A708BC9">
            <w:pPr>
              <w:widowControl/>
              <w:adjustRightInd w:val="0"/>
              <w:snapToGrid w:val="0"/>
              <w:jc w:val="center"/>
              <w:rPr>
                <w:color w:val="000000"/>
                <w:szCs w:val="21"/>
              </w:rPr>
            </w:pPr>
            <w:r>
              <w:rPr>
                <w:rFonts w:hint="eastAsia"/>
                <w:color w:val="000000"/>
                <w:szCs w:val="21"/>
              </w:rPr>
              <w:t>中英互译</w:t>
            </w:r>
          </w:p>
        </w:tc>
        <w:tc>
          <w:tcPr>
            <w:tcW w:w="1512" w:type="dxa"/>
            <w:tcBorders>
              <w:top w:val="single" w:color="auto" w:sz="4" w:space="0"/>
              <w:left w:val="single" w:color="auto" w:sz="4" w:space="0"/>
              <w:bottom w:val="single" w:color="auto" w:sz="4" w:space="0"/>
              <w:right w:val="single" w:color="auto" w:sz="4" w:space="0"/>
            </w:tcBorders>
            <w:vAlign w:val="center"/>
          </w:tcPr>
          <w:p w14:paraId="2AAF85DF">
            <w:pPr>
              <w:widowControl/>
              <w:adjustRightInd w:val="0"/>
              <w:snapToGrid w:val="0"/>
              <w:jc w:val="center"/>
              <w:rPr>
                <w:color w:val="000000"/>
                <w:szCs w:val="21"/>
              </w:rPr>
            </w:pPr>
            <w:r>
              <w:rPr>
                <w:rFonts w:hint="eastAsia"/>
                <w:color w:val="000000"/>
                <w:szCs w:val="21"/>
              </w:rPr>
              <w:t>1</w:t>
            </w:r>
            <w:r>
              <w:rPr>
                <w:color w:val="000000"/>
                <w:szCs w:val="21"/>
              </w:rPr>
              <w:t>、</w:t>
            </w:r>
            <w:r>
              <w:rPr>
                <w:rFonts w:hint="eastAsia"/>
                <w:color w:val="000000"/>
                <w:szCs w:val="21"/>
              </w:rPr>
              <w:t>2、 3</w:t>
            </w:r>
          </w:p>
        </w:tc>
        <w:tc>
          <w:tcPr>
            <w:tcW w:w="1638" w:type="dxa"/>
            <w:tcBorders>
              <w:top w:val="single" w:color="auto" w:sz="4" w:space="0"/>
              <w:left w:val="single" w:color="auto" w:sz="4" w:space="0"/>
              <w:bottom w:val="single" w:color="auto" w:sz="4" w:space="0"/>
              <w:right w:val="single" w:color="auto" w:sz="4" w:space="0"/>
            </w:tcBorders>
            <w:vAlign w:val="center"/>
          </w:tcPr>
          <w:p w14:paraId="2AAF8C69">
            <w:pPr>
              <w:widowControl/>
              <w:adjustRightInd w:val="0"/>
              <w:snapToGrid w:val="0"/>
              <w:jc w:val="center"/>
              <w:rPr>
                <w:rFonts w:eastAsia="宋体"/>
                <w:szCs w:val="21"/>
              </w:rPr>
            </w:pPr>
            <w:r>
              <w:rPr>
                <w:rFonts w:hint="eastAsia"/>
                <w:color w:val="000000"/>
                <w:szCs w:val="21"/>
              </w:rPr>
              <w:t>3-1、8-2</w:t>
            </w:r>
          </w:p>
        </w:tc>
        <w:tc>
          <w:tcPr>
            <w:tcW w:w="737" w:type="dxa"/>
            <w:tcBorders>
              <w:top w:val="single" w:color="auto" w:sz="4" w:space="0"/>
              <w:left w:val="single" w:color="auto" w:sz="4" w:space="0"/>
              <w:bottom w:val="single" w:color="auto" w:sz="4" w:space="0"/>
              <w:right w:val="single" w:color="auto" w:sz="4" w:space="0"/>
            </w:tcBorders>
            <w:vAlign w:val="center"/>
          </w:tcPr>
          <w:p w14:paraId="2BAA6E2A">
            <w:pPr>
              <w:widowControl/>
              <w:adjustRightInd w:val="0"/>
              <w:snapToGrid w:val="0"/>
              <w:jc w:val="center"/>
              <w:rPr>
                <w:color w:val="000000"/>
                <w:szCs w:val="21"/>
              </w:rPr>
            </w:pPr>
            <w:r>
              <w:rPr>
                <w:rFonts w:hint="eastAsia"/>
                <w:color w:val="000000"/>
                <w:szCs w:val="21"/>
              </w:rPr>
              <w:t>5</w:t>
            </w:r>
          </w:p>
        </w:tc>
        <w:tc>
          <w:tcPr>
            <w:tcW w:w="750" w:type="dxa"/>
            <w:tcBorders>
              <w:top w:val="single" w:color="auto" w:sz="4" w:space="0"/>
              <w:left w:val="single" w:color="auto" w:sz="4" w:space="0"/>
              <w:bottom w:val="single" w:color="auto" w:sz="4" w:space="0"/>
              <w:right w:val="single" w:color="auto" w:sz="4" w:space="0"/>
            </w:tcBorders>
            <w:vAlign w:val="center"/>
          </w:tcPr>
          <w:p w14:paraId="445108D0">
            <w:pPr>
              <w:widowControl/>
              <w:adjustRightInd w:val="0"/>
              <w:snapToGrid w:val="0"/>
              <w:jc w:val="center"/>
              <w:rPr>
                <w:szCs w:val="21"/>
              </w:rPr>
            </w:pPr>
            <w:r>
              <w:rPr>
                <w:rFonts w:hint="eastAsia"/>
                <w:szCs w:val="21"/>
              </w:rPr>
              <w:t>0</w:t>
            </w:r>
          </w:p>
        </w:tc>
        <w:tc>
          <w:tcPr>
            <w:tcW w:w="3209" w:type="dxa"/>
            <w:tcBorders>
              <w:top w:val="single" w:color="auto" w:sz="4" w:space="0"/>
              <w:left w:val="single" w:color="auto" w:sz="4" w:space="0"/>
              <w:bottom w:val="single" w:color="auto" w:sz="4" w:space="0"/>
              <w:right w:val="single" w:color="auto" w:sz="4" w:space="0"/>
            </w:tcBorders>
          </w:tcPr>
          <w:p w14:paraId="73CBFF4E">
            <w:pPr>
              <w:widowControl/>
              <w:adjustRightInd w:val="0"/>
              <w:snapToGrid w:val="0"/>
              <w:jc w:val="left"/>
              <w:rPr>
                <w:color w:val="000000"/>
                <w:szCs w:val="21"/>
              </w:rPr>
            </w:pPr>
            <w:r>
              <w:rPr>
                <w:rFonts w:hint="eastAsia"/>
                <w:color w:val="000000"/>
                <w:szCs w:val="21"/>
              </w:rPr>
              <w:t>文化辨识与批判思维。文化自信。传播社会主义核心价值观、中华优秀传统文化。讲好中国故事。</w:t>
            </w:r>
          </w:p>
        </w:tc>
      </w:tr>
      <w:tr w14:paraId="0870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980" w:type="dxa"/>
            <w:gridSpan w:val="4"/>
            <w:tcBorders>
              <w:top w:val="single" w:color="auto" w:sz="4" w:space="0"/>
              <w:left w:val="single" w:color="auto" w:sz="4" w:space="0"/>
              <w:bottom w:val="single" w:color="auto" w:sz="4" w:space="0"/>
              <w:right w:val="single" w:color="auto" w:sz="4" w:space="0"/>
            </w:tcBorders>
            <w:vAlign w:val="center"/>
          </w:tcPr>
          <w:p w14:paraId="65CCD9B0">
            <w:pPr>
              <w:widowControl/>
              <w:adjustRightInd w:val="0"/>
              <w:snapToGrid w:val="0"/>
              <w:jc w:val="center"/>
              <w:rPr>
                <w:szCs w:val="21"/>
              </w:rPr>
            </w:pPr>
            <w:r>
              <w:rPr>
                <w:szCs w:val="21"/>
              </w:rPr>
              <w:t>合 计</w:t>
            </w:r>
          </w:p>
        </w:tc>
        <w:tc>
          <w:tcPr>
            <w:tcW w:w="737" w:type="dxa"/>
            <w:tcBorders>
              <w:top w:val="single" w:color="auto" w:sz="4" w:space="0"/>
              <w:left w:val="single" w:color="auto" w:sz="4" w:space="0"/>
              <w:bottom w:val="single" w:color="auto" w:sz="4" w:space="0"/>
              <w:right w:val="single" w:color="auto" w:sz="4" w:space="0"/>
            </w:tcBorders>
            <w:vAlign w:val="center"/>
          </w:tcPr>
          <w:p w14:paraId="7EC81704">
            <w:pPr>
              <w:widowControl/>
              <w:adjustRightInd w:val="0"/>
              <w:snapToGrid w:val="0"/>
              <w:jc w:val="center"/>
              <w:rPr>
                <w:color w:val="000000"/>
                <w:szCs w:val="21"/>
              </w:rPr>
            </w:pPr>
            <w:r>
              <w:rPr>
                <w:rFonts w:hint="eastAsia"/>
                <w:color w:val="000000"/>
                <w:szCs w:val="21"/>
              </w:rPr>
              <w:t>33</w:t>
            </w:r>
          </w:p>
        </w:tc>
        <w:tc>
          <w:tcPr>
            <w:tcW w:w="750" w:type="dxa"/>
            <w:tcBorders>
              <w:top w:val="single" w:color="auto" w:sz="4" w:space="0"/>
              <w:left w:val="single" w:color="auto" w:sz="4" w:space="0"/>
              <w:bottom w:val="single" w:color="auto" w:sz="4" w:space="0"/>
              <w:right w:val="single" w:color="auto" w:sz="4" w:space="0"/>
            </w:tcBorders>
            <w:vAlign w:val="center"/>
          </w:tcPr>
          <w:p w14:paraId="5D27EBBD">
            <w:pPr>
              <w:widowControl/>
              <w:adjustRightInd w:val="0"/>
              <w:snapToGrid w:val="0"/>
              <w:jc w:val="center"/>
              <w:rPr>
                <w:szCs w:val="21"/>
              </w:rPr>
            </w:pPr>
            <w:r>
              <w:rPr>
                <w:rFonts w:hint="eastAsia"/>
                <w:szCs w:val="21"/>
              </w:rPr>
              <w:t>0</w:t>
            </w:r>
          </w:p>
        </w:tc>
        <w:tc>
          <w:tcPr>
            <w:tcW w:w="3209" w:type="dxa"/>
            <w:tcBorders>
              <w:top w:val="single" w:color="auto" w:sz="4" w:space="0"/>
              <w:left w:val="single" w:color="auto" w:sz="4" w:space="0"/>
              <w:bottom w:val="single" w:color="auto" w:sz="4" w:space="0"/>
              <w:right w:val="single" w:color="auto" w:sz="4" w:space="0"/>
            </w:tcBorders>
          </w:tcPr>
          <w:p w14:paraId="5F8B9217">
            <w:pPr>
              <w:widowControl/>
              <w:adjustRightInd w:val="0"/>
              <w:snapToGrid w:val="0"/>
              <w:jc w:val="center"/>
              <w:rPr>
                <w:szCs w:val="21"/>
              </w:rPr>
            </w:pPr>
          </w:p>
        </w:tc>
      </w:tr>
    </w:tbl>
    <w:p w14:paraId="5D16FAC0">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四、课程实施</w:t>
      </w:r>
    </w:p>
    <w:p w14:paraId="559E86F1">
      <w:pPr>
        <w:snapToGrid w:val="0"/>
        <w:spacing w:line="360" w:lineRule="auto"/>
        <w:ind w:firstLine="422" w:firstLineChars="200"/>
        <w:rPr>
          <w:b/>
          <w:szCs w:val="21"/>
        </w:rPr>
      </w:pPr>
      <w:r>
        <w:rPr>
          <w:rFonts w:hint="eastAsia"/>
          <w:b/>
          <w:szCs w:val="21"/>
        </w:rPr>
        <w:t>（一）教学方法与教学手段</w:t>
      </w:r>
    </w:p>
    <w:p w14:paraId="3DABBAAB">
      <w:pPr>
        <w:snapToGrid w:val="0"/>
        <w:spacing w:line="360" w:lineRule="auto"/>
        <w:ind w:firstLine="420" w:firstLineChars="200"/>
        <w:rPr>
          <w:bCs/>
          <w:szCs w:val="21"/>
        </w:rPr>
      </w:pPr>
      <w:r>
        <w:rPr>
          <w:rFonts w:hint="eastAsia"/>
          <w:bCs/>
          <w:szCs w:val="21"/>
        </w:rPr>
        <w:t>（1）依托网络学习平台，引导学生线上自主学习，培养学生自主学习能力，并进一步培养学生发现问题、分析问题、解决问题的能力。</w:t>
      </w:r>
    </w:p>
    <w:p w14:paraId="00251A47">
      <w:pPr>
        <w:snapToGrid w:val="0"/>
        <w:spacing w:line="360" w:lineRule="auto"/>
        <w:ind w:firstLine="420" w:firstLineChars="200"/>
        <w:rPr>
          <w:bCs/>
          <w:szCs w:val="21"/>
        </w:rPr>
      </w:pPr>
      <w:r>
        <w:rPr>
          <w:rFonts w:hint="eastAsia"/>
          <w:bCs/>
          <w:szCs w:val="21"/>
        </w:rPr>
        <w:t>（2）线下课堂采用启发式、讨论式、合作式教学，通过学生自主探究、理性思考、充分讨论形成结论，相互评价，使基本英语技能得以内化并实现灵活应用。</w:t>
      </w:r>
    </w:p>
    <w:p w14:paraId="2A6DB557">
      <w:pPr>
        <w:snapToGrid w:val="0"/>
        <w:spacing w:line="360" w:lineRule="auto"/>
        <w:ind w:firstLine="420" w:firstLineChars="200"/>
        <w:rPr>
          <w:bCs/>
          <w:szCs w:val="21"/>
        </w:rPr>
      </w:pPr>
      <w:r>
        <w:rPr>
          <w:rFonts w:hint="eastAsia"/>
          <w:bCs/>
          <w:szCs w:val="21"/>
        </w:rPr>
        <w:t>（3）课程思政育人方法：利用英语课程的国际视野特性，通过中西文化、制度、观念的客观比较，引导学生增强文化自信，形成辩证、全面的世界观。设计启发性、讨论式、合作式、探究式的课堂活动，让学生主动思考、辨析和表达，在语言运用中内化价值观。</w:t>
      </w:r>
    </w:p>
    <w:p w14:paraId="4DD29024">
      <w:pPr>
        <w:spacing w:line="360" w:lineRule="auto"/>
        <w:ind w:firstLine="422" w:firstLineChars="200"/>
        <w:rPr>
          <w:b/>
          <w:szCs w:val="21"/>
        </w:rPr>
      </w:pPr>
      <w:r>
        <w:rPr>
          <w:rFonts w:hint="eastAsia"/>
          <w:b/>
          <w:szCs w:val="21"/>
        </w:rPr>
        <w:t>（二）教学质量要求</w:t>
      </w:r>
    </w:p>
    <w:p w14:paraId="21F08C86">
      <w:pPr>
        <w:tabs>
          <w:tab w:val="right" w:pos="9070"/>
        </w:tabs>
        <w:spacing w:line="360" w:lineRule="auto"/>
        <w:ind w:firstLine="420" w:firstLineChars="200"/>
        <w:rPr>
          <w:szCs w:val="21"/>
        </w:rPr>
      </w:pPr>
      <w:r>
        <w:rPr>
          <w:rFonts w:hint="eastAsia"/>
          <w:szCs w:val="21"/>
        </w:rPr>
        <w:t>课程主要教学环节及其质量要求如表3所示。</w:t>
      </w:r>
      <w:r>
        <w:rPr>
          <w:szCs w:val="21"/>
        </w:rPr>
        <w:tab/>
      </w:r>
    </w:p>
    <w:p w14:paraId="244BA32F">
      <w:pPr>
        <w:spacing w:line="360" w:lineRule="auto"/>
        <w:jc w:val="center"/>
        <w:rPr>
          <w:szCs w:val="21"/>
        </w:rPr>
      </w:pPr>
      <w:r>
        <w:rPr>
          <w:rFonts w:hint="eastAsia"/>
          <w:szCs w:val="21"/>
        </w:rPr>
        <w:t>表3</w:t>
      </w:r>
      <w:r>
        <w:rPr>
          <w:szCs w:val="21"/>
        </w:rPr>
        <w:t xml:space="preserve">  </w:t>
      </w:r>
      <w:r>
        <w:rPr>
          <w:rFonts w:hint="eastAsia"/>
          <w:szCs w:val="21"/>
        </w:rPr>
        <w:t>课程主要教学环节和质量要求表</w:t>
      </w:r>
    </w:p>
    <w:tbl>
      <w:tblPr>
        <w:tblStyle w:val="11"/>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02"/>
        <w:gridCol w:w="7221"/>
      </w:tblGrid>
      <w:tr w14:paraId="25FE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838" w:type="dxa"/>
            <w:gridSpan w:val="2"/>
            <w:tcBorders>
              <w:top w:val="single" w:color="auto" w:sz="4" w:space="0"/>
              <w:left w:val="single" w:color="auto" w:sz="4" w:space="0"/>
              <w:right w:val="single" w:color="auto" w:sz="4" w:space="0"/>
            </w:tcBorders>
            <w:tcMar>
              <w:left w:w="28" w:type="dxa"/>
              <w:right w:w="28" w:type="dxa"/>
            </w:tcMar>
            <w:vAlign w:val="center"/>
          </w:tcPr>
          <w:p w14:paraId="04C005E3">
            <w:pPr>
              <w:snapToGrid w:val="0"/>
              <w:jc w:val="center"/>
              <w:rPr>
                <w:b/>
                <w:szCs w:val="21"/>
              </w:rPr>
            </w:pPr>
            <w:r>
              <w:rPr>
                <w:b/>
                <w:szCs w:val="21"/>
              </w:rPr>
              <w:t>主要教学环节</w:t>
            </w:r>
          </w:p>
        </w:tc>
        <w:tc>
          <w:tcPr>
            <w:tcW w:w="7221" w:type="dxa"/>
            <w:tcBorders>
              <w:top w:val="single" w:color="auto" w:sz="4" w:space="0"/>
              <w:left w:val="single" w:color="auto" w:sz="4" w:space="0"/>
              <w:right w:val="single" w:color="auto" w:sz="4" w:space="0"/>
            </w:tcBorders>
            <w:vAlign w:val="center"/>
          </w:tcPr>
          <w:p w14:paraId="55AE97B3">
            <w:pPr>
              <w:snapToGrid w:val="0"/>
              <w:jc w:val="center"/>
              <w:rPr>
                <w:b/>
                <w:szCs w:val="21"/>
              </w:rPr>
            </w:pPr>
            <w:r>
              <w:rPr>
                <w:b/>
                <w:szCs w:val="21"/>
              </w:rPr>
              <w:t>质量</w:t>
            </w:r>
            <w:r>
              <w:rPr>
                <w:rFonts w:hint="eastAsia"/>
                <w:b/>
                <w:szCs w:val="21"/>
              </w:rPr>
              <w:t>要求</w:t>
            </w:r>
          </w:p>
        </w:tc>
      </w:tr>
      <w:tr w14:paraId="1213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33F67B8F">
            <w:pPr>
              <w:snapToGrid w:val="0"/>
              <w:jc w:val="center"/>
              <w:rPr>
                <w:szCs w:val="21"/>
              </w:rPr>
            </w:pPr>
            <w:r>
              <w:rPr>
                <w:szCs w:val="21"/>
              </w:rPr>
              <w:t>1</w:t>
            </w:r>
          </w:p>
        </w:tc>
        <w:tc>
          <w:tcPr>
            <w:tcW w:w="1202" w:type="dxa"/>
            <w:tcMar>
              <w:left w:w="28" w:type="dxa"/>
              <w:right w:w="28" w:type="dxa"/>
            </w:tcMar>
            <w:vAlign w:val="center"/>
          </w:tcPr>
          <w:p w14:paraId="11EEE841">
            <w:pPr>
              <w:snapToGrid w:val="0"/>
              <w:jc w:val="center"/>
              <w:rPr>
                <w:szCs w:val="21"/>
              </w:rPr>
            </w:pPr>
            <w:r>
              <w:rPr>
                <w:szCs w:val="21"/>
              </w:rPr>
              <w:t>备课</w:t>
            </w:r>
          </w:p>
        </w:tc>
        <w:tc>
          <w:tcPr>
            <w:tcW w:w="7221" w:type="dxa"/>
            <w:tcBorders>
              <w:right w:val="single" w:color="auto" w:sz="4" w:space="0"/>
            </w:tcBorders>
            <w:vAlign w:val="center"/>
          </w:tcPr>
          <w:p w14:paraId="1550CE26">
            <w:pPr>
              <w:rPr>
                <w:szCs w:val="21"/>
              </w:rPr>
            </w:pPr>
            <w:r>
              <w:rPr>
                <w:rFonts w:hint="eastAsia"/>
                <w:szCs w:val="21"/>
              </w:rPr>
              <w:t>（1）掌握本课程教学大纲内容，严格按照教学大纲要求进行课程教学内容的组织；</w:t>
            </w:r>
          </w:p>
          <w:p w14:paraId="580134B0">
            <w:pPr>
              <w:rPr>
                <w:szCs w:val="21"/>
              </w:rPr>
            </w:pPr>
            <w:r>
              <w:rPr>
                <w:rFonts w:hint="eastAsia"/>
                <w:szCs w:val="21"/>
              </w:rPr>
              <w:t>（2）熟悉教材各章节，借助相关专业书籍资料，并依据教学大纲编写授课计划，编写每次授课的教案；</w:t>
            </w:r>
          </w:p>
          <w:p w14:paraId="414F1636">
            <w:pPr>
              <w:snapToGrid w:val="0"/>
              <w:jc w:val="left"/>
              <w:rPr>
                <w:szCs w:val="21"/>
              </w:rPr>
            </w:pPr>
            <w:r>
              <w:rPr>
                <w:rFonts w:hint="eastAsia"/>
                <w:kern w:val="0"/>
                <w:szCs w:val="21"/>
              </w:rPr>
              <w:t>（3）根据各专题教学内容，构思授课思路、技巧，选择合适的教学方法。</w:t>
            </w:r>
          </w:p>
        </w:tc>
      </w:tr>
      <w:tr w14:paraId="0D53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1EA0122A">
            <w:pPr>
              <w:snapToGrid w:val="0"/>
              <w:jc w:val="center"/>
              <w:rPr>
                <w:szCs w:val="21"/>
              </w:rPr>
            </w:pPr>
            <w:r>
              <w:rPr>
                <w:szCs w:val="21"/>
              </w:rPr>
              <w:t>2</w:t>
            </w:r>
          </w:p>
        </w:tc>
        <w:tc>
          <w:tcPr>
            <w:tcW w:w="1202" w:type="dxa"/>
            <w:tcMar>
              <w:left w:w="28" w:type="dxa"/>
              <w:right w:w="28" w:type="dxa"/>
            </w:tcMar>
            <w:vAlign w:val="center"/>
          </w:tcPr>
          <w:p w14:paraId="7DE5A401">
            <w:pPr>
              <w:snapToGrid w:val="0"/>
              <w:jc w:val="center"/>
              <w:rPr>
                <w:szCs w:val="21"/>
              </w:rPr>
            </w:pPr>
            <w:r>
              <w:rPr>
                <w:szCs w:val="21"/>
              </w:rPr>
              <w:t>讲授</w:t>
            </w:r>
          </w:p>
        </w:tc>
        <w:tc>
          <w:tcPr>
            <w:tcW w:w="7221" w:type="dxa"/>
            <w:tcBorders>
              <w:right w:val="single" w:color="auto" w:sz="4" w:space="0"/>
            </w:tcBorders>
            <w:vAlign w:val="center"/>
          </w:tcPr>
          <w:p w14:paraId="6DD1B6E4">
            <w:pPr>
              <w:rPr>
                <w:szCs w:val="21"/>
              </w:rPr>
            </w:pPr>
            <w:r>
              <w:rPr>
                <w:rFonts w:hint="eastAsia"/>
                <w:szCs w:val="21"/>
              </w:rPr>
              <w:t>（</w:t>
            </w:r>
            <w:r>
              <w:rPr>
                <w:szCs w:val="21"/>
              </w:rPr>
              <w:t>1</w:t>
            </w:r>
            <w:r>
              <w:rPr>
                <w:rFonts w:hint="eastAsia"/>
                <w:szCs w:val="21"/>
              </w:rPr>
              <w:t>）要点准确、推理正确、条理清晰、重点突出，能够理论联系实际；</w:t>
            </w:r>
          </w:p>
          <w:p w14:paraId="216244D6">
            <w:pPr>
              <w:rPr>
                <w:szCs w:val="21"/>
              </w:rPr>
            </w:pPr>
            <w:r>
              <w:rPr>
                <w:rFonts w:hint="eastAsia"/>
                <w:szCs w:val="21"/>
              </w:rPr>
              <w:t>（2）采用多种教学方式（如启发式、讨论式、合作式教学等），培养学生的语言综合应用能力，注重培养学生发现、分析和解决问题的能力；</w:t>
            </w:r>
          </w:p>
          <w:p w14:paraId="51F790E5">
            <w:pPr>
              <w:rPr>
                <w:szCs w:val="21"/>
              </w:rPr>
            </w:pPr>
            <w:r>
              <w:rPr>
                <w:rFonts w:hint="eastAsia"/>
                <w:szCs w:val="21"/>
              </w:rPr>
              <w:t>（3）能够采用现代信息技术辅助教学；</w:t>
            </w:r>
          </w:p>
          <w:p w14:paraId="217E8227">
            <w:pPr>
              <w:snapToGrid w:val="0"/>
              <w:rPr>
                <w:szCs w:val="21"/>
              </w:rPr>
            </w:pPr>
            <w:r>
              <w:rPr>
                <w:rFonts w:hint="eastAsia"/>
                <w:szCs w:val="21"/>
              </w:rPr>
              <w:t>（4）表达方式应便于学生理解、接受，力求形象生动，使学生在掌握知识的过程中，保持较为浓厚的兴趣。</w:t>
            </w:r>
          </w:p>
        </w:tc>
      </w:tr>
      <w:tr w14:paraId="6CEC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621159C4">
            <w:pPr>
              <w:snapToGrid w:val="0"/>
              <w:jc w:val="center"/>
              <w:rPr>
                <w:szCs w:val="21"/>
              </w:rPr>
            </w:pPr>
            <w:r>
              <w:rPr>
                <w:szCs w:val="21"/>
              </w:rPr>
              <w:t>3</w:t>
            </w:r>
          </w:p>
        </w:tc>
        <w:tc>
          <w:tcPr>
            <w:tcW w:w="1202" w:type="dxa"/>
            <w:tcMar>
              <w:left w:w="28" w:type="dxa"/>
              <w:right w:w="28" w:type="dxa"/>
            </w:tcMar>
            <w:vAlign w:val="center"/>
          </w:tcPr>
          <w:p w14:paraId="4EADA605">
            <w:pPr>
              <w:snapToGrid w:val="0"/>
              <w:jc w:val="center"/>
              <w:rPr>
                <w:szCs w:val="21"/>
              </w:rPr>
            </w:pPr>
            <w:r>
              <w:rPr>
                <w:rFonts w:hint="eastAsia"/>
                <w:szCs w:val="21"/>
              </w:rPr>
              <w:t>过程性考核</w:t>
            </w:r>
          </w:p>
        </w:tc>
        <w:tc>
          <w:tcPr>
            <w:tcW w:w="7221" w:type="dxa"/>
            <w:tcBorders>
              <w:right w:val="single" w:color="auto" w:sz="4" w:space="0"/>
            </w:tcBorders>
            <w:vAlign w:val="center"/>
          </w:tcPr>
          <w:p w14:paraId="76C6E448">
            <w:pPr>
              <w:rPr>
                <w:szCs w:val="21"/>
              </w:rPr>
            </w:pPr>
            <w:r>
              <w:rPr>
                <w:rFonts w:hint="eastAsia"/>
                <w:szCs w:val="21"/>
              </w:rPr>
              <w:t>（</w:t>
            </w:r>
            <w:r>
              <w:rPr>
                <w:szCs w:val="21"/>
              </w:rPr>
              <w:t>1</w:t>
            </w:r>
            <w:r>
              <w:rPr>
                <w:rFonts w:hint="eastAsia"/>
                <w:szCs w:val="21"/>
              </w:rPr>
              <w:t>）平时表现：教师应抽查学生的到课情况，通过提问、现场交流等方式随时关注学生的课堂学习状况，及时提醒并做好记录；</w:t>
            </w:r>
          </w:p>
          <w:p w14:paraId="47308F86">
            <w:pPr>
              <w:rPr>
                <w:szCs w:val="21"/>
              </w:rPr>
            </w:pPr>
            <w:r>
              <w:rPr>
                <w:rFonts w:hint="eastAsia"/>
                <w:szCs w:val="21"/>
              </w:rPr>
              <w:t>（2）作业、测试：学生必须完成规定数量的课后作业和单元测试，按时按量完成，不缺交、不抄袭。教师要及时批改、反馈、讲评并做好记录；</w:t>
            </w:r>
          </w:p>
          <w:p w14:paraId="2CFEDAC7">
            <w:pPr>
              <w:snapToGrid w:val="0"/>
              <w:rPr>
                <w:szCs w:val="21"/>
              </w:rPr>
            </w:pPr>
            <w:r>
              <w:rPr>
                <w:rFonts w:hint="eastAsia"/>
                <w:szCs w:val="21"/>
              </w:rPr>
              <w:t>（3）自主学习：学生在线上自主学习、参与互动讨论。教师要及时了解学生的线上自主学习情况并督促学生及时完成单元任务点；</w:t>
            </w:r>
          </w:p>
          <w:p w14:paraId="481BC8A1">
            <w:pPr>
              <w:snapToGrid w:val="0"/>
              <w:rPr>
                <w:szCs w:val="21"/>
              </w:rPr>
            </w:pPr>
            <w:r>
              <w:rPr>
                <w:rFonts w:hint="eastAsia"/>
                <w:szCs w:val="21"/>
              </w:rPr>
              <w:t>（4）第二课堂：为了培养学生综合运用所学知识的能力和创新精神，教师应组织、指导学生积极参与各级各类英语竞赛。</w:t>
            </w:r>
          </w:p>
        </w:tc>
      </w:tr>
      <w:tr w14:paraId="654D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4B2258F3">
            <w:pPr>
              <w:snapToGrid w:val="0"/>
              <w:jc w:val="center"/>
              <w:rPr>
                <w:szCs w:val="21"/>
              </w:rPr>
            </w:pPr>
            <w:r>
              <w:rPr>
                <w:szCs w:val="21"/>
              </w:rPr>
              <w:t>4</w:t>
            </w:r>
          </w:p>
        </w:tc>
        <w:tc>
          <w:tcPr>
            <w:tcW w:w="1202" w:type="dxa"/>
            <w:tcMar>
              <w:left w:w="28" w:type="dxa"/>
              <w:right w:w="28" w:type="dxa"/>
            </w:tcMar>
            <w:vAlign w:val="center"/>
          </w:tcPr>
          <w:p w14:paraId="7FBB3837">
            <w:pPr>
              <w:snapToGrid w:val="0"/>
              <w:jc w:val="center"/>
              <w:rPr>
                <w:szCs w:val="21"/>
              </w:rPr>
            </w:pPr>
            <w:r>
              <w:rPr>
                <w:szCs w:val="21"/>
              </w:rPr>
              <w:t>课外答疑</w:t>
            </w:r>
          </w:p>
        </w:tc>
        <w:tc>
          <w:tcPr>
            <w:tcW w:w="7221" w:type="dxa"/>
            <w:tcBorders>
              <w:right w:val="single" w:color="auto" w:sz="4" w:space="0"/>
            </w:tcBorders>
            <w:vAlign w:val="center"/>
          </w:tcPr>
          <w:p w14:paraId="4C68A34B">
            <w:pPr>
              <w:snapToGrid w:val="0"/>
              <w:rPr>
                <w:szCs w:val="21"/>
              </w:rPr>
            </w:pPr>
            <w:r>
              <w:rPr>
                <w:rFonts w:hint="eastAsia"/>
                <w:szCs w:val="21"/>
              </w:rPr>
              <w:t>为了解学生的学习情况，帮助学生更好地理解和消化所学知识，改进学习方法和思维，培养其独立思考问题的能力，任课教师应合理安排课外时间或借助课程网络教学平台，对学生进行答疑与辅导工作。</w:t>
            </w:r>
          </w:p>
        </w:tc>
      </w:tr>
      <w:tr w14:paraId="4A76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650C4D62">
            <w:pPr>
              <w:snapToGrid w:val="0"/>
              <w:jc w:val="center"/>
              <w:rPr>
                <w:szCs w:val="21"/>
              </w:rPr>
            </w:pPr>
            <w:r>
              <w:rPr>
                <w:rFonts w:hint="eastAsia"/>
                <w:szCs w:val="21"/>
              </w:rPr>
              <w:t>5</w:t>
            </w:r>
          </w:p>
        </w:tc>
        <w:tc>
          <w:tcPr>
            <w:tcW w:w="1202" w:type="dxa"/>
            <w:tcMar>
              <w:left w:w="28" w:type="dxa"/>
              <w:right w:w="28" w:type="dxa"/>
            </w:tcMar>
            <w:vAlign w:val="center"/>
          </w:tcPr>
          <w:p w14:paraId="240189C9">
            <w:pPr>
              <w:snapToGrid w:val="0"/>
              <w:jc w:val="center"/>
              <w:rPr>
                <w:szCs w:val="21"/>
              </w:rPr>
            </w:pPr>
            <w:r>
              <w:rPr>
                <w:rFonts w:hint="eastAsia"/>
                <w:szCs w:val="21"/>
              </w:rPr>
              <w:t>期末考试</w:t>
            </w:r>
          </w:p>
        </w:tc>
        <w:tc>
          <w:tcPr>
            <w:tcW w:w="7221" w:type="dxa"/>
            <w:tcBorders>
              <w:right w:val="single" w:color="auto" w:sz="4" w:space="0"/>
            </w:tcBorders>
            <w:vAlign w:val="center"/>
          </w:tcPr>
          <w:p w14:paraId="6A0FAE0C">
            <w:pPr>
              <w:snapToGrid w:val="0"/>
              <w:rPr>
                <w:color w:val="000000"/>
                <w:szCs w:val="21"/>
              </w:rPr>
            </w:pPr>
            <w:r>
              <w:rPr>
                <w:rFonts w:hint="eastAsia"/>
                <w:color w:val="000000"/>
                <w:szCs w:val="21"/>
              </w:rPr>
              <w:t>（1）</w:t>
            </w:r>
            <w:r>
              <w:rPr>
                <w:rFonts w:hint="eastAsia"/>
                <w:szCs w:val="21"/>
              </w:rPr>
              <w:t>本课程期末考核的方式为闭卷考试，采取教考分离方式。</w:t>
            </w:r>
            <w:r>
              <w:rPr>
                <w:rFonts w:hint="eastAsia"/>
                <w:color w:val="000000"/>
                <w:szCs w:val="21"/>
              </w:rPr>
              <w:t>总评成绩的评定见课程评分方案；</w:t>
            </w:r>
          </w:p>
          <w:p w14:paraId="7694EDE1">
            <w:pPr>
              <w:snapToGrid w:val="0"/>
              <w:rPr>
                <w:color w:val="FF0000"/>
                <w:szCs w:val="21"/>
              </w:rPr>
            </w:pPr>
            <w:r>
              <w:rPr>
                <w:rFonts w:hint="eastAsia"/>
                <w:color w:val="000000"/>
                <w:szCs w:val="21"/>
              </w:rPr>
              <w:t>（2）考试可选题型：词汇与结构、听力理解、口语表达、翻译、阅读理解、书面表达等。</w:t>
            </w:r>
          </w:p>
        </w:tc>
      </w:tr>
    </w:tbl>
    <w:p w14:paraId="493DB643">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五、课程考核</w:t>
      </w:r>
    </w:p>
    <w:p w14:paraId="5F861030">
      <w:pPr>
        <w:spacing w:line="360" w:lineRule="auto"/>
        <w:ind w:firstLine="420" w:firstLineChars="200"/>
        <w:rPr>
          <w:szCs w:val="21"/>
        </w:rPr>
      </w:pPr>
      <w:r>
        <w:rPr>
          <w:rFonts w:hint="eastAsia"/>
          <w:szCs w:val="21"/>
        </w:rPr>
        <w:t>（一）</w:t>
      </w:r>
      <w:r>
        <w:rPr>
          <w:szCs w:val="21"/>
        </w:rPr>
        <w:t>课程考核</w:t>
      </w:r>
      <w:r>
        <w:rPr>
          <w:rFonts w:hint="eastAsia"/>
          <w:szCs w:val="21"/>
        </w:rPr>
        <w:t>方式</w:t>
      </w:r>
    </w:p>
    <w:p w14:paraId="3527F833">
      <w:pPr>
        <w:spacing w:line="360" w:lineRule="auto"/>
        <w:ind w:firstLine="420" w:firstLineChars="200"/>
        <w:rPr>
          <w:szCs w:val="21"/>
        </w:rPr>
      </w:pPr>
      <w:r>
        <w:rPr>
          <w:rFonts w:hint="eastAsia"/>
          <w:szCs w:val="21"/>
        </w:rPr>
        <w:t>课程考核方式包括期末考核、平时情况考核等。期末考核采用机考（闭卷）形式。</w:t>
      </w:r>
    </w:p>
    <w:p w14:paraId="5969928B">
      <w:pPr>
        <w:spacing w:line="360" w:lineRule="auto"/>
        <w:ind w:firstLine="420" w:firstLineChars="200"/>
        <w:rPr>
          <w:szCs w:val="21"/>
        </w:rPr>
      </w:pPr>
      <w:r>
        <w:rPr>
          <w:rFonts w:hint="eastAsia"/>
          <w:szCs w:val="21"/>
        </w:rPr>
        <w:t>（二）总评成绩评定方法</w:t>
      </w:r>
    </w:p>
    <w:p w14:paraId="4227CC6B">
      <w:pPr>
        <w:spacing w:line="360" w:lineRule="auto"/>
        <w:ind w:firstLine="420" w:firstLineChars="200"/>
        <w:rPr>
          <w:szCs w:val="21"/>
        </w:rPr>
      </w:pPr>
      <w:r>
        <w:rPr>
          <w:rFonts w:hint="eastAsia"/>
          <w:szCs w:val="21"/>
        </w:rPr>
        <w:t>课程总评成绩=平时成绩×50%+期末成绩×50%。平时成绩考核/评价环节及其权重可结合班级的实际情况和具体教学实践适度调整。</w:t>
      </w:r>
    </w:p>
    <w:p w14:paraId="0BD9EA42">
      <w:pPr>
        <w:spacing w:line="360" w:lineRule="auto"/>
        <w:ind w:firstLine="420" w:firstLineChars="200"/>
        <w:rPr>
          <w:szCs w:val="21"/>
        </w:rPr>
      </w:pPr>
      <w:r>
        <w:rPr>
          <w:rFonts w:hint="eastAsia"/>
          <w:szCs w:val="21"/>
        </w:rPr>
        <w:t>具体内容、比例和评价参考标准如表4所示。</w:t>
      </w:r>
    </w:p>
    <w:p w14:paraId="41FCA118">
      <w:pPr>
        <w:spacing w:line="360" w:lineRule="auto"/>
        <w:ind w:firstLine="420" w:firstLineChars="200"/>
        <w:jc w:val="center"/>
        <w:rPr>
          <w:szCs w:val="21"/>
        </w:rPr>
      </w:pPr>
      <w:r>
        <w:rPr>
          <w:rFonts w:hint="eastAsia"/>
          <w:szCs w:val="21"/>
        </w:rPr>
        <w:t>表4</w:t>
      </w:r>
      <w:r>
        <w:rPr>
          <w:szCs w:val="21"/>
        </w:rPr>
        <w:t xml:space="preserve">  </w:t>
      </w:r>
      <w:r>
        <w:rPr>
          <w:rFonts w:hint="eastAsia"/>
          <w:szCs w:val="21"/>
        </w:rPr>
        <w:t>考核总评成绩组成及评价细则表</w:t>
      </w:r>
    </w:p>
    <w:tbl>
      <w:tblPr>
        <w:tblStyle w:val="11"/>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750"/>
        <w:gridCol w:w="5563"/>
      </w:tblGrid>
      <w:tr w14:paraId="0E7DD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shd w:val="clear" w:color="auto" w:fill="FFFFFF"/>
            <w:tcMar>
              <w:left w:w="57" w:type="dxa"/>
              <w:right w:w="57" w:type="dxa"/>
            </w:tcMar>
            <w:vAlign w:val="center"/>
          </w:tcPr>
          <w:p w14:paraId="13BCFBA0">
            <w:pPr>
              <w:pStyle w:val="30"/>
              <w:snapToGrid w:val="0"/>
              <w:jc w:val="center"/>
              <w:rPr>
                <w:rFonts w:eastAsia="宋体"/>
                <w:b/>
                <w:bCs/>
                <w:szCs w:val="21"/>
              </w:rPr>
            </w:pPr>
            <w:r>
              <w:rPr>
                <w:rFonts w:eastAsia="宋体"/>
                <w:b/>
                <w:bCs/>
                <w:szCs w:val="21"/>
              </w:rPr>
              <w:t>成绩组成</w:t>
            </w:r>
          </w:p>
        </w:tc>
        <w:tc>
          <w:tcPr>
            <w:tcW w:w="1590" w:type="dxa"/>
            <w:shd w:val="clear" w:color="auto" w:fill="FFFFFF"/>
            <w:vAlign w:val="center"/>
          </w:tcPr>
          <w:p w14:paraId="540DDDCC">
            <w:pPr>
              <w:pStyle w:val="30"/>
              <w:snapToGrid w:val="0"/>
              <w:jc w:val="center"/>
              <w:rPr>
                <w:rFonts w:eastAsia="宋体"/>
                <w:b/>
                <w:bCs/>
                <w:szCs w:val="21"/>
              </w:rPr>
            </w:pPr>
            <w:r>
              <w:rPr>
                <w:rFonts w:eastAsia="宋体"/>
                <w:b/>
                <w:bCs/>
                <w:szCs w:val="21"/>
              </w:rPr>
              <w:t>考核/评价环节</w:t>
            </w:r>
          </w:p>
        </w:tc>
        <w:tc>
          <w:tcPr>
            <w:tcW w:w="750" w:type="dxa"/>
            <w:shd w:val="clear" w:color="auto" w:fill="FFFFFF"/>
            <w:vAlign w:val="center"/>
          </w:tcPr>
          <w:p w14:paraId="3302CF8D">
            <w:pPr>
              <w:pStyle w:val="30"/>
              <w:snapToGrid w:val="0"/>
              <w:jc w:val="center"/>
              <w:rPr>
                <w:rFonts w:eastAsia="宋体"/>
                <w:b/>
                <w:bCs/>
                <w:szCs w:val="21"/>
              </w:rPr>
            </w:pPr>
            <w:r>
              <w:rPr>
                <w:rFonts w:hint="eastAsia" w:eastAsia="宋体"/>
                <w:b/>
                <w:bCs/>
                <w:szCs w:val="21"/>
              </w:rPr>
              <w:t>权重</w:t>
            </w:r>
          </w:p>
        </w:tc>
        <w:tc>
          <w:tcPr>
            <w:tcW w:w="5563" w:type="dxa"/>
            <w:shd w:val="clear" w:color="auto" w:fill="FFFFFF"/>
            <w:vAlign w:val="center"/>
          </w:tcPr>
          <w:p w14:paraId="0DE1120B">
            <w:pPr>
              <w:pStyle w:val="30"/>
              <w:snapToGrid w:val="0"/>
              <w:jc w:val="center"/>
              <w:rPr>
                <w:rFonts w:eastAsia="宋体"/>
                <w:b/>
                <w:bCs/>
                <w:szCs w:val="21"/>
              </w:rPr>
            </w:pPr>
            <w:r>
              <w:rPr>
                <w:rFonts w:eastAsia="宋体"/>
                <w:b/>
                <w:bCs/>
                <w:szCs w:val="21"/>
              </w:rPr>
              <w:t>考核/评价细则</w:t>
            </w:r>
          </w:p>
        </w:tc>
      </w:tr>
      <w:tr w14:paraId="5A3FA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restart"/>
            <w:tcMar>
              <w:left w:w="57" w:type="dxa"/>
              <w:right w:w="57" w:type="dxa"/>
            </w:tcMar>
            <w:vAlign w:val="center"/>
          </w:tcPr>
          <w:p w14:paraId="0DB4D455">
            <w:pPr>
              <w:pStyle w:val="30"/>
              <w:snapToGrid w:val="0"/>
              <w:jc w:val="center"/>
              <w:rPr>
                <w:rFonts w:eastAsia="宋体"/>
                <w:szCs w:val="21"/>
              </w:rPr>
            </w:pPr>
            <w:r>
              <w:rPr>
                <w:rFonts w:eastAsia="宋体"/>
                <w:szCs w:val="21"/>
              </w:rPr>
              <w:t>平时成绩</w:t>
            </w:r>
          </w:p>
        </w:tc>
        <w:tc>
          <w:tcPr>
            <w:tcW w:w="1590" w:type="dxa"/>
            <w:vAlign w:val="center"/>
          </w:tcPr>
          <w:p w14:paraId="6D427613">
            <w:pPr>
              <w:pStyle w:val="30"/>
              <w:snapToGrid w:val="0"/>
              <w:jc w:val="center"/>
              <w:rPr>
                <w:rFonts w:eastAsia="宋体"/>
                <w:szCs w:val="21"/>
              </w:rPr>
            </w:pPr>
            <w:r>
              <w:rPr>
                <w:rFonts w:hint="eastAsia" w:eastAsia="宋体"/>
                <w:szCs w:val="21"/>
              </w:rPr>
              <w:t>平时表现</w:t>
            </w:r>
          </w:p>
        </w:tc>
        <w:tc>
          <w:tcPr>
            <w:tcW w:w="750" w:type="dxa"/>
            <w:vAlign w:val="center"/>
          </w:tcPr>
          <w:p w14:paraId="29B8B5C2">
            <w:pPr>
              <w:pStyle w:val="30"/>
              <w:snapToGrid w:val="0"/>
              <w:jc w:val="center"/>
              <w:rPr>
                <w:rFonts w:eastAsia="宋体"/>
                <w:szCs w:val="21"/>
              </w:rPr>
            </w:pPr>
            <w:r>
              <w:rPr>
                <w:rFonts w:hint="eastAsia" w:eastAsia="宋体"/>
                <w:szCs w:val="21"/>
              </w:rPr>
              <w:t>15%</w:t>
            </w:r>
          </w:p>
        </w:tc>
        <w:tc>
          <w:tcPr>
            <w:tcW w:w="5563" w:type="dxa"/>
            <w:vAlign w:val="center"/>
          </w:tcPr>
          <w:p w14:paraId="2E219AE2">
            <w:pPr>
              <w:pStyle w:val="30"/>
              <w:snapToGrid w:val="0"/>
              <w:jc w:val="left"/>
              <w:rPr>
                <w:rFonts w:eastAsia="宋体"/>
                <w:szCs w:val="21"/>
              </w:rPr>
            </w:pPr>
            <w:r>
              <w:rPr>
                <w:rFonts w:hint="eastAsia" w:ascii="宋体" w:hAnsi="宋体" w:eastAsia="宋体" w:cs="宋体"/>
                <w:szCs w:val="21"/>
              </w:rPr>
              <w:t>根据学生的学习态度、学习任务完成情况评分，学习任务包括但不限于课堂回答、小组活动、个人展示等，满分100分。</w:t>
            </w:r>
          </w:p>
        </w:tc>
      </w:tr>
      <w:tr w14:paraId="079F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tcMar>
              <w:left w:w="57" w:type="dxa"/>
              <w:right w:w="57" w:type="dxa"/>
            </w:tcMar>
            <w:vAlign w:val="center"/>
          </w:tcPr>
          <w:p w14:paraId="57FFAD5E">
            <w:pPr>
              <w:pStyle w:val="30"/>
              <w:snapToGrid w:val="0"/>
              <w:jc w:val="center"/>
              <w:rPr>
                <w:rFonts w:eastAsia="宋体"/>
                <w:szCs w:val="21"/>
              </w:rPr>
            </w:pPr>
          </w:p>
        </w:tc>
        <w:tc>
          <w:tcPr>
            <w:tcW w:w="1590" w:type="dxa"/>
            <w:vAlign w:val="center"/>
          </w:tcPr>
          <w:p w14:paraId="06AAD44E">
            <w:pPr>
              <w:pStyle w:val="30"/>
              <w:snapToGrid w:val="0"/>
              <w:jc w:val="center"/>
              <w:rPr>
                <w:rFonts w:eastAsia="宋体"/>
                <w:szCs w:val="21"/>
              </w:rPr>
            </w:pPr>
            <w:r>
              <w:rPr>
                <w:rFonts w:hint="eastAsia" w:eastAsia="宋体"/>
                <w:szCs w:val="21"/>
              </w:rPr>
              <w:t>作业、测试</w:t>
            </w:r>
          </w:p>
        </w:tc>
        <w:tc>
          <w:tcPr>
            <w:tcW w:w="750" w:type="dxa"/>
            <w:vAlign w:val="center"/>
          </w:tcPr>
          <w:p w14:paraId="629F700D">
            <w:pPr>
              <w:pStyle w:val="30"/>
              <w:snapToGrid w:val="0"/>
              <w:jc w:val="center"/>
              <w:rPr>
                <w:rFonts w:eastAsia="宋体"/>
                <w:szCs w:val="21"/>
              </w:rPr>
            </w:pPr>
            <w:r>
              <w:rPr>
                <w:rFonts w:hint="eastAsia" w:eastAsia="宋体"/>
                <w:szCs w:val="21"/>
              </w:rPr>
              <w:t>20%</w:t>
            </w:r>
          </w:p>
        </w:tc>
        <w:tc>
          <w:tcPr>
            <w:tcW w:w="5563" w:type="dxa"/>
            <w:vAlign w:val="center"/>
          </w:tcPr>
          <w:p w14:paraId="199A9A03">
            <w:pPr>
              <w:pStyle w:val="30"/>
              <w:snapToGrid w:val="0"/>
              <w:rPr>
                <w:rFonts w:eastAsia="宋体"/>
                <w:szCs w:val="21"/>
              </w:rPr>
            </w:pPr>
            <w:r>
              <w:rPr>
                <w:rFonts w:hint="eastAsia" w:eastAsia="宋体"/>
                <w:szCs w:val="21"/>
              </w:rPr>
              <w:t>（1）考核学生对语言知识点的学习、理解和应用，满分100分。</w:t>
            </w:r>
          </w:p>
          <w:p w14:paraId="5B131F28">
            <w:pPr>
              <w:pStyle w:val="30"/>
              <w:snapToGrid w:val="0"/>
              <w:rPr>
                <w:rFonts w:eastAsia="宋体"/>
                <w:szCs w:val="21"/>
              </w:rPr>
            </w:pPr>
            <w:r>
              <w:rPr>
                <w:rFonts w:hint="eastAsia" w:eastAsia="宋体"/>
                <w:szCs w:val="21"/>
              </w:rPr>
              <w:t>（2）每次作业、测试单独评分，取各次成绩的平均值作为本环节的最终成绩。</w:t>
            </w:r>
          </w:p>
        </w:tc>
      </w:tr>
      <w:tr w14:paraId="368F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tcMar>
              <w:left w:w="57" w:type="dxa"/>
              <w:right w:w="57" w:type="dxa"/>
            </w:tcMar>
            <w:vAlign w:val="center"/>
          </w:tcPr>
          <w:p w14:paraId="02594A1B">
            <w:pPr>
              <w:pStyle w:val="30"/>
              <w:snapToGrid w:val="0"/>
              <w:jc w:val="center"/>
              <w:rPr>
                <w:rFonts w:eastAsia="宋体"/>
                <w:szCs w:val="21"/>
              </w:rPr>
            </w:pPr>
          </w:p>
        </w:tc>
        <w:tc>
          <w:tcPr>
            <w:tcW w:w="1590" w:type="dxa"/>
            <w:vAlign w:val="center"/>
          </w:tcPr>
          <w:p w14:paraId="367C9047">
            <w:pPr>
              <w:pStyle w:val="30"/>
              <w:snapToGrid w:val="0"/>
              <w:jc w:val="center"/>
              <w:rPr>
                <w:rFonts w:eastAsia="宋体"/>
                <w:szCs w:val="21"/>
              </w:rPr>
            </w:pPr>
            <w:r>
              <w:rPr>
                <w:rFonts w:hint="eastAsia" w:eastAsia="宋体"/>
                <w:szCs w:val="21"/>
              </w:rPr>
              <w:t>自主学习</w:t>
            </w:r>
          </w:p>
        </w:tc>
        <w:tc>
          <w:tcPr>
            <w:tcW w:w="750" w:type="dxa"/>
            <w:vAlign w:val="center"/>
          </w:tcPr>
          <w:p w14:paraId="63B7BC8D">
            <w:pPr>
              <w:pStyle w:val="30"/>
              <w:snapToGrid w:val="0"/>
              <w:jc w:val="center"/>
              <w:rPr>
                <w:rFonts w:eastAsia="宋体"/>
                <w:szCs w:val="21"/>
              </w:rPr>
            </w:pPr>
            <w:r>
              <w:rPr>
                <w:rFonts w:hint="eastAsia" w:eastAsia="宋体"/>
                <w:szCs w:val="21"/>
              </w:rPr>
              <w:t>15%</w:t>
            </w:r>
          </w:p>
        </w:tc>
        <w:tc>
          <w:tcPr>
            <w:tcW w:w="5563" w:type="dxa"/>
            <w:vAlign w:val="center"/>
          </w:tcPr>
          <w:p w14:paraId="1AC94604">
            <w:pPr>
              <w:pStyle w:val="30"/>
              <w:snapToGrid w:val="0"/>
              <w:rPr>
                <w:rFonts w:eastAsia="宋体"/>
                <w:szCs w:val="21"/>
              </w:rPr>
            </w:pPr>
            <w:r>
              <w:rPr>
                <w:rFonts w:hint="eastAsia" w:eastAsia="宋体"/>
                <w:szCs w:val="21"/>
              </w:rPr>
              <w:t>根据学生自主学习任务完成情况评分，学习任务包括但不限于线上课程单元任务点、自学单元完成情况、讨论回复等，满分100分。</w:t>
            </w:r>
          </w:p>
        </w:tc>
      </w:tr>
      <w:tr w14:paraId="4365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tcMar>
              <w:left w:w="57" w:type="dxa"/>
              <w:right w:w="57" w:type="dxa"/>
            </w:tcMar>
            <w:vAlign w:val="center"/>
          </w:tcPr>
          <w:p w14:paraId="446A5DF8">
            <w:pPr>
              <w:pStyle w:val="30"/>
              <w:snapToGrid w:val="0"/>
              <w:jc w:val="center"/>
              <w:rPr>
                <w:rFonts w:eastAsia="宋体"/>
                <w:szCs w:val="21"/>
              </w:rPr>
            </w:pPr>
          </w:p>
        </w:tc>
        <w:tc>
          <w:tcPr>
            <w:tcW w:w="1590" w:type="dxa"/>
            <w:vAlign w:val="center"/>
          </w:tcPr>
          <w:p w14:paraId="3FA3BC13">
            <w:pPr>
              <w:pStyle w:val="30"/>
              <w:snapToGrid w:val="0"/>
              <w:jc w:val="center"/>
              <w:rPr>
                <w:rFonts w:eastAsia="宋体"/>
                <w:szCs w:val="21"/>
              </w:rPr>
            </w:pPr>
            <w:r>
              <w:rPr>
                <w:rFonts w:hint="eastAsia" w:eastAsia="宋体"/>
                <w:szCs w:val="21"/>
              </w:rPr>
              <w:t>第二课堂</w:t>
            </w:r>
          </w:p>
        </w:tc>
        <w:tc>
          <w:tcPr>
            <w:tcW w:w="750" w:type="dxa"/>
            <w:vAlign w:val="center"/>
          </w:tcPr>
          <w:p w14:paraId="0772FB99">
            <w:pPr>
              <w:pStyle w:val="30"/>
              <w:snapToGrid w:val="0"/>
              <w:jc w:val="center"/>
              <w:rPr>
                <w:rFonts w:eastAsia="宋体"/>
                <w:szCs w:val="21"/>
              </w:rPr>
            </w:pPr>
          </w:p>
        </w:tc>
        <w:tc>
          <w:tcPr>
            <w:tcW w:w="5563" w:type="dxa"/>
            <w:vAlign w:val="center"/>
          </w:tcPr>
          <w:p w14:paraId="612AD620">
            <w:pPr>
              <w:pStyle w:val="30"/>
              <w:snapToGrid w:val="0"/>
              <w:rPr>
                <w:rFonts w:eastAsia="宋体"/>
                <w:szCs w:val="21"/>
              </w:rPr>
            </w:pPr>
            <w:r>
              <w:rPr>
                <w:rFonts w:hint="eastAsia" w:eastAsia="宋体"/>
                <w:color w:val="000000"/>
                <w:szCs w:val="21"/>
              </w:rPr>
              <w:t>根据参赛项目和获奖情况按赛事级别，给积极参与英语类竞赛的学生适当加分，原则上本环节加分不超过10分、平时成绩总分不超过100分。</w:t>
            </w:r>
          </w:p>
        </w:tc>
      </w:tr>
      <w:tr w14:paraId="371D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tcMar>
              <w:left w:w="57" w:type="dxa"/>
              <w:right w:w="57" w:type="dxa"/>
            </w:tcMar>
            <w:vAlign w:val="center"/>
          </w:tcPr>
          <w:p w14:paraId="26857CCC">
            <w:pPr>
              <w:pStyle w:val="30"/>
              <w:snapToGrid w:val="0"/>
              <w:jc w:val="center"/>
              <w:rPr>
                <w:rFonts w:eastAsia="宋体"/>
                <w:szCs w:val="21"/>
              </w:rPr>
            </w:pPr>
            <w:r>
              <w:rPr>
                <w:rFonts w:eastAsia="宋体"/>
                <w:szCs w:val="21"/>
              </w:rPr>
              <w:t>期末考试</w:t>
            </w:r>
          </w:p>
        </w:tc>
        <w:tc>
          <w:tcPr>
            <w:tcW w:w="1590" w:type="dxa"/>
            <w:vAlign w:val="center"/>
          </w:tcPr>
          <w:p w14:paraId="6A116451">
            <w:pPr>
              <w:pStyle w:val="30"/>
              <w:snapToGrid w:val="0"/>
              <w:jc w:val="center"/>
              <w:rPr>
                <w:rFonts w:eastAsia="宋体"/>
                <w:szCs w:val="21"/>
              </w:rPr>
            </w:pPr>
            <w:r>
              <w:rPr>
                <w:rFonts w:eastAsia="宋体"/>
                <w:szCs w:val="21"/>
              </w:rPr>
              <w:t>期末考试</w:t>
            </w:r>
          </w:p>
          <w:p w14:paraId="384258D5">
            <w:pPr>
              <w:pStyle w:val="30"/>
              <w:snapToGrid w:val="0"/>
              <w:jc w:val="center"/>
              <w:rPr>
                <w:rFonts w:eastAsia="宋体"/>
                <w:szCs w:val="21"/>
              </w:rPr>
            </w:pPr>
            <w:r>
              <w:rPr>
                <w:rFonts w:hint="eastAsia" w:eastAsia="宋体"/>
                <w:szCs w:val="21"/>
              </w:rPr>
              <w:t>卷面</w:t>
            </w:r>
            <w:r>
              <w:rPr>
                <w:rFonts w:eastAsia="宋体"/>
                <w:szCs w:val="21"/>
              </w:rPr>
              <w:t>成绩</w:t>
            </w:r>
          </w:p>
        </w:tc>
        <w:tc>
          <w:tcPr>
            <w:tcW w:w="750" w:type="dxa"/>
            <w:vAlign w:val="center"/>
          </w:tcPr>
          <w:p w14:paraId="6456C250">
            <w:pPr>
              <w:pStyle w:val="30"/>
              <w:snapToGrid w:val="0"/>
              <w:jc w:val="center"/>
              <w:rPr>
                <w:rFonts w:eastAsia="宋体"/>
                <w:szCs w:val="21"/>
              </w:rPr>
            </w:pPr>
            <w:r>
              <w:rPr>
                <w:rFonts w:hint="eastAsia" w:eastAsia="宋体"/>
                <w:szCs w:val="21"/>
              </w:rPr>
              <w:t>50%</w:t>
            </w:r>
          </w:p>
        </w:tc>
        <w:tc>
          <w:tcPr>
            <w:tcW w:w="5563" w:type="dxa"/>
            <w:vAlign w:val="center"/>
          </w:tcPr>
          <w:p w14:paraId="6F695638">
            <w:pPr>
              <w:pStyle w:val="30"/>
              <w:snapToGrid w:val="0"/>
              <w:rPr>
                <w:rFonts w:eastAsia="宋体"/>
                <w:szCs w:val="21"/>
              </w:rPr>
            </w:pPr>
            <w:r>
              <w:rPr>
                <w:rFonts w:hint="eastAsia" w:eastAsia="宋体"/>
                <w:szCs w:val="21"/>
              </w:rPr>
              <w:t>期末考试试题由大学英语教学部统一命题并建立试题库，题型包括听力理解、词汇与结构、快速阅读、选词填空、阅读理解、写作等（每次考核可能题型不同，以当次考核题型为准），计入期考成绩；卷面满分100分。</w:t>
            </w:r>
          </w:p>
        </w:tc>
      </w:tr>
    </w:tbl>
    <w:p w14:paraId="051FFB90">
      <w:pPr>
        <w:snapToGrid w:val="0"/>
        <w:spacing w:line="360" w:lineRule="auto"/>
        <w:ind w:firstLine="420" w:firstLineChars="200"/>
        <w:rPr>
          <w:szCs w:val="21"/>
        </w:rPr>
      </w:pPr>
      <w:r>
        <w:rPr>
          <w:szCs w:val="21"/>
        </w:rPr>
        <w:t>（三）</w:t>
      </w:r>
      <w:r>
        <w:rPr>
          <w:rFonts w:hint="eastAsia"/>
          <w:szCs w:val="21"/>
        </w:rPr>
        <w:t>课程目标考核说明</w:t>
      </w:r>
    </w:p>
    <w:p w14:paraId="37026661">
      <w:pPr>
        <w:snapToGrid w:val="0"/>
        <w:spacing w:line="360" w:lineRule="auto"/>
        <w:ind w:firstLine="420" w:firstLineChars="200"/>
        <w:rPr>
          <w:szCs w:val="21"/>
        </w:rPr>
      </w:pPr>
      <w:r>
        <w:rPr>
          <w:rFonts w:hint="eastAsia"/>
          <w:szCs w:val="21"/>
        </w:rPr>
        <w:t>为能够学生本课程考核成绩合格，即可达到课程教学目标的要求，制定《课程教学目标考核方案一览表》，如表5所示。</w:t>
      </w:r>
    </w:p>
    <w:p w14:paraId="721E7160">
      <w:pPr>
        <w:adjustRightInd w:val="0"/>
        <w:snapToGrid w:val="0"/>
        <w:spacing w:line="360" w:lineRule="auto"/>
        <w:ind w:left="596" w:hanging="596"/>
        <w:jc w:val="center"/>
        <w:rPr>
          <w:color w:val="000000"/>
          <w:szCs w:val="21"/>
        </w:rPr>
      </w:pPr>
      <w:r>
        <w:rPr>
          <w:color w:val="000000"/>
          <w:szCs w:val="21"/>
        </w:rPr>
        <w:t>表</w:t>
      </w:r>
      <w:r>
        <w:rPr>
          <w:rFonts w:hint="eastAsia"/>
          <w:color w:val="000000"/>
          <w:szCs w:val="21"/>
        </w:rPr>
        <w:t>5</w:t>
      </w:r>
      <w:r>
        <w:rPr>
          <w:color w:val="000000"/>
          <w:szCs w:val="21"/>
        </w:rPr>
        <w:t xml:space="preserve">  课程目标考核方案一览表</w:t>
      </w:r>
    </w:p>
    <w:tbl>
      <w:tblPr>
        <w:tblStyle w:val="11"/>
        <w:tblW w:w="88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665"/>
        <w:gridCol w:w="1734"/>
        <w:gridCol w:w="3939"/>
      </w:tblGrid>
      <w:tr w14:paraId="765F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511" w:type="dxa"/>
            <w:tcBorders>
              <w:top w:val="single" w:color="auto" w:sz="4" w:space="0"/>
              <w:left w:val="single" w:color="auto" w:sz="4" w:space="0"/>
              <w:bottom w:val="single" w:color="auto" w:sz="4" w:space="0"/>
              <w:right w:val="single" w:color="auto" w:sz="4" w:space="0"/>
            </w:tcBorders>
            <w:shd w:val="clear" w:color="auto" w:fill="FFFFFF"/>
            <w:vAlign w:val="center"/>
          </w:tcPr>
          <w:p w14:paraId="14F05D6C">
            <w:pPr>
              <w:adjustRightInd w:val="0"/>
              <w:snapToGrid w:val="0"/>
              <w:jc w:val="center"/>
              <w:rPr>
                <w:b/>
                <w:bCs/>
                <w:color w:val="000000"/>
                <w:szCs w:val="21"/>
              </w:rPr>
            </w:pPr>
            <w:r>
              <w:rPr>
                <w:b/>
                <w:bCs/>
                <w:color w:val="000000"/>
                <w:szCs w:val="21"/>
              </w:rPr>
              <w:t>课程</w:t>
            </w:r>
            <w:r>
              <w:rPr>
                <w:rFonts w:hint="eastAsia"/>
                <w:b/>
                <w:bCs/>
                <w:color w:val="000000"/>
                <w:szCs w:val="21"/>
              </w:rPr>
              <w:t>教学</w:t>
            </w:r>
            <w:r>
              <w:rPr>
                <w:b/>
                <w:bCs/>
                <w:color w:val="000000"/>
                <w:szCs w:val="21"/>
              </w:rPr>
              <w:t>目标</w:t>
            </w:r>
          </w:p>
        </w:tc>
        <w:tc>
          <w:tcPr>
            <w:tcW w:w="1665" w:type="dxa"/>
            <w:tcBorders>
              <w:top w:val="single" w:color="auto" w:sz="4" w:space="0"/>
              <w:left w:val="single" w:color="auto" w:sz="4" w:space="0"/>
              <w:bottom w:val="single" w:color="auto" w:sz="4" w:space="0"/>
              <w:right w:val="single" w:color="auto" w:sz="4" w:space="0"/>
            </w:tcBorders>
            <w:shd w:val="clear" w:color="auto" w:fill="FFFFFF"/>
            <w:vAlign w:val="center"/>
          </w:tcPr>
          <w:p w14:paraId="643CC14A">
            <w:pPr>
              <w:adjustRightInd w:val="0"/>
              <w:snapToGrid w:val="0"/>
              <w:jc w:val="center"/>
              <w:rPr>
                <w:b/>
                <w:bCs/>
                <w:color w:val="000000"/>
                <w:szCs w:val="21"/>
              </w:rPr>
            </w:pPr>
            <w:r>
              <w:rPr>
                <w:b/>
                <w:bCs/>
                <w:color w:val="000000"/>
                <w:szCs w:val="21"/>
              </w:rPr>
              <w:t>考核内容</w:t>
            </w:r>
          </w:p>
        </w:tc>
        <w:tc>
          <w:tcPr>
            <w:tcW w:w="1734" w:type="dxa"/>
            <w:tcBorders>
              <w:top w:val="single" w:color="auto" w:sz="4" w:space="0"/>
              <w:left w:val="single" w:color="auto" w:sz="4" w:space="0"/>
              <w:bottom w:val="single" w:color="auto" w:sz="4" w:space="0"/>
              <w:right w:val="single" w:color="auto" w:sz="4" w:space="0"/>
            </w:tcBorders>
            <w:shd w:val="clear" w:color="auto" w:fill="FFFFFF"/>
            <w:vAlign w:val="center"/>
          </w:tcPr>
          <w:p w14:paraId="09D0118C">
            <w:pPr>
              <w:adjustRightInd w:val="0"/>
              <w:snapToGrid w:val="0"/>
              <w:jc w:val="center"/>
              <w:rPr>
                <w:b/>
                <w:bCs/>
                <w:color w:val="000000"/>
                <w:szCs w:val="21"/>
              </w:rPr>
            </w:pPr>
            <w:r>
              <w:rPr>
                <w:b/>
                <w:bCs/>
                <w:color w:val="000000"/>
                <w:szCs w:val="21"/>
              </w:rPr>
              <w:t>考核形式</w:t>
            </w:r>
          </w:p>
        </w:tc>
        <w:tc>
          <w:tcPr>
            <w:tcW w:w="3939" w:type="dxa"/>
            <w:tcBorders>
              <w:top w:val="single" w:color="auto" w:sz="4" w:space="0"/>
              <w:left w:val="single" w:color="auto" w:sz="4" w:space="0"/>
              <w:bottom w:val="single" w:color="auto" w:sz="4" w:space="0"/>
              <w:right w:val="single" w:color="auto" w:sz="4" w:space="0"/>
            </w:tcBorders>
            <w:shd w:val="clear" w:color="auto" w:fill="FFFFFF"/>
            <w:vAlign w:val="center"/>
          </w:tcPr>
          <w:p w14:paraId="0E3DDD49">
            <w:pPr>
              <w:adjustRightInd w:val="0"/>
              <w:snapToGrid w:val="0"/>
              <w:jc w:val="center"/>
              <w:rPr>
                <w:b/>
                <w:bCs/>
                <w:color w:val="000000"/>
                <w:szCs w:val="21"/>
              </w:rPr>
            </w:pPr>
            <w:r>
              <w:rPr>
                <w:b/>
                <w:bCs/>
                <w:color w:val="000000"/>
                <w:szCs w:val="21"/>
              </w:rPr>
              <w:t>考核原始材料（说明：试卷、作业、实验报告、技术报告、过程记录、实习总结等，纸质或电子稿）</w:t>
            </w:r>
          </w:p>
        </w:tc>
      </w:tr>
      <w:tr w14:paraId="5FD27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511" w:type="dxa"/>
            <w:tcBorders>
              <w:top w:val="single" w:color="auto" w:sz="4" w:space="0"/>
              <w:left w:val="single" w:color="auto" w:sz="4" w:space="0"/>
              <w:right w:val="single" w:color="auto" w:sz="4" w:space="0"/>
            </w:tcBorders>
            <w:vAlign w:val="center"/>
          </w:tcPr>
          <w:p w14:paraId="35A5028E">
            <w:pPr>
              <w:adjustRightInd w:val="0"/>
              <w:snapToGrid w:val="0"/>
              <w:jc w:val="center"/>
              <w:rPr>
                <w:color w:val="000000"/>
                <w:szCs w:val="21"/>
              </w:rPr>
            </w:pPr>
            <w:r>
              <w:rPr>
                <w:color w:val="000000"/>
                <w:szCs w:val="21"/>
              </w:rPr>
              <w:t>目标1</w:t>
            </w:r>
            <w:r>
              <w:rPr>
                <w:rFonts w:hint="eastAsia"/>
                <w:color w:val="000000"/>
                <w:szCs w:val="21"/>
              </w:rPr>
              <w:t>/2</w:t>
            </w:r>
          </w:p>
        </w:tc>
        <w:tc>
          <w:tcPr>
            <w:tcW w:w="1665" w:type="dxa"/>
            <w:tcBorders>
              <w:top w:val="single" w:color="auto" w:sz="4" w:space="0"/>
              <w:left w:val="single" w:color="auto" w:sz="4" w:space="0"/>
              <w:right w:val="single" w:color="auto" w:sz="4" w:space="0"/>
            </w:tcBorders>
            <w:vAlign w:val="center"/>
          </w:tcPr>
          <w:p w14:paraId="165FD9A1">
            <w:pPr>
              <w:adjustRightInd w:val="0"/>
              <w:snapToGrid w:val="0"/>
              <w:jc w:val="center"/>
              <w:rPr>
                <w:szCs w:val="21"/>
              </w:rPr>
            </w:pPr>
            <w:r>
              <w:rPr>
                <w:rFonts w:hint="eastAsia"/>
                <w:szCs w:val="21"/>
              </w:rPr>
              <w:t>对语言知识的掌握、理解与应用</w:t>
            </w:r>
          </w:p>
        </w:tc>
        <w:tc>
          <w:tcPr>
            <w:tcW w:w="1734" w:type="dxa"/>
            <w:tcBorders>
              <w:top w:val="single" w:color="auto" w:sz="4" w:space="0"/>
              <w:left w:val="single" w:color="auto" w:sz="4" w:space="0"/>
              <w:right w:val="single" w:color="auto" w:sz="4" w:space="0"/>
            </w:tcBorders>
            <w:vAlign w:val="center"/>
          </w:tcPr>
          <w:p w14:paraId="762CB95F">
            <w:pPr>
              <w:pStyle w:val="30"/>
              <w:jc w:val="center"/>
              <w:rPr>
                <w:rFonts w:eastAsia="宋体"/>
                <w:color w:val="000000"/>
                <w:szCs w:val="21"/>
              </w:rPr>
            </w:pPr>
            <w:r>
              <w:rPr>
                <w:rFonts w:hint="eastAsia" w:eastAsia="宋体"/>
                <w:color w:val="000000"/>
                <w:szCs w:val="21"/>
              </w:rPr>
              <w:t>平时表现</w:t>
            </w:r>
          </w:p>
          <w:p w14:paraId="2CD06115">
            <w:pPr>
              <w:pStyle w:val="30"/>
              <w:jc w:val="center"/>
              <w:rPr>
                <w:rFonts w:eastAsia="宋体"/>
                <w:color w:val="000000"/>
                <w:szCs w:val="21"/>
              </w:rPr>
            </w:pPr>
            <w:r>
              <w:rPr>
                <w:rFonts w:hint="eastAsia" w:eastAsia="宋体"/>
                <w:color w:val="000000"/>
                <w:szCs w:val="21"/>
              </w:rPr>
              <w:t>作业、测试</w:t>
            </w:r>
          </w:p>
          <w:p w14:paraId="512927F0">
            <w:pPr>
              <w:pStyle w:val="30"/>
              <w:jc w:val="center"/>
              <w:rPr>
                <w:rFonts w:eastAsia="宋体"/>
                <w:color w:val="000000"/>
                <w:szCs w:val="21"/>
              </w:rPr>
            </w:pPr>
            <w:r>
              <w:rPr>
                <w:rFonts w:hint="eastAsia" w:eastAsia="宋体"/>
                <w:color w:val="000000"/>
                <w:szCs w:val="21"/>
              </w:rPr>
              <w:t>自主学习</w:t>
            </w:r>
          </w:p>
          <w:p w14:paraId="32EDFCB4">
            <w:pPr>
              <w:pStyle w:val="30"/>
              <w:jc w:val="center"/>
              <w:rPr>
                <w:rFonts w:eastAsia="宋体"/>
                <w:color w:val="000000"/>
                <w:szCs w:val="21"/>
              </w:rPr>
            </w:pPr>
            <w:r>
              <w:rPr>
                <w:rFonts w:hint="eastAsia" w:eastAsia="宋体"/>
                <w:color w:val="000000"/>
                <w:szCs w:val="21"/>
              </w:rPr>
              <w:t>第二课堂</w:t>
            </w:r>
          </w:p>
          <w:p w14:paraId="6F04490C">
            <w:pPr>
              <w:adjustRightInd w:val="0"/>
              <w:snapToGrid w:val="0"/>
              <w:jc w:val="center"/>
              <w:rPr>
                <w:color w:val="000000"/>
                <w:szCs w:val="21"/>
              </w:rPr>
            </w:pPr>
            <w:r>
              <w:rPr>
                <w:rFonts w:hint="eastAsia"/>
                <w:color w:val="000000"/>
                <w:szCs w:val="21"/>
              </w:rPr>
              <w:t>期末考试</w:t>
            </w:r>
          </w:p>
        </w:tc>
        <w:tc>
          <w:tcPr>
            <w:tcW w:w="3939" w:type="dxa"/>
            <w:tcBorders>
              <w:top w:val="single" w:color="auto" w:sz="4" w:space="0"/>
              <w:left w:val="single" w:color="auto" w:sz="4" w:space="0"/>
              <w:right w:val="single" w:color="auto" w:sz="4" w:space="0"/>
            </w:tcBorders>
            <w:vAlign w:val="center"/>
          </w:tcPr>
          <w:p w14:paraId="12735264">
            <w:pPr>
              <w:pStyle w:val="30"/>
              <w:rPr>
                <w:rFonts w:eastAsia="宋体"/>
                <w:color w:val="000000"/>
                <w:szCs w:val="21"/>
              </w:rPr>
            </w:pPr>
            <w:r>
              <w:rPr>
                <w:rFonts w:hint="eastAsia" w:eastAsia="宋体"/>
                <w:color w:val="000000"/>
                <w:szCs w:val="21"/>
              </w:rPr>
              <w:t>平时成绩登记表（纸质稿）</w:t>
            </w:r>
          </w:p>
          <w:p w14:paraId="6D2C71B6">
            <w:pPr>
              <w:pStyle w:val="30"/>
              <w:rPr>
                <w:rFonts w:eastAsia="宋体"/>
                <w:color w:val="000000"/>
                <w:szCs w:val="21"/>
              </w:rPr>
            </w:pPr>
            <w:r>
              <w:rPr>
                <w:rFonts w:hint="eastAsia" w:eastAsia="宋体"/>
                <w:color w:val="000000"/>
                <w:szCs w:val="21"/>
              </w:rPr>
              <w:t>第二课堂证书（电子稿）</w:t>
            </w:r>
          </w:p>
          <w:p w14:paraId="5D133379">
            <w:pPr>
              <w:pStyle w:val="30"/>
              <w:rPr>
                <w:rFonts w:eastAsia="宋体"/>
                <w:color w:val="000000"/>
                <w:szCs w:val="21"/>
              </w:rPr>
            </w:pPr>
            <w:r>
              <w:rPr>
                <w:rFonts w:hint="eastAsia" w:eastAsia="宋体"/>
                <w:color w:val="000000"/>
                <w:szCs w:val="21"/>
              </w:rPr>
              <w:t>作业、测试、自主学习（电子稿）</w:t>
            </w:r>
          </w:p>
          <w:p w14:paraId="44AA9993">
            <w:pPr>
              <w:adjustRightInd w:val="0"/>
              <w:snapToGrid w:val="0"/>
              <w:rPr>
                <w:color w:val="000000"/>
                <w:szCs w:val="21"/>
              </w:rPr>
            </w:pPr>
            <w:r>
              <w:rPr>
                <w:rFonts w:hint="eastAsia"/>
                <w:color w:val="000000"/>
                <w:szCs w:val="21"/>
              </w:rPr>
              <w:t>期末试卷（电子稿）</w:t>
            </w:r>
          </w:p>
        </w:tc>
      </w:tr>
      <w:tr w14:paraId="7F2F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511" w:type="dxa"/>
            <w:tcBorders>
              <w:top w:val="single" w:color="auto" w:sz="4" w:space="0"/>
              <w:left w:val="single" w:color="auto" w:sz="4" w:space="0"/>
              <w:right w:val="single" w:color="auto" w:sz="4" w:space="0"/>
            </w:tcBorders>
            <w:vAlign w:val="center"/>
          </w:tcPr>
          <w:p w14:paraId="281799CF">
            <w:pPr>
              <w:adjustRightInd w:val="0"/>
              <w:snapToGrid w:val="0"/>
              <w:jc w:val="center"/>
              <w:rPr>
                <w:color w:val="000000"/>
                <w:szCs w:val="21"/>
              </w:rPr>
            </w:pPr>
            <w:r>
              <w:rPr>
                <w:rFonts w:hint="eastAsia"/>
                <w:color w:val="000000"/>
                <w:szCs w:val="21"/>
              </w:rPr>
              <w:t>目标3</w:t>
            </w:r>
          </w:p>
        </w:tc>
        <w:tc>
          <w:tcPr>
            <w:tcW w:w="1665" w:type="dxa"/>
            <w:tcBorders>
              <w:top w:val="single" w:color="auto" w:sz="4" w:space="0"/>
              <w:left w:val="single" w:color="auto" w:sz="4" w:space="0"/>
              <w:bottom w:val="single" w:color="auto" w:sz="4" w:space="0"/>
              <w:right w:val="single" w:color="auto" w:sz="4" w:space="0"/>
            </w:tcBorders>
            <w:vAlign w:val="center"/>
          </w:tcPr>
          <w:p w14:paraId="2C74673A">
            <w:pPr>
              <w:adjustRightInd w:val="0"/>
              <w:snapToGrid w:val="0"/>
              <w:jc w:val="center"/>
              <w:rPr>
                <w:szCs w:val="21"/>
              </w:rPr>
            </w:pPr>
            <w:r>
              <w:rPr>
                <w:rFonts w:hint="eastAsia"/>
                <w:szCs w:val="21"/>
              </w:rPr>
              <w:t>对语言知识的理解与应用</w:t>
            </w:r>
          </w:p>
        </w:tc>
        <w:tc>
          <w:tcPr>
            <w:tcW w:w="1734" w:type="dxa"/>
            <w:tcBorders>
              <w:top w:val="single" w:color="auto" w:sz="4" w:space="0"/>
              <w:left w:val="single" w:color="auto" w:sz="4" w:space="0"/>
              <w:bottom w:val="single" w:color="auto" w:sz="4" w:space="0"/>
              <w:right w:val="single" w:color="auto" w:sz="4" w:space="0"/>
            </w:tcBorders>
            <w:vAlign w:val="center"/>
          </w:tcPr>
          <w:p w14:paraId="08A8EB6C">
            <w:pPr>
              <w:pStyle w:val="30"/>
              <w:jc w:val="center"/>
              <w:rPr>
                <w:rFonts w:eastAsia="宋体"/>
                <w:color w:val="000000"/>
                <w:szCs w:val="21"/>
              </w:rPr>
            </w:pPr>
            <w:r>
              <w:rPr>
                <w:rFonts w:hint="eastAsia" w:eastAsia="宋体"/>
                <w:color w:val="000000"/>
                <w:szCs w:val="21"/>
              </w:rPr>
              <w:t>平时表现</w:t>
            </w:r>
          </w:p>
          <w:p w14:paraId="535C4F6C">
            <w:pPr>
              <w:pStyle w:val="30"/>
              <w:jc w:val="center"/>
              <w:rPr>
                <w:rFonts w:eastAsia="宋体"/>
                <w:color w:val="000000"/>
                <w:szCs w:val="21"/>
              </w:rPr>
            </w:pPr>
            <w:r>
              <w:rPr>
                <w:rFonts w:hint="eastAsia" w:eastAsia="宋体"/>
                <w:color w:val="000000"/>
                <w:szCs w:val="21"/>
              </w:rPr>
              <w:t>作业、测试</w:t>
            </w:r>
          </w:p>
          <w:p w14:paraId="175FBD20">
            <w:pPr>
              <w:pStyle w:val="30"/>
              <w:jc w:val="center"/>
              <w:rPr>
                <w:rFonts w:eastAsia="宋体"/>
                <w:color w:val="000000"/>
                <w:szCs w:val="21"/>
              </w:rPr>
            </w:pPr>
            <w:r>
              <w:rPr>
                <w:rFonts w:hint="eastAsia" w:eastAsia="宋体"/>
                <w:color w:val="000000"/>
                <w:szCs w:val="21"/>
              </w:rPr>
              <w:t>自主学习</w:t>
            </w:r>
          </w:p>
          <w:p w14:paraId="4EE734C3">
            <w:pPr>
              <w:pStyle w:val="30"/>
              <w:jc w:val="center"/>
              <w:rPr>
                <w:rFonts w:eastAsia="宋体"/>
                <w:color w:val="000000"/>
                <w:szCs w:val="21"/>
              </w:rPr>
            </w:pPr>
            <w:r>
              <w:rPr>
                <w:rFonts w:hint="eastAsia" w:eastAsia="宋体"/>
                <w:color w:val="000000"/>
                <w:szCs w:val="21"/>
              </w:rPr>
              <w:t>第二课堂</w:t>
            </w:r>
          </w:p>
          <w:p w14:paraId="16E00944">
            <w:pPr>
              <w:adjustRightInd w:val="0"/>
              <w:snapToGrid w:val="0"/>
              <w:jc w:val="center"/>
              <w:rPr>
                <w:color w:val="000000"/>
                <w:szCs w:val="21"/>
              </w:rPr>
            </w:pPr>
            <w:r>
              <w:rPr>
                <w:rFonts w:hint="eastAsia"/>
                <w:color w:val="000000"/>
                <w:szCs w:val="21"/>
              </w:rPr>
              <w:t>期末考试</w:t>
            </w:r>
          </w:p>
        </w:tc>
        <w:tc>
          <w:tcPr>
            <w:tcW w:w="3939" w:type="dxa"/>
            <w:tcBorders>
              <w:top w:val="single" w:color="auto" w:sz="4" w:space="0"/>
              <w:left w:val="single" w:color="auto" w:sz="4" w:space="0"/>
              <w:bottom w:val="single" w:color="auto" w:sz="4" w:space="0"/>
              <w:right w:val="single" w:color="auto" w:sz="4" w:space="0"/>
            </w:tcBorders>
            <w:vAlign w:val="center"/>
          </w:tcPr>
          <w:p w14:paraId="2BD022D0">
            <w:pPr>
              <w:pStyle w:val="30"/>
              <w:rPr>
                <w:rFonts w:eastAsia="宋体"/>
                <w:color w:val="000000"/>
                <w:szCs w:val="21"/>
              </w:rPr>
            </w:pPr>
            <w:r>
              <w:rPr>
                <w:rFonts w:hint="eastAsia" w:eastAsia="宋体"/>
                <w:color w:val="000000"/>
                <w:szCs w:val="21"/>
              </w:rPr>
              <w:t>平时成绩登记表（纸质稿）</w:t>
            </w:r>
          </w:p>
          <w:p w14:paraId="6AD44660">
            <w:pPr>
              <w:pStyle w:val="30"/>
              <w:rPr>
                <w:rFonts w:eastAsia="宋体"/>
                <w:color w:val="000000"/>
                <w:szCs w:val="21"/>
              </w:rPr>
            </w:pPr>
            <w:r>
              <w:rPr>
                <w:rFonts w:hint="eastAsia" w:eastAsia="宋体"/>
                <w:color w:val="000000"/>
                <w:szCs w:val="21"/>
              </w:rPr>
              <w:t>第二课堂证书（电子稿）</w:t>
            </w:r>
          </w:p>
          <w:p w14:paraId="6C9CAF48">
            <w:pPr>
              <w:pStyle w:val="30"/>
              <w:rPr>
                <w:rFonts w:eastAsia="宋体"/>
                <w:color w:val="000000"/>
                <w:szCs w:val="21"/>
              </w:rPr>
            </w:pPr>
            <w:r>
              <w:rPr>
                <w:rFonts w:hint="eastAsia" w:eastAsia="宋体"/>
                <w:color w:val="000000"/>
                <w:szCs w:val="21"/>
              </w:rPr>
              <w:t>作业、测试、自主学习（电子稿）</w:t>
            </w:r>
          </w:p>
          <w:p w14:paraId="51FD5843">
            <w:pPr>
              <w:adjustRightInd w:val="0"/>
              <w:snapToGrid w:val="0"/>
              <w:rPr>
                <w:color w:val="000000"/>
                <w:szCs w:val="21"/>
              </w:rPr>
            </w:pPr>
            <w:r>
              <w:rPr>
                <w:rFonts w:hint="eastAsia"/>
                <w:color w:val="000000"/>
                <w:szCs w:val="21"/>
              </w:rPr>
              <w:t>期末试卷（电子稿）</w:t>
            </w:r>
          </w:p>
        </w:tc>
      </w:tr>
    </w:tbl>
    <w:p w14:paraId="6CA28569">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31E50AA7">
      <w:pPr>
        <w:adjustRightInd w:val="0"/>
        <w:snapToGrid w:val="0"/>
        <w:spacing w:line="360" w:lineRule="auto"/>
        <w:ind w:firstLine="422" w:firstLineChars="200"/>
        <w:rPr>
          <w:b/>
          <w:color w:val="000000"/>
          <w:szCs w:val="21"/>
        </w:rPr>
      </w:pPr>
      <w:r>
        <w:rPr>
          <w:rFonts w:hint="eastAsia"/>
          <w:b/>
          <w:color w:val="000000"/>
          <w:szCs w:val="21"/>
        </w:rPr>
        <w:t>（一）持续改进</w:t>
      </w:r>
    </w:p>
    <w:p w14:paraId="3AD665BC">
      <w:pPr>
        <w:snapToGrid w:val="0"/>
        <w:spacing w:line="360" w:lineRule="auto"/>
        <w:ind w:firstLine="630" w:firstLineChars="300"/>
        <w:rPr>
          <w:szCs w:val="21"/>
        </w:rPr>
      </w:pPr>
      <w:r>
        <w:rPr>
          <w:rFonts w:hint="eastAsia"/>
          <w:szCs w:val="21"/>
        </w:rPr>
        <w:t>本课程根据学生作业、课堂讨论、平时考核情况和学生、教学督导等的反馈，及时对教学中的不足之处进行改进，并在下一轮课程教学中整改完善。</w:t>
      </w:r>
    </w:p>
    <w:p w14:paraId="4E09B88F">
      <w:pPr>
        <w:snapToGrid w:val="0"/>
        <w:spacing w:line="360" w:lineRule="auto"/>
        <w:ind w:firstLine="422" w:firstLineChars="200"/>
        <w:rPr>
          <w:b/>
          <w:color w:val="000000"/>
          <w:szCs w:val="21"/>
        </w:rPr>
      </w:pPr>
      <w:r>
        <w:rPr>
          <w:rFonts w:hint="eastAsia"/>
          <w:b/>
          <w:color w:val="000000"/>
          <w:szCs w:val="21"/>
        </w:rPr>
        <w:t>（二）</w:t>
      </w:r>
      <w:r>
        <w:rPr>
          <w:b/>
          <w:color w:val="000000"/>
          <w:szCs w:val="21"/>
        </w:rPr>
        <w:t>参考书目及学习资料</w:t>
      </w:r>
    </w:p>
    <w:p w14:paraId="65FA28ED">
      <w:pPr>
        <w:snapToGrid w:val="0"/>
        <w:spacing w:line="360" w:lineRule="auto"/>
        <w:ind w:firstLine="630" w:firstLineChars="300"/>
        <w:rPr>
          <w:szCs w:val="21"/>
        </w:rPr>
      </w:pPr>
      <w:r>
        <w:rPr>
          <w:rFonts w:hint="eastAsia"/>
          <w:bCs/>
          <w:color w:val="000000"/>
          <w:szCs w:val="21"/>
        </w:rPr>
        <w:t xml:space="preserve">1. </w:t>
      </w:r>
      <w:r>
        <w:rPr>
          <w:rFonts w:hint="eastAsia"/>
          <w:szCs w:val="21"/>
        </w:rPr>
        <w:t>习近平谈治国理政（中英文版）</w:t>
      </w:r>
      <w:r>
        <w:rPr>
          <w:szCs w:val="21"/>
        </w:rPr>
        <w:t>[M]</w:t>
      </w:r>
      <w:r>
        <w:rPr>
          <w:rFonts w:hint="eastAsia"/>
          <w:szCs w:val="21"/>
        </w:rPr>
        <w:t>. 北京：外文出版社</w:t>
      </w:r>
      <w:r>
        <w:rPr>
          <w:szCs w:val="21"/>
        </w:rPr>
        <w:t>, 2022.</w:t>
      </w:r>
    </w:p>
    <w:p w14:paraId="49010A47">
      <w:pPr>
        <w:snapToGrid w:val="0"/>
        <w:spacing w:line="360" w:lineRule="auto"/>
        <w:ind w:firstLine="630" w:firstLineChars="300"/>
        <w:rPr>
          <w:szCs w:val="21"/>
        </w:rPr>
      </w:pPr>
      <w:r>
        <w:rPr>
          <w:rFonts w:hint="eastAsia"/>
          <w:szCs w:val="21"/>
        </w:rPr>
        <w:t xml:space="preserve">2. </w:t>
      </w:r>
      <w:r>
        <w:rPr>
          <w:szCs w:val="21"/>
        </w:rPr>
        <w:t>大学英语课程教学指南[Z]. 北京：外语教学与研究出版社, 20</w:t>
      </w:r>
      <w:r>
        <w:rPr>
          <w:rFonts w:hint="eastAsia"/>
          <w:szCs w:val="21"/>
        </w:rPr>
        <w:t>20</w:t>
      </w:r>
      <w:r>
        <w:rPr>
          <w:szCs w:val="21"/>
        </w:rPr>
        <w:t>.</w:t>
      </w:r>
    </w:p>
    <w:p w14:paraId="47F41B23">
      <w:pPr>
        <w:snapToGrid w:val="0"/>
        <w:spacing w:line="360" w:lineRule="auto"/>
        <w:ind w:firstLine="630" w:firstLineChars="300"/>
        <w:rPr>
          <w:szCs w:val="21"/>
        </w:rPr>
      </w:pPr>
      <w:r>
        <w:rPr>
          <w:rFonts w:hint="eastAsia"/>
          <w:szCs w:val="21"/>
        </w:rPr>
        <w:t xml:space="preserve">3. </w:t>
      </w:r>
      <w:r>
        <w:rPr>
          <w:szCs w:val="21"/>
        </w:rPr>
        <w:t>欧洲共同语言参照框架：学习、教学、评价[M]．北京：外语教育与研究出版社, 2008</w:t>
      </w:r>
      <w:r>
        <w:rPr>
          <w:rFonts w:hint="eastAsia"/>
          <w:szCs w:val="21"/>
        </w:rPr>
        <w:t>.</w:t>
      </w:r>
    </w:p>
    <w:p w14:paraId="7AC1E348">
      <w:pPr>
        <w:snapToGrid w:val="0"/>
        <w:spacing w:line="360" w:lineRule="auto"/>
        <w:ind w:firstLine="630" w:firstLineChars="300"/>
        <w:rPr>
          <w:szCs w:val="21"/>
        </w:rPr>
      </w:pPr>
      <w:r>
        <w:rPr>
          <w:rFonts w:hint="eastAsia"/>
          <w:szCs w:val="21"/>
        </w:rPr>
        <w:t>4. 全新版大学进阶英语综合教程（第二版）</w:t>
      </w:r>
      <w:r>
        <w:rPr>
          <w:szCs w:val="21"/>
        </w:rPr>
        <w:t>[</w:t>
      </w:r>
      <w:r>
        <w:rPr>
          <w:rFonts w:hint="eastAsia"/>
          <w:szCs w:val="21"/>
        </w:rPr>
        <w:t>M</w:t>
      </w:r>
      <w:r>
        <w:rPr>
          <w:szCs w:val="21"/>
        </w:rPr>
        <w:t>]</w:t>
      </w:r>
      <w:r>
        <w:rPr>
          <w:rFonts w:hint="eastAsia"/>
          <w:szCs w:val="21"/>
        </w:rPr>
        <w:t>. 北京：上海外语教育出版社，2023.</w:t>
      </w:r>
    </w:p>
    <w:p w14:paraId="7B392BA0">
      <w:pPr>
        <w:snapToGrid w:val="0"/>
        <w:spacing w:line="360" w:lineRule="auto"/>
        <w:ind w:firstLine="630" w:firstLineChars="300"/>
        <w:rPr>
          <w:szCs w:val="21"/>
        </w:rPr>
      </w:pPr>
      <w:r>
        <w:rPr>
          <w:rFonts w:hint="eastAsia"/>
          <w:szCs w:val="21"/>
        </w:rPr>
        <w:t>5. 大学英语听说教程（智慧版）</w:t>
      </w:r>
      <w:r>
        <w:rPr>
          <w:szCs w:val="21"/>
        </w:rPr>
        <w:t>[</w:t>
      </w:r>
      <w:r>
        <w:rPr>
          <w:rFonts w:hint="eastAsia"/>
          <w:szCs w:val="21"/>
        </w:rPr>
        <w:t>M</w:t>
      </w:r>
      <w:r>
        <w:rPr>
          <w:szCs w:val="21"/>
        </w:rPr>
        <w:t>]</w:t>
      </w:r>
      <w:r>
        <w:rPr>
          <w:rFonts w:hint="eastAsia"/>
          <w:szCs w:val="21"/>
        </w:rPr>
        <w:t>. 北京：外语教学与研究出版社，2023.</w:t>
      </w:r>
    </w:p>
    <w:p w14:paraId="5B4B9DAC">
      <w:pPr>
        <w:snapToGrid w:val="0"/>
        <w:spacing w:line="360" w:lineRule="auto"/>
        <w:ind w:firstLine="630" w:firstLineChars="300"/>
        <w:rPr>
          <w:szCs w:val="21"/>
        </w:rPr>
      </w:pPr>
      <w:r>
        <w:rPr>
          <w:rFonts w:hint="eastAsia"/>
          <w:szCs w:val="21"/>
        </w:rPr>
        <w:t>6. 新编大学英语技能进阶教程（第1版）</w:t>
      </w:r>
      <w:r>
        <w:rPr>
          <w:szCs w:val="21"/>
        </w:rPr>
        <w:t>[</w:t>
      </w:r>
      <w:r>
        <w:rPr>
          <w:rFonts w:hint="eastAsia"/>
          <w:szCs w:val="21"/>
        </w:rPr>
        <w:t>M</w:t>
      </w:r>
      <w:r>
        <w:rPr>
          <w:szCs w:val="21"/>
        </w:rPr>
        <w:t>]</w:t>
      </w:r>
      <w:r>
        <w:rPr>
          <w:rFonts w:hint="eastAsia"/>
          <w:szCs w:val="21"/>
        </w:rPr>
        <w:t>. 南京：东南大学出版社，2023.</w:t>
      </w:r>
    </w:p>
    <w:p w14:paraId="7EECB5C2">
      <w:pPr>
        <w:snapToGrid w:val="0"/>
        <w:spacing w:line="360" w:lineRule="auto"/>
        <w:ind w:firstLine="630" w:firstLineChars="300"/>
        <w:rPr>
          <w:szCs w:val="21"/>
        </w:rPr>
      </w:pPr>
      <w:r>
        <w:rPr>
          <w:rFonts w:hint="eastAsia"/>
          <w:szCs w:val="21"/>
        </w:rPr>
        <w:t>7. 朗文当代高级英语辞典（第6版）</w:t>
      </w:r>
      <w:r>
        <w:rPr>
          <w:szCs w:val="21"/>
        </w:rPr>
        <w:t>[</w:t>
      </w:r>
      <w:r>
        <w:rPr>
          <w:rFonts w:hint="eastAsia"/>
          <w:szCs w:val="21"/>
        </w:rPr>
        <w:t>K</w:t>
      </w:r>
      <w:r>
        <w:rPr>
          <w:szCs w:val="21"/>
        </w:rPr>
        <w:t>]</w:t>
      </w:r>
      <w:r>
        <w:rPr>
          <w:rFonts w:hint="eastAsia"/>
          <w:szCs w:val="21"/>
        </w:rPr>
        <w:t>. 北京：外语教学与研究出版社，2019.</w:t>
      </w:r>
    </w:p>
    <w:p w14:paraId="5A05D15B">
      <w:pPr>
        <w:snapToGrid w:val="0"/>
        <w:spacing w:line="360" w:lineRule="auto"/>
        <w:ind w:firstLine="630" w:firstLineChars="300"/>
        <w:rPr>
          <w:szCs w:val="21"/>
        </w:rPr>
      </w:pPr>
      <w:r>
        <w:rPr>
          <w:rFonts w:hint="eastAsia"/>
          <w:szCs w:val="21"/>
        </w:rPr>
        <w:t>8. 牛津高阶英汉双解词典（第10版）</w:t>
      </w:r>
      <w:r>
        <w:rPr>
          <w:szCs w:val="21"/>
        </w:rPr>
        <w:t>[</w:t>
      </w:r>
      <w:r>
        <w:rPr>
          <w:rFonts w:hint="eastAsia"/>
          <w:szCs w:val="21"/>
        </w:rPr>
        <w:t>K</w:t>
      </w:r>
      <w:r>
        <w:rPr>
          <w:szCs w:val="21"/>
        </w:rPr>
        <w:t>]</w:t>
      </w:r>
      <w:r>
        <w:rPr>
          <w:rFonts w:hint="eastAsia"/>
          <w:szCs w:val="21"/>
        </w:rPr>
        <w:t>. 上海：商务印书馆，2023.</w:t>
      </w:r>
    </w:p>
    <w:p w14:paraId="2C3D6FE5">
      <w:pPr>
        <w:snapToGrid w:val="0"/>
        <w:spacing w:line="360" w:lineRule="auto"/>
        <w:ind w:firstLine="630" w:firstLineChars="300"/>
        <w:rPr>
          <w:szCs w:val="21"/>
        </w:rPr>
      </w:pPr>
      <w:r>
        <w:rPr>
          <w:rFonts w:hint="eastAsia"/>
          <w:szCs w:val="21"/>
        </w:rPr>
        <w:t xml:space="preserve">9. </w:t>
      </w:r>
      <w:r>
        <w:rPr>
          <w:szCs w:val="21"/>
        </w:rPr>
        <w:t>数字化教学</w:t>
      </w:r>
      <w:r>
        <w:rPr>
          <w:rFonts w:hint="eastAsia"/>
          <w:szCs w:val="21"/>
        </w:rPr>
        <w:t>资源</w:t>
      </w:r>
      <w:r>
        <w:rPr>
          <w:szCs w:val="21"/>
        </w:rPr>
        <w:t>链接</w:t>
      </w:r>
    </w:p>
    <w:p w14:paraId="4BFA63E1">
      <w:pPr>
        <w:ind w:left="420" w:firstLine="420"/>
        <w:rPr>
          <w:kern w:val="0"/>
          <w:szCs w:val="21"/>
        </w:rPr>
      </w:pPr>
      <w:r>
        <w:rPr>
          <w:rFonts w:hint="eastAsia"/>
          <w:szCs w:val="21"/>
        </w:rPr>
        <w:t>（1）</w:t>
      </w:r>
      <w:r>
        <w:rPr>
          <w:szCs w:val="21"/>
        </w:rPr>
        <w:t>中国大学MOOC国家精品资源共享课，</w:t>
      </w:r>
      <w:r>
        <w:rPr>
          <w:rFonts w:hint="eastAsia"/>
          <w:szCs w:val="21"/>
        </w:rPr>
        <w:t>大学英语</w:t>
      </w:r>
      <w:r>
        <w:rPr>
          <w:szCs w:val="21"/>
        </w:rPr>
        <w:t>，</w:t>
      </w:r>
      <w:r>
        <w:fldChar w:fldCharType="begin"/>
      </w:r>
      <w:r>
        <w:instrText xml:space="preserve"> HYPERLINK "http://www.icourse163.org/course/HLJU-1206434803" </w:instrText>
      </w:r>
      <w:r>
        <w:fldChar w:fldCharType="separate"/>
      </w:r>
      <w:r>
        <w:rPr>
          <w:szCs w:val="21"/>
        </w:rPr>
        <w:t>http://www.icourse163.org</w:t>
      </w:r>
      <w:r>
        <w:rPr>
          <w:szCs w:val="21"/>
        </w:rPr>
        <w:fldChar w:fldCharType="end"/>
      </w:r>
      <w:r>
        <w:rPr>
          <w:rFonts w:hint="eastAsia"/>
          <w:szCs w:val="21"/>
        </w:rPr>
        <w:tab/>
      </w:r>
      <w:r>
        <w:rPr>
          <w:rFonts w:hint="eastAsia"/>
          <w:szCs w:val="21"/>
        </w:rPr>
        <w:t>（2）国家精品课程资源网，大学英语，http://www.jingpinke.com</w:t>
      </w:r>
    </w:p>
    <w:p w14:paraId="5FD697B6">
      <w:pPr>
        <w:autoSpaceDE w:val="0"/>
        <w:autoSpaceDN w:val="0"/>
        <w:adjustRightInd w:val="0"/>
        <w:spacing w:line="360" w:lineRule="auto"/>
        <w:jc w:val="right"/>
        <w:rPr>
          <w:kern w:val="0"/>
          <w:szCs w:val="21"/>
        </w:rPr>
      </w:pPr>
      <w:r>
        <w:rPr>
          <w:rFonts w:hint="eastAsia"/>
          <w:kern w:val="0"/>
          <w:szCs w:val="21"/>
        </w:rPr>
        <w:t xml:space="preserve">执笔人：汤月明 </w:t>
      </w:r>
    </w:p>
    <w:p w14:paraId="46870D50">
      <w:pPr>
        <w:autoSpaceDE w:val="0"/>
        <w:autoSpaceDN w:val="0"/>
        <w:adjustRightInd w:val="0"/>
        <w:spacing w:line="360" w:lineRule="auto"/>
        <w:jc w:val="right"/>
        <w:rPr>
          <w:kern w:val="0"/>
          <w:szCs w:val="21"/>
        </w:rPr>
      </w:pPr>
      <w:r>
        <w:rPr>
          <w:rFonts w:hint="eastAsia"/>
          <w:kern w:val="0"/>
          <w:szCs w:val="21"/>
        </w:rPr>
        <w:t xml:space="preserve">审定人：汤月明 </w:t>
      </w:r>
    </w:p>
    <w:p w14:paraId="46169AFE">
      <w:pPr>
        <w:autoSpaceDE w:val="0"/>
        <w:autoSpaceDN w:val="0"/>
        <w:adjustRightInd w:val="0"/>
        <w:spacing w:line="360" w:lineRule="auto"/>
        <w:jc w:val="right"/>
        <w:rPr>
          <w:kern w:val="0"/>
          <w:szCs w:val="21"/>
        </w:rPr>
      </w:pPr>
      <w:r>
        <w:rPr>
          <w:rFonts w:hint="eastAsia"/>
          <w:kern w:val="0"/>
          <w:szCs w:val="21"/>
        </w:rPr>
        <w:t>审批人：施云波</w:t>
      </w:r>
    </w:p>
    <w:p w14:paraId="6C44CF72">
      <w:pPr>
        <w:autoSpaceDE w:val="0"/>
        <w:autoSpaceDN w:val="0"/>
        <w:adjustRightInd w:val="0"/>
        <w:spacing w:line="360" w:lineRule="auto"/>
        <w:jc w:val="right"/>
        <w:rPr>
          <w:rFonts w:hint="eastAsia" w:ascii="等线" w:hAnsi="等线" w:eastAsia="等线" w:cs="Times New Roman"/>
          <w:b/>
          <w:bCs/>
          <w:sz w:val="24"/>
        </w:rPr>
      </w:pPr>
      <w:r>
        <w:rPr>
          <w:rFonts w:hint="eastAsia"/>
          <w:kern w:val="0"/>
          <w:szCs w:val="21"/>
        </w:rPr>
        <w:t>审批时间：2025年8月</w:t>
      </w:r>
      <w:r>
        <w:rPr>
          <w:rFonts w:hint="eastAsia" w:ascii="等线" w:hAnsi="等线" w:eastAsia="等线" w:cs="Times New Roman"/>
          <w:szCs w:val="22"/>
        </w:rPr>
        <w:t xml:space="preserve">                         </w:t>
      </w:r>
    </w:p>
    <w:p w14:paraId="26D74C11">
      <w:pPr>
        <w:spacing w:line="360" w:lineRule="auto"/>
        <w:ind w:firstLine="4200" w:firstLineChars="2000"/>
        <w:jc w:val="right"/>
        <w:rPr>
          <w:rFonts w:hint="eastAsia" w:ascii="宋体" w:hAnsi="宋体" w:cs="宋体"/>
          <w:szCs w:val="21"/>
        </w:rPr>
      </w:pPr>
    </w:p>
    <w:p w14:paraId="2C8DE133">
      <w:pPr>
        <w:rPr>
          <w:rFonts w:hint="eastAsia" w:ascii="宋体" w:hAnsi="宋体" w:cs="宋体"/>
          <w:szCs w:val="21"/>
        </w:rPr>
      </w:pPr>
      <w:r>
        <w:rPr>
          <w:rFonts w:hint="eastAsia" w:ascii="宋体" w:hAnsi="宋体" w:cs="宋体"/>
          <w:szCs w:val="21"/>
        </w:rPr>
        <w:br w:type="page"/>
      </w:r>
    </w:p>
    <w:p w14:paraId="5A051DC5">
      <w:pPr>
        <w:pStyle w:val="2"/>
        <w:tabs>
          <w:tab w:val="left" w:pos="720"/>
          <w:tab w:val="left" w:pos="2700"/>
        </w:tabs>
        <w:spacing w:line="576" w:lineRule="auto"/>
        <w:rPr>
          <w:rFonts w:asciiTheme="majorHAnsi" w:hAnsiTheme="majorHAnsi" w:eastAsiaTheme="majorEastAsia" w:cstheme="majorBidi"/>
          <w:bCs/>
          <w:szCs w:val="32"/>
        </w:rPr>
      </w:pPr>
      <w:bookmarkStart w:id="155" w:name="_Toc24005"/>
      <w:r>
        <w:rPr>
          <w:rFonts w:hint="eastAsia" w:asciiTheme="majorHAnsi" w:hAnsiTheme="majorHAnsi" w:eastAsiaTheme="majorEastAsia" w:cstheme="majorBidi"/>
          <w:bCs/>
          <w:szCs w:val="32"/>
        </w:rPr>
        <w:t>《大学英语B3》课程教学大纲</w:t>
      </w:r>
      <w:bookmarkEnd w:id="155"/>
    </w:p>
    <w:p w14:paraId="1153E9E8">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College English B3</w:t>
      </w:r>
      <w:r>
        <w:rPr>
          <w:rFonts w:ascii="Times New Roman" w:hAnsi="Times New Roman" w:eastAsia="宋体" w:cs="Times New Roman"/>
          <w:b/>
          <w:bCs/>
          <w:sz w:val="28"/>
          <w:szCs w:val="28"/>
        </w:rPr>
        <w:t>）</w:t>
      </w:r>
    </w:p>
    <w:p w14:paraId="5B412CDD">
      <w:pPr>
        <w:rPr>
          <w:rFonts w:hint="eastAsia" w:ascii="宋体" w:hAnsi="宋体" w:cs="宋体"/>
          <w:szCs w:val="21"/>
        </w:rPr>
      </w:pPr>
    </w:p>
    <w:p w14:paraId="6E631457">
      <w:pPr>
        <w:snapToGrid w:val="0"/>
        <w:spacing w:line="360" w:lineRule="auto"/>
        <w:ind w:firstLine="482" w:firstLineChars="200"/>
        <w:rPr>
          <w:rFonts w:eastAsia="宋体"/>
          <w:bCs/>
          <w:kern w:val="0"/>
          <w:sz w:val="24"/>
        </w:rPr>
      </w:pPr>
      <w:r>
        <w:rPr>
          <w:b/>
          <w:bCs/>
          <w:kern w:val="0"/>
          <w:sz w:val="24"/>
        </w:rPr>
        <w:t>课程代码</w:t>
      </w:r>
      <w:r>
        <w:rPr>
          <w:b/>
          <w:kern w:val="0"/>
          <w:sz w:val="24"/>
        </w:rPr>
        <w:t>：</w:t>
      </w:r>
      <w:r>
        <w:rPr>
          <w:rFonts w:hint="eastAsia"/>
          <w:bCs/>
          <w:kern w:val="0"/>
          <w:sz w:val="24"/>
        </w:rPr>
        <w:t>0606004</w:t>
      </w:r>
    </w:p>
    <w:p w14:paraId="6A1049AF">
      <w:pPr>
        <w:snapToGrid w:val="0"/>
        <w:spacing w:line="360" w:lineRule="auto"/>
        <w:ind w:firstLine="482" w:firstLineChars="200"/>
        <w:rPr>
          <w:rFonts w:eastAsia="宋体"/>
          <w:kern w:val="0"/>
          <w:sz w:val="24"/>
        </w:rPr>
      </w:pPr>
      <w:r>
        <w:rPr>
          <w:b/>
          <w:bCs/>
          <w:kern w:val="0"/>
          <w:sz w:val="24"/>
        </w:rPr>
        <w:t>学    分</w:t>
      </w:r>
      <w:r>
        <w:rPr>
          <w:b/>
          <w:kern w:val="0"/>
          <w:sz w:val="24"/>
        </w:rPr>
        <w:t>：</w:t>
      </w:r>
      <w:r>
        <w:rPr>
          <w:rFonts w:hint="eastAsia"/>
          <w:bCs/>
          <w:kern w:val="0"/>
          <w:sz w:val="24"/>
        </w:rPr>
        <w:t>4</w:t>
      </w:r>
    </w:p>
    <w:p w14:paraId="0DE7B6FD">
      <w:pPr>
        <w:snapToGrid w:val="0"/>
        <w:spacing w:line="360" w:lineRule="auto"/>
        <w:ind w:firstLine="482" w:firstLineChars="200"/>
        <w:rPr>
          <w:rFonts w:eastAsia="宋体"/>
          <w:kern w:val="0"/>
          <w:sz w:val="24"/>
        </w:rPr>
      </w:pPr>
      <w:r>
        <w:rPr>
          <w:b/>
          <w:bCs/>
          <w:kern w:val="0"/>
          <w:sz w:val="24"/>
        </w:rPr>
        <w:t>学    时</w:t>
      </w:r>
      <w:r>
        <w:rPr>
          <w:b/>
          <w:kern w:val="0"/>
          <w:sz w:val="24"/>
        </w:rPr>
        <w:t>：</w:t>
      </w:r>
      <w:r>
        <w:rPr>
          <w:rFonts w:hint="eastAsia"/>
          <w:bCs/>
          <w:kern w:val="0"/>
          <w:sz w:val="24"/>
        </w:rPr>
        <w:t>65</w:t>
      </w:r>
    </w:p>
    <w:p w14:paraId="0D63B76B">
      <w:pPr>
        <w:snapToGrid w:val="0"/>
        <w:spacing w:line="360" w:lineRule="auto"/>
        <w:ind w:firstLine="482" w:firstLineChars="200"/>
        <w:rPr>
          <w:rFonts w:eastAsia="宋体"/>
          <w:bCs/>
          <w:kern w:val="0"/>
          <w:sz w:val="24"/>
        </w:rPr>
      </w:pPr>
      <w:r>
        <w:rPr>
          <w:b/>
          <w:bCs/>
          <w:kern w:val="0"/>
          <w:sz w:val="24"/>
        </w:rPr>
        <w:t>先修课程</w:t>
      </w:r>
      <w:r>
        <w:rPr>
          <w:b/>
          <w:kern w:val="0"/>
          <w:sz w:val="24"/>
        </w:rPr>
        <w:t>：</w:t>
      </w:r>
      <w:r>
        <w:rPr>
          <w:rFonts w:hint="eastAsia"/>
          <w:bCs/>
          <w:kern w:val="0"/>
          <w:sz w:val="24"/>
        </w:rPr>
        <w:t>大学英语A</w:t>
      </w:r>
    </w:p>
    <w:p w14:paraId="45803D7E">
      <w:pPr>
        <w:snapToGrid w:val="0"/>
        <w:spacing w:line="360" w:lineRule="auto"/>
        <w:ind w:firstLine="482" w:firstLineChars="200"/>
        <w:rPr>
          <w:rFonts w:eastAsia="宋体"/>
          <w:sz w:val="24"/>
        </w:rPr>
      </w:pPr>
      <w:r>
        <w:rPr>
          <w:b/>
          <w:bCs/>
          <w:kern w:val="0"/>
          <w:sz w:val="24"/>
        </w:rPr>
        <w:t>适用专业</w:t>
      </w:r>
      <w:r>
        <w:rPr>
          <w:b/>
          <w:kern w:val="0"/>
          <w:sz w:val="24"/>
        </w:rPr>
        <w:t>：</w:t>
      </w:r>
      <w:r>
        <w:rPr>
          <w:rFonts w:hint="eastAsia"/>
          <w:bCs/>
          <w:kern w:val="0"/>
          <w:sz w:val="24"/>
        </w:rPr>
        <w:t>人文、师范、外语、艺术类专业</w:t>
      </w:r>
    </w:p>
    <w:p w14:paraId="63C3D866">
      <w:pPr>
        <w:snapToGrid w:val="0"/>
        <w:spacing w:line="360" w:lineRule="auto"/>
        <w:ind w:firstLine="482" w:firstLineChars="200"/>
        <w:rPr>
          <w:rFonts w:eastAsia="宋体"/>
          <w:b/>
          <w:bCs/>
          <w:kern w:val="0"/>
          <w:sz w:val="24"/>
        </w:rPr>
      </w:pPr>
      <w:r>
        <w:rPr>
          <w:rFonts w:hint="eastAsia"/>
          <w:b/>
          <w:bCs/>
          <w:kern w:val="0"/>
          <w:sz w:val="24"/>
        </w:rPr>
        <w:t>适用年级：</w:t>
      </w:r>
      <w:r>
        <w:rPr>
          <w:rFonts w:hint="eastAsia"/>
          <w:kern w:val="0"/>
          <w:sz w:val="24"/>
        </w:rPr>
        <w:t>2025级</w:t>
      </w:r>
    </w:p>
    <w:p w14:paraId="6B51A1C9">
      <w:pPr>
        <w:numPr>
          <w:ilvl w:val="0"/>
          <w:numId w:val="7"/>
        </w:numPr>
        <w:snapToGrid w:val="0"/>
        <w:spacing w:line="360" w:lineRule="auto"/>
        <w:ind w:firstLine="562" w:firstLineChars="200"/>
        <w:rPr>
          <w:b/>
          <w:sz w:val="28"/>
          <w:szCs w:val="28"/>
        </w:rPr>
      </w:pPr>
      <w:r>
        <w:rPr>
          <w:rFonts w:hint="eastAsia"/>
          <w:b/>
          <w:sz w:val="28"/>
          <w:szCs w:val="28"/>
        </w:rPr>
        <w:t>课程简介</w:t>
      </w:r>
    </w:p>
    <w:p w14:paraId="35B888F7">
      <w:pPr>
        <w:spacing w:line="360" w:lineRule="auto"/>
        <w:ind w:firstLine="420" w:firstLineChars="200"/>
        <w:rPr>
          <w:b/>
          <w:sz w:val="28"/>
          <w:szCs w:val="28"/>
        </w:rPr>
      </w:pPr>
      <w:r>
        <w:rPr>
          <w:rFonts w:hint="eastAsia" w:ascii="宋体" w:hAnsi="宋体" w:eastAsia="宋体" w:cs="宋体"/>
          <w:kern w:val="0"/>
          <w:szCs w:val="21"/>
        </w:rPr>
        <w:t>大学英语教学是高等教育的一个重要组成部分。大学英语作为全校非英语专业学生必修的公共基础课程，大学英语教学以英语语言知识与应用技能、学习策略和跨文化交际为主要内容，以外语教学理论为指导，有机融入课程思政，集多种教学模式和教学手段为一体的教学体系。大学英语教学旨在夯实学生英语语言基础，培养学生英语语言应用能力；满足学生专业学习、国际交流、继续深造、工作就业等方面的需求；增强学生自主学习能力和终生学习意识；帮助学生树立全球视野，培养国际意识，提升人文素养，为学生知识创新、潜能发挥和全面发展提供一个基本工具。</w:t>
      </w:r>
    </w:p>
    <w:p w14:paraId="036B49C5">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45F9BC78">
      <w:pPr>
        <w:tabs>
          <w:tab w:val="left" w:pos="1260"/>
        </w:tabs>
        <w:snapToGrid w:val="0"/>
        <w:spacing w:line="360" w:lineRule="auto"/>
        <w:ind w:firstLine="367" w:firstLineChars="175"/>
        <w:rPr>
          <w:kern w:val="0"/>
          <w:szCs w:val="21"/>
        </w:rPr>
      </w:pPr>
      <w:r>
        <w:rPr>
          <w:rFonts w:hint="eastAsia"/>
          <w:kern w:val="0"/>
          <w:szCs w:val="21"/>
        </w:rPr>
        <w:t>目标1：了解专业领域的术语体系、语篇结构及表达逻辑；掌握学术英语核心语法规则、专业文献阅读策略及学术写作规范。</w:t>
      </w:r>
    </w:p>
    <w:p w14:paraId="18C02063">
      <w:pPr>
        <w:tabs>
          <w:tab w:val="left" w:pos="1260"/>
        </w:tabs>
        <w:snapToGrid w:val="0"/>
        <w:spacing w:line="360" w:lineRule="auto"/>
        <w:ind w:firstLine="367" w:firstLineChars="175"/>
        <w:rPr>
          <w:kern w:val="0"/>
          <w:szCs w:val="21"/>
        </w:rPr>
      </w:pPr>
      <w:r>
        <w:rPr>
          <w:rFonts w:hint="eastAsia"/>
          <w:kern w:val="0"/>
          <w:szCs w:val="21"/>
        </w:rPr>
        <w:t>目标2：提升学生使用英语工具紧跟专业前沿，拓展专业视野，查阅专业文献的意识和能力，培养学生在专业领域进行相关沟通、交流能力。</w:t>
      </w:r>
    </w:p>
    <w:p w14:paraId="1DA732CF">
      <w:pPr>
        <w:tabs>
          <w:tab w:val="left" w:pos="1260"/>
        </w:tabs>
        <w:snapToGrid w:val="0"/>
        <w:spacing w:line="360" w:lineRule="auto"/>
        <w:ind w:firstLine="367" w:firstLineChars="175"/>
        <w:rPr>
          <w:kern w:val="0"/>
          <w:szCs w:val="21"/>
        </w:rPr>
      </w:pPr>
      <w:r>
        <w:rPr>
          <w:rFonts w:hint="eastAsia"/>
          <w:kern w:val="0"/>
          <w:szCs w:val="21"/>
        </w:rPr>
        <w:t>目标3：厚植学术诚信意识，增强跨文化理解；培养学生树立国际视野，增强国际传播力；培养学生自主学习能力和终身学习意识，适应专业发展的动态需求。</w:t>
      </w:r>
    </w:p>
    <w:p w14:paraId="3254F58F">
      <w:pPr>
        <w:snapToGrid w:val="0"/>
        <w:spacing w:line="360" w:lineRule="auto"/>
        <w:ind w:firstLine="420" w:firstLineChars="200"/>
        <w:rPr>
          <w:kern w:val="0"/>
          <w:szCs w:val="21"/>
        </w:rPr>
      </w:pPr>
      <w:r>
        <w:rPr>
          <w:rFonts w:hint="eastAsia"/>
          <w:kern w:val="0"/>
          <w:szCs w:val="21"/>
        </w:rPr>
        <w:t>课程思政育人目标：以语言知识和语言技能为桥梁，在培养学生拓展国际视野，提升跨文化沟通能力的同时，引导学生树立家国情怀，坚定文化自信，坚守学术诚信和职业道德；培育科学精神，强化社会责任，服务国家战略需求。课程目标与毕业要求观测点的对应关系如表1所示。</w:t>
      </w:r>
    </w:p>
    <w:p w14:paraId="005D37EF">
      <w:pPr>
        <w:snapToGrid w:val="0"/>
        <w:spacing w:line="360" w:lineRule="auto"/>
        <w:jc w:val="center"/>
        <w:rPr>
          <w:kern w:val="0"/>
          <w:szCs w:val="21"/>
        </w:rPr>
      </w:pPr>
    </w:p>
    <w:p w14:paraId="13377C28">
      <w:pPr>
        <w:snapToGrid w:val="0"/>
        <w:spacing w:line="360" w:lineRule="auto"/>
        <w:jc w:val="center"/>
        <w:rPr>
          <w:kern w:val="0"/>
          <w:szCs w:val="21"/>
        </w:rPr>
      </w:pPr>
    </w:p>
    <w:p w14:paraId="52A2C414">
      <w:pPr>
        <w:snapToGrid w:val="0"/>
        <w:spacing w:line="360" w:lineRule="auto"/>
        <w:jc w:val="center"/>
        <w:rPr>
          <w:kern w:val="0"/>
          <w:szCs w:val="21"/>
        </w:rPr>
      </w:pPr>
      <w:r>
        <w:rPr>
          <w:kern w:val="0"/>
          <w:szCs w:val="21"/>
        </w:rPr>
        <w:t>表1  课程目标与毕业要求</w:t>
      </w:r>
      <w:r>
        <w:rPr>
          <w:rFonts w:hint="eastAsia"/>
          <w:kern w:val="0"/>
          <w:szCs w:val="21"/>
        </w:rPr>
        <w:t>观测</w:t>
      </w:r>
      <w:r>
        <w:rPr>
          <w:kern w:val="0"/>
          <w:szCs w:val="21"/>
        </w:rPr>
        <w:t>点的对应关系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5374"/>
        <w:gridCol w:w="1302"/>
      </w:tblGrid>
      <w:tr w14:paraId="0FC3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94" w:type="dxa"/>
            <w:vAlign w:val="center"/>
          </w:tcPr>
          <w:p w14:paraId="4949084A">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w:t>
            </w:r>
          </w:p>
        </w:tc>
        <w:tc>
          <w:tcPr>
            <w:tcW w:w="5530" w:type="dxa"/>
            <w:vAlign w:val="center"/>
          </w:tcPr>
          <w:p w14:paraId="11CFE6D0">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毕业要求指标点</w:t>
            </w:r>
          </w:p>
        </w:tc>
        <w:tc>
          <w:tcPr>
            <w:tcW w:w="1331" w:type="dxa"/>
            <w:vAlign w:val="center"/>
          </w:tcPr>
          <w:p w14:paraId="6FD66A90">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w:t>
            </w:r>
          </w:p>
        </w:tc>
      </w:tr>
      <w:tr w14:paraId="5AD4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dxa"/>
            <w:vAlign w:val="center"/>
          </w:tcPr>
          <w:p w14:paraId="4912E569">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毕业要求3</w:t>
            </w:r>
          </w:p>
          <w:p w14:paraId="74F7B5F9">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学科素养</w:t>
            </w:r>
          </w:p>
        </w:tc>
        <w:tc>
          <w:tcPr>
            <w:tcW w:w="5530" w:type="dxa"/>
            <w:vAlign w:val="center"/>
          </w:tcPr>
          <w:p w14:paraId="5E0D0093">
            <w:pPr>
              <w:autoSpaceDE w:val="0"/>
              <w:autoSpaceDN w:val="0"/>
              <w:adjustRightInd w:val="0"/>
              <w:rPr>
                <w:rFonts w:hint="eastAsia" w:ascii="宋体" w:hAnsi="宋体" w:eastAsia="宋体" w:cs="宋体"/>
                <w:kern w:val="0"/>
                <w:szCs w:val="21"/>
              </w:rPr>
            </w:pPr>
            <w:r>
              <w:rPr>
                <w:rFonts w:hint="eastAsia" w:ascii="宋体" w:hAnsi="宋体" w:eastAsia="宋体" w:cs="宋体"/>
                <w:b/>
                <w:kern w:val="0"/>
                <w:szCs w:val="21"/>
              </w:rPr>
              <w:t>指标点3-1</w:t>
            </w:r>
            <w:r>
              <w:rPr>
                <w:rFonts w:hint="eastAsia" w:ascii="宋体" w:hAnsi="宋体" w:eastAsia="宋体" w:cs="宋体"/>
                <w:kern w:val="0"/>
                <w:szCs w:val="21"/>
              </w:rPr>
              <w:t>：【通识知识广博】具有小学教育本科专业相应的自然科学和人文社会科学知识素养。</w:t>
            </w:r>
          </w:p>
        </w:tc>
        <w:tc>
          <w:tcPr>
            <w:tcW w:w="1331" w:type="dxa"/>
            <w:vAlign w:val="center"/>
          </w:tcPr>
          <w:p w14:paraId="33DBEFA1">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课程目标1</w:t>
            </w:r>
          </w:p>
          <w:p w14:paraId="1784C05E">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课程目标2</w:t>
            </w:r>
          </w:p>
        </w:tc>
      </w:tr>
      <w:tr w14:paraId="521A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dxa"/>
            <w:vAlign w:val="center"/>
          </w:tcPr>
          <w:p w14:paraId="28C738BE">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毕业要求7</w:t>
            </w:r>
          </w:p>
          <w:p w14:paraId="7DD8AB29">
            <w:pPr>
              <w:autoSpaceDE w:val="0"/>
              <w:autoSpaceDN w:val="0"/>
              <w:adjustRightInd w:val="0"/>
              <w:jc w:val="center"/>
              <w:rPr>
                <w:rFonts w:hint="eastAsia" w:ascii="宋体" w:hAnsi="宋体" w:eastAsia="宋体" w:cs="宋体"/>
                <w:kern w:val="0"/>
                <w:szCs w:val="21"/>
              </w:rPr>
            </w:pPr>
            <w:r>
              <w:rPr>
                <w:rFonts w:ascii="宋体" w:hAnsi="宋体" w:eastAsia="宋体" w:cs="宋体"/>
                <w:kern w:val="0"/>
                <w:szCs w:val="21"/>
              </w:rPr>
              <w:t>学会反思</w:t>
            </w:r>
          </w:p>
        </w:tc>
        <w:tc>
          <w:tcPr>
            <w:tcW w:w="5530" w:type="dxa"/>
          </w:tcPr>
          <w:p w14:paraId="7C2B3170">
            <w:pPr>
              <w:autoSpaceDE w:val="0"/>
              <w:autoSpaceDN w:val="0"/>
              <w:adjustRightInd w:val="0"/>
              <w:rPr>
                <w:rFonts w:hint="eastAsia" w:ascii="宋体" w:hAnsi="宋体" w:eastAsia="宋体" w:cs="宋体"/>
                <w:kern w:val="0"/>
                <w:szCs w:val="21"/>
              </w:rPr>
            </w:pPr>
            <w:r>
              <w:rPr>
                <w:rFonts w:hint="eastAsia" w:ascii="宋体" w:hAnsi="宋体" w:eastAsia="宋体" w:cs="宋体"/>
                <w:b/>
                <w:kern w:val="0"/>
                <w:szCs w:val="21"/>
              </w:rPr>
              <w:t>指标点7-1</w:t>
            </w:r>
            <w:r>
              <w:rPr>
                <w:rFonts w:hint="eastAsia" w:ascii="宋体" w:hAnsi="宋体" w:eastAsia="宋体" w:cs="宋体"/>
                <w:kern w:val="0"/>
                <w:szCs w:val="21"/>
              </w:rPr>
              <w:t>：【教育视野开阔】积极关注基础教育领域的国内外交流进展，了解国内外基础教育改革发展的动态，具有宽广的教育视野，能够主动适应新时代和教育发展需求。</w:t>
            </w:r>
          </w:p>
        </w:tc>
        <w:tc>
          <w:tcPr>
            <w:tcW w:w="1331" w:type="dxa"/>
            <w:vAlign w:val="center"/>
          </w:tcPr>
          <w:p w14:paraId="2014851C">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课程目标1</w:t>
            </w:r>
          </w:p>
          <w:p w14:paraId="4E433A8B">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课程目标2</w:t>
            </w:r>
          </w:p>
          <w:p w14:paraId="0429C941">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课程目标3</w:t>
            </w:r>
          </w:p>
        </w:tc>
      </w:tr>
      <w:tr w14:paraId="6900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4" w:type="dxa"/>
            <w:vAlign w:val="center"/>
          </w:tcPr>
          <w:p w14:paraId="5E814762">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毕业要求8</w:t>
            </w:r>
          </w:p>
          <w:p w14:paraId="209C7569">
            <w:pPr>
              <w:autoSpaceDE w:val="0"/>
              <w:autoSpaceDN w:val="0"/>
              <w:adjustRightInd w:val="0"/>
              <w:jc w:val="center"/>
              <w:rPr>
                <w:rFonts w:hint="eastAsia" w:ascii="宋体" w:hAnsi="宋体" w:eastAsia="宋体" w:cs="宋体"/>
                <w:kern w:val="0"/>
                <w:szCs w:val="21"/>
              </w:rPr>
            </w:pPr>
            <w:r>
              <w:rPr>
                <w:rFonts w:ascii="宋体" w:hAnsi="宋体" w:eastAsia="宋体" w:cs="宋体"/>
                <w:kern w:val="0"/>
                <w:szCs w:val="21"/>
              </w:rPr>
              <w:t>沟通合作</w:t>
            </w:r>
          </w:p>
        </w:tc>
        <w:tc>
          <w:tcPr>
            <w:tcW w:w="5530" w:type="dxa"/>
          </w:tcPr>
          <w:p w14:paraId="2D510BD2">
            <w:pPr>
              <w:autoSpaceDE w:val="0"/>
              <w:autoSpaceDN w:val="0"/>
              <w:adjustRightInd w:val="0"/>
              <w:rPr>
                <w:rFonts w:hint="eastAsia" w:ascii="宋体" w:hAnsi="宋体" w:eastAsia="宋体" w:cs="宋体"/>
                <w:kern w:val="0"/>
                <w:szCs w:val="21"/>
              </w:rPr>
            </w:pPr>
            <w:r>
              <w:rPr>
                <w:rFonts w:hint="eastAsia" w:ascii="宋体" w:hAnsi="宋体" w:eastAsia="宋体" w:cs="宋体"/>
                <w:b/>
                <w:kern w:val="0"/>
                <w:szCs w:val="21"/>
              </w:rPr>
              <w:t>指标点8-2</w:t>
            </w:r>
            <w:r>
              <w:rPr>
                <w:rFonts w:hint="eastAsia" w:ascii="宋体" w:hAnsi="宋体" w:eastAsia="宋体" w:cs="宋体"/>
                <w:kern w:val="0"/>
                <w:szCs w:val="21"/>
              </w:rPr>
              <w:t>：【学会沟通交流】掌握人际沟通合作技能与方法，在教育教学实践中，能与学生和家长以及同行、同事、专家进行有效沟通与合作，实现共同发展。</w:t>
            </w:r>
          </w:p>
        </w:tc>
        <w:tc>
          <w:tcPr>
            <w:tcW w:w="1331" w:type="dxa"/>
            <w:vAlign w:val="center"/>
          </w:tcPr>
          <w:p w14:paraId="193F467E">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课程目标1</w:t>
            </w:r>
          </w:p>
          <w:p w14:paraId="2B800307">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课程目标3</w:t>
            </w:r>
          </w:p>
        </w:tc>
      </w:tr>
    </w:tbl>
    <w:p w14:paraId="61AA1C73">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三</w:t>
      </w:r>
      <w:r>
        <w:rPr>
          <w:rFonts w:ascii="Times New Roman" w:hAnsi="Times New Roman" w:eastAsia="宋体" w:cs="Times New Roman"/>
          <w:b/>
          <w:sz w:val="24"/>
        </w:rPr>
        <w:t>、课程内容及要求</w:t>
      </w:r>
    </w:p>
    <w:p w14:paraId="56125B3E">
      <w:pPr>
        <w:snapToGrid w:val="0"/>
        <w:spacing w:line="360" w:lineRule="auto"/>
        <w:ind w:firstLine="413" w:firstLineChars="196"/>
        <w:rPr>
          <w:b/>
          <w:szCs w:val="21"/>
        </w:rPr>
      </w:pPr>
      <w:r>
        <w:rPr>
          <w:b/>
          <w:szCs w:val="21"/>
        </w:rPr>
        <w:t>（一）</w:t>
      </w:r>
      <w:r>
        <w:rPr>
          <w:rFonts w:hint="eastAsia"/>
          <w:b/>
          <w:szCs w:val="21"/>
        </w:rPr>
        <w:t>听力理解</w:t>
      </w:r>
    </w:p>
    <w:p w14:paraId="19432FD8">
      <w:pPr>
        <w:snapToGrid w:val="0"/>
        <w:spacing w:line="360" w:lineRule="auto"/>
        <w:ind w:firstLine="420" w:firstLineChars="200"/>
        <w:rPr>
          <w:szCs w:val="21"/>
        </w:rPr>
      </w:pPr>
      <w:r>
        <w:rPr>
          <w:szCs w:val="21"/>
        </w:rPr>
        <w:t>1.教学内容</w:t>
      </w:r>
    </w:p>
    <w:p w14:paraId="418F2E89">
      <w:pPr>
        <w:spacing w:line="360" w:lineRule="auto"/>
        <w:ind w:firstLine="420" w:firstLineChars="200"/>
        <w:rPr>
          <w:szCs w:val="21"/>
        </w:rPr>
      </w:pPr>
      <w:r>
        <w:rPr>
          <w:rFonts w:hint="eastAsia"/>
          <w:szCs w:val="21"/>
        </w:rPr>
        <w:t>（1）学术场景听力</w:t>
      </w:r>
    </w:p>
    <w:p w14:paraId="2CF91909">
      <w:pPr>
        <w:spacing w:line="360" w:lineRule="auto"/>
        <w:ind w:firstLine="420" w:firstLineChars="200"/>
        <w:rPr>
          <w:szCs w:val="21"/>
        </w:rPr>
      </w:pPr>
      <w:r>
        <w:rPr>
          <w:rFonts w:hint="eastAsia"/>
          <w:szCs w:val="21"/>
        </w:rPr>
        <w:t>（2）学科专题听力</w:t>
      </w:r>
    </w:p>
    <w:p w14:paraId="6B422AE2">
      <w:pPr>
        <w:spacing w:line="360" w:lineRule="auto"/>
        <w:ind w:firstLine="420" w:firstLineChars="200"/>
        <w:rPr>
          <w:szCs w:val="21"/>
        </w:rPr>
      </w:pPr>
      <w:r>
        <w:rPr>
          <w:rFonts w:hint="eastAsia"/>
          <w:szCs w:val="21"/>
        </w:rPr>
        <w:t>（3）听力技巧</w:t>
      </w:r>
    </w:p>
    <w:p w14:paraId="64741E47">
      <w:pPr>
        <w:spacing w:line="360" w:lineRule="auto"/>
        <w:ind w:firstLine="420" w:firstLineChars="200"/>
        <w:rPr>
          <w:color w:val="000000"/>
          <w:szCs w:val="21"/>
        </w:rPr>
      </w:pPr>
      <w:r>
        <w:rPr>
          <w:color w:val="000000"/>
          <w:szCs w:val="21"/>
        </w:rPr>
        <w:t>2.基本要求</w:t>
      </w:r>
    </w:p>
    <w:p w14:paraId="55BA8580">
      <w:pPr>
        <w:spacing w:line="360" w:lineRule="auto"/>
        <w:ind w:firstLine="420" w:firstLineChars="200"/>
        <w:rPr>
          <w:color w:val="000000"/>
          <w:szCs w:val="21"/>
        </w:rPr>
      </w:pPr>
      <w:r>
        <w:rPr>
          <w:rFonts w:hint="eastAsia"/>
          <w:color w:val="000000"/>
          <w:szCs w:val="21"/>
        </w:rPr>
        <w:t>能听懂专业领域英语谈话；能基本听懂专业相关、篇幅较长、语速中等的学术会议和讲座，掌握中心大意，抓住要点和相关细节；能基本听懂用英语讲授的专业课程或与未来工作岗位、工作任务、产品等相关的口头介绍；能较好地运用听力技巧。</w:t>
      </w:r>
    </w:p>
    <w:p w14:paraId="6FA05511">
      <w:pPr>
        <w:spacing w:line="360" w:lineRule="auto"/>
        <w:ind w:firstLine="413" w:firstLineChars="196"/>
        <w:rPr>
          <w:rFonts w:eastAsia="宋体"/>
          <w:b/>
          <w:szCs w:val="21"/>
        </w:rPr>
      </w:pPr>
      <w:r>
        <w:rPr>
          <w:rFonts w:hint="eastAsia"/>
          <w:b/>
          <w:szCs w:val="21"/>
        </w:rPr>
        <w:t>（二）口语表达</w:t>
      </w:r>
    </w:p>
    <w:p w14:paraId="74EC57A5">
      <w:pPr>
        <w:spacing w:line="360" w:lineRule="auto"/>
        <w:ind w:firstLine="411" w:firstLineChars="196"/>
        <w:rPr>
          <w:szCs w:val="21"/>
        </w:rPr>
      </w:pPr>
      <w:r>
        <w:rPr>
          <w:rFonts w:hint="eastAsia"/>
          <w:szCs w:val="21"/>
        </w:rPr>
        <w:t>1.教学内容</w:t>
      </w:r>
    </w:p>
    <w:p w14:paraId="29EB597E">
      <w:pPr>
        <w:spacing w:line="360" w:lineRule="auto"/>
        <w:ind w:firstLine="411" w:firstLineChars="196"/>
        <w:rPr>
          <w:rFonts w:eastAsia="宋体"/>
          <w:szCs w:val="21"/>
        </w:rPr>
      </w:pPr>
      <w:r>
        <w:rPr>
          <w:rFonts w:hint="eastAsia"/>
          <w:szCs w:val="21"/>
        </w:rPr>
        <w:t>（1）跨文化传播</w:t>
      </w:r>
    </w:p>
    <w:p w14:paraId="44D4F6B0">
      <w:pPr>
        <w:spacing w:line="360" w:lineRule="auto"/>
        <w:ind w:firstLine="411" w:firstLineChars="196"/>
        <w:rPr>
          <w:szCs w:val="21"/>
        </w:rPr>
      </w:pPr>
      <w:r>
        <w:rPr>
          <w:rFonts w:hint="eastAsia"/>
          <w:szCs w:val="21"/>
        </w:rPr>
        <w:t>（2）专业场景模拟</w:t>
      </w:r>
    </w:p>
    <w:p w14:paraId="39089574">
      <w:pPr>
        <w:spacing w:line="360" w:lineRule="auto"/>
        <w:ind w:firstLine="411" w:firstLineChars="196"/>
        <w:rPr>
          <w:rFonts w:eastAsia="宋体"/>
          <w:szCs w:val="21"/>
        </w:rPr>
      </w:pPr>
      <w:r>
        <w:rPr>
          <w:rFonts w:hint="eastAsia"/>
          <w:color w:val="000000"/>
          <w:szCs w:val="21"/>
        </w:rPr>
        <w:t>（3）沟通技巧</w:t>
      </w:r>
    </w:p>
    <w:p w14:paraId="195A62FA">
      <w:pPr>
        <w:spacing w:line="360" w:lineRule="auto"/>
        <w:ind w:firstLine="411" w:firstLineChars="196"/>
        <w:rPr>
          <w:szCs w:val="21"/>
        </w:rPr>
      </w:pPr>
      <w:r>
        <w:rPr>
          <w:rFonts w:hint="eastAsia"/>
          <w:szCs w:val="21"/>
        </w:rPr>
        <w:t>2.基本要求</w:t>
      </w:r>
    </w:p>
    <w:p w14:paraId="3B93D083">
      <w:pPr>
        <w:spacing w:line="360" w:lineRule="auto"/>
        <w:ind w:firstLine="420" w:firstLineChars="200"/>
        <w:rPr>
          <w:szCs w:val="21"/>
        </w:rPr>
      </w:pPr>
      <w:r>
        <w:rPr>
          <w:rFonts w:hint="eastAsia"/>
          <w:szCs w:val="21"/>
        </w:rPr>
        <w:t>能用英语就与人文、艺术专业相关话题进行比较流利的会话；能较好地用英语表达个人意见、情感、观点等；能用英语陈述事实、理由和描述事件或物品等；能就熟悉的观点、概念、理论等进行阐述、解释、比较、总结等；具备一定的跨文化传播能力；语言组织结构清晰，语音、语调基本正确；能较好地运用口头表达与交流技巧。</w:t>
      </w:r>
    </w:p>
    <w:p w14:paraId="30B2F434">
      <w:pPr>
        <w:spacing w:line="360" w:lineRule="auto"/>
        <w:ind w:firstLine="413" w:firstLineChars="196"/>
        <w:rPr>
          <w:b/>
          <w:szCs w:val="21"/>
        </w:rPr>
      </w:pPr>
      <w:r>
        <w:rPr>
          <w:rFonts w:hint="eastAsia" w:ascii="Times New Roman" w:hAnsi="Times New Roman" w:eastAsia="宋体" w:cs="Times New Roman"/>
          <w:b/>
          <w:szCs w:val="21"/>
        </w:rPr>
        <w:t>（</w:t>
      </w:r>
      <w:r>
        <w:rPr>
          <w:rFonts w:hint="eastAsia" w:cs="Times New Roman"/>
          <w:b/>
          <w:szCs w:val="21"/>
        </w:rPr>
        <w:t>三</w:t>
      </w:r>
      <w:r>
        <w:rPr>
          <w:rFonts w:hint="eastAsia" w:ascii="Times New Roman" w:hAnsi="Times New Roman" w:eastAsia="宋体" w:cs="Times New Roman"/>
          <w:b/>
          <w:szCs w:val="21"/>
        </w:rPr>
        <w:t>）</w:t>
      </w:r>
      <w:r>
        <w:rPr>
          <w:rFonts w:hint="eastAsia"/>
          <w:b/>
          <w:szCs w:val="21"/>
        </w:rPr>
        <w:t>阅读理解</w:t>
      </w:r>
    </w:p>
    <w:p w14:paraId="5C4F34B9">
      <w:pPr>
        <w:spacing w:line="360" w:lineRule="auto"/>
        <w:ind w:firstLine="411" w:firstLineChars="196"/>
        <w:rPr>
          <w:szCs w:val="21"/>
        </w:rPr>
      </w:pPr>
      <w:r>
        <w:rPr>
          <w:rFonts w:hint="eastAsia"/>
          <w:szCs w:val="21"/>
        </w:rPr>
        <w:t>1. 教学内容</w:t>
      </w:r>
    </w:p>
    <w:p w14:paraId="65A68222">
      <w:pPr>
        <w:spacing w:line="360" w:lineRule="auto"/>
        <w:ind w:firstLine="420" w:firstLineChars="200"/>
        <w:rPr>
          <w:szCs w:val="21"/>
        </w:rPr>
      </w:pPr>
      <w:r>
        <w:rPr>
          <w:rFonts w:hint="eastAsia"/>
          <w:szCs w:val="21"/>
        </w:rPr>
        <w:t>（1）专业文献精读</w:t>
      </w:r>
    </w:p>
    <w:p w14:paraId="3FDB45E4">
      <w:pPr>
        <w:spacing w:line="360" w:lineRule="auto"/>
        <w:ind w:firstLine="411" w:firstLineChars="196"/>
        <w:rPr>
          <w:szCs w:val="21"/>
        </w:rPr>
      </w:pPr>
      <w:r>
        <w:rPr>
          <w:rFonts w:hint="eastAsia"/>
          <w:szCs w:val="21"/>
        </w:rPr>
        <w:t>（2）跨学科文献泛读</w:t>
      </w:r>
    </w:p>
    <w:p w14:paraId="5A15191D">
      <w:pPr>
        <w:spacing w:line="360" w:lineRule="auto"/>
        <w:ind w:firstLine="411" w:firstLineChars="196"/>
        <w:rPr>
          <w:szCs w:val="21"/>
        </w:rPr>
      </w:pPr>
      <w:r>
        <w:rPr>
          <w:rFonts w:hint="eastAsia"/>
          <w:szCs w:val="21"/>
        </w:rPr>
        <w:t>（3）批判性阅读</w:t>
      </w:r>
    </w:p>
    <w:p w14:paraId="76714CD7">
      <w:pPr>
        <w:spacing w:line="360" w:lineRule="auto"/>
        <w:ind w:firstLine="411" w:firstLineChars="196"/>
        <w:rPr>
          <w:szCs w:val="21"/>
        </w:rPr>
      </w:pPr>
      <w:r>
        <w:rPr>
          <w:rFonts w:hint="eastAsia"/>
          <w:szCs w:val="21"/>
        </w:rPr>
        <w:t>（4）阅读策略</w:t>
      </w:r>
    </w:p>
    <w:p w14:paraId="739DD61A">
      <w:pPr>
        <w:spacing w:line="360" w:lineRule="auto"/>
        <w:ind w:firstLine="411" w:firstLineChars="196"/>
        <w:rPr>
          <w:szCs w:val="21"/>
        </w:rPr>
      </w:pPr>
      <w:r>
        <w:rPr>
          <w:rFonts w:hint="eastAsia"/>
          <w:szCs w:val="21"/>
        </w:rPr>
        <w:t>2.基本要求</w:t>
      </w:r>
    </w:p>
    <w:p w14:paraId="092BA959">
      <w:pPr>
        <w:spacing w:line="360" w:lineRule="auto"/>
        <w:ind w:firstLine="420" w:firstLineChars="200"/>
        <w:rPr>
          <w:szCs w:val="21"/>
        </w:rPr>
      </w:pPr>
      <w:r>
        <w:rPr>
          <w:szCs w:val="21"/>
        </w:rPr>
        <w:t>能读懂公开发表的</w:t>
      </w:r>
      <w:r>
        <w:rPr>
          <w:rFonts w:hint="eastAsia"/>
          <w:szCs w:val="21"/>
        </w:rPr>
        <w:t>人文、艺术</w:t>
      </w:r>
      <w:r>
        <w:rPr>
          <w:szCs w:val="21"/>
        </w:rPr>
        <w:t>题材的</w:t>
      </w:r>
      <w:r>
        <w:rPr>
          <w:rFonts w:hint="eastAsia"/>
          <w:szCs w:val="21"/>
        </w:rPr>
        <w:t>英语</w:t>
      </w:r>
      <w:r>
        <w:rPr>
          <w:szCs w:val="21"/>
        </w:rPr>
        <w:t>文章</w:t>
      </w:r>
      <w:r>
        <w:rPr>
          <w:rFonts w:hint="eastAsia"/>
          <w:szCs w:val="21"/>
        </w:rPr>
        <w:t>和作品</w:t>
      </w:r>
      <w:r>
        <w:rPr>
          <w:szCs w:val="21"/>
        </w:rPr>
        <w:t>；能阅读与所学专业相关的</w:t>
      </w:r>
      <w:r>
        <w:rPr>
          <w:rFonts w:hint="eastAsia"/>
          <w:szCs w:val="21"/>
        </w:rPr>
        <w:t>英语</w:t>
      </w:r>
      <w:r>
        <w:rPr>
          <w:szCs w:val="21"/>
        </w:rPr>
        <w:t>综述性文献，或与未来工作相关的</w:t>
      </w:r>
      <w:r>
        <w:rPr>
          <w:rFonts w:hint="eastAsia"/>
          <w:szCs w:val="21"/>
        </w:rPr>
        <w:t>英语资料</w:t>
      </w:r>
      <w:r>
        <w:rPr>
          <w:szCs w:val="21"/>
        </w:rPr>
        <w:t>，理解中心大意、关键信息、文章的篇章结构和隐含意义等</w:t>
      </w:r>
      <w:r>
        <w:rPr>
          <w:rFonts w:hint="eastAsia"/>
          <w:szCs w:val="21"/>
        </w:rPr>
        <w:t>；</w:t>
      </w:r>
      <w:r>
        <w:rPr>
          <w:szCs w:val="21"/>
        </w:rPr>
        <w:t>能较好地运用快速阅读技巧阅读篇幅较长、难度中等的</w:t>
      </w:r>
      <w:r>
        <w:rPr>
          <w:rFonts w:hint="eastAsia"/>
          <w:szCs w:val="21"/>
        </w:rPr>
        <w:t>英语资</w:t>
      </w:r>
      <w:r>
        <w:rPr>
          <w:szCs w:val="21"/>
        </w:rPr>
        <w:t>料</w:t>
      </w:r>
      <w:r>
        <w:rPr>
          <w:rFonts w:hint="eastAsia"/>
          <w:szCs w:val="21"/>
        </w:rPr>
        <w:t>；</w:t>
      </w:r>
      <w:r>
        <w:rPr>
          <w:szCs w:val="21"/>
        </w:rPr>
        <w:t>能较好地运用常用的阅读策略。</w:t>
      </w:r>
    </w:p>
    <w:p w14:paraId="6B0C5F38">
      <w:pPr>
        <w:spacing w:line="360" w:lineRule="auto"/>
        <w:ind w:firstLine="413" w:firstLineChars="196"/>
        <w:rPr>
          <w:b/>
          <w:szCs w:val="21"/>
        </w:rPr>
      </w:pPr>
      <w:r>
        <w:rPr>
          <w:rFonts w:hint="eastAsia"/>
          <w:b/>
          <w:szCs w:val="21"/>
        </w:rPr>
        <w:t>（四）书面表达</w:t>
      </w:r>
    </w:p>
    <w:p w14:paraId="54ADE7C5">
      <w:pPr>
        <w:spacing w:line="360" w:lineRule="auto"/>
        <w:ind w:firstLine="411" w:firstLineChars="196"/>
        <w:rPr>
          <w:szCs w:val="21"/>
        </w:rPr>
      </w:pPr>
      <w:r>
        <w:rPr>
          <w:rFonts w:hint="eastAsia"/>
          <w:szCs w:val="21"/>
        </w:rPr>
        <w:t>1. 教学内容</w:t>
      </w:r>
    </w:p>
    <w:p w14:paraId="2EA1574B">
      <w:pPr>
        <w:spacing w:line="360" w:lineRule="auto"/>
        <w:ind w:firstLine="411" w:firstLineChars="196"/>
        <w:rPr>
          <w:szCs w:val="21"/>
        </w:rPr>
      </w:pPr>
      <w:r>
        <w:rPr>
          <w:rFonts w:hint="eastAsia"/>
          <w:szCs w:val="21"/>
        </w:rPr>
        <w:t>（1）学术写作规范</w:t>
      </w:r>
    </w:p>
    <w:p w14:paraId="7E9EB335">
      <w:pPr>
        <w:spacing w:line="360" w:lineRule="auto"/>
        <w:ind w:firstLine="411" w:firstLineChars="196"/>
        <w:rPr>
          <w:szCs w:val="21"/>
        </w:rPr>
      </w:pPr>
      <w:r>
        <w:rPr>
          <w:rFonts w:hint="eastAsia"/>
          <w:szCs w:val="21"/>
        </w:rPr>
        <w:t>（2）专业文本撰写</w:t>
      </w:r>
    </w:p>
    <w:p w14:paraId="294DE5BA">
      <w:pPr>
        <w:spacing w:line="360" w:lineRule="auto"/>
        <w:ind w:firstLine="411" w:firstLineChars="196"/>
        <w:rPr>
          <w:szCs w:val="21"/>
        </w:rPr>
      </w:pPr>
      <w:r>
        <w:rPr>
          <w:rFonts w:hint="eastAsia"/>
          <w:szCs w:val="21"/>
        </w:rPr>
        <w:t>（3）文本修改</w:t>
      </w:r>
    </w:p>
    <w:p w14:paraId="2C72D295">
      <w:pPr>
        <w:spacing w:line="360" w:lineRule="auto"/>
        <w:ind w:firstLine="411" w:firstLineChars="196"/>
        <w:rPr>
          <w:szCs w:val="21"/>
        </w:rPr>
      </w:pPr>
      <w:r>
        <w:rPr>
          <w:rFonts w:hint="eastAsia"/>
          <w:szCs w:val="21"/>
        </w:rPr>
        <w:t>2. 基本要求</w:t>
      </w:r>
    </w:p>
    <w:p w14:paraId="4C0578F1">
      <w:pPr>
        <w:spacing w:line="360" w:lineRule="auto"/>
        <w:ind w:firstLine="411" w:firstLineChars="196"/>
        <w:rPr>
          <w:szCs w:val="21"/>
        </w:rPr>
      </w:pPr>
      <w:r>
        <w:rPr>
          <w:rFonts w:hint="eastAsia"/>
          <w:szCs w:val="21"/>
        </w:rPr>
        <w:t>了解学术论文摘要、引言、文献综述等书写规范；能撰写所学专业论文的英文摘要；能独立完成文献综述并体现批判思维；能用英语就人文、艺术作品表达个人观点；能用英语对未来所从事工作或岗位职能、业务、产品等进行简要的书面介绍，语言表达内容完整，观点明确，条理清楚，语句通顺；能较好地运用常用的书面表达与交流技巧。</w:t>
      </w:r>
    </w:p>
    <w:p w14:paraId="08FD9517">
      <w:pPr>
        <w:spacing w:line="360" w:lineRule="auto"/>
        <w:ind w:left="412" w:leftChars="196"/>
        <w:rPr>
          <w:b/>
          <w:szCs w:val="21"/>
        </w:rPr>
      </w:pPr>
      <w:r>
        <w:rPr>
          <w:rFonts w:hint="eastAsia"/>
          <w:b/>
          <w:szCs w:val="21"/>
        </w:rPr>
        <w:t>（五）中英互译</w:t>
      </w:r>
    </w:p>
    <w:p w14:paraId="034D372D">
      <w:pPr>
        <w:spacing w:line="360" w:lineRule="auto"/>
        <w:ind w:firstLine="420" w:firstLineChars="200"/>
        <w:rPr>
          <w:szCs w:val="21"/>
        </w:rPr>
      </w:pPr>
      <w:r>
        <w:rPr>
          <w:rFonts w:hint="eastAsia"/>
          <w:szCs w:val="21"/>
        </w:rPr>
        <w:t>（1）学术文本互译</w:t>
      </w:r>
    </w:p>
    <w:p w14:paraId="444A6614">
      <w:pPr>
        <w:spacing w:line="360" w:lineRule="auto"/>
        <w:ind w:firstLine="420" w:firstLineChars="200"/>
        <w:rPr>
          <w:szCs w:val="21"/>
        </w:rPr>
      </w:pPr>
      <w:r>
        <w:rPr>
          <w:rFonts w:hint="eastAsia"/>
          <w:szCs w:val="21"/>
        </w:rPr>
        <w:t>（2）翻译理论实践</w:t>
      </w:r>
    </w:p>
    <w:p w14:paraId="753AF7F7">
      <w:pPr>
        <w:spacing w:line="360" w:lineRule="auto"/>
        <w:ind w:firstLine="420" w:firstLineChars="200"/>
        <w:rPr>
          <w:szCs w:val="21"/>
        </w:rPr>
      </w:pPr>
      <w:r>
        <w:rPr>
          <w:rFonts w:hint="eastAsia"/>
          <w:szCs w:val="21"/>
        </w:rPr>
        <w:t>（3）术语翻译策略</w:t>
      </w:r>
    </w:p>
    <w:p w14:paraId="7247A262">
      <w:pPr>
        <w:spacing w:line="360" w:lineRule="auto"/>
        <w:ind w:firstLine="411" w:firstLineChars="196"/>
        <w:rPr>
          <w:szCs w:val="21"/>
        </w:rPr>
      </w:pPr>
      <w:r>
        <w:rPr>
          <w:rFonts w:hint="eastAsia"/>
          <w:szCs w:val="21"/>
        </w:rPr>
        <w:t>2.基本要求</w:t>
      </w:r>
    </w:p>
    <w:p w14:paraId="412D79EB">
      <w:pPr>
        <w:spacing w:line="360" w:lineRule="auto"/>
        <w:ind w:firstLine="420" w:firstLineChars="200"/>
        <w:rPr>
          <w:szCs w:val="21"/>
        </w:rPr>
      </w:pPr>
      <w:r>
        <w:rPr>
          <w:rFonts w:hint="eastAsia"/>
          <w:szCs w:val="21"/>
        </w:rPr>
        <w:t>能摘译人文、艺术类，与所学专业或未来所从事工作岗位相关，语言难度一般的文献资料；能借助词典翻译体裁较为正式的人文、艺术英语文章或作品；理解正确，译文基本达意，语言表达清晰；能运用较常用的翻译技巧。</w:t>
      </w:r>
    </w:p>
    <w:p w14:paraId="08AB1101">
      <w:pPr>
        <w:spacing w:line="360" w:lineRule="auto"/>
        <w:ind w:firstLine="420" w:firstLineChars="200"/>
        <w:rPr>
          <w:szCs w:val="21"/>
        </w:rPr>
      </w:pPr>
      <w:r>
        <w:rPr>
          <w:rFonts w:hint="eastAsia"/>
          <w:szCs w:val="21"/>
        </w:rPr>
        <w:t>教学内容与</w:t>
      </w:r>
      <w:r>
        <w:rPr>
          <w:szCs w:val="21"/>
        </w:rPr>
        <w:t>课程目标的</w:t>
      </w:r>
      <w:r>
        <w:rPr>
          <w:rFonts w:hint="eastAsia"/>
          <w:szCs w:val="21"/>
        </w:rPr>
        <w:t>对应关系及</w:t>
      </w:r>
      <w:r>
        <w:rPr>
          <w:szCs w:val="21"/>
        </w:rPr>
        <w:t>学时分配</w:t>
      </w:r>
      <w:r>
        <w:rPr>
          <w:rFonts w:hint="eastAsia"/>
          <w:szCs w:val="21"/>
        </w:rPr>
        <w:t>如表2所示。</w:t>
      </w:r>
    </w:p>
    <w:p w14:paraId="25B804AB">
      <w:pPr>
        <w:spacing w:line="360" w:lineRule="auto"/>
        <w:jc w:val="center"/>
        <w:rPr>
          <w:szCs w:val="21"/>
        </w:rPr>
      </w:pPr>
    </w:p>
    <w:p w14:paraId="1F97DB88">
      <w:pPr>
        <w:spacing w:line="360" w:lineRule="auto"/>
        <w:jc w:val="center"/>
        <w:rPr>
          <w:szCs w:val="21"/>
        </w:rPr>
      </w:pPr>
    </w:p>
    <w:p w14:paraId="1FCDA7DB">
      <w:pPr>
        <w:spacing w:line="360" w:lineRule="auto"/>
        <w:jc w:val="center"/>
        <w:rPr>
          <w:szCs w:val="21"/>
        </w:rPr>
      </w:pPr>
      <w:r>
        <w:rPr>
          <w:szCs w:val="21"/>
        </w:rPr>
        <w:t>表2  教学内容与课程目标的对应关系及学时分配表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74"/>
        <w:gridCol w:w="1307"/>
        <w:gridCol w:w="1222"/>
        <w:gridCol w:w="836"/>
        <w:gridCol w:w="825"/>
        <w:gridCol w:w="2831"/>
      </w:tblGrid>
      <w:tr w14:paraId="018C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FAD3FEC">
            <w:pPr>
              <w:widowControl/>
              <w:adjustRightInd w:val="0"/>
              <w:snapToGrid w:val="0"/>
              <w:jc w:val="center"/>
              <w:rPr>
                <w:b/>
                <w:bCs/>
                <w:szCs w:val="21"/>
              </w:rPr>
            </w:pPr>
            <w:r>
              <w:rPr>
                <w:b/>
                <w:bCs/>
                <w:szCs w:val="21"/>
              </w:rPr>
              <w:t>序号</w:t>
            </w:r>
          </w:p>
        </w:tc>
        <w:tc>
          <w:tcPr>
            <w:tcW w:w="1074" w:type="dxa"/>
            <w:tcBorders>
              <w:top w:val="single" w:color="auto" w:sz="4" w:space="0"/>
              <w:left w:val="single" w:color="auto" w:sz="4" w:space="0"/>
              <w:bottom w:val="single" w:color="auto" w:sz="4" w:space="0"/>
              <w:right w:val="single" w:color="auto" w:sz="4" w:space="0"/>
            </w:tcBorders>
            <w:shd w:val="clear" w:color="auto" w:fill="FFFFFF"/>
            <w:vAlign w:val="center"/>
          </w:tcPr>
          <w:p w14:paraId="2479FF87">
            <w:pPr>
              <w:widowControl/>
              <w:adjustRightInd w:val="0"/>
              <w:snapToGrid w:val="0"/>
              <w:jc w:val="center"/>
              <w:rPr>
                <w:b/>
                <w:bCs/>
                <w:szCs w:val="21"/>
              </w:rPr>
            </w:pPr>
            <w:r>
              <w:rPr>
                <w:b/>
                <w:bCs/>
                <w:szCs w:val="21"/>
              </w:rPr>
              <w:t>教学内容</w:t>
            </w:r>
          </w:p>
        </w:tc>
        <w:tc>
          <w:tcPr>
            <w:tcW w:w="1307" w:type="dxa"/>
            <w:tcBorders>
              <w:top w:val="single" w:color="auto" w:sz="4" w:space="0"/>
              <w:left w:val="single" w:color="auto" w:sz="4" w:space="0"/>
              <w:bottom w:val="single" w:color="auto" w:sz="4" w:space="0"/>
              <w:right w:val="single" w:color="auto" w:sz="4" w:space="0"/>
            </w:tcBorders>
            <w:shd w:val="clear" w:color="auto" w:fill="FFFFFF"/>
            <w:vAlign w:val="center"/>
          </w:tcPr>
          <w:p w14:paraId="774C99C2">
            <w:pPr>
              <w:widowControl/>
              <w:adjustRightInd w:val="0"/>
              <w:snapToGrid w:val="0"/>
              <w:jc w:val="center"/>
              <w:rPr>
                <w:b/>
                <w:bCs/>
                <w:szCs w:val="21"/>
              </w:rPr>
            </w:pPr>
            <w:r>
              <w:rPr>
                <w:b/>
                <w:bCs/>
                <w:szCs w:val="21"/>
              </w:rPr>
              <w:t>支撑的课程目标</w:t>
            </w:r>
          </w:p>
        </w:tc>
        <w:tc>
          <w:tcPr>
            <w:tcW w:w="1222" w:type="dxa"/>
            <w:tcBorders>
              <w:top w:val="single" w:color="auto" w:sz="4" w:space="0"/>
              <w:left w:val="single" w:color="auto" w:sz="4" w:space="0"/>
              <w:bottom w:val="single" w:color="auto" w:sz="4" w:space="0"/>
              <w:right w:val="single" w:color="auto" w:sz="4" w:space="0"/>
            </w:tcBorders>
            <w:shd w:val="clear" w:color="auto" w:fill="FFFFFF"/>
            <w:vAlign w:val="center"/>
          </w:tcPr>
          <w:p w14:paraId="50B39EC3">
            <w:pPr>
              <w:widowControl/>
              <w:adjustRightInd w:val="0"/>
              <w:snapToGrid w:val="0"/>
              <w:jc w:val="center"/>
              <w:rPr>
                <w:b/>
                <w:bCs/>
                <w:szCs w:val="21"/>
              </w:rPr>
            </w:pPr>
            <w:r>
              <w:rPr>
                <w:b/>
                <w:bCs/>
                <w:szCs w:val="21"/>
              </w:rPr>
              <w:t>支撑的毕业要求</w:t>
            </w:r>
            <w:r>
              <w:rPr>
                <w:rFonts w:hint="eastAsia"/>
                <w:b/>
                <w:bCs/>
                <w:szCs w:val="21"/>
              </w:rPr>
              <w:t>观测</w:t>
            </w:r>
            <w:r>
              <w:rPr>
                <w:b/>
                <w:bCs/>
                <w:szCs w:val="21"/>
              </w:rPr>
              <w:t>点</w:t>
            </w:r>
          </w:p>
        </w:tc>
        <w:tc>
          <w:tcPr>
            <w:tcW w:w="836" w:type="dxa"/>
            <w:tcBorders>
              <w:top w:val="single" w:color="auto" w:sz="4" w:space="0"/>
              <w:left w:val="single" w:color="auto" w:sz="4" w:space="0"/>
              <w:bottom w:val="single" w:color="auto" w:sz="4" w:space="0"/>
              <w:right w:val="single" w:color="auto" w:sz="4" w:space="0"/>
            </w:tcBorders>
            <w:shd w:val="clear" w:color="auto" w:fill="FFFFFF"/>
            <w:vAlign w:val="center"/>
          </w:tcPr>
          <w:p w14:paraId="15DE7F47">
            <w:pPr>
              <w:widowControl/>
              <w:adjustRightInd w:val="0"/>
              <w:snapToGrid w:val="0"/>
              <w:jc w:val="center"/>
              <w:rPr>
                <w:b/>
                <w:bCs/>
                <w:szCs w:val="21"/>
              </w:rPr>
            </w:pPr>
            <w:r>
              <w:rPr>
                <w:b/>
                <w:bCs/>
                <w:szCs w:val="21"/>
              </w:rPr>
              <w:t>讲授学时</w:t>
            </w:r>
          </w:p>
        </w:tc>
        <w:tc>
          <w:tcPr>
            <w:tcW w:w="825" w:type="dxa"/>
            <w:tcBorders>
              <w:top w:val="single" w:color="auto" w:sz="4" w:space="0"/>
              <w:left w:val="single" w:color="auto" w:sz="4" w:space="0"/>
              <w:bottom w:val="single" w:color="auto" w:sz="4" w:space="0"/>
              <w:right w:val="single" w:color="auto" w:sz="4" w:space="0"/>
            </w:tcBorders>
            <w:shd w:val="clear" w:color="auto" w:fill="FFFFFF"/>
            <w:vAlign w:val="center"/>
          </w:tcPr>
          <w:p w14:paraId="13C57181">
            <w:pPr>
              <w:widowControl/>
              <w:adjustRightInd w:val="0"/>
              <w:snapToGrid w:val="0"/>
              <w:jc w:val="center"/>
              <w:rPr>
                <w:b/>
                <w:bCs/>
                <w:szCs w:val="21"/>
              </w:rPr>
            </w:pPr>
            <w:r>
              <w:rPr>
                <w:b/>
                <w:bCs/>
                <w:szCs w:val="21"/>
              </w:rPr>
              <w:t>实</w:t>
            </w:r>
            <w:r>
              <w:rPr>
                <w:rFonts w:hint="eastAsia"/>
                <w:b/>
                <w:bCs/>
                <w:szCs w:val="21"/>
              </w:rPr>
              <w:t>践</w:t>
            </w:r>
            <w:r>
              <w:rPr>
                <w:b/>
                <w:bCs/>
                <w:szCs w:val="21"/>
              </w:rPr>
              <w:t>学时</w:t>
            </w:r>
          </w:p>
        </w:tc>
        <w:tc>
          <w:tcPr>
            <w:tcW w:w="2831" w:type="dxa"/>
            <w:tcBorders>
              <w:top w:val="single" w:color="auto" w:sz="4" w:space="0"/>
              <w:left w:val="single" w:color="auto" w:sz="4" w:space="0"/>
              <w:bottom w:val="single" w:color="auto" w:sz="4" w:space="0"/>
              <w:right w:val="single" w:color="auto" w:sz="4" w:space="0"/>
            </w:tcBorders>
            <w:shd w:val="clear" w:color="auto" w:fill="FFFFFF"/>
          </w:tcPr>
          <w:p w14:paraId="18A029DF">
            <w:pPr>
              <w:widowControl/>
              <w:adjustRightInd w:val="0"/>
              <w:snapToGrid w:val="0"/>
              <w:jc w:val="center"/>
              <w:rPr>
                <w:b/>
                <w:bCs/>
                <w:szCs w:val="21"/>
              </w:rPr>
            </w:pPr>
          </w:p>
          <w:p w14:paraId="537318D7">
            <w:pPr>
              <w:widowControl/>
              <w:adjustRightInd w:val="0"/>
              <w:snapToGrid w:val="0"/>
              <w:jc w:val="center"/>
              <w:rPr>
                <w:b/>
                <w:bCs/>
                <w:szCs w:val="21"/>
              </w:rPr>
            </w:pPr>
            <w:r>
              <w:rPr>
                <w:rFonts w:hint="eastAsia"/>
                <w:b/>
                <w:bCs/>
                <w:szCs w:val="21"/>
              </w:rPr>
              <w:t>课程思政融入点</w:t>
            </w:r>
          </w:p>
        </w:tc>
      </w:tr>
      <w:tr w14:paraId="222B9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trPr>
        <w:tc>
          <w:tcPr>
            <w:tcW w:w="0" w:type="auto"/>
            <w:tcBorders>
              <w:top w:val="single" w:color="auto" w:sz="4" w:space="0"/>
              <w:left w:val="single" w:color="auto" w:sz="4" w:space="0"/>
              <w:bottom w:val="single" w:color="auto" w:sz="4" w:space="0"/>
              <w:right w:val="single" w:color="auto" w:sz="4" w:space="0"/>
            </w:tcBorders>
            <w:vAlign w:val="center"/>
          </w:tcPr>
          <w:p w14:paraId="145C75DC">
            <w:pPr>
              <w:widowControl/>
              <w:adjustRightInd w:val="0"/>
              <w:snapToGrid w:val="0"/>
              <w:jc w:val="center"/>
              <w:rPr>
                <w:szCs w:val="21"/>
              </w:rPr>
            </w:pPr>
            <w:r>
              <w:rPr>
                <w:szCs w:val="21"/>
              </w:rPr>
              <w:t>1</w:t>
            </w:r>
          </w:p>
        </w:tc>
        <w:tc>
          <w:tcPr>
            <w:tcW w:w="1074" w:type="dxa"/>
            <w:tcBorders>
              <w:top w:val="single" w:color="auto" w:sz="4" w:space="0"/>
              <w:left w:val="single" w:color="auto" w:sz="4" w:space="0"/>
              <w:bottom w:val="single" w:color="auto" w:sz="4" w:space="0"/>
              <w:right w:val="single" w:color="auto" w:sz="4" w:space="0"/>
            </w:tcBorders>
            <w:vAlign w:val="center"/>
          </w:tcPr>
          <w:p w14:paraId="3A223ED5">
            <w:pPr>
              <w:widowControl/>
              <w:adjustRightInd w:val="0"/>
              <w:snapToGrid w:val="0"/>
              <w:jc w:val="center"/>
              <w:rPr>
                <w:color w:val="000000"/>
                <w:szCs w:val="21"/>
              </w:rPr>
            </w:pPr>
            <w:r>
              <w:rPr>
                <w:rFonts w:hint="eastAsia"/>
                <w:color w:val="000000"/>
                <w:szCs w:val="21"/>
              </w:rPr>
              <w:t>听力理解</w:t>
            </w:r>
          </w:p>
        </w:tc>
        <w:tc>
          <w:tcPr>
            <w:tcW w:w="1307" w:type="dxa"/>
            <w:tcBorders>
              <w:top w:val="single" w:color="auto" w:sz="4" w:space="0"/>
              <w:left w:val="single" w:color="auto" w:sz="4" w:space="0"/>
              <w:bottom w:val="single" w:color="auto" w:sz="4" w:space="0"/>
              <w:right w:val="single" w:color="auto" w:sz="4" w:space="0"/>
            </w:tcBorders>
            <w:vAlign w:val="center"/>
          </w:tcPr>
          <w:p w14:paraId="4ED1426A">
            <w:pPr>
              <w:widowControl/>
              <w:adjustRightInd w:val="0"/>
              <w:snapToGrid w:val="0"/>
              <w:jc w:val="center"/>
              <w:rPr>
                <w:rFonts w:eastAsia="宋体"/>
                <w:color w:val="000000"/>
                <w:szCs w:val="21"/>
              </w:rPr>
            </w:pPr>
            <w:r>
              <w:rPr>
                <w:rFonts w:ascii="Times New Roman" w:hAnsi="Times New Roman" w:eastAsia="宋体" w:cs="Times New Roman"/>
                <w:color w:val="000000"/>
                <w:szCs w:val="21"/>
              </w:rPr>
              <w:t>1、</w:t>
            </w:r>
            <w:r>
              <w:rPr>
                <w:rFonts w:hint="eastAsia"/>
                <w:color w:val="000000"/>
                <w:szCs w:val="21"/>
              </w:rPr>
              <w:t>2、 3</w:t>
            </w:r>
          </w:p>
        </w:tc>
        <w:tc>
          <w:tcPr>
            <w:tcW w:w="1222" w:type="dxa"/>
            <w:tcBorders>
              <w:top w:val="single" w:color="auto" w:sz="4" w:space="0"/>
              <w:left w:val="single" w:color="auto" w:sz="4" w:space="0"/>
              <w:bottom w:val="single" w:color="auto" w:sz="4" w:space="0"/>
              <w:right w:val="single" w:color="auto" w:sz="4" w:space="0"/>
            </w:tcBorders>
            <w:vAlign w:val="center"/>
          </w:tcPr>
          <w:p w14:paraId="4CEDB42C">
            <w:pPr>
              <w:widowControl/>
              <w:adjustRightInd w:val="0"/>
              <w:snapToGrid w:val="0"/>
              <w:jc w:val="center"/>
              <w:rPr>
                <w:rFonts w:eastAsia="宋体"/>
                <w:szCs w:val="21"/>
              </w:rPr>
            </w:pPr>
            <w:r>
              <w:rPr>
                <w:rFonts w:hint="eastAsia"/>
                <w:szCs w:val="21"/>
              </w:rPr>
              <w:t>3-1、8-2</w:t>
            </w:r>
          </w:p>
        </w:tc>
        <w:tc>
          <w:tcPr>
            <w:tcW w:w="836" w:type="dxa"/>
            <w:tcBorders>
              <w:top w:val="single" w:color="auto" w:sz="4" w:space="0"/>
              <w:left w:val="single" w:color="auto" w:sz="4" w:space="0"/>
              <w:bottom w:val="single" w:color="auto" w:sz="4" w:space="0"/>
              <w:right w:val="single" w:color="auto" w:sz="4" w:space="0"/>
            </w:tcBorders>
            <w:vAlign w:val="center"/>
          </w:tcPr>
          <w:p w14:paraId="5625E9C1">
            <w:pPr>
              <w:widowControl/>
              <w:adjustRightInd w:val="0"/>
              <w:snapToGrid w:val="0"/>
              <w:jc w:val="center"/>
              <w:rPr>
                <w:rFonts w:eastAsia="宋体"/>
                <w:szCs w:val="21"/>
              </w:rPr>
            </w:pPr>
            <w:r>
              <w:rPr>
                <w:rFonts w:hint="eastAsia"/>
                <w:szCs w:val="21"/>
              </w:rPr>
              <w:t>15</w:t>
            </w:r>
          </w:p>
        </w:tc>
        <w:tc>
          <w:tcPr>
            <w:tcW w:w="825" w:type="dxa"/>
            <w:tcBorders>
              <w:top w:val="single" w:color="auto" w:sz="4" w:space="0"/>
              <w:left w:val="single" w:color="auto" w:sz="4" w:space="0"/>
              <w:bottom w:val="single" w:color="auto" w:sz="4" w:space="0"/>
              <w:right w:val="single" w:color="auto" w:sz="4" w:space="0"/>
            </w:tcBorders>
            <w:vAlign w:val="center"/>
          </w:tcPr>
          <w:p w14:paraId="07856EED">
            <w:pPr>
              <w:widowControl/>
              <w:adjustRightInd w:val="0"/>
              <w:snapToGrid w:val="0"/>
              <w:jc w:val="center"/>
              <w:rPr>
                <w:rFonts w:eastAsia="宋体"/>
                <w:szCs w:val="21"/>
              </w:rPr>
            </w:pPr>
            <w:r>
              <w:rPr>
                <w:rFonts w:hint="eastAsia"/>
                <w:szCs w:val="21"/>
              </w:rPr>
              <w:t>0</w:t>
            </w:r>
          </w:p>
        </w:tc>
        <w:tc>
          <w:tcPr>
            <w:tcW w:w="2831" w:type="dxa"/>
            <w:tcBorders>
              <w:top w:val="single" w:color="auto" w:sz="4" w:space="0"/>
              <w:left w:val="single" w:color="auto" w:sz="4" w:space="0"/>
              <w:bottom w:val="single" w:color="auto" w:sz="4" w:space="0"/>
              <w:right w:val="single" w:color="auto" w:sz="4" w:space="0"/>
            </w:tcBorders>
            <w:vAlign w:val="center"/>
          </w:tcPr>
          <w:p w14:paraId="24FD3D76">
            <w:pPr>
              <w:widowControl/>
              <w:adjustRightInd w:val="0"/>
              <w:snapToGrid w:val="0"/>
              <w:jc w:val="left"/>
              <w:rPr>
                <w:szCs w:val="21"/>
              </w:rPr>
            </w:pPr>
            <w:r>
              <w:rPr>
                <w:rFonts w:hint="eastAsia"/>
                <w:color w:val="000000"/>
                <w:szCs w:val="21"/>
              </w:rPr>
              <w:t>家国情怀与文化自信。文化辨识与批判思维。</w:t>
            </w:r>
          </w:p>
        </w:tc>
      </w:tr>
      <w:tr w14:paraId="27FB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trPr>
        <w:tc>
          <w:tcPr>
            <w:tcW w:w="0" w:type="auto"/>
            <w:tcBorders>
              <w:top w:val="single" w:color="auto" w:sz="4" w:space="0"/>
              <w:left w:val="single" w:color="auto" w:sz="4" w:space="0"/>
              <w:bottom w:val="single" w:color="auto" w:sz="4" w:space="0"/>
              <w:right w:val="single" w:color="auto" w:sz="4" w:space="0"/>
            </w:tcBorders>
            <w:vAlign w:val="center"/>
          </w:tcPr>
          <w:p w14:paraId="7D3F8D1C">
            <w:pPr>
              <w:widowControl/>
              <w:adjustRightInd w:val="0"/>
              <w:snapToGrid w:val="0"/>
              <w:jc w:val="center"/>
              <w:rPr>
                <w:szCs w:val="21"/>
              </w:rPr>
            </w:pPr>
            <w:r>
              <w:rPr>
                <w:szCs w:val="21"/>
              </w:rPr>
              <w:t>2</w:t>
            </w:r>
          </w:p>
        </w:tc>
        <w:tc>
          <w:tcPr>
            <w:tcW w:w="1074" w:type="dxa"/>
            <w:tcBorders>
              <w:top w:val="single" w:color="auto" w:sz="4" w:space="0"/>
              <w:left w:val="single" w:color="auto" w:sz="4" w:space="0"/>
              <w:bottom w:val="single" w:color="auto" w:sz="4" w:space="0"/>
              <w:right w:val="single" w:color="auto" w:sz="4" w:space="0"/>
            </w:tcBorders>
            <w:vAlign w:val="center"/>
          </w:tcPr>
          <w:p w14:paraId="0A156276">
            <w:pPr>
              <w:widowControl/>
              <w:adjustRightInd w:val="0"/>
              <w:snapToGrid w:val="0"/>
              <w:jc w:val="center"/>
              <w:rPr>
                <w:rFonts w:eastAsia="宋体"/>
                <w:color w:val="000000"/>
                <w:szCs w:val="21"/>
              </w:rPr>
            </w:pPr>
            <w:r>
              <w:rPr>
                <w:rFonts w:hint="eastAsia"/>
                <w:color w:val="000000"/>
                <w:szCs w:val="21"/>
              </w:rPr>
              <w:t>口语表达</w:t>
            </w:r>
          </w:p>
        </w:tc>
        <w:tc>
          <w:tcPr>
            <w:tcW w:w="1307" w:type="dxa"/>
            <w:tcBorders>
              <w:top w:val="single" w:color="auto" w:sz="4" w:space="0"/>
              <w:left w:val="single" w:color="auto" w:sz="4" w:space="0"/>
              <w:bottom w:val="single" w:color="auto" w:sz="4" w:space="0"/>
              <w:right w:val="single" w:color="auto" w:sz="4" w:space="0"/>
            </w:tcBorders>
            <w:vAlign w:val="center"/>
          </w:tcPr>
          <w:p w14:paraId="716F02EF">
            <w:pPr>
              <w:widowControl/>
              <w:adjustRightInd w:val="0"/>
              <w:snapToGrid w:val="0"/>
              <w:jc w:val="center"/>
              <w:rPr>
                <w:rFonts w:ascii="Times New Roman" w:hAnsi="Times New Roman" w:eastAsia="宋体" w:cs="Times New Roman"/>
                <w:color w:val="000000"/>
                <w:szCs w:val="21"/>
              </w:rPr>
            </w:pPr>
            <w:r>
              <w:rPr>
                <w:rFonts w:hint="eastAsia" w:cs="Times New Roman"/>
                <w:color w:val="000000"/>
                <w:szCs w:val="21"/>
              </w:rPr>
              <w:t>1</w:t>
            </w:r>
            <w:r>
              <w:rPr>
                <w:rFonts w:ascii="Times New Roman" w:hAnsi="Times New Roman" w:eastAsia="宋体" w:cs="Times New Roman"/>
                <w:color w:val="000000"/>
                <w:szCs w:val="21"/>
              </w:rPr>
              <w:t>、</w:t>
            </w:r>
            <w:r>
              <w:rPr>
                <w:rFonts w:hint="eastAsia"/>
                <w:color w:val="000000"/>
                <w:szCs w:val="21"/>
              </w:rPr>
              <w:t>2、 3</w:t>
            </w:r>
          </w:p>
        </w:tc>
        <w:tc>
          <w:tcPr>
            <w:tcW w:w="1222" w:type="dxa"/>
            <w:tcBorders>
              <w:top w:val="single" w:color="auto" w:sz="4" w:space="0"/>
              <w:left w:val="single" w:color="auto" w:sz="4" w:space="0"/>
              <w:bottom w:val="single" w:color="auto" w:sz="4" w:space="0"/>
              <w:right w:val="single" w:color="auto" w:sz="4" w:space="0"/>
            </w:tcBorders>
            <w:vAlign w:val="center"/>
          </w:tcPr>
          <w:p w14:paraId="4AD08242">
            <w:pPr>
              <w:widowControl/>
              <w:adjustRightInd w:val="0"/>
              <w:snapToGrid w:val="0"/>
              <w:jc w:val="center"/>
              <w:rPr>
                <w:szCs w:val="21"/>
              </w:rPr>
            </w:pPr>
            <w:r>
              <w:rPr>
                <w:rFonts w:hint="eastAsia"/>
                <w:szCs w:val="21"/>
              </w:rPr>
              <w:t>3-1、7-1</w:t>
            </w:r>
          </w:p>
        </w:tc>
        <w:tc>
          <w:tcPr>
            <w:tcW w:w="836" w:type="dxa"/>
            <w:tcBorders>
              <w:top w:val="single" w:color="auto" w:sz="4" w:space="0"/>
              <w:left w:val="single" w:color="auto" w:sz="4" w:space="0"/>
              <w:bottom w:val="single" w:color="auto" w:sz="4" w:space="0"/>
              <w:right w:val="single" w:color="auto" w:sz="4" w:space="0"/>
            </w:tcBorders>
            <w:vAlign w:val="center"/>
          </w:tcPr>
          <w:p w14:paraId="3C220C7F">
            <w:pPr>
              <w:widowControl/>
              <w:adjustRightInd w:val="0"/>
              <w:snapToGrid w:val="0"/>
              <w:jc w:val="center"/>
              <w:rPr>
                <w:rFonts w:eastAsia="宋体"/>
                <w:szCs w:val="21"/>
              </w:rPr>
            </w:pPr>
            <w:r>
              <w:rPr>
                <w:rFonts w:hint="eastAsia"/>
                <w:szCs w:val="21"/>
              </w:rPr>
              <w:t>15</w:t>
            </w:r>
          </w:p>
        </w:tc>
        <w:tc>
          <w:tcPr>
            <w:tcW w:w="825" w:type="dxa"/>
            <w:tcBorders>
              <w:top w:val="single" w:color="auto" w:sz="4" w:space="0"/>
              <w:left w:val="single" w:color="auto" w:sz="4" w:space="0"/>
              <w:bottom w:val="single" w:color="auto" w:sz="4" w:space="0"/>
              <w:right w:val="single" w:color="auto" w:sz="4" w:space="0"/>
            </w:tcBorders>
            <w:vAlign w:val="center"/>
          </w:tcPr>
          <w:p w14:paraId="01463AE8">
            <w:pPr>
              <w:widowControl/>
              <w:adjustRightInd w:val="0"/>
              <w:snapToGrid w:val="0"/>
              <w:jc w:val="center"/>
              <w:rPr>
                <w:rFonts w:eastAsia="宋体"/>
                <w:szCs w:val="21"/>
              </w:rPr>
            </w:pPr>
            <w:r>
              <w:rPr>
                <w:rFonts w:hint="eastAsia"/>
                <w:szCs w:val="21"/>
              </w:rPr>
              <w:t>0</w:t>
            </w:r>
          </w:p>
        </w:tc>
        <w:tc>
          <w:tcPr>
            <w:tcW w:w="2831" w:type="dxa"/>
            <w:tcBorders>
              <w:top w:val="single" w:color="auto" w:sz="4" w:space="0"/>
              <w:left w:val="single" w:color="auto" w:sz="4" w:space="0"/>
              <w:bottom w:val="single" w:color="auto" w:sz="4" w:space="0"/>
              <w:right w:val="single" w:color="auto" w:sz="4" w:space="0"/>
            </w:tcBorders>
            <w:vAlign w:val="center"/>
          </w:tcPr>
          <w:p w14:paraId="7E4E96CB">
            <w:pPr>
              <w:widowControl/>
              <w:adjustRightInd w:val="0"/>
              <w:snapToGrid w:val="0"/>
              <w:jc w:val="left"/>
              <w:rPr>
                <w:szCs w:val="21"/>
              </w:rPr>
            </w:pPr>
            <w:r>
              <w:rPr>
                <w:rFonts w:hint="eastAsia"/>
                <w:color w:val="000000"/>
                <w:szCs w:val="21"/>
              </w:rPr>
              <w:t>家国情怀与文化自信。全球视野与社会责任。学术诚信与科学精神。专业素养与职业道德。</w:t>
            </w:r>
          </w:p>
        </w:tc>
      </w:tr>
      <w:tr w14:paraId="1609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0" w:type="auto"/>
            <w:tcBorders>
              <w:top w:val="single" w:color="auto" w:sz="4" w:space="0"/>
              <w:left w:val="single" w:color="auto" w:sz="4" w:space="0"/>
              <w:bottom w:val="single" w:color="auto" w:sz="4" w:space="0"/>
              <w:right w:val="single" w:color="auto" w:sz="4" w:space="0"/>
            </w:tcBorders>
            <w:vAlign w:val="center"/>
          </w:tcPr>
          <w:p w14:paraId="02CCF4B6">
            <w:pPr>
              <w:widowControl/>
              <w:adjustRightInd w:val="0"/>
              <w:snapToGrid w:val="0"/>
              <w:jc w:val="center"/>
              <w:rPr>
                <w:szCs w:val="21"/>
              </w:rPr>
            </w:pPr>
            <w:r>
              <w:rPr>
                <w:szCs w:val="21"/>
              </w:rPr>
              <w:t>3</w:t>
            </w:r>
          </w:p>
        </w:tc>
        <w:tc>
          <w:tcPr>
            <w:tcW w:w="1074" w:type="dxa"/>
            <w:tcBorders>
              <w:top w:val="single" w:color="auto" w:sz="4" w:space="0"/>
              <w:left w:val="single" w:color="auto" w:sz="4" w:space="0"/>
              <w:bottom w:val="single" w:color="auto" w:sz="4" w:space="0"/>
              <w:right w:val="single" w:color="auto" w:sz="4" w:space="0"/>
            </w:tcBorders>
            <w:vAlign w:val="center"/>
          </w:tcPr>
          <w:p w14:paraId="0BD4ABC2">
            <w:pPr>
              <w:widowControl/>
              <w:adjustRightInd w:val="0"/>
              <w:snapToGrid w:val="0"/>
              <w:jc w:val="center"/>
              <w:rPr>
                <w:rFonts w:eastAsia="宋体"/>
                <w:color w:val="000000"/>
                <w:szCs w:val="21"/>
              </w:rPr>
            </w:pPr>
            <w:r>
              <w:rPr>
                <w:rFonts w:hint="eastAsia"/>
                <w:color w:val="000000"/>
                <w:szCs w:val="21"/>
              </w:rPr>
              <w:t>阅读理解</w:t>
            </w:r>
          </w:p>
        </w:tc>
        <w:tc>
          <w:tcPr>
            <w:tcW w:w="1307" w:type="dxa"/>
            <w:tcBorders>
              <w:top w:val="single" w:color="auto" w:sz="4" w:space="0"/>
              <w:left w:val="single" w:color="auto" w:sz="4" w:space="0"/>
              <w:bottom w:val="single" w:color="auto" w:sz="4" w:space="0"/>
              <w:right w:val="single" w:color="auto" w:sz="4" w:space="0"/>
            </w:tcBorders>
            <w:vAlign w:val="center"/>
          </w:tcPr>
          <w:p w14:paraId="78CDE972">
            <w:pPr>
              <w:widowControl/>
              <w:adjustRightInd w:val="0"/>
              <w:snapToGrid w:val="0"/>
              <w:jc w:val="center"/>
              <w:rPr>
                <w:color w:val="000000"/>
                <w:szCs w:val="21"/>
              </w:rPr>
            </w:pPr>
            <w:r>
              <w:rPr>
                <w:rFonts w:hint="eastAsia" w:cs="Times New Roman"/>
                <w:color w:val="000000"/>
                <w:szCs w:val="21"/>
              </w:rPr>
              <w:t>1</w:t>
            </w:r>
            <w:r>
              <w:rPr>
                <w:rFonts w:ascii="Times New Roman" w:hAnsi="Times New Roman" w:eastAsia="宋体" w:cs="Times New Roman"/>
                <w:color w:val="000000"/>
                <w:szCs w:val="21"/>
              </w:rPr>
              <w:t>、</w:t>
            </w:r>
            <w:r>
              <w:rPr>
                <w:rFonts w:hint="eastAsia"/>
                <w:color w:val="000000"/>
                <w:szCs w:val="21"/>
              </w:rPr>
              <w:t>2、 3</w:t>
            </w:r>
          </w:p>
        </w:tc>
        <w:tc>
          <w:tcPr>
            <w:tcW w:w="1222" w:type="dxa"/>
            <w:tcBorders>
              <w:top w:val="single" w:color="auto" w:sz="4" w:space="0"/>
              <w:left w:val="single" w:color="auto" w:sz="4" w:space="0"/>
              <w:bottom w:val="single" w:color="auto" w:sz="4" w:space="0"/>
              <w:right w:val="single" w:color="auto" w:sz="4" w:space="0"/>
            </w:tcBorders>
            <w:vAlign w:val="center"/>
          </w:tcPr>
          <w:p w14:paraId="0E81C58D">
            <w:pPr>
              <w:widowControl/>
              <w:adjustRightInd w:val="0"/>
              <w:snapToGrid w:val="0"/>
              <w:jc w:val="center"/>
              <w:rPr>
                <w:szCs w:val="21"/>
              </w:rPr>
            </w:pPr>
            <w:r>
              <w:rPr>
                <w:rFonts w:hint="eastAsia"/>
                <w:szCs w:val="21"/>
              </w:rPr>
              <w:t>3-1、7-1、8-2</w:t>
            </w:r>
          </w:p>
        </w:tc>
        <w:tc>
          <w:tcPr>
            <w:tcW w:w="836" w:type="dxa"/>
            <w:tcBorders>
              <w:top w:val="single" w:color="auto" w:sz="4" w:space="0"/>
              <w:left w:val="single" w:color="auto" w:sz="4" w:space="0"/>
              <w:bottom w:val="single" w:color="auto" w:sz="4" w:space="0"/>
              <w:right w:val="single" w:color="auto" w:sz="4" w:space="0"/>
            </w:tcBorders>
            <w:vAlign w:val="center"/>
          </w:tcPr>
          <w:p w14:paraId="23846241">
            <w:pPr>
              <w:widowControl/>
              <w:adjustRightInd w:val="0"/>
              <w:snapToGrid w:val="0"/>
              <w:jc w:val="center"/>
              <w:rPr>
                <w:rFonts w:eastAsia="宋体"/>
                <w:szCs w:val="21"/>
              </w:rPr>
            </w:pPr>
            <w:r>
              <w:rPr>
                <w:rFonts w:hint="eastAsia"/>
                <w:szCs w:val="21"/>
              </w:rPr>
              <w:t>15</w:t>
            </w:r>
          </w:p>
        </w:tc>
        <w:tc>
          <w:tcPr>
            <w:tcW w:w="825" w:type="dxa"/>
            <w:tcBorders>
              <w:top w:val="single" w:color="auto" w:sz="4" w:space="0"/>
              <w:left w:val="single" w:color="auto" w:sz="4" w:space="0"/>
              <w:bottom w:val="single" w:color="auto" w:sz="4" w:space="0"/>
              <w:right w:val="single" w:color="auto" w:sz="4" w:space="0"/>
            </w:tcBorders>
            <w:vAlign w:val="center"/>
          </w:tcPr>
          <w:p w14:paraId="28BA1BA6">
            <w:pPr>
              <w:widowControl/>
              <w:adjustRightInd w:val="0"/>
              <w:snapToGrid w:val="0"/>
              <w:jc w:val="center"/>
              <w:rPr>
                <w:rFonts w:eastAsia="宋体"/>
                <w:szCs w:val="21"/>
              </w:rPr>
            </w:pPr>
            <w:r>
              <w:rPr>
                <w:rFonts w:hint="eastAsia"/>
                <w:szCs w:val="21"/>
              </w:rPr>
              <w:t>0</w:t>
            </w:r>
          </w:p>
        </w:tc>
        <w:tc>
          <w:tcPr>
            <w:tcW w:w="2831" w:type="dxa"/>
            <w:tcBorders>
              <w:top w:val="single" w:color="auto" w:sz="4" w:space="0"/>
              <w:left w:val="single" w:color="auto" w:sz="4" w:space="0"/>
              <w:bottom w:val="single" w:color="auto" w:sz="4" w:space="0"/>
              <w:right w:val="single" w:color="auto" w:sz="4" w:space="0"/>
            </w:tcBorders>
            <w:vAlign w:val="center"/>
          </w:tcPr>
          <w:p w14:paraId="06C38673">
            <w:pPr>
              <w:widowControl/>
              <w:adjustRightInd w:val="0"/>
              <w:snapToGrid w:val="0"/>
              <w:jc w:val="left"/>
              <w:rPr>
                <w:rFonts w:eastAsia="宋体"/>
                <w:szCs w:val="21"/>
              </w:rPr>
            </w:pPr>
            <w:r>
              <w:rPr>
                <w:rFonts w:hint="eastAsia"/>
                <w:color w:val="000000"/>
                <w:szCs w:val="21"/>
              </w:rPr>
              <w:t>家国情怀与文化自信。全球视野。文化辨识与批判思维。</w:t>
            </w:r>
          </w:p>
        </w:tc>
      </w:tr>
      <w:tr w14:paraId="0774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0" w:type="auto"/>
            <w:tcBorders>
              <w:top w:val="single" w:color="auto" w:sz="4" w:space="0"/>
              <w:left w:val="single" w:color="auto" w:sz="4" w:space="0"/>
              <w:bottom w:val="single" w:color="auto" w:sz="4" w:space="0"/>
              <w:right w:val="single" w:color="auto" w:sz="4" w:space="0"/>
            </w:tcBorders>
            <w:vAlign w:val="center"/>
          </w:tcPr>
          <w:p w14:paraId="0B4FA7DD">
            <w:pPr>
              <w:widowControl/>
              <w:adjustRightInd w:val="0"/>
              <w:snapToGrid w:val="0"/>
              <w:jc w:val="center"/>
              <w:rPr>
                <w:rFonts w:eastAsia="宋体"/>
                <w:szCs w:val="21"/>
              </w:rPr>
            </w:pPr>
            <w:r>
              <w:rPr>
                <w:rFonts w:hint="eastAsia"/>
                <w:szCs w:val="21"/>
              </w:rPr>
              <w:t>4</w:t>
            </w:r>
          </w:p>
        </w:tc>
        <w:tc>
          <w:tcPr>
            <w:tcW w:w="1074" w:type="dxa"/>
            <w:tcBorders>
              <w:top w:val="single" w:color="auto" w:sz="4" w:space="0"/>
              <w:left w:val="single" w:color="auto" w:sz="4" w:space="0"/>
              <w:bottom w:val="single" w:color="auto" w:sz="4" w:space="0"/>
              <w:right w:val="single" w:color="auto" w:sz="4" w:space="0"/>
            </w:tcBorders>
            <w:vAlign w:val="center"/>
          </w:tcPr>
          <w:p w14:paraId="09E78A07">
            <w:pPr>
              <w:widowControl/>
              <w:adjustRightInd w:val="0"/>
              <w:snapToGrid w:val="0"/>
              <w:jc w:val="center"/>
              <w:rPr>
                <w:rFonts w:eastAsia="宋体"/>
                <w:color w:val="000000"/>
                <w:szCs w:val="21"/>
              </w:rPr>
            </w:pPr>
            <w:r>
              <w:rPr>
                <w:rFonts w:hint="eastAsia"/>
                <w:color w:val="000000"/>
                <w:szCs w:val="21"/>
              </w:rPr>
              <w:t>书面表达</w:t>
            </w:r>
          </w:p>
        </w:tc>
        <w:tc>
          <w:tcPr>
            <w:tcW w:w="1307" w:type="dxa"/>
            <w:tcBorders>
              <w:top w:val="single" w:color="auto" w:sz="4" w:space="0"/>
              <w:left w:val="single" w:color="auto" w:sz="4" w:space="0"/>
              <w:bottom w:val="single" w:color="auto" w:sz="4" w:space="0"/>
              <w:right w:val="single" w:color="auto" w:sz="4" w:space="0"/>
            </w:tcBorders>
            <w:vAlign w:val="center"/>
          </w:tcPr>
          <w:p w14:paraId="12A6DFA0">
            <w:pPr>
              <w:widowControl/>
              <w:adjustRightInd w:val="0"/>
              <w:snapToGrid w:val="0"/>
              <w:jc w:val="center"/>
              <w:rPr>
                <w:color w:val="000000"/>
                <w:szCs w:val="21"/>
              </w:rPr>
            </w:pPr>
            <w:r>
              <w:rPr>
                <w:rFonts w:hint="eastAsia" w:cs="Times New Roman"/>
                <w:color w:val="000000"/>
                <w:szCs w:val="21"/>
              </w:rPr>
              <w:t>1</w:t>
            </w:r>
            <w:r>
              <w:rPr>
                <w:rFonts w:ascii="Times New Roman" w:hAnsi="Times New Roman" w:eastAsia="宋体" w:cs="Times New Roman"/>
                <w:color w:val="000000"/>
                <w:szCs w:val="21"/>
              </w:rPr>
              <w:t>、</w:t>
            </w:r>
            <w:r>
              <w:rPr>
                <w:rFonts w:hint="eastAsia"/>
                <w:color w:val="000000"/>
                <w:szCs w:val="21"/>
              </w:rPr>
              <w:t>2、 3</w:t>
            </w:r>
          </w:p>
        </w:tc>
        <w:tc>
          <w:tcPr>
            <w:tcW w:w="1222" w:type="dxa"/>
            <w:tcBorders>
              <w:top w:val="single" w:color="auto" w:sz="4" w:space="0"/>
              <w:left w:val="single" w:color="auto" w:sz="4" w:space="0"/>
              <w:bottom w:val="single" w:color="auto" w:sz="4" w:space="0"/>
              <w:right w:val="single" w:color="auto" w:sz="4" w:space="0"/>
            </w:tcBorders>
            <w:vAlign w:val="center"/>
          </w:tcPr>
          <w:p w14:paraId="26DDAFA1">
            <w:pPr>
              <w:widowControl/>
              <w:adjustRightInd w:val="0"/>
              <w:snapToGrid w:val="0"/>
              <w:jc w:val="center"/>
              <w:rPr>
                <w:szCs w:val="21"/>
              </w:rPr>
            </w:pPr>
            <w:r>
              <w:rPr>
                <w:rFonts w:hint="eastAsia"/>
                <w:szCs w:val="21"/>
              </w:rPr>
              <w:t>3-1、7-1、8-2</w:t>
            </w:r>
          </w:p>
        </w:tc>
        <w:tc>
          <w:tcPr>
            <w:tcW w:w="836" w:type="dxa"/>
            <w:tcBorders>
              <w:top w:val="single" w:color="auto" w:sz="4" w:space="0"/>
              <w:left w:val="single" w:color="auto" w:sz="4" w:space="0"/>
              <w:bottom w:val="single" w:color="auto" w:sz="4" w:space="0"/>
              <w:right w:val="single" w:color="auto" w:sz="4" w:space="0"/>
            </w:tcBorders>
            <w:vAlign w:val="center"/>
          </w:tcPr>
          <w:p w14:paraId="21A7774D">
            <w:pPr>
              <w:widowControl/>
              <w:adjustRightInd w:val="0"/>
              <w:snapToGrid w:val="0"/>
              <w:jc w:val="center"/>
              <w:rPr>
                <w:rFonts w:eastAsia="宋体"/>
                <w:szCs w:val="21"/>
              </w:rPr>
            </w:pPr>
            <w:r>
              <w:rPr>
                <w:rFonts w:hint="eastAsia"/>
                <w:szCs w:val="21"/>
              </w:rPr>
              <w:t>5</w:t>
            </w:r>
          </w:p>
        </w:tc>
        <w:tc>
          <w:tcPr>
            <w:tcW w:w="825" w:type="dxa"/>
            <w:tcBorders>
              <w:top w:val="single" w:color="auto" w:sz="4" w:space="0"/>
              <w:left w:val="single" w:color="auto" w:sz="4" w:space="0"/>
              <w:bottom w:val="single" w:color="auto" w:sz="4" w:space="0"/>
              <w:right w:val="single" w:color="auto" w:sz="4" w:space="0"/>
            </w:tcBorders>
            <w:vAlign w:val="center"/>
          </w:tcPr>
          <w:p w14:paraId="30988736">
            <w:pPr>
              <w:widowControl/>
              <w:adjustRightInd w:val="0"/>
              <w:snapToGrid w:val="0"/>
              <w:jc w:val="center"/>
              <w:rPr>
                <w:rFonts w:eastAsia="宋体"/>
                <w:szCs w:val="21"/>
              </w:rPr>
            </w:pPr>
            <w:r>
              <w:rPr>
                <w:rFonts w:hint="eastAsia"/>
                <w:szCs w:val="21"/>
              </w:rPr>
              <w:t>5</w:t>
            </w:r>
          </w:p>
        </w:tc>
        <w:tc>
          <w:tcPr>
            <w:tcW w:w="2831" w:type="dxa"/>
            <w:tcBorders>
              <w:top w:val="single" w:color="auto" w:sz="4" w:space="0"/>
              <w:left w:val="single" w:color="auto" w:sz="4" w:space="0"/>
              <w:bottom w:val="single" w:color="auto" w:sz="4" w:space="0"/>
              <w:right w:val="single" w:color="auto" w:sz="4" w:space="0"/>
            </w:tcBorders>
          </w:tcPr>
          <w:p w14:paraId="6687EBF8">
            <w:pPr>
              <w:widowControl/>
              <w:adjustRightInd w:val="0"/>
              <w:snapToGrid w:val="0"/>
              <w:jc w:val="left"/>
              <w:rPr>
                <w:szCs w:val="21"/>
              </w:rPr>
            </w:pPr>
            <w:r>
              <w:rPr>
                <w:rFonts w:hint="eastAsia"/>
                <w:color w:val="000000"/>
                <w:szCs w:val="21"/>
              </w:rPr>
              <w:t>家国情怀与文化自信。全球视野与社会责任。学术诚信与科学精神。专业素养与职业道德。</w:t>
            </w:r>
          </w:p>
        </w:tc>
      </w:tr>
      <w:tr w14:paraId="694D5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trPr>
        <w:tc>
          <w:tcPr>
            <w:tcW w:w="0" w:type="auto"/>
            <w:tcBorders>
              <w:top w:val="single" w:color="auto" w:sz="4" w:space="0"/>
              <w:left w:val="single" w:color="auto" w:sz="4" w:space="0"/>
              <w:bottom w:val="single" w:color="auto" w:sz="4" w:space="0"/>
              <w:right w:val="single" w:color="auto" w:sz="4" w:space="0"/>
            </w:tcBorders>
            <w:vAlign w:val="center"/>
          </w:tcPr>
          <w:p w14:paraId="1BC425CB">
            <w:pPr>
              <w:widowControl/>
              <w:adjustRightInd w:val="0"/>
              <w:snapToGrid w:val="0"/>
              <w:jc w:val="center"/>
              <w:rPr>
                <w:rFonts w:eastAsia="宋体"/>
                <w:szCs w:val="21"/>
              </w:rPr>
            </w:pPr>
            <w:r>
              <w:rPr>
                <w:rFonts w:hint="eastAsia"/>
                <w:szCs w:val="21"/>
              </w:rPr>
              <w:t>5</w:t>
            </w:r>
          </w:p>
        </w:tc>
        <w:tc>
          <w:tcPr>
            <w:tcW w:w="1074" w:type="dxa"/>
            <w:tcBorders>
              <w:top w:val="single" w:color="auto" w:sz="4" w:space="0"/>
              <w:left w:val="single" w:color="auto" w:sz="4" w:space="0"/>
              <w:bottom w:val="single" w:color="auto" w:sz="4" w:space="0"/>
              <w:right w:val="single" w:color="auto" w:sz="4" w:space="0"/>
            </w:tcBorders>
            <w:vAlign w:val="center"/>
          </w:tcPr>
          <w:p w14:paraId="4EEAA547">
            <w:pPr>
              <w:widowControl/>
              <w:adjustRightInd w:val="0"/>
              <w:snapToGrid w:val="0"/>
              <w:jc w:val="center"/>
              <w:rPr>
                <w:rFonts w:eastAsia="宋体"/>
                <w:color w:val="000000"/>
                <w:szCs w:val="21"/>
              </w:rPr>
            </w:pPr>
            <w:r>
              <w:rPr>
                <w:rFonts w:hint="eastAsia"/>
                <w:color w:val="000000"/>
                <w:szCs w:val="21"/>
              </w:rPr>
              <w:t>中英互译</w:t>
            </w:r>
          </w:p>
        </w:tc>
        <w:tc>
          <w:tcPr>
            <w:tcW w:w="1307" w:type="dxa"/>
            <w:tcBorders>
              <w:top w:val="single" w:color="auto" w:sz="4" w:space="0"/>
              <w:left w:val="single" w:color="auto" w:sz="4" w:space="0"/>
              <w:bottom w:val="single" w:color="auto" w:sz="4" w:space="0"/>
              <w:right w:val="single" w:color="auto" w:sz="4" w:space="0"/>
            </w:tcBorders>
            <w:vAlign w:val="center"/>
          </w:tcPr>
          <w:p w14:paraId="1AD3680A">
            <w:pPr>
              <w:widowControl/>
              <w:adjustRightInd w:val="0"/>
              <w:snapToGrid w:val="0"/>
              <w:jc w:val="center"/>
              <w:rPr>
                <w:color w:val="000000"/>
                <w:szCs w:val="21"/>
              </w:rPr>
            </w:pPr>
            <w:r>
              <w:rPr>
                <w:rFonts w:hint="eastAsia" w:cs="Times New Roman"/>
                <w:color w:val="000000"/>
                <w:szCs w:val="21"/>
              </w:rPr>
              <w:t>1</w:t>
            </w:r>
            <w:r>
              <w:rPr>
                <w:rFonts w:ascii="Times New Roman" w:hAnsi="Times New Roman" w:eastAsia="宋体" w:cs="Times New Roman"/>
                <w:color w:val="000000"/>
                <w:szCs w:val="21"/>
              </w:rPr>
              <w:t>、</w:t>
            </w:r>
            <w:r>
              <w:rPr>
                <w:rFonts w:hint="eastAsia"/>
                <w:color w:val="000000"/>
                <w:szCs w:val="21"/>
              </w:rPr>
              <w:t>2、 3</w:t>
            </w:r>
          </w:p>
        </w:tc>
        <w:tc>
          <w:tcPr>
            <w:tcW w:w="1222" w:type="dxa"/>
            <w:tcBorders>
              <w:top w:val="single" w:color="auto" w:sz="4" w:space="0"/>
              <w:left w:val="single" w:color="auto" w:sz="4" w:space="0"/>
              <w:bottom w:val="single" w:color="auto" w:sz="4" w:space="0"/>
              <w:right w:val="single" w:color="auto" w:sz="4" w:space="0"/>
            </w:tcBorders>
            <w:vAlign w:val="center"/>
          </w:tcPr>
          <w:p w14:paraId="3B4B19E8">
            <w:pPr>
              <w:widowControl/>
              <w:adjustRightInd w:val="0"/>
              <w:snapToGrid w:val="0"/>
              <w:jc w:val="center"/>
              <w:rPr>
                <w:szCs w:val="21"/>
              </w:rPr>
            </w:pPr>
            <w:r>
              <w:rPr>
                <w:rFonts w:hint="eastAsia"/>
                <w:szCs w:val="21"/>
              </w:rPr>
              <w:t>3-1、7-1、8-2</w:t>
            </w:r>
          </w:p>
        </w:tc>
        <w:tc>
          <w:tcPr>
            <w:tcW w:w="836" w:type="dxa"/>
            <w:tcBorders>
              <w:top w:val="single" w:color="auto" w:sz="4" w:space="0"/>
              <w:left w:val="single" w:color="auto" w:sz="4" w:space="0"/>
              <w:bottom w:val="single" w:color="auto" w:sz="4" w:space="0"/>
              <w:right w:val="single" w:color="auto" w:sz="4" w:space="0"/>
            </w:tcBorders>
            <w:vAlign w:val="center"/>
          </w:tcPr>
          <w:p w14:paraId="4B2D9DB1">
            <w:pPr>
              <w:widowControl/>
              <w:adjustRightInd w:val="0"/>
              <w:snapToGrid w:val="0"/>
              <w:jc w:val="center"/>
              <w:rPr>
                <w:rFonts w:eastAsia="宋体"/>
                <w:szCs w:val="21"/>
              </w:rPr>
            </w:pPr>
            <w:r>
              <w:rPr>
                <w:rFonts w:hint="eastAsia"/>
                <w:szCs w:val="21"/>
              </w:rPr>
              <w:t>5</w:t>
            </w:r>
          </w:p>
        </w:tc>
        <w:tc>
          <w:tcPr>
            <w:tcW w:w="825" w:type="dxa"/>
            <w:tcBorders>
              <w:top w:val="single" w:color="auto" w:sz="4" w:space="0"/>
              <w:left w:val="single" w:color="auto" w:sz="4" w:space="0"/>
              <w:bottom w:val="single" w:color="auto" w:sz="4" w:space="0"/>
              <w:right w:val="single" w:color="auto" w:sz="4" w:space="0"/>
            </w:tcBorders>
            <w:vAlign w:val="center"/>
          </w:tcPr>
          <w:p w14:paraId="300762EC">
            <w:pPr>
              <w:widowControl/>
              <w:adjustRightInd w:val="0"/>
              <w:snapToGrid w:val="0"/>
              <w:jc w:val="center"/>
              <w:rPr>
                <w:rFonts w:eastAsia="宋体"/>
                <w:szCs w:val="21"/>
              </w:rPr>
            </w:pPr>
            <w:r>
              <w:rPr>
                <w:rFonts w:hint="eastAsia"/>
                <w:szCs w:val="21"/>
              </w:rPr>
              <w:t>5</w:t>
            </w:r>
          </w:p>
        </w:tc>
        <w:tc>
          <w:tcPr>
            <w:tcW w:w="2831" w:type="dxa"/>
            <w:tcBorders>
              <w:top w:val="single" w:color="auto" w:sz="4" w:space="0"/>
              <w:left w:val="single" w:color="auto" w:sz="4" w:space="0"/>
              <w:bottom w:val="single" w:color="auto" w:sz="4" w:space="0"/>
              <w:right w:val="single" w:color="auto" w:sz="4" w:space="0"/>
            </w:tcBorders>
          </w:tcPr>
          <w:p w14:paraId="266AC67C">
            <w:pPr>
              <w:widowControl/>
              <w:adjustRightInd w:val="0"/>
              <w:snapToGrid w:val="0"/>
              <w:jc w:val="left"/>
              <w:rPr>
                <w:szCs w:val="21"/>
              </w:rPr>
            </w:pPr>
            <w:r>
              <w:rPr>
                <w:rFonts w:hint="eastAsia"/>
                <w:color w:val="000000"/>
                <w:szCs w:val="21"/>
              </w:rPr>
              <w:t>家国情怀与文化自信。全球视野与社会责任。学术诚信与科学精神。专业素养与职业道德。</w:t>
            </w:r>
          </w:p>
        </w:tc>
      </w:tr>
      <w:tr w14:paraId="13E8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030" w:type="dxa"/>
            <w:gridSpan w:val="4"/>
            <w:tcBorders>
              <w:top w:val="single" w:color="auto" w:sz="4" w:space="0"/>
              <w:left w:val="single" w:color="auto" w:sz="4" w:space="0"/>
              <w:bottom w:val="single" w:color="auto" w:sz="4" w:space="0"/>
              <w:right w:val="single" w:color="auto" w:sz="4" w:space="0"/>
            </w:tcBorders>
            <w:vAlign w:val="center"/>
          </w:tcPr>
          <w:p w14:paraId="57646879">
            <w:pPr>
              <w:widowControl/>
              <w:adjustRightInd w:val="0"/>
              <w:snapToGrid w:val="0"/>
              <w:jc w:val="center"/>
              <w:rPr>
                <w:szCs w:val="21"/>
              </w:rPr>
            </w:pPr>
            <w:r>
              <w:rPr>
                <w:szCs w:val="21"/>
              </w:rPr>
              <w:t>合 计</w:t>
            </w:r>
          </w:p>
        </w:tc>
        <w:tc>
          <w:tcPr>
            <w:tcW w:w="836" w:type="dxa"/>
            <w:tcBorders>
              <w:top w:val="single" w:color="auto" w:sz="4" w:space="0"/>
              <w:left w:val="single" w:color="auto" w:sz="4" w:space="0"/>
              <w:bottom w:val="single" w:color="auto" w:sz="4" w:space="0"/>
              <w:right w:val="single" w:color="auto" w:sz="4" w:space="0"/>
            </w:tcBorders>
            <w:vAlign w:val="center"/>
          </w:tcPr>
          <w:p w14:paraId="4208CD76">
            <w:pPr>
              <w:widowControl/>
              <w:adjustRightInd w:val="0"/>
              <w:snapToGrid w:val="0"/>
              <w:jc w:val="center"/>
              <w:rPr>
                <w:rFonts w:eastAsia="宋体"/>
                <w:szCs w:val="21"/>
              </w:rPr>
            </w:pPr>
            <w:r>
              <w:rPr>
                <w:rFonts w:hint="eastAsia"/>
                <w:szCs w:val="21"/>
              </w:rPr>
              <w:t>55</w:t>
            </w:r>
          </w:p>
        </w:tc>
        <w:tc>
          <w:tcPr>
            <w:tcW w:w="825" w:type="dxa"/>
            <w:tcBorders>
              <w:top w:val="single" w:color="auto" w:sz="4" w:space="0"/>
              <w:left w:val="single" w:color="auto" w:sz="4" w:space="0"/>
              <w:bottom w:val="single" w:color="auto" w:sz="4" w:space="0"/>
              <w:right w:val="single" w:color="auto" w:sz="4" w:space="0"/>
            </w:tcBorders>
            <w:vAlign w:val="center"/>
          </w:tcPr>
          <w:p w14:paraId="66BF0A19">
            <w:pPr>
              <w:widowControl/>
              <w:adjustRightInd w:val="0"/>
              <w:snapToGrid w:val="0"/>
              <w:jc w:val="center"/>
              <w:rPr>
                <w:rFonts w:eastAsia="宋体"/>
                <w:szCs w:val="21"/>
              </w:rPr>
            </w:pPr>
            <w:r>
              <w:rPr>
                <w:rFonts w:hint="eastAsia"/>
                <w:szCs w:val="21"/>
              </w:rPr>
              <w:t>10</w:t>
            </w:r>
          </w:p>
        </w:tc>
        <w:tc>
          <w:tcPr>
            <w:tcW w:w="2831" w:type="dxa"/>
            <w:tcBorders>
              <w:top w:val="single" w:color="auto" w:sz="4" w:space="0"/>
              <w:left w:val="single" w:color="auto" w:sz="4" w:space="0"/>
              <w:bottom w:val="single" w:color="auto" w:sz="4" w:space="0"/>
              <w:right w:val="single" w:color="auto" w:sz="4" w:space="0"/>
            </w:tcBorders>
          </w:tcPr>
          <w:p w14:paraId="49F33FF1">
            <w:pPr>
              <w:widowControl/>
              <w:adjustRightInd w:val="0"/>
              <w:snapToGrid w:val="0"/>
              <w:jc w:val="center"/>
              <w:rPr>
                <w:szCs w:val="21"/>
              </w:rPr>
            </w:pPr>
          </w:p>
        </w:tc>
      </w:tr>
    </w:tbl>
    <w:p w14:paraId="66CFC2D8">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四、课内实践</w:t>
      </w:r>
    </w:p>
    <w:p w14:paraId="4B72BFCB">
      <w:pPr>
        <w:widowControl/>
        <w:adjustRightInd w:val="0"/>
        <w:snapToGrid w:val="0"/>
        <w:spacing w:line="360" w:lineRule="auto"/>
        <w:ind w:firstLine="420" w:firstLineChars="200"/>
        <w:jc w:val="left"/>
        <w:rPr>
          <w:szCs w:val="21"/>
        </w:rPr>
      </w:pPr>
      <w:r>
        <w:rPr>
          <w:szCs w:val="21"/>
        </w:rPr>
        <w:t>课内</w:t>
      </w:r>
      <w:r>
        <w:rPr>
          <w:rFonts w:hint="eastAsia"/>
          <w:szCs w:val="21"/>
        </w:rPr>
        <w:t>实践项目名称、教学内容及教学目标、</w:t>
      </w:r>
      <w:r>
        <w:rPr>
          <w:szCs w:val="21"/>
        </w:rPr>
        <w:t>学时分配</w:t>
      </w:r>
      <w:r>
        <w:rPr>
          <w:rFonts w:hint="eastAsia"/>
          <w:szCs w:val="21"/>
        </w:rPr>
        <w:t>以及</w:t>
      </w:r>
      <w:r>
        <w:rPr>
          <w:szCs w:val="21"/>
        </w:rPr>
        <w:t>与课程目标的对应关系如表3所示。</w:t>
      </w:r>
    </w:p>
    <w:p w14:paraId="0C34BB19">
      <w:pPr>
        <w:widowControl/>
        <w:adjustRightInd w:val="0"/>
        <w:snapToGrid w:val="0"/>
        <w:spacing w:line="360" w:lineRule="auto"/>
        <w:ind w:firstLine="420" w:firstLineChars="200"/>
        <w:jc w:val="center"/>
        <w:rPr>
          <w:szCs w:val="21"/>
        </w:rPr>
      </w:pPr>
      <w:r>
        <w:rPr>
          <w:szCs w:val="21"/>
        </w:rPr>
        <w:t xml:space="preserve">表3  </w:t>
      </w:r>
      <w:r>
        <w:rPr>
          <w:rFonts w:hint="eastAsia"/>
          <w:szCs w:val="21"/>
        </w:rPr>
        <w:t>实践</w:t>
      </w:r>
      <w:r>
        <w:rPr>
          <w:szCs w:val="21"/>
        </w:rPr>
        <w:t>教学内容与课程</w:t>
      </w:r>
      <w:r>
        <w:rPr>
          <w:rFonts w:hint="eastAsia"/>
          <w:szCs w:val="21"/>
        </w:rPr>
        <w:t>教学</w:t>
      </w:r>
      <w:r>
        <w:rPr>
          <w:szCs w:val="21"/>
        </w:rPr>
        <w:t>目标的对应关系及学时分配表</w:t>
      </w:r>
    </w:p>
    <w:tbl>
      <w:tblPr>
        <w:tblStyle w:val="11"/>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82"/>
        <w:gridCol w:w="2383"/>
        <w:gridCol w:w="667"/>
        <w:gridCol w:w="1162"/>
        <w:gridCol w:w="875"/>
        <w:gridCol w:w="625"/>
        <w:gridCol w:w="1951"/>
      </w:tblGrid>
      <w:tr w14:paraId="7FDD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5DFA5438">
            <w:pPr>
              <w:widowControl/>
              <w:adjustRightInd w:val="0"/>
              <w:snapToGrid w:val="0"/>
              <w:jc w:val="center"/>
              <w:rPr>
                <w:b/>
                <w:spacing w:val="-20"/>
                <w:szCs w:val="21"/>
              </w:rPr>
            </w:pPr>
            <w:r>
              <w:rPr>
                <w:b/>
                <w:spacing w:val="-20"/>
                <w:szCs w:val="21"/>
              </w:rPr>
              <w:t>序号</w:t>
            </w:r>
          </w:p>
        </w:tc>
        <w:tc>
          <w:tcPr>
            <w:tcW w:w="882" w:type="dxa"/>
            <w:tcBorders>
              <w:top w:val="single" w:color="auto" w:sz="4" w:space="0"/>
              <w:left w:val="single" w:color="auto" w:sz="4" w:space="0"/>
              <w:bottom w:val="single" w:color="auto" w:sz="4" w:space="0"/>
              <w:right w:val="single" w:color="auto" w:sz="4" w:space="0"/>
            </w:tcBorders>
            <w:shd w:val="clear" w:color="auto" w:fill="FFFFFF"/>
            <w:vAlign w:val="center"/>
          </w:tcPr>
          <w:p w14:paraId="677DD3A4">
            <w:pPr>
              <w:widowControl/>
              <w:adjustRightInd w:val="0"/>
              <w:snapToGrid w:val="0"/>
              <w:jc w:val="center"/>
              <w:rPr>
                <w:b/>
                <w:szCs w:val="21"/>
              </w:rPr>
            </w:pPr>
            <w:r>
              <w:rPr>
                <w:rFonts w:hint="eastAsia"/>
                <w:b/>
                <w:szCs w:val="21"/>
              </w:rPr>
              <w:t>实践</w:t>
            </w:r>
            <w:r>
              <w:rPr>
                <w:b/>
                <w:szCs w:val="21"/>
              </w:rPr>
              <w:t>项目名称</w:t>
            </w:r>
          </w:p>
        </w:tc>
        <w:tc>
          <w:tcPr>
            <w:tcW w:w="2383" w:type="dxa"/>
            <w:tcBorders>
              <w:top w:val="single" w:color="auto" w:sz="4" w:space="0"/>
              <w:left w:val="single" w:color="auto" w:sz="4" w:space="0"/>
              <w:bottom w:val="single" w:color="auto" w:sz="4" w:space="0"/>
              <w:right w:val="single" w:color="auto" w:sz="4" w:space="0"/>
            </w:tcBorders>
            <w:shd w:val="clear" w:color="auto" w:fill="FFFFFF"/>
            <w:vAlign w:val="center"/>
          </w:tcPr>
          <w:p w14:paraId="612D189D">
            <w:pPr>
              <w:widowControl/>
              <w:adjustRightInd w:val="0"/>
              <w:snapToGrid w:val="0"/>
              <w:jc w:val="center"/>
              <w:rPr>
                <w:b/>
                <w:szCs w:val="21"/>
              </w:rPr>
            </w:pPr>
            <w:r>
              <w:rPr>
                <w:rFonts w:hint="eastAsia"/>
                <w:b/>
                <w:szCs w:val="21"/>
              </w:rPr>
              <w:t>实践</w:t>
            </w:r>
            <w:r>
              <w:rPr>
                <w:b/>
                <w:szCs w:val="21"/>
              </w:rPr>
              <w:t>内容及</w:t>
            </w:r>
            <w:r>
              <w:rPr>
                <w:rFonts w:hint="eastAsia"/>
                <w:b/>
                <w:szCs w:val="21"/>
              </w:rPr>
              <w:t>教学目标</w:t>
            </w:r>
          </w:p>
        </w:tc>
        <w:tc>
          <w:tcPr>
            <w:tcW w:w="667" w:type="dxa"/>
            <w:tcBorders>
              <w:top w:val="single" w:color="auto" w:sz="4" w:space="0"/>
              <w:left w:val="single" w:color="auto" w:sz="4" w:space="0"/>
              <w:bottom w:val="single" w:color="auto" w:sz="4" w:space="0"/>
              <w:right w:val="single" w:color="auto" w:sz="4" w:space="0"/>
            </w:tcBorders>
            <w:shd w:val="clear" w:color="auto" w:fill="FFFFFF"/>
            <w:vAlign w:val="center"/>
          </w:tcPr>
          <w:p w14:paraId="1A16174E">
            <w:pPr>
              <w:widowControl/>
              <w:adjustRightInd w:val="0"/>
              <w:snapToGrid w:val="0"/>
              <w:jc w:val="center"/>
              <w:rPr>
                <w:b/>
                <w:szCs w:val="21"/>
              </w:rPr>
            </w:pPr>
            <w:r>
              <w:rPr>
                <w:b/>
                <w:szCs w:val="21"/>
              </w:rPr>
              <w:t>学时</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14:paraId="5C88BDC3">
            <w:pPr>
              <w:widowControl/>
              <w:adjustRightInd w:val="0"/>
              <w:snapToGrid w:val="0"/>
              <w:jc w:val="center"/>
              <w:rPr>
                <w:b/>
                <w:szCs w:val="21"/>
              </w:rPr>
            </w:pPr>
            <w:r>
              <w:rPr>
                <w:b/>
                <w:szCs w:val="21"/>
              </w:rPr>
              <w:t>支撑的课程目标</w:t>
            </w:r>
          </w:p>
        </w:tc>
        <w:tc>
          <w:tcPr>
            <w:tcW w:w="87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04E4C50D">
            <w:pPr>
              <w:widowControl/>
              <w:adjustRightInd w:val="0"/>
              <w:snapToGrid w:val="0"/>
              <w:jc w:val="center"/>
              <w:rPr>
                <w:b/>
                <w:szCs w:val="21"/>
              </w:rPr>
            </w:pPr>
            <w:r>
              <w:rPr>
                <w:b/>
                <w:szCs w:val="21"/>
              </w:rPr>
              <w:t>实验</w:t>
            </w:r>
          </w:p>
          <w:p w14:paraId="576823B7">
            <w:pPr>
              <w:widowControl/>
              <w:adjustRightInd w:val="0"/>
              <w:snapToGrid w:val="0"/>
              <w:jc w:val="center"/>
              <w:rPr>
                <w:b/>
                <w:szCs w:val="21"/>
              </w:rPr>
            </w:pPr>
            <w:r>
              <w:rPr>
                <w:b/>
                <w:szCs w:val="21"/>
              </w:rPr>
              <w:t>类型</w:t>
            </w:r>
          </w:p>
        </w:tc>
        <w:tc>
          <w:tcPr>
            <w:tcW w:w="62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512F12D3">
            <w:pPr>
              <w:widowControl/>
              <w:adjustRightInd w:val="0"/>
              <w:snapToGrid w:val="0"/>
              <w:jc w:val="center"/>
              <w:rPr>
                <w:b/>
                <w:szCs w:val="21"/>
              </w:rPr>
            </w:pPr>
            <w:r>
              <w:rPr>
                <w:rFonts w:hint="eastAsia"/>
                <w:b/>
                <w:szCs w:val="21"/>
              </w:rPr>
              <w:t>实验要求</w:t>
            </w:r>
          </w:p>
        </w:tc>
        <w:tc>
          <w:tcPr>
            <w:tcW w:w="1951" w:type="dxa"/>
            <w:tcBorders>
              <w:top w:val="single" w:color="auto" w:sz="4" w:space="0"/>
              <w:left w:val="single" w:color="auto" w:sz="4" w:space="0"/>
              <w:bottom w:val="single" w:color="auto" w:sz="4" w:space="0"/>
              <w:right w:val="single" w:color="auto" w:sz="4" w:space="0"/>
            </w:tcBorders>
            <w:shd w:val="clear" w:color="auto" w:fill="FFFFFF"/>
          </w:tcPr>
          <w:p w14:paraId="15F1FF59">
            <w:pPr>
              <w:widowControl/>
              <w:adjustRightInd w:val="0"/>
              <w:snapToGrid w:val="0"/>
              <w:jc w:val="center"/>
              <w:rPr>
                <w:b/>
                <w:szCs w:val="21"/>
              </w:rPr>
            </w:pPr>
            <w:r>
              <w:rPr>
                <w:rFonts w:hint="eastAsia"/>
                <w:b/>
                <w:szCs w:val="21"/>
              </w:rPr>
              <w:t>课程思政融入点</w:t>
            </w:r>
          </w:p>
        </w:tc>
      </w:tr>
      <w:tr w14:paraId="79CE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77242865">
            <w:pPr>
              <w:widowControl/>
              <w:adjustRightInd w:val="0"/>
              <w:snapToGrid w:val="0"/>
              <w:jc w:val="center"/>
              <w:rPr>
                <w:bCs/>
                <w:spacing w:val="-20"/>
                <w:szCs w:val="21"/>
              </w:rPr>
            </w:pPr>
            <w:r>
              <w:rPr>
                <w:bCs/>
                <w:spacing w:val="-20"/>
                <w:szCs w:val="21"/>
              </w:rPr>
              <w:t>1</w:t>
            </w:r>
          </w:p>
        </w:tc>
        <w:tc>
          <w:tcPr>
            <w:tcW w:w="882" w:type="dxa"/>
            <w:tcBorders>
              <w:top w:val="single" w:color="auto" w:sz="4" w:space="0"/>
              <w:left w:val="single" w:color="auto" w:sz="4" w:space="0"/>
              <w:bottom w:val="single" w:color="auto" w:sz="4" w:space="0"/>
              <w:right w:val="single" w:color="auto" w:sz="4" w:space="0"/>
            </w:tcBorders>
            <w:shd w:val="clear" w:color="auto" w:fill="FFFFFF"/>
            <w:vAlign w:val="center"/>
          </w:tcPr>
          <w:p w14:paraId="412E8F9F">
            <w:pPr>
              <w:widowControl/>
              <w:adjustRightInd w:val="0"/>
              <w:snapToGrid w:val="0"/>
              <w:jc w:val="center"/>
              <w:rPr>
                <w:rFonts w:eastAsia="宋体"/>
                <w:bCs/>
                <w:szCs w:val="21"/>
              </w:rPr>
            </w:pPr>
            <w:r>
              <w:rPr>
                <w:rFonts w:hint="eastAsia"/>
                <w:bCs/>
                <w:szCs w:val="21"/>
              </w:rPr>
              <w:t>书面表达</w:t>
            </w:r>
          </w:p>
        </w:tc>
        <w:tc>
          <w:tcPr>
            <w:tcW w:w="2383" w:type="dxa"/>
            <w:tcBorders>
              <w:top w:val="single" w:color="auto" w:sz="4" w:space="0"/>
              <w:left w:val="single" w:color="auto" w:sz="4" w:space="0"/>
              <w:bottom w:val="single" w:color="auto" w:sz="4" w:space="0"/>
              <w:right w:val="single" w:color="auto" w:sz="4" w:space="0"/>
            </w:tcBorders>
            <w:shd w:val="clear" w:color="auto" w:fill="FFFFFF"/>
            <w:vAlign w:val="center"/>
          </w:tcPr>
          <w:p w14:paraId="32489404">
            <w:pPr>
              <w:widowControl/>
              <w:adjustRightInd w:val="0"/>
              <w:snapToGrid w:val="0"/>
              <w:jc w:val="left"/>
              <w:rPr>
                <w:bCs/>
                <w:szCs w:val="21"/>
              </w:rPr>
            </w:pPr>
            <w:r>
              <w:rPr>
                <w:rFonts w:hint="eastAsia"/>
                <w:szCs w:val="21"/>
              </w:rPr>
              <w:t>论文摘要写作，能撰写所学专业论文的英文摘要和文献综述。</w:t>
            </w:r>
          </w:p>
        </w:tc>
        <w:tc>
          <w:tcPr>
            <w:tcW w:w="667" w:type="dxa"/>
            <w:tcBorders>
              <w:top w:val="single" w:color="auto" w:sz="4" w:space="0"/>
              <w:left w:val="single" w:color="auto" w:sz="4" w:space="0"/>
              <w:bottom w:val="single" w:color="auto" w:sz="4" w:space="0"/>
              <w:right w:val="single" w:color="auto" w:sz="4" w:space="0"/>
            </w:tcBorders>
            <w:shd w:val="clear" w:color="auto" w:fill="FFFFFF"/>
            <w:vAlign w:val="center"/>
          </w:tcPr>
          <w:p w14:paraId="25631B59">
            <w:pPr>
              <w:widowControl/>
              <w:adjustRightInd w:val="0"/>
              <w:snapToGrid w:val="0"/>
              <w:jc w:val="center"/>
              <w:rPr>
                <w:rFonts w:eastAsia="宋体"/>
                <w:bCs/>
                <w:szCs w:val="21"/>
              </w:rPr>
            </w:pPr>
            <w:r>
              <w:rPr>
                <w:rFonts w:hint="eastAsia"/>
                <w:bCs/>
                <w:szCs w:val="21"/>
              </w:rPr>
              <w:t>5</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14:paraId="661CDA28">
            <w:pPr>
              <w:widowControl/>
              <w:adjustRightInd w:val="0"/>
              <w:snapToGrid w:val="0"/>
              <w:jc w:val="center"/>
              <w:rPr>
                <w:rFonts w:eastAsia="宋体"/>
                <w:szCs w:val="21"/>
              </w:rPr>
            </w:pPr>
            <w:r>
              <w:rPr>
                <w:rFonts w:hint="eastAsia"/>
                <w:szCs w:val="21"/>
              </w:rPr>
              <w:t>1、2、3</w:t>
            </w:r>
          </w:p>
        </w:tc>
        <w:tc>
          <w:tcPr>
            <w:tcW w:w="87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7BEA0C8A">
            <w:pPr>
              <w:widowControl/>
              <w:adjustRightInd w:val="0"/>
              <w:snapToGrid w:val="0"/>
              <w:jc w:val="center"/>
              <w:rPr>
                <w:rFonts w:eastAsia="宋体"/>
                <w:bCs/>
                <w:szCs w:val="21"/>
              </w:rPr>
            </w:pPr>
            <w:r>
              <w:rPr>
                <w:rFonts w:hint="eastAsia"/>
                <w:bCs/>
                <w:szCs w:val="21"/>
              </w:rPr>
              <w:t>验证型</w:t>
            </w:r>
          </w:p>
        </w:tc>
        <w:tc>
          <w:tcPr>
            <w:tcW w:w="62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5CF00C6F">
            <w:pPr>
              <w:widowControl/>
              <w:adjustRightInd w:val="0"/>
              <w:snapToGrid w:val="0"/>
              <w:jc w:val="center"/>
              <w:rPr>
                <w:rFonts w:eastAsia="宋体"/>
                <w:bCs/>
                <w:szCs w:val="21"/>
              </w:rPr>
            </w:pPr>
            <w:r>
              <w:rPr>
                <w:rFonts w:hint="eastAsia"/>
                <w:bCs/>
                <w:szCs w:val="21"/>
              </w:rPr>
              <w:t>必开</w:t>
            </w:r>
          </w:p>
        </w:tc>
        <w:tc>
          <w:tcPr>
            <w:tcW w:w="1951" w:type="dxa"/>
            <w:tcBorders>
              <w:top w:val="single" w:color="auto" w:sz="4" w:space="0"/>
              <w:left w:val="single" w:color="auto" w:sz="4" w:space="0"/>
              <w:bottom w:val="single" w:color="auto" w:sz="4" w:space="0"/>
              <w:right w:val="single" w:color="auto" w:sz="4" w:space="0"/>
            </w:tcBorders>
            <w:shd w:val="clear" w:color="auto" w:fill="FFFFFF"/>
          </w:tcPr>
          <w:p w14:paraId="0019D35F">
            <w:pPr>
              <w:widowControl/>
              <w:adjustRightInd w:val="0"/>
              <w:snapToGrid w:val="0"/>
              <w:jc w:val="center"/>
              <w:rPr>
                <w:bCs/>
                <w:szCs w:val="21"/>
              </w:rPr>
            </w:pPr>
            <w:r>
              <w:rPr>
                <w:rFonts w:hint="eastAsia"/>
                <w:szCs w:val="21"/>
              </w:rPr>
              <w:t>理性思考中西文化差异。提升职业素养。</w:t>
            </w:r>
          </w:p>
        </w:tc>
      </w:tr>
      <w:tr w14:paraId="305C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0671CEDA">
            <w:pPr>
              <w:widowControl/>
              <w:adjustRightInd w:val="0"/>
              <w:snapToGrid w:val="0"/>
              <w:jc w:val="center"/>
              <w:rPr>
                <w:bCs/>
                <w:spacing w:val="-20"/>
                <w:szCs w:val="21"/>
              </w:rPr>
            </w:pPr>
            <w:r>
              <w:rPr>
                <w:bCs/>
                <w:spacing w:val="-20"/>
                <w:szCs w:val="21"/>
              </w:rPr>
              <w:t>2</w:t>
            </w:r>
          </w:p>
        </w:tc>
        <w:tc>
          <w:tcPr>
            <w:tcW w:w="882" w:type="dxa"/>
            <w:tcBorders>
              <w:top w:val="single" w:color="auto" w:sz="4" w:space="0"/>
              <w:left w:val="single" w:color="auto" w:sz="4" w:space="0"/>
              <w:bottom w:val="single" w:color="auto" w:sz="4" w:space="0"/>
              <w:right w:val="single" w:color="auto" w:sz="4" w:space="0"/>
            </w:tcBorders>
            <w:shd w:val="clear" w:color="auto" w:fill="FFFFFF"/>
            <w:vAlign w:val="center"/>
          </w:tcPr>
          <w:p w14:paraId="57194527">
            <w:pPr>
              <w:widowControl/>
              <w:adjustRightInd w:val="0"/>
              <w:snapToGrid w:val="0"/>
              <w:jc w:val="center"/>
              <w:rPr>
                <w:rFonts w:eastAsia="宋体"/>
                <w:bCs/>
                <w:szCs w:val="21"/>
              </w:rPr>
            </w:pPr>
            <w:r>
              <w:rPr>
                <w:rFonts w:hint="eastAsia"/>
                <w:bCs/>
                <w:szCs w:val="21"/>
              </w:rPr>
              <w:t>中英互译</w:t>
            </w:r>
          </w:p>
        </w:tc>
        <w:tc>
          <w:tcPr>
            <w:tcW w:w="2383" w:type="dxa"/>
            <w:tcBorders>
              <w:top w:val="single" w:color="auto" w:sz="4" w:space="0"/>
              <w:left w:val="single" w:color="auto" w:sz="4" w:space="0"/>
              <w:bottom w:val="single" w:color="auto" w:sz="4" w:space="0"/>
              <w:right w:val="single" w:color="auto" w:sz="4" w:space="0"/>
            </w:tcBorders>
            <w:shd w:val="clear" w:color="auto" w:fill="FFFFFF"/>
            <w:vAlign w:val="center"/>
          </w:tcPr>
          <w:p w14:paraId="7F7EDFB3">
            <w:pPr>
              <w:widowControl/>
              <w:adjustRightInd w:val="0"/>
              <w:snapToGrid w:val="0"/>
              <w:jc w:val="left"/>
              <w:rPr>
                <w:bCs/>
                <w:szCs w:val="21"/>
              </w:rPr>
            </w:pPr>
            <w:r>
              <w:rPr>
                <w:rFonts w:hint="eastAsia"/>
                <w:szCs w:val="21"/>
              </w:rPr>
              <w:t>翻译理论实践，能借助词典翻译体裁较为正式的人文、艺术英语文章或作品介绍。</w:t>
            </w:r>
          </w:p>
        </w:tc>
        <w:tc>
          <w:tcPr>
            <w:tcW w:w="667" w:type="dxa"/>
            <w:tcBorders>
              <w:top w:val="single" w:color="auto" w:sz="4" w:space="0"/>
              <w:left w:val="single" w:color="auto" w:sz="4" w:space="0"/>
              <w:bottom w:val="single" w:color="auto" w:sz="4" w:space="0"/>
              <w:right w:val="single" w:color="auto" w:sz="4" w:space="0"/>
            </w:tcBorders>
            <w:shd w:val="clear" w:color="auto" w:fill="FFFFFF"/>
            <w:vAlign w:val="center"/>
          </w:tcPr>
          <w:p w14:paraId="4158E3DE">
            <w:pPr>
              <w:widowControl/>
              <w:adjustRightInd w:val="0"/>
              <w:snapToGrid w:val="0"/>
              <w:jc w:val="center"/>
              <w:rPr>
                <w:rFonts w:eastAsia="宋体"/>
                <w:bCs/>
                <w:szCs w:val="21"/>
              </w:rPr>
            </w:pPr>
            <w:r>
              <w:rPr>
                <w:rFonts w:hint="eastAsia"/>
                <w:bCs/>
                <w:szCs w:val="21"/>
              </w:rPr>
              <w:t>5</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14:paraId="0A2A8FA6">
            <w:pPr>
              <w:widowControl/>
              <w:adjustRightInd w:val="0"/>
              <w:snapToGrid w:val="0"/>
              <w:jc w:val="center"/>
              <w:rPr>
                <w:szCs w:val="21"/>
              </w:rPr>
            </w:pPr>
            <w:r>
              <w:rPr>
                <w:rFonts w:hint="eastAsia"/>
                <w:szCs w:val="21"/>
              </w:rPr>
              <w:t>1、2、3</w:t>
            </w:r>
          </w:p>
        </w:tc>
        <w:tc>
          <w:tcPr>
            <w:tcW w:w="87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1DD5782C">
            <w:pPr>
              <w:widowControl/>
              <w:adjustRightInd w:val="0"/>
              <w:snapToGrid w:val="0"/>
              <w:jc w:val="center"/>
              <w:rPr>
                <w:bCs/>
                <w:szCs w:val="21"/>
              </w:rPr>
            </w:pPr>
            <w:r>
              <w:rPr>
                <w:rFonts w:hint="eastAsia"/>
                <w:bCs/>
                <w:szCs w:val="21"/>
              </w:rPr>
              <w:t>验证型</w:t>
            </w:r>
          </w:p>
        </w:tc>
        <w:tc>
          <w:tcPr>
            <w:tcW w:w="625"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216FF18C">
            <w:pPr>
              <w:widowControl/>
              <w:adjustRightInd w:val="0"/>
              <w:snapToGrid w:val="0"/>
              <w:jc w:val="center"/>
              <w:rPr>
                <w:rFonts w:eastAsia="宋体"/>
                <w:bCs/>
                <w:szCs w:val="21"/>
              </w:rPr>
            </w:pPr>
            <w:r>
              <w:rPr>
                <w:rFonts w:hint="eastAsia"/>
                <w:bCs/>
                <w:szCs w:val="21"/>
              </w:rPr>
              <w:t>必开</w:t>
            </w:r>
          </w:p>
        </w:tc>
        <w:tc>
          <w:tcPr>
            <w:tcW w:w="1951" w:type="dxa"/>
            <w:tcBorders>
              <w:top w:val="single" w:color="auto" w:sz="4" w:space="0"/>
              <w:left w:val="single" w:color="auto" w:sz="4" w:space="0"/>
              <w:bottom w:val="single" w:color="auto" w:sz="4" w:space="0"/>
              <w:right w:val="single" w:color="auto" w:sz="4" w:space="0"/>
            </w:tcBorders>
            <w:shd w:val="clear" w:color="auto" w:fill="FFFFFF"/>
          </w:tcPr>
          <w:p w14:paraId="5E925F39">
            <w:pPr>
              <w:widowControl/>
              <w:adjustRightInd w:val="0"/>
              <w:snapToGrid w:val="0"/>
              <w:rPr>
                <w:bCs/>
                <w:szCs w:val="21"/>
              </w:rPr>
            </w:pPr>
            <w:r>
              <w:rPr>
                <w:rFonts w:hint="eastAsia"/>
                <w:szCs w:val="21"/>
              </w:rPr>
              <w:t>理性思考中西文化差异。提升职业素养。</w:t>
            </w:r>
          </w:p>
        </w:tc>
      </w:tr>
    </w:tbl>
    <w:p w14:paraId="555DC306">
      <w:pPr>
        <w:snapToGrid w:val="0"/>
        <w:spacing w:line="360" w:lineRule="auto"/>
        <w:ind w:firstLine="422" w:firstLineChars="200"/>
        <w:rPr>
          <w:b/>
          <w:szCs w:val="21"/>
        </w:rPr>
      </w:pPr>
    </w:p>
    <w:p w14:paraId="090FA569">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五、课程实施</w:t>
      </w:r>
    </w:p>
    <w:p w14:paraId="384953A9">
      <w:pPr>
        <w:snapToGrid w:val="0"/>
        <w:spacing w:line="360" w:lineRule="auto"/>
        <w:ind w:firstLine="422" w:firstLineChars="200"/>
        <w:rPr>
          <w:b/>
          <w:szCs w:val="21"/>
        </w:rPr>
      </w:pPr>
      <w:r>
        <w:rPr>
          <w:rFonts w:hint="eastAsia"/>
          <w:b/>
          <w:szCs w:val="21"/>
        </w:rPr>
        <w:t>（一）教学方法与教学手段</w:t>
      </w:r>
    </w:p>
    <w:p w14:paraId="701B3BCE">
      <w:pPr>
        <w:snapToGrid w:val="0"/>
        <w:spacing w:line="360" w:lineRule="auto"/>
        <w:ind w:firstLine="420" w:firstLineChars="200"/>
        <w:rPr>
          <w:bCs/>
          <w:szCs w:val="21"/>
        </w:rPr>
      </w:pPr>
      <w:r>
        <w:rPr>
          <w:rFonts w:hint="eastAsia"/>
          <w:bCs/>
          <w:szCs w:val="21"/>
        </w:rPr>
        <w:t>（1）依托网络学习平台，引导学生线上自主学习，培养学生自主学习能力，并进一步培养学生发现问题、分析问题、解决问题的能力。</w:t>
      </w:r>
    </w:p>
    <w:p w14:paraId="5FD23DA1">
      <w:pPr>
        <w:snapToGrid w:val="0"/>
        <w:spacing w:line="360" w:lineRule="auto"/>
        <w:ind w:firstLine="420" w:firstLineChars="200"/>
        <w:rPr>
          <w:bCs/>
          <w:szCs w:val="21"/>
        </w:rPr>
      </w:pPr>
      <w:r>
        <w:rPr>
          <w:rFonts w:hint="eastAsia"/>
          <w:bCs/>
          <w:szCs w:val="21"/>
        </w:rPr>
        <w:t>（2）线下课堂采用研究式、启发式、讨论式、案例式教学，通过学生自主探究，理性思考，充分讨论，形成结论，相互评价使基本英语技能得以内化并实现灵活应用。</w:t>
      </w:r>
    </w:p>
    <w:p w14:paraId="1F9323A1">
      <w:pPr>
        <w:snapToGrid w:val="0"/>
        <w:spacing w:line="360" w:lineRule="auto"/>
        <w:ind w:firstLine="420" w:firstLineChars="200"/>
        <w:rPr>
          <w:bCs/>
          <w:szCs w:val="21"/>
        </w:rPr>
      </w:pPr>
      <w:r>
        <w:rPr>
          <w:rFonts w:hint="eastAsia"/>
          <w:bCs/>
          <w:szCs w:val="21"/>
        </w:rPr>
        <w:t>（3）课程思政育人方法：利用英语课程的国际视野特性，通过中西文化、制度、观念的客观比较，引导学生增强文化自信，形成辩证、全面的世界观。设计启发性、讨论式、探究式的课堂活动，让学生主动思考、辨析和表达，在语言运用中内化价值观。</w:t>
      </w:r>
    </w:p>
    <w:p w14:paraId="6ACA9EAB">
      <w:pPr>
        <w:spacing w:line="360" w:lineRule="auto"/>
        <w:ind w:firstLine="422" w:firstLineChars="200"/>
        <w:rPr>
          <w:b/>
          <w:szCs w:val="21"/>
        </w:rPr>
      </w:pPr>
      <w:r>
        <w:rPr>
          <w:rFonts w:hint="eastAsia"/>
          <w:b/>
          <w:szCs w:val="21"/>
        </w:rPr>
        <w:t>（二）教学质量要求</w:t>
      </w:r>
    </w:p>
    <w:p w14:paraId="7A35F563">
      <w:pPr>
        <w:tabs>
          <w:tab w:val="right" w:pos="9070"/>
        </w:tabs>
        <w:spacing w:line="360" w:lineRule="auto"/>
        <w:ind w:firstLine="420" w:firstLineChars="200"/>
        <w:rPr>
          <w:szCs w:val="21"/>
        </w:rPr>
      </w:pPr>
      <w:r>
        <w:rPr>
          <w:rFonts w:hint="eastAsia"/>
          <w:szCs w:val="21"/>
        </w:rPr>
        <w:t>课程主要教学环节及其质量要求如表</w:t>
      </w:r>
      <w:r>
        <w:rPr>
          <w:szCs w:val="21"/>
        </w:rPr>
        <w:t>3</w:t>
      </w:r>
      <w:r>
        <w:rPr>
          <w:rFonts w:hint="eastAsia"/>
          <w:szCs w:val="21"/>
        </w:rPr>
        <w:t>所示。</w:t>
      </w:r>
      <w:r>
        <w:rPr>
          <w:szCs w:val="21"/>
        </w:rPr>
        <w:tab/>
      </w:r>
    </w:p>
    <w:p w14:paraId="0313CD21">
      <w:pPr>
        <w:spacing w:line="360" w:lineRule="auto"/>
        <w:jc w:val="center"/>
        <w:rPr>
          <w:szCs w:val="21"/>
        </w:rPr>
      </w:pPr>
      <w:r>
        <w:rPr>
          <w:rFonts w:hint="eastAsia"/>
          <w:szCs w:val="21"/>
        </w:rPr>
        <w:t>表</w:t>
      </w:r>
      <w:r>
        <w:rPr>
          <w:szCs w:val="21"/>
        </w:rPr>
        <w:t xml:space="preserve">3  </w:t>
      </w:r>
      <w:r>
        <w:rPr>
          <w:rFonts w:hint="eastAsia"/>
          <w:szCs w:val="21"/>
        </w:rPr>
        <w:t>课程主要教学环节和质量要求表</w:t>
      </w:r>
    </w:p>
    <w:tbl>
      <w:tblPr>
        <w:tblStyle w:val="11"/>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202"/>
        <w:gridCol w:w="7221"/>
      </w:tblGrid>
      <w:tr w14:paraId="766F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1838" w:type="dxa"/>
            <w:gridSpan w:val="2"/>
            <w:tcBorders>
              <w:top w:val="single" w:color="auto" w:sz="4" w:space="0"/>
              <w:left w:val="single" w:color="auto" w:sz="4" w:space="0"/>
              <w:right w:val="single" w:color="auto" w:sz="4" w:space="0"/>
            </w:tcBorders>
            <w:tcMar>
              <w:left w:w="28" w:type="dxa"/>
              <w:right w:w="28" w:type="dxa"/>
            </w:tcMar>
            <w:vAlign w:val="center"/>
          </w:tcPr>
          <w:p w14:paraId="29B12FB3">
            <w:pPr>
              <w:snapToGrid w:val="0"/>
              <w:jc w:val="center"/>
              <w:rPr>
                <w:b/>
                <w:szCs w:val="21"/>
              </w:rPr>
            </w:pPr>
            <w:r>
              <w:rPr>
                <w:b/>
                <w:szCs w:val="21"/>
              </w:rPr>
              <w:t>主要教学环节</w:t>
            </w:r>
          </w:p>
        </w:tc>
        <w:tc>
          <w:tcPr>
            <w:tcW w:w="7221" w:type="dxa"/>
            <w:tcBorders>
              <w:top w:val="single" w:color="auto" w:sz="4" w:space="0"/>
              <w:left w:val="single" w:color="auto" w:sz="4" w:space="0"/>
              <w:right w:val="single" w:color="auto" w:sz="4" w:space="0"/>
            </w:tcBorders>
            <w:vAlign w:val="center"/>
          </w:tcPr>
          <w:p w14:paraId="0D7FAF2A">
            <w:pPr>
              <w:snapToGrid w:val="0"/>
              <w:jc w:val="center"/>
              <w:rPr>
                <w:b/>
                <w:szCs w:val="21"/>
              </w:rPr>
            </w:pPr>
            <w:r>
              <w:rPr>
                <w:b/>
                <w:szCs w:val="21"/>
              </w:rPr>
              <w:t>质量</w:t>
            </w:r>
            <w:r>
              <w:rPr>
                <w:rFonts w:hint="eastAsia"/>
                <w:b/>
                <w:szCs w:val="21"/>
              </w:rPr>
              <w:t>要求</w:t>
            </w:r>
          </w:p>
        </w:tc>
      </w:tr>
      <w:tr w14:paraId="1C7E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308752DC">
            <w:pPr>
              <w:snapToGrid w:val="0"/>
              <w:jc w:val="center"/>
              <w:rPr>
                <w:szCs w:val="21"/>
              </w:rPr>
            </w:pPr>
            <w:r>
              <w:rPr>
                <w:szCs w:val="21"/>
              </w:rPr>
              <w:t>1</w:t>
            </w:r>
          </w:p>
        </w:tc>
        <w:tc>
          <w:tcPr>
            <w:tcW w:w="1202" w:type="dxa"/>
            <w:tcMar>
              <w:left w:w="28" w:type="dxa"/>
              <w:right w:w="28" w:type="dxa"/>
            </w:tcMar>
            <w:vAlign w:val="center"/>
          </w:tcPr>
          <w:p w14:paraId="52828A3A">
            <w:pPr>
              <w:snapToGrid w:val="0"/>
              <w:jc w:val="center"/>
              <w:rPr>
                <w:szCs w:val="21"/>
              </w:rPr>
            </w:pPr>
            <w:r>
              <w:rPr>
                <w:szCs w:val="21"/>
              </w:rPr>
              <w:t>备课</w:t>
            </w:r>
          </w:p>
        </w:tc>
        <w:tc>
          <w:tcPr>
            <w:tcW w:w="7221" w:type="dxa"/>
            <w:tcBorders>
              <w:right w:val="single" w:color="auto" w:sz="4" w:space="0"/>
            </w:tcBorders>
            <w:vAlign w:val="center"/>
          </w:tcPr>
          <w:p w14:paraId="74FDB7C5">
            <w:pPr>
              <w:rPr>
                <w:rFonts w:eastAsia="宋体"/>
                <w:szCs w:val="21"/>
              </w:rPr>
            </w:pPr>
            <w:r>
              <w:rPr>
                <w:rFonts w:hint="eastAsia"/>
                <w:szCs w:val="21"/>
              </w:rPr>
              <w:t>（1）掌握本课程教学大纲内容，严格按照教学大纲要求进行课程教学内容的组织；</w:t>
            </w:r>
          </w:p>
          <w:p w14:paraId="44800590">
            <w:pPr>
              <w:rPr>
                <w:rFonts w:eastAsia="宋体"/>
                <w:szCs w:val="21"/>
              </w:rPr>
            </w:pPr>
            <w:r>
              <w:rPr>
                <w:rFonts w:hint="eastAsia"/>
                <w:szCs w:val="21"/>
              </w:rPr>
              <w:t>（2）熟悉教材各章节，借助相关专业书籍资料，并依据教学大纲编写授课计划，编写每次授课的教案；</w:t>
            </w:r>
          </w:p>
          <w:p w14:paraId="7E624F08">
            <w:pPr>
              <w:snapToGrid w:val="0"/>
              <w:jc w:val="left"/>
              <w:rPr>
                <w:szCs w:val="21"/>
              </w:rPr>
            </w:pPr>
            <w:r>
              <w:rPr>
                <w:rFonts w:hint="eastAsia"/>
                <w:kern w:val="0"/>
                <w:szCs w:val="21"/>
              </w:rPr>
              <w:t>（3）根据各专题教学内容，构思授课思路、技巧，选择合适的教学方法。</w:t>
            </w:r>
          </w:p>
        </w:tc>
      </w:tr>
      <w:tr w14:paraId="1FC4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4D009E77">
            <w:pPr>
              <w:snapToGrid w:val="0"/>
              <w:jc w:val="center"/>
              <w:rPr>
                <w:szCs w:val="21"/>
              </w:rPr>
            </w:pPr>
            <w:r>
              <w:rPr>
                <w:szCs w:val="21"/>
              </w:rPr>
              <w:t>2</w:t>
            </w:r>
          </w:p>
        </w:tc>
        <w:tc>
          <w:tcPr>
            <w:tcW w:w="1202" w:type="dxa"/>
            <w:tcMar>
              <w:left w:w="28" w:type="dxa"/>
              <w:right w:w="28" w:type="dxa"/>
            </w:tcMar>
            <w:vAlign w:val="center"/>
          </w:tcPr>
          <w:p w14:paraId="2BCC1A17">
            <w:pPr>
              <w:snapToGrid w:val="0"/>
              <w:jc w:val="center"/>
              <w:rPr>
                <w:szCs w:val="21"/>
              </w:rPr>
            </w:pPr>
            <w:r>
              <w:rPr>
                <w:szCs w:val="21"/>
              </w:rPr>
              <w:t>讲授</w:t>
            </w:r>
          </w:p>
        </w:tc>
        <w:tc>
          <w:tcPr>
            <w:tcW w:w="7221" w:type="dxa"/>
            <w:tcBorders>
              <w:right w:val="single" w:color="auto" w:sz="4" w:space="0"/>
            </w:tcBorders>
            <w:vAlign w:val="center"/>
          </w:tcPr>
          <w:p w14:paraId="5011BC8C">
            <w:pPr>
              <w:rPr>
                <w:rFonts w:eastAsia="宋体"/>
                <w:szCs w:val="21"/>
              </w:rPr>
            </w:pPr>
            <w:r>
              <w:rPr>
                <w:rFonts w:hint="eastAsia"/>
                <w:szCs w:val="21"/>
              </w:rPr>
              <w:t>（</w:t>
            </w:r>
            <w:r>
              <w:rPr>
                <w:szCs w:val="21"/>
              </w:rPr>
              <w:t>1</w:t>
            </w:r>
            <w:r>
              <w:rPr>
                <w:rFonts w:hint="eastAsia"/>
                <w:szCs w:val="21"/>
              </w:rPr>
              <w:t>）要点准确、推理正确、条理清晰、重点突出，能够理论联系实际；</w:t>
            </w:r>
          </w:p>
          <w:p w14:paraId="537B18AE">
            <w:pPr>
              <w:rPr>
                <w:rFonts w:eastAsia="宋体"/>
                <w:szCs w:val="21"/>
              </w:rPr>
            </w:pPr>
            <w:r>
              <w:rPr>
                <w:rFonts w:hint="eastAsia"/>
                <w:szCs w:val="21"/>
              </w:rPr>
              <w:t>（2）采用多种教学方式（如启发式、讨论式、合作式、项目式、任务驱动教学等），培养学生的语言综合应用能力，注重培养学生发现、分析和解决问题的能力；</w:t>
            </w:r>
          </w:p>
          <w:p w14:paraId="346EB28A">
            <w:pPr>
              <w:rPr>
                <w:rFonts w:eastAsia="宋体"/>
                <w:szCs w:val="21"/>
              </w:rPr>
            </w:pPr>
            <w:r>
              <w:rPr>
                <w:rFonts w:hint="eastAsia"/>
                <w:szCs w:val="21"/>
              </w:rPr>
              <w:t>（3）能够采用现代信息技术辅助教学；</w:t>
            </w:r>
          </w:p>
          <w:p w14:paraId="15C41E1E">
            <w:pPr>
              <w:snapToGrid w:val="0"/>
              <w:rPr>
                <w:szCs w:val="21"/>
              </w:rPr>
            </w:pPr>
            <w:r>
              <w:rPr>
                <w:rFonts w:hint="eastAsia"/>
                <w:szCs w:val="21"/>
              </w:rPr>
              <w:t>（4）表达方式应便于学生理解、接受，力求形象生动，使学生在掌握知识的过程中，保持较为浓厚的兴趣。</w:t>
            </w:r>
          </w:p>
        </w:tc>
      </w:tr>
      <w:tr w14:paraId="7D98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44A8015A">
            <w:pPr>
              <w:snapToGrid w:val="0"/>
              <w:jc w:val="center"/>
              <w:rPr>
                <w:szCs w:val="21"/>
              </w:rPr>
            </w:pPr>
            <w:r>
              <w:rPr>
                <w:szCs w:val="21"/>
              </w:rPr>
              <w:t>3</w:t>
            </w:r>
          </w:p>
        </w:tc>
        <w:tc>
          <w:tcPr>
            <w:tcW w:w="1202" w:type="dxa"/>
            <w:tcMar>
              <w:left w:w="28" w:type="dxa"/>
              <w:right w:w="28" w:type="dxa"/>
            </w:tcMar>
            <w:vAlign w:val="center"/>
          </w:tcPr>
          <w:p w14:paraId="7C48B7BA">
            <w:pPr>
              <w:snapToGrid w:val="0"/>
              <w:jc w:val="center"/>
              <w:rPr>
                <w:szCs w:val="21"/>
              </w:rPr>
            </w:pPr>
            <w:r>
              <w:rPr>
                <w:rFonts w:hint="eastAsia"/>
                <w:szCs w:val="21"/>
              </w:rPr>
              <w:t>过程性考核</w:t>
            </w:r>
          </w:p>
        </w:tc>
        <w:tc>
          <w:tcPr>
            <w:tcW w:w="7221" w:type="dxa"/>
            <w:tcBorders>
              <w:right w:val="single" w:color="auto" w:sz="4" w:space="0"/>
            </w:tcBorders>
            <w:vAlign w:val="center"/>
          </w:tcPr>
          <w:p w14:paraId="0CBD5934">
            <w:pPr>
              <w:rPr>
                <w:rFonts w:eastAsia="宋体"/>
                <w:szCs w:val="21"/>
              </w:rPr>
            </w:pPr>
            <w:r>
              <w:rPr>
                <w:rFonts w:hint="eastAsia"/>
                <w:szCs w:val="21"/>
              </w:rPr>
              <w:t>（</w:t>
            </w:r>
            <w:r>
              <w:rPr>
                <w:szCs w:val="21"/>
              </w:rPr>
              <w:t>1</w:t>
            </w:r>
            <w:r>
              <w:rPr>
                <w:rFonts w:hint="eastAsia"/>
                <w:szCs w:val="21"/>
              </w:rPr>
              <w:t>）平时表现：教师应抽查学生的到课情况，通过提问、现场交流等方式随时关注学生的课堂学习状况，及时提醒并做好记录；</w:t>
            </w:r>
          </w:p>
          <w:p w14:paraId="5713D277">
            <w:pPr>
              <w:rPr>
                <w:szCs w:val="21"/>
              </w:rPr>
            </w:pPr>
            <w:r>
              <w:rPr>
                <w:rFonts w:hint="eastAsia"/>
                <w:szCs w:val="21"/>
              </w:rPr>
              <w:t>（2）作业、测试：学生必须完成规定数量的课后作业和单元测试，按时按量完成，不缺交、不抄袭。教师要及时批改、反馈、讲评并做好记录；</w:t>
            </w:r>
          </w:p>
          <w:p w14:paraId="2E7E1060">
            <w:pPr>
              <w:snapToGrid w:val="0"/>
              <w:rPr>
                <w:szCs w:val="21"/>
              </w:rPr>
            </w:pPr>
            <w:r>
              <w:rPr>
                <w:rFonts w:hint="eastAsia"/>
                <w:szCs w:val="21"/>
              </w:rPr>
              <w:t>（3）自主学习：学生在线上自主学习、参与互动讨论。教师要及时了解学生的线上自主学习情况并督促学生及时完成单元任务点；</w:t>
            </w:r>
          </w:p>
          <w:p w14:paraId="3546F0FE">
            <w:pPr>
              <w:snapToGrid w:val="0"/>
              <w:rPr>
                <w:color w:val="FF0000"/>
                <w:szCs w:val="21"/>
              </w:rPr>
            </w:pPr>
            <w:r>
              <w:rPr>
                <w:rFonts w:hint="eastAsia"/>
                <w:szCs w:val="21"/>
              </w:rPr>
              <w:t>（4）第二课堂：为了培养学生综合运用所学知识的能力和创新精神，教师应组织、指导学生积极参与各级各类英语竞赛。</w:t>
            </w:r>
          </w:p>
        </w:tc>
      </w:tr>
      <w:tr w14:paraId="4354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4CC49803">
            <w:pPr>
              <w:snapToGrid w:val="0"/>
              <w:jc w:val="center"/>
              <w:rPr>
                <w:rFonts w:eastAsia="宋体"/>
                <w:szCs w:val="21"/>
              </w:rPr>
            </w:pPr>
            <w:r>
              <w:rPr>
                <w:rFonts w:hint="eastAsia"/>
                <w:szCs w:val="21"/>
              </w:rPr>
              <w:t>4</w:t>
            </w:r>
          </w:p>
        </w:tc>
        <w:tc>
          <w:tcPr>
            <w:tcW w:w="1202" w:type="dxa"/>
            <w:tcMar>
              <w:left w:w="28" w:type="dxa"/>
              <w:right w:w="28" w:type="dxa"/>
            </w:tcMar>
            <w:vAlign w:val="center"/>
          </w:tcPr>
          <w:p w14:paraId="2D08883A">
            <w:pPr>
              <w:snapToGrid w:val="0"/>
              <w:jc w:val="center"/>
              <w:rPr>
                <w:rFonts w:eastAsia="宋体"/>
                <w:szCs w:val="21"/>
              </w:rPr>
            </w:pPr>
            <w:r>
              <w:rPr>
                <w:rFonts w:hint="eastAsia"/>
                <w:szCs w:val="21"/>
              </w:rPr>
              <w:t>课内实践</w:t>
            </w:r>
          </w:p>
        </w:tc>
        <w:tc>
          <w:tcPr>
            <w:tcW w:w="7221" w:type="dxa"/>
            <w:tcBorders>
              <w:right w:val="single" w:color="auto" w:sz="4" w:space="0"/>
            </w:tcBorders>
            <w:vAlign w:val="center"/>
          </w:tcPr>
          <w:p w14:paraId="3B5EEA71">
            <w:pPr>
              <w:snapToGrid w:val="0"/>
              <w:rPr>
                <w:szCs w:val="21"/>
              </w:rPr>
            </w:pPr>
            <w:r>
              <w:rPr>
                <w:szCs w:val="21"/>
              </w:rPr>
              <w:t>培养学生严谨的学术语言能力、批判性学术思维及符合学术规范的书面交流能力，确保教学内容与学科专业需求深度对接。</w:t>
            </w:r>
          </w:p>
        </w:tc>
      </w:tr>
      <w:tr w14:paraId="5CE0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28798D2C">
            <w:pPr>
              <w:snapToGrid w:val="0"/>
              <w:jc w:val="center"/>
              <w:rPr>
                <w:rFonts w:eastAsia="宋体"/>
                <w:szCs w:val="21"/>
              </w:rPr>
            </w:pPr>
            <w:r>
              <w:rPr>
                <w:rFonts w:hint="eastAsia"/>
                <w:szCs w:val="21"/>
              </w:rPr>
              <w:t>5</w:t>
            </w:r>
          </w:p>
        </w:tc>
        <w:tc>
          <w:tcPr>
            <w:tcW w:w="1202" w:type="dxa"/>
            <w:tcMar>
              <w:left w:w="28" w:type="dxa"/>
              <w:right w:w="28" w:type="dxa"/>
            </w:tcMar>
            <w:vAlign w:val="center"/>
          </w:tcPr>
          <w:p w14:paraId="5A299B3D">
            <w:pPr>
              <w:snapToGrid w:val="0"/>
              <w:jc w:val="center"/>
              <w:rPr>
                <w:szCs w:val="21"/>
              </w:rPr>
            </w:pPr>
            <w:r>
              <w:rPr>
                <w:szCs w:val="21"/>
              </w:rPr>
              <w:t>课外答疑</w:t>
            </w:r>
          </w:p>
        </w:tc>
        <w:tc>
          <w:tcPr>
            <w:tcW w:w="7221" w:type="dxa"/>
            <w:tcBorders>
              <w:right w:val="single" w:color="auto" w:sz="4" w:space="0"/>
            </w:tcBorders>
            <w:vAlign w:val="center"/>
          </w:tcPr>
          <w:p w14:paraId="09354D3A">
            <w:pPr>
              <w:snapToGrid w:val="0"/>
              <w:rPr>
                <w:szCs w:val="21"/>
              </w:rPr>
            </w:pPr>
            <w:r>
              <w:rPr>
                <w:rFonts w:hint="eastAsia"/>
                <w:szCs w:val="21"/>
              </w:rPr>
              <w:t>为全面了解学生的学习情况，帮助学生进一步理解和消化课堂上所学知识、改进学习方法和思维方式，培养其独立思考问题的能力，建议任课教师合理安排时间进行课外答疑与辅导工作。</w:t>
            </w:r>
          </w:p>
        </w:tc>
      </w:tr>
      <w:tr w14:paraId="52D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636" w:type="dxa"/>
            <w:tcBorders>
              <w:left w:val="single" w:color="auto" w:sz="4" w:space="0"/>
            </w:tcBorders>
            <w:vAlign w:val="center"/>
          </w:tcPr>
          <w:p w14:paraId="285A3F8C">
            <w:pPr>
              <w:snapToGrid w:val="0"/>
              <w:jc w:val="center"/>
              <w:rPr>
                <w:rFonts w:eastAsia="宋体"/>
                <w:szCs w:val="21"/>
              </w:rPr>
            </w:pPr>
            <w:r>
              <w:rPr>
                <w:rFonts w:hint="eastAsia"/>
                <w:szCs w:val="21"/>
              </w:rPr>
              <w:t>6</w:t>
            </w:r>
          </w:p>
        </w:tc>
        <w:tc>
          <w:tcPr>
            <w:tcW w:w="1202" w:type="dxa"/>
            <w:tcMar>
              <w:left w:w="28" w:type="dxa"/>
              <w:right w:w="28" w:type="dxa"/>
            </w:tcMar>
            <w:vAlign w:val="center"/>
          </w:tcPr>
          <w:p w14:paraId="2944AD36">
            <w:pPr>
              <w:snapToGrid w:val="0"/>
              <w:jc w:val="center"/>
              <w:rPr>
                <w:szCs w:val="21"/>
              </w:rPr>
            </w:pPr>
            <w:r>
              <w:rPr>
                <w:rFonts w:hint="eastAsia"/>
                <w:szCs w:val="21"/>
              </w:rPr>
              <w:t>期末考试</w:t>
            </w:r>
          </w:p>
        </w:tc>
        <w:tc>
          <w:tcPr>
            <w:tcW w:w="7221" w:type="dxa"/>
            <w:tcBorders>
              <w:right w:val="single" w:color="auto" w:sz="4" w:space="0"/>
            </w:tcBorders>
            <w:vAlign w:val="center"/>
          </w:tcPr>
          <w:p w14:paraId="4AB5B1CE">
            <w:pPr>
              <w:snapToGrid w:val="0"/>
              <w:rPr>
                <w:rFonts w:eastAsia="宋体"/>
                <w:color w:val="000000"/>
                <w:szCs w:val="21"/>
              </w:rPr>
            </w:pPr>
            <w:r>
              <w:rPr>
                <w:rFonts w:hint="eastAsia"/>
                <w:color w:val="000000"/>
                <w:szCs w:val="21"/>
              </w:rPr>
              <w:t>（1）</w:t>
            </w:r>
            <w:r>
              <w:rPr>
                <w:rFonts w:hint="eastAsia"/>
                <w:szCs w:val="21"/>
              </w:rPr>
              <w:t>本课程期末考核的方式为闭卷考试，采取教考分离方式。</w:t>
            </w:r>
            <w:r>
              <w:rPr>
                <w:rFonts w:hint="eastAsia"/>
                <w:color w:val="000000"/>
                <w:szCs w:val="21"/>
              </w:rPr>
              <w:t>总评成绩的评定见课程评分方案；</w:t>
            </w:r>
          </w:p>
          <w:p w14:paraId="377306BA">
            <w:pPr>
              <w:snapToGrid w:val="0"/>
              <w:rPr>
                <w:szCs w:val="21"/>
              </w:rPr>
            </w:pPr>
            <w:r>
              <w:rPr>
                <w:rFonts w:hint="eastAsia"/>
                <w:color w:val="000000"/>
                <w:szCs w:val="21"/>
              </w:rPr>
              <w:t>（2）考试可选题型：词汇与结构、听力理解、口语表达、翻译、阅读理解、书面表达等。</w:t>
            </w:r>
          </w:p>
        </w:tc>
      </w:tr>
    </w:tbl>
    <w:p w14:paraId="6F41852C">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六、课程考核</w:t>
      </w:r>
    </w:p>
    <w:p w14:paraId="3F9EE2D1">
      <w:pPr>
        <w:spacing w:line="360" w:lineRule="auto"/>
        <w:ind w:firstLine="420" w:firstLineChars="200"/>
        <w:rPr>
          <w:szCs w:val="21"/>
        </w:rPr>
      </w:pPr>
      <w:r>
        <w:rPr>
          <w:rFonts w:hint="eastAsia"/>
          <w:szCs w:val="21"/>
        </w:rPr>
        <w:t>（一）</w:t>
      </w:r>
      <w:r>
        <w:rPr>
          <w:szCs w:val="21"/>
        </w:rPr>
        <w:t>课程考核</w:t>
      </w:r>
      <w:r>
        <w:rPr>
          <w:rFonts w:hint="eastAsia"/>
          <w:szCs w:val="21"/>
        </w:rPr>
        <w:t>方式</w:t>
      </w:r>
    </w:p>
    <w:p w14:paraId="4D705340">
      <w:pPr>
        <w:spacing w:line="360" w:lineRule="auto"/>
        <w:ind w:firstLine="420" w:firstLineChars="200"/>
        <w:rPr>
          <w:szCs w:val="21"/>
        </w:rPr>
      </w:pPr>
      <w:r>
        <w:rPr>
          <w:rFonts w:hint="eastAsia"/>
          <w:szCs w:val="21"/>
        </w:rPr>
        <w:t>课程考核方式包括期末考核、平时情况考核和实践项目考核等。期末考核采用机考（闭卷）形式。</w:t>
      </w:r>
    </w:p>
    <w:p w14:paraId="6936AA98">
      <w:pPr>
        <w:spacing w:line="360" w:lineRule="auto"/>
        <w:ind w:firstLine="420" w:firstLineChars="200"/>
        <w:rPr>
          <w:szCs w:val="21"/>
        </w:rPr>
      </w:pPr>
      <w:r>
        <w:rPr>
          <w:rFonts w:hint="eastAsia"/>
          <w:szCs w:val="21"/>
        </w:rPr>
        <w:t>（二）总评成绩评定方法</w:t>
      </w:r>
    </w:p>
    <w:p w14:paraId="713B7C15">
      <w:pPr>
        <w:spacing w:line="360" w:lineRule="auto"/>
        <w:ind w:firstLine="420" w:firstLineChars="200"/>
        <w:rPr>
          <w:rFonts w:eastAsia="宋体"/>
          <w:szCs w:val="21"/>
        </w:rPr>
      </w:pPr>
      <w:r>
        <w:rPr>
          <w:rFonts w:hint="eastAsia"/>
          <w:szCs w:val="21"/>
        </w:rPr>
        <w:t>课程总评成绩=平时成绩×40%+实践成绩×10%+期末成绩×50%。平时成绩考核/评价环节及其权重可结合班级的实际情况和具体教学实践适度调整。</w:t>
      </w:r>
    </w:p>
    <w:p w14:paraId="12141CEE">
      <w:pPr>
        <w:spacing w:line="360" w:lineRule="auto"/>
        <w:ind w:firstLine="420" w:firstLineChars="200"/>
        <w:rPr>
          <w:szCs w:val="21"/>
        </w:rPr>
      </w:pPr>
      <w:r>
        <w:rPr>
          <w:rFonts w:hint="eastAsia"/>
          <w:szCs w:val="21"/>
        </w:rPr>
        <w:t>具体内容、比例和评价参考标准如表</w:t>
      </w:r>
      <w:r>
        <w:rPr>
          <w:szCs w:val="21"/>
        </w:rPr>
        <w:t>5</w:t>
      </w:r>
      <w:r>
        <w:rPr>
          <w:rFonts w:hint="eastAsia"/>
          <w:szCs w:val="21"/>
        </w:rPr>
        <w:t>所示。</w:t>
      </w:r>
    </w:p>
    <w:p w14:paraId="28A68E22">
      <w:pPr>
        <w:spacing w:line="360" w:lineRule="auto"/>
        <w:ind w:firstLine="420" w:firstLineChars="200"/>
        <w:jc w:val="center"/>
        <w:rPr>
          <w:szCs w:val="21"/>
        </w:rPr>
      </w:pPr>
      <w:r>
        <w:rPr>
          <w:rFonts w:hint="eastAsia"/>
          <w:szCs w:val="21"/>
        </w:rPr>
        <w:t>表</w:t>
      </w:r>
      <w:r>
        <w:rPr>
          <w:szCs w:val="21"/>
        </w:rPr>
        <w:t xml:space="preserve">4  </w:t>
      </w:r>
      <w:r>
        <w:rPr>
          <w:rFonts w:hint="eastAsia"/>
          <w:szCs w:val="21"/>
        </w:rPr>
        <w:t>考核总评成绩组成及评价细则表</w:t>
      </w:r>
    </w:p>
    <w:tbl>
      <w:tblPr>
        <w:tblStyle w:val="11"/>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54548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shd w:val="clear" w:color="auto" w:fill="FFFFFF"/>
            <w:tcMar>
              <w:left w:w="57" w:type="dxa"/>
              <w:right w:w="57" w:type="dxa"/>
            </w:tcMar>
            <w:vAlign w:val="center"/>
          </w:tcPr>
          <w:p w14:paraId="18A7869F">
            <w:pPr>
              <w:pStyle w:val="30"/>
              <w:snapToGrid w:val="0"/>
              <w:jc w:val="center"/>
              <w:rPr>
                <w:rFonts w:eastAsia="宋体"/>
                <w:b/>
                <w:bCs/>
                <w:szCs w:val="21"/>
              </w:rPr>
            </w:pPr>
            <w:r>
              <w:rPr>
                <w:rFonts w:eastAsia="宋体"/>
                <w:b/>
                <w:bCs/>
                <w:szCs w:val="21"/>
              </w:rPr>
              <w:t>成绩组成</w:t>
            </w:r>
          </w:p>
        </w:tc>
        <w:tc>
          <w:tcPr>
            <w:tcW w:w="1590" w:type="dxa"/>
            <w:shd w:val="clear" w:color="auto" w:fill="FFFFFF"/>
            <w:vAlign w:val="center"/>
          </w:tcPr>
          <w:p w14:paraId="6DE43430">
            <w:pPr>
              <w:pStyle w:val="30"/>
              <w:snapToGrid w:val="0"/>
              <w:jc w:val="center"/>
              <w:rPr>
                <w:rFonts w:eastAsia="宋体"/>
                <w:b/>
                <w:bCs/>
                <w:szCs w:val="21"/>
              </w:rPr>
            </w:pPr>
            <w:r>
              <w:rPr>
                <w:rFonts w:eastAsia="宋体"/>
                <w:b/>
                <w:bCs/>
                <w:szCs w:val="21"/>
              </w:rPr>
              <w:t>考核/评价环节</w:t>
            </w:r>
          </w:p>
        </w:tc>
        <w:tc>
          <w:tcPr>
            <w:tcW w:w="1276" w:type="dxa"/>
            <w:shd w:val="clear" w:color="auto" w:fill="FFFFFF"/>
            <w:vAlign w:val="center"/>
          </w:tcPr>
          <w:p w14:paraId="66B2F8A4">
            <w:pPr>
              <w:pStyle w:val="30"/>
              <w:snapToGrid w:val="0"/>
              <w:jc w:val="center"/>
              <w:rPr>
                <w:rFonts w:eastAsia="宋体"/>
                <w:b/>
                <w:bCs/>
                <w:szCs w:val="21"/>
              </w:rPr>
            </w:pPr>
            <w:r>
              <w:rPr>
                <w:rFonts w:hint="eastAsia" w:eastAsia="宋体"/>
                <w:b/>
                <w:bCs/>
                <w:szCs w:val="21"/>
              </w:rPr>
              <w:t>权重</w:t>
            </w:r>
          </w:p>
        </w:tc>
        <w:tc>
          <w:tcPr>
            <w:tcW w:w="5037" w:type="dxa"/>
            <w:shd w:val="clear" w:color="auto" w:fill="FFFFFF"/>
            <w:vAlign w:val="center"/>
          </w:tcPr>
          <w:p w14:paraId="7AF9984C">
            <w:pPr>
              <w:pStyle w:val="30"/>
              <w:snapToGrid w:val="0"/>
              <w:jc w:val="center"/>
              <w:rPr>
                <w:rFonts w:eastAsia="宋体"/>
                <w:b/>
                <w:bCs/>
                <w:szCs w:val="21"/>
              </w:rPr>
            </w:pPr>
            <w:r>
              <w:rPr>
                <w:rFonts w:eastAsia="宋体"/>
                <w:b/>
                <w:bCs/>
                <w:szCs w:val="21"/>
              </w:rPr>
              <w:t>考核/评价细则</w:t>
            </w:r>
          </w:p>
        </w:tc>
      </w:tr>
      <w:tr w14:paraId="34DD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restart"/>
            <w:tcMar>
              <w:left w:w="57" w:type="dxa"/>
              <w:right w:w="57" w:type="dxa"/>
            </w:tcMar>
            <w:vAlign w:val="center"/>
          </w:tcPr>
          <w:p w14:paraId="4A63897B">
            <w:pPr>
              <w:pStyle w:val="30"/>
              <w:snapToGrid w:val="0"/>
              <w:jc w:val="center"/>
              <w:rPr>
                <w:rFonts w:eastAsia="宋体"/>
                <w:szCs w:val="21"/>
              </w:rPr>
            </w:pPr>
            <w:r>
              <w:rPr>
                <w:rFonts w:eastAsia="宋体"/>
                <w:szCs w:val="21"/>
              </w:rPr>
              <w:t>平时成绩</w:t>
            </w:r>
          </w:p>
        </w:tc>
        <w:tc>
          <w:tcPr>
            <w:tcW w:w="1590" w:type="dxa"/>
            <w:vAlign w:val="center"/>
          </w:tcPr>
          <w:p w14:paraId="679E2187">
            <w:pPr>
              <w:pStyle w:val="30"/>
              <w:snapToGrid w:val="0"/>
              <w:jc w:val="center"/>
              <w:rPr>
                <w:rFonts w:eastAsia="宋体"/>
                <w:szCs w:val="21"/>
              </w:rPr>
            </w:pPr>
            <w:r>
              <w:rPr>
                <w:rFonts w:hint="eastAsia" w:eastAsia="宋体"/>
                <w:szCs w:val="21"/>
              </w:rPr>
              <w:t>平时表现</w:t>
            </w:r>
          </w:p>
        </w:tc>
        <w:tc>
          <w:tcPr>
            <w:tcW w:w="1276" w:type="dxa"/>
            <w:vAlign w:val="center"/>
          </w:tcPr>
          <w:p w14:paraId="38791CD3">
            <w:pPr>
              <w:pStyle w:val="30"/>
              <w:snapToGrid w:val="0"/>
              <w:jc w:val="center"/>
              <w:rPr>
                <w:rFonts w:eastAsia="宋体"/>
                <w:szCs w:val="21"/>
              </w:rPr>
            </w:pPr>
            <w:r>
              <w:rPr>
                <w:rFonts w:hint="eastAsia" w:eastAsia="宋体"/>
                <w:szCs w:val="21"/>
              </w:rPr>
              <w:t>15%</w:t>
            </w:r>
          </w:p>
        </w:tc>
        <w:tc>
          <w:tcPr>
            <w:tcW w:w="5037" w:type="dxa"/>
            <w:vAlign w:val="center"/>
          </w:tcPr>
          <w:p w14:paraId="195389E5">
            <w:pPr>
              <w:pStyle w:val="30"/>
              <w:snapToGrid w:val="0"/>
              <w:jc w:val="left"/>
              <w:rPr>
                <w:rFonts w:eastAsia="宋体"/>
                <w:szCs w:val="21"/>
              </w:rPr>
            </w:pPr>
            <w:r>
              <w:rPr>
                <w:rFonts w:hint="eastAsia" w:ascii="宋体" w:hAnsi="宋体" w:eastAsia="宋体" w:cs="宋体"/>
                <w:szCs w:val="21"/>
              </w:rPr>
              <w:t>根据学生的学习态度、学习任务完成情况单独评分，学习任务包括但不限于课堂回答、小组活动、个人展示等，满分100分。</w:t>
            </w:r>
          </w:p>
        </w:tc>
      </w:tr>
      <w:tr w14:paraId="13D2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tcMar>
              <w:left w:w="57" w:type="dxa"/>
              <w:right w:w="57" w:type="dxa"/>
            </w:tcMar>
            <w:vAlign w:val="center"/>
          </w:tcPr>
          <w:p w14:paraId="3D4EE29E">
            <w:pPr>
              <w:pStyle w:val="30"/>
              <w:snapToGrid w:val="0"/>
              <w:jc w:val="center"/>
              <w:rPr>
                <w:rFonts w:eastAsia="宋体"/>
                <w:szCs w:val="21"/>
              </w:rPr>
            </w:pPr>
          </w:p>
        </w:tc>
        <w:tc>
          <w:tcPr>
            <w:tcW w:w="1590" w:type="dxa"/>
            <w:vAlign w:val="center"/>
          </w:tcPr>
          <w:p w14:paraId="1658AA15">
            <w:pPr>
              <w:pStyle w:val="30"/>
              <w:snapToGrid w:val="0"/>
              <w:jc w:val="center"/>
              <w:rPr>
                <w:rFonts w:eastAsia="宋体"/>
                <w:szCs w:val="21"/>
              </w:rPr>
            </w:pPr>
            <w:r>
              <w:rPr>
                <w:rFonts w:hint="eastAsia" w:eastAsia="宋体"/>
                <w:szCs w:val="21"/>
              </w:rPr>
              <w:t>作业、测试</w:t>
            </w:r>
          </w:p>
        </w:tc>
        <w:tc>
          <w:tcPr>
            <w:tcW w:w="1276" w:type="dxa"/>
            <w:vAlign w:val="center"/>
          </w:tcPr>
          <w:p w14:paraId="6281A392">
            <w:pPr>
              <w:pStyle w:val="30"/>
              <w:snapToGrid w:val="0"/>
              <w:jc w:val="center"/>
              <w:rPr>
                <w:rFonts w:eastAsia="宋体"/>
                <w:szCs w:val="21"/>
              </w:rPr>
            </w:pPr>
            <w:r>
              <w:rPr>
                <w:rFonts w:hint="eastAsia" w:eastAsia="宋体"/>
                <w:szCs w:val="21"/>
              </w:rPr>
              <w:t>15%</w:t>
            </w:r>
          </w:p>
        </w:tc>
        <w:tc>
          <w:tcPr>
            <w:tcW w:w="5037" w:type="dxa"/>
            <w:vAlign w:val="center"/>
          </w:tcPr>
          <w:p w14:paraId="226CFDDE">
            <w:pPr>
              <w:pStyle w:val="30"/>
              <w:snapToGrid w:val="0"/>
              <w:rPr>
                <w:rFonts w:eastAsia="宋体"/>
                <w:szCs w:val="21"/>
              </w:rPr>
            </w:pPr>
            <w:r>
              <w:rPr>
                <w:rFonts w:hint="eastAsia" w:eastAsia="宋体"/>
                <w:szCs w:val="21"/>
              </w:rPr>
              <w:t>（1）考核学生对单元知识点的学习、理解和应用，满分100分。</w:t>
            </w:r>
          </w:p>
          <w:p w14:paraId="4A5401B8">
            <w:pPr>
              <w:pStyle w:val="30"/>
              <w:snapToGrid w:val="0"/>
              <w:rPr>
                <w:rFonts w:eastAsia="宋体"/>
                <w:szCs w:val="21"/>
              </w:rPr>
            </w:pPr>
            <w:r>
              <w:rPr>
                <w:rFonts w:hint="eastAsia" w:eastAsia="宋体"/>
                <w:szCs w:val="21"/>
              </w:rPr>
              <w:t>（2）每次作业、测试单独评分，取各次成绩的平均值作为本环节的最终成绩。</w:t>
            </w:r>
          </w:p>
        </w:tc>
      </w:tr>
      <w:tr w14:paraId="2ED6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tcMar>
              <w:left w:w="57" w:type="dxa"/>
              <w:right w:w="57" w:type="dxa"/>
            </w:tcMar>
            <w:vAlign w:val="center"/>
          </w:tcPr>
          <w:p w14:paraId="176ADD71">
            <w:pPr>
              <w:pStyle w:val="30"/>
              <w:snapToGrid w:val="0"/>
              <w:jc w:val="center"/>
              <w:rPr>
                <w:rFonts w:eastAsia="宋体"/>
                <w:szCs w:val="21"/>
              </w:rPr>
            </w:pPr>
          </w:p>
        </w:tc>
        <w:tc>
          <w:tcPr>
            <w:tcW w:w="1590" w:type="dxa"/>
            <w:vAlign w:val="center"/>
          </w:tcPr>
          <w:p w14:paraId="79BDE96D">
            <w:pPr>
              <w:pStyle w:val="30"/>
              <w:snapToGrid w:val="0"/>
              <w:jc w:val="center"/>
              <w:rPr>
                <w:rFonts w:eastAsia="宋体"/>
                <w:szCs w:val="21"/>
              </w:rPr>
            </w:pPr>
            <w:r>
              <w:rPr>
                <w:rFonts w:hint="eastAsia" w:eastAsia="宋体"/>
                <w:szCs w:val="21"/>
              </w:rPr>
              <w:t>自主学习</w:t>
            </w:r>
          </w:p>
        </w:tc>
        <w:tc>
          <w:tcPr>
            <w:tcW w:w="1276" w:type="dxa"/>
            <w:vAlign w:val="center"/>
          </w:tcPr>
          <w:p w14:paraId="05B0EF57">
            <w:pPr>
              <w:pStyle w:val="30"/>
              <w:snapToGrid w:val="0"/>
              <w:jc w:val="center"/>
              <w:rPr>
                <w:rFonts w:eastAsia="宋体"/>
                <w:szCs w:val="21"/>
              </w:rPr>
            </w:pPr>
            <w:r>
              <w:rPr>
                <w:rFonts w:hint="eastAsia" w:eastAsia="宋体"/>
                <w:szCs w:val="21"/>
              </w:rPr>
              <w:t>10%</w:t>
            </w:r>
          </w:p>
        </w:tc>
        <w:tc>
          <w:tcPr>
            <w:tcW w:w="5037" w:type="dxa"/>
            <w:vAlign w:val="center"/>
          </w:tcPr>
          <w:p w14:paraId="6FDA9014">
            <w:pPr>
              <w:pStyle w:val="30"/>
              <w:snapToGrid w:val="0"/>
              <w:rPr>
                <w:rFonts w:eastAsia="宋体"/>
                <w:szCs w:val="21"/>
              </w:rPr>
            </w:pPr>
            <w:r>
              <w:rPr>
                <w:rFonts w:hint="eastAsia" w:eastAsia="宋体"/>
                <w:szCs w:val="21"/>
              </w:rPr>
              <w:t>根据学生自主学习任务完成情况单独评分，学习任务包括但不限于单元任务点、自主学习单元完成情况、讨论回复等，满分100分。</w:t>
            </w:r>
          </w:p>
        </w:tc>
      </w:tr>
      <w:tr w14:paraId="2DF3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vMerge w:val="continue"/>
            <w:tcMar>
              <w:left w:w="57" w:type="dxa"/>
              <w:right w:w="57" w:type="dxa"/>
            </w:tcMar>
            <w:vAlign w:val="center"/>
          </w:tcPr>
          <w:p w14:paraId="6D7A2E82">
            <w:pPr>
              <w:pStyle w:val="30"/>
              <w:snapToGrid w:val="0"/>
              <w:jc w:val="center"/>
              <w:rPr>
                <w:rFonts w:eastAsia="宋体"/>
                <w:szCs w:val="21"/>
              </w:rPr>
            </w:pPr>
          </w:p>
        </w:tc>
        <w:tc>
          <w:tcPr>
            <w:tcW w:w="1590" w:type="dxa"/>
            <w:vAlign w:val="center"/>
          </w:tcPr>
          <w:p w14:paraId="035733C1">
            <w:pPr>
              <w:pStyle w:val="30"/>
              <w:snapToGrid w:val="0"/>
              <w:jc w:val="center"/>
              <w:rPr>
                <w:rFonts w:eastAsia="宋体"/>
                <w:szCs w:val="21"/>
              </w:rPr>
            </w:pPr>
            <w:r>
              <w:rPr>
                <w:rFonts w:hint="eastAsia" w:eastAsia="宋体"/>
                <w:szCs w:val="21"/>
              </w:rPr>
              <w:t>第二课堂</w:t>
            </w:r>
          </w:p>
        </w:tc>
        <w:tc>
          <w:tcPr>
            <w:tcW w:w="1276" w:type="dxa"/>
            <w:vAlign w:val="center"/>
          </w:tcPr>
          <w:p w14:paraId="436936C6">
            <w:pPr>
              <w:pStyle w:val="30"/>
              <w:snapToGrid w:val="0"/>
              <w:jc w:val="center"/>
              <w:rPr>
                <w:rFonts w:eastAsia="宋体"/>
                <w:szCs w:val="21"/>
              </w:rPr>
            </w:pPr>
          </w:p>
        </w:tc>
        <w:tc>
          <w:tcPr>
            <w:tcW w:w="5037" w:type="dxa"/>
            <w:vAlign w:val="center"/>
          </w:tcPr>
          <w:p w14:paraId="36672498">
            <w:pPr>
              <w:pStyle w:val="30"/>
              <w:snapToGrid w:val="0"/>
              <w:rPr>
                <w:rFonts w:eastAsia="宋体"/>
                <w:szCs w:val="21"/>
              </w:rPr>
            </w:pPr>
            <w:r>
              <w:rPr>
                <w:rFonts w:hint="eastAsia" w:eastAsia="宋体"/>
                <w:color w:val="000000"/>
                <w:szCs w:val="21"/>
              </w:rPr>
              <w:t>根据参赛项目和获奖情况按赛事级别，给积极参与英语类竞赛的学生适当加分，原则上本环节加分不超过10分、平时成绩总分不超过100分。</w:t>
            </w:r>
          </w:p>
        </w:tc>
      </w:tr>
      <w:tr w14:paraId="1279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tcMar>
              <w:left w:w="57" w:type="dxa"/>
              <w:right w:w="57" w:type="dxa"/>
            </w:tcMar>
            <w:vAlign w:val="center"/>
          </w:tcPr>
          <w:p w14:paraId="7839A058">
            <w:pPr>
              <w:pStyle w:val="30"/>
              <w:snapToGrid w:val="0"/>
              <w:jc w:val="center"/>
              <w:rPr>
                <w:rFonts w:eastAsia="宋体"/>
                <w:szCs w:val="21"/>
              </w:rPr>
            </w:pPr>
            <w:r>
              <w:rPr>
                <w:rFonts w:hint="eastAsia" w:eastAsia="宋体"/>
                <w:szCs w:val="21"/>
              </w:rPr>
              <w:t>课内实践</w:t>
            </w:r>
          </w:p>
        </w:tc>
        <w:tc>
          <w:tcPr>
            <w:tcW w:w="1590" w:type="dxa"/>
            <w:vAlign w:val="center"/>
          </w:tcPr>
          <w:p w14:paraId="55C948AD">
            <w:pPr>
              <w:pStyle w:val="30"/>
              <w:snapToGrid w:val="0"/>
              <w:jc w:val="center"/>
              <w:rPr>
                <w:rFonts w:eastAsia="宋体"/>
                <w:szCs w:val="21"/>
              </w:rPr>
            </w:pPr>
            <w:r>
              <w:rPr>
                <w:rFonts w:hint="eastAsia" w:eastAsia="宋体"/>
                <w:szCs w:val="21"/>
              </w:rPr>
              <w:t>实践项目成绩</w:t>
            </w:r>
          </w:p>
        </w:tc>
        <w:tc>
          <w:tcPr>
            <w:tcW w:w="1276" w:type="dxa"/>
            <w:vAlign w:val="center"/>
          </w:tcPr>
          <w:p w14:paraId="25F606AA">
            <w:pPr>
              <w:pStyle w:val="30"/>
              <w:snapToGrid w:val="0"/>
              <w:jc w:val="center"/>
              <w:rPr>
                <w:rFonts w:eastAsia="宋体"/>
                <w:szCs w:val="21"/>
              </w:rPr>
            </w:pPr>
            <w:r>
              <w:rPr>
                <w:rFonts w:hint="eastAsia" w:eastAsia="宋体"/>
                <w:szCs w:val="21"/>
              </w:rPr>
              <w:t>10%</w:t>
            </w:r>
          </w:p>
        </w:tc>
        <w:tc>
          <w:tcPr>
            <w:tcW w:w="5037" w:type="dxa"/>
            <w:vAlign w:val="center"/>
          </w:tcPr>
          <w:p w14:paraId="6A6A7E39">
            <w:pPr>
              <w:pStyle w:val="30"/>
              <w:snapToGrid w:val="0"/>
              <w:rPr>
                <w:rFonts w:eastAsia="宋体"/>
                <w:szCs w:val="21"/>
              </w:rPr>
            </w:pPr>
          </w:p>
        </w:tc>
      </w:tr>
      <w:tr w14:paraId="0E69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1019" w:type="dxa"/>
            <w:tcMar>
              <w:left w:w="57" w:type="dxa"/>
              <w:right w:w="57" w:type="dxa"/>
            </w:tcMar>
            <w:vAlign w:val="center"/>
          </w:tcPr>
          <w:p w14:paraId="50E8A5EC">
            <w:pPr>
              <w:pStyle w:val="30"/>
              <w:snapToGrid w:val="0"/>
              <w:jc w:val="center"/>
              <w:rPr>
                <w:rFonts w:ascii="Times New Roman" w:hAnsi="Times New Roman" w:eastAsia="宋体" w:cs="Times New Roman"/>
                <w:szCs w:val="21"/>
              </w:rPr>
            </w:pPr>
            <w:r>
              <w:rPr>
                <w:rFonts w:eastAsia="宋体"/>
                <w:szCs w:val="21"/>
              </w:rPr>
              <w:t>期末考试</w:t>
            </w:r>
          </w:p>
        </w:tc>
        <w:tc>
          <w:tcPr>
            <w:tcW w:w="1590" w:type="dxa"/>
            <w:vAlign w:val="center"/>
          </w:tcPr>
          <w:p w14:paraId="08323278">
            <w:pPr>
              <w:pStyle w:val="30"/>
              <w:snapToGrid w:val="0"/>
              <w:jc w:val="center"/>
              <w:rPr>
                <w:rFonts w:eastAsia="宋体"/>
                <w:szCs w:val="21"/>
              </w:rPr>
            </w:pPr>
            <w:r>
              <w:rPr>
                <w:rFonts w:eastAsia="宋体"/>
                <w:szCs w:val="21"/>
              </w:rPr>
              <w:t>期末考试</w:t>
            </w:r>
          </w:p>
          <w:p w14:paraId="08C6D002">
            <w:pPr>
              <w:pStyle w:val="30"/>
              <w:snapToGrid w:val="0"/>
              <w:jc w:val="center"/>
              <w:rPr>
                <w:rFonts w:ascii="Times New Roman" w:hAnsi="Times New Roman" w:eastAsia="宋体" w:cs="Times New Roman"/>
                <w:szCs w:val="21"/>
              </w:rPr>
            </w:pPr>
            <w:r>
              <w:rPr>
                <w:rFonts w:hint="eastAsia" w:eastAsia="宋体"/>
                <w:szCs w:val="21"/>
              </w:rPr>
              <w:t>卷面</w:t>
            </w:r>
            <w:r>
              <w:rPr>
                <w:rFonts w:eastAsia="宋体"/>
                <w:szCs w:val="21"/>
              </w:rPr>
              <w:t>成绩</w:t>
            </w:r>
          </w:p>
        </w:tc>
        <w:tc>
          <w:tcPr>
            <w:tcW w:w="1276" w:type="dxa"/>
            <w:vAlign w:val="center"/>
          </w:tcPr>
          <w:p w14:paraId="4E2688DC">
            <w:pPr>
              <w:pStyle w:val="30"/>
              <w:snapToGrid w:val="0"/>
              <w:jc w:val="center"/>
              <w:rPr>
                <w:rFonts w:ascii="Times New Roman" w:hAnsi="Times New Roman" w:eastAsia="宋体" w:cs="Times New Roman"/>
                <w:szCs w:val="21"/>
              </w:rPr>
            </w:pPr>
            <w:r>
              <w:rPr>
                <w:rFonts w:hint="eastAsia" w:eastAsia="宋体"/>
                <w:szCs w:val="21"/>
              </w:rPr>
              <w:t>50%</w:t>
            </w:r>
          </w:p>
        </w:tc>
        <w:tc>
          <w:tcPr>
            <w:tcW w:w="5037" w:type="dxa"/>
            <w:vAlign w:val="center"/>
          </w:tcPr>
          <w:p w14:paraId="375D393D">
            <w:pPr>
              <w:pStyle w:val="30"/>
              <w:snapToGrid w:val="0"/>
              <w:rPr>
                <w:rFonts w:ascii="Times New Roman" w:hAnsi="Times New Roman" w:eastAsia="宋体" w:cs="Times New Roman"/>
                <w:szCs w:val="21"/>
              </w:rPr>
            </w:pPr>
            <w:r>
              <w:rPr>
                <w:rFonts w:hint="eastAsia" w:eastAsia="宋体"/>
                <w:szCs w:val="21"/>
              </w:rPr>
              <w:t>期末考试试题由大学英语教学部统一命题并建立试题库，题型包括听力理解、词汇与结构、快速阅读、选词填空、阅读理解、写作等（每次考核可能题型不同，以当次考核题型为准），计入期考成绩；卷面满分100分。</w:t>
            </w:r>
          </w:p>
        </w:tc>
      </w:tr>
    </w:tbl>
    <w:p w14:paraId="053BF8C0">
      <w:pPr>
        <w:snapToGrid w:val="0"/>
        <w:spacing w:line="360" w:lineRule="auto"/>
        <w:ind w:firstLine="420" w:firstLineChars="200"/>
        <w:rPr>
          <w:szCs w:val="21"/>
        </w:rPr>
      </w:pPr>
      <w:r>
        <w:rPr>
          <w:szCs w:val="21"/>
        </w:rPr>
        <w:t>（三）</w:t>
      </w:r>
      <w:r>
        <w:rPr>
          <w:rFonts w:hint="eastAsia"/>
          <w:szCs w:val="21"/>
        </w:rPr>
        <w:t>课程目标考核说明</w:t>
      </w:r>
    </w:p>
    <w:p w14:paraId="68C282FD">
      <w:pPr>
        <w:snapToGrid w:val="0"/>
        <w:spacing w:line="360" w:lineRule="auto"/>
        <w:ind w:firstLine="420" w:firstLineChars="200"/>
        <w:rPr>
          <w:szCs w:val="21"/>
        </w:rPr>
      </w:pPr>
      <w:r>
        <w:rPr>
          <w:rFonts w:hint="eastAsia"/>
          <w:szCs w:val="21"/>
        </w:rPr>
        <w:t>为能够证明学生本课程考核成绩合格，即可达到课程教学目标的要求，制定《课程教学目标考核方案一览表》，如表</w:t>
      </w:r>
      <w:r>
        <w:rPr>
          <w:szCs w:val="21"/>
        </w:rPr>
        <w:t>5</w:t>
      </w:r>
      <w:r>
        <w:rPr>
          <w:rFonts w:hint="eastAsia"/>
          <w:szCs w:val="21"/>
        </w:rPr>
        <w:t>所示。</w:t>
      </w:r>
    </w:p>
    <w:p w14:paraId="09280851">
      <w:pPr>
        <w:adjustRightInd w:val="0"/>
        <w:snapToGrid w:val="0"/>
        <w:spacing w:line="360" w:lineRule="auto"/>
        <w:ind w:left="596" w:hanging="596"/>
        <w:jc w:val="center"/>
        <w:rPr>
          <w:color w:val="000000"/>
          <w:szCs w:val="21"/>
        </w:rPr>
      </w:pPr>
      <w:r>
        <w:rPr>
          <w:color w:val="000000"/>
          <w:szCs w:val="21"/>
        </w:rPr>
        <w:t>表5  课程目标考核方案一览表</w:t>
      </w:r>
    </w:p>
    <w:tbl>
      <w:tblPr>
        <w:tblStyle w:val="11"/>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863"/>
        <w:gridCol w:w="2174"/>
        <w:gridCol w:w="3601"/>
      </w:tblGrid>
      <w:tr w14:paraId="4E8D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9" w:hRule="atLeast"/>
          <w:jc w:val="center"/>
        </w:trPr>
        <w:tc>
          <w:tcPr>
            <w:tcW w:w="1525" w:type="dxa"/>
            <w:tcBorders>
              <w:top w:val="single" w:color="auto" w:sz="4" w:space="0"/>
              <w:left w:val="single" w:color="auto" w:sz="4" w:space="0"/>
              <w:bottom w:val="single" w:color="auto" w:sz="4" w:space="0"/>
              <w:right w:val="single" w:color="auto" w:sz="4" w:space="0"/>
            </w:tcBorders>
            <w:shd w:val="clear" w:color="auto" w:fill="FFFFFF"/>
            <w:vAlign w:val="center"/>
          </w:tcPr>
          <w:p w14:paraId="5FD3CE2F">
            <w:pPr>
              <w:adjustRightInd w:val="0"/>
              <w:snapToGrid w:val="0"/>
              <w:jc w:val="center"/>
              <w:rPr>
                <w:b/>
                <w:bCs/>
                <w:color w:val="000000"/>
                <w:szCs w:val="21"/>
              </w:rPr>
            </w:pPr>
            <w:r>
              <w:rPr>
                <w:b/>
                <w:bCs/>
                <w:color w:val="000000"/>
                <w:szCs w:val="21"/>
              </w:rPr>
              <w:t>课程</w:t>
            </w:r>
            <w:r>
              <w:rPr>
                <w:rFonts w:hint="eastAsia"/>
                <w:b/>
                <w:bCs/>
                <w:color w:val="000000"/>
                <w:szCs w:val="21"/>
              </w:rPr>
              <w:t>教学</w:t>
            </w:r>
            <w:r>
              <w:rPr>
                <w:b/>
                <w:bCs/>
                <w:color w:val="000000"/>
                <w:szCs w:val="21"/>
              </w:rPr>
              <w:t>目标</w:t>
            </w:r>
          </w:p>
        </w:tc>
        <w:tc>
          <w:tcPr>
            <w:tcW w:w="1863" w:type="dxa"/>
            <w:tcBorders>
              <w:top w:val="single" w:color="auto" w:sz="4" w:space="0"/>
              <w:left w:val="single" w:color="auto" w:sz="4" w:space="0"/>
              <w:bottom w:val="single" w:color="auto" w:sz="4" w:space="0"/>
              <w:right w:val="single" w:color="auto" w:sz="4" w:space="0"/>
            </w:tcBorders>
            <w:shd w:val="clear" w:color="auto" w:fill="FFFFFF"/>
            <w:vAlign w:val="center"/>
          </w:tcPr>
          <w:p w14:paraId="5B99DB35">
            <w:pPr>
              <w:adjustRightInd w:val="0"/>
              <w:snapToGrid w:val="0"/>
              <w:jc w:val="center"/>
              <w:rPr>
                <w:b/>
                <w:bCs/>
                <w:color w:val="000000"/>
                <w:szCs w:val="21"/>
              </w:rPr>
            </w:pPr>
            <w:r>
              <w:rPr>
                <w:b/>
                <w:bCs/>
                <w:color w:val="000000"/>
                <w:szCs w:val="21"/>
              </w:rPr>
              <w:t>考核内容</w:t>
            </w:r>
          </w:p>
        </w:tc>
        <w:tc>
          <w:tcPr>
            <w:tcW w:w="2174" w:type="dxa"/>
            <w:tcBorders>
              <w:top w:val="single" w:color="auto" w:sz="4" w:space="0"/>
              <w:left w:val="single" w:color="auto" w:sz="4" w:space="0"/>
              <w:bottom w:val="single" w:color="auto" w:sz="4" w:space="0"/>
              <w:right w:val="single" w:color="auto" w:sz="4" w:space="0"/>
            </w:tcBorders>
            <w:shd w:val="clear" w:color="auto" w:fill="FFFFFF"/>
            <w:vAlign w:val="center"/>
          </w:tcPr>
          <w:p w14:paraId="387B5CF1">
            <w:pPr>
              <w:adjustRightInd w:val="0"/>
              <w:snapToGrid w:val="0"/>
              <w:jc w:val="center"/>
              <w:rPr>
                <w:b/>
                <w:bCs/>
                <w:color w:val="000000"/>
                <w:szCs w:val="21"/>
              </w:rPr>
            </w:pPr>
            <w:r>
              <w:rPr>
                <w:b/>
                <w:bCs/>
                <w:color w:val="000000"/>
                <w:szCs w:val="21"/>
              </w:rPr>
              <w:t>考核形式</w:t>
            </w:r>
          </w:p>
        </w:tc>
        <w:tc>
          <w:tcPr>
            <w:tcW w:w="3601" w:type="dxa"/>
            <w:tcBorders>
              <w:top w:val="single" w:color="auto" w:sz="4" w:space="0"/>
              <w:left w:val="single" w:color="auto" w:sz="4" w:space="0"/>
              <w:bottom w:val="single" w:color="auto" w:sz="4" w:space="0"/>
              <w:right w:val="single" w:color="auto" w:sz="4" w:space="0"/>
            </w:tcBorders>
            <w:shd w:val="clear" w:color="auto" w:fill="FFFFFF"/>
            <w:vAlign w:val="center"/>
          </w:tcPr>
          <w:p w14:paraId="6FA95779">
            <w:pPr>
              <w:adjustRightInd w:val="0"/>
              <w:snapToGrid w:val="0"/>
              <w:jc w:val="center"/>
              <w:rPr>
                <w:b/>
                <w:bCs/>
                <w:color w:val="000000"/>
                <w:szCs w:val="21"/>
              </w:rPr>
            </w:pPr>
            <w:r>
              <w:rPr>
                <w:b/>
                <w:bCs/>
                <w:color w:val="000000"/>
                <w:szCs w:val="21"/>
              </w:rPr>
              <w:t>考核原始材料（说明：试卷、作业、实验报告、技术报告、过程记录、实习总结等，纸质或电子稿）</w:t>
            </w:r>
          </w:p>
        </w:tc>
      </w:tr>
      <w:tr w14:paraId="36CE2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1525" w:type="dxa"/>
            <w:tcBorders>
              <w:top w:val="single" w:color="auto" w:sz="4" w:space="0"/>
              <w:left w:val="single" w:color="auto" w:sz="4" w:space="0"/>
              <w:right w:val="single" w:color="auto" w:sz="4" w:space="0"/>
            </w:tcBorders>
            <w:vAlign w:val="center"/>
          </w:tcPr>
          <w:p w14:paraId="2E14A5DA">
            <w:pPr>
              <w:adjustRightInd w:val="0"/>
              <w:snapToGrid w:val="0"/>
              <w:jc w:val="center"/>
              <w:rPr>
                <w:rFonts w:eastAsia="宋体"/>
                <w:color w:val="000000"/>
                <w:szCs w:val="21"/>
              </w:rPr>
            </w:pPr>
            <w:r>
              <w:rPr>
                <w:color w:val="000000"/>
                <w:szCs w:val="21"/>
              </w:rPr>
              <w:t>目标1</w:t>
            </w:r>
            <w:r>
              <w:rPr>
                <w:rFonts w:hint="eastAsia"/>
                <w:color w:val="000000"/>
                <w:szCs w:val="21"/>
              </w:rPr>
              <w:t>/2</w:t>
            </w:r>
          </w:p>
        </w:tc>
        <w:tc>
          <w:tcPr>
            <w:tcW w:w="1863" w:type="dxa"/>
            <w:tcBorders>
              <w:top w:val="single" w:color="auto" w:sz="4" w:space="0"/>
              <w:left w:val="single" w:color="auto" w:sz="4" w:space="0"/>
              <w:right w:val="single" w:color="auto" w:sz="4" w:space="0"/>
            </w:tcBorders>
            <w:vAlign w:val="center"/>
          </w:tcPr>
          <w:p w14:paraId="692B5C2F">
            <w:pPr>
              <w:adjustRightInd w:val="0"/>
              <w:snapToGrid w:val="0"/>
              <w:jc w:val="center"/>
              <w:rPr>
                <w:rFonts w:eastAsia="宋体"/>
                <w:szCs w:val="21"/>
              </w:rPr>
            </w:pPr>
            <w:r>
              <w:rPr>
                <w:rFonts w:hint="eastAsia" w:eastAsia="宋体"/>
                <w:szCs w:val="21"/>
              </w:rPr>
              <w:t>对</w:t>
            </w:r>
            <w:r>
              <w:rPr>
                <w:rFonts w:hint="eastAsia"/>
                <w:szCs w:val="21"/>
              </w:rPr>
              <w:t>语言知识</w:t>
            </w:r>
            <w:r>
              <w:rPr>
                <w:rFonts w:hint="eastAsia" w:eastAsia="宋体"/>
                <w:szCs w:val="21"/>
              </w:rPr>
              <w:t>的掌握</w:t>
            </w:r>
            <w:r>
              <w:rPr>
                <w:rFonts w:hint="eastAsia"/>
                <w:szCs w:val="21"/>
              </w:rPr>
              <w:t>、理解与应用</w:t>
            </w:r>
          </w:p>
        </w:tc>
        <w:tc>
          <w:tcPr>
            <w:tcW w:w="2174" w:type="dxa"/>
            <w:tcBorders>
              <w:top w:val="single" w:color="auto" w:sz="4" w:space="0"/>
              <w:left w:val="single" w:color="auto" w:sz="4" w:space="0"/>
              <w:right w:val="single" w:color="auto" w:sz="4" w:space="0"/>
            </w:tcBorders>
            <w:vAlign w:val="center"/>
          </w:tcPr>
          <w:p w14:paraId="3F7C558F">
            <w:pPr>
              <w:pStyle w:val="30"/>
              <w:jc w:val="center"/>
              <w:rPr>
                <w:rFonts w:eastAsia="宋体"/>
                <w:color w:val="000000"/>
                <w:szCs w:val="21"/>
              </w:rPr>
            </w:pPr>
            <w:r>
              <w:rPr>
                <w:rFonts w:hint="eastAsia" w:eastAsia="宋体"/>
                <w:color w:val="000000"/>
                <w:szCs w:val="21"/>
              </w:rPr>
              <w:t>平时表现</w:t>
            </w:r>
          </w:p>
          <w:p w14:paraId="1FEB2AAA">
            <w:pPr>
              <w:pStyle w:val="30"/>
              <w:jc w:val="center"/>
              <w:rPr>
                <w:rFonts w:eastAsia="宋体"/>
                <w:color w:val="000000"/>
                <w:szCs w:val="21"/>
              </w:rPr>
            </w:pPr>
            <w:r>
              <w:rPr>
                <w:rFonts w:hint="eastAsia" w:eastAsia="宋体"/>
                <w:color w:val="000000"/>
                <w:szCs w:val="21"/>
              </w:rPr>
              <w:t>作业、测试</w:t>
            </w:r>
          </w:p>
          <w:p w14:paraId="1BD07BD3">
            <w:pPr>
              <w:pStyle w:val="30"/>
              <w:jc w:val="center"/>
              <w:rPr>
                <w:rFonts w:eastAsia="宋体"/>
                <w:color w:val="000000"/>
                <w:szCs w:val="21"/>
              </w:rPr>
            </w:pPr>
            <w:r>
              <w:rPr>
                <w:rFonts w:hint="eastAsia" w:eastAsia="宋体"/>
                <w:color w:val="000000"/>
                <w:szCs w:val="21"/>
              </w:rPr>
              <w:t>自主学习</w:t>
            </w:r>
          </w:p>
          <w:p w14:paraId="282B0CBE">
            <w:pPr>
              <w:pStyle w:val="30"/>
              <w:jc w:val="center"/>
              <w:rPr>
                <w:rFonts w:eastAsia="宋体"/>
                <w:color w:val="000000"/>
                <w:szCs w:val="21"/>
              </w:rPr>
            </w:pPr>
            <w:r>
              <w:rPr>
                <w:rFonts w:hint="eastAsia" w:eastAsia="宋体"/>
                <w:color w:val="000000"/>
                <w:szCs w:val="21"/>
              </w:rPr>
              <w:t>第二课堂</w:t>
            </w:r>
          </w:p>
          <w:p w14:paraId="1694AC9E">
            <w:pPr>
              <w:pStyle w:val="30"/>
              <w:jc w:val="center"/>
              <w:rPr>
                <w:rFonts w:eastAsia="宋体"/>
                <w:color w:val="000000"/>
                <w:szCs w:val="21"/>
              </w:rPr>
            </w:pPr>
            <w:r>
              <w:rPr>
                <w:rFonts w:hint="eastAsia" w:eastAsia="宋体"/>
                <w:color w:val="000000"/>
                <w:szCs w:val="21"/>
              </w:rPr>
              <w:t>课内实践</w:t>
            </w:r>
          </w:p>
          <w:p w14:paraId="60AEE9D6">
            <w:pPr>
              <w:adjustRightInd w:val="0"/>
              <w:snapToGrid w:val="0"/>
              <w:jc w:val="center"/>
              <w:rPr>
                <w:rFonts w:eastAsia="宋体"/>
                <w:color w:val="000000"/>
                <w:szCs w:val="21"/>
              </w:rPr>
            </w:pPr>
            <w:r>
              <w:rPr>
                <w:rFonts w:hint="eastAsia" w:eastAsia="宋体"/>
                <w:color w:val="000000"/>
                <w:szCs w:val="21"/>
              </w:rPr>
              <w:t>期末考试</w:t>
            </w:r>
          </w:p>
        </w:tc>
        <w:tc>
          <w:tcPr>
            <w:tcW w:w="3601" w:type="dxa"/>
            <w:tcBorders>
              <w:top w:val="single" w:color="auto" w:sz="4" w:space="0"/>
              <w:left w:val="single" w:color="auto" w:sz="4" w:space="0"/>
              <w:right w:val="single" w:color="auto" w:sz="4" w:space="0"/>
            </w:tcBorders>
            <w:vAlign w:val="center"/>
          </w:tcPr>
          <w:p w14:paraId="314D98AD">
            <w:pPr>
              <w:pStyle w:val="30"/>
              <w:rPr>
                <w:rFonts w:eastAsia="宋体"/>
                <w:color w:val="000000"/>
                <w:szCs w:val="21"/>
              </w:rPr>
            </w:pPr>
            <w:r>
              <w:rPr>
                <w:rFonts w:hint="eastAsia" w:eastAsia="宋体"/>
                <w:color w:val="000000"/>
                <w:szCs w:val="21"/>
              </w:rPr>
              <w:t>平时成绩登记表（纸质稿）</w:t>
            </w:r>
          </w:p>
          <w:p w14:paraId="08E6E7D6">
            <w:pPr>
              <w:pStyle w:val="30"/>
              <w:rPr>
                <w:rFonts w:eastAsia="宋体"/>
                <w:color w:val="000000"/>
                <w:szCs w:val="21"/>
              </w:rPr>
            </w:pPr>
            <w:r>
              <w:rPr>
                <w:rFonts w:hint="eastAsia" w:eastAsia="宋体"/>
                <w:color w:val="000000"/>
                <w:szCs w:val="21"/>
              </w:rPr>
              <w:t>第二课堂证书（电子稿）</w:t>
            </w:r>
          </w:p>
          <w:p w14:paraId="1D58BF0E">
            <w:pPr>
              <w:pStyle w:val="30"/>
              <w:rPr>
                <w:rFonts w:eastAsia="宋体"/>
                <w:color w:val="000000"/>
                <w:szCs w:val="21"/>
              </w:rPr>
            </w:pPr>
            <w:r>
              <w:rPr>
                <w:rFonts w:hint="eastAsia" w:eastAsia="宋体"/>
                <w:color w:val="000000"/>
                <w:szCs w:val="21"/>
              </w:rPr>
              <w:t>作业、测试、自主学习（电子稿）</w:t>
            </w:r>
          </w:p>
          <w:p w14:paraId="70A64C68">
            <w:pPr>
              <w:adjustRightInd w:val="0"/>
              <w:snapToGrid w:val="0"/>
              <w:rPr>
                <w:rFonts w:eastAsia="宋体"/>
                <w:color w:val="000000"/>
                <w:szCs w:val="21"/>
              </w:rPr>
            </w:pPr>
            <w:r>
              <w:rPr>
                <w:rFonts w:hint="eastAsia" w:eastAsia="宋体"/>
                <w:color w:val="000000"/>
                <w:szCs w:val="21"/>
              </w:rPr>
              <w:t>期末试卷</w:t>
            </w:r>
            <w:r>
              <w:rPr>
                <w:rFonts w:hint="eastAsia"/>
                <w:color w:val="000000"/>
                <w:szCs w:val="21"/>
              </w:rPr>
              <w:t>（</w:t>
            </w:r>
            <w:r>
              <w:rPr>
                <w:rFonts w:hint="eastAsia" w:eastAsia="宋体"/>
                <w:color w:val="000000"/>
                <w:szCs w:val="21"/>
              </w:rPr>
              <w:t>电子稿</w:t>
            </w:r>
            <w:r>
              <w:rPr>
                <w:rFonts w:hint="eastAsia"/>
                <w:color w:val="000000"/>
                <w:szCs w:val="21"/>
              </w:rPr>
              <w:t>）</w:t>
            </w:r>
          </w:p>
        </w:tc>
      </w:tr>
      <w:tr w14:paraId="4061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1525" w:type="dxa"/>
            <w:tcBorders>
              <w:top w:val="single" w:color="auto" w:sz="4" w:space="0"/>
              <w:left w:val="single" w:color="auto" w:sz="4" w:space="0"/>
              <w:right w:val="single" w:color="auto" w:sz="4" w:space="0"/>
            </w:tcBorders>
            <w:vAlign w:val="center"/>
          </w:tcPr>
          <w:p w14:paraId="1DC274EB">
            <w:pPr>
              <w:adjustRightInd w:val="0"/>
              <w:snapToGrid w:val="0"/>
              <w:jc w:val="center"/>
              <w:rPr>
                <w:rFonts w:eastAsia="宋体"/>
                <w:color w:val="000000"/>
                <w:szCs w:val="21"/>
              </w:rPr>
            </w:pPr>
            <w:r>
              <w:rPr>
                <w:rFonts w:hint="eastAsia"/>
                <w:color w:val="000000"/>
                <w:szCs w:val="21"/>
              </w:rPr>
              <w:t>目标3</w:t>
            </w:r>
          </w:p>
        </w:tc>
        <w:tc>
          <w:tcPr>
            <w:tcW w:w="1863" w:type="dxa"/>
            <w:tcBorders>
              <w:top w:val="single" w:color="auto" w:sz="4" w:space="0"/>
              <w:left w:val="single" w:color="auto" w:sz="4" w:space="0"/>
              <w:bottom w:val="single" w:color="auto" w:sz="4" w:space="0"/>
              <w:right w:val="single" w:color="auto" w:sz="4" w:space="0"/>
            </w:tcBorders>
            <w:vAlign w:val="center"/>
          </w:tcPr>
          <w:p w14:paraId="480C2759">
            <w:pPr>
              <w:adjustRightInd w:val="0"/>
              <w:snapToGrid w:val="0"/>
              <w:jc w:val="center"/>
              <w:rPr>
                <w:szCs w:val="21"/>
              </w:rPr>
            </w:pPr>
            <w:r>
              <w:rPr>
                <w:rFonts w:hint="eastAsia" w:eastAsia="宋体"/>
                <w:szCs w:val="21"/>
              </w:rPr>
              <w:t>对</w:t>
            </w:r>
            <w:r>
              <w:rPr>
                <w:rFonts w:hint="eastAsia"/>
                <w:szCs w:val="21"/>
              </w:rPr>
              <w:t>语言知识</w:t>
            </w:r>
            <w:r>
              <w:rPr>
                <w:rFonts w:hint="eastAsia" w:eastAsia="宋体"/>
                <w:szCs w:val="21"/>
              </w:rPr>
              <w:t>的</w:t>
            </w:r>
            <w:r>
              <w:rPr>
                <w:rFonts w:hint="eastAsia"/>
                <w:szCs w:val="21"/>
              </w:rPr>
              <w:t>理解与应用</w:t>
            </w:r>
          </w:p>
        </w:tc>
        <w:tc>
          <w:tcPr>
            <w:tcW w:w="2174" w:type="dxa"/>
            <w:tcBorders>
              <w:top w:val="single" w:color="auto" w:sz="4" w:space="0"/>
              <w:left w:val="single" w:color="auto" w:sz="4" w:space="0"/>
              <w:bottom w:val="single" w:color="auto" w:sz="4" w:space="0"/>
              <w:right w:val="single" w:color="auto" w:sz="4" w:space="0"/>
            </w:tcBorders>
            <w:vAlign w:val="center"/>
          </w:tcPr>
          <w:p w14:paraId="154E6238">
            <w:pPr>
              <w:pStyle w:val="30"/>
              <w:jc w:val="center"/>
              <w:rPr>
                <w:rFonts w:eastAsia="宋体"/>
                <w:color w:val="000000"/>
                <w:szCs w:val="21"/>
              </w:rPr>
            </w:pPr>
            <w:r>
              <w:rPr>
                <w:rFonts w:hint="eastAsia" w:eastAsia="宋体"/>
                <w:color w:val="000000"/>
                <w:szCs w:val="21"/>
              </w:rPr>
              <w:t>平时表现</w:t>
            </w:r>
          </w:p>
          <w:p w14:paraId="7B1AAC7F">
            <w:pPr>
              <w:pStyle w:val="30"/>
              <w:jc w:val="center"/>
              <w:rPr>
                <w:rFonts w:eastAsia="宋体"/>
                <w:color w:val="000000"/>
                <w:szCs w:val="21"/>
              </w:rPr>
            </w:pPr>
            <w:r>
              <w:rPr>
                <w:rFonts w:hint="eastAsia" w:eastAsia="宋体"/>
                <w:color w:val="000000"/>
                <w:szCs w:val="21"/>
              </w:rPr>
              <w:t>作业、测试</w:t>
            </w:r>
          </w:p>
          <w:p w14:paraId="49588025">
            <w:pPr>
              <w:pStyle w:val="30"/>
              <w:jc w:val="center"/>
              <w:rPr>
                <w:rFonts w:eastAsia="宋体"/>
                <w:color w:val="000000"/>
                <w:szCs w:val="21"/>
              </w:rPr>
            </w:pPr>
            <w:r>
              <w:rPr>
                <w:rFonts w:hint="eastAsia" w:eastAsia="宋体"/>
                <w:color w:val="000000"/>
                <w:szCs w:val="21"/>
              </w:rPr>
              <w:t>自主学习</w:t>
            </w:r>
          </w:p>
          <w:p w14:paraId="6338D698">
            <w:pPr>
              <w:pStyle w:val="30"/>
              <w:jc w:val="center"/>
              <w:rPr>
                <w:rFonts w:eastAsia="宋体"/>
                <w:color w:val="000000"/>
                <w:szCs w:val="21"/>
              </w:rPr>
            </w:pPr>
            <w:r>
              <w:rPr>
                <w:rFonts w:hint="eastAsia" w:eastAsia="宋体"/>
                <w:color w:val="000000"/>
                <w:szCs w:val="21"/>
              </w:rPr>
              <w:t>第二课堂</w:t>
            </w:r>
          </w:p>
          <w:p w14:paraId="168D662E">
            <w:pPr>
              <w:pStyle w:val="30"/>
              <w:jc w:val="center"/>
              <w:rPr>
                <w:rFonts w:eastAsia="宋体"/>
                <w:color w:val="000000"/>
                <w:szCs w:val="21"/>
              </w:rPr>
            </w:pPr>
            <w:r>
              <w:rPr>
                <w:rFonts w:hint="eastAsia" w:eastAsia="宋体"/>
                <w:color w:val="000000"/>
                <w:szCs w:val="21"/>
              </w:rPr>
              <w:t>课内实践</w:t>
            </w:r>
          </w:p>
          <w:p w14:paraId="4995A7D6">
            <w:pPr>
              <w:adjustRightInd w:val="0"/>
              <w:snapToGrid w:val="0"/>
              <w:jc w:val="center"/>
              <w:rPr>
                <w:color w:val="000000"/>
                <w:szCs w:val="21"/>
              </w:rPr>
            </w:pPr>
            <w:r>
              <w:rPr>
                <w:rFonts w:hint="eastAsia" w:eastAsia="宋体"/>
                <w:color w:val="000000"/>
                <w:szCs w:val="21"/>
              </w:rPr>
              <w:t>期末考试</w:t>
            </w:r>
          </w:p>
        </w:tc>
        <w:tc>
          <w:tcPr>
            <w:tcW w:w="3601" w:type="dxa"/>
            <w:tcBorders>
              <w:top w:val="single" w:color="auto" w:sz="4" w:space="0"/>
              <w:left w:val="single" w:color="auto" w:sz="4" w:space="0"/>
              <w:bottom w:val="single" w:color="auto" w:sz="4" w:space="0"/>
              <w:right w:val="single" w:color="auto" w:sz="4" w:space="0"/>
            </w:tcBorders>
            <w:vAlign w:val="center"/>
          </w:tcPr>
          <w:p w14:paraId="0D548E45">
            <w:pPr>
              <w:pStyle w:val="30"/>
              <w:rPr>
                <w:rFonts w:eastAsia="宋体"/>
                <w:color w:val="000000"/>
                <w:szCs w:val="21"/>
              </w:rPr>
            </w:pPr>
            <w:r>
              <w:rPr>
                <w:rFonts w:hint="eastAsia" w:eastAsia="宋体"/>
                <w:color w:val="000000"/>
                <w:szCs w:val="21"/>
              </w:rPr>
              <w:t>平时成绩登记表（纸质稿）</w:t>
            </w:r>
          </w:p>
          <w:p w14:paraId="7FE29227">
            <w:pPr>
              <w:pStyle w:val="30"/>
              <w:rPr>
                <w:rFonts w:eastAsia="宋体"/>
                <w:color w:val="000000"/>
                <w:szCs w:val="21"/>
              </w:rPr>
            </w:pPr>
            <w:r>
              <w:rPr>
                <w:rFonts w:hint="eastAsia" w:eastAsia="宋体"/>
                <w:color w:val="000000"/>
                <w:szCs w:val="21"/>
              </w:rPr>
              <w:t>第二课堂证书（电子稿）</w:t>
            </w:r>
          </w:p>
          <w:p w14:paraId="320DDF00">
            <w:pPr>
              <w:pStyle w:val="30"/>
              <w:rPr>
                <w:rFonts w:eastAsia="宋体"/>
                <w:color w:val="000000"/>
                <w:szCs w:val="21"/>
              </w:rPr>
            </w:pPr>
            <w:r>
              <w:rPr>
                <w:rFonts w:hint="eastAsia" w:eastAsia="宋体"/>
                <w:color w:val="000000"/>
                <w:szCs w:val="21"/>
              </w:rPr>
              <w:t>作业、测试、自主学习（电子稿）</w:t>
            </w:r>
          </w:p>
          <w:p w14:paraId="5930CE27">
            <w:pPr>
              <w:adjustRightInd w:val="0"/>
              <w:snapToGrid w:val="0"/>
              <w:rPr>
                <w:color w:val="000000"/>
                <w:szCs w:val="21"/>
              </w:rPr>
            </w:pPr>
            <w:r>
              <w:rPr>
                <w:rFonts w:hint="eastAsia" w:eastAsia="宋体"/>
                <w:color w:val="000000"/>
                <w:szCs w:val="21"/>
              </w:rPr>
              <w:t>期末试卷</w:t>
            </w:r>
            <w:r>
              <w:rPr>
                <w:rFonts w:hint="eastAsia"/>
                <w:color w:val="000000"/>
                <w:szCs w:val="21"/>
              </w:rPr>
              <w:t>（</w:t>
            </w:r>
            <w:r>
              <w:rPr>
                <w:rFonts w:hint="eastAsia" w:eastAsia="宋体"/>
                <w:color w:val="000000"/>
                <w:szCs w:val="21"/>
              </w:rPr>
              <w:t>电子稿</w:t>
            </w:r>
            <w:r>
              <w:rPr>
                <w:rFonts w:hint="eastAsia"/>
                <w:color w:val="000000"/>
                <w:szCs w:val="21"/>
              </w:rPr>
              <w:t>）</w:t>
            </w:r>
          </w:p>
        </w:tc>
      </w:tr>
    </w:tbl>
    <w:p w14:paraId="79BC9A1C">
      <w:pPr>
        <w:snapToGrid w:val="0"/>
        <w:spacing w:line="360" w:lineRule="auto"/>
        <w:ind w:firstLine="422" w:firstLineChars="200"/>
        <w:rPr>
          <w:b/>
          <w:szCs w:val="21"/>
        </w:rPr>
      </w:pPr>
    </w:p>
    <w:p w14:paraId="53711C0E">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七</w:t>
      </w:r>
      <w:r>
        <w:rPr>
          <w:rFonts w:ascii="Times New Roman" w:hAnsi="Times New Roman" w:eastAsia="宋体" w:cs="Times New Roman"/>
          <w:b/>
          <w:sz w:val="24"/>
        </w:rPr>
        <w:t>、</w:t>
      </w:r>
      <w:r>
        <w:rPr>
          <w:rFonts w:hint="eastAsia" w:ascii="Times New Roman" w:hAnsi="Times New Roman" w:eastAsia="宋体" w:cs="Times New Roman"/>
          <w:b/>
          <w:sz w:val="24"/>
        </w:rPr>
        <w:t>有关说明</w:t>
      </w:r>
    </w:p>
    <w:p w14:paraId="354E36E7">
      <w:pPr>
        <w:adjustRightInd w:val="0"/>
        <w:snapToGrid w:val="0"/>
        <w:spacing w:line="360" w:lineRule="auto"/>
        <w:ind w:firstLine="422" w:firstLineChars="200"/>
        <w:rPr>
          <w:b/>
          <w:color w:val="000000"/>
          <w:szCs w:val="21"/>
        </w:rPr>
      </w:pPr>
      <w:r>
        <w:rPr>
          <w:rFonts w:hint="eastAsia"/>
          <w:b/>
          <w:color w:val="000000"/>
          <w:szCs w:val="21"/>
        </w:rPr>
        <w:t>（一）持续改进</w:t>
      </w:r>
    </w:p>
    <w:p w14:paraId="149D1263">
      <w:pPr>
        <w:snapToGrid w:val="0"/>
        <w:spacing w:line="360" w:lineRule="auto"/>
        <w:ind w:firstLine="630" w:firstLineChars="300"/>
        <w:rPr>
          <w:szCs w:val="21"/>
        </w:rPr>
      </w:pPr>
      <w:r>
        <w:rPr>
          <w:rFonts w:hint="eastAsia"/>
          <w:szCs w:val="21"/>
        </w:rPr>
        <w:t>本课程根据学生作业、课堂讨论、平时考核情况和学生、教学督导等的反馈，及时对教学中的不足之处进行改进，并在下一轮课程教学中整改完善。</w:t>
      </w:r>
    </w:p>
    <w:p w14:paraId="68D72AF7">
      <w:pPr>
        <w:snapToGrid w:val="0"/>
        <w:spacing w:line="360" w:lineRule="auto"/>
        <w:ind w:firstLine="422" w:firstLineChars="200"/>
        <w:rPr>
          <w:b/>
          <w:color w:val="000000"/>
          <w:szCs w:val="21"/>
        </w:rPr>
      </w:pPr>
      <w:r>
        <w:rPr>
          <w:rFonts w:hint="eastAsia"/>
          <w:b/>
          <w:color w:val="000000"/>
          <w:szCs w:val="21"/>
        </w:rPr>
        <w:t>（二）</w:t>
      </w:r>
      <w:r>
        <w:rPr>
          <w:b/>
          <w:color w:val="000000"/>
          <w:szCs w:val="21"/>
        </w:rPr>
        <w:t>参考书目及学习资料</w:t>
      </w:r>
    </w:p>
    <w:p w14:paraId="21983F1E">
      <w:pPr>
        <w:snapToGrid w:val="0"/>
        <w:spacing w:line="360" w:lineRule="auto"/>
        <w:ind w:firstLine="630" w:firstLineChars="300"/>
        <w:rPr>
          <w:szCs w:val="21"/>
        </w:rPr>
      </w:pPr>
      <w:r>
        <w:rPr>
          <w:rFonts w:hint="eastAsia"/>
          <w:bCs/>
          <w:color w:val="000000"/>
          <w:szCs w:val="21"/>
        </w:rPr>
        <w:t xml:space="preserve">1. </w:t>
      </w:r>
      <w:r>
        <w:rPr>
          <w:rFonts w:hint="eastAsia"/>
          <w:szCs w:val="21"/>
        </w:rPr>
        <w:t>习近平谈治国理政（中英文版）</w:t>
      </w:r>
      <w:r>
        <w:rPr>
          <w:szCs w:val="21"/>
        </w:rPr>
        <w:t>[M]</w:t>
      </w:r>
      <w:r>
        <w:rPr>
          <w:rFonts w:hint="eastAsia"/>
          <w:szCs w:val="21"/>
        </w:rPr>
        <w:t>. 北京：外文出版社</w:t>
      </w:r>
      <w:r>
        <w:rPr>
          <w:szCs w:val="21"/>
        </w:rPr>
        <w:t>, 2022.</w:t>
      </w:r>
    </w:p>
    <w:p w14:paraId="68BA1F43">
      <w:pPr>
        <w:snapToGrid w:val="0"/>
        <w:spacing w:line="360" w:lineRule="auto"/>
        <w:ind w:firstLine="630" w:firstLineChars="300"/>
        <w:rPr>
          <w:rFonts w:ascii="Times New Roman" w:hAnsi="Times New Roman"/>
          <w:szCs w:val="21"/>
        </w:rPr>
      </w:pPr>
      <w:r>
        <w:rPr>
          <w:rFonts w:hint="eastAsia"/>
          <w:szCs w:val="21"/>
        </w:rPr>
        <w:t xml:space="preserve">2. </w:t>
      </w:r>
      <w:r>
        <w:rPr>
          <w:rFonts w:ascii="Times New Roman" w:hAnsi="Times New Roman"/>
          <w:szCs w:val="21"/>
        </w:rPr>
        <w:t>大学英语课程教学指南[Z]. 北京：外语教学与研究出版社, 20</w:t>
      </w:r>
      <w:r>
        <w:rPr>
          <w:rFonts w:hint="eastAsia" w:ascii="Times New Roman" w:hAnsi="Times New Roman"/>
          <w:szCs w:val="21"/>
        </w:rPr>
        <w:t>20</w:t>
      </w:r>
      <w:r>
        <w:rPr>
          <w:rFonts w:ascii="Times New Roman" w:hAnsi="Times New Roman"/>
          <w:szCs w:val="21"/>
        </w:rPr>
        <w:t>.</w:t>
      </w:r>
    </w:p>
    <w:p w14:paraId="474E447A">
      <w:pPr>
        <w:snapToGrid w:val="0"/>
        <w:spacing w:line="360" w:lineRule="auto"/>
        <w:ind w:firstLine="630" w:firstLineChars="300"/>
        <w:rPr>
          <w:rFonts w:ascii="Times New Roman" w:hAnsi="Times New Roman" w:eastAsia="宋体"/>
          <w:szCs w:val="21"/>
        </w:rPr>
      </w:pPr>
      <w:r>
        <w:rPr>
          <w:rFonts w:hint="eastAsia" w:ascii="Times New Roman" w:hAnsi="Times New Roman"/>
          <w:szCs w:val="21"/>
        </w:rPr>
        <w:t xml:space="preserve">3. </w:t>
      </w:r>
      <w:r>
        <w:rPr>
          <w:rFonts w:ascii="Times New Roman" w:hAnsi="Times New Roman"/>
          <w:szCs w:val="21"/>
        </w:rPr>
        <w:t>欧洲共同语言参照框架：学习、教学、评价[M]．北京：外语教育与研究出版社, 2008</w:t>
      </w:r>
      <w:r>
        <w:rPr>
          <w:rFonts w:hint="eastAsia"/>
          <w:szCs w:val="21"/>
        </w:rPr>
        <w:t>.</w:t>
      </w:r>
    </w:p>
    <w:p w14:paraId="20A5CED2">
      <w:pPr>
        <w:snapToGrid w:val="0"/>
        <w:spacing w:line="360" w:lineRule="auto"/>
        <w:ind w:firstLine="630" w:firstLineChars="300"/>
        <w:rPr>
          <w:rFonts w:ascii="Times New Roman" w:hAnsi="Times New Roman" w:eastAsia="宋体"/>
          <w:szCs w:val="21"/>
        </w:rPr>
      </w:pPr>
      <w:r>
        <w:rPr>
          <w:rFonts w:hint="eastAsia"/>
          <w:szCs w:val="21"/>
        </w:rPr>
        <w:t xml:space="preserve">4. </w:t>
      </w:r>
      <w:r>
        <w:rPr>
          <w:rFonts w:hint="eastAsia"/>
          <w:bCs/>
          <w:kern w:val="0"/>
          <w:szCs w:val="21"/>
        </w:rPr>
        <w:t>学术英语（第二版）[M]. 北京：外语教学与研究出版社，2021.</w:t>
      </w:r>
    </w:p>
    <w:p w14:paraId="13FC013E">
      <w:pPr>
        <w:autoSpaceDE w:val="0"/>
        <w:autoSpaceDN w:val="0"/>
        <w:adjustRightInd w:val="0"/>
        <w:snapToGrid w:val="0"/>
        <w:spacing w:line="360" w:lineRule="auto"/>
        <w:ind w:left="928" w:leftChars="342" w:hanging="210" w:hangingChars="100"/>
        <w:jc w:val="left"/>
        <w:rPr>
          <w:szCs w:val="21"/>
        </w:rPr>
      </w:pPr>
      <w:r>
        <w:rPr>
          <w:rFonts w:hint="eastAsia"/>
          <w:szCs w:val="21"/>
        </w:rPr>
        <w:t>5. 新编大学英语技能进阶教程（第1版）</w:t>
      </w:r>
      <w:r>
        <w:rPr>
          <w:rFonts w:hint="eastAsia"/>
          <w:bCs/>
          <w:kern w:val="0"/>
          <w:szCs w:val="21"/>
        </w:rPr>
        <w:t>[M]. 南京：</w:t>
      </w:r>
      <w:r>
        <w:rPr>
          <w:rFonts w:hint="eastAsia"/>
          <w:szCs w:val="21"/>
        </w:rPr>
        <w:t>东南大学出版社，2023.</w:t>
      </w:r>
    </w:p>
    <w:p w14:paraId="45C86EC8">
      <w:pPr>
        <w:snapToGrid w:val="0"/>
        <w:spacing w:line="360" w:lineRule="auto"/>
        <w:ind w:firstLine="630" w:firstLineChars="300"/>
        <w:rPr>
          <w:szCs w:val="21"/>
        </w:rPr>
      </w:pPr>
      <w:r>
        <w:rPr>
          <w:rFonts w:hint="eastAsia"/>
          <w:szCs w:val="21"/>
        </w:rPr>
        <w:t>6. 中华科学技术大词典[K]. 北京：商务印书馆，2023.</w:t>
      </w:r>
    </w:p>
    <w:p w14:paraId="354EBE88">
      <w:pPr>
        <w:snapToGrid w:val="0"/>
        <w:spacing w:line="360" w:lineRule="auto"/>
        <w:ind w:firstLine="630" w:firstLineChars="300"/>
        <w:rPr>
          <w:rFonts w:eastAsia="宋体"/>
          <w:szCs w:val="21"/>
        </w:rPr>
      </w:pPr>
      <w:r>
        <w:rPr>
          <w:rFonts w:hint="eastAsia"/>
          <w:szCs w:val="21"/>
        </w:rPr>
        <w:t>7. 朗文当代高级英语辞典（第6版）</w:t>
      </w:r>
      <w:r>
        <w:rPr>
          <w:rFonts w:ascii="Times New Roman" w:hAnsi="Times New Roman"/>
          <w:szCs w:val="21"/>
        </w:rPr>
        <w:t>[</w:t>
      </w:r>
      <w:r>
        <w:rPr>
          <w:rFonts w:hint="eastAsia"/>
          <w:szCs w:val="21"/>
        </w:rPr>
        <w:t>K</w:t>
      </w:r>
      <w:r>
        <w:rPr>
          <w:rFonts w:ascii="Times New Roman" w:hAnsi="Times New Roman"/>
          <w:szCs w:val="21"/>
        </w:rPr>
        <w:t>]</w:t>
      </w:r>
      <w:r>
        <w:rPr>
          <w:rFonts w:hint="eastAsia"/>
          <w:szCs w:val="21"/>
        </w:rPr>
        <w:t>. 北京：外语教学与研究出版社，2019.</w:t>
      </w:r>
    </w:p>
    <w:p w14:paraId="28F03303">
      <w:pPr>
        <w:snapToGrid w:val="0"/>
        <w:spacing w:line="360" w:lineRule="auto"/>
        <w:ind w:firstLine="630" w:firstLineChars="300"/>
        <w:rPr>
          <w:rFonts w:eastAsia="宋体"/>
          <w:szCs w:val="21"/>
        </w:rPr>
      </w:pPr>
      <w:r>
        <w:rPr>
          <w:rFonts w:hint="eastAsia"/>
          <w:szCs w:val="21"/>
        </w:rPr>
        <w:t>8. 牛津高阶英汉双解词典（第10版）</w:t>
      </w:r>
      <w:r>
        <w:rPr>
          <w:rFonts w:ascii="Times New Roman" w:hAnsi="Times New Roman"/>
          <w:szCs w:val="21"/>
        </w:rPr>
        <w:t>[</w:t>
      </w:r>
      <w:r>
        <w:rPr>
          <w:rFonts w:hint="eastAsia"/>
          <w:szCs w:val="21"/>
        </w:rPr>
        <w:t>K</w:t>
      </w:r>
      <w:r>
        <w:rPr>
          <w:rFonts w:ascii="Times New Roman" w:hAnsi="Times New Roman"/>
          <w:szCs w:val="21"/>
        </w:rPr>
        <w:t>]</w:t>
      </w:r>
      <w:r>
        <w:rPr>
          <w:rFonts w:hint="eastAsia"/>
          <w:szCs w:val="21"/>
        </w:rPr>
        <w:t>. 北京：商务印书馆，2023.</w:t>
      </w:r>
    </w:p>
    <w:p w14:paraId="21E1B822">
      <w:pPr>
        <w:autoSpaceDE w:val="0"/>
        <w:autoSpaceDN w:val="0"/>
        <w:adjustRightInd w:val="0"/>
        <w:snapToGrid w:val="0"/>
        <w:spacing w:line="360" w:lineRule="auto"/>
        <w:ind w:firstLine="630" w:firstLineChars="300"/>
        <w:jc w:val="left"/>
        <w:rPr>
          <w:szCs w:val="21"/>
        </w:rPr>
      </w:pPr>
      <w:r>
        <w:rPr>
          <w:rFonts w:hint="eastAsia"/>
          <w:szCs w:val="21"/>
        </w:rPr>
        <w:t xml:space="preserve">9. </w:t>
      </w:r>
      <w:r>
        <w:rPr>
          <w:szCs w:val="21"/>
        </w:rPr>
        <w:t>数字化教学</w:t>
      </w:r>
      <w:r>
        <w:rPr>
          <w:rFonts w:hint="eastAsia"/>
          <w:szCs w:val="21"/>
        </w:rPr>
        <w:t>资源</w:t>
      </w:r>
      <w:r>
        <w:rPr>
          <w:szCs w:val="21"/>
        </w:rPr>
        <w:t>链接</w:t>
      </w:r>
    </w:p>
    <w:p w14:paraId="6B61B31C">
      <w:pPr>
        <w:ind w:left="420" w:firstLine="420"/>
        <w:rPr>
          <w:rFonts w:ascii="Times New Roman" w:hAnsi="Times New Roman"/>
          <w:szCs w:val="21"/>
        </w:rPr>
      </w:pPr>
      <w:r>
        <w:rPr>
          <w:rFonts w:hint="eastAsia" w:ascii="Times New Roman" w:hAnsi="Times New Roman"/>
          <w:szCs w:val="21"/>
        </w:rPr>
        <w:t>(1)</w:t>
      </w:r>
      <w:r>
        <w:rPr>
          <w:rFonts w:ascii="Times New Roman" w:hAnsi="Times New Roman"/>
          <w:szCs w:val="21"/>
        </w:rPr>
        <w:t>中国大学MOOC国家精品资源共享课，跨文化交际，</w:t>
      </w:r>
      <w:r>
        <w:rPr>
          <w:rFonts w:hint="eastAsia" w:ascii="Times New Roman" w:hAnsi="Times New Roman"/>
          <w:szCs w:val="21"/>
        </w:rPr>
        <w:t>河北</w:t>
      </w:r>
      <w:r>
        <w:rPr>
          <w:rFonts w:ascii="Times New Roman" w:hAnsi="Times New Roman"/>
          <w:szCs w:val="21"/>
        </w:rPr>
        <w:t>工业大学</w:t>
      </w:r>
      <w:r>
        <w:rPr>
          <w:rFonts w:hint="eastAsia" w:ascii="Times New Roman" w:hAnsi="Times New Roman"/>
          <w:szCs w:val="21"/>
        </w:rPr>
        <w:t>，</w:t>
      </w:r>
      <w:r>
        <w:fldChar w:fldCharType="begin"/>
      </w:r>
      <w:r>
        <w:instrText xml:space="preserve"> HYPERLINK "http://www.icourse163.org/course/HLJU-1206434803" </w:instrText>
      </w:r>
      <w:r>
        <w:fldChar w:fldCharType="separate"/>
      </w:r>
      <w:r>
        <w:rPr>
          <w:rFonts w:ascii="Times New Roman" w:hAnsi="Times New Roman"/>
          <w:szCs w:val="21"/>
        </w:rPr>
        <w:t>http://www.icourse163.org/course/HLJU-1206434803</w:t>
      </w:r>
      <w:r>
        <w:rPr>
          <w:rFonts w:ascii="Times New Roman" w:hAnsi="Times New Roman"/>
          <w:szCs w:val="21"/>
        </w:rPr>
        <w:fldChar w:fldCharType="end"/>
      </w:r>
      <w:r>
        <w:rPr>
          <w:rFonts w:hint="eastAsia" w:ascii="Times New Roman" w:hAnsi="Times New Roman"/>
          <w:szCs w:val="21"/>
        </w:rPr>
        <w:t>.</w:t>
      </w:r>
    </w:p>
    <w:p w14:paraId="1E21334F">
      <w:pPr>
        <w:ind w:left="420" w:firstLine="420"/>
        <w:rPr>
          <w:rFonts w:ascii="Times New Roman" w:hAnsi="Times New Roman"/>
          <w:szCs w:val="21"/>
        </w:rPr>
      </w:pPr>
      <w:r>
        <w:rPr>
          <w:rFonts w:hint="eastAsia" w:ascii="Times New Roman" w:hAnsi="Times New Roman"/>
          <w:szCs w:val="21"/>
        </w:rPr>
        <w:t>(2)</w:t>
      </w:r>
      <w:r>
        <w:rPr>
          <w:rFonts w:ascii="Times New Roman" w:hAnsi="Times New Roman"/>
          <w:szCs w:val="21"/>
        </w:rPr>
        <w:t>中国大学MOOC国家精品资源共享课，</w:t>
      </w:r>
      <w:r>
        <w:rPr>
          <w:rFonts w:hint="eastAsia" w:ascii="Times New Roman" w:hAnsi="Times New Roman"/>
          <w:szCs w:val="21"/>
        </w:rPr>
        <w:t>大学</w:t>
      </w:r>
      <w:r>
        <w:rPr>
          <w:rFonts w:ascii="Times New Roman" w:hAnsi="Times New Roman"/>
          <w:szCs w:val="21"/>
        </w:rPr>
        <w:t>英语学术写作，</w:t>
      </w:r>
      <w:r>
        <w:rPr>
          <w:rFonts w:hint="eastAsia" w:ascii="Times New Roman" w:hAnsi="Times New Roman"/>
          <w:szCs w:val="21"/>
        </w:rPr>
        <w:t>南京</w:t>
      </w:r>
      <w:r>
        <w:rPr>
          <w:rFonts w:ascii="Times New Roman" w:hAnsi="Times New Roman"/>
          <w:szCs w:val="21"/>
        </w:rPr>
        <w:t>大学</w:t>
      </w:r>
      <w:r>
        <w:rPr>
          <w:rFonts w:hint="eastAsia" w:ascii="Times New Roman" w:hAnsi="Times New Roman"/>
          <w:szCs w:val="21"/>
        </w:rPr>
        <w:t xml:space="preserve">， </w:t>
      </w:r>
      <w:r>
        <w:fldChar w:fldCharType="begin"/>
      </w:r>
      <w:r>
        <w:instrText xml:space="preserve"> HYPERLINK "http://www.icourse163.org/course/NJU-1002777003" </w:instrText>
      </w:r>
      <w:r>
        <w:fldChar w:fldCharType="separate"/>
      </w:r>
      <w:r>
        <w:rPr>
          <w:rFonts w:ascii="Times New Roman" w:hAnsi="Times New Roman"/>
          <w:szCs w:val="21"/>
        </w:rPr>
        <w:t>http://www.icourse163.org/course/NJU-1002777003</w:t>
      </w:r>
      <w:r>
        <w:rPr>
          <w:rFonts w:ascii="Times New Roman" w:hAnsi="Times New Roman"/>
          <w:szCs w:val="21"/>
        </w:rPr>
        <w:fldChar w:fldCharType="end"/>
      </w:r>
    </w:p>
    <w:p w14:paraId="7ABA142B">
      <w:pPr>
        <w:autoSpaceDE w:val="0"/>
        <w:autoSpaceDN w:val="0"/>
        <w:adjustRightInd w:val="0"/>
        <w:spacing w:line="360" w:lineRule="auto"/>
        <w:ind w:firstLine="5250" w:firstLineChars="2500"/>
        <w:jc w:val="right"/>
        <w:rPr>
          <w:kern w:val="0"/>
          <w:szCs w:val="21"/>
        </w:rPr>
      </w:pPr>
    </w:p>
    <w:p w14:paraId="4FA4B7D9">
      <w:pPr>
        <w:autoSpaceDE w:val="0"/>
        <w:autoSpaceDN w:val="0"/>
        <w:adjustRightInd w:val="0"/>
        <w:spacing w:line="360" w:lineRule="auto"/>
        <w:ind w:firstLine="6090" w:firstLineChars="2900"/>
        <w:jc w:val="right"/>
        <w:rPr>
          <w:kern w:val="0"/>
          <w:szCs w:val="21"/>
        </w:rPr>
      </w:pPr>
      <w:r>
        <w:rPr>
          <w:rFonts w:hint="eastAsia"/>
          <w:kern w:val="0"/>
          <w:szCs w:val="21"/>
        </w:rPr>
        <w:t xml:space="preserve">执笔人：汤月明 </w:t>
      </w:r>
    </w:p>
    <w:p w14:paraId="7D2DCDFB">
      <w:pPr>
        <w:autoSpaceDE w:val="0"/>
        <w:autoSpaceDN w:val="0"/>
        <w:adjustRightInd w:val="0"/>
        <w:spacing w:line="360" w:lineRule="auto"/>
        <w:ind w:firstLine="6090" w:firstLineChars="2900"/>
        <w:jc w:val="right"/>
        <w:rPr>
          <w:kern w:val="0"/>
          <w:szCs w:val="21"/>
        </w:rPr>
      </w:pPr>
      <w:r>
        <w:rPr>
          <w:rFonts w:hint="eastAsia"/>
          <w:kern w:val="0"/>
          <w:szCs w:val="21"/>
        </w:rPr>
        <w:t xml:space="preserve">审定人：汤月明 </w:t>
      </w:r>
    </w:p>
    <w:p w14:paraId="61440154">
      <w:pPr>
        <w:autoSpaceDE w:val="0"/>
        <w:autoSpaceDN w:val="0"/>
        <w:adjustRightInd w:val="0"/>
        <w:spacing w:line="360" w:lineRule="auto"/>
        <w:ind w:firstLine="6090" w:firstLineChars="2900"/>
        <w:jc w:val="right"/>
        <w:rPr>
          <w:kern w:val="0"/>
          <w:szCs w:val="21"/>
        </w:rPr>
      </w:pPr>
      <w:r>
        <w:rPr>
          <w:rFonts w:hint="eastAsia"/>
          <w:kern w:val="0"/>
          <w:szCs w:val="21"/>
        </w:rPr>
        <w:t>审批人：施云波</w:t>
      </w:r>
    </w:p>
    <w:p w14:paraId="08F3EA21">
      <w:pPr>
        <w:autoSpaceDE w:val="0"/>
        <w:autoSpaceDN w:val="0"/>
        <w:adjustRightInd w:val="0"/>
        <w:spacing w:line="360" w:lineRule="auto"/>
        <w:ind w:firstLine="6090" w:firstLineChars="2900"/>
        <w:jc w:val="right"/>
        <w:rPr>
          <w:kern w:val="0"/>
          <w:szCs w:val="21"/>
        </w:rPr>
      </w:pPr>
      <w:r>
        <w:rPr>
          <w:rFonts w:hint="eastAsia"/>
          <w:kern w:val="0"/>
          <w:szCs w:val="21"/>
        </w:rPr>
        <w:t>审批时间：2025年8月</w:t>
      </w:r>
    </w:p>
    <w:p w14:paraId="1069BC13">
      <w:pPr>
        <w:autoSpaceDE w:val="0"/>
        <w:autoSpaceDN w:val="0"/>
        <w:adjustRightInd w:val="0"/>
        <w:spacing w:line="360" w:lineRule="auto"/>
        <w:rPr>
          <w:kern w:val="0"/>
          <w:sz w:val="24"/>
          <w:szCs w:val="21"/>
        </w:rPr>
      </w:pPr>
    </w:p>
    <w:p w14:paraId="4360CE56">
      <w:pPr>
        <w:rPr>
          <w:rFonts w:hint="eastAsia" w:ascii="宋体" w:hAnsi="宋体" w:cs="宋体"/>
          <w:szCs w:val="21"/>
        </w:rPr>
      </w:pPr>
      <w:r>
        <w:rPr>
          <w:rFonts w:hint="eastAsia" w:ascii="宋体" w:hAnsi="宋体" w:cs="宋体"/>
          <w:szCs w:val="21"/>
        </w:rPr>
        <w:br w:type="page"/>
      </w:r>
    </w:p>
    <w:p w14:paraId="73D8A43D">
      <w:pPr>
        <w:pStyle w:val="2"/>
        <w:tabs>
          <w:tab w:val="left" w:pos="720"/>
          <w:tab w:val="left" w:pos="2700"/>
        </w:tabs>
        <w:spacing w:line="576" w:lineRule="auto"/>
        <w:rPr>
          <w:rFonts w:asciiTheme="majorHAnsi" w:hAnsiTheme="majorHAnsi" w:eastAsiaTheme="majorEastAsia" w:cstheme="majorBidi"/>
          <w:bCs/>
          <w:szCs w:val="32"/>
        </w:rPr>
      </w:pPr>
      <w:bookmarkStart w:id="156" w:name="_Toc2003"/>
      <w:r>
        <w:rPr>
          <w:rFonts w:hint="eastAsia" w:asciiTheme="majorHAnsi" w:hAnsiTheme="majorHAnsi" w:eastAsiaTheme="majorEastAsia" w:cstheme="majorBidi"/>
          <w:bCs/>
          <w:szCs w:val="32"/>
        </w:rPr>
        <w:t>《计算机与人工智能基础C》课程教学大纲</w:t>
      </w:r>
      <w:bookmarkEnd w:id="156"/>
    </w:p>
    <w:p w14:paraId="5921A0AF">
      <w:pPr>
        <w:spacing w:after="156" w:afterLines="50" w:line="312" w:lineRule="auto"/>
        <w:jc w:val="center"/>
        <w:rPr>
          <w:b/>
          <w:bCs/>
          <w:sz w:val="30"/>
        </w:rPr>
      </w:pPr>
      <w:r>
        <w:rPr>
          <w:b/>
          <w:bCs/>
          <w:sz w:val="30"/>
        </w:rPr>
        <w:t>（</w:t>
      </w:r>
      <w:r>
        <w:rPr>
          <w:rFonts w:hint="eastAsia"/>
          <w:b/>
          <w:bCs/>
          <w:sz w:val="30"/>
        </w:rPr>
        <w:t>Fundamentals of Computer and Artificial Intelligence C</w:t>
      </w:r>
      <w:r>
        <w:rPr>
          <w:b/>
          <w:bCs/>
          <w:sz w:val="30"/>
        </w:rPr>
        <w:t>）</w:t>
      </w:r>
    </w:p>
    <w:p w14:paraId="7A1E4265">
      <w:pPr>
        <w:snapToGrid w:val="0"/>
        <w:spacing w:line="360" w:lineRule="auto"/>
        <w:ind w:firstLine="422" w:firstLineChars="200"/>
        <w:rPr>
          <w:rFonts w:eastAsia="宋体"/>
          <w:kern w:val="0"/>
          <w:szCs w:val="21"/>
        </w:rPr>
      </w:pPr>
      <w:r>
        <w:rPr>
          <w:b/>
          <w:bCs/>
          <w:kern w:val="0"/>
          <w:szCs w:val="21"/>
        </w:rPr>
        <w:t>课程代码</w:t>
      </w:r>
      <w:r>
        <w:rPr>
          <w:b/>
          <w:kern w:val="0"/>
          <w:szCs w:val="21"/>
        </w:rPr>
        <w:t>：</w:t>
      </w:r>
      <w:r>
        <w:rPr>
          <w:rFonts w:hint="eastAsia"/>
          <w:b/>
          <w:kern w:val="0"/>
          <w:szCs w:val="21"/>
        </w:rPr>
        <w:t>0301023</w:t>
      </w:r>
    </w:p>
    <w:p w14:paraId="75E62150">
      <w:pPr>
        <w:snapToGrid w:val="0"/>
        <w:spacing w:line="360" w:lineRule="auto"/>
        <w:ind w:firstLine="422" w:firstLineChars="200"/>
        <w:rPr>
          <w:rFonts w:eastAsia="宋体"/>
          <w:kern w:val="0"/>
          <w:szCs w:val="21"/>
        </w:rPr>
      </w:pPr>
      <w:r>
        <w:rPr>
          <w:b/>
          <w:bCs/>
          <w:kern w:val="0"/>
          <w:szCs w:val="21"/>
        </w:rPr>
        <w:t>学    分</w:t>
      </w:r>
      <w:r>
        <w:rPr>
          <w:b/>
          <w:kern w:val="0"/>
          <w:szCs w:val="21"/>
        </w:rPr>
        <w:t>：</w:t>
      </w:r>
      <w:r>
        <w:rPr>
          <w:rFonts w:hint="eastAsia"/>
          <w:b/>
          <w:kern w:val="0"/>
          <w:szCs w:val="21"/>
        </w:rPr>
        <w:t>4</w:t>
      </w:r>
    </w:p>
    <w:p w14:paraId="1898E763">
      <w:pPr>
        <w:snapToGrid w:val="0"/>
        <w:spacing w:line="360" w:lineRule="auto"/>
        <w:ind w:firstLine="422" w:firstLineChars="200"/>
        <w:rPr>
          <w:rFonts w:eastAsia="宋体"/>
          <w:kern w:val="0"/>
          <w:szCs w:val="21"/>
        </w:rPr>
      </w:pPr>
      <w:r>
        <w:rPr>
          <w:b/>
          <w:bCs/>
          <w:kern w:val="0"/>
          <w:szCs w:val="21"/>
        </w:rPr>
        <w:t>学    时</w:t>
      </w:r>
      <w:r>
        <w:rPr>
          <w:b/>
          <w:kern w:val="0"/>
          <w:szCs w:val="21"/>
        </w:rPr>
        <w:t>：</w:t>
      </w:r>
      <w:r>
        <w:rPr>
          <w:rFonts w:hint="eastAsia"/>
          <w:b/>
          <w:kern w:val="0"/>
          <w:szCs w:val="21"/>
        </w:rPr>
        <w:t>32（32理论；线上8学时，线下24学时）</w:t>
      </w:r>
    </w:p>
    <w:p w14:paraId="3CF1750A">
      <w:pPr>
        <w:snapToGrid w:val="0"/>
        <w:spacing w:line="360" w:lineRule="auto"/>
        <w:ind w:firstLine="422" w:firstLineChars="200"/>
        <w:rPr>
          <w:rFonts w:eastAsia="宋体"/>
          <w:bCs/>
          <w:kern w:val="0"/>
          <w:szCs w:val="21"/>
        </w:rPr>
      </w:pPr>
      <w:r>
        <w:rPr>
          <w:b/>
          <w:bCs/>
          <w:kern w:val="0"/>
          <w:szCs w:val="21"/>
        </w:rPr>
        <w:t>先修课程</w:t>
      </w:r>
      <w:r>
        <w:rPr>
          <w:b/>
          <w:kern w:val="0"/>
          <w:szCs w:val="21"/>
        </w:rPr>
        <w:t>：</w:t>
      </w:r>
      <w:r>
        <w:rPr>
          <w:rFonts w:hint="eastAsia"/>
          <w:bCs/>
          <w:kern w:val="0"/>
          <w:szCs w:val="21"/>
        </w:rPr>
        <w:t>无</w:t>
      </w:r>
    </w:p>
    <w:p w14:paraId="1623E3B1">
      <w:pPr>
        <w:snapToGrid w:val="0"/>
        <w:spacing w:line="360" w:lineRule="auto"/>
        <w:ind w:firstLine="422" w:firstLineChars="200"/>
        <w:rPr>
          <w:szCs w:val="21"/>
        </w:rPr>
      </w:pPr>
      <w:r>
        <w:rPr>
          <w:b/>
          <w:bCs/>
          <w:kern w:val="0"/>
          <w:szCs w:val="21"/>
        </w:rPr>
        <w:t>适用专业</w:t>
      </w:r>
      <w:r>
        <w:rPr>
          <w:b/>
          <w:kern w:val="0"/>
          <w:szCs w:val="21"/>
        </w:rPr>
        <w:t>：</w:t>
      </w:r>
      <w:r>
        <w:rPr>
          <w:rFonts w:hint="eastAsia" w:ascii="宋体" w:hAnsi="宋体"/>
          <w:kern w:val="0"/>
          <w:szCs w:val="21"/>
        </w:rPr>
        <w:t>非计算机专业</w:t>
      </w:r>
      <w:r>
        <w:rPr>
          <w:rFonts w:ascii="宋体" w:hAnsi="宋体"/>
          <w:kern w:val="0"/>
          <w:szCs w:val="21"/>
        </w:rPr>
        <w:t xml:space="preserve"> </w:t>
      </w:r>
    </w:p>
    <w:p w14:paraId="79E2B5B8">
      <w:pPr>
        <w:snapToGrid w:val="0"/>
        <w:spacing w:line="360" w:lineRule="auto"/>
        <w:ind w:firstLine="422" w:firstLineChars="200"/>
        <w:rPr>
          <w:rFonts w:eastAsia="宋体"/>
          <w:kern w:val="0"/>
          <w:szCs w:val="21"/>
        </w:rPr>
      </w:pPr>
      <w:r>
        <w:rPr>
          <w:rFonts w:hint="eastAsia"/>
          <w:b/>
          <w:bCs/>
          <w:kern w:val="0"/>
          <w:szCs w:val="21"/>
        </w:rPr>
        <w:t>适用年级：</w:t>
      </w:r>
      <w:r>
        <w:rPr>
          <w:kern w:val="0"/>
          <w:szCs w:val="21"/>
        </w:rPr>
        <w:t xml:space="preserve"> </w:t>
      </w:r>
      <w:r>
        <w:rPr>
          <w:rFonts w:hint="eastAsia"/>
          <w:kern w:val="0"/>
          <w:szCs w:val="21"/>
        </w:rPr>
        <w:t>2025级</w:t>
      </w:r>
    </w:p>
    <w:p w14:paraId="09624B6F">
      <w:pPr>
        <w:snapToGrid w:val="0"/>
        <w:spacing w:line="360" w:lineRule="auto"/>
        <w:ind w:firstLine="482" w:firstLineChars="200"/>
        <w:rPr>
          <w:rFonts w:ascii="Times New Roman" w:hAnsi="Times New Roman" w:eastAsia="宋体" w:cs="Times New Roman"/>
          <w:b/>
          <w:sz w:val="24"/>
        </w:rPr>
      </w:pPr>
      <w:r>
        <w:rPr>
          <w:b/>
          <w:sz w:val="24"/>
        </w:rPr>
        <w:t>一、课程</w:t>
      </w:r>
      <w:r>
        <w:rPr>
          <w:rFonts w:hint="eastAsia"/>
          <w:b/>
          <w:sz w:val="24"/>
        </w:rPr>
        <w:t>简介</w:t>
      </w:r>
    </w:p>
    <w:p w14:paraId="1AF490E8">
      <w:pPr>
        <w:snapToGrid w:val="0"/>
        <w:spacing w:line="360" w:lineRule="auto"/>
        <w:ind w:firstLine="420" w:firstLineChars="200"/>
        <w:rPr>
          <w:rFonts w:ascii="Times New Roman" w:hAnsi="Times New Roman" w:eastAsia="宋体" w:cs="Times New Roman"/>
          <w:b/>
          <w:sz w:val="24"/>
        </w:rPr>
      </w:pPr>
      <w:r>
        <w:rPr>
          <w:rFonts w:hint="eastAsia" w:ascii="Times New Roman" w:hAnsi="Times New Roman" w:eastAsia="宋体" w:cs="Times New Roman"/>
          <w:kern w:val="0"/>
          <w:szCs w:val="21"/>
        </w:rPr>
        <w:t>《计算机与人工智能基础C》是面向全校非计算机专业学生的通识必修课，以技术认知-工具应用-创新思维为主线，构建人工智能普及教育体系。课程融合计算机科学基础与AI核心技术，通过理论讲授、案例研讨与项目实践，培养学生数字化生存能力，满足专业学习与未来职场需求；提升学生算法理解力与工具应用能力，适应技术迭代；帮助学生树立科技伦理观，培养全球视野与终身学习能力，为个人发展提供技术支撑。</w:t>
      </w:r>
    </w:p>
    <w:p w14:paraId="3367D4DF">
      <w:pPr>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315E3885">
      <w:pPr>
        <w:snapToGrid w:val="0"/>
        <w:spacing w:line="360" w:lineRule="auto"/>
        <w:ind w:firstLine="420" w:firstLineChars="200"/>
        <w:rPr>
          <w:kern w:val="0"/>
          <w:szCs w:val="21"/>
        </w:rPr>
      </w:pPr>
      <w:r>
        <w:rPr>
          <w:rFonts w:hint="eastAsia"/>
          <w:kern w:val="0"/>
          <w:szCs w:val="21"/>
        </w:rPr>
        <w:t xml:space="preserve">目标1：通过课程学习，学生能够掌握人工智能的基本概念、发展历程、主要研究领域和实际应用场景，深刻理解人工智能的基本原理，并了解人工智能领域的进阶知识。 </w:t>
      </w:r>
    </w:p>
    <w:p w14:paraId="06AB0110">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目标2：提升学生信息技术综合运用能力，能够熟练获取、传输、处理和应用信息，理解并掌握数字工具的基本原理与方法。</w:t>
      </w:r>
    </w:p>
    <w:p w14:paraId="695485DF">
      <w:pPr>
        <w:snapToGrid w:val="0"/>
        <w:spacing w:line="360" w:lineRule="auto"/>
        <w:ind w:firstLine="420" w:firstLineChars="200"/>
        <w:rPr>
          <w:kern w:val="0"/>
          <w:szCs w:val="21"/>
        </w:rPr>
      </w:pPr>
      <w:r>
        <w:rPr>
          <w:rFonts w:hint="eastAsia"/>
          <w:kern w:val="0"/>
          <w:szCs w:val="21"/>
        </w:rPr>
        <w:t>课程思政育人目标：</w:t>
      </w:r>
    </w:p>
    <w:p w14:paraId="6AA0ABA7">
      <w:pPr>
        <w:numPr>
          <w:ilvl w:val="0"/>
          <w:numId w:val="8"/>
        </w:numPr>
        <w:snapToGrid w:val="0"/>
        <w:spacing w:line="360" w:lineRule="auto"/>
        <w:ind w:firstLine="420" w:firstLineChars="200"/>
        <w:rPr>
          <w:kern w:val="0"/>
          <w:szCs w:val="21"/>
        </w:rPr>
      </w:pPr>
      <w:r>
        <w:rPr>
          <w:rFonts w:hint="eastAsia"/>
          <w:kern w:val="0"/>
          <w:szCs w:val="21"/>
        </w:rPr>
        <w:t>培养学生对人工智能领域的学习兴趣和探索精神，激发创新思维。</w:t>
      </w:r>
    </w:p>
    <w:p w14:paraId="30E6183C">
      <w:pPr>
        <w:snapToGrid w:val="0"/>
        <w:spacing w:line="360" w:lineRule="auto"/>
        <w:ind w:firstLine="420" w:firstLineChars="200"/>
        <w:rPr>
          <w:rFonts w:ascii="Times New Roman" w:hAnsi="Times New Roman" w:eastAsia="宋体" w:cs="Times New Roman"/>
          <w:kern w:val="0"/>
          <w:szCs w:val="21"/>
        </w:rPr>
      </w:pPr>
      <w:r>
        <w:rPr>
          <w:rFonts w:hint="eastAsia"/>
          <w:kern w:val="0"/>
          <w:szCs w:val="21"/>
        </w:rPr>
        <w:t>（2）</w:t>
      </w:r>
      <w:r>
        <w:rPr>
          <w:rFonts w:hint="eastAsia" w:ascii="Times New Roman" w:hAnsi="Times New Roman" w:eastAsia="宋体" w:cs="Times New Roman"/>
          <w:kern w:val="0"/>
          <w:szCs w:val="21"/>
        </w:rPr>
        <w:t>学生能够深入了解我国在人工智能领域取得的成就，增强民族自信心与自豪感，培养爱国情怀。</w:t>
      </w:r>
    </w:p>
    <w:p w14:paraId="063C853A">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（3）</w:t>
      </w:r>
      <w:r>
        <w:rPr>
          <w:rFonts w:hint="eastAsia"/>
          <w:kern w:val="0"/>
          <w:szCs w:val="21"/>
        </w:rPr>
        <w:t>培养学生的自主学习能力和终身学习意识，能够跟踪人工智能领域的最新发展。</w:t>
      </w:r>
    </w:p>
    <w:p w14:paraId="5ACFA3DD">
      <w:pPr>
        <w:snapToGrid w:val="0"/>
        <w:spacing w:line="360" w:lineRule="auto"/>
        <w:ind w:firstLine="420" w:firstLineChars="200"/>
        <w:rPr>
          <w:kern w:val="0"/>
          <w:szCs w:val="21"/>
        </w:rPr>
      </w:pPr>
      <w:r>
        <w:rPr>
          <w:rFonts w:hint="eastAsia"/>
          <w:kern w:val="0"/>
          <w:szCs w:val="21"/>
        </w:rPr>
        <w:t>本课程支撑专业培养方案中毕业要求，1-3掌握计算机的基本硬件与软件知识，具有计算机应用系统设计与软件编程的基本能力、5-1能够针对复杂工程问题，开发、选择与使用恰当的技术、资源、现代工程工具和信息技术工具。课程目标与毕业要求观测点的对应关系如表1所示。</w:t>
      </w:r>
    </w:p>
    <w:p w14:paraId="6ACE2C0D">
      <w:pPr>
        <w:snapToGrid w:val="0"/>
        <w:spacing w:line="360" w:lineRule="auto"/>
        <w:ind w:firstLine="420" w:firstLineChars="200"/>
        <w:rPr>
          <w:kern w:val="0"/>
          <w:szCs w:val="21"/>
        </w:rPr>
      </w:pPr>
    </w:p>
    <w:p w14:paraId="027CD59A">
      <w:pPr>
        <w:snapToGrid w:val="0"/>
        <w:spacing w:line="360" w:lineRule="auto"/>
        <w:ind w:firstLine="420" w:firstLineChars="200"/>
        <w:rPr>
          <w:kern w:val="0"/>
          <w:szCs w:val="21"/>
        </w:rPr>
      </w:pPr>
    </w:p>
    <w:p w14:paraId="0A1B378F">
      <w:pPr>
        <w:snapToGrid w:val="0"/>
        <w:spacing w:line="360" w:lineRule="auto"/>
        <w:ind w:firstLine="420" w:firstLineChars="200"/>
        <w:rPr>
          <w:kern w:val="0"/>
          <w:szCs w:val="21"/>
        </w:rPr>
      </w:pPr>
    </w:p>
    <w:p w14:paraId="512F2EC9">
      <w:pPr>
        <w:snapToGrid w:val="0"/>
        <w:spacing w:line="360" w:lineRule="auto"/>
        <w:jc w:val="center"/>
        <w:rPr>
          <w:kern w:val="0"/>
          <w:szCs w:val="21"/>
        </w:rPr>
      </w:pPr>
      <w:r>
        <w:rPr>
          <w:kern w:val="0"/>
          <w:szCs w:val="21"/>
        </w:rPr>
        <w:t>表1  课程目标与毕业要求</w:t>
      </w:r>
      <w:r>
        <w:rPr>
          <w:rFonts w:hint="eastAsia"/>
          <w:kern w:val="0"/>
          <w:szCs w:val="21"/>
        </w:rPr>
        <w:t>观测</w:t>
      </w:r>
      <w:r>
        <w:rPr>
          <w:kern w:val="0"/>
          <w:szCs w:val="21"/>
        </w:rPr>
        <w:t>点的对应关系</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6"/>
        <w:gridCol w:w="5374"/>
        <w:gridCol w:w="1302"/>
      </w:tblGrid>
      <w:tr w14:paraId="2B08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846" w:type="dxa"/>
            <w:vAlign w:val="center"/>
          </w:tcPr>
          <w:p w14:paraId="1A22AA95">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w:t>
            </w:r>
          </w:p>
        </w:tc>
        <w:tc>
          <w:tcPr>
            <w:tcW w:w="5374" w:type="dxa"/>
            <w:vAlign w:val="center"/>
          </w:tcPr>
          <w:p w14:paraId="3EF6CAF4">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毕业要求指标点</w:t>
            </w:r>
          </w:p>
        </w:tc>
        <w:tc>
          <w:tcPr>
            <w:tcW w:w="1302" w:type="dxa"/>
            <w:vAlign w:val="center"/>
          </w:tcPr>
          <w:p w14:paraId="1CD4CEA8">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w:t>
            </w:r>
          </w:p>
        </w:tc>
      </w:tr>
      <w:tr w14:paraId="53C5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vAlign w:val="center"/>
          </w:tcPr>
          <w:p w14:paraId="089EE748">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毕业要求3</w:t>
            </w:r>
          </w:p>
          <w:p w14:paraId="531B67E2">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学科素养</w:t>
            </w:r>
          </w:p>
        </w:tc>
        <w:tc>
          <w:tcPr>
            <w:tcW w:w="5374" w:type="dxa"/>
            <w:vAlign w:val="center"/>
          </w:tcPr>
          <w:p w14:paraId="5D6D21D1">
            <w:pPr>
              <w:autoSpaceDE w:val="0"/>
              <w:autoSpaceDN w:val="0"/>
              <w:adjustRightInd w:val="0"/>
              <w:rPr>
                <w:rFonts w:hint="eastAsia" w:ascii="宋体" w:hAnsi="宋体" w:eastAsia="宋体" w:cs="宋体"/>
                <w:kern w:val="0"/>
                <w:szCs w:val="21"/>
              </w:rPr>
            </w:pPr>
            <w:r>
              <w:rPr>
                <w:rFonts w:hint="eastAsia" w:ascii="宋体" w:hAnsi="宋体" w:eastAsia="宋体" w:cs="宋体"/>
                <w:b/>
                <w:kern w:val="0"/>
                <w:szCs w:val="21"/>
              </w:rPr>
              <w:t>指标点3-1</w:t>
            </w:r>
            <w:r>
              <w:rPr>
                <w:rFonts w:hint="eastAsia" w:ascii="宋体" w:hAnsi="宋体" w:eastAsia="宋体" w:cs="宋体"/>
                <w:kern w:val="0"/>
                <w:szCs w:val="21"/>
              </w:rPr>
              <w:t>：【通识知识广博】具有小学教育本科专业相应的自然科学和人文社会科学知识素养。</w:t>
            </w:r>
          </w:p>
        </w:tc>
        <w:tc>
          <w:tcPr>
            <w:tcW w:w="1302" w:type="dxa"/>
            <w:vAlign w:val="center"/>
          </w:tcPr>
          <w:p w14:paraId="3EB72B2A">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课程目标1</w:t>
            </w:r>
          </w:p>
          <w:p w14:paraId="13FFB4BD">
            <w:pPr>
              <w:autoSpaceDE w:val="0"/>
              <w:autoSpaceDN w:val="0"/>
              <w:adjustRightInd w:val="0"/>
              <w:jc w:val="center"/>
              <w:rPr>
                <w:rFonts w:hint="eastAsia" w:ascii="宋体" w:hAnsi="宋体" w:eastAsia="宋体" w:cs="宋体"/>
                <w:kern w:val="0"/>
                <w:szCs w:val="21"/>
              </w:rPr>
            </w:pPr>
            <w:r>
              <w:rPr>
                <w:rFonts w:hint="eastAsia" w:ascii="宋体" w:hAnsi="宋体" w:eastAsia="宋体" w:cs="宋体"/>
                <w:kern w:val="0"/>
                <w:szCs w:val="21"/>
              </w:rPr>
              <w:t>课程目标2</w:t>
            </w:r>
          </w:p>
        </w:tc>
      </w:tr>
    </w:tbl>
    <w:p w14:paraId="5AB02DEA">
      <w:pPr>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三</w:t>
      </w:r>
      <w:r>
        <w:rPr>
          <w:rFonts w:ascii="Times New Roman" w:hAnsi="Times New Roman" w:eastAsia="宋体" w:cs="Times New Roman"/>
          <w:b/>
          <w:sz w:val="24"/>
        </w:rPr>
        <w:t>、课程内容及要求</w:t>
      </w:r>
    </w:p>
    <w:p w14:paraId="33DE5E86">
      <w:pPr>
        <w:snapToGrid w:val="0"/>
        <w:spacing w:line="360" w:lineRule="auto"/>
        <w:ind w:firstLine="413" w:firstLineChars="196"/>
        <w:rPr>
          <w:rFonts w:eastAsia="宋体"/>
          <w:b/>
          <w:szCs w:val="21"/>
        </w:rPr>
      </w:pPr>
      <w:r>
        <w:rPr>
          <w:b/>
          <w:szCs w:val="21"/>
        </w:rPr>
        <w:t>（一）</w:t>
      </w:r>
      <w:r>
        <w:rPr>
          <w:rFonts w:hint="eastAsia"/>
          <w:b/>
          <w:szCs w:val="21"/>
        </w:rPr>
        <w:t>人工智能概述</w:t>
      </w:r>
    </w:p>
    <w:p w14:paraId="74DCFF76">
      <w:pPr>
        <w:snapToGrid w:val="0"/>
        <w:spacing w:line="360" w:lineRule="auto"/>
        <w:ind w:firstLine="420" w:firstLineChars="200"/>
        <w:rPr>
          <w:szCs w:val="21"/>
        </w:rPr>
      </w:pPr>
      <w:r>
        <w:rPr>
          <w:szCs w:val="21"/>
        </w:rPr>
        <w:t>1.教学内容</w:t>
      </w:r>
    </w:p>
    <w:p w14:paraId="5D414854">
      <w:pPr>
        <w:spacing w:line="360" w:lineRule="auto"/>
        <w:ind w:firstLine="420" w:firstLineChars="200"/>
        <w:rPr>
          <w:szCs w:val="21"/>
        </w:rPr>
      </w:pPr>
      <w:r>
        <w:rPr>
          <w:rFonts w:hint="eastAsia"/>
          <w:szCs w:val="21"/>
        </w:rPr>
        <w:t>（1）人工智能的基本概念和发展历程</w:t>
      </w:r>
    </w:p>
    <w:p w14:paraId="2C809F1A">
      <w:pPr>
        <w:spacing w:line="360" w:lineRule="auto"/>
        <w:ind w:firstLine="420" w:firstLineChars="200"/>
        <w:rPr>
          <w:szCs w:val="21"/>
        </w:rPr>
      </w:pPr>
      <w:r>
        <w:rPr>
          <w:rFonts w:hint="eastAsia"/>
          <w:szCs w:val="21"/>
        </w:rPr>
        <w:t>（2）人工智能的主流学派</w:t>
      </w:r>
    </w:p>
    <w:p w14:paraId="5D646117">
      <w:pPr>
        <w:spacing w:line="360" w:lineRule="auto"/>
        <w:ind w:firstLine="420" w:firstLineChars="200"/>
        <w:rPr>
          <w:rFonts w:eastAsia="宋体"/>
          <w:szCs w:val="21"/>
        </w:rPr>
      </w:pPr>
      <w:r>
        <w:rPr>
          <w:rFonts w:hint="eastAsia"/>
          <w:szCs w:val="21"/>
        </w:rPr>
        <w:t>（3）人工智能的应用现状及未来发展趋势</w:t>
      </w:r>
    </w:p>
    <w:p w14:paraId="6EED957B">
      <w:pPr>
        <w:spacing w:line="360" w:lineRule="auto"/>
        <w:ind w:firstLine="420" w:firstLineChars="200"/>
        <w:rPr>
          <w:color w:val="000000"/>
          <w:szCs w:val="21"/>
        </w:rPr>
      </w:pPr>
      <w:r>
        <w:rPr>
          <w:color w:val="000000"/>
          <w:szCs w:val="21"/>
        </w:rPr>
        <w:t>2.基本要求</w:t>
      </w:r>
    </w:p>
    <w:p w14:paraId="2B8C7FA1">
      <w:pPr>
        <w:spacing w:line="360" w:lineRule="auto"/>
        <w:ind w:firstLine="420" w:firstLineChars="200"/>
        <w:rPr>
          <w:color w:val="000000"/>
          <w:szCs w:val="21"/>
        </w:rPr>
      </w:pPr>
      <w:r>
        <w:rPr>
          <w:rFonts w:hint="eastAsia"/>
          <w:color w:val="000000"/>
          <w:szCs w:val="21"/>
        </w:rPr>
        <w:t xml:space="preserve">（1）了解人工智能的发展历程 </w:t>
      </w:r>
    </w:p>
    <w:p w14:paraId="4809055A">
      <w:pPr>
        <w:spacing w:line="360" w:lineRule="auto"/>
        <w:ind w:firstLine="420" w:firstLineChars="200"/>
        <w:rPr>
          <w:color w:val="000000"/>
          <w:szCs w:val="21"/>
        </w:rPr>
      </w:pPr>
      <w:r>
        <w:rPr>
          <w:rFonts w:hint="eastAsia"/>
          <w:color w:val="000000"/>
          <w:szCs w:val="21"/>
        </w:rPr>
        <w:t>（2）掌握人工智能的基本概念和关键技术</w:t>
      </w:r>
    </w:p>
    <w:p w14:paraId="1D1F1A93">
      <w:pPr>
        <w:spacing w:line="360" w:lineRule="auto"/>
        <w:ind w:firstLine="420" w:firstLineChars="200"/>
        <w:rPr>
          <w:rFonts w:eastAsia="宋体"/>
          <w:color w:val="000000"/>
          <w:szCs w:val="21"/>
        </w:rPr>
      </w:pPr>
      <w:r>
        <w:rPr>
          <w:rFonts w:hint="eastAsia"/>
          <w:color w:val="000000"/>
          <w:szCs w:val="21"/>
        </w:rPr>
        <w:t>（3）了解人工智能的应用现状和未来发展趋势</w:t>
      </w:r>
    </w:p>
    <w:p w14:paraId="4D4B3AD0">
      <w:pPr>
        <w:spacing w:line="360" w:lineRule="auto"/>
        <w:ind w:firstLine="413" w:firstLineChars="196"/>
        <w:rPr>
          <w:b/>
          <w:szCs w:val="21"/>
        </w:rPr>
      </w:pPr>
      <w:r>
        <w:rPr>
          <w:rFonts w:hint="eastAsia"/>
          <w:b/>
          <w:szCs w:val="21"/>
        </w:rPr>
        <w:t>（二）人工智能行业解决方案</w:t>
      </w:r>
    </w:p>
    <w:p w14:paraId="5A1C2D5B">
      <w:pPr>
        <w:spacing w:line="360" w:lineRule="auto"/>
        <w:ind w:firstLine="411" w:firstLineChars="196"/>
        <w:rPr>
          <w:szCs w:val="21"/>
        </w:rPr>
      </w:pPr>
      <w:r>
        <w:rPr>
          <w:rFonts w:hint="eastAsia"/>
          <w:szCs w:val="21"/>
        </w:rPr>
        <w:t>1.教学内容</w:t>
      </w:r>
    </w:p>
    <w:p w14:paraId="0604D634">
      <w:pPr>
        <w:spacing w:line="360" w:lineRule="auto"/>
        <w:ind w:firstLine="411" w:firstLineChars="196"/>
        <w:rPr>
          <w:szCs w:val="21"/>
        </w:rPr>
      </w:pPr>
      <w:r>
        <w:rPr>
          <w:rFonts w:hint="eastAsia"/>
          <w:szCs w:val="21"/>
        </w:rPr>
        <w:t>（1）通过案例介绍人工智能在语言翻译的应用场景</w:t>
      </w:r>
    </w:p>
    <w:p w14:paraId="029A29B7">
      <w:pPr>
        <w:spacing w:line="360" w:lineRule="auto"/>
        <w:ind w:firstLine="411" w:firstLineChars="196"/>
        <w:rPr>
          <w:szCs w:val="21"/>
        </w:rPr>
      </w:pPr>
      <w:r>
        <w:rPr>
          <w:rFonts w:hint="eastAsia"/>
          <w:szCs w:val="21"/>
        </w:rPr>
        <w:t>（2）通过案例介绍人工智能在文字与影视创作的应用场景</w:t>
      </w:r>
    </w:p>
    <w:p w14:paraId="6F3EF405">
      <w:pPr>
        <w:spacing w:line="360" w:lineRule="auto"/>
        <w:ind w:firstLine="411" w:firstLineChars="196"/>
        <w:rPr>
          <w:szCs w:val="21"/>
        </w:rPr>
      </w:pPr>
      <w:r>
        <w:rPr>
          <w:rFonts w:hint="eastAsia"/>
          <w:szCs w:val="21"/>
        </w:rPr>
        <w:t>（3）通过案例介绍人工智能在师范教育的应用场景</w:t>
      </w:r>
    </w:p>
    <w:p w14:paraId="5D2459E7">
      <w:pPr>
        <w:spacing w:line="360" w:lineRule="auto"/>
        <w:ind w:firstLine="411" w:firstLineChars="196"/>
        <w:rPr>
          <w:szCs w:val="21"/>
        </w:rPr>
      </w:pPr>
      <w:r>
        <w:rPr>
          <w:rFonts w:hint="eastAsia"/>
          <w:szCs w:val="21"/>
        </w:rPr>
        <w:t>（4）通过案例介绍人工智能在艺术领域的应用场景</w:t>
      </w:r>
    </w:p>
    <w:p w14:paraId="5699EE06">
      <w:pPr>
        <w:spacing w:line="360" w:lineRule="auto"/>
        <w:ind w:firstLine="411" w:firstLineChars="196"/>
        <w:rPr>
          <w:szCs w:val="21"/>
        </w:rPr>
      </w:pPr>
      <w:r>
        <w:rPr>
          <w:rFonts w:hint="eastAsia"/>
          <w:szCs w:val="21"/>
        </w:rPr>
        <w:t>2.基本要求</w:t>
      </w:r>
    </w:p>
    <w:p w14:paraId="6A4D46BA">
      <w:pPr>
        <w:spacing w:line="360" w:lineRule="auto"/>
        <w:ind w:firstLine="411" w:firstLineChars="196"/>
        <w:rPr>
          <w:szCs w:val="21"/>
        </w:rPr>
      </w:pPr>
      <w:r>
        <w:rPr>
          <w:rFonts w:hint="eastAsia"/>
          <w:szCs w:val="21"/>
        </w:rPr>
        <w:t>（1）了解人工智能在各专有领域的应用情况</w:t>
      </w:r>
    </w:p>
    <w:p w14:paraId="319F32A6">
      <w:pPr>
        <w:spacing w:line="360" w:lineRule="auto"/>
        <w:ind w:firstLine="411" w:firstLineChars="196"/>
        <w:rPr>
          <w:szCs w:val="21"/>
        </w:rPr>
      </w:pPr>
      <w:r>
        <w:rPr>
          <w:rFonts w:hint="eastAsia"/>
          <w:szCs w:val="21"/>
        </w:rPr>
        <w:t>（2）理解人工智能在各领域应用方案的解决思路及技术方法</w:t>
      </w:r>
    </w:p>
    <w:p w14:paraId="4366E56B">
      <w:pPr>
        <w:snapToGrid w:val="0"/>
        <w:spacing w:line="360" w:lineRule="auto"/>
        <w:ind w:firstLine="413" w:firstLineChars="196"/>
        <w:rPr>
          <w:b/>
          <w:szCs w:val="21"/>
        </w:rPr>
      </w:pPr>
      <w:r>
        <w:rPr>
          <w:b/>
          <w:szCs w:val="21"/>
        </w:rPr>
        <w:t>（</w:t>
      </w:r>
      <w:r>
        <w:rPr>
          <w:rFonts w:hint="eastAsia"/>
          <w:b/>
          <w:szCs w:val="21"/>
        </w:rPr>
        <w:t>三</w:t>
      </w:r>
      <w:r>
        <w:rPr>
          <w:b/>
          <w:szCs w:val="21"/>
        </w:rPr>
        <w:t>）</w:t>
      </w:r>
      <w:r>
        <w:rPr>
          <w:rFonts w:hint="eastAsia"/>
          <w:b/>
          <w:szCs w:val="21"/>
        </w:rPr>
        <w:t>人工智能算法原理</w:t>
      </w:r>
    </w:p>
    <w:p w14:paraId="5D7C0EEA">
      <w:pPr>
        <w:snapToGrid w:val="0"/>
        <w:spacing w:line="360" w:lineRule="auto"/>
        <w:ind w:firstLine="420" w:firstLineChars="200"/>
        <w:rPr>
          <w:szCs w:val="21"/>
        </w:rPr>
      </w:pPr>
      <w:r>
        <w:rPr>
          <w:szCs w:val="21"/>
        </w:rPr>
        <w:t>1.教学内容</w:t>
      </w:r>
    </w:p>
    <w:p w14:paraId="7B550710">
      <w:pPr>
        <w:snapToGrid w:val="0"/>
        <w:spacing w:line="360" w:lineRule="auto"/>
        <w:ind w:firstLine="420" w:firstLineChars="200"/>
        <w:rPr>
          <w:szCs w:val="21"/>
        </w:rPr>
      </w:pPr>
      <w:r>
        <w:rPr>
          <w:rFonts w:hint="eastAsia"/>
          <w:szCs w:val="21"/>
        </w:rPr>
        <w:t>（1）机器学习定义、分类及常见算法</w:t>
      </w:r>
    </w:p>
    <w:p w14:paraId="07FCEBC6">
      <w:pPr>
        <w:snapToGrid w:val="0"/>
        <w:spacing w:line="360" w:lineRule="auto"/>
        <w:ind w:firstLine="420" w:firstLineChars="200"/>
        <w:rPr>
          <w:szCs w:val="21"/>
        </w:rPr>
      </w:pPr>
      <w:r>
        <w:rPr>
          <w:rFonts w:hint="eastAsia"/>
          <w:szCs w:val="21"/>
        </w:rPr>
        <w:t>（2）深度学习主要流程</w:t>
      </w:r>
    </w:p>
    <w:p w14:paraId="0CEDC142">
      <w:pPr>
        <w:snapToGrid w:val="0"/>
        <w:spacing w:line="360" w:lineRule="auto"/>
        <w:ind w:firstLine="420" w:firstLineChars="200"/>
        <w:rPr>
          <w:szCs w:val="21"/>
        </w:rPr>
      </w:pPr>
      <w:r>
        <w:rPr>
          <w:rFonts w:hint="eastAsia"/>
          <w:szCs w:val="21"/>
        </w:rPr>
        <w:t>（3）深度学习常见模型</w:t>
      </w:r>
    </w:p>
    <w:p w14:paraId="181BA88B">
      <w:pPr>
        <w:snapToGrid w:val="0"/>
        <w:spacing w:line="360" w:lineRule="auto"/>
        <w:ind w:firstLine="420" w:firstLineChars="200"/>
        <w:rPr>
          <w:szCs w:val="21"/>
        </w:rPr>
      </w:pPr>
      <w:r>
        <w:rPr>
          <w:rFonts w:hint="eastAsia"/>
          <w:szCs w:val="21"/>
        </w:rPr>
        <w:t>（4）典型深度学习应用</w:t>
      </w:r>
    </w:p>
    <w:p w14:paraId="781D8C5F">
      <w:pPr>
        <w:spacing w:line="360" w:lineRule="auto"/>
        <w:ind w:firstLine="420" w:firstLineChars="200"/>
        <w:rPr>
          <w:szCs w:val="21"/>
        </w:rPr>
      </w:pPr>
      <w:r>
        <w:rPr>
          <w:szCs w:val="21"/>
        </w:rPr>
        <w:t>2.基本要求</w:t>
      </w:r>
    </w:p>
    <w:p w14:paraId="209F1B57">
      <w:pPr>
        <w:spacing w:line="360" w:lineRule="auto"/>
        <w:ind w:firstLine="420" w:firstLineChars="200"/>
        <w:rPr>
          <w:szCs w:val="21"/>
        </w:rPr>
      </w:pPr>
      <w:r>
        <w:rPr>
          <w:rFonts w:hint="eastAsia"/>
          <w:szCs w:val="21"/>
        </w:rPr>
        <w:t>（1）理解</w:t>
      </w:r>
      <w:r>
        <w:rPr>
          <w:szCs w:val="21"/>
        </w:rPr>
        <w:t>机器学习的定义</w:t>
      </w:r>
    </w:p>
    <w:p w14:paraId="12E891C7">
      <w:pPr>
        <w:spacing w:line="360" w:lineRule="auto"/>
        <w:ind w:firstLine="420" w:firstLineChars="200"/>
        <w:rPr>
          <w:szCs w:val="21"/>
        </w:rPr>
      </w:pPr>
      <w:r>
        <w:rPr>
          <w:rFonts w:hint="eastAsia"/>
          <w:szCs w:val="21"/>
        </w:rPr>
        <w:t>（2）掌握机器学习的</w:t>
      </w:r>
      <w:r>
        <w:rPr>
          <w:szCs w:val="21"/>
        </w:rPr>
        <w:t>分类</w:t>
      </w:r>
      <w:r>
        <w:rPr>
          <w:rFonts w:hint="eastAsia"/>
          <w:szCs w:val="21"/>
        </w:rPr>
        <w:t>和常见算法</w:t>
      </w:r>
    </w:p>
    <w:p w14:paraId="7F2D4978">
      <w:pPr>
        <w:spacing w:line="360" w:lineRule="auto"/>
        <w:ind w:firstLine="420" w:firstLineChars="200"/>
        <w:rPr>
          <w:szCs w:val="21"/>
        </w:rPr>
      </w:pPr>
      <w:r>
        <w:rPr>
          <w:szCs w:val="21"/>
        </w:rPr>
        <w:t>（</w:t>
      </w:r>
      <w:r>
        <w:rPr>
          <w:rFonts w:hint="eastAsia"/>
          <w:szCs w:val="21"/>
        </w:rPr>
        <w:t>3</w:t>
      </w:r>
      <w:r>
        <w:rPr>
          <w:szCs w:val="21"/>
        </w:rPr>
        <w:t>）掌握深度学习的主要流程</w:t>
      </w:r>
    </w:p>
    <w:p w14:paraId="07687A0E">
      <w:pPr>
        <w:spacing w:line="360" w:lineRule="auto"/>
        <w:ind w:firstLine="420" w:firstLineChars="200"/>
        <w:rPr>
          <w:szCs w:val="21"/>
        </w:rPr>
      </w:pPr>
      <w:r>
        <w:rPr>
          <w:szCs w:val="21"/>
        </w:rPr>
        <w:t>（</w:t>
      </w:r>
      <w:r>
        <w:rPr>
          <w:rFonts w:hint="eastAsia"/>
          <w:szCs w:val="21"/>
        </w:rPr>
        <w:t>4</w:t>
      </w:r>
      <w:r>
        <w:rPr>
          <w:szCs w:val="21"/>
        </w:rPr>
        <w:t>）熟悉深度学习的常见模型</w:t>
      </w:r>
    </w:p>
    <w:p w14:paraId="4E1F2F7F">
      <w:pPr>
        <w:spacing w:line="360" w:lineRule="auto"/>
        <w:ind w:firstLine="420" w:firstLineChars="200"/>
        <w:rPr>
          <w:szCs w:val="21"/>
        </w:rPr>
      </w:pPr>
      <w:r>
        <w:rPr>
          <w:szCs w:val="21"/>
        </w:rPr>
        <w:t>（</w:t>
      </w:r>
      <w:r>
        <w:rPr>
          <w:rFonts w:hint="eastAsia"/>
          <w:szCs w:val="21"/>
        </w:rPr>
        <w:t>5</w:t>
      </w:r>
      <w:r>
        <w:rPr>
          <w:szCs w:val="21"/>
        </w:rPr>
        <w:t>）了解典型深度学习应用</w:t>
      </w:r>
    </w:p>
    <w:p w14:paraId="1D6DEEC2">
      <w:pPr>
        <w:snapToGrid w:val="0"/>
        <w:spacing w:line="360" w:lineRule="auto"/>
        <w:ind w:firstLine="413" w:firstLineChars="196"/>
        <w:rPr>
          <w:b/>
          <w:szCs w:val="21"/>
        </w:rPr>
      </w:pPr>
      <w:r>
        <w:rPr>
          <w:b/>
          <w:szCs w:val="21"/>
        </w:rPr>
        <w:t>（</w:t>
      </w:r>
      <w:r>
        <w:rPr>
          <w:rFonts w:hint="eastAsia"/>
          <w:b/>
          <w:szCs w:val="21"/>
        </w:rPr>
        <w:t>四</w:t>
      </w:r>
      <w:r>
        <w:rPr>
          <w:b/>
          <w:szCs w:val="21"/>
        </w:rPr>
        <w:t>）</w:t>
      </w:r>
      <w:r>
        <w:rPr>
          <w:rFonts w:hint="eastAsia"/>
          <w:b/>
          <w:szCs w:val="21"/>
        </w:rPr>
        <w:t>自然语言处理</w:t>
      </w:r>
    </w:p>
    <w:p w14:paraId="1D6D573B">
      <w:pPr>
        <w:snapToGrid w:val="0"/>
        <w:spacing w:line="360" w:lineRule="auto"/>
        <w:ind w:firstLine="420" w:firstLineChars="200"/>
        <w:rPr>
          <w:szCs w:val="21"/>
        </w:rPr>
      </w:pPr>
      <w:r>
        <w:rPr>
          <w:szCs w:val="21"/>
        </w:rPr>
        <w:t>1.教学内容</w:t>
      </w:r>
    </w:p>
    <w:p w14:paraId="06B8223E">
      <w:pPr>
        <w:snapToGrid w:val="0"/>
        <w:spacing w:line="360" w:lineRule="auto"/>
        <w:ind w:firstLine="420" w:firstLineChars="200"/>
        <w:rPr>
          <w:szCs w:val="21"/>
        </w:rPr>
      </w:pPr>
      <w:r>
        <w:rPr>
          <w:rFonts w:hint="eastAsia"/>
          <w:szCs w:val="21"/>
        </w:rPr>
        <w:t>（1）自然语言处理概述</w:t>
      </w:r>
    </w:p>
    <w:p w14:paraId="610653A7">
      <w:pPr>
        <w:snapToGrid w:val="0"/>
        <w:spacing w:line="360" w:lineRule="auto"/>
        <w:ind w:firstLine="420" w:firstLineChars="200"/>
        <w:rPr>
          <w:szCs w:val="21"/>
        </w:rPr>
      </w:pPr>
      <w:r>
        <w:rPr>
          <w:rFonts w:hint="eastAsia"/>
          <w:szCs w:val="21"/>
        </w:rPr>
        <w:t>（2）文本理解</w:t>
      </w:r>
    </w:p>
    <w:p w14:paraId="4AC4112C">
      <w:pPr>
        <w:snapToGrid w:val="0"/>
        <w:spacing w:line="360" w:lineRule="auto"/>
        <w:ind w:firstLine="420" w:firstLineChars="200"/>
        <w:rPr>
          <w:szCs w:val="21"/>
        </w:rPr>
      </w:pPr>
      <w:r>
        <w:rPr>
          <w:rFonts w:hint="eastAsia"/>
          <w:szCs w:val="21"/>
        </w:rPr>
        <w:t>（3）机器翻译</w:t>
      </w:r>
    </w:p>
    <w:p w14:paraId="5ED3A737">
      <w:pPr>
        <w:snapToGrid w:val="0"/>
        <w:spacing w:line="360" w:lineRule="auto"/>
        <w:ind w:firstLine="420" w:firstLineChars="200"/>
        <w:rPr>
          <w:szCs w:val="21"/>
        </w:rPr>
      </w:pPr>
      <w:r>
        <w:rPr>
          <w:rFonts w:hint="eastAsia"/>
          <w:szCs w:val="21"/>
        </w:rPr>
        <w:t>（4）自然语言人机交互</w:t>
      </w:r>
    </w:p>
    <w:p w14:paraId="78C2C7D6">
      <w:pPr>
        <w:snapToGrid w:val="0"/>
        <w:spacing w:line="360" w:lineRule="auto"/>
        <w:ind w:firstLine="420" w:firstLineChars="200"/>
        <w:rPr>
          <w:szCs w:val="21"/>
        </w:rPr>
      </w:pPr>
      <w:r>
        <w:rPr>
          <w:rFonts w:hint="eastAsia"/>
          <w:szCs w:val="21"/>
        </w:rPr>
        <w:t>（5）项目学习：自然语言处理任务</w:t>
      </w:r>
    </w:p>
    <w:p w14:paraId="63795B4B">
      <w:pPr>
        <w:spacing w:line="360" w:lineRule="auto"/>
        <w:ind w:firstLine="420" w:firstLineChars="200"/>
        <w:rPr>
          <w:szCs w:val="21"/>
        </w:rPr>
      </w:pPr>
      <w:r>
        <w:rPr>
          <w:color w:val="000000"/>
          <w:szCs w:val="21"/>
        </w:rPr>
        <w:t>2.基本</w:t>
      </w:r>
      <w:r>
        <w:rPr>
          <w:szCs w:val="21"/>
        </w:rPr>
        <w:t>要求</w:t>
      </w:r>
    </w:p>
    <w:p w14:paraId="41B04482">
      <w:pPr>
        <w:spacing w:line="360" w:lineRule="auto"/>
        <w:ind w:firstLine="411" w:firstLineChars="196"/>
        <w:rPr>
          <w:szCs w:val="21"/>
        </w:rPr>
      </w:pPr>
      <w:r>
        <w:rPr>
          <w:rFonts w:hint="eastAsia"/>
          <w:szCs w:val="21"/>
        </w:rPr>
        <w:t>（1）了解自然语言处理基本概念和常见任务分类</w:t>
      </w:r>
    </w:p>
    <w:p w14:paraId="2240F729">
      <w:pPr>
        <w:spacing w:line="360" w:lineRule="auto"/>
        <w:ind w:firstLine="411" w:firstLineChars="196"/>
        <w:rPr>
          <w:szCs w:val="21"/>
        </w:rPr>
      </w:pPr>
      <w:r>
        <w:rPr>
          <w:rFonts w:hint="eastAsia"/>
          <w:szCs w:val="21"/>
        </w:rPr>
        <w:t>（2）了解文本翻译模型的基本原理</w:t>
      </w:r>
    </w:p>
    <w:p w14:paraId="3156A1C2">
      <w:pPr>
        <w:spacing w:line="360" w:lineRule="auto"/>
        <w:ind w:firstLine="411" w:firstLineChars="196"/>
        <w:rPr>
          <w:szCs w:val="21"/>
        </w:rPr>
      </w:pPr>
      <w:r>
        <w:rPr>
          <w:rFonts w:hint="eastAsia"/>
          <w:szCs w:val="21"/>
        </w:rPr>
        <w:t>（3）掌握机器翻译模型的基本原理</w:t>
      </w:r>
    </w:p>
    <w:p w14:paraId="63885C5A">
      <w:pPr>
        <w:spacing w:line="360" w:lineRule="auto"/>
        <w:ind w:firstLine="411" w:firstLineChars="196"/>
        <w:rPr>
          <w:rFonts w:eastAsia="宋体"/>
          <w:szCs w:val="21"/>
        </w:rPr>
      </w:pPr>
      <w:r>
        <w:rPr>
          <w:rFonts w:hint="eastAsia"/>
          <w:szCs w:val="21"/>
        </w:rPr>
        <w:t>（4）掌握自然语言人机交互模型原理及应用场景</w:t>
      </w:r>
    </w:p>
    <w:p w14:paraId="014BD07A">
      <w:pPr>
        <w:spacing w:line="360" w:lineRule="auto"/>
        <w:ind w:firstLine="413" w:firstLineChars="196"/>
        <w:rPr>
          <w:b/>
          <w:szCs w:val="21"/>
        </w:rPr>
      </w:pPr>
      <w:r>
        <w:rPr>
          <w:rFonts w:hint="eastAsia"/>
          <w:b/>
          <w:szCs w:val="21"/>
        </w:rPr>
        <w:t>（五）人工智能伦理与法治</w:t>
      </w:r>
    </w:p>
    <w:p w14:paraId="54897B63">
      <w:pPr>
        <w:spacing w:line="360" w:lineRule="auto"/>
        <w:ind w:firstLine="411" w:firstLineChars="196"/>
        <w:rPr>
          <w:szCs w:val="21"/>
        </w:rPr>
      </w:pPr>
      <w:r>
        <w:rPr>
          <w:rFonts w:hint="eastAsia"/>
          <w:szCs w:val="21"/>
        </w:rPr>
        <w:t>1.教学内容</w:t>
      </w:r>
    </w:p>
    <w:p w14:paraId="394F5F1B">
      <w:pPr>
        <w:spacing w:line="360" w:lineRule="auto"/>
        <w:ind w:firstLine="411" w:firstLineChars="196"/>
        <w:rPr>
          <w:szCs w:val="21"/>
        </w:rPr>
      </w:pPr>
      <w:r>
        <w:rPr>
          <w:rFonts w:hint="eastAsia"/>
          <w:szCs w:val="21"/>
        </w:rPr>
        <w:t>（1）人工智能伦理概述</w:t>
      </w:r>
    </w:p>
    <w:p w14:paraId="35006175">
      <w:pPr>
        <w:spacing w:line="360" w:lineRule="auto"/>
        <w:ind w:firstLine="411" w:firstLineChars="196"/>
        <w:rPr>
          <w:szCs w:val="21"/>
        </w:rPr>
      </w:pPr>
      <w:r>
        <w:rPr>
          <w:rFonts w:hint="eastAsia"/>
          <w:szCs w:val="21"/>
        </w:rPr>
        <w:t>（2）数据与算法风险</w:t>
      </w:r>
    </w:p>
    <w:p w14:paraId="6AA78664">
      <w:pPr>
        <w:spacing w:line="360" w:lineRule="auto"/>
        <w:ind w:firstLine="411" w:firstLineChars="196"/>
        <w:rPr>
          <w:szCs w:val="21"/>
        </w:rPr>
      </w:pPr>
      <w:r>
        <w:rPr>
          <w:rFonts w:hint="eastAsia"/>
          <w:szCs w:val="21"/>
        </w:rPr>
        <w:t>（3）人工智能应用伦理</w:t>
      </w:r>
    </w:p>
    <w:p w14:paraId="37DB8FB5">
      <w:pPr>
        <w:spacing w:line="360" w:lineRule="auto"/>
        <w:ind w:firstLine="411" w:firstLineChars="196"/>
        <w:rPr>
          <w:szCs w:val="21"/>
        </w:rPr>
      </w:pPr>
      <w:r>
        <w:rPr>
          <w:rFonts w:hint="eastAsia"/>
          <w:szCs w:val="21"/>
        </w:rPr>
        <w:t>（4）人工智能伦理治理</w:t>
      </w:r>
    </w:p>
    <w:p w14:paraId="7D24E360">
      <w:pPr>
        <w:spacing w:line="360" w:lineRule="auto"/>
        <w:ind w:firstLine="411" w:firstLineChars="196"/>
        <w:rPr>
          <w:szCs w:val="21"/>
        </w:rPr>
      </w:pPr>
      <w:r>
        <w:rPr>
          <w:rFonts w:hint="eastAsia"/>
          <w:szCs w:val="21"/>
        </w:rPr>
        <w:t>2.基本要求</w:t>
      </w:r>
    </w:p>
    <w:p w14:paraId="0B33C4CD">
      <w:pPr>
        <w:spacing w:line="360" w:lineRule="auto"/>
        <w:ind w:firstLine="411" w:firstLineChars="196"/>
        <w:rPr>
          <w:bCs/>
          <w:szCs w:val="21"/>
        </w:rPr>
      </w:pPr>
      <w:r>
        <w:rPr>
          <w:rFonts w:hint="eastAsia"/>
          <w:bCs/>
          <w:szCs w:val="21"/>
        </w:rPr>
        <w:t>（1）了解人工智能思维及当前存在的伦理问题</w:t>
      </w:r>
    </w:p>
    <w:p w14:paraId="5C11A7BD">
      <w:pPr>
        <w:spacing w:line="360" w:lineRule="auto"/>
        <w:ind w:firstLine="411" w:firstLineChars="196"/>
        <w:rPr>
          <w:bCs/>
          <w:szCs w:val="21"/>
        </w:rPr>
      </w:pPr>
      <w:r>
        <w:rPr>
          <w:rFonts w:hint="eastAsia"/>
          <w:bCs/>
          <w:szCs w:val="21"/>
        </w:rPr>
        <w:t>（2）了解人工智能伦理问题的治理及法规制定</w:t>
      </w:r>
    </w:p>
    <w:p w14:paraId="2C5CF180">
      <w:pPr>
        <w:spacing w:line="360" w:lineRule="auto"/>
        <w:ind w:firstLine="413" w:firstLineChars="196"/>
        <w:rPr>
          <w:b/>
          <w:szCs w:val="21"/>
        </w:rPr>
      </w:pPr>
      <w:r>
        <w:rPr>
          <w:rFonts w:hint="eastAsia"/>
          <w:b/>
          <w:szCs w:val="21"/>
        </w:rPr>
        <w:t>（六）人工智能开发语言</w:t>
      </w:r>
    </w:p>
    <w:p w14:paraId="04A98E4D">
      <w:pPr>
        <w:spacing w:line="360" w:lineRule="auto"/>
        <w:ind w:firstLine="411" w:firstLineChars="196"/>
        <w:rPr>
          <w:szCs w:val="21"/>
        </w:rPr>
      </w:pPr>
      <w:r>
        <w:rPr>
          <w:rFonts w:hint="eastAsia"/>
          <w:szCs w:val="21"/>
        </w:rPr>
        <w:t>1.教学内容</w:t>
      </w:r>
    </w:p>
    <w:p w14:paraId="77C4C86E">
      <w:pPr>
        <w:spacing w:line="360" w:lineRule="auto"/>
        <w:ind w:firstLine="411" w:firstLineChars="196"/>
        <w:rPr>
          <w:szCs w:val="21"/>
        </w:rPr>
      </w:pPr>
      <w:r>
        <w:rPr>
          <w:rFonts w:hint="eastAsia"/>
          <w:szCs w:val="21"/>
        </w:rPr>
        <w:t>（1）Python安装方法及开发环境</w:t>
      </w:r>
    </w:p>
    <w:p w14:paraId="534A2776">
      <w:pPr>
        <w:spacing w:line="360" w:lineRule="auto"/>
        <w:ind w:firstLine="411" w:firstLineChars="196"/>
        <w:rPr>
          <w:szCs w:val="21"/>
        </w:rPr>
      </w:pPr>
      <w:r>
        <w:rPr>
          <w:rFonts w:hint="eastAsia"/>
          <w:szCs w:val="21"/>
        </w:rPr>
        <w:t>（2）Python常用库介绍</w:t>
      </w:r>
    </w:p>
    <w:p w14:paraId="5ED8AB50">
      <w:pPr>
        <w:spacing w:line="360" w:lineRule="auto"/>
        <w:ind w:firstLine="411" w:firstLineChars="196"/>
        <w:rPr>
          <w:szCs w:val="21"/>
        </w:rPr>
      </w:pPr>
      <w:r>
        <w:rPr>
          <w:rFonts w:hint="eastAsia"/>
          <w:szCs w:val="21"/>
        </w:rPr>
        <w:t>（3）Python语法与编程简介</w:t>
      </w:r>
    </w:p>
    <w:p w14:paraId="393106E9">
      <w:pPr>
        <w:spacing w:line="360" w:lineRule="auto"/>
        <w:ind w:firstLine="411" w:firstLineChars="196"/>
        <w:rPr>
          <w:szCs w:val="21"/>
        </w:rPr>
      </w:pPr>
      <w:r>
        <w:rPr>
          <w:rFonts w:hint="eastAsia"/>
          <w:szCs w:val="21"/>
        </w:rPr>
        <w:t>2.基本要求</w:t>
      </w:r>
    </w:p>
    <w:p w14:paraId="28E2F33C">
      <w:pPr>
        <w:spacing w:line="360" w:lineRule="auto"/>
        <w:ind w:firstLine="420" w:firstLineChars="200"/>
        <w:rPr>
          <w:color w:val="000000"/>
          <w:szCs w:val="21"/>
        </w:rPr>
      </w:pPr>
      <w:r>
        <w:rPr>
          <w:rFonts w:hint="eastAsia"/>
          <w:color w:val="000000"/>
          <w:szCs w:val="21"/>
        </w:rPr>
        <w:t>（1）了解</w:t>
      </w:r>
      <w:r>
        <w:rPr>
          <w:color w:val="000000"/>
          <w:szCs w:val="21"/>
        </w:rPr>
        <w:t>Python</w:t>
      </w:r>
      <w:r>
        <w:rPr>
          <w:rFonts w:hint="eastAsia"/>
          <w:color w:val="000000"/>
          <w:szCs w:val="21"/>
        </w:rPr>
        <w:t>语言特性及其在人工智能领域的重要性</w:t>
      </w:r>
    </w:p>
    <w:p w14:paraId="259A0F6D">
      <w:pPr>
        <w:spacing w:line="360" w:lineRule="auto"/>
        <w:ind w:firstLine="420" w:firstLineChars="200"/>
        <w:rPr>
          <w:color w:val="000000"/>
          <w:szCs w:val="21"/>
        </w:rPr>
      </w:pPr>
      <w:r>
        <w:rPr>
          <w:rFonts w:hint="eastAsia"/>
          <w:color w:val="000000"/>
          <w:szCs w:val="21"/>
        </w:rPr>
        <w:t>（2）掌握</w:t>
      </w:r>
      <w:r>
        <w:rPr>
          <w:color w:val="000000"/>
          <w:szCs w:val="21"/>
        </w:rPr>
        <w:t>Python</w:t>
      </w:r>
      <w:r>
        <w:rPr>
          <w:rFonts w:hint="eastAsia"/>
          <w:color w:val="000000"/>
          <w:szCs w:val="21"/>
        </w:rPr>
        <w:t>编程环境的安装与配置</w:t>
      </w:r>
    </w:p>
    <w:p w14:paraId="224E9F24">
      <w:pPr>
        <w:spacing w:line="360" w:lineRule="auto"/>
        <w:ind w:firstLine="420" w:firstLineChars="200"/>
        <w:rPr>
          <w:color w:val="000000"/>
          <w:szCs w:val="21"/>
        </w:rPr>
      </w:pPr>
      <w:r>
        <w:rPr>
          <w:rFonts w:hint="eastAsia"/>
          <w:color w:val="000000"/>
          <w:szCs w:val="21"/>
        </w:rPr>
        <w:t>（3）理解</w:t>
      </w:r>
      <w:r>
        <w:rPr>
          <w:color w:val="000000"/>
          <w:szCs w:val="21"/>
        </w:rPr>
        <w:t>Python</w:t>
      </w:r>
      <w:r>
        <w:rPr>
          <w:rFonts w:hint="eastAsia"/>
          <w:color w:val="000000"/>
          <w:szCs w:val="21"/>
        </w:rPr>
        <w:t>基本数据类型与复合数据结构，掌握运算符与表达式的使用，熟悉程序控制语句（条件语句、循环语句、可迭代对象的遍历方法）</w:t>
      </w:r>
    </w:p>
    <w:p w14:paraId="3D3BFA0D">
      <w:pPr>
        <w:spacing w:line="360" w:lineRule="auto"/>
        <w:ind w:firstLine="420" w:firstLineChars="200"/>
        <w:rPr>
          <w:rFonts w:eastAsia="宋体"/>
          <w:color w:val="000000"/>
          <w:szCs w:val="21"/>
        </w:rPr>
      </w:pPr>
      <w:r>
        <w:rPr>
          <w:rFonts w:hint="eastAsia"/>
          <w:color w:val="000000"/>
          <w:szCs w:val="21"/>
        </w:rPr>
        <w:t>（4）掌握人工智能常用第三方库的安装与使用</w:t>
      </w:r>
    </w:p>
    <w:p w14:paraId="40F4939F">
      <w:pPr>
        <w:snapToGrid w:val="0"/>
        <w:spacing w:line="360" w:lineRule="auto"/>
        <w:ind w:firstLine="413" w:firstLineChars="196"/>
        <w:rPr>
          <w:b/>
          <w:szCs w:val="21"/>
        </w:rPr>
      </w:pPr>
      <w:r>
        <w:rPr>
          <w:b/>
          <w:szCs w:val="21"/>
        </w:rPr>
        <w:t>（</w:t>
      </w:r>
      <w:r>
        <w:rPr>
          <w:rFonts w:hint="eastAsia"/>
          <w:b/>
          <w:szCs w:val="21"/>
        </w:rPr>
        <w:t>七</w:t>
      </w:r>
      <w:r>
        <w:rPr>
          <w:b/>
          <w:szCs w:val="21"/>
        </w:rPr>
        <w:t>）</w:t>
      </w:r>
      <w:r>
        <w:rPr>
          <w:rFonts w:hint="eastAsia"/>
          <w:b/>
          <w:szCs w:val="21"/>
        </w:rPr>
        <w:t>生成式人工智能大模型应用</w:t>
      </w:r>
    </w:p>
    <w:p w14:paraId="01D01EDF">
      <w:pPr>
        <w:snapToGrid w:val="0"/>
        <w:spacing w:line="360" w:lineRule="auto"/>
        <w:ind w:firstLine="420" w:firstLineChars="200"/>
        <w:rPr>
          <w:szCs w:val="21"/>
        </w:rPr>
      </w:pPr>
      <w:r>
        <w:rPr>
          <w:szCs w:val="21"/>
        </w:rPr>
        <w:t>1.教学内容</w:t>
      </w:r>
    </w:p>
    <w:p w14:paraId="283CF7E7">
      <w:pPr>
        <w:snapToGrid w:val="0"/>
        <w:spacing w:line="360" w:lineRule="auto"/>
        <w:ind w:firstLine="420" w:firstLineChars="200"/>
        <w:rPr>
          <w:szCs w:val="21"/>
        </w:rPr>
      </w:pPr>
      <w:r>
        <w:rPr>
          <w:rFonts w:hint="eastAsia"/>
          <w:szCs w:val="21"/>
        </w:rPr>
        <w:t>（1）大语言模型的概念</w:t>
      </w:r>
    </w:p>
    <w:p w14:paraId="45FF16D0">
      <w:pPr>
        <w:snapToGrid w:val="0"/>
        <w:spacing w:line="360" w:lineRule="auto"/>
        <w:ind w:firstLine="420" w:firstLineChars="200"/>
        <w:rPr>
          <w:szCs w:val="21"/>
        </w:rPr>
      </w:pPr>
      <w:r>
        <w:rPr>
          <w:rFonts w:hint="eastAsia"/>
          <w:szCs w:val="21"/>
        </w:rPr>
        <w:t>（2）大语言模型的使用技巧</w:t>
      </w:r>
    </w:p>
    <w:p w14:paraId="661AF563">
      <w:pPr>
        <w:snapToGrid w:val="0"/>
        <w:spacing w:line="360" w:lineRule="auto"/>
        <w:ind w:firstLine="420" w:firstLineChars="200"/>
        <w:rPr>
          <w:szCs w:val="21"/>
        </w:rPr>
      </w:pPr>
      <w:r>
        <w:rPr>
          <w:rFonts w:hint="eastAsia"/>
          <w:szCs w:val="21"/>
        </w:rPr>
        <w:t>（3）大模型技术的典型应用</w:t>
      </w:r>
    </w:p>
    <w:p w14:paraId="3344D046">
      <w:pPr>
        <w:snapToGrid w:val="0"/>
        <w:spacing w:line="360" w:lineRule="auto"/>
        <w:ind w:firstLine="420" w:firstLineChars="200"/>
        <w:rPr>
          <w:rFonts w:eastAsia="宋体"/>
          <w:szCs w:val="21"/>
        </w:rPr>
      </w:pPr>
      <w:r>
        <w:rPr>
          <w:rFonts w:hint="eastAsia"/>
          <w:szCs w:val="21"/>
        </w:rPr>
        <w:t>（4）图像大模型技术</w:t>
      </w:r>
    </w:p>
    <w:p w14:paraId="71F6EA30">
      <w:pPr>
        <w:spacing w:line="360" w:lineRule="auto"/>
        <w:ind w:firstLine="420" w:firstLineChars="200"/>
        <w:rPr>
          <w:color w:val="000000"/>
          <w:szCs w:val="21"/>
        </w:rPr>
      </w:pPr>
      <w:r>
        <w:rPr>
          <w:color w:val="000000"/>
          <w:szCs w:val="21"/>
        </w:rPr>
        <w:t>2.基本要求</w:t>
      </w:r>
    </w:p>
    <w:p w14:paraId="28832EB2">
      <w:pPr>
        <w:spacing w:line="360" w:lineRule="auto"/>
        <w:ind w:firstLine="411" w:firstLineChars="196"/>
        <w:rPr>
          <w:bCs/>
          <w:szCs w:val="21"/>
        </w:rPr>
      </w:pPr>
      <w:r>
        <w:rPr>
          <w:rFonts w:hint="eastAsia"/>
          <w:bCs/>
          <w:szCs w:val="21"/>
        </w:rPr>
        <w:t>（</w:t>
      </w:r>
      <w:r>
        <w:rPr>
          <w:bCs/>
          <w:szCs w:val="21"/>
        </w:rPr>
        <w:t>1</w:t>
      </w:r>
      <w:r>
        <w:rPr>
          <w:rFonts w:hint="eastAsia"/>
          <w:bCs/>
          <w:szCs w:val="21"/>
        </w:rPr>
        <w:t>）了解生成式大模型的基本概念及其发展现状</w:t>
      </w:r>
    </w:p>
    <w:p w14:paraId="4BA334DC">
      <w:pPr>
        <w:spacing w:line="360" w:lineRule="auto"/>
        <w:ind w:firstLine="411" w:firstLineChars="196"/>
        <w:rPr>
          <w:bCs/>
          <w:szCs w:val="21"/>
        </w:rPr>
      </w:pPr>
      <w:r>
        <w:rPr>
          <w:bCs/>
          <w:szCs w:val="21"/>
        </w:rPr>
        <w:t>（</w:t>
      </w:r>
      <w:r>
        <w:rPr>
          <w:rFonts w:hint="eastAsia"/>
          <w:bCs/>
          <w:szCs w:val="21"/>
        </w:rPr>
        <w:t>2）熟悉国内外主流生成式模型</w:t>
      </w:r>
    </w:p>
    <w:p w14:paraId="4F2FBFBA">
      <w:pPr>
        <w:spacing w:line="360" w:lineRule="auto"/>
        <w:ind w:firstLine="411" w:firstLineChars="196"/>
        <w:rPr>
          <w:bCs/>
          <w:szCs w:val="21"/>
        </w:rPr>
      </w:pPr>
      <w:r>
        <w:rPr>
          <w:rFonts w:hint="eastAsia"/>
          <w:bCs/>
          <w:szCs w:val="21"/>
        </w:rPr>
        <w:t>（3）掌握常见AIGC大模型工具的基本操作和使用技巧。</w:t>
      </w:r>
    </w:p>
    <w:p w14:paraId="75DB1A4F">
      <w:pPr>
        <w:spacing w:line="360" w:lineRule="auto"/>
        <w:ind w:firstLine="413" w:firstLineChars="196"/>
        <w:rPr>
          <w:rFonts w:eastAsia="宋体"/>
          <w:b/>
          <w:szCs w:val="21"/>
        </w:rPr>
      </w:pPr>
      <w:r>
        <w:rPr>
          <w:rFonts w:hint="eastAsia"/>
          <w:b/>
          <w:szCs w:val="21"/>
        </w:rPr>
        <w:t>（八）信息素养基础模块</w:t>
      </w:r>
    </w:p>
    <w:p w14:paraId="718D3D6F">
      <w:pPr>
        <w:spacing w:line="360" w:lineRule="auto"/>
        <w:ind w:firstLine="411" w:firstLineChars="196"/>
        <w:rPr>
          <w:szCs w:val="21"/>
        </w:rPr>
      </w:pPr>
      <w:r>
        <w:rPr>
          <w:rFonts w:hint="eastAsia"/>
          <w:szCs w:val="21"/>
        </w:rPr>
        <w:t>1.教学内容</w:t>
      </w:r>
    </w:p>
    <w:p w14:paraId="527ACB87">
      <w:pPr>
        <w:spacing w:line="360" w:lineRule="auto"/>
        <w:ind w:firstLine="411" w:firstLineChars="196"/>
        <w:rPr>
          <w:szCs w:val="21"/>
        </w:rPr>
      </w:pPr>
      <w:r>
        <w:rPr>
          <w:rFonts w:hint="eastAsia"/>
          <w:szCs w:val="21"/>
        </w:rPr>
        <w:t>（1）WPS文字</w:t>
      </w:r>
    </w:p>
    <w:p w14:paraId="4BDECBCA">
      <w:pPr>
        <w:spacing w:line="360" w:lineRule="auto"/>
        <w:ind w:firstLine="411" w:firstLineChars="196"/>
        <w:rPr>
          <w:szCs w:val="21"/>
        </w:rPr>
      </w:pPr>
      <w:r>
        <w:rPr>
          <w:rFonts w:hint="eastAsia"/>
          <w:szCs w:val="21"/>
        </w:rPr>
        <w:t>（2）WPS表格</w:t>
      </w:r>
    </w:p>
    <w:p w14:paraId="3D3CE4BE">
      <w:pPr>
        <w:spacing w:line="360" w:lineRule="auto"/>
        <w:ind w:firstLine="411" w:firstLineChars="196"/>
        <w:rPr>
          <w:szCs w:val="21"/>
        </w:rPr>
      </w:pPr>
      <w:r>
        <w:rPr>
          <w:rFonts w:hint="eastAsia"/>
          <w:szCs w:val="21"/>
        </w:rPr>
        <w:t>（3）WPS演示文稿</w:t>
      </w:r>
    </w:p>
    <w:p w14:paraId="64201720">
      <w:pPr>
        <w:spacing w:line="360" w:lineRule="auto"/>
        <w:ind w:firstLine="411" w:firstLineChars="196"/>
        <w:rPr>
          <w:szCs w:val="21"/>
        </w:rPr>
      </w:pPr>
      <w:r>
        <w:rPr>
          <w:rFonts w:hint="eastAsia"/>
          <w:szCs w:val="21"/>
        </w:rPr>
        <w:t>（4）办公AIGC应用</w:t>
      </w:r>
    </w:p>
    <w:p w14:paraId="3E24191E">
      <w:pPr>
        <w:spacing w:line="360" w:lineRule="auto"/>
        <w:ind w:firstLine="411" w:firstLineChars="196"/>
        <w:rPr>
          <w:szCs w:val="21"/>
        </w:rPr>
      </w:pPr>
      <w:r>
        <w:rPr>
          <w:rFonts w:hint="eastAsia"/>
          <w:szCs w:val="21"/>
        </w:rPr>
        <w:t>2.基本要求</w:t>
      </w:r>
    </w:p>
    <w:p w14:paraId="09E45C5C">
      <w:pPr>
        <w:spacing w:line="360" w:lineRule="auto"/>
        <w:ind w:firstLine="411" w:firstLineChars="196"/>
        <w:rPr>
          <w:bCs/>
          <w:szCs w:val="21"/>
        </w:rPr>
      </w:pPr>
      <w:r>
        <w:rPr>
          <w:rFonts w:hint="eastAsia"/>
          <w:bCs/>
          <w:szCs w:val="21"/>
        </w:rPr>
        <w:t>（</w:t>
      </w:r>
      <w:r>
        <w:rPr>
          <w:bCs/>
          <w:szCs w:val="21"/>
        </w:rPr>
        <w:t>1</w:t>
      </w:r>
      <w:r>
        <w:rPr>
          <w:rFonts w:hint="eastAsia"/>
          <w:bCs/>
          <w:szCs w:val="21"/>
        </w:rPr>
        <w:t>）掌握WPS文字编辑美化论文</w:t>
      </w:r>
    </w:p>
    <w:p w14:paraId="18B7DB57">
      <w:pPr>
        <w:spacing w:line="360" w:lineRule="auto"/>
        <w:ind w:firstLine="411" w:firstLineChars="196"/>
        <w:rPr>
          <w:bCs/>
          <w:szCs w:val="21"/>
        </w:rPr>
      </w:pPr>
      <w:r>
        <w:rPr>
          <w:rFonts w:hint="eastAsia"/>
          <w:bCs/>
          <w:szCs w:val="21"/>
        </w:rPr>
        <w:t>（</w:t>
      </w:r>
      <w:r>
        <w:rPr>
          <w:bCs/>
          <w:szCs w:val="21"/>
        </w:rPr>
        <w:t>2</w:t>
      </w:r>
      <w:r>
        <w:rPr>
          <w:rFonts w:hint="eastAsia"/>
          <w:bCs/>
          <w:szCs w:val="21"/>
        </w:rPr>
        <w:t>）掌握WPS表格的格式设置、函数的使用</w:t>
      </w:r>
    </w:p>
    <w:p w14:paraId="606648A2">
      <w:pPr>
        <w:spacing w:line="360" w:lineRule="auto"/>
        <w:ind w:firstLine="411" w:firstLineChars="196"/>
        <w:rPr>
          <w:bCs/>
          <w:szCs w:val="21"/>
        </w:rPr>
      </w:pPr>
      <w:r>
        <w:rPr>
          <w:rFonts w:hint="eastAsia"/>
          <w:bCs/>
          <w:szCs w:val="21"/>
        </w:rPr>
        <w:t>（3）掌握WPS文稿制作、美化演示文稿</w:t>
      </w:r>
    </w:p>
    <w:p w14:paraId="4EFD5940">
      <w:pPr>
        <w:spacing w:line="360" w:lineRule="auto"/>
        <w:ind w:firstLine="411" w:firstLineChars="196"/>
        <w:rPr>
          <w:bCs/>
          <w:szCs w:val="21"/>
        </w:rPr>
      </w:pPr>
      <w:r>
        <w:rPr>
          <w:rFonts w:hint="eastAsia"/>
          <w:bCs/>
          <w:szCs w:val="21"/>
        </w:rPr>
        <w:t>（4）掌握常见的办公AIGC应用</w:t>
      </w:r>
    </w:p>
    <w:p w14:paraId="6855C364">
      <w:pPr>
        <w:spacing w:line="360" w:lineRule="auto"/>
        <w:ind w:firstLine="413" w:firstLineChars="196"/>
        <w:rPr>
          <w:rFonts w:ascii="Times New Roman" w:hAnsi="Times New Roman" w:eastAsia="宋体" w:cs="Times New Roman"/>
          <w:b/>
          <w:szCs w:val="21"/>
        </w:rPr>
      </w:pPr>
      <w:r>
        <w:rPr>
          <w:rFonts w:hint="eastAsia" w:ascii="Times New Roman" w:hAnsi="Times New Roman" w:eastAsia="宋体" w:cs="Times New Roman"/>
          <w:b/>
          <w:szCs w:val="21"/>
        </w:rPr>
        <w:t>（九）综合应用</w:t>
      </w:r>
    </w:p>
    <w:p w14:paraId="3D35B6AF">
      <w:pPr>
        <w:spacing w:line="360" w:lineRule="auto"/>
        <w:ind w:firstLine="411" w:firstLineChars="196"/>
        <w:rPr>
          <w:szCs w:val="21"/>
        </w:rPr>
      </w:pPr>
      <w:r>
        <w:rPr>
          <w:rFonts w:hint="eastAsia"/>
          <w:szCs w:val="21"/>
        </w:rPr>
        <w:t>1.教学内容</w:t>
      </w:r>
    </w:p>
    <w:p w14:paraId="50AE2BDE">
      <w:pPr>
        <w:spacing w:line="360" w:lineRule="auto"/>
        <w:ind w:firstLine="411" w:firstLineChars="196"/>
        <w:rPr>
          <w:szCs w:val="21"/>
        </w:rPr>
      </w:pPr>
      <w:r>
        <w:rPr>
          <w:rFonts w:hint="eastAsia"/>
          <w:szCs w:val="21"/>
        </w:rPr>
        <w:t>（1）人工智能基本工具和方法</w:t>
      </w:r>
    </w:p>
    <w:p w14:paraId="44D5CAC0">
      <w:pPr>
        <w:spacing w:line="360" w:lineRule="auto"/>
        <w:ind w:firstLine="411" w:firstLineChars="196"/>
        <w:rPr>
          <w:szCs w:val="21"/>
        </w:rPr>
      </w:pPr>
      <w:r>
        <w:rPr>
          <w:rFonts w:hint="eastAsia"/>
          <w:szCs w:val="21"/>
        </w:rPr>
        <w:t>（2）WPS文字、表格、演示文稿的综合</w:t>
      </w:r>
    </w:p>
    <w:p w14:paraId="58CFFF31">
      <w:pPr>
        <w:spacing w:line="360" w:lineRule="auto"/>
        <w:ind w:firstLine="411" w:firstLineChars="196"/>
        <w:rPr>
          <w:szCs w:val="21"/>
        </w:rPr>
      </w:pPr>
      <w:r>
        <w:rPr>
          <w:rFonts w:hint="eastAsia"/>
          <w:szCs w:val="21"/>
        </w:rPr>
        <w:t>2.基本要求</w:t>
      </w:r>
    </w:p>
    <w:p w14:paraId="3E7DD3AB">
      <w:pPr>
        <w:spacing w:line="360" w:lineRule="auto"/>
        <w:ind w:firstLine="411" w:firstLineChars="196"/>
        <w:rPr>
          <w:szCs w:val="21"/>
        </w:rPr>
      </w:pPr>
      <w:r>
        <w:rPr>
          <w:rFonts w:hint="eastAsia"/>
          <w:szCs w:val="21"/>
        </w:rPr>
        <w:t>（1）掌握人工智能基本工具和方法</w:t>
      </w:r>
    </w:p>
    <w:p w14:paraId="7C2E0AEE">
      <w:pPr>
        <w:spacing w:line="360" w:lineRule="auto"/>
        <w:ind w:firstLine="411" w:firstLineChars="196"/>
        <w:rPr>
          <w:rFonts w:ascii="Times New Roman" w:hAnsi="Times New Roman" w:eastAsia="宋体" w:cs="Times New Roman"/>
          <w:b/>
          <w:szCs w:val="21"/>
        </w:rPr>
      </w:pPr>
      <w:r>
        <w:rPr>
          <w:rFonts w:hint="eastAsia"/>
          <w:szCs w:val="21"/>
        </w:rPr>
        <w:t>（2）掌握WPS文字、表格、演示文稿的相关知识</w:t>
      </w:r>
    </w:p>
    <w:p w14:paraId="0D663510">
      <w:pPr>
        <w:spacing w:line="360" w:lineRule="auto"/>
        <w:ind w:firstLine="420" w:firstLineChars="200"/>
        <w:rPr>
          <w:szCs w:val="21"/>
        </w:rPr>
      </w:pPr>
      <w:r>
        <w:rPr>
          <w:rFonts w:hint="eastAsia"/>
          <w:szCs w:val="21"/>
        </w:rPr>
        <w:t>教学内容与</w:t>
      </w:r>
      <w:r>
        <w:rPr>
          <w:szCs w:val="21"/>
        </w:rPr>
        <w:t>课程目标的</w:t>
      </w:r>
      <w:r>
        <w:rPr>
          <w:rFonts w:hint="eastAsia"/>
          <w:szCs w:val="21"/>
        </w:rPr>
        <w:t>对应关系及</w:t>
      </w:r>
      <w:r>
        <w:rPr>
          <w:szCs w:val="21"/>
        </w:rPr>
        <w:t>学时分配</w:t>
      </w:r>
      <w:r>
        <w:rPr>
          <w:rFonts w:hint="eastAsia"/>
          <w:szCs w:val="21"/>
        </w:rPr>
        <w:t>如表2所示。</w:t>
      </w:r>
    </w:p>
    <w:p w14:paraId="250E702B">
      <w:pPr>
        <w:spacing w:line="360" w:lineRule="auto"/>
        <w:jc w:val="center"/>
        <w:rPr>
          <w:szCs w:val="21"/>
        </w:rPr>
      </w:pPr>
      <w:r>
        <w:rPr>
          <w:szCs w:val="21"/>
        </w:rPr>
        <w:t>表2  教学内容与课程目标的对应关系及学时分配表</w:t>
      </w:r>
    </w:p>
    <w:tbl>
      <w:tblPr>
        <w:tblStyle w:val="11"/>
        <w:tblW w:w="8757"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74"/>
        <w:gridCol w:w="1292"/>
        <w:gridCol w:w="1341"/>
        <w:gridCol w:w="637"/>
        <w:gridCol w:w="2669"/>
        <w:gridCol w:w="917"/>
      </w:tblGrid>
      <w:tr w14:paraId="7F42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14:paraId="35F1F4CB">
            <w:pPr>
              <w:widowControl/>
              <w:adjustRightInd w:val="0"/>
              <w:snapToGrid w:val="0"/>
              <w:jc w:val="center"/>
              <w:rPr>
                <w:b/>
                <w:bCs/>
                <w:szCs w:val="21"/>
              </w:rPr>
            </w:pPr>
            <w:r>
              <w:rPr>
                <w:b/>
                <w:bCs/>
                <w:szCs w:val="21"/>
              </w:rPr>
              <w:t>序号</w:t>
            </w:r>
          </w:p>
        </w:tc>
        <w:tc>
          <w:tcPr>
            <w:tcW w:w="1474" w:type="dxa"/>
            <w:tcBorders>
              <w:top w:val="single" w:color="auto" w:sz="4" w:space="0"/>
              <w:left w:val="single" w:color="auto" w:sz="4" w:space="0"/>
              <w:bottom w:val="single" w:color="auto" w:sz="4" w:space="0"/>
              <w:right w:val="single" w:color="auto" w:sz="4" w:space="0"/>
            </w:tcBorders>
            <w:shd w:val="clear" w:color="auto" w:fill="FFFFFF"/>
            <w:vAlign w:val="center"/>
          </w:tcPr>
          <w:p w14:paraId="1E48DB0D">
            <w:pPr>
              <w:widowControl/>
              <w:adjustRightInd w:val="0"/>
              <w:snapToGrid w:val="0"/>
              <w:jc w:val="center"/>
              <w:rPr>
                <w:b/>
                <w:bCs/>
                <w:szCs w:val="21"/>
              </w:rPr>
            </w:pPr>
            <w:r>
              <w:rPr>
                <w:b/>
                <w:bCs/>
                <w:szCs w:val="21"/>
              </w:rPr>
              <w:t>教学内容</w:t>
            </w:r>
          </w:p>
        </w:tc>
        <w:tc>
          <w:tcPr>
            <w:tcW w:w="1292" w:type="dxa"/>
            <w:tcBorders>
              <w:top w:val="single" w:color="auto" w:sz="4" w:space="0"/>
              <w:left w:val="single" w:color="auto" w:sz="4" w:space="0"/>
              <w:bottom w:val="single" w:color="auto" w:sz="4" w:space="0"/>
              <w:right w:val="single" w:color="auto" w:sz="4" w:space="0"/>
            </w:tcBorders>
            <w:shd w:val="clear" w:color="auto" w:fill="FFFFFF"/>
            <w:vAlign w:val="center"/>
          </w:tcPr>
          <w:p w14:paraId="6C084A40">
            <w:pPr>
              <w:widowControl/>
              <w:adjustRightInd w:val="0"/>
              <w:snapToGrid w:val="0"/>
              <w:jc w:val="center"/>
              <w:rPr>
                <w:b/>
                <w:bCs/>
                <w:szCs w:val="21"/>
              </w:rPr>
            </w:pPr>
            <w:r>
              <w:rPr>
                <w:b/>
                <w:bCs/>
                <w:szCs w:val="21"/>
              </w:rPr>
              <w:t>支撑的课程目标</w:t>
            </w:r>
          </w:p>
        </w:tc>
        <w:tc>
          <w:tcPr>
            <w:tcW w:w="1341" w:type="dxa"/>
            <w:tcBorders>
              <w:top w:val="single" w:color="auto" w:sz="4" w:space="0"/>
              <w:left w:val="single" w:color="auto" w:sz="4" w:space="0"/>
              <w:bottom w:val="single" w:color="auto" w:sz="4" w:space="0"/>
              <w:right w:val="single" w:color="auto" w:sz="4" w:space="0"/>
            </w:tcBorders>
            <w:shd w:val="clear" w:color="auto" w:fill="FFFFFF"/>
            <w:vAlign w:val="center"/>
          </w:tcPr>
          <w:p w14:paraId="151572DD">
            <w:pPr>
              <w:widowControl/>
              <w:adjustRightInd w:val="0"/>
              <w:snapToGrid w:val="0"/>
              <w:jc w:val="center"/>
              <w:rPr>
                <w:b/>
                <w:bCs/>
                <w:szCs w:val="21"/>
              </w:rPr>
            </w:pPr>
            <w:r>
              <w:rPr>
                <w:b/>
                <w:bCs/>
                <w:szCs w:val="21"/>
              </w:rPr>
              <w:t>支撑的毕业要求</w:t>
            </w:r>
            <w:r>
              <w:rPr>
                <w:rFonts w:hint="eastAsia"/>
                <w:b/>
                <w:bCs/>
                <w:szCs w:val="21"/>
              </w:rPr>
              <w:t>观测</w:t>
            </w:r>
            <w:r>
              <w:rPr>
                <w:b/>
                <w:bCs/>
                <w:szCs w:val="21"/>
              </w:rPr>
              <w:t>点</w:t>
            </w:r>
          </w:p>
        </w:tc>
        <w:tc>
          <w:tcPr>
            <w:tcW w:w="637" w:type="dxa"/>
            <w:tcBorders>
              <w:top w:val="single" w:color="auto" w:sz="4" w:space="0"/>
              <w:left w:val="single" w:color="auto" w:sz="4" w:space="0"/>
              <w:bottom w:val="single" w:color="auto" w:sz="4" w:space="0"/>
              <w:right w:val="single" w:color="auto" w:sz="4" w:space="0"/>
            </w:tcBorders>
            <w:shd w:val="clear" w:color="auto" w:fill="FFFFFF"/>
            <w:vAlign w:val="center"/>
          </w:tcPr>
          <w:p w14:paraId="72E43444">
            <w:pPr>
              <w:widowControl/>
              <w:adjustRightInd w:val="0"/>
              <w:snapToGrid w:val="0"/>
              <w:jc w:val="center"/>
              <w:rPr>
                <w:b/>
                <w:bCs/>
                <w:szCs w:val="21"/>
              </w:rPr>
            </w:pPr>
            <w:r>
              <w:rPr>
                <w:b/>
                <w:bCs/>
                <w:szCs w:val="21"/>
              </w:rPr>
              <w:t>讲授学时</w:t>
            </w:r>
          </w:p>
        </w:tc>
        <w:tc>
          <w:tcPr>
            <w:tcW w:w="2669" w:type="dxa"/>
            <w:tcBorders>
              <w:top w:val="single" w:color="auto" w:sz="4" w:space="0"/>
              <w:left w:val="single" w:color="auto" w:sz="4" w:space="0"/>
              <w:bottom w:val="single" w:color="auto" w:sz="4" w:space="0"/>
              <w:right w:val="single" w:color="auto" w:sz="4" w:space="0"/>
            </w:tcBorders>
            <w:shd w:val="clear" w:color="auto" w:fill="FFFFFF"/>
            <w:vAlign w:val="center"/>
          </w:tcPr>
          <w:p w14:paraId="37B60672">
            <w:pPr>
              <w:widowControl/>
              <w:adjustRightInd w:val="0"/>
              <w:snapToGrid w:val="0"/>
              <w:jc w:val="center"/>
              <w:rPr>
                <w:b/>
                <w:bCs/>
                <w:szCs w:val="21"/>
              </w:rPr>
            </w:pPr>
            <w:r>
              <w:rPr>
                <w:rFonts w:hint="eastAsia"/>
                <w:b/>
                <w:bCs/>
                <w:szCs w:val="21"/>
              </w:rPr>
              <w:t>课程思政融入点</w:t>
            </w:r>
          </w:p>
        </w:tc>
        <w:tc>
          <w:tcPr>
            <w:tcW w:w="917" w:type="dxa"/>
            <w:tcBorders>
              <w:top w:val="single" w:color="auto" w:sz="4" w:space="0"/>
              <w:left w:val="single" w:color="auto" w:sz="4" w:space="0"/>
              <w:bottom w:val="single" w:color="auto" w:sz="4" w:space="0"/>
              <w:right w:val="single" w:color="auto" w:sz="4" w:space="0"/>
            </w:tcBorders>
            <w:shd w:val="clear" w:color="auto" w:fill="FFFFFF"/>
            <w:vAlign w:val="center"/>
          </w:tcPr>
          <w:p w14:paraId="5D221310">
            <w:pPr>
              <w:widowControl/>
              <w:adjustRightInd w:val="0"/>
              <w:snapToGrid w:val="0"/>
              <w:jc w:val="center"/>
              <w:rPr>
                <w:rFonts w:eastAsia="宋体"/>
                <w:b/>
                <w:bCs/>
                <w:szCs w:val="21"/>
              </w:rPr>
            </w:pPr>
            <w:r>
              <w:rPr>
                <w:rFonts w:hint="eastAsia"/>
                <w:b/>
                <w:bCs/>
                <w:szCs w:val="21"/>
              </w:rPr>
              <w:t>授课形式及学时</w:t>
            </w:r>
          </w:p>
        </w:tc>
      </w:tr>
      <w:tr w14:paraId="5F8D2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vAlign w:val="center"/>
          </w:tcPr>
          <w:p w14:paraId="284D40C8">
            <w:pPr>
              <w:widowControl/>
              <w:adjustRightInd w:val="0"/>
              <w:snapToGrid w:val="0"/>
              <w:jc w:val="center"/>
              <w:rPr>
                <w:szCs w:val="21"/>
              </w:rPr>
            </w:pPr>
            <w:r>
              <w:rPr>
                <w:szCs w:val="21"/>
              </w:rPr>
              <w:t>1</w:t>
            </w:r>
          </w:p>
        </w:tc>
        <w:tc>
          <w:tcPr>
            <w:tcW w:w="1474" w:type="dxa"/>
            <w:tcBorders>
              <w:top w:val="single" w:color="auto" w:sz="4" w:space="0"/>
              <w:left w:val="single" w:color="auto" w:sz="4" w:space="0"/>
              <w:bottom w:val="single" w:color="auto" w:sz="4" w:space="0"/>
              <w:right w:val="single" w:color="auto" w:sz="4" w:space="0"/>
            </w:tcBorders>
            <w:vAlign w:val="center"/>
          </w:tcPr>
          <w:p w14:paraId="36BAFA5F">
            <w:pPr>
              <w:widowControl/>
              <w:adjustRightInd w:val="0"/>
              <w:snapToGrid w:val="0"/>
              <w:jc w:val="left"/>
              <w:rPr>
                <w:rFonts w:eastAsia="宋体"/>
                <w:color w:val="000000"/>
                <w:szCs w:val="21"/>
              </w:rPr>
            </w:pPr>
            <w:r>
              <w:rPr>
                <w:rFonts w:hint="eastAsia"/>
                <w:color w:val="000000"/>
                <w:szCs w:val="21"/>
              </w:rPr>
              <w:t>人工智能概述</w:t>
            </w:r>
          </w:p>
        </w:tc>
        <w:tc>
          <w:tcPr>
            <w:tcW w:w="1292" w:type="dxa"/>
            <w:tcBorders>
              <w:top w:val="single" w:color="auto" w:sz="4" w:space="0"/>
              <w:left w:val="single" w:color="auto" w:sz="4" w:space="0"/>
              <w:bottom w:val="single" w:color="auto" w:sz="4" w:space="0"/>
              <w:right w:val="single" w:color="auto" w:sz="4" w:space="0"/>
            </w:tcBorders>
            <w:vAlign w:val="center"/>
          </w:tcPr>
          <w:p w14:paraId="3E23CD74">
            <w:pPr>
              <w:widowControl/>
              <w:adjustRightInd w:val="0"/>
              <w:snapToGrid w:val="0"/>
              <w:jc w:val="center"/>
              <w:rPr>
                <w:color w:val="000000"/>
                <w:szCs w:val="21"/>
              </w:rPr>
            </w:pPr>
            <w:r>
              <w:rPr>
                <w:rFonts w:hint="eastAsia"/>
                <w:szCs w:val="21"/>
              </w:rPr>
              <w:t>课程目标1</w:t>
            </w:r>
          </w:p>
        </w:tc>
        <w:tc>
          <w:tcPr>
            <w:tcW w:w="1341" w:type="dxa"/>
            <w:tcBorders>
              <w:top w:val="single" w:color="auto" w:sz="4" w:space="0"/>
              <w:left w:val="single" w:color="auto" w:sz="4" w:space="0"/>
              <w:bottom w:val="single" w:color="auto" w:sz="4" w:space="0"/>
              <w:right w:val="single" w:color="auto" w:sz="4" w:space="0"/>
            </w:tcBorders>
            <w:vAlign w:val="center"/>
          </w:tcPr>
          <w:p w14:paraId="7E8DA4CB">
            <w:pPr>
              <w:widowControl/>
              <w:adjustRightInd w:val="0"/>
              <w:snapToGrid w:val="0"/>
              <w:jc w:val="center"/>
              <w:rPr>
                <w:szCs w:val="21"/>
              </w:rPr>
            </w:pPr>
            <w:r>
              <w:rPr>
                <w:rFonts w:hint="eastAsia"/>
                <w:szCs w:val="21"/>
              </w:rPr>
              <w:t>指标点3-1</w:t>
            </w:r>
          </w:p>
        </w:tc>
        <w:tc>
          <w:tcPr>
            <w:tcW w:w="637" w:type="dxa"/>
            <w:tcBorders>
              <w:top w:val="single" w:color="auto" w:sz="4" w:space="0"/>
              <w:left w:val="single" w:color="auto" w:sz="4" w:space="0"/>
              <w:bottom w:val="single" w:color="auto" w:sz="4" w:space="0"/>
              <w:right w:val="single" w:color="auto" w:sz="4" w:space="0"/>
            </w:tcBorders>
            <w:vAlign w:val="center"/>
          </w:tcPr>
          <w:p w14:paraId="1AF7EECB">
            <w:pPr>
              <w:widowControl/>
              <w:adjustRightInd w:val="0"/>
              <w:snapToGrid w:val="0"/>
              <w:jc w:val="center"/>
              <w:rPr>
                <w:rFonts w:eastAsia="宋体"/>
                <w:szCs w:val="21"/>
              </w:rPr>
            </w:pPr>
            <w:r>
              <w:rPr>
                <w:rFonts w:hint="eastAsia"/>
                <w:szCs w:val="21"/>
              </w:rPr>
              <w:t>1</w:t>
            </w:r>
          </w:p>
        </w:tc>
        <w:tc>
          <w:tcPr>
            <w:tcW w:w="2669" w:type="dxa"/>
            <w:tcBorders>
              <w:top w:val="single" w:color="auto" w:sz="4" w:space="0"/>
              <w:left w:val="single" w:color="auto" w:sz="4" w:space="0"/>
              <w:bottom w:val="single" w:color="auto" w:sz="4" w:space="0"/>
              <w:right w:val="single" w:color="auto" w:sz="4" w:space="0"/>
            </w:tcBorders>
          </w:tcPr>
          <w:p w14:paraId="34909CB7">
            <w:pPr>
              <w:widowControl/>
              <w:adjustRightInd w:val="0"/>
              <w:snapToGrid w:val="0"/>
              <w:jc w:val="center"/>
              <w:rPr>
                <w:rFonts w:eastAsia="宋体"/>
                <w:szCs w:val="21"/>
              </w:rPr>
            </w:pPr>
            <w:r>
              <w:rPr>
                <w:rFonts w:hint="eastAsia"/>
                <w:color w:val="000000"/>
                <w:szCs w:val="21"/>
              </w:rPr>
              <w:t>深入理解人工智能的本质及社会责任</w:t>
            </w:r>
            <w:r>
              <w:rPr>
                <w:rFonts w:hint="eastAsia"/>
                <w:szCs w:val="21"/>
              </w:rPr>
              <w:t>科技兴国</w:t>
            </w:r>
          </w:p>
        </w:tc>
        <w:tc>
          <w:tcPr>
            <w:tcW w:w="917" w:type="dxa"/>
            <w:tcBorders>
              <w:top w:val="single" w:color="auto" w:sz="4" w:space="0"/>
              <w:left w:val="single" w:color="auto" w:sz="4" w:space="0"/>
              <w:bottom w:val="single" w:color="auto" w:sz="4" w:space="0"/>
              <w:right w:val="single" w:color="auto" w:sz="4" w:space="0"/>
            </w:tcBorders>
          </w:tcPr>
          <w:p w14:paraId="2AD8F073">
            <w:pPr>
              <w:widowControl/>
              <w:adjustRightInd w:val="0"/>
              <w:snapToGrid w:val="0"/>
              <w:jc w:val="left"/>
              <w:rPr>
                <w:szCs w:val="21"/>
              </w:rPr>
            </w:pPr>
            <w:r>
              <w:rPr>
                <w:rFonts w:hint="eastAsia" w:ascii="Times New Roman" w:hAnsi="Times New Roman" w:eastAsia="仿宋" w:cs="Times New Roman"/>
                <w:bCs/>
                <w:szCs w:val="21"/>
              </w:rPr>
              <w:t>线下学习</w:t>
            </w:r>
          </w:p>
        </w:tc>
      </w:tr>
      <w:tr w14:paraId="527C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vAlign w:val="center"/>
          </w:tcPr>
          <w:p w14:paraId="455F01FD">
            <w:pPr>
              <w:widowControl/>
              <w:adjustRightInd w:val="0"/>
              <w:snapToGrid w:val="0"/>
              <w:jc w:val="center"/>
              <w:rPr>
                <w:rFonts w:eastAsia="宋体"/>
                <w:szCs w:val="21"/>
              </w:rPr>
            </w:pPr>
            <w:r>
              <w:rPr>
                <w:rFonts w:hint="eastAsia"/>
                <w:szCs w:val="21"/>
              </w:rPr>
              <w:t>2</w:t>
            </w:r>
          </w:p>
        </w:tc>
        <w:tc>
          <w:tcPr>
            <w:tcW w:w="1474" w:type="dxa"/>
            <w:tcBorders>
              <w:top w:val="single" w:color="auto" w:sz="4" w:space="0"/>
              <w:left w:val="single" w:color="auto" w:sz="4" w:space="0"/>
              <w:bottom w:val="single" w:color="auto" w:sz="4" w:space="0"/>
              <w:right w:val="single" w:color="auto" w:sz="4" w:space="0"/>
            </w:tcBorders>
            <w:vAlign w:val="center"/>
          </w:tcPr>
          <w:p w14:paraId="68DC3221">
            <w:pPr>
              <w:widowControl/>
              <w:adjustRightInd w:val="0"/>
              <w:snapToGrid w:val="0"/>
              <w:jc w:val="left"/>
              <w:rPr>
                <w:bCs/>
                <w:color w:val="000000"/>
                <w:szCs w:val="21"/>
              </w:rPr>
            </w:pPr>
            <w:r>
              <w:rPr>
                <w:rFonts w:hint="eastAsia"/>
                <w:bCs/>
                <w:szCs w:val="21"/>
              </w:rPr>
              <w:t>人工智能行业解决方案</w:t>
            </w:r>
          </w:p>
        </w:tc>
        <w:tc>
          <w:tcPr>
            <w:tcW w:w="1292" w:type="dxa"/>
            <w:tcBorders>
              <w:top w:val="single" w:color="auto" w:sz="4" w:space="0"/>
              <w:left w:val="single" w:color="auto" w:sz="4" w:space="0"/>
              <w:bottom w:val="single" w:color="auto" w:sz="4" w:space="0"/>
              <w:right w:val="single" w:color="auto" w:sz="4" w:space="0"/>
            </w:tcBorders>
            <w:vAlign w:val="center"/>
          </w:tcPr>
          <w:p w14:paraId="627C196B">
            <w:pPr>
              <w:jc w:val="center"/>
              <w:rPr>
                <w:color w:val="000000"/>
                <w:szCs w:val="21"/>
              </w:rPr>
            </w:pPr>
            <w:r>
              <w:rPr>
                <w:rFonts w:hint="eastAsia"/>
                <w:szCs w:val="21"/>
              </w:rPr>
              <w:t>课程目标2</w:t>
            </w:r>
          </w:p>
        </w:tc>
        <w:tc>
          <w:tcPr>
            <w:tcW w:w="1341" w:type="dxa"/>
            <w:tcBorders>
              <w:top w:val="single" w:color="auto" w:sz="4" w:space="0"/>
              <w:left w:val="single" w:color="auto" w:sz="4" w:space="0"/>
              <w:bottom w:val="single" w:color="auto" w:sz="4" w:space="0"/>
              <w:right w:val="single" w:color="auto" w:sz="4" w:space="0"/>
            </w:tcBorders>
            <w:vAlign w:val="center"/>
          </w:tcPr>
          <w:p w14:paraId="4DE7FA42">
            <w:pPr>
              <w:jc w:val="center"/>
              <w:rPr>
                <w:szCs w:val="21"/>
              </w:rPr>
            </w:pPr>
            <w:r>
              <w:rPr>
                <w:rFonts w:hint="eastAsia"/>
                <w:szCs w:val="21"/>
              </w:rPr>
              <w:t>指标点3-1</w:t>
            </w:r>
          </w:p>
        </w:tc>
        <w:tc>
          <w:tcPr>
            <w:tcW w:w="637" w:type="dxa"/>
            <w:tcBorders>
              <w:top w:val="single" w:color="auto" w:sz="4" w:space="0"/>
              <w:left w:val="single" w:color="auto" w:sz="4" w:space="0"/>
              <w:bottom w:val="single" w:color="auto" w:sz="4" w:space="0"/>
              <w:right w:val="single" w:color="auto" w:sz="4" w:space="0"/>
            </w:tcBorders>
            <w:vAlign w:val="center"/>
          </w:tcPr>
          <w:p w14:paraId="57788E64">
            <w:pPr>
              <w:widowControl/>
              <w:adjustRightInd w:val="0"/>
              <w:snapToGrid w:val="0"/>
              <w:jc w:val="center"/>
              <w:rPr>
                <w:rFonts w:eastAsia="宋体"/>
                <w:szCs w:val="21"/>
              </w:rPr>
            </w:pPr>
            <w:r>
              <w:rPr>
                <w:rFonts w:hint="eastAsia"/>
                <w:szCs w:val="21"/>
              </w:rPr>
              <w:t>2</w:t>
            </w:r>
          </w:p>
        </w:tc>
        <w:tc>
          <w:tcPr>
            <w:tcW w:w="2669" w:type="dxa"/>
            <w:tcBorders>
              <w:top w:val="single" w:color="auto" w:sz="4" w:space="0"/>
              <w:left w:val="single" w:color="auto" w:sz="4" w:space="0"/>
              <w:bottom w:val="single" w:color="auto" w:sz="4" w:space="0"/>
              <w:right w:val="single" w:color="auto" w:sz="4" w:space="0"/>
            </w:tcBorders>
          </w:tcPr>
          <w:p w14:paraId="46FB790E">
            <w:pPr>
              <w:widowControl/>
              <w:adjustRightInd w:val="0"/>
              <w:snapToGrid w:val="0"/>
              <w:jc w:val="center"/>
              <w:rPr>
                <w:szCs w:val="21"/>
              </w:rPr>
            </w:pPr>
            <w:r>
              <w:rPr>
                <w:rFonts w:hint="eastAsia"/>
                <w:szCs w:val="21"/>
              </w:rPr>
              <w:t>科技发展的最终目的是服务于人类社会，鼓励学生将来用科技服务社会</w:t>
            </w:r>
          </w:p>
        </w:tc>
        <w:tc>
          <w:tcPr>
            <w:tcW w:w="917" w:type="dxa"/>
            <w:tcBorders>
              <w:top w:val="single" w:color="auto" w:sz="4" w:space="0"/>
              <w:left w:val="single" w:color="auto" w:sz="4" w:space="0"/>
              <w:bottom w:val="single" w:color="auto" w:sz="4" w:space="0"/>
              <w:right w:val="single" w:color="auto" w:sz="4" w:space="0"/>
            </w:tcBorders>
          </w:tcPr>
          <w:p w14:paraId="385FE90D">
            <w:pPr>
              <w:widowControl/>
              <w:adjustRightInd w:val="0"/>
              <w:snapToGrid w:val="0"/>
              <w:jc w:val="left"/>
              <w:rPr>
                <w:szCs w:val="21"/>
              </w:rPr>
            </w:pPr>
            <w:r>
              <w:rPr>
                <w:rFonts w:hint="eastAsia" w:ascii="Times New Roman" w:hAnsi="Times New Roman" w:eastAsia="仿宋" w:cs="Times New Roman"/>
                <w:bCs/>
                <w:szCs w:val="21"/>
              </w:rPr>
              <w:t>线下学习</w:t>
            </w:r>
          </w:p>
        </w:tc>
      </w:tr>
      <w:tr w14:paraId="70D9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vAlign w:val="center"/>
          </w:tcPr>
          <w:p w14:paraId="084ED352">
            <w:pPr>
              <w:widowControl/>
              <w:adjustRightInd w:val="0"/>
              <w:snapToGrid w:val="0"/>
              <w:jc w:val="center"/>
              <w:rPr>
                <w:rFonts w:eastAsia="宋体"/>
                <w:szCs w:val="21"/>
              </w:rPr>
            </w:pPr>
            <w:r>
              <w:rPr>
                <w:rFonts w:hint="eastAsia"/>
                <w:szCs w:val="21"/>
              </w:rPr>
              <w:t>3</w:t>
            </w:r>
          </w:p>
        </w:tc>
        <w:tc>
          <w:tcPr>
            <w:tcW w:w="1474" w:type="dxa"/>
            <w:tcBorders>
              <w:top w:val="single" w:color="auto" w:sz="4" w:space="0"/>
              <w:left w:val="single" w:color="auto" w:sz="4" w:space="0"/>
              <w:bottom w:val="single" w:color="auto" w:sz="4" w:space="0"/>
              <w:right w:val="single" w:color="auto" w:sz="4" w:space="0"/>
            </w:tcBorders>
            <w:vAlign w:val="center"/>
          </w:tcPr>
          <w:p w14:paraId="530D9E45">
            <w:pPr>
              <w:widowControl/>
              <w:adjustRightInd w:val="0"/>
              <w:snapToGrid w:val="0"/>
              <w:jc w:val="left"/>
              <w:rPr>
                <w:bCs/>
                <w:color w:val="000000"/>
                <w:szCs w:val="21"/>
              </w:rPr>
            </w:pPr>
            <w:r>
              <w:rPr>
                <w:rFonts w:hint="eastAsia"/>
                <w:bCs/>
                <w:szCs w:val="21"/>
              </w:rPr>
              <w:t>人工智能算法原理</w:t>
            </w:r>
          </w:p>
        </w:tc>
        <w:tc>
          <w:tcPr>
            <w:tcW w:w="1292" w:type="dxa"/>
            <w:tcBorders>
              <w:top w:val="single" w:color="auto" w:sz="4" w:space="0"/>
              <w:left w:val="single" w:color="auto" w:sz="4" w:space="0"/>
              <w:bottom w:val="single" w:color="auto" w:sz="4" w:space="0"/>
              <w:right w:val="single" w:color="auto" w:sz="4" w:space="0"/>
            </w:tcBorders>
            <w:vAlign w:val="center"/>
          </w:tcPr>
          <w:p w14:paraId="4C7DA0B8">
            <w:pPr>
              <w:widowControl/>
              <w:adjustRightInd w:val="0"/>
              <w:snapToGrid w:val="0"/>
              <w:jc w:val="center"/>
              <w:rPr>
                <w:color w:val="000000"/>
                <w:szCs w:val="21"/>
              </w:rPr>
            </w:pPr>
            <w:r>
              <w:rPr>
                <w:rFonts w:hint="eastAsia"/>
                <w:szCs w:val="21"/>
              </w:rPr>
              <w:t>课程目标1</w:t>
            </w:r>
          </w:p>
        </w:tc>
        <w:tc>
          <w:tcPr>
            <w:tcW w:w="1341" w:type="dxa"/>
            <w:tcBorders>
              <w:top w:val="single" w:color="auto" w:sz="4" w:space="0"/>
              <w:left w:val="single" w:color="auto" w:sz="4" w:space="0"/>
              <w:bottom w:val="single" w:color="auto" w:sz="4" w:space="0"/>
              <w:right w:val="single" w:color="auto" w:sz="4" w:space="0"/>
            </w:tcBorders>
            <w:vAlign w:val="center"/>
          </w:tcPr>
          <w:p w14:paraId="0A8BA304">
            <w:pPr>
              <w:widowControl/>
              <w:adjustRightInd w:val="0"/>
              <w:snapToGrid w:val="0"/>
              <w:jc w:val="center"/>
              <w:rPr>
                <w:szCs w:val="21"/>
              </w:rPr>
            </w:pPr>
            <w:r>
              <w:rPr>
                <w:rFonts w:hint="eastAsia"/>
                <w:szCs w:val="21"/>
              </w:rPr>
              <w:t>指标点3-1</w:t>
            </w:r>
          </w:p>
        </w:tc>
        <w:tc>
          <w:tcPr>
            <w:tcW w:w="637" w:type="dxa"/>
            <w:tcBorders>
              <w:top w:val="single" w:color="auto" w:sz="4" w:space="0"/>
              <w:left w:val="single" w:color="auto" w:sz="4" w:space="0"/>
              <w:bottom w:val="single" w:color="auto" w:sz="4" w:space="0"/>
              <w:right w:val="single" w:color="auto" w:sz="4" w:space="0"/>
            </w:tcBorders>
            <w:vAlign w:val="center"/>
          </w:tcPr>
          <w:p w14:paraId="29F980B5">
            <w:pPr>
              <w:widowControl/>
              <w:adjustRightInd w:val="0"/>
              <w:snapToGrid w:val="0"/>
              <w:jc w:val="center"/>
              <w:rPr>
                <w:rFonts w:eastAsia="宋体"/>
                <w:szCs w:val="21"/>
              </w:rPr>
            </w:pPr>
            <w:r>
              <w:rPr>
                <w:rFonts w:hint="eastAsia"/>
                <w:szCs w:val="21"/>
              </w:rPr>
              <w:t>2</w:t>
            </w:r>
          </w:p>
        </w:tc>
        <w:tc>
          <w:tcPr>
            <w:tcW w:w="2669" w:type="dxa"/>
            <w:tcBorders>
              <w:top w:val="single" w:color="auto" w:sz="4" w:space="0"/>
              <w:left w:val="single" w:color="auto" w:sz="4" w:space="0"/>
              <w:bottom w:val="single" w:color="auto" w:sz="4" w:space="0"/>
              <w:right w:val="single" w:color="auto" w:sz="4" w:space="0"/>
            </w:tcBorders>
          </w:tcPr>
          <w:p w14:paraId="63CB78B1">
            <w:pPr>
              <w:widowControl/>
              <w:adjustRightInd w:val="0"/>
              <w:snapToGrid w:val="0"/>
              <w:jc w:val="center"/>
              <w:rPr>
                <w:szCs w:val="21"/>
              </w:rPr>
            </w:pPr>
            <w:r>
              <w:rPr>
                <w:rFonts w:hint="eastAsia"/>
                <w:color w:val="000000"/>
                <w:szCs w:val="21"/>
              </w:rPr>
              <w:t>扩展学生知识的深度与广度，培养学生致力于国家人工智能战略的意识和能力</w:t>
            </w:r>
          </w:p>
        </w:tc>
        <w:tc>
          <w:tcPr>
            <w:tcW w:w="917" w:type="dxa"/>
            <w:tcBorders>
              <w:top w:val="single" w:color="auto" w:sz="4" w:space="0"/>
              <w:left w:val="single" w:color="auto" w:sz="4" w:space="0"/>
              <w:bottom w:val="single" w:color="auto" w:sz="4" w:space="0"/>
              <w:right w:val="single" w:color="auto" w:sz="4" w:space="0"/>
            </w:tcBorders>
          </w:tcPr>
          <w:p w14:paraId="0FE20F72">
            <w:pPr>
              <w:widowControl/>
              <w:adjustRightInd w:val="0"/>
              <w:snapToGrid w:val="0"/>
              <w:jc w:val="left"/>
              <w:rPr>
                <w:rFonts w:ascii="Times New Roman" w:hAnsi="Times New Roman" w:eastAsia="仿宋" w:cs="Times New Roman"/>
                <w:bCs/>
                <w:szCs w:val="21"/>
              </w:rPr>
            </w:pPr>
            <w:r>
              <w:rPr>
                <w:rFonts w:hint="eastAsia" w:ascii="Times New Roman" w:hAnsi="Times New Roman" w:eastAsia="仿宋" w:cs="Times New Roman"/>
                <w:bCs/>
                <w:szCs w:val="21"/>
              </w:rPr>
              <w:t>线上学习</w:t>
            </w:r>
          </w:p>
          <w:p w14:paraId="6E774687">
            <w:pPr>
              <w:widowControl/>
              <w:adjustRightInd w:val="0"/>
              <w:snapToGrid w:val="0"/>
              <w:jc w:val="center"/>
              <w:rPr>
                <w:bCs/>
                <w:szCs w:val="21"/>
              </w:rPr>
            </w:pPr>
          </w:p>
        </w:tc>
      </w:tr>
      <w:tr w14:paraId="5C95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vAlign w:val="center"/>
          </w:tcPr>
          <w:p w14:paraId="66D4A35D">
            <w:pPr>
              <w:widowControl/>
              <w:adjustRightInd w:val="0"/>
              <w:snapToGrid w:val="0"/>
              <w:jc w:val="center"/>
              <w:rPr>
                <w:rFonts w:eastAsia="宋体"/>
                <w:szCs w:val="21"/>
              </w:rPr>
            </w:pPr>
            <w:r>
              <w:rPr>
                <w:rFonts w:hint="eastAsia"/>
                <w:szCs w:val="21"/>
              </w:rPr>
              <w:t>4</w:t>
            </w:r>
          </w:p>
        </w:tc>
        <w:tc>
          <w:tcPr>
            <w:tcW w:w="1474" w:type="dxa"/>
            <w:tcBorders>
              <w:top w:val="single" w:color="auto" w:sz="4" w:space="0"/>
              <w:left w:val="single" w:color="auto" w:sz="4" w:space="0"/>
              <w:bottom w:val="single" w:color="auto" w:sz="4" w:space="0"/>
              <w:right w:val="single" w:color="auto" w:sz="4" w:space="0"/>
            </w:tcBorders>
            <w:vAlign w:val="center"/>
          </w:tcPr>
          <w:p w14:paraId="068C03ED">
            <w:pPr>
              <w:widowControl/>
              <w:adjustRightInd w:val="0"/>
              <w:snapToGrid w:val="0"/>
              <w:jc w:val="left"/>
              <w:rPr>
                <w:bCs/>
                <w:color w:val="000000"/>
                <w:szCs w:val="21"/>
              </w:rPr>
            </w:pPr>
            <w:r>
              <w:rPr>
                <w:rFonts w:hint="eastAsia"/>
                <w:bCs/>
                <w:szCs w:val="21"/>
              </w:rPr>
              <w:t>自然语言处理</w:t>
            </w:r>
          </w:p>
        </w:tc>
        <w:tc>
          <w:tcPr>
            <w:tcW w:w="1292" w:type="dxa"/>
            <w:tcBorders>
              <w:top w:val="single" w:color="auto" w:sz="4" w:space="0"/>
              <w:left w:val="single" w:color="auto" w:sz="4" w:space="0"/>
              <w:bottom w:val="single" w:color="auto" w:sz="4" w:space="0"/>
              <w:right w:val="single" w:color="auto" w:sz="4" w:space="0"/>
            </w:tcBorders>
            <w:vAlign w:val="center"/>
          </w:tcPr>
          <w:p w14:paraId="447F461B">
            <w:pPr>
              <w:widowControl/>
              <w:adjustRightInd w:val="0"/>
              <w:snapToGrid w:val="0"/>
              <w:jc w:val="center"/>
              <w:rPr>
                <w:color w:val="000000"/>
                <w:szCs w:val="21"/>
              </w:rPr>
            </w:pPr>
            <w:r>
              <w:rPr>
                <w:rFonts w:hint="eastAsia"/>
                <w:szCs w:val="21"/>
              </w:rPr>
              <w:t>课程目标1</w:t>
            </w:r>
          </w:p>
        </w:tc>
        <w:tc>
          <w:tcPr>
            <w:tcW w:w="1341" w:type="dxa"/>
            <w:tcBorders>
              <w:top w:val="single" w:color="auto" w:sz="4" w:space="0"/>
              <w:left w:val="single" w:color="auto" w:sz="4" w:space="0"/>
              <w:bottom w:val="single" w:color="auto" w:sz="4" w:space="0"/>
              <w:right w:val="single" w:color="auto" w:sz="4" w:space="0"/>
            </w:tcBorders>
            <w:vAlign w:val="center"/>
          </w:tcPr>
          <w:p w14:paraId="61B15DB0">
            <w:pPr>
              <w:widowControl/>
              <w:adjustRightInd w:val="0"/>
              <w:snapToGrid w:val="0"/>
              <w:jc w:val="center"/>
              <w:rPr>
                <w:szCs w:val="21"/>
              </w:rPr>
            </w:pPr>
            <w:r>
              <w:rPr>
                <w:rFonts w:hint="eastAsia"/>
                <w:szCs w:val="21"/>
              </w:rPr>
              <w:t>指标点3-1</w:t>
            </w:r>
          </w:p>
        </w:tc>
        <w:tc>
          <w:tcPr>
            <w:tcW w:w="637" w:type="dxa"/>
            <w:tcBorders>
              <w:top w:val="single" w:color="auto" w:sz="4" w:space="0"/>
              <w:left w:val="single" w:color="auto" w:sz="4" w:space="0"/>
              <w:bottom w:val="single" w:color="auto" w:sz="4" w:space="0"/>
              <w:right w:val="single" w:color="auto" w:sz="4" w:space="0"/>
            </w:tcBorders>
            <w:vAlign w:val="center"/>
          </w:tcPr>
          <w:p w14:paraId="6C6407A5">
            <w:pPr>
              <w:widowControl/>
              <w:adjustRightInd w:val="0"/>
              <w:snapToGrid w:val="0"/>
              <w:jc w:val="center"/>
              <w:rPr>
                <w:rFonts w:eastAsia="宋体"/>
                <w:szCs w:val="21"/>
              </w:rPr>
            </w:pPr>
            <w:r>
              <w:rPr>
                <w:rFonts w:hint="eastAsia"/>
                <w:szCs w:val="21"/>
              </w:rPr>
              <w:t>2</w:t>
            </w:r>
          </w:p>
        </w:tc>
        <w:tc>
          <w:tcPr>
            <w:tcW w:w="2669" w:type="dxa"/>
            <w:tcBorders>
              <w:top w:val="single" w:color="auto" w:sz="4" w:space="0"/>
              <w:left w:val="single" w:color="auto" w:sz="4" w:space="0"/>
              <w:bottom w:val="single" w:color="auto" w:sz="4" w:space="0"/>
              <w:right w:val="single" w:color="auto" w:sz="4" w:space="0"/>
            </w:tcBorders>
          </w:tcPr>
          <w:p w14:paraId="5486358F">
            <w:pPr>
              <w:widowControl/>
              <w:adjustRightInd w:val="0"/>
              <w:snapToGrid w:val="0"/>
              <w:jc w:val="center"/>
              <w:rPr>
                <w:szCs w:val="21"/>
              </w:rPr>
            </w:pPr>
            <w:r>
              <w:rPr>
                <w:rFonts w:hint="eastAsia"/>
                <w:color w:val="000000"/>
                <w:szCs w:val="21"/>
              </w:rPr>
              <w:t>了解相关技术的原理，扩展学生知识的深度与广度</w:t>
            </w:r>
          </w:p>
        </w:tc>
        <w:tc>
          <w:tcPr>
            <w:tcW w:w="917" w:type="dxa"/>
            <w:tcBorders>
              <w:top w:val="single" w:color="auto" w:sz="4" w:space="0"/>
              <w:left w:val="single" w:color="auto" w:sz="4" w:space="0"/>
              <w:bottom w:val="single" w:color="auto" w:sz="4" w:space="0"/>
              <w:right w:val="single" w:color="auto" w:sz="4" w:space="0"/>
            </w:tcBorders>
          </w:tcPr>
          <w:p w14:paraId="3BC18917">
            <w:pPr>
              <w:widowControl/>
              <w:adjustRightInd w:val="0"/>
              <w:snapToGrid w:val="0"/>
              <w:jc w:val="left"/>
              <w:rPr>
                <w:rFonts w:ascii="Times New Roman" w:hAnsi="Times New Roman" w:eastAsia="仿宋" w:cs="Times New Roman"/>
                <w:bCs/>
                <w:szCs w:val="21"/>
              </w:rPr>
            </w:pPr>
            <w:r>
              <w:rPr>
                <w:rFonts w:hint="eastAsia" w:ascii="Times New Roman" w:hAnsi="Times New Roman" w:eastAsia="仿宋" w:cs="Times New Roman"/>
                <w:bCs/>
                <w:szCs w:val="21"/>
              </w:rPr>
              <w:t>线上学习</w:t>
            </w:r>
          </w:p>
          <w:p w14:paraId="0AB4FE8A">
            <w:pPr>
              <w:widowControl/>
              <w:adjustRightInd w:val="0"/>
              <w:snapToGrid w:val="0"/>
              <w:jc w:val="center"/>
              <w:rPr>
                <w:szCs w:val="21"/>
              </w:rPr>
            </w:pPr>
          </w:p>
        </w:tc>
      </w:tr>
      <w:tr w14:paraId="6E0C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vAlign w:val="center"/>
          </w:tcPr>
          <w:p w14:paraId="7781F85A">
            <w:pPr>
              <w:widowControl/>
              <w:adjustRightInd w:val="0"/>
              <w:snapToGrid w:val="0"/>
              <w:jc w:val="center"/>
              <w:rPr>
                <w:rFonts w:eastAsia="宋体"/>
                <w:szCs w:val="21"/>
              </w:rPr>
            </w:pPr>
            <w:r>
              <w:rPr>
                <w:rFonts w:hint="eastAsia"/>
                <w:szCs w:val="21"/>
              </w:rPr>
              <w:t>5</w:t>
            </w:r>
          </w:p>
        </w:tc>
        <w:tc>
          <w:tcPr>
            <w:tcW w:w="1474" w:type="dxa"/>
            <w:tcBorders>
              <w:top w:val="single" w:color="auto" w:sz="4" w:space="0"/>
              <w:left w:val="single" w:color="auto" w:sz="4" w:space="0"/>
              <w:bottom w:val="single" w:color="auto" w:sz="4" w:space="0"/>
              <w:right w:val="single" w:color="auto" w:sz="4" w:space="0"/>
            </w:tcBorders>
            <w:vAlign w:val="center"/>
          </w:tcPr>
          <w:p w14:paraId="50219F16">
            <w:pPr>
              <w:spacing w:line="360" w:lineRule="auto"/>
              <w:rPr>
                <w:bCs/>
                <w:color w:val="000000"/>
                <w:szCs w:val="21"/>
              </w:rPr>
            </w:pPr>
            <w:r>
              <w:rPr>
                <w:rFonts w:hint="eastAsia"/>
                <w:bCs/>
                <w:szCs w:val="21"/>
              </w:rPr>
              <w:t>人工智能伦理与法治</w:t>
            </w:r>
          </w:p>
        </w:tc>
        <w:tc>
          <w:tcPr>
            <w:tcW w:w="1292" w:type="dxa"/>
            <w:tcBorders>
              <w:top w:val="single" w:color="auto" w:sz="4" w:space="0"/>
              <w:left w:val="single" w:color="auto" w:sz="4" w:space="0"/>
              <w:bottom w:val="single" w:color="auto" w:sz="4" w:space="0"/>
              <w:right w:val="single" w:color="auto" w:sz="4" w:space="0"/>
            </w:tcBorders>
            <w:vAlign w:val="center"/>
          </w:tcPr>
          <w:p w14:paraId="34E0FBB7">
            <w:pPr>
              <w:widowControl/>
              <w:adjustRightInd w:val="0"/>
              <w:snapToGrid w:val="0"/>
              <w:jc w:val="center"/>
              <w:rPr>
                <w:rFonts w:eastAsia="宋体"/>
                <w:szCs w:val="21"/>
              </w:rPr>
            </w:pPr>
            <w:r>
              <w:rPr>
                <w:rFonts w:hint="eastAsia"/>
                <w:szCs w:val="21"/>
              </w:rPr>
              <w:t>课程目标1</w:t>
            </w:r>
          </w:p>
        </w:tc>
        <w:tc>
          <w:tcPr>
            <w:tcW w:w="1341" w:type="dxa"/>
            <w:tcBorders>
              <w:top w:val="single" w:color="auto" w:sz="4" w:space="0"/>
              <w:left w:val="single" w:color="auto" w:sz="4" w:space="0"/>
              <w:bottom w:val="single" w:color="auto" w:sz="4" w:space="0"/>
              <w:right w:val="single" w:color="auto" w:sz="4" w:space="0"/>
            </w:tcBorders>
            <w:vAlign w:val="center"/>
          </w:tcPr>
          <w:p w14:paraId="36256476">
            <w:pPr>
              <w:widowControl/>
              <w:adjustRightInd w:val="0"/>
              <w:snapToGrid w:val="0"/>
              <w:jc w:val="center"/>
              <w:rPr>
                <w:szCs w:val="21"/>
              </w:rPr>
            </w:pPr>
            <w:r>
              <w:rPr>
                <w:rFonts w:hint="eastAsia"/>
                <w:szCs w:val="21"/>
              </w:rPr>
              <w:t>指标点3-1</w:t>
            </w:r>
          </w:p>
        </w:tc>
        <w:tc>
          <w:tcPr>
            <w:tcW w:w="637" w:type="dxa"/>
            <w:tcBorders>
              <w:top w:val="single" w:color="auto" w:sz="4" w:space="0"/>
              <w:left w:val="single" w:color="auto" w:sz="4" w:space="0"/>
              <w:bottom w:val="single" w:color="auto" w:sz="4" w:space="0"/>
              <w:right w:val="single" w:color="auto" w:sz="4" w:space="0"/>
            </w:tcBorders>
            <w:vAlign w:val="center"/>
          </w:tcPr>
          <w:p w14:paraId="538BD98F">
            <w:pPr>
              <w:widowControl/>
              <w:adjustRightInd w:val="0"/>
              <w:snapToGrid w:val="0"/>
              <w:jc w:val="center"/>
              <w:rPr>
                <w:rFonts w:eastAsia="宋体"/>
                <w:szCs w:val="21"/>
              </w:rPr>
            </w:pPr>
            <w:r>
              <w:rPr>
                <w:rFonts w:hint="eastAsia"/>
                <w:szCs w:val="21"/>
              </w:rPr>
              <w:t>2</w:t>
            </w:r>
          </w:p>
        </w:tc>
        <w:tc>
          <w:tcPr>
            <w:tcW w:w="2669" w:type="dxa"/>
            <w:tcBorders>
              <w:top w:val="single" w:color="auto" w:sz="4" w:space="0"/>
              <w:left w:val="single" w:color="auto" w:sz="4" w:space="0"/>
              <w:bottom w:val="single" w:color="auto" w:sz="4" w:space="0"/>
              <w:right w:val="single" w:color="auto" w:sz="4" w:space="0"/>
            </w:tcBorders>
          </w:tcPr>
          <w:p w14:paraId="372622DC">
            <w:pPr>
              <w:widowControl/>
              <w:adjustRightInd w:val="0"/>
              <w:snapToGrid w:val="0"/>
              <w:jc w:val="center"/>
              <w:rPr>
                <w:rFonts w:eastAsia="宋体"/>
                <w:szCs w:val="21"/>
              </w:rPr>
            </w:pPr>
            <w:r>
              <w:rPr>
                <w:rFonts w:hint="eastAsia"/>
                <w:bCs/>
                <w:szCs w:val="21"/>
              </w:rPr>
              <w:t>激发学生创新思维，遵守大数据伦理规范要求</w:t>
            </w:r>
          </w:p>
        </w:tc>
        <w:tc>
          <w:tcPr>
            <w:tcW w:w="917" w:type="dxa"/>
            <w:tcBorders>
              <w:top w:val="single" w:color="auto" w:sz="4" w:space="0"/>
              <w:left w:val="single" w:color="auto" w:sz="4" w:space="0"/>
              <w:bottom w:val="single" w:color="auto" w:sz="4" w:space="0"/>
              <w:right w:val="single" w:color="auto" w:sz="4" w:space="0"/>
            </w:tcBorders>
          </w:tcPr>
          <w:p w14:paraId="4D141894">
            <w:pPr>
              <w:widowControl/>
              <w:adjustRightInd w:val="0"/>
              <w:snapToGrid w:val="0"/>
              <w:jc w:val="left"/>
              <w:rPr>
                <w:rFonts w:ascii="Times New Roman" w:hAnsi="Times New Roman" w:eastAsia="仿宋" w:cs="Times New Roman"/>
                <w:bCs/>
                <w:szCs w:val="21"/>
              </w:rPr>
            </w:pPr>
            <w:r>
              <w:rPr>
                <w:rFonts w:hint="eastAsia" w:ascii="Times New Roman" w:hAnsi="Times New Roman" w:eastAsia="仿宋" w:cs="Times New Roman"/>
                <w:bCs/>
                <w:szCs w:val="21"/>
              </w:rPr>
              <w:t>线上学习</w:t>
            </w:r>
          </w:p>
          <w:p w14:paraId="16FFCA9F">
            <w:pPr>
              <w:widowControl/>
              <w:adjustRightInd w:val="0"/>
              <w:snapToGrid w:val="0"/>
              <w:jc w:val="center"/>
              <w:rPr>
                <w:bCs/>
                <w:szCs w:val="21"/>
              </w:rPr>
            </w:pPr>
          </w:p>
        </w:tc>
      </w:tr>
      <w:tr w14:paraId="511C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vAlign w:val="center"/>
          </w:tcPr>
          <w:p w14:paraId="032B3A81">
            <w:pPr>
              <w:widowControl/>
              <w:adjustRightInd w:val="0"/>
              <w:snapToGrid w:val="0"/>
              <w:jc w:val="center"/>
              <w:rPr>
                <w:szCs w:val="21"/>
              </w:rPr>
            </w:pPr>
          </w:p>
          <w:p w14:paraId="2C701F70">
            <w:pPr>
              <w:widowControl/>
              <w:adjustRightInd w:val="0"/>
              <w:snapToGrid w:val="0"/>
              <w:jc w:val="center"/>
              <w:rPr>
                <w:rFonts w:eastAsia="宋体"/>
                <w:szCs w:val="21"/>
              </w:rPr>
            </w:pPr>
            <w:r>
              <w:rPr>
                <w:rFonts w:hint="eastAsia"/>
                <w:szCs w:val="21"/>
              </w:rPr>
              <w:t>6</w:t>
            </w:r>
          </w:p>
        </w:tc>
        <w:tc>
          <w:tcPr>
            <w:tcW w:w="1474" w:type="dxa"/>
            <w:tcBorders>
              <w:top w:val="single" w:color="auto" w:sz="4" w:space="0"/>
              <w:left w:val="single" w:color="auto" w:sz="4" w:space="0"/>
              <w:bottom w:val="single" w:color="auto" w:sz="4" w:space="0"/>
              <w:right w:val="single" w:color="auto" w:sz="4" w:space="0"/>
            </w:tcBorders>
            <w:vAlign w:val="center"/>
          </w:tcPr>
          <w:p w14:paraId="6472C47C">
            <w:pPr>
              <w:widowControl/>
              <w:adjustRightInd w:val="0"/>
              <w:snapToGrid w:val="0"/>
              <w:jc w:val="left"/>
              <w:rPr>
                <w:rFonts w:eastAsia="宋体"/>
                <w:bCs/>
                <w:color w:val="000000"/>
                <w:szCs w:val="21"/>
              </w:rPr>
            </w:pPr>
            <w:r>
              <w:rPr>
                <w:rFonts w:hint="eastAsia"/>
                <w:bCs/>
                <w:szCs w:val="21"/>
              </w:rPr>
              <w:t>人工智能开发语言</w:t>
            </w:r>
          </w:p>
        </w:tc>
        <w:tc>
          <w:tcPr>
            <w:tcW w:w="1292" w:type="dxa"/>
            <w:tcBorders>
              <w:top w:val="single" w:color="auto" w:sz="4" w:space="0"/>
              <w:left w:val="single" w:color="auto" w:sz="4" w:space="0"/>
              <w:bottom w:val="single" w:color="auto" w:sz="4" w:space="0"/>
              <w:right w:val="single" w:color="auto" w:sz="4" w:space="0"/>
            </w:tcBorders>
            <w:vAlign w:val="center"/>
          </w:tcPr>
          <w:p w14:paraId="21E8ADC1">
            <w:pPr>
              <w:widowControl/>
              <w:adjustRightInd w:val="0"/>
              <w:snapToGrid w:val="0"/>
              <w:jc w:val="center"/>
              <w:rPr>
                <w:color w:val="000000"/>
                <w:szCs w:val="21"/>
              </w:rPr>
            </w:pPr>
            <w:r>
              <w:rPr>
                <w:rFonts w:hint="eastAsia"/>
                <w:szCs w:val="21"/>
              </w:rPr>
              <w:t>课程目标1</w:t>
            </w:r>
          </w:p>
        </w:tc>
        <w:tc>
          <w:tcPr>
            <w:tcW w:w="1341" w:type="dxa"/>
            <w:tcBorders>
              <w:top w:val="single" w:color="auto" w:sz="4" w:space="0"/>
              <w:left w:val="single" w:color="auto" w:sz="4" w:space="0"/>
              <w:bottom w:val="single" w:color="auto" w:sz="4" w:space="0"/>
              <w:right w:val="single" w:color="auto" w:sz="4" w:space="0"/>
            </w:tcBorders>
            <w:vAlign w:val="center"/>
          </w:tcPr>
          <w:p w14:paraId="765E7D62">
            <w:pPr>
              <w:widowControl/>
              <w:adjustRightInd w:val="0"/>
              <w:snapToGrid w:val="0"/>
              <w:jc w:val="center"/>
              <w:rPr>
                <w:szCs w:val="21"/>
              </w:rPr>
            </w:pPr>
            <w:r>
              <w:rPr>
                <w:rFonts w:hint="eastAsia"/>
                <w:szCs w:val="21"/>
              </w:rPr>
              <w:t>指标点3-1</w:t>
            </w:r>
          </w:p>
        </w:tc>
        <w:tc>
          <w:tcPr>
            <w:tcW w:w="637" w:type="dxa"/>
            <w:tcBorders>
              <w:top w:val="single" w:color="auto" w:sz="4" w:space="0"/>
              <w:left w:val="single" w:color="auto" w:sz="4" w:space="0"/>
              <w:bottom w:val="single" w:color="auto" w:sz="4" w:space="0"/>
              <w:right w:val="single" w:color="auto" w:sz="4" w:space="0"/>
            </w:tcBorders>
            <w:vAlign w:val="center"/>
          </w:tcPr>
          <w:p w14:paraId="21FD0241">
            <w:pPr>
              <w:widowControl/>
              <w:adjustRightInd w:val="0"/>
              <w:snapToGrid w:val="0"/>
              <w:jc w:val="center"/>
              <w:rPr>
                <w:rFonts w:eastAsia="宋体"/>
                <w:szCs w:val="21"/>
              </w:rPr>
            </w:pPr>
            <w:r>
              <w:rPr>
                <w:rFonts w:hint="eastAsia"/>
                <w:szCs w:val="21"/>
              </w:rPr>
              <w:t>5</w:t>
            </w:r>
          </w:p>
        </w:tc>
        <w:tc>
          <w:tcPr>
            <w:tcW w:w="2669" w:type="dxa"/>
            <w:tcBorders>
              <w:top w:val="single" w:color="auto" w:sz="4" w:space="0"/>
              <w:left w:val="single" w:color="auto" w:sz="4" w:space="0"/>
              <w:bottom w:val="single" w:color="auto" w:sz="4" w:space="0"/>
              <w:right w:val="single" w:color="auto" w:sz="4" w:space="0"/>
            </w:tcBorders>
          </w:tcPr>
          <w:p w14:paraId="024C2F97">
            <w:pPr>
              <w:widowControl/>
              <w:adjustRightInd w:val="0"/>
              <w:snapToGrid w:val="0"/>
              <w:jc w:val="center"/>
              <w:rPr>
                <w:szCs w:val="21"/>
              </w:rPr>
            </w:pPr>
            <w:r>
              <w:rPr>
                <w:rFonts w:hint="eastAsia"/>
                <w:bCs/>
                <w:szCs w:val="21"/>
              </w:rPr>
              <w:t>培养学生严谨的编程态度和逻辑思维，从Python发展快源于开源宣传要以合作为主</w:t>
            </w:r>
          </w:p>
        </w:tc>
        <w:tc>
          <w:tcPr>
            <w:tcW w:w="917" w:type="dxa"/>
            <w:tcBorders>
              <w:top w:val="single" w:color="auto" w:sz="4" w:space="0"/>
              <w:left w:val="single" w:color="auto" w:sz="4" w:space="0"/>
              <w:bottom w:val="single" w:color="auto" w:sz="4" w:space="0"/>
              <w:right w:val="single" w:color="auto" w:sz="4" w:space="0"/>
            </w:tcBorders>
          </w:tcPr>
          <w:p w14:paraId="3FCA5B45">
            <w:pPr>
              <w:widowControl/>
              <w:adjustRightInd w:val="0"/>
              <w:snapToGrid w:val="0"/>
              <w:jc w:val="left"/>
              <w:rPr>
                <w:szCs w:val="21"/>
              </w:rPr>
            </w:pPr>
            <w:r>
              <w:rPr>
                <w:rFonts w:hint="eastAsia" w:ascii="Times New Roman" w:hAnsi="Times New Roman" w:eastAsia="仿宋" w:cs="Times New Roman"/>
                <w:bCs/>
                <w:szCs w:val="21"/>
              </w:rPr>
              <w:t>线下学习</w:t>
            </w:r>
          </w:p>
        </w:tc>
      </w:tr>
      <w:tr w14:paraId="5454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27" w:type="dxa"/>
            <w:tcBorders>
              <w:top w:val="single" w:color="auto" w:sz="4" w:space="0"/>
              <w:left w:val="single" w:color="auto" w:sz="4" w:space="0"/>
              <w:bottom w:val="single" w:color="auto" w:sz="4" w:space="0"/>
              <w:right w:val="single" w:color="auto" w:sz="4" w:space="0"/>
            </w:tcBorders>
            <w:vAlign w:val="center"/>
          </w:tcPr>
          <w:p w14:paraId="412BEE38">
            <w:pPr>
              <w:widowControl/>
              <w:adjustRightInd w:val="0"/>
              <w:snapToGrid w:val="0"/>
              <w:jc w:val="center"/>
              <w:rPr>
                <w:rFonts w:eastAsia="宋体"/>
                <w:szCs w:val="21"/>
              </w:rPr>
            </w:pPr>
            <w:r>
              <w:rPr>
                <w:rFonts w:hint="eastAsia"/>
                <w:szCs w:val="21"/>
              </w:rPr>
              <w:t>7</w:t>
            </w:r>
          </w:p>
        </w:tc>
        <w:tc>
          <w:tcPr>
            <w:tcW w:w="1474" w:type="dxa"/>
            <w:tcBorders>
              <w:top w:val="single" w:color="auto" w:sz="4" w:space="0"/>
              <w:left w:val="single" w:color="auto" w:sz="4" w:space="0"/>
              <w:bottom w:val="single" w:color="auto" w:sz="4" w:space="0"/>
              <w:right w:val="single" w:color="auto" w:sz="4" w:space="0"/>
            </w:tcBorders>
            <w:vAlign w:val="center"/>
          </w:tcPr>
          <w:p w14:paraId="4D5EAFE9">
            <w:pPr>
              <w:widowControl/>
              <w:adjustRightInd w:val="0"/>
              <w:snapToGrid w:val="0"/>
              <w:jc w:val="left"/>
              <w:rPr>
                <w:bCs/>
                <w:color w:val="000000"/>
                <w:szCs w:val="21"/>
              </w:rPr>
            </w:pPr>
            <w:r>
              <w:rPr>
                <w:rFonts w:hint="eastAsia"/>
                <w:bCs/>
                <w:szCs w:val="21"/>
              </w:rPr>
              <w:t>生成式人工智能大模型应用</w:t>
            </w:r>
          </w:p>
        </w:tc>
        <w:tc>
          <w:tcPr>
            <w:tcW w:w="1292" w:type="dxa"/>
            <w:tcBorders>
              <w:top w:val="single" w:color="auto" w:sz="4" w:space="0"/>
              <w:left w:val="single" w:color="auto" w:sz="4" w:space="0"/>
              <w:bottom w:val="single" w:color="auto" w:sz="4" w:space="0"/>
              <w:right w:val="single" w:color="auto" w:sz="4" w:space="0"/>
            </w:tcBorders>
            <w:vAlign w:val="center"/>
          </w:tcPr>
          <w:p w14:paraId="448F681E">
            <w:pPr>
              <w:jc w:val="center"/>
              <w:rPr>
                <w:color w:val="000000"/>
                <w:szCs w:val="21"/>
              </w:rPr>
            </w:pPr>
            <w:r>
              <w:rPr>
                <w:rFonts w:hint="eastAsia"/>
                <w:szCs w:val="21"/>
              </w:rPr>
              <w:t>课程目标2</w:t>
            </w:r>
          </w:p>
        </w:tc>
        <w:tc>
          <w:tcPr>
            <w:tcW w:w="1341" w:type="dxa"/>
            <w:tcBorders>
              <w:top w:val="single" w:color="auto" w:sz="4" w:space="0"/>
              <w:left w:val="single" w:color="auto" w:sz="4" w:space="0"/>
              <w:bottom w:val="single" w:color="auto" w:sz="4" w:space="0"/>
              <w:right w:val="single" w:color="auto" w:sz="4" w:space="0"/>
            </w:tcBorders>
            <w:vAlign w:val="center"/>
          </w:tcPr>
          <w:p w14:paraId="4C9A2502">
            <w:pPr>
              <w:jc w:val="center"/>
              <w:rPr>
                <w:szCs w:val="21"/>
              </w:rPr>
            </w:pPr>
            <w:r>
              <w:rPr>
                <w:rFonts w:hint="eastAsia"/>
                <w:szCs w:val="21"/>
              </w:rPr>
              <w:t>指标点3-1</w:t>
            </w:r>
          </w:p>
        </w:tc>
        <w:tc>
          <w:tcPr>
            <w:tcW w:w="637" w:type="dxa"/>
            <w:tcBorders>
              <w:top w:val="single" w:color="auto" w:sz="4" w:space="0"/>
              <w:left w:val="single" w:color="auto" w:sz="4" w:space="0"/>
              <w:bottom w:val="single" w:color="auto" w:sz="4" w:space="0"/>
              <w:right w:val="single" w:color="auto" w:sz="4" w:space="0"/>
            </w:tcBorders>
            <w:vAlign w:val="center"/>
          </w:tcPr>
          <w:p w14:paraId="508A9CF6">
            <w:pPr>
              <w:widowControl/>
              <w:adjustRightInd w:val="0"/>
              <w:snapToGrid w:val="0"/>
              <w:jc w:val="center"/>
              <w:rPr>
                <w:rFonts w:eastAsia="宋体"/>
                <w:szCs w:val="21"/>
              </w:rPr>
            </w:pPr>
            <w:r>
              <w:rPr>
                <w:rFonts w:hint="eastAsia"/>
                <w:szCs w:val="21"/>
              </w:rPr>
              <w:t>4</w:t>
            </w:r>
          </w:p>
        </w:tc>
        <w:tc>
          <w:tcPr>
            <w:tcW w:w="2669" w:type="dxa"/>
            <w:tcBorders>
              <w:top w:val="single" w:color="auto" w:sz="4" w:space="0"/>
              <w:left w:val="single" w:color="auto" w:sz="4" w:space="0"/>
              <w:bottom w:val="single" w:color="auto" w:sz="4" w:space="0"/>
              <w:right w:val="single" w:color="auto" w:sz="4" w:space="0"/>
            </w:tcBorders>
          </w:tcPr>
          <w:p w14:paraId="70B45E09">
            <w:pPr>
              <w:widowControl/>
              <w:adjustRightInd w:val="0"/>
              <w:snapToGrid w:val="0"/>
              <w:jc w:val="center"/>
              <w:rPr>
                <w:szCs w:val="21"/>
              </w:rPr>
            </w:pPr>
            <w:r>
              <w:rPr>
                <w:rFonts w:hint="eastAsia"/>
                <w:bCs/>
                <w:szCs w:val="21"/>
              </w:rPr>
              <w:t>对比中美大模型发展，增强学生的民族自豪感和对国家科技实力的认同，激发学生创新实践的积极性</w:t>
            </w:r>
          </w:p>
        </w:tc>
        <w:tc>
          <w:tcPr>
            <w:tcW w:w="917" w:type="dxa"/>
            <w:tcBorders>
              <w:top w:val="single" w:color="auto" w:sz="4" w:space="0"/>
              <w:left w:val="single" w:color="auto" w:sz="4" w:space="0"/>
              <w:bottom w:val="single" w:color="auto" w:sz="4" w:space="0"/>
              <w:right w:val="single" w:color="auto" w:sz="4" w:space="0"/>
            </w:tcBorders>
          </w:tcPr>
          <w:p w14:paraId="528862D9">
            <w:pPr>
              <w:widowControl/>
              <w:adjustRightInd w:val="0"/>
              <w:snapToGrid w:val="0"/>
              <w:jc w:val="left"/>
              <w:rPr>
                <w:rFonts w:ascii="Times New Roman" w:hAnsi="Times New Roman" w:eastAsia="仿宋" w:cs="Times New Roman"/>
                <w:bCs/>
                <w:szCs w:val="21"/>
              </w:rPr>
            </w:pPr>
            <w:r>
              <w:rPr>
                <w:rFonts w:hint="eastAsia" w:ascii="Times New Roman" w:hAnsi="Times New Roman" w:eastAsia="仿宋" w:cs="Times New Roman"/>
                <w:bCs/>
                <w:szCs w:val="21"/>
              </w:rPr>
              <w:t>线下学习</w:t>
            </w:r>
          </w:p>
          <w:p w14:paraId="5545081B">
            <w:pPr>
              <w:widowControl/>
              <w:adjustRightInd w:val="0"/>
              <w:snapToGrid w:val="0"/>
              <w:jc w:val="left"/>
              <w:rPr>
                <w:bCs/>
                <w:szCs w:val="21"/>
              </w:rPr>
            </w:pPr>
          </w:p>
        </w:tc>
      </w:tr>
      <w:tr w14:paraId="736A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427" w:type="dxa"/>
            <w:tcBorders>
              <w:top w:val="single" w:color="auto" w:sz="4" w:space="0"/>
              <w:left w:val="single" w:color="auto" w:sz="4" w:space="0"/>
              <w:bottom w:val="single" w:color="auto" w:sz="4" w:space="0"/>
              <w:right w:val="single" w:color="auto" w:sz="4" w:space="0"/>
            </w:tcBorders>
            <w:vAlign w:val="center"/>
          </w:tcPr>
          <w:p w14:paraId="558FFD65">
            <w:pPr>
              <w:widowControl/>
              <w:adjustRightInd w:val="0"/>
              <w:snapToGrid w:val="0"/>
              <w:jc w:val="center"/>
              <w:rPr>
                <w:rFonts w:eastAsia="宋体"/>
                <w:szCs w:val="21"/>
              </w:rPr>
            </w:pPr>
            <w:r>
              <w:rPr>
                <w:rFonts w:hint="eastAsia"/>
                <w:szCs w:val="21"/>
              </w:rPr>
              <w:t>8</w:t>
            </w:r>
          </w:p>
        </w:tc>
        <w:tc>
          <w:tcPr>
            <w:tcW w:w="1474" w:type="dxa"/>
            <w:tcBorders>
              <w:top w:val="single" w:color="auto" w:sz="4" w:space="0"/>
              <w:left w:val="single" w:color="auto" w:sz="4" w:space="0"/>
              <w:bottom w:val="single" w:color="auto" w:sz="4" w:space="0"/>
              <w:right w:val="single" w:color="auto" w:sz="4" w:space="0"/>
            </w:tcBorders>
            <w:vAlign w:val="center"/>
          </w:tcPr>
          <w:p w14:paraId="0FF900BC">
            <w:pPr>
              <w:widowControl/>
              <w:adjustRightInd w:val="0"/>
              <w:snapToGrid w:val="0"/>
              <w:jc w:val="left"/>
              <w:rPr>
                <w:rFonts w:eastAsia="宋体"/>
                <w:bCs/>
                <w:color w:val="000000"/>
                <w:szCs w:val="21"/>
              </w:rPr>
            </w:pPr>
            <w:r>
              <w:rPr>
                <w:rFonts w:hint="eastAsia"/>
                <w:bCs/>
                <w:szCs w:val="21"/>
              </w:rPr>
              <w:t>信息素养基础模块</w:t>
            </w:r>
          </w:p>
        </w:tc>
        <w:tc>
          <w:tcPr>
            <w:tcW w:w="1292" w:type="dxa"/>
            <w:tcBorders>
              <w:top w:val="single" w:color="auto" w:sz="4" w:space="0"/>
              <w:left w:val="single" w:color="auto" w:sz="4" w:space="0"/>
              <w:bottom w:val="single" w:color="auto" w:sz="4" w:space="0"/>
              <w:right w:val="single" w:color="auto" w:sz="4" w:space="0"/>
            </w:tcBorders>
            <w:vAlign w:val="center"/>
          </w:tcPr>
          <w:p w14:paraId="5E9DD522">
            <w:pPr>
              <w:jc w:val="center"/>
              <w:rPr>
                <w:rFonts w:eastAsia="宋体"/>
                <w:szCs w:val="21"/>
              </w:rPr>
            </w:pPr>
            <w:r>
              <w:rPr>
                <w:rFonts w:hint="eastAsia"/>
                <w:szCs w:val="21"/>
              </w:rPr>
              <w:t>课程目标2</w:t>
            </w:r>
          </w:p>
        </w:tc>
        <w:tc>
          <w:tcPr>
            <w:tcW w:w="1341" w:type="dxa"/>
            <w:tcBorders>
              <w:top w:val="single" w:color="auto" w:sz="4" w:space="0"/>
              <w:left w:val="single" w:color="auto" w:sz="4" w:space="0"/>
              <w:bottom w:val="single" w:color="auto" w:sz="4" w:space="0"/>
              <w:right w:val="single" w:color="auto" w:sz="4" w:space="0"/>
            </w:tcBorders>
            <w:vAlign w:val="center"/>
          </w:tcPr>
          <w:p w14:paraId="680652F7">
            <w:pPr>
              <w:jc w:val="center"/>
              <w:rPr>
                <w:szCs w:val="21"/>
              </w:rPr>
            </w:pPr>
            <w:r>
              <w:rPr>
                <w:rFonts w:hint="eastAsia"/>
                <w:szCs w:val="21"/>
              </w:rPr>
              <w:t>指标点3-1</w:t>
            </w:r>
          </w:p>
        </w:tc>
        <w:tc>
          <w:tcPr>
            <w:tcW w:w="637" w:type="dxa"/>
            <w:tcBorders>
              <w:top w:val="single" w:color="auto" w:sz="4" w:space="0"/>
              <w:left w:val="single" w:color="auto" w:sz="4" w:space="0"/>
              <w:bottom w:val="single" w:color="auto" w:sz="4" w:space="0"/>
              <w:right w:val="single" w:color="auto" w:sz="4" w:space="0"/>
            </w:tcBorders>
            <w:vAlign w:val="center"/>
          </w:tcPr>
          <w:p w14:paraId="55A9B0DC">
            <w:pPr>
              <w:widowControl/>
              <w:adjustRightInd w:val="0"/>
              <w:snapToGrid w:val="0"/>
              <w:jc w:val="center"/>
              <w:rPr>
                <w:rFonts w:eastAsia="宋体"/>
                <w:szCs w:val="21"/>
              </w:rPr>
            </w:pPr>
            <w:r>
              <w:rPr>
                <w:rFonts w:hint="eastAsia"/>
                <w:szCs w:val="21"/>
              </w:rPr>
              <w:t>9</w:t>
            </w:r>
          </w:p>
        </w:tc>
        <w:tc>
          <w:tcPr>
            <w:tcW w:w="2669" w:type="dxa"/>
            <w:tcBorders>
              <w:top w:val="single" w:color="auto" w:sz="4" w:space="0"/>
              <w:left w:val="single" w:color="auto" w:sz="4" w:space="0"/>
              <w:bottom w:val="single" w:color="auto" w:sz="4" w:space="0"/>
              <w:right w:val="single" w:color="auto" w:sz="4" w:space="0"/>
            </w:tcBorders>
          </w:tcPr>
          <w:p w14:paraId="69F2CDAC">
            <w:pPr>
              <w:widowControl/>
              <w:adjustRightInd w:val="0"/>
              <w:snapToGrid w:val="0"/>
              <w:jc w:val="center"/>
              <w:rPr>
                <w:rFonts w:eastAsia="宋体"/>
                <w:szCs w:val="21"/>
              </w:rPr>
            </w:pPr>
            <w:r>
              <w:rPr>
                <w:rFonts w:hint="eastAsia"/>
                <w:bCs/>
                <w:szCs w:val="21"/>
              </w:rPr>
              <w:t>培养学生信息处理能力，能有条理地处理各项工作</w:t>
            </w:r>
          </w:p>
        </w:tc>
        <w:tc>
          <w:tcPr>
            <w:tcW w:w="917" w:type="dxa"/>
            <w:tcBorders>
              <w:top w:val="single" w:color="auto" w:sz="4" w:space="0"/>
              <w:left w:val="single" w:color="auto" w:sz="4" w:space="0"/>
              <w:bottom w:val="single" w:color="auto" w:sz="4" w:space="0"/>
              <w:right w:val="single" w:color="auto" w:sz="4" w:space="0"/>
            </w:tcBorders>
          </w:tcPr>
          <w:p w14:paraId="22C932F3">
            <w:pPr>
              <w:widowControl/>
              <w:adjustRightInd w:val="0"/>
              <w:snapToGrid w:val="0"/>
              <w:jc w:val="left"/>
              <w:rPr>
                <w:rFonts w:ascii="Times New Roman" w:hAnsi="Times New Roman" w:eastAsia="仿宋" w:cs="Times New Roman"/>
                <w:bCs/>
                <w:szCs w:val="21"/>
              </w:rPr>
            </w:pPr>
            <w:r>
              <w:rPr>
                <w:rFonts w:hint="eastAsia" w:ascii="Times New Roman" w:hAnsi="Times New Roman" w:eastAsia="仿宋" w:cs="Times New Roman"/>
                <w:bCs/>
                <w:szCs w:val="21"/>
              </w:rPr>
              <w:t>线下</w:t>
            </w:r>
          </w:p>
          <w:p w14:paraId="1BB46A99">
            <w:pPr>
              <w:widowControl/>
              <w:adjustRightInd w:val="0"/>
              <w:snapToGrid w:val="0"/>
              <w:jc w:val="left"/>
              <w:rPr>
                <w:rFonts w:ascii="Times New Roman" w:hAnsi="Times New Roman" w:eastAsia="仿宋" w:cs="Times New Roman"/>
                <w:bCs/>
                <w:szCs w:val="21"/>
              </w:rPr>
            </w:pPr>
            <w:r>
              <w:rPr>
                <w:rFonts w:hint="eastAsia" w:ascii="Times New Roman" w:hAnsi="Times New Roman" w:eastAsia="仿宋" w:cs="Times New Roman"/>
                <w:bCs/>
                <w:szCs w:val="21"/>
              </w:rPr>
              <w:t>学习</w:t>
            </w:r>
          </w:p>
        </w:tc>
      </w:tr>
      <w:tr w14:paraId="35B2B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27" w:type="dxa"/>
            <w:tcBorders>
              <w:top w:val="single" w:color="auto" w:sz="4" w:space="0"/>
              <w:left w:val="single" w:color="auto" w:sz="4" w:space="0"/>
              <w:bottom w:val="single" w:color="auto" w:sz="4" w:space="0"/>
              <w:right w:val="single" w:color="auto" w:sz="4" w:space="0"/>
            </w:tcBorders>
            <w:vAlign w:val="center"/>
          </w:tcPr>
          <w:p w14:paraId="4B3FB791">
            <w:pPr>
              <w:widowControl/>
              <w:adjustRightInd w:val="0"/>
              <w:snapToGrid w:val="0"/>
              <w:jc w:val="center"/>
              <w:rPr>
                <w:rFonts w:eastAsia="宋体"/>
                <w:szCs w:val="21"/>
              </w:rPr>
            </w:pPr>
            <w:r>
              <w:rPr>
                <w:rFonts w:hint="eastAsia" w:eastAsia="宋体"/>
                <w:szCs w:val="21"/>
              </w:rPr>
              <w:t>9</w:t>
            </w:r>
          </w:p>
        </w:tc>
        <w:tc>
          <w:tcPr>
            <w:tcW w:w="1474" w:type="dxa"/>
            <w:tcBorders>
              <w:top w:val="single" w:color="auto" w:sz="4" w:space="0"/>
              <w:left w:val="single" w:color="auto" w:sz="4" w:space="0"/>
              <w:bottom w:val="single" w:color="auto" w:sz="4" w:space="0"/>
              <w:right w:val="single" w:color="auto" w:sz="4" w:space="0"/>
            </w:tcBorders>
            <w:vAlign w:val="center"/>
          </w:tcPr>
          <w:p w14:paraId="667218CE">
            <w:pPr>
              <w:widowControl/>
              <w:adjustRightInd w:val="0"/>
              <w:snapToGrid w:val="0"/>
              <w:jc w:val="left"/>
              <w:rPr>
                <w:rFonts w:eastAsia="宋体"/>
                <w:bCs/>
                <w:color w:val="000000"/>
                <w:szCs w:val="21"/>
              </w:rPr>
            </w:pPr>
            <w:r>
              <w:rPr>
                <w:rFonts w:hint="eastAsia" w:eastAsia="宋体"/>
                <w:bCs/>
                <w:color w:val="000000"/>
                <w:szCs w:val="21"/>
              </w:rPr>
              <w:t>综合应用</w:t>
            </w:r>
            <w:r>
              <w:rPr>
                <w:rFonts w:hint="eastAsia"/>
                <w:bCs/>
                <w:szCs w:val="21"/>
              </w:rPr>
              <w:t xml:space="preserve"> 、考试</w:t>
            </w:r>
          </w:p>
        </w:tc>
        <w:tc>
          <w:tcPr>
            <w:tcW w:w="1292" w:type="dxa"/>
            <w:tcBorders>
              <w:top w:val="single" w:color="auto" w:sz="4" w:space="0"/>
              <w:left w:val="single" w:color="auto" w:sz="4" w:space="0"/>
              <w:bottom w:val="single" w:color="auto" w:sz="4" w:space="0"/>
              <w:right w:val="single" w:color="auto" w:sz="4" w:space="0"/>
            </w:tcBorders>
            <w:vAlign w:val="center"/>
          </w:tcPr>
          <w:p w14:paraId="422E7C97">
            <w:pPr>
              <w:widowControl/>
              <w:adjustRightInd w:val="0"/>
              <w:snapToGrid w:val="0"/>
              <w:jc w:val="center"/>
              <w:rPr>
                <w:rFonts w:eastAsia="宋体"/>
                <w:color w:val="000000"/>
                <w:szCs w:val="21"/>
              </w:rPr>
            </w:pPr>
            <w:r>
              <w:rPr>
                <w:rFonts w:hint="eastAsia"/>
                <w:color w:val="000000"/>
                <w:szCs w:val="21"/>
              </w:rPr>
              <w:t>课程目标1、2</w:t>
            </w:r>
          </w:p>
        </w:tc>
        <w:tc>
          <w:tcPr>
            <w:tcW w:w="1341" w:type="dxa"/>
            <w:tcBorders>
              <w:top w:val="single" w:color="auto" w:sz="4" w:space="0"/>
              <w:left w:val="single" w:color="auto" w:sz="4" w:space="0"/>
              <w:bottom w:val="single" w:color="auto" w:sz="4" w:space="0"/>
              <w:right w:val="single" w:color="auto" w:sz="4" w:space="0"/>
            </w:tcBorders>
            <w:vAlign w:val="center"/>
          </w:tcPr>
          <w:p w14:paraId="0C6E79F6">
            <w:pPr>
              <w:widowControl/>
              <w:adjustRightInd w:val="0"/>
              <w:snapToGrid w:val="0"/>
              <w:jc w:val="center"/>
              <w:rPr>
                <w:szCs w:val="21"/>
              </w:rPr>
            </w:pPr>
            <w:r>
              <w:rPr>
                <w:rFonts w:hint="eastAsia"/>
                <w:szCs w:val="21"/>
              </w:rPr>
              <w:t>指标点3-1</w:t>
            </w:r>
          </w:p>
        </w:tc>
        <w:tc>
          <w:tcPr>
            <w:tcW w:w="637" w:type="dxa"/>
            <w:tcBorders>
              <w:top w:val="single" w:color="auto" w:sz="4" w:space="0"/>
              <w:left w:val="single" w:color="auto" w:sz="4" w:space="0"/>
              <w:bottom w:val="single" w:color="auto" w:sz="4" w:space="0"/>
              <w:right w:val="single" w:color="auto" w:sz="4" w:space="0"/>
            </w:tcBorders>
            <w:vAlign w:val="center"/>
          </w:tcPr>
          <w:p w14:paraId="05498253">
            <w:pPr>
              <w:widowControl/>
              <w:adjustRightInd w:val="0"/>
              <w:snapToGrid w:val="0"/>
              <w:jc w:val="center"/>
              <w:rPr>
                <w:rFonts w:eastAsia="宋体"/>
                <w:szCs w:val="21"/>
              </w:rPr>
            </w:pPr>
            <w:r>
              <w:rPr>
                <w:rFonts w:hint="eastAsia" w:eastAsia="宋体"/>
                <w:szCs w:val="21"/>
              </w:rPr>
              <w:t>5</w:t>
            </w:r>
          </w:p>
        </w:tc>
        <w:tc>
          <w:tcPr>
            <w:tcW w:w="2669" w:type="dxa"/>
            <w:tcBorders>
              <w:top w:val="single" w:color="auto" w:sz="4" w:space="0"/>
              <w:left w:val="single" w:color="auto" w:sz="4" w:space="0"/>
              <w:bottom w:val="single" w:color="auto" w:sz="4" w:space="0"/>
              <w:right w:val="single" w:color="auto" w:sz="4" w:space="0"/>
            </w:tcBorders>
          </w:tcPr>
          <w:p w14:paraId="70196737">
            <w:pPr>
              <w:widowControl/>
              <w:adjustRightInd w:val="0"/>
              <w:snapToGrid w:val="0"/>
              <w:jc w:val="center"/>
              <w:rPr>
                <w:szCs w:val="21"/>
              </w:rPr>
            </w:pPr>
            <w:r>
              <w:rPr>
                <w:rFonts w:hint="eastAsia"/>
                <w:szCs w:val="21"/>
              </w:rPr>
              <w:t>学以致用，社会生活中</w:t>
            </w:r>
            <w:r>
              <w:rPr>
                <w:rFonts w:hint="eastAsia" w:ascii="宋体" w:hAnsi="宋体"/>
                <w:bCs/>
                <w:szCs w:val="21"/>
              </w:rPr>
              <w:t>坚守诚信、摒弃抄袭的重要性，培养诚信品质</w:t>
            </w:r>
          </w:p>
        </w:tc>
        <w:tc>
          <w:tcPr>
            <w:tcW w:w="917" w:type="dxa"/>
            <w:tcBorders>
              <w:top w:val="single" w:color="auto" w:sz="4" w:space="0"/>
              <w:left w:val="single" w:color="auto" w:sz="4" w:space="0"/>
              <w:bottom w:val="single" w:color="auto" w:sz="4" w:space="0"/>
              <w:right w:val="single" w:color="auto" w:sz="4" w:space="0"/>
            </w:tcBorders>
          </w:tcPr>
          <w:p w14:paraId="1999AA9C">
            <w:pPr>
              <w:widowControl/>
              <w:adjustRightInd w:val="0"/>
              <w:snapToGrid w:val="0"/>
              <w:jc w:val="left"/>
              <w:rPr>
                <w:rFonts w:ascii="Times New Roman" w:hAnsi="Times New Roman" w:eastAsia="仿宋" w:cs="Times New Roman"/>
                <w:bCs/>
                <w:szCs w:val="21"/>
              </w:rPr>
            </w:pPr>
            <w:r>
              <w:rPr>
                <w:rFonts w:hint="eastAsia" w:ascii="Times New Roman" w:hAnsi="Times New Roman" w:eastAsia="仿宋" w:cs="Times New Roman"/>
                <w:bCs/>
                <w:szCs w:val="21"/>
              </w:rPr>
              <w:t>线下</w:t>
            </w:r>
          </w:p>
          <w:p w14:paraId="3732DF71">
            <w:pPr>
              <w:widowControl/>
              <w:adjustRightInd w:val="0"/>
              <w:snapToGrid w:val="0"/>
              <w:rPr>
                <w:szCs w:val="21"/>
              </w:rPr>
            </w:pPr>
            <w:r>
              <w:rPr>
                <w:rFonts w:hint="eastAsia" w:ascii="Times New Roman" w:hAnsi="Times New Roman" w:eastAsia="仿宋" w:cs="Times New Roman"/>
                <w:bCs/>
                <w:szCs w:val="21"/>
              </w:rPr>
              <w:t>学习</w:t>
            </w:r>
          </w:p>
        </w:tc>
      </w:tr>
      <w:tr w14:paraId="0593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534" w:type="dxa"/>
            <w:gridSpan w:val="4"/>
            <w:tcBorders>
              <w:top w:val="single" w:color="auto" w:sz="4" w:space="0"/>
              <w:left w:val="single" w:color="auto" w:sz="4" w:space="0"/>
              <w:bottom w:val="single" w:color="auto" w:sz="4" w:space="0"/>
              <w:right w:val="single" w:color="auto" w:sz="4" w:space="0"/>
            </w:tcBorders>
            <w:vAlign w:val="center"/>
          </w:tcPr>
          <w:p w14:paraId="234E0927">
            <w:pPr>
              <w:widowControl/>
              <w:adjustRightInd w:val="0"/>
              <w:snapToGrid w:val="0"/>
              <w:jc w:val="center"/>
              <w:rPr>
                <w:szCs w:val="21"/>
              </w:rPr>
            </w:pPr>
            <w:r>
              <w:rPr>
                <w:szCs w:val="21"/>
              </w:rPr>
              <w:t>合 计</w:t>
            </w:r>
          </w:p>
        </w:tc>
        <w:tc>
          <w:tcPr>
            <w:tcW w:w="637" w:type="dxa"/>
            <w:tcBorders>
              <w:top w:val="single" w:color="auto" w:sz="4" w:space="0"/>
              <w:left w:val="single" w:color="auto" w:sz="4" w:space="0"/>
              <w:bottom w:val="single" w:color="auto" w:sz="4" w:space="0"/>
              <w:right w:val="single" w:color="auto" w:sz="4" w:space="0"/>
            </w:tcBorders>
            <w:vAlign w:val="center"/>
          </w:tcPr>
          <w:p w14:paraId="03C1F37D">
            <w:pPr>
              <w:widowControl/>
              <w:adjustRightInd w:val="0"/>
              <w:snapToGrid w:val="0"/>
              <w:jc w:val="center"/>
              <w:rPr>
                <w:rFonts w:eastAsia="宋体"/>
                <w:szCs w:val="21"/>
              </w:rPr>
            </w:pPr>
            <w:r>
              <w:rPr>
                <w:rFonts w:hint="eastAsia"/>
                <w:szCs w:val="21"/>
              </w:rPr>
              <w:t>32</w:t>
            </w:r>
          </w:p>
        </w:tc>
        <w:tc>
          <w:tcPr>
            <w:tcW w:w="2669" w:type="dxa"/>
            <w:tcBorders>
              <w:top w:val="single" w:color="auto" w:sz="4" w:space="0"/>
              <w:left w:val="single" w:color="auto" w:sz="4" w:space="0"/>
              <w:bottom w:val="single" w:color="auto" w:sz="4" w:space="0"/>
              <w:right w:val="single" w:color="auto" w:sz="4" w:space="0"/>
            </w:tcBorders>
          </w:tcPr>
          <w:p w14:paraId="42A6BF7A">
            <w:pPr>
              <w:widowControl/>
              <w:adjustRightInd w:val="0"/>
              <w:snapToGrid w:val="0"/>
              <w:jc w:val="center"/>
              <w:rPr>
                <w:szCs w:val="21"/>
              </w:rPr>
            </w:pPr>
          </w:p>
        </w:tc>
        <w:tc>
          <w:tcPr>
            <w:tcW w:w="917" w:type="dxa"/>
            <w:tcBorders>
              <w:top w:val="single" w:color="auto" w:sz="4" w:space="0"/>
              <w:left w:val="single" w:color="auto" w:sz="4" w:space="0"/>
              <w:bottom w:val="single" w:color="auto" w:sz="4" w:space="0"/>
              <w:right w:val="single" w:color="auto" w:sz="4" w:space="0"/>
            </w:tcBorders>
          </w:tcPr>
          <w:p w14:paraId="120C8696">
            <w:pPr>
              <w:widowControl/>
              <w:adjustRightInd w:val="0"/>
              <w:snapToGrid w:val="0"/>
              <w:jc w:val="center"/>
              <w:rPr>
                <w:szCs w:val="21"/>
              </w:rPr>
            </w:pPr>
          </w:p>
        </w:tc>
      </w:tr>
    </w:tbl>
    <w:p w14:paraId="15C93AFE">
      <w:pPr>
        <w:spacing w:line="360" w:lineRule="auto"/>
        <w:jc w:val="center"/>
        <w:rPr>
          <w:szCs w:val="21"/>
        </w:rPr>
      </w:pPr>
    </w:p>
    <w:p w14:paraId="63E8D140">
      <w:pPr>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四、课程实施</w:t>
      </w:r>
    </w:p>
    <w:p w14:paraId="75B0802E">
      <w:pPr>
        <w:snapToGrid w:val="0"/>
        <w:spacing w:line="360" w:lineRule="auto"/>
        <w:ind w:firstLine="422" w:firstLineChars="200"/>
        <w:rPr>
          <w:b/>
          <w:szCs w:val="21"/>
        </w:rPr>
      </w:pPr>
      <w:r>
        <w:rPr>
          <w:rFonts w:hint="eastAsia"/>
          <w:b/>
          <w:szCs w:val="21"/>
        </w:rPr>
        <w:t>（一）教学方法与教学手段</w:t>
      </w:r>
    </w:p>
    <w:p w14:paraId="0F324F30">
      <w:pPr>
        <w:spacing w:line="360" w:lineRule="auto"/>
        <w:ind w:firstLine="420" w:firstLineChars="200"/>
        <w:rPr>
          <w:szCs w:val="21"/>
        </w:rPr>
      </w:pPr>
      <w:r>
        <w:rPr>
          <w:rFonts w:hint="eastAsia"/>
          <w:bCs/>
          <w:szCs w:val="21"/>
        </w:rPr>
        <w:t>1.</w:t>
      </w:r>
      <w:r>
        <w:rPr>
          <w:rFonts w:hint="eastAsia"/>
          <w:szCs w:val="21"/>
        </w:rPr>
        <w:t>运用启发式教学法，设置问题情境，实施案例化教学，强调理论与实践的联系，突出学生独立思考的能力、创新意识的培养，提升学生的工程实践意识与主观能动性。</w:t>
      </w:r>
    </w:p>
    <w:p w14:paraId="18149C43">
      <w:pPr>
        <w:snapToGrid w:val="0"/>
        <w:spacing w:line="360" w:lineRule="auto"/>
        <w:ind w:firstLine="420" w:firstLineChars="200"/>
        <w:rPr>
          <w:rFonts w:eastAsia="宋体"/>
          <w:szCs w:val="21"/>
        </w:rPr>
      </w:pPr>
      <w:r>
        <w:rPr>
          <w:rFonts w:hint="eastAsia"/>
          <w:bCs/>
          <w:szCs w:val="21"/>
        </w:rPr>
        <w:t>2.</w:t>
      </w:r>
      <w:r>
        <w:rPr>
          <w:rFonts w:hint="eastAsia"/>
          <w:szCs w:val="21"/>
        </w:rPr>
        <w:t>作业在一体化教学平台上完成，系统有实时阅卷功能，作业完后学生可以直接通过阅卷解析看到得分情况。考试也在该一体化教学平台上完成。</w:t>
      </w:r>
    </w:p>
    <w:p w14:paraId="69BB762D">
      <w:pPr>
        <w:snapToGrid w:val="0"/>
        <w:spacing w:line="360" w:lineRule="auto"/>
        <w:ind w:firstLine="420" w:firstLineChars="200"/>
        <w:rPr>
          <w:bCs/>
          <w:szCs w:val="21"/>
        </w:rPr>
      </w:pPr>
      <w:r>
        <w:rPr>
          <w:rFonts w:hint="eastAsia"/>
          <w:bCs/>
          <w:szCs w:val="21"/>
        </w:rPr>
        <w:t>3.课程思政育人方法：</w:t>
      </w:r>
    </w:p>
    <w:p w14:paraId="57B19342">
      <w:pPr>
        <w:snapToGrid w:val="0"/>
        <w:spacing w:line="360" w:lineRule="auto"/>
        <w:ind w:firstLine="420" w:firstLineChars="200"/>
        <w:rPr>
          <w:bCs/>
          <w:szCs w:val="21"/>
        </w:rPr>
      </w:pPr>
      <w:r>
        <w:rPr>
          <w:rFonts w:hint="eastAsia"/>
          <w:bCs/>
          <w:szCs w:val="21"/>
        </w:rPr>
        <w:t>采用案例驱动教学法，设计与专业融合的实训案例，培养学生运用人工智能技术解决实际问题的能力。借助实践项目强化育人效果，设置 AI 文案生成、文生图等多样化实践项目，让学生在实践中结合专业知识与 AI 技术。培养学生创新思维的同时，实现传统文化与现代科技融合，强化思政育人效果。</w:t>
      </w:r>
    </w:p>
    <w:p w14:paraId="526B2EEE">
      <w:pPr>
        <w:spacing w:line="360" w:lineRule="auto"/>
        <w:ind w:firstLine="422" w:firstLineChars="200"/>
        <w:rPr>
          <w:b/>
          <w:szCs w:val="21"/>
        </w:rPr>
      </w:pPr>
      <w:r>
        <w:rPr>
          <w:rFonts w:hint="eastAsia"/>
          <w:b/>
          <w:szCs w:val="21"/>
        </w:rPr>
        <w:t>（二）教学质量要求</w:t>
      </w:r>
    </w:p>
    <w:p w14:paraId="74F44623">
      <w:pPr>
        <w:tabs>
          <w:tab w:val="right" w:pos="9070"/>
        </w:tabs>
        <w:spacing w:line="360" w:lineRule="auto"/>
        <w:ind w:firstLine="420" w:firstLineChars="200"/>
        <w:rPr>
          <w:szCs w:val="21"/>
        </w:rPr>
      </w:pPr>
      <w:r>
        <w:rPr>
          <w:rFonts w:hint="eastAsia"/>
          <w:szCs w:val="21"/>
        </w:rPr>
        <w:t>课程主要教学环节及其质量要求如表</w:t>
      </w:r>
      <w:r>
        <w:rPr>
          <w:szCs w:val="21"/>
        </w:rPr>
        <w:t>4</w:t>
      </w:r>
      <w:r>
        <w:rPr>
          <w:rFonts w:hint="eastAsia"/>
          <w:szCs w:val="21"/>
        </w:rPr>
        <w:t>所示。</w:t>
      </w:r>
    </w:p>
    <w:p w14:paraId="5A339936">
      <w:pPr>
        <w:spacing w:line="360" w:lineRule="auto"/>
        <w:jc w:val="center"/>
        <w:rPr>
          <w:szCs w:val="21"/>
        </w:rPr>
      </w:pPr>
      <w:r>
        <w:rPr>
          <w:rFonts w:hint="eastAsia"/>
          <w:szCs w:val="21"/>
        </w:rPr>
        <w:t>表</w:t>
      </w:r>
      <w:r>
        <w:rPr>
          <w:szCs w:val="21"/>
        </w:rPr>
        <w:t xml:space="preserve">4  </w:t>
      </w:r>
      <w:r>
        <w:rPr>
          <w:rFonts w:hint="eastAsia"/>
          <w:szCs w:val="21"/>
        </w:rPr>
        <w:t>课程主要教学环节和质量要求表</w:t>
      </w:r>
    </w:p>
    <w:tbl>
      <w:tblPr>
        <w:tblStyle w:val="11"/>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368"/>
        <w:gridCol w:w="7055"/>
      </w:tblGrid>
      <w:tr w14:paraId="1E91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004" w:type="dxa"/>
            <w:gridSpan w:val="2"/>
            <w:tcBorders>
              <w:top w:val="single" w:color="auto" w:sz="4" w:space="0"/>
              <w:left w:val="single" w:color="auto" w:sz="4" w:space="0"/>
              <w:right w:val="single" w:color="auto" w:sz="4" w:space="0"/>
            </w:tcBorders>
            <w:tcMar>
              <w:left w:w="28" w:type="dxa"/>
              <w:right w:w="28" w:type="dxa"/>
            </w:tcMar>
            <w:vAlign w:val="center"/>
          </w:tcPr>
          <w:p w14:paraId="0889870F">
            <w:pPr>
              <w:snapToGrid w:val="0"/>
              <w:jc w:val="center"/>
              <w:rPr>
                <w:b/>
                <w:szCs w:val="21"/>
              </w:rPr>
            </w:pPr>
            <w:r>
              <w:rPr>
                <w:b/>
                <w:szCs w:val="21"/>
              </w:rPr>
              <w:t>主要教学环节</w:t>
            </w:r>
          </w:p>
        </w:tc>
        <w:tc>
          <w:tcPr>
            <w:tcW w:w="7055" w:type="dxa"/>
            <w:tcBorders>
              <w:top w:val="single" w:color="auto" w:sz="4" w:space="0"/>
              <w:left w:val="single" w:color="auto" w:sz="4" w:space="0"/>
              <w:right w:val="single" w:color="auto" w:sz="4" w:space="0"/>
            </w:tcBorders>
            <w:vAlign w:val="center"/>
          </w:tcPr>
          <w:p w14:paraId="1F0F0725">
            <w:pPr>
              <w:snapToGrid w:val="0"/>
              <w:jc w:val="center"/>
              <w:rPr>
                <w:b/>
                <w:szCs w:val="21"/>
              </w:rPr>
            </w:pPr>
            <w:r>
              <w:rPr>
                <w:b/>
                <w:szCs w:val="21"/>
              </w:rPr>
              <w:t>质量</w:t>
            </w:r>
            <w:r>
              <w:rPr>
                <w:rFonts w:hint="eastAsia"/>
                <w:b/>
                <w:szCs w:val="21"/>
              </w:rPr>
              <w:t>要求</w:t>
            </w:r>
          </w:p>
        </w:tc>
      </w:tr>
      <w:tr w14:paraId="4BBF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vAlign w:val="center"/>
          </w:tcPr>
          <w:p w14:paraId="5AB9C582">
            <w:pPr>
              <w:snapToGrid w:val="0"/>
              <w:jc w:val="center"/>
              <w:rPr>
                <w:szCs w:val="21"/>
              </w:rPr>
            </w:pPr>
            <w:r>
              <w:rPr>
                <w:szCs w:val="21"/>
              </w:rPr>
              <w:t>1</w:t>
            </w:r>
          </w:p>
        </w:tc>
        <w:tc>
          <w:tcPr>
            <w:tcW w:w="1368" w:type="dxa"/>
            <w:tcMar>
              <w:left w:w="28" w:type="dxa"/>
              <w:right w:w="28" w:type="dxa"/>
            </w:tcMar>
            <w:vAlign w:val="center"/>
          </w:tcPr>
          <w:p w14:paraId="23DAE22C">
            <w:pPr>
              <w:snapToGrid w:val="0"/>
              <w:jc w:val="center"/>
              <w:rPr>
                <w:szCs w:val="21"/>
              </w:rPr>
            </w:pPr>
            <w:r>
              <w:rPr>
                <w:szCs w:val="21"/>
              </w:rPr>
              <w:t>备课</w:t>
            </w:r>
          </w:p>
        </w:tc>
        <w:tc>
          <w:tcPr>
            <w:tcW w:w="7055" w:type="dxa"/>
            <w:tcBorders>
              <w:right w:val="single" w:color="auto" w:sz="4" w:space="0"/>
            </w:tcBorders>
            <w:vAlign w:val="center"/>
          </w:tcPr>
          <w:p w14:paraId="1F237293">
            <w:pPr>
              <w:autoSpaceDE w:val="0"/>
              <w:autoSpaceDN w:val="0"/>
              <w:adjustRightInd w:val="0"/>
              <w:snapToGrid w:val="0"/>
              <w:spacing w:line="312" w:lineRule="auto"/>
              <w:jc w:val="left"/>
              <w:rPr>
                <w:rFonts w:hint="eastAsia" w:ascii="宋体" w:hAnsi="宋体" w:cs="宋体"/>
                <w:kern w:val="0"/>
                <w:szCs w:val="21"/>
              </w:rPr>
            </w:pPr>
            <w:r>
              <w:rPr>
                <w:rFonts w:ascii="宋体" w:hAnsi="宋体" w:cs="宋体"/>
                <w:kern w:val="0"/>
                <w:szCs w:val="21"/>
              </w:rPr>
              <w:t>1.</w:t>
            </w:r>
            <w:r>
              <w:rPr>
                <w:rFonts w:hint="eastAsia" w:ascii="宋体" w:hAnsi="宋体" w:cs="宋体"/>
                <w:kern w:val="0"/>
                <w:szCs w:val="21"/>
              </w:rPr>
              <w:t>掌握本课程教学大纲内容，严格按照教学大纲要求进行本课程教学内容的组织。</w:t>
            </w:r>
          </w:p>
          <w:p w14:paraId="2DEF3AE9">
            <w:pPr>
              <w:autoSpaceDE w:val="0"/>
              <w:autoSpaceDN w:val="0"/>
              <w:adjustRightInd w:val="0"/>
              <w:snapToGrid w:val="0"/>
              <w:spacing w:line="312" w:lineRule="auto"/>
              <w:jc w:val="left"/>
              <w:rPr>
                <w:rFonts w:hint="eastAsia" w:ascii="宋体" w:hAnsi="宋体" w:cs="宋体"/>
                <w:kern w:val="0"/>
                <w:szCs w:val="21"/>
              </w:rPr>
            </w:pPr>
            <w:r>
              <w:rPr>
                <w:rFonts w:ascii="宋体" w:hAnsi="宋体" w:cs="宋体"/>
                <w:kern w:val="0"/>
                <w:szCs w:val="21"/>
              </w:rPr>
              <w:t>2.</w:t>
            </w:r>
            <w:r>
              <w:rPr>
                <w:rFonts w:hint="eastAsia" w:ascii="宋体" w:hAnsi="宋体" w:cs="宋体"/>
                <w:kern w:val="0"/>
                <w:szCs w:val="21"/>
              </w:rPr>
              <w:t>熟悉教材各章节，借助相关专业书籍资料，并依据教学大纲编写授课计划，编写每次授课的教案。</w:t>
            </w:r>
          </w:p>
          <w:p w14:paraId="4DB3B763">
            <w:pPr>
              <w:autoSpaceDE w:val="0"/>
              <w:autoSpaceDN w:val="0"/>
              <w:adjustRightInd w:val="0"/>
              <w:snapToGrid w:val="0"/>
              <w:spacing w:line="312" w:lineRule="auto"/>
              <w:jc w:val="left"/>
              <w:rPr>
                <w:rFonts w:hint="eastAsia" w:ascii="宋体" w:hAnsi="宋体" w:cs="宋体"/>
                <w:kern w:val="0"/>
                <w:szCs w:val="21"/>
              </w:rPr>
            </w:pPr>
            <w:r>
              <w:rPr>
                <w:rFonts w:ascii="宋体" w:hAnsi="宋体" w:cs="宋体"/>
                <w:kern w:val="0"/>
                <w:szCs w:val="21"/>
              </w:rPr>
              <w:t>3.</w:t>
            </w:r>
            <w:r>
              <w:rPr>
                <w:rFonts w:hint="eastAsia" w:ascii="宋体" w:hAnsi="宋体" w:cs="宋体"/>
                <w:kern w:val="0"/>
                <w:szCs w:val="21"/>
              </w:rPr>
              <w:t>结合课程特点，制作课件，运用多媒体教学手段讲授部分教学内容。</w:t>
            </w:r>
            <w:r>
              <w:rPr>
                <w:rFonts w:ascii="宋体" w:hAnsi="宋体" w:cs="宋体"/>
                <w:kern w:val="0"/>
                <w:szCs w:val="21"/>
              </w:rPr>
              <w:t xml:space="preserve"> </w:t>
            </w:r>
          </w:p>
          <w:p w14:paraId="028F3A65">
            <w:pPr>
              <w:snapToGrid w:val="0"/>
              <w:rPr>
                <w:szCs w:val="21"/>
              </w:rPr>
            </w:pPr>
            <w:r>
              <w:rPr>
                <w:rFonts w:ascii="宋体" w:hAnsi="宋体" w:cs="宋体"/>
                <w:kern w:val="0"/>
                <w:szCs w:val="21"/>
              </w:rPr>
              <w:t>4.</w:t>
            </w:r>
            <w:r>
              <w:rPr>
                <w:rFonts w:hint="eastAsia" w:ascii="宋体" w:hAnsi="宋体" w:cs="宋体"/>
                <w:kern w:val="0"/>
                <w:szCs w:val="21"/>
              </w:rPr>
              <w:t>确定各章节课程内容的教学方法，构思授课思路、技巧和方法。</w:t>
            </w:r>
          </w:p>
        </w:tc>
      </w:tr>
      <w:tr w14:paraId="47ED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vAlign w:val="center"/>
          </w:tcPr>
          <w:p w14:paraId="19BF47E1">
            <w:pPr>
              <w:snapToGrid w:val="0"/>
              <w:jc w:val="center"/>
              <w:rPr>
                <w:szCs w:val="21"/>
              </w:rPr>
            </w:pPr>
            <w:r>
              <w:rPr>
                <w:szCs w:val="21"/>
              </w:rPr>
              <w:t>2</w:t>
            </w:r>
          </w:p>
        </w:tc>
        <w:tc>
          <w:tcPr>
            <w:tcW w:w="1368" w:type="dxa"/>
            <w:tcMar>
              <w:left w:w="28" w:type="dxa"/>
              <w:right w:w="28" w:type="dxa"/>
            </w:tcMar>
            <w:vAlign w:val="center"/>
          </w:tcPr>
          <w:p w14:paraId="5A3542CD">
            <w:pPr>
              <w:snapToGrid w:val="0"/>
              <w:jc w:val="center"/>
              <w:rPr>
                <w:szCs w:val="21"/>
              </w:rPr>
            </w:pPr>
            <w:r>
              <w:rPr>
                <w:szCs w:val="21"/>
              </w:rPr>
              <w:t>讲授</w:t>
            </w:r>
          </w:p>
        </w:tc>
        <w:tc>
          <w:tcPr>
            <w:tcW w:w="7055" w:type="dxa"/>
            <w:tcBorders>
              <w:right w:val="single" w:color="auto" w:sz="4" w:space="0"/>
            </w:tcBorders>
            <w:vAlign w:val="center"/>
          </w:tcPr>
          <w:p w14:paraId="485097ED">
            <w:pPr>
              <w:autoSpaceDE w:val="0"/>
              <w:autoSpaceDN w:val="0"/>
              <w:adjustRightInd w:val="0"/>
              <w:snapToGrid w:val="0"/>
              <w:spacing w:line="312" w:lineRule="auto"/>
              <w:jc w:val="left"/>
              <w:rPr>
                <w:rFonts w:hint="eastAsia" w:ascii="宋体" w:hAnsi="宋体" w:cs="宋体"/>
                <w:kern w:val="0"/>
                <w:szCs w:val="21"/>
              </w:rPr>
            </w:pPr>
            <w:r>
              <w:rPr>
                <w:rFonts w:ascii="宋体" w:hAnsi="宋体" w:cs="宋体"/>
                <w:kern w:val="0"/>
                <w:szCs w:val="21"/>
              </w:rPr>
              <w:t>1.</w:t>
            </w:r>
            <w:r>
              <w:rPr>
                <w:rFonts w:hint="eastAsia" w:ascii="宋体" w:hAnsi="宋体" w:cs="宋体"/>
                <w:kern w:val="0"/>
                <w:szCs w:val="21"/>
              </w:rPr>
              <w:t>条理清晰，重点突出，理论联系实际，熟练地解答和讲解例题。</w:t>
            </w:r>
          </w:p>
          <w:p w14:paraId="56E136B0">
            <w:pPr>
              <w:autoSpaceDE w:val="0"/>
              <w:autoSpaceDN w:val="0"/>
              <w:adjustRightInd w:val="0"/>
              <w:snapToGrid w:val="0"/>
              <w:spacing w:line="312" w:lineRule="auto"/>
              <w:jc w:val="left"/>
              <w:rPr>
                <w:rFonts w:hint="eastAsia" w:ascii="宋体" w:hAnsi="宋体" w:cs="宋体"/>
                <w:kern w:val="0"/>
                <w:szCs w:val="21"/>
              </w:rPr>
            </w:pPr>
            <w:r>
              <w:rPr>
                <w:rFonts w:ascii="宋体" w:hAnsi="宋体" w:cs="宋体"/>
                <w:kern w:val="0"/>
                <w:szCs w:val="21"/>
              </w:rPr>
              <w:t>2.</w:t>
            </w:r>
            <w:r>
              <w:rPr>
                <w:rFonts w:hint="eastAsia" w:ascii="宋体" w:hAnsi="宋体" w:cs="宋体"/>
                <w:kern w:val="0"/>
                <w:szCs w:val="21"/>
              </w:rPr>
              <w:t>采用多种教学方式（如启发式教学、案例分析教学、讨论式教学等），注重培养学生的计算思维，提高学生发现、分析和解决问题的能力。</w:t>
            </w:r>
          </w:p>
          <w:p w14:paraId="18FBE4BE">
            <w:pPr>
              <w:autoSpaceDE w:val="0"/>
              <w:autoSpaceDN w:val="0"/>
              <w:adjustRightInd w:val="0"/>
              <w:snapToGrid w:val="0"/>
              <w:spacing w:line="312" w:lineRule="auto"/>
              <w:jc w:val="left"/>
              <w:rPr>
                <w:rFonts w:hint="eastAsia" w:ascii="宋体" w:hAnsi="宋体" w:cs="宋体"/>
                <w:kern w:val="0"/>
                <w:szCs w:val="21"/>
              </w:rPr>
            </w:pPr>
            <w:r>
              <w:rPr>
                <w:rFonts w:ascii="宋体" w:hAnsi="宋体" w:cs="宋体"/>
                <w:kern w:val="0"/>
                <w:szCs w:val="21"/>
              </w:rPr>
              <w:t>3.</w:t>
            </w:r>
            <w:r>
              <w:rPr>
                <w:rFonts w:hint="eastAsia" w:ascii="宋体" w:hAnsi="宋体" w:cs="宋体"/>
                <w:kern w:val="0"/>
                <w:szCs w:val="21"/>
              </w:rPr>
              <w:t>多种教学手段、教师演示与学生动手实践相结合，以培养学生实践动手的能力。</w:t>
            </w:r>
          </w:p>
          <w:p w14:paraId="12830898">
            <w:pPr>
              <w:snapToGrid w:val="0"/>
              <w:rPr>
                <w:szCs w:val="21"/>
              </w:rPr>
            </w:pPr>
            <w:r>
              <w:rPr>
                <w:rFonts w:ascii="宋体" w:hAnsi="宋体" w:cs="宋体"/>
                <w:kern w:val="0"/>
                <w:szCs w:val="21"/>
              </w:rPr>
              <w:t>4.</w:t>
            </w:r>
            <w:r>
              <w:rPr>
                <w:rFonts w:hint="eastAsia" w:ascii="宋体" w:hAnsi="宋体" w:cs="宋体"/>
                <w:kern w:val="0"/>
                <w:szCs w:val="21"/>
              </w:rPr>
              <w:t>表达方式尽量便于学生理解、接受，力求形象生动，使学生在掌握知识的过程中，保持较为浓厚的兴趣。</w:t>
            </w:r>
          </w:p>
        </w:tc>
      </w:tr>
      <w:tr w14:paraId="069B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vAlign w:val="center"/>
          </w:tcPr>
          <w:p w14:paraId="7B431D90">
            <w:pPr>
              <w:snapToGrid w:val="0"/>
              <w:jc w:val="center"/>
              <w:rPr>
                <w:szCs w:val="21"/>
              </w:rPr>
            </w:pPr>
            <w:r>
              <w:rPr>
                <w:szCs w:val="21"/>
              </w:rPr>
              <w:t>3</w:t>
            </w:r>
          </w:p>
        </w:tc>
        <w:tc>
          <w:tcPr>
            <w:tcW w:w="1368" w:type="dxa"/>
            <w:tcMar>
              <w:left w:w="28" w:type="dxa"/>
              <w:right w:w="28" w:type="dxa"/>
            </w:tcMar>
            <w:vAlign w:val="center"/>
          </w:tcPr>
          <w:p w14:paraId="58D213FF">
            <w:pPr>
              <w:snapToGrid w:val="0"/>
              <w:jc w:val="center"/>
              <w:rPr>
                <w:szCs w:val="21"/>
              </w:rPr>
            </w:pPr>
            <w:r>
              <w:rPr>
                <w:rFonts w:hint="eastAsia"/>
                <w:szCs w:val="21"/>
              </w:rPr>
              <w:t>过程性考核</w:t>
            </w:r>
          </w:p>
        </w:tc>
        <w:tc>
          <w:tcPr>
            <w:tcW w:w="7055" w:type="dxa"/>
            <w:tcBorders>
              <w:right w:val="single" w:color="auto" w:sz="4" w:space="0"/>
            </w:tcBorders>
            <w:vAlign w:val="center"/>
          </w:tcPr>
          <w:p w14:paraId="0E56130D">
            <w:pPr>
              <w:autoSpaceDE w:val="0"/>
              <w:autoSpaceDN w:val="0"/>
              <w:adjustRightInd w:val="0"/>
              <w:snapToGrid w:val="0"/>
              <w:spacing w:line="312" w:lineRule="auto"/>
              <w:jc w:val="left"/>
              <w:rPr>
                <w:rFonts w:hint="eastAsia" w:ascii="宋体" w:hAnsi="宋体" w:cs="宋体"/>
                <w:kern w:val="0"/>
                <w:szCs w:val="21"/>
              </w:rPr>
            </w:pPr>
            <w:r>
              <w:rPr>
                <w:rFonts w:hint="eastAsia" w:ascii="宋体" w:hAnsi="宋体" w:cs="宋体"/>
                <w:kern w:val="0"/>
                <w:szCs w:val="21"/>
              </w:rPr>
              <w:t>作业：主要是在线测试，独立完成。教师根据作业完成情况评分，取平均值按比例计入平时成绩。</w:t>
            </w:r>
          </w:p>
          <w:p w14:paraId="1725A567">
            <w:pPr>
              <w:autoSpaceDE w:val="0"/>
              <w:autoSpaceDN w:val="0"/>
              <w:adjustRightInd w:val="0"/>
              <w:snapToGrid w:val="0"/>
              <w:spacing w:line="312" w:lineRule="auto"/>
              <w:jc w:val="left"/>
              <w:rPr>
                <w:rFonts w:hint="eastAsia" w:ascii="宋体" w:hAnsi="宋体" w:cs="宋体"/>
                <w:kern w:val="0"/>
                <w:szCs w:val="21"/>
              </w:rPr>
            </w:pPr>
            <w:r>
              <w:rPr>
                <w:rFonts w:hint="eastAsia" w:ascii="宋体" w:hAnsi="宋体" w:cs="宋体"/>
                <w:kern w:val="0"/>
                <w:szCs w:val="21"/>
              </w:rPr>
              <w:t>模拟测试：可采用上机测试等形式，分别在期中及临近期末时考查学生对特定知识模块的掌握情况，促使学生及时巩固所学知识。</w:t>
            </w:r>
          </w:p>
          <w:p w14:paraId="1A47256E">
            <w:pPr>
              <w:autoSpaceDE w:val="0"/>
              <w:autoSpaceDN w:val="0"/>
              <w:adjustRightInd w:val="0"/>
              <w:snapToGrid w:val="0"/>
              <w:spacing w:line="312" w:lineRule="auto"/>
              <w:jc w:val="left"/>
              <w:rPr>
                <w:rFonts w:hint="eastAsia" w:ascii="宋体" w:hAnsi="宋体" w:cs="宋体"/>
                <w:kern w:val="0"/>
                <w:szCs w:val="21"/>
              </w:rPr>
            </w:pPr>
            <w:r>
              <w:rPr>
                <w:rFonts w:hint="eastAsia" w:ascii="宋体" w:hAnsi="宋体" w:cs="宋体"/>
                <w:kern w:val="0"/>
                <w:szCs w:val="21"/>
              </w:rPr>
              <w:t>教师批改或讲评作业要求如下：</w:t>
            </w:r>
          </w:p>
          <w:p w14:paraId="3673AB9A">
            <w:pPr>
              <w:autoSpaceDE w:val="0"/>
              <w:autoSpaceDN w:val="0"/>
              <w:adjustRightInd w:val="0"/>
              <w:snapToGrid w:val="0"/>
              <w:spacing w:line="312" w:lineRule="auto"/>
              <w:jc w:val="left"/>
              <w:rPr>
                <w:rFonts w:hint="eastAsia" w:ascii="宋体" w:hAnsi="宋体" w:cs="宋体"/>
                <w:kern w:val="0"/>
                <w:szCs w:val="21"/>
              </w:rPr>
            </w:pPr>
            <w:r>
              <w:rPr>
                <w:rFonts w:ascii="宋体" w:hAnsi="宋体" w:cs="宋体"/>
                <w:kern w:val="0"/>
                <w:szCs w:val="21"/>
              </w:rPr>
              <w:t>1.</w:t>
            </w:r>
            <w:r>
              <w:rPr>
                <w:rFonts w:hint="eastAsia" w:ascii="宋体" w:hAnsi="宋体" w:cs="宋体"/>
                <w:kern w:val="0"/>
                <w:szCs w:val="21"/>
              </w:rPr>
              <w:t>学生的作业要全批全改，并按时批改、讲评学生每次交来的作业。</w:t>
            </w:r>
          </w:p>
          <w:p w14:paraId="0E8B0718">
            <w:pPr>
              <w:autoSpaceDE w:val="0"/>
              <w:autoSpaceDN w:val="0"/>
              <w:adjustRightInd w:val="0"/>
              <w:snapToGrid w:val="0"/>
              <w:spacing w:line="312" w:lineRule="auto"/>
              <w:jc w:val="left"/>
              <w:rPr>
                <w:color w:val="FF0000"/>
                <w:szCs w:val="21"/>
              </w:rPr>
            </w:pPr>
            <w:r>
              <w:rPr>
                <w:rFonts w:ascii="宋体" w:hAnsi="宋体" w:cs="宋体"/>
                <w:kern w:val="0"/>
                <w:szCs w:val="21"/>
              </w:rPr>
              <w:t>2.</w:t>
            </w:r>
            <w:r>
              <w:rPr>
                <w:rFonts w:hint="eastAsia" w:ascii="宋体" w:hAnsi="宋体" w:cs="宋体"/>
                <w:kern w:val="0"/>
                <w:szCs w:val="21"/>
              </w:rPr>
              <w:t>教师批改或讲评作业要认真、细致，每次批改或讲评作业后，按百分制评定成绩，并写明日期。</w:t>
            </w:r>
          </w:p>
        </w:tc>
      </w:tr>
      <w:tr w14:paraId="2CBC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vAlign w:val="center"/>
          </w:tcPr>
          <w:p w14:paraId="23818C00">
            <w:pPr>
              <w:snapToGrid w:val="0"/>
              <w:jc w:val="center"/>
              <w:rPr>
                <w:szCs w:val="21"/>
              </w:rPr>
            </w:pPr>
            <w:r>
              <w:rPr>
                <w:szCs w:val="21"/>
              </w:rPr>
              <w:t>4</w:t>
            </w:r>
          </w:p>
        </w:tc>
        <w:tc>
          <w:tcPr>
            <w:tcW w:w="1368" w:type="dxa"/>
            <w:tcMar>
              <w:left w:w="28" w:type="dxa"/>
              <w:right w:w="28" w:type="dxa"/>
            </w:tcMar>
            <w:vAlign w:val="center"/>
          </w:tcPr>
          <w:p w14:paraId="3BE4B41E">
            <w:pPr>
              <w:snapToGrid w:val="0"/>
              <w:jc w:val="center"/>
              <w:rPr>
                <w:szCs w:val="21"/>
              </w:rPr>
            </w:pPr>
            <w:r>
              <w:rPr>
                <w:szCs w:val="21"/>
              </w:rPr>
              <w:t>课外答疑</w:t>
            </w:r>
          </w:p>
        </w:tc>
        <w:tc>
          <w:tcPr>
            <w:tcW w:w="7055" w:type="dxa"/>
            <w:tcBorders>
              <w:right w:val="single" w:color="auto" w:sz="4" w:space="0"/>
            </w:tcBorders>
            <w:vAlign w:val="center"/>
          </w:tcPr>
          <w:p w14:paraId="4FDEADC0">
            <w:pPr>
              <w:snapToGrid w:val="0"/>
              <w:rPr>
                <w:szCs w:val="21"/>
              </w:rPr>
            </w:pPr>
            <w:r>
              <w:rPr>
                <w:rFonts w:hint="eastAsia" w:ascii="宋体" w:hAnsi="宋体" w:cs="宋体"/>
                <w:kern w:val="0"/>
                <w:szCs w:val="21"/>
              </w:rPr>
              <w:t>为直接了解学生的学习情况，帮助学生进一步理解和消化课堂上所学知识、改进学习方法和思维方式，培养其独立思考问题的能力，建议任课教师安排时间进行课外答疑与辅导工作。</w:t>
            </w:r>
          </w:p>
        </w:tc>
      </w:tr>
      <w:tr w14:paraId="6D0D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vAlign w:val="center"/>
          </w:tcPr>
          <w:p w14:paraId="580E8C22">
            <w:pPr>
              <w:snapToGrid w:val="0"/>
              <w:jc w:val="center"/>
              <w:rPr>
                <w:szCs w:val="21"/>
              </w:rPr>
            </w:pPr>
            <w:r>
              <w:rPr>
                <w:szCs w:val="21"/>
              </w:rPr>
              <w:t>5</w:t>
            </w:r>
          </w:p>
        </w:tc>
        <w:tc>
          <w:tcPr>
            <w:tcW w:w="1368" w:type="dxa"/>
            <w:tcMar>
              <w:left w:w="28" w:type="dxa"/>
              <w:right w:w="28" w:type="dxa"/>
            </w:tcMar>
            <w:vAlign w:val="center"/>
          </w:tcPr>
          <w:p w14:paraId="4122EABD">
            <w:pPr>
              <w:snapToGrid w:val="0"/>
              <w:jc w:val="center"/>
              <w:rPr>
                <w:szCs w:val="21"/>
              </w:rPr>
            </w:pPr>
            <w:r>
              <w:rPr>
                <w:rFonts w:hint="eastAsia"/>
                <w:szCs w:val="21"/>
              </w:rPr>
              <w:t>期末考试</w:t>
            </w:r>
          </w:p>
        </w:tc>
        <w:tc>
          <w:tcPr>
            <w:tcW w:w="7055" w:type="dxa"/>
            <w:tcBorders>
              <w:right w:val="single" w:color="auto" w:sz="4" w:space="0"/>
            </w:tcBorders>
            <w:vAlign w:val="center"/>
          </w:tcPr>
          <w:p w14:paraId="73942E32">
            <w:pPr>
              <w:autoSpaceDE w:val="0"/>
              <w:autoSpaceDN w:val="0"/>
              <w:adjustRightInd w:val="0"/>
              <w:snapToGrid w:val="0"/>
              <w:spacing w:line="312" w:lineRule="auto"/>
              <w:jc w:val="left"/>
              <w:rPr>
                <w:rFonts w:hint="eastAsia" w:ascii="宋体" w:hAnsi="宋体" w:cs="宋体"/>
                <w:kern w:val="0"/>
                <w:szCs w:val="21"/>
              </w:rPr>
            </w:pPr>
            <w:r>
              <w:rPr>
                <w:rFonts w:hint="eastAsia" w:ascii="宋体" w:hAnsi="宋体" w:cs="宋体"/>
                <w:kern w:val="0"/>
                <w:szCs w:val="21"/>
              </w:rPr>
              <w:t>期末考试必须达到以下基本要求：</w:t>
            </w:r>
          </w:p>
          <w:p w14:paraId="16BD36B1">
            <w:pPr>
              <w:snapToGrid w:val="0"/>
              <w:rPr>
                <w:rFonts w:hint="eastAsia" w:ascii="宋体" w:hAnsi="宋体" w:cs="宋体"/>
                <w:kern w:val="0"/>
                <w:szCs w:val="21"/>
              </w:rPr>
            </w:pPr>
            <w:r>
              <w:rPr>
                <w:rFonts w:ascii="宋体" w:hAnsi="宋体" w:cs="宋体"/>
                <w:kern w:val="0"/>
                <w:szCs w:val="21"/>
              </w:rPr>
              <w:t>1.</w:t>
            </w:r>
            <w:r>
              <w:rPr>
                <w:rFonts w:hint="eastAsia" w:ascii="宋体" w:hAnsi="宋体" w:cs="宋体"/>
                <w:kern w:val="0"/>
                <w:szCs w:val="21"/>
              </w:rPr>
              <w:t>考试形式：闭卷。</w:t>
            </w:r>
          </w:p>
          <w:p w14:paraId="73E7E7F5">
            <w:pPr>
              <w:snapToGrid w:val="0"/>
              <w:rPr>
                <w:rFonts w:hint="eastAsia" w:ascii="宋体" w:hAnsi="宋体" w:cs="宋体"/>
                <w:kern w:val="0"/>
                <w:szCs w:val="21"/>
              </w:rPr>
            </w:pPr>
            <w:r>
              <w:rPr>
                <w:rFonts w:hint="eastAsia" w:ascii="宋体" w:hAnsi="宋体" w:cs="宋体"/>
                <w:kern w:val="0"/>
                <w:szCs w:val="21"/>
              </w:rPr>
              <w:t>考试内容：涵盖课程各个知识点，题型通常有选择题、填空题、程序设计题等。</w:t>
            </w:r>
          </w:p>
          <w:p w14:paraId="22BAA308">
            <w:pPr>
              <w:snapToGrid w:val="0"/>
              <w:rPr>
                <w:rFonts w:eastAsia="宋体"/>
                <w:szCs w:val="21"/>
              </w:rPr>
            </w:pPr>
            <w:r>
              <w:rPr>
                <w:rFonts w:hint="eastAsia" w:ascii="宋体" w:hAnsi="宋体" w:cs="宋体"/>
                <w:kern w:val="0"/>
                <w:szCs w:val="21"/>
              </w:rPr>
              <w:t>命题原则：命题依据课程标准和考核大纲，全面覆盖知识点和技能点，注重考查人工智能基础知识与编程能力。</w:t>
            </w:r>
          </w:p>
        </w:tc>
      </w:tr>
    </w:tbl>
    <w:p w14:paraId="2FB65607">
      <w:pPr>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五、课程考核</w:t>
      </w:r>
    </w:p>
    <w:p w14:paraId="010F14CD">
      <w:pPr>
        <w:spacing w:line="360" w:lineRule="auto"/>
        <w:ind w:firstLine="420" w:firstLineChars="200"/>
        <w:rPr>
          <w:szCs w:val="21"/>
        </w:rPr>
      </w:pPr>
      <w:r>
        <w:rPr>
          <w:rFonts w:hint="eastAsia"/>
          <w:szCs w:val="21"/>
        </w:rPr>
        <w:t>（一）</w:t>
      </w:r>
      <w:r>
        <w:rPr>
          <w:szCs w:val="21"/>
        </w:rPr>
        <w:t>课程考核</w:t>
      </w:r>
      <w:r>
        <w:rPr>
          <w:rFonts w:hint="eastAsia"/>
          <w:szCs w:val="21"/>
        </w:rPr>
        <w:t>方式</w:t>
      </w:r>
    </w:p>
    <w:p w14:paraId="3A9DB02D">
      <w:pPr>
        <w:spacing w:line="360" w:lineRule="auto"/>
        <w:ind w:firstLine="420" w:firstLineChars="200"/>
        <w:rPr>
          <w:szCs w:val="21"/>
        </w:rPr>
      </w:pPr>
      <w:r>
        <w:rPr>
          <w:rFonts w:hint="eastAsia"/>
          <w:szCs w:val="21"/>
        </w:rPr>
        <w:t>课程考核包括期末考试、作业、模拟考试，期末考试采用闭卷的形式。作业、模拟考试计入平时成绩中。</w:t>
      </w:r>
    </w:p>
    <w:p w14:paraId="4E7C6E90">
      <w:pPr>
        <w:spacing w:line="360" w:lineRule="auto"/>
        <w:ind w:firstLine="420" w:firstLineChars="200"/>
        <w:rPr>
          <w:szCs w:val="21"/>
        </w:rPr>
      </w:pPr>
      <w:r>
        <w:rPr>
          <w:rFonts w:hint="eastAsia"/>
          <w:szCs w:val="21"/>
        </w:rPr>
        <w:t>（二）总评成绩评定方法</w:t>
      </w:r>
    </w:p>
    <w:p w14:paraId="16AA62CE">
      <w:pPr>
        <w:spacing w:line="360" w:lineRule="auto"/>
        <w:ind w:firstLine="420" w:firstLineChars="200"/>
        <w:rPr>
          <w:szCs w:val="21"/>
        </w:rPr>
      </w:pPr>
      <w:r>
        <w:rPr>
          <w:szCs w:val="21"/>
        </w:rPr>
        <w:t>课程</w:t>
      </w:r>
      <w:r>
        <w:rPr>
          <w:rFonts w:hint="eastAsia"/>
          <w:szCs w:val="21"/>
        </w:rPr>
        <w:t>总评</w:t>
      </w:r>
      <w:r>
        <w:rPr>
          <w:szCs w:val="21"/>
        </w:rPr>
        <w:t>成绩=</w:t>
      </w:r>
      <w:r>
        <w:rPr>
          <w:rFonts w:hint="eastAsia"/>
          <w:szCs w:val="21"/>
        </w:rPr>
        <w:t>平时成绩</w:t>
      </w:r>
      <w:r>
        <w:rPr>
          <w:szCs w:val="21"/>
        </w:rPr>
        <w:t>×</w:t>
      </w:r>
      <w:r>
        <w:rPr>
          <w:rFonts w:hint="eastAsia"/>
          <w:szCs w:val="21"/>
        </w:rPr>
        <w:t>50</w:t>
      </w:r>
      <w:r>
        <w:rPr>
          <w:szCs w:val="21"/>
        </w:rPr>
        <w:t>%+期末考试成绩×5</w:t>
      </w:r>
      <w:r>
        <w:rPr>
          <w:rFonts w:hint="eastAsia"/>
          <w:szCs w:val="21"/>
        </w:rPr>
        <w:t>0</w:t>
      </w:r>
      <w:r>
        <w:rPr>
          <w:szCs w:val="21"/>
        </w:rPr>
        <w:t>%。</w:t>
      </w:r>
    </w:p>
    <w:p w14:paraId="219D402B">
      <w:pPr>
        <w:spacing w:line="360" w:lineRule="auto"/>
        <w:ind w:firstLine="420" w:firstLineChars="200"/>
        <w:rPr>
          <w:szCs w:val="21"/>
        </w:rPr>
      </w:pPr>
      <w:r>
        <w:rPr>
          <w:rFonts w:hint="eastAsia"/>
          <w:szCs w:val="21"/>
        </w:rPr>
        <w:t>具体内容、比例和评价参考标准如表</w:t>
      </w:r>
      <w:r>
        <w:rPr>
          <w:szCs w:val="21"/>
        </w:rPr>
        <w:t>5</w:t>
      </w:r>
      <w:r>
        <w:rPr>
          <w:rFonts w:hint="eastAsia"/>
          <w:szCs w:val="21"/>
        </w:rPr>
        <w:t>所示。</w:t>
      </w:r>
    </w:p>
    <w:p w14:paraId="28B38877">
      <w:pPr>
        <w:spacing w:line="360" w:lineRule="auto"/>
        <w:ind w:firstLine="420" w:firstLineChars="200"/>
        <w:jc w:val="center"/>
        <w:rPr>
          <w:szCs w:val="21"/>
        </w:rPr>
      </w:pPr>
      <w:r>
        <w:rPr>
          <w:rFonts w:hint="eastAsia"/>
          <w:szCs w:val="21"/>
        </w:rPr>
        <w:t>表</w:t>
      </w:r>
      <w:r>
        <w:rPr>
          <w:szCs w:val="21"/>
        </w:rPr>
        <w:t xml:space="preserve">5  </w:t>
      </w:r>
      <w:r>
        <w:rPr>
          <w:rFonts w:hint="eastAsia"/>
          <w:szCs w:val="21"/>
        </w:rPr>
        <w:t>考核总评成绩组成及评价细则表</w:t>
      </w:r>
    </w:p>
    <w:tbl>
      <w:tblPr>
        <w:tblStyle w:val="11"/>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5638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shd w:val="clear" w:color="auto" w:fill="FFFFFF"/>
            <w:tcMar>
              <w:left w:w="57" w:type="dxa"/>
              <w:right w:w="57" w:type="dxa"/>
            </w:tcMar>
            <w:vAlign w:val="center"/>
          </w:tcPr>
          <w:p w14:paraId="0A8704B7">
            <w:pPr>
              <w:pStyle w:val="30"/>
              <w:snapToGrid w:val="0"/>
              <w:jc w:val="center"/>
              <w:rPr>
                <w:rFonts w:eastAsia="宋体"/>
                <w:b/>
                <w:bCs/>
                <w:szCs w:val="21"/>
              </w:rPr>
            </w:pPr>
            <w:r>
              <w:rPr>
                <w:rFonts w:eastAsia="宋体"/>
                <w:b/>
                <w:bCs/>
                <w:szCs w:val="21"/>
              </w:rPr>
              <w:t>成绩组成</w:t>
            </w:r>
          </w:p>
        </w:tc>
        <w:tc>
          <w:tcPr>
            <w:tcW w:w="1590" w:type="dxa"/>
            <w:shd w:val="clear" w:color="auto" w:fill="FFFFFF"/>
            <w:vAlign w:val="center"/>
          </w:tcPr>
          <w:p w14:paraId="78CC9EE5">
            <w:pPr>
              <w:pStyle w:val="30"/>
              <w:snapToGrid w:val="0"/>
              <w:jc w:val="center"/>
              <w:rPr>
                <w:rFonts w:eastAsia="宋体"/>
                <w:b/>
                <w:bCs/>
                <w:szCs w:val="21"/>
              </w:rPr>
            </w:pPr>
            <w:r>
              <w:rPr>
                <w:rFonts w:eastAsia="宋体"/>
                <w:b/>
                <w:bCs/>
                <w:szCs w:val="21"/>
              </w:rPr>
              <w:t>考核/评价环节</w:t>
            </w:r>
          </w:p>
        </w:tc>
        <w:tc>
          <w:tcPr>
            <w:tcW w:w="1276" w:type="dxa"/>
            <w:shd w:val="clear" w:color="auto" w:fill="FFFFFF"/>
            <w:vAlign w:val="center"/>
          </w:tcPr>
          <w:p w14:paraId="5CF89CCB">
            <w:pPr>
              <w:pStyle w:val="30"/>
              <w:snapToGrid w:val="0"/>
              <w:jc w:val="center"/>
              <w:rPr>
                <w:rFonts w:eastAsia="宋体"/>
                <w:b/>
                <w:bCs/>
                <w:szCs w:val="21"/>
              </w:rPr>
            </w:pPr>
            <w:r>
              <w:rPr>
                <w:rFonts w:hint="eastAsia" w:eastAsia="宋体"/>
                <w:b/>
                <w:bCs/>
                <w:szCs w:val="21"/>
              </w:rPr>
              <w:t>权重</w:t>
            </w:r>
          </w:p>
        </w:tc>
        <w:tc>
          <w:tcPr>
            <w:tcW w:w="5037" w:type="dxa"/>
            <w:shd w:val="clear" w:color="auto" w:fill="FFFFFF"/>
            <w:vAlign w:val="center"/>
          </w:tcPr>
          <w:p w14:paraId="48A3FD46">
            <w:pPr>
              <w:pStyle w:val="30"/>
              <w:snapToGrid w:val="0"/>
              <w:jc w:val="center"/>
              <w:rPr>
                <w:rFonts w:eastAsia="宋体"/>
                <w:b/>
                <w:bCs/>
                <w:szCs w:val="21"/>
              </w:rPr>
            </w:pPr>
            <w:r>
              <w:rPr>
                <w:rFonts w:eastAsia="宋体"/>
                <w:b/>
                <w:bCs/>
                <w:szCs w:val="21"/>
              </w:rPr>
              <w:t>考核/评价细则</w:t>
            </w:r>
          </w:p>
        </w:tc>
      </w:tr>
      <w:tr w14:paraId="03B5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restart"/>
            <w:tcMar>
              <w:left w:w="57" w:type="dxa"/>
              <w:right w:w="57" w:type="dxa"/>
            </w:tcMar>
            <w:vAlign w:val="center"/>
          </w:tcPr>
          <w:p w14:paraId="47BB8097">
            <w:pPr>
              <w:pStyle w:val="30"/>
              <w:snapToGrid w:val="0"/>
              <w:jc w:val="center"/>
              <w:rPr>
                <w:rFonts w:eastAsia="宋体"/>
                <w:szCs w:val="21"/>
              </w:rPr>
            </w:pPr>
            <w:r>
              <w:rPr>
                <w:rFonts w:eastAsia="宋体"/>
                <w:szCs w:val="21"/>
              </w:rPr>
              <w:t>平时成绩</w:t>
            </w:r>
          </w:p>
        </w:tc>
        <w:tc>
          <w:tcPr>
            <w:tcW w:w="1590" w:type="dxa"/>
            <w:vAlign w:val="center"/>
          </w:tcPr>
          <w:p w14:paraId="7F410328">
            <w:pPr>
              <w:pStyle w:val="30"/>
              <w:snapToGrid w:val="0"/>
              <w:jc w:val="center"/>
              <w:rPr>
                <w:rFonts w:eastAsia="宋体"/>
                <w:szCs w:val="21"/>
              </w:rPr>
            </w:pPr>
            <w:r>
              <w:rPr>
                <w:rFonts w:eastAsia="宋体"/>
                <w:szCs w:val="21"/>
              </w:rPr>
              <w:t>作业</w:t>
            </w:r>
          </w:p>
        </w:tc>
        <w:tc>
          <w:tcPr>
            <w:tcW w:w="1276" w:type="dxa"/>
            <w:vAlign w:val="center"/>
          </w:tcPr>
          <w:p w14:paraId="7C2321B8">
            <w:pPr>
              <w:pStyle w:val="30"/>
              <w:snapToGrid w:val="0"/>
              <w:jc w:val="center"/>
              <w:rPr>
                <w:rFonts w:eastAsia="宋体"/>
                <w:szCs w:val="21"/>
              </w:rPr>
            </w:pPr>
            <w:r>
              <w:rPr>
                <w:rFonts w:hint="eastAsia" w:eastAsia="宋体"/>
                <w:szCs w:val="21"/>
              </w:rPr>
              <w:t>40%</w:t>
            </w:r>
          </w:p>
        </w:tc>
        <w:tc>
          <w:tcPr>
            <w:tcW w:w="5037" w:type="dxa"/>
            <w:vAlign w:val="center"/>
          </w:tcPr>
          <w:p w14:paraId="6AD18A59">
            <w:pPr>
              <w:pStyle w:val="30"/>
              <w:snapToGrid w:val="0"/>
              <w:rPr>
                <w:rFonts w:eastAsia="宋体"/>
                <w:szCs w:val="21"/>
              </w:rPr>
            </w:pPr>
            <w:r>
              <w:rPr>
                <w:rFonts w:hint="eastAsia" w:ascii="Times New Roman" w:hAnsi="Times New Roman" w:eastAsia="宋体" w:cs="Times New Roman"/>
                <w:szCs w:val="21"/>
              </w:rPr>
              <w:t>用网络平台测试重要章节内容，考核学生对知识点的复习、理解和掌握度。对每次作业或测试完成情况做记录并百分制打分，计算全部作业的平均成绩。</w:t>
            </w:r>
          </w:p>
        </w:tc>
      </w:tr>
      <w:tr w14:paraId="0A6D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vMerge w:val="continue"/>
            <w:tcMar>
              <w:left w:w="57" w:type="dxa"/>
              <w:right w:w="57" w:type="dxa"/>
            </w:tcMar>
            <w:vAlign w:val="center"/>
          </w:tcPr>
          <w:p w14:paraId="63C6F28D">
            <w:pPr>
              <w:pStyle w:val="30"/>
              <w:snapToGrid w:val="0"/>
              <w:jc w:val="center"/>
              <w:rPr>
                <w:rFonts w:eastAsia="宋体"/>
                <w:szCs w:val="21"/>
              </w:rPr>
            </w:pPr>
          </w:p>
        </w:tc>
        <w:tc>
          <w:tcPr>
            <w:tcW w:w="1590" w:type="dxa"/>
            <w:vAlign w:val="center"/>
          </w:tcPr>
          <w:p w14:paraId="6253E62F">
            <w:pPr>
              <w:pStyle w:val="30"/>
              <w:snapToGrid w:val="0"/>
              <w:jc w:val="center"/>
              <w:rPr>
                <w:rFonts w:eastAsia="宋体"/>
                <w:szCs w:val="21"/>
              </w:rPr>
            </w:pPr>
            <w:r>
              <w:rPr>
                <w:rFonts w:hint="eastAsia" w:eastAsia="宋体"/>
                <w:szCs w:val="21"/>
              </w:rPr>
              <w:t>模拟考试</w:t>
            </w:r>
          </w:p>
        </w:tc>
        <w:tc>
          <w:tcPr>
            <w:tcW w:w="1276" w:type="dxa"/>
            <w:vAlign w:val="center"/>
          </w:tcPr>
          <w:p w14:paraId="47B2868B">
            <w:pPr>
              <w:pStyle w:val="30"/>
              <w:snapToGrid w:val="0"/>
              <w:jc w:val="center"/>
              <w:rPr>
                <w:rFonts w:eastAsia="宋体"/>
                <w:szCs w:val="21"/>
              </w:rPr>
            </w:pPr>
            <w:r>
              <w:rPr>
                <w:rFonts w:hint="eastAsia" w:eastAsia="宋体"/>
                <w:szCs w:val="21"/>
              </w:rPr>
              <w:t>10%</w:t>
            </w:r>
          </w:p>
        </w:tc>
        <w:tc>
          <w:tcPr>
            <w:tcW w:w="5037" w:type="dxa"/>
            <w:vAlign w:val="center"/>
          </w:tcPr>
          <w:p w14:paraId="26E06ACC">
            <w:pPr>
              <w:pStyle w:val="30"/>
              <w:snapToGrid w:val="0"/>
              <w:rPr>
                <w:rFonts w:eastAsia="宋体"/>
                <w:szCs w:val="21"/>
              </w:rPr>
            </w:pPr>
            <w:r>
              <w:rPr>
                <w:rFonts w:hint="eastAsia" w:eastAsia="宋体"/>
                <w:szCs w:val="21"/>
              </w:rPr>
              <w:t>帮助学生熟悉期末考试题型和难度，检验知识漏洞。题型、难度与期末考试一致，涵盖全课程知识点。</w:t>
            </w:r>
          </w:p>
        </w:tc>
      </w:tr>
      <w:tr w14:paraId="50CF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tcMar>
              <w:left w:w="57" w:type="dxa"/>
              <w:right w:w="57" w:type="dxa"/>
            </w:tcMar>
            <w:vAlign w:val="center"/>
          </w:tcPr>
          <w:p w14:paraId="35685F4C">
            <w:pPr>
              <w:pStyle w:val="30"/>
              <w:snapToGrid w:val="0"/>
              <w:jc w:val="center"/>
              <w:rPr>
                <w:rFonts w:eastAsia="宋体"/>
                <w:szCs w:val="21"/>
              </w:rPr>
            </w:pPr>
            <w:r>
              <w:rPr>
                <w:rFonts w:eastAsia="宋体"/>
                <w:szCs w:val="21"/>
              </w:rPr>
              <w:t>期末考试</w:t>
            </w:r>
          </w:p>
        </w:tc>
        <w:tc>
          <w:tcPr>
            <w:tcW w:w="1590" w:type="dxa"/>
            <w:vAlign w:val="center"/>
          </w:tcPr>
          <w:p w14:paraId="001CB06B">
            <w:pPr>
              <w:pStyle w:val="30"/>
              <w:snapToGrid w:val="0"/>
              <w:jc w:val="center"/>
              <w:rPr>
                <w:rFonts w:eastAsia="宋体"/>
                <w:szCs w:val="21"/>
              </w:rPr>
            </w:pPr>
            <w:r>
              <w:rPr>
                <w:rFonts w:eastAsia="宋体"/>
                <w:szCs w:val="21"/>
              </w:rPr>
              <w:t>期末考试</w:t>
            </w:r>
          </w:p>
          <w:p w14:paraId="67A8A91F">
            <w:pPr>
              <w:pStyle w:val="30"/>
              <w:snapToGrid w:val="0"/>
              <w:jc w:val="center"/>
              <w:rPr>
                <w:rFonts w:eastAsia="宋体"/>
                <w:szCs w:val="21"/>
              </w:rPr>
            </w:pPr>
            <w:r>
              <w:rPr>
                <w:rFonts w:hint="eastAsia" w:eastAsia="宋体"/>
                <w:szCs w:val="21"/>
              </w:rPr>
              <w:t>卷面</w:t>
            </w:r>
            <w:r>
              <w:rPr>
                <w:rFonts w:eastAsia="宋体"/>
                <w:szCs w:val="21"/>
              </w:rPr>
              <w:t>成绩</w:t>
            </w:r>
          </w:p>
        </w:tc>
        <w:tc>
          <w:tcPr>
            <w:tcW w:w="1276" w:type="dxa"/>
            <w:vAlign w:val="center"/>
          </w:tcPr>
          <w:p w14:paraId="4C6D0991">
            <w:pPr>
              <w:pStyle w:val="30"/>
              <w:snapToGrid w:val="0"/>
              <w:jc w:val="center"/>
              <w:rPr>
                <w:rFonts w:eastAsia="宋体"/>
                <w:szCs w:val="21"/>
              </w:rPr>
            </w:pPr>
            <w:r>
              <w:rPr>
                <w:rFonts w:hint="eastAsia" w:eastAsia="宋体"/>
                <w:szCs w:val="21"/>
              </w:rPr>
              <w:t>50%</w:t>
            </w:r>
          </w:p>
        </w:tc>
        <w:tc>
          <w:tcPr>
            <w:tcW w:w="5037" w:type="dxa"/>
            <w:vAlign w:val="center"/>
          </w:tcPr>
          <w:p w14:paraId="0E14D8D8">
            <w:pPr>
              <w:pStyle w:val="30"/>
              <w:snapToGrid w:val="0"/>
              <w:rPr>
                <w:rFonts w:eastAsia="宋体"/>
                <w:szCs w:val="21"/>
              </w:rPr>
            </w:pPr>
            <w:r>
              <w:rPr>
                <w:rFonts w:hint="eastAsia" w:eastAsia="宋体"/>
                <w:szCs w:val="21"/>
              </w:rPr>
              <w:t>试卷题型包括选择题、填空题、程序设计题等。其中考核人工智能与信息处理能力的基础知识题（占60%）；考核是否具有自主学习、用信息工具解决实际问题的的题（占40%）。</w:t>
            </w:r>
          </w:p>
        </w:tc>
      </w:tr>
    </w:tbl>
    <w:p w14:paraId="45CC1080">
      <w:pPr>
        <w:snapToGrid w:val="0"/>
        <w:spacing w:line="360" w:lineRule="auto"/>
        <w:ind w:firstLine="420" w:firstLineChars="200"/>
        <w:rPr>
          <w:szCs w:val="21"/>
        </w:rPr>
      </w:pPr>
      <w:r>
        <w:rPr>
          <w:szCs w:val="21"/>
        </w:rPr>
        <w:t>（三）</w:t>
      </w:r>
      <w:r>
        <w:rPr>
          <w:rFonts w:hint="eastAsia"/>
          <w:szCs w:val="21"/>
        </w:rPr>
        <w:t>课程目标考核说明</w:t>
      </w:r>
    </w:p>
    <w:p w14:paraId="40A1C95B">
      <w:pPr>
        <w:snapToGrid w:val="0"/>
        <w:spacing w:line="360" w:lineRule="auto"/>
        <w:ind w:firstLine="420" w:firstLineChars="200"/>
        <w:rPr>
          <w:szCs w:val="21"/>
        </w:rPr>
      </w:pPr>
      <w:r>
        <w:rPr>
          <w:rFonts w:hint="eastAsia"/>
          <w:szCs w:val="21"/>
        </w:rPr>
        <w:t>为能够证明学生本课程考核成绩合格，即可达到课程教学目标的要求，制定《课程教学目标考核方案一览表》，如表</w:t>
      </w:r>
      <w:r>
        <w:rPr>
          <w:szCs w:val="21"/>
        </w:rPr>
        <w:t>6</w:t>
      </w:r>
      <w:r>
        <w:rPr>
          <w:rFonts w:hint="eastAsia"/>
          <w:szCs w:val="21"/>
        </w:rPr>
        <w:t>所示。</w:t>
      </w:r>
    </w:p>
    <w:p w14:paraId="19B66D25">
      <w:pPr>
        <w:adjustRightInd w:val="0"/>
        <w:snapToGrid w:val="0"/>
        <w:spacing w:line="360" w:lineRule="auto"/>
        <w:ind w:left="596" w:hanging="596"/>
        <w:jc w:val="center"/>
        <w:rPr>
          <w:color w:val="000000"/>
          <w:szCs w:val="21"/>
        </w:rPr>
      </w:pPr>
      <w:r>
        <w:rPr>
          <w:color w:val="000000"/>
          <w:szCs w:val="21"/>
        </w:rPr>
        <w:t>表6  课程目标考核方案一览表</w:t>
      </w:r>
    </w:p>
    <w:tbl>
      <w:tblPr>
        <w:tblStyle w:val="11"/>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959"/>
        <w:gridCol w:w="956"/>
        <w:gridCol w:w="746"/>
        <w:gridCol w:w="5105"/>
      </w:tblGrid>
      <w:tr w14:paraId="0F3A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685EA0E">
            <w:pPr>
              <w:adjustRightInd w:val="0"/>
              <w:snapToGrid w:val="0"/>
              <w:jc w:val="center"/>
              <w:rPr>
                <w:b/>
                <w:bCs/>
                <w:color w:val="000000"/>
                <w:szCs w:val="21"/>
              </w:rPr>
            </w:pPr>
            <w:r>
              <w:rPr>
                <w:b/>
                <w:bCs/>
                <w:color w:val="000000"/>
                <w:szCs w:val="21"/>
              </w:rPr>
              <w:t>课程支撑的毕业要求</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A70C4BF">
            <w:pPr>
              <w:adjustRightInd w:val="0"/>
              <w:snapToGrid w:val="0"/>
              <w:jc w:val="center"/>
              <w:rPr>
                <w:b/>
                <w:bCs/>
                <w:color w:val="000000"/>
                <w:szCs w:val="21"/>
              </w:rPr>
            </w:pPr>
            <w:r>
              <w:rPr>
                <w:b/>
                <w:bCs/>
                <w:color w:val="000000"/>
                <w:szCs w:val="21"/>
              </w:rPr>
              <w:t>课程</w:t>
            </w:r>
            <w:r>
              <w:rPr>
                <w:rFonts w:hint="eastAsia"/>
                <w:b/>
                <w:bCs/>
                <w:color w:val="000000"/>
                <w:szCs w:val="21"/>
              </w:rPr>
              <w:t>教学</w:t>
            </w:r>
            <w:r>
              <w:rPr>
                <w:b/>
                <w:bCs/>
                <w:color w:val="000000"/>
                <w:szCs w:val="21"/>
              </w:rPr>
              <w:t>目标</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338ACED">
            <w:pPr>
              <w:adjustRightInd w:val="0"/>
              <w:snapToGrid w:val="0"/>
              <w:jc w:val="center"/>
              <w:rPr>
                <w:b/>
                <w:bCs/>
                <w:color w:val="000000"/>
                <w:szCs w:val="21"/>
              </w:rPr>
            </w:pPr>
            <w:r>
              <w:rPr>
                <w:b/>
                <w:bCs/>
                <w:color w:val="000000"/>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04EDC43">
            <w:pPr>
              <w:adjustRightInd w:val="0"/>
              <w:snapToGrid w:val="0"/>
              <w:jc w:val="center"/>
              <w:rPr>
                <w:b/>
                <w:bCs/>
                <w:color w:val="000000"/>
                <w:szCs w:val="21"/>
              </w:rPr>
            </w:pPr>
            <w:r>
              <w:rPr>
                <w:b/>
                <w:bCs/>
                <w:color w:val="000000"/>
                <w:szCs w:val="21"/>
              </w:rPr>
              <w:t>考核形式</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C64B9DB">
            <w:pPr>
              <w:adjustRightInd w:val="0"/>
              <w:snapToGrid w:val="0"/>
              <w:jc w:val="center"/>
              <w:rPr>
                <w:b/>
                <w:bCs/>
                <w:color w:val="000000"/>
                <w:szCs w:val="21"/>
              </w:rPr>
            </w:pPr>
            <w:r>
              <w:rPr>
                <w:b/>
                <w:bCs/>
                <w:color w:val="000000"/>
                <w:szCs w:val="21"/>
              </w:rPr>
              <w:t>考核原始材料（说明：试卷、作业、实验报告、技术报告、过程记录、实习总结等，纸质或电子稿）</w:t>
            </w:r>
          </w:p>
        </w:tc>
      </w:tr>
      <w:tr w14:paraId="0F34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tcBorders>
              <w:top w:val="single" w:color="auto" w:sz="4" w:space="0"/>
              <w:left w:val="single" w:color="auto" w:sz="4" w:space="0"/>
              <w:right w:val="single" w:color="auto" w:sz="4" w:space="0"/>
            </w:tcBorders>
            <w:vAlign w:val="center"/>
          </w:tcPr>
          <w:p w14:paraId="5908B392">
            <w:pPr>
              <w:adjustRightInd w:val="0"/>
              <w:snapToGrid w:val="0"/>
              <w:jc w:val="center"/>
              <w:rPr>
                <w:color w:val="000000"/>
                <w:szCs w:val="21"/>
              </w:rPr>
            </w:pPr>
            <w:r>
              <w:rPr>
                <w:rFonts w:hint="eastAsia"/>
                <w:color w:val="000000"/>
                <w:szCs w:val="21"/>
              </w:rPr>
              <w:t>3-1</w:t>
            </w:r>
          </w:p>
        </w:tc>
        <w:tc>
          <w:tcPr>
            <w:tcW w:w="0" w:type="auto"/>
            <w:tcBorders>
              <w:top w:val="single" w:color="auto" w:sz="4" w:space="0"/>
              <w:left w:val="single" w:color="auto" w:sz="4" w:space="0"/>
              <w:right w:val="single" w:color="auto" w:sz="4" w:space="0"/>
            </w:tcBorders>
            <w:vAlign w:val="center"/>
          </w:tcPr>
          <w:p w14:paraId="3DDDE013">
            <w:pPr>
              <w:adjustRightInd w:val="0"/>
              <w:snapToGrid w:val="0"/>
              <w:jc w:val="center"/>
              <w:rPr>
                <w:color w:val="000000"/>
                <w:szCs w:val="21"/>
              </w:rPr>
            </w:pPr>
            <w:r>
              <w:rPr>
                <w:color w:val="000000"/>
                <w:szCs w:val="21"/>
              </w:rPr>
              <w:t>目标1</w:t>
            </w:r>
          </w:p>
        </w:tc>
        <w:tc>
          <w:tcPr>
            <w:tcW w:w="0" w:type="auto"/>
            <w:tcBorders>
              <w:top w:val="single" w:color="auto" w:sz="4" w:space="0"/>
              <w:left w:val="single" w:color="auto" w:sz="4" w:space="0"/>
              <w:right w:val="single" w:color="auto" w:sz="4" w:space="0"/>
            </w:tcBorders>
            <w:vAlign w:val="center"/>
          </w:tcPr>
          <w:p w14:paraId="03EA124C">
            <w:pPr>
              <w:adjustRightInd w:val="0"/>
              <w:snapToGrid w:val="0"/>
              <w:jc w:val="center"/>
              <w:rPr>
                <w:rFonts w:eastAsia="宋体"/>
                <w:szCs w:val="21"/>
              </w:rPr>
            </w:pPr>
            <w:r>
              <w:rPr>
                <w:rFonts w:hint="eastAsia"/>
                <w:szCs w:val="21"/>
              </w:rPr>
              <w:t>理论基础知识</w:t>
            </w:r>
          </w:p>
        </w:tc>
        <w:tc>
          <w:tcPr>
            <w:tcW w:w="0" w:type="auto"/>
            <w:tcBorders>
              <w:top w:val="single" w:color="auto" w:sz="4" w:space="0"/>
              <w:left w:val="single" w:color="auto" w:sz="4" w:space="0"/>
              <w:right w:val="single" w:color="auto" w:sz="4" w:space="0"/>
            </w:tcBorders>
            <w:vAlign w:val="center"/>
          </w:tcPr>
          <w:p w14:paraId="45CC9579">
            <w:pPr>
              <w:adjustRightInd w:val="0"/>
              <w:snapToGrid w:val="0"/>
              <w:jc w:val="left"/>
              <w:rPr>
                <w:rFonts w:eastAsia="宋体"/>
                <w:color w:val="000000"/>
                <w:szCs w:val="21"/>
              </w:rPr>
            </w:pPr>
            <w:r>
              <w:rPr>
                <w:rFonts w:hint="eastAsia"/>
                <w:color w:val="000000"/>
                <w:szCs w:val="21"/>
              </w:rPr>
              <w:t>闭卷</w:t>
            </w:r>
          </w:p>
        </w:tc>
        <w:tc>
          <w:tcPr>
            <w:tcW w:w="0" w:type="auto"/>
            <w:tcBorders>
              <w:top w:val="single" w:color="auto" w:sz="4" w:space="0"/>
              <w:left w:val="single" w:color="auto" w:sz="4" w:space="0"/>
              <w:right w:val="single" w:color="auto" w:sz="4" w:space="0"/>
            </w:tcBorders>
            <w:vAlign w:val="center"/>
          </w:tcPr>
          <w:p w14:paraId="548F0EB5">
            <w:pPr>
              <w:adjustRightInd w:val="0"/>
              <w:snapToGrid w:val="0"/>
              <w:rPr>
                <w:rFonts w:eastAsia="宋体"/>
                <w:color w:val="000000"/>
                <w:szCs w:val="21"/>
              </w:rPr>
            </w:pPr>
            <w:r>
              <w:rPr>
                <w:rFonts w:hint="eastAsia"/>
                <w:color w:val="000000"/>
                <w:szCs w:val="21"/>
              </w:rPr>
              <w:t>作业（电子版）</w:t>
            </w:r>
          </w:p>
        </w:tc>
      </w:tr>
      <w:tr w14:paraId="6613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tcBorders>
              <w:left w:val="single" w:color="auto" w:sz="4" w:space="0"/>
              <w:right w:val="single" w:color="auto" w:sz="4" w:space="0"/>
            </w:tcBorders>
            <w:vAlign w:val="center"/>
          </w:tcPr>
          <w:p w14:paraId="5EF30199">
            <w:pPr>
              <w:adjustRightInd w:val="0"/>
              <w:snapToGrid w:val="0"/>
              <w:jc w:val="center"/>
              <w:rPr>
                <w:rFonts w:eastAsia="宋体"/>
                <w:color w:val="000000"/>
                <w:szCs w:val="21"/>
              </w:rPr>
            </w:pPr>
            <w:r>
              <w:rPr>
                <w:rFonts w:hint="eastAsia"/>
                <w:color w:val="000000"/>
                <w:szCs w:val="21"/>
              </w:rPr>
              <w:t>3-1</w:t>
            </w:r>
          </w:p>
        </w:tc>
        <w:tc>
          <w:tcPr>
            <w:tcW w:w="0" w:type="auto"/>
            <w:tcBorders>
              <w:top w:val="single" w:color="auto" w:sz="4" w:space="0"/>
              <w:left w:val="single" w:color="auto" w:sz="4" w:space="0"/>
              <w:bottom w:val="single" w:color="auto" w:sz="4" w:space="0"/>
              <w:right w:val="single" w:color="auto" w:sz="4" w:space="0"/>
            </w:tcBorders>
            <w:vAlign w:val="center"/>
          </w:tcPr>
          <w:p w14:paraId="2B914577">
            <w:pPr>
              <w:adjustRightInd w:val="0"/>
              <w:snapToGrid w:val="0"/>
              <w:jc w:val="center"/>
              <w:rPr>
                <w:rFonts w:eastAsia="宋体"/>
                <w:color w:val="000000"/>
                <w:szCs w:val="21"/>
              </w:rPr>
            </w:pPr>
            <w:r>
              <w:rPr>
                <w:rFonts w:hint="eastAsia"/>
                <w:color w:val="000000"/>
                <w:szCs w:val="21"/>
              </w:rPr>
              <w:t>目标2</w:t>
            </w:r>
          </w:p>
        </w:tc>
        <w:tc>
          <w:tcPr>
            <w:tcW w:w="0" w:type="auto"/>
            <w:tcBorders>
              <w:top w:val="single" w:color="auto" w:sz="4" w:space="0"/>
              <w:left w:val="single" w:color="auto" w:sz="4" w:space="0"/>
              <w:bottom w:val="single" w:color="auto" w:sz="4" w:space="0"/>
              <w:right w:val="single" w:color="auto" w:sz="4" w:space="0"/>
            </w:tcBorders>
            <w:vAlign w:val="center"/>
          </w:tcPr>
          <w:p w14:paraId="7F22BBDF">
            <w:pPr>
              <w:adjustRightInd w:val="0"/>
              <w:snapToGrid w:val="0"/>
              <w:jc w:val="center"/>
              <w:rPr>
                <w:szCs w:val="21"/>
              </w:rPr>
            </w:pPr>
            <w:r>
              <w:rPr>
                <w:rFonts w:hint="eastAsia"/>
                <w:szCs w:val="21"/>
              </w:rPr>
              <w:t>综合性知识</w:t>
            </w:r>
          </w:p>
        </w:tc>
        <w:tc>
          <w:tcPr>
            <w:tcW w:w="0" w:type="auto"/>
            <w:tcBorders>
              <w:top w:val="single" w:color="auto" w:sz="4" w:space="0"/>
              <w:left w:val="single" w:color="auto" w:sz="4" w:space="0"/>
              <w:bottom w:val="single" w:color="auto" w:sz="4" w:space="0"/>
              <w:right w:val="single" w:color="auto" w:sz="4" w:space="0"/>
            </w:tcBorders>
            <w:vAlign w:val="center"/>
          </w:tcPr>
          <w:p w14:paraId="728E4B73">
            <w:pPr>
              <w:adjustRightInd w:val="0"/>
              <w:snapToGrid w:val="0"/>
              <w:jc w:val="left"/>
              <w:rPr>
                <w:color w:val="000000"/>
                <w:szCs w:val="21"/>
              </w:rPr>
            </w:pPr>
            <w:r>
              <w:rPr>
                <w:rFonts w:hint="eastAsia"/>
                <w:color w:val="000000"/>
                <w:szCs w:val="21"/>
              </w:rPr>
              <w:t>闭卷</w:t>
            </w:r>
          </w:p>
        </w:tc>
        <w:tc>
          <w:tcPr>
            <w:tcW w:w="0" w:type="auto"/>
            <w:tcBorders>
              <w:top w:val="single" w:color="auto" w:sz="4" w:space="0"/>
              <w:left w:val="single" w:color="auto" w:sz="4" w:space="0"/>
              <w:bottom w:val="single" w:color="auto" w:sz="4" w:space="0"/>
              <w:right w:val="single" w:color="auto" w:sz="4" w:space="0"/>
            </w:tcBorders>
            <w:vAlign w:val="center"/>
          </w:tcPr>
          <w:p w14:paraId="57F17B47">
            <w:pPr>
              <w:adjustRightInd w:val="0"/>
              <w:snapToGrid w:val="0"/>
              <w:rPr>
                <w:rFonts w:eastAsia="宋体"/>
                <w:color w:val="000000"/>
                <w:szCs w:val="21"/>
              </w:rPr>
            </w:pPr>
            <w:r>
              <w:rPr>
                <w:rFonts w:hint="eastAsia"/>
                <w:color w:val="000000"/>
                <w:szCs w:val="21"/>
              </w:rPr>
              <w:t>模拟考试、期末考试</w:t>
            </w:r>
          </w:p>
        </w:tc>
      </w:tr>
    </w:tbl>
    <w:p w14:paraId="0B9AF263">
      <w:pPr>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六</w:t>
      </w:r>
      <w:r>
        <w:rPr>
          <w:rFonts w:ascii="Times New Roman" w:hAnsi="Times New Roman" w:eastAsia="宋体" w:cs="Times New Roman"/>
          <w:b/>
          <w:sz w:val="24"/>
        </w:rPr>
        <w:t>、</w:t>
      </w:r>
      <w:r>
        <w:rPr>
          <w:rFonts w:hint="eastAsia" w:ascii="Times New Roman" w:hAnsi="Times New Roman" w:eastAsia="宋体" w:cs="Times New Roman"/>
          <w:b/>
          <w:sz w:val="24"/>
        </w:rPr>
        <w:t>有关说明</w:t>
      </w:r>
    </w:p>
    <w:p w14:paraId="52516534">
      <w:pPr>
        <w:adjustRightInd w:val="0"/>
        <w:snapToGrid w:val="0"/>
        <w:spacing w:line="360" w:lineRule="auto"/>
        <w:ind w:firstLine="422" w:firstLineChars="200"/>
        <w:rPr>
          <w:b/>
          <w:color w:val="000000"/>
          <w:szCs w:val="21"/>
        </w:rPr>
      </w:pPr>
      <w:r>
        <w:rPr>
          <w:rFonts w:hint="eastAsia"/>
          <w:b/>
          <w:color w:val="000000"/>
          <w:szCs w:val="21"/>
        </w:rPr>
        <w:t>（一）持续改进</w:t>
      </w:r>
    </w:p>
    <w:p w14:paraId="17A4604C">
      <w:pPr>
        <w:snapToGrid w:val="0"/>
        <w:spacing w:line="360" w:lineRule="auto"/>
        <w:ind w:firstLine="420" w:firstLineChars="200"/>
        <w:rPr>
          <w:szCs w:val="21"/>
        </w:rPr>
      </w:pPr>
      <w:r>
        <w:rPr>
          <w:rFonts w:hint="eastAsia"/>
          <w:szCs w:val="21"/>
        </w:rPr>
        <w:t>1.本课程根据学生作业、课堂讨论、课内实践环节、平时考核情况和学生、教学督导等反馈，及时对教学中不足之处进行改进，并在下一轮课程教学中改进提高，确保相应毕业要求指标点达成。</w:t>
      </w:r>
    </w:p>
    <w:p w14:paraId="180F0660">
      <w:pPr>
        <w:snapToGrid w:val="0"/>
        <w:spacing w:line="360" w:lineRule="auto"/>
        <w:ind w:firstLine="422" w:firstLineChars="200"/>
        <w:rPr>
          <w:b/>
          <w:color w:val="000000"/>
          <w:szCs w:val="21"/>
        </w:rPr>
      </w:pPr>
      <w:r>
        <w:rPr>
          <w:rFonts w:hint="eastAsia"/>
          <w:b/>
          <w:color w:val="000000"/>
          <w:szCs w:val="21"/>
        </w:rPr>
        <w:t>（二）</w:t>
      </w:r>
      <w:r>
        <w:rPr>
          <w:b/>
          <w:color w:val="000000"/>
          <w:szCs w:val="21"/>
        </w:rPr>
        <w:t>参考书目及学习资料</w:t>
      </w:r>
    </w:p>
    <w:p w14:paraId="13743E49">
      <w:pPr>
        <w:autoSpaceDE w:val="0"/>
        <w:autoSpaceDN w:val="0"/>
        <w:adjustRightInd w:val="0"/>
        <w:snapToGrid w:val="0"/>
        <w:spacing w:line="360" w:lineRule="auto"/>
        <w:ind w:firstLine="420" w:firstLineChars="200"/>
        <w:jc w:val="left"/>
        <w:rPr>
          <w:rFonts w:ascii="Times New Roman" w:hAnsi="Times New Roman" w:eastAsia="宋体" w:cs="Times New Roman"/>
          <w:szCs w:val="21"/>
        </w:rPr>
      </w:pPr>
      <w:r>
        <w:rPr>
          <w:rFonts w:hint="eastAsia"/>
          <w:kern w:val="0"/>
          <w:szCs w:val="21"/>
        </w:rPr>
        <w:t>1</w:t>
      </w:r>
      <w:r>
        <w:rPr>
          <w:kern w:val="0"/>
          <w:szCs w:val="21"/>
        </w:rPr>
        <w:t>.</w:t>
      </w:r>
      <w:r>
        <w:rPr>
          <w:rFonts w:hint="eastAsia" w:ascii="Times New Roman" w:hAnsi="Times New Roman" w:eastAsia="宋体" w:cs="Times New Roman"/>
          <w:szCs w:val="21"/>
        </w:rPr>
        <w:t xml:space="preserve">《人工智能通识教程》，田敏，何淼，于正永主编，上海交通大学出版社 ，2025年7月 </w:t>
      </w:r>
    </w:p>
    <w:p w14:paraId="6D862CD7">
      <w:pPr>
        <w:autoSpaceDE w:val="0"/>
        <w:autoSpaceDN w:val="0"/>
        <w:adjustRightInd w:val="0"/>
        <w:snapToGrid w:val="0"/>
        <w:spacing w:line="360" w:lineRule="auto"/>
        <w:ind w:firstLine="210" w:firstLineChars="100"/>
        <w:jc w:val="left"/>
        <w:rPr>
          <w:rFonts w:ascii="Times New Roman" w:hAnsi="Times New Roman" w:eastAsia="宋体" w:cs="Times New Roman"/>
          <w:szCs w:val="21"/>
        </w:rPr>
      </w:pPr>
      <w:r>
        <w:rPr>
          <w:rFonts w:hint="eastAsia" w:ascii="Times New Roman" w:hAnsi="Times New Roman" w:eastAsia="宋体" w:cs="Times New Roman"/>
          <w:szCs w:val="21"/>
        </w:rPr>
        <w:t xml:space="preserve">  2.《人工智能通识教程》，方伟、吴小俊编著，上海交通大学出版社，2024</w:t>
      </w:r>
    </w:p>
    <w:p w14:paraId="4F732865">
      <w:pPr>
        <w:autoSpaceDE w:val="0"/>
        <w:autoSpaceDN w:val="0"/>
        <w:adjustRightInd w:val="0"/>
        <w:snapToGrid w:val="0"/>
        <w:spacing w:line="360" w:lineRule="auto"/>
        <w:ind w:firstLine="420" w:firstLineChars="200"/>
        <w:jc w:val="left"/>
        <w:rPr>
          <w:szCs w:val="21"/>
        </w:rPr>
      </w:pPr>
      <w:r>
        <w:rPr>
          <w:kern w:val="0"/>
          <w:szCs w:val="21"/>
        </w:rPr>
        <w:t>3</w:t>
      </w:r>
      <w:r>
        <w:rPr>
          <w:rFonts w:hint="eastAsia"/>
          <w:kern w:val="0"/>
          <w:szCs w:val="21"/>
        </w:rPr>
        <w:t xml:space="preserve">. </w:t>
      </w:r>
      <w:r>
        <w:rPr>
          <w:szCs w:val="21"/>
        </w:rPr>
        <w:t>数字化教学</w:t>
      </w:r>
      <w:r>
        <w:rPr>
          <w:rFonts w:hint="eastAsia"/>
          <w:szCs w:val="21"/>
        </w:rPr>
        <w:t>资源</w:t>
      </w:r>
      <w:r>
        <w:rPr>
          <w:szCs w:val="21"/>
        </w:rPr>
        <w:t>链接</w:t>
      </w:r>
    </w:p>
    <w:p w14:paraId="0FE180F0">
      <w:pPr>
        <w:autoSpaceDE w:val="0"/>
        <w:autoSpaceDN w:val="0"/>
        <w:adjustRightInd w:val="0"/>
        <w:snapToGrid w:val="0"/>
        <w:spacing w:line="360" w:lineRule="auto"/>
        <w:ind w:firstLine="420" w:firstLineChars="200"/>
        <w:jc w:val="left"/>
        <w:rPr>
          <w:szCs w:val="21"/>
        </w:rPr>
      </w:pPr>
      <w:r>
        <w:rPr>
          <w:rFonts w:hint="eastAsia"/>
          <w:szCs w:val="21"/>
        </w:rPr>
        <w:t>（1）中国大学 MOOC 平台 “Python 语言程序设计”（北京理工大学）</w:t>
      </w:r>
    </w:p>
    <w:p w14:paraId="591C2D49">
      <w:pPr>
        <w:autoSpaceDE w:val="0"/>
        <w:autoSpaceDN w:val="0"/>
        <w:adjustRightInd w:val="0"/>
        <w:snapToGrid w:val="0"/>
        <w:spacing w:line="360" w:lineRule="auto"/>
        <w:ind w:firstLine="420" w:firstLineChars="200"/>
        <w:jc w:val="left"/>
        <w:rPr>
          <w:szCs w:val="21"/>
        </w:rPr>
      </w:pPr>
      <w:r>
        <w:rPr>
          <w:rFonts w:hint="eastAsia"/>
          <w:szCs w:val="21"/>
        </w:rPr>
        <w:t>（2）百度 AI 开放平台开发者文档（https://ai.baidu.com/docs）</w:t>
      </w:r>
    </w:p>
    <w:p w14:paraId="290228E8">
      <w:pPr>
        <w:autoSpaceDE w:val="0"/>
        <w:autoSpaceDN w:val="0"/>
        <w:adjustRightInd w:val="0"/>
        <w:snapToGrid w:val="0"/>
        <w:spacing w:line="360" w:lineRule="auto"/>
        <w:ind w:firstLine="420" w:firstLineChars="200"/>
        <w:jc w:val="left"/>
        <w:rPr>
          <w:szCs w:val="21"/>
        </w:rPr>
      </w:pPr>
      <w:r>
        <w:rPr>
          <w:rFonts w:hint="eastAsia"/>
          <w:szCs w:val="21"/>
        </w:rPr>
        <w:t>（3）生成式 AI 工具官方教程（如豆包、即梦、文心一言等开发者指南）</w:t>
      </w:r>
    </w:p>
    <w:p w14:paraId="52E80886">
      <w:pPr>
        <w:autoSpaceDE w:val="0"/>
        <w:autoSpaceDN w:val="0"/>
        <w:adjustRightInd w:val="0"/>
        <w:spacing w:line="360" w:lineRule="auto"/>
        <w:ind w:firstLine="5250" w:firstLineChars="2500"/>
        <w:jc w:val="center"/>
        <w:rPr>
          <w:kern w:val="0"/>
          <w:szCs w:val="21"/>
        </w:rPr>
      </w:pPr>
      <w:r>
        <w:rPr>
          <w:rFonts w:hint="eastAsia"/>
          <w:kern w:val="0"/>
          <w:szCs w:val="21"/>
        </w:rPr>
        <w:t xml:space="preserve">          执笔人： 蔡晓丽</w:t>
      </w:r>
    </w:p>
    <w:p w14:paraId="2A9BD805">
      <w:pPr>
        <w:autoSpaceDE w:val="0"/>
        <w:autoSpaceDN w:val="0"/>
        <w:adjustRightInd w:val="0"/>
        <w:spacing w:line="360" w:lineRule="auto"/>
        <w:ind w:firstLine="5250" w:firstLineChars="2500"/>
        <w:jc w:val="center"/>
        <w:rPr>
          <w:kern w:val="0"/>
          <w:szCs w:val="21"/>
        </w:rPr>
      </w:pPr>
      <w:r>
        <w:rPr>
          <w:rFonts w:hint="eastAsia"/>
          <w:kern w:val="0"/>
          <w:szCs w:val="21"/>
        </w:rPr>
        <w:t xml:space="preserve">           审定人： 蔡晓丽</w:t>
      </w:r>
    </w:p>
    <w:p w14:paraId="37BAFB67">
      <w:pPr>
        <w:autoSpaceDE w:val="0"/>
        <w:autoSpaceDN w:val="0"/>
        <w:adjustRightInd w:val="0"/>
        <w:spacing w:line="360" w:lineRule="auto"/>
        <w:ind w:firstLine="5250" w:firstLineChars="2500"/>
        <w:jc w:val="center"/>
        <w:rPr>
          <w:kern w:val="0"/>
          <w:szCs w:val="21"/>
        </w:rPr>
      </w:pPr>
      <w:r>
        <w:rPr>
          <w:rFonts w:hint="eastAsia"/>
          <w:kern w:val="0"/>
          <w:szCs w:val="21"/>
        </w:rPr>
        <w:t xml:space="preserve">           审批人： 奚  吉</w:t>
      </w:r>
    </w:p>
    <w:p w14:paraId="1B4B721E">
      <w:pPr>
        <w:autoSpaceDE w:val="0"/>
        <w:autoSpaceDN w:val="0"/>
        <w:adjustRightInd w:val="0"/>
        <w:spacing w:line="360" w:lineRule="auto"/>
        <w:ind w:firstLine="5250" w:firstLineChars="2500"/>
        <w:jc w:val="right"/>
        <w:rPr>
          <w:rFonts w:eastAsia="宋体"/>
          <w:kern w:val="0"/>
          <w:sz w:val="24"/>
          <w:szCs w:val="21"/>
        </w:rPr>
      </w:pPr>
      <w:r>
        <w:rPr>
          <w:rFonts w:hint="eastAsia"/>
          <w:kern w:val="0"/>
          <w:szCs w:val="21"/>
        </w:rPr>
        <w:t>审批时间：2</w:t>
      </w:r>
      <w:r>
        <w:rPr>
          <w:kern w:val="0"/>
          <w:szCs w:val="21"/>
        </w:rPr>
        <w:t>02</w:t>
      </w:r>
      <w:r>
        <w:rPr>
          <w:rFonts w:hint="eastAsia"/>
          <w:kern w:val="0"/>
          <w:szCs w:val="21"/>
        </w:rPr>
        <w:t>5年8月</w:t>
      </w:r>
    </w:p>
    <w:p w14:paraId="38659841">
      <w:pPr>
        <w:snapToGrid w:val="0"/>
        <w:spacing w:line="360" w:lineRule="auto"/>
        <w:ind w:firstLine="420" w:firstLineChars="200"/>
        <w:jc w:val="left"/>
        <w:rPr>
          <w:rFonts w:hint="eastAsia" w:ascii="宋体" w:hAnsi="宋体" w:eastAsia="宋体" w:cs="宋体"/>
          <w:szCs w:val="21"/>
        </w:rPr>
      </w:pPr>
    </w:p>
    <w:p w14:paraId="2C8EC7A9">
      <w:pPr>
        <w:snapToGrid w:val="0"/>
        <w:spacing w:line="360" w:lineRule="auto"/>
        <w:ind w:firstLine="480" w:firstLineChars="200"/>
        <w:rPr>
          <w:rFonts w:hint="eastAsia" w:ascii="宋体" w:hAnsi="宋体" w:eastAsia="宋体" w:cs="宋体"/>
          <w:sz w:val="24"/>
        </w:rPr>
      </w:pPr>
    </w:p>
    <w:p w14:paraId="7C8E7442">
      <w:pPr>
        <w:rPr>
          <w:rFonts w:hint="eastAsia" w:ascii="宋体" w:hAnsi="宋体" w:cs="宋体"/>
          <w:szCs w:val="21"/>
        </w:rPr>
      </w:pPr>
      <w:r>
        <w:rPr>
          <w:rFonts w:hint="eastAsia" w:ascii="宋体" w:hAnsi="宋体" w:cs="宋体"/>
          <w:szCs w:val="21"/>
        </w:rPr>
        <w:br w:type="page"/>
      </w:r>
    </w:p>
    <w:p w14:paraId="000F0E54">
      <w:pPr>
        <w:rPr>
          <w:rFonts w:hint="eastAsia" w:ascii="宋体" w:hAnsi="宋体" w:cs="宋体"/>
          <w:szCs w:val="21"/>
        </w:rPr>
      </w:pPr>
    </w:p>
    <w:p w14:paraId="5CA553DA">
      <w:pPr>
        <w:spacing w:line="360" w:lineRule="auto"/>
        <w:jc w:val="center"/>
        <w:outlineLvl w:val="0"/>
        <w:rPr>
          <w:rFonts w:ascii="Times New Roman" w:hAnsi="Times New Roman" w:eastAsia="宋体" w:cs="Times New Roman"/>
          <w:b/>
          <w:sz w:val="44"/>
          <w:szCs w:val="44"/>
        </w:rPr>
      </w:pPr>
      <w:bookmarkStart w:id="157" w:name="_Toc19544"/>
      <w:bookmarkStart w:id="158" w:name="_Toc23242"/>
      <w:bookmarkStart w:id="159" w:name="_Toc25099"/>
      <w:bookmarkStart w:id="160" w:name="_Toc5769"/>
      <w:r>
        <w:rPr>
          <w:rFonts w:hint="eastAsia" w:ascii="Times New Roman" w:hAnsi="Times New Roman" w:eastAsia="宋体" w:cs="Times New Roman"/>
          <w:b/>
          <w:sz w:val="44"/>
          <w:szCs w:val="44"/>
        </w:rPr>
        <w:t>《专业导学》课程教学大纲</w:t>
      </w:r>
      <w:bookmarkEnd w:id="157"/>
      <w:bookmarkEnd w:id="158"/>
      <w:bookmarkEnd w:id="159"/>
      <w:bookmarkEnd w:id="160"/>
    </w:p>
    <w:p w14:paraId="4D8EB9E6">
      <w:pPr>
        <w:spacing w:line="360" w:lineRule="auto"/>
        <w:jc w:val="center"/>
        <w:rPr>
          <w:rFonts w:ascii="Times New Roman" w:hAnsi="Times New Roman" w:eastAsia="宋体" w:cs="Times New Roman"/>
          <w:b/>
          <w:bCs/>
          <w:sz w:val="28"/>
          <w:szCs w:val="28"/>
        </w:rPr>
      </w:pPr>
      <w:bookmarkStart w:id="161" w:name="_Toc1122"/>
      <w:bookmarkStart w:id="162" w:name="_Toc4414"/>
      <w:bookmarkStart w:id="163" w:name="_Toc21775"/>
      <w:bookmarkStart w:id="164" w:name="_Toc13055"/>
      <w:bookmarkStart w:id="165" w:name="_Toc4027"/>
      <w:bookmarkStart w:id="166" w:name="_Toc14903"/>
      <w:bookmarkStart w:id="167" w:name="_Toc2854"/>
      <w:r>
        <w:rPr>
          <w:rFonts w:ascii="Times New Roman" w:hAnsi="Times New Roman" w:eastAsia="宋体" w:cs="Times New Roman"/>
          <w:b/>
          <w:bCs/>
          <w:sz w:val="28"/>
          <w:szCs w:val="28"/>
        </w:rPr>
        <w:t>（An Introduction to Professions）</w:t>
      </w:r>
      <w:bookmarkEnd w:id="161"/>
      <w:bookmarkEnd w:id="162"/>
      <w:bookmarkEnd w:id="163"/>
      <w:bookmarkEnd w:id="164"/>
      <w:bookmarkEnd w:id="165"/>
      <w:bookmarkEnd w:id="166"/>
      <w:bookmarkEnd w:id="167"/>
    </w:p>
    <w:p w14:paraId="777E7CA6">
      <w:pPr>
        <w:spacing w:line="360" w:lineRule="auto"/>
        <w:jc w:val="center"/>
        <w:rPr>
          <w:rFonts w:ascii="Times New Roman" w:hAnsi="Times New Roman" w:eastAsia="宋体" w:cs="Times New Roman"/>
          <w:bCs/>
          <w:szCs w:val="21"/>
        </w:rPr>
      </w:pPr>
    </w:p>
    <w:p w14:paraId="4A80F32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课程名称：专业导学</w:t>
      </w:r>
    </w:p>
    <w:p w14:paraId="4FFDDD6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2401057</w:t>
      </w:r>
    </w:p>
    <w:p w14:paraId="5923093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分：0.5</w:t>
      </w:r>
    </w:p>
    <w:p w14:paraId="30254C3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时：8 （其中：讲授学时8）</w:t>
      </w:r>
    </w:p>
    <w:p w14:paraId="21E892A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先修课程：无</w:t>
      </w:r>
    </w:p>
    <w:p w14:paraId="724FA40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74548EAF">
      <w:pPr>
        <w:spacing w:before="62" w:beforeLines="20" w:after="62" w:afterLines="20" w:line="360" w:lineRule="auto"/>
        <w:jc w:val="left"/>
        <w:rPr>
          <w:rFonts w:ascii="Times New Roman" w:hAnsi="Times New Roman" w:eastAsia="宋体" w:cs="Times New Roman"/>
          <w:b/>
          <w:sz w:val="24"/>
        </w:rPr>
      </w:pPr>
      <w:bookmarkStart w:id="168" w:name="_Toc32073"/>
      <w:bookmarkStart w:id="169" w:name="_Toc31789"/>
      <w:bookmarkStart w:id="170" w:name="_Toc20272"/>
      <w:bookmarkStart w:id="171" w:name="_Toc26237"/>
      <w:bookmarkStart w:id="172" w:name="_Toc951"/>
      <w:bookmarkStart w:id="173" w:name="_Toc22548"/>
      <w:bookmarkStart w:id="174" w:name="_Toc22180"/>
      <w:r>
        <w:rPr>
          <w:rFonts w:hint="eastAsia" w:ascii="Times New Roman" w:hAnsi="Times New Roman" w:eastAsia="宋体" w:cs="Times New Roman"/>
          <w:b/>
          <w:sz w:val="24"/>
        </w:rPr>
        <w:t>一、课程简介</w:t>
      </w:r>
      <w:bookmarkEnd w:id="168"/>
      <w:bookmarkEnd w:id="169"/>
      <w:bookmarkEnd w:id="170"/>
      <w:bookmarkEnd w:id="171"/>
      <w:bookmarkEnd w:id="172"/>
      <w:bookmarkEnd w:id="173"/>
      <w:bookmarkEnd w:id="174"/>
    </w:p>
    <w:p w14:paraId="6AF2D060">
      <w:pPr>
        <w:spacing w:line="360" w:lineRule="auto"/>
        <w:ind w:firstLine="420" w:firstLineChars="200"/>
        <w:jc w:val="left"/>
        <w:rPr>
          <w:rFonts w:ascii="Times New Roman" w:hAnsi="Times New Roman" w:eastAsia="宋体" w:cs="Times New Roman"/>
          <w:szCs w:val="21"/>
        </w:rPr>
      </w:pPr>
      <w:bookmarkStart w:id="175" w:name="_Toc27846278"/>
      <w:bookmarkStart w:id="176" w:name="_Toc27847296"/>
      <w:r>
        <w:rPr>
          <w:rFonts w:hint="eastAsia" w:ascii="Times New Roman" w:hAnsi="Times New Roman" w:eastAsia="宋体" w:cs="Times New Roman"/>
          <w:szCs w:val="21"/>
        </w:rPr>
        <w:t>本课程是小学教育专业的一门专业基础必修课。通过本课程的学习，全面认识小学教育专业，明确本专业的培养目标，了解本专业的课程设置；为专业课程学习和专业发展奠定基础。</w:t>
      </w:r>
    </w:p>
    <w:p w14:paraId="0030D602">
      <w:pPr>
        <w:spacing w:before="62" w:beforeLines="20" w:after="62" w:afterLines="20" w:line="360" w:lineRule="auto"/>
        <w:jc w:val="left"/>
        <w:rPr>
          <w:rFonts w:ascii="Times New Roman" w:hAnsi="Times New Roman" w:eastAsia="宋体" w:cs="Times New Roman"/>
          <w:b/>
          <w:sz w:val="24"/>
        </w:rPr>
      </w:pPr>
      <w:bookmarkStart w:id="177" w:name="_Toc18220"/>
      <w:bookmarkStart w:id="178" w:name="_Toc29930"/>
      <w:bookmarkStart w:id="179" w:name="_Toc9763"/>
      <w:bookmarkStart w:id="180" w:name="_Toc31342"/>
      <w:bookmarkStart w:id="181" w:name="_Toc14191"/>
      <w:bookmarkStart w:id="182" w:name="_Toc20087"/>
      <w:bookmarkStart w:id="183" w:name="_Toc20673"/>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175"/>
      <w:bookmarkEnd w:id="176"/>
      <w:bookmarkEnd w:id="177"/>
      <w:bookmarkEnd w:id="178"/>
      <w:bookmarkEnd w:id="179"/>
      <w:bookmarkEnd w:id="180"/>
      <w:bookmarkEnd w:id="181"/>
      <w:bookmarkEnd w:id="182"/>
      <w:bookmarkEnd w:id="183"/>
    </w:p>
    <w:p w14:paraId="6C8ECA30">
      <w:pPr>
        <w:spacing w:line="360" w:lineRule="auto"/>
        <w:ind w:firstLine="422" w:firstLineChars="200"/>
        <w:outlineLvl w:val="1"/>
        <w:rPr>
          <w:rFonts w:hint="eastAsia" w:ascii="宋体" w:hAnsi="宋体" w:eastAsia="宋体" w:cs="Times New Roman"/>
          <w:b/>
          <w:szCs w:val="21"/>
        </w:rPr>
      </w:pPr>
      <w:bookmarkStart w:id="184" w:name="_Toc24190"/>
      <w:r>
        <w:rPr>
          <w:rFonts w:hint="eastAsia" w:ascii="宋体" w:hAnsi="宋体" w:eastAsia="宋体" w:cs="Times New Roman"/>
          <w:b/>
          <w:szCs w:val="21"/>
        </w:rPr>
        <w:t>（一）课程具体目标</w:t>
      </w:r>
      <w:bookmarkEnd w:id="184"/>
    </w:p>
    <w:p w14:paraId="3CEF8DD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1.了解小学教育专业的</w:t>
      </w:r>
      <w:r>
        <w:rPr>
          <w:rFonts w:hint="eastAsia" w:ascii="Times New Roman" w:hAnsi="Times New Roman" w:eastAsia="宋体" w:cs="Times New Roman"/>
          <w:szCs w:val="21"/>
        </w:rPr>
        <w:t>发展历史和现状</w:t>
      </w:r>
      <w:r>
        <w:rPr>
          <w:rFonts w:ascii="Times New Roman" w:hAnsi="Times New Roman" w:eastAsia="宋体" w:cs="Times New Roman"/>
          <w:szCs w:val="21"/>
        </w:rPr>
        <w:t>，</w:t>
      </w:r>
      <w:r>
        <w:rPr>
          <w:rFonts w:hint="eastAsia" w:ascii="Times New Roman" w:hAnsi="Times New Roman" w:eastAsia="宋体" w:cs="Times New Roman"/>
          <w:szCs w:val="21"/>
        </w:rPr>
        <w:t>理解</w:t>
      </w:r>
      <w:r>
        <w:rPr>
          <w:rFonts w:ascii="Times New Roman" w:hAnsi="Times New Roman" w:eastAsia="宋体" w:cs="Times New Roman"/>
          <w:szCs w:val="21"/>
        </w:rPr>
        <w:t>小学教育专业的培养目标</w:t>
      </w:r>
      <w:r>
        <w:rPr>
          <w:rFonts w:hint="eastAsia" w:ascii="Times New Roman" w:hAnsi="Times New Roman" w:eastAsia="宋体" w:cs="Times New Roman"/>
          <w:szCs w:val="21"/>
        </w:rPr>
        <w:t>和毕业要求</w:t>
      </w:r>
      <w:r>
        <w:rPr>
          <w:rFonts w:ascii="Times New Roman" w:hAnsi="Times New Roman" w:eastAsia="宋体" w:cs="Times New Roman"/>
          <w:szCs w:val="21"/>
        </w:rPr>
        <w:t>，</w:t>
      </w:r>
      <w:r>
        <w:rPr>
          <w:rFonts w:hint="eastAsia" w:ascii="Times New Roman" w:hAnsi="Times New Roman" w:eastAsia="宋体" w:cs="Times New Roman"/>
          <w:szCs w:val="21"/>
        </w:rPr>
        <w:t>了解小学教育专业的课程设置，了解小学教育专业学习的基本方法，明确小学教师的专业知识、能力和职业道德要求。</w:t>
      </w:r>
    </w:p>
    <w:p w14:paraId="4D22849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2.</w:t>
      </w:r>
      <w:r>
        <w:rPr>
          <w:rFonts w:hint="eastAsia" w:ascii="Times New Roman" w:hAnsi="Times New Roman" w:eastAsia="宋体" w:cs="Times New Roman"/>
          <w:szCs w:val="21"/>
        </w:rPr>
        <w:t>理解教师职业的意义，明确小学教育的重要性，具有较强的教师职业认同感，愿意从事小学教育工作，有较强的学习动机，树立正确的教师观和职业观。</w:t>
      </w:r>
    </w:p>
    <w:p w14:paraId="40459A3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3. 了解小学教师的专业发展</w:t>
      </w:r>
      <w:r>
        <w:rPr>
          <w:rFonts w:hint="eastAsia" w:ascii="Times New Roman" w:hAnsi="Times New Roman" w:eastAsia="宋体" w:cs="Times New Roman"/>
          <w:szCs w:val="21"/>
        </w:rPr>
        <w:t>的要求</w:t>
      </w:r>
      <w:r>
        <w:rPr>
          <w:rFonts w:ascii="Times New Roman" w:hAnsi="Times New Roman" w:eastAsia="宋体" w:cs="Times New Roman"/>
          <w:szCs w:val="21"/>
        </w:rPr>
        <w:t>，</w:t>
      </w:r>
      <w:r>
        <w:rPr>
          <w:rFonts w:hint="eastAsia" w:ascii="Times New Roman" w:hAnsi="Times New Roman" w:eastAsia="宋体" w:cs="Times New Roman"/>
          <w:szCs w:val="21"/>
        </w:rPr>
        <w:t>初步</w:t>
      </w:r>
      <w:r>
        <w:rPr>
          <w:rFonts w:ascii="Times New Roman" w:hAnsi="Times New Roman" w:eastAsia="宋体" w:cs="Times New Roman"/>
          <w:szCs w:val="21"/>
        </w:rPr>
        <w:t>了解教师资格考试</w:t>
      </w:r>
      <w:r>
        <w:rPr>
          <w:rFonts w:hint="eastAsia" w:ascii="Times New Roman" w:hAnsi="Times New Roman" w:eastAsia="宋体" w:cs="Times New Roman"/>
          <w:szCs w:val="21"/>
        </w:rPr>
        <w:t>和小学教师招考的基本情况</w:t>
      </w:r>
      <w:r>
        <w:rPr>
          <w:rFonts w:ascii="Times New Roman" w:hAnsi="Times New Roman" w:eastAsia="宋体" w:cs="Times New Roman"/>
          <w:szCs w:val="21"/>
        </w:rPr>
        <w:t>，</w:t>
      </w:r>
      <w:r>
        <w:rPr>
          <w:rFonts w:hint="eastAsia" w:ascii="Times New Roman" w:hAnsi="Times New Roman" w:eastAsia="宋体" w:cs="Times New Roman"/>
          <w:szCs w:val="21"/>
        </w:rPr>
        <w:t>能结合自身实际进行职业生涯规划，具有</w:t>
      </w:r>
      <w:r>
        <w:rPr>
          <w:rFonts w:ascii="Times New Roman" w:hAnsi="Times New Roman" w:eastAsia="宋体" w:cs="Times New Roman"/>
          <w:szCs w:val="21"/>
        </w:rPr>
        <w:t>明确的努力方向。</w:t>
      </w:r>
    </w:p>
    <w:p w14:paraId="493A8933">
      <w:pPr>
        <w:spacing w:line="360" w:lineRule="auto"/>
        <w:ind w:firstLine="420"/>
        <w:jc w:val="left"/>
        <w:outlineLvl w:val="1"/>
        <w:rPr>
          <w:rFonts w:ascii="Times New Roman" w:hAnsi="Times New Roman" w:eastAsia="宋体" w:cs="Times New Roman"/>
          <w:b/>
          <w:bCs/>
          <w:szCs w:val="21"/>
        </w:rPr>
      </w:pPr>
      <w:bookmarkStart w:id="185" w:name="_Toc25901"/>
      <w:r>
        <w:rPr>
          <w:rFonts w:hint="eastAsia" w:ascii="Times New Roman" w:hAnsi="Times New Roman" w:eastAsia="宋体" w:cs="Times New Roman"/>
          <w:b/>
          <w:bCs/>
          <w:szCs w:val="21"/>
        </w:rPr>
        <w:t>（二）课程目标及其对毕业要求指标点的支撑</w:t>
      </w:r>
      <w:bookmarkEnd w:id="185"/>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237"/>
        <w:gridCol w:w="1327"/>
      </w:tblGrid>
      <w:tr w14:paraId="1A00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65AE331B">
            <w:pPr>
              <w:jc w:val="center"/>
              <w:rPr>
                <w:rFonts w:hint="eastAsia" w:ascii="宋体" w:hAnsi="宋体" w:eastAsia="宋体" w:cs="宋体"/>
                <w:b/>
                <w:bCs/>
                <w:szCs w:val="21"/>
              </w:rPr>
            </w:pPr>
            <w:r>
              <w:rPr>
                <w:rFonts w:hint="eastAsia" w:ascii="宋体" w:hAnsi="宋体" w:eastAsia="宋体" w:cs="宋体"/>
                <w:b/>
                <w:bCs/>
                <w:szCs w:val="21"/>
              </w:rPr>
              <w:t>毕业要求</w:t>
            </w:r>
          </w:p>
        </w:tc>
        <w:tc>
          <w:tcPr>
            <w:tcW w:w="6237" w:type="dxa"/>
            <w:vAlign w:val="center"/>
          </w:tcPr>
          <w:p w14:paraId="66EB7AE2">
            <w:pPr>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327" w:type="dxa"/>
            <w:vAlign w:val="center"/>
          </w:tcPr>
          <w:p w14:paraId="72D61567">
            <w:pPr>
              <w:jc w:val="center"/>
              <w:rPr>
                <w:rFonts w:hint="eastAsia" w:ascii="宋体" w:hAnsi="宋体" w:eastAsia="宋体" w:cs="宋体"/>
                <w:b/>
                <w:bCs/>
                <w:szCs w:val="21"/>
              </w:rPr>
            </w:pPr>
            <w:r>
              <w:rPr>
                <w:rFonts w:hint="eastAsia" w:ascii="宋体" w:hAnsi="宋体" w:eastAsia="宋体" w:cs="宋体"/>
                <w:b/>
                <w:bCs/>
                <w:szCs w:val="21"/>
              </w:rPr>
              <w:t>课程目标</w:t>
            </w:r>
          </w:p>
        </w:tc>
      </w:tr>
      <w:tr w14:paraId="170A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0D1D9172">
            <w:pPr>
              <w:jc w:val="center"/>
              <w:rPr>
                <w:rFonts w:hint="eastAsia" w:ascii="宋体" w:hAnsi="宋体" w:eastAsia="宋体" w:cs="宋体"/>
                <w:szCs w:val="21"/>
              </w:rPr>
            </w:pPr>
            <w:r>
              <w:rPr>
                <w:rFonts w:hint="eastAsia" w:ascii="宋体" w:hAnsi="宋体" w:eastAsia="宋体" w:cs="宋体"/>
                <w:szCs w:val="21"/>
              </w:rPr>
              <w:t>毕业要求1</w:t>
            </w:r>
          </w:p>
          <w:p w14:paraId="42618434">
            <w:pPr>
              <w:jc w:val="center"/>
              <w:rPr>
                <w:rFonts w:hint="eastAsia" w:ascii="宋体" w:hAnsi="宋体" w:eastAsia="宋体" w:cs="宋体"/>
                <w:szCs w:val="21"/>
              </w:rPr>
            </w:pPr>
            <w:r>
              <w:rPr>
                <w:rFonts w:hint="eastAsia" w:ascii="宋体" w:hAnsi="宋体" w:eastAsia="宋体" w:cs="宋体"/>
                <w:szCs w:val="21"/>
              </w:rPr>
              <w:t>师德规范</w:t>
            </w:r>
          </w:p>
        </w:tc>
        <w:tc>
          <w:tcPr>
            <w:tcW w:w="6237" w:type="dxa"/>
            <w:vAlign w:val="center"/>
          </w:tcPr>
          <w:p w14:paraId="321984CD">
            <w:pPr>
              <w:widowControl/>
              <w:autoSpaceDE w:val="0"/>
              <w:autoSpaceDN w:val="0"/>
              <w:rPr>
                <w:rFonts w:hint="eastAsia" w:ascii="宋体" w:hAnsi="宋体" w:eastAsia="宋体" w:cs="宋体"/>
                <w:kern w:val="0"/>
                <w:szCs w:val="21"/>
              </w:rPr>
            </w:pPr>
            <w:r>
              <w:rPr>
                <w:rFonts w:hint="eastAsia" w:ascii="宋体" w:hAnsi="宋体" w:eastAsia="宋体" w:cs="宋体"/>
                <w:b/>
                <w:kern w:val="0"/>
                <w:szCs w:val="21"/>
              </w:rPr>
              <w:t>指标点1-2</w:t>
            </w:r>
            <w:r>
              <w:rPr>
                <w:rFonts w:hint="eastAsia" w:ascii="宋体" w:hAnsi="宋体" w:eastAsia="宋体" w:cs="宋体"/>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327" w:type="dxa"/>
            <w:vAlign w:val="center"/>
          </w:tcPr>
          <w:p w14:paraId="18087202">
            <w:pPr>
              <w:jc w:val="left"/>
              <w:rPr>
                <w:rFonts w:hint="eastAsia" w:ascii="宋体" w:hAnsi="宋体" w:eastAsia="宋体" w:cs="宋体"/>
                <w:szCs w:val="21"/>
              </w:rPr>
            </w:pPr>
            <w:r>
              <w:rPr>
                <w:rFonts w:hint="eastAsia" w:ascii="宋体" w:hAnsi="宋体" w:eastAsia="宋体" w:cs="宋体"/>
                <w:szCs w:val="21"/>
              </w:rPr>
              <w:t>课程目标1</w:t>
            </w:r>
          </w:p>
        </w:tc>
      </w:tr>
      <w:tr w14:paraId="2E61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08D4F952">
            <w:pPr>
              <w:jc w:val="center"/>
              <w:rPr>
                <w:rFonts w:hint="eastAsia" w:ascii="宋体" w:hAnsi="宋体" w:eastAsia="宋体" w:cs="宋体"/>
                <w:szCs w:val="21"/>
              </w:rPr>
            </w:pPr>
            <w:r>
              <w:rPr>
                <w:rFonts w:hint="eastAsia" w:ascii="宋体" w:hAnsi="宋体" w:eastAsia="宋体" w:cs="宋体"/>
                <w:szCs w:val="21"/>
              </w:rPr>
              <w:t>毕业要求2</w:t>
            </w:r>
          </w:p>
          <w:p w14:paraId="6D6D7436">
            <w:pPr>
              <w:jc w:val="center"/>
              <w:rPr>
                <w:rFonts w:hint="eastAsia" w:ascii="宋体" w:hAnsi="宋体" w:eastAsia="宋体" w:cs="宋体"/>
                <w:szCs w:val="21"/>
              </w:rPr>
            </w:pPr>
            <w:r>
              <w:rPr>
                <w:rFonts w:hint="eastAsia" w:ascii="宋体" w:hAnsi="宋体" w:eastAsia="宋体" w:cs="宋体"/>
                <w:szCs w:val="21"/>
              </w:rPr>
              <w:t>教育情怀</w:t>
            </w:r>
          </w:p>
        </w:tc>
        <w:tc>
          <w:tcPr>
            <w:tcW w:w="6237" w:type="dxa"/>
            <w:vAlign w:val="center"/>
          </w:tcPr>
          <w:p w14:paraId="1B102904">
            <w:pPr>
              <w:jc w:val="left"/>
              <w:rPr>
                <w:rFonts w:hint="eastAsia" w:ascii="宋体" w:hAnsi="宋体" w:eastAsia="宋体" w:cs="宋体"/>
                <w:szCs w:val="21"/>
              </w:rPr>
            </w:pPr>
            <w:r>
              <w:rPr>
                <w:rFonts w:hint="eastAsia" w:ascii="宋体" w:hAnsi="宋体" w:eastAsia="宋体" w:cs="宋体"/>
                <w:b/>
                <w:kern w:val="0"/>
                <w:szCs w:val="21"/>
              </w:rPr>
              <w:t>指标点2-1</w:t>
            </w:r>
            <w:r>
              <w:rPr>
                <w:rFonts w:hint="eastAsia" w:ascii="宋体" w:hAnsi="宋体" w:eastAsia="宋体" w:cs="宋体"/>
                <w:szCs w:val="21"/>
              </w:rPr>
              <w:t>：【职业认同感强】</w:t>
            </w:r>
            <w:r>
              <w:rPr>
                <w:rFonts w:hint="eastAsia" w:ascii="宋体" w:hAnsi="宋体" w:eastAsia="宋体" w:cs="宋体"/>
                <w:sz w:val="20"/>
                <w:szCs w:val="20"/>
              </w:rPr>
              <w:t>具有家国情怀，热爱教育事业，秉持“坚忍诚勇，立己达人”的师范精神，践行教育家精神，乐于从教，热爱教育事业，具有较高的教师职业认同感，认同教师职业的意义、价值与专业性。</w:t>
            </w:r>
          </w:p>
        </w:tc>
        <w:tc>
          <w:tcPr>
            <w:tcW w:w="1327" w:type="dxa"/>
            <w:vAlign w:val="center"/>
          </w:tcPr>
          <w:p w14:paraId="5602396C">
            <w:pPr>
              <w:jc w:val="left"/>
              <w:rPr>
                <w:rFonts w:hint="eastAsia" w:ascii="宋体" w:hAnsi="宋体" w:eastAsia="宋体" w:cs="宋体"/>
                <w:szCs w:val="21"/>
              </w:rPr>
            </w:pPr>
            <w:r>
              <w:rPr>
                <w:rFonts w:hint="eastAsia" w:ascii="宋体" w:hAnsi="宋体" w:eastAsia="宋体" w:cs="宋体"/>
                <w:szCs w:val="21"/>
              </w:rPr>
              <w:t>课程目标2</w:t>
            </w:r>
          </w:p>
        </w:tc>
      </w:tr>
      <w:tr w14:paraId="075C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767DD3CE">
            <w:pPr>
              <w:jc w:val="center"/>
              <w:rPr>
                <w:rFonts w:hint="eastAsia" w:ascii="宋体" w:hAnsi="宋体" w:eastAsia="宋体" w:cs="宋体"/>
                <w:szCs w:val="21"/>
              </w:rPr>
            </w:pPr>
            <w:r>
              <w:rPr>
                <w:rFonts w:hint="eastAsia" w:ascii="宋体" w:hAnsi="宋体" w:eastAsia="宋体" w:cs="宋体"/>
                <w:szCs w:val="21"/>
              </w:rPr>
              <w:t>毕业要求7</w:t>
            </w:r>
          </w:p>
          <w:p w14:paraId="54337986">
            <w:pPr>
              <w:jc w:val="center"/>
              <w:rPr>
                <w:rFonts w:hint="eastAsia" w:ascii="宋体" w:hAnsi="宋体" w:eastAsia="宋体" w:cs="宋体"/>
                <w:szCs w:val="21"/>
              </w:rPr>
            </w:pPr>
            <w:r>
              <w:rPr>
                <w:rFonts w:hint="eastAsia" w:ascii="宋体" w:hAnsi="宋体" w:eastAsia="宋体" w:cs="宋体"/>
                <w:szCs w:val="21"/>
              </w:rPr>
              <w:t>学会反思</w:t>
            </w:r>
          </w:p>
        </w:tc>
        <w:tc>
          <w:tcPr>
            <w:tcW w:w="6237" w:type="dxa"/>
            <w:vAlign w:val="center"/>
          </w:tcPr>
          <w:p w14:paraId="55C9F4E7">
            <w:pPr>
              <w:jc w:val="left"/>
              <w:rPr>
                <w:rFonts w:hint="eastAsia" w:ascii="宋体" w:hAnsi="宋体" w:eastAsia="宋体" w:cs="宋体"/>
                <w:szCs w:val="21"/>
              </w:rPr>
            </w:pPr>
            <w:r>
              <w:rPr>
                <w:rFonts w:hint="eastAsia" w:ascii="宋体" w:hAnsi="宋体" w:eastAsia="宋体" w:cs="宋体"/>
                <w:b/>
                <w:spacing w:val="2"/>
                <w:kern w:val="0"/>
                <w:szCs w:val="21"/>
              </w:rPr>
              <w:t>指标点7-2</w:t>
            </w:r>
            <w:r>
              <w:rPr>
                <w:rFonts w:hint="eastAsia" w:ascii="宋体" w:hAnsi="宋体" w:eastAsia="宋体" w:cs="宋体"/>
                <w:spacing w:val="2"/>
                <w:kern w:val="0"/>
                <w:szCs w:val="21"/>
              </w:rPr>
              <w:t>：【职业规划合理】了解教师专业发展的要求，形成终身学习的意识和习惯，注重自身的专业发展，根据基础教育课程改革的动态和发展情况，进行职业生涯规划和自主学习。</w:t>
            </w:r>
          </w:p>
        </w:tc>
        <w:tc>
          <w:tcPr>
            <w:tcW w:w="1327" w:type="dxa"/>
            <w:vAlign w:val="center"/>
          </w:tcPr>
          <w:p w14:paraId="3FC518FC">
            <w:pPr>
              <w:jc w:val="left"/>
              <w:rPr>
                <w:rFonts w:hint="eastAsia" w:ascii="宋体" w:hAnsi="宋体" w:eastAsia="宋体" w:cs="宋体"/>
                <w:szCs w:val="21"/>
              </w:rPr>
            </w:pPr>
            <w:r>
              <w:rPr>
                <w:rFonts w:hint="eastAsia" w:ascii="宋体" w:hAnsi="宋体" w:eastAsia="宋体" w:cs="宋体"/>
                <w:szCs w:val="21"/>
              </w:rPr>
              <w:t>课程目标3</w:t>
            </w:r>
          </w:p>
        </w:tc>
      </w:tr>
    </w:tbl>
    <w:p w14:paraId="7CA6443C">
      <w:pPr>
        <w:spacing w:before="156" w:beforeLines="50" w:line="360" w:lineRule="auto"/>
        <w:ind w:firstLine="422" w:firstLineChars="200"/>
        <w:jc w:val="left"/>
        <w:outlineLvl w:val="1"/>
        <w:rPr>
          <w:rFonts w:hint="eastAsia" w:ascii="宋体" w:hAnsi="宋体" w:eastAsia="宋体" w:cs="Times New Roman"/>
          <w:b/>
          <w:szCs w:val="21"/>
        </w:rPr>
      </w:pPr>
      <w:bookmarkStart w:id="186" w:name="_Toc19403"/>
      <w:r>
        <w:rPr>
          <w:rFonts w:hint="eastAsia" w:ascii="宋体" w:hAnsi="宋体" w:eastAsia="宋体" w:cs="Times New Roman"/>
          <w:b/>
          <w:szCs w:val="21"/>
        </w:rPr>
        <w:t>（三）课程思政目标</w:t>
      </w:r>
      <w:bookmarkEnd w:id="186"/>
    </w:p>
    <w:p w14:paraId="1194BEE4">
      <w:pPr>
        <w:spacing w:line="360" w:lineRule="auto"/>
        <w:ind w:firstLine="411" w:firstLineChars="196"/>
        <w:jc w:val="left"/>
        <w:rPr>
          <w:rFonts w:hint="eastAsia" w:ascii="宋体" w:hAnsi="宋体" w:eastAsia="宋体" w:cs="Times New Roman"/>
          <w:szCs w:val="21"/>
        </w:rPr>
      </w:pPr>
      <w:r>
        <w:rPr>
          <w:rFonts w:ascii="宋体" w:hAnsi="宋体" w:eastAsia="宋体" w:cs="Times New Roman"/>
          <w:szCs w:val="21"/>
        </w:rPr>
        <w:t>了解小学教育专业发展的悠久历史，增强文化自信和专业自信</w:t>
      </w:r>
      <w:r>
        <w:rPr>
          <w:rFonts w:hint="eastAsia" w:ascii="宋体" w:hAnsi="宋体" w:eastAsia="宋体" w:cs="Times New Roman"/>
          <w:szCs w:val="21"/>
        </w:rPr>
        <w:t>；理解教师职业的意义，具有较强的教师职业认同感，愿意从事小学教育工作，有较强的学习动机；树立正确的教师观和职业观，</w:t>
      </w:r>
      <w:r>
        <w:rPr>
          <w:rFonts w:ascii="宋体" w:hAnsi="宋体" w:eastAsia="宋体" w:cs="Times New Roman"/>
          <w:szCs w:val="21"/>
        </w:rPr>
        <w:t>具有明确的努力方向。</w:t>
      </w:r>
    </w:p>
    <w:p w14:paraId="126BE581">
      <w:pPr>
        <w:spacing w:before="62" w:beforeLines="20" w:after="62" w:afterLines="20" w:line="360" w:lineRule="auto"/>
        <w:jc w:val="left"/>
        <w:rPr>
          <w:rFonts w:ascii="Times New Roman" w:hAnsi="Times New Roman" w:eastAsia="宋体" w:cs="Times New Roman"/>
          <w:b/>
          <w:sz w:val="24"/>
        </w:rPr>
      </w:pPr>
      <w:bookmarkStart w:id="187" w:name="_Toc6432"/>
      <w:bookmarkStart w:id="188" w:name="_Toc26224"/>
      <w:bookmarkStart w:id="189" w:name="_Toc7781"/>
      <w:bookmarkStart w:id="190" w:name="_Toc31441"/>
      <w:bookmarkStart w:id="191" w:name="_Toc30192"/>
      <w:bookmarkStart w:id="192" w:name="_Toc32224"/>
      <w:bookmarkStart w:id="193" w:name="_Toc1877"/>
      <w:r>
        <w:rPr>
          <w:rFonts w:hint="eastAsia" w:ascii="Times New Roman" w:hAnsi="Times New Roman" w:eastAsia="宋体" w:cs="Times New Roman"/>
          <w:b/>
          <w:sz w:val="24"/>
        </w:rPr>
        <w:t>三、教学内容与预期学习成效</w:t>
      </w:r>
      <w:bookmarkEnd w:id="187"/>
      <w:bookmarkEnd w:id="188"/>
      <w:bookmarkEnd w:id="189"/>
      <w:bookmarkEnd w:id="190"/>
      <w:bookmarkEnd w:id="191"/>
      <w:bookmarkEnd w:id="192"/>
      <w:bookmarkEnd w:id="193"/>
    </w:p>
    <w:tbl>
      <w:tblPr>
        <w:tblStyle w:val="12"/>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704"/>
        <w:gridCol w:w="1135"/>
        <w:gridCol w:w="3266"/>
        <w:gridCol w:w="1563"/>
        <w:gridCol w:w="442"/>
      </w:tblGrid>
      <w:tr w14:paraId="688A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505053F0">
            <w:pPr>
              <w:jc w:val="center"/>
              <w:rPr>
                <w:rFonts w:hint="eastAsia" w:ascii="宋体" w:hAnsi="宋体" w:eastAsia="宋体" w:cs="Times New Roman"/>
                <w:b/>
                <w:szCs w:val="21"/>
              </w:rPr>
            </w:pPr>
            <w:r>
              <w:rPr>
                <w:rFonts w:hint="eastAsia" w:ascii="宋体" w:hAnsi="宋体" w:eastAsia="宋体" w:cs="Times New Roman"/>
                <w:b/>
                <w:szCs w:val="21"/>
              </w:rPr>
              <w:t>知识</w:t>
            </w:r>
          </w:p>
          <w:p w14:paraId="34B1025E">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4" w:type="dxa"/>
            <w:vAlign w:val="center"/>
          </w:tcPr>
          <w:p w14:paraId="05B4A45F">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5" w:type="dxa"/>
            <w:vAlign w:val="center"/>
          </w:tcPr>
          <w:p w14:paraId="7E128A47">
            <w:pPr>
              <w:jc w:val="center"/>
              <w:rPr>
                <w:rFonts w:hint="eastAsia" w:ascii="宋体" w:hAnsi="宋体" w:eastAsia="宋体" w:cs="Times New Roman"/>
                <w:b/>
                <w:szCs w:val="21"/>
              </w:rPr>
            </w:pPr>
            <w:r>
              <w:rPr>
                <w:rFonts w:hint="eastAsia" w:ascii="宋体" w:hAnsi="宋体" w:eastAsia="宋体" w:cs="Times New Roman"/>
                <w:b/>
                <w:szCs w:val="21"/>
              </w:rPr>
              <w:t>对应</w:t>
            </w:r>
          </w:p>
          <w:p w14:paraId="284FC7B8">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6" w:type="dxa"/>
            <w:vAlign w:val="center"/>
          </w:tcPr>
          <w:p w14:paraId="17ADB67D">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3" w:type="dxa"/>
            <w:vAlign w:val="center"/>
          </w:tcPr>
          <w:p w14:paraId="7E3E8850">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42" w:type="dxa"/>
            <w:vAlign w:val="center"/>
          </w:tcPr>
          <w:p w14:paraId="40005A07">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077A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2564178A">
            <w:pPr>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等线" w:hAnsi="等线" w:eastAsia="等线" w:cs="Times New Roman"/>
                <w:szCs w:val="21"/>
              </w:rPr>
              <w:t xml:space="preserve"> </w:t>
            </w:r>
            <w:r>
              <w:rPr>
                <w:rFonts w:hint="eastAsia" w:ascii="宋体" w:hAnsi="宋体" w:eastAsia="宋体" w:cs="Times New Roman"/>
                <w:szCs w:val="21"/>
              </w:rPr>
              <w:t>小学教育专业简介</w:t>
            </w:r>
          </w:p>
        </w:tc>
        <w:tc>
          <w:tcPr>
            <w:tcW w:w="1704" w:type="dxa"/>
            <w:vAlign w:val="center"/>
          </w:tcPr>
          <w:p w14:paraId="0BE7C16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1）小学教育专业的历史、现状与未来</w:t>
            </w:r>
          </w:p>
          <w:p w14:paraId="54F3761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2）小学教育专业培养方案解读</w:t>
            </w:r>
          </w:p>
        </w:tc>
        <w:tc>
          <w:tcPr>
            <w:tcW w:w="1135" w:type="dxa"/>
            <w:vAlign w:val="center"/>
          </w:tcPr>
          <w:p w14:paraId="1B05485D">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6" w:type="dxa"/>
            <w:vAlign w:val="center"/>
          </w:tcPr>
          <w:p w14:paraId="34B5D7A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1）了解小学教育专业的历史、现状与未来.</w:t>
            </w:r>
          </w:p>
          <w:p w14:paraId="3F1DE5A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2）了解小学教育专业的培养目标，知道小学教育专业学生应具备的知识和能力.</w:t>
            </w:r>
          </w:p>
          <w:p w14:paraId="7900DB7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3）了解小学教育专业的课程设置。</w:t>
            </w:r>
          </w:p>
        </w:tc>
        <w:tc>
          <w:tcPr>
            <w:tcW w:w="1563" w:type="dxa"/>
            <w:vAlign w:val="center"/>
          </w:tcPr>
          <w:p w14:paraId="30EF3D5E">
            <w:pPr>
              <w:jc w:val="left"/>
              <w:rPr>
                <w:rFonts w:hint="eastAsia" w:ascii="宋体" w:hAnsi="宋体" w:eastAsia="宋体" w:cs="Times New Roman"/>
                <w:szCs w:val="21"/>
              </w:rPr>
            </w:pPr>
            <w:r>
              <w:rPr>
                <w:rFonts w:hint="eastAsia" w:ascii="宋体" w:hAnsi="宋体" w:eastAsia="宋体" w:cs="Times New Roman"/>
                <w:szCs w:val="21"/>
              </w:rPr>
              <w:t>1.理论讲解</w:t>
            </w:r>
          </w:p>
          <w:p w14:paraId="6512055B">
            <w:pPr>
              <w:jc w:val="left"/>
              <w:rPr>
                <w:rFonts w:hint="eastAsia" w:ascii="宋体" w:hAnsi="宋体" w:eastAsia="宋体" w:cs="Times New Roman"/>
                <w:szCs w:val="21"/>
              </w:rPr>
            </w:pPr>
            <w:r>
              <w:rPr>
                <w:rFonts w:hint="eastAsia" w:ascii="宋体" w:hAnsi="宋体" w:eastAsia="宋体" w:cs="Times New Roman"/>
                <w:szCs w:val="21"/>
              </w:rPr>
              <w:t>2.课堂讨论</w:t>
            </w:r>
          </w:p>
          <w:p w14:paraId="7F645576">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42" w:type="dxa"/>
            <w:vAlign w:val="center"/>
          </w:tcPr>
          <w:p w14:paraId="472F952A">
            <w:pPr>
              <w:jc w:val="center"/>
              <w:rPr>
                <w:rFonts w:hint="eastAsia" w:ascii="宋体" w:hAnsi="宋体" w:eastAsia="宋体" w:cs="Times New Roman"/>
                <w:szCs w:val="21"/>
              </w:rPr>
            </w:pPr>
            <w:r>
              <w:rPr>
                <w:rFonts w:ascii="宋体" w:hAnsi="宋体" w:eastAsia="宋体" w:cs="Times New Roman"/>
                <w:szCs w:val="21"/>
              </w:rPr>
              <w:t>2</w:t>
            </w:r>
          </w:p>
        </w:tc>
      </w:tr>
      <w:tr w14:paraId="6265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79AEF570">
            <w:pPr>
              <w:jc w:val="center"/>
              <w:rPr>
                <w:rFonts w:hint="eastAsia" w:ascii="宋体" w:hAnsi="宋体" w:eastAsia="宋体" w:cs="Times New Roman"/>
                <w:szCs w:val="21"/>
              </w:rPr>
            </w:pPr>
          </w:p>
        </w:tc>
        <w:tc>
          <w:tcPr>
            <w:tcW w:w="8110" w:type="dxa"/>
            <w:gridSpan w:val="5"/>
            <w:vAlign w:val="center"/>
          </w:tcPr>
          <w:p w14:paraId="480AD3A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1）了解小学教育专业发展的悠久历史，增强文化自信和专业自信。</w:t>
            </w:r>
            <w:r>
              <w:rPr>
                <w:rFonts w:hint="eastAsia" w:ascii="宋体" w:hAnsi="宋体" w:eastAsia="宋体" w:cs="Times New Roman"/>
                <w:szCs w:val="21"/>
              </w:rPr>
              <w:t>（</w:t>
            </w:r>
            <w:r>
              <w:rPr>
                <w:rFonts w:ascii="宋体" w:hAnsi="宋体" w:eastAsia="宋体" w:cs="Times New Roman"/>
                <w:szCs w:val="21"/>
              </w:rPr>
              <w:t>2）通过对专业概况的了解，进一步巩固专业思想，强化专业情怀。</w:t>
            </w:r>
          </w:p>
        </w:tc>
      </w:tr>
      <w:tr w14:paraId="2C98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723B0A8B">
            <w:pPr>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等线" w:hAnsi="等线" w:eastAsia="等线" w:cs="Times New Roman"/>
                <w:szCs w:val="21"/>
              </w:rPr>
              <w:t xml:space="preserve"> </w:t>
            </w:r>
            <w:r>
              <w:rPr>
                <w:rFonts w:hint="eastAsia" w:ascii="宋体" w:hAnsi="宋体" w:eastAsia="宋体" w:cs="Times New Roman"/>
                <w:szCs w:val="21"/>
              </w:rPr>
              <w:t>小学教育专业教师教育课程的学习</w:t>
            </w:r>
          </w:p>
        </w:tc>
        <w:tc>
          <w:tcPr>
            <w:tcW w:w="1704" w:type="dxa"/>
            <w:vAlign w:val="center"/>
          </w:tcPr>
          <w:p w14:paraId="5E10714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1）教育理论课程的学习与考研方向的选择</w:t>
            </w:r>
          </w:p>
          <w:p w14:paraId="37D78C1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2）教育实践类课程的学习与实践能力的提升</w:t>
            </w:r>
          </w:p>
        </w:tc>
        <w:tc>
          <w:tcPr>
            <w:tcW w:w="1135" w:type="dxa"/>
            <w:vAlign w:val="center"/>
          </w:tcPr>
          <w:p w14:paraId="6325FE28">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6" w:type="dxa"/>
            <w:vAlign w:val="center"/>
          </w:tcPr>
          <w:p w14:paraId="4394406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1）了解教育学、心理学学科的发展情况。</w:t>
            </w:r>
          </w:p>
          <w:p w14:paraId="2976F97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2）知道教育学、心理学学科方面的考研方向。</w:t>
            </w:r>
          </w:p>
          <w:p w14:paraId="544D52D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3）理解小学教育专业实践能力的内涵及提升路径。</w:t>
            </w:r>
          </w:p>
          <w:p w14:paraId="356F478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4）初步了解并掌握教师教育课程的学习方法。</w:t>
            </w:r>
          </w:p>
        </w:tc>
        <w:tc>
          <w:tcPr>
            <w:tcW w:w="1563" w:type="dxa"/>
            <w:vAlign w:val="center"/>
          </w:tcPr>
          <w:p w14:paraId="091744C9">
            <w:pPr>
              <w:jc w:val="left"/>
              <w:rPr>
                <w:rFonts w:hint="eastAsia" w:ascii="宋体" w:hAnsi="宋体" w:eastAsia="宋体" w:cs="Times New Roman"/>
                <w:szCs w:val="21"/>
              </w:rPr>
            </w:pPr>
            <w:r>
              <w:rPr>
                <w:rFonts w:hint="eastAsia" w:ascii="宋体" w:hAnsi="宋体" w:eastAsia="宋体" w:cs="Times New Roman"/>
                <w:szCs w:val="21"/>
              </w:rPr>
              <w:t>1.理论讲解</w:t>
            </w:r>
          </w:p>
          <w:p w14:paraId="5CB67E7A">
            <w:pPr>
              <w:jc w:val="left"/>
              <w:rPr>
                <w:rFonts w:hint="eastAsia" w:ascii="宋体" w:hAnsi="宋体" w:eastAsia="宋体" w:cs="Times New Roman"/>
                <w:szCs w:val="21"/>
              </w:rPr>
            </w:pPr>
            <w:r>
              <w:rPr>
                <w:rFonts w:hint="eastAsia" w:ascii="宋体" w:hAnsi="宋体" w:eastAsia="宋体" w:cs="Times New Roman"/>
                <w:szCs w:val="21"/>
              </w:rPr>
              <w:t>2.课堂讨论</w:t>
            </w:r>
          </w:p>
          <w:p w14:paraId="601EF5A5">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42" w:type="dxa"/>
            <w:vAlign w:val="center"/>
          </w:tcPr>
          <w:p w14:paraId="1EC2A74A">
            <w:pPr>
              <w:jc w:val="center"/>
              <w:rPr>
                <w:rFonts w:hint="eastAsia" w:ascii="宋体" w:hAnsi="宋体" w:eastAsia="宋体" w:cs="Times New Roman"/>
                <w:szCs w:val="21"/>
              </w:rPr>
            </w:pPr>
            <w:r>
              <w:rPr>
                <w:rFonts w:ascii="宋体" w:hAnsi="宋体" w:eastAsia="宋体" w:cs="Times New Roman"/>
                <w:szCs w:val="21"/>
              </w:rPr>
              <w:t>2</w:t>
            </w:r>
          </w:p>
        </w:tc>
      </w:tr>
      <w:tr w14:paraId="293C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continue"/>
            <w:vAlign w:val="center"/>
          </w:tcPr>
          <w:p w14:paraId="739B30E5">
            <w:pPr>
              <w:jc w:val="center"/>
              <w:rPr>
                <w:rFonts w:hint="eastAsia" w:ascii="宋体" w:hAnsi="宋体" w:eastAsia="宋体" w:cs="Times New Roman"/>
                <w:szCs w:val="21"/>
              </w:rPr>
            </w:pPr>
          </w:p>
        </w:tc>
        <w:tc>
          <w:tcPr>
            <w:tcW w:w="8110" w:type="dxa"/>
            <w:gridSpan w:val="5"/>
            <w:vAlign w:val="center"/>
          </w:tcPr>
          <w:p w14:paraId="23AFC59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1）注重我国先进教育理念的学习，增强文化自信。</w:t>
            </w:r>
            <w:r>
              <w:rPr>
                <w:rFonts w:hint="eastAsia" w:ascii="宋体" w:hAnsi="宋体" w:eastAsia="宋体" w:cs="Times New Roman"/>
                <w:szCs w:val="21"/>
              </w:rPr>
              <w:t>（</w:t>
            </w:r>
            <w:r>
              <w:rPr>
                <w:rFonts w:ascii="宋体" w:hAnsi="宋体" w:eastAsia="宋体" w:cs="Times New Roman"/>
                <w:szCs w:val="21"/>
              </w:rPr>
              <w:t>2）养成科学、严谨的学习习惯和实事求是的精神。</w:t>
            </w:r>
            <w:r>
              <w:rPr>
                <w:rFonts w:hint="eastAsia" w:ascii="宋体" w:hAnsi="宋体" w:eastAsia="宋体" w:cs="Times New Roman"/>
                <w:szCs w:val="21"/>
              </w:rPr>
              <w:t>（</w:t>
            </w:r>
            <w:r>
              <w:rPr>
                <w:rFonts w:ascii="宋体" w:hAnsi="宋体" w:eastAsia="宋体" w:cs="Times New Roman"/>
                <w:szCs w:val="21"/>
              </w:rPr>
              <w:t>3）注重自身实践能力和创新精神的提高。</w:t>
            </w:r>
          </w:p>
        </w:tc>
      </w:tr>
      <w:tr w14:paraId="61E5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206" w:type="dxa"/>
            <w:vMerge w:val="restart"/>
            <w:vAlign w:val="center"/>
          </w:tcPr>
          <w:p w14:paraId="7F5FFFEB">
            <w:pPr>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等线" w:hAnsi="等线" w:eastAsia="等线" w:cs="Times New Roman"/>
                <w:szCs w:val="21"/>
              </w:rPr>
              <w:t xml:space="preserve"> 小学教育专业学科方向课程的学习</w:t>
            </w:r>
          </w:p>
        </w:tc>
        <w:tc>
          <w:tcPr>
            <w:tcW w:w="1704" w:type="dxa"/>
            <w:vAlign w:val="center"/>
          </w:tcPr>
          <w:p w14:paraId="20E9DFD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1）小学教育专业学科方向课程的发展与考研方向的选择</w:t>
            </w:r>
          </w:p>
          <w:p w14:paraId="473C421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2）小学教育专业学科方向课程的学习方法</w:t>
            </w:r>
          </w:p>
        </w:tc>
        <w:tc>
          <w:tcPr>
            <w:tcW w:w="1135" w:type="dxa"/>
            <w:vAlign w:val="center"/>
          </w:tcPr>
          <w:p w14:paraId="6DC08582">
            <w:pPr>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w:t>
            </w:r>
            <w:r>
              <w:rPr>
                <w:rFonts w:hint="eastAsia" w:ascii="宋体" w:hAnsi="宋体" w:eastAsia="宋体" w:cs="Times New Roman"/>
                <w:szCs w:val="21"/>
              </w:rPr>
              <w:t>、2、3</w:t>
            </w:r>
          </w:p>
        </w:tc>
        <w:tc>
          <w:tcPr>
            <w:tcW w:w="3266" w:type="dxa"/>
            <w:vAlign w:val="center"/>
          </w:tcPr>
          <w:p w14:paraId="0DCEB08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1）了解小学教育专业学科方向课程的发展情况。</w:t>
            </w:r>
          </w:p>
          <w:p w14:paraId="4D5819D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2）知道小学教育专业学科方向的考研选择。</w:t>
            </w:r>
          </w:p>
          <w:p w14:paraId="47E345C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3）初步了解小学教育专业学科方向课程学习的一般方法，制订小学教育专业必读学科类书籍的阅读计划并付诸实施。</w:t>
            </w:r>
          </w:p>
        </w:tc>
        <w:tc>
          <w:tcPr>
            <w:tcW w:w="1563" w:type="dxa"/>
            <w:vAlign w:val="center"/>
          </w:tcPr>
          <w:p w14:paraId="74F90835">
            <w:pPr>
              <w:jc w:val="left"/>
              <w:rPr>
                <w:rFonts w:hint="eastAsia" w:ascii="宋体" w:hAnsi="宋体" w:eastAsia="宋体" w:cs="Times New Roman"/>
                <w:szCs w:val="21"/>
              </w:rPr>
            </w:pPr>
            <w:r>
              <w:rPr>
                <w:rFonts w:hint="eastAsia" w:ascii="宋体" w:hAnsi="宋体" w:eastAsia="宋体" w:cs="Times New Roman"/>
                <w:szCs w:val="21"/>
              </w:rPr>
              <w:t>1.理论讲解</w:t>
            </w:r>
          </w:p>
          <w:p w14:paraId="10BCD171">
            <w:pPr>
              <w:jc w:val="left"/>
              <w:rPr>
                <w:rFonts w:hint="eastAsia" w:ascii="宋体" w:hAnsi="宋体" w:eastAsia="宋体" w:cs="Times New Roman"/>
                <w:szCs w:val="21"/>
              </w:rPr>
            </w:pPr>
            <w:r>
              <w:rPr>
                <w:rFonts w:hint="eastAsia" w:ascii="宋体" w:hAnsi="宋体" w:eastAsia="宋体" w:cs="Times New Roman"/>
                <w:szCs w:val="21"/>
              </w:rPr>
              <w:t>2.课堂讨论</w:t>
            </w:r>
          </w:p>
          <w:p w14:paraId="36BB9D04">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.观察实践</w:t>
            </w:r>
          </w:p>
          <w:p w14:paraId="5683686F">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自主学习</w:t>
            </w:r>
          </w:p>
        </w:tc>
        <w:tc>
          <w:tcPr>
            <w:tcW w:w="442" w:type="dxa"/>
            <w:vAlign w:val="center"/>
          </w:tcPr>
          <w:p w14:paraId="0A4A5D31">
            <w:pPr>
              <w:jc w:val="center"/>
              <w:rPr>
                <w:rFonts w:hint="eastAsia" w:ascii="宋体" w:hAnsi="宋体" w:eastAsia="宋体" w:cs="Times New Roman"/>
                <w:szCs w:val="21"/>
              </w:rPr>
            </w:pPr>
            <w:r>
              <w:rPr>
                <w:rFonts w:ascii="宋体" w:hAnsi="宋体" w:eastAsia="宋体" w:cs="Times New Roman"/>
                <w:szCs w:val="21"/>
              </w:rPr>
              <w:t>12</w:t>
            </w:r>
          </w:p>
        </w:tc>
      </w:tr>
      <w:tr w14:paraId="187B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4BAB3B55">
            <w:pPr>
              <w:jc w:val="center"/>
              <w:rPr>
                <w:rFonts w:hint="eastAsia" w:ascii="宋体" w:hAnsi="宋体" w:eastAsia="宋体" w:cs="Times New Roman"/>
                <w:szCs w:val="21"/>
              </w:rPr>
            </w:pPr>
          </w:p>
        </w:tc>
        <w:tc>
          <w:tcPr>
            <w:tcW w:w="8110" w:type="dxa"/>
            <w:gridSpan w:val="5"/>
            <w:vAlign w:val="center"/>
          </w:tcPr>
          <w:p w14:paraId="0310042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1）注重对中国传统文化的学习，增强文化自信和民族自豪感。</w:t>
            </w:r>
            <w:r>
              <w:rPr>
                <w:rFonts w:hint="eastAsia" w:ascii="宋体" w:hAnsi="宋体" w:eastAsia="宋体" w:cs="Times New Roman"/>
                <w:szCs w:val="21"/>
              </w:rPr>
              <w:t>（</w:t>
            </w:r>
            <w:r>
              <w:rPr>
                <w:rFonts w:ascii="宋体" w:hAnsi="宋体" w:eastAsia="宋体" w:cs="Times New Roman"/>
                <w:szCs w:val="21"/>
              </w:rPr>
              <w:t>2）养成严谨治学的习惯。</w:t>
            </w:r>
          </w:p>
        </w:tc>
      </w:tr>
      <w:tr w14:paraId="1B7A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622332A4">
            <w:pPr>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等线" w:hAnsi="等线" w:eastAsia="等线" w:cs="Times New Roman"/>
                <w:szCs w:val="21"/>
              </w:rPr>
              <w:t xml:space="preserve"> </w:t>
            </w:r>
            <w:r>
              <w:rPr>
                <w:rFonts w:hint="eastAsia" w:ascii="宋体" w:hAnsi="宋体" w:eastAsia="宋体" w:cs="Times New Roman"/>
                <w:szCs w:val="21"/>
              </w:rPr>
              <w:t>小学教师的专业发展</w:t>
            </w:r>
          </w:p>
        </w:tc>
        <w:tc>
          <w:tcPr>
            <w:tcW w:w="1704" w:type="dxa"/>
            <w:vAlign w:val="center"/>
          </w:tcPr>
          <w:p w14:paraId="7B5A9AE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1）小学教师专业发展的维度</w:t>
            </w:r>
          </w:p>
          <w:p w14:paraId="5DF6CF7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2）小学教师专业发展的路径</w:t>
            </w:r>
          </w:p>
          <w:p w14:paraId="6081DFD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3）小学教师资格证的获得</w:t>
            </w:r>
          </w:p>
        </w:tc>
        <w:tc>
          <w:tcPr>
            <w:tcW w:w="1135" w:type="dxa"/>
            <w:vAlign w:val="center"/>
          </w:tcPr>
          <w:p w14:paraId="71746217">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6" w:type="dxa"/>
            <w:vAlign w:val="center"/>
          </w:tcPr>
          <w:p w14:paraId="18E3EE4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1）明确小学教师专业发展的意义；</w:t>
            </w:r>
          </w:p>
          <w:p w14:paraId="7B394FF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2）了解小学教师专业发展的维度与路径； </w:t>
            </w:r>
          </w:p>
          <w:p w14:paraId="60BCC03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3）了解小学教师资格的获得条件和流程</w:t>
            </w:r>
          </w:p>
        </w:tc>
        <w:tc>
          <w:tcPr>
            <w:tcW w:w="1563" w:type="dxa"/>
            <w:vAlign w:val="center"/>
          </w:tcPr>
          <w:p w14:paraId="44260A84">
            <w:pPr>
              <w:jc w:val="left"/>
              <w:rPr>
                <w:rFonts w:hint="eastAsia" w:ascii="宋体" w:hAnsi="宋体" w:eastAsia="宋体" w:cs="Times New Roman"/>
                <w:szCs w:val="21"/>
              </w:rPr>
            </w:pPr>
            <w:r>
              <w:rPr>
                <w:rFonts w:hint="eastAsia" w:ascii="宋体" w:hAnsi="宋体" w:eastAsia="宋体" w:cs="Times New Roman"/>
                <w:szCs w:val="21"/>
              </w:rPr>
              <w:t>1.理论讲解</w:t>
            </w:r>
          </w:p>
          <w:p w14:paraId="026E4751">
            <w:pPr>
              <w:jc w:val="left"/>
              <w:rPr>
                <w:rFonts w:hint="eastAsia" w:ascii="宋体" w:hAnsi="宋体" w:eastAsia="宋体" w:cs="Times New Roman"/>
                <w:szCs w:val="21"/>
              </w:rPr>
            </w:pPr>
            <w:r>
              <w:rPr>
                <w:rFonts w:hint="eastAsia" w:ascii="宋体" w:hAnsi="宋体" w:eastAsia="宋体" w:cs="Times New Roman"/>
                <w:szCs w:val="21"/>
              </w:rPr>
              <w:t>2.课堂讨论</w:t>
            </w:r>
          </w:p>
          <w:p w14:paraId="5BB2AE57">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.模拟教学</w:t>
            </w:r>
          </w:p>
          <w:p w14:paraId="70D7171F">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自主学习</w:t>
            </w:r>
          </w:p>
        </w:tc>
        <w:tc>
          <w:tcPr>
            <w:tcW w:w="442" w:type="dxa"/>
            <w:vAlign w:val="center"/>
          </w:tcPr>
          <w:p w14:paraId="069EF71A">
            <w:pPr>
              <w:jc w:val="center"/>
              <w:rPr>
                <w:rFonts w:hint="eastAsia" w:ascii="宋体" w:hAnsi="宋体" w:eastAsia="宋体" w:cs="Times New Roman"/>
                <w:szCs w:val="21"/>
              </w:rPr>
            </w:pPr>
            <w:r>
              <w:rPr>
                <w:rFonts w:ascii="宋体" w:hAnsi="宋体" w:eastAsia="宋体" w:cs="Times New Roman"/>
                <w:szCs w:val="21"/>
              </w:rPr>
              <w:t>2</w:t>
            </w:r>
          </w:p>
        </w:tc>
      </w:tr>
      <w:tr w14:paraId="3DC3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3F70D0B7">
            <w:pPr>
              <w:jc w:val="center"/>
              <w:rPr>
                <w:rFonts w:hint="eastAsia" w:ascii="宋体" w:hAnsi="宋体" w:eastAsia="宋体" w:cs="Times New Roman"/>
                <w:szCs w:val="21"/>
              </w:rPr>
            </w:pPr>
          </w:p>
        </w:tc>
        <w:tc>
          <w:tcPr>
            <w:tcW w:w="8110" w:type="dxa"/>
            <w:gridSpan w:val="5"/>
            <w:vAlign w:val="center"/>
          </w:tcPr>
          <w:p w14:paraId="6603E05C">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1）能够以“四有”好老师的标准要求自己，树立为社会主义教育事业奋斗的远大志向。</w:t>
            </w:r>
            <w:r>
              <w:rPr>
                <w:rFonts w:hint="eastAsia" w:ascii="宋体" w:hAnsi="宋体" w:eastAsia="宋体" w:cs="Times New Roman"/>
                <w:szCs w:val="21"/>
              </w:rPr>
              <w:t>（</w:t>
            </w:r>
            <w:r>
              <w:rPr>
                <w:rFonts w:ascii="宋体" w:hAnsi="宋体" w:eastAsia="宋体" w:cs="Times New Roman"/>
                <w:szCs w:val="21"/>
              </w:rPr>
              <w:t>2）愿意为成为一名小学教师不懈努力。</w:t>
            </w:r>
          </w:p>
        </w:tc>
      </w:tr>
    </w:tbl>
    <w:p w14:paraId="7E1BCA9A">
      <w:pPr>
        <w:spacing w:before="62" w:beforeLines="20" w:after="62" w:afterLines="20" w:line="360" w:lineRule="auto"/>
        <w:jc w:val="left"/>
        <w:rPr>
          <w:rFonts w:ascii="Times New Roman" w:hAnsi="Times New Roman" w:eastAsia="宋体" w:cs="Times New Roman"/>
          <w:b/>
          <w:sz w:val="24"/>
        </w:rPr>
      </w:pPr>
      <w:bookmarkStart w:id="194" w:name="_Toc18760"/>
      <w:bookmarkStart w:id="195" w:name="_Toc22811"/>
      <w:bookmarkStart w:id="196" w:name="_Toc6656"/>
      <w:bookmarkStart w:id="197" w:name="_Toc22853"/>
      <w:bookmarkStart w:id="198" w:name="_Toc2685"/>
      <w:bookmarkStart w:id="199" w:name="_Toc20350"/>
      <w:bookmarkStart w:id="200" w:name="_Toc20318"/>
      <w:r>
        <w:rPr>
          <w:rFonts w:hint="eastAsia" w:ascii="Times New Roman" w:hAnsi="Times New Roman" w:eastAsia="宋体" w:cs="Times New Roman"/>
          <w:b/>
          <w:sz w:val="24"/>
        </w:rPr>
        <w:t>四、目标评价与成绩评定</w:t>
      </w:r>
      <w:bookmarkEnd w:id="194"/>
      <w:bookmarkEnd w:id="195"/>
      <w:bookmarkEnd w:id="196"/>
      <w:bookmarkEnd w:id="197"/>
      <w:bookmarkEnd w:id="198"/>
      <w:bookmarkEnd w:id="199"/>
      <w:bookmarkEnd w:id="200"/>
    </w:p>
    <w:p w14:paraId="0B387660">
      <w:pPr>
        <w:spacing w:line="360" w:lineRule="auto"/>
        <w:ind w:firstLine="422" w:firstLineChars="200"/>
        <w:jc w:val="left"/>
        <w:outlineLvl w:val="1"/>
        <w:rPr>
          <w:rFonts w:ascii="Times New Roman" w:hAnsi="Times New Roman" w:eastAsia="宋体" w:cs="Times New Roman"/>
          <w:b/>
          <w:szCs w:val="21"/>
        </w:rPr>
      </w:pPr>
      <w:bookmarkStart w:id="201" w:name="_Toc22387"/>
      <w:r>
        <w:rPr>
          <w:rFonts w:hint="eastAsia" w:ascii="Times New Roman" w:hAnsi="Times New Roman" w:eastAsia="宋体" w:cs="Times New Roman"/>
          <w:b/>
          <w:szCs w:val="21"/>
        </w:rPr>
        <w:t>（一）课程目标评价方式</w:t>
      </w:r>
      <w:bookmarkEnd w:id="201"/>
    </w:p>
    <w:p w14:paraId="1022013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1908"/>
        <w:gridCol w:w="1735"/>
        <w:gridCol w:w="1735"/>
        <w:gridCol w:w="1046"/>
      </w:tblGrid>
      <w:tr w14:paraId="11ADB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restart"/>
            <w:vAlign w:val="center"/>
          </w:tcPr>
          <w:p w14:paraId="03965C21">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3"/>
            <w:vAlign w:val="center"/>
          </w:tcPr>
          <w:p w14:paraId="3A58FEBC">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331343D">
            <w:pPr>
              <w:jc w:val="center"/>
              <w:rPr>
                <w:rFonts w:hint="eastAsia" w:ascii="宋体" w:hAnsi="宋体" w:eastAsia="宋体" w:cs="Times New Roman"/>
                <w:szCs w:val="21"/>
              </w:rPr>
            </w:pPr>
            <w:r>
              <w:rPr>
                <w:rFonts w:hint="eastAsia" w:ascii="宋体" w:hAnsi="宋体" w:eastAsia="宋体" w:cs="Times New Roman"/>
                <w:szCs w:val="21"/>
              </w:rPr>
              <w:t>分值</w:t>
            </w:r>
          </w:p>
        </w:tc>
      </w:tr>
      <w:tr w14:paraId="6A54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0" w:type="auto"/>
            <w:vMerge w:val="continue"/>
            <w:vAlign w:val="center"/>
          </w:tcPr>
          <w:p w14:paraId="501E383C">
            <w:pPr>
              <w:jc w:val="center"/>
              <w:rPr>
                <w:rFonts w:hint="eastAsia" w:ascii="宋体" w:hAnsi="宋体" w:eastAsia="宋体" w:cs="Times New Roman"/>
                <w:szCs w:val="21"/>
              </w:rPr>
            </w:pPr>
          </w:p>
        </w:tc>
        <w:tc>
          <w:tcPr>
            <w:tcW w:w="0" w:type="auto"/>
            <w:vAlign w:val="center"/>
          </w:tcPr>
          <w:p w14:paraId="3260369B">
            <w:pPr>
              <w:jc w:val="center"/>
              <w:rPr>
                <w:rFonts w:hint="eastAsia" w:ascii="宋体" w:hAnsi="宋体" w:eastAsia="宋体" w:cs="Times New Roman"/>
                <w:szCs w:val="21"/>
              </w:rPr>
            </w:pPr>
            <w:r>
              <w:rPr>
                <w:rFonts w:hint="eastAsia" w:ascii="宋体" w:hAnsi="宋体" w:eastAsia="宋体" w:cs="Times New Roman"/>
                <w:szCs w:val="21"/>
              </w:rPr>
              <w:t>作业</w:t>
            </w:r>
            <w:r>
              <w:rPr>
                <w:rFonts w:ascii="宋体" w:hAnsi="宋体" w:eastAsia="宋体" w:cs="Times New Roman"/>
                <w:szCs w:val="21"/>
              </w:rPr>
              <w:t>+考勤</w:t>
            </w:r>
          </w:p>
        </w:tc>
        <w:tc>
          <w:tcPr>
            <w:tcW w:w="0" w:type="auto"/>
            <w:vAlign w:val="center"/>
          </w:tcPr>
          <w:p w14:paraId="301BA5DC">
            <w:pPr>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2FB6C2B0">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1157A4A5">
            <w:pPr>
              <w:jc w:val="center"/>
              <w:rPr>
                <w:rFonts w:hint="eastAsia" w:ascii="宋体" w:hAnsi="宋体" w:eastAsia="宋体" w:cs="Times New Roman"/>
                <w:szCs w:val="21"/>
              </w:rPr>
            </w:pPr>
          </w:p>
        </w:tc>
      </w:tr>
      <w:tr w14:paraId="5EBD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34541135">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1824ED88">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BB934A0">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B24BD22">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B78A77A">
            <w:pPr>
              <w:jc w:val="center"/>
              <w:rPr>
                <w:rFonts w:hint="eastAsia" w:ascii="宋体" w:hAnsi="宋体" w:eastAsia="宋体" w:cs="Times New Roman"/>
                <w:szCs w:val="21"/>
              </w:rPr>
            </w:pPr>
            <w:r>
              <w:rPr>
                <w:rFonts w:ascii="宋体" w:hAnsi="宋体" w:eastAsia="宋体" w:cs="Times New Roman"/>
                <w:szCs w:val="21"/>
              </w:rPr>
              <w:t>30</w:t>
            </w:r>
          </w:p>
        </w:tc>
      </w:tr>
      <w:tr w14:paraId="7DBE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35C7495D">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39563693">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B786B50">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5B9A199">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D7933A4">
            <w:pPr>
              <w:jc w:val="center"/>
              <w:rPr>
                <w:rFonts w:hint="eastAsia" w:ascii="宋体" w:hAnsi="宋体" w:eastAsia="宋体" w:cs="Times New Roman"/>
                <w:szCs w:val="21"/>
              </w:rPr>
            </w:pPr>
            <w:r>
              <w:rPr>
                <w:rFonts w:ascii="宋体" w:hAnsi="宋体" w:eastAsia="宋体" w:cs="Times New Roman"/>
                <w:szCs w:val="21"/>
              </w:rPr>
              <w:t>40</w:t>
            </w:r>
          </w:p>
        </w:tc>
      </w:tr>
      <w:tr w14:paraId="3BE9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1C865A2A">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693DC45D">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1A30C17">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7137BD6">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182A465">
            <w:pPr>
              <w:jc w:val="center"/>
              <w:rPr>
                <w:rFonts w:hint="eastAsia" w:ascii="宋体" w:hAnsi="宋体" w:eastAsia="宋体" w:cs="Times New Roman"/>
                <w:szCs w:val="21"/>
              </w:rPr>
            </w:pPr>
            <w:r>
              <w:rPr>
                <w:rFonts w:ascii="宋体" w:hAnsi="宋体" w:eastAsia="宋体" w:cs="Times New Roman"/>
                <w:szCs w:val="21"/>
              </w:rPr>
              <w:t>30</w:t>
            </w:r>
          </w:p>
        </w:tc>
      </w:tr>
      <w:tr w14:paraId="2813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Align w:val="center"/>
          </w:tcPr>
          <w:p w14:paraId="0F6AE8E8">
            <w:pPr>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1375BC17">
            <w:pPr>
              <w:jc w:val="center"/>
              <w:rPr>
                <w:rFonts w:hint="eastAsia" w:ascii="宋体" w:hAnsi="宋体" w:eastAsia="宋体" w:cs="Times New Roman"/>
                <w:szCs w:val="21"/>
              </w:rPr>
            </w:pPr>
            <w:r>
              <w:rPr>
                <w:rFonts w:ascii="宋体" w:hAnsi="宋体" w:eastAsia="宋体" w:cs="Times New Roman"/>
                <w:szCs w:val="21"/>
              </w:rPr>
              <w:t>40</w:t>
            </w:r>
          </w:p>
        </w:tc>
        <w:tc>
          <w:tcPr>
            <w:tcW w:w="0" w:type="auto"/>
            <w:vAlign w:val="center"/>
          </w:tcPr>
          <w:p w14:paraId="26BD6D7D">
            <w:pPr>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p>
        </w:tc>
        <w:tc>
          <w:tcPr>
            <w:tcW w:w="0" w:type="auto"/>
            <w:vAlign w:val="center"/>
          </w:tcPr>
          <w:p w14:paraId="4C1E118D">
            <w:pPr>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c>
          <w:tcPr>
            <w:tcW w:w="0" w:type="auto"/>
            <w:vAlign w:val="center"/>
          </w:tcPr>
          <w:p w14:paraId="38943074">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167A2532">
      <w:pPr>
        <w:spacing w:before="156" w:beforeLines="50" w:line="360" w:lineRule="auto"/>
        <w:ind w:firstLine="422" w:firstLineChars="200"/>
        <w:jc w:val="left"/>
        <w:outlineLvl w:val="1"/>
        <w:rPr>
          <w:rFonts w:ascii="Times New Roman" w:hAnsi="Times New Roman" w:eastAsia="宋体" w:cs="Times New Roman"/>
          <w:b/>
          <w:szCs w:val="21"/>
        </w:rPr>
      </w:pPr>
      <w:bookmarkStart w:id="202" w:name="_Toc11985"/>
      <w:r>
        <w:rPr>
          <w:rFonts w:hint="eastAsia" w:ascii="Times New Roman" w:hAnsi="Times New Roman" w:eastAsia="宋体" w:cs="Times New Roman"/>
          <w:b/>
          <w:szCs w:val="21"/>
        </w:rPr>
        <w:t>（二）成绩评定细则</w:t>
      </w:r>
      <w:bookmarkEnd w:id="202"/>
    </w:p>
    <w:p w14:paraId="66F19A9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2550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DC5AD1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038E115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C3C031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56C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B39FFD9">
            <w:pPr>
              <w:rPr>
                <w:rFonts w:ascii="Times New Roman" w:hAnsi="Times New Roman" w:eastAsia="宋体" w:cs="Times New Roman"/>
                <w:szCs w:val="21"/>
              </w:rPr>
            </w:pPr>
            <w:r>
              <w:rPr>
                <w:rFonts w:hint="eastAsia" w:ascii="Times New Roman" w:hAnsi="Times New Roman" w:eastAsia="宋体" w:cs="Times New Roman"/>
                <w:szCs w:val="21"/>
              </w:rPr>
              <w:t>作业</w:t>
            </w:r>
            <w:r>
              <w:rPr>
                <w:rFonts w:ascii="Times New Roman" w:hAnsi="Times New Roman" w:eastAsia="宋体" w:cs="Times New Roman"/>
                <w:szCs w:val="21"/>
              </w:rPr>
              <w:t>+考勤</w:t>
            </w:r>
          </w:p>
        </w:tc>
        <w:tc>
          <w:tcPr>
            <w:tcW w:w="6924" w:type="dxa"/>
            <w:vAlign w:val="center"/>
          </w:tcPr>
          <w:p w14:paraId="4B18D9BC">
            <w:pPr>
              <w:jc w:val="left"/>
              <w:rPr>
                <w:rFonts w:ascii="Times New Roman" w:hAnsi="Times New Roman" w:eastAsia="宋体" w:cs="Times New Roman"/>
                <w:szCs w:val="21"/>
              </w:rPr>
            </w:pPr>
            <w:r>
              <w:rPr>
                <w:rFonts w:hint="eastAsia" w:ascii="Times New Roman" w:hAnsi="Times New Roman" w:eastAsia="宋体" w:cs="Times New Roman"/>
                <w:szCs w:val="21"/>
              </w:rPr>
              <w:t>平时作业共3次，平时总评</w:t>
            </w:r>
            <w:r>
              <w:rPr>
                <w:rFonts w:ascii="Times New Roman" w:hAnsi="Times New Roman" w:eastAsia="宋体" w:cs="Times New Roman"/>
                <w:szCs w:val="21"/>
              </w:rPr>
              <w:t>=作业平均—考勤扣分，旷课1次扣5分，事假一次扣2分，迟到1次扣1分，病假不扣分（但病假次数达本学期总授课学时的1/3以上者不得参加考核）。</w:t>
            </w:r>
          </w:p>
        </w:tc>
        <w:tc>
          <w:tcPr>
            <w:tcW w:w="0" w:type="auto"/>
            <w:vAlign w:val="center"/>
          </w:tcPr>
          <w:p w14:paraId="1365DA17">
            <w:pPr>
              <w:jc w:val="center"/>
              <w:rPr>
                <w:rFonts w:ascii="Times New Roman" w:hAnsi="Times New Roman" w:eastAsia="宋体" w:cs="Times New Roman"/>
                <w:szCs w:val="21"/>
              </w:rPr>
            </w:pPr>
            <w:r>
              <w:rPr>
                <w:rFonts w:ascii="Times New Roman" w:hAnsi="Times New Roman" w:eastAsia="宋体" w:cs="Times New Roman"/>
                <w:szCs w:val="21"/>
              </w:rPr>
              <w:t>4</w:t>
            </w:r>
            <w:r>
              <w:rPr>
                <w:rFonts w:hint="eastAsia" w:ascii="Times New Roman" w:hAnsi="Times New Roman" w:eastAsia="宋体" w:cs="Times New Roman"/>
                <w:szCs w:val="21"/>
              </w:rPr>
              <w:t>0%</w:t>
            </w:r>
          </w:p>
        </w:tc>
      </w:tr>
      <w:tr w14:paraId="7EC7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9D9A7E2">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924" w:type="dxa"/>
            <w:vAlign w:val="center"/>
          </w:tcPr>
          <w:p w14:paraId="5E0A7872">
            <w:pPr>
              <w:widowControl/>
              <w:jc w:val="left"/>
              <w:rPr>
                <w:rFonts w:ascii="Times New Roman" w:hAnsi="Times New Roman" w:eastAsia="宋体" w:cs="Times New Roman"/>
                <w:szCs w:val="21"/>
              </w:rPr>
            </w:pPr>
            <w:r>
              <w:rPr>
                <w:rFonts w:hint="eastAsia" w:ascii="宋体" w:hAnsi="宋体" w:eastAsia="宋体" w:cs="宋体"/>
                <w:kern w:val="0"/>
                <w:szCs w:val="21"/>
                <w:lang w:bidi="ar"/>
              </w:rPr>
              <w:t>课堂表现。</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按照对应的课程目标及权重给予评定</w:t>
            </w:r>
            <w:r>
              <w:rPr>
                <w:rFonts w:hint="eastAsia" w:ascii="宋体" w:hAnsi="宋体" w:eastAsia="宋体" w:cs="宋体"/>
                <w:kern w:val="0"/>
                <w:szCs w:val="21"/>
                <w:lang w:bidi="ar"/>
              </w:rPr>
              <w:t>。</w:t>
            </w:r>
          </w:p>
        </w:tc>
        <w:tc>
          <w:tcPr>
            <w:tcW w:w="0" w:type="auto"/>
            <w:vAlign w:val="center"/>
          </w:tcPr>
          <w:p w14:paraId="52BB841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8F9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54DE5C80">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4" w:type="dxa"/>
            <w:vAlign w:val="center"/>
          </w:tcPr>
          <w:p w14:paraId="718F7F6D">
            <w:pPr>
              <w:jc w:val="left"/>
              <w:rPr>
                <w:rFonts w:ascii="Times New Roman" w:hAnsi="Times New Roman" w:eastAsia="宋体" w:cs="Times New Roman"/>
                <w:szCs w:val="21"/>
              </w:rPr>
            </w:pPr>
            <w:r>
              <w:rPr>
                <w:rFonts w:hint="eastAsia" w:ascii="Times New Roman" w:hAnsi="Times New Roman" w:eastAsia="宋体" w:cs="Times New Roman"/>
                <w:szCs w:val="21"/>
              </w:rPr>
              <w:t>结合专业和自身实际，撰写一份小学教育专业发展规划，规划要有明确的目标和计划，不少于1</w:t>
            </w:r>
            <w:r>
              <w:rPr>
                <w:rFonts w:ascii="Times New Roman" w:hAnsi="Times New Roman" w:eastAsia="宋体" w:cs="Times New Roman"/>
                <w:szCs w:val="21"/>
              </w:rPr>
              <w:t>500</w:t>
            </w:r>
            <w:r>
              <w:rPr>
                <w:rFonts w:hint="eastAsia" w:ascii="Times New Roman" w:hAnsi="Times New Roman" w:eastAsia="宋体" w:cs="Times New Roman"/>
                <w:szCs w:val="21"/>
              </w:rPr>
              <w:t>字</w:t>
            </w:r>
            <w:r>
              <w:rPr>
                <w:rFonts w:ascii="Times New Roman" w:hAnsi="Times New Roman" w:eastAsia="宋体" w:cs="Times New Roman"/>
                <w:szCs w:val="21"/>
              </w:rPr>
              <w:t>。</w:t>
            </w:r>
          </w:p>
        </w:tc>
        <w:tc>
          <w:tcPr>
            <w:tcW w:w="0" w:type="auto"/>
            <w:vAlign w:val="center"/>
          </w:tcPr>
          <w:p w14:paraId="29186C24">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BCF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0B7970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E2AA11F">
            <w:pPr>
              <w:jc w:val="left"/>
              <w:rPr>
                <w:rFonts w:ascii="Times New Roman" w:hAnsi="Times New Roman" w:eastAsia="宋体" w:cs="Times New Roman"/>
                <w:szCs w:val="21"/>
              </w:rPr>
            </w:pPr>
          </w:p>
        </w:tc>
        <w:tc>
          <w:tcPr>
            <w:tcW w:w="0" w:type="auto"/>
            <w:vAlign w:val="center"/>
          </w:tcPr>
          <w:p w14:paraId="6473DC1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1B14C2A">
      <w:pPr>
        <w:spacing w:line="360" w:lineRule="auto"/>
        <w:ind w:firstLine="422" w:firstLineChars="200"/>
        <w:jc w:val="left"/>
        <w:outlineLvl w:val="1"/>
        <w:rPr>
          <w:rFonts w:hint="eastAsia" w:ascii="宋体" w:hAnsi="宋体" w:eastAsia="宋体" w:cs="Times New Roman"/>
          <w:b/>
          <w:szCs w:val="21"/>
        </w:rPr>
      </w:pPr>
      <w:bookmarkStart w:id="203" w:name="_Toc18886"/>
      <w:r>
        <w:rPr>
          <w:rFonts w:hint="eastAsia" w:ascii="宋体" w:hAnsi="宋体" w:eastAsia="宋体" w:cs="Times New Roman"/>
          <w:b/>
          <w:szCs w:val="21"/>
        </w:rPr>
        <w:t>（三）课程目标达成度计算方法</w:t>
      </w:r>
      <w:bookmarkEnd w:id="203"/>
    </w:p>
    <w:p w14:paraId="09C39FAF">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30D1A770">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32" o:spt="75" type="#_x0000_t75" style="height:24.8pt;width:404.5pt;" o:ole="t" filled="f" o:preferrelative="t" stroked="f" coordsize="21600,21600">
            <v:path/>
            <v:fill on="f" focussize="0,0"/>
            <v:stroke on="f" joinstyle="miter"/>
            <v:imagedata r:id="rId12" o:title=""/>
            <o:lock v:ext="edit" aspectratio="t"/>
            <w10:wrap type="none"/>
            <w10:anchorlock/>
          </v:shape>
          <o:OLEObject Type="Embed" ProgID="Equation.3" ShapeID="_x0000_i1032" DrawAspect="Content" ObjectID="_1468075732" r:id="rId19">
            <o:LockedField>false</o:LockedField>
          </o:OLEObject>
        </w:object>
      </w:r>
      <w:bookmarkStart w:id="204" w:name="_Toc8138"/>
      <w:bookmarkStart w:id="205" w:name="_Toc22670"/>
      <w:bookmarkStart w:id="206" w:name="_Toc2818"/>
      <w:bookmarkStart w:id="207" w:name="_Toc10965"/>
      <w:bookmarkStart w:id="208" w:name="_Toc17532"/>
      <w:bookmarkStart w:id="209" w:name="_Toc6858"/>
      <w:bookmarkStart w:id="210" w:name="_Toc13622"/>
      <w:r>
        <w:rPr>
          <w:rFonts w:hint="eastAsia" w:ascii="宋体" w:hAnsi="宋体" w:eastAsia="宋体" w:cs="Times New Roman"/>
          <w:b/>
          <w:bCs/>
          <w:sz w:val="24"/>
        </w:rPr>
        <w:t>五</w:t>
      </w:r>
      <w:r>
        <w:rPr>
          <w:rFonts w:hint="eastAsia" w:ascii="Times New Roman" w:hAnsi="Times New Roman" w:eastAsia="宋体" w:cs="Times New Roman"/>
          <w:b/>
          <w:sz w:val="24"/>
        </w:rPr>
        <w:t>、有关说明</w:t>
      </w:r>
      <w:bookmarkEnd w:id="204"/>
      <w:bookmarkEnd w:id="205"/>
      <w:bookmarkEnd w:id="206"/>
      <w:bookmarkEnd w:id="207"/>
      <w:bookmarkEnd w:id="208"/>
      <w:bookmarkEnd w:id="209"/>
      <w:bookmarkEnd w:id="210"/>
    </w:p>
    <w:p w14:paraId="76113A42">
      <w:pPr>
        <w:spacing w:line="360" w:lineRule="auto"/>
        <w:ind w:firstLine="420"/>
        <w:jc w:val="left"/>
        <w:outlineLvl w:val="1"/>
        <w:rPr>
          <w:rFonts w:ascii="Times New Roman" w:hAnsi="Times New Roman" w:eastAsia="宋体" w:cs="Times New Roman"/>
          <w:b/>
          <w:szCs w:val="21"/>
        </w:rPr>
      </w:pPr>
      <w:bookmarkStart w:id="211" w:name="_Toc5222"/>
      <w:r>
        <w:rPr>
          <w:rFonts w:hint="eastAsia" w:ascii="Times New Roman" w:hAnsi="Times New Roman" w:eastAsia="宋体" w:cs="Times New Roman"/>
          <w:b/>
          <w:szCs w:val="21"/>
        </w:rPr>
        <w:t>（一）持续改进</w:t>
      </w:r>
      <w:bookmarkEnd w:id="211"/>
    </w:p>
    <w:p w14:paraId="0DF4EAFB">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本课程根据学生作业、课堂讨论和学生、教学督导等的反馈，及时对教学中的不足之处进行改进，并在下一轮课程教学中整改完善，确保相应毕业要求指标点达成。</w:t>
      </w:r>
    </w:p>
    <w:p w14:paraId="07E757C2">
      <w:pPr>
        <w:spacing w:line="360" w:lineRule="auto"/>
        <w:ind w:firstLine="527" w:firstLineChars="250"/>
        <w:jc w:val="left"/>
        <w:outlineLvl w:val="1"/>
        <w:rPr>
          <w:rFonts w:ascii="Times New Roman" w:hAnsi="Times New Roman" w:eastAsia="宋体" w:cs="Times New Roman"/>
          <w:b/>
          <w:szCs w:val="21"/>
        </w:rPr>
      </w:pPr>
      <w:bookmarkStart w:id="212" w:name="_Toc10360"/>
      <w:r>
        <w:rPr>
          <w:rFonts w:hint="eastAsia" w:ascii="Times New Roman" w:hAnsi="Times New Roman" w:eastAsia="宋体" w:cs="Times New Roman"/>
          <w:b/>
          <w:szCs w:val="21"/>
        </w:rPr>
        <w:t>（二）建议教材</w:t>
      </w:r>
      <w:bookmarkEnd w:id="212"/>
    </w:p>
    <w:p w14:paraId="511E6646">
      <w:pPr>
        <w:spacing w:line="360" w:lineRule="auto"/>
        <w:ind w:firstLine="525" w:firstLineChars="250"/>
        <w:jc w:val="left"/>
        <w:rPr>
          <w:rFonts w:ascii="Times New Roman" w:hAnsi="Times New Roman" w:eastAsia="宋体" w:cs="Times New Roman"/>
          <w:bCs/>
          <w:szCs w:val="21"/>
        </w:rPr>
      </w:pPr>
      <w:r>
        <w:rPr>
          <w:rFonts w:hint="eastAsia" w:ascii="Times New Roman" w:hAnsi="Times New Roman" w:eastAsia="宋体" w:cs="Times New Roman"/>
          <w:bCs/>
          <w:szCs w:val="21"/>
        </w:rPr>
        <w:t>无</w:t>
      </w:r>
    </w:p>
    <w:p w14:paraId="16465922">
      <w:pPr>
        <w:spacing w:line="360" w:lineRule="auto"/>
        <w:ind w:firstLine="527" w:firstLineChars="250"/>
        <w:jc w:val="left"/>
        <w:outlineLvl w:val="1"/>
        <w:rPr>
          <w:rFonts w:ascii="Times New Roman" w:hAnsi="Times New Roman" w:eastAsia="宋体" w:cs="Times New Roman"/>
          <w:b/>
          <w:szCs w:val="21"/>
        </w:rPr>
      </w:pPr>
      <w:bookmarkStart w:id="213" w:name="_Toc14594"/>
      <w:r>
        <w:rPr>
          <w:rFonts w:hint="eastAsia" w:ascii="Times New Roman" w:hAnsi="Times New Roman" w:eastAsia="宋体" w:cs="Times New Roman"/>
          <w:b/>
          <w:szCs w:val="21"/>
        </w:rPr>
        <w:t>（三）参考书目</w:t>
      </w:r>
      <w:bookmarkEnd w:id="213"/>
    </w:p>
    <w:p w14:paraId="23D62EB1">
      <w:pPr>
        <w:spacing w:line="360" w:lineRule="auto"/>
        <w:ind w:firstLine="525" w:firstLineChars="250"/>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惠中</w:t>
      </w:r>
      <w:r>
        <w:rPr>
          <w:rFonts w:ascii="宋体" w:hAnsi="宋体" w:eastAsia="宋体" w:cs="Times New Roman"/>
          <w:szCs w:val="21"/>
        </w:rPr>
        <w:t>.教师教育新视野: 本科学历小学教师培养模式初探.上海：上海科技教育出版社,最新版.</w:t>
      </w:r>
    </w:p>
    <w:p w14:paraId="6AC9FEC3">
      <w:pPr>
        <w:spacing w:line="360" w:lineRule="auto"/>
        <w:ind w:firstLine="525" w:firstLineChars="250"/>
        <w:jc w:val="left"/>
        <w:rPr>
          <w:rFonts w:hint="eastAsia" w:ascii="宋体" w:hAnsi="宋体" w:eastAsia="宋体" w:cs="Times New Roman"/>
          <w:szCs w:val="21"/>
        </w:rPr>
      </w:pPr>
      <w:r>
        <w:rPr>
          <w:rFonts w:ascii="宋体" w:hAnsi="宋体" w:eastAsia="宋体" w:cs="Times New Roman"/>
          <w:szCs w:val="21"/>
        </w:rPr>
        <w:t>2.[美]帕梅拉·格罗斯曼.专业化的教师是看样炼油成的.李广平，等译.北京：人民教育出版社，2012.</w:t>
      </w:r>
    </w:p>
    <w:p w14:paraId="623F5D19">
      <w:pPr>
        <w:spacing w:line="360" w:lineRule="auto"/>
        <w:ind w:firstLine="525" w:firstLineChars="250"/>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中华人民共和国教育部文件</w:t>
      </w:r>
      <w:r>
        <w:rPr>
          <w:rFonts w:ascii="宋体" w:hAnsi="宋体" w:eastAsia="宋体" w:cs="Times New Roman"/>
          <w:szCs w:val="21"/>
        </w:rPr>
        <w:t>.小学教师专业标准（试行）.</w:t>
      </w:r>
    </w:p>
    <w:p w14:paraId="33E37567">
      <w:pPr>
        <w:spacing w:line="360" w:lineRule="auto"/>
        <w:ind w:firstLine="525" w:firstLineChars="250"/>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中华人民共和国教育部文件</w:t>
      </w:r>
      <w:r>
        <w:rPr>
          <w:rFonts w:ascii="宋体" w:hAnsi="宋体" w:eastAsia="宋体" w:cs="Times New Roman"/>
          <w:szCs w:val="21"/>
        </w:rPr>
        <w:t>.教师资格条例.</w:t>
      </w:r>
    </w:p>
    <w:p w14:paraId="381BCAC8">
      <w:pPr>
        <w:rPr>
          <w:rFonts w:hint="eastAsia" w:ascii="等线" w:hAnsi="等线" w:eastAsia="等线" w:cs="Times New Roman"/>
          <w:szCs w:val="22"/>
        </w:rPr>
      </w:pPr>
    </w:p>
    <w:p w14:paraId="1D3F36BF">
      <w:pPr>
        <w:spacing w:line="360" w:lineRule="auto"/>
        <w:ind w:right="1200" w:firstLine="4830" w:firstLineChars="2300"/>
        <w:rPr>
          <w:rFonts w:ascii="Times New Roman" w:hAnsi="Times New Roman" w:eastAsia="宋体" w:cs="Times New Roman"/>
          <w:szCs w:val="21"/>
        </w:rPr>
      </w:pPr>
      <w:r>
        <w:rPr>
          <w:rFonts w:hint="eastAsia" w:ascii="Times New Roman" w:hAnsi="Times New Roman" w:eastAsia="宋体" w:cs="Times New Roman"/>
          <w:szCs w:val="21"/>
        </w:rPr>
        <w:t>执 笔 人：谢国忠</w:t>
      </w:r>
    </w:p>
    <w:p w14:paraId="1D23F9EE">
      <w:pPr>
        <w:wordWrap w:val="0"/>
        <w:spacing w:line="360" w:lineRule="auto"/>
        <w:ind w:right="1440" w:firstLine="4830" w:firstLineChars="2300"/>
        <w:rPr>
          <w:rFonts w:ascii="Times New Roman" w:hAnsi="Times New Roman" w:eastAsia="宋体" w:cs="Times New Roman"/>
          <w:szCs w:val="21"/>
        </w:rPr>
      </w:pPr>
      <w:r>
        <w:rPr>
          <w:rFonts w:hint="eastAsia" w:ascii="Times New Roman" w:hAnsi="Times New Roman" w:eastAsia="宋体" w:cs="Times New Roman"/>
          <w:szCs w:val="21"/>
        </w:rPr>
        <w:t>审 定 人：王  健</w:t>
      </w:r>
    </w:p>
    <w:p w14:paraId="0837F050">
      <w:pPr>
        <w:spacing w:line="360" w:lineRule="auto"/>
        <w:ind w:right="1200" w:firstLine="4830" w:firstLineChars="2300"/>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650AE029">
      <w:pPr>
        <w:spacing w:line="360" w:lineRule="auto"/>
        <w:ind w:firstLine="4830" w:firstLineChars="2300"/>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6D468073">
      <w:pPr>
        <w:rPr>
          <w:rFonts w:ascii="Times New Roman" w:hAnsi="Times New Roman" w:eastAsia="宋体" w:cs="Times New Roman"/>
          <w:b/>
          <w:sz w:val="36"/>
          <w:szCs w:val="36"/>
        </w:rPr>
      </w:pPr>
      <w:r>
        <w:rPr>
          <w:rFonts w:hint="eastAsia" w:ascii="Times New Roman" w:hAnsi="Times New Roman" w:eastAsia="宋体" w:cs="Times New Roman"/>
          <w:b/>
          <w:sz w:val="36"/>
          <w:szCs w:val="36"/>
        </w:rPr>
        <w:br w:type="page"/>
      </w:r>
    </w:p>
    <w:p w14:paraId="44BAA9C6">
      <w:pPr>
        <w:spacing w:line="360" w:lineRule="auto"/>
        <w:jc w:val="center"/>
        <w:outlineLvl w:val="0"/>
        <w:rPr>
          <w:rFonts w:ascii="Times New Roman" w:hAnsi="Times New Roman" w:eastAsia="宋体" w:cs="Times New Roman"/>
          <w:b/>
          <w:sz w:val="44"/>
          <w:szCs w:val="44"/>
        </w:rPr>
      </w:pPr>
      <w:bookmarkStart w:id="214" w:name="_Toc32307"/>
      <w:r>
        <w:rPr>
          <w:rFonts w:hint="eastAsia" w:ascii="Times New Roman" w:hAnsi="Times New Roman" w:eastAsia="宋体" w:cs="Times New Roman"/>
          <w:b/>
          <w:sz w:val="44"/>
          <w:szCs w:val="44"/>
        </w:rPr>
        <w:t>《大学生职业生涯规划》课程教学大纲</w:t>
      </w:r>
      <w:bookmarkEnd w:id="214"/>
    </w:p>
    <w:p w14:paraId="480FDD48">
      <w:pPr>
        <w:spacing w:line="360" w:lineRule="auto"/>
        <w:jc w:val="center"/>
        <w:rPr>
          <w:rFonts w:ascii="Times New Roman" w:hAnsi="Times New Roman" w:eastAsia="宋体" w:cs="Times New Roman"/>
          <w:b/>
          <w:bCs/>
          <w:sz w:val="28"/>
          <w:szCs w:val="28"/>
        </w:rPr>
      </w:pPr>
      <w:bookmarkStart w:id="215" w:name="_Toc10724"/>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Introduction to Professional Career Development</w:t>
      </w:r>
      <w:r>
        <w:rPr>
          <w:rFonts w:ascii="Times New Roman" w:hAnsi="Times New Roman" w:eastAsia="宋体" w:cs="Times New Roman"/>
          <w:b/>
          <w:bCs/>
          <w:sz w:val="28"/>
          <w:szCs w:val="28"/>
        </w:rPr>
        <w:t>）</w:t>
      </w:r>
      <w:bookmarkEnd w:id="215"/>
    </w:p>
    <w:p w14:paraId="23A8F085">
      <w:pPr>
        <w:spacing w:line="360" w:lineRule="auto"/>
        <w:jc w:val="center"/>
        <w:rPr>
          <w:rFonts w:ascii="Times New Roman" w:hAnsi="Times New Roman" w:eastAsia="宋体" w:cs="Times New Roman"/>
          <w:bCs/>
          <w:szCs w:val="21"/>
        </w:rPr>
      </w:pPr>
    </w:p>
    <w:p w14:paraId="231FDE3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课程名称：大学生职业生涯规划</w:t>
      </w:r>
    </w:p>
    <w:p w14:paraId="189D54F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课程代码：0000006</w:t>
      </w:r>
    </w:p>
    <w:p w14:paraId="66D0CE1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w:t>
      </w:r>
      <w:r>
        <w:rPr>
          <w:rFonts w:hint="eastAsia" w:ascii="Times New Roman" w:hAnsi="Times New Roman" w:eastAsia="宋体" w:cs="Times New Roman"/>
          <w:b/>
          <w:sz w:val="24"/>
        </w:rPr>
        <w:t>1</w:t>
      </w:r>
    </w:p>
    <w:p w14:paraId="737FEE3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w:t>
      </w:r>
      <w:r>
        <w:rPr>
          <w:rFonts w:hint="eastAsia" w:ascii="Times New Roman" w:hAnsi="Times New Roman" w:eastAsia="宋体" w:cs="Times New Roman"/>
          <w:b/>
          <w:sz w:val="24"/>
        </w:rPr>
        <w:t>16</w:t>
      </w:r>
      <w:r>
        <w:rPr>
          <w:rFonts w:ascii="Times New Roman" w:hAnsi="Times New Roman" w:eastAsia="宋体" w:cs="Times New Roman"/>
          <w:b/>
          <w:sz w:val="24"/>
        </w:rPr>
        <w:t xml:space="preserve"> （其中：讲授学时</w:t>
      </w:r>
      <w:r>
        <w:rPr>
          <w:rFonts w:hint="eastAsia" w:ascii="Times New Roman" w:hAnsi="Times New Roman" w:eastAsia="宋体" w:cs="Times New Roman"/>
          <w:b/>
          <w:sz w:val="24"/>
        </w:rPr>
        <w:t>16</w:t>
      </w:r>
      <w:r>
        <w:rPr>
          <w:rFonts w:ascii="Times New Roman" w:hAnsi="Times New Roman" w:eastAsia="宋体" w:cs="Times New Roman"/>
          <w:b/>
          <w:sz w:val="24"/>
        </w:rPr>
        <w:t>）</w:t>
      </w:r>
    </w:p>
    <w:p w14:paraId="0DE2E9A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先修课程：无</w:t>
      </w:r>
    </w:p>
    <w:p w14:paraId="552BA47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适用专业：所有本科专业</w:t>
      </w:r>
    </w:p>
    <w:p w14:paraId="0651EE9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103A933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面向全体本科专业开设的通识必修课。通过本课程的学习，唤醒学生的生涯规划意识，并通过理论知识的讲解、生涯工具的使用，帮助学生明确性格类型，并进行初步的职业探索，对本专业今后的就业做出合理的职业发展规划，为后续专业课程及专业实践环节奠定基础。</w:t>
      </w:r>
    </w:p>
    <w:p w14:paraId="322D4FBC">
      <w:pPr>
        <w:numPr>
          <w:ilvl w:val="0"/>
          <w:numId w:val="7"/>
        </w:numPr>
        <w:spacing w:before="62" w:beforeLines="20" w:after="62" w:afterLines="20" w:line="360" w:lineRule="auto"/>
        <w:ind w:firstLine="482" w:firstLineChars="200"/>
        <w:jc w:val="left"/>
        <w:rPr>
          <w:rFonts w:ascii="Times New Roman" w:hAnsi="Times New Roman" w:eastAsia="宋体" w:cs="Times New Roman"/>
          <w:b/>
          <w:sz w:val="24"/>
        </w:rPr>
      </w:pPr>
      <w:r>
        <w:rPr>
          <w:rFonts w:ascii="Times New Roman" w:hAnsi="Times New Roman" w:eastAsia="宋体" w:cs="Times New Roman"/>
          <w:b/>
          <w:sz w:val="24"/>
        </w:rPr>
        <w:t>课程目标</w:t>
      </w:r>
    </w:p>
    <w:p w14:paraId="0F58BB16">
      <w:pPr>
        <w:spacing w:before="62" w:beforeLines="20" w:after="62" w:afterLines="20" w:line="360" w:lineRule="auto"/>
        <w:ind w:firstLine="420" w:firstLineChars="200"/>
        <w:jc w:val="left"/>
        <w:rPr>
          <w:rFonts w:ascii="Times New Roman" w:hAnsi="Times New Roman" w:eastAsia="宋体" w:cs="Times New Roman"/>
          <w:b/>
          <w:sz w:val="24"/>
        </w:rPr>
      </w:pPr>
      <w:r>
        <w:rPr>
          <w:rFonts w:hint="eastAsia" w:ascii="Times New Roman" w:hAnsi="Times New Roman" w:eastAsia="宋体" w:cs="Times New Roman"/>
          <w:bCs/>
          <w:szCs w:val="21"/>
        </w:rPr>
        <w:t>目标1：构建大学生职业生涯发展的基础理论体系，使学生掌握职业生涯规划的基础知识和常用方法，树立正确的职业理想和职业观、择业观、创业观以及成才观。帮助学生从职业的角度了解所学专业、了解个人特点、了解社会需要，树立正确的成才观，立足本人实际，把个人发展和经济社会发展结合起来，热爱专业，增强职业生涯成功的自信心</w:t>
      </w:r>
      <w:r>
        <w:rPr>
          <w:rFonts w:hint="eastAsia" w:ascii="Times New Roman" w:hAnsi="Times New Roman" w:eastAsia="宋体" w:cs="Times New Roman"/>
          <w:b/>
          <w:sz w:val="24"/>
        </w:rPr>
        <w:t>。</w:t>
      </w:r>
    </w:p>
    <w:p w14:paraId="5A0E0206">
      <w:pPr>
        <w:spacing w:before="62" w:beforeLines="20" w:after="62" w:afterLines="20" w:line="360" w:lineRule="auto"/>
        <w:ind w:firstLine="420" w:firstLineChars="200"/>
        <w:jc w:val="left"/>
        <w:rPr>
          <w:rFonts w:ascii="Times New Roman" w:hAnsi="Times New Roman" w:eastAsia="宋体" w:cs="Times New Roman"/>
          <w:b/>
          <w:sz w:val="24"/>
        </w:rPr>
      </w:pPr>
      <w:r>
        <w:rPr>
          <w:rFonts w:hint="eastAsia" w:ascii="宋体" w:hAnsi="宋体" w:eastAsia="宋体" w:cs="宋体"/>
          <w:kern w:val="0"/>
          <w:szCs w:val="21"/>
          <w:lang w:val="zh-CN" w:bidi="zh-CN"/>
        </w:rPr>
        <w:t>目标2：通过职业生涯教育校内外导师的分别授课及生涯基地（企业）的参观体验，打造理论教学与实践教学相结合的双课堂模式。形成职业生涯规划的能力，增强提高职业素质和职业能力的自觉性，使学生理解职业生涯规划管理和调整对实现职业理想的重要性，明确在校学习与终身学习、职业生涯发展的关系，引导学生根据经济社会发展和自身条件变化，对职业生涯规划进行科学管理与适时调整。</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237"/>
        <w:gridCol w:w="1327"/>
      </w:tblGrid>
      <w:tr w14:paraId="4DA1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6670818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237" w:type="dxa"/>
            <w:vAlign w:val="center"/>
          </w:tcPr>
          <w:p w14:paraId="0525568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047668D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CC2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553410AE">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1：师德规范</w:t>
            </w:r>
          </w:p>
        </w:tc>
        <w:tc>
          <w:tcPr>
            <w:tcW w:w="6237" w:type="dxa"/>
            <w:vAlign w:val="center"/>
          </w:tcPr>
          <w:p w14:paraId="4970BA47">
            <w:pPr>
              <w:widowControl/>
              <w:autoSpaceDE w:val="0"/>
              <w:autoSpaceDN w:val="0"/>
              <w:rPr>
                <w:kern w:val="0"/>
                <w:szCs w:val="21"/>
              </w:rPr>
            </w:pPr>
            <w:r>
              <w:rPr>
                <w:rFonts w:hint="eastAsia" w:ascii="宋体" w:hAnsi="宋体" w:cs="宋体"/>
                <w:kern w:val="0"/>
                <w:szCs w:val="21"/>
              </w:rPr>
              <w:t>指标点1-2：【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327" w:type="dxa"/>
            <w:vAlign w:val="center"/>
          </w:tcPr>
          <w:p w14:paraId="04A7122F">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18714721">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、2</w:t>
            </w:r>
          </w:p>
        </w:tc>
      </w:tr>
      <w:tr w14:paraId="048C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5C4FC0A8">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2：教育情怀</w:t>
            </w:r>
          </w:p>
        </w:tc>
        <w:tc>
          <w:tcPr>
            <w:tcW w:w="6237" w:type="dxa"/>
            <w:vAlign w:val="center"/>
          </w:tcPr>
          <w:p w14:paraId="7A9EDA80">
            <w:pPr>
              <w:spacing w:line="276" w:lineRule="auto"/>
              <w:jc w:val="left"/>
              <w:rPr>
                <w:rFonts w:ascii="Times New Roman" w:hAnsi="Times New Roman" w:eastAsia="宋体" w:cs="Times New Roman"/>
                <w:szCs w:val="21"/>
              </w:rPr>
            </w:pPr>
            <w:r>
              <w:rPr>
                <w:rFonts w:hint="eastAsia" w:ascii="宋体" w:hAnsi="宋体" w:eastAsia="宋体" w:cs="宋体"/>
                <w:kern w:val="0"/>
                <w:szCs w:val="21"/>
              </w:rPr>
              <w:t>指标点2-1：【职业认同感强】具有家国情怀，热爱教育事业，秉持“坚忍诚勇，立己达人”的师范精神，践行教育家精神，乐于从教，热爱教育事业，具有较高的教师职业认同感，认同教师职业的意义、价值与专业性。</w:t>
            </w:r>
          </w:p>
        </w:tc>
        <w:tc>
          <w:tcPr>
            <w:tcW w:w="1327" w:type="dxa"/>
            <w:vAlign w:val="center"/>
          </w:tcPr>
          <w:p w14:paraId="3B3148CD">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6CC2B45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tc>
      </w:tr>
      <w:tr w14:paraId="248D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19F4CE96">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7</w:t>
            </w:r>
            <w:r>
              <w:rPr>
                <w:rFonts w:hint="eastAsia" w:ascii="Times New Roman" w:hAnsi="Times New Roman" w:eastAsia="宋体" w:cs="Times New Roman"/>
                <w:szCs w:val="21"/>
              </w:rPr>
              <w:t>：</w:t>
            </w:r>
            <w:r>
              <w:rPr>
                <w:rFonts w:ascii="Times New Roman" w:hAnsi="Times New Roman" w:eastAsia="宋体" w:cs="Times New Roman"/>
                <w:szCs w:val="21"/>
              </w:rPr>
              <w:t>学会反思</w:t>
            </w:r>
          </w:p>
        </w:tc>
        <w:tc>
          <w:tcPr>
            <w:tcW w:w="6237" w:type="dxa"/>
            <w:vAlign w:val="center"/>
          </w:tcPr>
          <w:p w14:paraId="5FA60EAE">
            <w:pPr>
              <w:spacing w:line="276" w:lineRule="auto"/>
              <w:jc w:val="left"/>
              <w:rPr>
                <w:rFonts w:ascii="Times New Roman" w:hAnsi="Times New Roman" w:eastAsia="宋体" w:cs="Times New Roman"/>
                <w:szCs w:val="21"/>
              </w:rPr>
            </w:pPr>
            <w:r>
              <w:rPr>
                <w:rFonts w:hint="eastAsia" w:ascii="宋体" w:hAnsi="宋体" w:eastAsia="宋体" w:cs="Times New Roman"/>
                <w:spacing w:val="2"/>
                <w:kern w:val="0"/>
                <w:szCs w:val="21"/>
              </w:rPr>
              <w:t>指标点</w:t>
            </w:r>
            <w:r>
              <w:rPr>
                <w:rFonts w:ascii="宋体" w:hAnsi="宋体" w:eastAsia="宋体" w:cs="Times New Roman"/>
                <w:spacing w:val="2"/>
                <w:kern w:val="0"/>
                <w:szCs w:val="21"/>
              </w:rPr>
              <w:t>7-2：【职业规划合理】了解教师专业发展的要求，形成终身学习的意识和习惯，注重自身的专业发展，根据基础教育课程改革的动态和发展情况，进行职业生涯规划和自主学习。</w:t>
            </w:r>
          </w:p>
        </w:tc>
        <w:tc>
          <w:tcPr>
            <w:tcW w:w="1327" w:type="dxa"/>
            <w:vAlign w:val="center"/>
          </w:tcPr>
          <w:p w14:paraId="008E2047">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6778E8F5">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bl>
    <w:p w14:paraId="714EAD65">
      <w:pPr>
        <w:autoSpaceDE w:val="0"/>
        <w:autoSpaceDN w:val="0"/>
        <w:spacing w:line="360" w:lineRule="auto"/>
        <w:outlineLvl w:val="1"/>
        <w:rPr>
          <w:rFonts w:hint="eastAsia" w:ascii="宋体" w:hAnsi="宋体" w:eastAsia="宋体" w:cs="宋体"/>
          <w:b/>
          <w:bCs/>
          <w:kern w:val="0"/>
          <w:sz w:val="24"/>
          <w:lang w:val="zh-CN" w:bidi="zh-CN"/>
        </w:rPr>
      </w:pPr>
      <w:r>
        <w:rPr>
          <w:rFonts w:hint="eastAsia" w:ascii="宋体" w:hAnsi="宋体" w:eastAsia="宋体" w:cs="宋体"/>
          <w:b/>
          <w:bCs/>
          <w:kern w:val="0"/>
          <w:sz w:val="24"/>
          <w:lang w:val="zh-CN" w:bidi="zh-CN"/>
        </w:rPr>
        <w:t>三、课程内容及要求</w:t>
      </w:r>
    </w:p>
    <w:p w14:paraId="725EED6E">
      <w:pPr>
        <w:autoSpaceDE w:val="0"/>
        <w:autoSpaceDN w:val="0"/>
        <w:spacing w:line="360" w:lineRule="auto"/>
        <w:ind w:firstLine="422" w:firstLineChars="200"/>
        <w:rPr>
          <w:rFonts w:hint="eastAsia" w:ascii="宋体" w:hAnsi="宋体" w:eastAsia="宋体" w:cs="宋体"/>
          <w:b/>
          <w:kern w:val="0"/>
          <w:szCs w:val="21"/>
          <w:lang w:bidi="zh-CN"/>
        </w:rPr>
      </w:pPr>
      <w:r>
        <w:rPr>
          <w:rFonts w:hint="eastAsia" w:ascii="宋体" w:hAnsi="宋体" w:eastAsia="宋体" w:cs="宋体"/>
          <w:b/>
          <w:kern w:val="0"/>
          <w:szCs w:val="21"/>
          <w:lang w:bidi="zh-CN"/>
        </w:rPr>
        <w:t>（一）觉知与承诺</w:t>
      </w:r>
    </w:p>
    <w:p w14:paraId="3EC78AF9">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1.基本内容：什么是职业生涯规划（What）、职业生涯规划对人生的意义（Why）、系统职业生涯规划的方法（How）。</w:t>
      </w:r>
    </w:p>
    <w:p w14:paraId="082B4F99">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2.基本要求: 讲解生涯规划的基本理念、明确学生生涯规划任务。</w:t>
      </w:r>
    </w:p>
    <w:p w14:paraId="00994B98">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3.重点：帮助引起学生的自我规划意识。</w:t>
      </w:r>
    </w:p>
    <w:p w14:paraId="13F5C3BD">
      <w:pPr>
        <w:autoSpaceDE w:val="0"/>
        <w:autoSpaceDN w:val="0"/>
        <w:spacing w:line="360" w:lineRule="auto"/>
        <w:ind w:firstLine="422" w:firstLineChars="200"/>
        <w:rPr>
          <w:rFonts w:hint="eastAsia" w:ascii="宋体" w:hAnsi="宋体" w:eastAsia="宋体" w:cs="宋体"/>
          <w:b/>
          <w:kern w:val="0"/>
          <w:szCs w:val="21"/>
          <w:lang w:bidi="zh-CN"/>
        </w:rPr>
      </w:pPr>
      <w:r>
        <w:rPr>
          <w:rFonts w:hint="eastAsia" w:ascii="宋体" w:hAnsi="宋体" w:eastAsia="宋体" w:cs="宋体"/>
          <w:b/>
          <w:kern w:val="0"/>
          <w:szCs w:val="21"/>
          <w:lang w:bidi="zh-CN"/>
        </w:rPr>
        <w:t>（二）兴趣探索与性格探索</w:t>
      </w:r>
    </w:p>
    <w:p w14:paraId="5662E202">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1.基本内容：兴趣与技能、职业兴趣的分类、职业兴趣与职业匹配、职业兴趣的评估方式；性格的定义、性格的分类、性格与职业的匹配、性格的评估方式。</w:t>
      </w:r>
    </w:p>
    <w:p w14:paraId="2A853C7C">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2.基本要求：掌握至少一种探索兴趣的方式和方法、分清兴趣与技能之间的关系；明确学习性格的意义、帮助学生明确性格探索和未来职业选择之间的关系、正确认识性格及进行性格评估。</w:t>
      </w:r>
    </w:p>
    <w:p w14:paraId="546E236F">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3.重点：掌握霍兰德职业兴趣理论和职业指导价值；尝试进行MBTI职业性格测试及人格分析。</w:t>
      </w:r>
    </w:p>
    <w:p w14:paraId="2052309E">
      <w:pPr>
        <w:autoSpaceDE w:val="0"/>
        <w:autoSpaceDN w:val="0"/>
        <w:spacing w:line="360" w:lineRule="auto"/>
        <w:ind w:firstLine="422" w:firstLineChars="200"/>
        <w:rPr>
          <w:rFonts w:hint="eastAsia" w:ascii="宋体" w:hAnsi="宋体" w:eastAsia="宋体" w:cs="宋体"/>
          <w:b/>
          <w:kern w:val="0"/>
          <w:szCs w:val="21"/>
          <w:lang w:bidi="zh-CN"/>
        </w:rPr>
      </w:pPr>
      <w:r>
        <w:rPr>
          <w:rFonts w:hint="eastAsia" w:ascii="宋体" w:hAnsi="宋体" w:eastAsia="宋体" w:cs="宋体"/>
          <w:b/>
          <w:kern w:val="0"/>
          <w:szCs w:val="21"/>
          <w:lang w:bidi="zh-CN"/>
        </w:rPr>
        <w:t>（三）技能探索、价值观探索与工作世界探索</w:t>
      </w:r>
    </w:p>
    <w:p w14:paraId="0C1FE855">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1.基本内容：技能的概念、技能与职业匹配；什么是价值观、价值观与需要、价值观与职业匹配。明确收集职业信息的方法、学会指导学生利用生涯人物访谈来获取职业信息，指导职业选择。</w:t>
      </w:r>
    </w:p>
    <w:p w14:paraId="3F20AA91">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2.基本要求：技能的评估方式、价值观的评估方式、帮助学生认识到价值观对个人职业选择和发展的影响、让学生认识价值观与个人需要及人生不同阶段目标之间的关系；掌握激发学生职业好奇，引导学生拓展职业视野的方法，调动学生探索职业世界的积极性、主动性。</w:t>
      </w:r>
    </w:p>
    <w:p w14:paraId="633C6486">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3.重点：能够帮助学生澄清自我技能和未来技能的发展方向、知道如何借助价值观交换等活动对价值观进行澄清和排序；帮助学生认识到学习实践的生涯价值，指导学生通过实习实践深化职业体验，验证职业偏好。</w:t>
      </w:r>
    </w:p>
    <w:p w14:paraId="1EE95F72">
      <w:pPr>
        <w:autoSpaceDE w:val="0"/>
        <w:autoSpaceDN w:val="0"/>
        <w:spacing w:line="360" w:lineRule="auto"/>
        <w:ind w:firstLine="422" w:firstLineChars="200"/>
        <w:rPr>
          <w:rFonts w:hint="eastAsia" w:ascii="宋体" w:hAnsi="宋体" w:eastAsia="宋体" w:cs="宋体"/>
          <w:b/>
          <w:kern w:val="0"/>
          <w:szCs w:val="21"/>
          <w:lang w:bidi="zh-CN"/>
        </w:rPr>
      </w:pPr>
      <w:r>
        <w:rPr>
          <w:rFonts w:hint="eastAsia" w:ascii="宋体" w:hAnsi="宋体" w:eastAsia="宋体" w:cs="宋体"/>
          <w:b/>
          <w:kern w:val="0"/>
          <w:szCs w:val="21"/>
          <w:lang w:bidi="zh-CN"/>
        </w:rPr>
        <w:t>（四）决策、行动与学业规划</w:t>
      </w:r>
    </w:p>
    <w:p w14:paraId="79FF4811">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1.基本内容：理解决策内涵及影响决策的因素；指导学生全方位进行学业规划，掌握学业规划的维度、原则与步骤。指导学生撰写生涯规划书。</w:t>
      </w:r>
    </w:p>
    <w:p w14:paraId="517CA218">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2.基本要求：帮助学生在前期探索的基础上，确立大学期间的学业目标，将客观信息与主管直觉、现实制约与未来可能、价值收获与风险责任结合起来做出决策，做出全面系统的学业规划安排。</w:t>
      </w:r>
    </w:p>
    <w:p w14:paraId="35635E8B">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3.重点：指导学生用SMART原则确立目标，并制定短、中、长期计划；撰写职业生涯规划书。</w:t>
      </w:r>
    </w:p>
    <w:p w14:paraId="402EBC95">
      <w:pPr>
        <w:autoSpaceDE w:val="0"/>
        <w:autoSpaceDN w:val="0"/>
        <w:spacing w:line="360" w:lineRule="auto"/>
        <w:ind w:firstLine="422" w:firstLineChars="200"/>
        <w:rPr>
          <w:rFonts w:hint="eastAsia" w:ascii="宋体" w:hAnsi="宋体" w:eastAsia="宋体" w:cs="宋体"/>
          <w:b/>
          <w:kern w:val="0"/>
          <w:szCs w:val="21"/>
          <w:lang w:bidi="zh-CN"/>
        </w:rPr>
      </w:pPr>
      <w:r>
        <w:rPr>
          <w:rFonts w:hint="eastAsia" w:ascii="宋体" w:hAnsi="宋体" w:eastAsia="宋体" w:cs="宋体"/>
          <w:b/>
          <w:kern w:val="0"/>
          <w:szCs w:val="21"/>
          <w:lang w:bidi="zh-CN"/>
        </w:rPr>
        <w:t>（五）专家讲座</w:t>
      </w:r>
    </w:p>
    <w:p w14:paraId="5C0581E9">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可以邀请职业生涯校外导师、成功校友企业家、资深企业HR为学生开展讲座。</w:t>
      </w:r>
    </w:p>
    <w:p w14:paraId="5A55A30E">
      <w:pPr>
        <w:autoSpaceDE w:val="0"/>
        <w:autoSpaceDN w:val="0"/>
        <w:spacing w:line="360" w:lineRule="auto"/>
        <w:ind w:firstLine="422" w:firstLineChars="200"/>
        <w:rPr>
          <w:rFonts w:hint="eastAsia" w:ascii="宋体" w:hAnsi="宋体" w:eastAsia="宋体" w:cs="宋体"/>
          <w:b/>
          <w:kern w:val="0"/>
          <w:szCs w:val="21"/>
          <w:lang w:bidi="zh-CN"/>
        </w:rPr>
      </w:pPr>
      <w:r>
        <w:rPr>
          <w:rFonts w:hint="eastAsia" w:ascii="宋体" w:hAnsi="宋体" w:eastAsia="宋体" w:cs="宋体"/>
          <w:b/>
          <w:kern w:val="0"/>
          <w:szCs w:val="21"/>
          <w:lang w:bidi="zh-CN"/>
        </w:rPr>
        <w:t>（六）实践教学</w:t>
      </w:r>
    </w:p>
    <w:p w14:paraId="225D4101">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参观职业生涯实践基地；观看符合教学内容及教学需求的视频、影片等。</w:t>
      </w:r>
    </w:p>
    <w:p w14:paraId="6E9392EF">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val="zh-CN" w:bidi="zh-CN"/>
        </w:rPr>
        <w:t>教学内容与课程目标的对应关系及学时分配如表所示</w:t>
      </w:r>
    </w:p>
    <w:tbl>
      <w:tblPr>
        <w:tblStyle w:val="11"/>
        <w:tblW w:w="0" w:type="auto"/>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6663"/>
        <w:gridCol w:w="1134"/>
      </w:tblGrid>
      <w:tr w14:paraId="4DCAB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3" w:type="dxa"/>
            <w:vAlign w:val="center"/>
          </w:tcPr>
          <w:p w14:paraId="2E78D748">
            <w:pPr>
              <w:autoSpaceDE w:val="0"/>
              <w:autoSpaceDN w:val="0"/>
              <w:spacing w:before="178"/>
              <w:ind w:left="139" w:right="130"/>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序号</w:t>
            </w:r>
          </w:p>
        </w:tc>
        <w:tc>
          <w:tcPr>
            <w:tcW w:w="6663" w:type="dxa"/>
            <w:vAlign w:val="center"/>
          </w:tcPr>
          <w:p w14:paraId="6CE7B3C1">
            <w:pPr>
              <w:autoSpaceDE w:val="0"/>
              <w:autoSpaceDN w:val="0"/>
              <w:spacing w:before="43"/>
              <w:ind w:left="88"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教学内容</w:t>
            </w:r>
          </w:p>
        </w:tc>
        <w:tc>
          <w:tcPr>
            <w:tcW w:w="1134" w:type="dxa"/>
            <w:vAlign w:val="center"/>
          </w:tcPr>
          <w:p w14:paraId="0FE7E1B6">
            <w:pPr>
              <w:autoSpaceDE w:val="0"/>
              <w:autoSpaceDN w:val="0"/>
              <w:spacing w:before="22"/>
              <w:ind w:left="149"/>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讲授学时</w:t>
            </w:r>
          </w:p>
        </w:tc>
      </w:tr>
      <w:tr w14:paraId="69F92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03" w:type="dxa"/>
            <w:vAlign w:val="center"/>
          </w:tcPr>
          <w:p w14:paraId="7561302A">
            <w:pPr>
              <w:autoSpaceDE w:val="0"/>
              <w:autoSpaceDN w:val="0"/>
              <w:spacing w:before="112"/>
              <w:ind w:left="11"/>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1</w:t>
            </w:r>
          </w:p>
        </w:tc>
        <w:tc>
          <w:tcPr>
            <w:tcW w:w="6663" w:type="dxa"/>
            <w:vAlign w:val="center"/>
          </w:tcPr>
          <w:p w14:paraId="2C81A489">
            <w:pPr>
              <w:autoSpaceDE w:val="0"/>
              <w:autoSpaceDN w:val="0"/>
              <w:spacing w:before="106"/>
              <w:ind w:left="87"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内容（一）认识职业生涯规划</w:t>
            </w:r>
          </w:p>
        </w:tc>
        <w:tc>
          <w:tcPr>
            <w:tcW w:w="1134" w:type="dxa"/>
            <w:vAlign w:val="center"/>
          </w:tcPr>
          <w:p w14:paraId="0491D731">
            <w:pPr>
              <w:autoSpaceDE w:val="0"/>
              <w:autoSpaceDN w:val="0"/>
              <w:spacing w:before="112"/>
              <w:ind w:right="291"/>
              <w:jc w:val="center"/>
              <w:rPr>
                <w:rFonts w:hint="eastAsia" w:ascii="宋体" w:hAnsi="宋体" w:eastAsia="宋体" w:cs="宋体"/>
                <w:kern w:val="0"/>
                <w:szCs w:val="21"/>
                <w:lang w:bidi="zh-CN"/>
              </w:rPr>
            </w:pPr>
            <w:r>
              <w:rPr>
                <w:rFonts w:hint="eastAsia" w:ascii="宋体" w:hAnsi="宋体" w:eastAsia="宋体" w:cs="宋体"/>
                <w:kern w:val="0"/>
                <w:szCs w:val="21"/>
                <w:lang w:bidi="zh-CN"/>
              </w:rPr>
              <w:t xml:space="preserve">  2</w:t>
            </w:r>
          </w:p>
        </w:tc>
      </w:tr>
      <w:tr w14:paraId="02B4C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167AA0C0">
            <w:pPr>
              <w:autoSpaceDE w:val="0"/>
              <w:autoSpaceDN w:val="0"/>
              <w:spacing w:before="107"/>
              <w:ind w:left="11"/>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2</w:t>
            </w:r>
          </w:p>
        </w:tc>
        <w:tc>
          <w:tcPr>
            <w:tcW w:w="6663" w:type="dxa"/>
            <w:vAlign w:val="center"/>
          </w:tcPr>
          <w:p w14:paraId="7975B552">
            <w:pPr>
              <w:autoSpaceDE w:val="0"/>
              <w:autoSpaceDN w:val="0"/>
              <w:spacing w:before="107"/>
              <w:ind w:left="84"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内容（二）职业兴趣</w:t>
            </w:r>
          </w:p>
        </w:tc>
        <w:tc>
          <w:tcPr>
            <w:tcW w:w="1134" w:type="dxa"/>
            <w:vAlign w:val="center"/>
          </w:tcPr>
          <w:p w14:paraId="33BA073F">
            <w:pPr>
              <w:autoSpaceDE w:val="0"/>
              <w:autoSpaceDN w:val="0"/>
              <w:spacing w:before="107"/>
              <w:ind w:right="291"/>
              <w:jc w:val="center"/>
              <w:rPr>
                <w:rFonts w:hint="eastAsia" w:ascii="宋体" w:hAnsi="宋体" w:eastAsia="宋体" w:cs="宋体"/>
                <w:kern w:val="0"/>
                <w:szCs w:val="21"/>
                <w:lang w:val="zh-CN" w:bidi="zh-CN"/>
              </w:rPr>
            </w:pPr>
            <w:r>
              <w:rPr>
                <w:rFonts w:hint="eastAsia" w:ascii="宋体" w:hAnsi="宋体" w:eastAsia="宋体" w:cs="宋体"/>
                <w:kern w:val="0"/>
                <w:szCs w:val="21"/>
                <w:lang w:bidi="zh-CN"/>
              </w:rPr>
              <w:t xml:space="preserve">  2</w:t>
            </w:r>
          </w:p>
        </w:tc>
      </w:tr>
      <w:tr w14:paraId="3D68E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003" w:type="dxa"/>
            <w:vAlign w:val="center"/>
          </w:tcPr>
          <w:p w14:paraId="6CC8E5A3">
            <w:pPr>
              <w:autoSpaceDE w:val="0"/>
              <w:autoSpaceDN w:val="0"/>
              <w:spacing w:before="107"/>
              <w:ind w:left="11"/>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3</w:t>
            </w:r>
          </w:p>
        </w:tc>
        <w:tc>
          <w:tcPr>
            <w:tcW w:w="6663" w:type="dxa"/>
            <w:vAlign w:val="center"/>
          </w:tcPr>
          <w:p w14:paraId="721EA250">
            <w:pPr>
              <w:autoSpaceDE w:val="0"/>
              <w:autoSpaceDN w:val="0"/>
              <w:spacing w:before="25"/>
              <w:ind w:left="87"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内容（三）职业性格</w:t>
            </w:r>
          </w:p>
        </w:tc>
        <w:tc>
          <w:tcPr>
            <w:tcW w:w="1134" w:type="dxa"/>
            <w:vAlign w:val="center"/>
          </w:tcPr>
          <w:p w14:paraId="1C45D0D3">
            <w:pPr>
              <w:autoSpaceDE w:val="0"/>
              <w:autoSpaceDN w:val="0"/>
              <w:spacing w:before="107"/>
              <w:ind w:right="291"/>
              <w:jc w:val="center"/>
              <w:rPr>
                <w:rFonts w:hint="eastAsia" w:ascii="宋体" w:hAnsi="宋体" w:eastAsia="宋体" w:cs="宋体"/>
                <w:kern w:val="0"/>
                <w:szCs w:val="21"/>
                <w:lang w:val="zh-CN" w:bidi="zh-CN"/>
              </w:rPr>
            </w:pPr>
            <w:r>
              <w:rPr>
                <w:rFonts w:hint="eastAsia" w:ascii="宋体" w:hAnsi="宋体" w:eastAsia="宋体" w:cs="宋体"/>
                <w:kern w:val="0"/>
                <w:szCs w:val="21"/>
                <w:lang w:bidi="zh-CN"/>
              </w:rPr>
              <w:t xml:space="preserve">  2</w:t>
            </w:r>
          </w:p>
        </w:tc>
      </w:tr>
      <w:tr w14:paraId="1C9B6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03" w:type="dxa"/>
            <w:vAlign w:val="center"/>
          </w:tcPr>
          <w:p w14:paraId="7CAF1289">
            <w:pPr>
              <w:autoSpaceDE w:val="0"/>
              <w:autoSpaceDN w:val="0"/>
              <w:spacing w:before="112"/>
              <w:ind w:left="11"/>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4</w:t>
            </w:r>
          </w:p>
        </w:tc>
        <w:tc>
          <w:tcPr>
            <w:tcW w:w="6663" w:type="dxa"/>
            <w:vAlign w:val="center"/>
          </w:tcPr>
          <w:p w14:paraId="63670861">
            <w:pPr>
              <w:autoSpaceDE w:val="0"/>
              <w:autoSpaceDN w:val="0"/>
              <w:spacing w:before="22"/>
              <w:ind w:left="87"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内容（四）职业技能</w:t>
            </w:r>
          </w:p>
        </w:tc>
        <w:tc>
          <w:tcPr>
            <w:tcW w:w="1134" w:type="dxa"/>
            <w:vAlign w:val="center"/>
          </w:tcPr>
          <w:p w14:paraId="02B95FC3">
            <w:pPr>
              <w:autoSpaceDE w:val="0"/>
              <w:autoSpaceDN w:val="0"/>
              <w:spacing w:before="112"/>
              <w:ind w:right="291"/>
              <w:jc w:val="center"/>
              <w:rPr>
                <w:rFonts w:hint="eastAsia" w:ascii="宋体" w:hAnsi="宋体" w:eastAsia="宋体" w:cs="宋体"/>
                <w:kern w:val="0"/>
                <w:szCs w:val="21"/>
                <w:lang w:val="zh-CN" w:bidi="zh-CN"/>
              </w:rPr>
            </w:pPr>
            <w:r>
              <w:rPr>
                <w:rFonts w:hint="eastAsia" w:ascii="宋体" w:hAnsi="宋体" w:eastAsia="宋体" w:cs="宋体"/>
                <w:kern w:val="0"/>
                <w:szCs w:val="21"/>
                <w:lang w:bidi="zh-CN"/>
              </w:rPr>
              <w:t xml:space="preserve">  2</w:t>
            </w:r>
          </w:p>
        </w:tc>
      </w:tr>
      <w:tr w14:paraId="5E524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11946D68">
            <w:pPr>
              <w:autoSpaceDE w:val="0"/>
              <w:autoSpaceDN w:val="0"/>
              <w:spacing w:before="104"/>
              <w:ind w:left="11"/>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5</w:t>
            </w:r>
          </w:p>
        </w:tc>
        <w:tc>
          <w:tcPr>
            <w:tcW w:w="6663" w:type="dxa"/>
            <w:vAlign w:val="center"/>
          </w:tcPr>
          <w:p w14:paraId="0635E1F6">
            <w:pPr>
              <w:autoSpaceDE w:val="0"/>
              <w:autoSpaceDN w:val="0"/>
              <w:spacing w:before="22"/>
              <w:ind w:left="87"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内容（五）价值观</w:t>
            </w:r>
          </w:p>
        </w:tc>
        <w:tc>
          <w:tcPr>
            <w:tcW w:w="1134" w:type="dxa"/>
            <w:vAlign w:val="center"/>
          </w:tcPr>
          <w:p w14:paraId="5C2A502A">
            <w:pPr>
              <w:autoSpaceDE w:val="0"/>
              <w:autoSpaceDN w:val="0"/>
              <w:spacing w:before="104"/>
              <w:ind w:right="291"/>
              <w:jc w:val="center"/>
              <w:rPr>
                <w:rFonts w:hint="eastAsia" w:ascii="宋体" w:hAnsi="宋体" w:eastAsia="宋体" w:cs="宋体"/>
                <w:kern w:val="0"/>
                <w:szCs w:val="21"/>
                <w:lang w:bidi="zh-CN"/>
              </w:rPr>
            </w:pPr>
            <w:r>
              <w:rPr>
                <w:rFonts w:hint="eastAsia" w:ascii="宋体" w:hAnsi="宋体" w:eastAsia="宋体" w:cs="宋体"/>
                <w:kern w:val="0"/>
                <w:szCs w:val="21"/>
                <w:lang w:bidi="zh-CN"/>
              </w:rPr>
              <w:t xml:space="preserve">  2</w:t>
            </w:r>
          </w:p>
        </w:tc>
      </w:tr>
      <w:tr w14:paraId="46E2C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1532F615">
            <w:pPr>
              <w:autoSpaceDE w:val="0"/>
              <w:autoSpaceDN w:val="0"/>
              <w:spacing w:before="104"/>
              <w:ind w:left="11"/>
              <w:jc w:val="center"/>
              <w:rPr>
                <w:rFonts w:hint="eastAsia" w:ascii="宋体" w:hAnsi="宋体" w:eastAsia="宋体" w:cs="宋体"/>
                <w:kern w:val="0"/>
                <w:szCs w:val="21"/>
                <w:lang w:bidi="zh-CN"/>
              </w:rPr>
            </w:pPr>
            <w:r>
              <w:rPr>
                <w:rFonts w:hint="eastAsia" w:ascii="宋体" w:hAnsi="宋体" w:eastAsia="宋体" w:cs="宋体"/>
                <w:kern w:val="0"/>
                <w:szCs w:val="21"/>
                <w:lang w:bidi="zh-CN"/>
              </w:rPr>
              <w:t>6</w:t>
            </w:r>
          </w:p>
        </w:tc>
        <w:tc>
          <w:tcPr>
            <w:tcW w:w="6663" w:type="dxa"/>
            <w:vAlign w:val="center"/>
          </w:tcPr>
          <w:p w14:paraId="5F17371A">
            <w:pPr>
              <w:autoSpaceDE w:val="0"/>
              <w:autoSpaceDN w:val="0"/>
              <w:spacing w:before="22"/>
              <w:ind w:left="87"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内容（六）探索外部世界</w:t>
            </w:r>
          </w:p>
        </w:tc>
        <w:tc>
          <w:tcPr>
            <w:tcW w:w="1134" w:type="dxa"/>
            <w:vAlign w:val="center"/>
          </w:tcPr>
          <w:p w14:paraId="18A9D87C">
            <w:pPr>
              <w:autoSpaceDE w:val="0"/>
              <w:autoSpaceDN w:val="0"/>
              <w:spacing w:before="104"/>
              <w:ind w:right="291"/>
              <w:jc w:val="center"/>
              <w:rPr>
                <w:rFonts w:hint="eastAsia" w:ascii="宋体" w:hAnsi="宋体" w:eastAsia="宋体" w:cs="宋体"/>
                <w:kern w:val="0"/>
                <w:szCs w:val="21"/>
                <w:lang w:bidi="zh-CN"/>
              </w:rPr>
            </w:pPr>
            <w:r>
              <w:rPr>
                <w:rFonts w:hint="eastAsia" w:ascii="宋体" w:hAnsi="宋体" w:eastAsia="宋体" w:cs="宋体"/>
                <w:kern w:val="0"/>
                <w:szCs w:val="21"/>
                <w:lang w:bidi="zh-CN"/>
              </w:rPr>
              <w:t xml:space="preserve">  2</w:t>
            </w:r>
          </w:p>
        </w:tc>
      </w:tr>
      <w:tr w14:paraId="76E45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03EF6722">
            <w:pPr>
              <w:autoSpaceDE w:val="0"/>
              <w:autoSpaceDN w:val="0"/>
              <w:spacing w:before="104"/>
              <w:ind w:left="11"/>
              <w:jc w:val="center"/>
              <w:rPr>
                <w:rFonts w:hint="eastAsia" w:ascii="宋体" w:hAnsi="宋体" w:eastAsia="宋体" w:cs="宋体"/>
                <w:kern w:val="0"/>
                <w:szCs w:val="21"/>
                <w:lang w:bidi="zh-CN"/>
              </w:rPr>
            </w:pPr>
            <w:r>
              <w:rPr>
                <w:rFonts w:hint="eastAsia" w:ascii="宋体" w:hAnsi="宋体" w:eastAsia="宋体" w:cs="宋体"/>
                <w:kern w:val="0"/>
                <w:szCs w:val="21"/>
                <w:lang w:bidi="zh-CN"/>
              </w:rPr>
              <w:t>7</w:t>
            </w:r>
          </w:p>
        </w:tc>
        <w:tc>
          <w:tcPr>
            <w:tcW w:w="6663" w:type="dxa"/>
            <w:vAlign w:val="center"/>
          </w:tcPr>
          <w:p w14:paraId="125428BE">
            <w:pPr>
              <w:autoSpaceDE w:val="0"/>
              <w:autoSpaceDN w:val="0"/>
              <w:spacing w:before="22"/>
              <w:ind w:left="87"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内容（七）决策</w:t>
            </w:r>
          </w:p>
        </w:tc>
        <w:tc>
          <w:tcPr>
            <w:tcW w:w="1134" w:type="dxa"/>
            <w:vAlign w:val="center"/>
          </w:tcPr>
          <w:p w14:paraId="41ABCD00">
            <w:pPr>
              <w:autoSpaceDE w:val="0"/>
              <w:autoSpaceDN w:val="0"/>
              <w:spacing w:before="104"/>
              <w:ind w:right="291"/>
              <w:jc w:val="center"/>
              <w:rPr>
                <w:rFonts w:hint="eastAsia" w:ascii="宋体" w:hAnsi="宋体" w:eastAsia="宋体" w:cs="宋体"/>
                <w:kern w:val="0"/>
                <w:szCs w:val="21"/>
                <w:lang w:bidi="zh-CN"/>
              </w:rPr>
            </w:pPr>
            <w:r>
              <w:rPr>
                <w:rFonts w:hint="eastAsia" w:ascii="宋体" w:hAnsi="宋体" w:eastAsia="宋体" w:cs="宋体"/>
                <w:kern w:val="0"/>
                <w:szCs w:val="21"/>
                <w:lang w:bidi="zh-CN"/>
              </w:rPr>
              <w:t xml:space="preserve">  2</w:t>
            </w:r>
          </w:p>
        </w:tc>
      </w:tr>
      <w:tr w14:paraId="6B7F8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3159079F">
            <w:pPr>
              <w:autoSpaceDE w:val="0"/>
              <w:autoSpaceDN w:val="0"/>
              <w:spacing w:before="107"/>
              <w:ind w:left="11"/>
              <w:jc w:val="center"/>
              <w:rPr>
                <w:rFonts w:hint="eastAsia" w:ascii="宋体" w:hAnsi="宋体" w:eastAsia="宋体" w:cs="宋体"/>
                <w:kern w:val="0"/>
                <w:szCs w:val="21"/>
                <w:lang w:bidi="zh-CN"/>
              </w:rPr>
            </w:pPr>
            <w:r>
              <w:rPr>
                <w:rFonts w:hint="eastAsia" w:ascii="宋体" w:hAnsi="宋体" w:eastAsia="宋体" w:cs="宋体"/>
                <w:kern w:val="0"/>
                <w:szCs w:val="21"/>
                <w:lang w:bidi="zh-CN"/>
              </w:rPr>
              <w:t>8</w:t>
            </w:r>
          </w:p>
        </w:tc>
        <w:tc>
          <w:tcPr>
            <w:tcW w:w="6663" w:type="dxa"/>
            <w:vAlign w:val="center"/>
          </w:tcPr>
          <w:p w14:paraId="3F863468">
            <w:pPr>
              <w:autoSpaceDE w:val="0"/>
              <w:autoSpaceDN w:val="0"/>
              <w:spacing w:before="101"/>
              <w:ind w:left="87"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内容（八）求职行动</w:t>
            </w:r>
          </w:p>
        </w:tc>
        <w:tc>
          <w:tcPr>
            <w:tcW w:w="1134" w:type="dxa"/>
            <w:vAlign w:val="center"/>
          </w:tcPr>
          <w:p w14:paraId="1A9544DD">
            <w:pPr>
              <w:autoSpaceDE w:val="0"/>
              <w:autoSpaceDN w:val="0"/>
              <w:spacing w:before="107"/>
              <w:ind w:right="291"/>
              <w:jc w:val="center"/>
              <w:rPr>
                <w:rFonts w:hint="eastAsia" w:ascii="宋体" w:hAnsi="宋体" w:eastAsia="宋体" w:cs="宋体"/>
                <w:kern w:val="0"/>
                <w:szCs w:val="21"/>
                <w:lang w:bidi="zh-CN"/>
              </w:rPr>
            </w:pPr>
            <w:r>
              <w:rPr>
                <w:rFonts w:hint="eastAsia" w:ascii="宋体" w:hAnsi="宋体" w:eastAsia="宋体" w:cs="宋体"/>
                <w:kern w:val="0"/>
                <w:szCs w:val="21"/>
                <w:lang w:bidi="zh-CN"/>
              </w:rPr>
              <w:t xml:space="preserve">  2</w:t>
            </w:r>
          </w:p>
        </w:tc>
      </w:tr>
      <w:tr w14:paraId="2163A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vAlign w:val="center"/>
          </w:tcPr>
          <w:p w14:paraId="16411B42">
            <w:pPr>
              <w:autoSpaceDE w:val="0"/>
              <w:autoSpaceDN w:val="0"/>
              <w:spacing w:before="107"/>
              <w:ind w:left="11"/>
              <w:jc w:val="center"/>
              <w:rPr>
                <w:rFonts w:hint="eastAsia" w:ascii="宋体" w:hAnsi="宋体" w:eastAsia="宋体" w:cs="宋体"/>
                <w:kern w:val="0"/>
                <w:szCs w:val="21"/>
                <w:lang w:bidi="zh-CN"/>
              </w:rPr>
            </w:pPr>
          </w:p>
        </w:tc>
        <w:tc>
          <w:tcPr>
            <w:tcW w:w="6663" w:type="dxa"/>
            <w:vAlign w:val="center"/>
          </w:tcPr>
          <w:p w14:paraId="5ABF5DC2">
            <w:pPr>
              <w:autoSpaceDE w:val="0"/>
              <w:autoSpaceDN w:val="0"/>
              <w:spacing w:before="101"/>
              <w:ind w:left="87"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考查：生涯发展报告</w:t>
            </w:r>
          </w:p>
        </w:tc>
        <w:tc>
          <w:tcPr>
            <w:tcW w:w="1134" w:type="dxa"/>
            <w:vAlign w:val="center"/>
          </w:tcPr>
          <w:p w14:paraId="7A7CD0D0">
            <w:pPr>
              <w:autoSpaceDE w:val="0"/>
              <w:autoSpaceDN w:val="0"/>
              <w:spacing w:before="107"/>
              <w:ind w:right="291"/>
              <w:jc w:val="center"/>
              <w:rPr>
                <w:rFonts w:hint="eastAsia" w:ascii="宋体" w:hAnsi="宋体" w:eastAsia="宋体" w:cs="宋体"/>
                <w:kern w:val="0"/>
                <w:szCs w:val="21"/>
                <w:lang w:bidi="zh-CN"/>
              </w:rPr>
            </w:pPr>
          </w:p>
        </w:tc>
      </w:tr>
      <w:tr w14:paraId="26931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7666" w:type="dxa"/>
            <w:gridSpan w:val="2"/>
            <w:vAlign w:val="center"/>
          </w:tcPr>
          <w:p w14:paraId="06FC846C">
            <w:pPr>
              <w:autoSpaceDE w:val="0"/>
              <w:autoSpaceDN w:val="0"/>
              <w:spacing w:before="22"/>
              <w:ind w:right="3682"/>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合计</w:t>
            </w:r>
          </w:p>
        </w:tc>
        <w:tc>
          <w:tcPr>
            <w:tcW w:w="1134" w:type="dxa"/>
            <w:vAlign w:val="center"/>
          </w:tcPr>
          <w:p w14:paraId="2070E878">
            <w:pPr>
              <w:autoSpaceDE w:val="0"/>
              <w:autoSpaceDN w:val="0"/>
              <w:spacing w:before="28"/>
              <w:ind w:right="238"/>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 xml:space="preserve">  16</w:t>
            </w:r>
          </w:p>
        </w:tc>
      </w:tr>
    </w:tbl>
    <w:p w14:paraId="73EB87DB">
      <w:pPr>
        <w:autoSpaceDE w:val="0"/>
        <w:autoSpaceDN w:val="0"/>
        <w:spacing w:line="360" w:lineRule="auto"/>
        <w:ind w:left="590" w:leftChars="281" w:right="1157" w:firstLine="420" w:firstLineChars="200"/>
        <w:rPr>
          <w:rFonts w:hint="eastAsia" w:ascii="宋体" w:hAnsi="宋体" w:eastAsia="宋体" w:cs="宋体"/>
          <w:kern w:val="0"/>
          <w:szCs w:val="21"/>
          <w:lang w:bidi="zh-CN"/>
        </w:rPr>
      </w:pPr>
    </w:p>
    <w:p w14:paraId="2DC7DD36">
      <w:pPr>
        <w:spacing w:before="62" w:beforeLines="20" w:after="62" w:afterLines="20" w:line="360" w:lineRule="auto"/>
        <w:jc w:val="left"/>
        <w:rPr>
          <w:rFonts w:ascii="Times New Roman" w:hAnsi="Times New Roman" w:eastAsia="宋体" w:cs="Times New Roman"/>
          <w:b/>
          <w:sz w:val="24"/>
          <w:lang w:val="zh-CN"/>
        </w:rPr>
      </w:pPr>
      <w:r>
        <w:rPr>
          <w:rFonts w:hint="eastAsia" w:ascii="Times New Roman" w:hAnsi="Times New Roman" w:eastAsia="宋体" w:cs="Times New Roman"/>
          <w:b/>
          <w:sz w:val="24"/>
          <w:lang w:val="zh-CN"/>
        </w:rPr>
        <w:t>四、课程实施</w:t>
      </w:r>
    </w:p>
    <w:p w14:paraId="677E35CF">
      <w:pPr>
        <w:autoSpaceDE w:val="0"/>
        <w:autoSpaceDN w:val="0"/>
        <w:spacing w:line="360" w:lineRule="auto"/>
        <w:ind w:firstLine="422" w:firstLineChars="200"/>
        <w:outlineLvl w:val="2"/>
        <w:rPr>
          <w:rFonts w:hint="eastAsia" w:ascii="宋体" w:hAnsi="宋体" w:eastAsia="宋体" w:cs="宋体"/>
          <w:b/>
          <w:bCs/>
          <w:kern w:val="0"/>
          <w:szCs w:val="21"/>
          <w:lang w:bidi="zh-CN"/>
        </w:rPr>
      </w:pPr>
      <w:r>
        <w:rPr>
          <w:rFonts w:hint="eastAsia" w:ascii="宋体" w:hAnsi="宋体" w:eastAsia="宋体" w:cs="宋体"/>
          <w:b/>
          <w:bCs/>
          <w:kern w:val="0"/>
          <w:szCs w:val="21"/>
          <w:lang w:val="zh-CN" w:bidi="zh-CN"/>
        </w:rPr>
        <w:t>（一）教学方法与教学手段</w:t>
      </w:r>
    </w:p>
    <w:p w14:paraId="6FE33431">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1.教师授课、课堂研讨与基地实践相结合。建立师生互动的课堂学习方法，通过理论讲述与实践体验相结合，唤醒学生生涯意识，在明确自己性格类型前提下，结合自身专业，进行初步的职业探索，对今后的职业发展方向做出合理的规划。</w:t>
      </w:r>
    </w:p>
    <w:p w14:paraId="7A562E83">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2.采取生动活泼、灵活多样的教学方式进行教学。教学的方式采取灵活多样的形式，如将符合教学内容要求的视频、电影、课件、软件融入到教学过程，多举一些相关教学案例，让学生有直观的认识，增加学生学习的兴趣，引导、激发学生学习的积极性和自主性等。</w:t>
      </w:r>
    </w:p>
    <w:p w14:paraId="57435B63">
      <w:pPr>
        <w:autoSpaceDE w:val="0"/>
        <w:autoSpaceDN w:val="0"/>
        <w:spacing w:line="360" w:lineRule="auto"/>
        <w:ind w:firstLine="420" w:firstLineChars="200"/>
        <w:rPr>
          <w:rFonts w:hint="eastAsia" w:ascii="宋体" w:hAnsi="宋体" w:eastAsia="宋体" w:cs="宋体"/>
          <w:kern w:val="0"/>
          <w:szCs w:val="21"/>
          <w:lang w:bidi="zh-CN"/>
        </w:rPr>
      </w:pPr>
      <w:r>
        <w:rPr>
          <w:rFonts w:hint="eastAsia" w:ascii="宋体" w:hAnsi="宋体" w:eastAsia="宋体" w:cs="宋体"/>
          <w:kern w:val="0"/>
          <w:szCs w:val="21"/>
          <w:lang w:bidi="zh-CN"/>
        </w:rPr>
        <w:t>3.合理安排和组织教学进程：帮助学生建立大学生学习观点，使学生在大学一年级熟悉本专业的学习内容，尽快适应高校的学习。</w:t>
      </w:r>
    </w:p>
    <w:p w14:paraId="4E15D249">
      <w:pPr>
        <w:autoSpaceDE w:val="0"/>
        <w:autoSpaceDN w:val="0"/>
        <w:spacing w:line="360" w:lineRule="auto"/>
        <w:ind w:firstLine="422" w:firstLineChars="200"/>
        <w:outlineLvl w:val="2"/>
        <w:rPr>
          <w:rFonts w:hint="eastAsia" w:ascii="宋体" w:hAnsi="宋体" w:eastAsia="宋体" w:cs="宋体"/>
          <w:b/>
          <w:bCs/>
          <w:kern w:val="0"/>
          <w:szCs w:val="21"/>
          <w:lang w:bidi="zh-CN"/>
        </w:rPr>
      </w:pPr>
      <w:r>
        <w:rPr>
          <w:rFonts w:hint="eastAsia" w:ascii="宋体" w:hAnsi="宋体" w:eastAsia="宋体" w:cs="宋体"/>
          <w:b/>
          <w:bCs/>
          <w:kern w:val="0"/>
          <w:szCs w:val="21"/>
          <w:lang w:val="zh-CN" w:bidi="zh-CN"/>
        </w:rPr>
        <w:t>（二）课程实施与保障</w:t>
      </w:r>
    </w:p>
    <w:tbl>
      <w:tblPr>
        <w:tblStyle w:val="11"/>
        <w:tblW w:w="0" w:type="auto"/>
        <w:tblInd w:w="2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3"/>
        <w:gridCol w:w="1171"/>
        <w:gridCol w:w="7522"/>
      </w:tblGrid>
      <w:tr w14:paraId="1EF65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754" w:type="dxa"/>
            <w:gridSpan w:val="2"/>
            <w:tcBorders>
              <w:bottom w:val="single" w:color="000000" w:sz="4" w:space="0"/>
            </w:tcBorders>
            <w:vAlign w:val="center"/>
          </w:tcPr>
          <w:p w14:paraId="363114E2">
            <w:pPr>
              <w:autoSpaceDE w:val="0"/>
              <w:autoSpaceDN w:val="0"/>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主要教学环节</w:t>
            </w:r>
          </w:p>
        </w:tc>
        <w:tc>
          <w:tcPr>
            <w:tcW w:w="7522" w:type="dxa"/>
            <w:tcBorders>
              <w:bottom w:val="single" w:color="000000" w:sz="4" w:space="0"/>
            </w:tcBorders>
            <w:vAlign w:val="center"/>
          </w:tcPr>
          <w:p w14:paraId="13FAFE31">
            <w:pPr>
              <w:autoSpaceDE w:val="0"/>
              <w:autoSpaceDN w:val="0"/>
              <w:ind w:left="2971" w:right="2949"/>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质量要求</w:t>
            </w:r>
          </w:p>
        </w:tc>
      </w:tr>
      <w:tr w14:paraId="55351B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98" w:hRule="atLeast"/>
        </w:trPr>
        <w:tc>
          <w:tcPr>
            <w:tcW w:w="583" w:type="dxa"/>
            <w:tcBorders>
              <w:top w:val="single" w:color="000000" w:sz="4" w:space="0"/>
              <w:bottom w:val="single" w:color="000000" w:sz="4" w:space="0"/>
              <w:right w:val="single" w:color="000000" w:sz="4" w:space="0"/>
            </w:tcBorders>
            <w:vAlign w:val="center"/>
          </w:tcPr>
          <w:p w14:paraId="6BF4B2D0">
            <w:pPr>
              <w:autoSpaceDE w:val="0"/>
              <w:autoSpaceDN w:val="0"/>
              <w:ind w:left="18"/>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1</w:t>
            </w:r>
          </w:p>
        </w:tc>
        <w:tc>
          <w:tcPr>
            <w:tcW w:w="1171" w:type="dxa"/>
            <w:tcBorders>
              <w:top w:val="single" w:color="000000" w:sz="4" w:space="0"/>
              <w:left w:val="single" w:color="000000" w:sz="4" w:space="0"/>
              <w:bottom w:val="single" w:color="000000" w:sz="4" w:space="0"/>
              <w:right w:val="single" w:color="000000" w:sz="4" w:space="0"/>
            </w:tcBorders>
            <w:vAlign w:val="center"/>
          </w:tcPr>
          <w:p w14:paraId="257CD564">
            <w:pPr>
              <w:autoSpaceDE w:val="0"/>
              <w:autoSpaceDN w:val="0"/>
              <w:ind w:left="101" w:right="77"/>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备课</w:t>
            </w:r>
          </w:p>
        </w:tc>
        <w:tc>
          <w:tcPr>
            <w:tcW w:w="7522" w:type="dxa"/>
            <w:tcBorders>
              <w:top w:val="single" w:color="000000" w:sz="4" w:space="0"/>
              <w:left w:val="single" w:color="000000" w:sz="4" w:space="0"/>
              <w:bottom w:val="single" w:color="000000" w:sz="4" w:space="0"/>
            </w:tcBorders>
          </w:tcPr>
          <w:p w14:paraId="411332AC">
            <w:pPr>
              <w:tabs>
                <w:tab w:val="left" w:pos="645"/>
              </w:tabs>
              <w:autoSpaceDE w:val="0"/>
              <w:autoSpaceDN w:val="0"/>
              <w:ind w:left="115" w:right="81"/>
              <w:rPr>
                <w:rFonts w:hint="eastAsia" w:ascii="宋体" w:hAnsi="宋体" w:eastAsia="宋体" w:cs="宋体"/>
                <w:kern w:val="0"/>
                <w:szCs w:val="21"/>
                <w:lang w:val="zh-CN" w:bidi="zh-CN"/>
              </w:rPr>
            </w:pPr>
            <w:r>
              <w:rPr>
                <w:rFonts w:hint="eastAsia" w:ascii="宋体" w:hAnsi="宋体" w:eastAsia="宋体" w:cs="宋体"/>
                <w:kern w:val="0"/>
                <w:szCs w:val="21"/>
                <w:lang w:val="zh-CN" w:bidi="zh-CN"/>
              </w:rPr>
              <w:t>（1）掌握本课程教学大纲内容，严格按照教学大纲要求进行课程教学内容的组织。</w:t>
            </w:r>
          </w:p>
          <w:p w14:paraId="188BC60E">
            <w:pPr>
              <w:tabs>
                <w:tab w:val="left" w:pos="645"/>
              </w:tabs>
              <w:autoSpaceDE w:val="0"/>
              <w:autoSpaceDN w:val="0"/>
              <w:ind w:left="115" w:right="-29"/>
              <w:rPr>
                <w:rFonts w:hint="eastAsia" w:ascii="宋体" w:hAnsi="宋体" w:eastAsia="宋体" w:cs="宋体"/>
                <w:kern w:val="0"/>
                <w:szCs w:val="21"/>
                <w:lang w:val="zh-CN" w:bidi="zh-CN"/>
              </w:rPr>
            </w:pPr>
            <w:r>
              <w:rPr>
                <w:rFonts w:hint="eastAsia" w:ascii="宋体" w:hAnsi="宋体" w:eastAsia="宋体" w:cs="宋体"/>
                <w:kern w:val="0"/>
                <w:szCs w:val="21"/>
                <w:lang w:val="zh-CN" w:bidi="zh-CN"/>
              </w:rPr>
              <w:t>（2）熟悉教材各章节，借助专业书籍资料，并依据教学大纲编写授课计划，编写每次授课的教案。教案内容包括章节标题、教学目的、教法设计、课堂类型、时间分配、授课内容、课后作业、教学效果分析等方面。</w:t>
            </w:r>
          </w:p>
          <w:p w14:paraId="4539CB32">
            <w:pPr>
              <w:tabs>
                <w:tab w:val="left" w:pos="648"/>
              </w:tabs>
              <w:autoSpaceDE w:val="0"/>
              <w:autoSpaceDN w:val="0"/>
              <w:ind w:right="-29" w:firstLine="105" w:firstLineChars="5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（3）根据各部分教学内容，构思授课思路、技巧，选择合适的教学方法 。</w:t>
            </w:r>
          </w:p>
        </w:tc>
      </w:tr>
      <w:tr w14:paraId="26A66E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vAlign w:val="center"/>
          </w:tcPr>
          <w:p w14:paraId="71642BA9">
            <w:pPr>
              <w:autoSpaceDE w:val="0"/>
              <w:autoSpaceDN w:val="0"/>
              <w:ind w:left="18"/>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2</w:t>
            </w:r>
          </w:p>
        </w:tc>
        <w:tc>
          <w:tcPr>
            <w:tcW w:w="1171" w:type="dxa"/>
            <w:tcBorders>
              <w:top w:val="single" w:color="000000" w:sz="4" w:space="0"/>
              <w:left w:val="single" w:color="000000" w:sz="4" w:space="0"/>
              <w:bottom w:val="single" w:color="000000" w:sz="4" w:space="0"/>
              <w:right w:val="single" w:color="000000" w:sz="4" w:space="0"/>
            </w:tcBorders>
            <w:vAlign w:val="center"/>
          </w:tcPr>
          <w:p w14:paraId="2AEBED6E">
            <w:pPr>
              <w:autoSpaceDE w:val="0"/>
              <w:autoSpaceDN w:val="0"/>
              <w:ind w:left="101" w:right="77"/>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讲授</w:t>
            </w:r>
          </w:p>
        </w:tc>
        <w:tc>
          <w:tcPr>
            <w:tcW w:w="7522" w:type="dxa"/>
            <w:tcBorders>
              <w:top w:val="single" w:color="000000" w:sz="4" w:space="0"/>
              <w:left w:val="single" w:color="000000" w:sz="4" w:space="0"/>
              <w:bottom w:val="single" w:color="000000" w:sz="4" w:space="0"/>
            </w:tcBorders>
          </w:tcPr>
          <w:p w14:paraId="38005254">
            <w:pPr>
              <w:tabs>
                <w:tab w:val="left" w:pos="645"/>
              </w:tabs>
              <w:autoSpaceDE w:val="0"/>
              <w:autoSpaceDN w:val="0"/>
              <w:ind w:left="115" w:right="66"/>
              <w:rPr>
                <w:rFonts w:hint="eastAsia" w:ascii="宋体" w:hAnsi="宋体" w:eastAsia="宋体" w:cs="宋体"/>
                <w:kern w:val="0"/>
                <w:szCs w:val="21"/>
                <w:lang w:val="zh-CN" w:bidi="zh-CN"/>
              </w:rPr>
            </w:pPr>
            <w:r>
              <w:rPr>
                <w:rFonts w:hint="eastAsia" w:ascii="宋体" w:hAnsi="宋体" w:eastAsia="宋体" w:cs="宋体"/>
                <w:kern w:val="0"/>
                <w:szCs w:val="21"/>
                <w:lang w:val="zh-CN" w:bidi="zh-CN"/>
              </w:rPr>
              <w:t>（1）要点准确、推理正确、条理清晰、重点突出，能够理论联系实际， 熟练地解答和讲解例题。</w:t>
            </w:r>
          </w:p>
          <w:p w14:paraId="7F633149">
            <w:pPr>
              <w:tabs>
                <w:tab w:val="left" w:pos="645"/>
              </w:tabs>
              <w:autoSpaceDE w:val="0"/>
              <w:autoSpaceDN w:val="0"/>
              <w:ind w:left="115" w:right="66"/>
              <w:rPr>
                <w:rFonts w:hint="eastAsia" w:ascii="宋体" w:hAnsi="宋体" w:eastAsia="宋体" w:cs="宋体"/>
                <w:kern w:val="0"/>
                <w:szCs w:val="21"/>
                <w:lang w:val="zh-CN" w:bidi="zh-CN"/>
              </w:rPr>
            </w:pPr>
            <w:r>
              <w:rPr>
                <w:rFonts w:hint="eastAsia" w:ascii="宋体" w:hAnsi="宋体" w:eastAsia="宋体" w:cs="宋体"/>
                <w:kern w:val="0"/>
                <w:szCs w:val="21"/>
                <w:lang w:val="zh-CN" w:bidi="zh-CN"/>
              </w:rPr>
              <w:t>（2）采用多种教学方式（如启发式教学、案例分析教学、讨论式教学、多媒体示范教学等），注重培养学生发现、分析和解决问题的能力。</w:t>
            </w:r>
          </w:p>
          <w:p w14:paraId="1B66B662">
            <w:pPr>
              <w:tabs>
                <w:tab w:val="left" w:pos="645"/>
              </w:tabs>
              <w:autoSpaceDE w:val="0"/>
              <w:autoSpaceDN w:val="0"/>
              <w:ind w:firstLine="105" w:firstLineChars="5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（3）能够采用现代信息技术辅助教学。</w:t>
            </w:r>
          </w:p>
          <w:p w14:paraId="4E6F80A1">
            <w:pPr>
              <w:tabs>
                <w:tab w:val="left" w:pos="648"/>
              </w:tabs>
              <w:autoSpaceDE w:val="0"/>
              <w:autoSpaceDN w:val="0"/>
              <w:ind w:left="115" w:right="84"/>
              <w:rPr>
                <w:rFonts w:hint="eastAsia" w:ascii="宋体" w:hAnsi="宋体" w:eastAsia="宋体" w:cs="宋体"/>
                <w:kern w:val="0"/>
                <w:szCs w:val="21"/>
                <w:lang w:val="zh-CN" w:bidi="zh-CN"/>
              </w:rPr>
            </w:pPr>
            <w:r>
              <w:rPr>
                <w:rFonts w:hint="eastAsia" w:ascii="宋体" w:hAnsi="宋体" w:eastAsia="宋体" w:cs="宋体"/>
                <w:kern w:val="0"/>
                <w:szCs w:val="21"/>
                <w:lang w:val="zh-CN" w:bidi="zh-CN"/>
              </w:rPr>
              <w:t>（4）表达方式应能便于学生理解、接受，力求形象生动，使学生在掌握知识的过程中，保持较为浓厚的学习兴趣。</w:t>
            </w:r>
          </w:p>
        </w:tc>
      </w:tr>
      <w:tr w14:paraId="357326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99" w:hRule="atLeast"/>
        </w:trPr>
        <w:tc>
          <w:tcPr>
            <w:tcW w:w="583" w:type="dxa"/>
            <w:tcBorders>
              <w:top w:val="single" w:color="000000" w:sz="4" w:space="0"/>
              <w:bottom w:val="single" w:color="000000" w:sz="4" w:space="0"/>
              <w:right w:val="single" w:color="000000" w:sz="4" w:space="0"/>
            </w:tcBorders>
            <w:vAlign w:val="center"/>
          </w:tcPr>
          <w:p w14:paraId="59F22E3B">
            <w:pPr>
              <w:autoSpaceDE w:val="0"/>
              <w:autoSpaceDN w:val="0"/>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3</w:t>
            </w:r>
          </w:p>
        </w:tc>
        <w:tc>
          <w:tcPr>
            <w:tcW w:w="1171" w:type="dxa"/>
            <w:tcBorders>
              <w:top w:val="single" w:color="000000" w:sz="4" w:space="0"/>
              <w:left w:val="single" w:color="000000" w:sz="4" w:space="0"/>
              <w:bottom w:val="single" w:color="000000" w:sz="4" w:space="0"/>
              <w:right w:val="single" w:color="000000" w:sz="4" w:space="0"/>
            </w:tcBorders>
            <w:vAlign w:val="center"/>
          </w:tcPr>
          <w:p w14:paraId="3AE47FC6">
            <w:pPr>
              <w:autoSpaceDE w:val="0"/>
              <w:autoSpaceDN w:val="0"/>
              <w:ind w:right="77"/>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作业布置与批改</w:t>
            </w:r>
          </w:p>
        </w:tc>
        <w:tc>
          <w:tcPr>
            <w:tcW w:w="7522" w:type="dxa"/>
            <w:tcBorders>
              <w:top w:val="single" w:color="000000" w:sz="4" w:space="0"/>
              <w:left w:val="single" w:color="000000" w:sz="4" w:space="0"/>
              <w:bottom w:val="single" w:color="000000" w:sz="4" w:space="0"/>
            </w:tcBorders>
          </w:tcPr>
          <w:p w14:paraId="6B06AFCF">
            <w:pPr>
              <w:autoSpaceDE w:val="0"/>
              <w:autoSpaceDN w:val="0"/>
              <w:ind w:left="11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学生必须完成规定数量的作业，作业必须达到以下基本要求：</w:t>
            </w:r>
          </w:p>
          <w:p w14:paraId="7A939314">
            <w:pPr>
              <w:tabs>
                <w:tab w:val="left" w:pos="645"/>
              </w:tabs>
              <w:autoSpaceDE w:val="0"/>
              <w:autoSpaceDN w:val="0"/>
              <w:ind w:firstLine="105" w:firstLineChars="5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（1）按时按量完成作业，不缺交，不抄袭。</w:t>
            </w:r>
          </w:p>
          <w:p w14:paraId="0A7E6247">
            <w:pPr>
              <w:tabs>
                <w:tab w:val="left" w:pos="645"/>
              </w:tabs>
              <w:autoSpaceDE w:val="0"/>
              <w:autoSpaceDN w:val="0"/>
              <w:ind w:firstLine="105" w:firstLineChars="5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（2）书写规范、清晰。</w:t>
            </w:r>
          </w:p>
          <w:p w14:paraId="2D8CE296">
            <w:pPr>
              <w:tabs>
                <w:tab w:val="left" w:pos="645"/>
              </w:tabs>
              <w:autoSpaceDE w:val="0"/>
              <w:autoSpaceDN w:val="0"/>
              <w:ind w:left="115" w:right="3742"/>
              <w:rPr>
                <w:rFonts w:hint="eastAsia" w:ascii="宋体" w:hAnsi="宋体" w:eastAsia="宋体" w:cs="宋体"/>
                <w:kern w:val="0"/>
                <w:szCs w:val="21"/>
                <w:lang w:val="zh-CN" w:bidi="zh-CN"/>
              </w:rPr>
            </w:pPr>
            <w:r>
              <w:rPr>
                <w:rFonts w:hint="eastAsia" w:ascii="宋体" w:hAnsi="宋体" w:eastAsia="宋体" w:cs="宋体"/>
                <w:kern w:val="0"/>
                <w:szCs w:val="21"/>
                <w:lang w:val="zh-CN" w:bidi="zh-CN"/>
              </w:rPr>
              <w:t>教师批改作业要求如下：</w:t>
            </w:r>
          </w:p>
          <w:p w14:paraId="10DD4F17">
            <w:pPr>
              <w:tabs>
                <w:tab w:val="left" w:pos="645"/>
              </w:tabs>
              <w:autoSpaceDE w:val="0"/>
              <w:autoSpaceDN w:val="0"/>
              <w:ind w:firstLine="105" w:firstLineChars="5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（3）学生的作业要按时全部批改，并及时进行讲评。</w:t>
            </w:r>
          </w:p>
          <w:p w14:paraId="152FDA7C">
            <w:pPr>
              <w:tabs>
                <w:tab w:val="left" w:pos="648"/>
              </w:tabs>
              <w:autoSpaceDE w:val="0"/>
              <w:autoSpaceDN w:val="0"/>
              <w:ind w:right="-29" w:firstLine="105" w:firstLineChars="5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（4）教师批改和讲评作业要认真、细致，按百分制评定成绩并写明日期 。</w:t>
            </w:r>
          </w:p>
          <w:p w14:paraId="67DD7234">
            <w:pPr>
              <w:tabs>
                <w:tab w:val="left" w:pos="645"/>
              </w:tabs>
              <w:autoSpaceDE w:val="0"/>
              <w:autoSpaceDN w:val="0"/>
              <w:ind w:left="115" w:right="81"/>
              <w:rPr>
                <w:rFonts w:hint="eastAsia" w:ascii="宋体" w:hAnsi="宋体" w:eastAsia="宋体" w:cs="宋体"/>
                <w:kern w:val="0"/>
                <w:szCs w:val="21"/>
                <w:lang w:val="zh-CN" w:bidi="zh-CN"/>
              </w:rPr>
            </w:pPr>
            <w:r>
              <w:rPr>
                <w:rFonts w:hint="eastAsia" w:ascii="宋体" w:hAnsi="宋体" w:eastAsia="宋体" w:cs="宋体"/>
                <w:kern w:val="0"/>
                <w:szCs w:val="21"/>
                <w:lang w:val="zh-CN" w:bidi="zh-CN"/>
              </w:rPr>
              <w:t>（5）学生作业的平均成绩应作为本课程总评成绩中平时成绩的重要组 成部分。</w:t>
            </w:r>
          </w:p>
        </w:tc>
      </w:tr>
      <w:tr w14:paraId="141DC8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vAlign w:val="center"/>
          </w:tcPr>
          <w:p w14:paraId="1DA0C439">
            <w:pPr>
              <w:autoSpaceDE w:val="0"/>
              <w:autoSpaceDN w:val="0"/>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4</w:t>
            </w:r>
          </w:p>
        </w:tc>
        <w:tc>
          <w:tcPr>
            <w:tcW w:w="1171" w:type="dxa"/>
            <w:tcBorders>
              <w:top w:val="single" w:color="000000" w:sz="4" w:space="0"/>
              <w:left w:val="single" w:color="000000" w:sz="4" w:space="0"/>
              <w:bottom w:val="single" w:color="000000" w:sz="4" w:space="0"/>
              <w:right w:val="single" w:color="000000" w:sz="4" w:space="0"/>
            </w:tcBorders>
            <w:vAlign w:val="center"/>
          </w:tcPr>
          <w:p w14:paraId="3B9489B6">
            <w:pPr>
              <w:autoSpaceDE w:val="0"/>
              <w:autoSpaceDN w:val="0"/>
              <w:ind w:right="77"/>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课外答疑</w:t>
            </w:r>
          </w:p>
        </w:tc>
        <w:tc>
          <w:tcPr>
            <w:tcW w:w="7522" w:type="dxa"/>
            <w:tcBorders>
              <w:top w:val="single" w:color="000000" w:sz="4" w:space="0"/>
              <w:left w:val="single" w:color="000000" w:sz="4" w:space="0"/>
              <w:bottom w:val="single" w:color="000000" w:sz="4" w:space="0"/>
            </w:tcBorders>
          </w:tcPr>
          <w:p w14:paraId="4C73DE23">
            <w:pPr>
              <w:autoSpaceDE w:val="0"/>
              <w:autoSpaceDN w:val="0"/>
              <w:ind w:left="115" w:right="81"/>
              <w:rPr>
                <w:rFonts w:hint="eastAsia" w:ascii="宋体" w:hAnsi="宋体" w:eastAsia="宋体" w:cs="宋体"/>
                <w:kern w:val="0"/>
                <w:szCs w:val="21"/>
                <w:lang w:val="zh-CN" w:bidi="zh-CN"/>
              </w:rPr>
            </w:pPr>
            <w:r>
              <w:rPr>
                <w:rFonts w:hint="eastAsia" w:ascii="宋体" w:hAnsi="宋体" w:eastAsia="宋体" w:cs="宋体"/>
                <w:kern w:val="0"/>
                <w:szCs w:val="21"/>
                <w:lang w:val="zh-CN" w:bidi="zh-CN"/>
              </w:rPr>
              <w:t>为了解学生的学习情况，帮助学生更好地理解和消化所学知识、改进学习方法和思维方式，培养其独立思考问题的能力，任课教师需每周安排一定时间进行课外答疑与辅导。</w:t>
            </w:r>
          </w:p>
        </w:tc>
      </w:tr>
      <w:tr w14:paraId="2ECBE9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583" w:type="dxa"/>
            <w:tcBorders>
              <w:top w:val="single" w:color="000000" w:sz="4" w:space="0"/>
              <w:bottom w:val="single" w:color="000000" w:sz="4" w:space="0"/>
              <w:right w:val="single" w:color="000000" w:sz="4" w:space="0"/>
            </w:tcBorders>
            <w:vAlign w:val="center"/>
          </w:tcPr>
          <w:p w14:paraId="559F8E30">
            <w:pPr>
              <w:autoSpaceDE w:val="0"/>
              <w:autoSpaceDN w:val="0"/>
              <w:jc w:val="center"/>
              <w:rPr>
                <w:rFonts w:hint="eastAsia" w:ascii="宋体" w:hAnsi="宋体" w:eastAsia="宋体" w:cs="宋体"/>
                <w:b/>
                <w:kern w:val="0"/>
                <w:szCs w:val="21"/>
                <w:lang w:val="zh-CN" w:bidi="zh-CN"/>
              </w:rPr>
            </w:pPr>
          </w:p>
          <w:p w14:paraId="651E99EE">
            <w:pPr>
              <w:autoSpaceDE w:val="0"/>
              <w:autoSpaceDN w:val="0"/>
              <w:ind w:left="18"/>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5</w:t>
            </w:r>
          </w:p>
        </w:tc>
        <w:tc>
          <w:tcPr>
            <w:tcW w:w="1171" w:type="dxa"/>
            <w:tcBorders>
              <w:top w:val="single" w:color="000000" w:sz="4" w:space="0"/>
              <w:left w:val="single" w:color="000000" w:sz="4" w:space="0"/>
              <w:bottom w:val="single" w:color="000000" w:sz="4" w:space="0"/>
              <w:right w:val="single" w:color="000000" w:sz="4" w:space="0"/>
            </w:tcBorders>
            <w:vAlign w:val="center"/>
          </w:tcPr>
          <w:p w14:paraId="62043F23">
            <w:pPr>
              <w:autoSpaceDE w:val="0"/>
              <w:autoSpaceDN w:val="0"/>
              <w:jc w:val="center"/>
              <w:rPr>
                <w:rFonts w:hint="eastAsia" w:ascii="宋体" w:hAnsi="宋体" w:eastAsia="宋体" w:cs="宋体"/>
                <w:b/>
                <w:kern w:val="0"/>
                <w:szCs w:val="21"/>
                <w:lang w:val="zh-CN" w:bidi="zh-CN"/>
              </w:rPr>
            </w:pPr>
          </w:p>
          <w:p w14:paraId="57F70F55">
            <w:pPr>
              <w:autoSpaceDE w:val="0"/>
              <w:autoSpaceDN w:val="0"/>
              <w:ind w:left="99" w:right="77"/>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成绩考核</w:t>
            </w:r>
          </w:p>
        </w:tc>
        <w:tc>
          <w:tcPr>
            <w:tcW w:w="7522" w:type="dxa"/>
            <w:tcBorders>
              <w:top w:val="single" w:color="000000" w:sz="4" w:space="0"/>
              <w:left w:val="single" w:color="000000" w:sz="4" w:space="0"/>
              <w:bottom w:val="single" w:color="000000" w:sz="4" w:space="0"/>
            </w:tcBorders>
          </w:tcPr>
          <w:p w14:paraId="3C14261E">
            <w:pPr>
              <w:autoSpaceDE w:val="0"/>
              <w:autoSpaceDN w:val="0"/>
              <w:ind w:left="115" w:right="81"/>
              <w:rPr>
                <w:rFonts w:hint="eastAsia" w:ascii="宋体" w:hAnsi="宋体" w:eastAsia="宋体" w:cs="宋体"/>
                <w:kern w:val="0"/>
                <w:szCs w:val="21"/>
                <w:lang w:val="zh-CN" w:bidi="zh-CN"/>
              </w:rPr>
            </w:pPr>
            <w:r>
              <w:rPr>
                <w:rFonts w:hint="eastAsia" w:ascii="宋体" w:hAnsi="宋体" w:eastAsia="宋体" w:cs="宋体"/>
                <w:kern w:val="0"/>
                <w:szCs w:val="21"/>
                <w:lang w:val="zh-CN" w:bidi="zh-CN"/>
              </w:rPr>
              <w:t>本课程为考查课目，考试内容为</w:t>
            </w:r>
            <w:r>
              <w:rPr>
                <w:rFonts w:hint="eastAsia" w:ascii="宋体" w:hAnsi="宋体" w:eastAsia="宋体" w:cs="宋体"/>
                <w:kern w:val="0"/>
                <w:szCs w:val="21"/>
                <w:lang w:bidi="zh-CN"/>
              </w:rPr>
              <w:t>生涯发展</w:t>
            </w:r>
            <w:r>
              <w:rPr>
                <w:rFonts w:hint="eastAsia" w:ascii="宋体" w:hAnsi="宋体" w:eastAsia="宋体" w:cs="宋体"/>
                <w:kern w:val="0"/>
                <w:szCs w:val="21"/>
                <w:lang w:val="zh-CN" w:bidi="zh-CN"/>
              </w:rPr>
              <w:t>报告的撰写。有下列情况之一者，总评成绩为不及格：</w:t>
            </w:r>
          </w:p>
          <w:p w14:paraId="6C071880">
            <w:pPr>
              <w:tabs>
                <w:tab w:val="left" w:pos="645"/>
              </w:tabs>
              <w:autoSpaceDE w:val="0"/>
              <w:autoSpaceDN w:val="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（1）缺交作业次数达 1 次以上者。</w:t>
            </w:r>
          </w:p>
          <w:p w14:paraId="6743CAE7">
            <w:pPr>
              <w:tabs>
                <w:tab w:val="left" w:pos="645"/>
              </w:tabs>
              <w:autoSpaceDE w:val="0"/>
              <w:autoSpaceDN w:val="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（2）缺课次数达本学期总授课学时的 1/3 以上者。</w:t>
            </w:r>
          </w:p>
        </w:tc>
      </w:tr>
    </w:tbl>
    <w:p w14:paraId="5FB81EC4">
      <w:pPr>
        <w:autoSpaceDE w:val="0"/>
        <w:autoSpaceDN w:val="0"/>
        <w:spacing w:line="360" w:lineRule="auto"/>
        <w:ind w:right="1156"/>
        <w:rPr>
          <w:rFonts w:hint="eastAsia" w:ascii="宋体" w:hAnsi="宋体" w:eastAsia="宋体" w:cs="宋体"/>
          <w:kern w:val="0"/>
          <w:szCs w:val="21"/>
          <w:lang w:bidi="zh-CN"/>
        </w:rPr>
      </w:pPr>
    </w:p>
    <w:p w14:paraId="358121E4">
      <w:pPr>
        <w:spacing w:before="62" w:beforeLines="20" w:after="62" w:afterLines="20" w:line="360" w:lineRule="auto"/>
        <w:jc w:val="left"/>
        <w:rPr>
          <w:rFonts w:ascii="Times New Roman" w:hAnsi="Times New Roman" w:eastAsia="宋体" w:cs="Times New Roman"/>
          <w:b/>
          <w:sz w:val="24"/>
          <w:lang w:val="zh-CN"/>
        </w:rPr>
      </w:pPr>
      <w:r>
        <w:rPr>
          <w:rFonts w:hint="eastAsia" w:ascii="Times New Roman" w:hAnsi="Times New Roman" w:eastAsia="宋体" w:cs="Times New Roman"/>
          <w:b/>
          <w:sz w:val="24"/>
          <w:lang w:val="zh-CN"/>
        </w:rPr>
        <w:t>五、课程考核</w:t>
      </w:r>
    </w:p>
    <w:p w14:paraId="35FDF5C1">
      <w:pPr>
        <w:autoSpaceDE w:val="0"/>
        <w:autoSpaceDN w:val="0"/>
        <w:spacing w:line="360" w:lineRule="auto"/>
        <w:ind w:firstLine="420" w:firstLineChars="20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（一）课程考核包括平时情况考核、期末大作业或者课程报告考核等。</w:t>
      </w:r>
    </w:p>
    <w:p w14:paraId="6AC9C35A">
      <w:pPr>
        <w:autoSpaceDE w:val="0"/>
        <w:autoSpaceDN w:val="0"/>
        <w:spacing w:line="360" w:lineRule="auto"/>
        <w:ind w:firstLine="420" w:firstLineChars="20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（二）课程总评成绩=平时成绩×40% +期末考试成绩×60%。具体内容和比例如表所示。</w:t>
      </w:r>
    </w:p>
    <w:tbl>
      <w:tblPr>
        <w:tblStyle w:val="11"/>
        <w:tblW w:w="8800" w:type="dxa"/>
        <w:tblInd w:w="1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5"/>
        <w:gridCol w:w="1612"/>
        <w:gridCol w:w="619"/>
        <w:gridCol w:w="5444"/>
      </w:tblGrid>
      <w:tr w14:paraId="09886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5" w:type="dxa"/>
            <w:vAlign w:val="center"/>
          </w:tcPr>
          <w:p w14:paraId="59585685">
            <w:pPr>
              <w:autoSpaceDE w:val="0"/>
              <w:autoSpaceDN w:val="0"/>
              <w:spacing w:before="178"/>
              <w:ind w:right="130" w:firstLine="105" w:firstLineChars="50"/>
              <w:rPr>
                <w:rFonts w:hint="eastAsia" w:ascii="宋体" w:hAnsi="宋体" w:eastAsia="宋体" w:cs="宋体"/>
                <w:kern w:val="0"/>
                <w:szCs w:val="21"/>
                <w:lang w:val="zh-CN" w:bidi="zh-CN"/>
              </w:rPr>
            </w:pPr>
            <w:r>
              <w:rPr>
                <w:rFonts w:hint="eastAsia" w:ascii="宋体" w:hAnsi="宋体" w:eastAsia="宋体" w:cs="宋体"/>
                <w:kern w:val="0"/>
                <w:szCs w:val="21"/>
                <w:lang w:val="zh-CN" w:bidi="zh-CN"/>
              </w:rPr>
              <w:t>成绩组成</w:t>
            </w:r>
          </w:p>
        </w:tc>
        <w:tc>
          <w:tcPr>
            <w:tcW w:w="1612" w:type="dxa"/>
            <w:tcBorders>
              <w:right w:val="single" w:color="auto" w:sz="4" w:space="0"/>
            </w:tcBorders>
            <w:vAlign w:val="center"/>
          </w:tcPr>
          <w:p w14:paraId="2CFC0BDA">
            <w:pPr>
              <w:autoSpaceDE w:val="0"/>
              <w:autoSpaceDN w:val="0"/>
              <w:spacing w:before="43"/>
              <w:ind w:left="88"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考核/评价环节</w:t>
            </w:r>
          </w:p>
        </w:tc>
        <w:tc>
          <w:tcPr>
            <w:tcW w:w="619" w:type="dxa"/>
            <w:tcBorders>
              <w:left w:val="single" w:color="auto" w:sz="4" w:space="0"/>
              <w:right w:val="single" w:color="auto" w:sz="4" w:space="0"/>
            </w:tcBorders>
            <w:vAlign w:val="center"/>
          </w:tcPr>
          <w:p w14:paraId="5C5F745F">
            <w:pPr>
              <w:autoSpaceDE w:val="0"/>
              <w:autoSpaceDN w:val="0"/>
              <w:spacing w:before="43"/>
              <w:ind w:left="88"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权重</w:t>
            </w:r>
          </w:p>
        </w:tc>
        <w:tc>
          <w:tcPr>
            <w:tcW w:w="5444" w:type="dxa"/>
            <w:tcBorders>
              <w:left w:val="single" w:color="auto" w:sz="4" w:space="0"/>
              <w:right w:val="single" w:color="auto" w:sz="4" w:space="0"/>
            </w:tcBorders>
            <w:vAlign w:val="center"/>
          </w:tcPr>
          <w:p w14:paraId="550059F8">
            <w:pPr>
              <w:autoSpaceDE w:val="0"/>
              <w:autoSpaceDN w:val="0"/>
              <w:spacing w:before="43"/>
              <w:ind w:left="88"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考核/评价细则</w:t>
            </w:r>
          </w:p>
        </w:tc>
      </w:tr>
      <w:tr w14:paraId="153B7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46" w:hRule="atLeast"/>
        </w:trPr>
        <w:tc>
          <w:tcPr>
            <w:tcW w:w="1125" w:type="dxa"/>
            <w:vMerge w:val="restart"/>
            <w:vAlign w:val="center"/>
          </w:tcPr>
          <w:p w14:paraId="514F5D66">
            <w:pPr>
              <w:autoSpaceDE w:val="0"/>
              <w:autoSpaceDN w:val="0"/>
              <w:spacing w:before="112"/>
              <w:ind w:left="11"/>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平时成绩</w:t>
            </w:r>
          </w:p>
        </w:tc>
        <w:tc>
          <w:tcPr>
            <w:tcW w:w="1612" w:type="dxa"/>
            <w:tcBorders>
              <w:right w:val="single" w:color="auto" w:sz="4" w:space="0"/>
            </w:tcBorders>
            <w:vAlign w:val="center"/>
          </w:tcPr>
          <w:p w14:paraId="6CBEE4EC">
            <w:pPr>
              <w:autoSpaceDE w:val="0"/>
              <w:autoSpaceDN w:val="0"/>
              <w:spacing w:before="106"/>
              <w:ind w:left="87"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出勤情况</w:t>
            </w:r>
          </w:p>
        </w:tc>
        <w:tc>
          <w:tcPr>
            <w:tcW w:w="619" w:type="dxa"/>
            <w:tcBorders>
              <w:left w:val="single" w:color="auto" w:sz="4" w:space="0"/>
              <w:right w:val="single" w:color="auto" w:sz="4" w:space="0"/>
            </w:tcBorders>
            <w:vAlign w:val="center"/>
          </w:tcPr>
          <w:p w14:paraId="72612DE3">
            <w:pPr>
              <w:autoSpaceDE w:val="0"/>
              <w:autoSpaceDN w:val="0"/>
              <w:spacing w:before="106"/>
              <w:ind w:left="87"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10%</w:t>
            </w:r>
          </w:p>
        </w:tc>
        <w:tc>
          <w:tcPr>
            <w:tcW w:w="5444" w:type="dxa"/>
            <w:tcBorders>
              <w:left w:val="single" w:color="auto" w:sz="4" w:space="0"/>
              <w:right w:val="single" w:color="auto" w:sz="4" w:space="0"/>
            </w:tcBorders>
            <w:vAlign w:val="center"/>
          </w:tcPr>
          <w:p w14:paraId="152A5CEC">
            <w:pPr>
              <w:autoSpaceDE w:val="0"/>
              <w:autoSpaceDN w:val="0"/>
              <w:spacing w:before="106"/>
              <w:ind w:left="87" w:right="75"/>
              <w:rPr>
                <w:rFonts w:hint="eastAsia" w:ascii="宋体" w:hAnsi="宋体" w:eastAsia="宋体" w:cs="宋体"/>
                <w:kern w:val="0"/>
                <w:szCs w:val="21"/>
                <w:lang w:val="zh-CN" w:bidi="zh-CN"/>
              </w:rPr>
            </w:pPr>
            <w:r>
              <w:rPr>
                <w:rFonts w:hint="eastAsia" w:ascii="宋体" w:hAnsi="宋体" w:eastAsia="宋体" w:cs="宋体"/>
                <w:kern w:val="0"/>
                <w:szCs w:val="21"/>
                <w:lang w:val="zh-CN" w:bidi="zh-CN"/>
              </w:rPr>
              <w:t>课堂不定期点名，考核能否按时到勤，旷课一次扣 20 分，迟到与早退一次扣 10 分。</w:t>
            </w:r>
          </w:p>
        </w:tc>
      </w:tr>
      <w:tr w14:paraId="6E49A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9" w:hRule="atLeast"/>
        </w:trPr>
        <w:tc>
          <w:tcPr>
            <w:tcW w:w="1125" w:type="dxa"/>
            <w:vMerge w:val="continue"/>
            <w:vAlign w:val="center"/>
          </w:tcPr>
          <w:p w14:paraId="2617141A">
            <w:pPr>
              <w:autoSpaceDE w:val="0"/>
              <w:autoSpaceDN w:val="0"/>
              <w:spacing w:before="107"/>
              <w:ind w:left="11"/>
              <w:jc w:val="center"/>
              <w:rPr>
                <w:rFonts w:hint="eastAsia" w:ascii="宋体" w:hAnsi="宋体" w:eastAsia="宋体" w:cs="宋体"/>
                <w:kern w:val="0"/>
                <w:szCs w:val="21"/>
                <w:lang w:val="zh-CN" w:bidi="zh-CN"/>
              </w:rPr>
            </w:pPr>
          </w:p>
        </w:tc>
        <w:tc>
          <w:tcPr>
            <w:tcW w:w="1612" w:type="dxa"/>
            <w:tcBorders>
              <w:right w:val="single" w:color="auto" w:sz="4" w:space="0"/>
            </w:tcBorders>
            <w:vAlign w:val="center"/>
          </w:tcPr>
          <w:p w14:paraId="5E6AEFCD">
            <w:pPr>
              <w:autoSpaceDE w:val="0"/>
              <w:autoSpaceDN w:val="0"/>
              <w:spacing w:before="107"/>
              <w:ind w:left="84"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课堂讨论</w:t>
            </w:r>
          </w:p>
          <w:p w14:paraId="477E7AD1">
            <w:pPr>
              <w:autoSpaceDE w:val="0"/>
              <w:autoSpaceDN w:val="0"/>
              <w:spacing w:before="107"/>
              <w:ind w:left="84"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与作业</w:t>
            </w:r>
          </w:p>
        </w:tc>
        <w:tc>
          <w:tcPr>
            <w:tcW w:w="619" w:type="dxa"/>
            <w:tcBorders>
              <w:left w:val="single" w:color="auto" w:sz="4" w:space="0"/>
              <w:right w:val="single" w:color="auto" w:sz="4" w:space="0"/>
            </w:tcBorders>
            <w:vAlign w:val="center"/>
          </w:tcPr>
          <w:p w14:paraId="5A3A7A9E">
            <w:pPr>
              <w:autoSpaceDE w:val="0"/>
              <w:autoSpaceDN w:val="0"/>
              <w:spacing w:before="107"/>
              <w:ind w:left="84"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30%</w:t>
            </w:r>
          </w:p>
        </w:tc>
        <w:tc>
          <w:tcPr>
            <w:tcW w:w="5444" w:type="dxa"/>
            <w:tcBorders>
              <w:left w:val="single" w:color="auto" w:sz="4" w:space="0"/>
              <w:right w:val="single" w:color="auto" w:sz="4" w:space="0"/>
            </w:tcBorders>
            <w:vAlign w:val="center"/>
          </w:tcPr>
          <w:p w14:paraId="107EDF4F">
            <w:pPr>
              <w:autoSpaceDE w:val="0"/>
              <w:autoSpaceDN w:val="0"/>
              <w:spacing w:before="107"/>
              <w:ind w:left="84" w:right="75"/>
              <w:rPr>
                <w:rFonts w:hint="eastAsia" w:ascii="宋体" w:hAnsi="宋体" w:eastAsia="宋体" w:cs="宋体"/>
                <w:kern w:val="0"/>
                <w:szCs w:val="21"/>
                <w:lang w:val="zh-CN" w:bidi="zh-CN"/>
              </w:rPr>
            </w:pPr>
            <w:r>
              <w:rPr>
                <w:rFonts w:hint="eastAsia" w:ascii="宋体" w:hAnsi="宋体" w:eastAsia="宋体" w:cs="宋体"/>
                <w:spacing w:val="-4"/>
                <w:kern w:val="0"/>
                <w:szCs w:val="21"/>
                <w:lang w:val="zh-CN" w:bidi="zh-CN"/>
              </w:rPr>
              <w:t>听课情况，关注学生听课的精神状态，随时做</w:t>
            </w:r>
            <w:r>
              <w:rPr>
                <w:rFonts w:hint="eastAsia" w:ascii="宋体" w:hAnsi="宋体" w:eastAsia="宋体" w:cs="宋体"/>
                <w:spacing w:val="-5"/>
                <w:kern w:val="0"/>
                <w:szCs w:val="21"/>
                <w:lang w:val="zh-CN" w:bidi="zh-CN"/>
              </w:rPr>
              <w:t>记录，以督促学生按时上课，认真听讲；课堂专题讨论，提高学生上课精神的集中度，并考</w:t>
            </w:r>
            <w:r>
              <w:rPr>
                <w:rFonts w:hint="eastAsia" w:ascii="宋体" w:hAnsi="宋体" w:eastAsia="宋体" w:cs="宋体"/>
                <w:spacing w:val="-9"/>
                <w:kern w:val="0"/>
                <w:szCs w:val="21"/>
                <w:lang w:val="zh-CN" w:bidi="zh-CN"/>
              </w:rPr>
              <w:t>察学生当堂课程的掌握情况</w:t>
            </w:r>
            <w:r>
              <w:rPr>
                <w:rFonts w:hint="eastAsia" w:ascii="宋体" w:hAnsi="宋体" w:eastAsia="宋体" w:cs="宋体"/>
                <w:spacing w:val="-3"/>
                <w:kern w:val="0"/>
                <w:szCs w:val="21"/>
                <w:lang w:val="zh-CN" w:bidi="zh-CN"/>
              </w:rPr>
              <w:t>（</w:t>
            </w:r>
            <w:r>
              <w:rPr>
                <w:rFonts w:hint="eastAsia" w:ascii="宋体" w:hAnsi="宋体" w:eastAsia="宋体" w:cs="宋体"/>
                <w:kern w:val="0"/>
                <w:szCs w:val="21"/>
                <w:lang w:val="zh-CN" w:bidi="zh-CN"/>
              </w:rPr>
              <w:t>占</w:t>
            </w:r>
            <w:r>
              <w:rPr>
                <w:rFonts w:hint="eastAsia" w:ascii="宋体" w:hAnsi="宋体" w:eastAsia="宋体" w:cs="宋体"/>
                <w:spacing w:val="-53"/>
                <w:kern w:val="0"/>
                <w:szCs w:val="21"/>
                <w:lang w:val="zh-CN" w:bidi="zh-CN"/>
              </w:rPr>
              <w:t xml:space="preserve"> </w:t>
            </w:r>
            <w:r>
              <w:rPr>
                <w:rFonts w:hint="eastAsia" w:ascii="宋体" w:hAnsi="宋体" w:eastAsia="宋体" w:cs="宋体"/>
                <w:spacing w:val="-2"/>
                <w:kern w:val="0"/>
                <w:szCs w:val="21"/>
                <w:lang w:val="zh-CN" w:bidi="zh-CN"/>
              </w:rPr>
              <w:t>30</w:t>
            </w:r>
            <w:r>
              <w:rPr>
                <w:rFonts w:hint="eastAsia" w:ascii="宋体" w:hAnsi="宋体" w:eastAsia="宋体" w:cs="宋体"/>
                <w:kern w:val="0"/>
                <w:szCs w:val="21"/>
                <w:lang w:val="zh-CN" w:bidi="zh-CN"/>
              </w:rPr>
              <w:t>%</w:t>
            </w:r>
            <w:r>
              <w:rPr>
                <w:rFonts w:hint="eastAsia" w:ascii="宋体" w:hAnsi="宋体" w:eastAsia="宋体" w:cs="宋体"/>
                <w:spacing w:val="-106"/>
                <w:kern w:val="0"/>
                <w:szCs w:val="21"/>
                <w:lang w:val="zh-CN" w:bidi="zh-CN"/>
              </w:rPr>
              <w:t>）</w:t>
            </w:r>
            <w:r>
              <w:rPr>
                <w:rFonts w:hint="eastAsia" w:ascii="宋体" w:hAnsi="宋体" w:eastAsia="宋体" w:cs="宋体"/>
                <w:spacing w:val="-15"/>
                <w:kern w:val="0"/>
                <w:szCs w:val="21"/>
                <w:lang w:val="zh-CN" w:bidi="zh-CN"/>
              </w:rPr>
              <w:t>；课堂提</w:t>
            </w:r>
            <w:r>
              <w:rPr>
                <w:rFonts w:hint="eastAsia" w:ascii="宋体" w:hAnsi="宋体" w:eastAsia="宋体" w:cs="宋体"/>
                <w:spacing w:val="-8"/>
                <w:kern w:val="0"/>
                <w:szCs w:val="21"/>
                <w:lang w:val="zh-CN" w:bidi="zh-CN"/>
              </w:rPr>
              <w:t xml:space="preserve">问，以目标为话题，课堂给出 </w:t>
            </w:r>
            <w:r>
              <w:rPr>
                <w:rFonts w:hint="eastAsia" w:ascii="宋体" w:hAnsi="宋体" w:eastAsia="宋体" w:cs="宋体"/>
                <w:kern w:val="0"/>
                <w:szCs w:val="21"/>
                <w:lang w:val="zh-CN" w:bidi="zh-CN"/>
              </w:rPr>
              <w:t xml:space="preserve">3~5 </w:t>
            </w:r>
            <w:r>
              <w:rPr>
                <w:rFonts w:hint="eastAsia" w:ascii="宋体" w:hAnsi="宋体" w:eastAsia="宋体" w:cs="宋体"/>
                <w:spacing w:val="-4"/>
                <w:kern w:val="0"/>
                <w:szCs w:val="21"/>
                <w:lang w:val="zh-CN" w:bidi="zh-CN"/>
              </w:rPr>
              <w:t>个题目，以测试学生的掌握情况；作业根据课堂记录与理</w:t>
            </w:r>
            <w:r>
              <w:rPr>
                <w:rFonts w:hint="eastAsia" w:ascii="宋体" w:hAnsi="宋体" w:eastAsia="宋体" w:cs="宋体"/>
                <w:spacing w:val="9"/>
                <w:kern w:val="0"/>
                <w:szCs w:val="21"/>
                <w:lang w:val="zh-CN" w:bidi="zh-CN"/>
              </w:rPr>
              <w:t>解请概述老师每次讲课的核心内容概要（占</w:t>
            </w:r>
            <w:r>
              <w:rPr>
                <w:rFonts w:hint="eastAsia" w:ascii="宋体" w:hAnsi="宋体" w:eastAsia="宋体" w:cs="宋体"/>
                <w:kern w:val="0"/>
                <w:szCs w:val="21"/>
                <w:lang w:val="zh-CN" w:bidi="zh-CN"/>
              </w:rPr>
              <w:t>7</w:t>
            </w:r>
            <w:r>
              <w:rPr>
                <w:rFonts w:hint="eastAsia" w:ascii="宋体" w:hAnsi="宋体" w:eastAsia="宋体" w:cs="宋体"/>
                <w:spacing w:val="-2"/>
                <w:kern w:val="0"/>
                <w:szCs w:val="21"/>
                <w:lang w:val="zh-CN" w:bidi="zh-CN"/>
              </w:rPr>
              <w:t>0</w:t>
            </w:r>
            <w:r>
              <w:rPr>
                <w:rFonts w:hint="eastAsia" w:ascii="宋体" w:hAnsi="宋体" w:eastAsia="宋体" w:cs="宋体"/>
                <w:kern w:val="0"/>
                <w:szCs w:val="21"/>
                <w:lang w:val="zh-CN" w:bidi="zh-CN"/>
              </w:rPr>
              <w:t>%</w:t>
            </w:r>
            <w:r>
              <w:rPr>
                <w:rFonts w:hint="eastAsia" w:ascii="宋体" w:hAnsi="宋体" w:eastAsia="宋体" w:cs="宋体"/>
                <w:spacing w:val="-106"/>
                <w:kern w:val="0"/>
                <w:szCs w:val="21"/>
                <w:lang w:val="zh-CN" w:bidi="zh-CN"/>
              </w:rPr>
              <w:t>）</w:t>
            </w:r>
            <w:r>
              <w:rPr>
                <w:rFonts w:hint="eastAsia" w:ascii="宋体" w:hAnsi="宋体" w:eastAsia="宋体" w:cs="宋体"/>
                <w:kern w:val="0"/>
                <w:szCs w:val="21"/>
                <w:lang w:val="zh-CN" w:bidi="zh-CN"/>
              </w:rPr>
              <w:t>。</w:t>
            </w:r>
          </w:p>
        </w:tc>
      </w:tr>
      <w:tr w14:paraId="49923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6" w:hRule="atLeast"/>
        </w:trPr>
        <w:tc>
          <w:tcPr>
            <w:tcW w:w="1125" w:type="dxa"/>
            <w:vAlign w:val="center"/>
          </w:tcPr>
          <w:p w14:paraId="1999A7EA">
            <w:pPr>
              <w:autoSpaceDE w:val="0"/>
              <w:autoSpaceDN w:val="0"/>
              <w:spacing w:before="107"/>
              <w:ind w:left="11"/>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期末考核</w:t>
            </w:r>
          </w:p>
        </w:tc>
        <w:tc>
          <w:tcPr>
            <w:tcW w:w="1612" w:type="dxa"/>
            <w:tcBorders>
              <w:right w:val="single" w:color="auto" w:sz="4" w:space="0"/>
            </w:tcBorders>
            <w:vAlign w:val="center"/>
          </w:tcPr>
          <w:p w14:paraId="36CB825E">
            <w:pPr>
              <w:autoSpaceDE w:val="0"/>
              <w:autoSpaceDN w:val="0"/>
              <w:spacing w:before="25"/>
              <w:ind w:left="87" w:right="75"/>
              <w:jc w:val="center"/>
              <w:rPr>
                <w:rFonts w:hint="eastAsia" w:ascii="宋体" w:hAnsi="宋体" w:eastAsia="宋体" w:cs="宋体"/>
                <w:kern w:val="0"/>
                <w:szCs w:val="21"/>
                <w:lang w:val="zh-CN" w:bidi="zh-CN"/>
              </w:rPr>
            </w:pPr>
            <w:r>
              <w:rPr>
                <w:rFonts w:hint="eastAsia" w:ascii="宋体" w:hAnsi="宋体" w:eastAsia="宋体" w:cs="宋体"/>
                <w:spacing w:val="-2"/>
                <w:kern w:val="0"/>
                <w:szCs w:val="21"/>
                <w:lang w:val="zh-CN" w:bidi="zh-CN"/>
              </w:rPr>
              <w:t>生涯发展报告</w:t>
            </w:r>
          </w:p>
        </w:tc>
        <w:tc>
          <w:tcPr>
            <w:tcW w:w="619" w:type="dxa"/>
            <w:tcBorders>
              <w:left w:val="single" w:color="auto" w:sz="4" w:space="0"/>
              <w:right w:val="single" w:color="auto" w:sz="4" w:space="0"/>
            </w:tcBorders>
            <w:vAlign w:val="center"/>
          </w:tcPr>
          <w:p w14:paraId="38551921">
            <w:pPr>
              <w:autoSpaceDE w:val="0"/>
              <w:autoSpaceDN w:val="0"/>
              <w:spacing w:before="25"/>
              <w:ind w:left="87" w:right="75"/>
              <w:jc w:val="center"/>
              <w:rPr>
                <w:rFonts w:hint="eastAsia" w:ascii="宋体" w:hAnsi="宋体" w:eastAsia="宋体" w:cs="宋体"/>
                <w:kern w:val="0"/>
                <w:szCs w:val="21"/>
                <w:lang w:val="zh-CN" w:bidi="zh-CN"/>
              </w:rPr>
            </w:pPr>
            <w:r>
              <w:rPr>
                <w:rFonts w:hint="eastAsia" w:ascii="宋体" w:hAnsi="宋体" w:eastAsia="宋体" w:cs="宋体"/>
                <w:kern w:val="0"/>
                <w:szCs w:val="21"/>
                <w:lang w:val="zh-CN" w:bidi="zh-CN"/>
              </w:rPr>
              <w:t>60%</w:t>
            </w:r>
          </w:p>
        </w:tc>
        <w:tc>
          <w:tcPr>
            <w:tcW w:w="5444" w:type="dxa"/>
            <w:tcBorders>
              <w:left w:val="single" w:color="auto" w:sz="4" w:space="0"/>
              <w:right w:val="single" w:color="auto" w:sz="4" w:space="0"/>
            </w:tcBorders>
            <w:vAlign w:val="center"/>
          </w:tcPr>
          <w:p w14:paraId="33B1DDAE">
            <w:pPr>
              <w:autoSpaceDE w:val="0"/>
              <w:autoSpaceDN w:val="0"/>
              <w:spacing w:before="25"/>
              <w:ind w:right="75"/>
              <w:rPr>
                <w:rFonts w:hint="eastAsia" w:ascii="宋体" w:hAnsi="宋体" w:eastAsia="宋体" w:cs="宋体"/>
                <w:kern w:val="0"/>
                <w:szCs w:val="21"/>
                <w:lang w:val="zh-CN" w:bidi="zh-CN"/>
              </w:rPr>
            </w:pPr>
            <w:r>
              <w:rPr>
                <w:rFonts w:hint="eastAsia" w:ascii="宋体" w:hAnsi="宋体" w:eastAsia="宋体" w:cs="宋体"/>
                <w:spacing w:val="-2"/>
                <w:kern w:val="0"/>
                <w:szCs w:val="21"/>
                <w:lang w:val="zh-CN" w:bidi="zh-CN"/>
              </w:rPr>
              <w:t>生涯发展报告</w:t>
            </w:r>
            <w:r>
              <w:rPr>
                <w:rFonts w:hint="eastAsia" w:ascii="宋体" w:hAnsi="宋体" w:eastAsia="宋体" w:cs="宋体"/>
                <w:spacing w:val="-3"/>
                <w:kern w:val="0"/>
                <w:szCs w:val="21"/>
                <w:lang w:val="zh-CN" w:bidi="zh-CN"/>
              </w:rPr>
              <w:t>全面考核学生对课程目标</w:t>
            </w:r>
            <w:r>
              <w:rPr>
                <w:rFonts w:hint="eastAsia" w:ascii="宋体" w:hAnsi="宋体" w:eastAsia="宋体" w:cs="宋体"/>
                <w:spacing w:val="-5"/>
                <w:kern w:val="0"/>
                <w:szCs w:val="21"/>
                <w:lang w:val="zh-CN" w:bidi="zh-CN"/>
              </w:rPr>
              <w:t>的达成情况。</w:t>
            </w:r>
            <w:r>
              <w:rPr>
                <w:rFonts w:hint="eastAsia" w:ascii="宋体" w:hAnsi="宋体" w:eastAsia="宋体" w:cs="宋体"/>
                <w:spacing w:val="-2"/>
                <w:kern w:val="0"/>
                <w:szCs w:val="21"/>
                <w:lang w:val="zh-CN" w:bidi="zh-CN"/>
              </w:rPr>
              <w:t>介绍职业发展规划、实现职业目标的具体行动和成果（PDF 格式，文字不超过 1500 字，</w:t>
            </w:r>
            <w:r>
              <w:rPr>
                <w:rFonts w:hint="eastAsia" w:ascii="宋体" w:hAnsi="宋体" w:eastAsia="宋体" w:cs="宋体"/>
                <w:spacing w:val="-3"/>
                <w:kern w:val="0"/>
                <w:szCs w:val="21"/>
                <w:lang w:val="zh-CN" w:bidi="zh-CN"/>
              </w:rPr>
              <w:t xml:space="preserve">如有图表不超过 5 </w:t>
            </w:r>
            <w:r>
              <w:rPr>
                <w:rFonts w:hint="eastAsia" w:ascii="宋体" w:hAnsi="宋体" w:eastAsia="宋体" w:cs="宋体"/>
                <w:spacing w:val="-5"/>
                <w:kern w:val="0"/>
                <w:szCs w:val="21"/>
                <w:lang w:val="zh-CN" w:bidi="zh-CN"/>
              </w:rPr>
              <w:t>张）。</w:t>
            </w:r>
          </w:p>
        </w:tc>
      </w:tr>
    </w:tbl>
    <w:p w14:paraId="0A1937EC">
      <w:pPr>
        <w:spacing w:before="62" w:beforeLines="20" w:after="62" w:afterLines="20" w:line="360" w:lineRule="auto"/>
        <w:jc w:val="left"/>
        <w:rPr>
          <w:rFonts w:ascii="Times New Roman" w:hAnsi="Times New Roman" w:eastAsia="宋体" w:cs="Times New Roman"/>
          <w:b/>
          <w:sz w:val="24"/>
          <w:lang w:val="zh-CN"/>
        </w:rPr>
      </w:pPr>
      <w:r>
        <w:rPr>
          <w:rFonts w:hint="eastAsia" w:ascii="Times New Roman" w:hAnsi="Times New Roman" w:eastAsia="宋体" w:cs="Times New Roman"/>
          <w:b/>
          <w:sz w:val="24"/>
          <w:lang w:val="zh-CN"/>
        </w:rPr>
        <w:t>六、有关说明</w:t>
      </w:r>
    </w:p>
    <w:p w14:paraId="0483173B">
      <w:pPr>
        <w:autoSpaceDE w:val="0"/>
        <w:autoSpaceDN w:val="0"/>
        <w:spacing w:line="360" w:lineRule="auto"/>
        <w:ind w:firstLine="420" w:firstLineChars="200"/>
        <w:jc w:val="left"/>
        <w:rPr>
          <w:rFonts w:hint="eastAsia" w:ascii="宋体" w:hAnsi="宋体" w:eastAsia="宋体" w:cs="宋体"/>
          <w:kern w:val="0"/>
          <w:szCs w:val="21"/>
          <w:lang w:val="zh-CN" w:bidi="zh-CN"/>
        </w:rPr>
      </w:pPr>
      <w:r>
        <w:rPr>
          <w:rFonts w:hint="eastAsia" w:ascii="宋体" w:hAnsi="宋体" w:eastAsia="宋体" w:cs="宋体"/>
          <w:kern w:val="0"/>
          <w:szCs w:val="21"/>
          <w:lang w:val="zh-CN" w:bidi="zh-CN"/>
        </w:rPr>
        <w:t>本课程根据学生课堂讨论、平时考核情况和学生、教学督导等反馈，及时对教学中不足之处进行改进，并在下一轮课程教学中改进提高，确保相应毕业要求指标点达成。</w:t>
      </w:r>
    </w:p>
    <w:p w14:paraId="341ED247">
      <w:pPr>
        <w:autoSpaceDE w:val="0"/>
        <w:autoSpaceDN w:val="0"/>
        <w:spacing w:line="360" w:lineRule="auto"/>
        <w:ind w:firstLine="420" w:firstLineChars="200"/>
        <w:jc w:val="right"/>
        <w:rPr>
          <w:rFonts w:hint="eastAsia" w:ascii="宋体" w:hAnsi="宋体" w:eastAsia="宋体" w:cs="宋体"/>
          <w:kern w:val="0"/>
          <w:szCs w:val="21"/>
          <w:lang w:bidi="zh-CN"/>
        </w:rPr>
      </w:pPr>
      <w:r>
        <w:rPr>
          <w:rFonts w:hint="eastAsia" w:ascii="宋体" w:hAnsi="宋体" w:eastAsia="宋体" w:cs="宋体"/>
          <w:kern w:val="0"/>
          <w:szCs w:val="21"/>
          <w:lang w:bidi="zh-CN"/>
        </w:rPr>
        <w:t xml:space="preserve">                                              执笔人：庄燕青</w:t>
      </w:r>
    </w:p>
    <w:p w14:paraId="1D75CF34">
      <w:pPr>
        <w:autoSpaceDE w:val="0"/>
        <w:autoSpaceDN w:val="0"/>
        <w:spacing w:line="360" w:lineRule="auto"/>
        <w:ind w:firstLine="420" w:firstLineChars="200"/>
        <w:jc w:val="right"/>
        <w:rPr>
          <w:rFonts w:hint="eastAsia" w:ascii="宋体" w:hAnsi="宋体" w:eastAsia="宋体" w:cs="宋体"/>
          <w:kern w:val="0"/>
          <w:szCs w:val="21"/>
          <w:lang w:bidi="zh-CN"/>
        </w:rPr>
      </w:pPr>
      <w:r>
        <w:rPr>
          <w:rFonts w:hint="eastAsia" w:ascii="宋体" w:hAnsi="宋体" w:eastAsia="宋体" w:cs="宋体"/>
          <w:kern w:val="0"/>
          <w:szCs w:val="21"/>
          <w:lang w:bidi="zh-CN"/>
        </w:rPr>
        <w:t xml:space="preserve">                                              审定人：高  静</w:t>
      </w:r>
    </w:p>
    <w:p w14:paraId="4B9AB676">
      <w:pPr>
        <w:autoSpaceDE w:val="0"/>
        <w:autoSpaceDN w:val="0"/>
        <w:spacing w:line="360" w:lineRule="auto"/>
        <w:ind w:firstLine="420" w:firstLineChars="200"/>
        <w:jc w:val="right"/>
        <w:rPr>
          <w:rFonts w:hint="eastAsia" w:ascii="宋体" w:hAnsi="宋体" w:eastAsia="宋体" w:cs="宋体"/>
          <w:kern w:val="0"/>
          <w:szCs w:val="21"/>
          <w:lang w:bidi="zh-CN"/>
        </w:rPr>
      </w:pPr>
      <w:r>
        <w:rPr>
          <w:rFonts w:hint="eastAsia" w:ascii="宋体" w:hAnsi="宋体" w:eastAsia="宋体" w:cs="宋体"/>
          <w:kern w:val="0"/>
          <w:szCs w:val="21"/>
          <w:lang w:bidi="zh-CN"/>
        </w:rPr>
        <w:t xml:space="preserve">                                              审批人：周嘉禾 </w:t>
      </w:r>
    </w:p>
    <w:p w14:paraId="0956AC08">
      <w:pPr>
        <w:rPr>
          <w:rFonts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5D12563E">
      <w:pPr>
        <w:spacing w:line="360" w:lineRule="auto"/>
        <w:jc w:val="center"/>
        <w:outlineLvl w:val="0"/>
        <w:rPr>
          <w:rFonts w:ascii="Times New Roman" w:hAnsi="Times New Roman" w:eastAsia="宋体" w:cs="Times New Roman"/>
          <w:b/>
          <w:sz w:val="44"/>
          <w:szCs w:val="44"/>
        </w:rPr>
      </w:pPr>
      <w:bookmarkStart w:id="216" w:name="_Toc20473"/>
      <w:r>
        <w:rPr>
          <w:rFonts w:hint="eastAsia" w:ascii="Times New Roman" w:hAnsi="Times New Roman" w:eastAsia="宋体" w:cs="Times New Roman"/>
          <w:b/>
          <w:sz w:val="44"/>
          <w:szCs w:val="44"/>
        </w:rPr>
        <w:t>《大学生就业指导》课程教学大纲</w:t>
      </w:r>
      <w:bookmarkEnd w:id="216"/>
    </w:p>
    <w:p w14:paraId="2383703A">
      <w:pPr>
        <w:spacing w:line="360" w:lineRule="auto"/>
        <w:jc w:val="center"/>
        <w:rPr>
          <w:rFonts w:ascii="Times New Roman" w:hAnsi="Times New Roman" w:eastAsia="宋体" w:cs="Times New Roman"/>
          <w:b/>
          <w:bCs/>
          <w:sz w:val="28"/>
          <w:szCs w:val="28"/>
        </w:rPr>
      </w:pPr>
      <w:bookmarkStart w:id="217" w:name="_Toc11307"/>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Employment Guidance for University Students</w:t>
      </w:r>
      <w:r>
        <w:rPr>
          <w:rFonts w:ascii="Times New Roman" w:hAnsi="Times New Roman" w:eastAsia="宋体" w:cs="Times New Roman"/>
          <w:b/>
          <w:bCs/>
          <w:sz w:val="28"/>
          <w:szCs w:val="28"/>
        </w:rPr>
        <w:t>）</w:t>
      </w:r>
      <w:bookmarkEnd w:id="217"/>
    </w:p>
    <w:p w14:paraId="04752389">
      <w:pPr>
        <w:spacing w:line="360" w:lineRule="auto"/>
        <w:jc w:val="center"/>
        <w:rPr>
          <w:rFonts w:ascii="Times New Roman" w:hAnsi="Times New Roman" w:eastAsia="宋体" w:cs="Times New Roman"/>
          <w:bCs/>
          <w:szCs w:val="21"/>
        </w:rPr>
      </w:pPr>
    </w:p>
    <w:p w14:paraId="1CE0F6A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课程名称：大学生就业指导</w:t>
      </w:r>
    </w:p>
    <w:p w14:paraId="7D63C4E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课程代码：0000007</w:t>
      </w:r>
    </w:p>
    <w:p w14:paraId="7786AAE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分：0.5</w:t>
      </w:r>
    </w:p>
    <w:p w14:paraId="0456AAC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时：8</w:t>
      </w:r>
    </w:p>
    <w:p w14:paraId="0BE30FF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先修课程：大学生职业生涯规划</w:t>
      </w:r>
    </w:p>
    <w:p w14:paraId="20E8C8A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适用专业：所有专业</w:t>
      </w:r>
    </w:p>
    <w:p w14:paraId="1D67936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298EA83E">
      <w:pPr>
        <w:spacing w:line="360" w:lineRule="auto"/>
        <w:ind w:firstLine="420" w:firstLineChars="200"/>
        <w:jc w:val="left"/>
        <w:rPr>
          <w:rFonts w:hint="eastAsia" w:ascii="宋体" w:hAnsi="宋体" w:eastAsia="宋体" w:cs="Times New Roman"/>
          <w:b/>
          <w:szCs w:val="21"/>
        </w:rPr>
      </w:pPr>
      <w:r>
        <w:rPr>
          <w:rFonts w:hint="eastAsia" w:ascii="Times New Roman" w:hAnsi="Times New Roman" w:eastAsia="宋体" w:cs="Times New Roman"/>
          <w:szCs w:val="21"/>
        </w:rPr>
        <w:t>本课程是针对所有在校全日制本科学生开设的公共必修课程。该课程是帮助大学生了解国家就业形势和政策，引导大学生充分认知自我，合理调整职业预期，树立正确的择业观，增强就业竞争意识，掌握求职择业的基本常识和技巧，把握大学生就业市场的特点和功能，提高大学生的择业、就业能力。通过该课程的学习，让学生对社会、职业和自己有更好的认知，积极适应职业角色和社会环境，培养学生尽快适应社会的能力，做好从“学校人”到“社会人”转变的准备。</w:t>
      </w:r>
    </w:p>
    <w:p w14:paraId="60D9137C">
      <w:pPr>
        <w:spacing w:before="62" w:beforeLines="20" w:after="62" w:afterLines="20" w:line="360" w:lineRule="auto"/>
        <w:jc w:val="left"/>
        <w:rPr>
          <w:rFonts w:hint="eastAsia" w:ascii="宋体" w:hAnsi="宋体" w:eastAsia="宋体" w:cs="宋体"/>
          <w:color w:val="000000"/>
          <w:szCs w:val="21"/>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02CD6866">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目标1：了解国家就业形势与政策，树立正确的就业观和择业观。</w:t>
      </w:r>
      <w:r>
        <w:rPr>
          <w:rFonts w:hint="eastAsia" w:ascii="宋体" w:hAnsi="宋体" w:eastAsia="宋体" w:cs="宋体"/>
          <w:color w:val="000000"/>
          <w:szCs w:val="21"/>
          <w:shd w:val="clear" w:color="auto" w:fill="FFFFFF"/>
        </w:rPr>
        <w:br w:type="textWrapping"/>
      </w:r>
      <w:r>
        <w:rPr>
          <w:rFonts w:hint="eastAsia" w:ascii="宋体" w:hAnsi="宋体" w:eastAsia="宋体" w:cs="宋体"/>
          <w:color w:val="000000"/>
          <w:szCs w:val="21"/>
          <w:shd w:val="clear" w:color="auto" w:fill="FFFFFF"/>
        </w:rPr>
        <w:t xml:space="preserve">    目标2：掌握求职基本技能，包括简历制作、面试技巧、信息获取与利用。</w:t>
      </w:r>
      <w:r>
        <w:rPr>
          <w:rFonts w:hint="eastAsia" w:ascii="宋体" w:hAnsi="宋体" w:eastAsia="宋体" w:cs="宋体"/>
          <w:color w:val="000000"/>
          <w:szCs w:val="21"/>
          <w:shd w:val="clear" w:color="auto" w:fill="FFFFFF"/>
        </w:rPr>
        <w:br w:type="textWrapping"/>
      </w:r>
      <w:r>
        <w:rPr>
          <w:rFonts w:hint="eastAsia" w:ascii="宋体" w:hAnsi="宋体" w:eastAsia="宋体" w:cs="宋体"/>
          <w:color w:val="000000"/>
          <w:szCs w:val="21"/>
          <w:shd w:val="clear" w:color="auto" w:fill="FFFFFF"/>
        </w:rPr>
        <w:t xml:space="preserve">    目标3：增强就业竞争意识和职场适应能力，提高就业竞争力。</w:t>
      </w:r>
      <w:r>
        <w:rPr>
          <w:rFonts w:hint="eastAsia" w:ascii="宋体" w:hAnsi="宋体" w:eastAsia="宋体" w:cs="宋体"/>
          <w:color w:val="000000"/>
          <w:szCs w:val="21"/>
          <w:shd w:val="clear" w:color="auto" w:fill="FFFFFF"/>
        </w:rPr>
        <w:br w:type="textWrapping"/>
      </w:r>
      <w:r>
        <w:rPr>
          <w:rFonts w:hint="eastAsia" w:ascii="宋体" w:hAnsi="宋体" w:eastAsia="宋体" w:cs="宋体"/>
          <w:color w:val="000000"/>
          <w:szCs w:val="21"/>
          <w:shd w:val="clear" w:color="auto" w:fill="FFFFFF"/>
        </w:rPr>
        <w:t xml:space="preserve">    目标4：熟悉就业相关法律法规，掌握就业权益保护的基本方法。</w:t>
      </w:r>
      <w:r>
        <w:rPr>
          <w:rFonts w:hint="eastAsia" w:ascii="宋体" w:hAnsi="宋体" w:eastAsia="宋体" w:cs="宋体"/>
          <w:color w:val="000000"/>
          <w:szCs w:val="21"/>
          <w:shd w:val="clear" w:color="auto" w:fill="FFFFFF"/>
        </w:rPr>
        <w:br w:type="textWrapping"/>
      </w:r>
      <w:r>
        <w:rPr>
          <w:rFonts w:hint="eastAsia" w:ascii="宋体" w:hAnsi="宋体" w:eastAsia="宋体" w:cs="宋体"/>
          <w:color w:val="000000"/>
          <w:szCs w:val="21"/>
          <w:shd w:val="clear" w:color="auto" w:fill="FFFFFF"/>
        </w:rPr>
        <w:t xml:space="preserve">   目标5：引导学生开展初步创业探索，培养创业意识与基本素养。</w:t>
      </w:r>
    </w:p>
    <w:p w14:paraId="1D2AB732">
      <w:pPr>
        <w:widowControl/>
        <w:spacing w:line="360" w:lineRule="auto"/>
        <w:ind w:right="528" w:firstLine="422" w:firstLineChars="200"/>
        <w:rPr>
          <w:rFonts w:hint="eastAsia"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rPr>
        <w:t>课程思政育人目标：</w:t>
      </w:r>
    </w:p>
    <w:p w14:paraId="0AC2BE1B">
      <w:pPr>
        <w:widowControl/>
        <w:spacing w:line="360" w:lineRule="auto"/>
        <w:ind w:right="528" w:firstLine="420" w:firstLineChars="200"/>
        <w:rPr>
          <w:rFonts w:hint="eastAsia"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1.弘扬社会主义核心价值观，引导学生树立服务国家、奉献社会的职业理想。</w:t>
      </w:r>
      <w:r>
        <w:rPr>
          <w:rFonts w:hint="eastAsia" w:ascii="宋体" w:hAnsi="宋体" w:eastAsia="宋体" w:cs="宋体"/>
          <w:color w:val="000000"/>
          <w:szCs w:val="21"/>
          <w:shd w:val="clear" w:color="auto" w:fill="FFFFFF"/>
        </w:rPr>
        <w:br w:type="textWrapping"/>
      </w:r>
      <w:r>
        <w:rPr>
          <w:rFonts w:hint="eastAsia" w:ascii="宋体" w:hAnsi="宋体" w:eastAsia="宋体" w:cs="宋体"/>
          <w:color w:val="000000"/>
          <w:szCs w:val="21"/>
          <w:shd w:val="clear" w:color="auto" w:fill="FFFFFF"/>
        </w:rPr>
        <w:t xml:space="preserve">    2.强化诚信意识、法治意识和契约精神，培养社会责任感和职业道德。</w:t>
      </w:r>
    </w:p>
    <w:p w14:paraId="6C03BA1E">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3.鼓励学生立足专业、扎根基层，在奋斗中实现人生价值。</w:t>
      </w:r>
    </w:p>
    <w:p w14:paraId="66080675">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课程目标与毕业要求观测点的对应关系如表1所示。</w:t>
      </w:r>
    </w:p>
    <w:p w14:paraId="5CECB68E">
      <w:pPr>
        <w:widowControl/>
        <w:spacing w:line="360" w:lineRule="auto"/>
        <w:ind w:left="528" w:right="528" w:firstLine="420" w:firstLineChars="200"/>
        <w:jc w:val="center"/>
        <w:rPr>
          <w:rFonts w:hint="eastAsia"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表1 课程目标与毕业要求观测点的对应关系</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6020"/>
        <w:gridCol w:w="1538"/>
      </w:tblGrid>
      <w:tr w14:paraId="56F6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00244FB0">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6020" w:type="dxa"/>
            <w:vAlign w:val="center"/>
          </w:tcPr>
          <w:p w14:paraId="0C11CE36">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538" w:type="dxa"/>
            <w:vAlign w:val="center"/>
          </w:tcPr>
          <w:p w14:paraId="222094BC">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560D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500F0BF4">
            <w:pPr>
              <w:jc w:val="center"/>
              <w:rPr>
                <w:rFonts w:hint="eastAsia" w:ascii="宋体" w:hAnsi="宋体" w:eastAsia="宋体" w:cs="Times New Roman"/>
                <w:szCs w:val="23"/>
              </w:rPr>
            </w:pPr>
            <w:r>
              <w:rPr>
                <w:rFonts w:ascii="宋体" w:hAnsi="宋体" w:eastAsia="宋体" w:cs="Times New Roman"/>
                <w:szCs w:val="23"/>
              </w:rPr>
              <w:t>毕业要求1</w:t>
            </w:r>
          </w:p>
          <w:p w14:paraId="6C4A6967">
            <w:pPr>
              <w:jc w:val="center"/>
              <w:rPr>
                <w:rFonts w:hint="eastAsia" w:ascii="宋体" w:hAnsi="宋体" w:eastAsia="宋体" w:cs="Times New Roman"/>
                <w:szCs w:val="23"/>
              </w:rPr>
            </w:pPr>
            <w:r>
              <w:rPr>
                <w:rFonts w:ascii="宋体" w:hAnsi="宋体" w:eastAsia="宋体" w:cs="Times New Roman"/>
                <w:szCs w:val="23"/>
              </w:rPr>
              <w:t>师德规范</w:t>
            </w:r>
          </w:p>
        </w:tc>
        <w:tc>
          <w:tcPr>
            <w:tcW w:w="6020" w:type="dxa"/>
            <w:vAlign w:val="center"/>
          </w:tcPr>
          <w:p w14:paraId="7DBA857B">
            <w:pPr>
              <w:spacing w:line="276" w:lineRule="auto"/>
              <w:jc w:val="left"/>
              <w:rPr>
                <w:rFonts w:hint="eastAsia" w:ascii="宋体" w:hAnsi="宋体" w:eastAsia="宋体" w:cs="Times New Roman"/>
                <w:bCs/>
                <w:szCs w:val="21"/>
              </w:rPr>
            </w:pPr>
            <w:r>
              <w:rPr>
                <w:rFonts w:hint="eastAsia" w:ascii="宋体" w:hAnsi="宋体" w:eastAsia="宋体" w:cs="Times New Roman"/>
                <w:bCs/>
                <w:kern w:val="0"/>
                <w:szCs w:val="21"/>
              </w:rPr>
              <w:t>指标点1-2</w:t>
            </w:r>
            <w:r>
              <w:rPr>
                <w:rFonts w:ascii="宋体" w:hAnsi="宋体" w:eastAsia="宋体" w:cs="Times New Roman"/>
                <w:bCs/>
                <w:szCs w:val="21"/>
              </w:rPr>
              <w:t>：</w:t>
            </w:r>
            <w:r>
              <w:rPr>
                <w:rFonts w:hint="eastAsia" w:ascii="宋体" w:hAnsi="宋体" w:eastAsia="宋体" w:cs="宋体"/>
                <w:bCs/>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w:t>
            </w:r>
          </w:p>
        </w:tc>
        <w:tc>
          <w:tcPr>
            <w:tcW w:w="1538" w:type="dxa"/>
            <w:vAlign w:val="center"/>
          </w:tcPr>
          <w:p w14:paraId="779FC3A1">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w:t>
            </w:r>
          </w:p>
          <w:p w14:paraId="4720F2BF">
            <w:pPr>
              <w:spacing w:line="276" w:lineRule="auto"/>
              <w:jc w:val="left"/>
              <w:rPr>
                <w:rFonts w:hint="eastAsia" w:ascii="宋体" w:hAnsi="宋体" w:eastAsia="宋体" w:cs="Times New Roman"/>
                <w:szCs w:val="21"/>
              </w:rPr>
            </w:pPr>
            <w:r>
              <w:rPr>
                <w:rFonts w:hint="eastAsia" w:ascii="宋体" w:hAnsi="宋体" w:eastAsia="宋体" w:cs="Times New Roman"/>
                <w:szCs w:val="21"/>
              </w:rPr>
              <w:t>1、2、3、4、5</w:t>
            </w:r>
          </w:p>
        </w:tc>
      </w:tr>
      <w:tr w14:paraId="3210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597F46EF">
            <w:pPr>
              <w:widowControl/>
              <w:jc w:val="center"/>
              <w:rPr>
                <w:rFonts w:hint="eastAsia" w:ascii="宋体" w:hAnsi="宋体" w:eastAsia="宋体" w:cs="Times New Roman"/>
                <w:kern w:val="0"/>
                <w:szCs w:val="21"/>
              </w:rPr>
            </w:pPr>
            <w:r>
              <w:rPr>
                <w:rFonts w:ascii="宋体" w:hAnsi="宋体" w:eastAsia="宋体" w:cs="Times New Roman"/>
                <w:kern w:val="0"/>
                <w:szCs w:val="21"/>
              </w:rPr>
              <w:t>毕业要求2</w:t>
            </w:r>
          </w:p>
          <w:p w14:paraId="02D11692">
            <w:pPr>
              <w:widowControl/>
              <w:jc w:val="center"/>
              <w:rPr>
                <w:rFonts w:hint="eastAsia" w:ascii="宋体" w:hAnsi="宋体" w:eastAsia="宋体" w:cs="Times New Roman"/>
                <w:szCs w:val="23"/>
              </w:rPr>
            </w:pPr>
            <w:r>
              <w:rPr>
                <w:rFonts w:ascii="宋体" w:hAnsi="宋体" w:eastAsia="宋体" w:cs="Times New Roman"/>
                <w:szCs w:val="23"/>
              </w:rPr>
              <w:t>教育情怀</w:t>
            </w:r>
          </w:p>
        </w:tc>
        <w:tc>
          <w:tcPr>
            <w:tcW w:w="6020" w:type="dxa"/>
            <w:vAlign w:val="center"/>
          </w:tcPr>
          <w:p w14:paraId="2A5B870D">
            <w:pPr>
              <w:spacing w:line="276" w:lineRule="auto"/>
              <w:jc w:val="left"/>
              <w:rPr>
                <w:rFonts w:hint="eastAsia" w:ascii="宋体" w:hAnsi="宋体" w:eastAsia="宋体" w:cs="Times New Roman"/>
                <w:bCs/>
                <w:szCs w:val="21"/>
              </w:rPr>
            </w:pPr>
            <w:r>
              <w:rPr>
                <w:rFonts w:hint="eastAsia" w:ascii="宋体" w:hAnsi="宋体" w:eastAsia="宋体" w:cs="Times New Roman"/>
                <w:bCs/>
                <w:kern w:val="0"/>
                <w:szCs w:val="21"/>
              </w:rPr>
              <w:t>指标点2-3</w:t>
            </w:r>
            <w:r>
              <w:rPr>
                <w:rFonts w:ascii="宋体" w:hAnsi="宋体" w:eastAsia="宋体" w:cs="Times New Roman"/>
                <w:bCs/>
                <w:szCs w:val="21"/>
              </w:rPr>
              <w:t>：</w:t>
            </w:r>
            <w:r>
              <w:rPr>
                <w:rFonts w:hint="eastAsia" w:ascii="宋体" w:hAnsi="宋体" w:eastAsia="宋体" w:cs="宋体"/>
                <w:bCs/>
                <w:szCs w:val="21"/>
              </w:rPr>
              <w:t>【自身修养良好】具有较好的人文艺术底蕴与科学精神，言行举止符合教师职业标准，情感积极，人格健全，身心健康。</w:t>
            </w:r>
          </w:p>
        </w:tc>
        <w:tc>
          <w:tcPr>
            <w:tcW w:w="1538" w:type="dxa"/>
            <w:vAlign w:val="center"/>
          </w:tcPr>
          <w:p w14:paraId="1458D76B">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w:t>
            </w:r>
          </w:p>
          <w:p w14:paraId="2F4CD83F">
            <w:pPr>
              <w:spacing w:line="276" w:lineRule="auto"/>
              <w:jc w:val="left"/>
              <w:rPr>
                <w:rFonts w:hint="eastAsia" w:ascii="宋体" w:hAnsi="宋体" w:eastAsia="宋体" w:cs="Times New Roman"/>
                <w:szCs w:val="21"/>
              </w:rPr>
            </w:pPr>
            <w:r>
              <w:rPr>
                <w:rFonts w:hint="eastAsia" w:ascii="宋体" w:hAnsi="宋体" w:eastAsia="宋体" w:cs="Times New Roman"/>
                <w:szCs w:val="21"/>
              </w:rPr>
              <w:t>1、2、3、4、5</w:t>
            </w:r>
          </w:p>
        </w:tc>
      </w:tr>
      <w:tr w14:paraId="63EE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47DA4D71">
            <w:pPr>
              <w:jc w:val="center"/>
              <w:rPr>
                <w:rFonts w:hint="eastAsia" w:ascii="宋体" w:hAnsi="宋体" w:eastAsia="宋体" w:cs="Times New Roman"/>
                <w:kern w:val="0"/>
                <w:szCs w:val="21"/>
              </w:rPr>
            </w:pPr>
            <w:r>
              <w:rPr>
                <w:rFonts w:ascii="宋体" w:hAnsi="宋体" w:eastAsia="宋体" w:cs="Times New Roman"/>
                <w:kern w:val="0"/>
                <w:szCs w:val="21"/>
              </w:rPr>
              <w:t>毕业要求</w:t>
            </w:r>
            <w:r>
              <w:rPr>
                <w:rFonts w:hint="eastAsia" w:ascii="宋体" w:hAnsi="宋体" w:eastAsia="宋体" w:cs="Times New Roman"/>
                <w:kern w:val="0"/>
                <w:szCs w:val="21"/>
              </w:rPr>
              <w:t>7</w:t>
            </w:r>
          </w:p>
          <w:p w14:paraId="1CD9BAC6">
            <w:pPr>
              <w:jc w:val="center"/>
              <w:rPr>
                <w:rFonts w:hint="eastAsia" w:ascii="宋体" w:hAnsi="宋体" w:eastAsia="宋体" w:cs="Times New Roman"/>
                <w:szCs w:val="23"/>
              </w:rPr>
            </w:pPr>
            <w:r>
              <w:rPr>
                <w:rFonts w:hint="eastAsia" w:ascii="宋体" w:hAnsi="宋体" w:eastAsia="宋体" w:cs="Times New Roman"/>
                <w:szCs w:val="23"/>
              </w:rPr>
              <w:t>学会反思</w:t>
            </w:r>
          </w:p>
        </w:tc>
        <w:tc>
          <w:tcPr>
            <w:tcW w:w="6020" w:type="dxa"/>
            <w:vAlign w:val="center"/>
          </w:tcPr>
          <w:p w14:paraId="67DF05C9">
            <w:pPr>
              <w:spacing w:line="276" w:lineRule="auto"/>
              <w:jc w:val="left"/>
              <w:rPr>
                <w:rFonts w:hint="eastAsia" w:ascii="宋体" w:hAnsi="宋体" w:eastAsia="宋体" w:cs="Times New Roman"/>
                <w:bCs/>
                <w:szCs w:val="21"/>
              </w:rPr>
            </w:pPr>
            <w:r>
              <w:rPr>
                <w:rFonts w:hint="eastAsia" w:ascii="宋体" w:hAnsi="宋体" w:cs="宋体"/>
                <w:bCs/>
                <w:kern w:val="0"/>
                <w:sz w:val="20"/>
                <w:szCs w:val="20"/>
              </w:rPr>
              <w:t>指标点</w:t>
            </w:r>
            <w:r>
              <w:rPr>
                <w:rFonts w:hint="eastAsia" w:ascii="宋体" w:hAnsi="宋体" w:cs="宋体"/>
                <w:bCs/>
                <w:sz w:val="20"/>
                <w:szCs w:val="20"/>
              </w:rPr>
              <w:t>7-2：【职业规划合理】了解教师专业发展的要求，形成终身学习的意识和习惯，注重自身的专业发展，根据基础教育课程改革的动态和发展情况，进行职业生涯规划和自主学习。</w:t>
            </w:r>
          </w:p>
        </w:tc>
        <w:tc>
          <w:tcPr>
            <w:tcW w:w="1538" w:type="dxa"/>
            <w:vAlign w:val="center"/>
          </w:tcPr>
          <w:p w14:paraId="71EDD146">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w:t>
            </w:r>
          </w:p>
          <w:p w14:paraId="4B8261CA">
            <w:pPr>
              <w:spacing w:line="276" w:lineRule="auto"/>
              <w:jc w:val="left"/>
              <w:rPr>
                <w:rFonts w:hint="eastAsia" w:ascii="宋体" w:hAnsi="宋体" w:eastAsia="宋体" w:cs="Times New Roman"/>
                <w:szCs w:val="21"/>
              </w:rPr>
            </w:pPr>
            <w:r>
              <w:rPr>
                <w:rFonts w:hint="eastAsia" w:ascii="宋体" w:hAnsi="宋体" w:eastAsia="宋体" w:cs="Times New Roman"/>
                <w:szCs w:val="21"/>
              </w:rPr>
              <w:t>1、2、3、4、5</w:t>
            </w:r>
          </w:p>
        </w:tc>
      </w:tr>
    </w:tbl>
    <w:p w14:paraId="4C5FF0D7">
      <w:pPr>
        <w:widowControl/>
        <w:spacing w:line="360" w:lineRule="auto"/>
        <w:ind w:right="528" w:firstLine="422" w:firstLineChars="200"/>
        <w:rPr>
          <w:rFonts w:hint="eastAsia" w:ascii="宋体" w:hAnsi="宋体" w:eastAsia="宋体" w:cs="宋体"/>
          <w:b/>
          <w:bCs/>
          <w:color w:val="000000"/>
          <w:szCs w:val="21"/>
          <w:shd w:val="clear" w:color="auto" w:fill="FFFFFF"/>
        </w:rPr>
      </w:pPr>
      <w:r>
        <w:rPr>
          <w:rFonts w:hint="eastAsia" w:ascii="宋体" w:hAnsi="宋体" w:eastAsia="宋体" w:cs="宋体"/>
          <w:b/>
          <w:bCs/>
          <w:color w:val="000000"/>
          <w:szCs w:val="21"/>
          <w:shd w:val="clear" w:color="auto" w:fill="FFFFFF"/>
        </w:rPr>
        <w:t>三、课程内容及要求</w:t>
      </w:r>
    </w:p>
    <w:tbl>
      <w:tblPr>
        <w:tblStyle w:val="11"/>
        <w:tblW w:w="9010" w:type="dxa"/>
        <w:tblInd w:w="98" w:type="dxa"/>
        <w:tblLayout w:type="fixed"/>
        <w:tblCellMar>
          <w:top w:w="0" w:type="dxa"/>
          <w:left w:w="108" w:type="dxa"/>
          <w:bottom w:w="0" w:type="dxa"/>
          <w:right w:w="108" w:type="dxa"/>
        </w:tblCellMar>
      </w:tblPr>
      <w:tblGrid>
        <w:gridCol w:w="1533"/>
        <w:gridCol w:w="1003"/>
        <w:gridCol w:w="6474"/>
      </w:tblGrid>
      <w:tr w14:paraId="4F01A564">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14:paraId="17A752BB">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第一章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091D959F">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发现美丽就业机会</w:t>
            </w:r>
          </w:p>
        </w:tc>
      </w:tr>
      <w:tr w14:paraId="35984516">
        <w:tblPrEx>
          <w:tblCellMar>
            <w:top w:w="0" w:type="dxa"/>
            <w:left w:w="108" w:type="dxa"/>
            <w:bottom w:w="0" w:type="dxa"/>
            <w:right w:w="108" w:type="dxa"/>
          </w:tblCellMar>
        </w:tblPrEx>
        <w:trPr>
          <w:trHeight w:val="150"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0D32C2C0">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基本要求</w:t>
            </w:r>
          </w:p>
        </w:tc>
        <w:tc>
          <w:tcPr>
            <w:tcW w:w="6474" w:type="dxa"/>
            <w:tcBorders>
              <w:top w:val="single" w:color="000000" w:sz="4" w:space="0"/>
              <w:left w:val="single" w:color="000000" w:sz="4" w:space="0"/>
              <w:bottom w:val="single" w:color="000000" w:sz="4" w:space="0"/>
              <w:right w:val="single" w:color="000000" w:sz="4" w:space="0"/>
            </w:tcBorders>
            <w:vAlign w:val="center"/>
          </w:tcPr>
          <w:p w14:paraId="6F65F5EC">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本章应使学生了解当前大学生就业的环境，熟悉大学生就业的有利条件和不利因素，掌握自我探索和职业探索的方法。</w:t>
            </w:r>
          </w:p>
        </w:tc>
      </w:tr>
      <w:tr w14:paraId="1DC2C2BD">
        <w:tblPrEx>
          <w:tblCellMar>
            <w:top w:w="0" w:type="dxa"/>
            <w:left w:w="108" w:type="dxa"/>
            <w:bottom w:w="0" w:type="dxa"/>
            <w:right w:w="108" w:type="dxa"/>
          </w:tblCellMar>
        </w:tblPrEx>
        <w:trPr>
          <w:trHeight w:val="90"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2D9F3BA1">
            <w:pPr>
              <w:widowControl/>
              <w:ind w:firstLine="420" w:firstLineChars="20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重点、难点</w:t>
            </w:r>
          </w:p>
        </w:tc>
        <w:tc>
          <w:tcPr>
            <w:tcW w:w="6474" w:type="dxa"/>
            <w:tcBorders>
              <w:top w:val="single" w:color="000000" w:sz="4" w:space="0"/>
              <w:left w:val="single" w:color="000000" w:sz="4" w:space="0"/>
              <w:bottom w:val="single" w:color="000000" w:sz="4" w:space="0"/>
              <w:right w:val="single" w:color="000000" w:sz="4" w:space="0"/>
            </w:tcBorders>
            <w:vAlign w:val="center"/>
          </w:tcPr>
          <w:p w14:paraId="50BF52C6">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重点：积极应对就业严峻形势、中央部门组织实施的基层就业政策、自我探索</w:t>
            </w:r>
          </w:p>
          <w:p w14:paraId="56D7541D">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难点：大学毕业生就业难的原因、职业探索</w:t>
            </w:r>
          </w:p>
        </w:tc>
      </w:tr>
      <w:tr w14:paraId="0556A309">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vAlign w:val="center"/>
          </w:tcPr>
          <w:p w14:paraId="53B59D35">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教学内容</w:t>
            </w:r>
          </w:p>
        </w:tc>
        <w:tc>
          <w:tcPr>
            <w:tcW w:w="1003" w:type="dxa"/>
            <w:tcBorders>
              <w:top w:val="single" w:color="000000" w:sz="4" w:space="0"/>
              <w:left w:val="single" w:color="000000" w:sz="4" w:space="0"/>
              <w:bottom w:val="single" w:color="000000" w:sz="4" w:space="0"/>
              <w:right w:val="single" w:color="000000" w:sz="4" w:space="0"/>
            </w:tcBorders>
            <w:vAlign w:val="center"/>
          </w:tcPr>
          <w:p w14:paraId="795CDE34">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第一节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7AC57CE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就业形势分析</w:t>
            </w:r>
          </w:p>
        </w:tc>
      </w:tr>
      <w:tr w14:paraId="348DBB04">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7B94B6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A8DFADE">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43DDF1B0">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大学生就业的基本情况</w:t>
            </w:r>
          </w:p>
        </w:tc>
      </w:tr>
      <w:tr w14:paraId="66C9933A">
        <w:tblPrEx>
          <w:tblCellMar>
            <w:top w:w="0" w:type="dxa"/>
            <w:left w:w="108" w:type="dxa"/>
            <w:bottom w:w="0" w:type="dxa"/>
            <w:right w:w="108" w:type="dxa"/>
          </w:tblCellMar>
        </w:tblPrEx>
        <w:trPr>
          <w:trHeight w:val="90" w:hRule="atLeast"/>
        </w:trPr>
        <w:tc>
          <w:tcPr>
            <w:tcW w:w="1533" w:type="dxa"/>
            <w:vMerge w:val="continue"/>
            <w:tcBorders>
              <w:left w:val="single" w:color="000000" w:sz="4" w:space="0"/>
              <w:right w:val="single" w:color="000000" w:sz="4" w:space="0"/>
            </w:tcBorders>
            <w:vAlign w:val="center"/>
          </w:tcPr>
          <w:p w14:paraId="3C4C4645">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5309949">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447565A7">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大学生就业的严峻形势</w:t>
            </w:r>
          </w:p>
        </w:tc>
      </w:tr>
      <w:tr w14:paraId="5E22C151">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5E2216EC">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CD6496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23CBD7CE">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大学毕业生就业难的原因</w:t>
            </w:r>
          </w:p>
        </w:tc>
      </w:tr>
      <w:tr w14:paraId="2A1F9C89">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765F2534">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B23217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4DC8C44D">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积极应对就业严峻形势</w:t>
            </w:r>
          </w:p>
        </w:tc>
      </w:tr>
      <w:tr w14:paraId="3DC8EFC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9C4F017">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33B5E4D">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第二节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079D6F71">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高校毕业生就业政策</w:t>
            </w:r>
          </w:p>
        </w:tc>
      </w:tr>
      <w:tr w14:paraId="0A2D4B81">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0A2B7AC">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D6D254A">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3F3C5FA0">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中央部门组织实施的基层就业政策</w:t>
            </w:r>
          </w:p>
        </w:tc>
      </w:tr>
      <w:tr w14:paraId="3994F7E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06B64731">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9D5E68A">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3DF9F767">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大学生应征入伍的相关政策</w:t>
            </w:r>
          </w:p>
        </w:tc>
      </w:tr>
      <w:tr w14:paraId="2B4886C6">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22F6DEFD">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3D55EBB">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5BA02F6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特殊群体就业政策</w:t>
            </w:r>
          </w:p>
        </w:tc>
      </w:tr>
      <w:tr w14:paraId="2C0CDCA9">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8671E6B">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706A31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64ABC0B5">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高校毕业生自主创业政策</w:t>
            </w:r>
          </w:p>
        </w:tc>
      </w:tr>
      <w:tr w14:paraId="126DB47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047A115F">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9F9120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6474" w:type="dxa"/>
            <w:tcBorders>
              <w:top w:val="single" w:color="000000" w:sz="4" w:space="0"/>
              <w:left w:val="single" w:color="000000" w:sz="4" w:space="0"/>
              <w:bottom w:val="single" w:color="000000" w:sz="4" w:space="0"/>
              <w:right w:val="single" w:color="000000" w:sz="4" w:space="0"/>
            </w:tcBorders>
            <w:vAlign w:val="center"/>
          </w:tcPr>
          <w:p w14:paraId="43363A77">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大学生就业政策与制度的总体特征评析</w:t>
            </w:r>
          </w:p>
        </w:tc>
      </w:tr>
      <w:tr w14:paraId="564FD667">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5B1B6F1">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DC3F060">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第三节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40E96EE3">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就业选择</w:t>
            </w:r>
          </w:p>
        </w:tc>
      </w:tr>
      <w:tr w14:paraId="704392B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FE1026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625690F">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643C16CD">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就业选择中常见的问题</w:t>
            </w:r>
          </w:p>
        </w:tc>
      </w:tr>
      <w:tr w14:paraId="5937EF78">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B601A98">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0E92856">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6BBD5377">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自我探索</w:t>
            </w:r>
          </w:p>
        </w:tc>
      </w:tr>
      <w:tr w14:paraId="36E123E4">
        <w:tblPrEx>
          <w:tblCellMar>
            <w:top w:w="0" w:type="dxa"/>
            <w:left w:w="108" w:type="dxa"/>
            <w:bottom w:w="0" w:type="dxa"/>
            <w:right w:w="108" w:type="dxa"/>
          </w:tblCellMar>
        </w:tblPrEx>
        <w:trPr>
          <w:trHeight w:val="360" w:hRule="atLeast"/>
        </w:trPr>
        <w:tc>
          <w:tcPr>
            <w:tcW w:w="1533" w:type="dxa"/>
            <w:vMerge w:val="continue"/>
            <w:tcBorders>
              <w:left w:val="single" w:color="000000" w:sz="4" w:space="0"/>
              <w:bottom w:val="single" w:color="000000" w:sz="4" w:space="0"/>
              <w:right w:val="single" w:color="000000" w:sz="4" w:space="0"/>
            </w:tcBorders>
            <w:vAlign w:val="center"/>
          </w:tcPr>
          <w:p w14:paraId="51EAB685">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468E3A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36F38279">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职业探索</w:t>
            </w:r>
          </w:p>
        </w:tc>
      </w:tr>
      <w:tr w14:paraId="2D7FC846">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14:paraId="762AA3B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第二章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5CD68A2D">
            <w:pPr>
              <w:widowControl/>
              <w:ind w:firstLine="420" w:firstLineChars="20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求职能力的提升</w:t>
            </w:r>
          </w:p>
        </w:tc>
      </w:tr>
      <w:tr w14:paraId="24BC44A9">
        <w:tblPrEx>
          <w:tblCellMar>
            <w:top w:w="0" w:type="dxa"/>
            <w:left w:w="108" w:type="dxa"/>
            <w:bottom w:w="0" w:type="dxa"/>
            <w:right w:w="108" w:type="dxa"/>
          </w:tblCellMar>
        </w:tblPrEx>
        <w:trPr>
          <w:trHeight w:val="310"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1A32FCCC">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基本要求</w:t>
            </w:r>
          </w:p>
        </w:tc>
        <w:tc>
          <w:tcPr>
            <w:tcW w:w="6474" w:type="dxa"/>
            <w:tcBorders>
              <w:top w:val="single" w:color="000000" w:sz="4" w:space="0"/>
              <w:left w:val="single" w:color="000000" w:sz="4" w:space="0"/>
              <w:bottom w:val="single" w:color="000000" w:sz="4" w:space="0"/>
              <w:right w:val="single" w:color="000000" w:sz="4" w:space="0"/>
            </w:tcBorders>
            <w:vAlign w:val="center"/>
          </w:tcPr>
          <w:p w14:paraId="3118F002">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本章应使学生了解基本的逻辑思维和沟通表达的方法，通过学习时间管理，有效规划求职进程以及日常安排。</w:t>
            </w:r>
          </w:p>
        </w:tc>
      </w:tr>
      <w:tr w14:paraId="676240E2">
        <w:tblPrEx>
          <w:tblCellMar>
            <w:top w:w="0" w:type="dxa"/>
            <w:left w:w="108" w:type="dxa"/>
            <w:bottom w:w="0" w:type="dxa"/>
            <w:right w:w="108" w:type="dxa"/>
          </w:tblCellMar>
        </w:tblPrEx>
        <w:trPr>
          <w:trHeight w:val="938"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65A2C94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重点、难点</w:t>
            </w:r>
          </w:p>
        </w:tc>
        <w:tc>
          <w:tcPr>
            <w:tcW w:w="6474" w:type="dxa"/>
            <w:tcBorders>
              <w:top w:val="single" w:color="000000" w:sz="4" w:space="0"/>
              <w:left w:val="single" w:color="000000" w:sz="4" w:space="0"/>
              <w:bottom w:val="single" w:color="000000" w:sz="4" w:space="0"/>
              <w:right w:val="single" w:color="000000" w:sz="4" w:space="0"/>
            </w:tcBorders>
            <w:vAlign w:val="center"/>
          </w:tcPr>
          <w:p w14:paraId="310FB5DB">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重点：求职过程中的有效沟通、大学生休闲角色的定位与平衡、运用认知信息加工理论开展职业生涯规划</w:t>
            </w:r>
          </w:p>
          <w:p w14:paraId="42C053F9">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难点：邂逅逻辑思维、解锁分析法宝</w:t>
            </w:r>
          </w:p>
        </w:tc>
      </w:tr>
      <w:tr w14:paraId="5A3603EF">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vAlign w:val="center"/>
          </w:tcPr>
          <w:p w14:paraId="3F601E9B">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教学内容</w:t>
            </w:r>
          </w:p>
        </w:tc>
        <w:tc>
          <w:tcPr>
            <w:tcW w:w="1003" w:type="dxa"/>
            <w:tcBorders>
              <w:top w:val="single" w:color="000000" w:sz="4" w:space="0"/>
              <w:left w:val="single" w:color="000000" w:sz="4" w:space="0"/>
              <w:bottom w:val="single" w:color="000000" w:sz="4" w:space="0"/>
              <w:right w:val="single" w:color="000000" w:sz="4" w:space="0"/>
            </w:tcBorders>
            <w:vAlign w:val="center"/>
          </w:tcPr>
          <w:p w14:paraId="6582E77D">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第一节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69F795AD">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就业思维能力</w:t>
            </w:r>
          </w:p>
        </w:tc>
      </w:tr>
      <w:tr w14:paraId="076B6F8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541CBDA">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283656D8">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47AE5E7B">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邂逅逻辑思维</w:t>
            </w:r>
          </w:p>
        </w:tc>
      </w:tr>
      <w:tr w14:paraId="626C63E4">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FA13AAC">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2754A2AA">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74F126DA">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解锁分析法宝</w:t>
            </w:r>
          </w:p>
        </w:tc>
      </w:tr>
      <w:tr w14:paraId="212FC1D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734114D7">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22C97557">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第二节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25A7608D">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沟通与表达能力</w:t>
            </w:r>
          </w:p>
        </w:tc>
      </w:tr>
      <w:tr w14:paraId="29CE1369">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02B1211">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F60F748">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55FB6E94">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沟通与表达的三要素</w:t>
            </w:r>
          </w:p>
        </w:tc>
      </w:tr>
      <w:tr w14:paraId="343E879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1CB6F58">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47B78C1">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1FD472A3">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沟通与表达的态度</w:t>
            </w:r>
          </w:p>
        </w:tc>
      </w:tr>
      <w:tr w14:paraId="280E4213">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5DE59F4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D1C2954">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4C6A60B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有效信息</w:t>
            </w:r>
          </w:p>
        </w:tc>
      </w:tr>
      <w:tr w14:paraId="4E0D881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6099FB4">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A409D3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1BDB7B15">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求职过程中的有效沟通</w:t>
            </w:r>
          </w:p>
        </w:tc>
      </w:tr>
      <w:tr w14:paraId="6406299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782B457A">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2F155913">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第三节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6106FC33">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自我管理能力</w:t>
            </w:r>
          </w:p>
        </w:tc>
      </w:tr>
      <w:tr w14:paraId="4E2D685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5B7733E4">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70E9317">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552D83FD">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时间管理能力</w:t>
            </w:r>
          </w:p>
        </w:tc>
      </w:tr>
      <w:tr w14:paraId="1A96EB3D">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F079204">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auto" w:sz="4" w:space="0"/>
              <w:right w:val="single" w:color="000000" w:sz="4" w:space="0"/>
            </w:tcBorders>
            <w:vAlign w:val="center"/>
          </w:tcPr>
          <w:p w14:paraId="20796BD6">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6D2AB60C">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求职进程管理</w:t>
            </w:r>
          </w:p>
        </w:tc>
      </w:tr>
      <w:tr w14:paraId="63915094">
        <w:tblPrEx>
          <w:tblCellMar>
            <w:top w:w="0" w:type="dxa"/>
            <w:left w:w="108" w:type="dxa"/>
            <w:bottom w:w="0" w:type="dxa"/>
            <w:right w:w="108" w:type="dxa"/>
          </w:tblCellMar>
        </w:tblPrEx>
        <w:trPr>
          <w:trHeight w:val="360" w:hRule="atLeast"/>
        </w:trPr>
        <w:tc>
          <w:tcPr>
            <w:tcW w:w="1533" w:type="dxa"/>
            <w:vMerge w:val="continue"/>
            <w:tcBorders>
              <w:left w:val="single" w:color="000000" w:sz="4" w:space="0"/>
              <w:bottom w:val="single" w:color="000000" w:sz="4" w:space="0"/>
              <w:right w:val="single" w:color="000000" w:sz="4" w:space="0"/>
            </w:tcBorders>
            <w:vAlign w:val="center"/>
          </w:tcPr>
          <w:p w14:paraId="2ACB46D2">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auto" w:sz="4" w:space="0"/>
              <w:right w:val="single" w:color="000000" w:sz="4" w:space="0"/>
            </w:tcBorders>
            <w:vAlign w:val="center"/>
          </w:tcPr>
          <w:p w14:paraId="5368C0F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74BF223C">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心态与行动管理能力</w:t>
            </w:r>
          </w:p>
        </w:tc>
      </w:tr>
      <w:tr w14:paraId="1640EF87">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14:paraId="58CD367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第三章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53AFB1B3">
            <w:pPr>
              <w:widowControl/>
              <w:ind w:firstLine="420" w:firstLineChars="20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求职信息的获取与利用</w:t>
            </w:r>
          </w:p>
        </w:tc>
      </w:tr>
      <w:tr w14:paraId="1B7E50F5">
        <w:tblPrEx>
          <w:tblCellMar>
            <w:top w:w="0" w:type="dxa"/>
            <w:left w:w="108" w:type="dxa"/>
            <w:bottom w:w="0" w:type="dxa"/>
            <w:right w:w="108" w:type="dxa"/>
          </w:tblCellMar>
        </w:tblPrEx>
        <w:trPr>
          <w:trHeight w:val="548"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5431DD2B">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基本要求</w:t>
            </w:r>
          </w:p>
        </w:tc>
        <w:tc>
          <w:tcPr>
            <w:tcW w:w="6474" w:type="dxa"/>
            <w:tcBorders>
              <w:top w:val="single" w:color="000000" w:sz="4" w:space="0"/>
              <w:left w:val="single" w:color="000000" w:sz="4" w:space="0"/>
              <w:bottom w:val="single" w:color="000000" w:sz="4" w:space="0"/>
              <w:right w:val="single" w:color="000000" w:sz="4" w:space="0"/>
            </w:tcBorders>
            <w:vAlign w:val="center"/>
          </w:tcPr>
          <w:p w14:paraId="17FE8D45">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熟悉就业信息的获取途径和筛选处理方法，学会求职计划的制订与进程管理，提前为就业做好准备。</w:t>
            </w:r>
          </w:p>
        </w:tc>
      </w:tr>
      <w:tr w14:paraId="40ECF73B">
        <w:tblPrEx>
          <w:tblCellMar>
            <w:top w:w="0" w:type="dxa"/>
            <w:left w:w="108" w:type="dxa"/>
            <w:bottom w:w="0" w:type="dxa"/>
            <w:right w:w="108" w:type="dxa"/>
          </w:tblCellMar>
        </w:tblPrEx>
        <w:trPr>
          <w:trHeight w:val="556"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57F4860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重点、难点</w:t>
            </w:r>
          </w:p>
        </w:tc>
        <w:tc>
          <w:tcPr>
            <w:tcW w:w="6474" w:type="dxa"/>
            <w:tcBorders>
              <w:top w:val="single" w:color="000000" w:sz="4" w:space="0"/>
              <w:left w:val="single" w:color="000000" w:sz="4" w:space="0"/>
              <w:bottom w:val="single" w:color="000000" w:sz="4" w:space="0"/>
              <w:right w:val="single" w:color="000000" w:sz="4" w:space="0"/>
            </w:tcBorders>
            <w:vAlign w:val="center"/>
          </w:tcPr>
          <w:p w14:paraId="5AC63E70">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重点：求职信息的获取途径、求职信息的分析利用</w:t>
            </w:r>
          </w:p>
          <w:p w14:paraId="0256399D">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难点：求职信息获取原则、求职进程管理</w:t>
            </w:r>
          </w:p>
        </w:tc>
      </w:tr>
      <w:tr w14:paraId="59293116">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bottom w:val="single" w:color="000000" w:sz="4" w:space="0"/>
              <w:right w:val="single" w:color="000000" w:sz="4" w:space="0"/>
            </w:tcBorders>
            <w:vAlign w:val="center"/>
          </w:tcPr>
          <w:p w14:paraId="5DD558F1">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教学内容</w:t>
            </w:r>
          </w:p>
        </w:tc>
        <w:tc>
          <w:tcPr>
            <w:tcW w:w="1003" w:type="dxa"/>
            <w:tcBorders>
              <w:top w:val="single" w:color="000000" w:sz="4" w:space="0"/>
              <w:left w:val="single" w:color="000000" w:sz="4" w:space="0"/>
              <w:bottom w:val="single" w:color="000000" w:sz="4" w:space="0"/>
              <w:right w:val="single" w:color="000000" w:sz="4" w:space="0"/>
            </w:tcBorders>
            <w:vAlign w:val="center"/>
          </w:tcPr>
          <w:p w14:paraId="5CC20378">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第一节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1A0BFE5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求职信息的获取途径</w:t>
            </w:r>
          </w:p>
        </w:tc>
      </w:tr>
      <w:tr w14:paraId="35F1D268">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1C4CFEE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0DB723B">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0DBA0F83">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求职信息概述</w:t>
            </w:r>
          </w:p>
        </w:tc>
      </w:tr>
      <w:tr w14:paraId="278B9480">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1921B401">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D034422">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4159A7EA">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求职信息的获取途径</w:t>
            </w:r>
          </w:p>
        </w:tc>
      </w:tr>
      <w:tr w14:paraId="1AE4CF38">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30CCB9D5">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901F739">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1B760D31">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求职信息获取原则</w:t>
            </w:r>
          </w:p>
        </w:tc>
      </w:tr>
      <w:tr w14:paraId="3C2BF189">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56EE5695">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07C77A9">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第二节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1207469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求职信息的分析与利用</w:t>
            </w:r>
          </w:p>
        </w:tc>
      </w:tr>
      <w:tr w14:paraId="18330B6F">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7CDDF712">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A5C79BA">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78B6CF13">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求职信息的归纳整理</w:t>
            </w:r>
          </w:p>
        </w:tc>
      </w:tr>
      <w:tr w14:paraId="4FB6DB91">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794A5ACB">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48A03CD">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2DC0923C">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求职信息的鉴别</w:t>
            </w:r>
          </w:p>
        </w:tc>
      </w:tr>
      <w:tr w14:paraId="7E66F4E1">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3512265D">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4568BB7">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573A9B5C">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求职信息的分析利用</w:t>
            </w:r>
          </w:p>
        </w:tc>
      </w:tr>
      <w:tr w14:paraId="45FCE834">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4ECD617C">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821B4B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001F25E1">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发现机遇，把握机遇</w:t>
            </w:r>
          </w:p>
        </w:tc>
      </w:tr>
      <w:tr w14:paraId="24143EA6">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1264E6F7">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3FD4BF3">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第三节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67578849">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求职计划的制订与进程管理</w:t>
            </w:r>
          </w:p>
        </w:tc>
      </w:tr>
      <w:tr w14:paraId="0D9E6853">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37B42FE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69DD92E">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40A178A7">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目标的确定</w:t>
            </w:r>
          </w:p>
        </w:tc>
      </w:tr>
      <w:tr w14:paraId="6ABB4720">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111500D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DCDCC8F">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0B2D7A5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选定目标、未雨绸缪</w:t>
            </w:r>
          </w:p>
        </w:tc>
      </w:tr>
      <w:tr w14:paraId="493259DA">
        <w:tblPrEx>
          <w:tblCellMar>
            <w:top w:w="0" w:type="dxa"/>
            <w:left w:w="108" w:type="dxa"/>
            <w:bottom w:w="0" w:type="dxa"/>
            <w:right w:w="108" w:type="dxa"/>
          </w:tblCellMar>
        </w:tblPrEx>
        <w:trPr>
          <w:trHeight w:val="360" w:hRule="atLeast"/>
        </w:trPr>
        <w:tc>
          <w:tcPr>
            <w:tcW w:w="1533" w:type="dxa"/>
            <w:tcBorders>
              <w:top w:val="single" w:color="000000" w:sz="4" w:space="0"/>
              <w:left w:val="single" w:color="000000" w:sz="4" w:space="0"/>
              <w:bottom w:val="single" w:color="000000" w:sz="4" w:space="0"/>
              <w:right w:val="single" w:color="000000" w:sz="4" w:space="0"/>
            </w:tcBorders>
            <w:vAlign w:val="center"/>
          </w:tcPr>
          <w:p w14:paraId="2DA48991">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C3E4B9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1CE646AF">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求职进程管理</w:t>
            </w:r>
          </w:p>
        </w:tc>
      </w:tr>
      <w:tr w14:paraId="0E3D279D">
        <w:tblPrEx>
          <w:tblCellMar>
            <w:top w:w="0" w:type="dxa"/>
            <w:left w:w="108" w:type="dxa"/>
            <w:bottom w:w="0" w:type="dxa"/>
            <w:right w:w="108" w:type="dxa"/>
          </w:tblCellMar>
        </w:tblPrEx>
        <w:trPr>
          <w:trHeight w:val="392"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14:paraId="2BADD57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第四章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46E304D5">
            <w:pPr>
              <w:widowControl/>
              <w:ind w:firstLine="420" w:firstLineChars="20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求职材料的准备</w:t>
            </w:r>
          </w:p>
        </w:tc>
      </w:tr>
      <w:tr w14:paraId="342D7A0B">
        <w:tblPrEx>
          <w:tblCellMar>
            <w:top w:w="0" w:type="dxa"/>
            <w:left w:w="108" w:type="dxa"/>
            <w:bottom w:w="0" w:type="dxa"/>
            <w:right w:w="108" w:type="dxa"/>
          </w:tblCellMar>
        </w:tblPrEx>
        <w:trPr>
          <w:trHeight w:val="301"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5B256968">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基本要求</w:t>
            </w:r>
          </w:p>
        </w:tc>
        <w:tc>
          <w:tcPr>
            <w:tcW w:w="6474" w:type="dxa"/>
            <w:tcBorders>
              <w:top w:val="single" w:color="000000" w:sz="4" w:space="0"/>
              <w:left w:val="single" w:color="000000" w:sz="4" w:space="0"/>
              <w:bottom w:val="single" w:color="000000" w:sz="4" w:space="0"/>
              <w:right w:val="single" w:color="000000" w:sz="4" w:space="0"/>
            </w:tcBorders>
            <w:vAlign w:val="center"/>
          </w:tcPr>
          <w:p w14:paraId="45499D89">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明确求职材料准备的内容，理解书写自荐信的原则，掌握个人简历的写法，掌握自荐书的内容和写法，掌握电子简历投递的方法。</w:t>
            </w:r>
          </w:p>
        </w:tc>
      </w:tr>
      <w:tr w14:paraId="163A6A13">
        <w:tblPrEx>
          <w:tblCellMar>
            <w:top w:w="0" w:type="dxa"/>
            <w:left w:w="108" w:type="dxa"/>
            <w:bottom w:w="0" w:type="dxa"/>
            <w:right w:w="108" w:type="dxa"/>
          </w:tblCellMar>
        </w:tblPrEx>
        <w:trPr>
          <w:trHeight w:val="326"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4FAFD9B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重点、难点</w:t>
            </w:r>
          </w:p>
        </w:tc>
        <w:tc>
          <w:tcPr>
            <w:tcW w:w="6474" w:type="dxa"/>
            <w:tcBorders>
              <w:top w:val="single" w:color="000000" w:sz="4" w:space="0"/>
              <w:left w:val="single" w:color="000000" w:sz="4" w:space="0"/>
              <w:bottom w:val="single" w:color="000000" w:sz="4" w:space="0"/>
              <w:right w:val="single" w:color="000000" w:sz="4" w:space="0"/>
            </w:tcBorders>
            <w:vAlign w:val="center"/>
          </w:tcPr>
          <w:p w14:paraId="283FA2D6">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重点：简历制作的原则、打造优秀简历、简历投递。</w:t>
            </w:r>
          </w:p>
          <w:p w14:paraId="2C56BA6B">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难点：创意简历</w:t>
            </w:r>
          </w:p>
        </w:tc>
      </w:tr>
      <w:tr w14:paraId="1F8B5AE4">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vAlign w:val="center"/>
          </w:tcPr>
          <w:p w14:paraId="5A040E27">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教学内容</w:t>
            </w:r>
          </w:p>
        </w:tc>
        <w:tc>
          <w:tcPr>
            <w:tcW w:w="1003" w:type="dxa"/>
            <w:tcBorders>
              <w:top w:val="single" w:color="000000" w:sz="4" w:space="0"/>
              <w:left w:val="single" w:color="000000" w:sz="4" w:space="0"/>
              <w:bottom w:val="single" w:color="000000" w:sz="4" w:space="0"/>
              <w:right w:val="single" w:color="000000" w:sz="4" w:space="0"/>
            </w:tcBorders>
            <w:vAlign w:val="center"/>
          </w:tcPr>
          <w:p w14:paraId="689FD14C">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第一节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562D365C">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简历的提炼与整合</w:t>
            </w:r>
          </w:p>
        </w:tc>
      </w:tr>
      <w:tr w14:paraId="55064398">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02A8CC8">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B67B816">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150DFF42">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认识简历</w:t>
            </w:r>
          </w:p>
        </w:tc>
      </w:tr>
      <w:tr w14:paraId="1D18364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C5BF608">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EFA8C9D">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0CF138A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简历的要素</w:t>
            </w:r>
          </w:p>
        </w:tc>
      </w:tr>
      <w:tr w14:paraId="6B472D9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4E78EDF">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260E0A0">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599604E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简历制作的原则</w:t>
            </w:r>
          </w:p>
        </w:tc>
      </w:tr>
      <w:tr w14:paraId="7E1D81A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24AE087A">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387F062">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第二节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511DC50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如何打造优秀简历</w:t>
            </w:r>
          </w:p>
        </w:tc>
      </w:tr>
      <w:tr w14:paraId="5BC8211D">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D04B0A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7F9B23C">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51379125">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求职简历的筛选标准</w:t>
            </w:r>
          </w:p>
        </w:tc>
      </w:tr>
      <w:tr w14:paraId="5B6CC6B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27AB4C39">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197F5C1">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6DBBDF27">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简历的规格和版式</w:t>
            </w:r>
          </w:p>
        </w:tc>
      </w:tr>
      <w:tr w14:paraId="71C07E5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770F40F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F3BA383">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4DFCAE8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打造优秀简历</w:t>
            </w:r>
          </w:p>
        </w:tc>
      </w:tr>
      <w:tr w14:paraId="119ACB1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00BC58EE">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4AC5D4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73835D2F">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简历范例及修改点评</w:t>
            </w:r>
          </w:p>
        </w:tc>
      </w:tr>
      <w:tr w14:paraId="70427304">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7A6CE95E">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F41C312">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第三节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58E55032">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其他求职材料的准备</w:t>
            </w:r>
          </w:p>
        </w:tc>
      </w:tr>
      <w:tr w14:paraId="53A5B3A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0434D0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0EEC0A9">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1261F94D">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求职信</w:t>
            </w:r>
          </w:p>
        </w:tc>
      </w:tr>
      <w:tr w14:paraId="4F54B97D">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vAlign w:val="center"/>
          </w:tcPr>
          <w:p w14:paraId="16E9B562">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EE02E6B">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1961931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简历补充材料</w:t>
            </w:r>
          </w:p>
        </w:tc>
      </w:tr>
      <w:tr w14:paraId="549A71E3">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vAlign w:val="center"/>
          </w:tcPr>
          <w:p w14:paraId="005CCBFA">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309E7F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2E141C9D">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创意简历</w:t>
            </w:r>
          </w:p>
        </w:tc>
      </w:tr>
      <w:tr w14:paraId="5EEEA0A4">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vAlign w:val="center"/>
          </w:tcPr>
          <w:p w14:paraId="440FFAA0">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40EB686">
            <w:pPr>
              <w:widowControl/>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第四节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337D09D3">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简历投递</w:t>
            </w:r>
          </w:p>
        </w:tc>
      </w:tr>
      <w:tr w14:paraId="7656CF80">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vAlign w:val="center"/>
          </w:tcPr>
          <w:p w14:paraId="0395AE3D">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204A1AE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55F6C0FF">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简历投递的渠道</w:t>
            </w:r>
          </w:p>
        </w:tc>
      </w:tr>
      <w:tr w14:paraId="7F73F243">
        <w:tblPrEx>
          <w:tblCellMar>
            <w:top w:w="0" w:type="dxa"/>
            <w:left w:w="108" w:type="dxa"/>
            <w:bottom w:w="0" w:type="dxa"/>
            <w:right w:w="108" w:type="dxa"/>
          </w:tblCellMar>
        </w:tblPrEx>
        <w:trPr>
          <w:trHeight w:val="358" w:hRule="atLeast"/>
        </w:trPr>
        <w:tc>
          <w:tcPr>
            <w:tcW w:w="1533" w:type="dxa"/>
            <w:vMerge w:val="continue"/>
            <w:tcBorders>
              <w:left w:val="single" w:color="000000" w:sz="4" w:space="0"/>
              <w:right w:val="single" w:color="000000" w:sz="4" w:space="0"/>
            </w:tcBorders>
            <w:vAlign w:val="center"/>
          </w:tcPr>
          <w:p w14:paraId="7B634BAC">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2B5AEE2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5A6F6B4B">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电子邮件投递简历的注意事项</w:t>
            </w:r>
          </w:p>
        </w:tc>
      </w:tr>
      <w:tr w14:paraId="4FFE92BB">
        <w:tblPrEx>
          <w:tblCellMar>
            <w:top w:w="0" w:type="dxa"/>
            <w:left w:w="108" w:type="dxa"/>
            <w:bottom w:w="0" w:type="dxa"/>
            <w:right w:w="108" w:type="dxa"/>
          </w:tblCellMar>
        </w:tblPrEx>
        <w:trPr>
          <w:trHeight w:val="358" w:hRule="atLeast"/>
        </w:trPr>
        <w:tc>
          <w:tcPr>
            <w:tcW w:w="1533" w:type="dxa"/>
            <w:vMerge w:val="continue"/>
            <w:tcBorders>
              <w:left w:val="single" w:color="000000" w:sz="4" w:space="0"/>
              <w:bottom w:val="single" w:color="000000" w:sz="4" w:space="0"/>
              <w:right w:val="single" w:color="000000" w:sz="4" w:space="0"/>
            </w:tcBorders>
            <w:vAlign w:val="center"/>
          </w:tcPr>
          <w:p w14:paraId="1E21E24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4F1E9C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1FA31F90">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网申的注意事项</w:t>
            </w:r>
          </w:p>
        </w:tc>
      </w:tr>
      <w:tr w14:paraId="45D6F099">
        <w:tblPrEx>
          <w:tblCellMar>
            <w:top w:w="0" w:type="dxa"/>
            <w:left w:w="108" w:type="dxa"/>
            <w:bottom w:w="0" w:type="dxa"/>
            <w:right w:w="108" w:type="dxa"/>
          </w:tblCellMar>
        </w:tblPrEx>
        <w:trPr>
          <w:trHeight w:val="358" w:hRule="atLeast"/>
        </w:trPr>
        <w:tc>
          <w:tcPr>
            <w:tcW w:w="1533" w:type="dxa"/>
            <w:tcBorders>
              <w:left w:val="single" w:color="000000" w:sz="4" w:space="0"/>
              <w:bottom w:val="single" w:color="000000" w:sz="4" w:space="0"/>
              <w:right w:val="single" w:color="000000" w:sz="4" w:space="0"/>
            </w:tcBorders>
            <w:vAlign w:val="center"/>
          </w:tcPr>
          <w:p w14:paraId="744FEB58">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9047FE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7CAAF71C">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现场招聘活动投递简历的注意事项</w:t>
            </w:r>
          </w:p>
        </w:tc>
      </w:tr>
      <w:tr w14:paraId="2D512AFA">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14:paraId="61D8E822">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第五章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594E564A">
            <w:pPr>
              <w:widowControl/>
              <w:ind w:firstLine="420" w:firstLineChars="20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成功应聘的秘诀</w:t>
            </w:r>
          </w:p>
        </w:tc>
      </w:tr>
      <w:tr w14:paraId="2ED70314">
        <w:tblPrEx>
          <w:tblCellMar>
            <w:top w:w="0" w:type="dxa"/>
            <w:left w:w="108" w:type="dxa"/>
            <w:bottom w:w="0" w:type="dxa"/>
            <w:right w:w="108" w:type="dxa"/>
          </w:tblCellMar>
        </w:tblPrEx>
        <w:trPr>
          <w:trHeight w:val="1360"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1DEA8759">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基本要求</w:t>
            </w:r>
          </w:p>
        </w:tc>
        <w:tc>
          <w:tcPr>
            <w:tcW w:w="6474" w:type="dxa"/>
            <w:tcBorders>
              <w:top w:val="single" w:color="000000" w:sz="4" w:space="0"/>
              <w:left w:val="single" w:color="000000" w:sz="4" w:space="0"/>
              <w:bottom w:val="single" w:color="000000" w:sz="4" w:space="0"/>
              <w:right w:val="single" w:color="000000" w:sz="4" w:space="0"/>
            </w:tcBorders>
            <w:vAlign w:val="center"/>
          </w:tcPr>
          <w:p w14:paraId="49572298">
            <w:pPr>
              <w:widowControl/>
              <w:ind w:firstLine="396" w:firstLineChars="200"/>
              <w:jc w:val="left"/>
              <w:textAlignment w:val="center"/>
              <w:rPr>
                <w:rFonts w:hint="eastAsia" w:ascii="宋体" w:hAnsi="宋体" w:eastAsia="宋体" w:cs="宋体"/>
                <w:color w:val="000000"/>
                <w:spacing w:val="-6"/>
                <w:kern w:val="0"/>
                <w:szCs w:val="21"/>
                <w:lang w:bidi="ar"/>
              </w:rPr>
            </w:pPr>
            <w:r>
              <w:rPr>
                <w:rFonts w:hint="eastAsia" w:ascii="宋体" w:hAnsi="宋体" w:eastAsia="宋体" w:cs="宋体"/>
                <w:color w:val="000000"/>
                <w:spacing w:val="-6"/>
                <w:kern w:val="0"/>
                <w:szCs w:val="21"/>
                <w:lang w:bidi="ar"/>
              </w:rPr>
              <w:t>熟练掌握参加招聘会的注意事项、笔试及面试的方法与技巧。包括了解如何准备面试的各个环节，例如面试前的资料搜集、形象准备、心态调整等，以及面试过程中的应答技巧。</w:t>
            </w:r>
          </w:p>
        </w:tc>
      </w:tr>
      <w:tr w14:paraId="7374536C">
        <w:tblPrEx>
          <w:tblCellMar>
            <w:top w:w="0" w:type="dxa"/>
            <w:left w:w="108" w:type="dxa"/>
            <w:bottom w:w="0" w:type="dxa"/>
            <w:right w:w="108" w:type="dxa"/>
          </w:tblCellMar>
        </w:tblPrEx>
        <w:trPr>
          <w:trHeight w:val="558"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099DD249">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重点、难点</w:t>
            </w:r>
          </w:p>
        </w:tc>
        <w:tc>
          <w:tcPr>
            <w:tcW w:w="6474" w:type="dxa"/>
            <w:tcBorders>
              <w:top w:val="single" w:color="000000" w:sz="4" w:space="0"/>
              <w:left w:val="single" w:color="000000" w:sz="4" w:space="0"/>
              <w:bottom w:val="single" w:color="000000" w:sz="4" w:space="0"/>
              <w:right w:val="single" w:color="000000" w:sz="4" w:space="0"/>
            </w:tcBorders>
            <w:vAlign w:val="center"/>
          </w:tcPr>
          <w:p w14:paraId="069900F5">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重点：参加笔试应注意的细节问题、个体面试问题准备、个体面试表达能力提升、群体面试能力的提高</w:t>
            </w:r>
          </w:p>
          <w:p w14:paraId="36C66097">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难点：笔试的准备、总结复盘</w:t>
            </w:r>
          </w:p>
        </w:tc>
      </w:tr>
      <w:tr w14:paraId="7D64C71D">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vAlign w:val="center"/>
          </w:tcPr>
          <w:p w14:paraId="50B15CE1">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教学内容</w:t>
            </w:r>
          </w:p>
        </w:tc>
        <w:tc>
          <w:tcPr>
            <w:tcW w:w="1003" w:type="dxa"/>
            <w:tcBorders>
              <w:top w:val="single" w:color="000000" w:sz="4" w:space="0"/>
              <w:left w:val="single" w:color="000000" w:sz="4" w:space="0"/>
              <w:bottom w:val="single" w:color="000000" w:sz="4" w:space="0"/>
              <w:right w:val="single" w:color="000000" w:sz="4" w:space="0"/>
            </w:tcBorders>
            <w:vAlign w:val="center"/>
          </w:tcPr>
          <w:p w14:paraId="3F450D50">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第一节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571C8D47">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笔    试</w:t>
            </w:r>
          </w:p>
        </w:tc>
      </w:tr>
      <w:tr w14:paraId="690E7FEA">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E379A1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61E8C2A">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6CF4091D">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笔试的内涵</w:t>
            </w:r>
          </w:p>
        </w:tc>
      </w:tr>
      <w:tr w14:paraId="4A179C57">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C4E20E0">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C502EA9">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7B1AB17A">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笔试的分类</w:t>
            </w:r>
          </w:p>
        </w:tc>
      </w:tr>
      <w:tr w14:paraId="00437A16">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06D59BBD">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BC444E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43932D73">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笔试的准备</w:t>
            </w:r>
          </w:p>
        </w:tc>
      </w:tr>
      <w:tr w14:paraId="63EBCE50">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7AF4149">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968563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12BFD219">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参加笔试应注意的细节问题</w:t>
            </w:r>
          </w:p>
        </w:tc>
      </w:tr>
      <w:tr w14:paraId="70EE2AE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856CCF8">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502343D">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第二节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209AE273">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面 试 准 备</w:t>
            </w:r>
          </w:p>
        </w:tc>
      </w:tr>
      <w:tr w14:paraId="07660A3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7BF07A37">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38D86E4">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777CBCDB">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面试的雇主视角</w:t>
            </w:r>
          </w:p>
        </w:tc>
      </w:tr>
      <w:tr w14:paraId="672EDCB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70A2556A">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EB3AC43">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6DE4376A">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搜集报考单位和目标岗位的资料与信息</w:t>
            </w:r>
          </w:p>
        </w:tc>
      </w:tr>
      <w:tr w14:paraId="0AF93AE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0BD702A0">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28C5DE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6DFC814C">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具备积极的心态</w:t>
            </w:r>
          </w:p>
        </w:tc>
      </w:tr>
      <w:tr w14:paraId="5543725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6552774">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BD752D3">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6E913FA4">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面试礼仪准备</w:t>
            </w:r>
          </w:p>
        </w:tc>
      </w:tr>
      <w:tr w14:paraId="57211D3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7870FF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37C105B">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第三节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398C518B">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个 体 面 试</w:t>
            </w:r>
          </w:p>
        </w:tc>
      </w:tr>
      <w:tr w14:paraId="5FD0422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2C6A60AF">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80BD8AB">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4983C959">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个体面试的形式与种类</w:t>
            </w:r>
          </w:p>
        </w:tc>
      </w:tr>
      <w:tr w14:paraId="74E5F674">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5385F448">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4F95781">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7C9ED889">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szCs w:val="21"/>
              </w:rPr>
              <w:t>个体面试问题准备</w:t>
            </w:r>
          </w:p>
        </w:tc>
      </w:tr>
      <w:tr w14:paraId="12330A04">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52CB58E">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F3DD457">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5207D995">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szCs w:val="21"/>
              </w:rPr>
              <w:t>个体面试表达能力提升</w:t>
            </w:r>
          </w:p>
        </w:tc>
      </w:tr>
      <w:tr w14:paraId="0C3A97D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B13E99C">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5F5DB50">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第四节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53EB7D81">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群 体 面 试</w:t>
            </w:r>
          </w:p>
        </w:tc>
      </w:tr>
      <w:tr w14:paraId="6CF54363">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EE065CE">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1AE60FC">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59CB7285">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群体面试的形式与种类</w:t>
            </w:r>
          </w:p>
        </w:tc>
      </w:tr>
      <w:tr w14:paraId="4931D839">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8271C7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2F7B9922">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33AE8505">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群体面试要点</w:t>
            </w:r>
          </w:p>
        </w:tc>
      </w:tr>
      <w:tr w14:paraId="01EF8516">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840E085">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BF211AE">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609CFF00">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群体面试能力的提高</w:t>
            </w:r>
          </w:p>
        </w:tc>
      </w:tr>
      <w:tr w14:paraId="1B02BE1D">
        <w:tblPrEx>
          <w:tblCellMar>
            <w:top w:w="0" w:type="dxa"/>
            <w:left w:w="108" w:type="dxa"/>
            <w:bottom w:w="0" w:type="dxa"/>
            <w:right w:w="108" w:type="dxa"/>
          </w:tblCellMar>
        </w:tblPrEx>
        <w:trPr>
          <w:trHeight w:val="345" w:hRule="atLeast"/>
        </w:trPr>
        <w:tc>
          <w:tcPr>
            <w:tcW w:w="1533" w:type="dxa"/>
            <w:vMerge w:val="continue"/>
            <w:tcBorders>
              <w:left w:val="single" w:color="000000" w:sz="4" w:space="0"/>
              <w:right w:val="single" w:color="000000" w:sz="4" w:space="0"/>
            </w:tcBorders>
            <w:vAlign w:val="center"/>
          </w:tcPr>
          <w:p w14:paraId="5CD1478D">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3B2CCA8">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第五节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5D62311B">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面试总结与行动促进</w:t>
            </w:r>
          </w:p>
        </w:tc>
      </w:tr>
      <w:tr w14:paraId="7149A9C0">
        <w:tblPrEx>
          <w:tblCellMar>
            <w:top w:w="0" w:type="dxa"/>
            <w:left w:w="108" w:type="dxa"/>
            <w:bottom w:w="0" w:type="dxa"/>
            <w:right w:w="108" w:type="dxa"/>
          </w:tblCellMar>
        </w:tblPrEx>
        <w:trPr>
          <w:trHeight w:val="345" w:hRule="atLeast"/>
        </w:trPr>
        <w:tc>
          <w:tcPr>
            <w:tcW w:w="1533" w:type="dxa"/>
            <w:vMerge w:val="continue"/>
            <w:tcBorders>
              <w:left w:val="single" w:color="000000" w:sz="4" w:space="0"/>
              <w:right w:val="single" w:color="000000" w:sz="4" w:space="0"/>
            </w:tcBorders>
            <w:vAlign w:val="center"/>
          </w:tcPr>
          <w:p w14:paraId="53442830">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8C6A87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783A57DD">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查询结果</w:t>
            </w:r>
          </w:p>
        </w:tc>
      </w:tr>
      <w:tr w14:paraId="6EE8175A">
        <w:tblPrEx>
          <w:tblCellMar>
            <w:top w:w="0" w:type="dxa"/>
            <w:left w:w="108" w:type="dxa"/>
            <w:bottom w:w="0" w:type="dxa"/>
            <w:right w:w="108" w:type="dxa"/>
          </w:tblCellMar>
        </w:tblPrEx>
        <w:trPr>
          <w:trHeight w:val="345" w:hRule="atLeast"/>
        </w:trPr>
        <w:tc>
          <w:tcPr>
            <w:tcW w:w="1533" w:type="dxa"/>
            <w:vMerge w:val="continue"/>
            <w:tcBorders>
              <w:left w:val="single" w:color="000000" w:sz="4" w:space="0"/>
              <w:right w:val="single" w:color="000000" w:sz="4" w:space="0"/>
            </w:tcBorders>
            <w:vAlign w:val="center"/>
          </w:tcPr>
          <w:p w14:paraId="32021D51">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62B7BE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1D3E0239">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总结复盘</w:t>
            </w:r>
          </w:p>
        </w:tc>
      </w:tr>
      <w:tr w14:paraId="27DBA381">
        <w:tblPrEx>
          <w:tblCellMar>
            <w:top w:w="0" w:type="dxa"/>
            <w:left w:w="108" w:type="dxa"/>
            <w:bottom w:w="0" w:type="dxa"/>
            <w:right w:w="108" w:type="dxa"/>
          </w:tblCellMar>
        </w:tblPrEx>
        <w:trPr>
          <w:trHeight w:val="345" w:hRule="atLeast"/>
        </w:trPr>
        <w:tc>
          <w:tcPr>
            <w:tcW w:w="1533" w:type="dxa"/>
            <w:vMerge w:val="continue"/>
            <w:tcBorders>
              <w:left w:val="single" w:color="000000" w:sz="4" w:space="0"/>
              <w:bottom w:val="single" w:color="000000" w:sz="4" w:space="0"/>
              <w:right w:val="single" w:color="000000" w:sz="4" w:space="0"/>
            </w:tcBorders>
            <w:vAlign w:val="center"/>
          </w:tcPr>
          <w:p w14:paraId="58D4BEF2">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4AE2F7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595EE09C">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心态调节</w:t>
            </w:r>
          </w:p>
        </w:tc>
      </w:tr>
      <w:tr w14:paraId="37EC307E">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14:paraId="301C55B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第六章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4A12379C">
            <w:pPr>
              <w:widowControl/>
              <w:ind w:firstLine="420" w:firstLineChars="20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择己所长，理性做好选择</w:t>
            </w:r>
          </w:p>
        </w:tc>
      </w:tr>
      <w:tr w14:paraId="5998A1B9">
        <w:tblPrEx>
          <w:tblCellMar>
            <w:top w:w="0" w:type="dxa"/>
            <w:left w:w="108" w:type="dxa"/>
            <w:bottom w:w="0" w:type="dxa"/>
            <w:right w:w="108" w:type="dxa"/>
          </w:tblCellMar>
        </w:tblPrEx>
        <w:trPr>
          <w:trHeight w:val="90"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7B0D1CEC">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基本要求</w:t>
            </w:r>
          </w:p>
        </w:tc>
        <w:tc>
          <w:tcPr>
            <w:tcW w:w="6474" w:type="dxa"/>
            <w:tcBorders>
              <w:top w:val="single" w:color="000000" w:sz="4" w:space="0"/>
              <w:left w:val="single" w:color="000000" w:sz="4" w:space="0"/>
              <w:bottom w:val="single" w:color="000000" w:sz="4" w:space="0"/>
              <w:right w:val="single" w:color="000000" w:sz="4" w:space="0"/>
            </w:tcBorders>
            <w:vAlign w:val="center"/>
          </w:tcPr>
          <w:p w14:paraId="411B910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了解当前大学生就业观的特点和“误区”，了解各就业选择的利弊，做出符合自身的就业选择，提前做好准备。</w:t>
            </w:r>
          </w:p>
        </w:tc>
      </w:tr>
      <w:tr w14:paraId="797B6B0A">
        <w:tblPrEx>
          <w:tblCellMar>
            <w:top w:w="0" w:type="dxa"/>
            <w:left w:w="108" w:type="dxa"/>
            <w:bottom w:w="0" w:type="dxa"/>
            <w:right w:w="108" w:type="dxa"/>
          </w:tblCellMar>
        </w:tblPrEx>
        <w:trPr>
          <w:trHeight w:val="380"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4F8115A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重点、难点</w:t>
            </w:r>
          </w:p>
        </w:tc>
        <w:tc>
          <w:tcPr>
            <w:tcW w:w="6474" w:type="dxa"/>
            <w:tcBorders>
              <w:top w:val="single" w:color="000000" w:sz="4" w:space="0"/>
              <w:left w:val="single" w:color="000000" w:sz="4" w:space="0"/>
              <w:bottom w:val="single" w:color="000000" w:sz="4" w:space="0"/>
              <w:right w:val="single" w:color="000000" w:sz="4" w:space="0"/>
            </w:tcBorders>
            <w:vAlign w:val="center"/>
          </w:tcPr>
          <w:p w14:paraId="26290455">
            <w:pPr>
              <w:widowControl/>
              <w:tabs>
                <w:tab w:val="left" w:pos="912"/>
              </w:tabs>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重点：基于社会担当的职业选择、毕业生就业方向分析</w:t>
            </w:r>
          </w:p>
          <w:p w14:paraId="0E980819">
            <w:pPr>
              <w:widowControl/>
              <w:tabs>
                <w:tab w:val="left" w:pos="912"/>
              </w:tabs>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难点：如何做出职业决策</w:t>
            </w:r>
          </w:p>
        </w:tc>
      </w:tr>
      <w:tr w14:paraId="7F9EAF67">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bottom w:val="single" w:color="000000" w:sz="4" w:space="0"/>
              <w:right w:val="single" w:color="000000" w:sz="4" w:space="0"/>
            </w:tcBorders>
            <w:vAlign w:val="center"/>
          </w:tcPr>
          <w:p w14:paraId="0EC6552C">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教学内容</w:t>
            </w:r>
          </w:p>
        </w:tc>
        <w:tc>
          <w:tcPr>
            <w:tcW w:w="1003" w:type="dxa"/>
            <w:tcBorders>
              <w:top w:val="single" w:color="000000" w:sz="4" w:space="0"/>
              <w:left w:val="single" w:color="000000" w:sz="4" w:space="0"/>
              <w:bottom w:val="single" w:color="000000" w:sz="4" w:space="0"/>
              <w:right w:val="single" w:color="000000" w:sz="4" w:space="0"/>
            </w:tcBorders>
            <w:vAlign w:val="center"/>
          </w:tcPr>
          <w:p w14:paraId="69BE3A3F">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第一节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41CD64B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职业选择类型</w:t>
            </w:r>
          </w:p>
        </w:tc>
      </w:tr>
      <w:tr w14:paraId="1BBD5C31">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05BBEF38">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5D4E0EF">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22C5DD09">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基于专业的职业选择</w:t>
            </w:r>
          </w:p>
        </w:tc>
      </w:tr>
      <w:tr w14:paraId="2CCF825E">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4A8686F0">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25F37570">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07ED11C6">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基于社会担当的职业选择</w:t>
            </w:r>
          </w:p>
        </w:tc>
      </w:tr>
      <w:tr w14:paraId="40130C29">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2FC914C9">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02F252E">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第二节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3BB23E76">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毕业生就业方向分析</w:t>
            </w:r>
          </w:p>
        </w:tc>
      </w:tr>
      <w:tr w14:paraId="629188EB">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35C64BD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357A9B5">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2516463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政策性就业分析</w:t>
            </w:r>
          </w:p>
        </w:tc>
      </w:tr>
      <w:tr w14:paraId="1A063748">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043E9BC2">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0EA02AB">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5C7545D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市场性就业分析</w:t>
            </w:r>
          </w:p>
        </w:tc>
      </w:tr>
      <w:tr w14:paraId="73F6BCFE">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7B8392A1">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19D23A7">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046D6635">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升学分析</w:t>
            </w:r>
          </w:p>
        </w:tc>
      </w:tr>
      <w:tr w14:paraId="3A627503">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5BBD5B62">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A67A9FA">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第三节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45F09A76">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职 业 决 策</w:t>
            </w:r>
          </w:p>
        </w:tc>
      </w:tr>
      <w:tr w14:paraId="1B7C3F4C">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6E2FCD41">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AE2164C">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0E7E39CE">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szCs w:val="21"/>
              </w:rPr>
              <w:t>影响职业决策的因素</w:t>
            </w:r>
          </w:p>
        </w:tc>
      </w:tr>
      <w:tr w14:paraId="5E41B287">
        <w:tblPrEx>
          <w:tblCellMar>
            <w:top w:w="0" w:type="dxa"/>
            <w:left w:w="108" w:type="dxa"/>
            <w:bottom w:w="0" w:type="dxa"/>
            <w:right w:w="108" w:type="dxa"/>
          </w:tblCellMar>
        </w:tblPrEx>
        <w:trPr>
          <w:trHeight w:val="360" w:hRule="atLeast"/>
        </w:trPr>
        <w:tc>
          <w:tcPr>
            <w:tcW w:w="1533" w:type="dxa"/>
            <w:vMerge w:val="continue"/>
            <w:tcBorders>
              <w:top w:val="single" w:color="000000" w:sz="4" w:space="0"/>
              <w:left w:val="single" w:color="000000" w:sz="4" w:space="0"/>
              <w:bottom w:val="single" w:color="000000" w:sz="4" w:space="0"/>
              <w:right w:val="single" w:color="000000" w:sz="4" w:space="0"/>
            </w:tcBorders>
            <w:vAlign w:val="center"/>
          </w:tcPr>
          <w:p w14:paraId="0895079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8505862">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1D5B9A7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如何做出职业决策</w:t>
            </w:r>
          </w:p>
        </w:tc>
      </w:tr>
      <w:tr w14:paraId="0D967033">
        <w:tblPrEx>
          <w:tblCellMar>
            <w:top w:w="0" w:type="dxa"/>
            <w:left w:w="108" w:type="dxa"/>
            <w:bottom w:w="0" w:type="dxa"/>
            <w:right w:w="108" w:type="dxa"/>
          </w:tblCellMar>
        </w:tblPrEx>
        <w:trPr>
          <w:trHeight w:val="36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14:paraId="196AC315">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第七章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2FCAAE88">
            <w:pPr>
              <w:widowControl/>
              <w:ind w:firstLine="420" w:firstLineChars="20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毕业生就业管理与权益保护</w:t>
            </w:r>
          </w:p>
        </w:tc>
      </w:tr>
      <w:tr w14:paraId="3F5746FE">
        <w:tblPrEx>
          <w:tblCellMar>
            <w:top w:w="0" w:type="dxa"/>
            <w:left w:w="108" w:type="dxa"/>
            <w:bottom w:w="0" w:type="dxa"/>
            <w:right w:w="108" w:type="dxa"/>
          </w:tblCellMar>
        </w:tblPrEx>
        <w:trPr>
          <w:trHeight w:val="608"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5F5B115E">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基本要求</w:t>
            </w:r>
          </w:p>
        </w:tc>
        <w:tc>
          <w:tcPr>
            <w:tcW w:w="6474" w:type="dxa"/>
            <w:tcBorders>
              <w:top w:val="single" w:color="000000" w:sz="4" w:space="0"/>
              <w:left w:val="single" w:color="000000" w:sz="4" w:space="0"/>
              <w:bottom w:val="single" w:color="000000" w:sz="4" w:space="0"/>
              <w:right w:val="single" w:color="000000" w:sz="4" w:space="0"/>
            </w:tcBorders>
            <w:vAlign w:val="center"/>
          </w:tcPr>
          <w:p w14:paraId="43B62FDF">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1.了解毕业生就业的一般流程及就业陷阱的类型及防范措施；2. 熟悉《劳动法》、《劳动合同法》的主要内容及就业权益保护内容和方法；3. 掌握就业协议和劳动合同的内容及签订</w:t>
            </w:r>
          </w:p>
        </w:tc>
      </w:tr>
      <w:tr w14:paraId="7FDE73B9">
        <w:tblPrEx>
          <w:tblCellMar>
            <w:top w:w="0" w:type="dxa"/>
            <w:left w:w="108" w:type="dxa"/>
            <w:bottom w:w="0" w:type="dxa"/>
            <w:right w:w="108" w:type="dxa"/>
          </w:tblCellMar>
        </w:tblPrEx>
        <w:trPr>
          <w:trHeight w:val="90"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124B54F8">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重点、难点</w:t>
            </w:r>
          </w:p>
        </w:tc>
        <w:tc>
          <w:tcPr>
            <w:tcW w:w="6474" w:type="dxa"/>
            <w:tcBorders>
              <w:top w:val="single" w:color="000000" w:sz="4" w:space="0"/>
              <w:left w:val="single" w:color="000000" w:sz="4" w:space="0"/>
              <w:bottom w:val="single" w:color="000000" w:sz="4" w:space="0"/>
              <w:right w:val="single" w:color="000000" w:sz="4" w:space="0"/>
            </w:tcBorders>
            <w:vAlign w:val="center"/>
          </w:tcPr>
          <w:p w14:paraId="6F0767A3">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重点：常见就业手续办理、毕业生档案与户口迁移、就业协议书与推荐表、劳动合同</w:t>
            </w:r>
          </w:p>
          <w:p w14:paraId="0A1FC53D">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难点：解除就业协议、劳动争议、常见就业陷阱及规避方法</w:t>
            </w:r>
          </w:p>
        </w:tc>
      </w:tr>
      <w:tr w14:paraId="606AA750">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vAlign w:val="center"/>
          </w:tcPr>
          <w:p w14:paraId="140A73C0">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教学内容</w:t>
            </w:r>
          </w:p>
        </w:tc>
        <w:tc>
          <w:tcPr>
            <w:tcW w:w="1003" w:type="dxa"/>
            <w:tcBorders>
              <w:top w:val="single" w:color="000000" w:sz="4" w:space="0"/>
              <w:left w:val="single" w:color="000000" w:sz="4" w:space="0"/>
              <w:bottom w:val="single" w:color="000000" w:sz="4" w:space="0"/>
              <w:right w:val="single" w:color="000000" w:sz="4" w:space="0"/>
            </w:tcBorders>
            <w:vAlign w:val="center"/>
          </w:tcPr>
          <w:p w14:paraId="700743D2">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第一节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61C1BC8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关于就业管理</w:t>
            </w:r>
          </w:p>
        </w:tc>
      </w:tr>
      <w:tr w14:paraId="380203E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76A19634">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00C498B">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626E2EB0">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报到证已成为历史</w:t>
            </w:r>
          </w:p>
        </w:tc>
      </w:tr>
      <w:tr w14:paraId="1CC46F6D">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05DB42D">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5D5FFB5">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5DBFA90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毕业生去向登记制度</w:t>
            </w:r>
          </w:p>
        </w:tc>
      </w:tr>
      <w:tr w14:paraId="585EF031">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6F36212">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2060C3B">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noWrap/>
            <w:vAlign w:val="center"/>
          </w:tcPr>
          <w:p w14:paraId="2D0FF60C">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常见就业手续办理</w:t>
            </w:r>
          </w:p>
        </w:tc>
      </w:tr>
      <w:tr w14:paraId="7EB6A1E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D316CBB">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C250F1B">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noWrap/>
            <w:vAlign w:val="center"/>
          </w:tcPr>
          <w:p w14:paraId="34C18275">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毕业生档案与户口迁移</w:t>
            </w:r>
          </w:p>
        </w:tc>
      </w:tr>
      <w:tr w14:paraId="6DCF9BD8">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F6D6412">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2A4E1E0">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第二节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6A7A3852">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就业协议书与推荐表</w:t>
            </w:r>
          </w:p>
        </w:tc>
      </w:tr>
      <w:tr w14:paraId="403FC4C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509AA98D">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8675845">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0FB224F0">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就业协议书</w:t>
            </w:r>
          </w:p>
        </w:tc>
      </w:tr>
      <w:tr w14:paraId="73DA59B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96E06D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3D08AD63">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10F0758D">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毕业生就业推荐表</w:t>
            </w:r>
          </w:p>
        </w:tc>
      </w:tr>
      <w:tr w14:paraId="4BDCB8C3">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AB1BEB8">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2FEE5384">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第三节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6506AB0B">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劳 动 合 同</w:t>
            </w:r>
          </w:p>
        </w:tc>
      </w:tr>
      <w:tr w14:paraId="1E800AF5">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6DA8DCAA">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2265F12">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1519EC04">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何为劳动合同</w:t>
            </w:r>
          </w:p>
        </w:tc>
      </w:tr>
      <w:tr w14:paraId="16AE4038">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13117A5">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364E916">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114ECA29">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劳动合同的订立原则</w:t>
            </w:r>
          </w:p>
        </w:tc>
      </w:tr>
      <w:tr w14:paraId="266FCE0A">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5E25619">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70DC7EF">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76BC0745">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订立劳动合同的程序</w:t>
            </w:r>
          </w:p>
        </w:tc>
      </w:tr>
      <w:tr w14:paraId="6E7EF6AD">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2A4025BC">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9F45770">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2DCB6218">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劳动合同的基本内容</w:t>
            </w:r>
          </w:p>
        </w:tc>
      </w:tr>
      <w:tr w14:paraId="0292447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7CA416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53B343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5</w:t>
            </w:r>
          </w:p>
        </w:tc>
        <w:tc>
          <w:tcPr>
            <w:tcW w:w="6474" w:type="dxa"/>
            <w:tcBorders>
              <w:top w:val="single" w:color="000000" w:sz="4" w:space="0"/>
              <w:left w:val="single" w:color="000000" w:sz="4" w:space="0"/>
              <w:bottom w:val="single" w:color="000000" w:sz="4" w:space="0"/>
              <w:right w:val="single" w:color="000000" w:sz="4" w:space="0"/>
            </w:tcBorders>
            <w:vAlign w:val="center"/>
          </w:tcPr>
          <w:p w14:paraId="0B4F76EE">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就业协议与劳动合同的异同</w:t>
            </w:r>
          </w:p>
        </w:tc>
      </w:tr>
      <w:tr w14:paraId="7CE72DF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059E91E">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450F3D9">
            <w:pPr>
              <w:widowControl/>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第四节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40A7B568">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违约与劳动争议</w:t>
            </w:r>
          </w:p>
        </w:tc>
      </w:tr>
      <w:tr w14:paraId="6F4BF17B">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BDC79F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43FA29D">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784E4F7A">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违约及其影响</w:t>
            </w:r>
          </w:p>
        </w:tc>
      </w:tr>
      <w:tr w14:paraId="4CB18FB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F7BE6C1">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5F5069AE">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2AF323CF">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解除就业协议</w:t>
            </w:r>
          </w:p>
        </w:tc>
      </w:tr>
      <w:tr w14:paraId="3A2727D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52E45A2B">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D63FDE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3</w:t>
            </w:r>
          </w:p>
        </w:tc>
        <w:tc>
          <w:tcPr>
            <w:tcW w:w="6474" w:type="dxa"/>
            <w:tcBorders>
              <w:top w:val="single" w:color="000000" w:sz="4" w:space="0"/>
              <w:left w:val="single" w:color="000000" w:sz="4" w:space="0"/>
              <w:bottom w:val="single" w:color="000000" w:sz="4" w:space="0"/>
              <w:right w:val="single" w:color="000000" w:sz="4" w:space="0"/>
            </w:tcBorders>
            <w:vAlign w:val="center"/>
          </w:tcPr>
          <w:p w14:paraId="2010A8C4">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劳动争议</w:t>
            </w:r>
          </w:p>
        </w:tc>
      </w:tr>
      <w:tr w14:paraId="615129B2">
        <w:tblPrEx>
          <w:tblCellMar>
            <w:top w:w="0" w:type="dxa"/>
            <w:left w:w="108" w:type="dxa"/>
            <w:bottom w:w="0" w:type="dxa"/>
            <w:right w:w="108" w:type="dxa"/>
          </w:tblCellMar>
        </w:tblPrEx>
        <w:trPr>
          <w:trHeight w:val="360" w:hRule="atLeast"/>
        </w:trPr>
        <w:tc>
          <w:tcPr>
            <w:tcW w:w="1533" w:type="dxa"/>
            <w:vMerge w:val="continue"/>
            <w:tcBorders>
              <w:left w:val="single" w:color="000000" w:sz="4" w:space="0"/>
              <w:bottom w:val="single" w:color="000000" w:sz="4" w:space="0"/>
              <w:right w:val="single" w:color="000000" w:sz="4" w:space="0"/>
            </w:tcBorders>
            <w:vAlign w:val="center"/>
          </w:tcPr>
          <w:p w14:paraId="0B314020">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B75C23F">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4</w:t>
            </w:r>
          </w:p>
        </w:tc>
        <w:tc>
          <w:tcPr>
            <w:tcW w:w="6474" w:type="dxa"/>
            <w:tcBorders>
              <w:top w:val="single" w:color="000000" w:sz="4" w:space="0"/>
              <w:left w:val="single" w:color="000000" w:sz="4" w:space="0"/>
              <w:bottom w:val="single" w:color="000000" w:sz="4" w:space="0"/>
              <w:right w:val="single" w:color="000000" w:sz="4" w:space="0"/>
            </w:tcBorders>
            <w:vAlign w:val="center"/>
          </w:tcPr>
          <w:p w14:paraId="6FA9D4AF">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常见就业陷阱及规避方法</w:t>
            </w:r>
          </w:p>
        </w:tc>
      </w:tr>
      <w:tr w14:paraId="6E6E5C09">
        <w:tblPrEx>
          <w:tblCellMar>
            <w:top w:w="0" w:type="dxa"/>
            <w:left w:w="108" w:type="dxa"/>
            <w:bottom w:w="0" w:type="dxa"/>
            <w:right w:w="108" w:type="dxa"/>
          </w:tblCellMar>
        </w:tblPrEx>
        <w:trPr>
          <w:trHeight w:val="430" w:hRule="atLeast"/>
        </w:trPr>
        <w:tc>
          <w:tcPr>
            <w:tcW w:w="2536" w:type="dxa"/>
            <w:gridSpan w:val="2"/>
            <w:tcBorders>
              <w:top w:val="single" w:color="000000" w:sz="4" w:space="0"/>
              <w:left w:val="single" w:color="000000" w:sz="4" w:space="0"/>
              <w:bottom w:val="single" w:color="000000" w:sz="4" w:space="0"/>
              <w:right w:val="single" w:color="000000" w:sz="4" w:space="0"/>
            </w:tcBorders>
            <w:shd w:val="clear" w:color="auto" w:fill="D7D7D7"/>
            <w:vAlign w:val="center"/>
          </w:tcPr>
          <w:p w14:paraId="01B96FB4">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第八章</w:t>
            </w:r>
          </w:p>
        </w:tc>
        <w:tc>
          <w:tcPr>
            <w:tcW w:w="6474" w:type="dxa"/>
            <w:tcBorders>
              <w:top w:val="single" w:color="000000" w:sz="4" w:space="0"/>
              <w:left w:val="single" w:color="000000" w:sz="4" w:space="0"/>
              <w:bottom w:val="single" w:color="000000" w:sz="4" w:space="0"/>
              <w:right w:val="single" w:color="000000" w:sz="4" w:space="0"/>
            </w:tcBorders>
            <w:shd w:val="clear" w:color="auto" w:fill="D7D7D7"/>
            <w:vAlign w:val="center"/>
          </w:tcPr>
          <w:p w14:paraId="41FEFE4B">
            <w:pPr>
              <w:widowControl/>
              <w:ind w:firstLine="420" w:firstLineChars="200"/>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胜任职场，创造精彩人生</w:t>
            </w:r>
          </w:p>
        </w:tc>
      </w:tr>
      <w:tr w14:paraId="0877B680">
        <w:tblPrEx>
          <w:tblCellMar>
            <w:top w:w="0" w:type="dxa"/>
            <w:left w:w="108" w:type="dxa"/>
            <w:bottom w:w="0" w:type="dxa"/>
            <w:right w:w="108" w:type="dxa"/>
          </w:tblCellMar>
        </w:tblPrEx>
        <w:trPr>
          <w:trHeight w:val="1046"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1ACDBF7B">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基本要求</w:t>
            </w:r>
          </w:p>
        </w:tc>
        <w:tc>
          <w:tcPr>
            <w:tcW w:w="6474" w:type="dxa"/>
            <w:tcBorders>
              <w:top w:val="single" w:color="000000" w:sz="4" w:space="0"/>
              <w:left w:val="single" w:color="000000" w:sz="4" w:space="0"/>
              <w:bottom w:val="single" w:color="000000" w:sz="4" w:space="0"/>
              <w:right w:val="single" w:color="000000" w:sz="4" w:space="0"/>
            </w:tcBorders>
            <w:vAlign w:val="center"/>
          </w:tcPr>
          <w:p w14:paraId="62378F0C">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要求学生了解职场文化和规则，培养自己的职业技能和素养，树立正确的职业观念和态度，学会处理人际关系，以及自我管理和自我发展，从而更好地适应职场环境和工作要求，实现个人职业发展和成长。</w:t>
            </w:r>
          </w:p>
        </w:tc>
      </w:tr>
      <w:tr w14:paraId="5024D79D">
        <w:tblPrEx>
          <w:tblCellMar>
            <w:top w:w="0" w:type="dxa"/>
            <w:left w:w="108" w:type="dxa"/>
            <w:bottom w:w="0" w:type="dxa"/>
            <w:right w:w="108" w:type="dxa"/>
          </w:tblCellMar>
        </w:tblPrEx>
        <w:trPr>
          <w:trHeight w:val="1508" w:hRule="atLeast"/>
        </w:trPr>
        <w:tc>
          <w:tcPr>
            <w:tcW w:w="2536" w:type="dxa"/>
            <w:gridSpan w:val="2"/>
            <w:tcBorders>
              <w:top w:val="single" w:color="000000" w:sz="4" w:space="0"/>
              <w:left w:val="single" w:color="000000" w:sz="4" w:space="0"/>
              <w:bottom w:val="single" w:color="000000" w:sz="4" w:space="0"/>
              <w:right w:val="single" w:color="000000" w:sz="4" w:space="0"/>
            </w:tcBorders>
            <w:vAlign w:val="center"/>
          </w:tcPr>
          <w:p w14:paraId="73A0F8A1">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重点、难点</w:t>
            </w:r>
          </w:p>
        </w:tc>
        <w:tc>
          <w:tcPr>
            <w:tcW w:w="6474" w:type="dxa"/>
            <w:tcBorders>
              <w:top w:val="single" w:color="000000" w:sz="4" w:space="0"/>
              <w:left w:val="single" w:color="000000" w:sz="4" w:space="0"/>
              <w:bottom w:val="single" w:color="000000" w:sz="4" w:space="0"/>
              <w:right w:val="single" w:color="000000" w:sz="4" w:space="0"/>
            </w:tcBorders>
            <w:vAlign w:val="center"/>
          </w:tcPr>
          <w:p w14:paraId="016F382C">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重点：见变知微、“潜”字为先、含蓄勤勉、大人之风</w:t>
            </w:r>
          </w:p>
          <w:p w14:paraId="22CA90E1">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难点：注重自我分析，把握职场定位</w:t>
            </w:r>
          </w:p>
        </w:tc>
      </w:tr>
      <w:tr w14:paraId="41886C85">
        <w:tblPrEx>
          <w:tblCellMar>
            <w:top w:w="0" w:type="dxa"/>
            <w:left w:w="108" w:type="dxa"/>
            <w:bottom w:w="0" w:type="dxa"/>
            <w:right w:w="108" w:type="dxa"/>
          </w:tblCellMar>
        </w:tblPrEx>
        <w:trPr>
          <w:trHeight w:val="360" w:hRule="atLeast"/>
        </w:trPr>
        <w:tc>
          <w:tcPr>
            <w:tcW w:w="1533" w:type="dxa"/>
            <w:vMerge w:val="restart"/>
            <w:tcBorders>
              <w:top w:val="single" w:color="000000" w:sz="4" w:space="0"/>
              <w:left w:val="single" w:color="000000" w:sz="4" w:space="0"/>
              <w:right w:val="single" w:color="000000" w:sz="4" w:space="0"/>
            </w:tcBorders>
            <w:vAlign w:val="center"/>
          </w:tcPr>
          <w:p w14:paraId="30707924">
            <w:pPr>
              <w:widowControl/>
              <w:ind w:firstLine="420" w:firstLineChars="200"/>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教学内容</w:t>
            </w:r>
          </w:p>
        </w:tc>
        <w:tc>
          <w:tcPr>
            <w:tcW w:w="1003" w:type="dxa"/>
            <w:tcBorders>
              <w:top w:val="single" w:color="000000" w:sz="4" w:space="0"/>
              <w:left w:val="single" w:color="000000" w:sz="4" w:space="0"/>
              <w:bottom w:val="single" w:color="000000" w:sz="4" w:space="0"/>
              <w:right w:val="single" w:color="000000" w:sz="4" w:space="0"/>
            </w:tcBorders>
            <w:vAlign w:val="center"/>
          </w:tcPr>
          <w:p w14:paraId="65E426CD">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第一节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7CB186AC">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见变知微，潜字为先——从学生到职场人</w:t>
            </w:r>
          </w:p>
        </w:tc>
      </w:tr>
      <w:tr w14:paraId="29CB4F9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29B803DB">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1378C4B9">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1B1FB0B8">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见变知微</w:t>
            </w:r>
          </w:p>
        </w:tc>
      </w:tr>
      <w:tr w14:paraId="5F17E8CF">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77B86DE0">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95C2268">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5EA0EFAF">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“潜”字为先</w:t>
            </w:r>
          </w:p>
        </w:tc>
      </w:tr>
      <w:tr w14:paraId="26E6FD0C">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334B3E0B">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897F499">
            <w:pPr>
              <w:widowControl/>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第二节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288F9229">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含蓄勤勉，大人之风——职业发展要点</w:t>
            </w:r>
          </w:p>
        </w:tc>
      </w:tr>
      <w:tr w14:paraId="62F2D69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06867A2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7008AD8A">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17F667A5">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含蓄勤勉</w:t>
            </w:r>
          </w:p>
        </w:tc>
      </w:tr>
      <w:tr w14:paraId="4975DA32">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192055A6">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08828A83">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130888D4">
            <w:pPr>
              <w:widowControl/>
              <w:ind w:firstLine="420" w:firstLineChars="200"/>
              <w:jc w:val="left"/>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大人之风</w:t>
            </w:r>
          </w:p>
        </w:tc>
      </w:tr>
      <w:tr w14:paraId="78DC9C91">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9409E4F">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F0616FD">
            <w:pPr>
              <w:widowControl/>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第三节</w:t>
            </w:r>
          </w:p>
        </w:tc>
        <w:tc>
          <w:tcPr>
            <w:tcW w:w="6474" w:type="dxa"/>
            <w:tcBorders>
              <w:top w:val="single" w:color="000000" w:sz="4" w:space="0"/>
              <w:left w:val="single" w:color="000000" w:sz="4" w:space="0"/>
              <w:bottom w:val="single" w:color="000000" w:sz="4" w:space="0"/>
              <w:right w:val="single" w:color="000000" w:sz="4" w:space="0"/>
            </w:tcBorders>
            <w:vAlign w:val="center"/>
          </w:tcPr>
          <w:p w14:paraId="37ACBD08">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找准定位，重视过程——职业发展智慧</w:t>
            </w:r>
          </w:p>
        </w:tc>
      </w:tr>
      <w:tr w14:paraId="4276B06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426F5D83">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456347BA">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1</w:t>
            </w:r>
          </w:p>
        </w:tc>
        <w:tc>
          <w:tcPr>
            <w:tcW w:w="6474" w:type="dxa"/>
            <w:tcBorders>
              <w:top w:val="single" w:color="000000" w:sz="4" w:space="0"/>
              <w:left w:val="single" w:color="000000" w:sz="4" w:space="0"/>
              <w:bottom w:val="single" w:color="000000" w:sz="4" w:space="0"/>
              <w:right w:val="single" w:color="000000" w:sz="4" w:space="0"/>
            </w:tcBorders>
            <w:vAlign w:val="center"/>
          </w:tcPr>
          <w:p w14:paraId="0CC37BF2">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注重自我分析，把握职场定位</w:t>
            </w:r>
          </w:p>
        </w:tc>
      </w:tr>
      <w:tr w14:paraId="76D51DEE">
        <w:tblPrEx>
          <w:tblCellMar>
            <w:top w:w="0" w:type="dxa"/>
            <w:left w:w="108" w:type="dxa"/>
            <w:bottom w:w="0" w:type="dxa"/>
            <w:right w:w="108" w:type="dxa"/>
          </w:tblCellMar>
        </w:tblPrEx>
        <w:trPr>
          <w:trHeight w:val="360" w:hRule="atLeast"/>
        </w:trPr>
        <w:tc>
          <w:tcPr>
            <w:tcW w:w="1533" w:type="dxa"/>
            <w:vMerge w:val="continue"/>
            <w:tcBorders>
              <w:left w:val="single" w:color="000000" w:sz="4" w:space="0"/>
              <w:right w:val="single" w:color="000000" w:sz="4" w:space="0"/>
            </w:tcBorders>
            <w:vAlign w:val="center"/>
          </w:tcPr>
          <w:p w14:paraId="5E5B4AAB">
            <w:pPr>
              <w:ind w:firstLine="420" w:firstLineChars="200"/>
              <w:jc w:val="center"/>
              <w:rPr>
                <w:rFonts w:hint="eastAsia" w:ascii="宋体" w:hAnsi="宋体" w:eastAsia="宋体" w:cs="宋体"/>
                <w:color w:val="000000"/>
                <w:szCs w:val="21"/>
              </w:rPr>
            </w:pPr>
          </w:p>
        </w:tc>
        <w:tc>
          <w:tcPr>
            <w:tcW w:w="1003" w:type="dxa"/>
            <w:tcBorders>
              <w:top w:val="single" w:color="000000" w:sz="4" w:space="0"/>
              <w:left w:val="single" w:color="000000" w:sz="4" w:space="0"/>
              <w:bottom w:val="single" w:color="000000" w:sz="4" w:space="0"/>
              <w:right w:val="single" w:color="000000" w:sz="4" w:space="0"/>
            </w:tcBorders>
            <w:vAlign w:val="center"/>
          </w:tcPr>
          <w:p w14:paraId="6F4C72BC">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2</w:t>
            </w:r>
          </w:p>
        </w:tc>
        <w:tc>
          <w:tcPr>
            <w:tcW w:w="6474" w:type="dxa"/>
            <w:tcBorders>
              <w:top w:val="single" w:color="000000" w:sz="4" w:space="0"/>
              <w:left w:val="single" w:color="000000" w:sz="4" w:space="0"/>
              <w:bottom w:val="single" w:color="000000" w:sz="4" w:space="0"/>
              <w:right w:val="single" w:color="000000" w:sz="4" w:space="0"/>
            </w:tcBorders>
            <w:vAlign w:val="center"/>
          </w:tcPr>
          <w:p w14:paraId="62DA96B9">
            <w:pPr>
              <w:widowControl/>
              <w:ind w:firstLine="420" w:firstLineChars="200"/>
              <w:jc w:val="left"/>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致力职业发展，感悟生涯过程</w:t>
            </w:r>
          </w:p>
        </w:tc>
      </w:tr>
    </w:tbl>
    <w:p w14:paraId="68EA34C9">
      <w:pPr>
        <w:widowControl/>
        <w:spacing w:line="360" w:lineRule="auto"/>
        <w:ind w:right="528" w:firstLine="420" w:firstLineChars="200"/>
        <w:rPr>
          <w:rFonts w:hint="eastAsia"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1.弘扬社会主义核心价值观，引导学生树立服务国家、奉献社会的职业理想。</w:t>
      </w:r>
      <w:r>
        <w:rPr>
          <w:rFonts w:hint="eastAsia" w:ascii="宋体" w:hAnsi="宋体" w:eastAsia="宋体" w:cs="宋体"/>
          <w:color w:val="000000"/>
          <w:szCs w:val="21"/>
          <w:shd w:val="clear" w:color="auto" w:fill="FFFFFF"/>
        </w:rPr>
        <w:br w:type="textWrapping"/>
      </w:r>
      <w:r>
        <w:rPr>
          <w:rFonts w:hint="eastAsia" w:ascii="宋体" w:hAnsi="宋体" w:eastAsia="宋体" w:cs="宋体"/>
          <w:color w:val="000000"/>
          <w:szCs w:val="21"/>
          <w:shd w:val="clear" w:color="auto" w:fill="FFFFFF"/>
        </w:rPr>
        <w:t xml:space="preserve">    2.强化诚信意识、法治意识和契约精神，培养社会责任感和职业道德。</w:t>
      </w:r>
    </w:p>
    <w:p w14:paraId="7BF7F0A3">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3.鼓励学生立足专业、扎根基层，在奋斗中实现人生价值。</w:t>
      </w:r>
    </w:p>
    <w:p w14:paraId="71D79373">
      <w:pPr>
        <w:widowControl/>
        <w:spacing w:line="360" w:lineRule="auto"/>
        <w:ind w:left="528" w:right="528" w:firstLine="420" w:firstLineChars="200"/>
        <w:rPr>
          <w:rFonts w:hint="eastAsia"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表2 教学内容与课程目标的对应关系及学时分配表</w:t>
      </w:r>
    </w:p>
    <w:tbl>
      <w:tblPr>
        <w:tblStyle w:val="11"/>
        <w:tblW w:w="9240"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956"/>
        <w:gridCol w:w="972"/>
        <w:gridCol w:w="2016"/>
        <w:gridCol w:w="1092"/>
        <w:gridCol w:w="2414"/>
      </w:tblGrid>
      <w:tr w14:paraId="354C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790" w:type="dxa"/>
            <w:vAlign w:val="center"/>
          </w:tcPr>
          <w:p w14:paraId="764094E4">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序号</w:t>
            </w:r>
          </w:p>
        </w:tc>
        <w:tc>
          <w:tcPr>
            <w:tcW w:w="1956" w:type="dxa"/>
            <w:vAlign w:val="center"/>
          </w:tcPr>
          <w:p w14:paraId="269CE13F">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教学内容</w:t>
            </w:r>
          </w:p>
        </w:tc>
        <w:tc>
          <w:tcPr>
            <w:tcW w:w="972" w:type="dxa"/>
            <w:vAlign w:val="center"/>
          </w:tcPr>
          <w:p w14:paraId="6B79EF72">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支撑课程目标</w:t>
            </w:r>
          </w:p>
        </w:tc>
        <w:tc>
          <w:tcPr>
            <w:tcW w:w="2016" w:type="dxa"/>
            <w:vAlign w:val="center"/>
          </w:tcPr>
          <w:p w14:paraId="3FE3E625">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毕业要求观测点</w:t>
            </w:r>
          </w:p>
        </w:tc>
        <w:tc>
          <w:tcPr>
            <w:tcW w:w="1092" w:type="dxa"/>
            <w:vAlign w:val="center"/>
          </w:tcPr>
          <w:p w14:paraId="2500EB7D">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讲授学时</w:t>
            </w:r>
          </w:p>
        </w:tc>
        <w:tc>
          <w:tcPr>
            <w:tcW w:w="2414" w:type="dxa"/>
            <w:vAlign w:val="center"/>
          </w:tcPr>
          <w:p w14:paraId="2F56F048">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课程思政融入点</w:t>
            </w:r>
          </w:p>
        </w:tc>
      </w:tr>
      <w:tr w14:paraId="30D4C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90" w:type="dxa"/>
            <w:vAlign w:val="center"/>
          </w:tcPr>
          <w:p w14:paraId="5A99A6EB">
            <w:pPr>
              <w:widowControl/>
              <w:spacing w:line="360" w:lineRule="auto"/>
              <w:jc w:val="center"/>
              <w:rPr>
                <w:rFonts w:hint="eastAsia" w:ascii="宋体" w:hAnsi="宋体" w:eastAsia="宋体" w:cs="宋体"/>
                <w:szCs w:val="21"/>
              </w:rPr>
            </w:pPr>
            <w:r>
              <w:rPr>
                <w:rFonts w:hint="eastAsia" w:ascii="宋体" w:hAnsi="宋体" w:eastAsia="宋体" w:cs="宋体"/>
                <w:kern w:val="0"/>
                <w:szCs w:val="21"/>
                <w:lang w:bidi="ar"/>
              </w:rPr>
              <w:t>1</w:t>
            </w:r>
          </w:p>
        </w:tc>
        <w:tc>
          <w:tcPr>
            <w:tcW w:w="1956" w:type="dxa"/>
            <w:vAlign w:val="center"/>
          </w:tcPr>
          <w:p w14:paraId="53A5661A">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发现美丽就业机会</w:t>
            </w:r>
          </w:p>
        </w:tc>
        <w:tc>
          <w:tcPr>
            <w:tcW w:w="972" w:type="dxa"/>
            <w:vAlign w:val="center"/>
          </w:tcPr>
          <w:p w14:paraId="0B4AE065">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目标1</w:t>
            </w:r>
          </w:p>
        </w:tc>
        <w:tc>
          <w:tcPr>
            <w:tcW w:w="2016" w:type="dxa"/>
            <w:vAlign w:val="center"/>
          </w:tcPr>
          <w:p w14:paraId="528F3A36">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知识理解与运用</w:t>
            </w:r>
          </w:p>
        </w:tc>
        <w:tc>
          <w:tcPr>
            <w:tcW w:w="1092" w:type="dxa"/>
            <w:vAlign w:val="center"/>
          </w:tcPr>
          <w:p w14:paraId="5BB91A4F">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kern w:val="0"/>
                <w:szCs w:val="21"/>
                <w:lang w:bidi="ar"/>
              </w:rPr>
              <w:t>1</w:t>
            </w:r>
          </w:p>
        </w:tc>
        <w:tc>
          <w:tcPr>
            <w:tcW w:w="2414" w:type="dxa"/>
            <w:vAlign w:val="center"/>
          </w:tcPr>
          <w:p w14:paraId="673329BB">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国家意识、社会责任（服务国家战略需求）</w:t>
            </w:r>
          </w:p>
        </w:tc>
      </w:tr>
      <w:tr w14:paraId="46BAD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90" w:type="dxa"/>
            <w:vAlign w:val="center"/>
          </w:tcPr>
          <w:p w14:paraId="6ED842BA">
            <w:pPr>
              <w:widowControl/>
              <w:spacing w:line="360" w:lineRule="auto"/>
              <w:jc w:val="center"/>
              <w:rPr>
                <w:rFonts w:hint="eastAsia" w:ascii="宋体" w:hAnsi="宋体" w:eastAsia="宋体" w:cs="宋体"/>
                <w:szCs w:val="21"/>
              </w:rPr>
            </w:pPr>
            <w:r>
              <w:rPr>
                <w:rFonts w:hint="eastAsia" w:ascii="宋体" w:hAnsi="宋体" w:eastAsia="宋体" w:cs="宋体"/>
                <w:kern w:val="0"/>
                <w:szCs w:val="21"/>
                <w:lang w:bidi="ar"/>
              </w:rPr>
              <w:t>2</w:t>
            </w:r>
          </w:p>
        </w:tc>
        <w:tc>
          <w:tcPr>
            <w:tcW w:w="1956" w:type="dxa"/>
            <w:vAlign w:val="center"/>
          </w:tcPr>
          <w:p w14:paraId="7984CBC2">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求职能力的提升</w:t>
            </w:r>
          </w:p>
        </w:tc>
        <w:tc>
          <w:tcPr>
            <w:tcW w:w="972" w:type="dxa"/>
            <w:vAlign w:val="center"/>
          </w:tcPr>
          <w:p w14:paraId="7689CAC8">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目标2</w:t>
            </w:r>
          </w:p>
        </w:tc>
        <w:tc>
          <w:tcPr>
            <w:tcW w:w="2016" w:type="dxa"/>
            <w:vAlign w:val="center"/>
          </w:tcPr>
          <w:p w14:paraId="1F355DDC">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沟通与表达能力</w:t>
            </w:r>
          </w:p>
        </w:tc>
        <w:tc>
          <w:tcPr>
            <w:tcW w:w="1092" w:type="dxa"/>
            <w:vAlign w:val="center"/>
          </w:tcPr>
          <w:p w14:paraId="5D5E767F">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kern w:val="0"/>
                <w:szCs w:val="21"/>
                <w:lang w:bidi="ar"/>
              </w:rPr>
              <w:t>1</w:t>
            </w:r>
          </w:p>
        </w:tc>
        <w:tc>
          <w:tcPr>
            <w:tcW w:w="2414" w:type="dxa"/>
            <w:vAlign w:val="center"/>
          </w:tcPr>
          <w:p w14:paraId="0BF4BB1C">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诚信意识、职业规范</w:t>
            </w:r>
          </w:p>
        </w:tc>
      </w:tr>
      <w:tr w14:paraId="4946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90" w:type="dxa"/>
            <w:vAlign w:val="center"/>
          </w:tcPr>
          <w:p w14:paraId="085FF746">
            <w:pPr>
              <w:widowControl/>
              <w:spacing w:line="360" w:lineRule="auto"/>
              <w:jc w:val="center"/>
              <w:rPr>
                <w:rFonts w:hint="eastAsia" w:ascii="宋体" w:hAnsi="宋体" w:eastAsia="宋体" w:cs="宋体"/>
                <w:szCs w:val="21"/>
              </w:rPr>
            </w:pPr>
            <w:r>
              <w:rPr>
                <w:rFonts w:hint="eastAsia" w:ascii="宋体" w:hAnsi="宋体" w:eastAsia="宋体" w:cs="宋体"/>
                <w:kern w:val="0"/>
                <w:szCs w:val="21"/>
                <w:lang w:bidi="ar"/>
              </w:rPr>
              <w:t>3</w:t>
            </w:r>
          </w:p>
        </w:tc>
        <w:tc>
          <w:tcPr>
            <w:tcW w:w="1956" w:type="dxa"/>
            <w:vAlign w:val="center"/>
          </w:tcPr>
          <w:p w14:paraId="649DEE4D">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求职信息的获取与利用</w:t>
            </w:r>
          </w:p>
        </w:tc>
        <w:tc>
          <w:tcPr>
            <w:tcW w:w="972" w:type="dxa"/>
            <w:vAlign w:val="center"/>
          </w:tcPr>
          <w:p w14:paraId="19CBF0D1">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目标2</w:t>
            </w:r>
          </w:p>
        </w:tc>
        <w:tc>
          <w:tcPr>
            <w:tcW w:w="2016" w:type="dxa"/>
            <w:vAlign w:val="center"/>
          </w:tcPr>
          <w:p w14:paraId="3FE24A88">
            <w:pPr>
              <w:widowControl/>
              <w:spacing w:line="360" w:lineRule="auto"/>
              <w:jc w:val="left"/>
              <w:rPr>
                <w:rFonts w:hint="eastAsia" w:ascii="宋体" w:hAnsi="宋体" w:eastAsia="宋体" w:cs="宋体"/>
                <w:szCs w:val="21"/>
              </w:rPr>
            </w:pPr>
            <w:r>
              <w:rPr>
                <w:rFonts w:hint="eastAsia" w:ascii="宋体" w:hAnsi="宋体" w:eastAsia="宋体" w:cs="宋体"/>
                <w:szCs w:val="21"/>
              </w:rPr>
              <w:t>知识理解与运用</w:t>
            </w:r>
          </w:p>
        </w:tc>
        <w:tc>
          <w:tcPr>
            <w:tcW w:w="1092" w:type="dxa"/>
            <w:vAlign w:val="center"/>
          </w:tcPr>
          <w:p w14:paraId="67521D9E">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kern w:val="0"/>
                <w:szCs w:val="21"/>
                <w:lang w:bidi="ar"/>
              </w:rPr>
              <w:t>1</w:t>
            </w:r>
          </w:p>
        </w:tc>
        <w:tc>
          <w:tcPr>
            <w:tcW w:w="2414" w:type="dxa"/>
            <w:vAlign w:val="center"/>
          </w:tcPr>
          <w:p w14:paraId="54472AE9">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信息安全意识、辨别网络虚假信息（诚信教育）</w:t>
            </w:r>
          </w:p>
        </w:tc>
      </w:tr>
      <w:tr w14:paraId="4DD4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90" w:type="dxa"/>
            <w:vAlign w:val="center"/>
          </w:tcPr>
          <w:p w14:paraId="210B96D9">
            <w:pPr>
              <w:widowControl/>
              <w:spacing w:line="360" w:lineRule="auto"/>
              <w:jc w:val="center"/>
              <w:rPr>
                <w:rFonts w:hint="eastAsia" w:ascii="宋体" w:hAnsi="宋体" w:eastAsia="宋体" w:cs="宋体"/>
                <w:szCs w:val="21"/>
              </w:rPr>
            </w:pPr>
            <w:r>
              <w:rPr>
                <w:rFonts w:hint="eastAsia" w:ascii="宋体" w:hAnsi="宋体" w:eastAsia="宋体" w:cs="宋体"/>
                <w:kern w:val="0"/>
                <w:szCs w:val="21"/>
                <w:lang w:bidi="ar"/>
              </w:rPr>
              <w:t>4</w:t>
            </w:r>
          </w:p>
        </w:tc>
        <w:tc>
          <w:tcPr>
            <w:tcW w:w="1956" w:type="dxa"/>
            <w:vAlign w:val="center"/>
          </w:tcPr>
          <w:p w14:paraId="54A6BCFA">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求职材料的准备</w:t>
            </w:r>
          </w:p>
        </w:tc>
        <w:tc>
          <w:tcPr>
            <w:tcW w:w="972" w:type="dxa"/>
            <w:vAlign w:val="center"/>
          </w:tcPr>
          <w:p w14:paraId="1BAC9ADD">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目标2</w:t>
            </w:r>
          </w:p>
        </w:tc>
        <w:tc>
          <w:tcPr>
            <w:tcW w:w="2016" w:type="dxa"/>
            <w:vAlign w:val="center"/>
          </w:tcPr>
          <w:p w14:paraId="47BDD42C">
            <w:pPr>
              <w:widowControl/>
              <w:spacing w:line="360" w:lineRule="auto"/>
              <w:jc w:val="left"/>
              <w:rPr>
                <w:rFonts w:hint="eastAsia" w:ascii="宋体" w:hAnsi="宋体" w:eastAsia="宋体" w:cs="宋体"/>
                <w:szCs w:val="21"/>
              </w:rPr>
            </w:pPr>
            <w:r>
              <w:rPr>
                <w:rFonts w:hint="eastAsia" w:ascii="宋体" w:hAnsi="宋体" w:eastAsia="宋体" w:cs="宋体"/>
                <w:szCs w:val="21"/>
              </w:rPr>
              <w:t>知识理解与运用</w:t>
            </w:r>
          </w:p>
        </w:tc>
        <w:tc>
          <w:tcPr>
            <w:tcW w:w="1092" w:type="dxa"/>
            <w:vAlign w:val="center"/>
          </w:tcPr>
          <w:p w14:paraId="58816530">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1</w:t>
            </w:r>
          </w:p>
        </w:tc>
        <w:tc>
          <w:tcPr>
            <w:tcW w:w="2414" w:type="dxa"/>
            <w:vAlign w:val="center"/>
          </w:tcPr>
          <w:p w14:paraId="7713CE08">
            <w:pPr>
              <w:widowControl/>
              <w:spacing w:line="360" w:lineRule="auto"/>
              <w:jc w:val="left"/>
              <w:rPr>
                <w:rFonts w:hint="eastAsia" w:ascii="宋体" w:hAnsi="宋体" w:eastAsia="宋体" w:cs="宋体"/>
                <w:szCs w:val="21"/>
              </w:rPr>
            </w:pPr>
            <w:r>
              <w:rPr>
                <w:rFonts w:hint="eastAsia" w:ascii="宋体" w:hAnsi="宋体" w:eastAsia="宋体" w:cs="宋体"/>
                <w:color w:val="000000"/>
                <w:szCs w:val="21"/>
                <w:shd w:val="clear" w:color="auto" w:fill="FFFFFF"/>
              </w:rPr>
              <w:t>诚信意识、法治意识和契约精神</w:t>
            </w:r>
          </w:p>
        </w:tc>
      </w:tr>
      <w:tr w14:paraId="0F14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vAlign w:val="center"/>
          </w:tcPr>
          <w:p w14:paraId="597CD3C8">
            <w:pPr>
              <w:widowControl/>
              <w:spacing w:line="360" w:lineRule="auto"/>
              <w:jc w:val="center"/>
              <w:rPr>
                <w:rFonts w:hint="eastAsia" w:ascii="宋体" w:hAnsi="宋体" w:eastAsia="宋体" w:cs="宋体"/>
                <w:szCs w:val="21"/>
              </w:rPr>
            </w:pPr>
            <w:r>
              <w:rPr>
                <w:rFonts w:hint="eastAsia" w:ascii="宋体" w:hAnsi="宋体" w:eastAsia="宋体" w:cs="宋体"/>
                <w:kern w:val="0"/>
                <w:szCs w:val="21"/>
                <w:lang w:bidi="ar"/>
              </w:rPr>
              <w:t>5</w:t>
            </w:r>
          </w:p>
        </w:tc>
        <w:tc>
          <w:tcPr>
            <w:tcW w:w="1956" w:type="dxa"/>
            <w:vAlign w:val="center"/>
          </w:tcPr>
          <w:p w14:paraId="24D580EA">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成功应聘的秘诀</w:t>
            </w:r>
          </w:p>
        </w:tc>
        <w:tc>
          <w:tcPr>
            <w:tcW w:w="972" w:type="dxa"/>
            <w:vAlign w:val="center"/>
          </w:tcPr>
          <w:p w14:paraId="2DBF6202">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目标2</w:t>
            </w:r>
          </w:p>
        </w:tc>
        <w:tc>
          <w:tcPr>
            <w:tcW w:w="2016" w:type="dxa"/>
            <w:vAlign w:val="center"/>
          </w:tcPr>
          <w:p w14:paraId="221FA7C4">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沟通与表达能力</w:t>
            </w:r>
          </w:p>
        </w:tc>
        <w:tc>
          <w:tcPr>
            <w:tcW w:w="1092" w:type="dxa"/>
            <w:vAlign w:val="center"/>
          </w:tcPr>
          <w:p w14:paraId="3373D728">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1</w:t>
            </w:r>
          </w:p>
        </w:tc>
        <w:tc>
          <w:tcPr>
            <w:tcW w:w="2414" w:type="dxa"/>
            <w:vAlign w:val="center"/>
          </w:tcPr>
          <w:p w14:paraId="7E11E1E9">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树立正确的择业观、将个人理想融入国家发展</w:t>
            </w:r>
          </w:p>
        </w:tc>
      </w:tr>
      <w:tr w14:paraId="483B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vAlign w:val="center"/>
          </w:tcPr>
          <w:p w14:paraId="23646504">
            <w:pPr>
              <w:widowControl/>
              <w:spacing w:line="360" w:lineRule="auto"/>
              <w:jc w:val="center"/>
              <w:rPr>
                <w:rFonts w:hint="eastAsia" w:ascii="宋体" w:hAnsi="宋体" w:eastAsia="宋体" w:cs="宋体"/>
                <w:szCs w:val="21"/>
              </w:rPr>
            </w:pPr>
            <w:r>
              <w:rPr>
                <w:rFonts w:hint="eastAsia" w:ascii="宋体" w:hAnsi="宋体" w:eastAsia="宋体" w:cs="宋体"/>
                <w:kern w:val="0"/>
                <w:szCs w:val="21"/>
                <w:lang w:bidi="ar"/>
              </w:rPr>
              <w:t>6</w:t>
            </w:r>
          </w:p>
        </w:tc>
        <w:tc>
          <w:tcPr>
            <w:tcW w:w="1956" w:type="dxa"/>
            <w:vAlign w:val="center"/>
          </w:tcPr>
          <w:p w14:paraId="5D841515">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择己所长，理性做好选择</w:t>
            </w:r>
          </w:p>
        </w:tc>
        <w:tc>
          <w:tcPr>
            <w:tcW w:w="972" w:type="dxa"/>
            <w:vAlign w:val="center"/>
          </w:tcPr>
          <w:p w14:paraId="2F299D2C">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目标3</w:t>
            </w:r>
          </w:p>
        </w:tc>
        <w:tc>
          <w:tcPr>
            <w:tcW w:w="2016" w:type="dxa"/>
            <w:vAlign w:val="center"/>
          </w:tcPr>
          <w:p w14:paraId="6A7F72F4">
            <w:pPr>
              <w:widowControl/>
              <w:spacing w:line="360" w:lineRule="auto"/>
              <w:jc w:val="left"/>
              <w:rPr>
                <w:rFonts w:hint="eastAsia" w:ascii="宋体" w:hAnsi="宋体" w:eastAsia="宋体" w:cs="宋体"/>
                <w:szCs w:val="21"/>
              </w:rPr>
            </w:pPr>
            <w:r>
              <w:rPr>
                <w:rFonts w:hint="eastAsia" w:ascii="宋体" w:hAnsi="宋体" w:eastAsia="宋体" w:cs="宋体"/>
                <w:color w:val="000000"/>
                <w:kern w:val="0"/>
                <w:szCs w:val="21"/>
                <w:lang w:bidi="ar"/>
              </w:rPr>
              <w:t>创新与创业能力</w:t>
            </w:r>
          </w:p>
        </w:tc>
        <w:tc>
          <w:tcPr>
            <w:tcW w:w="1092" w:type="dxa"/>
            <w:vAlign w:val="center"/>
          </w:tcPr>
          <w:p w14:paraId="3669EFE8">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kern w:val="0"/>
                <w:szCs w:val="21"/>
                <w:lang w:bidi="ar"/>
              </w:rPr>
              <w:t>1</w:t>
            </w:r>
          </w:p>
        </w:tc>
        <w:tc>
          <w:tcPr>
            <w:tcW w:w="2414" w:type="dxa"/>
            <w:vAlign w:val="center"/>
          </w:tcPr>
          <w:p w14:paraId="19255506">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树立正确的择业观、将个人理想融入国家发展</w:t>
            </w:r>
          </w:p>
        </w:tc>
      </w:tr>
      <w:tr w14:paraId="3ABB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vAlign w:val="center"/>
          </w:tcPr>
          <w:p w14:paraId="30BA2437">
            <w:pPr>
              <w:widowControl/>
              <w:spacing w:line="360" w:lineRule="auto"/>
              <w:jc w:val="center"/>
              <w:rPr>
                <w:rFonts w:hint="eastAsia" w:ascii="宋体" w:hAnsi="宋体" w:eastAsia="宋体" w:cs="宋体"/>
                <w:szCs w:val="21"/>
              </w:rPr>
            </w:pPr>
            <w:r>
              <w:rPr>
                <w:rFonts w:hint="eastAsia" w:ascii="宋体" w:hAnsi="宋体" w:eastAsia="宋体" w:cs="宋体"/>
                <w:kern w:val="0"/>
                <w:szCs w:val="21"/>
                <w:lang w:bidi="ar"/>
              </w:rPr>
              <w:t>7</w:t>
            </w:r>
          </w:p>
        </w:tc>
        <w:tc>
          <w:tcPr>
            <w:tcW w:w="1956" w:type="dxa"/>
            <w:vAlign w:val="center"/>
          </w:tcPr>
          <w:p w14:paraId="700C2D2A">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毕业生就业管理与权益保护</w:t>
            </w:r>
          </w:p>
        </w:tc>
        <w:tc>
          <w:tcPr>
            <w:tcW w:w="972" w:type="dxa"/>
            <w:vAlign w:val="center"/>
          </w:tcPr>
          <w:p w14:paraId="1E2DA6A3">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目标4</w:t>
            </w:r>
          </w:p>
        </w:tc>
        <w:tc>
          <w:tcPr>
            <w:tcW w:w="2016" w:type="dxa"/>
            <w:vAlign w:val="center"/>
          </w:tcPr>
          <w:p w14:paraId="585E70CA">
            <w:pPr>
              <w:widowControl/>
              <w:spacing w:line="360" w:lineRule="auto"/>
              <w:jc w:val="left"/>
              <w:rPr>
                <w:rFonts w:hint="eastAsia" w:ascii="宋体" w:hAnsi="宋体" w:eastAsia="宋体" w:cs="宋体"/>
                <w:szCs w:val="21"/>
              </w:rPr>
            </w:pPr>
            <w:r>
              <w:rPr>
                <w:rFonts w:hint="eastAsia" w:ascii="宋体" w:hAnsi="宋体" w:eastAsia="宋体" w:cs="宋体"/>
                <w:color w:val="000000"/>
                <w:kern w:val="0"/>
                <w:szCs w:val="21"/>
                <w:lang w:bidi="ar"/>
              </w:rPr>
              <w:t>职业规范与法律素养</w:t>
            </w:r>
          </w:p>
        </w:tc>
        <w:tc>
          <w:tcPr>
            <w:tcW w:w="1092" w:type="dxa"/>
            <w:vAlign w:val="center"/>
          </w:tcPr>
          <w:p w14:paraId="3A19CA5A">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kern w:val="0"/>
                <w:szCs w:val="21"/>
                <w:lang w:bidi="ar"/>
              </w:rPr>
              <w:t>1</w:t>
            </w:r>
          </w:p>
        </w:tc>
        <w:tc>
          <w:tcPr>
            <w:tcW w:w="2414" w:type="dxa"/>
            <w:vAlign w:val="center"/>
          </w:tcPr>
          <w:p w14:paraId="0A74B7CA">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法治观念、契约精神（社会主义核心价值观）</w:t>
            </w:r>
          </w:p>
        </w:tc>
      </w:tr>
      <w:tr w14:paraId="4826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90" w:type="dxa"/>
            <w:vAlign w:val="center"/>
          </w:tcPr>
          <w:p w14:paraId="442D7289">
            <w:pPr>
              <w:widowControl/>
              <w:spacing w:line="360" w:lineRule="auto"/>
              <w:jc w:val="center"/>
              <w:rPr>
                <w:rFonts w:hint="eastAsia" w:ascii="宋体" w:hAnsi="宋体" w:eastAsia="宋体" w:cs="宋体"/>
                <w:szCs w:val="21"/>
              </w:rPr>
            </w:pPr>
            <w:r>
              <w:rPr>
                <w:rFonts w:hint="eastAsia" w:ascii="宋体" w:hAnsi="宋体" w:eastAsia="宋体" w:cs="宋体"/>
                <w:kern w:val="0"/>
                <w:szCs w:val="21"/>
                <w:lang w:bidi="ar"/>
              </w:rPr>
              <w:t>8</w:t>
            </w:r>
          </w:p>
        </w:tc>
        <w:tc>
          <w:tcPr>
            <w:tcW w:w="1956" w:type="dxa"/>
            <w:vAlign w:val="center"/>
          </w:tcPr>
          <w:p w14:paraId="1E8FBC40">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胜任职场，创造精彩人生</w:t>
            </w:r>
          </w:p>
        </w:tc>
        <w:tc>
          <w:tcPr>
            <w:tcW w:w="972" w:type="dxa"/>
            <w:vAlign w:val="center"/>
          </w:tcPr>
          <w:p w14:paraId="0B35ABDC">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目标5</w:t>
            </w:r>
          </w:p>
        </w:tc>
        <w:tc>
          <w:tcPr>
            <w:tcW w:w="2016" w:type="dxa"/>
            <w:vAlign w:val="center"/>
          </w:tcPr>
          <w:p w14:paraId="250ECAC6">
            <w:pPr>
              <w:widowControl/>
              <w:spacing w:line="360" w:lineRule="auto"/>
              <w:jc w:val="left"/>
              <w:rPr>
                <w:rFonts w:hint="eastAsia" w:ascii="宋体" w:hAnsi="宋体" w:eastAsia="宋体" w:cs="宋体"/>
                <w:szCs w:val="21"/>
              </w:rPr>
            </w:pPr>
            <w:r>
              <w:rPr>
                <w:rFonts w:hint="eastAsia" w:ascii="宋体" w:hAnsi="宋体" w:eastAsia="宋体" w:cs="宋体"/>
                <w:color w:val="000000"/>
                <w:kern w:val="0"/>
                <w:szCs w:val="21"/>
                <w:lang w:bidi="ar"/>
              </w:rPr>
              <w:t>终身学习与发展能力</w:t>
            </w:r>
          </w:p>
        </w:tc>
        <w:tc>
          <w:tcPr>
            <w:tcW w:w="1092" w:type="dxa"/>
            <w:vAlign w:val="center"/>
          </w:tcPr>
          <w:p w14:paraId="4385DC14">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1</w:t>
            </w:r>
          </w:p>
        </w:tc>
        <w:tc>
          <w:tcPr>
            <w:tcW w:w="2414" w:type="dxa"/>
            <w:vAlign w:val="center"/>
          </w:tcPr>
          <w:p w14:paraId="0158D66B">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劳模精神、工匠精神、奋斗精神（职业理想与信念教育）</w:t>
            </w:r>
          </w:p>
        </w:tc>
      </w:tr>
    </w:tbl>
    <w:p w14:paraId="05BACAD2">
      <w:pPr>
        <w:widowControl/>
        <w:spacing w:line="360" w:lineRule="auto"/>
        <w:ind w:right="528" w:firstLine="422" w:firstLineChars="200"/>
        <w:rPr>
          <w:rFonts w:hint="eastAsia" w:ascii="宋体" w:hAnsi="宋体" w:eastAsia="宋体" w:cs="宋体"/>
          <w:color w:val="000000"/>
          <w:szCs w:val="21"/>
        </w:rPr>
      </w:pPr>
      <w:r>
        <w:rPr>
          <w:rFonts w:hint="eastAsia" w:ascii="宋体" w:hAnsi="宋体" w:eastAsia="宋体" w:cs="宋体"/>
          <w:b/>
          <w:bCs/>
          <w:color w:val="000000"/>
          <w:szCs w:val="21"/>
          <w:shd w:val="clear" w:color="auto" w:fill="FFFFFF"/>
        </w:rPr>
        <w:t>四、课程实施</w:t>
      </w:r>
    </w:p>
    <w:p w14:paraId="6A03976E">
      <w:pPr>
        <w:widowControl/>
        <w:spacing w:line="360" w:lineRule="auto"/>
        <w:ind w:right="528" w:firstLine="422" w:firstLineChars="200"/>
        <w:rPr>
          <w:rFonts w:hint="eastAsia" w:ascii="宋体" w:hAnsi="宋体" w:eastAsia="宋体" w:cs="宋体"/>
          <w:color w:val="000000"/>
          <w:szCs w:val="21"/>
        </w:rPr>
      </w:pPr>
      <w:r>
        <w:rPr>
          <w:rFonts w:hint="eastAsia" w:ascii="宋体" w:hAnsi="宋体" w:eastAsia="宋体" w:cs="宋体"/>
          <w:b/>
          <w:bCs/>
          <w:color w:val="000000"/>
          <w:szCs w:val="21"/>
          <w:shd w:val="clear" w:color="auto" w:fill="FFFFFF"/>
        </w:rPr>
        <w:t>（一）教学方法与教学手段</w:t>
      </w:r>
    </w:p>
    <w:p w14:paraId="26D53932">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1.课堂讲授与案例教学相结合</w:t>
      </w:r>
    </w:p>
    <w:p w14:paraId="5CFFEBA9">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2.小组讨论与情境模拟</w:t>
      </w:r>
    </w:p>
    <w:p w14:paraId="61008A95">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课程思政融入方法：通过政策解读、榜样故事、价值观引导等方式融入教学全过程。</w:t>
      </w:r>
    </w:p>
    <w:p w14:paraId="6CD16E50">
      <w:pPr>
        <w:widowControl/>
        <w:spacing w:line="360" w:lineRule="auto"/>
        <w:ind w:right="528" w:firstLine="422" w:firstLineChars="200"/>
        <w:rPr>
          <w:rFonts w:hint="eastAsia" w:ascii="宋体" w:hAnsi="宋体" w:eastAsia="宋体" w:cs="宋体"/>
          <w:color w:val="000000"/>
          <w:szCs w:val="21"/>
        </w:rPr>
      </w:pPr>
      <w:r>
        <w:rPr>
          <w:rFonts w:hint="eastAsia" w:ascii="宋体" w:hAnsi="宋体" w:eastAsia="宋体" w:cs="宋体"/>
          <w:b/>
          <w:bCs/>
          <w:color w:val="000000"/>
          <w:szCs w:val="21"/>
          <w:shd w:val="clear" w:color="auto" w:fill="FFFFFF"/>
        </w:rPr>
        <w:t>（二）教学质量要求</w:t>
      </w:r>
    </w:p>
    <w:p w14:paraId="3981DA64">
      <w:pPr>
        <w:widowControl/>
        <w:spacing w:line="360" w:lineRule="auto"/>
        <w:ind w:left="528" w:right="528" w:firstLine="420" w:firstLineChars="200"/>
        <w:jc w:val="center"/>
        <w:rPr>
          <w:rFonts w:hint="eastAsia" w:ascii="宋体" w:hAnsi="宋体" w:eastAsia="宋体" w:cs="宋体"/>
          <w:color w:val="000000"/>
          <w:szCs w:val="21"/>
        </w:rPr>
      </w:pPr>
      <w:r>
        <w:rPr>
          <w:rFonts w:hint="eastAsia" w:ascii="宋体" w:hAnsi="宋体" w:eastAsia="宋体" w:cs="宋体"/>
          <w:color w:val="000000"/>
          <w:szCs w:val="21"/>
          <w:shd w:val="clear" w:color="auto" w:fill="FFFFFF"/>
        </w:rPr>
        <w:t>表4 课程主要教学环节和质量要求表</w:t>
      </w:r>
    </w:p>
    <w:tbl>
      <w:tblPr>
        <w:tblStyle w:val="11"/>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1075"/>
        <w:gridCol w:w="7140"/>
      </w:tblGrid>
      <w:tr w14:paraId="541E8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57" w:type="dxa"/>
            <w:gridSpan w:val="2"/>
            <w:tcMar>
              <w:left w:w="28" w:type="dxa"/>
              <w:right w:w="28" w:type="dxa"/>
            </w:tcMar>
            <w:vAlign w:val="center"/>
          </w:tcPr>
          <w:p w14:paraId="45A3F463">
            <w:pPr>
              <w:spacing w:line="276" w:lineRule="auto"/>
              <w:jc w:val="center"/>
              <w:rPr>
                <w:rFonts w:ascii="Calibri" w:hAnsi="Calibri" w:eastAsia="宋体" w:cs="Times New Roman"/>
                <w:szCs w:val="21"/>
              </w:rPr>
            </w:pPr>
            <w:r>
              <w:rPr>
                <w:rFonts w:ascii="Calibri" w:hAnsi="Calibri" w:eastAsia="宋体" w:cs="Times New Roman"/>
                <w:bCs/>
                <w:szCs w:val="21"/>
              </w:rPr>
              <w:t>主要教学环节</w:t>
            </w:r>
          </w:p>
        </w:tc>
        <w:tc>
          <w:tcPr>
            <w:tcW w:w="7140" w:type="dxa"/>
            <w:vAlign w:val="center"/>
          </w:tcPr>
          <w:p w14:paraId="3DE34D6F">
            <w:pPr>
              <w:spacing w:line="276" w:lineRule="auto"/>
              <w:jc w:val="center"/>
              <w:rPr>
                <w:rFonts w:ascii="Calibri" w:hAnsi="Calibri" w:eastAsia="宋体" w:cs="Times New Roman"/>
                <w:szCs w:val="21"/>
              </w:rPr>
            </w:pPr>
            <w:r>
              <w:rPr>
                <w:rFonts w:ascii="Calibri" w:hAnsi="Calibri" w:eastAsia="宋体" w:cs="Times New Roman"/>
                <w:bCs/>
                <w:szCs w:val="21"/>
              </w:rPr>
              <w:t>质量</w:t>
            </w:r>
            <w:r>
              <w:rPr>
                <w:rFonts w:hint="eastAsia" w:ascii="Calibri" w:hAnsi="Calibri" w:eastAsia="宋体" w:cs="Times New Roman"/>
                <w:bCs/>
                <w:szCs w:val="21"/>
              </w:rPr>
              <w:t>要求</w:t>
            </w:r>
          </w:p>
        </w:tc>
      </w:tr>
      <w:tr w14:paraId="0D3E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582" w:type="dxa"/>
            <w:vAlign w:val="center"/>
          </w:tcPr>
          <w:p w14:paraId="318146E9">
            <w:pPr>
              <w:spacing w:line="276" w:lineRule="auto"/>
              <w:jc w:val="center"/>
              <w:rPr>
                <w:rFonts w:ascii="Calibri" w:hAnsi="Calibri" w:eastAsia="宋体" w:cs="Times New Roman"/>
                <w:szCs w:val="21"/>
              </w:rPr>
            </w:pPr>
            <w:r>
              <w:rPr>
                <w:rFonts w:ascii="Calibri" w:hAnsi="Calibri" w:eastAsia="宋体" w:cs="Times New Roman"/>
                <w:szCs w:val="21"/>
              </w:rPr>
              <w:t>1</w:t>
            </w:r>
          </w:p>
        </w:tc>
        <w:tc>
          <w:tcPr>
            <w:tcW w:w="1075" w:type="dxa"/>
            <w:tcMar>
              <w:left w:w="28" w:type="dxa"/>
              <w:right w:w="28" w:type="dxa"/>
            </w:tcMar>
            <w:vAlign w:val="center"/>
          </w:tcPr>
          <w:p w14:paraId="478A2D63">
            <w:pPr>
              <w:spacing w:line="276" w:lineRule="auto"/>
              <w:jc w:val="center"/>
              <w:rPr>
                <w:rFonts w:ascii="Calibri" w:hAnsi="Calibri" w:eastAsia="宋体" w:cs="Times New Roman"/>
                <w:szCs w:val="21"/>
              </w:rPr>
            </w:pPr>
            <w:r>
              <w:rPr>
                <w:rFonts w:ascii="Calibri" w:hAnsi="Calibri" w:eastAsia="宋体" w:cs="Times New Roman"/>
                <w:szCs w:val="21"/>
              </w:rPr>
              <w:t>备课</w:t>
            </w:r>
          </w:p>
        </w:tc>
        <w:tc>
          <w:tcPr>
            <w:tcW w:w="7140" w:type="dxa"/>
            <w:vAlign w:val="center"/>
          </w:tcPr>
          <w:p w14:paraId="1AFC1984">
            <w:pPr>
              <w:spacing w:line="276" w:lineRule="auto"/>
              <w:rPr>
                <w:rFonts w:ascii="Calibri" w:hAnsi="Calibri" w:eastAsia="宋体" w:cs="Times New Roman"/>
                <w:szCs w:val="21"/>
              </w:rPr>
            </w:pPr>
            <w:r>
              <w:rPr>
                <w:rFonts w:hint="eastAsia" w:ascii="Calibri" w:hAnsi="Calibri" w:eastAsia="宋体" w:cs="Times New Roman"/>
                <w:szCs w:val="21"/>
              </w:rPr>
              <w:t>1.</w:t>
            </w:r>
            <w:r>
              <w:rPr>
                <w:rFonts w:ascii="Calibri" w:hAnsi="Calibri" w:eastAsia="宋体" w:cs="Times New Roman"/>
                <w:szCs w:val="21"/>
              </w:rPr>
              <w:t>掌握本课程教学大纲内容，严格按照教学大纲要求进行课程教学内容的组织。</w:t>
            </w:r>
          </w:p>
          <w:p w14:paraId="546B9BAB">
            <w:pPr>
              <w:spacing w:line="276" w:lineRule="auto"/>
              <w:rPr>
                <w:rFonts w:ascii="Calibri" w:hAnsi="Calibri" w:eastAsia="宋体" w:cs="Times New Roman"/>
                <w:szCs w:val="21"/>
              </w:rPr>
            </w:pPr>
            <w:r>
              <w:rPr>
                <w:rFonts w:hint="eastAsia" w:ascii="Calibri" w:hAnsi="Calibri" w:eastAsia="宋体" w:cs="Times New Roman"/>
                <w:szCs w:val="21"/>
              </w:rPr>
              <w:t>2.</w:t>
            </w:r>
            <w:r>
              <w:rPr>
                <w:rFonts w:ascii="Calibri" w:hAnsi="Calibri" w:eastAsia="宋体" w:cs="Times New Roman"/>
                <w:szCs w:val="21"/>
              </w:rPr>
              <w:t>熟悉教材各章节，借助专业书籍资料，并依据教学大纲编写授课计划</w:t>
            </w:r>
            <w:r>
              <w:rPr>
                <w:rFonts w:hint="eastAsia" w:ascii="Calibri" w:hAnsi="Calibri" w:eastAsia="宋体" w:cs="Times New Roman"/>
                <w:szCs w:val="21"/>
              </w:rPr>
              <w:t>进度表</w:t>
            </w:r>
          </w:p>
          <w:p w14:paraId="3F3FCA3C">
            <w:pPr>
              <w:spacing w:line="276" w:lineRule="auto"/>
              <w:rPr>
                <w:rFonts w:ascii="Calibri" w:hAnsi="Calibri" w:eastAsia="宋体" w:cs="Times New Roman"/>
                <w:szCs w:val="21"/>
              </w:rPr>
            </w:pPr>
            <w:r>
              <w:rPr>
                <w:rFonts w:hint="eastAsia" w:ascii="Calibri" w:hAnsi="Calibri" w:eastAsia="宋体" w:cs="Times New Roman"/>
                <w:szCs w:val="21"/>
              </w:rPr>
              <w:t>3.根据</w:t>
            </w:r>
            <w:r>
              <w:rPr>
                <w:rFonts w:ascii="Calibri" w:hAnsi="Calibri" w:eastAsia="宋体" w:cs="Times New Roman"/>
                <w:szCs w:val="21"/>
              </w:rPr>
              <w:t>各部分</w:t>
            </w:r>
            <w:r>
              <w:rPr>
                <w:rFonts w:hint="eastAsia" w:ascii="Calibri" w:hAnsi="Calibri" w:eastAsia="宋体" w:cs="Times New Roman"/>
                <w:szCs w:val="21"/>
              </w:rPr>
              <w:t>教学</w:t>
            </w:r>
            <w:r>
              <w:rPr>
                <w:rFonts w:ascii="Calibri" w:hAnsi="Calibri" w:eastAsia="宋体" w:cs="Times New Roman"/>
                <w:szCs w:val="21"/>
              </w:rPr>
              <w:t>内容</w:t>
            </w:r>
            <w:r>
              <w:rPr>
                <w:rFonts w:hint="eastAsia" w:ascii="Calibri" w:hAnsi="Calibri" w:eastAsia="宋体" w:cs="Times New Roman"/>
                <w:szCs w:val="21"/>
              </w:rPr>
              <w:t>，</w:t>
            </w:r>
            <w:r>
              <w:rPr>
                <w:rFonts w:ascii="Calibri" w:hAnsi="Calibri" w:eastAsia="宋体" w:cs="Times New Roman"/>
                <w:szCs w:val="21"/>
              </w:rPr>
              <w:t>构思授课思路、技巧</w:t>
            </w:r>
            <w:r>
              <w:rPr>
                <w:rFonts w:hint="eastAsia" w:ascii="Calibri" w:hAnsi="Calibri" w:eastAsia="宋体" w:cs="Times New Roman"/>
                <w:szCs w:val="21"/>
              </w:rPr>
              <w:t>，选择合适的</w:t>
            </w:r>
            <w:r>
              <w:rPr>
                <w:rFonts w:ascii="Calibri" w:hAnsi="Calibri" w:eastAsia="宋体" w:cs="Times New Roman"/>
                <w:szCs w:val="21"/>
              </w:rPr>
              <w:t>教学方法。</w:t>
            </w:r>
          </w:p>
        </w:tc>
      </w:tr>
      <w:tr w14:paraId="4C68F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vAlign w:val="center"/>
          </w:tcPr>
          <w:p w14:paraId="267DFC2A">
            <w:pPr>
              <w:spacing w:line="276" w:lineRule="auto"/>
              <w:jc w:val="center"/>
              <w:rPr>
                <w:rFonts w:ascii="Calibri" w:hAnsi="Calibri" w:eastAsia="宋体" w:cs="Times New Roman"/>
                <w:szCs w:val="21"/>
              </w:rPr>
            </w:pPr>
            <w:r>
              <w:rPr>
                <w:rFonts w:ascii="Calibri" w:hAnsi="Calibri" w:eastAsia="宋体" w:cs="Times New Roman"/>
                <w:szCs w:val="21"/>
              </w:rPr>
              <w:t>2</w:t>
            </w:r>
          </w:p>
        </w:tc>
        <w:tc>
          <w:tcPr>
            <w:tcW w:w="1075" w:type="dxa"/>
            <w:tcMar>
              <w:left w:w="28" w:type="dxa"/>
              <w:right w:w="28" w:type="dxa"/>
            </w:tcMar>
            <w:vAlign w:val="center"/>
          </w:tcPr>
          <w:p w14:paraId="4A3FABDA">
            <w:pPr>
              <w:spacing w:line="276" w:lineRule="auto"/>
              <w:jc w:val="center"/>
              <w:rPr>
                <w:rFonts w:ascii="Calibri" w:hAnsi="Calibri" w:eastAsia="宋体" w:cs="Times New Roman"/>
                <w:szCs w:val="21"/>
              </w:rPr>
            </w:pPr>
            <w:r>
              <w:rPr>
                <w:rFonts w:ascii="Calibri" w:hAnsi="Calibri" w:eastAsia="宋体" w:cs="Times New Roman"/>
                <w:szCs w:val="21"/>
              </w:rPr>
              <w:t>讲授</w:t>
            </w:r>
          </w:p>
        </w:tc>
        <w:tc>
          <w:tcPr>
            <w:tcW w:w="7140" w:type="dxa"/>
            <w:vAlign w:val="center"/>
          </w:tcPr>
          <w:p w14:paraId="07B0A6CF">
            <w:pPr>
              <w:spacing w:line="276" w:lineRule="auto"/>
              <w:rPr>
                <w:rFonts w:ascii="Calibri" w:hAnsi="Calibri" w:eastAsia="宋体" w:cs="Times New Roman"/>
                <w:szCs w:val="21"/>
              </w:rPr>
            </w:pPr>
            <w:r>
              <w:rPr>
                <w:rFonts w:hint="eastAsia" w:ascii="Calibri" w:hAnsi="Calibri" w:eastAsia="宋体" w:cs="Times New Roman"/>
                <w:szCs w:val="21"/>
              </w:rPr>
              <w:t>1.</w:t>
            </w:r>
            <w:r>
              <w:rPr>
                <w:rFonts w:ascii="Calibri" w:hAnsi="Calibri" w:eastAsia="宋体" w:cs="Times New Roman"/>
                <w:szCs w:val="21"/>
              </w:rPr>
              <w:t>要点准确</w:t>
            </w:r>
            <w:r>
              <w:rPr>
                <w:rFonts w:hint="eastAsia" w:ascii="Calibri" w:hAnsi="Calibri" w:eastAsia="宋体" w:cs="Times New Roman"/>
                <w:szCs w:val="21"/>
              </w:rPr>
              <w:t>、</w:t>
            </w:r>
            <w:r>
              <w:rPr>
                <w:rFonts w:ascii="Calibri" w:hAnsi="Calibri" w:eastAsia="宋体" w:cs="Times New Roman"/>
                <w:szCs w:val="21"/>
              </w:rPr>
              <w:t>条理清晰</w:t>
            </w:r>
            <w:r>
              <w:rPr>
                <w:rFonts w:hint="eastAsia" w:ascii="Calibri" w:hAnsi="Calibri" w:eastAsia="宋体" w:cs="Times New Roman"/>
                <w:szCs w:val="21"/>
              </w:rPr>
              <w:t>、</w:t>
            </w:r>
            <w:r>
              <w:rPr>
                <w:rFonts w:ascii="Calibri" w:hAnsi="Calibri" w:eastAsia="宋体" w:cs="Times New Roman"/>
                <w:szCs w:val="21"/>
              </w:rPr>
              <w:t>重点突出，</w:t>
            </w:r>
            <w:r>
              <w:rPr>
                <w:rFonts w:hint="eastAsia" w:ascii="Calibri" w:hAnsi="Calibri" w:eastAsia="宋体" w:cs="Times New Roman"/>
                <w:szCs w:val="21"/>
              </w:rPr>
              <w:t>能够</w:t>
            </w:r>
            <w:r>
              <w:rPr>
                <w:rFonts w:ascii="Calibri" w:hAnsi="Calibri" w:eastAsia="宋体" w:cs="Times New Roman"/>
                <w:szCs w:val="21"/>
              </w:rPr>
              <w:t>理论联系实际，熟练地解答和讲解例题。</w:t>
            </w:r>
          </w:p>
          <w:p w14:paraId="1EFC1A29">
            <w:pPr>
              <w:spacing w:line="276" w:lineRule="auto"/>
              <w:rPr>
                <w:rFonts w:ascii="Calibri" w:hAnsi="Calibri" w:eastAsia="宋体" w:cs="Times New Roman"/>
                <w:szCs w:val="21"/>
              </w:rPr>
            </w:pPr>
            <w:r>
              <w:rPr>
                <w:rFonts w:hint="eastAsia" w:ascii="Calibri" w:hAnsi="Calibri" w:eastAsia="宋体" w:cs="Times New Roman"/>
                <w:szCs w:val="21"/>
              </w:rPr>
              <w:t>2.</w:t>
            </w:r>
            <w:r>
              <w:rPr>
                <w:rFonts w:ascii="Calibri" w:hAnsi="Calibri" w:eastAsia="宋体" w:cs="Times New Roman"/>
                <w:szCs w:val="21"/>
              </w:rPr>
              <w:t>采用多种教学方式（如启发式教学、案例分析教学、讨论式教学、多媒体示范教学等），注重培养学生发现、分析和解决问题的能力。</w:t>
            </w:r>
          </w:p>
          <w:p w14:paraId="48844AE5">
            <w:pPr>
              <w:spacing w:line="276" w:lineRule="auto"/>
              <w:rPr>
                <w:rFonts w:ascii="Calibri" w:hAnsi="Calibri" w:eastAsia="宋体" w:cs="Times New Roman"/>
                <w:szCs w:val="21"/>
              </w:rPr>
            </w:pPr>
            <w:r>
              <w:rPr>
                <w:rFonts w:hint="eastAsia" w:ascii="Calibri" w:hAnsi="Calibri" w:eastAsia="宋体" w:cs="Times New Roman"/>
                <w:szCs w:val="21"/>
              </w:rPr>
              <w:t>3.能够采用现代信息技术辅助</w:t>
            </w:r>
            <w:r>
              <w:rPr>
                <w:rFonts w:ascii="Calibri" w:hAnsi="Calibri" w:eastAsia="宋体" w:cs="Times New Roman"/>
                <w:szCs w:val="21"/>
              </w:rPr>
              <w:t>教学。</w:t>
            </w:r>
          </w:p>
          <w:p w14:paraId="163A0F48">
            <w:pPr>
              <w:spacing w:line="276" w:lineRule="auto"/>
              <w:rPr>
                <w:rFonts w:ascii="Calibri" w:hAnsi="Calibri" w:eastAsia="宋体" w:cs="Times New Roman"/>
                <w:szCs w:val="21"/>
              </w:rPr>
            </w:pPr>
            <w:r>
              <w:rPr>
                <w:rFonts w:hint="eastAsia" w:ascii="Calibri" w:hAnsi="Calibri" w:eastAsia="宋体" w:cs="Times New Roman"/>
                <w:szCs w:val="21"/>
              </w:rPr>
              <w:t>4.</w:t>
            </w:r>
            <w:r>
              <w:rPr>
                <w:rFonts w:ascii="Calibri" w:hAnsi="Calibri" w:eastAsia="宋体" w:cs="Times New Roman"/>
                <w:szCs w:val="21"/>
              </w:rPr>
              <w:t>表达方式</w:t>
            </w:r>
            <w:r>
              <w:rPr>
                <w:rFonts w:hint="eastAsia" w:ascii="Calibri" w:hAnsi="Calibri" w:eastAsia="宋体" w:cs="Times New Roman"/>
                <w:szCs w:val="21"/>
              </w:rPr>
              <w:t>应能</w:t>
            </w:r>
            <w:r>
              <w:rPr>
                <w:rFonts w:ascii="Calibri" w:hAnsi="Calibri" w:eastAsia="宋体" w:cs="Times New Roman"/>
                <w:szCs w:val="21"/>
              </w:rPr>
              <w:t>便于学生理解、接受，力求形象生动，使学生在掌握知识的过程中，保持较为浓厚的</w:t>
            </w:r>
            <w:r>
              <w:rPr>
                <w:rFonts w:hint="eastAsia" w:ascii="Calibri" w:hAnsi="Calibri" w:eastAsia="宋体" w:cs="Times New Roman"/>
                <w:szCs w:val="21"/>
              </w:rPr>
              <w:t>学习</w:t>
            </w:r>
            <w:r>
              <w:rPr>
                <w:rFonts w:ascii="Calibri" w:hAnsi="Calibri" w:eastAsia="宋体" w:cs="Times New Roman"/>
                <w:szCs w:val="21"/>
              </w:rPr>
              <w:t>兴趣。</w:t>
            </w:r>
          </w:p>
        </w:tc>
      </w:tr>
      <w:tr w14:paraId="721D7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82" w:type="dxa"/>
            <w:vAlign w:val="center"/>
          </w:tcPr>
          <w:p w14:paraId="724018DF">
            <w:pPr>
              <w:spacing w:line="276" w:lineRule="auto"/>
              <w:jc w:val="center"/>
              <w:rPr>
                <w:rFonts w:ascii="Calibri" w:hAnsi="Calibri" w:eastAsia="宋体" w:cs="Times New Roman"/>
                <w:szCs w:val="21"/>
              </w:rPr>
            </w:pPr>
            <w:r>
              <w:rPr>
                <w:rFonts w:hint="eastAsia" w:ascii="Calibri" w:hAnsi="Calibri" w:eastAsia="宋体" w:cs="Times New Roman"/>
                <w:szCs w:val="21"/>
              </w:rPr>
              <w:t>3</w:t>
            </w:r>
          </w:p>
        </w:tc>
        <w:tc>
          <w:tcPr>
            <w:tcW w:w="1075" w:type="dxa"/>
            <w:tcMar>
              <w:left w:w="28" w:type="dxa"/>
              <w:right w:w="28" w:type="dxa"/>
            </w:tcMar>
            <w:vAlign w:val="center"/>
          </w:tcPr>
          <w:p w14:paraId="200722D7">
            <w:pPr>
              <w:spacing w:line="276" w:lineRule="auto"/>
              <w:jc w:val="center"/>
              <w:rPr>
                <w:rFonts w:ascii="Calibri" w:hAnsi="Calibri" w:eastAsia="宋体" w:cs="Times New Roman"/>
                <w:szCs w:val="21"/>
              </w:rPr>
            </w:pPr>
            <w:r>
              <w:rPr>
                <w:rFonts w:ascii="Calibri" w:hAnsi="Calibri" w:eastAsia="宋体" w:cs="Times New Roman"/>
                <w:szCs w:val="21"/>
              </w:rPr>
              <w:t>课外答疑</w:t>
            </w:r>
          </w:p>
        </w:tc>
        <w:tc>
          <w:tcPr>
            <w:tcW w:w="7140" w:type="dxa"/>
            <w:vAlign w:val="center"/>
          </w:tcPr>
          <w:p w14:paraId="4CD06773">
            <w:pPr>
              <w:spacing w:line="276" w:lineRule="auto"/>
              <w:rPr>
                <w:rFonts w:ascii="Calibri" w:hAnsi="Calibri" w:eastAsia="宋体" w:cs="Times New Roman"/>
                <w:szCs w:val="21"/>
              </w:rPr>
            </w:pPr>
            <w:r>
              <w:rPr>
                <w:rFonts w:ascii="Calibri" w:hAnsi="Calibri" w:eastAsia="宋体" w:cs="Times New Roman"/>
                <w:szCs w:val="21"/>
              </w:rPr>
              <w:t>为了解学生的学习情况，帮助学生</w:t>
            </w:r>
            <w:r>
              <w:rPr>
                <w:rFonts w:hint="eastAsia" w:ascii="Calibri" w:hAnsi="Calibri" w:eastAsia="宋体" w:cs="Times New Roman"/>
                <w:szCs w:val="21"/>
              </w:rPr>
              <w:t>更好地</w:t>
            </w:r>
            <w:r>
              <w:rPr>
                <w:rFonts w:ascii="Calibri" w:hAnsi="Calibri" w:eastAsia="宋体" w:cs="Times New Roman"/>
                <w:szCs w:val="21"/>
              </w:rPr>
              <w:t>理解和消化所学知识、改进学习方法和思维方式，培养其独立思考问题的能力，</w:t>
            </w:r>
            <w:r>
              <w:rPr>
                <w:rFonts w:hint="eastAsia" w:ascii="Calibri" w:hAnsi="Calibri" w:eastAsia="宋体" w:cs="Times New Roman"/>
                <w:szCs w:val="21"/>
              </w:rPr>
              <w:t>课外答疑方式、时间、地点要跟学生商量共同确定，灵活安排。</w:t>
            </w:r>
          </w:p>
        </w:tc>
      </w:tr>
      <w:tr w14:paraId="5063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582" w:type="dxa"/>
            <w:vAlign w:val="center"/>
          </w:tcPr>
          <w:p w14:paraId="70382670">
            <w:pPr>
              <w:spacing w:line="276" w:lineRule="auto"/>
              <w:jc w:val="center"/>
              <w:rPr>
                <w:rFonts w:ascii="Calibri" w:hAnsi="Calibri" w:eastAsia="宋体" w:cs="Times New Roman"/>
                <w:szCs w:val="21"/>
              </w:rPr>
            </w:pPr>
            <w:r>
              <w:rPr>
                <w:rFonts w:ascii="Calibri" w:hAnsi="Calibri" w:eastAsia="宋体" w:cs="Times New Roman"/>
                <w:szCs w:val="21"/>
              </w:rPr>
              <w:t>4</w:t>
            </w:r>
          </w:p>
        </w:tc>
        <w:tc>
          <w:tcPr>
            <w:tcW w:w="1075" w:type="dxa"/>
            <w:tcMar>
              <w:left w:w="28" w:type="dxa"/>
              <w:right w:w="28" w:type="dxa"/>
            </w:tcMar>
            <w:vAlign w:val="center"/>
          </w:tcPr>
          <w:p w14:paraId="35279B3D">
            <w:pPr>
              <w:spacing w:line="276" w:lineRule="auto"/>
              <w:jc w:val="center"/>
              <w:rPr>
                <w:rFonts w:ascii="Calibri" w:hAnsi="Calibri" w:eastAsia="宋体" w:cs="Times New Roman"/>
                <w:szCs w:val="21"/>
              </w:rPr>
            </w:pPr>
            <w:r>
              <w:rPr>
                <w:rFonts w:ascii="Calibri" w:hAnsi="Calibri" w:eastAsia="宋体" w:cs="Times New Roman"/>
                <w:szCs w:val="21"/>
              </w:rPr>
              <w:t>成绩考核</w:t>
            </w:r>
          </w:p>
        </w:tc>
        <w:tc>
          <w:tcPr>
            <w:tcW w:w="7140" w:type="dxa"/>
            <w:vAlign w:val="center"/>
          </w:tcPr>
          <w:p w14:paraId="4B7B3313">
            <w:pPr>
              <w:spacing w:line="276" w:lineRule="auto"/>
              <w:rPr>
                <w:rFonts w:ascii="Calibri" w:hAnsi="Calibri" w:eastAsia="宋体" w:cs="Times New Roman"/>
                <w:szCs w:val="21"/>
              </w:rPr>
            </w:pPr>
            <w:r>
              <w:rPr>
                <w:rFonts w:ascii="Calibri" w:hAnsi="Calibri" w:eastAsia="宋体" w:cs="Times New Roman"/>
                <w:szCs w:val="21"/>
              </w:rPr>
              <w:t>本课程考核的方式为</w:t>
            </w:r>
            <w:r>
              <w:rPr>
                <w:rFonts w:hint="eastAsia" w:ascii="Calibri" w:hAnsi="Calibri" w:eastAsia="宋体" w:cs="Times New Roman"/>
                <w:szCs w:val="21"/>
              </w:rPr>
              <w:t>求职简历和就业能力展示（PPT）</w:t>
            </w:r>
            <w:r>
              <w:rPr>
                <w:rFonts w:ascii="Calibri" w:hAnsi="Calibri" w:eastAsia="宋体" w:cs="Times New Roman"/>
                <w:szCs w:val="21"/>
              </w:rPr>
              <w:t>。</w:t>
            </w:r>
          </w:p>
        </w:tc>
      </w:tr>
    </w:tbl>
    <w:p w14:paraId="0951E3B5">
      <w:pPr>
        <w:widowControl/>
        <w:spacing w:line="360" w:lineRule="auto"/>
        <w:ind w:right="528" w:firstLine="422" w:firstLineChars="200"/>
        <w:rPr>
          <w:rFonts w:hint="eastAsia" w:ascii="宋体" w:hAnsi="宋体" w:eastAsia="宋体" w:cs="宋体"/>
          <w:b/>
          <w:bCs/>
          <w:color w:val="000000"/>
          <w:szCs w:val="21"/>
          <w:shd w:val="clear" w:color="auto" w:fill="FFFFFF"/>
        </w:rPr>
      </w:pPr>
    </w:p>
    <w:p w14:paraId="25995672">
      <w:pPr>
        <w:widowControl/>
        <w:spacing w:line="360" w:lineRule="auto"/>
        <w:ind w:right="528" w:firstLine="422" w:firstLineChars="200"/>
        <w:rPr>
          <w:rFonts w:hint="eastAsia" w:ascii="宋体" w:hAnsi="宋体" w:eastAsia="宋体" w:cs="宋体"/>
          <w:color w:val="000000"/>
          <w:szCs w:val="21"/>
        </w:rPr>
      </w:pPr>
      <w:r>
        <w:rPr>
          <w:rFonts w:hint="eastAsia" w:ascii="宋体" w:hAnsi="宋体" w:eastAsia="宋体" w:cs="宋体"/>
          <w:b/>
          <w:bCs/>
          <w:color w:val="000000"/>
          <w:szCs w:val="21"/>
          <w:shd w:val="clear" w:color="auto" w:fill="FFFFFF"/>
        </w:rPr>
        <w:t>六、课程考核</w:t>
      </w:r>
    </w:p>
    <w:p w14:paraId="06961607">
      <w:pPr>
        <w:widowControl/>
        <w:spacing w:line="360" w:lineRule="auto"/>
        <w:ind w:left="559" w:leftChars="266" w:right="528"/>
        <w:rPr>
          <w:rFonts w:hint="eastAsia" w:ascii="宋体" w:hAnsi="宋体" w:eastAsia="宋体" w:cs="宋体"/>
          <w:color w:val="000000"/>
          <w:szCs w:val="21"/>
        </w:rPr>
      </w:pPr>
      <w:r>
        <w:rPr>
          <w:rFonts w:hint="eastAsia" w:ascii="宋体" w:hAnsi="宋体" w:eastAsia="宋体" w:cs="宋体"/>
          <w:b/>
          <w:bCs/>
          <w:color w:val="000000"/>
          <w:szCs w:val="21"/>
          <w:shd w:val="clear" w:color="auto" w:fill="FFFFFF"/>
        </w:rPr>
        <w:t>（一）考核方式</w:t>
      </w:r>
      <w:r>
        <w:rPr>
          <w:rFonts w:hint="eastAsia" w:ascii="宋体" w:hAnsi="宋体" w:eastAsia="宋体" w:cs="宋体"/>
          <w:color w:val="000000"/>
          <w:szCs w:val="21"/>
          <w:shd w:val="clear" w:color="auto" w:fill="FFFFFF"/>
        </w:rPr>
        <w:br w:type="textWrapping"/>
      </w:r>
      <w:r>
        <w:rPr>
          <w:rFonts w:hint="eastAsia" w:ascii="宋体" w:hAnsi="宋体" w:eastAsia="宋体" w:cs="宋体"/>
          <w:color w:val="000000"/>
          <w:szCs w:val="21"/>
          <w:shd w:val="clear" w:color="auto" w:fill="FFFFFF"/>
        </w:rPr>
        <w:t>考查。</w:t>
      </w:r>
    </w:p>
    <w:p w14:paraId="46D7D060">
      <w:pPr>
        <w:widowControl/>
        <w:spacing w:line="360" w:lineRule="auto"/>
        <w:ind w:left="559" w:leftChars="266" w:right="528"/>
        <w:rPr>
          <w:rFonts w:hint="eastAsia" w:ascii="宋体" w:hAnsi="宋体" w:eastAsia="宋体" w:cs="宋体"/>
          <w:color w:val="000000"/>
          <w:szCs w:val="21"/>
        </w:rPr>
      </w:pPr>
      <w:r>
        <w:rPr>
          <w:rFonts w:hint="eastAsia" w:ascii="宋体" w:hAnsi="宋体" w:eastAsia="宋体" w:cs="宋体"/>
          <w:b/>
          <w:bCs/>
          <w:color w:val="000000"/>
          <w:szCs w:val="21"/>
          <w:shd w:val="clear" w:color="auto" w:fill="FFFFFF"/>
        </w:rPr>
        <w:t>（二）总评成绩评定方法</w:t>
      </w:r>
      <w:r>
        <w:rPr>
          <w:rFonts w:hint="eastAsia" w:ascii="宋体" w:hAnsi="宋体" w:eastAsia="宋体" w:cs="宋体"/>
          <w:color w:val="000000"/>
          <w:szCs w:val="21"/>
          <w:shd w:val="clear" w:color="auto" w:fill="FFFFFF"/>
        </w:rPr>
        <w:br w:type="textWrapping"/>
      </w:r>
      <w:r>
        <w:rPr>
          <w:rFonts w:hint="eastAsia" w:ascii="宋体" w:hAnsi="宋体" w:eastAsia="宋体" w:cs="宋体"/>
          <w:color w:val="000000"/>
          <w:szCs w:val="21"/>
          <w:shd w:val="clear" w:color="auto" w:fill="FFFFFF"/>
        </w:rPr>
        <w:t>总成绩 = 平时成绩（40%）+ 考查成绩（60%）</w:t>
      </w:r>
    </w:p>
    <w:p w14:paraId="6061D7CD">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平时成绩：课堂表现、参与度、作业完成情况</w:t>
      </w:r>
    </w:p>
    <w:p w14:paraId="24A0C704">
      <w:pPr>
        <w:widowControl/>
        <w:spacing w:line="360" w:lineRule="auto"/>
        <w:ind w:right="528" w:firstLine="420" w:firstLineChars="200"/>
        <w:rPr>
          <w:rFonts w:hint="eastAsia"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考查成绩：</w:t>
      </w:r>
    </w:p>
    <w:p w14:paraId="46FF9B60">
      <w:pPr>
        <w:spacing w:line="360" w:lineRule="auto"/>
        <w:ind w:firstLine="420" w:firstLineChars="200"/>
        <w:rPr>
          <w:rFonts w:hint="eastAsia"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1.求职简历（PDF格式）。</w:t>
      </w:r>
    </w:p>
    <w:p w14:paraId="56F8912F">
      <w:pPr>
        <w:spacing w:line="360" w:lineRule="auto"/>
        <w:ind w:firstLine="420" w:firstLineChars="200"/>
        <w:rPr>
          <w:rFonts w:hint="eastAsia"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2.就业能力展示（PPT格式，不超过50MB；可加入视频）。</w:t>
      </w:r>
    </w:p>
    <w:p w14:paraId="18E693B7">
      <w:pPr>
        <w:spacing w:line="360" w:lineRule="auto"/>
        <w:ind w:firstLine="420" w:firstLineChars="200"/>
        <w:rPr>
          <w:rFonts w:hint="eastAsia" w:ascii="宋体" w:hAnsi="宋体" w:eastAsia="宋体" w:cs="宋体"/>
          <w:color w:val="000000"/>
          <w:szCs w:val="21"/>
          <w:shd w:val="clear" w:color="auto" w:fill="FFFFFF"/>
        </w:rPr>
      </w:pPr>
      <w:r>
        <w:rPr>
          <w:rFonts w:hint="eastAsia" w:ascii="宋体" w:hAnsi="宋体" w:eastAsia="宋体" w:cs="宋体"/>
          <w:color w:val="000000"/>
          <w:szCs w:val="21"/>
          <w:shd w:val="clear" w:color="auto" w:fill="FFFFFF"/>
        </w:rPr>
        <w:t>3.辅助证明材料，包括实践、实习、获奖等证明材料（采用PDF 格式，不超过 50MB），整合为单个文件。</w:t>
      </w:r>
    </w:p>
    <w:p w14:paraId="60BD8C93">
      <w:pPr>
        <w:widowControl/>
        <w:spacing w:line="360" w:lineRule="auto"/>
        <w:ind w:left="528" w:right="528" w:firstLine="420" w:firstLineChars="200"/>
        <w:jc w:val="center"/>
        <w:rPr>
          <w:rFonts w:hint="eastAsia" w:ascii="宋体" w:hAnsi="宋体" w:eastAsia="宋体" w:cs="宋体"/>
          <w:color w:val="000000"/>
          <w:szCs w:val="21"/>
        </w:rPr>
      </w:pPr>
      <w:r>
        <w:rPr>
          <w:rFonts w:hint="eastAsia" w:ascii="宋体" w:hAnsi="宋体" w:eastAsia="宋体" w:cs="宋体"/>
          <w:color w:val="000000"/>
          <w:szCs w:val="21"/>
          <w:shd w:val="clear" w:color="auto" w:fill="FFFFFF"/>
        </w:rPr>
        <w:t>表5 考核总评成绩组成及评价细则表</w:t>
      </w:r>
    </w:p>
    <w:tbl>
      <w:tblPr>
        <w:tblStyle w:val="11"/>
        <w:tblW w:w="9552"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317"/>
        <w:gridCol w:w="2316"/>
        <w:gridCol w:w="1066"/>
        <w:gridCol w:w="4853"/>
      </w:tblGrid>
      <w:tr w14:paraId="416C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5" w:hRule="atLeast"/>
          <w:tblHeader/>
        </w:trPr>
        <w:tc>
          <w:tcPr>
            <w:tcW w:w="1317" w:type="dxa"/>
            <w:tcBorders>
              <w:tl2br w:val="nil"/>
              <w:tr2bl w:val="nil"/>
            </w:tcBorders>
            <w:tcMar>
              <w:top w:w="120" w:type="dxa"/>
              <w:left w:w="0" w:type="dxa"/>
              <w:bottom w:w="120" w:type="dxa"/>
              <w:right w:w="192" w:type="dxa"/>
            </w:tcMar>
            <w:vAlign w:val="center"/>
          </w:tcPr>
          <w:p w14:paraId="62C6CCF9">
            <w:pPr>
              <w:widowControl/>
              <w:spacing w:line="360" w:lineRule="auto"/>
              <w:jc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成绩组成</w:t>
            </w:r>
          </w:p>
        </w:tc>
        <w:tc>
          <w:tcPr>
            <w:tcW w:w="2316" w:type="dxa"/>
            <w:tcBorders>
              <w:tl2br w:val="nil"/>
              <w:tr2bl w:val="nil"/>
            </w:tcBorders>
            <w:tcMar>
              <w:top w:w="120" w:type="dxa"/>
              <w:left w:w="192" w:type="dxa"/>
              <w:bottom w:w="120" w:type="dxa"/>
              <w:right w:w="192" w:type="dxa"/>
            </w:tcMar>
            <w:vAlign w:val="center"/>
          </w:tcPr>
          <w:p w14:paraId="7FB26A09">
            <w:pPr>
              <w:widowControl/>
              <w:spacing w:line="360" w:lineRule="auto"/>
              <w:ind w:firstLine="422" w:firstLineChars="200"/>
              <w:jc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考核环节</w:t>
            </w:r>
          </w:p>
        </w:tc>
        <w:tc>
          <w:tcPr>
            <w:tcW w:w="1066" w:type="dxa"/>
            <w:tcBorders>
              <w:tl2br w:val="nil"/>
              <w:tr2bl w:val="nil"/>
            </w:tcBorders>
            <w:tcMar>
              <w:top w:w="120" w:type="dxa"/>
              <w:left w:w="192" w:type="dxa"/>
              <w:bottom w:w="120" w:type="dxa"/>
              <w:right w:w="192" w:type="dxa"/>
            </w:tcMar>
            <w:vAlign w:val="center"/>
          </w:tcPr>
          <w:p w14:paraId="7A9AC597">
            <w:pPr>
              <w:widowControl/>
              <w:spacing w:line="360" w:lineRule="auto"/>
              <w:jc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权重</w:t>
            </w:r>
          </w:p>
        </w:tc>
        <w:tc>
          <w:tcPr>
            <w:tcW w:w="4853" w:type="dxa"/>
            <w:tcBorders>
              <w:tl2br w:val="nil"/>
              <w:tr2bl w:val="nil"/>
            </w:tcBorders>
            <w:tcMar>
              <w:top w:w="120" w:type="dxa"/>
              <w:left w:w="192" w:type="dxa"/>
              <w:bottom w:w="120" w:type="dxa"/>
              <w:right w:w="192" w:type="dxa"/>
            </w:tcMar>
            <w:vAlign w:val="center"/>
          </w:tcPr>
          <w:p w14:paraId="1E9B2878">
            <w:pPr>
              <w:widowControl/>
              <w:spacing w:line="360" w:lineRule="auto"/>
              <w:ind w:firstLine="422" w:firstLineChars="200"/>
              <w:jc w:val="center"/>
              <w:rPr>
                <w:rFonts w:hint="eastAsia" w:ascii="宋体" w:hAnsi="宋体" w:eastAsia="宋体" w:cs="宋体"/>
                <w:b/>
                <w:bCs/>
                <w:color w:val="000000"/>
                <w:szCs w:val="21"/>
              </w:rPr>
            </w:pPr>
            <w:r>
              <w:rPr>
                <w:rFonts w:hint="eastAsia" w:ascii="宋体" w:hAnsi="宋体" w:eastAsia="宋体" w:cs="宋体"/>
                <w:b/>
                <w:bCs/>
                <w:color w:val="000000"/>
                <w:kern w:val="0"/>
                <w:szCs w:val="21"/>
                <w:lang w:bidi="ar"/>
              </w:rPr>
              <w:t>评价细则</w:t>
            </w:r>
          </w:p>
        </w:tc>
      </w:tr>
      <w:tr w14:paraId="63C1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76" w:hRule="atLeast"/>
        </w:trPr>
        <w:tc>
          <w:tcPr>
            <w:tcW w:w="1317" w:type="dxa"/>
            <w:tcBorders>
              <w:tl2br w:val="nil"/>
              <w:tr2bl w:val="nil"/>
            </w:tcBorders>
            <w:tcMar>
              <w:top w:w="120" w:type="dxa"/>
              <w:left w:w="0" w:type="dxa"/>
              <w:bottom w:w="120" w:type="dxa"/>
              <w:right w:w="192" w:type="dxa"/>
            </w:tcMar>
            <w:vAlign w:val="center"/>
          </w:tcPr>
          <w:p w14:paraId="72A2DB84">
            <w:pPr>
              <w:widowControl/>
              <w:spacing w:line="360" w:lineRule="auto"/>
              <w:jc w:val="center"/>
              <w:rPr>
                <w:rFonts w:hint="eastAsia" w:ascii="宋体" w:hAnsi="宋体" w:eastAsia="宋体" w:cs="宋体"/>
                <w:color w:val="000000"/>
                <w:szCs w:val="21"/>
              </w:rPr>
            </w:pPr>
            <w:r>
              <w:rPr>
                <w:rFonts w:hint="eastAsia" w:ascii="宋体" w:hAnsi="宋体" w:eastAsia="宋体" w:cs="宋体"/>
                <w:color w:val="000000"/>
                <w:kern w:val="0"/>
                <w:szCs w:val="21"/>
                <w:lang w:bidi="ar"/>
              </w:rPr>
              <w:t>平时成绩</w:t>
            </w:r>
          </w:p>
        </w:tc>
        <w:tc>
          <w:tcPr>
            <w:tcW w:w="2316" w:type="dxa"/>
            <w:tcBorders>
              <w:tl2br w:val="nil"/>
              <w:tr2bl w:val="nil"/>
            </w:tcBorders>
            <w:tcMar>
              <w:top w:w="120" w:type="dxa"/>
              <w:left w:w="192" w:type="dxa"/>
              <w:bottom w:w="120" w:type="dxa"/>
              <w:right w:w="192" w:type="dxa"/>
            </w:tcMar>
            <w:vAlign w:val="center"/>
          </w:tcPr>
          <w:p w14:paraId="6CCC3DD4">
            <w:pPr>
              <w:widowControl/>
              <w:spacing w:line="360" w:lineRule="auto"/>
              <w:jc w:val="center"/>
              <w:rPr>
                <w:rFonts w:hint="eastAsia" w:ascii="宋体" w:hAnsi="宋体" w:eastAsia="宋体" w:cs="宋体"/>
                <w:color w:val="000000"/>
                <w:szCs w:val="21"/>
              </w:rPr>
            </w:pPr>
            <w:r>
              <w:rPr>
                <w:rFonts w:hint="eastAsia" w:ascii="宋体" w:hAnsi="宋体" w:eastAsia="宋体" w:cs="宋体"/>
                <w:color w:val="000000"/>
                <w:kern w:val="0"/>
                <w:szCs w:val="21"/>
                <w:lang w:bidi="ar"/>
              </w:rPr>
              <w:t>课堂表现与作业</w:t>
            </w:r>
          </w:p>
        </w:tc>
        <w:tc>
          <w:tcPr>
            <w:tcW w:w="1066" w:type="dxa"/>
            <w:tcBorders>
              <w:tl2br w:val="nil"/>
              <w:tr2bl w:val="nil"/>
            </w:tcBorders>
            <w:tcMar>
              <w:top w:w="120" w:type="dxa"/>
              <w:left w:w="192" w:type="dxa"/>
              <w:bottom w:w="120" w:type="dxa"/>
              <w:right w:w="192" w:type="dxa"/>
            </w:tcMar>
            <w:vAlign w:val="center"/>
          </w:tcPr>
          <w:p w14:paraId="726CD6FD">
            <w:pPr>
              <w:widowControl/>
              <w:spacing w:line="360" w:lineRule="auto"/>
              <w:jc w:val="center"/>
              <w:rPr>
                <w:rFonts w:hint="eastAsia" w:ascii="宋体" w:hAnsi="宋体" w:eastAsia="宋体" w:cs="宋体"/>
                <w:color w:val="000000"/>
                <w:szCs w:val="21"/>
              </w:rPr>
            </w:pPr>
            <w:r>
              <w:rPr>
                <w:rFonts w:hint="eastAsia" w:ascii="宋体" w:hAnsi="宋体" w:eastAsia="宋体" w:cs="宋体"/>
                <w:color w:val="000000"/>
                <w:kern w:val="0"/>
                <w:szCs w:val="21"/>
                <w:lang w:bidi="ar"/>
              </w:rPr>
              <w:t>40%</w:t>
            </w:r>
          </w:p>
        </w:tc>
        <w:tc>
          <w:tcPr>
            <w:tcW w:w="4853" w:type="dxa"/>
            <w:tcBorders>
              <w:tl2br w:val="nil"/>
              <w:tr2bl w:val="nil"/>
            </w:tcBorders>
            <w:tcMar>
              <w:top w:w="120" w:type="dxa"/>
              <w:left w:w="192" w:type="dxa"/>
              <w:bottom w:w="120" w:type="dxa"/>
              <w:right w:w="192" w:type="dxa"/>
            </w:tcMar>
            <w:vAlign w:val="center"/>
          </w:tcPr>
          <w:p w14:paraId="5480942E">
            <w:pPr>
              <w:widowControl/>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kern w:val="0"/>
                <w:szCs w:val="21"/>
                <w:lang w:bidi="ar"/>
              </w:rPr>
              <w:t>出勤、互动、作业完成质量</w:t>
            </w:r>
          </w:p>
        </w:tc>
      </w:tr>
      <w:tr w14:paraId="4CE8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46" w:hRule="atLeast"/>
        </w:trPr>
        <w:tc>
          <w:tcPr>
            <w:tcW w:w="1317" w:type="dxa"/>
            <w:tcBorders>
              <w:tl2br w:val="nil"/>
              <w:tr2bl w:val="nil"/>
            </w:tcBorders>
            <w:tcMar>
              <w:top w:w="120" w:type="dxa"/>
              <w:left w:w="0" w:type="dxa"/>
              <w:bottom w:w="120" w:type="dxa"/>
              <w:right w:w="192" w:type="dxa"/>
            </w:tcMar>
            <w:vAlign w:val="center"/>
          </w:tcPr>
          <w:p w14:paraId="1471CD9A">
            <w:pPr>
              <w:widowControl/>
              <w:spacing w:line="360" w:lineRule="auto"/>
              <w:jc w:val="center"/>
              <w:rPr>
                <w:rFonts w:hint="eastAsia" w:ascii="宋体" w:hAnsi="宋体" w:eastAsia="宋体" w:cs="宋体"/>
                <w:color w:val="000000"/>
                <w:szCs w:val="21"/>
              </w:rPr>
            </w:pPr>
            <w:r>
              <w:rPr>
                <w:rFonts w:hint="eastAsia" w:ascii="宋体" w:hAnsi="宋体" w:eastAsia="宋体" w:cs="宋体"/>
                <w:color w:val="000000"/>
                <w:kern w:val="0"/>
                <w:szCs w:val="21"/>
                <w:lang w:bidi="ar"/>
              </w:rPr>
              <w:t>考查成绩</w:t>
            </w:r>
          </w:p>
        </w:tc>
        <w:tc>
          <w:tcPr>
            <w:tcW w:w="2316" w:type="dxa"/>
            <w:tcBorders>
              <w:tl2br w:val="nil"/>
              <w:tr2bl w:val="nil"/>
            </w:tcBorders>
            <w:tcMar>
              <w:top w:w="120" w:type="dxa"/>
              <w:left w:w="192" w:type="dxa"/>
              <w:bottom w:w="120" w:type="dxa"/>
              <w:right w:w="192" w:type="dxa"/>
            </w:tcMar>
            <w:vAlign w:val="center"/>
          </w:tcPr>
          <w:p w14:paraId="6CE9401E">
            <w:pPr>
              <w:widowControl/>
              <w:spacing w:line="360" w:lineRule="auto"/>
              <w:jc w:val="center"/>
              <w:rPr>
                <w:rFonts w:hint="eastAsia" w:ascii="宋体" w:hAnsi="宋体" w:eastAsia="宋体" w:cs="宋体"/>
                <w:color w:val="000000"/>
                <w:szCs w:val="21"/>
              </w:rPr>
            </w:pPr>
            <w:r>
              <w:rPr>
                <w:rFonts w:hint="eastAsia" w:ascii="Calibri" w:hAnsi="Calibri" w:eastAsia="宋体" w:cs="Times New Roman"/>
                <w:szCs w:val="21"/>
              </w:rPr>
              <w:t>求职简历（PDF）就业能力展示（PPT）</w:t>
            </w:r>
            <w:r>
              <w:rPr>
                <w:rFonts w:ascii="Calibri" w:hAnsi="Calibri" w:eastAsia="宋体" w:cs="Times New Roman"/>
                <w:szCs w:val="21"/>
              </w:rPr>
              <w:t>。</w:t>
            </w:r>
          </w:p>
        </w:tc>
        <w:tc>
          <w:tcPr>
            <w:tcW w:w="1066" w:type="dxa"/>
            <w:tcBorders>
              <w:tl2br w:val="nil"/>
              <w:tr2bl w:val="nil"/>
            </w:tcBorders>
            <w:tcMar>
              <w:top w:w="120" w:type="dxa"/>
              <w:left w:w="192" w:type="dxa"/>
              <w:bottom w:w="120" w:type="dxa"/>
              <w:right w:w="192" w:type="dxa"/>
            </w:tcMar>
            <w:vAlign w:val="center"/>
          </w:tcPr>
          <w:p w14:paraId="4B4DC16C">
            <w:pPr>
              <w:widowControl/>
              <w:spacing w:line="360" w:lineRule="auto"/>
              <w:jc w:val="center"/>
              <w:rPr>
                <w:rFonts w:hint="eastAsia" w:ascii="宋体" w:hAnsi="宋体" w:eastAsia="宋体" w:cs="宋体"/>
                <w:color w:val="000000"/>
                <w:szCs w:val="21"/>
              </w:rPr>
            </w:pPr>
            <w:r>
              <w:rPr>
                <w:rFonts w:hint="eastAsia" w:ascii="宋体" w:hAnsi="宋体" w:eastAsia="宋体" w:cs="宋体"/>
                <w:color w:val="000000"/>
                <w:kern w:val="0"/>
                <w:szCs w:val="21"/>
                <w:lang w:bidi="ar"/>
              </w:rPr>
              <w:t>60%</w:t>
            </w:r>
          </w:p>
        </w:tc>
        <w:tc>
          <w:tcPr>
            <w:tcW w:w="4853" w:type="dxa"/>
            <w:tcBorders>
              <w:tl2br w:val="nil"/>
              <w:tr2bl w:val="nil"/>
            </w:tcBorders>
            <w:tcMar>
              <w:top w:w="120" w:type="dxa"/>
              <w:left w:w="192" w:type="dxa"/>
              <w:bottom w:w="120" w:type="dxa"/>
              <w:right w:w="192" w:type="dxa"/>
            </w:tcMar>
            <w:vAlign w:val="center"/>
          </w:tcPr>
          <w:p w14:paraId="01023643">
            <w:pPr>
              <w:spacing w:line="590" w:lineRule="exact"/>
              <w:rPr>
                <w:rFonts w:hint="eastAsia" w:ascii="宋体" w:hAnsi="宋体" w:eastAsia="宋体" w:cs="宋体"/>
                <w:color w:val="000000"/>
                <w:szCs w:val="21"/>
              </w:rPr>
            </w:pPr>
            <w:r>
              <w:rPr>
                <w:rFonts w:hint="eastAsia" w:ascii="Calibri" w:hAnsi="Calibri" w:eastAsia="宋体" w:cs="Times New Roman"/>
                <w:szCs w:val="21"/>
              </w:rPr>
              <w:t>体现个人求职意向和职业准备情况，对照目标职业及岗位要求展示个人综合素质、专业能力及发展潜力。求职简历和就业能力展示各占50%。</w:t>
            </w:r>
          </w:p>
        </w:tc>
      </w:tr>
    </w:tbl>
    <w:p w14:paraId="0936D12E">
      <w:pPr>
        <w:widowControl/>
        <w:spacing w:line="360" w:lineRule="auto"/>
        <w:ind w:right="528" w:firstLine="422" w:firstLineChars="200"/>
        <w:rPr>
          <w:rFonts w:hint="eastAsia" w:ascii="宋体" w:hAnsi="宋体" w:eastAsia="宋体" w:cs="宋体"/>
          <w:color w:val="000000"/>
          <w:szCs w:val="21"/>
        </w:rPr>
      </w:pPr>
      <w:r>
        <w:rPr>
          <w:rFonts w:hint="eastAsia" w:ascii="宋体" w:hAnsi="宋体" w:eastAsia="宋体" w:cs="宋体"/>
          <w:b/>
          <w:bCs/>
          <w:color w:val="000000"/>
          <w:szCs w:val="21"/>
          <w:shd w:val="clear" w:color="auto" w:fill="FFFFFF"/>
        </w:rPr>
        <w:t>七、有关说明</w:t>
      </w:r>
    </w:p>
    <w:p w14:paraId="1703893C">
      <w:pPr>
        <w:widowControl/>
        <w:spacing w:line="360" w:lineRule="auto"/>
        <w:ind w:right="528" w:firstLine="422" w:firstLineChars="200"/>
        <w:rPr>
          <w:rFonts w:hint="eastAsia" w:ascii="宋体" w:hAnsi="宋体" w:eastAsia="宋体" w:cs="宋体"/>
          <w:color w:val="000000"/>
          <w:szCs w:val="21"/>
        </w:rPr>
      </w:pPr>
      <w:r>
        <w:rPr>
          <w:rFonts w:hint="eastAsia" w:ascii="宋体" w:hAnsi="宋体" w:eastAsia="宋体" w:cs="宋体"/>
          <w:b/>
          <w:bCs/>
          <w:color w:val="000000"/>
          <w:szCs w:val="21"/>
          <w:shd w:val="clear" w:color="auto" w:fill="FFFFFF"/>
        </w:rPr>
        <w:t>（一）持续改进</w:t>
      </w:r>
    </w:p>
    <w:p w14:paraId="7DB48D1F">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1.定期收集学生反馈，优化教学案例与内容设计</w:t>
      </w:r>
    </w:p>
    <w:p w14:paraId="1296E5A9">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2.跟踪就业市场变化，及时更新政策与求职工具内容</w:t>
      </w:r>
    </w:p>
    <w:p w14:paraId="41F54090">
      <w:pPr>
        <w:widowControl/>
        <w:spacing w:line="360" w:lineRule="auto"/>
        <w:ind w:right="528" w:firstLine="422" w:firstLineChars="200"/>
        <w:rPr>
          <w:rFonts w:hint="eastAsia" w:ascii="宋体" w:hAnsi="宋体" w:eastAsia="宋体" w:cs="宋体"/>
          <w:color w:val="000000"/>
          <w:szCs w:val="21"/>
        </w:rPr>
      </w:pPr>
      <w:r>
        <w:rPr>
          <w:rFonts w:hint="eastAsia" w:ascii="宋体" w:hAnsi="宋体" w:eastAsia="宋体" w:cs="宋体"/>
          <w:b/>
          <w:bCs/>
          <w:color w:val="000000"/>
          <w:szCs w:val="21"/>
          <w:shd w:val="clear" w:color="auto" w:fill="FFFFFF"/>
        </w:rPr>
        <w:t>（二）参考书目及学习资料</w:t>
      </w:r>
    </w:p>
    <w:p w14:paraId="78BAA8AE">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1.《大学生职业生涯规划与就业指导》</w:t>
      </w:r>
    </w:p>
    <w:p w14:paraId="2BE60948">
      <w:pPr>
        <w:widowControl/>
        <w:spacing w:line="360" w:lineRule="auto"/>
        <w:ind w:right="528" w:firstLine="420" w:firstLineChars="200"/>
        <w:rPr>
          <w:rFonts w:hint="eastAsia" w:ascii="宋体" w:hAnsi="宋体" w:eastAsia="宋体" w:cs="宋体"/>
          <w:color w:val="000000"/>
          <w:szCs w:val="21"/>
        </w:rPr>
      </w:pPr>
      <w:r>
        <w:rPr>
          <w:rFonts w:hint="eastAsia" w:ascii="宋体" w:hAnsi="宋体" w:eastAsia="宋体" w:cs="宋体"/>
          <w:color w:val="000000"/>
          <w:szCs w:val="21"/>
          <w:shd w:val="clear" w:color="auto" w:fill="FFFFFF"/>
        </w:rPr>
        <w:t>2.《劳动法》《劳动合同法》相关解读材料</w:t>
      </w:r>
    </w:p>
    <w:p w14:paraId="32FEE28D">
      <w:pPr>
        <w:widowControl/>
        <w:spacing w:line="360" w:lineRule="auto"/>
        <w:ind w:right="1058" w:firstLine="3780" w:firstLineChars="1800"/>
        <w:jc w:val="right"/>
        <w:rPr>
          <w:rFonts w:hint="eastAsia" w:ascii="宋体" w:hAnsi="宋体" w:eastAsia="宋体" w:cs="宋体"/>
          <w:color w:val="000000"/>
          <w:szCs w:val="21"/>
        </w:rPr>
      </w:pPr>
      <w:r>
        <w:rPr>
          <w:rFonts w:hint="eastAsia" w:ascii="宋体" w:hAnsi="宋体" w:eastAsia="宋体" w:cs="宋体"/>
          <w:color w:val="000000"/>
          <w:szCs w:val="21"/>
        </w:rPr>
        <w:t xml:space="preserve">  拟定人：庄燕青</w:t>
      </w:r>
    </w:p>
    <w:p w14:paraId="77461B6D">
      <w:pPr>
        <w:widowControl/>
        <w:spacing w:line="360" w:lineRule="auto"/>
        <w:ind w:right="1058" w:firstLine="420" w:firstLineChars="200"/>
        <w:jc w:val="right"/>
        <w:rPr>
          <w:rFonts w:hint="eastAsia" w:ascii="宋体" w:hAnsi="宋体" w:eastAsia="宋体" w:cs="宋体"/>
          <w:color w:val="000000"/>
          <w:szCs w:val="21"/>
        </w:rPr>
      </w:pPr>
      <w:r>
        <w:rPr>
          <w:rFonts w:hint="eastAsia" w:ascii="宋体" w:hAnsi="宋体" w:eastAsia="宋体" w:cs="宋体"/>
          <w:color w:val="000000"/>
          <w:szCs w:val="21"/>
        </w:rPr>
        <w:t xml:space="preserve">                                 审定人：高  静</w:t>
      </w:r>
    </w:p>
    <w:p w14:paraId="57972D7E">
      <w:pPr>
        <w:widowControl/>
        <w:spacing w:line="360" w:lineRule="auto"/>
        <w:ind w:right="1058" w:firstLine="420" w:firstLineChars="200"/>
        <w:jc w:val="right"/>
        <w:rPr>
          <w:rFonts w:hint="eastAsia" w:ascii="宋体" w:hAnsi="宋体" w:eastAsia="宋体" w:cs="宋体"/>
          <w:color w:val="000000"/>
          <w:szCs w:val="21"/>
        </w:rPr>
      </w:pPr>
      <w:r>
        <w:rPr>
          <w:rFonts w:hint="eastAsia" w:ascii="宋体" w:hAnsi="宋体" w:eastAsia="宋体" w:cs="宋体"/>
          <w:color w:val="000000"/>
          <w:szCs w:val="21"/>
        </w:rPr>
        <w:t xml:space="preserve">                                 批准人：周嘉禾</w:t>
      </w:r>
    </w:p>
    <w:p w14:paraId="5DB90F37">
      <w:pPr>
        <w:widowControl/>
        <w:wordWrap w:val="0"/>
        <w:spacing w:line="360" w:lineRule="auto"/>
        <w:ind w:right="1058" w:firstLine="420" w:firstLineChars="200"/>
        <w:jc w:val="right"/>
        <w:rPr>
          <w:rFonts w:hint="eastAsia" w:ascii="宋体" w:hAnsi="宋体" w:eastAsia="宋体" w:cs="宋体"/>
          <w:color w:val="000000"/>
          <w:szCs w:val="21"/>
        </w:rPr>
      </w:pPr>
      <w:r>
        <w:rPr>
          <w:rFonts w:hint="eastAsia" w:ascii="宋体" w:hAnsi="宋体" w:eastAsia="宋体" w:cs="宋体"/>
          <w:color w:val="000000"/>
          <w:szCs w:val="21"/>
        </w:rPr>
        <w:t xml:space="preserve">审批时间：2025年8月 </w:t>
      </w:r>
    </w:p>
    <w:p w14:paraId="1F89A605">
      <w:pPr>
        <w:spacing w:line="360" w:lineRule="auto"/>
        <w:rPr>
          <w:rFonts w:ascii="Times New Roman" w:hAnsi="Times New Roman" w:eastAsia="宋体" w:cs="Times New Roman"/>
          <w:sz w:val="24"/>
        </w:rPr>
      </w:pPr>
    </w:p>
    <w:p w14:paraId="7EB2DD03">
      <w:pPr>
        <w:rPr>
          <w:rFonts w:ascii="Times New Roman" w:hAnsi="Times New Roman" w:eastAsia="宋体" w:cs="Times New Roman"/>
          <w:sz w:val="24"/>
        </w:rPr>
      </w:pPr>
      <w:r>
        <w:rPr>
          <w:rFonts w:ascii="Times New Roman" w:hAnsi="Times New Roman" w:eastAsia="宋体" w:cs="Times New Roman"/>
          <w:sz w:val="24"/>
        </w:rPr>
        <w:br w:type="page"/>
      </w:r>
    </w:p>
    <w:p w14:paraId="2ED5BC12">
      <w:pPr>
        <w:spacing w:line="360" w:lineRule="auto"/>
        <w:jc w:val="center"/>
        <w:outlineLvl w:val="0"/>
        <w:rPr>
          <w:rFonts w:ascii="Times New Roman" w:hAnsi="Times New Roman" w:eastAsia="宋体" w:cs="Times New Roman"/>
          <w:b/>
          <w:sz w:val="44"/>
          <w:szCs w:val="44"/>
        </w:rPr>
      </w:pPr>
      <w:bookmarkStart w:id="218" w:name="_Toc18247"/>
      <w:bookmarkStart w:id="219" w:name="_Toc30730"/>
      <w:bookmarkStart w:id="220" w:name="_Toc20975"/>
      <w:bookmarkStart w:id="221" w:name="_Toc13266"/>
      <w:r>
        <w:rPr>
          <w:rFonts w:hint="eastAsia" w:ascii="Times New Roman" w:hAnsi="Times New Roman" w:eastAsia="宋体" w:cs="Times New Roman"/>
          <w:b/>
          <w:sz w:val="44"/>
          <w:szCs w:val="44"/>
        </w:rPr>
        <w:t>《大学生劳动教育》课程教学大纲</w:t>
      </w:r>
      <w:bookmarkEnd w:id="218"/>
      <w:bookmarkEnd w:id="219"/>
      <w:bookmarkEnd w:id="220"/>
      <w:bookmarkEnd w:id="221"/>
    </w:p>
    <w:p w14:paraId="589CBB4E">
      <w:pPr>
        <w:spacing w:line="360" w:lineRule="auto"/>
        <w:jc w:val="center"/>
        <w:rPr>
          <w:rFonts w:ascii="Times New Roman" w:hAnsi="Times New Roman" w:eastAsia="宋体" w:cs="Times New Roman"/>
          <w:b/>
          <w:bCs/>
          <w:sz w:val="28"/>
          <w:szCs w:val="28"/>
        </w:rPr>
      </w:pPr>
      <w:bookmarkStart w:id="222" w:name="_Toc24428"/>
      <w:bookmarkStart w:id="223" w:name="_Toc5346"/>
      <w:bookmarkStart w:id="224" w:name="_Toc14152"/>
      <w:bookmarkStart w:id="225" w:name="_Toc15987"/>
      <w:bookmarkStart w:id="226" w:name="_Toc12056"/>
      <w:bookmarkStart w:id="227" w:name="_Toc17303"/>
      <w:bookmarkStart w:id="228" w:name="_Toc31084"/>
      <w:r>
        <w:rPr>
          <w:rFonts w:ascii="Times New Roman" w:hAnsi="Times New Roman" w:eastAsia="宋体" w:cs="Times New Roman"/>
          <w:b/>
          <w:bCs/>
          <w:sz w:val="28"/>
          <w:szCs w:val="28"/>
        </w:rPr>
        <w:t>（Labor studies for College Students）</w:t>
      </w:r>
      <w:bookmarkEnd w:id="222"/>
      <w:bookmarkEnd w:id="223"/>
      <w:bookmarkEnd w:id="224"/>
      <w:bookmarkEnd w:id="225"/>
      <w:bookmarkEnd w:id="226"/>
      <w:bookmarkEnd w:id="227"/>
      <w:bookmarkEnd w:id="228"/>
    </w:p>
    <w:p w14:paraId="0FCA8518">
      <w:pPr>
        <w:spacing w:line="360" w:lineRule="auto"/>
        <w:jc w:val="center"/>
        <w:rPr>
          <w:rFonts w:ascii="Times New Roman" w:hAnsi="Times New Roman" w:eastAsia="宋体" w:cs="Times New Roman"/>
          <w:bCs/>
          <w:szCs w:val="21"/>
        </w:rPr>
      </w:pPr>
    </w:p>
    <w:p w14:paraId="67609074">
      <w:pPr>
        <w:spacing w:line="360" w:lineRule="auto"/>
        <w:ind w:firstLine="482" w:firstLineChars="200"/>
        <w:jc w:val="left"/>
        <w:rPr>
          <w:rFonts w:ascii="Times New Roman" w:hAnsi="Times New Roman" w:eastAsia="宋体" w:cs="Times New Roman"/>
          <w:b/>
          <w:sz w:val="24"/>
        </w:rPr>
      </w:pPr>
      <w:bookmarkStart w:id="229" w:name="_Toc29293"/>
      <w:bookmarkStart w:id="230" w:name="_Toc23327"/>
      <w:bookmarkStart w:id="231" w:name="_Toc2118"/>
      <w:bookmarkStart w:id="232" w:name="_Toc26482"/>
      <w:bookmarkStart w:id="233" w:name="_Toc3808"/>
      <w:r>
        <w:rPr>
          <w:rFonts w:hint="eastAsia" w:ascii="Times New Roman" w:hAnsi="Times New Roman" w:eastAsia="宋体" w:cs="Times New Roman"/>
          <w:b/>
          <w:sz w:val="24"/>
        </w:rPr>
        <w:t>课程名称：大学生劳动教育</w:t>
      </w:r>
      <w:bookmarkEnd w:id="229"/>
      <w:bookmarkEnd w:id="230"/>
      <w:bookmarkEnd w:id="231"/>
      <w:bookmarkEnd w:id="232"/>
      <w:bookmarkEnd w:id="233"/>
    </w:p>
    <w:p w14:paraId="7E92AED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2400001</w:t>
      </w:r>
    </w:p>
    <w:p w14:paraId="5C4991B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0D681B2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6DE79DA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先修课程：小学心理学、教育原理、大学生职业生涯规划</w:t>
      </w:r>
    </w:p>
    <w:p w14:paraId="6998301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0E79B827">
      <w:pPr>
        <w:spacing w:before="62" w:beforeLines="20" w:after="62" w:afterLines="20" w:line="360" w:lineRule="auto"/>
        <w:jc w:val="left"/>
        <w:rPr>
          <w:rFonts w:ascii="Times New Roman" w:hAnsi="Times New Roman" w:eastAsia="宋体" w:cs="Times New Roman"/>
          <w:b/>
          <w:sz w:val="24"/>
        </w:rPr>
      </w:pPr>
      <w:bookmarkStart w:id="234" w:name="_Toc15352"/>
      <w:bookmarkStart w:id="235" w:name="_Toc16268"/>
      <w:bookmarkStart w:id="236" w:name="_Toc22084"/>
      <w:bookmarkStart w:id="237" w:name="_Toc12034"/>
      <w:bookmarkStart w:id="238" w:name="_Toc16133"/>
      <w:bookmarkStart w:id="239" w:name="_Toc1567"/>
      <w:bookmarkStart w:id="240" w:name="_Toc29107"/>
      <w:r>
        <w:rPr>
          <w:rFonts w:hint="eastAsia" w:ascii="Times New Roman" w:hAnsi="Times New Roman" w:eastAsia="宋体" w:cs="Times New Roman"/>
          <w:b/>
          <w:sz w:val="24"/>
        </w:rPr>
        <w:t>一、课程简介</w:t>
      </w:r>
      <w:bookmarkEnd w:id="234"/>
      <w:bookmarkEnd w:id="235"/>
      <w:bookmarkEnd w:id="236"/>
      <w:bookmarkEnd w:id="237"/>
      <w:bookmarkEnd w:id="238"/>
      <w:bookmarkEnd w:id="239"/>
      <w:bookmarkEnd w:id="240"/>
    </w:p>
    <w:p w14:paraId="6E9A62D1">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本课程是</w:t>
      </w:r>
      <w:r>
        <w:rPr>
          <w:rFonts w:hint="eastAsia" w:ascii="Times New Roman" w:hAnsi="Times New Roman" w:eastAsia="宋体" w:cs="Times New Roman"/>
          <w:szCs w:val="21"/>
        </w:rPr>
        <w:t>小学教</w:t>
      </w:r>
      <w:r>
        <w:rPr>
          <w:rFonts w:ascii="Times New Roman" w:hAnsi="Times New Roman" w:eastAsia="宋体" w:cs="Times New Roman"/>
          <w:szCs w:val="21"/>
        </w:rPr>
        <w:t>育专业的一门通识必修课程。本课程旨在使学生树立正确的劳动观念，具有必备的劳动能力，培育积极的劳动精神，养成良好的劳动习惯和品质。</w:t>
      </w:r>
    </w:p>
    <w:p w14:paraId="33CDE409">
      <w:pPr>
        <w:spacing w:before="62" w:beforeLines="20" w:after="62" w:afterLines="20" w:line="360" w:lineRule="auto"/>
        <w:jc w:val="left"/>
        <w:rPr>
          <w:rFonts w:ascii="Times New Roman" w:hAnsi="Times New Roman" w:eastAsia="宋体" w:cs="Times New Roman"/>
          <w:b/>
          <w:sz w:val="24"/>
        </w:rPr>
      </w:pPr>
      <w:bookmarkStart w:id="241" w:name="_Toc9769"/>
      <w:bookmarkStart w:id="242" w:name="_Toc11145"/>
      <w:bookmarkStart w:id="243" w:name="_Toc23540"/>
      <w:bookmarkStart w:id="244" w:name="_Toc5998"/>
      <w:bookmarkStart w:id="245" w:name="_Toc5642"/>
      <w:bookmarkStart w:id="246" w:name="_Toc14762"/>
      <w:bookmarkStart w:id="247" w:name="_Toc10372"/>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241"/>
      <w:bookmarkEnd w:id="242"/>
      <w:bookmarkEnd w:id="243"/>
      <w:bookmarkEnd w:id="244"/>
      <w:bookmarkEnd w:id="245"/>
      <w:bookmarkEnd w:id="246"/>
      <w:bookmarkEnd w:id="247"/>
    </w:p>
    <w:p w14:paraId="7CB20DB3">
      <w:pPr>
        <w:spacing w:line="360" w:lineRule="auto"/>
        <w:ind w:firstLine="422" w:firstLineChars="200"/>
        <w:outlineLvl w:val="1"/>
        <w:rPr>
          <w:rFonts w:hint="eastAsia" w:ascii="宋体" w:hAnsi="宋体" w:eastAsia="宋体" w:cs="Times New Roman"/>
          <w:b/>
          <w:szCs w:val="21"/>
        </w:rPr>
      </w:pPr>
      <w:bookmarkStart w:id="248" w:name="_Toc4402"/>
      <w:r>
        <w:rPr>
          <w:rFonts w:hint="eastAsia" w:ascii="宋体" w:hAnsi="宋体" w:eastAsia="宋体" w:cs="Times New Roman"/>
          <w:b/>
          <w:szCs w:val="21"/>
        </w:rPr>
        <w:t>（一）课程具体目标</w:t>
      </w:r>
      <w:bookmarkEnd w:id="248"/>
    </w:p>
    <w:p w14:paraId="55C4837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ascii="Times New Roman" w:hAnsi="Times New Roman" w:eastAsia="宋体" w:cs="Times New Roman"/>
          <w:bCs/>
          <w:szCs w:val="21"/>
        </w:rPr>
        <w:t>深刻理解劳动内涵，树立正确的新时代大学生劳动价值观。</w:t>
      </w:r>
    </w:p>
    <w:p w14:paraId="6EF43462">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w:t>
      </w:r>
      <w:r>
        <w:rPr>
          <w:rFonts w:ascii="Times New Roman" w:hAnsi="Times New Roman" w:eastAsia="宋体" w:cs="Times New Roman"/>
          <w:bCs/>
          <w:szCs w:val="21"/>
        </w:rPr>
        <w:t>积极参与劳动实践，在劳动过程中掌握劳动本领，培育劳动热情，形成良好的劳动习惯。</w:t>
      </w:r>
    </w:p>
    <w:p w14:paraId="298A90BC">
      <w:pPr>
        <w:spacing w:line="360" w:lineRule="auto"/>
        <w:ind w:firstLine="422" w:firstLineChars="200"/>
        <w:jc w:val="left"/>
        <w:outlineLvl w:val="1"/>
        <w:rPr>
          <w:rFonts w:ascii="Times New Roman" w:hAnsi="Times New Roman" w:eastAsia="宋体" w:cs="Times New Roman"/>
          <w:b/>
          <w:bCs/>
          <w:szCs w:val="21"/>
        </w:rPr>
      </w:pPr>
      <w:bookmarkStart w:id="249" w:name="_Toc24347"/>
      <w:r>
        <w:rPr>
          <w:rFonts w:hint="eastAsia" w:ascii="Times New Roman" w:hAnsi="Times New Roman" w:eastAsia="宋体" w:cs="Times New Roman"/>
          <w:b/>
          <w:bCs/>
          <w:szCs w:val="21"/>
        </w:rPr>
        <w:t>（二）课程目标及其对毕业要求指标点的支撑</w:t>
      </w:r>
      <w:bookmarkEnd w:id="249"/>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6367"/>
        <w:gridCol w:w="1191"/>
      </w:tblGrid>
      <w:tr w14:paraId="7384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43DF3CF6">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6367" w:type="dxa"/>
            <w:vAlign w:val="center"/>
          </w:tcPr>
          <w:p w14:paraId="663279D7">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191" w:type="dxa"/>
            <w:vAlign w:val="center"/>
          </w:tcPr>
          <w:p w14:paraId="39790A18">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46B7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50170A4A">
            <w:pPr>
              <w:jc w:val="center"/>
              <w:rPr>
                <w:rFonts w:hint="eastAsia" w:ascii="宋体" w:hAnsi="宋体" w:eastAsia="宋体" w:cs="Times New Roman"/>
                <w:b/>
                <w:bCs/>
                <w:szCs w:val="23"/>
              </w:rPr>
            </w:pPr>
            <w:r>
              <w:rPr>
                <w:rFonts w:ascii="宋体" w:hAnsi="宋体" w:eastAsia="宋体" w:cs="Times New Roman"/>
                <w:b/>
                <w:bCs/>
                <w:szCs w:val="23"/>
              </w:rPr>
              <w:t>毕业要求1</w:t>
            </w:r>
          </w:p>
          <w:p w14:paraId="1EF296EC">
            <w:pPr>
              <w:jc w:val="center"/>
              <w:rPr>
                <w:rFonts w:hint="eastAsia" w:ascii="宋体" w:hAnsi="宋体" w:eastAsia="宋体" w:cs="Times New Roman"/>
                <w:b/>
                <w:bCs/>
                <w:szCs w:val="23"/>
              </w:rPr>
            </w:pPr>
            <w:r>
              <w:rPr>
                <w:rFonts w:ascii="宋体" w:hAnsi="宋体" w:eastAsia="宋体" w:cs="Times New Roman"/>
                <w:b/>
                <w:bCs/>
                <w:szCs w:val="23"/>
              </w:rPr>
              <w:t>师德规范</w:t>
            </w:r>
          </w:p>
        </w:tc>
        <w:tc>
          <w:tcPr>
            <w:tcW w:w="6367" w:type="dxa"/>
            <w:vAlign w:val="center"/>
          </w:tcPr>
          <w:p w14:paraId="5B948DA3">
            <w:pPr>
              <w:spacing w:line="276" w:lineRule="auto"/>
              <w:jc w:val="left"/>
              <w:rPr>
                <w:rFonts w:hint="eastAsia" w:ascii="宋体" w:hAnsi="宋体" w:eastAsia="宋体" w:cs="Times New Roman"/>
                <w:szCs w:val="21"/>
              </w:rPr>
            </w:pPr>
            <w:r>
              <w:rPr>
                <w:rFonts w:hint="eastAsia" w:ascii="宋体" w:hAnsi="宋体" w:eastAsia="宋体" w:cs="Times New Roman"/>
                <w:b/>
                <w:kern w:val="0"/>
                <w:szCs w:val="21"/>
              </w:rPr>
              <w:t>指标点1-2</w:t>
            </w:r>
            <w:r>
              <w:rPr>
                <w:rFonts w:ascii="宋体" w:hAnsi="宋体" w:eastAsia="宋体" w:cs="Times New Roman"/>
                <w:szCs w:val="21"/>
              </w:rPr>
              <w:t>：</w:t>
            </w:r>
            <w:r>
              <w:rPr>
                <w:rFonts w:hint="eastAsia" w:ascii="宋体" w:hAnsi="宋体" w:eastAsia="宋体" w:cs="宋体"/>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191" w:type="dxa"/>
            <w:vAlign w:val="center"/>
          </w:tcPr>
          <w:p w14:paraId="6D0A7F01">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tc>
      </w:tr>
      <w:tr w14:paraId="2A95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7C35A365">
            <w:pPr>
              <w:widowControl/>
              <w:jc w:val="center"/>
              <w:rPr>
                <w:rFonts w:hint="eastAsia" w:ascii="宋体" w:hAnsi="宋体" w:eastAsia="宋体" w:cs="Times New Roman"/>
                <w:b/>
                <w:bCs/>
                <w:kern w:val="0"/>
                <w:szCs w:val="21"/>
              </w:rPr>
            </w:pPr>
            <w:r>
              <w:rPr>
                <w:rFonts w:ascii="宋体" w:hAnsi="宋体" w:eastAsia="宋体" w:cs="Times New Roman"/>
                <w:b/>
                <w:bCs/>
                <w:kern w:val="0"/>
                <w:szCs w:val="21"/>
              </w:rPr>
              <w:t>毕业要求2</w:t>
            </w:r>
          </w:p>
          <w:p w14:paraId="30CA4909">
            <w:pPr>
              <w:widowControl/>
              <w:jc w:val="center"/>
              <w:rPr>
                <w:rFonts w:hint="eastAsia" w:ascii="宋体" w:hAnsi="宋体" w:eastAsia="宋体" w:cs="Times New Roman"/>
                <w:b/>
                <w:bCs/>
                <w:szCs w:val="23"/>
              </w:rPr>
            </w:pPr>
            <w:r>
              <w:rPr>
                <w:rFonts w:ascii="宋体" w:hAnsi="宋体" w:eastAsia="宋体" w:cs="Times New Roman"/>
                <w:b/>
                <w:bCs/>
                <w:szCs w:val="23"/>
              </w:rPr>
              <w:t>教育情怀</w:t>
            </w:r>
          </w:p>
        </w:tc>
        <w:tc>
          <w:tcPr>
            <w:tcW w:w="6367" w:type="dxa"/>
            <w:vAlign w:val="center"/>
          </w:tcPr>
          <w:p w14:paraId="5B60B51C">
            <w:pPr>
              <w:spacing w:line="276" w:lineRule="auto"/>
              <w:jc w:val="left"/>
              <w:rPr>
                <w:rFonts w:hint="eastAsia" w:ascii="宋体" w:hAnsi="宋体" w:eastAsia="宋体" w:cs="Times New Roman"/>
                <w:szCs w:val="21"/>
              </w:rPr>
            </w:pPr>
            <w:r>
              <w:rPr>
                <w:rFonts w:hint="eastAsia" w:ascii="宋体" w:hAnsi="宋体" w:cs="宋体"/>
                <w:kern w:val="0"/>
                <w:sz w:val="20"/>
                <w:szCs w:val="20"/>
              </w:rPr>
              <w:t>指标点</w:t>
            </w:r>
            <w:r>
              <w:rPr>
                <w:rFonts w:hint="eastAsia" w:ascii="宋体" w:hAnsi="宋体" w:cs="宋体"/>
                <w:sz w:val="20"/>
                <w:szCs w:val="20"/>
              </w:rPr>
              <w:t>2-1：【职业认同感强】具有家国情怀，热爱教育事业，秉持“坚忍诚勇，立己达人”的师范精神，践行教育家精神，乐于从教，热爱教育事业，具有较高的教师职业认同感，认同教师职业的意义、价值与专业性。</w:t>
            </w:r>
          </w:p>
        </w:tc>
        <w:tc>
          <w:tcPr>
            <w:tcW w:w="1191" w:type="dxa"/>
            <w:vAlign w:val="center"/>
          </w:tcPr>
          <w:p w14:paraId="2810E105">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r w14:paraId="013C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3A0E2C09">
            <w:pPr>
              <w:jc w:val="center"/>
              <w:rPr>
                <w:rFonts w:hint="eastAsia" w:ascii="宋体" w:hAnsi="宋体" w:eastAsia="宋体" w:cs="Times New Roman"/>
                <w:b/>
                <w:bCs/>
                <w:kern w:val="0"/>
                <w:szCs w:val="21"/>
              </w:rPr>
            </w:pPr>
            <w:r>
              <w:rPr>
                <w:rFonts w:ascii="宋体" w:hAnsi="宋体" w:eastAsia="宋体" w:cs="Times New Roman"/>
                <w:b/>
                <w:bCs/>
                <w:kern w:val="0"/>
                <w:szCs w:val="21"/>
              </w:rPr>
              <w:t>毕业要求</w:t>
            </w:r>
            <w:r>
              <w:rPr>
                <w:rFonts w:hint="eastAsia" w:ascii="宋体" w:hAnsi="宋体" w:eastAsia="宋体" w:cs="Times New Roman"/>
                <w:b/>
                <w:bCs/>
                <w:kern w:val="0"/>
                <w:szCs w:val="21"/>
              </w:rPr>
              <w:t>3</w:t>
            </w:r>
          </w:p>
          <w:p w14:paraId="4CBC3ACC">
            <w:pPr>
              <w:jc w:val="center"/>
              <w:rPr>
                <w:rFonts w:hint="eastAsia" w:ascii="宋体" w:hAnsi="宋体" w:eastAsia="宋体" w:cs="Times New Roman"/>
                <w:b/>
                <w:bCs/>
                <w:szCs w:val="23"/>
              </w:rPr>
            </w:pPr>
            <w:r>
              <w:rPr>
                <w:rFonts w:ascii="宋体" w:hAnsi="宋体" w:eastAsia="宋体" w:cs="Times New Roman"/>
                <w:b/>
                <w:bCs/>
                <w:szCs w:val="23"/>
              </w:rPr>
              <w:t>综合育人</w:t>
            </w:r>
          </w:p>
        </w:tc>
        <w:tc>
          <w:tcPr>
            <w:tcW w:w="6367" w:type="dxa"/>
            <w:vAlign w:val="center"/>
          </w:tcPr>
          <w:p w14:paraId="6C2882AB">
            <w:pPr>
              <w:spacing w:line="276" w:lineRule="auto"/>
              <w:jc w:val="left"/>
              <w:rPr>
                <w:rFonts w:hint="eastAsia" w:ascii="宋体" w:hAnsi="宋体" w:eastAsia="宋体" w:cs="Times New Roman"/>
                <w:szCs w:val="21"/>
              </w:rPr>
            </w:pPr>
            <w:r>
              <w:rPr>
                <w:rFonts w:hint="eastAsia" w:ascii="宋体" w:hAnsi="宋体" w:cs="宋体"/>
                <w:b/>
                <w:kern w:val="0"/>
                <w:sz w:val="20"/>
                <w:szCs w:val="20"/>
              </w:rPr>
              <w:t>指标点3-3</w:t>
            </w:r>
            <w:r>
              <w:rPr>
                <w:rFonts w:hint="eastAsia" w:ascii="宋体" w:hAnsi="宋体" w:cs="宋体"/>
                <w:sz w:val="20"/>
                <w:szCs w:val="20"/>
              </w:rPr>
              <w:t>：【注重知识整合】了解所教学科与小学其他学科及与社会实践、小学生生活实践之间的联系，了解学科整合在小学教育中的价值，具有跨学科解决问题的意识和能力，能指导综合性学科教学活动。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Align w:val="center"/>
          </w:tcPr>
          <w:p w14:paraId="6929BCCD">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r w14:paraId="7D19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187125FE">
            <w:pPr>
              <w:jc w:val="center"/>
              <w:rPr>
                <w:rFonts w:hint="eastAsia" w:ascii="宋体" w:hAnsi="宋体" w:eastAsia="宋体" w:cs="Times New Roman"/>
                <w:b/>
                <w:bCs/>
                <w:szCs w:val="23"/>
              </w:rPr>
            </w:pPr>
            <w:r>
              <w:rPr>
                <w:rFonts w:ascii="宋体" w:hAnsi="宋体" w:eastAsia="宋体" w:cs="Times New Roman"/>
                <w:b/>
                <w:bCs/>
                <w:kern w:val="0"/>
                <w:szCs w:val="21"/>
              </w:rPr>
              <w:t>毕业要求</w:t>
            </w:r>
            <w:r>
              <w:rPr>
                <w:rFonts w:hint="eastAsia" w:ascii="宋体" w:hAnsi="宋体" w:eastAsia="宋体" w:cs="Times New Roman"/>
                <w:b/>
                <w:bCs/>
                <w:kern w:val="0"/>
                <w:szCs w:val="21"/>
              </w:rPr>
              <w:t>6</w:t>
            </w:r>
            <w:r>
              <w:rPr>
                <w:rFonts w:ascii="宋体" w:hAnsi="宋体" w:eastAsia="宋体" w:cs="Times New Roman"/>
                <w:b/>
                <w:bCs/>
                <w:szCs w:val="23"/>
              </w:rPr>
              <w:t>综合育人</w:t>
            </w:r>
          </w:p>
        </w:tc>
        <w:tc>
          <w:tcPr>
            <w:tcW w:w="6367" w:type="dxa"/>
            <w:vAlign w:val="center"/>
          </w:tcPr>
          <w:p w14:paraId="47CB5139">
            <w:pPr>
              <w:spacing w:line="276" w:lineRule="auto"/>
              <w:jc w:val="left"/>
              <w:rPr>
                <w:rFonts w:hint="eastAsia" w:ascii="宋体" w:hAnsi="宋体" w:eastAsia="宋体" w:cs="Times New Roman"/>
                <w:kern w:val="0"/>
                <w:szCs w:val="21"/>
              </w:rPr>
            </w:pPr>
            <w:r>
              <w:rPr>
                <w:rFonts w:hint="eastAsia" w:ascii="宋体" w:hAnsi="宋体" w:eastAsia="宋体" w:cs="Times New Roman"/>
                <w:b/>
                <w:kern w:val="0"/>
                <w:szCs w:val="21"/>
              </w:rPr>
              <w:t>指标点6-3</w:t>
            </w:r>
            <w:r>
              <w:rPr>
                <w:rFonts w:ascii="宋体" w:hAnsi="宋体" w:eastAsia="宋体" w:cs="Times New Roman"/>
                <w:szCs w:val="21"/>
              </w:rPr>
              <w:t>：</w:t>
            </w:r>
            <w:r>
              <w:rPr>
                <w:rFonts w:hint="eastAsia" w:ascii="宋体" w:hAnsi="宋体" w:eastAsia="宋体" w:cs="宋体"/>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5DF7D5C7">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p w14:paraId="07D12231">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bl>
    <w:p w14:paraId="515231D8">
      <w:pPr>
        <w:spacing w:before="156" w:beforeLines="50" w:line="360" w:lineRule="auto"/>
        <w:ind w:firstLine="422" w:firstLineChars="200"/>
        <w:jc w:val="left"/>
        <w:outlineLvl w:val="1"/>
        <w:rPr>
          <w:rFonts w:hint="eastAsia" w:ascii="宋体" w:hAnsi="宋体" w:eastAsia="宋体" w:cs="Times New Roman"/>
          <w:b/>
          <w:szCs w:val="21"/>
        </w:rPr>
      </w:pPr>
      <w:bookmarkStart w:id="250" w:name="_Toc17779"/>
      <w:r>
        <w:rPr>
          <w:rFonts w:hint="eastAsia" w:ascii="宋体" w:hAnsi="宋体" w:eastAsia="宋体" w:cs="Times New Roman"/>
          <w:b/>
          <w:szCs w:val="21"/>
        </w:rPr>
        <w:t>（三）课程思政目标</w:t>
      </w:r>
      <w:bookmarkEnd w:id="250"/>
    </w:p>
    <w:p w14:paraId="594F1664">
      <w:pPr>
        <w:spacing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t>师范专业劳动教育课程思政目标应立足培养未来教师的劳动价值观与社会责任感，通过支教、教育帮扶等实践锤炼教育情怀，以</w:t>
      </w:r>
      <w:r>
        <w:rPr>
          <w:rFonts w:hint="eastAsia" w:ascii="宋体" w:hAnsi="宋体" w:eastAsia="宋体" w:cs="Times New Roman"/>
          <w:szCs w:val="21"/>
        </w:rPr>
        <w:t>教具制作</w:t>
      </w:r>
      <w:r>
        <w:rPr>
          <w:rFonts w:ascii="宋体" w:hAnsi="宋体" w:eastAsia="宋体" w:cs="Times New Roman"/>
          <w:szCs w:val="21"/>
        </w:rPr>
        <w:t>、课件设计等技能训培育工匠精神，引导师范生参与教育服务以理解教育使命，并融合劳动创新与教学方案设计提升实践育人能力，最终塑造兼具师德修养、专业技能和文化担当的新时代教育传承者。</w:t>
      </w:r>
    </w:p>
    <w:p w14:paraId="4A1ADBE2">
      <w:pPr>
        <w:spacing w:before="62" w:beforeLines="20" w:after="62" w:afterLines="20" w:line="360" w:lineRule="auto"/>
        <w:jc w:val="left"/>
        <w:rPr>
          <w:rFonts w:ascii="Times New Roman" w:hAnsi="Times New Roman" w:eastAsia="宋体" w:cs="Times New Roman"/>
          <w:b/>
          <w:sz w:val="24"/>
        </w:rPr>
      </w:pPr>
      <w:bookmarkStart w:id="251" w:name="_Toc23844"/>
      <w:bookmarkStart w:id="252" w:name="_Toc9686"/>
      <w:bookmarkStart w:id="253" w:name="_Toc16091"/>
      <w:bookmarkStart w:id="254" w:name="_Toc308"/>
      <w:bookmarkStart w:id="255" w:name="_Toc6166"/>
      <w:bookmarkStart w:id="256" w:name="_Toc21715"/>
      <w:bookmarkStart w:id="257" w:name="_Toc26890"/>
      <w:r>
        <w:rPr>
          <w:rFonts w:hint="eastAsia" w:ascii="Times New Roman" w:hAnsi="Times New Roman" w:eastAsia="宋体" w:cs="Times New Roman"/>
          <w:b/>
          <w:sz w:val="24"/>
        </w:rPr>
        <w:t>三、教学内容与预期学习成效</w:t>
      </w:r>
      <w:bookmarkEnd w:id="251"/>
      <w:bookmarkEnd w:id="252"/>
      <w:bookmarkEnd w:id="253"/>
      <w:bookmarkEnd w:id="254"/>
      <w:bookmarkEnd w:id="255"/>
      <w:bookmarkEnd w:id="256"/>
      <w:bookmarkEnd w:id="257"/>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2593"/>
        <w:gridCol w:w="1153"/>
        <w:gridCol w:w="2065"/>
        <w:gridCol w:w="1560"/>
        <w:gridCol w:w="438"/>
      </w:tblGrid>
      <w:tr w14:paraId="7388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Align w:val="center"/>
          </w:tcPr>
          <w:p w14:paraId="037259FA">
            <w:pPr>
              <w:jc w:val="center"/>
              <w:rPr>
                <w:rFonts w:hint="eastAsia" w:ascii="宋体" w:hAnsi="宋体" w:eastAsia="宋体" w:cs="Times New Roman"/>
                <w:b/>
                <w:szCs w:val="21"/>
              </w:rPr>
            </w:pPr>
            <w:r>
              <w:rPr>
                <w:rFonts w:hint="eastAsia" w:ascii="宋体" w:hAnsi="宋体" w:eastAsia="宋体" w:cs="Times New Roman"/>
                <w:b/>
                <w:szCs w:val="21"/>
              </w:rPr>
              <w:t>知识</w:t>
            </w:r>
          </w:p>
          <w:p w14:paraId="54F27C5F">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593" w:type="dxa"/>
            <w:vAlign w:val="center"/>
          </w:tcPr>
          <w:p w14:paraId="759A3D52">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53" w:type="dxa"/>
            <w:vAlign w:val="center"/>
          </w:tcPr>
          <w:p w14:paraId="392F79D0">
            <w:pPr>
              <w:jc w:val="center"/>
              <w:rPr>
                <w:rFonts w:hint="eastAsia" w:ascii="宋体" w:hAnsi="宋体" w:eastAsia="宋体" w:cs="Times New Roman"/>
                <w:b/>
                <w:szCs w:val="21"/>
              </w:rPr>
            </w:pPr>
            <w:r>
              <w:rPr>
                <w:rFonts w:hint="eastAsia" w:ascii="宋体" w:hAnsi="宋体" w:eastAsia="宋体" w:cs="Times New Roman"/>
                <w:b/>
                <w:szCs w:val="21"/>
              </w:rPr>
              <w:t>对应</w:t>
            </w:r>
          </w:p>
          <w:p w14:paraId="6D60E053">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065" w:type="dxa"/>
            <w:vAlign w:val="center"/>
          </w:tcPr>
          <w:p w14:paraId="388AC019">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3DF840F2">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77E050CA">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07F9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4C9F1766">
            <w:pPr>
              <w:jc w:val="center"/>
              <w:rPr>
                <w:rFonts w:hint="eastAsia" w:ascii="宋体" w:hAnsi="宋体" w:eastAsia="宋体" w:cs="Times New Roman"/>
                <w:szCs w:val="21"/>
              </w:rPr>
            </w:pPr>
            <w:r>
              <w:rPr>
                <w:rFonts w:hint="eastAsia" w:ascii="宋体" w:hAnsi="宋体" w:eastAsia="宋体" w:cs="Times New Roman"/>
                <w:szCs w:val="21"/>
              </w:rPr>
              <w:t>劳动实践1：</w:t>
            </w:r>
          </w:p>
          <w:p w14:paraId="0E51853D">
            <w:pPr>
              <w:spacing w:line="264" w:lineRule="auto"/>
              <w:jc w:val="center"/>
              <w:rPr>
                <w:rFonts w:hint="eastAsia" w:ascii="宋体" w:hAnsi="宋体" w:eastAsia="宋体" w:cs="Times New Roman"/>
                <w:szCs w:val="21"/>
              </w:rPr>
            </w:pPr>
            <w:r>
              <w:rPr>
                <w:rFonts w:hint="eastAsia" w:ascii="宋体" w:hAnsi="宋体" w:eastAsia="宋体" w:cs="Times New Roman"/>
                <w:szCs w:val="21"/>
              </w:rPr>
              <w:t>教室大扫除</w:t>
            </w:r>
          </w:p>
        </w:tc>
        <w:tc>
          <w:tcPr>
            <w:tcW w:w="2593" w:type="dxa"/>
            <w:vAlign w:val="center"/>
          </w:tcPr>
          <w:p w14:paraId="68713F30">
            <w:pPr>
              <w:spacing w:line="269" w:lineRule="auto"/>
              <w:rPr>
                <w:rFonts w:hint="eastAsia" w:ascii="宋体" w:hAnsi="宋体" w:eastAsia="宋体" w:cs="Times New Roman"/>
                <w:szCs w:val="21"/>
              </w:rPr>
            </w:pPr>
            <w:r>
              <w:rPr>
                <w:rFonts w:hint="eastAsia" w:ascii="宋体" w:hAnsi="宋体" w:eastAsia="宋体" w:cs="Times New Roman"/>
                <w:szCs w:val="21"/>
              </w:rPr>
              <w:t>学生分组打扫教室卫生，视频记录打扫过程并进行剪辑，最后展示各组劳动成果。</w:t>
            </w:r>
          </w:p>
        </w:tc>
        <w:tc>
          <w:tcPr>
            <w:tcW w:w="1153" w:type="dxa"/>
            <w:vAlign w:val="center"/>
          </w:tcPr>
          <w:p w14:paraId="5B91FFF5">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0B154CF3">
            <w:pPr>
              <w:widowControl/>
              <w:jc w:val="left"/>
              <w:rPr>
                <w:rFonts w:hint="eastAsia" w:ascii="宋体" w:hAnsi="宋体" w:eastAsia="宋体" w:cs="Segoe UI"/>
                <w:szCs w:val="21"/>
              </w:rPr>
            </w:pPr>
            <w:r>
              <w:rPr>
                <w:rFonts w:hint="eastAsia" w:ascii="宋体" w:hAnsi="宋体" w:eastAsia="宋体" w:cs="Segoe UI"/>
                <w:szCs w:val="21"/>
              </w:rPr>
              <w:t>学生了解教室清洁的重要性和基本清洁方法。通过实际操作，培养学生团队协作和动手能力。</w:t>
            </w:r>
          </w:p>
        </w:tc>
        <w:tc>
          <w:tcPr>
            <w:tcW w:w="1560" w:type="dxa"/>
            <w:vAlign w:val="center"/>
          </w:tcPr>
          <w:p w14:paraId="4B35ABD1">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650D4AD6">
            <w:pPr>
              <w:spacing w:line="269"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49FCF2BF">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0B30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04B121A3">
            <w:pPr>
              <w:spacing w:line="264" w:lineRule="auto"/>
              <w:jc w:val="center"/>
              <w:rPr>
                <w:rFonts w:hint="eastAsia" w:ascii="宋体" w:hAnsi="宋体" w:eastAsia="宋体" w:cs="Times New Roman"/>
                <w:szCs w:val="21"/>
              </w:rPr>
            </w:pPr>
          </w:p>
        </w:tc>
        <w:tc>
          <w:tcPr>
            <w:tcW w:w="7809" w:type="dxa"/>
            <w:gridSpan w:val="5"/>
            <w:vAlign w:val="center"/>
          </w:tcPr>
          <w:p w14:paraId="1A640C16">
            <w:pPr>
              <w:spacing w:line="269"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bookmarkStart w:id="258" w:name="_Toc17795"/>
            <w:r>
              <w:rPr>
                <w:rFonts w:hint="eastAsia" w:ascii="宋体" w:hAnsi="宋体" w:eastAsia="宋体" w:cs="Times New Roman"/>
                <w:szCs w:val="21"/>
              </w:rPr>
              <w:t>理解新时代大学生劳动教育的重要意义。</w:t>
            </w:r>
            <w:bookmarkEnd w:id="258"/>
            <w:r>
              <w:rPr>
                <w:rFonts w:hint="eastAsia" w:ascii="宋体" w:hAnsi="宋体" w:eastAsia="宋体" w:cs="Segoe UI"/>
                <w:szCs w:val="21"/>
              </w:rPr>
              <w:t>引导学生树立尊重劳动、热爱劳动的观念，培养责任感。</w:t>
            </w:r>
          </w:p>
        </w:tc>
      </w:tr>
      <w:tr w14:paraId="6A70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59C7558A">
            <w:pPr>
              <w:jc w:val="center"/>
              <w:rPr>
                <w:rFonts w:hint="eastAsia" w:ascii="宋体" w:hAnsi="宋体" w:eastAsia="宋体" w:cs="Times New Roman"/>
                <w:szCs w:val="21"/>
              </w:rPr>
            </w:pPr>
            <w:r>
              <w:rPr>
                <w:rFonts w:hint="eastAsia" w:ascii="宋体" w:hAnsi="宋体" w:eastAsia="宋体" w:cs="Times New Roman"/>
                <w:szCs w:val="21"/>
              </w:rPr>
              <w:t>技能实操1：</w:t>
            </w:r>
          </w:p>
          <w:p w14:paraId="4F297868">
            <w:pPr>
              <w:spacing w:line="264" w:lineRule="auto"/>
              <w:jc w:val="center"/>
              <w:rPr>
                <w:rFonts w:hint="eastAsia" w:ascii="宋体" w:hAnsi="宋体" w:eastAsia="宋体" w:cs="Times New Roman"/>
                <w:szCs w:val="21"/>
              </w:rPr>
            </w:pPr>
            <w:r>
              <w:rPr>
                <w:rFonts w:hint="eastAsia" w:ascii="宋体" w:hAnsi="宋体" w:eastAsia="宋体" w:cs="宋体"/>
                <w:szCs w:val="21"/>
              </w:rPr>
              <w:t>变废为宝制作</w:t>
            </w:r>
          </w:p>
        </w:tc>
        <w:tc>
          <w:tcPr>
            <w:tcW w:w="2593" w:type="dxa"/>
            <w:vAlign w:val="center"/>
          </w:tcPr>
          <w:p w14:paraId="04FD0F7E">
            <w:pPr>
              <w:spacing w:line="269" w:lineRule="auto"/>
              <w:rPr>
                <w:rFonts w:hint="eastAsia" w:ascii="宋体" w:hAnsi="宋体" w:eastAsia="宋体" w:cs="Times New Roman"/>
                <w:szCs w:val="21"/>
              </w:rPr>
            </w:pPr>
            <w:r>
              <w:rPr>
                <w:rFonts w:hint="eastAsia" w:ascii="宋体" w:hAnsi="宋体" w:eastAsia="宋体" w:cs="Times New Roman"/>
                <w:szCs w:val="21"/>
              </w:rPr>
              <w:t>每组围绕两个主题进行废物利用和创意制作  （1）常工院师范学院元素为主题创作</w:t>
            </w:r>
            <w:r>
              <w:rPr>
                <w:rFonts w:ascii="宋体" w:hAnsi="宋体" w:eastAsia="宋体" w:cs="Times New Roman"/>
                <w:szCs w:val="21"/>
              </w:rPr>
              <w:t>（2</w:t>
            </w:r>
            <w:r>
              <w:rPr>
                <w:rFonts w:hint="eastAsia" w:ascii="宋体" w:hAnsi="宋体" w:eastAsia="宋体" w:cs="Times New Roman"/>
                <w:szCs w:val="21"/>
              </w:rPr>
              <w:t>）以节日为主题自由创作。课堂实物展示（创意来源、制作过程、所用材料、分工安排情况等）</w:t>
            </w:r>
          </w:p>
        </w:tc>
        <w:tc>
          <w:tcPr>
            <w:tcW w:w="1153" w:type="dxa"/>
            <w:vAlign w:val="center"/>
          </w:tcPr>
          <w:p w14:paraId="7B4802DA">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14A25A3C">
            <w:pPr>
              <w:widowControl/>
              <w:jc w:val="left"/>
              <w:rPr>
                <w:rFonts w:hint="eastAsia" w:ascii="宋体" w:hAnsi="宋体" w:eastAsia="宋体" w:cs="Segoe UI"/>
                <w:szCs w:val="21"/>
              </w:rPr>
            </w:pPr>
            <w:r>
              <w:rPr>
                <w:rFonts w:hint="eastAsia" w:ascii="宋体" w:hAnsi="宋体" w:eastAsia="宋体" w:cs="Segoe UI"/>
                <w:szCs w:val="21"/>
              </w:rPr>
              <w:t>了解废物利用和创意制作的基本方法。通过实际操作，提高废物利用能力和创意表达能力。培养学生的创新意识和环保意识。</w:t>
            </w:r>
          </w:p>
        </w:tc>
        <w:tc>
          <w:tcPr>
            <w:tcW w:w="1560" w:type="dxa"/>
            <w:vAlign w:val="center"/>
          </w:tcPr>
          <w:p w14:paraId="336C7F26">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645695FE">
            <w:pPr>
              <w:spacing w:line="269"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68C50C29">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7796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753B7A1C">
            <w:pPr>
              <w:spacing w:line="264" w:lineRule="auto"/>
              <w:jc w:val="center"/>
              <w:rPr>
                <w:rFonts w:hint="eastAsia" w:ascii="宋体" w:hAnsi="宋体" w:eastAsia="宋体" w:cs="Times New Roman"/>
                <w:szCs w:val="21"/>
              </w:rPr>
            </w:pPr>
          </w:p>
        </w:tc>
        <w:tc>
          <w:tcPr>
            <w:tcW w:w="7809" w:type="dxa"/>
            <w:gridSpan w:val="5"/>
            <w:vAlign w:val="center"/>
          </w:tcPr>
          <w:p w14:paraId="05C87E02">
            <w:pPr>
              <w:spacing w:line="360" w:lineRule="auto"/>
              <w:jc w:val="left"/>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Times New Roman"/>
                <w:szCs w:val="21"/>
              </w:rPr>
              <w:t>深刻领会“劳动创造美好生活”的真谛，进一步强化劳动观念、弘扬劳动精神、厚植劳动情怀、激发创新创造。</w:t>
            </w:r>
          </w:p>
        </w:tc>
      </w:tr>
      <w:tr w14:paraId="67CE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7043F348">
            <w:pPr>
              <w:jc w:val="center"/>
              <w:rPr>
                <w:rFonts w:hint="eastAsia" w:ascii="宋体" w:hAnsi="宋体" w:eastAsia="宋体" w:cs="Times New Roman"/>
                <w:szCs w:val="21"/>
              </w:rPr>
            </w:pPr>
            <w:r>
              <w:rPr>
                <w:rFonts w:hint="eastAsia" w:ascii="宋体" w:hAnsi="宋体" w:eastAsia="宋体" w:cs="Times New Roman"/>
                <w:szCs w:val="21"/>
              </w:rPr>
              <w:t>劳动实践2：</w:t>
            </w:r>
          </w:p>
          <w:p w14:paraId="79D9042B">
            <w:pPr>
              <w:spacing w:line="264" w:lineRule="auto"/>
              <w:jc w:val="center"/>
              <w:rPr>
                <w:rFonts w:hint="eastAsia" w:ascii="宋体" w:hAnsi="宋体" w:eastAsia="宋体" w:cs="Times New Roman"/>
                <w:szCs w:val="21"/>
              </w:rPr>
            </w:pPr>
            <w:r>
              <w:rPr>
                <w:rFonts w:hint="eastAsia" w:ascii="宋体" w:hAnsi="宋体" w:eastAsia="宋体" w:cs="宋体"/>
                <w:szCs w:val="21"/>
              </w:rPr>
              <w:t>儿童照护与急救知识汇报</w:t>
            </w:r>
          </w:p>
        </w:tc>
        <w:tc>
          <w:tcPr>
            <w:tcW w:w="2593" w:type="dxa"/>
            <w:vAlign w:val="center"/>
          </w:tcPr>
          <w:p w14:paraId="1581DEEF">
            <w:pPr>
              <w:spacing w:line="269" w:lineRule="auto"/>
              <w:rPr>
                <w:rFonts w:hint="eastAsia" w:ascii="宋体" w:hAnsi="宋体" w:eastAsia="宋体" w:cs="Times New Roman"/>
                <w:szCs w:val="21"/>
              </w:rPr>
            </w:pPr>
            <w:r>
              <w:rPr>
                <w:rFonts w:hint="eastAsia" w:ascii="宋体" w:hAnsi="宋体" w:eastAsia="宋体" w:cs="Times New Roman"/>
                <w:szCs w:val="21"/>
              </w:rPr>
              <w:t>每组选择儿童照护和儿童急救两个主题制作PPT，儿童照护PPT展示（分工安排情况、内容讲解、现场演绎具体情境），儿童急救展示形式，小剧场式演绎（3分钟）（可以运用道具）。</w:t>
            </w:r>
          </w:p>
        </w:tc>
        <w:tc>
          <w:tcPr>
            <w:tcW w:w="1153" w:type="dxa"/>
            <w:vAlign w:val="center"/>
          </w:tcPr>
          <w:p w14:paraId="32522D4C">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15A09879">
            <w:pPr>
              <w:widowControl/>
              <w:jc w:val="left"/>
              <w:rPr>
                <w:rFonts w:hint="eastAsia" w:ascii="宋体" w:hAnsi="宋体" w:eastAsia="宋体" w:cs="Segoe UI"/>
                <w:szCs w:val="21"/>
              </w:rPr>
            </w:pPr>
            <w:r>
              <w:rPr>
                <w:rFonts w:hint="eastAsia" w:ascii="宋体" w:hAnsi="宋体" w:eastAsia="宋体" w:cs="Segoe UI"/>
                <w:szCs w:val="21"/>
              </w:rPr>
              <w:t>掌握儿童照护和急救的基本知识。能够运用所学知识解决实际问题。</w:t>
            </w:r>
          </w:p>
        </w:tc>
        <w:tc>
          <w:tcPr>
            <w:tcW w:w="1560" w:type="dxa"/>
            <w:vAlign w:val="center"/>
          </w:tcPr>
          <w:p w14:paraId="4D0627F5">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0037BF38">
            <w:pPr>
              <w:spacing w:line="269"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75AF7951">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7280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6976CE54">
            <w:pPr>
              <w:spacing w:line="264" w:lineRule="auto"/>
              <w:jc w:val="center"/>
              <w:rPr>
                <w:rFonts w:hint="eastAsia" w:ascii="宋体" w:hAnsi="宋体" w:eastAsia="宋体" w:cs="Times New Roman"/>
                <w:szCs w:val="21"/>
              </w:rPr>
            </w:pPr>
          </w:p>
        </w:tc>
        <w:tc>
          <w:tcPr>
            <w:tcW w:w="7809" w:type="dxa"/>
            <w:gridSpan w:val="5"/>
            <w:vAlign w:val="center"/>
          </w:tcPr>
          <w:p w14:paraId="0DD654D2">
            <w:pPr>
              <w:spacing w:line="360" w:lineRule="auto"/>
              <w:rPr>
                <w:rFonts w:hint="eastAsia" w:ascii="宋体" w:hAnsi="宋体" w:eastAsia="宋体" w:cs="宋体"/>
                <w:szCs w:val="21"/>
              </w:rPr>
            </w:pPr>
            <w:bookmarkStart w:id="259" w:name="_Toc19099"/>
            <w:bookmarkStart w:id="260" w:name="_Toc17684"/>
            <w:bookmarkStart w:id="261" w:name="_Toc31126"/>
            <w:bookmarkStart w:id="262" w:name="_Toc25059"/>
            <w:bookmarkStart w:id="263" w:name="_Toc1098"/>
            <w:bookmarkStart w:id="264" w:name="_Toc20050"/>
            <w:bookmarkStart w:id="265" w:name="_Toc12375"/>
            <w:bookmarkStart w:id="266" w:name="_Toc20927"/>
            <w:r>
              <w:rPr>
                <w:rFonts w:hint="eastAsia" w:ascii="宋体" w:hAnsi="宋体" w:eastAsia="宋体" w:cs="Times New Roman"/>
                <w:b/>
                <w:szCs w:val="21"/>
              </w:rPr>
              <w:t>课程思政目标：</w:t>
            </w:r>
            <w:bookmarkStart w:id="267" w:name="_Toc1066"/>
            <w:r>
              <w:rPr>
                <w:rFonts w:hint="eastAsia" w:ascii="宋体" w:hAnsi="宋体" w:eastAsia="宋体" w:cs="Times New Roman"/>
                <w:szCs w:val="21"/>
              </w:rPr>
              <w:t>具有新时代大学生劳动知识和能力。</w:t>
            </w:r>
            <w:bookmarkEnd w:id="267"/>
            <w:r>
              <w:rPr>
                <w:rFonts w:hint="eastAsia" w:ascii="宋体" w:hAnsi="宋体" w:eastAsia="宋体" w:cs="Segoe UI"/>
                <w:szCs w:val="21"/>
              </w:rPr>
              <w:t>培养学生的社会责任感和爱心。</w:t>
            </w:r>
            <w:bookmarkEnd w:id="259"/>
            <w:bookmarkEnd w:id="260"/>
            <w:bookmarkEnd w:id="261"/>
            <w:bookmarkEnd w:id="262"/>
            <w:bookmarkEnd w:id="263"/>
            <w:bookmarkEnd w:id="264"/>
            <w:bookmarkEnd w:id="265"/>
            <w:bookmarkEnd w:id="266"/>
          </w:p>
        </w:tc>
      </w:tr>
      <w:tr w14:paraId="66E5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4CFDCE38">
            <w:pPr>
              <w:jc w:val="center"/>
              <w:rPr>
                <w:rFonts w:hint="eastAsia" w:ascii="宋体" w:hAnsi="宋体" w:eastAsia="宋体" w:cs="Times New Roman"/>
                <w:szCs w:val="21"/>
              </w:rPr>
            </w:pPr>
            <w:r>
              <w:rPr>
                <w:rFonts w:hint="eastAsia" w:ascii="宋体" w:hAnsi="宋体" w:eastAsia="宋体" w:cs="Times New Roman"/>
                <w:szCs w:val="21"/>
              </w:rPr>
              <w:t>劳动实践3：</w:t>
            </w:r>
          </w:p>
          <w:p w14:paraId="3FDD2AA9">
            <w:pPr>
              <w:jc w:val="center"/>
              <w:rPr>
                <w:rFonts w:hint="eastAsia" w:ascii="宋体" w:hAnsi="宋体" w:eastAsia="宋体" w:cs="Times New Roman"/>
                <w:szCs w:val="21"/>
              </w:rPr>
            </w:pPr>
            <w:r>
              <w:rPr>
                <w:rFonts w:hint="eastAsia" w:ascii="宋体" w:hAnsi="宋体" w:eastAsia="宋体" w:cs="宋体"/>
                <w:szCs w:val="21"/>
              </w:rPr>
              <w:t>劳模故事情景剧创作与演绎</w:t>
            </w:r>
          </w:p>
        </w:tc>
        <w:tc>
          <w:tcPr>
            <w:tcW w:w="2593" w:type="dxa"/>
            <w:vAlign w:val="center"/>
          </w:tcPr>
          <w:p w14:paraId="22BA79F3">
            <w:pPr>
              <w:spacing w:line="276" w:lineRule="auto"/>
              <w:rPr>
                <w:rFonts w:hint="eastAsia" w:ascii="宋体" w:hAnsi="宋体" w:eastAsia="宋体" w:cs="Times New Roman"/>
                <w:szCs w:val="21"/>
              </w:rPr>
            </w:pPr>
            <w:r>
              <w:rPr>
                <w:rFonts w:hint="eastAsia" w:ascii="宋体" w:hAnsi="宋体" w:eastAsia="宋体" w:cs="Times New Roman"/>
                <w:szCs w:val="21"/>
              </w:rPr>
              <w:t>以小组单位，以“劳动精神”为主题，根据某位真实存在的劳动者事迹为原型而改编，进行情景剧视频创作。</w:t>
            </w:r>
          </w:p>
        </w:tc>
        <w:tc>
          <w:tcPr>
            <w:tcW w:w="1153" w:type="dxa"/>
            <w:vAlign w:val="center"/>
          </w:tcPr>
          <w:p w14:paraId="66E52FF9">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016E555A">
            <w:pPr>
              <w:widowControl/>
              <w:jc w:val="left"/>
              <w:rPr>
                <w:rFonts w:hint="eastAsia" w:ascii="宋体" w:hAnsi="宋体" w:eastAsia="宋体" w:cs="Segoe UI"/>
                <w:szCs w:val="21"/>
              </w:rPr>
            </w:pPr>
            <w:r>
              <w:rPr>
                <w:rFonts w:hint="eastAsia" w:ascii="宋体" w:hAnsi="宋体" w:eastAsia="宋体" w:cs="Segoe UI"/>
                <w:szCs w:val="21"/>
              </w:rPr>
              <w:t>了解劳模事迹和劳动精神。掌握情景剧创作和演绎的基本技巧。弘扬劳动精神，培养学生的敬业精神。</w:t>
            </w:r>
          </w:p>
        </w:tc>
        <w:tc>
          <w:tcPr>
            <w:tcW w:w="1560" w:type="dxa"/>
            <w:vAlign w:val="center"/>
          </w:tcPr>
          <w:p w14:paraId="00CD14C6">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56A29073">
            <w:pPr>
              <w:spacing w:line="276"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358C6AAC">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3420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7F17DF2F">
            <w:pPr>
              <w:spacing w:line="276" w:lineRule="auto"/>
              <w:jc w:val="center"/>
              <w:rPr>
                <w:rFonts w:hint="eastAsia" w:ascii="宋体" w:hAnsi="宋体" w:eastAsia="宋体" w:cs="Times New Roman"/>
                <w:szCs w:val="21"/>
              </w:rPr>
            </w:pPr>
          </w:p>
        </w:tc>
        <w:tc>
          <w:tcPr>
            <w:tcW w:w="7809" w:type="dxa"/>
            <w:gridSpan w:val="5"/>
            <w:vAlign w:val="center"/>
          </w:tcPr>
          <w:p w14:paraId="51DA05E2">
            <w:pPr>
              <w:spacing w:line="360" w:lineRule="auto"/>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宋体"/>
                <w:szCs w:val="21"/>
              </w:rPr>
              <w:t>树立科学的就业观和职业观，感受劳动创造价值，增强产品质量意识，体会平凡劳动中的伟大。</w:t>
            </w:r>
          </w:p>
        </w:tc>
      </w:tr>
      <w:tr w14:paraId="233D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61C1B9BC">
            <w:pPr>
              <w:jc w:val="center"/>
              <w:rPr>
                <w:rFonts w:hint="eastAsia" w:ascii="宋体" w:hAnsi="宋体" w:eastAsia="宋体" w:cs="Times New Roman"/>
                <w:szCs w:val="21"/>
              </w:rPr>
            </w:pPr>
            <w:r>
              <w:rPr>
                <w:rFonts w:hint="eastAsia" w:ascii="宋体" w:hAnsi="宋体" w:eastAsia="宋体" w:cs="Times New Roman"/>
                <w:szCs w:val="21"/>
              </w:rPr>
              <w:t>技能实操2：</w:t>
            </w:r>
          </w:p>
          <w:p w14:paraId="5FFF4E2B">
            <w:pPr>
              <w:spacing w:line="276" w:lineRule="auto"/>
              <w:jc w:val="center"/>
              <w:rPr>
                <w:rFonts w:hint="eastAsia" w:ascii="宋体" w:hAnsi="宋体" w:eastAsia="宋体" w:cs="宋体"/>
                <w:szCs w:val="21"/>
              </w:rPr>
            </w:pPr>
            <w:r>
              <w:rPr>
                <w:rFonts w:hint="eastAsia" w:ascii="宋体" w:hAnsi="宋体" w:eastAsia="宋体" w:cs="宋体"/>
                <w:szCs w:val="21"/>
              </w:rPr>
              <w:t>小学学科</w:t>
            </w:r>
          </w:p>
          <w:p w14:paraId="60669E89">
            <w:pPr>
              <w:spacing w:line="276" w:lineRule="auto"/>
              <w:jc w:val="center"/>
              <w:rPr>
                <w:rFonts w:hint="eastAsia" w:ascii="宋体" w:hAnsi="宋体" w:eastAsia="宋体" w:cs="Times New Roman"/>
                <w:szCs w:val="21"/>
              </w:rPr>
            </w:pPr>
            <w:r>
              <w:rPr>
                <w:rFonts w:hint="eastAsia" w:ascii="宋体" w:hAnsi="宋体" w:eastAsia="宋体" w:cs="宋体"/>
                <w:szCs w:val="21"/>
              </w:rPr>
              <w:t>教具制作</w:t>
            </w:r>
          </w:p>
        </w:tc>
        <w:tc>
          <w:tcPr>
            <w:tcW w:w="2593" w:type="dxa"/>
            <w:vAlign w:val="center"/>
          </w:tcPr>
          <w:p w14:paraId="5BDCE295">
            <w:pPr>
              <w:rPr>
                <w:rFonts w:hint="eastAsia" w:ascii="宋体" w:hAnsi="宋体" w:eastAsia="宋体" w:cs="Times New Roman"/>
                <w:szCs w:val="21"/>
              </w:rPr>
            </w:pPr>
            <w:r>
              <w:rPr>
                <w:rFonts w:hint="eastAsia" w:ascii="宋体" w:hAnsi="宋体" w:eastAsia="宋体" w:cs="Times New Roman"/>
                <w:szCs w:val="21"/>
              </w:rPr>
              <w:t>提前准备材料，现场制作小学教具，并进行展示实物展示（设计意图、制作过程、所用材料和玩法、具体课堂使用情境、分工安排情况）。记录制作过程，课后把制作过程形成总结报告形式。</w:t>
            </w:r>
          </w:p>
        </w:tc>
        <w:tc>
          <w:tcPr>
            <w:tcW w:w="1153" w:type="dxa"/>
            <w:vAlign w:val="center"/>
          </w:tcPr>
          <w:p w14:paraId="43ED4EC9">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01F45B00">
            <w:pPr>
              <w:widowControl/>
              <w:jc w:val="left"/>
              <w:rPr>
                <w:rFonts w:hint="eastAsia" w:ascii="宋体" w:hAnsi="宋体" w:eastAsia="宋体" w:cs="Segoe UI"/>
                <w:szCs w:val="21"/>
              </w:rPr>
            </w:pPr>
            <w:r>
              <w:rPr>
                <w:rFonts w:hint="eastAsia" w:ascii="宋体" w:hAnsi="宋体" w:eastAsia="宋体" w:cs="Segoe UI"/>
                <w:szCs w:val="21"/>
              </w:rPr>
              <w:t>了解小学学科教具的基本类型和制作原理。掌握教具制作的基本技巧和方法。培养学生的创新意识和实践能力。</w:t>
            </w:r>
          </w:p>
        </w:tc>
        <w:tc>
          <w:tcPr>
            <w:tcW w:w="1560" w:type="dxa"/>
            <w:vAlign w:val="center"/>
          </w:tcPr>
          <w:p w14:paraId="1653CAA5">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2791E5E6">
            <w:pPr>
              <w:spacing w:line="276"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232D7DC0">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041E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489" w:type="dxa"/>
            <w:vMerge w:val="continue"/>
            <w:vAlign w:val="center"/>
          </w:tcPr>
          <w:p w14:paraId="1B21D9F5">
            <w:pPr>
              <w:spacing w:line="276" w:lineRule="auto"/>
              <w:jc w:val="center"/>
              <w:rPr>
                <w:rFonts w:hint="eastAsia" w:ascii="宋体" w:hAnsi="宋体" w:eastAsia="宋体" w:cs="Times New Roman"/>
                <w:szCs w:val="21"/>
              </w:rPr>
            </w:pPr>
          </w:p>
        </w:tc>
        <w:tc>
          <w:tcPr>
            <w:tcW w:w="7809" w:type="dxa"/>
            <w:gridSpan w:val="5"/>
            <w:vAlign w:val="center"/>
          </w:tcPr>
          <w:p w14:paraId="7CB342FF">
            <w:pPr>
              <w:spacing w:line="360" w:lineRule="auto"/>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Times New Roman"/>
                <w:szCs w:val="21"/>
              </w:rPr>
              <w:t>增强对劳动创造性价值的认同，深刻领会“劳动创造美好生活”的真谛。</w:t>
            </w:r>
          </w:p>
        </w:tc>
      </w:tr>
      <w:tr w14:paraId="6E75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1721A463">
            <w:pPr>
              <w:jc w:val="center"/>
              <w:rPr>
                <w:rFonts w:hint="eastAsia" w:ascii="宋体" w:hAnsi="宋体" w:eastAsia="宋体" w:cs="Times New Roman"/>
                <w:szCs w:val="21"/>
              </w:rPr>
            </w:pPr>
            <w:r>
              <w:rPr>
                <w:rFonts w:hint="eastAsia" w:ascii="宋体" w:hAnsi="宋体" w:eastAsia="宋体" w:cs="Times New Roman"/>
                <w:szCs w:val="21"/>
              </w:rPr>
              <w:t>劳动实践4:</w:t>
            </w:r>
          </w:p>
          <w:p w14:paraId="00AC2A68">
            <w:pPr>
              <w:spacing w:line="276" w:lineRule="auto"/>
              <w:jc w:val="center"/>
              <w:rPr>
                <w:rFonts w:hint="eastAsia" w:ascii="宋体" w:hAnsi="宋体" w:eastAsia="宋体" w:cs="Times New Roman"/>
                <w:szCs w:val="21"/>
              </w:rPr>
            </w:pPr>
            <w:r>
              <w:rPr>
                <w:rFonts w:hint="eastAsia" w:ascii="宋体" w:hAnsi="宋体" w:eastAsia="宋体" w:cs="Times New Roman"/>
                <w:szCs w:val="21"/>
              </w:rPr>
              <w:t>劳动教育</w:t>
            </w:r>
          </w:p>
          <w:p w14:paraId="67E39359">
            <w:pPr>
              <w:spacing w:line="276" w:lineRule="auto"/>
              <w:jc w:val="center"/>
              <w:rPr>
                <w:rFonts w:hint="eastAsia" w:ascii="宋体" w:hAnsi="宋体" w:eastAsia="宋体" w:cs="Times New Roman"/>
                <w:szCs w:val="21"/>
              </w:rPr>
            </w:pPr>
            <w:r>
              <w:rPr>
                <w:rFonts w:hint="eastAsia" w:ascii="宋体" w:hAnsi="宋体" w:eastAsia="宋体" w:cs="Times New Roman"/>
                <w:szCs w:val="21"/>
              </w:rPr>
              <w:t>大讨论</w:t>
            </w:r>
          </w:p>
        </w:tc>
        <w:tc>
          <w:tcPr>
            <w:tcW w:w="2593" w:type="dxa"/>
            <w:vAlign w:val="center"/>
          </w:tcPr>
          <w:p w14:paraId="2098A6AF">
            <w:pPr>
              <w:spacing w:line="276" w:lineRule="auto"/>
              <w:rPr>
                <w:rFonts w:hint="eastAsia" w:ascii="宋体" w:hAnsi="宋体" w:eastAsia="宋体" w:cs="Times New Roman"/>
                <w:szCs w:val="21"/>
              </w:rPr>
            </w:pPr>
            <w:r>
              <w:rPr>
                <w:rFonts w:hint="eastAsia" w:ascii="宋体" w:hAnsi="宋体" w:eastAsia="宋体" w:cs="Times New Roman"/>
                <w:szCs w:val="21"/>
              </w:rPr>
              <w:t>学生分组抽取劳动相关的辩论题，进行辩论与点评。</w:t>
            </w:r>
          </w:p>
        </w:tc>
        <w:tc>
          <w:tcPr>
            <w:tcW w:w="1153" w:type="dxa"/>
            <w:vAlign w:val="center"/>
          </w:tcPr>
          <w:p w14:paraId="1B3F555A">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67BA2600">
            <w:pPr>
              <w:widowControl/>
              <w:jc w:val="left"/>
              <w:rPr>
                <w:rFonts w:hint="eastAsia" w:ascii="宋体" w:hAnsi="宋体" w:eastAsia="宋体" w:cs="Segoe UI"/>
                <w:szCs w:val="21"/>
              </w:rPr>
            </w:pPr>
            <w:r>
              <w:rPr>
                <w:rFonts w:hint="eastAsia" w:ascii="宋体" w:hAnsi="宋体" w:eastAsia="宋体" w:cs="Segoe UI"/>
                <w:szCs w:val="21"/>
              </w:rPr>
              <w:t>了解劳动教育的相关理论和实践案例。培养学生的批判性思维和辩论能力。</w:t>
            </w:r>
          </w:p>
        </w:tc>
        <w:tc>
          <w:tcPr>
            <w:tcW w:w="1560" w:type="dxa"/>
            <w:vAlign w:val="center"/>
          </w:tcPr>
          <w:p w14:paraId="6B50B2B4">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11E48207">
            <w:pPr>
              <w:spacing w:line="276" w:lineRule="auto"/>
              <w:rPr>
                <w:rFonts w:hint="eastAsia" w:ascii="宋体" w:hAnsi="宋体" w:eastAsia="宋体" w:cs="Times New Roman"/>
                <w:szCs w:val="21"/>
              </w:rPr>
            </w:pPr>
            <w:r>
              <w:rPr>
                <w:rFonts w:hint="eastAsia" w:ascii="宋体" w:hAnsi="宋体" w:eastAsia="宋体" w:cs="Times New Roman"/>
                <w:szCs w:val="21"/>
              </w:rPr>
              <w:t>2.多媒体教学</w:t>
            </w:r>
          </w:p>
          <w:p w14:paraId="065D09E8">
            <w:pPr>
              <w:spacing w:line="276" w:lineRule="auto"/>
              <w:rPr>
                <w:rFonts w:hint="eastAsia" w:ascii="宋体" w:hAnsi="宋体" w:eastAsia="宋体" w:cs="Times New Roman"/>
                <w:szCs w:val="21"/>
              </w:rPr>
            </w:pPr>
            <w:r>
              <w:rPr>
                <w:rFonts w:hint="eastAsia" w:ascii="宋体" w:hAnsi="宋体" w:eastAsia="宋体" w:cs="Times New Roman"/>
                <w:szCs w:val="21"/>
              </w:rPr>
              <w:t>3.课堂讨论</w:t>
            </w:r>
          </w:p>
        </w:tc>
        <w:tc>
          <w:tcPr>
            <w:tcW w:w="438" w:type="dxa"/>
            <w:vAlign w:val="center"/>
          </w:tcPr>
          <w:p w14:paraId="3A51C812">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3220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22A370B0">
            <w:pPr>
              <w:spacing w:line="276" w:lineRule="auto"/>
              <w:jc w:val="center"/>
              <w:rPr>
                <w:rFonts w:hint="eastAsia" w:ascii="宋体" w:hAnsi="宋体" w:eastAsia="宋体" w:cs="Times New Roman"/>
                <w:szCs w:val="21"/>
              </w:rPr>
            </w:pPr>
          </w:p>
        </w:tc>
        <w:tc>
          <w:tcPr>
            <w:tcW w:w="7809" w:type="dxa"/>
            <w:gridSpan w:val="5"/>
            <w:vAlign w:val="center"/>
          </w:tcPr>
          <w:p w14:paraId="7326CA01">
            <w:pPr>
              <w:spacing w:line="276" w:lineRule="auto"/>
              <w:rPr>
                <w:rFonts w:hint="eastAsia" w:ascii="宋体" w:hAnsi="宋体" w:eastAsia="宋体" w:cs="Times New Roman"/>
                <w:szCs w:val="21"/>
              </w:rPr>
            </w:pPr>
            <w:r>
              <w:rPr>
                <w:rFonts w:hint="eastAsia" w:ascii="宋体" w:hAnsi="宋体" w:eastAsia="宋体" w:cs="Times New Roman"/>
                <w:b/>
                <w:szCs w:val="21"/>
              </w:rPr>
              <w:t>课程思政目标：</w:t>
            </w:r>
            <w:bookmarkStart w:id="268" w:name="_Toc32680"/>
            <w:r>
              <w:rPr>
                <w:rFonts w:hint="eastAsia" w:ascii="宋体" w:hAnsi="宋体" w:eastAsia="宋体" w:cs="Times New Roman"/>
                <w:szCs w:val="21"/>
              </w:rPr>
              <w:t>培育新时代大学生劳动情怀。</w:t>
            </w:r>
            <w:bookmarkEnd w:id="268"/>
            <w:r>
              <w:rPr>
                <w:rFonts w:hint="eastAsia" w:ascii="宋体" w:hAnsi="宋体" w:eastAsia="宋体" w:cs="Segoe UI"/>
                <w:szCs w:val="21"/>
              </w:rPr>
              <w:t>引导学生树立正确的劳动观念，增强劳动意识。</w:t>
            </w:r>
          </w:p>
        </w:tc>
      </w:tr>
      <w:tr w14:paraId="5A57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23D3A3A1">
            <w:pPr>
              <w:jc w:val="center"/>
              <w:rPr>
                <w:rFonts w:hint="eastAsia" w:ascii="宋体" w:hAnsi="宋体" w:eastAsia="宋体" w:cs="Times New Roman"/>
                <w:szCs w:val="21"/>
              </w:rPr>
            </w:pPr>
            <w:r>
              <w:rPr>
                <w:rFonts w:hint="eastAsia" w:ascii="宋体" w:hAnsi="宋体" w:eastAsia="宋体" w:cs="Times New Roman"/>
                <w:szCs w:val="21"/>
              </w:rPr>
              <w:t>劳动实践5:</w:t>
            </w:r>
          </w:p>
          <w:p w14:paraId="09392E42">
            <w:pPr>
              <w:spacing w:line="276" w:lineRule="auto"/>
              <w:jc w:val="center"/>
              <w:rPr>
                <w:rFonts w:hint="eastAsia" w:ascii="宋体" w:hAnsi="宋体" w:eastAsia="宋体" w:cs="Times New Roman"/>
                <w:szCs w:val="21"/>
              </w:rPr>
            </w:pPr>
            <w:r>
              <w:rPr>
                <w:rFonts w:hint="eastAsia" w:ascii="宋体" w:hAnsi="宋体" w:eastAsia="宋体" w:cs="宋体"/>
                <w:szCs w:val="21"/>
              </w:rPr>
              <w:t>点心食品制作与记录</w:t>
            </w:r>
          </w:p>
        </w:tc>
        <w:tc>
          <w:tcPr>
            <w:tcW w:w="2593" w:type="dxa"/>
            <w:vAlign w:val="center"/>
          </w:tcPr>
          <w:p w14:paraId="71B05A7D">
            <w:pPr>
              <w:spacing w:line="276" w:lineRule="auto"/>
              <w:jc w:val="center"/>
              <w:rPr>
                <w:rFonts w:hint="eastAsia" w:ascii="宋体" w:hAnsi="宋体" w:eastAsia="宋体" w:cs="Times New Roman"/>
                <w:szCs w:val="21"/>
              </w:rPr>
            </w:pPr>
            <w:r>
              <w:rPr>
                <w:rFonts w:hint="eastAsia" w:ascii="宋体" w:hAnsi="宋体" w:eastAsia="宋体" w:cs="Times New Roman"/>
                <w:szCs w:val="21"/>
              </w:rPr>
              <w:t>每组进行面点创意制作，在制作品尝面点结束后，以小组为单位制作食物宣传海报。（内容包括分工安排情况、制作过程和成果讲解、劳动心得等）。</w:t>
            </w:r>
          </w:p>
        </w:tc>
        <w:tc>
          <w:tcPr>
            <w:tcW w:w="1153" w:type="dxa"/>
            <w:vAlign w:val="center"/>
          </w:tcPr>
          <w:p w14:paraId="158C5650">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43D7F9ED">
            <w:pPr>
              <w:widowControl/>
              <w:jc w:val="left"/>
              <w:rPr>
                <w:rFonts w:hint="eastAsia" w:ascii="宋体" w:hAnsi="宋体" w:eastAsia="宋体" w:cs="Segoe UI"/>
                <w:szCs w:val="21"/>
              </w:rPr>
            </w:pPr>
            <w:r>
              <w:rPr>
                <w:rFonts w:hint="eastAsia" w:ascii="宋体" w:hAnsi="宋体" w:eastAsia="宋体" w:cs="Segoe UI"/>
                <w:szCs w:val="21"/>
              </w:rPr>
              <w:t>了解点心食品的基本制作方法和营养搭配。掌握点心食品制作的基本技巧。培养学生的动手能力和团队协作精神。</w:t>
            </w:r>
          </w:p>
        </w:tc>
        <w:tc>
          <w:tcPr>
            <w:tcW w:w="1560" w:type="dxa"/>
            <w:vAlign w:val="center"/>
          </w:tcPr>
          <w:p w14:paraId="4F9BE226">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2A3F989C">
            <w:pPr>
              <w:spacing w:line="276" w:lineRule="auto"/>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64CE531D">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7D92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67F4DC8A">
            <w:pPr>
              <w:spacing w:line="276" w:lineRule="auto"/>
              <w:jc w:val="center"/>
              <w:rPr>
                <w:rFonts w:hint="eastAsia" w:ascii="宋体" w:hAnsi="宋体" w:eastAsia="宋体" w:cs="Times New Roman"/>
                <w:szCs w:val="21"/>
              </w:rPr>
            </w:pPr>
          </w:p>
        </w:tc>
        <w:tc>
          <w:tcPr>
            <w:tcW w:w="7809" w:type="dxa"/>
            <w:gridSpan w:val="5"/>
            <w:vAlign w:val="center"/>
          </w:tcPr>
          <w:p w14:paraId="37BD8B33">
            <w:pPr>
              <w:spacing w:line="276"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热爱劳动、尊重劳动，养成良好的劳动习惯。</w:t>
            </w:r>
          </w:p>
        </w:tc>
      </w:tr>
      <w:tr w14:paraId="2C05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restart"/>
            <w:vAlign w:val="center"/>
          </w:tcPr>
          <w:p w14:paraId="653EAA7B">
            <w:pPr>
              <w:spacing w:line="264" w:lineRule="auto"/>
              <w:jc w:val="center"/>
              <w:rPr>
                <w:rFonts w:hint="eastAsia" w:ascii="宋体" w:hAnsi="宋体" w:eastAsia="宋体" w:cs="Segoe UI"/>
                <w:szCs w:val="21"/>
              </w:rPr>
            </w:pPr>
            <w:r>
              <w:rPr>
                <w:rFonts w:ascii="宋体" w:hAnsi="宋体" w:eastAsia="宋体" w:cs="Segoe UI"/>
                <w:szCs w:val="21"/>
              </w:rPr>
              <w:t>劳动实践6：植物种植与</w:t>
            </w:r>
          </w:p>
          <w:p w14:paraId="301F2666">
            <w:pPr>
              <w:spacing w:line="264" w:lineRule="auto"/>
              <w:jc w:val="center"/>
              <w:rPr>
                <w:rFonts w:hint="eastAsia" w:ascii="宋体" w:hAnsi="宋体" w:eastAsia="宋体" w:cs="Times New Roman"/>
                <w:szCs w:val="21"/>
              </w:rPr>
            </w:pPr>
            <w:r>
              <w:rPr>
                <w:rFonts w:ascii="宋体" w:hAnsi="宋体" w:eastAsia="宋体" w:cs="Segoe UI"/>
                <w:szCs w:val="21"/>
              </w:rPr>
              <w:t>观察</w:t>
            </w:r>
          </w:p>
        </w:tc>
        <w:tc>
          <w:tcPr>
            <w:tcW w:w="2593" w:type="dxa"/>
            <w:vAlign w:val="center"/>
          </w:tcPr>
          <w:p w14:paraId="3610D83E">
            <w:pPr>
              <w:spacing w:line="264" w:lineRule="auto"/>
              <w:rPr>
                <w:rFonts w:hint="eastAsia" w:ascii="宋体" w:hAnsi="宋体" w:eastAsia="宋体" w:cs="Times New Roman"/>
                <w:szCs w:val="21"/>
              </w:rPr>
            </w:pPr>
            <w:r>
              <w:rPr>
                <w:rFonts w:hint="eastAsia" w:ascii="宋体" w:hAnsi="宋体" w:eastAsia="宋体" w:cs="Times New Roman"/>
                <w:szCs w:val="21"/>
              </w:rPr>
              <w:t>教师讲解种植大蒜相关知识，各组完成一份大蒜调查报告和植物种植报告。</w:t>
            </w:r>
          </w:p>
        </w:tc>
        <w:tc>
          <w:tcPr>
            <w:tcW w:w="1153" w:type="dxa"/>
            <w:vAlign w:val="center"/>
          </w:tcPr>
          <w:p w14:paraId="3F449D69">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065" w:type="dxa"/>
            <w:vAlign w:val="center"/>
          </w:tcPr>
          <w:p w14:paraId="4657ABA5">
            <w:pPr>
              <w:widowControl/>
              <w:jc w:val="left"/>
              <w:rPr>
                <w:rFonts w:hint="eastAsia" w:ascii="宋体" w:hAnsi="宋体" w:eastAsia="宋体" w:cs="Segoe UI"/>
                <w:szCs w:val="21"/>
              </w:rPr>
            </w:pPr>
            <w:r>
              <w:rPr>
                <w:rFonts w:hint="eastAsia" w:ascii="宋体" w:hAnsi="宋体" w:eastAsia="宋体" w:cs="Segoe UI"/>
                <w:szCs w:val="21"/>
              </w:rPr>
              <w:t>了解植物种植的基本知识和观察方法。掌握植物种植和观察的基本技巧。</w:t>
            </w:r>
          </w:p>
        </w:tc>
        <w:tc>
          <w:tcPr>
            <w:tcW w:w="1560" w:type="dxa"/>
            <w:vAlign w:val="center"/>
          </w:tcPr>
          <w:p w14:paraId="2C60C55D">
            <w:pPr>
              <w:spacing w:line="269" w:lineRule="auto"/>
              <w:rPr>
                <w:rFonts w:hint="eastAsia" w:ascii="宋体" w:hAnsi="宋体" w:eastAsia="宋体" w:cs="Times New Roman"/>
                <w:szCs w:val="21"/>
              </w:rPr>
            </w:pPr>
            <w:r>
              <w:rPr>
                <w:rFonts w:hint="eastAsia" w:ascii="宋体" w:hAnsi="宋体" w:eastAsia="宋体" w:cs="Times New Roman"/>
                <w:szCs w:val="21"/>
              </w:rPr>
              <w:t>1.课堂实践</w:t>
            </w:r>
          </w:p>
          <w:p w14:paraId="17805442">
            <w:pPr>
              <w:spacing w:line="264" w:lineRule="auto"/>
              <w:rPr>
                <w:rFonts w:hint="eastAsia" w:ascii="宋体" w:hAnsi="宋体" w:eastAsia="宋体" w:cs="Times New Roman"/>
                <w:szCs w:val="21"/>
              </w:rPr>
            </w:pPr>
            <w:r>
              <w:rPr>
                <w:rFonts w:hint="eastAsia" w:ascii="宋体" w:hAnsi="宋体" w:eastAsia="宋体" w:cs="Times New Roman"/>
                <w:szCs w:val="21"/>
              </w:rPr>
              <w:t>2.多媒体教学</w:t>
            </w:r>
          </w:p>
          <w:p w14:paraId="312D28CA">
            <w:pPr>
              <w:spacing w:line="264" w:lineRule="auto"/>
              <w:rPr>
                <w:rFonts w:hint="eastAsia" w:ascii="宋体" w:hAnsi="宋体" w:eastAsia="宋体" w:cs="Times New Roman"/>
                <w:szCs w:val="21"/>
              </w:rPr>
            </w:pPr>
            <w:r>
              <w:rPr>
                <w:rFonts w:hint="eastAsia" w:ascii="宋体" w:hAnsi="宋体" w:eastAsia="宋体" w:cs="Times New Roman"/>
                <w:szCs w:val="21"/>
              </w:rPr>
              <w:t>3.课堂讨论</w:t>
            </w:r>
          </w:p>
        </w:tc>
        <w:tc>
          <w:tcPr>
            <w:tcW w:w="438" w:type="dxa"/>
            <w:vAlign w:val="center"/>
          </w:tcPr>
          <w:p w14:paraId="2C82ABCB">
            <w:pPr>
              <w:spacing w:line="264"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783A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vMerge w:val="continue"/>
            <w:vAlign w:val="center"/>
          </w:tcPr>
          <w:p w14:paraId="652D28F5">
            <w:pPr>
              <w:spacing w:line="264" w:lineRule="auto"/>
              <w:jc w:val="center"/>
              <w:rPr>
                <w:rFonts w:hint="eastAsia" w:ascii="宋体" w:hAnsi="宋体" w:eastAsia="宋体" w:cs="Times New Roman"/>
                <w:szCs w:val="21"/>
              </w:rPr>
            </w:pPr>
          </w:p>
        </w:tc>
        <w:tc>
          <w:tcPr>
            <w:tcW w:w="7809" w:type="dxa"/>
            <w:gridSpan w:val="5"/>
            <w:vAlign w:val="center"/>
          </w:tcPr>
          <w:p w14:paraId="10892416">
            <w:pPr>
              <w:spacing w:line="264"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Segoe UI"/>
                <w:szCs w:val="21"/>
              </w:rPr>
              <w:t>培养学生的耐心和观察力，增强环保意识。</w:t>
            </w:r>
          </w:p>
        </w:tc>
      </w:tr>
    </w:tbl>
    <w:p w14:paraId="673A9211">
      <w:pPr>
        <w:spacing w:before="62" w:beforeLines="20" w:after="62" w:afterLines="20" w:line="360" w:lineRule="auto"/>
        <w:jc w:val="left"/>
        <w:rPr>
          <w:rFonts w:ascii="Times New Roman" w:hAnsi="Times New Roman" w:eastAsia="宋体" w:cs="Times New Roman"/>
          <w:b/>
          <w:sz w:val="24"/>
        </w:rPr>
      </w:pPr>
      <w:bookmarkStart w:id="269" w:name="_Toc26506"/>
      <w:bookmarkStart w:id="270" w:name="_Toc4783"/>
      <w:bookmarkStart w:id="271" w:name="_Toc21554"/>
      <w:bookmarkStart w:id="272" w:name="_Toc3680"/>
      <w:bookmarkStart w:id="273" w:name="_Toc15656"/>
      <w:bookmarkStart w:id="274" w:name="_Toc9393"/>
      <w:bookmarkStart w:id="275" w:name="_Toc21349"/>
      <w:r>
        <w:rPr>
          <w:rFonts w:hint="eastAsia" w:ascii="Times New Roman" w:hAnsi="Times New Roman" w:eastAsia="宋体" w:cs="Times New Roman"/>
          <w:b/>
          <w:sz w:val="24"/>
        </w:rPr>
        <w:t>四、目标评价与成绩评定</w:t>
      </w:r>
      <w:bookmarkEnd w:id="269"/>
      <w:bookmarkEnd w:id="270"/>
      <w:bookmarkEnd w:id="271"/>
      <w:bookmarkEnd w:id="272"/>
      <w:bookmarkEnd w:id="273"/>
      <w:bookmarkEnd w:id="274"/>
      <w:bookmarkEnd w:id="275"/>
    </w:p>
    <w:p w14:paraId="4D02764F">
      <w:pPr>
        <w:spacing w:line="360" w:lineRule="auto"/>
        <w:ind w:firstLine="422" w:firstLineChars="200"/>
        <w:jc w:val="left"/>
        <w:outlineLvl w:val="1"/>
        <w:rPr>
          <w:rFonts w:ascii="Times New Roman" w:hAnsi="Times New Roman" w:eastAsia="宋体" w:cs="Times New Roman"/>
          <w:b/>
          <w:szCs w:val="21"/>
        </w:rPr>
      </w:pPr>
      <w:bookmarkStart w:id="276" w:name="_Toc8781"/>
      <w:r>
        <w:rPr>
          <w:rFonts w:hint="eastAsia" w:ascii="Times New Roman" w:hAnsi="Times New Roman" w:eastAsia="宋体" w:cs="Times New Roman"/>
          <w:b/>
          <w:szCs w:val="21"/>
        </w:rPr>
        <w:t>（一）课程目标评价方式</w:t>
      </w:r>
      <w:bookmarkEnd w:id="276"/>
    </w:p>
    <w:p w14:paraId="7281904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71"/>
        <w:gridCol w:w="2126"/>
        <w:gridCol w:w="1843"/>
        <w:gridCol w:w="1559"/>
      </w:tblGrid>
      <w:tr w14:paraId="496F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6F8832D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840" w:type="dxa"/>
            <w:gridSpan w:val="3"/>
            <w:vAlign w:val="center"/>
          </w:tcPr>
          <w:p w14:paraId="5712DCC9">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559" w:type="dxa"/>
            <w:vMerge w:val="restart"/>
            <w:vAlign w:val="center"/>
          </w:tcPr>
          <w:p w14:paraId="09ACE8E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F0D5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6288FFB4">
            <w:pPr>
              <w:spacing w:line="360" w:lineRule="auto"/>
              <w:jc w:val="center"/>
              <w:rPr>
                <w:rFonts w:hint="eastAsia" w:ascii="宋体" w:hAnsi="宋体" w:eastAsia="宋体" w:cs="Times New Roman"/>
                <w:szCs w:val="21"/>
              </w:rPr>
            </w:pPr>
          </w:p>
        </w:tc>
        <w:tc>
          <w:tcPr>
            <w:tcW w:w="1871" w:type="dxa"/>
            <w:vAlign w:val="center"/>
          </w:tcPr>
          <w:p w14:paraId="3CC67ED9">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平时成绩</w:t>
            </w:r>
          </w:p>
        </w:tc>
        <w:tc>
          <w:tcPr>
            <w:tcW w:w="2126" w:type="dxa"/>
            <w:vAlign w:val="center"/>
          </w:tcPr>
          <w:p w14:paraId="25FD183C">
            <w:pPr>
              <w:spacing w:line="360" w:lineRule="auto"/>
              <w:jc w:val="center"/>
              <w:rPr>
                <w:rFonts w:hint="eastAsia" w:ascii="宋体" w:hAnsi="宋体" w:eastAsia="宋体" w:cs="Times New Roman"/>
                <w:szCs w:val="21"/>
              </w:rPr>
            </w:pPr>
            <w:r>
              <w:rPr>
                <w:rFonts w:hint="eastAsia" w:ascii="宋体" w:hAnsi="宋体" w:eastAsia="宋体" w:cs="Times New Roman"/>
                <w:szCs w:val="21"/>
              </w:rPr>
              <w:t>实践活动</w:t>
            </w:r>
          </w:p>
        </w:tc>
        <w:tc>
          <w:tcPr>
            <w:tcW w:w="1843" w:type="dxa"/>
            <w:vAlign w:val="center"/>
          </w:tcPr>
          <w:p w14:paraId="7997819F">
            <w:pPr>
              <w:spacing w:line="360" w:lineRule="auto"/>
              <w:jc w:val="center"/>
              <w:rPr>
                <w:rFonts w:hint="eastAsia" w:ascii="宋体" w:hAnsi="宋体" w:eastAsia="宋体" w:cs="Times New Roman"/>
                <w:szCs w:val="21"/>
              </w:rPr>
            </w:pPr>
            <w:r>
              <w:rPr>
                <w:rFonts w:hint="eastAsia" w:ascii="宋体" w:hAnsi="宋体" w:eastAsia="宋体" w:cs="Times New Roman"/>
                <w:szCs w:val="21"/>
              </w:rPr>
              <w:t>技能实操</w:t>
            </w:r>
          </w:p>
        </w:tc>
        <w:tc>
          <w:tcPr>
            <w:tcW w:w="1559" w:type="dxa"/>
            <w:vMerge w:val="continue"/>
            <w:vAlign w:val="center"/>
          </w:tcPr>
          <w:p w14:paraId="4454AA12">
            <w:pPr>
              <w:spacing w:line="360" w:lineRule="auto"/>
              <w:jc w:val="center"/>
              <w:rPr>
                <w:rFonts w:hint="eastAsia" w:ascii="宋体" w:hAnsi="宋体" w:eastAsia="宋体" w:cs="Times New Roman"/>
                <w:szCs w:val="21"/>
              </w:rPr>
            </w:pPr>
          </w:p>
        </w:tc>
      </w:tr>
      <w:tr w14:paraId="30B33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F7ABB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71" w:type="dxa"/>
            <w:vAlign w:val="center"/>
          </w:tcPr>
          <w:p w14:paraId="04843FD0">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126" w:type="dxa"/>
            <w:vAlign w:val="center"/>
          </w:tcPr>
          <w:p w14:paraId="6090D358">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843" w:type="dxa"/>
            <w:vAlign w:val="center"/>
          </w:tcPr>
          <w:p w14:paraId="2F08CD6F">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c>
          <w:tcPr>
            <w:tcW w:w="1559" w:type="dxa"/>
            <w:vAlign w:val="center"/>
          </w:tcPr>
          <w:p w14:paraId="7FBDD577">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03AC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5F7152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871" w:type="dxa"/>
            <w:vAlign w:val="center"/>
          </w:tcPr>
          <w:p w14:paraId="52F42F85">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126" w:type="dxa"/>
            <w:vAlign w:val="center"/>
          </w:tcPr>
          <w:p w14:paraId="7CCFE8CA">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1843" w:type="dxa"/>
            <w:vAlign w:val="center"/>
          </w:tcPr>
          <w:p w14:paraId="4F2287AA">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c>
          <w:tcPr>
            <w:tcW w:w="1559" w:type="dxa"/>
            <w:vAlign w:val="center"/>
          </w:tcPr>
          <w:p w14:paraId="7ABB6F61">
            <w:pPr>
              <w:spacing w:line="360" w:lineRule="auto"/>
              <w:jc w:val="center"/>
              <w:rPr>
                <w:rFonts w:hint="eastAsia" w:ascii="宋体" w:hAnsi="宋体" w:eastAsia="宋体" w:cs="Times New Roman"/>
                <w:szCs w:val="21"/>
              </w:rPr>
            </w:pPr>
            <w:r>
              <w:rPr>
                <w:rFonts w:hint="eastAsia" w:ascii="宋体" w:hAnsi="宋体" w:eastAsia="宋体" w:cs="Times New Roman"/>
                <w:szCs w:val="21"/>
              </w:rPr>
              <w:t>60</w:t>
            </w:r>
          </w:p>
        </w:tc>
      </w:tr>
      <w:tr w14:paraId="4983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68C6FAA">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871" w:type="dxa"/>
            <w:vAlign w:val="center"/>
          </w:tcPr>
          <w:p w14:paraId="24A489C0">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2126" w:type="dxa"/>
            <w:vAlign w:val="center"/>
          </w:tcPr>
          <w:p w14:paraId="57455F0B">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1843" w:type="dxa"/>
            <w:vAlign w:val="center"/>
          </w:tcPr>
          <w:p w14:paraId="1B5C101A">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c>
          <w:tcPr>
            <w:tcW w:w="1559" w:type="dxa"/>
            <w:vAlign w:val="center"/>
          </w:tcPr>
          <w:p w14:paraId="35E26686">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755EDAB">
      <w:pPr>
        <w:spacing w:before="156" w:beforeLines="50" w:line="360" w:lineRule="auto"/>
        <w:ind w:firstLine="422" w:firstLineChars="200"/>
        <w:jc w:val="left"/>
        <w:outlineLvl w:val="1"/>
        <w:rPr>
          <w:rFonts w:ascii="Times New Roman" w:hAnsi="Times New Roman" w:eastAsia="宋体" w:cs="Times New Roman"/>
          <w:b/>
          <w:szCs w:val="21"/>
        </w:rPr>
      </w:pPr>
      <w:bookmarkStart w:id="277" w:name="_Toc12305"/>
      <w:r>
        <w:rPr>
          <w:rFonts w:hint="eastAsia" w:ascii="Times New Roman" w:hAnsi="Times New Roman" w:eastAsia="宋体" w:cs="Times New Roman"/>
          <w:b/>
          <w:szCs w:val="21"/>
        </w:rPr>
        <w:t>（二）成绩评定细则</w:t>
      </w:r>
      <w:bookmarkEnd w:id="277"/>
    </w:p>
    <w:p w14:paraId="668BA1B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6715"/>
        <w:gridCol w:w="638"/>
      </w:tblGrid>
      <w:tr w14:paraId="03ED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15C7FF91">
            <w:pPr>
              <w:jc w:val="center"/>
              <w:rPr>
                <w:rFonts w:hint="eastAsia" w:ascii="宋体" w:hAnsi="宋体" w:eastAsia="宋体" w:cs="Times New Roman"/>
                <w:b/>
                <w:bCs/>
                <w:szCs w:val="21"/>
              </w:rPr>
            </w:pPr>
            <w:r>
              <w:rPr>
                <w:rFonts w:hint="eastAsia" w:ascii="宋体" w:hAnsi="宋体" w:eastAsia="宋体" w:cs="Times New Roman"/>
                <w:b/>
                <w:bCs/>
                <w:szCs w:val="21"/>
              </w:rPr>
              <w:t>评价方式</w:t>
            </w:r>
          </w:p>
        </w:tc>
        <w:tc>
          <w:tcPr>
            <w:tcW w:w="6715" w:type="dxa"/>
            <w:vAlign w:val="center"/>
          </w:tcPr>
          <w:p w14:paraId="34A40A7C">
            <w:pPr>
              <w:jc w:val="center"/>
              <w:rPr>
                <w:rFonts w:hint="eastAsia" w:ascii="宋体" w:hAnsi="宋体" w:eastAsia="宋体" w:cs="Times New Roman"/>
                <w:b/>
                <w:bCs/>
                <w:szCs w:val="21"/>
              </w:rPr>
            </w:pPr>
            <w:r>
              <w:rPr>
                <w:rFonts w:hint="eastAsia" w:ascii="宋体" w:hAnsi="宋体" w:eastAsia="宋体" w:cs="Times New Roman"/>
                <w:b/>
                <w:bCs/>
                <w:szCs w:val="21"/>
              </w:rPr>
              <w:t>评定细则</w:t>
            </w:r>
          </w:p>
        </w:tc>
        <w:tc>
          <w:tcPr>
            <w:tcW w:w="0" w:type="auto"/>
            <w:vAlign w:val="center"/>
          </w:tcPr>
          <w:p w14:paraId="1433025A">
            <w:pPr>
              <w:jc w:val="center"/>
              <w:rPr>
                <w:rFonts w:hint="eastAsia" w:ascii="宋体" w:hAnsi="宋体" w:eastAsia="宋体" w:cs="Times New Roman"/>
                <w:b/>
                <w:bCs/>
                <w:szCs w:val="21"/>
              </w:rPr>
            </w:pPr>
            <w:r>
              <w:rPr>
                <w:rFonts w:hint="eastAsia" w:ascii="宋体" w:hAnsi="宋体" w:eastAsia="宋体" w:cs="Times New Roman"/>
                <w:b/>
                <w:bCs/>
                <w:szCs w:val="21"/>
              </w:rPr>
              <w:t>占比</w:t>
            </w:r>
          </w:p>
        </w:tc>
      </w:tr>
      <w:tr w14:paraId="06BD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5C652750">
            <w:pPr>
              <w:rPr>
                <w:rFonts w:hint="eastAsia" w:ascii="宋体" w:hAnsi="宋体" w:eastAsia="宋体" w:cs="Times New Roman"/>
                <w:szCs w:val="21"/>
              </w:rPr>
            </w:pPr>
            <w:r>
              <w:rPr>
                <w:rFonts w:hint="eastAsia" w:ascii="宋体" w:hAnsi="宋体" w:eastAsia="宋体" w:cs="宋体"/>
                <w:szCs w:val="21"/>
              </w:rPr>
              <w:t>考勤记录</w:t>
            </w:r>
          </w:p>
        </w:tc>
        <w:tc>
          <w:tcPr>
            <w:tcW w:w="6715" w:type="dxa"/>
            <w:vAlign w:val="center"/>
          </w:tcPr>
          <w:p w14:paraId="2FA220B3">
            <w:pPr>
              <w:spacing w:line="264" w:lineRule="auto"/>
              <w:jc w:val="left"/>
              <w:rPr>
                <w:rFonts w:hint="eastAsia" w:ascii="宋体" w:hAnsi="宋体" w:eastAsia="宋体" w:cs="宋体"/>
                <w:szCs w:val="21"/>
              </w:rPr>
            </w:pPr>
            <w:r>
              <w:rPr>
                <w:rFonts w:ascii="宋体" w:hAnsi="宋体" w:eastAsia="宋体" w:cs="宋体"/>
                <w:szCs w:val="21"/>
              </w:rPr>
              <w:t>1.考勤在平时成绩基础上扣分，旷课5分/次（旷课达2次，本课程考核不合格），病假事假提前报批任课教师或班主任不扣分，迟到、早退分别扣3分/次。</w:t>
            </w:r>
          </w:p>
          <w:p w14:paraId="79CD376F">
            <w:pPr>
              <w:spacing w:line="264" w:lineRule="auto"/>
              <w:jc w:val="left"/>
              <w:rPr>
                <w:rFonts w:hint="eastAsia" w:ascii="宋体" w:hAnsi="宋体" w:eastAsia="宋体" w:cs="Times New Roman"/>
                <w:szCs w:val="21"/>
              </w:rPr>
            </w:pPr>
            <w:r>
              <w:rPr>
                <w:rFonts w:ascii="宋体" w:hAnsi="宋体" w:eastAsia="宋体" w:cs="宋体"/>
                <w:szCs w:val="21"/>
              </w:rPr>
              <w:t>2.平时成绩=课堂表现-考勤扣分。</w:t>
            </w:r>
          </w:p>
        </w:tc>
        <w:tc>
          <w:tcPr>
            <w:tcW w:w="0" w:type="auto"/>
            <w:vAlign w:val="center"/>
          </w:tcPr>
          <w:p w14:paraId="50D4974F">
            <w:pPr>
              <w:jc w:val="center"/>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0</w:t>
            </w:r>
            <w:r>
              <w:rPr>
                <w:rFonts w:hint="eastAsia" w:ascii="宋体" w:hAnsi="宋体" w:eastAsia="宋体" w:cs="宋体"/>
                <w:szCs w:val="21"/>
              </w:rPr>
              <w:t>%</w:t>
            </w:r>
          </w:p>
        </w:tc>
      </w:tr>
      <w:tr w14:paraId="035E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101" w:type="dxa"/>
            <w:vAlign w:val="center"/>
          </w:tcPr>
          <w:p w14:paraId="2EF591F2">
            <w:pPr>
              <w:rPr>
                <w:rFonts w:hint="eastAsia" w:ascii="宋体" w:hAnsi="宋体" w:eastAsia="宋体" w:cs="Times New Roman"/>
                <w:szCs w:val="21"/>
              </w:rPr>
            </w:pPr>
            <w:r>
              <w:rPr>
                <w:rFonts w:hint="eastAsia" w:ascii="宋体" w:hAnsi="宋体" w:eastAsia="宋体" w:cs="宋体"/>
                <w:szCs w:val="21"/>
              </w:rPr>
              <w:t>实践活动</w:t>
            </w:r>
          </w:p>
        </w:tc>
        <w:tc>
          <w:tcPr>
            <w:tcW w:w="6715" w:type="dxa"/>
            <w:vAlign w:val="center"/>
          </w:tcPr>
          <w:p w14:paraId="1DECC669">
            <w:pPr>
              <w:rPr>
                <w:rFonts w:hint="eastAsia" w:ascii="宋体" w:hAnsi="宋体" w:eastAsia="宋体" w:cs="Times New Roman"/>
                <w:szCs w:val="21"/>
              </w:rPr>
            </w:pPr>
            <w:r>
              <w:rPr>
                <w:rFonts w:hint="eastAsia" w:ascii="宋体" w:hAnsi="宋体" w:eastAsia="宋体" w:cs="Times New Roman"/>
                <w:szCs w:val="21"/>
              </w:rPr>
              <w:t>1.主题鲜明且符合要求，能明确介绍成果的制作过程、展示使用情境（20分）</w:t>
            </w:r>
          </w:p>
          <w:p w14:paraId="1F84674A">
            <w:pPr>
              <w:rPr>
                <w:rFonts w:hint="eastAsia" w:ascii="宋体" w:hAnsi="宋体" w:eastAsia="宋体" w:cs="Times New Roman"/>
                <w:szCs w:val="21"/>
              </w:rPr>
            </w:pPr>
            <w:r>
              <w:rPr>
                <w:rFonts w:hint="eastAsia" w:ascii="宋体" w:hAnsi="宋体" w:eastAsia="宋体" w:cs="Times New Roman"/>
                <w:szCs w:val="21"/>
              </w:rPr>
              <w:t>2.现场表达完整、流畅、得体、大方，能够自信且富有感染力（10分）</w:t>
            </w:r>
          </w:p>
          <w:p w14:paraId="357B3DC0">
            <w:pPr>
              <w:widowControl/>
              <w:spacing w:line="264" w:lineRule="auto"/>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熟悉实践成果的制作与表达意图，具有一定现场应对能力（10分）</w:t>
            </w:r>
          </w:p>
          <w:p w14:paraId="53FCCD9C">
            <w:pPr>
              <w:tabs>
                <w:tab w:val="left" w:pos="312"/>
              </w:tabs>
              <w:rPr>
                <w:rFonts w:hint="eastAsia" w:ascii="宋体" w:hAnsi="宋体" w:eastAsia="宋体" w:cs="Times New Roman"/>
                <w:szCs w:val="21"/>
              </w:rPr>
            </w:pPr>
            <w:r>
              <w:rPr>
                <w:rFonts w:hint="eastAsia" w:ascii="宋体" w:hAnsi="宋体" w:eastAsia="宋体" w:cs="Times New Roman"/>
                <w:szCs w:val="21"/>
              </w:rPr>
              <w:t>4.能客观地评价其他组作品，提出合理性建议（10分）</w:t>
            </w:r>
          </w:p>
          <w:p w14:paraId="2468B1DD">
            <w:pPr>
              <w:spacing w:line="264" w:lineRule="auto"/>
              <w:jc w:val="left"/>
              <w:rPr>
                <w:rFonts w:hint="eastAsia" w:ascii="宋体" w:hAnsi="宋体" w:eastAsia="宋体" w:cs="Times New Roman"/>
                <w:szCs w:val="21"/>
              </w:rPr>
            </w:pPr>
            <w:r>
              <w:rPr>
                <w:rFonts w:hint="eastAsia" w:ascii="宋体" w:hAnsi="宋体" w:eastAsia="宋体" w:cs="Times New Roman"/>
                <w:szCs w:val="21"/>
              </w:rPr>
              <w:t>5.能对自己组的作品有客观的评价与反思（10分）</w:t>
            </w:r>
          </w:p>
          <w:p w14:paraId="5F7C3D1B">
            <w:pPr>
              <w:tabs>
                <w:tab w:val="left" w:pos="312"/>
              </w:tabs>
              <w:rPr>
                <w:rFonts w:hint="eastAsia" w:ascii="宋体" w:hAnsi="宋体" w:eastAsia="宋体" w:cs="Times New Roman"/>
                <w:szCs w:val="21"/>
              </w:rPr>
            </w:pPr>
            <w:r>
              <w:rPr>
                <w:rFonts w:hint="eastAsia" w:ascii="宋体" w:hAnsi="宋体" w:eastAsia="宋体" w:cs="Times New Roman"/>
                <w:szCs w:val="21"/>
              </w:rPr>
              <w:t>6.按要求呈现成果制作过程与展示的各环节内容 (20分)</w:t>
            </w:r>
          </w:p>
          <w:p w14:paraId="3C411C23">
            <w:pPr>
              <w:spacing w:line="264" w:lineRule="auto"/>
              <w:jc w:val="left"/>
              <w:rPr>
                <w:rFonts w:hint="eastAsia" w:ascii="宋体" w:hAnsi="宋体" w:eastAsia="宋体" w:cs="Times New Roman"/>
                <w:szCs w:val="21"/>
              </w:rPr>
            </w:pPr>
            <w:r>
              <w:rPr>
                <w:rFonts w:hint="eastAsia" w:ascii="宋体" w:hAnsi="宋体" w:eastAsia="宋体" w:cs="Times New Roman"/>
                <w:szCs w:val="21"/>
              </w:rPr>
              <w:t>7.文本内容完整详略得当、形式多样、图片清晰、裁剪得当有一定逻辑性与得体性 (10分)</w:t>
            </w:r>
          </w:p>
          <w:p w14:paraId="28E130B3">
            <w:pPr>
              <w:spacing w:line="264" w:lineRule="auto"/>
              <w:jc w:val="left"/>
              <w:rPr>
                <w:rFonts w:hint="eastAsia" w:ascii="宋体" w:hAnsi="宋体" w:eastAsia="宋体" w:cs="Times New Roman"/>
                <w:szCs w:val="21"/>
              </w:rPr>
            </w:pPr>
            <w:r>
              <w:rPr>
                <w:rFonts w:hint="eastAsia" w:ascii="宋体" w:hAnsi="宋体" w:eastAsia="宋体" w:cs="Times New Roman"/>
                <w:szCs w:val="21"/>
              </w:rPr>
              <w:t>8. 全员投入，分工合理，协作性高 (10 分)</w:t>
            </w:r>
          </w:p>
        </w:tc>
        <w:tc>
          <w:tcPr>
            <w:tcW w:w="0" w:type="auto"/>
            <w:vAlign w:val="center"/>
          </w:tcPr>
          <w:p w14:paraId="62160F87">
            <w:pPr>
              <w:jc w:val="center"/>
              <w:rPr>
                <w:rFonts w:hint="eastAsia" w:ascii="宋体" w:hAnsi="宋体" w:eastAsia="宋体" w:cs="Times New Roman"/>
                <w:szCs w:val="21"/>
              </w:rPr>
            </w:pPr>
            <w:r>
              <w:rPr>
                <w:rFonts w:hint="eastAsia" w:ascii="宋体" w:hAnsi="宋体" w:eastAsia="宋体" w:cs="宋体"/>
                <w:szCs w:val="21"/>
              </w:rPr>
              <w:t>5</w:t>
            </w:r>
            <w:r>
              <w:rPr>
                <w:rFonts w:ascii="宋体" w:hAnsi="宋体" w:eastAsia="宋体" w:cs="宋体"/>
                <w:szCs w:val="21"/>
              </w:rPr>
              <w:t>0</w:t>
            </w:r>
            <w:r>
              <w:rPr>
                <w:rFonts w:hint="eastAsia" w:ascii="宋体" w:hAnsi="宋体" w:eastAsia="宋体" w:cs="宋体"/>
                <w:szCs w:val="21"/>
              </w:rPr>
              <w:t>%</w:t>
            </w:r>
          </w:p>
        </w:tc>
      </w:tr>
      <w:tr w14:paraId="5ADF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1101" w:type="dxa"/>
            <w:vAlign w:val="center"/>
          </w:tcPr>
          <w:p w14:paraId="5F2D7CA4">
            <w:pPr>
              <w:rPr>
                <w:rFonts w:hint="eastAsia" w:ascii="宋体" w:hAnsi="宋体" w:eastAsia="宋体" w:cs="Times New Roman"/>
                <w:szCs w:val="21"/>
              </w:rPr>
            </w:pPr>
            <w:r>
              <w:rPr>
                <w:rFonts w:hint="eastAsia" w:ascii="宋体" w:hAnsi="宋体" w:eastAsia="宋体" w:cs="宋体"/>
                <w:szCs w:val="21"/>
              </w:rPr>
              <w:t>技能实操</w:t>
            </w:r>
          </w:p>
        </w:tc>
        <w:tc>
          <w:tcPr>
            <w:tcW w:w="6715" w:type="dxa"/>
            <w:vAlign w:val="center"/>
          </w:tcPr>
          <w:p w14:paraId="6F1377D7">
            <w:pPr>
              <w:widowControl/>
              <w:spacing w:line="276" w:lineRule="auto"/>
              <w:ind w:firstLine="25" w:firstLineChars="12"/>
              <w:jc w:val="left"/>
              <w:rPr>
                <w:rFonts w:hint="eastAsia" w:ascii="宋体" w:hAnsi="宋体" w:eastAsia="宋体" w:cs="Segoe UI"/>
                <w:kern w:val="0"/>
                <w:szCs w:val="21"/>
              </w:rPr>
            </w:pPr>
            <w:r>
              <w:rPr>
                <w:rFonts w:ascii="宋体" w:hAnsi="宋体" w:eastAsia="宋体" w:cs="Segoe UI"/>
                <w:kern w:val="0"/>
                <w:szCs w:val="21"/>
              </w:rPr>
              <w:t>一、主题与制作过程（20分）</w:t>
            </w:r>
          </w:p>
          <w:p w14:paraId="58E97242">
            <w:pPr>
              <w:widowControl/>
              <w:spacing w:line="276" w:lineRule="auto"/>
              <w:ind w:firstLine="420" w:firstLineChars="200"/>
              <w:jc w:val="left"/>
              <w:rPr>
                <w:rFonts w:hint="eastAsia" w:ascii="宋体" w:hAnsi="宋体" w:eastAsia="宋体" w:cs="微软雅黑"/>
                <w:b/>
                <w:bCs/>
                <w:kern w:val="0"/>
                <w:szCs w:val="21"/>
              </w:rPr>
            </w:pPr>
            <w:r>
              <w:rPr>
                <w:rFonts w:hint="eastAsia" w:ascii="宋体" w:hAnsi="宋体" w:eastAsia="宋体" w:cs="Segoe UI"/>
                <w:kern w:val="0"/>
                <w:szCs w:val="21"/>
              </w:rPr>
              <w:t>实操项目应紧密围绕大学生劳动教育的核心目标，如生活技能、生产实践、志愿服务等，主题明确，具有教育意义。能够详细阐述从项目策划、准备材料、实施步骤到成果完成的整个过程，步骤清晰，逻辑性强。能够结合实际生活或工作场景，展示实操成果的应用价值，说明其在提升个人劳动能力、团队协作等方面的作用。</w:t>
            </w:r>
          </w:p>
          <w:p w14:paraId="0ED13143">
            <w:pPr>
              <w:widowControl/>
              <w:numPr>
                <w:ilvl w:val="0"/>
                <w:numId w:val="9"/>
              </w:numPr>
              <w:spacing w:line="276" w:lineRule="auto"/>
              <w:ind w:left="-2" w:leftChars="-1" w:firstLine="0"/>
              <w:jc w:val="left"/>
              <w:rPr>
                <w:rFonts w:hint="eastAsia" w:ascii="宋体" w:hAnsi="宋体" w:eastAsia="宋体" w:cs="Segoe UI"/>
                <w:kern w:val="0"/>
                <w:szCs w:val="21"/>
              </w:rPr>
            </w:pPr>
            <w:r>
              <w:rPr>
                <w:rFonts w:ascii="宋体" w:hAnsi="宋体" w:eastAsia="宋体" w:cs="Segoe UI"/>
                <w:kern w:val="0"/>
                <w:szCs w:val="21"/>
              </w:rPr>
              <w:t>现场表达与应对能力（20分）</w:t>
            </w:r>
          </w:p>
          <w:p w14:paraId="0A5B7E4E">
            <w:pPr>
              <w:widowControl/>
              <w:spacing w:line="276" w:lineRule="auto"/>
              <w:ind w:firstLine="420" w:firstLineChars="200"/>
              <w:jc w:val="left"/>
              <w:rPr>
                <w:rFonts w:hint="eastAsia" w:ascii="宋体" w:hAnsi="宋体" w:eastAsia="宋体" w:cs="Segoe UI"/>
                <w:kern w:val="0"/>
                <w:szCs w:val="21"/>
              </w:rPr>
            </w:pPr>
            <w:r>
              <w:rPr>
                <w:rFonts w:hint="eastAsia" w:ascii="宋体" w:hAnsi="宋体" w:eastAsia="宋体" w:cs="Segoe UI"/>
                <w:kern w:val="0"/>
                <w:szCs w:val="21"/>
              </w:rPr>
              <w:t>现场讲解时，语言清晰、条理分明，能够完整表达实操项目的核心内容和亮点。表达时自信大方，能够吸引听众注意力，通过生动的语言和实例，增强表达的感染力。对项目内容有深入了解，能够自如回答评委或观众提出的问题，展现出良好的应变能力和专业素养。</w:t>
            </w:r>
          </w:p>
          <w:p w14:paraId="73093B31">
            <w:pPr>
              <w:widowControl/>
              <w:spacing w:line="276" w:lineRule="auto"/>
              <w:ind w:left="-2" w:leftChars="-1"/>
              <w:jc w:val="left"/>
              <w:rPr>
                <w:rFonts w:hint="eastAsia" w:ascii="宋体" w:hAnsi="宋体" w:eastAsia="宋体" w:cs="Segoe UI"/>
                <w:kern w:val="0"/>
                <w:szCs w:val="21"/>
              </w:rPr>
            </w:pPr>
            <w:r>
              <w:rPr>
                <w:rFonts w:ascii="宋体" w:hAnsi="宋体" w:eastAsia="宋体" w:cs="Segoe UI"/>
                <w:kern w:val="0"/>
                <w:szCs w:val="21"/>
              </w:rPr>
              <w:t>三、评价与建议（20分）</w:t>
            </w:r>
          </w:p>
          <w:p w14:paraId="4430C43B">
            <w:pPr>
              <w:widowControl/>
              <w:spacing w:line="276" w:lineRule="auto"/>
              <w:ind w:firstLine="420" w:firstLineChars="200"/>
              <w:jc w:val="left"/>
              <w:rPr>
                <w:rFonts w:hint="eastAsia" w:ascii="宋体" w:hAnsi="宋体" w:eastAsia="宋体" w:cs="Segoe UI"/>
                <w:kern w:val="0"/>
                <w:szCs w:val="21"/>
              </w:rPr>
            </w:pPr>
            <w:r>
              <w:rPr>
                <w:rFonts w:hint="eastAsia" w:ascii="宋体" w:hAnsi="宋体" w:eastAsia="宋体" w:cs="Segoe UI"/>
                <w:kern w:val="0"/>
                <w:szCs w:val="21"/>
              </w:rPr>
              <w:t>能够客观、公正地评价其他组的实操项目，指出其优点和不足，提出具有建设性的意见。</w:t>
            </w:r>
            <w:r>
              <w:rPr>
                <w:rFonts w:hint="eastAsia" w:ascii="等线" w:hAnsi="等线" w:eastAsia="等线" w:cs="微软雅黑"/>
                <w:kern w:val="0"/>
                <w:szCs w:val="21"/>
              </w:rPr>
              <w:t>自我反思与评价</w:t>
            </w:r>
            <w:r>
              <w:rPr>
                <w:rFonts w:hint="eastAsia" w:ascii="宋体" w:hAnsi="宋体" w:eastAsia="宋体" w:cs="Segoe UI"/>
                <w:kern w:val="0"/>
                <w:szCs w:val="21"/>
              </w:rPr>
              <w:t>：对本组的实操项目进行客观评价，总结成功经验，反思不足之处，提出改进措施。</w:t>
            </w:r>
          </w:p>
          <w:p w14:paraId="1DE4E7F9">
            <w:pPr>
              <w:widowControl/>
              <w:spacing w:line="276" w:lineRule="auto"/>
              <w:jc w:val="left"/>
              <w:rPr>
                <w:rFonts w:hint="eastAsia" w:ascii="宋体" w:hAnsi="宋体" w:eastAsia="宋体" w:cs="Segoe UI"/>
                <w:kern w:val="0"/>
                <w:szCs w:val="21"/>
              </w:rPr>
            </w:pPr>
            <w:r>
              <w:rPr>
                <w:rFonts w:ascii="宋体" w:hAnsi="宋体" w:eastAsia="宋体" w:cs="Segoe UI"/>
                <w:kern w:val="0"/>
                <w:szCs w:val="21"/>
              </w:rPr>
              <w:t>四、成果展示与文本内容（20分）</w:t>
            </w:r>
          </w:p>
          <w:p w14:paraId="71A3FB71">
            <w:pPr>
              <w:widowControl/>
              <w:spacing w:line="276" w:lineRule="auto"/>
              <w:ind w:firstLine="420" w:firstLineChars="200"/>
              <w:jc w:val="left"/>
              <w:rPr>
                <w:rFonts w:hint="eastAsia" w:ascii="宋体" w:hAnsi="宋体" w:eastAsia="宋体" w:cs="Segoe UI"/>
                <w:kern w:val="0"/>
                <w:szCs w:val="21"/>
              </w:rPr>
            </w:pPr>
            <w:r>
              <w:rPr>
                <w:rFonts w:hint="eastAsia" w:ascii="宋体" w:hAnsi="宋体" w:eastAsia="宋体" w:cs="Segoe UI"/>
                <w:kern w:val="0"/>
                <w:szCs w:val="21"/>
              </w:rPr>
              <w:t>按照课程要求，全面展示实操项目的策划、实施、成果及反思等各环节内容。文本内容应涵盖项目背景、目标、过程、成果、反思等方面，详略得当，重点突出。采用多种展示形式，如PPT、视频、实物等，图片清晰、裁剪得当，增强展示效果。</w:t>
            </w:r>
          </w:p>
          <w:p w14:paraId="3AF222E6">
            <w:pPr>
              <w:widowControl/>
              <w:spacing w:line="276" w:lineRule="auto"/>
              <w:ind w:left="-2" w:leftChars="-1"/>
              <w:jc w:val="left"/>
              <w:rPr>
                <w:rFonts w:hint="eastAsia" w:ascii="宋体" w:hAnsi="宋体" w:eastAsia="宋体" w:cs="Segoe UI"/>
                <w:kern w:val="0"/>
                <w:szCs w:val="21"/>
              </w:rPr>
            </w:pPr>
            <w:r>
              <w:rPr>
                <w:rFonts w:ascii="宋体" w:hAnsi="宋体" w:eastAsia="宋体" w:cs="Segoe UI"/>
                <w:kern w:val="0"/>
                <w:szCs w:val="21"/>
              </w:rPr>
              <w:t>五、团队协作与分工（10分）</w:t>
            </w:r>
          </w:p>
          <w:p w14:paraId="7631AD57">
            <w:pPr>
              <w:widowControl/>
              <w:spacing w:line="276" w:lineRule="auto"/>
              <w:ind w:firstLine="420" w:firstLineChars="200"/>
              <w:jc w:val="left"/>
              <w:rPr>
                <w:rFonts w:hint="eastAsia" w:ascii="宋体" w:hAnsi="宋体" w:eastAsia="宋体" w:cs="Segoe UI"/>
                <w:kern w:val="0"/>
                <w:szCs w:val="21"/>
              </w:rPr>
            </w:pPr>
            <w:r>
              <w:rPr>
                <w:rFonts w:hint="eastAsia" w:ascii="宋体" w:hAnsi="宋体" w:eastAsia="宋体" w:cs="Segoe UI"/>
                <w:kern w:val="0"/>
                <w:szCs w:val="21"/>
              </w:rPr>
              <w:t>团队成员均积极参与实操项目，展现出高度的责任心和团队协作精神。根据成员特长进行合理分工，确保每个环节都有专人负责，提高工作效率和质量。团队成员之间沟通顺畅，相互支持，共同解决问题，形成强大的团队合力。</w:t>
            </w:r>
          </w:p>
        </w:tc>
        <w:tc>
          <w:tcPr>
            <w:tcW w:w="0" w:type="auto"/>
            <w:vAlign w:val="center"/>
          </w:tcPr>
          <w:p w14:paraId="6AD3D000">
            <w:pPr>
              <w:jc w:val="center"/>
              <w:rPr>
                <w:rFonts w:hint="eastAsia" w:ascii="宋体" w:hAnsi="宋体" w:eastAsia="宋体" w:cs="Times New Roman"/>
                <w:szCs w:val="21"/>
              </w:rPr>
            </w:pPr>
            <w:r>
              <w:rPr>
                <w:rFonts w:hint="eastAsia" w:ascii="宋体" w:hAnsi="宋体" w:eastAsia="宋体" w:cs="宋体"/>
                <w:szCs w:val="21"/>
              </w:rPr>
              <w:t>40%</w:t>
            </w:r>
          </w:p>
        </w:tc>
      </w:tr>
      <w:tr w14:paraId="1CCF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01" w:type="dxa"/>
            <w:vAlign w:val="center"/>
          </w:tcPr>
          <w:p w14:paraId="490BA1EB">
            <w:pPr>
              <w:jc w:val="center"/>
              <w:rPr>
                <w:rFonts w:hint="eastAsia" w:ascii="宋体" w:hAnsi="宋体" w:eastAsia="宋体" w:cs="Times New Roman"/>
                <w:b/>
                <w:bCs/>
                <w:szCs w:val="21"/>
              </w:rPr>
            </w:pPr>
            <w:r>
              <w:rPr>
                <w:rFonts w:hint="eastAsia" w:ascii="宋体" w:hAnsi="宋体" w:eastAsia="宋体" w:cs="Times New Roman"/>
                <w:b/>
                <w:bCs/>
                <w:szCs w:val="21"/>
              </w:rPr>
              <w:t>合计</w:t>
            </w:r>
          </w:p>
        </w:tc>
        <w:tc>
          <w:tcPr>
            <w:tcW w:w="6715" w:type="dxa"/>
            <w:vAlign w:val="center"/>
          </w:tcPr>
          <w:p w14:paraId="5E4F9E9E">
            <w:pPr>
              <w:jc w:val="left"/>
              <w:rPr>
                <w:rFonts w:hint="eastAsia" w:ascii="宋体" w:hAnsi="宋体" w:eastAsia="宋体" w:cs="Times New Roman"/>
                <w:szCs w:val="21"/>
              </w:rPr>
            </w:pPr>
          </w:p>
        </w:tc>
        <w:tc>
          <w:tcPr>
            <w:tcW w:w="0" w:type="auto"/>
            <w:vAlign w:val="center"/>
          </w:tcPr>
          <w:p w14:paraId="2F8502F8">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659FCF0F">
      <w:pPr>
        <w:spacing w:line="360" w:lineRule="auto"/>
        <w:ind w:firstLine="422" w:firstLineChars="200"/>
        <w:jc w:val="left"/>
        <w:outlineLvl w:val="1"/>
        <w:rPr>
          <w:rFonts w:hint="eastAsia" w:ascii="宋体" w:hAnsi="宋体" w:eastAsia="宋体" w:cs="Times New Roman"/>
          <w:b/>
          <w:szCs w:val="21"/>
        </w:rPr>
      </w:pPr>
      <w:bookmarkStart w:id="278" w:name="_Toc7965"/>
      <w:r>
        <w:rPr>
          <w:rFonts w:hint="eastAsia" w:ascii="宋体" w:hAnsi="宋体" w:eastAsia="宋体" w:cs="Times New Roman"/>
          <w:b/>
          <w:szCs w:val="21"/>
        </w:rPr>
        <w:t>（三）课程目标达成度计算方法</w:t>
      </w:r>
      <w:bookmarkEnd w:id="278"/>
    </w:p>
    <w:p w14:paraId="3ED76098">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7A18181">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color w:val="000000"/>
          <w:szCs w:val="21"/>
        </w:rPr>
        <w:object>
          <v:shape id="_x0000_i1033" o:spt="75" type="#_x0000_t75" style="height:25.05pt;width:404.45pt;" o:ole="t" filled="f" o:preferrelative="t" stroked="f" coordsize="21600,21600">
            <v:path/>
            <v:fill on="f" focussize="0,0"/>
            <v:stroke on="f" joinstyle="miter"/>
            <v:imagedata r:id="rId12" o:title=""/>
            <o:lock v:ext="edit" aspectratio="t"/>
            <w10:wrap type="none"/>
            <w10:anchorlock/>
          </v:shape>
          <o:OLEObject Type="Embed" ProgID="Equation.3" ShapeID="_x0000_i1033" DrawAspect="Content" ObjectID="_1468075733" r:id="rId20">
            <o:LockedField>false</o:LockedField>
          </o:OLEObject>
        </w:object>
      </w:r>
      <w:bookmarkStart w:id="279" w:name="_Toc16082"/>
      <w:bookmarkStart w:id="280" w:name="_Toc1429"/>
      <w:bookmarkStart w:id="281" w:name="_Toc21378"/>
      <w:bookmarkStart w:id="282" w:name="_Toc24165"/>
      <w:bookmarkStart w:id="283" w:name="_Toc26802"/>
      <w:bookmarkStart w:id="284" w:name="_Toc14585"/>
      <w:bookmarkStart w:id="285" w:name="_Toc9280"/>
      <w:r>
        <w:rPr>
          <w:rFonts w:hint="eastAsia" w:ascii="Times New Roman" w:hAnsi="Times New Roman" w:eastAsia="宋体" w:cs="Times New Roman"/>
          <w:b/>
          <w:sz w:val="24"/>
        </w:rPr>
        <w:t>五、课程实践（利用第二课堂，不占总学时）</w:t>
      </w:r>
      <w:bookmarkEnd w:id="279"/>
      <w:bookmarkEnd w:id="280"/>
      <w:bookmarkEnd w:id="281"/>
      <w:bookmarkEnd w:id="282"/>
      <w:bookmarkEnd w:id="283"/>
      <w:bookmarkEnd w:id="284"/>
      <w:bookmarkEnd w:id="285"/>
    </w:p>
    <w:p w14:paraId="39F22D59">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4299"/>
        <w:gridCol w:w="1087"/>
        <w:gridCol w:w="2032"/>
      </w:tblGrid>
      <w:tr w14:paraId="66BC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01" w:type="dxa"/>
            <w:vAlign w:val="center"/>
          </w:tcPr>
          <w:p w14:paraId="1AC26FFF">
            <w:pPr>
              <w:jc w:val="center"/>
              <w:rPr>
                <w:rFonts w:hint="eastAsia" w:ascii="宋体" w:hAnsi="宋体" w:eastAsia="宋体" w:cs="宋体"/>
                <w:b/>
                <w:bCs/>
                <w:szCs w:val="21"/>
              </w:rPr>
            </w:pPr>
            <w:r>
              <w:rPr>
                <w:rFonts w:hint="eastAsia" w:ascii="宋体" w:hAnsi="宋体" w:eastAsia="宋体" w:cs="宋体"/>
                <w:b/>
                <w:bCs/>
                <w:szCs w:val="21"/>
              </w:rPr>
              <w:t>活动主题</w:t>
            </w:r>
          </w:p>
        </w:tc>
        <w:tc>
          <w:tcPr>
            <w:tcW w:w="4299" w:type="dxa"/>
            <w:vAlign w:val="center"/>
          </w:tcPr>
          <w:p w14:paraId="304F5A1C">
            <w:pPr>
              <w:jc w:val="center"/>
              <w:rPr>
                <w:rFonts w:hint="eastAsia" w:ascii="宋体" w:hAnsi="宋体" w:eastAsia="宋体" w:cs="宋体"/>
                <w:b/>
                <w:bCs/>
                <w:szCs w:val="21"/>
              </w:rPr>
            </w:pPr>
            <w:r>
              <w:rPr>
                <w:rFonts w:hint="eastAsia" w:ascii="宋体" w:hAnsi="宋体" w:eastAsia="宋体" w:cs="宋体"/>
                <w:b/>
                <w:bCs/>
                <w:szCs w:val="21"/>
              </w:rPr>
              <w:t>活动内容</w:t>
            </w:r>
          </w:p>
        </w:tc>
        <w:tc>
          <w:tcPr>
            <w:tcW w:w="1087" w:type="dxa"/>
            <w:vAlign w:val="center"/>
          </w:tcPr>
          <w:p w14:paraId="6F40C128">
            <w:pPr>
              <w:jc w:val="center"/>
              <w:rPr>
                <w:rFonts w:hint="eastAsia" w:ascii="宋体" w:hAnsi="宋体" w:eastAsia="宋体" w:cs="宋体"/>
                <w:b/>
                <w:bCs/>
                <w:szCs w:val="21"/>
              </w:rPr>
            </w:pPr>
            <w:r>
              <w:rPr>
                <w:rFonts w:hint="eastAsia" w:ascii="宋体" w:hAnsi="宋体" w:eastAsia="宋体" w:cs="宋体"/>
                <w:b/>
                <w:bCs/>
                <w:szCs w:val="21"/>
              </w:rPr>
              <w:t>活动方式</w:t>
            </w:r>
          </w:p>
        </w:tc>
        <w:tc>
          <w:tcPr>
            <w:tcW w:w="2032" w:type="dxa"/>
            <w:vAlign w:val="center"/>
          </w:tcPr>
          <w:p w14:paraId="223F0555">
            <w:pPr>
              <w:jc w:val="center"/>
              <w:rPr>
                <w:rFonts w:hint="eastAsia" w:ascii="宋体" w:hAnsi="宋体" w:eastAsia="宋体" w:cs="宋体"/>
                <w:b/>
                <w:bCs/>
                <w:szCs w:val="21"/>
              </w:rPr>
            </w:pPr>
            <w:r>
              <w:rPr>
                <w:rFonts w:hint="eastAsia" w:ascii="宋体" w:hAnsi="宋体" w:eastAsia="宋体" w:cs="宋体"/>
                <w:b/>
                <w:bCs/>
                <w:szCs w:val="21"/>
              </w:rPr>
              <w:t>思政目标</w:t>
            </w:r>
          </w:p>
        </w:tc>
      </w:tr>
      <w:tr w14:paraId="691E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101" w:type="dxa"/>
            <w:vAlign w:val="center"/>
          </w:tcPr>
          <w:p w14:paraId="61E1722C">
            <w:pPr>
              <w:jc w:val="left"/>
              <w:rPr>
                <w:rFonts w:hint="eastAsia" w:ascii="宋体" w:hAnsi="宋体" w:eastAsia="宋体" w:cs="宋体"/>
                <w:szCs w:val="21"/>
              </w:rPr>
            </w:pPr>
            <w:r>
              <w:rPr>
                <w:rFonts w:ascii="宋体" w:hAnsi="宋体" w:eastAsia="宋体" w:cs="Segoe UI"/>
                <w:szCs w:val="21"/>
              </w:rPr>
              <w:t>小学学科教具制作</w:t>
            </w:r>
          </w:p>
        </w:tc>
        <w:tc>
          <w:tcPr>
            <w:tcW w:w="4299" w:type="dxa"/>
            <w:vAlign w:val="center"/>
          </w:tcPr>
          <w:p w14:paraId="20E5F9A6">
            <w:pPr>
              <w:widowControl/>
              <w:rPr>
                <w:rFonts w:hint="eastAsia" w:ascii="宋体" w:hAnsi="宋体" w:eastAsia="宋体" w:cs="Segoe UI"/>
                <w:szCs w:val="21"/>
              </w:rPr>
            </w:pPr>
            <w:r>
              <w:rPr>
                <w:rFonts w:hint="eastAsia" w:ascii="宋体" w:hAnsi="宋体" w:eastAsia="宋体" w:cs="Segoe UI"/>
                <w:szCs w:val="21"/>
              </w:rPr>
              <w:t>1.引入话题，讲解教具制作的重要性和意义。</w:t>
            </w:r>
          </w:p>
          <w:p w14:paraId="31A70BDB">
            <w:pPr>
              <w:widowControl/>
              <w:spacing w:before="90"/>
              <w:rPr>
                <w:rFonts w:hint="eastAsia" w:ascii="宋体" w:hAnsi="宋体" w:eastAsia="宋体" w:cs="Segoe UI"/>
                <w:szCs w:val="21"/>
              </w:rPr>
            </w:pPr>
            <w:r>
              <w:rPr>
                <w:rFonts w:hint="eastAsia" w:ascii="宋体" w:hAnsi="宋体" w:eastAsia="宋体" w:cs="Segoe UI"/>
                <w:szCs w:val="21"/>
              </w:rPr>
              <w:t>2.分组分工，明确制作任务。</w:t>
            </w:r>
          </w:p>
          <w:p w14:paraId="707E8D06">
            <w:pPr>
              <w:widowControl/>
              <w:spacing w:before="90"/>
              <w:rPr>
                <w:rFonts w:hint="eastAsia" w:ascii="宋体" w:hAnsi="宋体" w:eastAsia="宋体" w:cs="Segoe UI"/>
                <w:szCs w:val="21"/>
              </w:rPr>
            </w:pPr>
            <w:r>
              <w:rPr>
                <w:rFonts w:hint="eastAsia" w:ascii="宋体" w:hAnsi="宋体" w:eastAsia="宋体" w:cs="Segoe UI"/>
                <w:szCs w:val="21"/>
              </w:rPr>
              <w:t>3.学生进行实际操作，教师巡回指导。</w:t>
            </w:r>
          </w:p>
          <w:p w14:paraId="41F50F6C">
            <w:pPr>
              <w:widowControl/>
              <w:spacing w:before="90"/>
              <w:rPr>
                <w:rFonts w:hint="eastAsia" w:ascii="宋体" w:hAnsi="宋体" w:eastAsia="宋体" w:cs="Segoe UI"/>
                <w:szCs w:val="21"/>
              </w:rPr>
            </w:pPr>
            <w:r>
              <w:rPr>
                <w:rFonts w:hint="eastAsia" w:ascii="宋体" w:hAnsi="宋体" w:eastAsia="宋体" w:cs="Segoe UI"/>
                <w:szCs w:val="21"/>
              </w:rPr>
              <w:t>4.实物展示，讲解设计意图和制作过程。</w:t>
            </w:r>
          </w:p>
          <w:p w14:paraId="715D7FF8">
            <w:pPr>
              <w:widowControl/>
              <w:spacing w:before="90"/>
              <w:rPr>
                <w:rFonts w:hint="eastAsia" w:ascii="宋体" w:hAnsi="宋体" w:eastAsia="宋体" w:cs="Segoe UI"/>
                <w:szCs w:val="21"/>
              </w:rPr>
            </w:pPr>
            <w:r>
              <w:rPr>
                <w:rFonts w:hint="eastAsia" w:ascii="宋体" w:hAnsi="宋体" w:eastAsia="宋体" w:cs="Segoe UI"/>
                <w:szCs w:val="21"/>
              </w:rPr>
              <w:t>5.互评作品，分享心得，总结经验。</w:t>
            </w:r>
          </w:p>
        </w:tc>
        <w:tc>
          <w:tcPr>
            <w:tcW w:w="1087" w:type="dxa"/>
            <w:vAlign w:val="center"/>
          </w:tcPr>
          <w:p w14:paraId="2B032FDA">
            <w:pPr>
              <w:jc w:val="center"/>
              <w:rPr>
                <w:rFonts w:hint="eastAsia" w:ascii="宋体" w:hAnsi="宋体" w:eastAsia="宋体" w:cs="宋体"/>
                <w:szCs w:val="21"/>
              </w:rPr>
            </w:pPr>
            <w:r>
              <w:rPr>
                <w:rFonts w:hint="eastAsia" w:ascii="宋体" w:hAnsi="宋体" w:eastAsia="宋体" w:cs="宋体"/>
                <w:szCs w:val="21"/>
              </w:rPr>
              <w:t>手工制作</w:t>
            </w:r>
          </w:p>
        </w:tc>
        <w:tc>
          <w:tcPr>
            <w:tcW w:w="2032" w:type="dxa"/>
            <w:vAlign w:val="center"/>
          </w:tcPr>
          <w:p w14:paraId="344F8142">
            <w:pPr>
              <w:widowControl/>
              <w:spacing w:before="90"/>
              <w:jc w:val="left"/>
              <w:rPr>
                <w:rFonts w:hint="eastAsia" w:ascii="宋体" w:hAnsi="宋体" w:eastAsia="宋体" w:cs="Segoe UI"/>
                <w:szCs w:val="21"/>
              </w:rPr>
            </w:pPr>
            <w:r>
              <w:rPr>
                <w:rFonts w:hint="eastAsia" w:ascii="宋体" w:hAnsi="宋体" w:eastAsia="宋体" w:cs="Segoe UI"/>
                <w:szCs w:val="21"/>
              </w:rPr>
              <w:t>通过实际操作，掌握教具制作的基本技巧和方法，提高废物利用能力和创意表达能力。培养学生的创新意识和环保意识。</w:t>
            </w:r>
          </w:p>
        </w:tc>
      </w:tr>
      <w:tr w14:paraId="05F77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101" w:type="dxa"/>
            <w:vAlign w:val="center"/>
          </w:tcPr>
          <w:p w14:paraId="53AAD22E">
            <w:pPr>
              <w:jc w:val="left"/>
              <w:rPr>
                <w:rFonts w:hint="eastAsia" w:ascii="宋体" w:hAnsi="宋体" w:eastAsia="宋体" w:cs="宋体"/>
                <w:szCs w:val="21"/>
              </w:rPr>
            </w:pPr>
            <w:r>
              <w:rPr>
                <w:rFonts w:ascii="宋体" w:hAnsi="宋体" w:eastAsia="宋体" w:cs="Segoe UI"/>
                <w:szCs w:val="21"/>
              </w:rPr>
              <w:t>儿童照护与急救知识汇报</w:t>
            </w:r>
          </w:p>
        </w:tc>
        <w:tc>
          <w:tcPr>
            <w:tcW w:w="4299" w:type="dxa"/>
            <w:vAlign w:val="center"/>
          </w:tcPr>
          <w:p w14:paraId="5B4DFE22">
            <w:pPr>
              <w:widowControl/>
              <w:rPr>
                <w:rFonts w:hint="eastAsia" w:ascii="宋体" w:hAnsi="宋体" w:eastAsia="宋体" w:cs="Segoe UI"/>
                <w:szCs w:val="21"/>
              </w:rPr>
            </w:pPr>
            <w:r>
              <w:rPr>
                <w:rFonts w:hint="eastAsia" w:ascii="宋体" w:hAnsi="宋体" w:eastAsia="宋体" w:cs="Segoe UI"/>
                <w:szCs w:val="21"/>
              </w:rPr>
              <w:t>1.引入话题，讲解儿童照护和急救的重要性。</w:t>
            </w:r>
          </w:p>
          <w:p w14:paraId="5A1B4CDF">
            <w:pPr>
              <w:widowControl/>
              <w:spacing w:before="90"/>
              <w:rPr>
                <w:rFonts w:hint="eastAsia" w:ascii="宋体" w:hAnsi="宋体" w:eastAsia="宋体" w:cs="Segoe UI"/>
                <w:szCs w:val="21"/>
              </w:rPr>
            </w:pPr>
            <w:r>
              <w:rPr>
                <w:rFonts w:hint="eastAsia" w:ascii="宋体" w:hAnsi="宋体" w:eastAsia="宋体" w:cs="Segoe UI"/>
                <w:szCs w:val="21"/>
              </w:rPr>
              <w:t>2.分组分工，明确汇报和演练任务。</w:t>
            </w:r>
          </w:p>
          <w:p w14:paraId="6460DDC7">
            <w:pPr>
              <w:widowControl/>
              <w:spacing w:before="90"/>
              <w:rPr>
                <w:rFonts w:hint="eastAsia" w:ascii="宋体" w:hAnsi="宋体" w:eastAsia="宋体" w:cs="Segoe UI"/>
                <w:szCs w:val="21"/>
              </w:rPr>
            </w:pPr>
            <w:r>
              <w:rPr>
                <w:rFonts w:hint="eastAsia" w:ascii="宋体" w:hAnsi="宋体" w:eastAsia="宋体" w:cs="Segoe UI"/>
                <w:szCs w:val="21"/>
              </w:rPr>
              <w:t>3.学生制作PPT并进行汇报，教师点评。</w:t>
            </w:r>
          </w:p>
          <w:p w14:paraId="7329022B">
            <w:pPr>
              <w:widowControl/>
              <w:spacing w:before="90"/>
              <w:rPr>
                <w:rFonts w:hint="eastAsia" w:ascii="宋体" w:hAnsi="宋体" w:eastAsia="宋体" w:cs="Segoe UI"/>
                <w:szCs w:val="21"/>
              </w:rPr>
            </w:pPr>
            <w:r>
              <w:rPr>
                <w:rFonts w:hint="eastAsia" w:ascii="宋体" w:hAnsi="宋体" w:eastAsia="宋体" w:cs="Segoe UI"/>
                <w:szCs w:val="21"/>
              </w:rPr>
              <w:t>4.小剧场式演绎儿童急救情境，模拟实际操作。</w:t>
            </w:r>
          </w:p>
          <w:p w14:paraId="07451486">
            <w:pPr>
              <w:widowControl/>
              <w:spacing w:before="90"/>
              <w:rPr>
                <w:rFonts w:hint="eastAsia" w:ascii="宋体" w:hAnsi="宋体" w:eastAsia="宋体" w:cs="Segoe UI"/>
                <w:szCs w:val="21"/>
              </w:rPr>
            </w:pPr>
            <w:r>
              <w:rPr>
                <w:rFonts w:hint="eastAsia" w:ascii="宋体" w:hAnsi="宋体" w:eastAsia="宋体" w:cs="Segoe UI"/>
                <w:szCs w:val="21"/>
              </w:rPr>
              <w:t>5.分享心得，总结经验。</w:t>
            </w:r>
          </w:p>
        </w:tc>
        <w:tc>
          <w:tcPr>
            <w:tcW w:w="1087" w:type="dxa"/>
            <w:vAlign w:val="center"/>
          </w:tcPr>
          <w:p w14:paraId="0031178C">
            <w:pPr>
              <w:jc w:val="center"/>
              <w:rPr>
                <w:rFonts w:hint="eastAsia" w:ascii="宋体" w:hAnsi="宋体" w:eastAsia="宋体" w:cs="宋体"/>
                <w:szCs w:val="21"/>
              </w:rPr>
            </w:pPr>
            <w:r>
              <w:rPr>
                <w:rFonts w:hint="eastAsia" w:ascii="宋体" w:hAnsi="宋体" w:eastAsia="宋体" w:cs="宋体"/>
                <w:szCs w:val="21"/>
              </w:rPr>
              <w:t>主题汇报及演绎</w:t>
            </w:r>
          </w:p>
        </w:tc>
        <w:tc>
          <w:tcPr>
            <w:tcW w:w="2032" w:type="dxa"/>
            <w:vAlign w:val="center"/>
          </w:tcPr>
          <w:p w14:paraId="7661188B">
            <w:pPr>
              <w:widowControl/>
              <w:spacing w:before="90"/>
              <w:jc w:val="left"/>
              <w:rPr>
                <w:rFonts w:hint="eastAsia" w:ascii="宋体" w:hAnsi="宋体" w:eastAsia="宋体" w:cs="Segoe UI"/>
                <w:szCs w:val="21"/>
              </w:rPr>
            </w:pPr>
            <w:r>
              <w:rPr>
                <w:rFonts w:hint="eastAsia" w:ascii="宋体" w:hAnsi="宋体" w:eastAsia="宋体" w:cs="Segoe UI"/>
                <w:szCs w:val="21"/>
              </w:rPr>
              <w:t>能够运用所学知识解决实际问题。培养学生的社会责任感和爱心。</w:t>
            </w:r>
          </w:p>
        </w:tc>
      </w:tr>
      <w:tr w14:paraId="51BF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101" w:type="dxa"/>
            <w:vAlign w:val="center"/>
          </w:tcPr>
          <w:p w14:paraId="02E965AB">
            <w:pPr>
              <w:jc w:val="left"/>
              <w:rPr>
                <w:rFonts w:hint="eastAsia" w:ascii="宋体" w:hAnsi="宋体" w:eastAsia="宋体" w:cs="宋体"/>
                <w:szCs w:val="21"/>
              </w:rPr>
            </w:pPr>
            <w:r>
              <w:rPr>
                <w:rFonts w:ascii="宋体" w:hAnsi="宋体" w:eastAsia="宋体" w:cs="Segoe UI"/>
                <w:szCs w:val="21"/>
              </w:rPr>
              <w:t>点心食品制作与记录</w:t>
            </w:r>
          </w:p>
        </w:tc>
        <w:tc>
          <w:tcPr>
            <w:tcW w:w="4299" w:type="dxa"/>
            <w:vAlign w:val="center"/>
          </w:tcPr>
          <w:p w14:paraId="4EEDFA7B">
            <w:pPr>
              <w:widowControl/>
              <w:rPr>
                <w:rFonts w:hint="eastAsia" w:ascii="宋体" w:hAnsi="宋体" w:eastAsia="宋体" w:cs="Segoe UI"/>
                <w:szCs w:val="21"/>
              </w:rPr>
            </w:pPr>
            <w:r>
              <w:rPr>
                <w:rFonts w:hint="eastAsia" w:ascii="宋体" w:hAnsi="宋体" w:eastAsia="宋体" w:cs="Segoe UI"/>
                <w:szCs w:val="21"/>
              </w:rPr>
              <w:t>1.引入话题，讲解点心食品制作的重要性和意义。</w:t>
            </w:r>
          </w:p>
          <w:p w14:paraId="1AAF24B8">
            <w:pPr>
              <w:widowControl/>
              <w:spacing w:before="90"/>
              <w:rPr>
                <w:rFonts w:hint="eastAsia" w:ascii="宋体" w:hAnsi="宋体" w:eastAsia="宋体" w:cs="Segoe UI"/>
                <w:szCs w:val="21"/>
              </w:rPr>
            </w:pPr>
            <w:r>
              <w:rPr>
                <w:rFonts w:hint="eastAsia" w:ascii="宋体" w:hAnsi="宋体" w:eastAsia="宋体" w:cs="Segoe UI"/>
                <w:szCs w:val="21"/>
              </w:rPr>
              <w:t>2.分组分工，明确制作任务。</w:t>
            </w:r>
          </w:p>
          <w:p w14:paraId="4C205DC4">
            <w:pPr>
              <w:widowControl/>
              <w:spacing w:before="90"/>
              <w:rPr>
                <w:rFonts w:hint="eastAsia" w:ascii="宋体" w:hAnsi="宋体" w:eastAsia="宋体" w:cs="Segoe UI"/>
                <w:szCs w:val="21"/>
              </w:rPr>
            </w:pPr>
            <w:r>
              <w:rPr>
                <w:rFonts w:hint="eastAsia" w:ascii="宋体" w:hAnsi="宋体" w:eastAsia="宋体" w:cs="Segoe UI"/>
                <w:szCs w:val="21"/>
              </w:rPr>
              <w:t>3.学生进行实际操作，教师巡回指导，确保卫生和安全。</w:t>
            </w:r>
          </w:p>
          <w:p w14:paraId="10BA0784">
            <w:pPr>
              <w:widowControl/>
              <w:spacing w:before="90"/>
              <w:rPr>
                <w:rFonts w:hint="eastAsia" w:ascii="宋体" w:hAnsi="宋体" w:eastAsia="宋体" w:cs="Segoe UI"/>
                <w:szCs w:val="21"/>
              </w:rPr>
            </w:pPr>
            <w:r>
              <w:rPr>
                <w:rFonts w:hint="eastAsia" w:ascii="宋体" w:hAnsi="宋体" w:eastAsia="宋体" w:cs="Segoe UI"/>
                <w:szCs w:val="21"/>
              </w:rPr>
              <w:t>4.实物展示和记录，讲解制作过程和心得。</w:t>
            </w:r>
          </w:p>
          <w:p w14:paraId="4BBF083A">
            <w:pPr>
              <w:widowControl/>
              <w:spacing w:before="90"/>
              <w:rPr>
                <w:rFonts w:hint="eastAsia" w:ascii="宋体" w:hAnsi="宋体" w:eastAsia="宋体" w:cs="Segoe UI"/>
                <w:szCs w:val="21"/>
              </w:rPr>
            </w:pPr>
            <w:r>
              <w:rPr>
                <w:rFonts w:hint="eastAsia" w:ascii="宋体" w:hAnsi="宋体" w:eastAsia="宋体" w:cs="Segoe UI"/>
                <w:szCs w:val="21"/>
              </w:rPr>
              <w:t>5.分享作品，总结经验。</w:t>
            </w:r>
          </w:p>
        </w:tc>
        <w:tc>
          <w:tcPr>
            <w:tcW w:w="1087" w:type="dxa"/>
            <w:vAlign w:val="center"/>
          </w:tcPr>
          <w:p w14:paraId="7AAB7887">
            <w:pPr>
              <w:jc w:val="center"/>
              <w:rPr>
                <w:rFonts w:hint="eastAsia" w:ascii="宋体" w:hAnsi="宋体" w:eastAsia="宋体" w:cs="宋体"/>
                <w:szCs w:val="21"/>
              </w:rPr>
            </w:pPr>
            <w:r>
              <w:rPr>
                <w:rFonts w:hint="eastAsia" w:ascii="宋体" w:hAnsi="宋体" w:eastAsia="宋体" w:cs="宋体"/>
                <w:szCs w:val="21"/>
              </w:rPr>
              <w:t>食品制作</w:t>
            </w:r>
          </w:p>
        </w:tc>
        <w:tc>
          <w:tcPr>
            <w:tcW w:w="2032" w:type="dxa"/>
            <w:vAlign w:val="center"/>
          </w:tcPr>
          <w:p w14:paraId="1F3BBC9F">
            <w:pPr>
              <w:widowControl/>
              <w:spacing w:before="90"/>
              <w:jc w:val="left"/>
              <w:rPr>
                <w:rFonts w:hint="eastAsia" w:ascii="宋体" w:hAnsi="宋体" w:eastAsia="宋体" w:cs="Segoe UI"/>
                <w:szCs w:val="21"/>
              </w:rPr>
            </w:pPr>
            <w:r>
              <w:rPr>
                <w:rFonts w:hint="eastAsia" w:ascii="宋体" w:hAnsi="宋体" w:eastAsia="宋体" w:cs="Segoe UI"/>
                <w:szCs w:val="21"/>
              </w:rPr>
              <w:t>掌握点心食品制作的基本技巧。培养学生的动手能力和团队协作精神。</w:t>
            </w:r>
          </w:p>
        </w:tc>
      </w:tr>
    </w:tbl>
    <w:p w14:paraId="46B5E13B">
      <w:pPr>
        <w:spacing w:before="62" w:beforeLines="20" w:after="62" w:afterLines="20" w:line="360" w:lineRule="auto"/>
        <w:jc w:val="left"/>
        <w:rPr>
          <w:rFonts w:ascii="Times New Roman" w:hAnsi="Times New Roman" w:eastAsia="宋体" w:cs="Times New Roman"/>
          <w:b/>
          <w:sz w:val="24"/>
        </w:rPr>
      </w:pPr>
      <w:bookmarkStart w:id="286" w:name="_Toc13973"/>
      <w:bookmarkStart w:id="287" w:name="_Toc8959"/>
      <w:bookmarkStart w:id="288" w:name="_Toc26523"/>
      <w:bookmarkStart w:id="289" w:name="_Toc4986"/>
      <w:bookmarkStart w:id="290" w:name="_Toc15096"/>
      <w:bookmarkStart w:id="291" w:name="_Toc15252"/>
      <w:bookmarkStart w:id="292" w:name="_Toc16191"/>
      <w:r>
        <w:rPr>
          <w:rFonts w:hint="eastAsia" w:ascii="Times New Roman" w:hAnsi="Times New Roman" w:eastAsia="宋体" w:cs="Times New Roman"/>
          <w:b/>
          <w:sz w:val="24"/>
        </w:rPr>
        <w:t>六、有关说明</w:t>
      </w:r>
      <w:bookmarkEnd w:id="286"/>
      <w:bookmarkEnd w:id="287"/>
      <w:bookmarkEnd w:id="288"/>
      <w:bookmarkEnd w:id="289"/>
      <w:bookmarkEnd w:id="290"/>
      <w:bookmarkEnd w:id="291"/>
      <w:bookmarkEnd w:id="292"/>
    </w:p>
    <w:p w14:paraId="4A8E607C">
      <w:pPr>
        <w:spacing w:line="360" w:lineRule="auto"/>
        <w:ind w:firstLine="422" w:firstLineChars="200"/>
        <w:jc w:val="left"/>
        <w:outlineLvl w:val="1"/>
        <w:rPr>
          <w:rFonts w:ascii="Times New Roman" w:hAnsi="Times New Roman" w:eastAsia="宋体" w:cs="Times New Roman"/>
          <w:b/>
          <w:szCs w:val="21"/>
        </w:rPr>
      </w:pPr>
      <w:bookmarkStart w:id="293" w:name="_Toc22253"/>
      <w:r>
        <w:rPr>
          <w:rFonts w:hint="eastAsia" w:ascii="Times New Roman" w:hAnsi="Times New Roman" w:eastAsia="宋体" w:cs="Times New Roman"/>
          <w:b/>
          <w:szCs w:val="21"/>
        </w:rPr>
        <w:t>（一）持续改进</w:t>
      </w:r>
      <w:bookmarkEnd w:id="293"/>
    </w:p>
    <w:p w14:paraId="53185CE6">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第一，劳动教育部分活动无法开展，如社会活动类，学生实践受到一定的限制，在今后的教学中要更多的为师范生提供多维度劳动的机会，以提高师范生的感性认识。后期将尝试增加课外实践环节，提升课程教学质量。新时代加强大学生劳动教育要丰富劳动教育形式，顺应时代发展潮流，积极探索劳动教育与德育、智育、体育、美育相融合的劳动教育实践活动。</w:t>
      </w:r>
    </w:p>
    <w:p w14:paraId="68B0B3F3">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第二，丰富课程考核方式，完善评价方式。思考如何在个人自评、同伴互评、小组互评、以及教师评价相结合的方式中保证课程评价结果的客观性。</w:t>
      </w:r>
    </w:p>
    <w:p w14:paraId="5DF46DA8">
      <w:pPr>
        <w:spacing w:line="360" w:lineRule="auto"/>
        <w:ind w:firstLine="422" w:firstLineChars="200"/>
        <w:jc w:val="left"/>
        <w:outlineLvl w:val="1"/>
        <w:rPr>
          <w:rFonts w:ascii="Times New Roman" w:hAnsi="Times New Roman" w:eastAsia="宋体" w:cs="Times New Roman"/>
          <w:b/>
          <w:szCs w:val="21"/>
        </w:rPr>
      </w:pPr>
      <w:bookmarkStart w:id="294" w:name="_Toc11059"/>
      <w:r>
        <w:rPr>
          <w:rFonts w:hint="eastAsia" w:ascii="Times New Roman" w:hAnsi="Times New Roman" w:eastAsia="宋体" w:cs="Times New Roman"/>
          <w:b/>
          <w:szCs w:val="21"/>
        </w:rPr>
        <w:t>（二）建议教材</w:t>
      </w:r>
      <w:bookmarkEnd w:id="294"/>
    </w:p>
    <w:p w14:paraId="051FB3F4">
      <w:pPr>
        <w:widowControl/>
        <w:spacing w:line="400" w:lineRule="exact"/>
        <w:ind w:firstLine="369" w:firstLineChars="176"/>
        <w:jc w:val="left"/>
        <w:rPr>
          <w:rFonts w:hint="eastAsia" w:ascii="宋体" w:hAnsi="宋体" w:eastAsia="宋体" w:cs="宋体"/>
          <w:kern w:val="0"/>
          <w:szCs w:val="21"/>
        </w:rPr>
      </w:pPr>
      <w:r>
        <w:rPr>
          <w:rFonts w:hint="eastAsia" w:ascii="宋体" w:hAnsi="宋体" w:eastAsia="宋体" w:cs="宋体"/>
          <w:kern w:val="0"/>
          <w:szCs w:val="21"/>
        </w:rPr>
        <w:t>《新时代大学生劳动教育》，丁晓昌、顾建军主编，上海交通大学出版社，2021年5月。</w:t>
      </w:r>
    </w:p>
    <w:p w14:paraId="2C475D07">
      <w:pPr>
        <w:spacing w:line="360" w:lineRule="auto"/>
        <w:ind w:firstLine="422" w:firstLineChars="200"/>
        <w:jc w:val="left"/>
        <w:outlineLvl w:val="1"/>
        <w:rPr>
          <w:rFonts w:ascii="Times New Roman" w:hAnsi="Times New Roman" w:eastAsia="宋体" w:cs="Times New Roman"/>
          <w:b/>
          <w:szCs w:val="21"/>
        </w:rPr>
      </w:pPr>
      <w:bookmarkStart w:id="295" w:name="_Toc15963"/>
      <w:r>
        <w:rPr>
          <w:rFonts w:hint="eastAsia" w:ascii="Times New Roman" w:hAnsi="Times New Roman" w:eastAsia="宋体" w:cs="Times New Roman"/>
          <w:b/>
          <w:szCs w:val="21"/>
        </w:rPr>
        <w:t>（三）参考书目</w:t>
      </w:r>
      <w:bookmarkEnd w:id="295"/>
    </w:p>
    <w:p w14:paraId="48C890A9">
      <w:pPr>
        <w:widowControl/>
        <w:spacing w:line="400" w:lineRule="exact"/>
        <w:ind w:firstLine="369" w:firstLineChars="176"/>
        <w:jc w:val="left"/>
        <w:rPr>
          <w:rFonts w:hint="eastAsia" w:ascii="宋体" w:hAnsi="宋体" w:eastAsia="宋体" w:cs="宋体"/>
          <w:bCs/>
          <w:kern w:val="0"/>
          <w:szCs w:val="21"/>
        </w:rPr>
      </w:pPr>
      <w:r>
        <w:rPr>
          <w:rFonts w:hint="eastAsia" w:ascii="宋体" w:hAnsi="宋体" w:eastAsia="宋体" w:cs="宋体"/>
          <w:bCs/>
          <w:kern w:val="0"/>
          <w:szCs w:val="21"/>
        </w:rPr>
        <w:t>（1）《大学生劳动教育》，陈国维主编，高等教育出版社，2020年8月。</w:t>
      </w:r>
    </w:p>
    <w:p w14:paraId="5162894C">
      <w:pPr>
        <w:widowControl/>
        <w:spacing w:line="400" w:lineRule="exact"/>
        <w:ind w:firstLine="369" w:firstLineChars="176"/>
        <w:jc w:val="left"/>
        <w:rPr>
          <w:rFonts w:hint="eastAsia" w:ascii="宋体" w:hAnsi="宋体" w:eastAsia="宋体" w:cs="宋体"/>
          <w:bCs/>
          <w:kern w:val="0"/>
          <w:szCs w:val="21"/>
        </w:rPr>
      </w:pPr>
      <w:r>
        <w:rPr>
          <w:rFonts w:hint="eastAsia" w:ascii="宋体" w:hAnsi="宋体" w:eastAsia="宋体" w:cs="宋体"/>
          <w:bCs/>
          <w:kern w:val="0"/>
          <w:szCs w:val="21"/>
        </w:rPr>
        <w:t>（2）《新时代大学生劳动教育》，柳友荣等编著，高等教育出版社，2</w:t>
      </w:r>
      <w:r>
        <w:rPr>
          <w:rFonts w:ascii="宋体" w:hAnsi="宋体" w:eastAsia="宋体" w:cs="宋体"/>
          <w:bCs/>
          <w:kern w:val="0"/>
          <w:szCs w:val="21"/>
        </w:rPr>
        <w:t>021</w:t>
      </w:r>
      <w:r>
        <w:rPr>
          <w:rFonts w:hint="eastAsia" w:ascii="宋体" w:hAnsi="宋体" w:eastAsia="宋体" w:cs="宋体"/>
          <w:bCs/>
          <w:kern w:val="0"/>
          <w:szCs w:val="21"/>
        </w:rPr>
        <w:t>年8月。</w:t>
      </w:r>
    </w:p>
    <w:p w14:paraId="4C3A03A6">
      <w:pPr>
        <w:rPr>
          <w:rFonts w:hint="eastAsia" w:ascii="等线" w:hAnsi="等线" w:eastAsia="等线" w:cs="Times New Roman"/>
          <w:szCs w:val="22"/>
        </w:rPr>
      </w:pPr>
    </w:p>
    <w:p w14:paraId="68AAC561">
      <w:pPr>
        <w:spacing w:line="360" w:lineRule="auto"/>
        <w:ind w:right="1440"/>
        <w:jc w:val="right"/>
        <w:rPr>
          <w:rFonts w:ascii="Times New Roman" w:hAnsi="Times New Roman" w:eastAsia="宋体" w:cs="Times New Roman"/>
          <w:szCs w:val="21"/>
        </w:rPr>
      </w:pPr>
      <w:r>
        <w:rPr>
          <w:rFonts w:hint="eastAsia" w:ascii="Times New Roman" w:hAnsi="Times New Roman" w:eastAsia="宋体" w:cs="Times New Roman"/>
          <w:szCs w:val="21"/>
        </w:rPr>
        <w:t>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周  晗</w:t>
      </w:r>
    </w:p>
    <w:p w14:paraId="7A62FE6A">
      <w:pPr>
        <w:wordWrap w:val="0"/>
        <w:spacing w:line="360" w:lineRule="auto"/>
        <w:ind w:right="1440"/>
        <w:jc w:val="right"/>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王  健</w:t>
      </w:r>
    </w:p>
    <w:p w14:paraId="42C72317">
      <w:pPr>
        <w:spacing w:line="360" w:lineRule="auto"/>
        <w:ind w:right="1200"/>
        <w:jc w:val="center"/>
        <w:rPr>
          <w:rFonts w:ascii="Times New Roman" w:hAnsi="Times New Roman" w:eastAsia="宋体" w:cs="Times New Roman"/>
          <w:szCs w:val="21"/>
        </w:rPr>
      </w:pPr>
      <w:r>
        <w:rPr>
          <w:rFonts w:hint="eastAsia" w:ascii="Times New Roman" w:hAnsi="Times New Roman" w:eastAsia="宋体" w:cs="Times New Roman"/>
          <w:szCs w:val="21"/>
        </w:rPr>
        <w:t xml:space="preserve">                                              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6C9A097C">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 xml:space="preserve">                                           批准时间：2025年7月1日</w:t>
      </w:r>
    </w:p>
    <w:p w14:paraId="6C6ADBF8">
      <w:pPr>
        <w:rPr>
          <w:sz w:val="44"/>
          <w:szCs w:val="44"/>
        </w:rPr>
      </w:pPr>
      <w:bookmarkStart w:id="296" w:name="_Toc4812"/>
      <w:bookmarkStart w:id="297" w:name="_Toc24366"/>
      <w:bookmarkStart w:id="298" w:name="_Toc28679"/>
      <w:r>
        <w:rPr>
          <w:rFonts w:hint="eastAsia"/>
          <w:sz w:val="44"/>
          <w:szCs w:val="44"/>
        </w:rPr>
        <w:br w:type="page"/>
      </w:r>
    </w:p>
    <w:p w14:paraId="5A85B819">
      <w:pPr>
        <w:spacing w:line="360" w:lineRule="auto"/>
        <w:jc w:val="center"/>
        <w:outlineLvl w:val="0"/>
        <w:rPr>
          <w:rFonts w:ascii="Times New Roman" w:hAnsi="Times New Roman" w:eastAsia="宋体" w:cs="Times New Roman"/>
          <w:b/>
          <w:sz w:val="44"/>
          <w:szCs w:val="44"/>
        </w:rPr>
      </w:pPr>
      <w:bookmarkStart w:id="299" w:name="_Toc5430"/>
      <w:r>
        <w:rPr>
          <w:rFonts w:hint="eastAsia" w:ascii="Times New Roman" w:hAnsi="Times New Roman" w:eastAsia="宋体" w:cs="Times New Roman"/>
          <w:b/>
          <w:sz w:val="44"/>
          <w:szCs w:val="44"/>
        </w:rPr>
        <w:t>《军事理论》课程教学大纲</w:t>
      </w:r>
      <w:bookmarkEnd w:id="296"/>
      <w:bookmarkEnd w:id="297"/>
      <w:bookmarkEnd w:id="298"/>
      <w:bookmarkEnd w:id="299"/>
    </w:p>
    <w:p w14:paraId="56F46C6D">
      <w:pPr>
        <w:spacing w:line="360" w:lineRule="auto"/>
        <w:jc w:val="center"/>
      </w:pPr>
      <w:bookmarkStart w:id="300" w:name="_Toc17514"/>
      <w:r>
        <w:rPr>
          <w:rFonts w:hint="eastAsia" w:ascii="Times New Roman" w:hAnsi="Times New Roman" w:eastAsia="宋体" w:cs="Times New Roman"/>
          <w:b/>
          <w:bCs/>
          <w:sz w:val="28"/>
          <w:szCs w:val="28"/>
        </w:rPr>
        <w:t>（Military theory）</w:t>
      </w:r>
      <w:bookmarkEnd w:id="300"/>
    </w:p>
    <w:p w14:paraId="79F0672A">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课程名称：军事理论</w:t>
      </w:r>
    </w:p>
    <w:p w14:paraId="16B2A0BC">
      <w:pPr>
        <w:spacing w:line="360" w:lineRule="auto"/>
        <w:ind w:firstLine="482" w:firstLineChars="200"/>
        <w:rPr>
          <w:rFonts w:hint="eastAsia" w:ascii="宋体" w:hAnsi="宋体" w:eastAsia="宋体" w:cs="Times New Roman"/>
          <w:b/>
          <w:bCs/>
          <w:kern w:val="0"/>
          <w:sz w:val="24"/>
          <w:szCs w:val="22"/>
        </w:rPr>
      </w:pPr>
      <w:r>
        <w:rPr>
          <w:rFonts w:ascii="宋体" w:hAnsi="宋体" w:eastAsia="宋体" w:cs="Times New Roman"/>
          <w:b/>
          <w:bCs/>
          <w:kern w:val="0"/>
          <w:sz w:val="24"/>
        </w:rPr>
        <w:t>课程代码：</w:t>
      </w:r>
      <w:r>
        <w:rPr>
          <w:rFonts w:hint="eastAsia" w:ascii="宋体" w:hAnsi="宋体" w:eastAsia="宋体" w:cs="Times New Roman"/>
          <w:b/>
          <w:bCs/>
          <w:kern w:val="0"/>
          <w:sz w:val="24"/>
          <w:szCs w:val="22"/>
        </w:rPr>
        <w:t>0000002</w:t>
      </w:r>
    </w:p>
    <w:p w14:paraId="5DCD041E">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学    分：</w:t>
      </w:r>
      <w:r>
        <w:rPr>
          <w:rFonts w:hint="eastAsia" w:ascii="宋体" w:hAnsi="宋体" w:eastAsia="宋体" w:cs="Times New Roman"/>
          <w:b/>
          <w:bCs/>
          <w:kern w:val="0"/>
          <w:sz w:val="24"/>
          <w:szCs w:val="22"/>
        </w:rPr>
        <w:t>2</w:t>
      </w:r>
    </w:p>
    <w:p w14:paraId="1D23D91A">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学    时：</w:t>
      </w:r>
      <w:r>
        <w:rPr>
          <w:rFonts w:hint="eastAsia" w:ascii="宋体" w:hAnsi="宋体" w:eastAsia="宋体" w:cs="Times New Roman"/>
          <w:b/>
          <w:bCs/>
          <w:kern w:val="0"/>
          <w:sz w:val="24"/>
        </w:rPr>
        <w:t>32</w:t>
      </w:r>
      <w:r>
        <w:rPr>
          <w:rFonts w:ascii="宋体" w:hAnsi="宋体" w:eastAsia="宋体" w:cs="Times New Roman"/>
          <w:b/>
          <w:bCs/>
          <w:kern w:val="0"/>
          <w:sz w:val="24"/>
        </w:rPr>
        <w:t xml:space="preserve"> </w:t>
      </w:r>
      <w:r>
        <w:rPr>
          <w:rFonts w:hint="eastAsia" w:ascii="宋体" w:hAnsi="宋体" w:eastAsia="宋体" w:cs="宋体"/>
          <w:b/>
          <w:bCs/>
          <w:kern w:val="0"/>
          <w:sz w:val="24"/>
        </w:rPr>
        <w:t>（其中：讲授学时32， 实践学时0）</w:t>
      </w:r>
    </w:p>
    <w:p w14:paraId="034C8AFF">
      <w:pPr>
        <w:spacing w:line="360" w:lineRule="auto"/>
        <w:ind w:firstLine="482" w:firstLineChars="200"/>
        <w:jc w:val="left"/>
        <w:rPr>
          <w:rFonts w:hint="eastAsia" w:ascii="宋体" w:hAnsi="宋体" w:eastAsia="宋体" w:cs="Times New Roman"/>
          <w:b/>
          <w:bCs/>
          <w:sz w:val="24"/>
          <w:szCs w:val="22"/>
        </w:rPr>
      </w:pPr>
      <w:r>
        <w:rPr>
          <w:rFonts w:ascii="宋体" w:hAnsi="宋体" w:eastAsia="宋体" w:cs="Times New Roman"/>
          <w:b/>
          <w:bCs/>
          <w:kern w:val="0"/>
          <w:sz w:val="24"/>
          <w:lang w:val="zh-CN"/>
        </w:rPr>
        <w:t>先修课程：</w:t>
      </w:r>
      <w:r>
        <w:rPr>
          <w:rFonts w:hint="eastAsia" w:ascii="宋体" w:hAnsi="宋体" w:eastAsia="宋体" w:cs="Times New Roman"/>
          <w:b/>
          <w:bCs/>
          <w:kern w:val="0"/>
          <w:sz w:val="24"/>
        </w:rPr>
        <w:t>无</w:t>
      </w:r>
    </w:p>
    <w:p w14:paraId="2A7D163B">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适用年级：大一年级</w:t>
      </w:r>
    </w:p>
    <w:p w14:paraId="1BCA94C1">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适用专业：</w:t>
      </w:r>
      <w:r>
        <w:rPr>
          <w:rFonts w:hint="eastAsia" w:ascii="宋体" w:hAnsi="宋体" w:eastAsia="宋体" w:cs="Times New Roman"/>
          <w:b/>
          <w:bCs/>
          <w:kern w:val="0"/>
          <w:sz w:val="24"/>
        </w:rPr>
        <w:t>学校全部专业</w:t>
      </w:r>
    </w:p>
    <w:p w14:paraId="45B966E3">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数字化课程链接：无</w:t>
      </w:r>
    </w:p>
    <w:p w14:paraId="74ACE3D6">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课程归口：学生工作部（处）</w:t>
      </w:r>
    </w:p>
    <w:p w14:paraId="27AD6CA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432CEE8C">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本课程是所有专业的通识必修课。通过本课程的学习，要求学生以马克思列宁主义、毛泽东思想、邓小平理论、“三个代表”重要思想、科学发展观和习近平新时代中国特色社会主义思想为指导，贯彻和落实科学发展观，按照教育要面向现代化、面向世界、面向未来的要求，适应我国人才培养战略目标和加强国防后备力量建设的需要，为培养高素质的社会主义事业的建设者和保卫者服务。</w:t>
      </w:r>
    </w:p>
    <w:p w14:paraId="2DC84215">
      <w:pPr>
        <w:spacing w:before="62" w:beforeLines="20" w:after="62" w:afterLines="20" w:line="360" w:lineRule="auto"/>
        <w:jc w:val="left"/>
        <w:rPr>
          <w:b/>
          <w:szCs w:val="21"/>
        </w:rPr>
      </w:pPr>
      <w:r>
        <w:rPr>
          <w:rFonts w:hint="eastAsia" w:ascii="Times New Roman" w:hAnsi="Times New Roman" w:eastAsia="宋体" w:cs="Times New Roman"/>
          <w:b/>
          <w:sz w:val="24"/>
        </w:rPr>
        <w:t>二、课程目标</w:t>
      </w:r>
    </w:p>
    <w:p w14:paraId="769BF592">
      <w:pPr>
        <w:spacing w:line="360" w:lineRule="auto"/>
        <w:ind w:firstLine="482"/>
        <w:jc w:val="left"/>
        <w:rPr>
          <w:szCs w:val="21"/>
        </w:rPr>
      </w:pPr>
      <w:r>
        <w:rPr>
          <w:rFonts w:hint="eastAsia"/>
          <w:szCs w:val="21"/>
        </w:rPr>
        <w:t>目标</w:t>
      </w:r>
      <w:r>
        <w:rPr>
          <w:szCs w:val="21"/>
        </w:rPr>
        <w:t>1.</w:t>
      </w:r>
      <w:r>
        <w:rPr>
          <w:rFonts w:hint="eastAsia" w:ascii="宋体" w:hAnsi="宋体" w:cs="宋体"/>
          <w:szCs w:val="21"/>
        </w:rPr>
        <w:t>使学生掌握基本军事理论</w:t>
      </w:r>
      <w:r>
        <w:rPr>
          <w:rFonts w:hint="eastAsia"/>
          <w:szCs w:val="21"/>
        </w:rPr>
        <w:t>。</w:t>
      </w:r>
    </w:p>
    <w:p w14:paraId="5828C8FD">
      <w:pPr>
        <w:spacing w:line="360" w:lineRule="auto"/>
        <w:ind w:firstLine="482"/>
        <w:jc w:val="left"/>
        <w:rPr>
          <w:szCs w:val="21"/>
        </w:rPr>
      </w:pPr>
      <w:r>
        <w:rPr>
          <w:rFonts w:hint="eastAsia"/>
          <w:szCs w:val="21"/>
        </w:rPr>
        <w:t>目标</w:t>
      </w:r>
      <w:r>
        <w:rPr>
          <w:szCs w:val="21"/>
        </w:rPr>
        <w:t>2.</w:t>
      </w:r>
      <w:r>
        <w:rPr>
          <w:rFonts w:hint="eastAsia" w:ascii="宋体" w:hAnsi="宋体" w:cs="宋体"/>
          <w:szCs w:val="21"/>
        </w:rPr>
        <w:t>增强学生国防观念和国家安全意识</w:t>
      </w:r>
      <w:r>
        <w:rPr>
          <w:szCs w:val="21"/>
        </w:rPr>
        <w:t xml:space="preserve"> </w:t>
      </w:r>
      <w:r>
        <w:rPr>
          <w:rFonts w:hint="eastAsia"/>
          <w:szCs w:val="21"/>
        </w:rPr>
        <w:t>。</w:t>
      </w:r>
    </w:p>
    <w:p w14:paraId="2FB381EE">
      <w:pPr>
        <w:spacing w:line="360" w:lineRule="auto"/>
        <w:ind w:firstLine="482"/>
        <w:jc w:val="left"/>
        <w:rPr>
          <w:szCs w:val="21"/>
        </w:rPr>
      </w:pPr>
      <w:r>
        <w:rPr>
          <w:rFonts w:hint="eastAsia"/>
          <w:szCs w:val="21"/>
        </w:rPr>
        <w:t>目标</w:t>
      </w:r>
      <w:r>
        <w:rPr>
          <w:szCs w:val="21"/>
        </w:rPr>
        <w:t>3.</w:t>
      </w:r>
      <w:r>
        <w:rPr>
          <w:rFonts w:hint="eastAsia" w:ascii="宋体" w:hAnsi="宋体" w:cs="宋体"/>
          <w:szCs w:val="21"/>
        </w:rPr>
        <w:t>强化学生爱国主义、集体主义观念 。</w:t>
      </w:r>
    </w:p>
    <w:p w14:paraId="148C5025">
      <w:pPr>
        <w:spacing w:line="360" w:lineRule="auto"/>
        <w:ind w:firstLine="482"/>
        <w:jc w:val="left"/>
        <w:rPr>
          <w:szCs w:val="21"/>
        </w:rPr>
      </w:pPr>
      <w:r>
        <w:rPr>
          <w:rFonts w:hint="eastAsia"/>
          <w:szCs w:val="21"/>
        </w:rPr>
        <w:t>目标4</w:t>
      </w:r>
      <w:r>
        <w:rPr>
          <w:szCs w:val="21"/>
        </w:rPr>
        <w:t>.</w:t>
      </w:r>
      <w:r>
        <w:rPr>
          <w:rFonts w:hint="eastAsia" w:ascii="宋体" w:hAnsi="宋体" w:cs="宋体"/>
          <w:szCs w:val="21"/>
        </w:rPr>
        <w:t>加强学生组织纪律性，促进综合素质的提高。</w:t>
      </w:r>
    </w:p>
    <w:p w14:paraId="65EB5642">
      <w:pPr>
        <w:spacing w:line="360" w:lineRule="auto"/>
        <w:ind w:firstLine="482"/>
        <w:jc w:val="left"/>
        <w:rPr>
          <w:rFonts w:hint="eastAsia" w:ascii="宋体" w:hAnsi="宋体" w:cs="宋体"/>
          <w:szCs w:val="21"/>
          <w:highlight w:val="yellow"/>
        </w:rPr>
      </w:pPr>
      <w:r>
        <w:rPr>
          <w:rFonts w:hint="eastAsia"/>
          <w:szCs w:val="21"/>
        </w:rPr>
        <w:t>目标5</w:t>
      </w:r>
      <w:r>
        <w:rPr>
          <w:szCs w:val="21"/>
        </w:rPr>
        <w:t>.</w:t>
      </w:r>
      <w:r>
        <w:rPr>
          <w:rFonts w:hint="eastAsia" w:ascii="宋体" w:hAnsi="宋体" w:cs="宋体"/>
          <w:szCs w:val="21"/>
        </w:rPr>
        <w:t>为中国人民解放军训练储备合格后备兵员和培养预备役军官打下坚实基础 。</w:t>
      </w:r>
    </w:p>
    <w:p w14:paraId="1059125F">
      <w:pPr>
        <w:spacing w:line="360" w:lineRule="auto"/>
        <w:ind w:firstLine="482"/>
        <w:jc w:val="left"/>
        <w:rPr>
          <w:rFonts w:hint="eastAsia" w:ascii="宋体" w:hAnsi="宋体" w:cs="宋体"/>
          <w:szCs w:val="21"/>
        </w:rPr>
      </w:pPr>
      <w:r>
        <w:rPr>
          <w:rFonts w:hint="eastAsia" w:ascii="宋体" w:hAnsi="宋体" w:cs="宋体"/>
          <w:szCs w:val="21"/>
        </w:rPr>
        <w:t>课程目标与毕业要求观测点的对应关系如表所示。</w:t>
      </w:r>
    </w:p>
    <w:tbl>
      <w:tblPr>
        <w:tblStyle w:val="11"/>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5971"/>
        <w:gridCol w:w="1330"/>
      </w:tblGrid>
      <w:tr w14:paraId="0C08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dxa"/>
          </w:tcPr>
          <w:p w14:paraId="44228BAC">
            <w:pPr>
              <w:pStyle w:val="38"/>
              <w:spacing w:line="360" w:lineRule="auto"/>
              <w:jc w:val="center"/>
              <w:rPr>
                <w:rFonts w:ascii="宋体" w:hAnsi="宋体" w:eastAsia="宋体" w:cs="宋体"/>
                <w:b/>
                <w:sz w:val="21"/>
                <w:szCs w:val="21"/>
              </w:rPr>
            </w:pPr>
            <w:r>
              <w:rPr>
                <w:rFonts w:ascii="宋体" w:hAnsi="宋体" w:eastAsia="宋体" w:cs="宋体"/>
                <w:b/>
                <w:sz w:val="21"/>
                <w:szCs w:val="21"/>
              </w:rPr>
              <w:t>毕业要求</w:t>
            </w:r>
          </w:p>
        </w:tc>
        <w:tc>
          <w:tcPr>
            <w:tcW w:w="5971" w:type="dxa"/>
          </w:tcPr>
          <w:p w14:paraId="7C55120F">
            <w:pPr>
              <w:pStyle w:val="38"/>
              <w:spacing w:line="360" w:lineRule="auto"/>
              <w:jc w:val="center"/>
              <w:rPr>
                <w:rFonts w:ascii="宋体" w:hAnsi="宋体" w:eastAsia="宋体" w:cs="宋体"/>
                <w:b/>
                <w:sz w:val="21"/>
                <w:szCs w:val="21"/>
              </w:rPr>
            </w:pPr>
            <w:r>
              <w:rPr>
                <w:rFonts w:ascii="宋体" w:hAnsi="宋体" w:eastAsia="宋体" w:cs="宋体"/>
                <w:b/>
                <w:bCs/>
                <w:sz w:val="21"/>
                <w:szCs w:val="21"/>
              </w:rPr>
              <w:t>毕业要求指标点</w:t>
            </w:r>
          </w:p>
        </w:tc>
        <w:tc>
          <w:tcPr>
            <w:tcW w:w="1330" w:type="dxa"/>
          </w:tcPr>
          <w:p w14:paraId="66A2BBB6">
            <w:pPr>
              <w:pStyle w:val="38"/>
              <w:spacing w:line="360" w:lineRule="auto"/>
              <w:jc w:val="center"/>
              <w:rPr>
                <w:rFonts w:ascii="宋体" w:hAnsi="宋体" w:eastAsia="宋体" w:cs="宋体"/>
                <w:b/>
                <w:sz w:val="21"/>
                <w:szCs w:val="21"/>
              </w:rPr>
            </w:pPr>
            <w:r>
              <w:rPr>
                <w:rFonts w:ascii="宋体" w:hAnsi="宋体" w:eastAsia="宋体" w:cs="宋体"/>
                <w:b/>
                <w:sz w:val="21"/>
                <w:szCs w:val="21"/>
              </w:rPr>
              <w:t>课程目标</w:t>
            </w:r>
          </w:p>
        </w:tc>
      </w:tr>
      <w:tr w14:paraId="146D4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dxa"/>
            <w:vAlign w:val="center"/>
          </w:tcPr>
          <w:p w14:paraId="31F81C34">
            <w:pPr>
              <w:pStyle w:val="38"/>
              <w:adjustRightInd/>
              <w:spacing w:line="360" w:lineRule="auto"/>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毕业要求1：</w:t>
            </w:r>
          </w:p>
          <w:p w14:paraId="165EC80A">
            <w:pPr>
              <w:pStyle w:val="38"/>
              <w:adjustRightInd/>
              <w:spacing w:line="360" w:lineRule="auto"/>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师德规范</w:t>
            </w:r>
          </w:p>
        </w:tc>
        <w:tc>
          <w:tcPr>
            <w:tcW w:w="5971" w:type="dxa"/>
            <w:vAlign w:val="center"/>
          </w:tcPr>
          <w:p w14:paraId="4D2CF69B">
            <w:pPr>
              <w:pStyle w:val="38"/>
              <w:adjustRightInd/>
              <w:spacing w:line="360" w:lineRule="auto"/>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330" w:type="dxa"/>
            <w:vAlign w:val="center"/>
          </w:tcPr>
          <w:p w14:paraId="50FD8361">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课程目标1</w:t>
            </w:r>
          </w:p>
          <w:p w14:paraId="28A60FBC">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课程目标2</w:t>
            </w:r>
          </w:p>
          <w:p w14:paraId="05B65D91">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课程目标3</w:t>
            </w:r>
          </w:p>
          <w:p w14:paraId="403034FB">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课程目标4</w:t>
            </w:r>
          </w:p>
        </w:tc>
      </w:tr>
      <w:tr w14:paraId="1DEF5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2" w:type="dxa"/>
            <w:vAlign w:val="center"/>
          </w:tcPr>
          <w:p w14:paraId="3F86A6AB">
            <w:pPr>
              <w:pStyle w:val="38"/>
              <w:adjustRightInd/>
              <w:spacing w:line="360" w:lineRule="auto"/>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毕业要求3：</w:t>
            </w:r>
          </w:p>
          <w:p w14:paraId="2BB4B17C">
            <w:pPr>
              <w:pStyle w:val="38"/>
              <w:adjustRightInd/>
              <w:spacing w:line="360" w:lineRule="auto"/>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学科素养</w:t>
            </w:r>
          </w:p>
        </w:tc>
        <w:tc>
          <w:tcPr>
            <w:tcW w:w="5971" w:type="dxa"/>
            <w:vAlign w:val="center"/>
          </w:tcPr>
          <w:p w14:paraId="4E09A0D6">
            <w:pPr>
              <w:adjustRightInd w:val="0"/>
              <w:snapToGrid w:val="0"/>
              <w:spacing w:line="360" w:lineRule="auto"/>
              <w:rPr>
                <w:rFonts w:hint="eastAsia" w:asciiTheme="minorEastAsia" w:hAnsiTheme="minorEastAsia" w:cstheme="minorEastAsia"/>
                <w:color w:val="000000"/>
                <w:kern w:val="0"/>
                <w:szCs w:val="21"/>
              </w:rPr>
            </w:pPr>
            <w:r>
              <w:rPr>
                <w:rFonts w:hint="eastAsia" w:ascii="宋体" w:hAnsi="宋体" w:cs="宋体"/>
                <w:kern w:val="0"/>
                <w:sz w:val="20"/>
                <w:szCs w:val="20"/>
              </w:rPr>
              <w:t>指标点</w:t>
            </w:r>
            <w:r>
              <w:rPr>
                <w:rFonts w:hint="eastAsia" w:ascii="宋体" w:hAnsi="宋体" w:cs="宋体"/>
                <w:sz w:val="20"/>
                <w:szCs w:val="20"/>
              </w:rPr>
              <w:t>3-1：【通识知识广博】具有小学教育本科专业相应的自然科学和人文社会科学知识素养。</w:t>
            </w:r>
          </w:p>
        </w:tc>
        <w:tc>
          <w:tcPr>
            <w:tcW w:w="1330" w:type="dxa"/>
            <w:vAlign w:val="center"/>
          </w:tcPr>
          <w:p w14:paraId="626C13D2">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课程目标1</w:t>
            </w:r>
          </w:p>
          <w:p w14:paraId="67415693">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课程目标2</w:t>
            </w:r>
          </w:p>
          <w:p w14:paraId="50A325D6">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课程目标5</w:t>
            </w:r>
          </w:p>
        </w:tc>
      </w:tr>
    </w:tbl>
    <w:p w14:paraId="016F40F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三、课程内容及要求</w:t>
      </w:r>
    </w:p>
    <w:p w14:paraId="241AD9A8">
      <w:pPr>
        <w:spacing w:line="360" w:lineRule="auto"/>
        <w:ind w:firstLine="413" w:firstLineChars="196"/>
        <w:rPr>
          <w:b/>
          <w:szCs w:val="21"/>
        </w:rPr>
      </w:pPr>
      <w:r>
        <w:rPr>
          <w:rFonts w:hint="eastAsia"/>
          <w:b/>
          <w:szCs w:val="21"/>
        </w:rPr>
        <w:t>（一）中国国防</w:t>
      </w:r>
    </w:p>
    <w:p w14:paraId="351CCACA">
      <w:pPr>
        <w:spacing w:line="360" w:lineRule="auto"/>
        <w:ind w:firstLine="420" w:firstLineChars="200"/>
        <w:rPr>
          <w:szCs w:val="21"/>
        </w:rPr>
      </w:pPr>
      <w:r>
        <w:rPr>
          <w:szCs w:val="21"/>
        </w:rPr>
        <w:t>1.教学内容</w:t>
      </w:r>
    </w:p>
    <w:p w14:paraId="2C9C74AC">
      <w:pPr>
        <w:spacing w:line="360" w:lineRule="auto"/>
        <w:ind w:firstLine="420" w:firstLineChars="200"/>
        <w:rPr>
          <w:szCs w:val="21"/>
        </w:rPr>
      </w:pPr>
      <w:r>
        <w:rPr>
          <w:szCs w:val="21"/>
        </w:rPr>
        <w:t>（1）</w:t>
      </w:r>
      <w:r>
        <w:rPr>
          <w:rFonts w:hint="eastAsia"/>
          <w:szCs w:val="21"/>
        </w:rPr>
        <w:t>国防概述</w:t>
      </w:r>
    </w:p>
    <w:p w14:paraId="0934BF0B">
      <w:pPr>
        <w:spacing w:line="360" w:lineRule="auto"/>
        <w:ind w:firstLine="420" w:firstLineChars="200"/>
        <w:rPr>
          <w:szCs w:val="21"/>
        </w:rPr>
      </w:pPr>
      <w:r>
        <w:rPr>
          <w:szCs w:val="21"/>
        </w:rPr>
        <w:t>（2）</w:t>
      </w:r>
      <w:r>
        <w:rPr>
          <w:rFonts w:hint="eastAsia"/>
          <w:szCs w:val="21"/>
        </w:rPr>
        <w:t>国防法规</w:t>
      </w:r>
    </w:p>
    <w:p w14:paraId="4791CEF1">
      <w:pPr>
        <w:spacing w:line="360" w:lineRule="auto"/>
        <w:ind w:firstLine="420" w:firstLineChars="200"/>
        <w:rPr>
          <w:szCs w:val="21"/>
        </w:rPr>
      </w:pPr>
      <w:r>
        <w:rPr>
          <w:rFonts w:hint="eastAsia"/>
          <w:szCs w:val="21"/>
        </w:rPr>
        <w:t>（3）国防建设</w:t>
      </w:r>
    </w:p>
    <w:p w14:paraId="3FBCCFC0">
      <w:pPr>
        <w:spacing w:line="360" w:lineRule="auto"/>
        <w:ind w:firstLine="420" w:firstLineChars="200"/>
        <w:rPr>
          <w:szCs w:val="21"/>
        </w:rPr>
      </w:pPr>
      <w:r>
        <w:rPr>
          <w:rFonts w:hint="eastAsia"/>
          <w:szCs w:val="21"/>
        </w:rPr>
        <w:t>（4）武装力量</w:t>
      </w:r>
    </w:p>
    <w:p w14:paraId="497AD2F7">
      <w:pPr>
        <w:spacing w:line="360" w:lineRule="auto"/>
        <w:ind w:firstLine="420" w:firstLineChars="200"/>
        <w:rPr>
          <w:szCs w:val="21"/>
        </w:rPr>
      </w:pPr>
      <w:r>
        <w:rPr>
          <w:rFonts w:hint="eastAsia"/>
          <w:szCs w:val="21"/>
        </w:rPr>
        <w:t>（5）国防动员</w:t>
      </w:r>
    </w:p>
    <w:p w14:paraId="07FC1BE2">
      <w:pPr>
        <w:spacing w:line="360" w:lineRule="auto"/>
        <w:ind w:firstLine="420" w:firstLineChars="200"/>
        <w:rPr>
          <w:color w:val="000000"/>
          <w:szCs w:val="21"/>
        </w:rPr>
      </w:pPr>
      <w:r>
        <w:rPr>
          <w:color w:val="000000"/>
          <w:szCs w:val="21"/>
        </w:rPr>
        <w:t>2.基本要求</w:t>
      </w:r>
    </w:p>
    <w:p w14:paraId="6DC671E2">
      <w:pPr>
        <w:spacing w:line="360" w:lineRule="auto"/>
        <w:ind w:firstLine="420" w:firstLineChars="200"/>
        <w:rPr>
          <w:rFonts w:hint="eastAsia" w:ascii="宋体" w:hAnsi="宋体" w:cs="宋体"/>
          <w:szCs w:val="21"/>
        </w:rPr>
      </w:pPr>
      <w:r>
        <w:rPr>
          <w:rFonts w:hint="eastAsia" w:ascii="宋体" w:hAnsi="宋体" w:cs="宋体"/>
          <w:szCs w:val="21"/>
        </w:rPr>
        <w:t>（1）了解我国国防历史和国防建设的现状及其发展趋势</w:t>
      </w:r>
    </w:p>
    <w:p w14:paraId="710BE18F">
      <w:pPr>
        <w:spacing w:line="360" w:lineRule="auto"/>
        <w:ind w:firstLine="420" w:firstLineChars="200"/>
        <w:rPr>
          <w:rFonts w:hint="eastAsia" w:ascii="宋体" w:hAnsi="宋体" w:cs="宋体"/>
          <w:szCs w:val="21"/>
        </w:rPr>
      </w:pPr>
      <w:r>
        <w:rPr>
          <w:rFonts w:hint="eastAsia" w:ascii="宋体" w:hAnsi="宋体" w:cs="宋体"/>
          <w:szCs w:val="21"/>
        </w:rPr>
        <w:t>（2）熟悉国防法规和国防政策的基本内容</w:t>
      </w:r>
    </w:p>
    <w:p w14:paraId="6FD931E4">
      <w:pPr>
        <w:spacing w:line="360" w:lineRule="auto"/>
        <w:ind w:firstLine="420" w:firstLineChars="200"/>
        <w:rPr>
          <w:rFonts w:hint="eastAsia" w:ascii="宋体" w:hAnsi="宋体" w:cs="宋体"/>
          <w:szCs w:val="21"/>
        </w:rPr>
      </w:pPr>
      <w:r>
        <w:rPr>
          <w:rFonts w:hint="eastAsia" w:ascii="宋体" w:hAnsi="宋体" w:cs="宋体"/>
          <w:szCs w:val="21"/>
        </w:rPr>
        <w:t>（3）明确我国武装力量的构成、性质、任务和军队建设指导思想</w:t>
      </w:r>
    </w:p>
    <w:p w14:paraId="7A5BFD46">
      <w:pPr>
        <w:spacing w:line="360" w:lineRule="auto"/>
        <w:ind w:firstLine="420" w:firstLineChars="200"/>
        <w:rPr>
          <w:rFonts w:hint="eastAsia" w:ascii="宋体" w:hAnsi="宋体" w:cs="宋体"/>
          <w:szCs w:val="21"/>
        </w:rPr>
      </w:pPr>
      <w:r>
        <w:rPr>
          <w:rFonts w:hint="eastAsia" w:ascii="宋体" w:hAnsi="宋体" w:cs="宋体"/>
          <w:szCs w:val="21"/>
        </w:rPr>
        <w:t>（4）掌握国防建设和国防动员的主要内容，增强依法建设国防的观念</w:t>
      </w:r>
    </w:p>
    <w:p w14:paraId="3610539A">
      <w:pPr>
        <w:spacing w:line="360" w:lineRule="auto"/>
        <w:ind w:firstLine="413" w:firstLineChars="196"/>
        <w:rPr>
          <w:b/>
          <w:szCs w:val="21"/>
        </w:rPr>
      </w:pPr>
      <w:r>
        <w:rPr>
          <w:rFonts w:hint="eastAsia"/>
          <w:b/>
          <w:szCs w:val="21"/>
        </w:rPr>
        <w:t>（二）国家安全</w:t>
      </w:r>
    </w:p>
    <w:p w14:paraId="2B640773">
      <w:pPr>
        <w:spacing w:line="360" w:lineRule="auto"/>
        <w:ind w:firstLine="420" w:firstLineChars="200"/>
        <w:rPr>
          <w:szCs w:val="21"/>
        </w:rPr>
      </w:pPr>
      <w:r>
        <w:rPr>
          <w:szCs w:val="21"/>
        </w:rPr>
        <w:t>1.教学内容</w:t>
      </w:r>
    </w:p>
    <w:p w14:paraId="377E8BB6">
      <w:pPr>
        <w:spacing w:line="360" w:lineRule="auto"/>
        <w:ind w:firstLine="420" w:firstLineChars="200"/>
        <w:rPr>
          <w:szCs w:val="21"/>
        </w:rPr>
      </w:pPr>
      <w:r>
        <w:rPr>
          <w:szCs w:val="21"/>
        </w:rPr>
        <w:t>（1）</w:t>
      </w:r>
      <w:r>
        <w:rPr>
          <w:rFonts w:hint="eastAsia"/>
          <w:szCs w:val="21"/>
        </w:rPr>
        <w:t>国家安全概述</w:t>
      </w:r>
    </w:p>
    <w:p w14:paraId="0CC2A328">
      <w:pPr>
        <w:spacing w:line="360" w:lineRule="auto"/>
        <w:ind w:firstLine="420" w:firstLineChars="200"/>
        <w:rPr>
          <w:szCs w:val="21"/>
        </w:rPr>
      </w:pPr>
      <w:r>
        <w:rPr>
          <w:szCs w:val="21"/>
        </w:rPr>
        <w:t>（2）</w:t>
      </w:r>
      <w:r>
        <w:rPr>
          <w:rFonts w:hint="eastAsia"/>
          <w:szCs w:val="21"/>
        </w:rPr>
        <w:t>国家安全形势</w:t>
      </w:r>
    </w:p>
    <w:p w14:paraId="21F9E770">
      <w:pPr>
        <w:spacing w:line="360" w:lineRule="auto"/>
        <w:ind w:firstLine="420" w:firstLineChars="200"/>
        <w:rPr>
          <w:szCs w:val="21"/>
        </w:rPr>
      </w:pPr>
      <w:r>
        <w:rPr>
          <w:rFonts w:hint="eastAsia"/>
          <w:szCs w:val="21"/>
        </w:rPr>
        <w:t>（3）国际战略形势</w:t>
      </w:r>
    </w:p>
    <w:p w14:paraId="0B30661E">
      <w:pPr>
        <w:spacing w:line="360" w:lineRule="auto"/>
        <w:ind w:firstLine="420" w:firstLineChars="200"/>
        <w:rPr>
          <w:color w:val="000000"/>
          <w:szCs w:val="21"/>
        </w:rPr>
      </w:pPr>
      <w:r>
        <w:rPr>
          <w:color w:val="000000"/>
          <w:szCs w:val="21"/>
        </w:rPr>
        <w:t>2.基本要求</w:t>
      </w:r>
    </w:p>
    <w:p w14:paraId="5ACA49BD">
      <w:pPr>
        <w:spacing w:line="360" w:lineRule="auto"/>
        <w:ind w:firstLine="420" w:firstLineChars="200"/>
        <w:rPr>
          <w:rFonts w:hint="eastAsia" w:ascii="宋体" w:hAnsi="宋体" w:cs="宋体"/>
          <w:color w:val="4B4B4B"/>
          <w:kern w:val="0"/>
          <w:szCs w:val="21"/>
        </w:rPr>
      </w:pPr>
      <w:r>
        <w:rPr>
          <w:rFonts w:hint="eastAsia" w:ascii="宋体" w:hAnsi="宋体" w:cs="宋体"/>
          <w:szCs w:val="21"/>
        </w:rPr>
        <w:t>（1）了解</w:t>
      </w:r>
      <w:r>
        <w:rPr>
          <w:rFonts w:hint="eastAsia" w:ascii="宋体" w:hAnsi="宋体" w:cs="宋体"/>
          <w:color w:val="4B4B4B"/>
          <w:kern w:val="0"/>
          <w:szCs w:val="21"/>
        </w:rPr>
        <w:t>国家安全的内涵、原则、总体安全观</w:t>
      </w:r>
    </w:p>
    <w:p w14:paraId="1D7BC462">
      <w:pPr>
        <w:spacing w:line="360" w:lineRule="auto"/>
        <w:ind w:firstLine="420" w:firstLineChars="200"/>
        <w:rPr>
          <w:rFonts w:hint="eastAsia" w:ascii="宋体" w:hAnsi="宋体" w:cs="宋体"/>
          <w:color w:val="4B4B4B"/>
          <w:kern w:val="0"/>
          <w:szCs w:val="21"/>
        </w:rPr>
      </w:pPr>
      <w:r>
        <w:rPr>
          <w:rFonts w:hint="eastAsia" w:ascii="宋体" w:hAnsi="宋体" w:cs="宋体"/>
          <w:szCs w:val="21"/>
        </w:rPr>
        <w:t>（2）</w:t>
      </w:r>
      <w:r>
        <w:rPr>
          <w:rFonts w:hint="eastAsia" w:ascii="宋体" w:hAnsi="宋体" w:cs="宋体"/>
          <w:color w:val="4B4B4B"/>
          <w:kern w:val="0"/>
          <w:szCs w:val="21"/>
        </w:rPr>
        <w:t>我国地缘环境基本概况、地缘安全、新形势下的国家安全、新兴领域的国家安全</w:t>
      </w:r>
    </w:p>
    <w:p w14:paraId="3029AC95">
      <w:pPr>
        <w:spacing w:line="360" w:lineRule="auto"/>
        <w:ind w:firstLine="411" w:firstLineChars="196"/>
        <w:rPr>
          <w:rFonts w:hint="eastAsia" w:ascii="宋体" w:hAnsi="宋体" w:cs="宋体"/>
          <w:color w:val="4B4B4B"/>
          <w:kern w:val="0"/>
          <w:szCs w:val="21"/>
        </w:rPr>
      </w:pPr>
      <w:r>
        <w:rPr>
          <w:rFonts w:hint="eastAsia" w:ascii="宋体" w:hAnsi="宋体" w:cs="宋体"/>
          <w:szCs w:val="21"/>
        </w:rPr>
        <w:t>（3）</w:t>
      </w:r>
      <w:r>
        <w:rPr>
          <w:rFonts w:hint="eastAsia" w:ascii="宋体" w:hAnsi="宋体" w:cs="宋体"/>
          <w:color w:val="4B4B4B"/>
          <w:kern w:val="0"/>
          <w:szCs w:val="21"/>
        </w:rPr>
        <w:t>国际战略形势现状与发展趋势、世界主要国家军事力量及战略动向</w:t>
      </w:r>
    </w:p>
    <w:p w14:paraId="49CEA6D2">
      <w:pPr>
        <w:spacing w:line="360" w:lineRule="auto"/>
        <w:ind w:firstLine="413" w:firstLineChars="196"/>
        <w:rPr>
          <w:b/>
          <w:szCs w:val="21"/>
        </w:rPr>
      </w:pPr>
      <w:r>
        <w:rPr>
          <w:rFonts w:hint="eastAsia"/>
          <w:b/>
          <w:szCs w:val="21"/>
        </w:rPr>
        <w:t>（三）</w:t>
      </w:r>
      <w:r>
        <w:rPr>
          <w:b/>
          <w:szCs w:val="21"/>
        </w:rPr>
        <w:t xml:space="preserve"> </w:t>
      </w:r>
      <w:r>
        <w:rPr>
          <w:rFonts w:hint="eastAsia"/>
          <w:b/>
          <w:szCs w:val="21"/>
        </w:rPr>
        <w:t>军事思想</w:t>
      </w:r>
    </w:p>
    <w:p w14:paraId="17E2A633">
      <w:pPr>
        <w:spacing w:line="360" w:lineRule="auto"/>
        <w:ind w:firstLine="420" w:firstLineChars="200"/>
        <w:rPr>
          <w:szCs w:val="21"/>
        </w:rPr>
      </w:pPr>
      <w:r>
        <w:rPr>
          <w:szCs w:val="21"/>
        </w:rPr>
        <w:t>1.教学内容</w:t>
      </w:r>
    </w:p>
    <w:p w14:paraId="6D0EB92F">
      <w:pPr>
        <w:spacing w:line="360" w:lineRule="auto"/>
        <w:ind w:firstLine="420" w:firstLineChars="200"/>
        <w:rPr>
          <w:szCs w:val="21"/>
        </w:rPr>
      </w:pPr>
      <w:r>
        <w:rPr>
          <w:szCs w:val="21"/>
        </w:rPr>
        <w:t>（1）</w:t>
      </w:r>
      <w:r>
        <w:rPr>
          <w:rFonts w:hint="eastAsia"/>
          <w:szCs w:val="21"/>
        </w:rPr>
        <w:t>军事思想概述</w:t>
      </w:r>
    </w:p>
    <w:p w14:paraId="68E324ED">
      <w:pPr>
        <w:spacing w:line="360" w:lineRule="auto"/>
        <w:ind w:firstLine="420" w:firstLineChars="200"/>
        <w:rPr>
          <w:szCs w:val="21"/>
        </w:rPr>
      </w:pPr>
      <w:r>
        <w:rPr>
          <w:szCs w:val="21"/>
        </w:rPr>
        <w:t>（2）</w:t>
      </w:r>
      <w:r>
        <w:rPr>
          <w:rFonts w:hint="eastAsia"/>
          <w:szCs w:val="21"/>
        </w:rPr>
        <w:t>外国军事思想</w:t>
      </w:r>
    </w:p>
    <w:p w14:paraId="6D0C84D1">
      <w:pPr>
        <w:spacing w:line="360" w:lineRule="auto"/>
        <w:ind w:firstLine="420" w:firstLineChars="200"/>
        <w:rPr>
          <w:szCs w:val="21"/>
        </w:rPr>
      </w:pPr>
      <w:r>
        <w:rPr>
          <w:rFonts w:hint="eastAsia"/>
          <w:szCs w:val="21"/>
        </w:rPr>
        <w:t>（3）中国古代军事思想</w:t>
      </w:r>
    </w:p>
    <w:p w14:paraId="14503546">
      <w:pPr>
        <w:spacing w:line="360" w:lineRule="auto"/>
        <w:ind w:firstLine="420" w:firstLineChars="200"/>
        <w:rPr>
          <w:szCs w:val="21"/>
        </w:rPr>
      </w:pPr>
      <w:r>
        <w:rPr>
          <w:rFonts w:hint="eastAsia"/>
          <w:szCs w:val="21"/>
        </w:rPr>
        <w:t>（4）中国现当代军事思想</w:t>
      </w:r>
    </w:p>
    <w:p w14:paraId="64186EE8">
      <w:pPr>
        <w:spacing w:line="360" w:lineRule="auto"/>
        <w:ind w:firstLine="420" w:firstLineChars="200"/>
        <w:rPr>
          <w:color w:val="000000"/>
          <w:szCs w:val="21"/>
        </w:rPr>
      </w:pPr>
      <w:r>
        <w:rPr>
          <w:color w:val="000000"/>
          <w:szCs w:val="21"/>
        </w:rPr>
        <w:t>2.基本要求</w:t>
      </w:r>
    </w:p>
    <w:p w14:paraId="1863A821">
      <w:pPr>
        <w:spacing w:line="360" w:lineRule="auto"/>
        <w:ind w:firstLine="420" w:firstLineChars="200"/>
        <w:rPr>
          <w:rFonts w:hint="eastAsia" w:ascii="宋体" w:hAnsi="宋体" w:cs="宋体"/>
          <w:color w:val="4B4B4B"/>
          <w:kern w:val="0"/>
          <w:szCs w:val="21"/>
        </w:rPr>
      </w:pPr>
      <w:r>
        <w:rPr>
          <w:szCs w:val="21"/>
        </w:rPr>
        <w:t>（1）</w:t>
      </w:r>
      <w:r>
        <w:rPr>
          <w:rFonts w:hint="eastAsia" w:ascii="宋体" w:hAnsi="宋体" w:cs="宋体"/>
          <w:szCs w:val="21"/>
        </w:rPr>
        <w:t>了解</w:t>
      </w:r>
      <w:r>
        <w:rPr>
          <w:rFonts w:hint="eastAsia" w:ascii="宋体" w:hAnsi="宋体" w:cs="宋体"/>
          <w:color w:val="4B4B4B"/>
          <w:kern w:val="0"/>
          <w:szCs w:val="21"/>
        </w:rPr>
        <w:t>军事思想的内涵、发展历程以及地位作用</w:t>
      </w:r>
    </w:p>
    <w:p w14:paraId="4235B867">
      <w:pPr>
        <w:spacing w:line="360" w:lineRule="auto"/>
        <w:ind w:firstLine="420" w:firstLineChars="200"/>
        <w:rPr>
          <w:rFonts w:hint="eastAsia" w:ascii="宋体" w:hAnsi="宋体" w:cs="宋体"/>
          <w:szCs w:val="21"/>
        </w:rPr>
      </w:pPr>
      <w:r>
        <w:rPr>
          <w:rFonts w:hint="eastAsia" w:ascii="宋体" w:hAnsi="宋体" w:cs="宋体"/>
          <w:szCs w:val="21"/>
        </w:rPr>
        <w:t>（2）熟悉</w:t>
      </w:r>
      <w:r>
        <w:rPr>
          <w:rFonts w:hint="eastAsia" w:ascii="宋体" w:hAnsi="宋体" w:cs="宋体"/>
          <w:color w:val="4B4B4B"/>
          <w:kern w:val="0"/>
          <w:szCs w:val="21"/>
        </w:rPr>
        <w:t>外国军事思想的主要内容、特点以及代表性著作</w:t>
      </w:r>
    </w:p>
    <w:p w14:paraId="21F02D06">
      <w:pPr>
        <w:spacing w:line="360" w:lineRule="auto"/>
        <w:ind w:firstLine="420" w:firstLineChars="200"/>
        <w:rPr>
          <w:rFonts w:hint="eastAsia" w:ascii="宋体" w:hAnsi="宋体" w:cs="宋体"/>
          <w:color w:val="4B4B4B"/>
          <w:kern w:val="0"/>
          <w:szCs w:val="21"/>
        </w:rPr>
      </w:pPr>
      <w:r>
        <w:rPr>
          <w:rFonts w:hint="eastAsia" w:ascii="宋体" w:hAnsi="宋体" w:cs="宋体"/>
          <w:szCs w:val="21"/>
        </w:rPr>
        <w:t>（3）了解</w:t>
      </w:r>
      <w:r>
        <w:rPr>
          <w:rFonts w:hint="eastAsia" w:ascii="宋体" w:hAnsi="宋体" w:cs="宋体"/>
          <w:color w:val="4B4B4B"/>
          <w:kern w:val="0"/>
          <w:szCs w:val="21"/>
        </w:rPr>
        <w:t>中国古代军事思想的主要内容、特点以及代表性著作</w:t>
      </w:r>
    </w:p>
    <w:p w14:paraId="15FBFE59">
      <w:pPr>
        <w:spacing w:line="360" w:lineRule="auto"/>
        <w:ind w:firstLine="411" w:firstLineChars="196"/>
        <w:rPr>
          <w:rFonts w:hint="eastAsia" w:ascii="宋体" w:hAnsi="宋体" w:cs="宋体"/>
          <w:color w:val="4B4B4B"/>
          <w:kern w:val="0"/>
          <w:szCs w:val="21"/>
        </w:rPr>
      </w:pPr>
      <w:r>
        <w:rPr>
          <w:rFonts w:hint="eastAsia" w:ascii="宋体" w:hAnsi="宋体" w:cs="宋体"/>
          <w:color w:val="4B4B4B"/>
          <w:kern w:val="0"/>
          <w:szCs w:val="21"/>
        </w:rPr>
        <w:t>（4）了解毛泽东军事思想、邓小平新时期军队建设思想、江泽民国防和军队建设思想、胡锦涛国防和军队建设思想、习近平强军思想。</w:t>
      </w:r>
    </w:p>
    <w:p w14:paraId="7F595486">
      <w:pPr>
        <w:spacing w:line="360" w:lineRule="auto"/>
        <w:ind w:firstLine="413" w:firstLineChars="196"/>
        <w:rPr>
          <w:b/>
          <w:szCs w:val="21"/>
        </w:rPr>
      </w:pPr>
      <w:r>
        <w:rPr>
          <w:rFonts w:hint="eastAsia"/>
          <w:b/>
          <w:szCs w:val="21"/>
        </w:rPr>
        <w:t>（四）现代战争</w:t>
      </w:r>
    </w:p>
    <w:p w14:paraId="210CA1BA">
      <w:pPr>
        <w:spacing w:line="360" w:lineRule="auto"/>
        <w:ind w:firstLine="420" w:firstLineChars="200"/>
        <w:rPr>
          <w:szCs w:val="21"/>
        </w:rPr>
      </w:pPr>
      <w:r>
        <w:rPr>
          <w:szCs w:val="21"/>
        </w:rPr>
        <w:t>1.教学内容</w:t>
      </w:r>
    </w:p>
    <w:p w14:paraId="7CA51896">
      <w:pPr>
        <w:spacing w:line="360" w:lineRule="auto"/>
        <w:ind w:firstLine="420" w:firstLineChars="200"/>
        <w:rPr>
          <w:szCs w:val="21"/>
        </w:rPr>
      </w:pPr>
      <w:r>
        <w:rPr>
          <w:szCs w:val="21"/>
        </w:rPr>
        <w:t>（1）</w:t>
      </w:r>
      <w:r>
        <w:rPr>
          <w:rFonts w:hint="eastAsia"/>
          <w:szCs w:val="21"/>
        </w:rPr>
        <w:t>战争概述</w:t>
      </w:r>
    </w:p>
    <w:p w14:paraId="64AD1F49">
      <w:pPr>
        <w:spacing w:line="360" w:lineRule="auto"/>
        <w:ind w:firstLine="420" w:firstLineChars="200"/>
        <w:rPr>
          <w:szCs w:val="21"/>
        </w:rPr>
      </w:pPr>
      <w:r>
        <w:rPr>
          <w:szCs w:val="21"/>
        </w:rPr>
        <w:t>（2）</w:t>
      </w:r>
      <w:r>
        <w:rPr>
          <w:rFonts w:hint="eastAsia"/>
          <w:szCs w:val="21"/>
        </w:rPr>
        <w:t>新军事革命</w:t>
      </w:r>
    </w:p>
    <w:p w14:paraId="609629D4">
      <w:pPr>
        <w:spacing w:line="360" w:lineRule="auto"/>
        <w:ind w:firstLine="420" w:firstLineChars="200"/>
        <w:rPr>
          <w:szCs w:val="21"/>
        </w:rPr>
      </w:pPr>
      <w:r>
        <w:rPr>
          <w:rFonts w:hint="eastAsia"/>
          <w:szCs w:val="21"/>
        </w:rPr>
        <w:t>（3）机械化战争</w:t>
      </w:r>
    </w:p>
    <w:p w14:paraId="7BCFA2F2">
      <w:pPr>
        <w:spacing w:line="360" w:lineRule="auto"/>
        <w:ind w:firstLine="420" w:firstLineChars="200"/>
        <w:rPr>
          <w:szCs w:val="21"/>
        </w:rPr>
      </w:pPr>
      <w:r>
        <w:rPr>
          <w:rFonts w:hint="eastAsia"/>
          <w:szCs w:val="21"/>
        </w:rPr>
        <w:t>（4）信息化战争</w:t>
      </w:r>
    </w:p>
    <w:p w14:paraId="67AB248F">
      <w:pPr>
        <w:spacing w:line="360" w:lineRule="auto"/>
        <w:ind w:firstLine="420" w:firstLineChars="200"/>
        <w:rPr>
          <w:color w:val="000000"/>
          <w:szCs w:val="21"/>
        </w:rPr>
      </w:pPr>
      <w:r>
        <w:rPr>
          <w:color w:val="000000"/>
          <w:szCs w:val="21"/>
        </w:rPr>
        <w:t>2.基本要求</w:t>
      </w:r>
    </w:p>
    <w:p w14:paraId="2BA66B86">
      <w:pPr>
        <w:spacing w:line="360" w:lineRule="auto"/>
        <w:ind w:firstLine="420" w:firstLineChars="200"/>
        <w:rPr>
          <w:rFonts w:hint="eastAsia" w:ascii="宋体" w:hAnsi="宋体" w:cs="宋体"/>
          <w:szCs w:val="21"/>
        </w:rPr>
      </w:pPr>
      <w:r>
        <w:rPr>
          <w:rFonts w:hint="eastAsia" w:ascii="宋体" w:hAnsi="宋体" w:cs="宋体"/>
          <w:szCs w:val="21"/>
        </w:rPr>
        <w:t>（1）了解</w:t>
      </w:r>
      <w:r>
        <w:rPr>
          <w:rFonts w:hint="eastAsia" w:ascii="宋体" w:hAnsi="宋体" w:cs="宋体"/>
          <w:color w:val="4B4B4B"/>
          <w:kern w:val="0"/>
          <w:szCs w:val="21"/>
        </w:rPr>
        <w:t>战争的内涵、特点、发展的历程</w:t>
      </w:r>
    </w:p>
    <w:p w14:paraId="2A77CAE6">
      <w:pPr>
        <w:spacing w:line="360" w:lineRule="auto"/>
        <w:ind w:firstLine="420" w:firstLineChars="200"/>
        <w:rPr>
          <w:rFonts w:hint="eastAsia" w:ascii="宋体" w:hAnsi="宋体" w:cs="宋体"/>
          <w:color w:val="4B4B4B"/>
          <w:kern w:val="0"/>
          <w:szCs w:val="21"/>
        </w:rPr>
      </w:pPr>
      <w:r>
        <w:rPr>
          <w:rFonts w:hint="eastAsia" w:ascii="宋体" w:hAnsi="宋体" w:cs="宋体"/>
          <w:szCs w:val="21"/>
        </w:rPr>
        <w:t>（2）熟悉</w:t>
      </w:r>
      <w:r>
        <w:rPr>
          <w:rFonts w:hint="eastAsia" w:ascii="宋体" w:hAnsi="宋体" w:cs="宋体"/>
          <w:color w:val="4B4B4B"/>
          <w:kern w:val="0"/>
          <w:szCs w:val="21"/>
        </w:rPr>
        <w:t>新军事革命的内涵、发展演变、主要内容</w:t>
      </w:r>
    </w:p>
    <w:p w14:paraId="50AF9D84">
      <w:pPr>
        <w:spacing w:line="360" w:lineRule="auto"/>
        <w:ind w:firstLine="420" w:firstLineChars="200"/>
        <w:rPr>
          <w:rFonts w:hint="eastAsia" w:ascii="宋体" w:hAnsi="宋体" w:cs="宋体"/>
          <w:szCs w:val="21"/>
        </w:rPr>
      </w:pPr>
      <w:r>
        <w:rPr>
          <w:rFonts w:hint="eastAsia" w:ascii="宋体" w:hAnsi="宋体" w:cs="宋体"/>
          <w:szCs w:val="21"/>
        </w:rPr>
        <w:t>（3）了解</w:t>
      </w:r>
      <w:r>
        <w:rPr>
          <w:rFonts w:hint="eastAsia" w:ascii="宋体" w:hAnsi="宋体" w:cs="宋体"/>
          <w:color w:val="4B4B4B"/>
          <w:kern w:val="0"/>
          <w:szCs w:val="21"/>
        </w:rPr>
        <w:t>机械化战争的基本内涵、主要形态、特征和代表性战例</w:t>
      </w:r>
    </w:p>
    <w:p w14:paraId="7C3AA120">
      <w:pPr>
        <w:spacing w:line="360" w:lineRule="auto"/>
        <w:ind w:firstLine="420" w:firstLineChars="200"/>
        <w:rPr>
          <w:rFonts w:hint="eastAsia" w:ascii="宋体" w:hAnsi="宋体" w:cs="宋体"/>
          <w:szCs w:val="21"/>
        </w:rPr>
      </w:pPr>
      <w:r>
        <w:rPr>
          <w:rFonts w:hint="eastAsia" w:ascii="宋体" w:hAnsi="宋体" w:cs="宋体"/>
          <w:szCs w:val="21"/>
        </w:rPr>
        <w:t>（4）了解</w:t>
      </w:r>
      <w:r>
        <w:rPr>
          <w:rFonts w:hint="eastAsia" w:ascii="宋体" w:hAnsi="宋体" w:cs="宋体"/>
          <w:color w:val="4B4B4B"/>
          <w:kern w:val="0"/>
          <w:szCs w:val="21"/>
        </w:rPr>
        <w:t>信息化战争的基本内涵、主要形态、特征、代表性战例，战争形态发展趋势</w:t>
      </w:r>
    </w:p>
    <w:p w14:paraId="70443019">
      <w:pPr>
        <w:spacing w:line="360" w:lineRule="auto"/>
        <w:ind w:firstLine="413" w:firstLineChars="196"/>
        <w:rPr>
          <w:b/>
          <w:szCs w:val="21"/>
        </w:rPr>
      </w:pPr>
      <w:r>
        <w:rPr>
          <w:rFonts w:hint="eastAsia"/>
          <w:b/>
          <w:szCs w:val="21"/>
        </w:rPr>
        <w:t>（五）信息化装备</w:t>
      </w:r>
    </w:p>
    <w:p w14:paraId="02F62972">
      <w:pPr>
        <w:spacing w:line="360" w:lineRule="auto"/>
        <w:ind w:firstLine="420" w:firstLineChars="200"/>
        <w:rPr>
          <w:szCs w:val="21"/>
        </w:rPr>
      </w:pPr>
      <w:r>
        <w:rPr>
          <w:szCs w:val="21"/>
        </w:rPr>
        <w:t>1.教学内容</w:t>
      </w:r>
    </w:p>
    <w:p w14:paraId="38A09F5B">
      <w:pPr>
        <w:spacing w:line="360" w:lineRule="auto"/>
        <w:ind w:firstLine="420" w:firstLineChars="200"/>
        <w:rPr>
          <w:szCs w:val="21"/>
        </w:rPr>
      </w:pPr>
      <w:r>
        <w:rPr>
          <w:szCs w:val="21"/>
        </w:rPr>
        <w:t>（1）</w:t>
      </w:r>
      <w:r>
        <w:rPr>
          <w:rFonts w:hint="eastAsia"/>
          <w:szCs w:val="21"/>
        </w:rPr>
        <w:t>信息化装备概述</w:t>
      </w:r>
    </w:p>
    <w:p w14:paraId="050E2E98">
      <w:pPr>
        <w:spacing w:line="360" w:lineRule="auto"/>
        <w:ind w:firstLine="420" w:firstLineChars="200"/>
        <w:rPr>
          <w:szCs w:val="21"/>
        </w:rPr>
      </w:pPr>
      <w:r>
        <w:rPr>
          <w:szCs w:val="21"/>
        </w:rPr>
        <w:t>（2）</w:t>
      </w:r>
      <w:r>
        <w:rPr>
          <w:rFonts w:hint="eastAsia" w:ascii="宋体" w:hAnsi="宋体" w:cs="宋体"/>
          <w:color w:val="4B4B4B"/>
          <w:kern w:val="0"/>
          <w:szCs w:val="21"/>
        </w:rPr>
        <w:t>信息化作战平台</w:t>
      </w:r>
    </w:p>
    <w:p w14:paraId="0C1E411B">
      <w:pPr>
        <w:spacing w:line="360" w:lineRule="auto"/>
        <w:ind w:firstLine="420" w:firstLineChars="200"/>
        <w:rPr>
          <w:rFonts w:hint="eastAsia" w:ascii="宋体" w:hAnsi="宋体" w:cs="宋体"/>
          <w:color w:val="4B4B4B"/>
          <w:kern w:val="0"/>
          <w:szCs w:val="21"/>
        </w:rPr>
      </w:pPr>
      <w:r>
        <w:rPr>
          <w:rFonts w:hint="eastAsia"/>
          <w:szCs w:val="21"/>
        </w:rPr>
        <w:t>（3）</w:t>
      </w:r>
      <w:r>
        <w:rPr>
          <w:rFonts w:hint="eastAsia" w:ascii="宋体" w:hAnsi="宋体" w:cs="宋体"/>
          <w:color w:val="4B4B4B"/>
          <w:kern w:val="0"/>
          <w:szCs w:val="21"/>
        </w:rPr>
        <w:t>综合电子信息系统</w:t>
      </w:r>
    </w:p>
    <w:p w14:paraId="7FB47203">
      <w:pPr>
        <w:spacing w:line="360" w:lineRule="auto"/>
        <w:ind w:firstLine="420" w:firstLineChars="200"/>
        <w:rPr>
          <w:rFonts w:hint="eastAsia" w:ascii="宋体" w:hAnsi="宋体" w:cs="宋体"/>
          <w:color w:val="4B4B4B"/>
          <w:kern w:val="0"/>
          <w:szCs w:val="21"/>
        </w:rPr>
      </w:pPr>
      <w:r>
        <w:rPr>
          <w:rFonts w:hint="eastAsia" w:ascii="宋体" w:hAnsi="宋体" w:cs="宋体"/>
          <w:color w:val="4B4B4B"/>
          <w:kern w:val="0"/>
          <w:szCs w:val="21"/>
        </w:rPr>
        <w:t>（4）信息化杀伤武器</w:t>
      </w:r>
    </w:p>
    <w:p w14:paraId="4886C8B0">
      <w:pPr>
        <w:spacing w:line="360" w:lineRule="auto"/>
        <w:ind w:firstLine="420" w:firstLineChars="200"/>
        <w:rPr>
          <w:color w:val="000000"/>
          <w:szCs w:val="21"/>
        </w:rPr>
      </w:pPr>
      <w:r>
        <w:rPr>
          <w:color w:val="000000"/>
          <w:szCs w:val="21"/>
        </w:rPr>
        <w:t>2.基本要求</w:t>
      </w:r>
    </w:p>
    <w:p w14:paraId="75CDDB7B">
      <w:pPr>
        <w:spacing w:line="360" w:lineRule="auto"/>
        <w:ind w:firstLine="420" w:firstLineChars="200"/>
        <w:rPr>
          <w:rFonts w:hint="eastAsia" w:ascii="宋体" w:hAnsi="宋体" w:cs="宋体"/>
          <w:szCs w:val="21"/>
        </w:rPr>
      </w:pPr>
      <w:r>
        <w:rPr>
          <w:rFonts w:hint="eastAsia" w:ascii="宋体" w:hAnsi="宋体" w:cs="宋体"/>
          <w:szCs w:val="21"/>
        </w:rPr>
        <w:t>（1）了解</w:t>
      </w:r>
      <w:r>
        <w:rPr>
          <w:rFonts w:hint="eastAsia" w:ascii="宋体" w:hAnsi="宋体" w:cs="宋体"/>
          <w:color w:val="4B4B4B"/>
          <w:kern w:val="0"/>
          <w:szCs w:val="21"/>
        </w:rPr>
        <w:t>信息化装备的内涵、分类、对现代作战的影响以及发展趋势</w:t>
      </w:r>
    </w:p>
    <w:p w14:paraId="7569EBD3">
      <w:pPr>
        <w:spacing w:line="360" w:lineRule="auto"/>
        <w:ind w:firstLine="420" w:firstLineChars="200"/>
        <w:rPr>
          <w:rFonts w:hint="eastAsia" w:ascii="宋体" w:hAnsi="宋体" w:cs="宋体"/>
          <w:color w:val="4B4B4B"/>
          <w:kern w:val="0"/>
          <w:szCs w:val="21"/>
        </w:rPr>
      </w:pPr>
      <w:r>
        <w:rPr>
          <w:rFonts w:hint="eastAsia" w:ascii="宋体" w:hAnsi="宋体" w:cs="宋体"/>
          <w:szCs w:val="21"/>
        </w:rPr>
        <w:t>（2）熟悉</w:t>
      </w:r>
      <w:r>
        <w:rPr>
          <w:rFonts w:hint="eastAsia" w:ascii="宋体" w:hAnsi="宋体" w:cs="宋体"/>
          <w:color w:val="4B4B4B"/>
          <w:kern w:val="0"/>
          <w:szCs w:val="21"/>
        </w:rPr>
        <w:t>各国主战飞机、坦克、军舰等信息武器装备发展趋势、战例应用</w:t>
      </w:r>
    </w:p>
    <w:p w14:paraId="7B88FE73">
      <w:pPr>
        <w:spacing w:line="360" w:lineRule="auto"/>
        <w:ind w:firstLine="420" w:firstLineChars="200"/>
        <w:rPr>
          <w:rFonts w:hint="eastAsia" w:ascii="宋体" w:hAnsi="宋体" w:cs="宋体"/>
          <w:color w:val="4B4B4B"/>
          <w:kern w:val="0"/>
          <w:szCs w:val="21"/>
        </w:rPr>
      </w:pPr>
      <w:r>
        <w:rPr>
          <w:rFonts w:hint="eastAsia" w:ascii="宋体" w:hAnsi="宋体" w:cs="宋体"/>
          <w:szCs w:val="21"/>
        </w:rPr>
        <w:t>（3）了解</w:t>
      </w:r>
      <w:r>
        <w:rPr>
          <w:rFonts w:hint="eastAsia" w:ascii="宋体" w:hAnsi="宋体" w:cs="宋体"/>
          <w:color w:val="4B4B4B"/>
          <w:kern w:val="0"/>
          <w:szCs w:val="21"/>
        </w:rPr>
        <w:t>指挥控制系统、预警系统、导航系统等装备电子信息系统发展趋势、战例应用</w:t>
      </w:r>
    </w:p>
    <w:p w14:paraId="51968B45">
      <w:pPr>
        <w:spacing w:line="360" w:lineRule="auto"/>
        <w:ind w:firstLine="420" w:firstLineChars="200"/>
        <w:rPr>
          <w:rFonts w:hint="eastAsia" w:ascii="宋体" w:hAnsi="宋体" w:cs="宋体"/>
          <w:szCs w:val="21"/>
        </w:rPr>
      </w:pPr>
      <w:r>
        <w:rPr>
          <w:rFonts w:hint="eastAsia" w:ascii="宋体" w:hAnsi="宋体" w:cs="宋体"/>
          <w:color w:val="4B4B4B"/>
          <w:kern w:val="0"/>
          <w:szCs w:val="21"/>
        </w:rPr>
        <w:t>（4）了解新概念、精确制导、核生化武器装备等武器装备发展趋势、战例应用</w:t>
      </w:r>
    </w:p>
    <w:p w14:paraId="1769BBE6">
      <w:pPr>
        <w:spacing w:line="360" w:lineRule="auto"/>
        <w:ind w:firstLine="420" w:firstLineChars="200"/>
        <w:rPr>
          <w:color w:val="000000"/>
          <w:szCs w:val="21"/>
          <w:highlight w:val="yellow"/>
        </w:rPr>
      </w:pPr>
      <w:r>
        <w:rPr>
          <w:rFonts w:hint="eastAsia"/>
          <w:color w:val="000000"/>
          <w:szCs w:val="21"/>
        </w:rPr>
        <w:t>教学内容与</w:t>
      </w:r>
      <w:r>
        <w:rPr>
          <w:color w:val="000000"/>
          <w:szCs w:val="21"/>
        </w:rPr>
        <w:t>课程目标的</w:t>
      </w:r>
      <w:r>
        <w:rPr>
          <w:rFonts w:hint="eastAsia"/>
          <w:color w:val="000000"/>
          <w:szCs w:val="21"/>
        </w:rPr>
        <w:t>对应关系及</w:t>
      </w:r>
      <w:r>
        <w:rPr>
          <w:color w:val="000000"/>
          <w:szCs w:val="21"/>
        </w:rPr>
        <w:t>学时分配</w:t>
      </w:r>
      <w:r>
        <w:rPr>
          <w:rFonts w:hint="eastAsia"/>
          <w:color w:val="000000"/>
          <w:szCs w:val="21"/>
        </w:rPr>
        <w:t>如表所示。</w:t>
      </w:r>
    </w:p>
    <w:tbl>
      <w:tblPr>
        <w:tblStyle w:val="11"/>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90"/>
        <w:gridCol w:w="2340"/>
        <w:gridCol w:w="1830"/>
        <w:gridCol w:w="1230"/>
        <w:gridCol w:w="1080"/>
      </w:tblGrid>
      <w:tr w14:paraId="4DA5C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70" w:type="dxa"/>
            <w:shd w:val="clear" w:color="auto" w:fill="FFFFFF"/>
            <w:vAlign w:val="center"/>
          </w:tcPr>
          <w:p w14:paraId="4E5A1443">
            <w:pPr>
              <w:spacing w:line="360" w:lineRule="auto"/>
              <w:jc w:val="center"/>
              <w:rPr>
                <w:rFonts w:hint="eastAsia" w:ascii="宋体" w:hAnsi="宋体" w:eastAsia="宋体" w:cs="宋体"/>
                <w:b/>
                <w:bCs/>
                <w:color w:val="000000"/>
                <w:szCs w:val="21"/>
              </w:rPr>
            </w:pPr>
            <w:r>
              <w:rPr>
                <w:rFonts w:hint="eastAsia" w:ascii="宋体" w:hAnsi="宋体" w:eastAsia="宋体" w:cs="宋体"/>
                <w:b/>
                <w:bCs/>
                <w:color w:val="000000"/>
                <w:szCs w:val="21"/>
              </w:rPr>
              <w:t>序号</w:t>
            </w:r>
          </w:p>
        </w:tc>
        <w:tc>
          <w:tcPr>
            <w:tcW w:w="1890" w:type="dxa"/>
            <w:shd w:val="clear" w:color="auto" w:fill="FFFFFF"/>
            <w:vAlign w:val="center"/>
          </w:tcPr>
          <w:p w14:paraId="70C82089">
            <w:pPr>
              <w:spacing w:line="360" w:lineRule="auto"/>
              <w:jc w:val="center"/>
              <w:rPr>
                <w:rFonts w:hint="eastAsia" w:ascii="宋体" w:hAnsi="宋体" w:eastAsia="宋体" w:cs="宋体"/>
                <w:b/>
                <w:bCs/>
                <w:color w:val="000000"/>
                <w:szCs w:val="21"/>
              </w:rPr>
            </w:pPr>
            <w:r>
              <w:rPr>
                <w:rFonts w:hint="eastAsia" w:ascii="宋体" w:hAnsi="宋体" w:eastAsia="宋体" w:cs="宋体"/>
                <w:b/>
                <w:bCs/>
                <w:color w:val="000000"/>
                <w:szCs w:val="21"/>
              </w:rPr>
              <w:t>教学内容</w:t>
            </w:r>
          </w:p>
        </w:tc>
        <w:tc>
          <w:tcPr>
            <w:tcW w:w="2340" w:type="dxa"/>
            <w:shd w:val="clear" w:color="auto" w:fill="FFFFFF"/>
            <w:vAlign w:val="center"/>
          </w:tcPr>
          <w:p w14:paraId="48950B93">
            <w:pPr>
              <w:spacing w:line="360" w:lineRule="auto"/>
              <w:jc w:val="center"/>
              <w:rPr>
                <w:rFonts w:hint="eastAsia" w:ascii="宋体" w:hAnsi="宋体" w:eastAsia="宋体" w:cs="宋体"/>
                <w:b/>
                <w:bCs/>
                <w:color w:val="000000"/>
                <w:szCs w:val="21"/>
              </w:rPr>
            </w:pPr>
            <w:r>
              <w:rPr>
                <w:rFonts w:hint="eastAsia" w:ascii="宋体" w:hAnsi="宋体" w:eastAsia="宋体" w:cs="宋体"/>
                <w:b/>
                <w:bCs/>
                <w:color w:val="000000"/>
                <w:szCs w:val="21"/>
              </w:rPr>
              <w:t>支撑的课程目标</w:t>
            </w:r>
          </w:p>
        </w:tc>
        <w:tc>
          <w:tcPr>
            <w:tcW w:w="1830" w:type="dxa"/>
            <w:shd w:val="clear" w:color="auto" w:fill="FFFFFF"/>
            <w:vAlign w:val="center"/>
          </w:tcPr>
          <w:p w14:paraId="18E9DE25">
            <w:pPr>
              <w:jc w:val="center"/>
              <w:rPr>
                <w:rFonts w:hint="eastAsia" w:ascii="宋体" w:hAnsi="宋体" w:eastAsia="宋体" w:cs="宋体"/>
                <w:b/>
                <w:bCs/>
                <w:color w:val="000000"/>
                <w:szCs w:val="21"/>
              </w:rPr>
            </w:pPr>
            <w:r>
              <w:rPr>
                <w:rFonts w:hint="eastAsia" w:ascii="宋体" w:hAnsi="宋体" w:eastAsia="宋体" w:cs="宋体"/>
                <w:b/>
                <w:bCs/>
                <w:color w:val="000000"/>
                <w:szCs w:val="21"/>
              </w:rPr>
              <w:t>支撑的毕业</w:t>
            </w:r>
          </w:p>
          <w:p w14:paraId="5EFBFFD1">
            <w:pPr>
              <w:jc w:val="center"/>
              <w:rPr>
                <w:rFonts w:hint="eastAsia" w:ascii="宋体" w:hAnsi="宋体" w:eastAsia="宋体" w:cs="宋体"/>
                <w:b/>
                <w:bCs/>
                <w:color w:val="000000"/>
                <w:szCs w:val="21"/>
              </w:rPr>
            </w:pPr>
            <w:r>
              <w:rPr>
                <w:rFonts w:hint="eastAsia" w:ascii="宋体" w:hAnsi="宋体" w:eastAsia="宋体" w:cs="宋体"/>
                <w:b/>
                <w:bCs/>
                <w:color w:val="000000"/>
                <w:szCs w:val="21"/>
              </w:rPr>
              <w:t>要求指标点</w:t>
            </w:r>
          </w:p>
        </w:tc>
        <w:tc>
          <w:tcPr>
            <w:tcW w:w="1230" w:type="dxa"/>
            <w:shd w:val="clear" w:color="auto" w:fill="FFFFFF"/>
            <w:vAlign w:val="center"/>
          </w:tcPr>
          <w:p w14:paraId="0491CE9E">
            <w:pPr>
              <w:spacing w:line="360" w:lineRule="auto"/>
              <w:jc w:val="center"/>
              <w:rPr>
                <w:rFonts w:hint="eastAsia" w:ascii="宋体" w:hAnsi="宋体" w:eastAsia="宋体" w:cs="宋体"/>
                <w:b/>
                <w:bCs/>
                <w:color w:val="000000"/>
                <w:szCs w:val="21"/>
              </w:rPr>
            </w:pPr>
            <w:r>
              <w:rPr>
                <w:rFonts w:hint="eastAsia" w:ascii="宋体" w:hAnsi="宋体" w:eastAsia="宋体" w:cs="宋体"/>
                <w:b/>
                <w:bCs/>
                <w:color w:val="000000"/>
                <w:szCs w:val="21"/>
              </w:rPr>
              <w:t>讲授学时</w:t>
            </w:r>
          </w:p>
        </w:tc>
        <w:tc>
          <w:tcPr>
            <w:tcW w:w="1080" w:type="dxa"/>
            <w:shd w:val="clear" w:color="auto" w:fill="FFFFFF"/>
            <w:vAlign w:val="center"/>
          </w:tcPr>
          <w:p w14:paraId="68B04722">
            <w:pPr>
              <w:spacing w:line="360" w:lineRule="auto"/>
              <w:jc w:val="center"/>
              <w:rPr>
                <w:rFonts w:hint="eastAsia" w:ascii="宋体" w:hAnsi="宋体" w:eastAsia="宋体" w:cs="宋体"/>
                <w:b/>
                <w:bCs/>
                <w:color w:val="000000"/>
                <w:szCs w:val="21"/>
              </w:rPr>
            </w:pPr>
            <w:r>
              <w:rPr>
                <w:rFonts w:hint="eastAsia" w:ascii="宋体" w:hAnsi="宋体" w:cs="宋体"/>
                <w:b/>
                <w:bCs/>
                <w:color w:val="000000"/>
                <w:szCs w:val="21"/>
              </w:rPr>
              <w:t>实践</w:t>
            </w:r>
            <w:r>
              <w:rPr>
                <w:rFonts w:hint="eastAsia" w:ascii="宋体" w:hAnsi="宋体" w:eastAsia="宋体" w:cs="宋体"/>
                <w:b/>
                <w:bCs/>
                <w:color w:val="000000"/>
                <w:szCs w:val="21"/>
              </w:rPr>
              <w:t>学时</w:t>
            </w:r>
          </w:p>
        </w:tc>
      </w:tr>
      <w:tr w14:paraId="5469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70" w:type="dxa"/>
            <w:vAlign w:val="center"/>
          </w:tcPr>
          <w:p w14:paraId="6B82C505">
            <w:pPr>
              <w:spacing w:line="360" w:lineRule="auto"/>
              <w:jc w:val="center"/>
              <w:rPr>
                <w:rFonts w:hint="eastAsia" w:ascii="宋体" w:hAnsi="宋体" w:eastAsia="宋体" w:cs="宋体"/>
                <w:szCs w:val="21"/>
              </w:rPr>
            </w:pPr>
            <w:r>
              <w:rPr>
                <w:rFonts w:hint="eastAsia" w:ascii="宋体" w:hAnsi="宋体" w:eastAsia="宋体" w:cs="宋体"/>
                <w:szCs w:val="21"/>
              </w:rPr>
              <w:t>1</w:t>
            </w:r>
          </w:p>
        </w:tc>
        <w:tc>
          <w:tcPr>
            <w:tcW w:w="1890" w:type="dxa"/>
            <w:vAlign w:val="center"/>
          </w:tcPr>
          <w:p w14:paraId="12CD49FB">
            <w:pPr>
              <w:spacing w:line="360" w:lineRule="auto"/>
              <w:jc w:val="center"/>
              <w:rPr>
                <w:rFonts w:hint="eastAsia" w:ascii="宋体" w:hAnsi="宋体" w:eastAsia="宋体" w:cs="宋体"/>
                <w:color w:val="000000"/>
                <w:szCs w:val="21"/>
              </w:rPr>
            </w:pPr>
            <w:r>
              <w:rPr>
                <w:rFonts w:hint="eastAsia" w:ascii="宋体" w:hAnsi="宋体" w:eastAsia="宋体" w:cs="宋体"/>
                <w:bCs/>
                <w:szCs w:val="21"/>
              </w:rPr>
              <w:t>中国国防</w:t>
            </w:r>
          </w:p>
        </w:tc>
        <w:tc>
          <w:tcPr>
            <w:tcW w:w="2340" w:type="dxa"/>
            <w:vAlign w:val="center"/>
          </w:tcPr>
          <w:p w14:paraId="689BCAB8">
            <w:pPr>
              <w:spacing w:line="360" w:lineRule="auto"/>
              <w:jc w:val="center"/>
              <w:rPr>
                <w:rFonts w:hint="eastAsia" w:ascii="宋体" w:hAnsi="宋体" w:eastAsia="宋体" w:cs="宋体"/>
                <w:color w:val="000000"/>
                <w:szCs w:val="21"/>
              </w:rPr>
            </w:pPr>
            <w:r>
              <w:rPr>
                <w:rFonts w:hint="eastAsia" w:ascii="宋体" w:hAnsi="宋体" w:eastAsia="宋体" w:cs="宋体"/>
                <w:color w:val="000000"/>
                <w:szCs w:val="21"/>
              </w:rPr>
              <w:t>目标1、2、3</w:t>
            </w:r>
          </w:p>
        </w:tc>
        <w:tc>
          <w:tcPr>
            <w:tcW w:w="1830" w:type="dxa"/>
            <w:vAlign w:val="center"/>
          </w:tcPr>
          <w:p w14:paraId="3BBCD8F3">
            <w:pPr>
              <w:spacing w:line="360" w:lineRule="auto"/>
              <w:jc w:val="center"/>
              <w:rPr>
                <w:rFonts w:hint="eastAsia" w:ascii="宋体" w:hAnsi="宋体" w:eastAsia="宋体" w:cs="宋体"/>
                <w:szCs w:val="21"/>
              </w:rPr>
            </w:pPr>
            <w:r>
              <w:rPr>
                <w:rFonts w:hint="eastAsia" w:ascii="宋体" w:hAnsi="宋体" w:cs="宋体"/>
                <w:szCs w:val="21"/>
              </w:rPr>
              <w:t>1-1、3-1</w:t>
            </w:r>
          </w:p>
        </w:tc>
        <w:tc>
          <w:tcPr>
            <w:tcW w:w="1230" w:type="dxa"/>
            <w:vAlign w:val="center"/>
          </w:tcPr>
          <w:p w14:paraId="56DBAF87">
            <w:pPr>
              <w:spacing w:line="360" w:lineRule="auto"/>
              <w:jc w:val="center"/>
              <w:rPr>
                <w:rFonts w:hint="eastAsia" w:ascii="宋体" w:hAnsi="宋体" w:eastAsia="宋体" w:cs="宋体"/>
                <w:szCs w:val="21"/>
              </w:rPr>
            </w:pPr>
            <w:r>
              <w:rPr>
                <w:rFonts w:hint="eastAsia" w:ascii="宋体" w:hAnsi="宋体" w:eastAsia="宋体" w:cs="宋体"/>
                <w:szCs w:val="21"/>
              </w:rPr>
              <w:t>7</w:t>
            </w:r>
          </w:p>
        </w:tc>
        <w:tc>
          <w:tcPr>
            <w:tcW w:w="1080" w:type="dxa"/>
            <w:vAlign w:val="center"/>
          </w:tcPr>
          <w:p w14:paraId="44E9B24C">
            <w:pPr>
              <w:spacing w:line="360" w:lineRule="auto"/>
              <w:jc w:val="center"/>
              <w:rPr>
                <w:rFonts w:hint="eastAsia" w:ascii="宋体" w:hAnsi="宋体" w:eastAsia="宋体" w:cs="宋体"/>
                <w:szCs w:val="21"/>
              </w:rPr>
            </w:pPr>
            <w:r>
              <w:rPr>
                <w:rFonts w:hint="eastAsia" w:ascii="宋体" w:hAnsi="宋体" w:eastAsia="宋体" w:cs="宋体"/>
                <w:szCs w:val="21"/>
              </w:rPr>
              <w:t>0</w:t>
            </w:r>
          </w:p>
        </w:tc>
      </w:tr>
      <w:tr w14:paraId="6A93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870" w:type="dxa"/>
            <w:vAlign w:val="center"/>
          </w:tcPr>
          <w:p w14:paraId="7E14B61E">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890" w:type="dxa"/>
            <w:vAlign w:val="center"/>
          </w:tcPr>
          <w:p w14:paraId="7B9B9F32">
            <w:pPr>
              <w:spacing w:line="360" w:lineRule="auto"/>
              <w:jc w:val="center"/>
              <w:rPr>
                <w:rFonts w:hint="eastAsia" w:ascii="宋体" w:hAnsi="宋体" w:eastAsia="宋体" w:cs="宋体"/>
                <w:color w:val="000000"/>
                <w:szCs w:val="21"/>
              </w:rPr>
            </w:pPr>
            <w:r>
              <w:rPr>
                <w:rFonts w:hint="eastAsia" w:ascii="宋体" w:hAnsi="宋体" w:eastAsia="宋体" w:cs="宋体"/>
                <w:bCs/>
                <w:szCs w:val="21"/>
              </w:rPr>
              <w:t>国家安全</w:t>
            </w:r>
          </w:p>
        </w:tc>
        <w:tc>
          <w:tcPr>
            <w:tcW w:w="2340" w:type="dxa"/>
            <w:vAlign w:val="center"/>
          </w:tcPr>
          <w:p w14:paraId="1C373C93">
            <w:pPr>
              <w:spacing w:line="360" w:lineRule="auto"/>
              <w:jc w:val="center"/>
              <w:rPr>
                <w:rFonts w:hint="eastAsia" w:ascii="宋体" w:hAnsi="宋体" w:eastAsia="宋体" w:cs="宋体"/>
                <w:color w:val="000000"/>
                <w:szCs w:val="21"/>
              </w:rPr>
            </w:pPr>
            <w:r>
              <w:rPr>
                <w:rFonts w:hint="eastAsia" w:ascii="宋体" w:hAnsi="宋体" w:eastAsia="宋体" w:cs="宋体"/>
                <w:color w:val="000000"/>
                <w:szCs w:val="21"/>
              </w:rPr>
              <w:t>目标1、4、5</w:t>
            </w:r>
          </w:p>
        </w:tc>
        <w:tc>
          <w:tcPr>
            <w:tcW w:w="1830" w:type="dxa"/>
            <w:vAlign w:val="center"/>
          </w:tcPr>
          <w:p w14:paraId="0E1B8D2D">
            <w:pPr>
              <w:spacing w:line="360" w:lineRule="auto"/>
              <w:jc w:val="center"/>
              <w:rPr>
                <w:rFonts w:hint="eastAsia" w:ascii="宋体" w:hAnsi="宋体" w:eastAsia="宋体" w:cs="宋体"/>
                <w:szCs w:val="21"/>
              </w:rPr>
            </w:pPr>
            <w:r>
              <w:rPr>
                <w:rFonts w:hint="eastAsia" w:ascii="宋体" w:hAnsi="宋体" w:cs="宋体"/>
                <w:szCs w:val="21"/>
              </w:rPr>
              <w:t>1-1、3-1</w:t>
            </w:r>
          </w:p>
        </w:tc>
        <w:tc>
          <w:tcPr>
            <w:tcW w:w="1230" w:type="dxa"/>
            <w:vAlign w:val="center"/>
          </w:tcPr>
          <w:p w14:paraId="5203AC8C">
            <w:pPr>
              <w:spacing w:line="360" w:lineRule="auto"/>
              <w:jc w:val="center"/>
              <w:rPr>
                <w:rFonts w:hint="eastAsia" w:ascii="宋体" w:hAnsi="宋体" w:eastAsia="宋体" w:cs="宋体"/>
                <w:szCs w:val="21"/>
              </w:rPr>
            </w:pPr>
            <w:r>
              <w:rPr>
                <w:rFonts w:hint="eastAsia" w:ascii="宋体" w:hAnsi="宋体" w:eastAsia="宋体" w:cs="宋体"/>
                <w:szCs w:val="21"/>
              </w:rPr>
              <w:t>7</w:t>
            </w:r>
          </w:p>
        </w:tc>
        <w:tc>
          <w:tcPr>
            <w:tcW w:w="1080" w:type="dxa"/>
            <w:vAlign w:val="center"/>
          </w:tcPr>
          <w:p w14:paraId="71FF4F59">
            <w:pPr>
              <w:spacing w:line="360" w:lineRule="auto"/>
              <w:jc w:val="center"/>
              <w:rPr>
                <w:rFonts w:hint="eastAsia" w:ascii="宋体" w:hAnsi="宋体" w:eastAsia="宋体" w:cs="宋体"/>
                <w:szCs w:val="21"/>
              </w:rPr>
            </w:pPr>
            <w:r>
              <w:rPr>
                <w:rFonts w:hint="eastAsia" w:ascii="宋体" w:hAnsi="宋体" w:eastAsia="宋体" w:cs="宋体"/>
                <w:szCs w:val="21"/>
              </w:rPr>
              <w:t>0</w:t>
            </w:r>
          </w:p>
        </w:tc>
      </w:tr>
      <w:tr w14:paraId="1066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70" w:type="dxa"/>
            <w:vAlign w:val="center"/>
          </w:tcPr>
          <w:p w14:paraId="49789E62">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890" w:type="dxa"/>
            <w:vAlign w:val="center"/>
          </w:tcPr>
          <w:p w14:paraId="33610373">
            <w:pPr>
              <w:spacing w:line="360" w:lineRule="auto"/>
              <w:jc w:val="center"/>
              <w:rPr>
                <w:rFonts w:hint="eastAsia" w:ascii="宋体" w:hAnsi="宋体" w:eastAsia="宋体" w:cs="宋体"/>
                <w:color w:val="000000"/>
                <w:szCs w:val="21"/>
              </w:rPr>
            </w:pPr>
            <w:r>
              <w:rPr>
                <w:rFonts w:hint="eastAsia" w:ascii="宋体" w:hAnsi="宋体" w:eastAsia="宋体" w:cs="宋体"/>
                <w:bCs/>
                <w:szCs w:val="21"/>
              </w:rPr>
              <w:t>军事思想</w:t>
            </w:r>
          </w:p>
        </w:tc>
        <w:tc>
          <w:tcPr>
            <w:tcW w:w="2340" w:type="dxa"/>
            <w:vAlign w:val="center"/>
          </w:tcPr>
          <w:p w14:paraId="2BCE1132">
            <w:pPr>
              <w:spacing w:line="360" w:lineRule="auto"/>
              <w:jc w:val="center"/>
              <w:rPr>
                <w:rFonts w:hint="eastAsia" w:ascii="宋体" w:hAnsi="宋体" w:eastAsia="宋体" w:cs="宋体"/>
                <w:color w:val="000000"/>
                <w:szCs w:val="21"/>
              </w:rPr>
            </w:pPr>
            <w:r>
              <w:rPr>
                <w:rFonts w:hint="eastAsia" w:ascii="宋体" w:hAnsi="宋体" w:eastAsia="宋体" w:cs="宋体"/>
                <w:color w:val="000000"/>
                <w:szCs w:val="21"/>
              </w:rPr>
              <w:t>目标2、3、4</w:t>
            </w:r>
          </w:p>
        </w:tc>
        <w:tc>
          <w:tcPr>
            <w:tcW w:w="1830" w:type="dxa"/>
            <w:vAlign w:val="center"/>
          </w:tcPr>
          <w:p w14:paraId="1B766A68">
            <w:pPr>
              <w:spacing w:line="360" w:lineRule="auto"/>
              <w:jc w:val="center"/>
              <w:rPr>
                <w:rFonts w:hint="eastAsia" w:ascii="宋体" w:hAnsi="宋体" w:eastAsia="宋体" w:cs="宋体"/>
                <w:szCs w:val="21"/>
              </w:rPr>
            </w:pPr>
            <w:r>
              <w:rPr>
                <w:rFonts w:hint="eastAsia" w:ascii="宋体" w:hAnsi="宋体" w:cs="宋体"/>
                <w:szCs w:val="21"/>
              </w:rPr>
              <w:t>1-1、3-1</w:t>
            </w:r>
          </w:p>
        </w:tc>
        <w:tc>
          <w:tcPr>
            <w:tcW w:w="1230" w:type="dxa"/>
            <w:vAlign w:val="center"/>
          </w:tcPr>
          <w:p w14:paraId="28DCD6F3">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080" w:type="dxa"/>
            <w:vAlign w:val="center"/>
          </w:tcPr>
          <w:p w14:paraId="3B2EE079">
            <w:pPr>
              <w:spacing w:line="360" w:lineRule="auto"/>
              <w:jc w:val="center"/>
              <w:rPr>
                <w:rFonts w:hint="eastAsia" w:ascii="宋体" w:hAnsi="宋体" w:eastAsia="宋体" w:cs="宋体"/>
                <w:szCs w:val="21"/>
              </w:rPr>
            </w:pPr>
            <w:r>
              <w:rPr>
                <w:rFonts w:hint="eastAsia" w:ascii="宋体" w:hAnsi="宋体" w:eastAsia="宋体" w:cs="宋体"/>
                <w:szCs w:val="21"/>
              </w:rPr>
              <w:t>0</w:t>
            </w:r>
          </w:p>
        </w:tc>
      </w:tr>
      <w:tr w14:paraId="73E35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870" w:type="dxa"/>
            <w:vAlign w:val="center"/>
          </w:tcPr>
          <w:p w14:paraId="432FA385">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890" w:type="dxa"/>
            <w:vAlign w:val="center"/>
          </w:tcPr>
          <w:p w14:paraId="15A10B26">
            <w:pPr>
              <w:spacing w:line="360" w:lineRule="auto"/>
              <w:jc w:val="center"/>
              <w:rPr>
                <w:rFonts w:hint="eastAsia" w:ascii="宋体" w:hAnsi="宋体" w:eastAsia="宋体" w:cs="宋体"/>
                <w:szCs w:val="21"/>
              </w:rPr>
            </w:pPr>
            <w:r>
              <w:rPr>
                <w:rFonts w:hint="eastAsia" w:ascii="宋体" w:hAnsi="宋体" w:eastAsia="宋体" w:cs="宋体"/>
                <w:szCs w:val="21"/>
              </w:rPr>
              <w:t>现代战争</w:t>
            </w:r>
          </w:p>
        </w:tc>
        <w:tc>
          <w:tcPr>
            <w:tcW w:w="2340" w:type="dxa"/>
            <w:vAlign w:val="center"/>
          </w:tcPr>
          <w:p w14:paraId="5E355E82">
            <w:pPr>
              <w:spacing w:line="360" w:lineRule="auto"/>
              <w:jc w:val="center"/>
              <w:rPr>
                <w:rFonts w:hint="eastAsia" w:ascii="宋体" w:hAnsi="宋体" w:eastAsia="宋体" w:cs="宋体"/>
                <w:szCs w:val="21"/>
              </w:rPr>
            </w:pPr>
            <w:r>
              <w:rPr>
                <w:rFonts w:hint="eastAsia" w:ascii="宋体" w:hAnsi="宋体" w:eastAsia="宋体" w:cs="宋体"/>
                <w:szCs w:val="21"/>
              </w:rPr>
              <w:t>目标2、3、4</w:t>
            </w:r>
          </w:p>
        </w:tc>
        <w:tc>
          <w:tcPr>
            <w:tcW w:w="1830" w:type="dxa"/>
            <w:vAlign w:val="center"/>
          </w:tcPr>
          <w:p w14:paraId="407799C9">
            <w:pPr>
              <w:spacing w:line="360" w:lineRule="auto"/>
              <w:jc w:val="center"/>
              <w:rPr>
                <w:rFonts w:hint="eastAsia" w:ascii="宋体" w:hAnsi="宋体" w:eastAsia="宋体" w:cs="宋体"/>
                <w:szCs w:val="21"/>
              </w:rPr>
            </w:pPr>
            <w:r>
              <w:rPr>
                <w:rFonts w:hint="eastAsia" w:ascii="宋体" w:hAnsi="宋体" w:cs="宋体"/>
                <w:szCs w:val="21"/>
              </w:rPr>
              <w:t>1-1、3-1</w:t>
            </w:r>
          </w:p>
        </w:tc>
        <w:tc>
          <w:tcPr>
            <w:tcW w:w="1230" w:type="dxa"/>
            <w:vAlign w:val="center"/>
          </w:tcPr>
          <w:p w14:paraId="475397D3">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080" w:type="dxa"/>
            <w:vAlign w:val="center"/>
          </w:tcPr>
          <w:p w14:paraId="6CF45164">
            <w:pPr>
              <w:spacing w:line="360" w:lineRule="auto"/>
              <w:jc w:val="center"/>
              <w:rPr>
                <w:rFonts w:hint="eastAsia" w:ascii="宋体" w:hAnsi="宋体" w:eastAsia="宋体" w:cs="宋体"/>
                <w:szCs w:val="21"/>
              </w:rPr>
            </w:pPr>
            <w:r>
              <w:rPr>
                <w:rFonts w:hint="eastAsia" w:ascii="宋体" w:hAnsi="宋体" w:eastAsia="宋体" w:cs="宋体"/>
                <w:szCs w:val="21"/>
              </w:rPr>
              <w:t>0</w:t>
            </w:r>
          </w:p>
        </w:tc>
      </w:tr>
      <w:tr w14:paraId="016D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870" w:type="dxa"/>
            <w:vAlign w:val="center"/>
          </w:tcPr>
          <w:p w14:paraId="749C8C03">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890" w:type="dxa"/>
            <w:vAlign w:val="center"/>
          </w:tcPr>
          <w:p w14:paraId="34B44733">
            <w:pPr>
              <w:spacing w:line="360" w:lineRule="auto"/>
              <w:jc w:val="center"/>
              <w:rPr>
                <w:rFonts w:hint="eastAsia" w:ascii="宋体" w:hAnsi="宋体" w:eastAsia="宋体" w:cs="宋体"/>
                <w:color w:val="000000"/>
                <w:szCs w:val="21"/>
              </w:rPr>
            </w:pPr>
            <w:r>
              <w:rPr>
                <w:rFonts w:hint="eastAsia" w:ascii="宋体" w:hAnsi="宋体" w:eastAsia="宋体" w:cs="宋体"/>
                <w:color w:val="000000"/>
                <w:szCs w:val="21"/>
              </w:rPr>
              <w:t>信息化装备</w:t>
            </w:r>
          </w:p>
        </w:tc>
        <w:tc>
          <w:tcPr>
            <w:tcW w:w="2340" w:type="dxa"/>
            <w:vAlign w:val="center"/>
          </w:tcPr>
          <w:p w14:paraId="031C4FF7">
            <w:pPr>
              <w:spacing w:line="360" w:lineRule="auto"/>
              <w:jc w:val="center"/>
              <w:rPr>
                <w:rFonts w:hint="eastAsia" w:ascii="宋体" w:hAnsi="宋体" w:eastAsia="宋体" w:cs="宋体"/>
                <w:color w:val="000000"/>
                <w:szCs w:val="21"/>
              </w:rPr>
            </w:pPr>
            <w:r>
              <w:rPr>
                <w:rFonts w:hint="eastAsia" w:ascii="宋体" w:hAnsi="宋体" w:eastAsia="宋体" w:cs="宋体"/>
                <w:color w:val="000000"/>
                <w:szCs w:val="21"/>
              </w:rPr>
              <w:t>目标1、2、5</w:t>
            </w:r>
          </w:p>
        </w:tc>
        <w:tc>
          <w:tcPr>
            <w:tcW w:w="1830" w:type="dxa"/>
            <w:vAlign w:val="center"/>
          </w:tcPr>
          <w:p w14:paraId="70346170">
            <w:pPr>
              <w:spacing w:line="360" w:lineRule="auto"/>
              <w:jc w:val="center"/>
              <w:rPr>
                <w:rFonts w:hint="eastAsia" w:ascii="宋体" w:hAnsi="宋体" w:eastAsia="宋体" w:cs="宋体"/>
                <w:szCs w:val="21"/>
              </w:rPr>
            </w:pPr>
            <w:r>
              <w:rPr>
                <w:rFonts w:hint="eastAsia" w:ascii="宋体" w:hAnsi="宋体" w:cs="宋体"/>
                <w:szCs w:val="21"/>
              </w:rPr>
              <w:t>1-1、3-1</w:t>
            </w:r>
          </w:p>
        </w:tc>
        <w:tc>
          <w:tcPr>
            <w:tcW w:w="1230" w:type="dxa"/>
            <w:vAlign w:val="center"/>
          </w:tcPr>
          <w:p w14:paraId="248AF410">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080" w:type="dxa"/>
            <w:vAlign w:val="center"/>
          </w:tcPr>
          <w:p w14:paraId="01C1C349">
            <w:pPr>
              <w:spacing w:line="360" w:lineRule="auto"/>
              <w:jc w:val="center"/>
              <w:rPr>
                <w:rFonts w:hint="eastAsia" w:ascii="宋体" w:hAnsi="宋体" w:eastAsia="宋体" w:cs="宋体"/>
                <w:szCs w:val="21"/>
              </w:rPr>
            </w:pPr>
            <w:r>
              <w:rPr>
                <w:rFonts w:hint="eastAsia" w:ascii="宋体" w:hAnsi="宋体" w:eastAsia="宋体" w:cs="宋体"/>
                <w:szCs w:val="21"/>
              </w:rPr>
              <w:t>0</w:t>
            </w:r>
          </w:p>
        </w:tc>
      </w:tr>
      <w:tr w14:paraId="0CCF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30" w:type="dxa"/>
            <w:gridSpan w:val="4"/>
            <w:vAlign w:val="center"/>
          </w:tcPr>
          <w:p w14:paraId="61E8E53B">
            <w:pPr>
              <w:spacing w:line="360" w:lineRule="auto"/>
              <w:jc w:val="center"/>
              <w:rPr>
                <w:rFonts w:hint="eastAsia" w:ascii="宋体" w:hAnsi="宋体" w:eastAsia="宋体" w:cs="宋体"/>
                <w:szCs w:val="21"/>
              </w:rPr>
            </w:pPr>
            <w:r>
              <w:rPr>
                <w:rFonts w:hint="eastAsia" w:ascii="宋体" w:hAnsi="宋体" w:eastAsia="宋体" w:cs="宋体"/>
                <w:szCs w:val="21"/>
              </w:rPr>
              <w:t>合计</w:t>
            </w:r>
          </w:p>
        </w:tc>
        <w:tc>
          <w:tcPr>
            <w:tcW w:w="1230" w:type="dxa"/>
            <w:vAlign w:val="center"/>
          </w:tcPr>
          <w:p w14:paraId="3EAEE544">
            <w:pPr>
              <w:spacing w:line="360" w:lineRule="auto"/>
              <w:jc w:val="center"/>
              <w:rPr>
                <w:rFonts w:hint="eastAsia" w:ascii="宋体" w:hAnsi="宋体" w:eastAsia="宋体" w:cs="宋体"/>
                <w:szCs w:val="21"/>
              </w:rPr>
            </w:pPr>
            <w:r>
              <w:rPr>
                <w:rFonts w:hint="eastAsia" w:ascii="宋体" w:hAnsi="宋体" w:eastAsia="宋体" w:cs="宋体"/>
                <w:szCs w:val="21"/>
              </w:rPr>
              <w:t>32</w:t>
            </w:r>
          </w:p>
        </w:tc>
        <w:tc>
          <w:tcPr>
            <w:tcW w:w="1080" w:type="dxa"/>
            <w:vAlign w:val="center"/>
          </w:tcPr>
          <w:p w14:paraId="569E2A75">
            <w:pPr>
              <w:spacing w:line="360" w:lineRule="auto"/>
              <w:jc w:val="center"/>
              <w:rPr>
                <w:rFonts w:hint="eastAsia" w:ascii="宋体" w:hAnsi="宋体" w:eastAsia="宋体" w:cs="宋体"/>
                <w:szCs w:val="21"/>
              </w:rPr>
            </w:pPr>
            <w:r>
              <w:rPr>
                <w:rFonts w:hint="eastAsia" w:ascii="宋体" w:hAnsi="宋体" w:eastAsia="宋体" w:cs="宋体"/>
                <w:szCs w:val="21"/>
              </w:rPr>
              <w:t>0</w:t>
            </w:r>
          </w:p>
        </w:tc>
      </w:tr>
    </w:tbl>
    <w:p w14:paraId="17059CF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四、课程实施</w:t>
      </w:r>
    </w:p>
    <w:p w14:paraId="4D628F15">
      <w:pPr>
        <w:snapToGrid w:val="0"/>
        <w:spacing w:line="360" w:lineRule="auto"/>
        <w:ind w:firstLine="420" w:firstLineChars="200"/>
        <w:rPr>
          <w:szCs w:val="21"/>
        </w:rPr>
      </w:pPr>
      <w:r>
        <w:rPr>
          <w:rFonts w:hint="eastAsia"/>
          <w:szCs w:val="21"/>
        </w:rPr>
        <w:t>（一）教学方法与教学手段</w:t>
      </w:r>
    </w:p>
    <w:p w14:paraId="5918080C">
      <w:pPr>
        <w:spacing w:line="360" w:lineRule="auto"/>
        <w:ind w:firstLine="420" w:firstLineChars="200"/>
        <w:rPr>
          <w:rFonts w:eastAsia="宋体"/>
          <w:szCs w:val="21"/>
        </w:rPr>
      </w:pPr>
      <w:r>
        <w:rPr>
          <w:rFonts w:hint="eastAsia"/>
          <w:szCs w:val="21"/>
        </w:rPr>
        <w:t>1.通过采用启发式、讨论式、案例式以及专题式等多种教学方法，深刻认识国防的基本概念、历史背景与现实意义；学会运用军事理论的基本框架，对国际安全形势、军事冲突案例等进行初步分析和判断的能力，重点掌握学习军事科学的意义和方法，提高其逻辑思维和批判性思维能力。树立总体国家安全观，提高识别和防范各种安全风险的能力。</w:t>
      </w:r>
    </w:p>
    <w:p w14:paraId="09F99206">
      <w:pPr>
        <w:spacing w:line="360" w:lineRule="auto"/>
        <w:ind w:firstLine="420" w:firstLineChars="200"/>
        <w:rPr>
          <w:szCs w:val="21"/>
        </w:rPr>
      </w:pPr>
      <w:r>
        <w:rPr>
          <w:rFonts w:hint="eastAsia"/>
          <w:szCs w:val="21"/>
        </w:rPr>
        <w:t>2.通过采用多媒体教学手段，创新现代化教学模式，不断提高军事理论课的针对性和吸引力。</w:t>
      </w:r>
    </w:p>
    <w:p w14:paraId="4663A59A">
      <w:pPr>
        <w:spacing w:line="360" w:lineRule="auto"/>
        <w:ind w:firstLine="420" w:firstLineChars="200"/>
        <w:rPr>
          <w:szCs w:val="21"/>
        </w:rPr>
      </w:pPr>
      <w:r>
        <w:rPr>
          <w:rFonts w:hint="eastAsia"/>
          <w:szCs w:val="21"/>
        </w:rPr>
        <w:t>（二）教学质量要求</w:t>
      </w:r>
    </w:p>
    <w:p w14:paraId="77D4F256">
      <w:pPr>
        <w:spacing w:line="360" w:lineRule="auto"/>
        <w:ind w:firstLine="420" w:firstLineChars="200"/>
        <w:rPr>
          <w:szCs w:val="21"/>
        </w:rPr>
      </w:pPr>
      <w:r>
        <w:rPr>
          <w:rFonts w:hint="eastAsia"/>
          <w:szCs w:val="21"/>
        </w:rPr>
        <w:t>主要教学环节质量要求如表所示。</w:t>
      </w:r>
    </w:p>
    <w:tbl>
      <w:tblPr>
        <w:tblStyle w:val="11"/>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210"/>
        <w:gridCol w:w="6436"/>
      </w:tblGrid>
      <w:tr w14:paraId="63DE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39" w:type="dxa"/>
            <w:gridSpan w:val="2"/>
            <w:tcBorders>
              <w:top w:val="single" w:color="auto" w:sz="8" w:space="0"/>
              <w:left w:val="single" w:color="auto" w:sz="8" w:space="0"/>
              <w:right w:val="single" w:color="auto" w:sz="8" w:space="0"/>
            </w:tcBorders>
            <w:tcMar>
              <w:left w:w="28" w:type="dxa"/>
              <w:right w:w="28" w:type="dxa"/>
            </w:tcMar>
            <w:vAlign w:val="center"/>
          </w:tcPr>
          <w:p w14:paraId="3F61D4F0">
            <w:pPr>
              <w:spacing w:line="360" w:lineRule="auto"/>
              <w:jc w:val="center"/>
              <w:rPr>
                <w:b/>
                <w:szCs w:val="21"/>
              </w:rPr>
            </w:pPr>
            <w:r>
              <w:rPr>
                <w:b/>
                <w:szCs w:val="21"/>
              </w:rPr>
              <w:t>主要教学环节</w:t>
            </w:r>
          </w:p>
        </w:tc>
        <w:tc>
          <w:tcPr>
            <w:tcW w:w="6436" w:type="dxa"/>
            <w:tcBorders>
              <w:top w:val="single" w:color="auto" w:sz="8" w:space="0"/>
              <w:left w:val="single" w:color="auto" w:sz="8" w:space="0"/>
              <w:right w:val="single" w:color="auto" w:sz="8" w:space="0"/>
            </w:tcBorders>
            <w:vAlign w:val="center"/>
          </w:tcPr>
          <w:p w14:paraId="2732D33B">
            <w:pPr>
              <w:spacing w:line="360" w:lineRule="auto"/>
              <w:jc w:val="center"/>
              <w:rPr>
                <w:b/>
                <w:szCs w:val="21"/>
              </w:rPr>
            </w:pPr>
            <w:r>
              <w:rPr>
                <w:b/>
                <w:szCs w:val="21"/>
              </w:rPr>
              <w:t>质量</w:t>
            </w:r>
            <w:r>
              <w:rPr>
                <w:rFonts w:hint="eastAsia"/>
                <w:b/>
                <w:szCs w:val="21"/>
              </w:rPr>
              <w:t>要求</w:t>
            </w:r>
          </w:p>
        </w:tc>
      </w:tr>
      <w:tr w14:paraId="59E0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29" w:type="dxa"/>
            <w:tcBorders>
              <w:left w:val="single" w:color="auto" w:sz="8" w:space="0"/>
            </w:tcBorders>
            <w:vAlign w:val="center"/>
          </w:tcPr>
          <w:p w14:paraId="60A30CFE">
            <w:pPr>
              <w:spacing w:line="360" w:lineRule="auto"/>
              <w:jc w:val="center"/>
              <w:rPr>
                <w:szCs w:val="21"/>
              </w:rPr>
            </w:pPr>
            <w:r>
              <w:rPr>
                <w:szCs w:val="21"/>
              </w:rPr>
              <w:t>1</w:t>
            </w:r>
          </w:p>
        </w:tc>
        <w:tc>
          <w:tcPr>
            <w:tcW w:w="1210" w:type="dxa"/>
            <w:tcMar>
              <w:left w:w="28" w:type="dxa"/>
              <w:right w:w="28" w:type="dxa"/>
            </w:tcMar>
            <w:vAlign w:val="center"/>
          </w:tcPr>
          <w:p w14:paraId="6A3657DE">
            <w:pPr>
              <w:spacing w:line="360" w:lineRule="auto"/>
              <w:jc w:val="center"/>
              <w:rPr>
                <w:szCs w:val="21"/>
              </w:rPr>
            </w:pPr>
            <w:r>
              <w:rPr>
                <w:szCs w:val="21"/>
              </w:rPr>
              <w:t>备课</w:t>
            </w:r>
          </w:p>
        </w:tc>
        <w:tc>
          <w:tcPr>
            <w:tcW w:w="6436" w:type="dxa"/>
            <w:tcBorders>
              <w:right w:val="single" w:color="auto" w:sz="8" w:space="0"/>
            </w:tcBorders>
            <w:vAlign w:val="center"/>
          </w:tcPr>
          <w:p w14:paraId="41D5D98F">
            <w:pPr>
              <w:snapToGrid w:val="0"/>
              <w:spacing w:line="360" w:lineRule="auto"/>
              <w:ind w:firstLine="420" w:firstLineChars="200"/>
              <w:rPr>
                <w:rFonts w:hint="eastAsia" w:ascii="宋体" w:hAnsi="宋体"/>
                <w:szCs w:val="21"/>
              </w:rPr>
            </w:pPr>
            <w:r>
              <w:rPr>
                <w:rFonts w:hint="eastAsia" w:ascii="宋体" w:hAnsi="宋体"/>
                <w:szCs w:val="21"/>
              </w:rPr>
              <w:t>（1）掌握本课程教学大纲内容，严格按照教学大纲要求进行课程教学内容的组织。</w:t>
            </w:r>
          </w:p>
          <w:p w14:paraId="44080ABB">
            <w:pPr>
              <w:snapToGrid w:val="0"/>
              <w:spacing w:line="360" w:lineRule="auto"/>
              <w:ind w:firstLine="420" w:firstLineChars="200"/>
              <w:rPr>
                <w:rFonts w:hint="eastAsia" w:ascii="宋体" w:hAnsi="宋体"/>
                <w:szCs w:val="21"/>
              </w:rPr>
            </w:pPr>
            <w:r>
              <w:rPr>
                <w:rFonts w:hint="eastAsia" w:ascii="宋体" w:hAnsi="宋体"/>
                <w:szCs w:val="21"/>
              </w:rPr>
              <w:t>（2）熟悉教材各章节，借助相关专业书籍资料，并依据教学大纲编写授课计划，编写每次授课的教案。</w:t>
            </w:r>
          </w:p>
          <w:p w14:paraId="0390823A">
            <w:pPr>
              <w:spacing w:line="360" w:lineRule="auto"/>
              <w:ind w:firstLine="420" w:firstLineChars="200"/>
              <w:rPr>
                <w:szCs w:val="21"/>
              </w:rPr>
            </w:pPr>
            <w:r>
              <w:rPr>
                <w:rFonts w:hint="eastAsia" w:ascii="宋体" w:hAnsi="宋体"/>
                <w:szCs w:val="21"/>
              </w:rPr>
              <w:t>（3）使用统一课件授课，根据各部分教学内容，构思授课思路、技巧，选择合适的教学方法。</w:t>
            </w:r>
          </w:p>
        </w:tc>
      </w:tr>
      <w:tr w14:paraId="452C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9" w:type="dxa"/>
            <w:tcBorders>
              <w:left w:val="single" w:color="auto" w:sz="8" w:space="0"/>
            </w:tcBorders>
            <w:vAlign w:val="center"/>
          </w:tcPr>
          <w:p w14:paraId="187A1AAE">
            <w:pPr>
              <w:spacing w:line="360" w:lineRule="auto"/>
              <w:jc w:val="center"/>
              <w:rPr>
                <w:szCs w:val="21"/>
              </w:rPr>
            </w:pPr>
            <w:r>
              <w:rPr>
                <w:szCs w:val="21"/>
              </w:rPr>
              <w:t>2</w:t>
            </w:r>
          </w:p>
        </w:tc>
        <w:tc>
          <w:tcPr>
            <w:tcW w:w="1210" w:type="dxa"/>
            <w:tcMar>
              <w:left w:w="28" w:type="dxa"/>
              <w:right w:w="28" w:type="dxa"/>
            </w:tcMar>
            <w:vAlign w:val="center"/>
          </w:tcPr>
          <w:p w14:paraId="1F5E55B0">
            <w:pPr>
              <w:spacing w:line="360" w:lineRule="auto"/>
              <w:jc w:val="center"/>
              <w:rPr>
                <w:szCs w:val="21"/>
              </w:rPr>
            </w:pPr>
            <w:r>
              <w:rPr>
                <w:szCs w:val="21"/>
              </w:rPr>
              <w:t>讲授</w:t>
            </w:r>
          </w:p>
        </w:tc>
        <w:tc>
          <w:tcPr>
            <w:tcW w:w="6436" w:type="dxa"/>
            <w:tcBorders>
              <w:right w:val="single" w:color="auto" w:sz="8" w:space="0"/>
            </w:tcBorders>
            <w:vAlign w:val="center"/>
          </w:tcPr>
          <w:p w14:paraId="0109F790">
            <w:pPr>
              <w:snapToGrid w:val="0"/>
              <w:spacing w:line="360" w:lineRule="auto"/>
              <w:ind w:firstLine="420" w:firstLineChars="200"/>
              <w:rPr>
                <w:rFonts w:hint="eastAsia" w:ascii="宋体" w:hAnsi="宋体"/>
                <w:szCs w:val="21"/>
              </w:rPr>
            </w:pPr>
            <w:r>
              <w:rPr>
                <w:rFonts w:hint="eastAsia" w:ascii="宋体" w:hAnsi="宋体"/>
                <w:szCs w:val="21"/>
              </w:rPr>
              <w:t>（1）要点准确、推理正确、条理清晰、重点突出，能够理论联系实际。</w:t>
            </w:r>
          </w:p>
          <w:p w14:paraId="766B12BF">
            <w:pPr>
              <w:snapToGrid w:val="0"/>
              <w:spacing w:line="360" w:lineRule="auto"/>
              <w:ind w:firstLine="420" w:firstLineChars="200"/>
              <w:rPr>
                <w:rFonts w:hint="eastAsia" w:ascii="宋体" w:hAnsi="宋体"/>
                <w:szCs w:val="21"/>
              </w:rPr>
            </w:pPr>
            <w:r>
              <w:rPr>
                <w:rFonts w:hint="eastAsia" w:ascii="宋体" w:hAnsi="宋体"/>
                <w:szCs w:val="21"/>
              </w:rPr>
              <w:t>（2）采用多种教学方式（如启发式教学、讨论式教学、案例分析教学等），培养学生的思想政治素质，注重培养学生发现、分析和解决问题的能力。</w:t>
            </w:r>
          </w:p>
          <w:p w14:paraId="04BB1583">
            <w:pPr>
              <w:snapToGrid w:val="0"/>
              <w:spacing w:line="360" w:lineRule="auto"/>
              <w:ind w:firstLine="420" w:firstLineChars="200"/>
              <w:rPr>
                <w:rFonts w:hint="eastAsia" w:ascii="宋体" w:hAnsi="宋体"/>
                <w:szCs w:val="21"/>
              </w:rPr>
            </w:pPr>
            <w:r>
              <w:rPr>
                <w:rFonts w:hint="eastAsia" w:ascii="宋体" w:hAnsi="宋体"/>
                <w:szCs w:val="21"/>
              </w:rPr>
              <w:t>（3）能够采用现代信息技术辅助教学。</w:t>
            </w:r>
          </w:p>
          <w:p w14:paraId="183505CE">
            <w:pPr>
              <w:spacing w:line="360" w:lineRule="auto"/>
              <w:rPr>
                <w:szCs w:val="21"/>
              </w:rPr>
            </w:pPr>
            <w:r>
              <w:rPr>
                <w:rFonts w:hint="eastAsia" w:ascii="宋体" w:hAnsi="宋体"/>
                <w:szCs w:val="21"/>
              </w:rPr>
              <w:t>（4）表达方式应能便于学生理解、接受，力求形象生动，使学生在掌握知识的过程中，保持较为浓厚的兴趣。</w:t>
            </w:r>
          </w:p>
        </w:tc>
      </w:tr>
      <w:tr w14:paraId="360E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29" w:type="dxa"/>
            <w:tcBorders>
              <w:left w:val="single" w:color="auto" w:sz="8" w:space="0"/>
            </w:tcBorders>
            <w:vAlign w:val="center"/>
          </w:tcPr>
          <w:p w14:paraId="52862A43">
            <w:pPr>
              <w:spacing w:line="360" w:lineRule="auto"/>
              <w:jc w:val="center"/>
              <w:rPr>
                <w:szCs w:val="21"/>
              </w:rPr>
            </w:pPr>
            <w:r>
              <w:rPr>
                <w:szCs w:val="21"/>
              </w:rPr>
              <w:t>3</w:t>
            </w:r>
          </w:p>
        </w:tc>
        <w:tc>
          <w:tcPr>
            <w:tcW w:w="1210" w:type="dxa"/>
            <w:tcMar>
              <w:left w:w="28" w:type="dxa"/>
              <w:right w:w="28" w:type="dxa"/>
            </w:tcMar>
            <w:vAlign w:val="center"/>
          </w:tcPr>
          <w:p w14:paraId="00101C84">
            <w:pPr>
              <w:spacing w:line="360" w:lineRule="auto"/>
              <w:jc w:val="center"/>
              <w:rPr>
                <w:szCs w:val="21"/>
                <w:highlight w:val="yellow"/>
              </w:rPr>
            </w:pPr>
            <w:r>
              <w:rPr>
                <w:szCs w:val="21"/>
              </w:rPr>
              <w:t>作业布置与批改</w:t>
            </w:r>
          </w:p>
        </w:tc>
        <w:tc>
          <w:tcPr>
            <w:tcW w:w="6436" w:type="dxa"/>
            <w:tcBorders>
              <w:right w:val="single" w:color="auto" w:sz="8" w:space="0"/>
            </w:tcBorders>
            <w:vAlign w:val="center"/>
          </w:tcPr>
          <w:p w14:paraId="0522B512">
            <w:pPr>
              <w:spacing w:line="360" w:lineRule="auto"/>
              <w:ind w:firstLine="210" w:firstLineChars="100"/>
              <w:rPr>
                <w:szCs w:val="21"/>
              </w:rPr>
            </w:pPr>
            <w:r>
              <w:rPr>
                <w:rFonts w:hint="eastAsia"/>
                <w:szCs w:val="21"/>
              </w:rPr>
              <w:t>学生必须完成规定数量的作业，作业必须达到以下基本要求：</w:t>
            </w:r>
          </w:p>
          <w:p w14:paraId="1F892119">
            <w:pPr>
              <w:spacing w:line="360" w:lineRule="auto"/>
              <w:ind w:firstLine="210" w:firstLineChars="100"/>
              <w:rPr>
                <w:szCs w:val="21"/>
              </w:rPr>
            </w:pPr>
            <w:r>
              <w:rPr>
                <w:rFonts w:hint="eastAsia"/>
                <w:szCs w:val="21"/>
              </w:rPr>
              <w:t>（1）按时按量完成作业，不缺交，不抄袭。</w:t>
            </w:r>
          </w:p>
          <w:p w14:paraId="6AC78DFF">
            <w:pPr>
              <w:spacing w:line="360" w:lineRule="auto"/>
              <w:ind w:firstLine="210" w:firstLineChars="100"/>
              <w:rPr>
                <w:szCs w:val="21"/>
              </w:rPr>
            </w:pPr>
            <w:r>
              <w:rPr>
                <w:rFonts w:hint="eastAsia"/>
                <w:szCs w:val="21"/>
              </w:rPr>
              <w:t>（2）书写规范、清晰。</w:t>
            </w:r>
          </w:p>
          <w:p w14:paraId="049F5611">
            <w:pPr>
              <w:spacing w:line="360" w:lineRule="auto"/>
              <w:ind w:firstLine="210" w:firstLineChars="100"/>
              <w:rPr>
                <w:szCs w:val="21"/>
              </w:rPr>
            </w:pPr>
            <w:r>
              <w:rPr>
                <w:rFonts w:hint="eastAsia"/>
                <w:szCs w:val="21"/>
              </w:rPr>
              <w:t>教师批改作业要求如下：</w:t>
            </w:r>
          </w:p>
          <w:p w14:paraId="6FB58956">
            <w:pPr>
              <w:spacing w:line="360" w:lineRule="auto"/>
              <w:ind w:firstLine="210" w:firstLineChars="100"/>
              <w:rPr>
                <w:szCs w:val="21"/>
              </w:rPr>
            </w:pPr>
            <w:r>
              <w:rPr>
                <w:rFonts w:hint="eastAsia"/>
                <w:szCs w:val="21"/>
              </w:rPr>
              <w:t>（3）学生的作业要按时全部批改，并及时进行讲评。</w:t>
            </w:r>
          </w:p>
          <w:p w14:paraId="2262AD2B">
            <w:pPr>
              <w:spacing w:line="360" w:lineRule="auto"/>
              <w:ind w:firstLine="210" w:firstLineChars="100"/>
              <w:rPr>
                <w:szCs w:val="21"/>
              </w:rPr>
            </w:pPr>
            <w:r>
              <w:rPr>
                <w:rFonts w:hint="eastAsia"/>
                <w:szCs w:val="21"/>
              </w:rPr>
              <w:t>（4）教师批改和讲评作业要认真、细致，按百分制评定成绩并写明日期 。</w:t>
            </w:r>
          </w:p>
          <w:p w14:paraId="3E9A0717">
            <w:pPr>
              <w:spacing w:line="360" w:lineRule="auto"/>
              <w:ind w:firstLine="210" w:firstLineChars="100"/>
              <w:rPr>
                <w:szCs w:val="21"/>
                <w:highlight w:val="yellow"/>
              </w:rPr>
            </w:pPr>
            <w:r>
              <w:rPr>
                <w:rFonts w:hint="eastAsia"/>
                <w:szCs w:val="21"/>
              </w:rPr>
              <w:t>（5）学生作业的平均成绩应作为本课程总评成绩中平时成绩的重要组 成部分。</w:t>
            </w:r>
          </w:p>
        </w:tc>
      </w:tr>
      <w:tr w14:paraId="6673E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 w:type="dxa"/>
            <w:tcBorders>
              <w:left w:val="single" w:color="auto" w:sz="8" w:space="0"/>
            </w:tcBorders>
            <w:vAlign w:val="center"/>
          </w:tcPr>
          <w:p w14:paraId="6FFE2661">
            <w:pPr>
              <w:spacing w:line="360" w:lineRule="auto"/>
              <w:jc w:val="center"/>
              <w:rPr>
                <w:szCs w:val="21"/>
              </w:rPr>
            </w:pPr>
            <w:r>
              <w:rPr>
                <w:rFonts w:hint="eastAsia"/>
                <w:szCs w:val="21"/>
              </w:rPr>
              <w:t>4</w:t>
            </w:r>
          </w:p>
        </w:tc>
        <w:tc>
          <w:tcPr>
            <w:tcW w:w="1210" w:type="dxa"/>
            <w:tcMar>
              <w:left w:w="28" w:type="dxa"/>
              <w:right w:w="28" w:type="dxa"/>
            </w:tcMar>
            <w:vAlign w:val="center"/>
          </w:tcPr>
          <w:p w14:paraId="0413526D">
            <w:pPr>
              <w:spacing w:line="360" w:lineRule="auto"/>
              <w:jc w:val="center"/>
              <w:rPr>
                <w:szCs w:val="21"/>
              </w:rPr>
            </w:pPr>
            <w:r>
              <w:rPr>
                <w:szCs w:val="21"/>
              </w:rPr>
              <w:t>课外答疑</w:t>
            </w:r>
          </w:p>
        </w:tc>
        <w:tc>
          <w:tcPr>
            <w:tcW w:w="6436" w:type="dxa"/>
            <w:tcBorders>
              <w:right w:val="single" w:color="auto" w:sz="8" w:space="0"/>
            </w:tcBorders>
            <w:vAlign w:val="center"/>
          </w:tcPr>
          <w:p w14:paraId="744DC462">
            <w:pPr>
              <w:spacing w:line="360" w:lineRule="auto"/>
              <w:ind w:firstLine="210" w:firstLineChars="100"/>
              <w:rPr>
                <w:szCs w:val="21"/>
              </w:rPr>
            </w:pPr>
            <w:r>
              <w:rPr>
                <w:rFonts w:hint="eastAsia"/>
                <w:szCs w:val="21"/>
              </w:rPr>
              <w:t>为了解学生的学习情况，帮助学生更好地理解和消化所学知识、改进学习方法和思维方式，培养其独立思考问题的能力，任课教师需每周安排一定时间进行课外答疑与辅导。</w:t>
            </w:r>
          </w:p>
        </w:tc>
      </w:tr>
      <w:tr w14:paraId="12A1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dxa"/>
            <w:tcBorders>
              <w:left w:val="single" w:color="auto" w:sz="8" w:space="0"/>
            </w:tcBorders>
            <w:vAlign w:val="center"/>
          </w:tcPr>
          <w:p w14:paraId="08083B60">
            <w:pPr>
              <w:spacing w:line="360" w:lineRule="auto"/>
              <w:jc w:val="center"/>
              <w:rPr>
                <w:szCs w:val="21"/>
              </w:rPr>
            </w:pPr>
            <w:r>
              <w:rPr>
                <w:rFonts w:hint="eastAsia"/>
                <w:szCs w:val="21"/>
              </w:rPr>
              <w:t>5</w:t>
            </w:r>
          </w:p>
        </w:tc>
        <w:tc>
          <w:tcPr>
            <w:tcW w:w="1210" w:type="dxa"/>
            <w:tcMar>
              <w:left w:w="28" w:type="dxa"/>
              <w:right w:w="28" w:type="dxa"/>
            </w:tcMar>
            <w:vAlign w:val="center"/>
          </w:tcPr>
          <w:p w14:paraId="3EDA8AF9">
            <w:pPr>
              <w:spacing w:line="360" w:lineRule="auto"/>
              <w:jc w:val="center"/>
              <w:rPr>
                <w:szCs w:val="21"/>
              </w:rPr>
            </w:pPr>
            <w:r>
              <w:rPr>
                <w:szCs w:val="21"/>
              </w:rPr>
              <w:t>成绩考核</w:t>
            </w:r>
          </w:p>
        </w:tc>
        <w:tc>
          <w:tcPr>
            <w:tcW w:w="6436" w:type="dxa"/>
            <w:tcBorders>
              <w:right w:val="single" w:color="auto" w:sz="8" w:space="0"/>
            </w:tcBorders>
            <w:vAlign w:val="center"/>
          </w:tcPr>
          <w:p w14:paraId="611235AB">
            <w:pPr>
              <w:spacing w:line="360" w:lineRule="auto"/>
              <w:ind w:firstLine="210" w:firstLineChars="100"/>
              <w:rPr>
                <w:szCs w:val="21"/>
              </w:rPr>
            </w:pPr>
            <w:r>
              <w:rPr>
                <w:rFonts w:hint="eastAsia"/>
                <w:szCs w:val="21"/>
              </w:rPr>
              <w:t>根据平时成绩和考试成绩确定</w:t>
            </w:r>
          </w:p>
        </w:tc>
      </w:tr>
    </w:tbl>
    <w:p w14:paraId="6129A59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五、课程考核</w:t>
      </w:r>
    </w:p>
    <w:p w14:paraId="15C17BDA">
      <w:pPr>
        <w:spacing w:line="360" w:lineRule="auto"/>
        <w:ind w:firstLine="420" w:firstLineChars="200"/>
        <w:rPr>
          <w:szCs w:val="21"/>
        </w:rPr>
      </w:pPr>
      <w:r>
        <w:rPr>
          <w:rFonts w:hint="eastAsia"/>
          <w:szCs w:val="21"/>
        </w:rPr>
        <w:t>（一）</w:t>
      </w:r>
      <w:r>
        <w:rPr>
          <w:szCs w:val="21"/>
        </w:rPr>
        <w:t>课程考核包括期末考试、平时考核</w:t>
      </w:r>
      <w:r>
        <w:rPr>
          <w:rFonts w:hint="eastAsia"/>
          <w:szCs w:val="21"/>
        </w:rPr>
        <w:t>等</w:t>
      </w:r>
      <w:r>
        <w:rPr>
          <w:szCs w:val="21"/>
        </w:rPr>
        <w:t>，期</w:t>
      </w:r>
      <w:r>
        <w:rPr>
          <w:rFonts w:hint="eastAsia"/>
          <w:szCs w:val="21"/>
        </w:rPr>
        <w:t>末</w:t>
      </w:r>
      <w:r>
        <w:rPr>
          <w:szCs w:val="21"/>
        </w:rPr>
        <w:t>考试采用</w:t>
      </w:r>
      <w:r>
        <w:rPr>
          <w:rFonts w:hint="eastAsia"/>
          <w:szCs w:val="21"/>
        </w:rPr>
        <w:t>开卷方式</w:t>
      </w:r>
      <w:r>
        <w:rPr>
          <w:szCs w:val="21"/>
        </w:rPr>
        <w:t>。</w:t>
      </w:r>
    </w:p>
    <w:p w14:paraId="3AB91B4F">
      <w:pPr>
        <w:spacing w:line="360" w:lineRule="auto"/>
        <w:ind w:firstLine="420" w:firstLineChars="200"/>
        <w:rPr>
          <w:szCs w:val="21"/>
        </w:rPr>
      </w:pPr>
      <w:r>
        <w:rPr>
          <w:rFonts w:hint="eastAsia"/>
          <w:szCs w:val="21"/>
        </w:rPr>
        <w:t>（二）</w:t>
      </w:r>
      <w:r>
        <w:rPr>
          <w:szCs w:val="21"/>
        </w:rPr>
        <w:t>课程</w:t>
      </w:r>
      <w:r>
        <w:rPr>
          <w:rFonts w:hint="eastAsia"/>
          <w:szCs w:val="21"/>
        </w:rPr>
        <w:t>总评</w:t>
      </w:r>
      <w:r>
        <w:rPr>
          <w:szCs w:val="21"/>
        </w:rPr>
        <w:t>成绩=平时成绩×</w:t>
      </w:r>
      <w:r>
        <w:rPr>
          <w:rFonts w:hint="eastAsia"/>
          <w:szCs w:val="21"/>
        </w:rPr>
        <w:t xml:space="preserve"> 40 </w:t>
      </w:r>
      <w:r>
        <w:rPr>
          <w:szCs w:val="21"/>
        </w:rPr>
        <w:t xml:space="preserve">% +期末考试成绩× </w:t>
      </w:r>
      <w:r>
        <w:rPr>
          <w:rFonts w:hint="eastAsia"/>
          <w:szCs w:val="21"/>
        </w:rPr>
        <w:t>60</w:t>
      </w:r>
      <w:r>
        <w:rPr>
          <w:szCs w:val="21"/>
        </w:rPr>
        <w:t>%。</w:t>
      </w:r>
    </w:p>
    <w:p w14:paraId="6A59799E">
      <w:pPr>
        <w:spacing w:line="360" w:lineRule="auto"/>
        <w:ind w:firstLine="420" w:firstLineChars="200"/>
        <w:rPr>
          <w:szCs w:val="21"/>
        </w:rPr>
      </w:pPr>
      <w:r>
        <w:rPr>
          <w:szCs w:val="21"/>
        </w:rPr>
        <w:t>具体内容和比例</w:t>
      </w:r>
      <w:r>
        <w:rPr>
          <w:rFonts w:hint="eastAsia"/>
          <w:szCs w:val="21"/>
        </w:rPr>
        <w:t>如表所示。</w:t>
      </w:r>
    </w:p>
    <w:tbl>
      <w:tblPr>
        <w:tblStyle w:val="11"/>
        <w:tblW w:w="8079"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753"/>
        <w:gridCol w:w="1116"/>
        <w:gridCol w:w="3722"/>
      </w:tblGrid>
      <w:tr w14:paraId="6E1D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8" w:type="dxa"/>
            <w:shd w:val="clear" w:color="auto" w:fill="FFFFFF"/>
            <w:tcMar>
              <w:left w:w="57" w:type="dxa"/>
              <w:right w:w="57" w:type="dxa"/>
            </w:tcMar>
            <w:vAlign w:val="center"/>
          </w:tcPr>
          <w:p w14:paraId="059B8D06">
            <w:pPr>
              <w:pStyle w:val="30"/>
              <w:spacing w:line="360" w:lineRule="auto"/>
              <w:jc w:val="center"/>
              <w:rPr>
                <w:rFonts w:eastAsia="宋体"/>
                <w:szCs w:val="21"/>
              </w:rPr>
            </w:pPr>
            <w:r>
              <w:rPr>
                <w:rFonts w:eastAsia="宋体"/>
                <w:szCs w:val="21"/>
              </w:rPr>
              <w:t>成绩组成</w:t>
            </w:r>
          </w:p>
        </w:tc>
        <w:tc>
          <w:tcPr>
            <w:tcW w:w="1753" w:type="dxa"/>
            <w:shd w:val="clear" w:color="auto" w:fill="FFFFFF"/>
            <w:vAlign w:val="center"/>
          </w:tcPr>
          <w:p w14:paraId="3B7DE4DD">
            <w:pPr>
              <w:pStyle w:val="30"/>
              <w:spacing w:line="360" w:lineRule="auto"/>
              <w:jc w:val="center"/>
              <w:rPr>
                <w:rFonts w:eastAsia="宋体"/>
                <w:szCs w:val="21"/>
              </w:rPr>
            </w:pPr>
            <w:r>
              <w:rPr>
                <w:rFonts w:eastAsia="宋体"/>
                <w:szCs w:val="21"/>
              </w:rPr>
              <w:t>考核/评价环节</w:t>
            </w:r>
          </w:p>
        </w:tc>
        <w:tc>
          <w:tcPr>
            <w:tcW w:w="1116" w:type="dxa"/>
            <w:shd w:val="clear" w:color="auto" w:fill="FFFFFF"/>
            <w:vAlign w:val="center"/>
          </w:tcPr>
          <w:p w14:paraId="67C1C946">
            <w:pPr>
              <w:pStyle w:val="30"/>
              <w:spacing w:line="360" w:lineRule="auto"/>
              <w:jc w:val="center"/>
              <w:rPr>
                <w:rFonts w:eastAsia="宋体"/>
                <w:szCs w:val="21"/>
              </w:rPr>
            </w:pPr>
            <w:r>
              <w:rPr>
                <w:rFonts w:hint="eastAsia" w:eastAsia="宋体"/>
                <w:szCs w:val="21"/>
              </w:rPr>
              <w:t>权重</w:t>
            </w:r>
          </w:p>
        </w:tc>
        <w:tc>
          <w:tcPr>
            <w:tcW w:w="3722" w:type="dxa"/>
            <w:shd w:val="clear" w:color="auto" w:fill="FFFFFF"/>
            <w:vAlign w:val="center"/>
          </w:tcPr>
          <w:p w14:paraId="10537E37">
            <w:pPr>
              <w:pStyle w:val="30"/>
              <w:spacing w:line="360" w:lineRule="auto"/>
              <w:jc w:val="center"/>
              <w:rPr>
                <w:rFonts w:eastAsia="宋体"/>
                <w:szCs w:val="21"/>
              </w:rPr>
            </w:pPr>
            <w:r>
              <w:rPr>
                <w:rFonts w:eastAsia="宋体"/>
                <w:szCs w:val="21"/>
              </w:rPr>
              <w:t>考核/评价细则</w:t>
            </w:r>
          </w:p>
        </w:tc>
      </w:tr>
      <w:tr w14:paraId="3D18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488" w:type="dxa"/>
            <w:tcMar>
              <w:left w:w="57" w:type="dxa"/>
              <w:right w:w="57" w:type="dxa"/>
            </w:tcMar>
            <w:vAlign w:val="center"/>
          </w:tcPr>
          <w:p w14:paraId="057B5086">
            <w:pPr>
              <w:pStyle w:val="30"/>
              <w:spacing w:line="360" w:lineRule="auto"/>
              <w:jc w:val="center"/>
              <w:rPr>
                <w:rFonts w:eastAsia="宋体"/>
                <w:szCs w:val="21"/>
              </w:rPr>
            </w:pPr>
            <w:r>
              <w:rPr>
                <w:rFonts w:eastAsia="宋体"/>
                <w:szCs w:val="21"/>
              </w:rPr>
              <w:t>平时成绩</w:t>
            </w:r>
          </w:p>
        </w:tc>
        <w:tc>
          <w:tcPr>
            <w:tcW w:w="1753" w:type="dxa"/>
            <w:vAlign w:val="center"/>
          </w:tcPr>
          <w:p w14:paraId="66CCDCF3">
            <w:pPr>
              <w:pStyle w:val="30"/>
              <w:spacing w:line="360" w:lineRule="auto"/>
              <w:rPr>
                <w:rFonts w:eastAsia="宋体"/>
                <w:szCs w:val="21"/>
              </w:rPr>
            </w:pPr>
            <w:r>
              <w:rPr>
                <w:rFonts w:hint="eastAsia" w:eastAsia="宋体"/>
                <w:szCs w:val="21"/>
              </w:rPr>
              <w:t>出勤、听讲情况</w:t>
            </w:r>
          </w:p>
        </w:tc>
        <w:tc>
          <w:tcPr>
            <w:tcW w:w="1116" w:type="dxa"/>
            <w:vAlign w:val="center"/>
          </w:tcPr>
          <w:p w14:paraId="5C453FED">
            <w:pPr>
              <w:pStyle w:val="30"/>
              <w:spacing w:line="360" w:lineRule="auto"/>
              <w:jc w:val="center"/>
              <w:rPr>
                <w:rFonts w:eastAsia="宋体"/>
                <w:szCs w:val="21"/>
              </w:rPr>
            </w:pPr>
            <w:r>
              <w:rPr>
                <w:rFonts w:hint="eastAsia" w:eastAsia="宋体"/>
                <w:szCs w:val="21"/>
              </w:rPr>
              <w:t xml:space="preserve">40 </w:t>
            </w:r>
            <w:r>
              <w:rPr>
                <w:rFonts w:eastAsia="宋体"/>
                <w:szCs w:val="21"/>
              </w:rPr>
              <w:t>%</w:t>
            </w:r>
          </w:p>
        </w:tc>
        <w:tc>
          <w:tcPr>
            <w:tcW w:w="3722" w:type="dxa"/>
            <w:vAlign w:val="center"/>
          </w:tcPr>
          <w:p w14:paraId="67B24548">
            <w:pPr>
              <w:pStyle w:val="30"/>
              <w:spacing w:line="360" w:lineRule="auto"/>
              <w:rPr>
                <w:rFonts w:eastAsia="宋体"/>
                <w:szCs w:val="21"/>
              </w:rPr>
            </w:pPr>
            <w:r>
              <w:rPr>
                <w:rFonts w:hint="eastAsia" w:eastAsia="宋体"/>
                <w:color w:val="000000"/>
                <w:szCs w:val="21"/>
              </w:rPr>
              <w:t>检查出勤情况，观察听讲情况</w:t>
            </w:r>
          </w:p>
        </w:tc>
      </w:tr>
      <w:tr w14:paraId="5CEE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488" w:type="dxa"/>
            <w:tcMar>
              <w:left w:w="57" w:type="dxa"/>
              <w:right w:w="57" w:type="dxa"/>
            </w:tcMar>
            <w:vAlign w:val="center"/>
          </w:tcPr>
          <w:p w14:paraId="79BEB6F7">
            <w:pPr>
              <w:pStyle w:val="30"/>
              <w:spacing w:line="360" w:lineRule="auto"/>
              <w:jc w:val="center"/>
              <w:rPr>
                <w:rFonts w:eastAsia="宋体"/>
                <w:color w:val="FF0000"/>
                <w:szCs w:val="21"/>
              </w:rPr>
            </w:pPr>
            <w:r>
              <w:rPr>
                <w:rFonts w:eastAsia="宋体"/>
                <w:szCs w:val="21"/>
              </w:rPr>
              <w:t>期末考试</w:t>
            </w:r>
            <w:r>
              <w:rPr>
                <w:rFonts w:hint="eastAsia" w:eastAsia="宋体"/>
                <w:szCs w:val="21"/>
              </w:rPr>
              <w:t>成绩</w:t>
            </w:r>
          </w:p>
        </w:tc>
        <w:tc>
          <w:tcPr>
            <w:tcW w:w="1753" w:type="dxa"/>
            <w:vAlign w:val="center"/>
          </w:tcPr>
          <w:p w14:paraId="247E2C0D">
            <w:pPr>
              <w:pStyle w:val="30"/>
              <w:spacing w:line="360" w:lineRule="auto"/>
              <w:rPr>
                <w:rFonts w:eastAsia="宋体"/>
                <w:szCs w:val="21"/>
              </w:rPr>
            </w:pPr>
            <w:r>
              <w:rPr>
                <w:rFonts w:hint="eastAsia" w:eastAsia="宋体"/>
                <w:szCs w:val="21"/>
              </w:rPr>
              <w:t xml:space="preserve"> 根据答题情况</w:t>
            </w:r>
          </w:p>
        </w:tc>
        <w:tc>
          <w:tcPr>
            <w:tcW w:w="1116" w:type="dxa"/>
            <w:vAlign w:val="center"/>
          </w:tcPr>
          <w:p w14:paraId="176CAE31">
            <w:pPr>
              <w:pStyle w:val="30"/>
              <w:spacing w:line="360" w:lineRule="auto"/>
              <w:jc w:val="center"/>
              <w:rPr>
                <w:rFonts w:eastAsia="宋体"/>
                <w:szCs w:val="21"/>
              </w:rPr>
            </w:pPr>
            <w:r>
              <w:rPr>
                <w:rFonts w:hint="eastAsia" w:eastAsia="宋体"/>
                <w:szCs w:val="21"/>
              </w:rPr>
              <w:t>60</w:t>
            </w:r>
            <w:r>
              <w:rPr>
                <w:rFonts w:eastAsia="宋体"/>
                <w:szCs w:val="21"/>
              </w:rPr>
              <w:t>%</w:t>
            </w:r>
          </w:p>
        </w:tc>
        <w:tc>
          <w:tcPr>
            <w:tcW w:w="3722" w:type="dxa"/>
            <w:vAlign w:val="center"/>
          </w:tcPr>
          <w:p w14:paraId="3F633B82">
            <w:pPr>
              <w:pStyle w:val="30"/>
              <w:spacing w:line="360" w:lineRule="auto"/>
              <w:rPr>
                <w:rFonts w:eastAsia="宋体"/>
                <w:color w:val="000000"/>
                <w:szCs w:val="21"/>
              </w:rPr>
            </w:pPr>
            <w:r>
              <w:rPr>
                <w:rFonts w:hint="eastAsia" w:eastAsia="宋体"/>
                <w:color w:val="000000"/>
                <w:szCs w:val="21"/>
              </w:rPr>
              <w:t>根据答题的正确度和完整度评分</w:t>
            </w:r>
          </w:p>
        </w:tc>
      </w:tr>
    </w:tbl>
    <w:p w14:paraId="4DBF5F0A">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41ADDA60">
      <w:pPr>
        <w:autoSpaceDE w:val="0"/>
        <w:autoSpaceDN w:val="0"/>
        <w:adjustRightInd w:val="0"/>
        <w:spacing w:line="360" w:lineRule="auto"/>
        <w:ind w:firstLine="422" w:firstLineChars="200"/>
        <w:jc w:val="left"/>
        <w:rPr>
          <w:b/>
          <w:bCs/>
          <w:kern w:val="0"/>
          <w:szCs w:val="21"/>
        </w:rPr>
      </w:pPr>
      <w:r>
        <w:rPr>
          <w:rFonts w:hint="eastAsia"/>
          <w:b/>
          <w:bCs/>
          <w:kern w:val="0"/>
          <w:szCs w:val="21"/>
        </w:rPr>
        <w:t>（一）持续改进</w:t>
      </w:r>
    </w:p>
    <w:p w14:paraId="459F6340">
      <w:pPr>
        <w:autoSpaceDE w:val="0"/>
        <w:autoSpaceDN w:val="0"/>
        <w:adjustRightInd w:val="0"/>
        <w:spacing w:line="360" w:lineRule="auto"/>
        <w:ind w:firstLine="420" w:firstLineChars="200"/>
        <w:jc w:val="left"/>
        <w:rPr>
          <w:kern w:val="0"/>
          <w:szCs w:val="21"/>
        </w:rPr>
      </w:pPr>
      <w:r>
        <w:rPr>
          <w:rFonts w:hint="eastAsia"/>
          <w:kern w:val="0"/>
          <w:szCs w:val="21"/>
        </w:rPr>
        <w:t>1.随时更新教材和教案，丰富授课内容。</w:t>
      </w:r>
    </w:p>
    <w:p w14:paraId="0EAF67F1">
      <w:pPr>
        <w:autoSpaceDE w:val="0"/>
        <w:autoSpaceDN w:val="0"/>
        <w:adjustRightInd w:val="0"/>
        <w:spacing w:line="360" w:lineRule="auto"/>
        <w:ind w:firstLine="420" w:firstLineChars="200"/>
        <w:jc w:val="left"/>
        <w:rPr>
          <w:kern w:val="0"/>
          <w:szCs w:val="21"/>
        </w:rPr>
      </w:pPr>
      <w:r>
        <w:rPr>
          <w:rFonts w:hint="eastAsia"/>
          <w:kern w:val="0"/>
          <w:szCs w:val="21"/>
        </w:rPr>
        <w:t>2.创新教学方法与手段，提高教学质量。</w:t>
      </w:r>
    </w:p>
    <w:p w14:paraId="7A334C48">
      <w:pPr>
        <w:autoSpaceDE w:val="0"/>
        <w:autoSpaceDN w:val="0"/>
        <w:adjustRightInd w:val="0"/>
        <w:spacing w:line="360" w:lineRule="auto"/>
        <w:ind w:firstLine="422" w:firstLineChars="200"/>
        <w:jc w:val="left"/>
        <w:rPr>
          <w:b/>
          <w:bCs/>
          <w:kern w:val="0"/>
          <w:szCs w:val="21"/>
        </w:rPr>
      </w:pPr>
      <w:r>
        <w:rPr>
          <w:rFonts w:hint="eastAsia"/>
          <w:b/>
          <w:bCs/>
          <w:kern w:val="0"/>
          <w:szCs w:val="21"/>
        </w:rPr>
        <w:t>（二）参与书目及学习资料</w:t>
      </w:r>
    </w:p>
    <w:p w14:paraId="1D026E27">
      <w:pPr>
        <w:autoSpaceDE w:val="0"/>
        <w:autoSpaceDN w:val="0"/>
        <w:adjustRightInd w:val="0"/>
        <w:spacing w:line="360" w:lineRule="auto"/>
        <w:ind w:firstLine="420" w:firstLineChars="200"/>
        <w:jc w:val="left"/>
        <w:rPr>
          <w:kern w:val="0"/>
          <w:szCs w:val="21"/>
        </w:rPr>
      </w:pPr>
      <w:r>
        <w:rPr>
          <w:rFonts w:hint="eastAsia"/>
          <w:kern w:val="0"/>
          <w:szCs w:val="21"/>
        </w:rPr>
        <w:t>1.林高松.新时代中国特色兵役法律制度研究[M].北京：军事科学出版社,2024.</w:t>
      </w:r>
    </w:p>
    <w:p w14:paraId="01489BB9">
      <w:pPr>
        <w:autoSpaceDE w:val="0"/>
        <w:autoSpaceDN w:val="0"/>
        <w:adjustRightInd w:val="0"/>
        <w:spacing w:line="360" w:lineRule="auto"/>
        <w:ind w:firstLine="420" w:firstLineChars="200"/>
        <w:jc w:val="left"/>
        <w:rPr>
          <w:kern w:val="0"/>
          <w:szCs w:val="21"/>
        </w:rPr>
      </w:pPr>
      <w:r>
        <w:rPr>
          <w:rFonts w:hint="eastAsia"/>
          <w:kern w:val="0"/>
          <w:szCs w:val="21"/>
        </w:rPr>
        <w:t>2.[德]鲁登道夫.总体战[M].魏止戈译,武汉：华中科技大学出版社,2016.</w:t>
      </w:r>
    </w:p>
    <w:p w14:paraId="598ABB9B">
      <w:pPr>
        <w:autoSpaceDE w:val="0"/>
        <w:autoSpaceDN w:val="0"/>
        <w:adjustRightInd w:val="0"/>
        <w:spacing w:line="360" w:lineRule="auto"/>
        <w:ind w:firstLine="420" w:firstLineChars="200"/>
        <w:jc w:val="left"/>
        <w:rPr>
          <w:kern w:val="0"/>
          <w:szCs w:val="21"/>
        </w:rPr>
      </w:pPr>
      <w:r>
        <w:rPr>
          <w:rFonts w:hint="eastAsia"/>
          <w:kern w:val="0"/>
          <w:szCs w:val="21"/>
        </w:rPr>
        <w:t>3.[美]马汉.海权论[M].宋毅译,武汉：华中科技大学出版社,2016.</w:t>
      </w:r>
    </w:p>
    <w:p w14:paraId="3A4C1A61">
      <w:pPr>
        <w:autoSpaceDE w:val="0"/>
        <w:autoSpaceDN w:val="0"/>
        <w:adjustRightInd w:val="0"/>
        <w:spacing w:line="360" w:lineRule="auto"/>
        <w:ind w:firstLine="420" w:firstLineChars="200"/>
        <w:jc w:val="left"/>
        <w:rPr>
          <w:kern w:val="0"/>
          <w:szCs w:val="21"/>
        </w:rPr>
      </w:pPr>
      <w:r>
        <w:rPr>
          <w:rFonts w:hint="eastAsia"/>
          <w:kern w:val="0"/>
          <w:szCs w:val="21"/>
        </w:rPr>
        <w:t>4.[德]克劳塞维茨.战争论[M].孙永彧译,北京：中国华侨出版社,2012.</w:t>
      </w:r>
    </w:p>
    <w:p w14:paraId="149CBDDA">
      <w:pPr>
        <w:autoSpaceDE w:val="0"/>
        <w:autoSpaceDN w:val="0"/>
        <w:adjustRightInd w:val="0"/>
        <w:spacing w:line="360" w:lineRule="auto"/>
        <w:ind w:firstLine="420" w:firstLineChars="200"/>
        <w:jc w:val="left"/>
        <w:rPr>
          <w:kern w:val="0"/>
          <w:szCs w:val="21"/>
        </w:rPr>
      </w:pPr>
      <w:r>
        <w:rPr>
          <w:rFonts w:hint="eastAsia"/>
          <w:kern w:val="0"/>
          <w:szCs w:val="21"/>
        </w:rPr>
        <w:t>5.廖永东.二战时期中国战场国际战略通道研究[M].北京：军事科学出版社,1912.</w:t>
      </w:r>
    </w:p>
    <w:p w14:paraId="5C2C1A07">
      <w:pPr>
        <w:autoSpaceDE w:val="0"/>
        <w:autoSpaceDN w:val="0"/>
        <w:adjustRightInd w:val="0"/>
        <w:spacing w:line="360" w:lineRule="auto"/>
        <w:ind w:firstLine="420" w:firstLineChars="200"/>
        <w:jc w:val="left"/>
        <w:rPr>
          <w:kern w:val="0"/>
          <w:szCs w:val="21"/>
        </w:rPr>
      </w:pPr>
      <w:r>
        <w:rPr>
          <w:rFonts w:hint="eastAsia"/>
          <w:kern w:val="0"/>
          <w:szCs w:val="21"/>
        </w:rPr>
        <w:t>6.</w:t>
      </w:r>
      <w:bookmarkStart w:id="301" w:name="OLE_LINK3"/>
      <w:r>
        <w:rPr>
          <w:rFonts w:hint="eastAsia"/>
          <w:kern w:val="0"/>
          <w:szCs w:val="21"/>
        </w:rPr>
        <w:t>金一南.苦难辉煌</w:t>
      </w:r>
      <w:bookmarkEnd w:id="301"/>
      <w:r>
        <w:rPr>
          <w:rFonts w:hint="eastAsia"/>
          <w:kern w:val="0"/>
          <w:szCs w:val="21"/>
        </w:rPr>
        <w:t>[M].北京：华艺出版社,2009.</w:t>
      </w:r>
    </w:p>
    <w:p w14:paraId="22EF6379">
      <w:pPr>
        <w:autoSpaceDE w:val="0"/>
        <w:autoSpaceDN w:val="0"/>
        <w:adjustRightInd w:val="0"/>
        <w:spacing w:line="360" w:lineRule="auto"/>
        <w:ind w:firstLine="420" w:firstLineChars="200"/>
        <w:jc w:val="left"/>
        <w:rPr>
          <w:kern w:val="0"/>
          <w:szCs w:val="21"/>
        </w:rPr>
      </w:pPr>
      <w:r>
        <w:rPr>
          <w:rFonts w:hint="eastAsia"/>
          <w:kern w:val="0"/>
          <w:szCs w:val="21"/>
        </w:rPr>
        <w:t>7.中共中央党史研究室第一研究部编著.红军长征史[M].北京：中共党史出版社,2006.</w:t>
      </w:r>
    </w:p>
    <w:p w14:paraId="54C7E622">
      <w:pPr>
        <w:autoSpaceDE w:val="0"/>
        <w:autoSpaceDN w:val="0"/>
        <w:adjustRightInd w:val="0"/>
        <w:spacing w:line="360" w:lineRule="auto"/>
        <w:ind w:firstLine="420" w:firstLineChars="200"/>
        <w:jc w:val="left"/>
        <w:rPr>
          <w:kern w:val="0"/>
          <w:szCs w:val="21"/>
        </w:rPr>
      </w:pPr>
      <w:r>
        <w:rPr>
          <w:rFonts w:hint="eastAsia"/>
          <w:kern w:val="0"/>
          <w:szCs w:val="21"/>
        </w:rPr>
        <w:t>8.[美]斯塔夫里阿诺斯.全球通史：从史前史到21世纪[M].吴象婴等译,北京：国防大学出版社,2006.</w:t>
      </w:r>
    </w:p>
    <w:p w14:paraId="13D483A4">
      <w:pPr>
        <w:autoSpaceDE w:val="0"/>
        <w:autoSpaceDN w:val="0"/>
        <w:adjustRightInd w:val="0"/>
        <w:spacing w:line="360" w:lineRule="auto"/>
        <w:ind w:firstLine="420" w:firstLineChars="200"/>
        <w:jc w:val="left"/>
        <w:rPr>
          <w:kern w:val="0"/>
          <w:szCs w:val="21"/>
        </w:rPr>
      </w:pPr>
      <w:r>
        <w:rPr>
          <w:rFonts w:hint="eastAsia"/>
          <w:kern w:val="0"/>
          <w:szCs w:val="21"/>
        </w:rPr>
        <w:t>9.[意]杜黑.制空权论[M].曹毅风、华人杰译,北京：解放军出版社,2005.</w:t>
      </w:r>
    </w:p>
    <w:p w14:paraId="5ACAE386">
      <w:pPr>
        <w:autoSpaceDE w:val="0"/>
        <w:autoSpaceDN w:val="0"/>
        <w:adjustRightInd w:val="0"/>
        <w:spacing w:line="360" w:lineRule="auto"/>
        <w:ind w:firstLine="420" w:firstLineChars="200"/>
        <w:jc w:val="left"/>
        <w:rPr>
          <w:kern w:val="0"/>
          <w:szCs w:val="21"/>
        </w:rPr>
      </w:pPr>
      <w:r>
        <w:rPr>
          <w:rFonts w:hint="eastAsia"/>
          <w:kern w:val="0"/>
          <w:szCs w:val="21"/>
        </w:rPr>
        <w:t>10.[美]迈克尔·奥汉隆.</w:t>
      </w:r>
      <w:r>
        <w:fldChar w:fldCharType="begin"/>
      </w:r>
      <w:r>
        <w:instrText xml:space="preserve"> HYPERLINK "https://book.kongfz.com/6713/7205781253" \t "_blank" \o "高科技与新军事革命" </w:instrText>
      </w:r>
      <w:r>
        <w:fldChar w:fldCharType="separate"/>
      </w:r>
      <w:r>
        <w:rPr>
          <w:rFonts w:hint="eastAsia"/>
          <w:kern w:val="0"/>
          <w:szCs w:val="21"/>
        </w:rPr>
        <w:t>高科技与新军事革命</w:t>
      </w:r>
      <w:r>
        <w:rPr>
          <w:rFonts w:hint="eastAsia"/>
          <w:kern w:val="0"/>
          <w:szCs w:val="21"/>
        </w:rPr>
        <w:fldChar w:fldCharType="end"/>
      </w:r>
      <w:r>
        <w:rPr>
          <w:rFonts w:hint="eastAsia"/>
          <w:kern w:val="0"/>
          <w:szCs w:val="21"/>
        </w:rPr>
        <w:t>[M].王振西译，北京新华出版社,2001.</w:t>
      </w:r>
    </w:p>
    <w:p w14:paraId="34876751">
      <w:pPr>
        <w:autoSpaceDE w:val="0"/>
        <w:autoSpaceDN w:val="0"/>
        <w:adjustRightInd w:val="0"/>
        <w:spacing w:line="360" w:lineRule="auto"/>
        <w:ind w:firstLine="420" w:firstLineChars="200"/>
        <w:jc w:val="left"/>
        <w:rPr>
          <w:kern w:val="0"/>
          <w:szCs w:val="21"/>
        </w:rPr>
      </w:pPr>
      <w:r>
        <w:rPr>
          <w:rFonts w:hint="eastAsia"/>
          <w:kern w:val="0"/>
          <w:szCs w:val="21"/>
        </w:rPr>
        <w:t>11.吴九龙.孙子校释[M].北京：军事科学出版社,1991.</w:t>
      </w:r>
    </w:p>
    <w:p w14:paraId="49936DE2">
      <w:pPr>
        <w:autoSpaceDE w:val="0"/>
        <w:autoSpaceDN w:val="0"/>
        <w:adjustRightInd w:val="0"/>
        <w:spacing w:line="360" w:lineRule="auto"/>
        <w:ind w:firstLine="420" w:firstLineChars="200"/>
        <w:jc w:val="left"/>
        <w:rPr>
          <w:kern w:val="0"/>
          <w:szCs w:val="21"/>
        </w:rPr>
      </w:pPr>
      <w:r>
        <w:rPr>
          <w:rFonts w:hint="eastAsia"/>
          <w:kern w:val="0"/>
          <w:szCs w:val="21"/>
        </w:rPr>
        <w:t>12.[法]福煦.作战原则[M].军事科学院外国军事研究部译,北京：军事科学出版社,1991.</w:t>
      </w:r>
    </w:p>
    <w:p w14:paraId="37EB60AD">
      <w:pPr>
        <w:autoSpaceDE w:val="0"/>
        <w:autoSpaceDN w:val="0"/>
        <w:adjustRightInd w:val="0"/>
        <w:spacing w:line="360" w:lineRule="auto"/>
        <w:ind w:firstLine="420" w:firstLineChars="200"/>
        <w:jc w:val="left"/>
        <w:rPr>
          <w:kern w:val="0"/>
          <w:szCs w:val="21"/>
        </w:rPr>
      </w:pPr>
      <w:r>
        <w:rPr>
          <w:rFonts w:hint="eastAsia"/>
          <w:kern w:val="0"/>
          <w:szCs w:val="21"/>
        </w:rPr>
        <w:t>13.[美]詹姆斯·邓尼根.现代战争指[M].军事科学院外国军事研究部译,北京：军事科学出版社,1986.</w:t>
      </w:r>
    </w:p>
    <w:p w14:paraId="5BE8A410">
      <w:pPr>
        <w:autoSpaceDE w:val="0"/>
        <w:autoSpaceDN w:val="0"/>
        <w:adjustRightInd w:val="0"/>
        <w:spacing w:line="360" w:lineRule="auto"/>
        <w:ind w:firstLine="420" w:firstLineChars="200"/>
        <w:jc w:val="left"/>
        <w:rPr>
          <w:kern w:val="0"/>
          <w:sz w:val="28"/>
          <w:szCs w:val="28"/>
        </w:rPr>
      </w:pPr>
      <w:r>
        <w:rPr>
          <w:rFonts w:hint="eastAsia"/>
          <w:kern w:val="0"/>
          <w:szCs w:val="21"/>
        </w:rPr>
        <w:t>14.军事学院战史简编编写组.</w:t>
      </w:r>
      <w:r>
        <w:fldChar w:fldCharType="begin"/>
      </w:r>
      <w:r>
        <w:instrText xml:space="preserve"> HYPERLINK "https://book.kongfz.com/4736/7279941359" \t "_blank" \o "中国人民解放军战史简编" </w:instrText>
      </w:r>
      <w:r>
        <w:fldChar w:fldCharType="separate"/>
      </w:r>
      <w:r>
        <w:rPr>
          <w:rFonts w:hint="eastAsia"/>
          <w:kern w:val="0"/>
          <w:szCs w:val="21"/>
        </w:rPr>
        <w:t>中国人民解放军战史简编</w:t>
      </w:r>
      <w:r>
        <w:rPr>
          <w:rFonts w:hint="eastAsia"/>
          <w:kern w:val="0"/>
          <w:szCs w:val="21"/>
        </w:rPr>
        <w:fldChar w:fldCharType="end"/>
      </w:r>
      <w:r>
        <w:rPr>
          <w:rFonts w:hint="eastAsia"/>
          <w:kern w:val="0"/>
          <w:szCs w:val="21"/>
        </w:rPr>
        <w:t>[M].北京：解放军出版社,1983.</w:t>
      </w:r>
    </w:p>
    <w:p w14:paraId="06EAE424">
      <w:pPr>
        <w:autoSpaceDE w:val="0"/>
        <w:autoSpaceDN w:val="0"/>
        <w:adjustRightInd w:val="0"/>
        <w:spacing w:line="360" w:lineRule="auto"/>
        <w:ind w:firstLine="3360" w:firstLineChars="1200"/>
        <w:jc w:val="right"/>
        <w:rPr>
          <w:rFonts w:eastAsia="宋体"/>
          <w:kern w:val="0"/>
          <w:szCs w:val="21"/>
        </w:rPr>
      </w:pPr>
      <w:r>
        <w:rPr>
          <w:rFonts w:hint="eastAsia"/>
          <w:kern w:val="0"/>
          <w:sz w:val="28"/>
          <w:szCs w:val="28"/>
        </w:rPr>
        <w:t xml:space="preserve">     </w:t>
      </w:r>
      <w:r>
        <w:rPr>
          <w:rFonts w:hint="eastAsia"/>
          <w:kern w:val="0"/>
          <w:szCs w:val="21"/>
        </w:rPr>
        <w:t xml:space="preserve"> 执笔人：陶辉俊</w:t>
      </w:r>
    </w:p>
    <w:p w14:paraId="7C3EE2E3">
      <w:pPr>
        <w:autoSpaceDE w:val="0"/>
        <w:autoSpaceDN w:val="0"/>
        <w:adjustRightInd w:val="0"/>
        <w:spacing w:line="360" w:lineRule="auto"/>
        <w:jc w:val="right"/>
        <w:rPr>
          <w:kern w:val="0"/>
          <w:szCs w:val="21"/>
        </w:rPr>
      </w:pPr>
      <w:r>
        <w:rPr>
          <w:rFonts w:hint="eastAsia"/>
          <w:kern w:val="0"/>
          <w:szCs w:val="21"/>
        </w:rPr>
        <w:t xml:space="preserve">                                    </w:t>
      </w:r>
      <w:r>
        <w:rPr>
          <w:kern w:val="0"/>
          <w:szCs w:val="21"/>
        </w:rPr>
        <w:t>审定人：</w:t>
      </w:r>
      <w:r>
        <w:rPr>
          <w:rFonts w:hint="eastAsia"/>
          <w:kern w:val="0"/>
          <w:szCs w:val="21"/>
        </w:rPr>
        <w:t>高  静</w:t>
      </w:r>
    </w:p>
    <w:p w14:paraId="139305F2">
      <w:pPr>
        <w:autoSpaceDE w:val="0"/>
        <w:autoSpaceDN w:val="0"/>
        <w:adjustRightInd w:val="0"/>
        <w:spacing w:line="360" w:lineRule="auto"/>
        <w:jc w:val="right"/>
        <w:rPr>
          <w:kern w:val="0"/>
          <w:szCs w:val="21"/>
        </w:rPr>
      </w:pPr>
      <w:r>
        <w:rPr>
          <w:rFonts w:hint="eastAsia"/>
          <w:kern w:val="0"/>
          <w:szCs w:val="21"/>
        </w:rPr>
        <w:t xml:space="preserve">                                     审批</w:t>
      </w:r>
      <w:r>
        <w:rPr>
          <w:kern w:val="0"/>
          <w:szCs w:val="21"/>
        </w:rPr>
        <w:t>人：</w:t>
      </w:r>
      <w:r>
        <w:rPr>
          <w:rFonts w:hint="eastAsia"/>
          <w:kern w:val="0"/>
          <w:szCs w:val="21"/>
        </w:rPr>
        <w:t>周嘉禾</w:t>
      </w:r>
    </w:p>
    <w:p w14:paraId="0A57C28D">
      <w:pPr>
        <w:wordWrap w:val="0"/>
        <w:autoSpaceDE w:val="0"/>
        <w:autoSpaceDN w:val="0"/>
        <w:adjustRightInd w:val="0"/>
        <w:spacing w:line="360" w:lineRule="auto"/>
        <w:jc w:val="right"/>
        <w:rPr>
          <w:kern w:val="0"/>
          <w:szCs w:val="21"/>
        </w:rPr>
      </w:pPr>
      <w:r>
        <w:rPr>
          <w:rFonts w:hint="eastAsia"/>
          <w:kern w:val="0"/>
          <w:szCs w:val="21"/>
        </w:rPr>
        <w:t>审批时间：2025年8月</w:t>
      </w:r>
    </w:p>
    <w:p w14:paraId="63CF4016">
      <w:pPr>
        <w:rPr>
          <w:rFonts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20DA73EC">
      <w:pPr>
        <w:spacing w:line="360" w:lineRule="auto"/>
        <w:jc w:val="center"/>
        <w:outlineLvl w:val="0"/>
        <w:rPr>
          <w:rFonts w:ascii="Times New Roman" w:hAnsi="Times New Roman" w:eastAsia="宋体" w:cs="Times New Roman"/>
          <w:b/>
          <w:sz w:val="44"/>
          <w:szCs w:val="44"/>
        </w:rPr>
      </w:pPr>
      <w:bookmarkStart w:id="302" w:name="_Toc16624"/>
      <w:r>
        <w:rPr>
          <w:rFonts w:hint="eastAsia" w:ascii="Times New Roman" w:hAnsi="Times New Roman" w:eastAsia="宋体" w:cs="Times New Roman"/>
          <w:b/>
          <w:sz w:val="44"/>
          <w:szCs w:val="44"/>
        </w:rPr>
        <w:t>《大学生心理健康教育》课程教学大纲</w:t>
      </w:r>
      <w:bookmarkEnd w:id="302"/>
    </w:p>
    <w:p w14:paraId="779DD5BC">
      <w:pPr>
        <w:spacing w:line="360" w:lineRule="auto"/>
        <w:jc w:val="center"/>
        <w:rPr>
          <w:rFonts w:ascii="Times New Roman" w:hAnsi="Times New Roman" w:eastAsia="宋体" w:cs="Times New Roman"/>
          <w:b/>
          <w:bCs/>
          <w:sz w:val="28"/>
          <w:szCs w:val="28"/>
        </w:rPr>
      </w:pPr>
      <w:bookmarkStart w:id="303" w:name="_Toc19171"/>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Mental Health Education for University Students</w:t>
      </w:r>
      <w:r>
        <w:rPr>
          <w:rFonts w:ascii="Times New Roman" w:hAnsi="Times New Roman" w:eastAsia="宋体" w:cs="Times New Roman"/>
          <w:b/>
          <w:bCs/>
          <w:sz w:val="28"/>
          <w:szCs w:val="28"/>
        </w:rPr>
        <w:t>）</w:t>
      </w:r>
      <w:bookmarkEnd w:id="303"/>
    </w:p>
    <w:p w14:paraId="7D1D858E">
      <w:pPr>
        <w:spacing w:line="360" w:lineRule="auto"/>
        <w:jc w:val="center"/>
        <w:rPr>
          <w:rFonts w:ascii="Times New Roman" w:hAnsi="Times New Roman" w:eastAsia="宋体" w:cs="Times New Roman"/>
          <w:bCs/>
          <w:szCs w:val="21"/>
        </w:rPr>
      </w:pPr>
    </w:p>
    <w:p w14:paraId="709986F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课程名称：大学生心理健康教育</w:t>
      </w:r>
    </w:p>
    <w:p w14:paraId="4CDB2DE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课程代码：0000012</w:t>
      </w:r>
    </w:p>
    <w:p w14:paraId="0F7D137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4C5FC10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107DD1E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45E9B3D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适用专业：所有专业</w:t>
      </w:r>
    </w:p>
    <w:p w14:paraId="31A5897D">
      <w:pPr>
        <w:spacing w:before="62" w:beforeLines="20" w:after="62" w:afterLines="20"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36984B57">
      <w:pPr>
        <w:spacing w:line="360" w:lineRule="auto"/>
        <w:ind w:firstLine="420" w:firstLineChars="200"/>
        <w:jc w:val="left"/>
        <w:rPr>
          <w:rFonts w:ascii="Times New Roman" w:hAnsi="Times New Roman" w:eastAsia="宋体" w:cs="Times New Roman"/>
          <w:b/>
          <w:sz w:val="24"/>
        </w:rPr>
      </w:pPr>
      <w:r>
        <w:rPr>
          <w:rFonts w:hint="eastAsia" w:ascii="Times New Roman" w:hAnsi="Times New Roman" w:eastAsia="宋体" w:cs="Times New Roman"/>
          <w:szCs w:val="21"/>
        </w:rPr>
        <w:t>《大学生心理健康教育》是面向全校各专业一年级学生开设的一门通识必修课程。课程集知识传授、心理体验与行为训练为一体；旨在使学生明确心理健康的标准及意义，增强自我心理保健意识和心理危机预防意识，掌握并应用心理健康知识，培养自我认知能力、人际沟通能力、自我调节能力，切实提高心理素质，促进学生全面发展。</w:t>
      </w:r>
    </w:p>
    <w:p w14:paraId="0B8F14A9">
      <w:pPr>
        <w:spacing w:before="62" w:beforeLines="20" w:after="62" w:afterLines="20"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0B1858E3">
      <w:pPr>
        <w:widowControl/>
        <w:spacing w:line="360" w:lineRule="auto"/>
        <w:ind w:firstLine="420" w:firstLineChars="200"/>
        <w:jc w:val="left"/>
        <w:rPr>
          <w:rFonts w:hint="eastAsia" w:ascii="Times New Roman" w:hAnsi="宋体" w:eastAsia="宋体" w:cs="Times New Roman"/>
          <w:szCs w:val="21"/>
        </w:rPr>
      </w:pPr>
      <w:r>
        <w:rPr>
          <w:rFonts w:hint="eastAsia" w:ascii="Times New Roman" w:hAnsi="Times New Roman" w:eastAsia="宋体" w:cs="Times New Roman"/>
          <w:kern w:val="0"/>
          <w:szCs w:val="21"/>
        </w:rPr>
        <w:t>目标1：</w:t>
      </w:r>
      <w:r>
        <w:rPr>
          <w:rFonts w:hint="eastAsia" w:ascii="Times New Roman" w:hAnsi="宋体" w:eastAsia="宋体" w:cs="Times New Roman"/>
          <w:szCs w:val="21"/>
        </w:rPr>
        <w:t>知识与认知目标。旨在使学生系统了解心理健康的基础知识，清晰认知心理健康的标准与重要性；能够准确识别大学阶段常见的适应、学习、情绪、人际及生涯发展等心理问题及其典型表现；科学理解生物、心理、社会与文化因素对心理健康的影响机制，从而破除对心理问题的误解与污名，建立起科学、理性的心理健康观。</w:t>
      </w:r>
    </w:p>
    <w:p w14:paraId="4016A680">
      <w:pPr>
        <w:widowControl/>
        <w:spacing w:line="360" w:lineRule="auto"/>
        <w:ind w:firstLine="420" w:firstLineChars="200"/>
        <w:jc w:val="left"/>
        <w:rPr>
          <w:rFonts w:hint="eastAsia" w:ascii="Times New Roman" w:hAnsi="宋体" w:eastAsia="宋体" w:cs="Times New Roman"/>
          <w:szCs w:val="21"/>
        </w:rPr>
      </w:pPr>
      <w:r>
        <w:rPr>
          <w:rFonts w:hint="eastAsia" w:ascii="Times New Roman" w:hAnsi="Times New Roman" w:eastAsia="宋体" w:cs="Times New Roman"/>
          <w:kern w:val="0"/>
          <w:szCs w:val="21"/>
        </w:rPr>
        <w:t>目标2：</w:t>
      </w:r>
      <w:r>
        <w:rPr>
          <w:rFonts w:hint="eastAsia" w:ascii="Times New Roman" w:hAnsi="宋体" w:eastAsia="宋体" w:cs="Times New Roman"/>
          <w:szCs w:val="21"/>
        </w:rPr>
        <w:t>技能与方法目标。培养学生应对现实挑战的实践能力，使其能够掌握并运用压力管理、情绪调节、时间规划及有效沟通等核心心理调适技能；发展自我觉察与客观自我评价的能力，学会识别并调整不合理认知；提升在面临心理困扰时的自助与求助能力，知晓如何有效利用专业资源，并初步具备识别心理危机信号、支持他人的能力。</w:t>
      </w:r>
    </w:p>
    <w:p w14:paraId="3FFE5285">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课程思政育人目标：</w:t>
      </w:r>
    </w:p>
    <w:p w14:paraId="1AB07FE0">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1）价值引领与精神塑造。将价值引领贯穿心理健康教育全过程，引导学生树立积极向上、理性平和的人生态度，深刻理解个人成长与国家发展的统一性。着力培育学生自强不息、坚韧不拔的意志品质，使其能正确看待并勇于克服成长过程中的困难与挫折，将实现个人理想融入国家和民族的事业中，成为有理想、有担当的时代新人。</w:t>
      </w:r>
    </w:p>
    <w:p w14:paraId="002679C3">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2）文化自信与社会责任。挖掘中华优秀传统文化中的心性修养智慧，增强学生的文化自信与民族认同感。积极培育学生的集体主义精神和社会责任感，懂得在集体中实现个人价值，养成团结协作、互助友爱的良好品格，自觉践行社会主义核心价值观，最终成长为德才兼备、全面发展的中国特色社会主义事业合格建设者和可靠接班人。</w:t>
      </w:r>
    </w:p>
    <w:p w14:paraId="5F19E8F5">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课程目标与毕业要求观测点的对应关系如表1所示。</w:t>
      </w:r>
    </w:p>
    <w:p w14:paraId="000AE4E9">
      <w:pPr>
        <w:snapToGrid w:val="0"/>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表1  课程目标与毕业要求</w:t>
      </w:r>
      <w:r>
        <w:rPr>
          <w:rFonts w:hint="eastAsia" w:ascii="Times New Roman" w:hAnsi="Times New Roman" w:eastAsia="宋体" w:cs="Times New Roman"/>
          <w:kern w:val="0"/>
          <w:szCs w:val="21"/>
        </w:rPr>
        <w:t>观测</w:t>
      </w:r>
      <w:r>
        <w:rPr>
          <w:rFonts w:ascii="Times New Roman" w:hAnsi="Times New Roman" w:eastAsia="宋体" w:cs="Times New Roman"/>
          <w:kern w:val="0"/>
          <w:szCs w:val="21"/>
        </w:rPr>
        <w:t>点的对应关系</w:t>
      </w:r>
    </w:p>
    <w:tbl>
      <w:tblPr>
        <w:tblStyle w:val="11"/>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6203"/>
        <w:gridCol w:w="1374"/>
      </w:tblGrid>
      <w:tr w14:paraId="73DD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tcPr>
          <w:p w14:paraId="3CFC81B5">
            <w:pPr>
              <w:pStyle w:val="38"/>
              <w:spacing w:line="360" w:lineRule="auto"/>
              <w:jc w:val="center"/>
              <w:rPr>
                <w:rFonts w:asciiTheme="minorEastAsia" w:hAnsiTheme="minorEastAsia" w:eastAsiaTheme="minorEastAsia" w:cstheme="minorEastAsia"/>
                <w:b/>
                <w:sz w:val="21"/>
                <w:szCs w:val="21"/>
              </w:rPr>
            </w:pPr>
            <w:r>
              <w:rPr>
                <w:rFonts w:asciiTheme="minorEastAsia" w:hAnsiTheme="minorEastAsia" w:eastAsiaTheme="minorEastAsia" w:cstheme="minorEastAsia"/>
                <w:b/>
                <w:sz w:val="21"/>
                <w:szCs w:val="21"/>
              </w:rPr>
              <w:t>毕业要求</w:t>
            </w:r>
          </w:p>
        </w:tc>
        <w:tc>
          <w:tcPr>
            <w:tcW w:w="6203" w:type="dxa"/>
          </w:tcPr>
          <w:p w14:paraId="3E08C609">
            <w:pPr>
              <w:pStyle w:val="38"/>
              <w:spacing w:line="360" w:lineRule="auto"/>
              <w:jc w:val="center"/>
              <w:rPr>
                <w:rFonts w:asciiTheme="minorEastAsia" w:hAnsiTheme="minorEastAsia" w:eastAsiaTheme="minorEastAsia" w:cstheme="minorEastAsia"/>
                <w:b/>
                <w:sz w:val="21"/>
                <w:szCs w:val="21"/>
              </w:rPr>
            </w:pPr>
            <w:r>
              <w:rPr>
                <w:rFonts w:asciiTheme="minorEastAsia" w:hAnsiTheme="minorEastAsia" w:eastAsiaTheme="minorEastAsia" w:cstheme="minorEastAsia"/>
                <w:b/>
                <w:bCs/>
                <w:sz w:val="21"/>
                <w:szCs w:val="21"/>
              </w:rPr>
              <w:t>毕业要求指标点</w:t>
            </w:r>
          </w:p>
        </w:tc>
        <w:tc>
          <w:tcPr>
            <w:tcW w:w="1374" w:type="dxa"/>
          </w:tcPr>
          <w:p w14:paraId="71A2211B">
            <w:pPr>
              <w:pStyle w:val="38"/>
              <w:spacing w:line="360" w:lineRule="auto"/>
              <w:jc w:val="center"/>
              <w:rPr>
                <w:rFonts w:asciiTheme="minorEastAsia" w:hAnsiTheme="minorEastAsia" w:eastAsiaTheme="minorEastAsia" w:cstheme="minorEastAsia"/>
                <w:b/>
                <w:sz w:val="21"/>
                <w:szCs w:val="21"/>
              </w:rPr>
            </w:pPr>
            <w:r>
              <w:rPr>
                <w:rFonts w:asciiTheme="minorEastAsia" w:hAnsiTheme="minorEastAsia" w:eastAsiaTheme="minorEastAsia" w:cstheme="minorEastAsia"/>
                <w:b/>
                <w:sz w:val="21"/>
                <w:szCs w:val="21"/>
              </w:rPr>
              <w:t>课程目标</w:t>
            </w:r>
          </w:p>
        </w:tc>
      </w:tr>
      <w:tr w14:paraId="3DF7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14:paraId="00763803">
            <w:pPr>
              <w:pStyle w:val="38"/>
              <w:adjustRightInd/>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毕业要求2</w:t>
            </w:r>
          </w:p>
          <w:p w14:paraId="524F80F6">
            <w:pPr>
              <w:pStyle w:val="38"/>
              <w:adjustRightInd/>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0"/>
              </w:rPr>
              <w:t>教育情怀</w:t>
            </w:r>
          </w:p>
        </w:tc>
        <w:tc>
          <w:tcPr>
            <w:tcW w:w="6203" w:type="dxa"/>
            <w:vAlign w:val="center"/>
          </w:tcPr>
          <w:p w14:paraId="4F134E36">
            <w:pPr>
              <w:pStyle w:val="38"/>
              <w:adjustRightInd/>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0"/>
              </w:rPr>
              <w:t>指标点2-3：【自身修养良好】具有较好的人文艺术底蕴与科学精神，言行举止符合教师职业标准，情感积极，人格健全，身心健康。</w:t>
            </w:r>
          </w:p>
        </w:tc>
        <w:tc>
          <w:tcPr>
            <w:tcW w:w="1374" w:type="dxa"/>
            <w:vAlign w:val="center"/>
          </w:tcPr>
          <w:p w14:paraId="32AC41B0">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课程目标1</w:t>
            </w:r>
          </w:p>
          <w:p w14:paraId="1560CF23">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课程目标2</w:t>
            </w:r>
          </w:p>
        </w:tc>
      </w:tr>
      <w:tr w14:paraId="45B0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14:paraId="4ED8E946">
            <w:pPr>
              <w:pStyle w:val="38"/>
              <w:adjustRightInd/>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毕业要求5</w:t>
            </w:r>
          </w:p>
          <w:p w14:paraId="7279F0CD">
            <w:pPr>
              <w:pStyle w:val="38"/>
              <w:adjustRightInd/>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0"/>
              </w:rPr>
              <w:t>班级管理</w:t>
            </w:r>
          </w:p>
        </w:tc>
        <w:tc>
          <w:tcPr>
            <w:tcW w:w="6203" w:type="dxa"/>
            <w:vAlign w:val="center"/>
          </w:tcPr>
          <w:p w14:paraId="4B17E886">
            <w:pPr>
              <w:rPr>
                <w:rFonts w:hint="eastAsia" w:asciiTheme="minorEastAsia" w:hAnsiTheme="minorEastAsia" w:cstheme="minorEastAsia"/>
                <w:color w:val="000000"/>
                <w:kern w:val="0"/>
                <w:szCs w:val="21"/>
              </w:rPr>
            </w:pPr>
            <w:r>
              <w:rPr>
                <w:rFonts w:hint="eastAsia" w:asciiTheme="minorEastAsia" w:hAnsiTheme="minorEastAsia" w:cstheme="minorEastAsia"/>
                <w:kern w:val="0"/>
                <w:sz w:val="20"/>
                <w:szCs w:val="20"/>
              </w:rPr>
              <w:t>指标点</w:t>
            </w:r>
            <w:r>
              <w:rPr>
                <w:rFonts w:hint="eastAsia" w:asciiTheme="minorEastAsia" w:hAnsiTheme="minorEastAsia" w:cstheme="minorEastAsia"/>
                <w:sz w:val="20"/>
                <w:szCs w:val="20"/>
              </w:rPr>
              <w:t>5-2：【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374" w:type="dxa"/>
            <w:vAlign w:val="center"/>
          </w:tcPr>
          <w:p w14:paraId="6F4046DA">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课程目标1</w:t>
            </w:r>
          </w:p>
          <w:p w14:paraId="0FEB01CC">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课程目标2</w:t>
            </w:r>
          </w:p>
        </w:tc>
      </w:tr>
      <w:tr w14:paraId="61C8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Align w:val="center"/>
          </w:tcPr>
          <w:p w14:paraId="27A18067">
            <w:pPr>
              <w:pStyle w:val="38"/>
              <w:adjustRightInd/>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毕业要求8</w:t>
            </w:r>
          </w:p>
          <w:p w14:paraId="79C7BAB8">
            <w:pPr>
              <w:pStyle w:val="38"/>
              <w:adjustRightInd/>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0"/>
              </w:rPr>
              <w:t>沟通合作</w:t>
            </w:r>
          </w:p>
        </w:tc>
        <w:tc>
          <w:tcPr>
            <w:tcW w:w="6203" w:type="dxa"/>
            <w:vAlign w:val="center"/>
          </w:tcPr>
          <w:p w14:paraId="7E5313BC">
            <w:pPr>
              <w:adjustRightInd w:val="0"/>
              <w:snapToGrid w:val="0"/>
              <w:rPr>
                <w:rFonts w:hint="eastAsia" w:asciiTheme="minorEastAsia" w:hAnsiTheme="minorEastAsia" w:cstheme="minorEastAsia"/>
                <w:color w:val="000000"/>
                <w:kern w:val="0"/>
                <w:szCs w:val="21"/>
              </w:rPr>
            </w:pPr>
            <w:r>
              <w:rPr>
                <w:rFonts w:hint="eastAsia" w:asciiTheme="minorEastAsia" w:hAnsiTheme="minorEastAsia" w:cstheme="minorEastAsia"/>
                <w:kern w:val="0"/>
                <w:sz w:val="20"/>
                <w:szCs w:val="20"/>
              </w:rPr>
              <w:t>指标点</w:t>
            </w:r>
            <w:r>
              <w:rPr>
                <w:rFonts w:hint="eastAsia" w:asciiTheme="minorEastAsia" w:hAnsiTheme="minorEastAsia" w:cstheme="minorEastAsia"/>
                <w:sz w:val="20"/>
                <w:szCs w:val="20"/>
              </w:rPr>
              <w:t>8-2：【学会沟通交流】掌握人际沟通合作技能与方法，在教育教学实践中，能与学生和家长以及同行、同事、专家进行有效沟通与合作，实现共同发展。</w:t>
            </w:r>
          </w:p>
        </w:tc>
        <w:tc>
          <w:tcPr>
            <w:tcW w:w="1374" w:type="dxa"/>
            <w:vAlign w:val="center"/>
          </w:tcPr>
          <w:p w14:paraId="54290CE8">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课程目标1</w:t>
            </w:r>
          </w:p>
          <w:p w14:paraId="45E0F2A1">
            <w:pPr>
              <w:pStyle w:val="38"/>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课程目标2</w:t>
            </w:r>
          </w:p>
        </w:tc>
      </w:tr>
    </w:tbl>
    <w:p w14:paraId="70C17525">
      <w:pPr>
        <w:snapToGrid w:val="0"/>
        <w:spacing w:line="360" w:lineRule="auto"/>
        <w:jc w:val="center"/>
        <w:rPr>
          <w:rFonts w:ascii="Times New Roman" w:hAnsi="Times New Roman" w:eastAsia="宋体" w:cs="Times New Roman"/>
          <w:kern w:val="0"/>
          <w:szCs w:val="21"/>
        </w:rPr>
      </w:pPr>
    </w:p>
    <w:p w14:paraId="48B801EE">
      <w:pPr>
        <w:snapToGrid w:val="0"/>
        <w:spacing w:line="360" w:lineRule="auto"/>
        <w:ind w:firstLine="420" w:firstLineChars="200"/>
        <w:rPr>
          <w:rFonts w:ascii="Times New Roman" w:hAnsi="Times New Roman" w:eastAsia="宋体" w:cs="Times New Roman"/>
          <w:b/>
          <w:szCs w:val="21"/>
        </w:rPr>
      </w:pPr>
      <w:r>
        <w:rPr>
          <w:rFonts w:hint="eastAsia" w:ascii="Times New Roman" w:hAnsi="Times New Roman" w:eastAsia="宋体" w:cs="Times New Roman"/>
          <w:kern w:val="0"/>
          <w:szCs w:val="21"/>
        </w:rPr>
        <w:t>说明：专业版课程教学大纲依据具体的毕业要求观测点完善“课程目标与毕业要求观测点的对应关系”。</w:t>
      </w:r>
    </w:p>
    <w:p w14:paraId="562EDA1B">
      <w:pPr>
        <w:snapToGrid w:val="0"/>
        <w:spacing w:before="156" w:beforeLines="50"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三</w:t>
      </w:r>
      <w:r>
        <w:rPr>
          <w:rFonts w:ascii="Times New Roman" w:hAnsi="Times New Roman" w:eastAsia="宋体" w:cs="Times New Roman"/>
          <w:b/>
          <w:sz w:val="24"/>
        </w:rPr>
        <w:t>、课程内容及要求</w:t>
      </w:r>
    </w:p>
    <w:p w14:paraId="5E72250F">
      <w:pPr>
        <w:snapToGrid w:val="0"/>
        <w:spacing w:line="360" w:lineRule="auto"/>
        <w:ind w:firstLine="413" w:firstLineChars="196"/>
        <w:rPr>
          <w:rFonts w:ascii="Times New Roman" w:hAnsi="Times New Roman" w:eastAsia="宋体" w:cs="Times New Roman"/>
          <w:b/>
          <w:szCs w:val="21"/>
        </w:rPr>
      </w:pPr>
      <w:r>
        <w:rPr>
          <w:rFonts w:ascii="Times New Roman" w:hAnsi="Times New Roman" w:eastAsia="宋体" w:cs="Times New Roman"/>
          <w:b/>
          <w:szCs w:val="21"/>
        </w:rPr>
        <w:t>（一）</w:t>
      </w:r>
      <w:r>
        <w:rPr>
          <w:rFonts w:hint="eastAsia" w:ascii="Times New Roman" w:hAnsi="Times New Roman" w:eastAsia="宋体" w:cs="Times New Roman"/>
          <w:b/>
          <w:szCs w:val="21"/>
        </w:rPr>
        <w:t>心理健康导论</w:t>
      </w:r>
    </w:p>
    <w:p w14:paraId="5C0495D3">
      <w:pPr>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1.教学内容</w:t>
      </w:r>
    </w:p>
    <w:p w14:paraId="36F4B6A4">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（1）心理健康概述</w:t>
      </w:r>
    </w:p>
    <w:p w14:paraId="650F7623">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（2）大学生心理健康现状</w:t>
      </w:r>
    </w:p>
    <w:p w14:paraId="1D33FE46">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（3）大学阶段的心理发展任务</w:t>
      </w:r>
    </w:p>
    <w:p w14:paraId="6EAE89EF">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（4）了解心理咨询</w:t>
      </w:r>
    </w:p>
    <w:p w14:paraId="38EE931B">
      <w:pPr>
        <w:spacing w:line="360" w:lineRule="auto"/>
        <w:ind w:firstLine="420" w:firstLineChars="200"/>
        <w:rPr>
          <w:rFonts w:ascii="Times New Roman" w:hAnsi="Times New Roman" w:eastAsia="宋体" w:cs="Times New Roman"/>
          <w:color w:val="000000"/>
          <w:szCs w:val="21"/>
        </w:rPr>
      </w:pPr>
      <w:r>
        <w:rPr>
          <w:rFonts w:ascii="Times New Roman" w:hAnsi="Times New Roman" w:eastAsia="宋体" w:cs="Times New Roman"/>
          <w:color w:val="000000"/>
          <w:szCs w:val="21"/>
        </w:rPr>
        <w:t>2.基本要求</w:t>
      </w:r>
    </w:p>
    <w:p w14:paraId="338E4142">
      <w:pPr>
        <w:spacing w:line="360" w:lineRule="auto"/>
        <w:ind w:firstLine="420" w:firstLine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（1）能够认识心理健康的意义，正确理解心理健康的标准</w:t>
      </w:r>
    </w:p>
    <w:p w14:paraId="736A61A2">
      <w:pPr>
        <w:spacing w:line="360" w:lineRule="auto"/>
        <w:ind w:firstLine="420" w:firstLine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（2）能够了解常见的心理困扰，提高对新环境适应的自觉性</w:t>
      </w:r>
    </w:p>
    <w:p w14:paraId="533069D4">
      <w:pPr>
        <w:spacing w:line="360" w:lineRule="auto"/>
        <w:ind w:firstLine="420" w:firstLineChars="200"/>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（3）能够了解心理咨询的常见误区、任务和设置，普及心理咨询的正确观念</w:t>
      </w:r>
    </w:p>
    <w:p w14:paraId="0358CC1A">
      <w:pPr>
        <w:spacing w:line="360" w:lineRule="auto"/>
        <w:ind w:firstLine="413" w:firstLineChars="196"/>
        <w:rPr>
          <w:rFonts w:ascii="Times New Roman" w:hAnsi="Times New Roman" w:eastAsia="宋体" w:cs="Times New Roman"/>
          <w:b/>
          <w:szCs w:val="21"/>
        </w:rPr>
      </w:pPr>
      <w:r>
        <w:rPr>
          <w:rFonts w:hint="eastAsia" w:ascii="Times New Roman" w:hAnsi="Times New Roman" w:eastAsia="宋体" w:cs="Times New Roman"/>
          <w:b/>
          <w:szCs w:val="21"/>
        </w:rPr>
        <w:t>（二）探索自我奥秘</w:t>
      </w:r>
    </w:p>
    <w:p w14:paraId="009AAC02">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1.教学内容</w:t>
      </w:r>
    </w:p>
    <w:p w14:paraId="48C582CC">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（1）遇见未知的我</w:t>
      </w:r>
    </w:p>
    <w:p w14:paraId="5C379D2E">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（2）拥抱独特的我</w:t>
      </w:r>
    </w:p>
    <w:p w14:paraId="5C95E78B">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（3）雕琢出色的我</w:t>
      </w:r>
    </w:p>
    <w:p w14:paraId="7DE0A6AB">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2.基本要求</w:t>
      </w:r>
    </w:p>
    <w:p w14:paraId="2E66F2E5">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（1）能够了解自我意识的基本概念、分类，认识大学生自我意识的基本特点</w:t>
      </w:r>
    </w:p>
    <w:p w14:paraId="3E810FF0">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（2）能够培养健全的自我意识，掌握提升自我的途径和策略</w:t>
      </w:r>
    </w:p>
    <w:p w14:paraId="784D2E5E">
      <w:pPr>
        <w:spacing w:line="360" w:lineRule="auto"/>
        <w:ind w:firstLine="413" w:firstLineChars="196"/>
        <w:rPr>
          <w:rFonts w:ascii="Times New Roman" w:hAnsi="Times New Roman" w:eastAsia="宋体" w:cs="Times New Roman"/>
          <w:b/>
          <w:szCs w:val="21"/>
        </w:rPr>
      </w:pPr>
      <w:r>
        <w:rPr>
          <w:rFonts w:hint="eastAsia" w:ascii="Times New Roman" w:hAnsi="Times New Roman" w:eastAsia="宋体" w:cs="Times New Roman"/>
          <w:b/>
          <w:szCs w:val="21"/>
        </w:rPr>
        <w:t>（三）揭示人格面具</w:t>
      </w:r>
    </w:p>
    <w:p w14:paraId="43F8D797">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1.教学内容</w:t>
      </w:r>
    </w:p>
    <w:p w14:paraId="3C73970B">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（1）人格概述</w:t>
      </w:r>
    </w:p>
    <w:p w14:paraId="39765D02">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（2）人格探索</w:t>
      </w:r>
    </w:p>
    <w:p w14:paraId="0CDAF1AB">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（3）人格塑造</w:t>
      </w:r>
    </w:p>
    <w:p w14:paraId="4675DBBA">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2.基本要求</w:t>
      </w:r>
    </w:p>
    <w:p w14:paraId="327B47A9">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（1）能够掌握人格的概念、特征及结构，了解主要的人格理论</w:t>
      </w:r>
    </w:p>
    <w:p w14:paraId="3E78F71C">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（2）能够了解人格塑造的常见挑战，学习积极人格塑造的基本原则和行动策略</w:t>
      </w:r>
    </w:p>
    <w:p w14:paraId="41ACC969">
      <w:pPr>
        <w:spacing w:line="360" w:lineRule="auto"/>
        <w:ind w:firstLine="413" w:firstLineChars="196"/>
        <w:rPr>
          <w:rFonts w:ascii="Times New Roman" w:hAnsi="Times New Roman" w:eastAsia="宋体" w:cs="Times New Roman"/>
          <w:b/>
          <w:szCs w:val="21"/>
        </w:rPr>
      </w:pPr>
      <w:r>
        <w:rPr>
          <w:rFonts w:hint="eastAsia" w:ascii="Times New Roman" w:hAnsi="Times New Roman" w:eastAsia="宋体" w:cs="Times New Roman"/>
          <w:b/>
          <w:szCs w:val="21"/>
        </w:rPr>
        <w:t>（四）赋能学习</w:t>
      </w:r>
    </w:p>
    <w:p w14:paraId="1CB78BA0">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教学内容</w:t>
      </w:r>
    </w:p>
    <w:p w14:paraId="487441BB">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）大学生常见学习问题</w:t>
      </w:r>
    </w:p>
    <w:p w14:paraId="2F0A7D26">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）学会思考和学习</w:t>
      </w:r>
    </w:p>
    <w:p w14:paraId="406FE8F5">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）高效学习方法与策略</w:t>
      </w:r>
    </w:p>
    <w:p w14:paraId="2048C3CA">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基本要求</w:t>
      </w:r>
    </w:p>
    <w:p w14:paraId="228BEC7C">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）能够了解学习过程中的心理学问题，内化学习动机</w:t>
      </w:r>
    </w:p>
    <w:p w14:paraId="6CFC0B30">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）能够了解并掌握学习方法，学会自我诊断和调整学习策略，激发学习动力</w:t>
      </w:r>
    </w:p>
    <w:p w14:paraId="1C462ED8">
      <w:pPr>
        <w:spacing w:line="360" w:lineRule="auto"/>
        <w:ind w:firstLine="413" w:firstLineChars="196"/>
        <w:rPr>
          <w:rFonts w:ascii="Times New Roman" w:hAnsi="Times New Roman" w:eastAsia="宋体" w:cs="Times New Roman"/>
          <w:b/>
          <w:szCs w:val="21"/>
        </w:rPr>
      </w:pPr>
      <w:r>
        <w:rPr>
          <w:rFonts w:hint="eastAsia" w:ascii="Times New Roman" w:hAnsi="Times New Roman" w:eastAsia="宋体" w:cs="Times New Roman"/>
          <w:b/>
          <w:szCs w:val="21"/>
        </w:rPr>
        <w:t>（五）情绪管理</w:t>
      </w:r>
    </w:p>
    <w:p w14:paraId="4B7FD86E">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教学内容</w:t>
      </w:r>
    </w:p>
    <w:p w14:paraId="029EC423">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（1）全面认识情绪</w:t>
      </w:r>
    </w:p>
    <w:p w14:paraId="1FD733D4">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（2）正确看待情绪</w:t>
      </w:r>
    </w:p>
    <w:p w14:paraId="1DEC1FF1">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（3）有效管理情绪</w:t>
      </w:r>
    </w:p>
    <w:p w14:paraId="06921574">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基本要求</w:t>
      </w:r>
    </w:p>
    <w:p w14:paraId="2D4DBFC2">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（1）能够</w:t>
      </w:r>
      <w:r>
        <w:rPr>
          <w:rFonts w:ascii="Times New Roman" w:hAnsi="Times New Roman" w:eastAsia="宋体" w:cs="Times New Roman"/>
          <w:szCs w:val="21"/>
        </w:rPr>
        <w:t>了解情绪的基本概念</w:t>
      </w:r>
    </w:p>
    <w:p w14:paraId="1AC24D4C">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（2）能够掌握情绪调控的主要方法</w:t>
      </w:r>
    </w:p>
    <w:p w14:paraId="2B1C0B97">
      <w:pPr>
        <w:spacing w:line="360" w:lineRule="auto"/>
        <w:ind w:firstLine="413" w:firstLineChars="196"/>
        <w:rPr>
          <w:rFonts w:ascii="Times New Roman" w:hAnsi="Times New Roman" w:eastAsia="宋体" w:cs="Times New Roman"/>
          <w:b/>
          <w:szCs w:val="21"/>
        </w:rPr>
      </w:pPr>
      <w:r>
        <w:rPr>
          <w:rFonts w:hint="eastAsia" w:ascii="Times New Roman" w:hAnsi="Times New Roman" w:eastAsia="宋体" w:cs="Times New Roman"/>
          <w:b/>
          <w:szCs w:val="21"/>
        </w:rPr>
        <w:t>（六）人际交往</w:t>
      </w:r>
    </w:p>
    <w:p w14:paraId="6DF5756C">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教学内容</w:t>
      </w:r>
    </w:p>
    <w:p w14:paraId="7CA69AB4">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（1）建立和谐的人际关系</w:t>
      </w:r>
    </w:p>
    <w:p w14:paraId="1E89EFF1">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（2）提升人际沟通能力</w:t>
      </w:r>
    </w:p>
    <w:p w14:paraId="2CC6B077">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（3）人际交往的挑战与应对</w:t>
      </w:r>
    </w:p>
    <w:p w14:paraId="5D6C9CBF">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基本要求</w:t>
      </w:r>
    </w:p>
    <w:p w14:paraId="2AC62B39">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（1）能够了解人际交往的概念，理解影响大学生人际交往的因素</w:t>
      </w:r>
    </w:p>
    <w:p w14:paraId="0F74E966">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（2）能够掌握人际交往的基本原则和应对技巧，提升人际交往能力</w:t>
      </w:r>
    </w:p>
    <w:p w14:paraId="132AB0AB">
      <w:pPr>
        <w:spacing w:line="360" w:lineRule="auto"/>
        <w:ind w:firstLine="413" w:firstLineChars="196"/>
        <w:rPr>
          <w:rFonts w:ascii="Times New Roman" w:hAnsi="Times New Roman" w:eastAsia="宋体" w:cs="Times New Roman"/>
          <w:b/>
          <w:szCs w:val="21"/>
        </w:rPr>
      </w:pPr>
      <w:r>
        <w:rPr>
          <w:rFonts w:hint="eastAsia" w:ascii="Times New Roman" w:hAnsi="Times New Roman" w:eastAsia="宋体" w:cs="Times New Roman"/>
          <w:b/>
          <w:szCs w:val="21"/>
        </w:rPr>
        <w:t>（七）遇见爱情</w:t>
      </w:r>
    </w:p>
    <w:p w14:paraId="67C855F4">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教学内容</w:t>
      </w:r>
    </w:p>
    <w:p w14:paraId="0B965693">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）爱为何物</w:t>
      </w:r>
    </w:p>
    <w:p w14:paraId="2183EC38">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）爱的艺术</w:t>
      </w:r>
    </w:p>
    <w:p w14:paraId="5D09D744">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）爱与性的困扰与调适</w:t>
      </w:r>
    </w:p>
    <w:p w14:paraId="5D942B03">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基本要求</w:t>
      </w:r>
    </w:p>
    <w:p w14:paraId="1842EDBB">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）能够全面正确认识爱情的本质及恋爱在大学生成长中的地位</w:t>
      </w:r>
    </w:p>
    <w:p w14:paraId="5AA6D807">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）能够正确处理恋爱中的心理困扰，树立健康的恋爱观</w:t>
      </w:r>
    </w:p>
    <w:p w14:paraId="4DBA6E1E">
      <w:pPr>
        <w:spacing w:line="360" w:lineRule="auto"/>
        <w:ind w:firstLine="413" w:firstLineChars="196"/>
        <w:rPr>
          <w:rFonts w:ascii="Times New Roman" w:hAnsi="Times New Roman" w:eastAsia="宋体" w:cs="Times New Roman"/>
          <w:b/>
          <w:szCs w:val="21"/>
        </w:rPr>
      </w:pPr>
      <w:r>
        <w:rPr>
          <w:rFonts w:hint="eastAsia" w:ascii="Times New Roman" w:hAnsi="Times New Roman" w:eastAsia="宋体" w:cs="Times New Roman"/>
          <w:b/>
          <w:szCs w:val="21"/>
        </w:rPr>
        <w:t>（八）生命教育与运动健心</w:t>
      </w:r>
    </w:p>
    <w:p w14:paraId="041F4C1E">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教学内容</w:t>
      </w:r>
    </w:p>
    <w:p w14:paraId="3FB7DEDC">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）生命意义和价值创造</w:t>
      </w:r>
      <w:r>
        <w:rPr>
          <w:rFonts w:ascii="Times New Roman" w:hAnsi="Times New Roman" w:eastAsia="宋体" w:cs="Times New Roman"/>
          <w:szCs w:val="21"/>
        </w:rPr>
        <w:t xml:space="preserve"> </w:t>
      </w:r>
    </w:p>
    <w:p w14:paraId="0BED6E19">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）心理危机的觉察与干预</w:t>
      </w:r>
    </w:p>
    <w:p w14:paraId="2EA57632">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3</w:t>
      </w:r>
      <w:r>
        <w:rPr>
          <w:rFonts w:hint="eastAsia" w:ascii="Times New Roman" w:hAnsi="Times New Roman" w:eastAsia="宋体" w:cs="Times New Roman"/>
          <w:szCs w:val="21"/>
        </w:rPr>
        <w:t>）运动育心</w:t>
      </w:r>
    </w:p>
    <w:p w14:paraId="1CB43016">
      <w:pPr>
        <w:spacing w:line="360" w:lineRule="auto"/>
        <w:ind w:firstLine="411" w:firstLineChars="196"/>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基本要求</w:t>
      </w:r>
    </w:p>
    <w:p w14:paraId="47A58040">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）能够了解生命的历程，理解生命的意义，体会生命的独特与可贵</w:t>
      </w:r>
    </w:p>
    <w:p w14:paraId="3336034C">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）能够学会热爱生命、尊重生命、珍惜生命、体心融合</w:t>
      </w:r>
    </w:p>
    <w:p w14:paraId="3A29519A">
      <w:pPr>
        <w:spacing w:line="360" w:lineRule="auto"/>
        <w:ind w:firstLine="422" w:firstLineChars="200"/>
        <w:rPr>
          <w:rFonts w:ascii="Times New Roman" w:hAnsi="Times New Roman" w:eastAsia="宋体" w:cs="Times New Roman"/>
          <w:b/>
          <w:szCs w:val="21"/>
        </w:rPr>
      </w:pPr>
    </w:p>
    <w:p w14:paraId="5E2C565D">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教学内容与</w:t>
      </w:r>
      <w:r>
        <w:rPr>
          <w:rFonts w:ascii="Times New Roman" w:hAnsi="Times New Roman" w:eastAsia="宋体" w:cs="Times New Roman"/>
          <w:szCs w:val="21"/>
        </w:rPr>
        <w:t>课程目标的</w:t>
      </w:r>
      <w:r>
        <w:rPr>
          <w:rFonts w:hint="eastAsia" w:ascii="Times New Roman" w:hAnsi="Times New Roman" w:eastAsia="宋体" w:cs="Times New Roman"/>
          <w:szCs w:val="21"/>
        </w:rPr>
        <w:t>对应关系及</w:t>
      </w:r>
      <w:r>
        <w:rPr>
          <w:rFonts w:ascii="Times New Roman" w:hAnsi="Times New Roman" w:eastAsia="宋体" w:cs="Times New Roman"/>
          <w:szCs w:val="21"/>
        </w:rPr>
        <w:t>学时分配</w:t>
      </w:r>
      <w:r>
        <w:rPr>
          <w:rFonts w:hint="eastAsia" w:ascii="Times New Roman" w:hAnsi="Times New Roman" w:eastAsia="宋体" w:cs="Times New Roman"/>
          <w:szCs w:val="21"/>
        </w:rPr>
        <w:t>如表2所示。</w:t>
      </w:r>
    </w:p>
    <w:p w14:paraId="65FA0A52">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表2  教学内容与课程目标的对应关系及学时分配表</w:t>
      </w:r>
    </w:p>
    <w:tbl>
      <w:tblPr>
        <w:tblStyle w:val="11"/>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492"/>
        <w:gridCol w:w="2053"/>
        <w:gridCol w:w="1875"/>
        <w:gridCol w:w="843"/>
        <w:gridCol w:w="685"/>
        <w:gridCol w:w="1321"/>
      </w:tblGrid>
      <w:tr w14:paraId="6FA5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14:paraId="446AD224">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1492" w:type="dxa"/>
            <w:tcBorders>
              <w:top w:val="single" w:color="auto" w:sz="4" w:space="0"/>
              <w:left w:val="single" w:color="auto" w:sz="4" w:space="0"/>
              <w:bottom w:val="single" w:color="auto" w:sz="4" w:space="0"/>
              <w:right w:val="single" w:color="auto" w:sz="4" w:space="0"/>
            </w:tcBorders>
            <w:shd w:val="clear" w:color="auto" w:fill="FFFFFF"/>
            <w:vAlign w:val="center"/>
          </w:tcPr>
          <w:p w14:paraId="510C8D90">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教学内容</w:t>
            </w:r>
          </w:p>
        </w:tc>
        <w:tc>
          <w:tcPr>
            <w:tcW w:w="2053" w:type="dxa"/>
            <w:tcBorders>
              <w:top w:val="single" w:color="auto" w:sz="4" w:space="0"/>
              <w:left w:val="single" w:color="auto" w:sz="4" w:space="0"/>
              <w:bottom w:val="single" w:color="auto" w:sz="4" w:space="0"/>
              <w:right w:val="single" w:color="auto" w:sz="4" w:space="0"/>
            </w:tcBorders>
            <w:shd w:val="clear" w:color="auto" w:fill="FFFFFF"/>
            <w:vAlign w:val="center"/>
          </w:tcPr>
          <w:p w14:paraId="699FA906">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支撑的课程目标</w:t>
            </w:r>
          </w:p>
        </w:tc>
        <w:tc>
          <w:tcPr>
            <w:tcW w:w="1875" w:type="dxa"/>
            <w:tcBorders>
              <w:top w:val="single" w:color="auto" w:sz="4" w:space="0"/>
              <w:left w:val="single" w:color="auto" w:sz="4" w:space="0"/>
              <w:bottom w:val="single" w:color="auto" w:sz="4" w:space="0"/>
              <w:right w:val="single" w:color="auto" w:sz="4" w:space="0"/>
            </w:tcBorders>
            <w:shd w:val="clear" w:color="auto" w:fill="FFFFFF"/>
            <w:vAlign w:val="center"/>
          </w:tcPr>
          <w:p w14:paraId="2D24319C">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支撑的毕业要求</w:t>
            </w:r>
          </w:p>
          <w:p w14:paraId="608FECC3">
            <w:pPr>
              <w:widowControl/>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观测</w:t>
            </w:r>
            <w:r>
              <w:rPr>
                <w:rFonts w:ascii="Times New Roman" w:hAnsi="Times New Roman" w:eastAsia="宋体" w:cs="Times New Roman"/>
                <w:b/>
                <w:bCs/>
                <w:szCs w:val="21"/>
              </w:rPr>
              <w:t>点</w:t>
            </w:r>
          </w:p>
        </w:tc>
        <w:tc>
          <w:tcPr>
            <w:tcW w:w="843" w:type="dxa"/>
            <w:tcBorders>
              <w:top w:val="single" w:color="auto" w:sz="4" w:space="0"/>
              <w:left w:val="single" w:color="auto" w:sz="4" w:space="0"/>
              <w:bottom w:val="single" w:color="auto" w:sz="4" w:space="0"/>
              <w:right w:val="single" w:color="auto" w:sz="4" w:space="0"/>
            </w:tcBorders>
            <w:shd w:val="clear" w:color="auto" w:fill="FFFFFF"/>
            <w:vAlign w:val="center"/>
          </w:tcPr>
          <w:p w14:paraId="0C7ACC6F">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讲授学时</w:t>
            </w:r>
          </w:p>
        </w:tc>
        <w:tc>
          <w:tcPr>
            <w:tcW w:w="685" w:type="dxa"/>
            <w:tcBorders>
              <w:top w:val="single" w:color="auto" w:sz="4" w:space="0"/>
              <w:left w:val="single" w:color="auto" w:sz="4" w:space="0"/>
              <w:bottom w:val="single" w:color="auto" w:sz="4" w:space="0"/>
              <w:right w:val="single" w:color="auto" w:sz="4" w:space="0"/>
            </w:tcBorders>
            <w:shd w:val="clear" w:color="auto" w:fill="FFFFFF"/>
            <w:vAlign w:val="center"/>
          </w:tcPr>
          <w:p w14:paraId="5E017EC3">
            <w:pPr>
              <w:widowControl/>
              <w:adjustRightInd w:val="0"/>
              <w:snapToGrid w:val="0"/>
              <w:jc w:val="center"/>
              <w:rPr>
                <w:rFonts w:ascii="Times New Roman" w:hAnsi="Times New Roman" w:eastAsia="宋体" w:cs="Times New Roman"/>
                <w:b/>
                <w:bCs/>
                <w:szCs w:val="21"/>
              </w:rPr>
            </w:pPr>
            <w:r>
              <w:rPr>
                <w:rFonts w:ascii="Times New Roman" w:hAnsi="Times New Roman" w:eastAsia="宋体" w:cs="Times New Roman"/>
                <w:b/>
                <w:bCs/>
                <w:szCs w:val="21"/>
              </w:rPr>
              <w:t>实验学时</w:t>
            </w:r>
          </w:p>
        </w:tc>
        <w:tc>
          <w:tcPr>
            <w:tcW w:w="1321" w:type="dxa"/>
            <w:tcBorders>
              <w:top w:val="single" w:color="auto" w:sz="4" w:space="0"/>
              <w:left w:val="single" w:color="auto" w:sz="4" w:space="0"/>
              <w:bottom w:val="single" w:color="auto" w:sz="4" w:space="0"/>
              <w:right w:val="single" w:color="auto" w:sz="4" w:space="0"/>
            </w:tcBorders>
            <w:shd w:val="clear" w:color="auto" w:fill="FFFFFF"/>
          </w:tcPr>
          <w:p w14:paraId="7A68E0C5">
            <w:pPr>
              <w:widowControl/>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课程思政</w:t>
            </w:r>
          </w:p>
          <w:p w14:paraId="2483CEEB">
            <w:pPr>
              <w:widowControl/>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融入点</w:t>
            </w:r>
          </w:p>
        </w:tc>
      </w:tr>
      <w:tr w14:paraId="512E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4722FCA3">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1492" w:type="dxa"/>
            <w:tcBorders>
              <w:top w:val="single" w:color="auto" w:sz="4" w:space="0"/>
              <w:left w:val="single" w:color="auto" w:sz="4" w:space="0"/>
              <w:bottom w:val="single" w:color="auto" w:sz="4" w:space="0"/>
              <w:right w:val="single" w:color="auto" w:sz="4" w:space="0"/>
            </w:tcBorders>
            <w:vAlign w:val="center"/>
          </w:tcPr>
          <w:p w14:paraId="2442E68A">
            <w:pPr>
              <w:widowControl/>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心理健康导论</w:t>
            </w:r>
          </w:p>
        </w:tc>
        <w:tc>
          <w:tcPr>
            <w:tcW w:w="2053" w:type="dxa"/>
            <w:tcBorders>
              <w:top w:val="single" w:color="auto" w:sz="4" w:space="0"/>
              <w:left w:val="single" w:color="auto" w:sz="4" w:space="0"/>
              <w:bottom w:val="single" w:color="auto" w:sz="4" w:space="0"/>
              <w:right w:val="single" w:color="auto" w:sz="4" w:space="0"/>
            </w:tcBorders>
            <w:vAlign w:val="center"/>
          </w:tcPr>
          <w:p w14:paraId="3592F022">
            <w:pPr>
              <w:widowControl/>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1、目标2</w:t>
            </w:r>
          </w:p>
        </w:tc>
        <w:tc>
          <w:tcPr>
            <w:tcW w:w="1875" w:type="dxa"/>
            <w:tcBorders>
              <w:top w:val="single" w:color="auto" w:sz="4" w:space="0"/>
              <w:left w:val="single" w:color="auto" w:sz="4" w:space="0"/>
              <w:bottom w:val="single" w:color="auto" w:sz="4" w:space="0"/>
              <w:right w:val="single" w:color="auto" w:sz="4" w:space="0"/>
            </w:tcBorders>
            <w:vAlign w:val="center"/>
          </w:tcPr>
          <w:p w14:paraId="61132470">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2-3、5-2</w:t>
            </w:r>
          </w:p>
        </w:tc>
        <w:tc>
          <w:tcPr>
            <w:tcW w:w="843" w:type="dxa"/>
            <w:tcBorders>
              <w:top w:val="single" w:color="auto" w:sz="4" w:space="0"/>
              <w:left w:val="single" w:color="auto" w:sz="4" w:space="0"/>
              <w:bottom w:val="single" w:color="auto" w:sz="4" w:space="0"/>
              <w:right w:val="single" w:color="auto" w:sz="4" w:space="0"/>
            </w:tcBorders>
            <w:vAlign w:val="center"/>
          </w:tcPr>
          <w:p w14:paraId="3669BF98">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685" w:type="dxa"/>
            <w:tcBorders>
              <w:top w:val="single" w:color="auto" w:sz="4" w:space="0"/>
              <w:left w:val="single" w:color="auto" w:sz="4" w:space="0"/>
              <w:bottom w:val="single" w:color="auto" w:sz="4" w:space="0"/>
              <w:right w:val="single" w:color="auto" w:sz="4" w:space="0"/>
            </w:tcBorders>
            <w:vAlign w:val="center"/>
          </w:tcPr>
          <w:p w14:paraId="11E7FB12">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321" w:type="dxa"/>
            <w:tcBorders>
              <w:top w:val="single" w:color="auto" w:sz="4" w:space="0"/>
              <w:left w:val="single" w:color="auto" w:sz="4" w:space="0"/>
              <w:bottom w:val="single" w:color="auto" w:sz="4" w:space="0"/>
              <w:right w:val="single" w:color="auto" w:sz="4" w:space="0"/>
            </w:tcBorders>
            <w:vAlign w:val="center"/>
          </w:tcPr>
          <w:p w14:paraId="0B9794A5">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1）、（2）</w:t>
            </w:r>
          </w:p>
        </w:tc>
      </w:tr>
      <w:tr w14:paraId="04D0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73786F8F">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1492" w:type="dxa"/>
            <w:tcBorders>
              <w:top w:val="single" w:color="auto" w:sz="4" w:space="0"/>
              <w:left w:val="single" w:color="auto" w:sz="4" w:space="0"/>
              <w:bottom w:val="single" w:color="auto" w:sz="4" w:space="0"/>
              <w:right w:val="single" w:color="auto" w:sz="4" w:space="0"/>
            </w:tcBorders>
            <w:vAlign w:val="center"/>
          </w:tcPr>
          <w:p w14:paraId="6E5CB3A9">
            <w:pPr>
              <w:widowControl/>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探索自我奥秘</w:t>
            </w:r>
          </w:p>
        </w:tc>
        <w:tc>
          <w:tcPr>
            <w:tcW w:w="2053" w:type="dxa"/>
            <w:tcBorders>
              <w:top w:val="single" w:color="auto" w:sz="4" w:space="0"/>
              <w:left w:val="single" w:color="auto" w:sz="4" w:space="0"/>
              <w:bottom w:val="single" w:color="auto" w:sz="4" w:space="0"/>
              <w:right w:val="single" w:color="auto" w:sz="4" w:space="0"/>
            </w:tcBorders>
            <w:vAlign w:val="center"/>
          </w:tcPr>
          <w:p w14:paraId="75655E31">
            <w:pPr>
              <w:widowControl/>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1、目标2</w:t>
            </w:r>
          </w:p>
        </w:tc>
        <w:tc>
          <w:tcPr>
            <w:tcW w:w="1875" w:type="dxa"/>
            <w:tcBorders>
              <w:top w:val="single" w:color="auto" w:sz="4" w:space="0"/>
              <w:left w:val="single" w:color="auto" w:sz="4" w:space="0"/>
              <w:bottom w:val="single" w:color="auto" w:sz="4" w:space="0"/>
              <w:right w:val="single" w:color="auto" w:sz="4" w:space="0"/>
            </w:tcBorders>
            <w:vAlign w:val="center"/>
          </w:tcPr>
          <w:p w14:paraId="4CDB6B1F">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2-3、5-2</w:t>
            </w:r>
          </w:p>
        </w:tc>
        <w:tc>
          <w:tcPr>
            <w:tcW w:w="843" w:type="dxa"/>
            <w:tcBorders>
              <w:top w:val="single" w:color="auto" w:sz="4" w:space="0"/>
              <w:left w:val="single" w:color="auto" w:sz="4" w:space="0"/>
              <w:bottom w:val="single" w:color="auto" w:sz="4" w:space="0"/>
              <w:right w:val="single" w:color="auto" w:sz="4" w:space="0"/>
            </w:tcBorders>
            <w:vAlign w:val="center"/>
          </w:tcPr>
          <w:p w14:paraId="18A95EB4">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685" w:type="dxa"/>
            <w:tcBorders>
              <w:top w:val="single" w:color="auto" w:sz="4" w:space="0"/>
              <w:left w:val="single" w:color="auto" w:sz="4" w:space="0"/>
              <w:bottom w:val="single" w:color="auto" w:sz="4" w:space="0"/>
              <w:right w:val="single" w:color="auto" w:sz="4" w:space="0"/>
            </w:tcBorders>
            <w:vAlign w:val="center"/>
          </w:tcPr>
          <w:p w14:paraId="34A2DC15">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321" w:type="dxa"/>
            <w:tcBorders>
              <w:top w:val="single" w:color="auto" w:sz="4" w:space="0"/>
              <w:left w:val="single" w:color="auto" w:sz="4" w:space="0"/>
              <w:bottom w:val="single" w:color="auto" w:sz="4" w:space="0"/>
              <w:right w:val="single" w:color="auto" w:sz="4" w:space="0"/>
            </w:tcBorders>
            <w:vAlign w:val="center"/>
          </w:tcPr>
          <w:p w14:paraId="66E1F069">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1）、（2）</w:t>
            </w:r>
          </w:p>
        </w:tc>
      </w:tr>
      <w:tr w14:paraId="3D16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5CBD52E0">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1492" w:type="dxa"/>
            <w:tcBorders>
              <w:top w:val="single" w:color="auto" w:sz="4" w:space="0"/>
              <w:left w:val="single" w:color="auto" w:sz="4" w:space="0"/>
              <w:bottom w:val="single" w:color="auto" w:sz="4" w:space="0"/>
              <w:right w:val="single" w:color="auto" w:sz="4" w:space="0"/>
            </w:tcBorders>
            <w:vAlign w:val="center"/>
          </w:tcPr>
          <w:p w14:paraId="66214253">
            <w:pPr>
              <w:widowControl/>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揭示人格面具</w:t>
            </w:r>
          </w:p>
        </w:tc>
        <w:tc>
          <w:tcPr>
            <w:tcW w:w="2053" w:type="dxa"/>
            <w:tcBorders>
              <w:top w:val="single" w:color="auto" w:sz="4" w:space="0"/>
              <w:left w:val="single" w:color="auto" w:sz="4" w:space="0"/>
              <w:bottom w:val="single" w:color="auto" w:sz="4" w:space="0"/>
              <w:right w:val="single" w:color="auto" w:sz="4" w:space="0"/>
            </w:tcBorders>
            <w:vAlign w:val="center"/>
          </w:tcPr>
          <w:p w14:paraId="24FA5A06">
            <w:pPr>
              <w:widowControl/>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1、目标2</w:t>
            </w:r>
          </w:p>
        </w:tc>
        <w:tc>
          <w:tcPr>
            <w:tcW w:w="1875" w:type="dxa"/>
            <w:tcBorders>
              <w:top w:val="single" w:color="auto" w:sz="4" w:space="0"/>
              <w:left w:val="single" w:color="auto" w:sz="4" w:space="0"/>
              <w:bottom w:val="single" w:color="auto" w:sz="4" w:space="0"/>
              <w:right w:val="single" w:color="auto" w:sz="4" w:space="0"/>
            </w:tcBorders>
            <w:vAlign w:val="center"/>
          </w:tcPr>
          <w:p w14:paraId="335C52ED">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2-3、5-2</w:t>
            </w:r>
          </w:p>
        </w:tc>
        <w:tc>
          <w:tcPr>
            <w:tcW w:w="843" w:type="dxa"/>
            <w:tcBorders>
              <w:top w:val="single" w:color="auto" w:sz="4" w:space="0"/>
              <w:left w:val="single" w:color="auto" w:sz="4" w:space="0"/>
              <w:bottom w:val="single" w:color="auto" w:sz="4" w:space="0"/>
              <w:right w:val="single" w:color="auto" w:sz="4" w:space="0"/>
            </w:tcBorders>
            <w:vAlign w:val="center"/>
          </w:tcPr>
          <w:p w14:paraId="77E61128">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685" w:type="dxa"/>
            <w:tcBorders>
              <w:top w:val="single" w:color="auto" w:sz="4" w:space="0"/>
              <w:left w:val="single" w:color="auto" w:sz="4" w:space="0"/>
              <w:bottom w:val="single" w:color="auto" w:sz="4" w:space="0"/>
              <w:right w:val="single" w:color="auto" w:sz="4" w:space="0"/>
            </w:tcBorders>
            <w:vAlign w:val="center"/>
          </w:tcPr>
          <w:p w14:paraId="502D1B2C">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321" w:type="dxa"/>
            <w:tcBorders>
              <w:top w:val="single" w:color="auto" w:sz="4" w:space="0"/>
              <w:left w:val="single" w:color="auto" w:sz="4" w:space="0"/>
              <w:bottom w:val="single" w:color="auto" w:sz="4" w:space="0"/>
              <w:right w:val="single" w:color="auto" w:sz="4" w:space="0"/>
            </w:tcBorders>
            <w:vAlign w:val="center"/>
          </w:tcPr>
          <w:p w14:paraId="6D7859B2">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1）、（2）</w:t>
            </w:r>
          </w:p>
        </w:tc>
      </w:tr>
      <w:tr w14:paraId="01D0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10D98D65">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492" w:type="dxa"/>
            <w:tcBorders>
              <w:top w:val="single" w:color="auto" w:sz="4" w:space="0"/>
              <w:left w:val="single" w:color="auto" w:sz="4" w:space="0"/>
              <w:bottom w:val="single" w:color="auto" w:sz="4" w:space="0"/>
              <w:right w:val="single" w:color="auto" w:sz="4" w:space="0"/>
            </w:tcBorders>
            <w:vAlign w:val="center"/>
          </w:tcPr>
          <w:p w14:paraId="05121AC9">
            <w:pPr>
              <w:widowControl/>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赋能学习</w:t>
            </w:r>
          </w:p>
        </w:tc>
        <w:tc>
          <w:tcPr>
            <w:tcW w:w="2053" w:type="dxa"/>
            <w:tcBorders>
              <w:top w:val="single" w:color="auto" w:sz="4" w:space="0"/>
              <w:left w:val="single" w:color="auto" w:sz="4" w:space="0"/>
              <w:bottom w:val="single" w:color="auto" w:sz="4" w:space="0"/>
              <w:right w:val="single" w:color="auto" w:sz="4" w:space="0"/>
            </w:tcBorders>
            <w:vAlign w:val="center"/>
          </w:tcPr>
          <w:p w14:paraId="229A4240">
            <w:pPr>
              <w:widowControl/>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1、目标2</w:t>
            </w:r>
          </w:p>
        </w:tc>
        <w:tc>
          <w:tcPr>
            <w:tcW w:w="1875" w:type="dxa"/>
            <w:tcBorders>
              <w:top w:val="single" w:color="auto" w:sz="4" w:space="0"/>
              <w:left w:val="single" w:color="auto" w:sz="4" w:space="0"/>
              <w:bottom w:val="single" w:color="auto" w:sz="4" w:space="0"/>
              <w:right w:val="single" w:color="auto" w:sz="4" w:space="0"/>
            </w:tcBorders>
            <w:vAlign w:val="center"/>
          </w:tcPr>
          <w:p w14:paraId="12EC51B1">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2-3、5-2</w:t>
            </w:r>
          </w:p>
        </w:tc>
        <w:tc>
          <w:tcPr>
            <w:tcW w:w="843" w:type="dxa"/>
            <w:tcBorders>
              <w:top w:val="single" w:color="auto" w:sz="4" w:space="0"/>
              <w:left w:val="single" w:color="auto" w:sz="4" w:space="0"/>
              <w:bottom w:val="single" w:color="auto" w:sz="4" w:space="0"/>
              <w:right w:val="single" w:color="auto" w:sz="4" w:space="0"/>
            </w:tcBorders>
            <w:vAlign w:val="center"/>
          </w:tcPr>
          <w:p w14:paraId="0F06AEDF">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685" w:type="dxa"/>
            <w:tcBorders>
              <w:top w:val="single" w:color="auto" w:sz="4" w:space="0"/>
              <w:left w:val="single" w:color="auto" w:sz="4" w:space="0"/>
              <w:bottom w:val="single" w:color="auto" w:sz="4" w:space="0"/>
              <w:right w:val="single" w:color="auto" w:sz="4" w:space="0"/>
            </w:tcBorders>
            <w:vAlign w:val="center"/>
          </w:tcPr>
          <w:p w14:paraId="0E6F6400">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321" w:type="dxa"/>
            <w:tcBorders>
              <w:top w:val="single" w:color="auto" w:sz="4" w:space="0"/>
              <w:left w:val="single" w:color="auto" w:sz="4" w:space="0"/>
              <w:bottom w:val="single" w:color="auto" w:sz="4" w:space="0"/>
              <w:right w:val="single" w:color="auto" w:sz="4" w:space="0"/>
            </w:tcBorders>
            <w:vAlign w:val="center"/>
          </w:tcPr>
          <w:p w14:paraId="625C164F">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1）、（2）</w:t>
            </w:r>
          </w:p>
        </w:tc>
      </w:tr>
      <w:tr w14:paraId="7FDE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42176404">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492" w:type="dxa"/>
            <w:tcBorders>
              <w:top w:val="single" w:color="auto" w:sz="4" w:space="0"/>
              <w:left w:val="single" w:color="auto" w:sz="4" w:space="0"/>
              <w:bottom w:val="single" w:color="auto" w:sz="4" w:space="0"/>
              <w:right w:val="single" w:color="auto" w:sz="4" w:space="0"/>
            </w:tcBorders>
            <w:vAlign w:val="center"/>
          </w:tcPr>
          <w:p w14:paraId="1664B923">
            <w:pPr>
              <w:widowControl/>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情绪管理</w:t>
            </w:r>
          </w:p>
        </w:tc>
        <w:tc>
          <w:tcPr>
            <w:tcW w:w="2053" w:type="dxa"/>
            <w:tcBorders>
              <w:top w:val="single" w:color="auto" w:sz="4" w:space="0"/>
              <w:left w:val="single" w:color="auto" w:sz="4" w:space="0"/>
              <w:bottom w:val="single" w:color="auto" w:sz="4" w:space="0"/>
              <w:right w:val="single" w:color="auto" w:sz="4" w:space="0"/>
            </w:tcBorders>
            <w:vAlign w:val="center"/>
          </w:tcPr>
          <w:p w14:paraId="311F295D">
            <w:pPr>
              <w:widowControl/>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1、目标2</w:t>
            </w:r>
          </w:p>
        </w:tc>
        <w:tc>
          <w:tcPr>
            <w:tcW w:w="1875" w:type="dxa"/>
            <w:tcBorders>
              <w:top w:val="single" w:color="auto" w:sz="4" w:space="0"/>
              <w:left w:val="single" w:color="auto" w:sz="4" w:space="0"/>
              <w:bottom w:val="single" w:color="auto" w:sz="4" w:space="0"/>
              <w:right w:val="single" w:color="auto" w:sz="4" w:space="0"/>
            </w:tcBorders>
            <w:vAlign w:val="center"/>
          </w:tcPr>
          <w:p w14:paraId="1382B0BA">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2-3、5-2</w:t>
            </w:r>
          </w:p>
        </w:tc>
        <w:tc>
          <w:tcPr>
            <w:tcW w:w="843" w:type="dxa"/>
            <w:tcBorders>
              <w:top w:val="single" w:color="auto" w:sz="4" w:space="0"/>
              <w:left w:val="single" w:color="auto" w:sz="4" w:space="0"/>
              <w:bottom w:val="single" w:color="auto" w:sz="4" w:space="0"/>
              <w:right w:val="single" w:color="auto" w:sz="4" w:space="0"/>
            </w:tcBorders>
            <w:vAlign w:val="center"/>
          </w:tcPr>
          <w:p w14:paraId="17C27E2E">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685" w:type="dxa"/>
            <w:tcBorders>
              <w:top w:val="single" w:color="auto" w:sz="4" w:space="0"/>
              <w:left w:val="single" w:color="auto" w:sz="4" w:space="0"/>
              <w:bottom w:val="single" w:color="auto" w:sz="4" w:space="0"/>
              <w:right w:val="single" w:color="auto" w:sz="4" w:space="0"/>
            </w:tcBorders>
            <w:vAlign w:val="center"/>
          </w:tcPr>
          <w:p w14:paraId="1B6F5D71">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321" w:type="dxa"/>
            <w:tcBorders>
              <w:top w:val="single" w:color="auto" w:sz="4" w:space="0"/>
              <w:left w:val="single" w:color="auto" w:sz="4" w:space="0"/>
              <w:bottom w:val="single" w:color="auto" w:sz="4" w:space="0"/>
              <w:right w:val="single" w:color="auto" w:sz="4" w:space="0"/>
            </w:tcBorders>
            <w:vAlign w:val="center"/>
          </w:tcPr>
          <w:p w14:paraId="1A606A68">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1）、（2）</w:t>
            </w:r>
          </w:p>
        </w:tc>
      </w:tr>
      <w:tr w14:paraId="0EEE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21847083">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492" w:type="dxa"/>
            <w:tcBorders>
              <w:top w:val="single" w:color="auto" w:sz="4" w:space="0"/>
              <w:left w:val="single" w:color="auto" w:sz="4" w:space="0"/>
              <w:bottom w:val="single" w:color="auto" w:sz="4" w:space="0"/>
              <w:right w:val="single" w:color="auto" w:sz="4" w:space="0"/>
            </w:tcBorders>
            <w:vAlign w:val="center"/>
          </w:tcPr>
          <w:p w14:paraId="70DD1A58">
            <w:pPr>
              <w:widowControl/>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人际交往</w:t>
            </w:r>
          </w:p>
        </w:tc>
        <w:tc>
          <w:tcPr>
            <w:tcW w:w="2053" w:type="dxa"/>
            <w:tcBorders>
              <w:top w:val="single" w:color="auto" w:sz="4" w:space="0"/>
              <w:left w:val="single" w:color="auto" w:sz="4" w:space="0"/>
              <w:bottom w:val="single" w:color="auto" w:sz="4" w:space="0"/>
              <w:right w:val="single" w:color="auto" w:sz="4" w:space="0"/>
            </w:tcBorders>
            <w:vAlign w:val="center"/>
          </w:tcPr>
          <w:p w14:paraId="6D488A1E">
            <w:pPr>
              <w:widowControl/>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1、目标2</w:t>
            </w:r>
          </w:p>
        </w:tc>
        <w:tc>
          <w:tcPr>
            <w:tcW w:w="1875" w:type="dxa"/>
            <w:tcBorders>
              <w:top w:val="single" w:color="auto" w:sz="4" w:space="0"/>
              <w:left w:val="single" w:color="auto" w:sz="4" w:space="0"/>
              <w:bottom w:val="single" w:color="auto" w:sz="4" w:space="0"/>
              <w:right w:val="single" w:color="auto" w:sz="4" w:space="0"/>
            </w:tcBorders>
            <w:vAlign w:val="center"/>
          </w:tcPr>
          <w:p w14:paraId="12E78D53">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2-3、8-2</w:t>
            </w:r>
          </w:p>
        </w:tc>
        <w:tc>
          <w:tcPr>
            <w:tcW w:w="843" w:type="dxa"/>
            <w:tcBorders>
              <w:top w:val="single" w:color="auto" w:sz="4" w:space="0"/>
              <w:left w:val="single" w:color="auto" w:sz="4" w:space="0"/>
              <w:bottom w:val="single" w:color="auto" w:sz="4" w:space="0"/>
              <w:right w:val="single" w:color="auto" w:sz="4" w:space="0"/>
            </w:tcBorders>
            <w:vAlign w:val="center"/>
          </w:tcPr>
          <w:p w14:paraId="58255655">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685" w:type="dxa"/>
            <w:tcBorders>
              <w:top w:val="single" w:color="auto" w:sz="4" w:space="0"/>
              <w:left w:val="single" w:color="auto" w:sz="4" w:space="0"/>
              <w:bottom w:val="single" w:color="auto" w:sz="4" w:space="0"/>
              <w:right w:val="single" w:color="auto" w:sz="4" w:space="0"/>
            </w:tcBorders>
            <w:vAlign w:val="center"/>
          </w:tcPr>
          <w:p w14:paraId="2B6DE906">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321" w:type="dxa"/>
            <w:tcBorders>
              <w:top w:val="single" w:color="auto" w:sz="4" w:space="0"/>
              <w:left w:val="single" w:color="auto" w:sz="4" w:space="0"/>
              <w:bottom w:val="single" w:color="auto" w:sz="4" w:space="0"/>
              <w:right w:val="single" w:color="auto" w:sz="4" w:space="0"/>
            </w:tcBorders>
            <w:vAlign w:val="center"/>
          </w:tcPr>
          <w:p w14:paraId="32916578">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1）、（2）</w:t>
            </w:r>
          </w:p>
        </w:tc>
      </w:tr>
      <w:tr w14:paraId="59A5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6EF30A24">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492" w:type="dxa"/>
            <w:tcBorders>
              <w:top w:val="single" w:color="auto" w:sz="4" w:space="0"/>
              <w:left w:val="single" w:color="auto" w:sz="4" w:space="0"/>
              <w:bottom w:val="single" w:color="auto" w:sz="4" w:space="0"/>
              <w:right w:val="single" w:color="auto" w:sz="4" w:space="0"/>
            </w:tcBorders>
            <w:vAlign w:val="center"/>
          </w:tcPr>
          <w:p w14:paraId="7CD8FDE9">
            <w:pPr>
              <w:widowControl/>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遇见爱情</w:t>
            </w:r>
          </w:p>
        </w:tc>
        <w:tc>
          <w:tcPr>
            <w:tcW w:w="2053" w:type="dxa"/>
            <w:tcBorders>
              <w:top w:val="single" w:color="auto" w:sz="4" w:space="0"/>
              <w:left w:val="single" w:color="auto" w:sz="4" w:space="0"/>
              <w:bottom w:val="single" w:color="auto" w:sz="4" w:space="0"/>
              <w:right w:val="single" w:color="auto" w:sz="4" w:space="0"/>
            </w:tcBorders>
            <w:vAlign w:val="center"/>
          </w:tcPr>
          <w:p w14:paraId="2B91D725">
            <w:pPr>
              <w:widowControl/>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1、目标2</w:t>
            </w:r>
          </w:p>
        </w:tc>
        <w:tc>
          <w:tcPr>
            <w:tcW w:w="1875" w:type="dxa"/>
            <w:tcBorders>
              <w:top w:val="single" w:color="auto" w:sz="4" w:space="0"/>
              <w:left w:val="single" w:color="auto" w:sz="4" w:space="0"/>
              <w:bottom w:val="single" w:color="auto" w:sz="4" w:space="0"/>
              <w:right w:val="single" w:color="auto" w:sz="4" w:space="0"/>
            </w:tcBorders>
            <w:vAlign w:val="center"/>
          </w:tcPr>
          <w:p w14:paraId="14F777E4">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2-3、8-2</w:t>
            </w:r>
          </w:p>
        </w:tc>
        <w:tc>
          <w:tcPr>
            <w:tcW w:w="843" w:type="dxa"/>
            <w:tcBorders>
              <w:top w:val="single" w:color="auto" w:sz="4" w:space="0"/>
              <w:left w:val="single" w:color="auto" w:sz="4" w:space="0"/>
              <w:bottom w:val="single" w:color="auto" w:sz="4" w:space="0"/>
              <w:right w:val="single" w:color="auto" w:sz="4" w:space="0"/>
            </w:tcBorders>
            <w:vAlign w:val="center"/>
          </w:tcPr>
          <w:p w14:paraId="74BF2A4F">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685" w:type="dxa"/>
            <w:tcBorders>
              <w:top w:val="single" w:color="auto" w:sz="4" w:space="0"/>
              <w:left w:val="single" w:color="auto" w:sz="4" w:space="0"/>
              <w:bottom w:val="single" w:color="auto" w:sz="4" w:space="0"/>
              <w:right w:val="single" w:color="auto" w:sz="4" w:space="0"/>
            </w:tcBorders>
            <w:vAlign w:val="center"/>
          </w:tcPr>
          <w:p w14:paraId="64C719A6">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321" w:type="dxa"/>
            <w:tcBorders>
              <w:top w:val="single" w:color="auto" w:sz="4" w:space="0"/>
              <w:left w:val="single" w:color="auto" w:sz="4" w:space="0"/>
              <w:bottom w:val="single" w:color="auto" w:sz="4" w:space="0"/>
              <w:right w:val="single" w:color="auto" w:sz="4" w:space="0"/>
            </w:tcBorders>
            <w:vAlign w:val="center"/>
          </w:tcPr>
          <w:p w14:paraId="452FE65F">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1）、（2）</w:t>
            </w:r>
          </w:p>
        </w:tc>
      </w:tr>
      <w:tr w14:paraId="4B98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432BBC08">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8</w:t>
            </w:r>
          </w:p>
        </w:tc>
        <w:tc>
          <w:tcPr>
            <w:tcW w:w="1492" w:type="dxa"/>
            <w:tcBorders>
              <w:top w:val="single" w:color="auto" w:sz="4" w:space="0"/>
              <w:left w:val="single" w:color="auto" w:sz="4" w:space="0"/>
              <w:bottom w:val="single" w:color="auto" w:sz="4" w:space="0"/>
              <w:right w:val="single" w:color="auto" w:sz="4" w:space="0"/>
            </w:tcBorders>
            <w:vAlign w:val="center"/>
          </w:tcPr>
          <w:p w14:paraId="7FD94E2D">
            <w:pPr>
              <w:widowControl/>
              <w:adjustRightInd w:val="0"/>
              <w:snapToGrid w:val="0"/>
              <w:spacing w:line="360" w:lineRule="auto"/>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生命教育与运动健心</w:t>
            </w:r>
          </w:p>
        </w:tc>
        <w:tc>
          <w:tcPr>
            <w:tcW w:w="2053" w:type="dxa"/>
            <w:tcBorders>
              <w:top w:val="single" w:color="auto" w:sz="4" w:space="0"/>
              <w:left w:val="single" w:color="auto" w:sz="4" w:space="0"/>
              <w:bottom w:val="single" w:color="auto" w:sz="4" w:space="0"/>
              <w:right w:val="single" w:color="auto" w:sz="4" w:space="0"/>
            </w:tcBorders>
            <w:vAlign w:val="center"/>
          </w:tcPr>
          <w:p w14:paraId="4E991B4B">
            <w:pPr>
              <w:widowControl/>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目标</w:t>
            </w:r>
            <w:r>
              <w:rPr>
                <w:rFonts w:hint="eastAsia" w:ascii="Times New Roman" w:hAnsi="Times New Roman" w:eastAsia="宋体" w:cs="Times New Roman"/>
                <w:color w:val="000000"/>
                <w:szCs w:val="21"/>
              </w:rPr>
              <w:t>1、目标2</w:t>
            </w:r>
          </w:p>
        </w:tc>
        <w:tc>
          <w:tcPr>
            <w:tcW w:w="1875" w:type="dxa"/>
            <w:tcBorders>
              <w:top w:val="single" w:color="auto" w:sz="4" w:space="0"/>
              <w:left w:val="single" w:color="auto" w:sz="4" w:space="0"/>
              <w:bottom w:val="single" w:color="auto" w:sz="4" w:space="0"/>
              <w:right w:val="single" w:color="auto" w:sz="4" w:space="0"/>
            </w:tcBorders>
            <w:vAlign w:val="center"/>
          </w:tcPr>
          <w:p w14:paraId="62B8EB54">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2-3、8-2</w:t>
            </w:r>
          </w:p>
        </w:tc>
        <w:tc>
          <w:tcPr>
            <w:tcW w:w="843" w:type="dxa"/>
            <w:tcBorders>
              <w:top w:val="single" w:color="auto" w:sz="4" w:space="0"/>
              <w:left w:val="single" w:color="auto" w:sz="4" w:space="0"/>
              <w:bottom w:val="single" w:color="auto" w:sz="4" w:space="0"/>
              <w:right w:val="single" w:color="auto" w:sz="4" w:space="0"/>
            </w:tcBorders>
            <w:vAlign w:val="center"/>
          </w:tcPr>
          <w:p w14:paraId="6B28E29C">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685" w:type="dxa"/>
            <w:tcBorders>
              <w:top w:val="single" w:color="auto" w:sz="4" w:space="0"/>
              <w:left w:val="single" w:color="auto" w:sz="4" w:space="0"/>
              <w:bottom w:val="single" w:color="auto" w:sz="4" w:space="0"/>
              <w:right w:val="single" w:color="auto" w:sz="4" w:space="0"/>
            </w:tcBorders>
            <w:vAlign w:val="center"/>
          </w:tcPr>
          <w:p w14:paraId="1A8A667F">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321" w:type="dxa"/>
            <w:tcBorders>
              <w:top w:val="single" w:color="auto" w:sz="4" w:space="0"/>
              <w:left w:val="single" w:color="auto" w:sz="4" w:space="0"/>
              <w:bottom w:val="single" w:color="auto" w:sz="4" w:space="0"/>
              <w:right w:val="single" w:color="auto" w:sz="4" w:space="0"/>
            </w:tcBorders>
            <w:vAlign w:val="center"/>
          </w:tcPr>
          <w:p w14:paraId="4A8AD84C">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r>
              <w:rPr>
                <w:rFonts w:hint="eastAsia" w:ascii="Times New Roman" w:hAnsi="Times New Roman" w:eastAsia="宋体" w:cs="Times New Roman"/>
                <w:szCs w:val="21"/>
              </w:rPr>
              <w:t>1）、（2）</w:t>
            </w:r>
          </w:p>
        </w:tc>
      </w:tr>
      <w:tr w14:paraId="4DA4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065" w:type="dxa"/>
            <w:gridSpan w:val="4"/>
            <w:tcBorders>
              <w:top w:val="single" w:color="auto" w:sz="4" w:space="0"/>
              <w:left w:val="single" w:color="auto" w:sz="4" w:space="0"/>
              <w:bottom w:val="single" w:color="auto" w:sz="4" w:space="0"/>
              <w:right w:val="single" w:color="auto" w:sz="4" w:space="0"/>
            </w:tcBorders>
            <w:vAlign w:val="center"/>
          </w:tcPr>
          <w:p w14:paraId="3EB1D4B7">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合 计</w:t>
            </w:r>
          </w:p>
        </w:tc>
        <w:tc>
          <w:tcPr>
            <w:tcW w:w="843" w:type="dxa"/>
            <w:tcBorders>
              <w:top w:val="single" w:color="auto" w:sz="4" w:space="0"/>
              <w:left w:val="single" w:color="auto" w:sz="4" w:space="0"/>
              <w:bottom w:val="single" w:color="auto" w:sz="4" w:space="0"/>
              <w:right w:val="single" w:color="auto" w:sz="4" w:space="0"/>
            </w:tcBorders>
            <w:vAlign w:val="center"/>
          </w:tcPr>
          <w:p w14:paraId="473A3B69">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685" w:type="dxa"/>
            <w:tcBorders>
              <w:top w:val="single" w:color="auto" w:sz="4" w:space="0"/>
              <w:left w:val="single" w:color="auto" w:sz="4" w:space="0"/>
              <w:bottom w:val="single" w:color="auto" w:sz="4" w:space="0"/>
              <w:right w:val="single" w:color="auto" w:sz="4" w:space="0"/>
            </w:tcBorders>
            <w:vAlign w:val="center"/>
          </w:tcPr>
          <w:p w14:paraId="2005F733">
            <w:pPr>
              <w:widowControl/>
              <w:adjustRightInd w:val="0"/>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1321" w:type="dxa"/>
            <w:tcBorders>
              <w:top w:val="single" w:color="auto" w:sz="4" w:space="0"/>
              <w:left w:val="single" w:color="auto" w:sz="4" w:space="0"/>
              <w:bottom w:val="single" w:color="auto" w:sz="4" w:space="0"/>
              <w:right w:val="single" w:color="auto" w:sz="4" w:space="0"/>
            </w:tcBorders>
          </w:tcPr>
          <w:p w14:paraId="1FE92104">
            <w:pPr>
              <w:widowControl/>
              <w:adjustRightInd w:val="0"/>
              <w:snapToGrid w:val="0"/>
              <w:spacing w:line="360" w:lineRule="auto"/>
              <w:jc w:val="center"/>
              <w:rPr>
                <w:rFonts w:ascii="Times New Roman" w:hAnsi="Times New Roman" w:eastAsia="宋体" w:cs="Times New Roman"/>
                <w:szCs w:val="21"/>
              </w:rPr>
            </w:pPr>
          </w:p>
        </w:tc>
      </w:tr>
    </w:tbl>
    <w:p w14:paraId="370A8F37">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说明：专业版课程教学大纲依据具体的毕业要求观测点完善“教学内容与课程目标的对应关系及学时分配表”。</w:t>
      </w:r>
    </w:p>
    <w:p w14:paraId="2B24F88A">
      <w:pPr>
        <w:snapToGrid w:val="0"/>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四、课内实验（实践）</w:t>
      </w:r>
    </w:p>
    <w:p w14:paraId="445F8B84">
      <w:pPr>
        <w:widowControl/>
        <w:adjustRightInd w:val="0"/>
        <w:snapToGri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课内实验</w:t>
      </w:r>
      <w:r>
        <w:rPr>
          <w:rFonts w:hint="eastAsia" w:ascii="Times New Roman" w:hAnsi="Times New Roman" w:eastAsia="宋体" w:cs="Times New Roman"/>
          <w:szCs w:val="21"/>
        </w:rPr>
        <w:t>（实践）项目名称、教学内容及教学目标、</w:t>
      </w:r>
      <w:r>
        <w:rPr>
          <w:rFonts w:ascii="Times New Roman" w:hAnsi="Times New Roman" w:eastAsia="宋体" w:cs="Times New Roman"/>
          <w:szCs w:val="21"/>
        </w:rPr>
        <w:t>学时分配</w:t>
      </w:r>
      <w:r>
        <w:rPr>
          <w:rFonts w:hint="eastAsia" w:ascii="Times New Roman" w:hAnsi="Times New Roman" w:eastAsia="宋体" w:cs="Times New Roman"/>
          <w:szCs w:val="21"/>
        </w:rPr>
        <w:t>以及</w:t>
      </w:r>
      <w:r>
        <w:rPr>
          <w:rFonts w:ascii="Times New Roman" w:hAnsi="Times New Roman" w:eastAsia="宋体" w:cs="Times New Roman"/>
          <w:szCs w:val="21"/>
        </w:rPr>
        <w:t>与课程目标的对应关系如表3所示。</w:t>
      </w:r>
    </w:p>
    <w:p w14:paraId="20782870">
      <w:pPr>
        <w:widowControl/>
        <w:adjustRightInd w:val="0"/>
        <w:snapToGrid w:val="0"/>
        <w:spacing w:line="360" w:lineRule="auto"/>
        <w:ind w:firstLine="420" w:firstLineChars="200"/>
        <w:jc w:val="center"/>
        <w:rPr>
          <w:rFonts w:ascii="Times New Roman" w:hAnsi="Times New Roman" w:eastAsia="宋体" w:cs="Times New Roman"/>
          <w:szCs w:val="21"/>
        </w:rPr>
      </w:pPr>
      <w:r>
        <w:rPr>
          <w:rFonts w:ascii="Times New Roman" w:hAnsi="Times New Roman" w:eastAsia="宋体" w:cs="Times New Roman"/>
          <w:szCs w:val="21"/>
        </w:rPr>
        <w:t xml:space="preserve">表3  </w:t>
      </w:r>
      <w:r>
        <w:rPr>
          <w:rFonts w:hint="eastAsia" w:ascii="Times New Roman" w:hAnsi="Times New Roman" w:eastAsia="宋体" w:cs="Times New Roman"/>
          <w:szCs w:val="21"/>
        </w:rPr>
        <w:t>实验（实践）</w:t>
      </w:r>
      <w:r>
        <w:rPr>
          <w:rFonts w:ascii="Times New Roman" w:hAnsi="Times New Roman" w:eastAsia="宋体" w:cs="Times New Roman"/>
          <w:szCs w:val="21"/>
        </w:rPr>
        <w:t>教学内容与课程</w:t>
      </w:r>
      <w:r>
        <w:rPr>
          <w:rFonts w:hint="eastAsia" w:ascii="Times New Roman" w:hAnsi="Times New Roman" w:eastAsia="宋体" w:cs="Times New Roman"/>
          <w:szCs w:val="21"/>
        </w:rPr>
        <w:t>教学</w:t>
      </w:r>
      <w:r>
        <w:rPr>
          <w:rFonts w:ascii="Times New Roman" w:hAnsi="Times New Roman" w:eastAsia="宋体" w:cs="Times New Roman"/>
          <w:szCs w:val="21"/>
        </w:rPr>
        <w:t>目标的对应关系及学时分配表</w:t>
      </w:r>
    </w:p>
    <w:tbl>
      <w:tblPr>
        <w:tblStyle w:val="11"/>
        <w:tblW w:w="8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173"/>
        <w:gridCol w:w="2268"/>
        <w:gridCol w:w="709"/>
        <w:gridCol w:w="1694"/>
        <w:gridCol w:w="1068"/>
        <w:gridCol w:w="1296"/>
      </w:tblGrid>
      <w:tr w14:paraId="59CB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3CB4103A">
            <w:pPr>
              <w:widowControl/>
              <w:adjustRightInd w:val="0"/>
              <w:snapToGrid w:val="0"/>
              <w:jc w:val="center"/>
              <w:rPr>
                <w:rFonts w:ascii="Times New Roman" w:hAnsi="Times New Roman" w:eastAsia="宋体" w:cs="Times New Roman"/>
                <w:b/>
                <w:spacing w:val="-20"/>
                <w:szCs w:val="21"/>
              </w:rPr>
            </w:pPr>
            <w:r>
              <w:rPr>
                <w:rFonts w:ascii="Times New Roman" w:hAnsi="Times New Roman" w:eastAsia="宋体" w:cs="Times New Roman"/>
                <w:b/>
                <w:spacing w:val="-20"/>
                <w:szCs w:val="21"/>
              </w:rPr>
              <w:t>序号</w:t>
            </w:r>
          </w:p>
        </w:tc>
        <w:tc>
          <w:tcPr>
            <w:tcW w:w="1173" w:type="dxa"/>
            <w:tcBorders>
              <w:top w:val="single" w:color="auto" w:sz="4" w:space="0"/>
              <w:left w:val="single" w:color="auto" w:sz="4" w:space="0"/>
              <w:bottom w:val="single" w:color="auto" w:sz="4" w:space="0"/>
              <w:right w:val="single" w:color="auto" w:sz="4" w:space="0"/>
            </w:tcBorders>
            <w:shd w:val="clear" w:color="auto" w:fill="FFFFFF"/>
            <w:vAlign w:val="center"/>
          </w:tcPr>
          <w:p w14:paraId="62DF5C1B">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实验项目名称</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2DDD6C40">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实验内容及</w:t>
            </w:r>
            <w:r>
              <w:rPr>
                <w:rFonts w:hint="eastAsia" w:ascii="Times New Roman" w:hAnsi="Times New Roman" w:eastAsia="宋体" w:cs="Times New Roman"/>
                <w:b/>
                <w:szCs w:val="21"/>
              </w:rPr>
              <w:t>教学目标</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228E9111">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学时</w:t>
            </w:r>
          </w:p>
        </w:tc>
        <w:tc>
          <w:tcPr>
            <w:tcW w:w="1694" w:type="dxa"/>
            <w:tcBorders>
              <w:top w:val="single" w:color="auto" w:sz="4" w:space="0"/>
              <w:left w:val="single" w:color="auto" w:sz="4" w:space="0"/>
              <w:bottom w:val="single" w:color="auto" w:sz="4" w:space="0"/>
              <w:right w:val="single" w:color="auto" w:sz="4" w:space="0"/>
            </w:tcBorders>
            <w:shd w:val="clear" w:color="auto" w:fill="FFFFFF"/>
            <w:vAlign w:val="center"/>
          </w:tcPr>
          <w:p w14:paraId="52600D65">
            <w:pPr>
              <w:widowControl/>
              <w:adjustRightInd w:val="0"/>
              <w:snapToGrid w:val="0"/>
              <w:jc w:val="center"/>
              <w:rPr>
                <w:rFonts w:ascii="Times New Roman" w:hAnsi="Times New Roman" w:eastAsia="宋体" w:cs="Times New Roman"/>
                <w:b/>
                <w:szCs w:val="21"/>
              </w:rPr>
            </w:pPr>
            <w:r>
              <w:rPr>
                <w:rFonts w:ascii="Times New Roman" w:hAnsi="Times New Roman" w:eastAsia="宋体" w:cs="Times New Roman"/>
                <w:b/>
                <w:szCs w:val="21"/>
              </w:rPr>
              <w:t>支撑的课程目标</w:t>
            </w:r>
          </w:p>
        </w:tc>
        <w:tc>
          <w:tcPr>
            <w:tcW w:w="10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49EEBBD3">
            <w:pPr>
              <w:widowControl/>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实践要求</w:t>
            </w:r>
          </w:p>
        </w:tc>
        <w:tc>
          <w:tcPr>
            <w:tcW w:w="1296" w:type="dxa"/>
            <w:tcBorders>
              <w:top w:val="single" w:color="auto" w:sz="4" w:space="0"/>
              <w:left w:val="single" w:color="auto" w:sz="4" w:space="0"/>
              <w:bottom w:val="single" w:color="auto" w:sz="4" w:space="0"/>
              <w:right w:val="single" w:color="auto" w:sz="4" w:space="0"/>
            </w:tcBorders>
            <w:shd w:val="clear" w:color="auto" w:fill="FFFFFF"/>
          </w:tcPr>
          <w:p w14:paraId="66A86936">
            <w:pPr>
              <w:widowControl/>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课程思政</w:t>
            </w:r>
          </w:p>
          <w:p w14:paraId="65D93B78">
            <w:pPr>
              <w:widowControl/>
              <w:adjustRightInd w:val="0"/>
              <w:snapToGrid w:val="0"/>
              <w:jc w:val="center"/>
              <w:rPr>
                <w:rFonts w:ascii="Times New Roman" w:hAnsi="Times New Roman" w:eastAsia="宋体" w:cs="Times New Roman"/>
                <w:b/>
                <w:szCs w:val="21"/>
              </w:rPr>
            </w:pPr>
            <w:r>
              <w:rPr>
                <w:rFonts w:hint="eastAsia" w:ascii="Times New Roman" w:hAnsi="Times New Roman" w:eastAsia="宋体" w:cs="Times New Roman"/>
                <w:b/>
                <w:szCs w:val="21"/>
              </w:rPr>
              <w:t>融入点</w:t>
            </w:r>
          </w:p>
        </w:tc>
      </w:tr>
      <w:tr w14:paraId="508C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6906E5B9">
            <w:pPr>
              <w:widowControl/>
              <w:adjustRightInd w:val="0"/>
              <w:snapToGrid w:val="0"/>
              <w:spacing w:line="360" w:lineRule="auto"/>
              <w:jc w:val="center"/>
              <w:rPr>
                <w:rFonts w:ascii="Times New Roman" w:hAnsi="Times New Roman" w:eastAsia="宋体" w:cs="Times New Roman"/>
                <w:bCs/>
                <w:spacing w:val="-20"/>
                <w:szCs w:val="21"/>
              </w:rPr>
            </w:pPr>
            <w:r>
              <w:rPr>
                <w:rFonts w:ascii="Times New Roman" w:hAnsi="Times New Roman" w:eastAsia="宋体" w:cs="Times New Roman"/>
                <w:bCs/>
                <w:spacing w:val="-20"/>
                <w:szCs w:val="21"/>
              </w:rPr>
              <w:t>1</w:t>
            </w:r>
          </w:p>
        </w:tc>
        <w:tc>
          <w:tcPr>
            <w:tcW w:w="1173" w:type="dxa"/>
            <w:tcBorders>
              <w:top w:val="single" w:color="auto" w:sz="4" w:space="0"/>
              <w:left w:val="single" w:color="auto" w:sz="4" w:space="0"/>
              <w:bottom w:val="single" w:color="auto" w:sz="4" w:space="0"/>
              <w:right w:val="single" w:color="auto" w:sz="4" w:space="0"/>
            </w:tcBorders>
            <w:shd w:val="clear" w:color="auto" w:fill="FFFFFF"/>
            <w:vAlign w:val="center"/>
          </w:tcPr>
          <w:p w14:paraId="48A7D80D">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班集体团队建设</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6A184F80">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在教师指导下完成班级心理团体辅导活动</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41AEC71A">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vAlign w:val="center"/>
          </w:tcPr>
          <w:p w14:paraId="691915F9">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026CD005">
            <w:pPr>
              <w:widowControl/>
              <w:adjustRightInd w:val="0"/>
              <w:snapToGrid w:val="0"/>
              <w:spacing w:line="360" w:lineRule="auto"/>
              <w:jc w:val="center"/>
              <w:rPr>
                <w:rFonts w:ascii="Times New Roman" w:hAnsi="Times New Roman" w:eastAsia="宋体" w:cs="Times New Roman"/>
                <w:bCs/>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vAlign w:val="center"/>
          </w:tcPr>
          <w:p w14:paraId="23750C23">
            <w:pPr>
              <w:widowControl/>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1）</w:t>
            </w:r>
          </w:p>
          <w:p w14:paraId="5C5F56A9">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r>
      <w:tr w14:paraId="794B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3579544A">
            <w:pPr>
              <w:widowControl/>
              <w:adjustRightInd w:val="0"/>
              <w:snapToGrid w:val="0"/>
              <w:spacing w:line="360" w:lineRule="auto"/>
              <w:jc w:val="center"/>
              <w:rPr>
                <w:rFonts w:ascii="Times New Roman" w:hAnsi="Times New Roman" w:eastAsia="宋体" w:cs="Times New Roman"/>
                <w:bCs/>
                <w:spacing w:val="-20"/>
                <w:szCs w:val="21"/>
              </w:rPr>
            </w:pPr>
            <w:r>
              <w:rPr>
                <w:rFonts w:ascii="Times New Roman" w:hAnsi="Times New Roman" w:eastAsia="宋体" w:cs="Times New Roman"/>
                <w:bCs/>
                <w:spacing w:val="-20"/>
                <w:szCs w:val="21"/>
              </w:rPr>
              <w:t>2</w:t>
            </w:r>
          </w:p>
        </w:tc>
        <w:tc>
          <w:tcPr>
            <w:tcW w:w="1173" w:type="dxa"/>
            <w:tcBorders>
              <w:top w:val="single" w:color="auto" w:sz="4" w:space="0"/>
              <w:left w:val="single" w:color="auto" w:sz="4" w:space="0"/>
              <w:bottom w:val="single" w:color="auto" w:sz="4" w:space="0"/>
              <w:right w:val="single" w:color="auto" w:sz="4" w:space="0"/>
            </w:tcBorders>
            <w:shd w:val="clear" w:color="auto" w:fill="FFFFFF"/>
            <w:vAlign w:val="center"/>
          </w:tcPr>
          <w:p w14:paraId="0AA36DE8">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探索自我奥秘</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3ABC1AA6">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在教师指导下完成心理健康测评和个人成长经历档案</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5D572313">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vAlign w:val="center"/>
          </w:tcPr>
          <w:p w14:paraId="72E988C2">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04307A29">
            <w:pPr>
              <w:widowControl/>
              <w:adjustRightInd w:val="0"/>
              <w:snapToGrid w:val="0"/>
              <w:spacing w:line="360" w:lineRule="auto"/>
              <w:jc w:val="center"/>
              <w:rPr>
                <w:rFonts w:ascii="Times New Roman" w:hAnsi="Times New Roman" w:eastAsia="宋体" w:cs="Times New Roman"/>
                <w:bCs/>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vAlign w:val="center"/>
          </w:tcPr>
          <w:p w14:paraId="52CB17CA">
            <w:pPr>
              <w:widowControl/>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1）</w:t>
            </w:r>
          </w:p>
          <w:p w14:paraId="545C7041">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r>
      <w:tr w14:paraId="492D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5B9E952B">
            <w:pPr>
              <w:widowControl/>
              <w:adjustRightInd w:val="0"/>
              <w:snapToGrid w:val="0"/>
              <w:spacing w:line="360" w:lineRule="auto"/>
              <w:jc w:val="center"/>
              <w:rPr>
                <w:rFonts w:ascii="Times New Roman" w:hAnsi="Times New Roman" w:eastAsia="宋体" w:cs="Times New Roman"/>
                <w:bCs/>
                <w:spacing w:val="-20"/>
                <w:szCs w:val="21"/>
              </w:rPr>
            </w:pPr>
            <w:r>
              <w:rPr>
                <w:rFonts w:ascii="Times New Roman" w:hAnsi="Times New Roman" w:eastAsia="宋体" w:cs="Times New Roman"/>
                <w:bCs/>
                <w:spacing w:val="-20"/>
                <w:szCs w:val="21"/>
              </w:rPr>
              <w:t>3</w:t>
            </w:r>
          </w:p>
        </w:tc>
        <w:tc>
          <w:tcPr>
            <w:tcW w:w="1173" w:type="dxa"/>
            <w:tcBorders>
              <w:top w:val="single" w:color="auto" w:sz="4" w:space="0"/>
              <w:left w:val="single" w:color="auto" w:sz="4" w:space="0"/>
              <w:bottom w:val="single" w:color="auto" w:sz="4" w:space="0"/>
              <w:right w:val="single" w:color="auto" w:sz="4" w:space="0"/>
            </w:tcBorders>
            <w:shd w:val="clear" w:color="auto" w:fill="FFFFFF"/>
            <w:vAlign w:val="center"/>
          </w:tcPr>
          <w:p w14:paraId="6DCD7BBE">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揭示人格面具</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7F112227">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在教师指导下完成人格探索各项心理活动</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4F58355E">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vAlign w:val="center"/>
          </w:tcPr>
          <w:p w14:paraId="06043317">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6A28A7F5">
            <w:pPr>
              <w:widowControl/>
              <w:adjustRightInd w:val="0"/>
              <w:snapToGrid w:val="0"/>
              <w:spacing w:line="360" w:lineRule="auto"/>
              <w:jc w:val="center"/>
              <w:rPr>
                <w:rFonts w:ascii="Times New Roman" w:hAnsi="Times New Roman" w:eastAsia="宋体" w:cs="Times New Roman"/>
                <w:bCs/>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vAlign w:val="center"/>
          </w:tcPr>
          <w:p w14:paraId="34C06175">
            <w:pPr>
              <w:widowControl/>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1）</w:t>
            </w:r>
          </w:p>
          <w:p w14:paraId="53679E38">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r>
      <w:tr w14:paraId="21B6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775C6C9B">
            <w:pPr>
              <w:widowControl/>
              <w:adjustRightInd w:val="0"/>
              <w:snapToGrid w:val="0"/>
              <w:spacing w:line="360" w:lineRule="auto"/>
              <w:jc w:val="center"/>
              <w:rPr>
                <w:rFonts w:ascii="Times New Roman" w:hAnsi="Times New Roman" w:eastAsia="宋体" w:cs="Times New Roman"/>
                <w:bCs/>
                <w:spacing w:val="-20"/>
                <w:szCs w:val="21"/>
              </w:rPr>
            </w:pPr>
            <w:r>
              <w:rPr>
                <w:rFonts w:hint="eastAsia" w:ascii="Times New Roman" w:hAnsi="Times New Roman" w:eastAsia="宋体" w:cs="Times New Roman"/>
                <w:bCs/>
                <w:spacing w:val="-20"/>
                <w:szCs w:val="21"/>
              </w:rPr>
              <w:t>4</w:t>
            </w:r>
          </w:p>
        </w:tc>
        <w:tc>
          <w:tcPr>
            <w:tcW w:w="1173" w:type="dxa"/>
            <w:tcBorders>
              <w:top w:val="single" w:color="auto" w:sz="4" w:space="0"/>
              <w:left w:val="single" w:color="auto" w:sz="4" w:space="0"/>
              <w:bottom w:val="single" w:color="auto" w:sz="4" w:space="0"/>
              <w:right w:val="single" w:color="auto" w:sz="4" w:space="0"/>
            </w:tcBorders>
            <w:shd w:val="clear" w:color="auto" w:fill="FFFFFF"/>
            <w:vAlign w:val="center"/>
          </w:tcPr>
          <w:p w14:paraId="2FBF6547">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成为高效学习者</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5C9D2F15">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在教师指导下完成学习方法探索活动和学习压力管理活动</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15240DC0">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vAlign w:val="center"/>
          </w:tcPr>
          <w:p w14:paraId="23303F6A">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0CFD95FC">
            <w:pPr>
              <w:widowControl/>
              <w:adjustRightInd w:val="0"/>
              <w:snapToGrid w:val="0"/>
              <w:spacing w:line="360" w:lineRule="auto"/>
              <w:jc w:val="center"/>
              <w:rPr>
                <w:rFonts w:ascii="Times New Roman" w:hAnsi="Times New Roman" w:eastAsia="宋体" w:cs="Times New Roman"/>
                <w:bCs/>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vAlign w:val="center"/>
          </w:tcPr>
          <w:p w14:paraId="776F9B2B">
            <w:pPr>
              <w:widowControl/>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1）</w:t>
            </w:r>
          </w:p>
          <w:p w14:paraId="0FA0AA6C">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r>
      <w:tr w14:paraId="644A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79970C3B">
            <w:pPr>
              <w:widowControl/>
              <w:adjustRightInd w:val="0"/>
              <w:snapToGrid w:val="0"/>
              <w:spacing w:line="360" w:lineRule="auto"/>
              <w:jc w:val="center"/>
              <w:rPr>
                <w:rFonts w:ascii="Times New Roman" w:hAnsi="Times New Roman" w:eastAsia="宋体" w:cs="Times New Roman"/>
                <w:bCs/>
                <w:spacing w:val="-20"/>
                <w:szCs w:val="21"/>
              </w:rPr>
            </w:pPr>
            <w:r>
              <w:rPr>
                <w:rFonts w:hint="eastAsia" w:ascii="Times New Roman" w:hAnsi="Times New Roman" w:eastAsia="宋体" w:cs="Times New Roman"/>
                <w:bCs/>
                <w:spacing w:val="-20"/>
                <w:szCs w:val="21"/>
              </w:rPr>
              <w:t>5</w:t>
            </w:r>
          </w:p>
        </w:tc>
        <w:tc>
          <w:tcPr>
            <w:tcW w:w="1173" w:type="dxa"/>
            <w:tcBorders>
              <w:top w:val="single" w:color="auto" w:sz="4" w:space="0"/>
              <w:left w:val="single" w:color="auto" w:sz="4" w:space="0"/>
              <w:bottom w:val="single" w:color="auto" w:sz="4" w:space="0"/>
              <w:right w:val="single" w:color="auto" w:sz="4" w:space="0"/>
            </w:tcBorders>
            <w:shd w:val="clear" w:color="auto" w:fill="FFFFFF"/>
            <w:vAlign w:val="center"/>
          </w:tcPr>
          <w:p w14:paraId="32BD2B18">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接纳多彩情绪</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1E2B14B5">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在教师指导下完成情绪主题心理电影赏析</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75C62730">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vAlign w:val="center"/>
          </w:tcPr>
          <w:p w14:paraId="4DDA488F">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4A1E73FC">
            <w:pPr>
              <w:widowControl/>
              <w:adjustRightInd w:val="0"/>
              <w:snapToGrid w:val="0"/>
              <w:spacing w:line="360" w:lineRule="auto"/>
              <w:jc w:val="center"/>
              <w:rPr>
                <w:rFonts w:ascii="Times New Roman" w:hAnsi="Times New Roman" w:eastAsia="宋体" w:cs="Times New Roman"/>
                <w:bCs/>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vAlign w:val="center"/>
          </w:tcPr>
          <w:p w14:paraId="0D5462D1">
            <w:pPr>
              <w:widowControl/>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1）</w:t>
            </w:r>
          </w:p>
          <w:p w14:paraId="795F9E59">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r>
      <w:tr w14:paraId="52E9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2396F547">
            <w:pPr>
              <w:widowControl/>
              <w:adjustRightInd w:val="0"/>
              <w:snapToGrid w:val="0"/>
              <w:spacing w:line="360" w:lineRule="auto"/>
              <w:jc w:val="center"/>
              <w:rPr>
                <w:rFonts w:ascii="Times New Roman" w:hAnsi="Times New Roman" w:eastAsia="宋体" w:cs="Times New Roman"/>
                <w:bCs/>
                <w:spacing w:val="-20"/>
                <w:szCs w:val="21"/>
              </w:rPr>
            </w:pPr>
            <w:r>
              <w:rPr>
                <w:rFonts w:hint="eastAsia" w:ascii="Times New Roman" w:hAnsi="Times New Roman" w:eastAsia="宋体" w:cs="Times New Roman"/>
                <w:bCs/>
                <w:spacing w:val="-20"/>
                <w:szCs w:val="21"/>
              </w:rPr>
              <w:t>6</w:t>
            </w:r>
          </w:p>
        </w:tc>
        <w:tc>
          <w:tcPr>
            <w:tcW w:w="1173" w:type="dxa"/>
            <w:tcBorders>
              <w:top w:val="single" w:color="auto" w:sz="4" w:space="0"/>
              <w:left w:val="single" w:color="auto" w:sz="4" w:space="0"/>
              <w:bottom w:val="single" w:color="auto" w:sz="4" w:space="0"/>
              <w:right w:val="single" w:color="auto" w:sz="4" w:space="0"/>
            </w:tcBorders>
            <w:shd w:val="clear" w:color="auto" w:fill="FFFFFF"/>
            <w:vAlign w:val="center"/>
          </w:tcPr>
          <w:p w14:paraId="714C6DC5">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掌握沟通秘籍</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1C1C1BA0">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在教师指导下完成主题辩论活动</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7D5C82BE">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vAlign w:val="center"/>
          </w:tcPr>
          <w:p w14:paraId="6110A703">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56E3FED2">
            <w:pPr>
              <w:widowControl/>
              <w:adjustRightInd w:val="0"/>
              <w:snapToGrid w:val="0"/>
              <w:spacing w:line="360" w:lineRule="auto"/>
              <w:jc w:val="center"/>
              <w:rPr>
                <w:rFonts w:ascii="Times New Roman" w:hAnsi="Times New Roman" w:eastAsia="宋体" w:cs="Times New Roman"/>
                <w:bCs/>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vAlign w:val="center"/>
          </w:tcPr>
          <w:p w14:paraId="03B3AB3D">
            <w:pPr>
              <w:widowControl/>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1）</w:t>
            </w:r>
          </w:p>
          <w:p w14:paraId="1EBCFAAF">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r>
      <w:tr w14:paraId="070A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6FBFDFF3">
            <w:pPr>
              <w:widowControl/>
              <w:adjustRightInd w:val="0"/>
              <w:snapToGrid w:val="0"/>
              <w:spacing w:line="360" w:lineRule="auto"/>
              <w:jc w:val="center"/>
              <w:rPr>
                <w:rFonts w:ascii="Times New Roman" w:hAnsi="Times New Roman" w:eastAsia="宋体" w:cs="Times New Roman"/>
                <w:bCs/>
                <w:spacing w:val="-20"/>
                <w:szCs w:val="21"/>
              </w:rPr>
            </w:pPr>
            <w:r>
              <w:rPr>
                <w:rFonts w:hint="eastAsia" w:ascii="Times New Roman" w:hAnsi="Times New Roman" w:eastAsia="宋体" w:cs="Times New Roman"/>
                <w:bCs/>
                <w:spacing w:val="-20"/>
                <w:szCs w:val="21"/>
              </w:rPr>
              <w:t>7</w:t>
            </w:r>
          </w:p>
        </w:tc>
        <w:tc>
          <w:tcPr>
            <w:tcW w:w="1173" w:type="dxa"/>
            <w:tcBorders>
              <w:top w:val="single" w:color="auto" w:sz="4" w:space="0"/>
              <w:left w:val="single" w:color="auto" w:sz="4" w:space="0"/>
              <w:bottom w:val="single" w:color="auto" w:sz="4" w:space="0"/>
              <w:right w:val="single" w:color="auto" w:sz="4" w:space="0"/>
            </w:tcBorders>
            <w:shd w:val="clear" w:color="auto" w:fill="FFFFFF"/>
            <w:vAlign w:val="center"/>
          </w:tcPr>
          <w:p w14:paraId="2EFF4FBC">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开启亲密之旅</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13A2ACDA">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在教师组织下积极参与体心融合主题各项活动</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62CDDA98">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vAlign w:val="center"/>
          </w:tcPr>
          <w:p w14:paraId="0E47EA4A">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77F3D007">
            <w:pPr>
              <w:widowControl/>
              <w:adjustRightInd w:val="0"/>
              <w:snapToGrid w:val="0"/>
              <w:spacing w:line="360" w:lineRule="auto"/>
              <w:jc w:val="center"/>
              <w:rPr>
                <w:rFonts w:ascii="Times New Roman" w:hAnsi="Times New Roman" w:eastAsia="宋体" w:cs="Times New Roman"/>
                <w:bCs/>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vAlign w:val="center"/>
          </w:tcPr>
          <w:p w14:paraId="5F8090C1">
            <w:pPr>
              <w:widowControl/>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1）</w:t>
            </w:r>
          </w:p>
          <w:p w14:paraId="623E31D3">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r>
      <w:tr w14:paraId="05BA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36" w:type="dxa"/>
            <w:tcBorders>
              <w:top w:val="single" w:color="auto" w:sz="4" w:space="0"/>
              <w:left w:val="single" w:color="auto" w:sz="4" w:space="0"/>
              <w:bottom w:val="single" w:color="auto" w:sz="4" w:space="0"/>
              <w:right w:val="single" w:color="auto" w:sz="4" w:space="0"/>
            </w:tcBorders>
            <w:shd w:val="clear" w:color="auto" w:fill="FFFFFF"/>
            <w:vAlign w:val="center"/>
          </w:tcPr>
          <w:p w14:paraId="3226CCC8">
            <w:pPr>
              <w:widowControl/>
              <w:adjustRightInd w:val="0"/>
              <w:snapToGrid w:val="0"/>
              <w:spacing w:line="360" w:lineRule="auto"/>
              <w:jc w:val="center"/>
              <w:rPr>
                <w:rFonts w:ascii="Times New Roman" w:hAnsi="Times New Roman" w:eastAsia="宋体" w:cs="Times New Roman"/>
                <w:bCs/>
                <w:spacing w:val="-20"/>
                <w:szCs w:val="21"/>
              </w:rPr>
            </w:pPr>
            <w:r>
              <w:rPr>
                <w:rFonts w:hint="eastAsia" w:ascii="Times New Roman" w:hAnsi="Times New Roman" w:eastAsia="宋体" w:cs="Times New Roman"/>
                <w:bCs/>
                <w:spacing w:val="-20"/>
                <w:szCs w:val="21"/>
              </w:rPr>
              <w:t>8</w:t>
            </w:r>
          </w:p>
        </w:tc>
        <w:tc>
          <w:tcPr>
            <w:tcW w:w="1173" w:type="dxa"/>
            <w:tcBorders>
              <w:top w:val="single" w:color="auto" w:sz="4" w:space="0"/>
              <w:left w:val="single" w:color="auto" w:sz="4" w:space="0"/>
              <w:bottom w:val="single" w:color="auto" w:sz="4" w:space="0"/>
              <w:right w:val="single" w:color="auto" w:sz="4" w:space="0"/>
            </w:tcBorders>
            <w:shd w:val="clear" w:color="auto" w:fill="FFFFFF"/>
            <w:vAlign w:val="center"/>
          </w:tcPr>
          <w:p w14:paraId="158AD4CC">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自我成长</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0A125C2C">
            <w:pPr>
              <w:spacing w:line="360" w:lineRule="auto"/>
              <w:jc w:val="left"/>
              <w:rPr>
                <w:rFonts w:ascii="Times New Roman" w:hAnsi="Times New Roman" w:eastAsia="宋体" w:cs="Times New Roman"/>
                <w:szCs w:val="21"/>
              </w:rPr>
            </w:pPr>
            <w:r>
              <w:rPr>
                <w:rFonts w:hint="eastAsia" w:ascii="Times New Roman" w:hAnsi="Times New Roman" w:eastAsia="宋体" w:cs="Times New Roman"/>
                <w:szCs w:val="21"/>
              </w:rPr>
              <w:t>按照要求完成个人心理成长报告</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center"/>
          </w:tcPr>
          <w:p w14:paraId="7D66B116">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694" w:type="dxa"/>
            <w:tcBorders>
              <w:top w:val="single" w:color="auto" w:sz="4" w:space="0"/>
              <w:left w:val="single" w:color="auto" w:sz="4" w:space="0"/>
              <w:bottom w:val="single" w:color="auto" w:sz="4" w:space="0"/>
              <w:right w:val="single" w:color="auto" w:sz="4" w:space="0"/>
            </w:tcBorders>
            <w:shd w:val="clear" w:color="auto" w:fill="FFFFFF"/>
            <w:vAlign w:val="center"/>
          </w:tcPr>
          <w:p w14:paraId="67A4A688">
            <w:pPr>
              <w:widowControl/>
              <w:adjustRightInd w:val="0"/>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目标</w:t>
            </w:r>
            <w:r>
              <w:rPr>
                <w:rFonts w:hint="eastAsia" w:ascii="Times New Roman" w:hAnsi="Times New Roman" w:eastAsia="宋体" w:cs="Times New Roman"/>
                <w:szCs w:val="21"/>
              </w:rPr>
              <w:t>1、目标2</w:t>
            </w:r>
          </w:p>
        </w:tc>
        <w:tc>
          <w:tcPr>
            <w:tcW w:w="1068" w:type="dxa"/>
            <w:tcBorders>
              <w:top w:val="single" w:color="auto" w:sz="4" w:space="0"/>
              <w:left w:val="single" w:color="auto" w:sz="4" w:space="0"/>
              <w:bottom w:val="single" w:color="auto" w:sz="4" w:space="0"/>
              <w:right w:val="single" w:color="auto" w:sz="4" w:space="0"/>
            </w:tcBorders>
            <w:shd w:val="clear" w:color="auto" w:fill="FFFFFF"/>
            <w:tcMar>
              <w:top w:w="0" w:type="dxa"/>
              <w:left w:w="28" w:type="dxa"/>
              <w:bottom w:w="0" w:type="dxa"/>
              <w:right w:w="28" w:type="dxa"/>
            </w:tcMar>
            <w:vAlign w:val="center"/>
          </w:tcPr>
          <w:p w14:paraId="32958DE4">
            <w:pPr>
              <w:widowControl/>
              <w:adjustRightInd w:val="0"/>
              <w:snapToGrid w:val="0"/>
              <w:spacing w:line="360" w:lineRule="auto"/>
              <w:jc w:val="center"/>
              <w:rPr>
                <w:rFonts w:ascii="Times New Roman" w:hAnsi="Times New Roman" w:eastAsia="宋体" w:cs="Times New Roman"/>
                <w:bCs/>
                <w:szCs w:val="21"/>
              </w:rPr>
            </w:pPr>
          </w:p>
        </w:tc>
        <w:tc>
          <w:tcPr>
            <w:tcW w:w="1296" w:type="dxa"/>
            <w:tcBorders>
              <w:top w:val="single" w:color="auto" w:sz="4" w:space="0"/>
              <w:left w:val="single" w:color="auto" w:sz="4" w:space="0"/>
              <w:bottom w:val="single" w:color="auto" w:sz="4" w:space="0"/>
              <w:right w:val="single" w:color="auto" w:sz="4" w:space="0"/>
            </w:tcBorders>
            <w:shd w:val="clear" w:color="auto" w:fill="FFFFFF"/>
            <w:vAlign w:val="center"/>
          </w:tcPr>
          <w:p w14:paraId="2E713F8B">
            <w:pPr>
              <w:widowControl/>
              <w:adjustRightInd w:val="0"/>
              <w:snapToGrid w:val="0"/>
              <w:spacing w:line="360" w:lineRule="auto"/>
              <w:jc w:val="center"/>
              <w:rPr>
                <w:rFonts w:ascii="Times New Roman" w:hAnsi="Times New Roman" w:eastAsia="宋体"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1）</w:t>
            </w:r>
          </w:p>
          <w:p w14:paraId="499F778F">
            <w:pPr>
              <w:widowControl/>
              <w:adjustRightInd w:val="0"/>
              <w:snapToGrid w:val="0"/>
              <w:spacing w:line="360" w:lineRule="auto"/>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r>
    </w:tbl>
    <w:p w14:paraId="60F5DD02">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说明：实践要求详见实践项目存档资料。</w:t>
      </w:r>
    </w:p>
    <w:p w14:paraId="532C7C87">
      <w:pPr>
        <w:snapToGrid w:val="0"/>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五、课程实施</w:t>
      </w:r>
    </w:p>
    <w:p w14:paraId="6CB228F9">
      <w:pPr>
        <w:snapToGrid w:val="0"/>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（一）教学方法与教学手段</w:t>
      </w:r>
    </w:p>
    <w:p w14:paraId="09DAC1CF">
      <w:pPr>
        <w:snapToGrid w:val="0"/>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w:t>
      </w:r>
      <w:r>
        <w:rPr>
          <w:rFonts w:hint="eastAsia" w:ascii="Times New Roman" w:hAnsi="Times New Roman" w:eastAsia="宋体" w:cs="Times New Roman"/>
          <w:szCs w:val="21"/>
        </w:rPr>
        <w:t xml:space="preserve"> </w:t>
      </w:r>
      <w:r>
        <w:rPr>
          <w:rFonts w:hint="eastAsia" w:ascii="Times New Roman" w:hAnsi="Times New Roman" w:eastAsia="宋体" w:cs="Times New Roman"/>
          <w:bCs/>
          <w:szCs w:val="21"/>
        </w:rPr>
        <w:t>通过采用启发式、讨论式、案例式以及专题式等多种教学方法，系统讲授心理健康基础理论，引导学生主动思考、积极参与课堂互动，强化对自我认知、情绪调节与人际交往等核心知识的理解与运用。</w:t>
      </w:r>
    </w:p>
    <w:p w14:paraId="2849E4AA">
      <w:pPr>
        <w:snapToGrid w:val="0"/>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 依托现代化教学手段，综合利用在线课程平台、多媒体课件、心理测评工具及影音素材开展教学活动，拓展教学时空，增强教学吸引力和实效性，促进学生心理健康素养在实际生活中的迁移与内化。</w:t>
      </w:r>
    </w:p>
    <w:p w14:paraId="35D605A8">
      <w:pPr>
        <w:snapToGrid w:val="0"/>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课程思政育人方法：以中华文化智慧解读心理现象，借助榜样故事和情境讨论激发学生情感认同，促使他们在解决实际心理问题的过程中自觉践行积极向上的价值理念；通过将自强不息、诚信友善等核心价值观自然融入心理知识教学与案例分析，并在小组实践与反思中引导学生体悟个人成长与社会责任的统一，实现润心育德的价值塑造。</w:t>
      </w:r>
    </w:p>
    <w:p w14:paraId="6EA3C4D6">
      <w:pPr>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（二）教学质量要求</w:t>
      </w:r>
    </w:p>
    <w:p w14:paraId="1BC33889">
      <w:pPr>
        <w:tabs>
          <w:tab w:val="right" w:pos="9070"/>
        </w:tabs>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课程主要教学环节及其质量要求如表</w:t>
      </w:r>
      <w:r>
        <w:rPr>
          <w:rFonts w:ascii="Times New Roman" w:hAnsi="Times New Roman" w:eastAsia="宋体" w:cs="Times New Roman"/>
          <w:szCs w:val="21"/>
        </w:rPr>
        <w:t>4</w:t>
      </w:r>
      <w:r>
        <w:rPr>
          <w:rFonts w:hint="eastAsia" w:ascii="Times New Roman" w:hAnsi="Times New Roman" w:eastAsia="宋体" w:cs="Times New Roman"/>
          <w:szCs w:val="21"/>
        </w:rPr>
        <w:t>所示。</w:t>
      </w:r>
      <w:r>
        <w:rPr>
          <w:rFonts w:ascii="Times New Roman" w:hAnsi="Times New Roman" w:eastAsia="宋体" w:cs="Times New Roman"/>
          <w:szCs w:val="21"/>
        </w:rPr>
        <w:tab/>
      </w:r>
    </w:p>
    <w:p w14:paraId="2B5C9DBD">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表</w:t>
      </w:r>
      <w:r>
        <w:rPr>
          <w:rFonts w:ascii="Times New Roman" w:hAnsi="Times New Roman" w:eastAsia="宋体" w:cs="Times New Roman"/>
          <w:szCs w:val="21"/>
        </w:rPr>
        <w:t xml:space="preserve">4  </w:t>
      </w:r>
      <w:r>
        <w:rPr>
          <w:rFonts w:hint="eastAsia" w:ascii="Times New Roman" w:hAnsi="Times New Roman" w:eastAsia="宋体" w:cs="Times New Roman"/>
          <w:szCs w:val="21"/>
        </w:rPr>
        <w:t>课程主要教学环节和质量要求表</w:t>
      </w:r>
    </w:p>
    <w:tbl>
      <w:tblPr>
        <w:tblStyle w:val="11"/>
        <w:tblW w:w="87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202"/>
        <w:gridCol w:w="6900"/>
      </w:tblGrid>
      <w:tr w14:paraId="20AE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872" w:type="dxa"/>
            <w:gridSpan w:val="2"/>
            <w:tcBorders>
              <w:top w:val="single" w:color="auto" w:sz="4" w:space="0"/>
              <w:left w:val="single" w:color="auto" w:sz="4" w:space="0"/>
              <w:right w:val="single" w:color="auto" w:sz="4" w:space="0"/>
            </w:tcBorders>
            <w:tcMar>
              <w:left w:w="28" w:type="dxa"/>
              <w:right w:w="28" w:type="dxa"/>
            </w:tcMar>
            <w:vAlign w:val="center"/>
          </w:tcPr>
          <w:p w14:paraId="1B1C1775">
            <w:pPr>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主要教学环节</w:t>
            </w:r>
          </w:p>
        </w:tc>
        <w:tc>
          <w:tcPr>
            <w:tcW w:w="6900" w:type="dxa"/>
            <w:tcBorders>
              <w:top w:val="single" w:color="auto" w:sz="4" w:space="0"/>
              <w:left w:val="single" w:color="auto" w:sz="4" w:space="0"/>
              <w:right w:val="single" w:color="auto" w:sz="4" w:space="0"/>
            </w:tcBorders>
            <w:vAlign w:val="center"/>
          </w:tcPr>
          <w:p w14:paraId="1FBC9509">
            <w:pPr>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质量</w:t>
            </w:r>
            <w:r>
              <w:rPr>
                <w:rFonts w:hint="eastAsia" w:ascii="Times New Roman" w:hAnsi="Times New Roman" w:eastAsia="宋体" w:cs="Times New Roman"/>
                <w:b/>
                <w:szCs w:val="21"/>
              </w:rPr>
              <w:t>要求</w:t>
            </w:r>
          </w:p>
        </w:tc>
      </w:tr>
      <w:tr w14:paraId="37E8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vAlign w:val="center"/>
          </w:tcPr>
          <w:p w14:paraId="557CA5CA">
            <w:pPr>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1202" w:type="dxa"/>
            <w:tcMar>
              <w:left w:w="28" w:type="dxa"/>
              <w:right w:w="28" w:type="dxa"/>
            </w:tcMar>
            <w:vAlign w:val="center"/>
          </w:tcPr>
          <w:p w14:paraId="29F1213B">
            <w:pPr>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备课</w:t>
            </w:r>
          </w:p>
        </w:tc>
        <w:tc>
          <w:tcPr>
            <w:tcW w:w="6900" w:type="dxa"/>
            <w:tcBorders>
              <w:right w:val="single" w:color="auto" w:sz="4" w:space="0"/>
            </w:tcBorders>
            <w:vAlign w:val="center"/>
          </w:tcPr>
          <w:p w14:paraId="2294AF06">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（1）掌握本课程教学大纲内容，按照教学大纲要求进行课程教学内容的组织。</w:t>
            </w:r>
          </w:p>
          <w:p w14:paraId="3D0B43CF">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（2）熟悉教材各章节，借助相关专业书籍资料，并依据教学大纲编写授课计划，编写每次授课的教案。</w:t>
            </w:r>
          </w:p>
          <w:p w14:paraId="743532BD">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（3）根据各部分教学内容，构思授课思路、技巧，选择合适的教学方法。</w:t>
            </w:r>
          </w:p>
        </w:tc>
      </w:tr>
      <w:tr w14:paraId="3C07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vAlign w:val="center"/>
          </w:tcPr>
          <w:p w14:paraId="6BDD29AF">
            <w:pPr>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1202" w:type="dxa"/>
            <w:tcMar>
              <w:left w:w="28" w:type="dxa"/>
              <w:right w:w="28" w:type="dxa"/>
            </w:tcMar>
            <w:vAlign w:val="center"/>
          </w:tcPr>
          <w:p w14:paraId="1E95109E">
            <w:pPr>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讲授</w:t>
            </w:r>
          </w:p>
        </w:tc>
        <w:tc>
          <w:tcPr>
            <w:tcW w:w="6900" w:type="dxa"/>
            <w:tcBorders>
              <w:right w:val="single" w:color="auto" w:sz="4" w:space="0"/>
            </w:tcBorders>
            <w:vAlign w:val="center"/>
          </w:tcPr>
          <w:p w14:paraId="57AB428E">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（1）要点准确、推理正确、条理清晰、重点突出，能够理论联系实际。</w:t>
            </w:r>
          </w:p>
          <w:p w14:paraId="60253486">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（2）采用多种教学方式（如启发式教学、讨论式教学、案例分析教学等），培养学生的思想政治素质，注重培养学生发现、分析和解决问题的能力。</w:t>
            </w:r>
          </w:p>
          <w:p w14:paraId="0E5CEAF3">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（3）能够采用现代信息技术辅助教学。</w:t>
            </w:r>
          </w:p>
          <w:p w14:paraId="1DAE1FD5">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（4）表达方式应能便于学生理解、接受，力求形象生动，使学生在掌握知识的过程中，保持较为浓厚的兴趣。</w:t>
            </w:r>
          </w:p>
        </w:tc>
      </w:tr>
      <w:tr w14:paraId="51FA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vAlign w:val="center"/>
          </w:tcPr>
          <w:p w14:paraId="1542624D">
            <w:pPr>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1202" w:type="dxa"/>
            <w:tcMar>
              <w:left w:w="28" w:type="dxa"/>
              <w:right w:w="28" w:type="dxa"/>
            </w:tcMar>
            <w:vAlign w:val="center"/>
          </w:tcPr>
          <w:p w14:paraId="2EC1F293">
            <w:pPr>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过程性考核</w:t>
            </w:r>
          </w:p>
        </w:tc>
        <w:tc>
          <w:tcPr>
            <w:tcW w:w="6900" w:type="dxa"/>
            <w:tcBorders>
              <w:right w:val="single" w:color="auto" w:sz="4" w:space="0"/>
            </w:tcBorders>
            <w:vAlign w:val="center"/>
          </w:tcPr>
          <w:p w14:paraId="6183B9A2">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（1）平时表现：教师应当抽查学生的到课情况，通过提问、现场交流等方式随时关注学生的课堂学习状况，及时提醒并做好记录。</w:t>
            </w:r>
          </w:p>
          <w:p w14:paraId="15755997">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作业：学生必须完成2次理论作业和规定数量的实践记录，按时按量完成，不缺交，不抄袭；书写规范、清晰。教师要按时批改理论作业，并及时进行讲评；批改和讲评作业要认真、细致，按百分制评定成绩并写明日期。</w:t>
            </w:r>
          </w:p>
        </w:tc>
      </w:tr>
      <w:tr w14:paraId="49FD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vAlign w:val="center"/>
          </w:tcPr>
          <w:p w14:paraId="1995042A">
            <w:pPr>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202" w:type="dxa"/>
            <w:tcMar>
              <w:left w:w="28" w:type="dxa"/>
              <w:right w:w="28" w:type="dxa"/>
            </w:tcMar>
            <w:vAlign w:val="center"/>
          </w:tcPr>
          <w:p w14:paraId="04CD7A9B">
            <w:pPr>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课外答疑</w:t>
            </w:r>
          </w:p>
        </w:tc>
        <w:tc>
          <w:tcPr>
            <w:tcW w:w="6900" w:type="dxa"/>
            <w:tcBorders>
              <w:right w:val="single" w:color="auto" w:sz="4" w:space="0"/>
            </w:tcBorders>
            <w:vAlign w:val="center"/>
          </w:tcPr>
          <w:p w14:paraId="59E53A63">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为了解学生的学习情况，帮助学生更好地理解和消化所学知识，改进学习方法和思维，培养其独立思考问题的能力，任课教师应借助课外时间和课程网络教学平台，对学生进行答疑与辅导工作。</w:t>
            </w:r>
          </w:p>
        </w:tc>
      </w:tr>
      <w:tr w14:paraId="0ECC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70" w:type="dxa"/>
            <w:tcBorders>
              <w:left w:val="single" w:color="auto" w:sz="4" w:space="0"/>
            </w:tcBorders>
            <w:vAlign w:val="center"/>
          </w:tcPr>
          <w:p w14:paraId="2B143E90">
            <w:pPr>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1202" w:type="dxa"/>
            <w:tcMar>
              <w:left w:w="28" w:type="dxa"/>
              <w:right w:w="28" w:type="dxa"/>
            </w:tcMar>
            <w:vAlign w:val="center"/>
          </w:tcPr>
          <w:p w14:paraId="42B0F3ED">
            <w:pPr>
              <w:snapToGrid w:val="0"/>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00" w:type="dxa"/>
            <w:tcBorders>
              <w:right w:val="single" w:color="auto" w:sz="4" w:space="0"/>
            </w:tcBorders>
            <w:vAlign w:val="center"/>
          </w:tcPr>
          <w:p w14:paraId="198AAE3B">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本课程期末采取考查方式考核，总评成绩的评定见课程考核方案。期末考核成绩低于40分，总评成绩不及格。有下列情况之一，取消其考核资格，该课程期末成绩标记为“停考”，总评成绩以零分计算：</w:t>
            </w:r>
          </w:p>
          <w:p w14:paraId="784ACCD2">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（1）缺交作业达全学期总量的1/3及以上；</w:t>
            </w:r>
          </w:p>
          <w:p w14:paraId="68A087C0">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（2）缺课达讲授总学时数的1/3及以上。</w:t>
            </w:r>
          </w:p>
          <w:p w14:paraId="7184CD81">
            <w:pPr>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教师应当及时认真批改作业，所有教学环节完成后，教师应当及时整理各类教学资料，经学院审核后按要求归档。</w:t>
            </w:r>
          </w:p>
        </w:tc>
      </w:tr>
    </w:tbl>
    <w:p w14:paraId="5EC5B97B">
      <w:pPr>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六、课程考核</w:t>
      </w:r>
    </w:p>
    <w:p w14:paraId="62698709">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（一）</w:t>
      </w:r>
      <w:r>
        <w:rPr>
          <w:rFonts w:ascii="Times New Roman" w:hAnsi="Times New Roman" w:eastAsia="宋体" w:cs="Times New Roman"/>
          <w:szCs w:val="21"/>
        </w:rPr>
        <w:t>课程考核</w:t>
      </w:r>
      <w:r>
        <w:rPr>
          <w:rFonts w:hint="eastAsia" w:ascii="Times New Roman" w:hAnsi="Times New Roman" w:eastAsia="宋体" w:cs="Times New Roman"/>
          <w:szCs w:val="21"/>
        </w:rPr>
        <w:t>方式</w:t>
      </w:r>
    </w:p>
    <w:p w14:paraId="056E5EEE">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课程考核包括课堂表现、实践作业、成长报告等环节，以考查方式给予综合评定。</w:t>
      </w:r>
    </w:p>
    <w:p w14:paraId="763C9132">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（二）总评成绩评定方法</w:t>
      </w:r>
    </w:p>
    <w:p w14:paraId="0C9B28F9">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课程总评成绩=课堂表现成绩×30%+实践作业成绩×30%+成长报告成绩×40%。</w:t>
      </w:r>
    </w:p>
    <w:p w14:paraId="377F8B09">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具体内容、比例和评价参考标准如表</w:t>
      </w:r>
      <w:r>
        <w:rPr>
          <w:rFonts w:ascii="Times New Roman" w:hAnsi="Times New Roman" w:eastAsia="宋体" w:cs="Times New Roman"/>
          <w:szCs w:val="21"/>
        </w:rPr>
        <w:t>5</w:t>
      </w:r>
      <w:r>
        <w:rPr>
          <w:rFonts w:hint="eastAsia" w:ascii="Times New Roman" w:hAnsi="Times New Roman" w:eastAsia="宋体" w:cs="Times New Roman"/>
          <w:szCs w:val="21"/>
        </w:rPr>
        <w:t>所示。</w:t>
      </w:r>
    </w:p>
    <w:p w14:paraId="3305A30D">
      <w:pPr>
        <w:spacing w:line="360" w:lineRule="auto"/>
        <w:ind w:firstLine="420" w:firstLineChars="200"/>
        <w:jc w:val="center"/>
        <w:rPr>
          <w:rFonts w:ascii="Times New Roman" w:hAnsi="Times New Roman" w:eastAsia="宋体" w:cs="Times New Roman"/>
          <w:szCs w:val="21"/>
        </w:rPr>
      </w:pPr>
      <w:r>
        <w:rPr>
          <w:rFonts w:hint="eastAsia" w:ascii="Times New Roman" w:hAnsi="Times New Roman" w:eastAsia="宋体" w:cs="Times New Roman"/>
          <w:szCs w:val="21"/>
        </w:rPr>
        <w:t>表</w:t>
      </w:r>
      <w:r>
        <w:rPr>
          <w:rFonts w:ascii="Times New Roman" w:hAnsi="Times New Roman" w:eastAsia="宋体" w:cs="Times New Roman"/>
          <w:szCs w:val="21"/>
        </w:rPr>
        <w:t xml:space="preserve">5  </w:t>
      </w:r>
      <w:r>
        <w:rPr>
          <w:rFonts w:hint="eastAsia" w:ascii="Times New Roman" w:hAnsi="Times New Roman" w:eastAsia="宋体" w:cs="Times New Roman"/>
          <w:szCs w:val="21"/>
        </w:rPr>
        <w:t>考核总评成绩组成及评价细则表</w:t>
      </w:r>
    </w:p>
    <w:tbl>
      <w:tblPr>
        <w:tblStyle w:val="11"/>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763"/>
        <w:gridCol w:w="851"/>
        <w:gridCol w:w="5103"/>
      </w:tblGrid>
      <w:tr w14:paraId="1B2E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1072" w:type="dxa"/>
            <w:shd w:val="clear" w:color="auto" w:fill="FFFFFF"/>
            <w:tcMar>
              <w:left w:w="57" w:type="dxa"/>
              <w:right w:w="57" w:type="dxa"/>
            </w:tcMar>
            <w:vAlign w:val="center"/>
          </w:tcPr>
          <w:p w14:paraId="7A4CE7D6">
            <w:pPr>
              <w:snapToGrid w:val="0"/>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成绩组成</w:t>
            </w:r>
          </w:p>
        </w:tc>
        <w:tc>
          <w:tcPr>
            <w:tcW w:w="1763" w:type="dxa"/>
            <w:shd w:val="clear" w:color="auto" w:fill="FFFFFF"/>
            <w:vAlign w:val="center"/>
          </w:tcPr>
          <w:p w14:paraId="7366ECD5">
            <w:pPr>
              <w:snapToGrid w:val="0"/>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考核</w:t>
            </w:r>
            <w:r>
              <w:rPr>
                <w:rFonts w:ascii="Times New Roman" w:hAnsi="Times New Roman" w:eastAsia="宋体" w:cs="Times New Roman"/>
                <w:b/>
                <w:bCs/>
                <w:szCs w:val="21"/>
              </w:rPr>
              <w:t>/</w:t>
            </w:r>
            <w:r>
              <w:rPr>
                <w:rFonts w:hint="eastAsia" w:ascii="Times New Roman" w:hAnsi="Times New Roman" w:eastAsia="宋体" w:cs="Times New Roman"/>
                <w:b/>
                <w:bCs/>
                <w:szCs w:val="21"/>
              </w:rPr>
              <w:t>评价环节</w:t>
            </w:r>
          </w:p>
        </w:tc>
        <w:tc>
          <w:tcPr>
            <w:tcW w:w="851" w:type="dxa"/>
            <w:shd w:val="clear" w:color="auto" w:fill="FFFFFF"/>
            <w:vAlign w:val="center"/>
          </w:tcPr>
          <w:p w14:paraId="4E989D64">
            <w:pPr>
              <w:snapToGrid w:val="0"/>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权重</w:t>
            </w:r>
          </w:p>
        </w:tc>
        <w:tc>
          <w:tcPr>
            <w:tcW w:w="5103" w:type="dxa"/>
            <w:shd w:val="clear" w:color="auto" w:fill="FFFFFF"/>
            <w:vAlign w:val="center"/>
          </w:tcPr>
          <w:p w14:paraId="4FDAE277">
            <w:pPr>
              <w:snapToGrid w:val="0"/>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考核</w:t>
            </w:r>
            <w:r>
              <w:rPr>
                <w:rFonts w:ascii="Times New Roman" w:hAnsi="Times New Roman" w:eastAsia="宋体" w:cs="Times New Roman"/>
                <w:b/>
                <w:bCs/>
                <w:szCs w:val="21"/>
              </w:rPr>
              <w:t>/</w:t>
            </w:r>
            <w:r>
              <w:rPr>
                <w:rFonts w:hint="eastAsia" w:ascii="Times New Roman" w:hAnsi="Times New Roman" w:eastAsia="宋体" w:cs="Times New Roman"/>
                <w:b/>
                <w:bCs/>
                <w:szCs w:val="21"/>
              </w:rPr>
              <w:t>评价细则</w:t>
            </w:r>
          </w:p>
        </w:tc>
      </w:tr>
      <w:tr w14:paraId="2A6D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72" w:type="dxa"/>
            <w:vMerge w:val="restart"/>
            <w:tcMar>
              <w:left w:w="57" w:type="dxa"/>
              <w:right w:w="57" w:type="dxa"/>
            </w:tcMar>
            <w:vAlign w:val="center"/>
          </w:tcPr>
          <w:p w14:paraId="6B9FB7D3">
            <w:pPr>
              <w:spacing w:line="360" w:lineRule="auto"/>
              <w:jc w:val="center"/>
              <w:rPr>
                <w:rFonts w:hint="eastAsia" w:ascii="宋体" w:hAnsi="宋体" w:eastAsia="宋体" w:cs="Times New Roman"/>
                <w:szCs w:val="21"/>
              </w:rPr>
            </w:pPr>
            <w:r>
              <w:rPr>
                <w:rFonts w:ascii="宋体" w:hAnsi="宋体" w:eastAsia="宋体" w:cs="Times New Roman"/>
                <w:szCs w:val="21"/>
              </w:rPr>
              <w:t>平时成绩</w:t>
            </w:r>
          </w:p>
        </w:tc>
        <w:tc>
          <w:tcPr>
            <w:tcW w:w="1763" w:type="dxa"/>
            <w:vAlign w:val="center"/>
          </w:tcPr>
          <w:p w14:paraId="695BF85C">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851" w:type="dxa"/>
            <w:vAlign w:val="center"/>
          </w:tcPr>
          <w:p w14:paraId="0853D20B">
            <w:pPr>
              <w:spacing w:line="360" w:lineRule="auto"/>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0%</w:t>
            </w:r>
          </w:p>
        </w:tc>
        <w:tc>
          <w:tcPr>
            <w:tcW w:w="5103" w:type="dxa"/>
            <w:vAlign w:val="center"/>
          </w:tcPr>
          <w:p w14:paraId="12ADA3B3">
            <w:pPr>
              <w:spacing w:line="360" w:lineRule="auto"/>
              <w:jc w:val="left"/>
              <w:rPr>
                <w:rFonts w:hint="eastAsia" w:ascii="宋体" w:hAnsi="宋体" w:eastAsia="宋体" w:cs="Times New Roman"/>
                <w:szCs w:val="21"/>
              </w:rPr>
            </w:pPr>
            <w:r>
              <w:rPr>
                <w:rFonts w:hint="eastAsia" w:ascii="Times New Roman" w:hAnsi="Times New Roman" w:eastAsia="宋体" w:cs="Times New Roman"/>
                <w:color w:val="000000"/>
                <w:szCs w:val="21"/>
              </w:rPr>
              <w:t>通过课堂互动和学习态度等方式，评价学生对课程理论的理解和运用能力。</w:t>
            </w:r>
          </w:p>
        </w:tc>
      </w:tr>
      <w:tr w14:paraId="5EB5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072" w:type="dxa"/>
            <w:vMerge w:val="continue"/>
            <w:tcMar>
              <w:left w:w="57" w:type="dxa"/>
              <w:right w:w="57" w:type="dxa"/>
            </w:tcMar>
            <w:vAlign w:val="center"/>
          </w:tcPr>
          <w:p w14:paraId="50F4798D">
            <w:pPr>
              <w:spacing w:line="360" w:lineRule="auto"/>
              <w:jc w:val="center"/>
              <w:rPr>
                <w:rFonts w:hint="eastAsia" w:ascii="宋体" w:hAnsi="宋体" w:eastAsia="宋体" w:cs="Times New Roman"/>
                <w:szCs w:val="21"/>
              </w:rPr>
            </w:pPr>
          </w:p>
        </w:tc>
        <w:tc>
          <w:tcPr>
            <w:tcW w:w="1763" w:type="dxa"/>
            <w:vAlign w:val="center"/>
          </w:tcPr>
          <w:p w14:paraId="4DE7E592">
            <w:pPr>
              <w:spacing w:line="360" w:lineRule="auto"/>
              <w:jc w:val="center"/>
              <w:rPr>
                <w:rFonts w:hint="eastAsia" w:ascii="宋体" w:hAnsi="宋体" w:eastAsia="宋体" w:cs="Times New Roman"/>
                <w:szCs w:val="21"/>
              </w:rPr>
            </w:pPr>
            <w:r>
              <w:rPr>
                <w:rFonts w:hint="eastAsia" w:ascii="宋体" w:hAnsi="宋体" w:eastAsia="宋体" w:cs="Times New Roman"/>
                <w:szCs w:val="21"/>
              </w:rPr>
              <w:t>实践作业</w:t>
            </w:r>
          </w:p>
        </w:tc>
        <w:tc>
          <w:tcPr>
            <w:tcW w:w="851" w:type="dxa"/>
            <w:vAlign w:val="center"/>
          </w:tcPr>
          <w:p w14:paraId="545EF997">
            <w:pPr>
              <w:spacing w:line="360" w:lineRule="auto"/>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0%</w:t>
            </w:r>
          </w:p>
        </w:tc>
        <w:tc>
          <w:tcPr>
            <w:tcW w:w="5103" w:type="dxa"/>
            <w:vAlign w:val="center"/>
          </w:tcPr>
          <w:p w14:paraId="5A99F0BE">
            <w:pPr>
              <w:spacing w:line="360" w:lineRule="auto"/>
              <w:jc w:val="left"/>
              <w:rPr>
                <w:rFonts w:hint="eastAsia" w:ascii="宋体" w:hAnsi="宋体" w:eastAsia="宋体" w:cs="Times New Roman"/>
                <w:szCs w:val="21"/>
              </w:rPr>
            </w:pPr>
            <w:r>
              <w:rPr>
                <w:rFonts w:hint="eastAsia" w:ascii="宋体" w:hAnsi="宋体" w:eastAsia="宋体" w:cs="Times New Roman"/>
                <w:bCs/>
                <w:kern w:val="24"/>
                <w:szCs w:val="21"/>
              </w:rPr>
              <w:t>通过实践项目完成情况（参与投入度、完成及时度、完成数量及质量等），</w:t>
            </w:r>
            <w:r>
              <w:rPr>
                <w:rFonts w:hint="eastAsia" w:ascii="Times New Roman" w:hAnsi="Times New Roman" w:eastAsia="宋体" w:cs="Times New Roman"/>
                <w:color w:val="000000"/>
                <w:szCs w:val="21"/>
              </w:rPr>
              <w:t>评价学生对课程理论的理解和运用能力。</w:t>
            </w:r>
          </w:p>
        </w:tc>
      </w:tr>
      <w:tr w14:paraId="3443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072" w:type="dxa"/>
            <w:tcMar>
              <w:left w:w="57" w:type="dxa"/>
              <w:right w:w="57" w:type="dxa"/>
            </w:tcMar>
            <w:vAlign w:val="center"/>
          </w:tcPr>
          <w:p w14:paraId="764FF419">
            <w:pPr>
              <w:spacing w:line="360" w:lineRule="auto"/>
              <w:jc w:val="center"/>
              <w:rPr>
                <w:rFonts w:hint="eastAsia" w:ascii="宋体" w:hAnsi="宋体" w:eastAsia="宋体" w:cs="Times New Roman"/>
                <w:szCs w:val="21"/>
              </w:rPr>
            </w:pPr>
            <w:r>
              <w:rPr>
                <w:rFonts w:ascii="宋体" w:hAnsi="宋体" w:eastAsia="宋体" w:cs="Times New Roman"/>
                <w:szCs w:val="21"/>
              </w:rPr>
              <w:t>期末考查</w:t>
            </w:r>
          </w:p>
        </w:tc>
        <w:tc>
          <w:tcPr>
            <w:tcW w:w="1763" w:type="dxa"/>
            <w:vAlign w:val="center"/>
          </w:tcPr>
          <w:p w14:paraId="74545CEA">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个人心理</w:t>
            </w:r>
          </w:p>
          <w:p w14:paraId="637D6455">
            <w:pPr>
              <w:spacing w:line="360" w:lineRule="auto"/>
              <w:jc w:val="center"/>
              <w:rPr>
                <w:rFonts w:hint="eastAsia" w:ascii="宋体" w:hAnsi="宋体" w:eastAsia="宋体" w:cs="Times New Roman"/>
                <w:szCs w:val="21"/>
              </w:rPr>
            </w:pPr>
            <w:r>
              <w:rPr>
                <w:rFonts w:hint="eastAsia" w:ascii="宋体" w:hAnsi="宋体" w:eastAsia="宋体" w:cs="Times New Roman"/>
                <w:szCs w:val="21"/>
              </w:rPr>
              <w:t>成长报告</w:t>
            </w:r>
          </w:p>
        </w:tc>
        <w:tc>
          <w:tcPr>
            <w:tcW w:w="851" w:type="dxa"/>
            <w:vAlign w:val="center"/>
          </w:tcPr>
          <w:p w14:paraId="5C7EFD4C">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r>
              <w:rPr>
                <w:rFonts w:ascii="宋体" w:hAnsi="宋体" w:eastAsia="宋体" w:cs="Times New Roman"/>
                <w:szCs w:val="21"/>
              </w:rPr>
              <w:t>%</w:t>
            </w:r>
          </w:p>
        </w:tc>
        <w:tc>
          <w:tcPr>
            <w:tcW w:w="5103" w:type="dxa"/>
            <w:vAlign w:val="center"/>
          </w:tcPr>
          <w:p w14:paraId="0EC84672">
            <w:pPr>
              <w:spacing w:line="360" w:lineRule="auto"/>
              <w:jc w:val="left"/>
              <w:rPr>
                <w:rFonts w:hint="eastAsia" w:ascii="宋体" w:hAnsi="宋体" w:eastAsia="宋体" w:cs="Times New Roman"/>
                <w:color w:val="000000"/>
                <w:szCs w:val="21"/>
              </w:rPr>
            </w:pPr>
            <w:r>
              <w:rPr>
                <w:rFonts w:hint="eastAsia" w:ascii="宋体" w:hAnsi="宋体" w:eastAsia="宋体" w:cs="Times New Roman"/>
                <w:color w:val="000000"/>
                <w:szCs w:val="21"/>
              </w:rPr>
              <w:t>通过个人心理成长报告完成情况（格式规范、结构完整、分析深度等综合评估），考查</w:t>
            </w:r>
            <w:r>
              <w:rPr>
                <w:rFonts w:hint="eastAsia" w:ascii="Times New Roman" w:hAnsi="Times New Roman" w:eastAsia="宋体" w:cs="Times New Roman"/>
                <w:color w:val="000000"/>
                <w:szCs w:val="21"/>
              </w:rPr>
              <w:t>学生对课程理论的理解和运用能力。</w:t>
            </w:r>
          </w:p>
        </w:tc>
      </w:tr>
    </w:tbl>
    <w:p w14:paraId="139D437C">
      <w:pPr>
        <w:spacing w:line="360" w:lineRule="auto"/>
        <w:ind w:firstLine="420" w:firstLineChars="200"/>
        <w:jc w:val="center"/>
        <w:rPr>
          <w:rFonts w:ascii="Times New Roman" w:hAnsi="Times New Roman" w:eastAsia="宋体" w:cs="Times New Roman"/>
          <w:szCs w:val="21"/>
        </w:rPr>
      </w:pPr>
    </w:p>
    <w:p w14:paraId="13329A6E">
      <w:pPr>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（三）</w:t>
      </w:r>
      <w:r>
        <w:rPr>
          <w:rFonts w:hint="eastAsia" w:ascii="Times New Roman" w:hAnsi="Times New Roman" w:eastAsia="宋体" w:cs="Times New Roman"/>
          <w:szCs w:val="21"/>
        </w:rPr>
        <w:t>课程目标考核说明</w:t>
      </w:r>
    </w:p>
    <w:p w14:paraId="175B3226">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为能够证明学生本课程考核成绩合格，即可达到课程教学目标的要求，制定《课程教学目标考核方案一览表》，如表</w:t>
      </w:r>
      <w:r>
        <w:rPr>
          <w:rFonts w:ascii="Times New Roman" w:hAnsi="Times New Roman" w:eastAsia="宋体" w:cs="Times New Roman"/>
          <w:szCs w:val="21"/>
        </w:rPr>
        <w:t>6</w:t>
      </w:r>
      <w:r>
        <w:rPr>
          <w:rFonts w:hint="eastAsia" w:ascii="Times New Roman" w:hAnsi="Times New Roman" w:eastAsia="宋体" w:cs="Times New Roman"/>
          <w:szCs w:val="21"/>
        </w:rPr>
        <w:t>所示。</w:t>
      </w:r>
    </w:p>
    <w:p w14:paraId="209F9A86">
      <w:pPr>
        <w:adjustRightInd w:val="0"/>
        <w:snapToGrid w:val="0"/>
        <w:spacing w:line="360" w:lineRule="auto"/>
        <w:ind w:left="596" w:hanging="596"/>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表6  课程目标考核方案一览表</w:t>
      </w:r>
    </w:p>
    <w:tbl>
      <w:tblPr>
        <w:tblStyle w:val="11"/>
        <w:tblW w:w="8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819"/>
        <w:gridCol w:w="2930"/>
        <w:gridCol w:w="1321"/>
        <w:gridCol w:w="2766"/>
      </w:tblGrid>
      <w:tr w14:paraId="6E63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918" w:type="dxa"/>
            <w:tcBorders>
              <w:top w:val="single" w:color="auto" w:sz="4" w:space="0"/>
              <w:left w:val="single" w:color="auto" w:sz="4" w:space="0"/>
              <w:bottom w:val="single" w:color="auto" w:sz="4" w:space="0"/>
              <w:right w:val="single" w:color="auto" w:sz="4" w:space="0"/>
            </w:tcBorders>
            <w:shd w:val="clear" w:color="auto" w:fill="FFFFFF"/>
            <w:vAlign w:val="center"/>
          </w:tcPr>
          <w:p w14:paraId="25F7BB6E">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课程支撑的毕业要求</w:t>
            </w:r>
          </w:p>
        </w:tc>
        <w:tc>
          <w:tcPr>
            <w:tcW w:w="819" w:type="dxa"/>
            <w:tcBorders>
              <w:top w:val="single" w:color="auto" w:sz="4" w:space="0"/>
              <w:left w:val="single" w:color="auto" w:sz="4" w:space="0"/>
              <w:bottom w:val="single" w:color="auto" w:sz="4" w:space="0"/>
              <w:right w:val="single" w:color="auto" w:sz="4" w:space="0"/>
            </w:tcBorders>
            <w:shd w:val="clear" w:color="auto" w:fill="FFFFFF"/>
            <w:vAlign w:val="center"/>
          </w:tcPr>
          <w:p w14:paraId="2BDE4002">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课程</w:t>
            </w:r>
            <w:r>
              <w:rPr>
                <w:rFonts w:hint="eastAsia" w:ascii="Times New Roman" w:hAnsi="Times New Roman" w:eastAsia="宋体" w:cs="Times New Roman"/>
                <w:b/>
                <w:bCs/>
                <w:color w:val="000000"/>
                <w:szCs w:val="21"/>
              </w:rPr>
              <w:t>教学</w:t>
            </w:r>
            <w:r>
              <w:rPr>
                <w:rFonts w:ascii="Times New Roman" w:hAnsi="Times New Roman" w:eastAsia="宋体" w:cs="Times New Roman"/>
                <w:b/>
                <w:bCs/>
                <w:color w:val="000000"/>
                <w:szCs w:val="21"/>
              </w:rPr>
              <w:t>目标</w:t>
            </w:r>
          </w:p>
        </w:tc>
        <w:tc>
          <w:tcPr>
            <w:tcW w:w="2930" w:type="dxa"/>
            <w:tcBorders>
              <w:top w:val="single" w:color="auto" w:sz="4" w:space="0"/>
              <w:left w:val="single" w:color="auto" w:sz="4" w:space="0"/>
              <w:bottom w:val="single" w:color="auto" w:sz="4" w:space="0"/>
              <w:right w:val="single" w:color="auto" w:sz="4" w:space="0"/>
            </w:tcBorders>
            <w:shd w:val="clear" w:color="auto" w:fill="FFFFFF"/>
            <w:vAlign w:val="center"/>
          </w:tcPr>
          <w:p w14:paraId="084A466D">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47C71D5">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考核形式</w:t>
            </w:r>
          </w:p>
        </w:tc>
        <w:tc>
          <w:tcPr>
            <w:tcW w:w="2766" w:type="dxa"/>
            <w:tcBorders>
              <w:top w:val="single" w:color="auto" w:sz="4" w:space="0"/>
              <w:left w:val="single" w:color="auto" w:sz="4" w:space="0"/>
              <w:bottom w:val="single" w:color="auto" w:sz="4" w:space="0"/>
              <w:right w:val="single" w:color="auto" w:sz="4" w:space="0"/>
            </w:tcBorders>
            <w:shd w:val="clear" w:color="auto" w:fill="FFFFFF"/>
            <w:vAlign w:val="center"/>
          </w:tcPr>
          <w:p w14:paraId="5527AEA0">
            <w:pPr>
              <w:adjustRightInd w:val="0"/>
              <w:snapToGrid w:val="0"/>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考核原始材料（说明：试卷、作业、实验报告、技术报告、过程记录、实习总结等，纸质或电子稿）</w:t>
            </w:r>
          </w:p>
        </w:tc>
      </w:tr>
      <w:tr w14:paraId="7E8B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18" w:type="dxa"/>
            <w:tcBorders>
              <w:top w:val="single" w:color="auto" w:sz="4" w:space="0"/>
              <w:left w:val="single" w:color="auto" w:sz="4" w:space="0"/>
              <w:right w:val="single" w:color="auto" w:sz="4" w:space="0"/>
            </w:tcBorders>
            <w:vAlign w:val="center"/>
          </w:tcPr>
          <w:p w14:paraId="6B6D78C6">
            <w:pPr>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略</w:t>
            </w:r>
          </w:p>
        </w:tc>
        <w:tc>
          <w:tcPr>
            <w:tcW w:w="819" w:type="dxa"/>
            <w:tcBorders>
              <w:top w:val="single" w:color="auto" w:sz="4" w:space="0"/>
              <w:left w:val="single" w:color="auto" w:sz="4" w:space="0"/>
              <w:right w:val="single" w:color="auto" w:sz="4" w:space="0"/>
            </w:tcBorders>
            <w:vAlign w:val="center"/>
          </w:tcPr>
          <w:p w14:paraId="61BF4687">
            <w:pPr>
              <w:adjustRightInd w:val="0"/>
              <w:snapToGrid w:val="0"/>
              <w:spacing w:line="360"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1</w:t>
            </w:r>
          </w:p>
        </w:tc>
        <w:tc>
          <w:tcPr>
            <w:tcW w:w="2930" w:type="dxa"/>
            <w:tcBorders>
              <w:top w:val="single" w:color="auto" w:sz="4" w:space="0"/>
              <w:left w:val="single" w:color="auto" w:sz="4" w:space="0"/>
              <w:right w:val="single" w:color="auto" w:sz="4" w:space="0"/>
            </w:tcBorders>
            <w:vAlign w:val="center"/>
          </w:tcPr>
          <w:p w14:paraId="020199F7">
            <w:pPr>
              <w:adjustRightInd w:val="0"/>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了解心理健康基础知识，认知心理健康标准，识别常见心理问题及典型表现，理解心理健康影响机制</w:t>
            </w:r>
          </w:p>
        </w:tc>
        <w:tc>
          <w:tcPr>
            <w:tcW w:w="0" w:type="auto"/>
            <w:tcBorders>
              <w:top w:val="single" w:color="auto" w:sz="4" w:space="0"/>
              <w:left w:val="single" w:color="auto" w:sz="4" w:space="0"/>
              <w:right w:val="single" w:color="auto" w:sz="4" w:space="0"/>
            </w:tcBorders>
            <w:vAlign w:val="center"/>
          </w:tcPr>
          <w:p w14:paraId="127C41F2">
            <w:pPr>
              <w:adjustRightInd w:val="0"/>
              <w:snapToGrid w:val="0"/>
              <w:spacing w:line="360"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课堂表现、实践作业、期末考查</w:t>
            </w:r>
          </w:p>
        </w:tc>
        <w:tc>
          <w:tcPr>
            <w:tcW w:w="2766" w:type="dxa"/>
            <w:tcBorders>
              <w:top w:val="single" w:color="auto" w:sz="4" w:space="0"/>
              <w:left w:val="single" w:color="auto" w:sz="4" w:space="0"/>
              <w:right w:val="single" w:color="auto" w:sz="4" w:space="0"/>
            </w:tcBorders>
            <w:vAlign w:val="center"/>
          </w:tcPr>
          <w:p w14:paraId="43FA90A5">
            <w:pPr>
              <w:adjustRightInd w:val="0"/>
              <w:snapToGrid w:val="0"/>
              <w:spacing w:line="360"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平时成绩登记表（纸质稿）、实践作业（纸质稿）、个人成长报告（纸质稿）等</w:t>
            </w:r>
          </w:p>
        </w:tc>
      </w:tr>
      <w:tr w14:paraId="755D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918" w:type="dxa"/>
            <w:tcBorders>
              <w:left w:val="single" w:color="auto" w:sz="4" w:space="0"/>
              <w:right w:val="single" w:color="auto" w:sz="4" w:space="0"/>
            </w:tcBorders>
            <w:vAlign w:val="center"/>
          </w:tcPr>
          <w:p w14:paraId="596EAD27">
            <w:pPr>
              <w:adjustRightInd w:val="0"/>
              <w:snapToGrid w:val="0"/>
              <w:spacing w:line="360" w:lineRule="auto"/>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略</w:t>
            </w:r>
          </w:p>
        </w:tc>
        <w:tc>
          <w:tcPr>
            <w:tcW w:w="819" w:type="dxa"/>
            <w:tcBorders>
              <w:top w:val="single" w:color="auto" w:sz="4" w:space="0"/>
              <w:left w:val="single" w:color="auto" w:sz="4" w:space="0"/>
              <w:bottom w:val="single" w:color="auto" w:sz="4" w:space="0"/>
              <w:right w:val="single" w:color="auto" w:sz="4" w:space="0"/>
            </w:tcBorders>
            <w:vAlign w:val="center"/>
          </w:tcPr>
          <w:p w14:paraId="05F59401">
            <w:pPr>
              <w:adjustRightInd w:val="0"/>
              <w:snapToGrid w:val="0"/>
              <w:spacing w:line="360" w:lineRule="auto"/>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目标</w:t>
            </w:r>
            <w:r>
              <w:rPr>
                <w:rFonts w:ascii="Times New Roman" w:hAnsi="Times New Roman" w:eastAsia="宋体" w:cs="Times New Roman"/>
                <w:color w:val="000000"/>
                <w:szCs w:val="21"/>
              </w:rPr>
              <w:t>2</w:t>
            </w:r>
          </w:p>
        </w:tc>
        <w:tc>
          <w:tcPr>
            <w:tcW w:w="2930" w:type="dxa"/>
            <w:tcBorders>
              <w:top w:val="single" w:color="auto" w:sz="4" w:space="0"/>
              <w:left w:val="single" w:color="auto" w:sz="4" w:space="0"/>
              <w:bottom w:val="single" w:color="auto" w:sz="4" w:space="0"/>
              <w:right w:val="single" w:color="auto" w:sz="4" w:space="0"/>
            </w:tcBorders>
            <w:vAlign w:val="center"/>
          </w:tcPr>
          <w:p w14:paraId="393B8DE1">
            <w:pPr>
              <w:adjustRightInd w:val="0"/>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掌握心理调适技能，发展自我觉察与自我评价能力，学习识别危机信号，提升自助与助人能力。</w:t>
            </w:r>
          </w:p>
        </w:tc>
        <w:tc>
          <w:tcPr>
            <w:tcW w:w="0" w:type="auto"/>
            <w:tcBorders>
              <w:top w:val="single" w:color="auto" w:sz="4" w:space="0"/>
              <w:left w:val="single" w:color="auto" w:sz="4" w:space="0"/>
              <w:bottom w:val="single" w:color="auto" w:sz="4" w:space="0"/>
              <w:right w:val="single" w:color="auto" w:sz="4" w:space="0"/>
            </w:tcBorders>
            <w:vAlign w:val="center"/>
          </w:tcPr>
          <w:p w14:paraId="3CBECE53">
            <w:pPr>
              <w:adjustRightInd w:val="0"/>
              <w:snapToGrid w:val="0"/>
              <w:spacing w:line="360" w:lineRule="auto"/>
              <w:jc w:val="left"/>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课堂表现、实践作业、期末考查</w:t>
            </w:r>
          </w:p>
        </w:tc>
        <w:tc>
          <w:tcPr>
            <w:tcW w:w="2766" w:type="dxa"/>
            <w:tcBorders>
              <w:top w:val="single" w:color="auto" w:sz="4" w:space="0"/>
              <w:left w:val="single" w:color="auto" w:sz="4" w:space="0"/>
              <w:bottom w:val="single" w:color="auto" w:sz="4" w:space="0"/>
              <w:right w:val="single" w:color="auto" w:sz="4" w:space="0"/>
            </w:tcBorders>
            <w:vAlign w:val="center"/>
          </w:tcPr>
          <w:p w14:paraId="7EFE1AF8">
            <w:pPr>
              <w:adjustRightInd w:val="0"/>
              <w:snapToGrid w:val="0"/>
              <w:spacing w:line="360" w:lineRule="auto"/>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平时成绩登记表（纸质稿）、实践作业（纸质稿）、个人成长报告（纸质稿）等</w:t>
            </w:r>
          </w:p>
        </w:tc>
      </w:tr>
    </w:tbl>
    <w:p w14:paraId="210E7AB5">
      <w:pPr>
        <w:snapToGrid w:val="0"/>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说明：专业版课程教学大纲依据具体的毕业要求完善“课程目标考核方案一览表”。</w:t>
      </w:r>
    </w:p>
    <w:p w14:paraId="43862DEC">
      <w:pPr>
        <w:snapToGrid w:val="0"/>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七</w:t>
      </w:r>
      <w:r>
        <w:rPr>
          <w:rFonts w:ascii="Times New Roman" w:hAnsi="Times New Roman" w:eastAsia="宋体" w:cs="Times New Roman"/>
          <w:b/>
          <w:szCs w:val="21"/>
        </w:rPr>
        <w:t>、</w:t>
      </w:r>
      <w:r>
        <w:rPr>
          <w:rFonts w:hint="eastAsia" w:ascii="Times New Roman" w:hAnsi="Times New Roman" w:eastAsia="宋体" w:cs="Times New Roman"/>
          <w:b/>
          <w:szCs w:val="21"/>
        </w:rPr>
        <w:t>有关说明</w:t>
      </w:r>
    </w:p>
    <w:p w14:paraId="0D9C8B1B">
      <w:pPr>
        <w:adjustRightInd w:val="0"/>
        <w:snapToGrid w:val="0"/>
        <w:spacing w:line="360" w:lineRule="auto"/>
        <w:ind w:firstLine="422" w:firstLineChars="200"/>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（一）持续改进</w:t>
      </w:r>
    </w:p>
    <w:p w14:paraId="49915284">
      <w:pPr>
        <w:snapToGrid w:val="0"/>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通过综合评估学生的课堂表现、实践作业完成情况、成长报告撰写情况、活动参与投入程度等多方面因素，结合学生对课堂和活动的反馈，深入总结和反思教学中存在的不足。在此基础上，针对性地制定改进措施，并在下一轮课程教学中实施，以确保课程目标的达成。</w:t>
      </w:r>
    </w:p>
    <w:p w14:paraId="67176545">
      <w:pPr>
        <w:snapToGrid w:val="0"/>
        <w:spacing w:line="360" w:lineRule="auto"/>
        <w:ind w:firstLine="422" w:firstLineChars="200"/>
        <w:rPr>
          <w:rFonts w:ascii="Times New Roman" w:hAnsi="Times New Roman" w:eastAsia="宋体" w:cs="Times New Roman"/>
          <w:b/>
          <w:color w:val="000000"/>
          <w:szCs w:val="21"/>
        </w:rPr>
      </w:pPr>
      <w:r>
        <w:rPr>
          <w:rFonts w:hint="eastAsia" w:ascii="Times New Roman" w:hAnsi="Times New Roman" w:eastAsia="宋体" w:cs="Times New Roman"/>
          <w:b/>
          <w:color w:val="000000"/>
          <w:szCs w:val="21"/>
        </w:rPr>
        <w:t>（二）</w:t>
      </w:r>
      <w:r>
        <w:rPr>
          <w:rFonts w:ascii="Times New Roman" w:hAnsi="Times New Roman" w:eastAsia="宋体" w:cs="Times New Roman"/>
          <w:b/>
          <w:color w:val="000000"/>
          <w:szCs w:val="21"/>
        </w:rPr>
        <w:t>参考书目及学习资料</w:t>
      </w:r>
    </w:p>
    <w:p w14:paraId="079507AC">
      <w:pPr>
        <w:adjustRightInd w:val="0"/>
        <w:snapToGrid w:val="0"/>
        <w:spacing w:line="360" w:lineRule="auto"/>
        <w:rPr>
          <w:rFonts w:hint="eastAsia" w:ascii="Times New Roman" w:hAnsi="宋体" w:eastAsia="宋体" w:cs="Times New Roman"/>
          <w:szCs w:val="21"/>
        </w:rPr>
      </w:pPr>
      <w:r>
        <w:rPr>
          <w:rFonts w:ascii="Times New Roman" w:hAnsi="宋体" w:eastAsia="宋体" w:cs="Times New Roman"/>
          <w:szCs w:val="21"/>
        </w:rPr>
        <w:t>[1]</w:t>
      </w:r>
      <w:r>
        <w:rPr>
          <w:rFonts w:ascii="Times New Roman" w:hAnsi="宋体" w:eastAsia="宋体" w:cs="Times New Roman"/>
          <w:szCs w:val="21"/>
        </w:rPr>
        <w:tab/>
      </w:r>
      <w:r>
        <w:rPr>
          <w:rFonts w:hint="eastAsia" w:ascii="Times New Roman" w:hAnsi="宋体" w:eastAsia="宋体" w:cs="Times New Roman"/>
          <w:szCs w:val="21"/>
        </w:rPr>
        <w:t>崔景贵</w:t>
      </w:r>
      <w:r>
        <w:rPr>
          <w:rFonts w:ascii="Times New Roman" w:hAnsi="宋体" w:eastAsia="宋体" w:cs="Times New Roman"/>
          <w:szCs w:val="21"/>
        </w:rPr>
        <w:t xml:space="preserve">. </w:t>
      </w:r>
      <w:r>
        <w:rPr>
          <w:rFonts w:hint="eastAsia" w:ascii="Times New Roman" w:hAnsi="宋体" w:eastAsia="宋体" w:cs="Times New Roman"/>
          <w:szCs w:val="21"/>
        </w:rPr>
        <w:t>积极心理学：教育范式的行动研究</w:t>
      </w:r>
      <w:r>
        <w:rPr>
          <w:rFonts w:ascii="Times New Roman" w:hAnsi="宋体" w:eastAsia="宋体" w:cs="Times New Roman"/>
          <w:szCs w:val="21"/>
        </w:rPr>
        <w:t xml:space="preserve">[M]. </w:t>
      </w:r>
      <w:r>
        <w:rPr>
          <w:rFonts w:hint="eastAsia" w:ascii="Times New Roman" w:hAnsi="宋体" w:eastAsia="宋体" w:cs="Times New Roman"/>
          <w:szCs w:val="21"/>
        </w:rPr>
        <w:t>北京：知识产权出版社，</w:t>
      </w:r>
      <w:r>
        <w:rPr>
          <w:rFonts w:ascii="Times New Roman" w:hAnsi="宋体" w:eastAsia="宋体" w:cs="Times New Roman"/>
          <w:szCs w:val="21"/>
        </w:rPr>
        <w:t>2021.</w:t>
      </w:r>
    </w:p>
    <w:p w14:paraId="7B5411C5">
      <w:pPr>
        <w:adjustRightInd w:val="0"/>
        <w:snapToGrid w:val="0"/>
        <w:spacing w:line="360" w:lineRule="auto"/>
        <w:rPr>
          <w:rFonts w:hint="eastAsia" w:ascii="Times New Roman" w:hAnsi="宋体" w:eastAsia="宋体" w:cs="Times New Roman"/>
          <w:szCs w:val="21"/>
        </w:rPr>
      </w:pPr>
      <w:r>
        <w:rPr>
          <w:rFonts w:ascii="Times New Roman" w:hAnsi="宋体" w:eastAsia="宋体" w:cs="Times New Roman"/>
          <w:szCs w:val="21"/>
        </w:rPr>
        <w:t>[2]</w:t>
      </w:r>
      <w:r>
        <w:rPr>
          <w:rFonts w:ascii="Times New Roman" w:hAnsi="宋体" w:eastAsia="宋体" w:cs="Times New Roman"/>
          <w:szCs w:val="21"/>
        </w:rPr>
        <w:tab/>
      </w:r>
      <w:r>
        <w:rPr>
          <w:rFonts w:hint="eastAsia" w:ascii="Times New Roman" w:hAnsi="宋体" w:eastAsia="宋体" w:cs="Times New Roman"/>
          <w:szCs w:val="21"/>
        </w:rPr>
        <w:t>费尔德曼，黄希庭</w:t>
      </w:r>
      <w:r>
        <w:rPr>
          <w:rFonts w:ascii="Times New Roman" w:hAnsi="宋体" w:eastAsia="宋体" w:cs="Times New Roman"/>
          <w:szCs w:val="21"/>
        </w:rPr>
        <w:t xml:space="preserve">. </w:t>
      </w:r>
      <w:r>
        <w:rPr>
          <w:rFonts w:hint="eastAsia" w:ascii="Times New Roman" w:hAnsi="宋体" w:eastAsia="宋体" w:cs="Times New Roman"/>
          <w:szCs w:val="21"/>
        </w:rPr>
        <w:t>心理学与我们</w:t>
      </w:r>
      <w:r>
        <w:rPr>
          <w:rFonts w:ascii="Times New Roman" w:hAnsi="宋体" w:eastAsia="宋体" w:cs="Times New Roman"/>
          <w:szCs w:val="21"/>
        </w:rPr>
        <w:t>[M]. 2</w:t>
      </w:r>
      <w:r>
        <w:rPr>
          <w:rFonts w:hint="eastAsia" w:ascii="Times New Roman" w:hAnsi="宋体" w:eastAsia="宋体" w:cs="Times New Roman"/>
          <w:szCs w:val="21"/>
        </w:rPr>
        <w:t>版</w:t>
      </w:r>
      <w:r>
        <w:rPr>
          <w:rFonts w:ascii="Times New Roman" w:hAnsi="宋体" w:eastAsia="宋体" w:cs="Times New Roman"/>
          <w:szCs w:val="21"/>
        </w:rPr>
        <w:t xml:space="preserve">. </w:t>
      </w:r>
      <w:r>
        <w:rPr>
          <w:rFonts w:hint="eastAsia" w:ascii="Times New Roman" w:hAnsi="宋体" w:eastAsia="宋体" w:cs="Times New Roman"/>
          <w:szCs w:val="21"/>
        </w:rPr>
        <w:t>黄希庭，等，译</w:t>
      </w:r>
      <w:r>
        <w:rPr>
          <w:rFonts w:ascii="Times New Roman" w:hAnsi="宋体" w:eastAsia="宋体" w:cs="Times New Roman"/>
          <w:szCs w:val="21"/>
        </w:rPr>
        <w:t xml:space="preserve">. </w:t>
      </w:r>
      <w:r>
        <w:rPr>
          <w:rFonts w:hint="eastAsia" w:ascii="Times New Roman" w:hAnsi="宋体" w:eastAsia="宋体" w:cs="Times New Roman"/>
          <w:szCs w:val="21"/>
        </w:rPr>
        <w:t>北京：人民邮电出版社，</w:t>
      </w:r>
      <w:r>
        <w:rPr>
          <w:rFonts w:ascii="Times New Roman" w:hAnsi="宋体" w:eastAsia="宋体" w:cs="Times New Roman"/>
          <w:szCs w:val="21"/>
        </w:rPr>
        <w:t>2020.</w:t>
      </w:r>
    </w:p>
    <w:p w14:paraId="633AACEC">
      <w:pPr>
        <w:adjustRightInd w:val="0"/>
        <w:snapToGrid w:val="0"/>
        <w:spacing w:line="360" w:lineRule="auto"/>
        <w:rPr>
          <w:rFonts w:hint="eastAsia" w:ascii="Times New Roman" w:hAnsi="宋体" w:eastAsia="宋体" w:cs="Times New Roman"/>
          <w:szCs w:val="21"/>
        </w:rPr>
      </w:pPr>
      <w:r>
        <w:rPr>
          <w:rFonts w:ascii="Times New Roman" w:hAnsi="宋体" w:eastAsia="宋体" w:cs="Times New Roman"/>
          <w:szCs w:val="21"/>
        </w:rPr>
        <w:t>[3]</w:t>
      </w:r>
      <w:r>
        <w:rPr>
          <w:rFonts w:ascii="Times New Roman" w:hAnsi="宋体" w:eastAsia="宋体" w:cs="Times New Roman"/>
          <w:szCs w:val="21"/>
        </w:rPr>
        <w:tab/>
      </w:r>
      <w:r>
        <w:rPr>
          <w:rFonts w:hint="eastAsia" w:ascii="Times New Roman" w:hAnsi="宋体" w:eastAsia="宋体" w:cs="Times New Roman"/>
          <w:szCs w:val="21"/>
        </w:rPr>
        <w:t>弗雷德里克森</w:t>
      </w:r>
      <w:r>
        <w:rPr>
          <w:rFonts w:ascii="Times New Roman" w:hAnsi="宋体" w:eastAsia="宋体" w:cs="Times New Roman"/>
          <w:szCs w:val="21"/>
        </w:rPr>
        <w:t xml:space="preserve">. </w:t>
      </w:r>
      <w:r>
        <w:rPr>
          <w:rFonts w:hint="eastAsia" w:ascii="Times New Roman" w:hAnsi="宋体" w:eastAsia="宋体" w:cs="Times New Roman"/>
          <w:szCs w:val="21"/>
        </w:rPr>
        <w:t>积极情绪的力量</w:t>
      </w:r>
      <w:r>
        <w:rPr>
          <w:rFonts w:ascii="Times New Roman" w:hAnsi="宋体" w:eastAsia="宋体" w:cs="Times New Roman"/>
          <w:szCs w:val="21"/>
        </w:rPr>
        <w:t xml:space="preserve">[M]. </w:t>
      </w:r>
      <w:r>
        <w:rPr>
          <w:rFonts w:hint="eastAsia" w:ascii="Times New Roman" w:hAnsi="宋体" w:eastAsia="宋体" w:cs="Times New Roman"/>
          <w:szCs w:val="21"/>
        </w:rPr>
        <w:t>王珺，译</w:t>
      </w:r>
      <w:r>
        <w:rPr>
          <w:rFonts w:ascii="Times New Roman" w:hAnsi="宋体" w:eastAsia="宋体" w:cs="Times New Roman"/>
          <w:szCs w:val="21"/>
        </w:rPr>
        <w:t xml:space="preserve">. </w:t>
      </w:r>
      <w:r>
        <w:rPr>
          <w:rFonts w:hint="eastAsia" w:ascii="Times New Roman" w:hAnsi="宋体" w:eastAsia="宋体" w:cs="Times New Roman"/>
          <w:szCs w:val="21"/>
        </w:rPr>
        <w:t>北京：中国纺织出版社，</w:t>
      </w:r>
      <w:r>
        <w:rPr>
          <w:rFonts w:ascii="Times New Roman" w:hAnsi="宋体" w:eastAsia="宋体" w:cs="Times New Roman"/>
          <w:szCs w:val="21"/>
        </w:rPr>
        <w:t>2021.</w:t>
      </w:r>
    </w:p>
    <w:p w14:paraId="5D08CB66">
      <w:pPr>
        <w:adjustRightInd w:val="0"/>
        <w:snapToGrid w:val="0"/>
        <w:spacing w:line="360" w:lineRule="auto"/>
        <w:rPr>
          <w:rFonts w:hint="eastAsia" w:ascii="Times New Roman" w:hAnsi="宋体" w:eastAsia="宋体" w:cs="Times New Roman"/>
          <w:szCs w:val="21"/>
        </w:rPr>
      </w:pPr>
      <w:r>
        <w:rPr>
          <w:rFonts w:ascii="Times New Roman" w:hAnsi="宋体" w:eastAsia="宋体" w:cs="Times New Roman"/>
          <w:szCs w:val="21"/>
        </w:rPr>
        <w:t>[4]</w:t>
      </w:r>
      <w:r>
        <w:rPr>
          <w:rFonts w:ascii="Times New Roman" w:hAnsi="宋体" w:eastAsia="宋体" w:cs="Times New Roman"/>
          <w:szCs w:val="21"/>
        </w:rPr>
        <w:tab/>
      </w:r>
      <w:r>
        <w:rPr>
          <w:rFonts w:hint="eastAsia" w:ascii="Times New Roman" w:hAnsi="宋体" w:eastAsia="宋体" w:cs="Times New Roman"/>
          <w:szCs w:val="21"/>
        </w:rPr>
        <w:t>格里格，津巴多</w:t>
      </w:r>
      <w:r>
        <w:rPr>
          <w:rFonts w:ascii="Times New Roman" w:hAnsi="宋体" w:eastAsia="宋体" w:cs="Times New Roman"/>
          <w:szCs w:val="21"/>
        </w:rPr>
        <w:t xml:space="preserve">. </w:t>
      </w:r>
      <w:r>
        <w:rPr>
          <w:rFonts w:hint="eastAsia" w:ascii="Times New Roman" w:hAnsi="宋体" w:eastAsia="宋体" w:cs="Times New Roman"/>
          <w:szCs w:val="21"/>
        </w:rPr>
        <w:t>心理学与生活</w:t>
      </w:r>
      <w:r>
        <w:rPr>
          <w:rFonts w:ascii="Times New Roman" w:hAnsi="宋体" w:eastAsia="宋体" w:cs="Times New Roman"/>
          <w:szCs w:val="21"/>
        </w:rPr>
        <w:t>[M]. 16</w:t>
      </w:r>
      <w:r>
        <w:rPr>
          <w:rFonts w:hint="eastAsia" w:ascii="Times New Roman" w:hAnsi="宋体" w:eastAsia="宋体" w:cs="Times New Roman"/>
          <w:szCs w:val="21"/>
        </w:rPr>
        <w:t>版</w:t>
      </w:r>
      <w:r>
        <w:rPr>
          <w:rFonts w:ascii="Times New Roman" w:hAnsi="宋体" w:eastAsia="宋体" w:cs="Times New Roman"/>
          <w:szCs w:val="21"/>
        </w:rPr>
        <w:t xml:space="preserve">. </w:t>
      </w:r>
      <w:r>
        <w:rPr>
          <w:rFonts w:hint="eastAsia" w:ascii="Times New Roman" w:hAnsi="宋体" w:eastAsia="宋体" w:cs="Times New Roman"/>
          <w:szCs w:val="21"/>
        </w:rPr>
        <w:t>北京：人民邮电出版社，</w:t>
      </w:r>
      <w:r>
        <w:rPr>
          <w:rFonts w:ascii="Times New Roman" w:hAnsi="宋体" w:eastAsia="宋体" w:cs="Times New Roman"/>
          <w:szCs w:val="21"/>
        </w:rPr>
        <w:t>2003.</w:t>
      </w:r>
    </w:p>
    <w:p w14:paraId="356FF6F3">
      <w:pPr>
        <w:adjustRightInd w:val="0"/>
        <w:snapToGrid w:val="0"/>
        <w:spacing w:line="360" w:lineRule="auto"/>
        <w:rPr>
          <w:rFonts w:hint="eastAsia" w:ascii="Times New Roman" w:hAnsi="宋体" w:eastAsia="宋体" w:cs="Times New Roman"/>
          <w:szCs w:val="21"/>
        </w:rPr>
      </w:pPr>
      <w:r>
        <w:rPr>
          <w:rFonts w:ascii="Times New Roman" w:hAnsi="宋体" w:eastAsia="宋体" w:cs="Times New Roman"/>
          <w:szCs w:val="21"/>
        </w:rPr>
        <w:t>[5]</w:t>
      </w:r>
      <w:r>
        <w:rPr>
          <w:rFonts w:ascii="Times New Roman" w:hAnsi="宋体" w:eastAsia="宋体" w:cs="Times New Roman"/>
          <w:szCs w:val="21"/>
        </w:rPr>
        <w:tab/>
      </w:r>
      <w:r>
        <w:rPr>
          <w:rFonts w:hint="eastAsia" w:ascii="Times New Roman" w:hAnsi="宋体" w:eastAsia="宋体" w:cs="Times New Roman"/>
          <w:szCs w:val="21"/>
        </w:rPr>
        <w:t>黄希庭，郑涌</w:t>
      </w:r>
      <w:r>
        <w:rPr>
          <w:rFonts w:ascii="Times New Roman" w:hAnsi="宋体" w:eastAsia="宋体" w:cs="Times New Roman"/>
          <w:szCs w:val="21"/>
        </w:rPr>
        <w:t xml:space="preserve">. </w:t>
      </w:r>
      <w:r>
        <w:rPr>
          <w:rFonts w:hint="eastAsia" w:ascii="Times New Roman" w:hAnsi="宋体" w:eastAsia="宋体" w:cs="Times New Roman"/>
          <w:szCs w:val="21"/>
        </w:rPr>
        <w:t>大学生心理健康教育</w:t>
      </w:r>
      <w:r>
        <w:rPr>
          <w:rFonts w:ascii="Times New Roman" w:hAnsi="宋体" w:eastAsia="宋体" w:cs="Times New Roman"/>
          <w:szCs w:val="21"/>
        </w:rPr>
        <w:t>[M]. 3</w:t>
      </w:r>
      <w:r>
        <w:rPr>
          <w:rFonts w:hint="eastAsia" w:ascii="Times New Roman" w:hAnsi="宋体" w:eastAsia="宋体" w:cs="Times New Roman"/>
          <w:szCs w:val="21"/>
        </w:rPr>
        <w:t>版</w:t>
      </w:r>
      <w:r>
        <w:rPr>
          <w:rFonts w:ascii="Times New Roman" w:hAnsi="宋体" w:eastAsia="宋体" w:cs="Times New Roman"/>
          <w:szCs w:val="21"/>
        </w:rPr>
        <w:t xml:space="preserve">. </w:t>
      </w:r>
      <w:r>
        <w:rPr>
          <w:rFonts w:hint="eastAsia" w:ascii="Times New Roman" w:hAnsi="宋体" w:eastAsia="宋体" w:cs="Times New Roman"/>
          <w:szCs w:val="21"/>
        </w:rPr>
        <w:t>上海：华东师范大学出版社，</w:t>
      </w:r>
      <w:r>
        <w:rPr>
          <w:rFonts w:ascii="Times New Roman" w:hAnsi="宋体" w:eastAsia="宋体" w:cs="Times New Roman"/>
          <w:szCs w:val="21"/>
        </w:rPr>
        <w:t>2020.</w:t>
      </w:r>
    </w:p>
    <w:p w14:paraId="23619B86">
      <w:pPr>
        <w:adjustRightInd w:val="0"/>
        <w:snapToGrid w:val="0"/>
        <w:spacing w:line="360" w:lineRule="auto"/>
        <w:rPr>
          <w:rFonts w:hint="eastAsia" w:ascii="Times New Roman" w:hAnsi="宋体" w:eastAsia="宋体" w:cs="Times New Roman"/>
          <w:szCs w:val="21"/>
        </w:rPr>
      </w:pPr>
      <w:r>
        <w:rPr>
          <w:rFonts w:ascii="Times New Roman" w:hAnsi="宋体" w:eastAsia="宋体" w:cs="Times New Roman"/>
          <w:szCs w:val="21"/>
        </w:rPr>
        <w:t>[6]</w:t>
      </w:r>
      <w:r>
        <w:rPr>
          <w:rFonts w:ascii="Times New Roman" w:hAnsi="宋体" w:eastAsia="宋体" w:cs="Times New Roman"/>
          <w:szCs w:val="21"/>
        </w:rPr>
        <w:tab/>
      </w:r>
      <w:r>
        <w:rPr>
          <w:rFonts w:hint="eastAsia" w:ascii="Times New Roman" w:hAnsi="宋体" w:eastAsia="宋体" w:cs="Times New Roman"/>
          <w:szCs w:val="21"/>
        </w:rPr>
        <w:t>拉希德，塞利格曼</w:t>
      </w:r>
      <w:r>
        <w:rPr>
          <w:rFonts w:ascii="Times New Roman" w:hAnsi="宋体" w:eastAsia="宋体" w:cs="Times New Roman"/>
          <w:szCs w:val="21"/>
        </w:rPr>
        <w:t xml:space="preserve">. </w:t>
      </w:r>
      <w:r>
        <w:rPr>
          <w:rFonts w:hint="eastAsia" w:ascii="Times New Roman" w:hAnsi="宋体" w:eastAsia="宋体" w:cs="Times New Roman"/>
          <w:szCs w:val="21"/>
        </w:rPr>
        <w:t>积极心理学治疗手册</w:t>
      </w:r>
      <w:r>
        <w:rPr>
          <w:rFonts w:ascii="Times New Roman" w:hAnsi="宋体" w:eastAsia="宋体" w:cs="Times New Roman"/>
          <w:szCs w:val="21"/>
        </w:rPr>
        <w:t xml:space="preserve">[M]. </w:t>
      </w:r>
      <w:r>
        <w:rPr>
          <w:rFonts w:hint="eastAsia" w:ascii="Times New Roman" w:hAnsi="宋体" w:eastAsia="宋体" w:cs="Times New Roman"/>
          <w:szCs w:val="21"/>
        </w:rPr>
        <w:t>邓之君，译</w:t>
      </w:r>
      <w:r>
        <w:rPr>
          <w:rFonts w:ascii="Times New Roman" w:hAnsi="宋体" w:eastAsia="宋体" w:cs="Times New Roman"/>
          <w:szCs w:val="21"/>
        </w:rPr>
        <w:t xml:space="preserve">. </w:t>
      </w:r>
      <w:r>
        <w:rPr>
          <w:rFonts w:hint="eastAsia" w:ascii="Times New Roman" w:hAnsi="宋体" w:eastAsia="宋体" w:cs="Times New Roman"/>
          <w:szCs w:val="21"/>
        </w:rPr>
        <w:t>北京：中信出版社，</w:t>
      </w:r>
      <w:r>
        <w:rPr>
          <w:rFonts w:ascii="Times New Roman" w:hAnsi="宋体" w:eastAsia="宋体" w:cs="Times New Roman"/>
          <w:szCs w:val="21"/>
        </w:rPr>
        <w:t>2020.</w:t>
      </w:r>
    </w:p>
    <w:p w14:paraId="729835F3">
      <w:pPr>
        <w:adjustRightInd w:val="0"/>
        <w:snapToGrid w:val="0"/>
        <w:spacing w:line="360" w:lineRule="auto"/>
        <w:rPr>
          <w:rFonts w:hint="eastAsia" w:ascii="Times New Roman" w:hAnsi="宋体" w:eastAsia="宋体" w:cs="Times New Roman"/>
          <w:szCs w:val="21"/>
        </w:rPr>
      </w:pPr>
      <w:r>
        <w:rPr>
          <w:rFonts w:ascii="Times New Roman" w:hAnsi="宋体" w:eastAsia="宋体" w:cs="Times New Roman"/>
          <w:szCs w:val="21"/>
        </w:rPr>
        <w:t>[7]</w:t>
      </w:r>
      <w:r>
        <w:rPr>
          <w:rFonts w:ascii="Times New Roman" w:hAnsi="宋体" w:eastAsia="宋体" w:cs="Times New Roman"/>
          <w:szCs w:val="21"/>
        </w:rPr>
        <w:tab/>
      </w:r>
      <w:r>
        <w:rPr>
          <w:rFonts w:hint="eastAsia" w:ascii="Times New Roman" w:hAnsi="宋体" w:eastAsia="宋体" w:cs="Times New Roman"/>
          <w:szCs w:val="21"/>
        </w:rPr>
        <w:t>刘翔平</w:t>
      </w:r>
      <w:r>
        <w:rPr>
          <w:rFonts w:ascii="Times New Roman" w:hAnsi="宋体" w:eastAsia="宋体" w:cs="Times New Roman"/>
          <w:szCs w:val="21"/>
        </w:rPr>
        <w:t xml:space="preserve">. </w:t>
      </w:r>
      <w:r>
        <w:rPr>
          <w:rFonts w:hint="eastAsia" w:ascii="Times New Roman" w:hAnsi="宋体" w:eastAsia="宋体" w:cs="Times New Roman"/>
          <w:szCs w:val="21"/>
        </w:rPr>
        <w:t>积极心理学</w:t>
      </w:r>
      <w:r>
        <w:rPr>
          <w:rFonts w:ascii="Times New Roman" w:hAnsi="宋体" w:eastAsia="宋体" w:cs="Times New Roman"/>
          <w:szCs w:val="21"/>
        </w:rPr>
        <w:t>[M]. 2</w:t>
      </w:r>
      <w:r>
        <w:rPr>
          <w:rFonts w:hint="eastAsia" w:ascii="Times New Roman" w:hAnsi="宋体" w:eastAsia="宋体" w:cs="Times New Roman"/>
          <w:szCs w:val="21"/>
        </w:rPr>
        <w:t>版</w:t>
      </w:r>
      <w:r>
        <w:rPr>
          <w:rFonts w:ascii="Times New Roman" w:hAnsi="宋体" w:eastAsia="宋体" w:cs="Times New Roman"/>
          <w:szCs w:val="21"/>
        </w:rPr>
        <w:t xml:space="preserve">. </w:t>
      </w:r>
      <w:r>
        <w:rPr>
          <w:rFonts w:hint="eastAsia" w:ascii="Times New Roman" w:hAnsi="宋体" w:eastAsia="宋体" w:cs="Times New Roman"/>
          <w:szCs w:val="21"/>
        </w:rPr>
        <w:t>北京：中国人民大学出版社，</w:t>
      </w:r>
      <w:r>
        <w:rPr>
          <w:rFonts w:ascii="Times New Roman" w:hAnsi="宋体" w:eastAsia="宋体" w:cs="Times New Roman"/>
          <w:szCs w:val="21"/>
        </w:rPr>
        <w:t>2018.</w:t>
      </w:r>
    </w:p>
    <w:p w14:paraId="545A960D">
      <w:pPr>
        <w:adjustRightInd w:val="0"/>
        <w:snapToGrid w:val="0"/>
        <w:spacing w:line="360" w:lineRule="auto"/>
        <w:rPr>
          <w:rFonts w:hint="eastAsia" w:ascii="Times New Roman" w:hAnsi="宋体" w:eastAsia="宋体" w:cs="Times New Roman"/>
          <w:szCs w:val="21"/>
        </w:rPr>
      </w:pPr>
      <w:r>
        <w:rPr>
          <w:rFonts w:ascii="Times New Roman" w:hAnsi="宋体" w:eastAsia="宋体" w:cs="Times New Roman"/>
          <w:szCs w:val="21"/>
        </w:rPr>
        <w:t>[8]</w:t>
      </w:r>
      <w:r>
        <w:rPr>
          <w:rFonts w:ascii="Times New Roman" w:hAnsi="宋体" w:eastAsia="宋体" w:cs="Times New Roman"/>
          <w:szCs w:val="21"/>
        </w:rPr>
        <w:tab/>
      </w:r>
      <w:r>
        <w:rPr>
          <w:rFonts w:hint="eastAsia" w:ascii="Times New Roman" w:hAnsi="宋体" w:eastAsia="宋体" w:cs="Times New Roman"/>
          <w:szCs w:val="21"/>
        </w:rPr>
        <w:t>塞利格曼</w:t>
      </w:r>
      <w:r>
        <w:rPr>
          <w:rFonts w:ascii="Times New Roman" w:hAnsi="宋体" w:eastAsia="宋体" w:cs="Times New Roman"/>
          <w:szCs w:val="21"/>
        </w:rPr>
        <w:t xml:space="preserve">. </w:t>
      </w:r>
      <w:r>
        <w:rPr>
          <w:rFonts w:hint="eastAsia" w:ascii="Times New Roman" w:hAnsi="宋体" w:eastAsia="宋体" w:cs="Times New Roman"/>
          <w:szCs w:val="21"/>
        </w:rPr>
        <w:t>认识自己，接纳自己</w:t>
      </w:r>
      <w:r>
        <w:rPr>
          <w:rFonts w:ascii="Times New Roman" w:hAnsi="宋体" w:eastAsia="宋体" w:cs="Times New Roman"/>
          <w:szCs w:val="21"/>
        </w:rPr>
        <w:t xml:space="preserve">[M]. </w:t>
      </w:r>
      <w:r>
        <w:rPr>
          <w:rFonts w:hint="eastAsia" w:ascii="Times New Roman" w:hAnsi="宋体" w:eastAsia="宋体" w:cs="Times New Roman"/>
          <w:szCs w:val="21"/>
        </w:rPr>
        <w:t>沈阳：万卷出版公司，</w:t>
      </w:r>
      <w:r>
        <w:rPr>
          <w:rFonts w:ascii="Times New Roman" w:hAnsi="宋体" w:eastAsia="宋体" w:cs="Times New Roman"/>
          <w:szCs w:val="21"/>
        </w:rPr>
        <w:t>2010.</w:t>
      </w:r>
    </w:p>
    <w:p w14:paraId="323B446B">
      <w:pPr>
        <w:adjustRightInd w:val="0"/>
        <w:snapToGrid w:val="0"/>
        <w:spacing w:line="360" w:lineRule="auto"/>
        <w:rPr>
          <w:rFonts w:hint="eastAsia" w:ascii="Times New Roman" w:hAnsi="宋体" w:eastAsia="宋体" w:cs="Times New Roman"/>
          <w:szCs w:val="21"/>
        </w:rPr>
      </w:pPr>
      <w:r>
        <w:rPr>
          <w:rFonts w:ascii="Times New Roman" w:hAnsi="宋体" w:eastAsia="宋体" w:cs="Times New Roman"/>
          <w:szCs w:val="21"/>
        </w:rPr>
        <w:t>[9]</w:t>
      </w:r>
      <w:r>
        <w:rPr>
          <w:rFonts w:ascii="Times New Roman" w:hAnsi="宋体" w:eastAsia="宋体" w:cs="Times New Roman"/>
          <w:szCs w:val="21"/>
        </w:rPr>
        <w:tab/>
      </w:r>
      <w:r>
        <w:rPr>
          <w:rFonts w:hint="eastAsia" w:ascii="Times New Roman" w:hAnsi="宋体" w:eastAsia="宋体" w:cs="Times New Roman"/>
          <w:szCs w:val="21"/>
        </w:rPr>
        <w:t>俞国良</w:t>
      </w:r>
      <w:r>
        <w:rPr>
          <w:rFonts w:ascii="Times New Roman" w:hAnsi="宋体" w:eastAsia="宋体" w:cs="Times New Roman"/>
          <w:szCs w:val="21"/>
        </w:rPr>
        <w:t xml:space="preserve">. </w:t>
      </w:r>
      <w:r>
        <w:rPr>
          <w:rFonts w:hint="eastAsia" w:ascii="Times New Roman" w:hAnsi="宋体" w:eastAsia="宋体" w:cs="Times New Roman"/>
          <w:szCs w:val="21"/>
        </w:rPr>
        <w:t>大学生心理健康</w:t>
      </w:r>
      <w:r>
        <w:rPr>
          <w:rFonts w:ascii="Times New Roman" w:hAnsi="宋体" w:eastAsia="宋体" w:cs="Times New Roman"/>
          <w:szCs w:val="21"/>
        </w:rPr>
        <w:t>[M]. 2</w:t>
      </w:r>
      <w:r>
        <w:rPr>
          <w:rFonts w:hint="eastAsia" w:ascii="Times New Roman" w:hAnsi="宋体" w:eastAsia="宋体" w:cs="Times New Roman"/>
          <w:szCs w:val="21"/>
        </w:rPr>
        <w:t>版</w:t>
      </w:r>
      <w:r>
        <w:rPr>
          <w:rFonts w:ascii="Times New Roman" w:hAnsi="宋体" w:eastAsia="宋体" w:cs="Times New Roman"/>
          <w:szCs w:val="21"/>
        </w:rPr>
        <w:t xml:space="preserve">. </w:t>
      </w:r>
      <w:r>
        <w:rPr>
          <w:rFonts w:hint="eastAsia" w:ascii="Times New Roman" w:hAnsi="宋体" w:eastAsia="宋体" w:cs="Times New Roman"/>
          <w:szCs w:val="21"/>
        </w:rPr>
        <w:t>北京：北京师范大学出版社，</w:t>
      </w:r>
      <w:r>
        <w:rPr>
          <w:rFonts w:ascii="Times New Roman" w:hAnsi="宋体" w:eastAsia="宋体" w:cs="Times New Roman"/>
          <w:szCs w:val="21"/>
        </w:rPr>
        <w:t>2022.</w:t>
      </w:r>
    </w:p>
    <w:p w14:paraId="26BC9297">
      <w:pPr>
        <w:adjustRightInd w:val="0"/>
        <w:snapToGrid w:val="0"/>
        <w:spacing w:line="360" w:lineRule="auto"/>
        <w:rPr>
          <w:rFonts w:ascii="Times New Roman" w:hAnsi="Times New Roman" w:eastAsia="宋体" w:cs="Times New Roman"/>
          <w:szCs w:val="21"/>
        </w:rPr>
      </w:pPr>
      <w:r>
        <w:rPr>
          <w:rFonts w:ascii="Times New Roman" w:hAnsi="宋体" w:eastAsia="宋体" w:cs="Times New Roman"/>
          <w:szCs w:val="21"/>
        </w:rPr>
        <w:t>[10]</w:t>
      </w:r>
      <w:r>
        <w:rPr>
          <w:rFonts w:ascii="Times New Roman" w:hAnsi="宋体" w:eastAsia="宋体" w:cs="Times New Roman"/>
          <w:szCs w:val="21"/>
        </w:rPr>
        <w:tab/>
      </w:r>
      <w:r>
        <w:rPr>
          <w:rFonts w:hint="eastAsia" w:ascii="Times New Roman" w:hAnsi="宋体" w:eastAsia="宋体" w:cs="Times New Roman"/>
          <w:szCs w:val="21"/>
        </w:rPr>
        <w:t>周宗奎，等</w:t>
      </w:r>
      <w:r>
        <w:rPr>
          <w:rFonts w:ascii="Times New Roman" w:hAnsi="宋体" w:eastAsia="宋体" w:cs="Times New Roman"/>
          <w:szCs w:val="21"/>
        </w:rPr>
        <w:t xml:space="preserve">. </w:t>
      </w:r>
      <w:r>
        <w:rPr>
          <w:rFonts w:hint="eastAsia" w:ascii="Times New Roman" w:hAnsi="宋体" w:eastAsia="宋体" w:cs="Times New Roman"/>
          <w:szCs w:val="21"/>
        </w:rPr>
        <w:t>网络心理学</w:t>
      </w:r>
      <w:r>
        <w:rPr>
          <w:rFonts w:ascii="Times New Roman" w:hAnsi="宋体" w:eastAsia="宋体" w:cs="Times New Roman"/>
          <w:szCs w:val="21"/>
        </w:rPr>
        <w:t xml:space="preserve">[M]. </w:t>
      </w:r>
      <w:r>
        <w:rPr>
          <w:rFonts w:hint="eastAsia" w:ascii="Times New Roman" w:hAnsi="宋体" w:eastAsia="宋体" w:cs="Times New Roman"/>
          <w:szCs w:val="21"/>
        </w:rPr>
        <w:t>上海：华东师范大学出版社，</w:t>
      </w:r>
      <w:r>
        <w:rPr>
          <w:rFonts w:ascii="Times New Roman" w:hAnsi="宋体" w:eastAsia="宋体" w:cs="Times New Roman"/>
          <w:szCs w:val="21"/>
        </w:rPr>
        <w:t>2017.</w:t>
      </w:r>
    </w:p>
    <w:p w14:paraId="2B507CE7">
      <w:pPr>
        <w:adjustRightInd w:val="0"/>
        <w:snapToGrid w:val="0"/>
        <w:spacing w:line="360" w:lineRule="auto"/>
        <w:ind w:right="630"/>
        <w:jc w:val="right"/>
        <w:rPr>
          <w:rFonts w:ascii="Times New Roman" w:hAnsi="Times New Roman" w:eastAsia="宋体" w:cs="Times New Roman"/>
          <w:szCs w:val="21"/>
        </w:rPr>
      </w:pPr>
      <w:r>
        <w:rPr>
          <w:rFonts w:hint="eastAsia" w:ascii="Times New Roman" w:hAnsi="宋体" w:eastAsia="宋体" w:cs="Times New Roman"/>
          <w:szCs w:val="21"/>
        </w:rPr>
        <w:t>执笔人：</w:t>
      </w:r>
      <w:r>
        <w:rPr>
          <w:rFonts w:ascii="Times New Roman" w:hAnsi="Times New Roman" w:eastAsia="宋体" w:cs="Times New Roman"/>
          <w:szCs w:val="21"/>
        </w:rPr>
        <w:t xml:space="preserve"> </w:t>
      </w:r>
      <w:r>
        <w:rPr>
          <w:rFonts w:hint="eastAsia" w:ascii="Times New Roman" w:hAnsi="Times New Roman" w:eastAsia="宋体" w:cs="Times New Roman"/>
          <w:szCs w:val="21"/>
        </w:rPr>
        <w:t>薛</w:t>
      </w:r>
      <w:r>
        <w:rPr>
          <w:rFonts w:ascii="Times New Roman" w:hAnsi="Times New Roman" w:eastAsia="宋体" w:cs="Times New Roman"/>
          <w:szCs w:val="21"/>
        </w:rPr>
        <w:t xml:space="preserve">  </w:t>
      </w:r>
      <w:r>
        <w:rPr>
          <w:rFonts w:hint="eastAsia" w:ascii="Times New Roman" w:hAnsi="Times New Roman" w:eastAsia="宋体" w:cs="Times New Roman"/>
          <w:szCs w:val="21"/>
        </w:rPr>
        <w:t>香</w:t>
      </w:r>
    </w:p>
    <w:p w14:paraId="49D47FC9">
      <w:pPr>
        <w:adjustRightInd w:val="0"/>
        <w:snapToGrid w:val="0"/>
        <w:spacing w:line="360" w:lineRule="auto"/>
        <w:ind w:right="630"/>
        <w:jc w:val="right"/>
        <w:rPr>
          <w:rFonts w:ascii="Times New Roman" w:hAnsi="Times New Roman" w:eastAsia="宋体" w:cs="Times New Roman"/>
          <w:szCs w:val="21"/>
        </w:rPr>
      </w:pPr>
      <w:r>
        <w:rPr>
          <w:rFonts w:hint="eastAsia" w:ascii="Times New Roman" w:hAnsi="宋体" w:eastAsia="宋体" w:cs="Times New Roman"/>
          <w:szCs w:val="21"/>
        </w:rPr>
        <w:t>审定人：</w:t>
      </w:r>
      <w:r>
        <w:rPr>
          <w:rFonts w:ascii="Times New Roman" w:hAnsi="宋体" w:eastAsia="宋体" w:cs="Times New Roman"/>
          <w:szCs w:val="21"/>
        </w:rPr>
        <w:t xml:space="preserve"> </w:t>
      </w:r>
      <w:r>
        <w:rPr>
          <w:rFonts w:hint="eastAsia" w:ascii="Times New Roman" w:hAnsi="宋体" w:eastAsia="宋体" w:cs="Times New Roman"/>
          <w:szCs w:val="21"/>
        </w:rPr>
        <w:t>许飞菲</w:t>
      </w:r>
    </w:p>
    <w:p w14:paraId="78372200">
      <w:pPr>
        <w:adjustRightInd w:val="0"/>
        <w:snapToGrid w:val="0"/>
        <w:spacing w:line="360" w:lineRule="auto"/>
        <w:ind w:right="630"/>
        <w:jc w:val="right"/>
        <w:rPr>
          <w:rFonts w:hint="eastAsia" w:ascii="Times New Roman" w:hAnsi="宋体" w:eastAsia="宋体" w:cs="Times New Roman"/>
          <w:szCs w:val="21"/>
        </w:rPr>
      </w:pPr>
      <w:r>
        <w:rPr>
          <w:rFonts w:hint="eastAsia" w:ascii="Times New Roman" w:hAnsi="宋体" w:eastAsia="宋体" w:cs="Times New Roman"/>
          <w:szCs w:val="21"/>
        </w:rPr>
        <w:t>批准人：</w:t>
      </w:r>
      <w:r>
        <w:rPr>
          <w:rFonts w:ascii="Times New Roman" w:hAnsi="宋体" w:eastAsia="宋体" w:cs="Times New Roman"/>
          <w:szCs w:val="21"/>
        </w:rPr>
        <w:t xml:space="preserve"> </w:t>
      </w:r>
      <w:r>
        <w:rPr>
          <w:rFonts w:hint="eastAsia" w:ascii="Times New Roman" w:hAnsi="宋体" w:eastAsia="宋体" w:cs="Times New Roman"/>
          <w:szCs w:val="21"/>
        </w:rPr>
        <w:t>眭</w:t>
      </w:r>
      <w:r>
        <w:rPr>
          <w:rFonts w:ascii="Times New Roman" w:hAnsi="宋体" w:eastAsia="宋体" w:cs="Times New Roman"/>
          <w:szCs w:val="21"/>
        </w:rPr>
        <w:t xml:space="preserve">  </w:t>
      </w:r>
      <w:r>
        <w:rPr>
          <w:rFonts w:hint="eastAsia" w:ascii="Times New Roman" w:hAnsi="宋体" w:eastAsia="宋体" w:cs="Times New Roman"/>
          <w:szCs w:val="21"/>
        </w:rPr>
        <w:t>莉</w:t>
      </w:r>
    </w:p>
    <w:p w14:paraId="76204DFC">
      <w:pPr>
        <w:spacing w:before="62" w:beforeLines="20" w:after="62" w:afterLines="20" w:line="360" w:lineRule="auto"/>
        <w:jc w:val="left"/>
        <w:rPr>
          <w:rFonts w:ascii="Times New Roman" w:hAnsi="Times New Roman" w:eastAsia="宋体" w:cs="Times New Roman"/>
          <w:b/>
          <w:sz w:val="24"/>
        </w:rPr>
      </w:pPr>
    </w:p>
    <w:p w14:paraId="505CC3A4">
      <w:pPr>
        <w:spacing w:before="62" w:beforeLines="20" w:after="62" w:afterLines="20" w:line="360" w:lineRule="auto"/>
        <w:jc w:val="left"/>
        <w:rPr>
          <w:rFonts w:ascii="Times New Roman" w:hAnsi="Times New Roman" w:eastAsia="宋体" w:cs="Times New Roman"/>
          <w:b/>
          <w:sz w:val="24"/>
        </w:rPr>
      </w:pPr>
    </w:p>
    <w:p w14:paraId="11CA579A">
      <w:pPr>
        <w:rPr>
          <w:sz w:val="44"/>
          <w:szCs w:val="44"/>
        </w:rPr>
      </w:pPr>
      <w:bookmarkStart w:id="304" w:name="_Toc29697"/>
      <w:bookmarkStart w:id="305" w:name="_Toc12753"/>
      <w:bookmarkStart w:id="306" w:name="_Toc5115"/>
      <w:bookmarkStart w:id="307" w:name="_Toc19522"/>
      <w:r>
        <w:rPr>
          <w:rFonts w:hint="eastAsia"/>
          <w:sz w:val="44"/>
          <w:szCs w:val="44"/>
        </w:rPr>
        <w:br w:type="page"/>
      </w:r>
    </w:p>
    <w:p w14:paraId="1A8F6D70">
      <w:pPr>
        <w:spacing w:line="360" w:lineRule="auto"/>
        <w:jc w:val="center"/>
        <w:outlineLvl w:val="0"/>
        <w:rPr>
          <w:rFonts w:ascii="Times New Roman" w:hAnsi="Times New Roman" w:eastAsia="宋体" w:cs="Times New Roman"/>
          <w:b/>
          <w:sz w:val="44"/>
          <w:szCs w:val="44"/>
        </w:rPr>
      </w:pPr>
      <w:bookmarkStart w:id="308" w:name="_Toc10750"/>
      <w:r>
        <w:rPr>
          <w:rFonts w:hint="eastAsia" w:ascii="Times New Roman" w:hAnsi="Times New Roman" w:eastAsia="宋体" w:cs="Times New Roman"/>
          <w:b/>
          <w:sz w:val="44"/>
          <w:szCs w:val="44"/>
        </w:rPr>
        <w:t>《大学生安全教育》课程教学大纲</w:t>
      </w:r>
      <w:bookmarkEnd w:id="304"/>
      <w:bookmarkEnd w:id="305"/>
      <w:bookmarkEnd w:id="306"/>
      <w:bookmarkEnd w:id="307"/>
      <w:bookmarkEnd w:id="308"/>
    </w:p>
    <w:p w14:paraId="0B6627E6">
      <w:pPr>
        <w:spacing w:line="360" w:lineRule="auto"/>
        <w:jc w:val="center"/>
        <w:rPr>
          <w:rFonts w:ascii="Times New Roman" w:hAnsi="Times New Roman" w:eastAsia="宋体" w:cs="Times New Roman"/>
          <w:b/>
          <w:bCs/>
          <w:sz w:val="28"/>
          <w:szCs w:val="28"/>
        </w:rPr>
      </w:pPr>
      <w:bookmarkStart w:id="309" w:name="_Toc16580"/>
      <w:r>
        <w:rPr>
          <w:rFonts w:ascii="Times New Roman" w:hAnsi="Times New Roman" w:eastAsia="宋体" w:cs="Times New Roman"/>
          <w:b/>
          <w:bCs/>
          <w:sz w:val="28"/>
          <w:szCs w:val="28"/>
        </w:rPr>
        <w:t>（Campus Safety）</w:t>
      </w:r>
      <w:bookmarkEnd w:id="309"/>
    </w:p>
    <w:p w14:paraId="69155D99">
      <w:pPr>
        <w:spacing w:line="360" w:lineRule="auto"/>
        <w:ind w:firstLine="422" w:firstLineChars="200"/>
        <w:jc w:val="left"/>
        <w:rPr>
          <w:rFonts w:ascii="Times New Roman" w:hAnsi="Times New Roman" w:eastAsia="宋体" w:cs="Times New Roman"/>
          <w:b/>
          <w:szCs w:val="21"/>
        </w:rPr>
      </w:pPr>
    </w:p>
    <w:p w14:paraId="73B49583">
      <w:pPr>
        <w:spacing w:line="360" w:lineRule="auto"/>
        <w:ind w:firstLine="482" w:firstLineChars="200"/>
        <w:jc w:val="left"/>
        <w:rPr>
          <w:rFonts w:hint="eastAsia" w:ascii="宋体" w:hAnsi="宋体" w:eastAsia="宋体" w:cs="Times New Roman"/>
          <w:b/>
          <w:sz w:val="28"/>
          <w:szCs w:val="28"/>
        </w:rPr>
      </w:pPr>
      <w:r>
        <w:rPr>
          <w:rFonts w:hint="eastAsia" w:ascii="Times New Roman" w:hAnsi="Times New Roman" w:eastAsia="宋体" w:cs="Times New Roman"/>
          <w:b/>
          <w:sz w:val="24"/>
        </w:rPr>
        <w:t>课程名称：大学生安全教育</w:t>
      </w:r>
    </w:p>
    <w:p w14:paraId="71D8C81C">
      <w:pPr>
        <w:spacing w:line="360" w:lineRule="auto"/>
        <w:ind w:firstLine="482" w:firstLineChars="200"/>
        <w:rPr>
          <w:rFonts w:hint="eastAsia" w:ascii="宋体" w:hAnsi="宋体" w:eastAsia="宋体" w:cs="Times New Roman"/>
          <w:kern w:val="0"/>
          <w:sz w:val="24"/>
          <w:szCs w:val="22"/>
        </w:rPr>
      </w:pPr>
      <w:r>
        <w:rPr>
          <w:rFonts w:ascii="宋体" w:hAnsi="宋体" w:eastAsia="宋体" w:cs="Times New Roman"/>
          <w:b/>
          <w:bCs/>
          <w:kern w:val="0"/>
          <w:sz w:val="24"/>
        </w:rPr>
        <w:t>课程代码</w:t>
      </w:r>
      <w:r>
        <w:rPr>
          <w:rFonts w:ascii="宋体" w:hAnsi="宋体" w:eastAsia="宋体" w:cs="Times New Roman"/>
          <w:b/>
          <w:kern w:val="0"/>
          <w:sz w:val="24"/>
        </w:rPr>
        <w:t>：</w:t>
      </w:r>
      <w:r>
        <w:rPr>
          <w:rFonts w:hint="eastAsia" w:ascii="宋体" w:hAnsi="宋体" w:eastAsia="宋体" w:cs="Times New Roman"/>
          <w:b/>
          <w:bCs/>
          <w:kern w:val="0"/>
          <w:sz w:val="24"/>
          <w:szCs w:val="22"/>
        </w:rPr>
        <w:t>0000005</w:t>
      </w:r>
    </w:p>
    <w:p w14:paraId="2481CE63">
      <w:pPr>
        <w:spacing w:line="360" w:lineRule="auto"/>
        <w:ind w:firstLine="482" w:firstLineChars="200"/>
        <w:rPr>
          <w:rFonts w:hint="eastAsia" w:ascii="宋体" w:hAnsi="宋体" w:eastAsia="宋体" w:cs="Times New Roman"/>
          <w:b/>
          <w:kern w:val="0"/>
          <w:sz w:val="24"/>
        </w:rPr>
      </w:pPr>
      <w:r>
        <w:rPr>
          <w:rFonts w:ascii="宋体" w:hAnsi="宋体" w:eastAsia="宋体" w:cs="Times New Roman"/>
          <w:b/>
          <w:bCs/>
          <w:kern w:val="0"/>
          <w:sz w:val="24"/>
        </w:rPr>
        <w:t>学    分</w:t>
      </w:r>
      <w:r>
        <w:rPr>
          <w:rFonts w:ascii="宋体" w:hAnsi="宋体" w:eastAsia="宋体" w:cs="Times New Roman"/>
          <w:b/>
          <w:kern w:val="0"/>
          <w:sz w:val="24"/>
        </w:rPr>
        <w:t>：</w:t>
      </w:r>
      <w:r>
        <w:rPr>
          <w:rFonts w:hint="eastAsia" w:ascii="宋体" w:hAnsi="宋体" w:eastAsia="宋体" w:cs="Times New Roman"/>
          <w:b/>
          <w:bCs/>
          <w:kern w:val="0"/>
          <w:sz w:val="24"/>
          <w:szCs w:val="22"/>
        </w:rPr>
        <w:t>1</w:t>
      </w:r>
    </w:p>
    <w:p w14:paraId="22D77B51">
      <w:pPr>
        <w:spacing w:line="360" w:lineRule="auto"/>
        <w:ind w:firstLine="482" w:firstLineChars="200"/>
        <w:rPr>
          <w:rFonts w:hint="eastAsia" w:ascii="宋体" w:hAnsi="宋体" w:eastAsia="宋体" w:cs="Times New Roman"/>
          <w:kern w:val="0"/>
          <w:sz w:val="24"/>
        </w:rPr>
      </w:pPr>
      <w:r>
        <w:rPr>
          <w:rFonts w:ascii="宋体" w:hAnsi="宋体" w:eastAsia="宋体" w:cs="Times New Roman"/>
          <w:b/>
          <w:bCs/>
          <w:kern w:val="0"/>
          <w:sz w:val="24"/>
        </w:rPr>
        <w:t>学    时</w:t>
      </w:r>
      <w:r>
        <w:rPr>
          <w:rFonts w:ascii="宋体" w:hAnsi="宋体" w:eastAsia="宋体" w:cs="Times New Roman"/>
          <w:b/>
          <w:kern w:val="0"/>
          <w:sz w:val="24"/>
        </w:rPr>
        <w:t>：</w:t>
      </w:r>
      <w:r>
        <w:rPr>
          <w:rFonts w:hint="eastAsia" w:ascii="宋体" w:hAnsi="宋体" w:eastAsia="宋体" w:cs="Times New Roman"/>
          <w:b/>
          <w:kern w:val="0"/>
          <w:sz w:val="24"/>
        </w:rPr>
        <w:t>8</w:t>
      </w:r>
    </w:p>
    <w:p w14:paraId="3FA2939D">
      <w:pPr>
        <w:spacing w:line="360" w:lineRule="auto"/>
        <w:ind w:firstLine="482" w:firstLineChars="200"/>
        <w:jc w:val="left"/>
        <w:rPr>
          <w:rFonts w:hint="eastAsia" w:ascii="宋体" w:hAnsi="宋体" w:eastAsia="宋体" w:cs="Times New Roman"/>
          <w:sz w:val="24"/>
          <w:szCs w:val="22"/>
        </w:rPr>
      </w:pPr>
      <w:r>
        <w:rPr>
          <w:rFonts w:ascii="宋体" w:hAnsi="宋体" w:eastAsia="宋体" w:cs="Times New Roman"/>
          <w:b/>
          <w:bCs/>
          <w:kern w:val="0"/>
          <w:sz w:val="24"/>
          <w:lang w:val="zh-CN"/>
        </w:rPr>
        <w:t>先修课程</w:t>
      </w:r>
      <w:r>
        <w:rPr>
          <w:rFonts w:ascii="宋体" w:hAnsi="宋体" w:eastAsia="宋体" w:cs="Times New Roman"/>
          <w:b/>
          <w:kern w:val="0"/>
          <w:sz w:val="24"/>
          <w:lang w:val="zh-CN"/>
        </w:rPr>
        <w:t>：</w:t>
      </w:r>
      <w:r>
        <w:rPr>
          <w:rFonts w:hint="eastAsia" w:ascii="宋体" w:hAnsi="宋体" w:eastAsia="宋体" w:cs="Times New Roman"/>
          <w:b/>
          <w:bCs/>
          <w:sz w:val="24"/>
          <w:szCs w:val="22"/>
        </w:rPr>
        <w:t>无</w:t>
      </w:r>
    </w:p>
    <w:p w14:paraId="5B05C8EC">
      <w:pPr>
        <w:spacing w:line="360" w:lineRule="auto"/>
        <w:ind w:firstLine="482" w:firstLineChars="200"/>
        <w:rPr>
          <w:rFonts w:hint="eastAsia" w:ascii="宋体" w:hAnsi="宋体" w:eastAsia="宋体" w:cs="Times New Roman"/>
          <w:b/>
          <w:bCs/>
          <w:kern w:val="0"/>
          <w:sz w:val="24"/>
        </w:rPr>
      </w:pPr>
      <w:r>
        <w:rPr>
          <w:rFonts w:ascii="宋体" w:hAnsi="宋体" w:eastAsia="宋体" w:cs="Times New Roman"/>
          <w:b/>
          <w:bCs/>
          <w:kern w:val="0"/>
          <w:sz w:val="24"/>
        </w:rPr>
        <w:t>适用专业</w:t>
      </w:r>
      <w:r>
        <w:rPr>
          <w:rFonts w:ascii="宋体" w:hAnsi="宋体" w:eastAsia="宋体" w:cs="Times New Roman"/>
          <w:b/>
          <w:kern w:val="0"/>
          <w:sz w:val="24"/>
        </w:rPr>
        <w:t>：</w:t>
      </w:r>
      <w:r>
        <w:rPr>
          <w:rFonts w:hint="eastAsia" w:ascii="宋体" w:hAnsi="宋体" w:eastAsia="宋体" w:cs="Times New Roman"/>
          <w:b/>
          <w:bCs/>
          <w:kern w:val="0"/>
          <w:sz w:val="24"/>
        </w:rPr>
        <w:t>全校所有专业</w:t>
      </w:r>
    </w:p>
    <w:p w14:paraId="07F9EC3D">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19E8A639">
      <w:pPr>
        <w:pStyle w:val="6"/>
      </w:pPr>
      <w:r>
        <w:rPr>
          <w:rFonts w:hint="eastAsia"/>
          <w:bCs/>
        </w:rPr>
        <w:t>本课程</w:t>
      </w:r>
      <w:r>
        <w:rPr>
          <w:szCs w:val="21"/>
        </w:rPr>
        <w:t>是</w:t>
      </w:r>
      <w:r>
        <w:rPr>
          <w:rFonts w:hint="eastAsia"/>
        </w:rPr>
        <w:t>我校全体学生须学习并考试合格</w:t>
      </w:r>
      <w:r>
        <w:t>的一门</w:t>
      </w:r>
      <w:r>
        <w:rPr>
          <w:rFonts w:hint="eastAsia"/>
        </w:rPr>
        <w:t>必修课程</w:t>
      </w:r>
      <w:r>
        <w:t>。</w:t>
      </w:r>
      <w:r>
        <w:rPr>
          <w:rFonts w:hint="eastAsia"/>
        </w:rPr>
        <w:t>通过学习《大学生安全知识竞赛题库》，掌握和提高大学生安全意识和防范能力，避免和减少安全事件的发生，确保平安、健康、快乐地度过美好的大学生活。通过学习《实验室安全教育》，使学生了解实验过程中涉及具有一定危险因素的实验环境，如高温、高压、超低温、强磁、真空、辐射、高电压和高转速等基本知识；使学生能够掌握安全、健康和环境方面的基本理论，培养其安全意识和安全素养，使其具有一定的系统安全风险分析的能力，安全操作技能和应急处置能力，以保障大学生在校学习、实验及生活的安全并满足今后职业发展的安全需要。</w:t>
      </w:r>
    </w:p>
    <w:p w14:paraId="0D3D85D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0C4363BE">
      <w:pPr>
        <w:pStyle w:val="6"/>
        <w:ind w:firstLine="422"/>
        <w:rPr>
          <w:b/>
          <w:bCs/>
          <w:szCs w:val="21"/>
        </w:rPr>
      </w:pPr>
      <w:r>
        <w:rPr>
          <w:rFonts w:hint="eastAsia"/>
          <w:b/>
          <w:bCs/>
          <w:szCs w:val="21"/>
        </w:rPr>
        <w:t>（一）课程具体目标</w:t>
      </w:r>
    </w:p>
    <w:p w14:paraId="10562813">
      <w:pPr>
        <w:pStyle w:val="6"/>
        <w:ind w:firstLine="422"/>
        <w:rPr>
          <w:szCs w:val="21"/>
        </w:rPr>
      </w:pPr>
      <w:r>
        <w:rPr>
          <w:rFonts w:hint="eastAsia"/>
          <w:b/>
          <w:bCs/>
          <w:szCs w:val="21"/>
        </w:rPr>
        <w:t xml:space="preserve">目标1. </w:t>
      </w:r>
      <w:r>
        <w:rPr>
          <w:rFonts w:hint="eastAsia"/>
          <w:szCs w:val="21"/>
        </w:rPr>
        <w:t>掌握安全教育核心知识体系。系统学习人身安全、财产安全、网络安全、心理健康、自然灾害应对等领域的核心概念与基础理论，了解国内外校园安全典型案例与政策法规，构建安全知识结构框架，初步具备识别校园及社会环境中的安全风险、制定安全防护策略的能力。</w:t>
      </w:r>
    </w:p>
    <w:p w14:paraId="544C0F48">
      <w:pPr>
        <w:pStyle w:val="6"/>
        <w:ind w:firstLine="422"/>
        <w:rPr>
          <w:szCs w:val="21"/>
        </w:rPr>
      </w:pPr>
      <w:r>
        <w:rPr>
          <w:rFonts w:hint="eastAsia"/>
          <w:b/>
          <w:bCs/>
          <w:szCs w:val="21"/>
        </w:rPr>
        <w:t>目标2.</w:t>
      </w:r>
      <w:r>
        <w:rPr>
          <w:rFonts w:hint="eastAsia"/>
          <w:szCs w:val="21"/>
        </w:rPr>
        <w:t xml:space="preserve"> 提升安全实践与应急处置能力。通过情景模拟、实操演练（如火灾逃生、急救技能、防身术等），掌握应对突发安全事件的流程与技巧，能运用专业方法分析安全风险、制定应急预案，并具备在紧急情况下冷静应对、有效自救与互助的能力，为未来独立生活与社会实践奠定安全保障基础。</w:t>
      </w:r>
    </w:p>
    <w:p w14:paraId="04F327B5">
      <w:pPr>
        <w:pStyle w:val="6"/>
        <w:ind w:firstLine="422"/>
        <w:rPr>
          <w:szCs w:val="21"/>
        </w:rPr>
      </w:pPr>
      <w:r>
        <w:rPr>
          <w:rFonts w:hint="eastAsia"/>
          <w:b/>
          <w:bCs/>
          <w:szCs w:val="21"/>
        </w:rPr>
        <w:t>目标3.</w:t>
      </w:r>
      <w:r>
        <w:rPr>
          <w:rFonts w:hint="eastAsia"/>
          <w:szCs w:val="21"/>
        </w:rPr>
        <w:t xml:space="preserve"> 树立科学安全观与责任意识。形成正确的安全价值观，包括生命安全至上、风险防范优先、安全行为自律等理念；养成主动关注安全动态、定期更新安全知识的习惯；强化安全责任意识，自觉在日常生活与未来职业中践行安全规范，积极参与校园及社会安全文化建设，成为安全理念的传播者与实践者。</w:t>
      </w:r>
    </w:p>
    <w:p w14:paraId="7F470977">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8B1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3431BB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208AC3C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686492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E24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7CDD99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7F21632C">
            <w:pPr>
              <w:spacing w:line="276" w:lineRule="auto"/>
              <w:jc w:val="left"/>
              <w:rPr>
                <w:rFonts w:ascii="Times New Roman" w:hAnsi="Times New Roman" w:eastAsia="宋体" w:cs="Times New Roman"/>
                <w:szCs w:val="21"/>
              </w:rPr>
            </w:pPr>
            <w:r>
              <w:rPr>
                <w:rFonts w:hint="eastAsia" w:ascii="宋体" w:hAnsi="宋体" w:cs="宋体"/>
                <w:b/>
                <w:kern w:val="0"/>
                <w:sz w:val="20"/>
                <w:szCs w:val="20"/>
              </w:rPr>
              <w:t>指标点2-3</w:t>
            </w:r>
            <w:r>
              <w:rPr>
                <w:rFonts w:hint="eastAsia" w:ascii="宋体" w:hAnsi="宋体" w:cs="宋体"/>
                <w:sz w:val="20"/>
                <w:szCs w:val="20"/>
              </w:rPr>
              <w:t>：【自身修养良好】具有较好的人文</w:t>
            </w:r>
            <w:r>
              <w:rPr>
                <w:rFonts w:hint="eastAsia" w:cs="宋体"/>
                <w:sz w:val="20"/>
                <w:szCs w:val="20"/>
              </w:rPr>
              <w:t>艺术</w:t>
            </w:r>
            <w:r>
              <w:rPr>
                <w:rFonts w:hint="eastAsia" w:ascii="宋体" w:hAnsi="宋体" w:cs="宋体"/>
                <w:sz w:val="20"/>
                <w:szCs w:val="20"/>
              </w:rPr>
              <w:t>底蕴与科学精神，言行举止符合教师职业标准，情感积极，人格健全，身心健康</w:t>
            </w:r>
            <w:r>
              <w:rPr>
                <w:rFonts w:ascii="宋体" w:hAnsi="宋体" w:eastAsia="宋体" w:cs="Times New Roman"/>
                <w:spacing w:val="2"/>
                <w:kern w:val="0"/>
                <w:szCs w:val="21"/>
              </w:rPr>
              <w:t>。</w:t>
            </w:r>
          </w:p>
        </w:tc>
        <w:tc>
          <w:tcPr>
            <w:tcW w:w="1191" w:type="dxa"/>
            <w:vAlign w:val="center"/>
          </w:tcPr>
          <w:p w14:paraId="3EE68FB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bl>
    <w:p w14:paraId="39540E8A">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68BE8CBC">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促使学生在系统掌握安全知识体系与实践技能的基础上，深刻理解国家安全与社会稳定的重要意义，践行社会主义核心价值观；树立“生命至上、风险防范、责任为先”的科学安全观，自觉遵守法律法规与校园安全规范，强化公共安全意识；培养自律守则的行为习惯与人文关怀精神，主动参与校园及社会安全文化建设，积极传播安全理念；以高度的社会责任感与创新思维，分析安全挑战、优化防护策略，立志成为具备扎实安全素养、法治观念、仁爱之心和家国情怀的新时代青年，为构建平安校园、维护社会和谐稳定贡献力量。</w:t>
      </w:r>
    </w:p>
    <w:p w14:paraId="712A08DF">
      <w:pPr>
        <w:spacing w:before="62" w:beforeLines="20" w:after="62" w:afterLines="20" w:line="360" w:lineRule="auto"/>
        <w:jc w:val="left"/>
        <w:rPr>
          <w:rFonts w:ascii="Times New Roman" w:hAnsi="Times New Roman" w:eastAsia="宋体" w:cs="Times New Roman"/>
          <w:b/>
          <w:sz w:val="24"/>
        </w:rPr>
      </w:pPr>
      <w:bookmarkStart w:id="310" w:name="_Toc10229"/>
      <w:r>
        <w:rPr>
          <w:rFonts w:hint="eastAsia" w:ascii="Times New Roman" w:hAnsi="Times New Roman" w:eastAsia="宋体" w:cs="Times New Roman"/>
          <w:b/>
          <w:sz w:val="24"/>
        </w:rPr>
        <w:t>三、教学内容与预期学习成效</w:t>
      </w:r>
      <w:bookmarkEnd w:id="310"/>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887"/>
        <w:gridCol w:w="1200"/>
        <w:gridCol w:w="2480"/>
        <w:gridCol w:w="1292"/>
        <w:gridCol w:w="438"/>
      </w:tblGrid>
      <w:tr w14:paraId="28E1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Align w:val="center"/>
          </w:tcPr>
          <w:p w14:paraId="74A34786">
            <w:pPr>
              <w:jc w:val="center"/>
              <w:rPr>
                <w:rFonts w:hint="eastAsia" w:ascii="宋体" w:hAnsi="宋体" w:eastAsia="宋体" w:cs="Times New Roman"/>
                <w:b/>
                <w:szCs w:val="21"/>
              </w:rPr>
            </w:pPr>
            <w:r>
              <w:rPr>
                <w:rFonts w:hint="eastAsia" w:ascii="宋体" w:hAnsi="宋体" w:eastAsia="宋体" w:cs="Times New Roman"/>
                <w:b/>
                <w:szCs w:val="21"/>
              </w:rPr>
              <w:t>知识</w:t>
            </w:r>
          </w:p>
          <w:p w14:paraId="36FBCAE7">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887" w:type="dxa"/>
            <w:vAlign w:val="center"/>
          </w:tcPr>
          <w:p w14:paraId="74A3D70F">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00" w:type="dxa"/>
            <w:vAlign w:val="center"/>
          </w:tcPr>
          <w:p w14:paraId="4C7E3DCE">
            <w:pPr>
              <w:jc w:val="center"/>
              <w:rPr>
                <w:rFonts w:hint="eastAsia" w:ascii="宋体" w:hAnsi="宋体" w:eastAsia="宋体" w:cs="Times New Roman"/>
                <w:b/>
                <w:szCs w:val="21"/>
              </w:rPr>
            </w:pPr>
            <w:r>
              <w:rPr>
                <w:rFonts w:hint="eastAsia" w:ascii="宋体" w:hAnsi="宋体" w:eastAsia="宋体" w:cs="Times New Roman"/>
                <w:b/>
                <w:szCs w:val="21"/>
              </w:rPr>
              <w:t>对应</w:t>
            </w:r>
          </w:p>
          <w:p w14:paraId="2215DC48">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480" w:type="dxa"/>
            <w:vAlign w:val="center"/>
          </w:tcPr>
          <w:p w14:paraId="3BB084D5">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292" w:type="dxa"/>
            <w:vAlign w:val="center"/>
          </w:tcPr>
          <w:p w14:paraId="7DE4AE93">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490A3D61">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7BC4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3" w:hRule="atLeast"/>
          <w:jc w:val="center"/>
        </w:trPr>
        <w:tc>
          <w:tcPr>
            <w:tcW w:w="1001" w:type="dxa"/>
            <w:vMerge w:val="restart"/>
            <w:vAlign w:val="center"/>
          </w:tcPr>
          <w:p w14:paraId="712C1CE6">
            <w:pPr>
              <w:jc w:val="center"/>
              <w:rPr>
                <w:rFonts w:hint="eastAsia" w:ascii="宋体" w:hAnsi="宋体" w:eastAsia="宋体" w:cs="Times New Roman"/>
                <w:szCs w:val="21"/>
              </w:rPr>
            </w:pPr>
            <w:r>
              <w:rPr>
                <w:rFonts w:hint="eastAsia" w:ascii="宋体" w:hAnsi="宋体" w:eastAsia="宋体" w:cs="宋体"/>
                <w:bCs/>
                <w:szCs w:val="21"/>
              </w:rPr>
              <w:t>1.大学生安全知识</w:t>
            </w:r>
          </w:p>
        </w:tc>
        <w:tc>
          <w:tcPr>
            <w:tcW w:w="2887" w:type="dxa"/>
            <w:vAlign w:val="center"/>
          </w:tcPr>
          <w:p w14:paraId="445D9705">
            <w:pPr>
              <w:rPr>
                <w:rFonts w:hint="eastAsia" w:ascii="宋体" w:hAnsi="宋体" w:eastAsia="宋体" w:cs="宋体"/>
                <w:szCs w:val="21"/>
              </w:rPr>
            </w:pPr>
            <w:r>
              <w:rPr>
                <w:rFonts w:hint="eastAsia" w:ascii="宋体" w:hAnsi="宋体" w:eastAsia="宋体" w:cs="宋体"/>
                <w:szCs w:val="21"/>
              </w:rPr>
              <w:t>（1）维护国家安全。</w:t>
            </w:r>
          </w:p>
          <w:p w14:paraId="55777135">
            <w:pPr>
              <w:rPr>
                <w:rFonts w:hint="eastAsia" w:ascii="宋体" w:hAnsi="宋体" w:eastAsia="宋体" w:cs="宋体"/>
                <w:szCs w:val="21"/>
              </w:rPr>
            </w:pPr>
            <w:r>
              <w:rPr>
                <w:rFonts w:hint="eastAsia" w:ascii="宋体" w:hAnsi="宋体" w:eastAsia="宋体" w:cs="宋体"/>
                <w:szCs w:val="21"/>
              </w:rPr>
              <w:t>（2）不法侵害的预防与处置。</w:t>
            </w:r>
          </w:p>
          <w:p w14:paraId="623EE8A6">
            <w:pPr>
              <w:rPr>
                <w:rFonts w:hint="eastAsia" w:ascii="宋体" w:hAnsi="宋体" w:eastAsia="宋体" w:cs="宋体"/>
                <w:szCs w:val="21"/>
              </w:rPr>
            </w:pPr>
            <w:r>
              <w:rPr>
                <w:rFonts w:hint="eastAsia" w:ascii="宋体" w:hAnsi="宋体" w:eastAsia="宋体" w:cs="宋体"/>
                <w:szCs w:val="21"/>
              </w:rPr>
              <w:t>（3）诈骗的识别与防范。</w:t>
            </w:r>
          </w:p>
          <w:p w14:paraId="227025D0">
            <w:pPr>
              <w:rPr>
                <w:rFonts w:hint="eastAsia" w:ascii="宋体" w:hAnsi="宋体" w:eastAsia="宋体" w:cs="宋体"/>
                <w:szCs w:val="21"/>
              </w:rPr>
            </w:pPr>
            <w:r>
              <w:rPr>
                <w:rFonts w:hint="eastAsia" w:ascii="宋体" w:hAnsi="宋体" w:eastAsia="宋体" w:cs="宋体"/>
                <w:szCs w:val="21"/>
              </w:rPr>
              <w:t>（4）心理障碍的预防与调适。</w:t>
            </w:r>
          </w:p>
          <w:p w14:paraId="4367598E">
            <w:pPr>
              <w:rPr>
                <w:rFonts w:hint="eastAsia" w:ascii="宋体" w:hAnsi="宋体" w:eastAsia="宋体" w:cs="宋体"/>
                <w:szCs w:val="21"/>
              </w:rPr>
            </w:pPr>
            <w:r>
              <w:rPr>
                <w:rFonts w:hint="eastAsia" w:ascii="宋体" w:hAnsi="宋体" w:eastAsia="宋体" w:cs="宋体"/>
                <w:szCs w:val="21"/>
              </w:rPr>
              <w:t>（5）火灾事故的预防与应对。</w:t>
            </w:r>
          </w:p>
          <w:p w14:paraId="6EE370E1">
            <w:pPr>
              <w:rPr>
                <w:rFonts w:hint="eastAsia" w:ascii="宋体" w:hAnsi="宋体" w:eastAsia="宋体" w:cs="宋体"/>
                <w:szCs w:val="21"/>
              </w:rPr>
            </w:pPr>
            <w:r>
              <w:rPr>
                <w:rFonts w:hint="eastAsia" w:ascii="宋体" w:hAnsi="宋体" w:eastAsia="宋体" w:cs="宋体"/>
                <w:szCs w:val="21"/>
              </w:rPr>
              <w:t>（6）交通事故的预防与处置。</w:t>
            </w:r>
          </w:p>
          <w:p w14:paraId="266E4ED7">
            <w:pPr>
              <w:rPr>
                <w:rFonts w:hint="eastAsia" w:ascii="宋体" w:hAnsi="宋体" w:eastAsia="宋体" w:cs="宋体"/>
                <w:szCs w:val="21"/>
              </w:rPr>
            </w:pPr>
            <w:r>
              <w:rPr>
                <w:rFonts w:hint="eastAsia" w:ascii="宋体" w:hAnsi="宋体" w:eastAsia="宋体" w:cs="宋体"/>
                <w:szCs w:val="21"/>
              </w:rPr>
              <w:t>（7）盗窃案件的预防与应对。</w:t>
            </w:r>
          </w:p>
          <w:p w14:paraId="70D3658B">
            <w:pPr>
              <w:rPr>
                <w:rFonts w:hint="eastAsia" w:ascii="宋体" w:hAnsi="宋体" w:eastAsia="宋体" w:cs="宋体"/>
                <w:szCs w:val="21"/>
              </w:rPr>
            </w:pPr>
            <w:r>
              <w:rPr>
                <w:rFonts w:hint="eastAsia" w:ascii="宋体" w:hAnsi="宋体" w:eastAsia="宋体" w:cs="宋体"/>
                <w:szCs w:val="21"/>
              </w:rPr>
              <w:t>（8）网络侵害的防范与处置。</w:t>
            </w:r>
          </w:p>
          <w:p w14:paraId="78EB84B9">
            <w:pPr>
              <w:rPr>
                <w:rFonts w:hint="eastAsia" w:ascii="宋体" w:hAnsi="宋体" w:eastAsia="宋体" w:cs="宋体"/>
                <w:szCs w:val="21"/>
              </w:rPr>
            </w:pPr>
            <w:r>
              <w:rPr>
                <w:rFonts w:hint="eastAsia" w:ascii="宋体" w:hAnsi="宋体" w:eastAsia="宋体" w:cs="宋体"/>
                <w:szCs w:val="21"/>
              </w:rPr>
              <w:t>（9）灾害及意外伤害事故的防范与应对。</w:t>
            </w:r>
          </w:p>
          <w:p w14:paraId="7E4F9787">
            <w:pPr>
              <w:rPr>
                <w:rFonts w:hint="eastAsia" w:ascii="宋体" w:hAnsi="宋体" w:eastAsia="宋体" w:cs="宋体"/>
                <w:szCs w:val="21"/>
              </w:rPr>
            </w:pPr>
            <w:r>
              <w:rPr>
                <w:rFonts w:hint="eastAsia" w:ascii="宋体" w:hAnsi="宋体" w:eastAsia="宋体" w:cs="宋体"/>
                <w:szCs w:val="21"/>
              </w:rPr>
              <w:t>（10）食物中毒、传染病及猝死的预防与处置。</w:t>
            </w:r>
          </w:p>
          <w:p w14:paraId="4E750CA7">
            <w:pPr>
              <w:rPr>
                <w:rFonts w:hint="eastAsia" w:ascii="宋体" w:hAnsi="宋体" w:eastAsia="宋体" w:cs="Times New Roman"/>
                <w:szCs w:val="21"/>
              </w:rPr>
            </w:pPr>
            <w:r>
              <w:rPr>
                <w:rFonts w:hint="eastAsia" w:ascii="宋体" w:hAnsi="宋体" w:eastAsia="宋体" w:cs="宋体"/>
                <w:szCs w:val="21"/>
              </w:rPr>
              <w:t>（11）学生人身伤害事故处理。</w:t>
            </w:r>
          </w:p>
        </w:tc>
        <w:tc>
          <w:tcPr>
            <w:tcW w:w="1200" w:type="dxa"/>
            <w:vAlign w:val="center"/>
          </w:tcPr>
          <w:p w14:paraId="7B73512F">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480" w:type="dxa"/>
            <w:vAlign w:val="center"/>
          </w:tcPr>
          <w:p w14:paraId="11FE7535">
            <w:pPr>
              <w:jc w:val="left"/>
              <w:rPr>
                <w:rFonts w:hint="eastAsia" w:ascii="宋体" w:hAnsi="宋体" w:eastAsia="宋体" w:cs="Times New Roman"/>
                <w:szCs w:val="21"/>
              </w:rPr>
            </w:pPr>
            <w:r>
              <w:rPr>
                <w:rFonts w:hint="eastAsia" w:ascii="宋体" w:hAnsi="宋体" w:eastAsia="宋体" w:cs="Times New Roman"/>
                <w:szCs w:val="21"/>
              </w:rPr>
              <w:t>1. 理解人身安全、财产安全、网络安全等领域的核心概念与基础理论；</w:t>
            </w:r>
          </w:p>
          <w:p w14:paraId="69E332EA">
            <w:pPr>
              <w:jc w:val="left"/>
              <w:rPr>
                <w:rFonts w:hint="eastAsia" w:ascii="宋体" w:hAnsi="宋体" w:eastAsia="宋体" w:cs="Times New Roman"/>
                <w:szCs w:val="21"/>
              </w:rPr>
            </w:pPr>
            <w:r>
              <w:rPr>
                <w:rFonts w:hint="eastAsia" w:ascii="宋体" w:hAnsi="宋体" w:eastAsia="宋体" w:cs="Times New Roman"/>
                <w:szCs w:val="21"/>
              </w:rPr>
              <w:t>2. 了解国内外校园安全典型案例与政策法规，构建安全知识结构框架；</w:t>
            </w:r>
          </w:p>
          <w:p w14:paraId="4C2531D8">
            <w:pPr>
              <w:jc w:val="left"/>
              <w:rPr>
                <w:rFonts w:hint="eastAsia" w:ascii="宋体" w:hAnsi="宋体" w:eastAsia="宋体" w:cs="Times New Roman"/>
                <w:szCs w:val="21"/>
              </w:rPr>
            </w:pPr>
            <w:r>
              <w:rPr>
                <w:rFonts w:hint="eastAsia" w:ascii="宋体" w:hAnsi="宋体" w:eastAsia="宋体" w:cs="Times New Roman"/>
                <w:szCs w:val="21"/>
              </w:rPr>
              <w:t>3. 掌握识别校园及社会环境中安全风险的方法，能制定基础安全防护策略；</w:t>
            </w:r>
          </w:p>
          <w:p w14:paraId="49F60874">
            <w:pPr>
              <w:jc w:val="left"/>
              <w:rPr>
                <w:rFonts w:hint="eastAsia" w:ascii="宋体" w:hAnsi="宋体" w:eastAsia="宋体" w:cs="Times New Roman"/>
                <w:szCs w:val="21"/>
              </w:rPr>
            </w:pPr>
            <w:r>
              <w:rPr>
                <w:rFonts w:hint="eastAsia" w:ascii="宋体" w:hAnsi="宋体" w:eastAsia="宋体" w:cs="Times New Roman"/>
                <w:szCs w:val="21"/>
              </w:rPr>
              <w:t>4. 通过案例分析与情景模拟，形成应对突发安全事件的初步能力，具备冷静应对、有效自救与互助的意识。</w:t>
            </w:r>
          </w:p>
        </w:tc>
        <w:tc>
          <w:tcPr>
            <w:tcW w:w="1292" w:type="dxa"/>
            <w:vAlign w:val="center"/>
          </w:tcPr>
          <w:p w14:paraId="7EAF33F0">
            <w:pPr>
              <w:jc w:val="left"/>
              <w:rPr>
                <w:rFonts w:hint="eastAsia" w:ascii="宋体" w:hAnsi="宋体" w:eastAsia="宋体" w:cs="Times New Roman"/>
                <w:szCs w:val="21"/>
              </w:rPr>
            </w:pPr>
            <w:r>
              <w:rPr>
                <w:rFonts w:hint="eastAsia" w:ascii="宋体" w:hAnsi="宋体" w:eastAsia="宋体" w:cs="Times New Roman"/>
                <w:szCs w:val="21"/>
              </w:rPr>
              <w:t>1.课堂讲授</w:t>
            </w:r>
          </w:p>
          <w:p w14:paraId="22686A50">
            <w:pPr>
              <w:jc w:val="left"/>
              <w:rPr>
                <w:rFonts w:hint="eastAsia" w:ascii="宋体" w:hAnsi="宋体" w:eastAsia="宋体" w:cs="Times New Roman"/>
                <w:szCs w:val="21"/>
              </w:rPr>
            </w:pPr>
            <w:r>
              <w:rPr>
                <w:rFonts w:hint="eastAsia" w:ascii="宋体" w:hAnsi="宋体" w:eastAsia="宋体" w:cs="Times New Roman"/>
                <w:szCs w:val="21"/>
              </w:rPr>
              <w:t>2.案例分析</w:t>
            </w:r>
          </w:p>
          <w:p w14:paraId="1AC336BD">
            <w:pPr>
              <w:jc w:val="left"/>
              <w:rPr>
                <w:rFonts w:hint="eastAsia" w:ascii="宋体" w:hAnsi="宋体" w:eastAsia="宋体" w:cs="Times New Roman"/>
                <w:szCs w:val="21"/>
              </w:rPr>
            </w:pPr>
            <w:r>
              <w:rPr>
                <w:rFonts w:hint="eastAsia" w:ascii="宋体" w:hAnsi="宋体" w:eastAsia="宋体" w:cs="Times New Roman"/>
                <w:szCs w:val="21"/>
              </w:rPr>
              <w:t>3.情景模拟</w:t>
            </w:r>
          </w:p>
        </w:tc>
        <w:tc>
          <w:tcPr>
            <w:tcW w:w="438" w:type="dxa"/>
            <w:vAlign w:val="center"/>
          </w:tcPr>
          <w:p w14:paraId="4E17A290">
            <w:pPr>
              <w:jc w:val="center"/>
              <w:rPr>
                <w:rFonts w:hint="eastAsia" w:ascii="宋体" w:hAnsi="宋体" w:eastAsia="宋体" w:cs="Times New Roman"/>
                <w:szCs w:val="21"/>
              </w:rPr>
            </w:pPr>
            <w:r>
              <w:rPr>
                <w:rFonts w:hint="eastAsia" w:ascii="宋体" w:hAnsi="宋体" w:eastAsia="宋体" w:cs="Times New Roman"/>
                <w:szCs w:val="21"/>
              </w:rPr>
              <w:t>2</w:t>
            </w:r>
          </w:p>
        </w:tc>
      </w:tr>
      <w:tr w14:paraId="3759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33E893A7">
            <w:pPr>
              <w:jc w:val="center"/>
              <w:rPr>
                <w:rFonts w:hint="eastAsia" w:ascii="宋体" w:hAnsi="宋体" w:eastAsia="宋体" w:cs="Times New Roman"/>
                <w:szCs w:val="21"/>
              </w:rPr>
            </w:pPr>
          </w:p>
        </w:tc>
        <w:tc>
          <w:tcPr>
            <w:tcW w:w="8297" w:type="dxa"/>
            <w:gridSpan w:val="5"/>
            <w:vAlign w:val="center"/>
          </w:tcPr>
          <w:p w14:paraId="7C75340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使学生深刻理解国家安全与社会稳定的内在联系，树立 “生命至上、安全第一” 的价值理念；通过典型案例分析，强化社会主义核心价值观，增强法治意识与社会责任感，自觉维护公共安全秩序，立志成为校园安全与社会和谐的守护者。</w:t>
            </w:r>
          </w:p>
        </w:tc>
      </w:tr>
      <w:tr w14:paraId="2BA6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082F2086">
            <w:pPr>
              <w:rPr>
                <w:rFonts w:hint="eastAsia" w:ascii="宋体" w:hAnsi="宋体" w:eastAsia="宋体" w:cs="宋体"/>
                <w:bCs/>
                <w:szCs w:val="21"/>
              </w:rPr>
            </w:pPr>
            <w:r>
              <w:rPr>
                <w:rFonts w:hint="eastAsia" w:ascii="宋体" w:hAnsi="宋体" w:eastAsia="宋体" w:cs="宋体"/>
                <w:bCs/>
                <w:szCs w:val="21"/>
              </w:rPr>
              <w:t>2.实验室消防安全教育及</w:t>
            </w:r>
            <w:r>
              <w:rPr>
                <w:rFonts w:hint="eastAsia" w:ascii="宋体" w:hAnsi="宋体" w:cs="宋体"/>
                <w:szCs w:val="21"/>
              </w:rPr>
              <w:t>实验室用电安全</w:t>
            </w:r>
          </w:p>
          <w:p w14:paraId="12FF7C2A">
            <w:pPr>
              <w:jc w:val="center"/>
              <w:rPr>
                <w:rFonts w:hint="eastAsia" w:ascii="宋体" w:hAnsi="宋体" w:eastAsia="宋体" w:cs="Times New Roman"/>
                <w:szCs w:val="21"/>
              </w:rPr>
            </w:pPr>
          </w:p>
        </w:tc>
        <w:tc>
          <w:tcPr>
            <w:tcW w:w="2887" w:type="dxa"/>
            <w:vAlign w:val="center"/>
          </w:tcPr>
          <w:p w14:paraId="6E4B15AC">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1</w:t>
            </w:r>
            <w:r>
              <w:rPr>
                <w:rFonts w:hint="eastAsia" w:ascii="宋体" w:hAnsi="宋体" w:cs="宋体"/>
                <w:szCs w:val="21"/>
              </w:rPr>
              <w:t>）实验室消防常识。</w:t>
            </w:r>
          </w:p>
          <w:p w14:paraId="518B4D16">
            <w:pPr>
              <w:pStyle w:val="6"/>
              <w:spacing w:line="240" w:lineRule="auto"/>
              <w:ind w:firstLine="0" w:firstLineChars="0"/>
              <w:rPr>
                <w:rFonts w:hint="eastAsia" w:ascii="宋体" w:hAnsi="宋体" w:cs="宋体"/>
                <w:szCs w:val="21"/>
              </w:rPr>
            </w:pPr>
            <w:r>
              <w:rPr>
                <w:rFonts w:hint="eastAsia" w:ascii="宋体" w:hAnsi="宋体" w:cs="宋体"/>
                <w:szCs w:val="21"/>
              </w:rPr>
              <w:t>（2）实验室消防安全管理。</w:t>
            </w:r>
          </w:p>
          <w:p w14:paraId="68192A85">
            <w:pPr>
              <w:pStyle w:val="6"/>
              <w:spacing w:line="240" w:lineRule="auto"/>
              <w:ind w:firstLine="0" w:firstLineChars="0"/>
              <w:rPr>
                <w:rFonts w:hint="eastAsia" w:ascii="宋体" w:hAnsi="宋体" w:cs="宋体"/>
                <w:szCs w:val="21"/>
              </w:rPr>
            </w:pPr>
            <w:r>
              <w:rPr>
                <w:rFonts w:hint="eastAsia" w:ascii="宋体" w:hAnsi="宋体" w:cs="宋体"/>
                <w:szCs w:val="21"/>
              </w:rPr>
              <w:t>（3）实验室消防设施。</w:t>
            </w:r>
          </w:p>
          <w:p w14:paraId="28810EE1">
            <w:pPr>
              <w:pStyle w:val="6"/>
              <w:spacing w:line="240" w:lineRule="auto"/>
              <w:ind w:firstLine="0" w:firstLineChars="0"/>
              <w:rPr>
                <w:rFonts w:hint="eastAsia" w:ascii="宋体" w:hAnsi="宋体" w:cs="宋体"/>
                <w:szCs w:val="21"/>
              </w:rPr>
            </w:pPr>
            <w:r>
              <w:rPr>
                <w:rFonts w:hint="eastAsia" w:ascii="宋体" w:hAnsi="宋体" w:cs="宋体"/>
                <w:szCs w:val="21"/>
              </w:rPr>
              <w:t>（4）火灾应急措施。</w:t>
            </w:r>
          </w:p>
          <w:p w14:paraId="7A248A0D">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5</w:t>
            </w:r>
            <w:r>
              <w:rPr>
                <w:rFonts w:hint="eastAsia" w:ascii="宋体" w:hAnsi="宋体" w:cs="宋体"/>
                <w:szCs w:val="21"/>
              </w:rPr>
              <w:t>）实验室安全用电常识。</w:t>
            </w:r>
          </w:p>
          <w:p w14:paraId="66D11D64">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6</w:t>
            </w:r>
            <w:r>
              <w:rPr>
                <w:rFonts w:hint="eastAsia" w:ascii="宋体" w:hAnsi="宋体" w:cs="宋体"/>
                <w:szCs w:val="21"/>
              </w:rPr>
              <w:t>）实验室安全用电管理。</w:t>
            </w:r>
          </w:p>
          <w:p w14:paraId="7F616B27">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7</w:t>
            </w:r>
            <w:r>
              <w:rPr>
                <w:rFonts w:hint="eastAsia" w:ascii="宋体" w:hAnsi="宋体" w:cs="宋体"/>
                <w:szCs w:val="21"/>
              </w:rPr>
              <w:t>）实验室用电常见安全事故应急措施。</w:t>
            </w:r>
          </w:p>
          <w:p w14:paraId="5758B19A">
            <w:pPr>
              <w:jc w:val="left"/>
              <w:rPr>
                <w:rFonts w:hint="eastAsia" w:ascii="宋体" w:hAnsi="宋体" w:eastAsia="宋体" w:cs="Times New Roman"/>
                <w:szCs w:val="21"/>
              </w:rPr>
            </w:pPr>
          </w:p>
        </w:tc>
        <w:tc>
          <w:tcPr>
            <w:tcW w:w="1200" w:type="dxa"/>
            <w:vAlign w:val="center"/>
          </w:tcPr>
          <w:p w14:paraId="00A2334C">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480" w:type="dxa"/>
            <w:vAlign w:val="center"/>
          </w:tcPr>
          <w:p w14:paraId="69968F9F">
            <w:pPr>
              <w:jc w:val="left"/>
              <w:rPr>
                <w:rFonts w:hint="eastAsia" w:ascii="宋体" w:hAnsi="宋体" w:eastAsia="宋体" w:cs="Times New Roman"/>
                <w:szCs w:val="21"/>
              </w:rPr>
            </w:pPr>
            <w:r>
              <w:rPr>
                <w:rFonts w:hint="eastAsia" w:ascii="宋体" w:hAnsi="宋体" w:eastAsia="宋体" w:cs="Times New Roman"/>
                <w:szCs w:val="21"/>
              </w:rPr>
              <w:t>1. 掌握实验室消防与用电安全的核心知识，包括消防设施使用、安全用电规范等；</w:t>
            </w:r>
          </w:p>
          <w:p w14:paraId="5010BCA0">
            <w:pPr>
              <w:jc w:val="left"/>
              <w:rPr>
                <w:rFonts w:hint="eastAsia" w:ascii="宋体" w:hAnsi="宋体" w:eastAsia="宋体" w:cs="Times New Roman"/>
                <w:szCs w:val="21"/>
              </w:rPr>
            </w:pPr>
            <w:r>
              <w:rPr>
                <w:rFonts w:hint="eastAsia" w:ascii="宋体" w:hAnsi="宋体" w:eastAsia="宋体" w:cs="Times New Roman"/>
                <w:szCs w:val="21"/>
              </w:rPr>
              <w:t>2. 理解实验室消防安全与用电安全管理的重要性，熟悉相关应急措施与操作流程；</w:t>
            </w:r>
          </w:p>
          <w:p w14:paraId="2D2120B7">
            <w:pPr>
              <w:jc w:val="left"/>
              <w:rPr>
                <w:rFonts w:hint="eastAsia" w:ascii="宋体" w:hAnsi="宋体" w:eastAsia="宋体" w:cs="Times New Roman"/>
                <w:szCs w:val="21"/>
              </w:rPr>
            </w:pPr>
            <w:r>
              <w:rPr>
                <w:rFonts w:hint="eastAsia" w:ascii="宋体" w:hAnsi="宋体" w:eastAsia="宋体" w:cs="Times New Roman"/>
                <w:szCs w:val="21"/>
              </w:rPr>
              <w:t>3. 形成实验室安全风险防范意识，能在实践中自觉遵守安全规范，具备初步的事故应急处置能力。</w:t>
            </w:r>
          </w:p>
        </w:tc>
        <w:tc>
          <w:tcPr>
            <w:tcW w:w="1292" w:type="dxa"/>
            <w:vAlign w:val="center"/>
          </w:tcPr>
          <w:p w14:paraId="6AF0D71B">
            <w:pPr>
              <w:jc w:val="left"/>
              <w:rPr>
                <w:rFonts w:hint="eastAsia" w:ascii="宋体" w:hAnsi="宋体" w:eastAsia="宋体" w:cs="Times New Roman"/>
                <w:szCs w:val="21"/>
              </w:rPr>
            </w:pPr>
            <w:r>
              <w:rPr>
                <w:rFonts w:hint="eastAsia" w:ascii="宋体" w:hAnsi="宋体" w:eastAsia="宋体" w:cs="Times New Roman"/>
                <w:szCs w:val="21"/>
              </w:rPr>
              <w:t>1.理论教学</w:t>
            </w:r>
          </w:p>
          <w:p w14:paraId="347923B7">
            <w:pPr>
              <w:jc w:val="left"/>
              <w:rPr>
                <w:rFonts w:hint="eastAsia" w:ascii="宋体" w:hAnsi="宋体" w:eastAsia="宋体" w:cs="Times New Roman"/>
                <w:szCs w:val="21"/>
              </w:rPr>
            </w:pPr>
            <w:r>
              <w:rPr>
                <w:rFonts w:hint="eastAsia" w:ascii="宋体" w:hAnsi="宋体" w:eastAsia="宋体" w:cs="Times New Roman"/>
                <w:szCs w:val="21"/>
              </w:rPr>
              <w:t>2.实操演练</w:t>
            </w:r>
          </w:p>
          <w:p w14:paraId="265BF587">
            <w:pPr>
              <w:jc w:val="left"/>
              <w:rPr>
                <w:rFonts w:hint="eastAsia" w:ascii="宋体" w:hAnsi="宋体" w:eastAsia="宋体" w:cs="Times New Roman"/>
                <w:szCs w:val="21"/>
              </w:rPr>
            </w:pPr>
            <w:r>
              <w:rPr>
                <w:rFonts w:hint="eastAsia" w:ascii="宋体" w:hAnsi="宋体" w:eastAsia="宋体" w:cs="Times New Roman"/>
                <w:szCs w:val="21"/>
              </w:rPr>
              <w:t>3.安全讲座</w:t>
            </w:r>
          </w:p>
        </w:tc>
        <w:tc>
          <w:tcPr>
            <w:tcW w:w="438" w:type="dxa"/>
            <w:vAlign w:val="center"/>
          </w:tcPr>
          <w:p w14:paraId="30E711E9">
            <w:pPr>
              <w:jc w:val="center"/>
              <w:rPr>
                <w:rFonts w:hint="eastAsia" w:ascii="宋体" w:hAnsi="宋体" w:eastAsia="宋体" w:cs="Times New Roman"/>
                <w:szCs w:val="21"/>
              </w:rPr>
            </w:pPr>
            <w:r>
              <w:rPr>
                <w:rFonts w:hint="eastAsia" w:ascii="宋体" w:hAnsi="宋体" w:eastAsia="宋体" w:cs="Times New Roman"/>
                <w:szCs w:val="21"/>
              </w:rPr>
              <w:t>2</w:t>
            </w:r>
          </w:p>
        </w:tc>
      </w:tr>
      <w:tr w14:paraId="04BE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3F76A91D">
            <w:pPr>
              <w:jc w:val="center"/>
              <w:rPr>
                <w:rFonts w:hint="eastAsia" w:ascii="宋体" w:hAnsi="宋体" w:eastAsia="宋体" w:cs="Times New Roman"/>
                <w:szCs w:val="21"/>
              </w:rPr>
            </w:pPr>
          </w:p>
        </w:tc>
        <w:tc>
          <w:tcPr>
            <w:tcW w:w="8297" w:type="dxa"/>
            <w:gridSpan w:val="5"/>
            <w:vAlign w:val="center"/>
          </w:tcPr>
          <w:p w14:paraId="46429E4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引导学生树立 “责任为先、规范操作” 的实验室安全理念，理解安全生产与科研伦理的辩证关系；通过实操演练强化规则意识与团队协作精神，自觉将安全规范内化为科研实践的基本准则，培养严谨细致、精益求精的科学态度。</w:t>
            </w:r>
          </w:p>
        </w:tc>
      </w:tr>
      <w:tr w14:paraId="593F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1BCD5531">
            <w:pPr>
              <w:pStyle w:val="6"/>
              <w:spacing w:line="240" w:lineRule="auto"/>
              <w:ind w:firstLine="0" w:firstLineChars="0"/>
              <w:rPr>
                <w:rFonts w:hint="eastAsia" w:ascii="宋体" w:hAnsi="宋体"/>
                <w:szCs w:val="21"/>
                <w:lang w:val="en-US"/>
              </w:rPr>
            </w:pPr>
            <w:r>
              <w:rPr>
                <w:rFonts w:hint="eastAsia" w:ascii="宋体" w:hAnsi="宋体"/>
                <w:szCs w:val="21"/>
                <w:lang w:val="en-US"/>
              </w:rPr>
              <w:t>3.</w:t>
            </w:r>
            <w:r>
              <w:rPr>
                <w:rFonts w:hint="eastAsia" w:ascii="宋体" w:hAnsi="宋体" w:cs="宋体"/>
                <w:szCs w:val="21"/>
              </w:rPr>
              <w:t>实验室危险化学品使用安全</w:t>
            </w:r>
            <w:r>
              <w:rPr>
                <w:rFonts w:hint="eastAsia" w:ascii="宋体" w:hAnsi="宋体" w:cs="宋体"/>
                <w:szCs w:val="21"/>
                <w:lang w:val="en-US"/>
              </w:rPr>
              <w:t>及</w:t>
            </w:r>
            <w:r>
              <w:rPr>
                <w:rFonts w:hint="eastAsia" w:ascii="宋体" w:hAnsi="宋体" w:cs="宋体"/>
                <w:szCs w:val="21"/>
              </w:rPr>
              <w:t>实验室电离辐射安全</w:t>
            </w:r>
          </w:p>
        </w:tc>
        <w:tc>
          <w:tcPr>
            <w:tcW w:w="2887" w:type="dxa"/>
            <w:vAlign w:val="center"/>
          </w:tcPr>
          <w:p w14:paraId="2F4A0322">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1</w:t>
            </w:r>
            <w:r>
              <w:rPr>
                <w:rFonts w:hint="eastAsia" w:ascii="宋体" w:hAnsi="宋体" w:cs="宋体"/>
                <w:szCs w:val="21"/>
              </w:rPr>
              <w:t>）危险化学品常识。</w:t>
            </w:r>
          </w:p>
          <w:p w14:paraId="4566EA05">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2</w:t>
            </w:r>
            <w:r>
              <w:rPr>
                <w:rFonts w:hint="eastAsia" w:ascii="宋体" w:hAnsi="宋体" w:cs="宋体"/>
                <w:szCs w:val="21"/>
              </w:rPr>
              <w:t>）危险化学品安全管理。</w:t>
            </w:r>
          </w:p>
          <w:p w14:paraId="182CA446">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3</w:t>
            </w:r>
            <w:r>
              <w:rPr>
                <w:rFonts w:hint="eastAsia" w:ascii="宋体" w:hAnsi="宋体" w:cs="宋体"/>
                <w:szCs w:val="21"/>
              </w:rPr>
              <w:t>）危险化学品防护措施。</w:t>
            </w:r>
          </w:p>
          <w:p w14:paraId="03A6DED6">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4</w:t>
            </w:r>
            <w:r>
              <w:rPr>
                <w:rFonts w:hint="eastAsia" w:ascii="宋体" w:hAnsi="宋体" w:cs="宋体"/>
                <w:szCs w:val="21"/>
              </w:rPr>
              <w:t>）危险化学品事故应急措施。</w:t>
            </w:r>
          </w:p>
          <w:p w14:paraId="33BF5D35">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5</w:t>
            </w:r>
            <w:r>
              <w:rPr>
                <w:rFonts w:hint="eastAsia" w:ascii="宋体" w:hAnsi="宋体" w:cs="宋体"/>
                <w:szCs w:val="21"/>
              </w:rPr>
              <w:t>）电离辐射安全常识。</w:t>
            </w:r>
          </w:p>
          <w:p w14:paraId="4F678D33">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6</w:t>
            </w:r>
            <w:r>
              <w:rPr>
                <w:rFonts w:hint="eastAsia" w:ascii="宋体" w:hAnsi="宋体" w:cs="宋体"/>
                <w:szCs w:val="21"/>
              </w:rPr>
              <w:t>）实验室电离辐射防护措施。</w:t>
            </w:r>
          </w:p>
          <w:p w14:paraId="52A0BA4A">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7</w:t>
            </w:r>
            <w:r>
              <w:rPr>
                <w:rFonts w:hint="eastAsia" w:ascii="宋体" w:hAnsi="宋体" w:cs="宋体"/>
                <w:szCs w:val="21"/>
              </w:rPr>
              <w:t>）电离辐射安全与防护管理。</w:t>
            </w:r>
          </w:p>
          <w:p w14:paraId="7B177DC6">
            <w:pPr>
              <w:jc w:val="left"/>
              <w:rPr>
                <w:rFonts w:hint="eastAsia" w:ascii="宋体" w:hAnsi="宋体" w:eastAsia="宋体" w:cs="Times New Roman"/>
                <w:szCs w:val="21"/>
              </w:rPr>
            </w:pPr>
            <w:r>
              <w:rPr>
                <w:rFonts w:hint="eastAsia" w:ascii="宋体" w:hAnsi="宋体" w:cs="宋体"/>
                <w:szCs w:val="21"/>
              </w:rPr>
              <w:t>（8）电离辐射事故应急措施。</w:t>
            </w:r>
          </w:p>
        </w:tc>
        <w:tc>
          <w:tcPr>
            <w:tcW w:w="1200" w:type="dxa"/>
            <w:vAlign w:val="center"/>
          </w:tcPr>
          <w:p w14:paraId="4F410D6A">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480" w:type="dxa"/>
            <w:vAlign w:val="center"/>
          </w:tcPr>
          <w:p w14:paraId="0DAC7859">
            <w:pPr>
              <w:jc w:val="left"/>
              <w:rPr>
                <w:rFonts w:hint="eastAsia" w:ascii="宋体" w:hAnsi="宋体" w:eastAsia="宋体" w:cs="Times New Roman"/>
                <w:szCs w:val="21"/>
              </w:rPr>
            </w:pPr>
            <w:r>
              <w:rPr>
                <w:rFonts w:hint="eastAsia" w:ascii="宋体" w:hAnsi="宋体" w:eastAsia="宋体" w:cs="Times New Roman"/>
                <w:szCs w:val="21"/>
              </w:rPr>
              <w:t>1. 了解危险化学品与电离辐射的基本特性及安全风险，掌握其安全管理与防护的核心知识；</w:t>
            </w:r>
          </w:p>
          <w:p w14:paraId="2C91A3D5">
            <w:pPr>
              <w:jc w:val="left"/>
              <w:rPr>
                <w:rFonts w:hint="eastAsia" w:ascii="宋体" w:hAnsi="宋体" w:eastAsia="宋体" w:cs="Times New Roman"/>
                <w:szCs w:val="21"/>
              </w:rPr>
            </w:pPr>
            <w:r>
              <w:rPr>
                <w:rFonts w:hint="eastAsia" w:ascii="宋体" w:hAnsi="宋体" w:eastAsia="宋体" w:cs="Times New Roman"/>
                <w:szCs w:val="21"/>
              </w:rPr>
              <w:t>2. 熟悉危险化学品与电离辐射事故的应急处理流程与操作技能；</w:t>
            </w:r>
          </w:p>
          <w:p w14:paraId="6A46F061">
            <w:pPr>
              <w:jc w:val="left"/>
              <w:rPr>
                <w:rFonts w:hint="eastAsia" w:ascii="宋体" w:hAnsi="宋体" w:eastAsia="宋体" w:cs="Times New Roman"/>
                <w:szCs w:val="21"/>
              </w:rPr>
            </w:pPr>
            <w:r>
              <w:rPr>
                <w:rFonts w:hint="eastAsia" w:ascii="宋体" w:hAnsi="宋体" w:eastAsia="宋体" w:cs="Times New Roman"/>
                <w:szCs w:val="21"/>
              </w:rPr>
              <w:t>3. 强化实验室安全责任意识，形成规范使用危险物品与防范辐射危害的行为习惯，具备风险预判与应急处理的能力。</w:t>
            </w:r>
          </w:p>
        </w:tc>
        <w:tc>
          <w:tcPr>
            <w:tcW w:w="1292" w:type="dxa"/>
            <w:vAlign w:val="center"/>
          </w:tcPr>
          <w:p w14:paraId="3E809673">
            <w:pPr>
              <w:jc w:val="left"/>
              <w:rPr>
                <w:rFonts w:hint="eastAsia" w:ascii="宋体" w:hAnsi="宋体" w:eastAsia="宋体" w:cs="Times New Roman"/>
                <w:szCs w:val="21"/>
              </w:rPr>
            </w:pPr>
            <w:r>
              <w:rPr>
                <w:rFonts w:hint="eastAsia" w:ascii="宋体" w:hAnsi="宋体" w:eastAsia="宋体" w:cs="Times New Roman"/>
                <w:szCs w:val="21"/>
              </w:rPr>
              <w:t>1.专题讲解</w:t>
            </w:r>
          </w:p>
          <w:p w14:paraId="6618921E">
            <w:pPr>
              <w:jc w:val="left"/>
              <w:rPr>
                <w:rFonts w:hint="eastAsia" w:ascii="宋体" w:hAnsi="宋体" w:eastAsia="宋体" w:cs="Times New Roman"/>
                <w:szCs w:val="21"/>
              </w:rPr>
            </w:pPr>
            <w:r>
              <w:rPr>
                <w:rFonts w:hint="eastAsia" w:ascii="宋体" w:hAnsi="宋体" w:eastAsia="宋体" w:cs="Times New Roman"/>
                <w:szCs w:val="21"/>
              </w:rPr>
              <w:t>2.模拟演练</w:t>
            </w:r>
          </w:p>
          <w:p w14:paraId="57AA68A8">
            <w:pPr>
              <w:jc w:val="left"/>
              <w:rPr>
                <w:rFonts w:hint="eastAsia" w:ascii="宋体" w:hAnsi="宋体" w:eastAsia="宋体" w:cs="Times New Roman"/>
                <w:szCs w:val="21"/>
              </w:rPr>
            </w:pPr>
            <w:r>
              <w:rPr>
                <w:rFonts w:hint="eastAsia" w:ascii="宋体" w:hAnsi="宋体" w:eastAsia="宋体" w:cs="Times New Roman"/>
                <w:szCs w:val="21"/>
              </w:rPr>
              <w:t>3.安全实训</w:t>
            </w:r>
          </w:p>
        </w:tc>
        <w:tc>
          <w:tcPr>
            <w:tcW w:w="438" w:type="dxa"/>
            <w:vAlign w:val="center"/>
          </w:tcPr>
          <w:p w14:paraId="3F7DD41E">
            <w:pPr>
              <w:jc w:val="center"/>
              <w:rPr>
                <w:rFonts w:hint="eastAsia" w:ascii="宋体" w:hAnsi="宋体" w:eastAsia="宋体" w:cs="Times New Roman"/>
                <w:szCs w:val="21"/>
              </w:rPr>
            </w:pPr>
            <w:r>
              <w:rPr>
                <w:rFonts w:hint="eastAsia" w:ascii="宋体" w:hAnsi="宋体" w:eastAsia="宋体" w:cs="Times New Roman"/>
                <w:szCs w:val="21"/>
              </w:rPr>
              <w:t>2</w:t>
            </w:r>
          </w:p>
        </w:tc>
      </w:tr>
      <w:tr w14:paraId="17A0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6BF8914F">
            <w:pPr>
              <w:jc w:val="center"/>
              <w:rPr>
                <w:rFonts w:hint="eastAsia" w:ascii="宋体" w:hAnsi="宋体" w:eastAsia="宋体" w:cs="Times New Roman"/>
                <w:szCs w:val="21"/>
              </w:rPr>
            </w:pPr>
          </w:p>
        </w:tc>
        <w:tc>
          <w:tcPr>
            <w:tcW w:w="8297" w:type="dxa"/>
            <w:gridSpan w:val="5"/>
            <w:vAlign w:val="center"/>
          </w:tcPr>
          <w:p w14:paraId="39EB6C2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使学生深刻认识危险化学品与电离辐射安全管理的法治内涵，树立 “科学防护、安全可控” 的风险治理理念；通过案例警示与安全实训，强化敬畏生命、遵守规范的职业素养，培养对自身、他人及社会负责的安全责任意识。</w:t>
            </w:r>
          </w:p>
        </w:tc>
      </w:tr>
      <w:tr w14:paraId="4C98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restart"/>
            <w:vAlign w:val="center"/>
          </w:tcPr>
          <w:p w14:paraId="0F4E48A6">
            <w:pPr>
              <w:pStyle w:val="6"/>
              <w:spacing w:line="240" w:lineRule="auto"/>
              <w:ind w:firstLine="0" w:firstLineChars="0"/>
              <w:rPr>
                <w:rFonts w:hint="eastAsia" w:ascii="宋体" w:hAnsi="宋体"/>
                <w:szCs w:val="21"/>
                <w:lang w:val="en-US"/>
              </w:rPr>
            </w:pPr>
            <w:r>
              <w:rPr>
                <w:rFonts w:hint="eastAsia" w:ascii="宋体" w:hAnsi="宋体"/>
                <w:szCs w:val="21"/>
                <w:lang w:val="en-US"/>
              </w:rPr>
              <w:t>4.</w:t>
            </w:r>
            <w:r>
              <w:rPr>
                <w:rFonts w:hint="eastAsia" w:ascii="宋体" w:hAnsi="宋体" w:cs="宋体"/>
                <w:szCs w:val="21"/>
              </w:rPr>
              <w:t>实验室特殊仪器设备使用</w:t>
            </w:r>
            <w:r>
              <w:rPr>
                <w:rFonts w:hint="eastAsia" w:ascii="宋体" w:hAnsi="宋体" w:cs="宋体"/>
                <w:szCs w:val="21"/>
                <w:lang w:val="en-US"/>
              </w:rPr>
              <w:t>安全及</w:t>
            </w:r>
            <w:r>
              <w:rPr>
                <w:rFonts w:hint="eastAsia" w:ascii="宋体" w:hAnsi="宋体" w:cs="宋体"/>
                <w:szCs w:val="21"/>
              </w:rPr>
              <w:t>实验室事故人员急救</w:t>
            </w:r>
          </w:p>
        </w:tc>
        <w:tc>
          <w:tcPr>
            <w:tcW w:w="2887" w:type="dxa"/>
            <w:vAlign w:val="center"/>
          </w:tcPr>
          <w:p w14:paraId="4945CA9E">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1</w:t>
            </w:r>
            <w:r>
              <w:rPr>
                <w:rFonts w:hint="eastAsia" w:ascii="宋体" w:hAnsi="宋体" w:cs="宋体"/>
                <w:szCs w:val="21"/>
              </w:rPr>
              <w:t>）高温、高压类仪器设备使用安全。</w:t>
            </w:r>
          </w:p>
          <w:p w14:paraId="157ADFB9">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2</w:t>
            </w:r>
            <w:r>
              <w:rPr>
                <w:rFonts w:hint="eastAsia" w:ascii="宋体" w:hAnsi="宋体" w:cs="宋体"/>
                <w:szCs w:val="21"/>
              </w:rPr>
              <w:t>）高速运转类设备使用安全。</w:t>
            </w:r>
          </w:p>
          <w:p w14:paraId="25E58B42">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3</w:t>
            </w:r>
            <w:r>
              <w:rPr>
                <w:rFonts w:hint="eastAsia" w:ascii="宋体" w:hAnsi="宋体" w:cs="宋体"/>
                <w:szCs w:val="21"/>
              </w:rPr>
              <w:t>）强场类仪器设备使用安全。</w:t>
            </w:r>
          </w:p>
          <w:p w14:paraId="721C2EA7">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4</w:t>
            </w:r>
            <w:r>
              <w:rPr>
                <w:rFonts w:hint="eastAsia" w:ascii="宋体" w:hAnsi="宋体" w:cs="宋体"/>
                <w:szCs w:val="21"/>
              </w:rPr>
              <w:t>）激光使用安全。</w:t>
            </w:r>
          </w:p>
          <w:p w14:paraId="3E36A80A">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5</w:t>
            </w:r>
            <w:r>
              <w:rPr>
                <w:rFonts w:hint="eastAsia" w:ascii="宋体" w:hAnsi="宋体" w:cs="宋体"/>
                <w:szCs w:val="21"/>
              </w:rPr>
              <w:t>）低温类实验安全。</w:t>
            </w:r>
          </w:p>
          <w:p w14:paraId="51D96CB6">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6</w:t>
            </w:r>
            <w:r>
              <w:rPr>
                <w:rFonts w:hint="eastAsia" w:ascii="宋体" w:hAnsi="宋体" w:cs="宋体"/>
                <w:szCs w:val="21"/>
              </w:rPr>
              <w:t>）实验室急救箱简介。</w:t>
            </w:r>
          </w:p>
          <w:p w14:paraId="1D2C5D3C">
            <w:pPr>
              <w:pStyle w:val="6"/>
              <w:spacing w:line="240" w:lineRule="auto"/>
              <w:ind w:firstLine="0" w:firstLineChars="0"/>
              <w:rPr>
                <w:rFonts w:hint="eastAsia" w:ascii="宋体" w:hAnsi="宋体" w:cs="宋体"/>
                <w:szCs w:val="21"/>
              </w:rPr>
            </w:pPr>
            <w:r>
              <w:rPr>
                <w:rFonts w:hint="eastAsia" w:ascii="宋体" w:hAnsi="宋体" w:cs="宋体"/>
                <w:szCs w:val="21"/>
              </w:rPr>
              <w:t>（</w:t>
            </w:r>
            <w:r>
              <w:rPr>
                <w:rFonts w:hint="eastAsia" w:ascii="宋体" w:hAnsi="宋体" w:cs="宋体"/>
                <w:szCs w:val="21"/>
                <w:lang w:val="en-US"/>
              </w:rPr>
              <w:t>7</w:t>
            </w:r>
            <w:r>
              <w:rPr>
                <w:rFonts w:hint="eastAsia" w:ascii="宋体" w:hAnsi="宋体" w:cs="宋体"/>
                <w:szCs w:val="21"/>
              </w:rPr>
              <w:t>）常见急救措施。</w:t>
            </w:r>
          </w:p>
          <w:p w14:paraId="4A01757A">
            <w:pPr>
              <w:pStyle w:val="6"/>
              <w:spacing w:line="240" w:lineRule="auto"/>
              <w:ind w:firstLine="0" w:firstLineChars="0"/>
              <w:rPr>
                <w:rFonts w:hint="eastAsia" w:ascii="宋体" w:hAnsi="宋体"/>
                <w:szCs w:val="21"/>
              </w:rPr>
            </w:pPr>
            <w:r>
              <w:rPr>
                <w:rFonts w:hint="eastAsia" w:ascii="宋体" w:hAnsi="宋体" w:cs="宋体"/>
                <w:szCs w:val="21"/>
              </w:rPr>
              <w:t>（</w:t>
            </w:r>
            <w:r>
              <w:rPr>
                <w:rFonts w:hint="eastAsia" w:ascii="宋体" w:hAnsi="宋体" w:cs="宋体"/>
                <w:szCs w:val="21"/>
                <w:lang w:val="en-US"/>
              </w:rPr>
              <w:t>8</w:t>
            </w:r>
            <w:r>
              <w:rPr>
                <w:rFonts w:hint="eastAsia" w:ascii="宋体" w:hAnsi="宋体" w:cs="宋体"/>
                <w:szCs w:val="21"/>
              </w:rPr>
              <w:t>）其他实验室事故急救措施。</w:t>
            </w:r>
          </w:p>
        </w:tc>
        <w:tc>
          <w:tcPr>
            <w:tcW w:w="1200" w:type="dxa"/>
            <w:vAlign w:val="center"/>
          </w:tcPr>
          <w:p w14:paraId="3504A961">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480" w:type="dxa"/>
            <w:vAlign w:val="center"/>
          </w:tcPr>
          <w:p w14:paraId="0EE2C2D6">
            <w:pPr>
              <w:jc w:val="left"/>
              <w:rPr>
                <w:rFonts w:hint="eastAsia" w:ascii="宋体" w:hAnsi="宋体" w:eastAsia="宋体" w:cs="Times New Roman"/>
                <w:szCs w:val="21"/>
              </w:rPr>
            </w:pPr>
            <w:r>
              <w:rPr>
                <w:rFonts w:hint="eastAsia" w:ascii="宋体" w:hAnsi="宋体" w:eastAsia="宋体" w:cs="Times New Roman"/>
                <w:szCs w:val="21"/>
              </w:rPr>
              <w:t>1. 掌握高温、高压、激光等特殊仪器设备的安全使用规范与操作要点；</w:t>
            </w:r>
          </w:p>
          <w:p w14:paraId="2C5941FE">
            <w:pPr>
              <w:jc w:val="left"/>
              <w:rPr>
                <w:rFonts w:hint="eastAsia" w:ascii="宋体" w:hAnsi="宋体" w:eastAsia="宋体" w:cs="Times New Roman"/>
                <w:szCs w:val="21"/>
              </w:rPr>
            </w:pPr>
            <w:r>
              <w:rPr>
                <w:rFonts w:hint="eastAsia" w:ascii="宋体" w:hAnsi="宋体" w:eastAsia="宋体" w:cs="Times New Roman"/>
                <w:szCs w:val="21"/>
              </w:rPr>
              <w:t>2. 熟悉实验室常见事故的急救措施，能正确使用急救箱等设备进行初步应急处理；</w:t>
            </w:r>
          </w:p>
          <w:p w14:paraId="7745743A">
            <w:pPr>
              <w:jc w:val="left"/>
              <w:rPr>
                <w:rFonts w:hint="eastAsia" w:ascii="宋体" w:hAnsi="宋体" w:eastAsia="宋体" w:cs="Times New Roman"/>
                <w:szCs w:val="21"/>
              </w:rPr>
            </w:pPr>
            <w:r>
              <w:rPr>
                <w:rFonts w:hint="eastAsia" w:ascii="宋体" w:hAnsi="宋体" w:eastAsia="宋体" w:cs="Times New Roman"/>
                <w:szCs w:val="21"/>
              </w:rPr>
              <w:t>3. 提升实验室安全操作技能与应急处置能力，培养严谨的安全态度与互助精神，形成科学应对设备安全事故的行为习惯。</w:t>
            </w:r>
          </w:p>
        </w:tc>
        <w:tc>
          <w:tcPr>
            <w:tcW w:w="1292" w:type="dxa"/>
            <w:vAlign w:val="center"/>
          </w:tcPr>
          <w:p w14:paraId="3E88D5CC">
            <w:pPr>
              <w:jc w:val="left"/>
              <w:rPr>
                <w:rFonts w:hint="eastAsia" w:ascii="宋体" w:hAnsi="宋体" w:eastAsia="宋体" w:cs="Times New Roman"/>
                <w:szCs w:val="21"/>
              </w:rPr>
            </w:pPr>
            <w:r>
              <w:rPr>
                <w:rFonts w:hint="eastAsia" w:ascii="宋体" w:hAnsi="宋体" w:eastAsia="宋体" w:cs="Times New Roman"/>
                <w:szCs w:val="21"/>
              </w:rPr>
              <w:t>1.设备演示</w:t>
            </w:r>
          </w:p>
          <w:p w14:paraId="227ECF59">
            <w:pPr>
              <w:jc w:val="left"/>
              <w:rPr>
                <w:rFonts w:hint="eastAsia" w:ascii="宋体" w:hAnsi="宋体" w:eastAsia="宋体" w:cs="Times New Roman"/>
                <w:szCs w:val="21"/>
              </w:rPr>
            </w:pPr>
            <w:r>
              <w:rPr>
                <w:rFonts w:hint="eastAsia" w:ascii="宋体" w:hAnsi="宋体" w:eastAsia="宋体" w:cs="Times New Roman"/>
                <w:szCs w:val="21"/>
              </w:rPr>
              <w:t>2.急救演练</w:t>
            </w:r>
          </w:p>
          <w:p w14:paraId="75E553CF">
            <w:pPr>
              <w:jc w:val="left"/>
              <w:rPr>
                <w:rFonts w:hint="eastAsia" w:ascii="宋体" w:hAnsi="宋体" w:eastAsia="宋体" w:cs="Times New Roman"/>
                <w:szCs w:val="21"/>
              </w:rPr>
            </w:pPr>
            <w:r>
              <w:rPr>
                <w:rFonts w:hint="eastAsia" w:ascii="宋体" w:hAnsi="宋体" w:eastAsia="宋体" w:cs="Times New Roman"/>
                <w:szCs w:val="21"/>
              </w:rPr>
              <w:t>3/分组实操</w:t>
            </w:r>
          </w:p>
        </w:tc>
        <w:tc>
          <w:tcPr>
            <w:tcW w:w="438" w:type="dxa"/>
            <w:vAlign w:val="center"/>
          </w:tcPr>
          <w:p w14:paraId="79CD1B2A">
            <w:pPr>
              <w:jc w:val="center"/>
              <w:rPr>
                <w:rFonts w:hint="eastAsia" w:ascii="宋体" w:hAnsi="宋体" w:eastAsia="宋体" w:cs="Times New Roman"/>
                <w:szCs w:val="21"/>
              </w:rPr>
            </w:pPr>
            <w:r>
              <w:rPr>
                <w:rFonts w:hint="eastAsia" w:ascii="宋体" w:hAnsi="宋体" w:eastAsia="宋体" w:cs="Times New Roman"/>
                <w:szCs w:val="21"/>
              </w:rPr>
              <w:t>2</w:t>
            </w:r>
          </w:p>
        </w:tc>
      </w:tr>
      <w:tr w14:paraId="0324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vMerge w:val="continue"/>
            <w:vAlign w:val="center"/>
          </w:tcPr>
          <w:p w14:paraId="024D31D8">
            <w:pPr>
              <w:jc w:val="center"/>
              <w:rPr>
                <w:rFonts w:hint="eastAsia" w:ascii="宋体" w:hAnsi="宋体" w:eastAsia="宋体" w:cs="Times New Roman"/>
                <w:szCs w:val="21"/>
              </w:rPr>
            </w:pPr>
          </w:p>
        </w:tc>
        <w:tc>
          <w:tcPr>
            <w:tcW w:w="8297" w:type="dxa"/>
            <w:gridSpan w:val="5"/>
            <w:vAlign w:val="center"/>
          </w:tcPr>
          <w:p w14:paraId="667DCCBC">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引导学生理解特殊仪器设备安全操作背后的人文关怀与生命伦理，树立 “精准操作、安全互助” 的科研安全观；通过急救技能训练，强化关爱他人、守护生命的责任意识，培养在危急时刻挺身而出的担当精神。</w:t>
            </w:r>
          </w:p>
        </w:tc>
      </w:tr>
    </w:tbl>
    <w:p w14:paraId="1FF8D675">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四、</w:t>
      </w:r>
      <w:r>
        <w:rPr>
          <w:rFonts w:hint="eastAsia" w:ascii="Times New Roman" w:hAnsi="Times New Roman" w:eastAsia="宋体" w:cs="Times New Roman"/>
          <w:b/>
          <w:sz w:val="24"/>
        </w:rPr>
        <w:t>目标评价与成绩评定</w:t>
      </w:r>
    </w:p>
    <w:p w14:paraId="2847FD5B">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CCF550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475"/>
        <w:gridCol w:w="1475"/>
        <w:gridCol w:w="1475"/>
        <w:gridCol w:w="1478"/>
        <w:gridCol w:w="1335"/>
      </w:tblGrid>
      <w:tr w14:paraId="424F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0" w:type="auto"/>
            <w:vMerge w:val="restart"/>
            <w:vAlign w:val="center"/>
          </w:tcPr>
          <w:p w14:paraId="68FE375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903" w:type="dxa"/>
            <w:gridSpan w:val="4"/>
            <w:vAlign w:val="center"/>
          </w:tcPr>
          <w:p w14:paraId="7B9D4B22">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335" w:type="dxa"/>
            <w:vMerge w:val="restart"/>
            <w:vAlign w:val="center"/>
          </w:tcPr>
          <w:p w14:paraId="5C584B57">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3152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0" w:type="auto"/>
            <w:vMerge w:val="continue"/>
            <w:vAlign w:val="center"/>
          </w:tcPr>
          <w:p w14:paraId="71F1B52F">
            <w:pPr>
              <w:spacing w:line="360" w:lineRule="auto"/>
              <w:jc w:val="center"/>
              <w:rPr>
                <w:rFonts w:hint="eastAsia" w:ascii="宋体" w:hAnsi="宋体" w:eastAsia="宋体" w:cs="Times New Roman"/>
                <w:szCs w:val="21"/>
              </w:rPr>
            </w:pPr>
          </w:p>
        </w:tc>
        <w:tc>
          <w:tcPr>
            <w:tcW w:w="1475" w:type="dxa"/>
            <w:vAlign w:val="center"/>
          </w:tcPr>
          <w:p w14:paraId="60C0D052">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475" w:type="dxa"/>
            <w:vAlign w:val="center"/>
          </w:tcPr>
          <w:p w14:paraId="6004CA8E">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1475" w:type="dxa"/>
            <w:vAlign w:val="center"/>
          </w:tcPr>
          <w:p w14:paraId="32DB9196">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1478" w:type="dxa"/>
            <w:vAlign w:val="center"/>
          </w:tcPr>
          <w:p w14:paraId="2C6D05D4">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335" w:type="dxa"/>
            <w:vMerge w:val="continue"/>
            <w:vAlign w:val="center"/>
          </w:tcPr>
          <w:p w14:paraId="6D8563CA">
            <w:pPr>
              <w:spacing w:line="360" w:lineRule="auto"/>
              <w:jc w:val="center"/>
              <w:rPr>
                <w:rFonts w:hint="eastAsia" w:ascii="宋体" w:hAnsi="宋体" w:eastAsia="宋体" w:cs="Times New Roman"/>
                <w:szCs w:val="21"/>
              </w:rPr>
            </w:pPr>
          </w:p>
        </w:tc>
      </w:tr>
      <w:tr w14:paraId="52AE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0" w:type="auto"/>
            <w:vAlign w:val="center"/>
          </w:tcPr>
          <w:p w14:paraId="384A768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75" w:type="dxa"/>
            <w:vAlign w:val="center"/>
          </w:tcPr>
          <w:p w14:paraId="1BB0F21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6E44B4F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5CDF930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8" w:type="dxa"/>
            <w:vAlign w:val="center"/>
          </w:tcPr>
          <w:p w14:paraId="0817E34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5" w:type="dxa"/>
            <w:vAlign w:val="center"/>
          </w:tcPr>
          <w:p w14:paraId="17773167">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6E1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0" w:type="auto"/>
            <w:vAlign w:val="center"/>
          </w:tcPr>
          <w:p w14:paraId="1CC5AF6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75" w:type="dxa"/>
            <w:vAlign w:val="center"/>
          </w:tcPr>
          <w:p w14:paraId="66E6A73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39A97D3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36355C1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8" w:type="dxa"/>
            <w:vAlign w:val="center"/>
          </w:tcPr>
          <w:p w14:paraId="381B495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5" w:type="dxa"/>
            <w:vAlign w:val="center"/>
          </w:tcPr>
          <w:p w14:paraId="09D90D56">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7444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0" w:type="auto"/>
            <w:vAlign w:val="center"/>
          </w:tcPr>
          <w:p w14:paraId="6C3ABD5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475" w:type="dxa"/>
            <w:vAlign w:val="center"/>
          </w:tcPr>
          <w:p w14:paraId="247E5F44">
            <w:pPr>
              <w:spacing w:line="360" w:lineRule="auto"/>
              <w:jc w:val="center"/>
              <w:rPr>
                <w:rFonts w:hint="eastAsia" w:ascii="宋体" w:hAnsi="宋体" w:eastAsia="宋体" w:cs="Times New Roman"/>
                <w:szCs w:val="21"/>
              </w:rPr>
            </w:pPr>
          </w:p>
        </w:tc>
        <w:tc>
          <w:tcPr>
            <w:tcW w:w="1475" w:type="dxa"/>
            <w:vAlign w:val="center"/>
          </w:tcPr>
          <w:p w14:paraId="1F19711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5" w:type="dxa"/>
            <w:vAlign w:val="center"/>
          </w:tcPr>
          <w:p w14:paraId="2E13905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78" w:type="dxa"/>
            <w:vAlign w:val="center"/>
          </w:tcPr>
          <w:p w14:paraId="3F941F8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5" w:type="dxa"/>
            <w:vAlign w:val="center"/>
          </w:tcPr>
          <w:p w14:paraId="308B8A44">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604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0" w:type="auto"/>
            <w:vAlign w:val="center"/>
          </w:tcPr>
          <w:p w14:paraId="73A4C23D">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75" w:type="dxa"/>
            <w:vAlign w:val="center"/>
          </w:tcPr>
          <w:p w14:paraId="12BC9047">
            <w:pPr>
              <w:spacing w:line="360" w:lineRule="auto"/>
              <w:jc w:val="center"/>
              <w:rPr>
                <w:rFonts w:hint="eastAsia" w:ascii="宋体" w:hAnsi="宋体" w:eastAsia="宋体" w:cs="Times New Roman"/>
                <w:szCs w:val="21"/>
              </w:rPr>
            </w:pPr>
          </w:p>
        </w:tc>
        <w:tc>
          <w:tcPr>
            <w:tcW w:w="1475" w:type="dxa"/>
            <w:vAlign w:val="center"/>
          </w:tcPr>
          <w:p w14:paraId="66F7BFD8">
            <w:pPr>
              <w:spacing w:line="360" w:lineRule="auto"/>
              <w:jc w:val="center"/>
              <w:rPr>
                <w:rFonts w:hint="eastAsia" w:ascii="宋体" w:hAnsi="宋体" w:eastAsia="宋体" w:cs="Times New Roman"/>
                <w:szCs w:val="21"/>
              </w:rPr>
            </w:pPr>
          </w:p>
        </w:tc>
        <w:tc>
          <w:tcPr>
            <w:tcW w:w="1475" w:type="dxa"/>
            <w:vAlign w:val="center"/>
          </w:tcPr>
          <w:p w14:paraId="4987A952">
            <w:pPr>
              <w:spacing w:line="360" w:lineRule="auto"/>
              <w:jc w:val="center"/>
              <w:rPr>
                <w:rFonts w:hint="eastAsia" w:ascii="宋体" w:hAnsi="宋体" w:eastAsia="宋体" w:cs="Times New Roman"/>
                <w:szCs w:val="21"/>
              </w:rPr>
            </w:pPr>
          </w:p>
        </w:tc>
        <w:tc>
          <w:tcPr>
            <w:tcW w:w="1478" w:type="dxa"/>
            <w:vAlign w:val="center"/>
          </w:tcPr>
          <w:p w14:paraId="74777F2F">
            <w:pPr>
              <w:spacing w:line="360" w:lineRule="auto"/>
              <w:jc w:val="center"/>
              <w:rPr>
                <w:rFonts w:hint="eastAsia" w:ascii="宋体" w:hAnsi="宋体" w:eastAsia="宋体" w:cs="Times New Roman"/>
                <w:szCs w:val="21"/>
              </w:rPr>
            </w:pPr>
          </w:p>
        </w:tc>
        <w:tc>
          <w:tcPr>
            <w:tcW w:w="1335" w:type="dxa"/>
            <w:vAlign w:val="center"/>
          </w:tcPr>
          <w:p w14:paraId="27572A75">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08643533">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759A0A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172"/>
        <w:gridCol w:w="709"/>
      </w:tblGrid>
      <w:tr w14:paraId="09BF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678" w:type="dxa"/>
            <w:vAlign w:val="center"/>
          </w:tcPr>
          <w:p w14:paraId="1474BFD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72" w:type="dxa"/>
            <w:vAlign w:val="center"/>
          </w:tcPr>
          <w:p w14:paraId="5DF09C8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2B0F54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4B5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678" w:type="dxa"/>
            <w:vAlign w:val="center"/>
          </w:tcPr>
          <w:p w14:paraId="1017FF77">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72" w:type="dxa"/>
            <w:vAlign w:val="center"/>
          </w:tcPr>
          <w:p w14:paraId="03B038F9">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A86598A">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2F25B5A3">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4237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678" w:type="dxa"/>
            <w:vAlign w:val="center"/>
          </w:tcPr>
          <w:p w14:paraId="6312B8C7">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72" w:type="dxa"/>
            <w:vAlign w:val="center"/>
          </w:tcPr>
          <w:p w14:paraId="60479A02">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每单元在线上进行测验，主要考查基础知识和基本理论的掌握，以题目的正确率为得分依据。</w:t>
            </w:r>
          </w:p>
        </w:tc>
        <w:tc>
          <w:tcPr>
            <w:tcW w:w="0" w:type="auto"/>
            <w:vAlign w:val="center"/>
          </w:tcPr>
          <w:p w14:paraId="35EC3843">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4F7F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678" w:type="dxa"/>
            <w:vAlign w:val="center"/>
          </w:tcPr>
          <w:p w14:paraId="59DEDB79">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72" w:type="dxa"/>
            <w:vAlign w:val="center"/>
          </w:tcPr>
          <w:p w14:paraId="5596843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0A5A912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529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678" w:type="dxa"/>
            <w:vAlign w:val="center"/>
          </w:tcPr>
          <w:p w14:paraId="7275BFBD">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72" w:type="dxa"/>
            <w:vAlign w:val="center"/>
          </w:tcPr>
          <w:p w14:paraId="2A49AAC6">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教育基本理论和知识型题目占3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%；考核学生运用基本理论知识进行分析能力的题型占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%；考核学生运用学与教的基本理论和知识进行教学设计的题型占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%；考核学生初步研究能力的题型占1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6729442C">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6901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Align w:val="center"/>
          </w:tcPr>
          <w:p w14:paraId="07017CC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F1D80B7">
            <w:pPr>
              <w:jc w:val="left"/>
              <w:rPr>
                <w:rFonts w:ascii="Times New Roman" w:hAnsi="Times New Roman" w:eastAsia="宋体" w:cs="Times New Roman"/>
                <w:szCs w:val="21"/>
              </w:rPr>
            </w:pPr>
          </w:p>
        </w:tc>
        <w:tc>
          <w:tcPr>
            <w:tcW w:w="0" w:type="auto"/>
            <w:vAlign w:val="center"/>
          </w:tcPr>
          <w:p w14:paraId="09DFC7D2">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AA01311">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6A086F41">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0A10905">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34" o:spt="75" type="#_x0000_t75" style="height:24.8pt;width:404.45pt;" o:ole="t" filled="f" o:preferrelative="t" stroked="f" coordsize="21600,21600">
            <v:path/>
            <v:fill on="f" focussize="0,0"/>
            <v:stroke on="f" joinstyle="miter"/>
            <v:imagedata r:id="rId12" o:title=""/>
            <o:lock v:ext="edit" aspectratio="t"/>
            <w10:wrap type="none"/>
            <w10:anchorlock/>
          </v:shape>
          <o:OLEObject Type="Embed" ProgID="Equation.3" ShapeID="_x0000_i1034" DrawAspect="Content" ObjectID="_1468075734" r:id="rId21">
            <o:LockedField>false</o:LockedField>
          </o:OLEObject>
        </w:object>
      </w:r>
      <w:r>
        <w:rPr>
          <w:rFonts w:hint="eastAsia" w:ascii="Times New Roman" w:hAnsi="Times New Roman" w:eastAsia="宋体" w:cs="Times New Roman"/>
          <w:b/>
          <w:sz w:val="24"/>
        </w:rPr>
        <w:t>五、有关说明</w:t>
      </w:r>
    </w:p>
    <w:p w14:paraId="1CE4010D">
      <w:pPr>
        <w:spacing w:line="360" w:lineRule="auto"/>
        <w:rPr>
          <w:rFonts w:hint="eastAsia" w:ascii="宋体" w:hAnsi="宋体" w:eastAsia="宋体" w:cs="宋体"/>
          <w:b/>
          <w:szCs w:val="21"/>
        </w:rPr>
      </w:pPr>
      <w:r>
        <w:rPr>
          <w:rFonts w:hint="eastAsia" w:ascii="宋体" w:hAnsi="宋体" w:eastAsia="宋体" w:cs="宋体"/>
          <w:b/>
          <w:sz w:val="24"/>
        </w:rPr>
        <w:t xml:space="preserve">  </w:t>
      </w:r>
      <w:r>
        <w:rPr>
          <w:rFonts w:hint="eastAsia" w:ascii="宋体" w:hAnsi="宋体" w:eastAsia="宋体" w:cs="宋体"/>
          <w:b/>
          <w:szCs w:val="21"/>
        </w:rPr>
        <w:t xml:space="preserve"> （一）参考书目</w:t>
      </w:r>
    </w:p>
    <w:p w14:paraId="72090957">
      <w:pPr>
        <w:pStyle w:val="6"/>
        <w:ind w:firstLine="630" w:firstLineChars="300"/>
        <w:rPr>
          <w:rFonts w:hint="eastAsia" w:ascii="宋体" w:hAnsi="宋体" w:cs="宋体"/>
          <w:szCs w:val="21"/>
        </w:rPr>
      </w:pPr>
      <w:r>
        <w:rPr>
          <w:rFonts w:hint="eastAsia" w:ascii="宋体" w:hAnsi="宋体" w:cs="宋体"/>
          <w:szCs w:val="21"/>
        </w:rPr>
        <w:t>1.江苏省教育厅编，《江苏省大学生安全知识竞赛题库》。</w:t>
      </w:r>
    </w:p>
    <w:p w14:paraId="5FB84298">
      <w:pPr>
        <w:pStyle w:val="6"/>
        <w:ind w:firstLine="630" w:firstLineChars="300"/>
        <w:rPr>
          <w:rFonts w:hint="eastAsia" w:ascii="宋体" w:hAnsi="宋体" w:cs="宋体"/>
          <w:szCs w:val="21"/>
        </w:rPr>
      </w:pPr>
      <w:r>
        <w:rPr>
          <w:rFonts w:hint="eastAsia" w:ascii="宋体" w:hAnsi="宋体" w:cs="宋体"/>
          <w:szCs w:val="21"/>
        </w:rPr>
        <w:t>2.王威、呼东燕、高巍、潘洪涛，《大学生安全教育》，清华大学出版社，2017年第一版。</w:t>
      </w:r>
    </w:p>
    <w:p w14:paraId="3ADFA1F4">
      <w:pPr>
        <w:pStyle w:val="6"/>
        <w:ind w:firstLine="630" w:firstLineChars="300"/>
        <w:rPr>
          <w:rFonts w:hint="eastAsia" w:ascii="宋体" w:hAnsi="宋体" w:cs="宋体"/>
          <w:szCs w:val="21"/>
        </w:rPr>
      </w:pPr>
      <w:r>
        <w:rPr>
          <w:rFonts w:hint="eastAsia" w:ascii="宋体" w:hAnsi="宋体" w:cs="宋体"/>
          <w:szCs w:val="21"/>
        </w:rPr>
        <w:t>3.王传虎，吕思斌，《实验室安全知识手册》，安徽大学出版社，2018年第一版。</w:t>
      </w:r>
    </w:p>
    <w:p w14:paraId="3054D439">
      <w:pPr>
        <w:pStyle w:val="6"/>
        <w:ind w:firstLine="630" w:firstLineChars="300"/>
        <w:rPr>
          <w:rFonts w:hint="eastAsia" w:ascii="宋体" w:hAnsi="宋体" w:cs="宋体"/>
          <w:szCs w:val="21"/>
        </w:rPr>
      </w:pPr>
      <w:r>
        <w:rPr>
          <w:rFonts w:hint="eastAsia" w:ascii="宋体" w:hAnsi="宋体" w:cs="宋体"/>
          <w:szCs w:val="21"/>
        </w:rPr>
        <w:t>4.张才，《高校实验室安全准入教育》，南京大学出版社黄凯，2019年第一版。</w:t>
      </w:r>
    </w:p>
    <w:p w14:paraId="415E6C98">
      <w:pPr>
        <w:pStyle w:val="6"/>
        <w:ind w:firstLine="630" w:firstLineChars="300"/>
        <w:rPr>
          <w:rFonts w:hint="eastAsia" w:ascii="宋体" w:hAnsi="宋体" w:cs="宋体"/>
          <w:szCs w:val="21"/>
        </w:rPr>
      </w:pPr>
      <w:r>
        <w:rPr>
          <w:rFonts w:hint="eastAsia" w:ascii="宋体" w:hAnsi="宋体" w:cs="宋体"/>
          <w:szCs w:val="21"/>
        </w:rPr>
        <w:t>5.秦静，《</w:t>
      </w:r>
      <w:bookmarkStart w:id="311" w:name="itemlist-title"/>
      <w:r>
        <w:rPr>
          <w:rFonts w:hint="eastAsia" w:ascii="宋体" w:hAnsi="宋体" w:cs="宋体"/>
          <w:szCs w:val="21"/>
        </w:rPr>
        <w:t>危险化学品和化学实验室安全教育读本</w:t>
      </w:r>
      <w:bookmarkEnd w:id="311"/>
      <w:r>
        <w:rPr>
          <w:rFonts w:hint="eastAsia" w:ascii="宋体" w:hAnsi="宋体" w:cs="宋体"/>
          <w:szCs w:val="21"/>
        </w:rPr>
        <w:t>》，化学工业出版社，2018年第一版。</w:t>
      </w:r>
    </w:p>
    <w:p w14:paraId="5E78CD8C">
      <w:pPr>
        <w:pStyle w:val="6"/>
        <w:ind w:firstLine="630" w:firstLineChars="300"/>
        <w:rPr>
          <w:rFonts w:hint="eastAsia" w:ascii="宋体" w:hAnsi="宋体" w:cs="宋体"/>
          <w:szCs w:val="21"/>
        </w:rPr>
      </w:pPr>
      <w:r>
        <w:rPr>
          <w:rFonts w:hint="eastAsia" w:ascii="宋体" w:hAnsi="宋体" w:cs="宋体"/>
          <w:szCs w:val="21"/>
        </w:rPr>
        <w:t>6.姜文凤、刘志广，《化学实验室安全基础》，高等教育出版社，2019年第一版。</w:t>
      </w:r>
    </w:p>
    <w:p w14:paraId="5B7254E4">
      <w:pPr>
        <w:spacing w:line="360" w:lineRule="auto"/>
        <w:ind w:firstLine="420" w:firstLineChars="200"/>
        <w:rPr>
          <w:rFonts w:hint="eastAsia" w:ascii="宋体" w:hAnsi="宋体" w:eastAsia="宋体" w:cs="宋体"/>
          <w:bCs/>
          <w:szCs w:val="21"/>
        </w:rPr>
      </w:pPr>
    </w:p>
    <w:p w14:paraId="4C2F9149">
      <w:pPr>
        <w:spacing w:line="360" w:lineRule="auto"/>
        <w:ind w:firstLine="480" w:firstLineChars="200"/>
        <w:rPr>
          <w:rFonts w:hint="eastAsia" w:ascii="宋体" w:hAnsi="宋体" w:eastAsia="宋体" w:cs="宋体"/>
          <w:bCs/>
          <w:sz w:val="24"/>
        </w:rPr>
      </w:pPr>
    </w:p>
    <w:p w14:paraId="57E56AEB">
      <w:pPr>
        <w:autoSpaceDE w:val="0"/>
        <w:autoSpaceDN w:val="0"/>
        <w:adjustRightInd w:val="0"/>
        <w:spacing w:line="360" w:lineRule="auto"/>
        <w:ind w:firstLine="4620" w:firstLineChars="2200"/>
        <w:jc w:val="right"/>
        <w:rPr>
          <w:rFonts w:hint="eastAsia" w:ascii="宋体" w:hAnsi="宋体" w:eastAsia="宋体" w:cs="Times New Roman"/>
          <w:kern w:val="0"/>
          <w:szCs w:val="18"/>
        </w:rPr>
      </w:pPr>
      <w:r>
        <w:rPr>
          <w:rFonts w:hint="eastAsia" w:ascii="宋体" w:hAnsi="宋体" w:eastAsia="宋体" w:cs="Times New Roman"/>
          <w:kern w:val="0"/>
          <w:szCs w:val="18"/>
        </w:rPr>
        <w:t>执笔人：王鲲鹏 朱庆伟</w:t>
      </w:r>
    </w:p>
    <w:p w14:paraId="1743AB91">
      <w:pPr>
        <w:autoSpaceDE w:val="0"/>
        <w:autoSpaceDN w:val="0"/>
        <w:adjustRightInd w:val="0"/>
        <w:spacing w:line="360" w:lineRule="auto"/>
        <w:ind w:firstLine="4620" w:firstLineChars="2200"/>
        <w:jc w:val="center"/>
        <w:rPr>
          <w:rFonts w:hint="eastAsia" w:ascii="宋体" w:hAnsi="宋体" w:eastAsia="宋体" w:cs="Times New Roman"/>
          <w:kern w:val="0"/>
          <w:szCs w:val="18"/>
        </w:rPr>
      </w:pPr>
      <w:r>
        <w:rPr>
          <w:rFonts w:hint="eastAsia" w:ascii="宋体" w:hAnsi="宋体" w:eastAsia="宋体" w:cs="Times New Roman"/>
          <w:kern w:val="0"/>
          <w:szCs w:val="18"/>
        </w:rPr>
        <w:t xml:space="preserve">       审定人：王  健</w:t>
      </w:r>
    </w:p>
    <w:p w14:paraId="1A198643">
      <w:pPr>
        <w:autoSpaceDE w:val="0"/>
        <w:autoSpaceDN w:val="0"/>
        <w:adjustRightInd w:val="0"/>
        <w:spacing w:line="360" w:lineRule="auto"/>
        <w:ind w:firstLine="4620" w:firstLineChars="2200"/>
        <w:jc w:val="center"/>
        <w:rPr>
          <w:rFonts w:hint="eastAsia" w:ascii="宋体" w:hAnsi="宋体" w:eastAsia="宋体" w:cs="Times New Roman"/>
          <w:kern w:val="0"/>
          <w:szCs w:val="18"/>
        </w:rPr>
      </w:pPr>
      <w:r>
        <w:rPr>
          <w:rFonts w:hint="eastAsia" w:ascii="宋体" w:hAnsi="宋体" w:eastAsia="宋体" w:cs="Times New Roman"/>
          <w:kern w:val="0"/>
          <w:szCs w:val="18"/>
        </w:rPr>
        <w:t xml:space="preserve">       审批人：张志欣</w:t>
      </w:r>
    </w:p>
    <w:p w14:paraId="60406EBC">
      <w:pPr>
        <w:autoSpaceDE w:val="0"/>
        <w:autoSpaceDN w:val="0"/>
        <w:adjustRightInd w:val="0"/>
        <w:spacing w:line="360" w:lineRule="auto"/>
        <w:ind w:firstLine="4620" w:firstLineChars="2200"/>
        <w:jc w:val="right"/>
        <w:rPr>
          <w:rFonts w:hint="eastAsia" w:ascii="宋体" w:hAnsi="宋体" w:eastAsia="宋体" w:cs="Times New Roman"/>
          <w:kern w:val="0"/>
          <w:szCs w:val="18"/>
        </w:rPr>
      </w:pPr>
      <w:r>
        <w:rPr>
          <w:rFonts w:hint="eastAsia" w:ascii="宋体" w:hAnsi="宋体" w:eastAsia="宋体" w:cs="Times New Roman"/>
          <w:kern w:val="0"/>
          <w:szCs w:val="18"/>
        </w:rPr>
        <w:t>批准时间：2025年7月1日</w:t>
      </w:r>
    </w:p>
    <w:p w14:paraId="22E51D8E">
      <w:pPr>
        <w:jc w:val="right"/>
        <w:rPr>
          <w:rFonts w:eastAsia="黑体"/>
          <w:bCs/>
          <w:sz w:val="44"/>
        </w:rPr>
      </w:pPr>
      <w:r>
        <w:rPr>
          <w:rFonts w:hint="eastAsia" w:eastAsia="黑体"/>
          <w:bCs/>
          <w:sz w:val="44"/>
        </w:rPr>
        <w:br w:type="page"/>
      </w:r>
    </w:p>
    <w:p w14:paraId="4AABA2B5">
      <w:pPr>
        <w:spacing w:line="360" w:lineRule="auto"/>
        <w:jc w:val="center"/>
        <w:outlineLvl w:val="0"/>
        <w:rPr>
          <w:rFonts w:ascii="Times New Roman" w:hAnsi="Times New Roman" w:eastAsia="宋体" w:cs="Times New Roman"/>
          <w:b/>
          <w:sz w:val="44"/>
          <w:szCs w:val="44"/>
        </w:rPr>
      </w:pPr>
      <w:bookmarkStart w:id="312" w:name="_Toc22093"/>
      <w:r>
        <w:rPr>
          <w:rFonts w:hint="eastAsia" w:ascii="Times New Roman" w:hAnsi="Times New Roman" w:eastAsia="宋体" w:cs="Times New Roman"/>
          <w:b/>
          <w:sz w:val="44"/>
          <w:szCs w:val="44"/>
        </w:rPr>
        <w:t>《实验室安全教育》课程教学大纲</w:t>
      </w:r>
      <w:bookmarkEnd w:id="312"/>
    </w:p>
    <w:p w14:paraId="358DD697">
      <w:pPr>
        <w:spacing w:line="360" w:lineRule="auto"/>
        <w:jc w:val="center"/>
        <w:rPr>
          <w:rFonts w:ascii="Times New Roman" w:hAnsi="Times New Roman" w:eastAsia="宋体" w:cs="Times New Roman"/>
          <w:b/>
          <w:bCs/>
          <w:sz w:val="28"/>
          <w:szCs w:val="28"/>
        </w:rPr>
      </w:pPr>
      <w:r>
        <w:rPr>
          <w:rFonts w:ascii="Times New Roman" w:hAnsi="Times New Roman" w:eastAsia="宋体" w:cs="Times New Roman"/>
          <w:b/>
          <w:bCs/>
          <w:sz w:val="28"/>
          <w:szCs w:val="28"/>
        </w:rPr>
        <w:t>（Laboratory Safety education）</w:t>
      </w:r>
    </w:p>
    <w:p w14:paraId="1D6E3AB8">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课程名称：实验室安全教育</w:t>
      </w:r>
    </w:p>
    <w:p w14:paraId="28CF72D9">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课程代码：0000011</w:t>
      </w:r>
    </w:p>
    <w:p w14:paraId="3975A5AE">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学    分：0.5</w:t>
      </w:r>
    </w:p>
    <w:p w14:paraId="7161DC8C">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学    时：8（</w:t>
      </w:r>
      <w:r>
        <w:rPr>
          <w:rFonts w:hint="eastAsia" w:eastAsia="仿宋_GB2312"/>
          <w:bCs/>
          <w:sz w:val="24"/>
        </w:rPr>
        <w:t>自学不少于</w:t>
      </w:r>
      <w:r>
        <w:rPr>
          <w:rFonts w:eastAsia="仿宋_GB2312"/>
          <w:bCs/>
          <w:sz w:val="24"/>
        </w:rPr>
        <w:t>8</w:t>
      </w:r>
      <w:r>
        <w:rPr>
          <w:rFonts w:hint="eastAsia" w:eastAsia="仿宋_GB2312"/>
          <w:bCs/>
          <w:sz w:val="24"/>
        </w:rPr>
        <w:t>学时</w:t>
      </w:r>
      <w:r>
        <w:rPr>
          <w:rFonts w:hint="eastAsia" w:ascii="宋体" w:hAnsi="宋体" w:eastAsia="宋体" w:cs="宋体"/>
          <w:b/>
          <w:sz w:val="24"/>
        </w:rPr>
        <w:t>）</w:t>
      </w:r>
    </w:p>
    <w:p w14:paraId="5256ECFB">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先修课程：无</w:t>
      </w:r>
    </w:p>
    <w:p w14:paraId="6BCE386A">
      <w:pPr>
        <w:spacing w:line="360" w:lineRule="auto"/>
        <w:ind w:firstLine="434" w:firstLineChars="180"/>
        <w:rPr>
          <w:rFonts w:hint="eastAsia" w:ascii="宋体" w:hAnsi="宋体" w:eastAsia="宋体" w:cs="宋体"/>
          <w:b/>
          <w:sz w:val="24"/>
        </w:rPr>
      </w:pPr>
      <w:r>
        <w:rPr>
          <w:rFonts w:hint="eastAsia" w:ascii="宋体" w:hAnsi="宋体" w:eastAsia="宋体" w:cs="宋体"/>
          <w:b/>
          <w:sz w:val="24"/>
        </w:rPr>
        <w:t>适用专业：全校所有专业</w:t>
      </w:r>
    </w:p>
    <w:p w14:paraId="6157358A">
      <w:pPr>
        <w:ind w:firstLine="379" w:firstLineChars="180"/>
        <w:rPr>
          <w:rFonts w:hint="eastAsia" w:ascii="宋体" w:hAnsi="宋体" w:eastAsia="宋体" w:cs="宋体"/>
          <w:b/>
          <w:szCs w:val="21"/>
        </w:rPr>
      </w:pPr>
    </w:p>
    <w:p w14:paraId="69ADD2DC">
      <w:pPr>
        <w:spacing w:line="360" w:lineRule="auto"/>
        <w:ind w:firstLine="378" w:firstLineChars="180"/>
        <w:rPr>
          <w:rFonts w:ascii="Calibri" w:hAnsi="Calibri" w:eastAsia="宋体" w:cs="Times New Roman"/>
          <w:szCs w:val="21"/>
        </w:rPr>
      </w:pPr>
      <w:r>
        <w:rPr>
          <w:rFonts w:hint="eastAsia" w:ascii="Times New Roman" w:hAnsi="Times New Roman" w:eastAsia="黑体" w:cs="Times New Roman"/>
          <w:bCs/>
          <w:szCs w:val="21"/>
        </w:rPr>
        <w:t>一、课程简介</w:t>
      </w:r>
    </w:p>
    <w:p w14:paraId="4C7F390F">
      <w:pPr>
        <w:spacing w:line="360" w:lineRule="auto"/>
        <w:ind w:firstLine="420" w:firstLineChars="200"/>
        <w:rPr>
          <w:rFonts w:ascii="Calibri" w:hAnsi="Calibri" w:eastAsia="宋体" w:cs="Times New Roman"/>
          <w:szCs w:val="21"/>
        </w:rPr>
      </w:pPr>
      <w:r>
        <w:rPr>
          <w:rFonts w:hint="eastAsia" w:ascii="Calibri" w:hAnsi="Calibri" w:eastAsia="宋体" w:cs="Times New Roman"/>
          <w:bCs/>
          <w:szCs w:val="21"/>
        </w:rPr>
        <w:t>《实验室安全教育》是我校面向全体大一学生开设的一门公共基础必修课程，是学生掌握实验室安全知识、获取实验室准入资格的必要途径。本课程具有强制性、基础性、全覆盖性和通识性的突出特点。其根本目标是树立学生“安全第一、预防为主”的责任意识，传授实验室安全基础知识与技能，培养学生识别风险、规避风险和应急处置的能力，为其后续的专业实验、毕业设计及未来从事科研工作奠定安全基础，同时对校园安全文化建设起到至关重要的作用</w:t>
      </w:r>
      <w:r>
        <w:rPr>
          <w:rFonts w:hint="eastAsia" w:ascii="Calibri" w:hAnsi="Calibri" w:eastAsia="宋体" w:cs="Times New Roman"/>
          <w:szCs w:val="21"/>
        </w:rPr>
        <w:t>。</w:t>
      </w:r>
    </w:p>
    <w:p w14:paraId="47BCC6F2">
      <w:pPr>
        <w:snapToGrid w:val="0"/>
        <w:spacing w:line="360" w:lineRule="auto"/>
        <w:ind w:firstLine="482" w:firstLineChars="200"/>
        <w:rPr>
          <w:kern w:val="0"/>
          <w:sz w:val="24"/>
        </w:rPr>
      </w:pPr>
      <w:r>
        <w:rPr>
          <w:rFonts w:hint="eastAsia"/>
          <w:b/>
          <w:sz w:val="24"/>
        </w:rPr>
        <w:t>二</w:t>
      </w:r>
      <w:r>
        <w:rPr>
          <w:b/>
          <w:sz w:val="24"/>
        </w:rPr>
        <w:t>、课程目标</w:t>
      </w:r>
    </w:p>
    <w:p w14:paraId="30290B3B">
      <w:pPr>
        <w:snapToGrid w:val="0"/>
        <w:spacing w:line="360" w:lineRule="auto"/>
        <w:ind w:firstLine="420" w:firstLineChars="200"/>
        <w:rPr>
          <w:kern w:val="0"/>
          <w:szCs w:val="21"/>
        </w:rPr>
      </w:pPr>
      <w:r>
        <w:rPr>
          <w:rFonts w:hint="eastAsia"/>
          <w:kern w:val="0"/>
          <w:szCs w:val="21"/>
        </w:rPr>
        <w:t>目标1：能够掌握实验过程中的安全、健康和环境的基本理论，培养安全意识和安全素养，能够进行安全操作，具备一定的应急处置能力。</w:t>
      </w:r>
    </w:p>
    <w:p w14:paraId="31A09DB1">
      <w:pPr>
        <w:snapToGrid w:val="0"/>
        <w:spacing w:line="360" w:lineRule="auto"/>
        <w:ind w:firstLine="420" w:firstLineChars="200"/>
        <w:rPr>
          <w:kern w:val="0"/>
          <w:szCs w:val="21"/>
        </w:rPr>
      </w:pPr>
      <w:r>
        <w:rPr>
          <w:rFonts w:hint="eastAsia"/>
          <w:kern w:val="0"/>
          <w:szCs w:val="21"/>
        </w:rPr>
        <w:t>课程思政育人目标：</w:t>
      </w:r>
    </w:p>
    <w:p w14:paraId="79CE5F2C">
      <w:pPr>
        <w:snapToGrid w:val="0"/>
        <w:spacing w:line="360" w:lineRule="auto"/>
        <w:ind w:firstLine="420" w:firstLineChars="200"/>
        <w:rPr>
          <w:kern w:val="0"/>
          <w:szCs w:val="21"/>
        </w:rPr>
      </w:pPr>
      <w:r>
        <w:rPr>
          <w:rFonts w:hint="eastAsia"/>
          <w:kern w:val="0"/>
          <w:szCs w:val="21"/>
        </w:rPr>
        <w:t>（1）树立“生命至上，安全第一”的核心价值观。 引导学生深刻理解生命安全与健康的重要性，将保护生命安全视为最高的道德准则和科学工作的首要前提，培育敬畏生命、关爱他人的人文精神。</w:t>
      </w:r>
    </w:p>
    <w:p w14:paraId="7D260CF2">
      <w:pPr>
        <w:snapToGrid w:val="0"/>
        <w:spacing w:line="360" w:lineRule="auto"/>
        <w:ind w:firstLine="420" w:firstLineChars="200"/>
        <w:rPr>
          <w:kern w:val="0"/>
          <w:szCs w:val="21"/>
        </w:rPr>
      </w:pPr>
      <w:r>
        <w:rPr>
          <w:rFonts w:hint="eastAsia"/>
          <w:kern w:val="0"/>
          <w:szCs w:val="21"/>
        </w:rPr>
        <w:t>（2）将安全教育作为科研“第一课”，强调遵守规程是科学探索的“安全带”和“助推器”。培养学生尊重客观规律、反对经验主义、杜绝侥幸心理的严谨科研态度，为其未来职业生涯奠定坚实的作风基础。</w:t>
      </w:r>
    </w:p>
    <w:p w14:paraId="37CBAAC2">
      <w:pPr>
        <w:snapToGrid w:val="0"/>
        <w:spacing w:line="360" w:lineRule="auto"/>
        <w:ind w:firstLine="420" w:firstLineChars="200"/>
        <w:rPr>
          <w:kern w:val="0"/>
          <w:szCs w:val="21"/>
        </w:rPr>
      </w:pPr>
      <w:r>
        <w:rPr>
          <w:rFonts w:hint="eastAsia"/>
          <w:kern w:val="0"/>
          <w:szCs w:val="21"/>
        </w:rPr>
        <w:t>课程目标与毕业要求观测点的对应关系如表1所示。</w:t>
      </w:r>
    </w:p>
    <w:p w14:paraId="1B629E49">
      <w:pPr>
        <w:snapToGrid w:val="0"/>
        <w:spacing w:line="360" w:lineRule="auto"/>
        <w:jc w:val="center"/>
        <w:rPr>
          <w:kern w:val="0"/>
          <w:szCs w:val="21"/>
        </w:rPr>
      </w:pPr>
      <w:r>
        <w:rPr>
          <w:kern w:val="0"/>
          <w:szCs w:val="21"/>
        </w:rPr>
        <w:t>表1  课程目标与毕业要求</w:t>
      </w:r>
      <w:r>
        <w:rPr>
          <w:rFonts w:hint="eastAsia"/>
          <w:kern w:val="0"/>
          <w:szCs w:val="21"/>
        </w:rPr>
        <w:t>观测</w:t>
      </w:r>
      <w:r>
        <w:rPr>
          <w:kern w:val="0"/>
          <w:szCs w:val="21"/>
        </w:rPr>
        <w:t>点的对应关系</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033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15F06C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2593B2D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E41DFC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5AF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64CE40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3ED43D1A">
            <w:pPr>
              <w:spacing w:line="276" w:lineRule="auto"/>
              <w:jc w:val="left"/>
              <w:rPr>
                <w:rFonts w:ascii="Times New Roman" w:hAnsi="Times New Roman" w:eastAsia="宋体" w:cs="Times New Roman"/>
                <w:szCs w:val="21"/>
              </w:rPr>
            </w:pPr>
            <w:r>
              <w:rPr>
                <w:rFonts w:hint="eastAsia" w:ascii="宋体" w:hAnsi="宋体" w:cs="宋体"/>
                <w:b/>
                <w:kern w:val="0"/>
                <w:szCs w:val="21"/>
              </w:rPr>
              <w:t>指标点2-3</w:t>
            </w:r>
            <w:r>
              <w:rPr>
                <w:rFonts w:hint="eastAsia" w:ascii="宋体" w:hAnsi="宋体" w:cs="宋体"/>
                <w:szCs w:val="21"/>
              </w:rPr>
              <w:t>：【自身修养良好】具有较好的人文</w:t>
            </w:r>
            <w:r>
              <w:rPr>
                <w:rFonts w:hint="eastAsia" w:cs="宋体"/>
                <w:szCs w:val="21"/>
              </w:rPr>
              <w:t>艺术</w:t>
            </w:r>
            <w:r>
              <w:rPr>
                <w:rFonts w:hint="eastAsia" w:ascii="宋体" w:hAnsi="宋体" w:cs="宋体"/>
                <w:szCs w:val="21"/>
              </w:rPr>
              <w:t>底蕴与科学精神，言行举止符合教师职业标准，情感积极，人格健全，身心健康</w:t>
            </w:r>
            <w:r>
              <w:rPr>
                <w:rFonts w:ascii="宋体" w:hAnsi="宋体" w:eastAsia="宋体" w:cs="Times New Roman"/>
                <w:spacing w:val="2"/>
                <w:kern w:val="0"/>
                <w:szCs w:val="21"/>
              </w:rPr>
              <w:t>。</w:t>
            </w:r>
          </w:p>
        </w:tc>
        <w:tc>
          <w:tcPr>
            <w:tcW w:w="1191" w:type="dxa"/>
            <w:vAlign w:val="center"/>
          </w:tcPr>
          <w:p w14:paraId="6F38EB8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bl>
    <w:p w14:paraId="6E4B9C90">
      <w:pPr>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三、课程内容及要求</w:t>
      </w:r>
    </w:p>
    <w:p w14:paraId="65C225B0">
      <w:pPr>
        <w:spacing w:line="360" w:lineRule="auto"/>
        <w:ind w:firstLine="420" w:firstLineChars="200"/>
        <w:rPr>
          <w:color w:val="000000"/>
          <w:szCs w:val="21"/>
        </w:rPr>
      </w:pPr>
      <w:r>
        <w:rPr>
          <w:rFonts w:hint="eastAsia"/>
          <w:color w:val="000000"/>
          <w:szCs w:val="21"/>
        </w:rPr>
        <w:t>（一）实验室消防安全。</w:t>
      </w:r>
    </w:p>
    <w:p w14:paraId="642CC7FF">
      <w:pPr>
        <w:spacing w:line="360" w:lineRule="auto"/>
        <w:ind w:firstLine="840" w:firstLineChars="400"/>
        <w:rPr>
          <w:color w:val="000000"/>
          <w:szCs w:val="21"/>
        </w:rPr>
      </w:pPr>
      <w:r>
        <w:rPr>
          <w:rFonts w:hint="eastAsia"/>
          <w:color w:val="000000"/>
          <w:szCs w:val="21"/>
        </w:rPr>
        <w:t>1．实验室消防常识；</w:t>
      </w:r>
    </w:p>
    <w:p w14:paraId="25017388">
      <w:pPr>
        <w:spacing w:line="360" w:lineRule="auto"/>
        <w:ind w:firstLine="840" w:firstLineChars="400"/>
        <w:rPr>
          <w:color w:val="000000"/>
          <w:szCs w:val="21"/>
        </w:rPr>
      </w:pPr>
      <w:r>
        <w:rPr>
          <w:rFonts w:hint="eastAsia"/>
          <w:color w:val="000000"/>
          <w:szCs w:val="21"/>
        </w:rPr>
        <w:t>2．实验室消防安全管理；</w:t>
      </w:r>
    </w:p>
    <w:p w14:paraId="43B9DF7B">
      <w:pPr>
        <w:spacing w:line="360" w:lineRule="auto"/>
        <w:ind w:firstLine="840" w:firstLineChars="400"/>
        <w:rPr>
          <w:color w:val="000000"/>
          <w:szCs w:val="21"/>
        </w:rPr>
      </w:pPr>
      <w:r>
        <w:rPr>
          <w:rFonts w:hint="eastAsia"/>
          <w:color w:val="000000"/>
          <w:szCs w:val="21"/>
        </w:rPr>
        <w:t>3．实验室消防设施；</w:t>
      </w:r>
    </w:p>
    <w:p w14:paraId="4CBF3891">
      <w:pPr>
        <w:spacing w:line="360" w:lineRule="auto"/>
        <w:ind w:firstLine="840" w:firstLineChars="400"/>
        <w:rPr>
          <w:color w:val="000000"/>
          <w:szCs w:val="21"/>
        </w:rPr>
      </w:pPr>
      <w:r>
        <w:rPr>
          <w:rFonts w:hint="eastAsia"/>
          <w:color w:val="000000"/>
          <w:szCs w:val="21"/>
        </w:rPr>
        <w:t>4．火灾应急措施。</w:t>
      </w:r>
    </w:p>
    <w:p w14:paraId="5EE9E612">
      <w:pPr>
        <w:spacing w:line="360" w:lineRule="auto"/>
        <w:ind w:firstLine="420" w:firstLineChars="200"/>
        <w:rPr>
          <w:color w:val="000000"/>
          <w:szCs w:val="21"/>
        </w:rPr>
      </w:pPr>
      <w:r>
        <w:rPr>
          <w:rFonts w:hint="eastAsia"/>
          <w:color w:val="000000"/>
          <w:szCs w:val="21"/>
        </w:rPr>
        <w:t>（二）实验室用电安全</w:t>
      </w:r>
    </w:p>
    <w:p w14:paraId="4E2C20BF">
      <w:pPr>
        <w:spacing w:line="360" w:lineRule="auto"/>
        <w:ind w:firstLine="840" w:firstLineChars="400"/>
        <w:rPr>
          <w:color w:val="000000"/>
          <w:szCs w:val="21"/>
        </w:rPr>
      </w:pPr>
      <w:r>
        <w:rPr>
          <w:rFonts w:hint="eastAsia"/>
          <w:color w:val="000000"/>
          <w:szCs w:val="21"/>
        </w:rPr>
        <w:t>1．触电危害</w:t>
      </w:r>
    </w:p>
    <w:p w14:paraId="0DF121EC">
      <w:pPr>
        <w:spacing w:line="360" w:lineRule="auto"/>
        <w:ind w:firstLine="840" w:firstLineChars="400"/>
        <w:rPr>
          <w:color w:val="000000"/>
          <w:szCs w:val="21"/>
        </w:rPr>
      </w:pPr>
      <w:r>
        <w:rPr>
          <w:rFonts w:hint="eastAsia"/>
          <w:color w:val="000000"/>
          <w:szCs w:val="21"/>
        </w:rPr>
        <w:t>2．触电事故防范知识</w:t>
      </w:r>
    </w:p>
    <w:p w14:paraId="76AF08BD">
      <w:pPr>
        <w:spacing w:line="360" w:lineRule="auto"/>
        <w:ind w:firstLine="840" w:firstLineChars="400"/>
        <w:rPr>
          <w:color w:val="000000"/>
          <w:szCs w:val="21"/>
        </w:rPr>
      </w:pPr>
      <w:r>
        <w:rPr>
          <w:rFonts w:hint="eastAsia"/>
          <w:color w:val="000000"/>
          <w:szCs w:val="21"/>
        </w:rPr>
        <w:t>3．触电急救</w:t>
      </w:r>
    </w:p>
    <w:p w14:paraId="33EF28BB">
      <w:pPr>
        <w:spacing w:line="360" w:lineRule="auto"/>
        <w:ind w:firstLine="840" w:firstLineChars="400"/>
        <w:rPr>
          <w:color w:val="000000"/>
          <w:szCs w:val="21"/>
        </w:rPr>
      </w:pPr>
      <w:r>
        <w:rPr>
          <w:rFonts w:hint="eastAsia"/>
          <w:color w:val="000000"/>
          <w:szCs w:val="21"/>
        </w:rPr>
        <w:t>4．电气类安全知识</w:t>
      </w:r>
    </w:p>
    <w:p w14:paraId="78FA6153">
      <w:pPr>
        <w:spacing w:line="360" w:lineRule="auto"/>
        <w:ind w:firstLine="420" w:firstLineChars="200"/>
        <w:rPr>
          <w:color w:val="000000"/>
          <w:szCs w:val="21"/>
        </w:rPr>
      </w:pPr>
      <w:r>
        <w:rPr>
          <w:rFonts w:hint="eastAsia"/>
          <w:color w:val="000000"/>
          <w:szCs w:val="21"/>
        </w:rPr>
        <w:t>（三）实验室危险化学品使用安全</w:t>
      </w:r>
    </w:p>
    <w:p w14:paraId="3874B3B9">
      <w:pPr>
        <w:spacing w:line="360" w:lineRule="auto"/>
        <w:ind w:firstLine="840" w:firstLineChars="400"/>
        <w:rPr>
          <w:color w:val="000000"/>
          <w:szCs w:val="21"/>
        </w:rPr>
      </w:pPr>
      <w:r>
        <w:rPr>
          <w:rFonts w:hint="eastAsia"/>
          <w:color w:val="000000"/>
          <w:szCs w:val="21"/>
        </w:rPr>
        <w:t>1．危险化学品常识；</w:t>
      </w:r>
    </w:p>
    <w:p w14:paraId="701FA2BC">
      <w:pPr>
        <w:spacing w:line="360" w:lineRule="auto"/>
        <w:ind w:firstLine="840" w:firstLineChars="400"/>
        <w:rPr>
          <w:color w:val="000000"/>
          <w:szCs w:val="21"/>
        </w:rPr>
      </w:pPr>
      <w:r>
        <w:rPr>
          <w:rFonts w:hint="eastAsia"/>
          <w:color w:val="000000"/>
          <w:szCs w:val="21"/>
        </w:rPr>
        <w:t>2．危险化学品安全管理；</w:t>
      </w:r>
    </w:p>
    <w:p w14:paraId="08B30108">
      <w:pPr>
        <w:spacing w:line="360" w:lineRule="auto"/>
        <w:ind w:firstLine="840" w:firstLineChars="400"/>
        <w:rPr>
          <w:color w:val="000000"/>
          <w:szCs w:val="21"/>
        </w:rPr>
      </w:pPr>
      <w:r>
        <w:rPr>
          <w:rFonts w:hint="eastAsia"/>
          <w:color w:val="000000"/>
          <w:szCs w:val="21"/>
        </w:rPr>
        <w:t>3．危险化学品防护措施；</w:t>
      </w:r>
    </w:p>
    <w:p w14:paraId="563B57C3">
      <w:pPr>
        <w:spacing w:line="360" w:lineRule="auto"/>
        <w:ind w:firstLine="840" w:firstLineChars="400"/>
        <w:rPr>
          <w:color w:val="000000"/>
          <w:szCs w:val="21"/>
        </w:rPr>
      </w:pPr>
      <w:r>
        <w:rPr>
          <w:rFonts w:hint="eastAsia"/>
          <w:color w:val="000000"/>
          <w:szCs w:val="21"/>
        </w:rPr>
        <w:t>4．危险化学品事故应急措施。</w:t>
      </w:r>
    </w:p>
    <w:p w14:paraId="3DA2B519">
      <w:pPr>
        <w:spacing w:line="360" w:lineRule="auto"/>
        <w:ind w:firstLine="420" w:firstLineChars="200"/>
        <w:rPr>
          <w:color w:val="000000"/>
          <w:szCs w:val="21"/>
        </w:rPr>
      </w:pPr>
      <w:r>
        <w:rPr>
          <w:rFonts w:hint="eastAsia"/>
          <w:color w:val="000000"/>
          <w:szCs w:val="21"/>
        </w:rPr>
        <w:t>（四）实验室电离辐射安全</w:t>
      </w:r>
    </w:p>
    <w:p w14:paraId="260A5115">
      <w:pPr>
        <w:spacing w:line="360" w:lineRule="auto"/>
        <w:ind w:firstLine="840" w:firstLineChars="400"/>
        <w:rPr>
          <w:color w:val="000000"/>
          <w:szCs w:val="21"/>
        </w:rPr>
      </w:pPr>
      <w:r>
        <w:rPr>
          <w:rFonts w:hint="eastAsia"/>
          <w:color w:val="000000"/>
          <w:szCs w:val="21"/>
        </w:rPr>
        <w:t>1．电离辐射安全常识；</w:t>
      </w:r>
    </w:p>
    <w:p w14:paraId="74D553AA">
      <w:pPr>
        <w:spacing w:line="360" w:lineRule="auto"/>
        <w:ind w:firstLine="840" w:firstLineChars="400"/>
        <w:rPr>
          <w:color w:val="000000"/>
          <w:szCs w:val="21"/>
        </w:rPr>
      </w:pPr>
      <w:r>
        <w:rPr>
          <w:rFonts w:hint="eastAsia"/>
          <w:color w:val="000000"/>
          <w:szCs w:val="21"/>
        </w:rPr>
        <w:t>2．实验室电离辐射防护措施；</w:t>
      </w:r>
    </w:p>
    <w:p w14:paraId="36F79413">
      <w:pPr>
        <w:spacing w:line="360" w:lineRule="auto"/>
        <w:ind w:firstLine="840" w:firstLineChars="400"/>
        <w:rPr>
          <w:color w:val="000000"/>
          <w:szCs w:val="21"/>
        </w:rPr>
      </w:pPr>
      <w:r>
        <w:rPr>
          <w:rFonts w:hint="eastAsia"/>
          <w:color w:val="000000"/>
          <w:szCs w:val="21"/>
        </w:rPr>
        <w:t>3．电离辐射安全与防护管理；</w:t>
      </w:r>
    </w:p>
    <w:p w14:paraId="52F8655B">
      <w:pPr>
        <w:spacing w:line="360" w:lineRule="auto"/>
        <w:ind w:firstLine="840" w:firstLineChars="400"/>
        <w:rPr>
          <w:color w:val="000000"/>
          <w:szCs w:val="21"/>
        </w:rPr>
      </w:pPr>
      <w:r>
        <w:rPr>
          <w:rFonts w:hint="eastAsia"/>
          <w:color w:val="000000"/>
          <w:szCs w:val="21"/>
        </w:rPr>
        <w:t>4．电离辐射事故应急措施。</w:t>
      </w:r>
    </w:p>
    <w:p w14:paraId="1E5546B4">
      <w:pPr>
        <w:spacing w:line="360" w:lineRule="auto"/>
        <w:ind w:firstLine="420" w:firstLineChars="200"/>
        <w:rPr>
          <w:color w:val="000000"/>
          <w:szCs w:val="21"/>
        </w:rPr>
      </w:pPr>
      <w:r>
        <w:rPr>
          <w:rFonts w:hint="eastAsia"/>
          <w:color w:val="000000"/>
          <w:szCs w:val="21"/>
        </w:rPr>
        <w:t>（五）实验室特殊仪器设备使用安全</w:t>
      </w:r>
    </w:p>
    <w:p w14:paraId="4886176B">
      <w:pPr>
        <w:spacing w:line="360" w:lineRule="auto"/>
        <w:ind w:firstLine="840" w:firstLineChars="400"/>
        <w:rPr>
          <w:color w:val="000000"/>
          <w:szCs w:val="21"/>
        </w:rPr>
      </w:pPr>
      <w:r>
        <w:rPr>
          <w:rFonts w:hint="eastAsia"/>
          <w:color w:val="000000"/>
          <w:szCs w:val="21"/>
        </w:rPr>
        <w:t>1．高温、高压类仪器设备使用安全；</w:t>
      </w:r>
    </w:p>
    <w:p w14:paraId="5B3D4E45">
      <w:pPr>
        <w:spacing w:line="360" w:lineRule="auto"/>
        <w:ind w:firstLine="840" w:firstLineChars="400"/>
        <w:rPr>
          <w:color w:val="000000"/>
          <w:szCs w:val="21"/>
        </w:rPr>
      </w:pPr>
      <w:r>
        <w:rPr>
          <w:rFonts w:hint="eastAsia"/>
          <w:color w:val="000000"/>
          <w:szCs w:val="21"/>
        </w:rPr>
        <w:t>2．高速运转类设备使用安全；</w:t>
      </w:r>
    </w:p>
    <w:p w14:paraId="59F08435">
      <w:pPr>
        <w:spacing w:line="360" w:lineRule="auto"/>
        <w:ind w:firstLine="840" w:firstLineChars="400"/>
        <w:rPr>
          <w:color w:val="000000"/>
          <w:szCs w:val="21"/>
        </w:rPr>
      </w:pPr>
      <w:r>
        <w:rPr>
          <w:rFonts w:hint="eastAsia"/>
          <w:color w:val="000000"/>
          <w:szCs w:val="21"/>
        </w:rPr>
        <w:t>3．强场类仪器设备使用安全；</w:t>
      </w:r>
    </w:p>
    <w:p w14:paraId="7B0CC89B">
      <w:pPr>
        <w:spacing w:line="360" w:lineRule="auto"/>
        <w:ind w:firstLine="840" w:firstLineChars="400"/>
        <w:rPr>
          <w:color w:val="000000"/>
          <w:szCs w:val="21"/>
        </w:rPr>
      </w:pPr>
      <w:r>
        <w:rPr>
          <w:rFonts w:hint="eastAsia"/>
          <w:color w:val="000000"/>
          <w:szCs w:val="21"/>
        </w:rPr>
        <w:t>4．激光使用安全；</w:t>
      </w:r>
    </w:p>
    <w:p w14:paraId="3478DCF8">
      <w:pPr>
        <w:spacing w:line="360" w:lineRule="auto"/>
        <w:ind w:firstLine="840" w:firstLineChars="400"/>
        <w:rPr>
          <w:color w:val="000000"/>
          <w:szCs w:val="21"/>
        </w:rPr>
      </w:pPr>
      <w:r>
        <w:rPr>
          <w:rFonts w:hint="eastAsia"/>
          <w:color w:val="000000"/>
          <w:szCs w:val="21"/>
        </w:rPr>
        <w:t>5．低温类实验安全。</w:t>
      </w:r>
    </w:p>
    <w:p w14:paraId="1BC1D6E9">
      <w:pPr>
        <w:spacing w:line="360" w:lineRule="auto"/>
        <w:ind w:firstLine="420" w:firstLineChars="200"/>
        <w:rPr>
          <w:color w:val="000000"/>
          <w:szCs w:val="21"/>
        </w:rPr>
      </w:pPr>
      <w:r>
        <w:rPr>
          <w:rFonts w:hint="eastAsia"/>
          <w:color w:val="000000"/>
          <w:szCs w:val="21"/>
        </w:rPr>
        <w:t>（六）实验室事故人员急救</w:t>
      </w:r>
    </w:p>
    <w:p w14:paraId="765E60B0">
      <w:pPr>
        <w:spacing w:line="360" w:lineRule="auto"/>
        <w:ind w:firstLine="840" w:firstLineChars="400"/>
        <w:rPr>
          <w:color w:val="000000"/>
          <w:szCs w:val="21"/>
        </w:rPr>
      </w:pPr>
      <w:r>
        <w:rPr>
          <w:rFonts w:hint="eastAsia"/>
          <w:color w:val="000000"/>
          <w:szCs w:val="21"/>
        </w:rPr>
        <w:t>1．实验室急救箱简介；</w:t>
      </w:r>
    </w:p>
    <w:p w14:paraId="1DB03B0C">
      <w:pPr>
        <w:spacing w:line="360" w:lineRule="auto"/>
        <w:ind w:firstLine="840" w:firstLineChars="400"/>
        <w:rPr>
          <w:color w:val="000000"/>
          <w:szCs w:val="21"/>
        </w:rPr>
      </w:pPr>
      <w:r>
        <w:rPr>
          <w:rFonts w:hint="eastAsia"/>
          <w:color w:val="000000"/>
          <w:szCs w:val="21"/>
        </w:rPr>
        <w:t>2．常见急救措施；</w:t>
      </w:r>
    </w:p>
    <w:p w14:paraId="0CD5FF9F">
      <w:pPr>
        <w:spacing w:line="360" w:lineRule="auto"/>
        <w:ind w:firstLine="840" w:firstLineChars="400"/>
        <w:rPr>
          <w:b/>
          <w:szCs w:val="21"/>
        </w:rPr>
      </w:pPr>
      <w:r>
        <w:rPr>
          <w:rFonts w:hint="eastAsia"/>
          <w:color w:val="000000"/>
          <w:szCs w:val="21"/>
        </w:rPr>
        <w:t>3．其他实验室事故急救措施。</w:t>
      </w:r>
    </w:p>
    <w:p w14:paraId="08BC3C73">
      <w:pPr>
        <w:spacing w:line="360" w:lineRule="auto"/>
        <w:ind w:firstLine="420" w:firstLineChars="200"/>
        <w:rPr>
          <w:szCs w:val="21"/>
        </w:rPr>
      </w:pPr>
      <w:r>
        <w:rPr>
          <w:rFonts w:hint="eastAsia"/>
          <w:szCs w:val="21"/>
        </w:rPr>
        <w:t>教学内容与</w:t>
      </w:r>
      <w:r>
        <w:rPr>
          <w:szCs w:val="21"/>
        </w:rPr>
        <w:t>课程目标的</w:t>
      </w:r>
      <w:r>
        <w:rPr>
          <w:rFonts w:hint="eastAsia"/>
          <w:szCs w:val="21"/>
        </w:rPr>
        <w:t>对应关系及</w:t>
      </w:r>
      <w:r>
        <w:rPr>
          <w:szCs w:val="21"/>
        </w:rPr>
        <w:t>学时分配</w:t>
      </w:r>
      <w:r>
        <w:rPr>
          <w:rFonts w:hint="eastAsia"/>
          <w:szCs w:val="21"/>
        </w:rPr>
        <w:t>如表2所示。</w:t>
      </w:r>
    </w:p>
    <w:p w14:paraId="3867B868">
      <w:pPr>
        <w:spacing w:line="360" w:lineRule="auto"/>
        <w:jc w:val="center"/>
        <w:rPr>
          <w:szCs w:val="21"/>
        </w:rPr>
      </w:pPr>
      <w:r>
        <w:rPr>
          <w:szCs w:val="21"/>
        </w:rPr>
        <w:t>表2  教学内容与课程目标的对应关系及学时分配表</w:t>
      </w:r>
    </w:p>
    <w:tbl>
      <w:tblPr>
        <w:tblStyle w:val="11"/>
        <w:tblW w:w="903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3077"/>
        <w:gridCol w:w="1061"/>
        <w:gridCol w:w="1703"/>
        <w:gridCol w:w="783"/>
        <w:gridCol w:w="707"/>
        <w:gridCol w:w="1060"/>
      </w:tblGrid>
      <w:tr w14:paraId="6DF2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tcBorders>
              <w:top w:val="single" w:color="auto" w:sz="4" w:space="0"/>
              <w:left w:val="single" w:color="auto" w:sz="4" w:space="0"/>
              <w:bottom w:val="single" w:color="auto" w:sz="4" w:space="0"/>
              <w:right w:val="single" w:color="auto" w:sz="4" w:space="0"/>
            </w:tcBorders>
            <w:shd w:val="clear" w:color="auto" w:fill="FFFFFF"/>
            <w:vAlign w:val="center"/>
          </w:tcPr>
          <w:p w14:paraId="7E1A4332">
            <w:pPr>
              <w:widowControl/>
              <w:adjustRightInd w:val="0"/>
              <w:snapToGrid w:val="0"/>
              <w:jc w:val="center"/>
              <w:rPr>
                <w:b/>
                <w:bCs/>
                <w:szCs w:val="21"/>
              </w:rPr>
            </w:pPr>
            <w:r>
              <w:rPr>
                <w:b/>
                <w:bCs/>
                <w:szCs w:val="21"/>
              </w:rPr>
              <w:t>序号</w:t>
            </w:r>
          </w:p>
        </w:tc>
        <w:tc>
          <w:tcPr>
            <w:tcW w:w="3077" w:type="dxa"/>
            <w:tcBorders>
              <w:top w:val="single" w:color="auto" w:sz="4" w:space="0"/>
              <w:left w:val="single" w:color="auto" w:sz="4" w:space="0"/>
              <w:bottom w:val="single" w:color="auto" w:sz="4" w:space="0"/>
              <w:right w:val="single" w:color="auto" w:sz="4" w:space="0"/>
            </w:tcBorders>
            <w:shd w:val="clear" w:color="auto" w:fill="FFFFFF"/>
            <w:vAlign w:val="center"/>
          </w:tcPr>
          <w:p w14:paraId="5090D810">
            <w:pPr>
              <w:widowControl/>
              <w:adjustRightInd w:val="0"/>
              <w:snapToGrid w:val="0"/>
              <w:jc w:val="center"/>
              <w:rPr>
                <w:b/>
                <w:bCs/>
                <w:szCs w:val="21"/>
              </w:rPr>
            </w:pPr>
            <w:r>
              <w:rPr>
                <w:b/>
                <w:bCs/>
                <w:szCs w:val="21"/>
              </w:rPr>
              <w:t>教学内容</w:t>
            </w:r>
          </w:p>
        </w:tc>
        <w:tc>
          <w:tcPr>
            <w:tcW w:w="1061" w:type="dxa"/>
            <w:tcBorders>
              <w:top w:val="single" w:color="auto" w:sz="4" w:space="0"/>
              <w:left w:val="single" w:color="auto" w:sz="4" w:space="0"/>
              <w:bottom w:val="single" w:color="auto" w:sz="4" w:space="0"/>
              <w:right w:val="single" w:color="auto" w:sz="4" w:space="0"/>
            </w:tcBorders>
            <w:shd w:val="clear" w:color="auto" w:fill="FFFFFF"/>
            <w:vAlign w:val="center"/>
          </w:tcPr>
          <w:p w14:paraId="5FBDC43D">
            <w:pPr>
              <w:widowControl/>
              <w:adjustRightInd w:val="0"/>
              <w:snapToGrid w:val="0"/>
              <w:jc w:val="center"/>
              <w:rPr>
                <w:b/>
                <w:bCs/>
                <w:szCs w:val="21"/>
              </w:rPr>
            </w:pPr>
            <w:r>
              <w:rPr>
                <w:b/>
                <w:bCs/>
                <w:szCs w:val="21"/>
              </w:rPr>
              <w:t>支撑的课程目标</w:t>
            </w:r>
          </w:p>
        </w:tc>
        <w:tc>
          <w:tcPr>
            <w:tcW w:w="1703" w:type="dxa"/>
            <w:tcBorders>
              <w:top w:val="single" w:color="auto" w:sz="4" w:space="0"/>
              <w:left w:val="single" w:color="auto" w:sz="4" w:space="0"/>
              <w:bottom w:val="single" w:color="auto" w:sz="4" w:space="0"/>
              <w:right w:val="single" w:color="auto" w:sz="4" w:space="0"/>
            </w:tcBorders>
            <w:shd w:val="clear" w:color="auto" w:fill="FFFFFF"/>
            <w:vAlign w:val="center"/>
          </w:tcPr>
          <w:p w14:paraId="0E1E3D9E">
            <w:pPr>
              <w:widowControl/>
              <w:adjustRightInd w:val="0"/>
              <w:snapToGrid w:val="0"/>
              <w:jc w:val="center"/>
              <w:rPr>
                <w:b/>
                <w:bCs/>
                <w:szCs w:val="21"/>
              </w:rPr>
            </w:pPr>
            <w:r>
              <w:rPr>
                <w:b/>
                <w:bCs/>
                <w:szCs w:val="21"/>
              </w:rPr>
              <w:t>支撑的毕业要求</w:t>
            </w:r>
          </w:p>
          <w:p w14:paraId="392E87A1">
            <w:pPr>
              <w:widowControl/>
              <w:adjustRightInd w:val="0"/>
              <w:snapToGrid w:val="0"/>
              <w:jc w:val="center"/>
              <w:rPr>
                <w:b/>
                <w:bCs/>
                <w:szCs w:val="21"/>
              </w:rPr>
            </w:pPr>
            <w:r>
              <w:rPr>
                <w:rFonts w:hint="eastAsia"/>
                <w:b/>
                <w:bCs/>
                <w:szCs w:val="21"/>
              </w:rPr>
              <w:t>观测</w:t>
            </w:r>
            <w:r>
              <w:rPr>
                <w:b/>
                <w:bCs/>
                <w:szCs w:val="21"/>
              </w:rPr>
              <w:t>点</w:t>
            </w:r>
          </w:p>
        </w:tc>
        <w:tc>
          <w:tcPr>
            <w:tcW w:w="783" w:type="dxa"/>
            <w:tcBorders>
              <w:top w:val="single" w:color="auto" w:sz="4" w:space="0"/>
              <w:left w:val="single" w:color="auto" w:sz="4" w:space="0"/>
              <w:bottom w:val="single" w:color="auto" w:sz="4" w:space="0"/>
              <w:right w:val="single" w:color="auto" w:sz="4" w:space="0"/>
            </w:tcBorders>
            <w:shd w:val="clear" w:color="auto" w:fill="FFFFFF"/>
            <w:vAlign w:val="center"/>
          </w:tcPr>
          <w:p w14:paraId="4915EBED">
            <w:pPr>
              <w:widowControl/>
              <w:adjustRightInd w:val="0"/>
              <w:snapToGrid w:val="0"/>
              <w:jc w:val="center"/>
              <w:rPr>
                <w:b/>
                <w:bCs/>
                <w:szCs w:val="21"/>
              </w:rPr>
            </w:pPr>
            <w:r>
              <w:rPr>
                <w:b/>
                <w:bCs/>
                <w:szCs w:val="21"/>
              </w:rPr>
              <w:t>讲授学时</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14:paraId="6908C507">
            <w:pPr>
              <w:widowControl/>
              <w:adjustRightInd w:val="0"/>
              <w:snapToGrid w:val="0"/>
              <w:jc w:val="center"/>
              <w:rPr>
                <w:b/>
                <w:bCs/>
                <w:szCs w:val="21"/>
              </w:rPr>
            </w:pPr>
            <w:r>
              <w:rPr>
                <w:b/>
                <w:bCs/>
                <w:szCs w:val="21"/>
              </w:rPr>
              <w:t>实验学时</w:t>
            </w:r>
          </w:p>
        </w:tc>
        <w:tc>
          <w:tcPr>
            <w:tcW w:w="1060" w:type="dxa"/>
            <w:tcBorders>
              <w:top w:val="single" w:color="auto" w:sz="4" w:space="0"/>
              <w:left w:val="single" w:color="auto" w:sz="4" w:space="0"/>
              <w:bottom w:val="single" w:color="auto" w:sz="4" w:space="0"/>
              <w:right w:val="single" w:color="auto" w:sz="4" w:space="0"/>
            </w:tcBorders>
            <w:shd w:val="clear" w:color="auto" w:fill="FFFFFF"/>
          </w:tcPr>
          <w:p w14:paraId="107B86E5">
            <w:pPr>
              <w:widowControl/>
              <w:adjustRightInd w:val="0"/>
              <w:snapToGrid w:val="0"/>
              <w:jc w:val="center"/>
              <w:rPr>
                <w:b/>
                <w:bCs/>
                <w:szCs w:val="21"/>
              </w:rPr>
            </w:pPr>
            <w:r>
              <w:rPr>
                <w:rFonts w:hint="eastAsia"/>
                <w:b/>
                <w:bCs/>
                <w:szCs w:val="21"/>
              </w:rPr>
              <w:t>课程思政融入点</w:t>
            </w:r>
          </w:p>
        </w:tc>
      </w:tr>
      <w:tr w14:paraId="0806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645" w:type="dxa"/>
            <w:tcBorders>
              <w:top w:val="single" w:color="auto" w:sz="4" w:space="0"/>
              <w:left w:val="single" w:color="auto" w:sz="4" w:space="0"/>
              <w:bottom w:val="single" w:color="auto" w:sz="4" w:space="0"/>
              <w:right w:val="single" w:color="auto" w:sz="4" w:space="0"/>
            </w:tcBorders>
            <w:vAlign w:val="center"/>
          </w:tcPr>
          <w:p w14:paraId="14F64230">
            <w:pPr>
              <w:widowControl/>
              <w:adjustRightInd w:val="0"/>
              <w:snapToGrid w:val="0"/>
              <w:jc w:val="center"/>
              <w:rPr>
                <w:szCs w:val="21"/>
              </w:rPr>
            </w:pPr>
            <w:r>
              <w:rPr>
                <w:szCs w:val="21"/>
              </w:rPr>
              <w:t>1</w:t>
            </w:r>
          </w:p>
        </w:tc>
        <w:tc>
          <w:tcPr>
            <w:tcW w:w="3077" w:type="dxa"/>
            <w:tcBorders>
              <w:top w:val="single" w:color="auto" w:sz="4" w:space="0"/>
              <w:left w:val="single" w:color="auto" w:sz="4" w:space="0"/>
              <w:bottom w:val="single" w:color="auto" w:sz="4" w:space="0"/>
              <w:right w:val="single" w:color="auto" w:sz="4" w:space="0"/>
            </w:tcBorders>
            <w:vAlign w:val="center"/>
          </w:tcPr>
          <w:p w14:paraId="4655FA7D">
            <w:pPr>
              <w:widowControl/>
              <w:adjustRightInd w:val="0"/>
              <w:snapToGrid w:val="0"/>
              <w:jc w:val="left"/>
              <w:rPr>
                <w:color w:val="000000"/>
                <w:szCs w:val="21"/>
              </w:rPr>
            </w:pPr>
            <w:r>
              <w:rPr>
                <w:rFonts w:hint="eastAsia"/>
                <w:color w:val="000000"/>
                <w:szCs w:val="21"/>
              </w:rPr>
              <w:t>学生登录“实验室安全教育与考试系统平台”，浏览“在线学习”栏目进行在线学习、练习。</w:t>
            </w:r>
          </w:p>
        </w:tc>
        <w:tc>
          <w:tcPr>
            <w:tcW w:w="1061" w:type="dxa"/>
            <w:tcBorders>
              <w:top w:val="single" w:color="auto" w:sz="4" w:space="0"/>
              <w:left w:val="single" w:color="auto" w:sz="4" w:space="0"/>
              <w:bottom w:val="single" w:color="auto" w:sz="4" w:space="0"/>
              <w:right w:val="single" w:color="auto" w:sz="4" w:space="0"/>
            </w:tcBorders>
            <w:vAlign w:val="center"/>
          </w:tcPr>
          <w:p w14:paraId="6B775916">
            <w:pPr>
              <w:widowControl/>
              <w:adjustRightInd w:val="0"/>
              <w:snapToGrid w:val="0"/>
              <w:jc w:val="center"/>
              <w:rPr>
                <w:color w:val="000000"/>
                <w:szCs w:val="21"/>
              </w:rPr>
            </w:pPr>
            <w:r>
              <w:rPr>
                <w:rFonts w:hint="eastAsia"/>
                <w:color w:val="000000"/>
                <w:szCs w:val="21"/>
              </w:rPr>
              <w:t>1</w:t>
            </w:r>
          </w:p>
        </w:tc>
        <w:tc>
          <w:tcPr>
            <w:tcW w:w="1703" w:type="dxa"/>
            <w:tcBorders>
              <w:top w:val="single" w:color="auto" w:sz="4" w:space="0"/>
              <w:left w:val="single" w:color="auto" w:sz="4" w:space="0"/>
              <w:bottom w:val="single" w:color="auto" w:sz="4" w:space="0"/>
              <w:right w:val="single" w:color="auto" w:sz="4" w:space="0"/>
            </w:tcBorders>
            <w:vAlign w:val="center"/>
          </w:tcPr>
          <w:p w14:paraId="5CA18C5D">
            <w:pPr>
              <w:widowControl/>
              <w:adjustRightInd w:val="0"/>
              <w:snapToGrid w:val="0"/>
              <w:jc w:val="center"/>
              <w:rPr>
                <w:rFonts w:eastAsia="宋体"/>
                <w:szCs w:val="21"/>
              </w:rPr>
            </w:pPr>
            <w:r>
              <w:rPr>
                <w:rFonts w:hint="eastAsia"/>
                <w:szCs w:val="21"/>
              </w:rPr>
              <w:t>2-3</w:t>
            </w:r>
          </w:p>
        </w:tc>
        <w:tc>
          <w:tcPr>
            <w:tcW w:w="783" w:type="dxa"/>
            <w:tcBorders>
              <w:top w:val="single" w:color="auto" w:sz="4" w:space="0"/>
              <w:left w:val="single" w:color="auto" w:sz="4" w:space="0"/>
              <w:bottom w:val="single" w:color="auto" w:sz="4" w:space="0"/>
              <w:right w:val="single" w:color="auto" w:sz="4" w:space="0"/>
            </w:tcBorders>
            <w:vAlign w:val="center"/>
          </w:tcPr>
          <w:p w14:paraId="3C92B0DD">
            <w:pPr>
              <w:widowControl/>
              <w:adjustRightInd w:val="0"/>
              <w:snapToGrid w:val="0"/>
              <w:jc w:val="center"/>
              <w:rPr>
                <w:szCs w:val="21"/>
              </w:rPr>
            </w:pPr>
            <w:r>
              <w:rPr>
                <w:rFonts w:hint="eastAsia"/>
                <w:szCs w:val="21"/>
              </w:rPr>
              <w:t>8</w:t>
            </w:r>
          </w:p>
        </w:tc>
        <w:tc>
          <w:tcPr>
            <w:tcW w:w="707" w:type="dxa"/>
            <w:tcBorders>
              <w:top w:val="single" w:color="auto" w:sz="4" w:space="0"/>
              <w:left w:val="single" w:color="auto" w:sz="4" w:space="0"/>
              <w:bottom w:val="single" w:color="auto" w:sz="4" w:space="0"/>
              <w:right w:val="single" w:color="auto" w:sz="4" w:space="0"/>
            </w:tcBorders>
            <w:vAlign w:val="center"/>
          </w:tcPr>
          <w:p w14:paraId="6297E965">
            <w:pPr>
              <w:widowControl/>
              <w:adjustRightInd w:val="0"/>
              <w:snapToGrid w:val="0"/>
              <w:jc w:val="center"/>
              <w:rPr>
                <w:szCs w:val="21"/>
              </w:rPr>
            </w:pPr>
            <w:r>
              <w:rPr>
                <w:rFonts w:hint="eastAsia"/>
                <w:szCs w:val="21"/>
              </w:rPr>
              <w:t>0</w:t>
            </w:r>
          </w:p>
        </w:tc>
        <w:tc>
          <w:tcPr>
            <w:tcW w:w="1060" w:type="dxa"/>
            <w:tcBorders>
              <w:top w:val="single" w:color="auto" w:sz="4" w:space="0"/>
              <w:left w:val="single" w:color="auto" w:sz="4" w:space="0"/>
              <w:bottom w:val="single" w:color="auto" w:sz="4" w:space="0"/>
              <w:right w:val="single" w:color="auto" w:sz="4" w:space="0"/>
            </w:tcBorders>
            <w:vAlign w:val="center"/>
          </w:tcPr>
          <w:p w14:paraId="78E1C318">
            <w:pPr>
              <w:widowControl/>
              <w:adjustRightInd w:val="0"/>
              <w:snapToGrid w:val="0"/>
              <w:jc w:val="center"/>
              <w:rPr>
                <w:szCs w:val="21"/>
              </w:rPr>
            </w:pPr>
            <w:r>
              <w:rPr>
                <w:szCs w:val="21"/>
              </w:rPr>
              <w:t>（</w:t>
            </w:r>
            <w:r>
              <w:rPr>
                <w:rFonts w:hint="eastAsia"/>
                <w:szCs w:val="21"/>
              </w:rPr>
              <w:t>1</w:t>
            </w:r>
            <w:r>
              <w:rPr>
                <w:szCs w:val="21"/>
              </w:rPr>
              <w:t>）（</w:t>
            </w:r>
            <w:r>
              <w:rPr>
                <w:rFonts w:hint="eastAsia"/>
                <w:szCs w:val="21"/>
              </w:rPr>
              <w:t>2</w:t>
            </w:r>
            <w:r>
              <w:rPr>
                <w:szCs w:val="21"/>
              </w:rPr>
              <w:t>）</w:t>
            </w:r>
          </w:p>
        </w:tc>
      </w:tr>
      <w:tr w14:paraId="729C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645" w:type="dxa"/>
            <w:tcBorders>
              <w:top w:val="single" w:color="auto" w:sz="4" w:space="0"/>
              <w:left w:val="single" w:color="auto" w:sz="4" w:space="0"/>
              <w:bottom w:val="single" w:color="auto" w:sz="4" w:space="0"/>
              <w:right w:val="single" w:color="auto" w:sz="4" w:space="0"/>
            </w:tcBorders>
            <w:vAlign w:val="center"/>
          </w:tcPr>
          <w:p w14:paraId="7AEF17D2">
            <w:pPr>
              <w:widowControl/>
              <w:adjustRightInd w:val="0"/>
              <w:snapToGrid w:val="0"/>
              <w:jc w:val="center"/>
              <w:rPr>
                <w:szCs w:val="21"/>
              </w:rPr>
            </w:pPr>
            <w:r>
              <w:rPr>
                <w:szCs w:val="21"/>
              </w:rPr>
              <w:t>2</w:t>
            </w:r>
          </w:p>
        </w:tc>
        <w:tc>
          <w:tcPr>
            <w:tcW w:w="3077" w:type="dxa"/>
            <w:tcBorders>
              <w:top w:val="single" w:color="auto" w:sz="4" w:space="0"/>
              <w:left w:val="single" w:color="auto" w:sz="4" w:space="0"/>
              <w:bottom w:val="single" w:color="auto" w:sz="4" w:space="0"/>
              <w:right w:val="single" w:color="auto" w:sz="4" w:space="0"/>
            </w:tcBorders>
            <w:vAlign w:val="center"/>
          </w:tcPr>
          <w:p w14:paraId="4171BDD6">
            <w:pPr>
              <w:widowControl/>
              <w:adjustRightInd w:val="0"/>
              <w:snapToGrid w:val="0"/>
              <w:jc w:val="left"/>
              <w:rPr>
                <w:color w:val="000000"/>
                <w:szCs w:val="21"/>
              </w:rPr>
            </w:pPr>
            <w:r>
              <w:rPr>
                <w:color w:val="000000"/>
                <w:szCs w:val="21"/>
              </w:rPr>
              <w:t>在线考核</w:t>
            </w:r>
          </w:p>
        </w:tc>
        <w:tc>
          <w:tcPr>
            <w:tcW w:w="1061" w:type="dxa"/>
            <w:tcBorders>
              <w:top w:val="single" w:color="auto" w:sz="4" w:space="0"/>
              <w:left w:val="single" w:color="auto" w:sz="4" w:space="0"/>
              <w:bottom w:val="single" w:color="auto" w:sz="4" w:space="0"/>
              <w:right w:val="single" w:color="auto" w:sz="4" w:space="0"/>
            </w:tcBorders>
            <w:vAlign w:val="center"/>
          </w:tcPr>
          <w:p w14:paraId="438C9FF8">
            <w:pPr>
              <w:widowControl/>
              <w:adjustRightInd w:val="0"/>
              <w:snapToGrid w:val="0"/>
              <w:jc w:val="center"/>
              <w:rPr>
                <w:color w:val="000000"/>
                <w:szCs w:val="21"/>
              </w:rPr>
            </w:pPr>
            <w:r>
              <w:rPr>
                <w:rFonts w:hint="eastAsia"/>
                <w:color w:val="000000"/>
                <w:szCs w:val="21"/>
              </w:rPr>
              <w:t>1</w:t>
            </w:r>
          </w:p>
        </w:tc>
        <w:tc>
          <w:tcPr>
            <w:tcW w:w="1703" w:type="dxa"/>
            <w:tcBorders>
              <w:top w:val="single" w:color="auto" w:sz="4" w:space="0"/>
              <w:left w:val="single" w:color="auto" w:sz="4" w:space="0"/>
              <w:bottom w:val="single" w:color="auto" w:sz="4" w:space="0"/>
              <w:right w:val="single" w:color="auto" w:sz="4" w:space="0"/>
            </w:tcBorders>
            <w:vAlign w:val="center"/>
          </w:tcPr>
          <w:p w14:paraId="04E1D626">
            <w:pPr>
              <w:widowControl/>
              <w:adjustRightInd w:val="0"/>
              <w:snapToGrid w:val="0"/>
              <w:jc w:val="center"/>
              <w:rPr>
                <w:rFonts w:eastAsia="宋体"/>
                <w:szCs w:val="21"/>
              </w:rPr>
            </w:pPr>
            <w:r>
              <w:rPr>
                <w:rFonts w:hint="eastAsia"/>
                <w:szCs w:val="21"/>
              </w:rPr>
              <w:t>2-3</w:t>
            </w:r>
          </w:p>
        </w:tc>
        <w:tc>
          <w:tcPr>
            <w:tcW w:w="783" w:type="dxa"/>
            <w:tcBorders>
              <w:top w:val="single" w:color="auto" w:sz="4" w:space="0"/>
              <w:left w:val="single" w:color="auto" w:sz="4" w:space="0"/>
              <w:bottom w:val="single" w:color="auto" w:sz="4" w:space="0"/>
              <w:right w:val="single" w:color="auto" w:sz="4" w:space="0"/>
            </w:tcBorders>
            <w:vAlign w:val="center"/>
          </w:tcPr>
          <w:p w14:paraId="66E1163E">
            <w:pPr>
              <w:widowControl/>
              <w:adjustRightInd w:val="0"/>
              <w:snapToGrid w:val="0"/>
              <w:jc w:val="center"/>
              <w:rPr>
                <w:szCs w:val="21"/>
              </w:rPr>
            </w:pPr>
            <w:r>
              <w:rPr>
                <w:rFonts w:hint="eastAsia"/>
                <w:szCs w:val="21"/>
              </w:rPr>
              <w:t>0</w:t>
            </w:r>
          </w:p>
        </w:tc>
        <w:tc>
          <w:tcPr>
            <w:tcW w:w="707" w:type="dxa"/>
            <w:tcBorders>
              <w:top w:val="single" w:color="auto" w:sz="4" w:space="0"/>
              <w:left w:val="single" w:color="auto" w:sz="4" w:space="0"/>
              <w:bottom w:val="single" w:color="auto" w:sz="4" w:space="0"/>
              <w:right w:val="single" w:color="auto" w:sz="4" w:space="0"/>
            </w:tcBorders>
            <w:vAlign w:val="center"/>
          </w:tcPr>
          <w:p w14:paraId="641F2954">
            <w:pPr>
              <w:widowControl/>
              <w:adjustRightInd w:val="0"/>
              <w:snapToGrid w:val="0"/>
              <w:jc w:val="center"/>
              <w:rPr>
                <w:szCs w:val="21"/>
              </w:rPr>
            </w:pPr>
            <w:r>
              <w:rPr>
                <w:rFonts w:hint="eastAsia"/>
                <w:szCs w:val="21"/>
              </w:rPr>
              <w:t>0</w:t>
            </w:r>
          </w:p>
        </w:tc>
        <w:tc>
          <w:tcPr>
            <w:tcW w:w="1060" w:type="dxa"/>
            <w:tcBorders>
              <w:top w:val="single" w:color="auto" w:sz="4" w:space="0"/>
              <w:left w:val="single" w:color="auto" w:sz="4" w:space="0"/>
              <w:bottom w:val="single" w:color="auto" w:sz="4" w:space="0"/>
              <w:right w:val="single" w:color="auto" w:sz="4" w:space="0"/>
            </w:tcBorders>
            <w:vAlign w:val="center"/>
          </w:tcPr>
          <w:p w14:paraId="1A816F6F">
            <w:pPr>
              <w:widowControl/>
              <w:adjustRightInd w:val="0"/>
              <w:snapToGrid w:val="0"/>
              <w:jc w:val="center"/>
              <w:rPr>
                <w:szCs w:val="21"/>
              </w:rPr>
            </w:pPr>
            <w:r>
              <w:rPr>
                <w:szCs w:val="21"/>
              </w:rPr>
              <w:t>（</w:t>
            </w:r>
            <w:r>
              <w:rPr>
                <w:rFonts w:hint="eastAsia"/>
                <w:szCs w:val="21"/>
              </w:rPr>
              <w:t>1</w:t>
            </w:r>
            <w:r>
              <w:rPr>
                <w:szCs w:val="21"/>
              </w:rPr>
              <w:t>）（</w:t>
            </w:r>
            <w:r>
              <w:rPr>
                <w:rFonts w:hint="eastAsia"/>
                <w:szCs w:val="21"/>
              </w:rPr>
              <w:t>2</w:t>
            </w:r>
            <w:r>
              <w:rPr>
                <w:szCs w:val="21"/>
              </w:rPr>
              <w:t>）</w:t>
            </w:r>
          </w:p>
        </w:tc>
      </w:tr>
      <w:tr w14:paraId="75E0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486" w:type="dxa"/>
            <w:gridSpan w:val="4"/>
            <w:tcBorders>
              <w:top w:val="single" w:color="auto" w:sz="4" w:space="0"/>
              <w:left w:val="single" w:color="auto" w:sz="4" w:space="0"/>
              <w:bottom w:val="single" w:color="auto" w:sz="4" w:space="0"/>
              <w:right w:val="single" w:color="auto" w:sz="4" w:space="0"/>
            </w:tcBorders>
            <w:vAlign w:val="center"/>
          </w:tcPr>
          <w:p w14:paraId="7F01B245">
            <w:pPr>
              <w:widowControl/>
              <w:adjustRightInd w:val="0"/>
              <w:snapToGrid w:val="0"/>
              <w:jc w:val="center"/>
              <w:rPr>
                <w:szCs w:val="21"/>
              </w:rPr>
            </w:pPr>
            <w:r>
              <w:rPr>
                <w:szCs w:val="21"/>
              </w:rPr>
              <w:t>合 计</w:t>
            </w:r>
          </w:p>
        </w:tc>
        <w:tc>
          <w:tcPr>
            <w:tcW w:w="783" w:type="dxa"/>
            <w:tcBorders>
              <w:top w:val="single" w:color="auto" w:sz="4" w:space="0"/>
              <w:left w:val="single" w:color="auto" w:sz="4" w:space="0"/>
              <w:bottom w:val="single" w:color="auto" w:sz="4" w:space="0"/>
              <w:right w:val="single" w:color="auto" w:sz="4" w:space="0"/>
            </w:tcBorders>
            <w:vAlign w:val="center"/>
          </w:tcPr>
          <w:p w14:paraId="7F210503">
            <w:pPr>
              <w:widowControl/>
              <w:adjustRightInd w:val="0"/>
              <w:snapToGrid w:val="0"/>
              <w:jc w:val="center"/>
              <w:rPr>
                <w:szCs w:val="21"/>
              </w:rPr>
            </w:pPr>
            <w:r>
              <w:rPr>
                <w:rFonts w:hint="eastAsia"/>
                <w:szCs w:val="21"/>
              </w:rPr>
              <w:t>8</w:t>
            </w:r>
          </w:p>
        </w:tc>
        <w:tc>
          <w:tcPr>
            <w:tcW w:w="707" w:type="dxa"/>
            <w:tcBorders>
              <w:top w:val="single" w:color="auto" w:sz="4" w:space="0"/>
              <w:left w:val="single" w:color="auto" w:sz="4" w:space="0"/>
              <w:bottom w:val="single" w:color="auto" w:sz="4" w:space="0"/>
              <w:right w:val="single" w:color="auto" w:sz="4" w:space="0"/>
            </w:tcBorders>
            <w:vAlign w:val="center"/>
          </w:tcPr>
          <w:p w14:paraId="30CA3F59">
            <w:pPr>
              <w:widowControl/>
              <w:adjustRightInd w:val="0"/>
              <w:snapToGrid w:val="0"/>
              <w:jc w:val="center"/>
              <w:rPr>
                <w:szCs w:val="21"/>
              </w:rPr>
            </w:pPr>
            <w:r>
              <w:rPr>
                <w:rFonts w:hint="eastAsia"/>
                <w:szCs w:val="21"/>
              </w:rPr>
              <w:t>0</w:t>
            </w:r>
          </w:p>
        </w:tc>
        <w:tc>
          <w:tcPr>
            <w:tcW w:w="1060" w:type="dxa"/>
            <w:tcBorders>
              <w:top w:val="single" w:color="auto" w:sz="4" w:space="0"/>
              <w:left w:val="single" w:color="auto" w:sz="4" w:space="0"/>
              <w:bottom w:val="single" w:color="auto" w:sz="4" w:space="0"/>
              <w:right w:val="single" w:color="auto" w:sz="4" w:space="0"/>
            </w:tcBorders>
          </w:tcPr>
          <w:p w14:paraId="59ED0B87">
            <w:pPr>
              <w:widowControl/>
              <w:adjustRightInd w:val="0"/>
              <w:snapToGrid w:val="0"/>
              <w:jc w:val="center"/>
              <w:rPr>
                <w:szCs w:val="21"/>
              </w:rPr>
            </w:pPr>
          </w:p>
        </w:tc>
      </w:tr>
    </w:tbl>
    <w:p w14:paraId="31E5E593">
      <w:pPr>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四、课程实施</w:t>
      </w:r>
    </w:p>
    <w:p w14:paraId="5BA506DA">
      <w:pPr>
        <w:snapToGrid w:val="0"/>
        <w:spacing w:line="360" w:lineRule="auto"/>
        <w:ind w:firstLine="422" w:firstLineChars="200"/>
        <w:rPr>
          <w:b/>
          <w:szCs w:val="21"/>
        </w:rPr>
      </w:pPr>
      <w:r>
        <w:rPr>
          <w:rFonts w:hint="eastAsia"/>
          <w:b/>
          <w:szCs w:val="21"/>
        </w:rPr>
        <w:t>（一）教学方法与教学手段</w:t>
      </w:r>
    </w:p>
    <w:p w14:paraId="6504B9DA">
      <w:pPr>
        <w:snapToGrid w:val="0"/>
        <w:spacing w:line="360" w:lineRule="auto"/>
        <w:ind w:firstLine="420" w:firstLineChars="200"/>
        <w:rPr>
          <w:bCs/>
          <w:szCs w:val="21"/>
        </w:rPr>
      </w:pPr>
      <w:r>
        <w:rPr>
          <w:rFonts w:hint="eastAsia"/>
          <w:bCs/>
          <w:szCs w:val="21"/>
        </w:rPr>
        <w:t>1</w:t>
      </w:r>
      <w:r>
        <w:rPr>
          <w:bCs/>
          <w:szCs w:val="21"/>
        </w:rPr>
        <w:t>.</w:t>
      </w:r>
      <w:r>
        <w:rPr>
          <w:rFonts w:hint="eastAsia"/>
          <w:bCs/>
          <w:szCs w:val="21"/>
        </w:rPr>
        <w:t>学生通过在线自习相关内容完成课程的学习。学生登录“实验室安全教育与考试系统平台”，浏览“在线学习”栏目进行在线学习、练习。</w:t>
      </w:r>
    </w:p>
    <w:p w14:paraId="015AC62D">
      <w:pPr>
        <w:snapToGrid w:val="0"/>
        <w:spacing w:line="360" w:lineRule="auto"/>
        <w:ind w:firstLine="420" w:firstLineChars="200"/>
        <w:rPr>
          <w:bCs/>
          <w:szCs w:val="21"/>
        </w:rPr>
      </w:pPr>
      <w:r>
        <w:rPr>
          <w:bCs/>
          <w:szCs w:val="21"/>
        </w:rPr>
        <w:t>2</w:t>
      </w:r>
      <w:r>
        <w:rPr>
          <w:rFonts w:hint="eastAsia"/>
          <w:bCs/>
          <w:szCs w:val="21"/>
        </w:rPr>
        <w:t>课程思政育人方法：借助在线平台的技术优势，通过沉浸体验、案例分析等方式，将价值塑造自然融入知识传授与能力培养之中，实现“润物无声”的思政育人效果。</w:t>
      </w:r>
    </w:p>
    <w:p w14:paraId="127167FE">
      <w:pPr>
        <w:spacing w:line="360" w:lineRule="auto"/>
        <w:ind w:firstLine="422" w:firstLineChars="200"/>
        <w:rPr>
          <w:b/>
          <w:szCs w:val="21"/>
        </w:rPr>
      </w:pPr>
      <w:r>
        <w:rPr>
          <w:rFonts w:hint="eastAsia"/>
          <w:b/>
          <w:szCs w:val="21"/>
        </w:rPr>
        <w:t>（二）教学质量要求</w:t>
      </w:r>
    </w:p>
    <w:p w14:paraId="23AF453B">
      <w:pPr>
        <w:tabs>
          <w:tab w:val="right" w:pos="9070"/>
        </w:tabs>
        <w:spacing w:line="360" w:lineRule="auto"/>
        <w:ind w:firstLine="420" w:firstLineChars="200"/>
        <w:rPr>
          <w:szCs w:val="21"/>
        </w:rPr>
      </w:pPr>
      <w:r>
        <w:rPr>
          <w:rFonts w:hint="eastAsia"/>
          <w:szCs w:val="21"/>
        </w:rPr>
        <w:t>课程主要教学环节及其质量要求如表</w:t>
      </w:r>
      <w:r>
        <w:rPr>
          <w:szCs w:val="21"/>
        </w:rPr>
        <w:t>4</w:t>
      </w:r>
      <w:r>
        <w:rPr>
          <w:rFonts w:hint="eastAsia"/>
          <w:szCs w:val="21"/>
        </w:rPr>
        <w:t>所示。</w:t>
      </w:r>
      <w:r>
        <w:rPr>
          <w:szCs w:val="21"/>
        </w:rPr>
        <w:tab/>
      </w:r>
    </w:p>
    <w:p w14:paraId="15FFB221">
      <w:pPr>
        <w:spacing w:line="360" w:lineRule="auto"/>
        <w:jc w:val="center"/>
        <w:rPr>
          <w:szCs w:val="21"/>
        </w:rPr>
      </w:pPr>
      <w:r>
        <w:rPr>
          <w:rFonts w:hint="eastAsia"/>
          <w:szCs w:val="21"/>
        </w:rPr>
        <w:t>表</w:t>
      </w:r>
      <w:r>
        <w:rPr>
          <w:szCs w:val="21"/>
        </w:rPr>
        <w:t xml:space="preserve">4  </w:t>
      </w:r>
      <w:r>
        <w:rPr>
          <w:rFonts w:hint="eastAsia"/>
          <w:szCs w:val="21"/>
        </w:rPr>
        <w:t>课程主要教学环节和质量要求表</w:t>
      </w:r>
    </w:p>
    <w:tbl>
      <w:tblPr>
        <w:tblStyle w:val="11"/>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683"/>
        <w:gridCol w:w="6740"/>
      </w:tblGrid>
      <w:tr w14:paraId="74E7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2319" w:type="dxa"/>
            <w:gridSpan w:val="2"/>
            <w:tcBorders>
              <w:top w:val="single" w:color="auto" w:sz="4" w:space="0"/>
              <w:left w:val="single" w:color="auto" w:sz="4" w:space="0"/>
              <w:right w:val="single" w:color="auto" w:sz="4" w:space="0"/>
            </w:tcBorders>
            <w:tcMar>
              <w:left w:w="28" w:type="dxa"/>
              <w:right w:w="28" w:type="dxa"/>
            </w:tcMar>
            <w:vAlign w:val="center"/>
          </w:tcPr>
          <w:p w14:paraId="0D6154FA">
            <w:pPr>
              <w:snapToGrid w:val="0"/>
              <w:jc w:val="center"/>
              <w:rPr>
                <w:b/>
                <w:szCs w:val="21"/>
              </w:rPr>
            </w:pPr>
            <w:r>
              <w:rPr>
                <w:b/>
                <w:szCs w:val="21"/>
              </w:rPr>
              <w:t>主要教学环节</w:t>
            </w:r>
          </w:p>
        </w:tc>
        <w:tc>
          <w:tcPr>
            <w:tcW w:w="6740" w:type="dxa"/>
            <w:tcBorders>
              <w:top w:val="single" w:color="auto" w:sz="4" w:space="0"/>
              <w:left w:val="single" w:color="auto" w:sz="4" w:space="0"/>
              <w:right w:val="single" w:color="auto" w:sz="4" w:space="0"/>
            </w:tcBorders>
            <w:vAlign w:val="center"/>
          </w:tcPr>
          <w:p w14:paraId="6A05A065">
            <w:pPr>
              <w:snapToGrid w:val="0"/>
              <w:jc w:val="center"/>
              <w:rPr>
                <w:b/>
                <w:szCs w:val="21"/>
              </w:rPr>
            </w:pPr>
            <w:r>
              <w:rPr>
                <w:b/>
                <w:szCs w:val="21"/>
              </w:rPr>
              <w:t>质量</w:t>
            </w:r>
            <w:r>
              <w:rPr>
                <w:rFonts w:hint="eastAsia"/>
                <w:b/>
                <w:szCs w:val="21"/>
              </w:rPr>
              <w:t>要求</w:t>
            </w:r>
          </w:p>
        </w:tc>
      </w:tr>
      <w:tr w14:paraId="3FD2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vAlign w:val="center"/>
          </w:tcPr>
          <w:p w14:paraId="64A6C7DD">
            <w:pPr>
              <w:snapToGrid w:val="0"/>
              <w:jc w:val="center"/>
              <w:rPr>
                <w:szCs w:val="21"/>
              </w:rPr>
            </w:pPr>
            <w:r>
              <w:rPr>
                <w:szCs w:val="21"/>
              </w:rPr>
              <w:t>1</w:t>
            </w:r>
          </w:p>
        </w:tc>
        <w:tc>
          <w:tcPr>
            <w:tcW w:w="1683" w:type="dxa"/>
            <w:tcMar>
              <w:left w:w="28" w:type="dxa"/>
              <w:right w:w="28" w:type="dxa"/>
            </w:tcMar>
            <w:vAlign w:val="center"/>
          </w:tcPr>
          <w:p w14:paraId="6D4E5567">
            <w:pPr>
              <w:snapToGrid w:val="0"/>
              <w:jc w:val="center"/>
              <w:rPr>
                <w:szCs w:val="21"/>
              </w:rPr>
            </w:pPr>
            <w:r>
              <w:rPr>
                <w:rFonts w:hint="eastAsia"/>
                <w:szCs w:val="21"/>
              </w:rPr>
              <w:t>平台维护</w:t>
            </w:r>
          </w:p>
        </w:tc>
        <w:tc>
          <w:tcPr>
            <w:tcW w:w="6740" w:type="dxa"/>
            <w:tcBorders>
              <w:right w:val="single" w:color="auto" w:sz="4" w:space="0"/>
            </w:tcBorders>
            <w:vAlign w:val="center"/>
          </w:tcPr>
          <w:p w14:paraId="712F54BD">
            <w:pPr>
              <w:snapToGrid w:val="0"/>
              <w:ind w:firstLine="420" w:firstLineChars="200"/>
              <w:rPr>
                <w:szCs w:val="21"/>
              </w:rPr>
            </w:pPr>
            <w:r>
              <w:rPr>
                <w:rFonts w:hint="eastAsia"/>
                <w:szCs w:val="21"/>
              </w:rPr>
              <w:t>定期修订课程内容，保障服务器稳定，及时回复学生提问，监控学习和考核完成情况，对异常数据进行预警与跟进。</w:t>
            </w:r>
          </w:p>
        </w:tc>
      </w:tr>
      <w:tr w14:paraId="2EF6B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636" w:type="dxa"/>
            <w:tcBorders>
              <w:left w:val="single" w:color="auto" w:sz="4" w:space="0"/>
            </w:tcBorders>
            <w:vAlign w:val="center"/>
          </w:tcPr>
          <w:p w14:paraId="1547BC85">
            <w:pPr>
              <w:snapToGrid w:val="0"/>
              <w:jc w:val="center"/>
              <w:rPr>
                <w:szCs w:val="21"/>
              </w:rPr>
            </w:pPr>
            <w:r>
              <w:rPr>
                <w:szCs w:val="21"/>
              </w:rPr>
              <w:t>2</w:t>
            </w:r>
          </w:p>
        </w:tc>
        <w:tc>
          <w:tcPr>
            <w:tcW w:w="1683" w:type="dxa"/>
            <w:tcMar>
              <w:left w:w="28" w:type="dxa"/>
              <w:right w:w="28" w:type="dxa"/>
            </w:tcMar>
            <w:vAlign w:val="center"/>
          </w:tcPr>
          <w:p w14:paraId="7C17F582">
            <w:pPr>
              <w:snapToGrid w:val="0"/>
              <w:jc w:val="center"/>
              <w:rPr>
                <w:szCs w:val="21"/>
              </w:rPr>
            </w:pPr>
            <w:r>
              <w:rPr>
                <w:rFonts w:hint="eastAsia"/>
                <w:szCs w:val="21"/>
              </w:rPr>
              <w:t>考核</w:t>
            </w:r>
          </w:p>
        </w:tc>
        <w:tc>
          <w:tcPr>
            <w:tcW w:w="6740" w:type="dxa"/>
            <w:tcBorders>
              <w:right w:val="single" w:color="auto" w:sz="4" w:space="0"/>
            </w:tcBorders>
            <w:vAlign w:val="center"/>
          </w:tcPr>
          <w:p w14:paraId="3E326919">
            <w:pPr>
              <w:snapToGrid w:val="0"/>
              <w:ind w:firstLine="420" w:firstLineChars="200"/>
              <w:rPr>
                <w:szCs w:val="21"/>
              </w:rPr>
            </w:pPr>
            <w:r>
              <w:rPr>
                <w:rFonts w:hint="eastAsia"/>
                <w:szCs w:val="21"/>
              </w:rPr>
              <w:t xml:space="preserve"> 按照教学进度发布考核通知，及时收集考核成绩。按照有关规定登记成绩。</w:t>
            </w:r>
          </w:p>
        </w:tc>
      </w:tr>
    </w:tbl>
    <w:p w14:paraId="4A739D52">
      <w:pPr>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五、课程考核</w:t>
      </w:r>
    </w:p>
    <w:p w14:paraId="50672F53">
      <w:pPr>
        <w:spacing w:line="360" w:lineRule="auto"/>
        <w:ind w:firstLine="420" w:firstLineChars="200"/>
        <w:rPr>
          <w:szCs w:val="21"/>
        </w:rPr>
      </w:pPr>
      <w:r>
        <w:rPr>
          <w:rFonts w:hint="eastAsia"/>
          <w:szCs w:val="21"/>
        </w:rPr>
        <w:t>（一）</w:t>
      </w:r>
      <w:r>
        <w:rPr>
          <w:szCs w:val="21"/>
        </w:rPr>
        <w:t>课程考核</w:t>
      </w:r>
      <w:r>
        <w:rPr>
          <w:rFonts w:hint="eastAsia"/>
          <w:szCs w:val="21"/>
        </w:rPr>
        <w:t>方式</w:t>
      </w:r>
    </w:p>
    <w:p w14:paraId="218F6982">
      <w:pPr>
        <w:spacing w:line="360" w:lineRule="auto"/>
        <w:ind w:firstLine="420" w:firstLineChars="200"/>
        <w:rPr>
          <w:szCs w:val="21"/>
        </w:rPr>
      </w:pPr>
      <w:r>
        <w:rPr>
          <w:rFonts w:hint="eastAsia"/>
          <w:szCs w:val="21"/>
        </w:rPr>
        <w:t>学生通过在线考试完成课程考核。教务处负责每年组织“实验室安全教育”课程的网络在线考试。</w:t>
      </w:r>
    </w:p>
    <w:p w14:paraId="15CF585A">
      <w:pPr>
        <w:spacing w:line="360" w:lineRule="auto"/>
        <w:ind w:firstLine="420" w:firstLineChars="200"/>
        <w:rPr>
          <w:szCs w:val="21"/>
        </w:rPr>
      </w:pPr>
      <w:r>
        <w:rPr>
          <w:rFonts w:hint="eastAsia"/>
          <w:szCs w:val="21"/>
        </w:rPr>
        <w:t>（二）总评成绩评定方法</w:t>
      </w:r>
    </w:p>
    <w:p w14:paraId="4E7D2A0B">
      <w:pPr>
        <w:spacing w:line="360" w:lineRule="auto"/>
        <w:ind w:firstLine="420" w:firstLineChars="200"/>
        <w:rPr>
          <w:szCs w:val="21"/>
        </w:rPr>
      </w:pPr>
      <w:r>
        <w:rPr>
          <w:rFonts w:hint="eastAsia"/>
          <w:szCs w:val="21"/>
        </w:rPr>
        <w:t>试题库随机出题，满分1</w:t>
      </w:r>
      <w:r>
        <w:rPr>
          <w:szCs w:val="21"/>
        </w:rPr>
        <w:t>00。上机考试，</w:t>
      </w:r>
      <w:r>
        <w:rPr>
          <w:rFonts w:hint="eastAsia"/>
          <w:szCs w:val="21"/>
        </w:rPr>
        <w:t>考试成绩达到80分为合格，获得0.5学分。</w:t>
      </w:r>
    </w:p>
    <w:p w14:paraId="32C2CE6D">
      <w:pPr>
        <w:spacing w:line="360" w:lineRule="auto"/>
        <w:ind w:firstLine="420" w:firstLineChars="200"/>
        <w:rPr>
          <w:szCs w:val="21"/>
        </w:rPr>
      </w:pPr>
      <w:r>
        <w:rPr>
          <w:rFonts w:hint="eastAsia"/>
          <w:szCs w:val="21"/>
        </w:rPr>
        <w:t>具体内容、比例和评价参考标准如表</w:t>
      </w:r>
      <w:r>
        <w:rPr>
          <w:szCs w:val="21"/>
        </w:rPr>
        <w:t>5</w:t>
      </w:r>
      <w:r>
        <w:rPr>
          <w:rFonts w:hint="eastAsia"/>
          <w:szCs w:val="21"/>
        </w:rPr>
        <w:t>所示。</w:t>
      </w:r>
    </w:p>
    <w:p w14:paraId="7675EAAF">
      <w:pPr>
        <w:spacing w:line="360" w:lineRule="auto"/>
        <w:ind w:firstLine="420" w:firstLineChars="200"/>
        <w:jc w:val="center"/>
        <w:rPr>
          <w:szCs w:val="21"/>
        </w:rPr>
      </w:pPr>
      <w:r>
        <w:rPr>
          <w:rFonts w:hint="eastAsia"/>
          <w:szCs w:val="21"/>
        </w:rPr>
        <w:t>表</w:t>
      </w:r>
      <w:r>
        <w:rPr>
          <w:szCs w:val="21"/>
        </w:rPr>
        <w:t xml:space="preserve">5  </w:t>
      </w:r>
      <w:r>
        <w:rPr>
          <w:rFonts w:hint="eastAsia"/>
          <w:szCs w:val="21"/>
        </w:rPr>
        <w:t>考核总评成绩组成及评价细则表</w:t>
      </w:r>
    </w:p>
    <w:tbl>
      <w:tblPr>
        <w:tblStyle w:val="11"/>
        <w:tblW w:w="8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590"/>
        <w:gridCol w:w="1276"/>
        <w:gridCol w:w="5037"/>
      </w:tblGrid>
      <w:tr w14:paraId="636E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shd w:val="clear" w:color="auto" w:fill="FFFFFF"/>
            <w:tcMar>
              <w:left w:w="57" w:type="dxa"/>
              <w:right w:w="57" w:type="dxa"/>
            </w:tcMar>
            <w:vAlign w:val="center"/>
          </w:tcPr>
          <w:p w14:paraId="24B93988">
            <w:pPr>
              <w:pStyle w:val="30"/>
              <w:snapToGrid w:val="0"/>
              <w:jc w:val="center"/>
              <w:rPr>
                <w:rFonts w:eastAsia="宋体"/>
                <w:b/>
                <w:bCs/>
                <w:szCs w:val="21"/>
              </w:rPr>
            </w:pPr>
            <w:r>
              <w:rPr>
                <w:rFonts w:eastAsia="宋体"/>
                <w:b/>
                <w:bCs/>
                <w:szCs w:val="21"/>
              </w:rPr>
              <w:t>成绩组成</w:t>
            </w:r>
          </w:p>
        </w:tc>
        <w:tc>
          <w:tcPr>
            <w:tcW w:w="1590" w:type="dxa"/>
            <w:shd w:val="clear" w:color="auto" w:fill="FFFFFF"/>
            <w:vAlign w:val="center"/>
          </w:tcPr>
          <w:p w14:paraId="70E0D6EB">
            <w:pPr>
              <w:pStyle w:val="30"/>
              <w:snapToGrid w:val="0"/>
              <w:jc w:val="center"/>
              <w:rPr>
                <w:rFonts w:eastAsia="宋体"/>
                <w:b/>
                <w:bCs/>
                <w:szCs w:val="21"/>
              </w:rPr>
            </w:pPr>
            <w:r>
              <w:rPr>
                <w:rFonts w:eastAsia="宋体"/>
                <w:b/>
                <w:bCs/>
                <w:szCs w:val="21"/>
              </w:rPr>
              <w:t>考核/评价环节</w:t>
            </w:r>
          </w:p>
        </w:tc>
        <w:tc>
          <w:tcPr>
            <w:tcW w:w="1276" w:type="dxa"/>
            <w:shd w:val="clear" w:color="auto" w:fill="FFFFFF"/>
            <w:vAlign w:val="center"/>
          </w:tcPr>
          <w:p w14:paraId="7CA1DE44">
            <w:pPr>
              <w:pStyle w:val="30"/>
              <w:snapToGrid w:val="0"/>
              <w:jc w:val="center"/>
              <w:rPr>
                <w:rFonts w:eastAsia="宋体"/>
                <w:b/>
                <w:bCs/>
                <w:szCs w:val="21"/>
              </w:rPr>
            </w:pPr>
            <w:r>
              <w:rPr>
                <w:rFonts w:hint="eastAsia" w:eastAsia="宋体"/>
                <w:b/>
                <w:bCs/>
                <w:szCs w:val="21"/>
              </w:rPr>
              <w:t>权重</w:t>
            </w:r>
          </w:p>
        </w:tc>
        <w:tc>
          <w:tcPr>
            <w:tcW w:w="5037" w:type="dxa"/>
            <w:shd w:val="clear" w:color="auto" w:fill="FFFFFF"/>
            <w:vAlign w:val="center"/>
          </w:tcPr>
          <w:p w14:paraId="68D8E24B">
            <w:pPr>
              <w:pStyle w:val="30"/>
              <w:snapToGrid w:val="0"/>
              <w:jc w:val="center"/>
              <w:rPr>
                <w:rFonts w:eastAsia="宋体"/>
                <w:b/>
                <w:bCs/>
                <w:szCs w:val="21"/>
              </w:rPr>
            </w:pPr>
            <w:r>
              <w:rPr>
                <w:rFonts w:eastAsia="宋体"/>
                <w:b/>
                <w:bCs/>
                <w:szCs w:val="21"/>
              </w:rPr>
              <w:t>考核/评价细则</w:t>
            </w:r>
          </w:p>
        </w:tc>
      </w:tr>
      <w:tr w14:paraId="0671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19" w:type="dxa"/>
            <w:tcMar>
              <w:left w:w="57" w:type="dxa"/>
              <w:right w:w="57" w:type="dxa"/>
            </w:tcMar>
            <w:vAlign w:val="center"/>
          </w:tcPr>
          <w:p w14:paraId="17A85049">
            <w:pPr>
              <w:pStyle w:val="30"/>
              <w:snapToGrid w:val="0"/>
              <w:jc w:val="center"/>
              <w:rPr>
                <w:rFonts w:eastAsia="宋体"/>
                <w:szCs w:val="21"/>
              </w:rPr>
            </w:pPr>
            <w:r>
              <w:rPr>
                <w:rFonts w:eastAsia="宋体"/>
                <w:szCs w:val="21"/>
              </w:rPr>
              <w:t>期末考试</w:t>
            </w:r>
          </w:p>
        </w:tc>
        <w:tc>
          <w:tcPr>
            <w:tcW w:w="1590" w:type="dxa"/>
            <w:vAlign w:val="center"/>
          </w:tcPr>
          <w:p w14:paraId="2F1CB6D8">
            <w:pPr>
              <w:pStyle w:val="30"/>
              <w:snapToGrid w:val="0"/>
              <w:jc w:val="center"/>
              <w:rPr>
                <w:rFonts w:eastAsia="宋体"/>
                <w:szCs w:val="21"/>
              </w:rPr>
            </w:pPr>
            <w:r>
              <w:rPr>
                <w:rFonts w:eastAsia="宋体"/>
                <w:szCs w:val="21"/>
              </w:rPr>
              <w:t>期末考试</w:t>
            </w:r>
          </w:p>
          <w:p w14:paraId="7B9F4A64">
            <w:pPr>
              <w:pStyle w:val="30"/>
              <w:snapToGrid w:val="0"/>
              <w:jc w:val="center"/>
              <w:rPr>
                <w:rFonts w:eastAsia="宋体"/>
                <w:szCs w:val="21"/>
              </w:rPr>
            </w:pPr>
            <w:r>
              <w:rPr>
                <w:rFonts w:hint="eastAsia" w:eastAsia="宋体"/>
                <w:szCs w:val="21"/>
              </w:rPr>
              <w:t>卷面</w:t>
            </w:r>
            <w:r>
              <w:rPr>
                <w:rFonts w:eastAsia="宋体"/>
                <w:szCs w:val="21"/>
              </w:rPr>
              <w:t>成绩</w:t>
            </w:r>
          </w:p>
        </w:tc>
        <w:tc>
          <w:tcPr>
            <w:tcW w:w="1276" w:type="dxa"/>
            <w:vAlign w:val="center"/>
          </w:tcPr>
          <w:p w14:paraId="28F5DAF0">
            <w:pPr>
              <w:pStyle w:val="30"/>
              <w:snapToGrid w:val="0"/>
              <w:jc w:val="center"/>
              <w:rPr>
                <w:rFonts w:eastAsia="宋体"/>
                <w:szCs w:val="21"/>
              </w:rPr>
            </w:pPr>
            <w:r>
              <w:rPr>
                <w:rFonts w:hint="eastAsia" w:eastAsia="宋体"/>
                <w:szCs w:val="21"/>
              </w:rPr>
              <w:t>1</w:t>
            </w:r>
            <w:r>
              <w:rPr>
                <w:rFonts w:eastAsia="宋体"/>
                <w:szCs w:val="21"/>
              </w:rPr>
              <w:t>00%</w:t>
            </w:r>
          </w:p>
        </w:tc>
        <w:tc>
          <w:tcPr>
            <w:tcW w:w="5037" w:type="dxa"/>
            <w:vAlign w:val="center"/>
          </w:tcPr>
          <w:p w14:paraId="7ADCDF5B">
            <w:pPr>
              <w:pStyle w:val="30"/>
              <w:snapToGrid w:val="0"/>
              <w:ind w:firstLine="420" w:firstLineChars="200"/>
              <w:rPr>
                <w:rFonts w:eastAsia="宋体"/>
                <w:szCs w:val="21"/>
              </w:rPr>
            </w:pPr>
            <w:r>
              <w:rPr>
                <w:rFonts w:hint="eastAsia" w:eastAsia="宋体"/>
                <w:szCs w:val="21"/>
              </w:rPr>
              <w:t>通过规定考试时长、答题次数、试题类型（如单选、多选、判断）及随机组卷规则，确保考核的全面性与公平性。明确规定考试总分达到80分方为合格，并补充说明补考或重修的具体政策。旨在通过技术手段保障信度，以多元评价保障效度，最终确保学生真正掌握安全知识与技能。</w:t>
            </w:r>
          </w:p>
        </w:tc>
      </w:tr>
    </w:tbl>
    <w:p w14:paraId="52E43490">
      <w:pPr>
        <w:snapToGrid w:val="0"/>
        <w:spacing w:line="360" w:lineRule="auto"/>
        <w:ind w:firstLine="420" w:firstLineChars="200"/>
        <w:rPr>
          <w:szCs w:val="21"/>
        </w:rPr>
      </w:pPr>
      <w:r>
        <w:rPr>
          <w:szCs w:val="21"/>
        </w:rPr>
        <w:t>（三）</w:t>
      </w:r>
      <w:r>
        <w:rPr>
          <w:rFonts w:hint="eastAsia"/>
          <w:szCs w:val="21"/>
        </w:rPr>
        <w:t>课程目标考核说明</w:t>
      </w:r>
    </w:p>
    <w:p w14:paraId="17C161F7">
      <w:pPr>
        <w:snapToGrid w:val="0"/>
        <w:spacing w:line="360" w:lineRule="auto"/>
        <w:ind w:firstLine="420" w:firstLineChars="200"/>
        <w:rPr>
          <w:szCs w:val="21"/>
        </w:rPr>
      </w:pPr>
      <w:r>
        <w:rPr>
          <w:rFonts w:hint="eastAsia"/>
          <w:szCs w:val="21"/>
        </w:rPr>
        <w:t>为能够证明学生本课程考核成绩合格，即可达到课程教学目标的要求，制定《课程教学目标考核方案一览表》，如表</w:t>
      </w:r>
      <w:r>
        <w:rPr>
          <w:szCs w:val="21"/>
        </w:rPr>
        <w:t>6</w:t>
      </w:r>
      <w:r>
        <w:rPr>
          <w:rFonts w:hint="eastAsia"/>
          <w:szCs w:val="21"/>
        </w:rPr>
        <w:t>所示。</w:t>
      </w:r>
    </w:p>
    <w:p w14:paraId="70D7F88D">
      <w:pPr>
        <w:adjustRightInd w:val="0"/>
        <w:snapToGrid w:val="0"/>
        <w:spacing w:line="360" w:lineRule="auto"/>
        <w:ind w:left="596" w:hanging="596"/>
        <w:jc w:val="center"/>
        <w:rPr>
          <w:color w:val="000000"/>
          <w:szCs w:val="21"/>
        </w:rPr>
      </w:pPr>
      <w:r>
        <w:rPr>
          <w:color w:val="000000"/>
          <w:szCs w:val="21"/>
        </w:rPr>
        <w:t>表6  课程目标考核方案一览表</w:t>
      </w:r>
    </w:p>
    <w:tbl>
      <w:tblPr>
        <w:tblStyle w:val="11"/>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937"/>
        <w:gridCol w:w="1240"/>
        <w:gridCol w:w="733"/>
        <w:gridCol w:w="4924"/>
      </w:tblGrid>
      <w:tr w14:paraId="25917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8671F6D">
            <w:pPr>
              <w:adjustRightInd w:val="0"/>
              <w:snapToGrid w:val="0"/>
              <w:jc w:val="center"/>
              <w:rPr>
                <w:b/>
                <w:bCs/>
                <w:color w:val="000000"/>
                <w:szCs w:val="21"/>
              </w:rPr>
            </w:pPr>
            <w:r>
              <w:rPr>
                <w:b/>
                <w:bCs/>
                <w:color w:val="000000"/>
                <w:szCs w:val="21"/>
              </w:rPr>
              <w:t>课程支撑的毕业要求</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72D6926">
            <w:pPr>
              <w:adjustRightInd w:val="0"/>
              <w:snapToGrid w:val="0"/>
              <w:jc w:val="center"/>
              <w:rPr>
                <w:b/>
                <w:bCs/>
                <w:color w:val="000000"/>
                <w:szCs w:val="21"/>
              </w:rPr>
            </w:pPr>
            <w:r>
              <w:rPr>
                <w:b/>
                <w:bCs/>
                <w:color w:val="000000"/>
                <w:szCs w:val="21"/>
              </w:rPr>
              <w:t>课程</w:t>
            </w:r>
            <w:r>
              <w:rPr>
                <w:rFonts w:hint="eastAsia"/>
                <w:b/>
                <w:bCs/>
                <w:color w:val="000000"/>
                <w:szCs w:val="21"/>
              </w:rPr>
              <w:t>教学</w:t>
            </w:r>
            <w:r>
              <w:rPr>
                <w:b/>
                <w:bCs/>
                <w:color w:val="000000"/>
                <w:szCs w:val="21"/>
              </w:rPr>
              <w:t>目标</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4279465">
            <w:pPr>
              <w:adjustRightInd w:val="0"/>
              <w:snapToGrid w:val="0"/>
              <w:jc w:val="center"/>
              <w:rPr>
                <w:b/>
                <w:bCs/>
                <w:color w:val="000000"/>
                <w:szCs w:val="21"/>
              </w:rPr>
            </w:pPr>
            <w:r>
              <w:rPr>
                <w:b/>
                <w:bCs/>
                <w:color w:val="000000"/>
                <w:szCs w:val="21"/>
              </w:rPr>
              <w:t>考核内容</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D74CC5F">
            <w:pPr>
              <w:adjustRightInd w:val="0"/>
              <w:snapToGrid w:val="0"/>
              <w:jc w:val="center"/>
              <w:rPr>
                <w:b/>
                <w:bCs/>
                <w:color w:val="000000"/>
                <w:szCs w:val="21"/>
              </w:rPr>
            </w:pPr>
            <w:r>
              <w:rPr>
                <w:b/>
                <w:bCs/>
                <w:color w:val="000000"/>
                <w:szCs w:val="21"/>
              </w:rPr>
              <w:t>考核形式</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4D11EA5">
            <w:pPr>
              <w:adjustRightInd w:val="0"/>
              <w:snapToGrid w:val="0"/>
              <w:jc w:val="center"/>
              <w:rPr>
                <w:b/>
                <w:bCs/>
                <w:color w:val="000000"/>
                <w:szCs w:val="21"/>
              </w:rPr>
            </w:pPr>
            <w:r>
              <w:rPr>
                <w:b/>
                <w:bCs/>
                <w:color w:val="000000"/>
                <w:szCs w:val="21"/>
              </w:rPr>
              <w:t>考核原始材料（说明：试卷、作业、实验报告、技术报告、过程记录、实习总结等，纸质或电子稿）</w:t>
            </w:r>
          </w:p>
        </w:tc>
      </w:tr>
      <w:tr w14:paraId="0788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0" w:type="auto"/>
            <w:tcBorders>
              <w:left w:val="single" w:color="auto" w:sz="4" w:space="0"/>
              <w:right w:val="single" w:color="auto" w:sz="4" w:space="0"/>
            </w:tcBorders>
            <w:vAlign w:val="center"/>
          </w:tcPr>
          <w:p w14:paraId="5910BE4B">
            <w:pPr>
              <w:adjustRightInd w:val="0"/>
              <w:snapToGrid w:val="0"/>
              <w:jc w:val="center"/>
              <w:rPr>
                <w:color w:val="000000"/>
                <w:szCs w:val="21"/>
              </w:rPr>
            </w:pPr>
          </w:p>
        </w:tc>
        <w:tc>
          <w:tcPr>
            <w:tcW w:w="0" w:type="auto"/>
            <w:tcBorders>
              <w:top w:val="single" w:color="auto" w:sz="4" w:space="0"/>
              <w:left w:val="single" w:color="auto" w:sz="4" w:space="0"/>
              <w:right w:val="single" w:color="auto" w:sz="4" w:space="0"/>
            </w:tcBorders>
            <w:vAlign w:val="center"/>
          </w:tcPr>
          <w:p w14:paraId="72612207">
            <w:pPr>
              <w:adjustRightInd w:val="0"/>
              <w:snapToGrid w:val="0"/>
              <w:jc w:val="center"/>
              <w:rPr>
                <w:color w:val="000000"/>
                <w:szCs w:val="21"/>
              </w:rPr>
            </w:pPr>
            <w:r>
              <w:rPr>
                <w:rFonts w:hint="eastAsia"/>
                <w:color w:val="000000"/>
                <w:szCs w:val="21"/>
              </w:rPr>
              <w:t>目标1</w:t>
            </w:r>
          </w:p>
        </w:tc>
        <w:tc>
          <w:tcPr>
            <w:tcW w:w="0" w:type="auto"/>
            <w:tcBorders>
              <w:top w:val="single" w:color="auto" w:sz="4" w:space="0"/>
              <w:left w:val="single" w:color="auto" w:sz="4" w:space="0"/>
              <w:bottom w:val="single" w:color="auto" w:sz="4" w:space="0"/>
              <w:right w:val="single" w:color="auto" w:sz="4" w:space="0"/>
            </w:tcBorders>
            <w:vAlign w:val="center"/>
          </w:tcPr>
          <w:p w14:paraId="13635E22">
            <w:pPr>
              <w:adjustRightInd w:val="0"/>
              <w:snapToGrid w:val="0"/>
              <w:jc w:val="center"/>
              <w:rPr>
                <w:szCs w:val="21"/>
              </w:rPr>
            </w:pPr>
            <w:r>
              <w:rPr>
                <w:rFonts w:hint="eastAsia"/>
                <w:szCs w:val="21"/>
              </w:rPr>
              <w:t>实验室安全相关内容</w:t>
            </w:r>
          </w:p>
        </w:tc>
        <w:tc>
          <w:tcPr>
            <w:tcW w:w="0" w:type="auto"/>
            <w:tcBorders>
              <w:top w:val="single" w:color="auto" w:sz="4" w:space="0"/>
              <w:left w:val="single" w:color="auto" w:sz="4" w:space="0"/>
              <w:bottom w:val="single" w:color="auto" w:sz="4" w:space="0"/>
              <w:right w:val="single" w:color="auto" w:sz="4" w:space="0"/>
            </w:tcBorders>
            <w:vAlign w:val="center"/>
          </w:tcPr>
          <w:p w14:paraId="661EEDEE">
            <w:pPr>
              <w:adjustRightInd w:val="0"/>
              <w:snapToGrid w:val="0"/>
              <w:jc w:val="center"/>
              <w:rPr>
                <w:color w:val="000000"/>
                <w:szCs w:val="21"/>
              </w:rPr>
            </w:pPr>
            <w:r>
              <w:rPr>
                <w:rFonts w:hint="eastAsia"/>
                <w:color w:val="000000"/>
                <w:szCs w:val="21"/>
              </w:rPr>
              <w:t>在线答题</w:t>
            </w:r>
          </w:p>
        </w:tc>
        <w:tc>
          <w:tcPr>
            <w:tcW w:w="0" w:type="auto"/>
            <w:tcBorders>
              <w:top w:val="single" w:color="auto" w:sz="4" w:space="0"/>
              <w:left w:val="single" w:color="auto" w:sz="4" w:space="0"/>
              <w:bottom w:val="single" w:color="auto" w:sz="4" w:space="0"/>
              <w:right w:val="single" w:color="auto" w:sz="4" w:space="0"/>
            </w:tcBorders>
            <w:vAlign w:val="center"/>
          </w:tcPr>
          <w:p w14:paraId="4B9AAA69">
            <w:pPr>
              <w:adjustRightInd w:val="0"/>
              <w:snapToGrid w:val="0"/>
              <w:rPr>
                <w:color w:val="000000"/>
                <w:szCs w:val="21"/>
              </w:rPr>
            </w:pPr>
            <w:r>
              <w:rPr>
                <w:color w:val="000000"/>
                <w:szCs w:val="21"/>
              </w:rPr>
              <w:t>平台保留随机组卷的答卷情况，实时生成考试成绩。</w:t>
            </w:r>
          </w:p>
        </w:tc>
      </w:tr>
    </w:tbl>
    <w:p w14:paraId="17F14A33">
      <w:pPr>
        <w:snapToGrid w:val="0"/>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1EB84997">
      <w:pPr>
        <w:adjustRightInd w:val="0"/>
        <w:snapToGrid w:val="0"/>
        <w:spacing w:line="360" w:lineRule="auto"/>
        <w:ind w:firstLine="422" w:firstLineChars="200"/>
        <w:rPr>
          <w:b/>
          <w:color w:val="000000"/>
          <w:szCs w:val="21"/>
        </w:rPr>
      </w:pPr>
      <w:r>
        <w:rPr>
          <w:rFonts w:hint="eastAsia"/>
          <w:b/>
          <w:color w:val="000000"/>
          <w:szCs w:val="21"/>
        </w:rPr>
        <w:t>（一）持续改进</w:t>
      </w:r>
    </w:p>
    <w:p w14:paraId="1EEBEF23">
      <w:pPr>
        <w:snapToGrid w:val="0"/>
        <w:spacing w:line="360" w:lineRule="auto"/>
        <w:ind w:firstLine="420" w:firstLineChars="200"/>
        <w:rPr>
          <w:szCs w:val="21"/>
        </w:rPr>
      </w:pPr>
      <w:r>
        <w:rPr>
          <w:rFonts w:hint="eastAsia"/>
          <w:szCs w:val="21"/>
        </w:rPr>
        <w:t>加强网上资源建设，丰富习题库与案例库，注意激发学生的学习兴趣，加强对基础知识的掌握。</w:t>
      </w:r>
    </w:p>
    <w:p w14:paraId="5C41DDEA">
      <w:pPr>
        <w:snapToGrid w:val="0"/>
        <w:spacing w:line="360" w:lineRule="auto"/>
        <w:ind w:firstLine="422" w:firstLineChars="200"/>
        <w:rPr>
          <w:b/>
          <w:color w:val="000000"/>
          <w:szCs w:val="21"/>
        </w:rPr>
      </w:pPr>
      <w:r>
        <w:rPr>
          <w:rFonts w:hint="eastAsia"/>
          <w:b/>
          <w:color w:val="000000"/>
          <w:szCs w:val="21"/>
        </w:rPr>
        <w:t>（二）</w:t>
      </w:r>
      <w:r>
        <w:rPr>
          <w:b/>
          <w:color w:val="000000"/>
          <w:szCs w:val="21"/>
        </w:rPr>
        <w:t>参考书目及学习资料</w:t>
      </w:r>
    </w:p>
    <w:p w14:paraId="65EB4FCB">
      <w:pPr>
        <w:autoSpaceDE w:val="0"/>
        <w:autoSpaceDN w:val="0"/>
        <w:adjustRightInd w:val="0"/>
        <w:snapToGrid w:val="0"/>
        <w:spacing w:line="360" w:lineRule="auto"/>
        <w:ind w:firstLine="420" w:firstLineChars="200"/>
        <w:jc w:val="left"/>
        <w:rPr>
          <w:kern w:val="0"/>
          <w:szCs w:val="21"/>
        </w:rPr>
      </w:pPr>
      <w:r>
        <w:rPr>
          <w:rFonts w:hint="eastAsia"/>
          <w:kern w:val="0"/>
          <w:szCs w:val="21"/>
        </w:rPr>
        <w:t>1</w:t>
      </w:r>
      <w:r>
        <w:rPr>
          <w:kern w:val="0"/>
          <w:szCs w:val="21"/>
        </w:rPr>
        <w:t>.</w:t>
      </w:r>
      <w:r>
        <w:rPr>
          <w:rFonts w:hint="eastAsia"/>
          <w:szCs w:val="21"/>
        </w:rPr>
        <w:t xml:space="preserve"> </w:t>
      </w:r>
      <w:r>
        <w:rPr>
          <w:rFonts w:hint="eastAsia"/>
          <w:kern w:val="0"/>
          <w:szCs w:val="21"/>
        </w:rPr>
        <w:t>《新时代大学生安全教育》，宋卓充、程星晶、顾英，清华大学出版社， 20</w:t>
      </w:r>
      <w:r>
        <w:rPr>
          <w:kern w:val="0"/>
          <w:szCs w:val="21"/>
        </w:rPr>
        <w:t>24</w:t>
      </w:r>
      <w:r>
        <w:rPr>
          <w:rFonts w:hint="eastAsia"/>
          <w:kern w:val="0"/>
          <w:szCs w:val="21"/>
        </w:rPr>
        <w:t>年第一版；</w:t>
      </w:r>
    </w:p>
    <w:p w14:paraId="0F610D45">
      <w:pPr>
        <w:autoSpaceDE w:val="0"/>
        <w:autoSpaceDN w:val="0"/>
        <w:adjustRightInd w:val="0"/>
        <w:snapToGrid w:val="0"/>
        <w:spacing w:line="360" w:lineRule="auto"/>
        <w:ind w:firstLine="420" w:firstLineChars="200"/>
        <w:jc w:val="left"/>
        <w:rPr>
          <w:kern w:val="0"/>
          <w:szCs w:val="21"/>
        </w:rPr>
      </w:pPr>
      <w:r>
        <w:rPr>
          <w:rFonts w:hint="eastAsia"/>
          <w:kern w:val="0"/>
          <w:szCs w:val="21"/>
        </w:rPr>
        <w:t>2．《实验室安全知识手册》，王传虎，吕思斌，安徽大学出版社，2018年第一版；</w:t>
      </w:r>
    </w:p>
    <w:p w14:paraId="1946C079">
      <w:pPr>
        <w:autoSpaceDE w:val="0"/>
        <w:autoSpaceDN w:val="0"/>
        <w:adjustRightInd w:val="0"/>
        <w:snapToGrid w:val="0"/>
        <w:spacing w:line="360" w:lineRule="auto"/>
        <w:ind w:firstLine="420" w:firstLineChars="200"/>
        <w:jc w:val="left"/>
        <w:rPr>
          <w:kern w:val="0"/>
          <w:szCs w:val="21"/>
        </w:rPr>
      </w:pPr>
      <w:r>
        <w:rPr>
          <w:rFonts w:hint="eastAsia"/>
          <w:kern w:val="0"/>
          <w:szCs w:val="21"/>
        </w:rPr>
        <w:t>3．</w:t>
      </w:r>
      <w:r>
        <w:rPr>
          <w:kern w:val="0"/>
          <w:szCs w:val="21"/>
        </w:rPr>
        <w:t>《高校实验室安全教育》，阳富强，化</w:t>
      </w:r>
      <w:r>
        <w:rPr>
          <w:rFonts w:hint="eastAsia"/>
          <w:kern w:val="0"/>
          <w:szCs w:val="21"/>
        </w:rPr>
        <w:t>学</w:t>
      </w:r>
      <w:r>
        <w:rPr>
          <w:kern w:val="0"/>
          <w:szCs w:val="21"/>
        </w:rPr>
        <w:t>工业出版社，</w:t>
      </w:r>
      <w:r>
        <w:rPr>
          <w:rFonts w:hint="eastAsia"/>
          <w:kern w:val="0"/>
          <w:szCs w:val="21"/>
        </w:rPr>
        <w:t>2</w:t>
      </w:r>
      <w:r>
        <w:rPr>
          <w:kern w:val="0"/>
          <w:szCs w:val="21"/>
        </w:rPr>
        <w:t>024年第一版</w:t>
      </w:r>
    </w:p>
    <w:p w14:paraId="4A52A278">
      <w:pPr>
        <w:autoSpaceDE w:val="0"/>
        <w:autoSpaceDN w:val="0"/>
        <w:adjustRightInd w:val="0"/>
        <w:snapToGrid w:val="0"/>
        <w:spacing w:line="360" w:lineRule="auto"/>
        <w:ind w:firstLine="420" w:firstLineChars="200"/>
        <w:jc w:val="left"/>
        <w:rPr>
          <w:kern w:val="0"/>
          <w:szCs w:val="21"/>
        </w:rPr>
      </w:pPr>
      <w:r>
        <w:rPr>
          <w:rFonts w:hint="eastAsia"/>
          <w:kern w:val="0"/>
          <w:szCs w:val="21"/>
        </w:rPr>
        <w:t>4．《高校实验室安全基础教程》，李文杰、黄妙龄、王名宫，化学工业出版社，2</w:t>
      </w:r>
      <w:r>
        <w:rPr>
          <w:kern w:val="0"/>
          <w:szCs w:val="21"/>
        </w:rPr>
        <w:t>024年第一版</w:t>
      </w:r>
    </w:p>
    <w:p w14:paraId="5F2FBE7E">
      <w:pPr>
        <w:autoSpaceDE w:val="0"/>
        <w:autoSpaceDN w:val="0"/>
        <w:adjustRightInd w:val="0"/>
        <w:snapToGrid w:val="0"/>
        <w:spacing w:line="360" w:lineRule="auto"/>
        <w:ind w:firstLine="420" w:firstLineChars="200"/>
        <w:jc w:val="left"/>
        <w:rPr>
          <w:szCs w:val="21"/>
        </w:rPr>
      </w:pPr>
      <w:r>
        <w:rPr>
          <w:kern w:val="0"/>
          <w:szCs w:val="21"/>
        </w:rPr>
        <w:t>3</w:t>
      </w:r>
      <w:r>
        <w:rPr>
          <w:rFonts w:hint="eastAsia"/>
          <w:kern w:val="0"/>
          <w:szCs w:val="21"/>
        </w:rPr>
        <w:t xml:space="preserve">. </w:t>
      </w:r>
      <w:r>
        <w:rPr>
          <w:szCs w:val="21"/>
        </w:rPr>
        <w:t>数字化教学</w:t>
      </w:r>
      <w:r>
        <w:rPr>
          <w:rFonts w:hint="eastAsia"/>
          <w:szCs w:val="21"/>
        </w:rPr>
        <w:t>资源</w:t>
      </w:r>
      <w:r>
        <w:rPr>
          <w:szCs w:val="21"/>
        </w:rPr>
        <w:t>链接</w:t>
      </w:r>
    </w:p>
    <w:p w14:paraId="45ABCD00">
      <w:pPr>
        <w:autoSpaceDE w:val="0"/>
        <w:autoSpaceDN w:val="0"/>
        <w:adjustRightInd w:val="0"/>
        <w:snapToGrid w:val="0"/>
        <w:spacing w:line="360" w:lineRule="auto"/>
        <w:ind w:firstLine="420" w:firstLineChars="200"/>
        <w:jc w:val="left"/>
        <w:rPr>
          <w:szCs w:val="21"/>
        </w:rPr>
      </w:pPr>
      <w:r>
        <w:rPr>
          <w:rFonts w:hint="eastAsia"/>
          <w:szCs w:val="21"/>
        </w:rPr>
        <w:t>电脑端登录：http://211.70.98.220/pc/，手机端登录：http://211.70. 98.220 / Mobile/</w:t>
      </w:r>
    </w:p>
    <w:p w14:paraId="6AE4620C">
      <w:pPr>
        <w:autoSpaceDE w:val="0"/>
        <w:autoSpaceDN w:val="0"/>
        <w:adjustRightInd w:val="0"/>
        <w:spacing w:line="360" w:lineRule="auto"/>
        <w:ind w:firstLine="5250" w:firstLineChars="2500"/>
        <w:jc w:val="right"/>
        <w:rPr>
          <w:kern w:val="0"/>
          <w:szCs w:val="21"/>
        </w:rPr>
      </w:pPr>
      <w:r>
        <w:rPr>
          <w:rFonts w:hint="eastAsia"/>
          <w:kern w:val="0"/>
          <w:szCs w:val="21"/>
        </w:rPr>
        <w:t xml:space="preserve">执笔人：王文娟 </w:t>
      </w:r>
    </w:p>
    <w:p w14:paraId="56925986">
      <w:pPr>
        <w:autoSpaceDE w:val="0"/>
        <w:autoSpaceDN w:val="0"/>
        <w:adjustRightInd w:val="0"/>
        <w:spacing w:line="360" w:lineRule="auto"/>
        <w:ind w:firstLine="5250" w:firstLineChars="2500"/>
        <w:jc w:val="right"/>
        <w:rPr>
          <w:kern w:val="0"/>
          <w:szCs w:val="21"/>
        </w:rPr>
      </w:pPr>
      <w:r>
        <w:rPr>
          <w:rFonts w:hint="eastAsia"/>
          <w:kern w:val="0"/>
          <w:szCs w:val="21"/>
        </w:rPr>
        <w:t xml:space="preserve">审定人：常 </w:t>
      </w:r>
      <w:r>
        <w:rPr>
          <w:kern w:val="0"/>
          <w:szCs w:val="21"/>
        </w:rPr>
        <w:t xml:space="preserve"> </w:t>
      </w:r>
      <w:r>
        <w:rPr>
          <w:rFonts w:hint="eastAsia"/>
          <w:kern w:val="0"/>
          <w:szCs w:val="21"/>
        </w:rPr>
        <w:t xml:space="preserve">睿 </w:t>
      </w:r>
    </w:p>
    <w:p w14:paraId="47814A90">
      <w:pPr>
        <w:wordWrap w:val="0"/>
        <w:autoSpaceDE w:val="0"/>
        <w:autoSpaceDN w:val="0"/>
        <w:adjustRightInd w:val="0"/>
        <w:spacing w:line="360" w:lineRule="auto"/>
        <w:ind w:firstLine="5250" w:firstLineChars="2500"/>
        <w:jc w:val="right"/>
        <w:rPr>
          <w:kern w:val="0"/>
          <w:szCs w:val="21"/>
        </w:rPr>
      </w:pPr>
      <w:r>
        <w:rPr>
          <w:rFonts w:hint="eastAsia"/>
          <w:kern w:val="0"/>
          <w:szCs w:val="21"/>
        </w:rPr>
        <w:t>审批人：潘雪涛</w:t>
      </w:r>
    </w:p>
    <w:p w14:paraId="46164AD5">
      <w:pPr>
        <w:autoSpaceDE w:val="0"/>
        <w:autoSpaceDN w:val="0"/>
        <w:adjustRightInd w:val="0"/>
        <w:spacing w:line="360" w:lineRule="auto"/>
        <w:ind w:firstLine="5250" w:firstLineChars="2500"/>
        <w:jc w:val="right"/>
        <w:rPr>
          <w:rFonts w:eastAsia="宋体"/>
          <w:kern w:val="0"/>
          <w:szCs w:val="21"/>
        </w:rPr>
      </w:pPr>
      <w:r>
        <w:rPr>
          <w:rFonts w:hint="eastAsia"/>
          <w:kern w:val="0"/>
          <w:szCs w:val="21"/>
        </w:rPr>
        <w:t>审批时间：2025年8月</w:t>
      </w:r>
    </w:p>
    <w:p w14:paraId="6041A305">
      <w:pPr>
        <w:spacing w:line="312" w:lineRule="auto"/>
        <w:ind w:left="5460" w:right="240"/>
        <w:jc w:val="left"/>
        <w:rPr>
          <w:rFonts w:hint="eastAsia" w:ascii="宋体" w:hAnsi="宋体" w:eastAsia="宋体" w:cs="Times New Roman"/>
          <w:kern w:val="0"/>
          <w:sz w:val="24"/>
          <w:szCs w:val="21"/>
        </w:rPr>
      </w:pPr>
      <w:r>
        <w:rPr>
          <w:rFonts w:hint="eastAsia"/>
          <w:szCs w:val="21"/>
        </w:rPr>
        <w:br w:type="page"/>
      </w:r>
    </w:p>
    <w:p w14:paraId="5117E842">
      <w:pPr>
        <w:spacing w:line="360" w:lineRule="auto"/>
        <w:jc w:val="center"/>
        <w:outlineLvl w:val="0"/>
        <w:rPr>
          <w:rFonts w:ascii="Times New Roman" w:hAnsi="Times New Roman" w:eastAsia="宋体" w:cs="Times New Roman"/>
          <w:b/>
          <w:sz w:val="44"/>
          <w:szCs w:val="44"/>
        </w:rPr>
      </w:pPr>
      <w:bookmarkStart w:id="313" w:name="_Toc22121"/>
      <w:bookmarkStart w:id="314" w:name="_Toc19850"/>
      <w:bookmarkStart w:id="315" w:name="_Toc5153"/>
      <w:bookmarkStart w:id="316" w:name="_Toc31192"/>
      <w:r>
        <w:rPr>
          <w:rFonts w:hint="eastAsia" w:ascii="Times New Roman" w:hAnsi="Times New Roman" w:eastAsia="宋体" w:cs="Times New Roman"/>
          <w:b/>
          <w:sz w:val="44"/>
          <w:szCs w:val="44"/>
        </w:rPr>
        <w:t>《经典阅读与学术素养》课程教学大纲</w:t>
      </w:r>
      <w:bookmarkEnd w:id="313"/>
      <w:bookmarkEnd w:id="314"/>
      <w:bookmarkEnd w:id="315"/>
      <w:bookmarkEnd w:id="316"/>
    </w:p>
    <w:p w14:paraId="1D3605F8">
      <w:pPr>
        <w:spacing w:line="360" w:lineRule="auto"/>
        <w:jc w:val="center"/>
        <w:rPr>
          <w:rFonts w:ascii="Times New Roman" w:hAnsi="Times New Roman" w:eastAsia="宋体" w:cs="Times New Roman"/>
          <w:b/>
          <w:bCs/>
          <w:sz w:val="28"/>
          <w:szCs w:val="28"/>
        </w:rPr>
      </w:pPr>
      <w:bookmarkStart w:id="317" w:name="_Toc5608"/>
      <w:bookmarkStart w:id="318" w:name="_Toc32431"/>
      <w:bookmarkStart w:id="319" w:name="_Toc6968"/>
      <w:bookmarkStart w:id="320" w:name="_Toc27632"/>
      <w:bookmarkStart w:id="321" w:name="_Toc12369"/>
      <w:bookmarkStart w:id="322" w:name="_Toc11188"/>
      <w:bookmarkStart w:id="323" w:name="_Toc14966"/>
      <w:r>
        <w:rPr>
          <w:rFonts w:ascii="Times New Roman" w:hAnsi="Times New Roman" w:eastAsia="宋体" w:cs="Times New Roman"/>
          <w:b/>
          <w:bCs/>
          <w:sz w:val="28"/>
          <w:szCs w:val="28"/>
        </w:rPr>
        <w:t>（Classic Reading and Academic Literacy）</w:t>
      </w:r>
      <w:bookmarkEnd w:id="317"/>
      <w:bookmarkEnd w:id="318"/>
      <w:bookmarkEnd w:id="319"/>
      <w:bookmarkEnd w:id="320"/>
      <w:bookmarkEnd w:id="321"/>
      <w:bookmarkEnd w:id="322"/>
      <w:bookmarkEnd w:id="323"/>
    </w:p>
    <w:p w14:paraId="3C8FB457">
      <w:pPr>
        <w:rPr>
          <w:rFonts w:hint="eastAsia" w:ascii="宋体" w:hAnsi="宋体" w:eastAsia="宋体"/>
        </w:rPr>
      </w:pPr>
    </w:p>
    <w:p w14:paraId="70063EC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经典阅读与学术素养</w:t>
      </w:r>
    </w:p>
    <w:p w14:paraId="3AA2411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2400004</w:t>
      </w:r>
    </w:p>
    <w:p w14:paraId="7DA7D43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2A85190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4F1EBDE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ascii="Times New Roman" w:hAnsi="Times New Roman" w:eastAsia="宋体" w:cs="Times New Roman"/>
          <w:b/>
          <w:sz w:val="24"/>
        </w:rPr>
        <w:t>小学心理学、教育原理、教育心理学、中国教育史、外国教育史、教育哲学</w:t>
      </w:r>
    </w:p>
    <w:p w14:paraId="6967E08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511E12FB">
      <w:pPr>
        <w:spacing w:before="62" w:beforeLines="20" w:after="62" w:afterLines="20" w:line="360" w:lineRule="auto"/>
        <w:jc w:val="left"/>
        <w:rPr>
          <w:rFonts w:ascii="Times New Roman" w:hAnsi="Times New Roman" w:eastAsia="宋体" w:cs="Times New Roman"/>
          <w:b/>
          <w:sz w:val="24"/>
        </w:rPr>
      </w:pPr>
      <w:bookmarkStart w:id="324" w:name="_Toc19566"/>
      <w:bookmarkStart w:id="325" w:name="_Toc17459"/>
      <w:bookmarkStart w:id="326" w:name="_Toc3100"/>
      <w:bookmarkStart w:id="327" w:name="_Toc26841"/>
      <w:bookmarkStart w:id="328" w:name="_Toc21360"/>
      <w:bookmarkStart w:id="329" w:name="_Toc26368"/>
      <w:bookmarkStart w:id="330" w:name="_Toc20528"/>
      <w:r>
        <w:rPr>
          <w:rFonts w:hint="eastAsia" w:ascii="Times New Roman" w:hAnsi="Times New Roman" w:eastAsia="宋体" w:cs="Times New Roman"/>
          <w:b/>
          <w:sz w:val="24"/>
        </w:rPr>
        <w:t>一、课程简介</w:t>
      </w:r>
      <w:bookmarkEnd w:id="324"/>
      <w:bookmarkEnd w:id="325"/>
      <w:bookmarkEnd w:id="326"/>
      <w:bookmarkEnd w:id="327"/>
      <w:bookmarkEnd w:id="328"/>
      <w:bookmarkEnd w:id="329"/>
      <w:bookmarkEnd w:id="330"/>
    </w:p>
    <w:p w14:paraId="09CB02E6">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本课程旨在培养小学教育专业学生的经典阅读能力和学术素养。通过课程学习，学生将能够：掌握经典阅读的方法和技巧；提高独立思考和批判性思维能力；培养学术研究意识和学术规范意识；提升人文素养和综合素质。</w:t>
      </w:r>
    </w:p>
    <w:p w14:paraId="4C3AF19E">
      <w:pPr>
        <w:spacing w:before="62" w:beforeLines="20" w:after="62" w:afterLines="20" w:line="360" w:lineRule="auto"/>
        <w:jc w:val="left"/>
        <w:rPr>
          <w:rFonts w:ascii="Times New Roman" w:hAnsi="Times New Roman" w:eastAsia="宋体" w:cs="Times New Roman"/>
          <w:b/>
          <w:sz w:val="24"/>
        </w:rPr>
      </w:pPr>
      <w:bookmarkStart w:id="331" w:name="_Toc8802"/>
      <w:bookmarkStart w:id="332" w:name="_Toc26303"/>
      <w:bookmarkStart w:id="333" w:name="_Toc5697"/>
      <w:bookmarkStart w:id="334" w:name="_Toc14794"/>
      <w:bookmarkStart w:id="335" w:name="_Toc5969"/>
      <w:bookmarkStart w:id="336" w:name="_Toc28585"/>
      <w:bookmarkStart w:id="337" w:name="_Toc27624"/>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331"/>
      <w:bookmarkEnd w:id="332"/>
      <w:bookmarkEnd w:id="333"/>
      <w:bookmarkEnd w:id="334"/>
      <w:bookmarkEnd w:id="335"/>
      <w:bookmarkEnd w:id="336"/>
      <w:bookmarkEnd w:id="337"/>
    </w:p>
    <w:p w14:paraId="0C541FDB">
      <w:pPr>
        <w:spacing w:line="360" w:lineRule="auto"/>
        <w:ind w:firstLine="422" w:firstLineChars="200"/>
        <w:outlineLvl w:val="1"/>
        <w:rPr>
          <w:rFonts w:hint="eastAsia" w:ascii="宋体" w:hAnsi="宋体" w:eastAsia="宋体" w:cs="Times New Roman"/>
          <w:b/>
          <w:szCs w:val="21"/>
        </w:rPr>
      </w:pPr>
      <w:bookmarkStart w:id="338" w:name="_Toc5030"/>
      <w:r>
        <w:rPr>
          <w:rFonts w:hint="eastAsia" w:ascii="宋体" w:hAnsi="宋体" w:eastAsia="宋体" w:cs="Times New Roman"/>
          <w:b/>
          <w:szCs w:val="21"/>
        </w:rPr>
        <w:t>（一）课程具体目标</w:t>
      </w:r>
      <w:bookmarkEnd w:id="338"/>
    </w:p>
    <w:p w14:paraId="1256C5CA">
      <w:pPr>
        <w:spacing w:line="360" w:lineRule="auto"/>
        <w:ind w:firstLine="422" w:firstLineChars="200"/>
        <w:rPr>
          <w:rFonts w:ascii="Times New Roman" w:hAnsi="Times New Roman" w:eastAsia="宋体" w:cs="Times New Roman"/>
          <w:bCs/>
          <w:szCs w:val="21"/>
        </w:rPr>
      </w:pPr>
      <w:bookmarkStart w:id="339" w:name="OLE_LINK2"/>
      <w:r>
        <w:rPr>
          <w:rFonts w:ascii="Times New Roman" w:hAnsi="Times New Roman" w:eastAsia="宋体" w:cs="Times New Roman"/>
          <w:b/>
          <w:szCs w:val="21"/>
        </w:rPr>
        <w:t>目标1：</w:t>
      </w:r>
      <w:r>
        <w:rPr>
          <w:rFonts w:ascii="Times New Roman" w:hAnsi="Times New Roman" w:eastAsia="宋体" w:cs="Times New Roman"/>
          <w:bCs/>
          <w:szCs w:val="21"/>
        </w:rPr>
        <w:t>熟练掌握经典文献的阅读方法与技巧，深化理解与鉴赏能力。致力于熟练掌握各类经典文献的阅读方法与技巧，通过细致入微的分析与解读，深化对文献内容的理解，同时提升对文学、历史、哲学等经典作品的鉴赏能力，形成独到的见解与感悟。</w:t>
      </w:r>
    </w:p>
    <w:p w14:paraId="25EE96D3">
      <w:pPr>
        <w:spacing w:line="36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目标2：</w:t>
      </w:r>
      <w:r>
        <w:rPr>
          <w:rFonts w:ascii="Times New Roman" w:hAnsi="Times New Roman" w:eastAsia="宋体" w:cs="Times New Roman"/>
          <w:bCs/>
          <w:szCs w:val="21"/>
        </w:rPr>
        <w:t>强化独立思考与批判性思维，培养理性审视问题的能力</w:t>
      </w:r>
      <w:r>
        <w:rPr>
          <w:rFonts w:hint="eastAsia" w:ascii="Times New Roman" w:hAnsi="Times New Roman" w:eastAsia="宋体" w:cs="Times New Roman"/>
          <w:bCs/>
          <w:szCs w:val="21"/>
        </w:rPr>
        <w:t>。</w:t>
      </w:r>
      <w:r>
        <w:rPr>
          <w:rFonts w:ascii="Times New Roman" w:hAnsi="Times New Roman" w:eastAsia="宋体" w:cs="Times New Roman"/>
          <w:bCs/>
          <w:szCs w:val="21"/>
        </w:rPr>
        <w:t>着重增强个体的独立思考能力，通过系统的训练与实践，培养严谨的批判性思维模式。鼓励以理性、客观的态度审视问题，勇于质疑、善于分析，形成独立而深刻的见解。</w:t>
      </w:r>
    </w:p>
    <w:p w14:paraId="4D1CD838">
      <w:pPr>
        <w:spacing w:line="36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目标3：</w:t>
      </w:r>
      <w:r>
        <w:rPr>
          <w:rFonts w:ascii="Times New Roman" w:hAnsi="Times New Roman" w:eastAsia="宋体" w:cs="Times New Roman"/>
          <w:bCs/>
          <w:szCs w:val="21"/>
        </w:rPr>
        <w:t>树立学术研究意识，恪守学术规范，提升科研素养与学术诚信。积极树立学术研究意识，深入理解学术研究的重要性与价值。在科研过程中，严格遵守学术规范，保持高度的学术诚信，不断提升自身的科研素养，为学术研究的深入与发展贡献力量。</w:t>
      </w:r>
    </w:p>
    <w:p w14:paraId="669FC5B1">
      <w:pPr>
        <w:spacing w:line="360" w:lineRule="auto"/>
        <w:ind w:firstLine="422" w:firstLineChars="200"/>
        <w:rPr>
          <w:rFonts w:ascii="Times New Roman" w:hAnsi="Times New Roman" w:eastAsia="宋体" w:cs="Times New Roman"/>
          <w:bCs/>
          <w:szCs w:val="21"/>
        </w:rPr>
      </w:pPr>
      <w:r>
        <w:rPr>
          <w:rFonts w:ascii="Times New Roman" w:hAnsi="Times New Roman" w:eastAsia="宋体" w:cs="Times New Roman"/>
          <w:b/>
          <w:szCs w:val="21"/>
        </w:rPr>
        <w:t>目标4：</w:t>
      </w:r>
      <w:r>
        <w:rPr>
          <w:rFonts w:ascii="Times New Roman" w:hAnsi="Times New Roman" w:eastAsia="宋体" w:cs="Times New Roman"/>
          <w:bCs/>
          <w:szCs w:val="21"/>
        </w:rPr>
        <w:t>全面提升人文素养，拓宽知识视野，强化综合素质，促进个人全面发展。通过广泛阅读、深入学习，拓宽知识视野，增强对人文、社会、科学等多领域的了解与认识。同时，注重强化综合素质的培养，包括沟通能力、团队协作能力、创新能力等，以促进个人的全面发展与成长。</w:t>
      </w:r>
    </w:p>
    <w:bookmarkEnd w:id="339"/>
    <w:p w14:paraId="1A6FFFFA">
      <w:pPr>
        <w:spacing w:line="360" w:lineRule="auto"/>
        <w:ind w:firstLine="198"/>
        <w:jc w:val="left"/>
        <w:outlineLvl w:val="1"/>
        <w:rPr>
          <w:rFonts w:ascii="Times New Roman" w:hAnsi="Times New Roman" w:eastAsia="宋体" w:cs="Times New Roman"/>
          <w:b/>
          <w:bCs/>
          <w:szCs w:val="21"/>
        </w:rPr>
      </w:pPr>
      <w:bookmarkStart w:id="340" w:name="_Toc20106"/>
      <w:r>
        <w:rPr>
          <w:rFonts w:hint="eastAsia" w:ascii="Times New Roman" w:hAnsi="Times New Roman" w:eastAsia="宋体" w:cs="Times New Roman"/>
          <w:b/>
          <w:bCs/>
          <w:szCs w:val="21"/>
        </w:rPr>
        <w:t>（二）课程目标及其对毕业要求指标点的支撑</w:t>
      </w:r>
      <w:bookmarkEnd w:id="340"/>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552"/>
        <w:gridCol w:w="1327"/>
      </w:tblGrid>
      <w:tr w14:paraId="76A4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5BBEA2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552" w:type="dxa"/>
            <w:vAlign w:val="center"/>
          </w:tcPr>
          <w:p w14:paraId="25125C7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4C73197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B45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5A462D0">
            <w:pPr>
              <w:widowControl/>
              <w:rPr>
                <w:rFonts w:hint="eastAsia" w:ascii="宋体" w:hAnsi="宋体" w:eastAsia="宋体" w:cs="Times New Roman"/>
                <w:szCs w:val="23"/>
              </w:rPr>
            </w:pPr>
            <w:r>
              <w:rPr>
                <w:rFonts w:ascii="宋体" w:hAnsi="宋体" w:eastAsia="宋体" w:cs="Times New Roman"/>
                <w:kern w:val="0"/>
                <w:szCs w:val="21"/>
              </w:rPr>
              <w:t>毕业要求2</w:t>
            </w:r>
            <w:r>
              <w:rPr>
                <w:rFonts w:ascii="宋体" w:hAnsi="宋体" w:eastAsia="宋体" w:cs="Times New Roman"/>
                <w:szCs w:val="23"/>
              </w:rPr>
              <w:t>教育情怀</w:t>
            </w:r>
          </w:p>
        </w:tc>
        <w:tc>
          <w:tcPr>
            <w:tcW w:w="5552" w:type="dxa"/>
            <w:vAlign w:val="center"/>
          </w:tcPr>
          <w:p w14:paraId="5E6F7358">
            <w:pPr>
              <w:spacing w:line="276" w:lineRule="auto"/>
              <w:jc w:val="left"/>
              <w:rPr>
                <w:rFonts w:hint="eastAsia" w:ascii="宋体" w:hAnsi="宋体" w:eastAsia="宋体" w:cs="Times New Roman"/>
                <w:szCs w:val="21"/>
              </w:rPr>
            </w:pPr>
            <w:r>
              <w:rPr>
                <w:rFonts w:hint="eastAsia" w:ascii="宋体" w:hAnsi="宋体" w:cs="宋体"/>
                <w:b/>
                <w:kern w:val="0"/>
                <w:sz w:val="20"/>
                <w:szCs w:val="20"/>
              </w:rPr>
              <w:t>指标点2-3</w:t>
            </w:r>
            <w:r>
              <w:rPr>
                <w:rFonts w:hint="eastAsia" w:ascii="宋体" w:hAnsi="宋体" w:cs="宋体"/>
                <w:sz w:val="20"/>
                <w:szCs w:val="20"/>
              </w:rPr>
              <w:t>：【自身修养良好】具有较好的人文</w:t>
            </w:r>
            <w:r>
              <w:rPr>
                <w:rFonts w:hint="eastAsia" w:cs="宋体"/>
                <w:sz w:val="20"/>
                <w:szCs w:val="20"/>
              </w:rPr>
              <w:t>艺术</w:t>
            </w:r>
            <w:r>
              <w:rPr>
                <w:rFonts w:hint="eastAsia" w:ascii="宋体" w:hAnsi="宋体" w:cs="宋体"/>
                <w:sz w:val="20"/>
                <w:szCs w:val="20"/>
              </w:rPr>
              <w:t>底蕴与科学精神，言行举止符合教师职业标准，情感积极，人格健全，身心健康。</w:t>
            </w:r>
          </w:p>
        </w:tc>
        <w:tc>
          <w:tcPr>
            <w:tcW w:w="1327" w:type="dxa"/>
            <w:vAlign w:val="center"/>
          </w:tcPr>
          <w:p w14:paraId="74A8D021">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课程目标3</w:t>
            </w:r>
          </w:p>
        </w:tc>
      </w:tr>
      <w:tr w14:paraId="4A63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5809977">
            <w:pPr>
              <w:rPr>
                <w:rFonts w:hint="eastAsia" w:ascii="宋体" w:hAnsi="宋体" w:eastAsia="宋体" w:cs="Times New Roman"/>
                <w:szCs w:val="23"/>
              </w:rPr>
            </w:pPr>
            <w:r>
              <w:rPr>
                <w:rFonts w:ascii="宋体" w:hAnsi="宋体" w:eastAsia="宋体" w:cs="Times New Roman"/>
                <w:kern w:val="0"/>
                <w:szCs w:val="21"/>
              </w:rPr>
              <w:t>毕业要求3学科</w:t>
            </w:r>
            <w:r>
              <w:rPr>
                <w:rFonts w:ascii="宋体" w:hAnsi="宋体" w:eastAsia="宋体" w:cs="Times New Roman"/>
                <w:szCs w:val="23"/>
              </w:rPr>
              <w:t>素养</w:t>
            </w:r>
          </w:p>
        </w:tc>
        <w:tc>
          <w:tcPr>
            <w:tcW w:w="5552" w:type="dxa"/>
            <w:vAlign w:val="center"/>
          </w:tcPr>
          <w:p w14:paraId="318C15B1">
            <w:pPr>
              <w:spacing w:line="276" w:lineRule="auto"/>
              <w:jc w:val="left"/>
              <w:rPr>
                <w:rFonts w:hint="eastAsia" w:ascii="宋体" w:hAnsi="宋体" w:eastAsia="宋体" w:cs="Times New Roman"/>
                <w:szCs w:val="21"/>
              </w:rPr>
            </w:pPr>
            <w:r>
              <w:rPr>
                <w:rFonts w:hint="eastAsia" w:ascii="宋体" w:hAnsi="宋体" w:cs="宋体"/>
                <w:b/>
                <w:kern w:val="0"/>
                <w:sz w:val="20"/>
                <w:szCs w:val="20"/>
              </w:rPr>
              <w:t>指标点3-1</w:t>
            </w:r>
            <w:r>
              <w:rPr>
                <w:rFonts w:hint="eastAsia" w:ascii="宋体" w:hAnsi="宋体" w:cs="宋体"/>
                <w:sz w:val="20"/>
                <w:szCs w:val="20"/>
              </w:rPr>
              <w:t>：【通识知识广博】具有小学教育本科专业相应的自然科学和人文社会科学知识素养。</w:t>
            </w:r>
          </w:p>
        </w:tc>
        <w:tc>
          <w:tcPr>
            <w:tcW w:w="1327" w:type="dxa"/>
            <w:vAlign w:val="center"/>
          </w:tcPr>
          <w:p w14:paraId="6628E843">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tc>
      </w:tr>
      <w:tr w14:paraId="1F8C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C68B270">
            <w:pPr>
              <w:rPr>
                <w:rFonts w:hint="eastAsia" w:ascii="宋体" w:hAnsi="宋体" w:eastAsia="宋体" w:cs="Times New Roman"/>
                <w:kern w:val="0"/>
                <w:szCs w:val="21"/>
              </w:rPr>
            </w:pPr>
            <w:r>
              <w:rPr>
                <w:rFonts w:ascii="宋体" w:hAnsi="宋体" w:eastAsia="宋体" w:cs="Times New Roman"/>
                <w:kern w:val="0"/>
                <w:szCs w:val="21"/>
              </w:rPr>
              <w:t>毕业要求7学会反思</w:t>
            </w:r>
          </w:p>
        </w:tc>
        <w:tc>
          <w:tcPr>
            <w:tcW w:w="5552" w:type="dxa"/>
            <w:vAlign w:val="center"/>
          </w:tcPr>
          <w:p w14:paraId="37925DFC">
            <w:pPr>
              <w:spacing w:line="276" w:lineRule="auto"/>
              <w:jc w:val="left"/>
              <w:rPr>
                <w:rFonts w:hint="eastAsia" w:ascii="宋体" w:hAnsi="宋体" w:eastAsia="宋体" w:cs="Times New Roman"/>
                <w:szCs w:val="21"/>
              </w:rPr>
            </w:pPr>
            <w:r>
              <w:rPr>
                <w:rFonts w:hint="eastAsia" w:ascii="宋体" w:hAnsi="宋体" w:eastAsia="宋体" w:cs="Times New Roman"/>
                <w:b/>
                <w:kern w:val="0"/>
                <w:szCs w:val="21"/>
              </w:rPr>
              <w:t>指标点7-1</w:t>
            </w:r>
            <w:r>
              <w:rPr>
                <w:rFonts w:hint="eastAsia" w:ascii="宋体" w:hAnsi="宋体" w:eastAsia="宋体" w:cs="Times New Roman"/>
                <w:kern w:val="0"/>
                <w:szCs w:val="21"/>
              </w:rPr>
              <w:t>：【教育视野开阔】积极关注基础教育领域的国内外交流进展，了解国内外基础教育改革发展的动态，具有宽广的教育视野，能够主动适应新时代和教育发展需求。</w:t>
            </w:r>
          </w:p>
        </w:tc>
        <w:tc>
          <w:tcPr>
            <w:tcW w:w="1327" w:type="dxa"/>
            <w:vAlign w:val="center"/>
          </w:tcPr>
          <w:p w14:paraId="052C6A96">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p w14:paraId="1401AE66">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课程目标4</w:t>
            </w:r>
          </w:p>
        </w:tc>
      </w:tr>
    </w:tbl>
    <w:p w14:paraId="60531EE3">
      <w:pPr>
        <w:spacing w:before="156" w:beforeLines="50" w:line="360" w:lineRule="auto"/>
        <w:ind w:firstLine="420"/>
        <w:jc w:val="left"/>
        <w:outlineLvl w:val="1"/>
        <w:rPr>
          <w:rFonts w:hint="eastAsia" w:ascii="宋体" w:hAnsi="宋体" w:eastAsia="宋体" w:cs="Times New Roman"/>
          <w:b/>
          <w:szCs w:val="21"/>
        </w:rPr>
      </w:pPr>
      <w:bookmarkStart w:id="341" w:name="_Toc7017"/>
      <w:r>
        <w:rPr>
          <w:rFonts w:hint="eastAsia" w:ascii="宋体" w:hAnsi="宋体" w:eastAsia="宋体" w:cs="Times New Roman"/>
          <w:b/>
          <w:szCs w:val="21"/>
        </w:rPr>
        <w:t>（三）课程思政目标</w:t>
      </w:r>
      <w:bookmarkEnd w:id="341"/>
    </w:p>
    <w:p w14:paraId="6FD4D72F">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5350156B">
      <w:pPr>
        <w:spacing w:before="62" w:beforeLines="20" w:after="62" w:afterLines="20" w:line="360" w:lineRule="auto"/>
        <w:jc w:val="left"/>
        <w:rPr>
          <w:rFonts w:ascii="Times New Roman" w:hAnsi="Times New Roman" w:eastAsia="宋体" w:cs="Times New Roman"/>
          <w:b/>
          <w:sz w:val="24"/>
        </w:rPr>
      </w:pPr>
      <w:bookmarkStart w:id="342" w:name="_Toc22619"/>
      <w:bookmarkStart w:id="343" w:name="_Toc5099"/>
      <w:bookmarkStart w:id="344" w:name="_Toc31556"/>
      <w:bookmarkStart w:id="345" w:name="_Toc29841"/>
      <w:bookmarkStart w:id="346" w:name="_Toc24838"/>
      <w:bookmarkStart w:id="347" w:name="_Toc21656"/>
      <w:bookmarkStart w:id="348" w:name="_Toc2578"/>
      <w:r>
        <w:rPr>
          <w:rFonts w:hint="eastAsia" w:ascii="Times New Roman" w:hAnsi="Times New Roman" w:eastAsia="宋体" w:cs="Times New Roman"/>
          <w:b/>
          <w:sz w:val="24"/>
        </w:rPr>
        <w:t>三、教学内容与预期学习成效</w:t>
      </w:r>
      <w:bookmarkEnd w:id="342"/>
      <w:bookmarkEnd w:id="343"/>
      <w:bookmarkEnd w:id="344"/>
      <w:bookmarkEnd w:id="345"/>
      <w:bookmarkEnd w:id="346"/>
      <w:bookmarkEnd w:id="347"/>
      <w:bookmarkEnd w:id="348"/>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342"/>
        <w:gridCol w:w="3052"/>
        <w:gridCol w:w="1560"/>
        <w:gridCol w:w="438"/>
      </w:tblGrid>
      <w:tr w14:paraId="17DA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25280B7">
            <w:pPr>
              <w:jc w:val="center"/>
              <w:rPr>
                <w:rFonts w:hint="eastAsia" w:ascii="宋体" w:hAnsi="宋体" w:eastAsia="宋体" w:cs="Times New Roman"/>
                <w:b/>
                <w:szCs w:val="21"/>
              </w:rPr>
            </w:pPr>
            <w:r>
              <w:rPr>
                <w:rFonts w:hint="eastAsia" w:ascii="宋体" w:hAnsi="宋体" w:eastAsia="宋体" w:cs="Times New Roman"/>
                <w:b/>
                <w:szCs w:val="21"/>
              </w:rPr>
              <w:t>知识</w:t>
            </w:r>
          </w:p>
          <w:p w14:paraId="7220B3F6">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6BA4C925">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342" w:type="dxa"/>
            <w:vAlign w:val="center"/>
          </w:tcPr>
          <w:p w14:paraId="2BC5761F">
            <w:pPr>
              <w:jc w:val="center"/>
              <w:rPr>
                <w:rFonts w:hint="eastAsia" w:ascii="宋体" w:hAnsi="宋体" w:eastAsia="宋体" w:cs="Times New Roman"/>
                <w:b/>
                <w:szCs w:val="21"/>
              </w:rPr>
            </w:pPr>
            <w:r>
              <w:rPr>
                <w:rFonts w:hint="eastAsia" w:ascii="宋体" w:hAnsi="宋体" w:eastAsia="宋体" w:cs="Times New Roman"/>
                <w:b/>
                <w:szCs w:val="21"/>
              </w:rPr>
              <w:t>对应</w:t>
            </w:r>
          </w:p>
          <w:p w14:paraId="51514978">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052" w:type="dxa"/>
            <w:vAlign w:val="center"/>
          </w:tcPr>
          <w:p w14:paraId="367C6200">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5CC878EF">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11D447FC">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131B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F11C497">
            <w:pPr>
              <w:spacing w:line="264" w:lineRule="auto"/>
              <w:rPr>
                <w:rFonts w:hint="eastAsia" w:ascii="宋体" w:hAnsi="宋体" w:eastAsia="宋体" w:cs="Times New Roman"/>
                <w:szCs w:val="21"/>
              </w:rPr>
            </w:pPr>
            <w:r>
              <w:rPr>
                <w:rFonts w:hint="eastAsia" w:ascii="宋体" w:hAnsi="宋体" w:eastAsia="宋体" w:cs="Times New Roman"/>
                <w:szCs w:val="21"/>
              </w:rPr>
              <w:t>1.阅读方法与技巧模块</w:t>
            </w:r>
          </w:p>
        </w:tc>
        <w:tc>
          <w:tcPr>
            <w:tcW w:w="1701" w:type="dxa"/>
            <w:vAlign w:val="center"/>
          </w:tcPr>
          <w:p w14:paraId="57AF9751">
            <w:pPr>
              <w:spacing w:line="269" w:lineRule="auto"/>
              <w:jc w:val="left"/>
              <w:rPr>
                <w:rFonts w:hint="eastAsia" w:ascii="宋体" w:hAnsi="宋体" w:eastAsia="宋体" w:cs="Times New Roman"/>
                <w:szCs w:val="21"/>
              </w:rPr>
            </w:pPr>
            <w:r>
              <w:rPr>
                <w:rFonts w:hint="eastAsia" w:ascii="宋体" w:hAnsi="宋体" w:eastAsia="宋体" w:cs="Times New Roman"/>
                <w:szCs w:val="21"/>
              </w:rPr>
              <w:t>介绍常用的阅读方法和技巧，如泛读、精读、略读等，帮助学生掌握如何高效地阅读不同类型的文献。</w:t>
            </w:r>
          </w:p>
        </w:tc>
        <w:tc>
          <w:tcPr>
            <w:tcW w:w="1342" w:type="dxa"/>
            <w:vAlign w:val="center"/>
          </w:tcPr>
          <w:p w14:paraId="064CDCB0">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课程目标1</w:t>
            </w:r>
          </w:p>
        </w:tc>
        <w:tc>
          <w:tcPr>
            <w:tcW w:w="3052" w:type="dxa"/>
            <w:vAlign w:val="center"/>
          </w:tcPr>
          <w:p w14:paraId="4DBB12BF">
            <w:pPr>
              <w:spacing w:line="269" w:lineRule="auto"/>
              <w:rPr>
                <w:rFonts w:hint="eastAsia" w:ascii="宋体" w:hAnsi="宋体" w:eastAsia="宋体" w:cs="Times New Roman"/>
                <w:szCs w:val="21"/>
              </w:rPr>
            </w:pPr>
            <w:r>
              <w:rPr>
                <w:rFonts w:hint="eastAsia" w:ascii="宋体" w:hAnsi="宋体" w:eastAsia="宋体" w:cs="Times New Roman"/>
                <w:szCs w:val="21"/>
              </w:rPr>
              <w:t>理解课程的基本概念、理论和方法，为后续学习打下基础。利用网络资源进行自主学习和拓展阅读，提高学习效果和综合素质。</w:t>
            </w:r>
            <w:r>
              <w:rPr>
                <w:rFonts w:ascii="宋体" w:hAnsi="宋体" w:eastAsia="宋体" w:cs="Times New Roman"/>
                <w:szCs w:val="21"/>
              </w:rPr>
              <w:t>随着阅读经验的积累，学生的阅读速度将会提高，同时保持对文本内容的准确理解。这种能力的提升将使他们能够在有限的时间内阅读更多的材料，获取更多的信息。</w:t>
            </w:r>
          </w:p>
        </w:tc>
        <w:tc>
          <w:tcPr>
            <w:tcW w:w="1560" w:type="dxa"/>
            <w:vAlign w:val="center"/>
          </w:tcPr>
          <w:p w14:paraId="1CCAF5D1">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314510E5">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41A5DCFC">
            <w:pPr>
              <w:spacing w:line="269" w:lineRule="auto"/>
              <w:jc w:val="center"/>
              <w:rPr>
                <w:rFonts w:hint="eastAsia" w:ascii="宋体" w:hAnsi="宋体" w:eastAsia="宋体" w:cs="Times New Roman"/>
                <w:szCs w:val="21"/>
              </w:rPr>
            </w:pPr>
            <w:r>
              <w:rPr>
                <w:rFonts w:hint="eastAsia" w:ascii="宋体" w:hAnsi="宋体" w:eastAsia="宋体" w:cs="Times New Roman"/>
                <w:szCs w:val="21"/>
              </w:rPr>
              <w:t>8</w:t>
            </w:r>
          </w:p>
        </w:tc>
      </w:tr>
      <w:tr w14:paraId="43E5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27B000">
            <w:pPr>
              <w:spacing w:line="264" w:lineRule="auto"/>
              <w:jc w:val="center"/>
              <w:rPr>
                <w:rFonts w:hint="eastAsia" w:ascii="宋体" w:hAnsi="宋体" w:eastAsia="宋体" w:cs="Times New Roman"/>
                <w:szCs w:val="21"/>
              </w:rPr>
            </w:pPr>
          </w:p>
        </w:tc>
        <w:tc>
          <w:tcPr>
            <w:tcW w:w="8093" w:type="dxa"/>
            <w:gridSpan w:val="5"/>
            <w:vAlign w:val="center"/>
          </w:tcPr>
          <w:p w14:paraId="6797C172">
            <w:pPr>
              <w:spacing w:line="269" w:lineRule="auto"/>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了解</w:t>
            </w:r>
            <w:r>
              <w:rPr>
                <w:rFonts w:ascii="宋体" w:hAnsi="宋体" w:eastAsia="宋体" w:cs="Times New Roman"/>
                <w:bCs/>
                <w:szCs w:val="21"/>
              </w:rPr>
              <w:t>阅读方法和技巧的重要性，养成自主学习的习惯</w:t>
            </w:r>
            <w:r>
              <w:rPr>
                <w:rFonts w:hint="eastAsia" w:ascii="宋体" w:hAnsi="宋体" w:eastAsia="宋体" w:cs="Times New Roman"/>
                <w:bCs/>
                <w:szCs w:val="21"/>
              </w:rPr>
              <w:t>，并</w:t>
            </w:r>
            <w:r>
              <w:rPr>
                <w:rFonts w:ascii="宋体" w:hAnsi="宋体" w:eastAsia="宋体" w:cs="Times New Roman"/>
                <w:bCs/>
                <w:szCs w:val="21"/>
              </w:rPr>
              <w:t>学会利用图书馆、网络资源等，提高信息检索和筛选能力。</w:t>
            </w:r>
          </w:p>
        </w:tc>
      </w:tr>
      <w:tr w14:paraId="260A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7A06DEE">
            <w:pPr>
              <w:spacing w:line="264" w:lineRule="auto"/>
              <w:rPr>
                <w:rFonts w:hint="eastAsia" w:ascii="宋体" w:hAnsi="宋体" w:eastAsia="宋体" w:cs="Times New Roman"/>
                <w:szCs w:val="21"/>
              </w:rPr>
            </w:pPr>
            <w:r>
              <w:rPr>
                <w:rFonts w:hint="eastAsia" w:ascii="宋体" w:hAnsi="宋体" w:eastAsia="宋体" w:cs="Times New Roman"/>
                <w:szCs w:val="21"/>
              </w:rPr>
              <w:t>2.批判性思维模块</w:t>
            </w:r>
          </w:p>
        </w:tc>
        <w:tc>
          <w:tcPr>
            <w:tcW w:w="1701" w:type="dxa"/>
            <w:vAlign w:val="center"/>
          </w:tcPr>
          <w:p w14:paraId="70A60E16">
            <w:pPr>
              <w:spacing w:line="353" w:lineRule="auto"/>
              <w:rPr>
                <w:rFonts w:hint="eastAsia" w:ascii="宋体" w:hAnsi="宋体" w:eastAsia="宋体" w:cs="Times New Roman"/>
                <w:szCs w:val="21"/>
              </w:rPr>
            </w:pPr>
            <w:r>
              <w:rPr>
                <w:rFonts w:hint="eastAsia" w:ascii="宋体" w:hAnsi="宋体" w:eastAsia="宋体" w:cs="Times New Roman"/>
                <w:szCs w:val="21"/>
              </w:rPr>
              <w:t>通过案例分析、讨论等形式，培养学生的批判性思维能力，使其能够独立思考、分析问题并提出解决方案。</w:t>
            </w:r>
          </w:p>
        </w:tc>
        <w:tc>
          <w:tcPr>
            <w:tcW w:w="1342" w:type="dxa"/>
            <w:vAlign w:val="center"/>
          </w:tcPr>
          <w:p w14:paraId="2D775EE6">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课程目标2</w:t>
            </w:r>
          </w:p>
        </w:tc>
        <w:tc>
          <w:tcPr>
            <w:tcW w:w="3052" w:type="dxa"/>
            <w:vAlign w:val="center"/>
          </w:tcPr>
          <w:p w14:paraId="57806F9A">
            <w:pPr>
              <w:rPr>
                <w:rFonts w:hint="eastAsia" w:ascii="宋体" w:hAnsi="宋体" w:eastAsia="宋体" w:cs="Times New Roman"/>
                <w:szCs w:val="21"/>
              </w:rPr>
            </w:pPr>
            <w:r>
              <w:rPr>
                <w:rFonts w:hint="eastAsia" w:ascii="宋体" w:hAnsi="宋体" w:eastAsia="宋体" w:cs="Times New Roman"/>
                <w:szCs w:val="21"/>
              </w:rPr>
              <w:t>通过分析真实的经典阅读和学术研究案例，帮助学生将理论知识应用于实际情境。</w:t>
            </w:r>
          </w:p>
        </w:tc>
        <w:tc>
          <w:tcPr>
            <w:tcW w:w="1560" w:type="dxa"/>
            <w:vAlign w:val="center"/>
          </w:tcPr>
          <w:p w14:paraId="75463CCF">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2297D78C">
            <w:pPr>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3634E390">
            <w:pPr>
              <w:spacing w:line="269" w:lineRule="auto"/>
              <w:jc w:val="center"/>
              <w:rPr>
                <w:rFonts w:hint="eastAsia" w:ascii="宋体" w:hAnsi="宋体" w:eastAsia="宋体" w:cs="Times New Roman"/>
                <w:szCs w:val="21"/>
              </w:rPr>
            </w:pPr>
            <w:r>
              <w:rPr>
                <w:rFonts w:hint="eastAsia" w:ascii="宋体" w:hAnsi="宋体" w:eastAsia="宋体" w:cs="Times New Roman"/>
                <w:szCs w:val="21"/>
              </w:rPr>
              <w:t>8</w:t>
            </w:r>
          </w:p>
        </w:tc>
      </w:tr>
      <w:tr w14:paraId="1414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759E522">
            <w:pPr>
              <w:spacing w:line="264" w:lineRule="auto"/>
              <w:jc w:val="center"/>
              <w:rPr>
                <w:rFonts w:hint="eastAsia" w:ascii="宋体" w:hAnsi="宋体" w:eastAsia="宋体" w:cs="Times New Roman"/>
                <w:szCs w:val="21"/>
              </w:rPr>
            </w:pPr>
          </w:p>
        </w:tc>
        <w:tc>
          <w:tcPr>
            <w:tcW w:w="8093" w:type="dxa"/>
            <w:gridSpan w:val="5"/>
            <w:vAlign w:val="center"/>
          </w:tcPr>
          <w:p w14:paraId="1EB80140">
            <w:pPr>
              <w:spacing w:line="269"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通过阅读不同类型的文献，学会独立思考，对信息进行批判性分析，不盲目接受</w:t>
            </w:r>
            <w:r>
              <w:rPr>
                <w:rFonts w:hint="eastAsia" w:ascii="宋体" w:hAnsi="宋体" w:eastAsia="宋体" w:cs="Times New Roman"/>
                <w:szCs w:val="21"/>
              </w:rPr>
              <w:t>，善于</w:t>
            </w:r>
            <w:r>
              <w:rPr>
                <w:rFonts w:ascii="宋体" w:hAnsi="宋体" w:eastAsia="宋体" w:cs="Times New Roman"/>
                <w:szCs w:val="21"/>
              </w:rPr>
              <w:t>提出自己的见解，培养质疑精神和创新思维。</w:t>
            </w:r>
          </w:p>
        </w:tc>
      </w:tr>
      <w:tr w14:paraId="283D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A58FADF">
            <w:pPr>
              <w:spacing w:line="353" w:lineRule="auto"/>
              <w:rPr>
                <w:rFonts w:hint="eastAsia" w:ascii="宋体" w:hAnsi="宋体" w:eastAsia="宋体" w:cs="Times New Roman"/>
                <w:szCs w:val="21"/>
              </w:rPr>
            </w:pPr>
            <w:r>
              <w:rPr>
                <w:rFonts w:hint="eastAsia" w:ascii="宋体" w:hAnsi="宋体" w:eastAsia="宋体" w:cs="Times New Roman"/>
                <w:szCs w:val="21"/>
              </w:rPr>
              <w:t>3．学术研究规范模块</w:t>
            </w:r>
          </w:p>
        </w:tc>
        <w:tc>
          <w:tcPr>
            <w:tcW w:w="1701" w:type="dxa"/>
            <w:vAlign w:val="center"/>
          </w:tcPr>
          <w:p w14:paraId="429D47B4">
            <w:pPr>
              <w:spacing w:line="269" w:lineRule="auto"/>
              <w:jc w:val="left"/>
              <w:rPr>
                <w:rFonts w:hint="eastAsia" w:ascii="宋体" w:hAnsi="宋体" w:eastAsia="宋体" w:cs="Times New Roman"/>
                <w:szCs w:val="21"/>
              </w:rPr>
            </w:pPr>
            <w:r>
              <w:rPr>
                <w:rFonts w:hint="eastAsia" w:ascii="宋体" w:hAnsi="宋体" w:eastAsia="宋体" w:cs="Times New Roman"/>
                <w:szCs w:val="21"/>
              </w:rPr>
              <w:t>介绍学术研究的基本规范和要求，包括学术诚信、引用规范、论文撰写等，帮助学生树立良好的学术道德和规范意识。</w:t>
            </w:r>
          </w:p>
        </w:tc>
        <w:tc>
          <w:tcPr>
            <w:tcW w:w="1342" w:type="dxa"/>
            <w:vAlign w:val="center"/>
          </w:tcPr>
          <w:p w14:paraId="26D4A6A0">
            <w:pPr>
              <w:spacing w:line="276" w:lineRule="auto"/>
              <w:jc w:val="left"/>
              <w:rPr>
                <w:rFonts w:hint="eastAsia" w:ascii="宋体" w:hAnsi="宋体" w:eastAsia="宋体" w:cs="Times New Roman"/>
                <w:szCs w:val="21"/>
              </w:rPr>
            </w:pPr>
            <w:r>
              <w:rPr>
                <w:rFonts w:hint="eastAsia" w:ascii="宋体" w:hAnsi="宋体" w:eastAsia="宋体" w:cs="Times New Roman"/>
                <w:szCs w:val="21"/>
              </w:rPr>
              <w:t>课程目标3</w:t>
            </w:r>
          </w:p>
        </w:tc>
        <w:tc>
          <w:tcPr>
            <w:tcW w:w="3052" w:type="dxa"/>
            <w:vAlign w:val="center"/>
          </w:tcPr>
          <w:p w14:paraId="4709009F">
            <w:pPr>
              <w:spacing w:line="269" w:lineRule="auto"/>
              <w:rPr>
                <w:rFonts w:hint="eastAsia" w:ascii="宋体" w:hAnsi="宋体" w:eastAsia="宋体" w:cs="Times New Roman"/>
                <w:szCs w:val="21"/>
              </w:rPr>
            </w:pPr>
            <w:r>
              <w:rPr>
                <w:rFonts w:hint="eastAsia" w:ascii="宋体" w:hAnsi="宋体" w:eastAsia="宋体" w:cs="Times New Roman"/>
                <w:szCs w:val="21"/>
              </w:rPr>
              <w:t>鼓励学生分组进行讨论，分享阅读体验和思考，培养学生的合作意识和沟通能力。组织学生进行经典阅读实践，撰写读书笔记、论文等，培养学生的实践能力和学术规范意识。</w:t>
            </w:r>
          </w:p>
        </w:tc>
        <w:tc>
          <w:tcPr>
            <w:tcW w:w="1560" w:type="dxa"/>
            <w:vAlign w:val="center"/>
          </w:tcPr>
          <w:p w14:paraId="3F69ABF4">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53F68176">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32D17332">
            <w:pPr>
              <w:spacing w:line="269" w:lineRule="auto"/>
              <w:jc w:val="center"/>
              <w:rPr>
                <w:rFonts w:hint="eastAsia" w:ascii="宋体" w:hAnsi="宋体" w:eastAsia="宋体" w:cs="Times New Roman"/>
                <w:szCs w:val="21"/>
              </w:rPr>
            </w:pPr>
            <w:r>
              <w:rPr>
                <w:rFonts w:hint="eastAsia" w:ascii="宋体" w:hAnsi="宋体" w:eastAsia="宋体" w:cs="Times New Roman"/>
                <w:szCs w:val="21"/>
              </w:rPr>
              <w:t>8</w:t>
            </w:r>
          </w:p>
        </w:tc>
      </w:tr>
      <w:tr w14:paraId="0F6B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8E17D4E">
            <w:pPr>
              <w:spacing w:line="264" w:lineRule="auto"/>
              <w:jc w:val="center"/>
              <w:rPr>
                <w:rFonts w:hint="eastAsia" w:ascii="宋体" w:hAnsi="宋体" w:eastAsia="宋体" w:cs="Times New Roman"/>
                <w:szCs w:val="21"/>
              </w:rPr>
            </w:pPr>
          </w:p>
        </w:tc>
        <w:tc>
          <w:tcPr>
            <w:tcW w:w="8093" w:type="dxa"/>
            <w:gridSpan w:val="5"/>
            <w:vAlign w:val="center"/>
          </w:tcPr>
          <w:p w14:paraId="0D9104A3">
            <w:pPr>
              <w:spacing w:line="269" w:lineRule="auto"/>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w:t>
            </w:r>
            <w:r>
              <w:rPr>
                <w:rFonts w:hint="eastAsia" w:ascii="宋体" w:hAnsi="宋体" w:eastAsia="宋体" w:cs="Times New Roman"/>
                <w:szCs w:val="21"/>
              </w:rPr>
              <w:t>撰写读书笔记和报告、论文等，从而培养自身的实践能力和学术规范意识。</w:t>
            </w:r>
          </w:p>
        </w:tc>
      </w:tr>
      <w:tr w14:paraId="41CE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D514BB">
            <w:pPr>
              <w:spacing w:line="353" w:lineRule="auto"/>
              <w:rPr>
                <w:rFonts w:hint="eastAsia" w:ascii="宋体" w:hAnsi="宋体" w:eastAsia="宋体" w:cs="Times New Roman"/>
                <w:szCs w:val="21"/>
              </w:rPr>
            </w:pPr>
            <w:r>
              <w:rPr>
                <w:rFonts w:hint="eastAsia" w:ascii="宋体" w:hAnsi="宋体" w:eastAsia="宋体" w:cs="Times New Roman"/>
                <w:szCs w:val="21"/>
              </w:rPr>
              <w:t>4.经典阅读实践模块</w:t>
            </w:r>
          </w:p>
        </w:tc>
        <w:tc>
          <w:tcPr>
            <w:tcW w:w="1701" w:type="dxa"/>
            <w:vAlign w:val="center"/>
          </w:tcPr>
          <w:p w14:paraId="628922B9">
            <w:pPr>
              <w:spacing w:line="276" w:lineRule="auto"/>
              <w:jc w:val="left"/>
              <w:rPr>
                <w:rFonts w:hint="eastAsia" w:ascii="宋体" w:hAnsi="宋体" w:eastAsia="宋体" w:cs="Times New Roman"/>
                <w:szCs w:val="21"/>
              </w:rPr>
            </w:pPr>
            <w:r>
              <w:rPr>
                <w:rFonts w:hint="eastAsia" w:ascii="宋体" w:hAnsi="宋体" w:eastAsia="宋体" w:cs="Times New Roman"/>
                <w:szCs w:val="21"/>
              </w:rPr>
              <w:t>通过阅读经典文学作品、教育名著等，提高学生的阅读理解能力和文学鉴赏能力，同时拓展其人文视野和综合素质。</w:t>
            </w:r>
          </w:p>
        </w:tc>
        <w:tc>
          <w:tcPr>
            <w:tcW w:w="1342" w:type="dxa"/>
            <w:vAlign w:val="center"/>
          </w:tcPr>
          <w:p w14:paraId="4205F66A">
            <w:pPr>
              <w:spacing w:line="276" w:lineRule="auto"/>
              <w:rPr>
                <w:rFonts w:hint="eastAsia" w:ascii="宋体" w:hAnsi="宋体" w:eastAsia="宋体" w:cs="Times New Roman"/>
                <w:szCs w:val="21"/>
              </w:rPr>
            </w:pPr>
            <w:r>
              <w:rPr>
                <w:rFonts w:hint="eastAsia" w:ascii="宋体" w:hAnsi="宋体" w:eastAsia="宋体" w:cs="Times New Roman"/>
                <w:szCs w:val="21"/>
              </w:rPr>
              <w:t>课程目标4</w:t>
            </w:r>
          </w:p>
        </w:tc>
        <w:tc>
          <w:tcPr>
            <w:tcW w:w="3052" w:type="dxa"/>
            <w:vAlign w:val="center"/>
          </w:tcPr>
          <w:p w14:paraId="79CB06DD">
            <w:pPr>
              <w:spacing w:line="276" w:lineRule="auto"/>
              <w:rPr>
                <w:rFonts w:hint="eastAsia" w:ascii="宋体" w:hAnsi="宋体" w:eastAsia="宋体" w:cs="Times New Roman"/>
                <w:szCs w:val="21"/>
              </w:rPr>
            </w:pPr>
            <w:r>
              <w:rPr>
                <w:rFonts w:ascii="宋体" w:hAnsi="宋体" w:eastAsia="宋体" w:cs="Times New Roman"/>
                <w:szCs w:val="21"/>
              </w:rPr>
              <w:t>学生将能够更好地理解文本的深层含义和作者想要表达的主题思想。通过阅读，捕捉到文本中的关键信息和细节，从而更全面地理解文章的内容。</w:t>
            </w:r>
          </w:p>
          <w:p w14:paraId="7CD33BA0">
            <w:pPr>
              <w:spacing w:line="276" w:lineRule="auto"/>
              <w:rPr>
                <w:rFonts w:hint="eastAsia" w:ascii="宋体" w:hAnsi="宋体" w:eastAsia="宋体" w:cs="Times New Roman"/>
                <w:szCs w:val="21"/>
              </w:rPr>
            </w:pPr>
            <w:r>
              <w:rPr>
                <w:rFonts w:ascii="宋体" w:hAnsi="宋体" w:eastAsia="宋体" w:cs="Times New Roman"/>
                <w:szCs w:val="21"/>
              </w:rPr>
              <w:t>经典文学作品往往蕴含着丰富的文化内涵和多元的文化视角。通过阅读这些作品，学生将能够更深入地了解不同文化背景下的社会、历史、人文等方面的知识，从而拓展自己的人文视野。</w:t>
            </w:r>
          </w:p>
          <w:p w14:paraId="4EA36654">
            <w:pPr>
              <w:spacing w:line="276" w:lineRule="auto"/>
              <w:rPr>
                <w:rFonts w:hint="eastAsia" w:ascii="宋体" w:hAnsi="宋体" w:eastAsia="宋体" w:cs="Times New Roman"/>
                <w:szCs w:val="21"/>
              </w:rPr>
            </w:pPr>
            <w:r>
              <w:rPr>
                <w:rFonts w:ascii="宋体" w:hAnsi="宋体" w:eastAsia="宋体" w:cs="Times New Roman"/>
                <w:szCs w:val="21"/>
              </w:rPr>
              <w:t>学生将能够更好地理解他人的情感和经历，培养自己的同理心和社会责任感。</w:t>
            </w:r>
          </w:p>
        </w:tc>
        <w:tc>
          <w:tcPr>
            <w:tcW w:w="1560" w:type="dxa"/>
            <w:vAlign w:val="center"/>
          </w:tcPr>
          <w:p w14:paraId="6D99926F">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37939812">
            <w:pPr>
              <w:spacing w:line="276"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343DCC2C">
            <w:pPr>
              <w:spacing w:line="276" w:lineRule="auto"/>
              <w:jc w:val="center"/>
              <w:rPr>
                <w:rFonts w:hint="eastAsia" w:ascii="宋体" w:hAnsi="宋体" w:eastAsia="宋体" w:cs="Times New Roman"/>
                <w:szCs w:val="21"/>
              </w:rPr>
            </w:pPr>
            <w:r>
              <w:rPr>
                <w:rFonts w:hint="eastAsia" w:ascii="宋体" w:hAnsi="宋体" w:eastAsia="宋体" w:cs="Times New Roman"/>
                <w:szCs w:val="21"/>
              </w:rPr>
              <w:t>8</w:t>
            </w:r>
          </w:p>
        </w:tc>
      </w:tr>
      <w:tr w14:paraId="26BC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A495EAA">
            <w:pPr>
              <w:spacing w:line="276" w:lineRule="auto"/>
              <w:jc w:val="center"/>
              <w:rPr>
                <w:rFonts w:hint="eastAsia" w:ascii="宋体" w:hAnsi="宋体" w:eastAsia="宋体" w:cs="Times New Roman"/>
                <w:szCs w:val="21"/>
              </w:rPr>
            </w:pPr>
          </w:p>
        </w:tc>
        <w:tc>
          <w:tcPr>
            <w:tcW w:w="8093" w:type="dxa"/>
            <w:gridSpan w:val="5"/>
            <w:vAlign w:val="center"/>
          </w:tcPr>
          <w:p w14:paraId="5BC16E95">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通过阅读经典文学作品和人文社科类文献，拓宽</w:t>
            </w:r>
            <w:r>
              <w:rPr>
                <w:rFonts w:hint="eastAsia" w:ascii="宋体" w:hAnsi="宋体" w:eastAsia="宋体" w:cs="Times New Roman"/>
                <w:szCs w:val="21"/>
              </w:rPr>
              <w:t>自身</w:t>
            </w:r>
            <w:r>
              <w:rPr>
                <w:rFonts w:ascii="宋体" w:hAnsi="宋体" w:eastAsia="宋体" w:cs="Times New Roman"/>
                <w:szCs w:val="21"/>
              </w:rPr>
              <w:t>的文化视野，增强对多元文化的理解和尊重</w:t>
            </w:r>
            <w:r>
              <w:rPr>
                <w:rFonts w:hint="eastAsia" w:ascii="宋体" w:hAnsi="宋体" w:eastAsia="宋体" w:cs="Times New Roman"/>
                <w:szCs w:val="21"/>
              </w:rPr>
              <w:t>，并</w:t>
            </w:r>
            <w:r>
              <w:rPr>
                <w:rFonts w:ascii="宋体" w:hAnsi="宋体" w:eastAsia="宋体" w:cs="Times New Roman"/>
                <w:szCs w:val="21"/>
              </w:rPr>
              <w:t>培养审美情趣和道德观念，促进全面发展。</w:t>
            </w:r>
          </w:p>
        </w:tc>
      </w:tr>
    </w:tbl>
    <w:p w14:paraId="1B3B2D14">
      <w:pPr>
        <w:spacing w:before="62" w:beforeLines="20" w:after="62" w:afterLines="20" w:line="360" w:lineRule="auto"/>
        <w:jc w:val="left"/>
        <w:rPr>
          <w:rFonts w:ascii="Times New Roman" w:hAnsi="Times New Roman" w:eastAsia="宋体" w:cs="Times New Roman"/>
          <w:b/>
          <w:sz w:val="24"/>
        </w:rPr>
      </w:pPr>
      <w:bookmarkStart w:id="349" w:name="_Toc29112"/>
      <w:bookmarkStart w:id="350" w:name="_Toc19447"/>
      <w:bookmarkStart w:id="351" w:name="_Toc9742"/>
      <w:bookmarkStart w:id="352" w:name="_Toc16467"/>
      <w:bookmarkStart w:id="353" w:name="_Toc4571"/>
      <w:bookmarkStart w:id="354" w:name="_Toc24403"/>
      <w:bookmarkStart w:id="355" w:name="_Toc3491"/>
      <w:r>
        <w:rPr>
          <w:rFonts w:hint="eastAsia" w:ascii="Times New Roman" w:hAnsi="Times New Roman" w:eastAsia="宋体" w:cs="Times New Roman"/>
          <w:b/>
          <w:sz w:val="24"/>
        </w:rPr>
        <w:t>四、目标评价与成绩评定</w:t>
      </w:r>
      <w:bookmarkEnd w:id="349"/>
      <w:bookmarkEnd w:id="350"/>
      <w:bookmarkEnd w:id="351"/>
      <w:bookmarkEnd w:id="352"/>
      <w:bookmarkEnd w:id="353"/>
      <w:bookmarkEnd w:id="354"/>
      <w:bookmarkEnd w:id="355"/>
    </w:p>
    <w:p w14:paraId="483D15C8">
      <w:pPr>
        <w:spacing w:line="360" w:lineRule="auto"/>
        <w:ind w:firstLine="420"/>
        <w:jc w:val="left"/>
        <w:outlineLvl w:val="1"/>
        <w:rPr>
          <w:rFonts w:ascii="Times New Roman" w:hAnsi="Times New Roman" w:eastAsia="宋体" w:cs="Times New Roman"/>
          <w:b/>
          <w:szCs w:val="21"/>
        </w:rPr>
      </w:pPr>
      <w:bookmarkStart w:id="356" w:name="_Toc4926"/>
      <w:r>
        <w:rPr>
          <w:rFonts w:hint="eastAsia" w:ascii="Times New Roman" w:hAnsi="Times New Roman" w:eastAsia="宋体" w:cs="Times New Roman"/>
          <w:b/>
          <w:szCs w:val="21"/>
        </w:rPr>
        <w:t>（一）课程目标评价方式</w:t>
      </w:r>
      <w:bookmarkEnd w:id="356"/>
    </w:p>
    <w:p w14:paraId="6A79785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p w14:paraId="510B7867">
      <w:pPr>
        <w:spacing w:line="360" w:lineRule="auto"/>
        <w:ind w:firstLine="420" w:firstLineChars="200"/>
        <w:jc w:val="left"/>
        <w:rPr>
          <w:rFonts w:ascii="Times New Roman" w:hAnsi="Times New Roman" w:eastAsia="宋体" w:cs="Times New Roman"/>
          <w:szCs w:val="21"/>
        </w:rPr>
      </w:pPr>
    </w:p>
    <w:tbl>
      <w:tblPr>
        <w:tblStyle w:val="1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495"/>
        <w:gridCol w:w="1742"/>
        <w:gridCol w:w="1741"/>
        <w:gridCol w:w="2090"/>
        <w:gridCol w:w="732"/>
      </w:tblGrid>
      <w:tr w14:paraId="41E62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restart"/>
            <w:vAlign w:val="center"/>
          </w:tcPr>
          <w:p w14:paraId="4016E17B">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7068" w:type="dxa"/>
            <w:gridSpan w:val="4"/>
            <w:vAlign w:val="center"/>
          </w:tcPr>
          <w:p w14:paraId="48D51243">
            <w:pPr>
              <w:spacing w:line="312"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312A615E">
            <w:pPr>
              <w:spacing w:line="312"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0A1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Merge w:val="continue"/>
            <w:vAlign w:val="center"/>
          </w:tcPr>
          <w:p w14:paraId="34C649B0">
            <w:pPr>
              <w:spacing w:line="312" w:lineRule="auto"/>
              <w:jc w:val="center"/>
              <w:rPr>
                <w:rFonts w:hint="eastAsia" w:ascii="宋体" w:hAnsi="宋体" w:eastAsia="宋体" w:cs="Times New Roman"/>
                <w:szCs w:val="21"/>
              </w:rPr>
            </w:pPr>
          </w:p>
        </w:tc>
        <w:tc>
          <w:tcPr>
            <w:tcW w:w="1495" w:type="dxa"/>
            <w:vAlign w:val="center"/>
          </w:tcPr>
          <w:p w14:paraId="3605BFD4">
            <w:pPr>
              <w:spacing w:line="312" w:lineRule="auto"/>
              <w:jc w:val="center"/>
              <w:rPr>
                <w:rFonts w:hint="eastAsia" w:ascii="宋体" w:hAnsi="宋体" w:eastAsia="宋体" w:cs="Times New Roman"/>
                <w:szCs w:val="21"/>
              </w:rPr>
            </w:pPr>
            <w:r>
              <w:rPr>
                <w:rFonts w:hint="eastAsia" w:ascii="宋体" w:hAnsi="宋体" w:eastAsia="宋体" w:cs="Times New Roman"/>
                <w:szCs w:val="22"/>
              </w:rPr>
              <w:t>经典</w:t>
            </w:r>
            <w:r>
              <w:rPr>
                <w:rFonts w:ascii="宋体" w:hAnsi="宋体" w:eastAsia="宋体" w:cs="Times New Roman"/>
                <w:szCs w:val="22"/>
              </w:rPr>
              <w:t>阅读</w:t>
            </w:r>
            <w:r>
              <w:rPr>
                <w:rFonts w:hint="eastAsia" w:ascii="宋体" w:hAnsi="宋体" w:eastAsia="宋体" w:cs="Times New Roman"/>
                <w:szCs w:val="22"/>
              </w:rPr>
              <w:t>数量</w:t>
            </w:r>
          </w:p>
        </w:tc>
        <w:tc>
          <w:tcPr>
            <w:tcW w:w="1742" w:type="dxa"/>
            <w:vAlign w:val="center"/>
          </w:tcPr>
          <w:p w14:paraId="159CE828">
            <w:pPr>
              <w:spacing w:line="312" w:lineRule="auto"/>
              <w:jc w:val="center"/>
              <w:rPr>
                <w:rFonts w:hint="eastAsia" w:ascii="宋体" w:hAnsi="宋体" w:eastAsia="宋体" w:cs="Times New Roman"/>
                <w:szCs w:val="21"/>
              </w:rPr>
            </w:pPr>
            <w:r>
              <w:rPr>
                <w:rFonts w:ascii="宋体" w:hAnsi="宋体" w:eastAsia="宋体" w:cs="Times New Roman"/>
                <w:szCs w:val="22"/>
              </w:rPr>
              <w:t>参加讲座</w:t>
            </w:r>
            <w:r>
              <w:rPr>
                <w:rFonts w:hint="eastAsia" w:ascii="宋体" w:hAnsi="宋体" w:eastAsia="宋体" w:cs="Times New Roman"/>
                <w:szCs w:val="22"/>
              </w:rPr>
              <w:t>或报告</w:t>
            </w:r>
          </w:p>
        </w:tc>
        <w:tc>
          <w:tcPr>
            <w:tcW w:w="1741" w:type="dxa"/>
            <w:vAlign w:val="center"/>
          </w:tcPr>
          <w:p w14:paraId="3F830C97">
            <w:pPr>
              <w:spacing w:line="312" w:lineRule="auto"/>
              <w:jc w:val="center"/>
              <w:rPr>
                <w:rFonts w:hint="eastAsia" w:ascii="宋体" w:hAnsi="宋体" w:eastAsia="宋体" w:cs="Times New Roman"/>
                <w:szCs w:val="21"/>
              </w:rPr>
            </w:pPr>
            <w:r>
              <w:rPr>
                <w:rFonts w:ascii="宋体" w:hAnsi="宋体" w:eastAsia="宋体" w:cs="Times New Roman"/>
                <w:szCs w:val="22"/>
              </w:rPr>
              <w:t>读书</w:t>
            </w:r>
            <w:r>
              <w:rPr>
                <w:rFonts w:hint="eastAsia" w:ascii="宋体" w:hAnsi="宋体" w:eastAsia="宋体" w:cs="Times New Roman"/>
                <w:szCs w:val="22"/>
              </w:rPr>
              <w:t>体会或笔记</w:t>
            </w:r>
          </w:p>
        </w:tc>
        <w:tc>
          <w:tcPr>
            <w:tcW w:w="0" w:type="auto"/>
            <w:vAlign w:val="center"/>
          </w:tcPr>
          <w:p w14:paraId="2186D054">
            <w:pPr>
              <w:spacing w:line="312" w:lineRule="auto"/>
              <w:jc w:val="center"/>
              <w:rPr>
                <w:rFonts w:hint="eastAsia" w:ascii="宋体" w:hAnsi="宋体" w:eastAsia="宋体" w:cs="Times New Roman"/>
                <w:szCs w:val="21"/>
              </w:rPr>
            </w:pPr>
            <w:r>
              <w:rPr>
                <w:rFonts w:hint="eastAsia" w:ascii="宋体" w:hAnsi="宋体" w:eastAsia="宋体" w:cs="Times New Roman"/>
                <w:spacing w:val="-5"/>
                <w:szCs w:val="21"/>
              </w:rPr>
              <w:t>大学生读书节获奖</w:t>
            </w:r>
          </w:p>
        </w:tc>
        <w:tc>
          <w:tcPr>
            <w:tcW w:w="0" w:type="auto"/>
            <w:vMerge w:val="continue"/>
            <w:vAlign w:val="center"/>
          </w:tcPr>
          <w:p w14:paraId="4BF2E754">
            <w:pPr>
              <w:spacing w:line="312" w:lineRule="auto"/>
              <w:jc w:val="center"/>
              <w:rPr>
                <w:rFonts w:hint="eastAsia" w:ascii="宋体" w:hAnsi="宋体" w:eastAsia="宋体" w:cs="Times New Roman"/>
                <w:szCs w:val="21"/>
              </w:rPr>
            </w:pPr>
          </w:p>
        </w:tc>
      </w:tr>
      <w:tr w14:paraId="1C58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09E9DBD8">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95" w:type="dxa"/>
            <w:vAlign w:val="center"/>
          </w:tcPr>
          <w:p w14:paraId="6BA3B1A7">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42" w:type="dxa"/>
            <w:vAlign w:val="center"/>
          </w:tcPr>
          <w:p w14:paraId="01E338C0">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41" w:type="dxa"/>
            <w:vAlign w:val="center"/>
          </w:tcPr>
          <w:p w14:paraId="0504D294">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50F2D6B">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24E2E70">
            <w:pPr>
              <w:spacing w:line="312"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4076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05A924D7">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95" w:type="dxa"/>
            <w:vAlign w:val="center"/>
          </w:tcPr>
          <w:p w14:paraId="44F6F58A">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42" w:type="dxa"/>
            <w:vAlign w:val="center"/>
          </w:tcPr>
          <w:p w14:paraId="51369A21">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41" w:type="dxa"/>
            <w:vAlign w:val="center"/>
          </w:tcPr>
          <w:p w14:paraId="36C3CC84">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089A658">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BBF2EE7">
            <w:pPr>
              <w:spacing w:line="312"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654C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2F27791A">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495" w:type="dxa"/>
            <w:vAlign w:val="center"/>
          </w:tcPr>
          <w:p w14:paraId="185D9BEF">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42" w:type="dxa"/>
            <w:vAlign w:val="center"/>
          </w:tcPr>
          <w:p w14:paraId="5A33F039">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41" w:type="dxa"/>
            <w:vAlign w:val="center"/>
          </w:tcPr>
          <w:p w14:paraId="159390BA">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923F720">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3CC725F">
            <w:pPr>
              <w:spacing w:line="312"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4411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440A012D">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495" w:type="dxa"/>
            <w:vAlign w:val="center"/>
          </w:tcPr>
          <w:p w14:paraId="4EDBF663">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42" w:type="dxa"/>
            <w:vAlign w:val="center"/>
          </w:tcPr>
          <w:p w14:paraId="6788020A">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41" w:type="dxa"/>
            <w:vAlign w:val="center"/>
          </w:tcPr>
          <w:p w14:paraId="67C31DCF">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35B88C8">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99B40CA">
            <w:pPr>
              <w:spacing w:line="312"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47A8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69C0FC67">
            <w:pPr>
              <w:spacing w:line="312"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95" w:type="dxa"/>
            <w:vAlign w:val="center"/>
          </w:tcPr>
          <w:p w14:paraId="2B9FE91D">
            <w:pPr>
              <w:spacing w:line="312" w:lineRule="auto"/>
              <w:jc w:val="center"/>
              <w:rPr>
                <w:rFonts w:hint="eastAsia" w:ascii="宋体" w:hAnsi="宋体" w:eastAsia="宋体" w:cs="Times New Roman"/>
                <w:szCs w:val="21"/>
              </w:rPr>
            </w:pPr>
          </w:p>
        </w:tc>
        <w:tc>
          <w:tcPr>
            <w:tcW w:w="1742" w:type="dxa"/>
            <w:vAlign w:val="center"/>
          </w:tcPr>
          <w:p w14:paraId="30BED461">
            <w:pPr>
              <w:spacing w:line="312" w:lineRule="auto"/>
              <w:jc w:val="center"/>
              <w:rPr>
                <w:rFonts w:hint="eastAsia" w:ascii="宋体" w:hAnsi="宋体" w:eastAsia="宋体" w:cs="Times New Roman"/>
                <w:szCs w:val="21"/>
              </w:rPr>
            </w:pPr>
          </w:p>
        </w:tc>
        <w:tc>
          <w:tcPr>
            <w:tcW w:w="1741" w:type="dxa"/>
            <w:vAlign w:val="center"/>
          </w:tcPr>
          <w:p w14:paraId="23E654B9">
            <w:pPr>
              <w:spacing w:line="312" w:lineRule="auto"/>
              <w:jc w:val="center"/>
              <w:rPr>
                <w:rFonts w:hint="eastAsia" w:ascii="宋体" w:hAnsi="宋体" w:eastAsia="宋体" w:cs="Times New Roman"/>
                <w:szCs w:val="21"/>
              </w:rPr>
            </w:pPr>
          </w:p>
        </w:tc>
        <w:tc>
          <w:tcPr>
            <w:tcW w:w="0" w:type="auto"/>
            <w:vAlign w:val="center"/>
          </w:tcPr>
          <w:p w14:paraId="564CFB9F">
            <w:pPr>
              <w:spacing w:line="312" w:lineRule="auto"/>
              <w:jc w:val="center"/>
              <w:rPr>
                <w:rFonts w:hint="eastAsia" w:ascii="宋体" w:hAnsi="宋体" w:eastAsia="宋体" w:cs="Times New Roman"/>
                <w:szCs w:val="21"/>
              </w:rPr>
            </w:pPr>
          </w:p>
        </w:tc>
        <w:tc>
          <w:tcPr>
            <w:tcW w:w="0" w:type="auto"/>
            <w:vAlign w:val="center"/>
          </w:tcPr>
          <w:p w14:paraId="625DE85D">
            <w:pPr>
              <w:spacing w:line="312"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77964A0">
      <w:pPr>
        <w:spacing w:before="156" w:beforeLines="50" w:line="360" w:lineRule="auto"/>
        <w:ind w:firstLine="422" w:firstLineChars="200"/>
        <w:jc w:val="left"/>
        <w:outlineLvl w:val="1"/>
        <w:rPr>
          <w:rFonts w:ascii="Times New Roman" w:hAnsi="Times New Roman" w:eastAsia="宋体" w:cs="Times New Roman"/>
          <w:b/>
          <w:szCs w:val="21"/>
        </w:rPr>
      </w:pPr>
      <w:bookmarkStart w:id="357" w:name="_Toc1109"/>
      <w:r>
        <w:rPr>
          <w:rFonts w:hint="eastAsia" w:ascii="Times New Roman" w:hAnsi="Times New Roman" w:eastAsia="宋体" w:cs="Times New Roman"/>
          <w:b/>
          <w:szCs w:val="21"/>
        </w:rPr>
        <w:t>（二）成绩评定细则</w:t>
      </w:r>
      <w:bookmarkEnd w:id="357"/>
    </w:p>
    <w:p w14:paraId="27160A7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6095"/>
        <w:gridCol w:w="930"/>
      </w:tblGrid>
      <w:tr w14:paraId="6253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39B735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95" w:type="dxa"/>
            <w:vAlign w:val="center"/>
          </w:tcPr>
          <w:p w14:paraId="4DA54FE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930" w:type="dxa"/>
            <w:vAlign w:val="center"/>
          </w:tcPr>
          <w:p w14:paraId="59F68B8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B3E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45B75F89">
            <w:pPr>
              <w:jc w:val="center"/>
              <w:rPr>
                <w:rFonts w:hint="eastAsia" w:ascii="宋体" w:hAnsi="宋体" w:eastAsia="宋体" w:cs="Times New Roman"/>
                <w:szCs w:val="22"/>
              </w:rPr>
            </w:pPr>
            <w:r>
              <w:rPr>
                <w:rFonts w:hint="eastAsia" w:ascii="宋体" w:hAnsi="宋体" w:eastAsia="宋体" w:cs="Times New Roman"/>
                <w:szCs w:val="22"/>
              </w:rPr>
              <w:t>经典</w:t>
            </w:r>
            <w:r>
              <w:rPr>
                <w:rFonts w:ascii="宋体" w:hAnsi="宋体" w:eastAsia="宋体" w:cs="Times New Roman"/>
                <w:szCs w:val="22"/>
              </w:rPr>
              <w:t>阅读</w:t>
            </w:r>
          </w:p>
          <w:p w14:paraId="26D8E283">
            <w:pPr>
              <w:jc w:val="center"/>
              <w:rPr>
                <w:rFonts w:hint="eastAsia" w:ascii="宋体" w:hAnsi="宋体" w:eastAsia="宋体" w:cs="Times New Roman"/>
                <w:szCs w:val="21"/>
              </w:rPr>
            </w:pPr>
            <w:r>
              <w:rPr>
                <w:rFonts w:hint="eastAsia" w:ascii="宋体" w:hAnsi="宋体" w:eastAsia="宋体" w:cs="Times New Roman"/>
                <w:szCs w:val="22"/>
              </w:rPr>
              <w:t>书籍数量</w:t>
            </w:r>
          </w:p>
        </w:tc>
        <w:tc>
          <w:tcPr>
            <w:tcW w:w="6095" w:type="dxa"/>
            <w:vAlign w:val="center"/>
          </w:tcPr>
          <w:p w14:paraId="697689F6">
            <w:pPr>
              <w:rPr>
                <w:rFonts w:hint="eastAsia" w:ascii="宋体" w:hAnsi="宋体" w:eastAsia="宋体" w:cs="Times New Roman"/>
                <w:szCs w:val="21"/>
              </w:rPr>
            </w:pPr>
            <w:r>
              <w:rPr>
                <w:rFonts w:ascii="宋体" w:hAnsi="宋体" w:eastAsia="宋体" w:cs="Times New Roman"/>
                <w:spacing w:val="-7"/>
                <w:szCs w:val="21"/>
              </w:rPr>
              <w:t>学生在校期间，</w:t>
            </w:r>
            <w:r>
              <w:rPr>
                <w:rFonts w:hint="eastAsia" w:ascii="宋体" w:hAnsi="宋体" w:eastAsia="宋体" w:cs="Times New Roman"/>
                <w:spacing w:val="-7"/>
                <w:szCs w:val="21"/>
              </w:rPr>
              <w:t>每学年须完成经典阅读</w:t>
            </w:r>
            <w:r>
              <w:rPr>
                <w:rFonts w:ascii="宋体" w:hAnsi="宋体" w:eastAsia="宋体" w:cs="Times New Roman"/>
                <w:spacing w:val="-7"/>
                <w:szCs w:val="21"/>
              </w:rPr>
              <w:t>20</w:t>
            </w:r>
            <w:r>
              <w:rPr>
                <w:rFonts w:hint="eastAsia" w:ascii="宋体" w:hAnsi="宋体" w:eastAsia="宋体" w:cs="Times New Roman"/>
                <w:spacing w:val="-7"/>
                <w:szCs w:val="21"/>
              </w:rPr>
              <w:t>本/6学时，</w:t>
            </w:r>
            <w:r>
              <w:rPr>
                <w:rFonts w:hint="eastAsia" w:ascii="宋体" w:hAnsi="宋体" w:eastAsia="宋体" w:cs="Times New Roman"/>
                <w:spacing w:val="-5"/>
                <w:szCs w:val="21"/>
              </w:rPr>
              <w:t>学生须</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7"/>
                <w:szCs w:val="21"/>
              </w:rPr>
              <w:t>完成经典阅读</w:t>
            </w:r>
            <w:r>
              <w:rPr>
                <w:rFonts w:ascii="宋体" w:hAnsi="宋体" w:eastAsia="宋体" w:cs="Times New Roman"/>
                <w:spacing w:val="-5"/>
                <w:szCs w:val="21"/>
              </w:rPr>
              <w:t>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hint="eastAsia" w:ascii="宋体" w:hAnsi="宋体" w:eastAsia="宋体" w:cs="Times New Roman"/>
                <w:spacing w:val="-10"/>
                <w:szCs w:val="21"/>
              </w:rPr>
              <w:t>24</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5"/>
                <w:szCs w:val="21"/>
              </w:rPr>
              <w:t>。</w:t>
            </w:r>
            <w:r>
              <w:rPr>
                <w:rFonts w:hint="eastAsia" w:ascii="宋体" w:hAnsi="宋体" w:eastAsia="宋体" w:cs="Times New Roman"/>
                <w:spacing w:val="-10"/>
                <w:szCs w:val="21"/>
              </w:rPr>
              <w:t>每学年超过部分，认定附加分，每增加1本经典阅读，计2学时。</w:t>
            </w:r>
            <w:r>
              <w:rPr>
                <w:rFonts w:hint="eastAsia" w:ascii="宋体" w:hAnsi="宋体" w:eastAsia="宋体" w:cs="Times New Roman"/>
                <w:bCs/>
                <w:spacing w:val="-5"/>
                <w:szCs w:val="21"/>
              </w:rPr>
              <w:t>经典阅读书目可涵盖</w:t>
            </w:r>
            <w:r>
              <w:rPr>
                <w:rFonts w:ascii="宋体" w:hAnsi="宋体" w:eastAsia="宋体" w:cs="Times New Roman"/>
                <w:bCs/>
                <w:spacing w:val="-5"/>
                <w:szCs w:val="21"/>
              </w:rPr>
              <w:t>“</w:t>
            </w:r>
            <w:r>
              <w:rPr>
                <w:rFonts w:hint="eastAsia" w:ascii="宋体" w:hAnsi="宋体" w:eastAsia="宋体" w:cs="Times New Roman"/>
                <w:bCs/>
                <w:spacing w:val="-5"/>
                <w:szCs w:val="21"/>
              </w:rPr>
              <w:t>教育学类</w:t>
            </w:r>
            <w:r>
              <w:rPr>
                <w:rFonts w:ascii="宋体" w:hAnsi="宋体" w:eastAsia="宋体" w:cs="Times New Roman"/>
                <w:bCs/>
                <w:spacing w:val="-5"/>
                <w:szCs w:val="21"/>
              </w:rPr>
              <w:t xml:space="preserve"> ” </w:t>
            </w:r>
            <w:r>
              <w:rPr>
                <w:rFonts w:hint="eastAsia" w:ascii="宋体" w:hAnsi="宋体" w:eastAsia="宋体" w:cs="Times New Roman"/>
                <w:bCs/>
                <w:spacing w:val="-5"/>
                <w:szCs w:val="21"/>
              </w:rPr>
              <w:t>“心理学类”</w:t>
            </w:r>
            <w:r>
              <w:rPr>
                <w:rFonts w:ascii="宋体" w:hAnsi="宋体" w:eastAsia="宋体" w:cs="Times New Roman"/>
                <w:bCs/>
                <w:spacing w:val="-5"/>
                <w:szCs w:val="21"/>
              </w:rPr>
              <w:t>“</w:t>
            </w:r>
            <w:r>
              <w:rPr>
                <w:rFonts w:hint="eastAsia" w:ascii="宋体" w:hAnsi="宋体" w:eastAsia="宋体" w:cs="Times New Roman"/>
                <w:bCs/>
                <w:spacing w:val="-5"/>
                <w:szCs w:val="21"/>
              </w:rPr>
              <w:t>文学艺术类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哲学美育类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“社会学类”</w:t>
            </w:r>
            <w:r>
              <w:rPr>
                <w:rFonts w:ascii="宋体" w:hAnsi="宋体" w:eastAsia="宋体" w:cs="Times New Roman"/>
                <w:bCs/>
                <w:spacing w:val="-5"/>
                <w:szCs w:val="21"/>
              </w:rPr>
              <w:t>“</w:t>
            </w:r>
            <w:r>
              <w:rPr>
                <w:rFonts w:hint="eastAsia" w:ascii="宋体" w:hAnsi="宋体" w:eastAsia="宋体" w:cs="Times New Roman"/>
                <w:bCs/>
                <w:spacing w:val="-5"/>
                <w:szCs w:val="21"/>
              </w:rPr>
              <w:t>自然科学类</w:t>
            </w:r>
            <w:r>
              <w:rPr>
                <w:rFonts w:ascii="宋体" w:hAnsi="宋体" w:eastAsia="宋体" w:cs="Times New Roman"/>
                <w:bCs/>
                <w:spacing w:val="-5"/>
                <w:szCs w:val="21"/>
              </w:rPr>
              <w:t>”</w:t>
            </w:r>
            <w:r>
              <w:rPr>
                <w:rFonts w:hint="eastAsia" w:ascii="宋体" w:hAnsi="宋体" w:eastAsia="宋体" w:cs="Times New Roman"/>
                <w:bCs/>
                <w:spacing w:val="-5"/>
                <w:szCs w:val="21"/>
              </w:rPr>
              <w:t>、“历史文明类</w:t>
            </w:r>
            <w:r>
              <w:rPr>
                <w:rFonts w:ascii="宋体" w:hAnsi="宋体" w:eastAsia="宋体" w:cs="Times New Roman"/>
                <w:bCs/>
                <w:spacing w:val="-5"/>
                <w:szCs w:val="21"/>
              </w:rPr>
              <w:t>”“</w:t>
            </w:r>
            <w:r>
              <w:rPr>
                <w:rFonts w:hint="eastAsia" w:ascii="宋体" w:hAnsi="宋体" w:eastAsia="宋体" w:cs="Times New Roman"/>
                <w:bCs/>
                <w:spacing w:val="-5"/>
                <w:szCs w:val="21"/>
              </w:rPr>
              <w:t>全球化领导力类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等八大类。</w:t>
            </w:r>
          </w:p>
        </w:tc>
        <w:tc>
          <w:tcPr>
            <w:tcW w:w="930" w:type="dxa"/>
            <w:vAlign w:val="center"/>
          </w:tcPr>
          <w:p w14:paraId="0397A26C">
            <w:pPr>
              <w:jc w:val="center"/>
              <w:rPr>
                <w:rFonts w:hint="eastAsia" w:ascii="宋体" w:hAnsi="宋体" w:eastAsia="宋体" w:cs="Times New Roman"/>
                <w:szCs w:val="21"/>
              </w:rPr>
            </w:pPr>
            <w:r>
              <w:rPr>
                <w:rFonts w:hint="eastAsia" w:ascii="宋体" w:hAnsi="宋体" w:eastAsia="宋体" w:cs="Times New Roman"/>
                <w:szCs w:val="21"/>
              </w:rPr>
              <w:t>75%</w:t>
            </w:r>
          </w:p>
        </w:tc>
      </w:tr>
      <w:tr w14:paraId="7AD6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634A27B9">
            <w:pPr>
              <w:jc w:val="center"/>
              <w:rPr>
                <w:rFonts w:hint="eastAsia" w:ascii="宋体" w:hAnsi="宋体" w:eastAsia="宋体" w:cs="Times New Roman"/>
                <w:szCs w:val="21"/>
              </w:rPr>
            </w:pPr>
            <w:r>
              <w:rPr>
                <w:rFonts w:ascii="宋体" w:hAnsi="宋体" w:eastAsia="宋体" w:cs="Times New Roman"/>
                <w:szCs w:val="22"/>
              </w:rPr>
              <w:t>参加讲座</w:t>
            </w:r>
            <w:r>
              <w:rPr>
                <w:rFonts w:hint="eastAsia" w:ascii="宋体" w:hAnsi="宋体" w:eastAsia="宋体" w:cs="Times New Roman"/>
                <w:szCs w:val="22"/>
              </w:rPr>
              <w:t>或报告场次</w:t>
            </w:r>
          </w:p>
        </w:tc>
        <w:tc>
          <w:tcPr>
            <w:tcW w:w="6095" w:type="dxa"/>
            <w:vAlign w:val="center"/>
          </w:tcPr>
          <w:p w14:paraId="2EE2D81F">
            <w:pPr>
              <w:widowControl/>
              <w:rPr>
                <w:rFonts w:hint="eastAsia" w:ascii="宋体" w:hAnsi="宋体" w:eastAsia="宋体" w:cs="宋体"/>
                <w:kern w:val="0"/>
                <w:szCs w:val="21"/>
                <w:lang w:bidi="ar"/>
              </w:rPr>
            </w:pPr>
            <w:r>
              <w:rPr>
                <w:rFonts w:ascii="宋体" w:hAnsi="宋体" w:eastAsia="宋体" w:cs="Times New Roman"/>
                <w:spacing w:val="-1"/>
                <w:szCs w:val="21"/>
              </w:rPr>
              <w:t>学生每学期参加至少</w:t>
            </w:r>
            <w:r>
              <w:rPr>
                <w:rFonts w:ascii="宋体" w:hAnsi="宋体" w:eastAsia="宋体" w:cs="Times New Roman"/>
                <w:spacing w:val="-49"/>
                <w:szCs w:val="21"/>
              </w:rPr>
              <w:t xml:space="preserve"> </w:t>
            </w:r>
            <w:r>
              <w:rPr>
                <w:rFonts w:ascii="宋体" w:hAnsi="宋体" w:eastAsia="宋体" w:cs="Times New Roman"/>
                <w:spacing w:val="-1"/>
                <w:szCs w:val="21"/>
              </w:rPr>
              <w:t>5</w:t>
            </w:r>
            <w:r>
              <w:rPr>
                <w:rFonts w:ascii="宋体" w:hAnsi="宋体" w:eastAsia="宋体" w:cs="Times New Roman"/>
                <w:spacing w:val="-52"/>
                <w:szCs w:val="21"/>
              </w:rPr>
              <w:t xml:space="preserve"> </w:t>
            </w:r>
            <w:r>
              <w:rPr>
                <w:rFonts w:ascii="宋体" w:hAnsi="宋体" w:eastAsia="宋体" w:cs="Times New Roman"/>
                <w:spacing w:val="-1"/>
                <w:szCs w:val="21"/>
              </w:rPr>
              <w:t>次校内外学术讲座（报告）或者网络</w:t>
            </w:r>
            <w:r>
              <w:rPr>
                <w:rFonts w:ascii="宋体" w:hAnsi="宋体" w:eastAsia="宋体" w:cs="Times New Roman"/>
                <w:spacing w:val="-4"/>
                <w:szCs w:val="21"/>
              </w:rPr>
              <w:t>上公开的学术会议，</w:t>
            </w:r>
            <w:r>
              <w:rPr>
                <w:rFonts w:hint="eastAsia" w:ascii="宋体" w:hAnsi="宋体" w:eastAsia="宋体" w:cs="Times New Roman"/>
                <w:spacing w:val="-7"/>
                <w:szCs w:val="21"/>
              </w:rPr>
              <w:t>每学年须完成参加学术讲座或报告</w:t>
            </w:r>
            <w:r>
              <w:rPr>
                <w:rFonts w:ascii="宋体" w:hAnsi="宋体" w:eastAsia="宋体" w:cs="Times New Roman"/>
                <w:spacing w:val="-7"/>
                <w:szCs w:val="21"/>
              </w:rPr>
              <w:t>10</w:t>
            </w:r>
            <w:r>
              <w:rPr>
                <w:rFonts w:hint="eastAsia" w:ascii="宋体" w:hAnsi="宋体" w:eastAsia="宋体" w:cs="Times New Roman"/>
                <w:spacing w:val="-7"/>
                <w:szCs w:val="21"/>
              </w:rPr>
              <w:t>场，方可获得2学时。学生须</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4"/>
                <w:szCs w:val="21"/>
              </w:rPr>
              <w:t>须</w:t>
            </w:r>
            <w:r>
              <w:rPr>
                <w:rFonts w:ascii="宋体" w:hAnsi="宋体" w:eastAsia="宋体" w:cs="Times New Roman"/>
                <w:spacing w:val="-4"/>
                <w:szCs w:val="21"/>
              </w:rPr>
              <w:t>参加学术讲座（报</w:t>
            </w:r>
            <w:r>
              <w:rPr>
                <w:rFonts w:ascii="宋体" w:hAnsi="宋体" w:eastAsia="宋体" w:cs="Times New Roman"/>
                <w:spacing w:val="-5"/>
                <w:szCs w:val="21"/>
              </w:rPr>
              <w:t>告）累计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ascii="宋体" w:hAnsi="宋体" w:eastAsia="宋体" w:cs="Times New Roman"/>
                <w:spacing w:val="-10"/>
                <w:szCs w:val="21"/>
              </w:rPr>
              <w:t>8</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10"/>
                <w:szCs w:val="21"/>
              </w:rPr>
              <w:t>每学年超过部分，认定附加分，每增加1次学术讲座，计2学时。</w:t>
            </w:r>
          </w:p>
        </w:tc>
        <w:tc>
          <w:tcPr>
            <w:tcW w:w="930" w:type="dxa"/>
            <w:vAlign w:val="center"/>
          </w:tcPr>
          <w:p w14:paraId="4F89F706">
            <w:pPr>
              <w:jc w:val="center"/>
              <w:rPr>
                <w:rFonts w:hint="eastAsia" w:ascii="宋体" w:hAnsi="宋体" w:eastAsia="宋体" w:cs="Times New Roman"/>
                <w:szCs w:val="21"/>
              </w:rPr>
            </w:pPr>
            <w:r>
              <w:rPr>
                <w:rFonts w:hint="eastAsia" w:ascii="宋体" w:hAnsi="宋体" w:eastAsia="宋体" w:cs="Times New Roman"/>
                <w:szCs w:val="21"/>
              </w:rPr>
              <w:t>25%</w:t>
            </w:r>
          </w:p>
        </w:tc>
      </w:tr>
      <w:tr w14:paraId="267E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4B55866">
            <w:pPr>
              <w:jc w:val="center"/>
              <w:rPr>
                <w:rFonts w:hint="eastAsia" w:ascii="宋体" w:hAnsi="宋体" w:eastAsia="宋体" w:cs="Times New Roman"/>
                <w:szCs w:val="22"/>
              </w:rPr>
            </w:pPr>
            <w:r>
              <w:rPr>
                <w:rFonts w:ascii="宋体" w:hAnsi="宋体" w:eastAsia="宋体" w:cs="Times New Roman"/>
                <w:szCs w:val="22"/>
              </w:rPr>
              <w:t>读书</w:t>
            </w:r>
            <w:r>
              <w:rPr>
                <w:rFonts w:hint="eastAsia" w:ascii="宋体" w:hAnsi="宋体" w:eastAsia="宋体" w:cs="Times New Roman"/>
                <w:szCs w:val="22"/>
              </w:rPr>
              <w:t>体会</w:t>
            </w:r>
          </w:p>
          <w:p w14:paraId="0C0D0EE9">
            <w:pPr>
              <w:jc w:val="center"/>
              <w:rPr>
                <w:rFonts w:hint="eastAsia" w:ascii="宋体" w:hAnsi="宋体" w:eastAsia="宋体" w:cs="Times New Roman"/>
                <w:szCs w:val="21"/>
              </w:rPr>
            </w:pPr>
            <w:r>
              <w:rPr>
                <w:rFonts w:hint="eastAsia" w:ascii="宋体" w:hAnsi="宋体" w:eastAsia="宋体" w:cs="Times New Roman"/>
                <w:szCs w:val="22"/>
              </w:rPr>
              <w:t>或笔记</w:t>
            </w:r>
          </w:p>
        </w:tc>
        <w:tc>
          <w:tcPr>
            <w:tcW w:w="6095" w:type="dxa"/>
            <w:vAlign w:val="center"/>
          </w:tcPr>
          <w:p w14:paraId="6C01A98E">
            <w:pPr>
              <w:widowControl/>
              <w:rPr>
                <w:rFonts w:hint="eastAsia" w:ascii="宋体" w:hAnsi="宋体" w:eastAsia="宋体" w:cs="宋体"/>
                <w:kern w:val="0"/>
                <w:szCs w:val="21"/>
                <w:lang w:bidi="ar"/>
              </w:rPr>
            </w:pPr>
            <w:r>
              <w:rPr>
                <w:rFonts w:hint="eastAsia" w:ascii="宋体" w:hAnsi="宋体" w:eastAsia="宋体" w:cs="Times New Roman"/>
                <w:spacing w:val="-1"/>
                <w:szCs w:val="21"/>
              </w:rPr>
              <w:t>学</w:t>
            </w:r>
            <w:r>
              <w:rPr>
                <w:rFonts w:ascii="宋体" w:hAnsi="宋体" w:eastAsia="宋体" w:cs="Times New Roman"/>
                <w:spacing w:val="-1"/>
                <w:szCs w:val="21"/>
              </w:rPr>
              <w:t>生每提交1篇读书体会或笔记（至少1500 字）可计</w:t>
            </w:r>
            <w:r>
              <w:rPr>
                <w:rFonts w:hint="eastAsia" w:ascii="宋体" w:hAnsi="宋体" w:eastAsia="宋体" w:cs="Times New Roman"/>
                <w:spacing w:val="-1"/>
                <w:szCs w:val="21"/>
              </w:rPr>
              <w:t>2</w:t>
            </w:r>
            <w:r>
              <w:rPr>
                <w:rFonts w:ascii="宋体" w:hAnsi="宋体" w:eastAsia="宋体" w:cs="Times New Roman"/>
                <w:spacing w:val="-1"/>
                <w:szCs w:val="21"/>
              </w:rPr>
              <w:t>学时</w:t>
            </w:r>
            <w:r>
              <w:rPr>
                <w:rFonts w:hint="eastAsia" w:ascii="宋体" w:hAnsi="宋体" w:eastAsia="宋体" w:cs="Times New Roman"/>
                <w:spacing w:val="-1"/>
                <w:szCs w:val="21"/>
              </w:rPr>
              <w:t>，作为附加分，可在第八学期累计入总学时</w:t>
            </w:r>
            <w:r>
              <w:rPr>
                <w:rFonts w:ascii="宋体" w:hAnsi="宋体" w:eastAsia="宋体" w:cs="Times New Roman"/>
                <w:spacing w:val="-1"/>
                <w:szCs w:val="21"/>
              </w:rPr>
              <w:t>。</w:t>
            </w:r>
            <w:r>
              <w:rPr>
                <w:rFonts w:ascii="宋体" w:hAnsi="宋体" w:eastAsia="宋体" w:cs="Times New Roman"/>
                <w:szCs w:val="21"/>
              </w:rPr>
              <w:t>根据学生的报告撰写的质量（格式、内容、逻辑、理论等）综合评定</w:t>
            </w:r>
            <w:r>
              <w:rPr>
                <w:rFonts w:hint="eastAsia" w:ascii="宋体" w:hAnsi="宋体" w:eastAsia="宋体" w:cs="Times New Roman"/>
                <w:szCs w:val="21"/>
              </w:rPr>
              <w:t>。</w:t>
            </w:r>
          </w:p>
        </w:tc>
        <w:tc>
          <w:tcPr>
            <w:tcW w:w="930" w:type="dxa"/>
            <w:vAlign w:val="center"/>
          </w:tcPr>
          <w:p w14:paraId="16D28D2C">
            <w:pPr>
              <w:jc w:val="center"/>
              <w:rPr>
                <w:rFonts w:hint="eastAsia" w:ascii="宋体" w:hAnsi="宋体" w:eastAsia="宋体" w:cs="Times New Roman"/>
                <w:szCs w:val="21"/>
              </w:rPr>
            </w:pPr>
            <w:r>
              <w:rPr>
                <w:rFonts w:hint="eastAsia" w:ascii="宋体" w:hAnsi="宋体" w:eastAsia="宋体" w:cs="Times New Roman"/>
                <w:szCs w:val="21"/>
              </w:rPr>
              <w:t>附加分</w:t>
            </w:r>
          </w:p>
        </w:tc>
      </w:tr>
      <w:tr w14:paraId="33ED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5F75AB7C">
            <w:pPr>
              <w:jc w:val="center"/>
              <w:rPr>
                <w:rFonts w:hint="eastAsia" w:ascii="宋体" w:hAnsi="宋体" w:eastAsia="宋体" w:cs="Times New Roman"/>
                <w:spacing w:val="-5"/>
                <w:szCs w:val="21"/>
              </w:rPr>
            </w:pPr>
            <w:r>
              <w:rPr>
                <w:rFonts w:hint="eastAsia" w:ascii="宋体" w:hAnsi="宋体" w:eastAsia="宋体" w:cs="Times New Roman"/>
                <w:spacing w:val="-5"/>
                <w:szCs w:val="21"/>
              </w:rPr>
              <w:t>大学生</w:t>
            </w:r>
          </w:p>
          <w:p w14:paraId="40409FDE">
            <w:pPr>
              <w:jc w:val="center"/>
              <w:rPr>
                <w:rFonts w:hint="eastAsia" w:ascii="宋体" w:hAnsi="宋体" w:eastAsia="宋体" w:cs="Times New Roman"/>
                <w:szCs w:val="21"/>
              </w:rPr>
            </w:pPr>
            <w:r>
              <w:rPr>
                <w:rFonts w:hint="eastAsia" w:ascii="宋体" w:hAnsi="宋体" w:eastAsia="宋体" w:cs="Times New Roman"/>
                <w:spacing w:val="-5"/>
                <w:szCs w:val="21"/>
              </w:rPr>
              <w:t>读书节获奖</w:t>
            </w:r>
          </w:p>
        </w:tc>
        <w:tc>
          <w:tcPr>
            <w:tcW w:w="6095" w:type="dxa"/>
            <w:vAlign w:val="center"/>
          </w:tcPr>
          <w:p w14:paraId="0A41F01A">
            <w:pPr>
              <w:spacing w:after="120"/>
              <w:ind w:left="50" w:right="-21" w:rightChars="-10"/>
              <w:rPr>
                <w:rFonts w:hint="eastAsia" w:ascii="宋体" w:hAnsi="宋体" w:eastAsia="宋体" w:cs="Times New Roman"/>
                <w:spacing w:val="-1"/>
                <w:szCs w:val="21"/>
              </w:rPr>
            </w:pPr>
            <w:r>
              <w:rPr>
                <w:rFonts w:ascii="宋体" w:hAnsi="宋体" w:eastAsia="宋体" w:cs="Times New Roman"/>
                <w:spacing w:val="-1"/>
                <w:szCs w:val="21"/>
              </w:rPr>
              <w:t>获得校级奖励每项可计5学时，获得省级（教育厅）奖励每项可计10学时</w:t>
            </w:r>
            <w:r>
              <w:rPr>
                <w:rFonts w:hint="eastAsia" w:ascii="宋体" w:hAnsi="宋体" w:eastAsia="宋体" w:cs="Times New Roman"/>
                <w:spacing w:val="-1"/>
                <w:szCs w:val="21"/>
              </w:rPr>
              <w:t>，可在第八学期累计入总学时</w:t>
            </w:r>
            <w:r>
              <w:rPr>
                <w:rFonts w:ascii="宋体" w:hAnsi="宋体" w:eastAsia="宋体" w:cs="Times New Roman"/>
                <w:spacing w:val="-1"/>
                <w:szCs w:val="21"/>
              </w:rPr>
              <w:t>。</w:t>
            </w:r>
          </w:p>
        </w:tc>
        <w:tc>
          <w:tcPr>
            <w:tcW w:w="930" w:type="dxa"/>
            <w:vAlign w:val="center"/>
          </w:tcPr>
          <w:p w14:paraId="1EA4D0DE">
            <w:pPr>
              <w:jc w:val="center"/>
              <w:rPr>
                <w:rFonts w:hint="eastAsia" w:ascii="宋体" w:hAnsi="宋体" w:eastAsia="宋体" w:cs="Times New Roman"/>
                <w:szCs w:val="21"/>
              </w:rPr>
            </w:pPr>
            <w:r>
              <w:rPr>
                <w:rFonts w:hint="eastAsia" w:ascii="宋体" w:hAnsi="宋体" w:eastAsia="宋体" w:cs="Times New Roman"/>
                <w:szCs w:val="21"/>
              </w:rPr>
              <w:t>附加分</w:t>
            </w:r>
          </w:p>
        </w:tc>
      </w:tr>
      <w:tr w14:paraId="3636F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71" w:type="dxa"/>
            <w:vAlign w:val="center"/>
          </w:tcPr>
          <w:p w14:paraId="3AC8629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95" w:type="dxa"/>
            <w:vAlign w:val="center"/>
          </w:tcPr>
          <w:p w14:paraId="347ABDB4">
            <w:pPr>
              <w:jc w:val="left"/>
              <w:rPr>
                <w:rFonts w:ascii="Times New Roman" w:hAnsi="Times New Roman" w:eastAsia="宋体" w:cs="Times New Roman"/>
                <w:szCs w:val="21"/>
              </w:rPr>
            </w:pPr>
          </w:p>
        </w:tc>
        <w:tc>
          <w:tcPr>
            <w:tcW w:w="930" w:type="dxa"/>
            <w:vAlign w:val="center"/>
          </w:tcPr>
          <w:p w14:paraId="63CC787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65DF7A9">
      <w:pPr>
        <w:spacing w:after="120"/>
        <w:ind w:left="50" w:right="-199" w:firstLine="416" w:firstLineChars="200"/>
        <w:rPr>
          <w:rFonts w:hint="eastAsia" w:ascii="宋体" w:hAnsi="宋体" w:eastAsia="宋体" w:cs="Times New Roman"/>
          <w:szCs w:val="21"/>
        </w:rPr>
      </w:pPr>
      <w:r>
        <w:rPr>
          <w:rFonts w:ascii="宋体" w:hAnsi="宋体" w:eastAsia="宋体" w:cs="Times New Roman"/>
          <w:spacing w:val="-1"/>
          <w:szCs w:val="21"/>
        </w:rPr>
        <w:t>该课程成绩以五级制计算，分别是优秀、 良好、 中等、及格、不及格。对应关系如下：</w:t>
      </w:r>
    </w:p>
    <w:tbl>
      <w:tblPr>
        <w:tblStyle w:val="17"/>
        <w:tblW w:w="79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68"/>
        <w:gridCol w:w="3969"/>
      </w:tblGrid>
      <w:tr w14:paraId="340CF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jc w:val="center"/>
        </w:trPr>
        <w:tc>
          <w:tcPr>
            <w:tcW w:w="2343" w:type="dxa"/>
            <w:vAlign w:val="center"/>
          </w:tcPr>
          <w:p w14:paraId="0DF3169E">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9"/>
                <w:kern w:val="0"/>
                <w:szCs w:val="21"/>
                <w:lang w:eastAsia="en-US"/>
              </w:rPr>
              <w:t>五级制</w:t>
            </w:r>
          </w:p>
        </w:tc>
        <w:tc>
          <w:tcPr>
            <w:tcW w:w="2343" w:type="dxa"/>
            <w:vAlign w:val="center"/>
          </w:tcPr>
          <w:p w14:paraId="41B76791">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hint="eastAsia" w:ascii="宋体" w:hAnsi="宋体" w:eastAsia="宋体" w:cs="仿宋"/>
                <w:snapToGrid w:val="0"/>
                <w:spacing w:val="-11"/>
                <w:kern w:val="0"/>
                <w:szCs w:val="21"/>
              </w:rPr>
              <w:t>总</w:t>
            </w:r>
            <w:r>
              <w:rPr>
                <w:rFonts w:ascii="宋体" w:hAnsi="宋体" w:eastAsia="宋体" w:cs="仿宋"/>
                <w:snapToGrid w:val="0"/>
                <w:spacing w:val="-11"/>
                <w:kern w:val="0"/>
                <w:szCs w:val="21"/>
                <w:lang w:eastAsia="en-US"/>
              </w:rPr>
              <w:t>学时</w:t>
            </w:r>
          </w:p>
        </w:tc>
      </w:tr>
      <w:tr w14:paraId="5B167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2343" w:type="dxa"/>
            <w:vAlign w:val="center"/>
          </w:tcPr>
          <w:p w14:paraId="70E16610">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10"/>
                <w:kern w:val="0"/>
                <w:szCs w:val="21"/>
                <w:lang w:eastAsia="en-US"/>
              </w:rPr>
              <w:t>优秀</w:t>
            </w:r>
          </w:p>
        </w:tc>
        <w:tc>
          <w:tcPr>
            <w:tcW w:w="2343" w:type="dxa"/>
            <w:vAlign w:val="center"/>
          </w:tcPr>
          <w:p w14:paraId="12156D80">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9"/>
                <w:kern w:val="0"/>
                <w:szCs w:val="21"/>
                <w:lang w:eastAsia="en-US"/>
              </w:rPr>
              <w:t>56</w:t>
            </w:r>
            <w:r>
              <w:rPr>
                <w:rFonts w:ascii="宋体" w:hAnsi="宋体" w:eastAsia="宋体" w:cs="仿宋"/>
                <w:snapToGrid w:val="0"/>
                <w:spacing w:val="-37"/>
                <w:kern w:val="0"/>
                <w:szCs w:val="21"/>
                <w:lang w:eastAsia="en-US"/>
              </w:rPr>
              <w:t xml:space="preserve"> </w:t>
            </w:r>
            <w:r>
              <w:rPr>
                <w:rFonts w:ascii="宋体" w:hAnsi="宋体" w:eastAsia="宋体" w:cs="仿宋"/>
                <w:snapToGrid w:val="0"/>
                <w:spacing w:val="-9"/>
                <w:kern w:val="0"/>
                <w:szCs w:val="21"/>
                <w:lang w:eastAsia="en-US"/>
              </w:rPr>
              <w:t>学时以上</w:t>
            </w:r>
          </w:p>
        </w:tc>
      </w:tr>
      <w:tr w14:paraId="275C7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jc w:val="center"/>
        </w:trPr>
        <w:tc>
          <w:tcPr>
            <w:tcW w:w="2343" w:type="dxa"/>
            <w:vAlign w:val="center"/>
          </w:tcPr>
          <w:p w14:paraId="08619B88">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33"/>
                <w:kern w:val="0"/>
                <w:szCs w:val="21"/>
                <w:lang w:eastAsia="en-US"/>
              </w:rPr>
              <w:t>良好</w:t>
            </w:r>
          </w:p>
        </w:tc>
        <w:tc>
          <w:tcPr>
            <w:tcW w:w="2343" w:type="dxa"/>
            <w:vAlign w:val="center"/>
          </w:tcPr>
          <w:p w14:paraId="23985E0A">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7"/>
                <w:kern w:val="0"/>
                <w:szCs w:val="21"/>
                <w:lang w:eastAsia="en-US"/>
              </w:rPr>
              <w:t>49-56</w:t>
            </w:r>
            <w:r>
              <w:rPr>
                <w:rFonts w:ascii="宋体" w:hAnsi="宋体" w:eastAsia="宋体" w:cs="仿宋"/>
                <w:snapToGrid w:val="0"/>
                <w:spacing w:val="-39"/>
                <w:kern w:val="0"/>
                <w:szCs w:val="21"/>
                <w:lang w:eastAsia="en-US"/>
              </w:rPr>
              <w:t xml:space="preserve"> </w:t>
            </w:r>
            <w:r>
              <w:rPr>
                <w:rFonts w:ascii="宋体" w:hAnsi="宋体" w:eastAsia="宋体" w:cs="仿宋"/>
                <w:snapToGrid w:val="0"/>
                <w:spacing w:val="-7"/>
                <w:kern w:val="0"/>
                <w:szCs w:val="21"/>
                <w:lang w:eastAsia="en-US"/>
              </w:rPr>
              <w:t>学时</w:t>
            </w:r>
          </w:p>
        </w:tc>
      </w:tr>
      <w:tr w14:paraId="182C2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vAlign w:val="center"/>
          </w:tcPr>
          <w:p w14:paraId="20628FDA">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30"/>
                <w:kern w:val="0"/>
                <w:szCs w:val="21"/>
                <w:lang w:eastAsia="en-US"/>
              </w:rPr>
              <w:t>中等</w:t>
            </w:r>
          </w:p>
        </w:tc>
        <w:tc>
          <w:tcPr>
            <w:tcW w:w="2343" w:type="dxa"/>
            <w:vAlign w:val="center"/>
          </w:tcPr>
          <w:p w14:paraId="00354F34">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7"/>
                <w:kern w:val="0"/>
                <w:szCs w:val="21"/>
                <w:lang w:eastAsia="en-US"/>
              </w:rPr>
              <w:t>41-48</w:t>
            </w:r>
            <w:r>
              <w:rPr>
                <w:rFonts w:ascii="宋体" w:hAnsi="宋体" w:eastAsia="宋体" w:cs="仿宋"/>
                <w:snapToGrid w:val="0"/>
                <w:spacing w:val="-39"/>
                <w:kern w:val="0"/>
                <w:szCs w:val="21"/>
                <w:lang w:eastAsia="en-US"/>
              </w:rPr>
              <w:t xml:space="preserve"> </w:t>
            </w:r>
            <w:r>
              <w:rPr>
                <w:rFonts w:ascii="宋体" w:hAnsi="宋体" w:eastAsia="宋体" w:cs="仿宋"/>
                <w:snapToGrid w:val="0"/>
                <w:spacing w:val="-7"/>
                <w:kern w:val="0"/>
                <w:szCs w:val="21"/>
                <w:lang w:eastAsia="en-US"/>
              </w:rPr>
              <w:t>学时</w:t>
            </w:r>
          </w:p>
        </w:tc>
      </w:tr>
      <w:tr w14:paraId="12A39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vAlign w:val="center"/>
          </w:tcPr>
          <w:p w14:paraId="713E0287">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12"/>
                <w:kern w:val="0"/>
                <w:szCs w:val="21"/>
                <w:lang w:eastAsia="en-US"/>
              </w:rPr>
              <w:t>及格</w:t>
            </w:r>
          </w:p>
        </w:tc>
        <w:tc>
          <w:tcPr>
            <w:tcW w:w="2343" w:type="dxa"/>
            <w:vAlign w:val="center"/>
          </w:tcPr>
          <w:p w14:paraId="72F3EBA2">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8"/>
                <w:kern w:val="0"/>
                <w:szCs w:val="21"/>
                <w:lang w:eastAsia="en-US"/>
              </w:rPr>
              <w:t>32-40</w:t>
            </w:r>
            <w:r>
              <w:rPr>
                <w:rFonts w:ascii="宋体" w:hAnsi="宋体" w:eastAsia="宋体" w:cs="仿宋"/>
                <w:snapToGrid w:val="0"/>
                <w:spacing w:val="-39"/>
                <w:kern w:val="0"/>
                <w:szCs w:val="21"/>
                <w:lang w:eastAsia="en-US"/>
              </w:rPr>
              <w:t xml:space="preserve"> </w:t>
            </w:r>
            <w:r>
              <w:rPr>
                <w:rFonts w:ascii="宋体" w:hAnsi="宋体" w:eastAsia="宋体" w:cs="仿宋"/>
                <w:snapToGrid w:val="0"/>
                <w:spacing w:val="-8"/>
                <w:kern w:val="0"/>
                <w:szCs w:val="21"/>
                <w:lang w:eastAsia="en-US"/>
              </w:rPr>
              <w:t>学时</w:t>
            </w:r>
          </w:p>
        </w:tc>
      </w:tr>
      <w:tr w14:paraId="4D917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2343" w:type="dxa"/>
            <w:vAlign w:val="center"/>
          </w:tcPr>
          <w:p w14:paraId="29AAC9E8">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10"/>
                <w:kern w:val="0"/>
                <w:szCs w:val="21"/>
                <w:lang w:eastAsia="en-US"/>
              </w:rPr>
              <w:t>不及格</w:t>
            </w:r>
          </w:p>
        </w:tc>
        <w:tc>
          <w:tcPr>
            <w:tcW w:w="2343" w:type="dxa"/>
            <w:vAlign w:val="center"/>
          </w:tcPr>
          <w:p w14:paraId="18108A2C">
            <w:pPr>
              <w:widowControl/>
              <w:kinsoku w:val="0"/>
              <w:autoSpaceDE w:val="0"/>
              <w:autoSpaceDN w:val="0"/>
              <w:adjustRightInd w:val="0"/>
              <w:snapToGrid w:val="0"/>
              <w:jc w:val="center"/>
              <w:textAlignment w:val="baseline"/>
              <w:rPr>
                <w:rFonts w:hint="eastAsia" w:ascii="宋体" w:hAnsi="宋体" w:eastAsia="宋体" w:cs="仿宋"/>
                <w:snapToGrid w:val="0"/>
                <w:kern w:val="0"/>
                <w:szCs w:val="21"/>
                <w:lang w:eastAsia="en-US"/>
              </w:rPr>
            </w:pPr>
            <w:r>
              <w:rPr>
                <w:rFonts w:ascii="宋体" w:hAnsi="宋体" w:eastAsia="宋体" w:cs="仿宋"/>
                <w:snapToGrid w:val="0"/>
                <w:spacing w:val="-9"/>
                <w:kern w:val="0"/>
                <w:szCs w:val="21"/>
                <w:lang w:eastAsia="en-US"/>
              </w:rPr>
              <w:t>32</w:t>
            </w:r>
            <w:r>
              <w:rPr>
                <w:rFonts w:ascii="宋体" w:hAnsi="宋体" w:eastAsia="宋体" w:cs="仿宋"/>
                <w:snapToGrid w:val="0"/>
                <w:spacing w:val="-37"/>
                <w:kern w:val="0"/>
                <w:szCs w:val="21"/>
                <w:lang w:eastAsia="en-US"/>
              </w:rPr>
              <w:t xml:space="preserve"> </w:t>
            </w:r>
            <w:r>
              <w:rPr>
                <w:rFonts w:ascii="宋体" w:hAnsi="宋体" w:eastAsia="宋体" w:cs="仿宋"/>
                <w:snapToGrid w:val="0"/>
                <w:spacing w:val="-9"/>
                <w:kern w:val="0"/>
                <w:szCs w:val="21"/>
                <w:lang w:eastAsia="en-US"/>
              </w:rPr>
              <w:t>学时以下</w:t>
            </w:r>
          </w:p>
        </w:tc>
      </w:tr>
    </w:tbl>
    <w:p w14:paraId="60DBC59F">
      <w:pPr>
        <w:spacing w:after="120"/>
        <w:ind w:right="-58" w:firstLine="416" w:firstLineChars="200"/>
        <w:rPr>
          <w:rFonts w:hint="eastAsia" w:ascii="宋体" w:hAnsi="宋体" w:eastAsia="宋体" w:cs="Times New Roman"/>
          <w:spacing w:val="-1"/>
          <w:szCs w:val="21"/>
        </w:rPr>
      </w:pPr>
      <w:r>
        <w:rPr>
          <w:rFonts w:ascii="宋体" w:hAnsi="宋体" w:eastAsia="宋体" w:cs="Times New Roman"/>
          <w:spacing w:val="-1"/>
          <w:szCs w:val="21"/>
        </w:rPr>
        <w:t>有下列情况之一者，将不给予学时认定：1.存在弄虚作假行为者；2.不在规定时间内上报学分认定材料者。</w:t>
      </w:r>
    </w:p>
    <w:p w14:paraId="6A394FAF">
      <w:pPr>
        <w:spacing w:line="360" w:lineRule="auto"/>
        <w:ind w:firstLine="422" w:firstLineChars="200"/>
        <w:jc w:val="left"/>
        <w:outlineLvl w:val="1"/>
        <w:rPr>
          <w:rFonts w:hint="eastAsia" w:ascii="宋体" w:hAnsi="宋体" w:eastAsia="宋体" w:cs="Times New Roman"/>
          <w:b/>
          <w:szCs w:val="21"/>
        </w:rPr>
      </w:pPr>
      <w:bookmarkStart w:id="358" w:name="_Toc12024"/>
      <w:r>
        <w:rPr>
          <w:rFonts w:hint="eastAsia" w:ascii="宋体" w:hAnsi="宋体" w:eastAsia="宋体" w:cs="Times New Roman"/>
          <w:b/>
          <w:szCs w:val="21"/>
        </w:rPr>
        <w:t>（三）课程目标达成度计算方法</w:t>
      </w:r>
      <w:bookmarkEnd w:id="358"/>
    </w:p>
    <w:p w14:paraId="33B2CE22">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D9AB4DB">
      <w:pPr>
        <w:spacing w:before="156" w:beforeLines="50" w:line="360" w:lineRule="auto"/>
        <w:ind w:firstLine="480" w:firstLineChars="200"/>
        <w:jc w:val="left"/>
        <w:rPr>
          <w:rFonts w:hint="eastAsia" w:ascii="宋体" w:hAnsi="宋体" w:eastAsia="宋体" w:cs="Times New Roman"/>
          <w:szCs w:val="21"/>
        </w:rPr>
      </w:pPr>
      <w:r>
        <w:rPr>
          <w:rFonts w:ascii="宋体" w:hAnsi="宋体" w:eastAsia="宋体" w:cs="Times New Roman"/>
          <w:sz w:val="24"/>
          <w:szCs w:val="22"/>
        </w:rPr>
        <w:drawing>
          <wp:inline distT="0" distB="0" distL="0" distR="0">
            <wp:extent cx="5274310" cy="337185"/>
            <wp:effectExtent l="0" t="0" r="444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631932D6">
      <w:pPr>
        <w:spacing w:before="62" w:beforeLines="20" w:after="62" w:afterLines="20" w:line="360" w:lineRule="auto"/>
        <w:jc w:val="left"/>
        <w:rPr>
          <w:rFonts w:ascii="Times New Roman" w:hAnsi="Times New Roman" w:eastAsia="宋体" w:cs="Times New Roman"/>
          <w:bCs/>
          <w:sz w:val="24"/>
        </w:rPr>
      </w:pPr>
      <w:bookmarkStart w:id="359" w:name="_Toc16379"/>
      <w:bookmarkStart w:id="360" w:name="_Toc10381"/>
      <w:bookmarkStart w:id="361" w:name="_Toc13021"/>
      <w:bookmarkStart w:id="362" w:name="_Toc20062"/>
      <w:bookmarkStart w:id="363" w:name="_Toc7542"/>
      <w:bookmarkStart w:id="364" w:name="_Toc17162"/>
      <w:bookmarkStart w:id="365" w:name="_Toc11205"/>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bookmarkEnd w:id="359"/>
      <w:bookmarkEnd w:id="360"/>
      <w:bookmarkEnd w:id="361"/>
      <w:bookmarkEnd w:id="362"/>
      <w:bookmarkEnd w:id="363"/>
      <w:bookmarkEnd w:id="364"/>
      <w:bookmarkEnd w:id="365"/>
    </w:p>
    <w:p w14:paraId="58C0308E">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tbl>
      <w:tblPr>
        <w:tblStyle w:val="1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671D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013983E">
            <w:pPr>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6AC46880">
            <w:pPr>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0BE9D882">
            <w:pPr>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523BD2F">
            <w:pPr>
              <w:jc w:val="center"/>
              <w:rPr>
                <w:rFonts w:hint="eastAsia" w:ascii="宋体" w:hAnsi="宋体" w:eastAsia="宋体" w:cs="宋体"/>
                <w:b/>
                <w:bCs/>
                <w:szCs w:val="21"/>
              </w:rPr>
            </w:pPr>
            <w:r>
              <w:rPr>
                <w:rFonts w:hint="eastAsia" w:ascii="宋体" w:hAnsi="宋体" w:eastAsia="宋体" w:cs="宋体"/>
                <w:b/>
                <w:bCs/>
                <w:szCs w:val="21"/>
              </w:rPr>
              <w:t>思政目标</w:t>
            </w:r>
          </w:p>
        </w:tc>
      </w:tr>
      <w:tr w14:paraId="0B95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FB56B66">
            <w:pPr>
              <w:jc w:val="center"/>
              <w:rPr>
                <w:rFonts w:hint="eastAsia" w:ascii="宋体" w:hAnsi="宋体" w:eastAsia="宋体" w:cs="宋体"/>
                <w:szCs w:val="21"/>
              </w:rPr>
            </w:pPr>
            <w:r>
              <w:rPr>
                <w:rFonts w:ascii="宋体" w:hAnsi="宋体" w:eastAsia="宋体" w:cs="Times New Roman"/>
                <w:szCs w:val="21"/>
              </w:rPr>
              <w:t>阅读</w:t>
            </w:r>
            <w:r>
              <w:rPr>
                <w:rFonts w:hint="eastAsia" w:ascii="宋体" w:hAnsi="宋体" w:eastAsia="宋体" w:cs="Times New Roman"/>
                <w:szCs w:val="21"/>
              </w:rPr>
              <w:t>经典书籍</w:t>
            </w:r>
          </w:p>
        </w:tc>
        <w:tc>
          <w:tcPr>
            <w:tcW w:w="3407" w:type="dxa"/>
            <w:vAlign w:val="center"/>
          </w:tcPr>
          <w:p w14:paraId="1DE619F3">
            <w:pPr>
              <w:jc w:val="left"/>
              <w:rPr>
                <w:rFonts w:hint="eastAsia" w:ascii="宋体" w:hAnsi="宋体" w:eastAsia="宋体" w:cs="宋体"/>
                <w:szCs w:val="21"/>
              </w:rPr>
            </w:pPr>
            <w:r>
              <w:rPr>
                <w:rFonts w:ascii="宋体" w:hAnsi="宋体" w:eastAsia="宋体" w:cs="Times New Roman"/>
                <w:spacing w:val="-7"/>
                <w:szCs w:val="21"/>
              </w:rPr>
              <w:t>在校期间，</w:t>
            </w:r>
            <w:r>
              <w:rPr>
                <w:rFonts w:hint="eastAsia" w:ascii="宋体" w:hAnsi="宋体" w:eastAsia="宋体" w:cs="Times New Roman"/>
                <w:spacing w:val="-7"/>
                <w:szCs w:val="21"/>
              </w:rPr>
              <w:t>每学年须完成经典阅读</w:t>
            </w:r>
            <w:r>
              <w:rPr>
                <w:rFonts w:ascii="宋体" w:hAnsi="宋体" w:eastAsia="宋体" w:cs="Times New Roman"/>
                <w:spacing w:val="-7"/>
                <w:szCs w:val="21"/>
              </w:rPr>
              <w:t>20</w:t>
            </w:r>
            <w:r>
              <w:rPr>
                <w:rFonts w:hint="eastAsia" w:ascii="宋体" w:hAnsi="宋体" w:eastAsia="宋体" w:cs="Times New Roman"/>
                <w:spacing w:val="-7"/>
                <w:szCs w:val="21"/>
              </w:rPr>
              <w:t>本/6学时，</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7"/>
                <w:szCs w:val="21"/>
              </w:rPr>
              <w:t>完成经典阅读</w:t>
            </w:r>
            <w:r>
              <w:rPr>
                <w:rFonts w:ascii="宋体" w:hAnsi="宋体" w:eastAsia="宋体" w:cs="Times New Roman"/>
                <w:spacing w:val="-5"/>
                <w:szCs w:val="21"/>
              </w:rPr>
              <w:t>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hint="eastAsia" w:ascii="宋体" w:hAnsi="宋体" w:eastAsia="宋体" w:cs="Times New Roman"/>
                <w:spacing w:val="-10"/>
                <w:szCs w:val="21"/>
              </w:rPr>
              <w:t>24</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5"/>
                <w:szCs w:val="21"/>
              </w:rPr>
              <w:t>。</w:t>
            </w:r>
            <w:r>
              <w:rPr>
                <w:rFonts w:hint="eastAsia" w:ascii="宋体" w:hAnsi="宋体" w:eastAsia="宋体" w:cs="Times New Roman"/>
                <w:spacing w:val="-10"/>
                <w:szCs w:val="21"/>
              </w:rPr>
              <w:t>每学年超过部分，认定附加分，每增加1本经典阅读，计2学时。</w:t>
            </w:r>
            <w:r>
              <w:rPr>
                <w:rFonts w:hint="eastAsia" w:ascii="宋体" w:hAnsi="宋体" w:eastAsia="宋体" w:cs="Times New Roman"/>
                <w:bCs/>
                <w:spacing w:val="-5"/>
                <w:szCs w:val="21"/>
              </w:rPr>
              <w:t>经典阅读书目可涵盖</w:t>
            </w:r>
            <w:r>
              <w:rPr>
                <w:rFonts w:ascii="宋体" w:hAnsi="宋体" w:eastAsia="宋体" w:cs="Times New Roman"/>
                <w:bCs/>
                <w:spacing w:val="-5"/>
                <w:szCs w:val="21"/>
              </w:rPr>
              <w:t>“</w:t>
            </w:r>
            <w:r>
              <w:rPr>
                <w:rFonts w:hint="eastAsia" w:ascii="宋体" w:hAnsi="宋体" w:eastAsia="宋体" w:cs="Times New Roman"/>
                <w:bCs/>
                <w:spacing w:val="-5"/>
                <w:szCs w:val="21"/>
              </w:rPr>
              <w:t>教育学类</w:t>
            </w:r>
            <w:r>
              <w:rPr>
                <w:rFonts w:ascii="宋体" w:hAnsi="宋体" w:eastAsia="宋体" w:cs="Times New Roman"/>
                <w:bCs/>
                <w:spacing w:val="-5"/>
                <w:szCs w:val="21"/>
              </w:rPr>
              <w:t xml:space="preserve"> ” </w:t>
            </w:r>
            <w:r>
              <w:rPr>
                <w:rFonts w:hint="eastAsia" w:ascii="宋体" w:hAnsi="宋体" w:eastAsia="宋体" w:cs="Times New Roman"/>
                <w:bCs/>
                <w:spacing w:val="-5"/>
                <w:szCs w:val="21"/>
              </w:rPr>
              <w:t>“心理学类”</w:t>
            </w:r>
            <w:r>
              <w:rPr>
                <w:rFonts w:ascii="宋体" w:hAnsi="宋体" w:eastAsia="宋体" w:cs="Times New Roman"/>
                <w:bCs/>
                <w:spacing w:val="-5"/>
                <w:szCs w:val="21"/>
              </w:rPr>
              <w:t>“</w:t>
            </w:r>
            <w:r>
              <w:rPr>
                <w:rFonts w:hint="eastAsia" w:ascii="宋体" w:hAnsi="宋体" w:eastAsia="宋体" w:cs="Times New Roman"/>
                <w:bCs/>
                <w:spacing w:val="-5"/>
                <w:szCs w:val="21"/>
              </w:rPr>
              <w:t>文学艺术类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哲学美育类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“社会学类”</w:t>
            </w:r>
            <w:r>
              <w:rPr>
                <w:rFonts w:ascii="宋体" w:hAnsi="宋体" w:eastAsia="宋体" w:cs="Times New Roman"/>
                <w:bCs/>
                <w:spacing w:val="-5"/>
                <w:szCs w:val="21"/>
              </w:rPr>
              <w:t>“</w:t>
            </w:r>
            <w:r>
              <w:rPr>
                <w:rFonts w:hint="eastAsia" w:ascii="宋体" w:hAnsi="宋体" w:eastAsia="宋体" w:cs="Times New Roman"/>
                <w:bCs/>
                <w:spacing w:val="-5"/>
                <w:szCs w:val="21"/>
              </w:rPr>
              <w:t>自然科学类</w:t>
            </w:r>
            <w:r>
              <w:rPr>
                <w:rFonts w:ascii="宋体" w:hAnsi="宋体" w:eastAsia="宋体" w:cs="Times New Roman"/>
                <w:bCs/>
                <w:spacing w:val="-5"/>
                <w:szCs w:val="21"/>
              </w:rPr>
              <w:t>”</w:t>
            </w:r>
            <w:r>
              <w:rPr>
                <w:rFonts w:hint="eastAsia" w:ascii="宋体" w:hAnsi="宋体" w:eastAsia="宋体" w:cs="Times New Roman"/>
                <w:bCs/>
                <w:spacing w:val="-5"/>
                <w:szCs w:val="21"/>
              </w:rPr>
              <w:t>、“历史文明类</w:t>
            </w:r>
            <w:r>
              <w:rPr>
                <w:rFonts w:ascii="宋体" w:hAnsi="宋体" w:eastAsia="宋体" w:cs="Times New Roman"/>
                <w:bCs/>
                <w:spacing w:val="-5"/>
                <w:szCs w:val="21"/>
              </w:rPr>
              <w:t>”“</w:t>
            </w:r>
            <w:r>
              <w:rPr>
                <w:rFonts w:hint="eastAsia" w:ascii="宋体" w:hAnsi="宋体" w:eastAsia="宋体" w:cs="Times New Roman"/>
                <w:bCs/>
                <w:spacing w:val="-5"/>
                <w:szCs w:val="21"/>
              </w:rPr>
              <w:t>全球化领导力类</w:t>
            </w:r>
            <w:r>
              <w:rPr>
                <w:rFonts w:ascii="宋体" w:hAnsi="宋体" w:eastAsia="宋体" w:cs="Times New Roman"/>
                <w:bCs/>
                <w:spacing w:val="-5"/>
                <w:szCs w:val="21"/>
              </w:rPr>
              <w:t xml:space="preserve"> ”</w:t>
            </w:r>
            <w:r>
              <w:rPr>
                <w:rFonts w:hint="eastAsia" w:ascii="宋体" w:hAnsi="宋体" w:eastAsia="宋体" w:cs="Times New Roman"/>
                <w:bCs/>
                <w:spacing w:val="-5"/>
                <w:szCs w:val="21"/>
              </w:rPr>
              <w:t>等八大类。</w:t>
            </w:r>
          </w:p>
        </w:tc>
        <w:tc>
          <w:tcPr>
            <w:tcW w:w="740" w:type="dxa"/>
            <w:vAlign w:val="center"/>
          </w:tcPr>
          <w:p w14:paraId="1F7E365A">
            <w:pPr>
              <w:jc w:val="center"/>
              <w:rPr>
                <w:rFonts w:hint="eastAsia" w:ascii="宋体" w:hAnsi="宋体" w:eastAsia="宋体" w:cs="宋体"/>
                <w:szCs w:val="21"/>
              </w:rPr>
            </w:pPr>
            <w:r>
              <w:rPr>
                <w:rFonts w:hint="eastAsia" w:ascii="宋体" w:hAnsi="宋体" w:eastAsia="宋体" w:cs="宋体"/>
                <w:szCs w:val="21"/>
              </w:rPr>
              <w:t>阅读书籍</w:t>
            </w:r>
          </w:p>
        </w:tc>
        <w:tc>
          <w:tcPr>
            <w:tcW w:w="3160" w:type="dxa"/>
            <w:vAlign w:val="center"/>
          </w:tcPr>
          <w:p w14:paraId="47F7E194">
            <w:pPr>
              <w:jc w:val="left"/>
              <w:rPr>
                <w:rFonts w:hint="eastAsia" w:ascii="宋体" w:hAnsi="宋体" w:eastAsia="宋体" w:cs="宋体"/>
                <w:szCs w:val="21"/>
              </w:rPr>
            </w:pPr>
            <w:r>
              <w:rPr>
                <w:rFonts w:ascii="宋体" w:hAnsi="宋体" w:eastAsia="宋体" w:cs="宋体"/>
                <w:szCs w:val="21"/>
              </w:rPr>
              <w:t>通过深入阅读经典文化作品，提升学生的人文素养，培养良好的道德情操和社会责任感</w:t>
            </w:r>
            <w:r>
              <w:rPr>
                <w:rFonts w:hint="eastAsia" w:ascii="宋体" w:hAnsi="宋体" w:eastAsia="宋体" w:cs="宋体"/>
                <w:szCs w:val="21"/>
              </w:rPr>
              <w:t>，</w:t>
            </w:r>
            <w:r>
              <w:rPr>
                <w:rFonts w:ascii="宋体" w:hAnsi="宋体" w:eastAsia="宋体" w:cs="宋体"/>
                <w:szCs w:val="21"/>
              </w:rPr>
              <w:t>提升学生的审美鉴赏能力，同时锻炼其语言表达和文学创作能力。</w:t>
            </w:r>
          </w:p>
        </w:tc>
      </w:tr>
      <w:tr w14:paraId="3D64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AAD0B1B">
            <w:pPr>
              <w:jc w:val="center"/>
              <w:rPr>
                <w:rFonts w:hint="eastAsia" w:ascii="宋体" w:hAnsi="宋体" w:eastAsia="宋体" w:cs="宋体"/>
                <w:szCs w:val="21"/>
              </w:rPr>
            </w:pPr>
            <w:r>
              <w:rPr>
                <w:rFonts w:ascii="宋体" w:hAnsi="宋体" w:eastAsia="宋体" w:cs="Times New Roman"/>
                <w:szCs w:val="21"/>
              </w:rPr>
              <w:t>参加讲座</w:t>
            </w:r>
            <w:r>
              <w:rPr>
                <w:rFonts w:hint="eastAsia" w:ascii="宋体" w:hAnsi="宋体" w:eastAsia="宋体" w:cs="Times New Roman"/>
                <w:szCs w:val="21"/>
              </w:rPr>
              <w:t>或报告</w:t>
            </w:r>
          </w:p>
        </w:tc>
        <w:tc>
          <w:tcPr>
            <w:tcW w:w="3407" w:type="dxa"/>
            <w:vAlign w:val="center"/>
          </w:tcPr>
          <w:p w14:paraId="2B8FC6FA">
            <w:pPr>
              <w:jc w:val="left"/>
              <w:rPr>
                <w:rFonts w:hint="eastAsia" w:ascii="宋体" w:hAnsi="宋体" w:eastAsia="宋体" w:cs="宋体"/>
                <w:szCs w:val="21"/>
              </w:rPr>
            </w:pPr>
            <w:r>
              <w:rPr>
                <w:rFonts w:ascii="宋体" w:hAnsi="宋体" w:eastAsia="宋体" w:cs="Times New Roman"/>
                <w:spacing w:val="-1"/>
                <w:szCs w:val="21"/>
              </w:rPr>
              <w:t>每学期参加至少</w:t>
            </w:r>
            <w:r>
              <w:rPr>
                <w:rFonts w:ascii="宋体" w:hAnsi="宋体" w:eastAsia="宋体" w:cs="Times New Roman"/>
                <w:spacing w:val="-49"/>
                <w:szCs w:val="21"/>
              </w:rPr>
              <w:t xml:space="preserve"> </w:t>
            </w:r>
            <w:r>
              <w:rPr>
                <w:rFonts w:ascii="宋体" w:hAnsi="宋体" w:eastAsia="宋体" w:cs="Times New Roman"/>
                <w:spacing w:val="-1"/>
                <w:szCs w:val="21"/>
              </w:rPr>
              <w:t>5</w:t>
            </w:r>
            <w:r>
              <w:rPr>
                <w:rFonts w:ascii="宋体" w:hAnsi="宋体" w:eastAsia="宋体" w:cs="Times New Roman"/>
                <w:spacing w:val="-52"/>
                <w:szCs w:val="21"/>
              </w:rPr>
              <w:t xml:space="preserve"> </w:t>
            </w:r>
            <w:r>
              <w:rPr>
                <w:rFonts w:ascii="宋体" w:hAnsi="宋体" w:eastAsia="宋体" w:cs="Times New Roman"/>
                <w:spacing w:val="-1"/>
                <w:szCs w:val="21"/>
              </w:rPr>
              <w:t>次校内外学术讲座（报告）或者网络</w:t>
            </w:r>
            <w:r>
              <w:rPr>
                <w:rFonts w:ascii="宋体" w:hAnsi="宋体" w:eastAsia="宋体" w:cs="Times New Roman"/>
                <w:spacing w:val="-4"/>
                <w:szCs w:val="21"/>
              </w:rPr>
              <w:t>上公开的学术会议，</w:t>
            </w:r>
            <w:r>
              <w:rPr>
                <w:rFonts w:hint="eastAsia" w:ascii="宋体" w:hAnsi="宋体" w:eastAsia="宋体" w:cs="Times New Roman"/>
                <w:spacing w:val="-7"/>
                <w:szCs w:val="21"/>
              </w:rPr>
              <w:t>每学年须完成参加学术讲座或报告</w:t>
            </w:r>
            <w:r>
              <w:rPr>
                <w:rFonts w:ascii="宋体" w:hAnsi="宋体" w:eastAsia="宋体" w:cs="Times New Roman"/>
                <w:spacing w:val="-7"/>
                <w:szCs w:val="21"/>
              </w:rPr>
              <w:t>10</w:t>
            </w:r>
            <w:r>
              <w:rPr>
                <w:rFonts w:hint="eastAsia" w:ascii="宋体" w:hAnsi="宋体" w:eastAsia="宋体" w:cs="Times New Roman"/>
                <w:spacing w:val="-7"/>
                <w:szCs w:val="21"/>
              </w:rPr>
              <w:t>场，方可获得2学时。学生须</w:t>
            </w:r>
            <w:r>
              <w:rPr>
                <w:rFonts w:ascii="宋体" w:hAnsi="宋体" w:eastAsia="宋体" w:cs="Times New Roman"/>
                <w:spacing w:val="-4"/>
                <w:szCs w:val="21"/>
              </w:rPr>
              <w:t>在</w:t>
            </w:r>
            <w:r>
              <w:rPr>
                <w:rFonts w:hint="eastAsia" w:ascii="宋体" w:hAnsi="宋体" w:eastAsia="宋体" w:cs="Times New Roman"/>
                <w:spacing w:val="-4"/>
                <w:szCs w:val="21"/>
              </w:rPr>
              <w:t>四</w:t>
            </w:r>
            <w:r>
              <w:rPr>
                <w:rFonts w:ascii="宋体" w:hAnsi="宋体" w:eastAsia="宋体" w:cs="Times New Roman"/>
                <w:spacing w:val="-4"/>
                <w:szCs w:val="21"/>
              </w:rPr>
              <w:t>个学</w:t>
            </w:r>
            <w:r>
              <w:rPr>
                <w:rFonts w:hint="eastAsia" w:ascii="宋体" w:hAnsi="宋体" w:eastAsia="宋体" w:cs="Times New Roman"/>
                <w:spacing w:val="-4"/>
                <w:szCs w:val="21"/>
              </w:rPr>
              <w:t>年</w:t>
            </w:r>
            <w:r>
              <w:rPr>
                <w:rFonts w:ascii="宋体" w:hAnsi="宋体" w:eastAsia="宋体" w:cs="Times New Roman"/>
                <w:spacing w:val="-4"/>
                <w:szCs w:val="21"/>
              </w:rPr>
              <w:t>内</w:t>
            </w:r>
            <w:r>
              <w:rPr>
                <w:rFonts w:hint="eastAsia" w:ascii="宋体" w:hAnsi="宋体" w:eastAsia="宋体" w:cs="Times New Roman"/>
                <w:spacing w:val="-4"/>
                <w:szCs w:val="21"/>
              </w:rPr>
              <w:t>须</w:t>
            </w:r>
            <w:r>
              <w:rPr>
                <w:rFonts w:ascii="宋体" w:hAnsi="宋体" w:eastAsia="宋体" w:cs="Times New Roman"/>
                <w:spacing w:val="-4"/>
                <w:szCs w:val="21"/>
              </w:rPr>
              <w:t>参加学术讲座（报</w:t>
            </w:r>
            <w:r>
              <w:rPr>
                <w:rFonts w:ascii="宋体" w:hAnsi="宋体" w:eastAsia="宋体" w:cs="Times New Roman"/>
                <w:spacing w:val="-5"/>
                <w:szCs w:val="21"/>
              </w:rPr>
              <w:t>告）累计</w:t>
            </w:r>
            <w:r>
              <w:rPr>
                <w:rFonts w:ascii="宋体" w:hAnsi="宋体" w:eastAsia="宋体" w:cs="Times New Roman"/>
                <w:spacing w:val="-10"/>
                <w:szCs w:val="21"/>
              </w:rPr>
              <w:t>获得</w:t>
            </w:r>
            <w:r>
              <w:rPr>
                <w:rFonts w:ascii="宋体" w:hAnsi="宋体" w:eastAsia="宋体" w:cs="Times New Roman"/>
                <w:spacing w:val="-62"/>
                <w:szCs w:val="21"/>
              </w:rPr>
              <w:t xml:space="preserve"> </w:t>
            </w:r>
            <w:r>
              <w:rPr>
                <w:rFonts w:ascii="宋体" w:hAnsi="宋体" w:eastAsia="宋体" w:cs="Times New Roman"/>
                <w:spacing w:val="-10"/>
                <w:szCs w:val="21"/>
              </w:rPr>
              <w:t>8</w:t>
            </w:r>
            <w:r>
              <w:rPr>
                <w:rFonts w:ascii="宋体" w:hAnsi="宋体" w:eastAsia="宋体" w:cs="Times New Roman"/>
                <w:spacing w:val="-44"/>
                <w:szCs w:val="21"/>
              </w:rPr>
              <w:t xml:space="preserve"> </w:t>
            </w:r>
            <w:r>
              <w:rPr>
                <w:rFonts w:ascii="宋体" w:hAnsi="宋体" w:eastAsia="宋体" w:cs="Times New Roman"/>
                <w:spacing w:val="-10"/>
                <w:szCs w:val="21"/>
              </w:rPr>
              <w:t>学时。</w:t>
            </w:r>
            <w:r>
              <w:rPr>
                <w:rFonts w:hint="eastAsia" w:ascii="宋体" w:hAnsi="宋体" w:eastAsia="宋体" w:cs="Times New Roman"/>
                <w:spacing w:val="-10"/>
                <w:szCs w:val="21"/>
              </w:rPr>
              <w:t>每学年超过部分，认定附加分，每增加1次学术讲座，计2学时。</w:t>
            </w:r>
          </w:p>
        </w:tc>
        <w:tc>
          <w:tcPr>
            <w:tcW w:w="740" w:type="dxa"/>
            <w:vAlign w:val="center"/>
          </w:tcPr>
          <w:p w14:paraId="45D13931">
            <w:pPr>
              <w:jc w:val="center"/>
              <w:rPr>
                <w:rFonts w:hint="eastAsia" w:ascii="宋体" w:hAnsi="宋体" w:eastAsia="宋体" w:cs="宋体"/>
                <w:szCs w:val="21"/>
              </w:rPr>
            </w:pPr>
            <w:r>
              <w:rPr>
                <w:rFonts w:hint="eastAsia" w:ascii="宋体" w:hAnsi="宋体" w:eastAsia="宋体" w:cs="宋体"/>
                <w:szCs w:val="21"/>
              </w:rPr>
              <w:t>讲座报告</w:t>
            </w:r>
          </w:p>
        </w:tc>
        <w:tc>
          <w:tcPr>
            <w:tcW w:w="3160" w:type="dxa"/>
            <w:vAlign w:val="center"/>
          </w:tcPr>
          <w:p w14:paraId="068BD483">
            <w:pPr>
              <w:rPr>
                <w:rFonts w:hint="eastAsia" w:ascii="宋体" w:hAnsi="宋体" w:eastAsia="宋体" w:cs="宋体"/>
                <w:szCs w:val="21"/>
              </w:rPr>
            </w:pPr>
            <w:r>
              <w:rPr>
                <w:rFonts w:ascii="宋体" w:hAnsi="宋体" w:eastAsia="宋体" w:cs="宋体"/>
                <w:szCs w:val="21"/>
              </w:rPr>
              <w:t>通过聆听专家学者的讲座或报告，拓宽知识视野，激发创新思维，培养跨学科学习与思考的能力。讲座或报告往往聚焦社会热点、科技发展、文化传承等议题</w:t>
            </w:r>
            <w:r>
              <w:rPr>
                <w:rFonts w:hint="eastAsia" w:ascii="宋体" w:hAnsi="宋体" w:eastAsia="宋体" w:cs="宋体"/>
                <w:szCs w:val="21"/>
              </w:rPr>
              <w:t>，可以增</w:t>
            </w:r>
            <w:r>
              <w:rPr>
                <w:rFonts w:ascii="宋体" w:hAnsi="宋体" w:eastAsia="宋体" w:cs="宋体"/>
                <w:szCs w:val="21"/>
              </w:rPr>
              <w:t>强</w:t>
            </w:r>
            <w:r>
              <w:rPr>
                <w:rFonts w:hint="eastAsia" w:ascii="宋体" w:hAnsi="宋体" w:eastAsia="宋体" w:cs="宋体"/>
                <w:szCs w:val="21"/>
              </w:rPr>
              <w:t>自身</w:t>
            </w:r>
            <w:r>
              <w:rPr>
                <w:rFonts w:ascii="宋体" w:hAnsi="宋体" w:eastAsia="宋体" w:cs="宋体"/>
                <w:szCs w:val="21"/>
              </w:rPr>
              <w:t>社会责任感，激发其为时代进步贡献力量的使命感。通过讲座或报告的互动环节，促进学生与专家、学生之间的学术交流，激发思想碰撞，促进学术氛围的活跃。</w:t>
            </w:r>
          </w:p>
        </w:tc>
      </w:tr>
      <w:tr w14:paraId="247B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CBF9E19">
            <w:pPr>
              <w:jc w:val="center"/>
              <w:rPr>
                <w:rFonts w:hint="eastAsia" w:ascii="宋体" w:hAnsi="宋体" w:eastAsia="宋体" w:cs="宋体"/>
                <w:szCs w:val="21"/>
              </w:rPr>
            </w:pPr>
            <w:r>
              <w:rPr>
                <w:rFonts w:hint="eastAsia" w:ascii="宋体" w:hAnsi="宋体" w:eastAsia="宋体" w:cs="Times New Roman"/>
                <w:szCs w:val="21"/>
              </w:rPr>
              <w:t>撰写</w:t>
            </w:r>
            <w:r>
              <w:rPr>
                <w:rFonts w:ascii="宋体" w:hAnsi="宋体" w:eastAsia="宋体" w:cs="Times New Roman"/>
                <w:szCs w:val="21"/>
              </w:rPr>
              <w:t>读书</w:t>
            </w:r>
            <w:r>
              <w:rPr>
                <w:rFonts w:hint="eastAsia" w:ascii="宋体" w:hAnsi="宋体" w:eastAsia="宋体" w:cs="Times New Roman"/>
                <w:szCs w:val="21"/>
              </w:rPr>
              <w:t>体会或笔记</w:t>
            </w:r>
          </w:p>
        </w:tc>
        <w:tc>
          <w:tcPr>
            <w:tcW w:w="3407" w:type="dxa"/>
            <w:vAlign w:val="center"/>
          </w:tcPr>
          <w:p w14:paraId="6E210BBB">
            <w:pPr>
              <w:jc w:val="left"/>
              <w:rPr>
                <w:rFonts w:hint="eastAsia" w:ascii="宋体" w:hAnsi="宋体" w:eastAsia="宋体" w:cs="宋体"/>
                <w:szCs w:val="21"/>
              </w:rPr>
            </w:pPr>
            <w:r>
              <w:rPr>
                <w:rFonts w:ascii="宋体" w:hAnsi="宋体" w:eastAsia="宋体" w:cs="Times New Roman"/>
                <w:spacing w:val="-1"/>
                <w:szCs w:val="21"/>
              </w:rPr>
              <w:t>每提交1篇读书体会或笔记（至少1500 字）可计</w:t>
            </w:r>
            <w:r>
              <w:rPr>
                <w:rFonts w:hint="eastAsia" w:ascii="宋体" w:hAnsi="宋体" w:eastAsia="宋体" w:cs="Times New Roman"/>
                <w:spacing w:val="-1"/>
                <w:szCs w:val="21"/>
              </w:rPr>
              <w:t>2</w:t>
            </w:r>
            <w:r>
              <w:rPr>
                <w:rFonts w:ascii="宋体" w:hAnsi="宋体" w:eastAsia="宋体" w:cs="Times New Roman"/>
                <w:spacing w:val="-1"/>
                <w:szCs w:val="21"/>
              </w:rPr>
              <w:t>学时</w:t>
            </w:r>
            <w:r>
              <w:rPr>
                <w:rFonts w:hint="eastAsia" w:ascii="宋体" w:hAnsi="宋体" w:eastAsia="宋体" w:cs="Times New Roman"/>
                <w:spacing w:val="-1"/>
                <w:szCs w:val="21"/>
              </w:rPr>
              <w:t>，作为附加分，可在第八学期累计入总学时</w:t>
            </w:r>
            <w:r>
              <w:rPr>
                <w:rFonts w:ascii="宋体" w:hAnsi="宋体" w:eastAsia="宋体" w:cs="Times New Roman"/>
                <w:spacing w:val="-1"/>
                <w:szCs w:val="21"/>
              </w:rPr>
              <w:t>。</w:t>
            </w:r>
            <w:r>
              <w:rPr>
                <w:rFonts w:ascii="宋体" w:hAnsi="宋体" w:eastAsia="宋体" w:cs="Times New Roman"/>
                <w:szCs w:val="21"/>
              </w:rPr>
              <w:t>根据学生的报告撰写的质量（格式、内容、逻辑、理论等）综合评定</w:t>
            </w:r>
            <w:r>
              <w:rPr>
                <w:rFonts w:hint="eastAsia" w:ascii="宋体" w:hAnsi="宋体" w:eastAsia="宋体" w:cs="Times New Roman"/>
                <w:szCs w:val="21"/>
              </w:rPr>
              <w:t>。</w:t>
            </w:r>
          </w:p>
        </w:tc>
        <w:tc>
          <w:tcPr>
            <w:tcW w:w="740" w:type="dxa"/>
            <w:vAlign w:val="center"/>
          </w:tcPr>
          <w:p w14:paraId="04CBFF4C">
            <w:pPr>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210DAB8D">
            <w:pPr>
              <w:rPr>
                <w:rFonts w:hint="eastAsia" w:ascii="宋体" w:hAnsi="宋体" w:eastAsia="宋体" w:cs="宋体"/>
                <w:szCs w:val="21"/>
              </w:rPr>
            </w:pPr>
            <w:r>
              <w:rPr>
                <w:rFonts w:hint="eastAsia" w:ascii="宋体" w:hAnsi="宋体" w:eastAsia="宋体" w:cs="宋体"/>
                <w:szCs w:val="21"/>
              </w:rPr>
              <w:t>能够</w:t>
            </w:r>
            <w:r>
              <w:rPr>
                <w:rFonts w:ascii="宋体" w:hAnsi="宋体" w:eastAsia="宋体" w:cs="宋体"/>
                <w:szCs w:val="21"/>
              </w:rPr>
              <w:t>以批判性视角审视经典文化作品，鼓励创新思维，培养独立思考和解决问题的能力。</w:t>
            </w:r>
          </w:p>
        </w:tc>
      </w:tr>
      <w:tr w14:paraId="7D107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1F0BA75C">
            <w:pPr>
              <w:jc w:val="center"/>
              <w:rPr>
                <w:rFonts w:hint="eastAsia" w:ascii="宋体" w:hAnsi="宋体" w:eastAsia="宋体" w:cs="宋体"/>
                <w:szCs w:val="21"/>
              </w:rPr>
            </w:pPr>
            <w:r>
              <w:rPr>
                <w:rFonts w:hint="eastAsia" w:ascii="宋体" w:hAnsi="宋体" w:eastAsia="宋体" w:cs="Times New Roman"/>
                <w:spacing w:val="-5"/>
                <w:szCs w:val="21"/>
              </w:rPr>
              <w:t>参与大学生读书节</w:t>
            </w:r>
          </w:p>
        </w:tc>
        <w:tc>
          <w:tcPr>
            <w:tcW w:w="3407" w:type="dxa"/>
            <w:vAlign w:val="center"/>
          </w:tcPr>
          <w:p w14:paraId="1D2046B2">
            <w:pPr>
              <w:jc w:val="left"/>
              <w:rPr>
                <w:rFonts w:hint="eastAsia" w:ascii="宋体" w:hAnsi="宋体" w:eastAsia="宋体" w:cs="宋体"/>
                <w:szCs w:val="21"/>
              </w:rPr>
            </w:pPr>
            <w:r>
              <w:rPr>
                <w:rFonts w:ascii="宋体" w:hAnsi="宋体" w:eastAsia="宋体" w:cs="Times New Roman"/>
                <w:spacing w:val="-1"/>
                <w:szCs w:val="21"/>
              </w:rPr>
              <w:t>获得校级奖励每项可计5学时，获得省级（教育厅）奖励每项可计10学时</w:t>
            </w:r>
            <w:r>
              <w:rPr>
                <w:rFonts w:hint="eastAsia" w:ascii="宋体" w:hAnsi="宋体" w:eastAsia="宋体" w:cs="Times New Roman"/>
                <w:spacing w:val="-1"/>
                <w:szCs w:val="21"/>
              </w:rPr>
              <w:t>，可在第八学期累计入总学时</w:t>
            </w:r>
            <w:r>
              <w:rPr>
                <w:rFonts w:ascii="宋体" w:hAnsi="宋体" w:eastAsia="宋体" w:cs="Times New Roman"/>
                <w:spacing w:val="-1"/>
                <w:szCs w:val="21"/>
              </w:rPr>
              <w:t>。</w:t>
            </w:r>
          </w:p>
        </w:tc>
        <w:tc>
          <w:tcPr>
            <w:tcW w:w="740" w:type="dxa"/>
            <w:vAlign w:val="center"/>
          </w:tcPr>
          <w:p w14:paraId="7A44DF12">
            <w:pPr>
              <w:jc w:val="center"/>
              <w:rPr>
                <w:rFonts w:hint="eastAsia" w:ascii="宋体" w:hAnsi="宋体" w:eastAsia="宋体" w:cs="宋体"/>
                <w:szCs w:val="21"/>
              </w:rPr>
            </w:pPr>
            <w:r>
              <w:rPr>
                <w:rFonts w:hint="eastAsia" w:ascii="宋体" w:hAnsi="宋体" w:eastAsia="宋体" w:cs="Times New Roman"/>
                <w:spacing w:val="-5"/>
                <w:szCs w:val="21"/>
              </w:rPr>
              <w:t>大学生读书节</w:t>
            </w:r>
          </w:p>
        </w:tc>
        <w:tc>
          <w:tcPr>
            <w:tcW w:w="3160" w:type="dxa"/>
            <w:vAlign w:val="center"/>
          </w:tcPr>
          <w:p w14:paraId="3F2EAF86">
            <w:pPr>
              <w:rPr>
                <w:rFonts w:hint="eastAsia" w:ascii="宋体" w:hAnsi="宋体" w:eastAsia="宋体" w:cs="宋体"/>
                <w:szCs w:val="21"/>
              </w:rPr>
            </w:pPr>
            <w:r>
              <w:rPr>
                <w:rFonts w:ascii="宋体" w:hAnsi="宋体" w:eastAsia="宋体" w:cs="宋体"/>
                <w:szCs w:val="21"/>
              </w:rPr>
              <w:t>通过表彰阅读成果，激发大学生对书籍的热爱和持续学习的热情，营造浓厚的校园阅读氛围。读书节活动往往包含团队阅读、分享讨论等环节，旨在增强学生的团队协作能力和社交技巧。通过树立获奖学生为榜样，激励更多学生参与阅读，共同塑造积极向上的校园文化。</w:t>
            </w:r>
          </w:p>
        </w:tc>
      </w:tr>
    </w:tbl>
    <w:p w14:paraId="7B9C3020">
      <w:pPr>
        <w:spacing w:before="62" w:beforeLines="20" w:after="62" w:afterLines="20" w:line="360" w:lineRule="auto"/>
        <w:jc w:val="left"/>
        <w:rPr>
          <w:rFonts w:ascii="Times New Roman" w:hAnsi="Times New Roman" w:eastAsia="宋体" w:cs="Times New Roman"/>
          <w:b/>
          <w:sz w:val="24"/>
        </w:rPr>
      </w:pPr>
      <w:bookmarkStart w:id="366" w:name="_Toc24182"/>
      <w:bookmarkStart w:id="367" w:name="_Toc30632"/>
      <w:bookmarkStart w:id="368" w:name="_Toc29916"/>
      <w:bookmarkStart w:id="369" w:name="_Toc31664"/>
      <w:bookmarkStart w:id="370" w:name="_Toc25049"/>
      <w:bookmarkStart w:id="371" w:name="_Toc27383"/>
      <w:bookmarkStart w:id="372" w:name="_Toc26197"/>
      <w:r>
        <w:rPr>
          <w:rFonts w:hint="eastAsia" w:ascii="Times New Roman" w:hAnsi="Times New Roman" w:eastAsia="宋体" w:cs="Times New Roman"/>
          <w:b/>
          <w:sz w:val="24"/>
        </w:rPr>
        <w:t>六、有关说明</w:t>
      </w:r>
      <w:bookmarkEnd w:id="366"/>
      <w:bookmarkEnd w:id="367"/>
      <w:bookmarkEnd w:id="368"/>
      <w:bookmarkEnd w:id="369"/>
      <w:bookmarkEnd w:id="370"/>
      <w:bookmarkEnd w:id="371"/>
      <w:bookmarkEnd w:id="372"/>
    </w:p>
    <w:p w14:paraId="31EF37A2">
      <w:pPr>
        <w:spacing w:line="360" w:lineRule="auto"/>
        <w:ind w:firstLine="420"/>
        <w:jc w:val="left"/>
        <w:outlineLvl w:val="1"/>
        <w:rPr>
          <w:rFonts w:ascii="Times New Roman" w:hAnsi="Times New Roman" w:eastAsia="宋体" w:cs="Times New Roman"/>
          <w:b/>
          <w:szCs w:val="21"/>
        </w:rPr>
      </w:pPr>
      <w:bookmarkStart w:id="373" w:name="_Toc28557"/>
      <w:r>
        <w:rPr>
          <w:rFonts w:hint="eastAsia" w:ascii="Times New Roman" w:hAnsi="Times New Roman" w:eastAsia="宋体" w:cs="Times New Roman"/>
          <w:b/>
          <w:szCs w:val="21"/>
        </w:rPr>
        <w:t>（一）持续改进</w:t>
      </w:r>
      <w:bookmarkEnd w:id="373"/>
    </w:p>
    <w:p w14:paraId="41360D01">
      <w:pPr>
        <w:spacing w:line="360" w:lineRule="auto"/>
        <w:ind w:firstLine="420" w:firstLineChars="200"/>
        <w:jc w:val="left"/>
        <w:rPr>
          <w:rFonts w:hint="eastAsia" w:ascii="宋体" w:hAnsi="宋体" w:eastAsia="宋体" w:cs="Times New Roman"/>
          <w:bCs/>
          <w:szCs w:val="21"/>
        </w:rPr>
      </w:pPr>
      <w:r>
        <w:rPr>
          <w:rFonts w:ascii="宋体" w:hAnsi="宋体" w:eastAsia="宋体" w:cs="Times New Roman"/>
          <w:bCs/>
          <w:szCs w:val="21"/>
        </w:rPr>
        <w:t>1.提倡改革教学方法，强调应用现代化教学手段，如课件、互联网教学和网络答疑。</w:t>
      </w:r>
    </w:p>
    <w:p w14:paraId="519DC052">
      <w:pPr>
        <w:spacing w:line="360" w:lineRule="auto"/>
        <w:ind w:firstLine="420" w:firstLineChars="200"/>
        <w:jc w:val="left"/>
        <w:rPr>
          <w:rFonts w:hint="eastAsia" w:ascii="宋体" w:hAnsi="宋体" w:eastAsia="宋体" w:cs="Times New Roman"/>
          <w:bCs/>
          <w:szCs w:val="21"/>
        </w:rPr>
      </w:pPr>
      <w:r>
        <w:rPr>
          <w:rFonts w:ascii="宋体" w:hAnsi="宋体" w:eastAsia="宋体" w:cs="Times New Roman"/>
          <w:bCs/>
          <w:szCs w:val="21"/>
        </w:rPr>
        <w:t>2.合理安排教学课时，加强小组讨论等旨在督促学生自主学习的教学环节；布置任务单，引导学生做好课前预习、讨论的工作；保证学生完成作业的次数。</w:t>
      </w:r>
    </w:p>
    <w:p w14:paraId="2BE7E547">
      <w:pPr>
        <w:spacing w:line="360" w:lineRule="auto"/>
        <w:ind w:firstLine="420" w:firstLineChars="200"/>
        <w:jc w:val="left"/>
        <w:rPr>
          <w:rFonts w:hint="eastAsia" w:ascii="宋体" w:hAnsi="宋体" w:eastAsia="宋体" w:cs="Times New Roman"/>
          <w:bCs/>
          <w:szCs w:val="21"/>
        </w:rPr>
      </w:pPr>
      <w:r>
        <w:rPr>
          <w:rFonts w:ascii="宋体" w:hAnsi="宋体" w:eastAsia="宋体" w:cs="Times New Roman"/>
          <w:bCs/>
          <w:szCs w:val="21"/>
        </w:rPr>
        <w:t>3．教学内容密切联系教育学与心理学经典理论。</w:t>
      </w:r>
    </w:p>
    <w:p w14:paraId="7A53A650">
      <w:pPr>
        <w:spacing w:line="360" w:lineRule="auto"/>
        <w:ind w:firstLine="420"/>
        <w:jc w:val="left"/>
        <w:outlineLvl w:val="1"/>
        <w:rPr>
          <w:rFonts w:ascii="Times New Roman" w:hAnsi="Times New Roman" w:eastAsia="宋体" w:cs="Times New Roman"/>
          <w:b/>
          <w:szCs w:val="21"/>
        </w:rPr>
      </w:pPr>
      <w:bookmarkStart w:id="374" w:name="_Toc22142"/>
      <w:r>
        <w:rPr>
          <w:rFonts w:hint="eastAsia" w:ascii="Times New Roman" w:hAnsi="Times New Roman" w:eastAsia="宋体" w:cs="Times New Roman"/>
          <w:b/>
          <w:szCs w:val="21"/>
        </w:rPr>
        <w:t>（二）建议教材</w:t>
      </w:r>
      <w:bookmarkEnd w:id="374"/>
    </w:p>
    <w:p w14:paraId="76203CE0">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本课程的</w:t>
      </w:r>
      <w:r>
        <w:rPr>
          <w:rFonts w:hint="eastAsia" w:ascii="Times New Roman" w:hAnsi="Times New Roman" w:eastAsia="宋体" w:cs="Times New Roman"/>
          <w:bCs/>
          <w:szCs w:val="21"/>
        </w:rPr>
        <w:t>教材</w:t>
      </w:r>
      <w:r>
        <w:rPr>
          <w:rFonts w:ascii="Times New Roman" w:hAnsi="Times New Roman" w:eastAsia="宋体" w:cs="Times New Roman"/>
          <w:bCs/>
          <w:szCs w:val="21"/>
        </w:rPr>
        <w:t>参考相关课程教师的推荐书目。</w:t>
      </w:r>
    </w:p>
    <w:p w14:paraId="4DCC5A48">
      <w:pPr>
        <w:spacing w:line="360" w:lineRule="auto"/>
        <w:ind w:firstLine="420"/>
        <w:jc w:val="left"/>
        <w:outlineLvl w:val="1"/>
        <w:rPr>
          <w:rFonts w:ascii="Times New Roman" w:hAnsi="Times New Roman" w:eastAsia="宋体" w:cs="Times New Roman"/>
          <w:b/>
          <w:szCs w:val="21"/>
        </w:rPr>
      </w:pPr>
      <w:bookmarkStart w:id="375" w:name="_Toc17969"/>
      <w:r>
        <w:rPr>
          <w:rFonts w:hint="eastAsia" w:ascii="Times New Roman" w:hAnsi="Times New Roman" w:eastAsia="宋体" w:cs="Times New Roman"/>
          <w:b/>
          <w:szCs w:val="21"/>
        </w:rPr>
        <w:t>（三）参考书目</w:t>
      </w:r>
      <w:bookmarkEnd w:id="375"/>
    </w:p>
    <w:p w14:paraId="33B04E34">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1.伯特兰·罗素：《西方哲学史》，何兆武等译，商务印书馆，2020.</w:t>
      </w:r>
    </w:p>
    <w:p w14:paraId="0DB4F6C3">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2.柏拉图：《理想国》，郭斌和、张竹明译，商务印书馆，</w:t>
      </w:r>
    </w:p>
    <w:p w14:paraId="726B5075">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3.伯特兰·罗素：《教育和美好的生活》，张鑫毅译，上海人民出版社，2020.</w:t>
      </w:r>
    </w:p>
    <w:p w14:paraId="19FA8C7F">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4.杜威：《民主主义与教育》，人民教育出版社，2001.</w:t>
      </w:r>
    </w:p>
    <w:p w14:paraId="3BEC9E82">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5.拉尔夫·泰勒：《课程与教学的基本原理》，施良方译，人民教育出版社，1994.</w:t>
      </w:r>
    </w:p>
    <w:p w14:paraId="7F89A7CE">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6.李弘祺，《学以为己：传统中国的教育》（上下册），华东大学出版社，2017.</w:t>
      </w:r>
    </w:p>
    <w:p w14:paraId="5EF78E15">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7.杨伯峻：《论语译注》，中华书局，2017.</w:t>
      </w:r>
    </w:p>
    <w:p w14:paraId="5A12AC65">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8.陶行知：《陶行知文集》，江苏教育出版社，2008.</w:t>
      </w:r>
    </w:p>
    <w:p w14:paraId="196C86B2">
      <w:pPr>
        <w:rPr>
          <w:rFonts w:hint="eastAsia" w:ascii="等线" w:hAnsi="等线" w:eastAsia="等线" w:cs="Times New Roman"/>
          <w:szCs w:val="22"/>
        </w:rPr>
      </w:pPr>
    </w:p>
    <w:p w14:paraId="737812A2">
      <w:pPr>
        <w:spacing w:line="360" w:lineRule="auto"/>
        <w:ind w:right="1320"/>
        <w:jc w:val="right"/>
        <w:rPr>
          <w:rFonts w:ascii="Times New Roman" w:hAnsi="Times New Roman" w:eastAsia="宋体" w:cs="Times New Roman"/>
          <w:szCs w:val="21"/>
        </w:rPr>
      </w:pPr>
      <w:r>
        <w:rPr>
          <w:rFonts w:hint="eastAsia" w:ascii="Times New Roman" w:hAnsi="Times New Roman" w:eastAsia="宋体" w:cs="Times New Roman"/>
          <w:szCs w:val="21"/>
        </w:rPr>
        <w:t>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周 晗</w:t>
      </w:r>
    </w:p>
    <w:p w14:paraId="606FC4FD">
      <w:pPr>
        <w:wordWrap w:val="0"/>
        <w:spacing w:line="360" w:lineRule="auto"/>
        <w:ind w:right="1320"/>
        <w:jc w:val="right"/>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王 健</w:t>
      </w:r>
    </w:p>
    <w:p w14:paraId="3AE50CBB">
      <w:pPr>
        <w:spacing w:line="360" w:lineRule="auto"/>
        <w:ind w:right="1200"/>
        <w:jc w:val="right"/>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00262E37">
      <w:pPr>
        <w:spacing w:line="360" w:lineRule="auto"/>
        <w:ind w:right="120"/>
        <w:jc w:val="center"/>
        <w:rPr>
          <w:rFonts w:ascii="Times New Roman" w:hAnsi="Times New Roman" w:eastAsia="宋体" w:cs="Times New Roman"/>
          <w:szCs w:val="21"/>
        </w:rPr>
      </w:pPr>
      <w:r>
        <w:rPr>
          <w:rFonts w:hint="eastAsia" w:ascii="Times New Roman" w:hAnsi="Times New Roman" w:eastAsia="宋体" w:cs="Times New Roman"/>
          <w:szCs w:val="21"/>
        </w:rPr>
        <w:t xml:space="preserve">                                               批准时间：2025年7月1日</w:t>
      </w:r>
    </w:p>
    <w:p w14:paraId="53C7A402">
      <w:pPr>
        <w:rPr>
          <w:rFonts w:ascii="Times New Roman" w:hAnsi="Times New Roman" w:eastAsia="宋体" w:cs="Times New Roman"/>
          <w:sz w:val="24"/>
        </w:rPr>
      </w:pPr>
      <w:r>
        <w:rPr>
          <w:rFonts w:ascii="Times New Roman" w:hAnsi="Times New Roman" w:eastAsia="宋体" w:cs="Times New Roman"/>
          <w:sz w:val="24"/>
        </w:rPr>
        <w:br w:type="page"/>
      </w:r>
    </w:p>
    <w:p w14:paraId="2CEBCB21">
      <w:pPr>
        <w:spacing w:line="360" w:lineRule="auto"/>
        <w:jc w:val="center"/>
        <w:outlineLvl w:val="0"/>
        <w:rPr>
          <w:rFonts w:ascii="Times New Roman" w:hAnsi="Times New Roman" w:eastAsia="宋体" w:cs="Times New Roman"/>
          <w:b/>
          <w:sz w:val="44"/>
          <w:szCs w:val="44"/>
        </w:rPr>
      </w:pPr>
      <w:bookmarkStart w:id="376" w:name="_Toc21677"/>
      <w:r>
        <w:rPr>
          <w:rFonts w:hint="eastAsia" w:ascii="Times New Roman" w:hAnsi="Times New Roman" w:eastAsia="宋体" w:cs="Times New Roman"/>
          <w:b/>
          <w:sz w:val="44"/>
          <w:szCs w:val="44"/>
        </w:rPr>
        <w:t>《国家安全教育》课程教学大纲</w:t>
      </w:r>
      <w:bookmarkEnd w:id="376"/>
    </w:p>
    <w:p w14:paraId="6CDC7027">
      <w:pPr>
        <w:spacing w:line="360" w:lineRule="auto"/>
        <w:jc w:val="center"/>
        <w:rPr>
          <w:rFonts w:ascii="Times New Roman" w:hAnsi="Times New Roman" w:eastAsia="宋体" w:cs="Times New Roman"/>
          <w:b/>
          <w:bCs/>
          <w:sz w:val="28"/>
          <w:szCs w:val="28"/>
        </w:rPr>
      </w:pPr>
      <w:bookmarkStart w:id="377" w:name="_Toc2958"/>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National Security Education Curriculum Syllabus</w:t>
      </w:r>
      <w:r>
        <w:rPr>
          <w:rFonts w:hint="eastAsia" w:ascii="Times New Roman" w:hAnsi="Times New Roman" w:eastAsia="宋体" w:cs="Times New Roman"/>
          <w:b/>
          <w:bCs/>
          <w:sz w:val="28"/>
          <w:szCs w:val="28"/>
        </w:rPr>
        <w:t>）</w:t>
      </w:r>
      <w:bookmarkEnd w:id="377"/>
    </w:p>
    <w:p w14:paraId="5FC766BA"/>
    <w:p w14:paraId="7FBCD06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课程名称：国家安全教育</w:t>
      </w:r>
    </w:p>
    <w:p w14:paraId="0993C94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课程代码：0000046</w:t>
      </w:r>
    </w:p>
    <w:p w14:paraId="059E465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分：1</w:t>
      </w:r>
    </w:p>
    <w:p w14:paraId="23FD80B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时：16</w:t>
      </w:r>
    </w:p>
    <w:p w14:paraId="4F40227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6A77AA6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适用专业：全校所有专业</w:t>
      </w:r>
    </w:p>
    <w:p w14:paraId="0BD092C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5B9B849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本课程是小学教育专业的通识必修课</w:t>
      </w:r>
      <w:r>
        <w:rPr>
          <w:rFonts w:hint="eastAsia" w:ascii="Times New Roman" w:hAnsi="Times New Roman" w:cs="Times New Roman"/>
          <w:szCs w:val="21"/>
        </w:rPr>
        <w:t>，</w:t>
      </w:r>
      <w:r>
        <w:rPr>
          <w:rFonts w:hint="eastAsia" w:ascii="Times New Roman" w:hAnsi="Times New Roman" w:eastAsia="宋体" w:cs="Times New Roman"/>
          <w:szCs w:val="21"/>
        </w:rPr>
        <w:t>隶属于高校思想政治教育体系。其宗旨在于培育学生的爱国情感和社会责任感。通过本课程的学习，学生将深入了解国家安全的基础知识、相关法律法规及政策导向；提升对国家安全重要性的认识，并在此基础上培养起强烈的责任感；学习识别和应对国家安全风险的基本技能；引导学生自觉遵守国家安全相关法律，积极履行公民义务；同时，本课程强调理论与实践相结合，注重提升学生的实际应用能力，以全面提高学生的综合素质。</w:t>
      </w:r>
    </w:p>
    <w:p w14:paraId="783AFD8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0A1C3DD8">
      <w:pPr>
        <w:spacing w:line="360" w:lineRule="auto"/>
        <w:ind w:left="420" w:leftChars="200"/>
        <w:jc w:val="left"/>
        <w:rPr>
          <w:rFonts w:hint="eastAsia" w:ascii="宋体" w:hAnsi="宋体" w:eastAsia="宋体" w:cs="宋体"/>
          <w:szCs w:val="21"/>
        </w:rPr>
      </w:pPr>
      <w:r>
        <w:rPr>
          <w:rFonts w:hint="eastAsia" w:ascii="黑体" w:hAnsi="黑体" w:eastAsia="黑体" w:cs="黑体"/>
          <w:szCs w:val="21"/>
        </w:rPr>
        <w:t>1.知识目标</w:t>
      </w:r>
      <w:r>
        <w:rPr>
          <w:rFonts w:hint="eastAsia" w:ascii="宋体" w:hAnsi="宋体" w:eastAsia="宋体" w:cs="宋体"/>
          <w:szCs w:val="21"/>
        </w:rPr>
        <w:t>：掌握国家安全的基本概念、内涵及外延，了解国家安全的法律法规和政策。</w:t>
      </w:r>
      <w:r>
        <w:rPr>
          <w:rFonts w:hint="eastAsia" w:ascii="宋体" w:hAnsi="宋体" w:eastAsia="宋体" w:cs="宋体"/>
          <w:szCs w:val="21"/>
        </w:rPr>
        <w:br w:type="textWrapping"/>
      </w:r>
      <w:r>
        <w:rPr>
          <w:rFonts w:hint="eastAsia" w:ascii="宋体" w:hAnsi="宋体" w:eastAsia="宋体" w:cs="宋体"/>
          <w:szCs w:val="21"/>
        </w:rPr>
        <w:t>2.</w:t>
      </w:r>
      <w:r>
        <w:rPr>
          <w:rFonts w:hint="eastAsia" w:ascii="黑体" w:hAnsi="黑体" w:eastAsia="黑体" w:cs="黑体"/>
          <w:szCs w:val="21"/>
        </w:rPr>
        <w:t>能力目标</w:t>
      </w:r>
      <w:r>
        <w:rPr>
          <w:rFonts w:hint="eastAsia" w:ascii="宋体" w:hAnsi="宋体" w:eastAsia="宋体" w:cs="宋体"/>
          <w:szCs w:val="21"/>
        </w:rPr>
        <w:t>：培养识别和应对国家安全风险的能力，增强维护国家安全的实践能力。</w:t>
      </w:r>
      <w:r>
        <w:rPr>
          <w:rFonts w:hint="eastAsia" w:ascii="宋体" w:hAnsi="宋体" w:eastAsia="宋体" w:cs="宋体"/>
          <w:szCs w:val="21"/>
        </w:rPr>
        <w:br w:type="textWrapping"/>
      </w:r>
      <w:r>
        <w:rPr>
          <w:rFonts w:hint="eastAsia" w:ascii="宋体" w:hAnsi="宋体" w:eastAsia="宋体" w:cs="宋体"/>
          <w:szCs w:val="21"/>
        </w:rPr>
        <w:t>3.</w:t>
      </w:r>
      <w:r>
        <w:rPr>
          <w:rFonts w:hint="eastAsia" w:ascii="黑体" w:hAnsi="黑体" w:eastAsia="黑体" w:cs="黑体"/>
          <w:szCs w:val="21"/>
        </w:rPr>
        <w:t>素质目标</w:t>
      </w:r>
      <w:r>
        <w:rPr>
          <w:rFonts w:hint="eastAsia" w:ascii="宋体" w:hAnsi="宋体" w:eastAsia="宋体" w:cs="宋体"/>
          <w:szCs w:val="21"/>
        </w:rPr>
        <w:t>：树立国家安全意识，增强爱国主义精神和社会责任感。</w:t>
      </w:r>
    </w:p>
    <w:p w14:paraId="787D443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课程目标与毕业要求观测点的对应关系如表所示。</w:t>
      </w:r>
    </w:p>
    <w:tbl>
      <w:tblPr>
        <w:tblStyle w:val="11"/>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5786"/>
        <w:gridCol w:w="1388"/>
      </w:tblGrid>
      <w:tr w14:paraId="7B00D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tcPr>
          <w:p w14:paraId="78AF978C">
            <w:pPr>
              <w:pStyle w:val="38"/>
              <w:spacing w:line="360" w:lineRule="auto"/>
              <w:jc w:val="center"/>
              <w:rPr>
                <w:rFonts w:ascii="宋体" w:hAnsi="宋体" w:eastAsia="宋体" w:cs="宋体"/>
                <w:b/>
                <w:sz w:val="21"/>
                <w:szCs w:val="21"/>
              </w:rPr>
            </w:pPr>
            <w:r>
              <w:rPr>
                <w:rFonts w:ascii="宋体" w:hAnsi="宋体" w:eastAsia="宋体" w:cs="宋体"/>
                <w:b/>
                <w:sz w:val="21"/>
                <w:szCs w:val="21"/>
              </w:rPr>
              <w:t>毕业要求</w:t>
            </w:r>
          </w:p>
        </w:tc>
        <w:tc>
          <w:tcPr>
            <w:tcW w:w="5786" w:type="dxa"/>
          </w:tcPr>
          <w:p w14:paraId="0355C97A">
            <w:pPr>
              <w:pStyle w:val="38"/>
              <w:spacing w:line="360" w:lineRule="auto"/>
              <w:jc w:val="center"/>
              <w:rPr>
                <w:rFonts w:ascii="宋体" w:hAnsi="宋体" w:eastAsia="宋体" w:cs="宋体"/>
                <w:b/>
                <w:sz w:val="21"/>
                <w:szCs w:val="21"/>
              </w:rPr>
            </w:pPr>
            <w:r>
              <w:rPr>
                <w:rFonts w:ascii="宋体" w:hAnsi="宋体" w:eastAsia="宋体" w:cs="宋体"/>
                <w:b/>
                <w:bCs/>
                <w:sz w:val="21"/>
                <w:szCs w:val="21"/>
              </w:rPr>
              <w:t>毕业要求指标点</w:t>
            </w:r>
          </w:p>
        </w:tc>
        <w:tc>
          <w:tcPr>
            <w:tcW w:w="1388" w:type="dxa"/>
          </w:tcPr>
          <w:p w14:paraId="0D1F0B4A">
            <w:pPr>
              <w:pStyle w:val="38"/>
              <w:spacing w:line="360" w:lineRule="auto"/>
              <w:jc w:val="center"/>
              <w:rPr>
                <w:rFonts w:ascii="宋体" w:hAnsi="宋体" w:eastAsia="宋体" w:cs="宋体"/>
                <w:b/>
                <w:sz w:val="21"/>
                <w:szCs w:val="21"/>
              </w:rPr>
            </w:pPr>
            <w:r>
              <w:rPr>
                <w:rFonts w:ascii="宋体" w:hAnsi="宋体" w:eastAsia="宋体" w:cs="宋体"/>
                <w:b/>
                <w:sz w:val="21"/>
                <w:szCs w:val="21"/>
              </w:rPr>
              <w:t>课程目标</w:t>
            </w:r>
          </w:p>
        </w:tc>
      </w:tr>
      <w:tr w14:paraId="6D565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14:paraId="6978B1BD">
            <w:pPr>
              <w:pStyle w:val="38"/>
              <w:adjustRightInd/>
              <w:spacing w:line="360" w:lineRule="auto"/>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毕业要求1：</w:t>
            </w:r>
          </w:p>
          <w:p w14:paraId="56477C0C">
            <w:pPr>
              <w:pStyle w:val="38"/>
              <w:adjustRightInd/>
              <w:spacing w:line="360" w:lineRule="auto"/>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师德规范</w:t>
            </w:r>
          </w:p>
        </w:tc>
        <w:tc>
          <w:tcPr>
            <w:tcW w:w="5786" w:type="dxa"/>
            <w:vAlign w:val="center"/>
          </w:tcPr>
          <w:p w14:paraId="0F6EB0C7">
            <w:pPr>
              <w:pStyle w:val="38"/>
              <w:adjustRightInd/>
              <w:spacing w:line="360" w:lineRule="auto"/>
              <w:jc w:val="both"/>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指标点1-1：【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388" w:type="dxa"/>
            <w:vAlign w:val="center"/>
          </w:tcPr>
          <w:p w14:paraId="248082A9">
            <w:pPr>
              <w:pStyle w:val="38"/>
              <w:spacing w:line="360" w:lineRule="auto"/>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课程目标1</w:t>
            </w:r>
          </w:p>
          <w:p w14:paraId="712141FE">
            <w:pPr>
              <w:pStyle w:val="38"/>
              <w:spacing w:line="360" w:lineRule="auto"/>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课程目标2</w:t>
            </w:r>
          </w:p>
          <w:p w14:paraId="23ED9ABF">
            <w:pPr>
              <w:pStyle w:val="38"/>
              <w:spacing w:line="360" w:lineRule="auto"/>
              <w:jc w:val="center"/>
              <w:rPr>
                <w:rFonts w:asciiTheme="minorEastAsia" w:hAnsiTheme="minorEastAsia" w:eastAsiaTheme="minorEastAsia" w:cstheme="minorEastAsia"/>
                <w:sz w:val="21"/>
                <w:szCs w:val="21"/>
              </w:rPr>
            </w:pPr>
            <w:r>
              <w:rPr>
                <w:rFonts w:asciiTheme="minorEastAsia" w:hAnsiTheme="minorEastAsia" w:eastAsiaTheme="minorEastAsia" w:cstheme="minorEastAsia"/>
                <w:sz w:val="21"/>
                <w:szCs w:val="21"/>
              </w:rPr>
              <w:t>课程目标3</w:t>
            </w:r>
          </w:p>
        </w:tc>
      </w:tr>
    </w:tbl>
    <w:p w14:paraId="23CA4ADF">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三、课程内容</w:t>
      </w:r>
    </w:p>
    <w:p w14:paraId="22A7062F">
      <w:pPr>
        <w:spacing w:line="360" w:lineRule="auto"/>
        <w:ind w:firstLine="315" w:firstLineChars="150"/>
        <w:rPr>
          <w:szCs w:val="21"/>
        </w:rPr>
      </w:pPr>
      <w:r>
        <w:rPr>
          <w:rFonts w:hint="eastAsia"/>
          <w:szCs w:val="21"/>
        </w:rPr>
        <w:t>（一）总论与总体国家安全观</w:t>
      </w:r>
    </w:p>
    <w:p w14:paraId="7CA50340">
      <w:pPr>
        <w:spacing w:line="360" w:lineRule="auto"/>
        <w:ind w:firstLine="420" w:firstLineChars="200"/>
        <w:rPr>
          <w:szCs w:val="21"/>
        </w:rPr>
      </w:pPr>
      <w:r>
        <w:rPr>
          <w:rFonts w:hint="eastAsia"/>
          <w:szCs w:val="21"/>
        </w:rPr>
        <w:t>1.教学内容</w:t>
      </w:r>
    </w:p>
    <w:p w14:paraId="617AA7B5">
      <w:pPr>
        <w:spacing w:line="360" w:lineRule="auto"/>
        <w:ind w:firstLine="420" w:firstLineChars="200"/>
        <w:rPr>
          <w:szCs w:val="21"/>
        </w:rPr>
      </w:pPr>
      <w:r>
        <w:rPr>
          <w:rFonts w:hint="eastAsia"/>
          <w:szCs w:val="21"/>
        </w:rPr>
        <w:t>（1）总体国家安全观的创立</w:t>
      </w:r>
    </w:p>
    <w:p w14:paraId="3980B587">
      <w:pPr>
        <w:spacing w:line="360" w:lineRule="auto"/>
        <w:ind w:firstLine="420" w:firstLineChars="200"/>
        <w:rPr>
          <w:szCs w:val="21"/>
        </w:rPr>
      </w:pPr>
      <w:r>
        <w:rPr>
          <w:rFonts w:hint="eastAsia"/>
          <w:szCs w:val="21"/>
        </w:rPr>
        <w:t>（2）总体国家安全观的科学内涵</w:t>
      </w:r>
    </w:p>
    <w:p w14:paraId="19C0CFAA">
      <w:pPr>
        <w:spacing w:line="360" w:lineRule="auto"/>
        <w:ind w:firstLine="420" w:firstLineChars="200"/>
        <w:rPr>
          <w:szCs w:val="21"/>
        </w:rPr>
      </w:pPr>
      <w:r>
        <w:rPr>
          <w:rFonts w:hint="eastAsia"/>
          <w:szCs w:val="21"/>
        </w:rPr>
        <w:t>（3）总体国家安全观的重点领域和基本特征</w:t>
      </w:r>
    </w:p>
    <w:p w14:paraId="14EB7B83">
      <w:pPr>
        <w:spacing w:line="360" w:lineRule="auto"/>
        <w:ind w:firstLine="420" w:firstLineChars="200"/>
        <w:rPr>
          <w:szCs w:val="21"/>
        </w:rPr>
      </w:pPr>
      <w:r>
        <w:rPr>
          <w:rFonts w:hint="eastAsia"/>
          <w:szCs w:val="21"/>
        </w:rPr>
        <w:t>2.基本要求</w:t>
      </w:r>
    </w:p>
    <w:p w14:paraId="28EE0065">
      <w:pPr>
        <w:spacing w:line="360" w:lineRule="auto"/>
        <w:ind w:firstLine="420" w:firstLineChars="200"/>
        <w:rPr>
          <w:szCs w:val="21"/>
        </w:rPr>
      </w:pPr>
      <w:r>
        <w:rPr>
          <w:rFonts w:hint="eastAsia"/>
          <w:szCs w:val="21"/>
        </w:rPr>
        <w:t>使学生从哲学和战略层面理解总体国家安全观是系统科学的思想体系。</w:t>
      </w:r>
    </w:p>
    <w:p w14:paraId="4D91F82F">
      <w:pPr>
        <w:spacing w:line="360" w:lineRule="auto"/>
        <w:ind w:firstLine="315" w:firstLineChars="150"/>
        <w:rPr>
          <w:szCs w:val="21"/>
        </w:rPr>
      </w:pPr>
      <w:r>
        <w:rPr>
          <w:rFonts w:hint="eastAsia"/>
          <w:szCs w:val="21"/>
        </w:rPr>
        <w:t>（二）概论及国家安全观的重大理论问题、政治问题和方法问题</w:t>
      </w:r>
    </w:p>
    <w:p w14:paraId="73EB0693">
      <w:pPr>
        <w:spacing w:line="360" w:lineRule="auto"/>
        <w:ind w:firstLine="420" w:firstLineChars="200"/>
        <w:rPr>
          <w:szCs w:val="21"/>
        </w:rPr>
      </w:pPr>
      <w:r>
        <w:rPr>
          <w:rFonts w:hint="eastAsia"/>
          <w:szCs w:val="21"/>
        </w:rPr>
        <w:t>1.教学内容</w:t>
      </w:r>
    </w:p>
    <w:p w14:paraId="1A683E00">
      <w:pPr>
        <w:spacing w:line="360" w:lineRule="auto"/>
        <w:ind w:firstLine="420" w:firstLineChars="200"/>
        <w:rPr>
          <w:szCs w:val="21"/>
        </w:rPr>
      </w:pPr>
      <w:r>
        <w:rPr>
          <w:rFonts w:hint="eastAsia"/>
          <w:szCs w:val="21"/>
        </w:rPr>
        <w:t>（1）在党的领导下走好中国特色国家安全道路</w:t>
      </w:r>
    </w:p>
    <w:p w14:paraId="2C1F3E93">
      <w:pPr>
        <w:spacing w:line="360" w:lineRule="auto"/>
        <w:ind w:firstLine="420" w:firstLineChars="200"/>
        <w:rPr>
          <w:szCs w:val="21"/>
        </w:rPr>
      </w:pPr>
      <w:r>
        <w:rPr>
          <w:rFonts w:hint="eastAsia"/>
          <w:szCs w:val="21"/>
        </w:rPr>
        <w:t>（2）更好统筹发展和安全</w:t>
      </w:r>
    </w:p>
    <w:p w14:paraId="45B04633">
      <w:pPr>
        <w:spacing w:line="360" w:lineRule="auto"/>
        <w:ind w:firstLine="420" w:firstLineChars="200"/>
        <w:rPr>
          <w:szCs w:val="21"/>
        </w:rPr>
      </w:pPr>
      <w:r>
        <w:rPr>
          <w:rFonts w:hint="eastAsia"/>
          <w:szCs w:val="21"/>
        </w:rPr>
        <w:t>2.基本要求</w:t>
      </w:r>
    </w:p>
    <w:p w14:paraId="1681E03B">
      <w:pPr>
        <w:spacing w:line="360" w:lineRule="auto"/>
        <w:ind w:firstLine="420" w:firstLineChars="200"/>
        <w:rPr>
          <w:szCs w:val="21"/>
        </w:rPr>
      </w:pPr>
      <w:r>
        <w:rPr>
          <w:rFonts w:hint="eastAsia"/>
          <w:szCs w:val="21"/>
        </w:rPr>
        <w:t>深刻理解国家安全的丰富内涵和重大意义，增强国家安全意识，树立国家利益至上的观念。</w:t>
      </w:r>
    </w:p>
    <w:p w14:paraId="0F83F8C6">
      <w:pPr>
        <w:spacing w:line="360" w:lineRule="auto"/>
        <w:ind w:firstLine="420" w:firstLineChars="200"/>
        <w:rPr>
          <w:szCs w:val="21"/>
        </w:rPr>
      </w:pPr>
      <w:r>
        <w:rPr>
          <w:rFonts w:hint="eastAsia"/>
          <w:szCs w:val="21"/>
        </w:rPr>
        <w:t>（三）分论及各重点领域安全的深度解析</w:t>
      </w:r>
    </w:p>
    <w:p w14:paraId="54EB8664">
      <w:pPr>
        <w:spacing w:line="360" w:lineRule="auto"/>
        <w:ind w:left="420" w:leftChars="200" w:firstLine="210" w:firstLineChars="100"/>
        <w:rPr>
          <w:szCs w:val="21"/>
        </w:rPr>
      </w:pPr>
      <w:r>
        <w:rPr>
          <w:rFonts w:hint="eastAsia"/>
          <w:szCs w:val="21"/>
        </w:rPr>
        <w:t>1.教学内容</w:t>
      </w:r>
    </w:p>
    <w:p w14:paraId="6A8F8896">
      <w:pPr>
        <w:spacing w:line="360" w:lineRule="auto"/>
        <w:ind w:firstLine="420" w:firstLineChars="200"/>
        <w:rPr>
          <w:szCs w:val="21"/>
        </w:rPr>
      </w:pPr>
      <w:r>
        <w:rPr>
          <w:rFonts w:hint="eastAsia"/>
          <w:szCs w:val="21"/>
        </w:rPr>
        <w:t>（1）政治安全</w:t>
      </w:r>
    </w:p>
    <w:p w14:paraId="1F77CFAA">
      <w:pPr>
        <w:spacing w:line="360" w:lineRule="auto"/>
        <w:ind w:firstLine="420" w:firstLineChars="200"/>
        <w:rPr>
          <w:szCs w:val="21"/>
        </w:rPr>
      </w:pPr>
      <w:r>
        <w:rPr>
          <w:rFonts w:hint="eastAsia"/>
          <w:szCs w:val="21"/>
        </w:rPr>
        <w:t>（2）经济与科技安全</w:t>
      </w:r>
    </w:p>
    <w:p w14:paraId="5266792F">
      <w:pPr>
        <w:spacing w:line="360" w:lineRule="auto"/>
        <w:ind w:firstLine="420" w:firstLineChars="200"/>
        <w:rPr>
          <w:szCs w:val="21"/>
        </w:rPr>
      </w:pPr>
      <w:r>
        <w:rPr>
          <w:rFonts w:hint="eastAsia"/>
          <w:szCs w:val="21"/>
        </w:rPr>
        <w:t>（3）文化与社会网络安全</w:t>
      </w:r>
    </w:p>
    <w:p w14:paraId="4043E467">
      <w:pPr>
        <w:spacing w:line="360" w:lineRule="auto"/>
        <w:ind w:firstLine="420" w:firstLineChars="200"/>
        <w:rPr>
          <w:szCs w:val="21"/>
        </w:rPr>
      </w:pPr>
      <w:r>
        <w:rPr>
          <w:rFonts w:hint="eastAsia"/>
          <w:szCs w:val="21"/>
        </w:rPr>
        <w:t>（4）国土、军事与海外利益安全</w:t>
      </w:r>
    </w:p>
    <w:p w14:paraId="079E2594">
      <w:pPr>
        <w:spacing w:line="360" w:lineRule="auto"/>
        <w:ind w:firstLine="420" w:firstLineChars="200"/>
        <w:rPr>
          <w:szCs w:val="21"/>
        </w:rPr>
      </w:pPr>
      <w:r>
        <w:rPr>
          <w:rFonts w:hint="eastAsia"/>
          <w:szCs w:val="21"/>
        </w:rPr>
        <w:t>（5）新型领域安全：太空、深海、极地</w:t>
      </w:r>
    </w:p>
    <w:p w14:paraId="5914504B">
      <w:pPr>
        <w:spacing w:line="360" w:lineRule="auto"/>
        <w:ind w:firstLine="420" w:firstLineChars="200"/>
        <w:rPr>
          <w:szCs w:val="21"/>
        </w:rPr>
      </w:pPr>
      <w:r>
        <w:rPr>
          <w:rFonts w:hint="eastAsia"/>
          <w:szCs w:val="21"/>
        </w:rPr>
        <w:t>2.基本要求</w:t>
      </w:r>
    </w:p>
    <w:p w14:paraId="7B59298E">
      <w:pPr>
        <w:spacing w:line="360" w:lineRule="auto"/>
        <w:ind w:firstLine="420" w:firstLineChars="200"/>
        <w:rPr>
          <w:szCs w:val="21"/>
        </w:rPr>
      </w:pPr>
      <w:r>
        <w:rPr>
          <w:rFonts w:hint="eastAsia"/>
          <w:szCs w:val="21"/>
        </w:rPr>
        <w:t>了解国家安全各领域的基本概念、法律法规和风险挑战，提高国家安全素养。</w:t>
      </w:r>
    </w:p>
    <w:p w14:paraId="269C2466">
      <w:pPr>
        <w:numPr>
          <w:ilvl w:val="0"/>
          <w:numId w:val="10"/>
        </w:numPr>
        <w:spacing w:line="360" w:lineRule="auto"/>
        <w:ind w:firstLine="420" w:firstLineChars="200"/>
        <w:rPr>
          <w:szCs w:val="21"/>
        </w:rPr>
      </w:pPr>
      <w:r>
        <w:rPr>
          <w:rFonts w:hint="eastAsia"/>
          <w:szCs w:val="21"/>
        </w:rPr>
        <w:t>实践担当及风险防控与公民尽责</w:t>
      </w:r>
    </w:p>
    <w:p w14:paraId="4F2D219D">
      <w:pPr>
        <w:spacing w:line="360" w:lineRule="auto"/>
        <w:ind w:firstLine="210" w:firstLineChars="100"/>
        <w:rPr>
          <w:szCs w:val="21"/>
        </w:rPr>
      </w:pPr>
      <w:r>
        <w:rPr>
          <w:rFonts w:hint="eastAsia"/>
          <w:szCs w:val="21"/>
        </w:rPr>
        <w:t xml:space="preserve">  1.教学内容</w:t>
      </w:r>
    </w:p>
    <w:p w14:paraId="116F6598">
      <w:pPr>
        <w:spacing w:line="360" w:lineRule="auto"/>
        <w:ind w:firstLine="420" w:firstLineChars="200"/>
        <w:rPr>
          <w:szCs w:val="21"/>
        </w:rPr>
      </w:pPr>
      <w:r>
        <w:rPr>
          <w:rFonts w:hint="eastAsia"/>
          <w:szCs w:val="21"/>
        </w:rPr>
        <w:t>（1）增强国家安全意识，坚持国家利益至上</w:t>
      </w:r>
    </w:p>
    <w:p w14:paraId="79993EB9">
      <w:pPr>
        <w:spacing w:line="360" w:lineRule="auto"/>
        <w:ind w:left="559" w:leftChars="266"/>
        <w:rPr>
          <w:szCs w:val="21"/>
        </w:rPr>
      </w:pPr>
      <w:r>
        <w:rPr>
          <w:rFonts w:hint="eastAsia"/>
          <w:szCs w:val="21"/>
        </w:rPr>
        <w:t>（2）增强忧患意识，发扬斗争精神</w:t>
      </w:r>
      <w:r>
        <w:rPr>
          <w:rFonts w:hint="eastAsia"/>
          <w:szCs w:val="21"/>
        </w:rPr>
        <w:br w:type="textWrapping"/>
      </w:r>
      <w:r>
        <w:rPr>
          <w:rFonts w:hint="eastAsia"/>
          <w:szCs w:val="21"/>
        </w:rPr>
        <w:t>（3）增强社会责任，形成维护国家安全合力</w:t>
      </w:r>
    </w:p>
    <w:p w14:paraId="07083C7E">
      <w:pPr>
        <w:spacing w:line="360" w:lineRule="auto"/>
        <w:rPr>
          <w:szCs w:val="21"/>
        </w:rPr>
      </w:pPr>
      <w:r>
        <w:rPr>
          <w:rFonts w:hint="eastAsia"/>
          <w:szCs w:val="21"/>
        </w:rPr>
        <w:t xml:space="preserve">    2.基本要求</w:t>
      </w:r>
    </w:p>
    <w:p w14:paraId="620555DC">
      <w:pPr>
        <w:spacing w:line="360" w:lineRule="auto"/>
        <w:ind w:firstLine="420" w:firstLineChars="200"/>
        <w:rPr>
          <w:szCs w:val="21"/>
        </w:rPr>
      </w:pPr>
      <w:r>
        <w:rPr>
          <w:rFonts w:hint="eastAsia"/>
          <w:szCs w:val="21"/>
        </w:rPr>
        <w:t>掌握维护国家安全的基本技能和方法，能够识别和防范国家安全的风险，积极参与和维护国家安全。</w:t>
      </w:r>
    </w:p>
    <w:p w14:paraId="01BBB995">
      <w:pPr>
        <w:spacing w:line="360" w:lineRule="auto"/>
        <w:ind w:firstLine="420" w:firstLineChars="200"/>
        <w:rPr>
          <w:szCs w:val="21"/>
        </w:rPr>
      </w:pPr>
      <w:r>
        <w:rPr>
          <w:rFonts w:hint="eastAsia"/>
          <w:color w:val="000000"/>
          <w:szCs w:val="21"/>
        </w:rPr>
        <w:t>教学内容与</w:t>
      </w:r>
      <w:r>
        <w:rPr>
          <w:color w:val="000000"/>
          <w:szCs w:val="21"/>
        </w:rPr>
        <w:t>课程目标的</w:t>
      </w:r>
      <w:r>
        <w:rPr>
          <w:rFonts w:hint="eastAsia"/>
          <w:color w:val="000000"/>
          <w:szCs w:val="21"/>
        </w:rPr>
        <w:t>对应关系及</w:t>
      </w:r>
      <w:r>
        <w:rPr>
          <w:color w:val="000000"/>
          <w:szCs w:val="21"/>
        </w:rPr>
        <w:t>学时分配</w:t>
      </w:r>
      <w:r>
        <w:rPr>
          <w:rFonts w:hint="eastAsia"/>
          <w:color w:val="000000"/>
          <w:szCs w:val="21"/>
        </w:rPr>
        <w:t>如表所示。</w:t>
      </w:r>
    </w:p>
    <w:tbl>
      <w:tblPr>
        <w:tblStyle w:val="11"/>
        <w:tblW w:w="8235"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355"/>
        <w:gridCol w:w="1410"/>
        <w:gridCol w:w="1845"/>
        <w:gridCol w:w="855"/>
        <w:gridCol w:w="1035"/>
      </w:tblGrid>
      <w:tr w14:paraId="3923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735" w:type="dxa"/>
            <w:shd w:val="clear" w:color="auto" w:fill="FFFFFF"/>
            <w:vAlign w:val="center"/>
          </w:tcPr>
          <w:p w14:paraId="19CB48BF">
            <w:pPr>
              <w:spacing w:line="360" w:lineRule="auto"/>
              <w:jc w:val="center"/>
              <w:rPr>
                <w:rFonts w:hint="eastAsia" w:ascii="宋体" w:hAnsi="宋体" w:eastAsia="宋体" w:cs="宋体"/>
                <w:b/>
                <w:bCs/>
                <w:color w:val="000000"/>
                <w:szCs w:val="21"/>
              </w:rPr>
            </w:pPr>
            <w:r>
              <w:rPr>
                <w:rFonts w:hint="eastAsia" w:ascii="宋体" w:hAnsi="宋体" w:eastAsia="宋体" w:cs="宋体"/>
                <w:b/>
                <w:bCs/>
                <w:color w:val="000000"/>
                <w:szCs w:val="21"/>
              </w:rPr>
              <w:t>序号</w:t>
            </w:r>
          </w:p>
        </w:tc>
        <w:tc>
          <w:tcPr>
            <w:tcW w:w="2355" w:type="dxa"/>
            <w:shd w:val="clear" w:color="auto" w:fill="FFFFFF"/>
            <w:vAlign w:val="center"/>
          </w:tcPr>
          <w:p w14:paraId="26B28309">
            <w:pPr>
              <w:spacing w:line="360" w:lineRule="auto"/>
              <w:jc w:val="center"/>
              <w:rPr>
                <w:rFonts w:hint="eastAsia" w:ascii="宋体" w:hAnsi="宋体" w:eastAsia="宋体" w:cs="宋体"/>
                <w:b/>
                <w:bCs/>
                <w:color w:val="000000"/>
                <w:szCs w:val="21"/>
              </w:rPr>
            </w:pPr>
            <w:r>
              <w:rPr>
                <w:rFonts w:hint="eastAsia" w:ascii="宋体" w:hAnsi="宋体" w:eastAsia="宋体" w:cs="宋体"/>
                <w:b/>
                <w:bCs/>
                <w:color w:val="000000"/>
                <w:szCs w:val="21"/>
              </w:rPr>
              <w:t>教学内容</w:t>
            </w:r>
          </w:p>
        </w:tc>
        <w:tc>
          <w:tcPr>
            <w:tcW w:w="1410" w:type="dxa"/>
            <w:shd w:val="clear" w:color="auto" w:fill="FFFFFF"/>
            <w:vAlign w:val="center"/>
          </w:tcPr>
          <w:p w14:paraId="2959AADD">
            <w:pPr>
              <w:jc w:val="center"/>
              <w:rPr>
                <w:rFonts w:hint="eastAsia" w:ascii="宋体" w:hAnsi="宋体" w:eastAsia="宋体" w:cs="宋体"/>
                <w:b/>
                <w:bCs/>
                <w:color w:val="000000"/>
                <w:szCs w:val="21"/>
              </w:rPr>
            </w:pPr>
            <w:r>
              <w:rPr>
                <w:rFonts w:hint="eastAsia" w:ascii="宋体" w:hAnsi="宋体" w:eastAsia="宋体" w:cs="宋体"/>
                <w:b/>
                <w:bCs/>
                <w:color w:val="000000"/>
                <w:szCs w:val="21"/>
              </w:rPr>
              <w:t>支撑的课程目标</w:t>
            </w:r>
          </w:p>
        </w:tc>
        <w:tc>
          <w:tcPr>
            <w:tcW w:w="1845" w:type="dxa"/>
            <w:shd w:val="clear" w:color="auto" w:fill="FFFFFF"/>
            <w:vAlign w:val="center"/>
          </w:tcPr>
          <w:p w14:paraId="6FFCBBC5">
            <w:pPr>
              <w:jc w:val="center"/>
              <w:rPr>
                <w:rFonts w:hint="eastAsia" w:ascii="宋体" w:hAnsi="宋体" w:eastAsia="宋体" w:cs="宋体"/>
                <w:b/>
                <w:bCs/>
                <w:color w:val="000000"/>
                <w:szCs w:val="21"/>
              </w:rPr>
            </w:pPr>
            <w:r>
              <w:rPr>
                <w:rFonts w:hint="eastAsia" w:ascii="宋体" w:hAnsi="宋体" w:eastAsia="宋体" w:cs="宋体"/>
                <w:b/>
                <w:bCs/>
                <w:color w:val="000000"/>
                <w:szCs w:val="21"/>
              </w:rPr>
              <w:t>支撑的毕业</w:t>
            </w:r>
          </w:p>
          <w:p w14:paraId="4DBC6C73">
            <w:pPr>
              <w:jc w:val="center"/>
              <w:rPr>
                <w:rFonts w:hint="eastAsia" w:ascii="宋体" w:hAnsi="宋体" w:eastAsia="宋体" w:cs="宋体"/>
                <w:b/>
                <w:bCs/>
                <w:color w:val="000000"/>
                <w:szCs w:val="21"/>
              </w:rPr>
            </w:pPr>
            <w:r>
              <w:rPr>
                <w:rFonts w:hint="eastAsia" w:ascii="宋体" w:hAnsi="宋体" w:eastAsia="宋体" w:cs="宋体"/>
                <w:b/>
                <w:bCs/>
                <w:color w:val="000000"/>
                <w:szCs w:val="21"/>
              </w:rPr>
              <w:t>要求指标点</w:t>
            </w:r>
          </w:p>
        </w:tc>
        <w:tc>
          <w:tcPr>
            <w:tcW w:w="855" w:type="dxa"/>
            <w:shd w:val="clear" w:color="auto" w:fill="FFFFFF"/>
            <w:vAlign w:val="center"/>
          </w:tcPr>
          <w:p w14:paraId="50996998">
            <w:pPr>
              <w:jc w:val="center"/>
              <w:rPr>
                <w:rFonts w:hint="eastAsia" w:ascii="宋体" w:hAnsi="宋体" w:eastAsia="宋体" w:cs="宋体"/>
                <w:b/>
                <w:bCs/>
                <w:color w:val="000000"/>
                <w:szCs w:val="21"/>
              </w:rPr>
            </w:pPr>
            <w:r>
              <w:rPr>
                <w:rFonts w:hint="eastAsia" w:ascii="宋体" w:hAnsi="宋体" w:eastAsia="宋体" w:cs="宋体"/>
                <w:b/>
                <w:bCs/>
                <w:color w:val="000000"/>
                <w:szCs w:val="21"/>
              </w:rPr>
              <w:t>讲授</w:t>
            </w:r>
          </w:p>
          <w:p w14:paraId="2874C2B0">
            <w:pPr>
              <w:jc w:val="center"/>
              <w:rPr>
                <w:rFonts w:hint="eastAsia" w:ascii="宋体" w:hAnsi="宋体" w:eastAsia="宋体" w:cs="宋体"/>
                <w:b/>
                <w:bCs/>
                <w:color w:val="000000"/>
                <w:szCs w:val="21"/>
              </w:rPr>
            </w:pPr>
            <w:r>
              <w:rPr>
                <w:rFonts w:hint="eastAsia" w:ascii="宋体" w:hAnsi="宋体" w:eastAsia="宋体" w:cs="宋体"/>
                <w:b/>
                <w:bCs/>
                <w:color w:val="000000"/>
                <w:szCs w:val="21"/>
              </w:rPr>
              <w:t>学时</w:t>
            </w:r>
          </w:p>
        </w:tc>
        <w:tc>
          <w:tcPr>
            <w:tcW w:w="1035" w:type="dxa"/>
            <w:shd w:val="clear" w:color="auto" w:fill="FFFFFF"/>
            <w:vAlign w:val="center"/>
          </w:tcPr>
          <w:p w14:paraId="225DA4F1">
            <w:pPr>
              <w:jc w:val="center"/>
              <w:rPr>
                <w:rFonts w:hint="eastAsia" w:ascii="宋体" w:hAnsi="宋体" w:eastAsia="宋体" w:cs="宋体"/>
                <w:b/>
                <w:bCs/>
                <w:color w:val="000000"/>
                <w:szCs w:val="21"/>
              </w:rPr>
            </w:pPr>
            <w:r>
              <w:rPr>
                <w:rFonts w:hint="eastAsia" w:ascii="宋体" w:hAnsi="宋体" w:eastAsia="宋体" w:cs="宋体"/>
                <w:b/>
                <w:bCs/>
                <w:color w:val="000000"/>
                <w:szCs w:val="21"/>
              </w:rPr>
              <w:t>实验</w:t>
            </w:r>
          </w:p>
          <w:p w14:paraId="7D8D8491">
            <w:pPr>
              <w:jc w:val="center"/>
              <w:rPr>
                <w:rFonts w:hint="eastAsia" w:ascii="宋体" w:hAnsi="宋体" w:eastAsia="宋体" w:cs="宋体"/>
                <w:b/>
                <w:bCs/>
                <w:color w:val="000000"/>
                <w:szCs w:val="21"/>
              </w:rPr>
            </w:pPr>
            <w:r>
              <w:rPr>
                <w:rFonts w:hint="eastAsia" w:ascii="宋体" w:hAnsi="宋体" w:eastAsia="宋体" w:cs="宋体"/>
                <w:b/>
                <w:bCs/>
                <w:color w:val="000000"/>
                <w:szCs w:val="21"/>
              </w:rPr>
              <w:t>学时</w:t>
            </w:r>
          </w:p>
        </w:tc>
      </w:tr>
      <w:tr w14:paraId="3581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735" w:type="dxa"/>
            <w:vAlign w:val="center"/>
          </w:tcPr>
          <w:p w14:paraId="2A742E6A">
            <w:pPr>
              <w:jc w:val="center"/>
              <w:rPr>
                <w:rFonts w:hint="eastAsia" w:ascii="宋体" w:hAnsi="宋体" w:eastAsia="宋体" w:cs="宋体"/>
                <w:szCs w:val="21"/>
              </w:rPr>
            </w:pPr>
            <w:r>
              <w:rPr>
                <w:rFonts w:hint="eastAsia" w:ascii="宋体" w:hAnsi="宋体" w:eastAsia="宋体" w:cs="宋体"/>
                <w:szCs w:val="21"/>
              </w:rPr>
              <w:t>1</w:t>
            </w:r>
          </w:p>
        </w:tc>
        <w:tc>
          <w:tcPr>
            <w:tcW w:w="2355" w:type="dxa"/>
            <w:vAlign w:val="center"/>
          </w:tcPr>
          <w:p w14:paraId="462571F9">
            <w:pPr>
              <w:jc w:val="center"/>
              <w:rPr>
                <w:rFonts w:hint="eastAsia" w:ascii="宋体" w:hAnsi="宋体" w:eastAsia="宋体" w:cs="宋体"/>
                <w:bCs/>
                <w:szCs w:val="21"/>
              </w:rPr>
            </w:pPr>
            <w:r>
              <w:rPr>
                <w:rFonts w:hint="eastAsia" w:ascii="宋体" w:hAnsi="宋体" w:eastAsia="宋体" w:cs="宋体"/>
                <w:bCs/>
                <w:szCs w:val="21"/>
              </w:rPr>
              <w:t>总论与总体国家安全观</w:t>
            </w:r>
          </w:p>
        </w:tc>
        <w:tc>
          <w:tcPr>
            <w:tcW w:w="1410" w:type="dxa"/>
            <w:vAlign w:val="center"/>
          </w:tcPr>
          <w:p w14:paraId="259232A7">
            <w:pPr>
              <w:jc w:val="center"/>
              <w:rPr>
                <w:rFonts w:hint="eastAsia" w:ascii="宋体" w:hAnsi="宋体" w:eastAsia="宋体" w:cs="宋体"/>
                <w:color w:val="000000"/>
                <w:szCs w:val="21"/>
              </w:rPr>
            </w:pPr>
            <w:r>
              <w:rPr>
                <w:rFonts w:hint="eastAsia" w:ascii="宋体" w:hAnsi="宋体" w:eastAsia="宋体" w:cs="宋体"/>
                <w:color w:val="000000"/>
                <w:szCs w:val="21"/>
              </w:rPr>
              <w:t>目标1</w:t>
            </w:r>
          </w:p>
        </w:tc>
        <w:tc>
          <w:tcPr>
            <w:tcW w:w="1845" w:type="dxa"/>
            <w:vAlign w:val="center"/>
          </w:tcPr>
          <w:p w14:paraId="74ADF84C">
            <w:pPr>
              <w:jc w:val="center"/>
              <w:rPr>
                <w:rFonts w:hint="eastAsia" w:ascii="宋体" w:hAnsi="宋体" w:eastAsia="宋体" w:cs="宋体"/>
                <w:szCs w:val="21"/>
              </w:rPr>
            </w:pPr>
            <w:r>
              <w:rPr>
                <w:rFonts w:hint="eastAsia" w:ascii="宋体" w:hAnsi="宋体" w:eastAsia="宋体" w:cs="宋体"/>
                <w:szCs w:val="21"/>
              </w:rPr>
              <w:t>1-1</w:t>
            </w:r>
          </w:p>
        </w:tc>
        <w:tc>
          <w:tcPr>
            <w:tcW w:w="855" w:type="dxa"/>
            <w:vAlign w:val="center"/>
          </w:tcPr>
          <w:p w14:paraId="511B6E53">
            <w:pPr>
              <w:jc w:val="center"/>
              <w:rPr>
                <w:rFonts w:hint="eastAsia" w:ascii="宋体" w:hAnsi="宋体" w:eastAsia="宋体" w:cs="宋体"/>
                <w:szCs w:val="21"/>
              </w:rPr>
            </w:pPr>
            <w:r>
              <w:rPr>
                <w:rFonts w:hint="eastAsia" w:ascii="宋体" w:hAnsi="宋体" w:eastAsia="宋体" w:cs="宋体"/>
                <w:szCs w:val="21"/>
              </w:rPr>
              <w:t>1</w:t>
            </w:r>
          </w:p>
        </w:tc>
        <w:tc>
          <w:tcPr>
            <w:tcW w:w="1035" w:type="dxa"/>
            <w:vAlign w:val="center"/>
          </w:tcPr>
          <w:p w14:paraId="24644397">
            <w:pPr>
              <w:jc w:val="center"/>
              <w:rPr>
                <w:rFonts w:hint="eastAsia" w:ascii="宋体" w:hAnsi="宋体" w:eastAsia="宋体" w:cs="宋体"/>
                <w:szCs w:val="21"/>
              </w:rPr>
            </w:pPr>
            <w:r>
              <w:rPr>
                <w:rFonts w:hint="eastAsia" w:ascii="宋体" w:hAnsi="宋体" w:eastAsia="宋体" w:cs="宋体"/>
                <w:szCs w:val="21"/>
              </w:rPr>
              <w:t>0</w:t>
            </w:r>
          </w:p>
        </w:tc>
      </w:tr>
      <w:tr w14:paraId="79CE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35" w:type="dxa"/>
            <w:vAlign w:val="center"/>
          </w:tcPr>
          <w:p w14:paraId="4D7F2C0E">
            <w:pPr>
              <w:jc w:val="center"/>
              <w:rPr>
                <w:rFonts w:hint="eastAsia" w:ascii="宋体" w:hAnsi="宋体" w:eastAsia="宋体" w:cs="宋体"/>
                <w:szCs w:val="21"/>
              </w:rPr>
            </w:pPr>
            <w:r>
              <w:rPr>
                <w:rFonts w:hint="eastAsia" w:ascii="宋体" w:hAnsi="宋体" w:eastAsia="宋体" w:cs="宋体"/>
                <w:szCs w:val="21"/>
              </w:rPr>
              <w:t>2</w:t>
            </w:r>
          </w:p>
        </w:tc>
        <w:tc>
          <w:tcPr>
            <w:tcW w:w="2355" w:type="dxa"/>
            <w:vAlign w:val="center"/>
          </w:tcPr>
          <w:p w14:paraId="22C9F54C">
            <w:pPr>
              <w:jc w:val="center"/>
              <w:rPr>
                <w:rFonts w:hint="eastAsia" w:ascii="宋体" w:hAnsi="宋体" w:eastAsia="宋体" w:cs="宋体"/>
                <w:bCs/>
                <w:szCs w:val="21"/>
              </w:rPr>
            </w:pPr>
            <w:r>
              <w:rPr>
                <w:rFonts w:hint="eastAsia" w:ascii="宋体" w:hAnsi="宋体" w:eastAsia="宋体" w:cs="宋体"/>
                <w:bCs/>
                <w:szCs w:val="21"/>
              </w:rPr>
              <w:t>概论及国家安全观的重大理论问题、政治问题和方法问题</w:t>
            </w:r>
          </w:p>
        </w:tc>
        <w:tc>
          <w:tcPr>
            <w:tcW w:w="1410" w:type="dxa"/>
            <w:vAlign w:val="center"/>
          </w:tcPr>
          <w:p w14:paraId="38D420C7">
            <w:pPr>
              <w:jc w:val="center"/>
              <w:rPr>
                <w:rFonts w:hint="eastAsia" w:ascii="宋体" w:hAnsi="宋体" w:eastAsia="宋体" w:cs="宋体"/>
                <w:color w:val="000000"/>
                <w:szCs w:val="21"/>
              </w:rPr>
            </w:pPr>
            <w:r>
              <w:rPr>
                <w:rFonts w:hint="eastAsia" w:ascii="宋体" w:hAnsi="宋体" w:eastAsia="宋体" w:cs="宋体"/>
                <w:color w:val="000000"/>
                <w:szCs w:val="21"/>
              </w:rPr>
              <w:t>目标1.2</w:t>
            </w:r>
          </w:p>
        </w:tc>
        <w:tc>
          <w:tcPr>
            <w:tcW w:w="1845" w:type="dxa"/>
            <w:vAlign w:val="center"/>
          </w:tcPr>
          <w:p w14:paraId="3CFA46AA">
            <w:pPr>
              <w:jc w:val="center"/>
              <w:rPr>
                <w:rFonts w:hint="eastAsia" w:ascii="宋体" w:hAnsi="宋体" w:eastAsia="宋体" w:cs="宋体"/>
                <w:szCs w:val="21"/>
              </w:rPr>
            </w:pPr>
            <w:r>
              <w:rPr>
                <w:rFonts w:hint="eastAsia" w:ascii="宋体" w:hAnsi="宋体" w:eastAsia="宋体" w:cs="宋体"/>
                <w:szCs w:val="21"/>
              </w:rPr>
              <w:t>1-1</w:t>
            </w:r>
          </w:p>
        </w:tc>
        <w:tc>
          <w:tcPr>
            <w:tcW w:w="855" w:type="dxa"/>
            <w:vAlign w:val="center"/>
          </w:tcPr>
          <w:p w14:paraId="6875AF76">
            <w:pPr>
              <w:jc w:val="center"/>
              <w:rPr>
                <w:rFonts w:hint="eastAsia" w:ascii="宋体" w:hAnsi="宋体" w:eastAsia="宋体" w:cs="宋体"/>
                <w:szCs w:val="21"/>
              </w:rPr>
            </w:pPr>
            <w:r>
              <w:rPr>
                <w:rFonts w:hint="eastAsia" w:ascii="宋体" w:hAnsi="宋体" w:eastAsia="宋体" w:cs="宋体"/>
                <w:szCs w:val="21"/>
              </w:rPr>
              <w:t>5</w:t>
            </w:r>
          </w:p>
        </w:tc>
        <w:tc>
          <w:tcPr>
            <w:tcW w:w="1035" w:type="dxa"/>
            <w:vAlign w:val="center"/>
          </w:tcPr>
          <w:p w14:paraId="05D93B8E">
            <w:pPr>
              <w:jc w:val="center"/>
              <w:rPr>
                <w:rFonts w:hint="eastAsia" w:ascii="宋体" w:hAnsi="宋体" w:eastAsia="宋体" w:cs="宋体"/>
                <w:szCs w:val="21"/>
              </w:rPr>
            </w:pPr>
            <w:r>
              <w:rPr>
                <w:rFonts w:hint="eastAsia" w:ascii="宋体" w:hAnsi="宋体" w:eastAsia="宋体" w:cs="宋体"/>
                <w:szCs w:val="21"/>
              </w:rPr>
              <w:t>0</w:t>
            </w:r>
          </w:p>
        </w:tc>
      </w:tr>
      <w:tr w14:paraId="6189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5" w:type="dxa"/>
            <w:vAlign w:val="center"/>
          </w:tcPr>
          <w:p w14:paraId="7EB0BA84">
            <w:pPr>
              <w:jc w:val="center"/>
              <w:rPr>
                <w:rFonts w:hint="eastAsia" w:ascii="宋体" w:hAnsi="宋体" w:eastAsia="宋体" w:cs="宋体"/>
                <w:szCs w:val="21"/>
              </w:rPr>
            </w:pPr>
            <w:r>
              <w:rPr>
                <w:rFonts w:hint="eastAsia" w:ascii="宋体" w:hAnsi="宋体" w:eastAsia="宋体" w:cs="宋体"/>
                <w:szCs w:val="21"/>
              </w:rPr>
              <w:t>3</w:t>
            </w:r>
          </w:p>
        </w:tc>
        <w:tc>
          <w:tcPr>
            <w:tcW w:w="2355" w:type="dxa"/>
            <w:vAlign w:val="center"/>
          </w:tcPr>
          <w:p w14:paraId="5CF05476">
            <w:pPr>
              <w:jc w:val="center"/>
              <w:rPr>
                <w:rFonts w:hint="eastAsia" w:ascii="宋体" w:hAnsi="宋体" w:eastAsia="宋体" w:cs="宋体"/>
                <w:color w:val="000000"/>
                <w:szCs w:val="21"/>
              </w:rPr>
            </w:pPr>
            <w:r>
              <w:rPr>
                <w:rFonts w:hint="eastAsia" w:ascii="宋体" w:hAnsi="宋体" w:eastAsia="宋体" w:cs="宋体"/>
                <w:bCs/>
                <w:szCs w:val="21"/>
              </w:rPr>
              <w:t>分论及各重点领域安全的深度解析</w:t>
            </w:r>
          </w:p>
        </w:tc>
        <w:tc>
          <w:tcPr>
            <w:tcW w:w="1410" w:type="dxa"/>
            <w:vAlign w:val="center"/>
          </w:tcPr>
          <w:p w14:paraId="0AE50C1C">
            <w:pPr>
              <w:jc w:val="center"/>
              <w:rPr>
                <w:rFonts w:hint="eastAsia" w:ascii="宋体" w:hAnsi="宋体" w:eastAsia="宋体" w:cs="宋体"/>
                <w:color w:val="000000"/>
                <w:szCs w:val="21"/>
              </w:rPr>
            </w:pPr>
            <w:r>
              <w:rPr>
                <w:rFonts w:hint="eastAsia" w:ascii="宋体" w:hAnsi="宋体" w:eastAsia="宋体" w:cs="宋体"/>
                <w:color w:val="000000"/>
                <w:szCs w:val="21"/>
              </w:rPr>
              <w:t>目标1.2.3</w:t>
            </w:r>
          </w:p>
        </w:tc>
        <w:tc>
          <w:tcPr>
            <w:tcW w:w="1845" w:type="dxa"/>
            <w:vAlign w:val="center"/>
          </w:tcPr>
          <w:p w14:paraId="100E4E77">
            <w:pPr>
              <w:jc w:val="center"/>
              <w:rPr>
                <w:rFonts w:hint="eastAsia" w:ascii="宋体" w:hAnsi="宋体" w:eastAsia="宋体" w:cs="宋体"/>
                <w:szCs w:val="21"/>
              </w:rPr>
            </w:pPr>
            <w:r>
              <w:rPr>
                <w:rFonts w:hint="eastAsia" w:ascii="宋体" w:hAnsi="宋体" w:eastAsia="宋体" w:cs="宋体"/>
                <w:szCs w:val="21"/>
              </w:rPr>
              <w:t>1-1</w:t>
            </w:r>
          </w:p>
        </w:tc>
        <w:tc>
          <w:tcPr>
            <w:tcW w:w="855" w:type="dxa"/>
            <w:vAlign w:val="center"/>
          </w:tcPr>
          <w:p w14:paraId="0FE4D8DD">
            <w:pPr>
              <w:jc w:val="center"/>
              <w:rPr>
                <w:rFonts w:hint="eastAsia" w:ascii="宋体" w:hAnsi="宋体" w:eastAsia="宋体" w:cs="宋体"/>
                <w:szCs w:val="21"/>
              </w:rPr>
            </w:pPr>
            <w:r>
              <w:rPr>
                <w:rFonts w:hint="eastAsia" w:ascii="宋体" w:hAnsi="宋体" w:eastAsia="宋体" w:cs="宋体"/>
                <w:szCs w:val="21"/>
              </w:rPr>
              <w:t>1</w:t>
            </w:r>
          </w:p>
        </w:tc>
        <w:tc>
          <w:tcPr>
            <w:tcW w:w="1035" w:type="dxa"/>
            <w:vAlign w:val="center"/>
          </w:tcPr>
          <w:p w14:paraId="59606183">
            <w:pPr>
              <w:jc w:val="center"/>
              <w:rPr>
                <w:rFonts w:hint="eastAsia" w:ascii="宋体" w:hAnsi="宋体" w:eastAsia="宋体" w:cs="宋体"/>
                <w:szCs w:val="21"/>
              </w:rPr>
            </w:pPr>
            <w:r>
              <w:rPr>
                <w:rFonts w:hint="eastAsia" w:ascii="宋体" w:hAnsi="宋体" w:eastAsia="宋体" w:cs="宋体"/>
                <w:szCs w:val="21"/>
              </w:rPr>
              <w:t>0</w:t>
            </w:r>
          </w:p>
        </w:tc>
      </w:tr>
      <w:tr w14:paraId="554A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735" w:type="dxa"/>
            <w:vAlign w:val="center"/>
          </w:tcPr>
          <w:p w14:paraId="7D918D51">
            <w:pPr>
              <w:jc w:val="center"/>
              <w:rPr>
                <w:rFonts w:hint="eastAsia" w:ascii="宋体" w:hAnsi="宋体" w:eastAsia="宋体" w:cs="宋体"/>
                <w:szCs w:val="21"/>
              </w:rPr>
            </w:pPr>
            <w:r>
              <w:rPr>
                <w:rFonts w:hint="eastAsia" w:ascii="宋体" w:hAnsi="宋体" w:eastAsia="宋体" w:cs="宋体"/>
                <w:szCs w:val="21"/>
              </w:rPr>
              <w:t>4</w:t>
            </w:r>
          </w:p>
        </w:tc>
        <w:tc>
          <w:tcPr>
            <w:tcW w:w="2355" w:type="dxa"/>
            <w:vAlign w:val="center"/>
          </w:tcPr>
          <w:p w14:paraId="53E754AF">
            <w:pPr>
              <w:jc w:val="center"/>
              <w:rPr>
                <w:rFonts w:hint="eastAsia" w:ascii="宋体" w:hAnsi="宋体" w:eastAsia="宋体" w:cs="宋体"/>
                <w:szCs w:val="21"/>
              </w:rPr>
            </w:pPr>
            <w:r>
              <w:rPr>
                <w:rFonts w:hint="eastAsia" w:ascii="宋体" w:hAnsi="宋体" w:eastAsia="宋体" w:cs="宋体"/>
                <w:bCs/>
                <w:szCs w:val="21"/>
              </w:rPr>
              <w:t>实践担当及风险防控与公民尽责</w:t>
            </w:r>
          </w:p>
        </w:tc>
        <w:tc>
          <w:tcPr>
            <w:tcW w:w="1410" w:type="dxa"/>
            <w:vAlign w:val="center"/>
          </w:tcPr>
          <w:p w14:paraId="6CA8ABF1">
            <w:pPr>
              <w:jc w:val="center"/>
              <w:rPr>
                <w:rFonts w:hint="eastAsia" w:ascii="宋体" w:hAnsi="宋体" w:eastAsia="宋体" w:cs="宋体"/>
                <w:szCs w:val="21"/>
              </w:rPr>
            </w:pPr>
            <w:r>
              <w:rPr>
                <w:rFonts w:hint="eastAsia" w:ascii="宋体" w:hAnsi="宋体" w:eastAsia="宋体" w:cs="宋体"/>
                <w:szCs w:val="21"/>
              </w:rPr>
              <w:t>目标3</w:t>
            </w:r>
          </w:p>
        </w:tc>
        <w:tc>
          <w:tcPr>
            <w:tcW w:w="1845" w:type="dxa"/>
            <w:vAlign w:val="center"/>
          </w:tcPr>
          <w:p w14:paraId="1DD92BBF">
            <w:pPr>
              <w:jc w:val="center"/>
              <w:rPr>
                <w:rFonts w:hint="eastAsia" w:ascii="宋体" w:hAnsi="宋体" w:eastAsia="宋体" w:cs="宋体"/>
                <w:szCs w:val="21"/>
              </w:rPr>
            </w:pPr>
            <w:r>
              <w:rPr>
                <w:rFonts w:hint="eastAsia" w:ascii="宋体" w:hAnsi="宋体" w:eastAsia="宋体" w:cs="宋体"/>
                <w:szCs w:val="21"/>
              </w:rPr>
              <w:t>1-1</w:t>
            </w:r>
          </w:p>
        </w:tc>
        <w:tc>
          <w:tcPr>
            <w:tcW w:w="855" w:type="dxa"/>
            <w:vAlign w:val="center"/>
          </w:tcPr>
          <w:p w14:paraId="2F700725">
            <w:pPr>
              <w:jc w:val="center"/>
              <w:rPr>
                <w:rFonts w:hint="eastAsia" w:ascii="宋体" w:hAnsi="宋体" w:eastAsia="宋体" w:cs="宋体"/>
                <w:szCs w:val="21"/>
              </w:rPr>
            </w:pPr>
            <w:r>
              <w:rPr>
                <w:rFonts w:hint="eastAsia" w:ascii="宋体" w:hAnsi="宋体" w:eastAsia="宋体" w:cs="宋体"/>
                <w:szCs w:val="21"/>
              </w:rPr>
              <w:t>1</w:t>
            </w:r>
          </w:p>
        </w:tc>
        <w:tc>
          <w:tcPr>
            <w:tcW w:w="1035" w:type="dxa"/>
            <w:vAlign w:val="center"/>
          </w:tcPr>
          <w:p w14:paraId="77CED83A">
            <w:pPr>
              <w:jc w:val="center"/>
              <w:rPr>
                <w:rFonts w:hint="eastAsia" w:ascii="宋体" w:hAnsi="宋体" w:eastAsia="宋体" w:cs="宋体"/>
                <w:szCs w:val="21"/>
              </w:rPr>
            </w:pPr>
            <w:r>
              <w:rPr>
                <w:rFonts w:hint="eastAsia" w:ascii="宋体" w:hAnsi="宋体" w:eastAsia="宋体" w:cs="宋体"/>
                <w:szCs w:val="21"/>
              </w:rPr>
              <w:t>0</w:t>
            </w:r>
          </w:p>
        </w:tc>
      </w:tr>
      <w:tr w14:paraId="1467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345" w:type="dxa"/>
            <w:gridSpan w:val="4"/>
            <w:vAlign w:val="center"/>
          </w:tcPr>
          <w:p w14:paraId="16219694">
            <w:pPr>
              <w:jc w:val="center"/>
              <w:rPr>
                <w:rFonts w:hint="eastAsia" w:ascii="宋体" w:hAnsi="宋体" w:eastAsia="宋体" w:cs="宋体"/>
                <w:szCs w:val="21"/>
              </w:rPr>
            </w:pPr>
            <w:r>
              <w:rPr>
                <w:rFonts w:hint="eastAsia" w:ascii="宋体" w:hAnsi="宋体" w:eastAsia="宋体" w:cs="宋体"/>
                <w:szCs w:val="21"/>
              </w:rPr>
              <w:t>合计</w:t>
            </w:r>
          </w:p>
        </w:tc>
        <w:tc>
          <w:tcPr>
            <w:tcW w:w="855" w:type="dxa"/>
            <w:vAlign w:val="center"/>
          </w:tcPr>
          <w:p w14:paraId="219A7BCB">
            <w:pPr>
              <w:jc w:val="center"/>
              <w:rPr>
                <w:rFonts w:hint="eastAsia" w:ascii="宋体" w:hAnsi="宋体" w:eastAsia="宋体" w:cs="宋体"/>
                <w:szCs w:val="21"/>
              </w:rPr>
            </w:pPr>
            <w:r>
              <w:rPr>
                <w:rFonts w:hint="eastAsia" w:ascii="宋体" w:hAnsi="宋体" w:eastAsia="宋体" w:cs="宋体"/>
                <w:szCs w:val="21"/>
              </w:rPr>
              <w:t>8</w:t>
            </w:r>
          </w:p>
        </w:tc>
        <w:tc>
          <w:tcPr>
            <w:tcW w:w="1035" w:type="dxa"/>
            <w:vAlign w:val="center"/>
          </w:tcPr>
          <w:p w14:paraId="3E8BCDEC">
            <w:pPr>
              <w:jc w:val="center"/>
              <w:rPr>
                <w:rFonts w:hint="eastAsia" w:ascii="宋体" w:hAnsi="宋体" w:eastAsia="宋体" w:cs="宋体"/>
                <w:szCs w:val="21"/>
              </w:rPr>
            </w:pPr>
            <w:r>
              <w:rPr>
                <w:rFonts w:hint="eastAsia" w:ascii="宋体" w:hAnsi="宋体" w:eastAsia="宋体" w:cs="宋体"/>
                <w:szCs w:val="21"/>
              </w:rPr>
              <w:t>0</w:t>
            </w:r>
          </w:p>
        </w:tc>
      </w:tr>
    </w:tbl>
    <w:p w14:paraId="6946E51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四、课程实施</w:t>
      </w:r>
    </w:p>
    <w:p w14:paraId="5FCE89E7">
      <w:pPr>
        <w:spacing w:line="360" w:lineRule="auto"/>
        <w:ind w:firstLine="420" w:firstLineChars="200"/>
        <w:rPr>
          <w:szCs w:val="21"/>
        </w:rPr>
      </w:pPr>
      <w:r>
        <w:rPr>
          <w:rFonts w:hint="eastAsia"/>
          <w:szCs w:val="21"/>
        </w:rPr>
        <w:t>（一）教学方法与教学手段</w:t>
      </w:r>
    </w:p>
    <w:p w14:paraId="118D3CC3">
      <w:pPr>
        <w:spacing w:line="360" w:lineRule="auto"/>
        <w:ind w:firstLine="630" w:firstLineChars="300"/>
        <w:rPr>
          <w:szCs w:val="21"/>
        </w:rPr>
      </w:pPr>
      <w:r>
        <w:rPr>
          <w:rFonts w:hint="eastAsia"/>
          <w:szCs w:val="21"/>
        </w:rPr>
        <w:t>1.通过采用启发式、讨论式、案例式以及专题式等多种教学方法，正确把握和认识国家安全的内涵，理解我国总体国家安全观；深刻认识国家安全的基本概念、历史背景与现实意义。通过能力和技能目标，为学生提供辨识风险、遵守法规、承担责任的关键素养，树立总体国家安全观，提高识别和防范各种安全风险的能力。</w:t>
      </w:r>
    </w:p>
    <w:p w14:paraId="7260B025">
      <w:pPr>
        <w:spacing w:line="360" w:lineRule="auto"/>
        <w:ind w:firstLine="630" w:firstLineChars="300"/>
        <w:rPr>
          <w:szCs w:val="21"/>
        </w:rPr>
      </w:pPr>
      <w:r>
        <w:rPr>
          <w:rFonts w:hint="eastAsia"/>
          <w:szCs w:val="21"/>
        </w:rPr>
        <w:t>2.通过采用多媒体教学手段，将线上与线下教学模式有机结合，不断提高思政课的针对性和吸引力，线上与线下相结合的方式进行教学，共16个学时，线上利用尔雅系统教学8学时，线下老师授课8学时，线下授课采用分班和多媒体教学，授课老师必须要有讲稿和课件。</w:t>
      </w:r>
    </w:p>
    <w:p w14:paraId="02527B33">
      <w:pPr>
        <w:spacing w:line="360" w:lineRule="auto"/>
        <w:ind w:firstLine="420" w:firstLineChars="200"/>
        <w:rPr>
          <w:szCs w:val="21"/>
        </w:rPr>
      </w:pPr>
      <w:r>
        <w:rPr>
          <w:rFonts w:hint="eastAsia"/>
          <w:szCs w:val="21"/>
        </w:rPr>
        <w:t>（二）教学质量要求</w:t>
      </w:r>
    </w:p>
    <w:p w14:paraId="314CFB77">
      <w:pPr>
        <w:spacing w:line="360" w:lineRule="auto"/>
        <w:ind w:firstLine="420" w:firstLineChars="200"/>
        <w:rPr>
          <w:szCs w:val="21"/>
        </w:rPr>
      </w:pPr>
      <w:r>
        <w:rPr>
          <w:rFonts w:hint="eastAsia"/>
          <w:szCs w:val="21"/>
        </w:rPr>
        <w:t>主要教学环节质量要求如表所示。</w:t>
      </w:r>
    </w:p>
    <w:tbl>
      <w:tblPr>
        <w:tblStyle w:val="11"/>
        <w:tblW w:w="8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220"/>
        <w:gridCol w:w="6426"/>
      </w:tblGrid>
      <w:tr w14:paraId="5384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049" w:type="dxa"/>
            <w:gridSpan w:val="2"/>
            <w:tcBorders>
              <w:top w:val="single" w:color="auto" w:sz="8" w:space="0"/>
              <w:left w:val="single" w:color="auto" w:sz="8" w:space="0"/>
              <w:right w:val="single" w:color="auto" w:sz="8" w:space="0"/>
            </w:tcBorders>
            <w:tcMar>
              <w:left w:w="28" w:type="dxa"/>
              <w:right w:w="28" w:type="dxa"/>
            </w:tcMar>
            <w:vAlign w:val="center"/>
          </w:tcPr>
          <w:p w14:paraId="7157D6F3">
            <w:pPr>
              <w:spacing w:line="360" w:lineRule="auto"/>
              <w:jc w:val="center"/>
              <w:rPr>
                <w:b/>
                <w:szCs w:val="21"/>
              </w:rPr>
            </w:pPr>
            <w:r>
              <w:rPr>
                <w:b/>
                <w:szCs w:val="21"/>
              </w:rPr>
              <w:t>主要教学环节</w:t>
            </w:r>
          </w:p>
        </w:tc>
        <w:tc>
          <w:tcPr>
            <w:tcW w:w="6426" w:type="dxa"/>
            <w:tcBorders>
              <w:top w:val="single" w:color="auto" w:sz="8" w:space="0"/>
              <w:left w:val="single" w:color="auto" w:sz="8" w:space="0"/>
              <w:right w:val="single" w:color="auto" w:sz="8" w:space="0"/>
            </w:tcBorders>
            <w:vAlign w:val="center"/>
          </w:tcPr>
          <w:p w14:paraId="51DE2D80">
            <w:pPr>
              <w:spacing w:line="360" w:lineRule="auto"/>
              <w:jc w:val="center"/>
              <w:rPr>
                <w:b/>
                <w:szCs w:val="21"/>
              </w:rPr>
            </w:pPr>
            <w:r>
              <w:rPr>
                <w:b/>
                <w:szCs w:val="21"/>
              </w:rPr>
              <w:t>质量</w:t>
            </w:r>
            <w:r>
              <w:rPr>
                <w:rFonts w:hint="eastAsia"/>
                <w:b/>
                <w:szCs w:val="21"/>
              </w:rPr>
              <w:t>要求</w:t>
            </w:r>
          </w:p>
        </w:tc>
      </w:tr>
      <w:tr w14:paraId="2B6E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829" w:type="dxa"/>
            <w:tcBorders>
              <w:left w:val="single" w:color="auto" w:sz="8" w:space="0"/>
            </w:tcBorders>
            <w:vAlign w:val="center"/>
          </w:tcPr>
          <w:p w14:paraId="185D9ADE">
            <w:pPr>
              <w:spacing w:line="360" w:lineRule="auto"/>
              <w:jc w:val="center"/>
              <w:rPr>
                <w:szCs w:val="21"/>
              </w:rPr>
            </w:pPr>
            <w:r>
              <w:rPr>
                <w:szCs w:val="21"/>
              </w:rPr>
              <w:t>1</w:t>
            </w:r>
          </w:p>
        </w:tc>
        <w:tc>
          <w:tcPr>
            <w:tcW w:w="1220" w:type="dxa"/>
            <w:tcMar>
              <w:left w:w="28" w:type="dxa"/>
              <w:right w:w="28" w:type="dxa"/>
            </w:tcMar>
            <w:vAlign w:val="center"/>
          </w:tcPr>
          <w:p w14:paraId="5A0AEF5E">
            <w:pPr>
              <w:spacing w:line="360" w:lineRule="auto"/>
              <w:jc w:val="center"/>
              <w:rPr>
                <w:szCs w:val="21"/>
              </w:rPr>
            </w:pPr>
            <w:r>
              <w:rPr>
                <w:szCs w:val="21"/>
              </w:rPr>
              <w:t>备课</w:t>
            </w:r>
          </w:p>
        </w:tc>
        <w:tc>
          <w:tcPr>
            <w:tcW w:w="6426" w:type="dxa"/>
            <w:tcBorders>
              <w:right w:val="single" w:color="auto" w:sz="8" w:space="0"/>
            </w:tcBorders>
            <w:vAlign w:val="center"/>
          </w:tcPr>
          <w:p w14:paraId="708DD63E">
            <w:pPr>
              <w:snapToGrid w:val="0"/>
              <w:spacing w:line="360" w:lineRule="auto"/>
              <w:ind w:firstLine="420" w:firstLineChars="200"/>
              <w:rPr>
                <w:rFonts w:hint="eastAsia" w:ascii="宋体" w:hAnsi="宋体"/>
                <w:szCs w:val="21"/>
              </w:rPr>
            </w:pPr>
            <w:r>
              <w:rPr>
                <w:rFonts w:hint="eastAsia" w:ascii="宋体" w:hAnsi="宋体"/>
                <w:szCs w:val="21"/>
              </w:rPr>
              <w:t>（1）掌握本课程教学大纲内容，严格按照教学大纲要求进行课程教学内容的组织。</w:t>
            </w:r>
          </w:p>
          <w:p w14:paraId="0C60F459">
            <w:pPr>
              <w:snapToGrid w:val="0"/>
              <w:spacing w:line="360" w:lineRule="auto"/>
              <w:ind w:firstLine="420" w:firstLineChars="200"/>
              <w:rPr>
                <w:rFonts w:hint="eastAsia" w:ascii="宋体" w:hAnsi="宋体"/>
                <w:szCs w:val="21"/>
              </w:rPr>
            </w:pPr>
            <w:r>
              <w:rPr>
                <w:rFonts w:hint="eastAsia" w:ascii="宋体" w:hAnsi="宋体"/>
                <w:szCs w:val="21"/>
              </w:rPr>
              <w:t>（2）熟悉教材各章节，借助相关专业书籍资料，并依据教学大纲编写授课计划，编写每次授课的教案。</w:t>
            </w:r>
          </w:p>
          <w:p w14:paraId="7E8ABC7D">
            <w:pPr>
              <w:spacing w:line="360" w:lineRule="auto"/>
              <w:rPr>
                <w:szCs w:val="21"/>
              </w:rPr>
            </w:pPr>
            <w:r>
              <w:rPr>
                <w:rFonts w:hint="eastAsia" w:ascii="宋体" w:hAnsi="宋体"/>
                <w:szCs w:val="21"/>
              </w:rPr>
              <w:t>（3）使用教育部统一课件授课，根据各部分教学内容，构思授课思路、技巧，选择合适的教学方法。</w:t>
            </w:r>
          </w:p>
        </w:tc>
      </w:tr>
      <w:tr w14:paraId="2129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29" w:type="dxa"/>
            <w:tcBorders>
              <w:left w:val="single" w:color="auto" w:sz="8" w:space="0"/>
            </w:tcBorders>
            <w:vAlign w:val="center"/>
          </w:tcPr>
          <w:p w14:paraId="3962EA1F">
            <w:pPr>
              <w:spacing w:line="360" w:lineRule="auto"/>
              <w:jc w:val="center"/>
              <w:rPr>
                <w:szCs w:val="21"/>
              </w:rPr>
            </w:pPr>
            <w:r>
              <w:rPr>
                <w:szCs w:val="21"/>
              </w:rPr>
              <w:t>2</w:t>
            </w:r>
          </w:p>
        </w:tc>
        <w:tc>
          <w:tcPr>
            <w:tcW w:w="1220" w:type="dxa"/>
            <w:tcMar>
              <w:left w:w="28" w:type="dxa"/>
              <w:right w:w="28" w:type="dxa"/>
            </w:tcMar>
            <w:vAlign w:val="center"/>
          </w:tcPr>
          <w:p w14:paraId="22BC8021">
            <w:pPr>
              <w:spacing w:line="360" w:lineRule="auto"/>
              <w:jc w:val="center"/>
              <w:rPr>
                <w:szCs w:val="21"/>
              </w:rPr>
            </w:pPr>
            <w:r>
              <w:rPr>
                <w:szCs w:val="21"/>
              </w:rPr>
              <w:t>讲授</w:t>
            </w:r>
          </w:p>
        </w:tc>
        <w:tc>
          <w:tcPr>
            <w:tcW w:w="6426" w:type="dxa"/>
            <w:tcBorders>
              <w:right w:val="single" w:color="auto" w:sz="8" w:space="0"/>
            </w:tcBorders>
            <w:vAlign w:val="center"/>
          </w:tcPr>
          <w:p w14:paraId="348C35CD">
            <w:pPr>
              <w:snapToGrid w:val="0"/>
              <w:spacing w:line="360" w:lineRule="auto"/>
              <w:ind w:firstLine="420" w:firstLineChars="200"/>
              <w:rPr>
                <w:rFonts w:hint="eastAsia" w:ascii="宋体" w:hAnsi="宋体"/>
                <w:szCs w:val="21"/>
              </w:rPr>
            </w:pPr>
            <w:r>
              <w:rPr>
                <w:rFonts w:hint="eastAsia" w:ascii="宋体" w:hAnsi="宋体"/>
                <w:szCs w:val="21"/>
              </w:rPr>
              <w:t>（1）要点准确、推理正确、条理清晰、重点突出，能够理论联系实际。</w:t>
            </w:r>
          </w:p>
          <w:p w14:paraId="01F8BBB7">
            <w:pPr>
              <w:snapToGrid w:val="0"/>
              <w:spacing w:line="360" w:lineRule="auto"/>
              <w:ind w:firstLine="420" w:firstLineChars="200"/>
              <w:rPr>
                <w:rFonts w:hint="eastAsia" w:ascii="宋体" w:hAnsi="宋体"/>
                <w:szCs w:val="21"/>
              </w:rPr>
            </w:pPr>
            <w:r>
              <w:rPr>
                <w:rFonts w:hint="eastAsia" w:ascii="宋体" w:hAnsi="宋体"/>
                <w:szCs w:val="21"/>
              </w:rPr>
              <w:t>（2）采用多种教学方式（如启发式教学、讨论式教学、案例分析教学等），培养学生的思想政治素质，注重培养学生发现、分析和解决问题的能力。</w:t>
            </w:r>
          </w:p>
          <w:p w14:paraId="3E45FE79">
            <w:pPr>
              <w:snapToGrid w:val="0"/>
              <w:spacing w:line="360" w:lineRule="auto"/>
              <w:ind w:firstLine="420" w:firstLineChars="200"/>
              <w:rPr>
                <w:rFonts w:hint="eastAsia" w:ascii="宋体" w:hAnsi="宋体"/>
                <w:szCs w:val="21"/>
              </w:rPr>
            </w:pPr>
            <w:r>
              <w:rPr>
                <w:rFonts w:hint="eastAsia" w:ascii="宋体" w:hAnsi="宋体"/>
                <w:szCs w:val="21"/>
              </w:rPr>
              <w:t>（3）能够采用现代信息技术辅助教学。</w:t>
            </w:r>
          </w:p>
          <w:p w14:paraId="1E403B22">
            <w:pPr>
              <w:spacing w:line="360" w:lineRule="auto"/>
              <w:rPr>
                <w:szCs w:val="21"/>
              </w:rPr>
            </w:pPr>
            <w:r>
              <w:rPr>
                <w:rFonts w:hint="eastAsia" w:ascii="宋体" w:hAnsi="宋体"/>
                <w:szCs w:val="21"/>
              </w:rPr>
              <w:t>（4）表达方式应能便于学生理解、接受，力求形象生动，使学生在掌握知识的过程中，保持较为浓厚的兴趣。</w:t>
            </w:r>
          </w:p>
        </w:tc>
      </w:tr>
      <w:tr w14:paraId="60ED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29" w:type="dxa"/>
            <w:tcBorders>
              <w:left w:val="single" w:color="auto" w:sz="8" w:space="0"/>
            </w:tcBorders>
            <w:vAlign w:val="center"/>
          </w:tcPr>
          <w:p w14:paraId="47077A13">
            <w:pPr>
              <w:spacing w:line="360" w:lineRule="auto"/>
              <w:jc w:val="center"/>
              <w:rPr>
                <w:szCs w:val="21"/>
              </w:rPr>
            </w:pPr>
            <w:r>
              <w:rPr>
                <w:szCs w:val="21"/>
              </w:rPr>
              <w:t>3</w:t>
            </w:r>
          </w:p>
        </w:tc>
        <w:tc>
          <w:tcPr>
            <w:tcW w:w="1220" w:type="dxa"/>
            <w:tcMar>
              <w:left w:w="28" w:type="dxa"/>
              <w:right w:w="28" w:type="dxa"/>
            </w:tcMar>
            <w:vAlign w:val="center"/>
          </w:tcPr>
          <w:p w14:paraId="04E2FEFA">
            <w:pPr>
              <w:spacing w:line="360" w:lineRule="auto"/>
              <w:jc w:val="center"/>
              <w:rPr>
                <w:szCs w:val="21"/>
                <w:highlight w:val="yellow"/>
              </w:rPr>
            </w:pPr>
            <w:r>
              <w:rPr>
                <w:szCs w:val="21"/>
              </w:rPr>
              <w:t>作业布置与批改</w:t>
            </w:r>
          </w:p>
        </w:tc>
        <w:tc>
          <w:tcPr>
            <w:tcW w:w="6426" w:type="dxa"/>
            <w:tcBorders>
              <w:right w:val="single" w:color="auto" w:sz="8" w:space="0"/>
            </w:tcBorders>
            <w:vAlign w:val="center"/>
          </w:tcPr>
          <w:p w14:paraId="135C68A8">
            <w:pPr>
              <w:spacing w:line="360" w:lineRule="auto"/>
              <w:ind w:firstLine="210" w:firstLineChars="100"/>
              <w:rPr>
                <w:szCs w:val="21"/>
              </w:rPr>
            </w:pPr>
            <w:r>
              <w:rPr>
                <w:rFonts w:hint="eastAsia"/>
                <w:szCs w:val="21"/>
              </w:rPr>
              <w:t>学生必须完成规定数量的作业，作业必须达到以下基本要求：</w:t>
            </w:r>
          </w:p>
          <w:p w14:paraId="5B27B279">
            <w:pPr>
              <w:spacing w:line="360" w:lineRule="auto"/>
              <w:ind w:firstLine="210" w:firstLineChars="100"/>
              <w:rPr>
                <w:szCs w:val="21"/>
              </w:rPr>
            </w:pPr>
            <w:r>
              <w:rPr>
                <w:rFonts w:hint="eastAsia"/>
                <w:szCs w:val="21"/>
              </w:rPr>
              <w:t>（1）按时按量完成作业，不缺交，不抄袭。</w:t>
            </w:r>
          </w:p>
          <w:p w14:paraId="1CF6A3B3">
            <w:pPr>
              <w:spacing w:line="360" w:lineRule="auto"/>
              <w:ind w:firstLine="210" w:firstLineChars="100"/>
              <w:rPr>
                <w:szCs w:val="21"/>
              </w:rPr>
            </w:pPr>
            <w:r>
              <w:rPr>
                <w:rFonts w:hint="eastAsia"/>
                <w:szCs w:val="21"/>
              </w:rPr>
              <w:t>（2）书写规范、清晰。</w:t>
            </w:r>
          </w:p>
          <w:p w14:paraId="3CF2D867">
            <w:pPr>
              <w:spacing w:line="360" w:lineRule="auto"/>
              <w:ind w:firstLine="210" w:firstLineChars="100"/>
              <w:rPr>
                <w:szCs w:val="21"/>
              </w:rPr>
            </w:pPr>
            <w:r>
              <w:rPr>
                <w:rFonts w:hint="eastAsia"/>
                <w:szCs w:val="21"/>
              </w:rPr>
              <w:t>教师批改作业要求如下：</w:t>
            </w:r>
          </w:p>
          <w:p w14:paraId="4B64C11B">
            <w:pPr>
              <w:spacing w:line="360" w:lineRule="auto"/>
              <w:ind w:firstLine="210" w:firstLineChars="100"/>
              <w:rPr>
                <w:szCs w:val="21"/>
              </w:rPr>
            </w:pPr>
            <w:r>
              <w:rPr>
                <w:rFonts w:hint="eastAsia"/>
                <w:szCs w:val="21"/>
              </w:rPr>
              <w:t>（3）学生的作业要按时全部批改，并及时进行讲评。</w:t>
            </w:r>
          </w:p>
          <w:p w14:paraId="735112E7">
            <w:pPr>
              <w:spacing w:line="360" w:lineRule="auto"/>
              <w:ind w:firstLine="210" w:firstLineChars="100"/>
              <w:rPr>
                <w:szCs w:val="21"/>
              </w:rPr>
            </w:pPr>
            <w:r>
              <w:rPr>
                <w:rFonts w:hint="eastAsia"/>
                <w:szCs w:val="21"/>
              </w:rPr>
              <w:t>（4）教师批改和讲评作业要认真、细致，按百分制评定成绩并写明日期 。</w:t>
            </w:r>
          </w:p>
          <w:p w14:paraId="084F2FEB">
            <w:pPr>
              <w:spacing w:line="360" w:lineRule="auto"/>
              <w:ind w:firstLine="210" w:firstLineChars="100"/>
              <w:rPr>
                <w:szCs w:val="21"/>
                <w:highlight w:val="yellow"/>
              </w:rPr>
            </w:pPr>
            <w:r>
              <w:rPr>
                <w:rFonts w:hint="eastAsia"/>
                <w:szCs w:val="21"/>
              </w:rPr>
              <w:t>（5）学生作业的平均成绩应作为本课程总评成绩中平时成绩的重要组 成部分。</w:t>
            </w:r>
          </w:p>
        </w:tc>
      </w:tr>
      <w:tr w14:paraId="4458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9" w:type="dxa"/>
            <w:tcBorders>
              <w:left w:val="single" w:color="auto" w:sz="8" w:space="0"/>
            </w:tcBorders>
            <w:vAlign w:val="center"/>
          </w:tcPr>
          <w:p w14:paraId="2358D4B7">
            <w:pPr>
              <w:spacing w:line="360" w:lineRule="auto"/>
              <w:jc w:val="center"/>
              <w:rPr>
                <w:szCs w:val="21"/>
              </w:rPr>
            </w:pPr>
            <w:r>
              <w:rPr>
                <w:rFonts w:hint="eastAsia"/>
                <w:szCs w:val="21"/>
              </w:rPr>
              <w:t>4</w:t>
            </w:r>
          </w:p>
        </w:tc>
        <w:tc>
          <w:tcPr>
            <w:tcW w:w="1220" w:type="dxa"/>
            <w:tcMar>
              <w:left w:w="28" w:type="dxa"/>
              <w:right w:w="28" w:type="dxa"/>
            </w:tcMar>
            <w:vAlign w:val="center"/>
          </w:tcPr>
          <w:p w14:paraId="21E53B30">
            <w:pPr>
              <w:spacing w:line="360" w:lineRule="auto"/>
              <w:jc w:val="center"/>
              <w:rPr>
                <w:szCs w:val="21"/>
                <w:highlight w:val="yellow"/>
              </w:rPr>
            </w:pPr>
            <w:r>
              <w:rPr>
                <w:szCs w:val="21"/>
              </w:rPr>
              <w:t>课外答疑</w:t>
            </w:r>
          </w:p>
        </w:tc>
        <w:tc>
          <w:tcPr>
            <w:tcW w:w="6426" w:type="dxa"/>
            <w:tcBorders>
              <w:right w:val="single" w:color="auto" w:sz="8" w:space="0"/>
            </w:tcBorders>
            <w:vAlign w:val="center"/>
          </w:tcPr>
          <w:p w14:paraId="721C5795">
            <w:pPr>
              <w:spacing w:line="360" w:lineRule="auto"/>
              <w:ind w:firstLine="210" w:firstLineChars="100"/>
              <w:rPr>
                <w:szCs w:val="21"/>
                <w:highlight w:val="yellow"/>
              </w:rPr>
            </w:pPr>
            <w:r>
              <w:rPr>
                <w:rFonts w:hint="eastAsia"/>
                <w:szCs w:val="21"/>
              </w:rPr>
              <w:t>为了解学生的学习情况，帮助学生更好地理解和消化所学知识、改进学习方法和思维方式，培养其独立思考问题的能力，任课教师需每周安排一定时间进行课外答疑与辅导。</w:t>
            </w:r>
          </w:p>
        </w:tc>
      </w:tr>
      <w:tr w14:paraId="21209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29" w:type="dxa"/>
            <w:tcBorders>
              <w:left w:val="single" w:color="auto" w:sz="8" w:space="0"/>
            </w:tcBorders>
            <w:vAlign w:val="center"/>
          </w:tcPr>
          <w:p w14:paraId="21167652">
            <w:pPr>
              <w:spacing w:line="360" w:lineRule="auto"/>
              <w:jc w:val="center"/>
              <w:rPr>
                <w:szCs w:val="21"/>
              </w:rPr>
            </w:pPr>
            <w:r>
              <w:rPr>
                <w:rFonts w:hint="eastAsia"/>
                <w:szCs w:val="21"/>
              </w:rPr>
              <w:t>5</w:t>
            </w:r>
          </w:p>
        </w:tc>
        <w:tc>
          <w:tcPr>
            <w:tcW w:w="1220" w:type="dxa"/>
            <w:tcMar>
              <w:left w:w="28" w:type="dxa"/>
              <w:right w:w="28" w:type="dxa"/>
            </w:tcMar>
            <w:vAlign w:val="center"/>
          </w:tcPr>
          <w:p w14:paraId="75C5E8F9">
            <w:pPr>
              <w:spacing w:line="360" w:lineRule="auto"/>
              <w:jc w:val="center"/>
              <w:rPr>
                <w:szCs w:val="21"/>
              </w:rPr>
            </w:pPr>
            <w:r>
              <w:rPr>
                <w:szCs w:val="21"/>
              </w:rPr>
              <w:t>成绩考核</w:t>
            </w:r>
          </w:p>
        </w:tc>
        <w:tc>
          <w:tcPr>
            <w:tcW w:w="6426" w:type="dxa"/>
            <w:tcBorders>
              <w:right w:val="single" w:color="auto" w:sz="8" w:space="0"/>
            </w:tcBorders>
            <w:vAlign w:val="center"/>
          </w:tcPr>
          <w:p w14:paraId="448799B5">
            <w:pPr>
              <w:spacing w:line="360" w:lineRule="auto"/>
              <w:ind w:firstLine="210" w:firstLineChars="100"/>
              <w:rPr>
                <w:szCs w:val="21"/>
              </w:rPr>
            </w:pPr>
            <w:r>
              <w:rPr>
                <w:rFonts w:hint="eastAsia"/>
                <w:szCs w:val="21"/>
              </w:rPr>
              <w:t>根据平时成绩和考试成绩确定</w:t>
            </w:r>
          </w:p>
        </w:tc>
      </w:tr>
    </w:tbl>
    <w:p w14:paraId="7AF3D8E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五、课程考核</w:t>
      </w:r>
    </w:p>
    <w:p w14:paraId="77D50BA1">
      <w:pPr>
        <w:spacing w:line="360" w:lineRule="auto"/>
        <w:ind w:firstLine="420" w:firstLineChars="200"/>
        <w:rPr>
          <w:szCs w:val="21"/>
        </w:rPr>
      </w:pPr>
      <w:r>
        <w:rPr>
          <w:rFonts w:hint="eastAsia"/>
          <w:szCs w:val="21"/>
        </w:rPr>
        <w:t>课程考核以线上、线下相结合方式进行，线上考核成绩由网络平台自动生成占总成绩的60%，其中在线视频观看占40%，在线视频测试作业占30%，在线期末考核占30%；线下考核以平时考勤、课堂表现为主，由授课老师负责评分，占总成绩的40%，授课老师统计线上学习成绩和线下考核成绩汇总后得出总成绩。</w:t>
      </w:r>
    </w:p>
    <w:p w14:paraId="432C071D">
      <w:pPr>
        <w:spacing w:line="360" w:lineRule="auto"/>
        <w:ind w:firstLine="420" w:firstLineChars="200"/>
        <w:rPr>
          <w:szCs w:val="21"/>
        </w:rPr>
      </w:pPr>
      <w:r>
        <w:rPr>
          <w:rFonts w:hint="eastAsia"/>
          <w:szCs w:val="21"/>
        </w:rPr>
        <w:t>具体内容和比例如表所示。</w:t>
      </w:r>
    </w:p>
    <w:tbl>
      <w:tblPr>
        <w:tblStyle w:val="11"/>
        <w:tblW w:w="8050" w:type="dxa"/>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860"/>
        <w:gridCol w:w="765"/>
        <w:gridCol w:w="3505"/>
      </w:tblGrid>
      <w:tr w14:paraId="3367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0" w:type="dxa"/>
            <w:shd w:val="clear" w:color="auto" w:fill="FFFFFF"/>
            <w:tcMar>
              <w:left w:w="57" w:type="dxa"/>
              <w:right w:w="57" w:type="dxa"/>
            </w:tcMar>
            <w:vAlign w:val="center"/>
          </w:tcPr>
          <w:p w14:paraId="0B19C578">
            <w:pPr>
              <w:pStyle w:val="30"/>
              <w:spacing w:line="360" w:lineRule="auto"/>
              <w:jc w:val="center"/>
              <w:rPr>
                <w:rFonts w:eastAsia="宋体"/>
                <w:szCs w:val="21"/>
              </w:rPr>
            </w:pPr>
            <w:r>
              <w:rPr>
                <w:rFonts w:eastAsia="宋体"/>
                <w:szCs w:val="21"/>
              </w:rPr>
              <w:t>成绩组成</w:t>
            </w:r>
          </w:p>
        </w:tc>
        <w:tc>
          <w:tcPr>
            <w:tcW w:w="1860" w:type="dxa"/>
            <w:shd w:val="clear" w:color="auto" w:fill="FFFFFF"/>
            <w:vAlign w:val="center"/>
          </w:tcPr>
          <w:p w14:paraId="76B94F94">
            <w:pPr>
              <w:pStyle w:val="30"/>
              <w:spacing w:line="360" w:lineRule="auto"/>
              <w:jc w:val="center"/>
              <w:rPr>
                <w:rFonts w:eastAsia="宋体"/>
                <w:szCs w:val="21"/>
              </w:rPr>
            </w:pPr>
            <w:r>
              <w:rPr>
                <w:rFonts w:eastAsia="宋体"/>
                <w:szCs w:val="21"/>
              </w:rPr>
              <w:t>考核/评价环节</w:t>
            </w:r>
          </w:p>
        </w:tc>
        <w:tc>
          <w:tcPr>
            <w:tcW w:w="765" w:type="dxa"/>
            <w:shd w:val="clear" w:color="auto" w:fill="FFFFFF"/>
            <w:vAlign w:val="center"/>
          </w:tcPr>
          <w:p w14:paraId="3E2EC971">
            <w:pPr>
              <w:pStyle w:val="30"/>
              <w:spacing w:line="360" w:lineRule="auto"/>
              <w:jc w:val="center"/>
              <w:rPr>
                <w:rFonts w:eastAsia="宋体"/>
                <w:szCs w:val="21"/>
              </w:rPr>
            </w:pPr>
            <w:r>
              <w:rPr>
                <w:rFonts w:hint="eastAsia" w:eastAsia="宋体"/>
                <w:szCs w:val="21"/>
              </w:rPr>
              <w:t>权重</w:t>
            </w:r>
          </w:p>
        </w:tc>
        <w:tc>
          <w:tcPr>
            <w:tcW w:w="3505" w:type="dxa"/>
            <w:shd w:val="clear" w:color="auto" w:fill="FFFFFF"/>
            <w:vAlign w:val="center"/>
          </w:tcPr>
          <w:p w14:paraId="23F2C473">
            <w:pPr>
              <w:pStyle w:val="30"/>
              <w:spacing w:line="360" w:lineRule="auto"/>
              <w:jc w:val="center"/>
              <w:rPr>
                <w:rFonts w:eastAsia="宋体"/>
                <w:szCs w:val="21"/>
              </w:rPr>
            </w:pPr>
            <w:r>
              <w:rPr>
                <w:rFonts w:eastAsia="宋体"/>
                <w:szCs w:val="21"/>
              </w:rPr>
              <w:t>考核/评价细则</w:t>
            </w:r>
          </w:p>
        </w:tc>
      </w:tr>
      <w:tr w14:paraId="0912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1920" w:type="dxa"/>
            <w:tcMar>
              <w:left w:w="57" w:type="dxa"/>
              <w:right w:w="57" w:type="dxa"/>
            </w:tcMar>
            <w:vAlign w:val="center"/>
          </w:tcPr>
          <w:p w14:paraId="1BED6AAB">
            <w:pPr>
              <w:pStyle w:val="30"/>
              <w:spacing w:line="360" w:lineRule="auto"/>
              <w:jc w:val="center"/>
              <w:rPr>
                <w:rFonts w:eastAsia="宋体"/>
                <w:szCs w:val="21"/>
              </w:rPr>
            </w:pPr>
            <w:r>
              <w:rPr>
                <w:rFonts w:eastAsia="宋体"/>
                <w:szCs w:val="21"/>
              </w:rPr>
              <w:t>平时成绩</w:t>
            </w:r>
          </w:p>
        </w:tc>
        <w:tc>
          <w:tcPr>
            <w:tcW w:w="1860" w:type="dxa"/>
            <w:vAlign w:val="center"/>
          </w:tcPr>
          <w:p w14:paraId="7E21E780">
            <w:pPr>
              <w:pStyle w:val="30"/>
              <w:spacing w:line="360" w:lineRule="auto"/>
              <w:rPr>
                <w:rFonts w:eastAsia="宋体"/>
                <w:szCs w:val="21"/>
              </w:rPr>
            </w:pPr>
            <w:r>
              <w:rPr>
                <w:rFonts w:hint="eastAsia" w:eastAsia="宋体"/>
                <w:szCs w:val="21"/>
              </w:rPr>
              <w:t>出勤、听讲情况</w:t>
            </w:r>
          </w:p>
        </w:tc>
        <w:tc>
          <w:tcPr>
            <w:tcW w:w="765" w:type="dxa"/>
            <w:vAlign w:val="center"/>
          </w:tcPr>
          <w:p w14:paraId="75BB2158">
            <w:pPr>
              <w:pStyle w:val="30"/>
              <w:spacing w:line="360" w:lineRule="auto"/>
              <w:jc w:val="center"/>
              <w:rPr>
                <w:rFonts w:eastAsia="宋体"/>
                <w:szCs w:val="21"/>
              </w:rPr>
            </w:pPr>
            <w:r>
              <w:rPr>
                <w:rFonts w:hint="eastAsia" w:eastAsia="宋体"/>
                <w:szCs w:val="21"/>
              </w:rPr>
              <w:t xml:space="preserve">40 </w:t>
            </w:r>
            <w:r>
              <w:rPr>
                <w:rFonts w:eastAsia="宋体"/>
                <w:szCs w:val="21"/>
              </w:rPr>
              <w:t>%</w:t>
            </w:r>
          </w:p>
        </w:tc>
        <w:tc>
          <w:tcPr>
            <w:tcW w:w="3505" w:type="dxa"/>
            <w:vAlign w:val="center"/>
          </w:tcPr>
          <w:p w14:paraId="26FB12F3">
            <w:pPr>
              <w:pStyle w:val="30"/>
              <w:spacing w:line="360" w:lineRule="auto"/>
              <w:rPr>
                <w:rFonts w:eastAsia="宋体"/>
                <w:szCs w:val="21"/>
              </w:rPr>
            </w:pPr>
            <w:r>
              <w:rPr>
                <w:rFonts w:hint="eastAsia" w:eastAsia="宋体"/>
                <w:color w:val="000000"/>
                <w:szCs w:val="21"/>
              </w:rPr>
              <w:t xml:space="preserve"> 检查出勤情况，观察听讲情况</w:t>
            </w:r>
          </w:p>
        </w:tc>
      </w:tr>
      <w:tr w14:paraId="18F1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920" w:type="dxa"/>
            <w:tcMar>
              <w:left w:w="57" w:type="dxa"/>
              <w:right w:w="57" w:type="dxa"/>
            </w:tcMar>
            <w:vAlign w:val="center"/>
          </w:tcPr>
          <w:p w14:paraId="2CF69A90">
            <w:pPr>
              <w:pStyle w:val="30"/>
              <w:spacing w:line="360" w:lineRule="auto"/>
              <w:jc w:val="center"/>
              <w:rPr>
                <w:rFonts w:eastAsia="宋体"/>
                <w:color w:val="FF0000"/>
                <w:szCs w:val="21"/>
              </w:rPr>
            </w:pPr>
            <w:r>
              <w:rPr>
                <w:rFonts w:eastAsia="宋体"/>
                <w:szCs w:val="21"/>
              </w:rPr>
              <w:t>期末考试</w:t>
            </w:r>
            <w:r>
              <w:rPr>
                <w:rFonts w:hint="eastAsia" w:eastAsia="宋体"/>
                <w:szCs w:val="21"/>
              </w:rPr>
              <w:t>成绩</w:t>
            </w:r>
          </w:p>
        </w:tc>
        <w:tc>
          <w:tcPr>
            <w:tcW w:w="1860" w:type="dxa"/>
            <w:vAlign w:val="center"/>
          </w:tcPr>
          <w:p w14:paraId="0B944063">
            <w:pPr>
              <w:pStyle w:val="30"/>
              <w:spacing w:line="360" w:lineRule="auto"/>
              <w:rPr>
                <w:rFonts w:eastAsia="宋体"/>
                <w:szCs w:val="21"/>
              </w:rPr>
            </w:pPr>
            <w:r>
              <w:rPr>
                <w:rFonts w:hint="eastAsia" w:eastAsia="宋体"/>
                <w:szCs w:val="21"/>
              </w:rPr>
              <w:t xml:space="preserve"> 线上考试成绩</w:t>
            </w:r>
          </w:p>
        </w:tc>
        <w:tc>
          <w:tcPr>
            <w:tcW w:w="765" w:type="dxa"/>
            <w:vAlign w:val="center"/>
          </w:tcPr>
          <w:p w14:paraId="5176C0AC">
            <w:pPr>
              <w:pStyle w:val="30"/>
              <w:spacing w:line="360" w:lineRule="auto"/>
              <w:jc w:val="center"/>
              <w:rPr>
                <w:rFonts w:eastAsia="宋体"/>
                <w:szCs w:val="21"/>
              </w:rPr>
            </w:pPr>
            <w:r>
              <w:rPr>
                <w:rFonts w:hint="eastAsia" w:eastAsia="宋体"/>
                <w:szCs w:val="21"/>
              </w:rPr>
              <w:t xml:space="preserve"> 60</w:t>
            </w:r>
            <w:r>
              <w:rPr>
                <w:rFonts w:eastAsia="宋体"/>
                <w:szCs w:val="21"/>
              </w:rPr>
              <w:t>%</w:t>
            </w:r>
            <w:r>
              <w:rPr>
                <w:rFonts w:hint="eastAsia" w:eastAsia="宋体"/>
                <w:szCs w:val="21"/>
              </w:rPr>
              <w:t xml:space="preserve"> </w:t>
            </w:r>
          </w:p>
        </w:tc>
        <w:tc>
          <w:tcPr>
            <w:tcW w:w="3505" w:type="dxa"/>
            <w:vAlign w:val="center"/>
          </w:tcPr>
          <w:p w14:paraId="53CA74DA">
            <w:pPr>
              <w:pStyle w:val="30"/>
              <w:spacing w:line="360" w:lineRule="auto"/>
              <w:rPr>
                <w:rFonts w:eastAsia="宋体"/>
                <w:color w:val="000000"/>
                <w:szCs w:val="21"/>
              </w:rPr>
            </w:pPr>
            <w:r>
              <w:rPr>
                <w:rFonts w:hint="eastAsia" w:eastAsia="宋体"/>
                <w:color w:val="000000"/>
                <w:szCs w:val="21"/>
              </w:rPr>
              <w:t xml:space="preserve"> 根据答题的正确度和完整度评分</w:t>
            </w:r>
          </w:p>
        </w:tc>
      </w:tr>
    </w:tbl>
    <w:p w14:paraId="0D21CB1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6478CCC7">
      <w:pPr>
        <w:autoSpaceDE w:val="0"/>
        <w:autoSpaceDN w:val="0"/>
        <w:adjustRightInd w:val="0"/>
        <w:spacing w:line="360" w:lineRule="auto"/>
        <w:ind w:firstLine="422" w:firstLineChars="200"/>
        <w:jc w:val="left"/>
        <w:rPr>
          <w:b/>
          <w:bCs/>
          <w:kern w:val="0"/>
          <w:szCs w:val="21"/>
        </w:rPr>
      </w:pPr>
      <w:r>
        <w:rPr>
          <w:rFonts w:hint="eastAsia"/>
          <w:b/>
          <w:bCs/>
          <w:kern w:val="0"/>
          <w:szCs w:val="21"/>
        </w:rPr>
        <w:t>（一）持续改进</w:t>
      </w:r>
    </w:p>
    <w:p w14:paraId="0954DA91">
      <w:pPr>
        <w:autoSpaceDE w:val="0"/>
        <w:autoSpaceDN w:val="0"/>
        <w:adjustRightInd w:val="0"/>
        <w:spacing w:line="360" w:lineRule="auto"/>
        <w:ind w:firstLine="420" w:firstLineChars="200"/>
        <w:jc w:val="left"/>
        <w:rPr>
          <w:kern w:val="0"/>
          <w:szCs w:val="21"/>
        </w:rPr>
      </w:pPr>
      <w:r>
        <w:rPr>
          <w:rFonts w:hint="eastAsia"/>
          <w:kern w:val="0"/>
          <w:szCs w:val="21"/>
        </w:rPr>
        <w:t>1.随时更新教材和教案，丰富授课内容。</w:t>
      </w:r>
    </w:p>
    <w:p w14:paraId="1751B236">
      <w:pPr>
        <w:autoSpaceDE w:val="0"/>
        <w:autoSpaceDN w:val="0"/>
        <w:adjustRightInd w:val="0"/>
        <w:spacing w:line="360" w:lineRule="auto"/>
        <w:ind w:firstLine="420" w:firstLineChars="200"/>
        <w:jc w:val="left"/>
        <w:rPr>
          <w:kern w:val="0"/>
          <w:szCs w:val="21"/>
        </w:rPr>
      </w:pPr>
      <w:r>
        <w:rPr>
          <w:rFonts w:hint="eastAsia"/>
          <w:kern w:val="0"/>
          <w:szCs w:val="21"/>
        </w:rPr>
        <w:t>2.创新教学方法与手段，提高教学质量。</w:t>
      </w:r>
    </w:p>
    <w:p w14:paraId="342E8AAC">
      <w:pPr>
        <w:autoSpaceDE w:val="0"/>
        <w:autoSpaceDN w:val="0"/>
        <w:adjustRightInd w:val="0"/>
        <w:spacing w:line="360" w:lineRule="auto"/>
        <w:ind w:firstLine="422" w:firstLineChars="200"/>
        <w:jc w:val="left"/>
        <w:rPr>
          <w:b/>
          <w:bCs/>
          <w:kern w:val="0"/>
          <w:szCs w:val="21"/>
        </w:rPr>
      </w:pPr>
      <w:r>
        <w:rPr>
          <w:rFonts w:hint="eastAsia"/>
          <w:b/>
          <w:bCs/>
          <w:kern w:val="0"/>
          <w:szCs w:val="21"/>
        </w:rPr>
        <w:t>（二）参与书目及学习资料</w:t>
      </w:r>
    </w:p>
    <w:p w14:paraId="788AC624">
      <w:pPr>
        <w:spacing w:line="360" w:lineRule="auto"/>
        <w:ind w:firstLine="420" w:firstLineChars="200"/>
        <w:jc w:val="left"/>
        <w:rPr>
          <w:kern w:val="0"/>
          <w:szCs w:val="21"/>
        </w:rPr>
      </w:pPr>
      <w:r>
        <w:rPr>
          <w:rFonts w:hint="eastAsia"/>
          <w:kern w:val="0"/>
          <w:szCs w:val="21"/>
        </w:rPr>
        <w:t>1.习近平:《高举中国特色社会主义伟大旗帜为全面建设社会主义现代化国家而团结奋斗在中国共产党第二十次全国代表大会上的报告》(2022年10月16日)，人民出版社2022年版。</w:t>
      </w:r>
      <w:r>
        <w:rPr>
          <w:rFonts w:hint="eastAsia"/>
          <w:kern w:val="0"/>
          <w:szCs w:val="21"/>
        </w:rPr>
        <w:br w:type="textWrapping"/>
      </w:r>
      <w:r>
        <w:rPr>
          <w:rFonts w:hint="eastAsia"/>
          <w:kern w:val="0"/>
          <w:szCs w:val="21"/>
        </w:rPr>
        <w:t xml:space="preserve">    2.习近平:《决胜全面建成小康社会夺取新时代中国特色社会主义伟大胜利-在中国共产党第十九次全国代表大会上的报告》(2017年10月18日)，人民出版社2017年版。</w:t>
      </w:r>
      <w:r>
        <w:rPr>
          <w:rFonts w:hint="eastAsia"/>
          <w:kern w:val="0"/>
          <w:szCs w:val="21"/>
        </w:rPr>
        <w:br w:type="textWrapping"/>
      </w:r>
      <w:r>
        <w:rPr>
          <w:rFonts w:hint="eastAsia"/>
          <w:kern w:val="0"/>
          <w:szCs w:val="21"/>
        </w:rPr>
        <w:t xml:space="preserve">    3.习近平:《始终把人民群众生命安全放在第一位》(2013年11月24日),《习近平谈治国理政》第一卷，外文出版社2018年版。</w:t>
      </w:r>
      <w:r>
        <w:rPr>
          <w:rFonts w:hint="eastAsia"/>
          <w:kern w:val="0"/>
          <w:szCs w:val="21"/>
        </w:rPr>
        <w:br w:type="textWrapping"/>
      </w:r>
      <w:r>
        <w:rPr>
          <w:rFonts w:hint="eastAsia"/>
          <w:kern w:val="0"/>
          <w:szCs w:val="21"/>
        </w:rPr>
        <w:t xml:space="preserve">    4.习近平:《坚持理性、协调、并进的核安全观》(2014年3月24日),《习近平谈治国理政》第一卷，外文出版社2018年版。</w:t>
      </w:r>
      <w:r>
        <w:rPr>
          <w:rFonts w:hint="eastAsia"/>
          <w:kern w:val="0"/>
          <w:szCs w:val="21"/>
        </w:rPr>
        <w:br w:type="textWrapping"/>
      </w:r>
      <w:r>
        <w:rPr>
          <w:rFonts w:hint="eastAsia"/>
          <w:kern w:val="0"/>
          <w:szCs w:val="21"/>
        </w:rPr>
        <w:t xml:space="preserve">    5.习近平:《坚持总体国家安全观》(2014年4月15日、2017年2月17日),《习近平著作选读》第一卷，人民出版社2023年版。</w:t>
      </w:r>
      <w:r>
        <w:rPr>
          <w:rFonts w:hint="eastAsia"/>
          <w:kern w:val="0"/>
          <w:szCs w:val="21"/>
        </w:rPr>
        <w:br w:type="textWrapping"/>
      </w:r>
      <w:r>
        <w:rPr>
          <w:rFonts w:hint="eastAsia"/>
          <w:kern w:val="0"/>
          <w:szCs w:val="21"/>
        </w:rPr>
        <w:t xml:space="preserve">     6.习近平:《切实维护国家安全和社会安定》(2014年4月25日),《习近平谈治国理政》第一卷，外文出版社2018年版。</w:t>
      </w:r>
      <w:r>
        <w:rPr>
          <w:rFonts w:hint="eastAsia"/>
          <w:kern w:val="0"/>
          <w:szCs w:val="21"/>
        </w:rPr>
        <w:br w:type="textWrapping"/>
      </w:r>
      <w:r>
        <w:rPr>
          <w:rFonts w:hint="eastAsia"/>
          <w:kern w:val="0"/>
          <w:szCs w:val="21"/>
        </w:rPr>
        <w:t xml:space="preserve">    7.习近平:《积极树立亚洲安全观，共创安全合作新局面》(2014年5月21日),《习近平谈治国理政》第一卷，外文出版社 2018 年版。</w:t>
      </w:r>
      <w:r>
        <w:rPr>
          <w:rFonts w:hint="eastAsia"/>
          <w:kern w:val="0"/>
          <w:szCs w:val="21"/>
        </w:rPr>
        <w:br w:type="textWrapping"/>
      </w:r>
      <w:r>
        <w:rPr>
          <w:rFonts w:hint="eastAsia"/>
          <w:kern w:val="0"/>
          <w:szCs w:val="21"/>
        </w:rPr>
        <w:t xml:space="preserve">    8.习近平:《不断增强人民群众获得感幸福感安全感》(2018年2月一2021年4月),《习近平著作选读》第二卷，人民出版社2023年版。</w:t>
      </w:r>
      <w:r>
        <w:rPr>
          <w:rFonts w:hint="eastAsia"/>
          <w:kern w:val="0"/>
          <w:szCs w:val="21"/>
        </w:rPr>
        <w:br w:type="textWrapping"/>
      </w:r>
      <w:r>
        <w:rPr>
          <w:rFonts w:hint="eastAsia"/>
          <w:kern w:val="0"/>
          <w:szCs w:val="21"/>
        </w:rPr>
        <w:t xml:space="preserve">    9.习近平:《坚持党对国家安全工作的绝对领》(2018年4月17日),《习近平谈治国理政》第三卷，外文出版社2020年版。</w:t>
      </w:r>
      <w:r>
        <w:rPr>
          <w:rFonts w:hint="eastAsia"/>
          <w:kern w:val="0"/>
          <w:szCs w:val="21"/>
        </w:rPr>
        <w:br w:type="textWrapping"/>
      </w:r>
      <w:r>
        <w:rPr>
          <w:rFonts w:hint="eastAsia"/>
          <w:kern w:val="0"/>
          <w:szCs w:val="21"/>
        </w:rPr>
        <w:t xml:space="preserve">    10.习近平:《维护政治安全、社会安定、人民安宁》(2019年1月15日),《习近平谈治国理政》第三卷，外文出版社2020年版。</w:t>
      </w:r>
      <w:r>
        <w:rPr>
          <w:rFonts w:hint="eastAsia"/>
          <w:kern w:val="0"/>
          <w:szCs w:val="21"/>
        </w:rPr>
        <w:br w:type="textWrapping"/>
      </w:r>
      <w:r>
        <w:rPr>
          <w:rFonts w:hint="eastAsia"/>
          <w:kern w:val="0"/>
          <w:szCs w:val="21"/>
        </w:rPr>
        <w:t xml:space="preserve">    11.习近平:《坚持底线思维，着力防范化解重大风险》(2019年1月日),《习近平著作选读》第二卷，人民出版社2023年版。</w:t>
      </w:r>
      <w:r>
        <w:rPr>
          <w:rFonts w:hint="eastAsia"/>
          <w:kern w:val="0"/>
          <w:szCs w:val="21"/>
        </w:rPr>
        <w:br w:type="textWrapping"/>
      </w:r>
      <w:r>
        <w:rPr>
          <w:rFonts w:hint="eastAsia"/>
          <w:kern w:val="0"/>
          <w:szCs w:val="21"/>
        </w:rPr>
        <w:t xml:space="preserve">    12.习近平:《贯彻总体国家安全观，构建大安全格局》(2020年12月11日),《习近平谈治国理政》第四卷，外文出版社2022年版。</w:t>
      </w:r>
      <w:r>
        <w:rPr>
          <w:rFonts w:hint="eastAsia"/>
          <w:kern w:val="0"/>
          <w:szCs w:val="21"/>
        </w:rPr>
        <w:br w:type="textWrapping"/>
      </w:r>
      <w:r>
        <w:rPr>
          <w:rFonts w:hint="eastAsia"/>
          <w:kern w:val="0"/>
          <w:szCs w:val="21"/>
        </w:rPr>
        <w:t xml:space="preserve">    13.习近平:《把国家发展建立在更加安全、更为可靠的基础之上》(2020年12月16日),《习近平谈治国理政》第四卷，外文出版社2022年版。</w:t>
      </w:r>
      <w:r>
        <w:rPr>
          <w:rFonts w:hint="eastAsia"/>
          <w:kern w:val="0"/>
          <w:szCs w:val="21"/>
        </w:rPr>
        <w:br w:type="textWrapping"/>
      </w:r>
      <w:r>
        <w:rPr>
          <w:rFonts w:hint="eastAsia"/>
          <w:kern w:val="0"/>
          <w:szCs w:val="21"/>
        </w:rPr>
        <w:tab/>
      </w:r>
      <w:r>
        <w:rPr>
          <w:rFonts w:hint="eastAsia"/>
          <w:kern w:val="0"/>
          <w:szCs w:val="21"/>
        </w:rPr>
        <w:t>14.习近平:《牢牢把住粮食安全主动权》(2020年12月28日),《习近平谈治国理政》第四卷，外文出版社2022年版。</w:t>
      </w:r>
      <w:r>
        <w:rPr>
          <w:rFonts w:hint="eastAsia"/>
          <w:kern w:val="0"/>
          <w:szCs w:val="21"/>
        </w:rPr>
        <w:br w:type="textWrapping"/>
      </w:r>
      <w:r>
        <w:rPr>
          <w:rFonts w:hint="eastAsia"/>
          <w:kern w:val="0"/>
          <w:szCs w:val="21"/>
        </w:rPr>
        <w:t xml:space="preserve">    15.习近平:《切实筑牢国家生物安全屏障》(2021年9月29日),《习近平谈治国理政》第四卷，外文出版社2022年版。</w:t>
      </w:r>
      <w:r>
        <w:rPr>
          <w:rFonts w:hint="eastAsia"/>
          <w:kern w:val="0"/>
          <w:szCs w:val="21"/>
        </w:rPr>
        <w:br w:type="textWrapping"/>
      </w:r>
      <w:r>
        <w:rPr>
          <w:rFonts w:hint="eastAsia"/>
          <w:kern w:val="0"/>
          <w:szCs w:val="21"/>
        </w:rPr>
        <w:t xml:space="preserve">    16.中共中央党史和文献研究院编:《习近平关于总体国家安全观论述摘编》，中央文献出版社2018 年版。</w:t>
      </w:r>
      <w:r>
        <w:rPr>
          <w:rFonts w:hint="eastAsia"/>
          <w:kern w:val="0"/>
          <w:szCs w:val="21"/>
        </w:rPr>
        <w:br w:type="textWrapping"/>
      </w:r>
      <w:r>
        <w:rPr>
          <w:rFonts w:hint="eastAsia"/>
          <w:kern w:val="0"/>
          <w:szCs w:val="21"/>
        </w:rPr>
        <w:t xml:space="preserve">    17.中共中央党史和文献研究院编:《习近平关于防范风险挑战、应对突发事件论述摘编》，中央文献出版社2020年版。</w:t>
      </w:r>
      <w:r>
        <w:rPr>
          <w:rFonts w:hint="eastAsia"/>
          <w:kern w:val="0"/>
          <w:szCs w:val="21"/>
        </w:rPr>
        <w:br w:type="textWrapping"/>
      </w:r>
      <w:r>
        <w:rPr>
          <w:rFonts w:hint="eastAsia"/>
          <w:kern w:val="0"/>
          <w:szCs w:val="21"/>
        </w:rPr>
        <w:t xml:space="preserve">     18.中共中央党史和文献研究院编:《习近平关于国家粮食安全论述摘编》，中央文献出版社2023年版。</w:t>
      </w:r>
      <w:r>
        <w:rPr>
          <w:rFonts w:hint="eastAsia"/>
          <w:kern w:val="0"/>
          <w:szCs w:val="21"/>
        </w:rPr>
        <w:br w:type="textWrapping"/>
      </w:r>
      <w:r>
        <w:rPr>
          <w:rFonts w:hint="eastAsia"/>
          <w:kern w:val="0"/>
          <w:szCs w:val="21"/>
        </w:rPr>
        <w:t xml:space="preserve">    19.中共中央宣传部、中央国家安全委员会办公室编:《总体国家安全观学习纲要》，学习出版社、人民出版社2022年版。</w:t>
      </w:r>
      <w:r>
        <w:rPr>
          <w:rFonts w:hint="eastAsia"/>
          <w:kern w:val="0"/>
          <w:szCs w:val="21"/>
        </w:rPr>
        <w:br w:type="textWrapping"/>
      </w:r>
      <w:r>
        <w:rPr>
          <w:rFonts w:hint="eastAsia"/>
          <w:kern w:val="0"/>
          <w:szCs w:val="21"/>
        </w:rPr>
        <w:t xml:space="preserve">    20.《总体国家安全观干部读本》编委会编著:《总体国家安全观干部读本》，人民出版社2016年版。</w:t>
      </w:r>
    </w:p>
    <w:p w14:paraId="7EE0553A">
      <w:pPr>
        <w:spacing w:line="360" w:lineRule="auto"/>
        <w:jc w:val="right"/>
        <w:rPr>
          <w:szCs w:val="21"/>
        </w:rPr>
      </w:pPr>
      <w:r>
        <w:rPr>
          <w:rFonts w:hint="eastAsia"/>
          <w:szCs w:val="21"/>
        </w:rPr>
        <w:t xml:space="preserve">                         </w:t>
      </w:r>
    </w:p>
    <w:p w14:paraId="7F327F89">
      <w:pPr>
        <w:spacing w:line="360" w:lineRule="auto"/>
        <w:ind w:firstLine="420" w:firstLineChars="200"/>
        <w:jc w:val="right"/>
        <w:rPr>
          <w:rFonts w:ascii="Calibri" w:hAnsi="Calibri" w:eastAsia="宋体" w:cs="Times New Roman"/>
          <w:szCs w:val="21"/>
        </w:rPr>
      </w:pPr>
      <w:r>
        <w:rPr>
          <w:rFonts w:hint="eastAsia" w:ascii="Calibri" w:hAnsi="Calibri" w:eastAsia="宋体" w:cs="Times New Roman"/>
          <w:szCs w:val="21"/>
        </w:rPr>
        <w:t xml:space="preserve"> 执笔人：陶辉俊</w:t>
      </w:r>
    </w:p>
    <w:p w14:paraId="4F53B982">
      <w:pPr>
        <w:spacing w:line="360" w:lineRule="auto"/>
        <w:ind w:firstLine="1050" w:firstLineChars="500"/>
        <w:jc w:val="right"/>
        <w:rPr>
          <w:rFonts w:ascii="Calibri" w:hAnsi="Calibri" w:eastAsia="宋体" w:cs="Times New Roman"/>
          <w:szCs w:val="21"/>
        </w:rPr>
      </w:pPr>
      <w:r>
        <w:rPr>
          <w:rFonts w:hint="eastAsia" w:ascii="Calibri" w:hAnsi="Calibri" w:eastAsia="宋体" w:cs="Times New Roman"/>
          <w:szCs w:val="21"/>
        </w:rPr>
        <w:t xml:space="preserve">                   制定人：高  静</w:t>
      </w:r>
    </w:p>
    <w:p w14:paraId="5A008B1D">
      <w:pPr>
        <w:spacing w:line="360" w:lineRule="auto"/>
        <w:jc w:val="right"/>
        <w:rPr>
          <w:rFonts w:ascii="Calibri" w:hAnsi="Calibri" w:eastAsia="宋体" w:cs="Times New Roman"/>
          <w:szCs w:val="21"/>
        </w:rPr>
      </w:pPr>
      <w:r>
        <w:rPr>
          <w:rFonts w:hint="eastAsia" w:ascii="Calibri" w:hAnsi="Calibri" w:eastAsia="宋体" w:cs="Times New Roman"/>
          <w:szCs w:val="21"/>
        </w:rPr>
        <w:t xml:space="preserve">                             审批人：周嘉禾</w:t>
      </w:r>
    </w:p>
    <w:p w14:paraId="61E5BE09">
      <w:pPr>
        <w:spacing w:line="360" w:lineRule="auto"/>
        <w:jc w:val="right"/>
        <w:rPr>
          <w:szCs w:val="21"/>
        </w:rPr>
      </w:pPr>
      <w:r>
        <w:rPr>
          <w:rFonts w:hint="eastAsia" w:ascii="Calibri" w:hAnsi="Calibri" w:eastAsia="宋体" w:cs="Times New Roman"/>
          <w:szCs w:val="21"/>
        </w:rPr>
        <w:t>审批时间：2025年8月</w:t>
      </w:r>
    </w:p>
    <w:p w14:paraId="45B84BB1">
      <w:pPr>
        <w:rPr>
          <w:rFonts w:ascii="Times New Roman" w:hAnsi="Times New Roman" w:eastAsia="宋体" w:cs="Times New Roman"/>
          <w:sz w:val="24"/>
        </w:rPr>
      </w:pPr>
      <w:r>
        <w:rPr>
          <w:rFonts w:ascii="Times New Roman" w:hAnsi="Times New Roman" w:eastAsia="宋体" w:cs="Times New Roman"/>
          <w:sz w:val="24"/>
        </w:rPr>
        <w:br w:type="page"/>
      </w:r>
    </w:p>
    <w:p w14:paraId="4A3C98C5">
      <w:pPr>
        <w:spacing w:line="360" w:lineRule="auto"/>
        <w:jc w:val="center"/>
        <w:outlineLvl w:val="0"/>
        <w:rPr>
          <w:rFonts w:ascii="Times New Roman" w:hAnsi="Times New Roman" w:eastAsia="宋体" w:cs="Times New Roman"/>
          <w:b/>
          <w:sz w:val="44"/>
          <w:szCs w:val="44"/>
        </w:rPr>
      </w:pPr>
      <w:bookmarkStart w:id="378" w:name="_Toc29641"/>
      <w:bookmarkStart w:id="379" w:name="_Toc30052"/>
      <w:bookmarkStart w:id="380" w:name="_Toc20072"/>
      <w:bookmarkStart w:id="381" w:name="_Toc29959"/>
      <w:bookmarkStart w:id="382" w:name="_Toc8160"/>
      <w:bookmarkStart w:id="383" w:name="_Toc29184"/>
      <w:bookmarkStart w:id="384" w:name="_Toc3460"/>
      <w:bookmarkStart w:id="385" w:name="_Toc30438"/>
      <w:r>
        <w:rPr>
          <w:rFonts w:hint="eastAsia" w:ascii="Times New Roman" w:hAnsi="Times New Roman" w:eastAsia="宋体" w:cs="Times New Roman"/>
          <w:b/>
          <w:sz w:val="44"/>
          <w:szCs w:val="44"/>
        </w:rPr>
        <w:t>《书写技能》课程教学大纲</w:t>
      </w:r>
      <w:bookmarkEnd w:id="378"/>
      <w:bookmarkEnd w:id="379"/>
      <w:bookmarkEnd w:id="380"/>
      <w:bookmarkEnd w:id="381"/>
      <w:bookmarkEnd w:id="382"/>
      <w:bookmarkEnd w:id="383"/>
      <w:bookmarkEnd w:id="384"/>
      <w:bookmarkEnd w:id="385"/>
    </w:p>
    <w:p w14:paraId="11BDA4BF">
      <w:pPr>
        <w:spacing w:line="360" w:lineRule="auto"/>
        <w:jc w:val="center"/>
        <w:rPr>
          <w:rFonts w:ascii="Times New Roman" w:hAnsi="Times New Roman" w:eastAsia="宋体" w:cs="Times New Roman"/>
          <w:b/>
          <w:bCs/>
          <w:sz w:val="28"/>
          <w:szCs w:val="28"/>
        </w:rPr>
      </w:pPr>
      <w:bookmarkStart w:id="386" w:name="_Toc29031"/>
      <w:bookmarkStart w:id="387" w:name="_Toc28745"/>
      <w:bookmarkStart w:id="388" w:name="_Toc21309"/>
      <w:bookmarkStart w:id="389" w:name="_Toc7741"/>
      <w:bookmarkStart w:id="390" w:name="_Toc17233"/>
      <w:bookmarkStart w:id="391" w:name="_Toc13615"/>
      <w:bookmarkStart w:id="392" w:name="_Toc10302"/>
      <w:r>
        <w:rPr>
          <w:rFonts w:hint="eastAsia" w:ascii="Times New Roman" w:hAnsi="Times New Roman" w:eastAsia="宋体" w:cs="Times New Roman"/>
          <w:b/>
          <w:bCs/>
          <w:sz w:val="28"/>
          <w:szCs w:val="28"/>
        </w:rPr>
        <w:t>（Handwriting）</w:t>
      </w:r>
      <w:bookmarkEnd w:id="386"/>
      <w:bookmarkEnd w:id="387"/>
      <w:bookmarkEnd w:id="388"/>
      <w:bookmarkEnd w:id="389"/>
      <w:bookmarkEnd w:id="390"/>
      <w:bookmarkEnd w:id="391"/>
      <w:bookmarkEnd w:id="392"/>
    </w:p>
    <w:p w14:paraId="3365EB6F">
      <w:pPr>
        <w:spacing w:line="360" w:lineRule="auto"/>
        <w:ind w:firstLine="422" w:firstLineChars="200"/>
        <w:jc w:val="left"/>
        <w:rPr>
          <w:rFonts w:hint="eastAsia" w:ascii="宋体" w:hAnsi="宋体" w:eastAsia="宋体" w:cs="宋体"/>
          <w:b/>
          <w:szCs w:val="21"/>
        </w:rPr>
      </w:pPr>
    </w:p>
    <w:p w14:paraId="6805D611">
      <w:pPr>
        <w:spacing w:line="360" w:lineRule="auto"/>
        <w:ind w:firstLine="482" w:firstLineChars="200"/>
        <w:jc w:val="left"/>
        <w:rPr>
          <w:rFonts w:ascii="Times New Roman" w:hAnsi="Times New Roman" w:eastAsia="宋体" w:cs="Times New Roman"/>
          <w:b/>
          <w:bCs/>
          <w:sz w:val="24"/>
        </w:rPr>
      </w:pPr>
      <w:r>
        <w:rPr>
          <w:rFonts w:hint="eastAsia" w:ascii="宋体" w:hAnsi="宋体" w:eastAsia="宋体" w:cs="宋体"/>
          <w:b/>
          <w:sz w:val="24"/>
        </w:rPr>
        <w:t>课程名称：</w:t>
      </w:r>
      <w:r>
        <w:rPr>
          <w:rFonts w:ascii="Times New Roman" w:hAnsi="Times New Roman" w:eastAsia="宋体" w:cs="Times New Roman"/>
          <w:b/>
          <w:bCs/>
          <w:szCs w:val="22"/>
        </w:rPr>
        <w:t>书写技能</w:t>
      </w:r>
    </w:p>
    <w:p w14:paraId="42F234B9">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课程代码：0701018</w:t>
      </w:r>
    </w:p>
    <w:p w14:paraId="60DD8249">
      <w:pPr>
        <w:spacing w:line="360" w:lineRule="auto"/>
        <w:ind w:firstLine="482" w:firstLineChars="200"/>
        <w:jc w:val="left"/>
        <w:rPr>
          <w:rFonts w:hint="eastAsia" w:ascii="宋体" w:hAnsi="宋体" w:eastAsia="宋体" w:cs="宋体"/>
          <w:sz w:val="24"/>
        </w:rPr>
      </w:pPr>
      <w:r>
        <w:rPr>
          <w:rFonts w:hint="eastAsia" w:ascii="宋体" w:hAnsi="宋体" w:eastAsia="宋体" w:cs="宋体"/>
          <w:b/>
          <w:sz w:val="24"/>
        </w:rPr>
        <w:t>学    分：2</w:t>
      </w:r>
    </w:p>
    <w:p w14:paraId="2CDC05A2">
      <w:pPr>
        <w:spacing w:line="360" w:lineRule="auto"/>
        <w:ind w:firstLine="482" w:firstLineChars="200"/>
        <w:jc w:val="left"/>
        <w:rPr>
          <w:rFonts w:hint="eastAsia" w:ascii="宋体" w:hAnsi="宋体" w:eastAsia="宋体" w:cs="宋体"/>
          <w:sz w:val="24"/>
        </w:rPr>
      </w:pPr>
      <w:r>
        <w:rPr>
          <w:rFonts w:hint="eastAsia" w:ascii="宋体" w:hAnsi="宋体" w:eastAsia="宋体" w:cs="宋体"/>
          <w:b/>
          <w:sz w:val="24"/>
        </w:rPr>
        <w:t>学    时：32</w:t>
      </w:r>
    </w:p>
    <w:p w14:paraId="0FD0ECE6">
      <w:pPr>
        <w:spacing w:line="360" w:lineRule="auto"/>
        <w:ind w:firstLine="482" w:firstLineChars="200"/>
        <w:jc w:val="left"/>
        <w:rPr>
          <w:rFonts w:hint="eastAsia" w:ascii="宋体" w:hAnsi="宋体" w:eastAsia="宋体" w:cs="宋体"/>
          <w:sz w:val="24"/>
        </w:rPr>
      </w:pPr>
      <w:r>
        <w:rPr>
          <w:rFonts w:hint="eastAsia" w:ascii="宋体" w:hAnsi="宋体" w:eastAsia="宋体" w:cs="宋体"/>
          <w:b/>
          <w:sz w:val="24"/>
        </w:rPr>
        <w:t>先修课程：无</w:t>
      </w:r>
    </w:p>
    <w:p w14:paraId="5D1CED3F">
      <w:pPr>
        <w:spacing w:line="360" w:lineRule="auto"/>
        <w:ind w:firstLine="482" w:firstLineChars="200"/>
        <w:jc w:val="left"/>
        <w:rPr>
          <w:rFonts w:ascii="Times New Roman" w:hAnsi="Times New Roman" w:eastAsia="宋体" w:cs="Times New Roman"/>
          <w:b/>
          <w:sz w:val="24"/>
        </w:rPr>
      </w:pPr>
      <w:r>
        <w:rPr>
          <w:rFonts w:hint="eastAsia" w:ascii="宋体" w:hAnsi="宋体" w:eastAsia="宋体" w:cs="宋体"/>
          <w:b/>
          <w:sz w:val="24"/>
        </w:rPr>
        <w:t>适用专业：小学教育</w:t>
      </w:r>
    </w:p>
    <w:p w14:paraId="39C684D8">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0FE32F15">
      <w:pPr>
        <w:autoSpaceDE w:val="0"/>
        <w:autoSpaceDN w:val="0"/>
        <w:adjustRightInd w:val="0"/>
        <w:spacing w:line="360" w:lineRule="auto"/>
        <w:ind w:firstLine="420" w:firstLineChars="200"/>
        <w:jc w:val="left"/>
        <w:rPr>
          <w:rFonts w:hint="eastAsia" w:ascii="宋体" w:hAnsi="宋体" w:eastAsia="宋体" w:cs="宋体"/>
          <w:szCs w:val="21"/>
        </w:rPr>
      </w:pPr>
      <w:r>
        <w:rPr>
          <w:rFonts w:hint="eastAsia" w:ascii="宋体" w:hAnsi="宋体" w:eastAsia="宋体" w:cs="宋体"/>
          <w:kern w:val="0"/>
          <w:szCs w:val="21"/>
        </w:rPr>
        <w:t>本课程是</w:t>
      </w:r>
      <w:r>
        <w:rPr>
          <w:rFonts w:hint="eastAsia" w:ascii="宋体" w:hAnsi="宋体" w:eastAsia="宋体" w:cs="宋体"/>
          <w:bCs/>
          <w:kern w:val="0"/>
          <w:szCs w:val="21"/>
        </w:rPr>
        <w:t>小学教育</w:t>
      </w:r>
      <w:r>
        <w:rPr>
          <w:rFonts w:hint="eastAsia" w:ascii="宋体" w:hAnsi="宋体" w:eastAsia="宋体" w:cs="宋体"/>
          <w:kern w:val="0"/>
          <w:szCs w:val="21"/>
        </w:rPr>
        <w:t>专业的专业选修课</w:t>
      </w:r>
      <w:r>
        <w:rPr>
          <w:rFonts w:hint="eastAsia" w:ascii="宋体" w:hAnsi="宋体" w:eastAsia="宋体" w:cs="宋体"/>
          <w:szCs w:val="21"/>
        </w:rPr>
        <w:t>。本课程坚持立德树人的根本宗旨，坚持课程思政的教育理念。通过课堂和课外的练习，使学生的书写水平有明显提高，掌握硬笔楷书书写、黑板粉笔字楷书书写的基本技能，满足工作的日常需要。</w:t>
      </w:r>
    </w:p>
    <w:p w14:paraId="1991FF9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1106F7DC">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（一）课程具体目标</w:t>
      </w:r>
    </w:p>
    <w:p w14:paraId="535F68A5">
      <w:pPr>
        <w:autoSpaceDE w:val="0"/>
        <w:autoSpaceDN w:val="0"/>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目标1. 通过讲解和训练，要求学生进一步认识写好汉字的重要意义。体会书法是中华民族传统文化的瑰宝，培养爱国主义精神。</w:t>
      </w:r>
    </w:p>
    <w:p w14:paraId="0E3E64DA">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目标2. 学会掌握汉字的点画、形体和书写特点。</w:t>
      </w:r>
    </w:p>
    <w:p w14:paraId="0AAFA9AF">
      <w:pPr>
        <w:adjustRightInd w:val="0"/>
        <w:snapToGrid w:val="0"/>
        <w:spacing w:line="360" w:lineRule="auto"/>
        <w:ind w:firstLine="420" w:firstLineChars="200"/>
        <w:rPr>
          <w:rFonts w:hint="eastAsia" w:ascii="等线" w:hAnsi="等线" w:eastAsia="等线" w:cs="Times New Roman"/>
          <w:szCs w:val="21"/>
        </w:rPr>
      </w:pPr>
      <w:r>
        <w:rPr>
          <w:rFonts w:hint="eastAsia" w:ascii="宋体" w:hAnsi="宋体" w:eastAsia="宋体" w:cs="宋体"/>
          <w:szCs w:val="21"/>
        </w:rPr>
        <w:t>目标3. 掌握硬笔书写技能，在此基础上学习掌握提高粉笔书写技能。</w:t>
      </w:r>
    </w:p>
    <w:p w14:paraId="100D51AE">
      <w:pPr>
        <w:pStyle w:val="31"/>
        <w:spacing w:line="360" w:lineRule="auto"/>
        <w:ind w:left="420" w:firstLine="0" w:firstLineChars="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5832"/>
        <w:gridCol w:w="1221"/>
      </w:tblGrid>
      <w:tr w14:paraId="7633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vAlign w:val="center"/>
          </w:tcPr>
          <w:p w14:paraId="6A032F0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832" w:type="dxa"/>
            <w:vAlign w:val="center"/>
          </w:tcPr>
          <w:p w14:paraId="173080A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21" w:type="dxa"/>
            <w:vAlign w:val="center"/>
          </w:tcPr>
          <w:p w14:paraId="3AC36CD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C57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7" w:type="dxa"/>
            <w:vAlign w:val="center"/>
          </w:tcPr>
          <w:p w14:paraId="29C92882">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毕业要求4.</w:t>
            </w:r>
          </w:p>
          <w:p w14:paraId="2523DAD2">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教学能力</w:t>
            </w:r>
          </w:p>
        </w:tc>
        <w:tc>
          <w:tcPr>
            <w:tcW w:w="5832" w:type="dxa"/>
            <w:vAlign w:val="center"/>
          </w:tcPr>
          <w:p w14:paraId="6B8E6ABA">
            <w:pPr>
              <w:spacing w:line="276" w:lineRule="auto"/>
              <w:jc w:val="left"/>
              <w:rPr>
                <w:rFonts w:hint="eastAsia" w:ascii="宋体" w:hAnsi="宋体" w:eastAsia="宋体" w:cs="宋体"/>
                <w:szCs w:val="21"/>
              </w:rPr>
            </w:pPr>
            <w:r>
              <w:rPr>
                <w:rFonts w:hint="eastAsia" w:ascii="宋体" w:hAnsi="宋体" w:eastAsia="宋体" w:cs="宋体"/>
                <w:b/>
                <w:kern w:val="0"/>
                <w:szCs w:val="21"/>
              </w:rPr>
              <w:t>指标点4-3</w:t>
            </w:r>
            <w:r>
              <w:rPr>
                <w:rFonts w:hint="eastAsia" w:ascii="宋体" w:hAnsi="宋体" w:eastAsia="宋体" w:cs="宋体"/>
                <w:kern w:val="0"/>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221" w:type="dxa"/>
            <w:vAlign w:val="center"/>
          </w:tcPr>
          <w:p w14:paraId="51A14380">
            <w:pPr>
              <w:spacing w:line="276" w:lineRule="auto"/>
              <w:jc w:val="left"/>
              <w:rPr>
                <w:rFonts w:hint="eastAsia" w:ascii="宋体" w:hAnsi="宋体" w:eastAsia="宋体" w:cs="宋体"/>
                <w:szCs w:val="21"/>
              </w:rPr>
            </w:pPr>
            <w:r>
              <w:rPr>
                <w:rFonts w:hint="eastAsia" w:ascii="宋体" w:hAnsi="宋体" w:eastAsia="宋体" w:cs="宋体"/>
                <w:szCs w:val="21"/>
              </w:rPr>
              <w:t>课程目标</w:t>
            </w:r>
          </w:p>
          <w:p w14:paraId="32A76EED">
            <w:pPr>
              <w:spacing w:line="276" w:lineRule="auto"/>
              <w:jc w:val="left"/>
              <w:rPr>
                <w:rFonts w:hint="eastAsia" w:ascii="宋体" w:hAnsi="宋体" w:eastAsia="宋体" w:cs="宋体"/>
                <w:szCs w:val="21"/>
              </w:rPr>
            </w:pPr>
            <w:r>
              <w:rPr>
                <w:rFonts w:hint="eastAsia" w:ascii="宋体" w:hAnsi="宋体" w:eastAsia="宋体" w:cs="宋体"/>
                <w:szCs w:val="21"/>
                <w:lang w:eastAsia="zh"/>
              </w:rPr>
              <w:t>1</w:t>
            </w:r>
            <w:r>
              <w:rPr>
                <w:rFonts w:hint="eastAsia" w:ascii="宋体" w:hAnsi="宋体" w:eastAsia="宋体" w:cs="宋体"/>
                <w:szCs w:val="21"/>
              </w:rPr>
              <w:t>、2、3</w:t>
            </w:r>
          </w:p>
        </w:tc>
      </w:tr>
    </w:tbl>
    <w:p w14:paraId="1AC0AC71">
      <w:pPr>
        <w:spacing w:line="360" w:lineRule="auto"/>
        <w:ind w:firstLine="412"/>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6CA43A79">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w:t>
      </w:r>
      <w:r>
        <w:rPr>
          <w:rFonts w:hint="eastAsia" w:ascii="宋体" w:hAnsi="宋体" w:eastAsia="等线" w:cs="Times New Roman"/>
          <w:szCs w:val="21"/>
        </w:rPr>
        <w:t>。</w:t>
      </w:r>
    </w:p>
    <w:p w14:paraId="7364227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2475"/>
        <w:gridCol w:w="1080"/>
        <w:gridCol w:w="2978"/>
        <w:gridCol w:w="1432"/>
        <w:gridCol w:w="438"/>
      </w:tblGrid>
      <w:tr w14:paraId="5CFE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Align w:val="center"/>
          </w:tcPr>
          <w:p w14:paraId="638B7929">
            <w:pPr>
              <w:jc w:val="center"/>
              <w:rPr>
                <w:rFonts w:hint="eastAsia" w:ascii="宋体" w:hAnsi="宋体" w:eastAsia="宋体" w:cs="宋体"/>
                <w:b/>
                <w:szCs w:val="21"/>
              </w:rPr>
            </w:pPr>
            <w:r>
              <w:rPr>
                <w:rFonts w:hint="eastAsia" w:ascii="宋体" w:hAnsi="宋体" w:eastAsia="宋体" w:cs="宋体"/>
                <w:b/>
                <w:szCs w:val="21"/>
              </w:rPr>
              <w:t>知识</w:t>
            </w:r>
          </w:p>
          <w:p w14:paraId="78B407D0">
            <w:pPr>
              <w:jc w:val="center"/>
              <w:rPr>
                <w:rFonts w:hint="eastAsia" w:ascii="宋体" w:hAnsi="宋体" w:eastAsia="宋体" w:cs="宋体"/>
                <w:b/>
                <w:szCs w:val="21"/>
              </w:rPr>
            </w:pPr>
            <w:r>
              <w:rPr>
                <w:rFonts w:hint="eastAsia" w:ascii="宋体" w:hAnsi="宋体" w:eastAsia="宋体" w:cs="宋体"/>
                <w:b/>
                <w:szCs w:val="21"/>
              </w:rPr>
              <w:t>单元</w:t>
            </w:r>
          </w:p>
        </w:tc>
        <w:tc>
          <w:tcPr>
            <w:tcW w:w="2475" w:type="dxa"/>
            <w:vAlign w:val="center"/>
          </w:tcPr>
          <w:p w14:paraId="2D9CA250">
            <w:pPr>
              <w:jc w:val="center"/>
              <w:rPr>
                <w:rFonts w:hint="eastAsia" w:ascii="宋体" w:hAnsi="宋体" w:eastAsia="宋体" w:cs="宋体"/>
                <w:b/>
                <w:szCs w:val="21"/>
              </w:rPr>
            </w:pPr>
            <w:r>
              <w:rPr>
                <w:rFonts w:hint="eastAsia" w:ascii="宋体" w:hAnsi="宋体" w:eastAsia="宋体" w:cs="宋体"/>
                <w:b/>
                <w:szCs w:val="21"/>
              </w:rPr>
              <w:t>知识点</w:t>
            </w:r>
          </w:p>
        </w:tc>
        <w:tc>
          <w:tcPr>
            <w:tcW w:w="1080" w:type="dxa"/>
            <w:vAlign w:val="center"/>
          </w:tcPr>
          <w:p w14:paraId="6D0B9254">
            <w:pPr>
              <w:jc w:val="center"/>
              <w:rPr>
                <w:rFonts w:hint="eastAsia" w:ascii="宋体" w:hAnsi="宋体" w:eastAsia="宋体" w:cs="宋体"/>
                <w:b/>
                <w:szCs w:val="21"/>
              </w:rPr>
            </w:pPr>
            <w:r>
              <w:rPr>
                <w:rFonts w:hint="eastAsia" w:ascii="宋体" w:hAnsi="宋体" w:eastAsia="宋体" w:cs="宋体"/>
                <w:b/>
                <w:szCs w:val="21"/>
              </w:rPr>
              <w:t>对应</w:t>
            </w:r>
          </w:p>
          <w:p w14:paraId="6FF9945A">
            <w:pPr>
              <w:jc w:val="center"/>
              <w:rPr>
                <w:rFonts w:hint="eastAsia" w:ascii="宋体" w:hAnsi="宋体" w:eastAsia="宋体" w:cs="宋体"/>
                <w:b/>
                <w:szCs w:val="21"/>
              </w:rPr>
            </w:pPr>
            <w:r>
              <w:rPr>
                <w:rFonts w:hint="eastAsia" w:ascii="宋体" w:hAnsi="宋体" w:eastAsia="宋体" w:cs="宋体"/>
                <w:b/>
                <w:szCs w:val="21"/>
              </w:rPr>
              <w:t>课程目标</w:t>
            </w:r>
          </w:p>
        </w:tc>
        <w:tc>
          <w:tcPr>
            <w:tcW w:w="2978" w:type="dxa"/>
            <w:vAlign w:val="center"/>
          </w:tcPr>
          <w:p w14:paraId="54BD3A01">
            <w:pPr>
              <w:jc w:val="center"/>
              <w:rPr>
                <w:rFonts w:hint="eastAsia" w:ascii="宋体" w:hAnsi="宋体" w:eastAsia="宋体" w:cs="宋体"/>
                <w:b/>
                <w:szCs w:val="21"/>
              </w:rPr>
            </w:pPr>
            <w:r>
              <w:rPr>
                <w:rFonts w:hint="eastAsia" w:ascii="宋体" w:hAnsi="宋体" w:eastAsia="宋体" w:cs="宋体"/>
                <w:b/>
                <w:szCs w:val="21"/>
              </w:rPr>
              <w:t>预期学习成效</w:t>
            </w:r>
          </w:p>
        </w:tc>
        <w:tc>
          <w:tcPr>
            <w:tcW w:w="1432" w:type="dxa"/>
            <w:vAlign w:val="center"/>
          </w:tcPr>
          <w:p w14:paraId="7A671532">
            <w:pPr>
              <w:jc w:val="center"/>
              <w:rPr>
                <w:rFonts w:hint="eastAsia" w:ascii="宋体" w:hAnsi="宋体" w:eastAsia="宋体" w:cs="宋体"/>
                <w:b/>
                <w:szCs w:val="21"/>
              </w:rPr>
            </w:pPr>
            <w:r>
              <w:rPr>
                <w:rFonts w:hint="eastAsia" w:ascii="宋体" w:hAnsi="宋体" w:eastAsia="宋体" w:cs="宋体"/>
                <w:b/>
                <w:szCs w:val="21"/>
              </w:rPr>
              <w:t>实现环节</w:t>
            </w:r>
          </w:p>
        </w:tc>
        <w:tc>
          <w:tcPr>
            <w:tcW w:w="438" w:type="dxa"/>
            <w:vAlign w:val="center"/>
          </w:tcPr>
          <w:p w14:paraId="5FA52163">
            <w:pPr>
              <w:jc w:val="center"/>
              <w:rPr>
                <w:rFonts w:hint="eastAsia" w:ascii="宋体" w:hAnsi="宋体" w:eastAsia="宋体" w:cs="宋体"/>
                <w:b/>
                <w:szCs w:val="21"/>
              </w:rPr>
            </w:pPr>
            <w:r>
              <w:rPr>
                <w:rFonts w:hint="eastAsia" w:ascii="宋体" w:hAnsi="宋体" w:eastAsia="宋体" w:cs="宋体"/>
                <w:b/>
                <w:szCs w:val="21"/>
              </w:rPr>
              <w:t>学时</w:t>
            </w:r>
          </w:p>
        </w:tc>
      </w:tr>
      <w:tr w14:paraId="55D5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vAlign w:val="center"/>
          </w:tcPr>
          <w:p w14:paraId="35377E78">
            <w:pPr>
              <w:adjustRightInd w:val="0"/>
              <w:snapToGrid w:val="0"/>
              <w:jc w:val="center"/>
              <w:rPr>
                <w:rFonts w:hint="eastAsia" w:ascii="宋体" w:hAnsi="宋体" w:eastAsia="宋体" w:cs="宋体"/>
                <w:b/>
                <w:bCs/>
                <w:szCs w:val="21"/>
              </w:rPr>
            </w:pPr>
            <w:r>
              <w:rPr>
                <w:rFonts w:hint="eastAsia" w:ascii="宋体" w:hAnsi="宋体" w:eastAsia="宋体" w:cs="宋体"/>
                <w:szCs w:val="21"/>
              </w:rPr>
              <w:t>1.绪论</w:t>
            </w:r>
          </w:p>
          <w:p w14:paraId="2CFB91B2">
            <w:pPr>
              <w:jc w:val="center"/>
              <w:rPr>
                <w:rFonts w:hint="eastAsia" w:ascii="宋体" w:hAnsi="宋体" w:eastAsia="宋体" w:cs="宋体"/>
                <w:szCs w:val="21"/>
              </w:rPr>
            </w:pPr>
          </w:p>
        </w:tc>
        <w:tc>
          <w:tcPr>
            <w:tcW w:w="2475" w:type="dxa"/>
            <w:vAlign w:val="center"/>
          </w:tcPr>
          <w:p w14:paraId="4A1113CF">
            <w:pPr>
              <w:adjustRightInd w:val="0"/>
              <w:snapToGrid w:val="0"/>
              <w:rPr>
                <w:rFonts w:hint="eastAsia" w:ascii="宋体" w:hAnsi="宋体" w:eastAsia="宋体" w:cs="宋体"/>
                <w:szCs w:val="21"/>
              </w:rPr>
            </w:pPr>
            <w:r>
              <w:rPr>
                <w:rFonts w:hint="eastAsia" w:ascii="宋体" w:hAnsi="宋体" w:eastAsia="宋体" w:cs="宋体"/>
                <w:szCs w:val="21"/>
              </w:rPr>
              <w:t>（1）硬笔书法的作用、特点</w:t>
            </w:r>
          </w:p>
          <w:p w14:paraId="0C31C43E">
            <w:pPr>
              <w:adjustRightInd w:val="0"/>
              <w:snapToGrid w:val="0"/>
              <w:rPr>
                <w:rFonts w:hint="eastAsia" w:ascii="宋体" w:hAnsi="宋体" w:eastAsia="宋体" w:cs="宋体"/>
                <w:szCs w:val="21"/>
              </w:rPr>
            </w:pPr>
            <w:r>
              <w:rPr>
                <w:rFonts w:hint="eastAsia" w:ascii="宋体" w:hAnsi="宋体" w:eastAsia="宋体" w:cs="宋体"/>
                <w:szCs w:val="21"/>
              </w:rPr>
              <w:t>（2）硬笔书法与毛笔书法的区别与联系</w:t>
            </w:r>
          </w:p>
          <w:p w14:paraId="6C424268">
            <w:pPr>
              <w:adjustRightInd w:val="0"/>
              <w:snapToGrid w:val="0"/>
              <w:rPr>
                <w:rFonts w:hint="eastAsia" w:ascii="宋体" w:hAnsi="宋体" w:eastAsia="宋体" w:cs="宋体"/>
                <w:szCs w:val="21"/>
              </w:rPr>
            </w:pPr>
            <w:r>
              <w:rPr>
                <w:rFonts w:hint="eastAsia" w:ascii="宋体" w:hAnsi="宋体" w:eastAsia="宋体" w:cs="宋体"/>
                <w:szCs w:val="21"/>
              </w:rPr>
              <w:t>（3）握笔坐姿</w:t>
            </w:r>
          </w:p>
          <w:p w14:paraId="44FA7F59">
            <w:pPr>
              <w:adjustRightInd w:val="0"/>
              <w:snapToGrid w:val="0"/>
              <w:rPr>
                <w:rFonts w:hint="eastAsia" w:ascii="宋体" w:hAnsi="宋体" w:eastAsia="宋体" w:cs="宋体"/>
                <w:szCs w:val="21"/>
              </w:rPr>
            </w:pPr>
            <w:r>
              <w:rPr>
                <w:rFonts w:hint="eastAsia" w:ascii="宋体" w:hAnsi="宋体" w:eastAsia="宋体" w:cs="宋体"/>
                <w:szCs w:val="21"/>
              </w:rPr>
              <w:t>（4）硬笔书法的学习方法要求</w:t>
            </w:r>
          </w:p>
          <w:p w14:paraId="58F46501">
            <w:pPr>
              <w:adjustRightInd w:val="0"/>
              <w:snapToGrid w:val="0"/>
              <w:rPr>
                <w:rFonts w:hint="eastAsia" w:ascii="宋体" w:hAnsi="宋体" w:eastAsia="宋体" w:cs="宋体"/>
                <w:szCs w:val="21"/>
              </w:rPr>
            </w:pPr>
            <w:r>
              <w:rPr>
                <w:rFonts w:hint="eastAsia" w:ascii="宋体" w:hAnsi="宋体" w:eastAsia="宋体" w:cs="宋体"/>
                <w:szCs w:val="21"/>
              </w:rPr>
              <w:t>（5）书法与传统文化</w:t>
            </w:r>
          </w:p>
        </w:tc>
        <w:tc>
          <w:tcPr>
            <w:tcW w:w="1080" w:type="dxa"/>
            <w:vAlign w:val="center"/>
          </w:tcPr>
          <w:p w14:paraId="32D3B1E1">
            <w:pPr>
              <w:jc w:val="center"/>
              <w:rPr>
                <w:rFonts w:hint="eastAsia" w:ascii="宋体" w:hAnsi="宋体" w:eastAsia="宋体" w:cs="宋体"/>
                <w:szCs w:val="21"/>
              </w:rPr>
            </w:pPr>
            <w:r>
              <w:rPr>
                <w:rFonts w:hint="eastAsia" w:ascii="宋体" w:hAnsi="宋体" w:eastAsia="宋体" w:cs="宋体"/>
                <w:szCs w:val="21"/>
              </w:rPr>
              <w:t>课程目标1</w:t>
            </w:r>
          </w:p>
        </w:tc>
        <w:tc>
          <w:tcPr>
            <w:tcW w:w="2978" w:type="dxa"/>
            <w:vAlign w:val="center"/>
          </w:tcPr>
          <w:p w14:paraId="7E5BC865">
            <w:pPr>
              <w:adjustRightInd w:val="0"/>
              <w:snapToGrid w:val="0"/>
              <w:ind w:firstLine="480"/>
              <w:jc w:val="left"/>
              <w:rPr>
                <w:rFonts w:hint="eastAsia" w:ascii="宋体" w:hAnsi="宋体" w:eastAsia="宋体" w:cs="宋体"/>
                <w:szCs w:val="21"/>
              </w:rPr>
            </w:pPr>
            <w:r>
              <w:rPr>
                <w:rFonts w:hint="eastAsia" w:ascii="宋体" w:hAnsi="宋体" w:eastAsia="宋体" w:cs="宋体"/>
                <w:szCs w:val="21"/>
              </w:rPr>
              <w:t>1.了解硬笔书法对于本专业作用；</w:t>
            </w:r>
          </w:p>
          <w:p w14:paraId="2223CBB8">
            <w:pPr>
              <w:adjustRightInd w:val="0"/>
              <w:snapToGrid w:val="0"/>
              <w:ind w:firstLine="480"/>
              <w:jc w:val="left"/>
              <w:rPr>
                <w:rFonts w:hint="eastAsia" w:ascii="宋体" w:hAnsi="宋体" w:eastAsia="宋体" w:cs="宋体"/>
                <w:szCs w:val="21"/>
              </w:rPr>
            </w:pPr>
            <w:r>
              <w:rPr>
                <w:rFonts w:hint="eastAsia" w:ascii="宋体" w:hAnsi="宋体" w:eastAsia="宋体" w:cs="宋体"/>
                <w:szCs w:val="21"/>
              </w:rPr>
              <w:t>2.书法的基本特点和学习方法；</w:t>
            </w:r>
          </w:p>
          <w:p w14:paraId="524B2397">
            <w:pPr>
              <w:adjustRightInd w:val="0"/>
              <w:snapToGrid w:val="0"/>
              <w:ind w:firstLine="480"/>
              <w:jc w:val="left"/>
              <w:rPr>
                <w:rFonts w:hint="eastAsia" w:ascii="宋体" w:hAnsi="宋体" w:eastAsia="宋体" w:cs="宋体"/>
                <w:szCs w:val="21"/>
              </w:rPr>
            </w:pPr>
            <w:r>
              <w:rPr>
                <w:rFonts w:hint="eastAsia" w:ascii="宋体" w:hAnsi="宋体" w:eastAsia="宋体" w:cs="宋体"/>
                <w:szCs w:val="21"/>
              </w:rPr>
              <w:t>3.硬笔书法与毛笔书法的区别与联系。</w:t>
            </w:r>
          </w:p>
        </w:tc>
        <w:tc>
          <w:tcPr>
            <w:tcW w:w="1432" w:type="dxa"/>
            <w:vAlign w:val="center"/>
          </w:tcPr>
          <w:p w14:paraId="27A13837">
            <w:pPr>
              <w:jc w:val="left"/>
              <w:rPr>
                <w:rFonts w:hint="eastAsia" w:ascii="宋体" w:hAnsi="宋体" w:eastAsia="宋体" w:cs="宋体"/>
                <w:szCs w:val="21"/>
              </w:rPr>
            </w:pPr>
            <w:r>
              <w:rPr>
                <w:rFonts w:hint="eastAsia" w:ascii="宋体" w:hAnsi="宋体" w:eastAsia="宋体" w:cs="宋体"/>
                <w:szCs w:val="21"/>
              </w:rPr>
              <w:t>1.线上学习</w:t>
            </w:r>
          </w:p>
          <w:p w14:paraId="6EF66015">
            <w:pPr>
              <w:jc w:val="left"/>
              <w:rPr>
                <w:rFonts w:hint="eastAsia" w:ascii="宋体" w:hAnsi="宋体" w:eastAsia="宋体" w:cs="宋体"/>
                <w:szCs w:val="21"/>
              </w:rPr>
            </w:pPr>
            <w:r>
              <w:rPr>
                <w:rFonts w:hint="eastAsia" w:ascii="宋体" w:hAnsi="宋体" w:eastAsia="宋体" w:cs="宋体"/>
                <w:szCs w:val="21"/>
              </w:rPr>
              <w:t>2.多媒体教学3.课堂讨论</w:t>
            </w:r>
          </w:p>
          <w:p w14:paraId="7CD0F81E">
            <w:pPr>
              <w:jc w:val="left"/>
              <w:rPr>
                <w:rFonts w:hint="eastAsia" w:ascii="宋体" w:hAnsi="宋体" w:eastAsia="宋体" w:cs="宋体"/>
                <w:szCs w:val="21"/>
              </w:rPr>
            </w:pPr>
          </w:p>
        </w:tc>
        <w:tc>
          <w:tcPr>
            <w:tcW w:w="438" w:type="dxa"/>
            <w:vAlign w:val="center"/>
          </w:tcPr>
          <w:p w14:paraId="77CB85B7">
            <w:pPr>
              <w:jc w:val="center"/>
              <w:rPr>
                <w:rFonts w:hint="eastAsia" w:ascii="宋体" w:hAnsi="宋体" w:eastAsia="宋体" w:cs="宋体"/>
                <w:szCs w:val="21"/>
              </w:rPr>
            </w:pPr>
            <w:r>
              <w:rPr>
                <w:rFonts w:hint="eastAsia" w:ascii="宋体" w:hAnsi="宋体" w:eastAsia="宋体" w:cs="宋体"/>
                <w:szCs w:val="21"/>
              </w:rPr>
              <w:t>2</w:t>
            </w:r>
          </w:p>
        </w:tc>
      </w:tr>
      <w:tr w14:paraId="2765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14:paraId="01D54B9B">
            <w:pPr>
              <w:jc w:val="center"/>
              <w:rPr>
                <w:rFonts w:hint="eastAsia" w:ascii="宋体" w:hAnsi="宋体" w:eastAsia="宋体" w:cs="宋体"/>
                <w:szCs w:val="21"/>
              </w:rPr>
            </w:pPr>
          </w:p>
        </w:tc>
        <w:tc>
          <w:tcPr>
            <w:tcW w:w="8403" w:type="dxa"/>
            <w:gridSpan w:val="5"/>
            <w:vAlign w:val="center"/>
          </w:tcPr>
          <w:p w14:paraId="6EC219D3">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了解书法艺术在中国文化中的重要地位、培养文化自信、民族自豪感</w:t>
            </w:r>
          </w:p>
        </w:tc>
      </w:tr>
      <w:tr w14:paraId="6C18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restart"/>
            <w:vAlign w:val="center"/>
          </w:tcPr>
          <w:p w14:paraId="02BA8C5C">
            <w:pPr>
              <w:adjustRightInd w:val="0"/>
              <w:snapToGrid w:val="0"/>
              <w:jc w:val="center"/>
              <w:rPr>
                <w:rFonts w:hint="eastAsia" w:ascii="宋体" w:hAnsi="宋体" w:eastAsia="宋体" w:cs="宋体"/>
                <w:szCs w:val="21"/>
              </w:rPr>
            </w:pPr>
            <w:r>
              <w:rPr>
                <w:rFonts w:hint="eastAsia" w:ascii="宋体" w:hAnsi="宋体" w:eastAsia="宋体" w:cs="宋体"/>
                <w:szCs w:val="21"/>
              </w:rPr>
              <w:t>2.硬笔楷书</w:t>
            </w:r>
          </w:p>
          <w:p w14:paraId="49A75886">
            <w:pPr>
              <w:jc w:val="center"/>
              <w:rPr>
                <w:rFonts w:hint="eastAsia" w:ascii="宋体" w:hAnsi="宋体" w:eastAsia="宋体" w:cs="宋体"/>
                <w:szCs w:val="21"/>
              </w:rPr>
            </w:pPr>
          </w:p>
        </w:tc>
        <w:tc>
          <w:tcPr>
            <w:tcW w:w="2475" w:type="dxa"/>
            <w:vAlign w:val="center"/>
          </w:tcPr>
          <w:p w14:paraId="33FBE1E0">
            <w:pPr>
              <w:adjustRightInd w:val="0"/>
              <w:snapToGrid w:val="0"/>
              <w:rPr>
                <w:rFonts w:hint="eastAsia" w:ascii="宋体" w:hAnsi="宋体" w:eastAsia="宋体" w:cs="宋体"/>
                <w:szCs w:val="21"/>
              </w:rPr>
            </w:pPr>
            <w:r>
              <w:rPr>
                <w:rFonts w:hint="eastAsia" w:ascii="宋体" w:hAnsi="宋体" w:eastAsia="宋体" w:cs="宋体"/>
                <w:szCs w:val="21"/>
              </w:rPr>
              <w:t>（1）结构重心</w:t>
            </w:r>
          </w:p>
          <w:p w14:paraId="61152D02">
            <w:pPr>
              <w:adjustRightInd w:val="0"/>
              <w:snapToGrid w:val="0"/>
              <w:rPr>
                <w:rFonts w:hint="eastAsia" w:ascii="宋体" w:hAnsi="宋体" w:eastAsia="宋体" w:cs="宋体"/>
                <w:szCs w:val="21"/>
              </w:rPr>
            </w:pPr>
            <w:r>
              <w:rPr>
                <w:rFonts w:hint="eastAsia" w:ascii="宋体" w:hAnsi="宋体" w:eastAsia="宋体" w:cs="宋体"/>
                <w:szCs w:val="21"/>
              </w:rPr>
              <w:t>（2）起笔收笔</w:t>
            </w:r>
          </w:p>
          <w:p w14:paraId="046C8F61">
            <w:pPr>
              <w:adjustRightInd w:val="0"/>
              <w:snapToGrid w:val="0"/>
              <w:rPr>
                <w:rFonts w:hint="eastAsia" w:ascii="宋体" w:hAnsi="宋体" w:eastAsia="宋体" w:cs="宋体"/>
                <w:szCs w:val="21"/>
              </w:rPr>
            </w:pPr>
            <w:r>
              <w:rPr>
                <w:rFonts w:hint="eastAsia" w:ascii="宋体" w:hAnsi="宋体" w:eastAsia="宋体" w:cs="宋体"/>
                <w:szCs w:val="21"/>
              </w:rPr>
              <w:t>（3）基本笔画练习</w:t>
            </w:r>
          </w:p>
          <w:p w14:paraId="53C5340F">
            <w:pPr>
              <w:adjustRightInd w:val="0"/>
              <w:snapToGrid w:val="0"/>
              <w:rPr>
                <w:rFonts w:hint="eastAsia" w:ascii="宋体" w:hAnsi="宋体" w:eastAsia="宋体" w:cs="宋体"/>
                <w:szCs w:val="21"/>
              </w:rPr>
            </w:pPr>
            <w:r>
              <w:rPr>
                <w:rFonts w:hint="eastAsia" w:ascii="宋体" w:hAnsi="宋体" w:eastAsia="宋体" w:cs="宋体"/>
                <w:szCs w:val="21"/>
              </w:rPr>
              <w:t>（4）偏旁部首练习</w:t>
            </w:r>
          </w:p>
          <w:p w14:paraId="4F6B09A7">
            <w:pPr>
              <w:adjustRightInd w:val="0"/>
              <w:snapToGrid w:val="0"/>
              <w:rPr>
                <w:rFonts w:hint="eastAsia" w:ascii="宋体" w:hAnsi="宋体" w:eastAsia="宋体" w:cs="宋体"/>
                <w:szCs w:val="21"/>
              </w:rPr>
            </w:pPr>
            <w:r>
              <w:rPr>
                <w:rFonts w:hint="eastAsia" w:ascii="宋体" w:hAnsi="宋体" w:eastAsia="宋体" w:cs="宋体"/>
                <w:szCs w:val="21"/>
              </w:rPr>
              <w:t>（5）间架结构</w:t>
            </w:r>
          </w:p>
          <w:p w14:paraId="585E1C37">
            <w:pPr>
              <w:adjustRightInd w:val="0"/>
              <w:snapToGrid w:val="0"/>
              <w:rPr>
                <w:rFonts w:hint="eastAsia" w:ascii="宋体" w:hAnsi="宋体" w:eastAsia="宋体" w:cs="宋体"/>
                <w:szCs w:val="21"/>
              </w:rPr>
            </w:pPr>
            <w:r>
              <w:rPr>
                <w:rFonts w:hint="eastAsia" w:ascii="宋体" w:hAnsi="宋体" w:eastAsia="宋体" w:cs="宋体"/>
                <w:szCs w:val="21"/>
              </w:rPr>
              <w:t>（6）章法布局</w:t>
            </w:r>
          </w:p>
        </w:tc>
        <w:tc>
          <w:tcPr>
            <w:tcW w:w="1080" w:type="dxa"/>
            <w:vAlign w:val="center"/>
          </w:tcPr>
          <w:p w14:paraId="2D6D4DF0">
            <w:pPr>
              <w:jc w:val="center"/>
              <w:rPr>
                <w:rFonts w:hint="eastAsia" w:ascii="宋体" w:hAnsi="宋体" w:eastAsia="宋体" w:cs="宋体"/>
                <w:szCs w:val="21"/>
              </w:rPr>
            </w:pPr>
            <w:r>
              <w:rPr>
                <w:rFonts w:hint="eastAsia" w:ascii="宋体" w:hAnsi="宋体" w:eastAsia="宋体" w:cs="宋体"/>
                <w:szCs w:val="21"/>
              </w:rPr>
              <w:t>课程目标2、3</w:t>
            </w:r>
          </w:p>
        </w:tc>
        <w:tc>
          <w:tcPr>
            <w:tcW w:w="2978" w:type="dxa"/>
            <w:vAlign w:val="center"/>
          </w:tcPr>
          <w:p w14:paraId="5553AF80">
            <w:pPr>
              <w:adjustRightInd w:val="0"/>
              <w:snapToGrid w:val="0"/>
              <w:ind w:firstLine="480"/>
              <w:jc w:val="left"/>
              <w:rPr>
                <w:rFonts w:hint="eastAsia" w:ascii="宋体" w:hAnsi="宋体" w:eastAsia="宋体" w:cs="宋体"/>
                <w:szCs w:val="21"/>
              </w:rPr>
            </w:pPr>
            <w:r>
              <w:rPr>
                <w:rFonts w:hint="eastAsia" w:ascii="宋体" w:hAnsi="宋体" w:eastAsia="宋体" w:cs="宋体"/>
                <w:szCs w:val="21"/>
              </w:rPr>
              <w:t>通过练习，要求学生了解硬笔楷书起笔收笔、基本笔画、偏旁部首、间架结构等书写的基本规律，并掌握其技巧。</w:t>
            </w:r>
          </w:p>
        </w:tc>
        <w:tc>
          <w:tcPr>
            <w:tcW w:w="1432" w:type="dxa"/>
            <w:vAlign w:val="center"/>
          </w:tcPr>
          <w:p w14:paraId="0680AE00">
            <w:pPr>
              <w:jc w:val="left"/>
              <w:rPr>
                <w:rFonts w:hint="eastAsia" w:ascii="宋体" w:hAnsi="宋体" w:eastAsia="宋体" w:cs="宋体"/>
                <w:szCs w:val="21"/>
              </w:rPr>
            </w:pPr>
            <w:r>
              <w:rPr>
                <w:rFonts w:hint="eastAsia" w:ascii="宋体" w:hAnsi="宋体" w:eastAsia="宋体" w:cs="宋体"/>
                <w:szCs w:val="21"/>
              </w:rPr>
              <w:t>1.课堂练习</w:t>
            </w:r>
          </w:p>
          <w:p w14:paraId="119FEA14">
            <w:pPr>
              <w:jc w:val="left"/>
              <w:rPr>
                <w:rFonts w:hint="eastAsia" w:ascii="宋体" w:hAnsi="宋体" w:eastAsia="宋体" w:cs="宋体"/>
                <w:szCs w:val="21"/>
              </w:rPr>
            </w:pPr>
            <w:r>
              <w:rPr>
                <w:rFonts w:hint="eastAsia" w:ascii="宋体" w:hAnsi="宋体" w:eastAsia="宋体" w:cs="宋体"/>
                <w:szCs w:val="21"/>
              </w:rPr>
              <w:t>2.课后练习</w:t>
            </w:r>
          </w:p>
          <w:p w14:paraId="3EE3BDF5">
            <w:pPr>
              <w:jc w:val="left"/>
              <w:rPr>
                <w:rFonts w:hint="eastAsia" w:ascii="宋体" w:hAnsi="宋体" w:eastAsia="宋体" w:cs="宋体"/>
                <w:szCs w:val="21"/>
              </w:rPr>
            </w:pPr>
            <w:r>
              <w:rPr>
                <w:rFonts w:hint="eastAsia" w:ascii="宋体" w:hAnsi="宋体" w:eastAsia="宋体" w:cs="宋体"/>
                <w:szCs w:val="21"/>
              </w:rPr>
              <w:t>3.课堂辅导</w:t>
            </w:r>
          </w:p>
          <w:p w14:paraId="41FB3ECA">
            <w:pPr>
              <w:jc w:val="left"/>
              <w:rPr>
                <w:rFonts w:hint="eastAsia" w:ascii="宋体" w:hAnsi="宋体" w:eastAsia="宋体" w:cs="宋体"/>
                <w:szCs w:val="21"/>
              </w:rPr>
            </w:pPr>
            <w:r>
              <w:rPr>
                <w:rFonts w:hint="eastAsia" w:ascii="宋体" w:hAnsi="宋体" w:eastAsia="宋体" w:cs="宋体"/>
                <w:szCs w:val="21"/>
              </w:rPr>
              <w:t>4.作业检查与评点</w:t>
            </w:r>
          </w:p>
        </w:tc>
        <w:tc>
          <w:tcPr>
            <w:tcW w:w="438" w:type="dxa"/>
            <w:vAlign w:val="center"/>
          </w:tcPr>
          <w:p w14:paraId="5EA49C9B">
            <w:pPr>
              <w:jc w:val="center"/>
              <w:rPr>
                <w:rFonts w:hint="eastAsia" w:ascii="宋体" w:hAnsi="宋体" w:eastAsia="宋体" w:cs="宋体"/>
                <w:szCs w:val="21"/>
              </w:rPr>
            </w:pPr>
            <w:r>
              <w:rPr>
                <w:rFonts w:hint="eastAsia" w:ascii="宋体" w:hAnsi="宋体" w:eastAsia="宋体" w:cs="宋体"/>
                <w:szCs w:val="21"/>
              </w:rPr>
              <w:t>28</w:t>
            </w:r>
          </w:p>
        </w:tc>
      </w:tr>
      <w:tr w14:paraId="449E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14:paraId="0BFACA34">
            <w:pPr>
              <w:jc w:val="center"/>
              <w:rPr>
                <w:rFonts w:hint="eastAsia" w:ascii="宋体" w:hAnsi="宋体" w:eastAsia="宋体" w:cs="宋体"/>
                <w:szCs w:val="21"/>
              </w:rPr>
            </w:pPr>
          </w:p>
        </w:tc>
        <w:tc>
          <w:tcPr>
            <w:tcW w:w="8403" w:type="dxa"/>
            <w:gridSpan w:val="5"/>
            <w:vAlign w:val="center"/>
          </w:tcPr>
          <w:p w14:paraId="2F2BF68C">
            <w:pPr>
              <w:ind w:firstLine="413" w:firstLineChars="196"/>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通过书法学习，</w:t>
            </w:r>
            <w:r>
              <w:rPr>
                <w:rFonts w:hint="eastAsia" w:ascii="宋体" w:hAnsi="宋体" w:eastAsia="宋体" w:cs="宋体"/>
                <w:szCs w:val="21"/>
              </w:rPr>
              <w:t>培养爱心、责任心、事业心，立志成为有理想信念、有道德情操、有扎实学习、有仁爱之心的新时代大国良师。</w:t>
            </w:r>
          </w:p>
        </w:tc>
      </w:tr>
      <w:tr w14:paraId="44A3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5" w:type="dxa"/>
            <w:vMerge w:val="restart"/>
            <w:vAlign w:val="center"/>
          </w:tcPr>
          <w:p w14:paraId="01798C52">
            <w:pPr>
              <w:adjustRightInd w:val="0"/>
              <w:snapToGrid w:val="0"/>
              <w:jc w:val="center"/>
              <w:rPr>
                <w:rFonts w:hint="eastAsia" w:ascii="宋体" w:hAnsi="宋体" w:eastAsia="宋体" w:cs="宋体"/>
                <w:szCs w:val="21"/>
              </w:rPr>
            </w:pPr>
            <w:r>
              <w:rPr>
                <w:rFonts w:hint="eastAsia" w:ascii="宋体" w:hAnsi="宋体" w:eastAsia="宋体" w:cs="宋体"/>
                <w:szCs w:val="21"/>
              </w:rPr>
              <w:t>3.章法布局</w:t>
            </w:r>
          </w:p>
          <w:p w14:paraId="2F08C975">
            <w:pPr>
              <w:jc w:val="center"/>
              <w:rPr>
                <w:rFonts w:hint="eastAsia" w:ascii="宋体" w:hAnsi="宋体" w:eastAsia="宋体" w:cs="宋体"/>
                <w:szCs w:val="21"/>
              </w:rPr>
            </w:pPr>
          </w:p>
        </w:tc>
        <w:tc>
          <w:tcPr>
            <w:tcW w:w="2475" w:type="dxa"/>
            <w:vAlign w:val="center"/>
          </w:tcPr>
          <w:p w14:paraId="7F2552A9">
            <w:pPr>
              <w:adjustRightInd w:val="0"/>
              <w:snapToGrid w:val="0"/>
              <w:rPr>
                <w:rFonts w:hint="eastAsia" w:ascii="宋体" w:hAnsi="宋体" w:eastAsia="宋体" w:cs="宋体"/>
                <w:szCs w:val="21"/>
              </w:rPr>
            </w:pPr>
            <w:r>
              <w:rPr>
                <w:rFonts w:hint="eastAsia" w:ascii="宋体" w:hAnsi="宋体" w:eastAsia="宋体" w:cs="宋体"/>
                <w:szCs w:val="21"/>
              </w:rPr>
              <w:t>（1）基本格式</w:t>
            </w:r>
          </w:p>
          <w:p w14:paraId="55E11BD6">
            <w:pPr>
              <w:adjustRightInd w:val="0"/>
              <w:snapToGrid w:val="0"/>
              <w:rPr>
                <w:rFonts w:hint="eastAsia" w:ascii="宋体" w:hAnsi="宋体" w:eastAsia="宋体" w:cs="宋体"/>
                <w:szCs w:val="21"/>
              </w:rPr>
            </w:pPr>
            <w:r>
              <w:rPr>
                <w:rFonts w:hint="eastAsia" w:ascii="宋体" w:hAnsi="宋体" w:eastAsia="宋体" w:cs="宋体"/>
                <w:szCs w:val="21"/>
              </w:rPr>
              <w:t>（2）章法布局</w:t>
            </w:r>
          </w:p>
          <w:p w14:paraId="37F5BB55">
            <w:pPr>
              <w:adjustRightInd w:val="0"/>
              <w:snapToGrid w:val="0"/>
              <w:rPr>
                <w:rFonts w:hint="eastAsia" w:ascii="宋体" w:hAnsi="宋体" w:eastAsia="宋体" w:cs="宋体"/>
                <w:szCs w:val="21"/>
              </w:rPr>
            </w:pPr>
            <w:r>
              <w:rPr>
                <w:rFonts w:hint="eastAsia" w:ascii="宋体" w:hAnsi="宋体" w:eastAsia="宋体" w:cs="宋体"/>
                <w:szCs w:val="21"/>
              </w:rPr>
              <w:t>（3）书法创作</w:t>
            </w:r>
          </w:p>
        </w:tc>
        <w:tc>
          <w:tcPr>
            <w:tcW w:w="1080" w:type="dxa"/>
            <w:vAlign w:val="center"/>
          </w:tcPr>
          <w:p w14:paraId="69207681">
            <w:pPr>
              <w:jc w:val="center"/>
              <w:rPr>
                <w:rFonts w:hint="eastAsia" w:ascii="宋体" w:hAnsi="宋体" w:eastAsia="宋体" w:cs="宋体"/>
                <w:szCs w:val="21"/>
              </w:rPr>
            </w:pPr>
            <w:r>
              <w:rPr>
                <w:rFonts w:hint="eastAsia" w:ascii="宋体" w:hAnsi="宋体" w:eastAsia="宋体" w:cs="宋体"/>
                <w:szCs w:val="21"/>
              </w:rPr>
              <w:t>课程目标2、3</w:t>
            </w:r>
          </w:p>
        </w:tc>
        <w:tc>
          <w:tcPr>
            <w:tcW w:w="2978" w:type="dxa"/>
            <w:vAlign w:val="center"/>
          </w:tcPr>
          <w:p w14:paraId="1D6F2FC5">
            <w:pPr>
              <w:adjustRightInd w:val="0"/>
              <w:snapToGrid w:val="0"/>
              <w:ind w:firstLine="480"/>
              <w:jc w:val="left"/>
              <w:rPr>
                <w:rFonts w:hint="eastAsia" w:ascii="宋体" w:hAnsi="宋体" w:eastAsia="宋体" w:cs="宋体"/>
                <w:szCs w:val="21"/>
              </w:rPr>
            </w:pPr>
            <w:r>
              <w:rPr>
                <w:rFonts w:hint="eastAsia" w:ascii="宋体" w:hAnsi="宋体" w:eastAsia="宋体" w:cs="宋体"/>
                <w:szCs w:val="21"/>
              </w:rPr>
              <w:t>通过讲解，帮助学生了解书法的章法布局的基本知识，可以初步进行书法作品的创作。</w:t>
            </w:r>
          </w:p>
        </w:tc>
        <w:tc>
          <w:tcPr>
            <w:tcW w:w="1432" w:type="dxa"/>
            <w:vAlign w:val="center"/>
          </w:tcPr>
          <w:p w14:paraId="4D886A8A">
            <w:pPr>
              <w:jc w:val="left"/>
              <w:rPr>
                <w:rFonts w:hint="eastAsia" w:ascii="宋体" w:hAnsi="宋体" w:eastAsia="宋体" w:cs="宋体"/>
                <w:szCs w:val="21"/>
              </w:rPr>
            </w:pPr>
            <w:r>
              <w:rPr>
                <w:rFonts w:hint="eastAsia" w:ascii="宋体" w:hAnsi="宋体" w:eastAsia="宋体" w:cs="宋体"/>
                <w:szCs w:val="21"/>
              </w:rPr>
              <w:t>1.线上学习</w:t>
            </w:r>
          </w:p>
          <w:p w14:paraId="056BFF09">
            <w:pPr>
              <w:jc w:val="left"/>
              <w:rPr>
                <w:rFonts w:hint="eastAsia" w:ascii="宋体" w:hAnsi="宋体" w:eastAsia="宋体" w:cs="宋体"/>
                <w:szCs w:val="21"/>
              </w:rPr>
            </w:pPr>
            <w:r>
              <w:rPr>
                <w:rFonts w:hint="eastAsia" w:ascii="宋体" w:hAnsi="宋体" w:eastAsia="宋体" w:cs="宋体"/>
                <w:szCs w:val="21"/>
              </w:rPr>
              <w:t>2.课堂练习</w:t>
            </w:r>
          </w:p>
        </w:tc>
        <w:tc>
          <w:tcPr>
            <w:tcW w:w="438" w:type="dxa"/>
            <w:vAlign w:val="center"/>
          </w:tcPr>
          <w:p w14:paraId="1B23BA03">
            <w:pPr>
              <w:jc w:val="center"/>
              <w:rPr>
                <w:rFonts w:hint="eastAsia" w:ascii="宋体" w:hAnsi="宋体" w:eastAsia="宋体" w:cs="宋体"/>
                <w:szCs w:val="21"/>
              </w:rPr>
            </w:pPr>
            <w:r>
              <w:rPr>
                <w:rFonts w:hint="eastAsia" w:ascii="宋体" w:hAnsi="宋体" w:eastAsia="宋体" w:cs="宋体"/>
                <w:szCs w:val="21"/>
              </w:rPr>
              <w:t>2</w:t>
            </w:r>
          </w:p>
        </w:tc>
      </w:tr>
      <w:tr w14:paraId="6F9F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vMerge w:val="continue"/>
            <w:vAlign w:val="center"/>
          </w:tcPr>
          <w:p w14:paraId="5BC937DC">
            <w:pPr>
              <w:jc w:val="center"/>
              <w:rPr>
                <w:rFonts w:hint="eastAsia" w:ascii="宋体" w:hAnsi="宋体" w:eastAsia="宋体" w:cs="宋体"/>
                <w:szCs w:val="21"/>
              </w:rPr>
            </w:pPr>
          </w:p>
        </w:tc>
        <w:tc>
          <w:tcPr>
            <w:tcW w:w="8403" w:type="dxa"/>
            <w:gridSpan w:val="5"/>
            <w:vAlign w:val="center"/>
          </w:tcPr>
          <w:p w14:paraId="5170CE1C">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在艺术的熏陶中，树立制度自信和文化自信。</w:t>
            </w:r>
          </w:p>
        </w:tc>
      </w:tr>
    </w:tbl>
    <w:p w14:paraId="6401BB0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31703722">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8FFF36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1E79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E29D7B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6464A46">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419C2663">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BF0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5F0389A">
            <w:pPr>
              <w:spacing w:line="360" w:lineRule="auto"/>
              <w:jc w:val="center"/>
              <w:rPr>
                <w:rFonts w:hint="eastAsia" w:ascii="宋体" w:hAnsi="宋体" w:eastAsia="宋体" w:cs="Times New Roman"/>
                <w:szCs w:val="21"/>
              </w:rPr>
            </w:pPr>
          </w:p>
        </w:tc>
        <w:tc>
          <w:tcPr>
            <w:tcW w:w="0" w:type="auto"/>
            <w:vAlign w:val="center"/>
          </w:tcPr>
          <w:p w14:paraId="5BB84ED9">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48B5D20B">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0247C977">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17088910">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3D7EF272">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4A27E2C5">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773373DC">
            <w:pPr>
              <w:spacing w:line="360" w:lineRule="auto"/>
              <w:jc w:val="center"/>
              <w:rPr>
                <w:rFonts w:hint="eastAsia" w:ascii="宋体" w:hAnsi="宋体" w:eastAsia="宋体" w:cs="Times New Roman"/>
                <w:szCs w:val="21"/>
              </w:rPr>
            </w:pPr>
          </w:p>
        </w:tc>
      </w:tr>
      <w:tr w14:paraId="379F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1E0B9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DB0ABA0">
            <w:pPr>
              <w:spacing w:line="360" w:lineRule="auto"/>
              <w:jc w:val="center"/>
              <w:rPr>
                <w:rFonts w:hint="eastAsia" w:ascii="宋体" w:hAnsi="宋体" w:eastAsia="宋体" w:cs="Times New Roman"/>
                <w:szCs w:val="21"/>
              </w:rPr>
            </w:pPr>
          </w:p>
        </w:tc>
        <w:tc>
          <w:tcPr>
            <w:tcW w:w="0" w:type="auto"/>
            <w:vAlign w:val="center"/>
          </w:tcPr>
          <w:p w14:paraId="5DB5034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44C6337">
            <w:pPr>
              <w:spacing w:line="360" w:lineRule="auto"/>
              <w:jc w:val="center"/>
              <w:rPr>
                <w:rFonts w:hint="eastAsia" w:ascii="宋体" w:hAnsi="宋体" w:eastAsia="宋体" w:cs="Times New Roman"/>
                <w:szCs w:val="21"/>
              </w:rPr>
            </w:pPr>
          </w:p>
        </w:tc>
        <w:tc>
          <w:tcPr>
            <w:tcW w:w="0" w:type="auto"/>
            <w:vAlign w:val="center"/>
          </w:tcPr>
          <w:p w14:paraId="0186D7FA">
            <w:pPr>
              <w:spacing w:line="360" w:lineRule="auto"/>
              <w:jc w:val="center"/>
              <w:rPr>
                <w:rFonts w:hint="eastAsia" w:ascii="宋体" w:hAnsi="宋体" w:eastAsia="宋体" w:cs="Times New Roman"/>
                <w:szCs w:val="21"/>
              </w:rPr>
            </w:pPr>
          </w:p>
        </w:tc>
        <w:tc>
          <w:tcPr>
            <w:tcW w:w="0" w:type="auto"/>
            <w:vAlign w:val="center"/>
          </w:tcPr>
          <w:p w14:paraId="2D183EA1">
            <w:pPr>
              <w:spacing w:line="360" w:lineRule="auto"/>
              <w:jc w:val="center"/>
              <w:rPr>
                <w:rFonts w:hint="eastAsia" w:ascii="宋体" w:hAnsi="宋体" w:eastAsia="宋体" w:cs="Times New Roman"/>
                <w:szCs w:val="21"/>
              </w:rPr>
            </w:pPr>
          </w:p>
        </w:tc>
        <w:tc>
          <w:tcPr>
            <w:tcW w:w="0" w:type="auto"/>
          </w:tcPr>
          <w:p w14:paraId="162771CC">
            <w:pPr>
              <w:spacing w:line="360" w:lineRule="auto"/>
              <w:jc w:val="center"/>
              <w:rPr>
                <w:rFonts w:hint="eastAsia" w:ascii="宋体" w:hAnsi="宋体" w:eastAsia="宋体" w:cs="Times New Roman"/>
                <w:szCs w:val="21"/>
              </w:rPr>
            </w:pPr>
          </w:p>
        </w:tc>
        <w:tc>
          <w:tcPr>
            <w:tcW w:w="0" w:type="auto"/>
            <w:vAlign w:val="center"/>
          </w:tcPr>
          <w:p w14:paraId="02454CC8">
            <w:pPr>
              <w:spacing w:line="360" w:lineRule="auto"/>
              <w:jc w:val="center"/>
              <w:rPr>
                <w:rFonts w:hint="eastAsia" w:ascii="宋体" w:hAnsi="宋体" w:eastAsia="宋体" w:cs="Times New Roman"/>
                <w:szCs w:val="21"/>
              </w:rPr>
            </w:pPr>
            <w:r>
              <w:rPr>
                <w:rFonts w:hint="eastAsia" w:ascii="宋体" w:hAnsi="宋体" w:eastAsia="等线" w:cs="Times New Roman"/>
                <w:szCs w:val="21"/>
              </w:rPr>
              <w:t>10</w:t>
            </w:r>
          </w:p>
        </w:tc>
      </w:tr>
      <w:tr w14:paraId="16D4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5D4141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6414D7C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EA6EA80">
            <w:pPr>
              <w:spacing w:line="360" w:lineRule="auto"/>
              <w:jc w:val="center"/>
              <w:rPr>
                <w:rFonts w:hint="eastAsia" w:ascii="宋体" w:hAnsi="宋体" w:eastAsia="宋体" w:cs="Times New Roman"/>
                <w:szCs w:val="21"/>
              </w:rPr>
            </w:pPr>
          </w:p>
        </w:tc>
        <w:tc>
          <w:tcPr>
            <w:tcW w:w="0" w:type="auto"/>
            <w:vAlign w:val="center"/>
          </w:tcPr>
          <w:p w14:paraId="347EF7FC">
            <w:pPr>
              <w:spacing w:line="360" w:lineRule="auto"/>
              <w:jc w:val="center"/>
              <w:rPr>
                <w:rFonts w:hint="eastAsia" w:ascii="宋体" w:hAnsi="宋体" w:eastAsia="宋体" w:cs="Times New Roman"/>
                <w:szCs w:val="21"/>
              </w:rPr>
            </w:pPr>
          </w:p>
        </w:tc>
        <w:tc>
          <w:tcPr>
            <w:tcW w:w="0" w:type="auto"/>
            <w:vAlign w:val="center"/>
          </w:tcPr>
          <w:p w14:paraId="05FC3CF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8BB8EF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0E68A5A0">
            <w:pPr>
              <w:spacing w:line="360" w:lineRule="auto"/>
              <w:jc w:val="center"/>
              <w:rPr>
                <w:rFonts w:hint="eastAsia" w:ascii="宋体" w:hAnsi="宋体" w:eastAsia="宋体" w:cs="Times New Roman"/>
                <w:szCs w:val="21"/>
              </w:rPr>
            </w:pPr>
          </w:p>
        </w:tc>
        <w:tc>
          <w:tcPr>
            <w:tcW w:w="0" w:type="auto"/>
            <w:vAlign w:val="center"/>
          </w:tcPr>
          <w:p w14:paraId="5FA6A352">
            <w:pPr>
              <w:spacing w:line="360" w:lineRule="auto"/>
              <w:jc w:val="center"/>
              <w:rPr>
                <w:rFonts w:hint="eastAsia" w:ascii="宋体" w:hAnsi="宋体" w:eastAsia="宋体" w:cs="Times New Roman"/>
                <w:szCs w:val="21"/>
              </w:rPr>
            </w:pPr>
            <w:r>
              <w:rPr>
                <w:rFonts w:hint="eastAsia" w:ascii="宋体" w:hAnsi="宋体" w:eastAsia="等线" w:cs="Times New Roman"/>
                <w:szCs w:val="21"/>
              </w:rPr>
              <w:t>8</w:t>
            </w:r>
            <w:r>
              <w:rPr>
                <w:rFonts w:hint="eastAsia" w:ascii="宋体" w:hAnsi="宋体" w:eastAsia="宋体" w:cs="Times New Roman"/>
                <w:szCs w:val="21"/>
              </w:rPr>
              <w:t>0</w:t>
            </w:r>
          </w:p>
        </w:tc>
      </w:tr>
      <w:tr w14:paraId="333C2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CF8D4E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210C616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300C0BE">
            <w:pPr>
              <w:spacing w:line="360" w:lineRule="auto"/>
              <w:jc w:val="center"/>
              <w:rPr>
                <w:rFonts w:hint="eastAsia" w:ascii="宋体" w:hAnsi="宋体" w:eastAsia="宋体" w:cs="Times New Roman"/>
                <w:szCs w:val="21"/>
              </w:rPr>
            </w:pPr>
          </w:p>
        </w:tc>
        <w:tc>
          <w:tcPr>
            <w:tcW w:w="0" w:type="auto"/>
            <w:vAlign w:val="center"/>
          </w:tcPr>
          <w:p w14:paraId="7EEF388C">
            <w:pPr>
              <w:spacing w:line="360" w:lineRule="auto"/>
              <w:jc w:val="center"/>
              <w:rPr>
                <w:rFonts w:hint="eastAsia" w:ascii="宋体" w:hAnsi="宋体" w:eastAsia="宋体" w:cs="Times New Roman"/>
                <w:szCs w:val="21"/>
              </w:rPr>
            </w:pPr>
          </w:p>
        </w:tc>
        <w:tc>
          <w:tcPr>
            <w:tcW w:w="0" w:type="auto"/>
            <w:vAlign w:val="center"/>
          </w:tcPr>
          <w:p w14:paraId="3A59590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0BA543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573D8B8F">
            <w:pPr>
              <w:spacing w:line="360" w:lineRule="auto"/>
              <w:jc w:val="center"/>
              <w:rPr>
                <w:rFonts w:hint="eastAsia" w:ascii="宋体" w:hAnsi="宋体" w:eastAsia="宋体" w:cs="Times New Roman"/>
                <w:szCs w:val="21"/>
              </w:rPr>
            </w:pPr>
          </w:p>
        </w:tc>
        <w:tc>
          <w:tcPr>
            <w:tcW w:w="0" w:type="auto"/>
            <w:vAlign w:val="center"/>
          </w:tcPr>
          <w:p w14:paraId="6F1FD506">
            <w:pPr>
              <w:spacing w:line="360" w:lineRule="auto"/>
              <w:jc w:val="center"/>
              <w:rPr>
                <w:rFonts w:hint="eastAsia" w:ascii="宋体" w:hAnsi="宋体" w:eastAsia="宋体" w:cs="Times New Roman"/>
                <w:szCs w:val="21"/>
              </w:rPr>
            </w:pPr>
            <w:r>
              <w:rPr>
                <w:rFonts w:hint="eastAsia" w:ascii="宋体" w:hAnsi="宋体" w:eastAsia="等线" w:cs="Times New Roman"/>
                <w:szCs w:val="21"/>
              </w:rPr>
              <w:t>1</w:t>
            </w:r>
            <w:r>
              <w:rPr>
                <w:rFonts w:hint="eastAsia" w:ascii="宋体" w:hAnsi="宋体" w:eastAsia="宋体" w:cs="Times New Roman"/>
                <w:szCs w:val="21"/>
              </w:rPr>
              <w:t>0</w:t>
            </w:r>
          </w:p>
        </w:tc>
      </w:tr>
      <w:tr w14:paraId="7CF6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6835AB4">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183B7413">
            <w:pPr>
              <w:spacing w:line="360" w:lineRule="auto"/>
              <w:jc w:val="center"/>
              <w:rPr>
                <w:rFonts w:hint="eastAsia" w:ascii="宋体" w:hAnsi="宋体" w:eastAsia="宋体" w:cs="Times New Roman"/>
                <w:szCs w:val="21"/>
              </w:rPr>
            </w:pPr>
          </w:p>
        </w:tc>
        <w:tc>
          <w:tcPr>
            <w:tcW w:w="0" w:type="auto"/>
            <w:vAlign w:val="center"/>
          </w:tcPr>
          <w:p w14:paraId="3BE0B7B9">
            <w:pPr>
              <w:spacing w:line="360" w:lineRule="auto"/>
              <w:jc w:val="center"/>
              <w:rPr>
                <w:rFonts w:hint="eastAsia" w:ascii="宋体" w:hAnsi="宋体" w:eastAsia="宋体" w:cs="Times New Roman"/>
                <w:szCs w:val="21"/>
              </w:rPr>
            </w:pPr>
          </w:p>
        </w:tc>
        <w:tc>
          <w:tcPr>
            <w:tcW w:w="0" w:type="auto"/>
            <w:vAlign w:val="center"/>
          </w:tcPr>
          <w:p w14:paraId="36F4FE3D">
            <w:pPr>
              <w:spacing w:line="360" w:lineRule="auto"/>
              <w:jc w:val="center"/>
              <w:rPr>
                <w:rFonts w:hint="eastAsia" w:ascii="宋体" w:hAnsi="宋体" w:eastAsia="宋体" w:cs="Times New Roman"/>
                <w:szCs w:val="21"/>
              </w:rPr>
            </w:pPr>
          </w:p>
        </w:tc>
        <w:tc>
          <w:tcPr>
            <w:tcW w:w="0" w:type="auto"/>
            <w:vAlign w:val="center"/>
          </w:tcPr>
          <w:p w14:paraId="6FCA2F51">
            <w:pPr>
              <w:spacing w:line="360" w:lineRule="auto"/>
              <w:jc w:val="center"/>
              <w:rPr>
                <w:rFonts w:hint="eastAsia" w:ascii="宋体" w:hAnsi="宋体" w:eastAsia="宋体" w:cs="Times New Roman"/>
                <w:szCs w:val="21"/>
              </w:rPr>
            </w:pPr>
          </w:p>
        </w:tc>
        <w:tc>
          <w:tcPr>
            <w:tcW w:w="0" w:type="auto"/>
            <w:vAlign w:val="center"/>
          </w:tcPr>
          <w:p w14:paraId="3A86295E">
            <w:pPr>
              <w:spacing w:line="360" w:lineRule="auto"/>
              <w:jc w:val="center"/>
              <w:rPr>
                <w:rFonts w:hint="eastAsia" w:ascii="宋体" w:hAnsi="宋体" w:eastAsia="宋体" w:cs="Times New Roman"/>
                <w:szCs w:val="21"/>
              </w:rPr>
            </w:pPr>
          </w:p>
        </w:tc>
        <w:tc>
          <w:tcPr>
            <w:tcW w:w="0" w:type="auto"/>
          </w:tcPr>
          <w:p w14:paraId="47EDC733">
            <w:pPr>
              <w:spacing w:line="360" w:lineRule="auto"/>
              <w:jc w:val="center"/>
              <w:rPr>
                <w:rFonts w:hint="eastAsia" w:ascii="宋体" w:hAnsi="宋体" w:eastAsia="宋体" w:cs="Times New Roman"/>
                <w:szCs w:val="21"/>
              </w:rPr>
            </w:pPr>
          </w:p>
        </w:tc>
        <w:tc>
          <w:tcPr>
            <w:tcW w:w="0" w:type="auto"/>
            <w:vAlign w:val="center"/>
          </w:tcPr>
          <w:p w14:paraId="07FFD762">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5E5673C">
      <w:pPr>
        <w:spacing w:line="360" w:lineRule="auto"/>
        <w:ind w:firstLine="42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CB6305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p w14:paraId="1469D872">
      <w:pPr>
        <w:spacing w:line="360" w:lineRule="auto"/>
        <w:ind w:firstLine="420" w:firstLineChars="200"/>
        <w:jc w:val="left"/>
        <w:rPr>
          <w:rFonts w:ascii="Times New Roman" w:hAnsi="Times New Roman" w:eastAsia="宋体" w:cs="Times New Roman"/>
          <w:szCs w:val="21"/>
        </w:rPr>
      </w:pPr>
    </w:p>
    <w:p w14:paraId="3BA14888">
      <w:pPr>
        <w:spacing w:line="360" w:lineRule="auto"/>
        <w:ind w:firstLine="420" w:firstLineChars="200"/>
        <w:jc w:val="left"/>
        <w:rPr>
          <w:rFonts w:ascii="Times New Roman" w:hAnsi="Times New Roman" w:eastAsia="宋体" w:cs="Times New Roman"/>
          <w:szCs w:val="21"/>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6506"/>
        <w:gridCol w:w="706"/>
      </w:tblGrid>
      <w:tr w14:paraId="42AB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14:paraId="35686F4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506" w:type="dxa"/>
            <w:vAlign w:val="center"/>
          </w:tcPr>
          <w:p w14:paraId="028304B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75994B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200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14:paraId="5503378B">
            <w:pPr>
              <w:spacing w:line="360" w:lineRule="auto"/>
              <w:jc w:val="center"/>
              <w:rPr>
                <w:rFonts w:hint="eastAsia" w:ascii="宋体" w:hAnsi="宋体" w:eastAsia="宋体" w:cs="宋体"/>
                <w:szCs w:val="21"/>
              </w:rPr>
            </w:pPr>
            <w:r>
              <w:rPr>
                <w:rFonts w:hint="eastAsia" w:ascii="宋体" w:hAnsi="宋体" w:eastAsia="宋体" w:cs="宋体"/>
                <w:szCs w:val="21"/>
              </w:rPr>
              <w:t>平时作业</w:t>
            </w:r>
          </w:p>
        </w:tc>
        <w:tc>
          <w:tcPr>
            <w:tcW w:w="6506" w:type="dxa"/>
            <w:vAlign w:val="center"/>
          </w:tcPr>
          <w:p w14:paraId="7776A68F">
            <w:pPr>
              <w:spacing w:line="360" w:lineRule="auto"/>
              <w:jc w:val="left"/>
              <w:rPr>
                <w:rFonts w:hint="eastAsia" w:ascii="宋体" w:hAnsi="宋体" w:eastAsia="宋体" w:cs="宋体"/>
                <w:szCs w:val="21"/>
              </w:rPr>
            </w:pPr>
            <w:r>
              <w:rPr>
                <w:rFonts w:hint="eastAsia" w:ascii="宋体" w:hAnsi="宋体" w:eastAsia="宋体" w:cs="宋体"/>
                <w:szCs w:val="21"/>
              </w:rPr>
              <w:t>平时作业共3次，练习课题学习的字</w:t>
            </w:r>
          </w:p>
        </w:tc>
        <w:tc>
          <w:tcPr>
            <w:tcW w:w="0" w:type="auto"/>
            <w:vAlign w:val="center"/>
          </w:tcPr>
          <w:p w14:paraId="1DE0BEB4">
            <w:pPr>
              <w:spacing w:line="360" w:lineRule="auto"/>
              <w:jc w:val="center"/>
              <w:rPr>
                <w:rFonts w:ascii="Times New Roman" w:hAnsi="Times New Roman" w:eastAsia="宋体" w:cs="Times New Roman"/>
                <w:szCs w:val="21"/>
              </w:rPr>
            </w:pPr>
            <w:r>
              <w:rPr>
                <w:rFonts w:hint="eastAsia" w:ascii="等线" w:hAnsi="等线" w:eastAsia="等线" w:cs="Times New Roman"/>
                <w:szCs w:val="21"/>
              </w:rPr>
              <w:t>4</w:t>
            </w:r>
            <w:r>
              <w:rPr>
                <w:rFonts w:hint="eastAsia" w:ascii="Times New Roman" w:hAnsi="Times New Roman" w:eastAsia="宋体" w:cs="Times New Roman"/>
                <w:szCs w:val="21"/>
              </w:rPr>
              <w:t>0%</w:t>
            </w:r>
          </w:p>
        </w:tc>
      </w:tr>
      <w:tr w14:paraId="7E51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14:paraId="7FA702A5">
            <w:pPr>
              <w:spacing w:line="360" w:lineRule="auto"/>
              <w:jc w:val="center"/>
              <w:rPr>
                <w:rFonts w:hint="eastAsia" w:ascii="宋体" w:hAnsi="宋体" w:eastAsia="宋体" w:cs="宋体"/>
                <w:szCs w:val="21"/>
              </w:rPr>
            </w:pPr>
            <w:r>
              <w:rPr>
                <w:rFonts w:hint="eastAsia" w:ascii="宋体" w:hAnsi="宋体" w:eastAsia="宋体" w:cs="宋体"/>
                <w:szCs w:val="21"/>
              </w:rPr>
              <w:t>课堂表现</w:t>
            </w:r>
          </w:p>
        </w:tc>
        <w:tc>
          <w:tcPr>
            <w:tcW w:w="6506" w:type="dxa"/>
            <w:vAlign w:val="center"/>
          </w:tcPr>
          <w:p w14:paraId="451D7126">
            <w:pPr>
              <w:widowControl/>
              <w:spacing w:line="360" w:lineRule="auto"/>
              <w:jc w:val="left"/>
              <w:rPr>
                <w:rFonts w:hint="eastAsia" w:ascii="宋体" w:hAnsi="宋体" w:eastAsia="宋体" w:cs="宋体"/>
                <w:szCs w:val="21"/>
              </w:rPr>
            </w:pPr>
            <w:r>
              <w:rPr>
                <w:rFonts w:hint="eastAsia" w:ascii="宋体" w:hAnsi="宋体" w:eastAsia="宋体" w:cs="宋体"/>
                <w:kern w:val="0"/>
                <w:szCs w:val="21"/>
                <w:lang w:bidi="ar"/>
              </w:rPr>
              <w:t>课题考勤情况。</w:t>
            </w:r>
            <w:r>
              <w:rPr>
                <w:rFonts w:hint="eastAsia" w:ascii="宋体" w:hAnsi="宋体" w:eastAsia="宋体" w:cs="宋体"/>
                <w:szCs w:val="21"/>
              </w:rPr>
              <w:t>迟到一次扣2分，无故缺席一次扣5分，累计达3次以上（不含3次）取消课程成绩。</w:t>
            </w:r>
          </w:p>
        </w:tc>
        <w:tc>
          <w:tcPr>
            <w:tcW w:w="0" w:type="auto"/>
            <w:vAlign w:val="center"/>
          </w:tcPr>
          <w:p w14:paraId="158A865D">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8B9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vAlign w:val="center"/>
          </w:tcPr>
          <w:p w14:paraId="13564A1B">
            <w:pPr>
              <w:spacing w:line="360" w:lineRule="auto"/>
              <w:jc w:val="center"/>
              <w:rPr>
                <w:rFonts w:hint="eastAsia" w:ascii="宋体" w:hAnsi="宋体" w:eastAsia="宋体" w:cs="宋体"/>
                <w:szCs w:val="21"/>
              </w:rPr>
            </w:pPr>
            <w:r>
              <w:rPr>
                <w:rFonts w:hint="eastAsia" w:ascii="宋体" w:hAnsi="宋体" w:eastAsia="宋体" w:cs="宋体"/>
                <w:szCs w:val="21"/>
              </w:rPr>
              <w:t>期末考查</w:t>
            </w:r>
          </w:p>
        </w:tc>
        <w:tc>
          <w:tcPr>
            <w:tcW w:w="6506" w:type="dxa"/>
            <w:vAlign w:val="center"/>
          </w:tcPr>
          <w:p w14:paraId="7065AD6C">
            <w:pPr>
              <w:spacing w:line="360" w:lineRule="auto"/>
              <w:jc w:val="left"/>
              <w:rPr>
                <w:rFonts w:hint="eastAsia" w:ascii="宋体" w:hAnsi="宋体" w:eastAsia="宋体" w:cs="宋体"/>
                <w:szCs w:val="21"/>
              </w:rPr>
            </w:pPr>
            <w:r>
              <w:rPr>
                <w:rFonts w:hint="eastAsia" w:ascii="宋体" w:hAnsi="宋体" w:eastAsia="宋体" w:cs="宋体"/>
                <w:szCs w:val="21"/>
              </w:rPr>
              <w:t>书写课题练习的字，临摹书法作品</w:t>
            </w:r>
          </w:p>
        </w:tc>
        <w:tc>
          <w:tcPr>
            <w:tcW w:w="0" w:type="auto"/>
            <w:vAlign w:val="center"/>
          </w:tcPr>
          <w:p w14:paraId="07BAEA3F">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12D9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10" w:type="dxa"/>
            <w:vAlign w:val="center"/>
          </w:tcPr>
          <w:p w14:paraId="5FA02ADF">
            <w:pPr>
              <w:spacing w:line="360" w:lineRule="auto"/>
              <w:jc w:val="center"/>
              <w:rPr>
                <w:rFonts w:hint="eastAsia" w:ascii="宋体" w:hAnsi="宋体" w:eastAsia="宋体" w:cs="宋体"/>
                <w:b/>
                <w:bCs/>
                <w:szCs w:val="21"/>
              </w:rPr>
            </w:pPr>
            <w:r>
              <w:rPr>
                <w:rFonts w:hint="eastAsia" w:ascii="宋体" w:hAnsi="宋体" w:eastAsia="宋体" w:cs="宋体"/>
                <w:b/>
                <w:bCs/>
                <w:szCs w:val="21"/>
              </w:rPr>
              <w:t>合计</w:t>
            </w:r>
          </w:p>
        </w:tc>
        <w:tc>
          <w:tcPr>
            <w:tcW w:w="6506" w:type="dxa"/>
            <w:vAlign w:val="center"/>
          </w:tcPr>
          <w:p w14:paraId="1E99A413">
            <w:pPr>
              <w:spacing w:line="360" w:lineRule="auto"/>
              <w:jc w:val="center"/>
              <w:rPr>
                <w:rFonts w:hint="eastAsia" w:ascii="宋体" w:hAnsi="宋体" w:eastAsia="宋体" w:cs="宋体"/>
                <w:szCs w:val="21"/>
              </w:rPr>
            </w:pPr>
          </w:p>
        </w:tc>
        <w:tc>
          <w:tcPr>
            <w:tcW w:w="0" w:type="auto"/>
            <w:vAlign w:val="center"/>
          </w:tcPr>
          <w:p w14:paraId="0738386F">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4775CF0">
      <w:pPr>
        <w:spacing w:line="360" w:lineRule="auto"/>
        <w:ind w:firstLine="412"/>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32353695">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3E7BD256">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35" o:spt="75" type="#_x0000_t75" style="height:24.8pt;width:404.45pt;" o:ole="t" filled="f" o:preferrelative="t" stroked="f" coordsize="21600,21600">
            <v:path/>
            <v:fill on="f" focussize="0,0"/>
            <v:stroke on="f" joinstyle="miter"/>
            <v:imagedata r:id="rId12" o:title=""/>
            <o:lock v:ext="edit" aspectratio="t"/>
            <w10:wrap type="none"/>
            <w10:anchorlock/>
          </v:shape>
          <o:OLEObject Type="Embed" ProgID="Equation.3" ShapeID="_x0000_i1035" DrawAspect="Content" ObjectID="_1468075735" r:id="rId23">
            <o:LockedField>false</o:LockedField>
          </o:OLEObject>
        </w:object>
      </w:r>
      <w:r>
        <w:rPr>
          <w:rFonts w:hint="eastAsia" w:ascii="Times New Roman" w:hAnsi="Times New Roman" w:eastAsia="宋体" w:cs="Times New Roman"/>
          <w:b/>
          <w:sz w:val="24"/>
        </w:rPr>
        <w:t>五、有关说明</w:t>
      </w:r>
    </w:p>
    <w:p w14:paraId="2F410FC6">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（一）持续改进</w:t>
      </w:r>
    </w:p>
    <w:p w14:paraId="6E06F34C">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根据学生课堂教学中的反应、课后反馈、作业质量、答卷情况，以及领导、督导、教师同行等的听课情况，及时发现和改进教学中的不足之处，确保相应毕业要求指标点达成。</w:t>
      </w:r>
    </w:p>
    <w:p w14:paraId="1BB098AE">
      <w:pPr>
        <w:numPr>
          <w:ilvl w:val="0"/>
          <w:numId w:val="11"/>
        </w:num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建议教材</w:t>
      </w:r>
    </w:p>
    <w:p w14:paraId="60DE1E9B">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《硬笔书法实用教程》，主编：郭立年等，北京：航空工业出版社，</w:t>
      </w:r>
      <w:r>
        <w:rPr>
          <w:rFonts w:hint="eastAsia" w:ascii="宋体" w:hAnsi="宋体" w:eastAsia="宋体" w:cs="宋体"/>
          <w:szCs w:val="21"/>
        </w:rPr>
        <w:t>2023</w:t>
      </w:r>
    </w:p>
    <w:p w14:paraId="44490084">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（三）参考书目及学习资料</w:t>
      </w:r>
    </w:p>
    <w:p w14:paraId="3FA5AA7C">
      <w:pPr>
        <w:widowControl/>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1.</w:t>
      </w:r>
      <w:r>
        <w:fldChar w:fldCharType="begin"/>
      </w:r>
      <w:r>
        <w:instrText xml:space="preserve"> HYPERLINK "http://search.dangdang.com/?key2=%B6%A1%D3%C0%BF%B5&amp;medium=01&amp;category_path=01.00.00.00.00.00" \t "http://product.dangdang.com/_blank" </w:instrText>
      </w:r>
      <w:r>
        <w:fldChar w:fldCharType="separate"/>
      </w:r>
      <w:r>
        <w:rPr>
          <w:rFonts w:hint="eastAsia" w:ascii="宋体" w:hAnsi="宋体" w:eastAsia="宋体" w:cs="宋体"/>
          <w:kern w:val="0"/>
          <w:szCs w:val="21"/>
        </w:rPr>
        <w:t>丁永康</w:t>
      </w:r>
      <w:r>
        <w:rPr>
          <w:rFonts w:hint="eastAsia" w:ascii="宋体" w:hAnsi="宋体" w:eastAsia="宋体" w:cs="宋体"/>
          <w:kern w:val="0"/>
          <w:szCs w:val="21"/>
        </w:rPr>
        <w:fldChar w:fldCharType="end"/>
      </w:r>
      <w:r>
        <w:rPr>
          <w:rFonts w:hint="eastAsia" w:ascii="宋体" w:hAnsi="宋体" w:eastAsia="宋体" w:cs="宋体"/>
          <w:kern w:val="0"/>
          <w:szCs w:val="21"/>
        </w:rPr>
        <w:t>著，硬笔书法教程， 山东：</w:t>
      </w:r>
      <w:r>
        <w:rPr>
          <w:rFonts w:hint="eastAsia" w:ascii="宋体" w:hAnsi="宋体" w:eastAsia="宋体" w:cs="宋体"/>
          <w:szCs w:val="21"/>
        </w:rPr>
        <w:fldChar w:fldCharType="begin"/>
      </w:r>
      <w:r>
        <w:rPr>
          <w:rFonts w:hint="eastAsia" w:ascii="宋体" w:hAnsi="宋体" w:eastAsia="宋体" w:cs="宋体"/>
          <w:szCs w:val="21"/>
        </w:rPr>
        <w:instrText xml:space="preserve"> HYPERLINK "http://search.dangdang.com/?key3=%C9%BD%B6%AB%BB%AD%B1%A8%B3%F6%B0%E6%C9%E7&amp;medium=01&amp;category_path=01.00.00.00.00.00" \t "http://product.dangdang.com/_blank" </w:instrText>
      </w:r>
      <w:r>
        <w:rPr>
          <w:rFonts w:hint="eastAsia" w:ascii="宋体" w:hAnsi="宋体" w:eastAsia="宋体" w:cs="宋体"/>
          <w:szCs w:val="21"/>
        </w:rPr>
        <w:fldChar w:fldCharType="separate"/>
      </w:r>
      <w:r>
        <w:rPr>
          <w:rFonts w:hint="eastAsia" w:ascii="宋体" w:hAnsi="宋体" w:eastAsia="宋体" w:cs="宋体"/>
          <w:kern w:val="0"/>
          <w:szCs w:val="21"/>
        </w:rPr>
        <w:t>山东画报出版社</w:t>
      </w:r>
      <w:r>
        <w:rPr>
          <w:rFonts w:hint="eastAsia" w:ascii="宋体" w:hAnsi="宋体" w:eastAsia="宋体" w:cs="宋体"/>
          <w:kern w:val="0"/>
          <w:szCs w:val="21"/>
        </w:rPr>
        <w:fldChar w:fldCharType="end"/>
      </w:r>
      <w:r>
        <w:rPr>
          <w:rFonts w:hint="eastAsia" w:ascii="宋体" w:hAnsi="宋体" w:eastAsia="宋体" w:cs="宋体"/>
          <w:kern w:val="0"/>
          <w:szCs w:val="21"/>
        </w:rPr>
        <w:t>，2009.5</w:t>
      </w:r>
    </w:p>
    <w:p w14:paraId="518A2B6A">
      <w:pPr>
        <w:widowControl/>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2.荆霄鹏书，行楷书法等级考试教程，湖北：湖北美术出版社，2012.10</w:t>
      </w:r>
    </w:p>
    <w:p w14:paraId="3CB06F94">
      <w:pPr>
        <w:widowControl/>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3.田英章，硬笔书法国学楷书行楷字帖，上海：上海交通大学出版社，2015.6</w:t>
      </w:r>
    </w:p>
    <w:p w14:paraId="57B55416">
      <w:pPr>
        <w:widowControl/>
        <w:ind w:firstLine="420" w:firstLineChars="200"/>
        <w:jc w:val="left"/>
        <w:rPr>
          <w:rFonts w:hint="eastAsia" w:ascii="宋体" w:hAnsi="宋体" w:eastAsia="宋体" w:cs="宋体"/>
          <w:kern w:val="0"/>
          <w:szCs w:val="21"/>
        </w:rPr>
      </w:pPr>
    </w:p>
    <w:p w14:paraId="6267A93B">
      <w:pPr>
        <w:autoSpaceDE w:val="0"/>
        <w:autoSpaceDN w:val="0"/>
        <w:adjustRightInd w:val="0"/>
        <w:spacing w:line="360" w:lineRule="auto"/>
        <w:ind w:left="5519" w:leftChars="228" w:hanging="5040" w:hangingChars="2400"/>
        <w:jc w:val="right"/>
        <w:rPr>
          <w:rFonts w:hint="eastAsia" w:ascii="宋体" w:hAnsi="宋体" w:eastAsia="宋体" w:cs="宋体"/>
          <w:kern w:val="0"/>
          <w:szCs w:val="21"/>
        </w:rPr>
      </w:pPr>
      <w:r>
        <w:rPr>
          <w:rFonts w:hint="eastAsia" w:ascii="宋体" w:hAnsi="宋体" w:eastAsia="宋体" w:cs="宋体"/>
          <w:szCs w:val="21"/>
        </w:rPr>
        <w:t xml:space="preserve">                                               </w:t>
      </w:r>
      <w:r>
        <w:rPr>
          <w:rFonts w:hint="eastAsia" w:ascii="宋体" w:hAnsi="宋体" w:eastAsia="宋体" w:cs="宋体"/>
          <w:kern w:val="0"/>
          <w:szCs w:val="21"/>
        </w:rPr>
        <w:t xml:space="preserve">执笔人： 尹志山 </w:t>
      </w:r>
    </w:p>
    <w:p w14:paraId="3DD42316">
      <w:pPr>
        <w:adjustRightInd w:val="0"/>
        <w:snapToGrid w:val="0"/>
        <w:spacing w:line="360" w:lineRule="auto"/>
        <w:ind w:firstLine="5460" w:firstLineChars="2600"/>
        <w:jc w:val="right"/>
        <w:rPr>
          <w:rFonts w:hint="eastAsia" w:ascii="宋体" w:hAnsi="宋体" w:eastAsia="宋体" w:cs="宋体"/>
          <w:kern w:val="0"/>
          <w:szCs w:val="21"/>
        </w:rPr>
      </w:pPr>
      <w:r>
        <w:rPr>
          <w:rFonts w:hint="eastAsia" w:ascii="宋体" w:hAnsi="宋体" w:eastAsia="宋体" w:cs="宋体"/>
          <w:kern w:val="0"/>
          <w:szCs w:val="21"/>
        </w:rPr>
        <w:t>审定人：荀  洁</w:t>
      </w:r>
    </w:p>
    <w:p w14:paraId="0E52D6FD">
      <w:pPr>
        <w:adjustRightInd w:val="0"/>
        <w:snapToGrid w:val="0"/>
        <w:spacing w:line="360" w:lineRule="auto"/>
        <w:ind w:firstLine="5460" w:firstLineChars="2600"/>
        <w:jc w:val="right"/>
        <w:rPr>
          <w:rFonts w:hint="eastAsia" w:ascii="宋体" w:hAnsi="宋体" w:eastAsia="宋体" w:cs="宋体"/>
          <w:kern w:val="0"/>
          <w:szCs w:val="21"/>
        </w:rPr>
      </w:pPr>
      <w:r>
        <w:rPr>
          <w:rFonts w:hint="eastAsia" w:ascii="宋体" w:hAnsi="宋体" w:eastAsia="宋体" w:cs="宋体"/>
          <w:kern w:val="0"/>
          <w:szCs w:val="21"/>
        </w:rPr>
        <w:t>审批人：陈建忠</w:t>
      </w:r>
    </w:p>
    <w:p w14:paraId="1B0E7324">
      <w:pPr>
        <w:adjustRightInd w:val="0"/>
        <w:snapToGrid w:val="0"/>
        <w:spacing w:line="360" w:lineRule="auto"/>
        <w:ind w:firstLine="5460" w:firstLineChars="2600"/>
        <w:jc w:val="right"/>
        <w:rPr>
          <w:rFonts w:hint="eastAsia" w:ascii="宋体" w:hAnsi="宋体" w:eastAsia="宋体" w:cs="宋体"/>
          <w:kern w:val="0"/>
          <w:szCs w:val="21"/>
        </w:rPr>
      </w:pPr>
      <w:r>
        <w:rPr>
          <w:rFonts w:hint="eastAsia" w:ascii="宋体" w:hAnsi="宋体" w:eastAsia="宋体" w:cs="宋体"/>
          <w:kern w:val="0"/>
          <w:szCs w:val="21"/>
        </w:rPr>
        <w:t>批准时间：2024年 9月1 日</w:t>
      </w:r>
    </w:p>
    <w:p w14:paraId="1463EDA5">
      <w:pPr>
        <w:rPr>
          <w:rFonts w:hint="eastAsia" w:ascii="等线" w:hAnsi="等线" w:eastAsia="等线" w:cs="Times New Roman"/>
          <w:kern w:val="0"/>
          <w:szCs w:val="21"/>
        </w:rPr>
      </w:pPr>
      <w:r>
        <w:rPr>
          <w:rFonts w:hint="eastAsia" w:ascii="等线" w:hAnsi="等线" w:eastAsia="等线" w:cs="Times New Roman"/>
          <w:kern w:val="0"/>
          <w:szCs w:val="21"/>
        </w:rPr>
        <w:br w:type="page"/>
      </w:r>
    </w:p>
    <w:p w14:paraId="58A083F1">
      <w:pPr>
        <w:spacing w:line="360" w:lineRule="auto"/>
        <w:jc w:val="center"/>
        <w:outlineLvl w:val="0"/>
        <w:rPr>
          <w:rFonts w:ascii="Times New Roman" w:hAnsi="Times New Roman" w:eastAsia="宋体" w:cs="Times New Roman"/>
          <w:b/>
          <w:sz w:val="44"/>
          <w:szCs w:val="44"/>
        </w:rPr>
      </w:pPr>
      <w:bookmarkStart w:id="393" w:name="_Toc15801"/>
      <w:bookmarkStart w:id="394" w:name="_Toc21937"/>
      <w:bookmarkStart w:id="395" w:name="_Toc22372"/>
      <w:bookmarkStart w:id="396" w:name="_Toc57017170"/>
      <w:bookmarkStart w:id="397" w:name="_Toc19313"/>
      <w:bookmarkStart w:id="398" w:name="_Toc3094"/>
      <w:r>
        <w:rPr>
          <w:rFonts w:hint="eastAsia" w:ascii="Times New Roman" w:hAnsi="Times New Roman" w:eastAsia="宋体" w:cs="Times New Roman"/>
          <w:b/>
          <w:sz w:val="44"/>
          <w:szCs w:val="44"/>
        </w:rPr>
        <w:t>《普通话训练指导》课程教学大纲</w:t>
      </w:r>
      <w:bookmarkEnd w:id="393"/>
      <w:bookmarkEnd w:id="394"/>
    </w:p>
    <w:p w14:paraId="20F2ACD0">
      <w:pPr>
        <w:spacing w:line="360" w:lineRule="auto"/>
        <w:jc w:val="center"/>
        <w:rPr>
          <w:rFonts w:ascii="Times New Roman" w:hAnsi="Times New Roman" w:eastAsia="宋体" w:cs="Times New Roman"/>
          <w:b/>
          <w:sz w:val="30"/>
          <w:szCs w:val="30"/>
        </w:rPr>
      </w:pPr>
      <w:r>
        <w:rPr>
          <w:rFonts w:hint="eastAsia" w:ascii="Times New Roman" w:hAnsi="Times New Roman" w:eastAsia="宋体" w:cs="Times New Roman"/>
          <w:b/>
          <w:sz w:val="30"/>
          <w:szCs w:val="30"/>
        </w:rPr>
        <w:t>（</w:t>
      </w:r>
      <w:r>
        <w:rPr>
          <w:rFonts w:ascii="Times New Roman" w:hAnsi="Times New Roman" w:eastAsia="宋体" w:cs="Times New Roman"/>
          <w:b/>
          <w:sz w:val="30"/>
          <w:szCs w:val="30"/>
        </w:rPr>
        <w:t>Practice of Mandarin</w:t>
      </w:r>
      <w:r>
        <w:rPr>
          <w:rFonts w:hint="eastAsia" w:ascii="Times New Roman" w:hAnsi="Times New Roman" w:eastAsia="宋体" w:cs="Times New Roman"/>
          <w:b/>
          <w:sz w:val="30"/>
          <w:szCs w:val="30"/>
        </w:rPr>
        <w:t>）</w:t>
      </w:r>
    </w:p>
    <w:p w14:paraId="18DC6F7F">
      <w:pPr>
        <w:spacing w:line="360" w:lineRule="auto"/>
        <w:ind w:firstLine="413" w:firstLineChars="196"/>
        <w:rPr>
          <w:rFonts w:ascii="Calibri" w:hAnsi="Calibri" w:eastAsia="宋体" w:cs="Times New Roman"/>
          <w:b/>
          <w:szCs w:val="21"/>
        </w:rPr>
      </w:pPr>
    </w:p>
    <w:p w14:paraId="5BAE1CFF">
      <w:pPr>
        <w:spacing w:line="360" w:lineRule="auto"/>
        <w:ind w:firstLine="472" w:firstLineChars="196"/>
        <w:rPr>
          <w:rFonts w:ascii="Calibri" w:hAnsi="Calibri" w:eastAsia="宋体" w:cs="Times New Roman"/>
          <w:b/>
          <w:sz w:val="24"/>
        </w:rPr>
      </w:pPr>
      <w:r>
        <w:rPr>
          <w:rFonts w:hint="eastAsia" w:ascii="Calibri" w:hAnsi="Calibri" w:eastAsia="宋体" w:cs="Times New Roman"/>
          <w:b/>
          <w:sz w:val="24"/>
        </w:rPr>
        <w:t>课程名称：普通话训练指导</w:t>
      </w:r>
    </w:p>
    <w:p w14:paraId="419B55E0">
      <w:pPr>
        <w:spacing w:line="360" w:lineRule="auto"/>
        <w:ind w:firstLine="482" w:firstLineChars="200"/>
        <w:rPr>
          <w:rFonts w:ascii="Times New Roman" w:hAnsi="Times New Roman" w:eastAsia="华文细黑" w:cs="Times New Roman"/>
          <w:b/>
          <w:sz w:val="28"/>
          <w:szCs w:val="28"/>
        </w:rPr>
      </w:pPr>
      <w:r>
        <w:rPr>
          <w:rFonts w:hint="eastAsia" w:ascii="宋体" w:hAnsi="宋体" w:eastAsia="宋体" w:cs="Times New Roman"/>
          <w:b/>
          <w:kern w:val="0"/>
          <w:sz w:val="24"/>
        </w:rPr>
        <w:t>课程代码：</w:t>
      </w:r>
      <w:r>
        <w:rPr>
          <w:rFonts w:ascii="Times New Roman" w:hAnsi="Times New Roman" w:eastAsia="华文细黑" w:cs="Times New Roman"/>
          <w:b/>
          <w:sz w:val="28"/>
          <w:szCs w:val="28"/>
        </w:rPr>
        <w:t>0705015</w:t>
      </w:r>
    </w:p>
    <w:p w14:paraId="7F3A5A26">
      <w:pPr>
        <w:spacing w:line="360" w:lineRule="auto"/>
        <w:ind w:firstLine="482" w:firstLineChars="200"/>
        <w:rPr>
          <w:rFonts w:hint="eastAsia" w:ascii="宋体" w:hAnsi="宋体" w:eastAsia="宋体" w:cs="Times New Roman"/>
          <w:b/>
          <w:kern w:val="0"/>
          <w:sz w:val="24"/>
        </w:rPr>
      </w:pPr>
      <w:r>
        <w:rPr>
          <w:rFonts w:hint="eastAsia" w:ascii="宋体" w:hAnsi="宋体" w:eastAsia="宋体" w:cs="Times New Roman"/>
          <w:b/>
          <w:kern w:val="0"/>
          <w:sz w:val="24"/>
        </w:rPr>
        <w:t>学    分：2</w:t>
      </w:r>
    </w:p>
    <w:p w14:paraId="7CA15398">
      <w:pPr>
        <w:spacing w:line="360" w:lineRule="auto"/>
        <w:ind w:firstLine="482" w:firstLineChars="200"/>
        <w:rPr>
          <w:rFonts w:hint="eastAsia" w:ascii="宋体" w:hAnsi="宋体" w:eastAsia="宋体" w:cs="Times New Roman"/>
          <w:b/>
          <w:kern w:val="0"/>
          <w:sz w:val="24"/>
        </w:rPr>
      </w:pPr>
      <w:r>
        <w:rPr>
          <w:rFonts w:hint="eastAsia" w:ascii="宋体" w:hAnsi="宋体" w:eastAsia="宋体" w:cs="Times New Roman"/>
          <w:b/>
          <w:kern w:val="0"/>
          <w:sz w:val="24"/>
        </w:rPr>
        <w:t>学    时：16 （其中讲授6学时，课内实践10学时）</w:t>
      </w:r>
    </w:p>
    <w:p w14:paraId="5410EEB8">
      <w:pPr>
        <w:spacing w:line="360" w:lineRule="auto"/>
        <w:ind w:firstLine="482" w:firstLineChars="200"/>
        <w:rPr>
          <w:rFonts w:hint="eastAsia" w:ascii="宋体" w:hAnsi="宋体" w:eastAsia="宋体" w:cs="Times New Roman"/>
          <w:b/>
          <w:kern w:val="0"/>
          <w:sz w:val="24"/>
        </w:rPr>
      </w:pPr>
      <w:r>
        <w:rPr>
          <w:rFonts w:hint="eastAsia" w:ascii="宋体" w:hAnsi="宋体" w:eastAsia="宋体" w:cs="Times New Roman"/>
          <w:b/>
          <w:kern w:val="0"/>
          <w:sz w:val="24"/>
        </w:rPr>
        <w:t>先修课程：无</w:t>
      </w:r>
    </w:p>
    <w:p w14:paraId="28A2F677">
      <w:pPr>
        <w:spacing w:line="360" w:lineRule="auto"/>
        <w:ind w:firstLine="482" w:firstLineChars="200"/>
        <w:rPr>
          <w:rFonts w:hint="eastAsia" w:ascii="宋体" w:hAnsi="宋体" w:eastAsia="宋体" w:cs="Times New Roman"/>
          <w:b/>
          <w:kern w:val="0"/>
          <w:sz w:val="24"/>
        </w:rPr>
      </w:pPr>
      <w:r>
        <w:rPr>
          <w:rFonts w:hint="eastAsia" w:ascii="宋体" w:hAnsi="宋体" w:eastAsia="宋体" w:cs="Times New Roman"/>
          <w:b/>
          <w:kern w:val="0"/>
          <w:sz w:val="24"/>
        </w:rPr>
        <w:t xml:space="preserve">适用专业：小学教育  </w:t>
      </w:r>
    </w:p>
    <w:p w14:paraId="0ED6031B">
      <w:pPr>
        <w:autoSpaceDE w:val="0"/>
        <w:autoSpaceDN w:val="0"/>
        <w:adjustRightInd w:val="0"/>
        <w:spacing w:line="360" w:lineRule="auto"/>
        <w:jc w:val="left"/>
        <w:rPr>
          <w:rFonts w:hint="eastAsia" w:ascii="宋体" w:hAnsi="宋体" w:eastAsia="宋体" w:cs="Times New Roman"/>
          <w:b/>
          <w:bCs/>
          <w:kern w:val="0"/>
          <w:sz w:val="24"/>
        </w:rPr>
      </w:pPr>
      <w:r>
        <w:rPr>
          <w:rFonts w:hint="eastAsia" w:ascii="宋体" w:hAnsi="宋体" w:eastAsia="宋体" w:cs="Times New Roman"/>
          <w:b/>
          <w:bCs/>
          <w:kern w:val="0"/>
          <w:sz w:val="24"/>
        </w:rPr>
        <w:t>一、课程简介</w:t>
      </w:r>
    </w:p>
    <w:p w14:paraId="4341EE69">
      <w:pPr>
        <w:autoSpaceDE w:val="0"/>
        <w:autoSpaceDN w:val="0"/>
        <w:adjustRightInd w:val="0"/>
        <w:spacing w:line="360" w:lineRule="auto"/>
        <w:ind w:firstLine="420" w:firstLineChars="200"/>
        <w:rPr>
          <w:rFonts w:ascii="Calibri" w:hAnsi="Calibri" w:eastAsia="宋体" w:cs="Times New Roman"/>
          <w:kern w:val="0"/>
          <w:szCs w:val="21"/>
        </w:rPr>
      </w:pPr>
      <w:r>
        <w:rPr>
          <w:rFonts w:hint="eastAsia" w:ascii="Calibri" w:hAnsi="Calibri" w:eastAsia="宋体" w:cs="Times New Roman"/>
          <w:kern w:val="0"/>
          <w:szCs w:val="21"/>
        </w:rPr>
        <w:t>本课程是</w:t>
      </w:r>
      <w:r>
        <w:rPr>
          <w:rFonts w:hint="eastAsia" w:ascii="宋体" w:hAnsi="宋体" w:eastAsia="宋体" w:cs="Times New Roman"/>
          <w:bCs/>
          <w:kern w:val="0"/>
          <w:szCs w:val="21"/>
        </w:rPr>
        <w:t>小学教育</w:t>
      </w:r>
      <w:r>
        <w:rPr>
          <w:rFonts w:hint="eastAsia" w:ascii="Calibri" w:hAnsi="Calibri" w:eastAsia="宋体" w:cs="Times New Roman"/>
          <w:kern w:val="0"/>
          <w:szCs w:val="21"/>
        </w:rPr>
        <w:t>专业一门专业基础—必修课程。通过该课程的学习不仅要让学生掌握普通话和普通话水平测试的基础理论，还要围绕普通话的重难点音及普通话水平测试的常见失误，对学生进行有针对性的训练，为后续学习</w:t>
      </w:r>
      <w:r>
        <w:rPr>
          <w:rFonts w:hint="eastAsia" w:ascii="宋体" w:hAnsi="宋体" w:eastAsia="宋体" w:cs="Times New Roman"/>
          <w:bCs/>
          <w:kern w:val="0"/>
          <w:szCs w:val="21"/>
        </w:rPr>
        <w:t>相关</w:t>
      </w:r>
      <w:r>
        <w:rPr>
          <w:rFonts w:hint="eastAsia" w:ascii="Calibri" w:hAnsi="Calibri" w:eastAsia="宋体" w:cs="Times New Roman"/>
          <w:kern w:val="0"/>
          <w:szCs w:val="21"/>
        </w:rPr>
        <w:t>课程以及从事小学教育等方面的工作打下坚实的基础。</w:t>
      </w:r>
    </w:p>
    <w:p w14:paraId="5364168C">
      <w:pPr>
        <w:autoSpaceDE w:val="0"/>
        <w:autoSpaceDN w:val="0"/>
        <w:adjustRightInd w:val="0"/>
        <w:spacing w:line="360" w:lineRule="auto"/>
        <w:ind w:firstLine="420" w:firstLineChars="200"/>
        <w:rPr>
          <w:rFonts w:ascii="Calibri" w:hAnsi="Calibri" w:eastAsia="宋体" w:cs="Times New Roman"/>
          <w:szCs w:val="21"/>
        </w:rPr>
      </w:pPr>
      <w:r>
        <w:rPr>
          <w:rFonts w:hint="eastAsia" w:ascii="Calibri" w:hAnsi="Calibri" w:eastAsia="宋体" w:cs="Times New Roman"/>
          <w:szCs w:val="21"/>
        </w:rPr>
        <w:t>能说一口标准的普通话，具备较好的口语表达能力，是一项必备的社交技能。教师以普通话为工作语言，师范专业与口语表达密切相关，因此说好普通话也是小学教育专业一项必备的职业技能。提高语言应用能力，继承和弘扬中华民族优秀的传统文化，更是小学教育专业素质教育的重要内容。</w:t>
      </w:r>
    </w:p>
    <w:p w14:paraId="41C1E1FC">
      <w:pPr>
        <w:spacing w:line="360" w:lineRule="auto"/>
        <w:rPr>
          <w:rFonts w:ascii="Calibri" w:hAnsi="Calibri" w:eastAsia="宋体" w:cs="Times New Roman"/>
          <w:b/>
          <w:sz w:val="24"/>
        </w:rPr>
      </w:pPr>
      <w:r>
        <w:rPr>
          <w:rFonts w:hint="eastAsia" w:ascii="Calibri" w:hAnsi="Calibri" w:eastAsia="宋体" w:cs="Times New Roman"/>
          <w:b/>
          <w:sz w:val="24"/>
        </w:rPr>
        <w:t>二、课程目标</w:t>
      </w:r>
    </w:p>
    <w:p w14:paraId="46075451">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（一）课程具体目标</w:t>
      </w:r>
    </w:p>
    <w:p w14:paraId="223A841D">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目标1.使学生了解和掌握普通话语音和普通话水平测试的基础理论知识；</w:t>
      </w:r>
    </w:p>
    <w:p w14:paraId="39EB1A76">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目标2.使学生掌握普通话声、韵、调的发音难点并能够准确发音；</w:t>
      </w:r>
    </w:p>
    <w:p w14:paraId="0B62F71D">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目标3.使学生了解所操方言与普通话的差异，能够进行自我发音矫正；</w:t>
      </w:r>
    </w:p>
    <w:p w14:paraId="6EAEC9A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目标4.提高学生人际沟通能力和口语表达能力，掌握发音技巧，为将来从事小学教育工作打下基础；</w:t>
      </w:r>
    </w:p>
    <w:p w14:paraId="427A2B3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目标5.学生参加国家普通话水平测试，能够取得二级甲等以上的等级证书。</w:t>
      </w:r>
    </w:p>
    <w:p w14:paraId="63D97F7A">
      <w:pPr>
        <w:numPr>
          <w:ilvl w:val="0"/>
          <w:numId w:val="11"/>
        </w:numPr>
        <w:spacing w:line="360" w:lineRule="auto"/>
        <w:ind w:firstLine="422" w:firstLineChars="200"/>
        <w:jc w:val="left"/>
        <w:rPr>
          <w:rFonts w:hint="eastAsia" w:ascii="宋体" w:hAnsi="宋体" w:eastAsia="宋体" w:cs="宋体"/>
          <w:b/>
          <w:bCs/>
          <w:szCs w:val="21"/>
        </w:rPr>
      </w:pPr>
      <w:r>
        <w:rPr>
          <w:rFonts w:hint="eastAsia" w:ascii="宋体" w:hAnsi="宋体" w:eastAsia="宋体" w:cs="宋体"/>
          <w:b/>
          <w:bCs/>
          <w:szCs w:val="21"/>
        </w:rPr>
        <w:t>课程目标及其对毕业要求指标点的支撑</w:t>
      </w:r>
    </w:p>
    <w:p w14:paraId="29FC4DA1">
      <w:pPr>
        <w:spacing w:line="360" w:lineRule="auto"/>
        <w:ind w:left="420" w:leftChars="200"/>
        <w:jc w:val="left"/>
        <w:rPr>
          <w:rFonts w:hint="eastAsia" w:ascii="宋体" w:hAnsi="宋体" w:eastAsia="宋体" w:cs="宋体"/>
          <w:b/>
          <w:bCs/>
          <w:szCs w:val="21"/>
        </w:rPr>
      </w:pP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5BB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F3AD8F4">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w:t>
            </w:r>
          </w:p>
        </w:tc>
        <w:tc>
          <w:tcPr>
            <w:tcW w:w="5688" w:type="dxa"/>
            <w:vAlign w:val="center"/>
          </w:tcPr>
          <w:p w14:paraId="1FA1DCB6">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191" w:type="dxa"/>
            <w:vAlign w:val="center"/>
          </w:tcPr>
          <w:p w14:paraId="1F9D0451">
            <w:pPr>
              <w:spacing w:line="360" w:lineRule="auto"/>
              <w:jc w:val="center"/>
              <w:rPr>
                <w:rFonts w:hint="eastAsia" w:ascii="宋体" w:hAnsi="宋体" w:eastAsia="宋体" w:cs="宋体"/>
                <w:b/>
                <w:bCs/>
                <w:szCs w:val="21"/>
              </w:rPr>
            </w:pPr>
            <w:r>
              <w:rPr>
                <w:rFonts w:hint="eastAsia" w:ascii="宋体" w:hAnsi="宋体" w:eastAsia="宋体" w:cs="宋体"/>
                <w:b/>
                <w:bCs/>
                <w:szCs w:val="21"/>
              </w:rPr>
              <w:t>课程目标</w:t>
            </w:r>
          </w:p>
        </w:tc>
      </w:tr>
      <w:tr w14:paraId="43E4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EB3A063">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毕业要求4</w:t>
            </w:r>
          </w:p>
          <w:p w14:paraId="2C1CEAB4">
            <w:pPr>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教学能力</w:t>
            </w:r>
          </w:p>
        </w:tc>
        <w:tc>
          <w:tcPr>
            <w:tcW w:w="5688" w:type="dxa"/>
            <w:vAlign w:val="center"/>
          </w:tcPr>
          <w:p w14:paraId="6C64D514">
            <w:pPr>
              <w:spacing w:line="276" w:lineRule="auto"/>
              <w:jc w:val="left"/>
              <w:rPr>
                <w:rFonts w:hint="eastAsia" w:ascii="宋体" w:hAnsi="宋体" w:eastAsia="宋体" w:cs="宋体"/>
                <w:szCs w:val="21"/>
              </w:rPr>
            </w:pPr>
            <w:r>
              <w:rPr>
                <w:rFonts w:hint="eastAsia" w:ascii="宋体" w:hAnsi="宋体" w:eastAsia="宋体" w:cs="宋体"/>
                <w:b/>
                <w:bCs/>
                <w:kern w:val="0"/>
                <w:szCs w:val="21"/>
              </w:rPr>
              <w:t>指标点4-3：【教学实施与评价科学】</w:t>
            </w:r>
            <w:r>
              <w:rPr>
                <w:rFonts w:hint="eastAsia" w:ascii="宋体" w:hAnsi="宋体" w:eastAsia="宋体" w:cs="宋体"/>
                <w:kern w:val="0"/>
                <w:szCs w:val="21"/>
              </w:rPr>
              <w:t>掌握小学教师基本功技能，包括书写技能、沟通与表达技能、信息技术运用技能等。</w:t>
            </w:r>
          </w:p>
        </w:tc>
        <w:tc>
          <w:tcPr>
            <w:tcW w:w="1191" w:type="dxa"/>
            <w:vAlign w:val="center"/>
          </w:tcPr>
          <w:p w14:paraId="734F4A5C">
            <w:pPr>
              <w:spacing w:line="276" w:lineRule="auto"/>
              <w:jc w:val="left"/>
              <w:rPr>
                <w:rFonts w:hint="eastAsia" w:ascii="宋体" w:hAnsi="宋体" w:eastAsia="宋体" w:cs="宋体"/>
                <w:szCs w:val="21"/>
              </w:rPr>
            </w:pPr>
            <w:r>
              <w:rPr>
                <w:rFonts w:hint="eastAsia" w:ascii="宋体" w:hAnsi="宋体" w:eastAsia="宋体" w:cs="宋体"/>
                <w:szCs w:val="21"/>
              </w:rPr>
              <w:t>课程目标</w:t>
            </w:r>
            <w:r>
              <w:rPr>
                <w:rFonts w:hint="eastAsia" w:ascii="宋体" w:hAnsi="宋体" w:eastAsia="宋体" w:cs="宋体"/>
                <w:szCs w:val="21"/>
                <w:lang w:eastAsia="zh"/>
              </w:rPr>
              <w:t xml:space="preserve">1 </w:t>
            </w:r>
            <w:r>
              <w:rPr>
                <w:rFonts w:hint="eastAsia" w:ascii="宋体" w:hAnsi="宋体" w:eastAsia="宋体" w:cs="宋体"/>
                <w:szCs w:val="21"/>
              </w:rPr>
              <w:t>3</w:t>
            </w:r>
          </w:p>
        </w:tc>
      </w:tr>
    </w:tbl>
    <w:p w14:paraId="37C3DD6C">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701251FF">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09E094B5">
      <w:pPr>
        <w:spacing w:before="62" w:beforeLines="20" w:after="62" w:afterLines="20" w:line="360" w:lineRule="auto"/>
        <w:jc w:val="left"/>
        <w:rPr>
          <w:rFonts w:ascii="Calibri" w:hAnsi="Calibri" w:eastAsia="宋体" w:cs="Times New Roman"/>
          <w:b/>
          <w:sz w:val="24"/>
        </w:rPr>
      </w:pPr>
      <w:r>
        <w:rPr>
          <w:rFonts w:hint="eastAsia" w:ascii="宋体" w:hAnsi="宋体" w:eastAsia="宋体" w:cs="Times New Roman"/>
          <w:sz w:val="24"/>
        </w:rPr>
        <w:t>三、</w:t>
      </w:r>
      <w:r>
        <w:rPr>
          <w:rFonts w:hint="eastAsia" w:ascii="Calibri" w:hAnsi="Calibri" w:eastAsia="宋体" w:cs="Times New Roman"/>
          <w:b/>
          <w:sz w:val="24"/>
        </w:rPr>
        <w:t>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2441"/>
        <w:gridCol w:w="1361"/>
        <w:gridCol w:w="2180"/>
        <w:gridCol w:w="1519"/>
        <w:gridCol w:w="438"/>
      </w:tblGrid>
      <w:tr w14:paraId="06C2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Align w:val="center"/>
          </w:tcPr>
          <w:p w14:paraId="07B59AFB">
            <w:pPr>
              <w:jc w:val="center"/>
              <w:rPr>
                <w:rFonts w:hint="eastAsia" w:ascii="宋体" w:hAnsi="宋体" w:eastAsia="宋体" w:cs="宋体"/>
                <w:b/>
                <w:szCs w:val="21"/>
              </w:rPr>
            </w:pPr>
            <w:r>
              <w:rPr>
                <w:rFonts w:hint="eastAsia" w:ascii="宋体" w:hAnsi="宋体" w:eastAsia="宋体" w:cs="宋体"/>
                <w:b/>
                <w:szCs w:val="21"/>
              </w:rPr>
              <w:t>知识</w:t>
            </w:r>
          </w:p>
          <w:p w14:paraId="5D073DA3">
            <w:pPr>
              <w:jc w:val="center"/>
              <w:rPr>
                <w:rFonts w:hint="eastAsia" w:ascii="宋体" w:hAnsi="宋体" w:eastAsia="宋体" w:cs="宋体"/>
                <w:b/>
                <w:szCs w:val="21"/>
              </w:rPr>
            </w:pPr>
            <w:r>
              <w:rPr>
                <w:rFonts w:hint="eastAsia" w:ascii="宋体" w:hAnsi="宋体" w:eastAsia="宋体" w:cs="宋体"/>
                <w:b/>
                <w:szCs w:val="21"/>
              </w:rPr>
              <w:t>单元</w:t>
            </w:r>
          </w:p>
        </w:tc>
        <w:tc>
          <w:tcPr>
            <w:tcW w:w="2441" w:type="dxa"/>
            <w:vAlign w:val="center"/>
          </w:tcPr>
          <w:p w14:paraId="79D487BA">
            <w:pPr>
              <w:jc w:val="center"/>
              <w:rPr>
                <w:rFonts w:hint="eastAsia" w:ascii="宋体" w:hAnsi="宋体" w:eastAsia="宋体" w:cs="宋体"/>
                <w:b/>
                <w:szCs w:val="21"/>
              </w:rPr>
            </w:pPr>
            <w:r>
              <w:rPr>
                <w:rFonts w:hint="eastAsia" w:ascii="宋体" w:hAnsi="宋体" w:eastAsia="宋体" w:cs="宋体"/>
                <w:b/>
                <w:szCs w:val="21"/>
              </w:rPr>
              <w:t>知识点</w:t>
            </w:r>
          </w:p>
        </w:tc>
        <w:tc>
          <w:tcPr>
            <w:tcW w:w="1361" w:type="dxa"/>
            <w:vAlign w:val="center"/>
          </w:tcPr>
          <w:p w14:paraId="6967F1E3">
            <w:pPr>
              <w:jc w:val="center"/>
              <w:rPr>
                <w:rFonts w:hint="eastAsia" w:ascii="宋体" w:hAnsi="宋体" w:eastAsia="宋体" w:cs="宋体"/>
                <w:b/>
                <w:szCs w:val="21"/>
              </w:rPr>
            </w:pPr>
            <w:r>
              <w:rPr>
                <w:rFonts w:hint="eastAsia" w:ascii="宋体" w:hAnsi="宋体" w:eastAsia="宋体" w:cs="宋体"/>
                <w:b/>
                <w:szCs w:val="21"/>
              </w:rPr>
              <w:t>对应</w:t>
            </w:r>
          </w:p>
          <w:p w14:paraId="53B79377">
            <w:pPr>
              <w:jc w:val="center"/>
              <w:rPr>
                <w:rFonts w:hint="eastAsia" w:ascii="宋体" w:hAnsi="宋体" w:eastAsia="宋体" w:cs="宋体"/>
                <w:b/>
                <w:szCs w:val="21"/>
              </w:rPr>
            </w:pPr>
            <w:r>
              <w:rPr>
                <w:rFonts w:hint="eastAsia" w:ascii="宋体" w:hAnsi="宋体" w:eastAsia="宋体" w:cs="宋体"/>
                <w:b/>
                <w:szCs w:val="21"/>
              </w:rPr>
              <w:t>课程目标</w:t>
            </w:r>
          </w:p>
        </w:tc>
        <w:tc>
          <w:tcPr>
            <w:tcW w:w="2180" w:type="dxa"/>
            <w:vAlign w:val="center"/>
          </w:tcPr>
          <w:p w14:paraId="44A11BB0">
            <w:pPr>
              <w:jc w:val="center"/>
              <w:rPr>
                <w:rFonts w:hint="eastAsia" w:ascii="宋体" w:hAnsi="宋体" w:eastAsia="宋体" w:cs="宋体"/>
                <w:b/>
                <w:szCs w:val="21"/>
              </w:rPr>
            </w:pPr>
            <w:r>
              <w:rPr>
                <w:rFonts w:hint="eastAsia" w:ascii="宋体" w:hAnsi="宋体" w:eastAsia="宋体" w:cs="宋体"/>
                <w:b/>
                <w:szCs w:val="21"/>
              </w:rPr>
              <w:t>预期学习成效</w:t>
            </w:r>
          </w:p>
        </w:tc>
        <w:tc>
          <w:tcPr>
            <w:tcW w:w="1519" w:type="dxa"/>
            <w:vAlign w:val="center"/>
          </w:tcPr>
          <w:p w14:paraId="73B01882">
            <w:pPr>
              <w:jc w:val="center"/>
              <w:rPr>
                <w:rFonts w:hint="eastAsia" w:ascii="宋体" w:hAnsi="宋体" w:eastAsia="宋体" w:cs="宋体"/>
                <w:b/>
                <w:szCs w:val="21"/>
              </w:rPr>
            </w:pPr>
            <w:r>
              <w:rPr>
                <w:rFonts w:hint="eastAsia" w:ascii="宋体" w:hAnsi="宋体" w:eastAsia="宋体" w:cs="宋体"/>
                <w:b/>
                <w:szCs w:val="21"/>
              </w:rPr>
              <w:t>实现环节</w:t>
            </w:r>
          </w:p>
        </w:tc>
        <w:tc>
          <w:tcPr>
            <w:tcW w:w="438" w:type="dxa"/>
            <w:vAlign w:val="center"/>
          </w:tcPr>
          <w:p w14:paraId="45A930CE">
            <w:pPr>
              <w:jc w:val="center"/>
              <w:rPr>
                <w:rFonts w:hint="eastAsia" w:ascii="宋体" w:hAnsi="宋体" w:eastAsia="宋体" w:cs="宋体"/>
                <w:b/>
                <w:szCs w:val="21"/>
              </w:rPr>
            </w:pPr>
            <w:r>
              <w:rPr>
                <w:rFonts w:hint="eastAsia" w:ascii="宋体" w:hAnsi="宋体" w:eastAsia="宋体" w:cs="宋体"/>
                <w:b/>
                <w:szCs w:val="21"/>
              </w:rPr>
              <w:t>学时</w:t>
            </w:r>
          </w:p>
        </w:tc>
      </w:tr>
      <w:tr w14:paraId="486C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6417AA11">
            <w:pPr>
              <w:rPr>
                <w:rFonts w:hint="eastAsia" w:ascii="宋体" w:hAnsi="宋体" w:eastAsia="宋体" w:cs="宋体"/>
                <w:szCs w:val="21"/>
              </w:rPr>
            </w:pPr>
            <w:r>
              <w:rPr>
                <w:rFonts w:hint="eastAsia" w:ascii="宋体" w:hAnsi="宋体" w:eastAsia="宋体" w:cs="宋体"/>
                <w:szCs w:val="21"/>
              </w:rPr>
              <w:t>1.普通话语音概说</w:t>
            </w:r>
          </w:p>
        </w:tc>
        <w:tc>
          <w:tcPr>
            <w:tcW w:w="2441" w:type="dxa"/>
            <w:vAlign w:val="center"/>
          </w:tcPr>
          <w:p w14:paraId="7AE435A6">
            <w:pPr>
              <w:rPr>
                <w:rFonts w:hint="eastAsia" w:ascii="宋体" w:hAnsi="宋体" w:eastAsia="宋体" w:cs="宋体"/>
                <w:bCs/>
                <w:szCs w:val="21"/>
              </w:rPr>
            </w:pPr>
            <w:r>
              <w:rPr>
                <w:rFonts w:hint="eastAsia" w:ascii="宋体" w:hAnsi="宋体" w:eastAsia="宋体" w:cs="宋体"/>
                <w:bCs/>
                <w:szCs w:val="21"/>
              </w:rPr>
              <w:t>普通话概述</w:t>
            </w:r>
          </w:p>
          <w:p w14:paraId="1FEB1B97">
            <w:pPr>
              <w:rPr>
                <w:rFonts w:hint="eastAsia" w:ascii="宋体" w:hAnsi="宋体" w:eastAsia="宋体" w:cs="宋体"/>
                <w:szCs w:val="21"/>
              </w:rPr>
            </w:pPr>
            <w:r>
              <w:rPr>
                <w:rFonts w:hint="eastAsia" w:ascii="宋体" w:hAnsi="宋体" w:eastAsia="宋体" w:cs="宋体"/>
                <w:bCs/>
                <w:szCs w:val="21"/>
              </w:rPr>
              <w:t>江苏方言概述</w:t>
            </w:r>
          </w:p>
        </w:tc>
        <w:tc>
          <w:tcPr>
            <w:tcW w:w="1361" w:type="dxa"/>
            <w:vAlign w:val="center"/>
          </w:tcPr>
          <w:p w14:paraId="198E341E">
            <w:pPr>
              <w:jc w:val="center"/>
              <w:rPr>
                <w:rFonts w:hint="eastAsia" w:ascii="宋体" w:hAnsi="宋体" w:eastAsia="宋体" w:cs="宋体"/>
                <w:szCs w:val="21"/>
              </w:rPr>
            </w:pPr>
            <w:r>
              <w:rPr>
                <w:rFonts w:hint="eastAsia" w:ascii="宋体" w:hAnsi="宋体" w:eastAsia="宋体" w:cs="宋体"/>
                <w:szCs w:val="21"/>
              </w:rPr>
              <w:t>课程目标1</w:t>
            </w:r>
          </w:p>
        </w:tc>
        <w:tc>
          <w:tcPr>
            <w:tcW w:w="2180" w:type="dxa"/>
            <w:vAlign w:val="center"/>
          </w:tcPr>
          <w:p w14:paraId="7F722894">
            <w:pPr>
              <w:jc w:val="left"/>
              <w:rPr>
                <w:rFonts w:hint="eastAsia" w:ascii="宋体" w:hAnsi="宋体" w:eastAsia="宋体" w:cs="宋体"/>
                <w:szCs w:val="21"/>
              </w:rPr>
            </w:pPr>
            <w:r>
              <w:rPr>
                <w:rFonts w:hint="eastAsia" w:ascii="宋体" w:hAnsi="宋体" w:eastAsia="宋体" w:cs="宋体"/>
                <w:szCs w:val="21"/>
              </w:rPr>
              <w:t>了解普通话语音基本概念和方言情况</w:t>
            </w:r>
          </w:p>
        </w:tc>
        <w:tc>
          <w:tcPr>
            <w:tcW w:w="1519" w:type="dxa"/>
            <w:vAlign w:val="center"/>
          </w:tcPr>
          <w:p w14:paraId="598BB31F">
            <w:pPr>
              <w:jc w:val="left"/>
              <w:rPr>
                <w:rFonts w:hint="eastAsia" w:ascii="宋体" w:hAnsi="宋体" w:eastAsia="宋体" w:cs="宋体"/>
                <w:szCs w:val="21"/>
              </w:rPr>
            </w:pPr>
            <w:r>
              <w:rPr>
                <w:rFonts w:hint="eastAsia" w:ascii="宋体" w:hAnsi="宋体" w:eastAsia="宋体" w:cs="宋体"/>
                <w:szCs w:val="21"/>
              </w:rPr>
              <w:t>1.多媒体教学2.课堂讨论</w:t>
            </w:r>
          </w:p>
          <w:p w14:paraId="5F6381C1">
            <w:pPr>
              <w:jc w:val="left"/>
              <w:rPr>
                <w:rFonts w:hint="eastAsia" w:ascii="宋体" w:hAnsi="宋体" w:eastAsia="宋体" w:cs="宋体"/>
                <w:szCs w:val="21"/>
              </w:rPr>
            </w:pPr>
            <w:r>
              <w:rPr>
                <w:rFonts w:hint="eastAsia" w:ascii="宋体" w:hAnsi="宋体" w:eastAsia="宋体" w:cs="宋体"/>
                <w:szCs w:val="21"/>
              </w:rPr>
              <w:t>3.发音练习</w:t>
            </w:r>
          </w:p>
        </w:tc>
        <w:tc>
          <w:tcPr>
            <w:tcW w:w="438" w:type="dxa"/>
            <w:vAlign w:val="center"/>
          </w:tcPr>
          <w:p w14:paraId="0775AC9F">
            <w:pPr>
              <w:jc w:val="center"/>
              <w:rPr>
                <w:rFonts w:hint="eastAsia" w:ascii="宋体" w:hAnsi="宋体" w:eastAsia="宋体" w:cs="宋体"/>
                <w:szCs w:val="21"/>
              </w:rPr>
            </w:pPr>
            <w:r>
              <w:rPr>
                <w:rFonts w:hint="eastAsia" w:ascii="宋体" w:hAnsi="宋体" w:eastAsia="宋体" w:cs="宋体"/>
                <w:szCs w:val="21"/>
              </w:rPr>
              <w:t>2</w:t>
            </w:r>
          </w:p>
        </w:tc>
      </w:tr>
      <w:tr w14:paraId="1B7B0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7406FE58">
            <w:pPr>
              <w:jc w:val="center"/>
              <w:rPr>
                <w:rFonts w:hint="eastAsia" w:ascii="宋体" w:hAnsi="宋体" w:eastAsia="宋体" w:cs="宋体"/>
                <w:szCs w:val="21"/>
              </w:rPr>
            </w:pPr>
          </w:p>
        </w:tc>
        <w:tc>
          <w:tcPr>
            <w:tcW w:w="7939" w:type="dxa"/>
            <w:gridSpan w:val="5"/>
            <w:vAlign w:val="center"/>
          </w:tcPr>
          <w:p w14:paraId="4B587486">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27F4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5A5197B2">
            <w:pPr>
              <w:rPr>
                <w:rFonts w:hint="eastAsia" w:ascii="宋体" w:hAnsi="宋体" w:eastAsia="宋体" w:cs="宋体"/>
                <w:szCs w:val="21"/>
              </w:rPr>
            </w:pPr>
            <w:r>
              <w:rPr>
                <w:rFonts w:hint="eastAsia" w:ascii="宋体" w:hAnsi="宋体" w:eastAsia="宋体" w:cs="宋体"/>
                <w:szCs w:val="21"/>
              </w:rPr>
              <w:t>2.声母的发音及训练</w:t>
            </w:r>
          </w:p>
        </w:tc>
        <w:tc>
          <w:tcPr>
            <w:tcW w:w="2441" w:type="dxa"/>
            <w:vAlign w:val="center"/>
          </w:tcPr>
          <w:p w14:paraId="07356FE5">
            <w:pPr>
              <w:rPr>
                <w:rFonts w:hint="eastAsia" w:ascii="宋体" w:hAnsi="宋体" w:eastAsia="宋体" w:cs="宋体"/>
                <w:bCs/>
                <w:szCs w:val="21"/>
              </w:rPr>
            </w:pPr>
            <w:r>
              <w:rPr>
                <w:rFonts w:hint="eastAsia" w:ascii="宋体" w:hAnsi="宋体" w:eastAsia="宋体" w:cs="宋体"/>
                <w:bCs/>
                <w:szCs w:val="21"/>
              </w:rPr>
              <w:t>1.声母的分类</w:t>
            </w:r>
          </w:p>
          <w:p w14:paraId="28124AB5">
            <w:pPr>
              <w:rPr>
                <w:rFonts w:hint="eastAsia" w:ascii="宋体" w:hAnsi="宋体" w:eastAsia="宋体" w:cs="宋体"/>
                <w:szCs w:val="21"/>
              </w:rPr>
            </w:pPr>
            <w:r>
              <w:rPr>
                <w:rFonts w:hint="eastAsia" w:ascii="宋体" w:hAnsi="宋体" w:eastAsia="宋体" w:cs="宋体"/>
                <w:bCs/>
                <w:szCs w:val="21"/>
              </w:rPr>
              <w:t>2.声母的辨正</w:t>
            </w:r>
          </w:p>
        </w:tc>
        <w:tc>
          <w:tcPr>
            <w:tcW w:w="1361" w:type="dxa"/>
            <w:vAlign w:val="center"/>
          </w:tcPr>
          <w:p w14:paraId="60C8C32A">
            <w:pPr>
              <w:jc w:val="center"/>
              <w:rPr>
                <w:rFonts w:hint="eastAsia" w:ascii="宋体" w:hAnsi="宋体" w:eastAsia="宋体" w:cs="宋体"/>
                <w:szCs w:val="21"/>
              </w:rPr>
            </w:pPr>
            <w:r>
              <w:rPr>
                <w:rFonts w:hint="eastAsia" w:ascii="宋体" w:hAnsi="宋体" w:eastAsia="宋体" w:cs="宋体"/>
                <w:szCs w:val="21"/>
              </w:rPr>
              <w:t>课程目标</w:t>
            </w:r>
          </w:p>
          <w:p w14:paraId="10F4120E">
            <w:pPr>
              <w:jc w:val="center"/>
              <w:rPr>
                <w:rFonts w:hint="eastAsia" w:ascii="宋体" w:hAnsi="宋体" w:eastAsia="宋体" w:cs="宋体"/>
                <w:szCs w:val="21"/>
              </w:rPr>
            </w:pPr>
            <w:r>
              <w:rPr>
                <w:rFonts w:hint="eastAsia" w:ascii="宋体" w:hAnsi="宋体" w:eastAsia="宋体" w:cs="宋体"/>
                <w:szCs w:val="21"/>
              </w:rPr>
              <w:t>1、3</w:t>
            </w:r>
          </w:p>
        </w:tc>
        <w:tc>
          <w:tcPr>
            <w:tcW w:w="2180" w:type="dxa"/>
            <w:vAlign w:val="center"/>
          </w:tcPr>
          <w:p w14:paraId="7E6556DC">
            <w:pPr>
              <w:rPr>
                <w:rFonts w:hint="eastAsia" w:ascii="宋体" w:hAnsi="宋体" w:eastAsia="宋体" w:cs="宋体"/>
                <w:szCs w:val="21"/>
              </w:rPr>
            </w:pPr>
            <w:r>
              <w:rPr>
                <w:rFonts w:hint="eastAsia" w:ascii="宋体" w:hAnsi="宋体" w:eastAsia="宋体" w:cs="宋体"/>
                <w:szCs w:val="21"/>
              </w:rPr>
              <w:t>掌握声母的发音部位和发音方法了解所操方言的声母情况以及声母难点音的辨正</w:t>
            </w:r>
          </w:p>
        </w:tc>
        <w:tc>
          <w:tcPr>
            <w:tcW w:w="1519" w:type="dxa"/>
            <w:vAlign w:val="center"/>
          </w:tcPr>
          <w:p w14:paraId="10C22378">
            <w:pPr>
              <w:jc w:val="left"/>
              <w:rPr>
                <w:rFonts w:hint="eastAsia" w:ascii="宋体" w:hAnsi="宋体" w:eastAsia="宋体" w:cs="宋体"/>
                <w:szCs w:val="21"/>
              </w:rPr>
            </w:pPr>
            <w:r>
              <w:rPr>
                <w:rFonts w:hint="eastAsia" w:ascii="宋体" w:hAnsi="宋体" w:eastAsia="宋体" w:cs="宋体"/>
                <w:szCs w:val="21"/>
              </w:rPr>
              <w:t>1.多媒体教学2.课堂讨论</w:t>
            </w:r>
          </w:p>
          <w:p w14:paraId="02D77BA7">
            <w:pPr>
              <w:jc w:val="left"/>
              <w:rPr>
                <w:rFonts w:hint="eastAsia" w:ascii="宋体" w:hAnsi="宋体" w:eastAsia="宋体" w:cs="宋体"/>
                <w:szCs w:val="21"/>
              </w:rPr>
            </w:pPr>
            <w:r>
              <w:rPr>
                <w:rFonts w:hint="eastAsia" w:ascii="宋体" w:hAnsi="宋体" w:eastAsia="宋体" w:cs="宋体"/>
                <w:szCs w:val="21"/>
              </w:rPr>
              <w:t>3.发音训练</w:t>
            </w:r>
          </w:p>
        </w:tc>
        <w:tc>
          <w:tcPr>
            <w:tcW w:w="438" w:type="dxa"/>
            <w:vAlign w:val="center"/>
          </w:tcPr>
          <w:p w14:paraId="1FAF6CF8">
            <w:pPr>
              <w:jc w:val="center"/>
              <w:rPr>
                <w:rFonts w:hint="eastAsia" w:ascii="宋体" w:hAnsi="宋体" w:eastAsia="宋体" w:cs="宋体"/>
                <w:szCs w:val="21"/>
              </w:rPr>
            </w:pPr>
            <w:r>
              <w:rPr>
                <w:rFonts w:hint="eastAsia" w:ascii="宋体" w:hAnsi="宋体" w:eastAsia="宋体" w:cs="宋体"/>
                <w:szCs w:val="21"/>
              </w:rPr>
              <w:t>2</w:t>
            </w:r>
          </w:p>
        </w:tc>
      </w:tr>
      <w:tr w14:paraId="5172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5AD09B5A">
            <w:pPr>
              <w:jc w:val="center"/>
              <w:rPr>
                <w:rFonts w:hint="eastAsia" w:ascii="宋体" w:hAnsi="宋体" w:eastAsia="宋体" w:cs="宋体"/>
                <w:szCs w:val="21"/>
              </w:rPr>
            </w:pPr>
          </w:p>
        </w:tc>
        <w:tc>
          <w:tcPr>
            <w:tcW w:w="7939" w:type="dxa"/>
            <w:gridSpan w:val="5"/>
            <w:vAlign w:val="center"/>
          </w:tcPr>
          <w:p w14:paraId="0FE4A3F7">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36E45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4100FABD">
            <w:pPr>
              <w:jc w:val="center"/>
              <w:rPr>
                <w:rFonts w:hint="eastAsia" w:ascii="宋体" w:hAnsi="宋体" w:eastAsia="宋体" w:cs="宋体"/>
                <w:szCs w:val="21"/>
              </w:rPr>
            </w:pPr>
            <w:r>
              <w:rPr>
                <w:rFonts w:hint="eastAsia" w:ascii="宋体" w:hAnsi="宋体" w:eastAsia="宋体" w:cs="宋体"/>
                <w:szCs w:val="21"/>
              </w:rPr>
              <w:t>3.韵母的发音及训练教育与社会发展</w:t>
            </w:r>
          </w:p>
        </w:tc>
        <w:tc>
          <w:tcPr>
            <w:tcW w:w="2441" w:type="dxa"/>
            <w:vAlign w:val="center"/>
          </w:tcPr>
          <w:p w14:paraId="5D9FEB04">
            <w:pPr>
              <w:rPr>
                <w:rFonts w:hint="eastAsia" w:ascii="宋体" w:hAnsi="宋体" w:eastAsia="宋体" w:cs="宋体"/>
                <w:bCs/>
                <w:szCs w:val="21"/>
              </w:rPr>
            </w:pPr>
            <w:r>
              <w:rPr>
                <w:rFonts w:hint="eastAsia" w:ascii="宋体" w:hAnsi="宋体" w:eastAsia="宋体" w:cs="宋体"/>
                <w:bCs/>
                <w:szCs w:val="21"/>
              </w:rPr>
              <w:t>1.韵母的分类</w:t>
            </w:r>
          </w:p>
          <w:p w14:paraId="5B07E7CC">
            <w:pPr>
              <w:rPr>
                <w:rFonts w:hint="eastAsia" w:ascii="宋体" w:hAnsi="宋体" w:eastAsia="宋体" w:cs="宋体"/>
                <w:szCs w:val="21"/>
              </w:rPr>
            </w:pPr>
            <w:r>
              <w:rPr>
                <w:rFonts w:hint="eastAsia" w:ascii="宋体" w:hAnsi="宋体" w:eastAsia="宋体" w:cs="宋体"/>
                <w:bCs/>
                <w:szCs w:val="21"/>
              </w:rPr>
              <w:t>2.韵母的辨正</w:t>
            </w:r>
          </w:p>
        </w:tc>
        <w:tc>
          <w:tcPr>
            <w:tcW w:w="1361" w:type="dxa"/>
            <w:vAlign w:val="center"/>
          </w:tcPr>
          <w:p w14:paraId="595453CD">
            <w:pPr>
              <w:jc w:val="center"/>
              <w:rPr>
                <w:rFonts w:hint="eastAsia" w:ascii="宋体" w:hAnsi="宋体" w:eastAsia="宋体" w:cs="宋体"/>
                <w:szCs w:val="21"/>
              </w:rPr>
            </w:pPr>
            <w:r>
              <w:rPr>
                <w:rFonts w:hint="eastAsia" w:ascii="宋体" w:hAnsi="宋体" w:eastAsia="宋体" w:cs="宋体"/>
                <w:szCs w:val="21"/>
              </w:rPr>
              <w:t>课程目标</w:t>
            </w:r>
          </w:p>
          <w:p w14:paraId="131FBF62">
            <w:pPr>
              <w:jc w:val="center"/>
              <w:rPr>
                <w:rFonts w:hint="eastAsia" w:ascii="宋体" w:hAnsi="宋体" w:eastAsia="宋体" w:cs="宋体"/>
                <w:szCs w:val="21"/>
              </w:rPr>
            </w:pPr>
            <w:r>
              <w:rPr>
                <w:rFonts w:hint="eastAsia" w:ascii="宋体" w:hAnsi="宋体" w:eastAsia="宋体" w:cs="宋体"/>
                <w:szCs w:val="21"/>
              </w:rPr>
              <w:t>2、3</w:t>
            </w:r>
          </w:p>
        </w:tc>
        <w:tc>
          <w:tcPr>
            <w:tcW w:w="2180" w:type="dxa"/>
            <w:vAlign w:val="center"/>
          </w:tcPr>
          <w:p w14:paraId="43FDD942">
            <w:pPr>
              <w:rPr>
                <w:rFonts w:hint="eastAsia" w:ascii="宋体" w:hAnsi="宋体" w:eastAsia="宋体" w:cs="宋体"/>
                <w:szCs w:val="21"/>
              </w:rPr>
            </w:pPr>
            <w:r>
              <w:rPr>
                <w:rFonts w:hint="eastAsia" w:ascii="宋体" w:hAnsi="宋体" w:eastAsia="宋体" w:cs="宋体"/>
                <w:szCs w:val="21"/>
              </w:rPr>
              <w:t>1.掌握韵母的分类</w:t>
            </w:r>
          </w:p>
          <w:p w14:paraId="7C849DD4">
            <w:pPr>
              <w:rPr>
                <w:rFonts w:hint="eastAsia" w:ascii="宋体" w:hAnsi="宋体" w:eastAsia="宋体" w:cs="宋体"/>
                <w:szCs w:val="21"/>
              </w:rPr>
            </w:pPr>
            <w:r>
              <w:rPr>
                <w:rFonts w:hint="eastAsia" w:ascii="宋体" w:hAnsi="宋体" w:eastAsia="宋体" w:cs="宋体"/>
                <w:szCs w:val="21"/>
              </w:rPr>
              <w:t>2.了解所操方言的韵母情况以及韵母难点音的辨正</w:t>
            </w:r>
          </w:p>
        </w:tc>
        <w:tc>
          <w:tcPr>
            <w:tcW w:w="1519" w:type="dxa"/>
            <w:vAlign w:val="center"/>
          </w:tcPr>
          <w:p w14:paraId="06A7BA97">
            <w:pPr>
              <w:jc w:val="left"/>
              <w:rPr>
                <w:rFonts w:hint="eastAsia" w:ascii="宋体" w:hAnsi="宋体" w:eastAsia="宋体" w:cs="宋体"/>
                <w:szCs w:val="21"/>
              </w:rPr>
            </w:pPr>
            <w:r>
              <w:rPr>
                <w:rFonts w:hint="eastAsia" w:ascii="宋体" w:hAnsi="宋体" w:eastAsia="宋体" w:cs="宋体"/>
                <w:szCs w:val="21"/>
              </w:rPr>
              <w:t>1.多媒体教学2.课堂讨论</w:t>
            </w:r>
          </w:p>
          <w:p w14:paraId="6BADEDF9">
            <w:pPr>
              <w:jc w:val="left"/>
              <w:rPr>
                <w:rFonts w:hint="eastAsia" w:ascii="宋体" w:hAnsi="宋体" w:eastAsia="宋体" w:cs="宋体"/>
                <w:szCs w:val="21"/>
              </w:rPr>
            </w:pPr>
            <w:r>
              <w:rPr>
                <w:rFonts w:hint="eastAsia" w:ascii="宋体" w:hAnsi="宋体" w:eastAsia="宋体" w:cs="宋体"/>
                <w:szCs w:val="21"/>
              </w:rPr>
              <w:t>3.语音打卡</w:t>
            </w:r>
          </w:p>
        </w:tc>
        <w:tc>
          <w:tcPr>
            <w:tcW w:w="438" w:type="dxa"/>
            <w:vAlign w:val="center"/>
          </w:tcPr>
          <w:p w14:paraId="0A8F4F5D">
            <w:pPr>
              <w:jc w:val="center"/>
              <w:rPr>
                <w:rFonts w:hint="eastAsia" w:ascii="宋体" w:hAnsi="宋体" w:eastAsia="宋体" w:cs="宋体"/>
                <w:szCs w:val="21"/>
              </w:rPr>
            </w:pPr>
            <w:r>
              <w:rPr>
                <w:rFonts w:hint="eastAsia" w:ascii="宋体" w:hAnsi="宋体" w:eastAsia="宋体" w:cs="宋体"/>
                <w:szCs w:val="21"/>
              </w:rPr>
              <w:t>3</w:t>
            </w:r>
          </w:p>
        </w:tc>
      </w:tr>
      <w:tr w14:paraId="3E054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70FC17F1">
            <w:pPr>
              <w:jc w:val="center"/>
              <w:rPr>
                <w:rFonts w:hint="eastAsia" w:ascii="宋体" w:hAnsi="宋体" w:eastAsia="宋体" w:cs="宋体"/>
                <w:szCs w:val="21"/>
              </w:rPr>
            </w:pPr>
          </w:p>
        </w:tc>
        <w:tc>
          <w:tcPr>
            <w:tcW w:w="7939" w:type="dxa"/>
            <w:gridSpan w:val="5"/>
            <w:vAlign w:val="center"/>
          </w:tcPr>
          <w:p w14:paraId="122F5CBC">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从辩证思维的角度掌握教育与社会发展的关系在分析教育与经济、教育与政治、教育与文化的关系中，树立制度自信和文化自信。</w:t>
            </w:r>
          </w:p>
        </w:tc>
      </w:tr>
      <w:tr w14:paraId="0A11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6B64062B">
            <w:pPr>
              <w:rPr>
                <w:rFonts w:hint="eastAsia" w:ascii="宋体" w:hAnsi="宋体" w:eastAsia="宋体" w:cs="宋体"/>
                <w:szCs w:val="21"/>
              </w:rPr>
            </w:pPr>
            <w:r>
              <w:rPr>
                <w:rFonts w:hint="eastAsia" w:ascii="宋体" w:hAnsi="宋体" w:eastAsia="宋体" w:cs="宋体"/>
                <w:szCs w:val="21"/>
              </w:rPr>
              <w:t>4.声调的发音及训练、语流音变</w:t>
            </w:r>
          </w:p>
        </w:tc>
        <w:tc>
          <w:tcPr>
            <w:tcW w:w="2441" w:type="dxa"/>
            <w:vAlign w:val="center"/>
          </w:tcPr>
          <w:p w14:paraId="774D9D6C">
            <w:pPr>
              <w:rPr>
                <w:rFonts w:hint="eastAsia" w:ascii="宋体" w:hAnsi="宋体" w:eastAsia="宋体" w:cs="宋体"/>
                <w:szCs w:val="21"/>
              </w:rPr>
            </w:pPr>
            <w:r>
              <w:rPr>
                <w:rFonts w:hint="eastAsia" w:ascii="宋体" w:hAnsi="宋体" w:eastAsia="宋体" w:cs="宋体"/>
                <w:szCs w:val="21"/>
              </w:rPr>
              <w:t>1.掌握声调以及调值</w:t>
            </w:r>
          </w:p>
          <w:p w14:paraId="779D3789">
            <w:pPr>
              <w:rPr>
                <w:rFonts w:hint="eastAsia" w:ascii="宋体" w:hAnsi="宋体" w:eastAsia="宋体" w:cs="宋体"/>
                <w:szCs w:val="21"/>
              </w:rPr>
            </w:pPr>
            <w:r>
              <w:rPr>
                <w:rFonts w:hint="eastAsia" w:ascii="宋体" w:hAnsi="宋体" w:eastAsia="宋体" w:cs="宋体"/>
                <w:szCs w:val="21"/>
              </w:rPr>
              <w:t>2.熟练掌握普通话语流中的音变规律</w:t>
            </w:r>
          </w:p>
        </w:tc>
        <w:tc>
          <w:tcPr>
            <w:tcW w:w="1361" w:type="dxa"/>
            <w:vAlign w:val="center"/>
          </w:tcPr>
          <w:p w14:paraId="656873FC">
            <w:pPr>
              <w:jc w:val="center"/>
              <w:rPr>
                <w:rFonts w:hint="eastAsia" w:ascii="宋体" w:hAnsi="宋体" w:eastAsia="宋体" w:cs="宋体"/>
                <w:szCs w:val="21"/>
              </w:rPr>
            </w:pPr>
            <w:r>
              <w:rPr>
                <w:rFonts w:hint="eastAsia" w:ascii="宋体" w:hAnsi="宋体" w:eastAsia="宋体" w:cs="宋体"/>
                <w:szCs w:val="21"/>
              </w:rPr>
              <w:t>课程目标</w:t>
            </w:r>
          </w:p>
          <w:p w14:paraId="73367611">
            <w:pPr>
              <w:jc w:val="center"/>
              <w:rPr>
                <w:rFonts w:hint="eastAsia" w:ascii="宋体" w:hAnsi="宋体" w:eastAsia="宋体" w:cs="宋体"/>
                <w:szCs w:val="21"/>
              </w:rPr>
            </w:pPr>
            <w:r>
              <w:rPr>
                <w:rFonts w:hint="eastAsia" w:ascii="宋体" w:hAnsi="宋体" w:eastAsia="宋体" w:cs="宋体"/>
                <w:szCs w:val="21"/>
              </w:rPr>
              <w:t>1、2、3</w:t>
            </w:r>
          </w:p>
        </w:tc>
        <w:tc>
          <w:tcPr>
            <w:tcW w:w="2180" w:type="dxa"/>
            <w:vAlign w:val="center"/>
          </w:tcPr>
          <w:p w14:paraId="0B5C5D1F">
            <w:pPr>
              <w:rPr>
                <w:rFonts w:hint="eastAsia" w:ascii="宋体" w:hAnsi="宋体" w:eastAsia="宋体" w:cs="宋体"/>
                <w:szCs w:val="21"/>
              </w:rPr>
            </w:pPr>
            <w:r>
              <w:rPr>
                <w:rFonts w:hint="eastAsia" w:ascii="宋体" w:hAnsi="宋体" w:eastAsia="宋体" w:cs="宋体"/>
                <w:szCs w:val="21"/>
              </w:rPr>
              <w:t>1.声调的调值、调类、声调发音难点</w:t>
            </w:r>
          </w:p>
          <w:p w14:paraId="716D13F3">
            <w:pPr>
              <w:rPr>
                <w:rFonts w:hint="eastAsia" w:ascii="宋体" w:hAnsi="宋体" w:eastAsia="宋体" w:cs="宋体"/>
                <w:szCs w:val="21"/>
              </w:rPr>
            </w:pPr>
            <w:r>
              <w:rPr>
                <w:rFonts w:hint="eastAsia" w:ascii="宋体" w:hAnsi="宋体" w:eastAsia="宋体" w:cs="宋体"/>
                <w:szCs w:val="21"/>
              </w:rPr>
              <w:t>2.语流音变：变调、轻声、儿化以及“啊”的音变规律</w:t>
            </w:r>
          </w:p>
        </w:tc>
        <w:tc>
          <w:tcPr>
            <w:tcW w:w="1519" w:type="dxa"/>
            <w:vAlign w:val="center"/>
          </w:tcPr>
          <w:p w14:paraId="00A33922">
            <w:pPr>
              <w:jc w:val="left"/>
              <w:rPr>
                <w:rFonts w:hint="eastAsia" w:ascii="宋体" w:hAnsi="宋体" w:eastAsia="宋体" w:cs="宋体"/>
                <w:szCs w:val="21"/>
              </w:rPr>
            </w:pPr>
            <w:r>
              <w:rPr>
                <w:rFonts w:hint="eastAsia" w:ascii="宋体" w:hAnsi="宋体" w:eastAsia="宋体" w:cs="宋体"/>
                <w:szCs w:val="21"/>
              </w:rPr>
              <w:t>1.多媒体教学2.发音训练</w:t>
            </w:r>
          </w:p>
          <w:p w14:paraId="10D3778A">
            <w:pPr>
              <w:jc w:val="left"/>
              <w:rPr>
                <w:rFonts w:hint="eastAsia" w:ascii="宋体" w:hAnsi="宋体" w:eastAsia="宋体" w:cs="宋体"/>
                <w:szCs w:val="21"/>
              </w:rPr>
            </w:pPr>
            <w:r>
              <w:rPr>
                <w:rFonts w:hint="eastAsia" w:ascii="宋体" w:hAnsi="宋体" w:eastAsia="宋体" w:cs="宋体"/>
                <w:szCs w:val="21"/>
              </w:rPr>
              <w:t>3.语音打卡</w:t>
            </w:r>
          </w:p>
        </w:tc>
        <w:tc>
          <w:tcPr>
            <w:tcW w:w="438" w:type="dxa"/>
            <w:vAlign w:val="center"/>
          </w:tcPr>
          <w:p w14:paraId="1B9DA6BA">
            <w:pPr>
              <w:jc w:val="center"/>
              <w:rPr>
                <w:rFonts w:hint="eastAsia" w:ascii="宋体" w:hAnsi="宋体" w:eastAsia="宋体" w:cs="宋体"/>
                <w:szCs w:val="21"/>
              </w:rPr>
            </w:pPr>
            <w:r>
              <w:rPr>
                <w:rFonts w:hint="eastAsia" w:ascii="宋体" w:hAnsi="宋体" w:eastAsia="宋体" w:cs="宋体"/>
                <w:szCs w:val="21"/>
              </w:rPr>
              <w:t>2</w:t>
            </w:r>
          </w:p>
        </w:tc>
      </w:tr>
      <w:tr w14:paraId="5097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6E72C2BE">
            <w:pPr>
              <w:jc w:val="center"/>
              <w:rPr>
                <w:rFonts w:hint="eastAsia" w:ascii="宋体" w:hAnsi="宋体" w:eastAsia="宋体" w:cs="宋体"/>
                <w:szCs w:val="21"/>
              </w:rPr>
            </w:pPr>
          </w:p>
        </w:tc>
        <w:tc>
          <w:tcPr>
            <w:tcW w:w="7939" w:type="dxa"/>
            <w:gridSpan w:val="5"/>
            <w:vAlign w:val="center"/>
          </w:tcPr>
          <w:p w14:paraId="43A5F43D">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通过了解人的身心发展的特点，培养学生热爱教育事业和学生的情感，增强从事教育事业的责任感和使命感。</w:t>
            </w:r>
          </w:p>
        </w:tc>
      </w:tr>
      <w:tr w14:paraId="2E0C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62B33CBE">
            <w:pPr>
              <w:rPr>
                <w:rFonts w:hint="eastAsia" w:ascii="宋体" w:hAnsi="宋体" w:eastAsia="宋体" w:cs="宋体"/>
                <w:szCs w:val="21"/>
              </w:rPr>
            </w:pPr>
            <w:r>
              <w:rPr>
                <w:rFonts w:hint="eastAsia" w:ascii="宋体" w:hAnsi="宋体" w:eastAsia="宋体" w:cs="宋体"/>
                <w:szCs w:val="21"/>
              </w:rPr>
              <w:t>5.普通话水平测试介绍</w:t>
            </w:r>
          </w:p>
        </w:tc>
        <w:tc>
          <w:tcPr>
            <w:tcW w:w="2441" w:type="dxa"/>
            <w:vAlign w:val="center"/>
          </w:tcPr>
          <w:p w14:paraId="112E254F">
            <w:pPr>
              <w:rPr>
                <w:rFonts w:hint="eastAsia" w:ascii="宋体" w:hAnsi="宋体" w:eastAsia="宋体" w:cs="宋体"/>
                <w:bCs/>
                <w:szCs w:val="21"/>
              </w:rPr>
            </w:pPr>
            <w:r>
              <w:rPr>
                <w:rFonts w:hint="eastAsia" w:ascii="宋体" w:hAnsi="宋体" w:eastAsia="宋体" w:cs="宋体"/>
                <w:bCs/>
                <w:szCs w:val="21"/>
              </w:rPr>
              <w:t>1.普通话水平测试等级和标准以及测试流程</w:t>
            </w:r>
          </w:p>
          <w:p w14:paraId="325A0AD6">
            <w:pPr>
              <w:jc w:val="left"/>
              <w:rPr>
                <w:rFonts w:hint="eastAsia" w:ascii="宋体" w:hAnsi="宋体" w:eastAsia="宋体" w:cs="宋体"/>
                <w:szCs w:val="21"/>
              </w:rPr>
            </w:pPr>
            <w:r>
              <w:rPr>
                <w:rFonts w:hint="eastAsia" w:ascii="宋体" w:hAnsi="宋体" w:eastAsia="宋体" w:cs="宋体"/>
                <w:bCs/>
                <w:szCs w:val="21"/>
              </w:rPr>
              <w:t>2.普通话水平测试大纲和样卷</w:t>
            </w:r>
          </w:p>
        </w:tc>
        <w:tc>
          <w:tcPr>
            <w:tcW w:w="1361" w:type="dxa"/>
            <w:vAlign w:val="center"/>
          </w:tcPr>
          <w:p w14:paraId="435E83FE">
            <w:pPr>
              <w:jc w:val="center"/>
              <w:rPr>
                <w:rFonts w:hint="eastAsia" w:ascii="宋体" w:hAnsi="宋体" w:eastAsia="宋体" w:cs="宋体"/>
                <w:szCs w:val="21"/>
              </w:rPr>
            </w:pPr>
            <w:r>
              <w:rPr>
                <w:rFonts w:hint="eastAsia" w:ascii="宋体" w:hAnsi="宋体" w:eastAsia="宋体" w:cs="宋体"/>
                <w:szCs w:val="21"/>
              </w:rPr>
              <w:t>课程目标</w:t>
            </w:r>
          </w:p>
          <w:p w14:paraId="1BFA6F5B">
            <w:pPr>
              <w:jc w:val="center"/>
              <w:rPr>
                <w:rFonts w:hint="eastAsia" w:ascii="宋体" w:hAnsi="宋体" w:eastAsia="宋体" w:cs="宋体"/>
                <w:szCs w:val="21"/>
              </w:rPr>
            </w:pPr>
            <w:r>
              <w:rPr>
                <w:rFonts w:hint="eastAsia" w:ascii="宋体" w:hAnsi="宋体" w:eastAsia="宋体" w:cs="宋体"/>
                <w:szCs w:val="21"/>
              </w:rPr>
              <w:t>1、2、3</w:t>
            </w:r>
          </w:p>
        </w:tc>
        <w:tc>
          <w:tcPr>
            <w:tcW w:w="2180" w:type="dxa"/>
            <w:vAlign w:val="center"/>
          </w:tcPr>
          <w:p w14:paraId="718EC5DB">
            <w:pPr>
              <w:rPr>
                <w:rFonts w:hint="eastAsia" w:ascii="宋体" w:hAnsi="宋体" w:eastAsia="宋体" w:cs="宋体"/>
                <w:szCs w:val="21"/>
              </w:rPr>
            </w:pPr>
            <w:r>
              <w:rPr>
                <w:rFonts w:hint="eastAsia" w:ascii="宋体" w:hAnsi="宋体" w:eastAsia="宋体" w:cs="宋体"/>
                <w:szCs w:val="21"/>
              </w:rPr>
              <w:t>1.了解</w:t>
            </w:r>
            <w:r>
              <w:rPr>
                <w:rFonts w:hint="eastAsia" w:ascii="宋体" w:hAnsi="宋体" w:eastAsia="宋体" w:cs="宋体"/>
                <w:bCs/>
                <w:szCs w:val="21"/>
              </w:rPr>
              <w:t>普通话水平测试等级和标准</w:t>
            </w:r>
          </w:p>
          <w:p w14:paraId="0D494D8F">
            <w:pPr>
              <w:rPr>
                <w:rFonts w:hint="eastAsia" w:ascii="宋体" w:hAnsi="宋体" w:eastAsia="宋体" w:cs="宋体"/>
                <w:szCs w:val="21"/>
              </w:rPr>
            </w:pPr>
            <w:r>
              <w:rPr>
                <w:rFonts w:hint="eastAsia" w:ascii="宋体" w:hAnsi="宋体" w:eastAsia="宋体" w:cs="宋体"/>
                <w:szCs w:val="21"/>
              </w:rPr>
              <w:t>2.了解</w:t>
            </w:r>
            <w:r>
              <w:rPr>
                <w:rFonts w:hint="eastAsia" w:ascii="宋体" w:hAnsi="宋体" w:eastAsia="宋体" w:cs="宋体"/>
                <w:bCs/>
                <w:szCs w:val="21"/>
              </w:rPr>
              <w:t>普通话水平测试的流程</w:t>
            </w:r>
          </w:p>
        </w:tc>
        <w:tc>
          <w:tcPr>
            <w:tcW w:w="1519" w:type="dxa"/>
            <w:vAlign w:val="center"/>
          </w:tcPr>
          <w:p w14:paraId="5031291C">
            <w:pPr>
              <w:jc w:val="left"/>
              <w:rPr>
                <w:rFonts w:hint="eastAsia" w:ascii="宋体" w:hAnsi="宋体" w:eastAsia="宋体" w:cs="宋体"/>
                <w:szCs w:val="21"/>
              </w:rPr>
            </w:pPr>
            <w:r>
              <w:rPr>
                <w:rFonts w:hint="eastAsia" w:ascii="宋体" w:hAnsi="宋体" w:eastAsia="宋体" w:cs="宋体"/>
                <w:szCs w:val="21"/>
              </w:rPr>
              <w:t>1.多媒体教学2.课堂讨论</w:t>
            </w:r>
          </w:p>
          <w:p w14:paraId="0902FFED">
            <w:pPr>
              <w:jc w:val="left"/>
              <w:rPr>
                <w:rFonts w:hint="eastAsia" w:ascii="宋体" w:hAnsi="宋体" w:eastAsia="宋体" w:cs="宋体"/>
                <w:szCs w:val="21"/>
              </w:rPr>
            </w:pPr>
            <w:r>
              <w:rPr>
                <w:rFonts w:hint="eastAsia" w:ascii="宋体" w:hAnsi="宋体" w:eastAsia="宋体" w:cs="宋体"/>
                <w:szCs w:val="21"/>
              </w:rPr>
              <w:t>3.单元测验</w:t>
            </w:r>
          </w:p>
        </w:tc>
        <w:tc>
          <w:tcPr>
            <w:tcW w:w="438" w:type="dxa"/>
            <w:vAlign w:val="center"/>
          </w:tcPr>
          <w:p w14:paraId="5320D806">
            <w:pPr>
              <w:jc w:val="center"/>
              <w:rPr>
                <w:rFonts w:hint="eastAsia" w:ascii="宋体" w:hAnsi="宋体" w:eastAsia="宋体" w:cs="宋体"/>
                <w:szCs w:val="21"/>
              </w:rPr>
            </w:pPr>
            <w:r>
              <w:rPr>
                <w:rFonts w:hint="eastAsia" w:ascii="宋体" w:hAnsi="宋体" w:eastAsia="宋体" w:cs="宋体"/>
                <w:szCs w:val="21"/>
              </w:rPr>
              <w:t>2</w:t>
            </w:r>
          </w:p>
        </w:tc>
      </w:tr>
      <w:tr w14:paraId="389B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2951A103">
            <w:pPr>
              <w:jc w:val="center"/>
              <w:rPr>
                <w:rFonts w:hint="eastAsia" w:ascii="宋体" w:hAnsi="宋体" w:eastAsia="宋体" w:cs="宋体"/>
                <w:szCs w:val="21"/>
              </w:rPr>
            </w:pPr>
          </w:p>
        </w:tc>
        <w:tc>
          <w:tcPr>
            <w:tcW w:w="7939" w:type="dxa"/>
            <w:gridSpan w:val="5"/>
            <w:vAlign w:val="center"/>
          </w:tcPr>
          <w:p w14:paraId="3B9AB194">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60A4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jc w:val="center"/>
        </w:trPr>
        <w:tc>
          <w:tcPr>
            <w:tcW w:w="1359" w:type="dxa"/>
            <w:vMerge w:val="restart"/>
            <w:vAlign w:val="center"/>
          </w:tcPr>
          <w:p w14:paraId="389F6047">
            <w:pPr>
              <w:rPr>
                <w:rFonts w:hint="eastAsia" w:ascii="宋体" w:hAnsi="宋体" w:eastAsia="宋体" w:cs="宋体"/>
                <w:szCs w:val="21"/>
              </w:rPr>
            </w:pPr>
            <w:r>
              <w:rPr>
                <w:rFonts w:hint="eastAsia" w:ascii="宋体" w:hAnsi="宋体" w:eastAsia="宋体" w:cs="宋体"/>
                <w:szCs w:val="21"/>
              </w:rPr>
              <w:t>6.普通话水平朗读训练</w:t>
            </w:r>
          </w:p>
        </w:tc>
        <w:tc>
          <w:tcPr>
            <w:tcW w:w="2441" w:type="dxa"/>
            <w:vAlign w:val="center"/>
          </w:tcPr>
          <w:p w14:paraId="553D4B59">
            <w:pPr>
              <w:rPr>
                <w:rFonts w:hint="eastAsia" w:ascii="宋体" w:hAnsi="宋体" w:eastAsia="宋体" w:cs="宋体"/>
                <w:bCs/>
                <w:szCs w:val="21"/>
              </w:rPr>
            </w:pPr>
            <w:r>
              <w:rPr>
                <w:rFonts w:hint="eastAsia" w:ascii="宋体" w:hAnsi="宋体" w:eastAsia="宋体" w:cs="宋体"/>
                <w:bCs/>
                <w:szCs w:val="21"/>
              </w:rPr>
              <w:t>1.普通话水平测试朗读作品及朗读训练</w:t>
            </w:r>
          </w:p>
          <w:p w14:paraId="2B808115">
            <w:pPr>
              <w:rPr>
                <w:rFonts w:hint="eastAsia" w:ascii="宋体" w:hAnsi="宋体" w:eastAsia="宋体" w:cs="宋体"/>
                <w:szCs w:val="21"/>
              </w:rPr>
            </w:pPr>
            <w:r>
              <w:rPr>
                <w:rFonts w:hint="eastAsia" w:ascii="宋体" w:hAnsi="宋体" w:eastAsia="宋体" w:cs="宋体"/>
                <w:bCs/>
                <w:szCs w:val="21"/>
              </w:rPr>
              <w:t>2.普通话水平测试朗读技巧及扣分标准</w:t>
            </w:r>
          </w:p>
        </w:tc>
        <w:tc>
          <w:tcPr>
            <w:tcW w:w="1361" w:type="dxa"/>
            <w:vAlign w:val="center"/>
          </w:tcPr>
          <w:p w14:paraId="7BE4BDBE">
            <w:pPr>
              <w:jc w:val="center"/>
              <w:rPr>
                <w:rFonts w:hint="eastAsia" w:ascii="宋体" w:hAnsi="宋体" w:eastAsia="宋体" w:cs="宋体"/>
                <w:szCs w:val="21"/>
              </w:rPr>
            </w:pPr>
            <w:r>
              <w:rPr>
                <w:rFonts w:hint="eastAsia" w:ascii="宋体" w:hAnsi="宋体" w:eastAsia="宋体" w:cs="宋体"/>
                <w:szCs w:val="21"/>
              </w:rPr>
              <w:t>课程目标</w:t>
            </w:r>
          </w:p>
          <w:p w14:paraId="11502E4B">
            <w:pPr>
              <w:jc w:val="center"/>
              <w:rPr>
                <w:rFonts w:hint="eastAsia" w:ascii="宋体" w:hAnsi="宋体" w:eastAsia="宋体" w:cs="宋体"/>
                <w:szCs w:val="21"/>
              </w:rPr>
            </w:pPr>
            <w:r>
              <w:rPr>
                <w:rFonts w:hint="eastAsia" w:ascii="宋体" w:hAnsi="宋体" w:eastAsia="宋体" w:cs="宋体"/>
                <w:szCs w:val="21"/>
              </w:rPr>
              <w:t>1、2、3</w:t>
            </w:r>
          </w:p>
        </w:tc>
        <w:tc>
          <w:tcPr>
            <w:tcW w:w="2180" w:type="dxa"/>
            <w:vAlign w:val="center"/>
          </w:tcPr>
          <w:p w14:paraId="4C0CA7EC">
            <w:pPr>
              <w:rPr>
                <w:rFonts w:hint="eastAsia" w:ascii="宋体" w:hAnsi="宋体" w:eastAsia="宋体" w:cs="宋体"/>
                <w:szCs w:val="21"/>
              </w:rPr>
            </w:pPr>
            <w:r>
              <w:rPr>
                <w:rFonts w:hint="eastAsia" w:ascii="宋体" w:hAnsi="宋体" w:eastAsia="宋体" w:cs="宋体"/>
                <w:szCs w:val="21"/>
              </w:rPr>
              <w:t>1.学生熟练朗读</w:t>
            </w:r>
            <w:r>
              <w:rPr>
                <w:rFonts w:hint="eastAsia" w:ascii="宋体" w:hAnsi="宋体" w:eastAsia="宋体" w:cs="宋体"/>
                <w:bCs/>
                <w:szCs w:val="21"/>
              </w:rPr>
              <w:t>普通话水平测试大纲的50篇朗读作品</w:t>
            </w:r>
          </w:p>
          <w:p w14:paraId="1C92D6D0">
            <w:pPr>
              <w:rPr>
                <w:rFonts w:hint="eastAsia" w:ascii="宋体" w:hAnsi="宋体" w:eastAsia="宋体" w:cs="宋体"/>
                <w:szCs w:val="21"/>
              </w:rPr>
            </w:pPr>
            <w:r>
              <w:rPr>
                <w:rFonts w:hint="eastAsia" w:ascii="宋体" w:hAnsi="宋体" w:eastAsia="宋体" w:cs="宋体"/>
                <w:szCs w:val="21"/>
              </w:rPr>
              <w:t>2.使学生了解</w:t>
            </w:r>
            <w:r>
              <w:rPr>
                <w:rFonts w:hint="eastAsia" w:ascii="宋体" w:hAnsi="宋体" w:eastAsia="宋体" w:cs="宋体"/>
                <w:bCs/>
                <w:szCs w:val="21"/>
              </w:rPr>
              <w:t>普通话水平测试的朗读技巧</w:t>
            </w:r>
          </w:p>
        </w:tc>
        <w:tc>
          <w:tcPr>
            <w:tcW w:w="1519" w:type="dxa"/>
            <w:vAlign w:val="center"/>
          </w:tcPr>
          <w:p w14:paraId="4847A761">
            <w:pPr>
              <w:jc w:val="left"/>
              <w:rPr>
                <w:rFonts w:hint="eastAsia" w:ascii="宋体" w:hAnsi="宋体" w:eastAsia="宋体" w:cs="宋体"/>
                <w:szCs w:val="21"/>
              </w:rPr>
            </w:pPr>
            <w:r>
              <w:rPr>
                <w:rFonts w:hint="eastAsia" w:ascii="宋体" w:hAnsi="宋体" w:eastAsia="宋体" w:cs="宋体"/>
                <w:szCs w:val="21"/>
              </w:rPr>
              <w:t>1.多媒体教学2.课堂讨论</w:t>
            </w:r>
          </w:p>
          <w:p w14:paraId="7FED0874">
            <w:pPr>
              <w:jc w:val="left"/>
              <w:rPr>
                <w:rFonts w:hint="eastAsia" w:ascii="宋体" w:hAnsi="宋体" w:eastAsia="宋体" w:cs="宋体"/>
                <w:szCs w:val="21"/>
              </w:rPr>
            </w:pPr>
            <w:r>
              <w:rPr>
                <w:rFonts w:hint="eastAsia" w:ascii="宋体" w:hAnsi="宋体" w:eastAsia="宋体" w:cs="宋体"/>
                <w:szCs w:val="21"/>
              </w:rPr>
              <w:t>3.单元测验</w:t>
            </w:r>
          </w:p>
        </w:tc>
        <w:tc>
          <w:tcPr>
            <w:tcW w:w="438" w:type="dxa"/>
            <w:vAlign w:val="center"/>
          </w:tcPr>
          <w:p w14:paraId="436A50A3">
            <w:pPr>
              <w:jc w:val="center"/>
              <w:rPr>
                <w:rFonts w:hint="eastAsia" w:ascii="宋体" w:hAnsi="宋体" w:eastAsia="宋体" w:cs="宋体"/>
                <w:szCs w:val="21"/>
              </w:rPr>
            </w:pPr>
            <w:r>
              <w:rPr>
                <w:rFonts w:hint="eastAsia" w:ascii="宋体" w:hAnsi="宋体" w:eastAsia="宋体" w:cs="宋体"/>
                <w:szCs w:val="21"/>
              </w:rPr>
              <w:t>2</w:t>
            </w:r>
          </w:p>
        </w:tc>
      </w:tr>
      <w:tr w14:paraId="55176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1BF182A8">
            <w:pPr>
              <w:jc w:val="center"/>
              <w:rPr>
                <w:rFonts w:hint="eastAsia" w:ascii="宋体" w:hAnsi="宋体" w:eastAsia="宋体" w:cs="宋体"/>
                <w:szCs w:val="21"/>
              </w:rPr>
            </w:pPr>
          </w:p>
        </w:tc>
        <w:tc>
          <w:tcPr>
            <w:tcW w:w="7939" w:type="dxa"/>
            <w:gridSpan w:val="5"/>
            <w:vAlign w:val="center"/>
          </w:tcPr>
          <w:p w14:paraId="1B2E2A3F">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通过对人的全面发展教育的学习，形成全面发展的教育观，确立从教信念。</w:t>
            </w:r>
          </w:p>
        </w:tc>
      </w:tr>
      <w:tr w14:paraId="3CBB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restart"/>
            <w:vAlign w:val="center"/>
          </w:tcPr>
          <w:p w14:paraId="7D5A33FB">
            <w:pPr>
              <w:jc w:val="center"/>
              <w:rPr>
                <w:rFonts w:hint="eastAsia" w:ascii="宋体" w:hAnsi="宋体" w:eastAsia="宋体" w:cs="宋体"/>
                <w:szCs w:val="21"/>
              </w:rPr>
            </w:pPr>
            <w:r>
              <w:rPr>
                <w:rFonts w:hint="eastAsia" w:ascii="宋体" w:hAnsi="宋体" w:eastAsia="宋体" w:cs="宋体"/>
                <w:szCs w:val="21"/>
              </w:rPr>
              <w:t>7.普通话水平测试命题说话训练</w:t>
            </w:r>
          </w:p>
        </w:tc>
        <w:tc>
          <w:tcPr>
            <w:tcW w:w="2441" w:type="dxa"/>
            <w:vAlign w:val="center"/>
          </w:tcPr>
          <w:p w14:paraId="08891AB9">
            <w:pPr>
              <w:rPr>
                <w:rFonts w:hint="eastAsia" w:ascii="宋体" w:hAnsi="宋体" w:eastAsia="宋体" w:cs="宋体"/>
                <w:bCs/>
                <w:szCs w:val="21"/>
              </w:rPr>
            </w:pPr>
            <w:r>
              <w:rPr>
                <w:rFonts w:hint="eastAsia" w:ascii="宋体" w:hAnsi="宋体" w:eastAsia="宋体" w:cs="宋体"/>
                <w:bCs/>
                <w:szCs w:val="21"/>
              </w:rPr>
              <w:t>1.普通话水平测试说话技巧和扣分标准</w:t>
            </w:r>
          </w:p>
          <w:p w14:paraId="0ED2EC79">
            <w:pPr>
              <w:rPr>
                <w:rFonts w:hint="eastAsia" w:ascii="宋体" w:hAnsi="宋体" w:eastAsia="宋体" w:cs="宋体"/>
                <w:szCs w:val="21"/>
              </w:rPr>
            </w:pPr>
            <w:r>
              <w:rPr>
                <w:rFonts w:hint="eastAsia" w:ascii="宋体" w:hAnsi="宋体" w:eastAsia="宋体" w:cs="宋体"/>
                <w:bCs/>
                <w:szCs w:val="21"/>
              </w:rPr>
              <w:t>2.水平测试说话训练</w:t>
            </w:r>
          </w:p>
        </w:tc>
        <w:tc>
          <w:tcPr>
            <w:tcW w:w="1361" w:type="dxa"/>
            <w:vAlign w:val="center"/>
          </w:tcPr>
          <w:p w14:paraId="4CC69973">
            <w:pPr>
              <w:jc w:val="center"/>
              <w:rPr>
                <w:rFonts w:hint="eastAsia" w:ascii="宋体" w:hAnsi="宋体" w:eastAsia="宋体" w:cs="宋体"/>
                <w:szCs w:val="21"/>
              </w:rPr>
            </w:pPr>
            <w:r>
              <w:rPr>
                <w:rFonts w:hint="eastAsia" w:ascii="宋体" w:hAnsi="宋体" w:eastAsia="宋体" w:cs="宋体"/>
                <w:szCs w:val="21"/>
              </w:rPr>
              <w:t>课程目标</w:t>
            </w:r>
          </w:p>
          <w:p w14:paraId="79F9B328">
            <w:pPr>
              <w:jc w:val="center"/>
              <w:rPr>
                <w:rFonts w:hint="eastAsia" w:ascii="宋体" w:hAnsi="宋体" w:eastAsia="宋体" w:cs="宋体"/>
                <w:szCs w:val="21"/>
              </w:rPr>
            </w:pPr>
            <w:r>
              <w:rPr>
                <w:rFonts w:hint="eastAsia" w:ascii="宋体" w:hAnsi="宋体" w:eastAsia="宋体" w:cs="宋体"/>
                <w:szCs w:val="21"/>
              </w:rPr>
              <w:t>1、2、3</w:t>
            </w:r>
          </w:p>
        </w:tc>
        <w:tc>
          <w:tcPr>
            <w:tcW w:w="2180" w:type="dxa"/>
            <w:vAlign w:val="center"/>
          </w:tcPr>
          <w:p w14:paraId="7B5AF253">
            <w:pPr>
              <w:rPr>
                <w:rFonts w:hint="eastAsia" w:ascii="宋体" w:hAnsi="宋体" w:eastAsia="宋体" w:cs="宋体"/>
                <w:szCs w:val="21"/>
              </w:rPr>
            </w:pPr>
            <w:r>
              <w:rPr>
                <w:rFonts w:hint="eastAsia" w:ascii="宋体" w:hAnsi="宋体" w:eastAsia="宋体" w:cs="宋体"/>
                <w:szCs w:val="21"/>
              </w:rPr>
              <w:t>1.训练学生能够在无文字凭借的情况下自由流畅说话</w:t>
            </w:r>
          </w:p>
          <w:p w14:paraId="6B0F5076">
            <w:pPr>
              <w:rPr>
                <w:rFonts w:hint="eastAsia" w:ascii="宋体" w:hAnsi="宋体" w:eastAsia="宋体" w:cs="宋体"/>
                <w:szCs w:val="21"/>
              </w:rPr>
            </w:pPr>
            <w:r>
              <w:rPr>
                <w:rFonts w:hint="eastAsia" w:ascii="宋体" w:hAnsi="宋体" w:eastAsia="宋体" w:cs="宋体"/>
                <w:szCs w:val="21"/>
              </w:rPr>
              <w:t>2.使学生了解</w:t>
            </w:r>
            <w:r>
              <w:rPr>
                <w:rFonts w:hint="eastAsia" w:ascii="宋体" w:hAnsi="宋体" w:eastAsia="宋体" w:cs="宋体"/>
                <w:bCs/>
                <w:szCs w:val="21"/>
              </w:rPr>
              <w:t>普通话水平测试的说话技巧及扣分标准</w:t>
            </w:r>
          </w:p>
        </w:tc>
        <w:tc>
          <w:tcPr>
            <w:tcW w:w="1519" w:type="dxa"/>
            <w:vAlign w:val="center"/>
          </w:tcPr>
          <w:p w14:paraId="458EB7E0">
            <w:pPr>
              <w:jc w:val="left"/>
              <w:rPr>
                <w:rFonts w:hint="eastAsia" w:ascii="宋体" w:hAnsi="宋体" w:eastAsia="宋体" w:cs="宋体"/>
                <w:szCs w:val="21"/>
              </w:rPr>
            </w:pPr>
            <w:r>
              <w:rPr>
                <w:rFonts w:hint="eastAsia" w:ascii="宋体" w:hAnsi="宋体" w:eastAsia="宋体" w:cs="宋体"/>
                <w:szCs w:val="21"/>
              </w:rPr>
              <w:t>1.多媒体教学2.课堂讨论</w:t>
            </w:r>
          </w:p>
          <w:p w14:paraId="0F30F3B4">
            <w:pPr>
              <w:jc w:val="left"/>
              <w:rPr>
                <w:rFonts w:hint="eastAsia" w:ascii="宋体" w:hAnsi="宋体" w:eastAsia="宋体" w:cs="宋体"/>
                <w:szCs w:val="21"/>
              </w:rPr>
            </w:pPr>
            <w:r>
              <w:rPr>
                <w:rFonts w:hint="eastAsia" w:ascii="宋体" w:hAnsi="宋体" w:eastAsia="宋体" w:cs="宋体"/>
                <w:szCs w:val="21"/>
              </w:rPr>
              <w:t>3.单元测验</w:t>
            </w:r>
          </w:p>
        </w:tc>
        <w:tc>
          <w:tcPr>
            <w:tcW w:w="438" w:type="dxa"/>
            <w:vAlign w:val="center"/>
          </w:tcPr>
          <w:p w14:paraId="6402065F">
            <w:pPr>
              <w:jc w:val="center"/>
              <w:rPr>
                <w:rFonts w:hint="eastAsia" w:ascii="宋体" w:hAnsi="宋体" w:eastAsia="宋体" w:cs="宋体"/>
                <w:szCs w:val="21"/>
              </w:rPr>
            </w:pPr>
            <w:r>
              <w:rPr>
                <w:rFonts w:hint="eastAsia" w:ascii="宋体" w:hAnsi="宋体" w:eastAsia="宋体" w:cs="宋体"/>
                <w:szCs w:val="21"/>
              </w:rPr>
              <w:t>2</w:t>
            </w:r>
          </w:p>
        </w:tc>
      </w:tr>
      <w:tr w14:paraId="2EFA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9" w:type="dxa"/>
            <w:vMerge w:val="continue"/>
            <w:vAlign w:val="center"/>
          </w:tcPr>
          <w:p w14:paraId="7AFA172B">
            <w:pPr>
              <w:jc w:val="center"/>
              <w:rPr>
                <w:rFonts w:hint="eastAsia" w:ascii="宋体" w:hAnsi="宋体" w:eastAsia="宋体" w:cs="宋体"/>
                <w:szCs w:val="21"/>
              </w:rPr>
            </w:pPr>
          </w:p>
        </w:tc>
        <w:tc>
          <w:tcPr>
            <w:tcW w:w="7939" w:type="dxa"/>
            <w:gridSpan w:val="5"/>
            <w:vAlign w:val="center"/>
          </w:tcPr>
          <w:p w14:paraId="6757D104">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了解我国现代语言的演变及其形态，确立语言自信与文化自信。</w:t>
            </w:r>
          </w:p>
        </w:tc>
      </w:tr>
    </w:tbl>
    <w:p w14:paraId="5BD32F4A">
      <w:pPr>
        <w:spacing w:line="360" w:lineRule="auto"/>
        <w:jc w:val="left"/>
        <w:rPr>
          <w:rFonts w:hint="eastAsia" w:ascii="宋体" w:hAnsi="宋体" w:eastAsia="宋体" w:cs="宋体"/>
          <w:sz w:val="24"/>
        </w:rPr>
      </w:pPr>
      <w:r>
        <w:rPr>
          <w:rFonts w:hint="eastAsia" w:ascii="宋体" w:hAnsi="宋体" w:eastAsia="宋体" w:cs="宋体"/>
          <w:b/>
          <w:sz w:val="24"/>
        </w:rPr>
        <w:t>四、目标评价与成绩评定</w:t>
      </w:r>
    </w:p>
    <w:p w14:paraId="4FCA08F7">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（一）课程目标评价方式</w:t>
      </w:r>
    </w:p>
    <w:p w14:paraId="14C6D8D4">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根据总体设计，用于评价各课程目标的评价方式如下表所示。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62D1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2B79027A">
            <w:pPr>
              <w:spacing w:line="360" w:lineRule="auto"/>
              <w:jc w:val="center"/>
              <w:rPr>
                <w:rFonts w:hint="eastAsia" w:ascii="宋体" w:hAnsi="宋体" w:eastAsia="宋体" w:cs="宋体"/>
                <w:szCs w:val="21"/>
              </w:rPr>
            </w:pPr>
            <w:r>
              <w:rPr>
                <w:rFonts w:hint="eastAsia" w:ascii="宋体" w:hAnsi="宋体" w:eastAsia="宋体" w:cs="宋体"/>
                <w:szCs w:val="21"/>
              </w:rPr>
              <w:t>课程目标</w:t>
            </w:r>
          </w:p>
        </w:tc>
        <w:tc>
          <w:tcPr>
            <w:tcW w:w="0" w:type="auto"/>
            <w:gridSpan w:val="6"/>
            <w:vAlign w:val="center"/>
          </w:tcPr>
          <w:p w14:paraId="5C60C468">
            <w:pPr>
              <w:spacing w:line="360" w:lineRule="auto"/>
              <w:jc w:val="center"/>
              <w:rPr>
                <w:rFonts w:hint="eastAsia" w:ascii="宋体" w:hAnsi="宋体" w:eastAsia="宋体" w:cs="宋体"/>
                <w:szCs w:val="21"/>
              </w:rPr>
            </w:pPr>
            <w:r>
              <w:rPr>
                <w:rFonts w:hint="eastAsia" w:ascii="宋体" w:hAnsi="宋体" w:eastAsia="宋体" w:cs="宋体"/>
                <w:szCs w:val="21"/>
              </w:rPr>
              <w:t>评价与成绩评定方法</w:t>
            </w:r>
          </w:p>
        </w:tc>
        <w:tc>
          <w:tcPr>
            <w:tcW w:w="0" w:type="auto"/>
            <w:vMerge w:val="restart"/>
            <w:vAlign w:val="center"/>
          </w:tcPr>
          <w:p w14:paraId="075BAB91">
            <w:pPr>
              <w:spacing w:line="360" w:lineRule="auto"/>
              <w:jc w:val="center"/>
              <w:rPr>
                <w:rFonts w:hint="eastAsia" w:ascii="宋体" w:hAnsi="宋体" w:eastAsia="宋体" w:cs="宋体"/>
                <w:szCs w:val="21"/>
              </w:rPr>
            </w:pPr>
            <w:r>
              <w:rPr>
                <w:rFonts w:hint="eastAsia" w:ascii="宋体" w:hAnsi="宋体" w:eastAsia="宋体" w:cs="宋体"/>
                <w:szCs w:val="21"/>
              </w:rPr>
              <w:t>分值</w:t>
            </w:r>
          </w:p>
        </w:tc>
      </w:tr>
      <w:tr w14:paraId="6834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1C5D4020">
            <w:pPr>
              <w:spacing w:line="360" w:lineRule="auto"/>
              <w:jc w:val="center"/>
              <w:rPr>
                <w:rFonts w:hint="eastAsia" w:ascii="宋体" w:hAnsi="宋体" w:eastAsia="宋体" w:cs="宋体"/>
                <w:szCs w:val="21"/>
              </w:rPr>
            </w:pPr>
          </w:p>
        </w:tc>
        <w:tc>
          <w:tcPr>
            <w:tcW w:w="0" w:type="auto"/>
            <w:vAlign w:val="center"/>
          </w:tcPr>
          <w:p w14:paraId="4071DB33">
            <w:pPr>
              <w:spacing w:line="360" w:lineRule="auto"/>
              <w:jc w:val="center"/>
              <w:rPr>
                <w:rFonts w:hint="eastAsia" w:ascii="宋体" w:hAnsi="宋体" w:eastAsia="宋体" w:cs="宋体"/>
                <w:szCs w:val="21"/>
              </w:rPr>
            </w:pPr>
            <w:r>
              <w:rPr>
                <w:rFonts w:hint="eastAsia" w:ascii="宋体" w:hAnsi="宋体" w:eastAsia="宋体" w:cs="宋体"/>
                <w:szCs w:val="21"/>
              </w:rPr>
              <w:t>平时作业</w:t>
            </w:r>
          </w:p>
        </w:tc>
        <w:tc>
          <w:tcPr>
            <w:tcW w:w="0" w:type="auto"/>
            <w:vAlign w:val="center"/>
          </w:tcPr>
          <w:p w14:paraId="6AF3099E">
            <w:pPr>
              <w:spacing w:line="360" w:lineRule="auto"/>
              <w:jc w:val="center"/>
              <w:rPr>
                <w:rFonts w:hint="eastAsia" w:ascii="宋体" w:hAnsi="宋体" w:eastAsia="宋体" w:cs="宋体"/>
                <w:szCs w:val="21"/>
              </w:rPr>
            </w:pPr>
            <w:r>
              <w:rPr>
                <w:rFonts w:hint="eastAsia" w:ascii="宋体" w:hAnsi="宋体" w:eastAsia="宋体" w:cs="宋体"/>
                <w:szCs w:val="21"/>
              </w:rPr>
              <w:t>课堂表现</w:t>
            </w:r>
          </w:p>
        </w:tc>
        <w:tc>
          <w:tcPr>
            <w:tcW w:w="0" w:type="auto"/>
            <w:vAlign w:val="center"/>
          </w:tcPr>
          <w:p w14:paraId="08C4E74A">
            <w:pPr>
              <w:spacing w:line="360" w:lineRule="auto"/>
              <w:jc w:val="center"/>
              <w:rPr>
                <w:rFonts w:hint="eastAsia" w:ascii="宋体" w:hAnsi="宋体" w:eastAsia="宋体" w:cs="宋体"/>
                <w:szCs w:val="21"/>
              </w:rPr>
            </w:pPr>
            <w:r>
              <w:rPr>
                <w:rFonts w:hint="eastAsia" w:ascii="宋体" w:hAnsi="宋体" w:eastAsia="宋体" w:cs="宋体"/>
                <w:szCs w:val="21"/>
              </w:rPr>
              <w:t>语言练习</w:t>
            </w:r>
          </w:p>
        </w:tc>
        <w:tc>
          <w:tcPr>
            <w:tcW w:w="0" w:type="auto"/>
            <w:vAlign w:val="center"/>
          </w:tcPr>
          <w:p w14:paraId="04E9C326">
            <w:pPr>
              <w:spacing w:line="360" w:lineRule="auto"/>
              <w:jc w:val="center"/>
              <w:rPr>
                <w:rFonts w:hint="eastAsia" w:ascii="宋体" w:hAnsi="宋体" w:eastAsia="宋体" w:cs="宋体"/>
                <w:szCs w:val="21"/>
              </w:rPr>
            </w:pPr>
            <w:r>
              <w:rPr>
                <w:rFonts w:hint="eastAsia" w:ascii="宋体" w:hAnsi="宋体" w:eastAsia="宋体" w:cs="宋体"/>
                <w:szCs w:val="21"/>
              </w:rPr>
              <w:t>语音打卡</w:t>
            </w:r>
          </w:p>
        </w:tc>
        <w:tc>
          <w:tcPr>
            <w:tcW w:w="0" w:type="auto"/>
            <w:vAlign w:val="center"/>
          </w:tcPr>
          <w:p w14:paraId="16F0444D">
            <w:pPr>
              <w:spacing w:line="360" w:lineRule="auto"/>
              <w:jc w:val="center"/>
              <w:rPr>
                <w:rFonts w:hint="eastAsia" w:ascii="宋体" w:hAnsi="宋体" w:eastAsia="宋体" w:cs="宋体"/>
                <w:szCs w:val="21"/>
              </w:rPr>
            </w:pPr>
            <w:r>
              <w:rPr>
                <w:rFonts w:hint="eastAsia" w:ascii="宋体" w:hAnsi="宋体" w:eastAsia="宋体" w:cs="宋体"/>
                <w:szCs w:val="21"/>
              </w:rPr>
              <w:t>期末考试</w:t>
            </w:r>
          </w:p>
        </w:tc>
        <w:tc>
          <w:tcPr>
            <w:tcW w:w="0" w:type="auto"/>
          </w:tcPr>
          <w:p w14:paraId="1A78F9FE">
            <w:pPr>
              <w:spacing w:line="360" w:lineRule="auto"/>
              <w:jc w:val="center"/>
              <w:rPr>
                <w:rFonts w:hint="eastAsia" w:ascii="宋体" w:hAnsi="宋体" w:eastAsia="宋体" w:cs="宋体"/>
                <w:szCs w:val="21"/>
              </w:rPr>
            </w:pPr>
            <w:r>
              <w:rPr>
                <w:rFonts w:hint="eastAsia" w:ascii="宋体" w:hAnsi="宋体" w:eastAsia="宋体" w:cs="宋体"/>
                <w:szCs w:val="21"/>
              </w:rPr>
              <w:t>自主学习</w:t>
            </w:r>
          </w:p>
        </w:tc>
        <w:tc>
          <w:tcPr>
            <w:tcW w:w="0" w:type="auto"/>
            <w:vMerge w:val="continue"/>
            <w:vAlign w:val="center"/>
          </w:tcPr>
          <w:p w14:paraId="2E1B4BB5">
            <w:pPr>
              <w:spacing w:line="360" w:lineRule="auto"/>
              <w:jc w:val="center"/>
              <w:rPr>
                <w:rFonts w:hint="eastAsia" w:ascii="宋体" w:hAnsi="宋体" w:eastAsia="宋体" w:cs="宋体"/>
                <w:szCs w:val="21"/>
              </w:rPr>
            </w:pPr>
          </w:p>
        </w:tc>
      </w:tr>
      <w:tr w14:paraId="4C6A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F081F6">
            <w:pPr>
              <w:spacing w:line="360" w:lineRule="auto"/>
              <w:jc w:val="center"/>
              <w:rPr>
                <w:rFonts w:hint="eastAsia" w:ascii="宋体" w:hAnsi="宋体" w:eastAsia="宋体" w:cs="宋体"/>
                <w:szCs w:val="21"/>
              </w:rPr>
            </w:pPr>
            <w:r>
              <w:rPr>
                <w:rFonts w:hint="eastAsia" w:ascii="宋体" w:hAnsi="宋体" w:eastAsia="宋体" w:cs="宋体"/>
                <w:szCs w:val="21"/>
              </w:rPr>
              <w:t>课程目标1</w:t>
            </w:r>
          </w:p>
        </w:tc>
        <w:tc>
          <w:tcPr>
            <w:tcW w:w="0" w:type="auto"/>
            <w:vAlign w:val="center"/>
          </w:tcPr>
          <w:p w14:paraId="09B69AA7">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3D57BBCE">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69CC9E15">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69D97A12">
            <w:pPr>
              <w:spacing w:line="360" w:lineRule="auto"/>
              <w:jc w:val="center"/>
              <w:rPr>
                <w:rFonts w:hint="eastAsia" w:ascii="宋体" w:hAnsi="宋体" w:eastAsia="宋体" w:cs="宋体"/>
                <w:szCs w:val="21"/>
              </w:rPr>
            </w:pPr>
          </w:p>
        </w:tc>
        <w:tc>
          <w:tcPr>
            <w:tcW w:w="0" w:type="auto"/>
            <w:vAlign w:val="center"/>
          </w:tcPr>
          <w:p w14:paraId="572CFAB3">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739A9006">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0B941EB5">
            <w:pPr>
              <w:spacing w:line="360" w:lineRule="auto"/>
              <w:jc w:val="center"/>
              <w:rPr>
                <w:rFonts w:hint="eastAsia" w:ascii="宋体" w:hAnsi="宋体" w:eastAsia="宋体" w:cs="宋体"/>
                <w:szCs w:val="21"/>
              </w:rPr>
            </w:pPr>
            <w:r>
              <w:rPr>
                <w:rFonts w:hint="eastAsia" w:ascii="宋体" w:hAnsi="宋体" w:eastAsia="宋体" w:cs="宋体"/>
                <w:szCs w:val="21"/>
              </w:rPr>
              <w:t>30</w:t>
            </w:r>
          </w:p>
        </w:tc>
      </w:tr>
      <w:tr w14:paraId="5995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78FC43E">
            <w:pPr>
              <w:spacing w:line="360" w:lineRule="auto"/>
              <w:jc w:val="center"/>
              <w:rPr>
                <w:rFonts w:hint="eastAsia" w:ascii="宋体" w:hAnsi="宋体" w:eastAsia="宋体" w:cs="宋体"/>
                <w:szCs w:val="21"/>
              </w:rPr>
            </w:pPr>
            <w:r>
              <w:rPr>
                <w:rFonts w:hint="eastAsia" w:ascii="宋体" w:hAnsi="宋体" w:eastAsia="宋体" w:cs="宋体"/>
                <w:szCs w:val="21"/>
              </w:rPr>
              <w:t>课程目标2</w:t>
            </w:r>
          </w:p>
        </w:tc>
        <w:tc>
          <w:tcPr>
            <w:tcW w:w="0" w:type="auto"/>
            <w:vAlign w:val="center"/>
          </w:tcPr>
          <w:p w14:paraId="21684555">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38389A4E">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6E8486AA">
            <w:pPr>
              <w:spacing w:line="360" w:lineRule="auto"/>
              <w:jc w:val="center"/>
              <w:rPr>
                <w:rFonts w:hint="eastAsia" w:ascii="宋体" w:hAnsi="宋体" w:eastAsia="宋体" w:cs="宋体"/>
                <w:szCs w:val="21"/>
              </w:rPr>
            </w:pPr>
          </w:p>
        </w:tc>
        <w:tc>
          <w:tcPr>
            <w:tcW w:w="0" w:type="auto"/>
            <w:vAlign w:val="center"/>
          </w:tcPr>
          <w:p w14:paraId="6D2F09E9">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409C2E0D">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429F6CAF">
            <w:pPr>
              <w:spacing w:line="360" w:lineRule="auto"/>
              <w:jc w:val="center"/>
              <w:rPr>
                <w:rFonts w:hint="eastAsia" w:ascii="宋体" w:hAnsi="宋体" w:eastAsia="宋体" w:cs="宋体"/>
                <w:szCs w:val="21"/>
              </w:rPr>
            </w:pPr>
          </w:p>
        </w:tc>
        <w:tc>
          <w:tcPr>
            <w:tcW w:w="0" w:type="auto"/>
            <w:vAlign w:val="center"/>
          </w:tcPr>
          <w:p w14:paraId="791945BF">
            <w:pPr>
              <w:spacing w:line="360" w:lineRule="auto"/>
              <w:jc w:val="center"/>
              <w:rPr>
                <w:rFonts w:hint="eastAsia" w:ascii="宋体" w:hAnsi="宋体" w:eastAsia="宋体" w:cs="宋体"/>
                <w:szCs w:val="21"/>
              </w:rPr>
            </w:pPr>
            <w:r>
              <w:rPr>
                <w:rFonts w:hint="eastAsia" w:ascii="宋体" w:hAnsi="宋体" w:eastAsia="宋体" w:cs="宋体"/>
                <w:szCs w:val="21"/>
              </w:rPr>
              <w:t>40</w:t>
            </w:r>
          </w:p>
        </w:tc>
      </w:tr>
      <w:tr w14:paraId="561F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AEFCD47">
            <w:pPr>
              <w:spacing w:line="360" w:lineRule="auto"/>
              <w:jc w:val="center"/>
              <w:rPr>
                <w:rFonts w:hint="eastAsia" w:ascii="宋体" w:hAnsi="宋体" w:eastAsia="宋体" w:cs="宋体"/>
                <w:szCs w:val="21"/>
              </w:rPr>
            </w:pPr>
            <w:r>
              <w:rPr>
                <w:rFonts w:hint="eastAsia" w:ascii="宋体" w:hAnsi="宋体" w:eastAsia="宋体" w:cs="宋体"/>
                <w:szCs w:val="21"/>
              </w:rPr>
              <w:t>课程目标3</w:t>
            </w:r>
          </w:p>
        </w:tc>
        <w:tc>
          <w:tcPr>
            <w:tcW w:w="0" w:type="auto"/>
            <w:vAlign w:val="center"/>
          </w:tcPr>
          <w:p w14:paraId="3CA30E63">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566BAD87">
            <w:pPr>
              <w:spacing w:line="360" w:lineRule="auto"/>
              <w:jc w:val="center"/>
              <w:rPr>
                <w:rFonts w:hint="eastAsia" w:ascii="宋体" w:hAnsi="宋体" w:eastAsia="宋体" w:cs="宋体"/>
                <w:szCs w:val="21"/>
              </w:rPr>
            </w:pPr>
          </w:p>
        </w:tc>
        <w:tc>
          <w:tcPr>
            <w:tcW w:w="0" w:type="auto"/>
            <w:vAlign w:val="center"/>
          </w:tcPr>
          <w:p w14:paraId="7BECEB68">
            <w:pPr>
              <w:spacing w:line="360" w:lineRule="auto"/>
              <w:jc w:val="center"/>
              <w:rPr>
                <w:rFonts w:hint="eastAsia" w:ascii="宋体" w:hAnsi="宋体" w:eastAsia="宋体" w:cs="宋体"/>
                <w:szCs w:val="21"/>
              </w:rPr>
            </w:pPr>
          </w:p>
        </w:tc>
        <w:tc>
          <w:tcPr>
            <w:tcW w:w="0" w:type="auto"/>
            <w:vAlign w:val="center"/>
          </w:tcPr>
          <w:p w14:paraId="4B0FED0A">
            <w:pPr>
              <w:spacing w:line="360" w:lineRule="auto"/>
              <w:jc w:val="center"/>
              <w:rPr>
                <w:rFonts w:hint="eastAsia" w:ascii="宋体" w:hAnsi="宋体" w:eastAsia="宋体" w:cs="宋体"/>
                <w:szCs w:val="21"/>
              </w:rPr>
            </w:pPr>
          </w:p>
        </w:tc>
        <w:tc>
          <w:tcPr>
            <w:tcW w:w="0" w:type="auto"/>
            <w:vAlign w:val="center"/>
          </w:tcPr>
          <w:p w14:paraId="3D058701">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1818FA32">
            <w:pPr>
              <w:spacing w:line="360" w:lineRule="auto"/>
              <w:jc w:val="center"/>
              <w:rPr>
                <w:rFonts w:hint="eastAsia" w:ascii="宋体" w:hAnsi="宋体" w:eastAsia="宋体" w:cs="宋体"/>
                <w:szCs w:val="21"/>
              </w:rPr>
            </w:pPr>
          </w:p>
        </w:tc>
        <w:tc>
          <w:tcPr>
            <w:tcW w:w="0" w:type="auto"/>
            <w:vAlign w:val="center"/>
          </w:tcPr>
          <w:p w14:paraId="114318EC">
            <w:pPr>
              <w:spacing w:line="360" w:lineRule="auto"/>
              <w:jc w:val="center"/>
              <w:rPr>
                <w:rFonts w:hint="eastAsia" w:ascii="宋体" w:hAnsi="宋体" w:eastAsia="宋体" w:cs="宋体"/>
                <w:szCs w:val="21"/>
              </w:rPr>
            </w:pPr>
            <w:r>
              <w:rPr>
                <w:rFonts w:hint="eastAsia" w:ascii="宋体" w:hAnsi="宋体" w:eastAsia="宋体" w:cs="宋体"/>
                <w:szCs w:val="21"/>
              </w:rPr>
              <w:t>30</w:t>
            </w:r>
          </w:p>
        </w:tc>
      </w:tr>
      <w:tr w14:paraId="617D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E9BF597">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60296763">
            <w:pPr>
              <w:spacing w:line="360" w:lineRule="auto"/>
              <w:jc w:val="center"/>
              <w:rPr>
                <w:rFonts w:hint="eastAsia" w:ascii="宋体" w:hAnsi="宋体" w:eastAsia="宋体" w:cs="Times New Roman"/>
                <w:szCs w:val="21"/>
              </w:rPr>
            </w:pPr>
          </w:p>
        </w:tc>
        <w:tc>
          <w:tcPr>
            <w:tcW w:w="0" w:type="auto"/>
            <w:vAlign w:val="center"/>
          </w:tcPr>
          <w:p w14:paraId="2F703062">
            <w:pPr>
              <w:spacing w:line="360" w:lineRule="auto"/>
              <w:jc w:val="center"/>
              <w:rPr>
                <w:rFonts w:hint="eastAsia" w:ascii="宋体" w:hAnsi="宋体" w:eastAsia="宋体" w:cs="Times New Roman"/>
                <w:szCs w:val="21"/>
              </w:rPr>
            </w:pPr>
          </w:p>
        </w:tc>
        <w:tc>
          <w:tcPr>
            <w:tcW w:w="0" w:type="auto"/>
            <w:vAlign w:val="center"/>
          </w:tcPr>
          <w:p w14:paraId="7DFCFD42">
            <w:pPr>
              <w:spacing w:line="360" w:lineRule="auto"/>
              <w:jc w:val="center"/>
              <w:rPr>
                <w:rFonts w:hint="eastAsia" w:ascii="宋体" w:hAnsi="宋体" w:eastAsia="宋体" w:cs="Times New Roman"/>
                <w:szCs w:val="21"/>
              </w:rPr>
            </w:pPr>
          </w:p>
        </w:tc>
        <w:tc>
          <w:tcPr>
            <w:tcW w:w="0" w:type="auto"/>
            <w:vAlign w:val="center"/>
          </w:tcPr>
          <w:p w14:paraId="6D8CCF20">
            <w:pPr>
              <w:spacing w:line="360" w:lineRule="auto"/>
              <w:jc w:val="center"/>
              <w:rPr>
                <w:rFonts w:hint="eastAsia" w:ascii="宋体" w:hAnsi="宋体" w:eastAsia="宋体" w:cs="Times New Roman"/>
                <w:szCs w:val="21"/>
              </w:rPr>
            </w:pPr>
          </w:p>
        </w:tc>
        <w:tc>
          <w:tcPr>
            <w:tcW w:w="0" w:type="auto"/>
            <w:vAlign w:val="center"/>
          </w:tcPr>
          <w:p w14:paraId="4DF2EC18">
            <w:pPr>
              <w:spacing w:line="360" w:lineRule="auto"/>
              <w:jc w:val="center"/>
              <w:rPr>
                <w:rFonts w:hint="eastAsia" w:ascii="宋体" w:hAnsi="宋体" w:eastAsia="宋体" w:cs="Times New Roman"/>
                <w:szCs w:val="21"/>
              </w:rPr>
            </w:pPr>
          </w:p>
        </w:tc>
        <w:tc>
          <w:tcPr>
            <w:tcW w:w="0" w:type="auto"/>
          </w:tcPr>
          <w:p w14:paraId="7B583D17">
            <w:pPr>
              <w:spacing w:line="360" w:lineRule="auto"/>
              <w:jc w:val="center"/>
              <w:rPr>
                <w:rFonts w:hint="eastAsia" w:ascii="宋体" w:hAnsi="宋体" w:eastAsia="宋体" w:cs="Times New Roman"/>
                <w:szCs w:val="21"/>
              </w:rPr>
            </w:pPr>
          </w:p>
        </w:tc>
        <w:tc>
          <w:tcPr>
            <w:tcW w:w="0" w:type="auto"/>
            <w:vAlign w:val="center"/>
          </w:tcPr>
          <w:p w14:paraId="032C9C89">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6F7A3BC">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551270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p w14:paraId="25533F8A">
      <w:pPr>
        <w:spacing w:line="360" w:lineRule="auto"/>
        <w:ind w:firstLine="420" w:firstLineChars="200"/>
        <w:jc w:val="left"/>
        <w:rPr>
          <w:rFonts w:ascii="Times New Roman" w:hAnsi="Times New Roman" w:eastAsia="宋体" w:cs="Times New Roman"/>
          <w:szCs w:val="21"/>
        </w:rPr>
      </w:pPr>
    </w:p>
    <w:p w14:paraId="05B95E9D">
      <w:pPr>
        <w:spacing w:line="360" w:lineRule="auto"/>
        <w:ind w:firstLine="420" w:firstLineChars="200"/>
        <w:jc w:val="left"/>
        <w:rPr>
          <w:rFonts w:ascii="Times New Roman" w:hAnsi="Times New Roman" w:eastAsia="宋体" w:cs="Times New Roman"/>
          <w:szCs w:val="21"/>
        </w:rPr>
      </w:pPr>
    </w:p>
    <w:p w14:paraId="336F5978">
      <w:pPr>
        <w:spacing w:line="360" w:lineRule="auto"/>
        <w:ind w:firstLine="420" w:firstLineChars="200"/>
        <w:jc w:val="left"/>
        <w:rPr>
          <w:rFonts w:ascii="Times New Roman" w:hAnsi="Times New Roman" w:eastAsia="宋体" w:cs="Times New Roman"/>
          <w:szCs w:val="21"/>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6542"/>
        <w:gridCol w:w="706"/>
      </w:tblGrid>
      <w:tr w14:paraId="18E7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51C81F6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542" w:type="dxa"/>
            <w:vAlign w:val="center"/>
          </w:tcPr>
          <w:p w14:paraId="056A29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4B4031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8F3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0CD5F114">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6542" w:type="dxa"/>
            <w:vAlign w:val="center"/>
          </w:tcPr>
          <w:p w14:paraId="068E568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语音打卡八次，选三次成绩进行记录。</w:t>
            </w:r>
          </w:p>
        </w:tc>
        <w:tc>
          <w:tcPr>
            <w:tcW w:w="0" w:type="auto"/>
            <w:vAlign w:val="center"/>
          </w:tcPr>
          <w:p w14:paraId="1D9A066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72A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74FA27F3">
            <w:pPr>
              <w:jc w:val="cente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542" w:type="dxa"/>
            <w:vAlign w:val="center"/>
          </w:tcPr>
          <w:p w14:paraId="3BDB8AFE">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706FF389">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11DEB0A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258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2FFA1D67">
            <w:pPr>
              <w:jc w:val="center"/>
              <w:rPr>
                <w:rFonts w:ascii="Times New Roman" w:hAnsi="Times New Roman" w:eastAsia="宋体" w:cs="Times New Roman"/>
                <w:szCs w:val="21"/>
              </w:rPr>
            </w:pPr>
            <w:r>
              <w:rPr>
                <w:rFonts w:hint="eastAsia" w:ascii="Times New Roman" w:hAnsi="Times New Roman" w:eastAsia="宋体" w:cs="Times New Roman"/>
                <w:szCs w:val="21"/>
              </w:rPr>
              <w:t>语音练习</w:t>
            </w:r>
          </w:p>
        </w:tc>
        <w:tc>
          <w:tcPr>
            <w:tcW w:w="6542" w:type="dxa"/>
            <w:vAlign w:val="center"/>
          </w:tcPr>
          <w:p w14:paraId="2946C020">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每节课都有相关的语音练习，及时纠正语音问题。</w:t>
            </w:r>
          </w:p>
        </w:tc>
        <w:tc>
          <w:tcPr>
            <w:tcW w:w="0" w:type="auto"/>
            <w:vAlign w:val="center"/>
          </w:tcPr>
          <w:p w14:paraId="1A455EF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5CC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3F1515D2">
            <w:pPr>
              <w:jc w:val="center"/>
              <w:rPr>
                <w:rFonts w:ascii="Times New Roman" w:hAnsi="Times New Roman" w:eastAsia="宋体" w:cs="Times New Roman"/>
                <w:szCs w:val="21"/>
              </w:rPr>
            </w:pPr>
            <w:r>
              <w:rPr>
                <w:rFonts w:hint="eastAsia" w:ascii="Times New Roman" w:hAnsi="Times New Roman" w:eastAsia="宋体" w:cs="Times New Roman"/>
                <w:szCs w:val="21"/>
              </w:rPr>
              <w:t>语音打卡</w:t>
            </w:r>
          </w:p>
        </w:tc>
        <w:tc>
          <w:tcPr>
            <w:tcW w:w="6542" w:type="dxa"/>
            <w:vAlign w:val="center"/>
          </w:tcPr>
          <w:p w14:paraId="26F2ED6F">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每周至少使用畅言APP进行一次完整的语音打卡，并提交测试成绩。</w:t>
            </w:r>
          </w:p>
        </w:tc>
        <w:tc>
          <w:tcPr>
            <w:tcW w:w="0" w:type="auto"/>
            <w:vAlign w:val="center"/>
          </w:tcPr>
          <w:p w14:paraId="508B947D">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113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5C68F3D5">
            <w:pPr>
              <w:jc w:val="cente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6542" w:type="dxa"/>
            <w:vAlign w:val="center"/>
          </w:tcPr>
          <w:p w14:paraId="415F239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课后学生自主进行语音训练，朗读和强化训练。</w:t>
            </w:r>
          </w:p>
        </w:tc>
        <w:tc>
          <w:tcPr>
            <w:tcW w:w="0" w:type="auto"/>
            <w:vAlign w:val="center"/>
          </w:tcPr>
          <w:p w14:paraId="79E569A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3FD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4" w:type="dxa"/>
            <w:vAlign w:val="center"/>
          </w:tcPr>
          <w:p w14:paraId="15BDF809">
            <w:pPr>
              <w:jc w:val="cente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542" w:type="dxa"/>
            <w:vAlign w:val="center"/>
          </w:tcPr>
          <w:p w14:paraId="33E12B7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随机自动生成试卷，采用手机软件和老师同时打分进行评估。</w:t>
            </w:r>
          </w:p>
        </w:tc>
        <w:tc>
          <w:tcPr>
            <w:tcW w:w="0" w:type="auto"/>
            <w:vAlign w:val="center"/>
          </w:tcPr>
          <w:p w14:paraId="604E396B">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3B31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74" w:type="dxa"/>
            <w:vAlign w:val="center"/>
          </w:tcPr>
          <w:p w14:paraId="24895D9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542" w:type="dxa"/>
            <w:vAlign w:val="center"/>
          </w:tcPr>
          <w:p w14:paraId="44D7DED7">
            <w:pPr>
              <w:jc w:val="left"/>
              <w:rPr>
                <w:rFonts w:ascii="Times New Roman" w:hAnsi="Times New Roman" w:eastAsia="宋体" w:cs="Times New Roman"/>
                <w:szCs w:val="21"/>
              </w:rPr>
            </w:pPr>
          </w:p>
        </w:tc>
        <w:tc>
          <w:tcPr>
            <w:tcW w:w="0" w:type="auto"/>
            <w:vAlign w:val="center"/>
          </w:tcPr>
          <w:p w14:paraId="288CC36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FC1ED27">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7DB3D259">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769990CC">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36"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36" DrawAspect="Content" ObjectID="_1468075736" r:id="rId24">
            <o:LockedField>false</o:LockedField>
          </o:OLEObject>
        </w:object>
      </w:r>
      <w:r>
        <w:rPr>
          <w:rFonts w:hint="eastAsia" w:ascii="宋体" w:hAnsi="宋体" w:eastAsia="宋体" w:cs="Times New Roman"/>
          <w:b/>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7C54D4AC">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5D6FC058">
      <w:pPr>
        <w:spacing w:line="276" w:lineRule="auto"/>
        <w:ind w:firstLine="422" w:firstLineChars="200"/>
        <w:jc w:val="center"/>
        <w:rPr>
          <w:rFonts w:hint="eastAsia" w:ascii="宋体" w:hAnsi="宋体" w:eastAsia="宋体" w:cs="宋体"/>
          <w:b/>
          <w:bCs/>
          <w:szCs w:val="21"/>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69D7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332E58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729C6C05">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75E8DEF2">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01BDCFBF">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329F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B5CCACB">
            <w:pPr>
              <w:spacing w:line="276" w:lineRule="auto"/>
              <w:jc w:val="center"/>
              <w:rPr>
                <w:rFonts w:hint="eastAsia" w:ascii="宋体" w:hAnsi="宋体" w:eastAsia="宋体" w:cs="宋体"/>
                <w:szCs w:val="21"/>
              </w:rPr>
            </w:pPr>
            <w:r>
              <w:rPr>
                <w:rFonts w:hint="eastAsia" w:ascii="宋体" w:hAnsi="宋体" w:eastAsia="宋体" w:cs="宋体"/>
                <w:szCs w:val="21"/>
              </w:rPr>
              <w:t>普通话</w:t>
            </w:r>
          </w:p>
          <w:p w14:paraId="01DC77B6">
            <w:pPr>
              <w:spacing w:line="276" w:lineRule="auto"/>
              <w:jc w:val="center"/>
              <w:rPr>
                <w:rFonts w:hint="eastAsia" w:ascii="宋体" w:hAnsi="宋体" w:eastAsia="宋体" w:cs="宋体"/>
                <w:szCs w:val="21"/>
              </w:rPr>
            </w:pPr>
            <w:r>
              <w:rPr>
                <w:rFonts w:hint="eastAsia" w:ascii="宋体" w:hAnsi="宋体" w:eastAsia="宋体" w:cs="宋体"/>
                <w:szCs w:val="21"/>
              </w:rPr>
              <w:t>推广</w:t>
            </w:r>
          </w:p>
        </w:tc>
        <w:tc>
          <w:tcPr>
            <w:tcW w:w="3407" w:type="dxa"/>
            <w:vAlign w:val="center"/>
          </w:tcPr>
          <w:p w14:paraId="01E929CF">
            <w:pPr>
              <w:spacing w:line="276" w:lineRule="auto"/>
              <w:jc w:val="left"/>
              <w:rPr>
                <w:rFonts w:hint="eastAsia" w:ascii="宋体" w:hAnsi="宋体" w:eastAsia="宋体" w:cs="宋体"/>
                <w:szCs w:val="21"/>
              </w:rPr>
            </w:pPr>
            <w:r>
              <w:rPr>
                <w:rFonts w:hint="eastAsia" w:ascii="宋体" w:hAnsi="宋体" w:eastAsia="宋体" w:cs="宋体"/>
                <w:szCs w:val="21"/>
              </w:rPr>
              <w:t>通过《主持人大赛》、《朗读者》等节目进行课堂主题讨论，让学生模仿与表达</w:t>
            </w:r>
          </w:p>
        </w:tc>
        <w:tc>
          <w:tcPr>
            <w:tcW w:w="740" w:type="dxa"/>
            <w:vAlign w:val="center"/>
          </w:tcPr>
          <w:p w14:paraId="68F58F84">
            <w:pPr>
              <w:spacing w:line="276" w:lineRule="auto"/>
              <w:jc w:val="center"/>
              <w:rPr>
                <w:rFonts w:hint="eastAsia" w:ascii="宋体" w:hAnsi="宋体" w:eastAsia="宋体" w:cs="宋体"/>
                <w:szCs w:val="21"/>
              </w:rPr>
            </w:pPr>
            <w:r>
              <w:rPr>
                <w:rFonts w:hint="eastAsia" w:ascii="宋体" w:hAnsi="宋体" w:eastAsia="宋体" w:cs="宋体"/>
                <w:szCs w:val="21"/>
              </w:rPr>
              <w:t>即兴演讲</w:t>
            </w:r>
          </w:p>
        </w:tc>
        <w:tc>
          <w:tcPr>
            <w:tcW w:w="3160" w:type="dxa"/>
            <w:vAlign w:val="center"/>
          </w:tcPr>
          <w:p w14:paraId="2F8F96F6">
            <w:pPr>
              <w:spacing w:line="276" w:lineRule="auto"/>
              <w:jc w:val="left"/>
              <w:rPr>
                <w:rFonts w:hint="eastAsia"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21B0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1FF44D80">
            <w:pPr>
              <w:spacing w:line="276" w:lineRule="auto"/>
              <w:jc w:val="center"/>
              <w:rPr>
                <w:rFonts w:hint="eastAsia" w:ascii="宋体" w:hAnsi="宋体" w:eastAsia="宋体" w:cs="宋体"/>
                <w:szCs w:val="21"/>
              </w:rPr>
            </w:pPr>
            <w:r>
              <w:rPr>
                <w:rFonts w:hint="eastAsia" w:ascii="宋体" w:hAnsi="宋体" w:eastAsia="宋体" w:cs="宋体"/>
                <w:szCs w:val="21"/>
              </w:rPr>
              <w:t>好声音</w:t>
            </w:r>
          </w:p>
          <w:p w14:paraId="7A4DD893">
            <w:pPr>
              <w:spacing w:line="276" w:lineRule="auto"/>
              <w:jc w:val="center"/>
              <w:rPr>
                <w:rFonts w:hint="eastAsia" w:ascii="宋体" w:hAnsi="宋体" w:eastAsia="宋体" w:cs="宋体"/>
                <w:szCs w:val="21"/>
              </w:rPr>
            </w:pPr>
            <w:r>
              <w:rPr>
                <w:rFonts w:hint="eastAsia" w:ascii="宋体" w:hAnsi="宋体" w:eastAsia="宋体" w:cs="宋体"/>
                <w:szCs w:val="21"/>
              </w:rPr>
              <w:t>好表达</w:t>
            </w:r>
          </w:p>
        </w:tc>
        <w:tc>
          <w:tcPr>
            <w:tcW w:w="3407" w:type="dxa"/>
            <w:vAlign w:val="center"/>
          </w:tcPr>
          <w:p w14:paraId="177A7EA2">
            <w:pPr>
              <w:spacing w:line="276" w:lineRule="auto"/>
              <w:jc w:val="left"/>
              <w:rPr>
                <w:rFonts w:hint="eastAsia" w:ascii="宋体" w:hAnsi="宋体" w:eastAsia="宋体" w:cs="宋体"/>
                <w:szCs w:val="21"/>
              </w:rPr>
            </w:pPr>
            <w:r>
              <w:rPr>
                <w:rFonts w:hint="eastAsia" w:ascii="宋体" w:hAnsi="宋体" w:eastAsia="宋体" w:cs="宋体"/>
                <w:szCs w:val="21"/>
              </w:rPr>
              <w:t>鼓励学生走出课堂进行规范的普通话表达，我的语音我做主。</w:t>
            </w:r>
          </w:p>
        </w:tc>
        <w:tc>
          <w:tcPr>
            <w:tcW w:w="740" w:type="dxa"/>
            <w:vAlign w:val="center"/>
          </w:tcPr>
          <w:p w14:paraId="5158D0D0">
            <w:pPr>
              <w:spacing w:line="276" w:lineRule="auto"/>
              <w:jc w:val="center"/>
              <w:rPr>
                <w:rFonts w:hint="eastAsia" w:ascii="宋体" w:hAnsi="宋体" w:eastAsia="宋体" w:cs="宋体"/>
                <w:szCs w:val="21"/>
              </w:rPr>
            </w:pPr>
            <w:r>
              <w:rPr>
                <w:rFonts w:hint="eastAsia" w:ascii="宋体" w:hAnsi="宋体" w:eastAsia="宋体" w:cs="宋体"/>
                <w:szCs w:val="21"/>
              </w:rPr>
              <w:t>演讲比赛</w:t>
            </w:r>
          </w:p>
        </w:tc>
        <w:tc>
          <w:tcPr>
            <w:tcW w:w="3160" w:type="dxa"/>
            <w:vAlign w:val="center"/>
          </w:tcPr>
          <w:p w14:paraId="574F8BBC">
            <w:pPr>
              <w:spacing w:line="276" w:lineRule="auto"/>
              <w:jc w:val="left"/>
              <w:rPr>
                <w:rFonts w:hint="eastAsia" w:ascii="宋体" w:hAnsi="宋体" w:eastAsia="宋体" w:cs="宋体"/>
                <w:szCs w:val="21"/>
              </w:rPr>
            </w:pPr>
            <w:r>
              <w:rPr>
                <w:rFonts w:hint="eastAsia" w:ascii="宋体" w:hAnsi="宋体" w:eastAsia="宋体" w:cs="宋体"/>
                <w:szCs w:val="21"/>
              </w:rPr>
              <w:t>用语言的力量激发学生爱岗敬业、立志成为卓越教师，为党和国家的发展做出贡献。</w:t>
            </w:r>
          </w:p>
        </w:tc>
      </w:tr>
    </w:tbl>
    <w:p w14:paraId="0DFB89DA">
      <w:pPr>
        <w:spacing w:line="360" w:lineRule="auto"/>
        <w:jc w:val="left"/>
        <w:rPr>
          <w:rFonts w:hint="eastAsia" w:ascii="宋体" w:hAnsi="宋体" w:eastAsia="宋体" w:cs="Times New Roman"/>
          <w:b/>
          <w:sz w:val="24"/>
        </w:rPr>
      </w:pPr>
    </w:p>
    <w:p w14:paraId="05E43475">
      <w:pPr>
        <w:spacing w:line="360" w:lineRule="auto"/>
        <w:jc w:val="left"/>
        <w:rPr>
          <w:rFonts w:ascii="Times New Roman" w:hAnsi="Times New Roman" w:eastAsia="宋体" w:cs="Times New Roman"/>
          <w:b/>
          <w:bCs/>
          <w:sz w:val="24"/>
        </w:rPr>
      </w:pPr>
      <w:r>
        <w:rPr>
          <w:rFonts w:hint="eastAsia" w:ascii="宋体" w:hAnsi="宋体" w:eastAsia="宋体" w:cs="Times New Roman"/>
          <w:b/>
          <w:sz w:val="24"/>
        </w:rPr>
        <w:t>六、有关说明</w:t>
      </w:r>
    </w:p>
    <w:p w14:paraId="1EBD323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B3B326E">
      <w:pPr>
        <w:spacing w:line="360" w:lineRule="auto"/>
        <w:ind w:firstLine="420" w:firstLineChars="200"/>
        <w:jc w:val="left"/>
        <w:rPr>
          <w:rFonts w:ascii="Calibri" w:hAnsi="Calibri" w:eastAsia="宋体" w:cs="Times New Roman"/>
          <w:szCs w:val="21"/>
        </w:rPr>
      </w:pPr>
      <w:r>
        <w:rPr>
          <w:rFonts w:hint="eastAsia" w:ascii="Calibri" w:hAnsi="Calibri" w:eastAsia="宋体" w:cs="Times New Roman"/>
          <w:szCs w:val="21"/>
        </w:rPr>
        <w:t>课程考核包括期末考查、课堂出勤、课堂表现、课后语音打卡，期末考查建议采用以普通话水平测试的朗读和说话等方式进行。</w:t>
      </w:r>
    </w:p>
    <w:p w14:paraId="090A7B62">
      <w:pPr>
        <w:spacing w:line="360" w:lineRule="auto"/>
        <w:ind w:firstLine="422" w:firstLineChars="200"/>
        <w:rPr>
          <w:rFonts w:ascii="Calibri" w:hAnsi="Calibri" w:eastAsia="宋体" w:cs="Times New Roman"/>
          <w:b/>
          <w:szCs w:val="21"/>
        </w:rPr>
      </w:pPr>
      <w:r>
        <w:rPr>
          <w:rFonts w:hint="eastAsia" w:ascii="Calibri" w:hAnsi="Calibri" w:eastAsia="宋体" w:cs="Times New Roman"/>
          <w:b/>
          <w:szCs w:val="21"/>
        </w:rPr>
        <w:t>（二）参考书目及学习资料</w:t>
      </w:r>
    </w:p>
    <w:p w14:paraId="722C14C6">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1.教材</w:t>
      </w:r>
    </w:p>
    <w:p w14:paraId="2025D649">
      <w:pPr>
        <w:spacing w:line="360" w:lineRule="auto"/>
        <w:ind w:firstLine="420" w:firstLineChars="200"/>
        <w:rPr>
          <w:rFonts w:hint="eastAsia" w:ascii="宋体" w:hAnsi="宋体" w:eastAsia="宋体" w:cs="Times New Roman"/>
          <w:b/>
          <w:kern w:val="0"/>
          <w:szCs w:val="21"/>
        </w:rPr>
      </w:pPr>
      <w:r>
        <w:rPr>
          <w:rFonts w:hint="eastAsia" w:ascii="宋体" w:hAnsi="宋体" w:eastAsia="宋体" w:cs="Times New Roman"/>
          <w:szCs w:val="21"/>
        </w:rPr>
        <w:t>《普通话水平测试指导用书》(最新版）普通话水平测试研究组,语文出版社，2024</w:t>
      </w:r>
    </w:p>
    <w:p w14:paraId="669A66CA">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2.参考书目</w:t>
      </w:r>
    </w:p>
    <w:p w14:paraId="4C663D08">
      <w:pPr>
        <w:spacing w:line="360" w:lineRule="auto"/>
        <w:ind w:firstLine="420" w:firstLineChars="200"/>
        <w:rPr>
          <w:rFonts w:hint="eastAsia" w:ascii="宋体" w:hAnsi="宋体" w:eastAsia="宋体" w:cs="Times New Roman"/>
          <w:b/>
          <w:kern w:val="0"/>
          <w:szCs w:val="21"/>
        </w:rPr>
      </w:pPr>
      <w:r>
        <w:rPr>
          <w:rFonts w:hint="eastAsia" w:ascii="宋体" w:hAnsi="宋体" w:eastAsia="宋体" w:cs="Times New Roman"/>
          <w:szCs w:val="21"/>
        </w:rPr>
        <w:t>（1）普通话水平测试研究组.《普通话水平测试指导用书》(最新版）.语文出版社，2024</w:t>
      </w:r>
    </w:p>
    <w:p w14:paraId="09403A18">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（2）秦存钢等.普通话口语教程.高等教育出版社,2018</w:t>
      </w:r>
    </w:p>
    <w:p w14:paraId="00016A90">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（3）高乃尧.普通话教程.江苏大学出版社,2022</w:t>
      </w:r>
    </w:p>
    <w:p w14:paraId="5161C07F">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（4）周芸等.普通话训练与测试.北京大学出版社,2023</w:t>
      </w:r>
    </w:p>
    <w:p w14:paraId="2E22AC18">
      <w:pPr>
        <w:autoSpaceDE w:val="0"/>
        <w:autoSpaceDN w:val="0"/>
        <w:adjustRightInd w:val="0"/>
        <w:spacing w:line="360" w:lineRule="auto"/>
        <w:ind w:firstLine="480" w:firstLineChars="200"/>
        <w:jc w:val="right"/>
        <w:rPr>
          <w:rFonts w:ascii="Calibri" w:hAnsi="Calibri" w:eastAsia="宋体" w:cs="Times New Roman"/>
          <w:sz w:val="24"/>
        </w:rPr>
      </w:pPr>
      <w:r>
        <w:rPr>
          <w:rFonts w:ascii="Calibri" w:hAnsi="Calibri" w:eastAsia="宋体" w:cs="Times New Roman"/>
          <w:sz w:val="24"/>
        </w:rPr>
        <w:t xml:space="preserve">                                                   </w:t>
      </w:r>
    </w:p>
    <w:p w14:paraId="0330E1E6">
      <w:pPr>
        <w:autoSpaceDE w:val="0"/>
        <w:autoSpaceDN w:val="0"/>
        <w:adjustRightInd w:val="0"/>
        <w:spacing w:line="360" w:lineRule="auto"/>
        <w:ind w:left="210" w:leftChars="100" w:firstLine="480" w:firstLineChars="200"/>
        <w:jc w:val="center"/>
        <w:rPr>
          <w:rFonts w:ascii="Calibri" w:hAnsi="Calibri" w:eastAsia="宋体" w:cs="Times New Roman"/>
          <w:kern w:val="0"/>
          <w:szCs w:val="18"/>
        </w:rPr>
      </w:pPr>
      <w:r>
        <w:rPr>
          <w:rFonts w:ascii="Calibri" w:hAnsi="Calibri" w:eastAsia="宋体" w:cs="Times New Roman"/>
          <w:sz w:val="24"/>
        </w:rPr>
        <w:t xml:space="preserve">                                       </w:t>
      </w:r>
      <w:r>
        <w:rPr>
          <w:rFonts w:ascii="Calibri" w:hAnsi="Calibri" w:eastAsia="宋体" w:cs="Times New Roman"/>
          <w:szCs w:val="21"/>
        </w:rPr>
        <w:t xml:space="preserve"> </w:t>
      </w:r>
      <w:r>
        <w:rPr>
          <w:rFonts w:hint="eastAsia" w:ascii="Calibri" w:hAnsi="Calibri" w:eastAsia="宋体" w:cs="Times New Roman"/>
          <w:szCs w:val="21"/>
        </w:rPr>
        <w:t xml:space="preserve">  </w:t>
      </w:r>
      <w:r>
        <w:rPr>
          <w:rFonts w:hint="eastAsia" w:ascii="Calibri" w:hAnsi="Calibri" w:eastAsia="宋体" w:cs="Times New Roman"/>
          <w:kern w:val="0"/>
          <w:szCs w:val="18"/>
        </w:rPr>
        <w:t>执笔人：张香萍</w:t>
      </w:r>
      <w:r>
        <w:rPr>
          <w:rFonts w:ascii="Calibri" w:hAnsi="Calibri" w:eastAsia="宋体" w:cs="Times New Roman"/>
          <w:kern w:val="0"/>
          <w:szCs w:val="18"/>
        </w:rPr>
        <w:t xml:space="preserve">                                                                                          </w:t>
      </w:r>
    </w:p>
    <w:p w14:paraId="0556EB7B">
      <w:pPr>
        <w:autoSpaceDE w:val="0"/>
        <w:autoSpaceDN w:val="0"/>
        <w:adjustRightInd w:val="0"/>
        <w:spacing w:line="360" w:lineRule="auto"/>
        <w:ind w:firstLine="6300" w:firstLineChars="3000"/>
        <w:rPr>
          <w:rFonts w:hint="eastAsia" w:ascii="宋体" w:hAnsi="宋体" w:eastAsia="宋体" w:cs="Times New Roman"/>
          <w:kern w:val="0"/>
          <w:szCs w:val="18"/>
        </w:rPr>
      </w:pPr>
      <w:r>
        <w:rPr>
          <w:rFonts w:hint="eastAsia" w:ascii="Calibri" w:hAnsi="Calibri" w:eastAsia="宋体" w:cs="Times New Roman"/>
          <w:kern w:val="0"/>
          <w:szCs w:val="18"/>
        </w:rPr>
        <w:t>审定人：</w:t>
      </w:r>
      <w:r>
        <w:rPr>
          <w:rFonts w:hint="eastAsia" w:ascii="宋体" w:hAnsi="宋体" w:eastAsia="宋体" w:cs="Times New Roman"/>
          <w:kern w:val="0"/>
          <w:szCs w:val="18"/>
        </w:rPr>
        <w:t>张  律</w:t>
      </w:r>
    </w:p>
    <w:p w14:paraId="729486A1">
      <w:pPr>
        <w:autoSpaceDE w:val="0"/>
        <w:autoSpaceDN w:val="0"/>
        <w:adjustRightInd w:val="0"/>
        <w:spacing w:line="360" w:lineRule="auto"/>
        <w:ind w:firstLine="6300" w:firstLineChars="3000"/>
        <w:rPr>
          <w:rFonts w:hint="eastAsia" w:ascii="宋体" w:hAnsi="宋体" w:eastAsia="宋体" w:cs="Times New Roman"/>
          <w:kern w:val="0"/>
          <w:szCs w:val="18"/>
        </w:rPr>
      </w:pPr>
      <w:r>
        <w:rPr>
          <w:rFonts w:hint="eastAsia" w:ascii="宋体" w:hAnsi="宋体" w:eastAsia="宋体" w:cs="Times New Roman"/>
          <w:kern w:val="0"/>
          <w:szCs w:val="18"/>
        </w:rPr>
        <w:t>审批人：岳  芬</w:t>
      </w:r>
    </w:p>
    <w:p w14:paraId="46FDC11E">
      <w:pPr>
        <w:spacing w:line="360" w:lineRule="auto"/>
        <w:jc w:val="right"/>
        <w:rPr>
          <w:rFonts w:hint="eastAsia" w:ascii="宋体" w:hAnsi="宋体" w:eastAsia="宋体" w:cs="Times New Roman"/>
          <w:kern w:val="0"/>
          <w:szCs w:val="18"/>
        </w:rPr>
      </w:pPr>
      <w:r>
        <w:rPr>
          <w:rFonts w:hint="eastAsia" w:ascii="宋体" w:hAnsi="宋体" w:eastAsia="宋体" w:cs="Times New Roman"/>
          <w:kern w:val="0"/>
          <w:szCs w:val="18"/>
        </w:rPr>
        <w:t>审批时间：2025年7月</w:t>
      </w:r>
    </w:p>
    <w:p w14:paraId="0FE68986">
      <w:pPr>
        <w:spacing w:line="360" w:lineRule="auto"/>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1A368331">
      <w:pPr>
        <w:spacing w:line="360" w:lineRule="auto"/>
        <w:jc w:val="center"/>
        <w:outlineLvl w:val="0"/>
        <w:rPr>
          <w:rFonts w:ascii="Times New Roman" w:hAnsi="Times New Roman" w:eastAsia="宋体" w:cs="Times New Roman"/>
          <w:b/>
          <w:sz w:val="44"/>
          <w:szCs w:val="44"/>
        </w:rPr>
      </w:pPr>
      <w:bookmarkStart w:id="399" w:name="_Toc13521"/>
      <w:r>
        <w:rPr>
          <w:rFonts w:hint="eastAsia" w:ascii="Times New Roman" w:hAnsi="Times New Roman" w:eastAsia="宋体" w:cs="Times New Roman"/>
          <w:b/>
          <w:sz w:val="44"/>
          <w:szCs w:val="44"/>
        </w:rPr>
        <w:t>《小学心理学》课程教学大纲</w:t>
      </w:r>
      <w:bookmarkEnd w:id="395"/>
      <w:bookmarkEnd w:id="396"/>
      <w:bookmarkEnd w:id="397"/>
      <w:bookmarkEnd w:id="398"/>
      <w:bookmarkEnd w:id="399"/>
    </w:p>
    <w:p w14:paraId="3853BA67">
      <w:pPr>
        <w:spacing w:line="360" w:lineRule="auto"/>
        <w:jc w:val="center"/>
        <w:rPr>
          <w:rFonts w:ascii="Times New Roman" w:hAnsi="Times New Roman" w:eastAsia="宋体" w:cs="Times New Roman"/>
          <w:b/>
          <w:bCs/>
          <w:sz w:val="28"/>
          <w:szCs w:val="28"/>
        </w:rPr>
      </w:pPr>
      <w:bookmarkStart w:id="400" w:name="_Toc1383"/>
      <w:bookmarkStart w:id="401" w:name="_Toc10024"/>
      <w:bookmarkStart w:id="402" w:name="_Toc20285"/>
      <w:bookmarkStart w:id="403" w:name="_Toc22867"/>
      <w:bookmarkStart w:id="404" w:name="_Toc21007"/>
      <w:bookmarkStart w:id="405" w:name="_Toc24781"/>
      <w:bookmarkStart w:id="406" w:name="_Toc14550"/>
      <w:r>
        <w:rPr>
          <w:rFonts w:ascii="Times New Roman" w:hAnsi="Times New Roman" w:eastAsia="宋体" w:cs="Times New Roman"/>
          <w:b/>
          <w:bCs/>
          <w:sz w:val="28"/>
          <w:szCs w:val="28"/>
        </w:rPr>
        <w:t>（Psychology of Primary Children）</w:t>
      </w:r>
      <w:bookmarkEnd w:id="400"/>
      <w:bookmarkEnd w:id="401"/>
      <w:bookmarkEnd w:id="402"/>
      <w:bookmarkEnd w:id="403"/>
      <w:bookmarkEnd w:id="404"/>
      <w:bookmarkEnd w:id="405"/>
      <w:bookmarkEnd w:id="406"/>
    </w:p>
    <w:p w14:paraId="7F22E5D1">
      <w:pPr>
        <w:spacing w:line="360" w:lineRule="auto"/>
        <w:rPr>
          <w:rFonts w:ascii="Times New Roman" w:hAnsi="Times New Roman" w:eastAsia="黑体" w:cs="Times New Roman"/>
          <w:bCs/>
          <w:szCs w:val="18"/>
        </w:rPr>
      </w:pPr>
    </w:p>
    <w:p w14:paraId="78D79269">
      <w:pPr>
        <w:spacing w:line="360" w:lineRule="auto"/>
        <w:ind w:firstLine="482" w:firstLineChars="200"/>
        <w:rPr>
          <w:rFonts w:ascii="Times New Roman" w:hAnsi="Times New Roman" w:eastAsia="宋体" w:cs="Times New Roman"/>
          <w:b/>
          <w:sz w:val="28"/>
          <w:szCs w:val="28"/>
        </w:rPr>
      </w:pPr>
      <w:r>
        <w:rPr>
          <w:rFonts w:ascii="Times New Roman" w:hAnsi="Times New Roman" w:eastAsia="宋体" w:cs="Times New Roman"/>
          <w:b/>
          <w:bCs/>
          <w:kern w:val="0"/>
          <w:sz w:val="24"/>
        </w:rPr>
        <w:t>课程代码</w:t>
      </w:r>
      <w:r>
        <w:rPr>
          <w:rFonts w:ascii="Times New Roman" w:hAnsi="Times New Roman" w:eastAsia="宋体" w:cs="Times New Roman"/>
          <w:b/>
          <w:kern w:val="0"/>
          <w:sz w:val="24"/>
        </w:rPr>
        <w:t>：</w:t>
      </w:r>
      <w:r>
        <w:rPr>
          <w:rFonts w:hint="eastAsia" w:ascii="宋体" w:hAnsi="宋体" w:eastAsia="宋体" w:cs="Times New Roman"/>
          <w:bCs/>
          <w:kern w:val="0"/>
          <w:sz w:val="24"/>
        </w:rPr>
        <w:t>2401</w:t>
      </w:r>
      <w:r>
        <w:rPr>
          <w:rFonts w:ascii="宋体" w:hAnsi="宋体" w:eastAsia="宋体" w:cs="Times New Roman"/>
          <w:bCs/>
          <w:kern w:val="0"/>
          <w:sz w:val="24"/>
        </w:rPr>
        <w:t>003</w:t>
      </w:r>
    </w:p>
    <w:p w14:paraId="0118C05B">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分</w:t>
      </w:r>
      <w:r>
        <w:rPr>
          <w:rFonts w:ascii="Times New Roman" w:hAnsi="Times New Roman" w:eastAsia="宋体" w:cs="Times New Roman"/>
          <w:b/>
          <w:kern w:val="0"/>
          <w:sz w:val="24"/>
        </w:rPr>
        <w:t>：</w:t>
      </w:r>
      <w:r>
        <w:rPr>
          <w:rFonts w:ascii="Times New Roman" w:hAnsi="Times New Roman" w:eastAsia="宋体" w:cs="Times New Roman"/>
          <w:kern w:val="0"/>
          <w:sz w:val="24"/>
        </w:rPr>
        <w:t>3</w:t>
      </w:r>
    </w:p>
    <w:p w14:paraId="2D98206D">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学    时</w:t>
      </w:r>
      <w:r>
        <w:rPr>
          <w:rFonts w:ascii="Times New Roman" w:hAnsi="Times New Roman" w:eastAsia="宋体" w:cs="Times New Roman"/>
          <w:b/>
          <w:kern w:val="0"/>
          <w:sz w:val="24"/>
        </w:rPr>
        <w:t>：</w:t>
      </w:r>
      <w:r>
        <w:rPr>
          <w:rFonts w:ascii="Times New Roman" w:hAnsi="Times New Roman" w:eastAsia="宋体" w:cs="Times New Roman"/>
          <w:kern w:val="0"/>
          <w:sz w:val="24"/>
        </w:rPr>
        <w:t>48（其中：讲授学时39</w:t>
      </w:r>
      <w:r>
        <w:rPr>
          <w:rFonts w:hint="eastAsia" w:ascii="Times New Roman" w:hAnsi="Times New Roman" w:eastAsia="宋体" w:cs="Times New Roman"/>
          <w:kern w:val="0"/>
          <w:sz w:val="24"/>
        </w:rPr>
        <w:t>，</w:t>
      </w:r>
      <w:r>
        <w:rPr>
          <w:rFonts w:ascii="Times New Roman" w:hAnsi="Times New Roman" w:eastAsia="宋体" w:cs="Times New Roman"/>
          <w:kern w:val="0"/>
          <w:sz w:val="24"/>
        </w:rPr>
        <w:t>实验学时9）</w:t>
      </w:r>
    </w:p>
    <w:p w14:paraId="4020C65F">
      <w:pPr>
        <w:spacing w:line="360" w:lineRule="auto"/>
        <w:ind w:firstLine="482" w:firstLineChars="200"/>
        <w:rPr>
          <w:rFonts w:ascii="Times New Roman" w:hAnsi="Times New Roman" w:eastAsia="宋体" w:cs="Times New Roman"/>
          <w:kern w:val="0"/>
          <w:sz w:val="24"/>
        </w:rPr>
      </w:pPr>
      <w:r>
        <w:rPr>
          <w:rFonts w:hint="eastAsia" w:ascii="Times New Roman" w:hAnsi="Times New Roman" w:eastAsia="宋体" w:cs="Times New Roman"/>
          <w:b/>
          <w:bCs/>
          <w:kern w:val="0"/>
          <w:sz w:val="24"/>
        </w:rPr>
        <w:t>先修课程：</w:t>
      </w:r>
      <w:r>
        <w:rPr>
          <w:rFonts w:hint="eastAsia" w:ascii="Times New Roman" w:hAnsi="Times New Roman" w:eastAsia="宋体" w:cs="Times New Roman"/>
          <w:kern w:val="0"/>
          <w:sz w:val="24"/>
        </w:rPr>
        <w:t>无</w:t>
      </w:r>
    </w:p>
    <w:p w14:paraId="44670882">
      <w:pPr>
        <w:spacing w:line="360" w:lineRule="auto"/>
        <w:ind w:firstLine="482" w:firstLineChars="200"/>
        <w:rPr>
          <w:rFonts w:ascii="Times New Roman" w:hAnsi="Times New Roman" w:eastAsia="宋体" w:cs="Times New Roman"/>
          <w:kern w:val="0"/>
          <w:sz w:val="24"/>
        </w:rPr>
      </w:pPr>
      <w:r>
        <w:rPr>
          <w:rFonts w:ascii="Times New Roman" w:hAnsi="Times New Roman" w:eastAsia="宋体" w:cs="Times New Roman"/>
          <w:b/>
          <w:bCs/>
          <w:kern w:val="0"/>
          <w:sz w:val="24"/>
        </w:rPr>
        <w:t>适用专业</w:t>
      </w:r>
      <w:r>
        <w:rPr>
          <w:rFonts w:ascii="Times New Roman" w:hAnsi="Times New Roman" w:eastAsia="宋体" w:cs="Times New Roman"/>
          <w:b/>
          <w:kern w:val="0"/>
          <w:sz w:val="24"/>
        </w:rPr>
        <w:t>：</w:t>
      </w:r>
      <w:r>
        <w:rPr>
          <w:rFonts w:hint="eastAsia" w:ascii="Times New Roman" w:hAnsi="Times New Roman" w:eastAsia="宋体" w:cs="Times New Roman"/>
          <w:sz w:val="24"/>
        </w:rPr>
        <w:t>小学教育</w:t>
      </w:r>
      <w:r>
        <w:rPr>
          <w:rFonts w:ascii="Times New Roman" w:hAnsi="Times New Roman" w:eastAsia="黑体" w:cs="Times New Roman"/>
          <w:sz w:val="24"/>
        </w:rPr>
        <w:t xml:space="preserve">  </w:t>
      </w:r>
      <w:r>
        <w:rPr>
          <w:rFonts w:ascii="Times New Roman" w:hAnsi="Times New Roman" w:eastAsia="宋体" w:cs="Times New Roman"/>
          <w:kern w:val="0"/>
          <w:sz w:val="24"/>
        </w:rPr>
        <w:t xml:space="preserve"> </w:t>
      </w:r>
    </w:p>
    <w:p w14:paraId="3FBE4B3A">
      <w:pPr>
        <w:spacing w:before="62" w:beforeLines="20" w:after="62" w:afterLines="20"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一、课程简介</w:t>
      </w:r>
    </w:p>
    <w:p w14:paraId="0258CE69">
      <w:pPr>
        <w:spacing w:line="360" w:lineRule="auto"/>
        <w:ind w:firstLine="420" w:firstLineChars="200"/>
        <w:rPr>
          <w:rFonts w:ascii="Times New Roman" w:hAnsi="Times New Roman" w:eastAsia="宋体" w:cs="Times New Roman"/>
          <w:kern w:val="0"/>
          <w:sz w:val="24"/>
        </w:rPr>
      </w:pPr>
      <w:r>
        <w:rPr>
          <w:rFonts w:hint="eastAsia" w:ascii="Times New Roman" w:hAnsi="Times New Roman" w:eastAsia="宋体" w:cs="Times New Roman"/>
          <w:kern w:val="0"/>
          <w:szCs w:val="21"/>
        </w:rPr>
        <w:t>本课程是小学教育的专业基础必修课，课程内容包括心理学基础和发展心理学的基本观点、心理学的研究方法，以及儿童认知、情感、意志、人格、道德等各个领域发展的基本规律和理论，和对小学儿童教育的建议。通过本课程的学习，学生要了解心理学的基本概念和理论框架，形成小学生心理发展的基本理念，一方面，掌握人类心理和行为的基本规律，并运用能心理学的基础知识，描述、解释小学儿童的心理特点，有效地指导今后的教育教学工作；另一方面，全面提升教师心理素质，养成健全人格，提高教育教学素养。本课程是后续教师教育类课程的先修课程。</w:t>
      </w:r>
      <w:r>
        <w:rPr>
          <w:rFonts w:ascii="Times New Roman" w:hAnsi="Times New Roman" w:eastAsia="宋体" w:cs="Times New Roman"/>
          <w:kern w:val="0"/>
          <w:sz w:val="24"/>
        </w:rPr>
        <w:t xml:space="preserve">                         </w:t>
      </w:r>
    </w:p>
    <w:p w14:paraId="23F3398F">
      <w:pPr>
        <w:spacing w:before="62" w:beforeLines="20" w:after="62" w:afterLines="20"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二、课程目标</w:t>
      </w:r>
    </w:p>
    <w:p w14:paraId="44F3EB42">
      <w:pPr>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（一）课程具体目标</w:t>
      </w:r>
    </w:p>
    <w:p w14:paraId="5C951852">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目标1.了解心理学的学科特点，掌握心理学的研究方法，心理现象的基本构成和主要特点，能结合实际分析心理的心理过程和个性的心理的特征，具有科学思维，形成科学的儿童观和教育观。</w:t>
      </w:r>
    </w:p>
    <w:p w14:paraId="5ED2D75B">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目标2.理解不同年龄的小学儿童身心发展特点和规律，掌握小学生心理发展的特征，学会分析影响小学儿童身心发展的因素，初步学会培养小学儿童健康发展的方法。</w:t>
      </w:r>
    </w:p>
    <w:p w14:paraId="599CA888">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szCs w:val="21"/>
        </w:rPr>
        <w:t>目标3.形成科学的儿童发展观，初步具有现代儿童教育理念，初步掌握保护和促进小学儿童身心健康发展的策略和方法。</w:t>
      </w:r>
    </w:p>
    <w:p w14:paraId="69FA4784">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6024"/>
        <w:gridCol w:w="1191"/>
      </w:tblGrid>
      <w:tr w14:paraId="3FE3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14:paraId="41967230">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6024" w:type="dxa"/>
            <w:vAlign w:val="center"/>
          </w:tcPr>
          <w:p w14:paraId="43A7701B">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09849F64">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12F4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14:paraId="16056000">
            <w:pPr>
              <w:spacing w:line="276"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毕业要求5</w:t>
            </w:r>
          </w:p>
          <w:p w14:paraId="67409233">
            <w:pPr>
              <w:spacing w:line="276"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学生管理</w:t>
            </w:r>
          </w:p>
        </w:tc>
        <w:tc>
          <w:tcPr>
            <w:tcW w:w="6024" w:type="dxa"/>
            <w:vAlign w:val="center"/>
          </w:tcPr>
          <w:p w14:paraId="3335A331">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b/>
                <w:bCs/>
                <w:kern w:val="0"/>
                <w:sz w:val="20"/>
                <w:szCs w:val="21"/>
              </w:rPr>
              <w:t>指标点5-2：</w:t>
            </w:r>
            <w:r>
              <w:rPr>
                <w:rFonts w:hint="eastAsia" w:ascii="Times New Roman" w:hAnsi="Times New Roman" w:eastAsia="宋体" w:cs="Times New Roman"/>
                <w:kern w:val="0"/>
                <w:sz w:val="20"/>
                <w:szCs w:val="21"/>
              </w:rPr>
              <w:t>【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191" w:type="dxa"/>
            <w:vAlign w:val="center"/>
          </w:tcPr>
          <w:p w14:paraId="2BC26186">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课程目标1</w:t>
            </w:r>
          </w:p>
          <w:p w14:paraId="5B241989">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课程目标3</w:t>
            </w:r>
          </w:p>
        </w:tc>
      </w:tr>
      <w:tr w14:paraId="2A5C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14:paraId="4893A38A">
            <w:pPr>
              <w:spacing w:line="276"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毕业要求6</w:t>
            </w:r>
          </w:p>
          <w:p w14:paraId="62F5CC88">
            <w:pPr>
              <w:spacing w:line="276"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综合育人</w:t>
            </w:r>
          </w:p>
        </w:tc>
        <w:tc>
          <w:tcPr>
            <w:tcW w:w="6024" w:type="dxa"/>
            <w:vAlign w:val="center"/>
          </w:tcPr>
          <w:p w14:paraId="0AB470B9">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b/>
                <w:bCs/>
                <w:kern w:val="0"/>
                <w:sz w:val="20"/>
                <w:szCs w:val="21"/>
              </w:rPr>
              <w:t>指标点6-1：</w:t>
            </w:r>
            <w:r>
              <w:rPr>
                <w:rFonts w:hint="eastAsia" w:ascii="Times New Roman" w:hAnsi="Times New Roman" w:eastAsia="宋体" w:cs="Times New Roman"/>
                <w:kern w:val="0"/>
                <w:sz w:val="20"/>
                <w:szCs w:val="21"/>
              </w:rPr>
              <w:t>【遵循身心规律】了解不同年龄以及有特殊需要的小学生的身心发展特点和规律、不同年龄小学生学习的特点，掌握小学生良好行为习惯养成的知识。</w:t>
            </w:r>
          </w:p>
        </w:tc>
        <w:tc>
          <w:tcPr>
            <w:tcW w:w="1191" w:type="dxa"/>
            <w:vAlign w:val="center"/>
          </w:tcPr>
          <w:p w14:paraId="47553196">
            <w:pPr>
              <w:spacing w:line="276"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课程目标2</w:t>
            </w:r>
          </w:p>
        </w:tc>
      </w:tr>
    </w:tbl>
    <w:p w14:paraId="2E23ACC6">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29A7EB97">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学生在扎实掌握小学心理学学科知识体系、思想与方法的基础上，践行社会主义核心价值观，认同中国特色社会主义，贯彻党的教育方针，以立德树人为己任，认同教师工作的意义和专业性，形成科学的儿童观，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2A05DA85">
      <w:pPr>
        <w:spacing w:before="62" w:beforeLines="20" w:after="62" w:afterLines="20"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1769"/>
        <w:gridCol w:w="1050"/>
        <w:gridCol w:w="18"/>
        <w:gridCol w:w="3261"/>
        <w:gridCol w:w="1560"/>
        <w:gridCol w:w="438"/>
      </w:tblGrid>
      <w:tr w14:paraId="78D3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Align w:val="center"/>
          </w:tcPr>
          <w:p w14:paraId="3D9CF1EA">
            <w:pPr>
              <w:jc w:val="center"/>
              <w:rPr>
                <w:rFonts w:hint="eastAsia" w:ascii="宋体" w:hAnsi="宋体" w:eastAsia="宋体" w:cs="Times New Roman"/>
                <w:b/>
                <w:kern w:val="0"/>
                <w:szCs w:val="21"/>
              </w:rPr>
            </w:pPr>
            <w:r>
              <w:rPr>
                <w:rFonts w:hint="eastAsia" w:ascii="宋体" w:hAnsi="宋体" w:eastAsia="宋体" w:cs="Times New Roman"/>
                <w:b/>
                <w:kern w:val="0"/>
                <w:szCs w:val="21"/>
              </w:rPr>
              <w:t>知识</w:t>
            </w:r>
          </w:p>
          <w:p w14:paraId="48F9706E">
            <w:pPr>
              <w:jc w:val="center"/>
              <w:rPr>
                <w:rFonts w:hint="eastAsia" w:ascii="宋体" w:hAnsi="宋体" w:eastAsia="宋体" w:cs="Times New Roman"/>
                <w:b/>
                <w:kern w:val="0"/>
                <w:szCs w:val="21"/>
              </w:rPr>
            </w:pPr>
            <w:r>
              <w:rPr>
                <w:rFonts w:hint="eastAsia" w:ascii="宋体" w:hAnsi="宋体" w:eastAsia="宋体" w:cs="Times New Roman"/>
                <w:b/>
                <w:kern w:val="0"/>
                <w:szCs w:val="21"/>
              </w:rPr>
              <w:t>单元</w:t>
            </w:r>
          </w:p>
        </w:tc>
        <w:tc>
          <w:tcPr>
            <w:tcW w:w="1769" w:type="dxa"/>
            <w:vAlign w:val="center"/>
          </w:tcPr>
          <w:p w14:paraId="245AFE4F">
            <w:pPr>
              <w:jc w:val="center"/>
              <w:rPr>
                <w:rFonts w:hint="eastAsia" w:ascii="宋体" w:hAnsi="宋体" w:eastAsia="宋体" w:cs="Times New Roman"/>
                <w:b/>
                <w:kern w:val="0"/>
                <w:szCs w:val="21"/>
              </w:rPr>
            </w:pPr>
            <w:r>
              <w:rPr>
                <w:rFonts w:hint="eastAsia" w:ascii="宋体" w:hAnsi="宋体" w:eastAsia="宋体" w:cs="Times New Roman"/>
                <w:b/>
                <w:kern w:val="0"/>
                <w:szCs w:val="21"/>
              </w:rPr>
              <w:t>知识点</w:t>
            </w:r>
          </w:p>
        </w:tc>
        <w:tc>
          <w:tcPr>
            <w:tcW w:w="1068" w:type="dxa"/>
            <w:gridSpan w:val="2"/>
            <w:vAlign w:val="center"/>
          </w:tcPr>
          <w:p w14:paraId="51DAE814">
            <w:pPr>
              <w:jc w:val="center"/>
              <w:rPr>
                <w:rFonts w:hint="eastAsia" w:ascii="宋体" w:hAnsi="宋体" w:eastAsia="宋体" w:cs="Times New Roman"/>
                <w:b/>
                <w:kern w:val="0"/>
                <w:szCs w:val="21"/>
              </w:rPr>
            </w:pPr>
            <w:r>
              <w:rPr>
                <w:rFonts w:hint="eastAsia" w:ascii="宋体" w:hAnsi="宋体" w:eastAsia="宋体" w:cs="Times New Roman"/>
                <w:b/>
                <w:kern w:val="0"/>
                <w:szCs w:val="21"/>
              </w:rPr>
              <w:t>对应</w:t>
            </w:r>
          </w:p>
          <w:p w14:paraId="560616C3">
            <w:pPr>
              <w:jc w:val="center"/>
              <w:rPr>
                <w:rFonts w:hint="eastAsia" w:ascii="宋体" w:hAnsi="宋体" w:eastAsia="宋体" w:cs="Times New Roman"/>
                <w:b/>
                <w:kern w:val="0"/>
                <w:szCs w:val="21"/>
              </w:rPr>
            </w:pPr>
            <w:r>
              <w:rPr>
                <w:rFonts w:hint="eastAsia" w:ascii="宋体" w:hAnsi="宋体" w:eastAsia="宋体" w:cs="Times New Roman"/>
                <w:b/>
                <w:kern w:val="0"/>
                <w:szCs w:val="21"/>
              </w:rPr>
              <w:t>课程目标</w:t>
            </w:r>
          </w:p>
        </w:tc>
        <w:tc>
          <w:tcPr>
            <w:tcW w:w="3261" w:type="dxa"/>
            <w:vAlign w:val="center"/>
          </w:tcPr>
          <w:p w14:paraId="42A42C54">
            <w:pPr>
              <w:jc w:val="center"/>
              <w:rPr>
                <w:rFonts w:hint="eastAsia" w:ascii="宋体" w:hAnsi="宋体" w:eastAsia="宋体" w:cs="Times New Roman"/>
                <w:b/>
                <w:kern w:val="0"/>
                <w:szCs w:val="21"/>
              </w:rPr>
            </w:pPr>
            <w:r>
              <w:rPr>
                <w:rFonts w:hint="eastAsia" w:ascii="宋体" w:hAnsi="宋体" w:eastAsia="宋体" w:cs="Times New Roman"/>
                <w:b/>
                <w:kern w:val="0"/>
                <w:szCs w:val="21"/>
              </w:rPr>
              <w:t>预期学习成效</w:t>
            </w:r>
          </w:p>
        </w:tc>
        <w:tc>
          <w:tcPr>
            <w:tcW w:w="1560" w:type="dxa"/>
            <w:vAlign w:val="center"/>
          </w:tcPr>
          <w:p w14:paraId="2F45652A">
            <w:pPr>
              <w:jc w:val="center"/>
              <w:rPr>
                <w:rFonts w:hint="eastAsia" w:ascii="宋体" w:hAnsi="宋体" w:eastAsia="宋体" w:cs="Times New Roman"/>
                <w:b/>
                <w:kern w:val="0"/>
                <w:szCs w:val="21"/>
              </w:rPr>
            </w:pPr>
            <w:r>
              <w:rPr>
                <w:rFonts w:hint="eastAsia" w:ascii="宋体" w:hAnsi="宋体" w:eastAsia="宋体" w:cs="Times New Roman"/>
                <w:b/>
                <w:kern w:val="0"/>
                <w:szCs w:val="21"/>
              </w:rPr>
              <w:t>实践环节</w:t>
            </w:r>
          </w:p>
        </w:tc>
        <w:tc>
          <w:tcPr>
            <w:tcW w:w="438" w:type="dxa"/>
            <w:vAlign w:val="center"/>
          </w:tcPr>
          <w:p w14:paraId="1446BD26">
            <w:pPr>
              <w:jc w:val="center"/>
              <w:rPr>
                <w:rFonts w:hint="eastAsia" w:ascii="宋体" w:hAnsi="宋体" w:eastAsia="宋体" w:cs="Times New Roman"/>
                <w:b/>
                <w:kern w:val="0"/>
                <w:szCs w:val="21"/>
              </w:rPr>
            </w:pPr>
            <w:r>
              <w:rPr>
                <w:rFonts w:hint="eastAsia" w:ascii="宋体" w:hAnsi="宋体" w:eastAsia="宋体" w:cs="Times New Roman"/>
                <w:b/>
                <w:kern w:val="0"/>
                <w:szCs w:val="21"/>
              </w:rPr>
              <w:t>学时</w:t>
            </w:r>
          </w:p>
        </w:tc>
      </w:tr>
      <w:tr w14:paraId="2CB0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55925DE9">
            <w:pPr>
              <w:jc w:val="center"/>
              <w:rPr>
                <w:rFonts w:hint="eastAsia" w:ascii="宋体" w:hAnsi="宋体" w:eastAsia="宋体" w:cs="Times New Roman"/>
                <w:kern w:val="0"/>
                <w:szCs w:val="21"/>
              </w:rPr>
            </w:pPr>
            <w:r>
              <w:rPr>
                <w:rFonts w:hint="eastAsia" w:ascii="宋体" w:hAnsi="宋体" w:eastAsia="宋体" w:cs="Times New Roman"/>
                <w:kern w:val="0"/>
                <w:szCs w:val="21"/>
              </w:rPr>
              <w:t>1．绪论</w:t>
            </w:r>
          </w:p>
        </w:tc>
        <w:tc>
          <w:tcPr>
            <w:tcW w:w="1769" w:type="dxa"/>
            <w:vAlign w:val="center"/>
          </w:tcPr>
          <w:p w14:paraId="6B299E91">
            <w:pPr>
              <w:jc w:val="left"/>
              <w:rPr>
                <w:rFonts w:hint="eastAsia" w:ascii="宋体" w:hAnsi="宋体" w:eastAsia="宋体" w:cs="Times New Roman"/>
                <w:kern w:val="0"/>
                <w:szCs w:val="21"/>
              </w:rPr>
            </w:pPr>
            <w:r>
              <w:rPr>
                <w:rFonts w:hint="eastAsia" w:ascii="宋体" w:hAnsi="宋体" w:eastAsia="宋体" w:cs="Times New Roman"/>
                <w:kern w:val="0"/>
                <w:szCs w:val="21"/>
              </w:rPr>
              <w:t>1.心理学与心理现象</w:t>
            </w:r>
          </w:p>
          <w:p w14:paraId="36B5023C">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2.小学儿童的发展</w:t>
            </w:r>
          </w:p>
          <w:p w14:paraId="59237E74">
            <w:pPr>
              <w:jc w:val="left"/>
              <w:rPr>
                <w:rFonts w:hint="eastAsia" w:ascii="宋体" w:hAnsi="宋体" w:eastAsia="宋体" w:cs="Times New Roman"/>
                <w:kern w:val="0"/>
                <w:szCs w:val="21"/>
              </w:rPr>
            </w:pPr>
            <w:r>
              <w:rPr>
                <w:rFonts w:hint="eastAsia" w:ascii="宋体" w:hAnsi="宋体" w:eastAsia="宋体" w:cs="Times New Roman"/>
                <w:kern w:val="0"/>
                <w:szCs w:val="21"/>
              </w:rPr>
              <w:t>3.小学心理学的研究内容与方法</w:t>
            </w:r>
          </w:p>
        </w:tc>
        <w:tc>
          <w:tcPr>
            <w:tcW w:w="1068" w:type="dxa"/>
            <w:gridSpan w:val="2"/>
            <w:vAlign w:val="center"/>
          </w:tcPr>
          <w:p w14:paraId="41B70CFF">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w:t>
            </w:r>
          </w:p>
        </w:tc>
        <w:tc>
          <w:tcPr>
            <w:tcW w:w="3261" w:type="dxa"/>
            <w:vAlign w:val="center"/>
          </w:tcPr>
          <w:p w14:paraId="267A58D9">
            <w:pPr>
              <w:jc w:val="left"/>
              <w:rPr>
                <w:rFonts w:hint="eastAsia" w:ascii="宋体" w:hAnsi="宋体" w:eastAsia="宋体" w:cs="Times New Roman"/>
                <w:kern w:val="0"/>
                <w:szCs w:val="21"/>
              </w:rPr>
            </w:pPr>
            <w:r>
              <w:rPr>
                <w:rFonts w:hint="eastAsia" w:ascii="宋体" w:hAnsi="宋体" w:eastAsia="宋体" w:cs="Times New Roman"/>
                <w:kern w:val="0"/>
                <w:szCs w:val="21"/>
              </w:rPr>
              <w:t>1.了解心理学的研究对象，正确理解心理的实质</w:t>
            </w:r>
          </w:p>
          <w:p w14:paraId="3EAF37E0">
            <w:pPr>
              <w:jc w:val="left"/>
              <w:rPr>
                <w:rFonts w:hint="eastAsia" w:ascii="宋体" w:hAnsi="宋体" w:eastAsia="宋体" w:cs="Times New Roman"/>
                <w:kern w:val="0"/>
                <w:szCs w:val="21"/>
              </w:rPr>
            </w:pPr>
            <w:r>
              <w:rPr>
                <w:rFonts w:hint="eastAsia" w:ascii="宋体" w:hAnsi="宋体" w:eastAsia="宋体" w:cs="Times New Roman"/>
                <w:kern w:val="0"/>
                <w:szCs w:val="21"/>
              </w:rPr>
              <w:t>2.掌握发展的一般概念，理解儿童发展的年龄特征</w:t>
            </w:r>
          </w:p>
          <w:p w14:paraId="62FF6B4F">
            <w:pPr>
              <w:jc w:val="left"/>
              <w:rPr>
                <w:rFonts w:hint="eastAsia" w:ascii="宋体" w:hAnsi="宋体" w:eastAsia="宋体" w:cs="Times New Roman"/>
                <w:kern w:val="0"/>
                <w:szCs w:val="21"/>
              </w:rPr>
            </w:pPr>
            <w:r>
              <w:rPr>
                <w:rFonts w:hint="eastAsia" w:ascii="宋体" w:hAnsi="宋体" w:eastAsia="宋体" w:cs="Times New Roman"/>
                <w:kern w:val="0"/>
                <w:szCs w:val="21"/>
              </w:rPr>
              <w:t>3.了解小学心理学的研究内容和研究方法，知道心理学的主要流派</w:t>
            </w:r>
          </w:p>
        </w:tc>
        <w:tc>
          <w:tcPr>
            <w:tcW w:w="1560" w:type="dxa"/>
            <w:vAlign w:val="center"/>
          </w:tcPr>
          <w:p w14:paraId="7BC494DB">
            <w:pPr>
              <w:jc w:val="left"/>
              <w:rPr>
                <w:rFonts w:hint="eastAsia" w:ascii="宋体" w:hAnsi="宋体" w:eastAsia="宋体" w:cs="Times New Roman"/>
                <w:kern w:val="0"/>
                <w:szCs w:val="21"/>
              </w:rPr>
            </w:pPr>
            <w:r>
              <w:rPr>
                <w:rFonts w:hint="eastAsia" w:ascii="宋体" w:hAnsi="宋体" w:eastAsia="宋体" w:cs="Times New Roman"/>
                <w:kern w:val="0"/>
                <w:szCs w:val="21"/>
              </w:rPr>
              <w:t>1.线上学习</w:t>
            </w:r>
          </w:p>
          <w:p w14:paraId="3F8F899F">
            <w:pPr>
              <w:jc w:val="left"/>
              <w:rPr>
                <w:rFonts w:hint="eastAsia" w:ascii="宋体" w:hAnsi="宋体" w:eastAsia="宋体" w:cs="Times New Roman"/>
                <w:kern w:val="0"/>
                <w:szCs w:val="21"/>
              </w:rPr>
            </w:pPr>
            <w:r>
              <w:rPr>
                <w:rFonts w:hint="eastAsia" w:ascii="宋体" w:hAnsi="宋体" w:eastAsia="宋体" w:cs="Times New Roman"/>
                <w:kern w:val="0"/>
                <w:szCs w:val="21"/>
              </w:rPr>
              <w:t>2.多媒体教学3.课堂讨论</w:t>
            </w:r>
          </w:p>
          <w:p w14:paraId="009F808B">
            <w:pPr>
              <w:jc w:val="left"/>
              <w:rPr>
                <w:rFonts w:hint="eastAsia" w:ascii="宋体" w:hAnsi="宋体" w:eastAsia="宋体" w:cs="Times New Roman"/>
                <w:kern w:val="0"/>
                <w:szCs w:val="21"/>
              </w:rPr>
            </w:pPr>
            <w:r>
              <w:rPr>
                <w:rFonts w:hint="eastAsia" w:ascii="宋体" w:hAnsi="宋体" w:eastAsia="宋体" w:cs="Times New Roman"/>
                <w:kern w:val="0"/>
                <w:szCs w:val="21"/>
              </w:rPr>
              <w:t>4.单元测验</w:t>
            </w:r>
          </w:p>
        </w:tc>
        <w:tc>
          <w:tcPr>
            <w:tcW w:w="438" w:type="dxa"/>
            <w:vAlign w:val="center"/>
          </w:tcPr>
          <w:p w14:paraId="0212F791">
            <w:pPr>
              <w:jc w:val="center"/>
              <w:rPr>
                <w:rFonts w:hint="eastAsia" w:ascii="宋体" w:hAnsi="宋体" w:eastAsia="宋体" w:cs="Times New Roman"/>
                <w:kern w:val="0"/>
                <w:szCs w:val="21"/>
              </w:rPr>
            </w:pPr>
            <w:r>
              <w:rPr>
                <w:rFonts w:hint="eastAsia" w:ascii="宋体" w:hAnsi="宋体" w:eastAsia="宋体" w:cs="Times New Roman"/>
                <w:kern w:val="0"/>
                <w:szCs w:val="21"/>
              </w:rPr>
              <w:t>6</w:t>
            </w:r>
          </w:p>
        </w:tc>
      </w:tr>
      <w:tr w14:paraId="3DE0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7D3319D1">
            <w:pPr>
              <w:jc w:val="center"/>
              <w:rPr>
                <w:rFonts w:hint="eastAsia" w:ascii="宋体" w:hAnsi="宋体" w:eastAsia="宋体" w:cs="Times New Roman"/>
                <w:kern w:val="0"/>
                <w:szCs w:val="21"/>
              </w:rPr>
            </w:pPr>
          </w:p>
        </w:tc>
        <w:tc>
          <w:tcPr>
            <w:tcW w:w="8096" w:type="dxa"/>
            <w:gridSpan w:val="6"/>
            <w:vAlign w:val="center"/>
          </w:tcPr>
          <w:p w14:paraId="2C727434">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bCs/>
                <w:kern w:val="0"/>
                <w:szCs w:val="21"/>
              </w:rPr>
              <w:t>在充分了解心理学的学科特点和小学心理学的学习内容的基础上，</w:t>
            </w:r>
            <w:r>
              <w:rPr>
                <w:rFonts w:hint="eastAsia" w:ascii="宋体" w:hAnsi="宋体" w:eastAsia="宋体" w:cs="Times New Roman"/>
                <w:kern w:val="0"/>
                <w:szCs w:val="21"/>
              </w:rPr>
              <w:t>形成初步的科学的儿童观，具备基本的发展观，对师范生的学习生涯产生较大的兴趣，同时形成科学的人生观和自我发展意识。</w:t>
            </w:r>
          </w:p>
        </w:tc>
      </w:tr>
      <w:tr w14:paraId="4891C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736A80A3">
            <w:pPr>
              <w:jc w:val="center"/>
              <w:rPr>
                <w:rFonts w:hint="eastAsia" w:ascii="宋体" w:hAnsi="宋体" w:eastAsia="宋体" w:cs="Times New Roman"/>
                <w:kern w:val="0"/>
                <w:szCs w:val="21"/>
              </w:rPr>
            </w:pPr>
            <w:r>
              <w:rPr>
                <w:rFonts w:hint="eastAsia" w:ascii="宋体" w:hAnsi="宋体" w:eastAsia="宋体" w:cs="Times New Roman"/>
                <w:kern w:val="0"/>
                <w:szCs w:val="21"/>
              </w:rPr>
              <w:t>2．小学儿童的注意</w:t>
            </w:r>
          </w:p>
        </w:tc>
        <w:tc>
          <w:tcPr>
            <w:tcW w:w="1769" w:type="dxa"/>
            <w:vAlign w:val="center"/>
          </w:tcPr>
          <w:p w14:paraId="57D5E792">
            <w:pPr>
              <w:jc w:val="left"/>
              <w:rPr>
                <w:rFonts w:hint="eastAsia" w:ascii="宋体" w:hAnsi="宋体" w:eastAsia="宋体" w:cs="Times New Roman"/>
                <w:kern w:val="0"/>
                <w:szCs w:val="21"/>
              </w:rPr>
            </w:pPr>
            <w:r>
              <w:rPr>
                <w:rFonts w:hint="eastAsia" w:ascii="宋体" w:hAnsi="宋体" w:eastAsia="宋体" w:cs="Times New Roman"/>
                <w:kern w:val="0"/>
                <w:szCs w:val="21"/>
              </w:rPr>
              <w:t>1.注意的概述</w:t>
            </w:r>
          </w:p>
          <w:p w14:paraId="4421BDB5">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2.小学儿童的注意</w:t>
            </w:r>
          </w:p>
        </w:tc>
        <w:tc>
          <w:tcPr>
            <w:tcW w:w="1068" w:type="dxa"/>
            <w:gridSpan w:val="2"/>
            <w:vAlign w:val="center"/>
          </w:tcPr>
          <w:p w14:paraId="5D779148">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4F0D70C4">
            <w:pPr>
              <w:jc w:val="left"/>
              <w:rPr>
                <w:rFonts w:hint="eastAsia" w:ascii="宋体" w:hAnsi="宋体" w:eastAsia="宋体" w:cs="Times New Roman"/>
                <w:kern w:val="0"/>
                <w:szCs w:val="21"/>
              </w:rPr>
            </w:pPr>
            <w:r>
              <w:rPr>
                <w:rFonts w:hint="eastAsia" w:ascii="宋体" w:hAnsi="宋体" w:eastAsia="宋体" w:cs="Times New Roman"/>
                <w:kern w:val="0"/>
                <w:szCs w:val="21"/>
              </w:rPr>
              <w:t>1.正确理解注意的含义、注意与其他心理过程的关系，注意的外部表现，注意的种类，注意的品质</w:t>
            </w:r>
          </w:p>
          <w:p w14:paraId="51ABE179">
            <w:pPr>
              <w:jc w:val="left"/>
              <w:rPr>
                <w:rFonts w:hint="eastAsia" w:ascii="宋体" w:hAnsi="宋体" w:eastAsia="宋体" w:cs="Times New Roman"/>
                <w:kern w:val="0"/>
                <w:szCs w:val="21"/>
              </w:rPr>
            </w:pPr>
            <w:r>
              <w:rPr>
                <w:rFonts w:hint="eastAsia" w:ascii="宋体" w:hAnsi="宋体" w:eastAsia="宋体" w:cs="Times New Roman"/>
                <w:kern w:val="0"/>
                <w:szCs w:val="21"/>
              </w:rPr>
              <w:t>2.理解三种注意之间的关系，掌握引起无意注意、有意注意的条件；小学儿童注意发展的一般特点</w:t>
            </w:r>
          </w:p>
          <w:p w14:paraId="49F5C9BB">
            <w:pPr>
              <w:jc w:val="left"/>
              <w:rPr>
                <w:rFonts w:hint="eastAsia" w:ascii="宋体" w:hAnsi="宋体" w:eastAsia="宋体" w:cs="Times New Roman"/>
                <w:kern w:val="0"/>
                <w:szCs w:val="21"/>
              </w:rPr>
            </w:pPr>
            <w:r>
              <w:rPr>
                <w:rFonts w:hint="eastAsia" w:ascii="宋体" w:hAnsi="宋体" w:eastAsia="宋体" w:cs="Times New Roman"/>
                <w:kern w:val="0"/>
                <w:szCs w:val="21"/>
              </w:rPr>
              <w:t>3.学会培养小学儿童良好注意品质；初步具有在教学的各个阶段恰当组织学生注意，提高课堂效果的能力</w:t>
            </w:r>
            <w:r>
              <w:rPr>
                <w:rFonts w:ascii="宋体" w:hAnsi="宋体" w:eastAsia="宋体" w:cs="Times New Roman"/>
                <w:kern w:val="0"/>
                <w:szCs w:val="21"/>
              </w:rPr>
              <w:t>。</w:t>
            </w:r>
          </w:p>
        </w:tc>
        <w:tc>
          <w:tcPr>
            <w:tcW w:w="1560" w:type="dxa"/>
            <w:vAlign w:val="center"/>
          </w:tcPr>
          <w:p w14:paraId="7548DE8D">
            <w:pPr>
              <w:jc w:val="left"/>
              <w:rPr>
                <w:rFonts w:hint="eastAsia" w:ascii="宋体" w:hAnsi="宋体" w:eastAsia="宋体" w:cs="Times New Roman"/>
                <w:kern w:val="0"/>
                <w:szCs w:val="21"/>
              </w:rPr>
            </w:pPr>
            <w:r>
              <w:rPr>
                <w:rFonts w:hint="eastAsia" w:ascii="宋体" w:hAnsi="宋体" w:eastAsia="宋体" w:cs="Times New Roman"/>
                <w:kern w:val="0"/>
                <w:szCs w:val="21"/>
              </w:rPr>
              <w:t>1.线上学习</w:t>
            </w:r>
          </w:p>
          <w:p w14:paraId="078EBC57">
            <w:pPr>
              <w:jc w:val="left"/>
              <w:rPr>
                <w:rFonts w:hint="eastAsia" w:ascii="宋体" w:hAnsi="宋体" w:eastAsia="宋体" w:cs="Times New Roman"/>
                <w:kern w:val="0"/>
                <w:szCs w:val="21"/>
              </w:rPr>
            </w:pPr>
            <w:r>
              <w:rPr>
                <w:rFonts w:hint="eastAsia" w:ascii="宋体" w:hAnsi="宋体" w:eastAsia="宋体" w:cs="Times New Roman"/>
                <w:kern w:val="0"/>
                <w:szCs w:val="21"/>
              </w:rPr>
              <w:t>2.多媒体教学3.课堂讨论</w:t>
            </w:r>
          </w:p>
          <w:p w14:paraId="09DC057D">
            <w:pPr>
              <w:jc w:val="left"/>
              <w:rPr>
                <w:rFonts w:hint="eastAsia" w:ascii="宋体" w:hAnsi="宋体" w:eastAsia="宋体" w:cs="Times New Roman"/>
                <w:kern w:val="0"/>
                <w:szCs w:val="21"/>
              </w:rPr>
            </w:pPr>
            <w:r>
              <w:rPr>
                <w:rFonts w:hint="eastAsia" w:ascii="宋体" w:hAnsi="宋体" w:eastAsia="宋体" w:cs="Times New Roman"/>
                <w:kern w:val="0"/>
                <w:szCs w:val="21"/>
              </w:rPr>
              <w:t>4.单元测验</w:t>
            </w:r>
          </w:p>
          <w:p w14:paraId="58CB4282">
            <w:pPr>
              <w:jc w:val="left"/>
              <w:rPr>
                <w:rFonts w:hint="eastAsia" w:ascii="宋体" w:hAnsi="宋体" w:eastAsia="宋体" w:cs="Times New Roman"/>
                <w:kern w:val="0"/>
                <w:szCs w:val="21"/>
              </w:rPr>
            </w:pPr>
            <w:r>
              <w:rPr>
                <w:rFonts w:hint="eastAsia" w:ascii="宋体" w:hAnsi="宋体" w:eastAsia="宋体" w:cs="Times New Roman"/>
                <w:kern w:val="0"/>
                <w:szCs w:val="21"/>
              </w:rPr>
              <w:t>5.划消实验</w:t>
            </w:r>
          </w:p>
        </w:tc>
        <w:tc>
          <w:tcPr>
            <w:tcW w:w="438" w:type="dxa"/>
            <w:vAlign w:val="center"/>
          </w:tcPr>
          <w:p w14:paraId="08C3549D">
            <w:pPr>
              <w:jc w:val="center"/>
              <w:rPr>
                <w:rFonts w:hint="eastAsia" w:ascii="宋体" w:hAnsi="宋体" w:eastAsia="宋体" w:cs="Times New Roman"/>
                <w:kern w:val="0"/>
                <w:szCs w:val="21"/>
              </w:rPr>
            </w:pPr>
            <w:r>
              <w:rPr>
                <w:rFonts w:hint="eastAsia" w:ascii="宋体" w:hAnsi="宋体" w:eastAsia="宋体" w:cs="Times New Roman"/>
                <w:kern w:val="0"/>
                <w:szCs w:val="21"/>
              </w:rPr>
              <w:t>5</w:t>
            </w:r>
          </w:p>
        </w:tc>
      </w:tr>
      <w:tr w14:paraId="49B5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1B96CA22">
            <w:pPr>
              <w:jc w:val="center"/>
              <w:rPr>
                <w:rFonts w:hint="eastAsia" w:ascii="宋体" w:hAnsi="宋体" w:eastAsia="宋体" w:cs="Times New Roman"/>
                <w:kern w:val="0"/>
                <w:szCs w:val="21"/>
              </w:rPr>
            </w:pPr>
          </w:p>
        </w:tc>
        <w:tc>
          <w:tcPr>
            <w:tcW w:w="8096" w:type="dxa"/>
            <w:gridSpan w:val="6"/>
            <w:vAlign w:val="center"/>
          </w:tcPr>
          <w:p w14:paraId="02D53DF1">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7431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6459FAD2">
            <w:pPr>
              <w:jc w:val="center"/>
              <w:rPr>
                <w:rFonts w:hint="eastAsia" w:ascii="宋体" w:hAnsi="宋体" w:eastAsia="宋体" w:cs="Times New Roman"/>
                <w:kern w:val="0"/>
                <w:szCs w:val="21"/>
              </w:rPr>
            </w:pPr>
            <w:r>
              <w:rPr>
                <w:rFonts w:hint="eastAsia" w:ascii="宋体" w:hAnsi="宋体" w:eastAsia="宋体" w:cs="Times New Roman"/>
                <w:kern w:val="0"/>
                <w:szCs w:val="21"/>
              </w:rPr>
              <w:t>3. 小学儿童的感知觉</w:t>
            </w:r>
          </w:p>
        </w:tc>
        <w:tc>
          <w:tcPr>
            <w:tcW w:w="1769" w:type="dxa"/>
            <w:vAlign w:val="center"/>
          </w:tcPr>
          <w:p w14:paraId="6AF83356">
            <w:pPr>
              <w:jc w:val="left"/>
              <w:rPr>
                <w:rFonts w:hint="eastAsia" w:ascii="宋体" w:hAnsi="宋体" w:eastAsia="宋体" w:cs="Times New Roman"/>
                <w:kern w:val="0"/>
                <w:szCs w:val="21"/>
              </w:rPr>
            </w:pPr>
            <w:r>
              <w:rPr>
                <w:rFonts w:hint="eastAsia" w:ascii="宋体" w:hAnsi="宋体" w:eastAsia="宋体" w:cs="Times New Roman"/>
                <w:kern w:val="0"/>
                <w:szCs w:val="21"/>
              </w:rPr>
              <w:t>1.感知觉概述</w:t>
            </w:r>
          </w:p>
          <w:p w14:paraId="4ED65D68">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2.小学儿童的感知觉</w:t>
            </w:r>
          </w:p>
        </w:tc>
        <w:tc>
          <w:tcPr>
            <w:tcW w:w="1068" w:type="dxa"/>
            <w:gridSpan w:val="2"/>
            <w:vAlign w:val="center"/>
          </w:tcPr>
          <w:p w14:paraId="10CA3FAB">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39F93147">
            <w:pPr>
              <w:jc w:val="left"/>
              <w:rPr>
                <w:rFonts w:hint="eastAsia" w:ascii="宋体" w:hAnsi="宋体" w:eastAsia="宋体" w:cs="Times New Roman"/>
                <w:kern w:val="0"/>
                <w:szCs w:val="21"/>
              </w:rPr>
            </w:pPr>
            <w:r>
              <w:rPr>
                <w:rFonts w:hint="eastAsia" w:ascii="宋体" w:hAnsi="宋体" w:eastAsia="宋体" w:cs="Times New Roman"/>
                <w:kern w:val="0"/>
                <w:szCs w:val="21"/>
              </w:rPr>
              <w:t>1.了解感觉和知觉的类型、理解感觉和知觉的概念</w:t>
            </w:r>
          </w:p>
          <w:p w14:paraId="27E44670">
            <w:pPr>
              <w:jc w:val="left"/>
              <w:rPr>
                <w:rFonts w:hint="eastAsia" w:ascii="宋体" w:hAnsi="宋体" w:eastAsia="宋体" w:cs="Times New Roman"/>
                <w:kern w:val="0"/>
                <w:szCs w:val="21"/>
              </w:rPr>
            </w:pPr>
            <w:r>
              <w:rPr>
                <w:rFonts w:hint="eastAsia" w:ascii="宋体" w:hAnsi="宋体" w:eastAsia="宋体" w:cs="Times New Roman"/>
                <w:kern w:val="0"/>
                <w:szCs w:val="21"/>
              </w:rPr>
              <w:t>2.掌握感觉的基本规律、知觉的特性，小学儿童感知觉发展的特点</w:t>
            </w:r>
          </w:p>
          <w:p w14:paraId="7B6F01C3">
            <w:pPr>
              <w:jc w:val="left"/>
              <w:rPr>
                <w:rFonts w:hint="eastAsia" w:ascii="宋体" w:hAnsi="宋体" w:eastAsia="宋体" w:cs="Times New Roman"/>
                <w:kern w:val="0"/>
                <w:szCs w:val="21"/>
              </w:rPr>
            </w:pPr>
            <w:r>
              <w:rPr>
                <w:rFonts w:hint="eastAsia" w:ascii="宋体" w:hAnsi="宋体" w:eastAsia="宋体" w:cs="Times New Roman"/>
                <w:kern w:val="0"/>
                <w:szCs w:val="21"/>
              </w:rPr>
              <w:t>3.正确把握感受性与感觉阈限的关系，懂得如何促进小学儿童观察力的发展</w:t>
            </w:r>
          </w:p>
        </w:tc>
        <w:tc>
          <w:tcPr>
            <w:tcW w:w="1560" w:type="dxa"/>
            <w:vAlign w:val="center"/>
          </w:tcPr>
          <w:p w14:paraId="6CA39631">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5AC5B57C">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6DD02E3C">
            <w:pPr>
              <w:jc w:val="left"/>
              <w:rPr>
                <w:rFonts w:hint="eastAsia" w:ascii="宋体" w:hAnsi="宋体" w:eastAsia="宋体" w:cs="Times New Roman"/>
                <w:kern w:val="0"/>
                <w:szCs w:val="21"/>
              </w:rPr>
            </w:pPr>
            <w:r>
              <w:rPr>
                <w:rFonts w:ascii="宋体" w:hAnsi="宋体" w:eastAsia="宋体" w:cs="Times New Roman"/>
                <w:kern w:val="0"/>
                <w:szCs w:val="21"/>
              </w:rPr>
              <w:t>4.单元测验</w:t>
            </w:r>
          </w:p>
          <w:p w14:paraId="668AABFB">
            <w:pPr>
              <w:jc w:val="left"/>
              <w:rPr>
                <w:rFonts w:hint="eastAsia" w:ascii="宋体" w:hAnsi="宋体" w:eastAsia="宋体" w:cs="Times New Roman"/>
                <w:kern w:val="0"/>
                <w:szCs w:val="21"/>
              </w:rPr>
            </w:pPr>
            <w:r>
              <w:rPr>
                <w:rFonts w:hint="eastAsia" w:ascii="宋体" w:hAnsi="宋体" w:eastAsia="宋体" w:cs="Times New Roman"/>
                <w:kern w:val="0"/>
                <w:szCs w:val="21"/>
              </w:rPr>
              <w:t>5.简单反应时实验</w:t>
            </w:r>
          </w:p>
        </w:tc>
        <w:tc>
          <w:tcPr>
            <w:tcW w:w="438" w:type="dxa"/>
            <w:vAlign w:val="center"/>
          </w:tcPr>
          <w:p w14:paraId="70F4A382">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19C6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E9D3A0E">
            <w:pPr>
              <w:jc w:val="center"/>
              <w:rPr>
                <w:rFonts w:hint="eastAsia" w:ascii="宋体" w:hAnsi="宋体" w:eastAsia="宋体" w:cs="Times New Roman"/>
                <w:kern w:val="0"/>
                <w:szCs w:val="21"/>
              </w:rPr>
            </w:pPr>
          </w:p>
        </w:tc>
        <w:tc>
          <w:tcPr>
            <w:tcW w:w="8096" w:type="dxa"/>
            <w:gridSpan w:val="6"/>
            <w:vAlign w:val="center"/>
          </w:tcPr>
          <w:p w14:paraId="60C8FE08">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1953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68D15603">
            <w:pPr>
              <w:jc w:val="center"/>
              <w:rPr>
                <w:rFonts w:hint="eastAsia" w:ascii="宋体" w:hAnsi="宋体" w:eastAsia="宋体" w:cs="Times New Roman"/>
                <w:kern w:val="0"/>
                <w:szCs w:val="21"/>
              </w:rPr>
            </w:pPr>
            <w:r>
              <w:rPr>
                <w:rFonts w:hint="eastAsia" w:ascii="宋体" w:hAnsi="宋体" w:eastAsia="宋体" w:cs="Times New Roman"/>
                <w:kern w:val="0"/>
                <w:szCs w:val="21"/>
              </w:rPr>
              <w:t>4.小学儿童的记忆</w:t>
            </w:r>
          </w:p>
        </w:tc>
        <w:tc>
          <w:tcPr>
            <w:tcW w:w="1769" w:type="dxa"/>
            <w:vAlign w:val="center"/>
          </w:tcPr>
          <w:p w14:paraId="41DDA993">
            <w:pPr>
              <w:jc w:val="left"/>
              <w:rPr>
                <w:rFonts w:hint="eastAsia" w:ascii="宋体" w:hAnsi="宋体" w:eastAsia="宋体" w:cs="Times New Roman"/>
                <w:kern w:val="0"/>
                <w:szCs w:val="21"/>
              </w:rPr>
            </w:pPr>
            <w:r>
              <w:rPr>
                <w:rFonts w:hint="eastAsia" w:ascii="宋体" w:hAnsi="宋体" w:eastAsia="宋体" w:cs="Times New Roman"/>
                <w:kern w:val="0"/>
                <w:szCs w:val="21"/>
              </w:rPr>
              <w:t>1.记忆概述</w:t>
            </w:r>
          </w:p>
          <w:p w14:paraId="6FBF493C">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2.小学儿童的记忆</w:t>
            </w:r>
          </w:p>
        </w:tc>
        <w:tc>
          <w:tcPr>
            <w:tcW w:w="1068" w:type="dxa"/>
            <w:gridSpan w:val="2"/>
            <w:vAlign w:val="center"/>
          </w:tcPr>
          <w:p w14:paraId="18698506">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23210555">
            <w:pPr>
              <w:jc w:val="left"/>
              <w:rPr>
                <w:rFonts w:hint="eastAsia" w:ascii="宋体" w:hAnsi="宋体" w:eastAsia="宋体" w:cs="Times New Roman"/>
                <w:kern w:val="0"/>
                <w:szCs w:val="21"/>
              </w:rPr>
            </w:pPr>
            <w:r>
              <w:rPr>
                <w:rFonts w:hint="eastAsia" w:ascii="宋体" w:hAnsi="宋体" w:eastAsia="宋体" w:cs="Times New Roman"/>
                <w:kern w:val="0"/>
                <w:szCs w:val="21"/>
              </w:rPr>
              <w:t>1.了解记忆的含义，记忆的分类，记忆的品质；理解影响遗忘的因素，三种记忆的相互关系</w:t>
            </w:r>
          </w:p>
          <w:p w14:paraId="44D652AA">
            <w:pPr>
              <w:jc w:val="left"/>
              <w:rPr>
                <w:rFonts w:hint="eastAsia" w:ascii="宋体" w:hAnsi="宋体" w:eastAsia="宋体" w:cs="Times New Roman"/>
                <w:kern w:val="0"/>
                <w:szCs w:val="21"/>
              </w:rPr>
            </w:pPr>
            <w:r>
              <w:rPr>
                <w:rFonts w:hint="eastAsia" w:ascii="宋体" w:hAnsi="宋体" w:eastAsia="宋体" w:cs="Times New Roman"/>
                <w:kern w:val="0"/>
                <w:szCs w:val="21"/>
              </w:rPr>
              <w:t>2.掌握遗忘的规律，小学儿童记忆发展的特点</w:t>
            </w:r>
          </w:p>
          <w:p w14:paraId="6D2E13DB">
            <w:pPr>
              <w:jc w:val="left"/>
              <w:rPr>
                <w:rFonts w:hint="eastAsia" w:ascii="宋体" w:hAnsi="宋体" w:eastAsia="宋体" w:cs="Times New Roman"/>
                <w:kern w:val="0"/>
                <w:szCs w:val="21"/>
              </w:rPr>
            </w:pPr>
            <w:r>
              <w:rPr>
                <w:rFonts w:hint="eastAsia" w:ascii="宋体" w:hAnsi="宋体" w:eastAsia="宋体" w:cs="Times New Roman"/>
                <w:kern w:val="0"/>
                <w:szCs w:val="21"/>
              </w:rPr>
              <w:t>3.学会有效运用增进记忆的方法，懂得小学儿童良好记忆策略的方法</w:t>
            </w:r>
          </w:p>
        </w:tc>
        <w:tc>
          <w:tcPr>
            <w:tcW w:w="1560" w:type="dxa"/>
            <w:vAlign w:val="center"/>
          </w:tcPr>
          <w:p w14:paraId="1BBC9912">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2D48F938">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638D9D3A">
            <w:pPr>
              <w:jc w:val="left"/>
              <w:rPr>
                <w:rFonts w:hint="eastAsia" w:ascii="宋体" w:hAnsi="宋体" w:eastAsia="宋体" w:cs="Times New Roman"/>
                <w:kern w:val="0"/>
                <w:szCs w:val="21"/>
              </w:rPr>
            </w:pPr>
            <w:r>
              <w:rPr>
                <w:rFonts w:ascii="宋体" w:hAnsi="宋体" w:eastAsia="宋体" w:cs="Times New Roman"/>
                <w:kern w:val="0"/>
                <w:szCs w:val="21"/>
              </w:rPr>
              <w:t>4.单元测验</w:t>
            </w:r>
          </w:p>
          <w:p w14:paraId="4AD5A9A3">
            <w:pPr>
              <w:jc w:val="left"/>
              <w:rPr>
                <w:rFonts w:hint="eastAsia" w:ascii="宋体" w:hAnsi="宋体" w:eastAsia="宋体" w:cs="Times New Roman"/>
                <w:kern w:val="0"/>
                <w:szCs w:val="21"/>
              </w:rPr>
            </w:pPr>
            <w:r>
              <w:rPr>
                <w:rFonts w:hint="eastAsia" w:ascii="宋体" w:hAnsi="宋体" w:eastAsia="宋体" w:cs="Times New Roman"/>
                <w:kern w:val="0"/>
                <w:szCs w:val="21"/>
              </w:rPr>
              <w:t>5.记忆实验</w:t>
            </w:r>
          </w:p>
        </w:tc>
        <w:tc>
          <w:tcPr>
            <w:tcW w:w="438" w:type="dxa"/>
            <w:vAlign w:val="center"/>
          </w:tcPr>
          <w:p w14:paraId="01D9BDD1">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365D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396501F5">
            <w:pPr>
              <w:jc w:val="center"/>
              <w:rPr>
                <w:rFonts w:hint="eastAsia" w:ascii="宋体" w:hAnsi="宋体" w:eastAsia="宋体" w:cs="Times New Roman"/>
                <w:kern w:val="0"/>
                <w:szCs w:val="21"/>
              </w:rPr>
            </w:pPr>
          </w:p>
        </w:tc>
        <w:tc>
          <w:tcPr>
            <w:tcW w:w="8096" w:type="dxa"/>
            <w:gridSpan w:val="6"/>
            <w:vAlign w:val="center"/>
          </w:tcPr>
          <w:p w14:paraId="7308DEEE">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305C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32DB734D">
            <w:pPr>
              <w:jc w:val="center"/>
              <w:rPr>
                <w:rFonts w:hint="eastAsia" w:ascii="宋体" w:hAnsi="宋体" w:eastAsia="宋体" w:cs="Times New Roman"/>
                <w:kern w:val="0"/>
                <w:szCs w:val="21"/>
              </w:rPr>
            </w:pPr>
            <w:r>
              <w:rPr>
                <w:rFonts w:hint="eastAsia" w:ascii="宋体" w:hAnsi="宋体" w:eastAsia="宋体" w:cs="Times New Roman"/>
                <w:kern w:val="0"/>
                <w:szCs w:val="21"/>
              </w:rPr>
              <w:t>5.小学儿童的言语</w:t>
            </w:r>
          </w:p>
        </w:tc>
        <w:tc>
          <w:tcPr>
            <w:tcW w:w="1769" w:type="dxa"/>
            <w:vAlign w:val="center"/>
          </w:tcPr>
          <w:p w14:paraId="27E32857">
            <w:pPr>
              <w:jc w:val="left"/>
              <w:rPr>
                <w:rFonts w:hint="eastAsia" w:ascii="宋体" w:hAnsi="宋体" w:eastAsia="宋体" w:cs="Times New Roman"/>
                <w:kern w:val="0"/>
                <w:szCs w:val="21"/>
              </w:rPr>
            </w:pPr>
            <w:r>
              <w:rPr>
                <w:rFonts w:hint="eastAsia" w:ascii="宋体" w:hAnsi="宋体" w:eastAsia="宋体" w:cs="Times New Roman"/>
                <w:kern w:val="0"/>
                <w:szCs w:val="21"/>
              </w:rPr>
              <w:t>1.言语概述</w:t>
            </w:r>
          </w:p>
          <w:p w14:paraId="508F6380">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2.小学儿童的言语</w:t>
            </w:r>
          </w:p>
        </w:tc>
        <w:tc>
          <w:tcPr>
            <w:tcW w:w="1068" w:type="dxa"/>
            <w:gridSpan w:val="2"/>
            <w:vAlign w:val="center"/>
          </w:tcPr>
          <w:p w14:paraId="27E913CC">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33A93AF9">
            <w:pPr>
              <w:jc w:val="left"/>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 xml:space="preserve"> </w:t>
            </w:r>
            <w:r>
              <w:rPr>
                <w:rFonts w:hint="eastAsia" w:ascii="宋体" w:hAnsi="宋体" w:eastAsia="宋体" w:cs="Times New Roman"/>
                <w:kern w:val="0"/>
                <w:szCs w:val="21"/>
              </w:rPr>
              <w:t>理解言语的概念及特征，了解言语和语言的关系，言语的分类</w:t>
            </w:r>
          </w:p>
          <w:p w14:paraId="7E482F54">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2.掌握小学儿童言语发展的特点，懂得小学儿童言语能力培养的心理基础</w:t>
            </w:r>
          </w:p>
        </w:tc>
        <w:tc>
          <w:tcPr>
            <w:tcW w:w="1560" w:type="dxa"/>
            <w:vAlign w:val="center"/>
          </w:tcPr>
          <w:p w14:paraId="324CB7A8">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442E7189">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44C675E0">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0CA4FBCD">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7B12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6EF5A850">
            <w:pPr>
              <w:jc w:val="center"/>
              <w:rPr>
                <w:rFonts w:hint="eastAsia" w:ascii="宋体" w:hAnsi="宋体" w:eastAsia="宋体" w:cs="Times New Roman"/>
                <w:kern w:val="0"/>
                <w:szCs w:val="21"/>
              </w:rPr>
            </w:pPr>
          </w:p>
        </w:tc>
        <w:tc>
          <w:tcPr>
            <w:tcW w:w="8096" w:type="dxa"/>
            <w:gridSpan w:val="6"/>
            <w:vAlign w:val="center"/>
          </w:tcPr>
          <w:p w14:paraId="6146FAD9">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6F6A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06FB6477">
            <w:pPr>
              <w:jc w:val="center"/>
              <w:rPr>
                <w:rFonts w:hint="eastAsia" w:ascii="宋体" w:hAnsi="宋体" w:eastAsia="宋体" w:cs="Times New Roman"/>
                <w:kern w:val="0"/>
                <w:szCs w:val="21"/>
              </w:rPr>
            </w:pPr>
            <w:r>
              <w:rPr>
                <w:rFonts w:hint="eastAsia" w:ascii="宋体" w:hAnsi="宋体" w:eastAsia="宋体" w:cs="Times New Roman"/>
                <w:kern w:val="0"/>
                <w:szCs w:val="21"/>
              </w:rPr>
              <w:t>6.小学儿童的想象</w:t>
            </w:r>
          </w:p>
        </w:tc>
        <w:tc>
          <w:tcPr>
            <w:tcW w:w="1769" w:type="dxa"/>
            <w:vAlign w:val="center"/>
          </w:tcPr>
          <w:p w14:paraId="7549E9E4">
            <w:pPr>
              <w:jc w:val="left"/>
              <w:rPr>
                <w:rFonts w:hint="eastAsia" w:ascii="宋体" w:hAnsi="宋体" w:eastAsia="宋体" w:cs="Times New Roman"/>
                <w:kern w:val="0"/>
                <w:szCs w:val="21"/>
              </w:rPr>
            </w:pPr>
            <w:r>
              <w:rPr>
                <w:rFonts w:hint="eastAsia" w:ascii="宋体" w:hAnsi="宋体" w:eastAsia="宋体" w:cs="Times New Roman"/>
                <w:kern w:val="0"/>
                <w:szCs w:val="21"/>
              </w:rPr>
              <w:t>1.想象概述</w:t>
            </w:r>
          </w:p>
          <w:p w14:paraId="2F9EC6AA">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2.小学儿童的想象</w:t>
            </w:r>
          </w:p>
        </w:tc>
        <w:tc>
          <w:tcPr>
            <w:tcW w:w="1068" w:type="dxa"/>
            <w:gridSpan w:val="2"/>
            <w:vAlign w:val="center"/>
          </w:tcPr>
          <w:p w14:paraId="793844E4">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7EB7D68F">
            <w:pPr>
              <w:jc w:val="left"/>
              <w:rPr>
                <w:rFonts w:hint="eastAsia" w:ascii="宋体" w:hAnsi="宋体" w:eastAsia="宋体" w:cs="Times New Roman"/>
                <w:kern w:val="0"/>
                <w:szCs w:val="21"/>
              </w:rPr>
            </w:pPr>
            <w:r>
              <w:rPr>
                <w:rFonts w:hint="eastAsia" w:ascii="宋体" w:hAnsi="宋体" w:eastAsia="宋体" w:cs="Times New Roman"/>
                <w:kern w:val="0"/>
                <w:szCs w:val="21"/>
              </w:rPr>
              <w:t>1.理解表象、想象概念，了解想象的种类、想象与记忆、思维的关系</w:t>
            </w:r>
          </w:p>
          <w:p w14:paraId="6DAF3657">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2.掌握小学儿童想象发展的特点，懂得小学生想象力、创造性思维能力的培养的方法</w:t>
            </w:r>
          </w:p>
        </w:tc>
        <w:tc>
          <w:tcPr>
            <w:tcW w:w="1560" w:type="dxa"/>
            <w:vAlign w:val="center"/>
          </w:tcPr>
          <w:p w14:paraId="75C49453">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117B2393">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3C1075C6">
            <w:pPr>
              <w:jc w:val="left"/>
              <w:rPr>
                <w:rFonts w:hint="eastAsia" w:ascii="宋体" w:hAnsi="宋体" w:eastAsia="宋体" w:cs="Times New Roman"/>
                <w:kern w:val="0"/>
                <w:szCs w:val="21"/>
              </w:rPr>
            </w:pPr>
            <w:r>
              <w:rPr>
                <w:rFonts w:ascii="宋体" w:hAnsi="宋体" w:eastAsia="宋体" w:cs="Times New Roman"/>
                <w:kern w:val="0"/>
                <w:szCs w:val="21"/>
              </w:rPr>
              <w:t>4.单元测验</w:t>
            </w:r>
          </w:p>
          <w:p w14:paraId="5E830FAF">
            <w:pPr>
              <w:jc w:val="left"/>
              <w:rPr>
                <w:rFonts w:hint="eastAsia" w:ascii="宋体" w:hAnsi="宋体" w:eastAsia="宋体" w:cs="Times New Roman"/>
                <w:kern w:val="0"/>
                <w:szCs w:val="21"/>
              </w:rPr>
            </w:pPr>
          </w:p>
        </w:tc>
        <w:tc>
          <w:tcPr>
            <w:tcW w:w="438" w:type="dxa"/>
            <w:vAlign w:val="center"/>
          </w:tcPr>
          <w:p w14:paraId="64FD95D9">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5C13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64DE8D93">
            <w:pPr>
              <w:jc w:val="center"/>
              <w:rPr>
                <w:rFonts w:hint="eastAsia" w:ascii="宋体" w:hAnsi="宋体" w:eastAsia="宋体" w:cs="Times New Roman"/>
                <w:kern w:val="0"/>
                <w:szCs w:val="21"/>
              </w:rPr>
            </w:pPr>
          </w:p>
        </w:tc>
        <w:tc>
          <w:tcPr>
            <w:tcW w:w="8096" w:type="dxa"/>
            <w:gridSpan w:val="6"/>
            <w:vAlign w:val="center"/>
          </w:tcPr>
          <w:p w14:paraId="48EA3584">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2E33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01637DC2">
            <w:pPr>
              <w:jc w:val="center"/>
              <w:rPr>
                <w:rFonts w:hint="eastAsia" w:ascii="宋体" w:hAnsi="宋体" w:eastAsia="宋体" w:cs="Times New Roman"/>
                <w:kern w:val="0"/>
                <w:szCs w:val="21"/>
              </w:rPr>
            </w:pPr>
            <w:r>
              <w:rPr>
                <w:rFonts w:hint="eastAsia" w:ascii="宋体" w:hAnsi="宋体" w:eastAsia="宋体" w:cs="Times New Roman"/>
                <w:kern w:val="0"/>
                <w:szCs w:val="21"/>
              </w:rPr>
              <w:t>7.小学儿童的思维</w:t>
            </w:r>
          </w:p>
        </w:tc>
        <w:tc>
          <w:tcPr>
            <w:tcW w:w="1769" w:type="dxa"/>
            <w:vAlign w:val="center"/>
          </w:tcPr>
          <w:p w14:paraId="60DC389E">
            <w:pPr>
              <w:jc w:val="left"/>
              <w:rPr>
                <w:rFonts w:hint="eastAsia" w:ascii="宋体" w:hAnsi="宋体" w:eastAsia="宋体" w:cs="Times New Roman"/>
                <w:kern w:val="0"/>
                <w:szCs w:val="21"/>
              </w:rPr>
            </w:pPr>
            <w:r>
              <w:rPr>
                <w:rFonts w:hint="eastAsia" w:ascii="宋体" w:hAnsi="宋体" w:eastAsia="宋体" w:cs="Times New Roman"/>
                <w:kern w:val="0"/>
                <w:szCs w:val="21"/>
              </w:rPr>
              <w:t>1，思维概述</w:t>
            </w:r>
          </w:p>
          <w:p w14:paraId="7B74E7A1">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2.小学儿童的思维发展</w:t>
            </w:r>
          </w:p>
        </w:tc>
        <w:tc>
          <w:tcPr>
            <w:tcW w:w="1068" w:type="dxa"/>
            <w:gridSpan w:val="2"/>
            <w:vAlign w:val="center"/>
          </w:tcPr>
          <w:p w14:paraId="4EE6F5D0">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w:t>
            </w:r>
          </w:p>
        </w:tc>
        <w:tc>
          <w:tcPr>
            <w:tcW w:w="3261" w:type="dxa"/>
            <w:vAlign w:val="center"/>
          </w:tcPr>
          <w:p w14:paraId="0D70FCD0">
            <w:pPr>
              <w:jc w:val="left"/>
              <w:rPr>
                <w:rFonts w:hint="eastAsia" w:ascii="宋体" w:hAnsi="宋体" w:eastAsia="宋体" w:cs="Times New Roman"/>
                <w:kern w:val="0"/>
                <w:szCs w:val="21"/>
              </w:rPr>
            </w:pPr>
            <w:r>
              <w:rPr>
                <w:rFonts w:hint="eastAsia" w:ascii="宋体" w:hAnsi="宋体" w:eastAsia="宋体" w:cs="Times New Roman"/>
                <w:kern w:val="0"/>
                <w:szCs w:val="21"/>
              </w:rPr>
              <w:t>1.理解思维的概念，思维的类型和品质</w:t>
            </w:r>
          </w:p>
          <w:p w14:paraId="429F7FA5">
            <w:pPr>
              <w:jc w:val="left"/>
              <w:rPr>
                <w:rFonts w:hint="eastAsia" w:ascii="宋体" w:hAnsi="宋体" w:eastAsia="宋体" w:cs="Times New Roman"/>
                <w:kern w:val="0"/>
                <w:szCs w:val="21"/>
              </w:rPr>
            </w:pPr>
            <w:r>
              <w:rPr>
                <w:rFonts w:hint="eastAsia" w:ascii="宋体" w:hAnsi="宋体" w:eastAsia="宋体" w:cs="Times New Roman"/>
                <w:kern w:val="0"/>
                <w:szCs w:val="21"/>
              </w:rPr>
              <w:t>2.了解思维的过程和形式，掌握小学儿童思维发展的特点，懂得小学生创造性思维能力的培养的方法</w:t>
            </w:r>
          </w:p>
        </w:tc>
        <w:tc>
          <w:tcPr>
            <w:tcW w:w="1560" w:type="dxa"/>
            <w:vAlign w:val="center"/>
          </w:tcPr>
          <w:p w14:paraId="7BF0ACBD">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5B1FB9A8">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6B224A8E">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1D931257">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757B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7FDEC670">
            <w:pPr>
              <w:jc w:val="center"/>
              <w:rPr>
                <w:rFonts w:hint="eastAsia" w:ascii="宋体" w:hAnsi="宋体" w:eastAsia="宋体" w:cs="Times New Roman"/>
                <w:kern w:val="0"/>
                <w:szCs w:val="21"/>
              </w:rPr>
            </w:pPr>
          </w:p>
        </w:tc>
        <w:tc>
          <w:tcPr>
            <w:tcW w:w="8096" w:type="dxa"/>
            <w:gridSpan w:val="6"/>
            <w:vAlign w:val="center"/>
          </w:tcPr>
          <w:p w14:paraId="206FA0DD">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7CEB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0AD2BDE9">
            <w:pPr>
              <w:jc w:val="center"/>
              <w:rPr>
                <w:rFonts w:hint="eastAsia" w:ascii="宋体" w:hAnsi="宋体" w:eastAsia="宋体" w:cs="Times New Roman"/>
                <w:kern w:val="0"/>
                <w:szCs w:val="21"/>
              </w:rPr>
            </w:pPr>
            <w:r>
              <w:rPr>
                <w:rFonts w:hint="eastAsia" w:ascii="宋体" w:hAnsi="宋体" w:eastAsia="宋体" w:cs="Times New Roman"/>
                <w:kern w:val="0"/>
                <w:szCs w:val="21"/>
              </w:rPr>
              <w:t>8.小学儿童的情绪和情感</w:t>
            </w:r>
          </w:p>
        </w:tc>
        <w:tc>
          <w:tcPr>
            <w:tcW w:w="1769" w:type="dxa"/>
            <w:vAlign w:val="center"/>
          </w:tcPr>
          <w:p w14:paraId="51CC3C54">
            <w:pPr>
              <w:jc w:val="left"/>
              <w:rPr>
                <w:rFonts w:hint="eastAsia" w:ascii="宋体" w:hAnsi="宋体" w:eastAsia="宋体" w:cs="Times New Roman"/>
                <w:kern w:val="0"/>
                <w:szCs w:val="21"/>
              </w:rPr>
            </w:pPr>
            <w:r>
              <w:rPr>
                <w:rFonts w:hint="eastAsia" w:ascii="宋体" w:hAnsi="宋体" w:eastAsia="宋体" w:cs="Times New Roman"/>
                <w:kern w:val="0"/>
                <w:szCs w:val="21"/>
              </w:rPr>
              <w:t>1.情绪、情感概述</w:t>
            </w:r>
          </w:p>
          <w:p w14:paraId="2333548F">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2.小学儿童的情绪与情感</w:t>
            </w:r>
          </w:p>
        </w:tc>
        <w:tc>
          <w:tcPr>
            <w:tcW w:w="1068" w:type="dxa"/>
            <w:gridSpan w:val="2"/>
            <w:vAlign w:val="center"/>
          </w:tcPr>
          <w:p w14:paraId="033FB6F6">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3E5ABA02">
            <w:pPr>
              <w:jc w:val="left"/>
              <w:rPr>
                <w:rFonts w:hint="eastAsia" w:ascii="宋体" w:hAnsi="宋体" w:eastAsia="宋体" w:cs="Times New Roman"/>
                <w:kern w:val="0"/>
                <w:szCs w:val="21"/>
              </w:rPr>
            </w:pPr>
            <w:r>
              <w:rPr>
                <w:rFonts w:hint="eastAsia" w:ascii="宋体" w:hAnsi="宋体" w:eastAsia="宋体" w:cs="Times New Roman"/>
                <w:kern w:val="0"/>
                <w:szCs w:val="21"/>
              </w:rPr>
              <w:t>1.理解情绪、情感的概念，了解情绪与情感的关系以及情感过程与认识过程的关系，情绪情感的功能及分类</w:t>
            </w:r>
          </w:p>
          <w:p w14:paraId="399EB2E0">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2.掌握小学儿童情绪情感发展的特点，懂得如何培养小学儿童的情感</w:t>
            </w:r>
          </w:p>
        </w:tc>
        <w:tc>
          <w:tcPr>
            <w:tcW w:w="1560" w:type="dxa"/>
            <w:vAlign w:val="center"/>
          </w:tcPr>
          <w:p w14:paraId="1841052F">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11708C55">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25C44B75">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768F9248">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0681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7A170F04">
            <w:pPr>
              <w:jc w:val="center"/>
              <w:rPr>
                <w:rFonts w:hint="eastAsia" w:ascii="宋体" w:hAnsi="宋体" w:eastAsia="宋体" w:cs="Times New Roman"/>
                <w:kern w:val="0"/>
                <w:szCs w:val="21"/>
              </w:rPr>
            </w:pPr>
          </w:p>
        </w:tc>
        <w:tc>
          <w:tcPr>
            <w:tcW w:w="8096" w:type="dxa"/>
            <w:gridSpan w:val="6"/>
            <w:vAlign w:val="center"/>
          </w:tcPr>
          <w:p w14:paraId="61A80982">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19CE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35EC053E">
            <w:pPr>
              <w:jc w:val="center"/>
              <w:rPr>
                <w:rFonts w:hint="eastAsia" w:ascii="宋体" w:hAnsi="宋体" w:eastAsia="宋体" w:cs="Times New Roman"/>
                <w:kern w:val="0"/>
                <w:szCs w:val="21"/>
              </w:rPr>
            </w:pPr>
            <w:r>
              <w:rPr>
                <w:rFonts w:hint="eastAsia" w:ascii="宋体" w:hAnsi="宋体" w:eastAsia="宋体" w:cs="Times New Roman"/>
                <w:kern w:val="0"/>
                <w:szCs w:val="21"/>
              </w:rPr>
              <w:t>9.小学儿童的意志</w:t>
            </w:r>
          </w:p>
        </w:tc>
        <w:tc>
          <w:tcPr>
            <w:tcW w:w="1769" w:type="dxa"/>
            <w:vAlign w:val="center"/>
          </w:tcPr>
          <w:p w14:paraId="3A91FC42">
            <w:pPr>
              <w:jc w:val="left"/>
              <w:rPr>
                <w:rFonts w:hint="eastAsia" w:ascii="宋体" w:hAnsi="宋体" w:eastAsia="宋体" w:cs="Times New Roman"/>
                <w:kern w:val="0"/>
                <w:szCs w:val="21"/>
              </w:rPr>
            </w:pPr>
            <w:r>
              <w:rPr>
                <w:rFonts w:hint="eastAsia" w:ascii="宋体" w:hAnsi="宋体" w:eastAsia="宋体" w:cs="Times New Roman"/>
                <w:kern w:val="0"/>
                <w:szCs w:val="21"/>
              </w:rPr>
              <w:t>1.意志概述</w:t>
            </w:r>
          </w:p>
          <w:p w14:paraId="0D873690">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2.小学儿童的意志</w:t>
            </w:r>
          </w:p>
        </w:tc>
        <w:tc>
          <w:tcPr>
            <w:tcW w:w="1068" w:type="dxa"/>
            <w:gridSpan w:val="2"/>
            <w:vAlign w:val="center"/>
          </w:tcPr>
          <w:p w14:paraId="1744E9D6">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3261" w:type="dxa"/>
            <w:vAlign w:val="center"/>
          </w:tcPr>
          <w:p w14:paraId="49CB8112">
            <w:pPr>
              <w:jc w:val="left"/>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 xml:space="preserve"> </w:t>
            </w:r>
            <w:r>
              <w:rPr>
                <w:rFonts w:hint="eastAsia" w:ascii="宋体" w:hAnsi="宋体" w:eastAsia="宋体" w:cs="Times New Roman"/>
                <w:kern w:val="0"/>
                <w:szCs w:val="21"/>
              </w:rPr>
              <w:t>了解意志的品质及意志与认知、情感过程的关系，意志行动的具体表现和阶段，理解意志的概念和特征</w:t>
            </w:r>
          </w:p>
          <w:p w14:paraId="1F237093">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2.掌握小学儿童意志发展特点，懂得小学意志力培养的方法</w:t>
            </w:r>
          </w:p>
        </w:tc>
        <w:tc>
          <w:tcPr>
            <w:tcW w:w="1560" w:type="dxa"/>
            <w:vAlign w:val="center"/>
          </w:tcPr>
          <w:p w14:paraId="2DA2737F">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4C359C8A">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3FC325F6">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3C942150">
            <w:pPr>
              <w:jc w:val="center"/>
              <w:rPr>
                <w:rFonts w:hint="eastAsia" w:ascii="宋体" w:hAnsi="宋体" w:eastAsia="宋体" w:cs="Times New Roman"/>
                <w:kern w:val="0"/>
                <w:szCs w:val="21"/>
              </w:rPr>
            </w:pPr>
            <w:r>
              <w:rPr>
                <w:rFonts w:hint="eastAsia" w:ascii="宋体" w:hAnsi="宋体" w:eastAsia="宋体" w:cs="Times New Roman"/>
                <w:kern w:val="0"/>
                <w:szCs w:val="21"/>
              </w:rPr>
              <w:t>1</w:t>
            </w:r>
          </w:p>
        </w:tc>
      </w:tr>
      <w:tr w14:paraId="68C90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2F14318C">
            <w:pPr>
              <w:jc w:val="center"/>
              <w:rPr>
                <w:rFonts w:hint="eastAsia" w:ascii="宋体" w:hAnsi="宋体" w:eastAsia="宋体" w:cs="Times New Roman"/>
                <w:kern w:val="0"/>
                <w:szCs w:val="21"/>
              </w:rPr>
            </w:pPr>
          </w:p>
        </w:tc>
        <w:tc>
          <w:tcPr>
            <w:tcW w:w="8096" w:type="dxa"/>
            <w:gridSpan w:val="6"/>
            <w:vAlign w:val="center"/>
          </w:tcPr>
          <w:p w14:paraId="34BD99FB">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形成科学的儿童注意的发展观，对学生发展的个别差异和特点有所了解，初步学习因人而异的教育理念，为大国良师打下基础。</w:t>
            </w:r>
          </w:p>
        </w:tc>
      </w:tr>
      <w:tr w14:paraId="4856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04520EAF">
            <w:pPr>
              <w:jc w:val="center"/>
              <w:rPr>
                <w:rFonts w:hint="eastAsia" w:ascii="宋体" w:hAnsi="宋体" w:eastAsia="宋体" w:cs="Times New Roman"/>
                <w:kern w:val="0"/>
                <w:szCs w:val="21"/>
              </w:rPr>
            </w:pPr>
            <w:r>
              <w:rPr>
                <w:rFonts w:hint="eastAsia" w:ascii="宋体" w:hAnsi="宋体" w:eastAsia="宋体" w:cs="Times New Roman"/>
                <w:kern w:val="0"/>
                <w:szCs w:val="21"/>
              </w:rPr>
              <w:t>10.小学儿童的个性倾向性</w:t>
            </w:r>
          </w:p>
        </w:tc>
        <w:tc>
          <w:tcPr>
            <w:tcW w:w="1769" w:type="dxa"/>
            <w:vAlign w:val="center"/>
          </w:tcPr>
          <w:p w14:paraId="5B09F736">
            <w:pPr>
              <w:jc w:val="left"/>
              <w:rPr>
                <w:rFonts w:hint="eastAsia" w:ascii="宋体" w:hAnsi="宋体" w:eastAsia="宋体" w:cs="Times New Roman"/>
                <w:kern w:val="0"/>
                <w:szCs w:val="21"/>
              </w:rPr>
            </w:pPr>
            <w:r>
              <w:rPr>
                <w:rFonts w:hint="eastAsia" w:ascii="宋体" w:hAnsi="宋体" w:eastAsia="宋体" w:cs="Times New Roman"/>
                <w:kern w:val="0"/>
                <w:szCs w:val="21"/>
              </w:rPr>
              <w:t>1．个性概述</w:t>
            </w:r>
          </w:p>
          <w:p w14:paraId="285DAFD4">
            <w:pPr>
              <w:jc w:val="left"/>
              <w:rPr>
                <w:rFonts w:hint="eastAsia" w:ascii="宋体" w:hAnsi="宋体" w:eastAsia="宋体" w:cs="Times New Roman"/>
                <w:kern w:val="0"/>
                <w:szCs w:val="21"/>
              </w:rPr>
            </w:pPr>
            <w:r>
              <w:rPr>
                <w:rFonts w:hint="eastAsia" w:ascii="宋体" w:hAnsi="宋体" w:eastAsia="宋体" w:cs="Times New Roman"/>
                <w:kern w:val="0"/>
                <w:szCs w:val="21"/>
              </w:rPr>
              <w:t>2.小学儿童的需要</w:t>
            </w:r>
          </w:p>
          <w:p w14:paraId="2D2F305C">
            <w:pPr>
              <w:jc w:val="left"/>
              <w:rPr>
                <w:rFonts w:hint="eastAsia" w:ascii="宋体" w:hAnsi="宋体" w:eastAsia="宋体" w:cs="Times New Roman"/>
                <w:kern w:val="0"/>
                <w:szCs w:val="21"/>
              </w:rPr>
            </w:pPr>
            <w:r>
              <w:rPr>
                <w:rFonts w:hint="eastAsia" w:ascii="宋体" w:hAnsi="宋体" w:eastAsia="宋体" w:cs="Times New Roman"/>
                <w:kern w:val="0"/>
                <w:szCs w:val="21"/>
              </w:rPr>
              <w:t>3.小学儿童的兴趣</w:t>
            </w:r>
          </w:p>
        </w:tc>
        <w:tc>
          <w:tcPr>
            <w:tcW w:w="1068" w:type="dxa"/>
            <w:gridSpan w:val="2"/>
            <w:vAlign w:val="center"/>
          </w:tcPr>
          <w:p w14:paraId="065EF2D2">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w:t>
            </w:r>
          </w:p>
          <w:p w14:paraId="03961B04">
            <w:pPr>
              <w:jc w:val="center"/>
              <w:rPr>
                <w:rFonts w:hint="eastAsia" w:ascii="宋体" w:hAnsi="宋体" w:eastAsia="宋体" w:cs="Times New Roman"/>
                <w:kern w:val="0"/>
                <w:szCs w:val="21"/>
              </w:rPr>
            </w:pPr>
          </w:p>
        </w:tc>
        <w:tc>
          <w:tcPr>
            <w:tcW w:w="3261" w:type="dxa"/>
            <w:vAlign w:val="center"/>
          </w:tcPr>
          <w:p w14:paraId="309708D3">
            <w:pPr>
              <w:jc w:val="left"/>
              <w:rPr>
                <w:rFonts w:hint="eastAsia" w:ascii="宋体" w:hAnsi="宋体" w:eastAsia="宋体" w:cs="Times New Roman"/>
                <w:kern w:val="0"/>
                <w:szCs w:val="21"/>
              </w:rPr>
            </w:pPr>
            <w:r>
              <w:rPr>
                <w:rFonts w:hint="eastAsia" w:ascii="宋体" w:hAnsi="宋体" w:eastAsia="宋体" w:cs="Times New Roman"/>
                <w:kern w:val="0"/>
                <w:szCs w:val="21"/>
              </w:rPr>
              <w:t>1.</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了解兴趣的作用、分类和品质，理解个性、需要和兴趣的概念及基本特征</w:t>
            </w:r>
          </w:p>
          <w:p w14:paraId="2D3A4C1D">
            <w:pPr>
              <w:jc w:val="left"/>
              <w:rPr>
                <w:rFonts w:hint="eastAsia" w:ascii="宋体" w:hAnsi="宋体" w:eastAsia="宋体" w:cs="Times New Roman"/>
                <w:kern w:val="0"/>
                <w:szCs w:val="21"/>
              </w:rPr>
            </w:pPr>
            <w:r>
              <w:rPr>
                <w:rFonts w:hint="eastAsia" w:ascii="宋体" w:hAnsi="宋体" w:eastAsia="宋体" w:cs="Times New Roman"/>
                <w:kern w:val="0"/>
                <w:szCs w:val="21"/>
              </w:rPr>
              <w:t>2.掌握小学儿童需要和兴趣的发展特点</w:t>
            </w:r>
          </w:p>
          <w:p w14:paraId="3086B6A0">
            <w:pPr>
              <w:jc w:val="left"/>
              <w:rPr>
                <w:rFonts w:hint="eastAsia" w:ascii="宋体" w:hAnsi="宋体" w:eastAsia="宋体" w:cs="Times New Roman"/>
                <w:kern w:val="0"/>
                <w:szCs w:val="21"/>
              </w:rPr>
            </w:pPr>
            <w:r>
              <w:rPr>
                <w:rFonts w:hint="eastAsia" w:ascii="宋体" w:hAnsi="宋体" w:eastAsia="宋体" w:cs="Times New Roman"/>
                <w:kern w:val="0"/>
                <w:szCs w:val="21"/>
              </w:rPr>
              <w:t>3.懂得正确引导小学儿童的需要，学会小学儿童兴趣的培养方法</w:t>
            </w:r>
            <w:r>
              <w:rPr>
                <w:rFonts w:ascii="宋体" w:hAnsi="宋体" w:eastAsia="宋体" w:cs="Times New Roman"/>
                <w:kern w:val="0"/>
                <w:szCs w:val="21"/>
              </w:rPr>
              <w:t xml:space="preserve"> </w:t>
            </w:r>
          </w:p>
        </w:tc>
        <w:tc>
          <w:tcPr>
            <w:tcW w:w="1560" w:type="dxa"/>
            <w:vAlign w:val="center"/>
          </w:tcPr>
          <w:p w14:paraId="3B18D38B">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427856E9">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1DAAF333">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4240BB1A">
            <w:pPr>
              <w:jc w:val="center"/>
              <w:rPr>
                <w:rFonts w:hint="eastAsia" w:ascii="宋体" w:hAnsi="宋体" w:eastAsia="宋体" w:cs="Times New Roman"/>
                <w:kern w:val="0"/>
                <w:szCs w:val="21"/>
              </w:rPr>
            </w:pPr>
            <w:r>
              <w:rPr>
                <w:rFonts w:hint="eastAsia" w:ascii="宋体" w:hAnsi="宋体" w:eastAsia="宋体" w:cs="Times New Roman"/>
                <w:kern w:val="0"/>
                <w:szCs w:val="21"/>
              </w:rPr>
              <w:t>6</w:t>
            </w:r>
          </w:p>
        </w:tc>
      </w:tr>
      <w:tr w14:paraId="654B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3FD93EA8">
            <w:pPr>
              <w:jc w:val="center"/>
              <w:rPr>
                <w:rFonts w:hint="eastAsia" w:ascii="宋体" w:hAnsi="宋体" w:eastAsia="宋体" w:cs="Times New Roman"/>
                <w:kern w:val="0"/>
                <w:szCs w:val="21"/>
              </w:rPr>
            </w:pPr>
          </w:p>
        </w:tc>
        <w:tc>
          <w:tcPr>
            <w:tcW w:w="8096" w:type="dxa"/>
            <w:gridSpan w:val="6"/>
            <w:vAlign w:val="center"/>
          </w:tcPr>
          <w:p w14:paraId="0C459AA9">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形成科学的儿童注意的发展观，对学生发展的个别差异和特点有所了解，初步形成全人教育理念，为大国良师打下基础。</w:t>
            </w:r>
          </w:p>
        </w:tc>
      </w:tr>
      <w:tr w14:paraId="6709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096DE6D9">
            <w:pPr>
              <w:jc w:val="center"/>
              <w:rPr>
                <w:rFonts w:hint="eastAsia" w:ascii="宋体" w:hAnsi="宋体" w:eastAsia="宋体" w:cs="Times New Roman"/>
                <w:kern w:val="0"/>
                <w:szCs w:val="21"/>
              </w:rPr>
            </w:pPr>
            <w:r>
              <w:rPr>
                <w:rFonts w:hint="eastAsia" w:ascii="宋体" w:hAnsi="宋体" w:eastAsia="宋体" w:cs="Times New Roman"/>
                <w:kern w:val="0"/>
                <w:szCs w:val="21"/>
              </w:rPr>
              <w:t>11.小学儿童的气质与性格</w:t>
            </w:r>
          </w:p>
        </w:tc>
        <w:tc>
          <w:tcPr>
            <w:tcW w:w="1769" w:type="dxa"/>
            <w:vAlign w:val="center"/>
          </w:tcPr>
          <w:p w14:paraId="583DD943">
            <w:pPr>
              <w:jc w:val="left"/>
              <w:rPr>
                <w:rFonts w:hint="eastAsia" w:ascii="宋体" w:hAnsi="宋体" w:eastAsia="宋体" w:cs="Times New Roman"/>
                <w:bCs/>
                <w:kern w:val="0"/>
                <w:szCs w:val="21"/>
              </w:rPr>
            </w:pPr>
            <w:r>
              <w:rPr>
                <w:rFonts w:hint="eastAsia" w:ascii="宋体" w:hAnsi="宋体" w:eastAsia="宋体" w:cs="Times New Roman"/>
                <w:bCs/>
                <w:kern w:val="0"/>
                <w:szCs w:val="21"/>
              </w:rPr>
              <w:t>1.气质与性格概述</w:t>
            </w:r>
          </w:p>
          <w:p w14:paraId="57C4D5A7">
            <w:pPr>
              <w:jc w:val="left"/>
              <w:rPr>
                <w:rFonts w:hint="eastAsia" w:ascii="宋体" w:hAnsi="宋体" w:eastAsia="宋体" w:cs="Times New Roman"/>
                <w:b/>
                <w:kern w:val="0"/>
                <w:szCs w:val="21"/>
              </w:rPr>
            </w:pPr>
            <w:r>
              <w:rPr>
                <w:rFonts w:hint="eastAsia" w:ascii="宋体" w:hAnsi="宋体" w:eastAsia="宋体" w:cs="Times New Roman"/>
                <w:bCs/>
                <w:kern w:val="0"/>
                <w:szCs w:val="21"/>
              </w:rPr>
              <w:t>2.小学儿童的气质与性格</w:t>
            </w:r>
          </w:p>
        </w:tc>
        <w:tc>
          <w:tcPr>
            <w:tcW w:w="1050" w:type="dxa"/>
            <w:vAlign w:val="center"/>
          </w:tcPr>
          <w:p w14:paraId="35453A3D">
            <w:pPr>
              <w:rPr>
                <w:rFonts w:hint="eastAsia" w:ascii="宋体" w:hAnsi="宋体" w:eastAsia="宋体" w:cs="Times New Roman"/>
                <w:b/>
                <w:kern w:val="0"/>
                <w:szCs w:val="21"/>
              </w:rPr>
            </w:pPr>
            <w:r>
              <w:rPr>
                <w:rFonts w:hint="eastAsia" w:ascii="宋体" w:hAnsi="宋体" w:eastAsia="宋体" w:cs="Times New Roman"/>
                <w:kern w:val="0"/>
                <w:szCs w:val="21"/>
              </w:rPr>
              <w:t>课程目标2、3</w:t>
            </w:r>
          </w:p>
        </w:tc>
        <w:tc>
          <w:tcPr>
            <w:tcW w:w="3279" w:type="dxa"/>
            <w:gridSpan w:val="2"/>
            <w:vAlign w:val="center"/>
          </w:tcPr>
          <w:p w14:paraId="3BD81672">
            <w:pPr>
              <w:jc w:val="left"/>
              <w:rPr>
                <w:rFonts w:hint="eastAsia" w:ascii="宋体" w:hAnsi="宋体" w:eastAsia="宋体" w:cs="Times New Roman"/>
                <w:bCs/>
                <w:kern w:val="0"/>
                <w:szCs w:val="21"/>
              </w:rPr>
            </w:pPr>
            <w:r>
              <w:rPr>
                <w:rFonts w:hint="eastAsia" w:ascii="宋体" w:hAnsi="宋体" w:eastAsia="宋体" w:cs="Times New Roman"/>
                <w:bCs/>
                <w:kern w:val="0"/>
                <w:szCs w:val="21"/>
              </w:rPr>
              <w:t>1.了解气质的类型与气质研究对实践活动的意义，性格和气质的关系；理解气质和性格的概念，性格的结构，理解高级神经活动活动类型与气质的关系</w:t>
            </w:r>
          </w:p>
          <w:p w14:paraId="6BE1D68C">
            <w:pPr>
              <w:jc w:val="left"/>
              <w:rPr>
                <w:rFonts w:hint="eastAsia" w:ascii="宋体" w:hAnsi="宋体" w:eastAsia="宋体" w:cs="Times New Roman"/>
                <w:bCs/>
                <w:kern w:val="0"/>
                <w:szCs w:val="21"/>
              </w:rPr>
            </w:pPr>
            <w:r>
              <w:rPr>
                <w:rFonts w:hint="eastAsia" w:ascii="宋体" w:hAnsi="宋体" w:eastAsia="宋体" w:cs="Times New Roman"/>
                <w:bCs/>
                <w:kern w:val="0"/>
                <w:szCs w:val="21"/>
              </w:rPr>
              <w:t>2.掌握小学儿童气质和性格的特点</w:t>
            </w:r>
          </w:p>
          <w:p w14:paraId="51F0AF78">
            <w:pPr>
              <w:jc w:val="left"/>
              <w:rPr>
                <w:rFonts w:hint="eastAsia" w:ascii="宋体" w:hAnsi="宋体" w:eastAsia="宋体" w:cs="Times New Roman"/>
                <w:b/>
                <w:kern w:val="0"/>
                <w:szCs w:val="21"/>
              </w:rPr>
            </w:pPr>
            <w:r>
              <w:rPr>
                <w:rFonts w:hint="eastAsia" w:ascii="宋体" w:hAnsi="宋体" w:eastAsia="宋体" w:cs="Times New Roman"/>
                <w:bCs/>
                <w:kern w:val="0"/>
                <w:szCs w:val="21"/>
              </w:rPr>
              <w:t>3.能根据学生的气质特点和规律开展教育活动，懂得小学儿童性格的培养</w:t>
            </w:r>
          </w:p>
        </w:tc>
        <w:tc>
          <w:tcPr>
            <w:tcW w:w="1560" w:type="dxa"/>
            <w:vAlign w:val="center"/>
          </w:tcPr>
          <w:p w14:paraId="19887D1E">
            <w:pPr>
              <w:jc w:val="left"/>
              <w:rPr>
                <w:rFonts w:hint="eastAsia" w:ascii="宋体" w:hAnsi="宋体" w:eastAsia="宋体" w:cs="Times New Roman"/>
                <w:bCs/>
                <w:kern w:val="0"/>
                <w:szCs w:val="21"/>
              </w:rPr>
            </w:pPr>
            <w:r>
              <w:rPr>
                <w:rFonts w:hint="eastAsia" w:ascii="宋体" w:hAnsi="宋体" w:eastAsia="宋体" w:cs="Times New Roman"/>
                <w:bCs/>
                <w:kern w:val="0"/>
                <w:szCs w:val="21"/>
              </w:rPr>
              <w:t>1.线上学习</w:t>
            </w:r>
          </w:p>
          <w:p w14:paraId="2434984E">
            <w:pPr>
              <w:jc w:val="left"/>
              <w:rPr>
                <w:rFonts w:hint="eastAsia" w:ascii="宋体" w:hAnsi="宋体" w:eastAsia="宋体" w:cs="Times New Roman"/>
                <w:bCs/>
                <w:kern w:val="0"/>
                <w:szCs w:val="21"/>
              </w:rPr>
            </w:pPr>
            <w:r>
              <w:rPr>
                <w:rFonts w:hint="eastAsia" w:ascii="宋体" w:hAnsi="宋体" w:eastAsia="宋体" w:cs="Times New Roman"/>
                <w:bCs/>
                <w:kern w:val="0"/>
                <w:szCs w:val="21"/>
              </w:rPr>
              <w:t>2.多媒体教学3.课堂讨论</w:t>
            </w:r>
          </w:p>
          <w:p w14:paraId="10C3A8DA">
            <w:pPr>
              <w:jc w:val="left"/>
              <w:rPr>
                <w:rFonts w:hint="eastAsia" w:ascii="宋体" w:hAnsi="宋体" w:eastAsia="宋体" w:cs="Times New Roman"/>
                <w:bCs/>
                <w:kern w:val="0"/>
                <w:szCs w:val="21"/>
              </w:rPr>
            </w:pPr>
            <w:r>
              <w:rPr>
                <w:rFonts w:hint="eastAsia" w:ascii="宋体" w:hAnsi="宋体" w:eastAsia="宋体" w:cs="Times New Roman"/>
                <w:bCs/>
                <w:kern w:val="0"/>
                <w:szCs w:val="21"/>
              </w:rPr>
              <w:t>4.单元测验</w:t>
            </w:r>
          </w:p>
          <w:p w14:paraId="3D3175BB">
            <w:pPr>
              <w:jc w:val="left"/>
              <w:rPr>
                <w:rFonts w:hint="eastAsia" w:ascii="宋体" w:hAnsi="宋体" w:eastAsia="宋体" w:cs="Times New Roman"/>
                <w:bCs/>
                <w:kern w:val="0"/>
                <w:szCs w:val="21"/>
              </w:rPr>
            </w:pPr>
            <w:r>
              <w:rPr>
                <w:rFonts w:hint="eastAsia" w:ascii="宋体" w:hAnsi="宋体" w:eastAsia="宋体" w:cs="Times New Roman"/>
                <w:bCs/>
                <w:kern w:val="0"/>
                <w:szCs w:val="21"/>
              </w:rPr>
              <w:t>5.16PF人格测验</w:t>
            </w:r>
          </w:p>
          <w:p w14:paraId="2D7E6C2A">
            <w:pPr>
              <w:jc w:val="left"/>
              <w:rPr>
                <w:rFonts w:hint="eastAsia" w:ascii="宋体" w:hAnsi="宋体" w:eastAsia="宋体" w:cs="Times New Roman"/>
                <w:b/>
                <w:kern w:val="0"/>
                <w:szCs w:val="21"/>
              </w:rPr>
            </w:pPr>
            <w:r>
              <w:rPr>
                <w:rFonts w:hint="eastAsia" w:ascii="宋体" w:hAnsi="宋体" w:eastAsia="宋体" w:cs="Times New Roman"/>
                <w:bCs/>
                <w:kern w:val="0"/>
                <w:szCs w:val="21"/>
              </w:rPr>
              <w:t>6.气质测验</w:t>
            </w:r>
          </w:p>
        </w:tc>
        <w:tc>
          <w:tcPr>
            <w:tcW w:w="438" w:type="dxa"/>
            <w:vAlign w:val="center"/>
          </w:tcPr>
          <w:p w14:paraId="660849F1">
            <w:pPr>
              <w:jc w:val="left"/>
              <w:rPr>
                <w:rFonts w:hint="eastAsia" w:ascii="宋体" w:hAnsi="宋体" w:eastAsia="宋体" w:cs="Times New Roman"/>
                <w:b/>
                <w:kern w:val="0"/>
                <w:szCs w:val="21"/>
              </w:rPr>
            </w:pPr>
            <w:r>
              <w:rPr>
                <w:rFonts w:hint="eastAsia" w:ascii="宋体" w:hAnsi="宋体" w:eastAsia="宋体" w:cs="Times New Roman"/>
                <w:b/>
                <w:kern w:val="0"/>
                <w:szCs w:val="21"/>
              </w:rPr>
              <w:t>6</w:t>
            </w:r>
          </w:p>
        </w:tc>
      </w:tr>
      <w:tr w14:paraId="53B8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75C16E49">
            <w:pPr>
              <w:jc w:val="center"/>
              <w:rPr>
                <w:rFonts w:hint="eastAsia" w:ascii="宋体" w:hAnsi="宋体" w:eastAsia="宋体" w:cs="Times New Roman"/>
                <w:kern w:val="0"/>
                <w:szCs w:val="21"/>
              </w:rPr>
            </w:pPr>
          </w:p>
        </w:tc>
        <w:tc>
          <w:tcPr>
            <w:tcW w:w="8096" w:type="dxa"/>
            <w:gridSpan w:val="6"/>
            <w:vAlign w:val="center"/>
          </w:tcPr>
          <w:p w14:paraId="18B0DA70">
            <w:pPr>
              <w:jc w:val="left"/>
              <w:rPr>
                <w:rFonts w:hint="eastAsia" w:ascii="宋体" w:hAnsi="宋体" w:eastAsia="宋体" w:cs="Times New Roman"/>
                <w:b/>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形成科学的儿童注意的发展观，对学生发展的个别差异和特点有所了解，初步形成全人教育理念，为大国良师打下基础。</w:t>
            </w:r>
          </w:p>
        </w:tc>
      </w:tr>
      <w:tr w14:paraId="3E09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6EFE52ED">
            <w:pPr>
              <w:jc w:val="center"/>
              <w:rPr>
                <w:rFonts w:hint="eastAsia" w:ascii="宋体" w:hAnsi="宋体" w:eastAsia="宋体" w:cs="Times New Roman"/>
                <w:kern w:val="0"/>
                <w:szCs w:val="21"/>
              </w:rPr>
            </w:pPr>
            <w:r>
              <w:rPr>
                <w:rFonts w:hint="eastAsia" w:ascii="宋体" w:hAnsi="宋体" w:eastAsia="宋体" w:cs="Times New Roman"/>
                <w:kern w:val="0"/>
                <w:szCs w:val="21"/>
              </w:rPr>
              <w:t>13.小学儿童的能力</w:t>
            </w:r>
          </w:p>
        </w:tc>
        <w:tc>
          <w:tcPr>
            <w:tcW w:w="1769" w:type="dxa"/>
            <w:vAlign w:val="center"/>
          </w:tcPr>
          <w:p w14:paraId="2DC04DDA">
            <w:pPr>
              <w:jc w:val="left"/>
              <w:rPr>
                <w:rFonts w:hint="eastAsia" w:ascii="宋体" w:hAnsi="宋体" w:eastAsia="宋体" w:cs="Times New Roman"/>
                <w:bCs/>
                <w:kern w:val="0"/>
                <w:szCs w:val="21"/>
              </w:rPr>
            </w:pPr>
            <w:r>
              <w:rPr>
                <w:rFonts w:hint="eastAsia" w:ascii="宋体" w:hAnsi="宋体" w:eastAsia="宋体" w:cs="Times New Roman"/>
                <w:bCs/>
                <w:kern w:val="0"/>
                <w:szCs w:val="21"/>
              </w:rPr>
              <w:t>1.能力的概述</w:t>
            </w:r>
          </w:p>
          <w:p w14:paraId="4577727F">
            <w:pPr>
              <w:jc w:val="left"/>
              <w:rPr>
                <w:rFonts w:hint="eastAsia" w:ascii="宋体" w:hAnsi="宋体" w:eastAsia="宋体" w:cs="Times New Roman"/>
                <w:b/>
                <w:kern w:val="0"/>
                <w:szCs w:val="21"/>
              </w:rPr>
            </w:pPr>
            <w:r>
              <w:rPr>
                <w:rFonts w:hint="eastAsia" w:ascii="宋体" w:hAnsi="宋体" w:eastAsia="宋体" w:cs="Times New Roman"/>
                <w:bCs/>
                <w:kern w:val="0"/>
                <w:szCs w:val="21"/>
              </w:rPr>
              <w:t>2.小学儿童的能力</w:t>
            </w:r>
          </w:p>
        </w:tc>
        <w:tc>
          <w:tcPr>
            <w:tcW w:w="1050" w:type="dxa"/>
            <w:vAlign w:val="center"/>
          </w:tcPr>
          <w:p w14:paraId="127044DC">
            <w:pPr>
              <w:jc w:val="left"/>
              <w:rPr>
                <w:rFonts w:hint="eastAsia" w:ascii="宋体" w:hAnsi="宋体" w:eastAsia="宋体" w:cs="Times New Roman"/>
                <w:b/>
                <w:kern w:val="0"/>
                <w:szCs w:val="21"/>
              </w:rPr>
            </w:pPr>
            <w:r>
              <w:rPr>
                <w:rFonts w:hint="eastAsia" w:ascii="宋体" w:hAnsi="宋体" w:eastAsia="宋体" w:cs="Times New Roman"/>
                <w:kern w:val="0"/>
                <w:szCs w:val="21"/>
              </w:rPr>
              <w:t>课程目标2、3</w:t>
            </w:r>
          </w:p>
        </w:tc>
        <w:tc>
          <w:tcPr>
            <w:tcW w:w="3279" w:type="dxa"/>
            <w:gridSpan w:val="2"/>
            <w:vAlign w:val="center"/>
          </w:tcPr>
          <w:p w14:paraId="780E73C6">
            <w:pPr>
              <w:jc w:val="left"/>
              <w:rPr>
                <w:rFonts w:hint="eastAsia" w:ascii="宋体" w:hAnsi="宋体" w:eastAsia="宋体" w:cs="Times New Roman"/>
                <w:bCs/>
                <w:kern w:val="0"/>
                <w:szCs w:val="21"/>
              </w:rPr>
            </w:pPr>
            <w:r>
              <w:rPr>
                <w:rFonts w:hint="eastAsia" w:ascii="宋体" w:hAnsi="宋体" w:eastAsia="宋体" w:cs="Times New Roman"/>
                <w:bCs/>
                <w:kern w:val="0"/>
                <w:szCs w:val="21"/>
              </w:rPr>
              <w:t>1.了解能力的分类，理解能力的概念及能力的个别差异，掌握能力发展的影响因素，知道小学生智力发展的特点</w:t>
            </w:r>
          </w:p>
          <w:p w14:paraId="5D7C7A8C">
            <w:pPr>
              <w:jc w:val="left"/>
              <w:rPr>
                <w:rFonts w:hint="eastAsia" w:ascii="宋体" w:hAnsi="宋体" w:eastAsia="宋体" w:cs="Times New Roman"/>
                <w:b/>
                <w:kern w:val="0"/>
                <w:szCs w:val="21"/>
              </w:rPr>
            </w:pPr>
            <w:r>
              <w:rPr>
                <w:rFonts w:hint="eastAsia" w:ascii="宋体" w:hAnsi="宋体" w:eastAsia="宋体" w:cs="Times New Roman"/>
                <w:bCs/>
                <w:kern w:val="0"/>
                <w:szCs w:val="21"/>
              </w:rPr>
              <w:t>2.学会在教育教学中运用科学的方法培养小学儿童的能力</w:t>
            </w:r>
          </w:p>
        </w:tc>
        <w:tc>
          <w:tcPr>
            <w:tcW w:w="1560" w:type="dxa"/>
            <w:vAlign w:val="center"/>
          </w:tcPr>
          <w:p w14:paraId="0B764460">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5329BF7C">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03A3E320">
            <w:pPr>
              <w:jc w:val="left"/>
              <w:rPr>
                <w:rFonts w:hint="eastAsia" w:ascii="宋体" w:hAnsi="宋体" w:eastAsia="宋体" w:cs="Times New Roman"/>
                <w:b/>
                <w:kern w:val="0"/>
                <w:szCs w:val="21"/>
              </w:rPr>
            </w:pPr>
            <w:r>
              <w:rPr>
                <w:rFonts w:ascii="宋体" w:hAnsi="宋体" w:eastAsia="宋体" w:cs="Times New Roman"/>
                <w:kern w:val="0"/>
                <w:szCs w:val="21"/>
              </w:rPr>
              <w:t>4.单元测验</w:t>
            </w:r>
          </w:p>
        </w:tc>
        <w:tc>
          <w:tcPr>
            <w:tcW w:w="438" w:type="dxa"/>
            <w:vAlign w:val="center"/>
          </w:tcPr>
          <w:p w14:paraId="414CE564">
            <w:pPr>
              <w:jc w:val="left"/>
              <w:rPr>
                <w:rFonts w:hint="eastAsia" w:ascii="宋体" w:hAnsi="宋体" w:eastAsia="宋体" w:cs="Times New Roman"/>
                <w:b/>
                <w:kern w:val="0"/>
                <w:szCs w:val="21"/>
              </w:rPr>
            </w:pPr>
            <w:r>
              <w:rPr>
                <w:rFonts w:hint="eastAsia" w:ascii="宋体" w:hAnsi="宋体" w:eastAsia="宋体" w:cs="Times New Roman"/>
                <w:b/>
                <w:kern w:val="0"/>
                <w:szCs w:val="21"/>
              </w:rPr>
              <w:t>6</w:t>
            </w:r>
          </w:p>
        </w:tc>
      </w:tr>
      <w:tr w14:paraId="6152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7D02BBAB">
            <w:pPr>
              <w:jc w:val="center"/>
              <w:rPr>
                <w:rFonts w:hint="eastAsia" w:ascii="宋体" w:hAnsi="宋体" w:eastAsia="宋体" w:cs="Times New Roman"/>
                <w:kern w:val="0"/>
                <w:szCs w:val="21"/>
              </w:rPr>
            </w:pPr>
          </w:p>
        </w:tc>
        <w:tc>
          <w:tcPr>
            <w:tcW w:w="8096" w:type="dxa"/>
            <w:gridSpan w:val="6"/>
            <w:vAlign w:val="center"/>
          </w:tcPr>
          <w:p w14:paraId="6CE67CE3">
            <w:pPr>
              <w:jc w:val="left"/>
              <w:rPr>
                <w:rFonts w:hint="eastAsia" w:ascii="宋体" w:hAnsi="宋体" w:eastAsia="宋体" w:cs="Times New Roman"/>
                <w:b/>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形成科学的儿童注意的发展观，对学生发展的个别差异和特点有所了解，初步形成全人教育理念，为大国良师打下坚实基础。</w:t>
            </w:r>
          </w:p>
        </w:tc>
      </w:tr>
      <w:tr w14:paraId="44D09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restart"/>
            <w:vAlign w:val="center"/>
          </w:tcPr>
          <w:p w14:paraId="24F17AE3">
            <w:pPr>
              <w:jc w:val="center"/>
              <w:rPr>
                <w:rFonts w:hint="eastAsia" w:ascii="宋体" w:hAnsi="宋体" w:eastAsia="宋体" w:cs="Times New Roman"/>
                <w:kern w:val="0"/>
                <w:szCs w:val="21"/>
              </w:rPr>
            </w:pPr>
            <w:r>
              <w:rPr>
                <w:rFonts w:hint="eastAsia" w:ascii="宋体" w:hAnsi="宋体" w:eastAsia="宋体" w:cs="Times New Roman"/>
                <w:kern w:val="0"/>
                <w:szCs w:val="21"/>
              </w:rPr>
              <w:t>14.小学儿童的自我意识</w:t>
            </w:r>
          </w:p>
        </w:tc>
        <w:tc>
          <w:tcPr>
            <w:tcW w:w="1769" w:type="dxa"/>
            <w:vAlign w:val="center"/>
          </w:tcPr>
          <w:p w14:paraId="5F04181A">
            <w:pPr>
              <w:jc w:val="left"/>
              <w:rPr>
                <w:rFonts w:hint="eastAsia" w:ascii="宋体" w:hAnsi="宋体" w:eastAsia="宋体" w:cs="Times New Roman"/>
                <w:bCs/>
                <w:kern w:val="0"/>
                <w:szCs w:val="21"/>
              </w:rPr>
            </w:pPr>
            <w:r>
              <w:rPr>
                <w:rFonts w:hint="eastAsia" w:ascii="宋体" w:hAnsi="宋体" w:eastAsia="宋体" w:cs="Times New Roman"/>
                <w:bCs/>
                <w:kern w:val="0"/>
                <w:szCs w:val="21"/>
              </w:rPr>
              <w:t>1.自我意识概述</w:t>
            </w:r>
          </w:p>
          <w:p w14:paraId="3B1D7BC8">
            <w:pPr>
              <w:jc w:val="left"/>
              <w:rPr>
                <w:rFonts w:hint="eastAsia" w:ascii="宋体" w:hAnsi="宋体" w:eastAsia="宋体" w:cs="Times New Roman"/>
                <w:bCs/>
                <w:kern w:val="0"/>
                <w:szCs w:val="21"/>
              </w:rPr>
            </w:pPr>
            <w:r>
              <w:rPr>
                <w:rFonts w:hint="eastAsia" w:ascii="宋体" w:hAnsi="宋体" w:eastAsia="宋体" w:cs="Times New Roman"/>
                <w:bCs/>
                <w:kern w:val="0"/>
                <w:szCs w:val="21"/>
              </w:rPr>
              <w:t>2.小学儿童的自我意识</w:t>
            </w:r>
          </w:p>
        </w:tc>
        <w:tc>
          <w:tcPr>
            <w:tcW w:w="1050" w:type="dxa"/>
            <w:vAlign w:val="center"/>
          </w:tcPr>
          <w:p w14:paraId="7522756E">
            <w:pPr>
              <w:jc w:val="left"/>
              <w:rPr>
                <w:rFonts w:hint="eastAsia" w:ascii="宋体" w:hAnsi="宋体" w:eastAsia="宋体" w:cs="Times New Roman"/>
                <w:bCs/>
                <w:kern w:val="0"/>
                <w:szCs w:val="21"/>
              </w:rPr>
            </w:pPr>
            <w:r>
              <w:rPr>
                <w:rFonts w:hint="eastAsia" w:ascii="宋体" w:hAnsi="宋体" w:eastAsia="宋体" w:cs="Times New Roman"/>
                <w:bCs/>
                <w:kern w:val="0"/>
                <w:szCs w:val="21"/>
              </w:rPr>
              <w:t>课程目标2、3</w:t>
            </w:r>
          </w:p>
        </w:tc>
        <w:tc>
          <w:tcPr>
            <w:tcW w:w="3279" w:type="dxa"/>
            <w:gridSpan w:val="2"/>
            <w:vAlign w:val="center"/>
          </w:tcPr>
          <w:p w14:paraId="45FFEBA1">
            <w:pPr>
              <w:jc w:val="left"/>
              <w:rPr>
                <w:rFonts w:hint="eastAsia" w:ascii="宋体" w:hAnsi="宋体" w:eastAsia="宋体" w:cs="Times New Roman"/>
                <w:bCs/>
                <w:kern w:val="0"/>
                <w:szCs w:val="21"/>
              </w:rPr>
            </w:pPr>
            <w:r>
              <w:rPr>
                <w:rFonts w:hint="eastAsia" w:ascii="宋体" w:hAnsi="宋体" w:eastAsia="宋体" w:cs="Times New Roman"/>
                <w:bCs/>
                <w:kern w:val="0"/>
                <w:szCs w:val="21"/>
              </w:rPr>
              <w:t>1.了解自我意识的心理结构和作用，理解自我意识的概念</w:t>
            </w:r>
          </w:p>
          <w:p w14:paraId="05FF6445">
            <w:pPr>
              <w:jc w:val="left"/>
              <w:rPr>
                <w:rFonts w:hint="eastAsia" w:ascii="宋体" w:hAnsi="宋体" w:eastAsia="宋体" w:cs="Times New Roman"/>
                <w:bCs/>
                <w:kern w:val="0"/>
                <w:szCs w:val="21"/>
              </w:rPr>
            </w:pPr>
            <w:r>
              <w:rPr>
                <w:rFonts w:hint="eastAsia" w:ascii="宋体" w:hAnsi="宋体" w:eastAsia="宋体" w:cs="Times New Roman"/>
                <w:bCs/>
                <w:kern w:val="0"/>
                <w:szCs w:val="21"/>
              </w:rPr>
              <w:t>2.掌握小学儿童自我意识发展的特点</w:t>
            </w:r>
          </w:p>
          <w:p w14:paraId="31B66A4F">
            <w:pPr>
              <w:jc w:val="left"/>
              <w:rPr>
                <w:rFonts w:hint="eastAsia" w:ascii="宋体" w:hAnsi="宋体" w:eastAsia="宋体" w:cs="Times New Roman"/>
                <w:bCs/>
                <w:kern w:val="0"/>
                <w:szCs w:val="21"/>
              </w:rPr>
            </w:pPr>
            <w:r>
              <w:rPr>
                <w:rFonts w:hint="eastAsia" w:ascii="宋体" w:hAnsi="宋体" w:eastAsia="宋体" w:cs="Times New Roman"/>
                <w:bCs/>
                <w:kern w:val="0"/>
                <w:szCs w:val="21"/>
              </w:rPr>
              <w:t>3.学会灵活运用促进小学儿童自我意识发展策略和方法</w:t>
            </w:r>
          </w:p>
        </w:tc>
        <w:tc>
          <w:tcPr>
            <w:tcW w:w="1560" w:type="dxa"/>
            <w:vAlign w:val="center"/>
          </w:tcPr>
          <w:p w14:paraId="3E1917DD">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63B557D8">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3EF7DC26">
            <w:pPr>
              <w:jc w:val="left"/>
              <w:rPr>
                <w:rFonts w:hint="eastAsia" w:ascii="宋体" w:hAnsi="宋体" w:eastAsia="宋体" w:cs="Times New Roman"/>
                <w:b/>
                <w:kern w:val="0"/>
                <w:szCs w:val="21"/>
              </w:rPr>
            </w:pPr>
            <w:r>
              <w:rPr>
                <w:rFonts w:ascii="宋体" w:hAnsi="宋体" w:eastAsia="宋体" w:cs="Times New Roman"/>
                <w:kern w:val="0"/>
                <w:szCs w:val="21"/>
              </w:rPr>
              <w:t>4.单元测验</w:t>
            </w:r>
          </w:p>
        </w:tc>
        <w:tc>
          <w:tcPr>
            <w:tcW w:w="438" w:type="dxa"/>
            <w:vAlign w:val="center"/>
          </w:tcPr>
          <w:p w14:paraId="45C5801C">
            <w:pPr>
              <w:jc w:val="left"/>
              <w:rPr>
                <w:rFonts w:hint="eastAsia" w:ascii="宋体" w:hAnsi="宋体" w:eastAsia="宋体" w:cs="Times New Roman"/>
                <w:b/>
                <w:kern w:val="0"/>
                <w:szCs w:val="21"/>
              </w:rPr>
            </w:pPr>
            <w:r>
              <w:rPr>
                <w:rFonts w:hint="eastAsia" w:ascii="宋体" w:hAnsi="宋体" w:eastAsia="宋体" w:cs="Times New Roman"/>
                <w:b/>
                <w:kern w:val="0"/>
                <w:szCs w:val="21"/>
              </w:rPr>
              <w:t>3</w:t>
            </w:r>
          </w:p>
        </w:tc>
      </w:tr>
      <w:tr w14:paraId="35CD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2" w:type="dxa"/>
            <w:vMerge w:val="continue"/>
            <w:vAlign w:val="center"/>
          </w:tcPr>
          <w:p w14:paraId="11640C13">
            <w:pPr>
              <w:jc w:val="center"/>
              <w:rPr>
                <w:rFonts w:hint="eastAsia" w:ascii="宋体" w:hAnsi="宋体" w:eastAsia="宋体" w:cs="Times New Roman"/>
                <w:kern w:val="0"/>
                <w:szCs w:val="21"/>
              </w:rPr>
            </w:pPr>
          </w:p>
        </w:tc>
        <w:tc>
          <w:tcPr>
            <w:tcW w:w="8096" w:type="dxa"/>
            <w:gridSpan w:val="6"/>
            <w:vAlign w:val="center"/>
          </w:tcPr>
          <w:p w14:paraId="462FE0BC">
            <w:pPr>
              <w:jc w:val="left"/>
              <w:rPr>
                <w:rFonts w:hint="eastAsia" w:ascii="宋体" w:hAnsi="宋体" w:eastAsia="宋体" w:cs="Times New Roman"/>
                <w:b/>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形成科学的儿童注意的发展观，对学生发展的个别差异和特点有所了解，形成尊重学生主观能动性和主体性的教育理念，为大国良师打下坚实基础。</w:t>
            </w:r>
          </w:p>
        </w:tc>
      </w:tr>
    </w:tbl>
    <w:p w14:paraId="25526D30">
      <w:pPr>
        <w:spacing w:before="62" w:beforeLines="20" w:after="62" w:afterLines="20"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四、目标评价与成绩评定</w:t>
      </w:r>
    </w:p>
    <w:p w14:paraId="663398C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47A3D4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016"/>
        <w:gridCol w:w="1016"/>
        <w:gridCol w:w="1016"/>
        <w:gridCol w:w="1016"/>
        <w:gridCol w:w="1016"/>
        <w:gridCol w:w="1087"/>
      </w:tblGrid>
      <w:tr w14:paraId="51F33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Merge w:val="restart"/>
            <w:vAlign w:val="center"/>
          </w:tcPr>
          <w:p w14:paraId="408CAA5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5080" w:type="dxa"/>
            <w:gridSpan w:val="5"/>
            <w:vAlign w:val="center"/>
          </w:tcPr>
          <w:p w14:paraId="6F6FF9F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1087" w:type="dxa"/>
            <w:vMerge w:val="restart"/>
            <w:vAlign w:val="center"/>
          </w:tcPr>
          <w:p w14:paraId="35D5463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66D0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Merge w:val="continue"/>
            <w:vAlign w:val="center"/>
          </w:tcPr>
          <w:p w14:paraId="79D9AB49">
            <w:pPr>
              <w:spacing w:line="360" w:lineRule="auto"/>
              <w:jc w:val="center"/>
              <w:rPr>
                <w:rFonts w:hint="eastAsia" w:ascii="宋体" w:hAnsi="宋体" w:eastAsia="宋体" w:cs="Times New Roman"/>
                <w:kern w:val="0"/>
                <w:sz w:val="20"/>
                <w:szCs w:val="21"/>
              </w:rPr>
            </w:pPr>
          </w:p>
        </w:tc>
        <w:tc>
          <w:tcPr>
            <w:tcW w:w="1016" w:type="dxa"/>
            <w:vAlign w:val="center"/>
          </w:tcPr>
          <w:p w14:paraId="2E8D0AC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1016" w:type="dxa"/>
            <w:vAlign w:val="center"/>
          </w:tcPr>
          <w:p w14:paraId="73E3467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1016" w:type="dxa"/>
            <w:vAlign w:val="center"/>
          </w:tcPr>
          <w:p w14:paraId="71140D3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课内实验</w:t>
            </w:r>
          </w:p>
        </w:tc>
        <w:tc>
          <w:tcPr>
            <w:tcW w:w="1016" w:type="dxa"/>
            <w:vAlign w:val="center"/>
          </w:tcPr>
          <w:p w14:paraId="294BCEB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1016" w:type="dxa"/>
            <w:vAlign w:val="center"/>
          </w:tcPr>
          <w:p w14:paraId="5C465DA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网络学习</w:t>
            </w:r>
          </w:p>
        </w:tc>
        <w:tc>
          <w:tcPr>
            <w:tcW w:w="1087" w:type="dxa"/>
            <w:vMerge w:val="continue"/>
            <w:vAlign w:val="center"/>
          </w:tcPr>
          <w:p w14:paraId="1283D6B1">
            <w:pPr>
              <w:spacing w:line="360" w:lineRule="auto"/>
              <w:jc w:val="center"/>
              <w:rPr>
                <w:rFonts w:hint="eastAsia" w:ascii="宋体" w:hAnsi="宋体" w:eastAsia="宋体" w:cs="Times New Roman"/>
                <w:kern w:val="0"/>
                <w:sz w:val="20"/>
                <w:szCs w:val="21"/>
              </w:rPr>
            </w:pPr>
          </w:p>
        </w:tc>
      </w:tr>
      <w:tr w14:paraId="2970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Align w:val="center"/>
          </w:tcPr>
          <w:p w14:paraId="55330A0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016" w:type="dxa"/>
            <w:vAlign w:val="center"/>
          </w:tcPr>
          <w:p w14:paraId="2214056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75204B5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72F6F2F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06D2D32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60FB63A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87" w:type="dxa"/>
            <w:vAlign w:val="center"/>
          </w:tcPr>
          <w:p w14:paraId="272AA10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1B6F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Align w:val="center"/>
          </w:tcPr>
          <w:p w14:paraId="619A056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016" w:type="dxa"/>
            <w:vAlign w:val="center"/>
          </w:tcPr>
          <w:p w14:paraId="6CCF3DB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657FF09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783CEF5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54B803A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3270E62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87" w:type="dxa"/>
            <w:vAlign w:val="center"/>
          </w:tcPr>
          <w:p w14:paraId="303925E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50</w:t>
            </w:r>
          </w:p>
        </w:tc>
      </w:tr>
      <w:tr w14:paraId="2490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Align w:val="center"/>
          </w:tcPr>
          <w:p w14:paraId="2EBCF21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016" w:type="dxa"/>
            <w:vAlign w:val="center"/>
          </w:tcPr>
          <w:p w14:paraId="21A0803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2563EE10">
            <w:pPr>
              <w:spacing w:line="360" w:lineRule="auto"/>
              <w:jc w:val="center"/>
              <w:rPr>
                <w:rFonts w:hint="eastAsia" w:ascii="宋体" w:hAnsi="宋体" w:eastAsia="宋体" w:cs="Times New Roman"/>
                <w:kern w:val="0"/>
                <w:sz w:val="20"/>
                <w:szCs w:val="21"/>
              </w:rPr>
            </w:pPr>
          </w:p>
        </w:tc>
        <w:tc>
          <w:tcPr>
            <w:tcW w:w="1016" w:type="dxa"/>
            <w:vAlign w:val="center"/>
          </w:tcPr>
          <w:p w14:paraId="05B0B01C">
            <w:pPr>
              <w:spacing w:line="360" w:lineRule="auto"/>
              <w:jc w:val="center"/>
              <w:rPr>
                <w:rFonts w:hint="eastAsia" w:ascii="宋体" w:hAnsi="宋体" w:eastAsia="宋体" w:cs="Times New Roman"/>
                <w:kern w:val="0"/>
                <w:sz w:val="20"/>
                <w:szCs w:val="21"/>
              </w:rPr>
            </w:pPr>
          </w:p>
        </w:tc>
        <w:tc>
          <w:tcPr>
            <w:tcW w:w="1016" w:type="dxa"/>
            <w:vAlign w:val="center"/>
          </w:tcPr>
          <w:p w14:paraId="6660E2E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16" w:type="dxa"/>
            <w:vAlign w:val="center"/>
          </w:tcPr>
          <w:p w14:paraId="2DEDDC1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87" w:type="dxa"/>
            <w:vAlign w:val="center"/>
          </w:tcPr>
          <w:p w14:paraId="192110D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5498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dxa"/>
            <w:vAlign w:val="center"/>
          </w:tcPr>
          <w:p w14:paraId="584D6D8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016" w:type="dxa"/>
            <w:vAlign w:val="center"/>
          </w:tcPr>
          <w:p w14:paraId="2D6FEA20">
            <w:pPr>
              <w:spacing w:line="360" w:lineRule="auto"/>
              <w:jc w:val="center"/>
              <w:rPr>
                <w:rFonts w:hint="eastAsia" w:ascii="宋体" w:hAnsi="宋体" w:eastAsia="宋体" w:cs="Times New Roman"/>
                <w:kern w:val="0"/>
                <w:sz w:val="20"/>
                <w:szCs w:val="21"/>
              </w:rPr>
            </w:pPr>
          </w:p>
        </w:tc>
        <w:tc>
          <w:tcPr>
            <w:tcW w:w="1016" w:type="dxa"/>
            <w:vAlign w:val="center"/>
          </w:tcPr>
          <w:p w14:paraId="3975A0CC">
            <w:pPr>
              <w:spacing w:line="360" w:lineRule="auto"/>
              <w:jc w:val="center"/>
              <w:rPr>
                <w:rFonts w:hint="eastAsia" w:ascii="宋体" w:hAnsi="宋体" w:eastAsia="宋体" w:cs="Times New Roman"/>
                <w:kern w:val="0"/>
                <w:sz w:val="20"/>
                <w:szCs w:val="21"/>
              </w:rPr>
            </w:pPr>
          </w:p>
        </w:tc>
        <w:tc>
          <w:tcPr>
            <w:tcW w:w="1016" w:type="dxa"/>
            <w:vAlign w:val="center"/>
          </w:tcPr>
          <w:p w14:paraId="70A67D69">
            <w:pPr>
              <w:spacing w:line="360" w:lineRule="auto"/>
              <w:jc w:val="center"/>
              <w:rPr>
                <w:rFonts w:hint="eastAsia" w:ascii="宋体" w:hAnsi="宋体" w:eastAsia="宋体" w:cs="Times New Roman"/>
                <w:kern w:val="0"/>
                <w:sz w:val="20"/>
                <w:szCs w:val="21"/>
              </w:rPr>
            </w:pPr>
          </w:p>
        </w:tc>
        <w:tc>
          <w:tcPr>
            <w:tcW w:w="1016" w:type="dxa"/>
            <w:vAlign w:val="center"/>
          </w:tcPr>
          <w:p w14:paraId="3E26140A">
            <w:pPr>
              <w:spacing w:line="360" w:lineRule="auto"/>
              <w:jc w:val="center"/>
              <w:rPr>
                <w:rFonts w:hint="eastAsia" w:ascii="宋体" w:hAnsi="宋体" w:eastAsia="宋体" w:cs="Times New Roman"/>
                <w:kern w:val="0"/>
                <w:sz w:val="20"/>
                <w:szCs w:val="21"/>
              </w:rPr>
            </w:pPr>
          </w:p>
        </w:tc>
        <w:tc>
          <w:tcPr>
            <w:tcW w:w="1016" w:type="dxa"/>
            <w:vAlign w:val="center"/>
          </w:tcPr>
          <w:p w14:paraId="55DB96E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087" w:type="dxa"/>
            <w:vAlign w:val="center"/>
          </w:tcPr>
          <w:p w14:paraId="6438080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6AFD451E">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151850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6210"/>
        <w:gridCol w:w="825"/>
      </w:tblGrid>
      <w:tr w14:paraId="437A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7F689A54">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210" w:type="dxa"/>
            <w:vAlign w:val="center"/>
          </w:tcPr>
          <w:p w14:paraId="6AF58B57">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825" w:type="dxa"/>
            <w:vAlign w:val="center"/>
          </w:tcPr>
          <w:p w14:paraId="68EF6823">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2FBE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5F6F51F1">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210" w:type="dxa"/>
            <w:vAlign w:val="center"/>
          </w:tcPr>
          <w:p w14:paraId="4CA77121">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平时作业共5次，包括网络课程中每章课后测验，以及课后作业，</w:t>
            </w:r>
          </w:p>
        </w:tc>
        <w:tc>
          <w:tcPr>
            <w:tcW w:w="825" w:type="dxa"/>
            <w:vAlign w:val="center"/>
          </w:tcPr>
          <w:p w14:paraId="4EABCC04">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5A0F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3AF9940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210" w:type="dxa"/>
            <w:vAlign w:val="center"/>
          </w:tcPr>
          <w:p w14:paraId="13B08512">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kern w:val="0"/>
                <w:sz w:val="20"/>
                <w:szCs w:val="21"/>
                <w:lang w:bidi="ar"/>
              </w:rPr>
              <w:t>一是课题考勤情况</w:t>
            </w:r>
            <w:r>
              <w:rPr>
                <w:rFonts w:ascii="宋体" w:hAnsi="宋体" w:eastAsia="宋体" w:cs="宋体"/>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75EDC3AD">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kern w:val="0"/>
                <w:sz w:val="20"/>
                <w:szCs w:val="21"/>
                <w:lang w:bidi="ar"/>
              </w:rPr>
              <w:t>课堂参与</w:t>
            </w:r>
            <w:r>
              <w:rPr>
                <w:rFonts w:hint="eastAsia" w:ascii="宋体" w:hAnsi="宋体" w:eastAsia="宋体" w:cs="宋体"/>
                <w:kern w:val="0"/>
                <w:sz w:val="20"/>
                <w:szCs w:val="21"/>
                <w:lang w:bidi="ar"/>
              </w:rPr>
              <w:t>情况。以课堂讨论的参与情况，超过10次满分，获赞可以额外外加分。</w:t>
            </w:r>
          </w:p>
        </w:tc>
        <w:tc>
          <w:tcPr>
            <w:tcW w:w="825" w:type="dxa"/>
            <w:vAlign w:val="center"/>
          </w:tcPr>
          <w:p w14:paraId="3D78B045">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6124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107CC0D2">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课内实验</w:t>
            </w:r>
          </w:p>
        </w:tc>
        <w:tc>
          <w:tcPr>
            <w:tcW w:w="6210" w:type="dxa"/>
            <w:vAlign w:val="center"/>
          </w:tcPr>
          <w:p w14:paraId="1CFDEC38">
            <w:pPr>
              <w:widowControl/>
              <w:spacing w:line="264" w:lineRule="auto"/>
              <w:jc w:val="left"/>
              <w:rPr>
                <w:rFonts w:hint="eastAsia" w:ascii="宋体" w:hAnsi="宋体" w:eastAsia="宋体" w:cs="宋体"/>
                <w:kern w:val="0"/>
                <w:sz w:val="20"/>
                <w:szCs w:val="21"/>
                <w:lang w:bidi="ar"/>
              </w:rPr>
            </w:pPr>
            <w:r>
              <w:rPr>
                <w:rFonts w:hint="eastAsia" w:ascii="宋体" w:hAnsi="宋体" w:eastAsia="宋体" w:cs="宋体"/>
                <w:kern w:val="0"/>
                <w:sz w:val="20"/>
                <w:szCs w:val="21"/>
                <w:lang w:bidi="ar"/>
              </w:rPr>
              <w:t>根据学生参与实验的情况，实验手册的填写情况打分，实验的平均分计入总成绩。</w:t>
            </w:r>
          </w:p>
        </w:tc>
        <w:tc>
          <w:tcPr>
            <w:tcW w:w="825" w:type="dxa"/>
            <w:vAlign w:val="center"/>
          </w:tcPr>
          <w:p w14:paraId="545BCF19">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5F7E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5DA9D7A5">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网络学习</w:t>
            </w:r>
          </w:p>
        </w:tc>
        <w:tc>
          <w:tcPr>
            <w:tcW w:w="6210" w:type="dxa"/>
            <w:vAlign w:val="center"/>
          </w:tcPr>
          <w:p w14:paraId="57C2B1ED">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825" w:type="dxa"/>
            <w:vAlign w:val="center"/>
          </w:tcPr>
          <w:p w14:paraId="6330BAE5">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4B28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vAlign w:val="center"/>
          </w:tcPr>
          <w:p w14:paraId="1EE40E0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210" w:type="dxa"/>
            <w:vAlign w:val="center"/>
          </w:tcPr>
          <w:p w14:paraId="2DFACD7A">
            <w:pPr>
              <w:spacing w:line="264" w:lineRule="auto"/>
              <w:jc w:val="left"/>
              <w:rPr>
                <w:rFonts w:ascii="Times New Roman" w:hAnsi="Times New Roman" w:eastAsia="宋体" w:cs="Times New Roman"/>
                <w:kern w:val="0"/>
                <w:sz w:val="20"/>
                <w:szCs w:val="21"/>
              </w:rPr>
            </w:pPr>
            <w:r>
              <w:rPr>
                <w:rFonts w:ascii="Times New Roman" w:hAnsi="Times New Roman" w:eastAsia="宋体" w:cs="Times New Roman"/>
                <w:kern w:val="0"/>
                <w:sz w:val="20"/>
                <w:szCs w:val="21"/>
              </w:rPr>
              <w:t>试卷题型包括</w:t>
            </w:r>
            <w:r>
              <w:rPr>
                <w:rFonts w:hint="eastAsia" w:ascii="Times New Roman" w:hAnsi="Times New Roman" w:eastAsia="宋体" w:cs="Times New Roman"/>
                <w:kern w:val="0"/>
                <w:sz w:val="20"/>
                <w:szCs w:val="21"/>
              </w:rPr>
              <w:t>选择题</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辨析</w:t>
            </w:r>
            <w:r>
              <w:rPr>
                <w:rFonts w:ascii="Times New Roman" w:hAnsi="Times New Roman" w:eastAsia="宋体" w:cs="Times New Roman"/>
                <w:kern w:val="0"/>
                <w:sz w:val="20"/>
                <w:szCs w:val="21"/>
              </w:rPr>
              <w:t>、</w:t>
            </w:r>
            <w:r>
              <w:rPr>
                <w:rFonts w:hint="eastAsia" w:ascii="Times New Roman" w:hAnsi="Times New Roman" w:eastAsia="宋体" w:cs="Times New Roman"/>
                <w:kern w:val="0"/>
                <w:sz w:val="20"/>
                <w:szCs w:val="21"/>
              </w:rPr>
              <w:t>简答题、案例分析、论述题</w:t>
            </w:r>
            <w:r>
              <w:rPr>
                <w:rFonts w:ascii="Times New Roman" w:hAnsi="Times New Roman" w:eastAsia="宋体" w:cs="Times New Roman"/>
                <w:kern w:val="0"/>
                <w:sz w:val="20"/>
                <w:szCs w:val="21"/>
              </w:rPr>
              <w:t>等，以卷面成绩的50%计入课程总成绩。其中考核</w:t>
            </w:r>
            <w:r>
              <w:rPr>
                <w:rFonts w:hint="eastAsia" w:ascii="Times New Roman" w:hAnsi="Times New Roman" w:eastAsia="宋体" w:cs="Times New Roman"/>
                <w:kern w:val="0"/>
                <w:sz w:val="20"/>
                <w:szCs w:val="21"/>
              </w:rPr>
              <w:t>小学心理学基本理论的知识类题目占4</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%；考核学生运用基本理论知识进行分析能力的题型占</w:t>
            </w:r>
            <w:r>
              <w:rPr>
                <w:rFonts w:ascii="Times New Roman" w:hAnsi="Times New Roman" w:eastAsia="宋体" w:cs="Times New Roman"/>
                <w:kern w:val="0"/>
                <w:sz w:val="20"/>
                <w:szCs w:val="21"/>
              </w:rPr>
              <w:t>30</w:t>
            </w:r>
            <w:r>
              <w:rPr>
                <w:rFonts w:hint="eastAsia" w:ascii="Times New Roman" w:hAnsi="Times New Roman" w:eastAsia="宋体" w:cs="Times New Roman"/>
                <w:kern w:val="0"/>
                <w:sz w:val="20"/>
                <w:szCs w:val="21"/>
              </w:rPr>
              <w:t>%；考核学生运用学与教的基本理论和知识进行教学设计的题型占</w:t>
            </w:r>
            <w:r>
              <w:rPr>
                <w:rFonts w:ascii="Times New Roman" w:hAnsi="Times New Roman" w:eastAsia="宋体" w:cs="Times New Roman"/>
                <w:kern w:val="0"/>
                <w:sz w:val="20"/>
                <w:szCs w:val="21"/>
              </w:rPr>
              <w:t>30</w:t>
            </w:r>
            <w:r>
              <w:rPr>
                <w:rFonts w:hint="eastAsia" w:ascii="Times New Roman" w:hAnsi="Times New Roman" w:eastAsia="宋体" w:cs="Times New Roman"/>
                <w:kern w:val="0"/>
                <w:sz w:val="20"/>
                <w:szCs w:val="21"/>
              </w:rPr>
              <w:t>%。</w:t>
            </w:r>
          </w:p>
        </w:tc>
        <w:tc>
          <w:tcPr>
            <w:tcW w:w="825" w:type="dxa"/>
            <w:vAlign w:val="center"/>
          </w:tcPr>
          <w:p w14:paraId="09A99E3C">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5491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15" w:type="dxa"/>
            <w:vAlign w:val="center"/>
          </w:tcPr>
          <w:p w14:paraId="5D6A9A95">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6210" w:type="dxa"/>
            <w:vAlign w:val="center"/>
          </w:tcPr>
          <w:p w14:paraId="5DB923B6">
            <w:pPr>
              <w:jc w:val="left"/>
              <w:rPr>
                <w:rFonts w:ascii="Times New Roman" w:hAnsi="Times New Roman" w:eastAsia="宋体" w:cs="Times New Roman"/>
                <w:kern w:val="0"/>
                <w:sz w:val="20"/>
                <w:szCs w:val="21"/>
              </w:rPr>
            </w:pPr>
          </w:p>
        </w:tc>
        <w:tc>
          <w:tcPr>
            <w:tcW w:w="825" w:type="dxa"/>
            <w:vAlign w:val="center"/>
          </w:tcPr>
          <w:p w14:paraId="229BF84D">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6A144594">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26BE409E">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BC1BEEB">
      <w:pPr>
        <w:spacing w:before="62" w:beforeLines="20" w:after="62" w:afterLines="20" w:line="360" w:lineRule="auto"/>
        <w:rPr>
          <w:rFonts w:ascii="Times New Roman" w:hAnsi="Times New Roman" w:eastAsia="宋体" w:cs="Times New Roman"/>
          <w:b/>
          <w:bCs/>
          <w:kern w:val="0"/>
          <w:sz w:val="24"/>
        </w:rPr>
      </w:pPr>
      <w:r>
        <w:rPr>
          <w:rFonts w:ascii="宋体" w:hAnsi="宋体" w:eastAsia="宋体" w:cs="Times New Roman"/>
          <w:szCs w:val="21"/>
        </w:rPr>
        <w:object>
          <v:shape id="_x0000_i1037"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37" DrawAspect="Content" ObjectID="_1468075737" r:id="rId25">
            <o:LockedField>false</o:LockedField>
          </o:OLEObject>
        </w:object>
      </w:r>
      <w:r>
        <w:rPr>
          <w:rFonts w:hint="eastAsia" w:ascii="Times New Roman" w:hAnsi="Times New Roman" w:eastAsia="宋体" w:cs="Times New Roman"/>
          <w:b/>
          <w:bCs/>
          <w:kern w:val="0"/>
          <w:sz w:val="24"/>
        </w:rPr>
        <w:t>五、有关说明</w:t>
      </w:r>
    </w:p>
    <w:p w14:paraId="02C62F3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80D1AFC">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本课程根据学生作业、课堂讨论、实验环节、平时考核情况和学生、教学督导等的反馈，及时对教学中的不足之处进行改进，并在下一轮课程教学中整改完善，确保相应毕业要求指标点达成。</w:t>
      </w:r>
    </w:p>
    <w:p w14:paraId="79D0E127">
      <w:pPr>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（二）</w:t>
      </w:r>
      <w:r>
        <w:rPr>
          <w:rFonts w:ascii="Times New Roman" w:hAnsi="Times New Roman" w:eastAsia="宋体" w:cs="Times New Roman"/>
          <w:b/>
          <w:szCs w:val="21"/>
        </w:rPr>
        <w:t>参考书目</w:t>
      </w:r>
    </w:p>
    <w:p w14:paraId="5D5AA16C">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hint="eastAsia"/>
        </w:rPr>
        <w:t xml:space="preserve"> </w:t>
      </w:r>
      <w:r>
        <w:rPr>
          <w:rFonts w:hint="eastAsia" w:ascii="Times New Roman" w:hAnsi="Times New Roman" w:eastAsia="宋体" w:cs="Times New Roman"/>
          <w:kern w:val="0"/>
          <w:szCs w:val="21"/>
        </w:rPr>
        <w:t>张厚粲，许燕编，心理学导论（第2版新世纪高等学校教材），北京师范大学出版社，2024</w:t>
      </w:r>
    </w:p>
    <w:p w14:paraId="78EF9E7F">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szCs w:val="21"/>
        </w:rPr>
        <w:t>2.</w:t>
      </w:r>
      <w:r>
        <w:rPr>
          <w:rFonts w:ascii="Times New Roman" w:hAnsi="Times New Roman" w:eastAsia="宋体" w:cs="Times New Roman"/>
          <w:kern w:val="0"/>
          <w:szCs w:val="21"/>
        </w:rPr>
        <w:t>(美)罗伯特·S·费尔德曼著，苏彦捷译</w:t>
      </w:r>
      <w:r>
        <w:rPr>
          <w:rFonts w:hint="eastAsia" w:ascii="Times New Roman" w:hAnsi="Times New Roman" w:eastAsia="宋体" w:cs="Times New Roman"/>
          <w:kern w:val="0"/>
          <w:szCs w:val="21"/>
        </w:rPr>
        <w:t>，儿童发展心理学：费尔德曼带你开启孩子的成长之旅（第</w:t>
      </w:r>
      <w:r>
        <w:rPr>
          <w:rFonts w:ascii="Times New Roman" w:hAnsi="Times New Roman" w:eastAsia="宋体" w:cs="Times New Roman"/>
          <w:kern w:val="0"/>
          <w:szCs w:val="21"/>
        </w:rPr>
        <w:t>8版） (Child Development, 8th Edition)</w:t>
      </w:r>
      <w:r>
        <w:rPr>
          <w:rFonts w:hint="eastAsia" w:ascii="Times New Roman" w:hAnsi="Times New Roman" w:eastAsia="宋体" w:cs="Times New Roman"/>
          <w:kern w:val="0"/>
          <w:szCs w:val="21"/>
        </w:rPr>
        <w:t>，机械工业出版社，2</w:t>
      </w:r>
      <w:r>
        <w:rPr>
          <w:rFonts w:ascii="Times New Roman" w:hAnsi="Times New Roman" w:eastAsia="宋体" w:cs="Times New Roman"/>
          <w:kern w:val="0"/>
          <w:szCs w:val="21"/>
        </w:rPr>
        <w:t>021</w:t>
      </w:r>
    </w:p>
    <w:p w14:paraId="1BA06E6B">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3.（美）墨顿.亨特 著，寒川子，张积模译 ，心理学的故事--源起与演变，商务印书馆，2024</w:t>
      </w:r>
    </w:p>
    <w:p w14:paraId="74B8B125">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kern w:val="0"/>
          <w:szCs w:val="21"/>
        </w:rPr>
        <w:t>4.</w:t>
      </w:r>
      <w:r>
        <w:rPr>
          <w:rFonts w:hint="eastAsia" w:ascii="宋体" w:hAnsi="宋体" w:eastAsia="宋体"/>
        </w:rPr>
        <w:t xml:space="preserve"> [美] 罗伯特·费尔德曼著，苏彦捷，邹丹等译，</w:t>
      </w:r>
      <w:r>
        <w:rPr>
          <w:rFonts w:hint="eastAsia" w:ascii="Times New Roman" w:hAnsi="Times New Roman" w:eastAsia="宋体" w:cs="Times New Roman"/>
          <w:szCs w:val="21"/>
        </w:rPr>
        <w:t>发展心理学——人的毕生发展（第6版），世界图书出版公司，2021</w:t>
      </w:r>
    </w:p>
    <w:p w14:paraId="6C70D412">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5.彭聃龄，普通心理学(第5版)，北京师范大学出版社，201</w:t>
      </w:r>
      <w:r>
        <w:rPr>
          <w:rFonts w:ascii="Times New Roman" w:hAnsi="Times New Roman" w:eastAsia="宋体" w:cs="Times New Roman"/>
          <w:kern w:val="0"/>
          <w:szCs w:val="21"/>
        </w:rPr>
        <w:t>9</w:t>
      </w:r>
    </w:p>
    <w:p w14:paraId="3F84ABA7">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6.桑标，儿童发展，华东师范大学出版社，201</w:t>
      </w:r>
      <w:r>
        <w:rPr>
          <w:rFonts w:ascii="Times New Roman" w:hAnsi="Times New Roman" w:eastAsia="宋体" w:cs="Times New Roman"/>
          <w:kern w:val="0"/>
          <w:szCs w:val="21"/>
        </w:rPr>
        <w:t>4</w:t>
      </w:r>
    </w:p>
    <w:p w14:paraId="5FB9FBE9">
      <w:pPr>
        <w:autoSpaceDE w:val="0"/>
        <w:autoSpaceDN w:val="0"/>
        <w:adjustRightInd w:val="0"/>
        <w:spacing w:line="360" w:lineRule="auto"/>
        <w:ind w:firstLine="480" w:firstLineChars="200"/>
        <w:jc w:val="left"/>
        <w:rPr>
          <w:rFonts w:ascii="Times New Roman" w:hAnsi="Times New Roman" w:eastAsia="宋体" w:cs="Times New Roman"/>
          <w:kern w:val="0"/>
          <w:sz w:val="24"/>
          <w:szCs w:val="21"/>
        </w:rPr>
      </w:pPr>
    </w:p>
    <w:p w14:paraId="7D01F61A">
      <w:pPr>
        <w:autoSpaceDE w:val="0"/>
        <w:autoSpaceDN w:val="0"/>
        <w:adjustRightInd w:val="0"/>
        <w:spacing w:line="360" w:lineRule="auto"/>
        <w:ind w:firstLine="5250" w:firstLineChars="2500"/>
        <w:jc w:val="left"/>
        <w:rPr>
          <w:rFonts w:ascii="Times New Roman" w:hAnsi="Times New Roman" w:eastAsia="宋体" w:cs="Times New Roman"/>
          <w:kern w:val="0"/>
          <w:szCs w:val="18"/>
        </w:rPr>
      </w:pPr>
      <w:r>
        <w:rPr>
          <w:rFonts w:ascii="Times New Roman" w:hAnsi="Times New Roman" w:eastAsia="宋体" w:cs="Times New Roman"/>
          <w:kern w:val="0"/>
          <w:szCs w:val="18"/>
        </w:rPr>
        <w:t>执笔人：</w:t>
      </w:r>
      <w:r>
        <w:rPr>
          <w:rFonts w:hint="eastAsia" w:ascii="Times New Roman" w:hAnsi="Times New Roman" w:eastAsia="宋体" w:cs="Times New Roman"/>
          <w:kern w:val="0"/>
          <w:szCs w:val="18"/>
        </w:rPr>
        <w:t>缪周芬</w:t>
      </w:r>
    </w:p>
    <w:p w14:paraId="4F4B4931">
      <w:pPr>
        <w:autoSpaceDE w:val="0"/>
        <w:autoSpaceDN w:val="0"/>
        <w:adjustRightInd w:val="0"/>
        <w:spacing w:line="360" w:lineRule="auto"/>
        <w:ind w:firstLine="5250" w:firstLineChars="2500"/>
        <w:jc w:val="left"/>
        <w:rPr>
          <w:rFonts w:ascii="Times New Roman" w:hAnsi="Times New Roman" w:eastAsia="宋体" w:cs="Times New Roman"/>
          <w:kern w:val="0"/>
          <w:szCs w:val="18"/>
        </w:rPr>
      </w:pPr>
      <w:r>
        <w:rPr>
          <w:rFonts w:ascii="Times New Roman" w:hAnsi="Times New Roman" w:eastAsia="宋体" w:cs="Times New Roman"/>
          <w:kern w:val="0"/>
          <w:szCs w:val="18"/>
        </w:rPr>
        <w:t>审定人：</w:t>
      </w:r>
      <w:r>
        <w:rPr>
          <w:rFonts w:hint="eastAsia" w:ascii="Times New Roman" w:hAnsi="Times New Roman" w:eastAsia="宋体" w:cs="Times New Roman"/>
          <w:kern w:val="0"/>
          <w:szCs w:val="18"/>
        </w:rPr>
        <w:t>王  健</w:t>
      </w:r>
    </w:p>
    <w:p w14:paraId="1643BF7C">
      <w:pPr>
        <w:autoSpaceDE w:val="0"/>
        <w:autoSpaceDN w:val="0"/>
        <w:adjustRightInd w:val="0"/>
        <w:spacing w:line="360" w:lineRule="auto"/>
        <w:ind w:firstLine="5250" w:firstLineChars="2500"/>
        <w:jc w:val="left"/>
        <w:rPr>
          <w:rFonts w:ascii="Times New Roman" w:hAnsi="Times New Roman" w:eastAsia="宋体" w:cs="Times New Roman"/>
          <w:kern w:val="0"/>
          <w:szCs w:val="18"/>
        </w:rPr>
      </w:pPr>
      <w:r>
        <w:rPr>
          <w:rFonts w:hint="eastAsia" w:ascii="Times New Roman" w:hAnsi="Times New Roman" w:eastAsia="宋体" w:cs="Times New Roman"/>
          <w:kern w:val="0"/>
          <w:szCs w:val="18"/>
        </w:rPr>
        <w:t>审批</w:t>
      </w:r>
      <w:r>
        <w:rPr>
          <w:rFonts w:ascii="Times New Roman" w:hAnsi="Times New Roman" w:eastAsia="宋体" w:cs="Times New Roman"/>
          <w:kern w:val="0"/>
          <w:szCs w:val="18"/>
        </w:rPr>
        <w:t>人：</w:t>
      </w:r>
      <w:r>
        <w:rPr>
          <w:rFonts w:hint="eastAsia" w:ascii="Times New Roman" w:hAnsi="Times New Roman" w:eastAsia="宋体" w:cs="Times New Roman"/>
          <w:kern w:val="0"/>
          <w:szCs w:val="18"/>
        </w:rPr>
        <w:t>张志欣</w:t>
      </w:r>
    </w:p>
    <w:p w14:paraId="4015B3FD">
      <w:pPr>
        <w:widowControl/>
        <w:spacing w:line="360" w:lineRule="auto"/>
        <w:jc w:val="center"/>
        <w:rPr>
          <w:rFonts w:ascii="Times New Roman" w:hAnsi="Times New Roman" w:eastAsia="宋体" w:cs="Times New Roman"/>
          <w:kern w:val="0"/>
          <w:szCs w:val="18"/>
        </w:rPr>
      </w:pPr>
      <w:r>
        <w:rPr>
          <w:rFonts w:hint="eastAsia" w:ascii="Times New Roman" w:hAnsi="Times New Roman" w:eastAsia="宋体" w:cs="Times New Roman"/>
          <w:kern w:val="0"/>
          <w:szCs w:val="18"/>
        </w:rPr>
        <w:t xml:space="preserve">                                             批准时间：2025年7月1日</w:t>
      </w:r>
    </w:p>
    <w:p w14:paraId="1BA6D6BE">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br w:type="page"/>
      </w:r>
    </w:p>
    <w:p w14:paraId="6A88E4BA">
      <w:pPr>
        <w:spacing w:line="360" w:lineRule="auto"/>
        <w:jc w:val="center"/>
        <w:outlineLvl w:val="0"/>
        <w:rPr>
          <w:rFonts w:ascii="Times New Roman" w:hAnsi="Times New Roman" w:eastAsia="宋体" w:cs="Times New Roman"/>
          <w:b/>
          <w:sz w:val="44"/>
          <w:szCs w:val="44"/>
        </w:rPr>
      </w:pPr>
      <w:bookmarkStart w:id="407" w:name="_Toc4480"/>
      <w:bookmarkStart w:id="408" w:name="_Toc32054"/>
      <w:bookmarkStart w:id="409" w:name="_Toc25163"/>
      <w:bookmarkStart w:id="410" w:name="_Toc12464"/>
      <w:r>
        <w:rPr>
          <w:rFonts w:hint="eastAsia" w:ascii="Times New Roman" w:hAnsi="Times New Roman" w:eastAsia="宋体" w:cs="Times New Roman"/>
          <w:b/>
          <w:sz w:val="44"/>
          <w:szCs w:val="44"/>
        </w:rPr>
        <w:t>《教育原理》课程教学大纲</w:t>
      </w:r>
      <w:bookmarkEnd w:id="407"/>
      <w:bookmarkEnd w:id="408"/>
      <w:bookmarkEnd w:id="409"/>
      <w:bookmarkEnd w:id="410"/>
    </w:p>
    <w:p w14:paraId="20BBAC22">
      <w:pPr>
        <w:spacing w:line="360" w:lineRule="auto"/>
        <w:jc w:val="center"/>
        <w:rPr>
          <w:rFonts w:ascii="Times New Roman" w:hAnsi="Times New Roman" w:eastAsia="宋体" w:cs="Times New Roman"/>
          <w:b/>
          <w:bCs/>
          <w:sz w:val="28"/>
          <w:szCs w:val="28"/>
        </w:rPr>
      </w:pPr>
      <w:bookmarkStart w:id="411" w:name="_Toc25730"/>
      <w:bookmarkStart w:id="412" w:name="_Toc15781"/>
      <w:bookmarkStart w:id="413" w:name="_Toc2629"/>
      <w:bookmarkStart w:id="414" w:name="_Toc12668"/>
      <w:bookmarkStart w:id="415" w:name="_Toc30969"/>
      <w:bookmarkStart w:id="416" w:name="_Toc6362"/>
      <w:bookmarkStart w:id="417" w:name="_Toc20230"/>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Pedagogical Principles</w:t>
      </w:r>
      <w:r>
        <w:rPr>
          <w:rFonts w:ascii="Times New Roman" w:hAnsi="Times New Roman" w:eastAsia="宋体" w:cs="Times New Roman"/>
          <w:b/>
          <w:bCs/>
          <w:sz w:val="28"/>
          <w:szCs w:val="28"/>
        </w:rPr>
        <w:t>）</w:t>
      </w:r>
      <w:bookmarkEnd w:id="411"/>
      <w:bookmarkEnd w:id="412"/>
      <w:bookmarkEnd w:id="413"/>
      <w:bookmarkEnd w:id="414"/>
      <w:bookmarkEnd w:id="415"/>
      <w:bookmarkEnd w:id="416"/>
      <w:bookmarkEnd w:id="417"/>
    </w:p>
    <w:p w14:paraId="5AC751CB">
      <w:pPr>
        <w:spacing w:line="360" w:lineRule="auto"/>
        <w:jc w:val="center"/>
        <w:rPr>
          <w:rFonts w:ascii="Times New Roman" w:hAnsi="Times New Roman" w:eastAsia="宋体" w:cs="Times New Roman"/>
          <w:bCs/>
          <w:sz w:val="30"/>
          <w:szCs w:val="30"/>
        </w:rPr>
      </w:pPr>
    </w:p>
    <w:p w14:paraId="2B99B07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课程名称：教育原理</w:t>
      </w:r>
    </w:p>
    <w:p w14:paraId="421479C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课程代码：2401005</w:t>
      </w:r>
    </w:p>
    <w:p w14:paraId="2690EDB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20FC22D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03D1E6D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先修课程：小学心理学、专业导论</w:t>
      </w:r>
    </w:p>
    <w:p w14:paraId="2691207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28985492">
      <w:pPr>
        <w:spacing w:before="62" w:beforeLines="20" w:after="62" w:afterLines="20" w:line="360" w:lineRule="auto"/>
        <w:jc w:val="left"/>
        <w:rPr>
          <w:rFonts w:ascii="Times New Roman" w:hAnsi="Times New Roman" w:eastAsia="宋体" w:cs="Times New Roman"/>
          <w:b/>
          <w:sz w:val="24"/>
        </w:rPr>
      </w:pPr>
      <w:bookmarkStart w:id="418" w:name="_Toc441"/>
      <w:bookmarkStart w:id="419" w:name="_Toc22823"/>
      <w:bookmarkStart w:id="420" w:name="_Toc22694"/>
      <w:bookmarkStart w:id="421" w:name="_Toc13958"/>
      <w:bookmarkStart w:id="422" w:name="_Toc14916"/>
      <w:bookmarkStart w:id="423" w:name="_Toc9638"/>
      <w:bookmarkStart w:id="424" w:name="_Toc9320"/>
      <w:r>
        <w:rPr>
          <w:rFonts w:hint="eastAsia" w:ascii="Times New Roman" w:hAnsi="Times New Roman" w:eastAsia="宋体" w:cs="Times New Roman"/>
          <w:b/>
          <w:sz w:val="24"/>
        </w:rPr>
        <w:t>一、课程简介</w:t>
      </w:r>
      <w:bookmarkEnd w:id="418"/>
      <w:bookmarkEnd w:id="419"/>
      <w:bookmarkEnd w:id="420"/>
      <w:bookmarkEnd w:id="421"/>
      <w:bookmarkEnd w:id="422"/>
      <w:bookmarkEnd w:id="423"/>
      <w:bookmarkEnd w:id="424"/>
    </w:p>
    <w:p w14:paraId="76F133D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学习，首先，使学生掌握基本的教育理念，理解不同教育现象之间的关系，在此基础上，形成正确的教育意识和观念；其次，让学生了解我国教育理论和实践发展的现状与趋势，提高其教育理论素养，为今后的工作实践奠定坚实的理论基础；最后，引导学生运用所学的基本理论分析我国目前不断发展和变化着的教育实践，将所学理论知识和教育实践结合起来，增强分析和解决实际问题的能力。</w:t>
      </w:r>
    </w:p>
    <w:p w14:paraId="1E5F826C">
      <w:pPr>
        <w:spacing w:before="62" w:beforeLines="20" w:after="62" w:afterLines="20" w:line="360" w:lineRule="auto"/>
        <w:jc w:val="left"/>
        <w:rPr>
          <w:rFonts w:ascii="Times New Roman" w:hAnsi="Times New Roman" w:eastAsia="宋体" w:cs="Times New Roman"/>
          <w:b/>
          <w:sz w:val="24"/>
        </w:rPr>
      </w:pPr>
      <w:bookmarkStart w:id="425" w:name="_Toc31505"/>
      <w:bookmarkStart w:id="426" w:name="_Toc25742"/>
      <w:bookmarkStart w:id="427" w:name="_Toc14640"/>
      <w:bookmarkStart w:id="428" w:name="_Toc31108"/>
      <w:bookmarkStart w:id="429" w:name="_Toc13037"/>
      <w:bookmarkStart w:id="430" w:name="_Toc1715"/>
      <w:bookmarkStart w:id="431" w:name="_Toc32427"/>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425"/>
      <w:bookmarkEnd w:id="426"/>
      <w:bookmarkEnd w:id="427"/>
      <w:bookmarkEnd w:id="428"/>
      <w:bookmarkEnd w:id="429"/>
      <w:bookmarkEnd w:id="430"/>
      <w:bookmarkEnd w:id="431"/>
    </w:p>
    <w:p w14:paraId="511B3AAE">
      <w:pPr>
        <w:spacing w:line="360" w:lineRule="auto"/>
        <w:ind w:firstLine="422" w:firstLineChars="200"/>
        <w:outlineLvl w:val="1"/>
        <w:rPr>
          <w:rFonts w:hint="eastAsia" w:ascii="宋体" w:hAnsi="宋体" w:eastAsia="宋体" w:cs="Times New Roman"/>
          <w:b/>
          <w:szCs w:val="21"/>
        </w:rPr>
      </w:pPr>
      <w:bookmarkStart w:id="432" w:name="_Toc25570"/>
      <w:r>
        <w:rPr>
          <w:rFonts w:hint="eastAsia" w:ascii="宋体" w:hAnsi="宋体" w:eastAsia="宋体" w:cs="Times New Roman"/>
          <w:b/>
          <w:szCs w:val="21"/>
        </w:rPr>
        <w:t>（一）课程具体目标</w:t>
      </w:r>
      <w:bookmarkEnd w:id="432"/>
    </w:p>
    <w:p w14:paraId="1CA71010">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教育学基础理论知识，正确认识与“教育是什么”和“什么是教育”有关的一系列基本概念、基本理论、基本规律等关于教育的基本原理，了解当前国内外教育发展现状，形成教育学相关理论完整的知识结构，初步具备从事小学教育教学实践的能力和不断提升自我专业发展的能力。</w:t>
      </w:r>
    </w:p>
    <w:p w14:paraId="501FEA09">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理解教育问题与教育现象背后的教育本质与教育规律，能自觉运用专业思维和方法探究教育现象、反思教育实践、分析并解决教育问题，为今后从事教育实践工作打下良好基础。</w:t>
      </w:r>
    </w:p>
    <w:p w14:paraId="73624C42">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形成正确的教育观、教师观、学生观、人才观、教育评价观和教育改革发展观；养成自觉提升自身业务修养的意识和从事教育教学改革的兴趣及意愿；养成教师职业认同感、使命感和责任感，自觉在教育教学活动中渗透教师职业道德。</w:t>
      </w:r>
    </w:p>
    <w:p w14:paraId="1D147CE2">
      <w:pPr>
        <w:spacing w:line="360" w:lineRule="auto"/>
        <w:ind w:firstLine="422" w:firstLineChars="200"/>
        <w:jc w:val="left"/>
        <w:outlineLvl w:val="1"/>
        <w:rPr>
          <w:rFonts w:ascii="Times New Roman" w:hAnsi="Times New Roman" w:eastAsia="宋体" w:cs="Times New Roman"/>
          <w:b/>
          <w:bCs/>
          <w:szCs w:val="21"/>
        </w:rPr>
      </w:pPr>
      <w:bookmarkStart w:id="433" w:name="_Toc27479"/>
      <w:r>
        <w:rPr>
          <w:rFonts w:hint="eastAsia" w:ascii="Times New Roman" w:hAnsi="Times New Roman" w:eastAsia="宋体" w:cs="Times New Roman"/>
          <w:b/>
          <w:bCs/>
          <w:szCs w:val="21"/>
        </w:rPr>
        <w:t>（二）课程目标及其对毕业要求指标点的支撑</w:t>
      </w:r>
      <w:bookmarkEnd w:id="433"/>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6128"/>
        <w:gridCol w:w="1191"/>
      </w:tblGrid>
      <w:tr w14:paraId="6A0A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658" w:type="dxa"/>
            <w:vAlign w:val="center"/>
          </w:tcPr>
          <w:p w14:paraId="3607BC2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128" w:type="dxa"/>
            <w:vAlign w:val="center"/>
          </w:tcPr>
          <w:p w14:paraId="61C9D3A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16CA4D7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E4B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8" w:type="dxa"/>
            <w:vAlign w:val="center"/>
          </w:tcPr>
          <w:p w14:paraId="39C9BF1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毕业要求1</w:t>
            </w:r>
          </w:p>
          <w:p w14:paraId="0BB428D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师德规范</w:t>
            </w:r>
          </w:p>
        </w:tc>
        <w:tc>
          <w:tcPr>
            <w:tcW w:w="6128" w:type="dxa"/>
            <w:vAlign w:val="center"/>
          </w:tcPr>
          <w:p w14:paraId="198FEAB8">
            <w:pPr>
              <w:jc w:val="left"/>
              <w:rPr>
                <w:rFonts w:ascii="Times New Roman" w:hAnsi="Times New Roman" w:eastAsia="宋体" w:cs="Times New Roman"/>
                <w:szCs w:val="21"/>
              </w:rPr>
            </w:pPr>
            <w:r>
              <w:rPr>
                <w:rFonts w:hint="eastAsia" w:ascii="宋体" w:hAnsi="宋体" w:cs="宋体"/>
                <w:b/>
                <w:kern w:val="0"/>
                <w:szCs w:val="21"/>
              </w:rPr>
              <w:t>指标点1-1</w:t>
            </w:r>
            <w:r>
              <w:rPr>
                <w:rFonts w:hint="eastAsia" w:ascii="宋体" w:hAnsi="宋体" w:cs="宋体"/>
                <w:szCs w:val="21"/>
              </w:rPr>
              <w:t>：【理想信念坚定】了解我国国情及国际局势，深刻理解新时代中国特色社会主义思想内涵，高度认识其对中国式现代化建设的指导意义</w:t>
            </w:r>
            <w:r>
              <w:rPr>
                <w:rFonts w:hint="eastAsia" w:cs="宋体"/>
                <w:szCs w:val="21"/>
              </w:rPr>
              <w:t>；</w:t>
            </w:r>
            <w:r>
              <w:rPr>
                <w:rFonts w:hint="eastAsia" w:ascii="宋体" w:hAnsi="宋体" w:cs="宋体"/>
                <w:szCs w:val="21"/>
              </w:rPr>
              <w:t>认同中国特色社会主义，贯彻党的教育方针，自觉践行社会主义核心价值观</w:t>
            </w:r>
            <w:r>
              <w:rPr>
                <w:rFonts w:hint="eastAsia" w:cs="宋体"/>
                <w:szCs w:val="21"/>
              </w:rPr>
              <w:t>；认同教师劳动的价值，</w:t>
            </w:r>
            <w:r>
              <w:rPr>
                <w:rFonts w:hint="eastAsia" w:ascii="宋体" w:hAnsi="宋体" w:cs="宋体"/>
                <w:szCs w:val="21"/>
              </w:rPr>
              <w:t>树立职业理想，立志成为有理想信念、有道德情操、有扎实学识、有仁爱之心受学生爱戴的好老师。</w:t>
            </w:r>
          </w:p>
        </w:tc>
        <w:tc>
          <w:tcPr>
            <w:tcW w:w="1191" w:type="dxa"/>
            <w:vAlign w:val="center"/>
          </w:tcPr>
          <w:p w14:paraId="412C5F2C">
            <w:pPr>
              <w:jc w:val="center"/>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123B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8" w:type="dxa"/>
            <w:vAlign w:val="center"/>
          </w:tcPr>
          <w:p w14:paraId="241007E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毕业要求2</w:t>
            </w:r>
          </w:p>
          <w:p w14:paraId="160C430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教育情怀</w:t>
            </w:r>
          </w:p>
        </w:tc>
        <w:tc>
          <w:tcPr>
            <w:tcW w:w="6128" w:type="dxa"/>
            <w:vAlign w:val="center"/>
          </w:tcPr>
          <w:p w14:paraId="6F74EF2F">
            <w:pPr>
              <w:jc w:val="left"/>
              <w:rPr>
                <w:rFonts w:ascii="Times New Roman" w:hAnsi="Times New Roman" w:eastAsia="宋体" w:cs="Times New Roman"/>
                <w:szCs w:val="21"/>
              </w:rPr>
            </w:pPr>
            <w:r>
              <w:rPr>
                <w:rFonts w:hint="eastAsia" w:ascii="宋体" w:hAnsi="宋体" w:cs="宋体"/>
                <w:b/>
                <w:kern w:val="0"/>
                <w:szCs w:val="21"/>
              </w:rPr>
              <w:t>指标点2-1</w:t>
            </w:r>
            <w:r>
              <w:rPr>
                <w:rFonts w:hint="eastAsia" w:ascii="宋体" w:hAnsi="宋体" w:cs="宋体"/>
                <w:szCs w:val="21"/>
              </w:rPr>
              <w:t>：【职业认同感强】具有家国情怀，热爱教育事业，秉持“坚忍诚勇，立己达人”的师范精神，践行教育家精神，乐于从教，热爱教育事业，具有较高的教师职业认同感，认同教师职业的意义、价值与专业性。</w:t>
            </w:r>
          </w:p>
        </w:tc>
        <w:tc>
          <w:tcPr>
            <w:tcW w:w="1191" w:type="dxa"/>
            <w:vAlign w:val="center"/>
          </w:tcPr>
          <w:p w14:paraId="7408D761">
            <w:pPr>
              <w:jc w:val="center"/>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57BF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8" w:type="dxa"/>
            <w:vAlign w:val="center"/>
          </w:tcPr>
          <w:p w14:paraId="15934FA1">
            <w:pPr>
              <w:widowControl/>
              <w:autoSpaceDE w:val="0"/>
              <w:autoSpaceDN w:val="0"/>
              <w:jc w:val="center"/>
              <w:rPr>
                <w:rFonts w:hint="eastAsia" w:ascii="宋体" w:hAnsi="宋体" w:cs="宋体"/>
                <w:b/>
                <w:bCs/>
                <w:szCs w:val="21"/>
              </w:rPr>
            </w:pPr>
            <w:r>
              <w:rPr>
                <w:rFonts w:hint="eastAsia" w:ascii="宋体" w:hAnsi="宋体" w:cs="宋体"/>
                <w:b/>
                <w:bCs/>
                <w:szCs w:val="21"/>
              </w:rPr>
              <w:t>毕业要求4</w:t>
            </w:r>
          </w:p>
          <w:p w14:paraId="4F628218">
            <w:pPr>
              <w:widowControl/>
              <w:autoSpaceDE w:val="0"/>
              <w:autoSpaceDN w:val="0"/>
              <w:jc w:val="center"/>
              <w:rPr>
                <w:rFonts w:ascii="Times New Roman" w:hAnsi="Times New Roman" w:eastAsia="宋体" w:cs="Times New Roman"/>
                <w:b/>
                <w:bCs/>
                <w:szCs w:val="21"/>
              </w:rPr>
            </w:pPr>
            <w:r>
              <w:rPr>
                <w:rFonts w:hint="eastAsia" w:ascii="宋体" w:hAnsi="宋体" w:cs="宋体"/>
                <w:b/>
                <w:bCs/>
                <w:szCs w:val="21"/>
              </w:rPr>
              <w:t>教学能力</w:t>
            </w:r>
          </w:p>
        </w:tc>
        <w:tc>
          <w:tcPr>
            <w:tcW w:w="6128" w:type="dxa"/>
            <w:vAlign w:val="center"/>
          </w:tcPr>
          <w:p w14:paraId="1125ABD0">
            <w:pPr>
              <w:autoSpaceDE w:val="0"/>
              <w:autoSpaceDN w:val="0"/>
              <w:rPr>
                <w:rFonts w:ascii="Times New Roman" w:hAnsi="Times New Roman" w:eastAsia="宋体" w:cs="Times New Roman"/>
                <w:szCs w:val="21"/>
              </w:rPr>
            </w:pPr>
            <w:r>
              <w:rPr>
                <w:rFonts w:hint="eastAsia" w:ascii="宋体" w:hAnsi="宋体" w:cs="宋体"/>
                <w:b/>
                <w:kern w:val="0"/>
                <w:szCs w:val="21"/>
              </w:rPr>
              <w:t>指标点4-1</w:t>
            </w:r>
            <w:r>
              <w:rPr>
                <w:rFonts w:hint="eastAsia" w:ascii="宋体" w:hAnsi="宋体" w:cs="宋体"/>
                <w:kern w:val="0"/>
                <w:szCs w:val="21"/>
              </w:rPr>
              <w:t>：</w:t>
            </w:r>
            <w:r>
              <w:rPr>
                <w:rFonts w:hint="eastAsia" w:ascii="宋体" w:hAnsi="宋体" w:cs="宋体"/>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6D3CFCE9">
            <w:pPr>
              <w:jc w:val="center"/>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28CB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8" w:type="dxa"/>
            <w:vAlign w:val="center"/>
          </w:tcPr>
          <w:p w14:paraId="679B307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毕业要求7</w:t>
            </w:r>
          </w:p>
          <w:p w14:paraId="479E2EA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学会反思</w:t>
            </w:r>
          </w:p>
        </w:tc>
        <w:tc>
          <w:tcPr>
            <w:tcW w:w="6128" w:type="dxa"/>
            <w:vAlign w:val="center"/>
          </w:tcPr>
          <w:p w14:paraId="1A6F8638">
            <w:pPr>
              <w:jc w:val="left"/>
              <w:rPr>
                <w:rFonts w:ascii="Times New Roman" w:hAnsi="Times New Roman" w:eastAsia="宋体" w:cs="Times New Roman"/>
                <w:szCs w:val="21"/>
              </w:rPr>
            </w:pPr>
            <w:r>
              <w:rPr>
                <w:rFonts w:hint="eastAsia" w:ascii="宋体" w:hAnsi="宋体" w:eastAsia="宋体" w:cs="Times New Roman"/>
                <w:b/>
                <w:kern w:val="0"/>
                <w:szCs w:val="21"/>
              </w:rPr>
              <w:t>指标点7-3</w:t>
            </w:r>
            <w:r>
              <w:rPr>
                <w:rFonts w:hint="eastAsia" w:ascii="宋体" w:hAnsi="宋体" w:eastAsia="宋体" w:cs="Times New Roman"/>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191" w:type="dxa"/>
            <w:vAlign w:val="center"/>
          </w:tcPr>
          <w:p w14:paraId="437CE0DE">
            <w:pPr>
              <w:jc w:val="center"/>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23D13B4A">
      <w:pPr>
        <w:spacing w:before="156" w:beforeLines="50" w:line="360" w:lineRule="auto"/>
        <w:ind w:firstLine="422" w:firstLineChars="200"/>
        <w:jc w:val="left"/>
        <w:outlineLvl w:val="1"/>
        <w:rPr>
          <w:rFonts w:hint="eastAsia" w:ascii="宋体" w:hAnsi="宋体" w:eastAsia="宋体" w:cs="Times New Roman"/>
          <w:b/>
          <w:szCs w:val="21"/>
        </w:rPr>
      </w:pPr>
      <w:bookmarkStart w:id="434" w:name="_Toc18043"/>
      <w:r>
        <w:rPr>
          <w:rFonts w:hint="eastAsia" w:ascii="宋体" w:hAnsi="宋体" w:eastAsia="宋体" w:cs="Times New Roman"/>
          <w:b/>
          <w:szCs w:val="21"/>
        </w:rPr>
        <w:t>（三）课程思政目标</w:t>
      </w:r>
      <w:bookmarkEnd w:id="434"/>
    </w:p>
    <w:p w14:paraId="2CDC41E7">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18D9015A">
      <w:pPr>
        <w:spacing w:before="62" w:beforeLines="20" w:after="62" w:afterLines="20" w:line="360" w:lineRule="auto"/>
        <w:jc w:val="left"/>
        <w:rPr>
          <w:rFonts w:ascii="Times New Roman" w:hAnsi="Times New Roman" w:eastAsia="宋体" w:cs="Times New Roman"/>
          <w:b/>
          <w:sz w:val="24"/>
        </w:rPr>
      </w:pPr>
      <w:bookmarkStart w:id="435" w:name="_Toc11545"/>
      <w:bookmarkStart w:id="436" w:name="_Toc7215"/>
      <w:bookmarkStart w:id="437" w:name="_Toc2004"/>
      <w:bookmarkStart w:id="438" w:name="_Toc19701"/>
      <w:bookmarkStart w:id="439" w:name="_Toc21784"/>
      <w:bookmarkStart w:id="440" w:name="_Toc21296"/>
      <w:bookmarkStart w:id="441" w:name="_Toc20730"/>
      <w:r>
        <w:rPr>
          <w:rFonts w:hint="eastAsia" w:ascii="Times New Roman" w:hAnsi="Times New Roman" w:eastAsia="宋体" w:cs="Times New Roman"/>
          <w:b/>
          <w:sz w:val="24"/>
        </w:rPr>
        <w:t>三、教学内容与预期学习成效</w:t>
      </w:r>
      <w:bookmarkEnd w:id="435"/>
      <w:bookmarkEnd w:id="436"/>
      <w:bookmarkEnd w:id="437"/>
      <w:bookmarkEnd w:id="438"/>
      <w:bookmarkEnd w:id="439"/>
      <w:bookmarkEnd w:id="440"/>
      <w:bookmarkEnd w:id="441"/>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342"/>
        <w:gridCol w:w="656"/>
      </w:tblGrid>
      <w:tr w14:paraId="14E6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815A9A5">
            <w:pPr>
              <w:jc w:val="center"/>
              <w:rPr>
                <w:rFonts w:hint="eastAsia" w:ascii="宋体" w:hAnsi="宋体" w:eastAsia="宋体" w:cs="Times New Roman"/>
                <w:b/>
                <w:szCs w:val="21"/>
              </w:rPr>
            </w:pPr>
            <w:r>
              <w:rPr>
                <w:rFonts w:hint="eastAsia" w:ascii="宋体" w:hAnsi="宋体" w:eastAsia="宋体" w:cs="Times New Roman"/>
                <w:b/>
                <w:szCs w:val="21"/>
              </w:rPr>
              <w:t>知识</w:t>
            </w:r>
          </w:p>
          <w:p w14:paraId="5219F183">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48530EDF">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356E6A83">
            <w:pPr>
              <w:jc w:val="center"/>
              <w:rPr>
                <w:rFonts w:hint="eastAsia" w:ascii="宋体" w:hAnsi="宋体" w:eastAsia="宋体" w:cs="Times New Roman"/>
                <w:b/>
                <w:szCs w:val="21"/>
              </w:rPr>
            </w:pPr>
            <w:r>
              <w:rPr>
                <w:rFonts w:hint="eastAsia" w:ascii="宋体" w:hAnsi="宋体" w:eastAsia="宋体" w:cs="Times New Roman"/>
                <w:b/>
                <w:szCs w:val="21"/>
              </w:rPr>
              <w:t>对应</w:t>
            </w:r>
          </w:p>
          <w:p w14:paraId="67F8F3D6">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54AF4730">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342" w:type="dxa"/>
            <w:vAlign w:val="center"/>
          </w:tcPr>
          <w:p w14:paraId="634ACC3C">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656" w:type="dxa"/>
            <w:vAlign w:val="center"/>
          </w:tcPr>
          <w:p w14:paraId="478A04CB">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411B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9DE7D0">
            <w:pPr>
              <w:jc w:val="center"/>
              <w:rPr>
                <w:rFonts w:hint="eastAsia" w:ascii="宋体" w:hAnsi="宋体" w:eastAsia="宋体" w:cs="Times New Roman"/>
                <w:szCs w:val="21"/>
              </w:rPr>
            </w:pPr>
            <w:r>
              <w:rPr>
                <w:rFonts w:hint="eastAsia" w:ascii="宋体" w:hAnsi="宋体" w:eastAsia="宋体" w:cs="Times New Roman"/>
                <w:szCs w:val="21"/>
              </w:rPr>
              <w:t>1.教育学及其发展</w:t>
            </w:r>
          </w:p>
        </w:tc>
        <w:tc>
          <w:tcPr>
            <w:tcW w:w="1701" w:type="dxa"/>
            <w:vAlign w:val="center"/>
          </w:tcPr>
          <w:p w14:paraId="68D31437">
            <w:pPr>
              <w:jc w:val="left"/>
              <w:rPr>
                <w:rFonts w:hint="eastAsia" w:ascii="宋体" w:hAnsi="宋体" w:eastAsia="宋体" w:cs="Times New Roman"/>
                <w:szCs w:val="21"/>
              </w:rPr>
            </w:pPr>
            <w:r>
              <w:rPr>
                <w:rFonts w:hint="eastAsia" w:ascii="宋体" w:hAnsi="宋体" w:eastAsia="宋体" w:cs="Times New Roman"/>
                <w:szCs w:val="21"/>
              </w:rPr>
              <w:t>（1）教育学及其研究对象</w:t>
            </w:r>
          </w:p>
          <w:p w14:paraId="04BB735A">
            <w:pPr>
              <w:jc w:val="left"/>
              <w:rPr>
                <w:rFonts w:hint="eastAsia" w:ascii="宋体" w:hAnsi="宋体" w:eastAsia="宋体" w:cs="Times New Roman"/>
                <w:szCs w:val="21"/>
              </w:rPr>
            </w:pPr>
            <w:r>
              <w:rPr>
                <w:rFonts w:hint="eastAsia" w:ascii="宋体" w:hAnsi="宋体" w:eastAsia="宋体" w:cs="Times New Roman"/>
                <w:szCs w:val="21"/>
              </w:rPr>
              <w:t>（2）教育学的产生和发展</w:t>
            </w:r>
          </w:p>
          <w:p w14:paraId="2644F05B">
            <w:pPr>
              <w:jc w:val="left"/>
              <w:rPr>
                <w:rFonts w:hint="eastAsia" w:ascii="宋体" w:hAnsi="宋体" w:eastAsia="宋体" w:cs="Times New Roman"/>
                <w:szCs w:val="21"/>
              </w:rPr>
            </w:pPr>
            <w:r>
              <w:rPr>
                <w:rFonts w:hint="eastAsia" w:ascii="宋体" w:hAnsi="宋体" w:eastAsia="宋体" w:cs="Times New Roman"/>
                <w:szCs w:val="21"/>
              </w:rPr>
              <w:t>（3）中国化马克思主义教育理论的发展</w:t>
            </w:r>
          </w:p>
          <w:p w14:paraId="3DC5906D">
            <w:pPr>
              <w:jc w:val="left"/>
              <w:rPr>
                <w:rFonts w:hint="eastAsia" w:ascii="宋体" w:hAnsi="宋体" w:eastAsia="宋体" w:cs="Times New Roman"/>
                <w:szCs w:val="21"/>
              </w:rPr>
            </w:pPr>
            <w:r>
              <w:rPr>
                <w:rFonts w:hint="eastAsia" w:ascii="宋体" w:hAnsi="宋体" w:eastAsia="宋体" w:cs="Times New Roman"/>
                <w:szCs w:val="21"/>
              </w:rPr>
              <w:t>（4）学习和研究教育学的指导思想</w:t>
            </w:r>
          </w:p>
        </w:tc>
        <w:tc>
          <w:tcPr>
            <w:tcW w:w="1134" w:type="dxa"/>
            <w:vAlign w:val="center"/>
          </w:tcPr>
          <w:p w14:paraId="5F42765E">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13C3ED03">
            <w:pPr>
              <w:jc w:val="left"/>
              <w:rPr>
                <w:rFonts w:hint="eastAsia" w:ascii="宋体" w:hAnsi="宋体" w:eastAsia="宋体" w:cs="Times New Roman"/>
                <w:szCs w:val="21"/>
              </w:rPr>
            </w:pPr>
            <w:r>
              <w:rPr>
                <w:rFonts w:ascii="宋体" w:hAnsi="宋体" w:eastAsia="宋体" w:cs="Times New Roman"/>
                <w:szCs w:val="21"/>
              </w:rPr>
              <w:t>1.理解教育学的概念表述</w:t>
            </w:r>
            <w:r>
              <w:rPr>
                <w:rFonts w:hint="eastAsia" w:ascii="宋体" w:hAnsi="宋体" w:eastAsia="宋体" w:cs="Times New Roman"/>
                <w:szCs w:val="21"/>
              </w:rPr>
              <w:t>；</w:t>
            </w:r>
          </w:p>
          <w:p w14:paraId="5E683F0A">
            <w:pPr>
              <w:jc w:val="left"/>
              <w:rPr>
                <w:rFonts w:hint="eastAsia" w:ascii="宋体" w:hAnsi="宋体" w:eastAsia="宋体" w:cs="Times New Roman"/>
                <w:szCs w:val="21"/>
              </w:rPr>
            </w:pPr>
            <w:r>
              <w:rPr>
                <w:rFonts w:ascii="宋体" w:hAnsi="宋体" w:eastAsia="宋体" w:cs="Times New Roman"/>
                <w:szCs w:val="21"/>
              </w:rPr>
              <w:t>2.了解教育学的学科性质、研究对象、发展历史以及中国化马克思主义教育理论的发展</w:t>
            </w:r>
            <w:r>
              <w:rPr>
                <w:rFonts w:hint="eastAsia" w:ascii="宋体" w:hAnsi="宋体" w:eastAsia="宋体" w:cs="Times New Roman"/>
                <w:szCs w:val="21"/>
              </w:rPr>
              <w:t>；</w:t>
            </w:r>
          </w:p>
          <w:p w14:paraId="60475040">
            <w:pPr>
              <w:jc w:val="left"/>
              <w:rPr>
                <w:rFonts w:hint="eastAsia" w:ascii="宋体" w:hAnsi="宋体" w:eastAsia="宋体" w:cs="Times New Roman"/>
                <w:szCs w:val="21"/>
              </w:rPr>
            </w:pPr>
            <w:r>
              <w:rPr>
                <w:rFonts w:ascii="宋体" w:hAnsi="宋体" w:eastAsia="宋体" w:cs="Times New Roman"/>
                <w:szCs w:val="21"/>
              </w:rPr>
              <w:t>3.掌握学习和研究教育学的基本方法和指导思想</w:t>
            </w:r>
            <w:r>
              <w:rPr>
                <w:rFonts w:hint="eastAsia" w:ascii="宋体" w:hAnsi="宋体" w:eastAsia="宋体" w:cs="Times New Roman"/>
                <w:szCs w:val="21"/>
              </w:rPr>
              <w:t>；</w:t>
            </w:r>
          </w:p>
          <w:p w14:paraId="2ADE9D7D">
            <w:pPr>
              <w:jc w:val="left"/>
              <w:rPr>
                <w:rFonts w:hint="eastAsia" w:ascii="宋体" w:hAnsi="宋体" w:eastAsia="宋体" w:cs="Times New Roman"/>
                <w:szCs w:val="21"/>
              </w:rPr>
            </w:pPr>
            <w:r>
              <w:rPr>
                <w:rFonts w:ascii="宋体" w:hAnsi="宋体" w:eastAsia="宋体" w:cs="Times New Roman"/>
                <w:szCs w:val="21"/>
              </w:rPr>
              <w:t>4.初步学会运用教育理论、教育规律指导实践，提高学习教育学的自觉性</w:t>
            </w:r>
            <w:r>
              <w:rPr>
                <w:rFonts w:hint="eastAsia" w:ascii="宋体" w:hAnsi="宋体" w:eastAsia="宋体" w:cs="Times New Roman"/>
                <w:szCs w:val="21"/>
              </w:rPr>
              <w:t>。</w:t>
            </w:r>
          </w:p>
        </w:tc>
        <w:tc>
          <w:tcPr>
            <w:tcW w:w="1342" w:type="dxa"/>
            <w:vAlign w:val="center"/>
          </w:tcPr>
          <w:p w14:paraId="394C9003">
            <w:pPr>
              <w:jc w:val="left"/>
              <w:rPr>
                <w:rFonts w:hint="eastAsia" w:ascii="宋体" w:hAnsi="宋体" w:eastAsia="宋体" w:cs="Times New Roman"/>
                <w:szCs w:val="21"/>
              </w:rPr>
            </w:pPr>
            <w:r>
              <w:rPr>
                <w:rFonts w:hint="eastAsia" w:ascii="宋体" w:hAnsi="宋体" w:eastAsia="宋体" w:cs="Times New Roman"/>
                <w:szCs w:val="21"/>
              </w:rPr>
              <w:t>1.线上学习</w:t>
            </w:r>
          </w:p>
          <w:p w14:paraId="493DA77E">
            <w:pPr>
              <w:jc w:val="left"/>
              <w:rPr>
                <w:rFonts w:hint="eastAsia" w:ascii="宋体" w:hAnsi="宋体" w:eastAsia="宋体" w:cs="Times New Roman"/>
                <w:szCs w:val="21"/>
              </w:rPr>
            </w:pPr>
            <w:r>
              <w:rPr>
                <w:rFonts w:hint="eastAsia" w:ascii="宋体" w:hAnsi="宋体" w:eastAsia="宋体" w:cs="Times New Roman"/>
                <w:szCs w:val="21"/>
              </w:rPr>
              <w:t>2.多媒体教学</w:t>
            </w:r>
          </w:p>
          <w:p w14:paraId="5D4F75E5">
            <w:pPr>
              <w:jc w:val="left"/>
              <w:rPr>
                <w:rFonts w:hint="eastAsia" w:ascii="宋体" w:hAnsi="宋体" w:eastAsia="宋体" w:cs="Times New Roman"/>
                <w:szCs w:val="21"/>
              </w:rPr>
            </w:pPr>
            <w:r>
              <w:rPr>
                <w:rFonts w:hint="eastAsia" w:ascii="宋体" w:hAnsi="宋体" w:eastAsia="宋体" w:cs="Times New Roman"/>
                <w:szCs w:val="21"/>
              </w:rPr>
              <w:t>3.课堂讨论</w:t>
            </w:r>
          </w:p>
          <w:p w14:paraId="4C6ACC53">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656" w:type="dxa"/>
            <w:vAlign w:val="center"/>
          </w:tcPr>
          <w:p w14:paraId="382D68D7">
            <w:pPr>
              <w:jc w:val="center"/>
              <w:rPr>
                <w:rFonts w:hint="eastAsia" w:ascii="宋体" w:hAnsi="宋体" w:eastAsia="宋体" w:cs="Times New Roman"/>
                <w:szCs w:val="21"/>
              </w:rPr>
            </w:pPr>
            <w:r>
              <w:rPr>
                <w:rFonts w:hint="eastAsia" w:ascii="宋体" w:hAnsi="宋体" w:eastAsia="宋体" w:cs="Times New Roman"/>
                <w:szCs w:val="21"/>
              </w:rPr>
              <w:t>2</w:t>
            </w:r>
          </w:p>
        </w:tc>
      </w:tr>
      <w:tr w14:paraId="4C0D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2BBDF26">
            <w:pPr>
              <w:jc w:val="center"/>
              <w:rPr>
                <w:rFonts w:hint="eastAsia" w:ascii="宋体" w:hAnsi="宋体" w:eastAsia="宋体" w:cs="Times New Roman"/>
                <w:szCs w:val="21"/>
              </w:rPr>
            </w:pPr>
          </w:p>
        </w:tc>
        <w:tc>
          <w:tcPr>
            <w:tcW w:w="8093" w:type="dxa"/>
            <w:gridSpan w:val="5"/>
            <w:vAlign w:val="center"/>
          </w:tcPr>
          <w:p w14:paraId="5C6C914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2EFF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61BD799">
            <w:pPr>
              <w:jc w:val="center"/>
              <w:rPr>
                <w:rFonts w:hint="eastAsia" w:ascii="宋体" w:hAnsi="宋体" w:eastAsia="宋体" w:cs="Times New Roman"/>
                <w:szCs w:val="21"/>
              </w:rPr>
            </w:pPr>
            <w:r>
              <w:rPr>
                <w:rFonts w:hint="eastAsia" w:ascii="宋体" w:hAnsi="宋体" w:eastAsia="宋体" w:cs="Times New Roman"/>
                <w:szCs w:val="21"/>
              </w:rPr>
              <w:t>2.教育及其本质</w:t>
            </w:r>
          </w:p>
        </w:tc>
        <w:tc>
          <w:tcPr>
            <w:tcW w:w="1701" w:type="dxa"/>
            <w:vAlign w:val="center"/>
          </w:tcPr>
          <w:p w14:paraId="352AE3EC">
            <w:pPr>
              <w:jc w:val="left"/>
              <w:rPr>
                <w:rFonts w:hint="eastAsia" w:ascii="宋体" w:hAnsi="宋体" w:eastAsia="宋体" w:cs="Times New Roman"/>
                <w:szCs w:val="21"/>
              </w:rPr>
            </w:pPr>
            <w:r>
              <w:rPr>
                <w:rFonts w:hint="eastAsia" w:ascii="宋体" w:hAnsi="宋体" w:eastAsia="宋体" w:cs="Times New Roman"/>
                <w:szCs w:val="21"/>
              </w:rPr>
              <w:t>（1）教育的产生与发展</w:t>
            </w:r>
          </w:p>
          <w:p w14:paraId="49769852">
            <w:pPr>
              <w:jc w:val="left"/>
              <w:rPr>
                <w:rFonts w:hint="eastAsia" w:ascii="宋体" w:hAnsi="宋体" w:eastAsia="宋体" w:cs="Times New Roman"/>
                <w:szCs w:val="21"/>
              </w:rPr>
            </w:pPr>
            <w:r>
              <w:rPr>
                <w:rFonts w:hint="eastAsia" w:ascii="宋体" w:hAnsi="宋体" w:eastAsia="宋体" w:cs="Times New Roman"/>
                <w:szCs w:val="21"/>
              </w:rPr>
              <w:t>（2）教育的基本内涵</w:t>
            </w:r>
          </w:p>
          <w:p w14:paraId="65BE557B">
            <w:pPr>
              <w:jc w:val="left"/>
              <w:rPr>
                <w:rFonts w:hint="eastAsia" w:ascii="宋体" w:hAnsi="宋体" w:eastAsia="宋体" w:cs="Times New Roman"/>
                <w:szCs w:val="21"/>
              </w:rPr>
            </w:pPr>
            <w:r>
              <w:rPr>
                <w:rFonts w:hint="eastAsia" w:ascii="宋体" w:hAnsi="宋体" w:eastAsia="宋体" w:cs="Times New Roman"/>
                <w:szCs w:val="21"/>
              </w:rPr>
              <w:t>（3）教育的要素与形态</w:t>
            </w:r>
          </w:p>
        </w:tc>
        <w:tc>
          <w:tcPr>
            <w:tcW w:w="1134" w:type="dxa"/>
            <w:vAlign w:val="center"/>
          </w:tcPr>
          <w:p w14:paraId="51E24BC4">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3260" w:type="dxa"/>
            <w:vAlign w:val="center"/>
          </w:tcPr>
          <w:p w14:paraId="7181703F">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正确理解并掌握“教育”的概念及其含义</w:t>
            </w:r>
            <w:r>
              <w:rPr>
                <w:rFonts w:hint="eastAsia" w:ascii="宋体" w:hAnsi="宋体" w:eastAsia="宋体" w:cs="Times New Roman"/>
                <w:szCs w:val="21"/>
              </w:rPr>
              <w:t>；</w:t>
            </w:r>
          </w:p>
          <w:p w14:paraId="0DBC1D1F">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了解教育发展的基本阶段及每个阶段教育的重要特征、代表人物及其著作和主要思想主张</w:t>
            </w:r>
            <w:r>
              <w:rPr>
                <w:rFonts w:hint="eastAsia" w:ascii="宋体" w:hAnsi="宋体" w:eastAsia="宋体" w:cs="Times New Roman"/>
                <w:szCs w:val="21"/>
              </w:rPr>
              <w:t>；</w:t>
            </w:r>
          </w:p>
          <w:p w14:paraId="04B5E809">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理解教育的基本要素及它们之间的关系，以及在当代的变化。</w:t>
            </w:r>
          </w:p>
        </w:tc>
        <w:tc>
          <w:tcPr>
            <w:tcW w:w="1342" w:type="dxa"/>
            <w:vAlign w:val="center"/>
          </w:tcPr>
          <w:p w14:paraId="51935678">
            <w:pPr>
              <w:jc w:val="left"/>
              <w:rPr>
                <w:rFonts w:hint="eastAsia" w:ascii="宋体" w:hAnsi="宋体" w:eastAsia="宋体" w:cs="Times New Roman"/>
                <w:szCs w:val="21"/>
              </w:rPr>
            </w:pPr>
            <w:r>
              <w:rPr>
                <w:rFonts w:hint="eastAsia" w:ascii="宋体" w:hAnsi="宋体" w:eastAsia="宋体" w:cs="Times New Roman"/>
                <w:szCs w:val="21"/>
              </w:rPr>
              <w:t>1.线上学习</w:t>
            </w:r>
          </w:p>
          <w:p w14:paraId="1C691216">
            <w:pPr>
              <w:jc w:val="left"/>
              <w:rPr>
                <w:rFonts w:hint="eastAsia" w:ascii="宋体" w:hAnsi="宋体" w:eastAsia="宋体" w:cs="Times New Roman"/>
                <w:szCs w:val="21"/>
              </w:rPr>
            </w:pPr>
            <w:r>
              <w:rPr>
                <w:rFonts w:hint="eastAsia" w:ascii="宋体" w:hAnsi="宋体" w:eastAsia="宋体" w:cs="Times New Roman"/>
                <w:szCs w:val="21"/>
              </w:rPr>
              <w:t>2.多媒体教学</w:t>
            </w:r>
          </w:p>
          <w:p w14:paraId="05E79D54">
            <w:pPr>
              <w:jc w:val="left"/>
              <w:rPr>
                <w:rFonts w:hint="eastAsia" w:ascii="宋体" w:hAnsi="宋体" w:eastAsia="宋体" w:cs="Times New Roman"/>
                <w:szCs w:val="21"/>
              </w:rPr>
            </w:pPr>
            <w:r>
              <w:rPr>
                <w:rFonts w:hint="eastAsia" w:ascii="宋体" w:hAnsi="宋体" w:eastAsia="宋体" w:cs="Times New Roman"/>
                <w:szCs w:val="21"/>
              </w:rPr>
              <w:t>3.课堂讨论</w:t>
            </w:r>
          </w:p>
          <w:p w14:paraId="218B4FFF">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656" w:type="dxa"/>
            <w:vAlign w:val="center"/>
          </w:tcPr>
          <w:p w14:paraId="7888B11D">
            <w:pPr>
              <w:jc w:val="center"/>
              <w:rPr>
                <w:rFonts w:hint="eastAsia" w:ascii="宋体" w:hAnsi="宋体" w:eastAsia="宋体" w:cs="Times New Roman"/>
                <w:szCs w:val="21"/>
              </w:rPr>
            </w:pPr>
            <w:r>
              <w:rPr>
                <w:rFonts w:hint="eastAsia" w:ascii="宋体" w:hAnsi="宋体" w:eastAsia="宋体" w:cs="Times New Roman"/>
                <w:szCs w:val="21"/>
              </w:rPr>
              <w:t>4</w:t>
            </w:r>
          </w:p>
        </w:tc>
      </w:tr>
      <w:tr w14:paraId="413A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29C287">
            <w:pPr>
              <w:jc w:val="center"/>
              <w:rPr>
                <w:rFonts w:hint="eastAsia" w:ascii="宋体" w:hAnsi="宋体" w:eastAsia="宋体" w:cs="Times New Roman"/>
                <w:szCs w:val="21"/>
              </w:rPr>
            </w:pPr>
          </w:p>
        </w:tc>
        <w:tc>
          <w:tcPr>
            <w:tcW w:w="8093" w:type="dxa"/>
            <w:gridSpan w:val="5"/>
            <w:vAlign w:val="center"/>
          </w:tcPr>
          <w:p w14:paraId="37187B2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使学生形成对教育的阶级性和教育与社会意识形态关系的正确认知，明确社会主义教育的本质。把握教育的本质在于培养人，深刻理解习近平曾多次论述的教育要“培养什么人、怎样培养人、为谁培养人”的问题。</w:t>
            </w:r>
          </w:p>
        </w:tc>
      </w:tr>
      <w:tr w14:paraId="2745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3E0CD12">
            <w:pPr>
              <w:jc w:val="center"/>
              <w:rPr>
                <w:rFonts w:hint="eastAsia" w:ascii="宋体" w:hAnsi="宋体" w:eastAsia="宋体" w:cs="Times New Roman"/>
                <w:szCs w:val="21"/>
              </w:rPr>
            </w:pPr>
            <w:r>
              <w:rPr>
                <w:rFonts w:hint="eastAsia" w:ascii="宋体" w:hAnsi="宋体" w:eastAsia="宋体" w:cs="Times New Roman"/>
                <w:szCs w:val="21"/>
              </w:rPr>
              <w:t>3.教育与社会发展</w:t>
            </w:r>
          </w:p>
        </w:tc>
        <w:tc>
          <w:tcPr>
            <w:tcW w:w="1701" w:type="dxa"/>
            <w:vAlign w:val="center"/>
          </w:tcPr>
          <w:p w14:paraId="122830B1">
            <w:pPr>
              <w:jc w:val="left"/>
              <w:rPr>
                <w:rFonts w:hint="eastAsia" w:ascii="宋体" w:hAnsi="宋体" w:eastAsia="宋体" w:cs="Times New Roman"/>
                <w:szCs w:val="21"/>
              </w:rPr>
            </w:pPr>
            <w:r>
              <w:rPr>
                <w:rFonts w:hint="eastAsia" w:ascii="宋体" w:hAnsi="宋体" w:eastAsia="宋体" w:cs="Times New Roman"/>
                <w:szCs w:val="21"/>
              </w:rPr>
              <w:t>（1）社会对教育发展的影响</w:t>
            </w:r>
          </w:p>
          <w:p w14:paraId="2AE0A13C">
            <w:pPr>
              <w:jc w:val="left"/>
              <w:rPr>
                <w:rFonts w:hint="eastAsia" w:ascii="宋体" w:hAnsi="宋体" w:eastAsia="宋体" w:cs="Times New Roman"/>
                <w:szCs w:val="21"/>
              </w:rPr>
            </w:pPr>
            <w:r>
              <w:rPr>
                <w:rFonts w:hint="eastAsia" w:ascii="宋体" w:hAnsi="宋体" w:eastAsia="宋体" w:cs="Times New Roman"/>
                <w:szCs w:val="21"/>
              </w:rPr>
              <w:t>（2）教育对社会发展的促进功能</w:t>
            </w:r>
          </w:p>
          <w:p w14:paraId="069657B6">
            <w:pPr>
              <w:jc w:val="left"/>
              <w:rPr>
                <w:rFonts w:hint="eastAsia" w:ascii="宋体" w:hAnsi="宋体" w:eastAsia="宋体" w:cs="Times New Roman"/>
                <w:szCs w:val="21"/>
              </w:rPr>
            </w:pPr>
            <w:r>
              <w:rPr>
                <w:rFonts w:hint="eastAsia" w:ascii="宋体" w:hAnsi="宋体" w:eastAsia="宋体" w:cs="Times New Roman"/>
                <w:szCs w:val="21"/>
              </w:rPr>
              <w:t>（3）教育在社会主义现代化建设中的地位与作用</w:t>
            </w:r>
          </w:p>
        </w:tc>
        <w:tc>
          <w:tcPr>
            <w:tcW w:w="1134" w:type="dxa"/>
            <w:vAlign w:val="center"/>
          </w:tcPr>
          <w:p w14:paraId="50AF9D95">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3260" w:type="dxa"/>
            <w:vAlign w:val="center"/>
          </w:tcPr>
          <w:p w14:paraId="7C3D4D5E">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全面地认识经济、政治、文化、科技等对现代教育的制约性影响</w:t>
            </w:r>
            <w:r>
              <w:rPr>
                <w:rFonts w:hint="eastAsia" w:ascii="宋体" w:hAnsi="宋体" w:eastAsia="宋体" w:cs="Times New Roman"/>
                <w:szCs w:val="21"/>
              </w:rPr>
              <w:t>；</w:t>
            </w:r>
          </w:p>
          <w:p w14:paraId="56CE1319">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科学地认识教育对政治、经济、文化、科技等社会要求影响的原理与有限性</w:t>
            </w:r>
            <w:r>
              <w:rPr>
                <w:rFonts w:hint="eastAsia" w:ascii="宋体" w:hAnsi="宋体" w:eastAsia="宋体" w:cs="Times New Roman"/>
                <w:szCs w:val="21"/>
              </w:rPr>
              <w:t>；</w:t>
            </w:r>
          </w:p>
          <w:p w14:paraId="3ABF7AFA">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了解当前政治、经济、文化、科技等社会要素的新发展带来的教育影响。</w:t>
            </w:r>
          </w:p>
        </w:tc>
        <w:tc>
          <w:tcPr>
            <w:tcW w:w="1342" w:type="dxa"/>
            <w:vAlign w:val="center"/>
          </w:tcPr>
          <w:p w14:paraId="5EDD9AF1">
            <w:pPr>
              <w:jc w:val="left"/>
              <w:rPr>
                <w:rFonts w:hint="eastAsia" w:ascii="宋体" w:hAnsi="宋体" w:eastAsia="宋体" w:cs="Times New Roman"/>
                <w:szCs w:val="21"/>
              </w:rPr>
            </w:pPr>
            <w:r>
              <w:rPr>
                <w:rFonts w:ascii="宋体" w:hAnsi="宋体" w:eastAsia="宋体" w:cs="Times New Roman"/>
                <w:szCs w:val="21"/>
              </w:rPr>
              <w:t>1.线上学习</w:t>
            </w:r>
          </w:p>
          <w:p w14:paraId="768DEC62">
            <w:pPr>
              <w:jc w:val="left"/>
              <w:rPr>
                <w:rFonts w:hint="eastAsia" w:ascii="宋体" w:hAnsi="宋体" w:eastAsia="宋体" w:cs="Times New Roman"/>
                <w:szCs w:val="21"/>
              </w:rPr>
            </w:pPr>
            <w:r>
              <w:rPr>
                <w:rFonts w:ascii="宋体" w:hAnsi="宋体" w:eastAsia="宋体" w:cs="Times New Roman"/>
                <w:szCs w:val="21"/>
              </w:rPr>
              <w:t>2.多媒体教学</w:t>
            </w:r>
          </w:p>
          <w:p w14:paraId="3DB26DD4">
            <w:pPr>
              <w:jc w:val="left"/>
              <w:rPr>
                <w:rFonts w:hint="eastAsia" w:ascii="宋体" w:hAnsi="宋体" w:eastAsia="宋体" w:cs="Times New Roman"/>
                <w:szCs w:val="21"/>
              </w:rPr>
            </w:pPr>
            <w:r>
              <w:rPr>
                <w:rFonts w:ascii="宋体" w:hAnsi="宋体" w:eastAsia="宋体" w:cs="Times New Roman"/>
                <w:szCs w:val="21"/>
              </w:rPr>
              <w:t>3.课堂讨论</w:t>
            </w:r>
          </w:p>
          <w:p w14:paraId="012C2C2C">
            <w:pPr>
              <w:jc w:val="left"/>
              <w:rPr>
                <w:rFonts w:hint="eastAsia" w:ascii="宋体" w:hAnsi="宋体" w:eastAsia="宋体" w:cs="Times New Roman"/>
                <w:szCs w:val="21"/>
              </w:rPr>
            </w:pPr>
            <w:r>
              <w:rPr>
                <w:rFonts w:ascii="宋体" w:hAnsi="宋体" w:eastAsia="宋体" w:cs="Times New Roman"/>
                <w:szCs w:val="21"/>
              </w:rPr>
              <w:t>4.单元测验</w:t>
            </w:r>
          </w:p>
        </w:tc>
        <w:tc>
          <w:tcPr>
            <w:tcW w:w="656" w:type="dxa"/>
            <w:vAlign w:val="center"/>
          </w:tcPr>
          <w:p w14:paraId="16A73268">
            <w:pPr>
              <w:jc w:val="center"/>
              <w:rPr>
                <w:rFonts w:hint="eastAsia" w:ascii="宋体" w:hAnsi="宋体" w:eastAsia="宋体" w:cs="Times New Roman"/>
                <w:szCs w:val="21"/>
              </w:rPr>
            </w:pPr>
            <w:r>
              <w:rPr>
                <w:rFonts w:hint="eastAsia" w:ascii="宋体" w:hAnsi="宋体" w:eastAsia="宋体" w:cs="Times New Roman"/>
                <w:szCs w:val="21"/>
              </w:rPr>
              <w:t>3</w:t>
            </w:r>
          </w:p>
        </w:tc>
      </w:tr>
      <w:tr w14:paraId="7F12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2AD96C0">
            <w:pPr>
              <w:jc w:val="center"/>
              <w:rPr>
                <w:rFonts w:hint="eastAsia" w:ascii="宋体" w:hAnsi="宋体" w:eastAsia="宋体" w:cs="Times New Roman"/>
                <w:szCs w:val="21"/>
              </w:rPr>
            </w:pPr>
          </w:p>
        </w:tc>
        <w:tc>
          <w:tcPr>
            <w:tcW w:w="8093" w:type="dxa"/>
            <w:gridSpan w:val="5"/>
            <w:vAlign w:val="center"/>
          </w:tcPr>
          <w:p w14:paraId="487D041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从辩证思维的角度掌握教育与社会发展的关系在分析教育与经济、教育与政治、教育与文化的关系中，树立制度自信和文化自信。</w:t>
            </w:r>
          </w:p>
        </w:tc>
      </w:tr>
      <w:tr w14:paraId="197A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8EA6B9F">
            <w:pPr>
              <w:jc w:val="center"/>
              <w:rPr>
                <w:rFonts w:hint="eastAsia" w:ascii="宋体" w:hAnsi="宋体" w:eastAsia="宋体" w:cs="Times New Roman"/>
                <w:szCs w:val="21"/>
              </w:rPr>
            </w:pPr>
            <w:r>
              <w:rPr>
                <w:rFonts w:hint="eastAsia" w:ascii="宋体" w:hAnsi="宋体" w:eastAsia="宋体" w:cs="Times New Roman"/>
                <w:szCs w:val="21"/>
              </w:rPr>
              <w:t>4.教育与人的发展</w:t>
            </w:r>
          </w:p>
        </w:tc>
        <w:tc>
          <w:tcPr>
            <w:tcW w:w="1701" w:type="dxa"/>
            <w:vAlign w:val="center"/>
          </w:tcPr>
          <w:p w14:paraId="542FAA92">
            <w:pPr>
              <w:jc w:val="left"/>
              <w:rPr>
                <w:rFonts w:hint="eastAsia" w:ascii="宋体" w:hAnsi="宋体" w:eastAsia="宋体" w:cs="Times New Roman"/>
                <w:szCs w:val="21"/>
              </w:rPr>
            </w:pPr>
            <w:r>
              <w:rPr>
                <w:rFonts w:hint="eastAsia" w:ascii="宋体" w:hAnsi="宋体" w:eastAsia="宋体" w:cs="Times New Roman"/>
                <w:szCs w:val="21"/>
              </w:rPr>
              <w:t>（1）人的身心发展及其影响因素</w:t>
            </w:r>
          </w:p>
          <w:p w14:paraId="43AF8DF6">
            <w:pPr>
              <w:jc w:val="left"/>
              <w:rPr>
                <w:rFonts w:hint="eastAsia" w:ascii="宋体" w:hAnsi="宋体" w:eastAsia="宋体" w:cs="Times New Roman"/>
                <w:szCs w:val="21"/>
              </w:rPr>
            </w:pPr>
            <w:r>
              <w:rPr>
                <w:rFonts w:hint="eastAsia" w:ascii="宋体" w:hAnsi="宋体" w:eastAsia="宋体" w:cs="Times New Roman"/>
                <w:szCs w:val="21"/>
              </w:rPr>
              <w:t>（2）教育促进个体发展的功能</w:t>
            </w:r>
          </w:p>
          <w:p w14:paraId="40E5F7ED">
            <w:pPr>
              <w:jc w:val="left"/>
              <w:rPr>
                <w:rFonts w:hint="eastAsia" w:ascii="宋体" w:hAnsi="宋体" w:eastAsia="宋体" w:cs="Times New Roman"/>
                <w:szCs w:val="21"/>
              </w:rPr>
            </w:pPr>
            <w:r>
              <w:rPr>
                <w:rFonts w:hint="eastAsia" w:ascii="宋体" w:hAnsi="宋体" w:eastAsia="宋体" w:cs="Times New Roman"/>
                <w:szCs w:val="21"/>
              </w:rPr>
              <w:t>（3）教育促进个体发展的条件</w:t>
            </w:r>
          </w:p>
        </w:tc>
        <w:tc>
          <w:tcPr>
            <w:tcW w:w="1134" w:type="dxa"/>
            <w:vAlign w:val="center"/>
          </w:tcPr>
          <w:p w14:paraId="5165059B">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2B94E23A">
            <w:pPr>
              <w:jc w:val="left"/>
              <w:rPr>
                <w:rFonts w:hint="eastAsia" w:ascii="宋体" w:hAnsi="宋体" w:eastAsia="宋体" w:cs="Times New Roman"/>
                <w:szCs w:val="21"/>
              </w:rPr>
            </w:pPr>
            <w:r>
              <w:rPr>
                <w:rFonts w:hint="eastAsia" w:ascii="宋体" w:hAnsi="宋体" w:eastAsia="宋体" w:cs="Times New Roman"/>
                <w:szCs w:val="21"/>
              </w:rPr>
              <w:t>1.理解并掌握人的发展的内涵及特征及其影响因素，且能运用其对相关教育理论和实践问题进行分析；</w:t>
            </w:r>
          </w:p>
          <w:p w14:paraId="09B79986">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w:t>
            </w:r>
            <w:r>
              <w:rPr>
                <w:rFonts w:hint="eastAsia" w:ascii="宋体" w:hAnsi="宋体" w:eastAsia="宋体" w:cs="Times New Roman"/>
                <w:szCs w:val="21"/>
              </w:rPr>
              <w:t>并掌握</w:t>
            </w:r>
            <w:r>
              <w:rPr>
                <w:rFonts w:ascii="宋体" w:hAnsi="宋体" w:eastAsia="宋体" w:cs="Times New Roman"/>
                <w:szCs w:val="21"/>
              </w:rPr>
              <w:t>教育与</w:t>
            </w:r>
            <w:r>
              <w:rPr>
                <w:rFonts w:hint="eastAsia" w:ascii="宋体" w:hAnsi="宋体" w:eastAsia="宋体" w:cs="Times New Roman"/>
                <w:szCs w:val="21"/>
              </w:rPr>
              <w:t>个体</w:t>
            </w:r>
            <w:r>
              <w:rPr>
                <w:rFonts w:ascii="宋体" w:hAnsi="宋体" w:eastAsia="宋体" w:cs="Times New Roman"/>
                <w:szCs w:val="21"/>
              </w:rPr>
              <w:t>发展的关系</w:t>
            </w:r>
            <w:r>
              <w:rPr>
                <w:rFonts w:hint="eastAsia" w:ascii="宋体" w:hAnsi="宋体" w:eastAsia="宋体" w:cs="Times New Roman"/>
                <w:szCs w:val="21"/>
              </w:rPr>
              <w:t>，其能运用其对教育相关理论和实践问题进行分析。</w:t>
            </w:r>
          </w:p>
        </w:tc>
        <w:tc>
          <w:tcPr>
            <w:tcW w:w="1342" w:type="dxa"/>
            <w:vAlign w:val="center"/>
          </w:tcPr>
          <w:p w14:paraId="638963F9">
            <w:pPr>
              <w:jc w:val="left"/>
              <w:rPr>
                <w:rFonts w:hint="eastAsia" w:ascii="宋体" w:hAnsi="宋体" w:eastAsia="宋体" w:cs="Times New Roman"/>
                <w:szCs w:val="21"/>
              </w:rPr>
            </w:pPr>
            <w:r>
              <w:rPr>
                <w:rFonts w:ascii="宋体" w:hAnsi="宋体" w:eastAsia="宋体" w:cs="Times New Roman"/>
                <w:szCs w:val="21"/>
              </w:rPr>
              <w:t>1.线上学习</w:t>
            </w:r>
          </w:p>
          <w:p w14:paraId="28CD2D70">
            <w:pPr>
              <w:jc w:val="left"/>
              <w:rPr>
                <w:rFonts w:hint="eastAsia" w:ascii="宋体" w:hAnsi="宋体" w:eastAsia="宋体" w:cs="Times New Roman"/>
                <w:szCs w:val="21"/>
              </w:rPr>
            </w:pPr>
            <w:r>
              <w:rPr>
                <w:rFonts w:ascii="宋体" w:hAnsi="宋体" w:eastAsia="宋体" w:cs="Times New Roman"/>
                <w:szCs w:val="21"/>
              </w:rPr>
              <w:t>2.多媒体教学</w:t>
            </w:r>
          </w:p>
          <w:p w14:paraId="6254DD54">
            <w:pPr>
              <w:jc w:val="left"/>
              <w:rPr>
                <w:rFonts w:hint="eastAsia" w:ascii="宋体" w:hAnsi="宋体" w:eastAsia="宋体" w:cs="Times New Roman"/>
                <w:szCs w:val="21"/>
              </w:rPr>
            </w:pPr>
            <w:r>
              <w:rPr>
                <w:rFonts w:ascii="宋体" w:hAnsi="宋体" w:eastAsia="宋体" w:cs="Times New Roman"/>
                <w:szCs w:val="21"/>
              </w:rPr>
              <w:t>3.课堂讨论</w:t>
            </w:r>
          </w:p>
          <w:p w14:paraId="6CBBCFD5">
            <w:pPr>
              <w:jc w:val="left"/>
              <w:rPr>
                <w:rFonts w:hint="eastAsia" w:ascii="宋体" w:hAnsi="宋体" w:eastAsia="宋体" w:cs="Times New Roman"/>
                <w:szCs w:val="21"/>
              </w:rPr>
            </w:pPr>
            <w:r>
              <w:rPr>
                <w:rFonts w:ascii="宋体" w:hAnsi="宋体" w:eastAsia="宋体" w:cs="Times New Roman"/>
                <w:szCs w:val="21"/>
              </w:rPr>
              <w:t>4.单元测验</w:t>
            </w:r>
          </w:p>
        </w:tc>
        <w:tc>
          <w:tcPr>
            <w:tcW w:w="656" w:type="dxa"/>
            <w:vAlign w:val="center"/>
          </w:tcPr>
          <w:p w14:paraId="7C2102EE">
            <w:pPr>
              <w:jc w:val="center"/>
              <w:rPr>
                <w:rFonts w:hint="eastAsia" w:ascii="宋体" w:hAnsi="宋体" w:eastAsia="宋体" w:cs="Times New Roman"/>
                <w:szCs w:val="21"/>
              </w:rPr>
            </w:pPr>
            <w:r>
              <w:rPr>
                <w:rFonts w:hint="eastAsia" w:ascii="宋体" w:hAnsi="宋体" w:eastAsia="宋体" w:cs="Times New Roman"/>
                <w:szCs w:val="21"/>
              </w:rPr>
              <w:t>3</w:t>
            </w:r>
          </w:p>
        </w:tc>
      </w:tr>
      <w:tr w14:paraId="46D4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61BAF07">
            <w:pPr>
              <w:jc w:val="center"/>
              <w:rPr>
                <w:rFonts w:hint="eastAsia" w:ascii="宋体" w:hAnsi="宋体" w:eastAsia="宋体" w:cs="Times New Roman"/>
                <w:szCs w:val="21"/>
              </w:rPr>
            </w:pPr>
          </w:p>
        </w:tc>
        <w:tc>
          <w:tcPr>
            <w:tcW w:w="8093" w:type="dxa"/>
            <w:gridSpan w:val="5"/>
            <w:vAlign w:val="center"/>
          </w:tcPr>
          <w:p w14:paraId="6F16555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通过了解人的身心发展的特点，培养学生热爱教育事业和学生的情感，增强从事教育事业的责任感和使命感。</w:t>
            </w:r>
          </w:p>
        </w:tc>
      </w:tr>
      <w:tr w14:paraId="16B7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DE83F7C">
            <w:pPr>
              <w:jc w:val="center"/>
              <w:rPr>
                <w:rFonts w:hint="eastAsia" w:ascii="宋体" w:hAnsi="宋体" w:eastAsia="宋体" w:cs="Times New Roman"/>
                <w:szCs w:val="21"/>
              </w:rPr>
            </w:pPr>
            <w:r>
              <w:rPr>
                <w:rFonts w:hint="eastAsia" w:ascii="宋体" w:hAnsi="宋体" w:eastAsia="宋体" w:cs="Times New Roman"/>
                <w:szCs w:val="21"/>
              </w:rPr>
              <w:t>5.教育目的</w:t>
            </w:r>
          </w:p>
        </w:tc>
        <w:tc>
          <w:tcPr>
            <w:tcW w:w="1701" w:type="dxa"/>
            <w:vAlign w:val="center"/>
          </w:tcPr>
          <w:p w14:paraId="01D858DC">
            <w:pPr>
              <w:jc w:val="left"/>
              <w:rPr>
                <w:rFonts w:hint="eastAsia" w:ascii="宋体" w:hAnsi="宋体" w:eastAsia="宋体" w:cs="Times New Roman"/>
                <w:szCs w:val="21"/>
              </w:rPr>
            </w:pPr>
            <w:r>
              <w:rPr>
                <w:rFonts w:hint="eastAsia" w:ascii="宋体" w:hAnsi="宋体" w:eastAsia="宋体" w:cs="Times New Roman"/>
                <w:szCs w:val="21"/>
              </w:rPr>
              <w:t>（1）教育目的概述</w:t>
            </w:r>
          </w:p>
          <w:p w14:paraId="63D5971C">
            <w:pPr>
              <w:jc w:val="left"/>
              <w:rPr>
                <w:rFonts w:hint="eastAsia" w:ascii="宋体" w:hAnsi="宋体" w:eastAsia="宋体" w:cs="Times New Roman"/>
                <w:szCs w:val="21"/>
              </w:rPr>
            </w:pPr>
            <w:r>
              <w:rPr>
                <w:rFonts w:hint="eastAsia" w:ascii="宋体" w:hAnsi="宋体" w:eastAsia="宋体" w:cs="Times New Roman"/>
                <w:szCs w:val="21"/>
              </w:rPr>
              <w:t>（2）我国教育目的的理论基础</w:t>
            </w:r>
          </w:p>
          <w:p w14:paraId="1412E6F1">
            <w:pPr>
              <w:jc w:val="left"/>
              <w:rPr>
                <w:rFonts w:hint="eastAsia" w:ascii="宋体" w:hAnsi="宋体" w:eastAsia="宋体" w:cs="Times New Roman"/>
                <w:szCs w:val="21"/>
              </w:rPr>
            </w:pPr>
            <w:r>
              <w:rPr>
                <w:rFonts w:hint="eastAsia" w:ascii="宋体" w:hAnsi="宋体" w:eastAsia="宋体" w:cs="Times New Roman"/>
                <w:szCs w:val="21"/>
              </w:rPr>
              <w:t>（3）我国的教育目的</w:t>
            </w:r>
          </w:p>
          <w:p w14:paraId="343266E5">
            <w:pPr>
              <w:jc w:val="left"/>
              <w:rPr>
                <w:rFonts w:hint="eastAsia" w:ascii="宋体" w:hAnsi="宋体" w:eastAsia="宋体" w:cs="Times New Roman"/>
                <w:szCs w:val="21"/>
              </w:rPr>
            </w:pPr>
            <w:r>
              <w:rPr>
                <w:rFonts w:hint="eastAsia" w:ascii="宋体" w:hAnsi="宋体" w:eastAsia="宋体" w:cs="Times New Roman"/>
                <w:szCs w:val="21"/>
              </w:rPr>
              <w:t>（4）素质教育创新人才培养</w:t>
            </w:r>
          </w:p>
        </w:tc>
        <w:tc>
          <w:tcPr>
            <w:tcW w:w="1134" w:type="dxa"/>
            <w:vAlign w:val="center"/>
          </w:tcPr>
          <w:p w14:paraId="0CA233A4">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45A3C2E4">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掌握教育目的、培养目标、全面发展教育等基本概念</w:t>
            </w:r>
            <w:r>
              <w:rPr>
                <w:rFonts w:hint="eastAsia" w:ascii="宋体" w:hAnsi="宋体" w:eastAsia="宋体" w:cs="Times New Roman"/>
                <w:szCs w:val="21"/>
              </w:rPr>
              <w:t>；</w:t>
            </w:r>
          </w:p>
          <w:p w14:paraId="36787407">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理解教育目的的内容与功能、依据与类型</w:t>
            </w:r>
            <w:r>
              <w:rPr>
                <w:rFonts w:hint="eastAsia" w:ascii="宋体" w:hAnsi="宋体" w:eastAsia="宋体" w:cs="Times New Roman"/>
                <w:szCs w:val="21"/>
              </w:rPr>
              <w:t>；</w:t>
            </w:r>
          </w:p>
          <w:p w14:paraId="46080A28">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了解我国教育方针的演变，能够联系实际认识我国教育目的，能够正确认识素质教育和应试教育问题。</w:t>
            </w:r>
          </w:p>
        </w:tc>
        <w:tc>
          <w:tcPr>
            <w:tcW w:w="1342" w:type="dxa"/>
            <w:vAlign w:val="center"/>
          </w:tcPr>
          <w:p w14:paraId="3D7A83A9">
            <w:pPr>
              <w:jc w:val="left"/>
              <w:rPr>
                <w:rFonts w:hint="eastAsia" w:ascii="宋体" w:hAnsi="宋体" w:eastAsia="宋体" w:cs="Times New Roman"/>
                <w:szCs w:val="21"/>
              </w:rPr>
            </w:pPr>
            <w:r>
              <w:rPr>
                <w:rFonts w:ascii="宋体" w:hAnsi="宋体" w:eastAsia="宋体" w:cs="Times New Roman"/>
                <w:szCs w:val="21"/>
              </w:rPr>
              <w:t>1.线上学习</w:t>
            </w:r>
          </w:p>
          <w:p w14:paraId="2019D026">
            <w:pPr>
              <w:jc w:val="left"/>
              <w:rPr>
                <w:rFonts w:hint="eastAsia" w:ascii="宋体" w:hAnsi="宋体" w:eastAsia="宋体" w:cs="Times New Roman"/>
                <w:szCs w:val="21"/>
              </w:rPr>
            </w:pPr>
            <w:r>
              <w:rPr>
                <w:rFonts w:ascii="宋体" w:hAnsi="宋体" w:eastAsia="宋体" w:cs="Times New Roman"/>
                <w:szCs w:val="21"/>
              </w:rPr>
              <w:t>2.多媒体教学</w:t>
            </w:r>
          </w:p>
          <w:p w14:paraId="19530EE9">
            <w:pPr>
              <w:jc w:val="left"/>
              <w:rPr>
                <w:rFonts w:hint="eastAsia" w:ascii="宋体" w:hAnsi="宋体" w:eastAsia="宋体" w:cs="Times New Roman"/>
                <w:szCs w:val="21"/>
              </w:rPr>
            </w:pPr>
            <w:r>
              <w:rPr>
                <w:rFonts w:ascii="宋体" w:hAnsi="宋体" w:eastAsia="宋体" w:cs="Times New Roman"/>
                <w:szCs w:val="21"/>
              </w:rPr>
              <w:t>3.课堂讨论</w:t>
            </w:r>
          </w:p>
          <w:p w14:paraId="226FB09A">
            <w:pPr>
              <w:jc w:val="left"/>
              <w:rPr>
                <w:rFonts w:hint="eastAsia" w:ascii="宋体" w:hAnsi="宋体" w:eastAsia="宋体" w:cs="Times New Roman"/>
                <w:szCs w:val="21"/>
              </w:rPr>
            </w:pPr>
            <w:r>
              <w:rPr>
                <w:rFonts w:ascii="宋体" w:hAnsi="宋体" w:eastAsia="宋体" w:cs="Times New Roman"/>
                <w:szCs w:val="21"/>
              </w:rPr>
              <w:t>4.单元测验</w:t>
            </w:r>
          </w:p>
        </w:tc>
        <w:tc>
          <w:tcPr>
            <w:tcW w:w="656" w:type="dxa"/>
            <w:vAlign w:val="center"/>
          </w:tcPr>
          <w:p w14:paraId="31D6C103">
            <w:pPr>
              <w:jc w:val="center"/>
              <w:rPr>
                <w:rFonts w:hint="eastAsia" w:ascii="宋体" w:hAnsi="宋体" w:eastAsia="宋体" w:cs="Times New Roman"/>
                <w:szCs w:val="21"/>
              </w:rPr>
            </w:pPr>
            <w:r>
              <w:rPr>
                <w:rFonts w:hint="eastAsia" w:ascii="宋体" w:hAnsi="宋体" w:eastAsia="宋体" w:cs="Times New Roman"/>
                <w:szCs w:val="21"/>
              </w:rPr>
              <w:t>4</w:t>
            </w:r>
          </w:p>
        </w:tc>
      </w:tr>
      <w:tr w14:paraId="4858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59E3EAE">
            <w:pPr>
              <w:jc w:val="center"/>
              <w:rPr>
                <w:rFonts w:hint="eastAsia" w:ascii="宋体" w:hAnsi="宋体" w:eastAsia="宋体" w:cs="Times New Roman"/>
                <w:szCs w:val="21"/>
              </w:rPr>
            </w:pPr>
          </w:p>
        </w:tc>
        <w:tc>
          <w:tcPr>
            <w:tcW w:w="8093" w:type="dxa"/>
            <w:gridSpan w:val="5"/>
            <w:vAlign w:val="center"/>
          </w:tcPr>
          <w:p w14:paraId="72D74AA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通过对我国教育目的的认识和理解，能够具有社会责任感、创新精神和实践能力，主动践行社会主义核心价值观，在未来的教育实践中能主动推进素质教育，培养创新人才，从而实现中华民族的伟大复兴。</w:t>
            </w:r>
          </w:p>
        </w:tc>
      </w:tr>
      <w:tr w14:paraId="309B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A608816">
            <w:pPr>
              <w:jc w:val="center"/>
              <w:rPr>
                <w:rFonts w:hint="eastAsia" w:ascii="宋体" w:hAnsi="宋体" w:eastAsia="宋体" w:cs="Times New Roman"/>
                <w:szCs w:val="21"/>
              </w:rPr>
            </w:pPr>
            <w:r>
              <w:rPr>
                <w:rFonts w:hint="eastAsia" w:ascii="宋体" w:hAnsi="宋体" w:eastAsia="宋体" w:cs="Times New Roman"/>
                <w:szCs w:val="21"/>
              </w:rPr>
              <w:t>6.人的全面发展</w:t>
            </w:r>
          </w:p>
        </w:tc>
        <w:tc>
          <w:tcPr>
            <w:tcW w:w="1701" w:type="dxa"/>
            <w:vAlign w:val="center"/>
          </w:tcPr>
          <w:p w14:paraId="6451A56F">
            <w:pPr>
              <w:jc w:val="left"/>
              <w:rPr>
                <w:rFonts w:hint="eastAsia" w:ascii="宋体" w:hAnsi="宋体" w:eastAsia="宋体" w:cs="Times New Roman"/>
                <w:szCs w:val="21"/>
              </w:rPr>
            </w:pPr>
            <w:r>
              <w:rPr>
                <w:rFonts w:hint="eastAsia" w:ascii="宋体" w:hAnsi="宋体" w:eastAsia="宋体" w:cs="Times New Roman"/>
                <w:szCs w:val="21"/>
              </w:rPr>
              <w:t>（1）德育</w:t>
            </w:r>
          </w:p>
          <w:p w14:paraId="2B446D77">
            <w:pPr>
              <w:jc w:val="left"/>
              <w:rPr>
                <w:rFonts w:hint="eastAsia" w:ascii="宋体" w:hAnsi="宋体" w:eastAsia="宋体" w:cs="Times New Roman"/>
                <w:szCs w:val="21"/>
              </w:rPr>
            </w:pPr>
            <w:r>
              <w:rPr>
                <w:rFonts w:hint="eastAsia" w:ascii="宋体" w:hAnsi="宋体" w:eastAsia="宋体" w:cs="Times New Roman"/>
                <w:szCs w:val="21"/>
              </w:rPr>
              <w:t>（2）智育</w:t>
            </w:r>
          </w:p>
          <w:p w14:paraId="7B283569">
            <w:pPr>
              <w:jc w:val="left"/>
              <w:rPr>
                <w:rFonts w:hint="eastAsia" w:ascii="宋体" w:hAnsi="宋体" w:eastAsia="宋体" w:cs="Times New Roman"/>
                <w:szCs w:val="21"/>
              </w:rPr>
            </w:pPr>
            <w:r>
              <w:rPr>
                <w:rFonts w:hint="eastAsia" w:ascii="宋体" w:hAnsi="宋体" w:eastAsia="宋体" w:cs="Times New Roman"/>
                <w:szCs w:val="21"/>
              </w:rPr>
              <w:t>（3）体育</w:t>
            </w:r>
          </w:p>
          <w:p w14:paraId="5095EC6A">
            <w:pPr>
              <w:jc w:val="left"/>
              <w:rPr>
                <w:rFonts w:hint="eastAsia" w:ascii="宋体" w:hAnsi="宋体" w:eastAsia="宋体" w:cs="Times New Roman"/>
                <w:szCs w:val="21"/>
              </w:rPr>
            </w:pPr>
            <w:r>
              <w:rPr>
                <w:rFonts w:hint="eastAsia" w:ascii="宋体" w:hAnsi="宋体" w:eastAsia="宋体" w:cs="Times New Roman"/>
                <w:szCs w:val="21"/>
              </w:rPr>
              <w:t>（4）美育</w:t>
            </w:r>
          </w:p>
          <w:p w14:paraId="229B6E4F">
            <w:pPr>
              <w:jc w:val="left"/>
              <w:rPr>
                <w:rFonts w:hint="eastAsia" w:ascii="宋体" w:hAnsi="宋体" w:eastAsia="宋体" w:cs="Times New Roman"/>
                <w:szCs w:val="21"/>
              </w:rPr>
            </w:pPr>
            <w:r>
              <w:rPr>
                <w:rFonts w:hint="eastAsia" w:ascii="宋体" w:hAnsi="宋体" w:eastAsia="宋体" w:cs="Times New Roman"/>
                <w:szCs w:val="21"/>
              </w:rPr>
              <w:t>（5）劳动技术教育</w:t>
            </w:r>
          </w:p>
        </w:tc>
        <w:tc>
          <w:tcPr>
            <w:tcW w:w="1134" w:type="dxa"/>
            <w:vAlign w:val="center"/>
          </w:tcPr>
          <w:p w14:paraId="3FE39155">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184B5268">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了解人的全面发展理论、内涵以及其相互关系</w:t>
            </w:r>
            <w:r>
              <w:rPr>
                <w:rFonts w:hint="eastAsia" w:ascii="宋体" w:hAnsi="宋体" w:eastAsia="宋体" w:cs="Times New Roman"/>
                <w:szCs w:val="21"/>
              </w:rPr>
              <w:t>；</w:t>
            </w:r>
          </w:p>
          <w:p w14:paraId="1CA5222C">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理解德育、智育、体育、美育、劳动技术教育的内涵及实施</w:t>
            </w:r>
            <w:r>
              <w:rPr>
                <w:rFonts w:hint="eastAsia" w:ascii="宋体" w:hAnsi="宋体" w:eastAsia="宋体" w:cs="Times New Roman"/>
                <w:szCs w:val="21"/>
              </w:rPr>
              <w:t>；</w:t>
            </w:r>
          </w:p>
          <w:p w14:paraId="061CA2EB">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掌握全面发展教育各内容之间的辩证关系</w:t>
            </w:r>
            <w:r>
              <w:rPr>
                <w:rFonts w:hint="eastAsia" w:ascii="宋体" w:hAnsi="宋体" w:eastAsia="宋体" w:cs="Times New Roman"/>
                <w:szCs w:val="21"/>
              </w:rPr>
              <w:t>。</w:t>
            </w:r>
          </w:p>
        </w:tc>
        <w:tc>
          <w:tcPr>
            <w:tcW w:w="1342" w:type="dxa"/>
            <w:vAlign w:val="center"/>
          </w:tcPr>
          <w:p w14:paraId="13A2B5F0">
            <w:pPr>
              <w:jc w:val="left"/>
              <w:rPr>
                <w:rFonts w:hint="eastAsia" w:ascii="宋体" w:hAnsi="宋体" w:eastAsia="宋体" w:cs="Times New Roman"/>
                <w:szCs w:val="21"/>
              </w:rPr>
            </w:pPr>
            <w:r>
              <w:rPr>
                <w:rFonts w:ascii="宋体" w:hAnsi="宋体" w:eastAsia="宋体" w:cs="Times New Roman"/>
                <w:szCs w:val="21"/>
              </w:rPr>
              <w:t>1.线上学习</w:t>
            </w:r>
          </w:p>
          <w:p w14:paraId="642A843D">
            <w:pPr>
              <w:jc w:val="left"/>
              <w:rPr>
                <w:rFonts w:hint="eastAsia" w:ascii="宋体" w:hAnsi="宋体" w:eastAsia="宋体" w:cs="Times New Roman"/>
                <w:szCs w:val="21"/>
              </w:rPr>
            </w:pPr>
            <w:r>
              <w:rPr>
                <w:rFonts w:ascii="宋体" w:hAnsi="宋体" w:eastAsia="宋体" w:cs="Times New Roman"/>
                <w:szCs w:val="21"/>
              </w:rPr>
              <w:t>2.多媒体教学</w:t>
            </w:r>
          </w:p>
          <w:p w14:paraId="4E200003">
            <w:pPr>
              <w:jc w:val="left"/>
              <w:rPr>
                <w:rFonts w:hint="eastAsia" w:ascii="宋体" w:hAnsi="宋体" w:eastAsia="宋体" w:cs="Times New Roman"/>
                <w:szCs w:val="21"/>
              </w:rPr>
            </w:pPr>
            <w:r>
              <w:rPr>
                <w:rFonts w:ascii="宋体" w:hAnsi="宋体" w:eastAsia="宋体" w:cs="Times New Roman"/>
                <w:szCs w:val="21"/>
              </w:rPr>
              <w:t>3.课堂讨论</w:t>
            </w:r>
          </w:p>
          <w:p w14:paraId="3CAD437D">
            <w:pPr>
              <w:jc w:val="left"/>
              <w:rPr>
                <w:rFonts w:hint="eastAsia" w:ascii="宋体" w:hAnsi="宋体" w:eastAsia="宋体" w:cs="Times New Roman"/>
                <w:szCs w:val="21"/>
              </w:rPr>
            </w:pPr>
            <w:r>
              <w:rPr>
                <w:rFonts w:ascii="宋体" w:hAnsi="宋体" w:eastAsia="宋体" w:cs="Times New Roman"/>
                <w:szCs w:val="21"/>
              </w:rPr>
              <w:t>4.单元测验</w:t>
            </w:r>
          </w:p>
        </w:tc>
        <w:tc>
          <w:tcPr>
            <w:tcW w:w="656" w:type="dxa"/>
            <w:vAlign w:val="center"/>
          </w:tcPr>
          <w:p w14:paraId="5E02E86D">
            <w:pPr>
              <w:jc w:val="center"/>
              <w:rPr>
                <w:rFonts w:hint="eastAsia" w:ascii="宋体" w:hAnsi="宋体" w:eastAsia="宋体" w:cs="Times New Roman"/>
                <w:szCs w:val="21"/>
              </w:rPr>
            </w:pPr>
            <w:r>
              <w:rPr>
                <w:rFonts w:hint="eastAsia" w:ascii="宋体" w:hAnsi="宋体" w:eastAsia="宋体" w:cs="Times New Roman"/>
                <w:szCs w:val="21"/>
              </w:rPr>
              <w:t>2</w:t>
            </w:r>
          </w:p>
        </w:tc>
      </w:tr>
      <w:tr w14:paraId="63BA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A4432B3">
            <w:pPr>
              <w:jc w:val="center"/>
              <w:rPr>
                <w:rFonts w:hint="eastAsia" w:ascii="宋体" w:hAnsi="宋体" w:eastAsia="宋体" w:cs="Times New Roman"/>
                <w:szCs w:val="21"/>
              </w:rPr>
            </w:pPr>
          </w:p>
        </w:tc>
        <w:tc>
          <w:tcPr>
            <w:tcW w:w="8093" w:type="dxa"/>
            <w:gridSpan w:val="5"/>
            <w:vAlign w:val="center"/>
          </w:tcPr>
          <w:p w14:paraId="0559DE8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通过对人的全面发展教育的学习，形成全面发展的教育观，确立从教信念。</w:t>
            </w:r>
          </w:p>
        </w:tc>
      </w:tr>
      <w:tr w14:paraId="29ED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2B05806">
            <w:pPr>
              <w:jc w:val="center"/>
              <w:rPr>
                <w:rFonts w:hint="eastAsia" w:ascii="宋体" w:hAnsi="宋体" w:eastAsia="宋体" w:cs="Times New Roman"/>
                <w:szCs w:val="21"/>
              </w:rPr>
            </w:pPr>
            <w:r>
              <w:rPr>
                <w:rFonts w:hint="eastAsia" w:ascii="宋体" w:hAnsi="宋体" w:eastAsia="宋体" w:cs="Times New Roman"/>
                <w:szCs w:val="21"/>
              </w:rPr>
              <w:t>7.学校教育制度</w:t>
            </w:r>
          </w:p>
        </w:tc>
        <w:tc>
          <w:tcPr>
            <w:tcW w:w="1701" w:type="dxa"/>
            <w:vAlign w:val="center"/>
          </w:tcPr>
          <w:p w14:paraId="722DD29E">
            <w:pPr>
              <w:jc w:val="left"/>
              <w:rPr>
                <w:rFonts w:hint="eastAsia" w:ascii="宋体" w:hAnsi="宋体" w:eastAsia="宋体" w:cs="Times New Roman"/>
                <w:szCs w:val="21"/>
              </w:rPr>
            </w:pPr>
            <w:r>
              <w:rPr>
                <w:rFonts w:hint="eastAsia" w:ascii="宋体" w:hAnsi="宋体" w:eastAsia="宋体" w:cs="Times New Roman"/>
                <w:szCs w:val="21"/>
              </w:rPr>
              <w:t>（1）学校的形成与发展</w:t>
            </w:r>
          </w:p>
          <w:p w14:paraId="62F5DBBA">
            <w:pPr>
              <w:jc w:val="left"/>
              <w:rPr>
                <w:rFonts w:hint="eastAsia" w:ascii="宋体" w:hAnsi="宋体" w:eastAsia="宋体" w:cs="Times New Roman"/>
                <w:szCs w:val="21"/>
              </w:rPr>
            </w:pPr>
            <w:r>
              <w:rPr>
                <w:rFonts w:hint="eastAsia" w:ascii="宋体" w:hAnsi="宋体" w:eastAsia="宋体" w:cs="Times New Roman"/>
                <w:szCs w:val="21"/>
              </w:rPr>
              <w:t>（2）现代学校教育制度</w:t>
            </w:r>
          </w:p>
          <w:p w14:paraId="0CFB50CE">
            <w:pPr>
              <w:jc w:val="left"/>
              <w:rPr>
                <w:rFonts w:hint="eastAsia" w:ascii="宋体" w:hAnsi="宋体" w:eastAsia="宋体" w:cs="Times New Roman"/>
                <w:szCs w:val="21"/>
              </w:rPr>
            </w:pPr>
            <w:r>
              <w:rPr>
                <w:rFonts w:hint="eastAsia" w:ascii="宋体" w:hAnsi="宋体" w:eastAsia="宋体" w:cs="Times New Roman"/>
                <w:szCs w:val="21"/>
              </w:rPr>
              <w:t>（3）学校教育制度的改革</w:t>
            </w:r>
          </w:p>
        </w:tc>
        <w:tc>
          <w:tcPr>
            <w:tcW w:w="1134" w:type="dxa"/>
            <w:vAlign w:val="center"/>
          </w:tcPr>
          <w:p w14:paraId="2057A756">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5DBB401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1）识记教育制度和学校教育制度的含义、现代学校教育制度的类型</w:t>
            </w:r>
            <w:r>
              <w:rPr>
                <w:rFonts w:hint="eastAsia" w:ascii="宋体" w:hAnsi="宋体" w:eastAsia="宋体" w:cs="Times New Roman"/>
                <w:szCs w:val="21"/>
              </w:rPr>
              <w:t>；</w:t>
            </w:r>
          </w:p>
          <w:p w14:paraId="7395C45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2）理解教育制度和学校教育制度的历史发展过程</w:t>
            </w:r>
            <w:r>
              <w:rPr>
                <w:rFonts w:hint="eastAsia" w:ascii="宋体" w:hAnsi="宋体" w:eastAsia="宋体" w:cs="Times New Roman"/>
                <w:szCs w:val="21"/>
              </w:rPr>
              <w:t>；</w:t>
            </w:r>
          </w:p>
          <w:p w14:paraId="539AE4B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3）把握教育制度和学校教育制度的改革和发展趋势</w:t>
            </w:r>
            <w:r>
              <w:rPr>
                <w:rFonts w:hint="eastAsia" w:ascii="宋体" w:hAnsi="宋体" w:eastAsia="宋体" w:cs="Times New Roman"/>
                <w:szCs w:val="21"/>
              </w:rPr>
              <w:t>；</w:t>
            </w:r>
          </w:p>
          <w:p w14:paraId="78465FC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4）运用学校教育制度的有关知识来分析我国现行教育制度</w:t>
            </w:r>
            <w:r>
              <w:rPr>
                <w:rFonts w:hint="eastAsia" w:ascii="宋体" w:hAnsi="宋体" w:eastAsia="宋体" w:cs="Times New Roman"/>
                <w:szCs w:val="21"/>
              </w:rPr>
              <w:t>。</w:t>
            </w:r>
          </w:p>
        </w:tc>
        <w:tc>
          <w:tcPr>
            <w:tcW w:w="1342" w:type="dxa"/>
            <w:vAlign w:val="center"/>
          </w:tcPr>
          <w:p w14:paraId="3ED65BAB">
            <w:pPr>
              <w:jc w:val="left"/>
              <w:rPr>
                <w:rFonts w:hint="eastAsia" w:ascii="宋体" w:hAnsi="宋体" w:eastAsia="宋体" w:cs="Times New Roman"/>
                <w:szCs w:val="21"/>
              </w:rPr>
            </w:pPr>
            <w:r>
              <w:rPr>
                <w:rFonts w:ascii="宋体" w:hAnsi="宋体" w:eastAsia="宋体" w:cs="Times New Roman"/>
                <w:szCs w:val="21"/>
              </w:rPr>
              <w:t>1.线上学习</w:t>
            </w:r>
          </w:p>
          <w:p w14:paraId="40879673">
            <w:pPr>
              <w:jc w:val="left"/>
              <w:rPr>
                <w:rFonts w:hint="eastAsia" w:ascii="宋体" w:hAnsi="宋体" w:eastAsia="宋体" w:cs="Times New Roman"/>
                <w:szCs w:val="21"/>
              </w:rPr>
            </w:pPr>
            <w:r>
              <w:rPr>
                <w:rFonts w:ascii="宋体" w:hAnsi="宋体" w:eastAsia="宋体" w:cs="Times New Roman"/>
                <w:szCs w:val="21"/>
              </w:rPr>
              <w:t>2.多媒体教学</w:t>
            </w:r>
          </w:p>
          <w:p w14:paraId="2CA37FC3">
            <w:pPr>
              <w:jc w:val="left"/>
              <w:rPr>
                <w:rFonts w:hint="eastAsia" w:ascii="宋体" w:hAnsi="宋体" w:eastAsia="宋体" w:cs="Times New Roman"/>
                <w:szCs w:val="21"/>
              </w:rPr>
            </w:pPr>
            <w:r>
              <w:rPr>
                <w:rFonts w:ascii="宋体" w:hAnsi="宋体" w:eastAsia="宋体" w:cs="Times New Roman"/>
                <w:szCs w:val="21"/>
              </w:rPr>
              <w:t>3.课堂讨论</w:t>
            </w:r>
          </w:p>
          <w:p w14:paraId="17692858">
            <w:pPr>
              <w:jc w:val="left"/>
              <w:rPr>
                <w:rFonts w:hint="eastAsia" w:ascii="宋体" w:hAnsi="宋体" w:eastAsia="宋体" w:cs="Times New Roman"/>
                <w:szCs w:val="21"/>
              </w:rPr>
            </w:pPr>
            <w:r>
              <w:rPr>
                <w:rFonts w:ascii="宋体" w:hAnsi="宋体" w:eastAsia="宋体" w:cs="Times New Roman"/>
                <w:szCs w:val="21"/>
              </w:rPr>
              <w:t>4.单元测验</w:t>
            </w:r>
          </w:p>
        </w:tc>
        <w:tc>
          <w:tcPr>
            <w:tcW w:w="656" w:type="dxa"/>
            <w:vAlign w:val="center"/>
          </w:tcPr>
          <w:p w14:paraId="383D7CE7">
            <w:pPr>
              <w:jc w:val="center"/>
              <w:rPr>
                <w:rFonts w:hint="eastAsia" w:ascii="宋体" w:hAnsi="宋体" w:eastAsia="宋体" w:cs="Times New Roman"/>
                <w:szCs w:val="21"/>
              </w:rPr>
            </w:pPr>
            <w:r>
              <w:rPr>
                <w:rFonts w:hint="eastAsia" w:ascii="宋体" w:hAnsi="宋体" w:eastAsia="宋体" w:cs="Times New Roman"/>
                <w:szCs w:val="21"/>
              </w:rPr>
              <w:t>2</w:t>
            </w:r>
          </w:p>
        </w:tc>
      </w:tr>
      <w:tr w14:paraId="2057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88573E9">
            <w:pPr>
              <w:jc w:val="center"/>
              <w:rPr>
                <w:rFonts w:hint="eastAsia" w:ascii="宋体" w:hAnsi="宋体" w:eastAsia="宋体" w:cs="Times New Roman"/>
                <w:szCs w:val="21"/>
              </w:rPr>
            </w:pPr>
          </w:p>
        </w:tc>
        <w:tc>
          <w:tcPr>
            <w:tcW w:w="8093" w:type="dxa"/>
            <w:gridSpan w:val="5"/>
            <w:vAlign w:val="center"/>
          </w:tcPr>
          <w:p w14:paraId="52BC641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了解我国现代学校教育制度的演变及其形态，确立制度自信。</w:t>
            </w:r>
          </w:p>
        </w:tc>
      </w:tr>
      <w:tr w14:paraId="2FFA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7AF0ABE">
            <w:pPr>
              <w:jc w:val="center"/>
              <w:rPr>
                <w:rFonts w:hint="eastAsia" w:ascii="宋体" w:hAnsi="宋体" w:eastAsia="宋体" w:cs="Times New Roman"/>
                <w:szCs w:val="21"/>
              </w:rPr>
            </w:pPr>
            <w:r>
              <w:rPr>
                <w:rFonts w:hint="eastAsia" w:ascii="宋体" w:hAnsi="宋体" w:eastAsia="宋体" w:cs="Times New Roman"/>
                <w:szCs w:val="21"/>
              </w:rPr>
              <w:t>8.课程</w:t>
            </w:r>
          </w:p>
        </w:tc>
        <w:tc>
          <w:tcPr>
            <w:tcW w:w="1701" w:type="dxa"/>
            <w:vAlign w:val="center"/>
          </w:tcPr>
          <w:p w14:paraId="413C0A5E">
            <w:pPr>
              <w:jc w:val="left"/>
              <w:rPr>
                <w:rFonts w:hint="eastAsia" w:ascii="宋体" w:hAnsi="宋体" w:eastAsia="宋体" w:cs="Times New Roman"/>
                <w:szCs w:val="21"/>
              </w:rPr>
            </w:pPr>
            <w:r>
              <w:rPr>
                <w:rFonts w:hint="eastAsia" w:ascii="宋体" w:hAnsi="宋体" w:eastAsia="宋体" w:cs="Times New Roman"/>
                <w:szCs w:val="21"/>
              </w:rPr>
              <w:t>（1）课程概述</w:t>
            </w:r>
          </w:p>
          <w:p w14:paraId="37668ED7">
            <w:pPr>
              <w:jc w:val="left"/>
              <w:rPr>
                <w:rFonts w:hint="eastAsia" w:ascii="宋体" w:hAnsi="宋体" w:eastAsia="宋体" w:cs="Times New Roman"/>
                <w:szCs w:val="21"/>
              </w:rPr>
            </w:pPr>
            <w:r>
              <w:rPr>
                <w:rFonts w:hint="eastAsia" w:ascii="宋体" w:hAnsi="宋体" w:eastAsia="宋体" w:cs="Times New Roman"/>
                <w:szCs w:val="21"/>
              </w:rPr>
              <w:t>（2）课程开发</w:t>
            </w:r>
          </w:p>
          <w:p w14:paraId="7482AE03">
            <w:pPr>
              <w:jc w:val="left"/>
              <w:rPr>
                <w:rFonts w:hint="eastAsia" w:ascii="宋体" w:hAnsi="宋体" w:eastAsia="宋体" w:cs="Times New Roman"/>
                <w:szCs w:val="21"/>
              </w:rPr>
            </w:pPr>
            <w:r>
              <w:rPr>
                <w:rFonts w:hint="eastAsia" w:ascii="宋体" w:hAnsi="宋体" w:eastAsia="宋体" w:cs="Times New Roman"/>
                <w:szCs w:val="21"/>
              </w:rPr>
              <w:t>（3）课程改革</w:t>
            </w:r>
          </w:p>
        </w:tc>
        <w:tc>
          <w:tcPr>
            <w:tcW w:w="1134" w:type="dxa"/>
            <w:vAlign w:val="center"/>
          </w:tcPr>
          <w:p w14:paraId="545A961C">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323D951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1）了解关于课程本质的不同观点，掌握现代课程的本质和特点，能够批判性地分析各种现代课程的各种理念</w:t>
            </w:r>
            <w:r>
              <w:rPr>
                <w:rFonts w:hint="eastAsia" w:ascii="宋体" w:hAnsi="宋体" w:eastAsia="宋体" w:cs="Times New Roman"/>
                <w:szCs w:val="21"/>
              </w:rPr>
              <w:t>；</w:t>
            </w:r>
          </w:p>
          <w:p w14:paraId="7F8DD39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2）了解课程结构的内涵、特点和组织， 能够掌握现代课程资源的类型和开发策略，并能够根据实际工作需要开发课程资源</w:t>
            </w:r>
            <w:r>
              <w:rPr>
                <w:rFonts w:hint="eastAsia" w:ascii="宋体" w:hAnsi="宋体" w:eastAsia="宋体" w:cs="Times New Roman"/>
                <w:szCs w:val="21"/>
              </w:rPr>
              <w:t>；</w:t>
            </w:r>
          </w:p>
          <w:p w14:paraId="7EFC580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3）能够正确理解我国基础教育改革的背景、目标、创新，了解其未来的发展趋势。</w:t>
            </w:r>
          </w:p>
        </w:tc>
        <w:tc>
          <w:tcPr>
            <w:tcW w:w="1342" w:type="dxa"/>
            <w:vAlign w:val="center"/>
          </w:tcPr>
          <w:p w14:paraId="31CAA3BF">
            <w:pPr>
              <w:jc w:val="left"/>
              <w:rPr>
                <w:rFonts w:hint="eastAsia" w:ascii="宋体" w:hAnsi="宋体" w:eastAsia="宋体" w:cs="Times New Roman"/>
                <w:szCs w:val="21"/>
              </w:rPr>
            </w:pPr>
            <w:r>
              <w:rPr>
                <w:rFonts w:ascii="宋体" w:hAnsi="宋体" w:eastAsia="宋体" w:cs="Times New Roman"/>
                <w:szCs w:val="21"/>
              </w:rPr>
              <w:t>1.线上学习</w:t>
            </w:r>
          </w:p>
          <w:p w14:paraId="45F892B4">
            <w:pPr>
              <w:jc w:val="left"/>
              <w:rPr>
                <w:rFonts w:hint="eastAsia" w:ascii="宋体" w:hAnsi="宋体" w:eastAsia="宋体" w:cs="Times New Roman"/>
                <w:szCs w:val="21"/>
              </w:rPr>
            </w:pPr>
            <w:r>
              <w:rPr>
                <w:rFonts w:ascii="宋体" w:hAnsi="宋体" w:eastAsia="宋体" w:cs="Times New Roman"/>
                <w:szCs w:val="21"/>
              </w:rPr>
              <w:t>2.多媒体教学</w:t>
            </w:r>
          </w:p>
          <w:p w14:paraId="6C20E5B2">
            <w:pPr>
              <w:jc w:val="left"/>
              <w:rPr>
                <w:rFonts w:hint="eastAsia" w:ascii="宋体" w:hAnsi="宋体" w:eastAsia="宋体" w:cs="Times New Roman"/>
                <w:szCs w:val="21"/>
              </w:rPr>
            </w:pPr>
            <w:r>
              <w:rPr>
                <w:rFonts w:ascii="宋体" w:hAnsi="宋体" w:eastAsia="宋体" w:cs="Times New Roman"/>
                <w:szCs w:val="21"/>
              </w:rPr>
              <w:t>3.课堂讨论</w:t>
            </w:r>
          </w:p>
          <w:p w14:paraId="4518C37E">
            <w:pPr>
              <w:jc w:val="left"/>
              <w:rPr>
                <w:rFonts w:hint="eastAsia" w:ascii="宋体" w:hAnsi="宋体" w:eastAsia="宋体" w:cs="Times New Roman"/>
                <w:szCs w:val="21"/>
              </w:rPr>
            </w:pPr>
            <w:r>
              <w:rPr>
                <w:rFonts w:ascii="宋体" w:hAnsi="宋体" w:eastAsia="宋体" w:cs="Times New Roman"/>
                <w:szCs w:val="21"/>
              </w:rPr>
              <w:t>4.单元测验</w:t>
            </w:r>
          </w:p>
        </w:tc>
        <w:tc>
          <w:tcPr>
            <w:tcW w:w="656" w:type="dxa"/>
            <w:vAlign w:val="center"/>
          </w:tcPr>
          <w:p w14:paraId="62108CEB">
            <w:pPr>
              <w:jc w:val="center"/>
              <w:rPr>
                <w:rFonts w:hint="eastAsia" w:ascii="宋体" w:hAnsi="宋体" w:eastAsia="宋体" w:cs="Times New Roman"/>
                <w:szCs w:val="21"/>
              </w:rPr>
            </w:pPr>
            <w:r>
              <w:rPr>
                <w:rFonts w:hint="eastAsia" w:ascii="宋体" w:hAnsi="宋体" w:eastAsia="宋体" w:cs="Times New Roman"/>
                <w:szCs w:val="21"/>
              </w:rPr>
              <w:t>4</w:t>
            </w:r>
          </w:p>
        </w:tc>
      </w:tr>
      <w:tr w14:paraId="3D39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8512374">
            <w:pPr>
              <w:jc w:val="center"/>
              <w:rPr>
                <w:rFonts w:hint="eastAsia" w:ascii="宋体" w:hAnsi="宋体" w:eastAsia="宋体" w:cs="Times New Roman"/>
                <w:szCs w:val="21"/>
              </w:rPr>
            </w:pPr>
          </w:p>
        </w:tc>
        <w:tc>
          <w:tcPr>
            <w:tcW w:w="8093" w:type="dxa"/>
            <w:gridSpan w:val="5"/>
            <w:vAlign w:val="center"/>
          </w:tcPr>
          <w:p w14:paraId="6BC9F14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理解新课程的基本价值取向是：为了中华民族的复兴，为了每一个学生的发展，培养教育情怀，确立从教信念。</w:t>
            </w:r>
          </w:p>
        </w:tc>
      </w:tr>
      <w:tr w14:paraId="4ED5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7B91F89">
            <w:pPr>
              <w:jc w:val="center"/>
              <w:rPr>
                <w:rFonts w:hint="eastAsia" w:ascii="宋体" w:hAnsi="宋体" w:eastAsia="宋体" w:cs="Times New Roman"/>
                <w:szCs w:val="21"/>
              </w:rPr>
            </w:pPr>
            <w:r>
              <w:rPr>
                <w:rFonts w:hint="eastAsia" w:ascii="宋体" w:hAnsi="宋体" w:eastAsia="宋体" w:cs="Times New Roman"/>
                <w:szCs w:val="21"/>
              </w:rPr>
              <w:t>9.教学</w:t>
            </w:r>
          </w:p>
        </w:tc>
        <w:tc>
          <w:tcPr>
            <w:tcW w:w="1701" w:type="dxa"/>
            <w:vAlign w:val="center"/>
          </w:tcPr>
          <w:p w14:paraId="73FBBDB5">
            <w:pPr>
              <w:jc w:val="left"/>
              <w:rPr>
                <w:rFonts w:hint="eastAsia" w:ascii="宋体" w:hAnsi="宋体" w:eastAsia="宋体" w:cs="Times New Roman"/>
                <w:szCs w:val="21"/>
              </w:rPr>
            </w:pPr>
            <w:r>
              <w:rPr>
                <w:rFonts w:hint="eastAsia" w:ascii="宋体" w:hAnsi="宋体" w:eastAsia="宋体" w:cs="Times New Roman"/>
                <w:szCs w:val="21"/>
              </w:rPr>
              <w:t>（1）教学概述</w:t>
            </w:r>
          </w:p>
          <w:p w14:paraId="1BA9BB06">
            <w:pPr>
              <w:jc w:val="left"/>
              <w:rPr>
                <w:rFonts w:hint="eastAsia" w:ascii="宋体" w:hAnsi="宋体" w:eastAsia="宋体" w:cs="Times New Roman"/>
                <w:szCs w:val="21"/>
              </w:rPr>
            </w:pPr>
            <w:r>
              <w:rPr>
                <w:rFonts w:hint="eastAsia" w:ascii="宋体" w:hAnsi="宋体" w:eastAsia="宋体" w:cs="Times New Roman"/>
                <w:szCs w:val="21"/>
              </w:rPr>
              <w:t>（2）教学理论与规律</w:t>
            </w:r>
          </w:p>
          <w:p w14:paraId="597888CE">
            <w:pPr>
              <w:jc w:val="left"/>
              <w:rPr>
                <w:rFonts w:hint="eastAsia" w:ascii="宋体" w:hAnsi="宋体" w:eastAsia="宋体" w:cs="Times New Roman"/>
                <w:szCs w:val="21"/>
              </w:rPr>
            </w:pPr>
            <w:r>
              <w:rPr>
                <w:rFonts w:hint="eastAsia" w:ascii="宋体" w:hAnsi="宋体" w:eastAsia="宋体" w:cs="Times New Roman"/>
                <w:szCs w:val="21"/>
              </w:rPr>
              <w:t>（3）教学实施</w:t>
            </w:r>
          </w:p>
          <w:p w14:paraId="00252673">
            <w:pPr>
              <w:jc w:val="left"/>
              <w:rPr>
                <w:rFonts w:hint="eastAsia" w:ascii="宋体" w:hAnsi="宋体" w:eastAsia="宋体" w:cs="Times New Roman"/>
                <w:szCs w:val="21"/>
              </w:rPr>
            </w:pPr>
            <w:r>
              <w:rPr>
                <w:rFonts w:hint="eastAsia" w:ascii="宋体" w:hAnsi="宋体" w:eastAsia="宋体" w:cs="Times New Roman"/>
                <w:szCs w:val="21"/>
              </w:rPr>
              <w:t>（4）教学改革</w:t>
            </w:r>
          </w:p>
        </w:tc>
        <w:tc>
          <w:tcPr>
            <w:tcW w:w="1134" w:type="dxa"/>
            <w:vAlign w:val="center"/>
          </w:tcPr>
          <w:p w14:paraId="2C40B490">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495BC74A">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掌握现代教学的概念，理解现代教学的地位，了解现代教学的形成与发展</w:t>
            </w:r>
            <w:r>
              <w:rPr>
                <w:rFonts w:hint="eastAsia" w:ascii="宋体" w:hAnsi="宋体" w:eastAsia="宋体" w:cs="Times New Roman"/>
                <w:szCs w:val="21"/>
              </w:rPr>
              <w:t>；</w:t>
            </w:r>
          </w:p>
          <w:p w14:paraId="60F934FA">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理解主要教学理论流派的主张，并结合实际教学加以评论</w:t>
            </w:r>
            <w:r>
              <w:rPr>
                <w:rFonts w:hint="eastAsia" w:ascii="宋体" w:hAnsi="宋体" w:eastAsia="宋体" w:cs="Times New Roman"/>
                <w:szCs w:val="21"/>
              </w:rPr>
              <w:t>；</w:t>
            </w:r>
          </w:p>
          <w:p w14:paraId="53724584">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理解并掌握教学实施的各环节和要素</w:t>
            </w:r>
            <w:r>
              <w:rPr>
                <w:rFonts w:hint="eastAsia" w:ascii="宋体" w:hAnsi="宋体" w:eastAsia="宋体" w:cs="Times New Roman"/>
                <w:szCs w:val="21"/>
              </w:rPr>
              <w:t>；</w:t>
            </w:r>
          </w:p>
          <w:p w14:paraId="61E1CBF7">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把握当代我国和世界中小学教学改革的趋势</w:t>
            </w:r>
            <w:r>
              <w:rPr>
                <w:rFonts w:hint="eastAsia" w:ascii="宋体" w:hAnsi="宋体" w:eastAsia="宋体" w:cs="Times New Roman"/>
                <w:szCs w:val="21"/>
              </w:rPr>
              <w:t>。</w:t>
            </w:r>
          </w:p>
        </w:tc>
        <w:tc>
          <w:tcPr>
            <w:tcW w:w="1342" w:type="dxa"/>
            <w:vAlign w:val="center"/>
          </w:tcPr>
          <w:p w14:paraId="2E5ABBF7">
            <w:pPr>
              <w:jc w:val="left"/>
              <w:rPr>
                <w:rFonts w:hint="eastAsia" w:ascii="宋体" w:hAnsi="宋体" w:eastAsia="宋体" w:cs="Times New Roman"/>
                <w:szCs w:val="21"/>
              </w:rPr>
            </w:pPr>
            <w:r>
              <w:rPr>
                <w:rFonts w:ascii="宋体" w:hAnsi="宋体" w:eastAsia="宋体" w:cs="Times New Roman"/>
                <w:szCs w:val="21"/>
              </w:rPr>
              <w:t>1.线上学习</w:t>
            </w:r>
          </w:p>
          <w:p w14:paraId="69E9C885">
            <w:pPr>
              <w:jc w:val="left"/>
              <w:rPr>
                <w:rFonts w:hint="eastAsia" w:ascii="宋体" w:hAnsi="宋体" w:eastAsia="宋体" w:cs="Times New Roman"/>
                <w:szCs w:val="21"/>
              </w:rPr>
            </w:pPr>
            <w:r>
              <w:rPr>
                <w:rFonts w:ascii="宋体" w:hAnsi="宋体" w:eastAsia="宋体" w:cs="Times New Roman"/>
                <w:szCs w:val="21"/>
              </w:rPr>
              <w:t>2.多媒体教学</w:t>
            </w:r>
          </w:p>
          <w:p w14:paraId="48BE95B2">
            <w:pPr>
              <w:jc w:val="left"/>
              <w:rPr>
                <w:rFonts w:hint="eastAsia" w:ascii="宋体" w:hAnsi="宋体" w:eastAsia="宋体" w:cs="Times New Roman"/>
                <w:szCs w:val="21"/>
              </w:rPr>
            </w:pPr>
            <w:r>
              <w:rPr>
                <w:rFonts w:ascii="宋体" w:hAnsi="宋体" w:eastAsia="宋体" w:cs="Times New Roman"/>
                <w:szCs w:val="21"/>
              </w:rPr>
              <w:t>3.课堂讨论</w:t>
            </w:r>
          </w:p>
          <w:p w14:paraId="52819F69">
            <w:pPr>
              <w:jc w:val="left"/>
              <w:rPr>
                <w:rFonts w:hint="eastAsia" w:ascii="宋体" w:hAnsi="宋体" w:eastAsia="宋体" w:cs="Times New Roman"/>
                <w:szCs w:val="21"/>
              </w:rPr>
            </w:pPr>
            <w:r>
              <w:rPr>
                <w:rFonts w:ascii="宋体" w:hAnsi="宋体" w:eastAsia="宋体" w:cs="Times New Roman"/>
                <w:szCs w:val="21"/>
              </w:rPr>
              <w:t>4.单元测验</w:t>
            </w:r>
          </w:p>
        </w:tc>
        <w:tc>
          <w:tcPr>
            <w:tcW w:w="656" w:type="dxa"/>
            <w:vAlign w:val="center"/>
          </w:tcPr>
          <w:p w14:paraId="51CD5F80">
            <w:pPr>
              <w:jc w:val="center"/>
              <w:rPr>
                <w:rFonts w:hint="eastAsia" w:ascii="宋体" w:hAnsi="宋体" w:eastAsia="宋体" w:cs="Times New Roman"/>
                <w:szCs w:val="21"/>
              </w:rPr>
            </w:pPr>
            <w:r>
              <w:rPr>
                <w:rFonts w:hint="eastAsia" w:ascii="宋体" w:hAnsi="宋体" w:eastAsia="宋体" w:cs="Times New Roman"/>
                <w:szCs w:val="21"/>
              </w:rPr>
              <w:t>4</w:t>
            </w:r>
          </w:p>
        </w:tc>
      </w:tr>
      <w:tr w14:paraId="05F08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4B37338">
            <w:pPr>
              <w:jc w:val="center"/>
              <w:rPr>
                <w:rFonts w:hint="eastAsia" w:ascii="宋体" w:hAnsi="宋体" w:eastAsia="宋体" w:cs="Times New Roman"/>
                <w:szCs w:val="21"/>
              </w:rPr>
            </w:pPr>
          </w:p>
        </w:tc>
        <w:tc>
          <w:tcPr>
            <w:tcW w:w="8093" w:type="dxa"/>
            <w:gridSpan w:val="5"/>
            <w:vAlign w:val="center"/>
          </w:tcPr>
          <w:p w14:paraId="23581A2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学会遵循马克思主义的立场、观点和方法、遵循当代社会的伦理规范来实施教学，同时形成教育公平、民主、法治等的正确理念。</w:t>
            </w:r>
          </w:p>
        </w:tc>
      </w:tr>
      <w:tr w14:paraId="42D1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DC0308">
            <w:pPr>
              <w:jc w:val="center"/>
              <w:rPr>
                <w:rFonts w:hint="eastAsia" w:ascii="宋体" w:hAnsi="宋体" w:eastAsia="宋体" w:cs="Times New Roman"/>
                <w:szCs w:val="21"/>
              </w:rPr>
            </w:pPr>
            <w:r>
              <w:rPr>
                <w:rFonts w:hint="eastAsia" w:ascii="宋体" w:hAnsi="宋体" w:eastAsia="宋体" w:cs="Times New Roman"/>
                <w:szCs w:val="21"/>
              </w:rPr>
              <w:t>10.教师与学生</w:t>
            </w:r>
          </w:p>
        </w:tc>
        <w:tc>
          <w:tcPr>
            <w:tcW w:w="1701" w:type="dxa"/>
            <w:vAlign w:val="center"/>
          </w:tcPr>
          <w:p w14:paraId="4E6D302F">
            <w:pPr>
              <w:jc w:val="left"/>
              <w:rPr>
                <w:rFonts w:hint="eastAsia" w:ascii="宋体" w:hAnsi="宋体" w:eastAsia="宋体" w:cs="Times New Roman"/>
                <w:szCs w:val="21"/>
              </w:rPr>
            </w:pPr>
            <w:r>
              <w:rPr>
                <w:rFonts w:hint="eastAsia" w:ascii="宋体" w:hAnsi="宋体" w:eastAsia="宋体" w:cs="Times New Roman"/>
                <w:szCs w:val="21"/>
              </w:rPr>
              <w:t>（1）教师</w:t>
            </w:r>
          </w:p>
          <w:p w14:paraId="4DDE52AA">
            <w:pPr>
              <w:jc w:val="left"/>
              <w:rPr>
                <w:rFonts w:hint="eastAsia" w:ascii="宋体" w:hAnsi="宋体" w:eastAsia="宋体" w:cs="Times New Roman"/>
                <w:szCs w:val="21"/>
              </w:rPr>
            </w:pPr>
            <w:r>
              <w:rPr>
                <w:rFonts w:hint="eastAsia" w:ascii="宋体" w:hAnsi="宋体" w:eastAsia="宋体" w:cs="Times New Roman"/>
                <w:szCs w:val="21"/>
              </w:rPr>
              <w:t>（2）班主任</w:t>
            </w:r>
          </w:p>
          <w:p w14:paraId="65162A8F">
            <w:pPr>
              <w:jc w:val="left"/>
              <w:rPr>
                <w:rFonts w:hint="eastAsia" w:ascii="宋体" w:hAnsi="宋体" w:eastAsia="宋体" w:cs="Times New Roman"/>
                <w:szCs w:val="21"/>
              </w:rPr>
            </w:pPr>
            <w:r>
              <w:rPr>
                <w:rFonts w:hint="eastAsia" w:ascii="宋体" w:hAnsi="宋体" w:eastAsia="宋体" w:cs="Times New Roman"/>
                <w:szCs w:val="21"/>
              </w:rPr>
              <w:t>（3）学生</w:t>
            </w:r>
          </w:p>
        </w:tc>
        <w:tc>
          <w:tcPr>
            <w:tcW w:w="1134" w:type="dxa"/>
            <w:vAlign w:val="center"/>
          </w:tcPr>
          <w:p w14:paraId="1E6B91E2">
            <w:pPr>
              <w:jc w:val="center"/>
              <w:rPr>
                <w:rFonts w:hint="eastAsia" w:ascii="宋体" w:hAnsi="宋体" w:eastAsia="宋体" w:cs="Times New Roman"/>
                <w:szCs w:val="21"/>
              </w:rPr>
            </w:pPr>
            <w:r>
              <w:rPr>
                <w:rFonts w:hint="eastAsia" w:ascii="宋体" w:hAnsi="宋体" w:eastAsia="宋体" w:cs="Times New Roman"/>
                <w:szCs w:val="21"/>
              </w:rPr>
              <w:t>课程目标1、2、3</w:t>
            </w:r>
          </w:p>
          <w:p w14:paraId="1FC84E17">
            <w:pPr>
              <w:jc w:val="center"/>
              <w:rPr>
                <w:rFonts w:hint="eastAsia" w:ascii="宋体" w:hAnsi="宋体" w:eastAsia="宋体" w:cs="Times New Roman"/>
                <w:szCs w:val="21"/>
              </w:rPr>
            </w:pPr>
          </w:p>
        </w:tc>
        <w:tc>
          <w:tcPr>
            <w:tcW w:w="3260" w:type="dxa"/>
            <w:vAlign w:val="center"/>
          </w:tcPr>
          <w:p w14:paraId="62688AAA">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了解教师职业的历史发展、特点及意义、教师的权利与义务</w:t>
            </w:r>
            <w:r>
              <w:rPr>
                <w:rFonts w:hint="eastAsia" w:ascii="宋体" w:hAnsi="宋体" w:eastAsia="宋体" w:cs="Times New Roman"/>
                <w:szCs w:val="21"/>
              </w:rPr>
              <w:t>；</w:t>
            </w:r>
          </w:p>
          <w:p w14:paraId="5F9C9271">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理解教师专业发展的内涵和内容、途径；熟悉各级各类教师专业标准</w:t>
            </w:r>
            <w:r>
              <w:rPr>
                <w:rFonts w:hint="eastAsia" w:ascii="宋体" w:hAnsi="宋体" w:eastAsia="宋体" w:cs="Times New Roman"/>
                <w:szCs w:val="21"/>
              </w:rPr>
              <w:t>；</w:t>
            </w:r>
          </w:p>
          <w:p w14:paraId="14AAEE77">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了解班主任的角色、任务与职责</w:t>
            </w:r>
            <w:r>
              <w:rPr>
                <w:rFonts w:hint="eastAsia" w:ascii="宋体" w:hAnsi="宋体" w:eastAsia="宋体" w:cs="Times New Roman"/>
                <w:szCs w:val="21"/>
              </w:rPr>
              <w:t>；</w:t>
            </w:r>
          </w:p>
          <w:p w14:paraId="7C8B16E8">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描述学生身心发展的一般规律和时代特点；了解学生的权利与义务；描述理想的师生关系特点及建构策略</w:t>
            </w:r>
            <w:r>
              <w:rPr>
                <w:rFonts w:hint="eastAsia" w:ascii="宋体" w:hAnsi="宋体" w:eastAsia="宋体" w:cs="Times New Roman"/>
                <w:szCs w:val="21"/>
              </w:rPr>
              <w:t>；</w:t>
            </w:r>
          </w:p>
          <w:p w14:paraId="7EFAADA6">
            <w:pPr>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以马克思关于人的本质和人的发展的观点，阐述理想的学生观</w:t>
            </w:r>
            <w:r>
              <w:rPr>
                <w:rFonts w:hint="eastAsia" w:ascii="宋体" w:hAnsi="宋体" w:eastAsia="宋体" w:cs="Times New Roman"/>
                <w:szCs w:val="21"/>
              </w:rPr>
              <w:t>。</w:t>
            </w:r>
          </w:p>
        </w:tc>
        <w:tc>
          <w:tcPr>
            <w:tcW w:w="1342" w:type="dxa"/>
            <w:vAlign w:val="center"/>
          </w:tcPr>
          <w:p w14:paraId="71E4C4BE">
            <w:pPr>
              <w:jc w:val="left"/>
              <w:rPr>
                <w:rFonts w:hint="eastAsia" w:ascii="宋体" w:hAnsi="宋体" w:eastAsia="宋体" w:cs="Times New Roman"/>
                <w:szCs w:val="21"/>
              </w:rPr>
            </w:pPr>
            <w:r>
              <w:rPr>
                <w:rFonts w:ascii="宋体" w:hAnsi="宋体" w:eastAsia="宋体" w:cs="Times New Roman"/>
                <w:szCs w:val="21"/>
              </w:rPr>
              <w:t>1.线上学习</w:t>
            </w:r>
          </w:p>
          <w:p w14:paraId="705CAE92">
            <w:pPr>
              <w:jc w:val="left"/>
              <w:rPr>
                <w:rFonts w:hint="eastAsia" w:ascii="宋体" w:hAnsi="宋体" w:eastAsia="宋体" w:cs="Times New Roman"/>
                <w:szCs w:val="21"/>
              </w:rPr>
            </w:pPr>
            <w:r>
              <w:rPr>
                <w:rFonts w:ascii="宋体" w:hAnsi="宋体" w:eastAsia="宋体" w:cs="Times New Roman"/>
                <w:szCs w:val="21"/>
              </w:rPr>
              <w:t>2.多媒体教学</w:t>
            </w:r>
          </w:p>
          <w:p w14:paraId="2EA2197E">
            <w:pPr>
              <w:jc w:val="left"/>
              <w:rPr>
                <w:rFonts w:hint="eastAsia" w:ascii="宋体" w:hAnsi="宋体" w:eastAsia="宋体" w:cs="Times New Roman"/>
                <w:szCs w:val="21"/>
              </w:rPr>
            </w:pPr>
            <w:r>
              <w:rPr>
                <w:rFonts w:ascii="宋体" w:hAnsi="宋体" w:eastAsia="宋体" w:cs="Times New Roman"/>
                <w:szCs w:val="21"/>
              </w:rPr>
              <w:t>3.课堂讨论</w:t>
            </w:r>
          </w:p>
          <w:p w14:paraId="1BB8B365">
            <w:pPr>
              <w:jc w:val="left"/>
              <w:rPr>
                <w:rFonts w:hint="eastAsia" w:ascii="宋体" w:hAnsi="宋体" w:eastAsia="宋体" w:cs="Times New Roman"/>
                <w:szCs w:val="21"/>
              </w:rPr>
            </w:pPr>
            <w:r>
              <w:rPr>
                <w:rFonts w:ascii="宋体" w:hAnsi="宋体" w:eastAsia="宋体" w:cs="Times New Roman"/>
                <w:szCs w:val="21"/>
              </w:rPr>
              <w:t>4.单元测验</w:t>
            </w:r>
          </w:p>
        </w:tc>
        <w:tc>
          <w:tcPr>
            <w:tcW w:w="656" w:type="dxa"/>
            <w:vAlign w:val="center"/>
          </w:tcPr>
          <w:p w14:paraId="17C6DB26">
            <w:pPr>
              <w:jc w:val="center"/>
              <w:rPr>
                <w:rFonts w:hint="eastAsia" w:ascii="宋体" w:hAnsi="宋体" w:eastAsia="宋体" w:cs="Times New Roman"/>
                <w:szCs w:val="21"/>
              </w:rPr>
            </w:pPr>
            <w:r>
              <w:rPr>
                <w:rFonts w:hint="eastAsia" w:ascii="宋体" w:hAnsi="宋体" w:eastAsia="宋体" w:cs="Times New Roman"/>
                <w:szCs w:val="21"/>
              </w:rPr>
              <w:t>4</w:t>
            </w:r>
          </w:p>
        </w:tc>
      </w:tr>
      <w:tr w14:paraId="1C94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E8C797">
            <w:pPr>
              <w:jc w:val="center"/>
              <w:rPr>
                <w:rFonts w:hint="eastAsia" w:ascii="宋体" w:hAnsi="宋体" w:eastAsia="宋体" w:cs="Times New Roman"/>
                <w:szCs w:val="21"/>
              </w:rPr>
            </w:pPr>
          </w:p>
        </w:tc>
        <w:tc>
          <w:tcPr>
            <w:tcW w:w="8093" w:type="dxa"/>
            <w:gridSpan w:val="5"/>
            <w:vAlign w:val="center"/>
          </w:tcPr>
          <w:p w14:paraId="1F3DAFF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实现知识转化，树立正确的教师观、学生观，并热爱教师职业、热爱学生，培养良好的师生关系。</w:t>
            </w:r>
          </w:p>
        </w:tc>
      </w:tr>
    </w:tbl>
    <w:p w14:paraId="06533B58">
      <w:pPr>
        <w:spacing w:before="62" w:beforeLines="20" w:after="62" w:afterLines="20" w:line="360" w:lineRule="auto"/>
        <w:jc w:val="left"/>
        <w:rPr>
          <w:rFonts w:ascii="Times New Roman" w:hAnsi="Times New Roman" w:eastAsia="宋体" w:cs="Times New Roman"/>
          <w:b/>
          <w:sz w:val="24"/>
        </w:rPr>
      </w:pPr>
      <w:bookmarkStart w:id="442" w:name="_Toc15950"/>
      <w:bookmarkStart w:id="443" w:name="_Toc31686"/>
      <w:bookmarkStart w:id="444" w:name="_Toc7946"/>
      <w:bookmarkStart w:id="445" w:name="_Toc31553"/>
      <w:bookmarkStart w:id="446" w:name="_Toc12391"/>
      <w:bookmarkStart w:id="447" w:name="_Toc23925"/>
      <w:bookmarkStart w:id="448" w:name="_Toc19561"/>
      <w:r>
        <w:rPr>
          <w:rFonts w:hint="eastAsia" w:ascii="Times New Roman" w:hAnsi="Times New Roman" w:eastAsia="宋体" w:cs="Times New Roman"/>
          <w:b/>
          <w:sz w:val="24"/>
        </w:rPr>
        <w:t>四、目标评价与成绩评定</w:t>
      </w:r>
      <w:bookmarkEnd w:id="442"/>
      <w:bookmarkEnd w:id="443"/>
      <w:bookmarkEnd w:id="444"/>
      <w:bookmarkEnd w:id="445"/>
      <w:bookmarkEnd w:id="446"/>
      <w:bookmarkEnd w:id="447"/>
      <w:bookmarkEnd w:id="448"/>
    </w:p>
    <w:p w14:paraId="42184D46">
      <w:pPr>
        <w:spacing w:line="360" w:lineRule="auto"/>
        <w:ind w:firstLine="422" w:firstLineChars="200"/>
        <w:jc w:val="left"/>
        <w:outlineLvl w:val="1"/>
        <w:rPr>
          <w:rFonts w:ascii="Times New Roman" w:hAnsi="Times New Roman" w:eastAsia="宋体" w:cs="Times New Roman"/>
          <w:b/>
          <w:szCs w:val="21"/>
        </w:rPr>
      </w:pPr>
      <w:bookmarkStart w:id="449" w:name="_Toc32071"/>
      <w:r>
        <w:rPr>
          <w:rFonts w:hint="eastAsia" w:ascii="Times New Roman" w:hAnsi="Times New Roman" w:eastAsia="宋体" w:cs="Times New Roman"/>
          <w:b/>
          <w:szCs w:val="21"/>
        </w:rPr>
        <w:t>（一）课程目标评价方式</w:t>
      </w:r>
      <w:bookmarkEnd w:id="449"/>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4D41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restart"/>
            <w:vAlign w:val="center"/>
          </w:tcPr>
          <w:p w14:paraId="39595A03">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3DEE7ED">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97449D7">
            <w:pPr>
              <w:jc w:val="center"/>
              <w:rPr>
                <w:rFonts w:hint="eastAsia" w:ascii="宋体" w:hAnsi="宋体" w:eastAsia="宋体" w:cs="Times New Roman"/>
                <w:szCs w:val="21"/>
              </w:rPr>
            </w:pPr>
            <w:r>
              <w:rPr>
                <w:rFonts w:hint="eastAsia" w:ascii="宋体" w:hAnsi="宋体" w:eastAsia="宋体" w:cs="Times New Roman"/>
                <w:szCs w:val="21"/>
              </w:rPr>
              <w:t>分值</w:t>
            </w:r>
          </w:p>
        </w:tc>
      </w:tr>
      <w:tr w14:paraId="450E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0" w:type="auto"/>
            <w:vMerge w:val="continue"/>
            <w:vAlign w:val="center"/>
          </w:tcPr>
          <w:p w14:paraId="6257F7FF">
            <w:pPr>
              <w:jc w:val="center"/>
              <w:rPr>
                <w:rFonts w:hint="eastAsia" w:ascii="宋体" w:hAnsi="宋体" w:eastAsia="宋体" w:cs="Times New Roman"/>
                <w:szCs w:val="21"/>
              </w:rPr>
            </w:pPr>
          </w:p>
        </w:tc>
        <w:tc>
          <w:tcPr>
            <w:tcW w:w="0" w:type="auto"/>
            <w:vAlign w:val="center"/>
          </w:tcPr>
          <w:p w14:paraId="63D1EAB8">
            <w:pPr>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07268311">
            <w:pPr>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6B7EDE11">
            <w:pPr>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7D1A2988">
            <w:pPr>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6FB8543E">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Align w:val="center"/>
          </w:tcPr>
          <w:p w14:paraId="0D84C8E2">
            <w:pPr>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3A1B5168">
            <w:pPr>
              <w:jc w:val="center"/>
              <w:rPr>
                <w:rFonts w:hint="eastAsia" w:ascii="宋体" w:hAnsi="宋体" w:eastAsia="宋体" w:cs="Times New Roman"/>
                <w:szCs w:val="21"/>
              </w:rPr>
            </w:pPr>
          </w:p>
        </w:tc>
      </w:tr>
      <w:tr w14:paraId="371D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0" w:type="auto"/>
            <w:vAlign w:val="center"/>
          </w:tcPr>
          <w:p w14:paraId="639A8F4E">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B789BF9">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D0463DE">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C780F45">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4EE98D1">
            <w:pPr>
              <w:jc w:val="center"/>
              <w:rPr>
                <w:rFonts w:hint="eastAsia" w:ascii="宋体" w:hAnsi="宋体" w:eastAsia="宋体" w:cs="Times New Roman"/>
                <w:szCs w:val="21"/>
              </w:rPr>
            </w:pPr>
          </w:p>
        </w:tc>
        <w:tc>
          <w:tcPr>
            <w:tcW w:w="0" w:type="auto"/>
            <w:vAlign w:val="center"/>
          </w:tcPr>
          <w:p w14:paraId="40696018">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25984E37">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EFD511F">
            <w:pPr>
              <w:jc w:val="center"/>
              <w:rPr>
                <w:rFonts w:hint="eastAsia" w:ascii="宋体" w:hAnsi="宋体" w:eastAsia="宋体" w:cs="Times New Roman"/>
                <w:szCs w:val="21"/>
              </w:rPr>
            </w:pPr>
            <w:r>
              <w:rPr>
                <w:rFonts w:hint="eastAsia" w:ascii="宋体" w:hAnsi="宋体" w:eastAsia="宋体" w:cs="Times New Roman"/>
                <w:szCs w:val="21"/>
              </w:rPr>
              <w:t>30</w:t>
            </w:r>
          </w:p>
        </w:tc>
      </w:tr>
      <w:tr w14:paraId="0EB1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0" w:type="auto"/>
            <w:vAlign w:val="center"/>
          </w:tcPr>
          <w:p w14:paraId="133964A3">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1BD6730B">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D083ED2">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05EBF41">
            <w:pPr>
              <w:jc w:val="center"/>
              <w:rPr>
                <w:rFonts w:hint="eastAsia" w:ascii="宋体" w:hAnsi="宋体" w:eastAsia="宋体" w:cs="Times New Roman"/>
                <w:szCs w:val="21"/>
              </w:rPr>
            </w:pPr>
          </w:p>
        </w:tc>
        <w:tc>
          <w:tcPr>
            <w:tcW w:w="0" w:type="auto"/>
            <w:vAlign w:val="center"/>
          </w:tcPr>
          <w:p w14:paraId="1DDBE699">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82A4816">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291C38EE">
            <w:pPr>
              <w:jc w:val="center"/>
              <w:rPr>
                <w:rFonts w:hint="eastAsia" w:ascii="宋体" w:hAnsi="宋体" w:eastAsia="宋体" w:cs="Times New Roman"/>
                <w:szCs w:val="21"/>
              </w:rPr>
            </w:pPr>
          </w:p>
        </w:tc>
        <w:tc>
          <w:tcPr>
            <w:tcW w:w="0" w:type="auto"/>
            <w:vAlign w:val="center"/>
          </w:tcPr>
          <w:p w14:paraId="3AC0BA22">
            <w:pPr>
              <w:jc w:val="center"/>
              <w:rPr>
                <w:rFonts w:hint="eastAsia" w:ascii="宋体" w:hAnsi="宋体" w:eastAsia="宋体" w:cs="Times New Roman"/>
                <w:szCs w:val="21"/>
              </w:rPr>
            </w:pPr>
            <w:r>
              <w:rPr>
                <w:rFonts w:hint="eastAsia" w:ascii="宋体" w:hAnsi="宋体" w:eastAsia="宋体" w:cs="Times New Roman"/>
                <w:szCs w:val="21"/>
              </w:rPr>
              <w:t>40</w:t>
            </w:r>
          </w:p>
        </w:tc>
      </w:tr>
      <w:tr w14:paraId="5482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0" w:type="auto"/>
            <w:vAlign w:val="center"/>
          </w:tcPr>
          <w:p w14:paraId="4AECC030">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7795D4A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A0B844C">
            <w:pPr>
              <w:jc w:val="center"/>
              <w:rPr>
                <w:rFonts w:hint="eastAsia" w:ascii="宋体" w:hAnsi="宋体" w:eastAsia="宋体" w:cs="Times New Roman"/>
                <w:szCs w:val="21"/>
              </w:rPr>
            </w:pPr>
          </w:p>
        </w:tc>
        <w:tc>
          <w:tcPr>
            <w:tcW w:w="0" w:type="auto"/>
            <w:vAlign w:val="center"/>
          </w:tcPr>
          <w:p w14:paraId="36DF4707">
            <w:pPr>
              <w:jc w:val="center"/>
              <w:rPr>
                <w:rFonts w:hint="eastAsia" w:ascii="宋体" w:hAnsi="宋体" w:eastAsia="宋体" w:cs="Times New Roman"/>
                <w:szCs w:val="21"/>
              </w:rPr>
            </w:pPr>
          </w:p>
        </w:tc>
        <w:tc>
          <w:tcPr>
            <w:tcW w:w="0" w:type="auto"/>
            <w:vAlign w:val="center"/>
          </w:tcPr>
          <w:p w14:paraId="2EB4B534">
            <w:pPr>
              <w:jc w:val="center"/>
              <w:rPr>
                <w:rFonts w:hint="eastAsia" w:ascii="宋体" w:hAnsi="宋体" w:eastAsia="宋体" w:cs="Times New Roman"/>
                <w:szCs w:val="21"/>
              </w:rPr>
            </w:pPr>
          </w:p>
        </w:tc>
        <w:tc>
          <w:tcPr>
            <w:tcW w:w="0" w:type="auto"/>
            <w:vAlign w:val="center"/>
          </w:tcPr>
          <w:p w14:paraId="659867AD">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22CE453F">
            <w:pPr>
              <w:jc w:val="center"/>
              <w:rPr>
                <w:rFonts w:hint="eastAsia" w:ascii="宋体" w:hAnsi="宋体" w:eastAsia="宋体" w:cs="Times New Roman"/>
                <w:szCs w:val="21"/>
              </w:rPr>
            </w:pPr>
          </w:p>
        </w:tc>
        <w:tc>
          <w:tcPr>
            <w:tcW w:w="0" w:type="auto"/>
            <w:vAlign w:val="center"/>
          </w:tcPr>
          <w:p w14:paraId="5E433CDB">
            <w:pPr>
              <w:jc w:val="center"/>
              <w:rPr>
                <w:rFonts w:hint="eastAsia" w:ascii="宋体" w:hAnsi="宋体" w:eastAsia="宋体" w:cs="Times New Roman"/>
                <w:szCs w:val="21"/>
              </w:rPr>
            </w:pPr>
            <w:r>
              <w:rPr>
                <w:rFonts w:hint="eastAsia" w:ascii="宋体" w:hAnsi="宋体" w:eastAsia="宋体" w:cs="Times New Roman"/>
                <w:szCs w:val="21"/>
              </w:rPr>
              <w:t>30</w:t>
            </w:r>
          </w:p>
        </w:tc>
      </w:tr>
      <w:tr w14:paraId="4C22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0" w:type="auto"/>
            <w:vAlign w:val="center"/>
          </w:tcPr>
          <w:p w14:paraId="2BE378F6">
            <w:pPr>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50A442B1">
            <w:pPr>
              <w:jc w:val="center"/>
              <w:rPr>
                <w:rFonts w:hint="eastAsia" w:ascii="宋体" w:hAnsi="宋体" w:eastAsia="宋体" w:cs="Times New Roman"/>
                <w:szCs w:val="21"/>
              </w:rPr>
            </w:pPr>
          </w:p>
        </w:tc>
        <w:tc>
          <w:tcPr>
            <w:tcW w:w="0" w:type="auto"/>
            <w:vAlign w:val="center"/>
          </w:tcPr>
          <w:p w14:paraId="489F6B86">
            <w:pPr>
              <w:jc w:val="center"/>
              <w:rPr>
                <w:rFonts w:hint="eastAsia" w:ascii="宋体" w:hAnsi="宋体" w:eastAsia="宋体" w:cs="Times New Roman"/>
                <w:szCs w:val="21"/>
              </w:rPr>
            </w:pPr>
          </w:p>
        </w:tc>
        <w:tc>
          <w:tcPr>
            <w:tcW w:w="0" w:type="auto"/>
            <w:vAlign w:val="center"/>
          </w:tcPr>
          <w:p w14:paraId="26ECCAC0">
            <w:pPr>
              <w:jc w:val="center"/>
              <w:rPr>
                <w:rFonts w:hint="eastAsia" w:ascii="宋体" w:hAnsi="宋体" w:eastAsia="宋体" w:cs="Times New Roman"/>
                <w:szCs w:val="21"/>
              </w:rPr>
            </w:pPr>
          </w:p>
        </w:tc>
        <w:tc>
          <w:tcPr>
            <w:tcW w:w="0" w:type="auto"/>
            <w:vAlign w:val="center"/>
          </w:tcPr>
          <w:p w14:paraId="652ADDC5">
            <w:pPr>
              <w:jc w:val="center"/>
              <w:rPr>
                <w:rFonts w:hint="eastAsia" w:ascii="宋体" w:hAnsi="宋体" w:eastAsia="宋体" w:cs="Times New Roman"/>
                <w:szCs w:val="21"/>
              </w:rPr>
            </w:pPr>
          </w:p>
        </w:tc>
        <w:tc>
          <w:tcPr>
            <w:tcW w:w="0" w:type="auto"/>
            <w:vAlign w:val="center"/>
          </w:tcPr>
          <w:p w14:paraId="388ACD59">
            <w:pPr>
              <w:jc w:val="center"/>
              <w:rPr>
                <w:rFonts w:hint="eastAsia" w:ascii="宋体" w:hAnsi="宋体" w:eastAsia="宋体" w:cs="Times New Roman"/>
                <w:szCs w:val="21"/>
              </w:rPr>
            </w:pPr>
          </w:p>
        </w:tc>
        <w:tc>
          <w:tcPr>
            <w:tcW w:w="0" w:type="auto"/>
          </w:tcPr>
          <w:p w14:paraId="3FF48FB2">
            <w:pPr>
              <w:jc w:val="center"/>
              <w:rPr>
                <w:rFonts w:hint="eastAsia" w:ascii="宋体" w:hAnsi="宋体" w:eastAsia="宋体" w:cs="Times New Roman"/>
                <w:szCs w:val="21"/>
              </w:rPr>
            </w:pPr>
          </w:p>
        </w:tc>
        <w:tc>
          <w:tcPr>
            <w:tcW w:w="0" w:type="auto"/>
            <w:vAlign w:val="center"/>
          </w:tcPr>
          <w:p w14:paraId="24397AA1">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5808648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p w14:paraId="55051629">
      <w:pPr>
        <w:spacing w:before="156" w:beforeLines="50" w:line="360" w:lineRule="auto"/>
        <w:ind w:firstLine="422" w:firstLineChars="200"/>
        <w:jc w:val="left"/>
        <w:outlineLvl w:val="1"/>
        <w:rPr>
          <w:rFonts w:ascii="Times New Roman" w:hAnsi="Times New Roman" w:eastAsia="宋体" w:cs="Times New Roman"/>
          <w:b/>
          <w:szCs w:val="21"/>
        </w:rPr>
      </w:pPr>
      <w:bookmarkStart w:id="450" w:name="_Toc25949"/>
      <w:r>
        <w:rPr>
          <w:rFonts w:hint="eastAsia" w:ascii="Times New Roman" w:hAnsi="Times New Roman" w:eastAsia="宋体" w:cs="Times New Roman"/>
          <w:b/>
          <w:szCs w:val="21"/>
        </w:rPr>
        <w:t>（二）成绩评定细则</w:t>
      </w:r>
      <w:bookmarkEnd w:id="450"/>
    </w:p>
    <w:p w14:paraId="3F30068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EFF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78190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0A64F82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E9115D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FA35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7F3BCC">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E25CAE9">
            <w:pPr>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3AE649A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701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764EF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5DBFCB1E">
            <w:pPr>
              <w:widowControl/>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21E02DFE">
            <w:pPr>
              <w:widowControl/>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305138E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A42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2696683">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308E9797">
            <w:pPr>
              <w:widowControl/>
              <w:jc w:val="left"/>
              <w:rPr>
                <w:rFonts w:hint="eastAsia" w:ascii="宋体" w:hAnsi="宋体" w:eastAsia="宋体" w:cs="宋体"/>
                <w:kern w:val="0"/>
                <w:szCs w:val="21"/>
                <w:lang w:bidi="ar"/>
              </w:rPr>
            </w:pPr>
            <w:r>
              <w:rPr>
                <w:rFonts w:hint="eastAsia" w:ascii="宋体" w:hAnsi="宋体" w:eastAsia="宋体" w:cs="宋体"/>
                <w:kern w:val="0"/>
                <w:szCs w:val="21"/>
                <w:lang w:bidi="ar"/>
              </w:rPr>
              <w:t>每单元在线上进行测验，主要考查基础知识和基本理论的掌握，以题目的正确率为得分依据。</w:t>
            </w:r>
          </w:p>
        </w:tc>
        <w:tc>
          <w:tcPr>
            <w:tcW w:w="0" w:type="auto"/>
            <w:vAlign w:val="center"/>
          </w:tcPr>
          <w:p w14:paraId="695A5A3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5DF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1551113">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377CC43E">
            <w:pPr>
              <w:widowControl/>
              <w:jc w:val="left"/>
              <w:rPr>
                <w:rFonts w:hint="eastAsia" w:ascii="宋体" w:hAnsi="宋体" w:eastAsia="宋体" w:cs="宋体"/>
                <w:kern w:val="0"/>
                <w:szCs w:val="21"/>
                <w:lang w:bidi="ar"/>
              </w:rPr>
            </w:pPr>
            <w:r>
              <w:rPr>
                <w:rFonts w:hint="eastAsia" w:ascii="宋体" w:hAnsi="宋体" w:eastAsia="宋体" w:cs="宋体"/>
                <w:kern w:val="0"/>
                <w:szCs w:val="21"/>
                <w:lang w:bidi="ar"/>
              </w:rPr>
              <w:t>课前5分钟左右，每位同学评说教育时事、教育事件或教育现象等，以学生表达的流程性、逻辑性和分析的深度为评分的主要依据。</w:t>
            </w:r>
          </w:p>
        </w:tc>
        <w:tc>
          <w:tcPr>
            <w:tcW w:w="0" w:type="auto"/>
            <w:vAlign w:val="center"/>
          </w:tcPr>
          <w:p w14:paraId="48815D29">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5E6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354DC1D">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398CF3AA">
            <w:pPr>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6F6CA44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241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6DF3FF9">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DA6129E">
            <w:pPr>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教育基本理论和知识型题目占3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%；考核学生运用基本理论知识进行分析能力的题型占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%；考核学生运用学与教的基本理论和知识进行教学设计的题型占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%；考核学生初步研究能力的题型占1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0725051A">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1715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49D1C7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A5A78F1">
            <w:pPr>
              <w:jc w:val="left"/>
              <w:rPr>
                <w:rFonts w:ascii="Times New Roman" w:hAnsi="Times New Roman" w:eastAsia="宋体" w:cs="Times New Roman"/>
                <w:szCs w:val="21"/>
              </w:rPr>
            </w:pPr>
          </w:p>
        </w:tc>
        <w:tc>
          <w:tcPr>
            <w:tcW w:w="0" w:type="auto"/>
            <w:vAlign w:val="center"/>
          </w:tcPr>
          <w:p w14:paraId="2BDEA2B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A02AE2F">
      <w:pPr>
        <w:spacing w:line="360" w:lineRule="auto"/>
        <w:ind w:firstLine="422" w:firstLineChars="200"/>
        <w:jc w:val="left"/>
        <w:outlineLvl w:val="1"/>
        <w:rPr>
          <w:rFonts w:hint="eastAsia" w:ascii="宋体" w:hAnsi="宋体" w:eastAsia="宋体" w:cs="Times New Roman"/>
          <w:b/>
          <w:szCs w:val="21"/>
        </w:rPr>
      </w:pPr>
      <w:bookmarkStart w:id="451" w:name="_Toc20607"/>
      <w:r>
        <w:rPr>
          <w:rFonts w:hint="eastAsia" w:ascii="宋体" w:hAnsi="宋体" w:eastAsia="宋体" w:cs="Times New Roman"/>
          <w:b/>
          <w:szCs w:val="21"/>
        </w:rPr>
        <w:t>（三）课程目标达成度计算方法</w:t>
      </w:r>
      <w:bookmarkEnd w:id="451"/>
    </w:p>
    <w:p w14:paraId="43E0FCDE">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2951A88B">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38" o:spt="75" type="#_x0000_t75" style="height:24.8pt;width:404.5pt;" o:ole="t" filled="f" o:preferrelative="t" stroked="f" coordsize="21600,21600">
            <v:path/>
            <v:fill on="f" focussize="0,0"/>
            <v:stroke on="f" joinstyle="miter"/>
            <v:imagedata r:id="rId12" o:title=""/>
            <o:lock v:ext="edit" aspectratio="t"/>
            <w10:wrap type="none"/>
            <w10:anchorlock/>
          </v:shape>
          <o:OLEObject Type="Embed" ProgID="Equation.3" ShapeID="_x0000_i1038" DrawAspect="Content" ObjectID="_1468075738" r:id="rId26">
            <o:LockedField>false</o:LockedField>
          </o:OLEObject>
        </w:object>
      </w:r>
      <w:bookmarkStart w:id="452" w:name="_Toc15129"/>
      <w:bookmarkStart w:id="453" w:name="_Toc25389"/>
      <w:bookmarkStart w:id="454" w:name="_Toc10903"/>
      <w:bookmarkStart w:id="455" w:name="_Toc31343"/>
      <w:bookmarkStart w:id="456" w:name="_Toc6684"/>
      <w:bookmarkStart w:id="457" w:name="_Toc20388"/>
      <w:bookmarkStart w:id="458" w:name="_Toc13884"/>
      <w:r>
        <w:rPr>
          <w:rFonts w:hint="eastAsia" w:ascii="宋体" w:hAnsi="宋体" w:eastAsia="宋体" w:cs="Times New Roman"/>
          <w:b/>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bookmarkEnd w:id="452"/>
      <w:bookmarkEnd w:id="453"/>
      <w:bookmarkEnd w:id="454"/>
      <w:bookmarkEnd w:id="455"/>
      <w:bookmarkEnd w:id="456"/>
      <w:bookmarkEnd w:id="457"/>
      <w:bookmarkEnd w:id="458"/>
    </w:p>
    <w:p w14:paraId="3CBB9272">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19A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02EDF0DD">
            <w:pPr>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7D3E12C4">
            <w:pPr>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5162EA28">
            <w:pPr>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ABDE229">
            <w:pPr>
              <w:jc w:val="center"/>
              <w:rPr>
                <w:rFonts w:hint="eastAsia" w:ascii="宋体" w:hAnsi="宋体" w:eastAsia="宋体" w:cs="宋体"/>
                <w:b/>
                <w:bCs/>
                <w:szCs w:val="21"/>
              </w:rPr>
            </w:pPr>
            <w:r>
              <w:rPr>
                <w:rFonts w:hint="eastAsia" w:ascii="宋体" w:hAnsi="宋体" w:eastAsia="宋体" w:cs="宋体"/>
                <w:b/>
                <w:bCs/>
                <w:szCs w:val="21"/>
              </w:rPr>
              <w:t>思政目标</w:t>
            </w:r>
          </w:p>
        </w:tc>
      </w:tr>
      <w:tr w14:paraId="46C4A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3992917">
            <w:pPr>
              <w:jc w:val="center"/>
              <w:rPr>
                <w:rFonts w:hint="eastAsia" w:ascii="宋体" w:hAnsi="宋体" w:eastAsia="宋体" w:cs="宋体"/>
                <w:szCs w:val="21"/>
              </w:rPr>
            </w:pPr>
            <w:r>
              <w:rPr>
                <w:rFonts w:hint="eastAsia" w:ascii="宋体" w:hAnsi="宋体" w:eastAsia="宋体" w:cs="宋体"/>
                <w:szCs w:val="21"/>
              </w:rPr>
              <w:t>教育家</w:t>
            </w:r>
          </w:p>
          <w:p w14:paraId="35CA4C8B">
            <w:pPr>
              <w:jc w:val="center"/>
              <w:rPr>
                <w:rFonts w:hint="eastAsia" w:ascii="宋体" w:hAnsi="宋体" w:eastAsia="宋体" w:cs="宋体"/>
                <w:szCs w:val="21"/>
              </w:rPr>
            </w:pPr>
            <w:r>
              <w:rPr>
                <w:rFonts w:hint="eastAsia" w:ascii="宋体" w:hAnsi="宋体" w:eastAsia="宋体" w:cs="宋体"/>
                <w:szCs w:val="21"/>
              </w:rPr>
              <w:t>精神</w:t>
            </w:r>
          </w:p>
        </w:tc>
        <w:tc>
          <w:tcPr>
            <w:tcW w:w="3407" w:type="dxa"/>
            <w:vAlign w:val="center"/>
          </w:tcPr>
          <w:p w14:paraId="2CE74DA2">
            <w:pPr>
              <w:jc w:val="left"/>
              <w:rPr>
                <w:rFonts w:hint="eastAsia" w:ascii="宋体" w:hAnsi="宋体" w:eastAsia="宋体" w:cs="宋体"/>
                <w:szCs w:val="21"/>
              </w:rPr>
            </w:pPr>
            <w:r>
              <w:rPr>
                <w:rFonts w:hint="eastAsia" w:ascii="宋体" w:hAnsi="宋体" w:eastAsia="宋体" w:cs="宋体"/>
                <w:szCs w:val="21"/>
              </w:rPr>
              <w:t>通过阅读相关书籍或讲述中国教育家的故事，进行课堂主题讨论，让学生领会教育家精神</w:t>
            </w:r>
          </w:p>
        </w:tc>
        <w:tc>
          <w:tcPr>
            <w:tcW w:w="740" w:type="dxa"/>
            <w:vAlign w:val="center"/>
          </w:tcPr>
          <w:p w14:paraId="409A1139">
            <w:pPr>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71939B95">
            <w:pPr>
              <w:jc w:val="left"/>
              <w:rPr>
                <w:rFonts w:hint="eastAsia"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45CF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1759D26">
            <w:pPr>
              <w:jc w:val="center"/>
              <w:rPr>
                <w:rFonts w:hint="eastAsia" w:ascii="宋体" w:hAnsi="宋体" w:eastAsia="宋体" w:cs="宋体"/>
                <w:szCs w:val="21"/>
              </w:rPr>
            </w:pPr>
            <w:r>
              <w:rPr>
                <w:rFonts w:hint="eastAsia" w:ascii="宋体" w:hAnsi="宋体" w:eastAsia="宋体" w:cs="宋体"/>
                <w:szCs w:val="21"/>
              </w:rPr>
              <w:t>最美教师或师德模范进课堂</w:t>
            </w:r>
          </w:p>
        </w:tc>
        <w:tc>
          <w:tcPr>
            <w:tcW w:w="3407" w:type="dxa"/>
            <w:vAlign w:val="center"/>
          </w:tcPr>
          <w:p w14:paraId="181A6E82">
            <w:pPr>
              <w:jc w:val="left"/>
              <w:rPr>
                <w:rFonts w:hint="eastAsia" w:ascii="宋体" w:hAnsi="宋体" w:eastAsia="宋体" w:cs="宋体"/>
                <w:szCs w:val="21"/>
              </w:rPr>
            </w:pPr>
            <w:r>
              <w:rPr>
                <w:rFonts w:hint="eastAsia" w:ascii="宋体" w:hAnsi="宋体" w:eastAsia="宋体" w:cs="宋体"/>
                <w:szCs w:val="21"/>
              </w:rPr>
              <w:t>邀请当地获得最美教师、师德模范等荣誉称号的教师做报告，让学生进一步认识基础一线优秀教师的优秀事迹并向他们学习。</w:t>
            </w:r>
          </w:p>
        </w:tc>
        <w:tc>
          <w:tcPr>
            <w:tcW w:w="740" w:type="dxa"/>
            <w:vAlign w:val="center"/>
          </w:tcPr>
          <w:p w14:paraId="490E3171">
            <w:pPr>
              <w:jc w:val="center"/>
              <w:rPr>
                <w:rFonts w:hint="eastAsia" w:ascii="宋体" w:hAnsi="宋体" w:eastAsia="宋体" w:cs="宋体"/>
                <w:szCs w:val="21"/>
              </w:rPr>
            </w:pPr>
            <w:r>
              <w:rPr>
                <w:rFonts w:hint="eastAsia" w:ascii="宋体" w:hAnsi="宋体" w:eastAsia="宋体" w:cs="宋体"/>
                <w:szCs w:val="21"/>
              </w:rPr>
              <w:t>专题报告</w:t>
            </w:r>
          </w:p>
        </w:tc>
        <w:tc>
          <w:tcPr>
            <w:tcW w:w="3160" w:type="dxa"/>
            <w:vAlign w:val="center"/>
          </w:tcPr>
          <w:p w14:paraId="408B9494">
            <w:pPr>
              <w:jc w:val="left"/>
              <w:rPr>
                <w:rFonts w:hint="eastAsia" w:ascii="宋体" w:hAnsi="宋体" w:eastAsia="宋体" w:cs="宋体"/>
                <w:szCs w:val="21"/>
              </w:rPr>
            </w:pPr>
            <w:r>
              <w:rPr>
                <w:rFonts w:hint="eastAsia" w:ascii="宋体" w:hAnsi="宋体" w:eastAsia="宋体" w:cs="宋体"/>
                <w:szCs w:val="21"/>
              </w:rPr>
              <w:t>用榜样的力量激发学生爱岗敬业、立志成为卓越教师，为党和国家的发展做出贡献。</w:t>
            </w:r>
          </w:p>
        </w:tc>
      </w:tr>
      <w:tr w14:paraId="6493A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060E3DE">
            <w:pPr>
              <w:jc w:val="center"/>
              <w:rPr>
                <w:rFonts w:hint="eastAsia" w:ascii="宋体" w:hAnsi="宋体" w:eastAsia="宋体" w:cs="宋体"/>
                <w:szCs w:val="21"/>
              </w:rPr>
            </w:pPr>
            <w:r>
              <w:rPr>
                <w:rFonts w:hint="eastAsia" w:ascii="宋体" w:hAnsi="宋体" w:eastAsia="宋体" w:cs="宋体"/>
                <w:szCs w:val="21"/>
              </w:rPr>
              <w:t>寻找最感动我的教师</w:t>
            </w:r>
          </w:p>
        </w:tc>
        <w:tc>
          <w:tcPr>
            <w:tcW w:w="3407" w:type="dxa"/>
            <w:vAlign w:val="center"/>
          </w:tcPr>
          <w:p w14:paraId="30129890">
            <w:pPr>
              <w:jc w:val="left"/>
              <w:rPr>
                <w:rFonts w:hint="eastAsia" w:ascii="宋体" w:hAnsi="宋体" w:eastAsia="宋体" w:cs="宋体"/>
                <w:szCs w:val="21"/>
              </w:rPr>
            </w:pPr>
            <w:r>
              <w:rPr>
                <w:rFonts w:hint="eastAsia" w:ascii="宋体" w:hAnsi="宋体" w:eastAsia="宋体" w:cs="宋体"/>
                <w:szCs w:val="21"/>
              </w:rPr>
              <w:t>利用假期，让学生访谈自己求学生涯中最感动自己的教师，在调查中加强对教育和教师的认识。</w:t>
            </w:r>
          </w:p>
        </w:tc>
        <w:tc>
          <w:tcPr>
            <w:tcW w:w="740" w:type="dxa"/>
            <w:vAlign w:val="center"/>
          </w:tcPr>
          <w:p w14:paraId="547388C7">
            <w:pPr>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6F532A88">
            <w:pPr>
              <w:jc w:val="left"/>
              <w:rPr>
                <w:rFonts w:hint="eastAsia" w:ascii="宋体" w:hAnsi="宋体" w:eastAsia="宋体" w:cs="宋体"/>
                <w:szCs w:val="21"/>
              </w:rPr>
            </w:pPr>
            <w:r>
              <w:rPr>
                <w:rFonts w:hint="eastAsia" w:ascii="宋体" w:hAnsi="宋体" w:eastAsia="宋体" w:cs="宋体"/>
                <w:szCs w:val="21"/>
              </w:rPr>
              <w:t>提高学生对教师职业特性的认识，增强学生从教意愿、责任感、使命感和职业荣耀感， 愿意为党和国家的教育事业奉献终身。</w:t>
            </w:r>
          </w:p>
        </w:tc>
      </w:tr>
      <w:tr w14:paraId="60D5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0F8822F5">
            <w:pPr>
              <w:jc w:val="center"/>
              <w:rPr>
                <w:rFonts w:hint="eastAsia" w:ascii="宋体" w:hAnsi="宋体" w:eastAsia="宋体" w:cs="宋体"/>
                <w:szCs w:val="21"/>
              </w:rPr>
            </w:pPr>
            <w:r>
              <w:rPr>
                <w:rFonts w:hint="eastAsia" w:ascii="宋体" w:hAnsi="宋体" w:eastAsia="宋体" w:cs="宋体"/>
                <w:szCs w:val="21"/>
              </w:rPr>
              <w:t>师范生从教宣誓</w:t>
            </w:r>
          </w:p>
        </w:tc>
        <w:tc>
          <w:tcPr>
            <w:tcW w:w="3407" w:type="dxa"/>
            <w:vAlign w:val="center"/>
          </w:tcPr>
          <w:p w14:paraId="74B1BCC2">
            <w:pPr>
              <w:jc w:val="left"/>
              <w:rPr>
                <w:rFonts w:hint="eastAsia" w:ascii="宋体" w:hAnsi="宋体" w:eastAsia="宋体" w:cs="宋体"/>
                <w:szCs w:val="21"/>
              </w:rPr>
            </w:pPr>
            <w:r>
              <w:rPr>
                <w:rFonts w:hint="eastAsia" w:ascii="宋体" w:hAnsi="宋体" w:eastAsia="宋体" w:cs="宋体"/>
                <w:szCs w:val="21"/>
              </w:rPr>
              <w:t>学期末，结合课程中的所思、所感、和所得 ，以活动展示的新式进行从教宣誓活动。</w:t>
            </w:r>
          </w:p>
        </w:tc>
        <w:tc>
          <w:tcPr>
            <w:tcW w:w="740" w:type="dxa"/>
            <w:vAlign w:val="center"/>
          </w:tcPr>
          <w:p w14:paraId="61A361AD">
            <w:pPr>
              <w:jc w:val="center"/>
              <w:rPr>
                <w:rFonts w:hint="eastAsia" w:ascii="宋体" w:hAnsi="宋体" w:eastAsia="宋体" w:cs="宋体"/>
                <w:szCs w:val="21"/>
              </w:rPr>
            </w:pPr>
            <w:r>
              <w:rPr>
                <w:rFonts w:hint="eastAsia" w:ascii="宋体" w:hAnsi="宋体" w:eastAsia="宋体" w:cs="宋体"/>
                <w:szCs w:val="21"/>
              </w:rPr>
              <w:t>第二课堂</w:t>
            </w:r>
          </w:p>
        </w:tc>
        <w:tc>
          <w:tcPr>
            <w:tcW w:w="3160" w:type="dxa"/>
            <w:vAlign w:val="center"/>
          </w:tcPr>
          <w:p w14:paraId="53E705C9">
            <w:pPr>
              <w:jc w:val="left"/>
              <w:rPr>
                <w:rFonts w:hint="eastAsia" w:ascii="宋体" w:hAnsi="宋体" w:eastAsia="宋体" w:cs="宋体"/>
                <w:szCs w:val="21"/>
              </w:rPr>
            </w:pPr>
            <w:r>
              <w:rPr>
                <w:rFonts w:hint="eastAsia" w:ascii="宋体" w:hAnsi="宋体" w:eastAsia="宋体" w:cs="宋体"/>
                <w:szCs w:val="21"/>
              </w:rPr>
              <w:t>用庄严的意识，增强学生从教的意愿，以及成为人民教师的荣耀感、责任感和使命感。</w:t>
            </w:r>
          </w:p>
        </w:tc>
      </w:tr>
    </w:tbl>
    <w:p w14:paraId="03F2F701">
      <w:pPr>
        <w:spacing w:line="360" w:lineRule="auto"/>
        <w:jc w:val="left"/>
        <w:rPr>
          <w:rFonts w:ascii="Times New Roman" w:hAnsi="Times New Roman" w:eastAsia="宋体" w:cs="Times New Roman"/>
          <w:b/>
          <w:bCs/>
          <w:sz w:val="24"/>
        </w:rPr>
      </w:pPr>
      <w:bookmarkStart w:id="459" w:name="_Toc8628"/>
      <w:bookmarkStart w:id="460" w:name="_Toc30915"/>
      <w:bookmarkStart w:id="461" w:name="_Toc1458"/>
      <w:bookmarkStart w:id="462" w:name="_Toc5552"/>
      <w:bookmarkStart w:id="463" w:name="_Toc12547"/>
      <w:bookmarkStart w:id="464" w:name="_Toc22725"/>
      <w:bookmarkStart w:id="465" w:name="_Toc12535"/>
      <w:r>
        <w:rPr>
          <w:rFonts w:hint="eastAsia" w:ascii="宋体" w:hAnsi="宋体" w:eastAsia="宋体" w:cs="Times New Roman"/>
          <w:b/>
          <w:sz w:val="24"/>
        </w:rPr>
        <w:t>六、有关说明</w:t>
      </w:r>
      <w:bookmarkEnd w:id="459"/>
      <w:bookmarkEnd w:id="460"/>
      <w:bookmarkEnd w:id="461"/>
      <w:bookmarkEnd w:id="462"/>
      <w:bookmarkEnd w:id="463"/>
      <w:bookmarkEnd w:id="464"/>
      <w:bookmarkEnd w:id="465"/>
    </w:p>
    <w:p w14:paraId="1AFA93B8">
      <w:pPr>
        <w:spacing w:line="360" w:lineRule="auto"/>
        <w:ind w:firstLine="422" w:firstLineChars="200"/>
        <w:jc w:val="left"/>
        <w:rPr>
          <w:rFonts w:ascii="Times New Roman" w:hAnsi="Times New Roman" w:eastAsia="宋体" w:cs="Times New Roman"/>
          <w:b/>
          <w:szCs w:val="21"/>
        </w:rPr>
      </w:pPr>
      <w:bookmarkStart w:id="466" w:name="_Toc11285"/>
      <w:r>
        <w:rPr>
          <w:rFonts w:hint="eastAsia" w:ascii="Times New Roman" w:hAnsi="Times New Roman" w:eastAsia="宋体" w:cs="Times New Roman"/>
          <w:b/>
          <w:szCs w:val="21"/>
        </w:rPr>
        <w:t>（一）持续改进</w:t>
      </w:r>
      <w:bookmarkEnd w:id="466"/>
    </w:p>
    <w:p w14:paraId="1A01AFB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4DBEF052">
      <w:pPr>
        <w:spacing w:line="360" w:lineRule="auto"/>
        <w:ind w:firstLine="422" w:firstLineChars="200"/>
        <w:jc w:val="left"/>
        <w:rPr>
          <w:rFonts w:ascii="Times New Roman" w:hAnsi="Times New Roman" w:eastAsia="宋体" w:cs="Times New Roman"/>
          <w:b/>
          <w:szCs w:val="21"/>
        </w:rPr>
      </w:pPr>
      <w:bookmarkStart w:id="467" w:name="_Toc24332"/>
      <w:r>
        <w:rPr>
          <w:rFonts w:hint="eastAsia" w:ascii="Times New Roman" w:hAnsi="Times New Roman" w:eastAsia="宋体" w:cs="Times New Roman"/>
          <w:b/>
          <w:szCs w:val="21"/>
        </w:rPr>
        <w:t>（二）建议教材</w:t>
      </w:r>
      <w:bookmarkEnd w:id="467"/>
    </w:p>
    <w:p w14:paraId="311668C2">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《教育学原理》编写组.</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教育学原理，高等教育出版社，2</w:t>
      </w:r>
      <w:r>
        <w:rPr>
          <w:rFonts w:ascii="Times New Roman" w:hAnsi="Times New Roman" w:eastAsia="宋体" w:cs="Times New Roman"/>
          <w:bCs/>
          <w:szCs w:val="21"/>
        </w:rPr>
        <w:t>019</w:t>
      </w:r>
      <w:r>
        <w:rPr>
          <w:rFonts w:hint="eastAsia" w:ascii="Times New Roman" w:hAnsi="Times New Roman" w:eastAsia="宋体" w:cs="Times New Roman"/>
          <w:bCs/>
          <w:szCs w:val="21"/>
        </w:rPr>
        <w:t>.（马克思主义理论研究和建设工程重点教材）</w:t>
      </w:r>
    </w:p>
    <w:p w14:paraId="43BDB4B1">
      <w:pPr>
        <w:spacing w:line="360" w:lineRule="auto"/>
        <w:ind w:firstLine="422" w:firstLineChars="200"/>
        <w:jc w:val="left"/>
        <w:rPr>
          <w:rFonts w:ascii="Times New Roman" w:hAnsi="Times New Roman" w:eastAsia="宋体" w:cs="Times New Roman"/>
          <w:b/>
          <w:szCs w:val="21"/>
        </w:rPr>
      </w:pPr>
      <w:bookmarkStart w:id="468" w:name="_Toc27936"/>
      <w:r>
        <w:rPr>
          <w:rFonts w:hint="eastAsia" w:ascii="Times New Roman" w:hAnsi="Times New Roman" w:eastAsia="宋体" w:cs="Times New Roman"/>
          <w:b/>
          <w:szCs w:val="21"/>
        </w:rPr>
        <w:t>（三）参考书目</w:t>
      </w:r>
      <w:bookmarkEnd w:id="468"/>
    </w:p>
    <w:p w14:paraId="5FC9B873">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1.郝文武</w:t>
      </w:r>
      <w:r>
        <w:rPr>
          <w:rFonts w:ascii="Times New Roman" w:hAnsi="Times New Roman" w:eastAsia="宋体" w:cs="Times New Roman"/>
          <w:bCs/>
          <w:szCs w:val="21"/>
        </w:rPr>
        <w:t>. 教育学原理. 北京：北京师范大学出版社，2012.</w:t>
      </w:r>
    </w:p>
    <w:p w14:paraId="58B5FEEC">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2.孙喜亭</w:t>
      </w:r>
      <w:r>
        <w:rPr>
          <w:rFonts w:ascii="Times New Roman" w:hAnsi="Times New Roman" w:eastAsia="宋体" w:cs="Times New Roman"/>
          <w:bCs/>
          <w:szCs w:val="21"/>
        </w:rPr>
        <w:t>. 教育原理（修订版）. 北京：北京师范大学出版社，2003.</w:t>
      </w:r>
    </w:p>
    <w:p w14:paraId="59019A32">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3.王道俊、王汉澜</w:t>
      </w:r>
      <w:r>
        <w:rPr>
          <w:rFonts w:ascii="Times New Roman" w:hAnsi="Times New Roman" w:eastAsia="宋体" w:cs="Times New Roman"/>
          <w:bCs/>
          <w:szCs w:val="21"/>
        </w:rPr>
        <w:t>. 教育学. 北京：人民教育出版社，1989.</w:t>
      </w:r>
    </w:p>
    <w:p w14:paraId="2D8550AC">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4.黄济、王策三</w:t>
      </w:r>
      <w:r>
        <w:rPr>
          <w:rFonts w:ascii="Times New Roman" w:hAnsi="Times New Roman" w:eastAsia="宋体" w:cs="Times New Roman"/>
          <w:bCs/>
          <w:szCs w:val="21"/>
        </w:rPr>
        <w:t>. 现代教育论. 北京人民教育出版社，2004.</w:t>
      </w:r>
    </w:p>
    <w:p w14:paraId="6E74AE86">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5.陈桂生</w:t>
      </w:r>
      <w:r>
        <w:rPr>
          <w:rFonts w:ascii="Times New Roman" w:hAnsi="Times New Roman" w:eastAsia="宋体" w:cs="Times New Roman"/>
          <w:bCs/>
          <w:szCs w:val="21"/>
        </w:rPr>
        <w:t>. 教育原理. 上海：华东师范大学出版社，2000.</w:t>
      </w:r>
    </w:p>
    <w:p w14:paraId="0D5834EE">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6.贾馥茗，教育的本质：什么是真正的教育</w:t>
      </w:r>
      <w:r>
        <w:rPr>
          <w:rFonts w:ascii="Times New Roman" w:hAnsi="Times New Roman" w:eastAsia="宋体" w:cs="Times New Roman"/>
          <w:bCs/>
          <w:szCs w:val="21"/>
        </w:rPr>
        <w:t>. 北京：世界图书出版公司北京公司，2006.</w:t>
      </w:r>
    </w:p>
    <w:p w14:paraId="0BF357D2">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7.叶澜</w:t>
      </w:r>
      <w:r>
        <w:rPr>
          <w:rFonts w:ascii="Times New Roman" w:hAnsi="Times New Roman" w:eastAsia="宋体" w:cs="Times New Roman"/>
          <w:bCs/>
          <w:szCs w:val="21"/>
        </w:rPr>
        <w:t>. 教育概论. 北京：人民教育出版社，2006.</w:t>
      </w:r>
    </w:p>
    <w:p w14:paraId="117CC019">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8.约翰•杜威</w:t>
      </w:r>
      <w:r>
        <w:rPr>
          <w:rFonts w:ascii="Times New Roman" w:hAnsi="Times New Roman" w:eastAsia="宋体" w:cs="Times New Roman"/>
          <w:bCs/>
          <w:szCs w:val="21"/>
        </w:rPr>
        <w:t>. 民主主义与教育. 北京：人民教育出版社，2003.</w:t>
      </w:r>
    </w:p>
    <w:p w14:paraId="79E24A62">
      <w:pPr>
        <w:rPr>
          <w:rFonts w:hint="eastAsia" w:ascii="等线" w:hAnsi="等线" w:eastAsia="等线" w:cs="Times New Roman"/>
          <w:szCs w:val="22"/>
        </w:rPr>
      </w:pPr>
    </w:p>
    <w:p w14:paraId="794C807E">
      <w:pPr>
        <w:rPr>
          <w:rFonts w:hint="eastAsia" w:ascii="等线" w:hAnsi="等线" w:eastAsia="等线" w:cs="Times New Roman"/>
          <w:szCs w:val="22"/>
        </w:rPr>
      </w:pPr>
    </w:p>
    <w:p w14:paraId="06EA5B63">
      <w:pPr>
        <w:spacing w:line="360" w:lineRule="auto"/>
        <w:ind w:right="180"/>
        <w:jc w:val="right"/>
        <w:rPr>
          <w:rFonts w:ascii="Times New Roman" w:hAnsi="Times New Roman" w:eastAsia="宋体" w:cs="Times New Roman"/>
          <w:szCs w:val="21"/>
        </w:rPr>
      </w:pPr>
      <w:r>
        <w:rPr>
          <w:rFonts w:hint="eastAsia" w:ascii="Times New Roman" w:hAnsi="Times New Roman" w:eastAsia="宋体" w:cs="Times New Roman"/>
          <w:szCs w:val="21"/>
        </w:rPr>
        <w:t>执 笔 人： 刘  丽</w:t>
      </w:r>
    </w:p>
    <w:p w14:paraId="67C090F2">
      <w:pPr>
        <w:wordWrap w:val="0"/>
        <w:spacing w:line="360" w:lineRule="auto"/>
        <w:ind w:right="210"/>
        <w:jc w:val="right"/>
        <w:rPr>
          <w:rFonts w:ascii="Times New Roman" w:hAnsi="Times New Roman" w:eastAsia="宋体" w:cs="Times New Roman"/>
          <w:szCs w:val="21"/>
        </w:rPr>
      </w:pPr>
      <w:r>
        <w:rPr>
          <w:rFonts w:hint="eastAsia" w:ascii="Times New Roman" w:hAnsi="Times New Roman" w:eastAsia="宋体" w:cs="Times New Roman"/>
          <w:szCs w:val="21"/>
        </w:rPr>
        <w:t>审 定 人： 王  健</w:t>
      </w:r>
    </w:p>
    <w:p w14:paraId="618585A7">
      <w:pPr>
        <w:spacing w:line="360" w:lineRule="auto"/>
        <w:ind w:right="180"/>
        <w:jc w:val="right"/>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5A654D87">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7B5C2987">
      <w:pPr>
        <w:rPr>
          <w:rFonts w:ascii="Times New Roman" w:hAnsi="Times New Roman" w:eastAsia="宋体" w:cs="Times New Roman"/>
          <w:sz w:val="24"/>
        </w:rPr>
      </w:pPr>
      <w:r>
        <w:rPr>
          <w:rFonts w:ascii="Times New Roman" w:hAnsi="Times New Roman" w:eastAsia="宋体" w:cs="Times New Roman"/>
          <w:sz w:val="24"/>
        </w:rPr>
        <w:br w:type="page"/>
      </w:r>
    </w:p>
    <w:p w14:paraId="19B2190E">
      <w:pPr>
        <w:spacing w:line="360" w:lineRule="auto"/>
        <w:jc w:val="center"/>
        <w:outlineLvl w:val="0"/>
        <w:rPr>
          <w:rFonts w:ascii="Times New Roman" w:hAnsi="Times New Roman" w:eastAsia="宋体" w:cs="Times New Roman"/>
          <w:b/>
          <w:sz w:val="44"/>
          <w:szCs w:val="44"/>
        </w:rPr>
      </w:pPr>
      <w:bookmarkStart w:id="469" w:name="_Toc22068"/>
      <w:bookmarkStart w:id="470" w:name="_Toc25531"/>
      <w:bookmarkStart w:id="471" w:name="_Toc166164848"/>
      <w:bookmarkStart w:id="472" w:name="_Toc22439"/>
      <w:bookmarkStart w:id="473" w:name="_Toc23436"/>
      <w:r>
        <w:rPr>
          <w:rFonts w:hint="eastAsia" w:ascii="Times New Roman" w:hAnsi="Times New Roman" w:eastAsia="宋体" w:cs="Times New Roman"/>
          <w:b/>
          <w:sz w:val="44"/>
          <w:szCs w:val="44"/>
        </w:rPr>
        <w:t>《中国教育史》课程教学大纲</w:t>
      </w:r>
      <w:bookmarkEnd w:id="469"/>
      <w:bookmarkEnd w:id="470"/>
      <w:bookmarkEnd w:id="471"/>
      <w:bookmarkEnd w:id="472"/>
      <w:bookmarkEnd w:id="473"/>
    </w:p>
    <w:p w14:paraId="6077EF0C">
      <w:pPr>
        <w:spacing w:line="360" w:lineRule="auto"/>
        <w:jc w:val="center"/>
      </w:pPr>
      <w:bookmarkStart w:id="474" w:name="_Toc30600"/>
      <w:bookmarkStart w:id="475" w:name="_Toc19592"/>
      <w:bookmarkStart w:id="476" w:name="_Toc23951"/>
      <w:bookmarkStart w:id="477" w:name="_Toc31781"/>
      <w:bookmarkStart w:id="478" w:name="_Toc2822"/>
      <w:bookmarkStart w:id="479" w:name="_Toc24780"/>
      <w:bookmarkStart w:id="480" w:name="_Toc3471"/>
      <w:r>
        <w:rPr>
          <w:rFonts w:hint="eastAsia" w:ascii="Times New Roman" w:hAnsi="Times New Roman" w:eastAsia="宋体" w:cs="Times New Roman"/>
          <w:b/>
          <w:bCs/>
          <w:sz w:val="28"/>
          <w:szCs w:val="28"/>
        </w:rPr>
        <w:t>（History of Chinese Education）</w:t>
      </w:r>
      <w:bookmarkEnd w:id="474"/>
      <w:bookmarkEnd w:id="475"/>
      <w:bookmarkEnd w:id="476"/>
      <w:bookmarkEnd w:id="477"/>
      <w:bookmarkEnd w:id="478"/>
      <w:bookmarkEnd w:id="479"/>
      <w:bookmarkEnd w:id="480"/>
    </w:p>
    <w:p w14:paraId="741A8BB4">
      <w:pPr>
        <w:spacing w:line="360" w:lineRule="auto"/>
        <w:jc w:val="center"/>
        <w:rPr>
          <w:rFonts w:ascii="Times New Roman" w:hAnsi="Times New Roman" w:eastAsia="宋体" w:cs="Times New Roman"/>
          <w:bCs/>
          <w:szCs w:val="21"/>
        </w:rPr>
      </w:pPr>
    </w:p>
    <w:p w14:paraId="396E6B4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课程名称：中国教育史</w:t>
      </w:r>
    </w:p>
    <w:p w14:paraId="5C1587F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课程代码：2401006</w:t>
      </w:r>
    </w:p>
    <w:p w14:paraId="410EB38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分：2</w:t>
      </w:r>
    </w:p>
    <w:p w14:paraId="6C0AFC5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时：32</w:t>
      </w:r>
    </w:p>
    <w:p w14:paraId="7C807B4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先修课程：小学心理学</w:t>
      </w:r>
    </w:p>
    <w:p w14:paraId="68078BE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048EB653">
      <w:pPr>
        <w:spacing w:before="62" w:beforeLines="20" w:after="62" w:afterLines="20" w:line="360" w:lineRule="auto"/>
        <w:jc w:val="left"/>
        <w:rPr>
          <w:rFonts w:ascii="Times New Roman" w:hAnsi="Times New Roman" w:eastAsia="宋体" w:cs="Times New Roman"/>
          <w:b/>
          <w:sz w:val="24"/>
        </w:rPr>
      </w:pPr>
      <w:bookmarkStart w:id="481" w:name="_Toc22336"/>
      <w:bookmarkStart w:id="482" w:name="_Toc12229"/>
      <w:bookmarkStart w:id="483" w:name="_Toc27161"/>
      <w:bookmarkStart w:id="484" w:name="_Toc10185"/>
      <w:bookmarkStart w:id="485" w:name="_Toc32315"/>
      <w:bookmarkStart w:id="486" w:name="_Toc1791"/>
      <w:bookmarkStart w:id="487" w:name="_Toc480"/>
      <w:r>
        <w:rPr>
          <w:rFonts w:hint="eastAsia" w:ascii="Times New Roman" w:hAnsi="Times New Roman" w:eastAsia="宋体" w:cs="Times New Roman"/>
          <w:b/>
          <w:sz w:val="24"/>
        </w:rPr>
        <w:t>一、课程简介</w:t>
      </w:r>
      <w:bookmarkEnd w:id="481"/>
      <w:bookmarkEnd w:id="482"/>
      <w:bookmarkEnd w:id="483"/>
      <w:bookmarkEnd w:id="484"/>
      <w:bookmarkEnd w:id="485"/>
      <w:bookmarkEnd w:id="486"/>
      <w:bookmarkEnd w:id="487"/>
    </w:p>
    <w:p w14:paraId="71F5315E">
      <w:pPr>
        <w:spacing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本课程是小学教育专业的一门专业基础必修课程。课程的任务在于使学生了解中国教育发展的基本线索和一般规律；初步认识中国教育发展的历史经验和教训；培养学生运用辩证唯物主义和历史唯物主义观点和方法考察、分析教育问题的意识和能力，树立唯物辨证的教育发展观；扩大教育知识眼界，为学习教育学科打下基础；培养热爱教育、献身教育的职业精神。</w:t>
      </w:r>
    </w:p>
    <w:p w14:paraId="6673CB39">
      <w:pPr>
        <w:spacing w:before="62" w:beforeLines="20" w:after="62" w:afterLines="20" w:line="360" w:lineRule="auto"/>
        <w:jc w:val="left"/>
        <w:rPr>
          <w:rFonts w:ascii="Times New Roman" w:hAnsi="Times New Roman" w:eastAsia="宋体" w:cs="Times New Roman"/>
          <w:b/>
          <w:sz w:val="24"/>
        </w:rPr>
      </w:pPr>
      <w:bookmarkStart w:id="488" w:name="_Toc1422"/>
      <w:bookmarkStart w:id="489" w:name="_Toc15366"/>
      <w:bookmarkStart w:id="490" w:name="_Toc497"/>
      <w:bookmarkStart w:id="491" w:name="_Toc13868"/>
      <w:bookmarkStart w:id="492" w:name="_Toc1765"/>
      <w:bookmarkStart w:id="493" w:name="_Toc30903"/>
      <w:bookmarkStart w:id="494" w:name="_Toc6156"/>
      <w:r>
        <w:rPr>
          <w:rFonts w:hint="eastAsia" w:ascii="Times New Roman" w:hAnsi="Times New Roman" w:eastAsia="宋体" w:cs="Times New Roman"/>
          <w:b/>
          <w:sz w:val="24"/>
        </w:rPr>
        <w:t>二、课程目标</w:t>
      </w:r>
      <w:bookmarkEnd w:id="488"/>
      <w:bookmarkEnd w:id="489"/>
      <w:bookmarkEnd w:id="490"/>
      <w:bookmarkEnd w:id="491"/>
      <w:bookmarkEnd w:id="492"/>
      <w:bookmarkEnd w:id="493"/>
      <w:bookmarkEnd w:id="494"/>
    </w:p>
    <w:p w14:paraId="03482F17">
      <w:pPr>
        <w:spacing w:line="360" w:lineRule="auto"/>
        <w:ind w:firstLine="422" w:firstLineChars="200"/>
        <w:outlineLvl w:val="1"/>
        <w:rPr>
          <w:rFonts w:ascii="Times New Roman" w:hAnsi="Times New Roman" w:eastAsia="宋体" w:cs="Times New Roman"/>
          <w:b/>
          <w:bCs/>
          <w:szCs w:val="21"/>
        </w:rPr>
      </w:pPr>
      <w:bookmarkStart w:id="495" w:name="_Toc23885"/>
      <w:r>
        <w:rPr>
          <w:rFonts w:hint="eastAsia" w:ascii="Times New Roman" w:hAnsi="Times New Roman" w:eastAsia="宋体" w:cs="Times New Roman"/>
          <w:b/>
          <w:bCs/>
          <w:szCs w:val="21"/>
        </w:rPr>
        <w:t>（一）课程具体目标</w:t>
      </w:r>
      <w:bookmarkEnd w:id="495"/>
    </w:p>
    <w:p w14:paraId="03432F9E">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 xml:space="preserve">目标1. </w:t>
      </w:r>
      <w:r>
        <w:rPr>
          <w:rFonts w:hint="eastAsia" w:ascii="Times New Roman" w:hAnsi="Times New Roman" w:eastAsia="宋体" w:cs="Times New Roman"/>
          <w:szCs w:val="21"/>
        </w:rPr>
        <w:t>了解中国教育制度发展的基本线索和各个时期的文教政策，掌握学校教育发展史上的重要事件及其历史影响；初步认识中国教育思想发展的脉络和演变历程，掌握主要教育家和教育著作中的重要思想及其历史影响。</w:t>
      </w:r>
    </w:p>
    <w:p w14:paraId="438684F6">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目标2.</w:t>
      </w:r>
      <w:r>
        <w:rPr>
          <w:rFonts w:hint="eastAsia" w:ascii="Times New Roman" w:hAnsi="Times New Roman" w:eastAsia="宋体" w:cs="Times New Roman"/>
          <w:szCs w:val="21"/>
        </w:rPr>
        <w:t xml:space="preserve"> 秉持“论从史出，史论结合”的原则，能够灵活运用历史与逻辑相统一的思维方法，以发展的眼光、批判意识、辩证思维和创新精神，对历史事件、制度政策、人物（著作）及其思想进行正确的认识和评价，在扬弃的前提下反思和解决当下教育教学中存在的问题，古为今用。</w:t>
      </w:r>
    </w:p>
    <w:p w14:paraId="1AA7A390">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 xml:space="preserve">目标3. </w:t>
      </w:r>
      <w:r>
        <w:rPr>
          <w:rFonts w:hint="eastAsia" w:ascii="Times New Roman" w:hAnsi="Times New Roman" w:eastAsia="宋体" w:cs="Times New Roman"/>
          <w:szCs w:val="21"/>
        </w:rPr>
        <w:t>以立德树人为己任；形成正确的历史观、文化观、教育观、教师观、学生观，增强职业认同感、责任感与使命感；以历史上教育家为榜样，以教育家精神为引领，为成长为学生发展的“四个引路人”“四有好老师”和经师与人师相统一的“大先生”而不懈努力。</w:t>
      </w:r>
    </w:p>
    <w:p w14:paraId="2C3A811D">
      <w:pPr>
        <w:spacing w:line="360" w:lineRule="auto"/>
        <w:ind w:firstLine="482" w:firstLineChars="200"/>
        <w:outlineLvl w:val="1"/>
        <w:rPr>
          <w:rFonts w:ascii="Times New Roman" w:hAnsi="Times New Roman" w:eastAsia="宋体" w:cs="Times New Roman"/>
          <w:b/>
          <w:bCs/>
          <w:sz w:val="24"/>
          <w:szCs w:val="28"/>
        </w:rPr>
      </w:pPr>
      <w:bookmarkStart w:id="496" w:name="_Toc28839"/>
      <w:r>
        <w:rPr>
          <w:rFonts w:hint="eastAsia" w:ascii="Times New Roman" w:hAnsi="Times New Roman" w:eastAsia="宋体" w:cs="Times New Roman"/>
          <w:b/>
          <w:bCs/>
          <w:sz w:val="24"/>
          <w:szCs w:val="28"/>
        </w:rPr>
        <w:t>（二）课程目标与专业毕业要求的关系</w:t>
      </w:r>
      <w:bookmarkEnd w:id="496"/>
    </w:p>
    <w:tbl>
      <w:tblPr>
        <w:tblStyle w:val="11"/>
        <w:tblW w:w="90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14"/>
        <w:gridCol w:w="6347"/>
        <w:gridCol w:w="1150"/>
      </w:tblGrid>
      <w:tr w14:paraId="40D32C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14" w:type="dxa"/>
            <w:vAlign w:val="center"/>
          </w:tcPr>
          <w:p w14:paraId="5B77F90B">
            <w:pPr>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6347" w:type="dxa"/>
            <w:vAlign w:val="center"/>
          </w:tcPr>
          <w:p w14:paraId="249A0E17">
            <w:pPr>
              <w:jc w:val="center"/>
              <w:rPr>
                <w:rFonts w:hint="eastAsia" w:ascii="宋体" w:hAnsi="宋体" w:eastAsia="宋体" w:cs="Times New Roman"/>
                <w:b/>
                <w:bCs/>
                <w:szCs w:val="21"/>
              </w:rPr>
            </w:pPr>
            <w:r>
              <w:rPr>
                <w:rFonts w:hint="eastAsia" w:ascii="宋体" w:hAnsi="宋体" w:eastAsia="宋体" w:cs="Times New Roman"/>
                <w:b/>
                <w:bCs/>
                <w:szCs w:val="21"/>
              </w:rPr>
              <w:t>支撑的毕业要求指标点</w:t>
            </w:r>
          </w:p>
        </w:tc>
        <w:tc>
          <w:tcPr>
            <w:tcW w:w="1150" w:type="dxa"/>
            <w:vAlign w:val="center"/>
          </w:tcPr>
          <w:p w14:paraId="451B3BD5">
            <w:pPr>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5FE9D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1514" w:type="dxa"/>
            <w:vAlign w:val="center"/>
          </w:tcPr>
          <w:p w14:paraId="004DC81E">
            <w:pPr>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毕业要求2</w:t>
            </w:r>
          </w:p>
          <w:p w14:paraId="4302CEC3">
            <w:pPr>
              <w:jc w:val="center"/>
              <w:rPr>
                <w:rFonts w:hint="eastAsia" w:ascii="宋体" w:hAnsi="宋体" w:eastAsia="宋体" w:cs="Times New Roman"/>
                <w:b/>
                <w:bCs/>
                <w:kern w:val="0"/>
                <w:szCs w:val="21"/>
              </w:rPr>
            </w:pPr>
            <w:r>
              <w:rPr>
                <w:rFonts w:hint="eastAsia" w:ascii="宋体" w:hAnsi="宋体" w:eastAsia="宋体" w:cs="Times New Roman"/>
                <w:b/>
                <w:bCs/>
                <w:kern w:val="0"/>
                <w:szCs w:val="21"/>
              </w:rPr>
              <w:t>师德规范</w:t>
            </w:r>
          </w:p>
        </w:tc>
        <w:tc>
          <w:tcPr>
            <w:tcW w:w="6347" w:type="dxa"/>
            <w:vAlign w:val="center"/>
          </w:tcPr>
          <w:p w14:paraId="5DC2DA98">
            <w:pPr>
              <w:jc w:val="left"/>
              <w:rPr>
                <w:rFonts w:hint="eastAsia" w:ascii="宋体" w:hAnsi="宋体" w:eastAsia="宋体" w:cs="Times New Roman"/>
                <w:kern w:val="0"/>
                <w:szCs w:val="21"/>
              </w:rPr>
            </w:pPr>
            <w:r>
              <w:rPr>
                <w:rFonts w:hint="eastAsia" w:ascii="宋体" w:hAnsi="宋体" w:eastAsia="宋体" w:cs="Times New Roman"/>
                <w:b/>
                <w:kern w:val="0"/>
                <w:szCs w:val="21"/>
              </w:rPr>
              <w:t>指标点2-1</w:t>
            </w:r>
            <w:r>
              <w:rPr>
                <w:rFonts w:hint="eastAsia" w:ascii="宋体" w:hAnsi="宋体" w:eastAsia="宋体" w:cs="Times New Roman"/>
                <w:kern w:val="0"/>
                <w:szCs w:val="21"/>
              </w:rPr>
              <w:t>：【职业认同感强】具有家国情怀，热爱教育事业，秉持“坚忍诚勇，立己达人”的师范精神，践行教育家精神，乐于从教，热爱教育事业，具有较高的教师职业认同感，认同教师职业的意义、价值与专业性。</w:t>
            </w:r>
          </w:p>
        </w:tc>
        <w:tc>
          <w:tcPr>
            <w:tcW w:w="1150" w:type="dxa"/>
            <w:vAlign w:val="center"/>
          </w:tcPr>
          <w:p w14:paraId="1748D396">
            <w:pPr>
              <w:jc w:val="center"/>
              <w:rPr>
                <w:rFonts w:hint="eastAsia" w:ascii="宋体" w:hAnsi="宋体" w:eastAsia="宋体" w:cs="宋体"/>
                <w:bCs/>
                <w:szCs w:val="21"/>
              </w:rPr>
            </w:pPr>
            <w:r>
              <w:rPr>
                <w:rFonts w:hint="eastAsia" w:ascii="宋体" w:hAnsi="宋体" w:eastAsia="宋体" w:cs="宋体"/>
                <w:bCs/>
                <w:szCs w:val="21"/>
              </w:rPr>
              <w:t>课程目标1</w:t>
            </w:r>
          </w:p>
        </w:tc>
      </w:tr>
      <w:tr w14:paraId="15CDD5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14" w:type="dxa"/>
            <w:vAlign w:val="center"/>
          </w:tcPr>
          <w:p w14:paraId="28F23BE3">
            <w:pPr>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毕业要求4</w:t>
            </w:r>
          </w:p>
          <w:p w14:paraId="6FF0444F">
            <w:pPr>
              <w:jc w:val="center"/>
              <w:rPr>
                <w:rFonts w:hint="eastAsia" w:ascii="宋体" w:hAnsi="宋体" w:eastAsia="宋体" w:cs="Times New Roman"/>
                <w:b/>
                <w:bCs/>
                <w:kern w:val="0"/>
                <w:szCs w:val="21"/>
              </w:rPr>
            </w:pPr>
            <w:r>
              <w:rPr>
                <w:rFonts w:hint="eastAsia" w:ascii="宋体" w:hAnsi="宋体" w:eastAsia="宋体" w:cs="Times New Roman"/>
                <w:b/>
                <w:bCs/>
                <w:kern w:val="0"/>
                <w:szCs w:val="21"/>
              </w:rPr>
              <w:t>教学能力</w:t>
            </w:r>
          </w:p>
        </w:tc>
        <w:tc>
          <w:tcPr>
            <w:tcW w:w="6347" w:type="dxa"/>
            <w:vAlign w:val="center"/>
          </w:tcPr>
          <w:p w14:paraId="6F798A86">
            <w:pPr>
              <w:jc w:val="left"/>
              <w:rPr>
                <w:rFonts w:hint="eastAsia" w:ascii="宋体" w:hAnsi="宋体" w:eastAsia="宋体" w:cs="Times New Roman"/>
                <w:kern w:val="0"/>
                <w:szCs w:val="21"/>
              </w:rPr>
            </w:pPr>
            <w:r>
              <w:rPr>
                <w:rFonts w:hint="eastAsia" w:ascii="宋体" w:hAnsi="宋体" w:eastAsia="宋体" w:cs="Times New Roman"/>
                <w:b/>
                <w:kern w:val="0"/>
                <w:szCs w:val="21"/>
              </w:rPr>
              <w:t>指标点4-1</w:t>
            </w:r>
            <w:r>
              <w:rPr>
                <w:rFonts w:hint="eastAsia" w:ascii="宋体" w:hAnsi="宋体" w:eastAsia="宋体" w:cs="Times New Roman"/>
                <w:kern w:val="0"/>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50" w:type="dxa"/>
            <w:vAlign w:val="center"/>
          </w:tcPr>
          <w:p w14:paraId="24C43263">
            <w:pPr>
              <w:jc w:val="center"/>
              <w:rPr>
                <w:rFonts w:hint="eastAsia" w:ascii="宋体" w:hAnsi="宋体" w:eastAsia="宋体" w:cs="宋体"/>
                <w:bCs/>
                <w:szCs w:val="21"/>
              </w:rPr>
            </w:pPr>
            <w:r>
              <w:rPr>
                <w:rFonts w:hint="eastAsia" w:ascii="宋体" w:hAnsi="宋体" w:eastAsia="宋体" w:cs="宋体"/>
                <w:bCs/>
                <w:szCs w:val="21"/>
              </w:rPr>
              <w:t>课程目标2</w:t>
            </w:r>
          </w:p>
        </w:tc>
      </w:tr>
      <w:tr w14:paraId="7160A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1514" w:type="dxa"/>
            <w:vAlign w:val="center"/>
          </w:tcPr>
          <w:p w14:paraId="14888CC1">
            <w:pPr>
              <w:jc w:val="center"/>
              <w:rPr>
                <w:rFonts w:hint="eastAsia" w:ascii="宋体" w:hAnsi="宋体" w:eastAsia="宋体" w:cs="Times New Roman"/>
                <w:b/>
                <w:bCs/>
                <w:spacing w:val="2"/>
                <w:kern w:val="0"/>
                <w:szCs w:val="21"/>
              </w:rPr>
            </w:pPr>
            <w:r>
              <w:rPr>
                <w:rFonts w:hint="eastAsia" w:ascii="宋体" w:hAnsi="宋体" w:eastAsia="宋体" w:cs="Times New Roman"/>
                <w:b/>
                <w:bCs/>
                <w:spacing w:val="2"/>
                <w:kern w:val="0"/>
                <w:szCs w:val="21"/>
              </w:rPr>
              <w:t>毕业要求7</w:t>
            </w:r>
          </w:p>
          <w:p w14:paraId="558C7BBD">
            <w:pPr>
              <w:jc w:val="center"/>
              <w:rPr>
                <w:rFonts w:hint="eastAsia" w:ascii="宋体" w:hAnsi="宋体" w:eastAsia="宋体" w:cs="Times New Roman"/>
                <w:b/>
                <w:bCs/>
                <w:kern w:val="0"/>
                <w:szCs w:val="21"/>
              </w:rPr>
            </w:pPr>
            <w:r>
              <w:rPr>
                <w:rFonts w:hint="eastAsia" w:ascii="宋体" w:hAnsi="宋体" w:eastAsia="宋体" w:cs="Times New Roman"/>
                <w:b/>
                <w:bCs/>
                <w:spacing w:val="2"/>
                <w:kern w:val="0"/>
                <w:szCs w:val="21"/>
              </w:rPr>
              <w:t>学会反思</w:t>
            </w:r>
          </w:p>
        </w:tc>
        <w:tc>
          <w:tcPr>
            <w:tcW w:w="6347" w:type="dxa"/>
            <w:vAlign w:val="center"/>
          </w:tcPr>
          <w:p w14:paraId="0973E146">
            <w:pPr>
              <w:jc w:val="left"/>
              <w:rPr>
                <w:rFonts w:hint="eastAsia" w:ascii="宋体" w:hAnsi="宋体" w:eastAsia="宋体" w:cs="Times New Roman"/>
                <w:spacing w:val="2"/>
                <w:kern w:val="0"/>
                <w:szCs w:val="21"/>
              </w:rPr>
            </w:pPr>
            <w:r>
              <w:rPr>
                <w:rFonts w:hint="eastAsia" w:ascii="宋体" w:hAnsi="宋体" w:eastAsia="宋体" w:cs="Times New Roman"/>
                <w:b/>
                <w:spacing w:val="2"/>
                <w:kern w:val="0"/>
                <w:szCs w:val="21"/>
              </w:rPr>
              <w:t>指标点7-1</w:t>
            </w:r>
            <w:r>
              <w:rPr>
                <w:rFonts w:hint="eastAsia" w:ascii="宋体" w:hAnsi="宋体" w:eastAsia="宋体" w:cs="Times New Roman"/>
                <w:spacing w:val="2"/>
                <w:kern w:val="0"/>
                <w:szCs w:val="21"/>
              </w:rPr>
              <w:t>：【教育视野开阔】积极关注基础教育领域的国内外交流进展，了解国内外基础教育改革发展的动态，具有宽广的教育视野，能够主动适应新时代和教育发展需求。</w:t>
            </w:r>
          </w:p>
          <w:p w14:paraId="3D95E537">
            <w:pPr>
              <w:jc w:val="left"/>
              <w:rPr>
                <w:rFonts w:hint="eastAsia" w:ascii="宋体" w:hAnsi="宋体" w:eastAsia="宋体" w:cs="Times New Roman"/>
                <w:kern w:val="0"/>
                <w:szCs w:val="21"/>
              </w:rPr>
            </w:pPr>
            <w:r>
              <w:rPr>
                <w:rFonts w:hint="eastAsia" w:ascii="宋体" w:hAnsi="宋体" w:eastAsia="宋体" w:cs="Times New Roman"/>
                <w:b/>
                <w:spacing w:val="2"/>
                <w:kern w:val="0"/>
                <w:szCs w:val="21"/>
              </w:rPr>
              <w:t>指标点7-3</w:t>
            </w:r>
            <w:r>
              <w:rPr>
                <w:rFonts w:hint="eastAsia" w:ascii="宋体" w:hAnsi="宋体" w:eastAsia="宋体" w:cs="Times New Roman"/>
                <w:spacing w:val="2"/>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150" w:type="dxa"/>
            <w:vAlign w:val="center"/>
          </w:tcPr>
          <w:p w14:paraId="3A873DF5">
            <w:pPr>
              <w:jc w:val="center"/>
              <w:rPr>
                <w:rFonts w:hint="eastAsia" w:ascii="宋体" w:hAnsi="宋体" w:eastAsia="宋体" w:cs="宋体"/>
                <w:bCs/>
                <w:szCs w:val="21"/>
              </w:rPr>
            </w:pPr>
            <w:r>
              <w:rPr>
                <w:rFonts w:hint="eastAsia" w:ascii="宋体" w:hAnsi="宋体" w:eastAsia="宋体" w:cs="宋体"/>
                <w:bCs/>
                <w:szCs w:val="21"/>
              </w:rPr>
              <w:t>课程目标3</w:t>
            </w:r>
          </w:p>
        </w:tc>
      </w:tr>
    </w:tbl>
    <w:p w14:paraId="239BC99D">
      <w:pPr>
        <w:spacing w:line="360" w:lineRule="auto"/>
        <w:ind w:firstLine="422" w:firstLineChars="200"/>
        <w:outlineLvl w:val="1"/>
        <w:rPr>
          <w:rFonts w:ascii="Times New Roman" w:hAnsi="Times New Roman" w:eastAsia="宋体" w:cs="Times New Roman"/>
          <w:b/>
          <w:bCs/>
          <w:szCs w:val="21"/>
        </w:rPr>
      </w:pPr>
      <w:bookmarkStart w:id="497" w:name="_Toc24057"/>
      <w:r>
        <w:rPr>
          <w:rFonts w:hint="eastAsia" w:ascii="Times New Roman" w:hAnsi="Times New Roman" w:eastAsia="宋体" w:cs="Times New Roman"/>
          <w:b/>
          <w:bCs/>
          <w:szCs w:val="21"/>
        </w:rPr>
        <w:t>（三）课程思政目标</w:t>
      </w:r>
      <w:bookmarkEnd w:id="497"/>
    </w:p>
    <w:p w14:paraId="2A924A4D">
      <w:pPr>
        <w:spacing w:line="360" w:lineRule="auto"/>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在掌握教育制度和教育思想发展脉络及其基本史实的基础上，坚定文化自信、制度自信，认识到中国特色社会主义制度的优越性，增强民族自豪感；深刻理解教育强国，人才强国战略意义；以立德树人为己任，坚持为党育人、为国育才；形成正确的历史观、文化观、教育观、教师观、学生观，增强职业认同感、责任感与使命感，自觉以教育家精神为引领，为成长为学生发展的“四个引路人”“四有好老师”和经师与人师相统一的“大先生”而不懈努力。</w:t>
      </w:r>
      <w:r>
        <w:rPr>
          <w:rFonts w:ascii="Times New Roman" w:hAnsi="Times New Roman" w:eastAsia="宋体" w:cs="Times New Roman"/>
          <w:szCs w:val="21"/>
        </w:rPr>
        <w:t xml:space="preserve">  </w:t>
      </w:r>
    </w:p>
    <w:p w14:paraId="493943A3">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三、</w:t>
      </w:r>
      <w:bookmarkStart w:id="498" w:name="_Toc8147"/>
      <w:bookmarkStart w:id="499" w:name="_Toc29196"/>
      <w:bookmarkStart w:id="500" w:name="_Toc31177"/>
      <w:bookmarkStart w:id="501" w:name="_Toc10324"/>
      <w:bookmarkStart w:id="502" w:name="_Toc18605"/>
      <w:bookmarkStart w:id="503" w:name="_Toc20261"/>
      <w:bookmarkStart w:id="504" w:name="_Toc23598"/>
      <w:r>
        <w:rPr>
          <w:rFonts w:hint="eastAsia" w:ascii="Times New Roman" w:hAnsi="Times New Roman" w:eastAsia="宋体" w:cs="Times New Roman"/>
          <w:b/>
          <w:sz w:val="24"/>
        </w:rPr>
        <w:t>教学内容与预期学习成效</w:t>
      </w:r>
      <w:bookmarkEnd w:id="498"/>
      <w:bookmarkEnd w:id="499"/>
      <w:bookmarkEnd w:id="500"/>
      <w:bookmarkEnd w:id="501"/>
      <w:bookmarkEnd w:id="502"/>
      <w:bookmarkEnd w:id="503"/>
      <w:bookmarkEnd w:id="504"/>
    </w:p>
    <w:tbl>
      <w:tblPr>
        <w:tblStyle w:val="12"/>
        <w:tblW w:w="9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522"/>
        <w:gridCol w:w="1065"/>
        <w:gridCol w:w="4568"/>
        <w:gridCol w:w="1297"/>
        <w:gridCol w:w="353"/>
      </w:tblGrid>
      <w:tr w14:paraId="19D7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14:paraId="34E4B1FC">
            <w:pPr>
              <w:jc w:val="center"/>
              <w:rPr>
                <w:rFonts w:hint="eastAsia" w:ascii="宋体" w:hAnsi="宋体" w:eastAsia="宋体" w:cs="Times New Roman"/>
                <w:b/>
                <w:szCs w:val="21"/>
              </w:rPr>
            </w:pPr>
            <w:r>
              <w:rPr>
                <w:rFonts w:hint="eastAsia" w:ascii="宋体" w:hAnsi="宋体" w:eastAsia="宋体" w:cs="Times New Roman"/>
                <w:b/>
                <w:szCs w:val="21"/>
              </w:rPr>
              <w:t>知识</w:t>
            </w:r>
          </w:p>
          <w:p w14:paraId="448CEE5B">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522" w:type="dxa"/>
            <w:vAlign w:val="center"/>
          </w:tcPr>
          <w:p w14:paraId="6DA102C8">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065" w:type="dxa"/>
            <w:vAlign w:val="center"/>
          </w:tcPr>
          <w:p w14:paraId="54F497CF">
            <w:pPr>
              <w:jc w:val="center"/>
              <w:rPr>
                <w:rFonts w:hint="eastAsia" w:ascii="宋体" w:hAnsi="宋体" w:eastAsia="宋体" w:cs="Times New Roman"/>
                <w:b/>
                <w:szCs w:val="21"/>
              </w:rPr>
            </w:pPr>
            <w:r>
              <w:rPr>
                <w:rFonts w:hint="eastAsia" w:ascii="宋体" w:hAnsi="宋体" w:eastAsia="宋体" w:cs="Times New Roman"/>
                <w:b/>
                <w:szCs w:val="21"/>
              </w:rPr>
              <w:t>对应</w:t>
            </w:r>
          </w:p>
          <w:p w14:paraId="4670C26E">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4568" w:type="dxa"/>
            <w:vAlign w:val="center"/>
          </w:tcPr>
          <w:p w14:paraId="6EDFD4D1">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297" w:type="dxa"/>
            <w:vAlign w:val="center"/>
          </w:tcPr>
          <w:p w14:paraId="1BF4547B">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353" w:type="dxa"/>
            <w:vAlign w:val="center"/>
          </w:tcPr>
          <w:p w14:paraId="0759C496">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51B6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742737AC">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1.中国古代的文教政策与教育制度</w:t>
            </w:r>
          </w:p>
        </w:tc>
        <w:tc>
          <w:tcPr>
            <w:tcW w:w="1522" w:type="dxa"/>
            <w:vAlign w:val="center"/>
          </w:tcPr>
          <w:p w14:paraId="1F8FB4BA">
            <w:pPr>
              <w:numPr>
                <w:ilvl w:val="0"/>
                <w:numId w:val="12"/>
              </w:numPr>
              <w:adjustRightInd w:val="0"/>
              <w:snapToGrid w:val="0"/>
              <w:jc w:val="left"/>
              <w:rPr>
                <w:rFonts w:hint="eastAsia" w:ascii="宋体" w:hAnsi="宋体" w:eastAsia="宋体" w:cs="Times New Roman"/>
                <w:szCs w:val="21"/>
              </w:rPr>
            </w:pPr>
            <w:r>
              <w:rPr>
                <w:rFonts w:hint="eastAsia" w:ascii="宋体" w:hAnsi="宋体" w:eastAsia="宋体" w:cs="Times New Roman"/>
                <w:szCs w:val="21"/>
              </w:rPr>
              <w:t>官学制度的建立、发展与衰落</w:t>
            </w:r>
          </w:p>
          <w:p w14:paraId="67150521">
            <w:pPr>
              <w:numPr>
                <w:ilvl w:val="0"/>
                <w:numId w:val="12"/>
              </w:numPr>
              <w:adjustRightInd w:val="0"/>
              <w:snapToGrid w:val="0"/>
              <w:jc w:val="left"/>
              <w:rPr>
                <w:rFonts w:hint="eastAsia" w:ascii="宋体" w:hAnsi="宋体" w:eastAsia="宋体" w:cs="Times New Roman"/>
                <w:szCs w:val="21"/>
              </w:rPr>
            </w:pPr>
            <w:r>
              <w:rPr>
                <w:rFonts w:hint="eastAsia" w:ascii="宋体" w:hAnsi="宋体" w:eastAsia="宋体" w:cs="Times New Roman"/>
                <w:szCs w:val="21"/>
              </w:rPr>
              <w:t>私学的产生与发展</w:t>
            </w:r>
          </w:p>
          <w:p w14:paraId="2C72C0B8">
            <w:pPr>
              <w:numPr>
                <w:ilvl w:val="0"/>
                <w:numId w:val="12"/>
              </w:numPr>
              <w:adjustRightInd w:val="0"/>
              <w:snapToGrid w:val="0"/>
              <w:jc w:val="left"/>
              <w:rPr>
                <w:rFonts w:hint="eastAsia" w:ascii="宋体" w:hAnsi="宋体" w:eastAsia="宋体" w:cs="Times New Roman"/>
                <w:szCs w:val="21"/>
              </w:rPr>
            </w:pPr>
            <w:r>
              <w:rPr>
                <w:rFonts w:hint="eastAsia" w:ascii="宋体" w:hAnsi="宋体" w:eastAsia="宋体" w:cs="Times New Roman"/>
                <w:szCs w:val="21"/>
              </w:rPr>
              <w:t>书院的发展嬗变</w:t>
            </w:r>
          </w:p>
          <w:p w14:paraId="495824BD">
            <w:pPr>
              <w:numPr>
                <w:ilvl w:val="0"/>
                <w:numId w:val="12"/>
              </w:numPr>
              <w:adjustRightInd w:val="0"/>
              <w:snapToGrid w:val="0"/>
              <w:jc w:val="left"/>
              <w:rPr>
                <w:rFonts w:hint="eastAsia" w:ascii="宋体" w:hAnsi="宋体" w:eastAsia="宋体" w:cs="Times New Roman"/>
                <w:szCs w:val="21"/>
              </w:rPr>
            </w:pPr>
            <w:r>
              <w:rPr>
                <w:rFonts w:hint="eastAsia" w:ascii="宋体" w:hAnsi="宋体" w:eastAsia="宋体" w:cs="Times New Roman"/>
                <w:szCs w:val="21"/>
              </w:rPr>
              <w:t>蒙养教育与蒙养教材</w:t>
            </w:r>
          </w:p>
          <w:p w14:paraId="558654F4">
            <w:pPr>
              <w:numPr>
                <w:ilvl w:val="0"/>
                <w:numId w:val="12"/>
              </w:numPr>
              <w:adjustRightInd w:val="0"/>
              <w:snapToGrid w:val="0"/>
              <w:jc w:val="left"/>
              <w:rPr>
                <w:rFonts w:hint="eastAsia" w:ascii="宋体" w:hAnsi="宋体" w:eastAsia="宋体" w:cs="Times New Roman"/>
                <w:szCs w:val="21"/>
              </w:rPr>
            </w:pPr>
            <w:r>
              <w:rPr>
                <w:rFonts w:hint="eastAsia" w:ascii="宋体" w:hAnsi="宋体" w:eastAsia="宋体" w:cs="Times New Roman"/>
                <w:szCs w:val="21"/>
              </w:rPr>
              <w:t>选士制度的变迁</w:t>
            </w:r>
          </w:p>
        </w:tc>
        <w:tc>
          <w:tcPr>
            <w:tcW w:w="1065" w:type="dxa"/>
            <w:vAlign w:val="center"/>
          </w:tcPr>
          <w:p w14:paraId="1D75FCDE">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4568" w:type="dxa"/>
            <w:vAlign w:val="center"/>
          </w:tcPr>
          <w:p w14:paraId="52729D86">
            <w:pPr>
              <w:adjustRightInd w:val="0"/>
              <w:snapToGrid w:val="0"/>
              <w:jc w:val="left"/>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了解远古时期的教育及学校的起源；掌握西周、秦汉魏晋南北朝、隋唐五代、宋元明清时期官学的发展演变；</w:t>
            </w:r>
          </w:p>
          <w:p w14:paraId="12120575">
            <w:pPr>
              <w:adjustRightInd w:val="0"/>
              <w:snapToGrid w:val="0"/>
              <w:jc w:val="left"/>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掌握私人讲学的兴起与诸子百家私学的发展、齐国的稷下学宫；</w:t>
            </w:r>
          </w:p>
          <w:p w14:paraId="586822EF">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3.了解书院产生的原因，知道北宋六大书院、东林书院、诂经精舍、学海堂以及《白鹿洞揭示》；正确理解并掌握书院教育宗旨、书院讲会制度、书院学术研究及书院教育的特点；</w:t>
            </w:r>
          </w:p>
          <w:p w14:paraId="2E1104F7">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4.掌握私塾的发展、私塾教育的特点以及蒙学教材的发展、种类和特点；</w:t>
            </w:r>
          </w:p>
          <w:p w14:paraId="5DF83EE9">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w:t>
            </w:r>
            <w:r>
              <w:rPr>
                <w:rFonts w:hint="eastAsia" w:ascii="宋体" w:hAnsi="宋体" w:eastAsia="宋体" w:cs="Times New Roman"/>
                <w:szCs w:val="21"/>
              </w:rPr>
              <w:t>掌握察举制、九品中正制、察举制等选士制度的基本情况，并能对其进行正确评价。</w:t>
            </w:r>
          </w:p>
        </w:tc>
        <w:tc>
          <w:tcPr>
            <w:tcW w:w="1297" w:type="dxa"/>
            <w:vAlign w:val="center"/>
          </w:tcPr>
          <w:p w14:paraId="17925FEA">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1.线上学习</w:t>
            </w:r>
          </w:p>
          <w:p w14:paraId="657663BB">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2.多媒体教学</w:t>
            </w:r>
          </w:p>
          <w:p w14:paraId="09DCE0F7">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3.课堂讨论</w:t>
            </w:r>
          </w:p>
          <w:p w14:paraId="79AF2A03">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4.平时作业</w:t>
            </w:r>
          </w:p>
          <w:p w14:paraId="4FEB9D77">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5.单元测验</w:t>
            </w:r>
          </w:p>
          <w:p w14:paraId="1D04B91F">
            <w:pPr>
              <w:adjustRightInd w:val="0"/>
              <w:snapToGrid w:val="0"/>
              <w:jc w:val="left"/>
              <w:rPr>
                <w:rFonts w:hint="eastAsia" w:ascii="宋体" w:hAnsi="宋体" w:eastAsia="宋体" w:cs="Times New Roman"/>
                <w:szCs w:val="21"/>
              </w:rPr>
            </w:pPr>
          </w:p>
        </w:tc>
        <w:tc>
          <w:tcPr>
            <w:tcW w:w="353" w:type="dxa"/>
            <w:vAlign w:val="center"/>
          </w:tcPr>
          <w:p w14:paraId="593E9A66">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6</w:t>
            </w:r>
          </w:p>
        </w:tc>
      </w:tr>
      <w:tr w14:paraId="55BB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vAlign w:val="center"/>
          </w:tcPr>
          <w:p w14:paraId="541546CA">
            <w:pPr>
              <w:adjustRightInd w:val="0"/>
              <w:snapToGrid w:val="0"/>
              <w:jc w:val="center"/>
              <w:rPr>
                <w:rFonts w:hint="eastAsia" w:ascii="宋体" w:hAnsi="宋体" w:eastAsia="宋体" w:cs="Times New Roman"/>
                <w:szCs w:val="21"/>
              </w:rPr>
            </w:pPr>
          </w:p>
        </w:tc>
        <w:tc>
          <w:tcPr>
            <w:tcW w:w="8805" w:type="dxa"/>
            <w:gridSpan w:val="5"/>
            <w:vAlign w:val="center"/>
          </w:tcPr>
          <w:p w14:paraId="4F499A8F">
            <w:pPr>
              <w:adjustRightInd w:val="0"/>
              <w:snapToGrid w:val="0"/>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运用辩证唯物主义和历史唯物主义的思想方法，结合我国古代不同历史时期的文教政策、学校的嬗变以及选士取士制度的历史影响，形成正确的历史观、教育观、文化观，坚定文化自信、制度自信，增强国家认同感。</w:t>
            </w:r>
          </w:p>
        </w:tc>
      </w:tr>
      <w:tr w14:paraId="1347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0B54242B">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2.中国近代教育制度的发展演变</w:t>
            </w:r>
          </w:p>
        </w:tc>
        <w:tc>
          <w:tcPr>
            <w:tcW w:w="1522" w:type="dxa"/>
            <w:vAlign w:val="center"/>
          </w:tcPr>
          <w:p w14:paraId="35FC49CF">
            <w:pPr>
              <w:numPr>
                <w:ilvl w:val="0"/>
                <w:numId w:val="13"/>
              </w:numPr>
              <w:adjustRightInd w:val="0"/>
              <w:snapToGrid w:val="0"/>
              <w:jc w:val="left"/>
              <w:rPr>
                <w:rFonts w:hint="eastAsia" w:ascii="宋体" w:hAnsi="宋体" w:eastAsia="宋体" w:cs="Times New Roman"/>
                <w:szCs w:val="21"/>
              </w:rPr>
            </w:pPr>
            <w:r>
              <w:rPr>
                <w:rFonts w:hint="eastAsia" w:ascii="宋体" w:hAnsi="宋体" w:eastAsia="宋体" w:cs="Times New Roman"/>
                <w:szCs w:val="21"/>
              </w:rPr>
              <w:t>鸦片战争与洋务运动时期的教育</w:t>
            </w:r>
          </w:p>
          <w:p w14:paraId="2AA848EA">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（2）戊戌维新运动与清末新政时期的教育</w:t>
            </w:r>
          </w:p>
          <w:p w14:paraId="15021420">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（3）晚清时期的留学教育</w:t>
            </w:r>
          </w:p>
          <w:p w14:paraId="0BCABE4F">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（4）民国成立初期的教育</w:t>
            </w:r>
          </w:p>
          <w:p w14:paraId="7BF39664">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（5）新文化运动时期的教育</w:t>
            </w:r>
          </w:p>
          <w:p w14:paraId="4ADD7549">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（6）新民主主义时期的教育改革</w:t>
            </w:r>
          </w:p>
        </w:tc>
        <w:tc>
          <w:tcPr>
            <w:tcW w:w="1065" w:type="dxa"/>
            <w:vAlign w:val="center"/>
          </w:tcPr>
          <w:p w14:paraId="2CE94E35">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4568" w:type="dxa"/>
            <w:vAlign w:val="center"/>
          </w:tcPr>
          <w:p w14:paraId="0D6A152F">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1.了解教会学校在中国的举办情况，正确认识教会学校的性质与影响；掌握洋务学堂的类别、特点及其京师同文馆、福建船政学堂等新式学堂；</w:t>
            </w:r>
          </w:p>
          <w:p w14:paraId="39BB5BF4">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2.了解早期改良派的教育主张与维新派的教育实践；正确认识“百日维新”及清末新政中的教育改革；</w:t>
            </w:r>
          </w:p>
          <w:p w14:paraId="63C37C1A">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3.了解留学教育的发展情况；掌握起步时期的幼童留美、派遣留欧以及后期的留日教育、“庚款兴学”与留美教育；</w:t>
            </w:r>
          </w:p>
          <w:p w14:paraId="5D7CD0D4">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4.了解民国初年的教育改革；正确认识民国教育方针；</w:t>
            </w:r>
          </w:p>
          <w:p w14:paraId="186437A0">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5.了解新文化运动时期和20世纪20年代的教育改革运动以及教会教育的扩张与收回教育权运动；</w:t>
            </w:r>
          </w:p>
          <w:p w14:paraId="57B6AA19">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6.了解新民主主义教育提出的背景，正确认识新学制。</w:t>
            </w:r>
          </w:p>
        </w:tc>
        <w:tc>
          <w:tcPr>
            <w:tcW w:w="1297" w:type="dxa"/>
            <w:vAlign w:val="center"/>
          </w:tcPr>
          <w:p w14:paraId="15A86B09">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1.线上学习</w:t>
            </w:r>
          </w:p>
          <w:p w14:paraId="791EE599">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2.多媒体教学</w:t>
            </w:r>
          </w:p>
          <w:p w14:paraId="315B1AAA">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3.课堂讨论</w:t>
            </w:r>
          </w:p>
          <w:p w14:paraId="0F1ABDCF">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4.单元测验</w:t>
            </w:r>
          </w:p>
        </w:tc>
        <w:tc>
          <w:tcPr>
            <w:tcW w:w="353" w:type="dxa"/>
            <w:vAlign w:val="center"/>
          </w:tcPr>
          <w:p w14:paraId="0FF05DB5">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3</w:t>
            </w:r>
          </w:p>
        </w:tc>
      </w:tr>
      <w:tr w14:paraId="3FB4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742" w:type="dxa"/>
            <w:vMerge w:val="continue"/>
            <w:vAlign w:val="center"/>
          </w:tcPr>
          <w:p w14:paraId="3E2D0A80">
            <w:pPr>
              <w:adjustRightInd w:val="0"/>
              <w:snapToGrid w:val="0"/>
              <w:jc w:val="center"/>
              <w:rPr>
                <w:rFonts w:hint="eastAsia" w:ascii="宋体" w:hAnsi="宋体" w:eastAsia="宋体" w:cs="Times New Roman"/>
                <w:szCs w:val="21"/>
              </w:rPr>
            </w:pPr>
          </w:p>
        </w:tc>
        <w:tc>
          <w:tcPr>
            <w:tcW w:w="8805" w:type="dxa"/>
            <w:gridSpan w:val="5"/>
            <w:vAlign w:val="center"/>
          </w:tcPr>
          <w:p w14:paraId="60F8B13B">
            <w:pPr>
              <w:adjustRightInd w:val="0"/>
              <w:snapToGrid w:val="0"/>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运用辩证唯物主义和历史唯物主义的思想方法，在了解清末封建制度的衰朽、教育内容的空疏、学校教育的衰废以及西方列强的入侵以及地主阶级改革派、洋务派、维新派、资产阶级革命派等所进行的教育救国行动基础上，理解爱国人士为国家教育发展所做出的努力与贡献，激发学生的民族精神和爱国情怀，进一步理解教育强国、人才强国。</w:t>
            </w:r>
          </w:p>
        </w:tc>
      </w:tr>
      <w:tr w14:paraId="0434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7A0B941F">
            <w:pPr>
              <w:jc w:val="center"/>
              <w:rPr>
                <w:rFonts w:hint="eastAsia" w:ascii="宋体" w:hAnsi="宋体" w:eastAsia="宋体" w:cs="Times New Roman"/>
                <w:szCs w:val="21"/>
              </w:rPr>
            </w:pPr>
            <w:r>
              <w:rPr>
                <w:rFonts w:hint="eastAsia" w:ascii="宋体" w:hAnsi="宋体" w:eastAsia="宋体" w:cs="Times New Roman"/>
                <w:szCs w:val="21"/>
              </w:rPr>
              <w:t>3.中国现代教育制度的发展演变</w:t>
            </w:r>
          </w:p>
        </w:tc>
        <w:tc>
          <w:tcPr>
            <w:tcW w:w="1522" w:type="dxa"/>
            <w:vAlign w:val="center"/>
          </w:tcPr>
          <w:p w14:paraId="293E59F5">
            <w:pPr>
              <w:jc w:val="left"/>
              <w:rPr>
                <w:rFonts w:hint="eastAsia" w:ascii="宋体" w:hAnsi="宋体" w:eastAsia="宋体" w:cs="Times New Roman"/>
                <w:szCs w:val="21"/>
              </w:rPr>
            </w:pPr>
            <w:r>
              <w:rPr>
                <w:rFonts w:hint="eastAsia" w:ascii="宋体" w:hAnsi="宋体" w:eastAsia="宋体" w:cs="Times New Roman"/>
                <w:szCs w:val="21"/>
              </w:rPr>
              <w:t>（1）南京国民政府时期的教育</w:t>
            </w:r>
          </w:p>
          <w:p w14:paraId="580DC6AC">
            <w:pPr>
              <w:jc w:val="left"/>
              <w:rPr>
                <w:rFonts w:hint="eastAsia" w:ascii="宋体" w:hAnsi="宋体" w:eastAsia="宋体" w:cs="Times New Roman"/>
                <w:szCs w:val="21"/>
              </w:rPr>
            </w:pPr>
            <w:r>
              <w:rPr>
                <w:rFonts w:hint="eastAsia" w:ascii="宋体" w:hAnsi="宋体" w:eastAsia="宋体" w:cs="Times New Roman"/>
                <w:szCs w:val="21"/>
              </w:rPr>
              <w:t>（2）中国共产党领导下的革命根据地教育</w:t>
            </w:r>
          </w:p>
        </w:tc>
        <w:tc>
          <w:tcPr>
            <w:tcW w:w="1065" w:type="dxa"/>
            <w:vAlign w:val="center"/>
          </w:tcPr>
          <w:p w14:paraId="238B96F1">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4568" w:type="dxa"/>
            <w:vAlign w:val="center"/>
          </w:tcPr>
          <w:p w14:paraId="3D2A68F4">
            <w:pPr>
              <w:jc w:val="left"/>
              <w:rPr>
                <w:rFonts w:hint="eastAsia" w:ascii="宋体" w:hAnsi="宋体" w:eastAsia="宋体" w:cs="Times New Roman"/>
                <w:szCs w:val="21"/>
              </w:rPr>
            </w:pPr>
            <w:r>
              <w:rPr>
                <w:rFonts w:hint="eastAsia" w:ascii="宋体" w:hAnsi="宋体" w:eastAsia="宋体" w:cs="Times New Roman"/>
                <w:szCs w:val="21"/>
              </w:rPr>
              <w:t>1.掌握“党化教育”到“三民主义教育”的变迁，了解“戊辰学制”相对于“壬戌学制”的变化，熟悉大学院制和大学区制的实施过程；</w:t>
            </w:r>
          </w:p>
          <w:p w14:paraId="1F092478">
            <w:pPr>
              <w:jc w:val="left"/>
              <w:rPr>
                <w:rFonts w:hint="eastAsia" w:ascii="宋体" w:hAnsi="宋体" w:eastAsia="宋体" w:cs="Times New Roman"/>
                <w:szCs w:val="21"/>
              </w:rPr>
            </w:pPr>
            <w:r>
              <w:rPr>
                <w:rFonts w:hint="eastAsia" w:ascii="宋体" w:hAnsi="宋体" w:eastAsia="宋体" w:cs="Times New Roman"/>
                <w:szCs w:val="21"/>
              </w:rPr>
              <w:t>2.了解新民主主义教育方针及其形成过程，掌握认识革命根据地的干部教育、群众教育，正确认识革命根据地教育的基本经验。</w:t>
            </w:r>
          </w:p>
        </w:tc>
        <w:tc>
          <w:tcPr>
            <w:tcW w:w="1297" w:type="dxa"/>
            <w:vAlign w:val="center"/>
          </w:tcPr>
          <w:p w14:paraId="3CC8E28A">
            <w:pPr>
              <w:jc w:val="left"/>
              <w:rPr>
                <w:rFonts w:hint="eastAsia" w:ascii="宋体" w:hAnsi="宋体" w:eastAsia="宋体" w:cs="Times New Roman"/>
                <w:szCs w:val="21"/>
              </w:rPr>
            </w:pPr>
            <w:r>
              <w:rPr>
                <w:rFonts w:ascii="宋体" w:hAnsi="宋体" w:eastAsia="宋体" w:cs="Times New Roman"/>
                <w:szCs w:val="21"/>
              </w:rPr>
              <w:t>1.线上学习</w:t>
            </w:r>
          </w:p>
          <w:p w14:paraId="01A7A4E6">
            <w:pPr>
              <w:jc w:val="left"/>
              <w:rPr>
                <w:rFonts w:hint="eastAsia" w:ascii="宋体" w:hAnsi="宋体" w:eastAsia="宋体" w:cs="Times New Roman"/>
                <w:szCs w:val="21"/>
              </w:rPr>
            </w:pPr>
            <w:r>
              <w:rPr>
                <w:rFonts w:ascii="宋体" w:hAnsi="宋体" w:eastAsia="宋体" w:cs="Times New Roman"/>
                <w:szCs w:val="21"/>
              </w:rPr>
              <w:t>2.多媒体教学</w:t>
            </w:r>
          </w:p>
          <w:p w14:paraId="176DBA17">
            <w:pPr>
              <w:jc w:val="left"/>
              <w:rPr>
                <w:rFonts w:hint="eastAsia" w:ascii="宋体" w:hAnsi="宋体" w:eastAsia="宋体" w:cs="Times New Roman"/>
                <w:szCs w:val="21"/>
              </w:rPr>
            </w:pPr>
            <w:r>
              <w:rPr>
                <w:rFonts w:ascii="宋体" w:hAnsi="宋体" w:eastAsia="宋体" w:cs="Times New Roman"/>
                <w:szCs w:val="21"/>
              </w:rPr>
              <w:t>3.课堂讨论</w:t>
            </w:r>
          </w:p>
          <w:p w14:paraId="6788B01D">
            <w:pPr>
              <w:jc w:val="left"/>
              <w:rPr>
                <w:rFonts w:hint="eastAsia" w:ascii="宋体" w:hAnsi="宋体" w:eastAsia="宋体" w:cs="Times New Roman"/>
                <w:szCs w:val="21"/>
              </w:rPr>
            </w:pPr>
            <w:r>
              <w:rPr>
                <w:rFonts w:ascii="宋体" w:hAnsi="宋体" w:eastAsia="宋体" w:cs="Times New Roman"/>
                <w:szCs w:val="21"/>
              </w:rPr>
              <w:t>4.单元测验</w:t>
            </w:r>
          </w:p>
        </w:tc>
        <w:tc>
          <w:tcPr>
            <w:tcW w:w="353" w:type="dxa"/>
            <w:vAlign w:val="center"/>
          </w:tcPr>
          <w:p w14:paraId="01D930E0">
            <w:pPr>
              <w:jc w:val="center"/>
              <w:rPr>
                <w:rFonts w:hint="eastAsia" w:ascii="宋体" w:hAnsi="宋体" w:eastAsia="宋体" w:cs="Times New Roman"/>
                <w:szCs w:val="21"/>
              </w:rPr>
            </w:pPr>
            <w:r>
              <w:rPr>
                <w:rFonts w:hint="eastAsia" w:ascii="宋体" w:hAnsi="宋体" w:eastAsia="宋体" w:cs="Times New Roman"/>
                <w:szCs w:val="21"/>
              </w:rPr>
              <w:t>3</w:t>
            </w:r>
          </w:p>
        </w:tc>
      </w:tr>
      <w:tr w14:paraId="43190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vAlign w:val="center"/>
          </w:tcPr>
          <w:p w14:paraId="778BE407">
            <w:pPr>
              <w:jc w:val="center"/>
              <w:rPr>
                <w:rFonts w:hint="eastAsia" w:ascii="宋体" w:hAnsi="宋体" w:eastAsia="宋体" w:cs="Times New Roman"/>
                <w:szCs w:val="21"/>
              </w:rPr>
            </w:pPr>
          </w:p>
        </w:tc>
        <w:tc>
          <w:tcPr>
            <w:tcW w:w="8805" w:type="dxa"/>
            <w:gridSpan w:val="5"/>
            <w:vAlign w:val="center"/>
          </w:tcPr>
          <w:p w14:paraId="4CB7D2A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认识到新民主主义教育纲领的确立，是中国共产党为广大劳动人民争取教育权、扩大教育普及、提升女性受教育权提供的制度保障；理解党领导和创立的革命干部学校，培养了大量的革命干部，为后期的革命运动播下了火种，培养了人才；体悟</w:t>
            </w:r>
            <w:r>
              <w:rPr>
                <w:rFonts w:hint="eastAsia" w:ascii="宋体" w:hAnsi="宋体" w:eastAsia="宋体" w:cs="Times New Roman"/>
                <w:szCs w:val="21"/>
              </w:rPr>
              <w:t>中国共产党在现代教育发展中所起的领导作用以及革命根据地教育的重要影响，深厚爱国情怀、树立制度自信。</w:t>
            </w:r>
          </w:p>
        </w:tc>
      </w:tr>
      <w:tr w14:paraId="3151C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33254114">
            <w:pPr>
              <w:jc w:val="center"/>
              <w:rPr>
                <w:rFonts w:hint="eastAsia" w:ascii="宋体" w:hAnsi="宋体" w:eastAsia="宋体" w:cs="Times New Roman"/>
                <w:szCs w:val="21"/>
              </w:rPr>
            </w:pPr>
            <w:r>
              <w:rPr>
                <w:rFonts w:hint="eastAsia" w:ascii="宋体" w:hAnsi="宋体" w:eastAsia="宋体" w:cs="Times New Roman"/>
                <w:szCs w:val="21"/>
              </w:rPr>
              <w:t>4.先秦时期的教育思想</w:t>
            </w:r>
          </w:p>
        </w:tc>
        <w:tc>
          <w:tcPr>
            <w:tcW w:w="1522" w:type="dxa"/>
            <w:vAlign w:val="center"/>
          </w:tcPr>
          <w:p w14:paraId="373E695E">
            <w:pPr>
              <w:jc w:val="left"/>
              <w:rPr>
                <w:rFonts w:hint="eastAsia" w:ascii="宋体" w:hAnsi="宋体" w:eastAsia="宋体" w:cs="Times New Roman"/>
                <w:szCs w:val="21"/>
              </w:rPr>
            </w:pPr>
            <w:r>
              <w:rPr>
                <w:rFonts w:hint="eastAsia" w:ascii="宋体" w:hAnsi="宋体" w:eastAsia="宋体" w:cs="Times New Roman"/>
                <w:szCs w:val="21"/>
              </w:rPr>
              <w:t>（1）孔子的教育思想</w:t>
            </w:r>
          </w:p>
          <w:p w14:paraId="705D1177">
            <w:pPr>
              <w:jc w:val="left"/>
              <w:rPr>
                <w:rFonts w:hint="eastAsia" w:ascii="宋体" w:hAnsi="宋体" w:eastAsia="宋体" w:cs="Times New Roman"/>
                <w:szCs w:val="21"/>
              </w:rPr>
            </w:pPr>
            <w:r>
              <w:rPr>
                <w:rFonts w:hint="eastAsia" w:ascii="宋体" w:hAnsi="宋体" w:eastAsia="宋体" w:cs="Times New Roman"/>
                <w:szCs w:val="21"/>
              </w:rPr>
              <w:t>（2）孟子的教育思想</w:t>
            </w:r>
          </w:p>
          <w:p w14:paraId="3D73E5A9">
            <w:pPr>
              <w:jc w:val="left"/>
              <w:rPr>
                <w:rFonts w:hint="eastAsia" w:ascii="宋体" w:hAnsi="宋体" w:eastAsia="宋体" w:cs="Times New Roman"/>
                <w:szCs w:val="21"/>
              </w:rPr>
            </w:pPr>
            <w:r>
              <w:rPr>
                <w:rFonts w:hint="eastAsia" w:ascii="宋体" w:hAnsi="宋体" w:eastAsia="宋体" w:cs="Times New Roman"/>
                <w:szCs w:val="21"/>
              </w:rPr>
              <w:t>（3）荀子的教育思想</w:t>
            </w:r>
          </w:p>
          <w:p w14:paraId="223E5FBC">
            <w:pPr>
              <w:jc w:val="left"/>
              <w:rPr>
                <w:rFonts w:hint="eastAsia" w:ascii="宋体" w:hAnsi="宋体" w:eastAsia="宋体" w:cs="Times New Roman"/>
                <w:szCs w:val="21"/>
              </w:rPr>
            </w:pPr>
            <w:r>
              <w:rPr>
                <w:rFonts w:hint="eastAsia" w:ascii="宋体" w:hAnsi="宋体" w:eastAsia="宋体" w:cs="Times New Roman"/>
                <w:szCs w:val="21"/>
              </w:rPr>
              <w:t>（4）墨子和墨家学派的教育思想</w:t>
            </w:r>
          </w:p>
          <w:p w14:paraId="4DEB72E2">
            <w:pPr>
              <w:jc w:val="left"/>
              <w:rPr>
                <w:rFonts w:hint="eastAsia" w:ascii="宋体" w:hAnsi="宋体" w:eastAsia="宋体" w:cs="Times New Roman"/>
                <w:szCs w:val="21"/>
              </w:rPr>
            </w:pPr>
            <w:r>
              <w:rPr>
                <w:rFonts w:hint="eastAsia" w:ascii="宋体" w:hAnsi="宋体" w:eastAsia="宋体" w:cs="Times New Roman"/>
                <w:szCs w:val="21"/>
              </w:rPr>
              <w:t>（5）《礼记》中的教育思想</w:t>
            </w:r>
          </w:p>
        </w:tc>
        <w:tc>
          <w:tcPr>
            <w:tcW w:w="1065" w:type="dxa"/>
            <w:vAlign w:val="center"/>
          </w:tcPr>
          <w:p w14:paraId="5CA31BCC">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4568" w:type="dxa"/>
            <w:vAlign w:val="center"/>
          </w:tcPr>
          <w:p w14:paraId="786E36D3">
            <w:pPr>
              <w:jc w:val="left"/>
              <w:rPr>
                <w:rFonts w:hint="eastAsia" w:ascii="宋体" w:hAnsi="宋体" w:eastAsia="宋体" w:cs="Times New Roman"/>
                <w:szCs w:val="21"/>
              </w:rPr>
            </w:pPr>
            <w:r>
              <w:rPr>
                <w:rFonts w:hint="eastAsia" w:ascii="宋体" w:hAnsi="宋体" w:eastAsia="宋体" w:cs="Times New Roman"/>
                <w:szCs w:val="21"/>
              </w:rPr>
              <w:t>1.掌握孔子的教育思想；</w:t>
            </w:r>
          </w:p>
          <w:p w14:paraId="373A3510">
            <w:pPr>
              <w:jc w:val="left"/>
              <w:rPr>
                <w:rFonts w:hint="eastAsia" w:ascii="宋体" w:hAnsi="宋体" w:eastAsia="宋体" w:cs="Times New Roman"/>
                <w:szCs w:val="21"/>
              </w:rPr>
            </w:pPr>
            <w:r>
              <w:rPr>
                <w:rFonts w:hint="eastAsia" w:ascii="宋体" w:hAnsi="宋体" w:eastAsia="宋体" w:cs="Times New Roman"/>
                <w:szCs w:val="21"/>
              </w:rPr>
              <w:t>2.领会孟子、荀子关于教育的不同见解；</w:t>
            </w:r>
          </w:p>
          <w:p w14:paraId="4F127CC1">
            <w:pPr>
              <w:jc w:val="left"/>
              <w:rPr>
                <w:rFonts w:hint="eastAsia" w:ascii="宋体" w:hAnsi="宋体" w:eastAsia="宋体" w:cs="Times New Roman"/>
                <w:szCs w:val="21"/>
              </w:rPr>
            </w:pPr>
            <w:r>
              <w:rPr>
                <w:rFonts w:hint="eastAsia" w:ascii="宋体" w:hAnsi="宋体" w:eastAsia="宋体" w:cs="Times New Roman"/>
                <w:szCs w:val="21"/>
              </w:rPr>
              <w:t>3.了解墨家的科技教育思想；</w:t>
            </w:r>
          </w:p>
          <w:p w14:paraId="1348DF11">
            <w:pPr>
              <w:jc w:val="left"/>
              <w:rPr>
                <w:rFonts w:hint="eastAsia" w:ascii="宋体" w:hAnsi="宋体" w:eastAsia="宋体" w:cs="Times New Roman"/>
                <w:szCs w:val="21"/>
              </w:rPr>
            </w:pPr>
            <w:r>
              <w:rPr>
                <w:rFonts w:hint="eastAsia" w:ascii="宋体" w:hAnsi="宋体" w:eastAsia="宋体" w:cs="Times New Roman"/>
                <w:szCs w:val="21"/>
              </w:rPr>
              <w:t>4.掌握《礼记》重点篇章中的教育思想；</w:t>
            </w:r>
          </w:p>
          <w:p w14:paraId="6DA258AE">
            <w:pPr>
              <w:jc w:val="left"/>
              <w:rPr>
                <w:rFonts w:hint="eastAsia" w:ascii="宋体" w:hAnsi="宋体" w:eastAsia="宋体" w:cs="Times New Roman"/>
                <w:szCs w:val="21"/>
              </w:rPr>
            </w:pPr>
            <w:r>
              <w:rPr>
                <w:rFonts w:hint="eastAsia" w:ascii="宋体" w:hAnsi="宋体" w:eastAsia="宋体" w:cs="Times New Roman"/>
                <w:szCs w:val="21"/>
              </w:rPr>
              <w:t>5.能够正确评价先秦教育家的教育思想、历史影响，认识其现代价值。</w:t>
            </w:r>
          </w:p>
        </w:tc>
        <w:tc>
          <w:tcPr>
            <w:tcW w:w="1297" w:type="dxa"/>
            <w:vAlign w:val="center"/>
          </w:tcPr>
          <w:p w14:paraId="0830EC52">
            <w:pPr>
              <w:jc w:val="left"/>
              <w:rPr>
                <w:rFonts w:hint="eastAsia" w:ascii="宋体" w:hAnsi="宋体" w:eastAsia="宋体" w:cs="Times New Roman"/>
                <w:szCs w:val="21"/>
              </w:rPr>
            </w:pPr>
            <w:r>
              <w:rPr>
                <w:rFonts w:ascii="宋体" w:hAnsi="宋体" w:eastAsia="宋体" w:cs="Times New Roman"/>
                <w:szCs w:val="21"/>
              </w:rPr>
              <w:t>1.线上学习</w:t>
            </w:r>
          </w:p>
          <w:p w14:paraId="57E6C8D9">
            <w:pPr>
              <w:jc w:val="left"/>
              <w:rPr>
                <w:rFonts w:hint="eastAsia" w:ascii="宋体" w:hAnsi="宋体" w:eastAsia="宋体" w:cs="Times New Roman"/>
                <w:szCs w:val="21"/>
              </w:rPr>
            </w:pPr>
            <w:r>
              <w:rPr>
                <w:rFonts w:ascii="宋体" w:hAnsi="宋体" w:eastAsia="宋体" w:cs="Times New Roman"/>
                <w:szCs w:val="21"/>
              </w:rPr>
              <w:t>2.多媒体教学</w:t>
            </w:r>
          </w:p>
          <w:p w14:paraId="4BB41C7A">
            <w:pPr>
              <w:jc w:val="left"/>
              <w:rPr>
                <w:rFonts w:hint="eastAsia" w:ascii="宋体" w:hAnsi="宋体" w:eastAsia="宋体" w:cs="Times New Roman"/>
                <w:szCs w:val="21"/>
              </w:rPr>
            </w:pPr>
            <w:r>
              <w:rPr>
                <w:rFonts w:ascii="宋体" w:hAnsi="宋体" w:eastAsia="宋体" w:cs="Times New Roman"/>
                <w:szCs w:val="21"/>
              </w:rPr>
              <w:t>3.课堂讨论</w:t>
            </w:r>
          </w:p>
          <w:p w14:paraId="57B54085">
            <w:pPr>
              <w:jc w:val="left"/>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平时作业</w:t>
            </w:r>
          </w:p>
          <w:p w14:paraId="5F79241A">
            <w:pPr>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单元测验</w:t>
            </w:r>
          </w:p>
        </w:tc>
        <w:tc>
          <w:tcPr>
            <w:tcW w:w="353" w:type="dxa"/>
            <w:vAlign w:val="center"/>
          </w:tcPr>
          <w:p w14:paraId="456AE7F7">
            <w:pPr>
              <w:jc w:val="center"/>
              <w:rPr>
                <w:rFonts w:hint="eastAsia" w:ascii="宋体" w:hAnsi="宋体" w:eastAsia="宋体" w:cs="Times New Roman"/>
                <w:szCs w:val="21"/>
              </w:rPr>
            </w:pPr>
            <w:r>
              <w:rPr>
                <w:rFonts w:hint="eastAsia" w:ascii="宋体" w:hAnsi="宋体" w:eastAsia="宋体" w:cs="Times New Roman"/>
                <w:szCs w:val="21"/>
              </w:rPr>
              <w:t>6</w:t>
            </w:r>
          </w:p>
        </w:tc>
      </w:tr>
      <w:tr w14:paraId="52955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vAlign w:val="center"/>
          </w:tcPr>
          <w:p w14:paraId="29128004">
            <w:pPr>
              <w:jc w:val="center"/>
              <w:rPr>
                <w:rFonts w:hint="eastAsia" w:ascii="宋体" w:hAnsi="宋体" w:eastAsia="宋体" w:cs="Times New Roman"/>
                <w:szCs w:val="21"/>
              </w:rPr>
            </w:pPr>
          </w:p>
        </w:tc>
        <w:tc>
          <w:tcPr>
            <w:tcW w:w="8805" w:type="dxa"/>
            <w:gridSpan w:val="5"/>
            <w:vAlign w:val="center"/>
          </w:tcPr>
          <w:p w14:paraId="45C5DBF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通过学习先秦教育家的生平与教育实践，领会他们深厚的教育情怀，自觉</w:t>
            </w:r>
            <w:r>
              <w:rPr>
                <w:rFonts w:hint="eastAsia" w:ascii="宋体" w:hAnsi="宋体" w:eastAsia="宋体" w:cs="Times New Roman"/>
                <w:szCs w:val="21"/>
              </w:rPr>
              <w:t>以教育家为榜样，忠诚人民教育事业，坚定成为“四个引路人”“四有好老师”“大先生”的理想信念；认识到教育家、教育著作提出的教育思想观点，体现了强国兴邦重在人才，人才兴邦重在教育，教育发展靠教师，古代要培养的人才均是德才兼备的，德是首要素养，自觉落实立德树人根本任务，坚持为党育人、为国育才，培养担当民族复兴大任的时代新人；认识到中国古代虽然没有系统的教育理论，但却有着丰富的教育思想，已经覆盖了教育原理学科的所有范畴，中国在教育学的发展历程中并没有缺席，为世界教育学的发展做出了重要贡献，值得每一位中国人为之骄傲和自豪，树立文化自信，增强民族自豪感。</w:t>
            </w:r>
          </w:p>
        </w:tc>
      </w:tr>
      <w:tr w14:paraId="61B5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47494DC4">
            <w:pPr>
              <w:jc w:val="center"/>
              <w:rPr>
                <w:rFonts w:hint="eastAsia" w:ascii="宋体" w:hAnsi="宋体" w:eastAsia="宋体" w:cs="Times New Roman"/>
                <w:szCs w:val="21"/>
              </w:rPr>
            </w:pPr>
            <w:r>
              <w:rPr>
                <w:rFonts w:hint="eastAsia" w:ascii="宋体" w:hAnsi="宋体" w:eastAsia="宋体" w:cs="Times New Roman"/>
                <w:szCs w:val="21"/>
              </w:rPr>
              <w:t>5.秦汉魏晋南北朝时期的教育思想</w:t>
            </w:r>
          </w:p>
        </w:tc>
        <w:tc>
          <w:tcPr>
            <w:tcW w:w="1522" w:type="dxa"/>
            <w:vAlign w:val="center"/>
          </w:tcPr>
          <w:p w14:paraId="62392501">
            <w:pPr>
              <w:jc w:val="left"/>
              <w:rPr>
                <w:rFonts w:hint="eastAsia" w:ascii="宋体" w:hAnsi="宋体" w:eastAsia="宋体" w:cs="Times New Roman"/>
                <w:szCs w:val="21"/>
              </w:rPr>
            </w:pPr>
            <w:r>
              <w:rPr>
                <w:rFonts w:hint="eastAsia" w:ascii="宋体" w:hAnsi="宋体" w:eastAsia="宋体" w:cs="Times New Roman"/>
                <w:szCs w:val="21"/>
              </w:rPr>
              <w:t>（1）董仲舒的教育思想</w:t>
            </w:r>
          </w:p>
          <w:p w14:paraId="454D782C">
            <w:pPr>
              <w:jc w:val="left"/>
              <w:rPr>
                <w:rFonts w:hint="eastAsia" w:ascii="宋体" w:hAnsi="宋体" w:eastAsia="宋体" w:cs="Times New Roman"/>
                <w:szCs w:val="21"/>
              </w:rPr>
            </w:pPr>
            <w:r>
              <w:rPr>
                <w:rFonts w:hint="eastAsia" w:ascii="宋体" w:hAnsi="宋体" w:eastAsia="宋体" w:cs="Times New Roman"/>
                <w:szCs w:val="21"/>
              </w:rPr>
              <w:t>（2）王充的教育思想</w:t>
            </w:r>
          </w:p>
          <w:p w14:paraId="4807FD89">
            <w:pPr>
              <w:jc w:val="left"/>
              <w:rPr>
                <w:rFonts w:hint="eastAsia" w:ascii="宋体" w:hAnsi="宋体" w:eastAsia="宋体" w:cs="Times New Roman"/>
                <w:szCs w:val="21"/>
              </w:rPr>
            </w:pPr>
            <w:r>
              <w:rPr>
                <w:rFonts w:hint="eastAsia" w:ascii="宋体" w:hAnsi="宋体" w:eastAsia="宋体" w:cs="Times New Roman"/>
                <w:szCs w:val="21"/>
              </w:rPr>
              <w:t>（3）颜之推的教育思想</w:t>
            </w:r>
          </w:p>
        </w:tc>
        <w:tc>
          <w:tcPr>
            <w:tcW w:w="1065" w:type="dxa"/>
            <w:vAlign w:val="center"/>
          </w:tcPr>
          <w:p w14:paraId="75964A88">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4568" w:type="dxa"/>
            <w:vAlign w:val="center"/>
          </w:tcPr>
          <w:p w14:paraId="21B6347A">
            <w:pPr>
              <w:jc w:val="left"/>
              <w:rPr>
                <w:rFonts w:hint="eastAsia" w:ascii="宋体" w:hAnsi="宋体" w:eastAsia="宋体" w:cs="Times New Roman"/>
                <w:szCs w:val="21"/>
              </w:rPr>
            </w:pPr>
            <w:r>
              <w:rPr>
                <w:rFonts w:hint="eastAsia" w:ascii="宋体" w:hAnsi="宋体" w:eastAsia="宋体" w:cs="Times New Roman"/>
                <w:szCs w:val="21"/>
              </w:rPr>
              <w:t>1.理解并掌握董仲舒的主要教育思想及其现实意义；</w:t>
            </w:r>
          </w:p>
          <w:p w14:paraId="6607E38A">
            <w:pPr>
              <w:jc w:val="left"/>
              <w:rPr>
                <w:rFonts w:hint="eastAsia" w:ascii="宋体" w:hAnsi="宋体" w:eastAsia="宋体" w:cs="Times New Roman"/>
                <w:szCs w:val="21"/>
              </w:rPr>
            </w:pPr>
            <w:r>
              <w:rPr>
                <w:rFonts w:hint="eastAsia" w:ascii="宋体" w:hAnsi="宋体" w:eastAsia="宋体" w:cs="Times New Roman"/>
                <w:szCs w:val="21"/>
              </w:rPr>
              <w:t>2.理解并掌握王充的主要教育思想及其现实意义；</w:t>
            </w:r>
          </w:p>
          <w:p w14:paraId="57B12050">
            <w:pPr>
              <w:jc w:val="left"/>
              <w:rPr>
                <w:rFonts w:hint="eastAsia" w:ascii="宋体" w:hAnsi="宋体" w:eastAsia="宋体" w:cs="Times New Roman"/>
                <w:szCs w:val="21"/>
              </w:rPr>
            </w:pPr>
            <w:r>
              <w:rPr>
                <w:rFonts w:hint="eastAsia" w:ascii="宋体" w:hAnsi="宋体" w:eastAsia="宋体" w:cs="Times New Roman"/>
                <w:szCs w:val="21"/>
              </w:rPr>
              <w:t>3.正确认识颜之推的家庭教育思想及其现代意义。</w:t>
            </w:r>
          </w:p>
        </w:tc>
        <w:tc>
          <w:tcPr>
            <w:tcW w:w="1297" w:type="dxa"/>
            <w:vAlign w:val="center"/>
          </w:tcPr>
          <w:p w14:paraId="41318E94">
            <w:pPr>
              <w:jc w:val="left"/>
              <w:rPr>
                <w:rFonts w:hint="eastAsia" w:ascii="宋体" w:hAnsi="宋体" w:eastAsia="宋体" w:cs="Times New Roman"/>
                <w:szCs w:val="21"/>
              </w:rPr>
            </w:pPr>
            <w:r>
              <w:rPr>
                <w:rFonts w:ascii="宋体" w:hAnsi="宋体" w:eastAsia="宋体" w:cs="Times New Roman"/>
                <w:szCs w:val="21"/>
              </w:rPr>
              <w:t>1.线上学习</w:t>
            </w:r>
          </w:p>
          <w:p w14:paraId="2537A4BA">
            <w:pPr>
              <w:jc w:val="left"/>
              <w:rPr>
                <w:rFonts w:hint="eastAsia" w:ascii="宋体" w:hAnsi="宋体" w:eastAsia="宋体" w:cs="Times New Roman"/>
                <w:szCs w:val="21"/>
              </w:rPr>
            </w:pPr>
            <w:r>
              <w:rPr>
                <w:rFonts w:ascii="宋体" w:hAnsi="宋体" w:eastAsia="宋体" w:cs="Times New Roman"/>
                <w:szCs w:val="21"/>
              </w:rPr>
              <w:t>2.多媒体教学</w:t>
            </w:r>
          </w:p>
          <w:p w14:paraId="62B728B1">
            <w:pPr>
              <w:jc w:val="left"/>
              <w:rPr>
                <w:rFonts w:hint="eastAsia" w:ascii="宋体" w:hAnsi="宋体" w:eastAsia="宋体" w:cs="Times New Roman"/>
                <w:szCs w:val="21"/>
              </w:rPr>
            </w:pPr>
            <w:r>
              <w:rPr>
                <w:rFonts w:ascii="宋体" w:hAnsi="宋体" w:eastAsia="宋体" w:cs="Times New Roman"/>
                <w:szCs w:val="21"/>
              </w:rPr>
              <w:t>3.课堂讨论</w:t>
            </w:r>
          </w:p>
          <w:p w14:paraId="27A10630">
            <w:pPr>
              <w:jc w:val="left"/>
              <w:rPr>
                <w:rFonts w:hint="eastAsia" w:ascii="宋体" w:hAnsi="宋体" w:eastAsia="宋体" w:cs="Times New Roman"/>
                <w:szCs w:val="21"/>
              </w:rPr>
            </w:pPr>
            <w:r>
              <w:rPr>
                <w:rFonts w:ascii="宋体" w:hAnsi="宋体" w:eastAsia="宋体" w:cs="Times New Roman"/>
                <w:szCs w:val="21"/>
              </w:rPr>
              <w:t>4.单元测验</w:t>
            </w:r>
          </w:p>
        </w:tc>
        <w:tc>
          <w:tcPr>
            <w:tcW w:w="353" w:type="dxa"/>
            <w:vAlign w:val="center"/>
          </w:tcPr>
          <w:p w14:paraId="67772AE3">
            <w:pPr>
              <w:jc w:val="center"/>
              <w:rPr>
                <w:rFonts w:hint="eastAsia" w:ascii="宋体" w:hAnsi="宋体" w:eastAsia="宋体" w:cs="Times New Roman"/>
                <w:szCs w:val="21"/>
              </w:rPr>
            </w:pPr>
            <w:r>
              <w:rPr>
                <w:rFonts w:hint="eastAsia" w:ascii="宋体" w:hAnsi="宋体" w:eastAsia="宋体" w:cs="Times New Roman"/>
                <w:szCs w:val="21"/>
              </w:rPr>
              <w:t>2</w:t>
            </w:r>
          </w:p>
        </w:tc>
      </w:tr>
      <w:tr w14:paraId="0C74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vAlign w:val="center"/>
          </w:tcPr>
          <w:p w14:paraId="01E3859E">
            <w:pPr>
              <w:jc w:val="center"/>
              <w:rPr>
                <w:rFonts w:hint="eastAsia" w:ascii="宋体" w:hAnsi="宋体" w:eastAsia="宋体" w:cs="Times New Roman"/>
                <w:szCs w:val="21"/>
              </w:rPr>
            </w:pPr>
          </w:p>
        </w:tc>
        <w:tc>
          <w:tcPr>
            <w:tcW w:w="8805" w:type="dxa"/>
            <w:gridSpan w:val="5"/>
            <w:vAlign w:val="center"/>
          </w:tcPr>
          <w:p w14:paraId="1089AB0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理解教育家的思想，巩固专业思想，乐于从教；</w:t>
            </w:r>
            <w:r>
              <w:rPr>
                <w:rFonts w:hint="eastAsia" w:ascii="宋体" w:hAnsi="宋体" w:eastAsia="宋体" w:cs="Times New Roman"/>
                <w:szCs w:val="21"/>
              </w:rPr>
              <w:t>继承祖国优秀教育遗产，如《颜氏家训》是世界上第一本系统全面的家教著作，从而增强民族自尊心和自信心。</w:t>
            </w:r>
          </w:p>
        </w:tc>
      </w:tr>
      <w:tr w14:paraId="588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5D5C08B3">
            <w:pPr>
              <w:jc w:val="center"/>
              <w:rPr>
                <w:rFonts w:hint="eastAsia" w:ascii="宋体" w:hAnsi="宋体" w:eastAsia="宋体" w:cs="Times New Roman"/>
                <w:szCs w:val="21"/>
              </w:rPr>
            </w:pPr>
            <w:r>
              <w:rPr>
                <w:rFonts w:hint="eastAsia" w:ascii="宋体" w:hAnsi="宋体" w:eastAsia="宋体" w:cs="Times New Roman"/>
                <w:szCs w:val="21"/>
              </w:rPr>
              <w:t>6.隋唐宋元明清时期的教育思想</w:t>
            </w:r>
          </w:p>
        </w:tc>
        <w:tc>
          <w:tcPr>
            <w:tcW w:w="1522" w:type="dxa"/>
            <w:vAlign w:val="center"/>
          </w:tcPr>
          <w:p w14:paraId="2EC6AAD2">
            <w:pPr>
              <w:jc w:val="left"/>
              <w:rPr>
                <w:rFonts w:hint="eastAsia" w:ascii="宋体" w:hAnsi="宋体" w:eastAsia="宋体" w:cs="Times New Roman"/>
                <w:szCs w:val="21"/>
              </w:rPr>
            </w:pPr>
            <w:r>
              <w:rPr>
                <w:rFonts w:hint="eastAsia" w:ascii="宋体" w:hAnsi="宋体" w:eastAsia="宋体" w:cs="Times New Roman"/>
                <w:szCs w:val="21"/>
              </w:rPr>
              <w:t>（1）韩愈的教育思想</w:t>
            </w:r>
          </w:p>
          <w:p w14:paraId="1694146E">
            <w:pPr>
              <w:jc w:val="left"/>
              <w:rPr>
                <w:rFonts w:hint="eastAsia" w:ascii="宋体" w:hAnsi="宋体" w:eastAsia="宋体" w:cs="Times New Roman"/>
                <w:szCs w:val="21"/>
              </w:rPr>
            </w:pPr>
            <w:r>
              <w:rPr>
                <w:rFonts w:hint="eastAsia" w:ascii="宋体" w:hAnsi="宋体" w:eastAsia="宋体" w:cs="Times New Roman"/>
                <w:szCs w:val="21"/>
              </w:rPr>
              <w:t>（2）朱熹的教育思想</w:t>
            </w:r>
          </w:p>
          <w:p w14:paraId="49E08724">
            <w:pPr>
              <w:jc w:val="left"/>
              <w:rPr>
                <w:rFonts w:hint="eastAsia" w:ascii="宋体" w:hAnsi="宋体" w:eastAsia="宋体" w:cs="Times New Roman"/>
                <w:szCs w:val="21"/>
              </w:rPr>
            </w:pPr>
            <w:r>
              <w:rPr>
                <w:rFonts w:hint="eastAsia" w:ascii="宋体" w:hAnsi="宋体" w:eastAsia="宋体" w:cs="Times New Roman"/>
                <w:szCs w:val="21"/>
              </w:rPr>
              <w:t>（3）王守仁的教育思想</w:t>
            </w:r>
          </w:p>
          <w:p w14:paraId="45AD5F59">
            <w:pPr>
              <w:jc w:val="left"/>
              <w:rPr>
                <w:rFonts w:hint="eastAsia" w:ascii="宋体" w:hAnsi="宋体" w:eastAsia="宋体" w:cs="Times New Roman"/>
                <w:szCs w:val="21"/>
              </w:rPr>
            </w:pPr>
            <w:r>
              <w:rPr>
                <w:rFonts w:hint="eastAsia" w:ascii="宋体" w:hAnsi="宋体" w:eastAsia="宋体" w:cs="Times New Roman"/>
                <w:szCs w:val="21"/>
              </w:rPr>
              <w:t>（4）颜元的教育思想</w:t>
            </w:r>
          </w:p>
        </w:tc>
        <w:tc>
          <w:tcPr>
            <w:tcW w:w="1065" w:type="dxa"/>
            <w:vAlign w:val="center"/>
          </w:tcPr>
          <w:p w14:paraId="272FA90F">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4568" w:type="dxa"/>
            <w:vAlign w:val="center"/>
          </w:tcPr>
          <w:p w14:paraId="6A75621D">
            <w:pPr>
              <w:jc w:val="left"/>
              <w:rPr>
                <w:rFonts w:hint="eastAsia" w:ascii="宋体" w:hAnsi="宋体" w:eastAsia="宋体" w:cs="Times New Roman"/>
                <w:szCs w:val="21"/>
              </w:rPr>
            </w:pPr>
            <w:r>
              <w:rPr>
                <w:rFonts w:hint="eastAsia" w:ascii="宋体" w:hAnsi="宋体" w:eastAsia="宋体" w:cs="Times New Roman"/>
                <w:szCs w:val="21"/>
              </w:rPr>
              <w:t>1.掌握韩愈的教师思想；</w:t>
            </w:r>
          </w:p>
          <w:p w14:paraId="3441DF2F">
            <w:pPr>
              <w:jc w:val="left"/>
              <w:rPr>
                <w:rFonts w:hint="eastAsia" w:ascii="宋体" w:hAnsi="宋体" w:eastAsia="宋体" w:cs="Times New Roman"/>
                <w:szCs w:val="21"/>
              </w:rPr>
            </w:pPr>
            <w:r>
              <w:rPr>
                <w:rFonts w:hint="eastAsia" w:ascii="宋体" w:hAnsi="宋体" w:eastAsia="宋体" w:cs="Times New Roman"/>
                <w:szCs w:val="21"/>
              </w:rPr>
              <w:t>2.理解并掌握朱熹的教育思想及其现实意义；</w:t>
            </w:r>
          </w:p>
          <w:p w14:paraId="5E1BD016">
            <w:pPr>
              <w:jc w:val="left"/>
              <w:rPr>
                <w:rFonts w:hint="eastAsia" w:ascii="宋体" w:hAnsi="宋体" w:eastAsia="宋体" w:cs="Times New Roman"/>
                <w:szCs w:val="21"/>
              </w:rPr>
            </w:pPr>
            <w:r>
              <w:rPr>
                <w:rFonts w:hint="eastAsia" w:ascii="宋体" w:hAnsi="宋体" w:eastAsia="宋体" w:cs="Times New Roman"/>
                <w:szCs w:val="21"/>
              </w:rPr>
              <w:t>3.理解并掌握王守仁的教育思想及其现实意义；</w:t>
            </w:r>
          </w:p>
          <w:p w14:paraId="6C0AB6CE">
            <w:pPr>
              <w:jc w:val="left"/>
              <w:rPr>
                <w:rFonts w:hint="eastAsia" w:ascii="宋体" w:hAnsi="宋体" w:eastAsia="宋体" w:cs="Times New Roman"/>
                <w:szCs w:val="21"/>
              </w:rPr>
            </w:pPr>
            <w:r>
              <w:rPr>
                <w:rFonts w:hint="eastAsia" w:ascii="宋体" w:hAnsi="宋体" w:eastAsia="宋体" w:cs="Times New Roman"/>
                <w:szCs w:val="21"/>
              </w:rPr>
              <w:t>4.掌握颜元“实德实才”的培养目标、“六斋”与“实学”的教育内容以及“习行”的教学方法。</w:t>
            </w:r>
          </w:p>
        </w:tc>
        <w:tc>
          <w:tcPr>
            <w:tcW w:w="1297" w:type="dxa"/>
            <w:vAlign w:val="center"/>
          </w:tcPr>
          <w:p w14:paraId="7213DC5E">
            <w:pPr>
              <w:jc w:val="left"/>
              <w:rPr>
                <w:rFonts w:hint="eastAsia" w:ascii="宋体" w:hAnsi="宋体" w:eastAsia="宋体" w:cs="Times New Roman"/>
                <w:szCs w:val="21"/>
              </w:rPr>
            </w:pPr>
            <w:r>
              <w:rPr>
                <w:rFonts w:ascii="宋体" w:hAnsi="宋体" w:eastAsia="宋体" w:cs="Times New Roman"/>
                <w:szCs w:val="21"/>
              </w:rPr>
              <w:t>1.线上学习</w:t>
            </w:r>
          </w:p>
          <w:p w14:paraId="7EF9F2C3">
            <w:pPr>
              <w:jc w:val="left"/>
              <w:rPr>
                <w:rFonts w:hint="eastAsia" w:ascii="宋体" w:hAnsi="宋体" w:eastAsia="宋体" w:cs="Times New Roman"/>
                <w:szCs w:val="21"/>
              </w:rPr>
            </w:pPr>
            <w:r>
              <w:rPr>
                <w:rFonts w:ascii="宋体" w:hAnsi="宋体" w:eastAsia="宋体" w:cs="Times New Roman"/>
                <w:szCs w:val="21"/>
              </w:rPr>
              <w:t>2.多媒体教学</w:t>
            </w:r>
          </w:p>
          <w:p w14:paraId="55E32357">
            <w:pPr>
              <w:jc w:val="left"/>
              <w:rPr>
                <w:rFonts w:hint="eastAsia" w:ascii="宋体" w:hAnsi="宋体" w:eastAsia="宋体" w:cs="Times New Roman"/>
                <w:szCs w:val="21"/>
              </w:rPr>
            </w:pPr>
            <w:r>
              <w:rPr>
                <w:rFonts w:ascii="宋体" w:hAnsi="宋体" w:eastAsia="宋体" w:cs="Times New Roman"/>
                <w:szCs w:val="21"/>
              </w:rPr>
              <w:t>3.课堂讨论</w:t>
            </w:r>
          </w:p>
          <w:p w14:paraId="05CFAE3B">
            <w:pPr>
              <w:jc w:val="left"/>
              <w:rPr>
                <w:rFonts w:hint="eastAsia" w:ascii="宋体" w:hAnsi="宋体" w:eastAsia="宋体" w:cs="Times New Roman"/>
                <w:szCs w:val="21"/>
              </w:rPr>
            </w:pPr>
            <w:r>
              <w:rPr>
                <w:rFonts w:ascii="宋体" w:hAnsi="宋体" w:eastAsia="宋体" w:cs="Times New Roman"/>
                <w:szCs w:val="21"/>
              </w:rPr>
              <w:t>4.单元测验</w:t>
            </w:r>
          </w:p>
        </w:tc>
        <w:tc>
          <w:tcPr>
            <w:tcW w:w="353" w:type="dxa"/>
            <w:vAlign w:val="center"/>
          </w:tcPr>
          <w:p w14:paraId="0B5BB6F3">
            <w:pPr>
              <w:jc w:val="center"/>
              <w:rPr>
                <w:rFonts w:hint="eastAsia" w:ascii="宋体" w:hAnsi="宋体" w:eastAsia="宋体" w:cs="Times New Roman"/>
                <w:szCs w:val="21"/>
              </w:rPr>
            </w:pPr>
            <w:r>
              <w:rPr>
                <w:rFonts w:hint="eastAsia" w:ascii="宋体" w:hAnsi="宋体" w:eastAsia="宋体" w:cs="Times New Roman"/>
                <w:szCs w:val="21"/>
              </w:rPr>
              <w:t>4</w:t>
            </w:r>
          </w:p>
        </w:tc>
      </w:tr>
      <w:tr w14:paraId="48EA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vAlign w:val="center"/>
          </w:tcPr>
          <w:p w14:paraId="2E8D055C">
            <w:pPr>
              <w:jc w:val="center"/>
              <w:rPr>
                <w:rFonts w:hint="eastAsia" w:ascii="宋体" w:hAnsi="宋体" w:eastAsia="宋体" w:cs="Times New Roman"/>
                <w:szCs w:val="21"/>
              </w:rPr>
            </w:pPr>
          </w:p>
        </w:tc>
        <w:tc>
          <w:tcPr>
            <w:tcW w:w="8805" w:type="dxa"/>
            <w:gridSpan w:val="5"/>
            <w:vAlign w:val="center"/>
          </w:tcPr>
          <w:p w14:paraId="73135D2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了解教育思想演变过程的基础上，教育引导学生传承中华优秀教育遗产，弘扬以爱国主义为核心的民族精神和以改革创新为核心的时代精神；以教育家为榜样，忠诚人民教育事业，进一步巩固专业思想，具有为了中华民族的复兴，为了培养全面发展的社会主义建设者和接班人投身小学教育事业的职业理想。</w:t>
            </w:r>
          </w:p>
        </w:tc>
      </w:tr>
      <w:tr w14:paraId="1C2D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6D35E64D">
            <w:pPr>
              <w:jc w:val="center"/>
              <w:rPr>
                <w:rFonts w:hint="eastAsia" w:ascii="宋体" w:hAnsi="宋体" w:eastAsia="宋体" w:cs="Times New Roman"/>
                <w:szCs w:val="21"/>
              </w:rPr>
            </w:pPr>
            <w:r>
              <w:rPr>
                <w:rFonts w:hint="eastAsia" w:ascii="宋体" w:hAnsi="宋体" w:eastAsia="宋体" w:cs="Times New Roman"/>
                <w:szCs w:val="21"/>
              </w:rPr>
              <w:t>7.中国近代教育思想</w:t>
            </w:r>
          </w:p>
        </w:tc>
        <w:tc>
          <w:tcPr>
            <w:tcW w:w="1522" w:type="dxa"/>
            <w:vAlign w:val="center"/>
          </w:tcPr>
          <w:p w14:paraId="47D11A33">
            <w:pPr>
              <w:jc w:val="left"/>
              <w:rPr>
                <w:rFonts w:hint="eastAsia" w:ascii="宋体" w:hAnsi="宋体" w:eastAsia="宋体" w:cs="Times New Roman"/>
                <w:szCs w:val="21"/>
              </w:rPr>
            </w:pPr>
            <w:r>
              <w:rPr>
                <w:rFonts w:hint="eastAsia" w:ascii="宋体" w:hAnsi="宋体" w:eastAsia="宋体" w:cs="Times New Roman"/>
                <w:szCs w:val="21"/>
              </w:rPr>
              <w:t>（1）张之洞的教育思想</w:t>
            </w:r>
          </w:p>
          <w:p w14:paraId="3BE6E4AE">
            <w:pPr>
              <w:jc w:val="left"/>
              <w:rPr>
                <w:rFonts w:hint="eastAsia" w:ascii="宋体" w:hAnsi="宋体" w:eastAsia="宋体" w:cs="Times New Roman"/>
                <w:szCs w:val="21"/>
              </w:rPr>
            </w:pPr>
            <w:r>
              <w:rPr>
                <w:rFonts w:hint="eastAsia" w:ascii="宋体" w:hAnsi="宋体" w:eastAsia="宋体" w:cs="Times New Roman"/>
                <w:szCs w:val="21"/>
              </w:rPr>
              <w:t>（2）康有为的教育思想</w:t>
            </w:r>
          </w:p>
          <w:p w14:paraId="23DFABFF">
            <w:pPr>
              <w:jc w:val="left"/>
              <w:rPr>
                <w:rFonts w:hint="eastAsia" w:ascii="宋体" w:hAnsi="宋体" w:eastAsia="宋体" w:cs="Times New Roman"/>
                <w:szCs w:val="21"/>
              </w:rPr>
            </w:pPr>
            <w:r>
              <w:rPr>
                <w:rFonts w:hint="eastAsia" w:ascii="宋体" w:hAnsi="宋体" w:eastAsia="宋体" w:cs="Times New Roman"/>
                <w:szCs w:val="21"/>
              </w:rPr>
              <w:t>（3）梁启超的教育思想</w:t>
            </w:r>
          </w:p>
          <w:p w14:paraId="56D625BC">
            <w:pPr>
              <w:jc w:val="left"/>
              <w:rPr>
                <w:rFonts w:hint="eastAsia" w:ascii="宋体" w:hAnsi="宋体" w:eastAsia="宋体" w:cs="Times New Roman"/>
                <w:szCs w:val="21"/>
              </w:rPr>
            </w:pPr>
            <w:r>
              <w:rPr>
                <w:rFonts w:hint="eastAsia" w:ascii="宋体" w:hAnsi="宋体" w:eastAsia="宋体" w:cs="Times New Roman"/>
                <w:szCs w:val="21"/>
              </w:rPr>
              <w:t>（4）蔡元培的教育思想</w:t>
            </w:r>
          </w:p>
        </w:tc>
        <w:tc>
          <w:tcPr>
            <w:tcW w:w="1065" w:type="dxa"/>
            <w:vAlign w:val="center"/>
          </w:tcPr>
          <w:p w14:paraId="70727DCD">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4568" w:type="dxa"/>
            <w:vAlign w:val="center"/>
          </w:tcPr>
          <w:p w14:paraId="73511FE0">
            <w:pPr>
              <w:jc w:val="left"/>
              <w:rPr>
                <w:rFonts w:hint="eastAsia" w:ascii="宋体" w:hAnsi="宋体" w:eastAsia="宋体" w:cs="Times New Roman"/>
                <w:szCs w:val="21"/>
              </w:rPr>
            </w:pPr>
            <w:r>
              <w:rPr>
                <w:rFonts w:hint="eastAsia" w:ascii="宋体" w:hAnsi="宋体" w:eastAsia="宋体" w:cs="Times New Roman"/>
                <w:szCs w:val="21"/>
              </w:rPr>
              <w:t xml:space="preserve">（1）掌握“中体西用”思想的形成和发展，能够正确认识“中体西用”的历史作用与局限； </w:t>
            </w:r>
          </w:p>
          <w:p w14:paraId="0A40BEB4">
            <w:pPr>
              <w:jc w:val="left"/>
              <w:rPr>
                <w:rFonts w:hint="eastAsia" w:ascii="宋体" w:hAnsi="宋体" w:eastAsia="宋体" w:cs="Times New Roman"/>
                <w:szCs w:val="21"/>
              </w:rPr>
            </w:pPr>
            <w:r>
              <w:rPr>
                <w:rFonts w:hint="eastAsia" w:ascii="宋体" w:hAnsi="宋体" w:eastAsia="宋体" w:cs="Times New Roman"/>
                <w:szCs w:val="21"/>
              </w:rPr>
              <w:t xml:space="preserve">（2）掌握康有为《大同书》中的教育理想； </w:t>
            </w:r>
          </w:p>
          <w:p w14:paraId="70E0A94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 xml:space="preserve">正确理解梁启超关于“开民智”“伸民权”与教育作用、培养“新民”的教育目的、学制、论、师范教育、女子教育和儿童教育的相关思想； </w:t>
            </w:r>
          </w:p>
          <w:p w14:paraId="75CAD0D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w:t>
            </w:r>
            <w:r>
              <w:rPr>
                <w:rFonts w:hint="eastAsia" w:ascii="宋体" w:hAnsi="宋体" w:eastAsia="宋体" w:cs="Times New Roman"/>
                <w:szCs w:val="21"/>
              </w:rPr>
              <w:t>深刻理解蔡元培“五育”并举的教育方针、对北京大学的教育改革实践以及教育独立的思想。</w:t>
            </w:r>
          </w:p>
        </w:tc>
        <w:tc>
          <w:tcPr>
            <w:tcW w:w="1297" w:type="dxa"/>
            <w:vAlign w:val="center"/>
          </w:tcPr>
          <w:p w14:paraId="00BBF154">
            <w:pPr>
              <w:jc w:val="left"/>
              <w:rPr>
                <w:rFonts w:hint="eastAsia" w:ascii="宋体" w:hAnsi="宋体" w:eastAsia="宋体" w:cs="Times New Roman"/>
                <w:szCs w:val="21"/>
              </w:rPr>
            </w:pPr>
            <w:r>
              <w:rPr>
                <w:rFonts w:ascii="宋体" w:hAnsi="宋体" w:eastAsia="宋体" w:cs="Times New Roman"/>
                <w:szCs w:val="21"/>
              </w:rPr>
              <w:t>1.线上学习</w:t>
            </w:r>
          </w:p>
          <w:p w14:paraId="4525CFCC">
            <w:pPr>
              <w:jc w:val="left"/>
              <w:rPr>
                <w:rFonts w:hint="eastAsia" w:ascii="宋体" w:hAnsi="宋体" w:eastAsia="宋体" w:cs="Times New Roman"/>
                <w:szCs w:val="21"/>
              </w:rPr>
            </w:pPr>
            <w:r>
              <w:rPr>
                <w:rFonts w:ascii="宋体" w:hAnsi="宋体" w:eastAsia="宋体" w:cs="Times New Roman"/>
                <w:szCs w:val="21"/>
              </w:rPr>
              <w:t>2.多媒体教学</w:t>
            </w:r>
          </w:p>
          <w:p w14:paraId="56A1AC5C">
            <w:pPr>
              <w:jc w:val="left"/>
              <w:rPr>
                <w:rFonts w:hint="eastAsia" w:ascii="宋体" w:hAnsi="宋体" w:eastAsia="宋体" w:cs="Times New Roman"/>
                <w:szCs w:val="21"/>
              </w:rPr>
            </w:pPr>
            <w:r>
              <w:rPr>
                <w:rFonts w:ascii="宋体" w:hAnsi="宋体" w:eastAsia="宋体" w:cs="Times New Roman"/>
                <w:szCs w:val="21"/>
              </w:rPr>
              <w:t>3.课堂讨论</w:t>
            </w:r>
          </w:p>
          <w:p w14:paraId="135E3644">
            <w:pPr>
              <w:jc w:val="left"/>
              <w:rPr>
                <w:rFonts w:hint="eastAsia" w:ascii="宋体" w:hAnsi="宋体" w:eastAsia="宋体" w:cs="Times New Roman"/>
                <w:szCs w:val="21"/>
              </w:rPr>
            </w:pPr>
            <w:r>
              <w:rPr>
                <w:rFonts w:hint="eastAsia" w:ascii="宋体" w:hAnsi="宋体" w:eastAsia="宋体" w:cs="Times New Roman"/>
                <w:szCs w:val="21"/>
              </w:rPr>
              <w:t>4.平时作业</w:t>
            </w:r>
          </w:p>
          <w:p w14:paraId="20549750">
            <w:pPr>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.单元测验</w:t>
            </w:r>
          </w:p>
        </w:tc>
        <w:tc>
          <w:tcPr>
            <w:tcW w:w="353" w:type="dxa"/>
            <w:vAlign w:val="center"/>
          </w:tcPr>
          <w:p w14:paraId="683D8BE9">
            <w:pPr>
              <w:jc w:val="center"/>
              <w:rPr>
                <w:rFonts w:hint="eastAsia" w:ascii="宋体" w:hAnsi="宋体" w:eastAsia="宋体" w:cs="Times New Roman"/>
                <w:szCs w:val="21"/>
              </w:rPr>
            </w:pPr>
            <w:r>
              <w:rPr>
                <w:rFonts w:hint="eastAsia" w:ascii="宋体" w:hAnsi="宋体" w:eastAsia="宋体" w:cs="Times New Roman"/>
                <w:szCs w:val="21"/>
              </w:rPr>
              <w:t>4</w:t>
            </w:r>
          </w:p>
        </w:tc>
      </w:tr>
      <w:tr w14:paraId="451B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vAlign w:val="center"/>
          </w:tcPr>
          <w:p w14:paraId="13820FAF">
            <w:pPr>
              <w:jc w:val="center"/>
              <w:rPr>
                <w:rFonts w:hint="eastAsia" w:ascii="宋体" w:hAnsi="宋体" w:eastAsia="宋体" w:cs="Times New Roman"/>
                <w:szCs w:val="21"/>
              </w:rPr>
            </w:pPr>
          </w:p>
        </w:tc>
        <w:tc>
          <w:tcPr>
            <w:tcW w:w="8805" w:type="dxa"/>
            <w:gridSpan w:val="5"/>
            <w:vAlign w:val="center"/>
          </w:tcPr>
          <w:p w14:paraId="7FA0564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在深刻领会近代教育家们们</w:t>
            </w:r>
            <w:r>
              <w:rPr>
                <w:rFonts w:hint="eastAsia" w:ascii="宋体" w:hAnsi="宋体" w:eastAsia="宋体" w:cs="Times New Roman"/>
                <w:szCs w:val="21"/>
              </w:rPr>
              <w:t>教育强国、教育救国的教育实践的基础上，理解教育先行的教育战略；领会为党育人、为国育才的育人目标；坚持守正创新；落实立德树人教育根本任务；重视美育的价值，丰富人民精神世界以推进中国式现代化。</w:t>
            </w:r>
          </w:p>
        </w:tc>
      </w:tr>
      <w:tr w14:paraId="4F94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vAlign w:val="center"/>
          </w:tcPr>
          <w:p w14:paraId="5C9ACA4B">
            <w:pPr>
              <w:jc w:val="center"/>
              <w:rPr>
                <w:rFonts w:hint="eastAsia" w:ascii="宋体" w:hAnsi="宋体" w:eastAsia="宋体" w:cs="Times New Roman"/>
                <w:szCs w:val="21"/>
              </w:rPr>
            </w:pPr>
            <w:r>
              <w:rPr>
                <w:rFonts w:hint="eastAsia" w:ascii="宋体" w:hAnsi="宋体" w:eastAsia="宋体" w:cs="Times New Roman"/>
                <w:szCs w:val="21"/>
              </w:rPr>
              <w:t>8.中国现代教育思想</w:t>
            </w:r>
          </w:p>
        </w:tc>
        <w:tc>
          <w:tcPr>
            <w:tcW w:w="1522" w:type="dxa"/>
            <w:vAlign w:val="center"/>
          </w:tcPr>
          <w:p w14:paraId="394F897F">
            <w:pPr>
              <w:jc w:val="left"/>
              <w:rPr>
                <w:rFonts w:hint="eastAsia" w:ascii="宋体" w:hAnsi="宋体" w:eastAsia="宋体" w:cs="Times New Roman"/>
                <w:szCs w:val="21"/>
              </w:rPr>
            </w:pPr>
            <w:r>
              <w:rPr>
                <w:rFonts w:hint="eastAsia" w:ascii="宋体" w:hAnsi="宋体" w:eastAsia="宋体" w:cs="Times New Roman"/>
                <w:szCs w:val="21"/>
              </w:rPr>
              <w:t>（1）陶行知的生活教育思想</w:t>
            </w:r>
          </w:p>
          <w:p w14:paraId="3B5A9658">
            <w:pPr>
              <w:jc w:val="left"/>
              <w:rPr>
                <w:rFonts w:hint="eastAsia" w:ascii="宋体" w:hAnsi="宋体" w:eastAsia="宋体" w:cs="Times New Roman"/>
                <w:szCs w:val="21"/>
              </w:rPr>
            </w:pPr>
            <w:r>
              <w:rPr>
                <w:rFonts w:hint="eastAsia" w:ascii="宋体" w:hAnsi="宋体" w:eastAsia="宋体" w:cs="Times New Roman"/>
                <w:szCs w:val="21"/>
              </w:rPr>
              <w:t>（2）黄炎培的职业教育思想</w:t>
            </w:r>
          </w:p>
          <w:p w14:paraId="1D467334">
            <w:pPr>
              <w:jc w:val="left"/>
              <w:rPr>
                <w:rFonts w:hint="eastAsia" w:ascii="宋体" w:hAnsi="宋体" w:eastAsia="宋体" w:cs="Times New Roman"/>
                <w:szCs w:val="21"/>
              </w:rPr>
            </w:pPr>
            <w:r>
              <w:rPr>
                <w:rFonts w:hint="eastAsia" w:ascii="宋体" w:hAnsi="宋体" w:eastAsia="宋体" w:cs="Times New Roman"/>
                <w:szCs w:val="21"/>
              </w:rPr>
              <w:t>（3）陈鹤琴的活教育思想</w:t>
            </w:r>
          </w:p>
          <w:p w14:paraId="32BE6570">
            <w:pPr>
              <w:jc w:val="left"/>
              <w:rPr>
                <w:rFonts w:hint="eastAsia" w:ascii="宋体" w:hAnsi="宋体" w:eastAsia="宋体" w:cs="Times New Roman"/>
                <w:szCs w:val="21"/>
              </w:rPr>
            </w:pPr>
            <w:r>
              <w:rPr>
                <w:rFonts w:hint="eastAsia" w:ascii="宋体" w:hAnsi="宋体" w:eastAsia="宋体" w:cs="Times New Roman"/>
                <w:szCs w:val="21"/>
              </w:rPr>
              <w:t>（4）晏阳初的平民教育思想</w:t>
            </w:r>
          </w:p>
          <w:p w14:paraId="4D464178">
            <w:pPr>
              <w:jc w:val="left"/>
              <w:rPr>
                <w:rFonts w:hint="eastAsia" w:ascii="宋体" w:hAnsi="宋体" w:eastAsia="宋体" w:cs="Times New Roman"/>
                <w:szCs w:val="21"/>
              </w:rPr>
            </w:pPr>
            <w:r>
              <w:rPr>
                <w:rFonts w:hint="eastAsia" w:ascii="宋体" w:hAnsi="宋体" w:eastAsia="宋体" w:cs="Times New Roman"/>
                <w:szCs w:val="21"/>
              </w:rPr>
              <w:t>（5）梁漱溟的乡村教育思想</w:t>
            </w:r>
          </w:p>
        </w:tc>
        <w:tc>
          <w:tcPr>
            <w:tcW w:w="1065" w:type="dxa"/>
            <w:vAlign w:val="center"/>
          </w:tcPr>
          <w:p w14:paraId="1B4A72E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4568" w:type="dxa"/>
            <w:vAlign w:val="center"/>
          </w:tcPr>
          <w:p w14:paraId="12261D39">
            <w:pPr>
              <w:numPr>
                <w:ilvl w:val="0"/>
                <w:numId w:val="14"/>
              </w:numPr>
              <w:jc w:val="left"/>
              <w:rPr>
                <w:rFonts w:hint="eastAsia" w:ascii="宋体" w:hAnsi="宋体" w:eastAsia="宋体" w:cs="Times New Roman"/>
                <w:szCs w:val="21"/>
              </w:rPr>
            </w:pPr>
            <w:r>
              <w:rPr>
                <w:rFonts w:hint="eastAsia" w:ascii="宋体" w:hAnsi="宋体" w:eastAsia="宋体" w:cs="Times New Roman"/>
                <w:szCs w:val="21"/>
              </w:rPr>
              <w:t>了解陶行知的“生活教育”实践：正确认识晓庄学校、山海工学团、“小先生制”、育才学校的影响，掌握“生活教育”理论体系；</w:t>
            </w:r>
          </w:p>
          <w:p w14:paraId="5B3BD45E">
            <w:pPr>
              <w:numPr>
                <w:ilvl w:val="0"/>
                <w:numId w:val="14"/>
              </w:numPr>
              <w:jc w:val="left"/>
              <w:rPr>
                <w:rFonts w:hint="eastAsia" w:ascii="宋体" w:hAnsi="宋体" w:eastAsia="宋体" w:cs="Times New Roman"/>
                <w:szCs w:val="21"/>
              </w:rPr>
            </w:pPr>
            <w:r>
              <w:rPr>
                <w:rFonts w:hint="eastAsia" w:ascii="宋体" w:hAnsi="宋体" w:eastAsia="宋体" w:cs="Times New Roman"/>
                <w:szCs w:val="21"/>
              </w:rPr>
              <w:t>了解黄炎培对职业教育的探索；理解其提倡的“学校采用实用主义”，掌握其职业教育思想体系；</w:t>
            </w:r>
          </w:p>
          <w:p w14:paraId="214F10FD">
            <w:pPr>
              <w:numPr>
                <w:ilvl w:val="0"/>
                <w:numId w:val="14"/>
              </w:numPr>
              <w:jc w:val="left"/>
              <w:rPr>
                <w:rFonts w:hint="eastAsia" w:ascii="宋体" w:hAnsi="宋体" w:eastAsia="宋体" w:cs="Times New Roman"/>
                <w:szCs w:val="21"/>
              </w:rPr>
            </w:pPr>
            <w:r>
              <w:rPr>
                <w:rFonts w:hint="eastAsia" w:ascii="宋体" w:hAnsi="宋体" w:eastAsia="宋体" w:cs="Times New Roman"/>
                <w:szCs w:val="21"/>
              </w:rPr>
              <w:t>了解陈鹤琴幼儿教育和儿童教育探索及“活教育”实验，掌握“活教育”理论体系；</w:t>
            </w:r>
          </w:p>
          <w:p w14:paraId="714B7088">
            <w:pPr>
              <w:numPr>
                <w:ilvl w:val="0"/>
                <w:numId w:val="14"/>
              </w:numPr>
              <w:jc w:val="left"/>
              <w:rPr>
                <w:rFonts w:hint="eastAsia" w:ascii="宋体" w:hAnsi="宋体" w:eastAsia="宋体" w:cs="Times New Roman"/>
                <w:szCs w:val="21"/>
              </w:rPr>
            </w:pPr>
            <w:r>
              <w:rPr>
                <w:rFonts w:hint="eastAsia" w:ascii="宋体" w:hAnsi="宋体" w:eastAsia="宋体" w:cs="Times New Roman"/>
                <w:szCs w:val="21"/>
              </w:rPr>
              <w:t>了解晏阳初定县调查与对中国农村问题的分析，掌握“四大教育”“三大方式”“化农民”与“农民化”的相关主张；</w:t>
            </w:r>
          </w:p>
          <w:p w14:paraId="7628FB34">
            <w:pPr>
              <w:numPr>
                <w:ilvl w:val="0"/>
                <w:numId w:val="14"/>
              </w:numPr>
              <w:jc w:val="left"/>
              <w:rPr>
                <w:rFonts w:hint="eastAsia" w:ascii="宋体" w:hAnsi="宋体" w:eastAsia="宋体" w:cs="Times New Roman"/>
                <w:szCs w:val="21"/>
              </w:rPr>
            </w:pPr>
            <w:r>
              <w:rPr>
                <w:rFonts w:hint="eastAsia" w:ascii="宋体" w:hAnsi="宋体" w:eastAsia="宋体" w:cs="Times New Roman"/>
                <w:szCs w:val="21"/>
              </w:rPr>
              <w:t>掌握梁漱溟</w:t>
            </w:r>
            <w:r>
              <w:rPr>
                <w:rFonts w:ascii="宋体" w:hAnsi="宋体" w:eastAsia="宋体" w:cs="Times New Roman"/>
                <w:szCs w:val="21"/>
              </w:rPr>
              <w:t>乡村建设和乡村教育理论</w:t>
            </w:r>
            <w:r>
              <w:rPr>
                <w:rFonts w:hint="eastAsia" w:ascii="宋体" w:hAnsi="宋体" w:eastAsia="宋体" w:cs="Times New Roman"/>
                <w:szCs w:val="21"/>
              </w:rPr>
              <w:t>。</w:t>
            </w:r>
          </w:p>
        </w:tc>
        <w:tc>
          <w:tcPr>
            <w:tcW w:w="1297" w:type="dxa"/>
            <w:vAlign w:val="center"/>
          </w:tcPr>
          <w:p w14:paraId="1D39E604">
            <w:pPr>
              <w:jc w:val="left"/>
              <w:rPr>
                <w:rFonts w:hint="eastAsia" w:ascii="宋体" w:hAnsi="宋体" w:eastAsia="宋体" w:cs="Times New Roman"/>
                <w:szCs w:val="21"/>
              </w:rPr>
            </w:pPr>
            <w:r>
              <w:rPr>
                <w:rFonts w:ascii="宋体" w:hAnsi="宋体" w:eastAsia="宋体" w:cs="Times New Roman"/>
                <w:szCs w:val="21"/>
              </w:rPr>
              <w:t>1.线上学习</w:t>
            </w:r>
          </w:p>
          <w:p w14:paraId="5139DF20">
            <w:pPr>
              <w:jc w:val="left"/>
              <w:rPr>
                <w:rFonts w:hint="eastAsia" w:ascii="宋体" w:hAnsi="宋体" w:eastAsia="宋体" w:cs="Times New Roman"/>
                <w:szCs w:val="21"/>
              </w:rPr>
            </w:pPr>
            <w:r>
              <w:rPr>
                <w:rFonts w:ascii="宋体" w:hAnsi="宋体" w:eastAsia="宋体" w:cs="Times New Roman"/>
                <w:szCs w:val="21"/>
              </w:rPr>
              <w:t>2.多媒体教学</w:t>
            </w:r>
          </w:p>
          <w:p w14:paraId="3431A6E4">
            <w:pPr>
              <w:jc w:val="left"/>
              <w:rPr>
                <w:rFonts w:hint="eastAsia" w:ascii="宋体" w:hAnsi="宋体" w:eastAsia="宋体" w:cs="Times New Roman"/>
                <w:szCs w:val="21"/>
              </w:rPr>
            </w:pPr>
            <w:r>
              <w:rPr>
                <w:rFonts w:ascii="宋体" w:hAnsi="宋体" w:eastAsia="宋体" w:cs="Times New Roman"/>
                <w:szCs w:val="21"/>
              </w:rPr>
              <w:t>3.课堂讨论</w:t>
            </w:r>
          </w:p>
          <w:p w14:paraId="6FDC519E">
            <w:pPr>
              <w:jc w:val="left"/>
              <w:rPr>
                <w:rFonts w:hint="eastAsia" w:ascii="宋体" w:hAnsi="宋体" w:eastAsia="宋体" w:cs="Times New Roman"/>
                <w:szCs w:val="21"/>
              </w:rPr>
            </w:pPr>
            <w:r>
              <w:rPr>
                <w:rFonts w:ascii="宋体" w:hAnsi="宋体" w:eastAsia="宋体" w:cs="Times New Roman"/>
                <w:szCs w:val="21"/>
              </w:rPr>
              <w:t>4.单元测验</w:t>
            </w:r>
          </w:p>
        </w:tc>
        <w:tc>
          <w:tcPr>
            <w:tcW w:w="353" w:type="dxa"/>
            <w:vAlign w:val="center"/>
          </w:tcPr>
          <w:p w14:paraId="7233FD9A">
            <w:pPr>
              <w:jc w:val="center"/>
              <w:rPr>
                <w:rFonts w:hint="eastAsia" w:ascii="宋体" w:hAnsi="宋体" w:eastAsia="宋体" w:cs="Times New Roman"/>
                <w:szCs w:val="21"/>
              </w:rPr>
            </w:pPr>
            <w:r>
              <w:rPr>
                <w:rFonts w:hint="eastAsia" w:ascii="宋体" w:hAnsi="宋体" w:eastAsia="宋体" w:cs="Times New Roman"/>
                <w:szCs w:val="21"/>
              </w:rPr>
              <w:t>4</w:t>
            </w:r>
          </w:p>
        </w:tc>
      </w:tr>
      <w:tr w14:paraId="4CF2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vAlign w:val="center"/>
          </w:tcPr>
          <w:p w14:paraId="1ED50E2E">
            <w:pPr>
              <w:jc w:val="center"/>
              <w:rPr>
                <w:rFonts w:hint="eastAsia" w:ascii="宋体" w:hAnsi="宋体" w:eastAsia="宋体" w:cs="Times New Roman"/>
                <w:szCs w:val="21"/>
              </w:rPr>
            </w:pPr>
          </w:p>
        </w:tc>
        <w:tc>
          <w:tcPr>
            <w:tcW w:w="8805" w:type="dxa"/>
            <w:gridSpan w:val="5"/>
            <w:vAlign w:val="center"/>
          </w:tcPr>
          <w:p w14:paraId="6E8DB20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学习黄炎培、陈鹤琴、陶行知等教育家的教育思想及教育实践，树立教育情怀，坚定教育信念、文化自信，自觉以教育家为榜样，忠诚人民教育事业，进一步巩固专业思想，具有为了中华民族的复兴，为了培养全面发展的社会主义建设者和接班人投身小学教育事业的职业理想。</w:t>
            </w:r>
          </w:p>
        </w:tc>
      </w:tr>
    </w:tbl>
    <w:p w14:paraId="1A82D910">
      <w:pPr>
        <w:spacing w:before="62" w:beforeLines="20" w:after="62" w:afterLines="20" w:line="360" w:lineRule="auto"/>
        <w:jc w:val="left"/>
        <w:rPr>
          <w:rFonts w:ascii="Times New Roman" w:hAnsi="Times New Roman" w:eastAsia="宋体" w:cs="Times New Roman"/>
          <w:b/>
          <w:sz w:val="24"/>
        </w:rPr>
      </w:pPr>
      <w:bookmarkStart w:id="505" w:name="_Toc10338"/>
      <w:bookmarkStart w:id="506" w:name="_Toc8661"/>
      <w:bookmarkStart w:id="507" w:name="_Toc28031"/>
      <w:bookmarkStart w:id="508" w:name="_Toc31999"/>
      <w:bookmarkStart w:id="509" w:name="_Toc13048"/>
      <w:bookmarkStart w:id="510" w:name="_Toc11495"/>
      <w:bookmarkStart w:id="511" w:name="_Toc32310"/>
      <w:r>
        <w:rPr>
          <w:rFonts w:hint="eastAsia" w:ascii="Times New Roman" w:hAnsi="Times New Roman" w:eastAsia="宋体" w:cs="Times New Roman"/>
          <w:b/>
          <w:sz w:val="24"/>
        </w:rPr>
        <w:t>四、目标评价与成绩评定</w:t>
      </w:r>
      <w:bookmarkEnd w:id="505"/>
      <w:bookmarkEnd w:id="506"/>
      <w:bookmarkEnd w:id="507"/>
      <w:bookmarkEnd w:id="508"/>
      <w:bookmarkEnd w:id="509"/>
      <w:bookmarkEnd w:id="510"/>
      <w:bookmarkEnd w:id="511"/>
    </w:p>
    <w:p w14:paraId="28CDFCC0">
      <w:pPr>
        <w:spacing w:line="360" w:lineRule="auto"/>
        <w:ind w:firstLine="422" w:firstLineChars="200"/>
        <w:jc w:val="left"/>
        <w:outlineLvl w:val="1"/>
        <w:rPr>
          <w:rFonts w:ascii="Times New Roman" w:hAnsi="Times New Roman" w:eastAsia="宋体" w:cs="Times New Roman"/>
          <w:b/>
          <w:szCs w:val="21"/>
        </w:rPr>
      </w:pPr>
      <w:bookmarkStart w:id="512" w:name="_Toc31936"/>
      <w:r>
        <w:rPr>
          <w:rFonts w:hint="eastAsia" w:ascii="Times New Roman" w:hAnsi="Times New Roman" w:eastAsia="宋体" w:cs="Times New Roman"/>
          <w:b/>
          <w:szCs w:val="21"/>
        </w:rPr>
        <w:t>（一）课程目标评价方式</w:t>
      </w:r>
      <w:bookmarkEnd w:id="512"/>
    </w:p>
    <w:p w14:paraId="0166259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631"/>
        <w:gridCol w:w="1358"/>
        <w:gridCol w:w="1762"/>
        <w:gridCol w:w="1669"/>
        <w:gridCol w:w="1140"/>
      </w:tblGrid>
      <w:tr w14:paraId="361C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restart"/>
            <w:vAlign w:val="center"/>
          </w:tcPr>
          <w:p w14:paraId="46BD1BE0">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4"/>
            <w:vAlign w:val="center"/>
          </w:tcPr>
          <w:p w14:paraId="5FE32A2E">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28D608CB">
            <w:pPr>
              <w:jc w:val="center"/>
              <w:rPr>
                <w:rFonts w:hint="eastAsia" w:ascii="宋体" w:hAnsi="宋体" w:eastAsia="宋体" w:cs="Times New Roman"/>
                <w:szCs w:val="21"/>
              </w:rPr>
            </w:pPr>
            <w:r>
              <w:rPr>
                <w:rFonts w:hint="eastAsia" w:ascii="宋体" w:hAnsi="宋体" w:eastAsia="宋体" w:cs="Times New Roman"/>
                <w:szCs w:val="21"/>
              </w:rPr>
              <w:t>分值</w:t>
            </w:r>
          </w:p>
        </w:tc>
      </w:tr>
      <w:tr w14:paraId="52D6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continue"/>
            <w:vAlign w:val="center"/>
          </w:tcPr>
          <w:p w14:paraId="70B7948D">
            <w:pPr>
              <w:jc w:val="center"/>
              <w:rPr>
                <w:rFonts w:hint="eastAsia" w:ascii="宋体" w:hAnsi="宋体" w:eastAsia="宋体" w:cs="Times New Roman"/>
                <w:szCs w:val="21"/>
              </w:rPr>
            </w:pPr>
          </w:p>
        </w:tc>
        <w:tc>
          <w:tcPr>
            <w:tcW w:w="1631" w:type="dxa"/>
            <w:vAlign w:val="center"/>
          </w:tcPr>
          <w:p w14:paraId="4DCADCA8">
            <w:pPr>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358" w:type="dxa"/>
            <w:vAlign w:val="center"/>
          </w:tcPr>
          <w:p w14:paraId="7A80078C">
            <w:pPr>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762" w:type="dxa"/>
            <w:vAlign w:val="center"/>
          </w:tcPr>
          <w:p w14:paraId="1CAE82FE">
            <w:pPr>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1669" w:type="dxa"/>
            <w:vAlign w:val="center"/>
          </w:tcPr>
          <w:p w14:paraId="6DE40AEF">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140" w:type="dxa"/>
            <w:vMerge w:val="continue"/>
            <w:vAlign w:val="center"/>
          </w:tcPr>
          <w:p w14:paraId="608469A9">
            <w:pPr>
              <w:jc w:val="center"/>
              <w:rPr>
                <w:rFonts w:hint="eastAsia" w:ascii="宋体" w:hAnsi="宋体" w:eastAsia="宋体" w:cs="Times New Roman"/>
                <w:szCs w:val="21"/>
              </w:rPr>
            </w:pPr>
          </w:p>
        </w:tc>
      </w:tr>
      <w:tr w14:paraId="69972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039C13C8">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631" w:type="dxa"/>
            <w:vAlign w:val="center"/>
          </w:tcPr>
          <w:p w14:paraId="15AF9D2D">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58" w:type="dxa"/>
            <w:vAlign w:val="center"/>
          </w:tcPr>
          <w:p w14:paraId="0D2D7FB2">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2" w:type="dxa"/>
            <w:vAlign w:val="center"/>
          </w:tcPr>
          <w:p w14:paraId="258899EC">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69" w:type="dxa"/>
            <w:vAlign w:val="center"/>
          </w:tcPr>
          <w:p w14:paraId="0485A670">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164ED6E7">
            <w:pPr>
              <w:jc w:val="center"/>
              <w:rPr>
                <w:rFonts w:hint="eastAsia" w:ascii="宋体" w:hAnsi="宋体" w:eastAsia="宋体" w:cs="Times New Roman"/>
                <w:szCs w:val="21"/>
              </w:rPr>
            </w:pPr>
            <w:r>
              <w:rPr>
                <w:rFonts w:hint="eastAsia" w:ascii="宋体" w:hAnsi="宋体" w:eastAsia="宋体" w:cs="Times New Roman"/>
                <w:szCs w:val="21"/>
              </w:rPr>
              <w:t>30</w:t>
            </w:r>
          </w:p>
        </w:tc>
      </w:tr>
      <w:tr w14:paraId="7C75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670A9B43">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631" w:type="dxa"/>
            <w:vAlign w:val="center"/>
          </w:tcPr>
          <w:p w14:paraId="1CF340E5">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58" w:type="dxa"/>
            <w:vAlign w:val="center"/>
          </w:tcPr>
          <w:p w14:paraId="3B0D45B7">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2" w:type="dxa"/>
            <w:vAlign w:val="center"/>
          </w:tcPr>
          <w:p w14:paraId="073863FC">
            <w:pPr>
              <w:jc w:val="center"/>
              <w:rPr>
                <w:rFonts w:hint="eastAsia" w:ascii="宋体" w:hAnsi="宋体" w:eastAsia="宋体" w:cs="Times New Roman"/>
                <w:szCs w:val="21"/>
              </w:rPr>
            </w:pPr>
          </w:p>
        </w:tc>
        <w:tc>
          <w:tcPr>
            <w:tcW w:w="1669" w:type="dxa"/>
            <w:vAlign w:val="center"/>
          </w:tcPr>
          <w:p w14:paraId="1960809C">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26328DC8">
            <w:pPr>
              <w:jc w:val="center"/>
              <w:rPr>
                <w:rFonts w:hint="eastAsia" w:ascii="宋体" w:hAnsi="宋体" w:eastAsia="宋体" w:cs="Times New Roman"/>
                <w:szCs w:val="21"/>
              </w:rPr>
            </w:pPr>
            <w:r>
              <w:rPr>
                <w:rFonts w:hint="eastAsia" w:ascii="宋体" w:hAnsi="宋体" w:eastAsia="宋体" w:cs="Times New Roman"/>
                <w:szCs w:val="21"/>
              </w:rPr>
              <w:t>40</w:t>
            </w:r>
          </w:p>
        </w:tc>
      </w:tr>
      <w:tr w14:paraId="2537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53E3C401">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631" w:type="dxa"/>
            <w:vAlign w:val="center"/>
          </w:tcPr>
          <w:p w14:paraId="63E32F1B">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58" w:type="dxa"/>
            <w:vAlign w:val="center"/>
          </w:tcPr>
          <w:p w14:paraId="1D93095C">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2" w:type="dxa"/>
            <w:vAlign w:val="center"/>
          </w:tcPr>
          <w:p w14:paraId="2CDACD23">
            <w:pPr>
              <w:jc w:val="center"/>
              <w:rPr>
                <w:rFonts w:hint="eastAsia" w:ascii="宋体" w:hAnsi="宋体" w:eastAsia="宋体" w:cs="Times New Roman"/>
                <w:szCs w:val="21"/>
              </w:rPr>
            </w:pPr>
          </w:p>
        </w:tc>
        <w:tc>
          <w:tcPr>
            <w:tcW w:w="1669" w:type="dxa"/>
            <w:vAlign w:val="center"/>
          </w:tcPr>
          <w:p w14:paraId="60FC92D3">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5499A40F">
            <w:pPr>
              <w:jc w:val="center"/>
              <w:rPr>
                <w:rFonts w:hint="eastAsia" w:ascii="宋体" w:hAnsi="宋体" w:eastAsia="宋体" w:cs="Times New Roman"/>
                <w:szCs w:val="21"/>
              </w:rPr>
            </w:pPr>
            <w:r>
              <w:rPr>
                <w:rFonts w:hint="eastAsia" w:ascii="宋体" w:hAnsi="宋体" w:eastAsia="宋体" w:cs="Times New Roman"/>
                <w:szCs w:val="21"/>
              </w:rPr>
              <w:t>30</w:t>
            </w:r>
          </w:p>
        </w:tc>
      </w:tr>
      <w:tr w14:paraId="479D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64EE56D2">
            <w:pPr>
              <w:jc w:val="center"/>
              <w:rPr>
                <w:rFonts w:hint="eastAsia" w:ascii="宋体" w:hAnsi="宋体" w:eastAsia="宋体" w:cs="Times New Roman"/>
                <w:szCs w:val="21"/>
              </w:rPr>
            </w:pPr>
            <w:r>
              <w:rPr>
                <w:rFonts w:hint="eastAsia" w:ascii="宋体" w:hAnsi="宋体" w:eastAsia="宋体" w:cs="Times New Roman"/>
                <w:szCs w:val="21"/>
              </w:rPr>
              <w:t>合计</w:t>
            </w:r>
          </w:p>
        </w:tc>
        <w:tc>
          <w:tcPr>
            <w:tcW w:w="1631" w:type="dxa"/>
            <w:vAlign w:val="center"/>
          </w:tcPr>
          <w:p w14:paraId="268592E7">
            <w:pPr>
              <w:jc w:val="center"/>
              <w:rPr>
                <w:rFonts w:hint="eastAsia" w:ascii="宋体" w:hAnsi="宋体" w:eastAsia="宋体" w:cs="Times New Roman"/>
                <w:szCs w:val="21"/>
              </w:rPr>
            </w:pPr>
          </w:p>
        </w:tc>
        <w:tc>
          <w:tcPr>
            <w:tcW w:w="1358" w:type="dxa"/>
            <w:vAlign w:val="center"/>
          </w:tcPr>
          <w:p w14:paraId="6D616EDF">
            <w:pPr>
              <w:jc w:val="center"/>
              <w:rPr>
                <w:rFonts w:hint="eastAsia" w:ascii="宋体" w:hAnsi="宋体" w:eastAsia="宋体" w:cs="Times New Roman"/>
                <w:szCs w:val="21"/>
              </w:rPr>
            </w:pPr>
          </w:p>
        </w:tc>
        <w:tc>
          <w:tcPr>
            <w:tcW w:w="1762" w:type="dxa"/>
            <w:vAlign w:val="center"/>
          </w:tcPr>
          <w:p w14:paraId="4DE761BD">
            <w:pPr>
              <w:jc w:val="center"/>
              <w:rPr>
                <w:rFonts w:hint="eastAsia" w:ascii="宋体" w:hAnsi="宋体" w:eastAsia="宋体" w:cs="Times New Roman"/>
                <w:szCs w:val="21"/>
              </w:rPr>
            </w:pPr>
          </w:p>
        </w:tc>
        <w:tc>
          <w:tcPr>
            <w:tcW w:w="1669" w:type="dxa"/>
            <w:vAlign w:val="center"/>
          </w:tcPr>
          <w:p w14:paraId="409D6BE6">
            <w:pPr>
              <w:jc w:val="center"/>
              <w:rPr>
                <w:rFonts w:hint="eastAsia" w:ascii="宋体" w:hAnsi="宋体" w:eastAsia="宋体" w:cs="Times New Roman"/>
                <w:szCs w:val="21"/>
              </w:rPr>
            </w:pPr>
          </w:p>
        </w:tc>
        <w:tc>
          <w:tcPr>
            <w:tcW w:w="1140" w:type="dxa"/>
            <w:vAlign w:val="center"/>
          </w:tcPr>
          <w:p w14:paraId="72412108">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71B651A9">
      <w:pPr>
        <w:spacing w:before="156" w:beforeLines="50" w:line="360" w:lineRule="auto"/>
        <w:ind w:firstLine="422" w:firstLineChars="200"/>
        <w:jc w:val="left"/>
        <w:outlineLvl w:val="1"/>
        <w:rPr>
          <w:rFonts w:ascii="Times New Roman" w:hAnsi="Times New Roman" w:eastAsia="宋体" w:cs="Times New Roman"/>
          <w:b/>
          <w:szCs w:val="21"/>
        </w:rPr>
      </w:pPr>
      <w:bookmarkStart w:id="513" w:name="_Toc31071"/>
      <w:r>
        <w:rPr>
          <w:rFonts w:hint="eastAsia" w:ascii="Times New Roman" w:hAnsi="Times New Roman" w:eastAsia="宋体" w:cs="Times New Roman"/>
          <w:b/>
          <w:szCs w:val="21"/>
        </w:rPr>
        <w:t>（二）成绩评定细则</w:t>
      </w:r>
      <w:bookmarkEnd w:id="513"/>
    </w:p>
    <w:p w14:paraId="7A67BBE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51DA6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89F676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64EAAF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136" w:type="dxa"/>
            <w:vAlign w:val="center"/>
          </w:tcPr>
          <w:p w14:paraId="6301A9C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49B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23FE1A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7C00508">
            <w:pPr>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是对选士取士制度的评述；二是对先秦教育家某一思想或某一先秦教育家思想的评述；三是对近代某一教育家思想的评述。以小论文的形式完成，以规范性、逻辑性、创新性及整洁性为评分的主要依据。</w:t>
            </w:r>
          </w:p>
        </w:tc>
        <w:tc>
          <w:tcPr>
            <w:tcW w:w="1136" w:type="dxa"/>
            <w:vAlign w:val="center"/>
          </w:tcPr>
          <w:p w14:paraId="0C8DBD14">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72BC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A825282">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4A42FEE">
            <w:pPr>
              <w:widowControl/>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29CF63C0">
            <w:pPr>
              <w:widowControl/>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1136" w:type="dxa"/>
            <w:vAlign w:val="center"/>
          </w:tcPr>
          <w:p w14:paraId="14328FA0">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1B43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8CECC9A">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408C01B1">
            <w:pPr>
              <w:widowControl/>
              <w:jc w:val="left"/>
              <w:rPr>
                <w:rFonts w:hint="eastAsia" w:ascii="宋体" w:hAnsi="宋体" w:eastAsia="宋体" w:cs="宋体"/>
                <w:kern w:val="0"/>
                <w:szCs w:val="21"/>
                <w:lang w:bidi="ar"/>
              </w:rPr>
            </w:pPr>
            <w:r>
              <w:rPr>
                <w:rFonts w:hint="eastAsia" w:ascii="宋体" w:hAnsi="宋体" w:eastAsia="宋体" w:cs="宋体"/>
                <w:kern w:val="0"/>
                <w:szCs w:val="21"/>
                <w:lang w:bidi="ar"/>
              </w:rPr>
              <w:t>每单元在线上进行测验，主要考查基础知识和基本理论的掌握，以题目的正确率为得分依据。</w:t>
            </w:r>
          </w:p>
        </w:tc>
        <w:tc>
          <w:tcPr>
            <w:tcW w:w="1136" w:type="dxa"/>
            <w:vAlign w:val="center"/>
          </w:tcPr>
          <w:p w14:paraId="5629C3A8">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161F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9079EA1">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45D4EF1">
            <w:pPr>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对教育史实理解和掌握的题目占4</w:t>
            </w:r>
            <w:r>
              <w:rPr>
                <w:rFonts w:ascii="Times New Roman" w:hAnsi="Times New Roman" w:eastAsia="宋体" w:cs="Times New Roman"/>
                <w:szCs w:val="21"/>
              </w:rPr>
              <w:t>0</w:t>
            </w:r>
            <w:r>
              <w:rPr>
                <w:rFonts w:hint="eastAsia" w:ascii="Times New Roman" w:hAnsi="Times New Roman" w:eastAsia="宋体" w:cs="Times New Roman"/>
                <w:szCs w:val="21"/>
              </w:rPr>
              <w:t>%；考核学生理解和运用教育思想分析问题的题型占6</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1136" w:type="dxa"/>
            <w:vAlign w:val="center"/>
          </w:tcPr>
          <w:p w14:paraId="1AAA6632">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380B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0" w:type="auto"/>
            <w:vAlign w:val="center"/>
          </w:tcPr>
          <w:p w14:paraId="47550E3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50E91AC">
            <w:pPr>
              <w:jc w:val="left"/>
              <w:rPr>
                <w:rFonts w:ascii="Times New Roman" w:hAnsi="Times New Roman" w:eastAsia="宋体" w:cs="Times New Roman"/>
                <w:szCs w:val="21"/>
              </w:rPr>
            </w:pPr>
          </w:p>
        </w:tc>
        <w:tc>
          <w:tcPr>
            <w:tcW w:w="1136" w:type="dxa"/>
            <w:vAlign w:val="center"/>
          </w:tcPr>
          <w:p w14:paraId="3AF7307A">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E1E4A23">
      <w:pPr>
        <w:spacing w:line="360" w:lineRule="auto"/>
        <w:ind w:firstLine="422" w:firstLineChars="200"/>
        <w:jc w:val="left"/>
        <w:outlineLvl w:val="1"/>
        <w:rPr>
          <w:rFonts w:hint="eastAsia" w:ascii="宋体" w:hAnsi="宋体" w:eastAsia="宋体" w:cs="Times New Roman"/>
          <w:b/>
          <w:szCs w:val="21"/>
        </w:rPr>
      </w:pPr>
      <w:bookmarkStart w:id="514" w:name="_Toc2766"/>
      <w:r>
        <w:rPr>
          <w:rFonts w:hint="eastAsia" w:ascii="宋体" w:hAnsi="宋体" w:eastAsia="宋体" w:cs="Times New Roman"/>
          <w:b/>
          <w:szCs w:val="21"/>
        </w:rPr>
        <w:t>（三）课程目标达成度计算方法</w:t>
      </w:r>
      <w:bookmarkEnd w:id="514"/>
    </w:p>
    <w:p w14:paraId="5B0EF828">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852EF65">
      <w:pPr>
        <w:spacing w:line="360" w:lineRule="auto"/>
        <w:ind w:firstLine="482" w:firstLineChars="200"/>
        <w:jc w:val="left"/>
        <w:rPr>
          <w:rFonts w:ascii="Times New Roman" w:hAnsi="Times New Roman" w:eastAsia="宋体" w:cs="Times New Roman"/>
          <w:b/>
          <w:sz w:val="24"/>
        </w:rPr>
      </w:pPr>
      <w:r>
        <w:rPr>
          <w:rFonts w:ascii="Times New Roman" w:hAnsi="Times New Roman" w:eastAsia="宋体" w:cs="Times New Roman"/>
          <w:b/>
          <w:sz w:val="24"/>
        </w:rPr>
        <w:object>
          <v:shape id="_x0000_i1039" o:spt="75" type="#_x0000_t75" style="height:24.8pt;width:404.45pt;" o:ole="t" filled="f" o:preferrelative="t" stroked="f" coordsize="21600,21600">
            <v:path/>
            <v:fill on="f" focussize="0,0"/>
            <v:stroke on="f" joinstyle="miter"/>
            <v:imagedata r:id="rId12" o:title=""/>
            <o:lock v:ext="edit" aspectratio="t"/>
            <w10:wrap type="none"/>
            <w10:anchorlock/>
          </v:shape>
          <o:OLEObject Type="Embed" ProgID="Equation.3" ShapeID="_x0000_i1039" DrawAspect="Content" ObjectID="_1468075739" r:id="rId27">
            <o:LockedField>false</o:LockedField>
          </o:OLEObject>
        </w:object>
      </w:r>
      <w:bookmarkStart w:id="515" w:name="_Toc4050"/>
      <w:bookmarkStart w:id="516" w:name="_Toc1415"/>
      <w:bookmarkStart w:id="517" w:name="_Toc18292"/>
      <w:bookmarkStart w:id="518" w:name="_Toc1556"/>
      <w:bookmarkStart w:id="519" w:name="_Toc26748"/>
      <w:bookmarkStart w:id="520" w:name="_Toc1612"/>
      <w:bookmarkStart w:id="521" w:name="_Toc10836"/>
      <w:r>
        <w:rPr>
          <w:rFonts w:hint="eastAsia" w:ascii="Times New Roman" w:hAnsi="Times New Roman" w:eastAsia="宋体" w:cs="Times New Roman"/>
          <w:b/>
          <w:sz w:val="24"/>
        </w:rPr>
        <w:t>五、有关说明</w:t>
      </w:r>
      <w:bookmarkEnd w:id="515"/>
      <w:bookmarkEnd w:id="516"/>
      <w:bookmarkEnd w:id="517"/>
      <w:bookmarkEnd w:id="518"/>
      <w:bookmarkEnd w:id="519"/>
      <w:bookmarkEnd w:id="520"/>
      <w:bookmarkEnd w:id="521"/>
    </w:p>
    <w:p w14:paraId="50B6DFDD">
      <w:pPr>
        <w:spacing w:line="360" w:lineRule="auto"/>
        <w:ind w:firstLine="422" w:firstLineChars="200"/>
        <w:jc w:val="left"/>
        <w:outlineLvl w:val="1"/>
        <w:rPr>
          <w:rFonts w:ascii="Times New Roman" w:hAnsi="Times New Roman" w:eastAsia="宋体" w:cs="Times New Roman"/>
          <w:b/>
          <w:szCs w:val="21"/>
        </w:rPr>
      </w:pPr>
      <w:bookmarkStart w:id="522" w:name="_Toc10047"/>
      <w:r>
        <w:rPr>
          <w:rFonts w:hint="eastAsia" w:ascii="Times New Roman" w:hAnsi="Times New Roman" w:eastAsia="宋体" w:cs="Times New Roman"/>
          <w:b/>
          <w:szCs w:val="21"/>
        </w:rPr>
        <w:t>（一）持续改进</w:t>
      </w:r>
      <w:bookmarkEnd w:id="522"/>
    </w:p>
    <w:p w14:paraId="12B709E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130312D3">
      <w:pPr>
        <w:spacing w:line="360" w:lineRule="auto"/>
        <w:ind w:firstLine="422" w:firstLineChars="200"/>
        <w:jc w:val="left"/>
        <w:outlineLvl w:val="1"/>
        <w:rPr>
          <w:rFonts w:ascii="Times New Roman" w:hAnsi="Times New Roman" w:eastAsia="宋体" w:cs="Times New Roman"/>
          <w:b/>
          <w:szCs w:val="21"/>
        </w:rPr>
      </w:pPr>
      <w:bookmarkStart w:id="523" w:name="_Toc13882"/>
      <w:r>
        <w:rPr>
          <w:rFonts w:hint="eastAsia" w:ascii="Times New Roman" w:hAnsi="Times New Roman" w:eastAsia="宋体" w:cs="Times New Roman"/>
          <w:b/>
          <w:szCs w:val="21"/>
        </w:rPr>
        <w:t>（二）建议教材</w:t>
      </w:r>
      <w:bookmarkEnd w:id="523"/>
    </w:p>
    <w:p w14:paraId="77F5D575">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孙培青.</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中国教育史（第四版）.华东师范大学出版社，2</w:t>
      </w:r>
      <w:r>
        <w:rPr>
          <w:rFonts w:ascii="Times New Roman" w:hAnsi="Times New Roman" w:eastAsia="宋体" w:cs="Times New Roman"/>
          <w:bCs/>
          <w:szCs w:val="21"/>
        </w:rPr>
        <w:t>019</w:t>
      </w:r>
      <w:r>
        <w:rPr>
          <w:rFonts w:hint="eastAsia" w:ascii="Times New Roman" w:hAnsi="Times New Roman" w:eastAsia="宋体" w:cs="Times New Roman"/>
          <w:bCs/>
          <w:szCs w:val="21"/>
        </w:rPr>
        <w:t>.</w:t>
      </w:r>
    </w:p>
    <w:p w14:paraId="2D0ADB2C">
      <w:pPr>
        <w:spacing w:line="360" w:lineRule="auto"/>
        <w:ind w:firstLine="422" w:firstLineChars="200"/>
        <w:jc w:val="left"/>
        <w:outlineLvl w:val="1"/>
        <w:rPr>
          <w:rFonts w:ascii="Times New Roman" w:hAnsi="Times New Roman" w:eastAsia="宋体" w:cs="Times New Roman"/>
          <w:b/>
          <w:szCs w:val="21"/>
        </w:rPr>
      </w:pPr>
      <w:bookmarkStart w:id="524" w:name="_Toc28534"/>
      <w:r>
        <w:rPr>
          <w:rFonts w:hint="eastAsia" w:ascii="Times New Roman" w:hAnsi="Times New Roman" w:eastAsia="宋体" w:cs="Times New Roman"/>
          <w:b/>
          <w:szCs w:val="21"/>
        </w:rPr>
        <w:t>（三）参考书目</w:t>
      </w:r>
      <w:bookmarkEnd w:id="524"/>
    </w:p>
    <w:p w14:paraId="1486EF98">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1.王炳照等.简明中国教育史. 北京：北京师范大学出版社，2018.</w:t>
      </w:r>
    </w:p>
    <w:p w14:paraId="17A24E12">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2.孙培青.李国钧.中国教育思想史(第1-3卷).上海：华东师范大学出版社，1995.</w:t>
      </w:r>
    </w:p>
    <w:p w14:paraId="4899D6B0">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3.毛礼锐，沈灌群.中国教育通史(第1-6卷).济南：山东教育出版社，1985-1989.</w:t>
      </w:r>
    </w:p>
    <w:p w14:paraId="50CE0916">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4.王炳照，阎国华.中国教育思想通史(第1-8卷).长沙：湖南教育出版社，1994.</w:t>
      </w:r>
    </w:p>
    <w:p w14:paraId="0B3F6118">
      <w:pPr>
        <w:autoSpaceDE w:val="0"/>
        <w:autoSpaceDN w:val="0"/>
        <w:adjustRightInd w:val="0"/>
        <w:spacing w:line="360" w:lineRule="auto"/>
        <w:jc w:val="right"/>
        <w:rPr>
          <w:rFonts w:hint="eastAsia" w:ascii="宋体" w:hAnsi="宋体" w:eastAsia="宋体" w:cs="Times New Roman"/>
          <w:kern w:val="0"/>
          <w:sz w:val="24"/>
          <w:szCs w:val="21"/>
        </w:rPr>
      </w:pPr>
    </w:p>
    <w:p w14:paraId="197C8FDE">
      <w:pPr>
        <w:autoSpaceDE w:val="0"/>
        <w:autoSpaceDN w:val="0"/>
        <w:adjustRightInd w:val="0"/>
        <w:spacing w:line="360" w:lineRule="auto"/>
        <w:jc w:val="right"/>
        <w:rPr>
          <w:rFonts w:hint="eastAsia" w:ascii="宋体" w:hAnsi="宋体" w:eastAsia="宋体" w:cs="Times New Roman"/>
          <w:kern w:val="0"/>
          <w:sz w:val="24"/>
          <w:szCs w:val="21"/>
        </w:rPr>
      </w:pPr>
    </w:p>
    <w:p w14:paraId="5AA7E953">
      <w:pPr>
        <w:autoSpaceDE w:val="0"/>
        <w:autoSpaceDN w:val="0"/>
        <w:adjustRightInd w:val="0"/>
        <w:spacing w:line="360" w:lineRule="auto"/>
        <w:jc w:val="right"/>
        <w:rPr>
          <w:rFonts w:hint="eastAsia" w:ascii="宋体" w:hAnsi="宋体" w:eastAsia="宋体" w:cs="Times New Roman"/>
          <w:kern w:val="0"/>
          <w:szCs w:val="21"/>
        </w:rPr>
      </w:pPr>
      <w:r>
        <w:rPr>
          <w:rFonts w:ascii="宋体" w:hAnsi="宋体" w:eastAsia="宋体" w:cs="Times New Roman"/>
          <w:kern w:val="0"/>
          <w:szCs w:val="21"/>
        </w:rPr>
        <w:t>执笔人：</w:t>
      </w:r>
      <w:r>
        <w:rPr>
          <w:rFonts w:hint="eastAsia" w:ascii="宋体" w:hAnsi="宋体" w:eastAsia="宋体" w:cs="Times New Roman"/>
          <w:kern w:val="0"/>
          <w:szCs w:val="21"/>
        </w:rPr>
        <w:t>姚玉香</w:t>
      </w:r>
    </w:p>
    <w:p w14:paraId="76AEFF66">
      <w:pPr>
        <w:autoSpaceDE w:val="0"/>
        <w:autoSpaceDN w:val="0"/>
        <w:adjustRightInd w:val="0"/>
        <w:spacing w:line="360" w:lineRule="auto"/>
        <w:jc w:val="right"/>
        <w:rPr>
          <w:rFonts w:hint="eastAsia" w:ascii="宋体" w:hAnsi="宋体" w:eastAsia="宋体" w:cs="Times New Roman"/>
          <w:kern w:val="0"/>
          <w:szCs w:val="21"/>
        </w:rPr>
      </w:pPr>
      <w:r>
        <w:rPr>
          <w:rFonts w:hint="eastAsia" w:ascii="宋体" w:hAnsi="宋体" w:eastAsia="宋体" w:cs="Times New Roman"/>
          <w:kern w:val="0"/>
          <w:szCs w:val="21"/>
        </w:rPr>
        <w:t>审定人：王  健</w:t>
      </w:r>
    </w:p>
    <w:p w14:paraId="3288DBA0">
      <w:pPr>
        <w:autoSpaceDE w:val="0"/>
        <w:autoSpaceDN w:val="0"/>
        <w:adjustRightInd w:val="0"/>
        <w:spacing w:line="360" w:lineRule="auto"/>
        <w:jc w:val="right"/>
        <w:rPr>
          <w:rFonts w:hint="eastAsia" w:ascii="宋体" w:hAnsi="宋体" w:eastAsia="宋体" w:cs="Times New Roman"/>
          <w:kern w:val="0"/>
          <w:szCs w:val="21"/>
        </w:rPr>
      </w:pPr>
      <w:r>
        <w:rPr>
          <w:rFonts w:hint="eastAsia" w:ascii="宋体" w:hAnsi="宋体" w:eastAsia="宋体" w:cs="Times New Roman"/>
          <w:kern w:val="0"/>
          <w:szCs w:val="21"/>
        </w:rPr>
        <w:t>审批人：张志欣</w:t>
      </w:r>
    </w:p>
    <w:p w14:paraId="475E4E6F">
      <w:pPr>
        <w:jc w:val="right"/>
        <w:rPr>
          <w:rFonts w:hint="eastAsia" w:ascii="等线" w:hAnsi="等线" w:eastAsia="等线" w:cs="Times New Roman"/>
          <w:szCs w:val="21"/>
        </w:rPr>
      </w:pPr>
      <w:r>
        <w:rPr>
          <w:rFonts w:hint="eastAsia" w:ascii="宋体" w:hAnsi="宋体" w:eastAsia="宋体" w:cs="Times New Roman"/>
          <w:kern w:val="0"/>
          <w:szCs w:val="21"/>
        </w:rPr>
        <w:t>批准时间：2025年7月1日</w:t>
      </w:r>
    </w:p>
    <w:p w14:paraId="07F3D2D7">
      <w:pPr>
        <w:rPr>
          <w:rFonts w:ascii="Times New Roman" w:hAnsi="Times New Roman" w:eastAsia="宋体" w:cs="Times New Roman"/>
          <w:szCs w:val="21"/>
        </w:rPr>
      </w:pPr>
      <w:r>
        <w:rPr>
          <w:rFonts w:hint="eastAsia" w:ascii="Times New Roman" w:hAnsi="Times New Roman" w:eastAsia="宋体" w:cs="Times New Roman"/>
          <w:szCs w:val="21"/>
        </w:rPr>
        <w:br w:type="page"/>
      </w:r>
    </w:p>
    <w:p w14:paraId="2FEC45C4">
      <w:pPr>
        <w:spacing w:line="360" w:lineRule="auto"/>
        <w:jc w:val="center"/>
        <w:outlineLvl w:val="0"/>
        <w:rPr>
          <w:rFonts w:ascii="Times New Roman" w:hAnsi="Times New Roman" w:eastAsia="宋体" w:cs="Times New Roman"/>
          <w:b/>
          <w:sz w:val="44"/>
          <w:szCs w:val="44"/>
        </w:rPr>
      </w:pPr>
      <w:bookmarkStart w:id="525" w:name="_Toc57017173"/>
      <w:bookmarkStart w:id="526" w:name="_Toc31165"/>
      <w:bookmarkStart w:id="527" w:name="_Toc166164849"/>
      <w:bookmarkStart w:id="528" w:name="_Toc8143"/>
      <w:bookmarkStart w:id="529" w:name="_Toc15006"/>
      <w:bookmarkStart w:id="530" w:name="_Toc8040"/>
      <w:r>
        <w:rPr>
          <w:rFonts w:hint="eastAsia" w:ascii="Times New Roman" w:hAnsi="Times New Roman" w:eastAsia="宋体" w:cs="Times New Roman"/>
          <w:b/>
          <w:sz w:val="44"/>
          <w:szCs w:val="44"/>
        </w:rPr>
        <w:t>《外国教育史》课程与教学大纲</w:t>
      </w:r>
      <w:bookmarkEnd w:id="525"/>
      <w:bookmarkEnd w:id="526"/>
      <w:bookmarkEnd w:id="527"/>
      <w:bookmarkEnd w:id="528"/>
      <w:bookmarkEnd w:id="529"/>
      <w:bookmarkEnd w:id="530"/>
    </w:p>
    <w:p w14:paraId="163D4ADF">
      <w:pPr>
        <w:spacing w:line="360" w:lineRule="auto"/>
        <w:jc w:val="center"/>
        <w:rPr>
          <w:rFonts w:ascii="Times New Roman" w:hAnsi="Times New Roman" w:eastAsia="宋体" w:cs="Times New Roman"/>
          <w:b/>
          <w:bCs/>
          <w:sz w:val="28"/>
          <w:szCs w:val="28"/>
        </w:rPr>
      </w:pPr>
      <w:bookmarkStart w:id="531" w:name="_Toc30396"/>
      <w:bookmarkStart w:id="532" w:name="_Toc15844"/>
      <w:bookmarkStart w:id="533" w:name="_Toc4622"/>
      <w:bookmarkStart w:id="534" w:name="_Toc27865"/>
      <w:bookmarkStart w:id="535" w:name="_Toc13657"/>
      <w:bookmarkStart w:id="536" w:name="_Toc7886"/>
      <w:bookmarkStart w:id="537" w:name="_Toc20184"/>
      <w:r>
        <w:rPr>
          <w:rFonts w:ascii="Times New Roman" w:hAnsi="Times New Roman" w:eastAsia="宋体" w:cs="Times New Roman"/>
          <w:b/>
          <w:bCs/>
          <w:sz w:val="28"/>
          <w:szCs w:val="28"/>
        </w:rPr>
        <w:t>（History of Foreign Education）</w:t>
      </w:r>
      <w:bookmarkEnd w:id="531"/>
      <w:bookmarkEnd w:id="532"/>
      <w:bookmarkEnd w:id="533"/>
      <w:bookmarkEnd w:id="534"/>
      <w:bookmarkEnd w:id="535"/>
      <w:bookmarkEnd w:id="536"/>
      <w:bookmarkEnd w:id="537"/>
    </w:p>
    <w:p w14:paraId="486DF83F">
      <w:pPr>
        <w:spacing w:line="360" w:lineRule="auto"/>
        <w:rPr>
          <w:rFonts w:hint="eastAsia" w:ascii="宋体" w:hAnsi="宋体" w:eastAsia="宋体" w:cs="Times New Roman"/>
          <w:b/>
          <w:bCs/>
          <w:szCs w:val="21"/>
        </w:rPr>
      </w:pPr>
    </w:p>
    <w:p w14:paraId="3DD95B4F">
      <w:pPr>
        <w:spacing w:line="360" w:lineRule="auto"/>
        <w:ind w:firstLine="482" w:firstLineChars="200"/>
        <w:rPr>
          <w:rFonts w:hint="eastAsia" w:ascii="宋体" w:hAnsi="宋体" w:eastAsia="宋体" w:cs="Times New Roman"/>
          <w:b/>
          <w:bCs/>
          <w:sz w:val="24"/>
        </w:rPr>
      </w:pPr>
      <w:r>
        <w:rPr>
          <w:rFonts w:hint="eastAsia" w:ascii="宋体" w:hAnsi="宋体" w:eastAsia="宋体" w:cs="Times New Roman"/>
          <w:b/>
          <w:bCs/>
          <w:sz w:val="24"/>
        </w:rPr>
        <w:t>课程名称：外国教育史</w:t>
      </w:r>
    </w:p>
    <w:p w14:paraId="5690B80B">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课程代码：</w:t>
      </w:r>
      <w:r>
        <w:rPr>
          <w:rFonts w:ascii="宋体" w:hAnsi="宋体" w:eastAsia="宋体" w:cs="Times New Roman"/>
          <w:b/>
          <w:bCs/>
          <w:kern w:val="0"/>
          <w:sz w:val="24"/>
        </w:rPr>
        <w:t>2401007</w:t>
      </w:r>
    </w:p>
    <w:p w14:paraId="08F16FBE">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分：</w:t>
      </w:r>
      <w:r>
        <w:rPr>
          <w:rFonts w:ascii="宋体" w:hAnsi="宋体" w:eastAsia="宋体" w:cs="Times New Roman"/>
          <w:b/>
          <w:bCs/>
          <w:kern w:val="0"/>
          <w:sz w:val="24"/>
        </w:rPr>
        <w:t>2</w:t>
      </w:r>
    </w:p>
    <w:p w14:paraId="31587529">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时：</w:t>
      </w:r>
      <w:r>
        <w:rPr>
          <w:rFonts w:ascii="宋体" w:hAnsi="宋体" w:eastAsia="宋体" w:cs="Times New Roman"/>
          <w:b/>
          <w:bCs/>
          <w:kern w:val="0"/>
          <w:sz w:val="24"/>
        </w:rPr>
        <w:t>32</w:t>
      </w:r>
    </w:p>
    <w:p w14:paraId="29937505">
      <w:pPr>
        <w:spacing w:line="360" w:lineRule="auto"/>
        <w:ind w:firstLine="482" w:firstLineChars="200"/>
        <w:jc w:val="left"/>
        <w:rPr>
          <w:rFonts w:hint="eastAsia" w:ascii="宋体" w:hAnsi="宋体" w:eastAsia="宋体" w:cs="Times New Roman"/>
          <w:b/>
          <w:bCs/>
          <w:sz w:val="24"/>
        </w:rPr>
      </w:pPr>
      <w:r>
        <w:rPr>
          <w:rFonts w:hint="eastAsia" w:ascii="宋体" w:hAnsi="宋体" w:eastAsia="宋体" w:cs="Times New Roman"/>
          <w:b/>
          <w:bCs/>
          <w:kern w:val="0"/>
          <w:sz w:val="24"/>
        </w:rPr>
        <w:t>先修课程：</w:t>
      </w:r>
      <w:r>
        <w:rPr>
          <w:rFonts w:hint="eastAsia" w:ascii="宋体" w:hAnsi="宋体" w:eastAsia="宋体" w:cs="Times New Roman"/>
          <w:b/>
          <w:bCs/>
          <w:sz w:val="24"/>
        </w:rPr>
        <w:t>教育原理、中国教育史</w:t>
      </w:r>
    </w:p>
    <w:p w14:paraId="18FD1377">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适用专业：小学教育</w:t>
      </w:r>
    </w:p>
    <w:p w14:paraId="3FE07D1E">
      <w:pPr>
        <w:adjustRightInd w:val="0"/>
        <w:snapToGrid w:val="0"/>
        <w:spacing w:before="62" w:beforeLines="20" w:after="62" w:afterLines="20" w:line="360" w:lineRule="auto"/>
        <w:rPr>
          <w:rFonts w:hint="eastAsia" w:ascii="宋体" w:hAnsi="宋体" w:eastAsia="宋体" w:cs="Times New Roman"/>
          <w:b/>
          <w:sz w:val="24"/>
        </w:rPr>
      </w:pPr>
      <w:r>
        <w:rPr>
          <w:rFonts w:hint="eastAsia" w:ascii="宋体" w:hAnsi="宋体" w:eastAsia="宋体" w:cs="Times New Roman"/>
          <w:b/>
          <w:sz w:val="24"/>
        </w:rPr>
        <w:t>一、课程简介</w:t>
      </w:r>
    </w:p>
    <w:p w14:paraId="222CCD4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是小学教育本科专业教师教育类必修课程。课程的主要任务是通过梳理和介绍外国（主要是西方发达国家）的教育制度、教育实践发展历史进程以及主要教育家的教育思想，培养师范生正确的教育历史观、提升教师理论综合素养，提高其针对当今教育现象进行古今中外对比分析的意识和能力，从而形成对人类教育发展规律的历史性认识。</w:t>
      </w:r>
    </w:p>
    <w:p w14:paraId="2BCBED6B">
      <w:pPr>
        <w:adjustRightInd w:val="0"/>
        <w:snapToGrid w:val="0"/>
        <w:spacing w:before="62" w:beforeLines="20" w:after="62" w:afterLines="20" w:line="360" w:lineRule="auto"/>
        <w:rPr>
          <w:rFonts w:hint="eastAsia" w:ascii="宋体" w:hAnsi="宋体" w:eastAsia="宋体" w:cs="Times New Roman"/>
          <w:b/>
          <w:sz w:val="24"/>
        </w:rPr>
      </w:pPr>
      <w:bookmarkStart w:id="538" w:name="_Toc27847257"/>
      <w:bookmarkStart w:id="539" w:name="_Toc27846239"/>
      <w:r>
        <w:rPr>
          <w:rFonts w:hint="eastAsia" w:ascii="宋体" w:hAnsi="宋体" w:eastAsia="宋体" w:cs="Times New Roman"/>
          <w:b/>
          <w:sz w:val="24"/>
        </w:rPr>
        <w:t>二、课程目标</w:t>
      </w:r>
      <w:bookmarkEnd w:id="538"/>
      <w:bookmarkEnd w:id="539"/>
    </w:p>
    <w:p w14:paraId="495FE66E">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（一）课程具体目标</w:t>
      </w:r>
    </w:p>
    <w:p w14:paraId="7F17EB8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1.</w:t>
      </w:r>
      <w:r>
        <w:rPr>
          <w:rFonts w:hint="eastAsia" w:ascii="宋体" w:hAnsi="宋体" w:eastAsia="宋体" w:cs="Times New Roman"/>
          <w:szCs w:val="21"/>
        </w:rPr>
        <w:t>理解外国教育史的学科性质、研究对象、基本概念、基本方法论，建立外国教育史有关问题的批判分析意识和对比研究能力，牢固树立国家民族自豪感，增强中国文化自信。理解西方主要发达国家教育发展的进程和经验得失，掌握综合分析教育历史现象的能力。</w:t>
      </w:r>
    </w:p>
    <w:p w14:paraId="53B313D3">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目标2</w:t>
      </w:r>
      <w:r>
        <w:rPr>
          <w:rFonts w:ascii="宋体" w:hAnsi="宋体" w:eastAsia="宋体" w:cs="Times New Roman"/>
          <w:szCs w:val="21"/>
        </w:rPr>
        <w:t>.</w:t>
      </w:r>
      <w:r>
        <w:rPr>
          <w:rFonts w:hint="eastAsia" w:ascii="宋体" w:hAnsi="宋体" w:eastAsia="宋体" w:cs="Times New Roman"/>
          <w:szCs w:val="21"/>
        </w:rPr>
        <w:t>了解西方自古希腊以来教育发展的历史线索和相互继承关系，理解教育家的教育思想在人类教育发展中积极作用，逐步建立古为今用和洋为中用的解决问题意识。理解西方主要社会转折时期影响教育发展的诸多因素，正确使用历史的眼光分析当今世界教育发展的现状问题。</w:t>
      </w:r>
    </w:p>
    <w:p w14:paraId="180C5CA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目标3</w:t>
      </w:r>
      <w:r>
        <w:rPr>
          <w:rFonts w:ascii="宋体" w:hAnsi="宋体" w:eastAsia="宋体" w:cs="Times New Roman"/>
          <w:szCs w:val="21"/>
        </w:rPr>
        <w:t>.</w:t>
      </w:r>
      <w:r>
        <w:rPr>
          <w:rFonts w:hint="eastAsia" w:ascii="宋体" w:hAnsi="宋体" w:eastAsia="宋体" w:cs="Times New Roman"/>
          <w:szCs w:val="21"/>
        </w:rPr>
        <w:t>理解世界范围内的教育发展成就问题，掌握使用历史学方法分析和思考未来人类教育发展趋势问题。</w:t>
      </w:r>
    </w:p>
    <w:p w14:paraId="2D4AFB5C">
      <w:pPr>
        <w:numPr>
          <w:ilvl w:val="0"/>
          <w:numId w:val="15"/>
        </w:num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课程目标与专业毕业要求的关系</w:t>
      </w:r>
    </w:p>
    <w:p w14:paraId="3099D4F6">
      <w:pPr>
        <w:spacing w:line="360" w:lineRule="auto"/>
        <w:rPr>
          <w:rFonts w:hint="eastAsia" w:ascii="宋体" w:hAnsi="宋体" w:eastAsia="宋体" w:cs="宋体"/>
          <w:b/>
          <w:szCs w:val="21"/>
        </w:rPr>
      </w:pPr>
    </w:p>
    <w:p w14:paraId="188BA15C">
      <w:pPr>
        <w:spacing w:line="360" w:lineRule="auto"/>
        <w:rPr>
          <w:rFonts w:hint="eastAsia" w:ascii="宋体" w:hAnsi="宋体" w:eastAsia="宋体" w:cs="宋体"/>
          <w:b/>
          <w:szCs w:val="21"/>
        </w:rPr>
      </w:pPr>
    </w:p>
    <w:tbl>
      <w:tblPr>
        <w:tblStyle w:val="1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5700"/>
        <w:gridCol w:w="1630"/>
      </w:tblGrid>
      <w:tr w14:paraId="6D18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41" w:type="dxa"/>
            <w:vAlign w:val="center"/>
          </w:tcPr>
          <w:p w14:paraId="3FB9FE8B">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支撑的毕业要求</w:t>
            </w:r>
          </w:p>
        </w:tc>
        <w:tc>
          <w:tcPr>
            <w:tcW w:w="5700" w:type="dxa"/>
            <w:vAlign w:val="center"/>
          </w:tcPr>
          <w:p w14:paraId="5D66F635">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支撑的毕业要求指标点</w:t>
            </w:r>
          </w:p>
        </w:tc>
        <w:tc>
          <w:tcPr>
            <w:tcW w:w="1630" w:type="dxa"/>
            <w:vAlign w:val="center"/>
          </w:tcPr>
          <w:p w14:paraId="520035AE">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课程目标</w:t>
            </w:r>
          </w:p>
        </w:tc>
      </w:tr>
      <w:tr w14:paraId="119C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741" w:type="dxa"/>
            <w:vAlign w:val="center"/>
          </w:tcPr>
          <w:p w14:paraId="55690659">
            <w:pPr>
              <w:adjustRightInd w:val="0"/>
              <w:snapToGrid w:val="0"/>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毕业要求2.</w:t>
            </w:r>
          </w:p>
          <w:p w14:paraId="39256B36">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
                <w:bCs/>
                <w:kern w:val="0"/>
                <w:szCs w:val="21"/>
              </w:rPr>
              <w:t>教育情怀</w:t>
            </w:r>
          </w:p>
        </w:tc>
        <w:tc>
          <w:tcPr>
            <w:tcW w:w="5700" w:type="dxa"/>
            <w:vAlign w:val="center"/>
          </w:tcPr>
          <w:p w14:paraId="6B8EB927">
            <w:pPr>
              <w:adjustRightInd w:val="0"/>
              <w:snapToGrid w:val="0"/>
              <w:spacing w:line="276" w:lineRule="auto"/>
              <w:jc w:val="left"/>
              <w:rPr>
                <w:rFonts w:hint="eastAsia" w:ascii="宋体" w:hAnsi="宋体" w:eastAsia="宋体" w:cs="宋体"/>
                <w:kern w:val="0"/>
                <w:sz w:val="18"/>
                <w:szCs w:val="21"/>
              </w:rPr>
            </w:pPr>
            <w:r>
              <w:rPr>
                <w:rFonts w:hint="eastAsia" w:ascii="宋体" w:hAnsi="宋体" w:cs="宋体"/>
                <w:b/>
                <w:kern w:val="0"/>
                <w:szCs w:val="21"/>
              </w:rPr>
              <w:t>指标点2-1</w:t>
            </w:r>
            <w:r>
              <w:rPr>
                <w:rFonts w:hint="eastAsia" w:ascii="宋体" w:hAnsi="宋体" w:cs="宋体"/>
                <w:szCs w:val="21"/>
              </w:rPr>
              <w:t>：【职业认同感强】</w:t>
            </w:r>
            <w:r>
              <w:rPr>
                <w:rFonts w:hint="eastAsia" w:ascii="宋体" w:hAnsi="宋体" w:cs="宋体"/>
                <w:sz w:val="20"/>
                <w:szCs w:val="20"/>
              </w:rPr>
              <w:t>具有家国情怀，热爱教育事业，秉持“坚忍诚勇，立己达人”的师范精神，践行教育家精神，乐于从教，热爱教育事业，具有较高的教师职业认同感，认同教师职业的意义、价值与专业性。</w:t>
            </w:r>
          </w:p>
        </w:tc>
        <w:tc>
          <w:tcPr>
            <w:tcW w:w="1630" w:type="dxa"/>
            <w:vAlign w:val="center"/>
          </w:tcPr>
          <w:p w14:paraId="5D61F265">
            <w:pPr>
              <w:adjustRightInd w:val="0"/>
              <w:snapToGrid w:val="0"/>
              <w:spacing w:line="276" w:lineRule="auto"/>
              <w:jc w:val="center"/>
              <w:rPr>
                <w:rFonts w:hint="eastAsia" w:ascii="宋体" w:hAnsi="宋体" w:eastAsia="宋体" w:cs="宋体"/>
                <w:kern w:val="0"/>
                <w:sz w:val="20"/>
                <w:szCs w:val="20"/>
              </w:rPr>
            </w:pPr>
            <w:r>
              <w:rPr>
                <w:rFonts w:hint="eastAsia" w:ascii="宋体" w:hAnsi="宋体" w:eastAsia="宋体" w:cs="宋体"/>
                <w:bCs/>
                <w:szCs w:val="21"/>
              </w:rPr>
              <w:t>课程目标1</w:t>
            </w:r>
          </w:p>
        </w:tc>
      </w:tr>
      <w:tr w14:paraId="4ED6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741" w:type="dxa"/>
            <w:vAlign w:val="center"/>
          </w:tcPr>
          <w:p w14:paraId="4D8F26B2">
            <w:pPr>
              <w:adjustRightInd w:val="0"/>
              <w:snapToGrid w:val="0"/>
              <w:spacing w:line="276" w:lineRule="auto"/>
              <w:jc w:val="center"/>
              <w:rPr>
                <w:rFonts w:hint="eastAsia" w:ascii="宋体" w:hAnsi="宋体" w:eastAsia="宋体" w:cs="宋体"/>
                <w:b/>
                <w:bCs/>
                <w:spacing w:val="2"/>
                <w:kern w:val="0"/>
                <w:szCs w:val="21"/>
              </w:rPr>
            </w:pPr>
            <w:r>
              <w:rPr>
                <w:rFonts w:hint="eastAsia" w:ascii="宋体" w:hAnsi="宋体" w:eastAsia="宋体" w:cs="宋体"/>
                <w:b/>
                <w:bCs/>
                <w:spacing w:val="2"/>
                <w:kern w:val="0"/>
                <w:szCs w:val="21"/>
              </w:rPr>
              <w:t>毕业要求4.</w:t>
            </w:r>
          </w:p>
          <w:p w14:paraId="07CC575B">
            <w:pPr>
              <w:adjustRightInd w:val="0"/>
              <w:snapToGrid w:val="0"/>
              <w:spacing w:line="276" w:lineRule="auto"/>
              <w:jc w:val="center"/>
              <w:rPr>
                <w:rFonts w:hint="eastAsia" w:ascii="宋体" w:hAnsi="宋体" w:eastAsia="宋体" w:cs="宋体"/>
                <w:szCs w:val="21"/>
              </w:rPr>
            </w:pPr>
            <w:r>
              <w:rPr>
                <w:rFonts w:hint="eastAsia" w:ascii="宋体" w:hAnsi="宋体" w:eastAsia="宋体" w:cs="宋体"/>
                <w:b/>
                <w:bCs/>
                <w:spacing w:val="2"/>
                <w:kern w:val="0"/>
                <w:szCs w:val="21"/>
              </w:rPr>
              <w:t>教学能力</w:t>
            </w:r>
          </w:p>
        </w:tc>
        <w:tc>
          <w:tcPr>
            <w:tcW w:w="5700" w:type="dxa"/>
            <w:vAlign w:val="center"/>
          </w:tcPr>
          <w:p w14:paraId="453FE59F">
            <w:pPr>
              <w:adjustRightInd w:val="0"/>
              <w:snapToGrid w:val="0"/>
              <w:spacing w:line="276" w:lineRule="auto"/>
              <w:jc w:val="left"/>
              <w:rPr>
                <w:rFonts w:hint="eastAsia" w:ascii="宋体" w:hAnsi="宋体" w:eastAsia="宋体" w:cs="宋体"/>
                <w:szCs w:val="21"/>
              </w:rPr>
            </w:pPr>
            <w:r>
              <w:rPr>
                <w:rFonts w:hint="eastAsia" w:ascii="宋体" w:hAnsi="宋体" w:cs="宋体"/>
                <w:b/>
                <w:kern w:val="0"/>
                <w:szCs w:val="21"/>
              </w:rPr>
              <w:t>指标点4-1</w:t>
            </w:r>
            <w:r>
              <w:rPr>
                <w:rFonts w:hint="eastAsia" w:ascii="宋体" w:hAnsi="宋体" w:cs="宋体"/>
                <w:kern w:val="0"/>
                <w:szCs w:val="21"/>
              </w:rPr>
              <w:t>：</w:t>
            </w:r>
            <w:r>
              <w:rPr>
                <w:rFonts w:hint="eastAsia" w:ascii="宋体" w:hAnsi="宋体" w:cs="宋体"/>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630" w:type="dxa"/>
            <w:vAlign w:val="center"/>
          </w:tcPr>
          <w:p w14:paraId="3F58DB01">
            <w:pPr>
              <w:adjustRightInd w:val="0"/>
              <w:snapToGrid w:val="0"/>
              <w:spacing w:line="276" w:lineRule="auto"/>
              <w:jc w:val="center"/>
              <w:rPr>
                <w:rFonts w:hint="eastAsia" w:ascii="宋体" w:hAnsi="宋体" w:eastAsia="宋体" w:cs="宋体"/>
                <w:kern w:val="0"/>
                <w:sz w:val="20"/>
                <w:szCs w:val="20"/>
              </w:rPr>
            </w:pPr>
            <w:r>
              <w:rPr>
                <w:rFonts w:hint="eastAsia" w:ascii="宋体" w:hAnsi="宋体" w:eastAsia="宋体" w:cs="宋体"/>
                <w:szCs w:val="21"/>
              </w:rPr>
              <w:t>课程目标2</w:t>
            </w:r>
          </w:p>
        </w:tc>
      </w:tr>
      <w:tr w14:paraId="5D01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741" w:type="dxa"/>
            <w:vAlign w:val="center"/>
          </w:tcPr>
          <w:p w14:paraId="18A52B0A">
            <w:pPr>
              <w:adjustRightInd w:val="0"/>
              <w:snapToGrid w:val="0"/>
              <w:spacing w:line="276" w:lineRule="auto"/>
              <w:jc w:val="center"/>
              <w:rPr>
                <w:rFonts w:hint="eastAsia" w:ascii="宋体" w:hAnsi="宋体" w:eastAsia="宋体" w:cs="宋体"/>
                <w:b/>
                <w:bCs/>
                <w:spacing w:val="2"/>
                <w:kern w:val="0"/>
                <w:szCs w:val="21"/>
              </w:rPr>
            </w:pPr>
            <w:r>
              <w:rPr>
                <w:rFonts w:hint="eastAsia" w:ascii="宋体" w:hAnsi="宋体" w:eastAsia="宋体" w:cs="宋体"/>
                <w:b/>
                <w:bCs/>
                <w:kern w:val="0"/>
                <w:szCs w:val="21"/>
              </w:rPr>
              <w:t>毕业要求</w:t>
            </w:r>
            <w:r>
              <w:rPr>
                <w:rFonts w:hint="eastAsia" w:ascii="宋体" w:hAnsi="宋体" w:eastAsia="宋体" w:cs="宋体"/>
                <w:b/>
                <w:bCs/>
                <w:spacing w:val="2"/>
                <w:kern w:val="0"/>
                <w:szCs w:val="21"/>
              </w:rPr>
              <w:t>7.</w:t>
            </w:r>
          </w:p>
          <w:p w14:paraId="1370DAE1">
            <w:pPr>
              <w:adjustRightInd w:val="0"/>
              <w:snapToGrid w:val="0"/>
              <w:spacing w:line="276" w:lineRule="auto"/>
              <w:jc w:val="center"/>
              <w:rPr>
                <w:rFonts w:hint="eastAsia" w:ascii="宋体" w:hAnsi="宋体" w:eastAsia="宋体" w:cs="宋体"/>
                <w:szCs w:val="21"/>
              </w:rPr>
            </w:pPr>
            <w:r>
              <w:rPr>
                <w:rFonts w:hint="eastAsia" w:ascii="宋体" w:hAnsi="宋体" w:eastAsia="宋体" w:cs="宋体"/>
                <w:b/>
                <w:bCs/>
                <w:spacing w:val="2"/>
                <w:kern w:val="0"/>
                <w:szCs w:val="21"/>
              </w:rPr>
              <w:t>学会反思</w:t>
            </w:r>
          </w:p>
        </w:tc>
        <w:tc>
          <w:tcPr>
            <w:tcW w:w="5700" w:type="dxa"/>
            <w:vAlign w:val="center"/>
          </w:tcPr>
          <w:p w14:paraId="6B899EB6">
            <w:pPr>
              <w:adjustRightInd w:val="0"/>
              <w:snapToGrid w:val="0"/>
              <w:spacing w:line="276" w:lineRule="auto"/>
              <w:jc w:val="left"/>
              <w:rPr>
                <w:rFonts w:hint="eastAsia" w:ascii="宋体" w:hAnsi="宋体" w:cs="宋体"/>
                <w:sz w:val="20"/>
                <w:szCs w:val="20"/>
              </w:rPr>
            </w:pPr>
            <w:r>
              <w:rPr>
                <w:rFonts w:hint="eastAsia" w:ascii="宋体" w:hAnsi="宋体" w:cs="宋体"/>
                <w:b/>
                <w:kern w:val="0"/>
                <w:sz w:val="20"/>
                <w:szCs w:val="20"/>
              </w:rPr>
              <w:t>指标点7-1</w:t>
            </w:r>
            <w:r>
              <w:rPr>
                <w:rFonts w:hint="eastAsia" w:ascii="宋体" w:hAnsi="宋体" w:cs="宋体"/>
                <w:sz w:val="20"/>
                <w:szCs w:val="20"/>
              </w:rPr>
              <w:t>：【教育视野开阔】积极关注基础教育领域的国内外交流进展，了解国内外基础教育改革发展的动态，具有宽广的教育视野，能够主动适应新时代和教育发展需求。</w:t>
            </w:r>
          </w:p>
          <w:p w14:paraId="199A9612">
            <w:pPr>
              <w:adjustRightInd w:val="0"/>
              <w:snapToGrid w:val="0"/>
              <w:spacing w:line="276" w:lineRule="auto"/>
              <w:jc w:val="left"/>
              <w:rPr>
                <w:rFonts w:hint="eastAsia" w:ascii="宋体" w:hAnsi="宋体" w:eastAsia="宋体" w:cs="宋体"/>
                <w:szCs w:val="21"/>
              </w:rPr>
            </w:pPr>
            <w:r>
              <w:rPr>
                <w:rFonts w:hint="eastAsia" w:ascii="宋体" w:hAnsi="宋体" w:cs="宋体"/>
                <w:b/>
                <w:kern w:val="0"/>
                <w:sz w:val="20"/>
                <w:szCs w:val="20"/>
              </w:rPr>
              <w:t>指标点7-3</w:t>
            </w:r>
            <w:r>
              <w:rPr>
                <w:rFonts w:hint="eastAsia" w:ascii="宋体" w:hAnsi="宋体" w:cs="宋体"/>
                <w:sz w:val="20"/>
                <w:szCs w:val="20"/>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630" w:type="dxa"/>
            <w:vAlign w:val="center"/>
          </w:tcPr>
          <w:p w14:paraId="5A7BDE05">
            <w:pPr>
              <w:adjustRightInd w:val="0"/>
              <w:snapToGrid w:val="0"/>
              <w:spacing w:line="276" w:lineRule="auto"/>
              <w:jc w:val="center"/>
              <w:rPr>
                <w:rFonts w:hint="eastAsia" w:ascii="宋体" w:hAnsi="宋体" w:eastAsia="宋体" w:cs="宋体"/>
                <w:kern w:val="0"/>
                <w:sz w:val="20"/>
                <w:szCs w:val="20"/>
              </w:rPr>
            </w:pPr>
            <w:r>
              <w:rPr>
                <w:rFonts w:hint="eastAsia" w:ascii="宋体" w:hAnsi="宋体" w:eastAsia="宋体" w:cs="宋体"/>
                <w:szCs w:val="21"/>
              </w:rPr>
              <w:t>课程目标3</w:t>
            </w:r>
          </w:p>
        </w:tc>
      </w:tr>
    </w:tbl>
    <w:p w14:paraId="156C70C4">
      <w:pPr>
        <w:adjustRightInd w:val="0"/>
        <w:snapToGrid w:val="0"/>
        <w:spacing w:before="62" w:beforeLines="20" w:after="62" w:afterLines="20" w:line="360" w:lineRule="auto"/>
        <w:rPr>
          <w:rFonts w:hint="eastAsia" w:ascii="宋体" w:hAnsi="宋体" w:eastAsia="宋体" w:cs="Times New Roman"/>
          <w:b/>
          <w:sz w:val="24"/>
        </w:rPr>
      </w:pPr>
      <w:r>
        <w:rPr>
          <w:rFonts w:hint="eastAsia" w:ascii="宋体" w:hAnsi="宋体"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149"/>
        <w:gridCol w:w="1133"/>
        <w:gridCol w:w="2813"/>
        <w:gridCol w:w="1560"/>
        <w:gridCol w:w="438"/>
      </w:tblGrid>
      <w:tr w14:paraId="2CEFD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C2EBF74">
            <w:pPr>
              <w:jc w:val="center"/>
              <w:rPr>
                <w:rFonts w:hint="eastAsia" w:ascii="宋体" w:hAnsi="宋体" w:eastAsia="宋体" w:cs="Times New Roman"/>
                <w:b/>
                <w:szCs w:val="21"/>
              </w:rPr>
            </w:pPr>
            <w:r>
              <w:rPr>
                <w:rFonts w:hint="eastAsia" w:ascii="宋体" w:hAnsi="宋体" w:eastAsia="宋体" w:cs="Times New Roman"/>
                <w:b/>
                <w:szCs w:val="21"/>
              </w:rPr>
              <w:t>知识</w:t>
            </w:r>
          </w:p>
          <w:p w14:paraId="2873C472">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149" w:type="dxa"/>
            <w:vAlign w:val="center"/>
          </w:tcPr>
          <w:p w14:paraId="7C441444">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3" w:type="dxa"/>
            <w:vAlign w:val="center"/>
          </w:tcPr>
          <w:p w14:paraId="5ACA6026">
            <w:pPr>
              <w:jc w:val="center"/>
              <w:rPr>
                <w:rFonts w:hint="eastAsia" w:ascii="宋体" w:hAnsi="宋体" w:eastAsia="宋体" w:cs="Times New Roman"/>
                <w:b/>
                <w:szCs w:val="21"/>
              </w:rPr>
            </w:pPr>
            <w:r>
              <w:rPr>
                <w:rFonts w:hint="eastAsia" w:ascii="宋体" w:hAnsi="宋体" w:eastAsia="宋体" w:cs="Times New Roman"/>
                <w:b/>
                <w:szCs w:val="21"/>
              </w:rPr>
              <w:t>对应</w:t>
            </w:r>
          </w:p>
          <w:p w14:paraId="20D77DEE">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813" w:type="dxa"/>
            <w:vAlign w:val="center"/>
          </w:tcPr>
          <w:p w14:paraId="0606CB10">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4DA8CFBF">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6036AF4C">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BAB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8758DEF">
            <w:pPr>
              <w:spacing w:line="264" w:lineRule="auto"/>
              <w:jc w:val="center"/>
              <w:rPr>
                <w:rFonts w:hint="eastAsia" w:ascii="宋体" w:hAnsi="宋体" w:eastAsia="宋体" w:cs="Times New Roman"/>
                <w:szCs w:val="21"/>
              </w:rPr>
            </w:pPr>
            <w:r>
              <w:rPr>
                <w:rFonts w:hint="eastAsia" w:ascii="宋体" w:hAnsi="宋体" w:eastAsia="宋体" w:cs="Times New Roman"/>
                <w:szCs w:val="21"/>
              </w:rPr>
              <w:t>1.外国教育史概论</w:t>
            </w:r>
          </w:p>
        </w:tc>
        <w:tc>
          <w:tcPr>
            <w:tcW w:w="2149" w:type="dxa"/>
            <w:vAlign w:val="center"/>
          </w:tcPr>
          <w:p w14:paraId="20D2C10C">
            <w:pPr>
              <w:spacing w:line="269" w:lineRule="auto"/>
              <w:jc w:val="left"/>
              <w:rPr>
                <w:rFonts w:hint="eastAsia" w:ascii="宋体" w:hAnsi="宋体" w:eastAsia="宋体" w:cs="Times New Roman"/>
                <w:szCs w:val="21"/>
              </w:rPr>
            </w:pPr>
            <w:r>
              <w:rPr>
                <w:rFonts w:hint="eastAsia" w:ascii="宋体" w:hAnsi="宋体" w:eastAsia="宋体" w:cs="Times New Roman"/>
                <w:szCs w:val="21"/>
              </w:rPr>
              <w:t>（1）外国教育史课程分析</w:t>
            </w:r>
          </w:p>
          <w:p w14:paraId="5044BE2D">
            <w:pPr>
              <w:spacing w:line="269" w:lineRule="auto"/>
              <w:jc w:val="left"/>
              <w:rPr>
                <w:rFonts w:hint="eastAsia" w:ascii="宋体" w:hAnsi="宋体" w:eastAsia="宋体" w:cs="Times New Roman"/>
                <w:szCs w:val="21"/>
              </w:rPr>
            </w:pPr>
            <w:r>
              <w:rPr>
                <w:rFonts w:hint="eastAsia" w:ascii="宋体" w:hAnsi="宋体" w:eastAsia="宋体" w:cs="Times New Roman"/>
                <w:szCs w:val="21"/>
              </w:rPr>
              <w:t>（2）外国教育史的发展与研究现状</w:t>
            </w:r>
          </w:p>
          <w:p w14:paraId="7840B5DC">
            <w:pPr>
              <w:spacing w:line="269" w:lineRule="auto"/>
              <w:jc w:val="left"/>
              <w:rPr>
                <w:rFonts w:hint="eastAsia" w:ascii="宋体" w:hAnsi="宋体" w:eastAsia="宋体" w:cs="Times New Roman"/>
                <w:szCs w:val="21"/>
              </w:rPr>
            </w:pPr>
            <w:r>
              <w:rPr>
                <w:rFonts w:hint="eastAsia" w:ascii="宋体" w:hAnsi="宋体" w:eastAsia="宋体" w:cs="Times New Roman"/>
                <w:szCs w:val="21"/>
              </w:rPr>
              <w:t>（3）外国教育史的学科功能和学习要求</w:t>
            </w:r>
          </w:p>
        </w:tc>
        <w:tc>
          <w:tcPr>
            <w:tcW w:w="1133" w:type="dxa"/>
            <w:vAlign w:val="center"/>
          </w:tcPr>
          <w:p w14:paraId="658DC03E">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813" w:type="dxa"/>
            <w:vAlign w:val="center"/>
          </w:tcPr>
          <w:p w14:paraId="0A14E62A">
            <w:pPr>
              <w:spacing w:line="269" w:lineRule="auto"/>
              <w:jc w:val="left"/>
              <w:rPr>
                <w:rFonts w:hint="eastAsia" w:ascii="宋体" w:hAnsi="宋体" w:eastAsia="宋体" w:cs="Times New Roman"/>
                <w:szCs w:val="21"/>
              </w:rPr>
            </w:pPr>
            <w:r>
              <w:rPr>
                <w:rFonts w:hint="eastAsia" w:ascii="宋体" w:hAnsi="宋体" w:eastAsia="宋体" w:cs="Times New Roman"/>
                <w:szCs w:val="21"/>
              </w:rPr>
              <w:t>（1）了解外国教育史的学科性质、研究对象、学科功能和学习要求</w:t>
            </w:r>
          </w:p>
          <w:p w14:paraId="5ECE925A">
            <w:pPr>
              <w:spacing w:line="269" w:lineRule="auto"/>
              <w:jc w:val="left"/>
              <w:rPr>
                <w:rFonts w:hint="eastAsia" w:ascii="宋体" w:hAnsi="宋体" w:eastAsia="宋体" w:cs="Times New Roman"/>
                <w:szCs w:val="21"/>
              </w:rPr>
            </w:pPr>
            <w:r>
              <w:rPr>
                <w:rFonts w:hint="eastAsia" w:ascii="宋体" w:hAnsi="宋体" w:eastAsia="宋体" w:cs="Times New Roman"/>
                <w:szCs w:val="21"/>
              </w:rPr>
              <w:t>（2）理解外国教育史的内容脉络和研究现状</w:t>
            </w:r>
          </w:p>
          <w:p w14:paraId="35D17045">
            <w:pPr>
              <w:spacing w:line="269" w:lineRule="auto"/>
              <w:jc w:val="left"/>
              <w:rPr>
                <w:rFonts w:hint="eastAsia" w:ascii="宋体" w:hAnsi="宋体" w:eastAsia="宋体" w:cs="Times New Roman"/>
                <w:szCs w:val="21"/>
              </w:rPr>
            </w:pPr>
            <w:r>
              <w:rPr>
                <w:rFonts w:hint="eastAsia" w:ascii="宋体" w:hAnsi="宋体" w:eastAsia="宋体" w:cs="Times New Roman"/>
                <w:szCs w:val="21"/>
              </w:rPr>
              <w:t>（3）掌握外国教育史的研究视角和研究热点</w:t>
            </w:r>
          </w:p>
        </w:tc>
        <w:tc>
          <w:tcPr>
            <w:tcW w:w="1560" w:type="dxa"/>
            <w:vAlign w:val="center"/>
          </w:tcPr>
          <w:p w14:paraId="3ECCDE49">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54785A7B">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2833F0DC">
            <w:pPr>
              <w:spacing w:line="269"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2943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D17D231">
            <w:pPr>
              <w:spacing w:line="264" w:lineRule="auto"/>
              <w:jc w:val="center"/>
              <w:rPr>
                <w:rFonts w:hint="eastAsia" w:ascii="宋体" w:hAnsi="宋体" w:eastAsia="宋体" w:cs="Times New Roman"/>
                <w:szCs w:val="21"/>
              </w:rPr>
            </w:pPr>
          </w:p>
        </w:tc>
        <w:tc>
          <w:tcPr>
            <w:tcW w:w="8093" w:type="dxa"/>
            <w:gridSpan w:val="5"/>
            <w:vAlign w:val="center"/>
          </w:tcPr>
          <w:p w14:paraId="55E7660F">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通过本章内容学习，使师范生理解外国教育史在整个教育学科中的地位和学习意义，在中外教育史的学习对比中发现我国悠久历史文化中所积累的教育精华，增强民族自豪感和文化自信心。</w:t>
            </w:r>
          </w:p>
        </w:tc>
      </w:tr>
      <w:tr w14:paraId="170B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019422">
            <w:pPr>
              <w:spacing w:line="264" w:lineRule="auto"/>
              <w:jc w:val="center"/>
              <w:rPr>
                <w:rFonts w:hint="eastAsia" w:ascii="宋体" w:hAnsi="宋体" w:eastAsia="宋体" w:cs="Times New Roman"/>
                <w:szCs w:val="21"/>
              </w:rPr>
            </w:pPr>
            <w:r>
              <w:rPr>
                <w:rFonts w:hint="eastAsia" w:ascii="宋体" w:hAnsi="宋体" w:eastAsia="宋体" w:cs="Times New Roman"/>
                <w:szCs w:val="21"/>
              </w:rPr>
              <w:t>2.教育的起源与东方文明古国的教育</w:t>
            </w:r>
          </w:p>
        </w:tc>
        <w:tc>
          <w:tcPr>
            <w:tcW w:w="2149" w:type="dxa"/>
            <w:vAlign w:val="center"/>
          </w:tcPr>
          <w:p w14:paraId="3E9C8B68">
            <w:pPr>
              <w:spacing w:line="269" w:lineRule="auto"/>
              <w:jc w:val="left"/>
              <w:rPr>
                <w:rFonts w:hint="eastAsia" w:ascii="宋体" w:hAnsi="宋体" w:eastAsia="宋体" w:cs="Times New Roman"/>
                <w:szCs w:val="21"/>
              </w:rPr>
            </w:pPr>
            <w:r>
              <w:rPr>
                <w:rFonts w:hint="eastAsia" w:ascii="宋体" w:hAnsi="宋体" w:eastAsia="宋体" w:cs="Times New Roman"/>
                <w:szCs w:val="21"/>
              </w:rPr>
              <w:t>（1）教育的三种起源学说</w:t>
            </w:r>
          </w:p>
          <w:p w14:paraId="169CF152">
            <w:pPr>
              <w:spacing w:line="269" w:lineRule="auto"/>
              <w:jc w:val="left"/>
              <w:rPr>
                <w:rFonts w:hint="eastAsia" w:ascii="宋体" w:hAnsi="宋体" w:eastAsia="宋体" w:cs="Times New Roman"/>
                <w:szCs w:val="21"/>
              </w:rPr>
            </w:pPr>
            <w:r>
              <w:rPr>
                <w:rFonts w:hint="eastAsia" w:ascii="宋体" w:hAnsi="宋体" w:eastAsia="宋体" w:cs="Times New Roman"/>
                <w:szCs w:val="21"/>
              </w:rPr>
              <w:t>（2）原始社会的教育</w:t>
            </w:r>
          </w:p>
          <w:p w14:paraId="1DE296C8">
            <w:pPr>
              <w:spacing w:line="269" w:lineRule="auto"/>
              <w:jc w:val="left"/>
              <w:rPr>
                <w:rFonts w:hint="eastAsia" w:ascii="宋体" w:hAnsi="宋体" w:eastAsia="宋体" w:cs="Times New Roman"/>
                <w:szCs w:val="21"/>
              </w:rPr>
            </w:pPr>
            <w:r>
              <w:rPr>
                <w:rFonts w:hint="eastAsia" w:ascii="宋体" w:hAnsi="宋体" w:eastAsia="宋体" w:cs="Times New Roman"/>
                <w:szCs w:val="21"/>
              </w:rPr>
              <w:t>（3）古巴比伦、古埃及、古印度、古希伯来的教育</w:t>
            </w:r>
          </w:p>
        </w:tc>
        <w:tc>
          <w:tcPr>
            <w:tcW w:w="1133" w:type="dxa"/>
            <w:vAlign w:val="center"/>
          </w:tcPr>
          <w:p w14:paraId="18BF2EC8">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813" w:type="dxa"/>
            <w:vAlign w:val="center"/>
          </w:tcPr>
          <w:p w14:paraId="79726401">
            <w:pPr>
              <w:spacing w:line="269" w:lineRule="auto"/>
              <w:jc w:val="left"/>
              <w:rPr>
                <w:rFonts w:hint="eastAsia" w:ascii="宋体" w:hAnsi="宋体" w:eastAsia="宋体" w:cs="Times New Roman"/>
                <w:szCs w:val="21"/>
              </w:rPr>
            </w:pPr>
            <w:r>
              <w:rPr>
                <w:rFonts w:hint="eastAsia" w:ascii="宋体" w:hAnsi="宋体" w:eastAsia="宋体" w:cs="Times New Roman"/>
                <w:szCs w:val="21"/>
              </w:rPr>
              <w:t>（1）了解教育起源的主要观点</w:t>
            </w:r>
          </w:p>
          <w:p w14:paraId="347360CB">
            <w:pPr>
              <w:spacing w:line="269" w:lineRule="auto"/>
              <w:jc w:val="left"/>
              <w:rPr>
                <w:rFonts w:hint="eastAsia" w:ascii="宋体" w:hAnsi="宋体" w:eastAsia="宋体" w:cs="Times New Roman"/>
                <w:szCs w:val="21"/>
              </w:rPr>
            </w:pPr>
            <w:r>
              <w:rPr>
                <w:rFonts w:hint="eastAsia" w:ascii="宋体" w:hAnsi="宋体" w:eastAsia="宋体" w:cs="Times New Roman"/>
                <w:szCs w:val="21"/>
              </w:rPr>
              <w:t>（2）理解原始社会教育的特点</w:t>
            </w:r>
          </w:p>
          <w:p w14:paraId="49550AE9">
            <w:pPr>
              <w:spacing w:line="269" w:lineRule="auto"/>
              <w:jc w:val="left"/>
              <w:rPr>
                <w:rFonts w:hint="eastAsia" w:ascii="宋体" w:hAnsi="宋体" w:eastAsia="宋体" w:cs="Times New Roman"/>
                <w:szCs w:val="21"/>
              </w:rPr>
            </w:pPr>
            <w:r>
              <w:rPr>
                <w:rFonts w:hint="eastAsia" w:ascii="宋体" w:hAnsi="宋体" w:eastAsia="宋体" w:cs="Times New Roman"/>
                <w:szCs w:val="21"/>
              </w:rPr>
              <w:t>（3）掌握古巴比伦、古埃及和古印度教育的基本特征</w:t>
            </w:r>
          </w:p>
        </w:tc>
        <w:tc>
          <w:tcPr>
            <w:tcW w:w="1560" w:type="dxa"/>
            <w:vAlign w:val="center"/>
          </w:tcPr>
          <w:p w14:paraId="5E906B34">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656D8C92">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tc>
        <w:tc>
          <w:tcPr>
            <w:tcW w:w="438" w:type="dxa"/>
            <w:vAlign w:val="center"/>
          </w:tcPr>
          <w:p w14:paraId="36B69F59">
            <w:pPr>
              <w:spacing w:line="269"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13B9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88DE2E">
            <w:pPr>
              <w:spacing w:line="264" w:lineRule="auto"/>
              <w:jc w:val="center"/>
              <w:rPr>
                <w:rFonts w:hint="eastAsia" w:ascii="宋体" w:hAnsi="宋体" w:eastAsia="宋体" w:cs="Times New Roman"/>
                <w:szCs w:val="21"/>
              </w:rPr>
            </w:pPr>
          </w:p>
        </w:tc>
        <w:tc>
          <w:tcPr>
            <w:tcW w:w="8093" w:type="dxa"/>
            <w:gridSpan w:val="5"/>
            <w:vAlign w:val="center"/>
          </w:tcPr>
          <w:p w14:paraId="69C05CE8">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通过本章内容学习，了解域外三大文明古国灿烂的教育文明，并通过对比发现我国古代教育文明的优越性，不断加强人类命运共同体概念的理解，并运用马克思主义的基本哲学思想分析人类文明的发展变化。</w:t>
            </w:r>
          </w:p>
        </w:tc>
      </w:tr>
      <w:tr w14:paraId="1879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4467BC">
            <w:pPr>
              <w:spacing w:line="264" w:lineRule="auto"/>
              <w:jc w:val="center"/>
              <w:rPr>
                <w:rFonts w:hint="eastAsia" w:ascii="宋体" w:hAnsi="宋体" w:eastAsia="宋体" w:cs="Times New Roman"/>
                <w:szCs w:val="21"/>
              </w:rPr>
            </w:pPr>
            <w:r>
              <w:rPr>
                <w:rFonts w:hint="eastAsia" w:ascii="宋体" w:hAnsi="宋体" w:eastAsia="宋体" w:cs="Times New Roman"/>
                <w:szCs w:val="21"/>
              </w:rPr>
              <w:t>3.古希腊的教育和古罗马的教育</w:t>
            </w:r>
          </w:p>
        </w:tc>
        <w:tc>
          <w:tcPr>
            <w:tcW w:w="2149" w:type="dxa"/>
            <w:vAlign w:val="center"/>
          </w:tcPr>
          <w:p w14:paraId="614C65AC">
            <w:pPr>
              <w:spacing w:line="269" w:lineRule="auto"/>
              <w:jc w:val="left"/>
              <w:rPr>
                <w:rFonts w:hint="eastAsia" w:ascii="宋体" w:hAnsi="宋体" w:eastAsia="宋体" w:cs="Times New Roman"/>
                <w:szCs w:val="21"/>
              </w:rPr>
            </w:pPr>
            <w:r>
              <w:rPr>
                <w:rFonts w:hint="eastAsia" w:ascii="宋体" w:hAnsi="宋体" w:eastAsia="宋体" w:cs="Times New Roman"/>
                <w:szCs w:val="21"/>
              </w:rPr>
              <w:t>（1）古希腊教育的分期、斯巴达和雅典的城邦教育</w:t>
            </w:r>
          </w:p>
          <w:p w14:paraId="4AE5512C">
            <w:pPr>
              <w:spacing w:line="269" w:lineRule="auto"/>
              <w:jc w:val="left"/>
              <w:rPr>
                <w:rFonts w:hint="eastAsia" w:ascii="宋体" w:hAnsi="宋体" w:eastAsia="宋体" w:cs="Times New Roman"/>
                <w:szCs w:val="21"/>
              </w:rPr>
            </w:pPr>
            <w:r>
              <w:rPr>
                <w:rFonts w:hint="eastAsia" w:ascii="宋体" w:hAnsi="宋体" w:eastAsia="宋体" w:cs="Times New Roman"/>
                <w:szCs w:val="21"/>
              </w:rPr>
              <w:t>（2）苏格拉底、柏拉图、亚里士多德、昆体良的教育思想</w:t>
            </w:r>
          </w:p>
          <w:p w14:paraId="5A67EF15">
            <w:pPr>
              <w:spacing w:line="269" w:lineRule="auto"/>
              <w:jc w:val="left"/>
              <w:rPr>
                <w:rFonts w:hint="eastAsia" w:ascii="宋体" w:hAnsi="宋体" w:eastAsia="宋体" w:cs="Times New Roman"/>
                <w:szCs w:val="21"/>
              </w:rPr>
            </w:pPr>
            <w:r>
              <w:rPr>
                <w:rFonts w:hint="eastAsia" w:ascii="宋体" w:hAnsi="宋体" w:eastAsia="宋体" w:cs="Times New Roman"/>
                <w:szCs w:val="21"/>
              </w:rPr>
              <w:t>（3）古罗马的教育</w:t>
            </w:r>
          </w:p>
        </w:tc>
        <w:tc>
          <w:tcPr>
            <w:tcW w:w="1133" w:type="dxa"/>
            <w:vAlign w:val="center"/>
          </w:tcPr>
          <w:p w14:paraId="604BDA42">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813" w:type="dxa"/>
            <w:vAlign w:val="center"/>
          </w:tcPr>
          <w:p w14:paraId="590109D1">
            <w:pPr>
              <w:spacing w:line="269" w:lineRule="auto"/>
              <w:jc w:val="left"/>
              <w:rPr>
                <w:rFonts w:hint="eastAsia" w:ascii="宋体" w:hAnsi="宋体" w:eastAsia="宋体" w:cs="Times New Roman"/>
                <w:szCs w:val="21"/>
              </w:rPr>
            </w:pPr>
            <w:r>
              <w:rPr>
                <w:rFonts w:hint="eastAsia" w:ascii="宋体" w:hAnsi="宋体" w:eastAsia="宋体" w:cs="Times New Roman"/>
                <w:szCs w:val="21"/>
              </w:rPr>
              <w:t>（1）了解古希腊教育的主要分期及主要成就、古罗马教育概况</w:t>
            </w:r>
          </w:p>
          <w:p w14:paraId="17E269B9">
            <w:pPr>
              <w:spacing w:line="269" w:lineRule="auto"/>
              <w:jc w:val="left"/>
              <w:rPr>
                <w:rFonts w:hint="eastAsia" w:ascii="宋体" w:hAnsi="宋体" w:eastAsia="宋体" w:cs="Times New Roman"/>
                <w:szCs w:val="21"/>
              </w:rPr>
            </w:pPr>
            <w:r>
              <w:rPr>
                <w:rFonts w:hint="eastAsia" w:ascii="宋体" w:hAnsi="宋体" w:eastAsia="宋体" w:cs="Times New Roman"/>
                <w:szCs w:val="21"/>
              </w:rPr>
              <w:t>（2）理解斯巴达和雅典教育的区别</w:t>
            </w:r>
          </w:p>
          <w:p w14:paraId="63FEAD08">
            <w:pPr>
              <w:spacing w:line="269" w:lineRule="auto"/>
              <w:jc w:val="left"/>
              <w:rPr>
                <w:rFonts w:hint="eastAsia" w:ascii="宋体" w:hAnsi="宋体" w:eastAsia="宋体" w:cs="Times New Roman"/>
                <w:szCs w:val="21"/>
              </w:rPr>
            </w:pPr>
            <w:r>
              <w:rPr>
                <w:rFonts w:hint="eastAsia" w:ascii="宋体" w:hAnsi="宋体" w:eastAsia="宋体" w:cs="Times New Roman"/>
                <w:szCs w:val="21"/>
              </w:rPr>
              <w:t>（3）掌握四个教育家的教育思想及其现代意义</w:t>
            </w:r>
          </w:p>
        </w:tc>
        <w:tc>
          <w:tcPr>
            <w:tcW w:w="1560" w:type="dxa"/>
            <w:vAlign w:val="center"/>
          </w:tcPr>
          <w:p w14:paraId="3C40E90B">
            <w:pPr>
              <w:spacing w:line="269" w:lineRule="auto"/>
              <w:jc w:val="left"/>
              <w:rPr>
                <w:rFonts w:hint="eastAsia" w:ascii="宋体" w:hAnsi="宋体" w:eastAsia="宋体" w:cs="Times New Roman"/>
                <w:szCs w:val="21"/>
              </w:rPr>
            </w:pPr>
            <w:r>
              <w:rPr>
                <w:rFonts w:ascii="宋体" w:hAnsi="宋体" w:eastAsia="宋体" w:cs="Times New Roman"/>
                <w:szCs w:val="21"/>
              </w:rPr>
              <w:t>1.线上学习</w:t>
            </w:r>
          </w:p>
          <w:p w14:paraId="21391C5F">
            <w:pPr>
              <w:spacing w:line="269"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27022608">
            <w:pPr>
              <w:spacing w:line="269"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00A0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0C4BCDF">
            <w:pPr>
              <w:spacing w:line="264" w:lineRule="auto"/>
              <w:jc w:val="center"/>
              <w:rPr>
                <w:rFonts w:hint="eastAsia" w:ascii="宋体" w:hAnsi="宋体" w:eastAsia="宋体" w:cs="Times New Roman"/>
                <w:szCs w:val="21"/>
              </w:rPr>
            </w:pPr>
          </w:p>
        </w:tc>
        <w:tc>
          <w:tcPr>
            <w:tcW w:w="8093" w:type="dxa"/>
            <w:gridSpan w:val="5"/>
            <w:vAlign w:val="center"/>
          </w:tcPr>
          <w:p w14:paraId="668E6AB6">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通过本章内容学习，使学生了解古代希腊和罗马曾经出现过的伟大教育文明成就，运用历史唯物主义的辩证思维看待今天的希腊和罗马现状，树立不厚古薄今的正确态度。</w:t>
            </w:r>
          </w:p>
        </w:tc>
      </w:tr>
      <w:tr w14:paraId="5DA8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F5AAFB1">
            <w:pPr>
              <w:spacing w:line="276" w:lineRule="auto"/>
              <w:jc w:val="center"/>
              <w:rPr>
                <w:rFonts w:hint="eastAsia" w:ascii="宋体" w:hAnsi="宋体" w:eastAsia="宋体" w:cs="Times New Roman"/>
                <w:szCs w:val="21"/>
              </w:rPr>
            </w:pPr>
            <w:r>
              <w:rPr>
                <w:rFonts w:hint="eastAsia" w:ascii="宋体" w:hAnsi="宋体" w:eastAsia="宋体" w:cs="Times New Roman"/>
                <w:szCs w:val="21"/>
              </w:rPr>
              <w:t>4.中世纪时期西欧的教育</w:t>
            </w:r>
          </w:p>
        </w:tc>
        <w:tc>
          <w:tcPr>
            <w:tcW w:w="2149" w:type="dxa"/>
            <w:vAlign w:val="center"/>
          </w:tcPr>
          <w:p w14:paraId="4512E8A7">
            <w:pPr>
              <w:spacing w:line="276" w:lineRule="auto"/>
              <w:jc w:val="left"/>
              <w:rPr>
                <w:rFonts w:hint="eastAsia" w:ascii="宋体" w:hAnsi="宋体" w:eastAsia="宋体" w:cs="Times New Roman"/>
                <w:szCs w:val="21"/>
              </w:rPr>
            </w:pPr>
            <w:r>
              <w:rPr>
                <w:rFonts w:hint="eastAsia" w:ascii="宋体" w:hAnsi="宋体" w:eastAsia="宋体" w:cs="Times New Roman"/>
                <w:szCs w:val="21"/>
              </w:rPr>
              <w:t>（1）基督教的产生及其对中世纪的影响</w:t>
            </w:r>
          </w:p>
          <w:p w14:paraId="01741B5C">
            <w:pPr>
              <w:spacing w:line="276" w:lineRule="auto"/>
              <w:jc w:val="left"/>
              <w:rPr>
                <w:rFonts w:hint="eastAsia" w:ascii="宋体" w:hAnsi="宋体" w:eastAsia="宋体" w:cs="Times New Roman"/>
                <w:szCs w:val="21"/>
              </w:rPr>
            </w:pPr>
            <w:r>
              <w:rPr>
                <w:rFonts w:hint="eastAsia" w:ascii="宋体" w:hAnsi="宋体" w:eastAsia="宋体" w:cs="Times New Roman"/>
                <w:szCs w:val="21"/>
              </w:rPr>
              <w:t>（2）骑士教育的产生及其特点</w:t>
            </w:r>
          </w:p>
          <w:p w14:paraId="5E4A5B8E">
            <w:pPr>
              <w:spacing w:line="276" w:lineRule="auto"/>
              <w:jc w:val="left"/>
              <w:rPr>
                <w:rFonts w:hint="eastAsia" w:ascii="宋体" w:hAnsi="宋体" w:eastAsia="宋体" w:cs="Times New Roman"/>
                <w:szCs w:val="21"/>
              </w:rPr>
            </w:pPr>
            <w:r>
              <w:rPr>
                <w:rFonts w:hint="eastAsia" w:ascii="宋体" w:hAnsi="宋体" w:eastAsia="宋体" w:cs="Times New Roman"/>
                <w:szCs w:val="21"/>
              </w:rPr>
              <w:t>（3）中世纪大学的产生及影响</w:t>
            </w:r>
          </w:p>
        </w:tc>
        <w:tc>
          <w:tcPr>
            <w:tcW w:w="1133" w:type="dxa"/>
            <w:vAlign w:val="center"/>
          </w:tcPr>
          <w:p w14:paraId="65A74D32">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813" w:type="dxa"/>
            <w:vAlign w:val="center"/>
          </w:tcPr>
          <w:p w14:paraId="5E497112">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（1）了解基督教产生的社会背景</w:t>
            </w:r>
          </w:p>
          <w:p w14:paraId="4283ADAF">
            <w:pPr>
              <w:spacing w:line="276" w:lineRule="auto"/>
              <w:jc w:val="left"/>
              <w:rPr>
                <w:rFonts w:hint="eastAsia" w:ascii="宋体" w:hAnsi="宋体" w:eastAsia="宋体" w:cs="Times New Roman"/>
                <w:szCs w:val="21"/>
              </w:rPr>
            </w:pPr>
            <w:r>
              <w:rPr>
                <w:rFonts w:hint="eastAsia" w:ascii="宋体" w:hAnsi="宋体" w:eastAsia="宋体" w:cs="Times New Roman"/>
                <w:szCs w:val="21"/>
              </w:rPr>
              <w:t>（2）区分教会教育和世俗教育的特征</w:t>
            </w:r>
          </w:p>
          <w:p w14:paraId="50AAECDD">
            <w:pPr>
              <w:spacing w:line="276" w:lineRule="auto"/>
              <w:jc w:val="left"/>
              <w:rPr>
                <w:rFonts w:hint="eastAsia" w:ascii="宋体" w:hAnsi="宋体" w:eastAsia="宋体" w:cs="Times New Roman"/>
                <w:szCs w:val="21"/>
              </w:rPr>
            </w:pPr>
            <w:r>
              <w:rPr>
                <w:rFonts w:hint="eastAsia" w:ascii="宋体" w:hAnsi="宋体" w:eastAsia="宋体" w:cs="Times New Roman"/>
                <w:szCs w:val="21"/>
              </w:rPr>
              <w:t>（3）理解骑士教育的内容</w:t>
            </w:r>
          </w:p>
          <w:p w14:paraId="484DAF67">
            <w:pPr>
              <w:spacing w:line="276" w:lineRule="auto"/>
              <w:jc w:val="left"/>
              <w:rPr>
                <w:rFonts w:hint="eastAsia" w:ascii="宋体" w:hAnsi="宋体" w:eastAsia="宋体" w:cs="Times New Roman"/>
                <w:szCs w:val="21"/>
              </w:rPr>
            </w:pPr>
            <w:r>
              <w:rPr>
                <w:rFonts w:hint="eastAsia" w:ascii="宋体" w:hAnsi="宋体" w:eastAsia="宋体" w:cs="Times New Roman"/>
                <w:szCs w:val="21"/>
              </w:rPr>
              <w:t>（4）掌握中世纪大学的作用</w:t>
            </w:r>
          </w:p>
        </w:tc>
        <w:tc>
          <w:tcPr>
            <w:tcW w:w="1560" w:type="dxa"/>
            <w:vAlign w:val="center"/>
          </w:tcPr>
          <w:p w14:paraId="674EE971">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595E8AE3">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1B030374">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7A0A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A28BF87">
            <w:pPr>
              <w:spacing w:line="276" w:lineRule="auto"/>
              <w:jc w:val="center"/>
              <w:rPr>
                <w:rFonts w:hint="eastAsia" w:ascii="宋体" w:hAnsi="宋体" w:eastAsia="宋体" w:cs="Times New Roman"/>
                <w:szCs w:val="21"/>
              </w:rPr>
            </w:pPr>
          </w:p>
        </w:tc>
        <w:tc>
          <w:tcPr>
            <w:tcW w:w="8093" w:type="dxa"/>
            <w:gridSpan w:val="5"/>
            <w:vAlign w:val="center"/>
          </w:tcPr>
          <w:p w14:paraId="284855A4">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通过本章内容学习，使师范生了解所谓黑暗的中世纪所具有的历史进步意义，没有中世纪一千年的积淀和孕育，伟大的文艺复兴、宗教改革和科学革命等都不可能相继发生。因此，看待任何事物都必须一分为二。</w:t>
            </w:r>
          </w:p>
        </w:tc>
      </w:tr>
      <w:tr w14:paraId="668B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7277F48">
            <w:pPr>
              <w:spacing w:line="276" w:lineRule="auto"/>
              <w:jc w:val="center"/>
              <w:rPr>
                <w:rFonts w:hint="eastAsia" w:ascii="宋体" w:hAnsi="宋体" w:eastAsia="宋体" w:cs="Times New Roman"/>
                <w:szCs w:val="21"/>
              </w:rPr>
            </w:pPr>
            <w:r>
              <w:rPr>
                <w:rFonts w:hint="eastAsia" w:ascii="宋体" w:hAnsi="宋体" w:eastAsia="宋体" w:cs="Times New Roman"/>
                <w:szCs w:val="21"/>
              </w:rPr>
              <w:t>5.文艺复兴和宗教改革时期的教育</w:t>
            </w:r>
          </w:p>
        </w:tc>
        <w:tc>
          <w:tcPr>
            <w:tcW w:w="2149" w:type="dxa"/>
            <w:vAlign w:val="center"/>
          </w:tcPr>
          <w:p w14:paraId="414AF65A">
            <w:pPr>
              <w:spacing w:line="276" w:lineRule="auto"/>
              <w:jc w:val="left"/>
              <w:rPr>
                <w:rFonts w:hint="eastAsia" w:ascii="宋体" w:hAnsi="宋体" w:eastAsia="宋体" w:cs="Times New Roman"/>
                <w:szCs w:val="21"/>
              </w:rPr>
            </w:pPr>
            <w:r>
              <w:rPr>
                <w:rFonts w:hint="eastAsia" w:ascii="宋体" w:hAnsi="宋体" w:eastAsia="宋体" w:cs="Times New Roman"/>
                <w:szCs w:val="21"/>
              </w:rPr>
              <w:t>（1）文艺复兴的产生及其人文主义教育</w:t>
            </w:r>
          </w:p>
          <w:p w14:paraId="73D9A4A6">
            <w:pPr>
              <w:spacing w:line="276" w:lineRule="auto"/>
              <w:jc w:val="left"/>
              <w:rPr>
                <w:rFonts w:hint="eastAsia" w:ascii="宋体" w:hAnsi="宋体" w:eastAsia="宋体" w:cs="Times New Roman"/>
                <w:szCs w:val="21"/>
              </w:rPr>
            </w:pPr>
            <w:r>
              <w:rPr>
                <w:rFonts w:hint="eastAsia" w:ascii="宋体" w:hAnsi="宋体" w:eastAsia="宋体" w:cs="Times New Roman"/>
                <w:szCs w:val="21"/>
              </w:rPr>
              <w:t>（2）宗教改革的背景及其对教育发展的影响</w:t>
            </w:r>
          </w:p>
        </w:tc>
        <w:tc>
          <w:tcPr>
            <w:tcW w:w="1133" w:type="dxa"/>
            <w:vAlign w:val="center"/>
          </w:tcPr>
          <w:p w14:paraId="7F8E58DB">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813" w:type="dxa"/>
            <w:vAlign w:val="center"/>
          </w:tcPr>
          <w:p w14:paraId="12F3C0C6">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（1）了解中世纪和文艺复兴的联系；</w:t>
            </w:r>
          </w:p>
          <w:p w14:paraId="2C371F1B">
            <w:pPr>
              <w:spacing w:line="276" w:lineRule="auto"/>
              <w:jc w:val="left"/>
              <w:rPr>
                <w:rFonts w:hint="eastAsia" w:ascii="宋体" w:hAnsi="宋体" w:eastAsia="宋体" w:cs="Times New Roman"/>
                <w:szCs w:val="21"/>
              </w:rPr>
            </w:pPr>
            <w:r>
              <w:rPr>
                <w:rFonts w:hint="eastAsia" w:ascii="宋体" w:hAnsi="宋体" w:eastAsia="宋体" w:cs="Times New Roman"/>
                <w:szCs w:val="21"/>
              </w:rPr>
              <w:t>（2）理解人文主义教育的主要内容；</w:t>
            </w:r>
          </w:p>
          <w:p w14:paraId="59B12AF8">
            <w:pPr>
              <w:spacing w:line="276" w:lineRule="auto"/>
              <w:jc w:val="left"/>
              <w:rPr>
                <w:rFonts w:hint="eastAsia" w:ascii="宋体" w:hAnsi="宋体" w:eastAsia="宋体" w:cs="Times New Roman"/>
                <w:szCs w:val="21"/>
              </w:rPr>
            </w:pPr>
            <w:r>
              <w:rPr>
                <w:rFonts w:hint="eastAsia" w:ascii="宋体" w:hAnsi="宋体" w:eastAsia="宋体" w:cs="Times New Roman"/>
                <w:szCs w:val="21"/>
              </w:rPr>
              <w:t>（3）掌握文艺复兴和宗教改革对西欧近代教育的影响。</w:t>
            </w:r>
          </w:p>
        </w:tc>
        <w:tc>
          <w:tcPr>
            <w:tcW w:w="1560" w:type="dxa"/>
            <w:vAlign w:val="center"/>
          </w:tcPr>
          <w:p w14:paraId="7CCA55F7">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7950D7D1">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2D746D21">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6435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B7178A8">
            <w:pPr>
              <w:spacing w:line="276" w:lineRule="auto"/>
              <w:jc w:val="center"/>
              <w:rPr>
                <w:rFonts w:hint="eastAsia" w:ascii="宋体" w:hAnsi="宋体" w:eastAsia="宋体" w:cs="Times New Roman"/>
                <w:szCs w:val="21"/>
              </w:rPr>
            </w:pPr>
          </w:p>
        </w:tc>
        <w:tc>
          <w:tcPr>
            <w:tcW w:w="8093" w:type="dxa"/>
            <w:gridSpan w:val="5"/>
            <w:vAlign w:val="center"/>
          </w:tcPr>
          <w:p w14:paraId="1B2E8F23">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回忆和温故西方历史上曾经出现过的划时代事件和重要人物，以及宗教对欧洲诸国的深刻影响，通过对比，发现我国历史同期所创造的灿烂文化对欧洲历史进程的影响，深刻理解我国当前实行的民族区域自治政策的特殊意义。</w:t>
            </w:r>
          </w:p>
        </w:tc>
      </w:tr>
      <w:tr w14:paraId="327D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580FEE">
            <w:pPr>
              <w:spacing w:line="276" w:lineRule="auto"/>
              <w:jc w:val="center"/>
              <w:rPr>
                <w:rFonts w:hint="eastAsia" w:ascii="宋体" w:hAnsi="宋体" w:eastAsia="宋体" w:cs="Times New Roman"/>
                <w:szCs w:val="21"/>
              </w:rPr>
            </w:pPr>
            <w:r>
              <w:rPr>
                <w:rFonts w:hint="eastAsia" w:ascii="宋体" w:hAnsi="宋体" w:eastAsia="宋体" w:cs="Times New Roman"/>
                <w:szCs w:val="21"/>
              </w:rPr>
              <w:t>6.（六）夸美纽斯的教育思想</w:t>
            </w:r>
          </w:p>
        </w:tc>
        <w:tc>
          <w:tcPr>
            <w:tcW w:w="2149" w:type="dxa"/>
            <w:vAlign w:val="center"/>
          </w:tcPr>
          <w:p w14:paraId="7B67C35F">
            <w:pPr>
              <w:spacing w:line="276" w:lineRule="auto"/>
              <w:jc w:val="left"/>
              <w:rPr>
                <w:rFonts w:hint="eastAsia" w:ascii="宋体" w:hAnsi="宋体" w:eastAsia="宋体" w:cs="Times New Roman"/>
                <w:szCs w:val="21"/>
              </w:rPr>
            </w:pPr>
            <w:r>
              <w:rPr>
                <w:rFonts w:hint="eastAsia" w:ascii="宋体" w:hAnsi="宋体" w:eastAsia="宋体" w:cs="Times New Roman"/>
                <w:szCs w:val="21"/>
              </w:rPr>
              <w:t>（1）生平活动和代表性著作</w:t>
            </w:r>
          </w:p>
          <w:p w14:paraId="56BF1044">
            <w:pPr>
              <w:spacing w:line="276" w:lineRule="auto"/>
              <w:jc w:val="left"/>
              <w:rPr>
                <w:rFonts w:hint="eastAsia" w:ascii="宋体" w:hAnsi="宋体" w:eastAsia="宋体" w:cs="Times New Roman"/>
                <w:szCs w:val="21"/>
              </w:rPr>
            </w:pPr>
            <w:r>
              <w:rPr>
                <w:rFonts w:hint="eastAsia" w:ascii="宋体" w:hAnsi="宋体" w:eastAsia="宋体" w:cs="Times New Roman"/>
                <w:szCs w:val="21"/>
              </w:rPr>
              <w:t>（2）主要教育观点</w:t>
            </w:r>
          </w:p>
          <w:p w14:paraId="7ADFEB2C">
            <w:pPr>
              <w:spacing w:line="276" w:lineRule="auto"/>
              <w:jc w:val="left"/>
              <w:rPr>
                <w:rFonts w:hint="eastAsia" w:ascii="宋体" w:hAnsi="宋体" w:eastAsia="宋体" w:cs="Times New Roman"/>
                <w:szCs w:val="21"/>
              </w:rPr>
            </w:pPr>
            <w:r>
              <w:rPr>
                <w:rFonts w:hint="eastAsia" w:ascii="宋体" w:hAnsi="宋体" w:eastAsia="宋体" w:cs="Times New Roman"/>
                <w:szCs w:val="21"/>
              </w:rPr>
              <w:t>（3）历史影响和局限性</w:t>
            </w:r>
          </w:p>
        </w:tc>
        <w:tc>
          <w:tcPr>
            <w:tcW w:w="1133" w:type="dxa"/>
            <w:vAlign w:val="center"/>
          </w:tcPr>
          <w:p w14:paraId="7B4DFB74">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w:t>
            </w:r>
          </w:p>
          <w:p w14:paraId="79B496BC">
            <w:pPr>
              <w:spacing w:line="276" w:lineRule="auto"/>
              <w:jc w:val="center"/>
              <w:rPr>
                <w:rFonts w:hint="eastAsia" w:ascii="宋体" w:hAnsi="宋体" w:eastAsia="宋体" w:cs="Times New Roman"/>
                <w:szCs w:val="21"/>
              </w:rPr>
            </w:pPr>
            <w:r>
              <w:rPr>
                <w:rFonts w:hint="eastAsia" w:ascii="宋体" w:hAnsi="宋体" w:eastAsia="宋体" w:cs="Times New Roman"/>
                <w:szCs w:val="21"/>
              </w:rPr>
              <w:t>1、2</w:t>
            </w:r>
          </w:p>
        </w:tc>
        <w:tc>
          <w:tcPr>
            <w:tcW w:w="2813" w:type="dxa"/>
            <w:vAlign w:val="center"/>
          </w:tcPr>
          <w:p w14:paraId="2007A568">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（1）了解夸美纽斯的生平和《大教学论》的影响</w:t>
            </w:r>
          </w:p>
          <w:p w14:paraId="60614B0A">
            <w:pPr>
              <w:spacing w:line="276" w:lineRule="auto"/>
              <w:jc w:val="left"/>
              <w:rPr>
                <w:rFonts w:hint="eastAsia" w:ascii="宋体" w:hAnsi="宋体" w:eastAsia="宋体" w:cs="Times New Roman"/>
                <w:szCs w:val="21"/>
              </w:rPr>
            </w:pPr>
            <w:r>
              <w:rPr>
                <w:rFonts w:hint="eastAsia" w:ascii="宋体" w:hAnsi="宋体" w:eastAsia="宋体" w:cs="Times New Roman"/>
                <w:szCs w:val="21"/>
              </w:rPr>
              <w:t>（2）理解其教育思想的主要观点</w:t>
            </w:r>
          </w:p>
          <w:p w14:paraId="0F88AAAF">
            <w:pPr>
              <w:spacing w:line="276" w:lineRule="auto"/>
              <w:jc w:val="left"/>
              <w:rPr>
                <w:rFonts w:hint="eastAsia" w:ascii="宋体" w:hAnsi="宋体" w:eastAsia="宋体" w:cs="Times New Roman"/>
                <w:szCs w:val="21"/>
              </w:rPr>
            </w:pPr>
            <w:r>
              <w:rPr>
                <w:rFonts w:hint="eastAsia" w:ascii="宋体" w:hAnsi="宋体" w:eastAsia="宋体" w:cs="Times New Roman"/>
                <w:szCs w:val="21"/>
              </w:rPr>
              <w:t>（3）掌握其普及教育思想和教学理论</w:t>
            </w:r>
          </w:p>
        </w:tc>
        <w:tc>
          <w:tcPr>
            <w:tcW w:w="1560" w:type="dxa"/>
            <w:vAlign w:val="center"/>
          </w:tcPr>
          <w:p w14:paraId="0908AC35">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2CC31C4F">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5421DF3C">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2493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3197B4B">
            <w:pPr>
              <w:spacing w:line="276" w:lineRule="auto"/>
              <w:jc w:val="center"/>
              <w:rPr>
                <w:rFonts w:hint="eastAsia" w:ascii="宋体" w:hAnsi="宋体" w:eastAsia="宋体" w:cs="Times New Roman"/>
                <w:szCs w:val="21"/>
              </w:rPr>
            </w:pPr>
          </w:p>
        </w:tc>
        <w:tc>
          <w:tcPr>
            <w:tcW w:w="8093" w:type="dxa"/>
            <w:gridSpan w:val="5"/>
            <w:vAlign w:val="center"/>
          </w:tcPr>
          <w:p w14:paraId="239BA199">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通过本章内容学习，使学生了解欧洲一个小国——捷克所诞生的伟大教育家对世界教育史和教育学科发展所做出的贡献，进而使学生意识到人的的价值是在奋斗中创造的，任何人都不可能轻易成功。</w:t>
            </w:r>
          </w:p>
        </w:tc>
      </w:tr>
      <w:tr w14:paraId="64B1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D7E165">
            <w:pPr>
              <w:spacing w:line="276" w:lineRule="auto"/>
              <w:jc w:val="center"/>
              <w:rPr>
                <w:rFonts w:hint="eastAsia" w:ascii="宋体" w:hAnsi="宋体" w:eastAsia="宋体" w:cs="Times New Roman"/>
                <w:szCs w:val="21"/>
              </w:rPr>
            </w:pPr>
            <w:r>
              <w:rPr>
                <w:rFonts w:hint="eastAsia" w:ascii="宋体" w:hAnsi="宋体" w:eastAsia="宋体" w:cs="Times New Roman"/>
                <w:szCs w:val="21"/>
              </w:rPr>
              <w:t>7.启蒙运动和洛克、卢梭的教育思想</w:t>
            </w:r>
          </w:p>
        </w:tc>
        <w:tc>
          <w:tcPr>
            <w:tcW w:w="2149" w:type="dxa"/>
            <w:vAlign w:val="center"/>
          </w:tcPr>
          <w:p w14:paraId="40EEB748">
            <w:pPr>
              <w:spacing w:line="276" w:lineRule="auto"/>
              <w:jc w:val="left"/>
              <w:rPr>
                <w:rFonts w:hint="eastAsia" w:ascii="宋体" w:hAnsi="宋体" w:eastAsia="宋体" w:cs="Times New Roman"/>
                <w:szCs w:val="21"/>
              </w:rPr>
            </w:pPr>
            <w:r>
              <w:rPr>
                <w:rFonts w:hint="eastAsia" w:ascii="宋体" w:hAnsi="宋体" w:eastAsia="宋体" w:cs="Times New Roman"/>
                <w:szCs w:val="21"/>
              </w:rPr>
              <w:t>（1）启蒙运动的产生和历史作用</w:t>
            </w:r>
          </w:p>
          <w:p w14:paraId="20FA2BF6">
            <w:pPr>
              <w:spacing w:line="276" w:lineRule="auto"/>
              <w:jc w:val="left"/>
              <w:rPr>
                <w:rFonts w:hint="eastAsia" w:ascii="宋体" w:hAnsi="宋体" w:eastAsia="宋体" w:cs="Times New Roman"/>
                <w:szCs w:val="21"/>
              </w:rPr>
            </w:pPr>
            <w:r>
              <w:rPr>
                <w:rFonts w:hint="eastAsia" w:ascii="宋体" w:hAnsi="宋体" w:eastAsia="宋体" w:cs="Times New Roman"/>
                <w:szCs w:val="21"/>
              </w:rPr>
              <w:t>（2）洛克的绅士教育思想</w:t>
            </w:r>
          </w:p>
          <w:p w14:paraId="387537F0">
            <w:pPr>
              <w:spacing w:line="276" w:lineRule="auto"/>
              <w:jc w:val="left"/>
              <w:rPr>
                <w:rFonts w:hint="eastAsia" w:ascii="宋体" w:hAnsi="宋体" w:eastAsia="宋体" w:cs="Times New Roman"/>
                <w:szCs w:val="21"/>
              </w:rPr>
            </w:pPr>
            <w:r>
              <w:rPr>
                <w:rFonts w:hint="eastAsia" w:ascii="宋体" w:hAnsi="宋体" w:eastAsia="宋体" w:cs="Times New Roman"/>
                <w:szCs w:val="21"/>
              </w:rPr>
              <w:t>（3）卢梭的自然主义教育理论</w:t>
            </w:r>
          </w:p>
        </w:tc>
        <w:tc>
          <w:tcPr>
            <w:tcW w:w="1133" w:type="dxa"/>
            <w:vAlign w:val="center"/>
          </w:tcPr>
          <w:p w14:paraId="03EFB52D">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813" w:type="dxa"/>
            <w:vAlign w:val="center"/>
          </w:tcPr>
          <w:p w14:paraId="1E0641A9">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（1）了解启蒙运动的历史作用；</w:t>
            </w:r>
          </w:p>
          <w:p w14:paraId="7111C0B7">
            <w:pPr>
              <w:spacing w:line="276" w:lineRule="auto"/>
              <w:jc w:val="left"/>
              <w:rPr>
                <w:rFonts w:hint="eastAsia" w:ascii="宋体" w:hAnsi="宋体" w:eastAsia="宋体" w:cs="Times New Roman"/>
                <w:szCs w:val="21"/>
              </w:rPr>
            </w:pPr>
            <w:r>
              <w:rPr>
                <w:rFonts w:hint="eastAsia" w:ascii="宋体" w:hAnsi="宋体" w:eastAsia="宋体" w:cs="Times New Roman"/>
                <w:szCs w:val="21"/>
              </w:rPr>
              <w:t>（2）理解洛克的白板说；</w:t>
            </w:r>
          </w:p>
          <w:p w14:paraId="511B21E4">
            <w:pPr>
              <w:spacing w:line="276" w:lineRule="auto"/>
              <w:jc w:val="left"/>
              <w:rPr>
                <w:rFonts w:hint="eastAsia" w:ascii="宋体" w:hAnsi="宋体" w:eastAsia="宋体" w:cs="Times New Roman"/>
                <w:szCs w:val="21"/>
              </w:rPr>
            </w:pPr>
            <w:r>
              <w:rPr>
                <w:rFonts w:hint="eastAsia" w:ascii="宋体" w:hAnsi="宋体" w:eastAsia="宋体" w:cs="Times New Roman"/>
                <w:szCs w:val="21"/>
              </w:rPr>
              <w:t>（3）掌握卢梭自然主义教育的内涵。</w:t>
            </w:r>
          </w:p>
        </w:tc>
        <w:tc>
          <w:tcPr>
            <w:tcW w:w="1560" w:type="dxa"/>
            <w:vAlign w:val="center"/>
          </w:tcPr>
          <w:p w14:paraId="18F019F2">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4E2024E4">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42341FB6">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04B8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3620BDD">
            <w:pPr>
              <w:spacing w:line="276" w:lineRule="auto"/>
              <w:jc w:val="center"/>
              <w:rPr>
                <w:rFonts w:hint="eastAsia" w:ascii="宋体" w:hAnsi="宋体" w:eastAsia="宋体" w:cs="Times New Roman"/>
                <w:szCs w:val="21"/>
              </w:rPr>
            </w:pPr>
          </w:p>
        </w:tc>
        <w:tc>
          <w:tcPr>
            <w:tcW w:w="8093" w:type="dxa"/>
            <w:gridSpan w:val="5"/>
            <w:vAlign w:val="center"/>
          </w:tcPr>
          <w:p w14:paraId="636DC200">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通过本章内容学习，使师范生理解时代与个人之间的关系，没有启蒙运动的时代背景，也就不可能产生洛克和卢梭这样伟大的时代精英。因此，一个人的成功除了个人天赋和后天努力之外，也是时代的产物。</w:t>
            </w:r>
          </w:p>
        </w:tc>
      </w:tr>
      <w:tr w14:paraId="50D1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E7AF085">
            <w:pPr>
              <w:spacing w:line="264" w:lineRule="auto"/>
              <w:jc w:val="center"/>
              <w:rPr>
                <w:rFonts w:hint="eastAsia" w:ascii="宋体" w:hAnsi="宋体" w:eastAsia="宋体" w:cs="Times New Roman"/>
                <w:szCs w:val="21"/>
              </w:rPr>
            </w:pPr>
            <w:r>
              <w:rPr>
                <w:rFonts w:hint="eastAsia" w:ascii="宋体" w:hAnsi="宋体" w:eastAsia="宋体" w:cs="Times New Roman"/>
                <w:szCs w:val="21"/>
              </w:rPr>
              <w:t>8.19世纪西欧主要国家的教育改革和主要教育家的教育思想课程</w:t>
            </w:r>
          </w:p>
        </w:tc>
        <w:tc>
          <w:tcPr>
            <w:tcW w:w="2149" w:type="dxa"/>
            <w:vAlign w:val="center"/>
          </w:tcPr>
          <w:p w14:paraId="3D69EF77">
            <w:pPr>
              <w:spacing w:line="264" w:lineRule="auto"/>
              <w:jc w:val="left"/>
              <w:rPr>
                <w:rFonts w:hint="eastAsia" w:ascii="宋体" w:hAnsi="宋体" w:eastAsia="宋体" w:cs="Times New Roman"/>
                <w:szCs w:val="21"/>
              </w:rPr>
            </w:pPr>
            <w:r>
              <w:rPr>
                <w:rFonts w:hint="eastAsia" w:ascii="宋体" w:hAnsi="宋体" w:eastAsia="宋体" w:cs="Times New Roman"/>
                <w:szCs w:val="21"/>
              </w:rPr>
              <w:t xml:space="preserve">（1）英国教育改革与斯宾塞的科学教育思想 </w:t>
            </w:r>
          </w:p>
          <w:p w14:paraId="24147735">
            <w:pPr>
              <w:spacing w:line="264" w:lineRule="auto"/>
              <w:jc w:val="left"/>
              <w:rPr>
                <w:rFonts w:hint="eastAsia" w:ascii="宋体" w:hAnsi="宋体" w:eastAsia="宋体" w:cs="Times New Roman"/>
                <w:szCs w:val="21"/>
              </w:rPr>
            </w:pPr>
            <w:r>
              <w:rPr>
                <w:rFonts w:hint="eastAsia" w:ascii="宋体" w:hAnsi="宋体" w:eastAsia="宋体" w:cs="Times New Roman"/>
                <w:szCs w:val="21"/>
              </w:rPr>
              <w:t>（2）德国的教育改革与福禄贝尔、第斯多惠、洪堡的教育思想</w:t>
            </w:r>
          </w:p>
          <w:p w14:paraId="402DF0F7">
            <w:pPr>
              <w:spacing w:line="264" w:lineRule="auto"/>
              <w:jc w:val="left"/>
              <w:rPr>
                <w:rFonts w:hint="eastAsia" w:ascii="宋体" w:hAnsi="宋体" w:eastAsia="宋体" w:cs="Times New Roman"/>
                <w:szCs w:val="21"/>
              </w:rPr>
            </w:pPr>
            <w:r>
              <w:rPr>
                <w:rFonts w:hint="eastAsia" w:ascii="宋体" w:hAnsi="宋体" w:eastAsia="宋体" w:cs="Times New Roman"/>
                <w:szCs w:val="21"/>
              </w:rPr>
              <w:t>（3）俄国的教育改革与乌申斯基的教育思想</w:t>
            </w:r>
          </w:p>
          <w:p w14:paraId="3D81FCDC">
            <w:pPr>
              <w:spacing w:line="264" w:lineRule="auto"/>
              <w:jc w:val="left"/>
              <w:rPr>
                <w:rFonts w:hint="eastAsia" w:ascii="宋体" w:hAnsi="宋体" w:eastAsia="宋体" w:cs="Times New Roman"/>
                <w:szCs w:val="21"/>
              </w:rPr>
            </w:pPr>
            <w:r>
              <w:rPr>
                <w:rFonts w:hint="eastAsia" w:ascii="宋体" w:hAnsi="宋体" w:eastAsia="宋体" w:cs="Times New Roman"/>
                <w:szCs w:val="21"/>
              </w:rPr>
              <w:t>（4）美国教育的改革</w:t>
            </w:r>
          </w:p>
          <w:p w14:paraId="3ECE688D">
            <w:pPr>
              <w:spacing w:line="264" w:lineRule="auto"/>
              <w:jc w:val="left"/>
              <w:rPr>
                <w:rFonts w:hint="eastAsia" w:ascii="宋体" w:hAnsi="宋体" w:eastAsia="宋体" w:cs="Times New Roman"/>
                <w:szCs w:val="21"/>
              </w:rPr>
            </w:pPr>
            <w:r>
              <w:rPr>
                <w:rFonts w:hint="eastAsia" w:ascii="宋体" w:hAnsi="宋体" w:eastAsia="宋体" w:cs="Times New Roman"/>
                <w:szCs w:val="21"/>
              </w:rPr>
              <w:t>（5）日本的教育改革与福泽谕吉的教育思想</w:t>
            </w:r>
          </w:p>
        </w:tc>
        <w:tc>
          <w:tcPr>
            <w:tcW w:w="1133" w:type="dxa"/>
            <w:vAlign w:val="center"/>
          </w:tcPr>
          <w:p w14:paraId="0F8DC0E4">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813" w:type="dxa"/>
            <w:vAlign w:val="center"/>
          </w:tcPr>
          <w:p w14:paraId="4C2DB23C">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（1）了解19世纪西欧主要国家教育改革的概况</w:t>
            </w:r>
          </w:p>
          <w:p w14:paraId="101B859C">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（2）理解主要教育家的教育思想及其历史影响</w:t>
            </w:r>
          </w:p>
          <w:p w14:paraId="0AE17509">
            <w:pPr>
              <w:spacing w:line="264" w:lineRule="auto"/>
              <w:jc w:val="left"/>
              <w:rPr>
                <w:rFonts w:hint="eastAsia" w:ascii="宋体" w:hAnsi="宋体" w:eastAsia="宋体" w:cs="Times New Roman"/>
                <w:szCs w:val="21"/>
              </w:rPr>
            </w:pPr>
            <w:r>
              <w:rPr>
                <w:rFonts w:hint="eastAsia" w:ascii="宋体" w:hAnsi="宋体" w:eastAsia="宋体" w:cs="Times New Roman"/>
                <w:szCs w:val="21"/>
              </w:rPr>
              <w:t>（3）理解近代教育制度的确立和近代大学的创建</w:t>
            </w:r>
          </w:p>
          <w:p w14:paraId="06539910">
            <w:pPr>
              <w:spacing w:line="264" w:lineRule="auto"/>
              <w:jc w:val="left"/>
              <w:rPr>
                <w:rFonts w:hint="eastAsia" w:ascii="宋体" w:hAnsi="宋体" w:eastAsia="宋体" w:cs="Times New Roman"/>
                <w:szCs w:val="21"/>
              </w:rPr>
            </w:pPr>
            <w:r>
              <w:rPr>
                <w:rFonts w:hint="eastAsia" w:ascii="宋体" w:hAnsi="宋体" w:eastAsia="宋体" w:cs="Times New Roman"/>
                <w:szCs w:val="21"/>
              </w:rPr>
              <w:t>（4）掌握主要教育家的教育思想观点</w:t>
            </w:r>
          </w:p>
        </w:tc>
        <w:tc>
          <w:tcPr>
            <w:tcW w:w="1560" w:type="dxa"/>
            <w:vAlign w:val="center"/>
          </w:tcPr>
          <w:p w14:paraId="5023B688">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051E5055">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76FC86F2">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40D4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FF1E9DB">
            <w:pPr>
              <w:spacing w:line="264" w:lineRule="auto"/>
              <w:jc w:val="center"/>
              <w:rPr>
                <w:rFonts w:hint="eastAsia" w:ascii="宋体" w:hAnsi="宋体" w:eastAsia="宋体" w:cs="Times New Roman"/>
                <w:szCs w:val="21"/>
              </w:rPr>
            </w:pPr>
          </w:p>
        </w:tc>
        <w:tc>
          <w:tcPr>
            <w:tcW w:w="8093" w:type="dxa"/>
            <w:gridSpan w:val="5"/>
            <w:vAlign w:val="center"/>
          </w:tcPr>
          <w:p w14:paraId="1EA526F7">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通过本章内容学习，使师范生了解近代欧洲主要国家教育发展所取得的成就，以及我国同时期教育所存在的落后局面，在对比中理解我国近代所遭受到的侵略，不断增强爱国情怀和报国之志。</w:t>
            </w:r>
          </w:p>
        </w:tc>
      </w:tr>
      <w:tr w14:paraId="76C11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5FB3D6D">
            <w:pPr>
              <w:spacing w:line="264" w:lineRule="auto"/>
              <w:jc w:val="center"/>
              <w:rPr>
                <w:rFonts w:hint="eastAsia" w:ascii="宋体" w:hAnsi="宋体" w:eastAsia="宋体" w:cs="Times New Roman"/>
                <w:szCs w:val="21"/>
              </w:rPr>
            </w:pPr>
            <w:r>
              <w:rPr>
                <w:rFonts w:hint="eastAsia" w:ascii="宋体" w:hAnsi="宋体" w:eastAsia="宋体" w:cs="Times New Roman"/>
                <w:szCs w:val="21"/>
              </w:rPr>
              <w:t>9.裴斯泰洛齐和赫尔巴特的教育思想</w:t>
            </w:r>
          </w:p>
        </w:tc>
        <w:tc>
          <w:tcPr>
            <w:tcW w:w="2149" w:type="dxa"/>
            <w:vAlign w:val="center"/>
          </w:tcPr>
          <w:p w14:paraId="02703D77">
            <w:pPr>
              <w:spacing w:line="264" w:lineRule="auto"/>
              <w:jc w:val="left"/>
              <w:rPr>
                <w:rFonts w:hint="eastAsia" w:ascii="宋体" w:hAnsi="宋体" w:eastAsia="宋体" w:cs="Times New Roman"/>
                <w:szCs w:val="21"/>
              </w:rPr>
            </w:pPr>
            <w:r>
              <w:rPr>
                <w:rFonts w:hint="eastAsia" w:ascii="宋体" w:hAnsi="宋体" w:eastAsia="宋体" w:cs="Times New Roman"/>
                <w:szCs w:val="21"/>
              </w:rPr>
              <w:t>（1）裴斯泰洛齐和赫尔巴特的生平和代表性著作</w:t>
            </w:r>
          </w:p>
          <w:p w14:paraId="26F2C0EB">
            <w:pPr>
              <w:spacing w:line="264" w:lineRule="auto"/>
              <w:jc w:val="left"/>
              <w:rPr>
                <w:rFonts w:hint="eastAsia" w:ascii="宋体" w:hAnsi="宋体" w:eastAsia="宋体" w:cs="Times New Roman"/>
                <w:szCs w:val="21"/>
              </w:rPr>
            </w:pPr>
            <w:r>
              <w:rPr>
                <w:rFonts w:hint="eastAsia" w:ascii="宋体" w:hAnsi="宋体" w:eastAsia="宋体" w:cs="Times New Roman"/>
                <w:szCs w:val="21"/>
              </w:rPr>
              <w:t>（2）裴斯泰洛齐和赫尔巴特的教育思想的主要内容</w:t>
            </w:r>
          </w:p>
          <w:p w14:paraId="49DFC42D">
            <w:pPr>
              <w:spacing w:line="264" w:lineRule="auto"/>
              <w:jc w:val="left"/>
              <w:rPr>
                <w:rFonts w:hint="eastAsia" w:ascii="宋体" w:hAnsi="宋体" w:eastAsia="宋体" w:cs="Times New Roman"/>
                <w:szCs w:val="21"/>
              </w:rPr>
            </w:pPr>
            <w:r>
              <w:rPr>
                <w:rFonts w:hint="eastAsia" w:ascii="宋体" w:hAnsi="宋体" w:eastAsia="宋体" w:cs="Times New Roman"/>
                <w:szCs w:val="21"/>
              </w:rPr>
              <w:t>（3）裴斯泰洛齐和赫尔巴特教育思想的历史影响</w:t>
            </w:r>
          </w:p>
        </w:tc>
        <w:tc>
          <w:tcPr>
            <w:tcW w:w="1133" w:type="dxa"/>
            <w:vAlign w:val="center"/>
          </w:tcPr>
          <w:p w14:paraId="2875C3CC">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813" w:type="dxa"/>
            <w:vAlign w:val="center"/>
          </w:tcPr>
          <w:p w14:paraId="48E52D98">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（1）了解两个教育家的生平和教育实践活动</w:t>
            </w:r>
          </w:p>
          <w:p w14:paraId="1B12FACF">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（2）理解两个教育家的教育思想及其历史影响</w:t>
            </w:r>
          </w:p>
          <w:p w14:paraId="422CA1D4">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（3）掌握赫尔巴特在教育史上的贡献和局限性</w:t>
            </w:r>
          </w:p>
        </w:tc>
        <w:tc>
          <w:tcPr>
            <w:tcW w:w="1560" w:type="dxa"/>
            <w:vAlign w:val="center"/>
          </w:tcPr>
          <w:p w14:paraId="4549188F">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203FF7EC">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5116E7A2">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2BD1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8742541">
            <w:pPr>
              <w:spacing w:line="264" w:lineRule="auto"/>
              <w:jc w:val="center"/>
              <w:rPr>
                <w:rFonts w:hint="eastAsia" w:ascii="宋体" w:hAnsi="宋体" w:eastAsia="宋体" w:cs="Times New Roman"/>
                <w:szCs w:val="21"/>
              </w:rPr>
            </w:pPr>
          </w:p>
        </w:tc>
        <w:tc>
          <w:tcPr>
            <w:tcW w:w="8093" w:type="dxa"/>
            <w:gridSpan w:val="5"/>
            <w:vAlign w:val="center"/>
          </w:tcPr>
          <w:p w14:paraId="4AC612F1">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在理解两个伟大教育家教育思想和教育实践的同时，发现他们对近现代教育发展所作出的主要贡献，以及对当前我国教育改革所具有的启发意义。他们两个人毕生的精力都放在了教育事业上，对师范生而言，他们的人生经历具有一定的教育意义。</w:t>
            </w:r>
          </w:p>
        </w:tc>
      </w:tr>
      <w:tr w14:paraId="3A2E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9CBCA6">
            <w:pPr>
              <w:spacing w:line="264" w:lineRule="auto"/>
              <w:jc w:val="center"/>
              <w:rPr>
                <w:rFonts w:hint="eastAsia" w:ascii="宋体" w:hAnsi="宋体" w:eastAsia="宋体" w:cs="Times New Roman"/>
                <w:szCs w:val="21"/>
              </w:rPr>
            </w:pPr>
            <w:r>
              <w:rPr>
                <w:rFonts w:hint="eastAsia" w:ascii="宋体" w:hAnsi="宋体" w:eastAsia="宋体" w:cs="Times New Roman"/>
                <w:szCs w:val="21"/>
              </w:rPr>
              <w:t>10.20世纪前期欧美教育改革运动</w:t>
            </w:r>
          </w:p>
        </w:tc>
        <w:tc>
          <w:tcPr>
            <w:tcW w:w="2149" w:type="dxa"/>
            <w:vAlign w:val="center"/>
          </w:tcPr>
          <w:p w14:paraId="37FDE241">
            <w:pPr>
              <w:spacing w:line="264" w:lineRule="auto"/>
              <w:jc w:val="left"/>
              <w:rPr>
                <w:rFonts w:hint="eastAsia" w:ascii="宋体" w:hAnsi="宋体" w:eastAsia="宋体" w:cs="Times New Roman"/>
                <w:szCs w:val="21"/>
              </w:rPr>
            </w:pPr>
            <w:r>
              <w:rPr>
                <w:rFonts w:hint="eastAsia" w:ascii="宋体" w:hAnsi="宋体" w:eastAsia="宋体" w:cs="Times New Roman"/>
                <w:szCs w:val="21"/>
              </w:rPr>
              <w:t>（1）欧洲新教育运动和美国进步主义教育运动概况</w:t>
            </w:r>
          </w:p>
          <w:p w14:paraId="21DDA910">
            <w:pPr>
              <w:spacing w:line="264" w:lineRule="auto"/>
              <w:jc w:val="left"/>
              <w:rPr>
                <w:rFonts w:hint="eastAsia" w:ascii="宋体" w:hAnsi="宋体" w:eastAsia="宋体" w:cs="Times New Roman"/>
                <w:szCs w:val="21"/>
              </w:rPr>
            </w:pPr>
            <w:r>
              <w:rPr>
                <w:rFonts w:hint="eastAsia" w:ascii="宋体" w:hAnsi="宋体" w:eastAsia="宋体" w:cs="Times New Roman"/>
                <w:szCs w:val="21"/>
              </w:rPr>
              <w:t>（2）欧美实验教育学的产生及其影响</w:t>
            </w:r>
          </w:p>
          <w:p w14:paraId="4FAB8F4C">
            <w:pPr>
              <w:spacing w:line="264" w:lineRule="auto"/>
              <w:jc w:val="left"/>
              <w:rPr>
                <w:rFonts w:hint="eastAsia" w:ascii="宋体" w:hAnsi="宋体" w:eastAsia="宋体" w:cs="Times New Roman"/>
                <w:szCs w:val="21"/>
              </w:rPr>
            </w:pPr>
            <w:r>
              <w:rPr>
                <w:rFonts w:hint="eastAsia" w:ascii="宋体" w:hAnsi="宋体" w:eastAsia="宋体" w:cs="Times New Roman"/>
                <w:szCs w:val="21"/>
              </w:rPr>
              <w:t>（3）主要教育家的教育思想</w:t>
            </w:r>
          </w:p>
        </w:tc>
        <w:tc>
          <w:tcPr>
            <w:tcW w:w="1133" w:type="dxa"/>
            <w:vAlign w:val="center"/>
          </w:tcPr>
          <w:p w14:paraId="03A53134">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813" w:type="dxa"/>
            <w:vAlign w:val="center"/>
          </w:tcPr>
          <w:p w14:paraId="735D3C27">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（1）了解欧洲新教育运动和美国进步主义教育运动的进程</w:t>
            </w:r>
          </w:p>
          <w:p w14:paraId="5AD9A112">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（2）理解实验教育学的产生及其对教育学科发展的影响</w:t>
            </w:r>
          </w:p>
          <w:p w14:paraId="6A0527F2">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（3）掌握主要教育家的教育思想</w:t>
            </w:r>
          </w:p>
        </w:tc>
        <w:tc>
          <w:tcPr>
            <w:tcW w:w="1560" w:type="dxa"/>
            <w:vAlign w:val="center"/>
          </w:tcPr>
          <w:p w14:paraId="62DA6B25">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704D4A6C">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602D0539">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74BA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AD181A3">
            <w:pPr>
              <w:spacing w:line="264" w:lineRule="auto"/>
              <w:jc w:val="center"/>
              <w:rPr>
                <w:rFonts w:hint="eastAsia" w:ascii="宋体" w:hAnsi="宋体" w:eastAsia="宋体" w:cs="Times New Roman"/>
                <w:szCs w:val="21"/>
              </w:rPr>
            </w:pPr>
          </w:p>
        </w:tc>
        <w:tc>
          <w:tcPr>
            <w:tcW w:w="8093" w:type="dxa"/>
            <w:gridSpan w:val="5"/>
            <w:vAlign w:val="center"/>
          </w:tcPr>
          <w:p w14:paraId="726701BC">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理解教育工作的复杂性和艰巨性，欧洲的新教育革新运动虽然取得了一定的成功，但影响毕竟是有限的。一个人一生能做的事情也是有限的，因此要想作出成就，就必须专注于自己喜欢的事情，并努力坚持。</w:t>
            </w:r>
          </w:p>
        </w:tc>
      </w:tr>
      <w:tr w14:paraId="37F6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E6BFF2">
            <w:pPr>
              <w:spacing w:line="264" w:lineRule="auto"/>
              <w:jc w:val="center"/>
              <w:rPr>
                <w:rFonts w:hint="eastAsia" w:ascii="宋体" w:hAnsi="宋体" w:eastAsia="宋体" w:cs="Times New Roman"/>
                <w:szCs w:val="21"/>
              </w:rPr>
            </w:pPr>
            <w:r>
              <w:rPr>
                <w:rFonts w:hint="eastAsia" w:ascii="宋体" w:hAnsi="宋体" w:eastAsia="宋体" w:cs="Times New Roman"/>
                <w:szCs w:val="21"/>
              </w:rPr>
              <w:t>11.杜威的教育思想</w:t>
            </w:r>
          </w:p>
        </w:tc>
        <w:tc>
          <w:tcPr>
            <w:tcW w:w="2149" w:type="dxa"/>
            <w:vAlign w:val="center"/>
          </w:tcPr>
          <w:p w14:paraId="1F5E6315">
            <w:pPr>
              <w:spacing w:line="264" w:lineRule="auto"/>
              <w:jc w:val="left"/>
              <w:rPr>
                <w:rFonts w:hint="eastAsia" w:ascii="宋体" w:hAnsi="宋体" w:eastAsia="宋体" w:cs="Times New Roman"/>
                <w:szCs w:val="21"/>
              </w:rPr>
            </w:pPr>
            <w:r>
              <w:rPr>
                <w:rFonts w:hint="eastAsia" w:ascii="宋体" w:hAnsi="宋体" w:eastAsia="宋体" w:cs="Times New Roman"/>
                <w:szCs w:val="21"/>
              </w:rPr>
              <w:t>（1）杜威的生平和代表性著作</w:t>
            </w:r>
          </w:p>
          <w:p w14:paraId="030BF101">
            <w:pPr>
              <w:spacing w:line="264" w:lineRule="auto"/>
              <w:jc w:val="left"/>
              <w:rPr>
                <w:rFonts w:hint="eastAsia" w:ascii="宋体" w:hAnsi="宋体" w:eastAsia="宋体" w:cs="Times New Roman"/>
                <w:szCs w:val="21"/>
              </w:rPr>
            </w:pPr>
            <w:r>
              <w:rPr>
                <w:rFonts w:hint="eastAsia" w:ascii="宋体" w:hAnsi="宋体" w:eastAsia="宋体" w:cs="Times New Roman"/>
                <w:szCs w:val="21"/>
              </w:rPr>
              <w:t>（2）杜威教育思想的主要内容</w:t>
            </w:r>
          </w:p>
          <w:p w14:paraId="7C2954B4">
            <w:pPr>
              <w:spacing w:line="264" w:lineRule="auto"/>
              <w:jc w:val="left"/>
              <w:rPr>
                <w:rFonts w:hint="eastAsia" w:ascii="宋体" w:hAnsi="宋体" w:eastAsia="宋体" w:cs="Times New Roman"/>
                <w:szCs w:val="21"/>
              </w:rPr>
            </w:pPr>
            <w:r>
              <w:rPr>
                <w:rFonts w:hint="eastAsia" w:ascii="宋体" w:hAnsi="宋体" w:eastAsia="宋体" w:cs="Times New Roman"/>
                <w:szCs w:val="21"/>
              </w:rPr>
              <w:t>（3）杜威教育思想的历史影响</w:t>
            </w:r>
          </w:p>
        </w:tc>
        <w:tc>
          <w:tcPr>
            <w:tcW w:w="1133" w:type="dxa"/>
            <w:vAlign w:val="center"/>
          </w:tcPr>
          <w:p w14:paraId="58A37713">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w:t>
            </w:r>
          </w:p>
          <w:p w14:paraId="121C0439">
            <w:pPr>
              <w:spacing w:line="264" w:lineRule="auto"/>
              <w:jc w:val="center"/>
              <w:rPr>
                <w:rFonts w:hint="eastAsia" w:ascii="宋体" w:hAnsi="宋体" w:eastAsia="宋体" w:cs="Times New Roman"/>
                <w:szCs w:val="21"/>
              </w:rPr>
            </w:pPr>
            <w:r>
              <w:rPr>
                <w:rFonts w:hint="eastAsia" w:ascii="宋体" w:hAnsi="宋体" w:eastAsia="宋体" w:cs="Times New Roman"/>
                <w:szCs w:val="21"/>
              </w:rPr>
              <w:t>1、2、3</w:t>
            </w:r>
          </w:p>
        </w:tc>
        <w:tc>
          <w:tcPr>
            <w:tcW w:w="2813" w:type="dxa"/>
            <w:vAlign w:val="center"/>
          </w:tcPr>
          <w:p w14:paraId="57DABCE5">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（1）了解杜威的生平和教育实践活动</w:t>
            </w:r>
          </w:p>
          <w:p w14:paraId="7D8D9440">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（2）理解杜威的教育目的观</w:t>
            </w:r>
          </w:p>
          <w:p w14:paraId="3B7D4D24">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（3）掌握杜威的课程与教学论</w:t>
            </w:r>
          </w:p>
        </w:tc>
        <w:tc>
          <w:tcPr>
            <w:tcW w:w="1560" w:type="dxa"/>
            <w:vAlign w:val="center"/>
          </w:tcPr>
          <w:p w14:paraId="51053B83">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50C8FDD6">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49BECE23">
            <w:pPr>
              <w:spacing w:line="264"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37BF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81EE445">
            <w:pPr>
              <w:spacing w:line="264" w:lineRule="auto"/>
              <w:jc w:val="center"/>
              <w:rPr>
                <w:rFonts w:hint="eastAsia" w:ascii="宋体" w:hAnsi="宋体" w:eastAsia="宋体" w:cs="Times New Roman"/>
                <w:szCs w:val="21"/>
              </w:rPr>
            </w:pPr>
          </w:p>
        </w:tc>
        <w:tc>
          <w:tcPr>
            <w:tcW w:w="8093" w:type="dxa"/>
            <w:gridSpan w:val="5"/>
            <w:vAlign w:val="center"/>
          </w:tcPr>
          <w:p w14:paraId="7427D912">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理解杜威教育思想的当代启发意义，从杜威教育思想中领会教育即生活、学校即社会、从做中学的本质内涵，结合我国当前小学教育存在的实际问题，看到教育改革的艰难，并增强教育改革的信心。</w:t>
            </w:r>
          </w:p>
        </w:tc>
      </w:tr>
      <w:tr w14:paraId="4BB8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70FB511">
            <w:pPr>
              <w:spacing w:line="264" w:lineRule="auto"/>
              <w:jc w:val="center"/>
              <w:rPr>
                <w:rFonts w:hint="eastAsia" w:ascii="宋体" w:hAnsi="宋体" w:eastAsia="宋体" w:cs="Times New Roman"/>
                <w:szCs w:val="21"/>
              </w:rPr>
            </w:pPr>
            <w:r>
              <w:rPr>
                <w:rFonts w:hint="eastAsia" w:ascii="宋体" w:hAnsi="宋体" w:eastAsia="宋体" w:cs="Times New Roman"/>
                <w:szCs w:val="21"/>
              </w:rPr>
              <w:t>12.现代欧美教育思潮</w:t>
            </w:r>
          </w:p>
        </w:tc>
        <w:tc>
          <w:tcPr>
            <w:tcW w:w="2149" w:type="dxa"/>
            <w:vAlign w:val="center"/>
          </w:tcPr>
          <w:p w14:paraId="40A22D62">
            <w:pPr>
              <w:spacing w:line="264" w:lineRule="auto"/>
              <w:jc w:val="left"/>
              <w:rPr>
                <w:rFonts w:hint="eastAsia" w:ascii="宋体" w:hAnsi="宋体" w:eastAsia="宋体" w:cs="Times New Roman"/>
                <w:szCs w:val="21"/>
              </w:rPr>
            </w:pPr>
            <w:r>
              <w:rPr>
                <w:rFonts w:hint="eastAsia" w:ascii="宋体" w:hAnsi="宋体" w:eastAsia="宋体" w:cs="Times New Roman"/>
                <w:szCs w:val="21"/>
              </w:rPr>
              <w:t>（1）现代欧美教育哲学概况</w:t>
            </w:r>
          </w:p>
          <w:p w14:paraId="28B3EB22">
            <w:pPr>
              <w:spacing w:line="264" w:lineRule="auto"/>
              <w:jc w:val="left"/>
              <w:rPr>
                <w:rFonts w:hint="eastAsia" w:ascii="宋体" w:hAnsi="宋体" w:eastAsia="宋体" w:cs="Times New Roman"/>
                <w:szCs w:val="21"/>
              </w:rPr>
            </w:pPr>
            <w:r>
              <w:rPr>
                <w:rFonts w:hint="eastAsia" w:ascii="宋体" w:hAnsi="宋体" w:eastAsia="宋体" w:cs="Times New Roman"/>
                <w:szCs w:val="21"/>
              </w:rPr>
              <w:t>（2）存在主义、永恒主义、要素主义等教育思潮的主要内容</w:t>
            </w:r>
          </w:p>
          <w:p w14:paraId="19504BB9">
            <w:pPr>
              <w:spacing w:line="264" w:lineRule="auto"/>
              <w:jc w:val="left"/>
              <w:rPr>
                <w:rFonts w:hint="eastAsia" w:ascii="宋体" w:hAnsi="宋体" w:eastAsia="宋体" w:cs="Times New Roman"/>
                <w:szCs w:val="21"/>
              </w:rPr>
            </w:pPr>
            <w:r>
              <w:rPr>
                <w:rFonts w:hint="eastAsia" w:ascii="宋体" w:hAnsi="宋体" w:eastAsia="宋体" w:cs="Times New Roman"/>
                <w:szCs w:val="21"/>
              </w:rPr>
              <w:t>（3）教育思潮的历史影响</w:t>
            </w:r>
          </w:p>
        </w:tc>
        <w:tc>
          <w:tcPr>
            <w:tcW w:w="1133" w:type="dxa"/>
            <w:vAlign w:val="center"/>
          </w:tcPr>
          <w:p w14:paraId="3875BFEA">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w:t>
            </w:r>
          </w:p>
          <w:p w14:paraId="18504755">
            <w:pPr>
              <w:spacing w:line="264" w:lineRule="auto"/>
              <w:jc w:val="center"/>
              <w:rPr>
                <w:rFonts w:hint="eastAsia" w:ascii="宋体" w:hAnsi="宋体" w:eastAsia="宋体" w:cs="Times New Roman"/>
                <w:szCs w:val="21"/>
              </w:rPr>
            </w:pPr>
            <w:r>
              <w:rPr>
                <w:rFonts w:hint="eastAsia" w:ascii="宋体" w:hAnsi="宋体" w:eastAsia="宋体" w:cs="Times New Roman"/>
                <w:szCs w:val="21"/>
              </w:rPr>
              <w:t>1、2、3</w:t>
            </w:r>
          </w:p>
        </w:tc>
        <w:tc>
          <w:tcPr>
            <w:tcW w:w="2813" w:type="dxa"/>
            <w:vAlign w:val="center"/>
          </w:tcPr>
          <w:p w14:paraId="5ACD3AC1">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（1）了解欧美教育思潮概况</w:t>
            </w:r>
          </w:p>
          <w:p w14:paraId="0E53E4C5">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（2）理解主要教育思潮的主要观点</w:t>
            </w:r>
          </w:p>
          <w:p w14:paraId="437C0733">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（3）掌握主要教育思潮的历史影响</w:t>
            </w:r>
          </w:p>
        </w:tc>
        <w:tc>
          <w:tcPr>
            <w:tcW w:w="1560" w:type="dxa"/>
            <w:vAlign w:val="center"/>
          </w:tcPr>
          <w:p w14:paraId="082CFAC2">
            <w:pPr>
              <w:spacing w:line="264" w:lineRule="auto"/>
              <w:jc w:val="left"/>
              <w:rPr>
                <w:rFonts w:hint="eastAsia" w:ascii="宋体" w:hAnsi="宋体" w:eastAsia="宋体" w:cs="Times New Roman"/>
                <w:szCs w:val="21"/>
              </w:rPr>
            </w:pPr>
            <w:r>
              <w:rPr>
                <w:rFonts w:ascii="宋体" w:hAnsi="宋体" w:eastAsia="宋体" w:cs="Times New Roman"/>
                <w:szCs w:val="21"/>
              </w:rPr>
              <w:t>1.线上学习</w:t>
            </w:r>
          </w:p>
          <w:p w14:paraId="409CA60A">
            <w:pPr>
              <w:spacing w:line="264" w:lineRule="auto"/>
              <w:jc w:val="left"/>
              <w:rPr>
                <w:rFonts w:hint="eastAsia" w:ascii="宋体" w:hAnsi="宋体" w:eastAsia="宋体" w:cs="Times New Roman"/>
                <w:szCs w:val="21"/>
              </w:rPr>
            </w:pPr>
            <w:r>
              <w:rPr>
                <w:rFonts w:ascii="宋体" w:hAnsi="宋体" w:eastAsia="宋体" w:cs="Times New Roman"/>
                <w:szCs w:val="21"/>
              </w:rPr>
              <w:t>2.多媒体教学3.课堂讨论</w:t>
            </w:r>
          </w:p>
        </w:tc>
        <w:tc>
          <w:tcPr>
            <w:tcW w:w="438" w:type="dxa"/>
            <w:vAlign w:val="center"/>
          </w:tcPr>
          <w:p w14:paraId="549AA500">
            <w:pPr>
              <w:spacing w:line="264"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14DC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A19B97D">
            <w:pPr>
              <w:spacing w:line="264" w:lineRule="auto"/>
              <w:jc w:val="center"/>
              <w:rPr>
                <w:rFonts w:hint="eastAsia" w:ascii="宋体" w:hAnsi="宋体" w:eastAsia="宋体" w:cs="Times New Roman"/>
                <w:szCs w:val="21"/>
              </w:rPr>
            </w:pPr>
          </w:p>
        </w:tc>
        <w:tc>
          <w:tcPr>
            <w:tcW w:w="8093" w:type="dxa"/>
            <w:gridSpan w:val="5"/>
            <w:vAlign w:val="center"/>
          </w:tcPr>
          <w:p w14:paraId="17EDB246">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通过本质内容学习，使学生理解不同教育思潮产生的时代背景和产生的历史价值，并从中体会社会思潮对个人成长发展所产生的潜移默化的深刻影响，以及未来如何在工作中加强对小学生的思想引导。</w:t>
            </w:r>
          </w:p>
        </w:tc>
      </w:tr>
    </w:tbl>
    <w:p w14:paraId="7B953C1C">
      <w:pPr>
        <w:adjustRightInd w:val="0"/>
        <w:snapToGrid w:val="0"/>
        <w:spacing w:before="62" w:beforeLines="20" w:after="62" w:afterLines="20" w:line="360" w:lineRule="auto"/>
        <w:rPr>
          <w:rFonts w:hint="eastAsia" w:ascii="宋体" w:hAnsi="宋体" w:eastAsia="宋体" w:cs="Times New Roman"/>
          <w:b/>
          <w:sz w:val="24"/>
        </w:rPr>
      </w:pPr>
      <w:r>
        <w:rPr>
          <w:rFonts w:hint="eastAsia" w:ascii="宋体" w:hAnsi="宋体" w:eastAsia="宋体" w:cs="Times New Roman"/>
          <w:b/>
          <w:sz w:val="24"/>
        </w:rPr>
        <w:t>四、目标评价与成绩评定</w:t>
      </w:r>
    </w:p>
    <w:p w14:paraId="272FEDF7">
      <w:pPr>
        <w:spacing w:line="360" w:lineRule="auto"/>
        <w:ind w:left="-2" w:leftChars="-1" w:firstLine="422" w:firstLineChars="200"/>
        <w:rPr>
          <w:b/>
          <w:szCs w:val="21"/>
        </w:rPr>
      </w:pPr>
      <w:r>
        <w:rPr>
          <w:rFonts w:hint="eastAsia"/>
          <w:b/>
          <w:szCs w:val="21"/>
        </w:rPr>
        <w:t>（一）课程目标评价方式</w:t>
      </w:r>
    </w:p>
    <w:tbl>
      <w:tblPr>
        <w:tblStyle w:val="12"/>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2366"/>
        <w:gridCol w:w="2267"/>
        <w:gridCol w:w="1787"/>
        <w:gridCol w:w="1140"/>
      </w:tblGrid>
      <w:tr w14:paraId="3E49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restart"/>
            <w:vAlign w:val="center"/>
          </w:tcPr>
          <w:p w14:paraId="74C8F6D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3"/>
            <w:vAlign w:val="center"/>
          </w:tcPr>
          <w:p w14:paraId="5CB39031">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6FAF9737">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4C6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continue"/>
            <w:vAlign w:val="center"/>
          </w:tcPr>
          <w:p w14:paraId="15EA8B4E">
            <w:pPr>
              <w:spacing w:line="360" w:lineRule="auto"/>
              <w:jc w:val="center"/>
              <w:rPr>
                <w:rFonts w:hint="eastAsia" w:ascii="宋体" w:hAnsi="宋体" w:eastAsia="宋体" w:cs="Times New Roman"/>
                <w:szCs w:val="21"/>
              </w:rPr>
            </w:pPr>
          </w:p>
        </w:tc>
        <w:tc>
          <w:tcPr>
            <w:tcW w:w="2366" w:type="dxa"/>
            <w:vAlign w:val="center"/>
          </w:tcPr>
          <w:p w14:paraId="61EEDDF1">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2267" w:type="dxa"/>
            <w:vAlign w:val="center"/>
          </w:tcPr>
          <w:p w14:paraId="23C53FA4">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787" w:type="dxa"/>
            <w:vAlign w:val="center"/>
          </w:tcPr>
          <w:p w14:paraId="61274F4B">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140" w:type="dxa"/>
            <w:vMerge w:val="continue"/>
            <w:vAlign w:val="center"/>
          </w:tcPr>
          <w:p w14:paraId="3C19CC7C">
            <w:pPr>
              <w:spacing w:line="360" w:lineRule="auto"/>
              <w:jc w:val="center"/>
              <w:rPr>
                <w:rFonts w:hint="eastAsia" w:ascii="宋体" w:hAnsi="宋体" w:eastAsia="宋体" w:cs="Times New Roman"/>
                <w:szCs w:val="21"/>
              </w:rPr>
            </w:pPr>
          </w:p>
        </w:tc>
      </w:tr>
      <w:tr w14:paraId="3060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0D7DB2A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366" w:type="dxa"/>
            <w:vAlign w:val="center"/>
          </w:tcPr>
          <w:p w14:paraId="2A3B648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67" w:type="dxa"/>
            <w:vAlign w:val="center"/>
          </w:tcPr>
          <w:p w14:paraId="438C107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87" w:type="dxa"/>
            <w:vAlign w:val="center"/>
          </w:tcPr>
          <w:p w14:paraId="6F609060">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140" w:type="dxa"/>
            <w:vAlign w:val="center"/>
          </w:tcPr>
          <w:p w14:paraId="668FA956">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A68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740B05A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366" w:type="dxa"/>
            <w:vAlign w:val="center"/>
          </w:tcPr>
          <w:p w14:paraId="65E50A8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67" w:type="dxa"/>
            <w:vAlign w:val="center"/>
          </w:tcPr>
          <w:p w14:paraId="1ED1805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87" w:type="dxa"/>
            <w:vAlign w:val="center"/>
          </w:tcPr>
          <w:p w14:paraId="66352BE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20E2DDEB">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1D43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4DFB169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366" w:type="dxa"/>
            <w:vAlign w:val="center"/>
          </w:tcPr>
          <w:p w14:paraId="349DF858">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67" w:type="dxa"/>
            <w:vAlign w:val="center"/>
          </w:tcPr>
          <w:p w14:paraId="2B4D13DF">
            <w:pPr>
              <w:spacing w:line="360" w:lineRule="auto"/>
              <w:jc w:val="center"/>
              <w:rPr>
                <w:rFonts w:hint="eastAsia" w:ascii="宋体" w:hAnsi="宋体" w:eastAsia="宋体" w:cs="Times New Roman"/>
                <w:szCs w:val="21"/>
              </w:rPr>
            </w:pPr>
          </w:p>
        </w:tc>
        <w:tc>
          <w:tcPr>
            <w:tcW w:w="1787" w:type="dxa"/>
            <w:vAlign w:val="center"/>
          </w:tcPr>
          <w:p w14:paraId="47002BE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6CA1FBB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0819B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14:paraId="3B6AB736">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2366" w:type="dxa"/>
            <w:vAlign w:val="center"/>
          </w:tcPr>
          <w:p w14:paraId="080368CA">
            <w:pPr>
              <w:spacing w:line="360" w:lineRule="auto"/>
              <w:jc w:val="center"/>
              <w:rPr>
                <w:rFonts w:hint="eastAsia" w:ascii="宋体" w:hAnsi="宋体" w:eastAsia="宋体" w:cs="Times New Roman"/>
                <w:szCs w:val="21"/>
              </w:rPr>
            </w:pPr>
          </w:p>
        </w:tc>
        <w:tc>
          <w:tcPr>
            <w:tcW w:w="2267" w:type="dxa"/>
            <w:vAlign w:val="center"/>
          </w:tcPr>
          <w:p w14:paraId="05D7BC84">
            <w:pPr>
              <w:spacing w:line="360" w:lineRule="auto"/>
              <w:jc w:val="center"/>
              <w:rPr>
                <w:rFonts w:hint="eastAsia" w:ascii="宋体" w:hAnsi="宋体" w:eastAsia="宋体" w:cs="Times New Roman"/>
                <w:szCs w:val="21"/>
              </w:rPr>
            </w:pPr>
          </w:p>
        </w:tc>
        <w:tc>
          <w:tcPr>
            <w:tcW w:w="1787" w:type="dxa"/>
            <w:vAlign w:val="center"/>
          </w:tcPr>
          <w:p w14:paraId="4067D118">
            <w:pPr>
              <w:spacing w:line="360" w:lineRule="auto"/>
              <w:jc w:val="center"/>
              <w:rPr>
                <w:rFonts w:hint="eastAsia" w:ascii="宋体" w:hAnsi="宋体" w:eastAsia="宋体" w:cs="Times New Roman"/>
                <w:szCs w:val="21"/>
              </w:rPr>
            </w:pPr>
          </w:p>
        </w:tc>
        <w:tc>
          <w:tcPr>
            <w:tcW w:w="1140" w:type="dxa"/>
            <w:vAlign w:val="center"/>
          </w:tcPr>
          <w:p w14:paraId="69CD67F3">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D207AE7">
      <w:pPr>
        <w:spacing w:after="160" w:line="360" w:lineRule="auto"/>
        <w:ind w:firstLine="422" w:firstLineChars="200"/>
        <w:rPr>
          <w:b/>
          <w:szCs w:val="21"/>
        </w:rPr>
      </w:pPr>
    </w:p>
    <w:p w14:paraId="4217E81A">
      <w:pPr>
        <w:spacing w:after="160" w:line="360" w:lineRule="auto"/>
        <w:ind w:firstLine="422" w:firstLineChars="200"/>
        <w:rPr>
          <w:b/>
          <w:szCs w:val="21"/>
        </w:rPr>
      </w:pPr>
    </w:p>
    <w:p w14:paraId="2A3014C6">
      <w:pPr>
        <w:spacing w:after="160" w:line="360" w:lineRule="auto"/>
        <w:ind w:firstLine="422" w:firstLineChars="200"/>
        <w:rPr>
          <w:b/>
          <w:szCs w:val="21"/>
        </w:rPr>
      </w:pPr>
      <w:r>
        <w:rPr>
          <w:rFonts w:hint="eastAsia"/>
          <w:b/>
          <w:szCs w:val="21"/>
        </w:rPr>
        <w:t>（二）成绩评定细则</w:t>
      </w:r>
    </w:p>
    <w:tbl>
      <w:tblPr>
        <w:tblStyle w:val="11"/>
        <w:tblW w:w="8564" w:type="dxa"/>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6000"/>
        <w:gridCol w:w="982"/>
      </w:tblGrid>
      <w:tr w14:paraId="7330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582" w:type="dxa"/>
            <w:shd w:val="clear" w:color="auto" w:fill="FFFFFF"/>
            <w:vAlign w:val="center"/>
          </w:tcPr>
          <w:p w14:paraId="1199B5EA">
            <w:pPr>
              <w:pStyle w:val="30"/>
              <w:jc w:val="center"/>
              <w:rPr>
                <w:rFonts w:hint="eastAsia" w:ascii="宋体" w:hAnsi="宋体" w:eastAsia="宋体"/>
              </w:rPr>
            </w:pPr>
            <w:r>
              <w:rPr>
                <w:rFonts w:ascii="宋体" w:hAnsi="宋体" w:eastAsia="宋体"/>
              </w:rPr>
              <w:t>评价</w:t>
            </w:r>
            <w:r>
              <w:rPr>
                <w:rFonts w:hint="eastAsia" w:ascii="宋体" w:hAnsi="宋体" w:eastAsia="宋体"/>
              </w:rPr>
              <w:t>方式</w:t>
            </w:r>
          </w:p>
        </w:tc>
        <w:tc>
          <w:tcPr>
            <w:tcW w:w="6000" w:type="dxa"/>
            <w:shd w:val="clear" w:color="auto" w:fill="FFFFFF"/>
            <w:vAlign w:val="center"/>
          </w:tcPr>
          <w:p w14:paraId="50E49E82">
            <w:pPr>
              <w:pStyle w:val="30"/>
              <w:jc w:val="center"/>
              <w:rPr>
                <w:rFonts w:hint="eastAsia" w:ascii="宋体" w:hAnsi="宋体" w:eastAsia="宋体"/>
              </w:rPr>
            </w:pPr>
            <w:r>
              <w:rPr>
                <w:rFonts w:ascii="宋体" w:hAnsi="宋体" w:eastAsia="宋体"/>
              </w:rPr>
              <w:t>评</w:t>
            </w:r>
            <w:r>
              <w:rPr>
                <w:rFonts w:hint="eastAsia" w:ascii="宋体" w:hAnsi="宋体" w:eastAsia="宋体"/>
              </w:rPr>
              <w:t>定</w:t>
            </w:r>
            <w:r>
              <w:rPr>
                <w:rFonts w:ascii="宋体" w:hAnsi="宋体" w:eastAsia="宋体"/>
              </w:rPr>
              <w:t>细则</w:t>
            </w:r>
          </w:p>
        </w:tc>
        <w:tc>
          <w:tcPr>
            <w:tcW w:w="982" w:type="dxa"/>
            <w:shd w:val="clear" w:color="auto" w:fill="FFFFFF"/>
            <w:vAlign w:val="center"/>
          </w:tcPr>
          <w:p w14:paraId="6DA1CC85">
            <w:pPr>
              <w:pStyle w:val="30"/>
              <w:jc w:val="center"/>
              <w:rPr>
                <w:rFonts w:hint="eastAsia" w:ascii="宋体" w:hAnsi="宋体" w:eastAsia="宋体"/>
              </w:rPr>
            </w:pPr>
            <w:r>
              <w:rPr>
                <w:rFonts w:hint="eastAsia" w:ascii="宋体" w:hAnsi="宋体" w:eastAsia="宋体"/>
              </w:rPr>
              <w:t>占比</w:t>
            </w:r>
          </w:p>
        </w:tc>
      </w:tr>
      <w:tr w14:paraId="6EAA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582" w:type="dxa"/>
            <w:vAlign w:val="center"/>
          </w:tcPr>
          <w:p w14:paraId="15B15AD3">
            <w:pPr>
              <w:jc w:val="center"/>
              <w:rPr>
                <w:rFonts w:hint="eastAsia" w:ascii="宋体" w:hAnsi="宋体"/>
                <w:szCs w:val="21"/>
              </w:rPr>
            </w:pPr>
            <w:r>
              <w:rPr>
                <w:rFonts w:hint="eastAsia" w:ascii="宋体" w:hAnsi="宋体"/>
                <w:szCs w:val="21"/>
              </w:rPr>
              <w:t>考勤</w:t>
            </w:r>
          </w:p>
        </w:tc>
        <w:tc>
          <w:tcPr>
            <w:tcW w:w="6000" w:type="dxa"/>
            <w:vAlign w:val="center"/>
          </w:tcPr>
          <w:p w14:paraId="4FF60A1F">
            <w:pPr>
              <w:widowControl/>
              <w:adjustRightInd w:val="0"/>
              <w:snapToGrid w:val="0"/>
              <w:jc w:val="left"/>
              <w:rPr>
                <w:rFonts w:hint="eastAsia" w:ascii="宋体" w:hAnsi="宋体"/>
                <w:szCs w:val="21"/>
              </w:rPr>
            </w:pPr>
            <w:r>
              <w:rPr>
                <w:rFonts w:hint="eastAsia" w:ascii="宋体" w:hAnsi="宋体" w:eastAsia="宋体" w:cs="宋体"/>
                <w:kern w:val="0"/>
                <w:szCs w:val="21"/>
              </w:rPr>
              <w:t>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tc>
        <w:tc>
          <w:tcPr>
            <w:tcW w:w="982" w:type="dxa"/>
            <w:vAlign w:val="center"/>
          </w:tcPr>
          <w:p w14:paraId="2CEF2D51">
            <w:pPr>
              <w:pStyle w:val="30"/>
              <w:jc w:val="center"/>
              <w:rPr>
                <w:rFonts w:hint="eastAsia" w:ascii="宋体" w:hAnsi="宋体" w:eastAsia="宋体"/>
              </w:rPr>
            </w:pPr>
            <w:r>
              <w:rPr>
                <w:rFonts w:hint="eastAsia" w:ascii="宋体" w:hAnsi="宋体" w:eastAsia="宋体"/>
              </w:rPr>
              <w:t>10</w:t>
            </w:r>
            <w:r>
              <w:rPr>
                <w:rFonts w:ascii="宋体" w:hAnsi="宋体" w:eastAsia="宋体"/>
              </w:rPr>
              <w:t>%</w:t>
            </w:r>
          </w:p>
        </w:tc>
      </w:tr>
      <w:tr w14:paraId="45D5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582" w:type="dxa"/>
            <w:vAlign w:val="center"/>
          </w:tcPr>
          <w:p w14:paraId="14412878">
            <w:pPr>
              <w:jc w:val="center"/>
              <w:rPr>
                <w:rFonts w:hint="eastAsia" w:ascii="宋体" w:hAnsi="宋体"/>
                <w:szCs w:val="21"/>
              </w:rPr>
            </w:pPr>
            <w:r>
              <w:rPr>
                <w:rFonts w:hint="eastAsia" w:ascii="宋体" w:hAnsi="宋体"/>
                <w:szCs w:val="21"/>
              </w:rPr>
              <w:t>课堂表现</w:t>
            </w:r>
          </w:p>
        </w:tc>
        <w:tc>
          <w:tcPr>
            <w:tcW w:w="6000" w:type="dxa"/>
            <w:vAlign w:val="center"/>
          </w:tcPr>
          <w:p w14:paraId="22BA4229">
            <w:pPr>
              <w:widowControl/>
              <w:adjustRightInd w:val="0"/>
              <w:snapToGrid w:val="0"/>
              <w:jc w:val="left"/>
              <w:rPr>
                <w:rFonts w:hint="eastAsia" w:ascii="宋体" w:hAnsi="宋体"/>
                <w:bCs/>
                <w:kern w:val="24"/>
                <w:szCs w:val="21"/>
              </w:rPr>
            </w:pPr>
            <w:r>
              <w:rPr>
                <w:rFonts w:hint="eastAsia" w:ascii="宋体" w:hAnsi="宋体" w:eastAsia="宋体" w:cs="宋体"/>
                <w:kern w:val="0"/>
                <w:szCs w:val="21"/>
              </w:rPr>
              <w:t>每章组织进行</w:t>
            </w:r>
            <w:r>
              <w:rPr>
                <w:rFonts w:ascii="宋体" w:hAnsi="宋体" w:eastAsia="宋体" w:cs="宋体"/>
                <w:kern w:val="0"/>
                <w:szCs w:val="21"/>
              </w:rPr>
              <w:t>1-3</w:t>
            </w:r>
            <w:r>
              <w:rPr>
                <w:rFonts w:hint="eastAsia" w:ascii="宋体" w:hAnsi="宋体" w:eastAsia="宋体" w:cs="宋体"/>
                <w:kern w:val="0"/>
                <w:szCs w:val="21"/>
              </w:rPr>
              <w:t>次讨论，主要考核学生对知识的理解与思考情况。根据回答给出相应分数。</w:t>
            </w:r>
          </w:p>
        </w:tc>
        <w:tc>
          <w:tcPr>
            <w:tcW w:w="982" w:type="dxa"/>
            <w:vAlign w:val="center"/>
          </w:tcPr>
          <w:p w14:paraId="5E88EC12">
            <w:pPr>
              <w:pStyle w:val="30"/>
              <w:jc w:val="center"/>
              <w:rPr>
                <w:rFonts w:hint="eastAsia" w:ascii="宋体" w:hAnsi="宋体" w:eastAsia="宋体"/>
              </w:rPr>
            </w:pPr>
            <w:r>
              <w:rPr>
                <w:rFonts w:hint="eastAsia" w:ascii="宋体" w:hAnsi="宋体" w:eastAsia="宋体"/>
              </w:rPr>
              <w:t>10</w:t>
            </w:r>
            <w:r>
              <w:rPr>
                <w:rFonts w:ascii="宋体" w:hAnsi="宋体" w:eastAsia="宋体"/>
              </w:rPr>
              <w:t>%</w:t>
            </w:r>
          </w:p>
        </w:tc>
      </w:tr>
      <w:tr w14:paraId="791A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582" w:type="dxa"/>
            <w:vAlign w:val="center"/>
          </w:tcPr>
          <w:p w14:paraId="22CABCF7">
            <w:pPr>
              <w:jc w:val="center"/>
              <w:rPr>
                <w:rFonts w:hint="eastAsia" w:ascii="宋体" w:hAnsi="宋体"/>
                <w:szCs w:val="21"/>
              </w:rPr>
            </w:pPr>
            <w:r>
              <w:rPr>
                <w:rFonts w:hint="eastAsia" w:ascii="宋体" w:hAnsi="宋体"/>
                <w:szCs w:val="21"/>
              </w:rPr>
              <w:t>平时作业</w:t>
            </w:r>
          </w:p>
        </w:tc>
        <w:tc>
          <w:tcPr>
            <w:tcW w:w="6000" w:type="dxa"/>
            <w:vAlign w:val="center"/>
          </w:tcPr>
          <w:p w14:paraId="56C00501">
            <w:pPr>
              <w:rPr>
                <w:rFonts w:hint="eastAsia" w:ascii="宋体" w:hAnsi="宋体"/>
                <w:szCs w:val="21"/>
              </w:rPr>
            </w:pPr>
            <w:r>
              <w:rPr>
                <w:rFonts w:ascii="宋体" w:hAnsi="宋体" w:eastAsia="宋体" w:cs="Times New Roman"/>
                <w:szCs w:val="21"/>
              </w:rPr>
              <w:t>3</w:t>
            </w:r>
            <w:r>
              <w:rPr>
                <w:rFonts w:hint="eastAsia" w:ascii="宋体" w:hAnsi="宋体" w:eastAsia="宋体" w:cs="Times New Roman"/>
                <w:szCs w:val="21"/>
              </w:rPr>
              <w:t>次书面作业，主要考核学生运用教育史知识分析当今教育现象的能力。</w:t>
            </w:r>
          </w:p>
        </w:tc>
        <w:tc>
          <w:tcPr>
            <w:tcW w:w="982" w:type="dxa"/>
            <w:vAlign w:val="center"/>
          </w:tcPr>
          <w:p w14:paraId="1F8CD6D3">
            <w:pPr>
              <w:pStyle w:val="30"/>
              <w:jc w:val="center"/>
              <w:rPr>
                <w:rFonts w:hint="eastAsia" w:ascii="宋体" w:hAnsi="宋体" w:eastAsia="宋体"/>
              </w:rPr>
            </w:pPr>
            <w:r>
              <w:rPr>
                <w:rFonts w:hint="eastAsia" w:ascii="宋体" w:hAnsi="宋体" w:eastAsia="宋体"/>
              </w:rPr>
              <w:t>30</w:t>
            </w:r>
            <w:r>
              <w:rPr>
                <w:rFonts w:ascii="宋体" w:hAnsi="宋体" w:eastAsia="宋体"/>
              </w:rPr>
              <w:t>%</w:t>
            </w:r>
          </w:p>
        </w:tc>
      </w:tr>
      <w:tr w14:paraId="17AC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582" w:type="dxa"/>
            <w:vAlign w:val="center"/>
          </w:tcPr>
          <w:p w14:paraId="7A453880">
            <w:pPr>
              <w:pStyle w:val="30"/>
              <w:jc w:val="center"/>
              <w:rPr>
                <w:rFonts w:hint="eastAsia" w:ascii="宋体" w:hAnsi="宋体" w:eastAsia="宋体"/>
              </w:rPr>
            </w:pPr>
            <w:r>
              <w:rPr>
                <w:rFonts w:ascii="宋体" w:hAnsi="宋体" w:eastAsia="宋体"/>
              </w:rPr>
              <w:t>期末考试</w:t>
            </w:r>
          </w:p>
        </w:tc>
        <w:tc>
          <w:tcPr>
            <w:tcW w:w="6000" w:type="dxa"/>
            <w:vAlign w:val="center"/>
          </w:tcPr>
          <w:p w14:paraId="4C9570D3">
            <w:pPr>
              <w:pStyle w:val="30"/>
              <w:rPr>
                <w:rFonts w:hint="eastAsia" w:ascii="宋体" w:hAnsi="宋体" w:eastAsia="宋体" w:cs="宋体"/>
                <w:bCs/>
                <w:kern w:val="24"/>
              </w:rPr>
            </w:pPr>
            <w:r>
              <w:rPr>
                <w:rFonts w:hint="eastAsia" w:ascii="宋体" w:hAnsi="宋体" w:eastAsia="宋体" w:cs="Times New Roman"/>
                <w:szCs w:val="21"/>
              </w:rPr>
              <w:t>试卷题型包括填空题、简答题、判断题、论述题等，以卷面成绩的5</w:t>
            </w:r>
            <w:r>
              <w:rPr>
                <w:rFonts w:ascii="宋体" w:hAnsi="宋体" w:eastAsia="宋体" w:cs="Times New Roman"/>
                <w:szCs w:val="21"/>
              </w:rPr>
              <w:t>0%</w:t>
            </w:r>
            <w:r>
              <w:rPr>
                <w:rFonts w:hint="eastAsia" w:ascii="宋体" w:hAnsi="宋体" w:eastAsia="宋体" w:cs="Times New Roman"/>
                <w:szCs w:val="21"/>
              </w:rPr>
              <w:t>计入课程总成绩。其中：考核基本概念知识型题目占</w:t>
            </w:r>
            <w:r>
              <w:rPr>
                <w:rFonts w:ascii="宋体" w:hAnsi="宋体" w:eastAsia="宋体" w:cs="Times New Roman"/>
                <w:szCs w:val="21"/>
              </w:rPr>
              <w:t>30%</w:t>
            </w:r>
            <w:r>
              <w:rPr>
                <w:rFonts w:hint="eastAsia" w:ascii="宋体" w:hAnsi="宋体" w:eastAsia="宋体" w:cs="Times New Roman"/>
                <w:szCs w:val="21"/>
              </w:rPr>
              <w:t>；考核知识理解型题目占</w:t>
            </w:r>
            <w:r>
              <w:rPr>
                <w:rFonts w:ascii="宋体" w:hAnsi="宋体" w:eastAsia="宋体" w:cs="Times New Roman"/>
                <w:szCs w:val="21"/>
              </w:rPr>
              <w:t>30%</w:t>
            </w:r>
            <w:r>
              <w:rPr>
                <w:rFonts w:hint="eastAsia" w:ascii="宋体" w:hAnsi="宋体" w:eastAsia="宋体" w:cs="Times New Roman"/>
                <w:szCs w:val="21"/>
              </w:rPr>
              <w:t>；考核综合分析能力题目占</w:t>
            </w:r>
            <w:r>
              <w:rPr>
                <w:rFonts w:ascii="宋体" w:hAnsi="宋体" w:eastAsia="宋体" w:cs="Times New Roman"/>
                <w:szCs w:val="21"/>
              </w:rPr>
              <w:t>40%</w:t>
            </w:r>
            <w:r>
              <w:rPr>
                <w:rFonts w:hint="eastAsia" w:ascii="宋体" w:hAnsi="宋体" w:eastAsia="宋体" w:cs="Times New Roman"/>
                <w:szCs w:val="21"/>
              </w:rPr>
              <w:t>。</w:t>
            </w:r>
          </w:p>
        </w:tc>
        <w:tc>
          <w:tcPr>
            <w:tcW w:w="982" w:type="dxa"/>
            <w:vAlign w:val="center"/>
          </w:tcPr>
          <w:p w14:paraId="1C161EE7">
            <w:pPr>
              <w:pStyle w:val="30"/>
              <w:jc w:val="center"/>
              <w:rPr>
                <w:rFonts w:hint="eastAsia" w:ascii="宋体" w:hAnsi="宋体" w:eastAsia="宋体"/>
              </w:rPr>
            </w:pPr>
            <w:r>
              <w:rPr>
                <w:rFonts w:hint="eastAsia" w:ascii="宋体" w:hAnsi="宋体" w:eastAsia="宋体"/>
              </w:rPr>
              <w:t>50</w:t>
            </w:r>
            <w:r>
              <w:rPr>
                <w:rFonts w:ascii="宋体" w:hAnsi="宋体" w:eastAsia="宋体"/>
              </w:rPr>
              <w:t>%</w:t>
            </w:r>
          </w:p>
        </w:tc>
      </w:tr>
      <w:tr w14:paraId="741E8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82" w:type="dxa"/>
            <w:vAlign w:val="center"/>
          </w:tcPr>
          <w:p w14:paraId="47EC6BCC">
            <w:pPr>
              <w:pStyle w:val="30"/>
              <w:jc w:val="center"/>
              <w:rPr>
                <w:rFonts w:hint="eastAsia" w:ascii="宋体" w:hAnsi="宋体" w:eastAsia="宋体"/>
              </w:rPr>
            </w:pPr>
            <w:r>
              <w:rPr>
                <w:rFonts w:hint="eastAsia" w:ascii="宋体" w:hAnsi="宋体" w:eastAsia="宋体"/>
              </w:rPr>
              <w:t>合计</w:t>
            </w:r>
          </w:p>
        </w:tc>
        <w:tc>
          <w:tcPr>
            <w:tcW w:w="6000" w:type="dxa"/>
            <w:vAlign w:val="center"/>
          </w:tcPr>
          <w:p w14:paraId="53F05C1B">
            <w:pPr>
              <w:pStyle w:val="30"/>
              <w:rPr>
                <w:rFonts w:hint="eastAsia" w:ascii="宋体" w:hAnsi="宋体" w:eastAsia="宋体"/>
                <w:bCs/>
                <w:kern w:val="24"/>
              </w:rPr>
            </w:pPr>
          </w:p>
        </w:tc>
        <w:tc>
          <w:tcPr>
            <w:tcW w:w="982" w:type="dxa"/>
            <w:vAlign w:val="center"/>
          </w:tcPr>
          <w:p w14:paraId="470A6055">
            <w:pPr>
              <w:pStyle w:val="30"/>
              <w:jc w:val="center"/>
              <w:rPr>
                <w:rFonts w:hint="eastAsia" w:ascii="宋体" w:hAnsi="宋体" w:eastAsia="宋体"/>
              </w:rPr>
            </w:pPr>
            <w:r>
              <w:rPr>
                <w:rFonts w:hint="eastAsia" w:ascii="宋体" w:hAnsi="宋体" w:eastAsia="宋体"/>
              </w:rPr>
              <w:t>100%</w:t>
            </w:r>
          </w:p>
        </w:tc>
      </w:tr>
    </w:tbl>
    <w:p w14:paraId="51F948C7">
      <w:pPr>
        <w:spacing w:line="360" w:lineRule="auto"/>
        <w:ind w:firstLine="422" w:firstLineChars="200"/>
        <w:rPr>
          <w:b/>
          <w:szCs w:val="21"/>
        </w:rPr>
      </w:pPr>
      <w:r>
        <w:rPr>
          <w:rFonts w:hint="eastAsia"/>
          <w:b/>
          <w:szCs w:val="21"/>
        </w:rPr>
        <w:t>（三）成绩评定细则</w:t>
      </w:r>
    </w:p>
    <w:p w14:paraId="6369EBA8">
      <w:pPr>
        <w:adjustRightInd w:val="0"/>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w:t>
      </w:r>
      <w:r>
        <w:rPr>
          <w:rFonts w:hint="eastAsia" w:ascii="宋体" w:hAnsi="宋体" w:eastAsia="宋体" w:cs="Times New Roman"/>
          <w:szCs w:val="21"/>
        </w:rPr>
        <w:t>，否则总评成绩不及格，需要补考或重修。每门课程目标总体达成度计算方法如下：</w:t>
      </w:r>
    </w:p>
    <w:p w14:paraId="7182856A">
      <w:pPr>
        <w:adjustRightInd w:val="0"/>
        <w:snapToGrid w:val="0"/>
        <w:spacing w:line="360" w:lineRule="auto"/>
        <w:jc w:val="left"/>
        <w:rPr>
          <w:rFonts w:hint="eastAsia" w:ascii="宋体" w:hAnsi="宋体" w:eastAsia="宋体" w:cs="Times New Roman"/>
          <w:sz w:val="24"/>
        </w:rPr>
      </w:pPr>
      <w:r>
        <w:rPr>
          <w:rFonts w:ascii="宋体" w:hAnsi="宋体" w:eastAsia="宋体" w:cs="Times New Roman"/>
          <w:position w:val="-26"/>
          <w:sz w:val="24"/>
        </w:rPr>
        <w:object>
          <v:shape id="_x0000_i1040" o:spt="75" type="#_x0000_t75" style="height:26.5pt;width:376pt;" o:ole="t" filled="f" o:preferrelative="t" stroked="f" coordsize="21600,21600">
            <v:path/>
            <v:fill on="f" focussize="0,0"/>
            <v:stroke on="f" joinstyle="miter"/>
            <v:imagedata r:id="rId12" o:title=""/>
            <o:lock v:ext="edit" aspectratio="t"/>
            <w10:wrap type="none"/>
            <w10:anchorlock/>
          </v:shape>
          <o:OLEObject Type="Embed" ProgID="Equation.KSEE3" ShapeID="_x0000_i1040" DrawAspect="Content" ObjectID="_1468075740" r:id="rId28">
            <o:LockedField>false</o:LockedField>
          </o:OLEObject>
        </w:object>
      </w:r>
    </w:p>
    <w:p w14:paraId="3745173D">
      <w:pPr>
        <w:adjustRightInd w:val="0"/>
        <w:snapToGrid w:val="0"/>
        <w:spacing w:before="62" w:beforeLines="20" w:after="62" w:afterLines="20" w:line="360" w:lineRule="auto"/>
        <w:rPr>
          <w:rFonts w:hint="eastAsia" w:ascii="宋体" w:hAnsi="宋体" w:eastAsia="宋体" w:cs="Times New Roman"/>
          <w:b/>
          <w:sz w:val="24"/>
        </w:rPr>
      </w:pPr>
      <w:r>
        <w:rPr>
          <w:rFonts w:hint="eastAsia" w:ascii="宋体" w:hAnsi="宋体" w:eastAsia="宋体" w:cs="Times New Roman"/>
          <w:b/>
          <w:sz w:val="24"/>
        </w:rPr>
        <w:t>五、有关说明</w:t>
      </w:r>
    </w:p>
    <w:p w14:paraId="70995001">
      <w:pPr>
        <w:adjustRightInd w:val="0"/>
        <w:snapToGrid w:val="0"/>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（一）持续改进</w:t>
      </w:r>
    </w:p>
    <w:p w14:paraId="449F3631">
      <w:pPr>
        <w:adjustRightInd w:val="0"/>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本课程根据学生作业、课堂讨论、教学环节、平时考核情况和学生、教学督导等的反馈，及时对教学中的不足之处进行改进，并在下一轮课程教学中整改完善，确保相应毕业要求指标点达成。</w:t>
      </w:r>
    </w:p>
    <w:p w14:paraId="2AEECB25">
      <w:pPr>
        <w:adjustRightInd w:val="0"/>
        <w:snapToGrid w:val="0"/>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（二）参考书目及学习资料</w:t>
      </w:r>
    </w:p>
    <w:p w14:paraId="25F42003">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课程教材</w:t>
      </w:r>
    </w:p>
    <w:p w14:paraId="217CD73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张斌贤等</w:t>
      </w:r>
      <w:r>
        <w:rPr>
          <w:rFonts w:ascii="宋体" w:hAnsi="宋体" w:eastAsia="宋体" w:cs="Times New Roman"/>
          <w:szCs w:val="21"/>
        </w:rPr>
        <w:t>.</w:t>
      </w:r>
      <w:r>
        <w:rPr>
          <w:rFonts w:hint="eastAsia" w:ascii="宋体" w:hAnsi="宋体" w:eastAsia="宋体" w:cs="Times New Roman"/>
          <w:szCs w:val="21"/>
        </w:rPr>
        <w:t>西方教育思想史</w:t>
      </w:r>
      <w:r>
        <w:rPr>
          <w:rFonts w:ascii="宋体" w:hAnsi="宋体" w:eastAsia="宋体" w:cs="Times New Roman"/>
          <w:szCs w:val="21"/>
        </w:rPr>
        <w:t>[M].</w:t>
      </w:r>
      <w:r>
        <w:rPr>
          <w:rFonts w:hint="eastAsia" w:ascii="宋体" w:hAnsi="宋体" w:eastAsia="宋体" w:cs="Times New Roman"/>
          <w:szCs w:val="21"/>
        </w:rPr>
        <w:t>北京：人民教育出版社，</w:t>
      </w:r>
      <w:r>
        <w:rPr>
          <w:rFonts w:ascii="宋体" w:hAnsi="宋体" w:eastAsia="宋体" w:cs="Times New Roman"/>
          <w:szCs w:val="21"/>
        </w:rPr>
        <w:t>20</w:t>
      </w:r>
      <w:r>
        <w:rPr>
          <w:rFonts w:hint="eastAsia" w:ascii="宋体" w:hAnsi="宋体" w:eastAsia="宋体" w:cs="Times New Roman"/>
          <w:szCs w:val="21"/>
        </w:rPr>
        <w:t>23</w:t>
      </w:r>
      <w:r>
        <w:rPr>
          <w:rFonts w:ascii="宋体" w:hAnsi="宋体" w:eastAsia="宋体" w:cs="Times New Roman"/>
          <w:szCs w:val="21"/>
        </w:rPr>
        <w:t>.</w:t>
      </w:r>
    </w:p>
    <w:p w14:paraId="4D589DA3">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其他教学参考书</w:t>
      </w:r>
    </w:p>
    <w:p w14:paraId="5BA45573">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滕大春</w:t>
      </w:r>
      <w:r>
        <w:rPr>
          <w:rFonts w:ascii="宋体" w:hAnsi="宋体" w:eastAsia="宋体" w:cs="Times New Roman"/>
          <w:szCs w:val="21"/>
        </w:rPr>
        <w:t>.</w:t>
      </w:r>
      <w:r>
        <w:rPr>
          <w:rFonts w:hint="eastAsia" w:ascii="宋体" w:hAnsi="宋体" w:eastAsia="宋体" w:cs="Times New Roman"/>
          <w:szCs w:val="21"/>
        </w:rPr>
        <w:t>外国教育通史</w:t>
      </w:r>
      <w:r>
        <w:rPr>
          <w:rFonts w:ascii="宋体" w:hAnsi="宋体" w:eastAsia="宋体" w:cs="Times New Roman"/>
          <w:szCs w:val="21"/>
        </w:rPr>
        <w:t>[M].</w:t>
      </w:r>
      <w:r>
        <w:rPr>
          <w:rFonts w:hint="eastAsia" w:ascii="宋体" w:hAnsi="宋体" w:eastAsia="宋体" w:cs="Times New Roman"/>
          <w:szCs w:val="21"/>
        </w:rPr>
        <w:t>济南：山东教育出版社，</w:t>
      </w:r>
      <w:r>
        <w:rPr>
          <w:rFonts w:ascii="宋体" w:hAnsi="宋体" w:eastAsia="宋体" w:cs="Times New Roman"/>
          <w:szCs w:val="21"/>
        </w:rPr>
        <w:t>1992-1994.</w:t>
      </w:r>
    </w:p>
    <w:p w14:paraId="4A6EF17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吴式颖</w:t>
      </w:r>
      <w:r>
        <w:rPr>
          <w:rFonts w:ascii="宋体" w:hAnsi="宋体" w:eastAsia="宋体" w:cs="Times New Roman"/>
          <w:szCs w:val="21"/>
        </w:rPr>
        <w:t>.</w:t>
      </w:r>
      <w:r>
        <w:rPr>
          <w:rFonts w:hint="eastAsia" w:ascii="宋体" w:hAnsi="宋体" w:eastAsia="宋体" w:cs="Times New Roman"/>
          <w:szCs w:val="21"/>
        </w:rPr>
        <w:t>外国现代教育史</w:t>
      </w:r>
      <w:r>
        <w:rPr>
          <w:rFonts w:ascii="宋体" w:hAnsi="宋体" w:eastAsia="宋体" w:cs="Times New Roman"/>
          <w:szCs w:val="21"/>
        </w:rPr>
        <w:t>[M].</w:t>
      </w:r>
      <w:r>
        <w:rPr>
          <w:rFonts w:hint="eastAsia" w:ascii="宋体" w:hAnsi="宋体" w:eastAsia="宋体" w:cs="Times New Roman"/>
          <w:szCs w:val="21"/>
        </w:rPr>
        <w:t>北京：人民教育出版社，</w:t>
      </w:r>
      <w:r>
        <w:rPr>
          <w:rFonts w:ascii="宋体" w:hAnsi="宋体" w:eastAsia="宋体" w:cs="Times New Roman"/>
          <w:szCs w:val="21"/>
        </w:rPr>
        <w:t>1997.</w:t>
      </w:r>
    </w:p>
    <w:p w14:paraId="1D3185FF">
      <w:pPr>
        <w:autoSpaceDE w:val="0"/>
        <w:autoSpaceDN w:val="0"/>
        <w:adjustRightInd w:val="0"/>
        <w:snapToGrid w:val="0"/>
        <w:spacing w:line="360" w:lineRule="auto"/>
        <w:ind w:right="1440"/>
        <w:jc w:val="right"/>
        <w:rPr>
          <w:rFonts w:hint="eastAsia" w:ascii="宋体" w:hAnsi="宋体" w:eastAsia="宋体" w:cs="Times New Roman"/>
          <w:kern w:val="0"/>
          <w:szCs w:val="21"/>
        </w:rPr>
      </w:pPr>
      <w:r>
        <w:rPr>
          <w:rFonts w:hint="eastAsia" w:ascii="宋体" w:hAnsi="宋体" w:eastAsia="宋体" w:cs="Times New Roman"/>
          <w:kern w:val="0"/>
          <w:szCs w:val="21"/>
        </w:rPr>
        <w:t>执笔人：赵振杰</w:t>
      </w:r>
    </w:p>
    <w:p w14:paraId="0FEE4A7A">
      <w:pPr>
        <w:autoSpaceDE w:val="0"/>
        <w:autoSpaceDN w:val="0"/>
        <w:adjustRightInd w:val="0"/>
        <w:snapToGrid w:val="0"/>
        <w:spacing w:line="360" w:lineRule="auto"/>
        <w:ind w:right="1440"/>
        <w:jc w:val="right"/>
        <w:rPr>
          <w:rFonts w:hint="eastAsia" w:ascii="宋体" w:hAnsi="宋体" w:eastAsia="宋体" w:cs="Times New Roman"/>
          <w:kern w:val="0"/>
          <w:szCs w:val="21"/>
        </w:rPr>
      </w:pPr>
      <w:r>
        <w:rPr>
          <w:rFonts w:hint="eastAsia" w:ascii="宋体" w:hAnsi="宋体" w:eastAsia="宋体" w:cs="Times New Roman"/>
          <w:kern w:val="0"/>
          <w:szCs w:val="21"/>
        </w:rPr>
        <w:t>审定人：王  健</w:t>
      </w:r>
    </w:p>
    <w:p w14:paraId="43ABDEB2">
      <w:pPr>
        <w:autoSpaceDE w:val="0"/>
        <w:autoSpaceDN w:val="0"/>
        <w:adjustRightInd w:val="0"/>
        <w:snapToGrid w:val="0"/>
        <w:spacing w:line="360" w:lineRule="auto"/>
        <w:ind w:right="1440"/>
        <w:jc w:val="right"/>
        <w:rPr>
          <w:rFonts w:hint="eastAsia" w:ascii="宋体" w:hAnsi="宋体" w:eastAsia="宋体" w:cs="Times New Roman"/>
          <w:kern w:val="0"/>
          <w:szCs w:val="21"/>
        </w:rPr>
      </w:pPr>
      <w:r>
        <w:rPr>
          <w:rFonts w:hint="eastAsia" w:ascii="宋体" w:hAnsi="宋体" w:eastAsia="宋体" w:cs="Times New Roman"/>
          <w:kern w:val="0"/>
          <w:szCs w:val="21"/>
        </w:rPr>
        <w:t>审批人：张志欣</w:t>
      </w:r>
    </w:p>
    <w:p w14:paraId="338B2B3B">
      <w:pPr>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Cs w:val="21"/>
        </w:rPr>
        <w:t xml:space="preserve">                                        批准时间：2025年7月1日</w:t>
      </w:r>
    </w:p>
    <w:p w14:paraId="7D0644BB">
      <w:pPr>
        <w:rPr>
          <w:rFonts w:ascii="Times New Roman" w:hAnsi="Times New Roman" w:eastAsia="宋体" w:cs="Times New Roman"/>
          <w:sz w:val="24"/>
        </w:rPr>
      </w:pPr>
      <w:r>
        <w:rPr>
          <w:rFonts w:hint="eastAsia" w:ascii="Times New Roman" w:hAnsi="Times New Roman" w:eastAsia="宋体" w:cs="Times New Roman"/>
          <w:sz w:val="24"/>
        </w:rPr>
        <w:br w:type="page"/>
      </w:r>
    </w:p>
    <w:p w14:paraId="7487B304">
      <w:pPr>
        <w:spacing w:line="360" w:lineRule="auto"/>
        <w:jc w:val="center"/>
        <w:outlineLvl w:val="0"/>
        <w:rPr>
          <w:rFonts w:ascii="Times New Roman" w:hAnsi="Times New Roman" w:eastAsia="宋体" w:cs="Times New Roman"/>
          <w:b/>
          <w:sz w:val="44"/>
          <w:szCs w:val="44"/>
        </w:rPr>
      </w:pPr>
      <w:bookmarkStart w:id="540" w:name="_Toc369"/>
      <w:bookmarkStart w:id="541" w:name="_Toc12889"/>
      <w:bookmarkStart w:id="542" w:name="_Toc166164850"/>
      <w:bookmarkStart w:id="543" w:name="_Toc20220"/>
      <w:bookmarkStart w:id="544" w:name="_Toc5195"/>
      <w:bookmarkStart w:id="545" w:name="_Toc57017174"/>
      <w:r>
        <w:rPr>
          <w:rFonts w:hint="eastAsia" w:ascii="Times New Roman" w:hAnsi="Times New Roman" w:eastAsia="宋体" w:cs="Times New Roman"/>
          <w:b/>
          <w:sz w:val="44"/>
          <w:szCs w:val="44"/>
        </w:rPr>
        <w:t>《小学教育政策与法规》课程与教学大纲</w:t>
      </w:r>
      <w:bookmarkEnd w:id="540"/>
      <w:bookmarkEnd w:id="541"/>
      <w:bookmarkEnd w:id="542"/>
      <w:bookmarkEnd w:id="543"/>
      <w:bookmarkEnd w:id="544"/>
      <w:bookmarkEnd w:id="545"/>
    </w:p>
    <w:p w14:paraId="14EB8EAD">
      <w:pPr>
        <w:spacing w:line="360" w:lineRule="auto"/>
        <w:jc w:val="center"/>
        <w:rPr>
          <w:rFonts w:ascii="Times New Roman" w:hAnsi="Times New Roman" w:eastAsia="宋体" w:cs="Times New Roman"/>
          <w:b/>
          <w:bCs/>
          <w:sz w:val="28"/>
          <w:szCs w:val="28"/>
        </w:rPr>
      </w:pPr>
      <w:bookmarkStart w:id="546" w:name="_Toc19952"/>
      <w:bookmarkStart w:id="547" w:name="_Toc6412"/>
      <w:bookmarkStart w:id="548" w:name="_Toc6215"/>
      <w:bookmarkStart w:id="549" w:name="_Toc10677"/>
      <w:bookmarkStart w:id="550" w:name="_Toc14310"/>
      <w:bookmarkStart w:id="551" w:name="_Toc13253"/>
      <w:bookmarkStart w:id="552" w:name="_Toc32181"/>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Primary Education Policies and Regulations</w:t>
      </w:r>
      <w:r>
        <w:rPr>
          <w:rFonts w:hint="eastAsia" w:ascii="Times New Roman" w:hAnsi="Times New Roman" w:eastAsia="宋体" w:cs="Times New Roman"/>
          <w:b/>
          <w:bCs/>
          <w:sz w:val="28"/>
          <w:szCs w:val="28"/>
        </w:rPr>
        <w:t>）</w:t>
      </w:r>
      <w:bookmarkEnd w:id="546"/>
      <w:bookmarkEnd w:id="547"/>
      <w:bookmarkEnd w:id="548"/>
      <w:bookmarkEnd w:id="549"/>
      <w:bookmarkEnd w:id="550"/>
      <w:bookmarkEnd w:id="551"/>
      <w:bookmarkEnd w:id="552"/>
    </w:p>
    <w:p w14:paraId="2BCD3DD1">
      <w:pPr>
        <w:spacing w:line="360" w:lineRule="auto"/>
        <w:rPr>
          <w:rFonts w:hint="eastAsia" w:ascii="宋体" w:hAnsi="宋体" w:eastAsia="宋体" w:cs="Times New Roman"/>
          <w:b/>
          <w:bCs/>
          <w:kern w:val="0"/>
          <w:szCs w:val="21"/>
        </w:rPr>
      </w:pPr>
    </w:p>
    <w:p w14:paraId="7BC952E3">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课程名称：小学政策与法规</w:t>
      </w:r>
    </w:p>
    <w:p w14:paraId="757DD81B">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课程代码：2401008</w:t>
      </w:r>
    </w:p>
    <w:p w14:paraId="77D87792">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分：1</w:t>
      </w:r>
    </w:p>
    <w:p w14:paraId="46700E4E">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时：16</w:t>
      </w:r>
    </w:p>
    <w:p w14:paraId="53E1A053">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kern w:val="0"/>
          <w:sz w:val="24"/>
        </w:rPr>
        <w:t>先修课程：</w:t>
      </w:r>
      <w:r>
        <w:rPr>
          <w:rFonts w:ascii="Times New Roman" w:hAnsi="Times New Roman" w:eastAsia="宋体" w:cs="Times New Roman"/>
          <w:b/>
          <w:bCs/>
          <w:sz w:val="24"/>
        </w:rPr>
        <w:t>教育原理、中外教育史、教师职业道德</w:t>
      </w:r>
    </w:p>
    <w:p w14:paraId="11D06FC4">
      <w:pPr>
        <w:spacing w:line="360" w:lineRule="auto"/>
        <w:ind w:firstLine="482" w:firstLineChars="200"/>
        <w:rPr>
          <w:rFonts w:hint="eastAsia" w:ascii="宋体" w:hAnsi="宋体" w:eastAsia="宋体" w:cs="Times New Roman"/>
          <w:b/>
          <w:szCs w:val="20"/>
        </w:rPr>
      </w:pPr>
      <w:r>
        <w:rPr>
          <w:rFonts w:ascii="Times New Roman" w:hAnsi="Times New Roman" w:eastAsia="宋体" w:cs="Times New Roman"/>
          <w:b/>
          <w:bCs/>
          <w:kern w:val="0"/>
          <w:sz w:val="24"/>
        </w:rPr>
        <w:t>适用专业：小学教育</w:t>
      </w:r>
      <w:bookmarkStart w:id="553" w:name="_Toc27846241"/>
      <w:bookmarkStart w:id="554" w:name="_Toc27847259"/>
    </w:p>
    <w:p w14:paraId="045C5CFE">
      <w:pPr>
        <w:adjustRightInd w:val="0"/>
        <w:snapToGrid w:val="0"/>
        <w:spacing w:before="62" w:beforeLines="20" w:after="62" w:afterLines="20" w:line="360" w:lineRule="auto"/>
        <w:rPr>
          <w:rFonts w:hint="eastAsia" w:ascii="宋体" w:hAnsi="宋体" w:eastAsia="宋体" w:cs="Times New Roman"/>
          <w:sz w:val="24"/>
        </w:rPr>
      </w:pPr>
      <w:r>
        <w:rPr>
          <w:rFonts w:hint="eastAsia" w:ascii="宋体" w:hAnsi="宋体" w:eastAsia="宋体" w:cs="Times New Roman"/>
          <w:b/>
          <w:sz w:val="24"/>
          <w:szCs w:val="22"/>
        </w:rPr>
        <w:t>一、课程</w:t>
      </w:r>
      <w:bookmarkEnd w:id="553"/>
      <w:bookmarkEnd w:id="554"/>
      <w:r>
        <w:rPr>
          <w:rFonts w:hint="eastAsia" w:ascii="宋体" w:hAnsi="宋体" w:eastAsia="宋体" w:cs="Times New Roman"/>
          <w:b/>
          <w:sz w:val="24"/>
          <w:szCs w:val="22"/>
        </w:rPr>
        <w:t>简介</w:t>
      </w:r>
    </w:p>
    <w:p w14:paraId="666824E2">
      <w:pPr>
        <w:adjustRightInd w:val="0"/>
        <w:snapToGrid w:val="0"/>
        <w:spacing w:line="360" w:lineRule="auto"/>
        <w:ind w:firstLine="420" w:firstLineChars="200"/>
        <w:rPr>
          <w:rFonts w:hint="eastAsia" w:ascii="宋体" w:hAnsi="等线" w:eastAsia="宋体" w:cs="Times New Roman"/>
          <w:szCs w:val="21"/>
        </w:rPr>
      </w:pPr>
      <w:r>
        <w:rPr>
          <w:rFonts w:hint="eastAsia" w:ascii="宋体" w:hAnsi="宋体" w:eastAsia="宋体" w:cs="Times New Roman"/>
          <w:szCs w:val="21"/>
        </w:rPr>
        <w:t>作为小学教育本科专业的必修教材，本课程以教育政策和教育法规方面的基本概念、官方文本和有关解释为知识基础，初步建立起以小学教育政策和法规应用为主线的知识课程体系。本课程立足于一个实践型、反思型小学教师专业实践的需要兼及小学教育管理者在教育政策学和教育法学的基础上凸显小学教育政策与法规的特定内涵，以新时期涉及小学教育的现实问题为焦点、以典型案例为其切入点、促进文本与实践应用的有机结合。</w:t>
      </w:r>
    </w:p>
    <w:p w14:paraId="445BDD2D">
      <w:pPr>
        <w:adjustRightInd w:val="0"/>
        <w:snapToGrid w:val="0"/>
        <w:spacing w:before="62" w:beforeLines="20" w:after="62" w:afterLines="20" w:line="360" w:lineRule="auto"/>
        <w:rPr>
          <w:rFonts w:hint="eastAsia" w:ascii="宋体" w:hAnsi="宋体" w:eastAsia="宋体" w:cs="Times New Roman"/>
          <w:b/>
          <w:sz w:val="24"/>
          <w:szCs w:val="22"/>
        </w:rPr>
      </w:pPr>
      <w:r>
        <w:rPr>
          <w:rFonts w:hint="eastAsia" w:ascii="宋体" w:hAnsi="宋体" w:eastAsia="宋体" w:cs="Times New Roman"/>
          <w:b/>
          <w:sz w:val="24"/>
          <w:szCs w:val="22"/>
        </w:rPr>
        <w:t>二、课程目标</w:t>
      </w:r>
    </w:p>
    <w:p w14:paraId="1340D07B">
      <w:pPr>
        <w:adjustRightInd w:val="0"/>
        <w:snapToGrid w:val="0"/>
        <w:spacing w:line="360" w:lineRule="auto"/>
        <w:ind w:firstLine="422" w:firstLineChars="200"/>
        <w:rPr>
          <w:rFonts w:hint="eastAsia" w:ascii="宋体" w:hAnsi="等线" w:eastAsia="宋体" w:cs="Times New Roman"/>
          <w:b/>
          <w:szCs w:val="21"/>
        </w:rPr>
      </w:pPr>
      <w:r>
        <w:rPr>
          <w:rFonts w:hint="eastAsia" w:ascii="宋体" w:hAnsi="宋体" w:eastAsia="宋体" w:cs="Times New Roman"/>
          <w:b/>
          <w:szCs w:val="21"/>
        </w:rPr>
        <w:t>（一）课程具体目标</w:t>
      </w:r>
    </w:p>
    <w:p w14:paraId="388ABCF3">
      <w:pPr>
        <w:adjustRightInd w:val="0"/>
        <w:snapToGrid w:val="0"/>
        <w:spacing w:line="360" w:lineRule="auto"/>
        <w:ind w:firstLine="420" w:firstLineChars="200"/>
        <w:rPr>
          <w:rFonts w:hint="eastAsia" w:ascii="宋体" w:hAnsi="等线" w:eastAsia="宋体" w:cs="Times New Roman"/>
          <w:szCs w:val="21"/>
        </w:rPr>
      </w:pPr>
      <w:r>
        <w:rPr>
          <w:rFonts w:hint="eastAsia" w:ascii="宋体" w:hAnsi="宋体" w:eastAsia="宋体" w:cs="Times New Roman"/>
          <w:szCs w:val="21"/>
        </w:rPr>
        <w:t>目标</w:t>
      </w:r>
      <w:r>
        <w:rPr>
          <w:rFonts w:ascii="宋体" w:hAnsi="宋体" w:eastAsia="宋体" w:cs="Times New Roman"/>
          <w:szCs w:val="21"/>
        </w:rPr>
        <w:t>1.</w:t>
      </w:r>
      <w:r>
        <w:rPr>
          <w:rFonts w:hint="eastAsia" w:ascii="宋体" w:hAnsi="宋体" w:eastAsia="宋体" w:cs="Times New Roman"/>
          <w:szCs w:val="21"/>
        </w:rPr>
        <w:t>熟悉教育政策的属性、功能、过程，增强中国特色社会主义核心价值观的理解。</w:t>
      </w:r>
    </w:p>
    <w:p w14:paraId="3D7F8DF2">
      <w:pPr>
        <w:adjustRightInd w:val="0"/>
        <w:snapToGrid w:val="0"/>
        <w:spacing w:line="360" w:lineRule="auto"/>
        <w:ind w:firstLine="420" w:firstLineChars="200"/>
        <w:rPr>
          <w:rFonts w:hint="eastAsia" w:ascii="宋体" w:hAnsi="等线" w:eastAsia="宋体" w:cs="Times New Roman"/>
          <w:szCs w:val="21"/>
        </w:rPr>
      </w:pPr>
      <w:r>
        <w:rPr>
          <w:rFonts w:hint="eastAsia" w:ascii="宋体" w:hAnsi="宋体" w:eastAsia="宋体" w:cs="Times New Roman"/>
          <w:szCs w:val="21"/>
        </w:rPr>
        <w:t>目标</w:t>
      </w:r>
      <w:r>
        <w:rPr>
          <w:rFonts w:ascii="宋体" w:hAnsi="宋体" w:eastAsia="宋体" w:cs="Times New Roman"/>
          <w:szCs w:val="21"/>
        </w:rPr>
        <w:t>2.</w:t>
      </w:r>
      <w:r>
        <w:rPr>
          <w:rFonts w:hint="eastAsia" w:ascii="宋体" w:hAnsi="宋体" w:eastAsia="宋体" w:cs="Times New Roman"/>
          <w:szCs w:val="21"/>
        </w:rPr>
        <w:t>理解我国小学教育政策和法规体系，客观完整的把握我国国情。</w:t>
      </w:r>
    </w:p>
    <w:p w14:paraId="61754452">
      <w:pPr>
        <w:adjustRightInd w:val="0"/>
        <w:snapToGrid w:val="0"/>
        <w:spacing w:line="360" w:lineRule="auto"/>
        <w:ind w:firstLine="420" w:firstLineChars="200"/>
        <w:rPr>
          <w:rFonts w:hint="eastAsia" w:ascii="宋体" w:hAnsi="等线" w:eastAsia="宋体" w:cs="Times New Roman"/>
          <w:szCs w:val="21"/>
        </w:rPr>
      </w:pPr>
      <w:r>
        <w:rPr>
          <w:rFonts w:hint="eastAsia" w:ascii="宋体" w:hAnsi="宋体" w:eastAsia="宋体" w:cs="Times New Roman"/>
          <w:szCs w:val="21"/>
        </w:rPr>
        <w:t>目标3</w:t>
      </w:r>
      <w:r>
        <w:rPr>
          <w:rFonts w:ascii="宋体" w:hAnsi="宋体" w:eastAsia="宋体" w:cs="Times New Roman"/>
          <w:szCs w:val="21"/>
        </w:rPr>
        <w:t>.</w:t>
      </w:r>
      <w:r>
        <w:rPr>
          <w:rFonts w:hint="eastAsia" w:ascii="宋体" w:hAnsi="宋体" w:eastAsia="宋体" w:cs="Times New Roman"/>
          <w:szCs w:val="21"/>
        </w:rPr>
        <w:t>掌握小学教师、小学生的权益和保护规定，增强职业责任感。</w:t>
      </w:r>
    </w:p>
    <w:p w14:paraId="6ACADB99">
      <w:pPr>
        <w:adjustRightInd w:val="0"/>
        <w:snapToGrid w:val="0"/>
        <w:spacing w:line="360" w:lineRule="auto"/>
        <w:ind w:firstLine="420" w:firstLineChars="200"/>
        <w:rPr>
          <w:rFonts w:hint="eastAsia" w:ascii="宋体" w:hAnsi="等线" w:eastAsia="宋体" w:cs="Times New Roman"/>
          <w:szCs w:val="21"/>
        </w:rPr>
      </w:pPr>
      <w:r>
        <w:rPr>
          <w:rFonts w:hint="eastAsia" w:ascii="宋体" w:hAnsi="宋体" w:eastAsia="宋体" w:cs="Times New Roman"/>
          <w:szCs w:val="21"/>
        </w:rPr>
        <w:t>目标4</w:t>
      </w:r>
      <w:r>
        <w:rPr>
          <w:rFonts w:ascii="宋体" w:hAnsi="宋体" w:eastAsia="宋体" w:cs="Times New Roman"/>
          <w:szCs w:val="21"/>
        </w:rPr>
        <w:t>.</w:t>
      </w:r>
      <w:r>
        <w:rPr>
          <w:rFonts w:hint="eastAsia" w:ascii="宋体" w:hAnsi="宋体" w:eastAsia="宋体" w:cs="Times New Roman"/>
          <w:szCs w:val="21"/>
        </w:rPr>
        <w:t>掌握政府、家庭和社会的教育职责和责任，强化教育的政治功能。</w:t>
      </w:r>
    </w:p>
    <w:p w14:paraId="0357664F">
      <w:pPr>
        <w:adjustRightInd w:val="0"/>
        <w:snapToGrid w:val="0"/>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目标5</w:t>
      </w:r>
      <w:r>
        <w:rPr>
          <w:rFonts w:ascii="宋体" w:hAnsi="宋体" w:eastAsia="宋体" w:cs="Times New Roman"/>
          <w:szCs w:val="21"/>
        </w:rPr>
        <w:t>.</w:t>
      </w:r>
      <w:r>
        <w:rPr>
          <w:rFonts w:hint="eastAsia" w:ascii="宋体" w:hAnsi="宋体" w:eastAsia="宋体" w:cs="Times New Roman"/>
          <w:szCs w:val="21"/>
        </w:rPr>
        <w:t>运用我国涉及小学生的重要法律法规和政策，树立依法执教的意识。</w:t>
      </w:r>
    </w:p>
    <w:p w14:paraId="4AFCA390">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（二）课程目标与专业毕业要求的关系</w:t>
      </w:r>
    </w:p>
    <w:tbl>
      <w:tblPr>
        <w:tblStyle w:val="1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5161"/>
        <w:gridCol w:w="1291"/>
      </w:tblGrid>
      <w:tr w14:paraId="3D66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05" w:type="dxa"/>
            <w:vAlign w:val="center"/>
          </w:tcPr>
          <w:p w14:paraId="591BB45C">
            <w:pPr>
              <w:adjustRightInd w:val="0"/>
              <w:snapToGrid w:val="0"/>
              <w:spacing w:line="276" w:lineRule="auto"/>
              <w:jc w:val="center"/>
              <w:rPr>
                <w:rFonts w:ascii="宋体" w:hAnsi="Calibri" w:eastAsia="宋体" w:cs="Times New Roman"/>
                <w:b/>
                <w:bCs/>
                <w:szCs w:val="21"/>
              </w:rPr>
            </w:pPr>
            <w:r>
              <w:rPr>
                <w:rFonts w:hint="eastAsia" w:ascii="宋体" w:hAnsi="宋体" w:eastAsia="宋体" w:cs="Times New Roman"/>
                <w:b/>
                <w:bCs/>
                <w:szCs w:val="21"/>
              </w:rPr>
              <w:t>毕业要求</w:t>
            </w:r>
          </w:p>
        </w:tc>
        <w:tc>
          <w:tcPr>
            <w:tcW w:w="4535" w:type="dxa"/>
            <w:vAlign w:val="center"/>
          </w:tcPr>
          <w:p w14:paraId="16E32097">
            <w:pPr>
              <w:adjustRightInd w:val="0"/>
              <w:snapToGrid w:val="0"/>
              <w:spacing w:line="276" w:lineRule="auto"/>
              <w:jc w:val="center"/>
              <w:rPr>
                <w:rFonts w:ascii="宋体" w:hAnsi="Calibri" w:eastAsia="宋体" w:cs="Times New Roman"/>
                <w:b/>
                <w:bCs/>
                <w:szCs w:val="21"/>
              </w:rPr>
            </w:pPr>
            <w:r>
              <w:rPr>
                <w:rFonts w:hint="eastAsia" w:ascii="宋体" w:hAnsi="宋体" w:eastAsia="宋体" w:cs="Times New Roman"/>
                <w:b/>
                <w:bCs/>
                <w:szCs w:val="21"/>
              </w:rPr>
              <w:t>支撑的毕业要求指标点</w:t>
            </w:r>
          </w:p>
        </w:tc>
        <w:tc>
          <w:tcPr>
            <w:tcW w:w="1134" w:type="dxa"/>
            <w:vAlign w:val="center"/>
          </w:tcPr>
          <w:p w14:paraId="2265FB4D">
            <w:pPr>
              <w:adjustRightInd w:val="0"/>
              <w:snapToGrid w:val="0"/>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2EE5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305" w:type="dxa"/>
            <w:vAlign w:val="center"/>
          </w:tcPr>
          <w:p w14:paraId="21439C72">
            <w:pPr>
              <w:adjustRightInd w:val="0"/>
              <w:snapToGrid w:val="0"/>
              <w:spacing w:line="276" w:lineRule="auto"/>
              <w:jc w:val="center"/>
              <w:rPr>
                <w:rFonts w:ascii="宋体" w:hAnsi="Calibri" w:eastAsia="宋体" w:cs="Times New Roman"/>
                <w:kern w:val="0"/>
                <w:szCs w:val="21"/>
              </w:rPr>
            </w:pPr>
            <w:r>
              <w:rPr>
                <w:rFonts w:hint="eastAsia" w:ascii="宋体" w:hAnsi="宋体" w:eastAsia="宋体" w:cs="Times New Roman"/>
                <w:kern w:val="0"/>
                <w:szCs w:val="21"/>
              </w:rPr>
              <w:t>毕业要求</w:t>
            </w:r>
            <w:r>
              <w:rPr>
                <w:rFonts w:ascii="宋体" w:hAnsi="宋体" w:eastAsia="宋体" w:cs="Times New Roman"/>
                <w:kern w:val="0"/>
                <w:szCs w:val="21"/>
              </w:rPr>
              <w:t>1</w:t>
            </w:r>
            <w:r>
              <w:rPr>
                <w:rFonts w:ascii="宋体" w:hAnsi="Calibri" w:eastAsia="宋体" w:cs="Times New Roman"/>
                <w:kern w:val="0"/>
                <w:szCs w:val="21"/>
              </w:rPr>
              <w:t>.</w:t>
            </w:r>
          </w:p>
          <w:p w14:paraId="39D58C1E">
            <w:pPr>
              <w:adjustRightInd w:val="0"/>
              <w:snapToGrid w:val="0"/>
              <w:spacing w:line="276" w:lineRule="auto"/>
              <w:jc w:val="center"/>
              <w:rPr>
                <w:rFonts w:ascii="宋体" w:hAnsi="Calibri" w:eastAsia="宋体" w:cs="Times New Roman"/>
                <w:kern w:val="0"/>
                <w:szCs w:val="21"/>
              </w:rPr>
            </w:pPr>
            <w:r>
              <w:rPr>
                <w:rFonts w:hint="eastAsia" w:ascii="宋体" w:hAnsi="宋体" w:eastAsia="宋体" w:cs="Times New Roman"/>
                <w:kern w:val="0"/>
                <w:szCs w:val="21"/>
              </w:rPr>
              <w:t>师德规范</w:t>
            </w:r>
          </w:p>
        </w:tc>
        <w:tc>
          <w:tcPr>
            <w:tcW w:w="4535" w:type="dxa"/>
            <w:vAlign w:val="center"/>
          </w:tcPr>
          <w:p w14:paraId="506D3869">
            <w:pPr>
              <w:adjustRightInd w:val="0"/>
              <w:snapToGrid w:val="0"/>
              <w:spacing w:line="276" w:lineRule="auto"/>
              <w:jc w:val="left"/>
              <w:rPr>
                <w:rFonts w:ascii="宋体" w:hAnsi="Calibri" w:eastAsia="宋体" w:cs="Times New Roman"/>
                <w:kern w:val="0"/>
                <w:sz w:val="18"/>
                <w:szCs w:val="18"/>
              </w:rPr>
            </w:pPr>
            <w:r>
              <w:rPr>
                <w:rFonts w:hint="eastAsia" w:ascii="宋体" w:hAnsi="宋体" w:eastAsia="宋体" w:cs="宋体"/>
                <w:b/>
                <w:kern w:val="0"/>
                <w:sz w:val="20"/>
                <w:szCs w:val="20"/>
              </w:rPr>
              <w:t>指标点1-2</w:t>
            </w:r>
            <w:r>
              <w:rPr>
                <w:rFonts w:hint="eastAsia" w:ascii="宋体" w:hAnsi="宋体" w:eastAsia="宋体" w:cs="宋体"/>
                <w:kern w:val="0"/>
                <w:sz w:val="20"/>
                <w:szCs w:val="20"/>
              </w:rPr>
              <w:t>：【职业修养良好】以立德树人为己任，掌握立德树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w:t>
            </w:r>
          </w:p>
        </w:tc>
        <w:tc>
          <w:tcPr>
            <w:tcW w:w="1134" w:type="dxa"/>
            <w:vAlign w:val="center"/>
          </w:tcPr>
          <w:p w14:paraId="0919E200">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w:t>
            </w:r>
          </w:p>
          <w:p w14:paraId="40FFC2E9">
            <w:pPr>
              <w:adjustRightInd w:val="0"/>
              <w:snapToGrid w:val="0"/>
              <w:spacing w:line="276" w:lineRule="auto"/>
              <w:jc w:val="center"/>
              <w:rPr>
                <w:rFonts w:hint="eastAsia" w:ascii="宋体" w:hAnsi="宋体" w:eastAsia="宋体" w:cs="宋体"/>
                <w:kern w:val="0"/>
                <w:sz w:val="20"/>
                <w:szCs w:val="20"/>
              </w:rPr>
            </w:pPr>
            <w:r>
              <w:rPr>
                <w:rFonts w:ascii="宋体" w:hAnsi="宋体" w:eastAsia="宋体" w:cs="宋体"/>
                <w:bCs/>
                <w:szCs w:val="21"/>
              </w:rPr>
              <w:t>1</w:t>
            </w:r>
            <w:r>
              <w:rPr>
                <w:rFonts w:hint="eastAsia" w:ascii="宋体" w:hAnsi="宋体" w:eastAsia="宋体" w:cs="宋体"/>
                <w:bCs/>
                <w:szCs w:val="21"/>
                <w:lang w:eastAsia="zh"/>
              </w:rPr>
              <w:t>，5</w:t>
            </w:r>
          </w:p>
        </w:tc>
      </w:tr>
      <w:tr w14:paraId="0EB2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305" w:type="dxa"/>
            <w:vMerge w:val="restart"/>
            <w:vAlign w:val="center"/>
          </w:tcPr>
          <w:p w14:paraId="2C9DA115">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毕业要求2</w:t>
            </w:r>
            <w:r>
              <w:rPr>
                <w:rFonts w:ascii="宋体" w:hAnsi="宋体" w:eastAsia="宋体" w:cs="Times New Roman"/>
                <w:kern w:val="0"/>
                <w:szCs w:val="21"/>
              </w:rPr>
              <w:t>.</w:t>
            </w:r>
          </w:p>
          <w:p w14:paraId="36396265">
            <w:pPr>
              <w:adjustRightInd w:val="0"/>
              <w:snapToGrid w:val="0"/>
              <w:spacing w:line="276" w:lineRule="auto"/>
              <w:jc w:val="center"/>
              <w:rPr>
                <w:rFonts w:ascii="宋体" w:hAnsi="Calibri" w:eastAsia="宋体" w:cs="Times New Roman"/>
                <w:spacing w:val="2"/>
                <w:kern w:val="0"/>
                <w:szCs w:val="21"/>
              </w:rPr>
            </w:pPr>
            <w:r>
              <w:rPr>
                <w:rFonts w:hint="eastAsia" w:ascii="宋体" w:hAnsi="宋体" w:eastAsia="宋体" w:cs="Times New Roman"/>
                <w:kern w:val="0"/>
                <w:szCs w:val="21"/>
              </w:rPr>
              <w:t>教育情怀</w:t>
            </w:r>
          </w:p>
        </w:tc>
        <w:tc>
          <w:tcPr>
            <w:tcW w:w="4535" w:type="dxa"/>
            <w:vAlign w:val="center"/>
          </w:tcPr>
          <w:p w14:paraId="52808645">
            <w:pPr>
              <w:adjustRightInd w:val="0"/>
              <w:snapToGrid w:val="0"/>
              <w:spacing w:line="276" w:lineRule="auto"/>
              <w:jc w:val="left"/>
              <w:rPr>
                <w:rFonts w:ascii="宋体" w:hAnsi="Calibri" w:eastAsia="宋体" w:cs="Times New Roman"/>
                <w:kern w:val="0"/>
                <w:sz w:val="18"/>
                <w:szCs w:val="18"/>
              </w:rPr>
            </w:pPr>
            <w:r>
              <w:rPr>
                <w:rFonts w:hint="eastAsia" w:ascii="宋体" w:hAnsi="宋体" w:eastAsia="宋体" w:cs="宋体"/>
                <w:b/>
                <w:kern w:val="0"/>
                <w:sz w:val="20"/>
                <w:szCs w:val="20"/>
              </w:rPr>
              <w:t>指标点2-1</w:t>
            </w:r>
            <w:r>
              <w:rPr>
                <w:rFonts w:hint="eastAsia" w:ascii="宋体" w:hAnsi="宋体" w:eastAsia="宋体" w:cs="宋体"/>
                <w:kern w:val="0"/>
                <w:sz w:val="20"/>
                <w:szCs w:val="20"/>
              </w:rPr>
              <w:t>：【职业认同感强】具有家国情怀，热爱教育事业，秉持“坚忍诚勇，立己达人”的师范精神，践行教育家精神，乐于从教，热爱教育事业，具有较高的教师职业认同感，认同教师职业的意义、价值与专业性。</w:t>
            </w:r>
          </w:p>
        </w:tc>
        <w:tc>
          <w:tcPr>
            <w:tcW w:w="1134" w:type="dxa"/>
            <w:vAlign w:val="center"/>
          </w:tcPr>
          <w:p w14:paraId="27ABED25">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课程目标</w:t>
            </w:r>
          </w:p>
          <w:p w14:paraId="09B56363">
            <w:pPr>
              <w:adjustRightInd w:val="0"/>
              <w:snapToGrid w:val="0"/>
              <w:spacing w:line="276" w:lineRule="auto"/>
              <w:jc w:val="center"/>
              <w:rPr>
                <w:rFonts w:hint="eastAsia" w:ascii="宋体" w:hAnsi="宋体" w:eastAsia="宋体" w:cs="宋体"/>
                <w:kern w:val="0"/>
                <w:sz w:val="20"/>
                <w:szCs w:val="20"/>
              </w:rPr>
            </w:pPr>
            <w:r>
              <w:rPr>
                <w:rFonts w:ascii="宋体" w:hAnsi="宋体" w:eastAsia="宋体" w:cs="宋体"/>
                <w:szCs w:val="21"/>
              </w:rPr>
              <w:t>2</w:t>
            </w:r>
            <w:r>
              <w:rPr>
                <w:rFonts w:hint="eastAsia" w:ascii="宋体" w:hAnsi="宋体" w:eastAsia="宋体" w:cs="宋体"/>
                <w:szCs w:val="21"/>
                <w:lang w:eastAsia="zh"/>
              </w:rPr>
              <w:t>，3，4</w:t>
            </w:r>
          </w:p>
        </w:tc>
      </w:tr>
      <w:tr w14:paraId="38A9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305" w:type="dxa"/>
            <w:vMerge w:val="continue"/>
            <w:vAlign w:val="center"/>
          </w:tcPr>
          <w:p w14:paraId="6E895CA8">
            <w:pPr>
              <w:adjustRightInd w:val="0"/>
              <w:snapToGrid w:val="0"/>
              <w:spacing w:line="276" w:lineRule="auto"/>
              <w:rPr>
                <w:rFonts w:ascii="宋体" w:hAnsi="Calibri" w:eastAsia="宋体" w:cs="Times New Roman"/>
                <w:spacing w:val="2"/>
                <w:kern w:val="0"/>
                <w:szCs w:val="21"/>
              </w:rPr>
            </w:pPr>
          </w:p>
        </w:tc>
        <w:tc>
          <w:tcPr>
            <w:tcW w:w="4535" w:type="dxa"/>
            <w:vAlign w:val="center"/>
          </w:tcPr>
          <w:p w14:paraId="26B47A37">
            <w:pPr>
              <w:adjustRightInd w:val="0"/>
              <w:snapToGrid w:val="0"/>
              <w:spacing w:line="276" w:lineRule="auto"/>
              <w:jc w:val="left"/>
              <w:rPr>
                <w:rFonts w:hint="eastAsia" w:ascii="宋体" w:hAnsi="宋体" w:cs="宋体"/>
                <w:sz w:val="20"/>
                <w:szCs w:val="20"/>
              </w:rPr>
            </w:pPr>
            <w:r>
              <w:rPr>
                <w:rFonts w:hint="eastAsia" w:ascii="宋体" w:hAnsi="宋体" w:cs="宋体"/>
                <w:b/>
                <w:kern w:val="0"/>
                <w:sz w:val="20"/>
                <w:szCs w:val="20"/>
              </w:rPr>
              <w:t>指标点2-3</w:t>
            </w:r>
            <w:r>
              <w:rPr>
                <w:rFonts w:hint="eastAsia" w:ascii="宋体" w:hAnsi="宋体" w:cs="宋体"/>
                <w:sz w:val="20"/>
                <w:szCs w:val="20"/>
              </w:rPr>
              <w:t>：【自身修养良好】具有较好的人文</w:t>
            </w:r>
            <w:r>
              <w:rPr>
                <w:rFonts w:hint="eastAsia" w:cs="宋体"/>
                <w:sz w:val="20"/>
                <w:szCs w:val="20"/>
              </w:rPr>
              <w:t>艺术</w:t>
            </w:r>
            <w:r>
              <w:rPr>
                <w:rFonts w:hint="eastAsia" w:ascii="宋体" w:hAnsi="宋体" w:cs="宋体"/>
                <w:sz w:val="20"/>
                <w:szCs w:val="20"/>
              </w:rPr>
              <w:t>底蕴与科学精神，言行举止符合教师职业标准，情感积极，人格健全，身心健康。</w:t>
            </w:r>
          </w:p>
        </w:tc>
        <w:tc>
          <w:tcPr>
            <w:tcW w:w="1134" w:type="dxa"/>
            <w:vAlign w:val="center"/>
          </w:tcPr>
          <w:p w14:paraId="74C15A15">
            <w:pPr>
              <w:adjustRightInd w:val="0"/>
              <w:snapToGrid w:val="0"/>
              <w:spacing w:line="276" w:lineRule="auto"/>
              <w:jc w:val="center"/>
              <w:rPr>
                <w:rFonts w:hint="eastAsia" w:ascii="宋体" w:hAnsi="宋体" w:cs="宋体"/>
                <w:kern w:val="0"/>
                <w:sz w:val="20"/>
                <w:szCs w:val="20"/>
              </w:rPr>
            </w:pPr>
            <w:r>
              <w:rPr>
                <w:rFonts w:hint="eastAsia" w:ascii="宋体" w:hAnsi="宋体" w:eastAsia="宋体" w:cs="宋体"/>
                <w:szCs w:val="21"/>
              </w:rPr>
              <w:t>课程目标</w:t>
            </w:r>
            <w:r>
              <w:rPr>
                <w:rFonts w:ascii="宋体" w:hAnsi="宋体" w:eastAsia="宋体" w:cs="宋体"/>
                <w:szCs w:val="21"/>
              </w:rPr>
              <w:t>3</w:t>
            </w:r>
          </w:p>
        </w:tc>
      </w:tr>
    </w:tbl>
    <w:p w14:paraId="64BBCFB7">
      <w:pPr>
        <w:adjustRightInd w:val="0"/>
        <w:snapToGrid w:val="0"/>
        <w:spacing w:before="62" w:beforeLines="20" w:after="62" w:afterLines="20" w:line="360" w:lineRule="auto"/>
        <w:rPr>
          <w:rFonts w:hint="eastAsia" w:ascii="宋体" w:hAnsi="宋体" w:eastAsia="宋体" w:cs="Times New Roman"/>
          <w:b/>
          <w:sz w:val="24"/>
          <w:szCs w:val="22"/>
        </w:rPr>
      </w:pPr>
      <w:r>
        <w:rPr>
          <w:rFonts w:hint="eastAsia" w:ascii="宋体" w:hAnsi="宋体" w:eastAsia="宋体" w:cs="Times New Roman"/>
          <w:b/>
          <w:sz w:val="24"/>
          <w:szCs w:val="22"/>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957"/>
        <w:gridCol w:w="1150"/>
        <w:gridCol w:w="2988"/>
        <w:gridCol w:w="1560"/>
        <w:gridCol w:w="438"/>
      </w:tblGrid>
      <w:tr w14:paraId="35EF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41C9220">
            <w:pPr>
              <w:jc w:val="center"/>
              <w:rPr>
                <w:rFonts w:hint="eastAsia" w:ascii="宋体" w:hAnsi="宋体" w:eastAsia="宋体" w:cs="Times New Roman"/>
                <w:b/>
                <w:szCs w:val="21"/>
              </w:rPr>
            </w:pPr>
            <w:r>
              <w:rPr>
                <w:rFonts w:hint="eastAsia" w:ascii="宋体" w:hAnsi="宋体" w:eastAsia="宋体" w:cs="Times New Roman"/>
                <w:b/>
                <w:szCs w:val="21"/>
              </w:rPr>
              <w:t>知识</w:t>
            </w:r>
          </w:p>
          <w:p w14:paraId="271E85A8">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957" w:type="dxa"/>
            <w:vAlign w:val="center"/>
          </w:tcPr>
          <w:p w14:paraId="58FA4211">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50" w:type="dxa"/>
            <w:vAlign w:val="center"/>
          </w:tcPr>
          <w:p w14:paraId="13C55D52">
            <w:pPr>
              <w:jc w:val="center"/>
              <w:rPr>
                <w:rFonts w:hint="eastAsia" w:ascii="宋体" w:hAnsi="宋体" w:eastAsia="宋体" w:cs="Times New Roman"/>
                <w:b/>
                <w:szCs w:val="21"/>
              </w:rPr>
            </w:pPr>
            <w:r>
              <w:rPr>
                <w:rFonts w:hint="eastAsia" w:ascii="宋体" w:hAnsi="宋体" w:eastAsia="宋体" w:cs="Times New Roman"/>
                <w:b/>
                <w:szCs w:val="21"/>
              </w:rPr>
              <w:t>对应</w:t>
            </w:r>
          </w:p>
          <w:p w14:paraId="1599CFC9">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988" w:type="dxa"/>
            <w:vAlign w:val="center"/>
          </w:tcPr>
          <w:p w14:paraId="48C4FFF3">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489BF461">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21FB04AF">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39A3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B45A314">
            <w:pPr>
              <w:jc w:val="center"/>
              <w:rPr>
                <w:rFonts w:hint="eastAsia" w:ascii="宋体" w:hAnsi="宋体" w:eastAsia="宋体" w:cs="Times New Roman"/>
                <w:szCs w:val="21"/>
              </w:rPr>
            </w:pPr>
            <w:r>
              <w:rPr>
                <w:rFonts w:hint="eastAsia" w:ascii="宋体" w:hAnsi="宋体" w:eastAsia="宋体" w:cs="Times New Roman"/>
                <w:szCs w:val="21"/>
              </w:rPr>
              <w:t>1.教育政策概论</w:t>
            </w:r>
          </w:p>
        </w:tc>
        <w:tc>
          <w:tcPr>
            <w:tcW w:w="1957" w:type="dxa"/>
            <w:vAlign w:val="center"/>
          </w:tcPr>
          <w:p w14:paraId="798DF880">
            <w:pPr>
              <w:jc w:val="left"/>
              <w:rPr>
                <w:rFonts w:hint="eastAsia" w:ascii="宋体" w:hAnsi="宋体" w:eastAsia="宋体" w:cs="Times New Roman"/>
                <w:szCs w:val="21"/>
              </w:rPr>
            </w:pPr>
            <w:r>
              <w:rPr>
                <w:rFonts w:hint="eastAsia" w:ascii="宋体" w:hAnsi="宋体" w:eastAsia="宋体" w:cs="Times New Roman"/>
                <w:szCs w:val="21"/>
              </w:rPr>
              <w:t>（1）教育政策的本质和特点、功能</w:t>
            </w:r>
          </w:p>
          <w:p w14:paraId="56833638">
            <w:pPr>
              <w:jc w:val="left"/>
              <w:rPr>
                <w:rFonts w:hint="eastAsia" w:ascii="宋体" w:hAnsi="宋体" w:eastAsia="宋体" w:cs="Times New Roman"/>
                <w:szCs w:val="21"/>
              </w:rPr>
            </w:pPr>
            <w:r>
              <w:rPr>
                <w:rFonts w:hint="eastAsia" w:ascii="宋体" w:hAnsi="宋体" w:eastAsia="宋体" w:cs="Times New Roman"/>
                <w:szCs w:val="21"/>
              </w:rPr>
              <w:t>（2）教育政策的价值取向</w:t>
            </w:r>
          </w:p>
          <w:p w14:paraId="02C3D598">
            <w:pPr>
              <w:jc w:val="left"/>
              <w:rPr>
                <w:rFonts w:hint="eastAsia" w:ascii="宋体" w:hAnsi="宋体" w:eastAsia="宋体" w:cs="Times New Roman"/>
                <w:szCs w:val="21"/>
              </w:rPr>
            </w:pPr>
            <w:r>
              <w:rPr>
                <w:rFonts w:hint="eastAsia" w:ascii="宋体" w:hAnsi="宋体" w:eastAsia="宋体" w:cs="Times New Roman"/>
                <w:szCs w:val="21"/>
              </w:rPr>
              <w:t>（3）教育政策过程</w:t>
            </w:r>
          </w:p>
        </w:tc>
        <w:tc>
          <w:tcPr>
            <w:tcW w:w="1150" w:type="dxa"/>
            <w:vAlign w:val="center"/>
          </w:tcPr>
          <w:p w14:paraId="2DE5D421">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988" w:type="dxa"/>
            <w:vAlign w:val="center"/>
          </w:tcPr>
          <w:p w14:paraId="6507BA66">
            <w:pPr>
              <w:jc w:val="left"/>
              <w:rPr>
                <w:rFonts w:hint="eastAsia" w:ascii="宋体" w:hAnsi="宋体" w:eastAsia="宋体" w:cs="Times New Roman"/>
                <w:szCs w:val="21"/>
              </w:rPr>
            </w:pPr>
            <w:r>
              <w:rPr>
                <w:rFonts w:hint="eastAsia" w:ascii="宋体" w:hAnsi="宋体" w:eastAsia="宋体" w:cs="Times New Roman"/>
                <w:szCs w:val="21"/>
              </w:rPr>
              <w:t>（1）了解教育政策的基本内涵</w:t>
            </w:r>
          </w:p>
          <w:p w14:paraId="7486C5AD">
            <w:pPr>
              <w:jc w:val="left"/>
              <w:rPr>
                <w:rFonts w:hint="eastAsia" w:ascii="宋体" w:hAnsi="宋体" w:eastAsia="宋体" w:cs="Times New Roman"/>
                <w:szCs w:val="21"/>
              </w:rPr>
            </w:pPr>
            <w:r>
              <w:rPr>
                <w:rFonts w:hint="eastAsia" w:ascii="宋体" w:hAnsi="宋体" w:eastAsia="宋体" w:cs="Times New Roman"/>
                <w:szCs w:val="21"/>
              </w:rPr>
              <w:t>（2）理解教育政策的价值取向</w:t>
            </w:r>
          </w:p>
          <w:p w14:paraId="715A69E4">
            <w:pPr>
              <w:jc w:val="left"/>
              <w:rPr>
                <w:rFonts w:hint="eastAsia" w:ascii="宋体" w:hAnsi="宋体" w:eastAsia="宋体" w:cs="Times New Roman"/>
                <w:szCs w:val="21"/>
              </w:rPr>
            </w:pPr>
            <w:r>
              <w:rPr>
                <w:rFonts w:hint="eastAsia" w:ascii="宋体" w:hAnsi="宋体" w:eastAsia="宋体" w:cs="Times New Roman"/>
                <w:szCs w:val="21"/>
              </w:rPr>
              <w:t>（3）掌握教育政策的过程</w:t>
            </w:r>
          </w:p>
        </w:tc>
        <w:tc>
          <w:tcPr>
            <w:tcW w:w="1560" w:type="dxa"/>
            <w:vAlign w:val="center"/>
          </w:tcPr>
          <w:p w14:paraId="349D4D56">
            <w:pPr>
              <w:jc w:val="left"/>
              <w:rPr>
                <w:rFonts w:hint="eastAsia" w:ascii="宋体" w:hAnsi="宋体" w:eastAsia="宋体" w:cs="Times New Roman"/>
                <w:szCs w:val="21"/>
              </w:rPr>
            </w:pPr>
            <w:r>
              <w:rPr>
                <w:rFonts w:hint="eastAsia" w:ascii="宋体" w:hAnsi="宋体" w:eastAsia="宋体" w:cs="Times New Roman"/>
                <w:szCs w:val="21"/>
              </w:rPr>
              <w:t>1.线上学习</w:t>
            </w:r>
          </w:p>
          <w:p w14:paraId="11AC9950">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258246F7">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11E92E5A">
            <w:pPr>
              <w:jc w:val="center"/>
              <w:rPr>
                <w:rFonts w:hint="eastAsia" w:ascii="宋体" w:hAnsi="宋体" w:eastAsia="宋体" w:cs="Times New Roman"/>
                <w:szCs w:val="21"/>
              </w:rPr>
            </w:pPr>
            <w:r>
              <w:rPr>
                <w:rFonts w:hint="eastAsia" w:ascii="宋体" w:hAnsi="宋体" w:eastAsia="宋体" w:cs="Times New Roman"/>
                <w:szCs w:val="21"/>
              </w:rPr>
              <w:t>2</w:t>
            </w:r>
          </w:p>
        </w:tc>
      </w:tr>
      <w:tr w14:paraId="6F6AA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F745B25">
            <w:pPr>
              <w:jc w:val="center"/>
              <w:rPr>
                <w:rFonts w:hint="eastAsia" w:ascii="宋体" w:hAnsi="宋体" w:eastAsia="宋体" w:cs="Times New Roman"/>
                <w:szCs w:val="21"/>
              </w:rPr>
            </w:pPr>
          </w:p>
        </w:tc>
        <w:tc>
          <w:tcPr>
            <w:tcW w:w="8093" w:type="dxa"/>
            <w:gridSpan w:val="5"/>
            <w:vAlign w:val="center"/>
          </w:tcPr>
          <w:p w14:paraId="0DD99660">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通过理解教育政策的公共性，让学生结合国家最近出台的一系列教育政策思考我国目前现实中所遇到的教育危机和面临的挑战，从而能在宏观的层面上增强“四个自信”。</w:t>
            </w:r>
          </w:p>
        </w:tc>
      </w:tr>
      <w:tr w14:paraId="51D6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94835A8">
            <w:pPr>
              <w:jc w:val="center"/>
              <w:rPr>
                <w:rFonts w:hint="eastAsia" w:ascii="宋体" w:hAnsi="宋体" w:eastAsia="宋体" w:cs="Times New Roman"/>
                <w:szCs w:val="21"/>
              </w:rPr>
            </w:pPr>
            <w:r>
              <w:rPr>
                <w:rFonts w:hint="eastAsia" w:ascii="宋体" w:hAnsi="宋体" w:eastAsia="宋体" w:cs="Times New Roman"/>
                <w:szCs w:val="21"/>
              </w:rPr>
              <w:t>2.教育法规与小学教育法制建设</w:t>
            </w:r>
          </w:p>
        </w:tc>
        <w:tc>
          <w:tcPr>
            <w:tcW w:w="1957" w:type="dxa"/>
            <w:vAlign w:val="center"/>
          </w:tcPr>
          <w:p w14:paraId="123F4D45">
            <w:pPr>
              <w:jc w:val="left"/>
              <w:rPr>
                <w:rFonts w:hint="eastAsia" w:ascii="宋体" w:hAnsi="宋体" w:eastAsia="宋体" w:cs="Times New Roman"/>
                <w:szCs w:val="21"/>
              </w:rPr>
            </w:pPr>
            <w:r>
              <w:rPr>
                <w:rFonts w:hint="eastAsia" w:ascii="宋体" w:hAnsi="宋体" w:eastAsia="宋体" w:cs="Times New Roman"/>
                <w:szCs w:val="21"/>
              </w:rPr>
              <w:t>（1）教育法规概述</w:t>
            </w:r>
          </w:p>
          <w:p w14:paraId="2183FE60">
            <w:pPr>
              <w:jc w:val="left"/>
              <w:rPr>
                <w:rFonts w:hint="eastAsia" w:ascii="宋体" w:hAnsi="宋体" w:eastAsia="宋体" w:cs="Times New Roman"/>
                <w:szCs w:val="21"/>
              </w:rPr>
            </w:pPr>
            <w:r>
              <w:rPr>
                <w:rFonts w:hint="eastAsia" w:ascii="宋体" w:hAnsi="宋体" w:eastAsia="宋体" w:cs="Times New Roman"/>
                <w:szCs w:val="21"/>
              </w:rPr>
              <w:t>（2）教育法律关系和教育法律责任</w:t>
            </w:r>
          </w:p>
          <w:p w14:paraId="5FC26617">
            <w:pPr>
              <w:jc w:val="left"/>
              <w:rPr>
                <w:rFonts w:hint="eastAsia" w:ascii="宋体" w:hAnsi="宋体" w:eastAsia="宋体" w:cs="Times New Roman"/>
                <w:szCs w:val="21"/>
              </w:rPr>
            </w:pPr>
            <w:r>
              <w:rPr>
                <w:rFonts w:hint="eastAsia" w:ascii="宋体" w:hAnsi="宋体" w:eastAsia="宋体" w:cs="Times New Roman"/>
                <w:szCs w:val="21"/>
              </w:rPr>
              <w:t>（3）小学教育立法、实施和监督</w:t>
            </w:r>
          </w:p>
        </w:tc>
        <w:tc>
          <w:tcPr>
            <w:tcW w:w="1150" w:type="dxa"/>
            <w:vAlign w:val="center"/>
          </w:tcPr>
          <w:p w14:paraId="3FD3698E">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988" w:type="dxa"/>
            <w:vAlign w:val="center"/>
          </w:tcPr>
          <w:p w14:paraId="2C854753">
            <w:pPr>
              <w:jc w:val="left"/>
              <w:rPr>
                <w:rFonts w:hint="eastAsia" w:ascii="宋体" w:hAnsi="宋体" w:eastAsia="宋体" w:cs="Times New Roman"/>
                <w:szCs w:val="21"/>
              </w:rPr>
            </w:pPr>
            <w:r>
              <w:rPr>
                <w:rFonts w:hint="eastAsia" w:ascii="宋体" w:hAnsi="宋体" w:eastAsia="宋体" w:cs="Times New Roman"/>
                <w:szCs w:val="21"/>
              </w:rPr>
              <w:t>（1）了解教育法规</w:t>
            </w:r>
          </w:p>
          <w:p w14:paraId="100E13B9">
            <w:pPr>
              <w:jc w:val="left"/>
              <w:rPr>
                <w:rFonts w:hint="eastAsia" w:ascii="宋体" w:hAnsi="宋体" w:eastAsia="宋体" w:cs="Times New Roman"/>
                <w:szCs w:val="21"/>
              </w:rPr>
            </w:pPr>
            <w:r>
              <w:rPr>
                <w:rFonts w:hint="eastAsia" w:ascii="宋体" w:hAnsi="宋体" w:eastAsia="宋体" w:cs="Times New Roman"/>
                <w:szCs w:val="21"/>
              </w:rPr>
              <w:t>（2）理解教育法律关系和教育法律责任</w:t>
            </w:r>
          </w:p>
          <w:p w14:paraId="07174826">
            <w:pPr>
              <w:jc w:val="left"/>
              <w:rPr>
                <w:rFonts w:hint="eastAsia" w:ascii="宋体" w:hAnsi="宋体" w:eastAsia="宋体" w:cs="Times New Roman"/>
                <w:szCs w:val="21"/>
              </w:rPr>
            </w:pPr>
            <w:r>
              <w:rPr>
                <w:rFonts w:hint="eastAsia" w:ascii="宋体" w:hAnsi="宋体" w:eastAsia="宋体" w:cs="Times New Roman"/>
                <w:szCs w:val="21"/>
              </w:rPr>
              <w:t>（3）掌握小学教育法规实施和监督</w:t>
            </w:r>
          </w:p>
        </w:tc>
        <w:tc>
          <w:tcPr>
            <w:tcW w:w="1560" w:type="dxa"/>
            <w:vAlign w:val="center"/>
          </w:tcPr>
          <w:p w14:paraId="2337862A">
            <w:pPr>
              <w:jc w:val="left"/>
              <w:rPr>
                <w:rFonts w:hint="eastAsia" w:ascii="宋体" w:hAnsi="宋体" w:eastAsia="宋体" w:cs="Times New Roman"/>
                <w:szCs w:val="21"/>
              </w:rPr>
            </w:pPr>
            <w:r>
              <w:rPr>
                <w:rFonts w:hint="eastAsia" w:ascii="宋体" w:hAnsi="宋体" w:eastAsia="宋体" w:cs="Times New Roman"/>
                <w:szCs w:val="21"/>
              </w:rPr>
              <w:t>1.线上学习</w:t>
            </w:r>
          </w:p>
          <w:p w14:paraId="2422C11E">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645756CA">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05A97ABF">
            <w:pPr>
              <w:jc w:val="center"/>
              <w:rPr>
                <w:rFonts w:hint="eastAsia" w:ascii="宋体" w:hAnsi="宋体" w:eastAsia="宋体" w:cs="Times New Roman"/>
                <w:szCs w:val="21"/>
              </w:rPr>
            </w:pPr>
            <w:r>
              <w:rPr>
                <w:rFonts w:hint="eastAsia" w:ascii="宋体" w:hAnsi="宋体" w:eastAsia="宋体" w:cs="Times New Roman"/>
                <w:szCs w:val="21"/>
              </w:rPr>
              <w:t>4</w:t>
            </w:r>
          </w:p>
        </w:tc>
      </w:tr>
      <w:tr w14:paraId="3346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487CC8D">
            <w:pPr>
              <w:jc w:val="center"/>
              <w:rPr>
                <w:rFonts w:hint="eastAsia" w:ascii="宋体" w:hAnsi="宋体" w:eastAsia="宋体" w:cs="Times New Roman"/>
                <w:szCs w:val="21"/>
              </w:rPr>
            </w:pPr>
          </w:p>
        </w:tc>
        <w:tc>
          <w:tcPr>
            <w:tcW w:w="8093" w:type="dxa"/>
            <w:gridSpan w:val="5"/>
            <w:vAlign w:val="center"/>
          </w:tcPr>
          <w:p w14:paraId="58BF059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通过本章内容学习，使学生深刻理解我国依法治国和依法治教的意义，以及当前我国建设法治国家所面临的严峻形势，更加自觉的做到敬畏法律、遵守法律，在今后的工作中积极宣扬法治精神，维护法律尊严。</w:t>
            </w:r>
          </w:p>
        </w:tc>
      </w:tr>
      <w:tr w14:paraId="6856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BE17EA">
            <w:pPr>
              <w:jc w:val="center"/>
              <w:rPr>
                <w:rFonts w:hint="eastAsia" w:ascii="宋体" w:hAnsi="宋体" w:eastAsia="宋体" w:cs="Times New Roman"/>
                <w:szCs w:val="21"/>
              </w:rPr>
            </w:pPr>
            <w:r>
              <w:rPr>
                <w:rFonts w:hint="eastAsia" w:ascii="宋体" w:hAnsi="宋体" w:eastAsia="宋体" w:cs="Times New Roman"/>
                <w:szCs w:val="21"/>
              </w:rPr>
              <w:t>3.政府、家庭和社会的职责和责任</w:t>
            </w:r>
          </w:p>
        </w:tc>
        <w:tc>
          <w:tcPr>
            <w:tcW w:w="1957" w:type="dxa"/>
            <w:vAlign w:val="center"/>
          </w:tcPr>
          <w:p w14:paraId="1DA82FAC">
            <w:pPr>
              <w:jc w:val="left"/>
              <w:rPr>
                <w:rFonts w:hint="eastAsia" w:ascii="宋体" w:hAnsi="宋体" w:eastAsia="宋体" w:cs="Times New Roman"/>
                <w:szCs w:val="21"/>
              </w:rPr>
            </w:pPr>
            <w:r>
              <w:rPr>
                <w:rFonts w:hint="eastAsia" w:ascii="宋体" w:hAnsi="宋体" w:eastAsia="宋体" w:cs="Times New Roman"/>
                <w:szCs w:val="21"/>
              </w:rPr>
              <w:t>（1）政府的法律责任</w:t>
            </w:r>
          </w:p>
          <w:p w14:paraId="58398DC8">
            <w:pPr>
              <w:jc w:val="left"/>
              <w:rPr>
                <w:rFonts w:hint="eastAsia" w:ascii="宋体" w:hAnsi="宋体" w:eastAsia="宋体" w:cs="Times New Roman"/>
                <w:szCs w:val="21"/>
              </w:rPr>
            </w:pPr>
            <w:r>
              <w:rPr>
                <w:rFonts w:hint="eastAsia" w:ascii="宋体" w:hAnsi="宋体" w:eastAsia="宋体" w:cs="Times New Roman"/>
                <w:szCs w:val="21"/>
              </w:rPr>
              <w:t>（2）家庭的教育义务和责任</w:t>
            </w:r>
          </w:p>
          <w:p w14:paraId="3301299E">
            <w:pPr>
              <w:jc w:val="left"/>
              <w:rPr>
                <w:rFonts w:hint="eastAsia" w:ascii="宋体" w:hAnsi="宋体" w:eastAsia="宋体" w:cs="Times New Roman"/>
                <w:szCs w:val="21"/>
              </w:rPr>
            </w:pPr>
            <w:r>
              <w:rPr>
                <w:rFonts w:hint="eastAsia" w:ascii="宋体" w:hAnsi="宋体" w:eastAsia="宋体" w:cs="Times New Roman"/>
                <w:szCs w:val="21"/>
              </w:rPr>
              <w:t>（3）社会的教育义务和责任</w:t>
            </w:r>
          </w:p>
        </w:tc>
        <w:tc>
          <w:tcPr>
            <w:tcW w:w="1150" w:type="dxa"/>
            <w:vAlign w:val="center"/>
          </w:tcPr>
          <w:p w14:paraId="4EA664D2">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988" w:type="dxa"/>
            <w:vAlign w:val="center"/>
          </w:tcPr>
          <w:p w14:paraId="60769EA2">
            <w:pPr>
              <w:jc w:val="left"/>
              <w:rPr>
                <w:rFonts w:hint="eastAsia" w:ascii="宋体" w:hAnsi="宋体" w:eastAsia="宋体" w:cs="Times New Roman"/>
                <w:szCs w:val="21"/>
              </w:rPr>
            </w:pPr>
            <w:r>
              <w:rPr>
                <w:rFonts w:hint="eastAsia" w:ascii="宋体" w:hAnsi="宋体" w:eastAsia="宋体" w:cs="Times New Roman"/>
                <w:szCs w:val="21"/>
              </w:rPr>
              <w:t>（1）了解政府的职责</w:t>
            </w:r>
          </w:p>
          <w:p w14:paraId="41B09E98">
            <w:pPr>
              <w:jc w:val="left"/>
              <w:rPr>
                <w:rFonts w:hint="eastAsia" w:ascii="宋体" w:hAnsi="宋体" w:eastAsia="宋体" w:cs="Times New Roman"/>
                <w:szCs w:val="21"/>
              </w:rPr>
            </w:pPr>
            <w:r>
              <w:rPr>
                <w:rFonts w:hint="eastAsia" w:ascii="宋体" w:hAnsi="宋体" w:eastAsia="宋体" w:cs="Times New Roman"/>
                <w:szCs w:val="21"/>
              </w:rPr>
              <w:t>（2）区分政府、家庭和社会的教育义务</w:t>
            </w:r>
          </w:p>
          <w:p w14:paraId="2FC0FCB8">
            <w:pPr>
              <w:jc w:val="left"/>
              <w:rPr>
                <w:rFonts w:hint="eastAsia" w:ascii="宋体" w:hAnsi="宋体" w:eastAsia="宋体" w:cs="Times New Roman"/>
                <w:szCs w:val="21"/>
              </w:rPr>
            </w:pPr>
            <w:r>
              <w:rPr>
                <w:rFonts w:hint="eastAsia" w:ascii="宋体" w:hAnsi="宋体" w:eastAsia="宋体" w:cs="Times New Roman"/>
                <w:szCs w:val="21"/>
              </w:rPr>
              <w:t>（3）理解政府、家庭和社会的教育责任</w:t>
            </w:r>
          </w:p>
        </w:tc>
        <w:tc>
          <w:tcPr>
            <w:tcW w:w="1560" w:type="dxa"/>
            <w:vAlign w:val="center"/>
          </w:tcPr>
          <w:p w14:paraId="19ABEDF8">
            <w:pPr>
              <w:jc w:val="left"/>
              <w:rPr>
                <w:rFonts w:hint="eastAsia" w:ascii="宋体" w:hAnsi="宋体" w:eastAsia="宋体" w:cs="Times New Roman"/>
                <w:szCs w:val="21"/>
              </w:rPr>
            </w:pPr>
            <w:r>
              <w:rPr>
                <w:rFonts w:ascii="宋体" w:hAnsi="宋体" w:eastAsia="宋体" w:cs="Times New Roman"/>
                <w:szCs w:val="21"/>
              </w:rPr>
              <w:t>1.线上学习</w:t>
            </w:r>
          </w:p>
          <w:p w14:paraId="73D515BD">
            <w:pPr>
              <w:jc w:val="left"/>
              <w:rPr>
                <w:rFonts w:hint="eastAsia" w:ascii="宋体" w:hAnsi="宋体" w:eastAsia="宋体" w:cs="Times New Roman"/>
                <w:szCs w:val="21"/>
              </w:rPr>
            </w:pPr>
            <w:r>
              <w:rPr>
                <w:rFonts w:ascii="宋体" w:hAnsi="宋体" w:eastAsia="宋体" w:cs="Times New Roman"/>
                <w:szCs w:val="21"/>
              </w:rPr>
              <w:t>2.多媒体教学3.课堂讨论</w:t>
            </w:r>
          </w:p>
          <w:p w14:paraId="50AFDAE9">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056E022D">
            <w:pPr>
              <w:jc w:val="center"/>
              <w:rPr>
                <w:rFonts w:hint="eastAsia" w:ascii="宋体" w:hAnsi="宋体" w:eastAsia="宋体" w:cs="Times New Roman"/>
                <w:szCs w:val="21"/>
              </w:rPr>
            </w:pPr>
            <w:r>
              <w:rPr>
                <w:rFonts w:hint="eastAsia" w:ascii="宋体" w:hAnsi="宋体" w:eastAsia="宋体" w:cs="Times New Roman"/>
                <w:szCs w:val="21"/>
              </w:rPr>
              <w:t>3</w:t>
            </w:r>
          </w:p>
        </w:tc>
      </w:tr>
      <w:tr w14:paraId="04C9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91272D">
            <w:pPr>
              <w:jc w:val="center"/>
              <w:rPr>
                <w:rFonts w:hint="eastAsia" w:ascii="宋体" w:hAnsi="宋体" w:eastAsia="宋体" w:cs="Times New Roman"/>
                <w:szCs w:val="21"/>
              </w:rPr>
            </w:pPr>
          </w:p>
        </w:tc>
        <w:tc>
          <w:tcPr>
            <w:tcW w:w="8093" w:type="dxa"/>
            <w:gridSpan w:val="5"/>
            <w:vAlign w:val="center"/>
          </w:tcPr>
          <w:p w14:paraId="5498CBA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通过本章内容学习，使学生理解我国社会主义制度和社会结构的特殊优越性，增强爱国主义情怀和集体主义意识，明确作为一个公民的社会责任和公共道德。</w:t>
            </w:r>
          </w:p>
        </w:tc>
      </w:tr>
      <w:tr w14:paraId="22FB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7C4FB35">
            <w:pPr>
              <w:jc w:val="center"/>
              <w:rPr>
                <w:rFonts w:hint="eastAsia" w:ascii="宋体" w:hAnsi="宋体" w:eastAsia="宋体" w:cs="Times New Roman"/>
                <w:szCs w:val="21"/>
              </w:rPr>
            </w:pPr>
            <w:r>
              <w:rPr>
                <w:rFonts w:hint="eastAsia" w:ascii="宋体" w:hAnsi="宋体" w:eastAsia="宋体" w:cs="Times New Roman"/>
                <w:szCs w:val="21"/>
              </w:rPr>
              <w:t>4.小学教育政策体系</w:t>
            </w:r>
          </w:p>
        </w:tc>
        <w:tc>
          <w:tcPr>
            <w:tcW w:w="1957" w:type="dxa"/>
            <w:vAlign w:val="center"/>
          </w:tcPr>
          <w:p w14:paraId="6AE5F273">
            <w:pPr>
              <w:jc w:val="left"/>
              <w:rPr>
                <w:rFonts w:hint="eastAsia" w:ascii="宋体" w:hAnsi="宋体" w:eastAsia="宋体" w:cs="Times New Roman"/>
                <w:szCs w:val="21"/>
              </w:rPr>
            </w:pPr>
            <w:r>
              <w:rPr>
                <w:rFonts w:hint="eastAsia" w:ascii="宋体" w:hAnsi="宋体" w:eastAsia="宋体" w:cs="Times New Roman"/>
                <w:szCs w:val="21"/>
              </w:rPr>
              <w:t>（1）教育政策体系内涵</w:t>
            </w:r>
          </w:p>
          <w:p w14:paraId="12930996">
            <w:pPr>
              <w:jc w:val="left"/>
              <w:rPr>
                <w:rFonts w:hint="eastAsia" w:ascii="宋体" w:hAnsi="宋体" w:eastAsia="宋体" w:cs="Times New Roman"/>
                <w:szCs w:val="21"/>
              </w:rPr>
            </w:pPr>
            <w:r>
              <w:rPr>
                <w:rFonts w:hint="eastAsia" w:ascii="宋体" w:hAnsi="宋体" w:eastAsia="宋体" w:cs="Times New Roman"/>
                <w:szCs w:val="21"/>
              </w:rPr>
              <w:t>（2）小学教育政策体系的结构</w:t>
            </w:r>
          </w:p>
          <w:p w14:paraId="2DE370DF">
            <w:pPr>
              <w:jc w:val="left"/>
              <w:rPr>
                <w:rFonts w:hint="eastAsia" w:ascii="宋体" w:hAnsi="宋体" w:eastAsia="宋体" w:cs="Times New Roman"/>
                <w:szCs w:val="21"/>
              </w:rPr>
            </w:pPr>
            <w:r>
              <w:rPr>
                <w:rFonts w:hint="eastAsia" w:ascii="宋体" w:hAnsi="宋体" w:eastAsia="宋体" w:cs="Times New Roman"/>
                <w:szCs w:val="21"/>
              </w:rPr>
              <w:t>（3）我国小学教育政策体系的形成和发展</w:t>
            </w:r>
          </w:p>
        </w:tc>
        <w:tc>
          <w:tcPr>
            <w:tcW w:w="1150" w:type="dxa"/>
            <w:vAlign w:val="center"/>
          </w:tcPr>
          <w:p w14:paraId="096DE964">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988" w:type="dxa"/>
            <w:vAlign w:val="center"/>
          </w:tcPr>
          <w:p w14:paraId="589F54A7">
            <w:pPr>
              <w:jc w:val="left"/>
              <w:rPr>
                <w:rFonts w:hint="eastAsia" w:ascii="宋体" w:hAnsi="宋体" w:eastAsia="宋体" w:cs="Times New Roman"/>
                <w:szCs w:val="21"/>
              </w:rPr>
            </w:pPr>
            <w:r>
              <w:rPr>
                <w:rFonts w:hint="eastAsia" w:ascii="宋体" w:hAnsi="宋体" w:eastAsia="宋体" w:cs="Times New Roman"/>
                <w:szCs w:val="21"/>
              </w:rPr>
              <w:t>（1）了解教育政策体系的基本内涵</w:t>
            </w:r>
          </w:p>
          <w:p w14:paraId="737F74C3">
            <w:pPr>
              <w:jc w:val="left"/>
              <w:rPr>
                <w:rFonts w:hint="eastAsia" w:ascii="宋体" w:hAnsi="宋体" w:eastAsia="宋体" w:cs="Times New Roman"/>
                <w:szCs w:val="21"/>
              </w:rPr>
            </w:pPr>
            <w:r>
              <w:rPr>
                <w:rFonts w:hint="eastAsia" w:ascii="宋体" w:hAnsi="宋体" w:eastAsia="宋体" w:cs="Times New Roman"/>
                <w:szCs w:val="21"/>
              </w:rPr>
              <w:t>（2）理解小学教育政策体系的结构特征</w:t>
            </w:r>
          </w:p>
          <w:p w14:paraId="7BAF64D5">
            <w:pPr>
              <w:jc w:val="left"/>
              <w:rPr>
                <w:rFonts w:hint="eastAsia" w:ascii="宋体" w:hAnsi="宋体" w:eastAsia="宋体" w:cs="Times New Roman"/>
                <w:szCs w:val="21"/>
              </w:rPr>
            </w:pPr>
            <w:r>
              <w:rPr>
                <w:rFonts w:hint="eastAsia" w:ascii="宋体" w:hAnsi="宋体" w:eastAsia="宋体" w:cs="Times New Roman"/>
                <w:szCs w:val="21"/>
              </w:rPr>
              <w:t>（3）掌握我国小学教育政策体系的发展</w:t>
            </w:r>
          </w:p>
        </w:tc>
        <w:tc>
          <w:tcPr>
            <w:tcW w:w="1560" w:type="dxa"/>
            <w:vAlign w:val="center"/>
          </w:tcPr>
          <w:p w14:paraId="12BC334C">
            <w:pPr>
              <w:jc w:val="left"/>
              <w:rPr>
                <w:rFonts w:hint="eastAsia" w:ascii="宋体" w:hAnsi="宋体" w:eastAsia="宋体" w:cs="Times New Roman"/>
                <w:szCs w:val="21"/>
              </w:rPr>
            </w:pPr>
            <w:r>
              <w:rPr>
                <w:rFonts w:ascii="宋体" w:hAnsi="宋体" w:eastAsia="宋体" w:cs="Times New Roman"/>
                <w:szCs w:val="21"/>
              </w:rPr>
              <w:t>1.线上学习</w:t>
            </w:r>
          </w:p>
          <w:p w14:paraId="59089E15">
            <w:pPr>
              <w:jc w:val="left"/>
              <w:rPr>
                <w:rFonts w:hint="eastAsia" w:ascii="宋体" w:hAnsi="宋体" w:eastAsia="宋体" w:cs="Times New Roman"/>
                <w:szCs w:val="21"/>
              </w:rPr>
            </w:pPr>
            <w:r>
              <w:rPr>
                <w:rFonts w:ascii="宋体" w:hAnsi="宋体" w:eastAsia="宋体" w:cs="Times New Roman"/>
                <w:szCs w:val="21"/>
              </w:rPr>
              <w:t>2.多媒体教学3.课堂讨论</w:t>
            </w:r>
          </w:p>
          <w:p w14:paraId="3AA583AA">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7AB8EA25">
            <w:pPr>
              <w:jc w:val="center"/>
              <w:rPr>
                <w:rFonts w:hint="eastAsia" w:ascii="宋体" w:hAnsi="宋体" w:eastAsia="宋体" w:cs="Times New Roman"/>
                <w:szCs w:val="21"/>
              </w:rPr>
            </w:pPr>
            <w:r>
              <w:rPr>
                <w:rFonts w:hint="eastAsia" w:ascii="宋体" w:hAnsi="宋体" w:eastAsia="宋体" w:cs="Times New Roman"/>
                <w:szCs w:val="21"/>
              </w:rPr>
              <w:t>3</w:t>
            </w:r>
          </w:p>
        </w:tc>
      </w:tr>
      <w:tr w14:paraId="078A5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B838A9">
            <w:pPr>
              <w:jc w:val="center"/>
              <w:rPr>
                <w:rFonts w:hint="eastAsia" w:ascii="宋体" w:hAnsi="宋体" w:eastAsia="宋体" w:cs="Times New Roman"/>
                <w:szCs w:val="21"/>
              </w:rPr>
            </w:pPr>
          </w:p>
        </w:tc>
        <w:tc>
          <w:tcPr>
            <w:tcW w:w="8093" w:type="dxa"/>
            <w:gridSpan w:val="5"/>
            <w:vAlign w:val="center"/>
          </w:tcPr>
          <w:p w14:paraId="27627760">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通过本章内容学习，使学生在理解教育政策体系重要性和存在问题的基础上，坚定小学教师职业使命感，树立正确的人生价值观。</w:t>
            </w:r>
          </w:p>
        </w:tc>
      </w:tr>
      <w:tr w14:paraId="5A01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16DEF35">
            <w:pPr>
              <w:jc w:val="center"/>
              <w:rPr>
                <w:rFonts w:hint="eastAsia" w:ascii="宋体" w:hAnsi="宋体" w:eastAsia="宋体" w:cs="Times New Roman"/>
                <w:szCs w:val="21"/>
              </w:rPr>
            </w:pPr>
            <w:r>
              <w:rPr>
                <w:rFonts w:hint="eastAsia" w:ascii="宋体" w:hAnsi="宋体" w:eastAsia="宋体" w:cs="Times New Roman"/>
                <w:szCs w:val="21"/>
              </w:rPr>
              <w:t>5.</w:t>
            </w:r>
            <w:r>
              <w:rPr>
                <w:rFonts w:hint="eastAsia" w:ascii="宋体" w:hAnsi="宋体" w:eastAsia="宋体" w:cs="Times New Roman"/>
                <w:bCs/>
                <w:szCs w:val="21"/>
              </w:rPr>
              <w:t>小学的权利和责任</w:t>
            </w:r>
          </w:p>
        </w:tc>
        <w:tc>
          <w:tcPr>
            <w:tcW w:w="1957" w:type="dxa"/>
            <w:vAlign w:val="center"/>
          </w:tcPr>
          <w:p w14:paraId="517EC042">
            <w:pPr>
              <w:jc w:val="left"/>
              <w:rPr>
                <w:rFonts w:hint="eastAsia" w:ascii="宋体" w:hAnsi="宋体" w:eastAsia="宋体" w:cs="Times New Roman"/>
                <w:szCs w:val="21"/>
              </w:rPr>
            </w:pPr>
            <w:r>
              <w:rPr>
                <w:rFonts w:hint="eastAsia" w:ascii="宋体" w:hAnsi="宋体" w:eastAsia="宋体" w:cs="Times New Roman"/>
                <w:szCs w:val="21"/>
              </w:rPr>
              <w:t>（1）小学的法律地位</w:t>
            </w:r>
          </w:p>
          <w:p w14:paraId="06A2956C">
            <w:pPr>
              <w:jc w:val="left"/>
              <w:rPr>
                <w:rFonts w:hint="eastAsia" w:ascii="宋体" w:hAnsi="宋体" w:eastAsia="宋体" w:cs="Times New Roman"/>
                <w:szCs w:val="21"/>
              </w:rPr>
            </w:pPr>
            <w:r>
              <w:rPr>
                <w:rFonts w:hint="eastAsia" w:ascii="宋体" w:hAnsi="宋体" w:eastAsia="宋体" w:cs="Times New Roman"/>
                <w:szCs w:val="21"/>
              </w:rPr>
              <w:t>（2）小学的权利义务和责任</w:t>
            </w:r>
          </w:p>
          <w:p w14:paraId="264B03DD">
            <w:pPr>
              <w:jc w:val="left"/>
              <w:rPr>
                <w:rFonts w:hint="eastAsia" w:ascii="宋体" w:hAnsi="宋体" w:eastAsia="宋体" w:cs="Times New Roman"/>
                <w:szCs w:val="21"/>
              </w:rPr>
            </w:pPr>
            <w:r>
              <w:rPr>
                <w:rFonts w:hint="eastAsia" w:ascii="宋体" w:hAnsi="宋体" w:eastAsia="宋体" w:cs="Times New Roman"/>
                <w:szCs w:val="21"/>
              </w:rPr>
              <w:t>（3）学校事故及侵权责任</w:t>
            </w:r>
          </w:p>
        </w:tc>
        <w:tc>
          <w:tcPr>
            <w:tcW w:w="1150" w:type="dxa"/>
            <w:vAlign w:val="center"/>
          </w:tcPr>
          <w:p w14:paraId="26DFEE88">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988" w:type="dxa"/>
            <w:vAlign w:val="center"/>
          </w:tcPr>
          <w:p w14:paraId="77CEA88D">
            <w:pPr>
              <w:jc w:val="left"/>
              <w:rPr>
                <w:rFonts w:hint="eastAsia" w:ascii="宋体" w:hAnsi="宋体" w:eastAsia="宋体" w:cs="Times New Roman"/>
                <w:szCs w:val="21"/>
              </w:rPr>
            </w:pPr>
            <w:r>
              <w:rPr>
                <w:rFonts w:hint="eastAsia" w:ascii="宋体" w:hAnsi="宋体" w:eastAsia="宋体" w:cs="Times New Roman"/>
                <w:szCs w:val="21"/>
              </w:rPr>
              <w:t>（1）了解小学的法律地位</w:t>
            </w:r>
          </w:p>
          <w:p w14:paraId="4E251E8F">
            <w:pPr>
              <w:jc w:val="left"/>
              <w:rPr>
                <w:rFonts w:hint="eastAsia" w:ascii="宋体" w:hAnsi="宋体" w:eastAsia="宋体" w:cs="Times New Roman"/>
                <w:szCs w:val="21"/>
              </w:rPr>
            </w:pPr>
            <w:r>
              <w:rPr>
                <w:rFonts w:hint="eastAsia" w:ascii="宋体" w:hAnsi="宋体" w:eastAsia="宋体" w:cs="Times New Roman"/>
                <w:szCs w:val="21"/>
              </w:rPr>
              <w:t>（2）理解小学的权利义务和责任</w:t>
            </w:r>
          </w:p>
          <w:p w14:paraId="01123F2D">
            <w:pPr>
              <w:jc w:val="left"/>
              <w:rPr>
                <w:rFonts w:hint="eastAsia" w:ascii="宋体" w:hAnsi="宋体" w:eastAsia="宋体" w:cs="Times New Roman"/>
                <w:szCs w:val="21"/>
              </w:rPr>
            </w:pPr>
            <w:r>
              <w:rPr>
                <w:rFonts w:hint="eastAsia" w:ascii="宋体" w:hAnsi="宋体" w:eastAsia="宋体" w:cs="Times New Roman"/>
                <w:szCs w:val="21"/>
              </w:rPr>
              <w:t>（3）掌握学校事故及侵权责任</w:t>
            </w:r>
          </w:p>
        </w:tc>
        <w:tc>
          <w:tcPr>
            <w:tcW w:w="1560" w:type="dxa"/>
            <w:vAlign w:val="center"/>
          </w:tcPr>
          <w:p w14:paraId="340E520D">
            <w:pPr>
              <w:jc w:val="left"/>
              <w:rPr>
                <w:rFonts w:hint="eastAsia" w:ascii="宋体" w:hAnsi="宋体" w:eastAsia="宋体" w:cs="Times New Roman"/>
                <w:szCs w:val="21"/>
              </w:rPr>
            </w:pPr>
            <w:r>
              <w:rPr>
                <w:rFonts w:ascii="宋体" w:hAnsi="宋体" w:eastAsia="宋体" w:cs="Times New Roman"/>
                <w:szCs w:val="21"/>
              </w:rPr>
              <w:t>1.线上学习</w:t>
            </w:r>
          </w:p>
          <w:p w14:paraId="246E991D">
            <w:pPr>
              <w:jc w:val="left"/>
              <w:rPr>
                <w:rFonts w:hint="eastAsia" w:ascii="宋体" w:hAnsi="宋体" w:eastAsia="宋体" w:cs="Times New Roman"/>
                <w:szCs w:val="21"/>
              </w:rPr>
            </w:pPr>
            <w:r>
              <w:rPr>
                <w:rFonts w:ascii="宋体" w:hAnsi="宋体" w:eastAsia="宋体" w:cs="Times New Roman"/>
                <w:szCs w:val="21"/>
              </w:rPr>
              <w:t>2.多媒体教学3.课堂讨论</w:t>
            </w:r>
          </w:p>
          <w:p w14:paraId="41F4AB17">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6254605E">
            <w:pPr>
              <w:jc w:val="center"/>
              <w:rPr>
                <w:rFonts w:hint="eastAsia" w:ascii="宋体" w:hAnsi="宋体" w:eastAsia="宋体" w:cs="Times New Roman"/>
                <w:szCs w:val="21"/>
              </w:rPr>
            </w:pPr>
            <w:r>
              <w:rPr>
                <w:rFonts w:hint="eastAsia" w:ascii="宋体" w:hAnsi="宋体" w:eastAsia="宋体" w:cs="Times New Roman"/>
                <w:szCs w:val="21"/>
              </w:rPr>
              <w:t>4</w:t>
            </w:r>
          </w:p>
        </w:tc>
      </w:tr>
      <w:tr w14:paraId="117D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2D14BDF">
            <w:pPr>
              <w:jc w:val="center"/>
              <w:rPr>
                <w:rFonts w:hint="eastAsia" w:ascii="宋体" w:hAnsi="宋体" w:eastAsia="宋体" w:cs="Times New Roman"/>
                <w:szCs w:val="21"/>
              </w:rPr>
            </w:pPr>
          </w:p>
        </w:tc>
        <w:tc>
          <w:tcPr>
            <w:tcW w:w="8093" w:type="dxa"/>
            <w:gridSpan w:val="5"/>
            <w:vAlign w:val="center"/>
          </w:tcPr>
          <w:p w14:paraId="0258533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通过本章内容学习，使学生理解未来作为一个学校管理者和决策者所承担的法律责任，从而做到谨慎决策、科学决策，并不断提高创新管理的水平。</w:t>
            </w:r>
          </w:p>
        </w:tc>
      </w:tr>
      <w:tr w14:paraId="4A1E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CF9201">
            <w:pPr>
              <w:jc w:val="center"/>
              <w:rPr>
                <w:rFonts w:hint="eastAsia" w:ascii="宋体" w:hAnsi="宋体" w:eastAsia="宋体" w:cs="Times New Roman"/>
                <w:szCs w:val="21"/>
              </w:rPr>
            </w:pPr>
            <w:r>
              <w:rPr>
                <w:rFonts w:hint="eastAsia" w:ascii="宋体" w:hAnsi="宋体" w:eastAsia="宋体" w:cs="Times New Roman"/>
                <w:szCs w:val="21"/>
              </w:rPr>
              <w:t>6.小学教师的权益及保护</w:t>
            </w:r>
          </w:p>
        </w:tc>
        <w:tc>
          <w:tcPr>
            <w:tcW w:w="1957" w:type="dxa"/>
            <w:vAlign w:val="center"/>
          </w:tcPr>
          <w:p w14:paraId="1120E245">
            <w:pPr>
              <w:jc w:val="left"/>
              <w:rPr>
                <w:rFonts w:hint="eastAsia" w:ascii="宋体" w:hAnsi="宋体" w:eastAsia="宋体" w:cs="Times New Roman"/>
                <w:szCs w:val="21"/>
              </w:rPr>
            </w:pPr>
            <w:r>
              <w:rPr>
                <w:rFonts w:hint="eastAsia" w:ascii="宋体" w:hAnsi="宋体" w:eastAsia="宋体" w:cs="Times New Roman"/>
                <w:szCs w:val="21"/>
              </w:rPr>
              <w:t>（1）小学教师的法律地位</w:t>
            </w:r>
          </w:p>
          <w:p w14:paraId="3595237E">
            <w:pPr>
              <w:jc w:val="left"/>
              <w:rPr>
                <w:rFonts w:hint="eastAsia" w:ascii="宋体" w:hAnsi="宋体" w:eastAsia="宋体" w:cs="Times New Roman"/>
                <w:szCs w:val="21"/>
              </w:rPr>
            </w:pPr>
            <w:r>
              <w:rPr>
                <w:rFonts w:hint="eastAsia" w:ascii="宋体" w:hAnsi="宋体" w:eastAsia="宋体" w:cs="Times New Roman"/>
                <w:szCs w:val="21"/>
              </w:rPr>
              <w:t>（2）小学教师的权利与义务</w:t>
            </w:r>
          </w:p>
          <w:p w14:paraId="357F7BFB">
            <w:pPr>
              <w:jc w:val="left"/>
              <w:rPr>
                <w:rFonts w:hint="eastAsia" w:ascii="宋体" w:hAnsi="宋体" w:eastAsia="宋体" w:cs="Times New Roman"/>
                <w:szCs w:val="21"/>
              </w:rPr>
            </w:pPr>
            <w:r>
              <w:rPr>
                <w:rFonts w:hint="eastAsia" w:ascii="宋体" w:hAnsi="宋体" w:eastAsia="宋体" w:cs="Times New Roman"/>
                <w:szCs w:val="21"/>
              </w:rPr>
              <w:t>（3）教师的惩戒与权利救济</w:t>
            </w:r>
          </w:p>
          <w:p w14:paraId="76C4128A">
            <w:pPr>
              <w:jc w:val="left"/>
              <w:rPr>
                <w:rFonts w:hint="eastAsia" w:ascii="宋体" w:hAnsi="宋体" w:eastAsia="宋体" w:cs="Times New Roman"/>
                <w:szCs w:val="21"/>
              </w:rPr>
            </w:pPr>
            <w:r>
              <w:rPr>
                <w:rFonts w:hint="eastAsia" w:ascii="宋体" w:hAnsi="宋体" w:eastAsia="宋体" w:cs="Times New Roman"/>
                <w:szCs w:val="21"/>
              </w:rPr>
              <w:t>（4）教师职业制度</w:t>
            </w:r>
          </w:p>
        </w:tc>
        <w:tc>
          <w:tcPr>
            <w:tcW w:w="1150" w:type="dxa"/>
            <w:vAlign w:val="center"/>
          </w:tcPr>
          <w:p w14:paraId="5B08277A">
            <w:pPr>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2988" w:type="dxa"/>
            <w:vAlign w:val="center"/>
          </w:tcPr>
          <w:p w14:paraId="62DF4A29">
            <w:pPr>
              <w:jc w:val="left"/>
              <w:rPr>
                <w:rFonts w:hint="eastAsia" w:ascii="宋体" w:hAnsi="宋体" w:eastAsia="宋体" w:cs="Times New Roman"/>
                <w:szCs w:val="21"/>
              </w:rPr>
            </w:pPr>
            <w:r>
              <w:rPr>
                <w:rFonts w:hint="eastAsia" w:ascii="宋体" w:hAnsi="宋体" w:eastAsia="宋体" w:cs="Times New Roman"/>
                <w:szCs w:val="21"/>
              </w:rPr>
              <w:t>（1）了解小学教师的法律地位</w:t>
            </w:r>
          </w:p>
          <w:p w14:paraId="2B2CF4BE">
            <w:pPr>
              <w:jc w:val="left"/>
              <w:rPr>
                <w:rFonts w:hint="eastAsia" w:ascii="宋体" w:hAnsi="宋体" w:eastAsia="宋体" w:cs="Times New Roman"/>
                <w:szCs w:val="21"/>
              </w:rPr>
            </w:pPr>
            <w:r>
              <w:rPr>
                <w:rFonts w:hint="eastAsia" w:ascii="宋体" w:hAnsi="宋体" w:eastAsia="宋体" w:cs="Times New Roman"/>
                <w:szCs w:val="21"/>
              </w:rPr>
              <w:t>（2）理解教师的惩戒和权利救济</w:t>
            </w:r>
          </w:p>
          <w:p w14:paraId="76B5DB70">
            <w:pPr>
              <w:jc w:val="left"/>
              <w:rPr>
                <w:rFonts w:hint="eastAsia" w:ascii="宋体" w:hAnsi="宋体" w:eastAsia="宋体" w:cs="Times New Roman"/>
                <w:szCs w:val="21"/>
              </w:rPr>
            </w:pPr>
            <w:r>
              <w:rPr>
                <w:rFonts w:hint="eastAsia" w:ascii="宋体" w:hAnsi="宋体" w:eastAsia="宋体" w:cs="Times New Roman"/>
                <w:szCs w:val="21"/>
              </w:rPr>
              <w:t>（3）掌握小学教师的权利与义务</w:t>
            </w:r>
          </w:p>
        </w:tc>
        <w:tc>
          <w:tcPr>
            <w:tcW w:w="1560" w:type="dxa"/>
            <w:vAlign w:val="center"/>
          </w:tcPr>
          <w:p w14:paraId="39B03D4A">
            <w:pPr>
              <w:jc w:val="left"/>
              <w:rPr>
                <w:rFonts w:hint="eastAsia" w:ascii="宋体" w:hAnsi="宋体" w:eastAsia="宋体" w:cs="Times New Roman"/>
                <w:szCs w:val="21"/>
              </w:rPr>
            </w:pPr>
            <w:r>
              <w:rPr>
                <w:rFonts w:ascii="宋体" w:hAnsi="宋体" w:eastAsia="宋体" w:cs="Times New Roman"/>
                <w:szCs w:val="21"/>
              </w:rPr>
              <w:t>1.线上学习</w:t>
            </w:r>
          </w:p>
          <w:p w14:paraId="392C2569">
            <w:pPr>
              <w:jc w:val="left"/>
              <w:rPr>
                <w:rFonts w:hint="eastAsia" w:ascii="宋体" w:hAnsi="宋体" w:eastAsia="宋体" w:cs="Times New Roman"/>
                <w:szCs w:val="21"/>
              </w:rPr>
            </w:pPr>
            <w:r>
              <w:rPr>
                <w:rFonts w:ascii="宋体" w:hAnsi="宋体" w:eastAsia="宋体" w:cs="Times New Roman"/>
                <w:szCs w:val="21"/>
              </w:rPr>
              <w:t>2.多媒体教学3.课堂讨论</w:t>
            </w:r>
          </w:p>
          <w:p w14:paraId="6DA40BB4">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4961DB12">
            <w:pPr>
              <w:jc w:val="center"/>
              <w:rPr>
                <w:rFonts w:hint="eastAsia" w:ascii="宋体" w:hAnsi="宋体" w:eastAsia="宋体" w:cs="Times New Roman"/>
                <w:szCs w:val="21"/>
              </w:rPr>
            </w:pPr>
            <w:r>
              <w:rPr>
                <w:rFonts w:hint="eastAsia" w:ascii="宋体" w:hAnsi="宋体" w:eastAsia="宋体" w:cs="Times New Roman"/>
                <w:szCs w:val="21"/>
              </w:rPr>
              <w:t>2</w:t>
            </w:r>
          </w:p>
        </w:tc>
      </w:tr>
      <w:tr w14:paraId="63164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154DB2C">
            <w:pPr>
              <w:jc w:val="center"/>
              <w:rPr>
                <w:rFonts w:hint="eastAsia" w:ascii="宋体" w:hAnsi="宋体" w:eastAsia="宋体" w:cs="Times New Roman"/>
                <w:szCs w:val="21"/>
              </w:rPr>
            </w:pPr>
          </w:p>
        </w:tc>
        <w:tc>
          <w:tcPr>
            <w:tcW w:w="8093" w:type="dxa"/>
            <w:gridSpan w:val="5"/>
            <w:vAlign w:val="center"/>
          </w:tcPr>
          <w:p w14:paraId="2F68D09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通过本章内容学习，使学生深刻理解习近平总书记提出的“四有好老师”所蕴含的时代意义，在今后的教师岗位上不断增强履职尽责的自觉性和为国育人的崇高精神。</w:t>
            </w:r>
          </w:p>
        </w:tc>
      </w:tr>
      <w:tr w14:paraId="4E17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82CA374">
            <w:pPr>
              <w:jc w:val="center"/>
              <w:rPr>
                <w:rFonts w:hint="eastAsia" w:ascii="宋体" w:hAnsi="宋体" w:eastAsia="宋体" w:cs="Times New Roman"/>
                <w:szCs w:val="21"/>
              </w:rPr>
            </w:pPr>
            <w:r>
              <w:rPr>
                <w:rFonts w:hint="eastAsia" w:ascii="宋体" w:hAnsi="宋体" w:eastAsia="宋体" w:cs="Times New Roman"/>
                <w:szCs w:val="21"/>
              </w:rPr>
              <w:t>7.小学生的权益及保护</w:t>
            </w:r>
          </w:p>
        </w:tc>
        <w:tc>
          <w:tcPr>
            <w:tcW w:w="1957" w:type="dxa"/>
            <w:vAlign w:val="center"/>
          </w:tcPr>
          <w:p w14:paraId="13879154">
            <w:pPr>
              <w:jc w:val="left"/>
              <w:rPr>
                <w:rFonts w:hint="eastAsia" w:ascii="宋体" w:hAnsi="宋体" w:eastAsia="宋体" w:cs="Times New Roman"/>
                <w:szCs w:val="21"/>
              </w:rPr>
            </w:pPr>
            <w:r>
              <w:rPr>
                <w:rFonts w:hint="eastAsia" w:ascii="宋体" w:hAnsi="宋体" w:eastAsia="宋体" w:cs="Times New Roman"/>
                <w:szCs w:val="21"/>
              </w:rPr>
              <w:t>（1）小学生的法律地位</w:t>
            </w:r>
          </w:p>
          <w:p w14:paraId="52DF047A">
            <w:pPr>
              <w:jc w:val="left"/>
              <w:rPr>
                <w:rFonts w:hint="eastAsia" w:ascii="宋体" w:hAnsi="宋体" w:eastAsia="宋体" w:cs="Times New Roman"/>
                <w:szCs w:val="21"/>
              </w:rPr>
            </w:pPr>
            <w:r>
              <w:rPr>
                <w:rFonts w:hint="eastAsia" w:ascii="宋体" w:hAnsi="宋体" w:eastAsia="宋体" w:cs="Times New Roman"/>
                <w:szCs w:val="21"/>
              </w:rPr>
              <w:t>（2）小学生的权利与义务</w:t>
            </w:r>
          </w:p>
          <w:p w14:paraId="50BBA8AA">
            <w:pPr>
              <w:jc w:val="left"/>
              <w:rPr>
                <w:rFonts w:hint="eastAsia" w:ascii="宋体" w:hAnsi="宋体" w:eastAsia="宋体" w:cs="Times New Roman"/>
                <w:szCs w:val="21"/>
              </w:rPr>
            </w:pPr>
            <w:r>
              <w:rPr>
                <w:rFonts w:hint="eastAsia" w:ascii="宋体" w:hAnsi="宋体" w:eastAsia="宋体" w:cs="Times New Roman"/>
                <w:szCs w:val="21"/>
              </w:rPr>
              <w:t>（3）学生惩戒与权利救济</w:t>
            </w:r>
          </w:p>
        </w:tc>
        <w:tc>
          <w:tcPr>
            <w:tcW w:w="1150" w:type="dxa"/>
            <w:vAlign w:val="center"/>
          </w:tcPr>
          <w:p w14:paraId="4A42749F">
            <w:pPr>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2988" w:type="dxa"/>
            <w:vAlign w:val="center"/>
          </w:tcPr>
          <w:p w14:paraId="7280E30E">
            <w:pPr>
              <w:jc w:val="left"/>
              <w:rPr>
                <w:rFonts w:hint="eastAsia" w:ascii="宋体" w:hAnsi="宋体" w:eastAsia="宋体" w:cs="Times New Roman"/>
                <w:szCs w:val="21"/>
              </w:rPr>
            </w:pPr>
            <w:r>
              <w:rPr>
                <w:rFonts w:hint="eastAsia" w:ascii="宋体" w:hAnsi="宋体" w:eastAsia="宋体" w:cs="Times New Roman"/>
                <w:szCs w:val="21"/>
              </w:rPr>
              <w:t>（1）了解小学生的法律地位</w:t>
            </w:r>
          </w:p>
          <w:p w14:paraId="5593947C">
            <w:pPr>
              <w:jc w:val="left"/>
              <w:rPr>
                <w:rFonts w:hint="eastAsia" w:ascii="宋体" w:hAnsi="宋体" w:eastAsia="宋体" w:cs="Times New Roman"/>
                <w:szCs w:val="21"/>
              </w:rPr>
            </w:pPr>
            <w:r>
              <w:rPr>
                <w:rFonts w:hint="eastAsia" w:ascii="宋体" w:hAnsi="宋体" w:eastAsia="宋体" w:cs="Times New Roman"/>
                <w:szCs w:val="21"/>
              </w:rPr>
              <w:t>（2）理解学生惩戒与权利救济；</w:t>
            </w:r>
          </w:p>
          <w:p w14:paraId="19B43164">
            <w:pPr>
              <w:jc w:val="left"/>
              <w:rPr>
                <w:rFonts w:hint="eastAsia" w:ascii="宋体" w:hAnsi="宋体" w:eastAsia="宋体" w:cs="Times New Roman"/>
                <w:szCs w:val="21"/>
              </w:rPr>
            </w:pPr>
            <w:r>
              <w:rPr>
                <w:rFonts w:hint="eastAsia" w:ascii="宋体" w:hAnsi="宋体" w:eastAsia="宋体" w:cs="Times New Roman"/>
                <w:szCs w:val="21"/>
              </w:rPr>
              <w:t>（3）掌握小学生的权利与义务</w:t>
            </w:r>
            <w:r>
              <w:rPr>
                <w:rFonts w:ascii="宋体" w:hAnsi="宋体" w:eastAsia="宋体" w:cs="Times New Roman"/>
                <w:szCs w:val="21"/>
              </w:rPr>
              <w:t>度的改革和发展趋势</w:t>
            </w:r>
            <w:r>
              <w:rPr>
                <w:rFonts w:hint="eastAsia" w:ascii="宋体" w:hAnsi="宋体" w:eastAsia="宋体" w:cs="Times New Roman"/>
                <w:szCs w:val="21"/>
              </w:rPr>
              <w:t>；</w:t>
            </w:r>
          </w:p>
          <w:p w14:paraId="30D782B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4）运用学校教育制度的有关知识来分析我国现行教育制度</w:t>
            </w:r>
            <w:r>
              <w:rPr>
                <w:rFonts w:hint="eastAsia" w:ascii="宋体" w:hAnsi="宋体" w:eastAsia="宋体" w:cs="Times New Roman"/>
                <w:szCs w:val="21"/>
              </w:rPr>
              <w:t>。</w:t>
            </w:r>
          </w:p>
        </w:tc>
        <w:tc>
          <w:tcPr>
            <w:tcW w:w="1560" w:type="dxa"/>
            <w:vAlign w:val="center"/>
          </w:tcPr>
          <w:p w14:paraId="56BED24A">
            <w:pPr>
              <w:jc w:val="left"/>
              <w:rPr>
                <w:rFonts w:hint="eastAsia" w:ascii="宋体" w:hAnsi="宋体" w:eastAsia="宋体" w:cs="Times New Roman"/>
                <w:szCs w:val="21"/>
              </w:rPr>
            </w:pPr>
            <w:r>
              <w:rPr>
                <w:rFonts w:ascii="宋体" w:hAnsi="宋体" w:eastAsia="宋体" w:cs="Times New Roman"/>
                <w:szCs w:val="21"/>
              </w:rPr>
              <w:t>1.线上学习</w:t>
            </w:r>
          </w:p>
          <w:p w14:paraId="71964DFA">
            <w:pPr>
              <w:jc w:val="left"/>
              <w:rPr>
                <w:rFonts w:hint="eastAsia" w:ascii="宋体" w:hAnsi="宋体" w:eastAsia="宋体" w:cs="Times New Roman"/>
                <w:szCs w:val="21"/>
              </w:rPr>
            </w:pPr>
            <w:r>
              <w:rPr>
                <w:rFonts w:ascii="宋体" w:hAnsi="宋体" w:eastAsia="宋体" w:cs="Times New Roman"/>
                <w:szCs w:val="21"/>
              </w:rPr>
              <w:t>2.多媒体教学3.课堂讨论</w:t>
            </w:r>
          </w:p>
          <w:p w14:paraId="2E3A5BA5">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0FDA8B1B">
            <w:pPr>
              <w:jc w:val="center"/>
              <w:rPr>
                <w:rFonts w:hint="eastAsia" w:ascii="宋体" w:hAnsi="宋体" w:eastAsia="宋体" w:cs="Times New Roman"/>
                <w:szCs w:val="21"/>
              </w:rPr>
            </w:pPr>
            <w:r>
              <w:rPr>
                <w:rFonts w:hint="eastAsia" w:ascii="宋体" w:hAnsi="宋体" w:eastAsia="宋体" w:cs="Times New Roman"/>
                <w:szCs w:val="21"/>
              </w:rPr>
              <w:t>2</w:t>
            </w:r>
          </w:p>
        </w:tc>
      </w:tr>
      <w:tr w14:paraId="57C7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F94E74">
            <w:pPr>
              <w:jc w:val="center"/>
              <w:rPr>
                <w:rFonts w:hint="eastAsia" w:ascii="宋体" w:hAnsi="宋体" w:eastAsia="宋体" w:cs="Times New Roman"/>
                <w:szCs w:val="21"/>
              </w:rPr>
            </w:pPr>
          </w:p>
        </w:tc>
        <w:tc>
          <w:tcPr>
            <w:tcW w:w="8093" w:type="dxa"/>
            <w:gridSpan w:val="5"/>
            <w:vAlign w:val="center"/>
          </w:tcPr>
          <w:p w14:paraId="6D43A96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师范生不断增强教育立德树人的时代意义，尤其是理解小学教育是基础教育的基础这一基本观点，在加强自身品德修养中培养小学生的综合素质，履行培养担当民族复兴大任时代新人的历史使命。</w:t>
            </w:r>
          </w:p>
        </w:tc>
      </w:tr>
      <w:tr w14:paraId="07D8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804F1CD">
            <w:pPr>
              <w:jc w:val="center"/>
              <w:rPr>
                <w:rFonts w:hint="eastAsia" w:ascii="宋体" w:hAnsi="宋体" w:eastAsia="宋体" w:cs="Times New Roman"/>
                <w:szCs w:val="21"/>
              </w:rPr>
            </w:pPr>
            <w:r>
              <w:rPr>
                <w:rFonts w:hint="eastAsia" w:ascii="宋体" w:hAnsi="宋体" w:eastAsia="宋体" w:cs="Times New Roman"/>
                <w:szCs w:val="21"/>
              </w:rPr>
              <w:t>8小学教育重要法律法规和政策解读</w:t>
            </w:r>
          </w:p>
        </w:tc>
        <w:tc>
          <w:tcPr>
            <w:tcW w:w="1957" w:type="dxa"/>
            <w:vAlign w:val="center"/>
          </w:tcPr>
          <w:p w14:paraId="60BD1CD6">
            <w:pPr>
              <w:jc w:val="left"/>
              <w:rPr>
                <w:rFonts w:hint="eastAsia" w:ascii="宋体" w:hAnsi="宋体" w:eastAsia="宋体" w:cs="Times New Roman"/>
                <w:szCs w:val="21"/>
              </w:rPr>
            </w:pPr>
            <w:r>
              <w:rPr>
                <w:rFonts w:hint="eastAsia" w:ascii="宋体" w:hAnsi="宋体" w:eastAsia="宋体" w:cs="Times New Roman"/>
                <w:szCs w:val="21"/>
              </w:rPr>
              <w:t>（1）教育法与义务教育法</w:t>
            </w:r>
          </w:p>
          <w:p w14:paraId="52083600">
            <w:pPr>
              <w:jc w:val="left"/>
              <w:rPr>
                <w:rFonts w:hint="eastAsia" w:ascii="宋体" w:hAnsi="宋体" w:eastAsia="宋体" w:cs="Times New Roman"/>
                <w:szCs w:val="21"/>
              </w:rPr>
            </w:pPr>
            <w:r>
              <w:rPr>
                <w:rFonts w:hint="eastAsia" w:ascii="宋体" w:hAnsi="宋体" w:eastAsia="宋体" w:cs="Times New Roman"/>
                <w:szCs w:val="21"/>
              </w:rPr>
              <w:t>（2）教师法与未成年人保护法</w:t>
            </w:r>
          </w:p>
          <w:p w14:paraId="200C8C4C">
            <w:pPr>
              <w:jc w:val="left"/>
              <w:rPr>
                <w:rFonts w:hint="eastAsia" w:ascii="宋体" w:hAnsi="宋体" w:eastAsia="宋体" w:cs="Times New Roman"/>
                <w:szCs w:val="21"/>
              </w:rPr>
            </w:pPr>
            <w:r>
              <w:rPr>
                <w:rFonts w:hint="eastAsia" w:ascii="宋体" w:hAnsi="宋体" w:eastAsia="宋体" w:cs="Times New Roman"/>
                <w:szCs w:val="21"/>
              </w:rPr>
              <w:t>（3）预防未成年人犯罪法</w:t>
            </w:r>
          </w:p>
          <w:p w14:paraId="1C6F0179">
            <w:pPr>
              <w:jc w:val="left"/>
              <w:rPr>
                <w:rFonts w:hint="eastAsia" w:ascii="宋体" w:hAnsi="宋体" w:eastAsia="宋体" w:cs="Times New Roman"/>
                <w:szCs w:val="21"/>
              </w:rPr>
            </w:pPr>
            <w:r>
              <w:rPr>
                <w:rFonts w:hint="eastAsia" w:ascii="宋体" w:hAnsi="宋体" w:eastAsia="宋体" w:cs="Times New Roman"/>
                <w:szCs w:val="21"/>
              </w:rPr>
              <w:t>（4）学生伤害事故处理办法</w:t>
            </w:r>
          </w:p>
        </w:tc>
        <w:tc>
          <w:tcPr>
            <w:tcW w:w="1150" w:type="dxa"/>
            <w:vAlign w:val="center"/>
          </w:tcPr>
          <w:p w14:paraId="69984BD5">
            <w:pPr>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2988" w:type="dxa"/>
            <w:vAlign w:val="center"/>
          </w:tcPr>
          <w:p w14:paraId="12A21228">
            <w:pPr>
              <w:jc w:val="left"/>
              <w:rPr>
                <w:rFonts w:hint="eastAsia" w:ascii="宋体" w:hAnsi="宋体" w:eastAsia="宋体" w:cs="Times New Roman"/>
                <w:szCs w:val="21"/>
              </w:rPr>
            </w:pPr>
            <w:r>
              <w:rPr>
                <w:rFonts w:hint="eastAsia" w:ascii="宋体" w:hAnsi="宋体" w:eastAsia="宋体" w:cs="Times New Roman"/>
                <w:szCs w:val="21"/>
              </w:rPr>
              <w:t>（1）了解小学教育重要法律法规的内容</w:t>
            </w:r>
          </w:p>
          <w:p w14:paraId="6E9F51F5">
            <w:pPr>
              <w:jc w:val="left"/>
              <w:rPr>
                <w:rFonts w:hint="eastAsia" w:ascii="宋体" w:hAnsi="宋体" w:eastAsia="宋体" w:cs="Times New Roman"/>
                <w:szCs w:val="21"/>
              </w:rPr>
            </w:pPr>
            <w:r>
              <w:rPr>
                <w:rFonts w:hint="eastAsia" w:ascii="宋体" w:hAnsi="宋体" w:eastAsia="宋体" w:cs="Times New Roman"/>
                <w:szCs w:val="21"/>
              </w:rPr>
              <w:t>（2）理解相关法律法规中的具体内容现实意义</w:t>
            </w:r>
          </w:p>
          <w:p w14:paraId="71182481">
            <w:pPr>
              <w:jc w:val="left"/>
              <w:rPr>
                <w:rFonts w:hint="eastAsia" w:ascii="宋体" w:hAnsi="宋体" w:eastAsia="宋体" w:cs="Times New Roman"/>
                <w:szCs w:val="21"/>
              </w:rPr>
            </w:pPr>
            <w:r>
              <w:rPr>
                <w:rFonts w:hint="eastAsia" w:ascii="宋体" w:hAnsi="宋体" w:eastAsia="宋体" w:cs="Times New Roman"/>
                <w:szCs w:val="21"/>
              </w:rPr>
              <w:t>（3）理解相关法律法规执行中的问题</w:t>
            </w:r>
          </w:p>
        </w:tc>
        <w:tc>
          <w:tcPr>
            <w:tcW w:w="1560" w:type="dxa"/>
            <w:vAlign w:val="center"/>
          </w:tcPr>
          <w:p w14:paraId="463D567C">
            <w:pPr>
              <w:jc w:val="left"/>
              <w:rPr>
                <w:rFonts w:hint="eastAsia" w:ascii="宋体" w:hAnsi="宋体" w:eastAsia="宋体" w:cs="Times New Roman"/>
                <w:szCs w:val="21"/>
              </w:rPr>
            </w:pPr>
            <w:r>
              <w:rPr>
                <w:rFonts w:ascii="宋体" w:hAnsi="宋体" w:eastAsia="宋体" w:cs="Times New Roman"/>
                <w:szCs w:val="21"/>
              </w:rPr>
              <w:t>1.线上学习</w:t>
            </w:r>
          </w:p>
          <w:p w14:paraId="3A2BA2FF">
            <w:pPr>
              <w:jc w:val="left"/>
              <w:rPr>
                <w:rFonts w:hint="eastAsia" w:ascii="宋体" w:hAnsi="宋体" w:eastAsia="宋体" w:cs="Times New Roman"/>
                <w:szCs w:val="21"/>
              </w:rPr>
            </w:pPr>
            <w:r>
              <w:rPr>
                <w:rFonts w:ascii="宋体" w:hAnsi="宋体" w:eastAsia="宋体" w:cs="Times New Roman"/>
                <w:szCs w:val="21"/>
              </w:rPr>
              <w:t>2.多媒体教学3.课堂讨论</w:t>
            </w:r>
          </w:p>
          <w:p w14:paraId="3718E335">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50D14889">
            <w:pPr>
              <w:jc w:val="center"/>
              <w:rPr>
                <w:rFonts w:hint="eastAsia" w:ascii="宋体" w:hAnsi="宋体" w:eastAsia="宋体" w:cs="Times New Roman"/>
                <w:szCs w:val="21"/>
              </w:rPr>
            </w:pPr>
            <w:r>
              <w:rPr>
                <w:rFonts w:hint="eastAsia" w:ascii="宋体" w:hAnsi="宋体" w:eastAsia="宋体" w:cs="Times New Roman"/>
                <w:szCs w:val="21"/>
              </w:rPr>
              <w:t>4</w:t>
            </w:r>
          </w:p>
        </w:tc>
      </w:tr>
      <w:tr w14:paraId="15CB4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B7CBC51">
            <w:pPr>
              <w:jc w:val="center"/>
              <w:rPr>
                <w:rFonts w:hint="eastAsia" w:ascii="宋体" w:hAnsi="宋体" w:eastAsia="宋体" w:cs="Times New Roman"/>
                <w:szCs w:val="21"/>
              </w:rPr>
            </w:pPr>
          </w:p>
        </w:tc>
        <w:tc>
          <w:tcPr>
            <w:tcW w:w="8093" w:type="dxa"/>
            <w:gridSpan w:val="5"/>
            <w:vAlign w:val="center"/>
          </w:tcPr>
          <w:p w14:paraId="1B51378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通过本章内容学习，使学生了解我国教育政策与法规内容中所体现的中国特色社会主义精神，深刻理解中国共产党领导下的教育宏图大业，增强作为一个新时代中国小学教师的自豪感。</w:t>
            </w:r>
          </w:p>
        </w:tc>
      </w:tr>
    </w:tbl>
    <w:p w14:paraId="324A3F2E">
      <w:pPr>
        <w:spacing w:line="360" w:lineRule="auto"/>
        <w:jc w:val="left"/>
        <w:rPr>
          <w:rFonts w:ascii="Times New Roman" w:hAnsi="Times New Roman" w:eastAsia="宋体" w:cs="Times New Roman"/>
          <w:sz w:val="24"/>
        </w:rPr>
      </w:pPr>
      <w:r>
        <w:rPr>
          <w:rFonts w:hint="eastAsia" w:ascii="宋体" w:hAnsi="宋体" w:eastAsia="宋体" w:cs="Times New Roman"/>
          <w:b/>
          <w:sz w:val="24"/>
        </w:rPr>
        <w:t>四、目标评价与成绩评定</w:t>
      </w:r>
    </w:p>
    <w:p w14:paraId="656689D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9C418C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w:t>
      </w:r>
      <w:r>
        <w:rPr>
          <w:rFonts w:ascii="Times New Roman" w:hAnsi="Times New Roman" w:eastAsia="宋体" w:cs="Times New Roman"/>
          <w:szCs w:val="21"/>
        </w:rPr>
        <w:t>所示。</w:t>
      </w:r>
    </w:p>
    <w:tbl>
      <w:tblPr>
        <w:tblStyle w:val="12"/>
        <w:tblW w:w="7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205"/>
        <w:gridCol w:w="1557"/>
        <w:gridCol w:w="1550"/>
        <w:gridCol w:w="1395"/>
        <w:gridCol w:w="726"/>
      </w:tblGrid>
      <w:tr w14:paraId="589E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Merge w:val="restart"/>
            <w:vAlign w:val="center"/>
          </w:tcPr>
          <w:p w14:paraId="62F6C82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30688B48">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35B41536">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74A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Merge w:val="continue"/>
            <w:vAlign w:val="center"/>
          </w:tcPr>
          <w:p w14:paraId="52BF2E35">
            <w:pPr>
              <w:spacing w:line="360" w:lineRule="auto"/>
              <w:jc w:val="center"/>
              <w:rPr>
                <w:rFonts w:hint="eastAsia" w:ascii="宋体" w:hAnsi="宋体" w:eastAsia="宋体" w:cs="Times New Roman"/>
                <w:szCs w:val="21"/>
              </w:rPr>
            </w:pPr>
          </w:p>
        </w:tc>
        <w:tc>
          <w:tcPr>
            <w:tcW w:w="0" w:type="auto"/>
            <w:vAlign w:val="center"/>
          </w:tcPr>
          <w:p w14:paraId="0B5C7D46">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557" w:type="dxa"/>
            <w:vAlign w:val="center"/>
          </w:tcPr>
          <w:p w14:paraId="763EADFC">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550" w:type="dxa"/>
            <w:vAlign w:val="center"/>
          </w:tcPr>
          <w:p w14:paraId="5DA5884B">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395" w:type="dxa"/>
          </w:tcPr>
          <w:p w14:paraId="326A86E1">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3BC53337">
            <w:pPr>
              <w:spacing w:line="360" w:lineRule="auto"/>
              <w:jc w:val="center"/>
              <w:rPr>
                <w:rFonts w:hint="eastAsia" w:ascii="宋体" w:hAnsi="宋体" w:eastAsia="宋体" w:cs="Times New Roman"/>
                <w:szCs w:val="21"/>
              </w:rPr>
            </w:pPr>
          </w:p>
        </w:tc>
      </w:tr>
      <w:tr w14:paraId="4550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23AD7C1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17F680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7" w:type="dxa"/>
            <w:vAlign w:val="center"/>
          </w:tcPr>
          <w:p w14:paraId="1FC6F2A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0" w:type="dxa"/>
            <w:vAlign w:val="center"/>
          </w:tcPr>
          <w:p w14:paraId="2E57617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95" w:type="dxa"/>
          </w:tcPr>
          <w:p w14:paraId="6942A43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CA29C3C">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2FD9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3CDF758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63AB7C8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7" w:type="dxa"/>
            <w:vAlign w:val="center"/>
          </w:tcPr>
          <w:p w14:paraId="44D5166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0" w:type="dxa"/>
            <w:vAlign w:val="center"/>
          </w:tcPr>
          <w:p w14:paraId="3DC8E1E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95" w:type="dxa"/>
          </w:tcPr>
          <w:p w14:paraId="5E8E4FA0">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149193A1">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1A3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3E80C75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6D6BC8B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57" w:type="dxa"/>
            <w:vAlign w:val="center"/>
          </w:tcPr>
          <w:p w14:paraId="5AFF0CB6">
            <w:pPr>
              <w:spacing w:line="360" w:lineRule="auto"/>
              <w:jc w:val="center"/>
              <w:rPr>
                <w:rFonts w:hint="eastAsia" w:ascii="宋体" w:hAnsi="宋体" w:eastAsia="宋体" w:cs="Times New Roman"/>
                <w:szCs w:val="21"/>
              </w:rPr>
            </w:pPr>
          </w:p>
        </w:tc>
        <w:tc>
          <w:tcPr>
            <w:tcW w:w="1550" w:type="dxa"/>
            <w:vAlign w:val="center"/>
          </w:tcPr>
          <w:p w14:paraId="059776D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95" w:type="dxa"/>
          </w:tcPr>
          <w:p w14:paraId="1EB7C079">
            <w:pPr>
              <w:spacing w:line="360" w:lineRule="auto"/>
              <w:jc w:val="center"/>
              <w:rPr>
                <w:rFonts w:hint="eastAsia" w:ascii="宋体" w:hAnsi="宋体" w:eastAsia="宋体" w:cs="Times New Roman"/>
                <w:szCs w:val="21"/>
              </w:rPr>
            </w:pPr>
          </w:p>
        </w:tc>
        <w:tc>
          <w:tcPr>
            <w:tcW w:w="0" w:type="auto"/>
            <w:vAlign w:val="center"/>
          </w:tcPr>
          <w:p w14:paraId="0A5FA0AD">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4543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5246DFA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0" w:type="auto"/>
            <w:vAlign w:val="center"/>
          </w:tcPr>
          <w:p w14:paraId="03FDDD30">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557" w:type="dxa"/>
            <w:vAlign w:val="center"/>
          </w:tcPr>
          <w:p w14:paraId="3D1B28AB">
            <w:pPr>
              <w:spacing w:line="360" w:lineRule="auto"/>
              <w:jc w:val="center"/>
              <w:rPr>
                <w:rFonts w:hint="eastAsia" w:ascii="宋体" w:hAnsi="宋体" w:eastAsia="宋体" w:cs="Times New Roman"/>
                <w:szCs w:val="21"/>
              </w:rPr>
            </w:pPr>
          </w:p>
        </w:tc>
        <w:tc>
          <w:tcPr>
            <w:tcW w:w="1550" w:type="dxa"/>
            <w:vAlign w:val="center"/>
          </w:tcPr>
          <w:p w14:paraId="55F404BB">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395" w:type="dxa"/>
          </w:tcPr>
          <w:p w14:paraId="0D666742">
            <w:pPr>
              <w:spacing w:line="360" w:lineRule="auto"/>
              <w:jc w:val="center"/>
              <w:rPr>
                <w:rFonts w:hint="eastAsia" w:ascii="宋体" w:hAnsi="宋体" w:eastAsia="宋体" w:cs="Times New Roman"/>
                <w:szCs w:val="21"/>
              </w:rPr>
            </w:pPr>
          </w:p>
        </w:tc>
        <w:tc>
          <w:tcPr>
            <w:tcW w:w="0" w:type="auto"/>
            <w:vAlign w:val="center"/>
          </w:tcPr>
          <w:p w14:paraId="2C9402FA">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6A107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0" w:type="auto"/>
            <w:vAlign w:val="center"/>
          </w:tcPr>
          <w:p w14:paraId="3853033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0" w:type="auto"/>
            <w:vAlign w:val="center"/>
          </w:tcPr>
          <w:p w14:paraId="63AE1949">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557" w:type="dxa"/>
            <w:vAlign w:val="center"/>
          </w:tcPr>
          <w:p w14:paraId="290CDEFC">
            <w:pPr>
              <w:spacing w:line="360" w:lineRule="auto"/>
              <w:jc w:val="center"/>
              <w:rPr>
                <w:rFonts w:hint="eastAsia" w:ascii="宋体" w:hAnsi="宋体" w:eastAsia="宋体" w:cs="Times New Roman"/>
                <w:szCs w:val="21"/>
              </w:rPr>
            </w:pPr>
          </w:p>
        </w:tc>
        <w:tc>
          <w:tcPr>
            <w:tcW w:w="1550" w:type="dxa"/>
            <w:vAlign w:val="center"/>
          </w:tcPr>
          <w:p w14:paraId="6DD33EB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395" w:type="dxa"/>
          </w:tcPr>
          <w:p w14:paraId="5C1AC6A7">
            <w:pPr>
              <w:spacing w:line="360" w:lineRule="auto"/>
              <w:jc w:val="center"/>
              <w:rPr>
                <w:rFonts w:hint="eastAsia" w:ascii="宋体" w:hAnsi="宋体" w:eastAsia="宋体" w:cs="Times New Roman"/>
                <w:szCs w:val="21"/>
              </w:rPr>
            </w:pPr>
          </w:p>
        </w:tc>
        <w:tc>
          <w:tcPr>
            <w:tcW w:w="0" w:type="auto"/>
            <w:vAlign w:val="center"/>
          </w:tcPr>
          <w:p w14:paraId="0A43E763">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3A9C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0" w:type="auto"/>
            <w:vAlign w:val="center"/>
          </w:tcPr>
          <w:p w14:paraId="14D6FEA6">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16F3D776">
            <w:pPr>
              <w:spacing w:line="360" w:lineRule="auto"/>
              <w:jc w:val="center"/>
              <w:rPr>
                <w:rFonts w:hint="eastAsia" w:ascii="宋体" w:hAnsi="宋体" w:eastAsia="宋体" w:cs="Times New Roman"/>
                <w:szCs w:val="21"/>
              </w:rPr>
            </w:pPr>
          </w:p>
        </w:tc>
        <w:tc>
          <w:tcPr>
            <w:tcW w:w="1557" w:type="dxa"/>
            <w:vAlign w:val="center"/>
          </w:tcPr>
          <w:p w14:paraId="239D8357">
            <w:pPr>
              <w:spacing w:line="360" w:lineRule="auto"/>
              <w:jc w:val="center"/>
              <w:rPr>
                <w:rFonts w:hint="eastAsia" w:ascii="宋体" w:hAnsi="宋体" w:eastAsia="宋体" w:cs="Times New Roman"/>
                <w:szCs w:val="21"/>
              </w:rPr>
            </w:pPr>
          </w:p>
        </w:tc>
        <w:tc>
          <w:tcPr>
            <w:tcW w:w="1550" w:type="dxa"/>
            <w:vAlign w:val="center"/>
          </w:tcPr>
          <w:p w14:paraId="6CC4604B">
            <w:pPr>
              <w:spacing w:line="360" w:lineRule="auto"/>
              <w:jc w:val="center"/>
              <w:rPr>
                <w:rFonts w:hint="eastAsia" w:ascii="宋体" w:hAnsi="宋体" w:eastAsia="宋体" w:cs="Times New Roman"/>
                <w:szCs w:val="21"/>
              </w:rPr>
            </w:pPr>
          </w:p>
        </w:tc>
        <w:tc>
          <w:tcPr>
            <w:tcW w:w="1395" w:type="dxa"/>
          </w:tcPr>
          <w:p w14:paraId="44AF0638">
            <w:pPr>
              <w:spacing w:line="360" w:lineRule="auto"/>
              <w:jc w:val="center"/>
              <w:rPr>
                <w:rFonts w:hint="eastAsia" w:ascii="宋体" w:hAnsi="宋体" w:eastAsia="宋体" w:cs="Times New Roman"/>
                <w:szCs w:val="21"/>
              </w:rPr>
            </w:pPr>
          </w:p>
        </w:tc>
        <w:tc>
          <w:tcPr>
            <w:tcW w:w="0" w:type="auto"/>
            <w:vAlign w:val="center"/>
          </w:tcPr>
          <w:p w14:paraId="098E7E9E">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640F1E2">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48C226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6484"/>
        <w:gridCol w:w="706"/>
      </w:tblGrid>
      <w:tr w14:paraId="5591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332" w:type="dxa"/>
            <w:vAlign w:val="center"/>
          </w:tcPr>
          <w:p w14:paraId="1F107ED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484" w:type="dxa"/>
            <w:vAlign w:val="center"/>
          </w:tcPr>
          <w:p w14:paraId="56DEEB8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0FD6ED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BEC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1332" w:type="dxa"/>
            <w:vAlign w:val="center"/>
          </w:tcPr>
          <w:p w14:paraId="5280483F">
            <w:pPr>
              <w:jc w:val="cente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6484" w:type="dxa"/>
            <w:vAlign w:val="center"/>
          </w:tcPr>
          <w:p w14:paraId="1E608C94">
            <w:pPr>
              <w:spacing w:line="264" w:lineRule="auto"/>
              <w:jc w:val="left"/>
              <w:rPr>
                <w:rFonts w:ascii="Times New Roman" w:hAnsi="Times New Roman" w:eastAsia="宋体" w:cs="Times New Roman"/>
                <w:szCs w:val="21"/>
              </w:rPr>
            </w:pPr>
            <w:r>
              <w:rPr>
                <w:rFonts w:hint="eastAsia" w:ascii="宋体" w:hAnsi="宋体" w:eastAsia="宋体" w:cs="Times New Roman"/>
                <w:szCs w:val="21"/>
              </w:rPr>
              <w:t>2次书面作业，主要考核学生运用理论分析问题的能力。</w:t>
            </w:r>
          </w:p>
        </w:tc>
        <w:tc>
          <w:tcPr>
            <w:tcW w:w="0" w:type="auto"/>
            <w:vAlign w:val="center"/>
          </w:tcPr>
          <w:p w14:paraId="78FDCE9F">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795A8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Align w:val="center"/>
          </w:tcPr>
          <w:p w14:paraId="00D6DF57">
            <w:pPr>
              <w:jc w:val="cente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484" w:type="dxa"/>
            <w:vAlign w:val="center"/>
          </w:tcPr>
          <w:p w14:paraId="4E42CC98">
            <w:pPr>
              <w:widowControl/>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病假和事假一次不扣分，无故缺席或迟到一次扣1分。</w:t>
            </w:r>
          </w:p>
          <w:p w14:paraId="73AFC1B4">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rPr>
              <w:t>每章组织进行</w:t>
            </w:r>
            <w:r>
              <w:rPr>
                <w:rFonts w:ascii="宋体" w:hAnsi="宋体" w:eastAsia="宋体" w:cs="宋体"/>
                <w:kern w:val="0"/>
                <w:szCs w:val="21"/>
              </w:rPr>
              <w:t>1-3</w:t>
            </w:r>
            <w:r>
              <w:rPr>
                <w:rFonts w:hint="eastAsia" w:ascii="宋体" w:hAnsi="宋体" w:eastAsia="宋体" w:cs="宋体"/>
                <w:kern w:val="0"/>
                <w:szCs w:val="21"/>
              </w:rPr>
              <w:t>次讨论，主要考核学生对知识的理解与思考情况。根据回答给出相应分数。</w:t>
            </w:r>
          </w:p>
        </w:tc>
        <w:tc>
          <w:tcPr>
            <w:tcW w:w="0" w:type="auto"/>
            <w:vAlign w:val="center"/>
          </w:tcPr>
          <w:p w14:paraId="38A6FD9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929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2" w:type="dxa"/>
            <w:vAlign w:val="center"/>
          </w:tcPr>
          <w:p w14:paraId="20403A9C">
            <w:pPr>
              <w:jc w:val="cente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484" w:type="dxa"/>
            <w:vAlign w:val="center"/>
          </w:tcPr>
          <w:p w14:paraId="5B1532BC">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w:t>
            </w:r>
            <w:r>
              <w:rPr>
                <w:rFonts w:hint="eastAsia" w:ascii="宋体" w:hAnsi="宋体" w:eastAsia="宋体" w:cs="Times New Roman"/>
                <w:szCs w:val="21"/>
              </w:rPr>
              <w:t>试卷题型包括填空题、简答题、论述题和案例分析题等，以卷面成绩的</w:t>
            </w:r>
            <w:r>
              <w:rPr>
                <w:rFonts w:ascii="宋体" w:hAnsi="宋体" w:eastAsia="宋体" w:cs="Times New Roman"/>
                <w:szCs w:val="21"/>
              </w:rPr>
              <w:t>60%</w:t>
            </w:r>
            <w:r>
              <w:rPr>
                <w:rFonts w:hint="eastAsia" w:ascii="宋体" w:hAnsi="宋体" w:eastAsia="宋体" w:cs="Times New Roman"/>
                <w:szCs w:val="21"/>
              </w:rPr>
              <w:t>计入课程总成绩。其中：考核基本概念知识型题目占25</w:t>
            </w:r>
            <w:r>
              <w:rPr>
                <w:rFonts w:ascii="宋体" w:hAnsi="宋体" w:eastAsia="宋体" w:cs="Times New Roman"/>
                <w:szCs w:val="21"/>
              </w:rPr>
              <w:t>%</w:t>
            </w:r>
            <w:r>
              <w:rPr>
                <w:rFonts w:hint="eastAsia" w:ascii="宋体" w:hAnsi="宋体" w:eastAsia="宋体" w:cs="Times New Roman"/>
                <w:szCs w:val="21"/>
              </w:rPr>
              <w:t>；考核知识理解型题目占25</w:t>
            </w:r>
            <w:r>
              <w:rPr>
                <w:rFonts w:ascii="宋体" w:hAnsi="宋体" w:eastAsia="宋体" w:cs="Times New Roman"/>
                <w:szCs w:val="21"/>
              </w:rPr>
              <w:t>%</w:t>
            </w:r>
            <w:r>
              <w:rPr>
                <w:rFonts w:hint="eastAsia" w:ascii="宋体" w:hAnsi="宋体" w:eastAsia="宋体" w:cs="Times New Roman"/>
                <w:szCs w:val="21"/>
              </w:rPr>
              <w:t>；考核综合分析能力题目占5</w:t>
            </w:r>
            <w:r>
              <w:rPr>
                <w:rFonts w:ascii="宋体" w:hAnsi="宋体" w:eastAsia="宋体" w:cs="Times New Roman"/>
                <w:szCs w:val="21"/>
              </w:rPr>
              <w:t>0%</w:t>
            </w:r>
            <w:r>
              <w:rPr>
                <w:rFonts w:hint="eastAsia" w:ascii="宋体" w:hAnsi="宋体" w:eastAsia="宋体" w:cs="Times New Roman"/>
                <w:szCs w:val="21"/>
              </w:rPr>
              <w:t>。</w:t>
            </w:r>
          </w:p>
        </w:tc>
        <w:tc>
          <w:tcPr>
            <w:tcW w:w="0" w:type="auto"/>
            <w:vAlign w:val="center"/>
          </w:tcPr>
          <w:p w14:paraId="57483BC0">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1F3EB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32" w:type="dxa"/>
            <w:vAlign w:val="center"/>
          </w:tcPr>
          <w:p w14:paraId="06CB4C6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484" w:type="dxa"/>
            <w:vAlign w:val="center"/>
          </w:tcPr>
          <w:p w14:paraId="403F13B6">
            <w:pPr>
              <w:jc w:val="left"/>
              <w:rPr>
                <w:rFonts w:ascii="Times New Roman" w:hAnsi="Times New Roman" w:eastAsia="宋体" w:cs="Times New Roman"/>
                <w:szCs w:val="21"/>
              </w:rPr>
            </w:pPr>
          </w:p>
        </w:tc>
        <w:tc>
          <w:tcPr>
            <w:tcW w:w="0" w:type="auto"/>
            <w:vAlign w:val="center"/>
          </w:tcPr>
          <w:p w14:paraId="4EE4167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4BB839B">
      <w:pPr>
        <w:adjustRightInd w:val="0"/>
        <w:snapToGrid w:val="0"/>
        <w:spacing w:line="360" w:lineRule="auto"/>
        <w:rPr>
          <w:rFonts w:ascii="Calibri" w:hAnsi="Calibri" w:eastAsia="宋体" w:cs="Times New Roman"/>
          <w:sz w:val="24"/>
        </w:rPr>
      </w:pPr>
    </w:p>
    <w:p w14:paraId="68B4A05B">
      <w:pPr>
        <w:spacing w:line="360" w:lineRule="auto"/>
        <w:ind w:firstLine="422" w:firstLineChars="200"/>
        <w:rPr>
          <w:rFonts w:ascii="Calibri" w:hAnsi="Calibri" w:eastAsia="宋体" w:cs="Times New Roman"/>
          <w:b/>
          <w:bCs/>
          <w:szCs w:val="21"/>
        </w:rPr>
      </w:pPr>
      <w:r>
        <w:rPr>
          <w:rFonts w:hint="eastAsia" w:ascii="Calibri" w:hAnsi="Calibri" w:eastAsia="宋体" w:cs="Times New Roman"/>
          <w:b/>
          <w:bCs/>
          <w:szCs w:val="21"/>
        </w:rPr>
        <w:t>（三）课程目标达成度计算方法</w:t>
      </w:r>
    </w:p>
    <w:p w14:paraId="7478B519">
      <w:pPr>
        <w:adjustRightInd w:val="0"/>
        <w:snapToGrid w:val="0"/>
        <w:spacing w:line="360" w:lineRule="auto"/>
        <w:ind w:firstLine="420" w:firstLineChars="200"/>
        <w:rPr>
          <w:rFonts w:ascii="Calibri" w:hAnsi="Calibri" w:eastAsia="宋体" w:cs="Times New Roman"/>
          <w:szCs w:val="21"/>
        </w:rPr>
      </w:pPr>
      <w:r>
        <w:rPr>
          <w:rFonts w:hint="eastAsia" w:ascii="Calibri" w:hAnsi="Calibri" w:eastAsia="宋体" w:cs="Times New Roman"/>
          <w:szCs w:val="21"/>
        </w:rPr>
        <w:t>所有课程目标均需大于等</w:t>
      </w:r>
      <w:r>
        <w:rPr>
          <w:rFonts w:hint="eastAsia" w:ascii="宋体" w:hAnsi="宋体" w:eastAsia="宋体" w:cs="Times New Roman"/>
          <w:szCs w:val="21"/>
        </w:rPr>
        <w:t>于</w:t>
      </w:r>
      <w:r>
        <w:rPr>
          <w:rFonts w:ascii="宋体" w:hAnsi="宋体" w:eastAsia="宋体" w:cs="Times New Roman"/>
          <w:szCs w:val="21"/>
        </w:rPr>
        <w:t>0.6</w:t>
      </w:r>
      <w:r>
        <w:rPr>
          <w:rFonts w:hint="eastAsia" w:ascii="Calibri" w:hAnsi="Calibri" w:eastAsia="宋体" w:cs="Times New Roman"/>
          <w:szCs w:val="21"/>
        </w:rPr>
        <w:t>，否则总评成绩不及格，需要补考或重修。每门课程目标总体达成度计算方法如下：</w:t>
      </w:r>
    </w:p>
    <w:p w14:paraId="55C86B74">
      <w:pPr>
        <w:adjustRightInd w:val="0"/>
        <w:snapToGrid w:val="0"/>
        <w:spacing w:line="360" w:lineRule="auto"/>
        <w:jc w:val="left"/>
        <w:rPr>
          <w:rFonts w:hint="eastAsia" w:ascii="宋体" w:hAnsi="等线" w:eastAsia="宋体" w:cs="Times New Roman"/>
          <w:szCs w:val="21"/>
        </w:rPr>
      </w:pPr>
      <w:r>
        <w:rPr>
          <w:rFonts w:ascii="宋体" w:hAnsi="宋体" w:eastAsia="宋体" w:cs="Times New Roman"/>
          <w:position w:val="-26"/>
          <w:szCs w:val="21"/>
        </w:rPr>
        <w:object>
          <v:shape id="_x0000_i1041" o:spt="75" type="#_x0000_t75" style="height:28.5pt;width:387pt;" o:ole="t" filled="f" o:preferrelative="t" stroked="f" coordsize="21600,21600">
            <v:path/>
            <v:fill on="f" focussize="0,0"/>
            <v:stroke on="f" joinstyle="miter"/>
            <v:imagedata r:id="rId12" o:title=""/>
            <o:lock v:ext="edit" aspectratio="t"/>
            <w10:wrap type="none"/>
            <w10:anchorlock/>
          </v:shape>
          <o:OLEObject Type="Embed" ProgID="Equation.KSEE3" ShapeID="_x0000_i1041" DrawAspect="Content" ObjectID="_1468075741" r:id="rId29">
            <o:LockedField>false</o:LockedField>
          </o:OLEObject>
        </w:object>
      </w:r>
    </w:p>
    <w:p w14:paraId="04CF2639">
      <w:pPr>
        <w:adjustRightInd w:val="0"/>
        <w:snapToGrid w:val="0"/>
        <w:spacing w:before="62" w:beforeLines="20" w:after="62" w:afterLines="20" w:line="360" w:lineRule="auto"/>
        <w:rPr>
          <w:rFonts w:ascii="Calibri" w:hAnsi="Calibri" w:eastAsia="宋体" w:cs="Times New Roman"/>
          <w:b/>
          <w:sz w:val="24"/>
        </w:rPr>
      </w:pPr>
      <w:r>
        <w:rPr>
          <w:rFonts w:hint="eastAsia" w:ascii="Calibri" w:hAnsi="Calibri" w:eastAsia="宋体" w:cs="Times New Roman"/>
          <w:b/>
          <w:sz w:val="24"/>
        </w:rPr>
        <w:t>五、有关说明</w:t>
      </w:r>
    </w:p>
    <w:p w14:paraId="19FA0D76">
      <w:pPr>
        <w:adjustRightInd w:val="0"/>
        <w:snapToGrid w:val="0"/>
        <w:spacing w:line="360" w:lineRule="auto"/>
        <w:ind w:firstLine="422" w:firstLineChars="200"/>
        <w:rPr>
          <w:rFonts w:ascii="Calibri" w:hAnsi="Calibri" w:eastAsia="宋体" w:cs="Times New Roman"/>
          <w:b/>
          <w:szCs w:val="21"/>
        </w:rPr>
      </w:pPr>
      <w:r>
        <w:rPr>
          <w:rFonts w:hint="eastAsia" w:ascii="Calibri" w:hAnsi="Calibri" w:eastAsia="宋体" w:cs="Times New Roman"/>
          <w:b/>
          <w:szCs w:val="21"/>
        </w:rPr>
        <w:t>（一）持续改进</w:t>
      </w:r>
    </w:p>
    <w:p w14:paraId="28E3168D">
      <w:pPr>
        <w:adjustRightInd w:val="0"/>
        <w:snapToGrid w:val="0"/>
        <w:spacing w:line="360" w:lineRule="auto"/>
        <w:ind w:firstLine="420" w:firstLineChars="200"/>
        <w:rPr>
          <w:rFonts w:ascii="Calibri" w:hAnsi="Calibri" w:eastAsia="宋体" w:cs="Times New Roman"/>
          <w:szCs w:val="21"/>
        </w:rPr>
      </w:pPr>
      <w:r>
        <w:rPr>
          <w:rFonts w:hint="eastAsia" w:ascii="Calibri" w:hAnsi="Calibri" w:eastAsia="宋体" w:cs="Times New Roman"/>
          <w:szCs w:val="21"/>
        </w:rPr>
        <w:t>本课程根据学生作业、课堂讨论、教学环节、平时考核情况和学生、教学督导等的反馈，及时对教学中的不足之处进行改进，并在下一轮课程教学中整改完善，确保相应毕业要求指标点达成。</w:t>
      </w:r>
    </w:p>
    <w:p w14:paraId="2AE4D8EB">
      <w:pPr>
        <w:adjustRightInd w:val="0"/>
        <w:snapToGrid w:val="0"/>
        <w:spacing w:line="360" w:lineRule="auto"/>
        <w:ind w:firstLine="422" w:firstLineChars="200"/>
        <w:rPr>
          <w:rFonts w:ascii="Calibri" w:hAnsi="Calibri" w:eastAsia="宋体" w:cs="Times New Roman"/>
          <w:b/>
          <w:szCs w:val="21"/>
        </w:rPr>
      </w:pPr>
      <w:r>
        <w:rPr>
          <w:rFonts w:hint="eastAsia" w:ascii="Calibri" w:hAnsi="Calibri" w:eastAsia="宋体" w:cs="Times New Roman"/>
          <w:b/>
          <w:szCs w:val="21"/>
        </w:rPr>
        <w:t>（二）参考书目及学习资料</w:t>
      </w:r>
    </w:p>
    <w:p w14:paraId="286283F8">
      <w:pPr>
        <w:spacing w:line="360" w:lineRule="auto"/>
        <w:ind w:firstLine="420" w:firstLineChars="200"/>
        <w:rPr>
          <w:rFonts w:ascii="Calibri" w:hAnsi="Calibri" w:eastAsia="宋体" w:cs="Times New Roman"/>
          <w:szCs w:val="21"/>
        </w:rPr>
      </w:pPr>
      <w:r>
        <w:rPr>
          <w:rFonts w:ascii="Calibri" w:hAnsi="Calibri" w:eastAsia="宋体" w:cs="Times New Roman"/>
          <w:szCs w:val="21"/>
        </w:rPr>
        <w:t>1.</w:t>
      </w:r>
      <w:r>
        <w:rPr>
          <w:rFonts w:hint="eastAsia" w:ascii="Calibri" w:hAnsi="Calibri" w:eastAsia="宋体" w:cs="Times New Roman"/>
          <w:szCs w:val="21"/>
        </w:rPr>
        <w:t>参考教材</w:t>
      </w:r>
    </w:p>
    <w:p w14:paraId="666D7757">
      <w:pPr>
        <w:spacing w:line="360" w:lineRule="auto"/>
        <w:ind w:firstLine="420" w:firstLineChars="200"/>
        <w:rPr>
          <w:rFonts w:ascii="Calibri" w:hAnsi="Calibri" w:eastAsia="宋体" w:cs="Times New Roman"/>
          <w:szCs w:val="21"/>
        </w:rPr>
      </w:pPr>
      <w:r>
        <w:rPr>
          <w:rFonts w:hint="eastAsia" w:ascii="Calibri" w:hAnsi="Calibri" w:eastAsia="宋体" w:cs="Times New Roman"/>
          <w:szCs w:val="21"/>
        </w:rPr>
        <w:t>石正义</w:t>
      </w:r>
      <w:r>
        <w:rPr>
          <w:rFonts w:ascii="Calibri" w:hAnsi="Calibri" w:eastAsia="宋体" w:cs="Times New Roman"/>
          <w:szCs w:val="21"/>
        </w:rPr>
        <w:t>.</w:t>
      </w:r>
      <w:r>
        <w:rPr>
          <w:rFonts w:hint="eastAsia" w:ascii="Calibri" w:hAnsi="Calibri" w:eastAsia="宋体" w:cs="Times New Roman"/>
          <w:szCs w:val="21"/>
        </w:rPr>
        <w:t>小学教育政策与法规</w:t>
      </w:r>
      <w:r>
        <w:rPr>
          <w:rFonts w:ascii="Calibri" w:hAnsi="Calibri" w:eastAsia="宋体" w:cs="Times New Roman"/>
          <w:szCs w:val="21"/>
        </w:rPr>
        <w:t>[M].</w:t>
      </w:r>
      <w:r>
        <w:rPr>
          <w:rFonts w:hint="eastAsia" w:ascii="Calibri" w:hAnsi="Calibri" w:eastAsia="宋体" w:cs="Times New Roman"/>
          <w:szCs w:val="21"/>
        </w:rPr>
        <w:t>北京：北京师范大学出版社，</w:t>
      </w:r>
      <w:r>
        <w:rPr>
          <w:rFonts w:ascii="Calibri" w:hAnsi="Calibri" w:eastAsia="宋体" w:cs="Times New Roman"/>
          <w:szCs w:val="21"/>
        </w:rPr>
        <w:t>20</w:t>
      </w:r>
      <w:r>
        <w:rPr>
          <w:rFonts w:hint="eastAsia" w:ascii="Calibri" w:hAnsi="Calibri" w:eastAsia="宋体" w:cs="Times New Roman"/>
          <w:szCs w:val="21"/>
        </w:rPr>
        <w:t>22</w:t>
      </w:r>
      <w:r>
        <w:rPr>
          <w:rFonts w:ascii="Calibri" w:hAnsi="Calibri" w:eastAsia="宋体" w:cs="Times New Roman"/>
          <w:szCs w:val="21"/>
        </w:rPr>
        <w:t>.</w:t>
      </w:r>
    </w:p>
    <w:p w14:paraId="108831EE">
      <w:pPr>
        <w:spacing w:line="360" w:lineRule="auto"/>
        <w:ind w:firstLine="420" w:firstLineChars="200"/>
        <w:rPr>
          <w:rFonts w:ascii="Calibri" w:hAnsi="Calibri" w:eastAsia="宋体" w:cs="Times New Roman"/>
          <w:szCs w:val="21"/>
        </w:rPr>
      </w:pPr>
      <w:r>
        <w:rPr>
          <w:rFonts w:ascii="Calibri" w:hAnsi="Calibri" w:eastAsia="宋体" w:cs="Times New Roman"/>
          <w:szCs w:val="21"/>
        </w:rPr>
        <w:t>2.</w:t>
      </w:r>
      <w:r>
        <w:rPr>
          <w:rFonts w:hint="eastAsia" w:ascii="Calibri" w:hAnsi="Calibri" w:eastAsia="宋体" w:cs="Times New Roman"/>
          <w:szCs w:val="21"/>
        </w:rPr>
        <w:t>其他教学参考书</w:t>
      </w:r>
    </w:p>
    <w:p w14:paraId="53F02B76">
      <w:pPr>
        <w:spacing w:line="360" w:lineRule="auto"/>
        <w:ind w:firstLine="420" w:firstLineChars="200"/>
        <w:rPr>
          <w:rFonts w:ascii="Calibri" w:hAnsi="Calibri" w:eastAsia="宋体" w:cs="Times New Roman"/>
          <w:szCs w:val="21"/>
        </w:rPr>
      </w:pPr>
      <w:r>
        <w:rPr>
          <w:rFonts w:hint="eastAsia" w:ascii="Calibri" w:hAnsi="Calibri" w:eastAsia="宋体" w:cs="Times New Roman"/>
          <w:szCs w:val="21"/>
        </w:rPr>
        <w:t>阮成武</w:t>
      </w:r>
      <w:r>
        <w:rPr>
          <w:rFonts w:ascii="Calibri" w:hAnsi="Calibri" w:eastAsia="宋体" w:cs="Times New Roman"/>
          <w:szCs w:val="21"/>
        </w:rPr>
        <w:t>.</w:t>
      </w:r>
      <w:r>
        <w:rPr>
          <w:rFonts w:hint="eastAsia" w:ascii="Calibri" w:hAnsi="Calibri" w:eastAsia="宋体" w:cs="Times New Roman"/>
          <w:szCs w:val="21"/>
        </w:rPr>
        <w:t>小学教育政策与法规</w:t>
      </w:r>
      <w:r>
        <w:rPr>
          <w:rFonts w:ascii="Calibri" w:hAnsi="Calibri" w:eastAsia="宋体" w:cs="Times New Roman"/>
          <w:szCs w:val="21"/>
        </w:rPr>
        <w:t>[M].</w:t>
      </w:r>
      <w:r>
        <w:rPr>
          <w:rFonts w:hint="eastAsia" w:ascii="Calibri" w:hAnsi="Calibri" w:eastAsia="宋体" w:cs="Times New Roman"/>
          <w:szCs w:val="21"/>
        </w:rPr>
        <w:t>北京：高等教育出版社，</w:t>
      </w:r>
      <w:r>
        <w:rPr>
          <w:rFonts w:ascii="Calibri" w:hAnsi="Calibri" w:eastAsia="宋体" w:cs="Times New Roman"/>
          <w:szCs w:val="21"/>
        </w:rPr>
        <w:t>20</w:t>
      </w:r>
      <w:r>
        <w:rPr>
          <w:rFonts w:hint="eastAsia" w:ascii="Calibri" w:hAnsi="Calibri" w:eastAsia="宋体" w:cs="Times New Roman"/>
          <w:szCs w:val="21"/>
        </w:rPr>
        <w:t>23</w:t>
      </w:r>
      <w:r>
        <w:rPr>
          <w:rFonts w:ascii="Calibri" w:hAnsi="Calibri" w:eastAsia="宋体" w:cs="Times New Roman"/>
          <w:szCs w:val="21"/>
        </w:rPr>
        <w:t>.</w:t>
      </w:r>
    </w:p>
    <w:p w14:paraId="3FC029F4">
      <w:pPr>
        <w:spacing w:line="360" w:lineRule="auto"/>
        <w:rPr>
          <w:rFonts w:ascii="Calibri" w:hAnsi="Calibri" w:eastAsia="宋体" w:cs="Times New Roman"/>
          <w:szCs w:val="21"/>
        </w:rPr>
      </w:pPr>
    </w:p>
    <w:p w14:paraId="4A16588C">
      <w:pPr>
        <w:autoSpaceDE w:val="0"/>
        <w:autoSpaceDN w:val="0"/>
        <w:adjustRightInd w:val="0"/>
        <w:snapToGrid w:val="0"/>
        <w:spacing w:line="360" w:lineRule="auto"/>
        <w:jc w:val="right"/>
        <w:rPr>
          <w:rFonts w:ascii="Calibri" w:hAnsi="Calibri" w:eastAsia="宋体" w:cs="Times New Roman"/>
          <w:kern w:val="0"/>
          <w:szCs w:val="18"/>
        </w:rPr>
      </w:pPr>
      <w:r>
        <w:rPr>
          <w:rFonts w:hint="eastAsia" w:ascii="Calibri" w:hAnsi="Calibri" w:eastAsia="宋体" w:cs="Times New Roman"/>
          <w:kern w:val="0"/>
          <w:szCs w:val="18"/>
        </w:rPr>
        <w:t>执笔人：赵振杰</w:t>
      </w:r>
    </w:p>
    <w:p w14:paraId="564FC3B5">
      <w:pPr>
        <w:autoSpaceDE w:val="0"/>
        <w:autoSpaceDN w:val="0"/>
        <w:adjustRightInd w:val="0"/>
        <w:snapToGrid w:val="0"/>
        <w:spacing w:line="360" w:lineRule="auto"/>
        <w:jc w:val="right"/>
        <w:rPr>
          <w:rFonts w:ascii="Calibri" w:hAnsi="Calibri" w:eastAsia="宋体" w:cs="Times New Roman"/>
          <w:kern w:val="0"/>
          <w:szCs w:val="18"/>
        </w:rPr>
      </w:pPr>
      <w:r>
        <w:rPr>
          <w:rFonts w:hint="eastAsia" w:ascii="Calibri" w:hAnsi="Calibri" w:eastAsia="宋体" w:cs="Times New Roman"/>
          <w:kern w:val="0"/>
          <w:szCs w:val="18"/>
        </w:rPr>
        <w:t>审定人：王  健</w:t>
      </w:r>
    </w:p>
    <w:p w14:paraId="4D13D038">
      <w:pPr>
        <w:autoSpaceDE w:val="0"/>
        <w:autoSpaceDN w:val="0"/>
        <w:adjustRightInd w:val="0"/>
        <w:snapToGrid w:val="0"/>
        <w:spacing w:line="360" w:lineRule="auto"/>
        <w:jc w:val="right"/>
        <w:rPr>
          <w:rFonts w:ascii="Calibri" w:hAnsi="Calibri" w:eastAsia="宋体" w:cs="Times New Roman"/>
          <w:kern w:val="0"/>
          <w:szCs w:val="18"/>
        </w:rPr>
      </w:pPr>
      <w:r>
        <w:rPr>
          <w:rFonts w:hint="eastAsia" w:ascii="Calibri" w:hAnsi="Calibri" w:eastAsia="宋体" w:cs="Times New Roman"/>
          <w:kern w:val="0"/>
          <w:szCs w:val="18"/>
        </w:rPr>
        <w:t>审批人：张志欣</w:t>
      </w:r>
    </w:p>
    <w:p w14:paraId="0C27C98A">
      <w:pPr>
        <w:adjustRightInd w:val="0"/>
        <w:snapToGrid w:val="0"/>
        <w:spacing w:line="360" w:lineRule="auto"/>
        <w:jc w:val="right"/>
        <w:rPr>
          <w:rFonts w:hint="eastAsia" w:ascii="宋体" w:hAnsi="宋体" w:eastAsia="宋体" w:cs="Times New Roman"/>
          <w:kern w:val="0"/>
          <w:szCs w:val="18"/>
        </w:rPr>
      </w:pPr>
      <w:r>
        <w:rPr>
          <w:rFonts w:hint="eastAsia" w:ascii="宋体" w:hAnsi="宋体" w:eastAsia="宋体" w:cs="Times New Roman"/>
          <w:kern w:val="0"/>
          <w:szCs w:val="18"/>
        </w:rPr>
        <w:t>批准时间：2025年7月1日</w:t>
      </w:r>
    </w:p>
    <w:p w14:paraId="6D6B7AC3">
      <w:pPr>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4F517D8E">
      <w:pPr>
        <w:spacing w:line="360" w:lineRule="auto"/>
        <w:jc w:val="center"/>
        <w:outlineLvl w:val="0"/>
        <w:rPr>
          <w:rFonts w:ascii="Times New Roman" w:hAnsi="Times New Roman" w:eastAsia="宋体" w:cs="Times New Roman"/>
          <w:b/>
          <w:sz w:val="44"/>
          <w:szCs w:val="44"/>
        </w:rPr>
      </w:pPr>
      <w:bookmarkStart w:id="555" w:name="_Toc12532"/>
      <w:bookmarkStart w:id="556" w:name="_Toc28412"/>
      <w:bookmarkStart w:id="557" w:name="_Toc14359"/>
      <w:bookmarkStart w:id="558" w:name="_Toc1826"/>
      <w:r>
        <w:rPr>
          <w:rFonts w:hint="eastAsia" w:ascii="Times New Roman" w:hAnsi="Times New Roman" w:eastAsia="宋体" w:cs="Times New Roman"/>
          <w:b/>
          <w:sz w:val="44"/>
          <w:szCs w:val="44"/>
        </w:rPr>
        <w:t>《教师职业道德》课程教学大纲</w:t>
      </w:r>
      <w:bookmarkEnd w:id="555"/>
      <w:bookmarkEnd w:id="556"/>
      <w:bookmarkEnd w:id="557"/>
      <w:bookmarkEnd w:id="558"/>
    </w:p>
    <w:p w14:paraId="044A8E07">
      <w:pPr>
        <w:spacing w:line="360" w:lineRule="auto"/>
        <w:jc w:val="center"/>
        <w:rPr>
          <w:rFonts w:ascii="Times New Roman" w:hAnsi="Times New Roman" w:eastAsia="宋体" w:cs="Times New Roman"/>
          <w:b/>
          <w:bCs/>
          <w:sz w:val="28"/>
          <w:szCs w:val="28"/>
        </w:rPr>
      </w:pPr>
      <w:bookmarkStart w:id="559" w:name="_Toc31858"/>
      <w:bookmarkStart w:id="560" w:name="_Toc8502"/>
      <w:bookmarkStart w:id="561" w:name="_Toc10485"/>
      <w:bookmarkStart w:id="562" w:name="_Toc29968"/>
      <w:bookmarkStart w:id="563" w:name="_Toc30716"/>
      <w:bookmarkStart w:id="564" w:name="_Toc17174"/>
      <w:bookmarkStart w:id="565" w:name="_Toc2385"/>
      <w:r>
        <w:rPr>
          <w:rFonts w:ascii="Times New Roman" w:hAnsi="Times New Roman" w:eastAsia="宋体" w:cs="Times New Roman"/>
          <w:b/>
          <w:bCs/>
          <w:sz w:val="28"/>
          <w:szCs w:val="28"/>
        </w:rPr>
        <w:t>（Professional Ethics of Teachers）</w:t>
      </w:r>
      <w:bookmarkEnd w:id="559"/>
      <w:bookmarkEnd w:id="560"/>
      <w:bookmarkEnd w:id="561"/>
      <w:bookmarkEnd w:id="562"/>
      <w:bookmarkEnd w:id="563"/>
      <w:bookmarkEnd w:id="564"/>
      <w:bookmarkEnd w:id="565"/>
    </w:p>
    <w:p w14:paraId="3B374310">
      <w:pPr>
        <w:spacing w:line="276" w:lineRule="auto"/>
        <w:ind w:firstLine="422" w:firstLineChars="200"/>
        <w:rPr>
          <w:rFonts w:hint="eastAsia" w:ascii="宋体" w:hAnsi="宋体" w:eastAsia="宋体" w:cs="Times New Roman"/>
          <w:b/>
          <w:szCs w:val="22"/>
        </w:rPr>
      </w:pPr>
    </w:p>
    <w:p w14:paraId="52149035">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课程名称：教师职业道德</w:t>
      </w:r>
    </w:p>
    <w:p w14:paraId="79ED2175">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课程代码：2</w:t>
      </w:r>
      <w:r>
        <w:rPr>
          <w:rFonts w:ascii="宋体" w:hAnsi="宋体" w:eastAsia="宋体" w:cs="Times New Roman"/>
          <w:b/>
          <w:sz w:val="24"/>
          <w:szCs w:val="28"/>
        </w:rPr>
        <w:t>401009</w:t>
      </w:r>
    </w:p>
    <w:p w14:paraId="19298E67">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 xml:space="preserve">学 </w:t>
      </w:r>
      <w:r>
        <w:rPr>
          <w:rFonts w:ascii="宋体" w:hAnsi="宋体" w:eastAsia="宋体" w:cs="Times New Roman"/>
          <w:b/>
          <w:sz w:val="24"/>
          <w:szCs w:val="28"/>
        </w:rPr>
        <w:t xml:space="preserve"> </w:t>
      </w:r>
      <w:r>
        <w:rPr>
          <w:rFonts w:hint="eastAsia" w:ascii="宋体" w:hAnsi="宋体" w:eastAsia="宋体" w:cs="Times New Roman"/>
          <w:b/>
          <w:sz w:val="24"/>
          <w:szCs w:val="28"/>
        </w:rPr>
        <w:t>分：1</w:t>
      </w:r>
    </w:p>
    <w:p w14:paraId="6A48B37F">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 xml:space="preserve">学 </w:t>
      </w:r>
      <w:r>
        <w:rPr>
          <w:rFonts w:ascii="宋体" w:hAnsi="宋体" w:eastAsia="宋体" w:cs="Times New Roman"/>
          <w:b/>
          <w:sz w:val="24"/>
          <w:szCs w:val="28"/>
        </w:rPr>
        <w:t xml:space="preserve"> </w:t>
      </w:r>
      <w:r>
        <w:rPr>
          <w:rFonts w:hint="eastAsia" w:ascii="宋体" w:hAnsi="宋体" w:eastAsia="宋体" w:cs="Times New Roman"/>
          <w:b/>
          <w:sz w:val="24"/>
          <w:szCs w:val="28"/>
        </w:rPr>
        <w:t>时：1</w:t>
      </w:r>
      <w:r>
        <w:rPr>
          <w:rFonts w:ascii="宋体" w:hAnsi="宋体" w:eastAsia="宋体" w:cs="Times New Roman"/>
          <w:b/>
          <w:sz w:val="24"/>
          <w:szCs w:val="28"/>
        </w:rPr>
        <w:t>6</w:t>
      </w:r>
    </w:p>
    <w:p w14:paraId="021B042E">
      <w:pPr>
        <w:spacing w:line="360" w:lineRule="auto"/>
        <w:ind w:firstLine="482" w:firstLineChars="200"/>
        <w:rPr>
          <w:rFonts w:hint="eastAsia" w:ascii="宋体" w:hAnsi="宋体" w:eastAsia="宋体" w:cs="Times New Roman"/>
          <w:b/>
          <w:sz w:val="24"/>
          <w:szCs w:val="28"/>
        </w:rPr>
      </w:pPr>
      <w:r>
        <w:rPr>
          <w:rFonts w:hint="eastAsia" w:ascii="宋体" w:hAnsi="宋体" w:eastAsia="宋体" w:cs="Times New Roman"/>
          <w:b/>
          <w:sz w:val="24"/>
          <w:szCs w:val="28"/>
        </w:rPr>
        <w:t>先修课程：专业导学</w:t>
      </w:r>
    </w:p>
    <w:p w14:paraId="617C018C">
      <w:pPr>
        <w:spacing w:line="360" w:lineRule="auto"/>
        <w:ind w:firstLine="482" w:firstLineChars="200"/>
        <w:rPr>
          <w:rFonts w:hint="eastAsia" w:ascii="宋体" w:hAnsi="宋体" w:eastAsia="宋体" w:cs="Times New Roman"/>
          <w:sz w:val="24"/>
          <w:szCs w:val="28"/>
        </w:rPr>
      </w:pPr>
      <w:r>
        <w:rPr>
          <w:rFonts w:hint="eastAsia" w:ascii="宋体" w:hAnsi="宋体" w:eastAsia="宋体" w:cs="Times New Roman"/>
          <w:b/>
          <w:sz w:val="24"/>
          <w:szCs w:val="28"/>
        </w:rPr>
        <w:t>适用专业</w:t>
      </w:r>
      <w:r>
        <w:rPr>
          <w:rFonts w:hint="eastAsia" w:ascii="宋体" w:hAnsi="宋体" w:eastAsia="宋体" w:cs="Times New Roman"/>
          <w:b/>
          <w:bCs/>
          <w:sz w:val="24"/>
          <w:szCs w:val="28"/>
        </w:rPr>
        <w:t>：小学教育</w:t>
      </w:r>
    </w:p>
    <w:p w14:paraId="6D543179">
      <w:pPr>
        <w:spacing w:before="62" w:beforeLines="20" w:after="62" w:afterLines="20" w:line="360" w:lineRule="auto"/>
        <w:jc w:val="left"/>
        <w:rPr>
          <w:rFonts w:ascii="Times New Roman" w:hAnsi="Times New Roman" w:eastAsia="宋体" w:cs="Times New Roman"/>
          <w:b/>
          <w:sz w:val="24"/>
        </w:rPr>
      </w:pPr>
      <w:bookmarkStart w:id="566" w:name="_Toc24030"/>
      <w:bookmarkStart w:id="567" w:name="_Toc6916"/>
      <w:bookmarkStart w:id="568" w:name="_Toc1197"/>
      <w:bookmarkStart w:id="569" w:name="_Toc7769"/>
      <w:bookmarkStart w:id="570" w:name="_Toc15160"/>
      <w:bookmarkStart w:id="571" w:name="_Toc4564"/>
      <w:bookmarkStart w:id="572" w:name="_Toc8174"/>
      <w:r>
        <w:rPr>
          <w:rFonts w:hint="eastAsia" w:ascii="Times New Roman" w:hAnsi="Times New Roman" w:eastAsia="宋体" w:cs="Times New Roman"/>
          <w:b/>
          <w:sz w:val="24"/>
        </w:rPr>
        <w:t>一、课程简介</w:t>
      </w:r>
      <w:bookmarkEnd w:id="566"/>
      <w:bookmarkEnd w:id="567"/>
      <w:bookmarkEnd w:id="568"/>
      <w:bookmarkEnd w:id="569"/>
      <w:bookmarkEnd w:id="570"/>
      <w:bookmarkEnd w:id="571"/>
      <w:bookmarkEnd w:id="572"/>
    </w:p>
    <w:p w14:paraId="51FAE917">
      <w:pPr>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1"/>
        </w:rPr>
        <w:t>《教师职业道德》是小学教育专业必修课程。通过本课程的学习，旨在使师范生系统了解教师职业道德的内涵、理论、基本内容与规范，正确认识和理解教育工作、教师职业劳动与社会、国家、集体、他人的关系，全面了解并积极践行教师职业道德规范，掌握教师职业道德修养的途径与方法，自觉提高自身素质，以便在未来更好地教书育人、做好教育教学工作，为建设新时代特色社会主义强国尽职尽责。</w:t>
      </w:r>
    </w:p>
    <w:p w14:paraId="21CCF432">
      <w:pPr>
        <w:spacing w:before="62" w:beforeLines="20" w:after="62" w:afterLines="20" w:line="360" w:lineRule="auto"/>
        <w:jc w:val="left"/>
        <w:rPr>
          <w:rFonts w:ascii="Times New Roman" w:hAnsi="Times New Roman" w:eastAsia="宋体" w:cs="Times New Roman"/>
          <w:b/>
          <w:sz w:val="24"/>
        </w:rPr>
      </w:pPr>
      <w:bookmarkStart w:id="573" w:name="_Toc19045"/>
      <w:bookmarkStart w:id="574" w:name="_Toc18290"/>
      <w:bookmarkStart w:id="575" w:name="_Toc23657"/>
      <w:bookmarkStart w:id="576" w:name="_Toc31235"/>
      <w:bookmarkStart w:id="577" w:name="_Toc14952"/>
      <w:bookmarkStart w:id="578" w:name="_Toc608"/>
      <w:bookmarkStart w:id="579" w:name="_Toc2016"/>
      <w:r>
        <w:rPr>
          <w:rFonts w:hint="eastAsia" w:ascii="Times New Roman" w:hAnsi="Times New Roman" w:eastAsia="宋体" w:cs="Times New Roman"/>
          <w:b/>
          <w:sz w:val="24"/>
        </w:rPr>
        <w:t>二、课程目标</w:t>
      </w:r>
      <w:bookmarkEnd w:id="573"/>
      <w:bookmarkEnd w:id="574"/>
      <w:bookmarkEnd w:id="575"/>
      <w:bookmarkEnd w:id="576"/>
      <w:bookmarkEnd w:id="577"/>
      <w:bookmarkEnd w:id="578"/>
      <w:bookmarkEnd w:id="579"/>
    </w:p>
    <w:p w14:paraId="4EC0D7AA">
      <w:pPr>
        <w:adjustRightInd w:val="0"/>
        <w:snapToGrid w:val="0"/>
        <w:spacing w:line="360" w:lineRule="auto"/>
        <w:ind w:firstLine="527" w:firstLineChars="250"/>
        <w:outlineLvl w:val="1"/>
        <w:rPr>
          <w:rFonts w:hint="eastAsia" w:ascii="宋体" w:hAnsi="宋体" w:eastAsia="宋体" w:cs="Times New Roman"/>
          <w:b/>
          <w:szCs w:val="22"/>
        </w:rPr>
      </w:pPr>
      <w:bookmarkStart w:id="580" w:name="_Toc21820"/>
      <w:r>
        <w:rPr>
          <w:rFonts w:hint="eastAsia" w:ascii="宋体" w:hAnsi="宋体" w:eastAsia="宋体" w:cs="Times New Roman"/>
          <w:b/>
          <w:szCs w:val="22"/>
        </w:rPr>
        <w:t>（一）课程具体目标</w:t>
      </w:r>
      <w:bookmarkEnd w:id="580"/>
    </w:p>
    <w:p w14:paraId="571E62C2">
      <w:pPr>
        <w:adjustRightInd w:val="0"/>
        <w:snapToGrid w:val="0"/>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2"/>
        </w:rPr>
        <w:t>目标1.了解教师职业道德的基本概念、基本理论、基本规范，理解教师职业道德在提高教师自身素质和教书育人方面的价值与意义。</w:t>
      </w:r>
    </w:p>
    <w:p w14:paraId="43BF89B0">
      <w:pPr>
        <w:adjustRightInd w:val="0"/>
        <w:snapToGrid w:val="0"/>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2"/>
        </w:rPr>
        <w:t>目标2</w:t>
      </w:r>
      <w:r>
        <w:rPr>
          <w:rFonts w:ascii="宋体" w:hAnsi="宋体" w:eastAsia="宋体" w:cs="Times New Roman"/>
          <w:szCs w:val="22"/>
        </w:rPr>
        <w:t>.</w:t>
      </w:r>
      <w:r>
        <w:rPr>
          <w:rFonts w:hint="eastAsia" w:ascii="宋体" w:hAnsi="宋体" w:eastAsia="宋体" w:cs="Times New Roman"/>
          <w:szCs w:val="22"/>
        </w:rPr>
        <w:t>掌握教师职业道德评价的方法、原则、理念等，会运用教师职业道德规范评判教师日常行为。</w:t>
      </w:r>
    </w:p>
    <w:p w14:paraId="2611FD48">
      <w:pPr>
        <w:adjustRightInd w:val="0"/>
        <w:snapToGrid w:val="0"/>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2"/>
        </w:rPr>
        <w:t>目标3.正确认识教师与学生、与学生家长、与其他教师之间的关系，掌握调适相互关系的原则与办法。</w:t>
      </w:r>
    </w:p>
    <w:p w14:paraId="1B2E6C8E">
      <w:pPr>
        <w:adjustRightInd w:val="0"/>
        <w:snapToGrid w:val="0"/>
        <w:spacing w:line="360" w:lineRule="auto"/>
        <w:ind w:firstLine="420" w:firstLineChars="200"/>
        <w:rPr>
          <w:rFonts w:hint="eastAsia" w:ascii="宋体" w:hAnsi="宋体" w:eastAsia="宋体" w:cs="Times New Roman"/>
          <w:szCs w:val="22"/>
        </w:rPr>
      </w:pPr>
      <w:r>
        <w:rPr>
          <w:rFonts w:hint="eastAsia" w:ascii="宋体" w:hAnsi="宋体" w:eastAsia="宋体" w:cs="Times New Roman"/>
          <w:szCs w:val="22"/>
        </w:rPr>
        <w:t>目标</w:t>
      </w:r>
      <w:r>
        <w:rPr>
          <w:rFonts w:ascii="宋体" w:hAnsi="宋体" w:eastAsia="宋体" w:cs="Times New Roman"/>
          <w:szCs w:val="22"/>
        </w:rPr>
        <w:t>4</w:t>
      </w:r>
      <w:r>
        <w:rPr>
          <w:rFonts w:hint="eastAsia" w:ascii="宋体" w:hAnsi="宋体" w:eastAsia="宋体" w:cs="Times New Roman"/>
          <w:szCs w:val="22"/>
        </w:rPr>
        <w:t>.理解教师职业道德修养的途径与方法，自觉提高自身素养，促进自身师德发展。</w:t>
      </w:r>
    </w:p>
    <w:p w14:paraId="5F073C4E">
      <w:pPr>
        <w:adjustRightInd w:val="0"/>
        <w:snapToGrid w:val="0"/>
        <w:spacing w:line="360" w:lineRule="auto"/>
        <w:ind w:left="420" w:leftChars="200"/>
        <w:outlineLvl w:val="1"/>
        <w:rPr>
          <w:rFonts w:hint="eastAsia" w:ascii="宋体" w:hAnsi="宋体" w:eastAsia="宋体" w:cs="Times New Roman"/>
          <w:b/>
          <w:szCs w:val="22"/>
        </w:rPr>
      </w:pPr>
      <w:bookmarkStart w:id="581" w:name="_Toc14272"/>
      <w:r>
        <w:rPr>
          <w:rFonts w:hint="eastAsia" w:ascii="宋体" w:hAnsi="宋体" w:eastAsia="宋体" w:cs="Times New Roman"/>
          <w:b/>
          <w:szCs w:val="22"/>
        </w:rPr>
        <w:t>（二）课程目标及其对毕业要求指标点的支撑</w:t>
      </w:r>
      <w:bookmarkEnd w:id="581"/>
    </w:p>
    <w:p w14:paraId="33A1696F">
      <w:pPr>
        <w:adjustRightInd w:val="0"/>
        <w:snapToGrid w:val="0"/>
        <w:spacing w:line="360" w:lineRule="auto"/>
        <w:outlineLvl w:val="1"/>
        <w:rPr>
          <w:rFonts w:hint="eastAsia" w:ascii="宋体" w:hAnsi="宋体" w:eastAsia="宋体" w:cs="Times New Roman"/>
          <w:b/>
          <w:szCs w:val="22"/>
        </w:rPr>
      </w:pPr>
    </w:p>
    <w:p w14:paraId="52568CC8">
      <w:pPr>
        <w:adjustRightInd w:val="0"/>
        <w:snapToGrid w:val="0"/>
        <w:spacing w:line="360" w:lineRule="auto"/>
        <w:outlineLvl w:val="1"/>
        <w:rPr>
          <w:rFonts w:hint="eastAsia" w:ascii="宋体" w:hAnsi="宋体" w:eastAsia="宋体" w:cs="Times New Roman"/>
          <w:b/>
          <w:szCs w:val="22"/>
        </w:rPr>
      </w:pPr>
    </w:p>
    <w:p w14:paraId="5D63BD1B">
      <w:pPr>
        <w:adjustRightInd w:val="0"/>
        <w:snapToGrid w:val="0"/>
        <w:spacing w:line="360" w:lineRule="auto"/>
        <w:outlineLvl w:val="1"/>
        <w:rPr>
          <w:rFonts w:hint="eastAsia" w:ascii="宋体" w:hAnsi="宋体" w:eastAsia="宋体" w:cs="Times New Roman"/>
          <w:b/>
          <w:szCs w:val="22"/>
        </w:rPr>
      </w:pPr>
    </w:p>
    <w:p w14:paraId="565A9697">
      <w:pPr>
        <w:adjustRightInd w:val="0"/>
        <w:snapToGrid w:val="0"/>
        <w:spacing w:line="360" w:lineRule="auto"/>
        <w:outlineLvl w:val="1"/>
        <w:rPr>
          <w:rFonts w:hint="eastAsia" w:ascii="宋体" w:hAnsi="宋体" w:eastAsia="宋体" w:cs="Times New Roman"/>
          <w:b/>
          <w:szCs w:val="22"/>
        </w:rPr>
      </w:pPr>
    </w:p>
    <w:p w14:paraId="6C4FFA44">
      <w:pPr>
        <w:adjustRightInd w:val="0"/>
        <w:snapToGrid w:val="0"/>
        <w:spacing w:line="360" w:lineRule="auto"/>
        <w:outlineLvl w:val="1"/>
        <w:rPr>
          <w:rFonts w:hint="eastAsia" w:ascii="宋体" w:hAnsi="宋体" w:eastAsia="宋体" w:cs="Times New Roman"/>
          <w:b/>
          <w:szCs w:val="22"/>
        </w:rPr>
      </w:pPr>
    </w:p>
    <w:p w14:paraId="5340F39F">
      <w:pPr>
        <w:adjustRightInd w:val="0"/>
        <w:snapToGrid w:val="0"/>
        <w:spacing w:line="360" w:lineRule="auto"/>
        <w:outlineLvl w:val="1"/>
        <w:rPr>
          <w:rFonts w:hint="eastAsia" w:ascii="宋体" w:hAnsi="宋体" w:eastAsia="宋体" w:cs="Times New Roman"/>
          <w:b/>
          <w:szCs w:val="22"/>
        </w:rPr>
      </w:pPr>
    </w:p>
    <w:tbl>
      <w:tblPr>
        <w:tblStyle w:val="12"/>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5978"/>
        <w:gridCol w:w="1310"/>
      </w:tblGrid>
      <w:tr w14:paraId="0CB9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7DCEEA68">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毕业要求</w:t>
            </w:r>
          </w:p>
        </w:tc>
        <w:tc>
          <w:tcPr>
            <w:tcW w:w="5978" w:type="dxa"/>
          </w:tcPr>
          <w:p w14:paraId="06039B36">
            <w:pPr>
              <w:adjustRightInd w:val="0"/>
              <w:snapToGrid w:val="0"/>
              <w:spacing w:line="276" w:lineRule="auto"/>
              <w:jc w:val="center"/>
              <w:rPr>
                <w:rFonts w:hint="eastAsia" w:ascii="宋体" w:hAnsi="宋体" w:eastAsia="宋体" w:cs="Times New Roman"/>
                <w:b/>
                <w:szCs w:val="21"/>
              </w:rPr>
            </w:pPr>
            <w:r>
              <w:rPr>
                <w:rFonts w:hint="eastAsia" w:ascii="宋体" w:hAnsi="宋体" w:eastAsia="宋体" w:cs="Times New Roman"/>
                <w:b/>
                <w:szCs w:val="21"/>
              </w:rPr>
              <w:t>毕业要求指标点</w:t>
            </w:r>
          </w:p>
        </w:tc>
        <w:tc>
          <w:tcPr>
            <w:tcW w:w="1310" w:type="dxa"/>
            <w:vAlign w:val="center"/>
          </w:tcPr>
          <w:p w14:paraId="53660ACF">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课标目标</w:t>
            </w:r>
          </w:p>
        </w:tc>
      </w:tr>
      <w:tr w14:paraId="5FED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trPr>
        <w:tc>
          <w:tcPr>
            <w:tcW w:w="1212" w:type="dxa"/>
            <w:vAlign w:val="center"/>
          </w:tcPr>
          <w:p w14:paraId="420E6006">
            <w:pPr>
              <w:adjustRightInd w:val="0"/>
              <w:snapToGrid w:val="0"/>
              <w:spacing w:line="360"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毕业要求</w:t>
            </w:r>
            <w:r>
              <w:rPr>
                <w:rFonts w:ascii="宋体" w:hAnsi="宋体" w:eastAsia="宋体" w:cs="Times New Roman"/>
                <w:b/>
                <w:kern w:val="0"/>
                <w:szCs w:val="21"/>
              </w:rPr>
              <w:t>1</w:t>
            </w:r>
          </w:p>
          <w:p w14:paraId="3C8694B4">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kern w:val="0"/>
                <w:szCs w:val="21"/>
              </w:rPr>
              <w:t>师德规范</w:t>
            </w:r>
          </w:p>
        </w:tc>
        <w:tc>
          <w:tcPr>
            <w:tcW w:w="5978" w:type="dxa"/>
          </w:tcPr>
          <w:p w14:paraId="1203A505">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
                <w:bCs/>
                <w:szCs w:val="21"/>
              </w:rPr>
              <w:t>指标点1-2</w:t>
            </w:r>
            <w:r>
              <w:rPr>
                <w:rFonts w:ascii="宋体" w:hAnsi="宋体" w:eastAsia="宋体" w:cs="Times New Roman"/>
                <w:bCs/>
                <w:szCs w:val="21"/>
              </w:rPr>
              <w:t>:【职业修养良好】以立德树人为己任，掌握立德树人的途径和方法，着眼于学生的全面发展，实施素质教育，培养 学生的核心素养</w:t>
            </w:r>
            <w:r>
              <w:rPr>
                <w:rFonts w:hint="eastAsia" w:ascii="宋体" w:hAnsi="宋体" w:eastAsia="宋体" w:cs="Times New Roman"/>
                <w:bCs/>
                <w:szCs w:val="21"/>
              </w:rPr>
              <w:t>；理</w:t>
            </w:r>
            <w:r>
              <w:rPr>
                <w:rFonts w:ascii="宋体" w:hAnsi="宋体" w:eastAsia="宋体" w:cs="Times New Roman"/>
                <w:bCs/>
                <w:szCs w:val="21"/>
              </w:rPr>
              <w:t>解教师职业道德规范内涵与要求，遵守《新时代中小学教师职业行为十项准则》，依法执教，教育实践中能履行应尽义务，自觉维护学生和自身的合法权益。</w:t>
            </w:r>
          </w:p>
        </w:tc>
        <w:tc>
          <w:tcPr>
            <w:tcW w:w="1310" w:type="dxa"/>
            <w:vAlign w:val="center"/>
          </w:tcPr>
          <w:p w14:paraId="30DE6C50">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课程目标1</w:t>
            </w:r>
          </w:p>
        </w:tc>
      </w:tr>
      <w:tr w14:paraId="0531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46DFED10">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毕业要求2</w:t>
            </w:r>
          </w:p>
          <w:p w14:paraId="17964EC4">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教育情怀</w:t>
            </w:r>
          </w:p>
        </w:tc>
        <w:tc>
          <w:tcPr>
            <w:tcW w:w="5978" w:type="dxa"/>
          </w:tcPr>
          <w:p w14:paraId="7C586168">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
                <w:bCs/>
                <w:szCs w:val="21"/>
              </w:rPr>
              <w:t>指标点2-2</w:t>
            </w:r>
            <w:r>
              <w:rPr>
                <w:rFonts w:hint="eastAsia" w:ascii="宋体" w:hAnsi="宋体" w:eastAsia="宋体" w:cs="Times New Roman"/>
                <w:bCs/>
                <w:szCs w:val="21"/>
              </w:rPr>
              <w:t>：</w:t>
            </w:r>
            <w:r>
              <w:rPr>
                <w:rFonts w:ascii="宋体" w:hAnsi="宋体" w:eastAsia="宋体" w:cs="Times New Roman"/>
                <w:bCs/>
                <w:szCs w:val="21"/>
              </w:rPr>
              <w:t>【仁爱之心深厚】关爱学生，用心从教。具有正确的儿童观，理解、尊重、关爱、保护学生，以儿童发展为教育的中心。爱岗敬业，在教育实践中能认真履行教育教学职责与班主 任工作职责，富有爱心、责任心、工作细心、耐心，做学生学习的促进者、道德品质和创新思维的培养者，奉献祖国的引路人。</w:t>
            </w:r>
          </w:p>
        </w:tc>
        <w:tc>
          <w:tcPr>
            <w:tcW w:w="1310" w:type="dxa"/>
            <w:vAlign w:val="center"/>
          </w:tcPr>
          <w:p w14:paraId="659DD96D">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73AB142B">
            <w:pPr>
              <w:adjustRightInd w:val="0"/>
              <w:snapToGrid w:val="0"/>
              <w:spacing w:line="360" w:lineRule="auto"/>
              <w:jc w:val="center"/>
              <w:rPr>
                <w:rFonts w:hint="eastAsia" w:ascii="宋体" w:hAnsi="宋体" w:eastAsia="宋体" w:cs="Times New Roman"/>
                <w:bCs/>
                <w:szCs w:val="21"/>
              </w:rPr>
            </w:pPr>
          </w:p>
        </w:tc>
      </w:tr>
      <w:tr w14:paraId="5831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5EB495D9">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毕业要求8</w:t>
            </w:r>
          </w:p>
          <w:p w14:paraId="50E59C5E">
            <w:pPr>
              <w:adjustRightInd w:val="0"/>
              <w:snapToGrid w:val="0"/>
              <w:spacing w:line="360" w:lineRule="auto"/>
              <w:jc w:val="center"/>
              <w:rPr>
                <w:rFonts w:hint="eastAsia" w:ascii="宋体" w:hAnsi="宋体" w:eastAsia="宋体" w:cs="Times New Roman"/>
                <w:b/>
                <w:szCs w:val="21"/>
              </w:rPr>
            </w:pPr>
            <w:r>
              <w:rPr>
                <w:rFonts w:hint="eastAsia" w:ascii="宋体" w:hAnsi="宋体" w:eastAsia="宋体" w:cs="Times New Roman"/>
                <w:b/>
                <w:szCs w:val="21"/>
              </w:rPr>
              <w:t>沟通合作</w:t>
            </w:r>
          </w:p>
        </w:tc>
        <w:tc>
          <w:tcPr>
            <w:tcW w:w="5978" w:type="dxa"/>
          </w:tcPr>
          <w:p w14:paraId="13ACA9A1">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
                <w:bCs/>
                <w:szCs w:val="21"/>
              </w:rPr>
              <w:t>指标点8-2</w:t>
            </w:r>
            <w:r>
              <w:rPr>
                <w:rFonts w:hint="eastAsia" w:ascii="宋体" w:hAnsi="宋体" w:eastAsia="宋体" w:cs="Times New Roman"/>
                <w:bCs/>
                <w:szCs w:val="21"/>
              </w:rPr>
              <w:t>：</w:t>
            </w:r>
            <w:r>
              <w:rPr>
                <w:rFonts w:ascii="宋体" w:hAnsi="宋体" w:eastAsia="宋体" w:cs="Times New Roman"/>
                <w:bCs/>
                <w:szCs w:val="21"/>
              </w:rPr>
              <w:t>【学会沟通交流】掌握人际沟通合作技能与方法，在教育教学实践中，能与学生和家长以及同行、同事、专家进行有效沟通与合作，实现共同发展。</w:t>
            </w:r>
          </w:p>
        </w:tc>
        <w:tc>
          <w:tcPr>
            <w:tcW w:w="1310" w:type="dxa"/>
            <w:vAlign w:val="center"/>
          </w:tcPr>
          <w:p w14:paraId="61F4330B">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课程目标</w:t>
            </w:r>
          </w:p>
          <w:p w14:paraId="7057179E">
            <w:pPr>
              <w:adjustRightInd w:val="0"/>
              <w:snapToGrid w:val="0"/>
              <w:spacing w:line="360" w:lineRule="auto"/>
              <w:jc w:val="center"/>
              <w:rPr>
                <w:rFonts w:hint="eastAsia" w:ascii="宋体" w:hAnsi="宋体" w:eastAsia="宋体" w:cs="Times New Roman"/>
                <w:bCs/>
                <w:szCs w:val="21"/>
              </w:rPr>
            </w:pPr>
            <w:r>
              <w:rPr>
                <w:rFonts w:hint="eastAsia" w:ascii="宋体" w:hAnsi="宋体" w:eastAsia="宋体" w:cs="Times New Roman"/>
                <w:bCs/>
                <w:szCs w:val="21"/>
              </w:rPr>
              <w:t>3、4</w:t>
            </w:r>
          </w:p>
        </w:tc>
      </w:tr>
    </w:tbl>
    <w:p w14:paraId="0F7B908F">
      <w:pPr>
        <w:adjustRightInd w:val="0"/>
        <w:snapToGrid w:val="0"/>
        <w:spacing w:line="360" w:lineRule="auto"/>
        <w:ind w:firstLine="211" w:firstLineChars="100"/>
        <w:rPr>
          <w:rFonts w:hint="eastAsia" w:ascii="宋体" w:hAnsi="宋体" w:eastAsia="宋体" w:cs="Times New Roman"/>
          <w:b/>
          <w:szCs w:val="22"/>
        </w:rPr>
      </w:pPr>
    </w:p>
    <w:p w14:paraId="12657AF2">
      <w:pPr>
        <w:adjustRightInd w:val="0"/>
        <w:snapToGrid w:val="0"/>
        <w:spacing w:line="360" w:lineRule="auto"/>
        <w:ind w:firstLine="422" w:firstLineChars="200"/>
        <w:outlineLvl w:val="1"/>
        <w:rPr>
          <w:rFonts w:hint="eastAsia" w:ascii="宋体" w:hAnsi="宋体" w:eastAsia="宋体" w:cs="Times New Roman"/>
          <w:b/>
          <w:szCs w:val="22"/>
        </w:rPr>
      </w:pPr>
      <w:bookmarkStart w:id="582" w:name="_Toc27192"/>
      <w:r>
        <w:rPr>
          <w:rFonts w:hint="eastAsia" w:ascii="宋体" w:hAnsi="宋体" w:eastAsia="宋体" w:cs="Times New Roman"/>
          <w:b/>
          <w:szCs w:val="22"/>
        </w:rPr>
        <w:t>（三）课程思政目标</w:t>
      </w:r>
      <w:bookmarkEnd w:id="582"/>
    </w:p>
    <w:p w14:paraId="5A2A43D8">
      <w:pPr>
        <w:adjustRightInd w:val="0"/>
        <w:snapToGrid w:val="0"/>
        <w:spacing w:line="360" w:lineRule="auto"/>
        <w:ind w:firstLine="420" w:firstLineChars="200"/>
        <w:rPr>
          <w:rFonts w:hint="eastAsia" w:ascii="宋体" w:hAnsi="宋体" w:eastAsia="宋体" w:cs="Times New Roman"/>
          <w:bCs/>
          <w:szCs w:val="22"/>
        </w:rPr>
      </w:pPr>
      <w:r>
        <w:rPr>
          <w:rFonts w:ascii="宋体" w:hAnsi="宋体" w:eastAsia="宋体" w:cs="Times New Roman"/>
          <w:bCs/>
          <w:szCs w:val="22"/>
        </w:rPr>
        <w:t>树立正确的教育理念</w:t>
      </w:r>
      <w:r>
        <w:rPr>
          <w:rFonts w:hint="eastAsia" w:ascii="宋体" w:hAnsi="宋体" w:eastAsia="宋体" w:cs="Times New Roman"/>
          <w:bCs/>
          <w:szCs w:val="22"/>
        </w:rPr>
        <w:t>，加深教育情怀和对教育工作的热爱；谦虚好学、持续发展，热爱儿童，关心儿童，遵循教育规律，掌握教育教学的正确方法。</w:t>
      </w:r>
    </w:p>
    <w:p w14:paraId="22799C92">
      <w:pPr>
        <w:spacing w:before="62" w:beforeLines="20" w:after="62" w:afterLines="20" w:line="360" w:lineRule="auto"/>
        <w:jc w:val="left"/>
        <w:rPr>
          <w:rFonts w:ascii="Times New Roman" w:hAnsi="Times New Roman" w:eastAsia="宋体" w:cs="Times New Roman"/>
          <w:b/>
          <w:sz w:val="24"/>
        </w:rPr>
      </w:pPr>
      <w:bookmarkStart w:id="583" w:name="_Toc22308"/>
      <w:bookmarkStart w:id="584" w:name="_Toc28308"/>
      <w:bookmarkStart w:id="585" w:name="_Toc4954"/>
      <w:bookmarkStart w:id="586" w:name="_Toc25590"/>
      <w:bookmarkStart w:id="587" w:name="_Toc11314"/>
      <w:bookmarkStart w:id="588" w:name="_Toc1980"/>
      <w:bookmarkStart w:id="589" w:name="_Toc2994"/>
      <w:r>
        <w:rPr>
          <w:rFonts w:hint="eastAsia" w:ascii="Times New Roman" w:hAnsi="Times New Roman" w:eastAsia="宋体" w:cs="Times New Roman"/>
          <w:b/>
          <w:sz w:val="24"/>
        </w:rPr>
        <w:t>三、教学内容与预期学习成效</w:t>
      </w:r>
      <w:bookmarkEnd w:id="583"/>
      <w:bookmarkEnd w:id="584"/>
      <w:bookmarkEnd w:id="585"/>
      <w:bookmarkEnd w:id="586"/>
      <w:bookmarkEnd w:id="587"/>
      <w:bookmarkEnd w:id="588"/>
      <w:bookmarkEnd w:id="589"/>
    </w:p>
    <w:tbl>
      <w:tblPr>
        <w:tblStyle w:val="12"/>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2835"/>
        <w:gridCol w:w="1276"/>
        <w:gridCol w:w="2410"/>
        <w:gridCol w:w="1559"/>
        <w:gridCol w:w="476"/>
      </w:tblGrid>
      <w:tr w14:paraId="362D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28" w:type="dxa"/>
            <w:vAlign w:val="center"/>
          </w:tcPr>
          <w:p w14:paraId="2E78647B">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知识</w:t>
            </w:r>
          </w:p>
          <w:p w14:paraId="5BB39B8C">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835" w:type="dxa"/>
            <w:vAlign w:val="center"/>
          </w:tcPr>
          <w:p w14:paraId="14633409">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76" w:type="dxa"/>
            <w:vAlign w:val="center"/>
          </w:tcPr>
          <w:p w14:paraId="3CCFFF82">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对应</w:t>
            </w:r>
          </w:p>
          <w:p w14:paraId="1289E796">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410" w:type="dxa"/>
            <w:vAlign w:val="center"/>
          </w:tcPr>
          <w:p w14:paraId="4F86124C">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59" w:type="dxa"/>
            <w:vAlign w:val="center"/>
          </w:tcPr>
          <w:p w14:paraId="6578DF46">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76" w:type="dxa"/>
            <w:vAlign w:val="center"/>
          </w:tcPr>
          <w:p w14:paraId="691A6F52">
            <w:pPr>
              <w:adjustRightInd w:val="0"/>
              <w:snapToGrid w:val="0"/>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285F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1128" w:type="dxa"/>
            <w:vMerge w:val="restart"/>
            <w:vAlign w:val="center"/>
          </w:tcPr>
          <w:p w14:paraId="0DEF9954">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第一章</w:t>
            </w:r>
          </w:p>
          <w:p w14:paraId="3BD9EFED">
            <w:pPr>
              <w:adjustRightInd w:val="0"/>
              <w:snapToGrid w:val="0"/>
              <w:rPr>
                <w:rFonts w:hint="eastAsia" w:ascii="宋体" w:hAnsi="宋体" w:eastAsia="宋体" w:cs="Times New Roman"/>
                <w:bCs/>
                <w:szCs w:val="21"/>
              </w:rPr>
            </w:pPr>
            <w:r>
              <w:rPr>
                <w:rFonts w:hint="eastAsia" w:ascii="宋体" w:hAnsi="宋体" w:eastAsia="宋体" w:cs="Times New Roman"/>
                <w:bCs/>
                <w:szCs w:val="21"/>
              </w:rPr>
              <w:t>教育劳动与教师职业道德</w:t>
            </w:r>
          </w:p>
        </w:tc>
        <w:tc>
          <w:tcPr>
            <w:tcW w:w="2835" w:type="dxa"/>
            <w:vAlign w:val="center"/>
          </w:tcPr>
          <w:p w14:paraId="32D62AB8">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.学校教育的价值</w:t>
            </w:r>
          </w:p>
          <w:p w14:paraId="5D31A398">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.教育劳动的德性</w:t>
            </w:r>
          </w:p>
          <w:p w14:paraId="545DD463">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.教师职业道德的形成与特点</w:t>
            </w:r>
          </w:p>
          <w:p w14:paraId="2EA9AF76">
            <w:pPr>
              <w:adjustRightInd w:val="0"/>
              <w:snapToGrid w:val="0"/>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.学习和实践教师职业道德的意义</w:t>
            </w:r>
          </w:p>
        </w:tc>
        <w:tc>
          <w:tcPr>
            <w:tcW w:w="1276" w:type="dxa"/>
            <w:vAlign w:val="center"/>
          </w:tcPr>
          <w:p w14:paraId="3EBCFF02">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tc>
        <w:tc>
          <w:tcPr>
            <w:tcW w:w="2410" w:type="dxa"/>
            <w:vAlign w:val="center"/>
          </w:tcPr>
          <w:p w14:paraId="738FD1F4">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了解教师劳动的特点，</w:t>
            </w:r>
            <w:r>
              <w:rPr>
                <w:rFonts w:ascii="宋体" w:hAnsi="宋体" w:eastAsia="宋体" w:cs="Times New Roman"/>
                <w:bCs/>
                <w:szCs w:val="21"/>
              </w:rPr>
              <w:t>理解教师劳动的德性价值，认同践行教师职业道德的价值意义。</w:t>
            </w:r>
          </w:p>
        </w:tc>
        <w:tc>
          <w:tcPr>
            <w:tcW w:w="1559" w:type="dxa"/>
            <w:vAlign w:val="center"/>
          </w:tcPr>
          <w:p w14:paraId="6F7682DC">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308730A0">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4D6149F5">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23B8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128" w:type="dxa"/>
            <w:vMerge w:val="continue"/>
            <w:vAlign w:val="center"/>
          </w:tcPr>
          <w:p w14:paraId="64AA5C0F">
            <w:pPr>
              <w:adjustRightInd w:val="0"/>
              <w:snapToGrid w:val="0"/>
              <w:rPr>
                <w:rFonts w:hint="eastAsia" w:ascii="宋体" w:hAnsi="宋体" w:eastAsia="宋体" w:cs="Times New Roman"/>
                <w:bCs/>
                <w:szCs w:val="21"/>
              </w:rPr>
            </w:pPr>
          </w:p>
        </w:tc>
        <w:tc>
          <w:tcPr>
            <w:tcW w:w="8556" w:type="dxa"/>
            <w:gridSpan w:val="5"/>
            <w:vAlign w:val="center"/>
          </w:tcPr>
          <w:p w14:paraId="769A97A5">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ascii="宋体" w:hAnsi="宋体" w:eastAsia="宋体" w:cs="Times New Roman"/>
                <w:bCs/>
                <w:szCs w:val="21"/>
              </w:rPr>
              <w:t>坚定政治方向，全面贯彻国家教育方针；自觉爱国守法，依法履行教师职责权利。</w:t>
            </w:r>
          </w:p>
        </w:tc>
      </w:tr>
      <w:tr w14:paraId="1184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77282D42">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第二章</w:t>
            </w:r>
          </w:p>
          <w:p w14:paraId="5B5D4798">
            <w:pPr>
              <w:adjustRightInd w:val="0"/>
              <w:snapToGrid w:val="0"/>
              <w:rPr>
                <w:rFonts w:hint="eastAsia" w:ascii="宋体" w:hAnsi="宋体" w:eastAsia="宋体" w:cs="Times New Roman"/>
                <w:bCs/>
                <w:szCs w:val="21"/>
              </w:rPr>
            </w:pPr>
            <w:r>
              <w:rPr>
                <w:rFonts w:hint="eastAsia" w:ascii="宋体" w:hAnsi="宋体" w:eastAsia="宋体" w:cs="Times New Roman"/>
                <w:bCs/>
                <w:szCs w:val="21"/>
              </w:rPr>
              <w:t>教师职业道德范畴与基本原则</w:t>
            </w:r>
          </w:p>
        </w:tc>
        <w:tc>
          <w:tcPr>
            <w:tcW w:w="2835" w:type="dxa"/>
            <w:vAlign w:val="center"/>
          </w:tcPr>
          <w:p w14:paraId="24906D8F">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.教师职业道德范畴（教育爱、教育良心、教育威信、教育公正）</w:t>
            </w:r>
          </w:p>
          <w:p w14:paraId="53C7CA89">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.教师职业道德的基本原则</w:t>
            </w:r>
          </w:p>
        </w:tc>
        <w:tc>
          <w:tcPr>
            <w:tcW w:w="1276" w:type="dxa"/>
            <w:vAlign w:val="center"/>
          </w:tcPr>
          <w:p w14:paraId="32B1BD77">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67BE53F2">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课程目标2</w:t>
            </w:r>
          </w:p>
        </w:tc>
        <w:tc>
          <w:tcPr>
            <w:tcW w:w="2410" w:type="dxa"/>
            <w:vAlign w:val="center"/>
          </w:tcPr>
          <w:p w14:paraId="0BA76354">
            <w:pPr>
              <w:adjustRightInd w:val="0"/>
              <w:snapToGrid w:val="0"/>
              <w:rPr>
                <w:rFonts w:hint="eastAsia" w:ascii="宋体" w:hAnsi="宋体" w:eastAsia="宋体" w:cs="Times New Roman"/>
                <w:bCs/>
                <w:szCs w:val="21"/>
              </w:rPr>
            </w:pPr>
            <w:r>
              <w:rPr>
                <w:rFonts w:ascii="宋体" w:hAnsi="宋体" w:eastAsia="宋体" w:cs="Times New Roman"/>
                <w:bCs/>
                <w:szCs w:val="21"/>
              </w:rPr>
              <w:t>理解教师职业道德的基本原则，感受教育爱、教育良心、教育威信、教育公正等范畴在教育实践中的体现</w:t>
            </w:r>
            <w:r>
              <w:rPr>
                <w:rFonts w:hint="eastAsia" w:ascii="宋体" w:hAnsi="宋体" w:eastAsia="宋体" w:cs="Times New Roman"/>
                <w:bCs/>
                <w:szCs w:val="21"/>
              </w:rPr>
              <w:t>。</w:t>
            </w:r>
          </w:p>
        </w:tc>
        <w:tc>
          <w:tcPr>
            <w:tcW w:w="1559" w:type="dxa"/>
            <w:vAlign w:val="center"/>
          </w:tcPr>
          <w:p w14:paraId="2F9A3D06">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4B23C8CD">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36DB2E19">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575B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128" w:type="dxa"/>
            <w:vMerge w:val="continue"/>
            <w:vAlign w:val="center"/>
          </w:tcPr>
          <w:p w14:paraId="1CDCF983">
            <w:pPr>
              <w:adjustRightInd w:val="0"/>
              <w:snapToGrid w:val="0"/>
              <w:rPr>
                <w:rFonts w:hint="eastAsia" w:ascii="宋体" w:hAnsi="宋体" w:eastAsia="宋体" w:cs="Times New Roman"/>
                <w:bCs/>
                <w:szCs w:val="21"/>
              </w:rPr>
            </w:pPr>
          </w:p>
        </w:tc>
        <w:tc>
          <w:tcPr>
            <w:tcW w:w="8556" w:type="dxa"/>
            <w:gridSpan w:val="5"/>
            <w:vAlign w:val="center"/>
          </w:tcPr>
          <w:p w14:paraId="645CCE1C">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加</w:t>
            </w:r>
            <w:r>
              <w:rPr>
                <w:rFonts w:ascii="宋体" w:hAnsi="宋体" w:eastAsia="宋体" w:cs="Times New Roman"/>
                <w:bCs/>
                <w:szCs w:val="21"/>
              </w:rPr>
              <w:t>强教师使命教育，从国家意识、法治意识、社会责任意识和个人诚信意识等层面，树立正确的职业价值认知，形成教育爱、教育良心、教育威信和教育公正等信念。</w:t>
            </w:r>
          </w:p>
        </w:tc>
      </w:tr>
      <w:tr w14:paraId="73E8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7E671750">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第三章</w:t>
            </w:r>
          </w:p>
          <w:p w14:paraId="53F660E1">
            <w:pPr>
              <w:adjustRightInd w:val="0"/>
              <w:snapToGrid w:val="0"/>
              <w:rPr>
                <w:rFonts w:hint="eastAsia" w:ascii="宋体" w:hAnsi="宋体" w:eastAsia="宋体" w:cs="Times New Roman"/>
                <w:bCs/>
                <w:szCs w:val="21"/>
              </w:rPr>
            </w:pPr>
            <w:r>
              <w:rPr>
                <w:rFonts w:hint="eastAsia" w:ascii="宋体" w:hAnsi="宋体" w:eastAsia="宋体" w:cs="Times New Roman"/>
                <w:bCs/>
                <w:szCs w:val="21"/>
              </w:rPr>
              <w:t>师生交往中的道德问题</w:t>
            </w:r>
          </w:p>
        </w:tc>
        <w:tc>
          <w:tcPr>
            <w:tcW w:w="2835" w:type="dxa"/>
            <w:vAlign w:val="center"/>
          </w:tcPr>
          <w:p w14:paraId="2DEF8BA7">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.师生关系在教育中的意义</w:t>
            </w:r>
          </w:p>
          <w:p w14:paraId="59CD5F6E">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.师生关系中的矛盾分析</w:t>
            </w:r>
          </w:p>
          <w:p w14:paraId="36D2F007">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.师生关系的伦理调适</w:t>
            </w:r>
          </w:p>
          <w:p w14:paraId="554F1A0D">
            <w:pPr>
              <w:adjustRightInd w:val="0"/>
              <w:snapToGrid w:val="0"/>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.教师的性道德修养</w:t>
            </w:r>
          </w:p>
        </w:tc>
        <w:tc>
          <w:tcPr>
            <w:tcW w:w="1276" w:type="dxa"/>
            <w:vAlign w:val="center"/>
          </w:tcPr>
          <w:p w14:paraId="56A758EF">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6D0BBE76">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课程目标3</w:t>
            </w:r>
          </w:p>
        </w:tc>
        <w:tc>
          <w:tcPr>
            <w:tcW w:w="2410" w:type="dxa"/>
            <w:vAlign w:val="center"/>
          </w:tcPr>
          <w:p w14:paraId="76969572">
            <w:pPr>
              <w:adjustRightInd w:val="0"/>
              <w:snapToGrid w:val="0"/>
              <w:rPr>
                <w:rFonts w:hint="eastAsia" w:ascii="宋体" w:hAnsi="宋体" w:eastAsia="宋体" w:cs="Times New Roman"/>
                <w:bCs/>
                <w:szCs w:val="21"/>
              </w:rPr>
            </w:pPr>
            <w:r>
              <w:rPr>
                <w:rFonts w:hint="eastAsia" w:ascii="宋体" w:hAnsi="宋体" w:eastAsia="宋体" w:cs="Times New Roman"/>
                <w:bCs/>
                <w:szCs w:val="21"/>
              </w:rPr>
              <w:t>认识师生关系中存在的矛盾与问题，掌握师生关系调适的原则与方法。</w:t>
            </w:r>
          </w:p>
        </w:tc>
        <w:tc>
          <w:tcPr>
            <w:tcW w:w="1559" w:type="dxa"/>
            <w:vAlign w:val="center"/>
          </w:tcPr>
          <w:p w14:paraId="09F03BDD">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60355417">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78E7E924">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771A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128" w:type="dxa"/>
            <w:vMerge w:val="continue"/>
            <w:vAlign w:val="center"/>
          </w:tcPr>
          <w:p w14:paraId="2971ABCD">
            <w:pPr>
              <w:adjustRightInd w:val="0"/>
              <w:snapToGrid w:val="0"/>
              <w:rPr>
                <w:rFonts w:hint="eastAsia" w:ascii="宋体" w:hAnsi="宋体" w:eastAsia="宋体" w:cs="Times New Roman"/>
                <w:bCs/>
                <w:szCs w:val="21"/>
              </w:rPr>
            </w:pPr>
          </w:p>
        </w:tc>
        <w:tc>
          <w:tcPr>
            <w:tcW w:w="8556" w:type="dxa"/>
            <w:gridSpan w:val="5"/>
            <w:vAlign w:val="center"/>
          </w:tcPr>
          <w:p w14:paraId="08D8900C">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w:t>
            </w:r>
            <w:r>
              <w:rPr>
                <w:rFonts w:ascii="宋体" w:hAnsi="宋体" w:eastAsia="宋体" w:cs="Times New Roman"/>
                <w:bCs/>
                <w:szCs w:val="21"/>
              </w:rPr>
              <w:t>树立辩证统一的思维，学会正确分析师生关系中的道德问题，热爱学生、尊重学生、赏识学生，塑造良好的师生关系。</w:t>
            </w:r>
          </w:p>
        </w:tc>
      </w:tr>
      <w:tr w14:paraId="2769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5B702D3B">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第四章</w:t>
            </w:r>
          </w:p>
          <w:p w14:paraId="79841835">
            <w:pPr>
              <w:adjustRightInd w:val="0"/>
              <w:snapToGrid w:val="0"/>
              <w:rPr>
                <w:rFonts w:hint="eastAsia" w:ascii="宋体" w:hAnsi="宋体" w:eastAsia="宋体" w:cs="Times New Roman"/>
                <w:bCs/>
                <w:szCs w:val="21"/>
              </w:rPr>
            </w:pPr>
            <w:r>
              <w:rPr>
                <w:rFonts w:hint="eastAsia" w:ascii="宋体" w:hAnsi="宋体" w:eastAsia="宋体" w:cs="Times New Roman"/>
                <w:bCs/>
                <w:szCs w:val="21"/>
              </w:rPr>
              <w:t>家校合作中的道德问题</w:t>
            </w:r>
          </w:p>
        </w:tc>
        <w:tc>
          <w:tcPr>
            <w:tcW w:w="2835" w:type="dxa"/>
            <w:vAlign w:val="center"/>
          </w:tcPr>
          <w:p w14:paraId="5BA1990C">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.家校沟通与合作</w:t>
            </w:r>
          </w:p>
          <w:p w14:paraId="61793B7F">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.家校关系的</w:t>
            </w:r>
            <w:r>
              <w:rPr>
                <w:rFonts w:hint="eastAsia" w:ascii="宋体" w:hAnsi="宋体" w:eastAsia="宋体" w:cs="Times New Roman"/>
                <w:bCs/>
                <w:szCs w:val="21"/>
              </w:rPr>
              <w:t>伦理</w:t>
            </w:r>
            <w:r>
              <w:rPr>
                <w:rFonts w:ascii="宋体" w:hAnsi="宋体" w:eastAsia="宋体" w:cs="Times New Roman"/>
                <w:bCs/>
                <w:szCs w:val="21"/>
              </w:rPr>
              <w:t>调适</w:t>
            </w:r>
          </w:p>
        </w:tc>
        <w:tc>
          <w:tcPr>
            <w:tcW w:w="1276" w:type="dxa"/>
            <w:vAlign w:val="center"/>
          </w:tcPr>
          <w:p w14:paraId="02EC64B0">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41DF567B">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课程目标3</w:t>
            </w:r>
          </w:p>
        </w:tc>
        <w:tc>
          <w:tcPr>
            <w:tcW w:w="2410" w:type="dxa"/>
            <w:vAlign w:val="center"/>
          </w:tcPr>
          <w:p w14:paraId="30057C69">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了解家校沟通与合作相关知识与技能，分析家校沟通中存在的问题，掌握家校关系调适的原则与方法。</w:t>
            </w:r>
          </w:p>
        </w:tc>
        <w:tc>
          <w:tcPr>
            <w:tcW w:w="1559" w:type="dxa"/>
            <w:vAlign w:val="center"/>
          </w:tcPr>
          <w:p w14:paraId="5D829CD0">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76C6BB24">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41063D47">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3C85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128" w:type="dxa"/>
            <w:vMerge w:val="continue"/>
            <w:vAlign w:val="center"/>
          </w:tcPr>
          <w:p w14:paraId="1B4CE4F9">
            <w:pPr>
              <w:adjustRightInd w:val="0"/>
              <w:snapToGrid w:val="0"/>
              <w:rPr>
                <w:rFonts w:hint="eastAsia" w:ascii="宋体" w:hAnsi="宋体" w:eastAsia="宋体" w:cs="Times New Roman"/>
                <w:bCs/>
                <w:szCs w:val="21"/>
              </w:rPr>
            </w:pPr>
          </w:p>
        </w:tc>
        <w:tc>
          <w:tcPr>
            <w:tcW w:w="8556" w:type="dxa"/>
            <w:gridSpan w:val="5"/>
            <w:vAlign w:val="center"/>
          </w:tcPr>
          <w:p w14:paraId="6FF8F2C1">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树立辩证统一的思维，学会正确分析家校交往过程中的道德问题，与家长平等沟通，尊重家长人格，教育学生尊重家长；廉洁奉公，不利用职责之便牟取私利，塑造良好的家校合作关系。</w:t>
            </w:r>
          </w:p>
        </w:tc>
      </w:tr>
      <w:tr w14:paraId="10B6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746A9F61">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第五章</w:t>
            </w:r>
          </w:p>
          <w:p w14:paraId="397153DC">
            <w:pPr>
              <w:adjustRightInd w:val="0"/>
              <w:snapToGrid w:val="0"/>
              <w:rPr>
                <w:rFonts w:hint="eastAsia" w:ascii="宋体" w:hAnsi="宋体" w:eastAsia="宋体" w:cs="Times New Roman"/>
                <w:bCs/>
                <w:szCs w:val="21"/>
              </w:rPr>
            </w:pPr>
            <w:r>
              <w:rPr>
                <w:rFonts w:hint="eastAsia" w:ascii="宋体" w:hAnsi="宋体" w:eastAsia="宋体" w:cs="Times New Roman"/>
                <w:bCs/>
                <w:szCs w:val="21"/>
              </w:rPr>
              <w:t>教师集体中的道德问题</w:t>
            </w:r>
          </w:p>
        </w:tc>
        <w:tc>
          <w:tcPr>
            <w:tcW w:w="2835" w:type="dxa"/>
            <w:vAlign w:val="center"/>
          </w:tcPr>
          <w:p w14:paraId="4BAAF012">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.教师集体在教育中的意义</w:t>
            </w:r>
          </w:p>
          <w:p w14:paraId="77C8B183">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.教师集体人际矛盾的原因分析</w:t>
            </w:r>
          </w:p>
          <w:p w14:paraId="694ED9A9">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.教师集体关系的道德调节</w:t>
            </w:r>
          </w:p>
        </w:tc>
        <w:tc>
          <w:tcPr>
            <w:tcW w:w="1276" w:type="dxa"/>
            <w:vAlign w:val="center"/>
          </w:tcPr>
          <w:p w14:paraId="110117F7">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720123F6">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课程目标3</w:t>
            </w:r>
          </w:p>
        </w:tc>
        <w:tc>
          <w:tcPr>
            <w:tcW w:w="2410" w:type="dxa"/>
            <w:vAlign w:val="center"/>
          </w:tcPr>
          <w:p w14:paraId="30CD8E47">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了解教师集体人际矛盾的原因，掌握教师集体关系的道德调节技巧。</w:t>
            </w:r>
          </w:p>
        </w:tc>
        <w:tc>
          <w:tcPr>
            <w:tcW w:w="1559" w:type="dxa"/>
            <w:vAlign w:val="center"/>
          </w:tcPr>
          <w:p w14:paraId="58D801A6">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71C41E8F">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0BD54B50">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53E2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128" w:type="dxa"/>
            <w:vMerge w:val="continue"/>
            <w:vAlign w:val="center"/>
          </w:tcPr>
          <w:p w14:paraId="571B7B44">
            <w:pPr>
              <w:adjustRightInd w:val="0"/>
              <w:snapToGrid w:val="0"/>
              <w:rPr>
                <w:rFonts w:hint="eastAsia" w:ascii="宋体" w:hAnsi="宋体" w:eastAsia="宋体" w:cs="Times New Roman"/>
                <w:bCs/>
                <w:szCs w:val="21"/>
              </w:rPr>
            </w:pPr>
          </w:p>
        </w:tc>
        <w:tc>
          <w:tcPr>
            <w:tcW w:w="8556" w:type="dxa"/>
            <w:gridSpan w:val="5"/>
            <w:vAlign w:val="center"/>
          </w:tcPr>
          <w:p w14:paraId="5454CA53">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树立辩证统一的思维，学会正确分析教师集体中发生的道德问题。弘扬教师职业精神，互相尊重、互相学习，保持协同、向上的合作关系，促进个人和集体的共同成长。</w:t>
            </w:r>
          </w:p>
        </w:tc>
      </w:tr>
      <w:tr w14:paraId="7967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3CA78185">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第六章</w:t>
            </w:r>
          </w:p>
          <w:p w14:paraId="0120A0BD">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课堂教学中的道德问题</w:t>
            </w:r>
          </w:p>
        </w:tc>
        <w:tc>
          <w:tcPr>
            <w:tcW w:w="2835" w:type="dxa"/>
            <w:vAlign w:val="center"/>
          </w:tcPr>
          <w:p w14:paraId="5BC328D5">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.教学工作的道德特征</w:t>
            </w:r>
          </w:p>
          <w:p w14:paraId="690259BB">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.教学活动的道德意义</w:t>
            </w:r>
          </w:p>
          <w:p w14:paraId="1A3944E3">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.教学工作中的道德要求</w:t>
            </w:r>
          </w:p>
          <w:p w14:paraId="221465CC">
            <w:pPr>
              <w:adjustRightInd w:val="0"/>
              <w:snapToGrid w:val="0"/>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.我国基础教育课程改革的价值追求</w:t>
            </w:r>
          </w:p>
        </w:tc>
        <w:tc>
          <w:tcPr>
            <w:tcW w:w="1276" w:type="dxa"/>
            <w:vAlign w:val="center"/>
          </w:tcPr>
          <w:p w14:paraId="039218D5">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16CF4F11">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课程目标4</w:t>
            </w:r>
          </w:p>
        </w:tc>
        <w:tc>
          <w:tcPr>
            <w:tcW w:w="2410" w:type="dxa"/>
            <w:vAlign w:val="center"/>
          </w:tcPr>
          <w:p w14:paraId="2A18EEAF">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了解课堂教学的道德特征及其道德意义，理解教学工作中的道德要求，树立正确的教育观，学会分析当前教育中的道德问题。</w:t>
            </w:r>
          </w:p>
        </w:tc>
        <w:tc>
          <w:tcPr>
            <w:tcW w:w="1559" w:type="dxa"/>
            <w:vAlign w:val="center"/>
          </w:tcPr>
          <w:p w14:paraId="19896932">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479570CA">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4B14D61D">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0921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128" w:type="dxa"/>
            <w:vMerge w:val="continue"/>
            <w:vAlign w:val="center"/>
          </w:tcPr>
          <w:p w14:paraId="7FFD6391">
            <w:pPr>
              <w:adjustRightInd w:val="0"/>
              <w:snapToGrid w:val="0"/>
              <w:rPr>
                <w:rFonts w:hint="eastAsia" w:ascii="宋体" w:hAnsi="宋体" w:eastAsia="宋体" w:cs="Times New Roman"/>
                <w:bCs/>
                <w:szCs w:val="21"/>
              </w:rPr>
            </w:pPr>
          </w:p>
        </w:tc>
        <w:tc>
          <w:tcPr>
            <w:tcW w:w="8556" w:type="dxa"/>
            <w:gridSpan w:val="5"/>
            <w:vAlign w:val="center"/>
          </w:tcPr>
          <w:p w14:paraId="36E1A272">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树立辩证统一的思维，学会正确分析课堂教学中的问题。确立正确的教育观，遵循教育规律，实施素质教育，将促进学生的全面发展作为教育目标。</w:t>
            </w:r>
          </w:p>
        </w:tc>
      </w:tr>
      <w:tr w14:paraId="46B3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jc w:val="center"/>
        </w:trPr>
        <w:tc>
          <w:tcPr>
            <w:tcW w:w="1128" w:type="dxa"/>
            <w:vMerge w:val="restart"/>
            <w:vAlign w:val="center"/>
          </w:tcPr>
          <w:p w14:paraId="6C94FDED">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第七章</w:t>
            </w:r>
          </w:p>
          <w:p w14:paraId="2ADE5D1E">
            <w:pPr>
              <w:adjustRightInd w:val="0"/>
              <w:snapToGrid w:val="0"/>
              <w:rPr>
                <w:rFonts w:hint="eastAsia" w:ascii="宋体" w:hAnsi="宋体" w:eastAsia="宋体" w:cs="Times New Roman"/>
                <w:bCs/>
                <w:szCs w:val="21"/>
              </w:rPr>
            </w:pPr>
            <w:r>
              <w:rPr>
                <w:rFonts w:hint="eastAsia" w:ascii="宋体" w:hAnsi="宋体" w:eastAsia="宋体" w:cs="Times New Roman"/>
                <w:bCs/>
                <w:szCs w:val="21"/>
              </w:rPr>
              <w:t>学校行政管理中的道德问题</w:t>
            </w:r>
          </w:p>
        </w:tc>
        <w:tc>
          <w:tcPr>
            <w:tcW w:w="2835" w:type="dxa"/>
            <w:vAlign w:val="center"/>
          </w:tcPr>
          <w:p w14:paraId="2FA710A8">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.学校行政管理工作对师生发展的意义</w:t>
            </w:r>
          </w:p>
          <w:p w14:paraId="3736BED2">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.当前我国学校行政管理中存在的问题</w:t>
            </w:r>
          </w:p>
          <w:p w14:paraId="4A434432">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.学校行政管理的伦理基础及其功能</w:t>
            </w:r>
          </w:p>
          <w:p w14:paraId="119C1E10">
            <w:pPr>
              <w:adjustRightInd w:val="0"/>
              <w:snapToGrid w:val="0"/>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.学校行政管理伦理化的实现路径</w:t>
            </w:r>
          </w:p>
        </w:tc>
        <w:tc>
          <w:tcPr>
            <w:tcW w:w="1276" w:type="dxa"/>
            <w:vAlign w:val="center"/>
          </w:tcPr>
          <w:p w14:paraId="2D3A14DE">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283F6650">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课程目标4</w:t>
            </w:r>
          </w:p>
        </w:tc>
        <w:tc>
          <w:tcPr>
            <w:tcW w:w="2410" w:type="dxa"/>
            <w:vAlign w:val="center"/>
          </w:tcPr>
          <w:p w14:paraId="2344C07D">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了解学校管理对师生发展的意义，掌握学校行政管理的伦理基础及其功能。</w:t>
            </w:r>
          </w:p>
        </w:tc>
        <w:tc>
          <w:tcPr>
            <w:tcW w:w="1559" w:type="dxa"/>
            <w:vAlign w:val="center"/>
          </w:tcPr>
          <w:p w14:paraId="1F994272">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5596CA62">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14DEE992">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73F7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28" w:type="dxa"/>
            <w:vMerge w:val="continue"/>
            <w:vAlign w:val="center"/>
          </w:tcPr>
          <w:p w14:paraId="661C7E54">
            <w:pPr>
              <w:adjustRightInd w:val="0"/>
              <w:snapToGrid w:val="0"/>
              <w:rPr>
                <w:rFonts w:hint="eastAsia" w:ascii="宋体" w:hAnsi="宋体" w:eastAsia="宋体" w:cs="Times New Roman"/>
                <w:bCs/>
                <w:szCs w:val="21"/>
              </w:rPr>
            </w:pPr>
          </w:p>
        </w:tc>
        <w:tc>
          <w:tcPr>
            <w:tcW w:w="8556" w:type="dxa"/>
            <w:gridSpan w:val="5"/>
            <w:vAlign w:val="center"/>
          </w:tcPr>
          <w:p w14:paraId="6E2747BC">
            <w:pPr>
              <w:adjustRightInd w:val="0"/>
              <w:snapToGrid w:val="0"/>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树立辩证统一的思维，学会正确分析行政管理中的道德问题；弘扬教师职业精神，尊重、理解，服从安排，积极配合，以主人公精神积极参与管理事务。</w:t>
            </w:r>
          </w:p>
        </w:tc>
      </w:tr>
      <w:tr w14:paraId="5EC2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128" w:type="dxa"/>
            <w:vMerge w:val="restart"/>
            <w:vAlign w:val="center"/>
          </w:tcPr>
          <w:p w14:paraId="0A74601C">
            <w:pPr>
              <w:adjustRightInd w:val="0"/>
              <w:snapToGrid w:val="0"/>
              <w:rPr>
                <w:rFonts w:hint="eastAsia" w:ascii="宋体" w:hAnsi="宋体" w:eastAsia="宋体" w:cs="Times New Roman"/>
                <w:bCs/>
                <w:szCs w:val="21"/>
              </w:rPr>
            </w:pPr>
            <w:r>
              <w:rPr>
                <w:rFonts w:hint="eastAsia" w:ascii="宋体" w:hAnsi="宋体" w:eastAsia="宋体" w:cs="Times New Roman"/>
                <w:bCs/>
                <w:szCs w:val="21"/>
              </w:rPr>
              <w:t>第八章</w:t>
            </w:r>
          </w:p>
          <w:p w14:paraId="2D97D23D">
            <w:pPr>
              <w:adjustRightInd w:val="0"/>
              <w:snapToGrid w:val="0"/>
              <w:rPr>
                <w:rFonts w:hint="eastAsia" w:ascii="宋体" w:hAnsi="宋体" w:eastAsia="宋体" w:cs="Times New Roman"/>
                <w:bCs/>
                <w:szCs w:val="21"/>
              </w:rPr>
            </w:pPr>
            <w:r>
              <w:rPr>
                <w:rFonts w:hint="eastAsia" w:ascii="宋体" w:hAnsi="宋体" w:eastAsia="宋体" w:cs="Times New Roman"/>
                <w:bCs/>
                <w:szCs w:val="21"/>
              </w:rPr>
              <w:t>教师职业道德修养</w:t>
            </w:r>
          </w:p>
        </w:tc>
        <w:tc>
          <w:tcPr>
            <w:tcW w:w="2835" w:type="dxa"/>
            <w:vAlign w:val="center"/>
          </w:tcPr>
          <w:p w14:paraId="34692D40">
            <w:pPr>
              <w:adjustRightInd w:val="0"/>
              <w:snapToGrid w:val="0"/>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.教师职业道德修养的目标</w:t>
            </w:r>
          </w:p>
          <w:p w14:paraId="41F9C7D7">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.教师职业道德修养的内容</w:t>
            </w:r>
          </w:p>
          <w:p w14:paraId="267469E9">
            <w:pPr>
              <w:adjustRightInd w:val="0"/>
              <w:snapToGrid w:val="0"/>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.教师职业道德修养的途径和方法</w:t>
            </w:r>
          </w:p>
        </w:tc>
        <w:tc>
          <w:tcPr>
            <w:tcW w:w="1276" w:type="dxa"/>
            <w:vAlign w:val="center"/>
          </w:tcPr>
          <w:p w14:paraId="5B0FCB36">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课程目标1</w:t>
            </w:r>
          </w:p>
          <w:p w14:paraId="07F3BFF8">
            <w:pPr>
              <w:adjustRightInd w:val="0"/>
              <w:snapToGrid w:val="0"/>
              <w:rPr>
                <w:rFonts w:hint="eastAsia" w:ascii="宋体" w:hAnsi="宋体" w:eastAsia="宋体" w:cs="Times New Roman"/>
                <w:bCs/>
                <w:szCs w:val="21"/>
              </w:rPr>
            </w:pPr>
            <w:r>
              <w:rPr>
                <w:rFonts w:hint="eastAsia" w:ascii="宋体" w:hAnsi="宋体" w:eastAsia="宋体" w:cs="Times New Roman"/>
                <w:bCs/>
                <w:szCs w:val="21"/>
              </w:rPr>
              <w:t>课程目标2</w:t>
            </w:r>
          </w:p>
        </w:tc>
        <w:tc>
          <w:tcPr>
            <w:tcW w:w="2410" w:type="dxa"/>
            <w:vAlign w:val="center"/>
          </w:tcPr>
          <w:p w14:paraId="2D184F68">
            <w:pPr>
              <w:adjustRightInd w:val="0"/>
              <w:snapToGrid w:val="0"/>
              <w:rPr>
                <w:rFonts w:hint="eastAsia" w:ascii="宋体" w:hAnsi="宋体" w:eastAsia="宋体" w:cs="Times New Roman"/>
                <w:bCs/>
                <w:szCs w:val="21"/>
              </w:rPr>
            </w:pPr>
            <w:r>
              <w:rPr>
                <w:rFonts w:hint="eastAsia" w:ascii="宋体" w:hAnsi="宋体" w:eastAsia="宋体" w:cs="Times New Roman"/>
                <w:bCs/>
                <w:szCs w:val="21"/>
              </w:rPr>
              <w:t>了解教师职业道德修养的目标，掌握教师职业道德修养的基本内容、途径与方法，认同并自觉内化为自身专业发展要求。</w:t>
            </w:r>
          </w:p>
        </w:tc>
        <w:tc>
          <w:tcPr>
            <w:tcW w:w="1559" w:type="dxa"/>
            <w:vAlign w:val="center"/>
          </w:tcPr>
          <w:p w14:paraId="18AB191B">
            <w:pPr>
              <w:adjustRightInd w:val="0"/>
              <w:snapToGrid w:val="0"/>
              <w:rPr>
                <w:rFonts w:hint="eastAsia" w:ascii="宋体" w:hAnsi="宋体" w:eastAsia="宋体" w:cs="Times New Roman"/>
                <w:bCs/>
                <w:szCs w:val="21"/>
              </w:rPr>
            </w:pPr>
            <w:r>
              <w:rPr>
                <w:rFonts w:hint="eastAsia" w:ascii="宋体" w:hAnsi="宋体" w:eastAsia="宋体" w:cs="Times New Roman"/>
                <w:bCs/>
                <w:szCs w:val="21"/>
              </w:rPr>
              <w:t>1.多媒体教学</w:t>
            </w:r>
          </w:p>
          <w:p w14:paraId="76EEEFDB">
            <w:pPr>
              <w:adjustRightInd w:val="0"/>
              <w:snapToGrid w:val="0"/>
              <w:rPr>
                <w:rFonts w:hint="eastAsia" w:ascii="宋体" w:hAnsi="宋体" w:eastAsia="宋体" w:cs="Times New Roman"/>
                <w:bCs/>
                <w:szCs w:val="21"/>
              </w:rPr>
            </w:pPr>
            <w:r>
              <w:rPr>
                <w:rFonts w:hint="eastAsia" w:ascii="宋体" w:hAnsi="宋体" w:eastAsia="宋体" w:cs="Times New Roman"/>
                <w:bCs/>
                <w:szCs w:val="21"/>
              </w:rPr>
              <w:t>2.案例研讨</w:t>
            </w:r>
          </w:p>
        </w:tc>
        <w:tc>
          <w:tcPr>
            <w:tcW w:w="476" w:type="dxa"/>
            <w:vAlign w:val="center"/>
          </w:tcPr>
          <w:p w14:paraId="47749699">
            <w:pPr>
              <w:adjustRightInd w:val="0"/>
              <w:snapToGrid w:val="0"/>
              <w:rPr>
                <w:rFonts w:hint="eastAsia" w:ascii="宋体" w:hAnsi="宋体" w:eastAsia="宋体" w:cs="Times New Roman"/>
                <w:bCs/>
                <w:szCs w:val="21"/>
              </w:rPr>
            </w:pPr>
            <w:r>
              <w:rPr>
                <w:rFonts w:hint="eastAsia" w:ascii="宋体" w:hAnsi="宋体" w:eastAsia="宋体" w:cs="Times New Roman"/>
                <w:bCs/>
                <w:szCs w:val="21"/>
              </w:rPr>
              <w:t>2</w:t>
            </w:r>
          </w:p>
        </w:tc>
      </w:tr>
      <w:tr w14:paraId="4892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128" w:type="dxa"/>
            <w:vMerge w:val="continue"/>
            <w:vAlign w:val="center"/>
          </w:tcPr>
          <w:p w14:paraId="60947362">
            <w:pPr>
              <w:adjustRightInd w:val="0"/>
              <w:snapToGrid w:val="0"/>
              <w:rPr>
                <w:rFonts w:hint="eastAsia" w:ascii="宋体" w:hAnsi="宋体" w:eastAsia="宋体" w:cs="Times New Roman"/>
                <w:bCs/>
                <w:szCs w:val="21"/>
              </w:rPr>
            </w:pPr>
          </w:p>
        </w:tc>
        <w:tc>
          <w:tcPr>
            <w:tcW w:w="8556" w:type="dxa"/>
            <w:gridSpan w:val="5"/>
            <w:vAlign w:val="center"/>
          </w:tcPr>
          <w:p w14:paraId="3A1B68DE">
            <w:pPr>
              <w:adjustRightInd w:val="0"/>
              <w:snapToGrid w:val="0"/>
              <w:rPr>
                <w:rFonts w:hint="eastAsia" w:ascii="宋体" w:hAnsi="宋体" w:eastAsia="宋体" w:cs="Times New Roman"/>
                <w:b/>
                <w:szCs w:val="21"/>
              </w:rPr>
            </w:pPr>
            <w:r>
              <w:rPr>
                <w:rFonts w:hint="eastAsia" w:ascii="宋体" w:hAnsi="宋体" w:eastAsia="宋体" w:cs="Times New Roman"/>
                <w:b/>
                <w:szCs w:val="21"/>
              </w:rPr>
              <w:t>课程思政目标：</w:t>
            </w:r>
            <w:r>
              <w:rPr>
                <w:rFonts w:ascii="宋体" w:hAnsi="宋体" w:eastAsia="宋体" w:cs="Times New Roman"/>
                <w:bCs/>
                <w:szCs w:val="21"/>
              </w:rPr>
              <w:t>树立终身学习理念，自觉更新教育观念，潜心钻研教育教学业务。</w:t>
            </w:r>
          </w:p>
        </w:tc>
      </w:tr>
    </w:tbl>
    <w:p w14:paraId="46A3FAF4">
      <w:pPr>
        <w:spacing w:before="62" w:beforeLines="20" w:after="62" w:afterLines="20" w:line="360" w:lineRule="auto"/>
        <w:jc w:val="left"/>
        <w:rPr>
          <w:rFonts w:ascii="Times New Roman" w:hAnsi="Times New Roman" w:eastAsia="宋体" w:cs="Times New Roman"/>
          <w:b/>
          <w:sz w:val="24"/>
        </w:rPr>
      </w:pPr>
      <w:bookmarkStart w:id="590" w:name="_Toc4356"/>
      <w:bookmarkStart w:id="591" w:name="_Toc28719"/>
      <w:bookmarkStart w:id="592" w:name="_Toc8896"/>
      <w:bookmarkStart w:id="593" w:name="_Toc6238"/>
      <w:bookmarkStart w:id="594" w:name="_Toc26578"/>
      <w:bookmarkStart w:id="595" w:name="_Toc7179"/>
      <w:bookmarkStart w:id="596" w:name="_Toc22443"/>
      <w:r>
        <w:rPr>
          <w:rFonts w:hint="eastAsia" w:ascii="Times New Roman" w:hAnsi="Times New Roman" w:eastAsia="宋体" w:cs="Times New Roman"/>
          <w:b/>
          <w:sz w:val="24"/>
        </w:rPr>
        <w:t>四、目标评价与成绩评定</w:t>
      </w:r>
      <w:bookmarkEnd w:id="590"/>
      <w:bookmarkEnd w:id="591"/>
      <w:bookmarkEnd w:id="592"/>
      <w:bookmarkEnd w:id="593"/>
      <w:bookmarkEnd w:id="594"/>
      <w:bookmarkEnd w:id="595"/>
      <w:bookmarkEnd w:id="596"/>
    </w:p>
    <w:p w14:paraId="1BDF37E9">
      <w:pPr>
        <w:adjustRightInd w:val="0"/>
        <w:snapToGrid w:val="0"/>
        <w:spacing w:line="360" w:lineRule="auto"/>
        <w:ind w:firstLine="422" w:firstLineChars="200"/>
        <w:jc w:val="left"/>
        <w:outlineLvl w:val="1"/>
        <w:rPr>
          <w:rFonts w:ascii="Times New Roman" w:hAnsi="Times New Roman" w:eastAsia="宋体" w:cs="Times New Roman"/>
          <w:b/>
          <w:szCs w:val="21"/>
        </w:rPr>
      </w:pPr>
      <w:bookmarkStart w:id="597" w:name="_Toc4155"/>
      <w:r>
        <w:rPr>
          <w:rFonts w:hint="eastAsia" w:ascii="Times New Roman" w:hAnsi="Times New Roman" w:eastAsia="宋体" w:cs="Times New Roman"/>
          <w:b/>
          <w:szCs w:val="21"/>
        </w:rPr>
        <w:t>（一）课程目标评价方式</w:t>
      </w:r>
      <w:bookmarkEnd w:id="597"/>
    </w:p>
    <w:p w14:paraId="5D70B43E">
      <w:pPr>
        <w:adjustRightInd w:val="0"/>
        <w:snapToGri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418"/>
        <w:gridCol w:w="1276"/>
        <w:gridCol w:w="1417"/>
        <w:gridCol w:w="1355"/>
      </w:tblGrid>
      <w:tr w14:paraId="31AD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271" w:type="dxa"/>
            <w:vMerge w:val="restart"/>
            <w:vAlign w:val="center"/>
          </w:tcPr>
          <w:p w14:paraId="47BF9D1E">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p>
        </w:tc>
        <w:tc>
          <w:tcPr>
            <w:tcW w:w="5670" w:type="dxa"/>
            <w:gridSpan w:val="4"/>
          </w:tcPr>
          <w:p w14:paraId="1CFB65A3">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评价与成绩评定方法</w:t>
            </w:r>
          </w:p>
        </w:tc>
        <w:tc>
          <w:tcPr>
            <w:tcW w:w="1355" w:type="dxa"/>
            <w:vMerge w:val="restart"/>
            <w:vAlign w:val="center"/>
          </w:tcPr>
          <w:p w14:paraId="7376DA9B">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分值</w:t>
            </w:r>
          </w:p>
        </w:tc>
      </w:tr>
      <w:tr w14:paraId="707E8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71" w:type="dxa"/>
            <w:vMerge w:val="continue"/>
            <w:vAlign w:val="center"/>
          </w:tcPr>
          <w:p w14:paraId="61B916E9">
            <w:pPr>
              <w:adjustRightInd w:val="0"/>
              <w:snapToGrid w:val="0"/>
              <w:jc w:val="center"/>
              <w:rPr>
                <w:rFonts w:hint="eastAsia" w:ascii="宋体" w:hAnsi="宋体" w:eastAsia="宋体" w:cs="Times New Roman"/>
                <w:kern w:val="0"/>
                <w:szCs w:val="21"/>
              </w:rPr>
            </w:pPr>
          </w:p>
        </w:tc>
        <w:tc>
          <w:tcPr>
            <w:tcW w:w="1559" w:type="dxa"/>
            <w:vAlign w:val="center"/>
          </w:tcPr>
          <w:p w14:paraId="14B0C40F">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课堂发言</w:t>
            </w:r>
          </w:p>
        </w:tc>
        <w:tc>
          <w:tcPr>
            <w:tcW w:w="1418" w:type="dxa"/>
            <w:vAlign w:val="center"/>
          </w:tcPr>
          <w:p w14:paraId="5C5E3E00">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平时作业</w:t>
            </w:r>
          </w:p>
        </w:tc>
        <w:tc>
          <w:tcPr>
            <w:tcW w:w="1276" w:type="dxa"/>
            <w:vAlign w:val="center"/>
          </w:tcPr>
          <w:p w14:paraId="267D7BF0">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主题汇报</w:t>
            </w:r>
          </w:p>
        </w:tc>
        <w:tc>
          <w:tcPr>
            <w:tcW w:w="1417" w:type="dxa"/>
            <w:vAlign w:val="center"/>
          </w:tcPr>
          <w:p w14:paraId="37087C48">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355" w:type="dxa"/>
            <w:vMerge w:val="continue"/>
            <w:vAlign w:val="center"/>
          </w:tcPr>
          <w:p w14:paraId="5B94A4AE">
            <w:pPr>
              <w:adjustRightInd w:val="0"/>
              <w:snapToGrid w:val="0"/>
              <w:jc w:val="center"/>
              <w:rPr>
                <w:rFonts w:hint="eastAsia" w:ascii="宋体" w:hAnsi="宋体" w:eastAsia="宋体" w:cs="Times New Roman"/>
                <w:kern w:val="0"/>
                <w:szCs w:val="21"/>
              </w:rPr>
            </w:pPr>
          </w:p>
        </w:tc>
      </w:tr>
      <w:tr w14:paraId="3DB4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271" w:type="dxa"/>
            <w:vAlign w:val="center"/>
          </w:tcPr>
          <w:p w14:paraId="423A8999">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课程目标1</w:t>
            </w:r>
          </w:p>
        </w:tc>
        <w:tc>
          <w:tcPr>
            <w:tcW w:w="1559" w:type="dxa"/>
            <w:vAlign w:val="center"/>
          </w:tcPr>
          <w:p w14:paraId="5ABD951D">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360E4DE8">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5DCF84FC">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7D2DB13A">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5CF4FDAC">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20</w:t>
            </w:r>
          </w:p>
        </w:tc>
      </w:tr>
      <w:tr w14:paraId="0328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71" w:type="dxa"/>
            <w:vAlign w:val="center"/>
          </w:tcPr>
          <w:p w14:paraId="53F37094">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课程目标2</w:t>
            </w:r>
          </w:p>
        </w:tc>
        <w:tc>
          <w:tcPr>
            <w:tcW w:w="1559" w:type="dxa"/>
            <w:vAlign w:val="center"/>
          </w:tcPr>
          <w:p w14:paraId="3D32CB3D">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60ABA518">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33E983EE">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2076FEC1">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1017FBEC">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30</w:t>
            </w:r>
          </w:p>
        </w:tc>
      </w:tr>
      <w:tr w14:paraId="2054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71" w:type="dxa"/>
            <w:vAlign w:val="center"/>
          </w:tcPr>
          <w:p w14:paraId="39B88EDA">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课程目标3</w:t>
            </w:r>
          </w:p>
        </w:tc>
        <w:tc>
          <w:tcPr>
            <w:tcW w:w="1559" w:type="dxa"/>
            <w:vAlign w:val="center"/>
          </w:tcPr>
          <w:p w14:paraId="784D0BF9">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3ED14AF0">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7E34C036">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48BECE74">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5B031546">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30</w:t>
            </w:r>
          </w:p>
        </w:tc>
      </w:tr>
      <w:tr w14:paraId="175F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1" w:type="dxa"/>
            <w:vAlign w:val="center"/>
          </w:tcPr>
          <w:p w14:paraId="54E32D23">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课程目标4</w:t>
            </w:r>
          </w:p>
        </w:tc>
        <w:tc>
          <w:tcPr>
            <w:tcW w:w="1559" w:type="dxa"/>
          </w:tcPr>
          <w:p w14:paraId="2A47766D">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tcPr>
          <w:p w14:paraId="1296FDDB">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tcPr>
          <w:p w14:paraId="45956E42">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tcPr>
          <w:p w14:paraId="10B3C08E">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5AEED49C">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20</w:t>
            </w:r>
          </w:p>
        </w:tc>
      </w:tr>
      <w:tr w14:paraId="78521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71" w:type="dxa"/>
            <w:vAlign w:val="center"/>
          </w:tcPr>
          <w:p w14:paraId="401B4927">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合计</w:t>
            </w:r>
          </w:p>
        </w:tc>
        <w:tc>
          <w:tcPr>
            <w:tcW w:w="1559" w:type="dxa"/>
            <w:vAlign w:val="center"/>
          </w:tcPr>
          <w:p w14:paraId="71D2380E">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c>
          <w:tcPr>
            <w:tcW w:w="1418" w:type="dxa"/>
            <w:vAlign w:val="center"/>
          </w:tcPr>
          <w:p w14:paraId="28BD5797">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20</w:t>
            </w:r>
          </w:p>
        </w:tc>
        <w:tc>
          <w:tcPr>
            <w:tcW w:w="1276" w:type="dxa"/>
            <w:vAlign w:val="center"/>
          </w:tcPr>
          <w:p w14:paraId="02D601EB">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0</w:t>
            </w:r>
          </w:p>
        </w:tc>
        <w:tc>
          <w:tcPr>
            <w:tcW w:w="1417" w:type="dxa"/>
            <w:vAlign w:val="center"/>
          </w:tcPr>
          <w:p w14:paraId="6714417A">
            <w:pPr>
              <w:adjustRightInd w:val="0"/>
              <w:snapToGrid w:val="0"/>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1355" w:type="dxa"/>
            <w:vAlign w:val="center"/>
          </w:tcPr>
          <w:p w14:paraId="0F20CC81">
            <w:pPr>
              <w:adjustRightInd w:val="0"/>
              <w:snapToGrid w:val="0"/>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bl>
    <w:p w14:paraId="00AB01E8">
      <w:pPr>
        <w:spacing w:before="156" w:beforeLines="50" w:line="360" w:lineRule="auto"/>
        <w:ind w:firstLine="422" w:firstLineChars="200"/>
        <w:jc w:val="left"/>
        <w:outlineLvl w:val="1"/>
        <w:rPr>
          <w:rFonts w:ascii="Times New Roman" w:hAnsi="Times New Roman" w:eastAsia="宋体" w:cs="Times New Roman"/>
          <w:b/>
          <w:szCs w:val="21"/>
        </w:rPr>
      </w:pPr>
      <w:bookmarkStart w:id="598" w:name="_Toc9554"/>
      <w:r>
        <w:rPr>
          <w:rFonts w:hint="eastAsia" w:ascii="宋体" w:hAnsi="宋体" w:eastAsia="宋体" w:cs="Times New Roman"/>
          <w:b/>
          <w:szCs w:val="22"/>
        </w:rPr>
        <w:t>（二）</w:t>
      </w:r>
      <w:r>
        <w:rPr>
          <w:rFonts w:hint="eastAsia" w:ascii="Times New Roman" w:hAnsi="Times New Roman" w:eastAsia="宋体" w:cs="Times New Roman"/>
          <w:b/>
          <w:szCs w:val="21"/>
        </w:rPr>
        <w:t>成绩评定细则</w:t>
      </w:r>
      <w:bookmarkEnd w:id="598"/>
    </w:p>
    <w:p w14:paraId="3B74C01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183D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dxa"/>
            <w:vAlign w:val="center"/>
          </w:tcPr>
          <w:p w14:paraId="08F98BD9">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509" w:type="dxa"/>
            <w:vAlign w:val="center"/>
          </w:tcPr>
          <w:p w14:paraId="6876B4D5">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D0447A4">
            <w:pPr>
              <w:adjustRightInd w:val="0"/>
              <w:snapToGrid w:val="0"/>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6BF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2" w:type="dxa"/>
            <w:tcBorders>
              <w:top w:val="single" w:color="auto" w:sz="4" w:space="0"/>
              <w:left w:val="single" w:color="auto" w:sz="4" w:space="0"/>
              <w:bottom w:val="single" w:color="auto" w:sz="4" w:space="0"/>
              <w:right w:val="single" w:color="auto" w:sz="4" w:space="0"/>
            </w:tcBorders>
            <w:vAlign w:val="center"/>
          </w:tcPr>
          <w:p w14:paraId="7CFB3173">
            <w:pPr>
              <w:snapToGrid w:val="0"/>
              <w:rPr>
                <w:rFonts w:hint="eastAsia" w:ascii="宋体" w:hAnsi="宋体" w:eastAsia="宋体" w:cs="Times New Roman"/>
                <w:szCs w:val="21"/>
              </w:rPr>
            </w:pPr>
            <w:r>
              <w:rPr>
                <w:rFonts w:hint="eastAsia" w:ascii="宋体" w:hAnsi="宋体" w:eastAsia="宋体" w:cs="Times New Roman"/>
                <w:szCs w:val="21"/>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4BA4FC04">
            <w:pPr>
              <w:snapToGrid w:val="0"/>
              <w:rPr>
                <w:rFonts w:hint="eastAsia" w:ascii="宋体" w:hAnsi="宋体" w:eastAsia="宋体" w:cs="Times New Roman"/>
                <w:szCs w:val="21"/>
              </w:rPr>
            </w:pPr>
            <w:r>
              <w:rPr>
                <w:rFonts w:hint="eastAsia" w:ascii="宋体" w:hAnsi="宋体" w:eastAsia="宋体" w:cs="Times New Roman"/>
                <w:szCs w:val="21"/>
              </w:rPr>
              <w:t>根据学生课堂发言情况、学习</w:t>
            </w:r>
            <w:r>
              <w:rPr>
                <w:rFonts w:ascii="宋体" w:hAnsi="宋体" w:eastAsia="宋体" w:cs="Times New Roman"/>
                <w:szCs w:val="21"/>
              </w:rPr>
              <w:t>态度</w:t>
            </w:r>
            <w:r>
              <w:rPr>
                <w:rFonts w:hint="eastAsia" w:ascii="宋体" w:hAnsi="宋体" w:eastAsia="宋体" w:cs="Times New Roman"/>
                <w:szCs w:val="21"/>
              </w:rPr>
              <w:t>、回答质量进行评分，考察学生课堂听讲效果、课后预习和复习的效果，以及对基础知识的掌握情况。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13650D62">
            <w:pPr>
              <w:snapToGrid w:val="0"/>
              <w:rPr>
                <w:rFonts w:hint="eastAsia" w:ascii="宋体" w:hAnsi="宋体" w:eastAsia="宋体" w:cs="Times New Roman"/>
                <w:szCs w:val="21"/>
              </w:rPr>
            </w:pPr>
            <w:r>
              <w:rPr>
                <w:rFonts w:ascii="宋体" w:hAnsi="宋体" w:eastAsia="宋体" w:cs="Times New Roman"/>
                <w:szCs w:val="21"/>
              </w:rPr>
              <w:t>10%</w:t>
            </w:r>
          </w:p>
        </w:tc>
      </w:tr>
      <w:tr w14:paraId="386A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2" w:type="dxa"/>
            <w:tcBorders>
              <w:top w:val="single" w:color="auto" w:sz="4" w:space="0"/>
              <w:left w:val="single" w:color="auto" w:sz="4" w:space="0"/>
              <w:bottom w:val="single" w:color="auto" w:sz="4" w:space="0"/>
              <w:right w:val="single" w:color="auto" w:sz="4" w:space="0"/>
            </w:tcBorders>
            <w:vAlign w:val="center"/>
          </w:tcPr>
          <w:p w14:paraId="0C462135">
            <w:pPr>
              <w:snapToGrid w:val="0"/>
              <w:rPr>
                <w:rFonts w:hint="eastAsia" w:ascii="宋体" w:hAnsi="宋体" w:eastAsia="宋体" w:cs="Times New Roman"/>
                <w:szCs w:val="21"/>
              </w:rPr>
            </w:pPr>
            <w:r>
              <w:rPr>
                <w:rFonts w:hint="eastAsia" w:ascii="宋体" w:hAnsi="宋体" w:eastAsia="宋体" w:cs="Times New Roman"/>
                <w:szCs w:val="21"/>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7974B62F">
            <w:pPr>
              <w:snapToGrid w:val="0"/>
              <w:rPr>
                <w:rFonts w:hint="eastAsia" w:ascii="宋体" w:hAnsi="宋体" w:eastAsia="宋体" w:cs="Times New Roman"/>
                <w:szCs w:val="21"/>
              </w:rPr>
            </w:pPr>
            <w:r>
              <w:rPr>
                <w:rFonts w:ascii="宋体" w:hAnsi="宋体" w:eastAsia="宋体" w:cs="Times New Roman"/>
                <w:szCs w:val="22"/>
              </w:rPr>
              <w:t>考核学生对</w:t>
            </w:r>
            <w:r>
              <w:rPr>
                <w:rFonts w:hint="eastAsia" w:ascii="宋体" w:hAnsi="宋体" w:eastAsia="宋体" w:cs="Times New Roman"/>
                <w:szCs w:val="22"/>
              </w:rPr>
              <w:t>各章节重要</w:t>
            </w:r>
            <w:r>
              <w:rPr>
                <w:rFonts w:ascii="宋体" w:hAnsi="宋体" w:eastAsia="宋体" w:cs="Times New Roman"/>
                <w:szCs w:val="22"/>
              </w:rPr>
              <w:t>知识点的理解和掌握</w:t>
            </w:r>
            <w:r>
              <w:rPr>
                <w:rFonts w:hint="eastAsia" w:ascii="宋体" w:hAnsi="宋体" w:eastAsia="宋体" w:cs="Times New Roman"/>
                <w:szCs w:val="22"/>
              </w:rPr>
              <w:t>情况</w:t>
            </w:r>
            <w:r>
              <w:rPr>
                <w:rFonts w:ascii="宋体" w:hAnsi="宋体" w:eastAsia="宋体" w:cs="Times New Roman"/>
                <w:szCs w:val="22"/>
              </w:rPr>
              <w:t>，</w:t>
            </w:r>
            <w:r>
              <w:rPr>
                <w:rFonts w:hint="eastAsia" w:ascii="宋体" w:hAnsi="宋体" w:eastAsia="宋体" w:cs="Times New Roman"/>
                <w:szCs w:val="22"/>
              </w:rPr>
              <w:t>作业次数不少于2次，安排在课后，教师批改反馈并进行讲解。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0D7E114E">
            <w:pPr>
              <w:snapToGrid w:val="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1D87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22" w:type="dxa"/>
            <w:tcBorders>
              <w:top w:val="single" w:color="auto" w:sz="4" w:space="0"/>
              <w:left w:val="single" w:color="auto" w:sz="4" w:space="0"/>
              <w:bottom w:val="single" w:color="auto" w:sz="4" w:space="0"/>
              <w:right w:val="single" w:color="auto" w:sz="4" w:space="0"/>
            </w:tcBorders>
            <w:vAlign w:val="center"/>
          </w:tcPr>
          <w:p w14:paraId="6953E37A">
            <w:pPr>
              <w:snapToGrid w:val="0"/>
              <w:rPr>
                <w:rFonts w:hint="eastAsia" w:ascii="宋体" w:hAnsi="宋体" w:eastAsia="宋体" w:cs="Times New Roman"/>
                <w:szCs w:val="21"/>
              </w:rPr>
            </w:pPr>
            <w:r>
              <w:rPr>
                <w:rFonts w:hint="eastAsia" w:ascii="宋体" w:hAnsi="宋体" w:eastAsia="宋体" w:cs="Times New Roman"/>
                <w:szCs w:val="21"/>
              </w:rPr>
              <w:t>主题汇报</w:t>
            </w:r>
          </w:p>
        </w:tc>
        <w:tc>
          <w:tcPr>
            <w:tcW w:w="7509" w:type="dxa"/>
            <w:tcBorders>
              <w:top w:val="single" w:color="auto" w:sz="4" w:space="0"/>
              <w:left w:val="single" w:color="auto" w:sz="4" w:space="0"/>
              <w:bottom w:val="single" w:color="auto" w:sz="4" w:space="0"/>
              <w:right w:val="single" w:color="auto" w:sz="4" w:space="0"/>
            </w:tcBorders>
            <w:vAlign w:val="center"/>
          </w:tcPr>
          <w:p w14:paraId="524AAAFE">
            <w:pPr>
              <w:snapToGrid w:val="0"/>
              <w:rPr>
                <w:rFonts w:hint="eastAsia" w:ascii="宋体" w:hAnsi="宋体" w:eastAsia="宋体" w:cs="Times New Roman"/>
                <w:szCs w:val="21"/>
              </w:rPr>
            </w:pPr>
            <w:r>
              <w:rPr>
                <w:rFonts w:hint="eastAsia" w:ascii="宋体" w:hAnsi="宋体" w:eastAsia="宋体" w:cs="Times New Roman"/>
                <w:szCs w:val="22"/>
              </w:rPr>
              <w:t>小组合作，围绕一个师德主题，分享教育故事和感悟，考察学生运用师德理念以及相关理论知识分析具体案例的能力。</w:t>
            </w:r>
          </w:p>
        </w:tc>
        <w:tc>
          <w:tcPr>
            <w:tcW w:w="0" w:type="auto"/>
            <w:tcBorders>
              <w:top w:val="single" w:color="auto" w:sz="4" w:space="0"/>
              <w:left w:val="single" w:color="auto" w:sz="4" w:space="0"/>
              <w:bottom w:val="single" w:color="auto" w:sz="4" w:space="0"/>
              <w:right w:val="single" w:color="auto" w:sz="4" w:space="0"/>
            </w:tcBorders>
            <w:vAlign w:val="center"/>
          </w:tcPr>
          <w:p w14:paraId="158EACCA">
            <w:pPr>
              <w:snapToGrid w:val="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001A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22" w:type="dxa"/>
            <w:tcBorders>
              <w:top w:val="single" w:color="auto" w:sz="4" w:space="0"/>
              <w:left w:val="single" w:color="auto" w:sz="4" w:space="0"/>
              <w:bottom w:val="single" w:color="auto" w:sz="4" w:space="0"/>
              <w:right w:val="single" w:color="auto" w:sz="4" w:space="0"/>
            </w:tcBorders>
            <w:vAlign w:val="center"/>
          </w:tcPr>
          <w:p w14:paraId="7307D1A8">
            <w:pPr>
              <w:snapToGrid w:val="0"/>
              <w:rPr>
                <w:rFonts w:hint="eastAsia" w:ascii="宋体" w:hAnsi="宋体" w:eastAsia="宋体" w:cs="Times New Roman"/>
                <w:szCs w:val="21"/>
              </w:rPr>
            </w:pPr>
            <w:r>
              <w:rPr>
                <w:rFonts w:hint="eastAsia" w:ascii="宋体" w:hAnsi="宋体" w:eastAsia="宋体" w:cs="Times New Roman"/>
                <w:szCs w:val="21"/>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0E0311FF">
            <w:pPr>
              <w:snapToGrid w:val="0"/>
              <w:rPr>
                <w:rFonts w:hint="eastAsia" w:ascii="宋体" w:hAnsi="宋体" w:eastAsia="宋体" w:cs="Times New Roman"/>
                <w:szCs w:val="21"/>
              </w:rPr>
            </w:pPr>
            <w:r>
              <w:rPr>
                <w:rFonts w:hint="eastAsia" w:ascii="宋体" w:hAnsi="宋体" w:eastAsia="宋体" w:cs="Times New Roman"/>
                <w:szCs w:val="21"/>
              </w:rPr>
              <w:t>考试形式由教师确定，</w:t>
            </w:r>
            <w:r>
              <w:rPr>
                <w:rFonts w:ascii="宋体" w:hAnsi="宋体" w:eastAsia="宋体" w:cs="Times New Roman"/>
                <w:szCs w:val="21"/>
              </w:rPr>
              <w:t>题型包括选择题、简答题、材料分析题、论述题，</w:t>
            </w:r>
            <w:r>
              <w:rPr>
                <w:rFonts w:hint="eastAsia" w:ascii="宋体" w:hAnsi="宋体" w:eastAsia="宋体" w:cs="Times New Roman"/>
                <w:szCs w:val="21"/>
              </w:rPr>
              <w:t>其中：</w:t>
            </w:r>
          </w:p>
          <w:p w14:paraId="26D60FC5">
            <w:pPr>
              <w:snapToGrid w:val="0"/>
              <w:rPr>
                <w:rFonts w:hint="eastAsia" w:ascii="宋体" w:hAnsi="宋体" w:eastAsia="宋体" w:cs="Times New Roman"/>
                <w:szCs w:val="21"/>
              </w:rPr>
            </w:pPr>
            <w:r>
              <w:rPr>
                <w:rFonts w:ascii="宋体" w:hAnsi="宋体" w:eastAsia="宋体" w:cs="Times New Roman"/>
                <w:szCs w:val="21"/>
              </w:rPr>
              <w:t>考核教师职业道德基本理论的知识型题目</w:t>
            </w:r>
            <w:r>
              <w:rPr>
                <w:rFonts w:hint="eastAsia" w:ascii="宋体" w:hAnsi="宋体" w:eastAsia="宋体" w:cs="Times New Roman"/>
                <w:szCs w:val="21"/>
              </w:rPr>
              <w:t>不少于</w:t>
            </w:r>
            <w:r>
              <w:rPr>
                <w:rFonts w:ascii="宋体" w:hAnsi="宋体" w:eastAsia="宋体" w:cs="Times New Roman"/>
                <w:szCs w:val="21"/>
              </w:rPr>
              <w:t>40%。</w:t>
            </w:r>
          </w:p>
          <w:p w14:paraId="7D27D1E1">
            <w:pPr>
              <w:snapToGrid w:val="0"/>
              <w:rPr>
                <w:rFonts w:hint="eastAsia" w:ascii="宋体" w:hAnsi="宋体" w:eastAsia="宋体" w:cs="Times New Roman"/>
                <w:szCs w:val="21"/>
              </w:rPr>
            </w:pPr>
            <w:r>
              <w:rPr>
                <w:rFonts w:ascii="宋体" w:hAnsi="宋体" w:eastAsia="宋体" w:cs="Times New Roman"/>
                <w:szCs w:val="21"/>
              </w:rPr>
              <w:t>考核学生运用职业道德基本理论知识分析材料的能力型题目</w:t>
            </w:r>
            <w:r>
              <w:rPr>
                <w:rFonts w:hint="eastAsia" w:ascii="宋体" w:hAnsi="宋体" w:eastAsia="宋体" w:cs="Times New Roman"/>
                <w:szCs w:val="21"/>
              </w:rPr>
              <w:t>不少于</w:t>
            </w:r>
            <w:r>
              <w:rPr>
                <w:rFonts w:ascii="宋体" w:hAnsi="宋体" w:eastAsia="宋体" w:cs="Times New Roman"/>
                <w:szCs w:val="21"/>
              </w:rPr>
              <w:t>60%。</w:t>
            </w:r>
          </w:p>
        </w:tc>
        <w:tc>
          <w:tcPr>
            <w:tcW w:w="0" w:type="auto"/>
            <w:tcBorders>
              <w:top w:val="single" w:color="auto" w:sz="4" w:space="0"/>
              <w:left w:val="single" w:color="auto" w:sz="4" w:space="0"/>
              <w:bottom w:val="single" w:color="auto" w:sz="4" w:space="0"/>
              <w:right w:val="single" w:color="auto" w:sz="4" w:space="0"/>
            </w:tcBorders>
            <w:vAlign w:val="center"/>
          </w:tcPr>
          <w:p w14:paraId="7BAB925B">
            <w:pPr>
              <w:snapToGrid w:val="0"/>
              <w:rPr>
                <w:rFonts w:hint="eastAsia" w:ascii="宋体" w:hAnsi="宋体" w:eastAsia="宋体" w:cs="Times New Roman"/>
                <w:szCs w:val="21"/>
              </w:rPr>
            </w:pPr>
            <w:r>
              <w:rPr>
                <w:rFonts w:ascii="宋体" w:hAnsi="宋体" w:eastAsia="宋体" w:cs="Times New Roman"/>
                <w:szCs w:val="21"/>
              </w:rPr>
              <w:t>50%</w:t>
            </w:r>
          </w:p>
        </w:tc>
      </w:tr>
      <w:tr w14:paraId="5B35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231" w:type="dxa"/>
            <w:gridSpan w:val="2"/>
            <w:tcBorders>
              <w:top w:val="single" w:color="auto" w:sz="4" w:space="0"/>
              <w:left w:val="single" w:color="auto" w:sz="4" w:space="0"/>
              <w:bottom w:val="single" w:color="auto" w:sz="4" w:space="0"/>
              <w:right w:val="single" w:color="auto" w:sz="4" w:space="0"/>
            </w:tcBorders>
            <w:vAlign w:val="center"/>
          </w:tcPr>
          <w:p w14:paraId="18FA4629">
            <w:pPr>
              <w:snapToGrid w:val="0"/>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546253C8">
            <w:pPr>
              <w:snapToGrid w:val="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00%</w:t>
            </w:r>
          </w:p>
        </w:tc>
      </w:tr>
    </w:tbl>
    <w:p w14:paraId="1E362A1E">
      <w:pPr>
        <w:spacing w:line="276" w:lineRule="auto"/>
        <w:ind w:firstLine="316" w:firstLineChars="150"/>
        <w:outlineLvl w:val="1"/>
        <w:rPr>
          <w:rFonts w:hint="eastAsia" w:ascii="宋体" w:hAnsi="宋体" w:eastAsia="宋体" w:cs="Times New Roman"/>
          <w:b/>
          <w:szCs w:val="22"/>
        </w:rPr>
      </w:pPr>
      <w:bookmarkStart w:id="599" w:name="_Toc11523"/>
      <w:r>
        <w:rPr>
          <w:rFonts w:hint="eastAsia" w:ascii="宋体" w:hAnsi="宋体" w:eastAsia="宋体" w:cs="Times New Roman"/>
          <w:b/>
          <w:szCs w:val="22"/>
        </w:rPr>
        <w:t>（三）</w:t>
      </w:r>
      <w:r>
        <w:rPr>
          <w:rFonts w:hint="eastAsia" w:ascii="宋体" w:hAnsi="宋体" w:eastAsia="宋体" w:cs="Times New Roman"/>
          <w:b/>
          <w:bCs/>
          <w:szCs w:val="22"/>
        </w:rPr>
        <w:t>课程目标达成度计算方法</w:t>
      </w:r>
      <w:bookmarkEnd w:id="599"/>
    </w:p>
    <w:p w14:paraId="1EFA7041">
      <w:pPr>
        <w:spacing w:line="276" w:lineRule="auto"/>
        <w:ind w:firstLine="420" w:firstLineChars="200"/>
        <w:rPr>
          <w:rFonts w:ascii="Calibri" w:hAnsi="Calibri" w:eastAsia="宋体" w:cs="Times New Roman"/>
          <w:szCs w:val="22"/>
        </w:rPr>
      </w:pPr>
      <w:r>
        <w:rPr>
          <w:rFonts w:hint="eastAsia" w:ascii="Calibri" w:hAnsi="Calibri" w:eastAsia="宋体" w:cs="Times New Roman"/>
          <w:szCs w:val="22"/>
        </w:rPr>
        <w:t>所有课程目标均需大于等</w:t>
      </w:r>
      <w:r>
        <w:rPr>
          <w:rFonts w:hint="eastAsia" w:ascii="宋体" w:hAnsi="宋体" w:eastAsia="宋体" w:cs="Times New Roman"/>
          <w:szCs w:val="22"/>
        </w:rPr>
        <w:t>于</w:t>
      </w:r>
      <w:r>
        <w:rPr>
          <w:rFonts w:hint="eastAsia" w:ascii="宋体" w:hAnsi="宋体" w:eastAsia="宋体" w:cs="Times New Roman"/>
          <w:szCs w:val="21"/>
        </w:rPr>
        <w:t>0</w:t>
      </w:r>
      <w:r>
        <w:rPr>
          <w:rFonts w:ascii="宋体" w:hAnsi="宋体" w:eastAsia="宋体" w:cs="Times New Roman"/>
          <w:szCs w:val="21"/>
        </w:rPr>
        <w:t>.6</w:t>
      </w:r>
      <w:r>
        <w:rPr>
          <w:rFonts w:hint="eastAsia" w:ascii="Calibri" w:hAnsi="Calibri" w:eastAsia="宋体" w:cs="Times New Roman"/>
          <w:szCs w:val="22"/>
        </w:rPr>
        <w:t>，否则总评成绩不及格，需要补考或重修。每门课程目标总体达成度计算方法如下：</w:t>
      </w:r>
    </w:p>
    <w:p w14:paraId="08B13FAA">
      <w:pPr>
        <w:spacing w:line="276" w:lineRule="auto"/>
        <w:rPr>
          <w:rFonts w:ascii="Calibri" w:hAnsi="Calibri" w:eastAsia="宋体" w:cs="Times New Roman"/>
          <w:szCs w:val="21"/>
        </w:rPr>
      </w:pPr>
      <w:r>
        <w:rPr>
          <w:rFonts w:hint="eastAsia" w:ascii="Calibri" w:hAnsi="Calibri" w:eastAsia="宋体" w:cs="Times New Roman"/>
          <w:szCs w:val="21"/>
        </w:rPr>
        <w:t>课程目标达成度=</w:t>
      </w:r>
      <m:oMath>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课程子目标的权重值（</m:t>
        </m:r>
        <m:r>
          <m:rPr/>
          <w:rPr>
            <w:rFonts w:ascii="Cambria Math" w:hAnsi="Cambria Math" w:eastAsia="宋体" w:cs="Times New Roman"/>
            <w:szCs w:val="21"/>
          </w:rPr>
          <m:t>a</m:t>
        </m:r>
        <m:r>
          <m:rPr>
            <m:sty m:val="p"/>
          </m:rPr>
          <w:rPr>
            <w:rFonts w:hint="eastAsia" w:ascii="Cambria Math" w:hAnsi="Cambria Math" w:eastAsia="宋体" w:cs="Times New Roman"/>
            <w:szCs w:val="21"/>
          </w:rPr>
          <m:t>）</m:t>
        </m:r>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课程考核目标的权重值（</m:t>
        </m:r>
        <m:r>
          <m:rPr/>
          <w:rPr>
            <w:rFonts w:ascii="Cambria Math" w:hAnsi="Cambria Math" w:eastAsia="宋体" w:cs="Times New Roman"/>
            <w:szCs w:val="21"/>
          </w:rPr>
          <m:t>b</m:t>
        </m:r>
        <m:r>
          <m:rPr>
            <m:sty m:val="p"/>
          </m:rPr>
          <w:rPr>
            <w:rFonts w:hint="eastAsia" w:ascii="Cambria Math" w:hAnsi="Cambria Math" w:eastAsia="宋体" w:cs="Times New Roman"/>
            <w:szCs w:val="21"/>
          </w:rPr>
          <m:t>）</m:t>
        </m:r>
        <m:f>
          <m:fPr>
            <m:ctrlPr>
              <w:rPr>
                <w:rFonts w:ascii="Cambria Math" w:hAnsi="Cambria Math" w:eastAsia="宋体" w:cs="Times New Roman"/>
                <w:szCs w:val="21"/>
              </w:rPr>
            </m:ctrlPr>
          </m:fPr>
          <m:num>
            <m:r>
              <m:rPr/>
              <w:rPr>
                <w:rFonts w:hint="eastAsia" w:ascii="Cambria Math" w:hAnsi="Cambria Math" w:eastAsia="宋体" w:cs="Times New Roman"/>
                <w:szCs w:val="21"/>
              </w:rPr>
              <m:t>考核项目平均分</m:t>
            </m:r>
            <m:ctrlPr>
              <w:rPr>
                <w:rFonts w:ascii="Cambria Math" w:hAnsi="Cambria Math" w:eastAsia="宋体" w:cs="Times New Roman"/>
                <w:szCs w:val="21"/>
              </w:rPr>
            </m:ctrlPr>
          </m:num>
          <m:den>
            <m:r>
              <m:rPr/>
              <w:rPr>
                <w:rFonts w:hint="eastAsia" w:ascii="Cambria Math" w:hAnsi="Cambria Math" w:eastAsia="宋体" w:cs="Times New Roman"/>
                <w:szCs w:val="21"/>
              </w:rPr>
              <m:t>考核项目总分</m:t>
            </m:r>
            <m:ctrlPr>
              <w:rPr>
                <w:rFonts w:ascii="Cambria Math" w:hAnsi="Cambria Math" w:eastAsia="宋体" w:cs="Times New Roman"/>
                <w:szCs w:val="21"/>
              </w:rPr>
            </m:ctrlPr>
          </m:den>
        </m:f>
      </m:oMath>
    </w:p>
    <w:p w14:paraId="12E40C44">
      <w:pPr>
        <w:spacing w:before="62" w:beforeLines="20" w:after="62" w:afterLines="20" w:line="360" w:lineRule="auto"/>
        <w:jc w:val="left"/>
        <w:rPr>
          <w:rFonts w:ascii="Times New Roman" w:hAnsi="Times New Roman" w:eastAsia="宋体" w:cs="Times New Roman"/>
          <w:b/>
          <w:sz w:val="24"/>
        </w:rPr>
      </w:pPr>
      <w:bookmarkStart w:id="600" w:name="_Toc8769"/>
      <w:bookmarkStart w:id="601" w:name="_Toc22305"/>
      <w:bookmarkStart w:id="602" w:name="_Toc19178"/>
      <w:bookmarkStart w:id="603" w:name="_Toc11075"/>
      <w:bookmarkStart w:id="604" w:name="_Toc24658"/>
      <w:bookmarkStart w:id="605" w:name="_Toc23984"/>
      <w:bookmarkStart w:id="606" w:name="_Toc5527"/>
      <w:r>
        <w:rPr>
          <w:rFonts w:hint="eastAsia" w:ascii="Times New Roman" w:hAnsi="Times New Roman" w:eastAsia="宋体" w:cs="Times New Roman"/>
          <w:b/>
          <w:sz w:val="24"/>
        </w:rPr>
        <w:t>五、课内实践</w:t>
      </w:r>
      <w:bookmarkEnd w:id="600"/>
      <w:bookmarkEnd w:id="601"/>
      <w:bookmarkEnd w:id="602"/>
      <w:bookmarkEnd w:id="603"/>
      <w:bookmarkEnd w:id="604"/>
      <w:bookmarkEnd w:id="605"/>
      <w:bookmarkEnd w:id="606"/>
    </w:p>
    <w:p w14:paraId="51B74652">
      <w:pPr>
        <w:spacing w:line="276" w:lineRule="auto"/>
        <w:ind w:firstLine="420" w:firstLineChars="200"/>
        <w:rPr>
          <w:rFonts w:ascii="Calibri" w:hAnsi="Calibri" w:eastAsia="宋体" w:cs="Times New Roman"/>
          <w:bCs/>
          <w:szCs w:val="22"/>
        </w:rPr>
      </w:pPr>
      <w:r>
        <w:rPr>
          <w:rFonts w:hint="eastAsia" w:ascii="Calibri" w:hAnsi="Calibri" w:eastAsia="宋体" w:cs="Times New Roman"/>
          <w:bCs/>
          <w:szCs w:val="22"/>
        </w:rPr>
        <w:t>无</w:t>
      </w:r>
    </w:p>
    <w:p w14:paraId="7F11ABC6">
      <w:pPr>
        <w:spacing w:before="62" w:beforeLines="20" w:after="62" w:afterLines="20" w:line="360" w:lineRule="auto"/>
        <w:jc w:val="left"/>
        <w:rPr>
          <w:rFonts w:ascii="Times New Roman" w:hAnsi="Times New Roman" w:eastAsia="宋体" w:cs="Times New Roman"/>
          <w:b/>
          <w:sz w:val="24"/>
        </w:rPr>
      </w:pPr>
      <w:bookmarkStart w:id="607" w:name="_Toc5008"/>
      <w:bookmarkStart w:id="608" w:name="_Toc31066"/>
      <w:bookmarkStart w:id="609" w:name="_Toc1176"/>
      <w:bookmarkStart w:id="610" w:name="_Toc3845"/>
      <w:bookmarkStart w:id="611" w:name="_Toc21406"/>
      <w:bookmarkStart w:id="612" w:name="_Toc8218"/>
      <w:bookmarkStart w:id="613" w:name="_Toc29182"/>
      <w:r>
        <w:rPr>
          <w:rFonts w:hint="eastAsia" w:ascii="Times New Roman" w:hAnsi="Times New Roman" w:eastAsia="宋体" w:cs="Times New Roman"/>
          <w:b/>
          <w:sz w:val="24"/>
        </w:rPr>
        <w:t>六</w:t>
      </w:r>
      <w:r>
        <w:rPr>
          <w:rFonts w:ascii="Times New Roman" w:hAnsi="Times New Roman" w:eastAsia="宋体" w:cs="Times New Roman"/>
          <w:b/>
          <w:sz w:val="24"/>
        </w:rPr>
        <w:t>、</w:t>
      </w:r>
      <w:r>
        <w:rPr>
          <w:rFonts w:hint="eastAsia" w:ascii="Times New Roman" w:hAnsi="Times New Roman" w:eastAsia="宋体" w:cs="Times New Roman"/>
          <w:b/>
          <w:sz w:val="24"/>
        </w:rPr>
        <w:t>有关说明</w:t>
      </w:r>
      <w:bookmarkEnd w:id="607"/>
      <w:bookmarkEnd w:id="608"/>
      <w:bookmarkEnd w:id="609"/>
      <w:bookmarkEnd w:id="610"/>
      <w:bookmarkEnd w:id="611"/>
      <w:bookmarkEnd w:id="612"/>
      <w:bookmarkEnd w:id="613"/>
    </w:p>
    <w:p w14:paraId="63F7D206">
      <w:pPr>
        <w:spacing w:line="360" w:lineRule="auto"/>
        <w:ind w:firstLine="422" w:firstLineChars="200"/>
        <w:outlineLvl w:val="1"/>
        <w:rPr>
          <w:rFonts w:ascii="Calibri" w:hAnsi="Calibri" w:eastAsia="宋体" w:cs="Times New Roman"/>
          <w:b/>
          <w:szCs w:val="22"/>
        </w:rPr>
      </w:pPr>
      <w:bookmarkStart w:id="614" w:name="_Toc5386"/>
      <w:r>
        <w:rPr>
          <w:rFonts w:hint="eastAsia" w:ascii="Calibri" w:hAnsi="Calibri" w:eastAsia="宋体" w:cs="Times New Roman"/>
          <w:b/>
          <w:szCs w:val="22"/>
        </w:rPr>
        <w:t>（一）持续改进</w:t>
      </w:r>
      <w:bookmarkEnd w:id="614"/>
    </w:p>
    <w:p w14:paraId="35411D34">
      <w:pPr>
        <w:spacing w:line="360" w:lineRule="auto"/>
        <w:ind w:firstLine="420" w:firstLineChars="200"/>
        <w:rPr>
          <w:rFonts w:ascii="Calibri" w:hAnsi="Calibri" w:eastAsia="宋体" w:cs="Times New Roman"/>
          <w:szCs w:val="22"/>
        </w:rPr>
      </w:pPr>
      <w:r>
        <w:rPr>
          <w:rFonts w:ascii="Calibri" w:hAnsi="Calibri" w:eastAsia="宋体" w:cs="Times New Roman"/>
          <w:szCs w:val="22"/>
        </w:rPr>
        <w:t>本课程根据学生作业、课堂讨论、</w:t>
      </w:r>
      <w:r>
        <w:rPr>
          <w:rFonts w:hint="eastAsia" w:ascii="Calibri" w:hAnsi="Calibri" w:eastAsia="宋体" w:cs="Times New Roman"/>
          <w:szCs w:val="22"/>
        </w:rPr>
        <w:t>教学</w:t>
      </w:r>
      <w:r>
        <w:rPr>
          <w:rFonts w:ascii="Calibri" w:hAnsi="Calibri" w:eastAsia="宋体" w:cs="Times New Roman"/>
          <w:szCs w:val="22"/>
        </w:rPr>
        <w:t>环节、平时考核情况和学生、教学督导等</w:t>
      </w:r>
      <w:r>
        <w:rPr>
          <w:rFonts w:hint="eastAsia" w:ascii="Calibri" w:hAnsi="Calibri" w:eastAsia="宋体" w:cs="Times New Roman"/>
          <w:szCs w:val="22"/>
        </w:rPr>
        <w:t>的</w:t>
      </w:r>
      <w:r>
        <w:rPr>
          <w:rFonts w:ascii="Calibri" w:hAnsi="Calibri" w:eastAsia="宋体" w:cs="Times New Roman"/>
          <w:szCs w:val="22"/>
        </w:rPr>
        <w:t>反馈，及时对教学中</w:t>
      </w:r>
      <w:r>
        <w:rPr>
          <w:rFonts w:hint="eastAsia" w:ascii="Calibri" w:hAnsi="Calibri" w:eastAsia="宋体" w:cs="Times New Roman"/>
          <w:szCs w:val="22"/>
        </w:rPr>
        <w:t>的</w:t>
      </w:r>
      <w:r>
        <w:rPr>
          <w:rFonts w:ascii="Calibri" w:hAnsi="Calibri" w:eastAsia="宋体" w:cs="Times New Roman"/>
          <w:szCs w:val="22"/>
        </w:rPr>
        <w:t>不足之处进行改进，并在下一轮课程教学中</w:t>
      </w:r>
      <w:r>
        <w:rPr>
          <w:rFonts w:hint="eastAsia" w:ascii="Calibri" w:hAnsi="Calibri" w:eastAsia="宋体" w:cs="Times New Roman"/>
          <w:szCs w:val="22"/>
        </w:rPr>
        <w:t>整改完善</w:t>
      </w:r>
      <w:r>
        <w:rPr>
          <w:rFonts w:ascii="Calibri" w:hAnsi="Calibri" w:eastAsia="宋体" w:cs="Times New Roman"/>
          <w:szCs w:val="22"/>
        </w:rPr>
        <w:t>，确保相应毕业要求指标点达成。</w:t>
      </w:r>
    </w:p>
    <w:p w14:paraId="1E0A1262">
      <w:pPr>
        <w:spacing w:line="360" w:lineRule="auto"/>
        <w:ind w:firstLine="422" w:firstLineChars="200"/>
        <w:outlineLvl w:val="1"/>
        <w:rPr>
          <w:rFonts w:ascii="Calibri" w:hAnsi="Calibri" w:eastAsia="宋体" w:cs="Times New Roman"/>
          <w:b/>
          <w:szCs w:val="22"/>
        </w:rPr>
      </w:pPr>
      <w:bookmarkStart w:id="615" w:name="_Toc21274"/>
      <w:r>
        <w:rPr>
          <w:rFonts w:hint="eastAsia" w:ascii="Calibri" w:hAnsi="Calibri" w:eastAsia="宋体" w:cs="Times New Roman"/>
          <w:b/>
          <w:szCs w:val="22"/>
        </w:rPr>
        <w:t>（二）建议教材</w:t>
      </w:r>
      <w:bookmarkEnd w:id="615"/>
    </w:p>
    <w:p w14:paraId="036FFFD0">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钱焕琦</w:t>
      </w:r>
      <w:r>
        <w:rPr>
          <w:rFonts w:ascii="宋体" w:hAnsi="宋体" w:eastAsia="宋体" w:cs="Times New Roman"/>
          <w:szCs w:val="22"/>
        </w:rPr>
        <w:t>.</w:t>
      </w:r>
      <w:r>
        <w:rPr>
          <w:rFonts w:hint="eastAsia" w:ascii="宋体" w:hAnsi="宋体" w:eastAsia="宋体" w:cs="Times New Roman"/>
          <w:szCs w:val="22"/>
        </w:rPr>
        <w:t>教师职业道德（第四版）.华东师范大学出版社，2</w:t>
      </w:r>
      <w:r>
        <w:rPr>
          <w:rFonts w:ascii="宋体" w:hAnsi="宋体" w:eastAsia="宋体" w:cs="Times New Roman"/>
          <w:szCs w:val="22"/>
        </w:rPr>
        <w:t>020</w:t>
      </w:r>
      <w:r>
        <w:rPr>
          <w:rFonts w:hint="eastAsia" w:ascii="宋体" w:hAnsi="宋体" w:eastAsia="宋体" w:cs="Times New Roman"/>
          <w:szCs w:val="22"/>
        </w:rPr>
        <w:t>年8月</w:t>
      </w:r>
      <w:r>
        <w:rPr>
          <w:rFonts w:ascii="宋体" w:hAnsi="宋体" w:eastAsia="宋体" w:cs="Times New Roman"/>
          <w:szCs w:val="22"/>
        </w:rPr>
        <w:t>.</w:t>
      </w:r>
    </w:p>
    <w:p w14:paraId="7AB5899A">
      <w:pPr>
        <w:spacing w:line="360" w:lineRule="auto"/>
        <w:ind w:firstLine="422" w:firstLineChars="200"/>
        <w:outlineLvl w:val="1"/>
        <w:rPr>
          <w:rFonts w:hint="eastAsia" w:ascii="宋体" w:hAnsi="宋体" w:eastAsia="宋体" w:cs="Times New Roman"/>
          <w:b/>
          <w:bCs/>
          <w:szCs w:val="22"/>
        </w:rPr>
      </w:pPr>
      <w:bookmarkStart w:id="616" w:name="_Toc15485"/>
      <w:r>
        <w:rPr>
          <w:rFonts w:hint="eastAsia" w:ascii="宋体" w:hAnsi="宋体" w:eastAsia="宋体" w:cs="Times New Roman"/>
          <w:b/>
          <w:bCs/>
          <w:szCs w:val="22"/>
        </w:rPr>
        <w:t>（三）参考书目</w:t>
      </w:r>
      <w:bookmarkEnd w:id="616"/>
    </w:p>
    <w:p w14:paraId="216CDE3F">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1</w:t>
      </w:r>
      <w:r>
        <w:rPr>
          <w:rFonts w:ascii="宋体" w:hAnsi="宋体" w:eastAsia="宋体" w:cs="Times New Roman"/>
          <w:szCs w:val="22"/>
        </w:rPr>
        <w:t>.</w:t>
      </w:r>
      <w:r>
        <w:rPr>
          <w:rFonts w:hint="eastAsia" w:ascii="宋体" w:hAnsi="宋体" w:eastAsia="宋体" w:cs="Times New Roman"/>
          <w:szCs w:val="22"/>
        </w:rPr>
        <w:t>刘亭亭</w:t>
      </w:r>
      <w:r>
        <w:rPr>
          <w:rFonts w:ascii="宋体" w:hAnsi="宋体" w:eastAsia="宋体" w:cs="Times New Roman"/>
          <w:szCs w:val="22"/>
        </w:rPr>
        <w:t>.</w:t>
      </w:r>
      <w:r>
        <w:rPr>
          <w:rFonts w:hint="eastAsia" w:ascii="宋体" w:hAnsi="宋体" w:eastAsia="宋体" w:cs="Times New Roman"/>
          <w:szCs w:val="22"/>
        </w:rPr>
        <w:t>教师职业道德</w:t>
      </w:r>
      <w:r>
        <w:rPr>
          <w:rFonts w:ascii="宋体" w:hAnsi="宋体" w:eastAsia="宋体" w:cs="Times New Roman"/>
          <w:szCs w:val="22"/>
        </w:rPr>
        <w:t>.</w:t>
      </w:r>
      <w:r>
        <w:rPr>
          <w:rFonts w:hint="eastAsia" w:ascii="宋体" w:hAnsi="宋体" w:eastAsia="宋体" w:cs="Times New Roman"/>
          <w:szCs w:val="22"/>
        </w:rPr>
        <w:t>北京大学出版社，2</w:t>
      </w:r>
      <w:r>
        <w:rPr>
          <w:rFonts w:ascii="宋体" w:hAnsi="宋体" w:eastAsia="宋体" w:cs="Times New Roman"/>
          <w:szCs w:val="22"/>
        </w:rPr>
        <w:t>017.</w:t>
      </w:r>
    </w:p>
    <w:p w14:paraId="6896CFC1">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2</w:t>
      </w:r>
      <w:r>
        <w:rPr>
          <w:rFonts w:ascii="宋体" w:hAnsi="宋体" w:eastAsia="宋体" w:cs="Times New Roman"/>
          <w:szCs w:val="22"/>
        </w:rPr>
        <w:t>.</w:t>
      </w:r>
      <w:r>
        <w:rPr>
          <w:rFonts w:hint="eastAsia" w:ascii="宋体" w:hAnsi="宋体" w:eastAsia="宋体" w:cs="Times New Roman"/>
          <w:szCs w:val="22"/>
        </w:rPr>
        <w:t>檀传宝.教师职业道德.北京师范大学出版社，2</w:t>
      </w:r>
      <w:r>
        <w:rPr>
          <w:rFonts w:ascii="宋体" w:hAnsi="宋体" w:eastAsia="宋体" w:cs="Times New Roman"/>
          <w:szCs w:val="22"/>
        </w:rPr>
        <w:t>015.</w:t>
      </w:r>
    </w:p>
    <w:p w14:paraId="7CAD1A24">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3</w:t>
      </w:r>
      <w:r>
        <w:rPr>
          <w:rFonts w:ascii="宋体" w:hAnsi="宋体" w:eastAsia="宋体" w:cs="Times New Roman"/>
          <w:szCs w:val="22"/>
        </w:rPr>
        <w:t>.</w:t>
      </w:r>
      <w:r>
        <w:rPr>
          <w:rFonts w:hint="eastAsia" w:ascii="宋体" w:hAnsi="宋体" w:eastAsia="宋体" w:cs="Times New Roman"/>
          <w:szCs w:val="22"/>
        </w:rPr>
        <w:t>檀传宝</w:t>
      </w:r>
      <w:r>
        <w:rPr>
          <w:rFonts w:ascii="宋体" w:hAnsi="宋体" w:eastAsia="宋体" w:cs="Times New Roman"/>
          <w:szCs w:val="22"/>
        </w:rPr>
        <w:t>.</w:t>
      </w:r>
      <w:r>
        <w:rPr>
          <w:rFonts w:hint="eastAsia" w:ascii="宋体" w:hAnsi="宋体" w:eastAsia="宋体" w:cs="Times New Roman"/>
          <w:szCs w:val="22"/>
        </w:rPr>
        <w:t>教师专业伦理基础与实践，华东师范大学出版社，2</w:t>
      </w:r>
      <w:r>
        <w:rPr>
          <w:rFonts w:ascii="宋体" w:hAnsi="宋体" w:eastAsia="宋体" w:cs="Times New Roman"/>
          <w:szCs w:val="22"/>
        </w:rPr>
        <w:t>016.</w:t>
      </w:r>
    </w:p>
    <w:p w14:paraId="17D0E106">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4</w:t>
      </w:r>
      <w:r>
        <w:rPr>
          <w:rFonts w:ascii="宋体" w:hAnsi="宋体" w:eastAsia="宋体" w:cs="Times New Roman"/>
          <w:szCs w:val="22"/>
        </w:rPr>
        <w:t>.</w:t>
      </w:r>
      <w:r>
        <w:rPr>
          <w:rFonts w:hint="eastAsia" w:ascii="宋体" w:hAnsi="宋体" w:eastAsia="宋体" w:cs="Times New Roman"/>
          <w:szCs w:val="22"/>
        </w:rPr>
        <w:t>肯尼斯·斯特赖克</w:t>
      </w:r>
      <w:r>
        <w:rPr>
          <w:rFonts w:ascii="宋体" w:hAnsi="宋体" w:eastAsia="宋体" w:cs="Times New Roman"/>
          <w:szCs w:val="22"/>
        </w:rPr>
        <w:t>.</w:t>
      </w:r>
      <w:r>
        <w:rPr>
          <w:rFonts w:hint="eastAsia" w:ascii="宋体" w:hAnsi="宋体" w:eastAsia="宋体" w:cs="Times New Roman"/>
          <w:szCs w:val="22"/>
        </w:rPr>
        <w:t>教学伦理</w:t>
      </w:r>
      <w:r>
        <w:rPr>
          <w:rFonts w:ascii="宋体" w:hAnsi="宋体" w:eastAsia="宋体" w:cs="Times New Roman"/>
          <w:szCs w:val="22"/>
        </w:rPr>
        <w:t>.</w:t>
      </w:r>
      <w:r>
        <w:rPr>
          <w:rFonts w:hint="eastAsia" w:ascii="宋体" w:hAnsi="宋体" w:eastAsia="宋体" w:cs="Times New Roman"/>
          <w:szCs w:val="22"/>
        </w:rPr>
        <w:t>黄向阳译</w:t>
      </w:r>
      <w:r>
        <w:rPr>
          <w:rFonts w:ascii="宋体" w:hAnsi="宋体" w:eastAsia="宋体" w:cs="Times New Roman"/>
          <w:szCs w:val="22"/>
        </w:rPr>
        <w:t>.</w:t>
      </w:r>
      <w:r>
        <w:rPr>
          <w:rFonts w:hint="eastAsia" w:ascii="宋体" w:hAnsi="宋体" w:eastAsia="宋体" w:cs="Times New Roman"/>
          <w:szCs w:val="22"/>
        </w:rPr>
        <w:t>华东师范大学出版社，2</w:t>
      </w:r>
      <w:r>
        <w:rPr>
          <w:rFonts w:ascii="宋体" w:hAnsi="宋体" w:eastAsia="宋体" w:cs="Times New Roman"/>
          <w:szCs w:val="22"/>
        </w:rPr>
        <w:t>018.</w:t>
      </w:r>
    </w:p>
    <w:p w14:paraId="43556617">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5</w:t>
      </w:r>
      <w:r>
        <w:rPr>
          <w:rFonts w:ascii="宋体" w:hAnsi="宋体" w:eastAsia="宋体" w:cs="Times New Roman"/>
          <w:szCs w:val="22"/>
        </w:rPr>
        <w:t>.</w:t>
      </w:r>
      <w:r>
        <w:rPr>
          <w:rFonts w:hint="eastAsia" w:ascii="宋体" w:hAnsi="宋体" w:eastAsia="宋体" w:cs="Times New Roman"/>
          <w:szCs w:val="22"/>
        </w:rPr>
        <w:t>刘建华</w:t>
      </w:r>
      <w:r>
        <w:rPr>
          <w:rFonts w:ascii="宋体" w:hAnsi="宋体" w:eastAsia="宋体" w:cs="Times New Roman"/>
          <w:szCs w:val="22"/>
        </w:rPr>
        <w:t>.</w:t>
      </w:r>
      <w:r>
        <w:rPr>
          <w:rFonts w:hint="eastAsia" w:ascii="宋体" w:hAnsi="宋体" w:eastAsia="宋体" w:cs="Times New Roman"/>
          <w:szCs w:val="22"/>
        </w:rPr>
        <w:t>师生交往论</w:t>
      </w:r>
      <w:r>
        <w:rPr>
          <w:rFonts w:ascii="宋体" w:hAnsi="宋体" w:eastAsia="宋体" w:cs="Times New Roman"/>
          <w:szCs w:val="22"/>
        </w:rPr>
        <w:t>.</w:t>
      </w:r>
      <w:r>
        <w:rPr>
          <w:rFonts w:hint="eastAsia" w:ascii="宋体" w:hAnsi="宋体" w:eastAsia="宋体" w:cs="Times New Roman"/>
          <w:szCs w:val="22"/>
        </w:rPr>
        <w:t>北京师范大学出版社，2</w:t>
      </w:r>
      <w:r>
        <w:rPr>
          <w:rFonts w:ascii="宋体" w:hAnsi="宋体" w:eastAsia="宋体" w:cs="Times New Roman"/>
          <w:szCs w:val="22"/>
        </w:rPr>
        <w:t>011.</w:t>
      </w:r>
    </w:p>
    <w:p w14:paraId="3E3A6210">
      <w:pPr>
        <w:spacing w:line="360" w:lineRule="auto"/>
        <w:ind w:firstLine="525" w:firstLineChars="250"/>
        <w:rPr>
          <w:rFonts w:hint="eastAsia" w:ascii="宋体" w:hAnsi="宋体" w:eastAsia="宋体" w:cs="Times New Roman"/>
          <w:szCs w:val="22"/>
        </w:rPr>
      </w:pPr>
      <w:r>
        <w:rPr>
          <w:rFonts w:hint="eastAsia" w:ascii="宋体" w:hAnsi="宋体" w:eastAsia="宋体" w:cs="Times New Roman"/>
          <w:szCs w:val="22"/>
        </w:rPr>
        <w:t>6</w:t>
      </w:r>
      <w:r>
        <w:rPr>
          <w:rFonts w:ascii="宋体" w:hAnsi="宋体" w:eastAsia="宋体" w:cs="Times New Roman"/>
          <w:szCs w:val="22"/>
        </w:rPr>
        <w:t>.</w:t>
      </w:r>
      <w:r>
        <w:rPr>
          <w:rFonts w:hint="eastAsia" w:ascii="宋体" w:hAnsi="宋体" w:eastAsia="宋体" w:cs="Times New Roman"/>
          <w:szCs w:val="22"/>
        </w:rPr>
        <w:t>陈娇云</w:t>
      </w:r>
      <w:r>
        <w:rPr>
          <w:rFonts w:ascii="宋体" w:hAnsi="宋体" w:eastAsia="宋体" w:cs="Times New Roman"/>
          <w:szCs w:val="22"/>
        </w:rPr>
        <w:t>,</w:t>
      </w:r>
      <w:r>
        <w:rPr>
          <w:rFonts w:hint="eastAsia" w:ascii="宋体" w:hAnsi="宋体" w:eastAsia="宋体" w:cs="Times New Roman"/>
          <w:szCs w:val="22"/>
        </w:rPr>
        <w:t>汪荣有</w:t>
      </w:r>
      <w:r>
        <w:rPr>
          <w:rFonts w:ascii="宋体" w:hAnsi="宋体" w:eastAsia="宋体" w:cs="Times New Roman"/>
          <w:szCs w:val="22"/>
        </w:rPr>
        <w:t>.</w:t>
      </w:r>
      <w:r>
        <w:rPr>
          <w:rFonts w:hint="eastAsia" w:ascii="宋体" w:hAnsi="宋体" w:eastAsia="宋体" w:cs="Times New Roman"/>
          <w:szCs w:val="22"/>
        </w:rPr>
        <w:t>教育伦理与教育公正——社会主义和谐社会视野下的教育热点探析，安徽大学出版社，2</w:t>
      </w:r>
      <w:r>
        <w:rPr>
          <w:rFonts w:ascii="宋体" w:hAnsi="宋体" w:eastAsia="宋体" w:cs="Times New Roman"/>
          <w:szCs w:val="22"/>
        </w:rPr>
        <w:t>015.</w:t>
      </w:r>
    </w:p>
    <w:p w14:paraId="60D0D441">
      <w:pPr>
        <w:spacing w:line="276" w:lineRule="auto"/>
        <w:rPr>
          <w:rFonts w:hint="eastAsia" w:ascii="宋体" w:hAnsi="宋体" w:eastAsia="宋体" w:cs="Times New Roman"/>
          <w:szCs w:val="22"/>
        </w:rPr>
      </w:pPr>
    </w:p>
    <w:p w14:paraId="466BB6A7">
      <w:pPr>
        <w:autoSpaceDE w:val="0"/>
        <w:autoSpaceDN w:val="0"/>
        <w:adjustRightInd w:val="0"/>
        <w:spacing w:line="276" w:lineRule="auto"/>
        <w:ind w:firstLine="4620" w:firstLineChars="2200"/>
        <w:jc w:val="right"/>
        <w:rPr>
          <w:rFonts w:hint="eastAsia" w:ascii="宋体" w:hAnsi="宋体" w:eastAsia="宋体" w:cs="Times New Roman"/>
          <w:kern w:val="0"/>
          <w:szCs w:val="21"/>
        </w:rPr>
      </w:pPr>
      <w:r>
        <w:rPr>
          <w:rFonts w:ascii="宋体" w:hAnsi="宋体" w:eastAsia="宋体" w:cs="Times New Roman"/>
          <w:kern w:val="0"/>
          <w:szCs w:val="21"/>
        </w:rPr>
        <w:t>执笔人：</w:t>
      </w:r>
      <w:r>
        <w:rPr>
          <w:rFonts w:hint="eastAsia" w:ascii="宋体" w:hAnsi="宋体" w:eastAsia="宋体" w:cs="Times New Roman"/>
          <w:kern w:val="0"/>
          <w:szCs w:val="21"/>
        </w:rPr>
        <w:t>王雅丽</w:t>
      </w:r>
    </w:p>
    <w:p w14:paraId="2D4AF3DE">
      <w:pPr>
        <w:autoSpaceDE w:val="0"/>
        <w:autoSpaceDN w:val="0"/>
        <w:adjustRightInd w:val="0"/>
        <w:spacing w:line="276" w:lineRule="auto"/>
        <w:ind w:firstLine="4620" w:firstLineChars="2200"/>
        <w:jc w:val="right"/>
        <w:rPr>
          <w:rFonts w:hint="eastAsia" w:ascii="宋体" w:hAnsi="宋体" w:eastAsia="宋体" w:cs="Times New Roman"/>
          <w:kern w:val="0"/>
          <w:szCs w:val="21"/>
        </w:rPr>
      </w:pPr>
      <w:r>
        <w:rPr>
          <w:rFonts w:ascii="宋体" w:hAnsi="宋体" w:eastAsia="宋体" w:cs="Times New Roman"/>
          <w:kern w:val="0"/>
          <w:szCs w:val="21"/>
        </w:rPr>
        <w:t>审定人：</w:t>
      </w:r>
      <w:r>
        <w:rPr>
          <w:rFonts w:hint="eastAsia" w:ascii="宋体" w:hAnsi="宋体" w:eastAsia="宋体" w:cs="Times New Roman"/>
          <w:kern w:val="0"/>
          <w:szCs w:val="21"/>
        </w:rPr>
        <w:t>王  健</w:t>
      </w:r>
    </w:p>
    <w:p w14:paraId="2F7A6544">
      <w:pPr>
        <w:autoSpaceDE w:val="0"/>
        <w:autoSpaceDN w:val="0"/>
        <w:adjustRightInd w:val="0"/>
        <w:spacing w:line="276" w:lineRule="auto"/>
        <w:ind w:firstLine="4620" w:firstLineChars="2200"/>
        <w:jc w:val="right"/>
        <w:rPr>
          <w:rFonts w:hint="eastAsia" w:ascii="宋体" w:hAnsi="宋体" w:eastAsia="宋体" w:cs="Times New Roman"/>
          <w:kern w:val="0"/>
          <w:szCs w:val="21"/>
        </w:rPr>
      </w:pPr>
      <w:r>
        <w:rPr>
          <w:rFonts w:hint="eastAsia" w:ascii="宋体" w:hAnsi="宋体" w:eastAsia="宋体" w:cs="Times New Roman"/>
          <w:kern w:val="0"/>
          <w:szCs w:val="21"/>
        </w:rPr>
        <w:t>审批</w:t>
      </w:r>
      <w:r>
        <w:rPr>
          <w:rFonts w:ascii="宋体" w:hAnsi="宋体" w:eastAsia="宋体" w:cs="Times New Roman"/>
          <w:kern w:val="0"/>
          <w:szCs w:val="21"/>
        </w:rPr>
        <w:t>人：</w:t>
      </w:r>
      <w:r>
        <w:rPr>
          <w:rFonts w:hint="eastAsia" w:ascii="宋体" w:hAnsi="宋体" w:eastAsia="宋体" w:cs="Times New Roman"/>
          <w:kern w:val="0"/>
          <w:szCs w:val="21"/>
        </w:rPr>
        <w:t>张志欣</w:t>
      </w:r>
    </w:p>
    <w:p w14:paraId="058B9E79">
      <w:pPr>
        <w:autoSpaceDE w:val="0"/>
        <w:autoSpaceDN w:val="0"/>
        <w:adjustRightInd w:val="0"/>
        <w:spacing w:line="276" w:lineRule="auto"/>
        <w:ind w:firstLine="4620" w:firstLineChars="2200"/>
        <w:jc w:val="right"/>
        <w:rPr>
          <w:rFonts w:hint="eastAsia" w:ascii="宋体" w:hAnsi="宋体" w:eastAsia="宋体" w:cs="Times New Roman"/>
          <w:kern w:val="0"/>
          <w:szCs w:val="21"/>
        </w:rPr>
      </w:pPr>
      <w:r>
        <w:rPr>
          <w:rFonts w:hint="eastAsia" w:ascii="宋体" w:hAnsi="宋体" w:eastAsia="宋体" w:cs="Times New Roman"/>
          <w:kern w:val="0"/>
          <w:szCs w:val="21"/>
        </w:rPr>
        <w:t>批准时间：2025年7月1日</w:t>
      </w:r>
    </w:p>
    <w:p w14:paraId="584B4758">
      <w:pPr>
        <w:jc w:val="right"/>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5AFCEE6F">
      <w:pPr>
        <w:spacing w:line="360" w:lineRule="auto"/>
        <w:jc w:val="center"/>
        <w:outlineLvl w:val="0"/>
        <w:rPr>
          <w:rFonts w:ascii="Times New Roman" w:hAnsi="Times New Roman" w:eastAsia="宋体" w:cs="Times New Roman"/>
          <w:b/>
          <w:sz w:val="44"/>
          <w:szCs w:val="44"/>
        </w:rPr>
      </w:pPr>
      <w:bookmarkStart w:id="617" w:name="_Toc24535"/>
      <w:bookmarkStart w:id="618" w:name="_Toc8475"/>
      <w:bookmarkStart w:id="619" w:name="_Toc2572"/>
      <w:bookmarkStart w:id="620" w:name="_Toc29424"/>
      <w:r>
        <w:rPr>
          <w:rFonts w:hint="eastAsia" w:ascii="Times New Roman" w:hAnsi="Times New Roman" w:eastAsia="宋体" w:cs="Times New Roman"/>
          <w:b/>
          <w:sz w:val="44"/>
          <w:szCs w:val="44"/>
        </w:rPr>
        <w:t>《课程与教学论》课程教学大纲</w:t>
      </w:r>
      <w:bookmarkEnd w:id="617"/>
      <w:bookmarkEnd w:id="618"/>
      <w:bookmarkEnd w:id="619"/>
      <w:bookmarkEnd w:id="620"/>
    </w:p>
    <w:p w14:paraId="3453EEA5">
      <w:pPr>
        <w:spacing w:line="360" w:lineRule="auto"/>
        <w:jc w:val="center"/>
        <w:rPr>
          <w:rFonts w:ascii="Times New Roman" w:hAnsi="Times New Roman" w:eastAsia="宋体" w:cs="Times New Roman"/>
          <w:b/>
          <w:bCs/>
          <w:sz w:val="28"/>
          <w:szCs w:val="28"/>
        </w:rPr>
      </w:pPr>
      <w:bookmarkStart w:id="621" w:name="_Toc26341"/>
      <w:bookmarkStart w:id="622" w:name="_Toc19158"/>
      <w:bookmarkStart w:id="623" w:name="_Toc11453"/>
      <w:bookmarkStart w:id="624" w:name="_Toc14699"/>
      <w:bookmarkStart w:id="625" w:name="_Toc13069"/>
      <w:bookmarkStart w:id="626" w:name="_Toc5404"/>
      <w:bookmarkStart w:id="627" w:name="_Toc23450"/>
      <w:r>
        <w:rPr>
          <w:rFonts w:ascii="Times New Roman" w:hAnsi="Times New Roman" w:eastAsia="宋体" w:cs="Times New Roman"/>
          <w:b/>
          <w:bCs/>
          <w:sz w:val="28"/>
          <w:szCs w:val="28"/>
        </w:rPr>
        <w:t>（Curriculum and Teaching Methodology）</w:t>
      </w:r>
      <w:bookmarkEnd w:id="621"/>
      <w:bookmarkEnd w:id="622"/>
      <w:bookmarkEnd w:id="623"/>
      <w:bookmarkEnd w:id="624"/>
      <w:bookmarkEnd w:id="625"/>
      <w:bookmarkEnd w:id="626"/>
      <w:bookmarkEnd w:id="627"/>
    </w:p>
    <w:p w14:paraId="12F6ED03">
      <w:pPr>
        <w:spacing w:line="360" w:lineRule="auto"/>
        <w:jc w:val="center"/>
        <w:rPr>
          <w:rFonts w:ascii="Times New Roman" w:hAnsi="Times New Roman" w:eastAsia="宋体" w:cs="Times New Roman"/>
          <w:bCs/>
          <w:sz w:val="30"/>
          <w:szCs w:val="30"/>
        </w:rPr>
      </w:pPr>
    </w:p>
    <w:p w14:paraId="25EF40FE">
      <w:pPr>
        <w:spacing w:line="360" w:lineRule="auto"/>
        <w:ind w:firstLine="482" w:firstLineChars="200"/>
        <w:jc w:val="left"/>
        <w:rPr>
          <w:rFonts w:ascii="Times New Roman" w:hAnsi="Times New Roman" w:eastAsia="宋体" w:cs="Times New Roman"/>
          <w:bCs/>
          <w:sz w:val="24"/>
        </w:rPr>
      </w:pPr>
      <w:r>
        <w:rPr>
          <w:rFonts w:hint="eastAsia" w:ascii="Times New Roman" w:hAnsi="Times New Roman" w:eastAsia="宋体" w:cs="Times New Roman"/>
          <w:b/>
          <w:sz w:val="24"/>
        </w:rPr>
        <w:t>课程名称：</w:t>
      </w:r>
      <w:r>
        <w:rPr>
          <w:rFonts w:hint="eastAsia" w:ascii="Times New Roman" w:hAnsi="Times New Roman" w:eastAsia="宋体" w:cs="Times New Roman"/>
          <w:bCs/>
          <w:sz w:val="24"/>
        </w:rPr>
        <w:t>课程与教学论</w:t>
      </w:r>
    </w:p>
    <w:p w14:paraId="669D0CE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sz w:val="24"/>
        </w:rPr>
        <w:t>2401010</w:t>
      </w:r>
    </w:p>
    <w:p w14:paraId="32045EA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Times New Roman" w:hAnsi="Times New Roman" w:eastAsia="宋体" w:cs="Times New Roman"/>
          <w:sz w:val="24"/>
        </w:rPr>
        <w:t>2</w:t>
      </w:r>
    </w:p>
    <w:p w14:paraId="6CAFB54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sz w:val="24"/>
        </w:rPr>
        <w:t>32</w:t>
      </w:r>
      <w:r>
        <w:rPr>
          <w:rFonts w:ascii="Times New Roman" w:hAnsi="Times New Roman" w:eastAsia="宋体" w:cs="Times New Roman"/>
          <w:sz w:val="24"/>
        </w:rPr>
        <w:t>（其中：讲授学时20</w:t>
      </w:r>
      <w:r>
        <w:rPr>
          <w:rFonts w:hint="eastAsia" w:ascii="Times New Roman" w:hAnsi="Times New Roman" w:eastAsia="宋体" w:cs="Times New Roman"/>
          <w:sz w:val="24"/>
        </w:rPr>
        <w:t>，</w:t>
      </w:r>
      <w:r>
        <w:rPr>
          <w:rFonts w:ascii="Times New Roman" w:hAnsi="Times New Roman" w:eastAsia="宋体" w:cs="Times New Roman"/>
          <w:sz w:val="24"/>
        </w:rPr>
        <w:t xml:space="preserve"> </w:t>
      </w:r>
      <w:r>
        <w:rPr>
          <w:rFonts w:hint="eastAsia" w:ascii="Times New Roman" w:hAnsi="Times New Roman" w:eastAsia="宋体" w:cs="Times New Roman"/>
          <w:sz w:val="24"/>
        </w:rPr>
        <w:t>实践</w:t>
      </w:r>
      <w:r>
        <w:rPr>
          <w:rFonts w:ascii="Times New Roman" w:hAnsi="Times New Roman" w:eastAsia="宋体" w:cs="Times New Roman"/>
          <w:sz w:val="24"/>
        </w:rPr>
        <w:t>学时12）</w:t>
      </w:r>
    </w:p>
    <w:p w14:paraId="2BCA871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hint="eastAsia" w:ascii="Times New Roman" w:hAnsi="Times New Roman" w:eastAsia="宋体" w:cs="Times New Roman"/>
          <w:bCs/>
          <w:sz w:val="24"/>
        </w:rPr>
        <w:t>教育原理、教育心理学、中外教育史</w:t>
      </w:r>
    </w:p>
    <w:p w14:paraId="13AD419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w:t>
      </w:r>
      <w:r>
        <w:rPr>
          <w:rFonts w:hint="eastAsia" w:ascii="Times New Roman" w:hAnsi="Times New Roman" w:eastAsia="宋体" w:cs="Times New Roman"/>
          <w:sz w:val="24"/>
        </w:rPr>
        <w:t>小学教育</w:t>
      </w:r>
    </w:p>
    <w:p w14:paraId="78BB1014">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3B64CC9F">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是“小学语文、小学数学等学科教学论”课程的先修课程，具有理论与实践并重的特性。通过本课程的学习，学生能够全面地了解国内外课程与教学改革的发展和现状，系统地掌握课程与教学的基本概念、基本原理和基本方法，扎实地掌握课程与教学的专业技能，科学地观察、描述和解释小学各种课程与教学现象，自主地发现、分析并解决基础教育一线课程与教学的基本问题，为从事小学教学奠定坚实基础。</w:t>
      </w:r>
    </w:p>
    <w:p w14:paraId="250AC54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293E321F">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（一）课程具体目标</w:t>
      </w:r>
    </w:p>
    <w:p w14:paraId="52158B21">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目标1</w:t>
      </w:r>
      <w:r>
        <w:rPr>
          <w:rFonts w:ascii="宋体" w:hAnsi="宋体" w:eastAsia="宋体" w:cs="Times New Roman"/>
          <w:b/>
          <w:bCs/>
          <w:szCs w:val="21"/>
        </w:rPr>
        <w:t xml:space="preserve">. </w:t>
      </w:r>
      <w:r>
        <w:rPr>
          <w:rFonts w:hint="eastAsia" w:ascii="宋体" w:hAnsi="宋体" w:eastAsia="宋体" w:cs="Times New Roman"/>
          <w:szCs w:val="21"/>
        </w:rPr>
        <w:t>掌握课程与教学的基本理论和基础知识。</w:t>
      </w:r>
    </w:p>
    <w:p w14:paraId="1F874FDA">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目标2</w:t>
      </w:r>
      <w:r>
        <w:rPr>
          <w:rFonts w:ascii="宋体" w:hAnsi="宋体" w:eastAsia="宋体" w:cs="Times New Roman"/>
          <w:szCs w:val="21"/>
        </w:rPr>
        <w:t xml:space="preserve">. </w:t>
      </w:r>
      <w:r>
        <w:rPr>
          <w:rFonts w:hint="eastAsia" w:ascii="宋体" w:hAnsi="宋体" w:eastAsia="宋体" w:cs="Times New Roman"/>
          <w:szCs w:val="21"/>
        </w:rPr>
        <w:t>运用所学理论和知识分析评价我国课程与教学的现实问题。</w:t>
      </w:r>
    </w:p>
    <w:p w14:paraId="250F1006">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目标</w:t>
      </w:r>
      <w:r>
        <w:rPr>
          <w:rFonts w:ascii="宋体" w:hAnsi="宋体" w:eastAsia="宋体" w:cs="Times New Roman"/>
          <w:b/>
          <w:bCs/>
          <w:szCs w:val="21"/>
        </w:rPr>
        <w:t>3.</w:t>
      </w:r>
      <w:r>
        <w:rPr>
          <w:rFonts w:ascii="宋体" w:hAnsi="宋体" w:eastAsia="宋体" w:cs="Times New Roman"/>
          <w:szCs w:val="21"/>
        </w:rPr>
        <w:t xml:space="preserve"> </w:t>
      </w:r>
      <w:r>
        <w:rPr>
          <w:rFonts w:hint="eastAsia" w:ascii="宋体" w:hAnsi="宋体" w:eastAsia="宋体" w:cs="Times New Roman"/>
          <w:szCs w:val="21"/>
        </w:rPr>
        <w:t>形成课程与教学设计、实施和评价、课程开发等的基本技能。</w:t>
      </w:r>
    </w:p>
    <w:p w14:paraId="4DE68800">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目标</w:t>
      </w:r>
      <w:r>
        <w:rPr>
          <w:rFonts w:ascii="宋体" w:hAnsi="宋体" w:eastAsia="宋体" w:cs="Times New Roman"/>
          <w:b/>
          <w:bCs/>
          <w:szCs w:val="21"/>
        </w:rPr>
        <w:t>4.</w:t>
      </w:r>
      <w:r>
        <w:rPr>
          <w:rFonts w:ascii="宋体" w:hAnsi="宋体" w:eastAsia="宋体" w:cs="Times New Roman"/>
          <w:szCs w:val="21"/>
        </w:rPr>
        <w:t xml:space="preserve"> </w:t>
      </w:r>
      <w:r>
        <w:rPr>
          <w:rFonts w:hint="eastAsia" w:ascii="宋体" w:hAnsi="宋体" w:eastAsia="宋体" w:cs="Times New Roman"/>
          <w:szCs w:val="21"/>
        </w:rPr>
        <w:t>提高课程与教学素养，坚定参与课程与教学改革的信念。</w:t>
      </w:r>
    </w:p>
    <w:p w14:paraId="1FFC4F54">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（二）课程目标及其对毕业要求指标点的支撑</w:t>
      </w:r>
    </w:p>
    <w:tbl>
      <w:tblPr>
        <w:tblStyle w:val="11"/>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5670"/>
        <w:gridCol w:w="1325"/>
      </w:tblGrid>
      <w:tr w14:paraId="333AF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53" w:type="dxa"/>
            <w:vAlign w:val="center"/>
          </w:tcPr>
          <w:p w14:paraId="2D7C0F80">
            <w:pPr>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5459" w:type="dxa"/>
            <w:vAlign w:val="center"/>
          </w:tcPr>
          <w:p w14:paraId="0B6B6E01">
            <w:pPr>
              <w:ind w:firstLine="422" w:firstLineChars="200"/>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276" w:type="dxa"/>
            <w:vAlign w:val="center"/>
          </w:tcPr>
          <w:p w14:paraId="3367E14C">
            <w:pP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736D4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53" w:type="dxa"/>
            <w:vAlign w:val="center"/>
          </w:tcPr>
          <w:p w14:paraId="7947D834">
            <w:pPr>
              <w:jc w:val="center"/>
              <w:rPr>
                <w:rFonts w:hint="eastAsia" w:ascii="宋体" w:hAnsi="宋体" w:eastAsia="宋体" w:cs="宋体"/>
                <w:b/>
                <w:bCs/>
                <w:kern w:val="0"/>
                <w:szCs w:val="21"/>
              </w:rPr>
            </w:pPr>
            <w:r>
              <w:rPr>
                <w:rFonts w:hint="eastAsia" w:ascii="宋体" w:hAnsi="宋体" w:eastAsia="宋体" w:cs="宋体"/>
                <w:b/>
                <w:bCs/>
                <w:kern w:val="0"/>
                <w:szCs w:val="21"/>
              </w:rPr>
              <w:t>毕业要求4</w:t>
            </w:r>
          </w:p>
          <w:p w14:paraId="543E420B">
            <w:pPr>
              <w:jc w:val="center"/>
              <w:rPr>
                <w:rFonts w:hint="eastAsia" w:ascii="宋体" w:hAnsi="宋体" w:eastAsia="宋体" w:cs="宋体"/>
                <w:b/>
                <w:bCs/>
                <w:kern w:val="0"/>
                <w:szCs w:val="21"/>
              </w:rPr>
            </w:pPr>
            <w:r>
              <w:rPr>
                <w:rFonts w:hint="eastAsia" w:ascii="宋体" w:hAnsi="宋体" w:eastAsia="宋体" w:cs="宋体"/>
                <w:b/>
                <w:bCs/>
                <w:kern w:val="0"/>
                <w:szCs w:val="21"/>
              </w:rPr>
              <w:t>教学能力</w:t>
            </w:r>
          </w:p>
        </w:tc>
        <w:tc>
          <w:tcPr>
            <w:tcW w:w="5459" w:type="dxa"/>
            <w:vAlign w:val="center"/>
          </w:tcPr>
          <w:p w14:paraId="73788346">
            <w:pPr>
              <w:jc w:val="left"/>
              <w:rPr>
                <w:rFonts w:hint="eastAsia" w:ascii="宋体" w:hAnsi="宋体" w:eastAsia="宋体" w:cs="Times New Roman"/>
                <w:szCs w:val="21"/>
              </w:rPr>
            </w:pPr>
            <w:r>
              <w:rPr>
                <w:rFonts w:hint="eastAsia" w:ascii="宋体" w:hAnsi="宋体" w:cs="宋体"/>
                <w:b/>
                <w:kern w:val="0"/>
                <w:szCs w:val="21"/>
              </w:rPr>
              <w:t>指标点4-1</w:t>
            </w:r>
            <w:r>
              <w:rPr>
                <w:rFonts w:hint="eastAsia" w:ascii="宋体" w:hAnsi="宋体" w:cs="宋体"/>
                <w:kern w:val="0"/>
                <w:szCs w:val="21"/>
              </w:rPr>
              <w:t>：</w:t>
            </w:r>
            <w:r>
              <w:rPr>
                <w:rFonts w:hint="eastAsia" w:ascii="宋体" w:hAnsi="宋体" w:cs="宋体"/>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r>
              <w:rPr>
                <w:rFonts w:hint="eastAsia" w:ascii="等线" w:hAnsi="等线" w:eastAsia="等线" w:cs="Times New Roman"/>
                <w:szCs w:val="21"/>
              </w:rPr>
              <w:t>。</w:t>
            </w:r>
          </w:p>
          <w:p w14:paraId="7151081E">
            <w:pPr>
              <w:jc w:val="left"/>
              <w:rPr>
                <w:rFonts w:hint="eastAsia" w:ascii="宋体" w:hAnsi="宋体" w:eastAsia="宋体" w:cs="Times New Roman"/>
                <w:szCs w:val="21"/>
              </w:rPr>
            </w:pPr>
            <w:r>
              <w:rPr>
                <w:rFonts w:hint="eastAsia" w:ascii="宋体" w:hAnsi="宋体" w:eastAsia="宋体" w:cs="Times New Roman"/>
                <w:b/>
                <w:szCs w:val="21"/>
              </w:rPr>
              <w:t>指标点4-2</w:t>
            </w:r>
            <w:r>
              <w:rPr>
                <w:rFonts w:hint="eastAsia" w:ascii="宋体" w:hAnsi="宋体" w:eastAsia="宋体" w:cs="Times New Roman"/>
                <w:szCs w:val="21"/>
              </w:rPr>
              <w:t>：【教学设计恰当】能针对小学生已有的知识水平、学习经验和兴趣特点，依据课标确定恰当的学习目标和学习重点，设计学习活动。能依据单元内容进行整体设计，科学合理地依据教学目标及内容设计作业。</w:t>
            </w:r>
          </w:p>
          <w:p w14:paraId="4CB1521F">
            <w:pPr>
              <w:jc w:val="left"/>
              <w:rPr>
                <w:rFonts w:ascii="Times New Roman" w:hAnsi="Times New Roman" w:eastAsia="宋体" w:cs="Times New Roman"/>
                <w:szCs w:val="21"/>
              </w:rPr>
            </w:pPr>
            <w:r>
              <w:rPr>
                <w:rFonts w:hint="eastAsia" w:ascii="宋体" w:hAnsi="宋体" w:eastAsia="宋体" w:cs="宋体"/>
                <w:b/>
                <w:szCs w:val="21"/>
              </w:rPr>
              <w:t>指标点4-3</w:t>
            </w:r>
            <w:r>
              <w:rPr>
                <w:rFonts w:hint="eastAsia" w:ascii="宋体" w:hAnsi="宋体" w:eastAsia="宋体" w:cs="宋体"/>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276" w:type="dxa"/>
            <w:vAlign w:val="center"/>
          </w:tcPr>
          <w:p w14:paraId="49A84667">
            <w:pPr>
              <w:jc w:val="center"/>
              <w:rPr>
                <w:rFonts w:hint="eastAsia" w:ascii="宋体" w:hAnsi="宋体" w:eastAsia="宋体" w:cs="宋体"/>
                <w:bCs/>
                <w:szCs w:val="21"/>
              </w:rPr>
            </w:pPr>
            <w:r>
              <w:rPr>
                <w:rFonts w:hint="eastAsia" w:ascii="宋体" w:hAnsi="宋体" w:eastAsia="宋体" w:cs="宋体"/>
                <w:bCs/>
                <w:szCs w:val="21"/>
              </w:rPr>
              <w:t>课程目标</w:t>
            </w:r>
          </w:p>
          <w:p w14:paraId="57A1C0C6">
            <w:pPr>
              <w:jc w:val="center"/>
              <w:rPr>
                <w:rFonts w:hint="eastAsia" w:ascii="等线" w:hAnsi="等线" w:eastAsia="宋体" w:cs="Times New Roman"/>
                <w:kern w:val="0"/>
                <w:szCs w:val="21"/>
              </w:rPr>
            </w:pPr>
            <w:r>
              <w:rPr>
                <w:rFonts w:hint="eastAsia" w:ascii="宋体" w:hAnsi="宋体" w:eastAsia="宋体" w:cs="宋体"/>
                <w:bCs/>
                <w:szCs w:val="21"/>
              </w:rPr>
              <w:t>1、3</w:t>
            </w:r>
          </w:p>
        </w:tc>
      </w:tr>
      <w:tr w14:paraId="61885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53" w:type="dxa"/>
            <w:vAlign w:val="center"/>
          </w:tcPr>
          <w:p w14:paraId="4145B1CF">
            <w:pPr>
              <w:autoSpaceDE w:val="0"/>
              <w:autoSpaceDN w:val="0"/>
              <w:jc w:val="center"/>
              <w:rPr>
                <w:rFonts w:hint="eastAsia" w:ascii="宋体" w:hAnsi="宋体" w:eastAsia="宋体" w:cs="宋体"/>
                <w:b/>
                <w:bCs/>
                <w:kern w:val="0"/>
                <w:szCs w:val="21"/>
              </w:rPr>
            </w:pPr>
            <w:r>
              <w:rPr>
                <w:rFonts w:hint="eastAsia" w:ascii="宋体" w:hAnsi="宋体" w:eastAsia="宋体" w:cs="宋体"/>
                <w:b/>
                <w:bCs/>
                <w:kern w:val="0"/>
                <w:szCs w:val="21"/>
              </w:rPr>
              <w:t>毕业要求6</w:t>
            </w:r>
          </w:p>
          <w:p w14:paraId="29C329A4">
            <w:pPr>
              <w:autoSpaceDE w:val="0"/>
              <w:autoSpaceDN w:val="0"/>
              <w:jc w:val="center"/>
              <w:rPr>
                <w:rFonts w:hint="eastAsia" w:ascii="宋体" w:hAnsi="宋体" w:eastAsia="宋体" w:cs="宋体"/>
                <w:b/>
                <w:bCs/>
                <w:szCs w:val="21"/>
              </w:rPr>
            </w:pPr>
            <w:r>
              <w:rPr>
                <w:rFonts w:hint="eastAsia" w:ascii="宋体" w:hAnsi="宋体" w:eastAsia="宋体" w:cs="宋体"/>
                <w:b/>
                <w:bCs/>
                <w:szCs w:val="21"/>
              </w:rPr>
              <w:t>综合育人</w:t>
            </w:r>
          </w:p>
          <w:p w14:paraId="3F215172">
            <w:pPr>
              <w:autoSpaceDE w:val="0"/>
              <w:autoSpaceDN w:val="0"/>
              <w:jc w:val="center"/>
              <w:rPr>
                <w:rFonts w:hint="eastAsia" w:ascii="宋体" w:hAnsi="宋体" w:eastAsia="宋体" w:cs="宋体"/>
                <w:b/>
                <w:bCs/>
                <w:kern w:val="0"/>
                <w:szCs w:val="21"/>
              </w:rPr>
            </w:pPr>
          </w:p>
        </w:tc>
        <w:tc>
          <w:tcPr>
            <w:tcW w:w="5459" w:type="dxa"/>
            <w:vAlign w:val="center"/>
          </w:tcPr>
          <w:p w14:paraId="7C3E4639">
            <w:pPr>
              <w:autoSpaceDE w:val="0"/>
              <w:autoSpaceDN w:val="0"/>
              <w:rPr>
                <w:rFonts w:hint="eastAsia" w:ascii="宋体" w:hAnsi="宋体" w:eastAsia="宋体" w:cs="宋体"/>
                <w:szCs w:val="21"/>
              </w:rPr>
            </w:pPr>
            <w:r>
              <w:rPr>
                <w:rFonts w:hint="eastAsia" w:ascii="宋体" w:hAnsi="宋体" w:cs="宋体"/>
                <w:b/>
                <w:kern w:val="0"/>
                <w:szCs w:val="21"/>
              </w:rPr>
              <w:t>指标点6-2</w:t>
            </w:r>
            <w:r>
              <w:rPr>
                <w:rFonts w:hint="eastAsia" w:ascii="宋体" w:hAnsi="宋体" w:cs="宋体"/>
                <w:szCs w:val="21"/>
              </w:rPr>
              <w:t>：【胜任学科育人】具有教书育人的意识，理解学科核心素养和拟任教学科课程独特的育人功能，在教育教学实践中，能够</w:t>
            </w:r>
            <w:r>
              <w:rPr>
                <w:rFonts w:hint="eastAsia" w:ascii="宋体" w:hAnsi="宋体" w:cs="宋体"/>
                <w:bCs/>
                <w:kern w:val="0"/>
                <w:szCs w:val="21"/>
              </w:rPr>
              <w:t>结合课程内容与特点，挖掘课程的育人要素与资源，合理设计育人目标、主题、内容和活动，将知识学习、能力发展与品德养成有机结合。</w:t>
            </w:r>
          </w:p>
        </w:tc>
        <w:tc>
          <w:tcPr>
            <w:tcW w:w="1276" w:type="dxa"/>
            <w:vAlign w:val="center"/>
          </w:tcPr>
          <w:p w14:paraId="7C18E14E">
            <w:pPr>
              <w:jc w:val="left"/>
              <w:rPr>
                <w:rFonts w:hint="eastAsia" w:ascii="等线" w:hAnsi="等线" w:eastAsia="等线" w:cs="Times New Roman"/>
                <w:kern w:val="0"/>
                <w:szCs w:val="21"/>
              </w:rPr>
            </w:pPr>
            <w:r>
              <w:rPr>
                <w:rFonts w:hint="eastAsia" w:ascii="宋体" w:hAnsi="宋体" w:eastAsia="宋体" w:cs="宋体"/>
                <w:bCs/>
                <w:szCs w:val="21"/>
              </w:rPr>
              <w:t>课程目标2</w:t>
            </w:r>
          </w:p>
        </w:tc>
      </w:tr>
      <w:tr w14:paraId="25A60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453" w:type="dxa"/>
            <w:vAlign w:val="center"/>
          </w:tcPr>
          <w:p w14:paraId="4766B555">
            <w:pPr>
              <w:jc w:val="center"/>
              <w:rPr>
                <w:rFonts w:hint="eastAsia" w:ascii="宋体" w:hAnsi="宋体" w:eastAsia="宋体" w:cs="宋体"/>
                <w:b/>
                <w:bCs/>
                <w:spacing w:val="2"/>
                <w:kern w:val="0"/>
                <w:szCs w:val="21"/>
              </w:rPr>
            </w:pPr>
            <w:r>
              <w:rPr>
                <w:rFonts w:hint="eastAsia" w:ascii="宋体" w:hAnsi="宋体" w:eastAsia="宋体" w:cs="宋体"/>
                <w:b/>
                <w:bCs/>
                <w:spacing w:val="2"/>
                <w:kern w:val="0"/>
                <w:szCs w:val="21"/>
              </w:rPr>
              <w:t>毕业要求7</w:t>
            </w:r>
          </w:p>
          <w:p w14:paraId="4A475026">
            <w:pPr>
              <w:jc w:val="center"/>
              <w:rPr>
                <w:rFonts w:hint="eastAsia" w:ascii="宋体" w:hAnsi="宋体" w:eastAsia="宋体" w:cs="宋体"/>
                <w:b/>
                <w:bCs/>
                <w:spacing w:val="2"/>
                <w:kern w:val="0"/>
                <w:szCs w:val="21"/>
              </w:rPr>
            </w:pPr>
            <w:r>
              <w:rPr>
                <w:rFonts w:hint="eastAsia" w:ascii="宋体" w:hAnsi="宋体" w:eastAsia="宋体" w:cs="宋体"/>
                <w:b/>
                <w:bCs/>
                <w:spacing w:val="2"/>
                <w:kern w:val="0"/>
                <w:szCs w:val="21"/>
              </w:rPr>
              <w:t>学会反思</w:t>
            </w:r>
          </w:p>
        </w:tc>
        <w:tc>
          <w:tcPr>
            <w:tcW w:w="5459" w:type="dxa"/>
            <w:vAlign w:val="center"/>
          </w:tcPr>
          <w:p w14:paraId="2CDAAC94">
            <w:pPr>
              <w:jc w:val="left"/>
              <w:rPr>
                <w:rFonts w:hint="eastAsia" w:ascii="宋体" w:hAnsi="宋体" w:eastAsia="宋体" w:cs="Times New Roman"/>
                <w:spacing w:val="2"/>
                <w:kern w:val="0"/>
                <w:szCs w:val="21"/>
              </w:rPr>
            </w:pPr>
            <w:r>
              <w:rPr>
                <w:rFonts w:hint="eastAsia" w:ascii="宋体" w:hAnsi="宋体" w:eastAsia="宋体" w:cs="宋体"/>
                <w:b/>
                <w:kern w:val="0"/>
                <w:szCs w:val="21"/>
              </w:rPr>
              <w:t>指标点7-1</w:t>
            </w:r>
            <w:r>
              <w:rPr>
                <w:rFonts w:hint="eastAsia" w:ascii="等线" w:hAnsi="等线" w:eastAsia="等线" w:cs="Times New Roman"/>
                <w:kern w:val="0"/>
                <w:szCs w:val="21"/>
              </w:rPr>
              <w:t>：</w:t>
            </w:r>
            <w:r>
              <w:rPr>
                <w:rFonts w:hint="eastAsia" w:asciiTheme="minorEastAsia" w:hAnsiTheme="minorEastAsia" w:cstheme="minorEastAsia"/>
                <w:kern w:val="0"/>
                <w:szCs w:val="21"/>
              </w:rPr>
              <w:t>【教育视野开阔】积极关注基础教育领域的国内外交流进展，了解国内外基础教育改革发展的动态，具有宽广的教育视野，能够主动适应新时代和教育发展需求</w:t>
            </w:r>
            <w:r>
              <w:rPr>
                <w:rFonts w:hint="eastAsia" w:ascii="等线" w:hAnsi="等线" w:eastAsia="等线" w:cs="Times New Roman"/>
                <w:kern w:val="0"/>
                <w:szCs w:val="21"/>
              </w:rPr>
              <w:t>。</w:t>
            </w:r>
          </w:p>
        </w:tc>
        <w:tc>
          <w:tcPr>
            <w:tcW w:w="1276" w:type="dxa"/>
            <w:vAlign w:val="center"/>
          </w:tcPr>
          <w:p w14:paraId="5C1B7D62">
            <w:pPr>
              <w:jc w:val="left"/>
              <w:rPr>
                <w:rFonts w:hint="eastAsia" w:ascii="等线" w:hAnsi="等线" w:eastAsia="等线" w:cs="Times New Roman"/>
                <w:kern w:val="0"/>
                <w:szCs w:val="21"/>
              </w:rPr>
            </w:pPr>
            <w:r>
              <w:rPr>
                <w:rFonts w:hint="eastAsia" w:ascii="宋体" w:hAnsi="宋体" w:eastAsia="宋体" w:cs="宋体"/>
                <w:szCs w:val="21"/>
              </w:rPr>
              <w:t>课程目标</w:t>
            </w:r>
            <w:r>
              <w:rPr>
                <w:rFonts w:ascii="宋体" w:hAnsi="宋体" w:eastAsia="宋体" w:cs="宋体"/>
                <w:szCs w:val="21"/>
              </w:rPr>
              <w:t>4</w:t>
            </w:r>
          </w:p>
        </w:tc>
      </w:tr>
    </w:tbl>
    <w:p w14:paraId="6E68FBA5">
      <w:pPr>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（三）课程思政目标</w:t>
      </w:r>
    </w:p>
    <w:p w14:paraId="4C8AE4CC">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在课程教学中引导树立学高人师、身正为范的职业理想，培育爱国守法、规范从教的职业操守，培养传道情怀、授业底蕴、解惑能力，富有工匠精神，坚持贯彻落实党的教育方针，以立德树人为己任，自觉以德立身、以德立学、以德施教，争做有理想信念、有道德情操、有扎实学识、有仁爱之心的“四有”好老师，传承教育家精神，争做新时代的大国良师。</w:t>
      </w:r>
    </w:p>
    <w:p w14:paraId="077849B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三、课程内容及预期学习成效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0E9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CAFCE23">
            <w:pPr>
              <w:jc w:val="center"/>
              <w:rPr>
                <w:rFonts w:hint="eastAsia" w:ascii="宋体" w:hAnsi="宋体" w:eastAsia="宋体" w:cs="Times New Roman"/>
                <w:b/>
                <w:szCs w:val="21"/>
              </w:rPr>
            </w:pPr>
            <w:r>
              <w:rPr>
                <w:rFonts w:hint="eastAsia" w:ascii="宋体" w:hAnsi="宋体" w:eastAsia="宋体" w:cs="Times New Roman"/>
                <w:b/>
                <w:szCs w:val="21"/>
              </w:rPr>
              <w:t>知识</w:t>
            </w:r>
          </w:p>
          <w:p w14:paraId="6F83EF73">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33860DB5">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38C8A734">
            <w:pPr>
              <w:jc w:val="center"/>
              <w:rPr>
                <w:rFonts w:hint="eastAsia" w:ascii="宋体" w:hAnsi="宋体" w:eastAsia="宋体" w:cs="Times New Roman"/>
                <w:b/>
                <w:szCs w:val="21"/>
              </w:rPr>
            </w:pPr>
            <w:r>
              <w:rPr>
                <w:rFonts w:hint="eastAsia" w:ascii="宋体" w:hAnsi="宋体" w:eastAsia="宋体" w:cs="Times New Roman"/>
                <w:b/>
                <w:szCs w:val="21"/>
              </w:rPr>
              <w:t>对应</w:t>
            </w:r>
          </w:p>
          <w:p w14:paraId="04C3568D">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54DC1ED6">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1B97D9C0">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2B8964B5">
            <w:pPr>
              <w:jc w:val="center"/>
              <w:rPr>
                <w:rFonts w:hint="eastAsia" w:ascii="宋体" w:hAnsi="宋体" w:eastAsia="宋体" w:cs="Times New Roman"/>
                <w:b/>
                <w:szCs w:val="21"/>
                <w:highlight w:val="yellow"/>
              </w:rPr>
            </w:pPr>
            <w:r>
              <w:rPr>
                <w:rFonts w:hint="eastAsia" w:ascii="宋体" w:hAnsi="宋体" w:eastAsia="宋体" w:cs="Times New Roman"/>
                <w:b/>
                <w:szCs w:val="21"/>
              </w:rPr>
              <w:t>学时</w:t>
            </w:r>
          </w:p>
        </w:tc>
      </w:tr>
      <w:tr w14:paraId="015F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D2DE19D">
            <w:pPr>
              <w:jc w:val="center"/>
              <w:rPr>
                <w:rFonts w:hint="eastAsia" w:ascii="宋体" w:hAnsi="宋体" w:eastAsia="宋体" w:cs="Times New Roman"/>
                <w:szCs w:val="21"/>
              </w:rPr>
            </w:pPr>
            <w:r>
              <w:rPr>
                <w:rFonts w:hint="eastAsia" w:ascii="Times New Roman" w:hAnsi="Times New Roman" w:eastAsia="宋体" w:cs="Times New Roman"/>
                <w:szCs w:val="21"/>
              </w:rPr>
              <w:t>（一）“课程教学论”概论</w:t>
            </w:r>
          </w:p>
        </w:tc>
        <w:tc>
          <w:tcPr>
            <w:tcW w:w="1701" w:type="dxa"/>
            <w:vAlign w:val="center"/>
          </w:tcPr>
          <w:p w14:paraId="04350F91">
            <w:pPr>
              <w:jc w:val="left"/>
              <w:rPr>
                <w:rFonts w:hint="eastAsia" w:ascii="宋体" w:hAnsi="宋体" w:eastAsia="宋体" w:cs="Times New Roman"/>
                <w:szCs w:val="21"/>
              </w:rPr>
            </w:pPr>
            <w:r>
              <w:rPr>
                <w:rFonts w:hint="eastAsia" w:ascii="宋体" w:hAnsi="宋体" w:eastAsia="宋体" w:cs="Times New Roman"/>
                <w:szCs w:val="21"/>
              </w:rPr>
              <w:t>1. 教学内容</w:t>
            </w:r>
          </w:p>
          <w:p w14:paraId="02A2E4C1">
            <w:pPr>
              <w:jc w:val="left"/>
              <w:rPr>
                <w:rFonts w:hint="eastAsia" w:ascii="宋体" w:hAnsi="宋体" w:eastAsia="宋体" w:cs="Times New Roman"/>
                <w:szCs w:val="21"/>
              </w:rPr>
            </w:pPr>
            <w:r>
              <w:rPr>
                <w:rFonts w:hint="eastAsia" w:ascii="宋体" w:hAnsi="宋体" w:eastAsia="宋体" w:cs="Times New Roman"/>
                <w:szCs w:val="21"/>
              </w:rPr>
              <w:t>（1）什么是课程与教学论</w:t>
            </w:r>
          </w:p>
          <w:p w14:paraId="3E2E60A2">
            <w:pPr>
              <w:jc w:val="left"/>
              <w:rPr>
                <w:rFonts w:hint="eastAsia" w:ascii="宋体" w:hAnsi="宋体" w:eastAsia="宋体" w:cs="Times New Roman"/>
                <w:szCs w:val="21"/>
              </w:rPr>
            </w:pPr>
            <w:r>
              <w:rPr>
                <w:rFonts w:hint="eastAsia" w:ascii="宋体" w:hAnsi="宋体" w:eastAsia="宋体" w:cs="Times New Roman"/>
                <w:szCs w:val="21"/>
              </w:rPr>
              <w:t>（2）学习课程与教学论的意义和方法</w:t>
            </w:r>
          </w:p>
        </w:tc>
        <w:tc>
          <w:tcPr>
            <w:tcW w:w="1134" w:type="dxa"/>
            <w:vAlign w:val="center"/>
          </w:tcPr>
          <w:p w14:paraId="143DFA41">
            <w:pPr>
              <w:jc w:val="center"/>
              <w:rPr>
                <w:rFonts w:hint="eastAsia" w:ascii="宋体" w:hAnsi="宋体" w:eastAsia="宋体" w:cs="Times New Roman"/>
                <w:szCs w:val="21"/>
              </w:rPr>
            </w:pPr>
            <w:r>
              <w:rPr>
                <w:rFonts w:hint="eastAsia" w:ascii="宋体" w:hAnsi="宋体" w:eastAsia="宋体" w:cs="Times New Roman"/>
                <w:szCs w:val="21"/>
              </w:rPr>
              <w:t>课程目标1、4</w:t>
            </w:r>
          </w:p>
        </w:tc>
        <w:tc>
          <w:tcPr>
            <w:tcW w:w="3260" w:type="dxa"/>
            <w:vAlign w:val="center"/>
          </w:tcPr>
          <w:p w14:paraId="28B63A19">
            <w:pPr>
              <w:jc w:val="left"/>
              <w:rPr>
                <w:rFonts w:hint="eastAsia" w:ascii="宋体" w:hAnsi="宋体" w:eastAsia="宋体" w:cs="Times New Roman"/>
                <w:szCs w:val="21"/>
              </w:rPr>
            </w:pPr>
            <w:r>
              <w:rPr>
                <w:rFonts w:hint="eastAsia" w:ascii="宋体" w:hAnsi="宋体" w:eastAsia="宋体" w:cs="Times New Roman"/>
                <w:szCs w:val="21"/>
              </w:rPr>
              <w:t>（1）了解课程与教学论的研究对象、任务和历史演变</w:t>
            </w:r>
          </w:p>
          <w:p w14:paraId="71DFAA8B">
            <w:pPr>
              <w:jc w:val="left"/>
              <w:rPr>
                <w:rFonts w:hint="eastAsia" w:ascii="宋体" w:hAnsi="宋体" w:eastAsia="宋体" w:cs="Times New Roman"/>
                <w:szCs w:val="21"/>
              </w:rPr>
            </w:pPr>
            <w:r>
              <w:rPr>
                <w:rFonts w:hint="eastAsia" w:ascii="宋体" w:hAnsi="宋体" w:eastAsia="宋体" w:cs="Times New Roman"/>
                <w:szCs w:val="21"/>
              </w:rPr>
              <w:t>（2）理解课程与教学的关系</w:t>
            </w:r>
          </w:p>
          <w:p w14:paraId="2C9E920E">
            <w:pPr>
              <w:jc w:val="left"/>
              <w:rPr>
                <w:rFonts w:hint="eastAsia" w:ascii="宋体" w:hAnsi="宋体" w:eastAsia="宋体" w:cs="Times New Roman"/>
                <w:szCs w:val="21"/>
              </w:rPr>
            </w:pPr>
            <w:r>
              <w:rPr>
                <w:rFonts w:hint="eastAsia" w:ascii="宋体" w:hAnsi="宋体" w:eastAsia="宋体" w:cs="Times New Roman"/>
                <w:szCs w:val="21"/>
              </w:rPr>
              <w:t>（3）明确学习课程与教学论的意义</w:t>
            </w:r>
          </w:p>
          <w:p w14:paraId="5A55EACB">
            <w:pPr>
              <w:jc w:val="left"/>
              <w:rPr>
                <w:rFonts w:hint="eastAsia" w:ascii="宋体" w:hAnsi="宋体" w:eastAsia="宋体" w:cs="Times New Roman"/>
                <w:szCs w:val="21"/>
              </w:rPr>
            </w:pPr>
            <w:r>
              <w:rPr>
                <w:rFonts w:hint="eastAsia" w:ascii="宋体" w:hAnsi="宋体" w:eastAsia="宋体" w:cs="Times New Roman"/>
                <w:szCs w:val="21"/>
              </w:rPr>
              <w:t>（4）反思和改进学习方法</w:t>
            </w:r>
          </w:p>
        </w:tc>
        <w:tc>
          <w:tcPr>
            <w:tcW w:w="1560" w:type="dxa"/>
            <w:vAlign w:val="center"/>
          </w:tcPr>
          <w:p w14:paraId="2D1D4111">
            <w:pPr>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5656026A">
            <w:pPr>
              <w:jc w:val="left"/>
              <w:rPr>
                <w:rFonts w:hint="eastAsia" w:ascii="宋体" w:hAnsi="宋体" w:eastAsia="宋体" w:cs="Times New Roman"/>
                <w:szCs w:val="21"/>
              </w:rPr>
            </w:pPr>
            <w:r>
              <w:rPr>
                <w:rFonts w:hint="eastAsia" w:ascii="宋体" w:hAnsi="宋体" w:eastAsia="宋体" w:cs="Times New Roman"/>
                <w:szCs w:val="21"/>
              </w:rPr>
              <w:t>3.课堂测验</w:t>
            </w:r>
          </w:p>
        </w:tc>
        <w:tc>
          <w:tcPr>
            <w:tcW w:w="438" w:type="dxa"/>
            <w:vAlign w:val="center"/>
          </w:tcPr>
          <w:p w14:paraId="3CA78329">
            <w:pPr>
              <w:jc w:val="center"/>
              <w:rPr>
                <w:rFonts w:hint="eastAsia" w:ascii="宋体" w:hAnsi="宋体" w:eastAsia="宋体" w:cs="Times New Roman"/>
                <w:szCs w:val="21"/>
                <w:highlight w:val="yellow"/>
              </w:rPr>
            </w:pPr>
            <w:r>
              <w:rPr>
                <w:rFonts w:hint="eastAsia" w:ascii="宋体" w:hAnsi="宋体" w:eastAsia="宋体" w:cs="Times New Roman"/>
                <w:szCs w:val="21"/>
              </w:rPr>
              <w:t>1</w:t>
            </w:r>
          </w:p>
        </w:tc>
      </w:tr>
      <w:tr w14:paraId="42B9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A1FE90E">
            <w:pPr>
              <w:jc w:val="center"/>
              <w:rPr>
                <w:rFonts w:hint="eastAsia" w:ascii="宋体" w:hAnsi="宋体" w:eastAsia="宋体" w:cs="Times New Roman"/>
                <w:szCs w:val="21"/>
              </w:rPr>
            </w:pPr>
          </w:p>
        </w:tc>
        <w:tc>
          <w:tcPr>
            <w:tcW w:w="8093" w:type="dxa"/>
            <w:gridSpan w:val="5"/>
            <w:vAlign w:val="center"/>
          </w:tcPr>
          <w:p w14:paraId="453CA60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通过学习课程与教学的基本概念、理论、原理，理解课程和教学是学校教育系统的核心要素，增进将其转化为社会主义核心价值观具体化、生动化的有效教学载体的教学意识。</w:t>
            </w:r>
          </w:p>
        </w:tc>
      </w:tr>
    </w:tbl>
    <w:tbl>
      <w:tblPr>
        <w:tblStyle w:val="19"/>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163D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6D25E9D">
            <w:pPr>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（二）课程的基本理论</w:t>
            </w:r>
          </w:p>
        </w:tc>
        <w:tc>
          <w:tcPr>
            <w:tcW w:w="1701" w:type="dxa"/>
            <w:vAlign w:val="center"/>
          </w:tcPr>
          <w:p w14:paraId="2F848A9F">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（1）课程的基本概念</w:t>
            </w:r>
          </w:p>
          <w:p w14:paraId="0AC6CA96">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（2）课程的历史发展</w:t>
            </w:r>
          </w:p>
          <w:p w14:paraId="07568149">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（3）影响课程发展的基本因素</w:t>
            </w:r>
          </w:p>
        </w:tc>
        <w:tc>
          <w:tcPr>
            <w:tcW w:w="1134" w:type="dxa"/>
            <w:vAlign w:val="center"/>
          </w:tcPr>
          <w:p w14:paraId="1CAA881E">
            <w:pPr>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课程目标1、2、4</w:t>
            </w:r>
          </w:p>
        </w:tc>
        <w:tc>
          <w:tcPr>
            <w:tcW w:w="3260" w:type="dxa"/>
            <w:vAlign w:val="center"/>
          </w:tcPr>
          <w:p w14:paraId="55349C06">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（1）掌握课程概念，学会用自己的语言来解释课程</w:t>
            </w:r>
          </w:p>
          <w:p w14:paraId="5E5263B3">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（2）了解课程发展的历史概况</w:t>
            </w:r>
          </w:p>
          <w:p w14:paraId="19C7BBD9">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（3）熟悉影响课程发展的基本因素</w:t>
            </w:r>
          </w:p>
          <w:p w14:paraId="1E7E23F0">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（4）了解课程理论所涉及的基本问题和基础知识</w:t>
            </w:r>
          </w:p>
        </w:tc>
        <w:tc>
          <w:tcPr>
            <w:tcW w:w="1560" w:type="dxa"/>
            <w:vAlign w:val="center"/>
          </w:tcPr>
          <w:p w14:paraId="68357930">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1.多媒体教学2.课堂讨论</w:t>
            </w:r>
          </w:p>
          <w:p w14:paraId="66771FD2">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3.课堂测验</w:t>
            </w:r>
          </w:p>
        </w:tc>
        <w:tc>
          <w:tcPr>
            <w:tcW w:w="438" w:type="dxa"/>
            <w:vAlign w:val="center"/>
          </w:tcPr>
          <w:p w14:paraId="030C9F06">
            <w:pPr>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p>
        </w:tc>
      </w:tr>
      <w:tr w14:paraId="689B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9BC9A5B">
            <w:pPr>
              <w:jc w:val="center"/>
              <w:rPr>
                <w:rFonts w:hint="eastAsia" w:ascii="宋体" w:hAnsi="宋体" w:eastAsia="宋体" w:cs="Times New Roman"/>
                <w:kern w:val="0"/>
                <w:sz w:val="20"/>
                <w:szCs w:val="21"/>
              </w:rPr>
            </w:pPr>
          </w:p>
        </w:tc>
        <w:tc>
          <w:tcPr>
            <w:tcW w:w="8093" w:type="dxa"/>
            <w:gridSpan w:val="5"/>
            <w:vAlign w:val="center"/>
          </w:tcPr>
          <w:p w14:paraId="637A5F03">
            <w:pPr>
              <w:jc w:val="left"/>
              <w:rPr>
                <w:rFonts w:hint="eastAsia" w:ascii="宋体" w:hAnsi="宋体" w:eastAsia="宋体" w:cs="Times New Roman"/>
                <w:kern w:val="0"/>
                <w:sz w:val="20"/>
                <w:szCs w:val="21"/>
              </w:rPr>
            </w:pPr>
            <w:r>
              <w:rPr>
                <w:rFonts w:hint="eastAsia" w:ascii="宋体" w:hAnsi="宋体" w:eastAsia="宋体" w:cs="Times New Roman"/>
                <w:b/>
                <w:kern w:val="0"/>
                <w:sz w:val="20"/>
                <w:szCs w:val="21"/>
              </w:rPr>
              <w:t>课程思政目标：</w:t>
            </w:r>
            <w:r>
              <w:rPr>
                <w:rFonts w:hint="eastAsia" w:ascii="宋体" w:hAnsi="宋体" w:eastAsia="宋体" w:cs="Times New Roman"/>
                <w:kern w:val="0"/>
                <w:sz w:val="20"/>
                <w:szCs w:val="21"/>
              </w:rPr>
              <w:t>通过了解课程的概念和历史发展，产生强烈的文化认同感和民族自豪感，又能够尊重不同民族和文化的差异。能够有意识的发掘和创造性的利用课程中蕴含的文化基因和价值范式。</w:t>
            </w:r>
          </w:p>
        </w:tc>
      </w:tr>
    </w:tbl>
    <w:tbl>
      <w:tblPr>
        <w:tblStyle w:val="20"/>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225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1FBCA4">
            <w:pPr>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（三）课程目标与课程内容</w:t>
            </w:r>
          </w:p>
        </w:tc>
        <w:tc>
          <w:tcPr>
            <w:tcW w:w="1701" w:type="dxa"/>
            <w:vAlign w:val="center"/>
          </w:tcPr>
          <w:p w14:paraId="6294AB1B">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（1）课程目标</w:t>
            </w:r>
          </w:p>
          <w:p w14:paraId="7C75083E">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（2）课程内容</w:t>
            </w:r>
          </w:p>
        </w:tc>
        <w:tc>
          <w:tcPr>
            <w:tcW w:w="1134" w:type="dxa"/>
            <w:vAlign w:val="center"/>
          </w:tcPr>
          <w:p w14:paraId="30CA1FC5">
            <w:pPr>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课程目标1、4</w:t>
            </w:r>
          </w:p>
        </w:tc>
        <w:tc>
          <w:tcPr>
            <w:tcW w:w="3260" w:type="dxa"/>
            <w:vAlign w:val="center"/>
          </w:tcPr>
          <w:p w14:paraId="55319C1C">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（1）明确课程目标的内涵取向及其确定的依据</w:t>
            </w:r>
          </w:p>
          <w:p w14:paraId="6B3ECC50">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（2）掌握课程内容的取向及其选择与组织原则</w:t>
            </w:r>
          </w:p>
          <w:p w14:paraId="633119B6">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（3）了解当代小学教育课程的目标与课程内容</w:t>
            </w:r>
          </w:p>
        </w:tc>
        <w:tc>
          <w:tcPr>
            <w:tcW w:w="1560" w:type="dxa"/>
            <w:vAlign w:val="center"/>
          </w:tcPr>
          <w:p w14:paraId="6DB456AC">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1.多媒体教学2.课堂讨论</w:t>
            </w:r>
          </w:p>
          <w:p w14:paraId="3A6DF27B">
            <w:pPr>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3.课堂测验</w:t>
            </w:r>
          </w:p>
        </w:tc>
        <w:tc>
          <w:tcPr>
            <w:tcW w:w="438" w:type="dxa"/>
            <w:vAlign w:val="center"/>
          </w:tcPr>
          <w:p w14:paraId="26FC250A">
            <w:pPr>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p>
        </w:tc>
      </w:tr>
      <w:tr w14:paraId="6736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99CB1C3">
            <w:pPr>
              <w:jc w:val="center"/>
              <w:rPr>
                <w:rFonts w:hint="eastAsia" w:ascii="宋体" w:hAnsi="宋体" w:eastAsia="宋体" w:cs="Times New Roman"/>
                <w:kern w:val="0"/>
                <w:sz w:val="20"/>
                <w:szCs w:val="21"/>
              </w:rPr>
            </w:pPr>
          </w:p>
        </w:tc>
        <w:tc>
          <w:tcPr>
            <w:tcW w:w="8093" w:type="dxa"/>
            <w:gridSpan w:val="5"/>
            <w:vAlign w:val="center"/>
          </w:tcPr>
          <w:p w14:paraId="3B5C83B8">
            <w:pPr>
              <w:jc w:val="left"/>
              <w:rPr>
                <w:rFonts w:hint="eastAsia" w:ascii="宋体" w:hAnsi="宋体" w:eastAsia="宋体" w:cs="Times New Roman"/>
                <w:kern w:val="0"/>
                <w:sz w:val="20"/>
                <w:szCs w:val="21"/>
              </w:rPr>
            </w:pPr>
            <w:r>
              <w:rPr>
                <w:rFonts w:hint="eastAsia" w:ascii="宋体" w:hAnsi="宋体" w:eastAsia="宋体" w:cs="Times New Roman"/>
                <w:b/>
                <w:kern w:val="0"/>
                <w:sz w:val="20"/>
                <w:szCs w:val="21"/>
              </w:rPr>
              <w:t>课程思政目标：</w:t>
            </w:r>
            <w:r>
              <w:rPr>
                <w:rFonts w:hint="eastAsia" w:ascii="宋体" w:hAnsi="宋体" w:eastAsia="宋体" w:cs="Times New Roman"/>
                <w:kern w:val="0"/>
                <w:sz w:val="20"/>
                <w:szCs w:val="21"/>
              </w:rPr>
              <w:t>通过课程目标与课程内容的学习，明确新课程的基本价值取向是“为了中华民族的复兴，为了每一个学生的发展”，以中国特色社会主义思想为指导，坚持知识传授与价值引领相结合，在顶层设计上要把思想政治培养作为课程教学的目标放在首位，并与专业发展教育相结合。</w:t>
            </w:r>
          </w:p>
        </w:tc>
      </w:tr>
    </w:tbl>
    <w:tbl>
      <w:tblPr>
        <w:tblStyle w:val="2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255A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F1E17E7">
            <w:pPr>
              <w:spacing w:line="26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（四）课程实施与课程评价</w:t>
            </w:r>
          </w:p>
        </w:tc>
        <w:tc>
          <w:tcPr>
            <w:tcW w:w="1701" w:type="dxa"/>
            <w:vAlign w:val="center"/>
          </w:tcPr>
          <w:p w14:paraId="6087BB87">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（1）课程变革的基本过程</w:t>
            </w:r>
          </w:p>
          <w:p w14:paraId="5232163D">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（2）课程实施的三种取向</w:t>
            </w:r>
          </w:p>
          <w:p w14:paraId="668C0716">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（3）课程实施的基本过程</w:t>
            </w:r>
          </w:p>
          <w:p w14:paraId="24F8CA89">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（4）课程评价的三种取向</w:t>
            </w:r>
          </w:p>
        </w:tc>
        <w:tc>
          <w:tcPr>
            <w:tcW w:w="1134" w:type="dxa"/>
            <w:vAlign w:val="center"/>
          </w:tcPr>
          <w:p w14:paraId="777EA0B0">
            <w:pPr>
              <w:spacing w:line="269"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课程目标3、4</w:t>
            </w:r>
          </w:p>
        </w:tc>
        <w:tc>
          <w:tcPr>
            <w:tcW w:w="3260" w:type="dxa"/>
            <w:vAlign w:val="center"/>
          </w:tcPr>
          <w:p w14:paraId="4FE7859C">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（1）明确课程实施的内涵</w:t>
            </w:r>
          </w:p>
          <w:p w14:paraId="7FFD8D4E">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（2）了解课程实施的取向和途径及影响因素</w:t>
            </w:r>
          </w:p>
          <w:p w14:paraId="3D22EF29">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（3）熟悉课程实施的基本过程</w:t>
            </w:r>
          </w:p>
          <w:p w14:paraId="003DBB42">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（4）掌握课程评价的三种取向</w:t>
            </w:r>
          </w:p>
        </w:tc>
        <w:tc>
          <w:tcPr>
            <w:tcW w:w="1560" w:type="dxa"/>
            <w:vAlign w:val="center"/>
          </w:tcPr>
          <w:p w14:paraId="5B4591C4">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1.多媒体教学2.课堂讨论</w:t>
            </w:r>
          </w:p>
          <w:p w14:paraId="16F5EE4A">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3.课堂测验</w:t>
            </w:r>
          </w:p>
        </w:tc>
        <w:tc>
          <w:tcPr>
            <w:tcW w:w="438" w:type="dxa"/>
            <w:vAlign w:val="center"/>
          </w:tcPr>
          <w:p w14:paraId="73C345D3">
            <w:pPr>
              <w:spacing w:line="269"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p>
        </w:tc>
      </w:tr>
      <w:tr w14:paraId="5D44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Merge w:val="continue"/>
            <w:vAlign w:val="center"/>
          </w:tcPr>
          <w:p w14:paraId="235E3334">
            <w:pPr>
              <w:spacing w:line="264" w:lineRule="auto"/>
              <w:jc w:val="center"/>
              <w:rPr>
                <w:rFonts w:hint="eastAsia" w:ascii="宋体" w:hAnsi="宋体" w:eastAsia="宋体" w:cs="Times New Roman"/>
                <w:kern w:val="0"/>
                <w:sz w:val="20"/>
                <w:szCs w:val="21"/>
              </w:rPr>
            </w:pPr>
          </w:p>
        </w:tc>
        <w:tc>
          <w:tcPr>
            <w:tcW w:w="8093" w:type="dxa"/>
            <w:gridSpan w:val="5"/>
            <w:vAlign w:val="center"/>
          </w:tcPr>
          <w:p w14:paraId="6FDF1C11">
            <w:pPr>
              <w:spacing w:line="269" w:lineRule="auto"/>
              <w:jc w:val="left"/>
              <w:rPr>
                <w:rFonts w:hint="eastAsia" w:ascii="宋体" w:hAnsi="宋体" w:eastAsia="宋体" w:cs="Times New Roman"/>
                <w:kern w:val="0"/>
                <w:sz w:val="20"/>
                <w:szCs w:val="21"/>
              </w:rPr>
            </w:pPr>
            <w:r>
              <w:rPr>
                <w:rFonts w:hint="eastAsia" w:ascii="宋体" w:hAnsi="宋体" w:eastAsia="宋体" w:cs="Times New Roman"/>
                <w:b/>
                <w:kern w:val="0"/>
                <w:sz w:val="20"/>
                <w:szCs w:val="21"/>
              </w:rPr>
              <w:t>课程思政目标：</w:t>
            </w:r>
            <w:r>
              <w:rPr>
                <w:rFonts w:hint="eastAsia" w:ascii="宋体" w:hAnsi="宋体" w:eastAsia="宋体" w:cs="Times New Roman"/>
                <w:kern w:val="0"/>
                <w:sz w:val="20"/>
                <w:szCs w:val="21"/>
              </w:rPr>
              <w:t>通过课程实施和课程评价的学习，懂得必须尊重每一个学生个性发展的完整性、独立性、具体性和特殊性，树立正确的儿童观，把关爱自然、追求人与自然的可持续发展作为价值追求。</w:t>
            </w:r>
          </w:p>
        </w:tc>
      </w:tr>
    </w:tbl>
    <w:tbl>
      <w:tblPr>
        <w:tblStyle w:val="2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F2F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F5F7EA0">
            <w:pPr>
              <w:jc w:val="center"/>
              <w:rPr>
                <w:rFonts w:hint="eastAsia" w:ascii="宋体" w:hAnsi="宋体" w:eastAsia="宋体" w:cs="Times New Roman"/>
                <w:kern w:val="0"/>
                <w:szCs w:val="21"/>
              </w:rPr>
            </w:pPr>
            <w:r>
              <w:rPr>
                <w:rFonts w:hint="eastAsia" w:ascii="宋体" w:hAnsi="宋体" w:eastAsia="宋体" w:cs="Times New Roman"/>
                <w:kern w:val="0"/>
                <w:szCs w:val="21"/>
              </w:rPr>
              <w:t>（五）课程开发与校本课程</w:t>
            </w:r>
          </w:p>
        </w:tc>
        <w:tc>
          <w:tcPr>
            <w:tcW w:w="1701" w:type="dxa"/>
            <w:vAlign w:val="center"/>
          </w:tcPr>
          <w:p w14:paraId="7D8993BE">
            <w:pPr>
              <w:jc w:val="left"/>
              <w:rPr>
                <w:rFonts w:hint="eastAsia" w:ascii="宋体" w:hAnsi="宋体" w:eastAsia="宋体" w:cs="Times New Roman"/>
                <w:kern w:val="0"/>
                <w:szCs w:val="21"/>
              </w:rPr>
            </w:pPr>
            <w:r>
              <w:rPr>
                <w:rFonts w:hint="eastAsia" w:ascii="宋体" w:hAnsi="宋体" w:eastAsia="宋体" w:cs="Times New Roman"/>
                <w:kern w:val="0"/>
                <w:szCs w:val="21"/>
              </w:rPr>
              <w:t>（1）课程开发的一般原理</w:t>
            </w:r>
          </w:p>
          <w:p w14:paraId="21F5D523">
            <w:pPr>
              <w:jc w:val="left"/>
              <w:rPr>
                <w:rFonts w:hint="eastAsia" w:ascii="宋体" w:hAnsi="宋体" w:eastAsia="宋体" w:cs="Times New Roman"/>
                <w:kern w:val="0"/>
                <w:szCs w:val="21"/>
              </w:rPr>
            </w:pPr>
            <w:r>
              <w:rPr>
                <w:rFonts w:hint="eastAsia" w:ascii="宋体" w:hAnsi="宋体" w:eastAsia="宋体" w:cs="Times New Roman"/>
                <w:kern w:val="0"/>
                <w:szCs w:val="21"/>
              </w:rPr>
              <w:t>（2）校本课程开发</w:t>
            </w:r>
          </w:p>
        </w:tc>
        <w:tc>
          <w:tcPr>
            <w:tcW w:w="1134" w:type="dxa"/>
            <w:vAlign w:val="center"/>
          </w:tcPr>
          <w:p w14:paraId="6EFE75F4">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课程目标1、3</w:t>
            </w:r>
          </w:p>
        </w:tc>
        <w:tc>
          <w:tcPr>
            <w:tcW w:w="3260" w:type="dxa"/>
            <w:vAlign w:val="center"/>
          </w:tcPr>
          <w:p w14:paraId="33001477">
            <w:pPr>
              <w:jc w:val="left"/>
              <w:rPr>
                <w:rFonts w:hint="eastAsia" w:ascii="宋体" w:hAnsi="宋体" w:eastAsia="宋体" w:cs="Times New Roman"/>
                <w:kern w:val="0"/>
                <w:szCs w:val="21"/>
              </w:rPr>
            </w:pPr>
            <w:r>
              <w:rPr>
                <w:rFonts w:hint="eastAsia" w:ascii="宋体" w:hAnsi="宋体" w:eastAsia="宋体" w:cs="Times New Roman"/>
                <w:kern w:val="0"/>
                <w:szCs w:val="21"/>
              </w:rPr>
              <w:t>（1）了解课程开发的概念、具体机制及模式</w:t>
            </w:r>
          </w:p>
          <w:p w14:paraId="251DF8C4">
            <w:pPr>
              <w:jc w:val="left"/>
              <w:rPr>
                <w:rFonts w:hint="eastAsia" w:ascii="宋体" w:hAnsi="宋体" w:eastAsia="宋体" w:cs="Times New Roman"/>
                <w:kern w:val="0"/>
                <w:szCs w:val="21"/>
              </w:rPr>
            </w:pPr>
            <w:r>
              <w:rPr>
                <w:rFonts w:hint="eastAsia" w:ascii="宋体" w:hAnsi="宋体" w:eastAsia="宋体" w:cs="Times New Roman"/>
                <w:kern w:val="0"/>
                <w:szCs w:val="21"/>
              </w:rPr>
              <w:t>（2）认识校本课程开发的基本特征、意义</w:t>
            </w:r>
          </w:p>
          <w:p w14:paraId="09DD4163">
            <w:pPr>
              <w:jc w:val="left"/>
              <w:rPr>
                <w:rFonts w:hint="eastAsia" w:ascii="宋体" w:hAnsi="宋体" w:eastAsia="宋体" w:cs="Times New Roman"/>
                <w:kern w:val="0"/>
                <w:szCs w:val="21"/>
              </w:rPr>
            </w:pPr>
            <w:r>
              <w:rPr>
                <w:rFonts w:hint="eastAsia" w:ascii="宋体" w:hAnsi="宋体" w:eastAsia="宋体" w:cs="Times New Roman"/>
                <w:kern w:val="0"/>
                <w:szCs w:val="21"/>
              </w:rPr>
              <w:t>（3）初步掌握课程开发的基本技术</w:t>
            </w:r>
          </w:p>
        </w:tc>
        <w:tc>
          <w:tcPr>
            <w:tcW w:w="1560" w:type="dxa"/>
            <w:vAlign w:val="center"/>
          </w:tcPr>
          <w:p w14:paraId="08221FB3">
            <w:pPr>
              <w:jc w:val="left"/>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2026DA5D">
            <w:pPr>
              <w:jc w:val="left"/>
              <w:rPr>
                <w:rFonts w:hint="eastAsia" w:ascii="宋体" w:hAnsi="宋体" w:eastAsia="宋体" w:cs="Times New Roman"/>
                <w:kern w:val="0"/>
                <w:szCs w:val="21"/>
              </w:rPr>
            </w:pPr>
            <w:r>
              <w:rPr>
                <w:rFonts w:hint="eastAsia" w:ascii="宋体" w:hAnsi="宋体" w:eastAsia="宋体" w:cs="Times New Roman"/>
                <w:kern w:val="0"/>
                <w:szCs w:val="21"/>
              </w:rPr>
              <w:t>3.课堂测验</w:t>
            </w:r>
          </w:p>
        </w:tc>
        <w:tc>
          <w:tcPr>
            <w:tcW w:w="438" w:type="dxa"/>
            <w:vAlign w:val="center"/>
          </w:tcPr>
          <w:p w14:paraId="0D93EE71">
            <w:pPr>
              <w:jc w:val="center"/>
              <w:rPr>
                <w:rFonts w:hint="eastAsia" w:ascii="宋体" w:hAnsi="宋体" w:eastAsia="宋体" w:cs="Times New Roman"/>
                <w:kern w:val="0"/>
                <w:szCs w:val="21"/>
              </w:rPr>
            </w:pPr>
            <w:r>
              <w:rPr>
                <w:rFonts w:hint="eastAsia" w:ascii="宋体" w:hAnsi="宋体" w:eastAsia="宋体" w:cs="Times New Roman"/>
                <w:kern w:val="0"/>
                <w:szCs w:val="21"/>
              </w:rPr>
              <w:t>3</w:t>
            </w:r>
          </w:p>
        </w:tc>
      </w:tr>
      <w:tr w14:paraId="75D0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C170BE">
            <w:pPr>
              <w:jc w:val="center"/>
              <w:rPr>
                <w:rFonts w:hint="eastAsia" w:ascii="宋体" w:hAnsi="宋体" w:eastAsia="宋体" w:cs="Times New Roman"/>
                <w:kern w:val="0"/>
                <w:szCs w:val="21"/>
              </w:rPr>
            </w:pPr>
          </w:p>
        </w:tc>
        <w:tc>
          <w:tcPr>
            <w:tcW w:w="8093" w:type="dxa"/>
            <w:gridSpan w:val="5"/>
            <w:vAlign w:val="center"/>
          </w:tcPr>
          <w:p w14:paraId="570F021D">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通过校本课程开发的学习，</w:t>
            </w:r>
            <w:bookmarkStart w:id="628" w:name="_Hlk182297902"/>
            <w:r>
              <w:rPr>
                <w:rFonts w:hint="eastAsia" w:ascii="宋体" w:hAnsi="宋体" w:eastAsia="宋体" w:cs="Times New Roman"/>
                <w:kern w:val="0"/>
                <w:szCs w:val="21"/>
              </w:rPr>
              <w:t>能够积极主动将</w:t>
            </w:r>
            <w:bookmarkEnd w:id="628"/>
            <w:r>
              <w:rPr>
                <w:rFonts w:hint="eastAsia" w:ascii="宋体" w:hAnsi="宋体" w:eastAsia="宋体" w:cs="Times New Roman"/>
                <w:kern w:val="0"/>
                <w:szCs w:val="21"/>
              </w:rPr>
              <w:t>中华优秀传统文化融入课程教学，加强革命文化和社会主义先进文化教育，厚植爱国主义情怀，传承中华优秀传统文化，弘扬以爱国主义为核心的民族精神和以改革创新为核心的时代精神。</w:t>
            </w:r>
          </w:p>
        </w:tc>
      </w:tr>
    </w:tbl>
    <w:tbl>
      <w:tblPr>
        <w:tblStyle w:val="2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9C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ADDD27C">
            <w:pPr>
              <w:jc w:val="center"/>
              <w:rPr>
                <w:rFonts w:hint="eastAsia" w:ascii="宋体" w:hAnsi="宋体" w:eastAsia="宋体" w:cs="Times New Roman"/>
                <w:kern w:val="0"/>
                <w:szCs w:val="21"/>
              </w:rPr>
            </w:pPr>
            <w:r>
              <w:rPr>
                <w:rFonts w:hint="eastAsia" w:ascii="宋体" w:hAnsi="宋体" w:eastAsia="宋体" w:cs="Times New Roman"/>
                <w:kern w:val="0"/>
                <w:szCs w:val="21"/>
              </w:rPr>
              <w:t>（六）教学的基本理论</w:t>
            </w:r>
          </w:p>
        </w:tc>
        <w:tc>
          <w:tcPr>
            <w:tcW w:w="1701" w:type="dxa"/>
            <w:vAlign w:val="center"/>
          </w:tcPr>
          <w:p w14:paraId="5AE0CFF6">
            <w:pPr>
              <w:jc w:val="left"/>
              <w:rPr>
                <w:rFonts w:hint="eastAsia" w:ascii="宋体" w:hAnsi="宋体" w:eastAsia="宋体" w:cs="Times New Roman"/>
                <w:kern w:val="0"/>
                <w:szCs w:val="21"/>
              </w:rPr>
            </w:pPr>
            <w:r>
              <w:rPr>
                <w:rFonts w:hint="eastAsia" w:ascii="宋体" w:hAnsi="宋体" w:eastAsia="宋体" w:cs="Times New Roman"/>
                <w:kern w:val="0"/>
                <w:szCs w:val="21"/>
              </w:rPr>
              <w:t>（1）教学概念与教学本质</w:t>
            </w:r>
          </w:p>
          <w:p w14:paraId="7D970660">
            <w:pPr>
              <w:jc w:val="left"/>
              <w:rPr>
                <w:rFonts w:hint="eastAsia" w:ascii="宋体" w:hAnsi="宋体" w:eastAsia="宋体" w:cs="Times New Roman"/>
                <w:kern w:val="0"/>
                <w:szCs w:val="21"/>
              </w:rPr>
            </w:pPr>
            <w:r>
              <w:rPr>
                <w:rFonts w:hint="eastAsia" w:ascii="宋体" w:hAnsi="宋体" w:eastAsia="宋体" w:cs="Times New Roman"/>
                <w:kern w:val="0"/>
                <w:szCs w:val="21"/>
              </w:rPr>
              <w:t>（2）当代主要教学理论</w:t>
            </w:r>
          </w:p>
          <w:p w14:paraId="25DC944D">
            <w:pPr>
              <w:jc w:val="left"/>
              <w:rPr>
                <w:rFonts w:hint="eastAsia" w:ascii="宋体" w:hAnsi="宋体" w:eastAsia="宋体" w:cs="Times New Roman"/>
                <w:kern w:val="0"/>
                <w:szCs w:val="21"/>
              </w:rPr>
            </w:pPr>
            <w:r>
              <w:rPr>
                <w:rFonts w:hint="eastAsia" w:ascii="宋体" w:hAnsi="宋体" w:eastAsia="宋体" w:cs="Times New Roman"/>
                <w:kern w:val="0"/>
                <w:szCs w:val="21"/>
              </w:rPr>
              <w:t>（3）现代教学及其特征、原则</w:t>
            </w:r>
          </w:p>
        </w:tc>
        <w:tc>
          <w:tcPr>
            <w:tcW w:w="1134" w:type="dxa"/>
            <w:vAlign w:val="center"/>
          </w:tcPr>
          <w:p w14:paraId="1A321887">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课程目标1、2、4</w:t>
            </w:r>
          </w:p>
        </w:tc>
        <w:tc>
          <w:tcPr>
            <w:tcW w:w="3260" w:type="dxa"/>
            <w:vAlign w:val="center"/>
          </w:tcPr>
          <w:p w14:paraId="0EE3C29F">
            <w:pPr>
              <w:jc w:val="left"/>
              <w:rPr>
                <w:rFonts w:hint="eastAsia" w:ascii="宋体" w:hAnsi="宋体" w:eastAsia="宋体" w:cs="Times New Roman"/>
                <w:kern w:val="0"/>
                <w:szCs w:val="21"/>
              </w:rPr>
            </w:pPr>
            <w:r>
              <w:rPr>
                <w:rFonts w:hint="eastAsia" w:ascii="宋体" w:hAnsi="宋体" w:eastAsia="宋体" w:cs="Times New Roman"/>
                <w:kern w:val="0"/>
                <w:szCs w:val="21"/>
              </w:rPr>
              <w:t>（1）掌握教学、现代教学和优化教学等概念</w:t>
            </w:r>
          </w:p>
          <w:p w14:paraId="52ADFD7D">
            <w:pPr>
              <w:jc w:val="left"/>
              <w:rPr>
                <w:rFonts w:hint="eastAsia" w:ascii="宋体" w:hAnsi="宋体" w:eastAsia="宋体" w:cs="Times New Roman"/>
                <w:kern w:val="0"/>
                <w:szCs w:val="21"/>
              </w:rPr>
            </w:pPr>
            <w:r>
              <w:rPr>
                <w:rFonts w:hint="eastAsia" w:ascii="宋体" w:hAnsi="宋体" w:eastAsia="宋体" w:cs="Times New Roman"/>
                <w:kern w:val="0"/>
                <w:szCs w:val="21"/>
              </w:rPr>
              <w:t>（2）了解教学发展历程及现代教学的特征</w:t>
            </w:r>
          </w:p>
          <w:p w14:paraId="77E2994C">
            <w:pPr>
              <w:jc w:val="left"/>
              <w:rPr>
                <w:rFonts w:hint="eastAsia" w:ascii="宋体" w:hAnsi="宋体" w:eastAsia="宋体" w:cs="Times New Roman"/>
                <w:kern w:val="0"/>
                <w:szCs w:val="21"/>
              </w:rPr>
            </w:pPr>
            <w:r>
              <w:rPr>
                <w:rFonts w:hint="eastAsia" w:ascii="宋体" w:hAnsi="宋体" w:eastAsia="宋体" w:cs="Times New Roman"/>
                <w:kern w:val="0"/>
                <w:szCs w:val="21"/>
              </w:rPr>
              <w:t>（3）探讨教学的本质</w:t>
            </w:r>
          </w:p>
          <w:p w14:paraId="4B1FE03C">
            <w:pPr>
              <w:jc w:val="left"/>
              <w:rPr>
                <w:rFonts w:hint="eastAsia" w:ascii="宋体" w:hAnsi="宋体" w:eastAsia="宋体" w:cs="Times New Roman"/>
                <w:kern w:val="0"/>
                <w:szCs w:val="21"/>
              </w:rPr>
            </w:pPr>
            <w:r>
              <w:rPr>
                <w:rFonts w:hint="eastAsia" w:ascii="宋体" w:hAnsi="宋体" w:eastAsia="宋体" w:cs="Times New Roman"/>
                <w:kern w:val="0"/>
                <w:szCs w:val="21"/>
              </w:rPr>
              <w:t>（4）掌握优化教学的策略</w:t>
            </w:r>
          </w:p>
        </w:tc>
        <w:tc>
          <w:tcPr>
            <w:tcW w:w="1560" w:type="dxa"/>
            <w:vAlign w:val="center"/>
          </w:tcPr>
          <w:p w14:paraId="20EA3FBB">
            <w:pPr>
              <w:jc w:val="left"/>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559BABEB">
            <w:pPr>
              <w:jc w:val="left"/>
              <w:rPr>
                <w:rFonts w:hint="eastAsia" w:ascii="宋体" w:hAnsi="宋体" w:eastAsia="宋体" w:cs="Times New Roman"/>
                <w:kern w:val="0"/>
                <w:szCs w:val="21"/>
              </w:rPr>
            </w:pPr>
            <w:r>
              <w:rPr>
                <w:rFonts w:hint="eastAsia" w:ascii="宋体" w:hAnsi="宋体" w:eastAsia="宋体" w:cs="Times New Roman"/>
                <w:kern w:val="0"/>
                <w:szCs w:val="21"/>
              </w:rPr>
              <w:t>3.课堂测验</w:t>
            </w:r>
          </w:p>
        </w:tc>
        <w:tc>
          <w:tcPr>
            <w:tcW w:w="438" w:type="dxa"/>
            <w:vAlign w:val="center"/>
          </w:tcPr>
          <w:p w14:paraId="501F3F0C">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6856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5A92BA0">
            <w:pPr>
              <w:jc w:val="center"/>
              <w:rPr>
                <w:rFonts w:hint="eastAsia" w:ascii="宋体" w:hAnsi="宋体" w:eastAsia="宋体" w:cs="Times New Roman"/>
                <w:kern w:val="0"/>
                <w:szCs w:val="21"/>
              </w:rPr>
            </w:pPr>
          </w:p>
        </w:tc>
        <w:tc>
          <w:tcPr>
            <w:tcW w:w="8093" w:type="dxa"/>
            <w:gridSpan w:val="5"/>
            <w:vAlign w:val="center"/>
          </w:tcPr>
          <w:p w14:paraId="15FB64CE">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通过学习教学的基本理论、发展历程和教学的本质等内容，明确教学是学校的中心工作，是实现教育目的的基本途径，增进目标感与使命感，坚定培养全面发展的人的教育目标，坚持以教学为主，坚定职业理想，为培养全面发展的社会主义建设者和接班人投身教育事业。</w:t>
            </w:r>
          </w:p>
        </w:tc>
      </w:tr>
      <w:tr w14:paraId="2B1D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B6EFE78">
            <w:pPr>
              <w:jc w:val="center"/>
              <w:rPr>
                <w:rFonts w:hint="eastAsia" w:ascii="宋体" w:hAnsi="宋体" w:eastAsia="宋体" w:cs="Times New Roman"/>
                <w:kern w:val="0"/>
                <w:szCs w:val="21"/>
              </w:rPr>
            </w:pPr>
            <w:r>
              <w:rPr>
                <w:rFonts w:hint="eastAsia" w:ascii="宋体" w:hAnsi="宋体" w:eastAsia="宋体" w:cs="Times New Roman"/>
                <w:kern w:val="0"/>
                <w:szCs w:val="21"/>
              </w:rPr>
              <w:t>（七）教学目标</w:t>
            </w:r>
          </w:p>
        </w:tc>
        <w:tc>
          <w:tcPr>
            <w:tcW w:w="1701" w:type="dxa"/>
            <w:vAlign w:val="center"/>
          </w:tcPr>
          <w:p w14:paraId="1C253C1B">
            <w:pPr>
              <w:jc w:val="left"/>
              <w:rPr>
                <w:rFonts w:hint="eastAsia" w:ascii="宋体" w:hAnsi="宋体" w:eastAsia="宋体" w:cs="Times New Roman"/>
                <w:kern w:val="0"/>
                <w:szCs w:val="21"/>
              </w:rPr>
            </w:pPr>
            <w:r>
              <w:rPr>
                <w:rFonts w:hint="eastAsia" w:ascii="宋体" w:hAnsi="宋体" w:eastAsia="宋体" w:cs="Times New Roman"/>
                <w:kern w:val="0"/>
                <w:szCs w:val="21"/>
              </w:rPr>
              <w:t>（1）教学目标概述</w:t>
            </w:r>
          </w:p>
          <w:p w14:paraId="5B7F8AAF">
            <w:pPr>
              <w:jc w:val="left"/>
              <w:rPr>
                <w:rFonts w:hint="eastAsia" w:ascii="宋体" w:hAnsi="宋体" w:eastAsia="宋体" w:cs="Times New Roman"/>
                <w:kern w:val="0"/>
                <w:szCs w:val="21"/>
              </w:rPr>
            </w:pPr>
            <w:r>
              <w:rPr>
                <w:rFonts w:hint="eastAsia" w:ascii="宋体" w:hAnsi="宋体" w:eastAsia="宋体" w:cs="Times New Roman"/>
                <w:kern w:val="0"/>
                <w:szCs w:val="21"/>
              </w:rPr>
              <w:t>（2）教学目标分类</w:t>
            </w:r>
          </w:p>
          <w:p w14:paraId="46F8423A">
            <w:pPr>
              <w:jc w:val="left"/>
              <w:rPr>
                <w:rFonts w:hint="eastAsia" w:ascii="宋体" w:hAnsi="宋体" w:eastAsia="宋体" w:cs="Times New Roman"/>
                <w:kern w:val="0"/>
                <w:szCs w:val="21"/>
              </w:rPr>
            </w:pPr>
            <w:r>
              <w:rPr>
                <w:rFonts w:hint="eastAsia" w:ascii="宋体" w:hAnsi="宋体" w:eastAsia="宋体" w:cs="Times New Roman"/>
                <w:kern w:val="0"/>
                <w:szCs w:val="21"/>
              </w:rPr>
              <w:t>（3）教学目标设计</w:t>
            </w:r>
          </w:p>
        </w:tc>
        <w:tc>
          <w:tcPr>
            <w:tcW w:w="1134" w:type="dxa"/>
            <w:vAlign w:val="center"/>
          </w:tcPr>
          <w:p w14:paraId="3D117F11">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课程目标1、2、4</w:t>
            </w:r>
          </w:p>
        </w:tc>
        <w:tc>
          <w:tcPr>
            <w:tcW w:w="3260" w:type="dxa"/>
            <w:vAlign w:val="center"/>
          </w:tcPr>
          <w:p w14:paraId="63447A67">
            <w:pPr>
              <w:jc w:val="left"/>
              <w:rPr>
                <w:rFonts w:hint="eastAsia" w:ascii="宋体" w:hAnsi="宋体" w:eastAsia="宋体" w:cs="Times New Roman"/>
                <w:kern w:val="0"/>
                <w:szCs w:val="21"/>
              </w:rPr>
            </w:pPr>
            <w:r>
              <w:rPr>
                <w:rFonts w:hint="eastAsia" w:ascii="宋体" w:hAnsi="宋体" w:eastAsia="宋体" w:cs="Times New Roman"/>
                <w:kern w:val="0"/>
                <w:szCs w:val="21"/>
              </w:rPr>
              <w:t>（1）了解教学目标的概念及其功能</w:t>
            </w:r>
          </w:p>
          <w:p w14:paraId="5518A958">
            <w:pPr>
              <w:jc w:val="left"/>
              <w:rPr>
                <w:rFonts w:hint="eastAsia" w:ascii="宋体" w:hAnsi="宋体" w:eastAsia="宋体" w:cs="Times New Roman"/>
                <w:kern w:val="0"/>
                <w:szCs w:val="21"/>
              </w:rPr>
            </w:pPr>
            <w:r>
              <w:rPr>
                <w:rFonts w:hint="eastAsia" w:ascii="宋体" w:hAnsi="宋体" w:eastAsia="宋体" w:cs="Times New Roman"/>
                <w:kern w:val="0"/>
                <w:szCs w:val="21"/>
              </w:rPr>
              <w:t>（2）掌握教学目标的分类、教学目标设计的基本原则、教学目标的设计的步骤与方法。</w:t>
            </w:r>
          </w:p>
          <w:p w14:paraId="2E256C56">
            <w:pPr>
              <w:jc w:val="left"/>
              <w:rPr>
                <w:rFonts w:hint="eastAsia" w:ascii="宋体" w:hAnsi="宋体" w:eastAsia="宋体" w:cs="Times New Roman"/>
                <w:kern w:val="0"/>
                <w:szCs w:val="21"/>
              </w:rPr>
            </w:pPr>
            <w:r>
              <w:rPr>
                <w:rFonts w:hint="eastAsia" w:ascii="宋体" w:hAnsi="宋体" w:eastAsia="宋体" w:cs="Times New Roman"/>
                <w:kern w:val="0"/>
                <w:szCs w:val="21"/>
              </w:rPr>
              <w:t>（3）学会设计小学课程的教学目标</w:t>
            </w:r>
          </w:p>
        </w:tc>
        <w:tc>
          <w:tcPr>
            <w:tcW w:w="1560" w:type="dxa"/>
            <w:vAlign w:val="center"/>
          </w:tcPr>
          <w:p w14:paraId="6CB9F123">
            <w:pPr>
              <w:jc w:val="left"/>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3464BA03">
            <w:pPr>
              <w:jc w:val="left"/>
              <w:rPr>
                <w:rFonts w:hint="eastAsia" w:ascii="宋体" w:hAnsi="宋体" w:eastAsia="宋体" w:cs="Times New Roman"/>
                <w:kern w:val="0"/>
                <w:szCs w:val="21"/>
              </w:rPr>
            </w:pPr>
            <w:r>
              <w:rPr>
                <w:rFonts w:hint="eastAsia" w:ascii="宋体" w:hAnsi="宋体" w:eastAsia="宋体" w:cs="Times New Roman"/>
                <w:kern w:val="0"/>
                <w:szCs w:val="21"/>
              </w:rPr>
              <w:t>3.课堂测验</w:t>
            </w:r>
          </w:p>
        </w:tc>
        <w:tc>
          <w:tcPr>
            <w:tcW w:w="438" w:type="dxa"/>
            <w:vAlign w:val="center"/>
          </w:tcPr>
          <w:p w14:paraId="1740C6F4">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11AE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DE6EEBB">
            <w:pPr>
              <w:jc w:val="center"/>
              <w:rPr>
                <w:rFonts w:hint="eastAsia" w:ascii="宋体" w:hAnsi="宋体" w:eastAsia="宋体" w:cs="Times New Roman"/>
                <w:kern w:val="0"/>
                <w:szCs w:val="21"/>
              </w:rPr>
            </w:pPr>
          </w:p>
        </w:tc>
        <w:tc>
          <w:tcPr>
            <w:tcW w:w="8093" w:type="dxa"/>
            <w:gridSpan w:val="5"/>
            <w:vAlign w:val="center"/>
          </w:tcPr>
          <w:p w14:paraId="3F61455D">
            <w:pPr>
              <w:jc w:val="left"/>
              <w:rPr>
                <w:rFonts w:hint="eastAsia" w:ascii="宋体" w:hAnsi="宋体" w:eastAsia="宋体" w:cs="Times New Roman"/>
                <w:b/>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通过学习，坚持正确的政治方向，能够由小到大、由局部到整体，形成强烈的目标感、使命感，明确自身的社会职责与国家使命，为国育人、为党育人。深刻理解习近平关于教育的论述：教育要“培养什么人、怎样培养人、为谁培养人”的问题。</w:t>
            </w:r>
          </w:p>
        </w:tc>
      </w:tr>
    </w:tbl>
    <w:tbl>
      <w:tblPr>
        <w:tblStyle w:val="24"/>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F5B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C117D47">
            <w:pPr>
              <w:jc w:val="center"/>
              <w:rPr>
                <w:rFonts w:hint="eastAsia" w:ascii="宋体" w:hAnsi="宋体" w:eastAsia="宋体" w:cs="Times New Roman"/>
                <w:kern w:val="0"/>
                <w:szCs w:val="21"/>
              </w:rPr>
            </w:pPr>
            <w:r>
              <w:rPr>
                <w:rFonts w:hint="eastAsia" w:ascii="宋体" w:hAnsi="宋体" w:eastAsia="宋体" w:cs="Times New Roman"/>
                <w:kern w:val="0"/>
                <w:szCs w:val="21"/>
              </w:rPr>
              <w:t>（八）教学模式与方法</w:t>
            </w:r>
          </w:p>
        </w:tc>
        <w:tc>
          <w:tcPr>
            <w:tcW w:w="1701" w:type="dxa"/>
            <w:vAlign w:val="center"/>
          </w:tcPr>
          <w:p w14:paraId="45FFFC10">
            <w:pPr>
              <w:jc w:val="left"/>
              <w:rPr>
                <w:rFonts w:hint="eastAsia" w:ascii="宋体" w:hAnsi="宋体" w:eastAsia="宋体" w:cs="Times New Roman"/>
                <w:kern w:val="0"/>
                <w:szCs w:val="21"/>
              </w:rPr>
            </w:pPr>
            <w:r>
              <w:rPr>
                <w:rFonts w:hint="eastAsia" w:ascii="宋体" w:hAnsi="宋体" w:eastAsia="宋体" w:cs="Times New Roman"/>
                <w:kern w:val="0"/>
                <w:szCs w:val="21"/>
              </w:rPr>
              <w:t>（1）教学模式概述与类型</w:t>
            </w:r>
          </w:p>
          <w:p w14:paraId="0875C19D">
            <w:pPr>
              <w:jc w:val="left"/>
              <w:rPr>
                <w:rFonts w:hint="eastAsia" w:ascii="宋体" w:hAnsi="宋体" w:eastAsia="宋体" w:cs="Times New Roman"/>
                <w:kern w:val="0"/>
                <w:szCs w:val="21"/>
              </w:rPr>
            </w:pPr>
            <w:r>
              <w:rPr>
                <w:rFonts w:hint="eastAsia" w:ascii="宋体" w:hAnsi="宋体" w:eastAsia="宋体" w:cs="Times New Roman"/>
                <w:kern w:val="0"/>
                <w:szCs w:val="21"/>
              </w:rPr>
              <w:t>（2）教学方法的概念及其分类</w:t>
            </w:r>
          </w:p>
          <w:p w14:paraId="289168AC">
            <w:pPr>
              <w:jc w:val="left"/>
              <w:rPr>
                <w:rFonts w:hint="eastAsia" w:ascii="宋体" w:hAnsi="宋体" w:eastAsia="宋体" w:cs="Times New Roman"/>
                <w:kern w:val="0"/>
                <w:szCs w:val="21"/>
              </w:rPr>
            </w:pPr>
            <w:r>
              <w:rPr>
                <w:rFonts w:hint="eastAsia" w:ascii="宋体" w:hAnsi="宋体" w:eastAsia="宋体" w:cs="Times New Roman"/>
                <w:kern w:val="0"/>
                <w:szCs w:val="21"/>
              </w:rPr>
              <w:t>（3）小学常用教学法及其选择与运用</w:t>
            </w:r>
          </w:p>
        </w:tc>
        <w:tc>
          <w:tcPr>
            <w:tcW w:w="1134" w:type="dxa"/>
            <w:vAlign w:val="center"/>
          </w:tcPr>
          <w:p w14:paraId="6D6950A5">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课程目标1、2、3、4</w:t>
            </w:r>
          </w:p>
        </w:tc>
        <w:tc>
          <w:tcPr>
            <w:tcW w:w="3260" w:type="dxa"/>
            <w:vAlign w:val="center"/>
          </w:tcPr>
          <w:p w14:paraId="7C47B2B0">
            <w:pPr>
              <w:jc w:val="left"/>
              <w:rPr>
                <w:rFonts w:hint="eastAsia" w:ascii="宋体" w:hAnsi="宋体" w:eastAsia="宋体" w:cs="Times New Roman"/>
                <w:kern w:val="0"/>
                <w:szCs w:val="21"/>
              </w:rPr>
            </w:pPr>
            <w:r>
              <w:rPr>
                <w:rFonts w:hint="eastAsia" w:ascii="宋体" w:hAnsi="宋体" w:eastAsia="宋体" w:cs="Times New Roman"/>
                <w:kern w:val="0"/>
                <w:szCs w:val="21"/>
              </w:rPr>
              <w:t>（1）认识教学模式和教学方法的概念</w:t>
            </w:r>
          </w:p>
          <w:p w14:paraId="659F07BD">
            <w:pPr>
              <w:jc w:val="left"/>
              <w:rPr>
                <w:rFonts w:hint="eastAsia" w:ascii="宋体" w:hAnsi="宋体" w:eastAsia="宋体" w:cs="Times New Roman"/>
                <w:kern w:val="0"/>
                <w:szCs w:val="21"/>
              </w:rPr>
            </w:pPr>
            <w:r>
              <w:rPr>
                <w:rFonts w:hint="eastAsia" w:ascii="宋体" w:hAnsi="宋体" w:eastAsia="宋体" w:cs="Times New Roman"/>
                <w:kern w:val="0"/>
                <w:szCs w:val="21"/>
              </w:rPr>
              <w:t>（2）了解教学模式发展的历史、现状和趋势，国内外教学方法改革的现状及发展趋势</w:t>
            </w:r>
          </w:p>
          <w:p w14:paraId="20F8DCF7">
            <w:pPr>
              <w:jc w:val="left"/>
              <w:rPr>
                <w:rFonts w:hint="eastAsia" w:ascii="宋体" w:hAnsi="宋体" w:eastAsia="宋体" w:cs="Times New Roman"/>
                <w:kern w:val="0"/>
                <w:szCs w:val="21"/>
              </w:rPr>
            </w:pPr>
            <w:r>
              <w:rPr>
                <w:rFonts w:hint="eastAsia" w:ascii="宋体" w:hAnsi="宋体" w:eastAsia="宋体" w:cs="Times New Roman"/>
                <w:kern w:val="0"/>
                <w:szCs w:val="21"/>
              </w:rPr>
              <w:t>（3）掌握当前几种比较重要的教学模式和小学常用的教学方法</w:t>
            </w:r>
          </w:p>
        </w:tc>
        <w:tc>
          <w:tcPr>
            <w:tcW w:w="1560" w:type="dxa"/>
            <w:vAlign w:val="center"/>
          </w:tcPr>
          <w:p w14:paraId="0641BA83">
            <w:pPr>
              <w:jc w:val="left"/>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229CF1B5">
            <w:pPr>
              <w:jc w:val="left"/>
              <w:rPr>
                <w:rFonts w:hint="eastAsia" w:ascii="宋体" w:hAnsi="宋体" w:eastAsia="宋体" w:cs="Times New Roman"/>
                <w:kern w:val="0"/>
                <w:szCs w:val="21"/>
              </w:rPr>
            </w:pPr>
            <w:r>
              <w:rPr>
                <w:rFonts w:hint="eastAsia" w:ascii="宋体" w:hAnsi="宋体" w:eastAsia="宋体" w:cs="Times New Roman"/>
                <w:kern w:val="0"/>
                <w:szCs w:val="21"/>
              </w:rPr>
              <w:t>3.课堂测验</w:t>
            </w:r>
          </w:p>
        </w:tc>
        <w:tc>
          <w:tcPr>
            <w:tcW w:w="438" w:type="dxa"/>
            <w:vAlign w:val="center"/>
          </w:tcPr>
          <w:p w14:paraId="79F1767B">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6987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1A83CD">
            <w:pPr>
              <w:jc w:val="center"/>
              <w:rPr>
                <w:rFonts w:hint="eastAsia" w:ascii="宋体" w:hAnsi="宋体" w:eastAsia="宋体" w:cs="Times New Roman"/>
                <w:kern w:val="0"/>
                <w:szCs w:val="21"/>
              </w:rPr>
            </w:pPr>
          </w:p>
        </w:tc>
        <w:tc>
          <w:tcPr>
            <w:tcW w:w="8093" w:type="dxa"/>
            <w:gridSpan w:val="5"/>
            <w:vAlign w:val="center"/>
          </w:tcPr>
          <w:p w14:paraId="333F20D9">
            <w:pPr>
              <w:jc w:val="left"/>
              <w:rPr>
                <w:rFonts w:hint="eastAsia" w:ascii="宋体" w:hAnsi="宋体" w:eastAsia="宋体" w:cs="Times New Roman"/>
                <w:b/>
                <w:kern w:val="0"/>
                <w:szCs w:val="21"/>
              </w:rPr>
            </w:pPr>
            <w:r>
              <w:rPr>
                <w:rFonts w:hint="eastAsia" w:ascii="宋体" w:hAnsi="宋体" w:eastAsia="宋体" w:cs="Times New Roman"/>
                <w:b/>
                <w:kern w:val="0"/>
                <w:szCs w:val="21"/>
              </w:rPr>
              <w:t>课程思政目标：</w:t>
            </w:r>
          </w:p>
          <w:p w14:paraId="17DBE25A">
            <w:pPr>
              <w:jc w:val="left"/>
              <w:rPr>
                <w:rFonts w:hint="eastAsia" w:ascii="宋体" w:hAnsi="宋体" w:eastAsia="宋体" w:cs="Times New Roman"/>
                <w:kern w:val="0"/>
                <w:szCs w:val="21"/>
              </w:rPr>
            </w:pPr>
            <w:r>
              <w:rPr>
                <w:rFonts w:hint="eastAsia" w:ascii="宋体" w:hAnsi="宋体" w:eastAsia="宋体" w:cs="Times New Roman"/>
                <w:kern w:val="0"/>
                <w:szCs w:val="21"/>
              </w:rPr>
              <w:t>通过教学模式和教学方法的学习，明确在未来的教学中必须遵循马克思主义的立场、观点和方法，能够传承、灵活创新、大胆尝试新的教学方法。通过国内外主要教学的模式和方法的学习，拓展国际视野，树立民族自信心和自豪感。能够贴近实际、贴近生活、贴近学生，春风化雨。</w:t>
            </w:r>
          </w:p>
        </w:tc>
      </w:tr>
    </w:tbl>
    <w:tbl>
      <w:tblPr>
        <w:tblStyle w:val="2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1CDF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F02341">
            <w:pPr>
              <w:jc w:val="center"/>
              <w:rPr>
                <w:rFonts w:hint="eastAsia" w:ascii="宋体" w:hAnsi="宋体" w:eastAsia="宋体" w:cs="Times New Roman"/>
                <w:kern w:val="0"/>
                <w:szCs w:val="21"/>
              </w:rPr>
            </w:pPr>
            <w:r>
              <w:rPr>
                <w:rFonts w:hint="eastAsia" w:ascii="宋体" w:hAnsi="宋体" w:eastAsia="宋体" w:cs="Times New Roman"/>
                <w:kern w:val="0"/>
                <w:szCs w:val="21"/>
              </w:rPr>
              <w:t>（九）教学手段</w:t>
            </w:r>
          </w:p>
        </w:tc>
        <w:tc>
          <w:tcPr>
            <w:tcW w:w="1701" w:type="dxa"/>
            <w:vAlign w:val="center"/>
          </w:tcPr>
          <w:p w14:paraId="45852850">
            <w:pPr>
              <w:jc w:val="left"/>
              <w:rPr>
                <w:rFonts w:hint="eastAsia" w:ascii="宋体" w:hAnsi="宋体" w:eastAsia="宋体" w:cs="Times New Roman"/>
                <w:kern w:val="0"/>
                <w:szCs w:val="21"/>
              </w:rPr>
            </w:pPr>
            <w:r>
              <w:rPr>
                <w:rFonts w:hint="eastAsia" w:ascii="宋体" w:hAnsi="宋体" w:eastAsia="宋体" w:cs="Times New Roman"/>
                <w:kern w:val="0"/>
                <w:szCs w:val="21"/>
              </w:rPr>
              <w:t>（1）教学手段概述</w:t>
            </w:r>
          </w:p>
          <w:p w14:paraId="20686BA4">
            <w:pPr>
              <w:jc w:val="left"/>
              <w:rPr>
                <w:rFonts w:hint="eastAsia" w:ascii="宋体" w:hAnsi="宋体" w:eastAsia="宋体" w:cs="Times New Roman"/>
                <w:kern w:val="0"/>
                <w:szCs w:val="21"/>
              </w:rPr>
            </w:pPr>
            <w:r>
              <w:rPr>
                <w:rFonts w:hint="eastAsia" w:ascii="宋体" w:hAnsi="宋体" w:eastAsia="宋体" w:cs="Times New Roman"/>
                <w:kern w:val="0"/>
                <w:szCs w:val="21"/>
              </w:rPr>
              <w:t>（2）教学手段分类</w:t>
            </w:r>
          </w:p>
          <w:p w14:paraId="60F63F9A">
            <w:pPr>
              <w:jc w:val="left"/>
              <w:rPr>
                <w:rFonts w:hint="eastAsia" w:ascii="宋体" w:hAnsi="宋体" w:eastAsia="宋体" w:cs="Times New Roman"/>
                <w:kern w:val="0"/>
                <w:szCs w:val="21"/>
              </w:rPr>
            </w:pPr>
            <w:r>
              <w:rPr>
                <w:rFonts w:hint="eastAsia" w:ascii="宋体" w:hAnsi="宋体" w:eastAsia="宋体" w:cs="Times New Roman"/>
                <w:kern w:val="0"/>
                <w:szCs w:val="21"/>
              </w:rPr>
              <w:t>（3）教学手段的选择与应用</w:t>
            </w:r>
          </w:p>
          <w:p w14:paraId="61F2ECA8">
            <w:pPr>
              <w:jc w:val="left"/>
              <w:rPr>
                <w:rFonts w:hint="eastAsia" w:ascii="宋体" w:hAnsi="宋体" w:eastAsia="宋体" w:cs="Times New Roman"/>
                <w:kern w:val="0"/>
                <w:szCs w:val="21"/>
              </w:rPr>
            </w:pPr>
            <w:r>
              <w:rPr>
                <w:rFonts w:hint="eastAsia" w:ascii="宋体" w:hAnsi="宋体" w:eastAsia="宋体" w:cs="Times New Roman"/>
                <w:kern w:val="0"/>
                <w:szCs w:val="21"/>
              </w:rPr>
              <w:t>（4）教学手段现代化对教学的影响</w:t>
            </w:r>
          </w:p>
        </w:tc>
        <w:tc>
          <w:tcPr>
            <w:tcW w:w="1134" w:type="dxa"/>
            <w:vAlign w:val="center"/>
          </w:tcPr>
          <w:p w14:paraId="3F6DD095">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课程目标1、3、4</w:t>
            </w:r>
          </w:p>
        </w:tc>
        <w:tc>
          <w:tcPr>
            <w:tcW w:w="3260" w:type="dxa"/>
            <w:vAlign w:val="center"/>
          </w:tcPr>
          <w:p w14:paraId="72E7BF04">
            <w:pPr>
              <w:jc w:val="left"/>
              <w:rPr>
                <w:rFonts w:hint="eastAsia" w:ascii="宋体" w:hAnsi="宋体" w:eastAsia="宋体" w:cs="Times New Roman"/>
                <w:kern w:val="0"/>
                <w:szCs w:val="21"/>
              </w:rPr>
            </w:pPr>
            <w:r>
              <w:rPr>
                <w:rFonts w:hint="eastAsia" w:ascii="宋体" w:hAnsi="宋体" w:eastAsia="宋体" w:cs="Times New Roman"/>
                <w:kern w:val="0"/>
                <w:szCs w:val="21"/>
              </w:rPr>
              <w:t>（1）理解教学手段的概念，明了教学手段的不同分类</w:t>
            </w:r>
          </w:p>
          <w:p w14:paraId="3F97E2F5">
            <w:pPr>
              <w:jc w:val="left"/>
              <w:rPr>
                <w:rFonts w:hint="eastAsia" w:ascii="宋体" w:hAnsi="宋体" w:eastAsia="宋体" w:cs="Times New Roman"/>
                <w:kern w:val="0"/>
                <w:szCs w:val="21"/>
              </w:rPr>
            </w:pPr>
            <w:r>
              <w:rPr>
                <w:rFonts w:hint="eastAsia" w:ascii="宋体" w:hAnsi="宋体" w:eastAsia="宋体" w:cs="Times New Roman"/>
                <w:kern w:val="0"/>
                <w:szCs w:val="21"/>
              </w:rPr>
              <w:t>（2）了解各种教学手段的特点及功能</w:t>
            </w:r>
          </w:p>
          <w:p w14:paraId="40EA9710">
            <w:pPr>
              <w:jc w:val="left"/>
              <w:rPr>
                <w:rFonts w:hint="eastAsia" w:ascii="宋体" w:hAnsi="宋体" w:eastAsia="宋体" w:cs="Times New Roman"/>
                <w:kern w:val="0"/>
                <w:szCs w:val="21"/>
              </w:rPr>
            </w:pPr>
            <w:r>
              <w:rPr>
                <w:rFonts w:hint="eastAsia" w:ascii="宋体" w:hAnsi="宋体" w:eastAsia="宋体" w:cs="Times New Roman"/>
                <w:kern w:val="0"/>
                <w:szCs w:val="21"/>
              </w:rPr>
              <w:t>（3）掌握选用教学手段的基本原则</w:t>
            </w:r>
          </w:p>
          <w:p w14:paraId="02B21449">
            <w:pPr>
              <w:jc w:val="left"/>
              <w:rPr>
                <w:rFonts w:hint="eastAsia" w:ascii="宋体" w:hAnsi="宋体" w:eastAsia="宋体" w:cs="Times New Roman"/>
                <w:kern w:val="0"/>
                <w:szCs w:val="21"/>
              </w:rPr>
            </w:pPr>
            <w:r>
              <w:rPr>
                <w:rFonts w:hint="eastAsia" w:ascii="宋体" w:hAnsi="宋体" w:eastAsia="宋体" w:cs="Times New Roman"/>
                <w:kern w:val="0"/>
                <w:szCs w:val="21"/>
              </w:rPr>
              <w:t>（4）理解教学手段现代化的内涵及其意义</w:t>
            </w:r>
          </w:p>
        </w:tc>
        <w:tc>
          <w:tcPr>
            <w:tcW w:w="1560" w:type="dxa"/>
            <w:vAlign w:val="center"/>
          </w:tcPr>
          <w:p w14:paraId="04C0F556">
            <w:pPr>
              <w:jc w:val="left"/>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79909C4A">
            <w:pPr>
              <w:jc w:val="left"/>
              <w:rPr>
                <w:rFonts w:hint="eastAsia" w:ascii="宋体" w:hAnsi="宋体" w:eastAsia="宋体" w:cs="Times New Roman"/>
                <w:kern w:val="0"/>
                <w:szCs w:val="21"/>
              </w:rPr>
            </w:pPr>
            <w:r>
              <w:rPr>
                <w:rFonts w:hint="eastAsia" w:ascii="宋体" w:hAnsi="宋体" w:eastAsia="宋体" w:cs="Times New Roman"/>
                <w:kern w:val="0"/>
                <w:szCs w:val="21"/>
              </w:rPr>
              <w:t>3.课堂测验</w:t>
            </w:r>
          </w:p>
        </w:tc>
        <w:tc>
          <w:tcPr>
            <w:tcW w:w="438" w:type="dxa"/>
            <w:vAlign w:val="center"/>
          </w:tcPr>
          <w:p w14:paraId="3BC8AE9F">
            <w:pPr>
              <w:jc w:val="center"/>
              <w:rPr>
                <w:rFonts w:hint="eastAsia" w:ascii="宋体" w:hAnsi="宋体" w:eastAsia="宋体" w:cs="Times New Roman"/>
                <w:kern w:val="0"/>
                <w:szCs w:val="21"/>
              </w:rPr>
            </w:pPr>
            <w:r>
              <w:rPr>
                <w:rFonts w:hint="eastAsia" w:ascii="宋体" w:hAnsi="宋体" w:eastAsia="宋体" w:cs="Times New Roman"/>
                <w:kern w:val="0"/>
                <w:szCs w:val="21"/>
              </w:rPr>
              <w:t>1</w:t>
            </w:r>
          </w:p>
        </w:tc>
      </w:tr>
      <w:tr w14:paraId="567B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30BE98D">
            <w:pPr>
              <w:jc w:val="center"/>
              <w:rPr>
                <w:rFonts w:hint="eastAsia" w:ascii="宋体" w:hAnsi="宋体" w:eastAsia="宋体" w:cs="Times New Roman"/>
                <w:kern w:val="0"/>
                <w:szCs w:val="21"/>
              </w:rPr>
            </w:pPr>
          </w:p>
        </w:tc>
        <w:tc>
          <w:tcPr>
            <w:tcW w:w="8093" w:type="dxa"/>
            <w:gridSpan w:val="5"/>
            <w:vAlign w:val="center"/>
          </w:tcPr>
          <w:p w14:paraId="0B0B95BA">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通过教学手段现代化的学习，了解信息化、数字化时代背景下教师所应具备的数字素养、数字化教学手段，</w:t>
            </w:r>
            <w:bookmarkStart w:id="629" w:name="_Hlk182298844"/>
            <w:r>
              <w:rPr>
                <w:rFonts w:hint="eastAsia" w:ascii="宋体" w:hAnsi="宋体" w:eastAsia="宋体" w:cs="Times New Roman"/>
                <w:kern w:val="0"/>
                <w:szCs w:val="21"/>
              </w:rPr>
              <w:t>了解基本的教具，</w:t>
            </w:r>
            <w:bookmarkEnd w:id="629"/>
            <w:r>
              <w:rPr>
                <w:rFonts w:hint="eastAsia" w:ascii="宋体" w:hAnsi="宋体" w:eastAsia="宋体" w:cs="Times New Roman"/>
                <w:kern w:val="0"/>
                <w:szCs w:val="21"/>
              </w:rPr>
              <w:t>灵活运用现代化教学手段，提高教学技能，树立科学精神。</w:t>
            </w:r>
          </w:p>
        </w:tc>
      </w:tr>
    </w:tbl>
    <w:tbl>
      <w:tblPr>
        <w:tblStyle w:val="26"/>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9C8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11BF486">
            <w:pPr>
              <w:jc w:val="center"/>
              <w:rPr>
                <w:rFonts w:hint="eastAsia" w:ascii="宋体" w:hAnsi="宋体" w:eastAsia="宋体" w:cs="Times New Roman"/>
                <w:kern w:val="0"/>
                <w:szCs w:val="21"/>
              </w:rPr>
            </w:pPr>
            <w:r>
              <w:rPr>
                <w:rFonts w:hint="eastAsia" w:ascii="宋体" w:hAnsi="宋体" w:eastAsia="宋体" w:cs="Times New Roman"/>
                <w:kern w:val="0"/>
                <w:szCs w:val="21"/>
              </w:rPr>
              <w:t>（十）教学组织形式</w:t>
            </w:r>
          </w:p>
        </w:tc>
        <w:tc>
          <w:tcPr>
            <w:tcW w:w="1701" w:type="dxa"/>
            <w:vAlign w:val="center"/>
          </w:tcPr>
          <w:p w14:paraId="08809FEF">
            <w:pPr>
              <w:jc w:val="left"/>
              <w:rPr>
                <w:rFonts w:hint="eastAsia" w:ascii="宋体" w:hAnsi="宋体" w:eastAsia="宋体" w:cs="Times New Roman"/>
                <w:kern w:val="0"/>
                <w:szCs w:val="21"/>
              </w:rPr>
            </w:pPr>
            <w:r>
              <w:rPr>
                <w:rFonts w:hint="eastAsia" w:ascii="宋体" w:hAnsi="宋体" w:eastAsia="宋体" w:cs="Times New Roman"/>
                <w:kern w:val="0"/>
                <w:szCs w:val="21"/>
              </w:rPr>
              <w:t>（1）教学组织形式概述</w:t>
            </w:r>
          </w:p>
          <w:p w14:paraId="498452D7">
            <w:pPr>
              <w:jc w:val="left"/>
              <w:rPr>
                <w:rFonts w:hint="eastAsia" w:ascii="宋体" w:hAnsi="宋体" w:eastAsia="宋体" w:cs="Times New Roman"/>
                <w:kern w:val="0"/>
                <w:szCs w:val="21"/>
              </w:rPr>
            </w:pPr>
            <w:r>
              <w:rPr>
                <w:rFonts w:hint="eastAsia" w:ascii="宋体" w:hAnsi="宋体" w:eastAsia="宋体" w:cs="Times New Roman"/>
                <w:kern w:val="0"/>
                <w:szCs w:val="21"/>
              </w:rPr>
              <w:t>（2）常见的教学组织形式</w:t>
            </w:r>
          </w:p>
          <w:p w14:paraId="746AD2BA">
            <w:pPr>
              <w:jc w:val="left"/>
              <w:rPr>
                <w:rFonts w:hint="eastAsia" w:ascii="宋体" w:hAnsi="宋体" w:eastAsia="宋体" w:cs="Times New Roman"/>
                <w:kern w:val="0"/>
                <w:szCs w:val="21"/>
              </w:rPr>
            </w:pPr>
            <w:r>
              <w:rPr>
                <w:rFonts w:hint="eastAsia" w:ascii="宋体" w:hAnsi="宋体" w:eastAsia="宋体" w:cs="Times New Roman"/>
                <w:kern w:val="0"/>
                <w:szCs w:val="21"/>
              </w:rPr>
              <w:t>（3）教学组织形式的制约因素</w:t>
            </w:r>
          </w:p>
          <w:p w14:paraId="4123147E">
            <w:pPr>
              <w:jc w:val="left"/>
              <w:rPr>
                <w:rFonts w:hint="eastAsia" w:ascii="宋体" w:hAnsi="宋体" w:eastAsia="宋体" w:cs="Times New Roman"/>
                <w:kern w:val="0"/>
                <w:szCs w:val="21"/>
              </w:rPr>
            </w:pPr>
            <w:r>
              <w:rPr>
                <w:rFonts w:hint="eastAsia" w:ascii="宋体" w:hAnsi="宋体" w:eastAsia="宋体" w:cs="Times New Roman"/>
                <w:kern w:val="0"/>
                <w:szCs w:val="21"/>
              </w:rPr>
              <w:t>（4）教学工作的基本环节</w:t>
            </w:r>
          </w:p>
        </w:tc>
        <w:tc>
          <w:tcPr>
            <w:tcW w:w="1134" w:type="dxa"/>
            <w:vAlign w:val="center"/>
          </w:tcPr>
          <w:p w14:paraId="79D60767">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课程目标1、3、4</w:t>
            </w:r>
          </w:p>
        </w:tc>
        <w:tc>
          <w:tcPr>
            <w:tcW w:w="3260" w:type="dxa"/>
            <w:vAlign w:val="center"/>
          </w:tcPr>
          <w:p w14:paraId="22E6EE42">
            <w:pPr>
              <w:jc w:val="left"/>
              <w:rPr>
                <w:rFonts w:hint="eastAsia" w:ascii="宋体" w:hAnsi="宋体" w:eastAsia="宋体" w:cs="Times New Roman"/>
                <w:kern w:val="0"/>
                <w:szCs w:val="21"/>
              </w:rPr>
            </w:pPr>
            <w:r>
              <w:rPr>
                <w:rFonts w:hint="eastAsia" w:ascii="宋体" w:hAnsi="宋体" w:eastAsia="宋体" w:cs="Times New Roman"/>
                <w:kern w:val="0"/>
                <w:szCs w:val="21"/>
              </w:rPr>
              <w:t>（1）明确教学组织形式的内涵、意义和历史演变</w:t>
            </w:r>
          </w:p>
          <w:p w14:paraId="104F2CED">
            <w:pPr>
              <w:jc w:val="left"/>
              <w:rPr>
                <w:rFonts w:hint="eastAsia" w:ascii="宋体" w:hAnsi="宋体" w:eastAsia="宋体" w:cs="Times New Roman"/>
                <w:kern w:val="0"/>
                <w:szCs w:val="21"/>
              </w:rPr>
            </w:pPr>
            <w:r>
              <w:rPr>
                <w:rFonts w:hint="eastAsia" w:ascii="宋体" w:hAnsi="宋体" w:eastAsia="宋体" w:cs="Times New Roman"/>
                <w:kern w:val="0"/>
                <w:szCs w:val="21"/>
              </w:rPr>
              <w:t>（2）熟悉常见的教学组织形式</w:t>
            </w:r>
          </w:p>
          <w:p w14:paraId="487B367F">
            <w:pPr>
              <w:jc w:val="left"/>
              <w:rPr>
                <w:rFonts w:hint="eastAsia" w:ascii="宋体" w:hAnsi="宋体" w:eastAsia="宋体" w:cs="Times New Roman"/>
                <w:kern w:val="0"/>
                <w:szCs w:val="21"/>
              </w:rPr>
            </w:pPr>
            <w:r>
              <w:rPr>
                <w:rFonts w:hint="eastAsia" w:ascii="宋体" w:hAnsi="宋体" w:eastAsia="宋体" w:cs="Times New Roman"/>
                <w:kern w:val="0"/>
                <w:szCs w:val="21"/>
              </w:rPr>
              <w:t>（3）全面认识班级授课制</w:t>
            </w:r>
          </w:p>
          <w:p w14:paraId="39E67B08">
            <w:pPr>
              <w:jc w:val="left"/>
              <w:rPr>
                <w:rFonts w:hint="eastAsia" w:ascii="宋体" w:hAnsi="宋体" w:eastAsia="宋体" w:cs="Times New Roman"/>
                <w:kern w:val="0"/>
                <w:szCs w:val="21"/>
              </w:rPr>
            </w:pPr>
            <w:r>
              <w:rPr>
                <w:rFonts w:hint="eastAsia" w:ascii="宋体" w:hAnsi="宋体" w:eastAsia="宋体" w:cs="Times New Roman"/>
                <w:kern w:val="0"/>
                <w:szCs w:val="21"/>
              </w:rPr>
              <w:t>（4）掌握教学工作的基本程序</w:t>
            </w:r>
          </w:p>
        </w:tc>
        <w:tc>
          <w:tcPr>
            <w:tcW w:w="1560" w:type="dxa"/>
            <w:vAlign w:val="center"/>
          </w:tcPr>
          <w:p w14:paraId="5A0AB407">
            <w:pPr>
              <w:jc w:val="left"/>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67A94D61">
            <w:pPr>
              <w:jc w:val="left"/>
              <w:rPr>
                <w:rFonts w:hint="eastAsia" w:ascii="宋体" w:hAnsi="宋体" w:eastAsia="宋体" w:cs="Times New Roman"/>
                <w:kern w:val="0"/>
                <w:szCs w:val="21"/>
              </w:rPr>
            </w:pPr>
            <w:r>
              <w:rPr>
                <w:rFonts w:hint="eastAsia" w:ascii="宋体" w:hAnsi="宋体" w:eastAsia="宋体" w:cs="Times New Roman"/>
                <w:kern w:val="0"/>
                <w:szCs w:val="21"/>
              </w:rPr>
              <w:t>3.课堂测验</w:t>
            </w:r>
          </w:p>
        </w:tc>
        <w:tc>
          <w:tcPr>
            <w:tcW w:w="438" w:type="dxa"/>
            <w:vAlign w:val="center"/>
          </w:tcPr>
          <w:p w14:paraId="650A5E19">
            <w:pPr>
              <w:jc w:val="center"/>
              <w:rPr>
                <w:rFonts w:hint="eastAsia" w:ascii="宋体" w:hAnsi="宋体" w:eastAsia="宋体" w:cs="Times New Roman"/>
                <w:kern w:val="0"/>
                <w:szCs w:val="21"/>
              </w:rPr>
            </w:pPr>
            <w:r>
              <w:rPr>
                <w:rFonts w:hint="eastAsia" w:ascii="宋体" w:hAnsi="宋体" w:eastAsia="宋体" w:cs="Times New Roman"/>
                <w:kern w:val="0"/>
                <w:szCs w:val="21"/>
              </w:rPr>
              <w:t>3</w:t>
            </w:r>
          </w:p>
        </w:tc>
      </w:tr>
      <w:tr w14:paraId="684C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94AC7A1">
            <w:pPr>
              <w:jc w:val="center"/>
              <w:rPr>
                <w:rFonts w:hint="eastAsia" w:ascii="宋体" w:hAnsi="宋体" w:eastAsia="宋体" w:cs="Times New Roman"/>
                <w:kern w:val="0"/>
                <w:szCs w:val="21"/>
              </w:rPr>
            </w:pPr>
          </w:p>
        </w:tc>
        <w:tc>
          <w:tcPr>
            <w:tcW w:w="8093" w:type="dxa"/>
            <w:gridSpan w:val="5"/>
            <w:vAlign w:val="center"/>
          </w:tcPr>
          <w:p w14:paraId="14D91D78">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明确中小学教育改革发展的以学生发展为本的理念，以立德树人为己任，贯彻党的教育方针、自觉践行社会主义核心价值观。把握教育的本质在于培养人，深刻理解习近平曾多次论述的教育要“培养什么人、怎样培养人、为谁培养人”的问题。</w:t>
            </w:r>
          </w:p>
        </w:tc>
      </w:tr>
    </w:tbl>
    <w:tbl>
      <w:tblPr>
        <w:tblStyle w:val="27"/>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46CF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FF2F1FE">
            <w:pPr>
              <w:jc w:val="center"/>
              <w:rPr>
                <w:rFonts w:hint="eastAsia" w:ascii="宋体" w:hAnsi="宋体" w:eastAsia="宋体" w:cs="Times New Roman"/>
                <w:kern w:val="0"/>
                <w:szCs w:val="21"/>
              </w:rPr>
            </w:pPr>
            <w:r>
              <w:rPr>
                <w:rFonts w:hint="eastAsia" w:ascii="宋体" w:hAnsi="宋体" w:eastAsia="宋体" w:cs="Times New Roman"/>
                <w:kern w:val="0"/>
                <w:szCs w:val="21"/>
              </w:rPr>
              <w:t>（十一）教学评价</w:t>
            </w:r>
          </w:p>
        </w:tc>
        <w:tc>
          <w:tcPr>
            <w:tcW w:w="1701" w:type="dxa"/>
            <w:vAlign w:val="center"/>
          </w:tcPr>
          <w:p w14:paraId="363A8A5F">
            <w:pPr>
              <w:jc w:val="left"/>
              <w:rPr>
                <w:rFonts w:hint="eastAsia" w:ascii="宋体" w:hAnsi="宋体" w:eastAsia="宋体" w:cs="Times New Roman"/>
                <w:kern w:val="0"/>
                <w:szCs w:val="21"/>
              </w:rPr>
            </w:pPr>
            <w:r>
              <w:rPr>
                <w:rFonts w:hint="eastAsia" w:ascii="宋体" w:hAnsi="宋体" w:eastAsia="宋体" w:cs="Times New Roman"/>
                <w:kern w:val="0"/>
                <w:szCs w:val="21"/>
              </w:rPr>
              <w:t>（1）教学评价概述</w:t>
            </w:r>
          </w:p>
          <w:p w14:paraId="7EDB23F7">
            <w:pPr>
              <w:jc w:val="left"/>
              <w:rPr>
                <w:rFonts w:hint="eastAsia" w:ascii="宋体" w:hAnsi="宋体" w:eastAsia="宋体" w:cs="Times New Roman"/>
                <w:kern w:val="0"/>
                <w:szCs w:val="21"/>
              </w:rPr>
            </w:pPr>
            <w:r>
              <w:rPr>
                <w:rFonts w:hint="eastAsia" w:ascii="宋体" w:hAnsi="宋体" w:eastAsia="宋体" w:cs="Times New Roman"/>
                <w:kern w:val="0"/>
                <w:szCs w:val="21"/>
              </w:rPr>
              <w:t>（2）教师课堂教学效果评价</w:t>
            </w:r>
          </w:p>
          <w:p w14:paraId="37FFC98B">
            <w:pPr>
              <w:jc w:val="left"/>
              <w:rPr>
                <w:rFonts w:hint="eastAsia" w:ascii="宋体" w:hAnsi="宋体" w:eastAsia="宋体" w:cs="Times New Roman"/>
                <w:kern w:val="0"/>
                <w:szCs w:val="21"/>
              </w:rPr>
            </w:pPr>
            <w:r>
              <w:rPr>
                <w:rFonts w:hint="eastAsia" w:ascii="宋体" w:hAnsi="宋体" w:eastAsia="宋体" w:cs="Times New Roman"/>
                <w:kern w:val="0"/>
                <w:szCs w:val="21"/>
              </w:rPr>
              <w:t>（3）学生课堂学习效果评价</w:t>
            </w:r>
          </w:p>
          <w:p w14:paraId="6AE3BB6D">
            <w:pPr>
              <w:jc w:val="left"/>
              <w:rPr>
                <w:rFonts w:hint="eastAsia" w:ascii="宋体" w:hAnsi="宋体" w:eastAsia="宋体" w:cs="Times New Roman"/>
                <w:kern w:val="0"/>
                <w:szCs w:val="21"/>
              </w:rPr>
            </w:pPr>
            <w:r>
              <w:rPr>
                <w:rFonts w:hint="eastAsia" w:ascii="宋体" w:hAnsi="宋体" w:eastAsia="宋体" w:cs="Times New Roman"/>
                <w:kern w:val="0"/>
                <w:szCs w:val="21"/>
              </w:rPr>
              <w:t>（4）当代教学评价的新特点</w:t>
            </w:r>
          </w:p>
        </w:tc>
        <w:tc>
          <w:tcPr>
            <w:tcW w:w="1134" w:type="dxa"/>
            <w:vAlign w:val="center"/>
          </w:tcPr>
          <w:p w14:paraId="3D9A2DF3">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课程目标1、2、3、4</w:t>
            </w:r>
          </w:p>
        </w:tc>
        <w:tc>
          <w:tcPr>
            <w:tcW w:w="3260" w:type="dxa"/>
            <w:vAlign w:val="center"/>
          </w:tcPr>
          <w:p w14:paraId="5EE185BD">
            <w:pPr>
              <w:jc w:val="left"/>
              <w:rPr>
                <w:rFonts w:hint="eastAsia" w:ascii="宋体" w:hAnsi="宋体" w:eastAsia="宋体" w:cs="Times New Roman"/>
                <w:kern w:val="0"/>
                <w:szCs w:val="21"/>
              </w:rPr>
            </w:pPr>
            <w:r>
              <w:rPr>
                <w:rFonts w:hint="eastAsia" w:ascii="宋体" w:hAnsi="宋体" w:eastAsia="宋体" w:cs="Times New Roman"/>
                <w:kern w:val="0"/>
                <w:szCs w:val="21"/>
              </w:rPr>
              <w:t>（1）了解教学评价的内容</w:t>
            </w:r>
          </w:p>
          <w:p w14:paraId="0CD481EC">
            <w:pPr>
              <w:jc w:val="left"/>
              <w:rPr>
                <w:rFonts w:hint="eastAsia" w:ascii="宋体" w:hAnsi="宋体" w:eastAsia="宋体" w:cs="Times New Roman"/>
                <w:kern w:val="0"/>
                <w:szCs w:val="21"/>
              </w:rPr>
            </w:pPr>
            <w:r>
              <w:rPr>
                <w:rFonts w:hint="eastAsia" w:ascii="宋体" w:hAnsi="宋体" w:eastAsia="宋体" w:cs="Times New Roman"/>
                <w:kern w:val="0"/>
                <w:szCs w:val="21"/>
              </w:rPr>
              <w:t>（2）掌握有关教学评价的策略与方法</w:t>
            </w:r>
          </w:p>
          <w:p w14:paraId="4F89018A">
            <w:pPr>
              <w:jc w:val="left"/>
              <w:rPr>
                <w:rFonts w:hint="eastAsia" w:ascii="宋体" w:hAnsi="宋体" w:eastAsia="宋体" w:cs="Times New Roman"/>
                <w:kern w:val="0"/>
                <w:szCs w:val="21"/>
              </w:rPr>
            </w:pPr>
            <w:r>
              <w:rPr>
                <w:rFonts w:hint="eastAsia" w:ascii="宋体" w:hAnsi="宋体" w:eastAsia="宋体" w:cs="Times New Roman"/>
                <w:kern w:val="0"/>
                <w:szCs w:val="21"/>
              </w:rPr>
              <w:t>（3）反思我国教学评价存在的问题</w:t>
            </w:r>
          </w:p>
        </w:tc>
        <w:tc>
          <w:tcPr>
            <w:tcW w:w="1560" w:type="dxa"/>
            <w:vAlign w:val="center"/>
          </w:tcPr>
          <w:p w14:paraId="560CFDEC">
            <w:pPr>
              <w:jc w:val="left"/>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4B762B10">
            <w:pPr>
              <w:jc w:val="left"/>
              <w:rPr>
                <w:rFonts w:hint="eastAsia" w:ascii="宋体" w:hAnsi="宋体" w:eastAsia="宋体" w:cs="Times New Roman"/>
                <w:kern w:val="0"/>
                <w:szCs w:val="21"/>
              </w:rPr>
            </w:pPr>
            <w:r>
              <w:rPr>
                <w:rFonts w:hint="eastAsia" w:ascii="宋体" w:hAnsi="宋体" w:eastAsia="宋体" w:cs="Times New Roman"/>
                <w:kern w:val="0"/>
                <w:szCs w:val="21"/>
              </w:rPr>
              <w:t>3.课堂测验</w:t>
            </w:r>
          </w:p>
        </w:tc>
        <w:tc>
          <w:tcPr>
            <w:tcW w:w="438" w:type="dxa"/>
            <w:vAlign w:val="center"/>
          </w:tcPr>
          <w:p w14:paraId="0F5EE6F9">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087AA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Merge w:val="continue"/>
            <w:vAlign w:val="center"/>
          </w:tcPr>
          <w:p w14:paraId="23D392DC">
            <w:pPr>
              <w:jc w:val="center"/>
              <w:rPr>
                <w:rFonts w:hint="eastAsia" w:ascii="宋体" w:hAnsi="宋体" w:eastAsia="宋体" w:cs="Times New Roman"/>
                <w:kern w:val="0"/>
                <w:szCs w:val="21"/>
              </w:rPr>
            </w:pPr>
          </w:p>
        </w:tc>
        <w:tc>
          <w:tcPr>
            <w:tcW w:w="8093" w:type="dxa"/>
            <w:gridSpan w:val="5"/>
            <w:vAlign w:val="center"/>
          </w:tcPr>
          <w:p w14:paraId="06B5D35F">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通过教学评价的学习，懂得必须尊重每一个学生个性发展的完整性、独立性、具体性和特殊性，树立正确的儿童观，把关爱自然、追求人与自然的可持续发展作为价值追求。</w:t>
            </w:r>
          </w:p>
        </w:tc>
      </w:tr>
    </w:tbl>
    <w:tbl>
      <w:tblPr>
        <w:tblStyle w:val="28"/>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F89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48BBC39">
            <w:pPr>
              <w:jc w:val="center"/>
              <w:rPr>
                <w:rFonts w:hint="eastAsia" w:ascii="宋体" w:hAnsi="宋体" w:eastAsia="宋体" w:cs="Times New Roman"/>
                <w:kern w:val="0"/>
                <w:szCs w:val="21"/>
              </w:rPr>
            </w:pPr>
            <w:r>
              <w:rPr>
                <w:rFonts w:hint="eastAsia" w:ascii="宋体" w:hAnsi="宋体" w:eastAsia="宋体" w:cs="Times New Roman"/>
                <w:kern w:val="0"/>
                <w:szCs w:val="21"/>
              </w:rPr>
              <w:t>（十二）教学设计与教学实践</w:t>
            </w:r>
          </w:p>
        </w:tc>
        <w:tc>
          <w:tcPr>
            <w:tcW w:w="1701" w:type="dxa"/>
            <w:vAlign w:val="center"/>
          </w:tcPr>
          <w:p w14:paraId="5FC0C7B3">
            <w:pPr>
              <w:jc w:val="left"/>
              <w:rPr>
                <w:rFonts w:hint="eastAsia" w:ascii="宋体" w:hAnsi="宋体" w:eastAsia="宋体" w:cs="Times New Roman"/>
                <w:kern w:val="0"/>
                <w:szCs w:val="21"/>
              </w:rPr>
            </w:pPr>
            <w:r>
              <w:rPr>
                <w:rFonts w:hint="eastAsia" w:ascii="宋体" w:hAnsi="宋体" w:eastAsia="宋体" w:cs="Times New Roman"/>
                <w:kern w:val="0"/>
                <w:szCs w:val="21"/>
              </w:rPr>
              <w:t>（1）教学设计概述</w:t>
            </w:r>
          </w:p>
          <w:p w14:paraId="01B9F493">
            <w:pPr>
              <w:jc w:val="left"/>
              <w:rPr>
                <w:rFonts w:hint="eastAsia" w:ascii="宋体" w:hAnsi="宋体" w:eastAsia="宋体" w:cs="Times New Roman"/>
                <w:kern w:val="0"/>
                <w:szCs w:val="21"/>
              </w:rPr>
            </w:pPr>
            <w:r>
              <w:rPr>
                <w:rFonts w:hint="eastAsia" w:ascii="宋体" w:hAnsi="宋体" w:eastAsia="宋体" w:cs="Times New Roman"/>
                <w:kern w:val="0"/>
                <w:szCs w:val="21"/>
              </w:rPr>
              <w:t>（2）教学设计的模式</w:t>
            </w:r>
          </w:p>
          <w:p w14:paraId="55E85702">
            <w:pPr>
              <w:jc w:val="left"/>
              <w:rPr>
                <w:rFonts w:hint="eastAsia" w:ascii="宋体" w:hAnsi="宋体" w:eastAsia="宋体" w:cs="Times New Roman"/>
                <w:kern w:val="0"/>
                <w:szCs w:val="21"/>
              </w:rPr>
            </w:pPr>
            <w:r>
              <w:rPr>
                <w:rFonts w:hint="eastAsia" w:ascii="宋体" w:hAnsi="宋体" w:eastAsia="宋体" w:cs="Times New Roman"/>
                <w:kern w:val="0"/>
                <w:szCs w:val="21"/>
              </w:rPr>
              <w:t>（3）教学设计的基本内容和方法</w:t>
            </w:r>
          </w:p>
        </w:tc>
        <w:tc>
          <w:tcPr>
            <w:tcW w:w="1134" w:type="dxa"/>
            <w:vAlign w:val="center"/>
          </w:tcPr>
          <w:p w14:paraId="4D5EDCFE">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课程目标1、3、4</w:t>
            </w:r>
          </w:p>
        </w:tc>
        <w:tc>
          <w:tcPr>
            <w:tcW w:w="3260" w:type="dxa"/>
            <w:vAlign w:val="center"/>
          </w:tcPr>
          <w:p w14:paraId="4B50D104">
            <w:pPr>
              <w:jc w:val="left"/>
              <w:rPr>
                <w:rFonts w:hint="eastAsia" w:ascii="宋体" w:hAnsi="宋体" w:eastAsia="宋体" w:cs="Times New Roman"/>
                <w:kern w:val="0"/>
                <w:szCs w:val="21"/>
              </w:rPr>
            </w:pPr>
            <w:r>
              <w:rPr>
                <w:rFonts w:hint="eastAsia" w:ascii="宋体" w:hAnsi="宋体" w:eastAsia="宋体" w:cs="Times New Roman"/>
                <w:kern w:val="0"/>
                <w:szCs w:val="21"/>
              </w:rPr>
              <w:t>（1）明确教学设计的内涵、特征及依据</w:t>
            </w:r>
          </w:p>
          <w:p w14:paraId="766F7100">
            <w:pPr>
              <w:jc w:val="left"/>
              <w:rPr>
                <w:rFonts w:hint="eastAsia" w:ascii="宋体" w:hAnsi="宋体" w:eastAsia="宋体" w:cs="Times New Roman"/>
                <w:kern w:val="0"/>
                <w:szCs w:val="21"/>
              </w:rPr>
            </w:pPr>
            <w:r>
              <w:rPr>
                <w:rFonts w:hint="eastAsia" w:ascii="宋体" w:hAnsi="宋体" w:eastAsia="宋体" w:cs="Times New Roman"/>
                <w:kern w:val="0"/>
                <w:szCs w:val="21"/>
              </w:rPr>
              <w:t>（2）熟悉教学设计的程序和模式</w:t>
            </w:r>
          </w:p>
          <w:p w14:paraId="2C4EF214">
            <w:pPr>
              <w:jc w:val="left"/>
              <w:rPr>
                <w:rFonts w:hint="eastAsia" w:ascii="宋体" w:hAnsi="宋体" w:eastAsia="宋体" w:cs="Times New Roman"/>
                <w:kern w:val="0"/>
                <w:szCs w:val="21"/>
              </w:rPr>
            </w:pPr>
            <w:r>
              <w:rPr>
                <w:rFonts w:hint="eastAsia" w:ascii="宋体" w:hAnsi="宋体" w:eastAsia="宋体" w:cs="Times New Roman"/>
                <w:kern w:val="0"/>
                <w:szCs w:val="21"/>
              </w:rPr>
              <w:t>（3）掌握教学设计的基本内容和方法</w:t>
            </w:r>
          </w:p>
        </w:tc>
        <w:tc>
          <w:tcPr>
            <w:tcW w:w="1560" w:type="dxa"/>
            <w:vAlign w:val="center"/>
          </w:tcPr>
          <w:p w14:paraId="6BA9C473">
            <w:pPr>
              <w:jc w:val="left"/>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6AE27226">
            <w:pPr>
              <w:jc w:val="left"/>
              <w:rPr>
                <w:rFonts w:hint="eastAsia" w:ascii="宋体" w:hAnsi="宋体" w:eastAsia="宋体" w:cs="Times New Roman"/>
                <w:kern w:val="0"/>
                <w:szCs w:val="21"/>
              </w:rPr>
            </w:pPr>
            <w:r>
              <w:rPr>
                <w:rFonts w:hint="eastAsia" w:ascii="宋体" w:hAnsi="宋体" w:eastAsia="宋体" w:cs="Times New Roman"/>
                <w:kern w:val="0"/>
                <w:szCs w:val="21"/>
              </w:rPr>
              <w:t>3.课堂测验</w:t>
            </w:r>
          </w:p>
        </w:tc>
        <w:tc>
          <w:tcPr>
            <w:tcW w:w="438" w:type="dxa"/>
            <w:vAlign w:val="center"/>
          </w:tcPr>
          <w:p w14:paraId="0C421E1C">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29B5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Merge w:val="continue"/>
            <w:vAlign w:val="center"/>
          </w:tcPr>
          <w:p w14:paraId="439E7941">
            <w:pPr>
              <w:jc w:val="center"/>
              <w:rPr>
                <w:rFonts w:hint="eastAsia" w:ascii="宋体" w:hAnsi="宋体" w:eastAsia="宋体" w:cs="Times New Roman"/>
                <w:kern w:val="0"/>
                <w:szCs w:val="21"/>
              </w:rPr>
            </w:pPr>
          </w:p>
        </w:tc>
        <w:tc>
          <w:tcPr>
            <w:tcW w:w="8093" w:type="dxa"/>
            <w:gridSpan w:val="5"/>
            <w:vAlign w:val="center"/>
          </w:tcPr>
          <w:p w14:paraId="319E8735">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通过教学设计的学习，掌握知识和提高思想觉悟相统一、掌握知识和提高能力相统一的规律，能够坚持市场需求导向，紧扣新版课程标准，提高思想政治觉悟，进而提高课堂教学质量和“育人”效果。</w:t>
            </w:r>
          </w:p>
        </w:tc>
      </w:tr>
    </w:tbl>
    <w:p w14:paraId="404D839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78BEABAB">
      <w:pPr>
        <w:spacing w:line="360" w:lineRule="auto"/>
        <w:ind w:firstLine="422" w:firstLineChars="200"/>
        <w:jc w:val="left"/>
        <w:rPr>
          <w:rFonts w:hint="eastAsia" w:asciiTheme="minorEastAsia" w:hAnsiTheme="minorEastAsia" w:cstheme="minorEastAsia"/>
          <w:b/>
          <w:szCs w:val="21"/>
        </w:rPr>
      </w:pPr>
      <w:r>
        <w:rPr>
          <w:rFonts w:hint="eastAsia" w:asciiTheme="minorEastAsia" w:hAnsiTheme="minorEastAsia" w:cstheme="minorEastAsia"/>
          <w:b/>
          <w:szCs w:val="21"/>
        </w:rPr>
        <w:t>（一）课程目标评价方式</w:t>
      </w:r>
    </w:p>
    <w:p w14:paraId="45CCC192">
      <w:pPr>
        <w:spacing w:line="360" w:lineRule="auto"/>
        <w:ind w:firstLine="420" w:firstLineChars="200"/>
        <w:jc w:val="left"/>
        <w:rPr>
          <w:rFonts w:hint="eastAsia" w:ascii="等线" w:hAnsi="等线" w:eastAsia="等线" w:cs="Times New Roman"/>
          <w:szCs w:val="21"/>
        </w:rPr>
      </w:pPr>
      <w:r>
        <w:rPr>
          <w:rFonts w:hint="eastAsia" w:ascii="宋体" w:hAnsi="宋体" w:eastAsia="宋体" w:cs="宋体"/>
          <w:szCs w:val="21"/>
        </w:rPr>
        <w:t>根据总体设计，用于评价各课程目标的评价方式如下表所示。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418"/>
        <w:gridCol w:w="1417"/>
        <w:gridCol w:w="1417"/>
        <w:gridCol w:w="1419"/>
        <w:gridCol w:w="1275"/>
      </w:tblGrid>
      <w:tr w14:paraId="237C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restart"/>
            <w:vAlign w:val="center"/>
          </w:tcPr>
          <w:p w14:paraId="5B2AE105">
            <w:pPr>
              <w:spacing w:line="312"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c>
          <w:tcPr>
            <w:tcW w:w="5671" w:type="dxa"/>
            <w:gridSpan w:val="4"/>
          </w:tcPr>
          <w:p w14:paraId="170754A3">
            <w:pPr>
              <w:spacing w:line="312" w:lineRule="auto"/>
              <w:jc w:val="center"/>
              <w:rPr>
                <w:rFonts w:hint="eastAsia" w:ascii="宋体" w:hAnsi="宋体" w:eastAsia="宋体" w:cs="Times New Roman"/>
                <w:b/>
                <w:bCs/>
                <w:szCs w:val="21"/>
              </w:rPr>
            </w:pPr>
            <w:r>
              <w:rPr>
                <w:rFonts w:hint="eastAsia" w:ascii="宋体" w:hAnsi="宋体" w:eastAsia="宋体" w:cs="Times New Roman"/>
                <w:b/>
                <w:bCs/>
                <w:szCs w:val="21"/>
              </w:rPr>
              <w:t>评价与成绩评定方法</w:t>
            </w:r>
          </w:p>
        </w:tc>
        <w:tc>
          <w:tcPr>
            <w:tcW w:w="1275" w:type="dxa"/>
            <w:vMerge w:val="restart"/>
            <w:vAlign w:val="center"/>
          </w:tcPr>
          <w:p w14:paraId="0F46A033">
            <w:pPr>
              <w:spacing w:line="312" w:lineRule="auto"/>
              <w:jc w:val="center"/>
              <w:rPr>
                <w:rFonts w:hint="eastAsia" w:ascii="宋体" w:hAnsi="宋体" w:eastAsia="宋体" w:cs="Times New Roman"/>
                <w:b/>
                <w:bCs/>
                <w:szCs w:val="21"/>
              </w:rPr>
            </w:pPr>
            <w:r>
              <w:rPr>
                <w:rFonts w:hint="eastAsia" w:ascii="宋体" w:hAnsi="宋体" w:eastAsia="宋体" w:cs="Times New Roman"/>
                <w:b/>
                <w:bCs/>
                <w:szCs w:val="21"/>
              </w:rPr>
              <w:t>分值</w:t>
            </w:r>
          </w:p>
        </w:tc>
      </w:tr>
      <w:tr w14:paraId="7BBD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Merge w:val="continue"/>
            <w:vAlign w:val="center"/>
          </w:tcPr>
          <w:p w14:paraId="7870B767">
            <w:pPr>
              <w:spacing w:line="312" w:lineRule="auto"/>
              <w:jc w:val="center"/>
              <w:rPr>
                <w:rFonts w:hint="eastAsia" w:ascii="宋体" w:hAnsi="宋体" w:eastAsia="宋体" w:cs="Times New Roman"/>
                <w:szCs w:val="21"/>
              </w:rPr>
            </w:pPr>
          </w:p>
        </w:tc>
        <w:tc>
          <w:tcPr>
            <w:tcW w:w="1418" w:type="dxa"/>
            <w:vAlign w:val="center"/>
          </w:tcPr>
          <w:p w14:paraId="1738EEE5">
            <w:pPr>
              <w:spacing w:line="312"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417" w:type="dxa"/>
          </w:tcPr>
          <w:p w14:paraId="7E31800F">
            <w:pPr>
              <w:spacing w:line="312"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417" w:type="dxa"/>
            <w:vAlign w:val="center"/>
          </w:tcPr>
          <w:p w14:paraId="4C0ABA7B">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课程实践</w:t>
            </w:r>
          </w:p>
        </w:tc>
        <w:tc>
          <w:tcPr>
            <w:tcW w:w="1419" w:type="dxa"/>
            <w:vAlign w:val="center"/>
          </w:tcPr>
          <w:p w14:paraId="52A0E46A">
            <w:pPr>
              <w:spacing w:line="312"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275" w:type="dxa"/>
            <w:vMerge w:val="continue"/>
            <w:vAlign w:val="center"/>
          </w:tcPr>
          <w:p w14:paraId="01678749">
            <w:pPr>
              <w:spacing w:line="312" w:lineRule="auto"/>
              <w:jc w:val="center"/>
              <w:rPr>
                <w:rFonts w:hint="eastAsia" w:ascii="宋体" w:hAnsi="宋体" w:eastAsia="宋体" w:cs="Times New Roman"/>
                <w:szCs w:val="21"/>
              </w:rPr>
            </w:pPr>
          </w:p>
        </w:tc>
      </w:tr>
      <w:tr w14:paraId="31844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35D58AFC">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18" w:type="dxa"/>
            <w:vAlign w:val="center"/>
          </w:tcPr>
          <w:p w14:paraId="5C41B857">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7" w:type="dxa"/>
          </w:tcPr>
          <w:p w14:paraId="6049D6CB">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7" w:type="dxa"/>
            <w:vAlign w:val="center"/>
          </w:tcPr>
          <w:p w14:paraId="0BC206E3">
            <w:pPr>
              <w:spacing w:line="312" w:lineRule="auto"/>
              <w:jc w:val="center"/>
              <w:rPr>
                <w:rFonts w:hint="eastAsia" w:ascii="宋体" w:hAnsi="宋体" w:eastAsia="宋体" w:cs="Times New Roman"/>
                <w:szCs w:val="21"/>
              </w:rPr>
            </w:pPr>
          </w:p>
        </w:tc>
        <w:tc>
          <w:tcPr>
            <w:tcW w:w="1419" w:type="dxa"/>
            <w:vAlign w:val="center"/>
          </w:tcPr>
          <w:p w14:paraId="2D8EDD7A">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75" w:type="dxa"/>
            <w:vAlign w:val="center"/>
          </w:tcPr>
          <w:p w14:paraId="5CD34ED6">
            <w:pPr>
              <w:spacing w:line="312"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239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3A8F9A65">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18" w:type="dxa"/>
            <w:vAlign w:val="center"/>
          </w:tcPr>
          <w:p w14:paraId="3222EEC2">
            <w:pPr>
              <w:spacing w:line="312" w:lineRule="auto"/>
              <w:jc w:val="center"/>
              <w:rPr>
                <w:rFonts w:hint="eastAsia" w:ascii="宋体" w:hAnsi="宋体" w:eastAsia="宋体" w:cs="Times New Roman"/>
                <w:szCs w:val="21"/>
              </w:rPr>
            </w:pPr>
          </w:p>
        </w:tc>
        <w:tc>
          <w:tcPr>
            <w:tcW w:w="1417" w:type="dxa"/>
          </w:tcPr>
          <w:p w14:paraId="012E48B2">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7" w:type="dxa"/>
            <w:vAlign w:val="center"/>
          </w:tcPr>
          <w:p w14:paraId="67A77B53">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9" w:type="dxa"/>
            <w:vAlign w:val="center"/>
          </w:tcPr>
          <w:p w14:paraId="1F3314DE">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75" w:type="dxa"/>
            <w:vAlign w:val="center"/>
          </w:tcPr>
          <w:p w14:paraId="05B4554E">
            <w:pPr>
              <w:spacing w:line="312"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099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19065D44">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418" w:type="dxa"/>
            <w:vAlign w:val="center"/>
          </w:tcPr>
          <w:p w14:paraId="2434AC6E">
            <w:pPr>
              <w:spacing w:line="312" w:lineRule="auto"/>
              <w:jc w:val="center"/>
              <w:rPr>
                <w:rFonts w:hint="eastAsia" w:ascii="宋体" w:hAnsi="宋体" w:eastAsia="宋体" w:cs="Times New Roman"/>
                <w:szCs w:val="21"/>
              </w:rPr>
            </w:pPr>
          </w:p>
        </w:tc>
        <w:tc>
          <w:tcPr>
            <w:tcW w:w="1417" w:type="dxa"/>
          </w:tcPr>
          <w:p w14:paraId="13C7D0AE">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7" w:type="dxa"/>
            <w:vAlign w:val="center"/>
          </w:tcPr>
          <w:p w14:paraId="739D5915">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9" w:type="dxa"/>
            <w:vAlign w:val="center"/>
          </w:tcPr>
          <w:p w14:paraId="766F6B78">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75" w:type="dxa"/>
            <w:vAlign w:val="center"/>
          </w:tcPr>
          <w:p w14:paraId="2B7AC9B7">
            <w:pPr>
              <w:spacing w:line="312"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4C29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305383D9">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418" w:type="dxa"/>
            <w:vAlign w:val="center"/>
          </w:tcPr>
          <w:p w14:paraId="0EF5DD3F">
            <w:pPr>
              <w:spacing w:line="312" w:lineRule="auto"/>
              <w:jc w:val="center"/>
              <w:rPr>
                <w:rFonts w:hint="eastAsia" w:ascii="宋体" w:hAnsi="宋体" w:eastAsia="宋体" w:cs="Times New Roman"/>
                <w:szCs w:val="21"/>
              </w:rPr>
            </w:pPr>
          </w:p>
        </w:tc>
        <w:tc>
          <w:tcPr>
            <w:tcW w:w="1417" w:type="dxa"/>
          </w:tcPr>
          <w:p w14:paraId="09358352">
            <w:pPr>
              <w:spacing w:line="312" w:lineRule="auto"/>
              <w:jc w:val="center"/>
              <w:rPr>
                <w:rFonts w:hint="eastAsia" w:ascii="宋体" w:hAnsi="宋体" w:eastAsia="宋体" w:cs="Times New Roman"/>
                <w:szCs w:val="21"/>
              </w:rPr>
            </w:pPr>
          </w:p>
        </w:tc>
        <w:tc>
          <w:tcPr>
            <w:tcW w:w="1417" w:type="dxa"/>
            <w:vAlign w:val="center"/>
          </w:tcPr>
          <w:p w14:paraId="64FB9490">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19" w:type="dxa"/>
            <w:vAlign w:val="center"/>
          </w:tcPr>
          <w:p w14:paraId="227F45DC">
            <w:pPr>
              <w:spacing w:line="312" w:lineRule="auto"/>
              <w:jc w:val="center"/>
              <w:rPr>
                <w:rFonts w:hint="eastAsia" w:ascii="宋体" w:hAnsi="宋体" w:eastAsia="宋体" w:cs="Times New Roman"/>
                <w:szCs w:val="21"/>
              </w:rPr>
            </w:pPr>
          </w:p>
        </w:tc>
        <w:tc>
          <w:tcPr>
            <w:tcW w:w="1275" w:type="dxa"/>
            <w:vAlign w:val="center"/>
          </w:tcPr>
          <w:p w14:paraId="07A7D1D5">
            <w:pPr>
              <w:spacing w:line="312" w:lineRule="auto"/>
              <w:jc w:val="center"/>
              <w:rPr>
                <w:rFonts w:hint="eastAsia" w:ascii="宋体" w:hAnsi="宋体" w:eastAsia="宋体" w:cs="Times New Roman"/>
                <w:szCs w:val="21"/>
              </w:rPr>
            </w:pPr>
            <w:r>
              <w:rPr>
                <w:rFonts w:hint="eastAsia" w:ascii="宋体" w:hAnsi="宋体" w:eastAsia="宋体" w:cs="Times New Roman"/>
                <w:szCs w:val="21"/>
              </w:rPr>
              <w:t>10</w:t>
            </w:r>
          </w:p>
        </w:tc>
      </w:tr>
      <w:tr w14:paraId="6401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6F6313B0">
            <w:pPr>
              <w:spacing w:line="312"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18" w:type="dxa"/>
            <w:vAlign w:val="center"/>
          </w:tcPr>
          <w:p w14:paraId="46F73395">
            <w:pPr>
              <w:spacing w:line="312" w:lineRule="auto"/>
              <w:jc w:val="center"/>
              <w:rPr>
                <w:rFonts w:hint="eastAsia" w:ascii="宋体" w:hAnsi="宋体" w:eastAsia="宋体" w:cs="Times New Roman"/>
                <w:szCs w:val="21"/>
              </w:rPr>
            </w:pPr>
          </w:p>
        </w:tc>
        <w:tc>
          <w:tcPr>
            <w:tcW w:w="1417" w:type="dxa"/>
          </w:tcPr>
          <w:p w14:paraId="1482C3A8">
            <w:pPr>
              <w:spacing w:line="312" w:lineRule="auto"/>
              <w:jc w:val="center"/>
              <w:rPr>
                <w:rFonts w:hint="eastAsia" w:ascii="宋体" w:hAnsi="宋体" w:eastAsia="宋体" w:cs="Times New Roman"/>
                <w:szCs w:val="21"/>
              </w:rPr>
            </w:pPr>
          </w:p>
        </w:tc>
        <w:tc>
          <w:tcPr>
            <w:tcW w:w="1417" w:type="dxa"/>
            <w:vAlign w:val="center"/>
          </w:tcPr>
          <w:p w14:paraId="7798C66A">
            <w:pPr>
              <w:spacing w:line="312" w:lineRule="auto"/>
              <w:jc w:val="center"/>
              <w:rPr>
                <w:rFonts w:hint="eastAsia" w:ascii="宋体" w:hAnsi="宋体" w:eastAsia="宋体" w:cs="Times New Roman"/>
                <w:szCs w:val="21"/>
              </w:rPr>
            </w:pPr>
          </w:p>
        </w:tc>
        <w:tc>
          <w:tcPr>
            <w:tcW w:w="1419" w:type="dxa"/>
            <w:vAlign w:val="center"/>
          </w:tcPr>
          <w:p w14:paraId="3B00CE2A">
            <w:pPr>
              <w:spacing w:line="312" w:lineRule="auto"/>
              <w:jc w:val="center"/>
              <w:rPr>
                <w:rFonts w:hint="eastAsia" w:ascii="宋体" w:hAnsi="宋体" w:eastAsia="宋体" w:cs="Times New Roman"/>
                <w:szCs w:val="21"/>
              </w:rPr>
            </w:pPr>
          </w:p>
        </w:tc>
        <w:tc>
          <w:tcPr>
            <w:tcW w:w="1275" w:type="dxa"/>
            <w:vAlign w:val="center"/>
          </w:tcPr>
          <w:p w14:paraId="28F1EC43">
            <w:pPr>
              <w:spacing w:line="312"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C654227">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43A7A2F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7"/>
        <w:gridCol w:w="6709"/>
        <w:gridCol w:w="706"/>
      </w:tblGrid>
      <w:tr w14:paraId="61A6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1122CA0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709" w:type="dxa"/>
            <w:vAlign w:val="center"/>
          </w:tcPr>
          <w:p w14:paraId="7EAE07A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5693F1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456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54F0EB1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6709" w:type="dxa"/>
            <w:vAlign w:val="center"/>
          </w:tcPr>
          <w:p w14:paraId="3978EB83">
            <w:pPr>
              <w:jc w:val="left"/>
              <w:rPr>
                <w:rFonts w:ascii="Times New Roman" w:hAnsi="Times New Roman" w:eastAsia="宋体" w:cs="Times New Roman"/>
                <w:szCs w:val="21"/>
              </w:rPr>
            </w:pPr>
            <w:r>
              <w:rPr>
                <w:rFonts w:hint="eastAsia" w:ascii="Times New Roman" w:hAnsi="Times New Roman" w:eastAsia="宋体" w:cs="Times New Roman"/>
                <w:szCs w:val="21"/>
              </w:rPr>
              <w:t>平时作业有两种形式可供选择，一种是专业图书推介，要求列举出课程与教学论相关书籍的基本信息，数量不少于15本。另一种是分享专业知识点。基于书本，鼓励有所拓展延伸或细化深化。为日后考证考编考研等做好储备。</w:t>
            </w:r>
          </w:p>
        </w:tc>
        <w:tc>
          <w:tcPr>
            <w:tcW w:w="0" w:type="auto"/>
            <w:vAlign w:val="center"/>
          </w:tcPr>
          <w:p w14:paraId="6EEFE5F7">
            <w:pPr>
              <w:jc w:val="center"/>
              <w:rPr>
                <w:rFonts w:ascii="Times New Roman" w:hAnsi="Times New Roman" w:eastAsia="宋体" w:cs="Times New Roman"/>
                <w:szCs w:val="21"/>
              </w:rPr>
            </w:pPr>
            <w:r>
              <w:rPr>
                <w:rFonts w:hint="eastAsia" w:ascii="Times New Roman" w:hAnsi="Times New Roman" w:eastAsia="宋体" w:cs="Times New Roman"/>
                <w:szCs w:val="21"/>
              </w:rPr>
              <w:t>16%</w:t>
            </w:r>
          </w:p>
        </w:tc>
      </w:tr>
      <w:tr w14:paraId="6CE7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78D7F666">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709" w:type="dxa"/>
            <w:vAlign w:val="center"/>
          </w:tcPr>
          <w:p w14:paraId="1014AEFA">
            <w:pPr>
              <w:jc w:val="left"/>
              <w:rPr>
                <w:rFonts w:ascii="Times New Roman" w:hAnsi="Times New Roman" w:eastAsia="宋体" w:cs="Times New Roman"/>
                <w:szCs w:val="21"/>
              </w:rPr>
            </w:pPr>
            <w:r>
              <w:rPr>
                <w:rFonts w:hint="eastAsia" w:ascii="Times New Roman" w:hAnsi="Times New Roman" w:eastAsia="宋体" w:cs="Times New Roman"/>
                <w:szCs w:val="21"/>
              </w:rPr>
              <w:t>包括两部分：一是考勤。事假、病假每次扣除本项总分的十分之一的分数。旷课累计达3次以上（不含3次）取消课程成绩。</w:t>
            </w:r>
          </w:p>
          <w:p w14:paraId="0489737B">
            <w:pPr>
              <w:jc w:val="left"/>
              <w:rPr>
                <w:rFonts w:ascii="Times New Roman" w:hAnsi="Times New Roman" w:eastAsia="宋体" w:cs="Times New Roman"/>
                <w:szCs w:val="21"/>
              </w:rPr>
            </w:pPr>
            <w:r>
              <w:rPr>
                <w:rFonts w:hint="eastAsia" w:ascii="Times New Roman" w:hAnsi="Times New Roman" w:eastAsia="宋体" w:cs="Times New Roman"/>
                <w:szCs w:val="21"/>
              </w:rPr>
              <w:t>二是课堂参与。主要指课上教师随机提问、组织课堂讨论等，观察学生参与程度，表现良好，按照对应的课程目标及权重给予评定。</w:t>
            </w:r>
          </w:p>
        </w:tc>
        <w:tc>
          <w:tcPr>
            <w:tcW w:w="0" w:type="auto"/>
            <w:vAlign w:val="center"/>
          </w:tcPr>
          <w:p w14:paraId="281FF42D">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r>
      <w:tr w14:paraId="67BA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7B0BB0FD">
            <w:pPr>
              <w:rPr>
                <w:rFonts w:ascii="Times New Roman" w:hAnsi="Times New Roman" w:eastAsia="宋体" w:cs="Times New Roman"/>
                <w:szCs w:val="21"/>
              </w:rPr>
            </w:pPr>
            <w:r>
              <w:rPr>
                <w:rFonts w:hint="eastAsia" w:ascii="Times New Roman" w:hAnsi="Times New Roman" w:eastAsia="宋体" w:cs="Times New Roman"/>
                <w:szCs w:val="21"/>
              </w:rPr>
              <w:t>课程实践</w:t>
            </w:r>
          </w:p>
        </w:tc>
        <w:tc>
          <w:tcPr>
            <w:tcW w:w="6709" w:type="dxa"/>
            <w:vAlign w:val="center"/>
          </w:tcPr>
          <w:p w14:paraId="0A91DF36">
            <w:pPr>
              <w:jc w:val="left"/>
              <w:rPr>
                <w:rFonts w:ascii="Times New Roman" w:hAnsi="Times New Roman" w:eastAsia="宋体" w:cs="Times New Roman"/>
                <w:szCs w:val="21"/>
              </w:rPr>
            </w:pPr>
            <w:r>
              <w:rPr>
                <w:rFonts w:hint="eastAsia" w:ascii="Times New Roman" w:hAnsi="Times New Roman" w:eastAsia="宋体" w:cs="Times New Roman"/>
                <w:szCs w:val="21"/>
              </w:rPr>
              <w:t>课程实践是围绕学习主题所作的实践练习， 一是根据所提供的材料来评析学段/学科的教学目标；二是根据提供的课例材料来评析某教师所使用的教学方法。</w:t>
            </w:r>
          </w:p>
        </w:tc>
        <w:tc>
          <w:tcPr>
            <w:tcW w:w="0" w:type="auto"/>
            <w:vAlign w:val="center"/>
          </w:tcPr>
          <w:p w14:paraId="192CD37E">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1C433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6DDFDDD8">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709" w:type="dxa"/>
            <w:vAlign w:val="center"/>
          </w:tcPr>
          <w:p w14:paraId="404E90AB">
            <w:pPr>
              <w:jc w:val="left"/>
              <w:rPr>
                <w:rFonts w:ascii="Times New Roman" w:hAnsi="Times New Roman" w:eastAsia="宋体" w:cs="Times New Roman"/>
                <w:szCs w:val="21"/>
              </w:rPr>
            </w:pPr>
            <w:r>
              <w:rPr>
                <w:rFonts w:hint="eastAsia" w:ascii="宋体" w:hAnsi="宋体" w:eastAsia="宋体" w:cs="Times New Roman"/>
              </w:rPr>
              <w:t>考试采用开卷形式，试卷题型参考教师资格证考试的常见题型，并以主观题为主，侧重训练学生理论结合实际、分析问题解决问题的能力。</w:t>
            </w:r>
          </w:p>
        </w:tc>
        <w:tc>
          <w:tcPr>
            <w:tcW w:w="0" w:type="auto"/>
            <w:vAlign w:val="center"/>
          </w:tcPr>
          <w:p w14:paraId="2110CADD">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6E36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vAlign w:val="center"/>
          </w:tcPr>
          <w:p w14:paraId="58F4B3B6">
            <w:pP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6709" w:type="dxa"/>
            <w:vAlign w:val="center"/>
          </w:tcPr>
          <w:p w14:paraId="3E9F1FD7">
            <w:pPr>
              <w:jc w:val="left"/>
              <w:rPr>
                <w:rFonts w:hint="eastAsia" w:ascii="宋体" w:hAnsi="宋体" w:eastAsia="宋体" w:cs="Times New Roman"/>
              </w:rPr>
            </w:pPr>
          </w:p>
        </w:tc>
        <w:tc>
          <w:tcPr>
            <w:tcW w:w="0" w:type="auto"/>
            <w:vAlign w:val="center"/>
          </w:tcPr>
          <w:p w14:paraId="799542F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455A346">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2465837B">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571D15C">
      <w:pPr>
        <w:spacing w:before="156" w:beforeLines="50" w:line="360" w:lineRule="auto"/>
        <w:jc w:val="left"/>
        <w:rPr>
          <w:rFonts w:hint="eastAsia" w:ascii="宋体" w:hAnsi="宋体" w:eastAsia="宋体" w:cs="Times New Roman"/>
          <w:szCs w:val="21"/>
        </w:rPr>
      </w:pPr>
      <w:r>
        <w:rPr>
          <w:rFonts w:ascii="宋体" w:hAnsi="宋体" w:eastAsia="宋体" w:cs="Times New Roman"/>
          <w:szCs w:val="21"/>
        </w:rPr>
        <w:object>
          <v:shape id="_x0000_i1042" o:spt="75" type="#_x0000_t75" style="height:24.8pt;width:405.05pt;" o:ole="t" filled="f" o:preferrelative="t" stroked="f" coordsize="21600,21600">
            <v:path/>
            <v:fill on="f" focussize="0,0"/>
            <v:stroke on="f" joinstyle="miter"/>
            <v:imagedata r:id="rId12" o:title=""/>
            <o:lock v:ext="edit" aspectratio="t"/>
            <w10:wrap type="none"/>
            <w10:anchorlock/>
          </v:shape>
          <o:OLEObject Type="Embed" ProgID="Equation.3" ShapeID="_x0000_i1042" DrawAspect="Content" ObjectID="_1468075742" r:id="rId30">
            <o:LockedField>false</o:LockedField>
          </o:OLEObject>
        </w:object>
      </w:r>
    </w:p>
    <w:p w14:paraId="5A79A1CB">
      <w:pPr>
        <w:spacing w:before="62" w:beforeLines="20" w:after="62" w:afterLines="20" w:line="360" w:lineRule="auto"/>
        <w:jc w:val="left"/>
        <w:rPr>
          <w:rFonts w:ascii="Times New Roman" w:hAnsi="Times New Roman" w:eastAsia="宋体" w:cs="Times New Roman"/>
          <w:bCs/>
          <w:sz w:val="24"/>
        </w:rPr>
      </w:pPr>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p>
    <w:p w14:paraId="0740CDC1">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1EAF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C2212E5">
            <w:pPr>
              <w:jc w:val="center"/>
              <w:rPr>
                <w:rFonts w:hint="eastAsia" w:ascii="宋体" w:hAnsi="宋体" w:eastAsia="宋体" w:cs="宋体"/>
                <w:b/>
                <w:bCs/>
                <w:kern w:val="0"/>
                <w:sz w:val="20"/>
                <w:szCs w:val="21"/>
              </w:rPr>
            </w:pPr>
            <w:r>
              <w:rPr>
                <w:rFonts w:hint="eastAsia" w:ascii="宋体" w:hAnsi="宋体" w:eastAsia="宋体" w:cs="宋体"/>
                <w:b/>
                <w:bCs/>
                <w:kern w:val="0"/>
                <w:sz w:val="20"/>
                <w:szCs w:val="21"/>
              </w:rPr>
              <w:t>活动主题</w:t>
            </w:r>
          </w:p>
        </w:tc>
        <w:tc>
          <w:tcPr>
            <w:tcW w:w="3407" w:type="dxa"/>
            <w:vAlign w:val="center"/>
          </w:tcPr>
          <w:p w14:paraId="223BB45C">
            <w:pPr>
              <w:jc w:val="center"/>
              <w:rPr>
                <w:rFonts w:hint="eastAsia" w:ascii="宋体" w:hAnsi="宋体" w:eastAsia="宋体" w:cs="宋体"/>
                <w:b/>
                <w:bCs/>
                <w:kern w:val="0"/>
                <w:sz w:val="20"/>
                <w:szCs w:val="21"/>
              </w:rPr>
            </w:pPr>
            <w:r>
              <w:rPr>
                <w:rFonts w:hint="eastAsia" w:ascii="宋体" w:hAnsi="宋体" w:eastAsia="宋体" w:cs="宋体"/>
                <w:b/>
                <w:bCs/>
                <w:kern w:val="0"/>
                <w:sz w:val="20"/>
                <w:szCs w:val="21"/>
              </w:rPr>
              <w:t>活动内容</w:t>
            </w:r>
          </w:p>
        </w:tc>
        <w:tc>
          <w:tcPr>
            <w:tcW w:w="740" w:type="dxa"/>
            <w:vAlign w:val="center"/>
          </w:tcPr>
          <w:p w14:paraId="6782E6BD">
            <w:pPr>
              <w:jc w:val="center"/>
              <w:rPr>
                <w:rFonts w:hint="eastAsia" w:ascii="宋体" w:hAnsi="宋体" w:eastAsia="宋体" w:cs="宋体"/>
                <w:b/>
                <w:bCs/>
                <w:kern w:val="0"/>
                <w:sz w:val="20"/>
                <w:szCs w:val="21"/>
              </w:rPr>
            </w:pPr>
            <w:r>
              <w:rPr>
                <w:rFonts w:hint="eastAsia" w:ascii="宋体" w:hAnsi="宋体" w:eastAsia="宋体" w:cs="宋体"/>
                <w:b/>
                <w:bCs/>
                <w:kern w:val="0"/>
                <w:sz w:val="20"/>
                <w:szCs w:val="21"/>
              </w:rPr>
              <w:t>活动方式</w:t>
            </w:r>
          </w:p>
        </w:tc>
        <w:tc>
          <w:tcPr>
            <w:tcW w:w="3160" w:type="dxa"/>
            <w:vAlign w:val="center"/>
          </w:tcPr>
          <w:p w14:paraId="23DADF24">
            <w:pPr>
              <w:jc w:val="center"/>
              <w:rPr>
                <w:rFonts w:hint="eastAsia" w:ascii="宋体" w:hAnsi="宋体" w:eastAsia="宋体" w:cs="宋体"/>
                <w:b/>
                <w:bCs/>
                <w:kern w:val="0"/>
                <w:sz w:val="20"/>
                <w:szCs w:val="21"/>
              </w:rPr>
            </w:pPr>
            <w:r>
              <w:rPr>
                <w:rFonts w:hint="eastAsia" w:ascii="宋体" w:hAnsi="宋体" w:eastAsia="宋体" w:cs="宋体"/>
                <w:b/>
                <w:bCs/>
                <w:kern w:val="0"/>
                <w:sz w:val="20"/>
                <w:szCs w:val="21"/>
              </w:rPr>
              <w:t>思政目标</w:t>
            </w:r>
          </w:p>
        </w:tc>
      </w:tr>
      <w:tr w14:paraId="6B604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241BFE9">
            <w:pPr>
              <w:jc w:val="center"/>
              <w:rPr>
                <w:rFonts w:hint="eastAsia" w:ascii="宋体" w:hAnsi="宋体" w:eastAsia="宋体" w:cs="宋体"/>
                <w:kern w:val="0"/>
                <w:sz w:val="20"/>
                <w:szCs w:val="21"/>
              </w:rPr>
            </w:pPr>
            <w:r>
              <w:rPr>
                <w:rFonts w:hint="eastAsia" w:ascii="宋体" w:hAnsi="宋体" w:eastAsia="宋体" w:cs="宋体"/>
                <w:kern w:val="0"/>
                <w:sz w:val="20"/>
                <w:szCs w:val="21"/>
              </w:rPr>
              <w:t>教育家</w:t>
            </w:r>
          </w:p>
          <w:p w14:paraId="6F6C1340">
            <w:pPr>
              <w:jc w:val="center"/>
              <w:rPr>
                <w:rFonts w:hint="eastAsia" w:ascii="宋体" w:hAnsi="宋体" w:eastAsia="宋体" w:cs="宋体"/>
                <w:kern w:val="0"/>
                <w:sz w:val="20"/>
                <w:szCs w:val="21"/>
              </w:rPr>
            </w:pPr>
            <w:r>
              <w:rPr>
                <w:rFonts w:hint="eastAsia" w:ascii="宋体" w:hAnsi="宋体" w:eastAsia="宋体" w:cs="宋体"/>
                <w:kern w:val="0"/>
                <w:sz w:val="20"/>
                <w:szCs w:val="21"/>
              </w:rPr>
              <w:t>精神</w:t>
            </w:r>
          </w:p>
        </w:tc>
        <w:tc>
          <w:tcPr>
            <w:tcW w:w="3407" w:type="dxa"/>
            <w:vAlign w:val="center"/>
          </w:tcPr>
          <w:p w14:paraId="202B74A4">
            <w:pPr>
              <w:jc w:val="left"/>
              <w:rPr>
                <w:rFonts w:hint="eastAsia" w:ascii="宋体" w:hAnsi="宋体" w:eastAsia="宋体" w:cs="宋体"/>
                <w:kern w:val="0"/>
                <w:sz w:val="20"/>
                <w:szCs w:val="21"/>
              </w:rPr>
            </w:pPr>
            <w:r>
              <w:rPr>
                <w:rFonts w:hint="eastAsia" w:ascii="宋体" w:hAnsi="宋体" w:eastAsia="宋体" w:cs="宋体"/>
                <w:kern w:val="0"/>
                <w:sz w:val="20"/>
                <w:szCs w:val="21"/>
              </w:rPr>
              <w:t>通过阅读相关书籍或分享中国教育家的故事，进行课堂主题讨论，引导学生领会教育家精神</w:t>
            </w:r>
          </w:p>
        </w:tc>
        <w:tc>
          <w:tcPr>
            <w:tcW w:w="740" w:type="dxa"/>
            <w:vAlign w:val="center"/>
          </w:tcPr>
          <w:p w14:paraId="3E266AC1">
            <w:pPr>
              <w:jc w:val="center"/>
              <w:rPr>
                <w:rFonts w:hint="eastAsia" w:ascii="宋体" w:hAnsi="宋体" w:eastAsia="宋体" w:cs="宋体"/>
                <w:kern w:val="0"/>
                <w:sz w:val="20"/>
                <w:szCs w:val="21"/>
              </w:rPr>
            </w:pPr>
            <w:r>
              <w:rPr>
                <w:rFonts w:hint="eastAsia" w:ascii="宋体" w:hAnsi="宋体" w:eastAsia="宋体" w:cs="宋体"/>
                <w:kern w:val="0"/>
                <w:sz w:val="20"/>
                <w:szCs w:val="21"/>
              </w:rPr>
              <w:t>平时作业</w:t>
            </w:r>
          </w:p>
        </w:tc>
        <w:tc>
          <w:tcPr>
            <w:tcW w:w="3160" w:type="dxa"/>
            <w:vAlign w:val="center"/>
          </w:tcPr>
          <w:p w14:paraId="62DA4A46">
            <w:pPr>
              <w:jc w:val="left"/>
              <w:rPr>
                <w:rFonts w:hint="eastAsia" w:ascii="宋体" w:hAnsi="宋体" w:eastAsia="宋体" w:cs="宋体"/>
                <w:kern w:val="0"/>
                <w:sz w:val="20"/>
                <w:szCs w:val="21"/>
              </w:rPr>
            </w:pPr>
            <w:r>
              <w:rPr>
                <w:rFonts w:hint="eastAsia" w:ascii="宋体" w:hAnsi="宋体" w:eastAsia="宋体" w:cs="宋体"/>
                <w:kern w:val="0"/>
                <w:sz w:val="20"/>
                <w:szCs w:val="21"/>
              </w:rPr>
              <w:t>通过对教育家精神的领会，使学立志成为有理想信念、有道德情操、有扎实学识、有仁爱之心的“四有”好老师。</w:t>
            </w:r>
          </w:p>
        </w:tc>
      </w:tr>
      <w:tr w14:paraId="66E7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7E9020F">
            <w:pPr>
              <w:jc w:val="center"/>
              <w:rPr>
                <w:rFonts w:hint="eastAsia" w:ascii="宋体" w:hAnsi="宋体" w:eastAsia="宋体" w:cs="宋体"/>
                <w:kern w:val="0"/>
                <w:sz w:val="20"/>
                <w:szCs w:val="21"/>
              </w:rPr>
            </w:pPr>
            <w:r>
              <w:rPr>
                <w:rFonts w:hint="eastAsia" w:ascii="宋体" w:hAnsi="宋体" w:eastAsia="宋体" w:cs="宋体"/>
                <w:kern w:val="0"/>
                <w:sz w:val="20"/>
                <w:szCs w:val="21"/>
              </w:rPr>
              <w:t>观察身边榜样教师</w:t>
            </w:r>
          </w:p>
        </w:tc>
        <w:tc>
          <w:tcPr>
            <w:tcW w:w="3407" w:type="dxa"/>
            <w:vAlign w:val="center"/>
          </w:tcPr>
          <w:p w14:paraId="7100F9A6">
            <w:pPr>
              <w:jc w:val="left"/>
              <w:rPr>
                <w:rFonts w:hint="eastAsia" w:ascii="宋体" w:hAnsi="宋体" w:eastAsia="宋体" w:cs="宋体"/>
                <w:kern w:val="0"/>
                <w:sz w:val="20"/>
                <w:szCs w:val="21"/>
              </w:rPr>
            </w:pPr>
            <w:r>
              <w:rPr>
                <w:rFonts w:hint="eastAsia" w:ascii="宋体" w:hAnsi="宋体" w:eastAsia="宋体" w:cs="宋体"/>
                <w:kern w:val="0"/>
                <w:sz w:val="20"/>
                <w:szCs w:val="21"/>
              </w:rPr>
              <w:t>提示学生留意记录并观察当地或本学科的优秀教师，利用实习见习机会或者节假日等近距离接触，听课，评课，学习榜样教师的典型教学方法，传承和弘扬精益求精的工匠精神。</w:t>
            </w:r>
          </w:p>
        </w:tc>
        <w:tc>
          <w:tcPr>
            <w:tcW w:w="740" w:type="dxa"/>
            <w:vAlign w:val="center"/>
          </w:tcPr>
          <w:p w14:paraId="4D764D57">
            <w:pPr>
              <w:jc w:val="center"/>
              <w:rPr>
                <w:rFonts w:hint="eastAsia" w:ascii="宋体" w:hAnsi="宋体" w:eastAsia="宋体" w:cs="宋体"/>
                <w:kern w:val="0"/>
                <w:sz w:val="20"/>
                <w:szCs w:val="21"/>
              </w:rPr>
            </w:pPr>
            <w:r>
              <w:rPr>
                <w:rFonts w:hint="eastAsia" w:ascii="宋体" w:hAnsi="宋体" w:eastAsia="宋体" w:cs="宋体"/>
                <w:kern w:val="0"/>
                <w:sz w:val="20"/>
                <w:szCs w:val="21"/>
              </w:rPr>
              <w:t>课程实践作业</w:t>
            </w:r>
          </w:p>
        </w:tc>
        <w:tc>
          <w:tcPr>
            <w:tcW w:w="3160" w:type="dxa"/>
            <w:vAlign w:val="center"/>
          </w:tcPr>
          <w:p w14:paraId="4E81DC25">
            <w:pPr>
              <w:jc w:val="left"/>
              <w:rPr>
                <w:rFonts w:hint="eastAsia" w:ascii="宋体" w:hAnsi="宋体" w:eastAsia="宋体" w:cs="宋体"/>
                <w:kern w:val="0"/>
                <w:sz w:val="20"/>
                <w:szCs w:val="21"/>
              </w:rPr>
            </w:pPr>
            <w:r>
              <w:rPr>
                <w:rFonts w:hint="eastAsia" w:ascii="宋体" w:hAnsi="宋体" w:eastAsia="宋体" w:cs="宋体"/>
                <w:kern w:val="0"/>
                <w:sz w:val="20"/>
                <w:szCs w:val="21"/>
              </w:rPr>
              <w:t>提高对教师专业性的认识， 立志成长为高素质专业化教师队伍中的一员。</w:t>
            </w:r>
          </w:p>
        </w:tc>
      </w:tr>
      <w:tr w14:paraId="4C85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37F24D1">
            <w:pPr>
              <w:jc w:val="center"/>
              <w:rPr>
                <w:rFonts w:hint="eastAsia" w:ascii="宋体" w:hAnsi="宋体" w:eastAsia="宋体" w:cs="宋体"/>
                <w:kern w:val="0"/>
                <w:sz w:val="20"/>
                <w:szCs w:val="21"/>
              </w:rPr>
            </w:pPr>
            <w:r>
              <w:rPr>
                <w:rFonts w:hint="eastAsia" w:ascii="宋体" w:hAnsi="宋体" w:eastAsia="宋体" w:cs="宋体"/>
                <w:kern w:val="0"/>
                <w:sz w:val="20"/>
                <w:szCs w:val="21"/>
              </w:rPr>
              <w:t>最美教师或师德模范进课堂</w:t>
            </w:r>
          </w:p>
        </w:tc>
        <w:tc>
          <w:tcPr>
            <w:tcW w:w="3407" w:type="dxa"/>
            <w:vAlign w:val="center"/>
          </w:tcPr>
          <w:p w14:paraId="4FB45904">
            <w:pPr>
              <w:jc w:val="left"/>
              <w:rPr>
                <w:rFonts w:hint="eastAsia" w:ascii="宋体" w:hAnsi="宋体" w:eastAsia="宋体" w:cs="宋体"/>
                <w:kern w:val="0"/>
                <w:sz w:val="20"/>
                <w:szCs w:val="21"/>
              </w:rPr>
            </w:pPr>
            <w:r>
              <w:rPr>
                <w:rFonts w:hint="eastAsia" w:ascii="宋体" w:hAnsi="宋体" w:eastAsia="宋体" w:cs="宋体"/>
                <w:kern w:val="0"/>
                <w:sz w:val="20"/>
                <w:szCs w:val="21"/>
              </w:rPr>
              <w:t>邀请当地获得最美教师、师德模范等荣誉称号的教师做报告，提供给学生亲身经历、近距离接触一线优秀教师的学习机会。</w:t>
            </w:r>
          </w:p>
        </w:tc>
        <w:tc>
          <w:tcPr>
            <w:tcW w:w="740" w:type="dxa"/>
            <w:vAlign w:val="center"/>
          </w:tcPr>
          <w:p w14:paraId="54C7C84B">
            <w:pPr>
              <w:jc w:val="center"/>
              <w:rPr>
                <w:rFonts w:hint="eastAsia" w:ascii="宋体" w:hAnsi="宋体" w:eastAsia="宋体" w:cs="宋体"/>
                <w:kern w:val="0"/>
                <w:sz w:val="20"/>
                <w:szCs w:val="21"/>
              </w:rPr>
            </w:pPr>
            <w:r>
              <w:rPr>
                <w:rFonts w:hint="eastAsia" w:ascii="宋体" w:hAnsi="宋体" w:eastAsia="宋体" w:cs="宋体"/>
                <w:kern w:val="0"/>
                <w:sz w:val="20"/>
                <w:szCs w:val="21"/>
              </w:rPr>
              <w:t>专题报告</w:t>
            </w:r>
          </w:p>
        </w:tc>
        <w:tc>
          <w:tcPr>
            <w:tcW w:w="3160" w:type="dxa"/>
            <w:vAlign w:val="center"/>
          </w:tcPr>
          <w:p w14:paraId="0F5BB6EC">
            <w:pPr>
              <w:jc w:val="left"/>
              <w:rPr>
                <w:rFonts w:hint="eastAsia" w:ascii="宋体" w:hAnsi="宋体" w:eastAsia="宋体" w:cs="宋体"/>
                <w:kern w:val="0"/>
                <w:sz w:val="20"/>
                <w:szCs w:val="21"/>
              </w:rPr>
            </w:pPr>
            <w:r>
              <w:rPr>
                <w:rFonts w:hint="eastAsia" w:ascii="宋体" w:hAnsi="宋体" w:eastAsia="宋体" w:cs="宋体"/>
                <w:kern w:val="0"/>
                <w:sz w:val="20"/>
                <w:szCs w:val="21"/>
              </w:rPr>
              <w:t>借助榜样的正能量来激发学生爱岗敬业、立志成为卓越教师的专业志向，增强教师的职业归属感与社会责任感。</w:t>
            </w:r>
          </w:p>
        </w:tc>
      </w:tr>
    </w:tbl>
    <w:p w14:paraId="2C5FBD1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w:t>
      </w:r>
      <w:r>
        <w:rPr>
          <w:rFonts w:ascii="Times New Roman" w:hAnsi="Times New Roman" w:eastAsia="宋体" w:cs="Times New Roman"/>
          <w:b/>
          <w:sz w:val="24"/>
        </w:rPr>
        <w:t>、</w:t>
      </w:r>
      <w:r>
        <w:rPr>
          <w:rFonts w:hint="eastAsia" w:ascii="Times New Roman" w:hAnsi="Times New Roman" w:eastAsia="宋体" w:cs="Times New Roman"/>
          <w:b/>
          <w:sz w:val="24"/>
        </w:rPr>
        <w:t>有关说明</w:t>
      </w:r>
    </w:p>
    <w:p w14:paraId="6FE500ED">
      <w:pPr>
        <w:spacing w:line="312" w:lineRule="auto"/>
        <w:ind w:firstLine="422" w:firstLineChars="200"/>
        <w:rPr>
          <w:rFonts w:hint="eastAsia" w:ascii="宋体" w:hAnsi="宋体" w:eastAsia="宋体" w:cs="宋体"/>
          <w:b/>
          <w:bCs/>
          <w:szCs w:val="21"/>
        </w:rPr>
      </w:pPr>
      <w:r>
        <w:rPr>
          <w:rFonts w:hint="eastAsia" w:ascii="宋体" w:hAnsi="宋体" w:eastAsia="宋体" w:cs="宋体"/>
          <w:b/>
          <w:bCs/>
          <w:szCs w:val="21"/>
        </w:rPr>
        <w:t>（一）持续改进</w:t>
      </w:r>
    </w:p>
    <w:p w14:paraId="3F617670">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本课程根据学生作业、课堂讨论、模拟教学、说课、平时考核情况和学生、教学督导等的反馈，及时对教学中的不足之处进行改进，并在下一轮课程教学中整改完善，确保相应毕业要求指标点达成。</w:t>
      </w:r>
    </w:p>
    <w:p w14:paraId="190987B9">
      <w:pPr>
        <w:spacing w:line="312" w:lineRule="auto"/>
        <w:ind w:firstLine="422" w:firstLineChars="200"/>
        <w:rPr>
          <w:rFonts w:hint="eastAsia" w:ascii="宋体" w:hAnsi="宋体" w:eastAsia="宋体" w:cs="宋体"/>
          <w:b/>
          <w:szCs w:val="21"/>
        </w:rPr>
      </w:pPr>
      <w:bookmarkStart w:id="630" w:name="_Toc27846252"/>
      <w:bookmarkStart w:id="631" w:name="_Toc27847270"/>
      <w:r>
        <w:rPr>
          <w:rFonts w:hint="eastAsia" w:ascii="宋体" w:hAnsi="宋体" w:eastAsia="宋体" w:cs="宋体"/>
          <w:b/>
          <w:szCs w:val="21"/>
        </w:rPr>
        <w:t>（二）建议教材</w:t>
      </w:r>
    </w:p>
    <w:p w14:paraId="1DA8804D">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王本陆，课程与教学论（第4版），北京：高等教育出版社，2023.</w:t>
      </w:r>
    </w:p>
    <w:p w14:paraId="644ED75F">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陈佑清，有效教学，北京：高等教育出版社，2016.</w:t>
      </w:r>
    </w:p>
    <w:p w14:paraId="3FA949B4">
      <w:pPr>
        <w:spacing w:line="312" w:lineRule="auto"/>
        <w:ind w:firstLine="422" w:firstLineChars="200"/>
        <w:rPr>
          <w:rFonts w:hint="eastAsia" w:ascii="宋体" w:hAnsi="宋体" w:eastAsia="宋体" w:cs="宋体"/>
          <w:b/>
          <w:bCs/>
          <w:szCs w:val="21"/>
        </w:rPr>
      </w:pPr>
      <w:r>
        <w:rPr>
          <w:rFonts w:hint="eastAsia" w:ascii="宋体" w:hAnsi="宋体" w:eastAsia="宋体" w:cs="宋体"/>
          <w:b/>
          <w:szCs w:val="21"/>
        </w:rPr>
        <w:t>（三）参考书目</w:t>
      </w:r>
      <w:bookmarkEnd w:id="630"/>
      <w:bookmarkEnd w:id="631"/>
    </w:p>
    <w:p w14:paraId="5C7D5156">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[捷]夸美纽斯.傅任敢译.大教学论.北京：教育科学出版社，1999.</w:t>
      </w:r>
    </w:p>
    <w:p w14:paraId="4EA62D01">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陈晓端, 张立昌. 课程与教学通论. 西安: 陕西师范大学出版总社, 2017.</w:t>
      </w:r>
    </w:p>
    <w:p w14:paraId="58195442">
      <w:pPr>
        <w:spacing w:line="312" w:lineRule="auto"/>
        <w:ind w:firstLine="420" w:firstLineChars="200"/>
        <w:jc w:val="left"/>
        <w:rPr>
          <w:rFonts w:hint="eastAsia" w:ascii="宋体" w:hAnsi="宋体" w:eastAsia="宋体" w:cs="宋体"/>
          <w:szCs w:val="21"/>
        </w:rPr>
      </w:pPr>
      <w:r>
        <w:rPr>
          <w:rFonts w:hint="eastAsia" w:ascii="宋体" w:hAnsi="宋体" w:eastAsia="宋体" w:cs="宋体"/>
          <w:szCs w:val="21"/>
        </w:rPr>
        <w:t>王本陆.课程与教学论. 北京：高等教育出版社，2017.</w:t>
      </w:r>
    </w:p>
    <w:p w14:paraId="5EC23A19">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徐继存、徐文彬.课程与教学论.北京：高等教育出版社，2009.</w:t>
      </w:r>
    </w:p>
    <w:p w14:paraId="5C3BADEB">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张 华.课程与教学论.上海：上海教育出版社，2001.</w:t>
      </w:r>
    </w:p>
    <w:p w14:paraId="788BEC3B">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钟启泉.课程论.北京：教育科学出版社，2007.</w:t>
      </w:r>
    </w:p>
    <w:p w14:paraId="2AF287CD">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裴娣娜.教学论.北京：教育科学出版社，2007.</w:t>
      </w:r>
    </w:p>
    <w:p w14:paraId="35507A65">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施良方.教学理论.上海：华东师范大学出版社，1999.</w:t>
      </w:r>
    </w:p>
    <w:p w14:paraId="6B7453FF">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施良方.课程理论：课程的基础、原理与问题.北京：教育科学出版社，1996.</w:t>
      </w:r>
    </w:p>
    <w:p w14:paraId="68C75FA3">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杨启亮.困惑与抉择—20 世纪的新教学论.济南：山东教育出版社，1995.</w:t>
      </w:r>
    </w:p>
    <w:p w14:paraId="43ACCFC0">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李定仁、徐继存.课程论研究二十年.北京：人民教育出版社，2004.</w:t>
      </w:r>
    </w:p>
    <w:p w14:paraId="57AAC2EE">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陈晓端主编. 国外教学论基本文献讲读.北京：北京大学出版社, 2013.</w:t>
      </w:r>
    </w:p>
    <w:p w14:paraId="4D04F78E">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陈晓端、郝文武主编.西方教育哲学流派课程与教学思想.北京：中国轻工业出版社，2008.</w:t>
      </w:r>
    </w:p>
    <w:p w14:paraId="5299ED48">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何克抗等著. 教学系统设计(第2版).北京:高等教育出版社, 2016.</w:t>
      </w:r>
    </w:p>
    <w:p w14:paraId="7630D62B">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Diane Heacox著.杨希洁译.差异教学——帮助每个学生获得成功.北京：中国轻工业出版社, 2004.</w:t>
      </w:r>
    </w:p>
    <w:p w14:paraId="4A9528DB">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熊川武.反思性教学.上海:华东师范大学出版社, 1999.</w:t>
      </w:r>
    </w:p>
    <w:p w14:paraId="574D2F80">
      <w:pPr>
        <w:autoSpaceDE w:val="0"/>
        <w:autoSpaceDN w:val="0"/>
        <w:adjustRightInd w:val="0"/>
        <w:spacing w:line="312" w:lineRule="auto"/>
        <w:ind w:firstLine="5460" w:firstLineChars="2600"/>
        <w:jc w:val="left"/>
        <w:rPr>
          <w:rFonts w:hint="eastAsia" w:ascii="宋体" w:hAnsi="宋体" w:eastAsia="宋体" w:cs="宋体"/>
          <w:kern w:val="0"/>
          <w:szCs w:val="21"/>
        </w:rPr>
      </w:pPr>
      <w:r>
        <w:rPr>
          <w:rFonts w:hint="eastAsia" w:ascii="宋体" w:hAnsi="宋体" w:eastAsia="宋体" w:cs="宋体"/>
          <w:kern w:val="0"/>
          <w:szCs w:val="21"/>
        </w:rPr>
        <w:t>执笔人：张文娟</w:t>
      </w:r>
    </w:p>
    <w:p w14:paraId="47242874">
      <w:pPr>
        <w:autoSpaceDE w:val="0"/>
        <w:autoSpaceDN w:val="0"/>
        <w:adjustRightInd w:val="0"/>
        <w:spacing w:line="312" w:lineRule="auto"/>
        <w:ind w:firstLine="5460" w:firstLineChars="2600"/>
        <w:jc w:val="left"/>
        <w:rPr>
          <w:rFonts w:hint="eastAsia" w:ascii="宋体" w:hAnsi="宋体" w:eastAsia="宋体" w:cs="宋体"/>
          <w:kern w:val="0"/>
          <w:szCs w:val="21"/>
        </w:rPr>
      </w:pPr>
      <w:r>
        <w:rPr>
          <w:rFonts w:hint="eastAsia" w:ascii="宋体" w:hAnsi="宋体" w:eastAsia="宋体" w:cs="宋体"/>
          <w:kern w:val="0"/>
          <w:szCs w:val="21"/>
        </w:rPr>
        <w:t>审定人：王  健</w:t>
      </w:r>
    </w:p>
    <w:p w14:paraId="5130B3A5">
      <w:pPr>
        <w:autoSpaceDE w:val="0"/>
        <w:autoSpaceDN w:val="0"/>
        <w:adjustRightInd w:val="0"/>
        <w:spacing w:line="312" w:lineRule="auto"/>
        <w:ind w:firstLine="5460" w:firstLineChars="2600"/>
        <w:jc w:val="left"/>
        <w:rPr>
          <w:rFonts w:hint="eastAsia" w:ascii="宋体" w:hAnsi="宋体" w:eastAsia="宋体" w:cs="宋体"/>
          <w:kern w:val="0"/>
          <w:szCs w:val="21"/>
        </w:rPr>
      </w:pPr>
      <w:r>
        <w:rPr>
          <w:rFonts w:hint="eastAsia" w:ascii="宋体" w:hAnsi="宋体" w:eastAsia="宋体" w:cs="宋体"/>
          <w:kern w:val="0"/>
          <w:szCs w:val="21"/>
        </w:rPr>
        <w:t>审批人：张志欣</w:t>
      </w:r>
    </w:p>
    <w:p w14:paraId="5468A20C">
      <w:pPr>
        <w:autoSpaceDE w:val="0"/>
        <w:autoSpaceDN w:val="0"/>
        <w:adjustRightInd w:val="0"/>
        <w:spacing w:line="312" w:lineRule="auto"/>
        <w:ind w:firstLine="5460" w:firstLineChars="2600"/>
        <w:jc w:val="left"/>
        <w:rPr>
          <w:rFonts w:hint="eastAsia" w:ascii="宋体" w:hAnsi="宋体" w:eastAsia="宋体" w:cs="Times New Roman"/>
          <w:kern w:val="0"/>
          <w:sz w:val="24"/>
          <w:szCs w:val="21"/>
        </w:rPr>
      </w:pPr>
      <w:r>
        <w:rPr>
          <w:rFonts w:hint="eastAsia" w:ascii="宋体" w:hAnsi="宋体" w:eastAsia="宋体" w:cs="宋体"/>
          <w:kern w:val="0"/>
          <w:szCs w:val="21"/>
        </w:rPr>
        <w:t>批准时间：2025年7月1日</w:t>
      </w:r>
    </w:p>
    <w:p w14:paraId="4D1D8FC8">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0221DB4E">
      <w:pPr>
        <w:spacing w:line="360" w:lineRule="auto"/>
        <w:jc w:val="center"/>
        <w:outlineLvl w:val="0"/>
        <w:rPr>
          <w:rFonts w:ascii="Times New Roman" w:hAnsi="Times New Roman" w:eastAsia="宋体" w:cs="Times New Roman"/>
          <w:b/>
          <w:sz w:val="44"/>
          <w:szCs w:val="44"/>
        </w:rPr>
      </w:pPr>
      <w:bookmarkStart w:id="632" w:name="_Toc57017177"/>
      <w:bookmarkStart w:id="633" w:name="_Toc26530"/>
      <w:bookmarkStart w:id="634" w:name="_Toc3651"/>
      <w:r>
        <w:rPr>
          <w:rFonts w:hint="eastAsia" w:ascii="Times New Roman" w:hAnsi="Times New Roman" w:eastAsia="宋体" w:cs="Times New Roman"/>
          <w:b/>
          <w:sz w:val="44"/>
          <w:szCs w:val="44"/>
        </w:rPr>
        <w:t>《教育心理学》课程教学大纲</w:t>
      </w:r>
      <w:bookmarkEnd w:id="632"/>
      <w:bookmarkEnd w:id="633"/>
      <w:bookmarkEnd w:id="634"/>
    </w:p>
    <w:p w14:paraId="67E6E52C">
      <w:pPr>
        <w:spacing w:line="360" w:lineRule="auto"/>
        <w:jc w:val="center"/>
      </w:pPr>
      <w:bookmarkStart w:id="635" w:name="_Toc29016"/>
      <w:bookmarkStart w:id="636" w:name="_Toc19295"/>
      <w:bookmarkStart w:id="637" w:name="_Toc31043"/>
      <w:bookmarkStart w:id="638" w:name="_Toc30072"/>
      <w:bookmarkStart w:id="639" w:name="_Toc15119"/>
      <w:r>
        <w:rPr>
          <w:rFonts w:hint="eastAsia" w:ascii="Times New Roman" w:hAnsi="Times New Roman" w:eastAsia="宋体" w:cs="Times New Roman"/>
          <w:b/>
          <w:bCs/>
          <w:sz w:val="28"/>
          <w:szCs w:val="28"/>
        </w:rPr>
        <w:t>（Educational Psychology）</w:t>
      </w:r>
      <w:bookmarkEnd w:id="635"/>
      <w:bookmarkEnd w:id="636"/>
      <w:bookmarkEnd w:id="637"/>
      <w:bookmarkEnd w:id="638"/>
      <w:bookmarkEnd w:id="639"/>
    </w:p>
    <w:p w14:paraId="1FF2BEC7">
      <w:pPr>
        <w:spacing w:line="360" w:lineRule="auto"/>
        <w:jc w:val="center"/>
        <w:rPr>
          <w:rFonts w:ascii="Times New Roman" w:hAnsi="Times New Roman" w:eastAsia="宋体" w:cs="Times New Roman"/>
          <w:b/>
          <w:bCs/>
          <w:szCs w:val="18"/>
        </w:rPr>
      </w:pPr>
    </w:p>
    <w:p w14:paraId="3E8D9117">
      <w:pPr>
        <w:spacing w:line="360" w:lineRule="auto"/>
        <w:ind w:firstLine="482" w:firstLineChars="200"/>
        <w:jc w:val="left"/>
        <w:rPr>
          <w:rFonts w:ascii="Times New Roman" w:hAnsi="Times New Roman" w:eastAsia="宋体" w:cs="Times New Roman"/>
          <w:b/>
          <w:sz w:val="24"/>
        </w:rPr>
      </w:pPr>
      <w:bookmarkStart w:id="640" w:name="_Toc27847272"/>
      <w:bookmarkStart w:id="641" w:name="_Toc27846254"/>
      <w:r>
        <w:rPr>
          <w:rFonts w:hint="eastAsia" w:ascii="Times New Roman" w:hAnsi="Times New Roman" w:eastAsia="宋体" w:cs="Times New Roman"/>
          <w:b/>
          <w:sz w:val="24"/>
        </w:rPr>
        <w:t>课程名称：教育心理学</w:t>
      </w:r>
    </w:p>
    <w:p w14:paraId="5803ED0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课程代码：2401011</w:t>
      </w:r>
    </w:p>
    <w:p w14:paraId="29AA19C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7DAC1CD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4EDB68B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先修课程：小学心理学、专业导论</w:t>
      </w:r>
    </w:p>
    <w:p w14:paraId="524D94E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0555C93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471438E3">
      <w:pPr>
        <w:spacing w:line="360" w:lineRule="auto"/>
        <w:ind w:firstLine="411" w:firstLineChars="196"/>
        <w:rPr>
          <w:rFonts w:hint="eastAsia" w:ascii="宋体" w:hAnsi="宋体" w:eastAsia="宋体" w:cs="Times New Roman"/>
          <w:b/>
          <w:sz w:val="28"/>
          <w:szCs w:val="28"/>
        </w:rPr>
      </w:pPr>
      <w:r>
        <w:rPr>
          <w:rFonts w:hint="eastAsia" w:ascii="Times New Roman" w:hAnsi="Times New Roman" w:eastAsia="宋体" w:cs="Times New Roman"/>
          <w:szCs w:val="21"/>
        </w:rPr>
        <w:t xml:space="preserve">本课程是小学教育专业的专业基础必修课。通过本课程的学习，学生能掌握有关学与教的心理学理论与基本原理，获得适应将来教学环境的基础知识和基本能力，为后续《课程与教学论》《小学数学课程标准与教材分析》《小学语文课程标准与教材分析》《小学数学教学设计与实施》《小学语文教学设计与实施》《小学班队管理》《小学生心理辅导》等课程及教育实习环节奠定基础。 </w:t>
      </w:r>
    </w:p>
    <w:bookmarkEnd w:id="640"/>
    <w:bookmarkEnd w:id="641"/>
    <w:p w14:paraId="6DD73F5E">
      <w:pPr>
        <w:spacing w:before="62" w:beforeLines="20" w:after="62" w:afterLines="20" w:line="360" w:lineRule="auto"/>
        <w:jc w:val="left"/>
        <w:rPr>
          <w:rFonts w:ascii="Times New Roman" w:hAnsi="Times New Roman" w:eastAsia="宋体" w:cs="Times New Roman"/>
          <w:b/>
          <w:sz w:val="24"/>
        </w:rPr>
      </w:pPr>
      <w:bookmarkStart w:id="642" w:name="_Toc27847273"/>
      <w:bookmarkStart w:id="643" w:name="_Toc27846255"/>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642"/>
      <w:bookmarkEnd w:id="643"/>
    </w:p>
    <w:p w14:paraId="75A6F05B">
      <w:pPr>
        <w:spacing w:line="360" w:lineRule="auto"/>
        <w:ind w:firstLine="442" w:firstLineChars="200"/>
        <w:rPr>
          <w:rFonts w:hint="eastAsia" w:ascii="宋体" w:hAnsi="宋体" w:eastAsia="宋体" w:cs="Times New Roman"/>
          <w:b/>
          <w:sz w:val="22"/>
          <w:szCs w:val="22"/>
        </w:rPr>
      </w:pPr>
      <w:bookmarkStart w:id="644" w:name="_Toc27847274"/>
      <w:bookmarkStart w:id="645" w:name="_Toc27846256"/>
      <w:r>
        <w:rPr>
          <w:rFonts w:hint="eastAsia" w:ascii="宋体" w:hAnsi="宋体" w:eastAsia="宋体" w:cs="Times New Roman"/>
          <w:b/>
          <w:sz w:val="22"/>
          <w:szCs w:val="22"/>
        </w:rPr>
        <w:t>（一）课程具体目标</w:t>
      </w:r>
      <w:bookmarkEnd w:id="644"/>
      <w:bookmarkEnd w:id="645"/>
    </w:p>
    <w:p w14:paraId="205FD2F7">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kern w:val="0"/>
          <w:szCs w:val="20"/>
        </w:rPr>
        <w:t>掌握学与教的基本心理学理论与基本原理，具有积极开展教育教学的意识，</w:t>
      </w:r>
      <w:r>
        <w:rPr>
          <w:rFonts w:hint="eastAsia" w:ascii="Times New Roman" w:hAnsi="Times New Roman" w:eastAsia="宋体" w:cs="Times New Roman"/>
          <w:szCs w:val="21"/>
        </w:rPr>
        <w:t>为今后从事教育实践工作打下良好基础。</w:t>
      </w:r>
    </w:p>
    <w:p w14:paraId="172D039B">
      <w:pPr>
        <w:spacing w:line="360" w:lineRule="auto"/>
        <w:ind w:firstLine="422" w:firstLineChars="200"/>
        <w:rPr>
          <w:rFonts w:hint="eastAsia" w:ascii="宋体" w:hAnsi="宋体" w:eastAsia="宋体" w:cs="Times New Roman"/>
          <w:kern w:val="0"/>
          <w:szCs w:val="20"/>
        </w:rPr>
      </w:pPr>
      <w:r>
        <w:rPr>
          <w:rFonts w:hint="eastAsia" w:ascii="Times New Roman" w:hAnsi="Times New Roman" w:eastAsia="宋体" w:cs="Times New Roman"/>
          <w:b/>
          <w:szCs w:val="21"/>
        </w:rPr>
        <w:t xml:space="preserve">目标2. </w:t>
      </w:r>
      <w:r>
        <w:rPr>
          <w:rFonts w:hint="eastAsia" w:ascii="宋体" w:hAnsi="宋体" w:eastAsia="宋体" w:cs="Times New Roman"/>
          <w:kern w:val="0"/>
          <w:szCs w:val="20"/>
        </w:rPr>
        <w:t>了解小学生身心发展的一般规律与个体差异，了解不同年龄阶段小学生的身心发展特点，为今后从事小学教育实践奠定教学准备的基础。</w:t>
      </w:r>
    </w:p>
    <w:p w14:paraId="34F01BCA">
      <w:pPr>
        <w:spacing w:line="360" w:lineRule="auto"/>
        <w:ind w:firstLine="422" w:firstLineChars="200"/>
        <w:rPr>
          <w:rFonts w:hint="eastAsia" w:ascii="宋体" w:hAnsi="宋体" w:eastAsia="宋体" w:cs="Times New Roman"/>
          <w:b/>
          <w:sz w:val="24"/>
        </w:rPr>
      </w:pPr>
      <w:bookmarkStart w:id="646" w:name="_Toc27847275"/>
      <w:bookmarkStart w:id="647" w:name="_Toc27846257"/>
      <w:r>
        <w:rPr>
          <w:rFonts w:hint="eastAsia" w:ascii="宋体" w:hAnsi="宋体" w:eastAsia="宋体" w:cs="Times New Roman"/>
          <w:b/>
          <w:szCs w:val="21"/>
        </w:rPr>
        <w:t>（二）课程目标与专业毕业要求的关系</w:t>
      </w:r>
      <w:bookmarkEnd w:id="646"/>
      <w:bookmarkEnd w:id="647"/>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2B7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A66DCF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5738B01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34C989C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54F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3F543B5D">
            <w:pPr>
              <w:jc w:val="left"/>
              <w:rPr>
                <w:rFonts w:hint="eastAsia" w:ascii="宋体" w:hAnsi="宋体" w:eastAsia="宋体" w:cs="Times New Roman"/>
                <w:b/>
                <w:bCs/>
                <w:szCs w:val="21"/>
              </w:rPr>
            </w:pPr>
            <w:r>
              <w:rPr>
                <w:rFonts w:hint="eastAsia" w:ascii="宋体" w:hAnsi="宋体" w:eastAsia="宋体" w:cs="Times New Roman"/>
                <w:b/>
                <w:bCs/>
                <w:spacing w:val="-6"/>
                <w:szCs w:val="21"/>
              </w:rPr>
              <w:t>毕业要求4 教学能力</w:t>
            </w:r>
          </w:p>
        </w:tc>
        <w:tc>
          <w:tcPr>
            <w:tcW w:w="5688" w:type="dxa"/>
            <w:vAlign w:val="center"/>
          </w:tcPr>
          <w:p w14:paraId="1D763F4C">
            <w:pPr>
              <w:jc w:val="left"/>
              <w:rPr>
                <w:rFonts w:hint="eastAsia" w:ascii="宋体" w:hAnsi="宋体" w:eastAsia="宋体" w:cs="Times New Roman"/>
                <w:szCs w:val="21"/>
              </w:rPr>
            </w:pPr>
            <w:r>
              <w:rPr>
                <w:rFonts w:hint="eastAsia" w:ascii="宋体" w:hAnsi="宋体" w:eastAsia="宋体" w:cs="Times New Roman"/>
                <w:b/>
                <w:szCs w:val="21"/>
              </w:rPr>
              <w:t>指标点4-1</w:t>
            </w:r>
            <w:r>
              <w:rPr>
                <w:rFonts w:hint="eastAsia" w:ascii="宋体" w:hAnsi="宋体" w:eastAsia="宋体" w:cs="Times New Roman"/>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5C66F849">
            <w:pPr>
              <w:jc w:val="left"/>
              <w:rPr>
                <w:rFonts w:hint="eastAsia" w:ascii="宋体" w:hAnsi="宋体" w:eastAsia="宋体" w:cs="Times New Roman"/>
                <w:szCs w:val="21"/>
              </w:rPr>
            </w:pPr>
            <w:r>
              <w:rPr>
                <w:rFonts w:hint="eastAsia" w:ascii="宋体" w:hAnsi="宋体" w:eastAsia="宋体" w:cs="Times New Roman"/>
                <w:szCs w:val="21"/>
              </w:rPr>
              <w:t>课程目标1</w:t>
            </w:r>
          </w:p>
        </w:tc>
      </w:tr>
      <w:tr w14:paraId="3DFD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72138C6">
            <w:pPr>
              <w:jc w:val="left"/>
              <w:rPr>
                <w:rFonts w:hint="eastAsia" w:ascii="宋体" w:hAnsi="宋体" w:eastAsia="宋体" w:cs="Times New Roman"/>
                <w:b/>
                <w:bCs/>
                <w:szCs w:val="21"/>
              </w:rPr>
            </w:pPr>
            <w:r>
              <w:rPr>
                <w:rFonts w:hint="eastAsia" w:ascii="宋体" w:hAnsi="宋体" w:eastAsia="宋体" w:cs="Times New Roman"/>
                <w:b/>
                <w:bCs/>
                <w:szCs w:val="21"/>
              </w:rPr>
              <w:t>毕业要求6综合育人</w:t>
            </w:r>
          </w:p>
        </w:tc>
        <w:tc>
          <w:tcPr>
            <w:tcW w:w="5688" w:type="dxa"/>
            <w:vAlign w:val="center"/>
          </w:tcPr>
          <w:p w14:paraId="708BC93C">
            <w:pPr>
              <w:jc w:val="left"/>
              <w:rPr>
                <w:rFonts w:hint="eastAsia" w:ascii="宋体" w:hAnsi="宋体" w:eastAsia="宋体" w:cs="Times New Roman"/>
                <w:szCs w:val="21"/>
              </w:rPr>
            </w:pPr>
            <w:r>
              <w:rPr>
                <w:rFonts w:hint="eastAsia" w:ascii="宋体" w:hAnsi="宋体" w:eastAsia="宋体" w:cs="Times New Roman"/>
                <w:b/>
                <w:szCs w:val="21"/>
              </w:rPr>
              <w:t>指标点6-1</w:t>
            </w:r>
            <w:r>
              <w:rPr>
                <w:rFonts w:hint="eastAsia" w:ascii="宋体" w:hAnsi="宋体" w:eastAsia="宋体" w:cs="Times New Roman"/>
                <w:szCs w:val="21"/>
              </w:rPr>
              <w:t>：【遵循身心规律】了解不同年龄以及有特殊需要的小学生的身心发展特点和规律、不同年龄小学生学习的特点，掌握小学生良好行为习惯养成的知识。</w:t>
            </w:r>
          </w:p>
        </w:tc>
        <w:tc>
          <w:tcPr>
            <w:tcW w:w="1191" w:type="dxa"/>
            <w:vAlign w:val="center"/>
          </w:tcPr>
          <w:p w14:paraId="3DB403AD">
            <w:pPr>
              <w:jc w:val="left"/>
              <w:rPr>
                <w:rFonts w:hint="eastAsia" w:ascii="宋体" w:hAnsi="宋体" w:eastAsia="宋体" w:cs="Times New Roman"/>
                <w:szCs w:val="21"/>
              </w:rPr>
            </w:pPr>
            <w:r>
              <w:rPr>
                <w:rFonts w:hint="eastAsia" w:ascii="宋体" w:hAnsi="宋体" w:eastAsia="宋体" w:cs="Times New Roman"/>
                <w:szCs w:val="21"/>
              </w:rPr>
              <w:t>课程目标2</w:t>
            </w:r>
          </w:p>
        </w:tc>
      </w:tr>
    </w:tbl>
    <w:p w14:paraId="4BDBA0E4">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43B81C6D">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促使学生在扎实掌握教育教学知识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0927540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701"/>
        <w:gridCol w:w="1136"/>
        <w:gridCol w:w="3259"/>
        <w:gridCol w:w="1560"/>
        <w:gridCol w:w="8"/>
        <w:gridCol w:w="430"/>
      </w:tblGrid>
      <w:tr w14:paraId="18706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4CF162A">
            <w:pPr>
              <w:jc w:val="center"/>
              <w:rPr>
                <w:rFonts w:hint="eastAsia" w:ascii="宋体" w:hAnsi="宋体" w:eastAsia="宋体" w:cs="Times New Roman"/>
                <w:b/>
                <w:szCs w:val="21"/>
              </w:rPr>
            </w:pPr>
            <w:r>
              <w:rPr>
                <w:rFonts w:hint="eastAsia" w:ascii="宋体" w:hAnsi="宋体" w:eastAsia="宋体" w:cs="Times New Roman"/>
                <w:b/>
                <w:szCs w:val="21"/>
              </w:rPr>
              <w:t>知识</w:t>
            </w:r>
          </w:p>
          <w:p w14:paraId="579214A2">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1A2E80B7">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050CBB9C">
            <w:pPr>
              <w:jc w:val="center"/>
              <w:rPr>
                <w:rFonts w:hint="eastAsia" w:ascii="宋体" w:hAnsi="宋体" w:eastAsia="宋体" w:cs="Times New Roman"/>
                <w:b/>
                <w:szCs w:val="21"/>
              </w:rPr>
            </w:pPr>
            <w:r>
              <w:rPr>
                <w:rFonts w:hint="eastAsia" w:ascii="宋体" w:hAnsi="宋体" w:eastAsia="宋体" w:cs="Times New Roman"/>
                <w:b/>
                <w:szCs w:val="21"/>
              </w:rPr>
              <w:t>对应</w:t>
            </w:r>
          </w:p>
          <w:p w14:paraId="5485FBF4">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331FA6E5">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60525E34">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gridSpan w:val="2"/>
            <w:vAlign w:val="center"/>
          </w:tcPr>
          <w:p w14:paraId="52F4E7E0">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38DB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B37B02B">
            <w:pPr>
              <w:jc w:val="left"/>
              <w:rPr>
                <w:rFonts w:hint="eastAsia" w:ascii="宋体" w:hAnsi="宋体" w:eastAsia="宋体" w:cs="Times New Roman"/>
                <w:szCs w:val="21"/>
              </w:rPr>
            </w:pPr>
            <w:r>
              <w:rPr>
                <w:rFonts w:hint="eastAsia" w:ascii="宋体" w:hAnsi="宋体" w:eastAsia="宋体" w:cs="Times New Roman"/>
                <w:szCs w:val="21"/>
              </w:rPr>
              <w:t>1.教育心理学：教学的基础</w:t>
            </w:r>
          </w:p>
        </w:tc>
        <w:tc>
          <w:tcPr>
            <w:tcW w:w="1701" w:type="dxa"/>
            <w:vAlign w:val="center"/>
          </w:tcPr>
          <w:p w14:paraId="126E2822">
            <w:pPr>
              <w:jc w:val="left"/>
              <w:rPr>
                <w:rFonts w:hint="eastAsia" w:ascii="宋体" w:hAnsi="宋体" w:eastAsia="宋体" w:cs="Times New Roman"/>
                <w:szCs w:val="21"/>
              </w:rPr>
            </w:pPr>
            <w:r>
              <w:rPr>
                <w:rFonts w:hint="eastAsia" w:ascii="宋体" w:hAnsi="宋体" w:eastAsia="宋体" w:cs="Times New Roman"/>
                <w:szCs w:val="21"/>
              </w:rPr>
              <w:t>（1）教育心理学的研究对象</w:t>
            </w:r>
          </w:p>
          <w:p w14:paraId="270650E8">
            <w:pPr>
              <w:jc w:val="left"/>
              <w:rPr>
                <w:rFonts w:hint="eastAsia" w:ascii="宋体" w:hAnsi="宋体" w:eastAsia="宋体" w:cs="Times New Roman"/>
                <w:szCs w:val="21"/>
              </w:rPr>
            </w:pPr>
            <w:r>
              <w:rPr>
                <w:rFonts w:hint="eastAsia" w:ascii="宋体" w:hAnsi="宋体" w:eastAsia="宋体" w:cs="Times New Roman"/>
                <w:szCs w:val="21"/>
              </w:rPr>
              <w:t>（2）教育心理学的产生概况</w:t>
            </w:r>
          </w:p>
          <w:p w14:paraId="385AA2BB">
            <w:pPr>
              <w:jc w:val="left"/>
              <w:rPr>
                <w:rFonts w:hint="eastAsia" w:ascii="宋体" w:hAnsi="宋体" w:eastAsia="宋体" w:cs="Times New Roman"/>
                <w:szCs w:val="21"/>
              </w:rPr>
            </w:pPr>
            <w:r>
              <w:rPr>
                <w:rFonts w:hint="eastAsia" w:ascii="宋体" w:hAnsi="宋体" w:eastAsia="宋体" w:cs="Times New Roman"/>
                <w:szCs w:val="21"/>
              </w:rPr>
              <w:t>（3）教育心理学的研究方法</w:t>
            </w:r>
          </w:p>
        </w:tc>
        <w:tc>
          <w:tcPr>
            <w:tcW w:w="1134" w:type="dxa"/>
            <w:vAlign w:val="center"/>
          </w:tcPr>
          <w:p w14:paraId="0821C098">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11E646D6">
            <w:pPr>
              <w:jc w:val="left"/>
              <w:rPr>
                <w:rFonts w:hint="eastAsia" w:ascii="宋体" w:hAnsi="宋体" w:eastAsia="宋体" w:cs="Times New Roman"/>
                <w:szCs w:val="21"/>
              </w:rPr>
            </w:pPr>
            <w:r>
              <w:rPr>
                <w:rFonts w:hint="eastAsia" w:ascii="宋体" w:hAnsi="宋体" w:eastAsia="宋体" w:cs="Times New Roman"/>
                <w:szCs w:val="21"/>
              </w:rPr>
              <w:t>（1）理</w:t>
            </w:r>
            <w:r>
              <w:rPr>
                <w:rFonts w:ascii="宋体" w:hAnsi="宋体" w:eastAsia="宋体" w:cs="Times New Roman"/>
                <w:szCs w:val="21"/>
              </w:rPr>
              <w:t>解教育</w:t>
            </w:r>
            <w:r>
              <w:rPr>
                <w:rFonts w:hint="eastAsia" w:ascii="宋体" w:hAnsi="宋体" w:eastAsia="宋体" w:cs="Times New Roman"/>
                <w:szCs w:val="21"/>
              </w:rPr>
              <w:t>心理</w:t>
            </w:r>
            <w:r>
              <w:rPr>
                <w:rFonts w:ascii="宋体" w:hAnsi="宋体" w:eastAsia="宋体" w:cs="Times New Roman"/>
                <w:szCs w:val="21"/>
              </w:rPr>
              <w:t>学的学科性质、研究对象</w:t>
            </w:r>
            <w:r>
              <w:rPr>
                <w:rFonts w:hint="eastAsia" w:ascii="宋体" w:hAnsi="宋体" w:eastAsia="宋体" w:cs="Times New Roman"/>
                <w:szCs w:val="21"/>
              </w:rPr>
              <w:t>；</w:t>
            </w:r>
          </w:p>
          <w:p w14:paraId="4A383B63">
            <w:pPr>
              <w:jc w:val="left"/>
              <w:rPr>
                <w:rFonts w:hint="eastAsia" w:ascii="宋体" w:hAnsi="宋体" w:eastAsia="宋体" w:cs="Times New Roman"/>
                <w:szCs w:val="21"/>
              </w:rPr>
            </w:pPr>
            <w:r>
              <w:rPr>
                <w:rFonts w:hint="eastAsia" w:ascii="宋体" w:hAnsi="宋体" w:eastAsia="宋体" w:cs="Times New Roman"/>
                <w:szCs w:val="21"/>
              </w:rPr>
              <w:t>（2）了解教育心理学发展历史；</w:t>
            </w:r>
          </w:p>
          <w:p w14:paraId="6A4B0EEB">
            <w:pPr>
              <w:jc w:val="left"/>
              <w:rPr>
                <w:rFonts w:hint="eastAsia" w:ascii="宋体" w:hAnsi="宋体" w:eastAsia="宋体" w:cs="Times New Roman"/>
                <w:szCs w:val="21"/>
              </w:rPr>
            </w:pPr>
            <w:r>
              <w:rPr>
                <w:rFonts w:hint="eastAsia" w:ascii="宋体" w:hAnsi="宋体" w:eastAsia="宋体" w:cs="Times New Roman"/>
                <w:szCs w:val="21"/>
              </w:rPr>
              <w:t>（3）掌握教育心理学的基本研究方法，初步形成自觉适应教育变革的意识。</w:t>
            </w:r>
          </w:p>
        </w:tc>
        <w:tc>
          <w:tcPr>
            <w:tcW w:w="1560" w:type="dxa"/>
            <w:vAlign w:val="center"/>
          </w:tcPr>
          <w:p w14:paraId="5C8831EC">
            <w:pPr>
              <w:jc w:val="left"/>
              <w:rPr>
                <w:rFonts w:hint="eastAsia" w:ascii="宋体" w:hAnsi="宋体" w:eastAsia="宋体" w:cs="Times New Roman"/>
                <w:szCs w:val="21"/>
              </w:rPr>
            </w:pPr>
            <w:r>
              <w:rPr>
                <w:rFonts w:hint="eastAsia" w:ascii="宋体" w:hAnsi="宋体" w:eastAsia="宋体" w:cs="Times New Roman"/>
                <w:szCs w:val="21"/>
              </w:rPr>
              <w:t>1.线上学习</w:t>
            </w:r>
          </w:p>
          <w:p w14:paraId="6FF021CB">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6A4D5AA3">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gridSpan w:val="2"/>
            <w:vAlign w:val="center"/>
          </w:tcPr>
          <w:p w14:paraId="349AFCA7">
            <w:pPr>
              <w:jc w:val="center"/>
              <w:rPr>
                <w:rFonts w:hint="eastAsia" w:ascii="宋体" w:hAnsi="宋体" w:eastAsia="宋体" w:cs="Times New Roman"/>
                <w:szCs w:val="21"/>
              </w:rPr>
            </w:pPr>
            <w:r>
              <w:rPr>
                <w:rFonts w:hint="eastAsia" w:ascii="宋体" w:hAnsi="宋体" w:eastAsia="宋体" w:cs="Times New Roman"/>
                <w:szCs w:val="21"/>
              </w:rPr>
              <w:t>2</w:t>
            </w:r>
          </w:p>
        </w:tc>
      </w:tr>
      <w:tr w14:paraId="23F6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207499E">
            <w:pPr>
              <w:jc w:val="center"/>
              <w:rPr>
                <w:rFonts w:hint="eastAsia" w:ascii="宋体" w:hAnsi="宋体" w:eastAsia="宋体" w:cs="Times New Roman"/>
                <w:szCs w:val="21"/>
              </w:rPr>
            </w:pPr>
          </w:p>
        </w:tc>
        <w:tc>
          <w:tcPr>
            <w:tcW w:w="8093" w:type="dxa"/>
            <w:gridSpan w:val="6"/>
            <w:vAlign w:val="center"/>
          </w:tcPr>
          <w:p w14:paraId="7CA0129A">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通过让学生了解教育心理学的产生背景和发展脉络，了解教育心理规律，形成正确的符合我国国情的教育心理观，深刻理解立德树人的教育理念。</w:t>
            </w:r>
          </w:p>
        </w:tc>
      </w:tr>
      <w:tr w14:paraId="0FD6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1205" w:type="dxa"/>
            <w:vMerge w:val="restart"/>
            <w:vAlign w:val="center"/>
          </w:tcPr>
          <w:p w14:paraId="486B5A8D">
            <w:pPr>
              <w:jc w:val="left"/>
              <w:rPr>
                <w:rFonts w:hint="eastAsia" w:ascii="宋体" w:hAnsi="宋体" w:eastAsia="宋体" w:cs="Times New Roman"/>
                <w:szCs w:val="21"/>
              </w:rPr>
            </w:pPr>
            <w:r>
              <w:rPr>
                <w:rFonts w:hint="eastAsia" w:ascii="宋体" w:hAnsi="宋体" w:eastAsia="宋体" w:cs="Times New Roman"/>
                <w:szCs w:val="21"/>
              </w:rPr>
              <w:t>2.学生</w:t>
            </w:r>
          </w:p>
          <w:p w14:paraId="597DA1E5">
            <w:pPr>
              <w:ind w:firstLine="210" w:firstLineChars="100"/>
              <w:jc w:val="left"/>
              <w:rPr>
                <w:rFonts w:hint="eastAsia" w:ascii="宋体" w:hAnsi="宋体" w:eastAsia="宋体" w:cs="Times New Roman"/>
                <w:szCs w:val="21"/>
              </w:rPr>
            </w:pPr>
            <w:r>
              <w:rPr>
                <w:rFonts w:hint="eastAsia" w:ascii="宋体" w:hAnsi="宋体" w:eastAsia="宋体" w:cs="Times New Roman"/>
                <w:szCs w:val="21"/>
              </w:rPr>
              <w:t>心理</w:t>
            </w:r>
          </w:p>
        </w:tc>
        <w:tc>
          <w:tcPr>
            <w:tcW w:w="1701" w:type="dxa"/>
            <w:vAlign w:val="center"/>
          </w:tcPr>
          <w:p w14:paraId="43B8C3C1">
            <w:pPr>
              <w:jc w:val="left"/>
              <w:rPr>
                <w:rFonts w:hint="eastAsia" w:ascii="宋体" w:hAnsi="宋体" w:eastAsia="宋体" w:cs="Times New Roman"/>
                <w:szCs w:val="21"/>
              </w:rPr>
            </w:pPr>
            <w:r>
              <w:rPr>
                <w:rFonts w:hint="eastAsia" w:ascii="宋体" w:hAnsi="宋体" w:eastAsia="宋体" w:cs="Times New Roman"/>
                <w:szCs w:val="21"/>
              </w:rPr>
              <w:t>（1）学生的认知发展</w:t>
            </w:r>
          </w:p>
          <w:p w14:paraId="223A9CBB">
            <w:pPr>
              <w:jc w:val="left"/>
              <w:rPr>
                <w:rFonts w:hint="eastAsia" w:ascii="宋体" w:hAnsi="宋体" w:eastAsia="宋体" w:cs="Times New Roman"/>
                <w:szCs w:val="21"/>
              </w:rPr>
            </w:pPr>
            <w:r>
              <w:rPr>
                <w:rFonts w:hint="eastAsia" w:ascii="宋体" w:hAnsi="宋体" w:eastAsia="宋体" w:cs="Times New Roman"/>
                <w:szCs w:val="21"/>
              </w:rPr>
              <w:t>（2）学生的情感和个性发展</w:t>
            </w:r>
          </w:p>
          <w:p w14:paraId="3D9B6EB3">
            <w:pPr>
              <w:jc w:val="left"/>
              <w:rPr>
                <w:rFonts w:hint="eastAsia" w:ascii="宋体" w:hAnsi="宋体" w:eastAsia="宋体" w:cs="Times New Roman"/>
                <w:szCs w:val="21"/>
              </w:rPr>
            </w:pPr>
            <w:r>
              <w:rPr>
                <w:rFonts w:hint="eastAsia" w:ascii="宋体" w:hAnsi="宋体" w:eastAsia="宋体" w:cs="Times New Roman"/>
                <w:szCs w:val="21"/>
              </w:rPr>
              <w:t>（3）学生的个体差异</w:t>
            </w:r>
          </w:p>
        </w:tc>
        <w:tc>
          <w:tcPr>
            <w:tcW w:w="1134" w:type="dxa"/>
            <w:vAlign w:val="center"/>
          </w:tcPr>
          <w:p w14:paraId="0EF2AEC9">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3260" w:type="dxa"/>
            <w:vAlign w:val="center"/>
          </w:tcPr>
          <w:p w14:paraId="0F27FBC3">
            <w:pPr>
              <w:jc w:val="left"/>
              <w:rPr>
                <w:rFonts w:hint="eastAsia" w:ascii="宋体" w:hAnsi="宋体" w:eastAsia="宋体" w:cs="Times New Roman"/>
                <w:szCs w:val="21"/>
              </w:rPr>
            </w:pPr>
            <w:r>
              <w:rPr>
                <w:rFonts w:hint="eastAsia" w:ascii="宋体" w:hAnsi="宋体" w:eastAsia="宋体" w:cs="Times New Roman"/>
                <w:szCs w:val="21"/>
              </w:rPr>
              <w:t>（1）掌握学生发展的一般规律，把握学生发展的个体差异性；</w:t>
            </w:r>
          </w:p>
          <w:p w14:paraId="0BF217CC">
            <w:pPr>
              <w:jc w:val="left"/>
              <w:rPr>
                <w:rFonts w:hint="eastAsia" w:ascii="宋体" w:hAnsi="宋体" w:eastAsia="宋体" w:cs="Times New Roman"/>
                <w:szCs w:val="21"/>
              </w:rPr>
            </w:pPr>
            <w:r>
              <w:rPr>
                <w:rFonts w:hint="eastAsia" w:ascii="宋体" w:hAnsi="宋体" w:eastAsia="宋体" w:cs="Times New Roman"/>
                <w:szCs w:val="21"/>
              </w:rPr>
              <w:t>（2）把握不同年龄阶段小学生的学习特点。</w:t>
            </w:r>
          </w:p>
        </w:tc>
        <w:tc>
          <w:tcPr>
            <w:tcW w:w="1560" w:type="dxa"/>
            <w:vAlign w:val="center"/>
          </w:tcPr>
          <w:p w14:paraId="6187AA2D">
            <w:pPr>
              <w:jc w:val="left"/>
              <w:rPr>
                <w:rFonts w:hint="eastAsia" w:ascii="宋体" w:hAnsi="宋体" w:eastAsia="宋体" w:cs="Times New Roman"/>
                <w:szCs w:val="21"/>
              </w:rPr>
            </w:pPr>
            <w:r>
              <w:rPr>
                <w:rFonts w:hint="eastAsia" w:ascii="宋体" w:hAnsi="宋体" w:eastAsia="宋体" w:cs="Times New Roman"/>
                <w:szCs w:val="21"/>
              </w:rPr>
              <w:t>1.线上学习</w:t>
            </w:r>
          </w:p>
          <w:p w14:paraId="2C985B9D">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6BFF52A6">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gridSpan w:val="2"/>
            <w:vAlign w:val="center"/>
          </w:tcPr>
          <w:p w14:paraId="3D12A87C">
            <w:pPr>
              <w:jc w:val="center"/>
              <w:rPr>
                <w:rFonts w:hint="eastAsia" w:ascii="宋体" w:hAnsi="宋体" w:eastAsia="宋体" w:cs="Times New Roman"/>
                <w:szCs w:val="21"/>
              </w:rPr>
            </w:pPr>
            <w:r>
              <w:rPr>
                <w:rFonts w:hint="eastAsia" w:ascii="宋体" w:hAnsi="宋体" w:eastAsia="宋体" w:cs="Times New Roman"/>
                <w:szCs w:val="21"/>
              </w:rPr>
              <w:t>4</w:t>
            </w:r>
          </w:p>
        </w:tc>
      </w:tr>
      <w:tr w14:paraId="0D75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0EF3BE6">
            <w:pPr>
              <w:jc w:val="center"/>
              <w:rPr>
                <w:rFonts w:hint="eastAsia" w:ascii="宋体" w:hAnsi="宋体" w:eastAsia="宋体" w:cs="Times New Roman"/>
                <w:szCs w:val="21"/>
              </w:rPr>
            </w:pPr>
          </w:p>
        </w:tc>
        <w:tc>
          <w:tcPr>
            <w:tcW w:w="8093" w:type="dxa"/>
            <w:gridSpan w:val="6"/>
            <w:vAlign w:val="center"/>
          </w:tcPr>
          <w:p w14:paraId="64D9AAA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通过学习认识人的心理的发展和个体差异性，培养学生对自我的全面认识和对他人的尊重，进而为四个自信以及心态平和的价值观打下良好的自我基础。</w:t>
            </w:r>
          </w:p>
        </w:tc>
      </w:tr>
      <w:tr w14:paraId="12E7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06E38E1">
            <w:pPr>
              <w:jc w:val="left"/>
              <w:rPr>
                <w:rFonts w:hint="eastAsia" w:ascii="宋体" w:hAnsi="宋体" w:eastAsia="宋体" w:cs="Times New Roman"/>
                <w:szCs w:val="21"/>
              </w:rPr>
            </w:pPr>
            <w:r>
              <w:rPr>
                <w:rFonts w:hint="eastAsia" w:ascii="宋体" w:hAnsi="宋体" w:eastAsia="宋体" w:cs="Times New Roman"/>
                <w:szCs w:val="21"/>
              </w:rPr>
              <w:t>3.学习</w:t>
            </w:r>
          </w:p>
          <w:p w14:paraId="7F890AC4">
            <w:pPr>
              <w:jc w:val="left"/>
              <w:rPr>
                <w:rFonts w:hint="eastAsia" w:ascii="宋体" w:hAnsi="宋体" w:eastAsia="宋体" w:cs="Times New Roman"/>
                <w:szCs w:val="21"/>
              </w:rPr>
            </w:pPr>
            <w:r>
              <w:rPr>
                <w:rFonts w:hint="eastAsia" w:ascii="宋体" w:hAnsi="宋体" w:eastAsia="宋体" w:cs="Times New Roman"/>
                <w:szCs w:val="21"/>
              </w:rPr>
              <w:t>心理导论</w:t>
            </w:r>
          </w:p>
        </w:tc>
        <w:tc>
          <w:tcPr>
            <w:tcW w:w="1701" w:type="dxa"/>
            <w:vAlign w:val="center"/>
          </w:tcPr>
          <w:p w14:paraId="476F0B25">
            <w:pPr>
              <w:jc w:val="left"/>
              <w:rPr>
                <w:rFonts w:hint="eastAsia" w:ascii="宋体" w:hAnsi="宋体" w:eastAsia="宋体" w:cs="Times New Roman"/>
                <w:szCs w:val="21"/>
              </w:rPr>
            </w:pPr>
            <w:r>
              <w:rPr>
                <w:rFonts w:hint="eastAsia" w:ascii="宋体" w:hAnsi="宋体" w:eastAsia="宋体" w:cs="Times New Roman"/>
                <w:szCs w:val="21"/>
              </w:rPr>
              <w:t>（1）学习及分类</w:t>
            </w:r>
          </w:p>
          <w:p w14:paraId="0A0B73B8">
            <w:pPr>
              <w:jc w:val="left"/>
              <w:rPr>
                <w:rFonts w:hint="eastAsia" w:ascii="宋体" w:hAnsi="宋体" w:eastAsia="宋体" w:cs="Times New Roman"/>
                <w:szCs w:val="21"/>
              </w:rPr>
            </w:pPr>
            <w:r>
              <w:rPr>
                <w:rFonts w:hint="eastAsia" w:ascii="宋体" w:hAnsi="宋体" w:eastAsia="宋体" w:cs="Times New Roman"/>
                <w:szCs w:val="21"/>
              </w:rPr>
              <w:t>（2）学习与脑</w:t>
            </w:r>
          </w:p>
          <w:p w14:paraId="7463152F">
            <w:pPr>
              <w:jc w:val="left"/>
              <w:rPr>
                <w:rFonts w:hint="eastAsia" w:ascii="宋体" w:hAnsi="宋体" w:eastAsia="宋体" w:cs="Times New Roman"/>
                <w:szCs w:val="21"/>
              </w:rPr>
            </w:pPr>
            <w:r>
              <w:rPr>
                <w:rFonts w:hint="eastAsia" w:ascii="宋体" w:hAnsi="宋体" w:eastAsia="宋体" w:cs="Times New Roman"/>
                <w:szCs w:val="21"/>
              </w:rPr>
              <w:t>（3）学习理论发展</w:t>
            </w:r>
          </w:p>
        </w:tc>
        <w:tc>
          <w:tcPr>
            <w:tcW w:w="1134" w:type="dxa"/>
            <w:vAlign w:val="center"/>
          </w:tcPr>
          <w:p w14:paraId="1830A6E2">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1D7EFADB">
            <w:pPr>
              <w:jc w:val="left"/>
              <w:rPr>
                <w:rFonts w:hint="eastAsia" w:ascii="宋体" w:hAnsi="宋体" w:eastAsia="宋体" w:cs="Times New Roman"/>
                <w:szCs w:val="21"/>
              </w:rPr>
            </w:pPr>
            <w:r>
              <w:rPr>
                <w:rFonts w:hint="eastAsia" w:ascii="宋体" w:hAnsi="宋体" w:eastAsia="宋体" w:cs="Times New Roman"/>
                <w:szCs w:val="21"/>
              </w:rPr>
              <w:t>（1）理解学习的实质；</w:t>
            </w:r>
          </w:p>
          <w:p w14:paraId="2B6A535D">
            <w:pPr>
              <w:jc w:val="left"/>
              <w:rPr>
                <w:rFonts w:hint="eastAsia" w:ascii="宋体" w:hAnsi="宋体" w:eastAsia="宋体" w:cs="Times New Roman"/>
                <w:szCs w:val="21"/>
              </w:rPr>
            </w:pPr>
            <w:r>
              <w:rPr>
                <w:rFonts w:hint="eastAsia" w:ascii="宋体" w:hAnsi="宋体" w:eastAsia="宋体" w:cs="Times New Roman"/>
                <w:szCs w:val="21"/>
              </w:rPr>
              <w:t>（2）掌握学习的分类；</w:t>
            </w:r>
          </w:p>
          <w:p w14:paraId="290CEC48">
            <w:pPr>
              <w:jc w:val="left"/>
              <w:rPr>
                <w:rFonts w:hint="eastAsia" w:ascii="宋体" w:hAnsi="宋体" w:eastAsia="宋体" w:cs="Times New Roman"/>
                <w:szCs w:val="21"/>
              </w:rPr>
            </w:pPr>
            <w:r>
              <w:rPr>
                <w:rFonts w:hint="eastAsia" w:ascii="宋体" w:hAnsi="宋体" w:eastAsia="宋体" w:cs="Times New Roman"/>
                <w:szCs w:val="21"/>
              </w:rPr>
              <w:t>（3）了解有关学习理论的发展过程。</w:t>
            </w:r>
          </w:p>
        </w:tc>
        <w:tc>
          <w:tcPr>
            <w:tcW w:w="1560" w:type="dxa"/>
            <w:vAlign w:val="center"/>
          </w:tcPr>
          <w:p w14:paraId="6FD1434C">
            <w:pPr>
              <w:jc w:val="left"/>
              <w:rPr>
                <w:rFonts w:hint="eastAsia" w:ascii="宋体" w:hAnsi="宋体" w:eastAsia="宋体" w:cs="Times New Roman"/>
                <w:szCs w:val="21"/>
              </w:rPr>
            </w:pPr>
            <w:r>
              <w:rPr>
                <w:rFonts w:ascii="宋体" w:hAnsi="宋体" w:eastAsia="宋体" w:cs="Times New Roman"/>
                <w:szCs w:val="21"/>
              </w:rPr>
              <w:t>1.线上学习</w:t>
            </w:r>
          </w:p>
          <w:p w14:paraId="4A0F9CD7">
            <w:pPr>
              <w:jc w:val="left"/>
              <w:rPr>
                <w:rFonts w:hint="eastAsia" w:ascii="宋体" w:hAnsi="宋体" w:eastAsia="宋体" w:cs="Times New Roman"/>
                <w:szCs w:val="21"/>
              </w:rPr>
            </w:pPr>
            <w:r>
              <w:rPr>
                <w:rFonts w:ascii="宋体" w:hAnsi="宋体" w:eastAsia="宋体" w:cs="Times New Roman"/>
                <w:szCs w:val="21"/>
              </w:rPr>
              <w:t>2.多媒体教学3.课堂讨论</w:t>
            </w:r>
          </w:p>
          <w:p w14:paraId="5400C30A">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gridSpan w:val="2"/>
            <w:vAlign w:val="center"/>
          </w:tcPr>
          <w:p w14:paraId="3C4735CB">
            <w:pPr>
              <w:jc w:val="center"/>
              <w:rPr>
                <w:rFonts w:hint="eastAsia" w:ascii="宋体" w:hAnsi="宋体" w:eastAsia="宋体" w:cs="Times New Roman"/>
                <w:szCs w:val="21"/>
              </w:rPr>
            </w:pPr>
            <w:r>
              <w:rPr>
                <w:rFonts w:hint="eastAsia" w:ascii="宋体" w:hAnsi="宋体" w:eastAsia="宋体" w:cs="Times New Roman"/>
                <w:szCs w:val="21"/>
              </w:rPr>
              <w:t>2</w:t>
            </w:r>
          </w:p>
        </w:tc>
      </w:tr>
      <w:tr w14:paraId="752F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5514F1D">
            <w:pPr>
              <w:jc w:val="center"/>
              <w:rPr>
                <w:rFonts w:hint="eastAsia" w:ascii="宋体" w:hAnsi="宋体" w:eastAsia="宋体" w:cs="Times New Roman"/>
                <w:szCs w:val="21"/>
              </w:rPr>
            </w:pPr>
          </w:p>
        </w:tc>
        <w:tc>
          <w:tcPr>
            <w:tcW w:w="8093" w:type="dxa"/>
            <w:gridSpan w:val="6"/>
            <w:vAlign w:val="center"/>
          </w:tcPr>
          <w:p w14:paraId="2B54F45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从辩证思维的角度掌握教育与社会发展的关系在分析教育与经济、教育与政治、教育与文化的关系中，树立制度自信和文化自信。</w:t>
            </w:r>
          </w:p>
        </w:tc>
      </w:tr>
      <w:tr w14:paraId="2404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2773F62">
            <w:pPr>
              <w:jc w:val="center"/>
              <w:rPr>
                <w:rFonts w:hint="eastAsia" w:ascii="宋体" w:hAnsi="宋体" w:eastAsia="宋体" w:cs="Times New Roman"/>
                <w:szCs w:val="21"/>
              </w:rPr>
            </w:pPr>
            <w:r>
              <w:rPr>
                <w:rFonts w:hint="eastAsia" w:ascii="宋体" w:hAnsi="宋体" w:eastAsia="宋体" w:cs="Times New Roman"/>
                <w:szCs w:val="21"/>
              </w:rPr>
              <w:t>4.行为</w:t>
            </w:r>
          </w:p>
          <w:p w14:paraId="23C75F1B">
            <w:pPr>
              <w:jc w:val="center"/>
              <w:rPr>
                <w:rFonts w:hint="eastAsia" w:ascii="宋体" w:hAnsi="宋体" w:eastAsia="宋体" w:cs="Times New Roman"/>
                <w:szCs w:val="21"/>
              </w:rPr>
            </w:pPr>
            <w:r>
              <w:rPr>
                <w:rFonts w:hint="eastAsia" w:ascii="宋体" w:hAnsi="宋体" w:eastAsia="宋体" w:cs="Times New Roman"/>
                <w:szCs w:val="21"/>
              </w:rPr>
              <w:t>主义</w:t>
            </w:r>
          </w:p>
          <w:p w14:paraId="329853BE">
            <w:pPr>
              <w:jc w:val="center"/>
              <w:rPr>
                <w:rFonts w:hint="eastAsia" w:ascii="宋体" w:hAnsi="宋体" w:eastAsia="宋体" w:cs="Times New Roman"/>
                <w:szCs w:val="21"/>
              </w:rPr>
            </w:pPr>
            <w:r>
              <w:rPr>
                <w:rFonts w:hint="eastAsia" w:ascii="宋体" w:hAnsi="宋体" w:eastAsia="宋体" w:cs="Times New Roman"/>
                <w:szCs w:val="21"/>
              </w:rPr>
              <w:t>学习理论</w:t>
            </w:r>
          </w:p>
        </w:tc>
        <w:tc>
          <w:tcPr>
            <w:tcW w:w="1701" w:type="dxa"/>
            <w:vAlign w:val="center"/>
          </w:tcPr>
          <w:p w14:paraId="18D17E10">
            <w:pPr>
              <w:jc w:val="left"/>
              <w:rPr>
                <w:rFonts w:hint="eastAsia" w:ascii="宋体" w:hAnsi="宋体" w:eastAsia="宋体" w:cs="Times New Roman"/>
                <w:szCs w:val="21"/>
              </w:rPr>
            </w:pPr>
            <w:r>
              <w:rPr>
                <w:rFonts w:hint="eastAsia" w:ascii="宋体" w:hAnsi="宋体" w:eastAsia="宋体" w:cs="Times New Roman"/>
                <w:szCs w:val="21"/>
              </w:rPr>
              <w:t>（1）经典条件作用理论</w:t>
            </w:r>
          </w:p>
          <w:p w14:paraId="37DDDDB7">
            <w:pPr>
              <w:jc w:val="left"/>
              <w:rPr>
                <w:rFonts w:hint="eastAsia" w:ascii="宋体" w:hAnsi="宋体" w:eastAsia="宋体" w:cs="Times New Roman"/>
                <w:szCs w:val="21"/>
              </w:rPr>
            </w:pPr>
            <w:r>
              <w:rPr>
                <w:rFonts w:hint="eastAsia" w:ascii="宋体" w:hAnsi="宋体" w:eastAsia="宋体" w:cs="Times New Roman"/>
                <w:szCs w:val="21"/>
              </w:rPr>
              <w:t>（2）联结主义理论</w:t>
            </w:r>
          </w:p>
          <w:p w14:paraId="558F8E45">
            <w:pPr>
              <w:jc w:val="left"/>
              <w:rPr>
                <w:rFonts w:hint="eastAsia" w:ascii="宋体" w:hAnsi="宋体" w:eastAsia="宋体" w:cs="Times New Roman"/>
                <w:szCs w:val="21"/>
              </w:rPr>
            </w:pPr>
            <w:r>
              <w:rPr>
                <w:rFonts w:hint="eastAsia" w:ascii="宋体" w:hAnsi="宋体" w:eastAsia="宋体" w:cs="Times New Roman"/>
                <w:szCs w:val="21"/>
              </w:rPr>
              <w:t>（3）操作条件作用理论</w:t>
            </w:r>
          </w:p>
          <w:p w14:paraId="7F51D045">
            <w:pPr>
              <w:jc w:val="left"/>
              <w:rPr>
                <w:rFonts w:hint="eastAsia" w:ascii="宋体" w:hAnsi="宋体" w:eastAsia="宋体" w:cs="Times New Roman"/>
                <w:szCs w:val="21"/>
              </w:rPr>
            </w:pPr>
            <w:r>
              <w:rPr>
                <w:rFonts w:hint="eastAsia" w:ascii="宋体" w:hAnsi="宋体" w:eastAsia="宋体" w:cs="Times New Roman"/>
                <w:szCs w:val="21"/>
              </w:rPr>
              <w:t>（4）社会学习理论</w:t>
            </w:r>
          </w:p>
        </w:tc>
        <w:tc>
          <w:tcPr>
            <w:tcW w:w="1134" w:type="dxa"/>
            <w:vAlign w:val="center"/>
          </w:tcPr>
          <w:p w14:paraId="00AFD3CB">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745CB56F">
            <w:pPr>
              <w:jc w:val="left"/>
              <w:rPr>
                <w:rFonts w:hint="eastAsia" w:ascii="宋体" w:hAnsi="宋体" w:eastAsia="宋体" w:cs="Times New Roman"/>
                <w:szCs w:val="21"/>
              </w:rPr>
            </w:pPr>
            <w:r>
              <w:rPr>
                <w:rFonts w:hint="eastAsia" w:ascii="宋体" w:hAnsi="宋体" w:eastAsia="宋体" w:cs="Times New Roman"/>
                <w:szCs w:val="21"/>
              </w:rPr>
              <w:t>（1）掌握行为主义有关学习的本质和习得条件的基本观点；</w:t>
            </w:r>
          </w:p>
          <w:p w14:paraId="23A9675A">
            <w:pPr>
              <w:jc w:val="left"/>
              <w:rPr>
                <w:rFonts w:hint="eastAsia" w:ascii="宋体" w:hAnsi="宋体" w:eastAsia="宋体" w:cs="Times New Roman"/>
                <w:szCs w:val="21"/>
              </w:rPr>
            </w:pPr>
            <w:r>
              <w:rPr>
                <w:rFonts w:hint="eastAsia" w:ascii="宋体" w:hAnsi="宋体" w:eastAsia="宋体" w:cs="Times New Roman"/>
                <w:szCs w:val="21"/>
              </w:rPr>
              <w:t>（2）比较各种行为主义学习理论的异同；</w:t>
            </w:r>
          </w:p>
          <w:p w14:paraId="34EEA8A9">
            <w:pPr>
              <w:jc w:val="left"/>
              <w:rPr>
                <w:rFonts w:hint="eastAsia" w:ascii="宋体" w:hAnsi="宋体" w:eastAsia="宋体" w:cs="Times New Roman"/>
                <w:szCs w:val="21"/>
              </w:rPr>
            </w:pPr>
            <w:r>
              <w:rPr>
                <w:rFonts w:hint="eastAsia" w:ascii="宋体" w:hAnsi="宋体" w:eastAsia="宋体" w:cs="Times New Roman"/>
                <w:szCs w:val="21"/>
              </w:rPr>
              <w:t>（3）结合人工智能与脑神经研究了解行为主义理论发展的新进展。</w:t>
            </w:r>
          </w:p>
        </w:tc>
        <w:tc>
          <w:tcPr>
            <w:tcW w:w="1560" w:type="dxa"/>
            <w:vAlign w:val="center"/>
          </w:tcPr>
          <w:p w14:paraId="42C92161">
            <w:pPr>
              <w:jc w:val="left"/>
              <w:rPr>
                <w:rFonts w:hint="eastAsia" w:ascii="宋体" w:hAnsi="宋体" w:eastAsia="宋体" w:cs="Times New Roman"/>
                <w:szCs w:val="21"/>
              </w:rPr>
            </w:pPr>
            <w:r>
              <w:rPr>
                <w:rFonts w:ascii="宋体" w:hAnsi="宋体" w:eastAsia="宋体" w:cs="Times New Roman"/>
                <w:szCs w:val="21"/>
              </w:rPr>
              <w:t>1.线上学习</w:t>
            </w:r>
          </w:p>
          <w:p w14:paraId="391252BE">
            <w:pPr>
              <w:jc w:val="left"/>
              <w:rPr>
                <w:rFonts w:hint="eastAsia" w:ascii="宋体" w:hAnsi="宋体" w:eastAsia="宋体" w:cs="Times New Roman"/>
                <w:szCs w:val="21"/>
              </w:rPr>
            </w:pPr>
            <w:r>
              <w:rPr>
                <w:rFonts w:ascii="宋体" w:hAnsi="宋体" w:eastAsia="宋体" w:cs="Times New Roman"/>
                <w:szCs w:val="21"/>
              </w:rPr>
              <w:t>2.多媒体教学3.课堂讨论</w:t>
            </w:r>
          </w:p>
          <w:p w14:paraId="0EFD07F6">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gridSpan w:val="2"/>
            <w:vAlign w:val="center"/>
          </w:tcPr>
          <w:p w14:paraId="1C27200B">
            <w:pPr>
              <w:jc w:val="center"/>
              <w:rPr>
                <w:rFonts w:hint="eastAsia" w:ascii="宋体" w:hAnsi="宋体" w:eastAsia="宋体" w:cs="Times New Roman"/>
                <w:szCs w:val="21"/>
              </w:rPr>
            </w:pPr>
            <w:r>
              <w:rPr>
                <w:rFonts w:hint="eastAsia" w:ascii="宋体" w:hAnsi="宋体" w:eastAsia="宋体" w:cs="Times New Roman"/>
                <w:szCs w:val="21"/>
              </w:rPr>
              <w:t>3</w:t>
            </w:r>
          </w:p>
        </w:tc>
      </w:tr>
      <w:tr w14:paraId="72A5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DA70B58">
            <w:pPr>
              <w:jc w:val="center"/>
              <w:rPr>
                <w:rFonts w:hint="eastAsia" w:ascii="宋体" w:hAnsi="宋体" w:eastAsia="宋体" w:cs="Times New Roman"/>
                <w:szCs w:val="21"/>
              </w:rPr>
            </w:pPr>
          </w:p>
        </w:tc>
        <w:tc>
          <w:tcPr>
            <w:tcW w:w="8093" w:type="dxa"/>
            <w:gridSpan w:val="6"/>
            <w:vAlign w:val="center"/>
          </w:tcPr>
          <w:p w14:paraId="3C6B122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了解行为主义学习理论观，让学生充分认识“做中学”的核心理念，结合我国在人工智能研究的探索，积极引导学生在日常生活中积极通过实际行动厚植爱国主义情怀，弘扬以爱国主义为核心的民族精神和以改革创新为核心的时代精神。</w:t>
            </w:r>
          </w:p>
        </w:tc>
      </w:tr>
      <w:tr w14:paraId="262C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131FEBC">
            <w:pPr>
              <w:jc w:val="center"/>
              <w:rPr>
                <w:rFonts w:hint="eastAsia" w:ascii="宋体" w:hAnsi="宋体" w:eastAsia="宋体" w:cs="Times New Roman"/>
                <w:szCs w:val="21"/>
              </w:rPr>
            </w:pPr>
            <w:r>
              <w:rPr>
                <w:rFonts w:hint="eastAsia" w:ascii="宋体" w:hAnsi="宋体" w:eastAsia="宋体" w:cs="Times New Roman"/>
                <w:szCs w:val="21"/>
              </w:rPr>
              <w:t xml:space="preserve">5.认知 </w:t>
            </w:r>
          </w:p>
          <w:p w14:paraId="36064924">
            <w:pPr>
              <w:jc w:val="center"/>
              <w:rPr>
                <w:rFonts w:hint="eastAsia" w:ascii="宋体" w:hAnsi="宋体" w:eastAsia="宋体" w:cs="Times New Roman"/>
                <w:szCs w:val="21"/>
              </w:rPr>
            </w:pPr>
            <w:r>
              <w:rPr>
                <w:rFonts w:hint="eastAsia" w:ascii="宋体" w:hAnsi="宋体" w:eastAsia="宋体" w:cs="Times New Roman"/>
                <w:szCs w:val="21"/>
              </w:rPr>
              <w:t>学习理论</w:t>
            </w:r>
          </w:p>
        </w:tc>
        <w:tc>
          <w:tcPr>
            <w:tcW w:w="1701" w:type="dxa"/>
            <w:vAlign w:val="center"/>
          </w:tcPr>
          <w:p w14:paraId="2A30B190">
            <w:pPr>
              <w:jc w:val="left"/>
              <w:rPr>
                <w:rFonts w:hint="eastAsia" w:ascii="宋体" w:hAnsi="宋体" w:eastAsia="宋体" w:cs="Times New Roman"/>
                <w:szCs w:val="21"/>
              </w:rPr>
            </w:pPr>
            <w:r>
              <w:rPr>
                <w:rFonts w:hint="eastAsia" w:ascii="宋体" w:hAnsi="宋体" w:eastAsia="宋体" w:cs="Times New Roman"/>
                <w:szCs w:val="21"/>
              </w:rPr>
              <w:t>（1）早期的认知学习理论</w:t>
            </w:r>
          </w:p>
          <w:p w14:paraId="29189FBB">
            <w:pPr>
              <w:jc w:val="left"/>
              <w:rPr>
                <w:rFonts w:hint="eastAsia" w:ascii="宋体" w:hAnsi="宋体" w:eastAsia="宋体" w:cs="Times New Roman"/>
                <w:szCs w:val="21"/>
              </w:rPr>
            </w:pPr>
            <w:r>
              <w:rPr>
                <w:rFonts w:hint="eastAsia" w:ascii="宋体" w:hAnsi="宋体" w:eastAsia="宋体" w:cs="Times New Roman"/>
                <w:szCs w:val="21"/>
              </w:rPr>
              <w:t>（2）认知结构学习理论</w:t>
            </w:r>
          </w:p>
          <w:p w14:paraId="30B4882D">
            <w:pPr>
              <w:jc w:val="left"/>
              <w:rPr>
                <w:rFonts w:hint="eastAsia" w:ascii="宋体" w:hAnsi="宋体" w:eastAsia="宋体" w:cs="Times New Roman"/>
                <w:szCs w:val="21"/>
              </w:rPr>
            </w:pPr>
            <w:r>
              <w:rPr>
                <w:rFonts w:hint="eastAsia" w:ascii="宋体" w:hAnsi="宋体" w:eastAsia="宋体" w:cs="Times New Roman"/>
                <w:szCs w:val="21"/>
              </w:rPr>
              <w:t>（3）认知同化学习理论</w:t>
            </w:r>
          </w:p>
          <w:p w14:paraId="18D8E584">
            <w:pPr>
              <w:jc w:val="left"/>
              <w:rPr>
                <w:rFonts w:hint="eastAsia" w:ascii="宋体" w:hAnsi="宋体" w:eastAsia="宋体" w:cs="Times New Roman"/>
                <w:szCs w:val="21"/>
              </w:rPr>
            </w:pPr>
            <w:r>
              <w:rPr>
                <w:rFonts w:hint="eastAsia" w:ascii="宋体" w:hAnsi="宋体" w:eastAsia="宋体" w:cs="Times New Roman"/>
                <w:szCs w:val="21"/>
              </w:rPr>
              <w:t>（4）学习的信息加工论</w:t>
            </w:r>
          </w:p>
        </w:tc>
        <w:tc>
          <w:tcPr>
            <w:tcW w:w="1134" w:type="dxa"/>
            <w:vAlign w:val="center"/>
          </w:tcPr>
          <w:p w14:paraId="53E9B126">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473DE17C">
            <w:pPr>
              <w:jc w:val="left"/>
              <w:rPr>
                <w:rFonts w:hint="eastAsia" w:ascii="宋体" w:hAnsi="宋体" w:eastAsia="宋体" w:cs="Times New Roman"/>
                <w:szCs w:val="21"/>
              </w:rPr>
            </w:pPr>
            <w:r>
              <w:rPr>
                <w:rFonts w:hint="eastAsia" w:ascii="宋体" w:hAnsi="宋体" w:eastAsia="宋体" w:cs="Times New Roman"/>
                <w:szCs w:val="21"/>
              </w:rPr>
              <w:t>（1）掌握各认知主义学习理论有关学习的本质和习得条件的基本观点；</w:t>
            </w:r>
          </w:p>
          <w:p w14:paraId="2C00345B">
            <w:pPr>
              <w:jc w:val="left"/>
              <w:rPr>
                <w:rFonts w:hint="eastAsia" w:ascii="宋体" w:hAnsi="宋体" w:eastAsia="宋体" w:cs="Times New Roman"/>
                <w:szCs w:val="21"/>
              </w:rPr>
            </w:pPr>
            <w:r>
              <w:rPr>
                <w:rFonts w:hint="eastAsia" w:ascii="宋体" w:hAnsi="宋体" w:eastAsia="宋体" w:cs="Times New Roman"/>
                <w:szCs w:val="21"/>
              </w:rPr>
              <w:t>（2）比较各种行为主义学习理论的异同。</w:t>
            </w:r>
          </w:p>
        </w:tc>
        <w:tc>
          <w:tcPr>
            <w:tcW w:w="1560" w:type="dxa"/>
            <w:vAlign w:val="center"/>
          </w:tcPr>
          <w:p w14:paraId="1EE54686">
            <w:pPr>
              <w:jc w:val="left"/>
              <w:rPr>
                <w:rFonts w:hint="eastAsia" w:ascii="宋体" w:hAnsi="宋体" w:eastAsia="宋体" w:cs="Times New Roman"/>
                <w:szCs w:val="21"/>
              </w:rPr>
            </w:pPr>
            <w:r>
              <w:rPr>
                <w:rFonts w:ascii="宋体" w:hAnsi="宋体" w:eastAsia="宋体" w:cs="Times New Roman"/>
                <w:szCs w:val="21"/>
              </w:rPr>
              <w:t>1.线上学习</w:t>
            </w:r>
          </w:p>
          <w:p w14:paraId="5CCF56BF">
            <w:pPr>
              <w:jc w:val="left"/>
              <w:rPr>
                <w:rFonts w:hint="eastAsia" w:ascii="宋体" w:hAnsi="宋体" w:eastAsia="宋体" w:cs="Times New Roman"/>
                <w:szCs w:val="21"/>
              </w:rPr>
            </w:pPr>
            <w:r>
              <w:rPr>
                <w:rFonts w:ascii="宋体" w:hAnsi="宋体" w:eastAsia="宋体" w:cs="Times New Roman"/>
                <w:szCs w:val="21"/>
              </w:rPr>
              <w:t>2.多媒体教学3.课堂讨论</w:t>
            </w:r>
          </w:p>
          <w:p w14:paraId="193FD5F3">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gridSpan w:val="2"/>
            <w:vAlign w:val="center"/>
          </w:tcPr>
          <w:p w14:paraId="40FF88B8">
            <w:pPr>
              <w:jc w:val="center"/>
              <w:rPr>
                <w:rFonts w:hint="eastAsia" w:ascii="宋体" w:hAnsi="宋体" w:eastAsia="宋体" w:cs="Times New Roman"/>
                <w:szCs w:val="21"/>
              </w:rPr>
            </w:pPr>
            <w:r>
              <w:rPr>
                <w:rFonts w:hint="eastAsia" w:ascii="宋体" w:hAnsi="宋体" w:eastAsia="宋体" w:cs="Times New Roman"/>
                <w:szCs w:val="21"/>
              </w:rPr>
              <w:t>3</w:t>
            </w:r>
          </w:p>
        </w:tc>
      </w:tr>
      <w:tr w14:paraId="3F1A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9792DF">
            <w:pPr>
              <w:jc w:val="center"/>
              <w:rPr>
                <w:rFonts w:hint="eastAsia" w:ascii="宋体" w:hAnsi="宋体" w:eastAsia="宋体" w:cs="Times New Roman"/>
                <w:szCs w:val="21"/>
              </w:rPr>
            </w:pPr>
          </w:p>
        </w:tc>
        <w:tc>
          <w:tcPr>
            <w:tcW w:w="8093" w:type="dxa"/>
            <w:gridSpan w:val="6"/>
            <w:vAlign w:val="center"/>
          </w:tcPr>
          <w:p w14:paraId="71EA285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了解认知主义的学习观，让学生充分认识并内化新时代中国特色社会主义的核心理念，使学生对待学习和知识获取方面同频共振，使课堂教学在认知层面成为引导学生成为学习知识、锤炼心志和养成品行的过程。</w:t>
            </w:r>
          </w:p>
        </w:tc>
      </w:tr>
      <w:tr w14:paraId="70EC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048CC3C">
            <w:pPr>
              <w:jc w:val="center"/>
              <w:rPr>
                <w:rFonts w:hint="eastAsia" w:ascii="宋体" w:hAnsi="宋体" w:eastAsia="宋体" w:cs="Times New Roman"/>
                <w:szCs w:val="21"/>
              </w:rPr>
            </w:pPr>
            <w:r>
              <w:rPr>
                <w:rFonts w:hint="eastAsia" w:ascii="宋体" w:hAnsi="宋体" w:eastAsia="宋体" w:cs="Times New Roman"/>
                <w:szCs w:val="21"/>
              </w:rPr>
              <w:t>6.建构</w:t>
            </w:r>
          </w:p>
          <w:p w14:paraId="33D00DA3">
            <w:pPr>
              <w:jc w:val="center"/>
              <w:rPr>
                <w:rFonts w:hint="eastAsia" w:ascii="宋体" w:hAnsi="宋体" w:eastAsia="宋体" w:cs="Times New Roman"/>
                <w:szCs w:val="21"/>
              </w:rPr>
            </w:pPr>
            <w:r>
              <w:rPr>
                <w:rFonts w:hint="eastAsia" w:ascii="宋体" w:hAnsi="宋体" w:eastAsia="宋体" w:cs="Times New Roman"/>
                <w:szCs w:val="21"/>
              </w:rPr>
              <w:t>主义与人本主义学习理论</w:t>
            </w:r>
          </w:p>
        </w:tc>
        <w:tc>
          <w:tcPr>
            <w:tcW w:w="1701" w:type="dxa"/>
            <w:vAlign w:val="center"/>
          </w:tcPr>
          <w:p w14:paraId="4FA7F929">
            <w:pPr>
              <w:jc w:val="left"/>
              <w:rPr>
                <w:rFonts w:hint="eastAsia" w:ascii="宋体" w:hAnsi="宋体" w:eastAsia="宋体" w:cs="Times New Roman"/>
                <w:szCs w:val="21"/>
              </w:rPr>
            </w:pPr>
            <w:r>
              <w:rPr>
                <w:rFonts w:hint="eastAsia" w:ascii="宋体" w:hAnsi="宋体" w:eastAsia="宋体" w:cs="Times New Roman"/>
                <w:szCs w:val="21"/>
              </w:rPr>
              <w:t>（1）建构主义学习理论</w:t>
            </w:r>
          </w:p>
          <w:p w14:paraId="7A0E76A7">
            <w:pPr>
              <w:jc w:val="left"/>
              <w:rPr>
                <w:rFonts w:hint="eastAsia" w:ascii="宋体" w:hAnsi="宋体" w:eastAsia="宋体" w:cs="Times New Roman"/>
                <w:szCs w:val="21"/>
              </w:rPr>
            </w:pPr>
            <w:r>
              <w:rPr>
                <w:rFonts w:hint="eastAsia" w:ascii="宋体" w:hAnsi="宋体" w:eastAsia="宋体" w:cs="Times New Roman"/>
                <w:szCs w:val="21"/>
              </w:rPr>
              <w:t>（2）人本主义学习理论</w:t>
            </w:r>
          </w:p>
        </w:tc>
        <w:tc>
          <w:tcPr>
            <w:tcW w:w="1134" w:type="dxa"/>
            <w:vAlign w:val="center"/>
          </w:tcPr>
          <w:p w14:paraId="17EADFEE">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289D594C">
            <w:pPr>
              <w:jc w:val="left"/>
              <w:rPr>
                <w:rFonts w:hint="eastAsia" w:ascii="宋体" w:hAnsi="宋体" w:eastAsia="宋体" w:cs="Times New Roman"/>
                <w:szCs w:val="21"/>
              </w:rPr>
            </w:pPr>
            <w:r>
              <w:rPr>
                <w:rFonts w:hint="eastAsia" w:ascii="宋体" w:hAnsi="宋体" w:eastAsia="宋体" w:cs="Times New Roman"/>
                <w:szCs w:val="21"/>
              </w:rPr>
              <w:t>（1）掌握建构主义学习理论的基本观点；</w:t>
            </w:r>
          </w:p>
          <w:p w14:paraId="3777760D">
            <w:pPr>
              <w:jc w:val="left"/>
              <w:rPr>
                <w:rFonts w:hint="eastAsia" w:ascii="宋体" w:hAnsi="宋体" w:eastAsia="宋体" w:cs="Times New Roman"/>
                <w:szCs w:val="21"/>
              </w:rPr>
            </w:pPr>
            <w:r>
              <w:rPr>
                <w:rFonts w:hint="eastAsia" w:ascii="宋体" w:hAnsi="宋体" w:eastAsia="宋体" w:cs="Times New Roman"/>
                <w:szCs w:val="21"/>
              </w:rPr>
              <w:t>（2）掌握人本主义学习理论的基本观点；</w:t>
            </w:r>
          </w:p>
        </w:tc>
        <w:tc>
          <w:tcPr>
            <w:tcW w:w="1560" w:type="dxa"/>
            <w:vAlign w:val="center"/>
          </w:tcPr>
          <w:p w14:paraId="7CF8A876">
            <w:pPr>
              <w:jc w:val="left"/>
              <w:rPr>
                <w:rFonts w:hint="eastAsia" w:ascii="宋体" w:hAnsi="宋体" w:eastAsia="宋体" w:cs="Times New Roman"/>
                <w:szCs w:val="21"/>
              </w:rPr>
            </w:pPr>
            <w:r>
              <w:rPr>
                <w:rFonts w:ascii="宋体" w:hAnsi="宋体" w:eastAsia="宋体" w:cs="Times New Roman"/>
                <w:szCs w:val="21"/>
              </w:rPr>
              <w:t>1.线上学习</w:t>
            </w:r>
          </w:p>
          <w:p w14:paraId="6A63AB9A">
            <w:pPr>
              <w:jc w:val="left"/>
              <w:rPr>
                <w:rFonts w:hint="eastAsia" w:ascii="宋体" w:hAnsi="宋体" w:eastAsia="宋体" w:cs="Times New Roman"/>
                <w:szCs w:val="21"/>
              </w:rPr>
            </w:pPr>
            <w:r>
              <w:rPr>
                <w:rFonts w:ascii="宋体" w:hAnsi="宋体" w:eastAsia="宋体" w:cs="Times New Roman"/>
                <w:szCs w:val="21"/>
              </w:rPr>
              <w:t>2.多媒体教学3.课堂讨论</w:t>
            </w:r>
          </w:p>
          <w:p w14:paraId="0CBB3327">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gridSpan w:val="2"/>
            <w:vAlign w:val="center"/>
          </w:tcPr>
          <w:p w14:paraId="04A60A7B">
            <w:pPr>
              <w:jc w:val="center"/>
              <w:rPr>
                <w:rFonts w:hint="eastAsia" w:ascii="宋体" w:hAnsi="宋体" w:eastAsia="宋体" w:cs="Times New Roman"/>
                <w:szCs w:val="21"/>
              </w:rPr>
            </w:pPr>
            <w:r>
              <w:rPr>
                <w:rFonts w:hint="eastAsia" w:ascii="宋体" w:hAnsi="宋体" w:eastAsia="宋体" w:cs="Times New Roman"/>
                <w:szCs w:val="21"/>
              </w:rPr>
              <w:t>2</w:t>
            </w:r>
          </w:p>
        </w:tc>
      </w:tr>
      <w:tr w14:paraId="0A0E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61CEB58">
            <w:pPr>
              <w:jc w:val="center"/>
              <w:rPr>
                <w:rFonts w:hint="eastAsia" w:ascii="宋体" w:hAnsi="宋体" w:eastAsia="宋体" w:cs="Times New Roman"/>
                <w:szCs w:val="21"/>
              </w:rPr>
            </w:pPr>
          </w:p>
        </w:tc>
        <w:tc>
          <w:tcPr>
            <w:tcW w:w="8093" w:type="dxa"/>
            <w:gridSpan w:val="6"/>
            <w:vAlign w:val="center"/>
          </w:tcPr>
          <w:p w14:paraId="5E7D5AB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通过认识建构主义与人本主义学习理念，让学生充分认识到人的主观能动性的作用，知识既然可以是建构获得，人的成长与成才更需要个人的积极努力和不懈追求，进而培养学生“功成不必在我”的初心精神。</w:t>
            </w:r>
          </w:p>
        </w:tc>
      </w:tr>
      <w:tr w14:paraId="09BC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E67E6F4">
            <w:pPr>
              <w:jc w:val="center"/>
              <w:rPr>
                <w:rFonts w:hint="eastAsia" w:ascii="宋体" w:hAnsi="宋体" w:eastAsia="宋体" w:cs="Times New Roman"/>
                <w:szCs w:val="21"/>
              </w:rPr>
            </w:pPr>
            <w:r>
              <w:rPr>
                <w:rFonts w:hint="eastAsia" w:ascii="宋体" w:hAnsi="宋体" w:eastAsia="宋体" w:cs="Times New Roman"/>
                <w:szCs w:val="21"/>
              </w:rPr>
              <w:t>7.学习</w:t>
            </w:r>
          </w:p>
          <w:p w14:paraId="53141986">
            <w:pPr>
              <w:jc w:val="center"/>
              <w:rPr>
                <w:rFonts w:hint="eastAsia" w:ascii="宋体" w:hAnsi="宋体" w:eastAsia="宋体" w:cs="Times New Roman"/>
                <w:szCs w:val="21"/>
              </w:rPr>
            </w:pPr>
            <w:r>
              <w:rPr>
                <w:rFonts w:hint="eastAsia" w:ascii="宋体" w:hAnsi="宋体" w:eastAsia="宋体" w:cs="Times New Roman"/>
                <w:szCs w:val="21"/>
              </w:rPr>
              <w:t>动机</w:t>
            </w:r>
          </w:p>
        </w:tc>
        <w:tc>
          <w:tcPr>
            <w:tcW w:w="1701" w:type="dxa"/>
            <w:vAlign w:val="center"/>
          </w:tcPr>
          <w:p w14:paraId="4523FF53">
            <w:pPr>
              <w:jc w:val="left"/>
              <w:rPr>
                <w:rFonts w:hint="eastAsia" w:ascii="宋体" w:hAnsi="宋体" w:eastAsia="宋体" w:cs="Times New Roman"/>
                <w:szCs w:val="21"/>
              </w:rPr>
            </w:pPr>
            <w:r>
              <w:rPr>
                <w:rFonts w:hint="eastAsia" w:ascii="宋体" w:hAnsi="宋体" w:eastAsia="宋体" w:cs="Times New Roman"/>
                <w:szCs w:val="21"/>
              </w:rPr>
              <w:t xml:space="preserve">（1）学习动机的概述 </w:t>
            </w:r>
          </w:p>
          <w:p w14:paraId="1106DE3C">
            <w:pPr>
              <w:jc w:val="left"/>
              <w:rPr>
                <w:rFonts w:hint="eastAsia" w:ascii="宋体" w:hAnsi="宋体" w:eastAsia="宋体" w:cs="Times New Roman"/>
                <w:szCs w:val="21"/>
              </w:rPr>
            </w:pPr>
            <w:r>
              <w:rPr>
                <w:rFonts w:hint="eastAsia" w:ascii="宋体" w:hAnsi="宋体" w:eastAsia="宋体" w:cs="Times New Roman"/>
                <w:szCs w:val="21"/>
              </w:rPr>
              <w:t>（2）学习动机的理论</w:t>
            </w:r>
          </w:p>
          <w:p w14:paraId="4F88576C">
            <w:pPr>
              <w:jc w:val="left"/>
              <w:rPr>
                <w:rFonts w:hint="eastAsia" w:ascii="宋体" w:hAnsi="宋体" w:eastAsia="宋体" w:cs="Times New Roman"/>
                <w:szCs w:val="21"/>
              </w:rPr>
            </w:pPr>
            <w:r>
              <w:rPr>
                <w:rFonts w:hint="eastAsia" w:ascii="宋体" w:hAnsi="宋体" w:eastAsia="宋体" w:cs="Times New Roman"/>
                <w:szCs w:val="21"/>
              </w:rPr>
              <w:t>（3）学习动机的培养与激发</w:t>
            </w:r>
          </w:p>
        </w:tc>
        <w:tc>
          <w:tcPr>
            <w:tcW w:w="1134" w:type="dxa"/>
            <w:vAlign w:val="center"/>
          </w:tcPr>
          <w:p w14:paraId="3C8EA9D8">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4816949E">
            <w:pPr>
              <w:jc w:val="left"/>
              <w:rPr>
                <w:rFonts w:hint="eastAsia" w:ascii="宋体" w:hAnsi="宋体" w:eastAsia="宋体" w:cs="Times New Roman"/>
                <w:szCs w:val="21"/>
              </w:rPr>
            </w:pPr>
            <w:r>
              <w:rPr>
                <w:rFonts w:hint="eastAsia" w:ascii="宋体" w:hAnsi="宋体" w:eastAsia="宋体" w:cs="Times New Roman"/>
                <w:szCs w:val="21"/>
              </w:rPr>
              <w:t>（1）理解学习动机的概念及其分类，掌握小学生学习动机的特点；</w:t>
            </w:r>
          </w:p>
          <w:p w14:paraId="25504060">
            <w:pPr>
              <w:jc w:val="left"/>
              <w:rPr>
                <w:rFonts w:hint="eastAsia" w:ascii="宋体" w:hAnsi="宋体" w:eastAsia="宋体" w:cs="Times New Roman"/>
                <w:szCs w:val="21"/>
              </w:rPr>
            </w:pPr>
            <w:r>
              <w:rPr>
                <w:rFonts w:hint="eastAsia" w:ascii="宋体" w:hAnsi="宋体" w:eastAsia="宋体" w:cs="Times New Roman"/>
                <w:szCs w:val="21"/>
              </w:rPr>
              <w:t>（2）了解有关学习动机的基本理论；</w:t>
            </w:r>
          </w:p>
          <w:p w14:paraId="12C26796">
            <w:pPr>
              <w:jc w:val="left"/>
              <w:rPr>
                <w:rFonts w:hint="eastAsia" w:ascii="宋体" w:hAnsi="宋体" w:eastAsia="宋体" w:cs="Times New Roman"/>
                <w:szCs w:val="21"/>
              </w:rPr>
            </w:pPr>
            <w:r>
              <w:rPr>
                <w:rFonts w:hint="eastAsia" w:ascii="宋体" w:hAnsi="宋体" w:eastAsia="宋体" w:cs="Times New Roman"/>
                <w:szCs w:val="21"/>
              </w:rPr>
              <w:t>（3）掌握学生学习动机的培养与激发的具体措施。</w:t>
            </w:r>
          </w:p>
        </w:tc>
        <w:tc>
          <w:tcPr>
            <w:tcW w:w="1560" w:type="dxa"/>
            <w:vAlign w:val="center"/>
          </w:tcPr>
          <w:p w14:paraId="470CAE9F">
            <w:pPr>
              <w:jc w:val="left"/>
              <w:rPr>
                <w:rFonts w:hint="eastAsia" w:ascii="宋体" w:hAnsi="宋体" w:eastAsia="宋体" w:cs="Times New Roman"/>
                <w:szCs w:val="21"/>
              </w:rPr>
            </w:pPr>
            <w:r>
              <w:rPr>
                <w:rFonts w:ascii="宋体" w:hAnsi="宋体" w:eastAsia="宋体" w:cs="Times New Roman"/>
                <w:szCs w:val="21"/>
              </w:rPr>
              <w:t>1.线上学习</w:t>
            </w:r>
          </w:p>
          <w:p w14:paraId="4C93EE64">
            <w:pPr>
              <w:jc w:val="left"/>
              <w:rPr>
                <w:rFonts w:hint="eastAsia" w:ascii="宋体" w:hAnsi="宋体" w:eastAsia="宋体" w:cs="Times New Roman"/>
                <w:szCs w:val="21"/>
              </w:rPr>
            </w:pPr>
            <w:r>
              <w:rPr>
                <w:rFonts w:ascii="宋体" w:hAnsi="宋体" w:eastAsia="宋体" w:cs="Times New Roman"/>
                <w:szCs w:val="21"/>
              </w:rPr>
              <w:t>2.多媒体教学3.课堂讨论</w:t>
            </w:r>
          </w:p>
          <w:p w14:paraId="622D49FE">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gridSpan w:val="2"/>
            <w:vAlign w:val="center"/>
          </w:tcPr>
          <w:p w14:paraId="7E7C830A">
            <w:pPr>
              <w:jc w:val="center"/>
              <w:rPr>
                <w:rFonts w:hint="eastAsia" w:ascii="宋体" w:hAnsi="宋体" w:eastAsia="宋体" w:cs="Times New Roman"/>
                <w:szCs w:val="21"/>
              </w:rPr>
            </w:pPr>
            <w:r>
              <w:rPr>
                <w:rFonts w:hint="eastAsia" w:ascii="宋体" w:hAnsi="宋体" w:eastAsia="宋体" w:cs="Times New Roman"/>
                <w:szCs w:val="21"/>
              </w:rPr>
              <w:t>2</w:t>
            </w:r>
          </w:p>
        </w:tc>
      </w:tr>
      <w:tr w14:paraId="01DF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05D3A90">
            <w:pPr>
              <w:jc w:val="center"/>
              <w:rPr>
                <w:rFonts w:hint="eastAsia" w:ascii="宋体" w:hAnsi="宋体" w:eastAsia="宋体" w:cs="Times New Roman"/>
                <w:szCs w:val="21"/>
              </w:rPr>
            </w:pPr>
          </w:p>
        </w:tc>
        <w:tc>
          <w:tcPr>
            <w:tcW w:w="8093" w:type="dxa"/>
            <w:gridSpan w:val="6"/>
            <w:vAlign w:val="center"/>
          </w:tcPr>
          <w:p w14:paraId="639C651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通过学生对学习动机的理解，认识到个人意愿和心态在学习与工作中的重要作用，进而引导学生更好的深化对“不忘初心、牢记使命”所具有的警醒和激励作用。</w:t>
            </w:r>
          </w:p>
        </w:tc>
      </w:tr>
      <w:tr w14:paraId="776F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51FA3F6">
            <w:pPr>
              <w:jc w:val="center"/>
              <w:rPr>
                <w:rFonts w:hint="eastAsia" w:ascii="宋体" w:hAnsi="宋体" w:eastAsia="宋体" w:cs="Times New Roman"/>
                <w:szCs w:val="21"/>
              </w:rPr>
            </w:pPr>
            <w:r>
              <w:rPr>
                <w:rFonts w:hint="eastAsia" w:ascii="宋体" w:hAnsi="宋体" w:eastAsia="宋体" w:cs="Times New Roman"/>
                <w:szCs w:val="21"/>
              </w:rPr>
              <w:t>8.知识的分类与</w:t>
            </w:r>
          </w:p>
          <w:p w14:paraId="59E21B2A">
            <w:pPr>
              <w:jc w:val="center"/>
              <w:rPr>
                <w:rFonts w:hint="eastAsia" w:ascii="宋体" w:hAnsi="宋体" w:eastAsia="宋体" w:cs="Times New Roman"/>
                <w:szCs w:val="21"/>
              </w:rPr>
            </w:pPr>
            <w:r>
              <w:rPr>
                <w:rFonts w:hint="eastAsia" w:ascii="宋体" w:hAnsi="宋体" w:eastAsia="宋体" w:cs="Times New Roman"/>
                <w:szCs w:val="21"/>
              </w:rPr>
              <w:t>迁移</w:t>
            </w:r>
          </w:p>
        </w:tc>
        <w:tc>
          <w:tcPr>
            <w:tcW w:w="1701" w:type="dxa"/>
            <w:vAlign w:val="center"/>
          </w:tcPr>
          <w:p w14:paraId="52390255">
            <w:pPr>
              <w:jc w:val="left"/>
              <w:rPr>
                <w:rFonts w:hint="eastAsia" w:ascii="宋体" w:hAnsi="宋体" w:eastAsia="宋体" w:cs="Times New Roman"/>
                <w:szCs w:val="21"/>
              </w:rPr>
            </w:pPr>
            <w:r>
              <w:rPr>
                <w:rFonts w:hint="eastAsia" w:ascii="宋体" w:hAnsi="宋体" w:eastAsia="宋体" w:cs="Times New Roman"/>
                <w:szCs w:val="21"/>
              </w:rPr>
              <w:t>（1）知识的分类</w:t>
            </w:r>
          </w:p>
          <w:p w14:paraId="701B5C2E">
            <w:pPr>
              <w:jc w:val="left"/>
              <w:rPr>
                <w:rFonts w:hint="eastAsia" w:ascii="宋体" w:hAnsi="宋体" w:eastAsia="宋体" w:cs="Times New Roman"/>
                <w:szCs w:val="21"/>
              </w:rPr>
            </w:pPr>
            <w:r>
              <w:rPr>
                <w:rFonts w:hint="eastAsia" w:ascii="宋体" w:hAnsi="宋体" w:eastAsia="宋体" w:cs="Times New Roman"/>
                <w:szCs w:val="21"/>
              </w:rPr>
              <w:t>（2）学习的迁移</w:t>
            </w:r>
          </w:p>
          <w:p w14:paraId="64AC40BA">
            <w:pPr>
              <w:jc w:val="left"/>
              <w:rPr>
                <w:rFonts w:hint="eastAsia" w:ascii="宋体" w:hAnsi="宋体" w:eastAsia="宋体" w:cs="Times New Roman"/>
                <w:szCs w:val="21"/>
              </w:rPr>
            </w:pPr>
          </w:p>
        </w:tc>
        <w:tc>
          <w:tcPr>
            <w:tcW w:w="1134" w:type="dxa"/>
            <w:vAlign w:val="center"/>
          </w:tcPr>
          <w:p w14:paraId="3F3C0EB0">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7E0C5E16">
            <w:pPr>
              <w:jc w:val="left"/>
              <w:rPr>
                <w:rFonts w:hint="eastAsia" w:ascii="宋体" w:hAnsi="宋体" w:eastAsia="宋体" w:cs="Times New Roman"/>
                <w:szCs w:val="21"/>
              </w:rPr>
            </w:pPr>
            <w:r>
              <w:rPr>
                <w:rFonts w:hint="eastAsia" w:ascii="宋体" w:hAnsi="宋体" w:eastAsia="宋体" w:cs="Times New Roman"/>
                <w:szCs w:val="21"/>
              </w:rPr>
              <w:t>（1）理解知识分类及表征；</w:t>
            </w:r>
          </w:p>
          <w:p w14:paraId="3B825E44">
            <w:pPr>
              <w:jc w:val="left"/>
              <w:rPr>
                <w:rFonts w:hint="eastAsia" w:ascii="宋体" w:hAnsi="宋体" w:eastAsia="宋体" w:cs="Times New Roman"/>
                <w:szCs w:val="21"/>
              </w:rPr>
            </w:pPr>
            <w:r>
              <w:rPr>
                <w:rFonts w:hint="eastAsia" w:ascii="宋体" w:hAnsi="宋体" w:eastAsia="宋体" w:cs="Times New Roman"/>
                <w:szCs w:val="21"/>
              </w:rPr>
              <w:t>（2）把握迁移的主要理论观点；</w:t>
            </w:r>
          </w:p>
          <w:p w14:paraId="13671C51">
            <w:pPr>
              <w:jc w:val="left"/>
              <w:rPr>
                <w:rFonts w:hint="eastAsia" w:ascii="宋体" w:hAnsi="宋体" w:eastAsia="宋体" w:cs="Times New Roman"/>
                <w:szCs w:val="21"/>
              </w:rPr>
            </w:pPr>
            <w:r>
              <w:rPr>
                <w:rFonts w:hint="eastAsia" w:ascii="宋体" w:hAnsi="宋体" w:eastAsia="宋体" w:cs="Times New Roman"/>
                <w:szCs w:val="21"/>
              </w:rPr>
              <w:t>（3）能提出为迁移而教的教学建议。</w:t>
            </w:r>
          </w:p>
        </w:tc>
        <w:tc>
          <w:tcPr>
            <w:tcW w:w="1560" w:type="dxa"/>
            <w:vAlign w:val="center"/>
          </w:tcPr>
          <w:p w14:paraId="75B5F915">
            <w:pPr>
              <w:jc w:val="left"/>
              <w:rPr>
                <w:rFonts w:hint="eastAsia" w:ascii="宋体" w:hAnsi="宋体" w:eastAsia="宋体" w:cs="Times New Roman"/>
                <w:szCs w:val="21"/>
              </w:rPr>
            </w:pPr>
            <w:r>
              <w:rPr>
                <w:rFonts w:ascii="宋体" w:hAnsi="宋体" w:eastAsia="宋体" w:cs="Times New Roman"/>
                <w:szCs w:val="21"/>
              </w:rPr>
              <w:t>1.线上学习</w:t>
            </w:r>
          </w:p>
          <w:p w14:paraId="61219A88">
            <w:pPr>
              <w:jc w:val="left"/>
              <w:rPr>
                <w:rFonts w:hint="eastAsia" w:ascii="宋体" w:hAnsi="宋体" w:eastAsia="宋体" w:cs="Times New Roman"/>
                <w:szCs w:val="21"/>
              </w:rPr>
            </w:pPr>
            <w:r>
              <w:rPr>
                <w:rFonts w:ascii="宋体" w:hAnsi="宋体" w:eastAsia="宋体" w:cs="Times New Roman"/>
                <w:szCs w:val="21"/>
              </w:rPr>
              <w:t>2.多媒体教学3.课堂讨论</w:t>
            </w:r>
          </w:p>
          <w:p w14:paraId="61322FA4">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gridSpan w:val="2"/>
            <w:vAlign w:val="center"/>
          </w:tcPr>
          <w:p w14:paraId="5D5A976B">
            <w:pPr>
              <w:jc w:val="center"/>
              <w:rPr>
                <w:rFonts w:hint="eastAsia" w:ascii="宋体" w:hAnsi="宋体" w:eastAsia="宋体" w:cs="Times New Roman"/>
                <w:szCs w:val="21"/>
              </w:rPr>
            </w:pPr>
            <w:r>
              <w:rPr>
                <w:rFonts w:hint="eastAsia" w:ascii="宋体" w:hAnsi="宋体" w:eastAsia="宋体" w:cs="Times New Roman"/>
                <w:szCs w:val="21"/>
              </w:rPr>
              <w:t>2</w:t>
            </w:r>
          </w:p>
        </w:tc>
      </w:tr>
      <w:tr w14:paraId="7EA4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7F85C52">
            <w:pPr>
              <w:jc w:val="center"/>
              <w:rPr>
                <w:rFonts w:hint="eastAsia" w:ascii="宋体" w:hAnsi="宋体" w:eastAsia="宋体" w:cs="Times New Roman"/>
                <w:szCs w:val="21"/>
              </w:rPr>
            </w:pPr>
          </w:p>
        </w:tc>
        <w:tc>
          <w:tcPr>
            <w:tcW w:w="8093" w:type="dxa"/>
            <w:gridSpan w:val="6"/>
            <w:vAlign w:val="center"/>
          </w:tcPr>
          <w:p w14:paraId="2DFA83F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通过对知识的本身概念和分类以及表征过程的学习和理解，让学生充分认识到汉语在人工智能时代的优越性，增强学生的民族自豪感。</w:t>
            </w:r>
          </w:p>
        </w:tc>
      </w:tr>
      <w:tr w14:paraId="0CA7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6CFA858">
            <w:pPr>
              <w:jc w:val="center"/>
              <w:rPr>
                <w:rFonts w:hint="eastAsia" w:ascii="宋体" w:hAnsi="宋体" w:eastAsia="宋体" w:cs="Times New Roman"/>
                <w:szCs w:val="21"/>
              </w:rPr>
            </w:pPr>
            <w:r>
              <w:rPr>
                <w:rFonts w:hint="eastAsia" w:ascii="宋体" w:hAnsi="宋体" w:eastAsia="宋体" w:cs="Times New Roman"/>
                <w:szCs w:val="21"/>
              </w:rPr>
              <w:t>9.问题</w:t>
            </w:r>
          </w:p>
          <w:p w14:paraId="6779F230">
            <w:pPr>
              <w:jc w:val="center"/>
              <w:rPr>
                <w:rFonts w:hint="eastAsia" w:ascii="宋体" w:hAnsi="宋体" w:eastAsia="宋体" w:cs="Times New Roman"/>
                <w:szCs w:val="21"/>
              </w:rPr>
            </w:pPr>
            <w:r>
              <w:rPr>
                <w:rFonts w:hint="eastAsia" w:ascii="宋体" w:hAnsi="宋体" w:eastAsia="宋体" w:cs="Times New Roman"/>
                <w:szCs w:val="21"/>
              </w:rPr>
              <w:t>解决与</w:t>
            </w:r>
          </w:p>
          <w:p w14:paraId="4C4CFA72">
            <w:pPr>
              <w:jc w:val="center"/>
              <w:rPr>
                <w:rFonts w:hint="eastAsia" w:ascii="宋体" w:hAnsi="宋体" w:eastAsia="宋体" w:cs="Times New Roman"/>
                <w:szCs w:val="21"/>
              </w:rPr>
            </w:pPr>
            <w:r>
              <w:rPr>
                <w:rFonts w:hint="eastAsia" w:ascii="宋体" w:hAnsi="宋体" w:eastAsia="宋体" w:cs="Times New Roman"/>
                <w:szCs w:val="21"/>
              </w:rPr>
              <w:t>创造性</w:t>
            </w:r>
          </w:p>
        </w:tc>
        <w:tc>
          <w:tcPr>
            <w:tcW w:w="1701" w:type="dxa"/>
            <w:vAlign w:val="center"/>
          </w:tcPr>
          <w:p w14:paraId="4030CD8B">
            <w:pPr>
              <w:jc w:val="left"/>
              <w:rPr>
                <w:rFonts w:hint="eastAsia" w:ascii="宋体" w:hAnsi="宋体" w:eastAsia="宋体" w:cs="Times New Roman"/>
                <w:szCs w:val="21"/>
              </w:rPr>
            </w:pPr>
            <w:r>
              <w:rPr>
                <w:rFonts w:hint="eastAsia" w:ascii="宋体" w:hAnsi="宋体" w:eastAsia="宋体" w:cs="Times New Roman"/>
                <w:szCs w:val="21"/>
              </w:rPr>
              <w:t>(1)问题与问题解决</w:t>
            </w:r>
          </w:p>
          <w:p w14:paraId="2B4A1714">
            <w:pPr>
              <w:jc w:val="left"/>
              <w:rPr>
                <w:rFonts w:hint="eastAsia" w:ascii="宋体" w:hAnsi="宋体" w:eastAsia="宋体" w:cs="Times New Roman"/>
                <w:szCs w:val="21"/>
              </w:rPr>
            </w:pPr>
            <w:r>
              <w:rPr>
                <w:rFonts w:hint="eastAsia" w:ascii="宋体" w:hAnsi="宋体" w:eastAsia="宋体" w:cs="Times New Roman"/>
                <w:szCs w:val="21"/>
              </w:rPr>
              <w:t>(2)问题解决的过程</w:t>
            </w:r>
          </w:p>
          <w:p w14:paraId="54641BFA">
            <w:pPr>
              <w:jc w:val="left"/>
              <w:rPr>
                <w:rFonts w:hint="eastAsia" w:ascii="宋体" w:hAnsi="宋体" w:eastAsia="宋体" w:cs="Times New Roman"/>
                <w:szCs w:val="21"/>
              </w:rPr>
            </w:pPr>
            <w:r>
              <w:rPr>
                <w:rFonts w:hint="eastAsia" w:ascii="宋体" w:hAnsi="宋体" w:eastAsia="宋体" w:cs="Times New Roman"/>
                <w:szCs w:val="21"/>
              </w:rPr>
              <w:t>(3)问题解决的训练</w:t>
            </w:r>
          </w:p>
          <w:p w14:paraId="1F922B20">
            <w:pPr>
              <w:jc w:val="left"/>
              <w:rPr>
                <w:rFonts w:hint="eastAsia" w:ascii="宋体" w:hAnsi="宋体" w:eastAsia="宋体" w:cs="Times New Roman"/>
                <w:szCs w:val="21"/>
              </w:rPr>
            </w:pPr>
            <w:r>
              <w:rPr>
                <w:rFonts w:hint="eastAsia" w:ascii="宋体" w:hAnsi="宋体" w:eastAsia="宋体" w:cs="Times New Roman"/>
                <w:szCs w:val="21"/>
              </w:rPr>
              <w:t>(4)创造性思维</w:t>
            </w:r>
          </w:p>
        </w:tc>
        <w:tc>
          <w:tcPr>
            <w:tcW w:w="1134" w:type="dxa"/>
            <w:vAlign w:val="center"/>
          </w:tcPr>
          <w:p w14:paraId="458D3448">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551B76D6">
            <w:pPr>
              <w:jc w:val="left"/>
              <w:rPr>
                <w:rFonts w:hint="eastAsia" w:ascii="宋体" w:hAnsi="宋体" w:eastAsia="宋体" w:cs="Times New Roman"/>
                <w:szCs w:val="21"/>
              </w:rPr>
            </w:pPr>
            <w:r>
              <w:rPr>
                <w:rFonts w:hint="eastAsia" w:ascii="宋体" w:hAnsi="宋体" w:eastAsia="宋体" w:cs="Times New Roman"/>
                <w:szCs w:val="21"/>
              </w:rPr>
              <w:t>（1）理解问题解决的内涵和基本过程；</w:t>
            </w:r>
          </w:p>
          <w:p w14:paraId="19AAD0ED">
            <w:pPr>
              <w:jc w:val="left"/>
              <w:rPr>
                <w:rFonts w:hint="eastAsia" w:ascii="宋体" w:hAnsi="宋体" w:eastAsia="宋体" w:cs="Times New Roman"/>
                <w:szCs w:val="21"/>
              </w:rPr>
            </w:pPr>
            <w:r>
              <w:rPr>
                <w:rFonts w:hint="eastAsia" w:ascii="宋体" w:hAnsi="宋体" w:eastAsia="宋体" w:cs="Times New Roman"/>
                <w:szCs w:val="21"/>
              </w:rPr>
              <w:t>（2）掌握问题解决能力培养的基本方法；</w:t>
            </w:r>
          </w:p>
          <w:p w14:paraId="491DDE20">
            <w:pPr>
              <w:jc w:val="left"/>
              <w:rPr>
                <w:rFonts w:hint="eastAsia" w:ascii="宋体" w:hAnsi="宋体" w:eastAsia="宋体" w:cs="Times New Roman"/>
                <w:szCs w:val="21"/>
              </w:rPr>
            </w:pPr>
            <w:r>
              <w:rPr>
                <w:rFonts w:hint="eastAsia" w:ascii="宋体" w:hAnsi="宋体" w:eastAsia="宋体" w:cs="Times New Roman"/>
                <w:szCs w:val="21"/>
              </w:rPr>
              <w:t>（3）理解创造性思维的内涵；</w:t>
            </w:r>
          </w:p>
          <w:p w14:paraId="19DF5D26">
            <w:pPr>
              <w:jc w:val="left"/>
              <w:rPr>
                <w:rFonts w:hint="eastAsia" w:ascii="宋体" w:hAnsi="宋体" w:eastAsia="宋体" w:cs="Times New Roman"/>
                <w:szCs w:val="21"/>
              </w:rPr>
            </w:pPr>
            <w:r>
              <w:rPr>
                <w:rFonts w:hint="eastAsia" w:ascii="宋体" w:hAnsi="宋体" w:eastAsia="宋体" w:cs="Times New Roman"/>
                <w:szCs w:val="21"/>
              </w:rPr>
              <w:t>（4）掌握创新心理教育的基本方法。</w:t>
            </w:r>
          </w:p>
        </w:tc>
        <w:tc>
          <w:tcPr>
            <w:tcW w:w="1560" w:type="dxa"/>
            <w:vAlign w:val="center"/>
          </w:tcPr>
          <w:p w14:paraId="29054762">
            <w:pPr>
              <w:jc w:val="left"/>
              <w:rPr>
                <w:rFonts w:hint="eastAsia" w:ascii="宋体" w:hAnsi="宋体" w:eastAsia="宋体" w:cs="Times New Roman"/>
                <w:szCs w:val="21"/>
              </w:rPr>
            </w:pPr>
            <w:r>
              <w:rPr>
                <w:rFonts w:ascii="宋体" w:hAnsi="宋体" w:eastAsia="宋体" w:cs="Times New Roman"/>
                <w:szCs w:val="21"/>
              </w:rPr>
              <w:t>1.线上学习</w:t>
            </w:r>
          </w:p>
          <w:p w14:paraId="4A904681">
            <w:pPr>
              <w:jc w:val="left"/>
              <w:rPr>
                <w:rFonts w:hint="eastAsia" w:ascii="宋体" w:hAnsi="宋体" w:eastAsia="宋体" w:cs="Times New Roman"/>
                <w:szCs w:val="21"/>
              </w:rPr>
            </w:pPr>
            <w:r>
              <w:rPr>
                <w:rFonts w:ascii="宋体" w:hAnsi="宋体" w:eastAsia="宋体" w:cs="Times New Roman"/>
                <w:szCs w:val="21"/>
              </w:rPr>
              <w:t>2.多媒体教学3.课堂讨论</w:t>
            </w:r>
          </w:p>
          <w:p w14:paraId="1BED9CC8">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gridSpan w:val="2"/>
            <w:vAlign w:val="center"/>
          </w:tcPr>
          <w:p w14:paraId="05A456F0">
            <w:pPr>
              <w:jc w:val="center"/>
              <w:rPr>
                <w:rFonts w:hint="eastAsia" w:ascii="宋体" w:hAnsi="宋体" w:eastAsia="宋体" w:cs="Times New Roman"/>
                <w:szCs w:val="21"/>
              </w:rPr>
            </w:pPr>
            <w:r>
              <w:rPr>
                <w:rFonts w:hint="eastAsia" w:ascii="宋体" w:hAnsi="宋体" w:eastAsia="宋体" w:cs="Times New Roman"/>
                <w:szCs w:val="21"/>
              </w:rPr>
              <w:t>2</w:t>
            </w:r>
          </w:p>
        </w:tc>
      </w:tr>
      <w:tr w14:paraId="3628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FE63B52">
            <w:pPr>
              <w:jc w:val="center"/>
              <w:rPr>
                <w:rFonts w:hint="eastAsia" w:ascii="宋体" w:hAnsi="宋体" w:eastAsia="宋体" w:cs="Times New Roman"/>
                <w:szCs w:val="21"/>
              </w:rPr>
            </w:pPr>
          </w:p>
        </w:tc>
        <w:tc>
          <w:tcPr>
            <w:tcW w:w="8093" w:type="dxa"/>
            <w:gridSpan w:val="6"/>
            <w:vAlign w:val="center"/>
          </w:tcPr>
          <w:p w14:paraId="5E7E810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通过对问题解决的原理的分析，培养学生在日常生活中如何有效思考，学会用更具创造性的方法去解决实际问题，继而为创新型社会贡献自己的一份力量。</w:t>
            </w:r>
          </w:p>
        </w:tc>
      </w:tr>
      <w:tr w14:paraId="1D48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9F255FA">
            <w:pPr>
              <w:jc w:val="center"/>
              <w:rPr>
                <w:rFonts w:hint="eastAsia" w:ascii="宋体" w:hAnsi="宋体" w:eastAsia="宋体" w:cs="Times New Roman"/>
                <w:szCs w:val="21"/>
              </w:rPr>
            </w:pPr>
            <w:r>
              <w:rPr>
                <w:rFonts w:hint="eastAsia" w:ascii="宋体" w:hAnsi="宋体" w:eastAsia="宋体" w:cs="Times New Roman"/>
                <w:szCs w:val="21"/>
              </w:rPr>
              <w:t>10.学习</w:t>
            </w:r>
          </w:p>
          <w:p w14:paraId="70D94118">
            <w:pPr>
              <w:jc w:val="center"/>
              <w:rPr>
                <w:rFonts w:hint="eastAsia" w:ascii="宋体" w:hAnsi="宋体" w:eastAsia="宋体" w:cs="Times New Roman"/>
                <w:szCs w:val="21"/>
              </w:rPr>
            </w:pPr>
            <w:r>
              <w:rPr>
                <w:rFonts w:hint="eastAsia" w:ascii="宋体" w:hAnsi="宋体" w:eastAsia="宋体" w:cs="Times New Roman"/>
                <w:szCs w:val="21"/>
              </w:rPr>
              <w:t>策略</w:t>
            </w:r>
          </w:p>
        </w:tc>
        <w:tc>
          <w:tcPr>
            <w:tcW w:w="1701" w:type="dxa"/>
            <w:vAlign w:val="center"/>
          </w:tcPr>
          <w:p w14:paraId="59A3176D">
            <w:pPr>
              <w:jc w:val="left"/>
              <w:rPr>
                <w:rFonts w:hint="eastAsia" w:ascii="宋体" w:hAnsi="宋体" w:eastAsia="宋体" w:cs="Times New Roman"/>
                <w:szCs w:val="21"/>
              </w:rPr>
            </w:pPr>
            <w:r>
              <w:rPr>
                <w:rFonts w:hint="eastAsia" w:ascii="宋体" w:hAnsi="宋体" w:eastAsia="宋体" w:cs="Times New Roman"/>
                <w:szCs w:val="21"/>
              </w:rPr>
              <w:t>（1）学习策略概述</w:t>
            </w:r>
          </w:p>
          <w:p w14:paraId="60C6850A">
            <w:pPr>
              <w:jc w:val="left"/>
              <w:rPr>
                <w:rFonts w:hint="eastAsia" w:ascii="宋体" w:hAnsi="宋体" w:eastAsia="宋体" w:cs="Times New Roman"/>
                <w:szCs w:val="21"/>
              </w:rPr>
            </w:pPr>
            <w:r>
              <w:rPr>
                <w:rFonts w:hint="eastAsia" w:ascii="宋体" w:hAnsi="宋体" w:eastAsia="宋体" w:cs="Times New Roman"/>
                <w:szCs w:val="21"/>
              </w:rPr>
              <w:t>（2）认知策略</w:t>
            </w:r>
          </w:p>
          <w:p w14:paraId="3AEAC5AC">
            <w:pPr>
              <w:jc w:val="left"/>
              <w:rPr>
                <w:rFonts w:hint="eastAsia" w:ascii="宋体" w:hAnsi="宋体" w:eastAsia="宋体" w:cs="Times New Roman"/>
                <w:szCs w:val="21"/>
              </w:rPr>
            </w:pPr>
            <w:r>
              <w:rPr>
                <w:rFonts w:hint="eastAsia" w:ascii="宋体" w:hAnsi="宋体" w:eastAsia="宋体" w:cs="Times New Roman"/>
                <w:szCs w:val="21"/>
              </w:rPr>
              <w:t>（3）元认知策略与资源管理策略</w:t>
            </w:r>
          </w:p>
          <w:p w14:paraId="5BAE26AF">
            <w:pPr>
              <w:jc w:val="left"/>
              <w:rPr>
                <w:rFonts w:hint="eastAsia" w:ascii="宋体" w:hAnsi="宋体" w:eastAsia="宋体" w:cs="Times New Roman"/>
                <w:szCs w:val="21"/>
              </w:rPr>
            </w:pPr>
            <w:r>
              <w:rPr>
                <w:rFonts w:hint="eastAsia" w:ascii="宋体" w:hAnsi="宋体" w:eastAsia="宋体" w:cs="Times New Roman"/>
                <w:szCs w:val="21"/>
              </w:rPr>
              <w:t>（4）学习策略的促进</w:t>
            </w:r>
          </w:p>
        </w:tc>
        <w:tc>
          <w:tcPr>
            <w:tcW w:w="1134" w:type="dxa"/>
            <w:vAlign w:val="center"/>
          </w:tcPr>
          <w:p w14:paraId="430EE130">
            <w:pPr>
              <w:jc w:val="center"/>
              <w:rPr>
                <w:rFonts w:hint="eastAsia" w:ascii="宋体" w:hAnsi="宋体" w:eastAsia="宋体" w:cs="Times New Roman"/>
                <w:szCs w:val="21"/>
              </w:rPr>
            </w:pPr>
            <w:r>
              <w:rPr>
                <w:rFonts w:hint="eastAsia" w:ascii="宋体" w:hAnsi="宋体" w:eastAsia="宋体" w:cs="Times New Roman"/>
                <w:szCs w:val="21"/>
              </w:rPr>
              <w:t>课程目标1</w:t>
            </w:r>
          </w:p>
          <w:p w14:paraId="2CE1D192">
            <w:pPr>
              <w:jc w:val="center"/>
              <w:rPr>
                <w:rFonts w:hint="eastAsia" w:ascii="宋体" w:hAnsi="宋体" w:eastAsia="宋体" w:cs="Times New Roman"/>
                <w:szCs w:val="21"/>
              </w:rPr>
            </w:pPr>
          </w:p>
        </w:tc>
        <w:tc>
          <w:tcPr>
            <w:tcW w:w="3260" w:type="dxa"/>
            <w:vAlign w:val="center"/>
          </w:tcPr>
          <w:p w14:paraId="6E318D6D">
            <w:pPr>
              <w:jc w:val="left"/>
              <w:rPr>
                <w:rFonts w:hint="eastAsia" w:ascii="宋体" w:hAnsi="宋体" w:eastAsia="宋体" w:cs="Times New Roman"/>
                <w:szCs w:val="21"/>
              </w:rPr>
            </w:pPr>
            <w:r>
              <w:rPr>
                <w:rFonts w:hint="eastAsia" w:ascii="宋体" w:hAnsi="宋体" w:eastAsia="宋体" w:cs="Times New Roman"/>
                <w:szCs w:val="21"/>
              </w:rPr>
              <w:t>（1）理解学习策略的概念与类别；</w:t>
            </w:r>
          </w:p>
          <w:p w14:paraId="7E0B820F">
            <w:pPr>
              <w:jc w:val="left"/>
              <w:rPr>
                <w:rFonts w:hint="eastAsia" w:ascii="宋体" w:hAnsi="宋体" w:eastAsia="宋体" w:cs="Times New Roman"/>
                <w:szCs w:val="21"/>
              </w:rPr>
            </w:pPr>
            <w:r>
              <w:rPr>
                <w:rFonts w:hint="eastAsia" w:ascii="宋体" w:hAnsi="宋体" w:eastAsia="宋体" w:cs="Times New Roman"/>
                <w:szCs w:val="21"/>
              </w:rPr>
              <w:t>（2）掌握学习策略培养方法与措施。</w:t>
            </w:r>
          </w:p>
        </w:tc>
        <w:tc>
          <w:tcPr>
            <w:tcW w:w="1560" w:type="dxa"/>
            <w:vAlign w:val="center"/>
          </w:tcPr>
          <w:p w14:paraId="1A897635">
            <w:pPr>
              <w:jc w:val="left"/>
              <w:rPr>
                <w:rFonts w:hint="eastAsia" w:ascii="宋体" w:hAnsi="宋体" w:eastAsia="宋体" w:cs="Times New Roman"/>
                <w:szCs w:val="21"/>
              </w:rPr>
            </w:pPr>
            <w:r>
              <w:rPr>
                <w:rFonts w:ascii="宋体" w:hAnsi="宋体" w:eastAsia="宋体" w:cs="Times New Roman"/>
                <w:szCs w:val="21"/>
              </w:rPr>
              <w:t>1.线上学习</w:t>
            </w:r>
          </w:p>
          <w:p w14:paraId="2688935E">
            <w:pPr>
              <w:jc w:val="left"/>
              <w:rPr>
                <w:rFonts w:hint="eastAsia" w:ascii="宋体" w:hAnsi="宋体" w:eastAsia="宋体" w:cs="Times New Roman"/>
                <w:szCs w:val="21"/>
              </w:rPr>
            </w:pPr>
            <w:r>
              <w:rPr>
                <w:rFonts w:ascii="宋体" w:hAnsi="宋体" w:eastAsia="宋体" w:cs="Times New Roman"/>
                <w:szCs w:val="21"/>
              </w:rPr>
              <w:t>2.多媒体教学3.课堂讨论</w:t>
            </w:r>
          </w:p>
          <w:p w14:paraId="608A34E5">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gridSpan w:val="2"/>
            <w:vAlign w:val="center"/>
          </w:tcPr>
          <w:p w14:paraId="311C146D">
            <w:pPr>
              <w:jc w:val="center"/>
              <w:rPr>
                <w:rFonts w:hint="eastAsia" w:ascii="宋体" w:hAnsi="宋体" w:eastAsia="宋体" w:cs="Times New Roman"/>
                <w:szCs w:val="21"/>
              </w:rPr>
            </w:pPr>
            <w:r>
              <w:rPr>
                <w:rFonts w:hint="eastAsia" w:ascii="宋体" w:hAnsi="宋体" w:eastAsia="宋体" w:cs="Times New Roman"/>
                <w:szCs w:val="21"/>
              </w:rPr>
              <w:t>2</w:t>
            </w:r>
          </w:p>
        </w:tc>
      </w:tr>
      <w:tr w14:paraId="0485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EBB0A48">
            <w:pPr>
              <w:jc w:val="center"/>
              <w:rPr>
                <w:rFonts w:hint="eastAsia" w:ascii="宋体" w:hAnsi="宋体" w:eastAsia="宋体" w:cs="Times New Roman"/>
                <w:szCs w:val="21"/>
              </w:rPr>
            </w:pPr>
          </w:p>
        </w:tc>
        <w:tc>
          <w:tcPr>
            <w:tcW w:w="8093" w:type="dxa"/>
            <w:gridSpan w:val="6"/>
            <w:vAlign w:val="center"/>
          </w:tcPr>
          <w:p w14:paraId="6886555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学习策略的理解和领会，培养学生积极主动优化自己的学习策略，提高学习效率，进而更好地把马克思主义经典理论和习近平新时代中国特色社会主义思想等马克思主义中国化的最新理论成果融入到学习和生活当中。</w:t>
            </w:r>
          </w:p>
        </w:tc>
      </w:tr>
      <w:tr w14:paraId="000D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B9290AE">
            <w:pPr>
              <w:jc w:val="center"/>
              <w:rPr>
                <w:rFonts w:hint="eastAsia" w:ascii="宋体" w:hAnsi="宋体" w:eastAsia="宋体" w:cs="Times New Roman"/>
                <w:szCs w:val="21"/>
              </w:rPr>
            </w:pPr>
            <w:r>
              <w:rPr>
                <w:rFonts w:hint="eastAsia" w:ascii="宋体" w:hAnsi="宋体" w:eastAsia="宋体" w:cs="Times New Roman"/>
                <w:szCs w:val="21"/>
              </w:rPr>
              <w:t>11.教学</w:t>
            </w:r>
          </w:p>
          <w:p w14:paraId="10C50B27">
            <w:pPr>
              <w:jc w:val="center"/>
              <w:rPr>
                <w:rFonts w:hint="eastAsia" w:ascii="宋体" w:hAnsi="宋体" w:eastAsia="宋体" w:cs="Times New Roman"/>
                <w:szCs w:val="21"/>
              </w:rPr>
            </w:pPr>
            <w:r>
              <w:rPr>
                <w:rFonts w:hint="eastAsia" w:ascii="宋体" w:hAnsi="宋体" w:eastAsia="宋体" w:cs="Times New Roman"/>
                <w:szCs w:val="21"/>
              </w:rPr>
              <w:t>设计</w:t>
            </w:r>
          </w:p>
        </w:tc>
        <w:tc>
          <w:tcPr>
            <w:tcW w:w="1699" w:type="dxa"/>
            <w:vAlign w:val="center"/>
          </w:tcPr>
          <w:p w14:paraId="72498386">
            <w:pPr>
              <w:jc w:val="left"/>
              <w:rPr>
                <w:rFonts w:hint="eastAsia" w:ascii="宋体" w:hAnsi="宋体" w:eastAsia="宋体" w:cs="Times New Roman"/>
                <w:szCs w:val="21"/>
              </w:rPr>
            </w:pPr>
            <w:r>
              <w:rPr>
                <w:rFonts w:hint="eastAsia" w:ascii="宋体" w:hAnsi="宋体" w:eastAsia="宋体" w:cs="Times New Roman"/>
                <w:szCs w:val="21"/>
              </w:rPr>
              <w:t>（1）设置教学目标</w:t>
            </w:r>
          </w:p>
          <w:p w14:paraId="094799E7">
            <w:pPr>
              <w:jc w:val="left"/>
              <w:rPr>
                <w:rFonts w:hint="eastAsia" w:ascii="宋体" w:hAnsi="宋体" w:eastAsia="宋体" w:cs="Times New Roman"/>
                <w:szCs w:val="21"/>
              </w:rPr>
            </w:pPr>
            <w:r>
              <w:rPr>
                <w:rFonts w:hint="eastAsia" w:ascii="宋体" w:hAnsi="宋体" w:eastAsia="宋体" w:cs="Times New Roman"/>
                <w:szCs w:val="21"/>
              </w:rPr>
              <w:t>（2）选择教学模式</w:t>
            </w:r>
          </w:p>
          <w:p w14:paraId="1AE7EDE4">
            <w:pPr>
              <w:jc w:val="left"/>
              <w:rPr>
                <w:rFonts w:hint="eastAsia" w:ascii="宋体" w:hAnsi="宋体" w:eastAsia="宋体" w:cs="Times New Roman"/>
                <w:szCs w:val="21"/>
              </w:rPr>
            </w:pPr>
            <w:r>
              <w:rPr>
                <w:rFonts w:hint="eastAsia" w:ascii="宋体" w:hAnsi="宋体" w:eastAsia="宋体" w:cs="Times New Roman"/>
                <w:szCs w:val="21"/>
              </w:rPr>
              <w:t>（3）设置教学环境</w:t>
            </w:r>
          </w:p>
        </w:tc>
        <w:tc>
          <w:tcPr>
            <w:tcW w:w="1136" w:type="dxa"/>
            <w:vAlign w:val="center"/>
          </w:tcPr>
          <w:p w14:paraId="4E9DF56E">
            <w:pPr>
              <w:jc w:val="center"/>
              <w:rPr>
                <w:rFonts w:hint="eastAsia" w:ascii="宋体" w:hAnsi="宋体" w:eastAsia="宋体" w:cs="Times New Roman"/>
                <w:szCs w:val="21"/>
              </w:rPr>
            </w:pPr>
            <w:r>
              <w:rPr>
                <w:rFonts w:hint="eastAsia" w:ascii="宋体" w:hAnsi="宋体" w:eastAsia="宋体" w:cs="Times New Roman"/>
                <w:szCs w:val="21"/>
              </w:rPr>
              <w:t>课程目标1</w:t>
            </w:r>
          </w:p>
          <w:p w14:paraId="1CDD603E">
            <w:pPr>
              <w:jc w:val="center"/>
              <w:rPr>
                <w:rFonts w:hint="eastAsia" w:ascii="宋体" w:hAnsi="宋体" w:eastAsia="宋体" w:cs="Times New Roman"/>
                <w:szCs w:val="21"/>
              </w:rPr>
            </w:pPr>
          </w:p>
        </w:tc>
        <w:tc>
          <w:tcPr>
            <w:tcW w:w="3260" w:type="dxa"/>
            <w:vAlign w:val="center"/>
          </w:tcPr>
          <w:p w14:paraId="73C1F7D9">
            <w:pPr>
              <w:jc w:val="left"/>
              <w:rPr>
                <w:szCs w:val="22"/>
              </w:rPr>
            </w:pPr>
            <w:r>
              <w:rPr>
                <w:rFonts w:hint="eastAsia"/>
                <w:szCs w:val="22"/>
              </w:rPr>
              <w:t>（1）掌握教学目标的表述方式与目标分类体系，并为一完整课程设计教学目标；</w:t>
            </w:r>
          </w:p>
          <w:p w14:paraId="734E2B0D">
            <w:pPr>
              <w:jc w:val="left"/>
              <w:rPr>
                <w:szCs w:val="22"/>
              </w:rPr>
            </w:pPr>
            <w:r>
              <w:rPr>
                <w:rFonts w:hint="eastAsia"/>
                <w:szCs w:val="22"/>
              </w:rPr>
              <w:t>（2）根据各类教学目标选择和运用相应的教学模式；</w:t>
            </w:r>
          </w:p>
          <w:p w14:paraId="18D68F3B">
            <w:pPr>
              <w:jc w:val="left"/>
              <w:rPr>
                <w:rFonts w:hint="eastAsia" w:ascii="宋体" w:hAnsi="宋体" w:eastAsia="宋体" w:cs="Times New Roman"/>
                <w:szCs w:val="21"/>
              </w:rPr>
            </w:pPr>
            <w:r>
              <w:rPr>
                <w:rFonts w:hint="eastAsia"/>
                <w:szCs w:val="22"/>
              </w:rPr>
              <w:t>（3）根据教学目标与教学模式布置教学环境。</w:t>
            </w:r>
          </w:p>
        </w:tc>
        <w:tc>
          <w:tcPr>
            <w:tcW w:w="1568" w:type="dxa"/>
            <w:gridSpan w:val="2"/>
            <w:vAlign w:val="center"/>
          </w:tcPr>
          <w:p w14:paraId="7A41877F">
            <w:pPr>
              <w:jc w:val="left"/>
              <w:rPr>
                <w:rFonts w:hint="eastAsia" w:ascii="宋体" w:hAnsi="宋体" w:eastAsia="宋体" w:cs="Times New Roman"/>
                <w:szCs w:val="21"/>
              </w:rPr>
            </w:pPr>
            <w:r>
              <w:rPr>
                <w:rFonts w:ascii="宋体" w:hAnsi="宋体" w:eastAsia="宋体" w:cs="Times New Roman"/>
                <w:szCs w:val="21"/>
              </w:rPr>
              <w:t>1.线上学习</w:t>
            </w:r>
          </w:p>
          <w:p w14:paraId="3EF814C3">
            <w:pPr>
              <w:jc w:val="left"/>
              <w:rPr>
                <w:rFonts w:hint="eastAsia" w:ascii="宋体" w:hAnsi="宋体" w:eastAsia="宋体" w:cs="Times New Roman"/>
                <w:szCs w:val="21"/>
              </w:rPr>
            </w:pPr>
            <w:r>
              <w:rPr>
                <w:rFonts w:ascii="宋体" w:hAnsi="宋体" w:eastAsia="宋体" w:cs="Times New Roman"/>
                <w:szCs w:val="21"/>
              </w:rPr>
              <w:t>2.多媒体教学3.课堂讨论</w:t>
            </w:r>
          </w:p>
          <w:p w14:paraId="4E415FF8">
            <w:pPr>
              <w:jc w:val="left"/>
              <w:rPr>
                <w:rFonts w:hint="eastAsia" w:ascii="宋体" w:hAnsi="宋体" w:eastAsia="宋体" w:cs="Times New Roman"/>
                <w:szCs w:val="21"/>
              </w:rPr>
            </w:pPr>
            <w:r>
              <w:rPr>
                <w:rFonts w:ascii="宋体" w:hAnsi="宋体" w:eastAsia="宋体" w:cs="Times New Roman"/>
                <w:szCs w:val="21"/>
              </w:rPr>
              <w:t>4.单元测验</w:t>
            </w:r>
          </w:p>
        </w:tc>
        <w:tc>
          <w:tcPr>
            <w:tcW w:w="430" w:type="dxa"/>
            <w:vAlign w:val="center"/>
          </w:tcPr>
          <w:p w14:paraId="3D0B92D9">
            <w:pPr>
              <w:jc w:val="center"/>
              <w:rPr>
                <w:rFonts w:hint="eastAsia" w:ascii="宋体" w:hAnsi="宋体" w:eastAsia="宋体" w:cs="Times New Roman"/>
                <w:szCs w:val="21"/>
              </w:rPr>
            </w:pPr>
            <w:r>
              <w:rPr>
                <w:rFonts w:hint="eastAsia" w:ascii="宋体" w:hAnsi="宋体" w:eastAsia="宋体" w:cs="Times New Roman"/>
                <w:szCs w:val="21"/>
              </w:rPr>
              <w:t>4</w:t>
            </w:r>
          </w:p>
        </w:tc>
      </w:tr>
      <w:tr w14:paraId="3720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B8CB625">
            <w:pPr>
              <w:jc w:val="center"/>
              <w:rPr>
                <w:rFonts w:hint="eastAsia" w:ascii="宋体" w:hAnsi="宋体" w:eastAsia="宋体" w:cs="Times New Roman"/>
                <w:szCs w:val="21"/>
              </w:rPr>
            </w:pPr>
          </w:p>
        </w:tc>
        <w:tc>
          <w:tcPr>
            <w:tcW w:w="8093" w:type="dxa"/>
            <w:gridSpan w:val="6"/>
            <w:vAlign w:val="center"/>
          </w:tcPr>
          <w:p w14:paraId="0034668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通过学习如何设计教学，从而让学生在生活中学会如何规划自己的时间，如何让生活中的每一天过得充实、高效、有意义，进而为将来的职业规划打下良好的基础。</w:t>
            </w:r>
          </w:p>
          <w:p w14:paraId="754D7220">
            <w:pPr>
              <w:jc w:val="left"/>
              <w:rPr>
                <w:rFonts w:hint="eastAsia" w:ascii="宋体" w:hAnsi="宋体" w:eastAsia="宋体" w:cs="Times New Roman"/>
                <w:szCs w:val="21"/>
              </w:rPr>
            </w:pPr>
          </w:p>
        </w:tc>
      </w:tr>
      <w:tr w14:paraId="6C21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5B314B4">
            <w:pPr>
              <w:jc w:val="center"/>
              <w:rPr>
                <w:rFonts w:hint="eastAsia" w:ascii="宋体" w:hAnsi="宋体" w:eastAsia="宋体" w:cs="Times New Roman"/>
                <w:szCs w:val="21"/>
              </w:rPr>
            </w:pPr>
            <w:r>
              <w:rPr>
                <w:rFonts w:hint="eastAsia" w:ascii="宋体" w:hAnsi="宋体" w:eastAsia="宋体" w:cs="Times New Roman"/>
                <w:szCs w:val="21"/>
              </w:rPr>
              <w:t>12.课堂</w:t>
            </w:r>
          </w:p>
          <w:p w14:paraId="222E32BB">
            <w:pPr>
              <w:jc w:val="center"/>
              <w:rPr>
                <w:rFonts w:hint="eastAsia" w:ascii="宋体" w:hAnsi="宋体" w:eastAsia="宋体" w:cs="Times New Roman"/>
                <w:szCs w:val="21"/>
              </w:rPr>
            </w:pPr>
            <w:r>
              <w:rPr>
                <w:rFonts w:hint="eastAsia" w:ascii="宋体" w:hAnsi="宋体" w:eastAsia="宋体" w:cs="Times New Roman"/>
                <w:szCs w:val="21"/>
              </w:rPr>
              <w:t>管理</w:t>
            </w:r>
          </w:p>
        </w:tc>
        <w:tc>
          <w:tcPr>
            <w:tcW w:w="1699" w:type="dxa"/>
            <w:vAlign w:val="center"/>
          </w:tcPr>
          <w:p w14:paraId="615CF4A4">
            <w:pPr>
              <w:jc w:val="left"/>
              <w:rPr>
                <w:rFonts w:hint="eastAsia" w:ascii="宋体" w:hAnsi="宋体" w:eastAsia="宋体" w:cs="Times New Roman"/>
                <w:szCs w:val="21"/>
              </w:rPr>
            </w:pPr>
            <w:r>
              <w:rPr>
                <w:rFonts w:hint="eastAsia" w:ascii="宋体" w:hAnsi="宋体" w:eastAsia="宋体" w:cs="Times New Roman"/>
                <w:szCs w:val="21"/>
              </w:rPr>
              <w:t>（1）课堂管理概述</w:t>
            </w:r>
          </w:p>
          <w:p w14:paraId="46222712">
            <w:pPr>
              <w:jc w:val="left"/>
              <w:rPr>
                <w:rFonts w:hint="eastAsia" w:ascii="宋体" w:hAnsi="宋体" w:eastAsia="宋体" w:cs="Times New Roman"/>
                <w:szCs w:val="21"/>
              </w:rPr>
            </w:pPr>
            <w:r>
              <w:rPr>
                <w:rFonts w:hint="eastAsia" w:ascii="宋体" w:hAnsi="宋体" w:eastAsia="宋体" w:cs="Times New Roman"/>
                <w:szCs w:val="21"/>
              </w:rPr>
              <w:t>（2）课堂管理过程</w:t>
            </w:r>
          </w:p>
          <w:p w14:paraId="2741C22B">
            <w:pPr>
              <w:jc w:val="left"/>
              <w:rPr>
                <w:rFonts w:hint="eastAsia" w:ascii="宋体" w:hAnsi="宋体" w:eastAsia="宋体" w:cs="Times New Roman"/>
                <w:szCs w:val="21"/>
              </w:rPr>
            </w:pPr>
            <w:r>
              <w:rPr>
                <w:rFonts w:hint="eastAsia" w:ascii="宋体" w:hAnsi="宋体" w:eastAsia="宋体" w:cs="Times New Roman"/>
                <w:szCs w:val="21"/>
              </w:rPr>
              <w:t>（3）处理严重的问题行为</w:t>
            </w:r>
          </w:p>
        </w:tc>
        <w:tc>
          <w:tcPr>
            <w:tcW w:w="1136" w:type="dxa"/>
            <w:vAlign w:val="center"/>
          </w:tcPr>
          <w:p w14:paraId="20C2C34A">
            <w:pPr>
              <w:jc w:val="center"/>
              <w:rPr>
                <w:rFonts w:hint="eastAsia" w:ascii="宋体" w:hAnsi="宋体" w:eastAsia="宋体" w:cs="Times New Roman"/>
                <w:szCs w:val="21"/>
              </w:rPr>
            </w:pPr>
            <w:r>
              <w:rPr>
                <w:rFonts w:hint="eastAsia" w:ascii="宋体" w:hAnsi="宋体" w:eastAsia="宋体" w:cs="Times New Roman"/>
                <w:szCs w:val="21"/>
              </w:rPr>
              <w:t>课程目标1</w:t>
            </w:r>
          </w:p>
          <w:p w14:paraId="6ACAB54A">
            <w:pPr>
              <w:jc w:val="center"/>
              <w:rPr>
                <w:rFonts w:hint="eastAsia" w:ascii="宋体" w:hAnsi="宋体" w:eastAsia="宋体" w:cs="Times New Roman"/>
                <w:szCs w:val="21"/>
              </w:rPr>
            </w:pPr>
          </w:p>
        </w:tc>
        <w:tc>
          <w:tcPr>
            <w:tcW w:w="3260" w:type="dxa"/>
            <w:vAlign w:val="center"/>
          </w:tcPr>
          <w:p w14:paraId="7D99B5B1">
            <w:pPr>
              <w:jc w:val="left"/>
              <w:rPr>
                <w:rFonts w:hint="eastAsia" w:ascii="宋体" w:hAnsi="宋体" w:eastAsia="宋体" w:cs="Times New Roman"/>
                <w:szCs w:val="21"/>
              </w:rPr>
            </w:pPr>
            <w:r>
              <w:rPr>
                <w:rFonts w:hint="eastAsia" w:ascii="宋体" w:hAnsi="宋体" w:eastAsia="宋体" w:cs="Times New Roman"/>
                <w:szCs w:val="21"/>
              </w:rPr>
              <w:t>（1）了解课堂管理的目标和阶段性；</w:t>
            </w:r>
          </w:p>
          <w:p w14:paraId="0CDC3107">
            <w:pPr>
              <w:jc w:val="left"/>
              <w:rPr>
                <w:rFonts w:hint="eastAsia" w:ascii="宋体" w:hAnsi="宋体" w:eastAsia="宋体" w:cs="Times New Roman"/>
                <w:szCs w:val="21"/>
              </w:rPr>
            </w:pPr>
            <w:r>
              <w:rPr>
                <w:rFonts w:hint="eastAsia" w:ascii="宋体" w:hAnsi="宋体" w:eastAsia="宋体" w:cs="Times New Roman"/>
                <w:szCs w:val="21"/>
              </w:rPr>
              <w:t>（2）把握课堂管理的基本环节；</w:t>
            </w:r>
          </w:p>
          <w:p w14:paraId="76519868">
            <w:pPr>
              <w:jc w:val="left"/>
              <w:rPr>
                <w:rFonts w:hint="eastAsia" w:ascii="宋体" w:hAnsi="宋体" w:eastAsia="宋体" w:cs="Times New Roman"/>
                <w:szCs w:val="21"/>
              </w:rPr>
            </w:pPr>
            <w:r>
              <w:rPr>
                <w:rFonts w:hint="eastAsia" w:ascii="宋体" w:hAnsi="宋体" w:eastAsia="宋体" w:cs="Times New Roman"/>
                <w:szCs w:val="21"/>
              </w:rPr>
              <w:t>（3）掌握课堂问题分析和处理的基本方法。</w:t>
            </w:r>
          </w:p>
        </w:tc>
        <w:tc>
          <w:tcPr>
            <w:tcW w:w="1568" w:type="dxa"/>
            <w:gridSpan w:val="2"/>
            <w:vAlign w:val="center"/>
          </w:tcPr>
          <w:p w14:paraId="3350B6D5">
            <w:pPr>
              <w:jc w:val="left"/>
              <w:rPr>
                <w:rFonts w:hint="eastAsia" w:ascii="宋体" w:hAnsi="宋体" w:eastAsia="宋体" w:cs="Times New Roman"/>
                <w:szCs w:val="21"/>
              </w:rPr>
            </w:pPr>
            <w:r>
              <w:rPr>
                <w:rFonts w:ascii="宋体" w:hAnsi="宋体" w:eastAsia="宋体" w:cs="Times New Roman"/>
                <w:szCs w:val="21"/>
              </w:rPr>
              <w:t>1.线上学习</w:t>
            </w:r>
          </w:p>
          <w:p w14:paraId="3A82D655">
            <w:pPr>
              <w:jc w:val="left"/>
              <w:rPr>
                <w:rFonts w:hint="eastAsia" w:ascii="宋体" w:hAnsi="宋体" w:eastAsia="宋体" w:cs="Times New Roman"/>
                <w:szCs w:val="21"/>
              </w:rPr>
            </w:pPr>
            <w:r>
              <w:rPr>
                <w:rFonts w:ascii="宋体" w:hAnsi="宋体" w:eastAsia="宋体" w:cs="Times New Roman"/>
                <w:szCs w:val="21"/>
              </w:rPr>
              <w:t>2.多媒体教学3.课堂讨论</w:t>
            </w:r>
          </w:p>
          <w:p w14:paraId="48654342">
            <w:pPr>
              <w:jc w:val="left"/>
              <w:rPr>
                <w:rFonts w:hint="eastAsia" w:ascii="宋体" w:hAnsi="宋体" w:eastAsia="宋体" w:cs="Times New Roman"/>
                <w:szCs w:val="21"/>
              </w:rPr>
            </w:pPr>
            <w:r>
              <w:rPr>
                <w:rFonts w:ascii="宋体" w:hAnsi="宋体" w:eastAsia="宋体" w:cs="Times New Roman"/>
                <w:szCs w:val="21"/>
              </w:rPr>
              <w:t>4.单元测验</w:t>
            </w:r>
          </w:p>
        </w:tc>
        <w:tc>
          <w:tcPr>
            <w:tcW w:w="430" w:type="dxa"/>
            <w:vAlign w:val="center"/>
          </w:tcPr>
          <w:p w14:paraId="6FD226A5">
            <w:pPr>
              <w:jc w:val="center"/>
              <w:rPr>
                <w:rFonts w:hint="eastAsia" w:ascii="宋体" w:hAnsi="宋体" w:eastAsia="宋体" w:cs="Times New Roman"/>
                <w:szCs w:val="21"/>
              </w:rPr>
            </w:pPr>
            <w:r>
              <w:rPr>
                <w:rFonts w:hint="eastAsia" w:ascii="宋体" w:hAnsi="宋体" w:eastAsia="宋体" w:cs="Times New Roman"/>
                <w:szCs w:val="21"/>
              </w:rPr>
              <w:t>2</w:t>
            </w:r>
          </w:p>
        </w:tc>
      </w:tr>
      <w:tr w14:paraId="3562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D8AA3F3">
            <w:pPr>
              <w:jc w:val="center"/>
              <w:rPr>
                <w:rFonts w:hint="eastAsia" w:ascii="宋体" w:hAnsi="宋体" w:eastAsia="宋体" w:cs="Times New Roman"/>
                <w:szCs w:val="21"/>
              </w:rPr>
            </w:pPr>
          </w:p>
        </w:tc>
        <w:tc>
          <w:tcPr>
            <w:tcW w:w="8093" w:type="dxa"/>
            <w:gridSpan w:val="6"/>
            <w:vAlign w:val="center"/>
          </w:tcPr>
          <w:p w14:paraId="2AC07C0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课堂管理一章的学习，让学生以小见大，形成对国家治理和政府管理的一些理念和规章的深刻认识，培育出“识大体、顾大局”的主人翁意识，引导学生树牢“四个意识”，坚定“四个自信”，坚决做到“两个维护”，为和谐社会的更快更好的发展贡献出自己的力量。</w:t>
            </w:r>
          </w:p>
        </w:tc>
      </w:tr>
      <w:tr w14:paraId="4DF0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E89541E">
            <w:pPr>
              <w:jc w:val="center"/>
              <w:rPr>
                <w:rFonts w:hint="eastAsia" w:ascii="宋体" w:hAnsi="宋体" w:eastAsia="宋体" w:cs="Times New Roman"/>
                <w:szCs w:val="21"/>
              </w:rPr>
            </w:pPr>
            <w:r>
              <w:rPr>
                <w:rFonts w:hint="eastAsia" w:ascii="宋体" w:hAnsi="宋体" w:eastAsia="宋体" w:cs="Times New Roman"/>
                <w:szCs w:val="21"/>
              </w:rPr>
              <w:t>13.学习</w:t>
            </w:r>
          </w:p>
          <w:p w14:paraId="156CD59F">
            <w:pPr>
              <w:jc w:val="center"/>
              <w:rPr>
                <w:rFonts w:hint="eastAsia" w:ascii="宋体" w:hAnsi="宋体" w:eastAsia="宋体" w:cs="Times New Roman"/>
                <w:szCs w:val="21"/>
              </w:rPr>
            </w:pPr>
            <w:r>
              <w:rPr>
                <w:rFonts w:hint="eastAsia" w:ascii="宋体" w:hAnsi="宋体" w:eastAsia="宋体" w:cs="Times New Roman"/>
                <w:szCs w:val="21"/>
              </w:rPr>
              <w:t>评估</w:t>
            </w:r>
          </w:p>
        </w:tc>
        <w:tc>
          <w:tcPr>
            <w:tcW w:w="1699" w:type="dxa"/>
            <w:vAlign w:val="center"/>
          </w:tcPr>
          <w:p w14:paraId="0B4BFC9F">
            <w:pPr>
              <w:jc w:val="left"/>
              <w:rPr>
                <w:rFonts w:hint="eastAsia" w:ascii="宋体" w:hAnsi="宋体" w:eastAsia="宋体" w:cs="Times New Roman"/>
                <w:szCs w:val="21"/>
              </w:rPr>
            </w:pPr>
            <w:r>
              <w:rPr>
                <w:rFonts w:hint="eastAsia" w:ascii="宋体" w:hAnsi="宋体" w:eastAsia="宋体" w:cs="Times New Roman"/>
                <w:szCs w:val="21"/>
              </w:rPr>
              <w:t>（1）学习评定概述</w:t>
            </w:r>
          </w:p>
          <w:p w14:paraId="7D271AA7">
            <w:pPr>
              <w:jc w:val="left"/>
              <w:rPr>
                <w:rFonts w:hint="eastAsia" w:ascii="宋体" w:hAnsi="宋体" w:eastAsia="宋体" w:cs="Times New Roman"/>
                <w:szCs w:val="21"/>
              </w:rPr>
            </w:pPr>
            <w:r>
              <w:rPr>
                <w:rFonts w:hint="eastAsia" w:ascii="宋体" w:hAnsi="宋体" w:eastAsia="宋体" w:cs="Times New Roman"/>
                <w:szCs w:val="21"/>
              </w:rPr>
              <w:t>（2）标准化测验</w:t>
            </w:r>
          </w:p>
          <w:p w14:paraId="60367007">
            <w:pPr>
              <w:jc w:val="left"/>
              <w:rPr>
                <w:rFonts w:hint="eastAsia" w:ascii="宋体" w:hAnsi="宋体" w:eastAsia="宋体" w:cs="Times New Roman"/>
                <w:szCs w:val="21"/>
              </w:rPr>
            </w:pPr>
            <w:r>
              <w:rPr>
                <w:rFonts w:hint="eastAsia" w:ascii="宋体" w:hAnsi="宋体" w:eastAsia="宋体" w:cs="Times New Roman"/>
                <w:szCs w:val="21"/>
              </w:rPr>
              <w:t>（3）教师自编测验</w:t>
            </w:r>
          </w:p>
          <w:p w14:paraId="2374A405">
            <w:pPr>
              <w:jc w:val="left"/>
              <w:rPr>
                <w:rFonts w:hint="eastAsia" w:ascii="宋体" w:hAnsi="宋体" w:eastAsia="宋体" w:cs="Times New Roman"/>
                <w:szCs w:val="21"/>
              </w:rPr>
            </w:pPr>
            <w:r>
              <w:rPr>
                <w:rFonts w:hint="eastAsia" w:ascii="宋体" w:hAnsi="宋体" w:eastAsia="宋体" w:cs="Times New Roman"/>
                <w:szCs w:val="21"/>
              </w:rPr>
              <w:t>（4）真实性评定与评定结果报告</w:t>
            </w:r>
          </w:p>
        </w:tc>
        <w:tc>
          <w:tcPr>
            <w:tcW w:w="1136" w:type="dxa"/>
            <w:vAlign w:val="center"/>
          </w:tcPr>
          <w:p w14:paraId="4CC527BC">
            <w:pPr>
              <w:jc w:val="center"/>
              <w:rPr>
                <w:rFonts w:hint="eastAsia" w:ascii="宋体" w:hAnsi="宋体" w:eastAsia="宋体" w:cs="Times New Roman"/>
                <w:szCs w:val="21"/>
              </w:rPr>
            </w:pPr>
            <w:r>
              <w:rPr>
                <w:rFonts w:hint="eastAsia" w:ascii="宋体" w:hAnsi="宋体" w:eastAsia="宋体" w:cs="Times New Roman"/>
                <w:szCs w:val="21"/>
              </w:rPr>
              <w:t>课程目标1</w:t>
            </w:r>
          </w:p>
          <w:p w14:paraId="429241EC">
            <w:pPr>
              <w:jc w:val="center"/>
              <w:rPr>
                <w:rFonts w:hint="eastAsia" w:ascii="宋体" w:hAnsi="宋体" w:eastAsia="宋体" w:cs="Times New Roman"/>
                <w:szCs w:val="21"/>
              </w:rPr>
            </w:pPr>
          </w:p>
        </w:tc>
        <w:tc>
          <w:tcPr>
            <w:tcW w:w="3260" w:type="dxa"/>
            <w:vAlign w:val="center"/>
          </w:tcPr>
          <w:p w14:paraId="7FF7C06A">
            <w:pPr>
              <w:jc w:val="left"/>
              <w:rPr>
                <w:rFonts w:hint="eastAsia" w:ascii="宋体" w:hAnsi="宋体" w:eastAsia="宋体" w:cs="Times New Roman"/>
                <w:szCs w:val="21"/>
              </w:rPr>
            </w:pPr>
            <w:r>
              <w:rPr>
                <w:rFonts w:hint="eastAsia" w:ascii="宋体" w:hAnsi="宋体" w:eastAsia="宋体" w:cs="Times New Roman"/>
                <w:szCs w:val="21"/>
              </w:rPr>
              <w:t>（1）掌握学习评定的基本理论；</w:t>
            </w:r>
          </w:p>
          <w:p w14:paraId="5E9D9FDC">
            <w:pPr>
              <w:jc w:val="left"/>
              <w:rPr>
                <w:rFonts w:hint="eastAsia" w:ascii="宋体" w:hAnsi="宋体" w:eastAsia="宋体" w:cs="Times New Roman"/>
                <w:szCs w:val="21"/>
              </w:rPr>
            </w:pPr>
            <w:r>
              <w:rPr>
                <w:rFonts w:hint="eastAsia" w:ascii="宋体" w:hAnsi="宋体" w:eastAsia="宋体" w:cs="Times New Roman"/>
                <w:szCs w:val="21"/>
              </w:rPr>
              <w:t>（2）掌握学习评定的基本方法。</w:t>
            </w:r>
          </w:p>
        </w:tc>
        <w:tc>
          <w:tcPr>
            <w:tcW w:w="1568" w:type="dxa"/>
            <w:gridSpan w:val="2"/>
            <w:vAlign w:val="center"/>
          </w:tcPr>
          <w:p w14:paraId="600AB6C7">
            <w:pPr>
              <w:jc w:val="left"/>
              <w:rPr>
                <w:rFonts w:hint="eastAsia" w:ascii="宋体" w:hAnsi="宋体" w:eastAsia="宋体" w:cs="Times New Roman"/>
                <w:szCs w:val="21"/>
              </w:rPr>
            </w:pPr>
            <w:r>
              <w:rPr>
                <w:rFonts w:ascii="宋体" w:hAnsi="宋体" w:eastAsia="宋体" w:cs="Times New Roman"/>
                <w:szCs w:val="21"/>
              </w:rPr>
              <w:t>1.线上学习</w:t>
            </w:r>
          </w:p>
          <w:p w14:paraId="1612D3CD">
            <w:pPr>
              <w:jc w:val="left"/>
              <w:rPr>
                <w:rFonts w:hint="eastAsia" w:ascii="宋体" w:hAnsi="宋体" w:eastAsia="宋体" w:cs="Times New Roman"/>
                <w:szCs w:val="21"/>
              </w:rPr>
            </w:pPr>
            <w:r>
              <w:rPr>
                <w:rFonts w:ascii="宋体" w:hAnsi="宋体" w:eastAsia="宋体" w:cs="Times New Roman"/>
                <w:szCs w:val="21"/>
              </w:rPr>
              <w:t>2.多媒体教学3.课堂讨论</w:t>
            </w:r>
          </w:p>
          <w:p w14:paraId="6B541B57">
            <w:pPr>
              <w:jc w:val="left"/>
              <w:rPr>
                <w:rFonts w:hint="eastAsia" w:ascii="宋体" w:hAnsi="宋体" w:eastAsia="宋体" w:cs="Times New Roman"/>
                <w:szCs w:val="21"/>
              </w:rPr>
            </w:pPr>
            <w:r>
              <w:rPr>
                <w:rFonts w:ascii="宋体" w:hAnsi="宋体" w:eastAsia="宋体" w:cs="Times New Roman"/>
                <w:szCs w:val="21"/>
              </w:rPr>
              <w:t>4.单元测验</w:t>
            </w:r>
          </w:p>
        </w:tc>
        <w:tc>
          <w:tcPr>
            <w:tcW w:w="430" w:type="dxa"/>
            <w:vAlign w:val="center"/>
          </w:tcPr>
          <w:p w14:paraId="14A9B778">
            <w:pPr>
              <w:jc w:val="center"/>
              <w:rPr>
                <w:rFonts w:hint="eastAsia" w:ascii="宋体" w:hAnsi="宋体" w:eastAsia="宋体" w:cs="Times New Roman"/>
                <w:szCs w:val="21"/>
              </w:rPr>
            </w:pPr>
            <w:r>
              <w:rPr>
                <w:rFonts w:hint="eastAsia" w:ascii="宋体" w:hAnsi="宋体" w:eastAsia="宋体" w:cs="Times New Roman"/>
                <w:szCs w:val="21"/>
              </w:rPr>
              <w:t>2</w:t>
            </w:r>
          </w:p>
        </w:tc>
      </w:tr>
      <w:tr w14:paraId="3F9B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15148CD">
            <w:pPr>
              <w:jc w:val="center"/>
              <w:rPr>
                <w:rFonts w:hint="eastAsia" w:ascii="宋体" w:hAnsi="宋体" w:eastAsia="宋体" w:cs="Times New Roman"/>
                <w:szCs w:val="21"/>
              </w:rPr>
            </w:pPr>
          </w:p>
        </w:tc>
        <w:tc>
          <w:tcPr>
            <w:tcW w:w="8093" w:type="dxa"/>
            <w:gridSpan w:val="6"/>
            <w:vAlign w:val="center"/>
          </w:tcPr>
          <w:p w14:paraId="7662993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了解并掌握有关如何进行学习评定这一主题，让学生充分认识到国家如何评定育人成果的问题，进而深刻理解中央提出的“培养什么人、怎样培养人、为谁培养人”等问题，从而在潜移默化中引导学生树立正确的世界观、人生观、价值观。</w:t>
            </w:r>
          </w:p>
        </w:tc>
      </w:tr>
    </w:tbl>
    <w:p w14:paraId="5903120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65D6E58A">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030C0E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1615"/>
        <w:gridCol w:w="1615"/>
        <w:gridCol w:w="1615"/>
        <w:gridCol w:w="1739"/>
      </w:tblGrid>
      <w:tr w14:paraId="16E8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Merge w:val="restart"/>
            <w:vAlign w:val="center"/>
          </w:tcPr>
          <w:p w14:paraId="6965AC6B">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4845" w:type="dxa"/>
            <w:gridSpan w:val="3"/>
            <w:vAlign w:val="center"/>
          </w:tcPr>
          <w:p w14:paraId="7C9475C9">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739" w:type="dxa"/>
            <w:vMerge w:val="restart"/>
            <w:vAlign w:val="center"/>
          </w:tcPr>
          <w:p w14:paraId="6677A457">
            <w:pPr>
              <w:jc w:val="center"/>
              <w:rPr>
                <w:rFonts w:hint="eastAsia" w:ascii="宋体" w:hAnsi="宋体" w:eastAsia="宋体" w:cs="Times New Roman"/>
                <w:szCs w:val="21"/>
              </w:rPr>
            </w:pPr>
            <w:r>
              <w:rPr>
                <w:rFonts w:hint="eastAsia" w:ascii="宋体" w:hAnsi="宋体" w:eastAsia="宋体" w:cs="Times New Roman"/>
                <w:szCs w:val="21"/>
              </w:rPr>
              <w:t>分值</w:t>
            </w:r>
          </w:p>
        </w:tc>
      </w:tr>
      <w:tr w14:paraId="0385E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Merge w:val="continue"/>
            <w:vAlign w:val="center"/>
          </w:tcPr>
          <w:p w14:paraId="73B8EE5A">
            <w:pPr>
              <w:jc w:val="center"/>
              <w:rPr>
                <w:rFonts w:hint="eastAsia" w:ascii="宋体" w:hAnsi="宋体" w:eastAsia="宋体" w:cs="Times New Roman"/>
                <w:szCs w:val="21"/>
              </w:rPr>
            </w:pPr>
          </w:p>
        </w:tc>
        <w:tc>
          <w:tcPr>
            <w:tcW w:w="1615" w:type="dxa"/>
            <w:vAlign w:val="center"/>
          </w:tcPr>
          <w:p w14:paraId="189CF3A6">
            <w:pPr>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615" w:type="dxa"/>
            <w:vAlign w:val="center"/>
          </w:tcPr>
          <w:p w14:paraId="583BF202">
            <w:pPr>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615" w:type="dxa"/>
            <w:vAlign w:val="center"/>
          </w:tcPr>
          <w:p w14:paraId="0EC0143E">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739" w:type="dxa"/>
            <w:vMerge w:val="continue"/>
            <w:vAlign w:val="center"/>
          </w:tcPr>
          <w:p w14:paraId="79D53602">
            <w:pPr>
              <w:jc w:val="center"/>
              <w:rPr>
                <w:rFonts w:hint="eastAsia" w:ascii="宋体" w:hAnsi="宋体" w:eastAsia="宋体" w:cs="Times New Roman"/>
                <w:szCs w:val="21"/>
              </w:rPr>
            </w:pPr>
          </w:p>
        </w:tc>
      </w:tr>
      <w:tr w14:paraId="4ECD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14:paraId="41FD3085">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615" w:type="dxa"/>
            <w:vAlign w:val="center"/>
          </w:tcPr>
          <w:p w14:paraId="293B24E7">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5D036970">
            <w:pPr>
              <w:jc w:val="center"/>
              <w:rPr>
                <w:rFonts w:hint="eastAsia" w:ascii="宋体" w:hAnsi="宋体" w:eastAsia="宋体" w:cs="Times New Roman"/>
                <w:szCs w:val="21"/>
              </w:rPr>
            </w:pPr>
            <w:r>
              <w:rPr>
                <w:rFonts w:hint="eastAsia" w:ascii="宋体" w:hAnsi="宋体" w:eastAsia="宋体" w:cs="Times New Roman"/>
                <w:szCs w:val="21"/>
              </w:rPr>
              <w:sym w:font="Wingdings 2" w:char="F050"/>
            </w:r>
          </w:p>
        </w:tc>
        <w:tc>
          <w:tcPr>
            <w:tcW w:w="1615" w:type="dxa"/>
            <w:vAlign w:val="center"/>
          </w:tcPr>
          <w:p w14:paraId="66F0DE61">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39" w:type="dxa"/>
            <w:vAlign w:val="center"/>
          </w:tcPr>
          <w:p w14:paraId="41901045">
            <w:pPr>
              <w:jc w:val="center"/>
              <w:rPr>
                <w:rFonts w:hint="eastAsia" w:ascii="宋体" w:hAnsi="宋体" w:eastAsia="宋体" w:cs="Times New Roman"/>
                <w:szCs w:val="21"/>
              </w:rPr>
            </w:pPr>
            <w:r>
              <w:rPr>
                <w:rFonts w:hint="eastAsia" w:ascii="宋体" w:hAnsi="宋体" w:eastAsia="宋体" w:cs="Times New Roman"/>
                <w:szCs w:val="21"/>
              </w:rPr>
              <w:t>80</w:t>
            </w:r>
          </w:p>
        </w:tc>
      </w:tr>
      <w:tr w14:paraId="116E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14:paraId="2AF32715">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615" w:type="dxa"/>
            <w:vAlign w:val="center"/>
          </w:tcPr>
          <w:p w14:paraId="4D2F1C75">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2363877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3C50238A">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39" w:type="dxa"/>
            <w:vAlign w:val="center"/>
          </w:tcPr>
          <w:p w14:paraId="69703A06">
            <w:pPr>
              <w:jc w:val="center"/>
              <w:rPr>
                <w:rFonts w:hint="eastAsia" w:ascii="宋体" w:hAnsi="宋体" w:eastAsia="宋体" w:cs="Times New Roman"/>
                <w:szCs w:val="21"/>
              </w:rPr>
            </w:pPr>
            <w:r>
              <w:rPr>
                <w:rFonts w:hint="eastAsia" w:ascii="宋体" w:hAnsi="宋体" w:eastAsia="宋体" w:cs="Times New Roman"/>
                <w:szCs w:val="21"/>
              </w:rPr>
              <w:t>20</w:t>
            </w:r>
          </w:p>
        </w:tc>
      </w:tr>
      <w:tr w14:paraId="2709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14:paraId="68138698">
            <w:pPr>
              <w:jc w:val="center"/>
              <w:rPr>
                <w:rFonts w:hint="eastAsia" w:ascii="宋体" w:hAnsi="宋体" w:eastAsia="宋体" w:cs="Times New Roman"/>
                <w:szCs w:val="21"/>
              </w:rPr>
            </w:pPr>
            <w:r>
              <w:rPr>
                <w:rFonts w:hint="eastAsia" w:ascii="宋体" w:hAnsi="宋体" w:eastAsia="宋体" w:cs="Times New Roman"/>
                <w:szCs w:val="21"/>
              </w:rPr>
              <w:t>合计</w:t>
            </w:r>
          </w:p>
        </w:tc>
        <w:tc>
          <w:tcPr>
            <w:tcW w:w="1615" w:type="dxa"/>
            <w:vAlign w:val="center"/>
          </w:tcPr>
          <w:p w14:paraId="501F5115">
            <w:pPr>
              <w:jc w:val="center"/>
              <w:rPr>
                <w:rFonts w:hint="eastAsia" w:ascii="宋体" w:hAnsi="宋体" w:eastAsia="宋体" w:cs="Times New Roman"/>
                <w:szCs w:val="21"/>
              </w:rPr>
            </w:pPr>
          </w:p>
        </w:tc>
        <w:tc>
          <w:tcPr>
            <w:tcW w:w="1615" w:type="dxa"/>
            <w:vAlign w:val="center"/>
          </w:tcPr>
          <w:p w14:paraId="5C7660A1">
            <w:pPr>
              <w:jc w:val="center"/>
              <w:rPr>
                <w:rFonts w:hint="eastAsia" w:ascii="宋体" w:hAnsi="宋体" w:eastAsia="宋体" w:cs="Times New Roman"/>
                <w:szCs w:val="21"/>
              </w:rPr>
            </w:pPr>
          </w:p>
        </w:tc>
        <w:tc>
          <w:tcPr>
            <w:tcW w:w="1615" w:type="dxa"/>
            <w:vAlign w:val="center"/>
          </w:tcPr>
          <w:p w14:paraId="4465DDB3">
            <w:pPr>
              <w:jc w:val="center"/>
              <w:rPr>
                <w:rFonts w:hint="eastAsia" w:ascii="宋体" w:hAnsi="宋体" w:eastAsia="宋体" w:cs="Times New Roman"/>
                <w:szCs w:val="21"/>
              </w:rPr>
            </w:pPr>
          </w:p>
        </w:tc>
        <w:tc>
          <w:tcPr>
            <w:tcW w:w="1739" w:type="dxa"/>
            <w:vAlign w:val="center"/>
          </w:tcPr>
          <w:p w14:paraId="12F6F45F">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3662385E">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11934E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p w14:paraId="6F0E878F">
      <w:pPr>
        <w:jc w:val="center"/>
        <w:rPr>
          <w:rFonts w:ascii="Times New Roman" w:hAnsi="Times New Roman" w:eastAsia="宋体" w:cs="Times New Roman"/>
          <w:b/>
          <w:bCs/>
          <w:szCs w:val="21"/>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14D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73617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46F47C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C21A1E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FDB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47B6024">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C24030A">
            <w:pPr>
              <w:jc w:val="left"/>
              <w:rPr>
                <w:rFonts w:ascii="Times New Roman" w:hAnsi="Times New Roman" w:eastAsia="宋体" w:cs="Times New Roman"/>
                <w:szCs w:val="21"/>
              </w:rPr>
            </w:pPr>
            <w:r>
              <w:rPr>
                <w:rFonts w:hint="eastAsia" w:ascii="Times New Roman" w:hAnsi="Times New Roman" w:eastAsia="宋体" w:cs="Times New Roman"/>
                <w:szCs w:val="21"/>
              </w:rPr>
              <w:t>平时作业共3次。三次小论文，评价依据为论文的规范性、逻辑性、创新性及整洁性；一次教学设计，评价依据如下：（1）‌教学目标：明确性：目标清晰、具体，便于操作；恰当性：符合大纲、学科特点和学生实际；全面性：体现知识、能力、思想等多个方面。（2）‌教学内容‌：逻辑性：内容系统、有条理，逻辑性强；针对性：突出重点、难点，抓住关键。（3）‌教学方法‌：多样性：灵活运用多种教学方法，提高教学效果；创新性：鼓励创新思维和实践能力的培养。（4）‌教学程序‌：合理性：教学环节设计合理，过渡自然；</w:t>
            </w:r>
          </w:p>
          <w:p w14:paraId="0C959F28">
            <w:pPr>
              <w:jc w:val="left"/>
              <w:rPr>
                <w:rFonts w:ascii="Times New Roman" w:hAnsi="Times New Roman" w:eastAsia="宋体" w:cs="Times New Roman"/>
                <w:szCs w:val="21"/>
              </w:rPr>
            </w:pPr>
            <w:r>
              <w:rPr>
                <w:rFonts w:hint="eastAsia" w:ascii="Times New Roman" w:hAnsi="Times New Roman" w:eastAsia="宋体" w:cs="Times New Roman"/>
                <w:szCs w:val="21"/>
              </w:rPr>
              <w:t>主体性：体现学生的主体地位，鼓励学生主动参与。（5）‌教学手段‌：现代性：恰当运用现代教学手段，提高教学效率。（6）‌教学评价‌：有效性：能够有效评价学生的学习成果，提供反馈。（7）‌教学效果‌：达成度：教学目标达成，教学效果显著‌。</w:t>
            </w:r>
          </w:p>
        </w:tc>
        <w:tc>
          <w:tcPr>
            <w:tcW w:w="0" w:type="auto"/>
            <w:vAlign w:val="center"/>
          </w:tcPr>
          <w:p w14:paraId="63077335">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3EB7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7F5F812">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523A8FC6">
            <w:pPr>
              <w:widowControl/>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2BAA727A">
            <w:pPr>
              <w:widowControl/>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44F67A1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922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302E6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3717F89">
            <w:pPr>
              <w:jc w:val="left"/>
              <w:rPr>
                <w:rFonts w:ascii="Times New Roman" w:hAnsi="Times New Roman" w:eastAsia="宋体" w:cs="Times New Roman"/>
                <w:szCs w:val="21"/>
              </w:rPr>
            </w:pPr>
            <w:r>
              <w:rPr>
                <w:rFonts w:hint="eastAsia" w:ascii="Times New Roman" w:hAnsi="Times New Roman" w:eastAsia="宋体" w:cs="Times New Roman"/>
                <w:szCs w:val="21"/>
              </w:rPr>
              <w:t>试卷题型包括选择题、填空题、简答题、判断题、材料分析题、论述题和教学设计等，以卷面成绩的60%计入课程总成绩。其中考核教育心理学基本理论型题目占40%，考核学生运用基本理论知识进行案例分析能力型题目占30%；考核学生教学设计与评价能力型题目占30%。</w:t>
            </w:r>
          </w:p>
        </w:tc>
        <w:tc>
          <w:tcPr>
            <w:tcW w:w="0" w:type="auto"/>
            <w:vAlign w:val="center"/>
          </w:tcPr>
          <w:p w14:paraId="54367B3E">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4150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88C230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1328894E">
            <w:pPr>
              <w:jc w:val="left"/>
              <w:rPr>
                <w:rFonts w:ascii="Times New Roman" w:hAnsi="Times New Roman" w:eastAsia="宋体" w:cs="Times New Roman"/>
                <w:szCs w:val="21"/>
              </w:rPr>
            </w:pPr>
          </w:p>
        </w:tc>
        <w:tc>
          <w:tcPr>
            <w:tcW w:w="0" w:type="auto"/>
            <w:vAlign w:val="center"/>
          </w:tcPr>
          <w:p w14:paraId="15282CF0">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CCEE82C">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38ADC2D1">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7D1795CD">
      <w:pPr>
        <w:spacing w:line="360" w:lineRule="auto"/>
        <w:jc w:val="left"/>
        <w:rPr>
          <w:rFonts w:hint="eastAsia" w:ascii="宋体" w:hAnsi="宋体" w:eastAsia="宋体" w:cs="Times New Roman"/>
          <w:szCs w:val="21"/>
        </w:rPr>
      </w:pPr>
      <w:r>
        <w:rPr>
          <w:rFonts w:ascii="宋体" w:hAnsi="宋体" w:eastAsia="宋体" w:cs="Times New Roman"/>
          <w:szCs w:val="21"/>
        </w:rPr>
        <w:object>
          <v:shape id="_x0000_i1043" o:spt="75" type="#_x0000_t75" style="height:24.8pt;width:404.45pt;" o:ole="t" filled="f" o:preferrelative="t" stroked="f" coordsize="21600,21600">
            <v:path/>
            <v:fill on="f" focussize="0,0"/>
            <v:stroke on="f" joinstyle="miter"/>
            <v:imagedata r:id="rId12" o:title=""/>
            <o:lock v:ext="edit" aspectratio="t"/>
            <w10:wrap type="none"/>
            <w10:anchorlock/>
          </v:shape>
          <o:OLEObject Type="Embed" ProgID="Equation.3" ShapeID="_x0000_i1043" DrawAspect="Content" ObjectID="_1468075743" r:id="rId31">
            <o:LockedField>false</o:LockedField>
          </o:OLEObject>
        </w:object>
      </w:r>
    </w:p>
    <w:p w14:paraId="0CDADD6D">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五、有关说明</w:t>
      </w:r>
    </w:p>
    <w:p w14:paraId="436D4D21">
      <w:pPr>
        <w:spacing w:line="336"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334BD1C">
      <w:pPr>
        <w:spacing w:line="336"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2947B802">
      <w:pPr>
        <w:spacing w:line="336"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F6B0097">
      <w:pPr>
        <w:spacing w:line="336"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陈琦，刘儒德主编.教育心理学（第3版）.北京：高等教育出版社，2020.</w:t>
      </w:r>
    </w:p>
    <w:p w14:paraId="07026EDC">
      <w:pPr>
        <w:spacing w:line="336"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0363A4C6">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1.卢家楣主编.学习心理与教学:理论和实践(第3版). 上海：上海教育出版社，2016.</w:t>
      </w:r>
    </w:p>
    <w:p w14:paraId="20B4F1E9">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2.[美]伍尔福克（Woolfolk,A.）著，陈红兵，张春莉等译.教育心理学（第14版）.上海：华东师范大学出版社，2022.</w:t>
      </w:r>
    </w:p>
    <w:p w14:paraId="58B1310A">
      <w:pPr>
        <w:spacing w:line="336" w:lineRule="auto"/>
        <w:ind w:firstLine="420" w:firstLineChars="200"/>
        <w:rPr>
          <w:rFonts w:eastAsia="宋体"/>
          <w:szCs w:val="22"/>
        </w:rPr>
      </w:pPr>
      <w:r>
        <w:rPr>
          <w:rFonts w:hint="eastAsia" w:ascii="Times New Roman" w:hAnsi="Times New Roman" w:eastAsia="宋体" w:cs="Times New Roman"/>
          <w:bCs/>
          <w:szCs w:val="21"/>
        </w:rPr>
        <w:t>3.[美]斯莱文（Slavin,R.）著，刘红瑞，姚梅林等译.教育心理学：理论与实践（第12版）.北京：人民邮电出版社，2024.</w:t>
      </w:r>
    </w:p>
    <w:p w14:paraId="20B32BB8">
      <w:pPr>
        <w:autoSpaceDE w:val="0"/>
        <w:autoSpaceDN w:val="0"/>
        <w:adjustRightInd w:val="0"/>
        <w:spacing w:line="360" w:lineRule="auto"/>
        <w:ind w:firstLine="4620" w:firstLineChars="2200"/>
        <w:jc w:val="right"/>
        <w:rPr>
          <w:rFonts w:hint="eastAsia" w:ascii="宋体" w:hAnsi="宋体" w:eastAsia="宋体" w:cs="Times New Roman"/>
          <w:kern w:val="0"/>
          <w:szCs w:val="21"/>
        </w:rPr>
      </w:pPr>
      <w:r>
        <w:rPr>
          <w:rFonts w:ascii="宋体" w:hAnsi="宋体" w:eastAsia="宋体" w:cs="Times New Roman"/>
          <w:kern w:val="0"/>
          <w:szCs w:val="21"/>
        </w:rPr>
        <w:t>执笔人：</w:t>
      </w:r>
      <w:r>
        <w:rPr>
          <w:rFonts w:hint="eastAsia" w:ascii="宋体" w:hAnsi="宋体" w:eastAsia="宋体" w:cs="Times New Roman"/>
          <w:kern w:val="0"/>
          <w:szCs w:val="21"/>
        </w:rPr>
        <w:t>巫文胜</w:t>
      </w:r>
    </w:p>
    <w:p w14:paraId="14A0F894">
      <w:pPr>
        <w:autoSpaceDE w:val="0"/>
        <w:autoSpaceDN w:val="0"/>
        <w:adjustRightInd w:val="0"/>
        <w:spacing w:line="360" w:lineRule="auto"/>
        <w:ind w:firstLine="4620" w:firstLineChars="2200"/>
        <w:jc w:val="right"/>
        <w:rPr>
          <w:rFonts w:hint="eastAsia" w:ascii="宋体" w:hAnsi="宋体" w:eastAsia="宋体" w:cs="Times New Roman"/>
          <w:kern w:val="0"/>
          <w:szCs w:val="21"/>
        </w:rPr>
      </w:pPr>
      <w:r>
        <w:rPr>
          <w:rFonts w:ascii="宋体" w:hAnsi="宋体" w:eastAsia="宋体" w:cs="Times New Roman"/>
          <w:kern w:val="0"/>
          <w:szCs w:val="21"/>
        </w:rPr>
        <w:t>审定人：</w:t>
      </w:r>
      <w:r>
        <w:rPr>
          <w:rFonts w:hint="eastAsia" w:ascii="宋体" w:hAnsi="宋体" w:eastAsia="宋体" w:cs="Times New Roman"/>
          <w:kern w:val="0"/>
          <w:szCs w:val="21"/>
        </w:rPr>
        <w:t>王  健</w:t>
      </w:r>
      <w:r>
        <w:rPr>
          <w:rFonts w:ascii="宋体" w:hAnsi="宋体" w:eastAsia="宋体" w:cs="Times New Roman"/>
          <w:kern w:val="0"/>
          <w:szCs w:val="21"/>
        </w:rPr>
        <w:t xml:space="preserve"> </w:t>
      </w:r>
    </w:p>
    <w:p w14:paraId="7E6D0B38">
      <w:pPr>
        <w:autoSpaceDE w:val="0"/>
        <w:autoSpaceDN w:val="0"/>
        <w:adjustRightInd w:val="0"/>
        <w:spacing w:line="360" w:lineRule="auto"/>
        <w:ind w:firstLine="4620" w:firstLineChars="2200"/>
        <w:jc w:val="right"/>
        <w:rPr>
          <w:rFonts w:hint="eastAsia" w:ascii="宋体" w:hAnsi="宋体" w:eastAsia="宋体" w:cs="Times New Roman"/>
          <w:kern w:val="0"/>
          <w:szCs w:val="21"/>
        </w:rPr>
      </w:pPr>
      <w:r>
        <w:rPr>
          <w:rFonts w:hint="eastAsia" w:ascii="宋体" w:hAnsi="宋体" w:eastAsia="宋体" w:cs="Times New Roman"/>
          <w:kern w:val="0"/>
          <w:szCs w:val="21"/>
        </w:rPr>
        <w:t>审批</w:t>
      </w:r>
      <w:r>
        <w:rPr>
          <w:rFonts w:ascii="宋体" w:hAnsi="宋体" w:eastAsia="宋体" w:cs="Times New Roman"/>
          <w:kern w:val="0"/>
          <w:szCs w:val="21"/>
        </w:rPr>
        <w:t>人：</w:t>
      </w:r>
      <w:r>
        <w:rPr>
          <w:rFonts w:hint="eastAsia" w:ascii="宋体" w:hAnsi="宋体" w:eastAsia="宋体" w:cs="Times New Roman"/>
          <w:kern w:val="0"/>
          <w:szCs w:val="21"/>
        </w:rPr>
        <w:t>张志欣</w:t>
      </w:r>
    </w:p>
    <w:p w14:paraId="38547228">
      <w:pPr>
        <w:autoSpaceDE w:val="0"/>
        <w:autoSpaceDN w:val="0"/>
        <w:adjustRightInd w:val="0"/>
        <w:spacing w:line="360" w:lineRule="auto"/>
        <w:ind w:firstLine="4620" w:firstLineChars="2200"/>
        <w:jc w:val="right"/>
        <w:rPr>
          <w:szCs w:val="21"/>
        </w:rPr>
      </w:pPr>
      <w:r>
        <w:rPr>
          <w:rFonts w:hint="eastAsia" w:ascii="宋体" w:hAnsi="宋体" w:eastAsia="宋体" w:cs="Times New Roman"/>
          <w:kern w:val="0"/>
          <w:szCs w:val="21"/>
        </w:rPr>
        <w:t>批准时间：2025年7月1日</w:t>
      </w:r>
    </w:p>
    <w:p w14:paraId="1AAC4A77">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5EB17A37">
      <w:pPr>
        <w:spacing w:line="360" w:lineRule="auto"/>
        <w:jc w:val="center"/>
        <w:outlineLvl w:val="0"/>
        <w:rPr>
          <w:rFonts w:ascii="Times New Roman" w:hAnsi="Times New Roman" w:eastAsia="宋体" w:cs="Times New Roman"/>
          <w:b/>
          <w:sz w:val="44"/>
          <w:szCs w:val="44"/>
        </w:rPr>
      </w:pPr>
      <w:bookmarkStart w:id="648" w:name="_Toc18612"/>
      <w:bookmarkStart w:id="649" w:name="_Toc1245"/>
      <w:bookmarkStart w:id="650" w:name="_Toc23781"/>
      <w:bookmarkStart w:id="651" w:name="_Toc15515"/>
      <w:r>
        <w:rPr>
          <w:rFonts w:hint="eastAsia" w:ascii="Times New Roman" w:hAnsi="Times New Roman" w:eastAsia="宋体" w:cs="Times New Roman"/>
          <w:b/>
          <w:sz w:val="44"/>
          <w:szCs w:val="44"/>
        </w:rPr>
        <w:t>《现代教育技术》课程教学大纲</w:t>
      </w:r>
      <w:bookmarkEnd w:id="648"/>
      <w:bookmarkEnd w:id="649"/>
      <w:bookmarkEnd w:id="650"/>
      <w:bookmarkEnd w:id="651"/>
    </w:p>
    <w:p w14:paraId="59AA78A7">
      <w:pPr>
        <w:spacing w:line="360" w:lineRule="auto"/>
        <w:jc w:val="center"/>
        <w:rPr>
          <w:rFonts w:ascii="Times New Roman" w:hAnsi="Times New Roman" w:eastAsia="宋体" w:cs="Times New Roman"/>
          <w:b/>
          <w:bCs/>
          <w:sz w:val="28"/>
          <w:szCs w:val="28"/>
        </w:rPr>
      </w:pPr>
      <w:bookmarkStart w:id="652" w:name="_Toc22294"/>
      <w:bookmarkStart w:id="653" w:name="_Toc17977"/>
      <w:bookmarkStart w:id="654" w:name="_Toc19139"/>
      <w:bookmarkStart w:id="655" w:name="_Toc17236"/>
      <w:bookmarkStart w:id="656" w:name="_Toc26242"/>
      <w:bookmarkStart w:id="657" w:name="_Toc14796"/>
      <w:bookmarkStart w:id="658" w:name="_Toc29976"/>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Modern Educational Technology</w:t>
      </w:r>
      <w:r>
        <w:rPr>
          <w:rFonts w:hint="eastAsia" w:ascii="Times New Roman" w:hAnsi="Times New Roman" w:eastAsia="宋体" w:cs="Times New Roman"/>
          <w:b/>
          <w:bCs/>
          <w:sz w:val="28"/>
          <w:szCs w:val="28"/>
        </w:rPr>
        <w:t>）</w:t>
      </w:r>
      <w:bookmarkEnd w:id="652"/>
      <w:bookmarkEnd w:id="653"/>
      <w:bookmarkEnd w:id="654"/>
      <w:bookmarkEnd w:id="655"/>
      <w:bookmarkEnd w:id="656"/>
      <w:bookmarkEnd w:id="657"/>
      <w:bookmarkEnd w:id="658"/>
    </w:p>
    <w:p w14:paraId="7BE3955A">
      <w:pPr>
        <w:spacing w:line="360" w:lineRule="auto"/>
        <w:ind w:firstLine="422" w:firstLineChars="200"/>
        <w:rPr>
          <w:rFonts w:hint="eastAsia" w:ascii="宋体" w:hAnsi="宋体" w:eastAsia="宋体" w:cs="宋体"/>
          <w:b/>
          <w:bCs/>
        </w:rPr>
      </w:pPr>
    </w:p>
    <w:p w14:paraId="64E5931B">
      <w:pPr>
        <w:spacing w:line="360" w:lineRule="auto"/>
        <w:ind w:firstLine="482" w:firstLineChars="200"/>
        <w:rPr>
          <w:rFonts w:ascii="Times New Roman" w:hAnsi="Times New Roman" w:eastAsia="宋体" w:cs="Times New Roman"/>
          <w:b/>
          <w:bCs/>
          <w:sz w:val="24"/>
          <w:szCs w:val="32"/>
        </w:rPr>
      </w:pPr>
      <w:r>
        <w:rPr>
          <w:rFonts w:ascii="Times New Roman" w:hAnsi="Times New Roman" w:eastAsia="宋体" w:cs="Times New Roman"/>
          <w:b/>
          <w:bCs/>
          <w:sz w:val="24"/>
          <w:szCs w:val="32"/>
        </w:rPr>
        <w:t>课程名称：现代教育技术</w:t>
      </w:r>
    </w:p>
    <w:p w14:paraId="564964EC">
      <w:pPr>
        <w:spacing w:line="360" w:lineRule="auto"/>
        <w:ind w:firstLine="482" w:firstLineChars="200"/>
        <w:rPr>
          <w:rFonts w:ascii="Times New Roman" w:hAnsi="Times New Roman" w:eastAsia="宋体" w:cs="Times New Roman"/>
          <w:b/>
          <w:bCs/>
          <w:sz w:val="24"/>
          <w:szCs w:val="32"/>
        </w:rPr>
      </w:pPr>
      <w:r>
        <w:rPr>
          <w:rFonts w:ascii="Times New Roman" w:hAnsi="Times New Roman" w:eastAsia="宋体" w:cs="Times New Roman"/>
          <w:b/>
          <w:bCs/>
          <w:sz w:val="24"/>
          <w:szCs w:val="32"/>
        </w:rPr>
        <w:t>课程代码：2401054</w:t>
      </w:r>
    </w:p>
    <w:p w14:paraId="58B1A413">
      <w:pPr>
        <w:spacing w:line="360" w:lineRule="auto"/>
        <w:ind w:firstLine="482" w:firstLineChars="200"/>
        <w:rPr>
          <w:rFonts w:ascii="Times New Roman" w:hAnsi="Times New Roman" w:eastAsia="宋体" w:cs="Times New Roman"/>
          <w:b/>
          <w:bCs/>
          <w:sz w:val="24"/>
          <w:szCs w:val="32"/>
        </w:rPr>
      </w:pPr>
      <w:r>
        <w:rPr>
          <w:rFonts w:ascii="Times New Roman" w:hAnsi="Times New Roman" w:eastAsia="宋体" w:cs="Times New Roman"/>
          <w:b/>
          <w:bCs/>
          <w:sz w:val="24"/>
          <w:szCs w:val="32"/>
        </w:rPr>
        <w:t>学    分：2</w:t>
      </w:r>
    </w:p>
    <w:p w14:paraId="31F04DC9">
      <w:pPr>
        <w:spacing w:line="360" w:lineRule="auto"/>
        <w:ind w:firstLine="482" w:firstLineChars="200"/>
        <w:rPr>
          <w:rFonts w:ascii="Times New Roman" w:hAnsi="Times New Roman" w:eastAsia="宋体" w:cs="Times New Roman"/>
          <w:b/>
          <w:bCs/>
          <w:sz w:val="24"/>
          <w:szCs w:val="32"/>
        </w:rPr>
      </w:pPr>
      <w:r>
        <w:rPr>
          <w:rFonts w:ascii="Times New Roman" w:hAnsi="Times New Roman" w:eastAsia="宋体" w:cs="Times New Roman"/>
          <w:b/>
          <w:bCs/>
          <w:sz w:val="24"/>
          <w:szCs w:val="32"/>
        </w:rPr>
        <w:t>学    时：32 （其中：讲授学时16， 课内实践学时16）</w:t>
      </w:r>
    </w:p>
    <w:p w14:paraId="6AE4EC89">
      <w:pPr>
        <w:spacing w:line="360" w:lineRule="auto"/>
        <w:ind w:firstLine="482" w:firstLineChars="200"/>
        <w:rPr>
          <w:rFonts w:ascii="Times New Roman" w:hAnsi="Times New Roman" w:eastAsia="宋体" w:cs="Times New Roman"/>
          <w:b/>
          <w:bCs/>
          <w:sz w:val="24"/>
          <w:szCs w:val="32"/>
        </w:rPr>
      </w:pPr>
      <w:r>
        <w:rPr>
          <w:rFonts w:ascii="Times New Roman" w:hAnsi="Times New Roman" w:eastAsia="宋体" w:cs="Times New Roman"/>
          <w:b/>
          <w:bCs/>
          <w:sz w:val="24"/>
          <w:szCs w:val="32"/>
        </w:rPr>
        <w:t>先修课程：教育原理、小学心理学、教育心理学、教育科学研究方法、教师职业道德小学班队管理、课程与教学论</w:t>
      </w:r>
    </w:p>
    <w:p w14:paraId="6B533FC6">
      <w:pPr>
        <w:spacing w:line="360" w:lineRule="auto"/>
        <w:ind w:firstLine="482" w:firstLineChars="200"/>
        <w:rPr>
          <w:rFonts w:hint="eastAsia" w:ascii="宋体" w:hAnsi="宋体" w:eastAsia="宋体" w:cs="宋体"/>
        </w:rPr>
      </w:pPr>
      <w:r>
        <w:rPr>
          <w:rFonts w:ascii="Times New Roman" w:hAnsi="Times New Roman" w:eastAsia="宋体" w:cs="Times New Roman"/>
          <w:b/>
          <w:bCs/>
          <w:sz w:val="24"/>
          <w:szCs w:val="32"/>
        </w:rPr>
        <w:t xml:space="preserve">适用专业：小学教育           </w:t>
      </w:r>
      <w:r>
        <w:rPr>
          <w:rFonts w:ascii="Times New Roman" w:hAnsi="Times New Roman" w:eastAsia="宋体" w:cs="Times New Roman"/>
          <w:b/>
          <w:bCs/>
        </w:rPr>
        <w:t xml:space="preserve">          </w:t>
      </w:r>
      <w:r>
        <w:rPr>
          <w:rFonts w:hint="eastAsia" w:ascii="宋体" w:hAnsi="宋体" w:eastAsia="宋体" w:cs="宋体"/>
        </w:rPr>
        <w:t xml:space="preserve">    </w:t>
      </w:r>
    </w:p>
    <w:p w14:paraId="73C28071">
      <w:pPr>
        <w:spacing w:before="62" w:beforeLines="20" w:after="62" w:afterLines="20" w:line="360" w:lineRule="auto"/>
        <w:rPr>
          <w:rFonts w:hint="eastAsia" w:ascii="宋体" w:hAnsi="宋体" w:eastAsia="宋体" w:cs="宋体"/>
          <w:b/>
          <w:bCs/>
          <w:sz w:val="24"/>
          <w:szCs w:val="32"/>
        </w:rPr>
      </w:pPr>
      <w:r>
        <w:rPr>
          <w:rFonts w:hint="eastAsia" w:ascii="宋体" w:hAnsi="宋体" w:eastAsia="宋体" w:cs="宋体"/>
          <w:b/>
          <w:bCs/>
          <w:sz w:val="24"/>
          <w:szCs w:val="32"/>
        </w:rPr>
        <w:t>一、课程概况</w:t>
      </w:r>
    </w:p>
    <w:p w14:paraId="07C67673">
      <w:pPr>
        <w:spacing w:line="360" w:lineRule="auto"/>
        <w:ind w:firstLine="420" w:firstLineChars="200"/>
        <w:rPr>
          <w:rFonts w:hint="eastAsia" w:ascii="宋体" w:hAnsi="宋体" w:eastAsia="宋体" w:cs="宋体"/>
        </w:rPr>
      </w:pPr>
      <w:r>
        <w:rPr>
          <w:rFonts w:hint="eastAsia" w:ascii="宋体" w:hAnsi="宋体" w:eastAsia="宋体" w:cs="宋体"/>
        </w:rPr>
        <w:t>本课程是小学教育（理）专业的一门专业基础必修课程。通过本课程学习，使学生理解教育技术基本理论；掌握教学设计的方法并具备进行教学过程的设计、实施和评价的能力；熟悉各种常用教学媒体的操作、数字化教学资源的开发和利用，从而能够运用教育技术优化专业课程的教与学，推动教育教学改革并促进专业发展和个人发展，为后续小学数学课程标准与教材分析、小学数学教学设计与实施等课程及教育实习环节奠定基础。</w:t>
      </w:r>
    </w:p>
    <w:p w14:paraId="63BAD5F1">
      <w:pPr>
        <w:spacing w:before="62" w:beforeLines="20" w:after="62" w:afterLines="20" w:line="360" w:lineRule="auto"/>
        <w:rPr>
          <w:rFonts w:hint="eastAsia" w:ascii="宋体" w:hAnsi="宋体" w:eastAsia="宋体" w:cs="宋体"/>
          <w:b/>
          <w:bCs/>
          <w:sz w:val="24"/>
          <w:szCs w:val="32"/>
        </w:rPr>
      </w:pPr>
      <w:r>
        <w:rPr>
          <w:rFonts w:hint="eastAsia" w:ascii="宋体" w:hAnsi="宋体" w:eastAsia="宋体" w:cs="宋体"/>
          <w:b/>
          <w:bCs/>
          <w:sz w:val="24"/>
          <w:szCs w:val="32"/>
        </w:rPr>
        <w:t>二、课程目标</w:t>
      </w:r>
    </w:p>
    <w:p w14:paraId="11AE7949">
      <w:pPr>
        <w:spacing w:line="360" w:lineRule="auto"/>
        <w:ind w:firstLine="422" w:firstLineChars="200"/>
        <w:rPr>
          <w:rFonts w:hint="eastAsia" w:ascii="宋体" w:hAnsi="宋体" w:eastAsia="宋体" w:cs="宋体"/>
          <w:b/>
          <w:bCs/>
        </w:rPr>
      </w:pPr>
      <w:r>
        <w:rPr>
          <w:rFonts w:hint="eastAsia" w:ascii="宋体" w:hAnsi="宋体" w:eastAsia="宋体" w:cs="宋体"/>
          <w:b/>
          <w:bCs/>
        </w:rPr>
        <w:t>（一）课程具体目标</w:t>
      </w:r>
    </w:p>
    <w:p w14:paraId="6D6FAD39">
      <w:pPr>
        <w:spacing w:line="360" w:lineRule="auto"/>
        <w:ind w:firstLine="420" w:firstLineChars="200"/>
        <w:rPr>
          <w:rFonts w:hint="eastAsia" w:ascii="宋体" w:hAnsi="宋体" w:eastAsia="宋体" w:cs="宋体"/>
        </w:rPr>
      </w:pPr>
      <w:r>
        <w:rPr>
          <w:rFonts w:hint="eastAsia" w:ascii="宋体" w:hAnsi="宋体" w:eastAsia="宋体" w:cs="宋体"/>
        </w:rPr>
        <w:t>目标1. 阐释教育技术的概念、作用与理论基础；形成教育技术相关理论的认知框架；了解信息时代教师应具备的素质能力要求。</w:t>
      </w:r>
    </w:p>
    <w:p w14:paraId="70555D63">
      <w:pPr>
        <w:spacing w:line="360" w:lineRule="auto"/>
        <w:ind w:firstLine="420" w:firstLineChars="200"/>
        <w:rPr>
          <w:rFonts w:hint="eastAsia" w:ascii="宋体" w:hAnsi="宋体" w:eastAsia="宋体" w:cs="宋体"/>
        </w:rPr>
      </w:pPr>
      <w:r>
        <w:rPr>
          <w:rFonts w:hint="eastAsia" w:ascii="宋体" w:hAnsi="宋体" w:eastAsia="宋体" w:cs="宋体"/>
        </w:rPr>
        <w:t>目标2. 将教育理论与信息技术相结合，对信息化教学资源进行设计与开发；运用信息化教学模式与方法进行课程的设计并组织教学。</w:t>
      </w:r>
    </w:p>
    <w:p w14:paraId="15EC9E92">
      <w:pPr>
        <w:spacing w:line="360" w:lineRule="auto"/>
        <w:ind w:firstLine="420" w:firstLineChars="200"/>
        <w:rPr>
          <w:rFonts w:hint="eastAsia" w:ascii="宋体" w:hAnsi="宋体" w:eastAsia="宋体" w:cs="宋体"/>
        </w:rPr>
      </w:pPr>
      <w:r>
        <w:rPr>
          <w:rFonts w:hint="eastAsia" w:ascii="宋体" w:hAnsi="宋体" w:eastAsia="宋体" w:cs="宋体"/>
        </w:rPr>
        <w:t>目标3. 掌握多种教学媒体的基本原理和使用方法。并掌握数字化资源的采集、加工与利用方法，能够进行数字化教学资源的设计与制作。</w:t>
      </w:r>
    </w:p>
    <w:p w14:paraId="318C0767">
      <w:pPr>
        <w:spacing w:line="360" w:lineRule="auto"/>
        <w:ind w:firstLine="422" w:firstLineChars="200"/>
        <w:rPr>
          <w:rFonts w:hint="eastAsia" w:ascii="宋体" w:hAnsi="宋体" w:eastAsia="宋体" w:cs="宋体"/>
        </w:rPr>
      </w:pPr>
      <w:r>
        <w:rPr>
          <w:rFonts w:hint="eastAsia" w:ascii="宋体" w:hAnsi="宋体" w:eastAsia="宋体" w:cs="宋体"/>
          <w:b/>
          <w:bCs/>
        </w:rPr>
        <w:t>（二）课程目标与专业毕业要求的关系</w:t>
      </w:r>
    </w:p>
    <w:tbl>
      <w:tblPr>
        <w:tblStyle w:val="11"/>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5250"/>
        <w:gridCol w:w="1748"/>
      </w:tblGrid>
      <w:tr w14:paraId="4BF7A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950" w:type="dxa"/>
            <w:vAlign w:val="center"/>
          </w:tcPr>
          <w:p w14:paraId="6404D561">
            <w:pPr>
              <w:jc w:val="center"/>
              <w:rPr>
                <w:rFonts w:ascii="Times New Roman" w:hAnsi="Times New Roman" w:cs="Times New Roman"/>
                <w:b/>
                <w:bCs/>
              </w:rPr>
            </w:pPr>
            <w:r>
              <w:rPr>
                <w:rFonts w:ascii="Times New Roman" w:hAnsi="Times New Roman" w:cs="Times New Roman"/>
                <w:b/>
                <w:bCs/>
              </w:rPr>
              <w:t>支撑的毕业要求</w:t>
            </w:r>
          </w:p>
        </w:tc>
        <w:tc>
          <w:tcPr>
            <w:tcW w:w="5250" w:type="dxa"/>
            <w:vAlign w:val="center"/>
          </w:tcPr>
          <w:p w14:paraId="287AD7B6">
            <w:pPr>
              <w:rPr>
                <w:rFonts w:ascii="Times New Roman" w:hAnsi="Times New Roman" w:cs="Times New Roman"/>
              </w:rPr>
            </w:pPr>
            <w:r>
              <w:rPr>
                <w:rFonts w:ascii="Times New Roman" w:hAnsi="Times New Roman" w:cs="Times New Roman"/>
              </w:rPr>
              <w:t>支撑的毕业要求指标点</w:t>
            </w:r>
          </w:p>
        </w:tc>
        <w:tc>
          <w:tcPr>
            <w:tcW w:w="1748" w:type="dxa"/>
            <w:vAlign w:val="center"/>
          </w:tcPr>
          <w:p w14:paraId="0BB2230F">
            <w:pPr>
              <w:jc w:val="center"/>
            </w:pPr>
            <w:r>
              <w:rPr>
                <w:rFonts w:hint="eastAsia"/>
              </w:rPr>
              <w:t>课程目标</w:t>
            </w:r>
          </w:p>
        </w:tc>
      </w:tr>
      <w:tr w14:paraId="7FEC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950" w:type="dxa"/>
            <w:vAlign w:val="center"/>
          </w:tcPr>
          <w:p w14:paraId="7658C51D">
            <w:pPr>
              <w:jc w:val="center"/>
              <w:rPr>
                <w:rFonts w:ascii="Times New Roman" w:hAnsi="Times New Roman" w:cs="Times New Roman"/>
                <w:b/>
                <w:bCs/>
              </w:rPr>
            </w:pPr>
            <w:r>
              <w:rPr>
                <w:rFonts w:ascii="Times New Roman" w:hAnsi="Times New Roman" w:cs="Times New Roman"/>
                <w:b/>
                <w:bCs/>
              </w:rPr>
              <w:t>毕业要求4</w:t>
            </w:r>
          </w:p>
          <w:p w14:paraId="468ED9B4">
            <w:pPr>
              <w:jc w:val="center"/>
              <w:rPr>
                <w:rFonts w:ascii="Times New Roman" w:hAnsi="Times New Roman" w:cs="Times New Roman"/>
                <w:b/>
                <w:bCs/>
              </w:rPr>
            </w:pPr>
            <w:r>
              <w:rPr>
                <w:rFonts w:ascii="Times New Roman" w:hAnsi="Times New Roman" w:cs="Times New Roman"/>
                <w:b/>
                <w:bCs/>
              </w:rPr>
              <w:t>教学能力</w:t>
            </w:r>
          </w:p>
        </w:tc>
        <w:tc>
          <w:tcPr>
            <w:tcW w:w="5250" w:type="dxa"/>
            <w:vAlign w:val="center"/>
          </w:tcPr>
          <w:p w14:paraId="7142A514">
            <w:pPr>
              <w:rPr>
                <w:rFonts w:ascii="Times New Roman" w:hAnsi="Times New Roman" w:cs="Times New Roman"/>
              </w:rPr>
            </w:pPr>
            <w:r>
              <w:rPr>
                <w:rFonts w:hint="eastAsia" w:ascii="Times New Roman" w:hAnsi="Times New Roman" w:cs="Times New Roman"/>
                <w:b/>
              </w:rPr>
              <w:t>指标点4-3</w:t>
            </w:r>
            <w:r>
              <w:rPr>
                <w:rFonts w:ascii="Times New Roman" w:hAnsi="Times New Roman" w:cs="Times New Roman"/>
              </w:rPr>
              <w:t>：【教学实施与评价科学】掌握小学教师基本功技能，包括书写技能、沟通与表达技能、信息技术运用技能等。获得全面的小学教学体验，掌握学科教学的基本方法与策略，能独立进行教学实施和评价。</w:t>
            </w:r>
          </w:p>
        </w:tc>
        <w:tc>
          <w:tcPr>
            <w:tcW w:w="1748" w:type="dxa"/>
            <w:vAlign w:val="center"/>
          </w:tcPr>
          <w:p w14:paraId="24C3F68A">
            <w:pPr>
              <w:jc w:val="center"/>
            </w:pPr>
            <w:r>
              <w:rPr>
                <w:rFonts w:hint="eastAsia"/>
              </w:rPr>
              <w:t>课程目标1</w:t>
            </w:r>
          </w:p>
          <w:p w14:paraId="0CD5D2CB">
            <w:pPr>
              <w:jc w:val="center"/>
            </w:pPr>
            <w:r>
              <w:rPr>
                <w:rFonts w:hint="eastAsia"/>
              </w:rPr>
              <w:t>课程目标2</w:t>
            </w:r>
          </w:p>
          <w:p w14:paraId="0204743E">
            <w:pPr>
              <w:jc w:val="center"/>
            </w:pPr>
            <w:r>
              <w:rPr>
                <w:rFonts w:hint="eastAsia"/>
              </w:rPr>
              <w:t>课程目标3</w:t>
            </w:r>
          </w:p>
        </w:tc>
      </w:tr>
    </w:tbl>
    <w:p w14:paraId="1DF00D8F">
      <w:pPr>
        <w:spacing w:line="360" w:lineRule="auto"/>
        <w:ind w:firstLine="422" w:firstLineChars="200"/>
      </w:pPr>
      <w:r>
        <w:rPr>
          <w:rFonts w:hint="eastAsia"/>
          <w:b/>
          <w:bCs/>
        </w:rPr>
        <w:t>（三）课程思政目标</w:t>
      </w:r>
    </w:p>
    <w:p w14:paraId="1D44F69A">
      <w:pPr>
        <w:spacing w:line="360" w:lineRule="auto"/>
        <w:ind w:firstLine="420" w:firstLineChars="200"/>
      </w:pPr>
      <w:r>
        <w:rPr>
          <w:rFonts w:hint="eastAsia"/>
        </w:rPr>
        <w:t>在学习掌握现代教育技术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79B528A4">
      <w:pPr>
        <w:spacing w:before="62" w:beforeLines="20" w:after="62" w:afterLines="20" w:line="360" w:lineRule="auto"/>
        <w:rPr>
          <w:rFonts w:hint="eastAsia" w:ascii="宋体" w:hAnsi="宋体" w:eastAsia="宋体" w:cs="宋体"/>
          <w:b/>
          <w:bCs/>
          <w:sz w:val="24"/>
          <w:szCs w:val="32"/>
        </w:rPr>
      </w:pPr>
      <w:r>
        <w:rPr>
          <w:rFonts w:hint="eastAsia" w:ascii="宋体" w:hAnsi="宋体" w:eastAsia="宋体" w:cs="宋体"/>
          <w:b/>
          <w:bCs/>
          <w:sz w:val="24"/>
          <w:szCs w:val="32"/>
        </w:rPr>
        <w:t>三、教学内容与预期学习成效</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080"/>
        <w:gridCol w:w="1276"/>
        <w:gridCol w:w="2406"/>
        <w:gridCol w:w="1255"/>
        <w:gridCol w:w="601"/>
      </w:tblGrid>
      <w:tr w14:paraId="3A07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5E50C59">
            <w:pPr>
              <w:jc w:val="center"/>
            </w:pPr>
            <w:r>
              <w:rPr>
                <w:rFonts w:hint="eastAsia"/>
              </w:rPr>
              <w:t>知识</w:t>
            </w:r>
          </w:p>
          <w:p w14:paraId="2F17740C">
            <w:pPr>
              <w:jc w:val="center"/>
            </w:pPr>
            <w:r>
              <w:rPr>
                <w:rFonts w:hint="eastAsia"/>
              </w:rPr>
              <w:t>单元</w:t>
            </w:r>
          </w:p>
        </w:tc>
        <w:tc>
          <w:tcPr>
            <w:tcW w:w="2080" w:type="dxa"/>
            <w:vAlign w:val="center"/>
          </w:tcPr>
          <w:p w14:paraId="31CBAF4D">
            <w:pPr>
              <w:jc w:val="center"/>
            </w:pPr>
            <w:r>
              <w:rPr>
                <w:rFonts w:hint="eastAsia"/>
              </w:rPr>
              <w:t>知识点</w:t>
            </w:r>
          </w:p>
        </w:tc>
        <w:tc>
          <w:tcPr>
            <w:tcW w:w="1276" w:type="dxa"/>
            <w:vAlign w:val="center"/>
          </w:tcPr>
          <w:p w14:paraId="6E10E6A0">
            <w:pPr>
              <w:jc w:val="center"/>
            </w:pPr>
            <w:r>
              <w:rPr>
                <w:rFonts w:hint="eastAsia"/>
              </w:rPr>
              <w:t>对应</w:t>
            </w:r>
          </w:p>
          <w:p w14:paraId="196C772C">
            <w:pPr>
              <w:jc w:val="center"/>
            </w:pPr>
            <w:r>
              <w:rPr>
                <w:rFonts w:hint="eastAsia"/>
              </w:rPr>
              <w:t>课程目标</w:t>
            </w:r>
          </w:p>
        </w:tc>
        <w:tc>
          <w:tcPr>
            <w:tcW w:w="2406" w:type="dxa"/>
            <w:vAlign w:val="center"/>
          </w:tcPr>
          <w:p w14:paraId="71248DF3">
            <w:pPr>
              <w:jc w:val="center"/>
            </w:pPr>
            <w:r>
              <w:rPr>
                <w:rFonts w:hint="eastAsia"/>
              </w:rPr>
              <w:t>预期学习成效</w:t>
            </w:r>
          </w:p>
        </w:tc>
        <w:tc>
          <w:tcPr>
            <w:tcW w:w="1255" w:type="dxa"/>
            <w:vAlign w:val="center"/>
          </w:tcPr>
          <w:p w14:paraId="2266A19C">
            <w:pPr>
              <w:jc w:val="center"/>
            </w:pPr>
            <w:r>
              <w:rPr>
                <w:rFonts w:hint="eastAsia"/>
              </w:rPr>
              <w:t>实现环节</w:t>
            </w:r>
          </w:p>
        </w:tc>
        <w:tc>
          <w:tcPr>
            <w:tcW w:w="601" w:type="dxa"/>
            <w:vAlign w:val="center"/>
          </w:tcPr>
          <w:p w14:paraId="56529ABD">
            <w:pPr>
              <w:jc w:val="left"/>
            </w:pPr>
            <w:r>
              <w:rPr>
                <w:rFonts w:hint="eastAsia"/>
              </w:rPr>
              <w:t>学时</w:t>
            </w:r>
          </w:p>
        </w:tc>
      </w:tr>
      <w:tr w14:paraId="5448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3E6083B7">
            <w:r>
              <w:rPr>
                <w:rFonts w:hint="eastAsia"/>
              </w:rPr>
              <w:t>1.教育技术概述</w:t>
            </w:r>
          </w:p>
        </w:tc>
        <w:tc>
          <w:tcPr>
            <w:tcW w:w="2080" w:type="dxa"/>
            <w:vAlign w:val="center"/>
          </w:tcPr>
          <w:p w14:paraId="17A9DB4D">
            <w:r>
              <w:rPr>
                <w:rFonts w:hint="eastAsia"/>
              </w:rPr>
              <w:t>（1）技术与教育的关系</w:t>
            </w:r>
          </w:p>
          <w:p w14:paraId="6A4EC7F3">
            <w:r>
              <w:rPr>
                <w:rFonts w:hint="eastAsia"/>
              </w:rPr>
              <w:t>（2）教育技术的产生、发展及其趋势</w:t>
            </w:r>
          </w:p>
          <w:p w14:paraId="6B59B135">
            <w:r>
              <w:rPr>
                <w:rFonts w:hint="eastAsia"/>
              </w:rPr>
              <w:t>（3）教育技术、现代教育技术与信息技术</w:t>
            </w:r>
          </w:p>
          <w:p w14:paraId="6AF028BA">
            <w:r>
              <w:rPr>
                <w:rFonts w:hint="eastAsia"/>
              </w:rPr>
              <w:t>（4）教育技术与教育创新、现代教育技术与教师专业发展</w:t>
            </w:r>
          </w:p>
        </w:tc>
        <w:tc>
          <w:tcPr>
            <w:tcW w:w="1276" w:type="dxa"/>
            <w:vAlign w:val="center"/>
          </w:tcPr>
          <w:p w14:paraId="1A5745C2">
            <w:r>
              <w:rPr>
                <w:rFonts w:hint="eastAsia"/>
              </w:rPr>
              <w:t>课程目标1</w:t>
            </w:r>
          </w:p>
        </w:tc>
        <w:tc>
          <w:tcPr>
            <w:tcW w:w="2406" w:type="dxa"/>
            <w:vAlign w:val="center"/>
          </w:tcPr>
          <w:p w14:paraId="211BE365">
            <w:r>
              <w:rPr>
                <w:rFonts w:hint="eastAsia"/>
              </w:rPr>
              <w:t>（1）了解历史上不同的技术对教育产生的影响</w:t>
            </w:r>
          </w:p>
          <w:p w14:paraId="45EF4AD8">
            <w:r>
              <w:rPr>
                <w:rFonts w:hint="eastAsia"/>
              </w:rPr>
              <w:t>（2）了解教育技术的产生、发展及其趋势</w:t>
            </w:r>
          </w:p>
          <w:p w14:paraId="0817204E">
            <w:r>
              <w:rPr>
                <w:rFonts w:hint="eastAsia"/>
              </w:rPr>
              <w:t>（3）知道教育技术名词的演变过程</w:t>
            </w:r>
          </w:p>
          <w:p w14:paraId="7A3F1006">
            <w:r>
              <w:rPr>
                <w:rFonts w:hint="eastAsia"/>
              </w:rPr>
              <w:t>（4）清楚信息时代对新型教师在教育技术能力方面的要求</w:t>
            </w:r>
          </w:p>
        </w:tc>
        <w:tc>
          <w:tcPr>
            <w:tcW w:w="1255" w:type="dxa"/>
            <w:vAlign w:val="center"/>
          </w:tcPr>
          <w:p w14:paraId="60569F27">
            <w:r>
              <w:rPr>
                <w:rFonts w:hint="eastAsia"/>
              </w:rPr>
              <w:t>1.线上学习</w:t>
            </w:r>
          </w:p>
          <w:p w14:paraId="76248770">
            <w:r>
              <w:rPr>
                <w:rFonts w:hint="eastAsia"/>
              </w:rPr>
              <w:t>2.多媒体教学</w:t>
            </w:r>
          </w:p>
          <w:p w14:paraId="726CBF95">
            <w:r>
              <w:rPr>
                <w:rFonts w:hint="eastAsia"/>
              </w:rPr>
              <w:t>3.课堂讨论</w:t>
            </w:r>
          </w:p>
        </w:tc>
        <w:tc>
          <w:tcPr>
            <w:tcW w:w="601" w:type="dxa"/>
            <w:vAlign w:val="center"/>
          </w:tcPr>
          <w:p w14:paraId="50FEA68C">
            <w:pPr>
              <w:jc w:val="left"/>
            </w:pPr>
            <w:r>
              <w:rPr>
                <w:rFonts w:hint="eastAsia"/>
              </w:rPr>
              <w:t>2</w:t>
            </w:r>
          </w:p>
        </w:tc>
      </w:tr>
      <w:tr w14:paraId="7FBB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904" w:type="dxa"/>
            <w:vMerge w:val="continue"/>
            <w:vAlign w:val="center"/>
          </w:tcPr>
          <w:p w14:paraId="6EFD77F9"/>
        </w:tc>
        <w:tc>
          <w:tcPr>
            <w:tcW w:w="7618" w:type="dxa"/>
            <w:gridSpan w:val="5"/>
            <w:vAlign w:val="center"/>
          </w:tcPr>
          <w:p w14:paraId="0CF074BC">
            <w:pPr>
              <w:jc w:val="left"/>
            </w:pPr>
            <w:r>
              <w:rPr>
                <w:rFonts w:hint="eastAsia"/>
              </w:rPr>
              <w:t>课程思政目标：在讲述信息技术发展的过程中，回顾我国教育技术和理论的发展历程，激发同学们的民族自豪感，树牢“四个意识”，坚定“四个自信”，坚决做到“两个维护”，形成教育情怀，坚定教育信仰，肩负起民族复兴的时代重任。</w:t>
            </w:r>
          </w:p>
        </w:tc>
      </w:tr>
      <w:tr w14:paraId="0C32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45BD46E5">
            <w:r>
              <w:rPr>
                <w:rFonts w:hint="eastAsia"/>
              </w:rPr>
              <w:t>2.教育技术的理论基础</w:t>
            </w:r>
          </w:p>
        </w:tc>
        <w:tc>
          <w:tcPr>
            <w:tcW w:w="2080" w:type="dxa"/>
            <w:vAlign w:val="center"/>
          </w:tcPr>
          <w:p w14:paraId="095589C0">
            <w:r>
              <w:rPr>
                <w:rFonts w:hint="eastAsia"/>
              </w:rPr>
              <w:t>（1）视听教学理论</w:t>
            </w:r>
          </w:p>
          <w:p w14:paraId="319233F6">
            <w:r>
              <w:rPr>
                <w:rFonts w:hint="eastAsia"/>
              </w:rPr>
              <w:t>（2）传播理论与教育传播</w:t>
            </w:r>
          </w:p>
          <w:p w14:paraId="50E03A76">
            <w:r>
              <w:rPr>
                <w:rFonts w:hint="eastAsia"/>
              </w:rPr>
              <w:t>（3）学习理论</w:t>
            </w:r>
          </w:p>
        </w:tc>
        <w:tc>
          <w:tcPr>
            <w:tcW w:w="1276" w:type="dxa"/>
            <w:vAlign w:val="center"/>
          </w:tcPr>
          <w:p w14:paraId="452F8F64">
            <w:r>
              <w:rPr>
                <w:rFonts w:hint="eastAsia"/>
              </w:rPr>
              <w:t>课程目标1</w:t>
            </w:r>
          </w:p>
          <w:p w14:paraId="4C9CD6F4">
            <w:r>
              <w:rPr>
                <w:rFonts w:hint="eastAsia"/>
              </w:rPr>
              <w:t>课程目标2</w:t>
            </w:r>
          </w:p>
        </w:tc>
        <w:tc>
          <w:tcPr>
            <w:tcW w:w="2406" w:type="dxa"/>
            <w:vAlign w:val="center"/>
          </w:tcPr>
          <w:p w14:paraId="37EF307F">
            <w:r>
              <w:rPr>
                <w:rFonts w:hint="eastAsia"/>
              </w:rPr>
              <w:t>（1）理解“经验之塔”理论对视听教育的影响</w:t>
            </w:r>
          </w:p>
          <w:p w14:paraId="6E245A84">
            <w:r>
              <w:rPr>
                <w:rFonts w:hint="eastAsia"/>
              </w:rPr>
              <w:t>（2）了解主要的教育传播模式，知道教学传播过程的基本要素、基本过程和基本规律</w:t>
            </w:r>
          </w:p>
          <w:p w14:paraId="03B166C1">
            <w:r>
              <w:rPr>
                <w:rFonts w:hint="eastAsia"/>
              </w:rPr>
              <w:t>（3）知道不同学习理论的主要观点，了解各学习理论指导下的教学模式</w:t>
            </w:r>
          </w:p>
          <w:p w14:paraId="47BFA3B3">
            <w:r>
              <w:rPr>
                <w:rFonts w:hint="eastAsia"/>
              </w:rPr>
              <w:t>（4）了解传播理论、学习理论和教学理论与教育技术的关系，能叙述三者作为教育技术学理论基础的意义</w:t>
            </w:r>
          </w:p>
        </w:tc>
        <w:tc>
          <w:tcPr>
            <w:tcW w:w="1255" w:type="dxa"/>
            <w:vAlign w:val="center"/>
          </w:tcPr>
          <w:p w14:paraId="1DF7DC9A">
            <w:r>
              <w:rPr>
                <w:rFonts w:hint="eastAsia"/>
              </w:rPr>
              <w:t>1.线上学习</w:t>
            </w:r>
          </w:p>
          <w:p w14:paraId="48D6B9DD">
            <w:r>
              <w:rPr>
                <w:rFonts w:hint="eastAsia"/>
              </w:rPr>
              <w:t>2.多媒体教学</w:t>
            </w:r>
          </w:p>
          <w:p w14:paraId="70A53CC8">
            <w:r>
              <w:rPr>
                <w:rFonts w:hint="eastAsia"/>
              </w:rPr>
              <w:t>3.课堂讨论</w:t>
            </w:r>
          </w:p>
        </w:tc>
        <w:tc>
          <w:tcPr>
            <w:tcW w:w="601" w:type="dxa"/>
            <w:vAlign w:val="center"/>
          </w:tcPr>
          <w:p w14:paraId="0E19BB45">
            <w:pPr>
              <w:jc w:val="left"/>
            </w:pPr>
            <w:r>
              <w:rPr>
                <w:rFonts w:hint="eastAsia"/>
              </w:rPr>
              <w:t>2</w:t>
            </w:r>
          </w:p>
        </w:tc>
      </w:tr>
      <w:tr w14:paraId="5DF3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77587779"/>
        </w:tc>
        <w:tc>
          <w:tcPr>
            <w:tcW w:w="7618" w:type="dxa"/>
            <w:gridSpan w:val="5"/>
            <w:vAlign w:val="center"/>
          </w:tcPr>
          <w:p w14:paraId="17EC43D6">
            <w:pPr>
              <w:jc w:val="left"/>
            </w:pPr>
            <w:r>
              <w:rPr>
                <w:rFonts w:hint="eastAsia"/>
              </w:rPr>
              <w:t>课程思政目标：在讲述各教育理论的过程中，引导学生对教育理论进行深入思考和研究，激发同学们投身我国教育事业的热情，将社会主义核心价值观内化为精神追求，具有优良的爱国主义情怀和以爱为魂的高尚师德。</w:t>
            </w:r>
          </w:p>
        </w:tc>
      </w:tr>
      <w:tr w14:paraId="6CA2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54D307E4">
            <w:r>
              <w:rPr>
                <w:rFonts w:hint="eastAsia"/>
              </w:rPr>
              <w:t>3.教学媒体及其应用</w:t>
            </w:r>
          </w:p>
        </w:tc>
        <w:tc>
          <w:tcPr>
            <w:tcW w:w="2080" w:type="dxa"/>
            <w:vAlign w:val="center"/>
          </w:tcPr>
          <w:p w14:paraId="3EE29AC2">
            <w:r>
              <w:rPr>
                <w:rFonts w:hint="eastAsia"/>
              </w:rPr>
              <w:t>（1）媒体本质及其类型</w:t>
            </w:r>
          </w:p>
          <w:p w14:paraId="1657D1A8">
            <w:r>
              <w:rPr>
                <w:rFonts w:hint="eastAsia"/>
              </w:rPr>
              <w:t>（2）教学媒体的分类及特性</w:t>
            </w:r>
          </w:p>
          <w:p w14:paraId="4212D0F4">
            <w:r>
              <w:rPr>
                <w:rFonts w:hint="eastAsia"/>
              </w:rPr>
              <w:t>（3）传统教学媒体的应用</w:t>
            </w:r>
          </w:p>
          <w:p w14:paraId="66E6FFF3">
            <w:r>
              <w:rPr>
                <w:rFonts w:hint="eastAsia"/>
              </w:rPr>
              <w:t>（4）现代教学媒体的应用</w:t>
            </w:r>
          </w:p>
        </w:tc>
        <w:tc>
          <w:tcPr>
            <w:tcW w:w="1276" w:type="dxa"/>
            <w:vAlign w:val="center"/>
          </w:tcPr>
          <w:p w14:paraId="46F5E8EA">
            <w:r>
              <w:rPr>
                <w:rFonts w:hint="eastAsia"/>
              </w:rPr>
              <w:t>课程目标1</w:t>
            </w:r>
          </w:p>
          <w:p w14:paraId="62F53877">
            <w:r>
              <w:rPr>
                <w:rFonts w:hint="eastAsia"/>
              </w:rPr>
              <w:t>课程目标2</w:t>
            </w:r>
          </w:p>
        </w:tc>
        <w:tc>
          <w:tcPr>
            <w:tcW w:w="2406" w:type="dxa"/>
            <w:vAlign w:val="center"/>
          </w:tcPr>
          <w:p w14:paraId="748416CD">
            <w:r>
              <w:rPr>
                <w:rFonts w:hint="eastAsia"/>
              </w:rPr>
              <w:t>（1）了解教学媒体的定义、特点和作用</w:t>
            </w:r>
          </w:p>
          <w:p w14:paraId="0A6BB40E">
            <w:r>
              <w:rPr>
                <w:rFonts w:hint="eastAsia"/>
              </w:rPr>
              <w:t>（2）了解教学媒体的分类方法</w:t>
            </w:r>
          </w:p>
          <w:p w14:paraId="60E7410B">
            <w:r>
              <w:rPr>
                <w:rFonts w:hint="eastAsia"/>
              </w:rPr>
              <w:t>（3）掌握各常规媒体的优势、不足及使用方法</w:t>
            </w:r>
          </w:p>
          <w:p w14:paraId="22B73989">
            <w:r>
              <w:rPr>
                <w:rFonts w:hint="eastAsia"/>
              </w:rPr>
              <w:t>（4）了解教学媒体选择的原则与方法</w:t>
            </w:r>
          </w:p>
        </w:tc>
        <w:tc>
          <w:tcPr>
            <w:tcW w:w="1255" w:type="dxa"/>
            <w:vAlign w:val="center"/>
          </w:tcPr>
          <w:p w14:paraId="6A26FDE1">
            <w:r>
              <w:rPr>
                <w:rFonts w:hint="eastAsia"/>
              </w:rPr>
              <w:t>1.线上学习</w:t>
            </w:r>
          </w:p>
          <w:p w14:paraId="74E69B05">
            <w:r>
              <w:rPr>
                <w:rFonts w:hint="eastAsia"/>
              </w:rPr>
              <w:t>2.多媒体教学</w:t>
            </w:r>
          </w:p>
          <w:p w14:paraId="4DD5F970">
            <w:r>
              <w:rPr>
                <w:rFonts w:hint="eastAsia"/>
              </w:rPr>
              <w:t>3.课堂讨论</w:t>
            </w:r>
          </w:p>
          <w:p w14:paraId="24CF29D0">
            <w:r>
              <w:rPr>
                <w:rFonts w:hint="eastAsia"/>
              </w:rPr>
              <w:t>4.机房实操</w:t>
            </w:r>
          </w:p>
        </w:tc>
        <w:tc>
          <w:tcPr>
            <w:tcW w:w="601" w:type="dxa"/>
            <w:vAlign w:val="center"/>
          </w:tcPr>
          <w:p w14:paraId="3A83C829">
            <w:pPr>
              <w:jc w:val="left"/>
            </w:pPr>
            <w:r>
              <w:rPr>
                <w:rFonts w:hint="eastAsia"/>
              </w:rPr>
              <w:t>4</w:t>
            </w:r>
          </w:p>
        </w:tc>
      </w:tr>
      <w:tr w14:paraId="4C95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359B9AB6"/>
        </w:tc>
        <w:tc>
          <w:tcPr>
            <w:tcW w:w="7618" w:type="dxa"/>
            <w:gridSpan w:val="5"/>
            <w:vAlign w:val="center"/>
          </w:tcPr>
          <w:p w14:paraId="2D8B1AF3">
            <w:pPr>
              <w:jc w:val="left"/>
            </w:pPr>
            <w:r>
              <w:rPr>
                <w:rFonts w:hint="eastAsia"/>
              </w:rPr>
              <w:t>课程思政目标：现在很多学校都配备了多种教学媒体，使得教师能够充分地选择多种媒体组织教学；引导学生在今后的工作中不仅要用好教学媒体，还要主动爱惜和维护好学校的这些公共设施。</w:t>
            </w:r>
          </w:p>
        </w:tc>
      </w:tr>
      <w:tr w14:paraId="1950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24142A1E">
            <w:r>
              <w:rPr>
                <w:rFonts w:hint="eastAsia"/>
              </w:rPr>
              <w:t>4.教学资源的获取与加工</w:t>
            </w:r>
          </w:p>
        </w:tc>
        <w:tc>
          <w:tcPr>
            <w:tcW w:w="2080" w:type="dxa"/>
            <w:vAlign w:val="center"/>
          </w:tcPr>
          <w:p w14:paraId="34A095B8">
            <w:r>
              <w:rPr>
                <w:rFonts w:hint="eastAsia"/>
              </w:rPr>
              <w:t>（1）教学资源的概念</w:t>
            </w:r>
          </w:p>
          <w:p w14:paraId="0F9C7F00">
            <w:r>
              <w:rPr>
                <w:rFonts w:hint="eastAsia"/>
              </w:rPr>
              <w:t>（2）教学资源的类型与特点</w:t>
            </w:r>
          </w:p>
          <w:p w14:paraId="01C0DD99">
            <w:r>
              <w:rPr>
                <w:rFonts w:hint="eastAsia"/>
              </w:rPr>
              <w:t>（3）教学资源的获取</w:t>
            </w:r>
          </w:p>
          <w:p w14:paraId="5F01EBB4">
            <w:r>
              <w:rPr>
                <w:rFonts w:hint="eastAsia"/>
              </w:rPr>
              <w:t>（4）数字化教学素材的加工</w:t>
            </w:r>
          </w:p>
        </w:tc>
        <w:tc>
          <w:tcPr>
            <w:tcW w:w="1276" w:type="dxa"/>
            <w:vAlign w:val="center"/>
          </w:tcPr>
          <w:p w14:paraId="67BC5047">
            <w:r>
              <w:rPr>
                <w:rFonts w:hint="eastAsia"/>
              </w:rPr>
              <w:t>课程目标1</w:t>
            </w:r>
          </w:p>
          <w:p w14:paraId="3E609640">
            <w:r>
              <w:rPr>
                <w:rFonts w:hint="eastAsia"/>
              </w:rPr>
              <w:t>课程目标2</w:t>
            </w:r>
          </w:p>
        </w:tc>
        <w:tc>
          <w:tcPr>
            <w:tcW w:w="2406" w:type="dxa"/>
            <w:vAlign w:val="center"/>
          </w:tcPr>
          <w:p w14:paraId="1A70E2A7">
            <w:r>
              <w:rPr>
                <w:rFonts w:hint="eastAsia"/>
              </w:rPr>
              <w:t>（1）了解教学资源的分类和特性</w:t>
            </w:r>
          </w:p>
          <w:p w14:paraId="77B3EC7E">
            <w:r>
              <w:rPr>
                <w:rFonts w:hint="eastAsia"/>
              </w:rPr>
              <w:t>（2）了解教学资源获取的途径</w:t>
            </w:r>
          </w:p>
          <w:p w14:paraId="4C849715">
            <w:r>
              <w:rPr>
                <w:rFonts w:hint="eastAsia"/>
              </w:rPr>
              <w:t>（3）掌握数字化教学素材获取的方法与技巧</w:t>
            </w:r>
          </w:p>
          <w:p w14:paraId="15A4DD78">
            <w:r>
              <w:rPr>
                <w:rFonts w:hint="eastAsia"/>
              </w:rPr>
              <w:t>（4）能用一些基本的工具软件加工教学资源</w:t>
            </w:r>
          </w:p>
        </w:tc>
        <w:tc>
          <w:tcPr>
            <w:tcW w:w="1255" w:type="dxa"/>
            <w:vAlign w:val="center"/>
          </w:tcPr>
          <w:p w14:paraId="70D0FA17">
            <w:r>
              <w:rPr>
                <w:rFonts w:hint="eastAsia"/>
              </w:rPr>
              <w:t>1.线上学习</w:t>
            </w:r>
          </w:p>
          <w:p w14:paraId="1C1738B9">
            <w:r>
              <w:rPr>
                <w:rFonts w:hint="eastAsia"/>
              </w:rPr>
              <w:t>2.多媒体教学</w:t>
            </w:r>
          </w:p>
          <w:p w14:paraId="41E7C821">
            <w:r>
              <w:rPr>
                <w:rFonts w:hint="eastAsia"/>
              </w:rPr>
              <w:t>3.课堂讨论</w:t>
            </w:r>
          </w:p>
          <w:p w14:paraId="73F5794B">
            <w:r>
              <w:rPr>
                <w:rFonts w:hint="eastAsia"/>
              </w:rPr>
              <w:t>4.机房实操</w:t>
            </w:r>
          </w:p>
        </w:tc>
        <w:tc>
          <w:tcPr>
            <w:tcW w:w="601" w:type="dxa"/>
            <w:vAlign w:val="center"/>
          </w:tcPr>
          <w:p w14:paraId="2B3B3440">
            <w:pPr>
              <w:jc w:val="left"/>
            </w:pPr>
            <w:r>
              <w:rPr>
                <w:rFonts w:hint="eastAsia"/>
              </w:rPr>
              <w:t>6</w:t>
            </w:r>
          </w:p>
        </w:tc>
      </w:tr>
      <w:tr w14:paraId="2F35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34F7DD6A"/>
        </w:tc>
        <w:tc>
          <w:tcPr>
            <w:tcW w:w="7618" w:type="dxa"/>
            <w:gridSpan w:val="5"/>
            <w:vAlign w:val="center"/>
          </w:tcPr>
          <w:p w14:paraId="23F5FE9B">
            <w:pPr>
              <w:jc w:val="left"/>
            </w:pPr>
            <w:r>
              <w:rPr>
                <w:rFonts w:hint="eastAsia"/>
              </w:rPr>
              <w:t>课程思政目标：在讲述各种软件的使用过程中，因为多数是国外公司开发的软件，所以，在引导同学们对国产软件认同的同时，激发同学们的危机意识，在今后的工作中努力支持国产软件，树立起为中华民族复兴培养全面发展的社会主义建设者和接班人的职业理想。</w:t>
            </w:r>
          </w:p>
        </w:tc>
      </w:tr>
      <w:tr w14:paraId="3D0D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29973A98">
            <w:r>
              <w:rPr>
                <w:rFonts w:hint="eastAsia"/>
              </w:rPr>
              <w:t>5.数字化教学资源的设计与运用</w:t>
            </w:r>
          </w:p>
        </w:tc>
        <w:tc>
          <w:tcPr>
            <w:tcW w:w="2080" w:type="dxa"/>
            <w:vAlign w:val="center"/>
          </w:tcPr>
          <w:p w14:paraId="29AFAC17">
            <w:r>
              <w:rPr>
                <w:rFonts w:hint="eastAsia"/>
              </w:rPr>
              <w:t>（1）数字化教学资源的内涵</w:t>
            </w:r>
          </w:p>
          <w:p w14:paraId="5369C426">
            <w:r>
              <w:rPr>
                <w:rFonts w:hint="eastAsia"/>
              </w:rPr>
              <w:t>（2）数字化教学资源的类型及特点</w:t>
            </w:r>
          </w:p>
          <w:p w14:paraId="1B96BED2">
            <w:r>
              <w:rPr>
                <w:rFonts w:hint="eastAsia"/>
              </w:rPr>
              <w:t>（3）多媒体教学课件的制作</w:t>
            </w:r>
          </w:p>
          <w:p w14:paraId="0123500A">
            <w:r>
              <w:rPr>
                <w:rFonts w:hint="eastAsia"/>
              </w:rPr>
              <w:t>（4）演示型PPT课件的制作与运用技巧</w:t>
            </w:r>
          </w:p>
        </w:tc>
        <w:tc>
          <w:tcPr>
            <w:tcW w:w="1276" w:type="dxa"/>
            <w:vAlign w:val="center"/>
          </w:tcPr>
          <w:p w14:paraId="42C249A1">
            <w:r>
              <w:rPr>
                <w:rFonts w:hint="eastAsia"/>
              </w:rPr>
              <w:t>课程目标1</w:t>
            </w:r>
          </w:p>
          <w:p w14:paraId="328F6F98">
            <w:r>
              <w:rPr>
                <w:rFonts w:hint="eastAsia"/>
              </w:rPr>
              <w:t>课程目标2</w:t>
            </w:r>
          </w:p>
          <w:p w14:paraId="43B8F1CF">
            <w:r>
              <w:rPr>
                <w:rFonts w:hint="eastAsia"/>
              </w:rPr>
              <w:t>课程目标3</w:t>
            </w:r>
          </w:p>
        </w:tc>
        <w:tc>
          <w:tcPr>
            <w:tcW w:w="2406" w:type="dxa"/>
            <w:vAlign w:val="center"/>
          </w:tcPr>
          <w:p w14:paraId="29217901">
            <w:r>
              <w:rPr>
                <w:rFonts w:hint="eastAsia"/>
              </w:rPr>
              <w:t>（1）了解数字化教学资源的内涵及类型</w:t>
            </w:r>
          </w:p>
          <w:p w14:paraId="042BD6EF">
            <w:r>
              <w:rPr>
                <w:rFonts w:hint="eastAsia"/>
              </w:rPr>
              <w:t>（2）常用数字化教学资源制作工具简介</w:t>
            </w:r>
          </w:p>
          <w:p w14:paraId="20E151D0">
            <w:r>
              <w:rPr>
                <w:rFonts w:hint="eastAsia"/>
              </w:rPr>
              <w:t>（3）熟练掌握利用PowerPoint制作多媒体课件的原则、过程和方法</w:t>
            </w:r>
          </w:p>
          <w:p w14:paraId="7F0C5ADF">
            <w:r>
              <w:rPr>
                <w:rFonts w:hint="eastAsia"/>
              </w:rPr>
              <w:t>（4）掌握基于PPT课件的教学方法</w:t>
            </w:r>
          </w:p>
        </w:tc>
        <w:tc>
          <w:tcPr>
            <w:tcW w:w="1255" w:type="dxa"/>
            <w:vAlign w:val="center"/>
          </w:tcPr>
          <w:p w14:paraId="180713B3">
            <w:r>
              <w:rPr>
                <w:rFonts w:hint="eastAsia"/>
              </w:rPr>
              <w:t>1.线上学习</w:t>
            </w:r>
          </w:p>
          <w:p w14:paraId="628B8913">
            <w:r>
              <w:rPr>
                <w:rFonts w:hint="eastAsia"/>
              </w:rPr>
              <w:t>2.多媒体教学</w:t>
            </w:r>
          </w:p>
          <w:p w14:paraId="1E168FF2">
            <w:r>
              <w:rPr>
                <w:rFonts w:hint="eastAsia"/>
              </w:rPr>
              <w:t>3.课堂讨论</w:t>
            </w:r>
          </w:p>
          <w:p w14:paraId="629CFBEC">
            <w:r>
              <w:rPr>
                <w:rFonts w:hint="eastAsia"/>
              </w:rPr>
              <w:t>4.机房实操</w:t>
            </w:r>
          </w:p>
        </w:tc>
        <w:tc>
          <w:tcPr>
            <w:tcW w:w="601" w:type="dxa"/>
            <w:vAlign w:val="center"/>
          </w:tcPr>
          <w:p w14:paraId="3B7971BD">
            <w:pPr>
              <w:jc w:val="left"/>
            </w:pPr>
            <w:r>
              <w:rPr>
                <w:rFonts w:hint="eastAsia"/>
              </w:rPr>
              <w:t>6</w:t>
            </w:r>
          </w:p>
        </w:tc>
      </w:tr>
      <w:tr w14:paraId="4633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3E893F00"/>
        </w:tc>
        <w:tc>
          <w:tcPr>
            <w:tcW w:w="7618" w:type="dxa"/>
            <w:gridSpan w:val="5"/>
            <w:vAlign w:val="center"/>
          </w:tcPr>
          <w:p w14:paraId="3242C2AF">
            <w:pPr>
              <w:jc w:val="left"/>
            </w:pPr>
            <w:r>
              <w:rPr>
                <w:rFonts w:hint="eastAsia"/>
              </w:rPr>
              <w:t>课程思政目标：引导学生注重知识产权保护，既要学会保护自己设计制作的数字作品，又要学会尊重他人的相关作品，推动数字资源市场的良性化发展。</w:t>
            </w:r>
          </w:p>
        </w:tc>
      </w:tr>
      <w:tr w14:paraId="4A94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4282D028">
            <w:r>
              <w:rPr>
                <w:rFonts w:hint="eastAsia"/>
              </w:rPr>
              <w:t>6.教学设计的理论与实践</w:t>
            </w:r>
          </w:p>
        </w:tc>
        <w:tc>
          <w:tcPr>
            <w:tcW w:w="2080" w:type="dxa"/>
            <w:vAlign w:val="center"/>
          </w:tcPr>
          <w:p w14:paraId="2F78539E">
            <w:r>
              <w:rPr>
                <w:rFonts w:hint="eastAsia"/>
              </w:rPr>
              <w:t>（1）教学设计的理论基础</w:t>
            </w:r>
          </w:p>
          <w:p w14:paraId="362C9A02">
            <w:r>
              <w:rPr>
                <w:rFonts w:hint="eastAsia"/>
              </w:rPr>
              <w:t>（2）教学设计的一般方法</w:t>
            </w:r>
          </w:p>
          <w:p w14:paraId="681D0EBF">
            <w:r>
              <w:rPr>
                <w:rFonts w:hint="eastAsia"/>
              </w:rPr>
              <w:t>（3）信息化教学模式的类型、特点及应用案例</w:t>
            </w:r>
          </w:p>
          <w:p w14:paraId="3DCBB54A">
            <w:r>
              <w:rPr>
                <w:rFonts w:hint="eastAsia"/>
              </w:rPr>
              <w:t>（4）信息化教学工具及应用方法</w:t>
            </w:r>
          </w:p>
        </w:tc>
        <w:tc>
          <w:tcPr>
            <w:tcW w:w="1276" w:type="dxa"/>
            <w:vAlign w:val="center"/>
          </w:tcPr>
          <w:p w14:paraId="4AF6B40B">
            <w:r>
              <w:rPr>
                <w:rFonts w:hint="eastAsia"/>
              </w:rPr>
              <w:t>课程目标1</w:t>
            </w:r>
          </w:p>
          <w:p w14:paraId="7565F3DE">
            <w:r>
              <w:rPr>
                <w:rFonts w:hint="eastAsia"/>
              </w:rPr>
              <w:t>课程目标2</w:t>
            </w:r>
          </w:p>
        </w:tc>
        <w:tc>
          <w:tcPr>
            <w:tcW w:w="2406" w:type="dxa"/>
            <w:vAlign w:val="center"/>
          </w:tcPr>
          <w:p w14:paraId="63497EBD">
            <w:r>
              <w:rPr>
                <w:rFonts w:hint="eastAsia"/>
              </w:rPr>
              <w:t>（1）了解教学设计的概念和模式</w:t>
            </w:r>
          </w:p>
          <w:p w14:paraId="158FF281">
            <w:r>
              <w:rPr>
                <w:rFonts w:hint="eastAsia"/>
              </w:rPr>
              <w:t>（2）掌握教学设计的基本过程和方法</w:t>
            </w:r>
          </w:p>
          <w:p w14:paraId="4E56EA2C">
            <w:r>
              <w:rPr>
                <w:rFonts w:hint="eastAsia"/>
              </w:rPr>
              <w:t>（3）了解信息化教学模式的类型及特点</w:t>
            </w:r>
          </w:p>
          <w:p w14:paraId="7762735F">
            <w:r>
              <w:rPr>
                <w:rFonts w:hint="eastAsia"/>
              </w:rPr>
              <w:t>（4）能够结合学科内容编写教学设计方案并付诸教学实践</w:t>
            </w:r>
          </w:p>
        </w:tc>
        <w:tc>
          <w:tcPr>
            <w:tcW w:w="1255" w:type="dxa"/>
            <w:vAlign w:val="center"/>
          </w:tcPr>
          <w:p w14:paraId="16F0F81A">
            <w:r>
              <w:rPr>
                <w:rFonts w:hint="eastAsia"/>
              </w:rPr>
              <w:t>1.线上学习</w:t>
            </w:r>
          </w:p>
          <w:p w14:paraId="356AC933">
            <w:r>
              <w:rPr>
                <w:rFonts w:hint="eastAsia"/>
              </w:rPr>
              <w:t>2.多媒体教学</w:t>
            </w:r>
          </w:p>
          <w:p w14:paraId="5CB57581">
            <w:r>
              <w:rPr>
                <w:rFonts w:hint="eastAsia"/>
              </w:rPr>
              <w:t>3.课堂讨论</w:t>
            </w:r>
          </w:p>
        </w:tc>
        <w:tc>
          <w:tcPr>
            <w:tcW w:w="601" w:type="dxa"/>
            <w:vAlign w:val="center"/>
          </w:tcPr>
          <w:p w14:paraId="3869B6BF">
            <w:pPr>
              <w:jc w:val="left"/>
            </w:pPr>
            <w:r>
              <w:rPr>
                <w:rFonts w:hint="eastAsia"/>
              </w:rPr>
              <w:t>4</w:t>
            </w:r>
          </w:p>
        </w:tc>
      </w:tr>
      <w:tr w14:paraId="53DD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40AE46ED"/>
        </w:tc>
        <w:tc>
          <w:tcPr>
            <w:tcW w:w="7618" w:type="dxa"/>
            <w:gridSpan w:val="5"/>
            <w:vAlign w:val="center"/>
          </w:tcPr>
          <w:p w14:paraId="78E3BD2C">
            <w:pPr>
              <w:jc w:val="left"/>
            </w:pPr>
            <w:r>
              <w:rPr>
                <w:rFonts w:hint="eastAsia"/>
              </w:rPr>
              <w:t>课程思政目标：能创造性地运用所学知识设计与实施小学科学教育，成为有理想信念、有道德情操、有扎实学识、有仁爱之心的小学好老师。</w:t>
            </w:r>
          </w:p>
        </w:tc>
      </w:tr>
      <w:tr w14:paraId="7A11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restart"/>
            <w:vAlign w:val="center"/>
          </w:tcPr>
          <w:p w14:paraId="6A205FEC">
            <w:r>
              <w:rPr>
                <w:rFonts w:hint="eastAsia"/>
              </w:rPr>
              <w:t>7.微课制作</w:t>
            </w:r>
          </w:p>
        </w:tc>
        <w:tc>
          <w:tcPr>
            <w:tcW w:w="2080" w:type="dxa"/>
            <w:vAlign w:val="center"/>
          </w:tcPr>
          <w:p w14:paraId="770CDF36">
            <w:r>
              <w:rPr>
                <w:rFonts w:hint="eastAsia"/>
              </w:rPr>
              <w:t>（1）教学设计的理论基础</w:t>
            </w:r>
          </w:p>
          <w:p w14:paraId="43DC0BD5">
            <w:r>
              <w:rPr>
                <w:rFonts w:hint="eastAsia"/>
              </w:rPr>
              <w:t>（2）教学设计的一般方法</w:t>
            </w:r>
          </w:p>
          <w:p w14:paraId="6BBED5E6">
            <w:r>
              <w:rPr>
                <w:rFonts w:hint="eastAsia"/>
              </w:rPr>
              <w:t>（3）Camtasia软件安装与使用</w:t>
            </w:r>
          </w:p>
          <w:p w14:paraId="1320CB7F">
            <w:r>
              <w:rPr>
                <w:rFonts w:hint="eastAsia"/>
              </w:rPr>
              <w:t>（4）微课制作基本方法与原则</w:t>
            </w:r>
          </w:p>
        </w:tc>
        <w:tc>
          <w:tcPr>
            <w:tcW w:w="1276" w:type="dxa"/>
            <w:vAlign w:val="center"/>
          </w:tcPr>
          <w:p w14:paraId="6C2B9330">
            <w:r>
              <w:rPr>
                <w:rFonts w:hint="eastAsia"/>
              </w:rPr>
              <w:t>课程目标1</w:t>
            </w:r>
          </w:p>
          <w:p w14:paraId="5EBA8049">
            <w:r>
              <w:rPr>
                <w:rFonts w:hint="eastAsia"/>
              </w:rPr>
              <w:t>课程目标2</w:t>
            </w:r>
          </w:p>
          <w:p w14:paraId="33D8676F">
            <w:r>
              <w:rPr>
                <w:rFonts w:hint="eastAsia"/>
              </w:rPr>
              <w:t>课程目标3</w:t>
            </w:r>
          </w:p>
        </w:tc>
        <w:tc>
          <w:tcPr>
            <w:tcW w:w="2406" w:type="dxa"/>
            <w:vAlign w:val="center"/>
          </w:tcPr>
          <w:p w14:paraId="1004CAEB">
            <w:r>
              <w:rPr>
                <w:rFonts w:hint="eastAsia"/>
              </w:rPr>
              <w:t>（1）了解信息化教学设计的概念和模式</w:t>
            </w:r>
          </w:p>
          <w:p w14:paraId="22E958B0">
            <w:r>
              <w:rPr>
                <w:rFonts w:hint="eastAsia"/>
              </w:rPr>
              <w:t>（2）掌握微课制作的基本过程和方法</w:t>
            </w:r>
          </w:p>
          <w:p w14:paraId="6CFC1E11">
            <w:r>
              <w:rPr>
                <w:rFonts w:hint="eastAsia"/>
              </w:rPr>
              <w:t>（3）了解Camtasia软件的功能及特点</w:t>
            </w:r>
          </w:p>
          <w:p w14:paraId="1F1A72FB">
            <w:r>
              <w:rPr>
                <w:rFonts w:hint="eastAsia"/>
              </w:rPr>
              <w:t>（4）能够结合学科内容制作一个微课作品</w:t>
            </w:r>
          </w:p>
        </w:tc>
        <w:tc>
          <w:tcPr>
            <w:tcW w:w="1255" w:type="dxa"/>
            <w:vAlign w:val="center"/>
          </w:tcPr>
          <w:p w14:paraId="54B9C3F3">
            <w:r>
              <w:rPr>
                <w:rFonts w:hint="eastAsia"/>
              </w:rPr>
              <w:t>1.线上学习</w:t>
            </w:r>
          </w:p>
          <w:p w14:paraId="759F2707">
            <w:r>
              <w:rPr>
                <w:rFonts w:hint="eastAsia"/>
              </w:rPr>
              <w:t>2.多媒体教学</w:t>
            </w:r>
          </w:p>
          <w:p w14:paraId="75A92B01">
            <w:r>
              <w:rPr>
                <w:rFonts w:hint="eastAsia"/>
              </w:rPr>
              <w:t>3.课堂讨论</w:t>
            </w:r>
          </w:p>
          <w:p w14:paraId="75E3C21E">
            <w:r>
              <w:rPr>
                <w:rFonts w:hint="eastAsia"/>
              </w:rPr>
              <w:t>4.机房实操</w:t>
            </w:r>
          </w:p>
        </w:tc>
        <w:tc>
          <w:tcPr>
            <w:tcW w:w="601" w:type="dxa"/>
            <w:vAlign w:val="center"/>
          </w:tcPr>
          <w:p w14:paraId="3D9AE35F">
            <w:pPr>
              <w:jc w:val="left"/>
            </w:pPr>
            <w:r>
              <w:rPr>
                <w:rFonts w:hint="eastAsia"/>
              </w:rPr>
              <w:t>8</w:t>
            </w:r>
          </w:p>
        </w:tc>
      </w:tr>
      <w:tr w14:paraId="676B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Merge w:val="continue"/>
            <w:vAlign w:val="center"/>
          </w:tcPr>
          <w:p w14:paraId="0F0F3FDF"/>
        </w:tc>
        <w:tc>
          <w:tcPr>
            <w:tcW w:w="7618" w:type="dxa"/>
            <w:gridSpan w:val="5"/>
            <w:vAlign w:val="center"/>
          </w:tcPr>
          <w:p w14:paraId="5711F832">
            <w:r>
              <w:rPr>
                <w:rFonts w:hint="eastAsia"/>
              </w:rPr>
              <w:t>课程思政目标：通过微课制作，让学生了解微课制作的基本原则和方法，引导学生树牢唯物主义世界观、科学发展观、社会主义核心价值观，能够认真体会微课在教学过程中的作用，使微课能够更好地融入到整个教学环节中。</w:t>
            </w:r>
          </w:p>
        </w:tc>
      </w:tr>
    </w:tbl>
    <w:p w14:paraId="2138B694">
      <w:pPr>
        <w:spacing w:before="62" w:beforeLines="20" w:after="62" w:afterLines="20" w:line="360" w:lineRule="auto"/>
        <w:rPr>
          <w:rFonts w:hint="eastAsia" w:ascii="宋体" w:hAnsi="宋体" w:eastAsia="宋体" w:cs="宋体"/>
          <w:b/>
          <w:bCs/>
          <w:sz w:val="24"/>
          <w:szCs w:val="32"/>
        </w:rPr>
      </w:pPr>
      <w:r>
        <w:rPr>
          <w:rFonts w:hint="eastAsia" w:ascii="宋体" w:hAnsi="宋体" w:eastAsia="宋体" w:cs="宋体"/>
          <w:b/>
          <w:bCs/>
          <w:sz w:val="24"/>
          <w:szCs w:val="32"/>
        </w:rPr>
        <w:t>四、课内实践</w:t>
      </w:r>
    </w:p>
    <w:tbl>
      <w:tblPr>
        <w:tblStyle w:val="11"/>
        <w:tblW w:w="8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1130"/>
        <w:gridCol w:w="3792"/>
        <w:gridCol w:w="591"/>
        <w:gridCol w:w="1534"/>
        <w:gridCol w:w="708"/>
      </w:tblGrid>
      <w:tr w14:paraId="14F7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22" w:type="dxa"/>
            <w:shd w:val="clear" w:color="auto" w:fill="FFFFFF"/>
            <w:vAlign w:val="center"/>
          </w:tcPr>
          <w:p w14:paraId="17C111E7">
            <w:pPr>
              <w:jc w:val="center"/>
            </w:pPr>
            <w:r>
              <w:t>序号</w:t>
            </w:r>
          </w:p>
        </w:tc>
        <w:tc>
          <w:tcPr>
            <w:tcW w:w="1130" w:type="dxa"/>
            <w:shd w:val="clear" w:color="auto" w:fill="FFFFFF"/>
            <w:vAlign w:val="center"/>
          </w:tcPr>
          <w:p w14:paraId="64D87EFE">
            <w:pPr>
              <w:jc w:val="center"/>
            </w:pPr>
            <w:r>
              <w:rPr>
                <w:rFonts w:hint="eastAsia"/>
              </w:rPr>
              <w:t>实践</w:t>
            </w:r>
          </w:p>
          <w:p w14:paraId="608CB954">
            <w:pPr>
              <w:jc w:val="center"/>
            </w:pPr>
            <w:r>
              <w:t>项目名称</w:t>
            </w:r>
          </w:p>
        </w:tc>
        <w:tc>
          <w:tcPr>
            <w:tcW w:w="3792" w:type="dxa"/>
            <w:shd w:val="clear" w:color="auto" w:fill="FFFFFF"/>
            <w:vAlign w:val="center"/>
          </w:tcPr>
          <w:p w14:paraId="11AEAA4E">
            <w:pPr>
              <w:jc w:val="center"/>
            </w:pPr>
            <w:r>
              <w:rPr>
                <w:rFonts w:hint="eastAsia"/>
              </w:rPr>
              <w:t>实践</w:t>
            </w:r>
            <w:r>
              <w:t>内容</w:t>
            </w:r>
            <w:r>
              <w:rPr>
                <w:rFonts w:hint="eastAsia"/>
              </w:rPr>
              <w:t>及要求</w:t>
            </w:r>
          </w:p>
        </w:tc>
        <w:tc>
          <w:tcPr>
            <w:tcW w:w="591" w:type="dxa"/>
            <w:shd w:val="clear" w:color="auto" w:fill="FFFFFF"/>
            <w:vAlign w:val="center"/>
          </w:tcPr>
          <w:p w14:paraId="74C81D31">
            <w:pPr>
              <w:jc w:val="center"/>
            </w:pPr>
            <w:r>
              <w:t>学时</w:t>
            </w:r>
          </w:p>
        </w:tc>
        <w:tc>
          <w:tcPr>
            <w:tcW w:w="1534" w:type="dxa"/>
            <w:shd w:val="clear" w:color="auto" w:fill="FFFFFF"/>
            <w:vAlign w:val="center"/>
          </w:tcPr>
          <w:p w14:paraId="3C14DD1B">
            <w:pPr>
              <w:jc w:val="center"/>
            </w:pPr>
            <w:r>
              <w:t>对毕业要求的</w:t>
            </w:r>
          </w:p>
          <w:p w14:paraId="07733BD7">
            <w:pPr>
              <w:jc w:val="center"/>
            </w:pPr>
            <w:r>
              <w:t>支撑</w:t>
            </w:r>
          </w:p>
        </w:tc>
        <w:tc>
          <w:tcPr>
            <w:tcW w:w="708" w:type="dxa"/>
            <w:shd w:val="clear" w:color="auto" w:fill="FFFFFF"/>
            <w:tcMar>
              <w:left w:w="28" w:type="dxa"/>
              <w:right w:w="28" w:type="dxa"/>
            </w:tcMar>
            <w:vAlign w:val="center"/>
          </w:tcPr>
          <w:p w14:paraId="6ACB5136">
            <w:pPr>
              <w:jc w:val="center"/>
            </w:pPr>
            <w:r>
              <w:t>类型</w:t>
            </w:r>
          </w:p>
        </w:tc>
      </w:tr>
      <w:tr w14:paraId="5B15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522" w:type="dxa"/>
            <w:vAlign w:val="center"/>
          </w:tcPr>
          <w:p w14:paraId="7727F89A">
            <w:pPr>
              <w:jc w:val="center"/>
            </w:pPr>
            <w:r>
              <w:t>1</w:t>
            </w:r>
          </w:p>
        </w:tc>
        <w:tc>
          <w:tcPr>
            <w:tcW w:w="1130" w:type="dxa"/>
            <w:vAlign w:val="center"/>
          </w:tcPr>
          <w:p w14:paraId="53791F09">
            <w:pPr>
              <w:jc w:val="center"/>
            </w:pPr>
            <w:r>
              <w:rPr>
                <w:rFonts w:hint="eastAsia"/>
              </w:rPr>
              <w:t>智慧教室的应用学习</w:t>
            </w:r>
          </w:p>
        </w:tc>
        <w:tc>
          <w:tcPr>
            <w:tcW w:w="3792" w:type="dxa"/>
            <w:vAlign w:val="center"/>
          </w:tcPr>
          <w:p w14:paraId="68A8761B">
            <w:r>
              <w:rPr>
                <w:rFonts w:hint="eastAsia"/>
              </w:rPr>
              <w:t>实践</w:t>
            </w:r>
            <w:r>
              <w:t>内容</w:t>
            </w:r>
            <w:r>
              <w:rPr>
                <w:rFonts w:hint="eastAsia"/>
              </w:rPr>
              <w:t>：根据中小学常用的智慧教室配置，学习数字白板的使用。</w:t>
            </w:r>
          </w:p>
          <w:p w14:paraId="21C7E1D9">
            <w:r>
              <w:rPr>
                <w:rFonts w:hint="eastAsia"/>
              </w:rPr>
              <w:t>实践要求：利用数字白板制作一个课件。</w:t>
            </w:r>
          </w:p>
        </w:tc>
        <w:tc>
          <w:tcPr>
            <w:tcW w:w="591" w:type="dxa"/>
            <w:vAlign w:val="center"/>
          </w:tcPr>
          <w:p w14:paraId="0C2FF4DD">
            <w:pPr>
              <w:jc w:val="center"/>
            </w:pPr>
            <w:r>
              <w:t>2</w:t>
            </w:r>
          </w:p>
        </w:tc>
        <w:tc>
          <w:tcPr>
            <w:tcW w:w="1534" w:type="dxa"/>
            <w:vAlign w:val="center"/>
          </w:tcPr>
          <w:p w14:paraId="26D16A26">
            <w:pPr>
              <w:jc w:val="center"/>
              <w:rPr>
                <w:bCs/>
              </w:rPr>
            </w:pPr>
            <w:r>
              <w:rPr>
                <w:rFonts w:hint="eastAsia"/>
                <w:bCs/>
              </w:rPr>
              <w:t>指标点4-3</w:t>
            </w:r>
          </w:p>
        </w:tc>
        <w:tc>
          <w:tcPr>
            <w:tcW w:w="708" w:type="dxa"/>
            <w:tcMar>
              <w:left w:w="28" w:type="dxa"/>
              <w:right w:w="28" w:type="dxa"/>
            </w:tcMar>
            <w:vAlign w:val="center"/>
          </w:tcPr>
          <w:p w14:paraId="4AE1FF8F">
            <w:r>
              <w:rPr>
                <w:rFonts w:hint="eastAsia"/>
              </w:rPr>
              <w:t>设计性</w:t>
            </w:r>
          </w:p>
        </w:tc>
      </w:tr>
      <w:tr w14:paraId="36A6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522" w:type="dxa"/>
            <w:vAlign w:val="center"/>
          </w:tcPr>
          <w:p w14:paraId="70C950FA">
            <w:pPr>
              <w:jc w:val="center"/>
            </w:pPr>
            <w:r>
              <w:rPr>
                <w:rFonts w:hint="eastAsia"/>
              </w:rPr>
              <w:t>2</w:t>
            </w:r>
          </w:p>
        </w:tc>
        <w:tc>
          <w:tcPr>
            <w:tcW w:w="1130" w:type="dxa"/>
            <w:vAlign w:val="center"/>
          </w:tcPr>
          <w:p w14:paraId="763481B3">
            <w:pPr>
              <w:jc w:val="center"/>
            </w:pPr>
            <w:r>
              <w:rPr>
                <w:rFonts w:hint="eastAsia"/>
              </w:rPr>
              <w:t>图像设计与制作</w:t>
            </w:r>
          </w:p>
        </w:tc>
        <w:tc>
          <w:tcPr>
            <w:tcW w:w="3792" w:type="dxa"/>
            <w:vAlign w:val="center"/>
          </w:tcPr>
          <w:p w14:paraId="5760AC08">
            <w:r>
              <w:rPr>
                <w:rFonts w:hint="eastAsia"/>
              </w:rPr>
              <w:t>实践</w:t>
            </w:r>
            <w:r>
              <w:t>内容</w:t>
            </w:r>
            <w:r>
              <w:rPr>
                <w:rFonts w:hint="eastAsia"/>
              </w:rPr>
              <w:t>：利用Photoshop软件合成并处理教育资源相关图像</w:t>
            </w:r>
          </w:p>
          <w:p w14:paraId="32B4A06C">
            <w:r>
              <w:rPr>
                <w:rFonts w:hint="eastAsia"/>
              </w:rPr>
              <w:t>实践要求：提交一个PSD或JPG格式作品</w:t>
            </w:r>
            <w:r>
              <w:t>。</w:t>
            </w:r>
          </w:p>
        </w:tc>
        <w:tc>
          <w:tcPr>
            <w:tcW w:w="591" w:type="dxa"/>
            <w:vAlign w:val="center"/>
          </w:tcPr>
          <w:p w14:paraId="567B3031">
            <w:pPr>
              <w:jc w:val="center"/>
            </w:pPr>
            <w:r>
              <w:t>4</w:t>
            </w:r>
          </w:p>
        </w:tc>
        <w:tc>
          <w:tcPr>
            <w:tcW w:w="1534" w:type="dxa"/>
            <w:vAlign w:val="center"/>
          </w:tcPr>
          <w:p w14:paraId="4EF4A34A">
            <w:pPr>
              <w:jc w:val="center"/>
              <w:rPr>
                <w:bCs/>
              </w:rPr>
            </w:pPr>
            <w:r>
              <w:rPr>
                <w:rFonts w:hint="eastAsia"/>
                <w:bCs/>
              </w:rPr>
              <w:t>指标点4-3</w:t>
            </w:r>
          </w:p>
        </w:tc>
        <w:tc>
          <w:tcPr>
            <w:tcW w:w="708" w:type="dxa"/>
            <w:tcMar>
              <w:left w:w="28" w:type="dxa"/>
              <w:right w:w="28" w:type="dxa"/>
            </w:tcMar>
            <w:vAlign w:val="center"/>
          </w:tcPr>
          <w:p w14:paraId="1A291F68">
            <w:r>
              <w:rPr>
                <w:rFonts w:hint="eastAsia"/>
              </w:rPr>
              <w:t>设计性</w:t>
            </w:r>
          </w:p>
        </w:tc>
      </w:tr>
      <w:tr w14:paraId="0831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22" w:type="dxa"/>
            <w:vAlign w:val="center"/>
          </w:tcPr>
          <w:p w14:paraId="31F76844">
            <w:pPr>
              <w:jc w:val="center"/>
            </w:pPr>
            <w:r>
              <w:rPr>
                <w:rFonts w:hint="eastAsia"/>
              </w:rPr>
              <w:t>3</w:t>
            </w:r>
          </w:p>
        </w:tc>
        <w:tc>
          <w:tcPr>
            <w:tcW w:w="1130" w:type="dxa"/>
            <w:vAlign w:val="center"/>
          </w:tcPr>
          <w:p w14:paraId="7B67C3B4">
            <w:pPr>
              <w:jc w:val="center"/>
            </w:pPr>
            <w:r>
              <w:rPr>
                <w:rFonts w:hint="eastAsia"/>
              </w:rPr>
              <w:t>音频设计与制作</w:t>
            </w:r>
          </w:p>
        </w:tc>
        <w:tc>
          <w:tcPr>
            <w:tcW w:w="3792" w:type="dxa"/>
            <w:vAlign w:val="center"/>
          </w:tcPr>
          <w:p w14:paraId="56CBC9C6">
            <w:r>
              <w:rPr>
                <w:rFonts w:hint="eastAsia"/>
              </w:rPr>
              <w:t>实践</w:t>
            </w:r>
            <w:r>
              <w:t>内容</w:t>
            </w:r>
            <w:r>
              <w:rPr>
                <w:rFonts w:hint="eastAsia"/>
              </w:rPr>
              <w:t>：利用相关软件合成并处理音频资料。</w:t>
            </w:r>
          </w:p>
          <w:p w14:paraId="630894A8">
            <w:r>
              <w:rPr>
                <w:rFonts w:hint="eastAsia"/>
              </w:rPr>
              <w:t>实践要求：提交一个MP3格式的作品</w:t>
            </w:r>
            <w:r>
              <w:t>。</w:t>
            </w:r>
          </w:p>
        </w:tc>
        <w:tc>
          <w:tcPr>
            <w:tcW w:w="591" w:type="dxa"/>
            <w:vAlign w:val="center"/>
          </w:tcPr>
          <w:p w14:paraId="5B3BE82A">
            <w:pPr>
              <w:jc w:val="center"/>
            </w:pPr>
            <w:r>
              <w:t>2</w:t>
            </w:r>
          </w:p>
        </w:tc>
        <w:tc>
          <w:tcPr>
            <w:tcW w:w="1534" w:type="dxa"/>
            <w:vAlign w:val="center"/>
          </w:tcPr>
          <w:p w14:paraId="24468C1F">
            <w:pPr>
              <w:jc w:val="center"/>
              <w:rPr>
                <w:bCs/>
              </w:rPr>
            </w:pPr>
            <w:r>
              <w:rPr>
                <w:rFonts w:hint="eastAsia"/>
                <w:bCs/>
              </w:rPr>
              <w:t>指标点4-3</w:t>
            </w:r>
          </w:p>
        </w:tc>
        <w:tc>
          <w:tcPr>
            <w:tcW w:w="708" w:type="dxa"/>
            <w:tcMar>
              <w:left w:w="28" w:type="dxa"/>
              <w:right w:w="28" w:type="dxa"/>
            </w:tcMar>
            <w:vAlign w:val="center"/>
          </w:tcPr>
          <w:p w14:paraId="417A3437">
            <w:r>
              <w:rPr>
                <w:rFonts w:hint="eastAsia"/>
              </w:rPr>
              <w:t>设计性</w:t>
            </w:r>
          </w:p>
        </w:tc>
      </w:tr>
      <w:tr w14:paraId="6A62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522" w:type="dxa"/>
            <w:vAlign w:val="center"/>
          </w:tcPr>
          <w:p w14:paraId="7DCD9908">
            <w:pPr>
              <w:jc w:val="center"/>
            </w:pPr>
            <w:r>
              <w:rPr>
                <w:rFonts w:hint="eastAsia"/>
              </w:rPr>
              <w:t>4</w:t>
            </w:r>
          </w:p>
        </w:tc>
        <w:tc>
          <w:tcPr>
            <w:tcW w:w="1130" w:type="dxa"/>
            <w:vAlign w:val="center"/>
          </w:tcPr>
          <w:p w14:paraId="5374B9DF">
            <w:pPr>
              <w:jc w:val="center"/>
            </w:pPr>
            <w:r>
              <w:rPr>
                <w:rFonts w:hint="eastAsia"/>
              </w:rPr>
              <w:t>图形设计与制作</w:t>
            </w:r>
          </w:p>
        </w:tc>
        <w:tc>
          <w:tcPr>
            <w:tcW w:w="3792" w:type="dxa"/>
            <w:vAlign w:val="center"/>
          </w:tcPr>
          <w:p w14:paraId="400B847E">
            <w:r>
              <w:rPr>
                <w:rFonts w:hint="eastAsia"/>
              </w:rPr>
              <w:t>实践</w:t>
            </w:r>
            <w:r>
              <w:t>内容</w:t>
            </w:r>
            <w:r>
              <w:rPr>
                <w:rFonts w:hint="eastAsia"/>
              </w:rPr>
              <w:t>：利用CorelDRAW软件设计相关图形。</w:t>
            </w:r>
          </w:p>
          <w:p w14:paraId="14E69F81">
            <w:r>
              <w:rPr>
                <w:rFonts w:hint="eastAsia"/>
              </w:rPr>
              <w:t>实践要求：提交一个CDR格式的作品。</w:t>
            </w:r>
          </w:p>
        </w:tc>
        <w:tc>
          <w:tcPr>
            <w:tcW w:w="591" w:type="dxa"/>
            <w:vAlign w:val="center"/>
          </w:tcPr>
          <w:p w14:paraId="6E81E782">
            <w:pPr>
              <w:jc w:val="center"/>
            </w:pPr>
            <w:r>
              <w:rPr>
                <w:rFonts w:hint="eastAsia"/>
              </w:rPr>
              <w:t>4</w:t>
            </w:r>
          </w:p>
        </w:tc>
        <w:tc>
          <w:tcPr>
            <w:tcW w:w="1534" w:type="dxa"/>
            <w:vAlign w:val="center"/>
          </w:tcPr>
          <w:p w14:paraId="089B69A8">
            <w:pPr>
              <w:jc w:val="center"/>
              <w:rPr>
                <w:bCs/>
              </w:rPr>
            </w:pPr>
            <w:r>
              <w:rPr>
                <w:rFonts w:hint="eastAsia"/>
                <w:bCs/>
              </w:rPr>
              <w:t>指标点4-3</w:t>
            </w:r>
          </w:p>
        </w:tc>
        <w:tc>
          <w:tcPr>
            <w:tcW w:w="708" w:type="dxa"/>
            <w:tcMar>
              <w:left w:w="28" w:type="dxa"/>
              <w:right w:w="28" w:type="dxa"/>
            </w:tcMar>
            <w:vAlign w:val="center"/>
          </w:tcPr>
          <w:p w14:paraId="4D30F639">
            <w:r>
              <w:rPr>
                <w:rFonts w:hint="eastAsia"/>
              </w:rPr>
              <w:t>设计性</w:t>
            </w:r>
          </w:p>
        </w:tc>
      </w:tr>
      <w:tr w14:paraId="37424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jc w:val="center"/>
        </w:trPr>
        <w:tc>
          <w:tcPr>
            <w:tcW w:w="522" w:type="dxa"/>
            <w:vAlign w:val="center"/>
          </w:tcPr>
          <w:p w14:paraId="6844783F">
            <w:pPr>
              <w:jc w:val="center"/>
            </w:pPr>
            <w:r>
              <w:rPr>
                <w:rFonts w:hint="eastAsia"/>
              </w:rPr>
              <w:t>5</w:t>
            </w:r>
          </w:p>
        </w:tc>
        <w:tc>
          <w:tcPr>
            <w:tcW w:w="1130" w:type="dxa"/>
            <w:vAlign w:val="center"/>
          </w:tcPr>
          <w:p w14:paraId="25C5FDC7">
            <w:pPr>
              <w:jc w:val="center"/>
            </w:pPr>
            <w:r>
              <w:rPr>
                <w:rFonts w:hint="eastAsia"/>
              </w:rPr>
              <w:t>视频设计与制作</w:t>
            </w:r>
          </w:p>
        </w:tc>
        <w:tc>
          <w:tcPr>
            <w:tcW w:w="3792" w:type="dxa"/>
            <w:vAlign w:val="center"/>
          </w:tcPr>
          <w:p w14:paraId="37A57C8E">
            <w:r>
              <w:rPr>
                <w:rFonts w:hint="eastAsia"/>
              </w:rPr>
              <w:t>实践</w:t>
            </w:r>
            <w:r>
              <w:t>内容</w:t>
            </w:r>
            <w:r>
              <w:rPr>
                <w:rFonts w:hint="eastAsia"/>
              </w:rPr>
              <w:t>：结合前面所学图形、图像、音频相关知识设计制作一段视频。</w:t>
            </w:r>
          </w:p>
          <w:p w14:paraId="62A83571">
            <w:r>
              <w:rPr>
                <w:rFonts w:hint="eastAsia"/>
              </w:rPr>
              <w:t>实践要求：</w:t>
            </w:r>
            <w:r>
              <w:t>自选</w:t>
            </w:r>
            <w:r>
              <w:rPr>
                <w:rFonts w:hint="eastAsia"/>
              </w:rPr>
              <w:t>内容，提交一个MP4格式的作品。</w:t>
            </w:r>
          </w:p>
        </w:tc>
        <w:tc>
          <w:tcPr>
            <w:tcW w:w="591" w:type="dxa"/>
            <w:vAlign w:val="center"/>
          </w:tcPr>
          <w:p w14:paraId="6A17126E">
            <w:pPr>
              <w:jc w:val="center"/>
            </w:pPr>
            <w:r>
              <w:rPr>
                <w:rFonts w:hint="eastAsia"/>
              </w:rPr>
              <w:t>4</w:t>
            </w:r>
          </w:p>
        </w:tc>
        <w:tc>
          <w:tcPr>
            <w:tcW w:w="1534" w:type="dxa"/>
            <w:vAlign w:val="center"/>
          </w:tcPr>
          <w:p w14:paraId="122AF2C3">
            <w:pPr>
              <w:jc w:val="center"/>
              <w:rPr>
                <w:bCs/>
              </w:rPr>
            </w:pPr>
            <w:r>
              <w:rPr>
                <w:rFonts w:hint="eastAsia"/>
                <w:bCs/>
              </w:rPr>
              <w:t>指标点4-3</w:t>
            </w:r>
          </w:p>
        </w:tc>
        <w:tc>
          <w:tcPr>
            <w:tcW w:w="708" w:type="dxa"/>
            <w:tcMar>
              <w:left w:w="28" w:type="dxa"/>
              <w:right w:w="28" w:type="dxa"/>
            </w:tcMar>
            <w:vAlign w:val="center"/>
          </w:tcPr>
          <w:p w14:paraId="14AFCC6E">
            <w:r>
              <w:rPr>
                <w:rFonts w:hint="eastAsia"/>
              </w:rPr>
              <w:t>设计性</w:t>
            </w:r>
          </w:p>
        </w:tc>
      </w:tr>
    </w:tbl>
    <w:p w14:paraId="043E05E8">
      <w:pPr>
        <w:spacing w:before="62" w:beforeLines="20" w:after="62" w:afterLines="20" w:line="360" w:lineRule="auto"/>
        <w:rPr>
          <w:rFonts w:hint="eastAsia" w:ascii="宋体" w:hAnsi="宋体" w:eastAsia="宋体" w:cs="宋体"/>
          <w:b/>
          <w:bCs/>
          <w:sz w:val="24"/>
          <w:szCs w:val="32"/>
        </w:rPr>
      </w:pPr>
    </w:p>
    <w:p w14:paraId="5A75586A">
      <w:pPr>
        <w:spacing w:before="62" w:beforeLines="20" w:after="62" w:afterLines="20" w:line="360" w:lineRule="auto"/>
        <w:rPr>
          <w:rFonts w:hint="eastAsia" w:ascii="宋体" w:hAnsi="宋体" w:eastAsia="宋体" w:cs="宋体"/>
          <w:b/>
          <w:bCs/>
          <w:sz w:val="24"/>
          <w:szCs w:val="32"/>
        </w:rPr>
      </w:pPr>
    </w:p>
    <w:p w14:paraId="62CDD11E">
      <w:pPr>
        <w:spacing w:before="62" w:beforeLines="20" w:after="62" w:afterLines="20" w:line="360" w:lineRule="auto"/>
        <w:rPr>
          <w:rFonts w:hint="eastAsia" w:ascii="宋体" w:hAnsi="宋体" w:eastAsia="宋体" w:cs="宋体"/>
          <w:b/>
          <w:bCs/>
          <w:sz w:val="24"/>
          <w:szCs w:val="32"/>
        </w:rPr>
      </w:pPr>
      <w:r>
        <w:rPr>
          <w:rFonts w:hint="eastAsia" w:ascii="宋体" w:hAnsi="宋体" w:eastAsia="宋体" w:cs="宋体"/>
          <w:b/>
          <w:bCs/>
          <w:sz w:val="24"/>
          <w:szCs w:val="32"/>
        </w:rPr>
        <w:t>五、课程考核</w:t>
      </w:r>
    </w:p>
    <w:p w14:paraId="0CDC5A59">
      <w:pPr>
        <w:spacing w:line="360" w:lineRule="auto"/>
        <w:ind w:firstLine="420" w:firstLineChars="200"/>
      </w:pPr>
      <w:r>
        <w:rPr>
          <w:rFonts w:hint="eastAsia"/>
        </w:rPr>
        <w:t>（一）</w:t>
      </w:r>
      <w:r>
        <w:t>课程考核包括平时及</w:t>
      </w:r>
      <w:r>
        <w:rPr>
          <w:rFonts w:hint="eastAsia"/>
        </w:rPr>
        <w:t>期末</w:t>
      </w:r>
      <w:r>
        <w:t>作业考核和</w:t>
      </w:r>
      <w:r>
        <w:rPr>
          <w:rFonts w:hint="eastAsia"/>
        </w:rPr>
        <w:t>实践</w:t>
      </w:r>
      <w:r>
        <w:t>考核</w:t>
      </w:r>
      <w:r>
        <w:rPr>
          <w:rFonts w:hint="eastAsia"/>
        </w:rPr>
        <w:t>等</w:t>
      </w:r>
      <w:r>
        <w:t>。</w:t>
      </w:r>
    </w:p>
    <w:p w14:paraId="7C82B1C4">
      <w:pPr>
        <w:spacing w:line="360" w:lineRule="auto"/>
        <w:ind w:firstLine="420" w:firstLineChars="200"/>
      </w:pPr>
      <w:r>
        <w:rPr>
          <w:rFonts w:hint="eastAsia"/>
        </w:rPr>
        <w:t>（二）</w:t>
      </w:r>
      <w:r>
        <w:t>课程</w:t>
      </w:r>
      <w:r>
        <w:rPr>
          <w:rFonts w:hint="eastAsia"/>
        </w:rPr>
        <w:t>总评</w:t>
      </w:r>
      <w:r>
        <w:t>成绩=平时成绩×</w:t>
      </w:r>
      <w:r>
        <w:rPr>
          <w:rFonts w:hint="eastAsia"/>
        </w:rPr>
        <w:t>50</w:t>
      </w:r>
      <w:r>
        <w:t>%+期末</w:t>
      </w:r>
      <w:r>
        <w:rPr>
          <w:rFonts w:hint="eastAsia"/>
        </w:rPr>
        <w:t>考核</w:t>
      </w:r>
      <w:r>
        <w:t>×</w:t>
      </w:r>
      <w:r>
        <w:rPr>
          <w:rFonts w:hint="eastAsia"/>
        </w:rPr>
        <w:t>50</w:t>
      </w:r>
      <w:r>
        <w:t>%。</w:t>
      </w:r>
    </w:p>
    <w:p w14:paraId="3CEA9734">
      <w:pPr>
        <w:spacing w:line="360" w:lineRule="auto"/>
        <w:ind w:firstLine="420" w:firstLineChars="200"/>
      </w:pPr>
      <w:r>
        <w:t>平时成绩=</w:t>
      </w:r>
      <w:r>
        <w:rPr>
          <w:rFonts w:hint="eastAsia"/>
        </w:rPr>
        <w:t>作业成绩</w:t>
      </w:r>
      <w:r>
        <w:t>×</w:t>
      </w:r>
      <w:r>
        <w:rPr>
          <w:rFonts w:hint="eastAsia"/>
        </w:rPr>
        <w:t>20</w:t>
      </w:r>
      <w:r>
        <w:t>%</w:t>
      </w:r>
      <w:r>
        <w:rPr>
          <w:rFonts w:hint="eastAsia"/>
        </w:rPr>
        <w:t>+实践</w:t>
      </w:r>
      <w:r>
        <w:t>成绩×</w:t>
      </w:r>
      <w:r>
        <w:rPr>
          <w:rFonts w:hint="eastAsia"/>
        </w:rPr>
        <w:t>80</w:t>
      </w:r>
      <w:r>
        <w:t>%</w:t>
      </w:r>
    </w:p>
    <w:p w14:paraId="0EB7680E">
      <w:pPr>
        <w:spacing w:line="360" w:lineRule="auto"/>
        <w:ind w:firstLine="420" w:firstLineChars="200"/>
      </w:pPr>
      <w:r>
        <w:t>具体内容和比例</w:t>
      </w:r>
      <w:r>
        <w:rPr>
          <w:rFonts w:hint="eastAsia"/>
        </w:rPr>
        <w:t>如表所示：</w:t>
      </w:r>
    </w:p>
    <w:tbl>
      <w:tblPr>
        <w:tblStyle w:val="11"/>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667"/>
        <w:gridCol w:w="697"/>
        <w:gridCol w:w="3567"/>
        <w:gridCol w:w="1707"/>
      </w:tblGrid>
      <w:tr w14:paraId="46D5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2" w:type="dxa"/>
            <w:shd w:val="clear" w:color="auto" w:fill="FFFFFF"/>
            <w:tcMar>
              <w:left w:w="57" w:type="dxa"/>
              <w:right w:w="57" w:type="dxa"/>
            </w:tcMar>
            <w:vAlign w:val="center"/>
          </w:tcPr>
          <w:p w14:paraId="2D1FA379">
            <w:pPr>
              <w:jc w:val="center"/>
            </w:pPr>
            <w:r>
              <w:t>成绩组成</w:t>
            </w:r>
          </w:p>
        </w:tc>
        <w:tc>
          <w:tcPr>
            <w:tcW w:w="1667" w:type="dxa"/>
            <w:shd w:val="clear" w:color="auto" w:fill="FFFFFF"/>
            <w:vAlign w:val="center"/>
          </w:tcPr>
          <w:p w14:paraId="31CF3040">
            <w:pPr>
              <w:jc w:val="center"/>
            </w:pPr>
            <w:r>
              <w:t>考核/</w:t>
            </w:r>
          </w:p>
          <w:p w14:paraId="747AD22D">
            <w:pPr>
              <w:jc w:val="center"/>
            </w:pPr>
            <w:r>
              <w:t>评价环节</w:t>
            </w:r>
          </w:p>
        </w:tc>
        <w:tc>
          <w:tcPr>
            <w:tcW w:w="697" w:type="dxa"/>
            <w:shd w:val="clear" w:color="auto" w:fill="FFFFFF"/>
            <w:vAlign w:val="center"/>
          </w:tcPr>
          <w:p w14:paraId="26DDFAC4">
            <w:pPr>
              <w:jc w:val="center"/>
            </w:pPr>
            <w:r>
              <w:rPr>
                <w:rFonts w:hint="eastAsia"/>
              </w:rPr>
              <w:t>权重</w:t>
            </w:r>
          </w:p>
        </w:tc>
        <w:tc>
          <w:tcPr>
            <w:tcW w:w="3567" w:type="dxa"/>
            <w:shd w:val="clear" w:color="auto" w:fill="FFFFFF"/>
            <w:vAlign w:val="center"/>
          </w:tcPr>
          <w:p w14:paraId="2CE9F2C4">
            <w:pPr>
              <w:jc w:val="center"/>
            </w:pPr>
            <w:r>
              <w:t>考核/评价细则</w:t>
            </w:r>
          </w:p>
        </w:tc>
        <w:tc>
          <w:tcPr>
            <w:tcW w:w="1707" w:type="dxa"/>
            <w:shd w:val="clear" w:color="auto" w:fill="FFFFFF"/>
            <w:vAlign w:val="center"/>
          </w:tcPr>
          <w:p w14:paraId="26132092">
            <w:pPr>
              <w:jc w:val="center"/>
            </w:pPr>
            <w:r>
              <w:t>对应的毕业要求指标点</w:t>
            </w:r>
          </w:p>
        </w:tc>
      </w:tr>
      <w:tr w14:paraId="1894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52" w:type="dxa"/>
            <w:tcMar>
              <w:left w:w="57" w:type="dxa"/>
              <w:right w:w="57" w:type="dxa"/>
            </w:tcMar>
            <w:vAlign w:val="center"/>
          </w:tcPr>
          <w:p w14:paraId="00DB891F">
            <w:r>
              <w:t>平时成绩</w:t>
            </w:r>
          </w:p>
        </w:tc>
        <w:tc>
          <w:tcPr>
            <w:tcW w:w="1667" w:type="dxa"/>
            <w:vAlign w:val="center"/>
          </w:tcPr>
          <w:p w14:paraId="01282C21">
            <w:pPr>
              <w:jc w:val="center"/>
            </w:pPr>
            <w:r>
              <w:t>电子（书面）作业+课堂表现</w:t>
            </w:r>
          </w:p>
        </w:tc>
        <w:tc>
          <w:tcPr>
            <w:tcW w:w="697" w:type="dxa"/>
            <w:vAlign w:val="center"/>
          </w:tcPr>
          <w:p w14:paraId="7D319480">
            <w:pPr>
              <w:jc w:val="center"/>
            </w:pPr>
            <w:r>
              <w:t>10%</w:t>
            </w:r>
          </w:p>
        </w:tc>
        <w:tc>
          <w:tcPr>
            <w:tcW w:w="3567" w:type="dxa"/>
            <w:vAlign w:val="center"/>
          </w:tcPr>
          <w:p w14:paraId="721AE5C6">
            <w:r>
              <w:t>教师根据学生完成作业的质量评定相应的成绩。学生出勤及课堂表现与平时成绩挂钩</w:t>
            </w:r>
          </w:p>
        </w:tc>
        <w:tc>
          <w:tcPr>
            <w:tcW w:w="1707" w:type="dxa"/>
            <w:vAlign w:val="center"/>
          </w:tcPr>
          <w:p w14:paraId="0CEDC469">
            <w:pPr>
              <w:jc w:val="center"/>
              <w:rPr>
                <w:bCs/>
              </w:rPr>
            </w:pPr>
            <w:r>
              <w:rPr>
                <w:rFonts w:hint="eastAsia"/>
                <w:bCs/>
              </w:rPr>
              <w:t>指标点4-3</w:t>
            </w:r>
          </w:p>
        </w:tc>
      </w:tr>
      <w:tr w14:paraId="691D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052" w:type="dxa"/>
            <w:tcMar>
              <w:left w:w="57" w:type="dxa"/>
              <w:right w:w="57" w:type="dxa"/>
            </w:tcMar>
            <w:vAlign w:val="center"/>
          </w:tcPr>
          <w:p w14:paraId="1875A686">
            <w:r>
              <w:rPr>
                <w:rFonts w:hint="eastAsia"/>
              </w:rPr>
              <w:t>实践</w:t>
            </w:r>
            <w:r>
              <w:t>成绩</w:t>
            </w:r>
          </w:p>
        </w:tc>
        <w:tc>
          <w:tcPr>
            <w:tcW w:w="1667" w:type="dxa"/>
            <w:vAlign w:val="center"/>
          </w:tcPr>
          <w:p w14:paraId="7482243D">
            <w:pPr>
              <w:jc w:val="center"/>
            </w:pPr>
            <w:r>
              <w:t>课内实践</w:t>
            </w:r>
          </w:p>
        </w:tc>
        <w:tc>
          <w:tcPr>
            <w:tcW w:w="697" w:type="dxa"/>
            <w:vAlign w:val="center"/>
          </w:tcPr>
          <w:p w14:paraId="3FB535E4">
            <w:pPr>
              <w:jc w:val="center"/>
            </w:pPr>
            <w:r>
              <w:rPr>
                <w:rFonts w:hint="eastAsia"/>
              </w:rPr>
              <w:t>4</w:t>
            </w:r>
            <w:r>
              <w:t>0%</w:t>
            </w:r>
          </w:p>
        </w:tc>
        <w:tc>
          <w:tcPr>
            <w:tcW w:w="3567" w:type="dxa"/>
            <w:vAlign w:val="center"/>
          </w:tcPr>
          <w:p w14:paraId="25E13DE0">
            <w:r>
              <w:t>按照要求完成素材的采集，各种多媒体应用软件的操作，必须有自己的思想，不得让他人代操作、不能使用网上下载的作品。教师根据学生完成要求的质量评定相应的成绩。</w:t>
            </w:r>
          </w:p>
        </w:tc>
        <w:tc>
          <w:tcPr>
            <w:tcW w:w="1707" w:type="dxa"/>
            <w:vAlign w:val="center"/>
          </w:tcPr>
          <w:p w14:paraId="4D0F903E">
            <w:pPr>
              <w:jc w:val="center"/>
              <w:rPr>
                <w:bCs/>
              </w:rPr>
            </w:pPr>
            <w:r>
              <w:rPr>
                <w:rFonts w:hint="eastAsia"/>
                <w:bCs/>
              </w:rPr>
              <w:t>指标点4-3</w:t>
            </w:r>
          </w:p>
        </w:tc>
      </w:tr>
      <w:tr w14:paraId="5B35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052" w:type="dxa"/>
            <w:tcMar>
              <w:left w:w="57" w:type="dxa"/>
              <w:right w:w="57" w:type="dxa"/>
            </w:tcMar>
            <w:vAlign w:val="center"/>
          </w:tcPr>
          <w:p w14:paraId="2AF19ADB">
            <w:r>
              <w:t>期末考核</w:t>
            </w:r>
          </w:p>
        </w:tc>
        <w:tc>
          <w:tcPr>
            <w:tcW w:w="1667" w:type="dxa"/>
            <w:vAlign w:val="center"/>
          </w:tcPr>
          <w:p w14:paraId="11CE7DEE">
            <w:pPr>
              <w:jc w:val="center"/>
            </w:pPr>
            <w:r>
              <w:t>期末考核</w:t>
            </w:r>
          </w:p>
        </w:tc>
        <w:tc>
          <w:tcPr>
            <w:tcW w:w="697" w:type="dxa"/>
            <w:vAlign w:val="center"/>
          </w:tcPr>
          <w:p w14:paraId="39C1DA0B">
            <w:pPr>
              <w:jc w:val="center"/>
            </w:pPr>
            <w:r>
              <w:rPr>
                <w:rFonts w:hint="eastAsia"/>
              </w:rPr>
              <w:t>5</w:t>
            </w:r>
            <w:r>
              <w:t>0%</w:t>
            </w:r>
          </w:p>
        </w:tc>
        <w:tc>
          <w:tcPr>
            <w:tcW w:w="3567" w:type="dxa"/>
            <w:vAlign w:val="center"/>
          </w:tcPr>
          <w:p w14:paraId="5CD6B5E1">
            <w:r>
              <w:rPr>
                <w:rFonts w:hint="eastAsia"/>
              </w:rPr>
              <w:t>考核主要考察学生针对特定教学任务，充分、合理运用信息技术、数字资源和信息化教学环境进行教学设计和实际教学，并将教学的过程制作成为学习资源的能力。</w:t>
            </w:r>
          </w:p>
        </w:tc>
        <w:tc>
          <w:tcPr>
            <w:tcW w:w="1707" w:type="dxa"/>
            <w:vAlign w:val="center"/>
          </w:tcPr>
          <w:p w14:paraId="340C696E">
            <w:pPr>
              <w:jc w:val="center"/>
              <w:rPr>
                <w:bCs/>
              </w:rPr>
            </w:pPr>
            <w:r>
              <w:rPr>
                <w:rFonts w:hint="eastAsia"/>
                <w:bCs/>
              </w:rPr>
              <w:t>指标点4-3</w:t>
            </w:r>
          </w:p>
        </w:tc>
      </w:tr>
    </w:tbl>
    <w:p w14:paraId="2EC8CFBB">
      <w:pPr>
        <w:ind w:firstLine="420" w:firstLineChars="200"/>
      </w:pPr>
      <w:r>
        <w:t>（三）</w:t>
      </w:r>
      <w:r>
        <w:rPr>
          <w:rFonts w:hint="eastAsia"/>
        </w:rPr>
        <w:t>课程目标及考核方式权重分配表</w:t>
      </w:r>
    </w:p>
    <w:tbl>
      <w:tblPr>
        <w:tblStyle w:val="11"/>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1541"/>
        <w:gridCol w:w="2465"/>
        <w:gridCol w:w="2346"/>
      </w:tblGrid>
      <w:tr w14:paraId="0FD6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403" w:type="dxa"/>
            <w:gridSpan w:val="2"/>
            <w:tcBorders>
              <w:tl2br w:val="nil"/>
              <w:tr2bl w:val="nil"/>
            </w:tcBorders>
            <w:vAlign w:val="center"/>
          </w:tcPr>
          <w:p w14:paraId="68D60655">
            <w:pPr>
              <w:jc w:val="center"/>
            </w:pPr>
            <w:r>
              <w:rPr>
                <w:rFonts w:hint="eastAsia"/>
              </w:rPr>
              <w:t>课程目标及权重</w:t>
            </w:r>
          </w:p>
        </w:tc>
        <w:tc>
          <w:tcPr>
            <w:tcW w:w="4426" w:type="dxa"/>
            <w:gridSpan w:val="2"/>
            <w:tcBorders>
              <w:tl2br w:val="nil"/>
              <w:tr2bl w:val="nil"/>
            </w:tcBorders>
            <w:vAlign w:val="center"/>
          </w:tcPr>
          <w:p w14:paraId="75BDDD11">
            <w:pPr>
              <w:jc w:val="center"/>
            </w:pPr>
            <w:r>
              <w:rPr>
                <w:rFonts w:hint="eastAsia"/>
              </w:rPr>
              <w:t>考核方式及权重</w:t>
            </w:r>
          </w:p>
        </w:tc>
      </w:tr>
      <w:tr w14:paraId="76C1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985" w:type="dxa"/>
            <w:tcBorders>
              <w:tl2br w:val="nil"/>
              <w:tr2bl w:val="nil"/>
            </w:tcBorders>
            <w:vAlign w:val="center"/>
          </w:tcPr>
          <w:p w14:paraId="3EBC47E2">
            <w:pPr>
              <w:jc w:val="center"/>
            </w:pPr>
            <w:r>
              <w:rPr>
                <w:rFonts w:hint="eastAsia"/>
              </w:rPr>
              <w:t>项目</w:t>
            </w:r>
          </w:p>
        </w:tc>
        <w:tc>
          <w:tcPr>
            <w:tcW w:w="1418" w:type="dxa"/>
            <w:tcBorders>
              <w:tl2br w:val="nil"/>
              <w:tr2bl w:val="nil"/>
            </w:tcBorders>
            <w:vAlign w:val="center"/>
          </w:tcPr>
          <w:p w14:paraId="581E84F6">
            <w:pPr>
              <w:jc w:val="center"/>
            </w:pPr>
            <w:r>
              <w:rPr>
                <w:rFonts w:hint="eastAsia"/>
              </w:rPr>
              <w:t>权重（</w:t>
            </w:r>
            <w:r>
              <w:t>a</w:t>
            </w:r>
            <w:r>
              <w:rPr>
                <w:rFonts w:hint="eastAsia"/>
              </w:rPr>
              <w:t>）</w:t>
            </w:r>
          </w:p>
        </w:tc>
        <w:tc>
          <w:tcPr>
            <w:tcW w:w="2268" w:type="dxa"/>
            <w:tcBorders>
              <w:tl2br w:val="nil"/>
              <w:tr2bl w:val="nil"/>
            </w:tcBorders>
            <w:vAlign w:val="center"/>
          </w:tcPr>
          <w:p w14:paraId="25DFC5BC">
            <w:pPr>
              <w:jc w:val="center"/>
            </w:pPr>
            <w:r>
              <w:rPr>
                <w:rFonts w:hint="eastAsia"/>
              </w:rPr>
              <w:t>评价依据</w:t>
            </w:r>
          </w:p>
        </w:tc>
        <w:tc>
          <w:tcPr>
            <w:tcW w:w="2158" w:type="dxa"/>
            <w:tcBorders>
              <w:tl2br w:val="nil"/>
              <w:tr2bl w:val="nil"/>
            </w:tcBorders>
            <w:vAlign w:val="center"/>
          </w:tcPr>
          <w:p w14:paraId="14B17426">
            <w:pPr>
              <w:jc w:val="center"/>
            </w:pPr>
            <w:r>
              <w:rPr>
                <w:rFonts w:hint="eastAsia"/>
              </w:rPr>
              <w:t>权重（</w:t>
            </w:r>
            <w:r>
              <w:t>b</w:t>
            </w:r>
            <w:r>
              <w:rPr>
                <w:rFonts w:hint="eastAsia"/>
              </w:rPr>
              <w:t>）</w:t>
            </w:r>
          </w:p>
        </w:tc>
      </w:tr>
      <w:tr w14:paraId="532A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vAlign w:val="center"/>
          </w:tcPr>
          <w:p w14:paraId="7982E369">
            <w:pPr>
              <w:jc w:val="center"/>
            </w:pPr>
            <w:r>
              <w:rPr>
                <w:rFonts w:hint="eastAsia"/>
              </w:rPr>
              <w:t>课程目标</w:t>
            </w:r>
            <w:r>
              <w:t>1</w:t>
            </w:r>
          </w:p>
        </w:tc>
        <w:tc>
          <w:tcPr>
            <w:tcW w:w="1418" w:type="dxa"/>
            <w:vMerge w:val="restart"/>
            <w:tcBorders>
              <w:tl2br w:val="nil"/>
              <w:tr2bl w:val="nil"/>
            </w:tcBorders>
            <w:vAlign w:val="center"/>
          </w:tcPr>
          <w:p w14:paraId="2D5B38BE">
            <w:pPr>
              <w:jc w:val="center"/>
            </w:pPr>
            <w:r>
              <w:t>2</w:t>
            </w:r>
            <w:r>
              <w:rPr>
                <w:rFonts w:hint="eastAsia"/>
              </w:rPr>
              <w:t>0%</w:t>
            </w:r>
          </w:p>
        </w:tc>
        <w:tc>
          <w:tcPr>
            <w:tcW w:w="2268" w:type="dxa"/>
            <w:tcBorders>
              <w:tl2br w:val="nil"/>
              <w:tr2bl w:val="nil"/>
            </w:tcBorders>
            <w:vAlign w:val="center"/>
          </w:tcPr>
          <w:p w14:paraId="1F9CA5C5">
            <w:pPr>
              <w:jc w:val="center"/>
            </w:pPr>
            <w:r>
              <w:rPr>
                <w:rFonts w:hint="eastAsia"/>
              </w:rPr>
              <w:t>作业+课堂表现</w:t>
            </w:r>
          </w:p>
        </w:tc>
        <w:tc>
          <w:tcPr>
            <w:tcW w:w="2158" w:type="dxa"/>
            <w:tcBorders>
              <w:tl2br w:val="nil"/>
              <w:tr2bl w:val="nil"/>
            </w:tcBorders>
            <w:vAlign w:val="center"/>
          </w:tcPr>
          <w:p w14:paraId="57903AC0">
            <w:pPr>
              <w:jc w:val="center"/>
            </w:pPr>
            <w:r>
              <w:rPr>
                <w:rFonts w:hint="eastAsia"/>
              </w:rPr>
              <w:t>1</w:t>
            </w:r>
            <w:r>
              <w:t>0</w:t>
            </w:r>
            <w:r>
              <w:rPr>
                <w:rFonts w:hint="eastAsia"/>
              </w:rPr>
              <w:t>%</w:t>
            </w:r>
          </w:p>
        </w:tc>
      </w:tr>
      <w:tr w14:paraId="2DDA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985" w:type="dxa"/>
            <w:vMerge w:val="continue"/>
            <w:tcBorders>
              <w:tl2br w:val="nil"/>
              <w:tr2bl w:val="nil"/>
            </w:tcBorders>
            <w:vAlign w:val="center"/>
          </w:tcPr>
          <w:p w14:paraId="299AEC21">
            <w:pPr>
              <w:jc w:val="center"/>
            </w:pPr>
          </w:p>
        </w:tc>
        <w:tc>
          <w:tcPr>
            <w:tcW w:w="1418" w:type="dxa"/>
            <w:vMerge w:val="continue"/>
            <w:tcBorders>
              <w:tl2br w:val="nil"/>
              <w:tr2bl w:val="nil"/>
            </w:tcBorders>
            <w:vAlign w:val="center"/>
          </w:tcPr>
          <w:p w14:paraId="37618308">
            <w:pPr>
              <w:jc w:val="center"/>
            </w:pPr>
          </w:p>
        </w:tc>
        <w:tc>
          <w:tcPr>
            <w:tcW w:w="2268" w:type="dxa"/>
            <w:tcBorders>
              <w:bottom w:val="single" w:color="000000" w:sz="4" w:space="0"/>
              <w:tl2br w:val="nil"/>
              <w:tr2bl w:val="nil"/>
            </w:tcBorders>
            <w:vAlign w:val="center"/>
          </w:tcPr>
          <w:p w14:paraId="32ECA9F7">
            <w:pPr>
              <w:jc w:val="center"/>
            </w:pPr>
            <w:r>
              <w:rPr>
                <w:rFonts w:hint="eastAsia"/>
              </w:rPr>
              <w:t>课内实践</w:t>
            </w:r>
          </w:p>
        </w:tc>
        <w:tc>
          <w:tcPr>
            <w:tcW w:w="2158" w:type="dxa"/>
            <w:tcBorders>
              <w:bottom w:val="single" w:color="000000" w:sz="4" w:space="0"/>
              <w:tl2br w:val="nil"/>
              <w:tr2bl w:val="nil"/>
            </w:tcBorders>
            <w:vAlign w:val="center"/>
          </w:tcPr>
          <w:p w14:paraId="3C413D53">
            <w:pPr>
              <w:jc w:val="center"/>
            </w:pPr>
            <w:r>
              <w:rPr>
                <w:rFonts w:hint="eastAsia"/>
              </w:rPr>
              <w:t>4</w:t>
            </w:r>
            <w:r>
              <w:t>0</w:t>
            </w:r>
            <w:r>
              <w:rPr>
                <w:rFonts w:hint="eastAsia"/>
              </w:rPr>
              <w:t>%</w:t>
            </w:r>
          </w:p>
        </w:tc>
      </w:tr>
      <w:tr w14:paraId="5A76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985" w:type="dxa"/>
            <w:vMerge w:val="continue"/>
            <w:tcBorders>
              <w:tl2br w:val="nil"/>
              <w:tr2bl w:val="nil"/>
            </w:tcBorders>
            <w:vAlign w:val="center"/>
          </w:tcPr>
          <w:p w14:paraId="30E4A729">
            <w:pPr>
              <w:jc w:val="center"/>
            </w:pPr>
          </w:p>
        </w:tc>
        <w:tc>
          <w:tcPr>
            <w:tcW w:w="1418" w:type="dxa"/>
            <w:vMerge w:val="continue"/>
            <w:tcBorders>
              <w:tl2br w:val="nil"/>
              <w:tr2bl w:val="nil"/>
            </w:tcBorders>
            <w:vAlign w:val="center"/>
          </w:tcPr>
          <w:p w14:paraId="4EEDAA42">
            <w:pPr>
              <w:jc w:val="center"/>
            </w:pPr>
          </w:p>
        </w:tc>
        <w:tc>
          <w:tcPr>
            <w:tcW w:w="2268" w:type="dxa"/>
            <w:tcBorders>
              <w:top w:val="single" w:color="000000" w:sz="4" w:space="0"/>
              <w:tl2br w:val="nil"/>
              <w:tr2bl w:val="nil"/>
            </w:tcBorders>
            <w:vAlign w:val="center"/>
          </w:tcPr>
          <w:p w14:paraId="0EA98211">
            <w:pPr>
              <w:jc w:val="center"/>
            </w:pPr>
            <w:r>
              <w:t>期末考核</w:t>
            </w:r>
          </w:p>
        </w:tc>
        <w:tc>
          <w:tcPr>
            <w:tcW w:w="2158" w:type="dxa"/>
            <w:tcBorders>
              <w:top w:val="single" w:color="000000" w:sz="4" w:space="0"/>
              <w:tl2br w:val="nil"/>
              <w:tr2bl w:val="nil"/>
            </w:tcBorders>
            <w:vAlign w:val="center"/>
          </w:tcPr>
          <w:p w14:paraId="17EF82B8">
            <w:pPr>
              <w:jc w:val="center"/>
            </w:pPr>
            <w:r>
              <w:rPr>
                <w:rFonts w:hint="eastAsia"/>
              </w:rPr>
              <w:t>50%</w:t>
            </w:r>
          </w:p>
        </w:tc>
      </w:tr>
      <w:tr w14:paraId="099F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vAlign w:val="center"/>
          </w:tcPr>
          <w:p w14:paraId="138C68C5">
            <w:pPr>
              <w:jc w:val="center"/>
            </w:pPr>
            <w:r>
              <w:rPr>
                <w:rFonts w:hint="eastAsia"/>
              </w:rPr>
              <w:t>课程目标</w:t>
            </w:r>
            <w:r>
              <w:t>2</w:t>
            </w:r>
          </w:p>
        </w:tc>
        <w:tc>
          <w:tcPr>
            <w:tcW w:w="1418" w:type="dxa"/>
            <w:vMerge w:val="restart"/>
            <w:tcBorders>
              <w:tl2br w:val="nil"/>
              <w:tr2bl w:val="nil"/>
            </w:tcBorders>
            <w:vAlign w:val="center"/>
          </w:tcPr>
          <w:p w14:paraId="0C9BFC66">
            <w:pPr>
              <w:jc w:val="center"/>
            </w:pPr>
            <w:r>
              <w:t>50</w:t>
            </w:r>
            <w:r>
              <w:rPr>
                <w:rFonts w:hint="eastAsia"/>
              </w:rPr>
              <w:t>%</w:t>
            </w:r>
          </w:p>
        </w:tc>
        <w:tc>
          <w:tcPr>
            <w:tcW w:w="2268" w:type="dxa"/>
            <w:tcBorders>
              <w:tl2br w:val="nil"/>
              <w:tr2bl w:val="nil"/>
            </w:tcBorders>
            <w:vAlign w:val="center"/>
          </w:tcPr>
          <w:p w14:paraId="572E9CAF">
            <w:pPr>
              <w:jc w:val="center"/>
            </w:pPr>
            <w:r>
              <w:rPr>
                <w:rFonts w:hint="eastAsia"/>
              </w:rPr>
              <w:t>作业+课堂表现</w:t>
            </w:r>
          </w:p>
        </w:tc>
        <w:tc>
          <w:tcPr>
            <w:tcW w:w="2158" w:type="dxa"/>
            <w:tcBorders>
              <w:tl2br w:val="nil"/>
              <w:tr2bl w:val="nil"/>
            </w:tcBorders>
            <w:vAlign w:val="center"/>
          </w:tcPr>
          <w:p w14:paraId="323DD84A">
            <w:pPr>
              <w:jc w:val="center"/>
            </w:pPr>
            <w:r>
              <w:rPr>
                <w:rFonts w:hint="eastAsia"/>
              </w:rPr>
              <w:t>1</w:t>
            </w:r>
            <w:r>
              <w:t>0</w:t>
            </w:r>
            <w:r>
              <w:rPr>
                <w:rFonts w:hint="eastAsia"/>
              </w:rPr>
              <w:t>%</w:t>
            </w:r>
          </w:p>
        </w:tc>
      </w:tr>
      <w:tr w14:paraId="485C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985" w:type="dxa"/>
            <w:vMerge w:val="continue"/>
            <w:tcBorders>
              <w:tl2br w:val="nil"/>
              <w:tr2bl w:val="nil"/>
            </w:tcBorders>
            <w:vAlign w:val="center"/>
          </w:tcPr>
          <w:p w14:paraId="44086CCD">
            <w:pPr>
              <w:jc w:val="center"/>
            </w:pPr>
          </w:p>
        </w:tc>
        <w:tc>
          <w:tcPr>
            <w:tcW w:w="1418" w:type="dxa"/>
            <w:vMerge w:val="continue"/>
            <w:tcBorders>
              <w:tl2br w:val="nil"/>
              <w:tr2bl w:val="nil"/>
            </w:tcBorders>
            <w:vAlign w:val="center"/>
          </w:tcPr>
          <w:p w14:paraId="1242CBFE">
            <w:pPr>
              <w:jc w:val="center"/>
            </w:pPr>
          </w:p>
        </w:tc>
        <w:tc>
          <w:tcPr>
            <w:tcW w:w="2268" w:type="dxa"/>
            <w:tcBorders>
              <w:bottom w:val="single" w:color="000000" w:sz="4" w:space="0"/>
              <w:tl2br w:val="nil"/>
              <w:tr2bl w:val="nil"/>
            </w:tcBorders>
            <w:vAlign w:val="center"/>
          </w:tcPr>
          <w:p w14:paraId="279888BF">
            <w:pPr>
              <w:jc w:val="center"/>
            </w:pPr>
            <w:r>
              <w:rPr>
                <w:rFonts w:hint="eastAsia"/>
              </w:rPr>
              <w:t>课内实践</w:t>
            </w:r>
          </w:p>
        </w:tc>
        <w:tc>
          <w:tcPr>
            <w:tcW w:w="2158" w:type="dxa"/>
            <w:tcBorders>
              <w:bottom w:val="single" w:color="000000" w:sz="4" w:space="0"/>
              <w:tl2br w:val="nil"/>
              <w:tr2bl w:val="nil"/>
            </w:tcBorders>
            <w:vAlign w:val="center"/>
          </w:tcPr>
          <w:p w14:paraId="21C2C714">
            <w:pPr>
              <w:jc w:val="center"/>
            </w:pPr>
            <w:r>
              <w:rPr>
                <w:rFonts w:hint="eastAsia"/>
              </w:rPr>
              <w:t>4</w:t>
            </w:r>
            <w:r>
              <w:t>0</w:t>
            </w:r>
            <w:r>
              <w:rPr>
                <w:rFonts w:hint="eastAsia"/>
              </w:rPr>
              <w:t>%</w:t>
            </w:r>
          </w:p>
        </w:tc>
      </w:tr>
      <w:tr w14:paraId="3EB2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985" w:type="dxa"/>
            <w:vMerge w:val="continue"/>
            <w:tcBorders>
              <w:tl2br w:val="nil"/>
              <w:tr2bl w:val="nil"/>
            </w:tcBorders>
            <w:vAlign w:val="center"/>
          </w:tcPr>
          <w:p w14:paraId="0E66D993">
            <w:pPr>
              <w:jc w:val="center"/>
            </w:pPr>
          </w:p>
        </w:tc>
        <w:tc>
          <w:tcPr>
            <w:tcW w:w="1418" w:type="dxa"/>
            <w:vMerge w:val="continue"/>
            <w:tcBorders>
              <w:tl2br w:val="nil"/>
              <w:tr2bl w:val="nil"/>
            </w:tcBorders>
            <w:vAlign w:val="center"/>
          </w:tcPr>
          <w:p w14:paraId="1AB59AF8">
            <w:pPr>
              <w:jc w:val="center"/>
            </w:pPr>
          </w:p>
        </w:tc>
        <w:tc>
          <w:tcPr>
            <w:tcW w:w="2268" w:type="dxa"/>
            <w:tcBorders>
              <w:top w:val="single" w:color="000000" w:sz="4" w:space="0"/>
              <w:tl2br w:val="nil"/>
              <w:tr2bl w:val="nil"/>
            </w:tcBorders>
            <w:vAlign w:val="center"/>
          </w:tcPr>
          <w:p w14:paraId="4406E945">
            <w:pPr>
              <w:jc w:val="center"/>
            </w:pPr>
            <w:r>
              <w:t>期末考核</w:t>
            </w:r>
          </w:p>
        </w:tc>
        <w:tc>
          <w:tcPr>
            <w:tcW w:w="2158" w:type="dxa"/>
            <w:tcBorders>
              <w:top w:val="single" w:color="000000" w:sz="4" w:space="0"/>
              <w:tl2br w:val="nil"/>
              <w:tr2bl w:val="nil"/>
            </w:tcBorders>
            <w:vAlign w:val="center"/>
          </w:tcPr>
          <w:p w14:paraId="582FD95A">
            <w:pPr>
              <w:jc w:val="center"/>
            </w:pPr>
            <w:r>
              <w:rPr>
                <w:rFonts w:hint="eastAsia"/>
              </w:rPr>
              <w:t>50%</w:t>
            </w:r>
          </w:p>
        </w:tc>
      </w:tr>
      <w:tr w14:paraId="458D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5" w:type="dxa"/>
            <w:vMerge w:val="restart"/>
            <w:tcBorders>
              <w:tl2br w:val="nil"/>
              <w:tr2bl w:val="nil"/>
            </w:tcBorders>
            <w:vAlign w:val="center"/>
          </w:tcPr>
          <w:p w14:paraId="550ECF00">
            <w:pPr>
              <w:jc w:val="center"/>
            </w:pPr>
            <w:r>
              <w:rPr>
                <w:rFonts w:hint="eastAsia"/>
              </w:rPr>
              <w:t>课程目标</w:t>
            </w:r>
            <w:r>
              <w:t>3</w:t>
            </w:r>
          </w:p>
        </w:tc>
        <w:tc>
          <w:tcPr>
            <w:tcW w:w="1418" w:type="dxa"/>
            <w:vMerge w:val="restart"/>
            <w:tcBorders>
              <w:tl2br w:val="nil"/>
              <w:tr2bl w:val="nil"/>
            </w:tcBorders>
            <w:vAlign w:val="center"/>
          </w:tcPr>
          <w:p w14:paraId="34281276">
            <w:pPr>
              <w:jc w:val="center"/>
            </w:pPr>
            <w:r>
              <w:t>30</w:t>
            </w:r>
            <w:r>
              <w:rPr>
                <w:rFonts w:hint="eastAsia"/>
              </w:rPr>
              <w:t>%</w:t>
            </w:r>
          </w:p>
        </w:tc>
        <w:tc>
          <w:tcPr>
            <w:tcW w:w="2268" w:type="dxa"/>
            <w:tcBorders>
              <w:tl2br w:val="nil"/>
              <w:tr2bl w:val="nil"/>
            </w:tcBorders>
            <w:vAlign w:val="center"/>
          </w:tcPr>
          <w:p w14:paraId="0058FC15">
            <w:pPr>
              <w:jc w:val="center"/>
            </w:pPr>
            <w:r>
              <w:rPr>
                <w:rFonts w:hint="eastAsia"/>
              </w:rPr>
              <w:t>作业+课堂表现</w:t>
            </w:r>
          </w:p>
        </w:tc>
        <w:tc>
          <w:tcPr>
            <w:tcW w:w="2158" w:type="dxa"/>
            <w:tcBorders>
              <w:tl2br w:val="nil"/>
              <w:tr2bl w:val="nil"/>
            </w:tcBorders>
            <w:vAlign w:val="center"/>
          </w:tcPr>
          <w:p w14:paraId="70CB627B">
            <w:pPr>
              <w:jc w:val="center"/>
            </w:pPr>
            <w:r>
              <w:rPr>
                <w:rFonts w:hint="eastAsia"/>
              </w:rPr>
              <w:t>1</w:t>
            </w:r>
            <w:r>
              <w:t>0</w:t>
            </w:r>
            <w:r>
              <w:rPr>
                <w:rFonts w:hint="eastAsia"/>
              </w:rPr>
              <w:t>%</w:t>
            </w:r>
          </w:p>
        </w:tc>
      </w:tr>
      <w:tr w14:paraId="04D5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985" w:type="dxa"/>
            <w:vMerge w:val="continue"/>
            <w:tcBorders>
              <w:tl2br w:val="nil"/>
              <w:tr2bl w:val="nil"/>
            </w:tcBorders>
            <w:vAlign w:val="center"/>
          </w:tcPr>
          <w:p w14:paraId="71B0725C">
            <w:pPr>
              <w:jc w:val="center"/>
            </w:pPr>
          </w:p>
        </w:tc>
        <w:tc>
          <w:tcPr>
            <w:tcW w:w="1418" w:type="dxa"/>
            <w:vMerge w:val="continue"/>
            <w:tcBorders>
              <w:tl2br w:val="nil"/>
              <w:tr2bl w:val="nil"/>
            </w:tcBorders>
            <w:vAlign w:val="center"/>
          </w:tcPr>
          <w:p w14:paraId="19201D13">
            <w:pPr>
              <w:jc w:val="center"/>
            </w:pPr>
          </w:p>
        </w:tc>
        <w:tc>
          <w:tcPr>
            <w:tcW w:w="2268" w:type="dxa"/>
            <w:tcBorders>
              <w:bottom w:val="single" w:color="000000" w:sz="4" w:space="0"/>
              <w:tl2br w:val="nil"/>
              <w:tr2bl w:val="nil"/>
            </w:tcBorders>
            <w:vAlign w:val="center"/>
          </w:tcPr>
          <w:p w14:paraId="000819E1">
            <w:pPr>
              <w:jc w:val="center"/>
            </w:pPr>
            <w:r>
              <w:rPr>
                <w:rFonts w:hint="eastAsia"/>
              </w:rPr>
              <w:t>课内实践</w:t>
            </w:r>
          </w:p>
        </w:tc>
        <w:tc>
          <w:tcPr>
            <w:tcW w:w="2158" w:type="dxa"/>
            <w:tcBorders>
              <w:bottom w:val="single" w:color="000000" w:sz="4" w:space="0"/>
              <w:tl2br w:val="nil"/>
              <w:tr2bl w:val="nil"/>
            </w:tcBorders>
            <w:vAlign w:val="center"/>
          </w:tcPr>
          <w:p w14:paraId="51D57426">
            <w:pPr>
              <w:jc w:val="center"/>
            </w:pPr>
            <w:r>
              <w:rPr>
                <w:rFonts w:hint="eastAsia"/>
              </w:rPr>
              <w:t>4</w:t>
            </w:r>
            <w:r>
              <w:t>0</w:t>
            </w:r>
            <w:r>
              <w:rPr>
                <w:rFonts w:hint="eastAsia"/>
              </w:rPr>
              <w:t>%</w:t>
            </w:r>
          </w:p>
        </w:tc>
      </w:tr>
      <w:tr w14:paraId="60B8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985" w:type="dxa"/>
            <w:vMerge w:val="continue"/>
            <w:tcBorders>
              <w:tl2br w:val="nil"/>
              <w:tr2bl w:val="nil"/>
            </w:tcBorders>
            <w:vAlign w:val="center"/>
          </w:tcPr>
          <w:p w14:paraId="17DF484D">
            <w:pPr>
              <w:jc w:val="center"/>
            </w:pPr>
          </w:p>
        </w:tc>
        <w:tc>
          <w:tcPr>
            <w:tcW w:w="1418" w:type="dxa"/>
            <w:vMerge w:val="continue"/>
            <w:tcBorders>
              <w:tl2br w:val="nil"/>
              <w:tr2bl w:val="nil"/>
            </w:tcBorders>
            <w:vAlign w:val="center"/>
          </w:tcPr>
          <w:p w14:paraId="6BE56C7D">
            <w:pPr>
              <w:jc w:val="center"/>
            </w:pPr>
          </w:p>
        </w:tc>
        <w:tc>
          <w:tcPr>
            <w:tcW w:w="2268" w:type="dxa"/>
            <w:tcBorders>
              <w:top w:val="single" w:color="000000" w:sz="4" w:space="0"/>
              <w:tl2br w:val="nil"/>
              <w:tr2bl w:val="nil"/>
            </w:tcBorders>
            <w:vAlign w:val="center"/>
          </w:tcPr>
          <w:p w14:paraId="5B7FF24B">
            <w:pPr>
              <w:jc w:val="center"/>
            </w:pPr>
            <w:r>
              <w:t>期末考核</w:t>
            </w:r>
          </w:p>
        </w:tc>
        <w:tc>
          <w:tcPr>
            <w:tcW w:w="2158" w:type="dxa"/>
            <w:tcBorders>
              <w:top w:val="single" w:color="000000" w:sz="4" w:space="0"/>
              <w:tl2br w:val="nil"/>
              <w:tr2bl w:val="nil"/>
            </w:tcBorders>
            <w:vAlign w:val="center"/>
          </w:tcPr>
          <w:p w14:paraId="567EFCE3">
            <w:pPr>
              <w:jc w:val="center"/>
            </w:pPr>
            <w:r>
              <w:rPr>
                <w:rFonts w:hint="eastAsia"/>
              </w:rPr>
              <w:t>50%</w:t>
            </w:r>
          </w:p>
        </w:tc>
      </w:tr>
      <w:tr w14:paraId="3251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5" w:type="dxa"/>
            <w:tcBorders>
              <w:tl2br w:val="nil"/>
              <w:tr2bl w:val="nil"/>
            </w:tcBorders>
            <w:vAlign w:val="center"/>
          </w:tcPr>
          <w:p w14:paraId="215C7B46">
            <w:pPr>
              <w:jc w:val="center"/>
            </w:pPr>
            <w:r>
              <w:rPr>
                <w:rFonts w:hint="eastAsia"/>
              </w:rPr>
              <w:t>课程目标权重合计</w:t>
            </w:r>
          </w:p>
        </w:tc>
        <w:tc>
          <w:tcPr>
            <w:tcW w:w="1418" w:type="dxa"/>
            <w:tcBorders>
              <w:tl2br w:val="nil"/>
              <w:tr2bl w:val="nil"/>
            </w:tcBorders>
            <w:vAlign w:val="center"/>
          </w:tcPr>
          <w:p w14:paraId="73F1E5AC">
            <w:pPr>
              <w:jc w:val="center"/>
            </w:pPr>
            <w:r>
              <w:rPr>
                <w:rFonts w:hint="eastAsia"/>
              </w:rPr>
              <w:t>100%</w:t>
            </w:r>
          </w:p>
        </w:tc>
        <w:tc>
          <w:tcPr>
            <w:tcW w:w="4426" w:type="dxa"/>
            <w:gridSpan w:val="2"/>
            <w:tcBorders>
              <w:tl2br w:val="nil"/>
              <w:tr2bl w:val="nil"/>
            </w:tcBorders>
            <w:vAlign w:val="center"/>
          </w:tcPr>
          <w:p w14:paraId="2204EEFF">
            <w:pPr>
              <w:jc w:val="center"/>
            </w:pPr>
          </w:p>
        </w:tc>
      </w:tr>
    </w:tbl>
    <w:p w14:paraId="7B02DA9D"/>
    <w:p w14:paraId="3789A469">
      <w:pPr>
        <w:spacing w:line="312" w:lineRule="auto"/>
        <w:ind w:firstLine="420" w:firstLineChars="200"/>
      </w:pPr>
      <w:r>
        <w:rPr>
          <w:rFonts w:hint="eastAsia"/>
        </w:rPr>
        <w:t>（四）</w:t>
      </w:r>
      <w:r>
        <w:t>课程目标达成度计算方法</w:t>
      </w:r>
    </w:p>
    <w:p w14:paraId="36750EDC">
      <w:pPr>
        <w:spacing w:line="312" w:lineRule="auto"/>
      </w:pPr>
      <w:r>
        <w:t>所有课程目标均</w:t>
      </w:r>
      <w:r>
        <w:rPr>
          <w:rFonts w:hint="eastAsia"/>
        </w:rPr>
        <w:t>需</w:t>
      </w:r>
      <w:r>
        <w:t>大于等于0.6，否则总评成绩不及格，需要重</w:t>
      </w:r>
      <w:r>
        <w:rPr>
          <w:rFonts w:hint="eastAsia"/>
        </w:rPr>
        <w:t>修。</w:t>
      </w:r>
      <w:r>
        <w:t>每</w:t>
      </w:r>
      <w:r>
        <w:rPr>
          <w:rFonts w:hint="eastAsia"/>
        </w:rPr>
        <w:t>门</w:t>
      </w:r>
      <w:r>
        <w:t>课程目标</w:t>
      </w:r>
      <w:r>
        <w:rPr>
          <w:rFonts w:hint="eastAsia"/>
        </w:rPr>
        <w:t>总体</w:t>
      </w:r>
      <w:r>
        <w:t>达成度计算方法如下：</w:t>
      </w:r>
    </w:p>
    <w:p w14:paraId="43C7E909">
      <w:r>
        <w:rPr>
          <w:rFonts w:hint="eastAsia"/>
        </w:rPr>
        <w:t xml:space="preserve"> </w:t>
      </w:r>
      <w:r>
        <w:drawing>
          <wp:inline distT="0" distB="0" distL="0" distR="0">
            <wp:extent cx="5076190" cy="314960"/>
            <wp:effectExtent l="0" t="0" r="63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srcRect/>
                    <a:stretch>
                      <a:fillRect/>
                    </a:stretch>
                  </pic:blipFill>
                  <pic:spPr>
                    <a:xfrm>
                      <a:off x="0" y="0"/>
                      <a:ext cx="5076190" cy="314960"/>
                    </a:xfrm>
                    <a:prstGeom prst="rect">
                      <a:avLst/>
                    </a:prstGeom>
                    <a:noFill/>
                    <a:ln w="9525">
                      <a:noFill/>
                      <a:miter lim="800000"/>
                      <a:headEnd/>
                      <a:tailEnd/>
                    </a:ln>
                  </pic:spPr>
                </pic:pic>
              </a:graphicData>
            </a:graphic>
          </wp:inline>
        </w:drawing>
      </w:r>
    </w:p>
    <w:p w14:paraId="6743D35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300E841F">
      <w:pPr>
        <w:spacing w:line="300" w:lineRule="auto"/>
        <w:ind w:firstLine="420" w:firstLineChars="200"/>
      </w:pPr>
      <w:r>
        <w:rPr>
          <w:rFonts w:hint="eastAsia"/>
        </w:rPr>
        <w:t>（一）持续改进</w:t>
      </w:r>
    </w:p>
    <w:p w14:paraId="37EF6DDB">
      <w:pPr>
        <w:spacing w:line="300" w:lineRule="auto"/>
        <w:ind w:firstLine="420" w:firstLineChars="200"/>
      </w:pPr>
      <w:r>
        <w:t>本课程根据学生作业、课堂讨论、模拟教学、</w:t>
      </w:r>
      <w:r>
        <w:rPr>
          <w:rFonts w:hint="eastAsia"/>
        </w:rPr>
        <w:t>微课教学设计与制作</w:t>
      </w:r>
      <w:r>
        <w:t>、平时考核情况和学生、教学督导等</w:t>
      </w:r>
      <w:r>
        <w:rPr>
          <w:rFonts w:hint="eastAsia"/>
        </w:rPr>
        <w:t>的</w:t>
      </w:r>
      <w:r>
        <w:t>反馈，及时对教学中</w:t>
      </w:r>
      <w:r>
        <w:rPr>
          <w:rFonts w:hint="eastAsia"/>
        </w:rPr>
        <w:t>的</w:t>
      </w:r>
      <w:r>
        <w:t>不足之处进行改进，并在下一轮课程教学中</w:t>
      </w:r>
      <w:r>
        <w:rPr>
          <w:rFonts w:hint="eastAsia"/>
        </w:rPr>
        <w:t>整改完善</w:t>
      </w:r>
      <w:r>
        <w:t>，确保相应毕业要求指标点达成。</w:t>
      </w:r>
    </w:p>
    <w:p w14:paraId="7756472B">
      <w:pPr>
        <w:spacing w:line="300" w:lineRule="auto"/>
        <w:ind w:firstLine="420" w:firstLineChars="200"/>
      </w:pPr>
      <w:r>
        <w:rPr>
          <w:rFonts w:hint="eastAsia"/>
        </w:rPr>
        <w:t>（二）</w:t>
      </w:r>
      <w:r>
        <w:t>参考书目及学习资料</w:t>
      </w:r>
    </w:p>
    <w:p w14:paraId="43F529F1">
      <w:pPr>
        <w:spacing w:line="312" w:lineRule="auto"/>
        <w:ind w:firstLine="420" w:firstLineChars="200"/>
      </w:pPr>
      <w:r>
        <w:rPr>
          <w:rFonts w:hint="eastAsia"/>
        </w:rPr>
        <w:t>1．教材</w:t>
      </w:r>
    </w:p>
    <w:p w14:paraId="2F56DCFE">
      <w:pPr>
        <w:spacing w:line="312" w:lineRule="auto"/>
        <w:ind w:firstLine="420" w:firstLineChars="200"/>
      </w:pPr>
      <w:r>
        <w:rPr>
          <w:rFonts w:hint="eastAsia"/>
        </w:rPr>
        <w:t>章苏静.《现代教育技术》（第1版）.上海交通大学出版社. 2022</w:t>
      </w:r>
    </w:p>
    <w:p w14:paraId="3268B8F7">
      <w:pPr>
        <w:spacing w:line="312" w:lineRule="auto"/>
        <w:ind w:firstLine="420" w:firstLineChars="200"/>
      </w:pPr>
      <w:r>
        <w:rPr>
          <w:rFonts w:hint="eastAsia"/>
        </w:rPr>
        <w:t>2．教学参考书</w:t>
      </w:r>
    </w:p>
    <w:p w14:paraId="768CBA83">
      <w:pPr>
        <w:spacing w:line="312" w:lineRule="auto"/>
        <w:ind w:firstLine="420" w:firstLineChars="200"/>
      </w:pPr>
      <w:r>
        <w:rPr>
          <w:rFonts w:hint="eastAsia"/>
        </w:rPr>
        <w:t>陈明选.《现代教育技术》（第1版）.上海交通大学出版社. 2022.</w:t>
      </w:r>
    </w:p>
    <w:p w14:paraId="0FDC2B2E">
      <w:pPr>
        <w:spacing w:line="312" w:lineRule="auto"/>
        <w:ind w:firstLine="420" w:firstLineChars="200"/>
      </w:pPr>
      <w:r>
        <w:rPr>
          <w:rFonts w:hint="eastAsia"/>
        </w:rPr>
        <w:t>杨宁.《现代教育技术》（第6版）.上海交通大学出版社. 2020</w:t>
      </w:r>
    </w:p>
    <w:p w14:paraId="0C71334B">
      <w:pPr>
        <w:spacing w:line="312" w:lineRule="auto"/>
        <w:ind w:firstLine="420" w:firstLineChars="200"/>
      </w:pPr>
      <w:r>
        <w:rPr>
          <w:rFonts w:hint="eastAsia"/>
        </w:rPr>
        <w:t>李世荣.《现代教育技术》（第2版）.清华大学出版社. 2020.</w:t>
      </w:r>
    </w:p>
    <w:p w14:paraId="6DC984D5">
      <w:pPr>
        <w:spacing w:line="312" w:lineRule="auto"/>
        <w:ind w:firstLine="420" w:firstLineChars="200"/>
      </w:pPr>
      <w:r>
        <w:t>Adobe公司  Adobe数字艺术中心Photoshop CS标准教材 人民邮电出版社</w:t>
      </w:r>
    </w:p>
    <w:p w14:paraId="66F9CF3F">
      <w:pPr>
        <w:spacing w:line="312" w:lineRule="auto"/>
        <w:ind w:firstLine="420" w:firstLineChars="200"/>
      </w:pPr>
      <w:r>
        <w:t>李颖、董彦</w:t>
      </w:r>
      <w:r>
        <w:rPr>
          <w:rFonts w:hint="eastAsia"/>
        </w:rPr>
        <w:t>.《现代教育技术》.中国科学技术大学出版社.2010</w:t>
      </w:r>
    </w:p>
    <w:p w14:paraId="18908512">
      <w:pPr>
        <w:spacing w:line="360" w:lineRule="auto"/>
        <w:ind w:firstLine="420" w:firstLineChars="200"/>
        <w:jc w:val="right"/>
      </w:pPr>
      <w:r>
        <w:rPr>
          <w:rFonts w:hint="eastAsia"/>
        </w:rPr>
        <w:t>执笔人：曾新勇</w:t>
      </w:r>
    </w:p>
    <w:p w14:paraId="7B4DCD91">
      <w:pPr>
        <w:spacing w:line="360" w:lineRule="auto"/>
        <w:ind w:firstLine="420" w:firstLineChars="200"/>
        <w:jc w:val="right"/>
      </w:pPr>
      <w:r>
        <w:rPr>
          <w:rFonts w:hint="eastAsia"/>
        </w:rPr>
        <w:t>审定人：王  健</w:t>
      </w:r>
    </w:p>
    <w:p w14:paraId="72D41F32">
      <w:pPr>
        <w:spacing w:line="360" w:lineRule="auto"/>
        <w:ind w:firstLine="420" w:firstLineChars="200"/>
        <w:jc w:val="right"/>
      </w:pPr>
      <w:r>
        <w:rPr>
          <w:rFonts w:hint="eastAsia"/>
        </w:rPr>
        <w:t>审批人：张志欣</w:t>
      </w:r>
    </w:p>
    <w:p w14:paraId="4EBDB42E">
      <w:pPr>
        <w:spacing w:line="360" w:lineRule="auto"/>
        <w:ind w:firstLine="420" w:firstLineChars="200"/>
        <w:jc w:val="right"/>
      </w:pPr>
      <w:r>
        <w:rPr>
          <w:rFonts w:hint="eastAsia"/>
        </w:rPr>
        <w:t>批准时间：2025年7月1日</w:t>
      </w:r>
    </w:p>
    <w:p w14:paraId="5EB61BA8">
      <w:pPr>
        <w:spacing w:line="360" w:lineRule="auto"/>
        <w:ind w:firstLine="562" w:firstLineChars="200"/>
        <w:rPr>
          <w:rFonts w:hint="eastAsia" w:asciiTheme="minorEastAsia" w:hAnsiTheme="minorEastAsia" w:cstheme="minorEastAsia"/>
          <w:b/>
          <w:sz w:val="28"/>
          <w:szCs w:val="28"/>
        </w:rPr>
      </w:pPr>
    </w:p>
    <w:p w14:paraId="0B4FD8CC">
      <w:pPr>
        <w:jc w:val="right"/>
        <w:rPr>
          <w:rFonts w:hint="eastAsia" w:ascii="等线" w:hAnsi="等线" w:eastAsia="等线" w:cs="Times New Roman"/>
          <w:sz w:val="24"/>
          <w:szCs w:val="22"/>
        </w:rPr>
      </w:pPr>
    </w:p>
    <w:p w14:paraId="113CB8A5">
      <w:pPr>
        <w:jc w:val="right"/>
        <w:rPr>
          <w:rFonts w:hint="eastAsia" w:ascii="等线" w:hAnsi="等线" w:eastAsia="等线" w:cs="Times New Roman"/>
          <w:sz w:val="24"/>
          <w:szCs w:val="22"/>
        </w:rPr>
      </w:pPr>
    </w:p>
    <w:p w14:paraId="61843DB3">
      <w:pPr>
        <w:jc w:val="right"/>
        <w:rPr>
          <w:rFonts w:hint="eastAsia" w:ascii="等线" w:hAnsi="等线" w:eastAsia="等线" w:cs="Times New Roman"/>
          <w:sz w:val="24"/>
          <w:szCs w:val="22"/>
        </w:rPr>
      </w:pPr>
    </w:p>
    <w:p w14:paraId="293FD8DD">
      <w:pPr>
        <w:jc w:val="right"/>
        <w:rPr>
          <w:rFonts w:hint="eastAsia" w:ascii="等线" w:hAnsi="等线" w:eastAsia="等线" w:cs="Times New Roman"/>
          <w:sz w:val="24"/>
          <w:szCs w:val="22"/>
        </w:rPr>
      </w:pPr>
    </w:p>
    <w:p w14:paraId="116F7227">
      <w:pPr>
        <w:jc w:val="right"/>
        <w:rPr>
          <w:rFonts w:hint="eastAsia" w:ascii="等线" w:hAnsi="等线" w:eastAsia="等线" w:cs="Times New Roman"/>
          <w:sz w:val="24"/>
          <w:szCs w:val="22"/>
        </w:rPr>
      </w:pPr>
      <w:r>
        <w:rPr>
          <w:rFonts w:hint="eastAsia" w:ascii="等线" w:hAnsi="等线" w:eastAsia="等线" w:cs="Times New Roman"/>
          <w:sz w:val="24"/>
          <w:szCs w:val="22"/>
        </w:rPr>
        <w:br w:type="page"/>
      </w:r>
    </w:p>
    <w:p w14:paraId="7B7AE9CD">
      <w:pPr>
        <w:spacing w:line="360" w:lineRule="auto"/>
        <w:jc w:val="center"/>
        <w:outlineLvl w:val="0"/>
        <w:rPr>
          <w:rFonts w:ascii="Times New Roman" w:hAnsi="Times New Roman" w:eastAsia="宋体" w:cs="Times New Roman"/>
          <w:b/>
          <w:sz w:val="44"/>
          <w:szCs w:val="44"/>
        </w:rPr>
      </w:pPr>
      <w:bookmarkStart w:id="659" w:name="_Toc26580"/>
      <w:bookmarkStart w:id="660" w:name="_Toc10535"/>
      <w:bookmarkStart w:id="661" w:name="_Toc474"/>
      <w:bookmarkStart w:id="662" w:name="_Toc27443"/>
      <w:bookmarkStart w:id="663" w:name="_Toc57017184"/>
      <w:bookmarkStart w:id="664" w:name="_Hlk196657929"/>
      <w:r>
        <w:rPr>
          <w:rFonts w:hint="eastAsia" w:ascii="Times New Roman" w:hAnsi="Times New Roman" w:eastAsia="宋体" w:cs="Times New Roman"/>
          <w:b/>
          <w:sz w:val="44"/>
          <w:szCs w:val="44"/>
        </w:rPr>
        <w:t>《教育科学研究方法》课程教学大纲</w:t>
      </w:r>
      <w:bookmarkEnd w:id="659"/>
      <w:bookmarkEnd w:id="660"/>
      <w:bookmarkEnd w:id="661"/>
      <w:bookmarkEnd w:id="662"/>
      <w:bookmarkEnd w:id="663"/>
    </w:p>
    <w:p w14:paraId="3568610C">
      <w:pPr>
        <w:spacing w:line="360" w:lineRule="auto"/>
        <w:jc w:val="center"/>
        <w:rPr>
          <w:rFonts w:ascii="Times New Roman" w:hAnsi="Times New Roman" w:eastAsia="宋体" w:cs="Times New Roman"/>
          <w:b/>
          <w:bCs/>
          <w:sz w:val="28"/>
          <w:szCs w:val="28"/>
        </w:rPr>
      </w:pPr>
      <w:bookmarkStart w:id="665" w:name="_Toc5253"/>
      <w:bookmarkStart w:id="666" w:name="_Toc20559"/>
      <w:bookmarkStart w:id="667" w:name="_Toc1501"/>
      <w:bookmarkStart w:id="668" w:name="_Toc13449"/>
      <w:bookmarkStart w:id="669" w:name="_Toc29306"/>
      <w:bookmarkStart w:id="670" w:name="_Toc20403"/>
      <w:bookmarkStart w:id="671" w:name="_Toc10617"/>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Educational Research Method</w:t>
      </w:r>
      <w:r>
        <w:rPr>
          <w:rFonts w:hint="eastAsia" w:ascii="Times New Roman" w:hAnsi="Times New Roman" w:eastAsia="宋体" w:cs="Times New Roman"/>
          <w:b/>
          <w:bCs/>
          <w:sz w:val="28"/>
          <w:szCs w:val="28"/>
        </w:rPr>
        <w:t>）</w:t>
      </w:r>
      <w:bookmarkEnd w:id="665"/>
      <w:bookmarkEnd w:id="666"/>
      <w:bookmarkEnd w:id="667"/>
      <w:bookmarkEnd w:id="668"/>
      <w:bookmarkEnd w:id="669"/>
      <w:bookmarkEnd w:id="670"/>
      <w:bookmarkEnd w:id="671"/>
    </w:p>
    <w:bookmarkEnd w:id="664"/>
    <w:p w14:paraId="005FE1B4">
      <w:pPr>
        <w:spacing w:line="360" w:lineRule="auto"/>
        <w:rPr>
          <w:rFonts w:ascii="Times New Roman" w:hAnsi="Times New Roman" w:eastAsia="宋体" w:cs="Times New Roman"/>
          <w:bCs/>
          <w:szCs w:val="21"/>
        </w:rPr>
      </w:pPr>
    </w:p>
    <w:p w14:paraId="79626FC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课程名称：教育科学研究方法</w:t>
      </w:r>
    </w:p>
    <w:p w14:paraId="5067511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2401049</w:t>
      </w:r>
    </w:p>
    <w:p w14:paraId="269F4E0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ascii="Times New Roman" w:hAnsi="Times New Roman" w:eastAsia="宋体" w:cs="Times New Roman"/>
          <w:b/>
          <w:sz w:val="24"/>
        </w:rPr>
        <w:t>2</w:t>
      </w:r>
    </w:p>
    <w:p w14:paraId="488043F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ascii="Times New Roman" w:hAnsi="Times New Roman" w:eastAsia="宋体" w:cs="Times New Roman"/>
          <w:b/>
          <w:sz w:val="24"/>
        </w:rPr>
        <w:t>32（其中，讲授学时24，实践学时8）</w:t>
      </w:r>
    </w:p>
    <w:p w14:paraId="7BBD59F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先修课程：小学心理学、教育原理、教育心理学、课程与教学论，等</w:t>
      </w:r>
    </w:p>
    <w:p w14:paraId="2A321C4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w:t>
      </w:r>
      <w:r>
        <w:rPr>
          <w:rFonts w:ascii="Times New Roman" w:hAnsi="Times New Roman" w:eastAsia="宋体" w:cs="Times New Roman"/>
          <w:b/>
          <w:sz w:val="24"/>
        </w:rPr>
        <w:t xml:space="preserve"> 小学教育      </w:t>
      </w:r>
    </w:p>
    <w:p w14:paraId="5F73697E">
      <w:pPr>
        <w:spacing w:before="62" w:beforeLines="20" w:after="62" w:afterLines="20"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69A2EC39">
      <w:pPr>
        <w:spacing w:line="360" w:lineRule="auto"/>
        <w:ind w:firstLine="420" w:firstLineChars="200"/>
        <w:jc w:val="left"/>
        <w:rPr>
          <w:rFonts w:ascii="Times New Roman" w:hAnsi="Times New Roman" w:eastAsia="宋体" w:cs="Times New Roman"/>
          <w:sz w:val="18"/>
          <w:szCs w:val="18"/>
        </w:rPr>
      </w:pPr>
      <w:r>
        <w:rPr>
          <w:rFonts w:hint="eastAsia" w:ascii="Times New Roman" w:hAnsi="Times New Roman" w:eastAsia="宋体" w:cs="Times New Roman"/>
          <w:szCs w:val="21"/>
        </w:rPr>
        <w:t>本课程是小学教育专业的一门专业基础必修课程。通过本课程的学习，师范生能够了解教育科学研究的基本理论和一般过程，掌握小学教育科研基本方法，学会发现、分析和解决小学教育实践中的问题，形成小学教育科研的意识和开展教育科研工作的基本能力，并为后修课程“毕业论文”的写作奠定研究方法基础。</w:t>
      </w:r>
    </w:p>
    <w:p w14:paraId="2A4D44AA">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714FEE32">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2271D619">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目标1. </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理解教育科学研究的价值，懂得通过合作开展教育科学研究的意义，树立正确的教育科研观。</w:t>
      </w:r>
    </w:p>
    <w:p w14:paraId="042F4026">
      <w:pPr>
        <w:autoSpaceDE w:val="0"/>
        <w:autoSpaceDN w:val="0"/>
        <w:adjustRightInd w:val="0"/>
        <w:spacing w:line="360" w:lineRule="auto"/>
        <w:ind w:firstLine="420" w:firstLineChars="200"/>
        <w:jc w:val="left"/>
        <w:rPr>
          <w:rFonts w:hint="eastAsia" w:ascii="宋体" w:hAnsi="宋体" w:eastAsia="宋体" w:cs="Times New Roman"/>
          <w:b/>
          <w:bCs/>
          <w:kern w:val="0"/>
          <w:szCs w:val="21"/>
        </w:rPr>
      </w:pPr>
      <w:r>
        <w:rPr>
          <w:rFonts w:hint="eastAsia" w:ascii="Times New Roman" w:hAnsi="Times New Roman" w:eastAsia="宋体" w:cs="Times New Roman"/>
          <w:kern w:val="0"/>
          <w:szCs w:val="21"/>
        </w:rPr>
        <w:t>目标2. 了解小学教育研究课题的问题来源、研究现状和趋势，熟悉教育研究的过程，能够从中小学情境中选择合适的课题，独立设计教育研究方案。</w:t>
      </w:r>
      <w:r>
        <w:rPr>
          <w:rFonts w:ascii="Times New Roman" w:hAnsi="Times New Roman" w:eastAsia="宋体" w:cs="Times New Roman"/>
          <w:kern w:val="0"/>
          <w:szCs w:val="21"/>
        </w:rPr>
        <w:t xml:space="preserve"> </w:t>
      </w:r>
    </w:p>
    <w:p w14:paraId="23BC94B9">
      <w:pPr>
        <w:autoSpaceDE w:val="0"/>
        <w:autoSpaceDN w:val="0"/>
        <w:adjustRightInd w:val="0"/>
        <w:spacing w:line="360" w:lineRule="auto"/>
        <w:ind w:firstLine="420" w:firstLineChars="200"/>
        <w:jc w:val="left"/>
        <w:rPr>
          <w:rFonts w:hint="eastAsia" w:ascii="宋体" w:hAnsi="宋体" w:eastAsia="宋体" w:cs="Times New Roman"/>
          <w:b/>
          <w:bCs/>
          <w:kern w:val="0"/>
          <w:szCs w:val="21"/>
        </w:rPr>
      </w:pPr>
      <w:r>
        <w:rPr>
          <w:rFonts w:hint="eastAsia" w:ascii="Times New Roman" w:hAnsi="Times New Roman" w:eastAsia="宋体" w:cs="Times New Roman"/>
          <w:kern w:val="0"/>
          <w:szCs w:val="21"/>
        </w:rPr>
        <w:t>目标3. 理解各种教育科学研究方法的特征、功能与局限性，能够根据基础教育的实际需要选择、设计和使用研究方法。</w:t>
      </w:r>
      <w:r>
        <w:rPr>
          <w:rFonts w:ascii="Times New Roman" w:hAnsi="Times New Roman" w:eastAsia="宋体" w:cs="Times New Roman"/>
          <w:kern w:val="0"/>
          <w:szCs w:val="21"/>
        </w:rPr>
        <w:t xml:space="preserve"> </w:t>
      </w:r>
    </w:p>
    <w:p w14:paraId="14A24969">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kern w:val="0"/>
          <w:szCs w:val="21"/>
        </w:rPr>
        <w:t>目标4. 了解学术论文的基本结构，初步掌握学术论文的写作方法，能够撰写符合学术规范的论</w:t>
      </w:r>
      <w:r>
        <w:rPr>
          <w:rFonts w:hint="eastAsia" w:ascii="Times New Roman" w:hAnsi="Times New Roman" w:eastAsia="宋体" w:cs="Times New Roman"/>
          <w:szCs w:val="21"/>
        </w:rPr>
        <w:t>文。</w:t>
      </w:r>
    </w:p>
    <w:p w14:paraId="30E71092">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5914"/>
        <w:gridCol w:w="1548"/>
      </w:tblGrid>
      <w:tr w14:paraId="6D07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15" w:type="dxa"/>
          </w:tcPr>
          <w:p w14:paraId="2B73793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914" w:type="dxa"/>
          </w:tcPr>
          <w:p w14:paraId="07FD49E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548" w:type="dxa"/>
          </w:tcPr>
          <w:p w14:paraId="1B0A165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3C4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5" w:type="dxa"/>
            <w:vAlign w:val="center"/>
          </w:tcPr>
          <w:p w14:paraId="5EE2AC4E">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毕业要求2</w:t>
            </w:r>
          </w:p>
          <w:p w14:paraId="38F91576">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教育情怀</w:t>
            </w:r>
          </w:p>
        </w:tc>
        <w:tc>
          <w:tcPr>
            <w:tcW w:w="5914" w:type="dxa"/>
            <w:vAlign w:val="center"/>
          </w:tcPr>
          <w:p w14:paraId="46B923A3">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指标点2-2</w:t>
            </w:r>
            <w:r>
              <w:rPr>
                <w:rFonts w:ascii="宋体" w:hAnsi="宋体" w:eastAsia="宋体" w:cs="Times New Roman"/>
                <w:spacing w:val="2"/>
                <w:kern w:val="0"/>
                <w:szCs w:val="21"/>
              </w:rPr>
              <w:t>：【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548" w:type="dxa"/>
            <w:vAlign w:val="center"/>
          </w:tcPr>
          <w:p w14:paraId="479900E7">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5937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515" w:type="dxa"/>
            <w:vMerge w:val="restart"/>
            <w:vAlign w:val="center"/>
          </w:tcPr>
          <w:p w14:paraId="316A13B6">
            <w:pPr>
              <w:spacing w:line="276" w:lineRule="auto"/>
              <w:jc w:val="center"/>
              <w:rPr>
                <w:rFonts w:hint="eastAsia" w:ascii="宋体" w:hAnsi="宋体" w:eastAsia="宋体" w:cs="宋体"/>
                <w:b/>
                <w:bCs/>
                <w:szCs w:val="21"/>
              </w:rPr>
            </w:pPr>
            <w:r>
              <w:rPr>
                <w:rFonts w:hint="eastAsia" w:ascii="宋体" w:hAnsi="宋体" w:eastAsia="宋体" w:cs="宋体"/>
                <w:b/>
                <w:bCs/>
                <w:szCs w:val="21"/>
              </w:rPr>
              <w:t>毕业要求8</w:t>
            </w:r>
          </w:p>
          <w:p w14:paraId="4D830994">
            <w:pPr>
              <w:spacing w:line="276" w:lineRule="auto"/>
              <w:jc w:val="center"/>
              <w:rPr>
                <w:rFonts w:hint="eastAsia" w:ascii="宋体" w:hAnsi="宋体" w:eastAsia="宋体" w:cs="宋体"/>
                <w:b/>
                <w:bCs/>
                <w:szCs w:val="21"/>
              </w:rPr>
            </w:pPr>
            <w:r>
              <w:rPr>
                <w:rFonts w:hint="eastAsia" w:ascii="宋体" w:hAnsi="宋体" w:eastAsia="宋体" w:cs="宋体"/>
                <w:b/>
                <w:bCs/>
                <w:szCs w:val="21"/>
              </w:rPr>
              <w:t>沟通合作</w:t>
            </w:r>
          </w:p>
        </w:tc>
        <w:tc>
          <w:tcPr>
            <w:tcW w:w="5914" w:type="dxa"/>
            <w:vMerge w:val="restart"/>
            <w:vAlign w:val="center"/>
          </w:tcPr>
          <w:p w14:paraId="37135226">
            <w:pPr>
              <w:spacing w:line="276" w:lineRule="auto"/>
              <w:jc w:val="left"/>
              <w:rPr>
                <w:rFonts w:hint="eastAsia" w:ascii="宋体" w:hAnsi="宋体" w:eastAsia="宋体" w:cs="Times New Roman"/>
                <w:szCs w:val="21"/>
              </w:rPr>
            </w:pPr>
            <w:r>
              <w:rPr>
                <w:rFonts w:hint="eastAsia" w:ascii="宋体" w:hAnsi="宋体" w:eastAsia="宋体" w:cs="宋体"/>
                <w:b/>
                <w:szCs w:val="21"/>
              </w:rPr>
              <w:t>指标点8-1</w:t>
            </w:r>
            <w:r>
              <w:rPr>
                <w:rFonts w:hint="eastAsia" w:ascii="宋体" w:hAnsi="宋体" w:eastAsia="宋体" w:cs="宋体"/>
                <w:szCs w:val="21"/>
              </w:rPr>
              <w:t>：【善于团队合作】理解学习共同体的本质和价值，掌握团队协作的基本策略，在课堂学习与教育实践中获得合作学习体验，形成团队协作精神。</w:t>
            </w:r>
          </w:p>
        </w:tc>
        <w:tc>
          <w:tcPr>
            <w:tcW w:w="1548" w:type="dxa"/>
            <w:vAlign w:val="center"/>
          </w:tcPr>
          <w:p w14:paraId="7B435E68">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课程目标1</w:t>
            </w:r>
          </w:p>
          <w:p w14:paraId="6289BD7B">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228D9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1515" w:type="dxa"/>
            <w:vMerge w:val="restart"/>
            <w:vAlign w:val="center"/>
          </w:tcPr>
          <w:p w14:paraId="2E49576B">
            <w:pPr>
              <w:pStyle w:val="33"/>
              <w:spacing w:line="276" w:lineRule="auto"/>
              <w:ind w:firstLine="0" w:firstLineChars="0"/>
              <w:jc w:val="center"/>
              <w:rPr>
                <w:rFonts w:hint="eastAsia" w:ascii="宋体" w:hAnsi="宋体" w:cs="宋体"/>
                <w:b/>
                <w:bCs/>
                <w:szCs w:val="21"/>
              </w:rPr>
            </w:pPr>
            <w:r>
              <w:rPr>
                <w:rFonts w:hint="eastAsia" w:ascii="宋体" w:hAnsi="宋体" w:cs="宋体"/>
                <w:b/>
                <w:bCs/>
                <w:szCs w:val="21"/>
              </w:rPr>
              <w:t>毕业要求4</w:t>
            </w:r>
          </w:p>
          <w:p w14:paraId="4EAB7578">
            <w:pPr>
              <w:pStyle w:val="33"/>
              <w:spacing w:line="276" w:lineRule="auto"/>
              <w:ind w:firstLine="0" w:firstLineChars="0"/>
              <w:jc w:val="center"/>
              <w:rPr>
                <w:rFonts w:hint="eastAsia" w:ascii="宋体" w:hAnsi="宋体" w:cs="宋体"/>
                <w:b/>
                <w:bCs/>
                <w:szCs w:val="21"/>
              </w:rPr>
            </w:pPr>
            <w:r>
              <w:rPr>
                <w:rFonts w:hint="eastAsia" w:ascii="宋体" w:hAnsi="宋体" w:cs="宋体"/>
                <w:b/>
                <w:bCs/>
                <w:szCs w:val="21"/>
              </w:rPr>
              <w:t>教学能力</w:t>
            </w:r>
          </w:p>
        </w:tc>
        <w:tc>
          <w:tcPr>
            <w:tcW w:w="5914" w:type="dxa"/>
            <w:vMerge w:val="restart"/>
            <w:vAlign w:val="center"/>
          </w:tcPr>
          <w:p w14:paraId="22C64F04">
            <w:pPr>
              <w:pStyle w:val="33"/>
              <w:spacing w:line="276" w:lineRule="auto"/>
              <w:ind w:firstLine="0" w:firstLineChars="0"/>
              <w:jc w:val="left"/>
              <w:rPr>
                <w:rFonts w:hint="eastAsia" w:ascii="宋体" w:hAnsi="宋体" w:cs="宋体"/>
                <w:szCs w:val="21"/>
              </w:rPr>
            </w:pPr>
            <w:r>
              <w:rPr>
                <w:rFonts w:hint="eastAsia" w:ascii="宋体" w:hAnsi="宋体" w:cs="宋体"/>
                <w:b/>
                <w:szCs w:val="21"/>
              </w:rPr>
              <w:t>指标点4-4</w:t>
            </w:r>
            <w:r>
              <w:rPr>
                <w:rFonts w:ascii="宋体" w:hAnsi="宋体" w:cs="宋体"/>
                <w:szCs w:val="21"/>
              </w:rPr>
              <w:t>：【具备教学研究能力】掌握教育研究的基本方法，在教育教学实践中，结合小学教育教学实践进行研究，具有一定的教学研究能力。</w:t>
            </w:r>
          </w:p>
        </w:tc>
        <w:tc>
          <w:tcPr>
            <w:tcW w:w="1548" w:type="dxa"/>
            <w:vAlign w:val="center"/>
          </w:tcPr>
          <w:p w14:paraId="2CD21ECD">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课程目标2</w:t>
            </w:r>
          </w:p>
          <w:p w14:paraId="13F469DB">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r w14:paraId="45F3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trPr>
        <w:tc>
          <w:tcPr>
            <w:tcW w:w="1515" w:type="dxa"/>
            <w:vAlign w:val="center"/>
          </w:tcPr>
          <w:p w14:paraId="2E343ECA">
            <w:pPr>
              <w:pStyle w:val="33"/>
              <w:spacing w:line="276" w:lineRule="auto"/>
              <w:ind w:firstLine="0" w:firstLineChars="0"/>
              <w:jc w:val="center"/>
              <w:rPr>
                <w:rFonts w:hint="eastAsia" w:ascii="宋体" w:hAnsi="宋体" w:cs="宋体"/>
                <w:b/>
                <w:bCs/>
                <w:szCs w:val="21"/>
              </w:rPr>
            </w:pPr>
            <w:r>
              <w:rPr>
                <w:rFonts w:hint="eastAsia" w:ascii="宋体" w:hAnsi="宋体" w:cs="宋体"/>
                <w:b/>
                <w:bCs/>
                <w:szCs w:val="21"/>
              </w:rPr>
              <w:t>毕业要求7</w:t>
            </w:r>
          </w:p>
          <w:p w14:paraId="25599E08">
            <w:pPr>
              <w:pStyle w:val="33"/>
              <w:spacing w:line="276" w:lineRule="auto"/>
              <w:ind w:firstLine="0" w:firstLineChars="0"/>
              <w:jc w:val="center"/>
              <w:rPr>
                <w:rFonts w:hint="eastAsia" w:ascii="宋体" w:hAnsi="宋体" w:cs="宋体"/>
                <w:b/>
                <w:bCs/>
                <w:szCs w:val="21"/>
              </w:rPr>
            </w:pPr>
            <w:r>
              <w:rPr>
                <w:rFonts w:hint="eastAsia" w:ascii="宋体" w:hAnsi="宋体" w:cs="宋体"/>
                <w:b/>
                <w:bCs/>
                <w:szCs w:val="21"/>
              </w:rPr>
              <w:t>学会反思</w:t>
            </w:r>
          </w:p>
        </w:tc>
        <w:tc>
          <w:tcPr>
            <w:tcW w:w="5914" w:type="dxa"/>
            <w:vAlign w:val="center"/>
          </w:tcPr>
          <w:p w14:paraId="7A1059CA">
            <w:pPr>
              <w:pStyle w:val="33"/>
              <w:spacing w:line="276" w:lineRule="auto"/>
              <w:ind w:firstLine="0" w:firstLineChars="0"/>
              <w:jc w:val="left"/>
              <w:rPr>
                <w:rFonts w:hint="eastAsia" w:ascii="宋体" w:hAnsi="宋体" w:cs="宋体"/>
                <w:b/>
                <w:szCs w:val="21"/>
              </w:rPr>
            </w:pPr>
            <w:r>
              <w:rPr>
                <w:rFonts w:hint="eastAsia" w:ascii="宋体" w:hAnsi="宋体" w:cs="宋体"/>
                <w:b/>
                <w:szCs w:val="21"/>
              </w:rPr>
              <w:t>指标点7-1</w:t>
            </w:r>
            <w:r>
              <w:rPr>
                <w:rFonts w:ascii="宋体" w:hAnsi="宋体" w:cs="宋体"/>
                <w:szCs w:val="21"/>
              </w:rPr>
              <w:t>：【教育视野开阔】积极关注基础教育领域的国内外交流进展，了解国内外基础教育改革发展的动态，具有宽广的教育视野，能够主动适应新时代和教育发展需求。</w:t>
            </w:r>
          </w:p>
          <w:p w14:paraId="6051A61F">
            <w:pPr>
              <w:pStyle w:val="33"/>
              <w:spacing w:line="276" w:lineRule="auto"/>
              <w:ind w:firstLine="0" w:firstLineChars="0"/>
              <w:jc w:val="left"/>
              <w:rPr>
                <w:rFonts w:hint="eastAsia" w:ascii="宋体" w:hAnsi="宋体" w:cs="宋体"/>
                <w:szCs w:val="21"/>
              </w:rPr>
            </w:pPr>
            <w:r>
              <w:rPr>
                <w:rFonts w:hint="eastAsia" w:ascii="宋体" w:hAnsi="宋体" w:cs="宋体"/>
                <w:b/>
                <w:szCs w:val="21"/>
              </w:rPr>
              <w:t>指标点7-3</w:t>
            </w:r>
            <w:r>
              <w:rPr>
                <w:rFonts w:hint="eastAsia" w:ascii="宋体" w:hAnsi="宋体" w:cs="宋体"/>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548" w:type="dxa"/>
            <w:vAlign w:val="center"/>
          </w:tcPr>
          <w:p w14:paraId="375EEA53">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p w14:paraId="4F503DAE">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p w14:paraId="545B19A5">
            <w:pPr>
              <w:spacing w:line="360" w:lineRule="auto"/>
              <w:jc w:val="center"/>
              <w:rPr>
                <w:rFonts w:hint="eastAsia" w:ascii="宋体" w:hAnsi="宋体" w:eastAsia="宋体" w:cs="宋体"/>
                <w:szCs w:val="21"/>
              </w:rPr>
            </w:pPr>
            <w:r>
              <w:rPr>
                <w:rFonts w:hint="eastAsia" w:ascii="宋体" w:hAnsi="宋体" w:eastAsia="宋体" w:cs="宋体"/>
                <w:szCs w:val="21"/>
              </w:rPr>
              <w:t>课程目标 4</w:t>
            </w:r>
          </w:p>
        </w:tc>
      </w:tr>
    </w:tbl>
    <w:p w14:paraId="328750D5">
      <w:pPr>
        <w:spacing w:line="360" w:lineRule="auto"/>
        <w:ind w:firstLine="422" w:firstLineChars="200"/>
        <w:rPr>
          <w:rFonts w:hint="eastAsia" w:ascii="宋体" w:hAnsi="宋体" w:eastAsia="宋体" w:cs="Times New Roman"/>
          <w:b/>
          <w:szCs w:val="22"/>
        </w:rPr>
      </w:pPr>
      <w:r>
        <w:rPr>
          <w:rFonts w:hint="eastAsia" w:ascii="宋体" w:hAnsi="宋体" w:eastAsia="宋体" w:cs="Times New Roman"/>
          <w:b/>
          <w:szCs w:val="22"/>
        </w:rPr>
        <w:t>（三）课程思政目标</w:t>
      </w:r>
    </w:p>
    <w:p w14:paraId="0C34DB97">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学生在扎实掌握教育科学研究方法的基础上，践行社会主义核心价值观，认同中国特色社会主义，坚持“立德树人”，树立正确的世界观、价值观和人生观，形成正确的学术观、科研观和儿童观，学会发现、分析和解决人民群众关心的基础教育热点与难点问题。立志成为有理想信念、有道德情操、有扎实学习、有仁爱之心的新时代大国良师。</w:t>
      </w:r>
    </w:p>
    <w:p w14:paraId="62D8EC05">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p w14:paraId="36E3768D">
      <w:pPr>
        <w:spacing w:line="360" w:lineRule="auto"/>
        <w:jc w:val="left"/>
        <w:rPr>
          <w:rFonts w:hint="eastAsia" w:ascii="宋体" w:hAnsi="宋体" w:eastAsia="宋体" w:cs="Times New Roman"/>
          <w:szCs w:val="21"/>
        </w:rPr>
      </w:pPr>
      <w:r>
        <w:rPr>
          <w:rFonts w:hint="eastAsia" w:ascii="宋体" w:hAnsi="宋体" w:eastAsia="宋体" w:cs="Times New Roman"/>
          <w:b/>
          <w:sz w:val="24"/>
        </w:rPr>
        <w:t xml:space="preserve"> </w:t>
      </w:r>
      <w:r>
        <w:rPr>
          <w:rFonts w:ascii="宋体" w:hAnsi="宋体" w:eastAsia="宋体" w:cs="Times New Roman"/>
          <w:b/>
          <w:sz w:val="24"/>
        </w:rPr>
        <w:t xml:space="preserve">  </w:t>
      </w:r>
      <w:r>
        <w:rPr>
          <w:rFonts w:hint="eastAsia" w:ascii="宋体" w:hAnsi="宋体" w:eastAsia="宋体" w:cs="Times New Roman"/>
          <w:szCs w:val="21"/>
        </w:rPr>
        <w:t>本课程主要教学内容及学生预期学习成效下表。</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2417"/>
        <w:gridCol w:w="1183"/>
        <w:gridCol w:w="2892"/>
        <w:gridCol w:w="1088"/>
        <w:gridCol w:w="656"/>
      </w:tblGrid>
      <w:tr w14:paraId="481E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Align w:val="center"/>
          </w:tcPr>
          <w:p w14:paraId="4F47C6EE">
            <w:pPr>
              <w:jc w:val="center"/>
              <w:rPr>
                <w:rFonts w:hint="eastAsia" w:ascii="宋体" w:hAnsi="宋体" w:eastAsia="宋体" w:cs="Times New Roman"/>
                <w:b/>
                <w:szCs w:val="21"/>
              </w:rPr>
            </w:pPr>
            <w:r>
              <w:rPr>
                <w:rFonts w:hint="eastAsia" w:ascii="宋体" w:hAnsi="宋体" w:eastAsia="宋体" w:cs="Times New Roman"/>
                <w:b/>
                <w:szCs w:val="21"/>
              </w:rPr>
              <w:t>知识</w:t>
            </w:r>
          </w:p>
          <w:p w14:paraId="0FA76BC9">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417" w:type="dxa"/>
            <w:vAlign w:val="center"/>
          </w:tcPr>
          <w:p w14:paraId="24DEB0E6">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83" w:type="dxa"/>
            <w:vAlign w:val="center"/>
          </w:tcPr>
          <w:p w14:paraId="0E3527D9">
            <w:pPr>
              <w:jc w:val="center"/>
              <w:rPr>
                <w:rFonts w:hint="eastAsia" w:ascii="宋体" w:hAnsi="宋体" w:eastAsia="宋体" w:cs="Times New Roman"/>
                <w:b/>
                <w:szCs w:val="21"/>
              </w:rPr>
            </w:pPr>
            <w:r>
              <w:rPr>
                <w:rFonts w:hint="eastAsia" w:ascii="宋体" w:hAnsi="宋体" w:eastAsia="宋体" w:cs="Times New Roman"/>
                <w:b/>
                <w:szCs w:val="21"/>
              </w:rPr>
              <w:t>对应</w:t>
            </w:r>
          </w:p>
          <w:p w14:paraId="28465D77">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892" w:type="dxa"/>
            <w:vAlign w:val="center"/>
          </w:tcPr>
          <w:p w14:paraId="2E7C6976">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088" w:type="dxa"/>
            <w:vAlign w:val="center"/>
          </w:tcPr>
          <w:p w14:paraId="75E6956D">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656" w:type="dxa"/>
            <w:vAlign w:val="center"/>
          </w:tcPr>
          <w:p w14:paraId="29FF7454">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3D20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5703462E">
            <w:pPr>
              <w:spacing w:line="264"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教育科学研究概述</w:t>
            </w:r>
          </w:p>
        </w:tc>
        <w:tc>
          <w:tcPr>
            <w:tcW w:w="2417" w:type="dxa"/>
            <w:vAlign w:val="center"/>
          </w:tcPr>
          <w:p w14:paraId="33A832B2">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教育科学研究的涵义、特征和意义</w:t>
            </w:r>
          </w:p>
          <w:p w14:paraId="56ADA44A">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教育科学研究的类型及其发展趋势</w:t>
            </w:r>
          </w:p>
          <w:p w14:paraId="5E848B9D">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教育学科研究中学术规范与伦理问题</w:t>
            </w:r>
          </w:p>
          <w:p w14:paraId="1DECF2FC">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学习教育科学研究的方法</w:t>
            </w:r>
          </w:p>
        </w:tc>
        <w:tc>
          <w:tcPr>
            <w:tcW w:w="1183" w:type="dxa"/>
            <w:vAlign w:val="center"/>
          </w:tcPr>
          <w:p w14:paraId="26326512">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892" w:type="dxa"/>
            <w:vAlign w:val="center"/>
          </w:tcPr>
          <w:p w14:paraId="765C2DDD">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理解教育科学研究的涵义、特征和意义；</w:t>
            </w:r>
          </w:p>
          <w:p w14:paraId="49587EAE">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熟悉教育科学研究方法的类型及其发展趋势；</w:t>
            </w:r>
          </w:p>
          <w:p w14:paraId="6300BBBD">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了解教育科学研究中的学术规范与伦理问题，树立正确的学术观和价值观；</w:t>
            </w:r>
          </w:p>
          <w:p w14:paraId="2E2F3C65">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掌握正确的学习教育研究的方法，立志投身教育科学研究。</w:t>
            </w:r>
          </w:p>
        </w:tc>
        <w:tc>
          <w:tcPr>
            <w:tcW w:w="1088" w:type="dxa"/>
            <w:vAlign w:val="center"/>
          </w:tcPr>
          <w:p w14:paraId="652CB665">
            <w:pPr>
              <w:spacing w:line="269"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7F5E3A5F">
            <w:pPr>
              <w:spacing w:line="269" w:lineRule="auto"/>
              <w:jc w:val="left"/>
              <w:rPr>
                <w:rFonts w:hint="eastAsia" w:ascii="宋体" w:hAnsi="宋体" w:eastAsia="宋体" w:cs="Times New Roman"/>
                <w:szCs w:val="21"/>
              </w:rPr>
            </w:pPr>
            <w:r>
              <w:rPr>
                <w:rFonts w:hint="eastAsia" w:ascii="宋体" w:hAnsi="宋体" w:eastAsia="宋体" w:cs="Times New Roman"/>
                <w:szCs w:val="21"/>
              </w:rPr>
              <w:t>多媒体教学</w:t>
            </w:r>
          </w:p>
          <w:p w14:paraId="5CF24E1D">
            <w:pPr>
              <w:spacing w:line="269"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56AB9543">
            <w:pPr>
              <w:spacing w:line="269" w:lineRule="auto"/>
              <w:jc w:val="left"/>
              <w:rPr>
                <w:rFonts w:hint="eastAsia" w:ascii="宋体" w:hAnsi="宋体" w:eastAsia="宋体" w:cs="Times New Roman"/>
                <w:szCs w:val="21"/>
              </w:rPr>
            </w:pPr>
            <w:r>
              <w:rPr>
                <w:rFonts w:hint="eastAsia" w:ascii="宋体" w:hAnsi="宋体" w:eastAsia="宋体" w:cs="Times New Roman"/>
                <w:szCs w:val="21"/>
              </w:rPr>
              <w:t>在线测试</w:t>
            </w:r>
          </w:p>
        </w:tc>
        <w:tc>
          <w:tcPr>
            <w:tcW w:w="656" w:type="dxa"/>
            <w:vAlign w:val="center"/>
          </w:tcPr>
          <w:p w14:paraId="0F8A064E">
            <w:pPr>
              <w:spacing w:line="269" w:lineRule="auto"/>
              <w:jc w:val="center"/>
              <w:rPr>
                <w:rFonts w:hint="eastAsia" w:ascii="宋体" w:hAnsi="宋体" w:eastAsia="宋体" w:cs="Times New Roman"/>
                <w:szCs w:val="21"/>
              </w:rPr>
            </w:pPr>
            <w:r>
              <w:rPr>
                <w:rFonts w:ascii="宋体" w:hAnsi="宋体" w:eastAsia="宋体" w:cs="Times New Roman"/>
                <w:szCs w:val="21"/>
              </w:rPr>
              <w:t>2</w:t>
            </w:r>
          </w:p>
        </w:tc>
      </w:tr>
      <w:tr w14:paraId="4844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2877C85A">
            <w:pPr>
              <w:spacing w:line="264" w:lineRule="auto"/>
              <w:jc w:val="center"/>
              <w:rPr>
                <w:rFonts w:hint="eastAsia" w:ascii="宋体" w:hAnsi="宋体" w:eastAsia="宋体" w:cs="Times New Roman"/>
                <w:szCs w:val="21"/>
              </w:rPr>
            </w:pPr>
          </w:p>
        </w:tc>
        <w:tc>
          <w:tcPr>
            <w:tcW w:w="8236" w:type="dxa"/>
            <w:gridSpan w:val="5"/>
            <w:vAlign w:val="center"/>
          </w:tcPr>
          <w:p w14:paraId="164DF88B">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bookmarkStart w:id="672" w:name="_Hlk182024262"/>
            <w:r>
              <w:rPr>
                <w:rFonts w:hint="eastAsia" w:ascii="宋体" w:hAnsi="宋体" w:eastAsia="宋体" w:cs="Times New Roman"/>
                <w:szCs w:val="21"/>
              </w:rPr>
              <w:t>坚持马克思主义的唯物史观，全面正确理解教育研究的本质；以习近平总书记关于教育工作的重要论述为指导，理解基础教育科学研究的价值和意义；坚持“立德树人”，树立正确的世界观、价值观和人生观，形成正确的科研观。</w:t>
            </w:r>
            <w:bookmarkEnd w:id="672"/>
          </w:p>
        </w:tc>
      </w:tr>
      <w:tr w14:paraId="7712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0D327431">
            <w:pPr>
              <w:spacing w:line="264" w:lineRule="auto"/>
              <w:jc w:val="center"/>
              <w:rPr>
                <w:rFonts w:hint="eastAsia" w:ascii="宋体" w:hAnsi="宋体" w:eastAsia="宋体" w:cs="Times New Roman"/>
                <w:szCs w:val="21"/>
              </w:rPr>
            </w:pPr>
            <w:r>
              <w:rPr>
                <w:rFonts w:hint="eastAsia" w:ascii="宋体" w:hAnsi="宋体" w:eastAsia="宋体" w:cs="Times New Roman"/>
                <w:szCs w:val="21"/>
              </w:rPr>
              <w:t>2.</w:t>
            </w:r>
            <w:r>
              <w:rPr>
                <w:rFonts w:hint="eastAsia"/>
              </w:rPr>
              <w:t xml:space="preserve"> </w:t>
            </w:r>
            <w:r>
              <w:rPr>
                <w:rFonts w:hint="eastAsia" w:ascii="宋体" w:hAnsi="宋体" w:eastAsia="宋体" w:cs="Times New Roman"/>
                <w:szCs w:val="21"/>
              </w:rPr>
              <w:t>教育研究选题与设计</w:t>
            </w:r>
          </w:p>
        </w:tc>
        <w:tc>
          <w:tcPr>
            <w:tcW w:w="2417" w:type="dxa"/>
            <w:vAlign w:val="center"/>
          </w:tcPr>
          <w:p w14:paraId="63A02C0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1）教育研究课题的问题来源</w:t>
            </w:r>
          </w:p>
          <w:p w14:paraId="12C6EE0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2）教育研究选题的评价</w:t>
            </w:r>
          </w:p>
          <w:p w14:paraId="74A64D5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3）教育研究选题策略</w:t>
            </w:r>
          </w:p>
          <w:p w14:paraId="2AF1274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4）教育研究方案设计</w:t>
            </w:r>
          </w:p>
          <w:p w14:paraId="007C4BE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5）毕业论文开题报告</w:t>
            </w:r>
          </w:p>
        </w:tc>
        <w:tc>
          <w:tcPr>
            <w:tcW w:w="1183" w:type="dxa"/>
            <w:vAlign w:val="center"/>
          </w:tcPr>
          <w:p w14:paraId="3B7780A1">
            <w:pPr>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p>
        </w:tc>
        <w:tc>
          <w:tcPr>
            <w:tcW w:w="2892" w:type="dxa"/>
            <w:vAlign w:val="center"/>
          </w:tcPr>
          <w:p w14:paraId="728E796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1）了解教育研究课题的问题来源；</w:t>
            </w:r>
          </w:p>
          <w:p w14:paraId="5ED5473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2）理解教育研究选题的评价要求；</w:t>
            </w:r>
          </w:p>
          <w:p w14:paraId="3719726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3）学会清楚、明确地表述所研究的问题；</w:t>
            </w:r>
          </w:p>
          <w:p w14:paraId="6647A5F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4）能够设计简单的教育研究方案；</w:t>
            </w:r>
          </w:p>
          <w:p w14:paraId="65B639C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5）学会撰写毕业论文开题报告。</w:t>
            </w:r>
          </w:p>
        </w:tc>
        <w:tc>
          <w:tcPr>
            <w:tcW w:w="1088" w:type="dxa"/>
            <w:vAlign w:val="center"/>
          </w:tcPr>
          <w:p w14:paraId="1AD2C98E">
            <w:pPr>
              <w:spacing w:line="269"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238B0CA7">
            <w:pPr>
              <w:spacing w:line="269"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287121C2">
            <w:pPr>
              <w:spacing w:line="269"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1728E712">
            <w:pPr>
              <w:spacing w:line="269"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17355DFB">
            <w:pPr>
              <w:spacing w:line="269" w:lineRule="auto"/>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756321C0">
            <w:pPr>
              <w:spacing w:line="269" w:lineRule="auto"/>
              <w:jc w:val="center"/>
              <w:rPr>
                <w:rFonts w:hint="eastAsia" w:ascii="宋体" w:hAnsi="宋体" w:eastAsia="宋体" w:cs="Times New Roman"/>
                <w:szCs w:val="21"/>
              </w:rPr>
            </w:pPr>
            <w:r>
              <w:rPr>
                <w:rFonts w:ascii="宋体" w:hAnsi="宋体" w:eastAsia="宋体" w:cs="Times New Roman"/>
                <w:szCs w:val="21"/>
              </w:rPr>
              <w:t>6</w:t>
            </w:r>
          </w:p>
        </w:tc>
      </w:tr>
      <w:tr w14:paraId="5F99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226123E9">
            <w:pPr>
              <w:spacing w:line="264" w:lineRule="auto"/>
              <w:jc w:val="center"/>
              <w:rPr>
                <w:rFonts w:hint="eastAsia" w:ascii="宋体" w:hAnsi="宋体" w:eastAsia="宋体" w:cs="Times New Roman"/>
                <w:szCs w:val="21"/>
              </w:rPr>
            </w:pPr>
          </w:p>
        </w:tc>
        <w:tc>
          <w:tcPr>
            <w:tcW w:w="8236" w:type="dxa"/>
            <w:gridSpan w:val="5"/>
            <w:vAlign w:val="center"/>
          </w:tcPr>
          <w:p w14:paraId="03AB599F">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培养学生坚持真理、热爱科学、实事求是的品格，形成正确的学术观、科研观；热爱中小学教育，理解基础教育改革的意义，</w:t>
            </w:r>
            <w:bookmarkStart w:id="673" w:name="_Hlk182024397"/>
            <w:r>
              <w:rPr>
                <w:rFonts w:hint="eastAsia" w:ascii="宋体" w:hAnsi="宋体" w:eastAsia="宋体" w:cs="Times New Roman"/>
                <w:szCs w:val="21"/>
              </w:rPr>
              <w:t>具有一定的创新意识，学会发现和分析人民群众关心的基础教育热点与难点问题。</w:t>
            </w:r>
            <w:bookmarkEnd w:id="673"/>
          </w:p>
        </w:tc>
      </w:tr>
      <w:tr w14:paraId="071A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2AD416A8">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r>
              <w:rPr>
                <w:rFonts w:hint="eastAsia"/>
              </w:rPr>
              <w:t xml:space="preserve"> </w:t>
            </w:r>
            <w:r>
              <w:rPr>
                <w:rFonts w:hint="eastAsia" w:ascii="宋体" w:hAnsi="宋体" w:eastAsia="宋体" w:cs="Times New Roman"/>
                <w:szCs w:val="21"/>
              </w:rPr>
              <w:t>文献检索与综述</w:t>
            </w:r>
          </w:p>
        </w:tc>
        <w:tc>
          <w:tcPr>
            <w:tcW w:w="2417" w:type="dxa"/>
            <w:vAlign w:val="center"/>
          </w:tcPr>
          <w:p w14:paraId="2575E96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1）文献及其作用</w:t>
            </w:r>
          </w:p>
          <w:p w14:paraId="3786C02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2）教育文献检索</w:t>
            </w:r>
          </w:p>
          <w:p w14:paraId="4786351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3）教育文献的整理</w:t>
            </w:r>
          </w:p>
          <w:p w14:paraId="02AF918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4）文献综述</w:t>
            </w:r>
          </w:p>
        </w:tc>
        <w:tc>
          <w:tcPr>
            <w:tcW w:w="1183" w:type="dxa"/>
            <w:vAlign w:val="center"/>
          </w:tcPr>
          <w:p w14:paraId="246F4156">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892" w:type="dxa"/>
            <w:vAlign w:val="center"/>
          </w:tcPr>
          <w:p w14:paraId="5B2A50C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1）掌握文献检索与文献综述的基本知识；</w:t>
            </w:r>
          </w:p>
          <w:p w14:paraId="016A505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2）了解文献在教育研究中的作用；</w:t>
            </w:r>
          </w:p>
          <w:p w14:paraId="6698F63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3）学会使用常用的文献检索方法；</w:t>
            </w:r>
          </w:p>
          <w:p w14:paraId="152A894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4）学会撰写简单的文献综述。</w:t>
            </w:r>
          </w:p>
        </w:tc>
        <w:tc>
          <w:tcPr>
            <w:tcW w:w="1088" w:type="dxa"/>
            <w:vAlign w:val="center"/>
          </w:tcPr>
          <w:p w14:paraId="1BE234CD">
            <w:pPr>
              <w:jc w:val="left"/>
              <w:rPr>
                <w:rFonts w:hint="eastAsia" w:ascii="宋体" w:hAnsi="宋体" w:eastAsia="宋体" w:cs="Times New Roman"/>
                <w:szCs w:val="21"/>
              </w:rPr>
            </w:pPr>
            <w:r>
              <w:rPr>
                <w:rFonts w:hint="eastAsia" w:ascii="宋体" w:hAnsi="宋体" w:eastAsia="宋体" w:cs="Times New Roman"/>
                <w:szCs w:val="21"/>
              </w:rPr>
              <w:t>自主学习</w:t>
            </w:r>
          </w:p>
          <w:p w14:paraId="5010708B">
            <w:pPr>
              <w:jc w:val="left"/>
              <w:rPr>
                <w:rFonts w:hint="eastAsia" w:ascii="宋体" w:hAnsi="宋体" w:eastAsia="宋体" w:cs="Times New Roman"/>
                <w:szCs w:val="21"/>
              </w:rPr>
            </w:pPr>
            <w:r>
              <w:rPr>
                <w:rFonts w:hint="eastAsia" w:ascii="宋体" w:hAnsi="宋体" w:eastAsia="宋体" w:cs="Times New Roman"/>
                <w:szCs w:val="21"/>
              </w:rPr>
              <w:t>案例教学</w:t>
            </w:r>
          </w:p>
          <w:p w14:paraId="21BA56B2">
            <w:pPr>
              <w:jc w:val="left"/>
              <w:rPr>
                <w:rFonts w:hint="eastAsia" w:ascii="宋体" w:hAnsi="宋体" w:eastAsia="宋体" w:cs="Times New Roman"/>
                <w:szCs w:val="21"/>
              </w:rPr>
            </w:pPr>
            <w:r>
              <w:rPr>
                <w:rFonts w:hint="eastAsia" w:ascii="宋体" w:hAnsi="宋体" w:eastAsia="宋体" w:cs="Times New Roman"/>
                <w:szCs w:val="21"/>
              </w:rPr>
              <w:t>课堂讨论</w:t>
            </w:r>
          </w:p>
          <w:p w14:paraId="049CA81C">
            <w:pPr>
              <w:jc w:val="left"/>
              <w:rPr>
                <w:rFonts w:hint="eastAsia" w:ascii="宋体" w:hAnsi="宋体" w:eastAsia="宋体" w:cs="Times New Roman"/>
                <w:szCs w:val="21"/>
              </w:rPr>
            </w:pPr>
            <w:r>
              <w:rPr>
                <w:rFonts w:hint="eastAsia" w:ascii="宋体" w:hAnsi="宋体" w:eastAsia="宋体" w:cs="Times New Roman"/>
                <w:szCs w:val="21"/>
              </w:rPr>
              <w:t>在线测试</w:t>
            </w:r>
          </w:p>
          <w:p w14:paraId="08E9EB8E">
            <w:pPr>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10FE4E9A">
            <w:pPr>
              <w:jc w:val="center"/>
              <w:rPr>
                <w:rFonts w:hint="eastAsia" w:ascii="宋体" w:hAnsi="宋体" w:eastAsia="宋体" w:cs="Times New Roman"/>
                <w:szCs w:val="21"/>
              </w:rPr>
            </w:pPr>
            <w:r>
              <w:rPr>
                <w:rFonts w:ascii="宋体" w:hAnsi="宋体" w:eastAsia="宋体" w:cs="Times New Roman"/>
                <w:szCs w:val="21"/>
              </w:rPr>
              <w:t>6</w:t>
            </w:r>
          </w:p>
        </w:tc>
      </w:tr>
      <w:tr w14:paraId="2A178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0FE1CA2B">
            <w:pPr>
              <w:spacing w:line="264" w:lineRule="auto"/>
              <w:jc w:val="center"/>
              <w:rPr>
                <w:rFonts w:hint="eastAsia" w:ascii="宋体" w:hAnsi="宋体" w:eastAsia="宋体" w:cs="Times New Roman"/>
                <w:szCs w:val="21"/>
              </w:rPr>
            </w:pPr>
          </w:p>
        </w:tc>
        <w:tc>
          <w:tcPr>
            <w:tcW w:w="8236" w:type="dxa"/>
            <w:gridSpan w:val="5"/>
            <w:vAlign w:val="center"/>
          </w:tcPr>
          <w:p w14:paraId="64158EE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通过对国内外教育研究现状的全面梳理，增强对我国基础教育改革取得伟大成就的自豪感，培养投身基础教育科学研究的责任感和使命感；形成诚信务实、脚踏实地、实事求是的科研素养。</w:t>
            </w:r>
          </w:p>
        </w:tc>
      </w:tr>
      <w:tr w14:paraId="20B7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64BB1921">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 xml:space="preserve"> </w:t>
            </w:r>
            <w:r>
              <w:rPr>
                <w:rFonts w:hint="eastAsia" w:ascii="宋体" w:hAnsi="宋体" w:eastAsia="宋体" w:cs="Times New Roman"/>
                <w:szCs w:val="21"/>
              </w:rPr>
              <w:t>教育调查研究</w:t>
            </w:r>
          </w:p>
        </w:tc>
        <w:tc>
          <w:tcPr>
            <w:tcW w:w="2417" w:type="dxa"/>
            <w:vAlign w:val="center"/>
          </w:tcPr>
          <w:p w14:paraId="78BFFC2C">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1）调查研究的主要步骤</w:t>
            </w:r>
          </w:p>
          <w:p w14:paraId="783A277B">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2）问卷法</w:t>
            </w:r>
          </w:p>
          <w:p w14:paraId="6A09917E">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3）访谈法</w:t>
            </w:r>
          </w:p>
          <w:p w14:paraId="0C1F79B3">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4）观察法</w:t>
            </w:r>
          </w:p>
          <w:p w14:paraId="2E8C8339">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5）调查抽样</w:t>
            </w:r>
          </w:p>
        </w:tc>
        <w:tc>
          <w:tcPr>
            <w:tcW w:w="1183" w:type="dxa"/>
            <w:vAlign w:val="center"/>
          </w:tcPr>
          <w:p w14:paraId="5F92E837">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3</w:t>
            </w:r>
          </w:p>
        </w:tc>
        <w:tc>
          <w:tcPr>
            <w:tcW w:w="2892" w:type="dxa"/>
            <w:vAlign w:val="center"/>
          </w:tcPr>
          <w:p w14:paraId="21E35CE6">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1）明确调查研究的涵义；</w:t>
            </w:r>
          </w:p>
          <w:p w14:paraId="2A6FB202">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2）理解问卷法、访谈法、观察法的优缺点；</w:t>
            </w:r>
          </w:p>
          <w:p w14:paraId="1A0CB106">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3）学会设计简单的问卷、访谈提纲、观察记录表；</w:t>
            </w:r>
          </w:p>
          <w:p w14:paraId="73EFF2CA">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4）了解抽样的主要方法。</w:t>
            </w:r>
          </w:p>
        </w:tc>
        <w:tc>
          <w:tcPr>
            <w:tcW w:w="1088" w:type="dxa"/>
            <w:vAlign w:val="center"/>
          </w:tcPr>
          <w:p w14:paraId="574237C0">
            <w:pPr>
              <w:spacing w:line="276"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2261B112">
            <w:pPr>
              <w:spacing w:line="276"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18D2BDBB">
            <w:pPr>
              <w:spacing w:line="276"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67C57FA1">
            <w:pPr>
              <w:spacing w:line="276"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1EBE3562">
            <w:pPr>
              <w:spacing w:line="276" w:lineRule="auto"/>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0212A7AE">
            <w:pPr>
              <w:spacing w:line="276" w:lineRule="auto"/>
              <w:jc w:val="center"/>
              <w:rPr>
                <w:rFonts w:hint="eastAsia" w:ascii="宋体" w:hAnsi="宋体" w:eastAsia="宋体" w:cs="Times New Roman"/>
                <w:szCs w:val="21"/>
              </w:rPr>
            </w:pPr>
            <w:r>
              <w:rPr>
                <w:rFonts w:ascii="宋体" w:hAnsi="宋体" w:eastAsia="宋体" w:cs="Times New Roman"/>
                <w:szCs w:val="21"/>
              </w:rPr>
              <w:t>6</w:t>
            </w:r>
          </w:p>
        </w:tc>
      </w:tr>
      <w:tr w14:paraId="7FAB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35B9FF55">
            <w:pPr>
              <w:spacing w:line="276" w:lineRule="auto"/>
              <w:jc w:val="center"/>
              <w:rPr>
                <w:rFonts w:hint="eastAsia" w:ascii="宋体" w:hAnsi="宋体" w:eastAsia="宋体" w:cs="Times New Roman"/>
                <w:szCs w:val="21"/>
              </w:rPr>
            </w:pPr>
          </w:p>
        </w:tc>
        <w:tc>
          <w:tcPr>
            <w:tcW w:w="8236" w:type="dxa"/>
            <w:gridSpan w:val="5"/>
            <w:vAlign w:val="center"/>
          </w:tcPr>
          <w:p w14:paraId="3B8530BA">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以马克思主义的方法论为指导，培养学生诚信务实、脚踏实地、实事求是的科研素养。</w:t>
            </w:r>
          </w:p>
        </w:tc>
      </w:tr>
      <w:tr w14:paraId="196E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64521376">
            <w:pPr>
              <w:spacing w:line="276" w:lineRule="auto"/>
              <w:jc w:val="center"/>
              <w:rPr>
                <w:rFonts w:hint="eastAsia" w:ascii="宋体" w:hAnsi="宋体" w:eastAsia="宋体" w:cs="Times New Roman"/>
                <w:szCs w:val="21"/>
              </w:rPr>
            </w:pPr>
            <w:r>
              <w:rPr>
                <w:rFonts w:hint="eastAsia" w:ascii="宋体" w:hAnsi="宋体" w:eastAsia="宋体" w:cs="Times New Roman"/>
                <w:szCs w:val="21"/>
              </w:rPr>
              <w:t>5. 教育个案研究</w:t>
            </w:r>
          </w:p>
        </w:tc>
        <w:tc>
          <w:tcPr>
            <w:tcW w:w="2417" w:type="dxa"/>
            <w:vAlign w:val="center"/>
          </w:tcPr>
          <w:p w14:paraId="3BC183F0">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1）个案研究</w:t>
            </w:r>
            <w:r>
              <w:rPr>
                <w:rFonts w:hint="eastAsia" w:ascii="宋体" w:hAnsi="宋体" w:eastAsia="宋体" w:cs="Times New Roman"/>
                <w:szCs w:val="21"/>
              </w:rPr>
              <w:t>的含义</w:t>
            </w:r>
          </w:p>
          <w:p w14:paraId="09EF618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2）个案研究的步骤</w:t>
            </w:r>
          </w:p>
          <w:p w14:paraId="3F7C917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3）个案研究的方法</w:t>
            </w:r>
          </w:p>
        </w:tc>
        <w:tc>
          <w:tcPr>
            <w:tcW w:w="1183" w:type="dxa"/>
            <w:vAlign w:val="center"/>
          </w:tcPr>
          <w:p w14:paraId="28E568E2">
            <w:pPr>
              <w:jc w:val="center"/>
              <w:rPr>
                <w:rFonts w:hint="eastAsia"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2892" w:type="dxa"/>
            <w:vAlign w:val="center"/>
          </w:tcPr>
          <w:p w14:paraId="03F57A1A">
            <w:pPr>
              <w:jc w:val="left"/>
              <w:rPr>
                <w:rFonts w:hint="eastAsia"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1）理解个案研究的涵义和特点；</w:t>
            </w:r>
          </w:p>
          <w:p w14:paraId="7B59DC4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2）掌握个案研究的步骤；了解个案研究的主要方法；</w:t>
            </w:r>
          </w:p>
          <w:p w14:paraId="4165AAA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3）初步尝试个案研究的方案设计。</w:t>
            </w:r>
          </w:p>
        </w:tc>
        <w:tc>
          <w:tcPr>
            <w:tcW w:w="1088" w:type="dxa"/>
            <w:vAlign w:val="center"/>
          </w:tcPr>
          <w:p w14:paraId="744F9390">
            <w:pPr>
              <w:jc w:val="left"/>
              <w:rPr>
                <w:rFonts w:hint="eastAsia" w:ascii="宋体" w:hAnsi="宋体" w:eastAsia="宋体" w:cs="Times New Roman"/>
                <w:szCs w:val="21"/>
              </w:rPr>
            </w:pPr>
            <w:r>
              <w:rPr>
                <w:rFonts w:hint="eastAsia" w:ascii="宋体" w:hAnsi="宋体" w:eastAsia="宋体" w:cs="Times New Roman"/>
                <w:szCs w:val="21"/>
              </w:rPr>
              <w:t>自主学习</w:t>
            </w:r>
          </w:p>
          <w:p w14:paraId="2BDCFA8B">
            <w:pPr>
              <w:jc w:val="left"/>
              <w:rPr>
                <w:rFonts w:hint="eastAsia" w:ascii="宋体" w:hAnsi="宋体" w:eastAsia="宋体" w:cs="Times New Roman"/>
                <w:szCs w:val="21"/>
              </w:rPr>
            </w:pPr>
            <w:r>
              <w:rPr>
                <w:rFonts w:hint="eastAsia" w:ascii="宋体" w:hAnsi="宋体" w:eastAsia="宋体" w:cs="Times New Roman"/>
                <w:szCs w:val="21"/>
              </w:rPr>
              <w:t>案例教学</w:t>
            </w:r>
          </w:p>
          <w:p w14:paraId="57846A74">
            <w:pPr>
              <w:jc w:val="left"/>
              <w:rPr>
                <w:rFonts w:hint="eastAsia" w:ascii="宋体" w:hAnsi="宋体" w:eastAsia="宋体" w:cs="Times New Roman"/>
                <w:szCs w:val="21"/>
              </w:rPr>
            </w:pPr>
            <w:r>
              <w:rPr>
                <w:rFonts w:hint="eastAsia" w:ascii="宋体" w:hAnsi="宋体" w:eastAsia="宋体" w:cs="Times New Roman"/>
                <w:szCs w:val="21"/>
              </w:rPr>
              <w:t>课堂讨论</w:t>
            </w:r>
          </w:p>
          <w:p w14:paraId="0DF4DAAE">
            <w:pPr>
              <w:jc w:val="left"/>
              <w:rPr>
                <w:rFonts w:hint="eastAsia" w:ascii="宋体" w:hAnsi="宋体" w:eastAsia="宋体" w:cs="Times New Roman"/>
                <w:szCs w:val="21"/>
              </w:rPr>
            </w:pPr>
            <w:r>
              <w:rPr>
                <w:rFonts w:hint="eastAsia" w:ascii="宋体" w:hAnsi="宋体" w:eastAsia="宋体" w:cs="Times New Roman"/>
                <w:szCs w:val="21"/>
              </w:rPr>
              <w:t>在线测试</w:t>
            </w:r>
          </w:p>
          <w:p w14:paraId="05760654">
            <w:pPr>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1BDD7213">
            <w:pPr>
              <w:spacing w:line="276" w:lineRule="auto"/>
              <w:jc w:val="center"/>
              <w:rPr>
                <w:rFonts w:hint="eastAsia" w:ascii="宋体" w:hAnsi="宋体" w:eastAsia="宋体" w:cs="Times New Roman"/>
                <w:szCs w:val="21"/>
              </w:rPr>
            </w:pPr>
            <w:r>
              <w:rPr>
                <w:rFonts w:ascii="宋体" w:hAnsi="宋体" w:eastAsia="宋体" w:cs="Times New Roman"/>
                <w:szCs w:val="21"/>
              </w:rPr>
              <w:t>2</w:t>
            </w:r>
          </w:p>
        </w:tc>
      </w:tr>
      <w:tr w14:paraId="3E88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2D159BF1">
            <w:pPr>
              <w:spacing w:line="276" w:lineRule="auto"/>
              <w:jc w:val="center"/>
              <w:rPr>
                <w:rFonts w:hint="eastAsia" w:ascii="宋体" w:hAnsi="宋体" w:eastAsia="宋体" w:cs="Times New Roman"/>
                <w:szCs w:val="21"/>
              </w:rPr>
            </w:pPr>
          </w:p>
        </w:tc>
        <w:tc>
          <w:tcPr>
            <w:tcW w:w="8236" w:type="dxa"/>
            <w:gridSpan w:val="5"/>
            <w:vAlign w:val="center"/>
          </w:tcPr>
          <w:p w14:paraId="310C438B">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遵循教育规律和儿童身心发展，尊重儿童个性，培养和形成正确的儿童观，热爱儿童、关心儿童的品质；培养和形成具体问题具体分析的工作作风。</w:t>
            </w:r>
          </w:p>
        </w:tc>
      </w:tr>
      <w:tr w14:paraId="68BD1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0297ED8C">
            <w:pPr>
              <w:spacing w:line="276" w:lineRule="auto"/>
              <w:jc w:val="center"/>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 xml:space="preserve"> </w:t>
            </w:r>
            <w:r>
              <w:rPr>
                <w:rFonts w:hint="eastAsia" w:ascii="宋体" w:hAnsi="宋体" w:eastAsia="宋体" w:cs="Times New Roman"/>
                <w:szCs w:val="21"/>
              </w:rPr>
              <w:t>教育实验研究</w:t>
            </w:r>
          </w:p>
        </w:tc>
        <w:tc>
          <w:tcPr>
            <w:tcW w:w="2417" w:type="dxa"/>
            <w:vAlign w:val="center"/>
          </w:tcPr>
          <w:p w14:paraId="1980D3DA">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1）教育实验</w:t>
            </w:r>
            <w:r>
              <w:rPr>
                <w:rFonts w:hint="eastAsia" w:ascii="宋体" w:hAnsi="宋体" w:eastAsia="宋体" w:cs="Times New Roman"/>
                <w:szCs w:val="21"/>
              </w:rPr>
              <w:t>的概念、特征</w:t>
            </w:r>
          </w:p>
          <w:p w14:paraId="7E4C0A5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2）教育实验选题与实验假设</w:t>
            </w:r>
          </w:p>
          <w:p w14:paraId="4634B82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3）教育实验的变量选择、测量和控制</w:t>
            </w:r>
          </w:p>
          <w:p w14:paraId="6F891A8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4）教育实验的类型和设计</w:t>
            </w:r>
          </w:p>
          <w:p w14:paraId="79CB00D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5）教育实验的评价</w:t>
            </w:r>
          </w:p>
        </w:tc>
        <w:tc>
          <w:tcPr>
            <w:tcW w:w="1183" w:type="dxa"/>
            <w:vAlign w:val="center"/>
          </w:tcPr>
          <w:p w14:paraId="7BEBE549">
            <w:pPr>
              <w:jc w:val="center"/>
              <w:rPr>
                <w:rFonts w:hint="eastAsia"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2892" w:type="dxa"/>
            <w:vAlign w:val="center"/>
          </w:tcPr>
          <w:p w14:paraId="23C80FBE">
            <w:pPr>
              <w:jc w:val="left"/>
              <w:rPr>
                <w:rFonts w:hint="eastAsia"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1）明确教育实验研究的涵义及其基本概念，理解教育实验的特征、功能和局限性；</w:t>
            </w:r>
          </w:p>
          <w:p w14:paraId="4D10A6FE">
            <w:pPr>
              <w:jc w:val="left"/>
              <w:rPr>
                <w:rFonts w:hint="eastAsia" w:ascii="宋体" w:hAnsi="宋体" w:eastAsia="宋体" w:cs="Times New Roman"/>
                <w:szCs w:val="21"/>
              </w:rPr>
            </w:pPr>
            <w:r>
              <w:rPr>
                <w:rFonts w:ascii="宋体" w:hAnsi="宋体" w:eastAsia="宋体" w:cs="Times New Roman"/>
                <w:szCs w:val="21"/>
              </w:rPr>
              <w:t>（2）了解教育实验的步骤；了解常见的无关变量及其控制办法；</w:t>
            </w:r>
          </w:p>
          <w:p w14:paraId="12E3363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3）学会识别常用的实验设计类型；</w:t>
            </w:r>
          </w:p>
          <w:p w14:paraId="31A4A57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4）学会从实验设计的角度评价实验效度。</w:t>
            </w:r>
          </w:p>
        </w:tc>
        <w:tc>
          <w:tcPr>
            <w:tcW w:w="1088" w:type="dxa"/>
            <w:vAlign w:val="center"/>
          </w:tcPr>
          <w:p w14:paraId="146BAD61">
            <w:pPr>
              <w:spacing w:line="276"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01E7271A">
            <w:pPr>
              <w:spacing w:line="276"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1BD3C127">
            <w:pPr>
              <w:spacing w:line="276"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25A5AB32">
            <w:pPr>
              <w:spacing w:line="276"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5FA56638">
            <w:pPr>
              <w:spacing w:line="276" w:lineRule="auto"/>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674F5001">
            <w:pPr>
              <w:spacing w:line="276" w:lineRule="auto"/>
              <w:jc w:val="center"/>
              <w:rPr>
                <w:rFonts w:hint="eastAsia" w:ascii="宋体" w:hAnsi="宋体" w:eastAsia="宋体" w:cs="Times New Roman"/>
                <w:szCs w:val="21"/>
              </w:rPr>
            </w:pPr>
            <w:r>
              <w:rPr>
                <w:rFonts w:ascii="宋体" w:hAnsi="宋体" w:eastAsia="宋体" w:cs="Times New Roman"/>
                <w:szCs w:val="21"/>
              </w:rPr>
              <w:t>3</w:t>
            </w:r>
          </w:p>
        </w:tc>
      </w:tr>
      <w:tr w14:paraId="37235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386E2933">
            <w:pPr>
              <w:spacing w:line="276" w:lineRule="auto"/>
              <w:jc w:val="center"/>
              <w:rPr>
                <w:rFonts w:hint="eastAsia" w:ascii="宋体" w:hAnsi="宋体" w:eastAsia="宋体" w:cs="Times New Roman"/>
                <w:szCs w:val="21"/>
              </w:rPr>
            </w:pPr>
          </w:p>
        </w:tc>
        <w:tc>
          <w:tcPr>
            <w:tcW w:w="8236" w:type="dxa"/>
            <w:gridSpan w:val="5"/>
            <w:vAlign w:val="center"/>
          </w:tcPr>
          <w:p w14:paraId="752F6ADB">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尊重事物发展的内在规律，准确把握事物的主要矛盾和次要矛盾；尊重儿童身心发展规律，关注教育研究的伦理特点，形成正确的科研观和业绩观。</w:t>
            </w:r>
          </w:p>
        </w:tc>
      </w:tr>
      <w:tr w14:paraId="19F2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610954E5">
            <w:pPr>
              <w:spacing w:line="276" w:lineRule="auto"/>
              <w:jc w:val="center"/>
              <w:rPr>
                <w:rFonts w:hint="eastAsia" w:ascii="宋体" w:hAnsi="宋体" w:eastAsia="宋体" w:cs="Times New Roman"/>
                <w:szCs w:val="21"/>
              </w:rPr>
            </w:pPr>
            <w:r>
              <w:rPr>
                <w:rFonts w:hint="eastAsia" w:ascii="宋体" w:hAnsi="宋体" w:eastAsia="宋体" w:cs="Times New Roman"/>
                <w:szCs w:val="21"/>
              </w:rPr>
              <w:t>7. 教育叙事研究</w:t>
            </w:r>
          </w:p>
        </w:tc>
        <w:tc>
          <w:tcPr>
            <w:tcW w:w="2417" w:type="dxa"/>
            <w:vAlign w:val="center"/>
          </w:tcPr>
          <w:p w14:paraId="3E0AB07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1）教育叙事研究</w:t>
            </w:r>
            <w:r>
              <w:rPr>
                <w:rFonts w:hint="eastAsia" w:ascii="宋体" w:hAnsi="宋体" w:eastAsia="宋体" w:cs="Times New Roman"/>
                <w:szCs w:val="21"/>
              </w:rPr>
              <w:t>的内涵特征</w:t>
            </w:r>
          </w:p>
          <w:p w14:paraId="3B20351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2）教育叙事研究的操作策略</w:t>
            </w:r>
          </w:p>
          <w:p w14:paraId="5DA2BE1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3）教育叙事研究的基本要求</w:t>
            </w:r>
          </w:p>
        </w:tc>
        <w:tc>
          <w:tcPr>
            <w:tcW w:w="1183" w:type="dxa"/>
            <w:vAlign w:val="center"/>
          </w:tcPr>
          <w:p w14:paraId="4762DA9C">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892" w:type="dxa"/>
            <w:vAlign w:val="center"/>
          </w:tcPr>
          <w:p w14:paraId="3669683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1）了解教育叙事研究的特征；</w:t>
            </w:r>
          </w:p>
          <w:p w14:paraId="04D0D6A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2）掌握教育叙事研究的关键步骤及操作策略；</w:t>
            </w:r>
          </w:p>
          <w:p w14:paraId="5AC6E2F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3）掌握教育叙事研究的“深度描写”的基本要求；</w:t>
            </w:r>
          </w:p>
          <w:p w14:paraId="1AFDD69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4）初步掌握教育叙事研究方案的设计。</w:t>
            </w:r>
          </w:p>
        </w:tc>
        <w:tc>
          <w:tcPr>
            <w:tcW w:w="1088" w:type="dxa"/>
            <w:vAlign w:val="center"/>
          </w:tcPr>
          <w:p w14:paraId="171EA69E">
            <w:pPr>
              <w:spacing w:line="276"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0DEAB89E">
            <w:pPr>
              <w:spacing w:line="276"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00B9483D">
            <w:pPr>
              <w:spacing w:line="276"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5F150089">
            <w:pPr>
              <w:spacing w:line="276"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43C26056">
            <w:pPr>
              <w:spacing w:line="276" w:lineRule="auto"/>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12F69D02">
            <w:pPr>
              <w:spacing w:line="276" w:lineRule="auto"/>
              <w:jc w:val="center"/>
              <w:rPr>
                <w:rFonts w:hint="eastAsia" w:ascii="宋体" w:hAnsi="宋体" w:eastAsia="宋体" w:cs="Times New Roman"/>
                <w:szCs w:val="21"/>
              </w:rPr>
            </w:pPr>
            <w:r>
              <w:rPr>
                <w:rFonts w:ascii="宋体" w:hAnsi="宋体" w:eastAsia="宋体" w:cs="Times New Roman"/>
                <w:szCs w:val="21"/>
              </w:rPr>
              <w:t>2</w:t>
            </w:r>
          </w:p>
        </w:tc>
      </w:tr>
      <w:tr w14:paraId="735D2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78D2F978">
            <w:pPr>
              <w:spacing w:line="276" w:lineRule="auto"/>
              <w:jc w:val="center"/>
              <w:rPr>
                <w:rFonts w:hint="eastAsia" w:ascii="宋体" w:hAnsi="宋体" w:eastAsia="宋体" w:cs="Times New Roman"/>
                <w:szCs w:val="21"/>
              </w:rPr>
            </w:pPr>
          </w:p>
        </w:tc>
        <w:tc>
          <w:tcPr>
            <w:tcW w:w="8236" w:type="dxa"/>
            <w:gridSpan w:val="5"/>
            <w:vAlign w:val="center"/>
          </w:tcPr>
          <w:p w14:paraId="50B964CF">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培养和形成深厚的教育情怀，走进儿童心灵，关心、关爱儿童；养成脚踏实地、实事求是的学习风气和研究态度。</w:t>
            </w:r>
          </w:p>
        </w:tc>
      </w:tr>
      <w:tr w14:paraId="7501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57E96A69">
            <w:pPr>
              <w:spacing w:line="264" w:lineRule="auto"/>
              <w:jc w:val="center"/>
              <w:rPr>
                <w:rFonts w:hint="eastAsia" w:ascii="宋体" w:hAnsi="宋体" w:eastAsia="宋体" w:cs="Times New Roman"/>
                <w:szCs w:val="21"/>
              </w:rPr>
            </w:pPr>
            <w:r>
              <w:rPr>
                <w:rFonts w:hint="eastAsia" w:ascii="宋体" w:hAnsi="宋体" w:eastAsia="宋体" w:cs="Times New Roman"/>
                <w:szCs w:val="21"/>
              </w:rPr>
              <w:t>8. 教育行动研究</w:t>
            </w:r>
          </w:p>
        </w:tc>
        <w:tc>
          <w:tcPr>
            <w:tcW w:w="2417" w:type="dxa"/>
            <w:vAlign w:val="center"/>
          </w:tcPr>
          <w:p w14:paraId="30A4192F">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1）教育行动研究</w:t>
            </w:r>
            <w:r>
              <w:rPr>
                <w:rFonts w:hint="eastAsia" w:ascii="宋体" w:hAnsi="宋体" w:eastAsia="宋体" w:cs="Times New Roman"/>
                <w:szCs w:val="21"/>
              </w:rPr>
              <w:t>的特征</w:t>
            </w:r>
          </w:p>
          <w:p w14:paraId="2266EE2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2）教育行动研究的步骤</w:t>
            </w:r>
          </w:p>
          <w:p w14:paraId="61CB0BF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3）教育行动研究的基本要求</w:t>
            </w:r>
          </w:p>
        </w:tc>
        <w:tc>
          <w:tcPr>
            <w:tcW w:w="1183" w:type="dxa"/>
            <w:vAlign w:val="center"/>
          </w:tcPr>
          <w:p w14:paraId="459796C4">
            <w:pPr>
              <w:jc w:val="center"/>
              <w:rPr>
                <w:rFonts w:hint="eastAsia" w:ascii="宋体" w:hAnsi="宋体" w:eastAsia="宋体" w:cs="Times New Roman"/>
                <w:szCs w:val="21"/>
              </w:rPr>
            </w:pPr>
            <w:r>
              <w:rPr>
                <w:rFonts w:hint="eastAsia" w:ascii="宋体" w:hAnsi="宋体" w:eastAsia="宋体" w:cs="Times New Roman"/>
                <w:szCs w:val="21"/>
              </w:rPr>
              <w:t>课程目标3</w:t>
            </w:r>
            <w:r>
              <w:rPr>
                <w:rFonts w:ascii="宋体" w:hAnsi="宋体" w:eastAsia="宋体" w:cs="Times New Roman"/>
                <w:szCs w:val="21"/>
              </w:rPr>
              <w:t xml:space="preserve"> </w:t>
            </w:r>
          </w:p>
        </w:tc>
        <w:tc>
          <w:tcPr>
            <w:tcW w:w="2892" w:type="dxa"/>
            <w:vAlign w:val="center"/>
          </w:tcPr>
          <w:p w14:paraId="637FBD5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1）了解教育行动研究的特征和意义；</w:t>
            </w:r>
          </w:p>
          <w:p w14:paraId="368F67C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2）掌握教育行动研究的基本步骤；</w:t>
            </w:r>
          </w:p>
          <w:p w14:paraId="368E225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3）学会教育行动研究方案设计。</w:t>
            </w:r>
          </w:p>
        </w:tc>
        <w:tc>
          <w:tcPr>
            <w:tcW w:w="1088" w:type="dxa"/>
            <w:vAlign w:val="center"/>
          </w:tcPr>
          <w:p w14:paraId="05C7B7DA">
            <w:pPr>
              <w:spacing w:line="264"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59E4D6AC">
            <w:pPr>
              <w:spacing w:line="264"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3B0C7254">
            <w:pPr>
              <w:spacing w:line="264"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678AE54B">
            <w:pPr>
              <w:spacing w:line="264"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568B53D9">
            <w:pPr>
              <w:spacing w:line="264" w:lineRule="auto"/>
              <w:jc w:val="left"/>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3A1C915C">
            <w:pPr>
              <w:spacing w:line="264" w:lineRule="auto"/>
              <w:jc w:val="center"/>
              <w:rPr>
                <w:rFonts w:hint="eastAsia" w:ascii="宋体" w:hAnsi="宋体" w:eastAsia="宋体" w:cs="Times New Roman"/>
                <w:szCs w:val="21"/>
              </w:rPr>
            </w:pPr>
            <w:r>
              <w:rPr>
                <w:rFonts w:ascii="宋体" w:hAnsi="宋体" w:eastAsia="宋体" w:cs="Times New Roman"/>
                <w:szCs w:val="21"/>
              </w:rPr>
              <w:t>2</w:t>
            </w:r>
          </w:p>
        </w:tc>
      </w:tr>
      <w:tr w14:paraId="40EBC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4F2603DD">
            <w:pPr>
              <w:spacing w:line="264" w:lineRule="auto"/>
              <w:jc w:val="center"/>
              <w:rPr>
                <w:rFonts w:hint="eastAsia" w:ascii="宋体" w:hAnsi="宋体" w:eastAsia="宋体" w:cs="Times New Roman"/>
                <w:szCs w:val="21"/>
              </w:rPr>
            </w:pPr>
          </w:p>
        </w:tc>
        <w:tc>
          <w:tcPr>
            <w:tcW w:w="8236" w:type="dxa"/>
            <w:gridSpan w:val="5"/>
            <w:vAlign w:val="center"/>
          </w:tcPr>
          <w:p w14:paraId="006F17AC">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尊重教育发展规律和儿童身心发展规律，形成务实的研究作风；培养和形成协调合作能力和创新实践能力。</w:t>
            </w:r>
          </w:p>
        </w:tc>
      </w:tr>
      <w:tr w14:paraId="65D4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restart"/>
            <w:vAlign w:val="center"/>
          </w:tcPr>
          <w:p w14:paraId="2F6D3489">
            <w:pPr>
              <w:spacing w:line="264" w:lineRule="auto"/>
              <w:jc w:val="center"/>
              <w:rPr>
                <w:rFonts w:hint="eastAsia" w:ascii="宋体" w:hAnsi="宋体" w:eastAsia="宋体" w:cs="Times New Roman"/>
                <w:szCs w:val="21"/>
              </w:rPr>
            </w:pPr>
            <w:r>
              <w:rPr>
                <w:rFonts w:hint="eastAsia" w:ascii="宋体" w:hAnsi="宋体" w:eastAsia="宋体" w:cs="Times New Roman"/>
                <w:szCs w:val="21"/>
              </w:rPr>
              <w:t>9. 教育研究成果表述</w:t>
            </w:r>
          </w:p>
        </w:tc>
        <w:tc>
          <w:tcPr>
            <w:tcW w:w="2417" w:type="dxa"/>
            <w:vAlign w:val="center"/>
          </w:tcPr>
          <w:p w14:paraId="0B8549CF">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1）教育研究成果表述的目的</w:t>
            </w:r>
          </w:p>
          <w:p w14:paraId="136D3C1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2）教育研究成果的主要类型</w:t>
            </w:r>
          </w:p>
          <w:p w14:paraId="60A78A3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3）教育研究成果的撰写</w:t>
            </w:r>
          </w:p>
          <w:p w14:paraId="166F030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4）教育研究成果表述规范</w:t>
            </w:r>
          </w:p>
        </w:tc>
        <w:tc>
          <w:tcPr>
            <w:tcW w:w="1183" w:type="dxa"/>
            <w:vAlign w:val="center"/>
          </w:tcPr>
          <w:p w14:paraId="3BD303B9">
            <w:pPr>
              <w:jc w:val="center"/>
              <w:rPr>
                <w:rFonts w:hint="eastAsia" w:ascii="宋体" w:hAnsi="宋体" w:eastAsia="宋体" w:cs="Times New Roman"/>
                <w:szCs w:val="21"/>
              </w:rPr>
            </w:pPr>
            <w:r>
              <w:rPr>
                <w:rFonts w:hint="eastAsia" w:ascii="宋体" w:hAnsi="宋体" w:eastAsia="宋体" w:cs="Times New Roman"/>
                <w:szCs w:val="21"/>
              </w:rPr>
              <w:t>课程目标4</w:t>
            </w:r>
            <w:r>
              <w:rPr>
                <w:rFonts w:ascii="宋体" w:hAnsi="宋体" w:eastAsia="宋体" w:cs="Times New Roman"/>
                <w:szCs w:val="21"/>
              </w:rPr>
              <w:t xml:space="preserve"> </w:t>
            </w:r>
          </w:p>
        </w:tc>
        <w:tc>
          <w:tcPr>
            <w:tcW w:w="2892" w:type="dxa"/>
            <w:vAlign w:val="center"/>
          </w:tcPr>
          <w:p w14:paraId="2942993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1）了解教育研究成果表述的目的；</w:t>
            </w:r>
          </w:p>
          <w:p w14:paraId="7AFB9D2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2）掌握教育经验总结、教育调查报告、实验报告及学术论文（毕业论文）的基本结构；</w:t>
            </w:r>
          </w:p>
          <w:p w14:paraId="21C7DAE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3）掌握研究撰写的通行规范；</w:t>
            </w:r>
          </w:p>
          <w:p w14:paraId="0B25703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4）初步掌握研究报告及毕业论文的撰写方法。</w:t>
            </w:r>
          </w:p>
        </w:tc>
        <w:tc>
          <w:tcPr>
            <w:tcW w:w="1088" w:type="dxa"/>
            <w:vAlign w:val="center"/>
          </w:tcPr>
          <w:p w14:paraId="364EAC79">
            <w:pPr>
              <w:spacing w:line="264" w:lineRule="auto"/>
              <w:jc w:val="left"/>
              <w:rPr>
                <w:rFonts w:hint="eastAsia" w:ascii="宋体" w:hAnsi="宋体" w:eastAsia="宋体" w:cs="Times New Roman"/>
                <w:szCs w:val="21"/>
              </w:rPr>
            </w:pPr>
            <w:r>
              <w:rPr>
                <w:rFonts w:hint="eastAsia" w:ascii="宋体" w:hAnsi="宋体" w:eastAsia="宋体" w:cs="Times New Roman"/>
                <w:szCs w:val="21"/>
              </w:rPr>
              <w:t>自主学习</w:t>
            </w:r>
          </w:p>
          <w:p w14:paraId="033B642B">
            <w:pPr>
              <w:spacing w:line="264" w:lineRule="auto"/>
              <w:jc w:val="left"/>
              <w:rPr>
                <w:rFonts w:hint="eastAsia" w:ascii="宋体" w:hAnsi="宋体" w:eastAsia="宋体" w:cs="Times New Roman"/>
                <w:szCs w:val="21"/>
              </w:rPr>
            </w:pPr>
            <w:r>
              <w:rPr>
                <w:rFonts w:hint="eastAsia" w:ascii="宋体" w:hAnsi="宋体" w:eastAsia="宋体" w:cs="Times New Roman"/>
                <w:szCs w:val="21"/>
              </w:rPr>
              <w:t>案例教学</w:t>
            </w:r>
          </w:p>
          <w:p w14:paraId="187E80AB">
            <w:pPr>
              <w:spacing w:line="264" w:lineRule="auto"/>
              <w:jc w:val="left"/>
              <w:rPr>
                <w:rFonts w:hint="eastAsia" w:ascii="宋体" w:hAnsi="宋体" w:eastAsia="宋体" w:cs="Times New Roman"/>
                <w:szCs w:val="21"/>
              </w:rPr>
            </w:pPr>
            <w:r>
              <w:rPr>
                <w:rFonts w:hint="eastAsia" w:ascii="宋体" w:hAnsi="宋体" w:eastAsia="宋体" w:cs="Times New Roman"/>
                <w:szCs w:val="21"/>
              </w:rPr>
              <w:t>课堂讨论</w:t>
            </w:r>
          </w:p>
          <w:p w14:paraId="481AD8B2">
            <w:pPr>
              <w:spacing w:line="264" w:lineRule="auto"/>
              <w:jc w:val="left"/>
              <w:rPr>
                <w:rFonts w:hint="eastAsia" w:ascii="宋体" w:hAnsi="宋体" w:eastAsia="宋体" w:cs="Times New Roman"/>
                <w:szCs w:val="21"/>
              </w:rPr>
            </w:pPr>
            <w:r>
              <w:rPr>
                <w:rFonts w:hint="eastAsia" w:ascii="宋体" w:hAnsi="宋体" w:eastAsia="宋体" w:cs="Times New Roman"/>
                <w:szCs w:val="21"/>
              </w:rPr>
              <w:t>在线测试</w:t>
            </w:r>
          </w:p>
          <w:p w14:paraId="48F7F476">
            <w:pPr>
              <w:spacing w:line="264" w:lineRule="auto"/>
              <w:jc w:val="left"/>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6B6A3DDD">
            <w:pPr>
              <w:spacing w:line="264" w:lineRule="auto"/>
              <w:jc w:val="center"/>
              <w:rPr>
                <w:rFonts w:hint="eastAsia" w:ascii="宋体" w:hAnsi="宋体" w:eastAsia="宋体" w:cs="Times New Roman"/>
                <w:szCs w:val="21"/>
              </w:rPr>
            </w:pPr>
            <w:r>
              <w:rPr>
                <w:rFonts w:ascii="宋体" w:hAnsi="宋体" w:eastAsia="宋体" w:cs="Times New Roman"/>
                <w:szCs w:val="21"/>
              </w:rPr>
              <w:t>3</w:t>
            </w:r>
          </w:p>
        </w:tc>
      </w:tr>
      <w:tr w14:paraId="4F46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2" w:type="dxa"/>
            <w:vMerge w:val="continue"/>
            <w:vAlign w:val="center"/>
          </w:tcPr>
          <w:p w14:paraId="183B0107">
            <w:pPr>
              <w:spacing w:line="264" w:lineRule="auto"/>
              <w:jc w:val="center"/>
              <w:rPr>
                <w:rFonts w:hint="eastAsia" w:ascii="宋体" w:hAnsi="宋体" w:eastAsia="宋体" w:cs="Times New Roman"/>
                <w:szCs w:val="21"/>
              </w:rPr>
            </w:pPr>
          </w:p>
        </w:tc>
        <w:tc>
          <w:tcPr>
            <w:tcW w:w="8236" w:type="dxa"/>
            <w:gridSpan w:val="5"/>
            <w:vAlign w:val="center"/>
          </w:tcPr>
          <w:p w14:paraId="2AA32171">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正确处理整体和部分的关系，准确把握主要矛盾和次要矛盾；践行社会主义核心价值观，坚持“四个自信”；虚心学习，实事求是，培养和形成朴素的文风；学会创新，树立远大理想。</w:t>
            </w:r>
          </w:p>
        </w:tc>
      </w:tr>
    </w:tbl>
    <w:p w14:paraId="66486E5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03BE30AA">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（一）课程目标评价方式</w:t>
      </w:r>
    </w:p>
    <w:p w14:paraId="325DA58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4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846"/>
        <w:gridCol w:w="675"/>
        <w:gridCol w:w="1013"/>
        <w:gridCol w:w="685"/>
        <w:gridCol w:w="782"/>
        <w:gridCol w:w="675"/>
        <w:gridCol w:w="975"/>
        <w:gridCol w:w="879"/>
        <w:gridCol w:w="681"/>
      </w:tblGrid>
      <w:tr w14:paraId="2E42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52" w:type="dxa"/>
            <w:vMerge w:val="restart"/>
            <w:vAlign w:val="center"/>
          </w:tcPr>
          <w:p w14:paraId="4DA4EA1D">
            <w:pPr>
              <w:jc w:val="left"/>
              <w:rPr>
                <w:rFonts w:hint="eastAsia" w:ascii="宋体" w:hAnsi="宋体" w:eastAsia="宋体" w:cs="宋体"/>
                <w:b/>
                <w:bCs/>
                <w:szCs w:val="21"/>
              </w:rPr>
            </w:pPr>
            <w:r>
              <w:rPr>
                <w:rFonts w:hint="eastAsia" w:ascii="宋体" w:hAnsi="宋体" w:eastAsia="宋体" w:cs="宋体"/>
                <w:b/>
                <w:bCs/>
                <w:szCs w:val="21"/>
              </w:rPr>
              <w:t>课程目标</w:t>
            </w:r>
          </w:p>
        </w:tc>
        <w:tc>
          <w:tcPr>
            <w:tcW w:w="6530" w:type="dxa"/>
            <w:gridSpan w:val="8"/>
            <w:vAlign w:val="center"/>
          </w:tcPr>
          <w:p w14:paraId="4AB636D9">
            <w:pPr>
              <w:jc w:val="center"/>
              <w:rPr>
                <w:rFonts w:hint="eastAsia" w:ascii="宋体" w:hAnsi="宋体" w:eastAsia="宋体" w:cs="宋体"/>
                <w:b/>
                <w:bCs/>
                <w:szCs w:val="21"/>
              </w:rPr>
            </w:pPr>
            <w:r>
              <w:rPr>
                <w:rFonts w:hint="eastAsia" w:ascii="宋体" w:hAnsi="宋体" w:eastAsia="宋体" w:cs="宋体"/>
                <w:b/>
                <w:bCs/>
                <w:szCs w:val="21"/>
              </w:rPr>
              <w:t>评价与成绩评定方法</w:t>
            </w:r>
          </w:p>
        </w:tc>
        <w:tc>
          <w:tcPr>
            <w:tcW w:w="681" w:type="dxa"/>
            <w:vMerge w:val="restart"/>
            <w:vAlign w:val="center"/>
          </w:tcPr>
          <w:p w14:paraId="4B62F44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分值</w:t>
            </w:r>
          </w:p>
        </w:tc>
      </w:tr>
      <w:tr w14:paraId="7211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252" w:type="dxa"/>
            <w:vMerge w:val="continue"/>
            <w:vAlign w:val="center"/>
          </w:tcPr>
          <w:p w14:paraId="3C9D982B">
            <w:pPr>
              <w:jc w:val="left"/>
              <w:rPr>
                <w:rFonts w:hint="eastAsia" w:ascii="宋体" w:hAnsi="宋体" w:eastAsia="宋体" w:cs="宋体"/>
                <w:b/>
                <w:bCs/>
                <w:szCs w:val="21"/>
              </w:rPr>
            </w:pPr>
          </w:p>
        </w:tc>
        <w:tc>
          <w:tcPr>
            <w:tcW w:w="4001" w:type="dxa"/>
            <w:gridSpan w:val="5"/>
            <w:vAlign w:val="center"/>
          </w:tcPr>
          <w:p w14:paraId="04E37441">
            <w:pPr>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2529" w:type="dxa"/>
            <w:gridSpan w:val="3"/>
            <w:vAlign w:val="center"/>
          </w:tcPr>
          <w:p w14:paraId="24EF91CB">
            <w:pPr>
              <w:jc w:val="center"/>
              <w:rPr>
                <w:rFonts w:hint="eastAsia" w:ascii="宋体" w:hAnsi="宋体" w:eastAsia="宋体" w:cs="宋体"/>
                <w:b/>
                <w:bCs/>
                <w:szCs w:val="21"/>
              </w:rPr>
            </w:pPr>
            <w:r>
              <w:rPr>
                <w:rFonts w:hint="eastAsia" w:ascii="宋体" w:hAnsi="宋体" w:eastAsia="宋体" w:cs="宋体"/>
                <w:b/>
                <w:bCs/>
                <w:szCs w:val="21"/>
              </w:rPr>
              <w:t>期末考试</w:t>
            </w:r>
          </w:p>
        </w:tc>
        <w:tc>
          <w:tcPr>
            <w:tcW w:w="681" w:type="dxa"/>
            <w:vMerge w:val="continue"/>
            <w:vAlign w:val="center"/>
          </w:tcPr>
          <w:p w14:paraId="15B8EAB8">
            <w:pPr>
              <w:jc w:val="center"/>
              <w:rPr>
                <w:rFonts w:ascii="Times New Roman" w:hAnsi="Times New Roman" w:eastAsia="宋体" w:cs="Times New Roman"/>
                <w:b/>
                <w:bCs/>
                <w:szCs w:val="21"/>
              </w:rPr>
            </w:pPr>
          </w:p>
        </w:tc>
      </w:tr>
      <w:tr w14:paraId="7007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Merge w:val="continue"/>
            <w:vAlign w:val="center"/>
          </w:tcPr>
          <w:p w14:paraId="202C5421">
            <w:pPr>
              <w:spacing w:line="360" w:lineRule="auto"/>
              <w:jc w:val="left"/>
              <w:rPr>
                <w:rFonts w:hint="eastAsia" w:ascii="宋体" w:hAnsi="宋体" w:eastAsia="宋体" w:cs="宋体"/>
                <w:szCs w:val="21"/>
              </w:rPr>
            </w:pPr>
          </w:p>
        </w:tc>
        <w:tc>
          <w:tcPr>
            <w:tcW w:w="846" w:type="dxa"/>
            <w:vAlign w:val="center"/>
          </w:tcPr>
          <w:p w14:paraId="5FA4433D">
            <w:pPr>
              <w:adjustRightInd w:val="0"/>
              <w:jc w:val="center"/>
              <w:rPr>
                <w:rFonts w:hint="eastAsia" w:ascii="宋体" w:hAnsi="宋体" w:eastAsia="宋体" w:cs="宋体"/>
                <w:szCs w:val="21"/>
              </w:rPr>
            </w:pPr>
            <w:r>
              <w:rPr>
                <w:rFonts w:hint="eastAsia" w:ascii="宋体" w:hAnsi="宋体" w:eastAsia="宋体" w:cs="宋体"/>
                <w:szCs w:val="21"/>
              </w:rPr>
              <w:t>课堂</w:t>
            </w:r>
          </w:p>
          <w:p w14:paraId="3BB45F6A">
            <w:pPr>
              <w:adjustRightInd w:val="0"/>
              <w:jc w:val="center"/>
              <w:rPr>
                <w:rFonts w:hint="eastAsia" w:ascii="宋体" w:hAnsi="宋体" w:eastAsia="宋体" w:cs="宋体"/>
                <w:szCs w:val="21"/>
              </w:rPr>
            </w:pPr>
            <w:r>
              <w:rPr>
                <w:rFonts w:hint="eastAsia" w:ascii="宋体" w:hAnsi="宋体" w:eastAsia="宋体" w:cs="宋体"/>
                <w:szCs w:val="21"/>
              </w:rPr>
              <w:t>表现</w:t>
            </w:r>
          </w:p>
        </w:tc>
        <w:tc>
          <w:tcPr>
            <w:tcW w:w="675" w:type="dxa"/>
            <w:vAlign w:val="center"/>
          </w:tcPr>
          <w:p w14:paraId="11BD40B3">
            <w:pPr>
              <w:adjustRightInd w:val="0"/>
              <w:jc w:val="center"/>
              <w:rPr>
                <w:rFonts w:hint="eastAsia" w:ascii="宋体" w:hAnsi="宋体" w:eastAsia="宋体" w:cs="宋体"/>
                <w:szCs w:val="21"/>
              </w:rPr>
            </w:pPr>
            <w:r>
              <w:rPr>
                <w:rFonts w:hint="eastAsia" w:ascii="宋体" w:hAnsi="宋体" w:eastAsia="宋体" w:cs="宋体"/>
                <w:szCs w:val="21"/>
              </w:rPr>
              <w:t>平时</w:t>
            </w:r>
          </w:p>
          <w:p w14:paraId="2467C8AE">
            <w:pPr>
              <w:adjustRightInd w:val="0"/>
              <w:jc w:val="center"/>
              <w:rPr>
                <w:rFonts w:hint="eastAsia" w:ascii="宋体" w:hAnsi="宋体" w:eastAsia="宋体" w:cs="宋体"/>
                <w:szCs w:val="21"/>
              </w:rPr>
            </w:pPr>
            <w:r>
              <w:rPr>
                <w:rFonts w:hint="eastAsia" w:ascii="宋体" w:hAnsi="宋体" w:eastAsia="宋体" w:cs="宋体"/>
                <w:szCs w:val="21"/>
              </w:rPr>
              <w:t>作业</w:t>
            </w:r>
          </w:p>
        </w:tc>
        <w:tc>
          <w:tcPr>
            <w:tcW w:w="1013" w:type="dxa"/>
            <w:vAlign w:val="center"/>
          </w:tcPr>
          <w:p w14:paraId="3C8A70C9">
            <w:pPr>
              <w:adjustRightInd w:val="0"/>
              <w:jc w:val="center"/>
              <w:rPr>
                <w:rFonts w:hint="eastAsia" w:ascii="宋体" w:hAnsi="宋体" w:eastAsia="宋体" w:cs="宋体"/>
                <w:szCs w:val="21"/>
              </w:rPr>
            </w:pPr>
            <w:r>
              <w:rPr>
                <w:rFonts w:hint="eastAsia" w:ascii="宋体" w:hAnsi="宋体" w:eastAsia="宋体" w:cs="宋体"/>
                <w:szCs w:val="21"/>
              </w:rPr>
              <w:t>自主</w:t>
            </w:r>
          </w:p>
          <w:p w14:paraId="2615A3FD">
            <w:pPr>
              <w:adjustRightInd w:val="0"/>
              <w:jc w:val="center"/>
              <w:rPr>
                <w:rFonts w:hint="eastAsia" w:ascii="宋体" w:hAnsi="宋体" w:eastAsia="宋体" w:cs="宋体"/>
                <w:szCs w:val="21"/>
              </w:rPr>
            </w:pPr>
            <w:r>
              <w:rPr>
                <w:rFonts w:hint="eastAsia" w:ascii="宋体" w:hAnsi="宋体" w:eastAsia="宋体" w:cs="宋体"/>
                <w:szCs w:val="21"/>
              </w:rPr>
              <w:t>学习</w:t>
            </w:r>
          </w:p>
        </w:tc>
        <w:tc>
          <w:tcPr>
            <w:tcW w:w="685" w:type="dxa"/>
            <w:vAlign w:val="center"/>
          </w:tcPr>
          <w:p w14:paraId="2740FA00">
            <w:pPr>
              <w:adjustRightInd w:val="0"/>
              <w:jc w:val="center"/>
              <w:rPr>
                <w:rFonts w:hint="eastAsia" w:ascii="宋体" w:hAnsi="宋体" w:eastAsia="宋体" w:cs="宋体"/>
                <w:szCs w:val="21"/>
              </w:rPr>
            </w:pPr>
            <w:r>
              <w:rPr>
                <w:rFonts w:hint="eastAsia" w:ascii="宋体" w:hAnsi="宋体" w:eastAsia="宋体" w:cs="宋体"/>
                <w:szCs w:val="21"/>
              </w:rPr>
              <w:t>合作</w:t>
            </w:r>
          </w:p>
          <w:p w14:paraId="02C3AAB8">
            <w:pPr>
              <w:adjustRightInd w:val="0"/>
              <w:jc w:val="center"/>
              <w:rPr>
                <w:rFonts w:hint="eastAsia" w:ascii="宋体" w:hAnsi="宋体" w:eastAsia="宋体" w:cs="宋体"/>
                <w:szCs w:val="21"/>
              </w:rPr>
            </w:pPr>
            <w:r>
              <w:rPr>
                <w:rFonts w:hint="eastAsia" w:ascii="宋体" w:hAnsi="宋体" w:eastAsia="宋体" w:cs="宋体"/>
                <w:szCs w:val="21"/>
              </w:rPr>
              <w:t>学习</w:t>
            </w:r>
          </w:p>
        </w:tc>
        <w:tc>
          <w:tcPr>
            <w:tcW w:w="782" w:type="dxa"/>
            <w:vAlign w:val="center"/>
          </w:tcPr>
          <w:p w14:paraId="27790AB8">
            <w:pPr>
              <w:adjustRightInd w:val="0"/>
              <w:jc w:val="center"/>
              <w:rPr>
                <w:rFonts w:hint="eastAsia" w:ascii="宋体" w:hAnsi="宋体" w:eastAsia="宋体" w:cs="宋体"/>
                <w:szCs w:val="21"/>
              </w:rPr>
            </w:pPr>
            <w:r>
              <w:rPr>
                <w:rFonts w:hint="eastAsia" w:ascii="宋体" w:hAnsi="宋体" w:eastAsia="宋体" w:cs="宋体"/>
                <w:szCs w:val="21"/>
              </w:rPr>
              <w:t>汇报展示</w:t>
            </w:r>
          </w:p>
        </w:tc>
        <w:tc>
          <w:tcPr>
            <w:tcW w:w="675" w:type="dxa"/>
            <w:vAlign w:val="center"/>
          </w:tcPr>
          <w:p w14:paraId="699CFF53">
            <w:pPr>
              <w:adjustRightInd w:val="0"/>
              <w:jc w:val="center"/>
              <w:rPr>
                <w:rFonts w:hint="eastAsia" w:ascii="宋体" w:hAnsi="宋体" w:eastAsia="宋体" w:cs="宋体"/>
                <w:szCs w:val="21"/>
              </w:rPr>
            </w:pPr>
            <w:r>
              <w:rPr>
                <w:rFonts w:hint="eastAsia" w:ascii="宋体" w:hAnsi="宋体" w:eastAsia="宋体" w:cs="宋体"/>
                <w:szCs w:val="21"/>
              </w:rPr>
              <w:t>文献</w:t>
            </w:r>
          </w:p>
          <w:p w14:paraId="46FBF2C3">
            <w:pPr>
              <w:adjustRightInd w:val="0"/>
              <w:jc w:val="center"/>
              <w:rPr>
                <w:rFonts w:hint="eastAsia" w:ascii="宋体" w:hAnsi="宋体" w:eastAsia="宋体" w:cs="宋体"/>
                <w:szCs w:val="21"/>
              </w:rPr>
            </w:pPr>
            <w:r>
              <w:rPr>
                <w:rFonts w:hint="eastAsia" w:ascii="宋体" w:hAnsi="宋体" w:eastAsia="宋体" w:cs="宋体"/>
                <w:szCs w:val="21"/>
              </w:rPr>
              <w:t>综述</w:t>
            </w:r>
          </w:p>
        </w:tc>
        <w:tc>
          <w:tcPr>
            <w:tcW w:w="975" w:type="dxa"/>
          </w:tcPr>
          <w:p w14:paraId="4A9CF3FD">
            <w:pPr>
              <w:adjustRightInd w:val="0"/>
              <w:jc w:val="center"/>
              <w:rPr>
                <w:rFonts w:hint="eastAsia" w:ascii="宋体" w:hAnsi="宋体" w:eastAsia="宋体" w:cs="宋体"/>
                <w:szCs w:val="21"/>
              </w:rPr>
            </w:pPr>
            <w:r>
              <w:rPr>
                <w:rFonts w:hint="eastAsia" w:ascii="宋体" w:hAnsi="宋体" w:eastAsia="宋体" w:cs="宋体"/>
                <w:szCs w:val="21"/>
              </w:rPr>
              <w:t>研究方法设计</w:t>
            </w:r>
          </w:p>
        </w:tc>
        <w:tc>
          <w:tcPr>
            <w:tcW w:w="879" w:type="dxa"/>
          </w:tcPr>
          <w:p w14:paraId="0248FFE3">
            <w:pPr>
              <w:adjustRightInd w:val="0"/>
              <w:jc w:val="center"/>
              <w:rPr>
                <w:rFonts w:hint="eastAsia" w:ascii="宋体" w:hAnsi="宋体" w:eastAsia="宋体" w:cs="宋体"/>
                <w:szCs w:val="21"/>
              </w:rPr>
            </w:pPr>
            <w:r>
              <w:rPr>
                <w:rFonts w:hint="eastAsia" w:ascii="宋体" w:hAnsi="宋体" w:eastAsia="宋体" w:cs="宋体"/>
                <w:szCs w:val="21"/>
              </w:rPr>
              <w:t>研究方</w:t>
            </w:r>
          </w:p>
          <w:p w14:paraId="458D6C2D">
            <w:pPr>
              <w:adjustRightInd w:val="0"/>
              <w:jc w:val="center"/>
              <w:rPr>
                <w:rFonts w:hint="eastAsia" w:ascii="宋体" w:hAnsi="宋体" w:eastAsia="宋体" w:cs="宋体"/>
                <w:szCs w:val="21"/>
              </w:rPr>
            </w:pPr>
            <w:r>
              <w:rPr>
                <w:rFonts w:hint="eastAsia" w:ascii="宋体" w:hAnsi="宋体" w:eastAsia="宋体" w:cs="宋体"/>
                <w:szCs w:val="21"/>
              </w:rPr>
              <w:t>案设计</w:t>
            </w:r>
          </w:p>
        </w:tc>
        <w:tc>
          <w:tcPr>
            <w:tcW w:w="681" w:type="dxa"/>
            <w:vMerge w:val="continue"/>
            <w:vAlign w:val="center"/>
          </w:tcPr>
          <w:p w14:paraId="5D7BC37B">
            <w:pPr>
              <w:spacing w:line="360" w:lineRule="auto"/>
              <w:jc w:val="left"/>
              <w:rPr>
                <w:rFonts w:ascii="Times New Roman" w:hAnsi="Times New Roman" w:eastAsia="宋体" w:cs="Times New Roman"/>
                <w:szCs w:val="21"/>
              </w:rPr>
            </w:pPr>
          </w:p>
        </w:tc>
      </w:tr>
      <w:tr w14:paraId="181D1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52" w:type="dxa"/>
            <w:vAlign w:val="center"/>
          </w:tcPr>
          <w:p w14:paraId="5BA1D13D">
            <w:pPr>
              <w:spacing w:line="320" w:lineRule="exact"/>
              <w:contextualSpacing/>
              <w:jc w:val="center"/>
              <w:rPr>
                <w:rFonts w:hint="eastAsia" w:ascii="宋体" w:hAnsi="宋体" w:eastAsia="宋体" w:cs="宋体"/>
                <w:szCs w:val="21"/>
              </w:rPr>
            </w:pPr>
            <w:r>
              <w:rPr>
                <w:rFonts w:hint="eastAsia" w:ascii="宋体" w:hAnsi="宋体" w:eastAsia="宋体" w:cs="宋体"/>
                <w:szCs w:val="21"/>
              </w:rPr>
              <w:t>课程目标1</w:t>
            </w:r>
          </w:p>
        </w:tc>
        <w:tc>
          <w:tcPr>
            <w:tcW w:w="846" w:type="dxa"/>
            <w:vAlign w:val="center"/>
          </w:tcPr>
          <w:p w14:paraId="69E4FFD4">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675" w:type="dxa"/>
            <w:vAlign w:val="center"/>
          </w:tcPr>
          <w:p w14:paraId="11374CB9">
            <w:pPr>
              <w:spacing w:line="320" w:lineRule="exact"/>
              <w:ind w:firstLine="210" w:firstLineChars="100"/>
              <w:contextualSpacing/>
              <w:jc w:val="center"/>
              <w:rPr>
                <w:rFonts w:hint="eastAsia" w:ascii="宋体" w:hAnsi="宋体" w:eastAsia="宋体" w:cs="宋体"/>
                <w:szCs w:val="21"/>
              </w:rPr>
            </w:pPr>
          </w:p>
        </w:tc>
        <w:tc>
          <w:tcPr>
            <w:tcW w:w="1013" w:type="dxa"/>
            <w:vAlign w:val="center"/>
          </w:tcPr>
          <w:p w14:paraId="11870D7B">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685" w:type="dxa"/>
            <w:vAlign w:val="center"/>
          </w:tcPr>
          <w:p w14:paraId="051CEAF9">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782" w:type="dxa"/>
            <w:vAlign w:val="center"/>
          </w:tcPr>
          <w:p w14:paraId="416F0A47">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675" w:type="dxa"/>
            <w:vAlign w:val="center"/>
          </w:tcPr>
          <w:p w14:paraId="5BEA2BFE">
            <w:pPr>
              <w:spacing w:line="320" w:lineRule="exact"/>
              <w:contextualSpacing/>
              <w:jc w:val="center"/>
              <w:rPr>
                <w:rFonts w:hint="eastAsia" w:ascii="宋体" w:hAnsi="宋体" w:eastAsia="宋体" w:cs="宋体"/>
                <w:szCs w:val="21"/>
              </w:rPr>
            </w:pPr>
          </w:p>
        </w:tc>
        <w:tc>
          <w:tcPr>
            <w:tcW w:w="975" w:type="dxa"/>
          </w:tcPr>
          <w:p w14:paraId="41A6A62F">
            <w:pPr>
              <w:jc w:val="center"/>
              <w:rPr>
                <w:rFonts w:hint="eastAsia" w:ascii="宋体" w:hAnsi="宋体" w:eastAsia="宋体" w:cs="宋体"/>
                <w:szCs w:val="21"/>
              </w:rPr>
            </w:pPr>
            <w:r>
              <w:rPr>
                <w:rFonts w:hint="eastAsia" w:ascii="宋体" w:hAnsi="宋体" w:eastAsia="宋体" w:cs="宋体"/>
                <w:szCs w:val="21"/>
              </w:rPr>
              <w:t>√</w:t>
            </w:r>
          </w:p>
        </w:tc>
        <w:tc>
          <w:tcPr>
            <w:tcW w:w="879" w:type="dxa"/>
          </w:tcPr>
          <w:p w14:paraId="31423D08">
            <w:pPr>
              <w:spacing w:line="320" w:lineRule="exact"/>
              <w:ind w:firstLine="210" w:firstLineChars="100"/>
              <w:contextualSpacing/>
              <w:jc w:val="center"/>
              <w:rPr>
                <w:rFonts w:hint="eastAsia" w:ascii="宋体" w:hAnsi="宋体" w:eastAsia="宋体" w:cs="宋体"/>
                <w:szCs w:val="21"/>
              </w:rPr>
            </w:pPr>
          </w:p>
        </w:tc>
        <w:tc>
          <w:tcPr>
            <w:tcW w:w="681" w:type="dxa"/>
            <w:vAlign w:val="center"/>
          </w:tcPr>
          <w:p w14:paraId="552C1B38">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0B05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252" w:type="dxa"/>
            <w:vAlign w:val="center"/>
          </w:tcPr>
          <w:p w14:paraId="305B558C">
            <w:pPr>
              <w:spacing w:line="320" w:lineRule="exact"/>
              <w:contextualSpacing/>
              <w:jc w:val="center"/>
              <w:rPr>
                <w:rFonts w:hint="eastAsia" w:ascii="宋体" w:hAnsi="宋体" w:eastAsia="宋体" w:cs="宋体"/>
                <w:szCs w:val="21"/>
              </w:rPr>
            </w:pPr>
            <w:r>
              <w:rPr>
                <w:rFonts w:hint="eastAsia" w:ascii="宋体" w:hAnsi="宋体" w:eastAsia="宋体" w:cs="宋体"/>
                <w:szCs w:val="21"/>
              </w:rPr>
              <w:t>课程目标2</w:t>
            </w:r>
          </w:p>
        </w:tc>
        <w:tc>
          <w:tcPr>
            <w:tcW w:w="846" w:type="dxa"/>
            <w:vAlign w:val="center"/>
          </w:tcPr>
          <w:p w14:paraId="3AED988D">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675" w:type="dxa"/>
            <w:vAlign w:val="center"/>
          </w:tcPr>
          <w:p w14:paraId="48023802">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1013" w:type="dxa"/>
            <w:vAlign w:val="center"/>
          </w:tcPr>
          <w:p w14:paraId="182B75F4">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685" w:type="dxa"/>
            <w:vAlign w:val="center"/>
          </w:tcPr>
          <w:p w14:paraId="5658C138">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782" w:type="dxa"/>
            <w:vAlign w:val="center"/>
          </w:tcPr>
          <w:p w14:paraId="25F9684C">
            <w:pPr>
              <w:spacing w:line="320" w:lineRule="exact"/>
              <w:contextualSpacing/>
              <w:jc w:val="center"/>
              <w:rPr>
                <w:rFonts w:hint="eastAsia" w:ascii="宋体" w:hAnsi="宋体" w:eastAsia="宋体" w:cs="宋体"/>
                <w:szCs w:val="21"/>
              </w:rPr>
            </w:pPr>
          </w:p>
        </w:tc>
        <w:tc>
          <w:tcPr>
            <w:tcW w:w="675" w:type="dxa"/>
            <w:vAlign w:val="center"/>
          </w:tcPr>
          <w:p w14:paraId="6C22F51D">
            <w:pPr>
              <w:jc w:val="center"/>
              <w:rPr>
                <w:rFonts w:hint="eastAsia" w:ascii="宋体" w:hAnsi="宋体" w:eastAsia="宋体" w:cs="宋体"/>
                <w:szCs w:val="21"/>
              </w:rPr>
            </w:pPr>
            <w:r>
              <w:rPr>
                <w:rFonts w:hint="eastAsia" w:ascii="宋体" w:hAnsi="宋体" w:eastAsia="宋体" w:cs="宋体"/>
                <w:szCs w:val="21"/>
              </w:rPr>
              <w:t>√</w:t>
            </w:r>
          </w:p>
        </w:tc>
        <w:tc>
          <w:tcPr>
            <w:tcW w:w="975" w:type="dxa"/>
          </w:tcPr>
          <w:p w14:paraId="14223AA5">
            <w:pPr>
              <w:spacing w:line="320" w:lineRule="exact"/>
              <w:contextualSpacing/>
              <w:jc w:val="center"/>
              <w:rPr>
                <w:rFonts w:hint="eastAsia" w:ascii="宋体" w:hAnsi="宋体" w:eastAsia="宋体" w:cs="宋体"/>
                <w:szCs w:val="21"/>
              </w:rPr>
            </w:pPr>
          </w:p>
        </w:tc>
        <w:tc>
          <w:tcPr>
            <w:tcW w:w="879" w:type="dxa"/>
          </w:tcPr>
          <w:p w14:paraId="00308F02">
            <w:pPr>
              <w:jc w:val="center"/>
              <w:rPr>
                <w:rFonts w:hint="eastAsia" w:ascii="宋体" w:hAnsi="宋体" w:eastAsia="宋体" w:cs="宋体"/>
                <w:szCs w:val="21"/>
              </w:rPr>
            </w:pPr>
            <w:r>
              <w:rPr>
                <w:rFonts w:hint="eastAsia" w:ascii="宋体" w:hAnsi="宋体" w:eastAsia="宋体" w:cs="宋体"/>
                <w:szCs w:val="21"/>
              </w:rPr>
              <w:t>√</w:t>
            </w:r>
          </w:p>
        </w:tc>
        <w:tc>
          <w:tcPr>
            <w:tcW w:w="681" w:type="dxa"/>
            <w:vAlign w:val="center"/>
          </w:tcPr>
          <w:p w14:paraId="61EAE2A4">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25</w:t>
            </w:r>
          </w:p>
        </w:tc>
      </w:tr>
      <w:tr w14:paraId="1CEA2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252" w:type="dxa"/>
            <w:vAlign w:val="center"/>
          </w:tcPr>
          <w:p w14:paraId="71DD8940">
            <w:pPr>
              <w:spacing w:line="320" w:lineRule="exact"/>
              <w:contextualSpacing/>
              <w:jc w:val="center"/>
              <w:rPr>
                <w:rFonts w:hint="eastAsia" w:ascii="宋体" w:hAnsi="宋体" w:eastAsia="宋体" w:cs="宋体"/>
                <w:szCs w:val="21"/>
              </w:rPr>
            </w:pPr>
            <w:r>
              <w:rPr>
                <w:rFonts w:hint="eastAsia" w:ascii="宋体" w:hAnsi="宋体" w:eastAsia="宋体" w:cs="宋体"/>
                <w:szCs w:val="21"/>
              </w:rPr>
              <w:t>课程目标3</w:t>
            </w:r>
          </w:p>
        </w:tc>
        <w:tc>
          <w:tcPr>
            <w:tcW w:w="846" w:type="dxa"/>
            <w:vAlign w:val="center"/>
          </w:tcPr>
          <w:p w14:paraId="5AE745F9">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675" w:type="dxa"/>
            <w:vAlign w:val="center"/>
          </w:tcPr>
          <w:p w14:paraId="757446AF">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1013" w:type="dxa"/>
            <w:vAlign w:val="center"/>
          </w:tcPr>
          <w:p w14:paraId="08C890A1">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685" w:type="dxa"/>
            <w:vAlign w:val="center"/>
          </w:tcPr>
          <w:p w14:paraId="11611714">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782" w:type="dxa"/>
            <w:vAlign w:val="center"/>
          </w:tcPr>
          <w:p w14:paraId="54BF22A5">
            <w:pPr>
              <w:jc w:val="center"/>
              <w:rPr>
                <w:rFonts w:hint="eastAsia" w:ascii="宋体" w:hAnsi="宋体" w:eastAsia="宋体" w:cs="宋体"/>
                <w:szCs w:val="21"/>
              </w:rPr>
            </w:pPr>
            <w:r>
              <w:rPr>
                <w:rFonts w:hint="eastAsia" w:ascii="宋体" w:hAnsi="宋体" w:eastAsia="宋体" w:cs="宋体"/>
                <w:szCs w:val="21"/>
              </w:rPr>
              <w:t>√</w:t>
            </w:r>
          </w:p>
        </w:tc>
        <w:tc>
          <w:tcPr>
            <w:tcW w:w="675" w:type="dxa"/>
            <w:vAlign w:val="center"/>
          </w:tcPr>
          <w:p w14:paraId="43A0FF9D">
            <w:pPr>
              <w:spacing w:line="320" w:lineRule="exact"/>
              <w:contextualSpacing/>
              <w:jc w:val="center"/>
              <w:rPr>
                <w:rFonts w:hint="eastAsia" w:ascii="宋体" w:hAnsi="宋体" w:eastAsia="宋体" w:cs="宋体"/>
                <w:szCs w:val="21"/>
              </w:rPr>
            </w:pPr>
          </w:p>
        </w:tc>
        <w:tc>
          <w:tcPr>
            <w:tcW w:w="975" w:type="dxa"/>
          </w:tcPr>
          <w:p w14:paraId="127B048D">
            <w:pPr>
              <w:jc w:val="center"/>
              <w:rPr>
                <w:rFonts w:hint="eastAsia" w:ascii="宋体" w:hAnsi="宋体" w:eastAsia="宋体" w:cs="宋体"/>
                <w:szCs w:val="21"/>
              </w:rPr>
            </w:pPr>
            <w:r>
              <w:rPr>
                <w:rFonts w:hint="eastAsia" w:ascii="宋体" w:hAnsi="宋体" w:eastAsia="宋体" w:cs="宋体"/>
                <w:szCs w:val="21"/>
              </w:rPr>
              <w:t>√</w:t>
            </w:r>
          </w:p>
        </w:tc>
        <w:tc>
          <w:tcPr>
            <w:tcW w:w="879" w:type="dxa"/>
          </w:tcPr>
          <w:p w14:paraId="146A58E3">
            <w:pPr>
              <w:spacing w:line="320" w:lineRule="exact"/>
              <w:contextualSpacing/>
              <w:jc w:val="center"/>
              <w:rPr>
                <w:rFonts w:hint="eastAsia" w:ascii="宋体" w:hAnsi="宋体" w:eastAsia="宋体" w:cs="宋体"/>
                <w:szCs w:val="21"/>
              </w:rPr>
            </w:pPr>
          </w:p>
        </w:tc>
        <w:tc>
          <w:tcPr>
            <w:tcW w:w="681" w:type="dxa"/>
            <w:vAlign w:val="center"/>
          </w:tcPr>
          <w:p w14:paraId="4EE0B0C4">
            <w:pPr>
              <w:spacing w:line="320" w:lineRule="exact"/>
              <w:contextualSpacing/>
              <w:jc w:val="center"/>
              <w:rPr>
                <w:rFonts w:ascii="Times New Roman" w:hAnsi="Times New Roman" w:eastAsia="宋体" w:cs="Times New Roman"/>
                <w:szCs w:val="21"/>
              </w:rPr>
            </w:pPr>
            <w:r>
              <w:rPr>
                <w:rFonts w:ascii="Times New Roman" w:hAnsi="Times New Roman" w:eastAsia="宋体" w:cs="Times New Roman"/>
                <w:szCs w:val="21"/>
              </w:rPr>
              <w:t>40</w:t>
            </w:r>
          </w:p>
        </w:tc>
      </w:tr>
      <w:tr w14:paraId="76D8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252" w:type="dxa"/>
            <w:vAlign w:val="center"/>
          </w:tcPr>
          <w:p w14:paraId="5CF92AE4">
            <w:pPr>
              <w:spacing w:line="320" w:lineRule="exact"/>
              <w:contextualSpacing/>
              <w:jc w:val="center"/>
              <w:rPr>
                <w:rFonts w:hint="eastAsia" w:ascii="宋体" w:hAnsi="宋体" w:eastAsia="宋体" w:cs="宋体"/>
                <w:szCs w:val="21"/>
              </w:rPr>
            </w:pPr>
            <w:r>
              <w:rPr>
                <w:rFonts w:hint="eastAsia" w:ascii="宋体" w:hAnsi="宋体" w:eastAsia="宋体" w:cs="宋体"/>
                <w:szCs w:val="21"/>
              </w:rPr>
              <w:t>课程目标4</w:t>
            </w:r>
          </w:p>
        </w:tc>
        <w:tc>
          <w:tcPr>
            <w:tcW w:w="846" w:type="dxa"/>
            <w:vAlign w:val="center"/>
          </w:tcPr>
          <w:p w14:paraId="5DEF6589">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675" w:type="dxa"/>
            <w:vAlign w:val="center"/>
          </w:tcPr>
          <w:p w14:paraId="44172A83">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1013" w:type="dxa"/>
            <w:vAlign w:val="center"/>
          </w:tcPr>
          <w:p w14:paraId="47C6B317">
            <w:pPr>
              <w:spacing w:line="320" w:lineRule="exact"/>
              <w:contextualSpacing/>
              <w:jc w:val="center"/>
              <w:rPr>
                <w:rFonts w:hint="eastAsia" w:ascii="宋体" w:hAnsi="宋体" w:eastAsia="宋体" w:cs="宋体"/>
                <w:szCs w:val="21"/>
              </w:rPr>
            </w:pPr>
            <w:r>
              <w:rPr>
                <w:rFonts w:hint="eastAsia" w:ascii="宋体" w:hAnsi="宋体" w:eastAsia="宋体" w:cs="宋体"/>
                <w:szCs w:val="21"/>
              </w:rPr>
              <w:t>√</w:t>
            </w:r>
          </w:p>
        </w:tc>
        <w:tc>
          <w:tcPr>
            <w:tcW w:w="685" w:type="dxa"/>
            <w:vAlign w:val="center"/>
          </w:tcPr>
          <w:p w14:paraId="2CD1487B">
            <w:pPr>
              <w:spacing w:line="320" w:lineRule="exact"/>
              <w:contextualSpacing/>
              <w:jc w:val="center"/>
              <w:rPr>
                <w:rFonts w:hint="eastAsia" w:ascii="宋体" w:hAnsi="宋体" w:eastAsia="宋体" w:cs="宋体"/>
                <w:szCs w:val="21"/>
              </w:rPr>
            </w:pPr>
          </w:p>
        </w:tc>
        <w:tc>
          <w:tcPr>
            <w:tcW w:w="782" w:type="dxa"/>
            <w:vAlign w:val="center"/>
          </w:tcPr>
          <w:p w14:paraId="73D66954">
            <w:pPr>
              <w:spacing w:line="320" w:lineRule="exact"/>
              <w:contextualSpacing/>
              <w:jc w:val="center"/>
              <w:rPr>
                <w:rFonts w:hint="eastAsia" w:ascii="宋体" w:hAnsi="宋体" w:eastAsia="宋体" w:cs="宋体"/>
                <w:szCs w:val="21"/>
              </w:rPr>
            </w:pPr>
          </w:p>
        </w:tc>
        <w:tc>
          <w:tcPr>
            <w:tcW w:w="675" w:type="dxa"/>
            <w:vAlign w:val="center"/>
          </w:tcPr>
          <w:p w14:paraId="0393A2C5">
            <w:pPr>
              <w:jc w:val="center"/>
              <w:rPr>
                <w:rFonts w:hint="eastAsia" w:ascii="宋体" w:hAnsi="宋体" w:eastAsia="宋体" w:cs="宋体"/>
                <w:szCs w:val="21"/>
              </w:rPr>
            </w:pPr>
            <w:r>
              <w:rPr>
                <w:rFonts w:hint="eastAsia" w:ascii="宋体" w:hAnsi="宋体" w:eastAsia="宋体" w:cs="宋体"/>
                <w:szCs w:val="21"/>
              </w:rPr>
              <w:t>√</w:t>
            </w:r>
          </w:p>
        </w:tc>
        <w:tc>
          <w:tcPr>
            <w:tcW w:w="975" w:type="dxa"/>
          </w:tcPr>
          <w:p w14:paraId="51D81EBB">
            <w:pPr>
              <w:spacing w:line="320" w:lineRule="exact"/>
              <w:contextualSpacing/>
              <w:jc w:val="center"/>
              <w:rPr>
                <w:rFonts w:hint="eastAsia" w:ascii="宋体" w:hAnsi="宋体" w:eastAsia="宋体" w:cs="宋体"/>
                <w:szCs w:val="21"/>
              </w:rPr>
            </w:pPr>
          </w:p>
        </w:tc>
        <w:tc>
          <w:tcPr>
            <w:tcW w:w="879" w:type="dxa"/>
          </w:tcPr>
          <w:p w14:paraId="6B1FCA7E">
            <w:pPr>
              <w:jc w:val="center"/>
              <w:rPr>
                <w:rFonts w:hint="eastAsia" w:ascii="宋体" w:hAnsi="宋体" w:eastAsia="宋体" w:cs="宋体"/>
                <w:szCs w:val="21"/>
              </w:rPr>
            </w:pPr>
            <w:r>
              <w:rPr>
                <w:rFonts w:hint="eastAsia" w:ascii="宋体" w:hAnsi="宋体" w:eastAsia="宋体" w:cs="宋体"/>
                <w:szCs w:val="21"/>
              </w:rPr>
              <w:t>√</w:t>
            </w:r>
          </w:p>
        </w:tc>
        <w:tc>
          <w:tcPr>
            <w:tcW w:w="681" w:type="dxa"/>
            <w:vAlign w:val="center"/>
          </w:tcPr>
          <w:p w14:paraId="3DA82674">
            <w:pPr>
              <w:spacing w:line="320" w:lineRule="exact"/>
              <w:contextualSpacing/>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5</w:t>
            </w:r>
          </w:p>
        </w:tc>
      </w:tr>
      <w:tr w14:paraId="0202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14:paraId="5A4B651C">
            <w:pPr>
              <w:spacing w:line="320" w:lineRule="exact"/>
              <w:contextualSpacing/>
              <w:jc w:val="center"/>
              <w:rPr>
                <w:rFonts w:hint="eastAsia" w:ascii="宋体" w:hAnsi="宋体" w:eastAsia="宋体" w:cs="宋体"/>
                <w:szCs w:val="21"/>
              </w:rPr>
            </w:pPr>
            <w:r>
              <w:rPr>
                <w:rFonts w:hint="eastAsia" w:ascii="宋体" w:hAnsi="宋体" w:eastAsia="宋体" w:cs="宋体"/>
                <w:b/>
                <w:bCs/>
                <w:szCs w:val="21"/>
              </w:rPr>
              <w:t>合计</w:t>
            </w:r>
          </w:p>
        </w:tc>
        <w:tc>
          <w:tcPr>
            <w:tcW w:w="846" w:type="dxa"/>
            <w:vAlign w:val="center"/>
          </w:tcPr>
          <w:p w14:paraId="1972D97C">
            <w:pPr>
              <w:spacing w:line="320" w:lineRule="exact"/>
              <w:contextualSpacing/>
              <w:jc w:val="center"/>
              <w:rPr>
                <w:rFonts w:hint="eastAsia" w:ascii="宋体" w:hAnsi="宋体" w:eastAsia="宋体" w:cs="宋体"/>
                <w:szCs w:val="21"/>
              </w:rPr>
            </w:pPr>
          </w:p>
        </w:tc>
        <w:tc>
          <w:tcPr>
            <w:tcW w:w="675" w:type="dxa"/>
            <w:vAlign w:val="center"/>
          </w:tcPr>
          <w:p w14:paraId="660E3C9E">
            <w:pPr>
              <w:spacing w:line="320" w:lineRule="exact"/>
              <w:contextualSpacing/>
              <w:jc w:val="center"/>
              <w:rPr>
                <w:rFonts w:hint="eastAsia" w:ascii="宋体" w:hAnsi="宋体" w:eastAsia="宋体" w:cs="宋体"/>
                <w:szCs w:val="21"/>
              </w:rPr>
            </w:pPr>
          </w:p>
        </w:tc>
        <w:tc>
          <w:tcPr>
            <w:tcW w:w="1013" w:type="dxa"/>
            <w:vAlign w:val="center"/>
          </w:tcPr>
          <w:p w14:paraId="4B3859AE">
            <w:pPr>
              <w:spacing w:line="320" w:lineRule="exact"/>
              <w:contextualSpacing/>
              <w:jc w:val="center"/>
              <w:rPr>
                <w:rFonts w:hint="eastAsia" w:ascii="宋体" w:hAnsi="宋体" w:eastAsia="宋体" w:cs="宋体"/>
                <w:szCs w:val="21"/>
              </w:rPr>
            </w:pPr>
          </w:p>
        </w:tc>
        <w:tc>
          <w:tcPr>
            <w:tcW w:w="685" w:type="dxa"/>
            <w:vAlign w:val="center"/>
          </w:tcPr>
          <w:p w14:paraId="4BD551B6">
            <w:pPr>
              <w:spacing w:line="320" w:lineRule="exact"/>
              <w:contextualSpacing/>
              <w:jc w:val="center"/>
              <w:rPr>
                <w:rFonts w:hint="eastAsia" w:ascii="宋体" w:hAnsi="宋体" w:eastAsia="宋体" w:cs="宋体"/>
                <w:szCs w:val="21"/>
              </w:rPr>
            </w:pPr>
          </w:p>
        </w:tc>
        <w:tc>
          <w:tcPr>
            <w:tcW w:w="782" w:type="dxa"/>
            <w:vAlign w:val="center"/>
          </w:tcPr>
          <w:p w14:paraId="51AC835D">
            <w:pPr>
              <w:spacing w:line="320" w:lineRule="exact"/>
              <w:contextualSpacing/>
              <w:jc w:val="center"/>
              <w:rPr>
                <w:rFonts w:hint="eastAsia" w:ascii="宋体" w:hAnsi="宋体" w:eastAsia="宋体" w:cs="宋体"/>
                <w:szCs w:val="21"/>
              </w:rPr>
            </w:pPr>
          </w:p>
        </w:tc>
        <w:tc>
          <w:tcPr>
            <w:tcW w:w="675" w:type="dxa"/>
            <w:vAlign w:val="center"/>
          </w:tcPr>
          <w:p w14:paraId="6238753A">
            <w:pPr>
              <w:spacing w:line="320" w:lineRule="exact"/>
              <w:contextualSpacing/>
              <w:jc w:val="center"/>
              <w:rPr>
                <w:rFonts w:hint="eastAsia" w:ascii="宋体" w:hAnsi="宋体" w:eastAsia="宋体" w:cs="宋体"/>
                <w:szCs w:val="21"/>
              </w:rPr>
            </w:pPr>
          </w:p>
        </w:tc>
        <w:tc>
          <w:tcPr>
            <w:tcW w:w="975" w:type="dxa"/>
            <w:vAlign w:val="center"/>
          </w:tcPr>
          <w:p w14:paraId="2AF6283C">
            <w:pPr>
              <w:spacing w:line="320" w:lineRule="exact"/>
              <w:contextualSpacing/>
              <w:jc w:val="center"/>
              <w:rPr>
                <w:rFonts w:hint="eastAsia" w:ascii="宋体" w:hAnsi="宋体" w:eastAsia="宋体" w:cs="宋体"/>
                <w:szCs w:val="21"/>
              </w:rPr>
            </w:pPr>
          </w:p>
        </w:tc>
        <w:tc>
          <w:tcPr>
            <w:tcW w:w="879" w:type="dxa"/>
          </w:tcPr>
          <w:p w14:paraId="40724A6E">
            <w:pPr>
              <w:spacing w:line="320" w:lineRule="exact"/>
              <w:contextualSpacing/>
              <w:jc w:val="center"/>
              <w:rPr>
                <w:rFonts w:hint="eastAsia" w:ascii="宋体" w:hAnsi="宋体" w:eastAsia="宋体" w:cs="宋体"/>
                <w:szCs w:val="21"/>
              </w:rPr>
            </w:pPr>
          </w:p>
        </w:tc>
        <w:tc>
          <w:tcPr>
            <w:tcW w:w="681" w:type="dxa"/>
            <w:vAlign w:val="center"/>
          </w:tcPr>
          <w:p w14:paraId="7B9E467C">
            <w:pPr>
              <w:spacing w:line="320" w:lineRule="exact"/>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51CC88D">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（二）成绩评定细则</w:t>
      </w:r>
    </w:p>
    <w:p w14:paraId="7C46A21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026"/>
        <w:gridCol w:w="1021"/>
      </w:tblGrid>
      <w:tr w14:paraId="09F4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12" w:type="dxa"/>
            <w:vAlign w:val="center"/>
          </w:tcPr>
          <w:p w14:paraId="3CC5272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026" w:type="dxa"/>
            <w:vAlign w:val="center"/>
          </w:tcPr>
          <w:p w14:paraId="727C7C2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成绩评定细则</w:t>
            </w:r>
          </w:p>
        </w:tc>
        <w:tc>
          <w:tcPr>
            <w:tcW w:w="1021" w:type="dxa"/>
            <w:vAlign w:val="center"/>
          </w:tcPr>
          <w:p w14:paraId="2CB3D4B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4F61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75174B0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课堂表现</w:t>
            </w:r>
          </w:p>
        </w:tc>
        <w:tc>
          <w:tcPr>
            <w:tcW w:w="6026" w:type="dxa"/>
          </w:tcPr>
          <w:p w14:paraId="19A742DD">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按出勤和课堂参与情况进行评分。全勤记</w:t>
            </w:r>
            <w:r>
              <w:rPr>
                <w:rFonts w:ascii="Times New Roman" w:hAnsi="Times New Roman" w:eastAsia="宋体" w:cs="Times New Roman"/>
                <w:szCs w:val="21"/>
              </w:rPr>
              <w:t>5分</w:t>
            </w:r>
            <w:r>
              <w:rPr>
                <w:rFonts w:hint="eastAsia" w:ascii="Times New Roman" w:hAnsi="Times New Roman" w:eastAsia="宋体" w:cs="Times New Roman"/>
                <w:szCs w:val="21"/>
              </w:rPr>
              <w:t>，</w:t>
            </w:r>
            <w:r>
              <w:rPr>
                <w:rFonts w:ascii="Times New Roman" w:hAnsi="Times New Roman" w:eastAsia="宋体" w:cs="Times New Roman"/>
                <w:szCs w:val="21"/>
              </w:rPr>
              <w:t>事假1节</w:t>
            </w:r>
            <w:r>
              <w:rPr>
                <w:rFonts w:hint="eastAsia" w:ascii="Times New Roman" w:hAnsi="Times New Roman" w:eastAsia="宋体" w:cs="Times New Roman"/>
                <w:szCs w:val="21"/>
              </w:rPr>
              <w:t>或</w:t>
            </w:r>
            <w:r>
              <w:rPr>
                <w:rFonts w:ascii="Times New Roman" w:hAnsi="Times New Roman" w:eastAsia="宋体" w:cs="Times New Roman"/>
                <w:szCs w:val="21"/>
              </w:rPr>
              <w:t>迟到、早退1次各扣1分</w:t>
            </w:r>
            <w:r>
              <w:rPr>
                <w:rFonts w:hint="eastAsia" w:ascii="Times New Roman" w:hAnsi="Times New Roman" w:eastAsia="宋体" w:cs="Times New Roman"/>
                <w:szCs w:val="21"/>
              </w:rPr>
              <w:t>，</w:t>
            </w:r>
            <w:r>
              <w:rPr>
                <w:rFonts w:ascii="Times New Roman" w:hAnsi="Times New Roman" w:eastAsia="宋体" w:cs="Times New Roman"/>
                <w:szCs w:val="21"/>
              </w:rPr>
              <w:t>无故旷课1次扣2分，无故旷课2次扣5分，</w:t>
            </w:r>
            <w:r>
              <w:rPr>
                <w:rFonts w:hint="eastAsia" w:ascii="Times New Roman" w:hAnsi="Times New Roman" w:eastAsia="宋体" w:cs="Times New Roman"/>
                <w:szCs w:val="21"/>
              </w:rPr>
              <w:t>无故</w:t>
            </w:r>
            <w:r>
              <w:rPr>
                <w:rFonts w:ascii="Times New Roman" w:hAnsi="Times New Roman" w:eastAsia="宋体" w:cs="Times New Roman"/>
                <w:szCs w:val="21"/>
              </w:rPr>
              <w:t>旷课3次及以上直接定为不及格。</w:t>
            </w:r>
            <w:r>
              <w:rPr>
                <w:rFonts w:hint="eastAsia" w:ascii="Times New Roman" w:hAnsi="Times New Roman" w:eastAsia="宋体" w:cs="Times New Roman"/>
                <w:szCs w:val="21"/>
              </w:rPr>
              <w:t>课堂参与满分5分。学生在</w:t>
            </w:r>
            <w:r>
              <w:rPr>
                <w:rFonts w:ascii="Times New Roman" w:hAnsi="Times New Roman" w:eastAsia="宋体" w:cs="Times New Roman"/>
                <w:szCs w:val="21"/>
              </w:rPr>
              <w:t>课堂上不做与学习无关的事</w:t>
            </w:r>
            <w:r>
              <w:rPr>
                <w:rFonts w:hint="eastAsia" w:ascii="Times New Roman" w:hAnsi="Times New Roman" w:eastAsia="宋体" w:cs="Times New Roman"/>
                <w:szCs w:val="21"/>
              </w:rPr>
              <w:t>，认真听课，</w:t>
            </w:r>
            <w:r>
              <w:rPr>
                <w:rFonts w:ascii="Times New Roman" w:hAnsi="Times New Roman" w:eastAsia="宋体" w:cs="Times New Roman"/>
                <w:szCs w:val="21"/>
              </w:rPr>
              <w:t>勤于思考，主动回答提问</w:t>
            </w:r>
            <w:r>
              <w:rPr>
                <w:rFonts w:hint="eastAsia" w:ascii="Times New Roman" w:hAnsi="Times New Roman" w:eastAsia="宋体" w:cs="Times New Roman"/>
                <w:szCs w:val="21"/>
              </w:rPr>
              <w:t>，</w:t>
            </w:r>
            <w:r>
              <w:rPr>
                <w:rFonts w:ascii="Times New Roman" w:hAnsi="Times New Roman" w:eastAsia="宋体" w:cs="Times New Roman"/>
                <w:szCs w:val="21"/>
              </w:rPr>
              <w:t>积极参加小组</w:t>
            </w:r>
            <w:r>
              <w:rPr>
                <w:rFonts w:hint="eastAsia" w:ascii="Times New Roman" w:hAnsi="Times New Roman" w:eastAsia="宋体" w:cs="Times New Roman"/>
                <w:szCs w:val="21"/>
              </w:rPr>
              <w:t>讨论。根据学生课堂表现酌情给分。</w:t>
            </w:r>
            <w:r>
              <w:rPr>
                <w:rFonts w:ascii="Times New Roman" w:hAnsi="Times New Roman" w:eastAsia="宋体" w:cs="Times New Roman"/>
                <w:szCs w:val="21"/>
              </w:rPr>
              <w:t xml:space="preserve"> </w:t>
            </w:r>
          </w:p>
        </w:tc>
        <w:tc>
          <w:tcPr>
            <w:tcW w:w="1021" w:type="dxa"/>
            <w:vAlign w:val="center"/>
          </w:tcPr>
          <w:p w14:paraId="40BCC59E">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377A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0F6E94F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平时作业</w:t>
            </w:r>
          </w:p>
        </w:tc>
        <w:tc>
          <w:tcPr>
            <w:tcW w:w="6026" w:type="dxa"/>
          </w:tcPr>
          <w:p w14:paraId="2054DDC9">
            <w:pPr>
              <w:spacing w:line="310" w:lineRule="exact"/>
              <w:jc w:val="left"/>
              <w:rPr>
                <w:rFonts w:eastAsia="宋体"/>
                <w:szCs w:val="21"/>
              </w:rPr>
            </w:pPr>
            <w:r>
              <w:rPr>
                <w:rFonts w:hint="eastAsia" w:eastAsia="宋体"/>
                <w:szCs w:val="21"/>
              </w:rPr>
              <w:t xml:space="preserve">在本课程学习中，学生提交的文献综述、研究方法设计、研究方案设计（开题报告）的初稿、二稿为平时作业。 </w:t>
            </w:r>
          </w:p>
          <w:p w14:paraId="72CD21A3">
            <w:pPr>
              <w:spacing w:line="310" w:lineRule="exact"/>
              <w:jc w:val="left"/>
              <w:rPr>
                <w:rFonts w:ascii="Times New Roman" w:hAnsi="Times New Roman" w:eastAsia="宋体" w:cs="Times New Roman"/>
                <w:szCs w:val="21"/>
              </w:rPr>
            </w:pPr>
            <w:r>
              <w:rPr>
                <w:rFonts w:hint="eastAsia" w:eastAsia="宋体"/>
                <w:szCs w:val="21"/>
              </w:rPr>
              <w:t>学生需认真完成平时作业，按时提交，无故迟交作业1次扣</w:t>
            </w:r>
            <w:r>
              <w:rPr>
                <w:rFonts w:eastAsia="宋体"/>
                <w:szCs w:val="21"/>
              </w:rPr>
              <w:t>1</w:t>
            </w:r>
            <w:r>
              <w:rPr>
                <w:rFonts w:hint="eastAsia" w:eastAsia="宋体"/>
                <w:szCs w:val="21"/>
              </w:rPr>
              <w:t>分。作业评定标准与各项目评分标准相同。</w:t>
            </w:r>
          </w:p>
        </w:tc>
        <w:tc>
          <w:tcPr>
            <w:tcW w:w="1021" w:type="dxa"/>
            <w:vAlign w:val="center"/>
          </w:tcPr>
          <w:p w14:paraId="42905E3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1D55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7DC8ADB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自主学习</w:t>
            </w:r>
          </w:p>
        </w:tc>
        <w:tc>
          <w:tcPr>
            <w:tcW w:w="6026" w:type="dxa"/>
          </w:tcPr>
          <w:p w14:paraId="16BCD6A4">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每个单元开课前，学生提前一周完成教材预习，登录课程网站完成预习测试；系统自动评定和记录每次成绩。</w:t>
            </w:r>
          </w:p>
        </w:tc>
        <w:tc>
          <w:tcPr>
            <w:tcW w:w="1021" w:type="dxa"/>
            <w:vAlign w:val="center"/>
          </w:tcPr>
          <w:p w14:paraId="65831BF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5644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200B6D6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合作学习</w:t>
            </w:r>
          </w:p>
        </w:tc>
        <w:tc>
          <w:tcPr>
            <w:tcW w:w="6026" w:type="dxa"/>
          </w:tcPr>
          <w:p w14:paraId="717122FE">
            <w:pPr>
              <w:spacing w:line="310" w:lineRule="exact"/>
              <w:jc w:val="left"/>
              <w:rPr>
                <w:rFonts w:ascii="Times New Roman" w:hAnsi="Times New Roman" w:eastAsia="宋体" w:cs="Times New Roman"/>
                <w:szCs w:val="21"/>
              </w:rPr>
            </w:pPr>
            <w:r>
              <w:rPr>
                <w:rFonts w:hint="eastAsia" w:ascii="Times New Roman" w:hAnsi="Times New Roman" w:eastAsia="宋体" w:cs="Times New Roman"/>
                <w:szCs w:val="21"/>
              </w:rPr>
              <w:t>合作学习主要体现在课堂小组讨论和课后小组合作完成项目设计之中。课堂小组合作主要以学生互评为主，评价依据为每个学生在小组合作中的参与度与投入度。小组合作完成的项目包括教育实验研究、个案研究、行动研究、叙事研究研究方案（4选2），评价标准为：</w:t>
            </w:r>
            <w:r>
              <w:rPr>
                <w:rFonts w:ascii="Times New Roman" w:hAnsi="Times New Roman" w:eastAsia="宋体" w:cs="Times New Roman"/>
                <w:szCs w:val="21"/>
              </w:rPr>
              <w:t>研究目的明确，问题界定清晰，研究计划详细具体，研究策略与方法科学合理，小组成员协调配合好</w:t>
            </w:r>
            <w:r>
              <w:rPr>
                <w:rFonts w:hint="eastAsia" w:ascii="Times New Roman" w:hAnsi="Times New Roman" w:eastAsia="宋体" w:cs="Times New Roman"/>
                <w:szCs w:val="21"/>
              </w:rPr>
              <w:t>，</w:t>
            </w:r>
            <w:r>
              <w:rPr>
                <w:rFonts w:ascii="Times New Roman" w:hAnsi="Times New Roman" w:eastAsia="宋体" w:cs="Times New Roman"/>
                <w:szCs w:val="21"/>
              </w:rPr>
              <w:t>语言通顺，打印规范。小组合作</w:t>
            </w:r>
            <w:r>
              <w:rPr>
                <w:rFonts w:hint="eastAsia" w:ascii="Times New Roman" w:hAnsi="Times New Roman" w:eastAsia="宋体" w:cs="Times New Roman"/>
                <w:szCs w:val="21"/>
              </w:rPr>
              <w:t>项目的</w:t>
            </w:r>
            <w:r>
              <w:rPr>
                <w:rFonts w:ascii="Times New Roman" w:hAnsi="Times New Roman" w:eastAsia="宋体" w:cs="Times New Roman"/>
                <w:szCs w:val="21"/>
              </w:rPr>
              <w:t>评价</w:t>
            </w:r>
            <w:r>
              <w:rPr>
                <w:rFonts w:hint="eastAsia" w:ascii="Times New Roman" w:hAnsi="Times New Roman" w:eastAsia="宋体" w:cs="Times New Roman"/>
                <w:szCs w:val="21"/>
              </w:rPr>
              <w:t>由</w:t>
            </w:r>
            <w:r>
              <w:rPr>
                <w:rFonts w:ascii="Times New Roman" w:hAnsi="Times New Roman" w:eastAsia="宋体" w:cs="Times New Roman"/>
                <w:szCs w:val="21"/>
              </w:rPr>
              <w:t>教师评价</w:t>
            </w:r>
            <w:r>
              <w:rPr>
                <w:rFonts w:hint="eastAsia" w:ascii="Times New Roman" w:hAnsi="Times New Roman" w:eastAsia="宋体" w:cs="Times New Roman"/>
                <w:szCs w:val="21"/>
              </w:rPr>
              <w:t>和</w:t>
            </w:r>
            <w:r>
              <w:rPr>
                <w:rFonts w:ascii="Times New Roman" w:hAnsi="Times New Roman" w:eastAsia="宋体" w:cs="Times New Roman"/>
                <w:szCs w:val="21"/>
              </w:rPr>
              <w:t>小组成员互评</w:t>
            </w:r>
            <w:r>
              <w:rPr>
                <w:rFonts w:hint="eastAsia" w:ascii="Times New Roman" w:hAnsi="Times New Roman" w:eastAsia="宋体" w:cs="Times New Roman"/>
                <w:szCs w:val="21"/>
              </w:rPr>
              <w:t>构成，各占5</w:t>
            </w:r>
            <w:r>
              <w:rPr>
                <w:rFonts w:ascii="Times New Roman" w:hAnsi="Times New Roman" w:eastAsia="宋体" w:cs="Times New Roman"/>
                <w:szCs w:val="21"/>
              </w:rPr>
              <w:t>0%。</w:t>
            </w:r>
          </w:p>
        </w:tc>
        <w:tc>
          <w:tcPr>
            <w:tcW w:w="1021" w:type="dxa"/>
            <w:vAlign w:val="center"/>
          </w:tcPr>
          <w:p w14:paraId="1C585FEA">
            <w:pPr>
              <w:jc w:val="cente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0%</w:t>
            </w:r>
          </w:p>
        </w:tc>
      </w:tr>
      <w:tr w14:paraId="0F45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741FA5D1">
            <w:pPr>
              <w:jc w:val="center"/>
              <w:rPr>
                <w:rFonts w:hint="eastAsia" w:ascii="仿宋" w:hAnsi="仿宋" w:eastAsia="仿宋" w:cs="Times New Roman"/>
                <w:b/>
                <w:bCs/>
                <w:sz w:val="18"/>
                <w:szCs w:val="18"/>
              </w:rPr>
            </w:pPr>
            <w:r>
              <w:rPr>
                <w:rFonts w:hint="eastAsia" w:ascii="Times New Roman" w:hAnsi="Times New Roman" w:eastAsia="宋体" w:cs="Times New Roman"/>
                <w:b/>
                <w:bCs/>
                <w:szCs w:val="21"/>
              </w:rPr>
              <w:t>文献综述</w:t>
            </w:r>
          </w:p>
        </w:tc>
        <w:tc>
          <w:tcPr>
            <w:tcW w:w="6026" w:type="dxa"/>
          </w:tcPr>
          <w:p w14:paraId="7D29472C">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学生完成文献综述的定稿后，教师进行成绩评定。文献综述的优秀等次（9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分）评分标准为：选题恰当，</w:t>
            </w:r>
            <w:r>
              <w:rPr>
                <w:rFonts w:ascii="Times New Roman" w:hAnsi="Times New Roman" w:eastAsia="宋体" w:cs="Times New Roman"/>
                <w:szCs w:val="21"/>
              </w:rPr>
              <w:t>标题规范、简明</w:t>
            </w:r>
            <w:r>
              <w:rPr>
                <w:rFonts w:hint="eastAsia" w:ascii="Times New Roman" w:hAnsi="Times New Roman" w:eastAsia="宋体" w:cs="Times New Roman"/>
                <w:szCs w:val="21"/>
              </w:rPr>
              <w:t>，</w:t>
            </w:r>
            <w:r>
              <w:rPr>
                <w:rFonts w:ascii="Times New Roman" w:hAnsi="Times New Roman" w:eastAsia="宋体" w:cs="Times New Roman"/>
                <w:szCs w:val="21"/>
              </w:rPr>
              <w:t>对本课题国内外研究现状把握准确、全面</w:t>
            </w:r>
            <w:r>
              <w:rPr>
                <w:rFonts w:hint="eastAsia" w:ascii="Times New Roman" w:hAnsi="Times New Roman" w:eastAsia="宋体" w:cs="Times New Roman"/>
                <w:szCs w:val="21"/>
              </w:rPr>
              <w:t>，</w:t>
            </w:r>
            <w:r>
              <w:rPr>
                <w:rFonts w:ascii="Times New Roman" w:hAnsi="Times New Roman" w:eastAsia="宋体" w:cs="Times New Roman"/>
                <w:szCs w:val="21"/>
              </w:rPr>
              <w:t>信息具体</w:t>
            </w:r>
            <w:r>
              <w:rPr>
                <w:rFonts w:hint="eastAsia" w:ascii="Times New Roman" w:hAnsi="Times New Roman" w:eastAsia="宋体" w:cs="Times New Roman"/>
                <w:szCs w:val="21"/>
              </w:rPr>
              <w:t>、</w:t>
            </w:r>
            <w:r>
              <w:rPr>
                <w:rFonts w:ascii="Times New Roman" w:hAnsi="Times New Roman" w:eastAsia="宋体" w:cs="Times New Roman"/>
                <w:szCs w:val="21"/>
              </w:rPr>
              <w:t>符合事实</w:t>
            </w:r>
            <w:r>
              <w:rPr>
                <w:rFonts w:hint="eastAsia" w:ascii="Times New Roman" w:hAnsi="Times New Roman" w:eastAsia="宋体" w:cs="Times New Roman"/>
                <w:szCs w:val="21"/>
              </w:rPr>
              <w:t>，</w:t>
            </w:r>
            <w:r>
              <w:rPr>
                <w:rFonts w:ascii="Times New Roman" w:hAnsi="Times New Roman" w:eastAsia="宋体" w:cs="Times New Roman"/>
                <w:szCs w:val="21"/>
              </w:rPr>
              <w:t>评述结合</w:t>
            </w:r>
            <w:r>
              <w:rPr>
                <w:rFonts w:hint="eastAsia" w:ascii="Times New Roman" w:hAnsi="Times New Roman" w:eastAsia="宋体" w:cs="Times New Roman"/>
                <w:szCs w:val="21"/>
              </w:rPr>
              <w:t>、</w:t>
            </w:r>
            <w:r>
              <w:rPr>
                <w:rFonts w:ascii="Times New Roman" w:hAnsi="Times New Roman" w:eastAsia="宋体" w:cs="Times New Roman"/>
                <w:szCs w:val="21"/>
              </w:rPr>
              <w:t>以评带述</w:t>
            </w:r>
            <w:r>
              <w:rPr>
                <w:rFonts w:hint="eastAsia" w:ascii="Times New Roman" w:hAnsi="Times New Roman" w:eastAsia="宋体" w:cs="Times New Roman"/>
                <w:szCs w:val="21"/>
              </w:rPr>
              <w:t>，</w:t>
            </w:r>
            <w:r>
              <w:rPr>
                <w:rFonts w:ascii="Times New Roman" w:hAnsi="Times New Roman" w:eastAsia="宋体" w:cs="Times New Roman"/>
                <w:szCs w:val="21"/>
              </w:rPr>
              <w:t>高度概括</w:t>
            </w:r>
            <w:r>
              <w:rPr>
                <w:rFonts w:hint="eastAsia" w:ascii="Times New Roman" w:hAnsi="Times New Roman" w:eastAsia="宋体" w:cs="Times New Roman"/>
                <w:szCs w:val="21"/>
              </w:rPr>
              <w:t>、</w:t>
            </w:r>
            <w:r>
              <w:rPr>
                <w:rFonts w:ascii="Times New Roman" w:hAnsi="Times New Roman" w:eastAsia="宋体" w:cs="Times New Roman"/>
                <w:szCs w:val="21"/>
              </w:rPr>
              <w:t>简洁明晰</w:t>
            </w:r>
            <w:r>
              <w:rPr>
                <w:rFonts w:hint="eastAsia" w:ascii="Times New Roman" w:hAnsi="Times New Roman" w:eastAsia="宋体" w:cs="Times New Roman"/>
                <w:szCs w:val="21"/>
              </w:rPr>
              <w:t>，</w:t>
            </w:r>
            <w:r>
              <w:rPr>
                <w:rFonts w:ascii="Times New Roman" w:hAnsi="Times New Roman" w:eastAsia="宋体" w:cs="Times New Roman"/>
                <w:szCs w:val="21"/>
              </w:rPr>
              <w:t>语句通顺</w:t>
            </w:r>
            <w:r>
              <w:rPr>
                <w:rFonts w:hint="eastAsia" w:ascii="Times New Roman" w:hAnsi="Times New Roman" w:eastAsia="宋体" w:cs="Times New Roman"/>
                <w:szCs w:val="21"/>
              </w:rPr>
              <w:t>、</w:t>
            </w:r>
            <w:r>
              <w:rPr>
                <w:rFonts w:ascii="Times New Roman" w:hAnsi="Times New Roman" w:eastAsia="宋体" w:cs="Times New Roman"/>
                <w:szCs w:val="21"/>
              </w:rPr>
              <w:t>层次清楚</w:t>
            </w:r>
            <w:r>
              <w:rPr>
                <w:rFonts w:hint="eastAsia" w:ascii="Times New Roman" w:hAnsi="Times New Roman" w:eastAsia="宋体" w:cs="Times New Roman"/>
                <w:szCs w:val="21"/>
              </w:rPr>
              <w:t>，</w:t>
            </w:r>
            <w:r>
              <w:rPr>
                <w:rFonts w:ascii="Times New Roman" w:hAnsi="Times New Roman" w:eastAsia="宋体" w:cs="Times New Roman"/>
                <w:szCs w:val="21"/>
              </w:rPr>
              <w:t>达到规定字数</w:t>
            </w:r>
            <w:r>
              <w:rPr>
                <w:rFonts w:hint="eastAsia" w:ascii="Times New Roman" w:hAnsi="Times New Roman" w:eastAsia="宋体" w:cs="Times New Roman"/>
                <w:szCs w:val="21"/>
              </w:rPr>
              <w:t>，</w:t>
            </w:r>
            <w:r>
              <w:rPr>
                <w:rFonts w:ascii="Times New Roman" w:hAnsi="Times New Roman" w:eastAsia="宋体" w:cs="Times New Roman"/>
                <w:szCs w:val="21"/>
              </w:rPr>
              <w:t>参考文献</w:t>
            </w:r>
            <w:r>
              <w:rPr>
                <w:rFonts w:hint="eastAsia" w:ascii="Times New Roman" w:hAnsi="Times New Roman" w:eastAsia="宋体" w:cs="Times New Roman"/>
                <w:szCs w:val="21"/>
              </w:rPr>
              <w:t>规范</w:t>
            </w:r>
            <w:r>
              <w:rPr>
                <w:rFonts w:ascii="Times New Roman" w:hAnsi="Times New Roman" w:eastAsia="宋体" w:cs="Times New Roman"/>
                <w:szCs w:val="21"/>
              </w:rPr>
              <w:t>；排版和打印符合要求。</w:t>
            </w:r>
            <w:r>
              <w:rPr>
                <w:rFonts w:hint="eastAsia" w:ascii="Times New Roman" w:hAnsi="Times New Roman" w:eastAsia="宋体" w:cs="Times New Roman"/>
                <w:szCs w:val="21"/>
              </w:rPr>
              <w:t>其他各等次评分标准参见《教育科学研究方法课程“文献综述”考核评分标准》，其中，有抄袭现象的直接按零分处理。</w:t>
            </w:r>
          </w:p>
        </w:tc>
        <w:tc>
          <w:tcPr>
            <w:tcW w:w="1021" w:type="dxa"/>
            <w:vAlign w:val="center"/>
          </w:tcPr>
          <w:p w14:paraId="339C53C1">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r>
      <w:tr w14:paraId="4C53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050287F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研究方法</w:t>
            </w:r>
          </w:p>
          <w:p w14:paraId="4D268BA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设计</w:t>
            </w:r>
          </w:p>
        </w:tc>
        <w:tc>
          <w:tcPr>
            <w:tcW w:w="6026" w:type="dxa"/>
          </w:tcPr>
          <w:p w14:paraId="5AC89B13">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学生完成研究方法设计的定稿后，教师进行成绩评定。</w:t>
            </w:r>
            <w:r>
              <w:rPr>
                <w:rFonts w:hint="eastAsia" w:ascii="Calibri" w:hAnsi="Calibri" w:eastAsia="宋体" w:cs="Arial"/>
                <w:szCs w:val="21"/>
              </w:rPr>
              <w:t>个人研究项目主要为调查问卷、访谈提纲、观察量表的设计，其中，调查问卷的优秀</w:t>
            </w:r>
            <w:r>
              <w:rPr>
                <w:rFonts w:hint="eastAsia" w:ascii="Times New Roman" w:hAnsi="Times New Roman" w:eastAsia="宋体" w:cs="Times New Roman"/>
                <w:szCs w:val="21"/>
              </w:rPr>
              <w:t>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w:t>
            </w:r>
            <w:r>
              <w:rPr>
                <w:rFonts w:hint="eastAsia" w:ascii="Calibri" w:hAnsi="Calibri" w:eastAsia="宋体" w:cs="Arial"/>
                <w:szCs w:val="21"/>
              </w:rPr>
              <w:t>调查目的明确，指导语简明、规范，尊重被调查者隐私，变量设计全面、合理，问题表述明确，选项设计合理，问卷逻辑明晰，语言文字表述清晰，问卷容量合理，排版和打印符合要求。</w:t>
            </w:r>
            <w:r>
              <w:rPr>
                <w:rFonts w:hint="eastAsia" w:ascii="Times New Roman" w:hAnsi="Times New Roman" w:eastAsia="宋体" w:cs="Times New Roman"/>
                <w:szCs w:val="21"/>
              </w:rPr>
              <w:t>其他各等次评分标准参见《教育科学研究方法课程“研究方法设计”考核评分标准》，其中，有抄袭现象的直接按零分处理。</w:t>
            </w:r>
          </w:p>
        </w:tc>
        <w:tc>
          <w:tcPr>
            <w:tcW w:w="1021" w:type="dxa"/>
            <w:vAlign w:val="center"/>
          </w:tcPr>
          <w:p w14:paraId="5CF20915">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5%</w:t>
            </w:r>
          </w:p>
        </w:tc>
      </w:tr>
      <w:tr w14:paraId="4E87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34D7BA5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研究方案</w:t>
            </w:r>
          </w:p>
          <w:p w14:paraId="5314682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设计</w:t>
            </w:r>
          </w:p>
        </w:tc>
        <w:tc>
          <w:tcPr>
            <w:tcW w:w="6026" w:type="dxa"/>
          </w:tcPr>
          <w:p w14:paraId="50ED9EFA">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学生完成研究方案设计的定稿后，教师进行成绩评定。研究方案设计的优秀等次（9</w:t>
            </w:r>
            <w:r>
              <w:rPr>
                <w:rFonts w:ascii="Times New Roman" w:hAnsi="Times New Roman" w:eastAsia="宋体" w:cs="Times New Roman"/>
                <w:szCs w:val="21"/>
              </w:rPr>
              <w:t>0-100</w:t>
            </w:r>
            <w:r>
              <w:rPr>
                <w:rFonts w:hint="eastAsia" w:ascii="Times New Roman" w:hAnsi="Times New Roman" w:eastAsia="宋体" w:cs="Times New Roman"/>
                <w:szCs w:val="21"/>
              </w:rPr>
              <w:t>分）评分标准为：课题名称简明、规范，</w:t>
            </w:r>
            <w:r>
              <w:rPr>
                <w:rFonts w:ascii="Times New Roman" w:hAnsi="Times New Roman" w:eastAsia="宋体" w:cs="Times New Roman"/>
                <w:szCs w:val="21"/>
              </w:rPr>
              <w:t>课题有重要研究意义</w:t>
            </w:r>
            <w:r>
              <w:rPr>
                <w:rFonts w:hint="eastAsia" w:ascii="Times New Roman" w:hAnsi="Times New Roman" w:eastAsia="宋体" w:cs="Times New Roman"/>
                <w:szCs w:val="21"/>
              </w:rPr>
              <w:t>，</w:t>
            </w:r>
            <w:r>
              <w:rPr>
                <w:rFonts w:ascii="Times New Roman" w:hAnsi="Times New Roman" w:eastAsia="宋体" w:cs="Times New Roman"/>
                <w:szCs w:val="21"/>
              </w:rPr>
              <w:t>理论与实践价值表达规范</w:t>
            </w:r>
            <w:r>
              <w:rPr>
                <w:rFonts w:hint="eastAsia" w:ascii="Times New Roman" w:hAnsi="Times New Roman" w:eastAsia="宋体" w:cs="Times New Roman"/>
                <w:szCs w:val="21"/>
              </w:rPr>
              <w:t>，</w:t>
            </w:r>
            <w:r>
              <w:rPr>
                <w:rFonts w:ascii="Times New Roman" w:hAnsi="Times New Roman" w:eastAsia="宋体" w:cs="Times New Roman"/>
                <w:szCs w:val="21"/>
              </w:rPr>
              <w:t>课题研究动态把握全面</w:t>
            </w:r>
            <w:r>
              <w:rPr>
                <w:rFonts w:hint="eastAsia" w:ascii="Times New Roman" w:hAnsi="Times New Roman" w:eastAsia="宋体" w:cs="Times New Roman"/>
                <w:szCs w:val="21"/>
              </w:rPr>
              <w:t>，</w:t>
            </w:r>
            <w:r>
              <w:rPr>
                <w:rFonts w:ascii="Times New Roman" w:hAnsi="Times New Roman" w:eastAsia="宋体" w:cs="Times New Roman"/>
                <w:szCs w:val="21"/>
              </w:rPr>
              <w:t>研究思路清晰</w:t>
            </w:r>
            <w:r>
              <w:rPr>
                <w:rFonts w:hint="eastAsia" w:ascii="Times New Roman" w:hAnsi="Times New Roman" w:eastAsia="宋体" w:cs="Times New Roman"/>
                <w:szCs w:val="21"/>
              </w:rPr>
              <w:t>，</w:t>
            </w:r>
            <w:r>
              <w:rPr>
                <w:rFonts w:ascii="Times New Roman" w:hAnsi="Times New Roman" w:eastAsia="宋体" w:cs="Times New Roman"/>
                <w:szCs w:val="21"/>
              </w:rPr>
              <w:t>研究方法选用恰当</w:t>
            </w:r>
            <w:r>
              <w:rPr>
                <w:rFonts w:hint="eastAsia" w:ascii="Times New Roman" w:hAnsi="Times New Roman" w:eastAsia="宋体" w:cs="Times New Roman"/>
                <w:szCs w:val="21"/>
              </w:rPr>
              <w:t>，</w:t>
            </w:r>
            <w:r>
              <w:rPr>
                <w:rFonts w:ascii="Times New Roman" w:hAnsi="Times New Roman" w:eastAsia="宋体" w:cs="Times New Roman"/>
                <w:szCs w:val="21"/>
              </w:rPr>
              <w:t>论文研究提纲清晰</w:t>
            </w:r>
            <w:r>
              <w:rPr>
                <w:rFonts w:hint="eastAsia" w:ascii="Times New Roman" w:hAnsi="Times New Roman" w:eastAsia="宋体" w:cs="Times New Roman"/>
                <w:szCs w:val="21"/>
              </w:rPr>
              <w:t>，</w:t>
            </w:r>
            <w:r>
              <w:rPr>
                <w:rFonts w:ascii="Times New Roman" w:hAnsi="Times New Roman" w:eastAsia="宋体" w:cs="Times New Roman"/>
                <w:szCs w:val="21"/>
              </w:rPr>
              <w:t>预期目标具体、合理</w:t>
            </w:r>
            <w:r>
              <w:rPr>
                <w:rFonts w:hint="eastAsia" w:ascii="Times New Roman" w:hAnsi="Times New Roman" w:eastAsia="宋体" w:cs="Times New Roman"/>
                <w:szCs w:val="21"/>
              </w:rPr>
              <w:t>，</w:t>
            </w:r>
            <w:r>
              <w:rPr>
                <w:rFonts w:ascii="Times New Roman" w:hAnsi="Times New Roman" w:eastAsia="宋体" w:cs="Times New Roman"/>
                <w:szCs w:val="21"/>
              </w:rPr>
              <w:t>按要求列出参考文献</w:t>
            </w:r>
            <w:r>
              <w:rPr>
                <w:rFonts w:hint="eastAsia" w:ascii="Times New Roman" w:hAnsi="Times New Roman" w:eastAsia="宋体" w:cs="Times New Roman"/>
                <w:szCs w:val="21"/>
              </w:rPr>
              <w:t>，</w:t>
            </w:r>
            <w:r>
              <w:rPr>
                <w:rFonts w:ascii="Times New Roman" w:hAnsi="Times New Roman" w:eastAsia="宋体" w:cs="Times New Roman"/>
                <w:szCs w:val="21"/>
              </w:rPr>
              <w:t>排版和打印符合要求。</w:t>
            </w:r>
            <w:r>
              <w:rPr>
                <w:rFonts w:hint="eastAsia" w:ascii="Times New Roman" w:hAnsi="Times New Roman" w:eastAsia="宋体" w:cs="Times New Roman"/>
                <w:szCs w:val="21"/>
              </w:rPr>
              <w:t>其他各等次评分标准参见《教育科学研究方法课程“研究方案设计”考核评分标准》，其中，有抄袭现象的直接按零分处理。</w:t>
            </w:r>
          </w:p>
        </w:tc>
        <w:tc>
          <w:tcPr>
            <w:tcW w:w="1021" w:type="dxa"/>
            <w:vAlign w:val="center"/>
          </w:tcPr>
          <w:p w14:paraId="46F8B6BC">
            <w:pPr>
              <w:jc w:val="center"/>
              <w:rPr>
                <w:rFonts w:ascii="Times New Roman" w:hAnsi="Times New Roman" w:eastAsia="宋体" w:cs="Times New Roman"/>
                <w:szCs w:val="21"/>
              </w:rPr>
            </w:pPr>
            <w:r>
              <w:rPr>
                <w:rFonts w:ascii="Times New Roman" w:hAnsi="Times New Roman" w:eastAsia="宋体" w:cs="Times New Roman"/>
                <w:szCs w:val="21"/>
              </w:rPr>
              <w:t>20</w:t>
            </w:r>
            <w:r>
              <w:rPr>
                <w:rFonts w:hint="eastAsia" w:ascii="Times New Roman" w:hAnsi="Times New Roman" w:eastAsia="宋体" w:cs="Times New Roman"/>
                <w:szCs w:val="21"/>
              </w:rPr>
              <w:t>%</w:t>
            </w:r>
          </w:p>
        </w:tc>
      </w:tr>
      <w:tr w14:paraId="1005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3154267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汇报展示</w:t>
            </w:r>
          </w:p>
        </w:tc>
        <w:tc>
          <w:tcPr>
            <w:tcW w:w="6026" w:type="dxa"/>
          </w:tcPr>
          <w:p w14:paraId="0454251C">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学生小组合作项目在学期末进行集中ppt汇报，每组每个项目的汇报时间不超过6分钟。每个小组成员均要进行汇报，每人每个项目的汇报时间1分钟左右。汇报展示的评价由教师评价和学生评价构成，主要考察学生对研究方法的掌握程度和语言表达的流利程度。</w:t>
            </w:r>
          </w:p>
        </w:tc>
        <w:tc>
          <w:tcPr>
            <w:tcW w:w="1021" w:type="dxa"/>
            <w:vAlign w:val="center"/>
          </w:tcPr>
          <w:p w14:paraId="2B20450B">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r>
      <w:tr w14:paraId="7893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Align w:val="center"/>
          </w:tcPr>
          <w:p w14:paraId="3B67EEE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期末考试</w:t>
            </w:r>
          </w:p>
        </w:tc>
        <w:tc>
          <w:tcPr>
            <w:tcW w:w="6026" w:type="dxa"/>
          </w:tcPr>
          <w:p w14:paraId="1D44FD32">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特别说明：本课程为考核方法改革课程，学生完成个人考核项目（文献综述、研究方案设计、研究方法设计）并取得合格成绩，即为期末考试成绩合格，不再另行组织期末考试。评分细则见各项目评分标准。</w:t>
            </w:r>
          </w:p>
          <w:p w14:paraId="7AB22281">
            <w:pPr>
              <w:spacing w:line="330" w:lineRule="exact"/>
              <w:jc w:val="left"/>
              <w:rPr>
                <w:rFonts w:ascii="Times New Roman" w:hAnsi="Times New Roman" w:eastAsia="宋体" w:cs="Times New Roman"/>
                <w:szCs w:val="21"/>
              </w:rPr>
            </w:pPr>
            <w:r>
              <w:rPr>
                <w:rFonts w:hint="eastAsia" w:ascii="Times New Roman" w:hAnsi="Times New Roman" w:eastAsia="宋体" w:cs="Times New Roman"/>
                <w:szCs w:val="21"/>
              </w:rPr>
              <w:t>说明：本部分满分</w:t>
            </w:r>
            <w:r>
              <w:rPr>
                <w:rFonts w:ascii="Times New Roman" w:hAnsi="Times New Roman" w:eastAsia="宋体" w:cs="Times New Roman"/>
                <w:szCs w:val="21"/>
              </w:rPr>
              <w:t>50</w:t>
            </w:r>
            <w:r>
              <w:rPr>
                <w:rFonts w:hint="eastAsia" w:ascii="Times New Roman" w:hAnsi="Times New Roman" w:eastAsia="宋体" w:cs="Times New Roman"/>
                <w:szCs w:val="21"/>
              </w:rPr>
              <w:t>分（即文献综述1</w:t>
            </w:r>
            <w:r>
              <w:rPr>
                <w:rFonts w:ascii="Times New Roman" w:hAnsi="Times New Roman" w:eastAsia="宋体" w:cs="Times New Roman"/>
                <w:szCs w:val="21"/>
              </w:rPr>
              <w:t>5</w:t>
            </w:r>
            <w:r>
              <w:rPr>
                <w:rFonts w:hint="eastAsia" w:ascii="Times New Roman" w:hAnsi="Times New Roman" w:eastAsia="宋体" w:cs="Times New Roman"/>
                <w:szCs w:val="21"/>
              </w:rPr>
              <w:t>分+研究方法设计1</w:t>
            </w:r>
            <w:r>
              <w:rPr>
                <w:rFonts w:ascii="Times New Roman" w:hAnsi="Times New Roman" w:eastAsia="宋体" w:cs="Times New Roman"/>
                <w:szCs w:val="21"/>
              </w:rPr>
              <w:t>5</w:t>
            </w:r>
            <w:r>
              <w:rPr>
                <w:rFonts w:hint="eastAsia" w:ascii="Times New Roman" w:hAnsi="Times New Roman" w:eastAsia="宋体" w:cs="Times New Roman"/>
                <w:szCs w:val="21"/>
              </w:rPr>
              <w:t>分+研究方案设计2</w:t>
            </w:r>
            <w:r>
              <w:rPr>
                <w:rFonts w:ascii="Times New Roman" w:hAnsi="Times New Roman" w:eastAsia="宋体" w:cs="Times New Roman"/>
                <w:szCs w:val="21"/>
              </w:rPr>
              <w:t>0</w:t>
            </w:r>
            <w:r>
              <w:rPr>
                <w:rFonts w:hint="eastAsia" w:ascii="Times New Roman" w:hAnsi="Times New Roman" w:eastAsia="宋体" w:cs="Times New Roman"/>
                <w:szCs w:val="21"/>
              </w:rPr>
              <w:t>），不重复计分。</w:t>
            </w:r>
          </w:p>
        </w:tc>
        <w:tc>
          <w:tcPr>
            <w:tcW w:w="1021" w:type="dxa"/>
            <w:vAlign w:val="center"/>
          </w:tcPr>
          <w:p w14:paraId="1EE2A9AC">
            <w:pPr>
              <w:rPr>
                <w:rFonts w:ascii="Times New Roman" w:hAnsi="Times New Roman" w:eastAsia="宋体" w:cs="Times New Roman"/>
                <w:szCs w:val="21"/>
              </w:rPr>
            </w:pPr>
            <w:r>
              <w:rPr>
                <w:rFonts w:hint="eastAsia" w:ascii="Times New Roman" w:hAnsi="Times New Roman" w:eastAsia="宋体" w:cs="Times New Roman"/>
                <w:szCs w:val="21"/>
              </w:rPr>
              <w:t>（</w:t>
            </w:r>
            <w:r>
              <w:rPr>
                <w:rFonts w:ascii="Times New Roman" w:hAnsi="Times New Roman" w:eastAsia="宋体" w:cs="Times New Roman"/>
                <w:szCs w:val="21"/>
              </w:rPr>
              <w:t>5</w:t>
            </w:r>
            <w:r>
              <w:rPr>
                <w:rFonts w:hint="eastAsia" w:ascii="Times New Roman" w:hAnsi="Times New Roman" w:eastAsia="宋体" w:cs="Times New Roman"/>
                <w:szCs w:val="21"/>
              </w:rPr>
              <w:t>0%）</w:t>
            </w:r>
          </w:p>
        </w:tc>
      </w:tr>
      <w:tr w14:paraId="42C1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12" w:type="dxa"/>
          </w:tcPr>
          <w:p w14:paraId="5FF3A5F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026" w:type="dxa"/>
          </w:tcPr>
          <w:p w14:paraId="2132CA60">
            <w:pPr>
              <w:jc w:val="left"/>
              <w:rPr>
                <w:rFonts w:ascii="Times New Roman" w:hAnsi="Times New Roman" w:eastAsia="宋体" w:cs="Times New Roman"/>
                <w:szCs w:val="21"/>
              </w:rPr>
            </w:pPr>
          </w:p>
        </w:tc>
        <w:tc>
          <w:tcPr>
            <w:tcW w:w="1021" w:type="dxa"/>
            <w:vAlign w:val="center"/>
          </w:tcPr>
          <w:p w14:paraId="348A8FF4">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F31C91A">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03FC953C">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0BF5C769">
      <w:pPr>
        <w:spacing w:before="156" w:beforeLines="50"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object>
          <v:shape id="_x0000_i1044"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44" DrawAspect="Content" ObjectID="_1468075744" r:id="rId32">
            <o:LockedField>false</o:LockedField>
          </o:OLEObject>
        </w:object>
      </w:r>
    </w:p>
    <w:p w14:paraId="6EEFCBDA">
      <w:pPr>
        <w:spacing w:before="156" w:beforeLines="50" w:line="360" w:lineRule="auto"/>
        <w:ind w:firstLine="420" w:firstLineChars="200"/>
        <w:jc w:val="left"/>
        <w:rPr>
          <w:rFonts w:hint="eastAsia" w:ascii="宋体" w:hAnsi="宋体" w:eastAsia="宋体" w:cs="Times New Roman"/>
          <w:szCs w:val="21"/>
        </w:rPr>
      </w:pPr>
    </w:p>
    <w:p w14:paraId="006C59B1">
      <w:pPr>
        <w:spacing w:before="156" w:beforeLines="50"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五、课程实践（课内实践）</w:t>
      </w:r>
    </w:p>
    <w:tbl>
      <w:tblPr>
        <w:tblStyle w:val="11"/>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610"/>
        <w:gridCol w:w="3260"/>
        <w:gridCol w:w="1276"/>
        <w:gridCol w:w="708"/>
        <w:gridCol w:w="851"/>
        <w:gridCol w:w="908"/>
      </w:tblGrid>
      <w:tr w14:paraId="0102D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577" w:type="dxa"/>
            <w:shd w:val="clear" w:color="auto" w:fill="FFFFFF"/>
            <w:vAlign w:val="center"/>
          </w:tcPr>
          <w:p w14:paraId="57B99991">
            <w:pPr>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1610" w:type="dxa"/>
            <w:shd w:val="clear" w:color="auto" w:fill="FFFFFF"/>
            <w:vAlign w:val="center"/>
          </w:tcPr>
          <w:p w14:paraId="06452759">
            <w:pPr>
              <w:jc w:val="center"/>
              <w:rPr>
                <w:rFonts w:ascii="Times New Roman" w:hAnsi="Times New Roman" w:eastAsia="宋体" w:cs="Times New Roman"/>
                <w:szCs w:val="21"/>
              </w:rPr>
            </w:pPr>
            <w:r>
              <w:rPr>
                <w:rFonts w:hint="eastAsia" w:ascii="Times New Roman" w:hAnsi="Times New Roman" w:eastAsia="宋体" w:cs="Times New Roman"/>
                <w:szCs w:val="21"/>
              </w:rPr>
              <w:t>实验（实践）</w:t>
            </w:r>
          </w:p>
          <w:p w14:paraId="26032DD7">
            <w:pPr>
              <w:jc w:val="center"/>
              <w:rPr>
                <w:rFonts w:ascii="Times New Roman" w:hAnsi="Times New Roman" w:eastAsia="宋体" w:cs="Times New Roman"/>
                <w:szCs w:val="21"/>
              </w:rPr>
            </w:pPr>
            <w:r>
              <w:rPr>
                <w:rFonts w:hint="eastAsia" w:ascii="Times New Roman" w:hAnsi="Times New Roman" w:eastAsia="宋体" w:cs="Times New Roman"/>
                <w:szCs w:val="21"/>
              </w:rPr>
              <w:t>项目名称</w:t>
            </w:r>
          </w:p>
        </w:tc>
        <w:tc>
          <w:tcPr>
            <w:tcW w:w="3260" w:type="dxa"/>
            <w:shd w:val="clear" w:color="auto" w:fill="FFFFFF"/>
            <w:vAlign w:val="center"/>
          </w:tcPr>
          <w:p w14:paraId="630266E6">
            <w:pPr>
              <w:jc w:val="center"/>
              <w:rPr>
                <w:rFonts w:ascii="Times New Roman" w:hAnsi="Times New Roman" w:eastAsia="宋体" w:cs="Times New Roman"/>
                <w:szCs w:val="21"/>
              </w:rPr>
            </w:pPr>
            <w:r>
              <w:rPr>
                <w:rFonts w:hint="eastAsia" w:ascii="Times New Roman" w:hAnsi="Times New Roman" w:eastAsia="宋体" w:cs="Times New Roman"/>
                <w:szCs w:val="21"/>
              </w:rPr>
              <w:t>实验（实践）项目</w:t>
            </w:r>
          </w:p>
          <w:p w14:paraId="6E325E91">
            <w:pPr>
              <w:jc w:val="center"/>
              <w:rPr>
                <w:rFonts w:ascii="Times New Roman" w:hAnsi="Times New Roman" w:eastAsia="宋体" w:cs="Times New Roman"/>
                <w:szCs w:val="21"/>
              </w:rPr>
            </w:pPr>
            <w:r>
              <w:rPr>
                <w:rFonts w:hint="eastAsia" w:ascii="Times New Roman" w:hAnsi="Times New Roman" w:eastAsia="宋体" w:cs="Times New Roman"/>
                <w:szCs w:val="21"/>
              </w:rPr>
              <w:t>内容及要求</w:t>
            </w:r>
          </w:p>
        </w:tc>
        <w:tc>
          <w:tcPr>
            <w:tcW w:w="1276" w:type="dxa"/>
            <w:shd w:val="clear" w:color="auto" w:fill="FFFFFF"/>
            <w:vAlign w:val="center"/>
          </w:tcPr>
          <w:p w14:paraId="1D62D8CA">
            <w:pPr>
              <w:jc w:val="center"/>
              <w:rPr>
                <w:rFonts w:ascii="Times New Roman" w:hAnsi="Times New Roman" w:eastAsia="宋体" w:cs="Times New Roman"/>
                <w:szCs w:val="21"/>
              </w:rPr>
            </w:pPr>
            <w:r>
              <w:rPr>
                <w:rFonts w:hint="eastAsia" w:ascii="Times New Roman" w:hAnsi="Times New Roman" w:eastAsia="宋体" w:cs="Times New Roman"/>
                <w:szCs w:val="21"/>
              </w:rPr>
              <w:t>对</w:t>
            </w:r>
            <w:r>
              <w:rPr>
                <w:rFonts w:ascii="Times New Roman" w:hAnsi="Times New Roman" w:eastAsia="宋体" w:cs="Times New Roman"/>
                <w:szCs w:val="21"/>
              </w:rPr>
              <w:t>毕业要求</w:t>
            </w:r>
          </w:p>
          <w:p w14:paraId="74237773">
            <w:pPr>
              <w:jc w:val="center"/>
              <w:rPr>
                <w:rFonts w:ascii="Times New Roman" w:hAnsi="Times New Roman" w:eastAsia="宋体" w:cs="Times New Roman"/>
                <w:szCs w:val="21"/>
              </w:rPr>
            </w:pPr>
            <w:r>
              <w:rPr>
                <w:rFonts w:hint="eastAsia" w:ascii="Times New Roman" w:hAnsi="Times New Roman" w:eastAsia="宋体" w:cs="Times New Roman"/>
                <w:szCs w:val="21"/>
              </w:rPr>
              <w:t>的</w:t>
            </w:r>
            <w:r>
              <w:rPr>
                <w:rFonts w:ascii="Times New Roman" w:hAnsi="Times New Roman" w:eastAsia="宋体" w:cs="Times New Roman"/>
                <w:szCs w:val="21"/>
              </w:rPr>
              <w:t>支撑</w:t>
            </w:r>
          </w:p>
        </w:tc>
        <w:tc>
          <w:tcPr>
            <w:tcW w:w="708" w:type="dxa"/>
            <w:shd w:val="clear" w:color="auto" w:fill="FFFFFF"/>
            <w:vAlign w:val="center"/>
          </w:tcPr>
          <w:p w14:paraId="0FAA6E37">
            <w:pPr>
              <w:rPr>
                <w:rFonts w:ascii="Times New Roman" w:hAnsi="Times New Roman" w:eastAsia="宋体" w:cs="Times New Roman"/>
                <w:szCs w:val="21"/>
              </w:rPr>
            </w:pPr>
            <w:r>
              <w:rPr>
                <w:rFonts w:ascii="Times New Roman" w:hAnsi="Times New Roman" w:eastAsia="宋体" w:cs="Times New Roman"/>
                <w:szCs w:val="21"/>
              </w:rPr>
              <w:t>学时</w:t>
            </w:r>
          </w:p>
        </w:tc>
        <w:tc>
          <w:tcPr>
            <w:tcW w:w="851" w:type="dxa"/>
            <w:shd w:val="clear" w:color="auto" w:fill="FFFFFF"/>
            <w:vAlign w:val="center"/>
          </w:tcPr>
          <w:p w14:paraId="1852FC24">
            <w:pPr>
              <w:jc w:val="center"/>
              <w:rPr>
                <w:rFonts w:ascii="Times New Roman" w:hAnsi="Times New Roman" w:eastAsia="宋体" w:cs="Times New Roman"/>
                <w:szCs w:val="21"/>
              </w:rPr>
            </w:pPr>
            <w:r>
              <w:rPr>
                <w:rFonts w:hint="eastAsia" w:ascii="Times New Roman" w:hAnsi="Times New Roman" w:eastAsia="宋体" w:cs="Times New Roman"/>
                <w:szCs w:val="21"/>
              </w:rPr>
              <w:t>类型</w:t>
            </w:r>
          </w:p>
        </w:tc>
        <w:tc>
          <w:tcPr>
            <w:tcW w:w="908" w:type="dxa"/>
            <w:shd w:val="clear" w:color="auto" w:fill="FFFFFF"/>
            <w:vAlign w:val="center"/>
          </w:tcPr>
          <w:p w14:paraId="429FA17B">
            <w:pPr>
              <w:jc w:val="center"/>
              <w:rPr>
                <w:rFonts w:ascii="Times New Roman" w:hAnsi="Times New Roman" w:eastAsia="宋体" w:cs="Times New Roman"/>
                <w:szCs w:val="21"/>
              </w:rPr>
            </w:pPr>
            <w:r>
              <w:rPr>
                <w:rFonts w:hint="eastAsia" w:ascii="Times New Roman" w:hAnsi="Times New Roman" w:eastAsia="宋体" w:cs="Times New Roman"/>
                <w:szCs w:val="21"/>
              </w:rPr>
              <w:t>备注</w:t>
            </w:r>
          </w:p>
        </w:tc>
      </w:tr>
      <w:tr w14:paraId="7308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77" w:type="dxa"/>
            <w:vAlign w:val="center"/>
          </w:tcPr>
          <w:p w14:paraId="6454A0D9">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610" w:type="dxa"/>
            <w:vAlign w:val="center"/>
          </w:tcPr>
          <w:p w14:paraId="1DAB8A10">
            <w:pPr>
              <w:jc w:val="center"/>
              <w:rPr>
                <w:rFonts w:ascii="Times New Roman" w:hAnsi="Times New Roman" w:eastAsia="宋体" w:cs="Times New Roman"/>
                <w:szCs w:val="21"/>
              </w:rPr>
            </w:pPr>
            <w:r>
              <w:rPr>
                <w:rFonts w:hint="eastAsia" w:ascii="Times New Roman" w:hAnsi="Times New Roman" w:eastAsia="宋体" w:cs="Times New Roman"/>
                <w:szCs w:val="21"/>
              </w:rPr>
              <w:t>教育个案研究</w:t>
            </w:r>
          </w:p>
          <w:p w14:paraId="58DC55F6">
            <w:pPr>
              <w:jc w:val="center"/>
              <w:rPr>
                <w:rFonts w:ascii="Times New Roman" w:hAnsi="Times New Roman" w:eastAsia="宋体" w:cs="Times New Roman"/>
                <w:szCs w:val="21"/>
              </w:rPr>
            </w:pPr>
            <w:r>
              <w:rPr>
                <w:rFonts w:hint="eastAsia" w:ascii="Times New Roman" w:hAnsi="Times New Roman" w:eastAsia="宋体" w:cs="Times New Roman"/>
                <w:szCs w:val="21"/>
              </w:rPr>
              <w:t>方案设计</w:t>
            </w:r>
          </w:p>
        </w:tc>
        <w:tc>
          <w:tcPr>
            <w:tcW w:w="3260" w:type="dxa"/>
            <w:vAlign w:val="center"/>
          </w:tcPr>
          <w:p w14:paraId="17DAA984">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内容：以小组为单位，进行个案研究方案设计。</w:t>
            </w:r>
          </w:p>
          <w:p w14:paraId="3AA5FD0D">
            <w:pPr>
              <w:jc w:val="left"/>
              <w:rPr>
                <w:rFonts w:ascii="Times New Roman" w:hAnsi="Times New Roman" w:eastAsia="宋体" w:cs="Times New Roman"/>
                <w:szCs w:val="21"/>
              </w:rPr>
            </w:pPr>
            <w:r>
              <w:rPr>
                <w:rFonts w:hint="eastAsia" w:ascii="Times New Roman" w:hAnsi="Times New Roman" w:eastAsia="宋体" w:cs="Times New Roman"/>
                <w:szCs w:val="21"/>
              </w:rPr>
              <w:t>要求：问题界定明确，研究步骤清晰，方法使用恰当。</w:t>
            </w:r>
          </w:p>
        </w:tc>
        <w:tc>
          <w:tcPr>
            <w:tcW w:w="1276" w:type="dxa"/>
            <w:vAlign w:val="center"/>
          </w:tcPr>
          <w:p w14:paraId="0CE9BC3C">
            <w:pPr>
              <w:jc w:val="center"/>
              <w:rPr>
                <w:rFonts w:ascii="Times New Roman" w:hAnsi="Times New Roman" w:eastAsia="宋体" w:cs="Times New Roman"/>
                <w:szCs w:val="21"/>
              </w:rPr>
            </w:pPr>
            <w:r>
              <w:rPr>
                <w:rFonts w:hint="eastAsia" w:ascii="Times New Roman" w:hAnsi="Times New Roman" w:eastAsia="宋体" w:cs="Times New Roman"/>
                <w:szCs w:val="21"/>
              </w:rPr>
              <w:t>2-2，4-4,</w:t>
            </w:r>
          </w:p>
          <w:p w14:paraId="7DE6FB79">
            <w:pPr>
              <w:jc w:val="center"/>
              <w:rPr>
                <w:rFonts w:ascii="Times New Roman" w:hAnsi="Times New Roman" w:eastAsia="宋体" w:cs="Times New Roman"/>
                <w:szCs w:val="21"/>
              </w:rPr>
            </w:pPr>
            <w:r>
              <w:rPr>
                <w:rFonts w:hint="eastAsia" w:ascii="Times New Roman" w:hAnsi="Times New Roman" w:eastAsia="宋体" w:cs="Times New Roman"/>
                <w:szCs w:val="21"/>
              </w:rPr>
              <w:t>7-3，8-1</w:t>
            </w:r>
          </w:p>
        </w:tc>
        <w:tc>
          <w:tcPr>
            <w:tcW w:w="708" w:type="dxa"/>
            <w:vAlign w:val="center"/>
          </w:tcPr>
          <w:p w14:paraId="214A3B35">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851" w:type="dxa"/>
            <w:vAlign w:val="center"/>
          </w:tcPr>
          <w:p w14:paraId="37CE299C">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7B1F18D7">
            <w:pPr>
              <w:jc w:val="center"/>
              <w:rPr>
                <w:rFonts w:ascii="Times New Roman" w:hAnsi="Times New Roman" w:eastAsia="宋体" w:cs="Times New Roman"/>
                <w:szCs w:val="21"/>
              </w:rPr>
            </w:pPr>
            <w:r>
              <w:rPr>
                <w:rFonts w:hint="eastAsia" w:ascii="Times New Roman" w:hAnsi="Times New Roman" w:eastAsia="宋体" w:cs="Times New Roman"/>
                <w:szCs w:val="21"/>
              </w:rPr>
              <w:t>四选二</w:t>
            </w:r>
          </w:p>
        </w:tc>
      </w:tr>
      <w:tr w14:paraId="72F1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77" w:type="dxa"/>
            <w:vAlign w:val="center"/>
          </w:tcPr>
          <w:p w14:paraId="36CA3189">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610" w:type="dxa"/>
            <w:vAlign w:val="center"/>
          </w:tcPr>
          <w:p w14:paraId="05DB2F10">
            <w:pPr>
              <w:jc w:val="center"/>
              <w:rPr>
                <w:rFonts w:ascii="Times New Roman" w:hAnsi="Times New Roman" w:eastAsia="宋体" w:cs="Times New Roman"/>
                <w:szCs w:val="21"/>
              </w:rPr>
            </w:pPr>
            <w:r>
              <w:rPr>
                <w:rFonts w:hint="eastAsia" w:ascii="Times New Roman" w:hAnsi="Times New Roman" w:eastAsia="宋体" w:cs="Times New Roman"/>
                <w:szCs w:val="21"/>
              </w:rPr>
              <w:t>教育实验研究方案设计</w:t>
            </w:r>
          </w:p>
        </w:tc>
        <w:tc>
          <w:tcPr>
            <w:tcW w:w="3260" w:type="dxa"/>
            <w:vAlign w:val="center"/>
          </w:tcPr>
          <w:p w14:paraId="44A92791">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内容：以小组为单位，进行教育实验方案设计。</w:t>
            </w:r>
          </w:p>
          <w:p w14:paraId="285FCCB4">
            <w:pPr>
              <w:jc w:val="left"/>
              <w:rPr>
                <w:rFonts w:ascii="Times New Roman" w:hAnsi="Times New Roman" w:eastAsia="宋体" w:cs="Times New Roman"/>
                <w:szCs w:val="21"/>
              </w:rPr>
            </w:pPr>
            <w:r>
              <w:rPr>
                <w:rFonts w:hint="eastAsia" w:ascii="Times New Roman" w:hAnsi="Times New Roman" w:eastAsia="宋体" w:cs="Times New Roman"/>
                <w:szCs w:val="21"/>
              </w:rPr>
              <w:t>要求：选题适当，实验目的明确，实验假设和统计假设表述正确，自变量取值水平及实验处理合理，因变量分解及测量方法科学，提高实验效度的措施有效。</w:t>
            </w:r>
          </w:p>
        </w:tc>
        <w:tc>
          <w:tcPr>
            <w:tcW w:w="1276" w:type="dxa"/>
            <w:vAlign w:val="center"/>
          </w:tcPr>
          <w:p w14:paraId="7E3CE5DC">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014B2C46">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851" w:type="dxa"/>
            <w:vAlign w:val="center"/>
          </w:tcPr>
          <w:p w14:paraId="3BEE3CF1">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3DA4B647">
            <w:pPr>
              <w:jc w:val="center"/>
              <w:rPr>
                <w:rFonts w:ascii="Times New Roman" w:hAnsi="Times New Roman" w:eastAsia="宋体" w:cs="Times New Roman"/>
                <w:szCs w:val="21"/>
              </w:rPr>
            </w:pPr>
            <w:r>
              <w:rPr>
                <w:rFonts w:hint="eastAsia" w:ascii="Times New Roman" w:hAnsi="Times New Roman" w:eastAsia="宋体" w:cs="Times New Roman"/>
                <w:szCs w:val="21"/>
              </w:rPr>
              <w:t>四选二</w:t>
            </w:r>
          </w:p>
        </w:tc>
      </w:tr>
      <w:tr w14:paraId="14B3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77" w:type="dxa"/>
            <w:vAlign w:val="center"/>
          </w:tcPr>
          <w:p w14:paraId="3BA433BD">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610" w:type="dxa"/>
            <w:vAlign w:val="center"/>
          </w:tcPr>
          <w:p w14:paraId="2561A26B">
            <w:pPr>
              <w:jc w:val="center"/>
              <w:rPr>
                <w:rFonts w:ascii="Times New Roman" w:hAnsi="Times New Roman" w:eastAsia="宋体" w:cs="Times New Roman"/>
                <w:szCs w:val="21"/>
              </w:rPr>
            </w:pPr>
            <w:r>
              <w:rPr>
                <w:rFonts w:hint="eastAsia" w:ascii="Times New Roman" w:hAnsi="Times New Roman" w:eastAsia="宋体" w:cs="Times New Roman"/>
                <w:szCs w:val="21"/>
              </w:rPr>
              <w:t>教育叙事研究方案设计</w:t>
            </w:r>
          </w:p>
        </w:tc>
        <w:tc>
          <w:tcPr>
            <w:tcW w:w="3260" w:type="dxa"/>
            <w:vAlign w:val="center"/>
          </w:tcPr>
          <w:p w14:paraId="2DA0A4A9">
            <w:pPr>
              <w:jc w:val="left"/>
              <w:rPr>
                <w:rFonts w:ascii="Times New Roman" w:hAnsi="Times New Roman" w:eastAsia="宋体" w:cs="Times New Roman"/>
                <w:szCs w:val="21"/>
              </w:rPr>
            </w:pPr>
            <w:r>
              <w:rPr>
                <w:rFonts w:hint="eastAsia" w:ascii="Times New Roman" w:hAnsi="Times New Roman" w:eastAsia="宋体" w:cs="Times New Roman"/>
                <w:szCs w:val="21"/>
              </w:rPr>
              <w:t>内容：以小组为单位，进行教育叙事研究方案设计。</w:t>
            </w:r>
          </w:p>
          <w:p w14:paraId="06D9AD4E">
            <w:pPr>
              <w:jc w:val="left"/>
              <w:rPr>
                <w:rFonts w:ascii="Times New Roman" w:hAnsi="Times New Roman" w:eastAsia="宋体" w:cs="Times New Roman"/>
                <w:szCs w:val="21"/>
              </w:rPr>
            </w:pPr>
            <w:r>
              <w:rPr>
                <w:rFonts w:hint="eastAsia" w:ascii="Times New Roman" w:hAnsi="Times New Roman" w:eastAsia="宋体" w:cs="Times New Roman"/>
                <w:szCs w:val="21"/>
              </w:rPr>
              <w:t>要求：问题界定明确，研究步骤清晰，方法使用恰当。</w:t>
            </w:r>
          </w:p>
        </w:tc>
        <w:tc>
          <w:tcPr>
            <w:tcW w:w="1276" w:type="dxa"/>
            <w:vAlign w:val="center"/>
          </w:tcPr>
          <w:p w14:paraId="67DA4EDE">
            <w:pPr>
              <w:jc w:val="center"/>
              <w:rPr>
                <w:rFonts w:ascii="Times New Roman" w:hAnsi="Times New Roman" w:eastAsia="宋体" w:cs="Times New Roman"/>
                <w:szCs w:val="21"/>
              </w:rPr>
            </w:pPr>
            <w:r>
              <w:rPr>
                <w:rFonts w:hint="eastAsia" w:ascii="Times New Roman" w:hAnsi="Times New Roman" w:eastAsia="宋体" w:cs="Times New Roman"/>
                <w:szCs w:val="21"/>
              </w:rPr>
              <w:t>2-2，4-4</w:t>
            </w:r>
          </w:p>
          <w:p w14:paraId="3D108A11">
            <w:pPr>
              <w:jc w:val="center"/>
              <w:rPr>
                <w:rFonts w:ascii="Times New Roman" w:hAnsi="Times New Roman" w:eastAsia="宋体" w:cs="Times New Roman"/>
                <w:szCs w:val="21"/>
              </w:rPr>
            </w:pPr>
            <w:r>
              <w:rPr>
                <w:rFonts w:hint="eastAsia" w:ascii="Times New Roman" w:hAnsi="Times New Roman" w:eastAsia="宋体" w:cs="Times New Roman"/>
                <w:szCs w:val="21"/>
              </w:rPr>
              <w:t>7-3，8-1</w:t>
            </w:r>
          </w:p>
        </w:tc>
        <w:tc>
          <w:tcPr>
            <w:tcW w:w="708" w:type="dxa"/>
            <w:vAlign w:val="center"/>
          </w:tcPr>
          <w:p w14:paraId="3E8D8BD6">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851" w:type="dxa"/>
            <w:vAlign w:val="center"/>
          </w:tcPr>
          <w:p w14:paraId="573A6C87">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7762646F">
            <w:pPr>
              <w:jc w:val="center"/>
              <w:rPr>
                <w:rFonts w:ascii="Times New Roman" w:hAnsi="Times New Roman" w:eastAsia="宋体" w:cs="Times New Roman"/>
                <w:szCs w:val="21"/>
              </w:rPr>
            </w:pPr>
            <w:r>
              <w:rPr>
                <w:rFonts w:hint="eastAsia" w:ascii="Times New Roman" w:hAnsi="Times New Roman" w:eastAsia="宋体" w:cs="Times New Roman"/>
                <w:szCs w:val="21"/>
              </w:rPr>
              <w:t>四选二</w:t>
            </w:r>
          </w:p>
        </w:tc>
      </w:tr>
      <w:tr w14:paraId="4AA6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77" w:type="dxa"/>
            <w:vAlign w:val="center"/>
          </w:tcPr>
          <w:p w14:paraId="5824DDDB">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610" w:type="dxa"/>
            <w:vAlign w:val="center"/>
          </w:tcPr>
          <w:p w14:paraId="196004CF">
            <w:pPr>
              <w:jc w:val="center"/>
              <w:rPr>
                <w:rFonts w:ascii="Times New Roman" w:hAnsi="Times New Roman" w:eastAsia="宋体" w:cs="Times New Roman"/>
                <w:szCs w:val="21"/>
              </w:rPr>
            </w:pPr>
            <w:r>
              <w:rPr>
                <w:rFonts w:hint="eastAsia" w:ascii="Times New Roman" w:hAnsi="Times New Roman" w:eastAsia="宋体" w:cs="Times New Roman"/>
                <w:szCs w:val="21"/>
              </w:rPr>
              <w:t>教育行动研究方案设计</w:t>
            </w:r>
          </w:p>
        </w:tc>
        <w:tc>
          <w:tcPr>
            <w:tcW w:w="3260" w:type="dxa"/>
            <w:vAlign w:val="center"/>
          </w:tcPr>
          <w:p w14:paraId="13A54268">
            <w:pPr>
              <w:jc w:val="left"/>
              <w:rPr>
                <w:rFonts w:ascii="Times New Roman" w:hAnsi="Times New Roman" w:eastAsia="宋体" w:cs="Times New Roman"/>
                <w:szCs w:val="21"/>
              </w:rPr>
            </w:pPr>
            <w:r>
              <w:rPr>
                <w:rFonts w:hint="eastAsia" w:ascii="Times New Roman" w:hAnsi="Times New Roman" w:eastAsia="宋体" w:cs="Times New Roman"/>
                <w:szCs w:val="21"/>
              </w:rPr>
              <w:t>内容：结合教育实践，以小组为单位，讨论分析在小学教育教学实践中感到困惑的“现象”。选择一个合适的课题，进行教育行动研究方案设计。</w:t>
            </w:r>
          </w:p>
          <w:p w14:paraId="45F15504">
            <w:pPr>
              <w:jc w:val="left"/>
              <w:rPr>
                <w:rFonts w:ascii="Times New Roman" w:hAnsi="Times New Roman" w:eastAsia="宋体" w:cs="Times New Roman"/>
                <w:szCs w:val="21"/>
              </w:rPr>
            </w:pPr>
            <w:r>
              <w:rPr>
                <w:rFonts w:hint="eastAsia" w:ascii="Times New Roman" w:hAnsi="Times New Roman" w:eastAsia="宋体" w:cs="Times New Roman"/>
                <w:szCs w:val="21"/>
              </w:rPr>
              <w:t>要求：研究目的明确，问题界定清晰，研究计划详细具体，研究策略与方法科学合理。</w:t>
            </w:r>
          </w:p>
        </w:tc>
        <w:tc>
          <w:tcPr>
            <w:tcW w:w="1276" w:type="dxa"/>
            <w:vAlign w:val="center"/>
          </w:tcPr>
          <w:p w14:paraId="56574DFF">
            <w:pPr>
              <w:jc w:val="center"/>
              <w:rPr>
                <w:rFonts w:ascii="Times New Roman" w:hAnsi="Times New Roman" w:eastAsia="宋体" w:cs="Times New Roman"/>
                <w:szCs w:val="21"/>
              </w:rPr>
            </w:pPr>
            <w:r>
              <w:rPr>
                <w:rFonts w:hint="eastAsia" w:ascii="Times New Roman" w:hAnsi="Times New Roman" w:eastAsia="宋体" w:cs="Times New Roman"/>
                <w:szCs w:val="21"/>
              </w:rPr>
              <w:t>4-4，7-3，8-1</w:t>
            </w:r>
          </w:p>
        </w:tc>
        <w:tc>
          <w:tcPr>
            <w:tcW w:w="708" w:type="dxa"/>
            <w:vAlign w:val="center"/>
          </w:tcPr>
          <w:p w14:paraId="6E581DC7">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851" w:type="dxa"/>
            <w:vAlign w:val="center"/>
          </w:tcPr>
          <w:p w14:paraId="457B5BF2">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2883281C">
            <w:pPr>
              <w:jc w:val="center"/>
              <w:rPr>
                <w:rFonts w:ascii="Times New Roman" w:hAnsi="Times New Roman" w:eastAsia="宋体" w:cs="Times New Roman"/>
                <w:szCs w:val="21"/>
              </w:rPr>
            </w:pPr>
            <w:r>
              <w:rPr>
                <w:rFonts w:hint="eastAsia" w:ascii="Times New Roman" w:hAnsi="Times New Roman" w:eastAsia="宋体" w:cs="Times New Roman"/>
                <w:szCs w:val="21"/>
              </w:rPr>
              <w:t>四选二</w:t>
            </w:r>
          </w:p>
        </w:tc>
      </w:tr>
    </w:tbl>
    <w:p w14:paraId="70CE882F">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3E4B76CC">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（一）持续改进</w:t>
      </w:r>
    </w:p>
    <w:p w14:paraId="7019568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w:t>
      </w:r>
      <w:r>
        <w:rPr>
          <w:rFonts w:hint="eastAsia" w:ascii="Times New Roman" w:hAnsi="Times New Roman" w:eastAsia="宋体" w:cs="Times New Roman"/>
          <w:szCs w:val="21"/>
        </w:rPr>
        <w:t xml:space="preserve"> 主讲教师利用指导学生教育见习、实习的机会，认真听取优秀毕业生对本课程教学改革的建议；根据基础教育改革与研究的需要，及时优化、调整教学内容。</w:t>
      </w:r>
    </w:p>
    <w:p w14:paraId="1719AB3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hint="eastAsia" w:ascii="Times New Roman" w:hAnsi="Times New Roman" w:eastAsia="宋体" w:cs="Times New Roman"/>
          <w:szCs w:val="21"/>
        </w:rPr>
        <w:t xml:space="preserve"> 开课过程中，通过课程群随时了解学生的学习反馈；开课过程中以及课程结束后一周内分别召开一次学生座谈会；同时，依据每学期学生评教结果，及时了解教学中存在的问题，持续改进教学方式方法。</w:t>
      </w:r>
    </w:p>
    <w:p w14:paraId="4ECA817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 xml:space="preserve">. </w:t>
      </w:r>
      <w:r>
        <w:rPr>
          <w:rFonts w:hint="eastAsia" w:ascii="Times New Roman" w:hAnsi="Times New Roman" w:eastAsia="宋体" w:cs="Times New Roman"/>
          <w:szCs w:val="21"/>
        </w:rPr>
        <w:t>根据学生个人及小组合作项目作业完成情况，及时发现课程评价中存在的问题，不断优化课程评价方式。</w:t>
      </w:r>
    </w:p>
    <w:p w14:paraId="49D4E727">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 xml:space="preserve">4. </w:t>
      </w:r>
      <w:r>
        <w:rPr>
          <w:rFonts w:hint="eastAsia" w:ascii="Times New Roman" w:hAnsi="Times New Roman" w:eastAsia="宋体" w:cs="Times New Roman"/>
          <w:szCs w:val="21"/>
        </w:rPr>
        <w:t>虚心听取领导、督导、教师听课评价意见和建议，努力提高教学质量。</w:t>
      </w:r>
    </w:p>
    <w:p w14:paraId="07B49CDC">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 xml:space="preserve"> 每一轮开课结束后，课程组召开研讨会，探讨课程教学中的盲点、难点和痛点问题，找准课程改革的切入点和教学质量的增长点，确保课程目标对毕业要求形成有力支撑。</w:t>
      </w:r>
    </w:p>
    <w:p w14:paraId="36F267A8">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（二）建议教材</w:t>
      </w:r>
    </w:p>
    <w:p w14:paraId="0C7F79A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温忠麟主编《教育研究方法基础》，高等教育出版社，2</w:t>
      </w:r>
      <w:r>
        <w:rPr>
          <w:rFonts w:ascii="Times New Roman" w:hAnsi="Times New Roman" w:eastAsia="宋体" w:cs="Times New Roman"/>
          <w:szCs w:val="21"/>
        </w:rPr>
        <w:t>017</w:t>
      </w:r>
      <w:r>
        <w:rPr>
          <w:rFonts w:hint="eastAsia" w:ascii="Times New Roman" w:hAnsi="Times New Roman" w:eastAsia="宋体" w:cs="Times New Roman"/>
          <w:szCs w:val="21"/>
        </w:rPr>
        <w:t>年，第三版</w:t>
      </w:r>
    </w:p>
    <w:p w14:paraId="116B3C3D">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（三）参考书目</w:t>
      </w:r>
    </w:p>
    <w:p w14:paraId="59F29C97">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1．孙德芳等：小学教育科研方法，西南师范大学出版社，</w:t>
      </w:r>
      <w:r>
        <w:rPr>
          <w:rFonts w:hint="eastAsia" w:ascii="Times New Roman" w:hAnsi="Times New Roman" w:eastAsia="宋体" w:cs="Times New Roman"/>
          <w:szCs w:val="21"/>
        </w:rPr>
        <w:t>2</w:t>
      </w:r>
      <w:r>
        <w:rPr>
          <w:rFonts w:ascii="Times New Roman" w:hAnsi="Times New Roman" w:eastAsia="宋体" w:cs="Times New Roman"/>
          <w:szCs w:val="21"/>
        </w:rPr>
        <w:t>019</w:t>
      </w:r>
      <w:r>
        <w:rPr>
          <w:rFonts w:hint="eastAsia" w:ascii="Times New Roman" w:hAnsi="Times New Roman" w:eastAsia="宋体" w:cs="Times New Roman"/>
          <w:szCs w:val="21"/>
        </w:rPr>
        <w:t>年，第一版；</w:t>
      </w:r>
    </w:p>
    <w:p w14:paraId="4B6E420B">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2．张志杰等：教育科研方法，北京师范大学出版社，</w:t>
      </w:r>
      <w:r>
        <w:rPr>
          <w:rFonts w:hint="eastAsia" w:ascii="Times New Roman" w:hAnsi="Times New Roman" w:eastAsia="宋体" w:cs="Times New Roman"/>
          <w:szCs w:val="21"/>
        </w:rPr>
        <w:t>2</w:t>
      </w:r>
      <w:r>
        <w:rPr>
          <w:rFonts w:ascii="Times New Roman" w:hAnsi="Times New Roman" w:eastAsia="宋体" w:cs="Times New Roman"/>
          <w:szCs w:val="21"/>
        </w:rPr>
        <w:t>018</w:t>
      </w:r>
      <w:r>
        <w:rPr>
          <w:rFonts w:hint="eastAsia" w:ascii="Times New Roman" w:hAnsi="Times New Roman" w:eastAsia="宋体" w:cs="Times New Roman"/>
          <w:szCs w:val="21"/>
        </w:rPr>
        <w:t>年，第一版；</w:t>
      </w:r>
    </w:p>
    <w:p w14:paraId="5FE87D21">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3. 胡中锋：教育科学方法，中国人民大学出版社，</w:t>
      </w:r>
      <w:r>
        <w:rPr>
          <w:rFonts w:hint="eastAsia" w:ascii="Times New Roman" w:hAnsi="Times New Roman" w:eastAsia="宋体" w:cs="Times New Roman"/>
          <w:szCs w:val="21"/>
        </w:rPr>
        <w:t>2</w:t>
      </w:r>
      <w:r>
        <w:rPr>
          <w:rFonts w:ascii="Times New Roman" w:hAnsi="Times New Roman" w:eastAsia="宋体" w:cs="Times New Roman"/>
          <w:szCs w:val="21"/>
        </w:rPr>
        <w:t>018</w:t>
      </w:r>
      <w:r>
        <w:rPr>
          <w:rFonts w:hint="eastAsia" w:ascii="Times New Roman" w:hAnsi="Times New Roman" w:eastAsia="宋体" w:cs="Times New Roman"/>
          <w:szCs w:val="21"/>
        </w:rPr>
        <w:t>年，第一</w:t>
      </w:r>
      <w:r>
        <w:rPr>
          <w:rFonts w:ascii="Times New Roman" w:hAnsi="Times New Roman" w:eastAsia="宋体" w:cs="Times New Roman"/>
          <w:szCs w:val="21"/>
        </w:rPr>
        <w:t>版</w:t>
      </w:r>
      <w:r>
        <w:rPr>
          <w:rFonts w:hint="eastAsia" w:ascii="Times New Roman" w:hAnsi="Times New Roman" w:eastAsia="宋体" w:cs="Times New Roman"/>
          <w:szCs w:val="21"/>
        </w:rPr>
        <w:t>；</w:t>
      </w:r>
    </w:p>
    <w:p w14:paraId="751552B9">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4. 王红艳：小学教育研究方法，北京大学出版社，</w:t>
      </w:r>
      <w:r>
        <w:rPr>
          <w:rFonts w:hint="eastAsia" w:ascii="Times New Roman" w:hAnsi="Times New Roman" w:eastAsia="宋体" w:cs="Times New Roman"/>
          <w:szCs w:val="21"/>
        </w:rPr>
        <w:t>2</w:t>
      </w:r>
      <w:r>
        <w:rPr>
          <w:rFonts w:ascii="Times New Roman" w:hAnsi="Times New Roman" w:eastAsia="宋体" w:cs="Times New Roman"/>
          <w:szCs w:val="21"/>
        </w:rPr>
        <w:t>019</w:t>
      </w:r>
      <w:r>
        <w:rPr>
          <w:rFonts w:hint="eastAsia" w:ascii="Times New Roman" w:hAnsi="Times New Roman" w:eastAsia="宋体" w:cs="Times New Roman"/>
          <w:szCs w:val="21"/>
        </w:rPr>
        <w:t>年，第一版；</w:t>
      </w:r>
    </w:p>
    <w:p w14:paraId="4E136716">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 荷兰芝等：教育研究方法，同济大学出版社，</w:t>
      </w:r>
      <w:r>
        <w:rPr>
          <w:rFonts w:hint="eastAsia" w:ascii="Times New Roman" w:hAnsi="Times New Roman" w:eastAsia="宋体" w:cs="Times New Roman"/>
          <w:szCs w:val="21"/>
        </w:rPr>
        <w:t xml:space="preserve"> 2</w:t>
      </w:r>
      <w:r>
        <w:rPr>
          <w:rFonts w:ascii="Times New Roman" w:hAnsi="Times New Roman" w:eastAsia="宋体" w:cs="Times New Roman"/>
          <w:szCs w:val="21"/>
        </w:rPr>
        <w:t>020</w:t>
      </w:r>
      <w:r>
        <w:rPr>
          <w:rFonts w:hint="eastAsia" w:ascii="Times New Roman" w:hAnsi="Times New Roman" w:eastAsia="宋体" w:cs="Times New Roman"/>
          <w:szCs w:val="21"/>
        </w:rPr>
        <w:t>年，第一</w:t>
      </w:r>
      <w:r>
        <w:rPr>
          <w:rFonts w:ascii="Times New Roman" w:hAnsi="Times New Roman" w:eastAsia="宋体" w:cs="Times New Roman"/>
          <w:szCs w:val="21"/>
        </w:rPr>
        <w:t>版</w:t>
      </w:r>
      <w:r>
        <w:rPr>
          <w:rFonts w:hint="eastAsia" w:ascii="Times New Roman" w:hAnsi="Times New Roman" w:eastAsia="宋体" w:cs="Times New Roman"/>
          <w:szCs w:val="21"/>
        </w:rPr>
        <w:t>。</w:t>
      </w:r>
    </w:p>
    <w:p w14:paraId="596695C6"/>
    <w:p w14:paraId="4F8CC484"/>
    <w:p w14:paraId="665BD1E5">
      <w:pPr>
        <w:spacing w:line="360" w:lineRule="auto"/>
        <w:ind w:right="1200"/>
        <w:jc w:val="right"/>
        <w:rPr>
          <w:rFonts w:ascii="Times New Roman" w:hAnsi="Times New Roman" w:eastAsia="宋体" w:cs="Times New Roman"/>
          <w:szCs w:val="21"/>
        </w:rPr>
      </w:pPr>
      <w:r>
        <w:rPr>
          <w:rFonts w:hint="eastAsia" w:ascii="Times New Roman" w:hAnsi="Times New Roman" w:eastAsia="宋体" w:cs="Times New Roman"/>
          <w:szCs w:val="21"/>
        </w:rPr>
        <w:t>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潘金林</w:t>
      </w:r>
    </w:p>
    <w:p w14:paraId="6B902524">
      <w:pPr>
        <w:wordWrap w:val="0"/>
        <w:spacing w:line="360" w:lineRule="auto"/>
        <w:ind w:right="1200"/>
        <w:jc w:val="right"/>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王 </w:t>
      </w:r>
      <w:r>
        <w:rPr>
          <w:rFonts w:ascii="Times New Roman" w:hAnsi="Times New Roman" w:eastAsia="宋体" w:cs="Times New Roman"/>
          <w:szCs w:val="21"/>
        </w:rPr>
        <w:t xml:space="preserve"> </w:t>
      </w:r>
      <w:r>
        <w:rPr>
          <w:rFonts w:hint="eastAsia" w:ascii="Times New Roman" w:hAnsi="Times New Roman" w:eastAsia="宋体" w:cs="Times New Roman"/>
          <w:szCs w:val="21"/>
        </w:rPr>
        <w:t>健</w:t>
      </w:r>
    </w:p>
    <w:p w14:paraId="13EDC5F3">
      <w:pPr>
        <w:spacing w:line="360" w:lineRule="auto"/>
        <w:ind w:right="1200"/>
        <w:jc w:val="right"/>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23CFB619">
      <w:pPr>
        <w:spacing w:line="360" w:lineRule="auto"/>
        <w:jc w:val="center"/>
        <w:rPr>
          <w:rFonts w:ascii="Times New Roman" w:hAnsi="Times New Roman" w:eastAsia="宋体" w:cs="Times New Roman"/>
          <w:sz w:val="24"/>
        </w:rPr>
      </w:pPr>
      <w:r>
        <w:rPr>
          <w:rFonts w:hint="eastAsia" w:ascii="Times New Roman" w:hAnsi="Times New Roman" w:eastAsia="宋体" w:cs="Times New Roman"/>
          <w:szCs w:val="21"/>
        </w:rPr>
        <w:t xml:space="preserve">                                                批准时间：2025年7月1日</w:t>
      </w:r>
    </w:p>
    <w:p w14:paraId="7289A71C">
      <w:pPr>
        <w:jc w:val="right"/>
        <w:rPr>
          <w:rFonts w:hint="eastAsia" w:ascii="等线" w:hAnsi="等线" w:eastAsia="等线" w:cs="Times New Roman"/>
          <w:sz w:val="24"/>
          <w:szCs w:val="22"/>
        </w:rPr>
      </w:pPr>
      <w:r>
        <w:rPr>
          <w:rFonts w:hint="eastAsia" w:ascii="Times New Roman" w:hAnsi="Times New Roman" w:eastAsia="宋体" w:cs="Times New Roman"/>
          <w:b/>
          <w:sz w:val="44"/>
          <w:szCs w:val="44"/>
        </w:rPr>
        <w:br w:type="page"/>
      </w:r>
    </w:p>
    <w:p w14:paraId="25DCC8B2">
      <w:pPr>
        <w:spacing w:line="360" w:lineRule="auto"/>
        <w:jc w:val="center"/>
        <w:outlineLvl w:val="0"/>
      </w:pPr>
      <w:bookmarkStart w:id="674" w:name="_Toc18528"/>
      <w:bookmarkStart w:id="675" w:name="_Toc23047"/>
      <w:bookmarkStart w:id="676" w:name="_Toc25486"/>
      <w:bookmarkStart w:id="677" w:name="_Toc19684"/>
      <w:r>
        <w:rPr>
          <w:rFonts w:hint="eastAsia" w:ascii="Times New Roman" w:hAnsi="Times New Roman" w:eastAsia="宋体" w:cs="Times New Roman"/>
          <w:b/>
          <w:sz w:val="44"/>
          <w:szCs w:val="44"/>
        </w:rPr>
        <w:t>《小学班队管理》课程教学大纲</w:t>
      </w:r>
      <w:bookmarkEnd w:id="674"/>
      <w:bookmarkEnd w:id="675"/>
      <w:bookmarkEnd w:id="676"/>
      <w:bookmarkEnd w:id="677"/>
    </w:p>
    <w:p w14:paraId="220C2151">
      <w:pPr>
        <w:spacing w:line="360" w:lineRule="auto"/>
        <w:jc w:val="center"/>
        <w:rPr>
          <w:rFonts w:ascii="Times New Roman" w:hAnsi="Times New Roman" w:eastAsia="宋体" w:cs="Times New Roman"/>
          <w:b/>
          <w:bCs/>
          <w:sz w:val="28"/>
          <w:szCs w:val="28"/>
        </w:rPr>
      </w:pPr>
      <w:bookmarkStart w:id="678" w:name="_Toc23245"/>
      <w:bookmarkStart w:id="679" w:name="_Toc12597"/>
      <w:bookmarkStart w:id="680" w:name="_Toc19799"/>
      <w:bookmarkStart w:id="681" w:name="_Toc2598"/>
      <w:bookmarkStart w:id="682" w:name="_Toc29188"/>
      <w:bookmarkStart w:id="683" w:name="_Toc4376"/>
      <w:bookmarkStart w:id="684" w:name="_Toc14689"/>
      <w:r>
        <w:rPr>
          <w:rFonts w:ascii="Times New Roman" w:hAnsi="Times New Roman" w:eastAsia="宋体" w:cs="Times New Roman"/>
          <w:b/>
          <w:bCs/>
          <w:sz w:val="28"/>
          <w:szCs w:val="28"/>
        </w:rPr>
        <w:t>（Class  Management）</w:t>
      </w:r>
      <w:bookmarkEnd w:id="678"/>
      <w:bookmarkEnd w:id="679"/>
      <w:bookmarkEnd w:id="680"/>
      <w:bookmarkEnd w:id="681"/>
      <w:bookmarkEnd w:id="682"/>
      <w:bookmarkEnd w:id="683"/>
      <w:bookmarkEnd w:id="684"/>
    </w:p>
    <w:p w14:paraId="4666F34C">
      <w:pPr>
        <w:spacing w:line="360" w:lineRule="auto"/>
        <w:ind w:firstLine="422" w:firstLineChars="200"/>
        <w:jc w:val="left"/>
        <w:rPr>
          <w:rFonts w:ascii="Times New Roman" w:hAnsi="Times New Roman" w:eastAsia="宋体" w:cs="Times New Roman"/>
          <w:b/>
          <w:szCs w:val="21"/>
        </w:rPr>
      </w:pPr>
    </w:p>
    <w:p w14:paraId="7690806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课程名称：小学班队管理</w:t>
      </w:r>
    </w:p>
    <w:p w14:paraId="209AC86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课程代码：2401013</w:t>
      </w:r>
    </w:p>
    <w:p w14:paraId="6D081C1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6B29BEE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时：32（其中，讲授学时24，实践学时8）</w:t>
      </w:r>
    </w:p>
    <w:p w14:paraId="3B8D47C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先修课程：小学心理学、教育原理、教育心理学、小学教育政策与法规</w:t>
      </w:r>
    </w:p>
    <w:p w14:paraId="3608AA5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057B92C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70BB184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程，对于学生形成班队组织与管理能力，落实立德树人根本任务具有重要作用。通过本课程的学习，学生进一步理解小学班队管理的目的和意义，掌握小学班队管理的系统理论和基本方法，形成新型的班队管理理念，具备制定班队管理计划、开展班队管理工作的能力，为其今后从事班主任工作和少先队工作奠定基础。</w:t>
      </w:r>
    </w:p>
    <w:p w14:paraId="549F9E9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0A948457">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7EA5C3E2">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目标1：</w:t>
      </w:r>
      <w:r>
        <w:rPr>
          <w:rFonts w:hint="eastAsia" w:ascii="Times New Roman" w:hAnsi="Times New Roman" w:eastAsia="宋体" w:cs="Times New Roman"/>
          <w:bCs/>
          <w:szCs w:val="21"/>
        </w:rPr>
        <w:t>理解小学班级和小学班队管理的特性，领会班队管理对学生发展的重要作用；熟悉班主任的职责和应具备的基本素养，明晰班主任的专业发展路径与方法，确立成长为优秀班主任的基本愿景。</w:t>
      </w:r>
    </w:p>
    <w:p w14:paraId="3858C3D7">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Cs/>
          <w:szCs w:val="21"/>
        </w:rPr>
        <w:t>了解小学班队管理的主要内容，系统掌握班队常规、班队组织、班队活动、班队环境、学生问题行为、家校合作等方面管理的基本理论与方法，能够在工作实践中，科学制定班级工作计划和班队常规，具有合理组织和开展班队活动、创建班队文化的能力。</w:t>
      </w:r>
    </w:p>
    <w:p w14:paraId="405DE9FE">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Cs/>
          <w:szCs w:val="21"/>
        </w:rPr>
        <w:t>能够运用班队管理的理论与方法，分析班主任与不同类型学生的关系处理，及时觉察学生问题行并进行有效干预；能够与任课教师、学生、家长进行良好的沟通与合作。</w:t>
      </w:r>
    </w:p>
    <w:p w14:paraId="6DE69BC6">
      <w:pPr>
        <w:numPr>
          <w:ilvl w:val="0"/>
          <w:numId w:val="16"/>
        </w:num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课程目标及其对毕业要求指标点的支撑</w:t>
      </w:r>
    </w:p>
    <w:p w14:paraId="42F2E75A">
      <w:pPr>
        <w:spacing w:before="156" w:beforeLines="50" w:after="156" w:afterLines="50" w:line="360" w:lineRule="auto"/>
        <w:jc w:val="left"/>
        <w:rPr>
          <w:rFonts w:ascii="Times New Roman" w:hAnsi="Times New Roman" w:eastAsia="宋体" w:cs="Times New Roman"/>
          <w:b/>
          <w:bCs/>
          <w:szCs w:val="21"/>
        </w:rPr>
      </w:pPr>
    </w:p>
    <w:p w14:paraId="7BA23B3D">
      <w:pPr>
        <w:spacing w:before="156" w:beforeLines="50" w:after="156" w:afterLines="50" w:line="360" w:lineRule="auto"/>
        <w:jc w:val="left"/>
        <w:rPr>
          <w:rFonts w:ascii="Times New Roman" w:hAnsi="Times New Roman" w:eastAsia="宋体" w:cs="Times New Roman"/>
          <w:b/>
          <w:bCs/>
          <w:szCs w:val="21"/>
        </w:rPr>
      </w:pP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6501"/>
        <w:gridCol w:w="1191"/>
      </w:tblGrid>
      <w:tr w14:paraId="5590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85" w:type="dxa"/>
            <w:vAlign w:val="center"/>
          </w:tcPr>
          <w:p w14:paraId="19C7814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501" w:type="dxa"/>
            <w:vAlign w:val="center"/>
          </w:tcPr>
          <w:p w14:paraId="15B867C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E71F9F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DEA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Align w:val="center"/>
          </w:tcPr>
          <w:p w14:paraId="13DBE91B">
            <w:pPr>
              <w:jc w:val="center"/>
              <w:rPr>
                <w:rFonts w:ascii="Times New Roman" w:hAnsi="Times New Roman" w:eastAsia="宋体" w:cs="Times New Roman"/>
                <w:szCs w:val="21"/>
              </w:rPr>
            </w:pPr>
            <w:r>
              <w:rPr>
                <w:rFonts w:hint="eastAsia" w:ascii="Times New Roman" w:hAnsi="Times New Roman" w:eastAsia="宋体" w:cs="Times New Roman"/>
                <w:szCs w:val="21"/>
              </w:rPr>
              <w:t>毕业要求2</w:t>
            </w:r>
          </w:p>
          <w:p w14:paraId="768A6063">
            <w:pPr>
              <w:jc w:val="center"/>
              <w:rPr>
                <w:rFonts w:ascii="Times New Roman" w:hAnsi="Times New Roman" w:eastAsia="宋体" w:cs="Times New Roman"/>
                <w:szCs w:val="21"/>
              </w:rPr>
            </w:pPr>
            <w:r>
              <w:rPr>
                <w:rFonts w:hint="eastAsia" w:ascii="Times New Roman" w:hAnsi="Times New Roman" w:eastAsia="宋体" w:cs="Times New Roman"/>
                <w:szCs w:val="21"/>
              </w:rPr>
              <w:t>教育情怀</w:t>
            </w:r>
          </w:p>
        </w:tc>
        <w:tc>
          <w:tcPr>
            <w:tcW w:w="6501" w:type="dxa"/>
            <w:vAlign w:val="center"/>
          </w:tcPr>
          <w:p w14:paraId="35A09CEB">
            <w:pPr>
              <w:jc w:val="left"/>
              <w:rPr>
                <w:rFonts w:ascii="Times New Roman" w:hAnsi="Times New Roman" w:eastAsia="宋体" w:cs="Times New Roman"/>
                <w:szCs w:val="21"/>
              </w:rPr>
            </w:pPr>
            <w:r>
              <w:rPr>
                <w:rFonts w:hint="eastAsia" w:ascii="宋体" w:hAnsi="宋体" w:eastAsia="宋体" w:cs="Times New Roman"/>
                <w:b/>
                <w:spacing w:val="2"/>
                <w:kern w:val="0"/>
                <w:szCs w:val="21"/>
              </w:rPr>
              <w:t>指标点2-2</w:t>
            </w:r>
            <w:r>
              <w:rPr>
                <w:rFonts w:ascii="宋体" w:hAnsi="宋体" w:eastAsia="宋体" w:cs="Times New Roman"/>
                <w:spacing w:val="2"/>
                <w:kern w:val="0"/>
                <w:szCs w:val="21"/>
              </w:rPr>
              <w:t>：【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6DB0AD06">
            <w:pPr>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049E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Align w:val="center"/>
          </w:tcPr>
          <w:p w14:paraId="1F2AA20B">
            <w:pPr>
              <w:jc w:val="center"/>
              <w:rPr>
                <w:rFonts w:ascii="Times New Roman" w:hAnsi="Times New Roman" w:eastAsia="宋体" w:cs="Times New Roman"/>
                <w:szCs w:val="21"/>
              </w:rPr>
            </w:pPr>
            <w:r>
              <w:rPr>
                <w:rFonts w:hint="eastAsia" w:ascii="Times New Roman" w:hAnsi="Times New Roman" w:eastAsia="宋体" w:cs="Times New Roman"/>
                <w:szCs w:val="21"/>
              </w:rPr>
              <w:t>毕业要求5</w:t>
            </w:r>
          </w:p>
          <w:p w14:paraId="41973199">
            <w:pPr>
              <w:jc w:val="center"/>
              <w:rPr>
                <w:rFonts w:ascii="Times New Roman" w:hAnsi="Times New Roman" w:eastAsia="宋体" w:cs="Times New Roman"/>
                <w:szCs w:val="21"/>
              </w:rPr>
            </w:pPr>
            <w:r>
              <w:rPr>
                <w:rFonts w:hint="eastAsia" w:ascii="Times New Roman" w:hAnsi="Times New Roman" w:eastAsia="宋体" w:cs="Times New Roman"/>
                <w:szCs w:val="21"/>
              </w:rPr>
              <w:t>班级管理</w:t>
            </w:r>
          </w:p>
        </w:tc>
        <w:tc>
          <w:tcPr>
            <w:tcW w:w="6501" w:type="dxa"/>
            <w:vAlign w:val="center"/>
          </w:tcPr>
          <w:p w14:paraId="60569DDC">
            <w:pPr>
              <w:jc w:val="left"/>
              <w:rPr>
                <w:rFonts w:hint="eastAsia" w:ascii="宋体" w:hAnsi="宋体" w:eastAsia="宋体" w:cs="Times New Roman"/>
                <w:spacing w:val="2"/>
                <w:kern w:val="0"/>
                <w:szCs w:val="21"/>
              </w:rPr>
            </w:pPr>
            <w:r>
              <w:rPr>
                <w:rFonts w:hint="eastAsia" w:ascii="宋体" w:hAnsi="宋体" w:cs="宋体"/>
                <w:b/>
                <w:kern w:val="0"/>
                <w:szCs w:val="21"/>
              </w:rPr>
              <w:t>指标点5-1</w:t>
            </w:r>
            <w:r>
              <w:rPr>
                <w:rFonts w:hint="eastAsia" w:ascii="宋体" w:hAnsi="宋体" w:cs="宋体"/>
                <w:szCs w:val="21"/>
              </w:rPr>
              <w:t>：【擅长班队管理】具有小学德育工作体验，树立育人为本、德育为先的理念，熟悉小学德育的基本原理与方法。获得小学班队组织与建设的体验。掌握小学班队组织与建设的工作规律和基本方法，具有班队建设和管理的基本能力。</w:t>
            </w:r>
            <w:r>
              <w:rPr>
                <w:rFonts w:hint="eastAsia" w:ascii="宋体" w:hAnsi="宋体" w:cs="宋体"/>
                <w:bCs/>
                <w:kern w:val="0"/>
                <w:szCs w:val="21"/>
              </w:rPr>
              <w:t>能够在工作实践中，利用技术手段收集学生成长过程的关键信息，建立学生成长电子档案，对学生进行综合素质评价，指导学生成长，关注学生生活，运用德育的理论和方法组织与指导班队活动。</w:t>
            </w:r>
          </w:p>
        </w:tc>
        <w:tc>
          <w:tcPr>
            <w:tcW w:w="1191" w:type="dxa"/>
            <w:vAlign w:val="center"/>
          </w:tcPr>
          <w:p w14:paraId="75F2F49C">
            <w:pPr>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732F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Align w:val="center"/>
          </w:tcPr>
          <w:p w14:paraId="6065FB55">
            <w:pPr>
              <w:jc w:val="center"/>
              <w:rPr>
                <w:rFonts w:ascii="Times New Roman" w:hAnsi="Times New Roman" w:eastAsia="宋体" w:cs="Times New Roman"/>
                <w:szCs w:val="21"/>
              </w:rPr>
            </w:pPr>
            <w:r>
              <w:rPr>
                <w:rFonts w:hint="eastAsia" w:ascii="Times New Roman" w:hAnsi="Times New Roman" w:eastAsia="宋体" w:cs="Times New Roman"/>
                <w:szCs w:val="21"/>
              </w:rPr>
              <w:t>毕业要求6</w:t>
            </w:r>
          </w:p>
          <w:p w14:paraId="4367CF3C">
            <w:pPr>
              <w:jc w:val="center"/>
              <w:rPr>
                <w:rFonts w:ascii="Times New Roman" w:hAnsi="Times New Roman" w:eastAsia="宋体" w:cs="Times New Roman"/>
                <w:szCs w:val="21"/>
              </w:rPr>
            </w:pPr>
            <w:r>
              <w:rPr>
                <w:rFonts w:hint="eastAsia" w:ascii="Times New Roman" w:hAnsi="Times New Roman" w:eastAsia="宋体" w:cs="Times New Roman"/>
                <w:szCs w:val="21"/>
              </w:rPr>
              <w:t>综合育人</w:t>
            </w:r>
          </w:p>
        </w:tc>
        <w:tc>
          <w:tcPr>
            <w:tcW w:w="6501" w:type="dxa"/>
            <w:vAlign w:val="center"/>
          </w:tcPr>
          <w:p w14:paraId="00860518">
            <w:pPr>
              <w:jc w:val="left"/>
              <w:rPr>
                <w:rFonts w:hint="eastAsia" w:ascii="宋体" w:hAnsi="宋体" w:eastAsia="宋体" w:cs="Times New Roman"/>
                <w:spacing w:val="2"/>
                <w:kern w:val="0"/>
                <w:szCs w:val="21"/>
              </w:rPr>
            </w:pPr>
            <w:r>
              <w:rPr>
                <w:rFonts w:hint="eastAsia" w:ascii="宋体" w:hAnsi="宋体" w:eastAsia="宋体" w:cs="Times New Roman"/>
                <w:b/>
                <w:spacing w:val="2"/>
                <w:kern w:val="0"/>
                <w:szCs w:val="21"/>
              </w:rPr>
              <w:t>指标点6-3</w:t>
            </w:r>
            <w:r>
              <w:rPr>
                <w:rFonts w:hint="eastAsia" w:ascii="宋体" w:hAnsi="宋体" w:eastAsia="宋体" w:cs="Times New Roman"/>
                <w:spacing w:val="2"/>
                <w:kern w:val="0"/>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307E2A75">
            <w:pPr>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3746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Align w:val="center"/>
          </w:tcPr>
          <w:p w14:paraId="0564A549">
            <w:pPr>
              <w:jc w:val="center"/>
              <w:rPr>
                <w:rFonts w:ascii="Times New Roman" w:hAnsi="Times New Roman" w:eastAsia="宋体" w:cs="Times New Roman"/>
                <w:szCs w:val="21"/>
              </w:rPr>
            </w:pPr>
            <w:r>
              <w:rPr>
                <w:rFonts w:hint="eastAsia" w:ascii="Times New Roman" w:hAnsi="Times New Roman" w:eastAsia="宋体" w:cs="Times New Roman"/>
                <w:szCs w:val="21"/>
              </w:rPr>
              <w:t>毕业要求8</w:t>
            </w:r>
          </w:p>
          <w:p w14:paraId="01258DA8">
            <w:pPr>
              <w:jc w:val="center"/>
              <w:rPr>
                <w:rFonts w:ascii="Times New Roman" w:hAnsi="Times New Roman" w:eastAsia="宋体" w:cs="Times New Roman"/>
                <w:szCs w:val="21"/>
              </w:rPr>
            </w:pPr>
            <w:r>
              <w:rPr>
                <w:rFonts w:hint="eastAsia" w:ascii="Times New Roman" w:hAnsi="Times New Roman" w:eastAsia="宋体" w:cs="Times New Roman"/>
                <w:szCs w:val="21"/>
              </w:rPr>
              <w:t>沟通合作</w:t>
            </w:r>
          </w:p>
        </w:tc>
        <w:tc>
          <w:tcPr>
            <w:tcW w:w="6501" w:type="dxa"/>
            <w:vAlign w:val="center"/>
          </w:tcPr>
          <w:p w14:paraId="18B818FC">
            <w:pPr>
              <w:jc w:val="left"/>
              <w:rPr>
                <w:rFonts w:ascii="Times New Roman" w:hAnsi="Times New Roman" w:eastAsia="宋体" w:cs="Times New Roman"/>
                <w:szCs w:val="21"/>
              </w:rPr>
            </w:pPr>
            <w:r>
              <w:rPr>
                <w:rFonts w:hint="eastAsia" w:ascii="宋体" w:hAnsi="宋体" w:eastAsia="宋体" w:cs="Times New Roman"/>
                <w:b/>
                <w:kern w:val="0"/>
                <w:szCs w:val="21"/>
              </w:rPr>
              <w:t>指标点8-2</w:t>
            </w:r>
            <w:r>
              <w:rPr>
                <w:rFonts w:hint="eastAsia" w:ascii="宋体" w:hAnsi="宋体" w:eastAsia="宋体" w:cs="Times New Roman"/>
                <w:kern w:val="0"/>
                <w:szCs w:val="21"/>
              </w:rPr>
              <w:t>：【学会沟通交流】掌握人际沟通合作技能与方法，在教育教学实践中，能与学生和家长以及同行、同事、专家进行有效沟通与合作，实现共同发展。</w:t>
            </w:r>
          </w:p>
        </w:tc>
        <w:tc>
          <w:tcPr>
            <w:tcW w:w="1191" w:type="dxa"/>
            <w:vAlign w:val="center"/>
          </w:tcPr>
          <w:p w14:paraId="69A342CD">
            <w:pPr>
              <w:jc w:val="left"/>
              <w:rPr>
                <w:rFonts w:ascii="Times New Roman" w:hAnsi="Times New Roman" w:eastAsia="宋体" w:cs="Times New Roman"/>
                <w:szCs w:val="21"/>
              </w:rPr>
            </w:pPr>
            <w:r>
              <w:rPr>
                <w:rFonts w:hint="eastAsia" w:ascii="Times New Roman" w:hAnsi="Times New Roman" w:eastAsia="宋体" w:cs="Times New Roman"/>
                <w:szCs w:val="21"/>
              </w:rPr>
              <w:t>课程目标2课程目标3</w:t>
            </w:r>
          </w:p>
        </w:tc>
      </w:tr>
    </w:tbl>
    <w:p w14:paraId="2E7C55D5">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72F59A87">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理解小学班级、少先队以及小学班队管理的特性，领会班队管理对学生发展的重要作用，自觉落实立德树人根本任务，促进学生健康成长；熟悉班主任的职责和应具备的基本素养，明晰班主任的专业发展路径与方法，确立成长为优秀班主任的基本愿景，做学生成长的“四个引路人”。</w:t>
      </w:r>
    </w:p>
    <w:p w14:paraId="5336183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616"/>
        <w:gridCol w:w="1175"/>
        <w:gridCol w:w="3692"/>
        <w:gridCol w:w="1573"/>
        <w:gridCol w:w="438"/>
      </w:tblGrid>
      <w:tr w14:paraId="36DE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Align w:val="center"/>
          </w:tcPr>
          <w:p w14:paraId="5D4AE00C">
            <w:pPr>
              <w:jc w:val="center"/>
              <w:rPr>
                <w:rFonts w:hint="eastAsia" w:ascii="宋体" w:hAnsi="宋体" w:eastAsia="宋体" w:cs="Times New Roman"/>
                <w:b/>
                <w:szCs w:val="21"/>
              </w:rPr>
            </w:pPr>
            <w:r>
              <w:rPr>
                <w:rFonts w:hint="eastAsia" w:ascii="宋体" w:hAnsi="宋体" w:eastAsia="宋体" w:cs="Times New Roman"/>
                <w:b/>
                <w:szCs w:val="21"/>
              </w:rPr>
              <w:t>知识</w:t>
            </w:r>
          </w:p>
          <w:p w14:paraId="1C821ACE">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616" w:type="dxa"/>
            <w:vAlign w:val="center"/>
          </w:tcPr>
          <w:p w14:paraId="464B20A2">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75" w:type="dxa"/>
            <w:vAlign w:val="center"/>
          </w:tcPr>
          <w:p w14:paraId="4B2FD1D9">
            <w:pPr>
              <w:jc w:val="center"/>
              <w:rPr>
                <w:rFonts w:hint="eastAsia" w:ascii="宋体" w:hAnsi="宋体" w:eastAsia="宋体" w:cs="Times New Roman"/>
                <w:b/>
                <w:szCs w:val="21"/>
              </w:rPr>
            </w:pPr>
            <w:r>
              <w:rPr>
                <w:rFonts w:hint="eastAsia" w:ascii="宋体" w:hAnsi="宋体" w:eastAsia="宋体" w:cs="Times New Roman"/>
                <w:b/>
                <w:szCs w:val="21"/>
              </w:rPr>
              <w:t>对应</w:t>
            </w:r>
          </w:p>
          <w:p w14:paraId="04925A5C">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692" w:type="dxa"/>
            <w:vAlign w:val="center"/>
          </w:tcPr>
          <w:p w14:paraId="7DA13DCE">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73" w:type="dxa"/>
            <w:vAlign w:val="center"/>
          </w:tcPr>
          <w:p w14:paraId="2DCD057E">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2D587DC7">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50D3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7FD7F6CA">
            <w:pPr>
              <w:jc w:val="center"/>
              <w:rPr>
                <w:rFonts w:hint="eastAsia" w:ascii="宋体" w:hAnsi="宋体" w:eastAsia="宋体" w:cs="Times New Roman"/>
                <w:szCs w:val="21"/>
              </w:rPr>
            </w:pPr>
            <w:r>
              <w:rPr>
                <w:rFonts w:hint="eastAsia" w:ascii="宋体" w:hAnsi="宋体" w:eastAsia="宋体" w:cs="Times New Roman"/>
                <w:szCs w:val="21"/>
              </w:rPr>
              <w:t>1.小学班队与班队管理</w:t>
            </w:r>
          </w:p>
        </w:tc>
        <w:tc>
          <w:tcPr>
            <w:tcW w:w="1616" w:type="dxa"/>
            <w:vAlign w:val="center"/>
          </w:tcPr>
          <w:p w14:paraId="1B239A85">
            <w:pPr>
              <w:jc w:val="left"/>
              <w:rPr>
                <w:rFonts w:hint="eastAsia" w:ascii="宋体" w:hAnsi="宋体" w:eastAsia="宋体" w:cs="Times New Roman"/>
                <w:szCs w:val="21"/>
              </w:rPr>
            </w:pPr>
            <w:r>
              <w:rPr>
                <w:rFonts w:hint="eastAsia" w:ascii="宋体" w:hAnsi="宋体" w:eastAsia="宋体" w:cs="Times New Roman"/>
                <w:szCs w:val="21"/>
              </w:rPr>
              <w:t>（1）小学班队概述</w:t>
            </w:r>
          </w:p>
          <w:p w14:paraId="3FEBB2F6">
            <w:pPr>
              <w:jc w:val="left"/>
              <w:rPr>
                <w:rFonts w:hint="eastAsia" w:ascii="宋体" w:hAnsi="宋体" w:eastAsia="宋体" w:cs="Times New Roman"/>
                <w:szCs w:val="21"/>
              </w:rPr>
            </w:pPr>
            <w:r>
              <w:rPr>
                <w:rFonts w:hint="eastAsia" w:ascii="宋体" w:hAnsi="宋体" w:eastAsia="宋体" w:cs="Times New Roman"/>
                <w:szCs w:val="21"/>
              </w:rPr>
              <w:t>（2）小学班队管理</w:t>
            </w:r>
          </w:p>
          <w:p w14:paraId="503D6E9E">
            <w:pPr>
              <w:jc w:val="left"/>
              <w:rPr>
                <w:rFonts w:hint="eastAsia" w:ascii="宋体" w:hAnsi="宋体" w:eastAsia="宋体" w:cs="Times New Roman"/>
                <w:szCs w:val="21"/>
              </w:rPr>
            </w:pPr>
            <w:r>
              <w:rPr>
                <w:rFonts w:hint="eastAsia" w:ascii="宋体" w:hAnsi="宋体" w:eastAsia="宋体" w:cs="Times New Roman"/>
                <w:szCs w:val="21"/>
              </w:rPr>
              <w:t>（3）小学班队管理目标与计划</w:t>
            </w:r>
          </w:p>
        </w:tc>
        <w:tc>
          <w:tcPr>
            <w:tcW w:w="1175" w:type="dxa"/>
            <w:vAlign w:val="center"/>
          </w:tcPr>
          <w:p w14:paraId="5FC988C6">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692" w:type="dxa"/>
            <w:vAlign w:val="center"/>
          </w:tcPr>
          <w:p w14:paraId="51910AEA">
            <w:pPr>
              <w:jc w:val="left"/>
              <w:rPr>
                <w:rFonts w:hint="eastAsia" w:ascii="宋体" w:hAnsi="宋体" w:eastAsia="宋体" w:cs="Times New Roman"/>
                <w:szCs w:val="21"/>
              </w:rPr>
            </w:pPr>
            <w:r>
              <w:rPr>
                <w:rFonts w:hint="eastAsia" w:ascii="宋体" w:hAnsi="宋体" w:eastAsia="宋体" w:cs="Times New Roman"/>
                <w:szCs w:val="21"/>
              </w:rPr>
              <w:t>1.明确班级、班级管理的概念，树立班队管理主体多元化的意识；</w:t>
            </w:r>
          </w:p>
          <w:p w14:paraId="445C9DEE">
            <w:pPr>
              <w:jc w:val="left"/>
              <w:rPr>
                <w:rFonts w:hint="eastAsia" w:ascii="宋体" w:hAnsi="宋体" w:eastAsia="宋体" w:cs="Times New Roman"/>
                <w:szCs w:val="21"/>
              </w:rPr>
            </w:pPr>
            <w:r>
              <w:rPr>
                <w:rFonts w:hint="eastAsia" w:ascii="宋体" w:hAnsi="宋体" w:eastAsia="宋体" w:cs="Times New Roman"/>
                <w:szCs w:val="21"/>
              </w:rPr>
              <w:t>2.理解小学班级和小学班队管理的特征；</w:t>
            </w:r>
          </w:p>
          <w:p w14:paraId="30239505">
            <w:pPr>
              <w:jc w:val="left"/>
              <w:rPr>
                <w:rFonts w:hint="eastAsia" w:ascii="宋体" w:hAnsi="宋体" w:eastAsia="宋体" w:cs="Times New Roman"/>
                <w:szCs w:val="21"/>
              </w:rPr>
            </w:pPr>
            <w:r>
              <w:rPr>
                <w:rFonts w:hint="eastAsia" w:ascii="宋体" w:hAnsi="宋体" w:eastAsia="宋体" w:cs="Times New Roman"/>
                <w:szCs w:val="21"/>
              </w:rPr>
              <w:t>3.知道班级组织的发展现状与趋势；</w:t>
            </w:r>
          </w:p>
          <w:p w14:paraId="6018A753">
            <w:pPr>
              <w:jc w:val="left"/>
              <w:rPr>
                <w:rFonts w:hint="eastAsia" w:ascii="宋体" w:hAnsi="宋体" w:eastAsia="宋体" w:cs="Times New Roman"/>
                <w:szCs w:val="21"/>
              </w:rPr>
            </w:pPr>
            <w:r>
              <w:rPr>
                <w:rFonts w:hint="eastAsia" w:ascii="宋体" w:hAnsi="宋体" w:eastAsia="宋体" w:cs="Times New Roman"/>
                <w:szCs w:val="21"/>
              </w:rPr>
              <w:t>4.理解与班级管理相关的理论，树立以理论指导班级管理实践的意识。</w:t>
            </w:r>
          </w:p>
        </w:tc>
        <w:tc>
          <w:tcPr>
            <w:tcW w:w="1573" w:type="dxa"/>
            <w:vAlign w:val="center"/>
          </w:tcPr>
          <w:p w14:paraId="2CD7F212">
            <w:pPr>
              <w:jc w:val="left"/>
              <w:rPr>
                <w:rFonts w:hint="eastAsia" w:ascii="宋体" w:hAnsi="宋体" w:eastAsia="宋体" w:cs="Times New Roman"/>
                <w:szCs w:val="21"/>
              </w:rPr>
            </w:pPr>
            <w:r>
              <w:rPr>
                <w:rFonts w:hint="eastAsia" w:ascii="宋体" w:hAnsi="宋体" w:eastAsia="宋体" w:cs="Times New Roman"/>
                <w:szCs w:val="21"/>
              </w:rPr>
              <w:t>1.多媒体教学</w:t>
            </w:r>
          </w:p>
          <w:p w14:paraId="736E6AFC">
            <w:pPr>
              <w:jc w:val="left"/>
              <w:rPr>
                <w:rFonts w:hint="eastAsia" w:ascii="宋体" w:hAnsi="宋体" w:eastAsia="宋体" w:cs="Times New Roman"/>
                <w:szCs w:val="21"/>
              </w:rPr>
            </w:pPr>
            <w:r>
              <w:rPr>
                <w:rFonts w:hint="eastAsia" w:ascii="宋体" w:hAnsi="宋体" w:eastAsia="宋体" w:cs="Times New Roman"/>
                <w:szCs w:val="21"/>
              </w:rPr>
              <w:t>2.课内实践</w:t>
            </w:r>
          </w:p>
          <w:p w14:paraId="6E0B4C91">
            <w:pPr>
              <w:jc w:val="left"/>
              <w:rPr>
                <w:rFonts w:hint="eastAsia" w:ascii="宋体" w:hAnsi="宋体" w:eastAsia="宋体" w:cs="Times New Roman"/>
                <w:szCs w:val="21"/>
              </w:rPr>
            </w:pPr>
            <w:r>
              <w:rPr>
                <w:rFonts w:hint="eastAsia" w:ascii="宋体" w:hAnsi="宋体" w:eastAsia="宋体" w:cs="Times New Roman"/>
                <w:szCs w:val="21"/>
              </w:rPr>
              <w:t>3.单元测验</w:t>
            </w:r>
          </w:p>
          <w:p w14:paraId="42853CCE">
            <w:pPr>
              <w:jc w:val="left"/>
              <w:rPr>
                <w:rFonts w:hint="eastAsia" w:ascii="宋体" w:hAnsi="宋体" w:eastAsia="宋体" w:cs="Times New Roman"/>
                <w:szCs w:val="21"/>
              </w:rPr>
            </w:pPr>
          </w:p>
        </w:tc>
        <w:tc>
          <w:tcPr>
            <w:tcW w:w="438" w:type="dxa"/>
            <w:vAlign w:val="center"/>
          </w:tcPr>
          <w:p w14:paraId="0C7A747E">
            <w:pPr>
              <w:jc w:val="center"/>
              <w:rPr>
                <w:rFonts w:hint="eastAsia" w:ascii="宋体" w:hAnsi="宋体" w:eastAsia="宋体" w:cs="Times New Roman"/>
                <w:szCs w:val="21"/>
              </w:rPr>
            </w:pPr>
            <w:r>
              <w:rPr>
                <w:rFonts w:hint="eastAsia" w:ascii="宋体" w:hAnsi="宋体" w:eastAsia="宋体" w:cs="Times New Roman"/>
                <w:szCs w:val="21"/>
              </w:rPr>
              <w:t>3</w:t>
            </w:r>
          </w:p>
        </w:tc>
      </w:tr>
      <w:tr w14:paraId="2826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68A41952">
            <w:pPr>
              <w:jc w:val="center"/>
              <w:rPr>
                <w:rFonts w:hint="eastAsia" w:ascii="宋体" w:hAnsi="宋体" w:eastAsia="宋体" w:cs="Times New Roman"/>
                <w:szCs w:val="21"/>
              </w:rPr>
            </w:pPr>
          </w:p>
        </w:tc>
        <w:tc>
          <w:tcPr>
            <w:tcW w:w="8494" w:type="dxa"/>
            <w:gridSpan w:val="5"/>
            <w:vAlign w:val="center"/>
          </w:tcPr>
          <w:p w14:paraId="7A6C4F2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理解“立德树人”的重要价值和意义，树立德育为先的理念；准确把握教育发展规律和学生身心发展规律。</w:t>
            </w:r>
          </w:p>
        </w:tc>
      </w:tr>
      <w:tr w14:paraId="769E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68856172">
            <w:pPr>
              <w:jc w:val="center"/>
              <w:rPr>
                <w:rFonts w:hint="eastAsia" w:ascii="宋体" w:hAnsi="宋体" w:eastAsia="宋体" w:cs="Times New Roman"/>
                <w:szCs w:val="21"/>
              </w:rPr>
            </w:pPr>
            <w:r>
              <w:rPr>
                <w:rFonts w:hint="eastAsia" w:ascii="宋体" w:hAnsi="宋体" w:eastAsia="宋体" w:cs="Times New Roman"/>
                <w:szCs w:val="21"/>
              </w:rPr>
              <w:t>2.小学班队管理者</w:t>
            </w:r>
          </w:p>
        </w:tc>
        <w:tc>
          <w:tcPr>
            <w:tcW w:w="1616" w:type="dxa"/>
            <w:vAlign w:val="center"/>
          </w:tcPr>
          <w:p w14:paraId="5FF84BA5">
            <w:pPr>
              <w:jc w:val="left"/>
              <w:rPr>
                <w:rFonts w:hint="eastAsia" w:ascii="宋体" w:hAnsi="宋体" w:eastAsia="宋体" w:cs="Times New Roman"/>
                <w:szCs w:val="21"/>
              </w:rPr>
            </w:pPr>
            <w:r>
              <w:rPr>
                <w:rFonts w:hint="eastAsia" w:ascii="宋体" w:hAnsi="宋体" w:eastAsia="宋体" w:cs="Times New Roman"/>
                <w:szCs w:val="21"/>
              </w:rPr>
              <w:t>（1）班队管理者的角色</w:t>
            </w:r>
          </w:p>
          <w:p w14:paraId="537AF519">
            <w:pPr>
              <w:jc w:val="left"/>
              <w:rPr>
                <w:rFonts w:hint="eastAsia" w:ascii="宋体" w:hAnsi="宋体" w:eastAsia="宋体" w:cs="Times New Roman"/>
                <w:szCs w:val="21"/>
              </w:rPr>
            </w:pPr>
            <w:r>
              <w:rPr>
                <w:rFonts w:hint="eastAsia" w:ascii="宋体" w:hAnsi="宋体" w:eastAsia="宋体" w:cs="Times New Roman"/>
                <w:szCs w:val="21"/>
              </w:rPr>
              <w:t>（2）班队管理者的领导力及素养</w:t>
            </w:r>
          </w:p>
          <w:p w14:paraId="2F199919">
            <w:pPr>
              <w:jc w:val="left"/>
              <w:rPr>
                <w:rFonts w:hint="eastAsia" w:ascii="宋体" w:hAnsi="宋体" w:eastAsia="宋体" w:cs="Times New Roman"/>
                <w:szCs w:val="21"/>
              </w:rPr>
            </w:pPr>
            <w:r>
              <w:rPr>
                <w:rFonts w:hint="eastAsia" w:ascii="宋体" w:hAnsi="宋体" w:eastAsia="宋体" w:cs="Times New Roman"/>
                <w:szCs w:val="21"/>
              </w:rPr>
              <w:t>（2）班队管理者的专业发展</w:t>
            </w:r>
          </w:p>
        </w:tc>
        <w:tc>
          <w:tcPr>
            <w:tcW w:w="1175" w:type="dxa"/>
            <w:vAlign w:val="center"/>
          </w:tcPr>
          <w:p w14:paraId="041325D5">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692" w:type="dxa"/>
            <w:vAlign w:val="center"/>
          </w:tcPr>
          <w:p w14:paraId="6D9F165F">
            <w:pPr>
              <w:jc w:val="left"/>
              <w:rPr>
                <w:rFonts w:hint="eastAsia" w:ascii="宋体" w:hAnsi="宋体" w:eastAsia="宋体" w:cs="Times New Roman"/>
                <w:szCs w:val="21"/>
              </w:rPr>
            </w:pPr>
            <w:r>
              <w:rPr>
                <w:rFonts w:hint="eastAsia" w:ascii="宋体" w:hAnsi="宋体" w:eastAsia="宋体" w:cs="Times New Roman"/>
                <w:szCs w:val="21"/>
              </w:rPr>
              <w:t>1.熟悉班主任的职责，明确班主任与其他班级管理主体的关系；理解班主任的职责边界；</w:t>
            </w:r>
          </w:p>
          <w:p w14:paraId="0B2A2AFC">
            <w:pPr>
              <w:jc w:val="left"/>
              <w:rPr>
                <w:rFonts w:hint="eastAsia" w:ascii="宋体" w:hAnsi="宋体" w:eastAsia="宋体" w:cs="Times New Roman"/>
                <w:szCs w:val="21"/>
              </w:rPr>
            </w:pPr>
            <w:r>
              <w:rPr>
                <w:rFonts w:hint="eastAsia" w:ascii="宋体" w:hAnsi="宋体" w:eastAsia="宋体" w:cs="Times New Roman"/>
                <w:szCs w:val="21"/>
              </w:rPr>
              <w:t>2.理解班主任与其管理对象——小学班级及小学生的关系，树立多重角色意识；</w:t>
            </w:r>
          </w:p>
          <w:p w14:paraId="6BBFAB62">
            <w:pPr>
              <w:jc w:val="left"/>
              <w:rPr>
                <w:rFonts w:hint="eastAsia" w:ascii="宋体" w:hAnsi="宋体" w:eastAsia="宋体" w:cs="Times New Roman"/>
                <w:szCs w:val="21"/>
              </w:rPr>
            </w:pPr>
            <w:r>
              <w:rPr>
                <w:rFonts w:hint="eastAsia" w:ascii="宋体" w:hAnsi="宋体" w:eastAsia="宋体" w:cs="Times New Roman"/>
                <w:szCs w:val="21"/>
              </w:rPr>
              <w:t>3.了解班主任应享有的权利，坚定从事班主任工作的信心；</w:t>
            </w:r>
          </w:p>
          <w:p w14:paraId="331EC464">
            <w:pPr>
              <w:jc w:val="left"/>
              <w:rPr>
                <w:rFonts w:hint="eastAsia" w:ascii="宋体" w:hAnsi="宋体" w:eastAsia="宋体" w:cs="Times New Roman"/>
                <w:szCs w:val="21"/>
              </w:rPr>
            </w:pPr>
            <w:r>
              <w:rPr>
                <w:rFonts w:hint="eastAsia" w:ascii="宋体" w:hAnsi="宋体" w:eastAsia="宋体" w:cs="Times New Roman"/>
                <w:szCs w:val="21"/>
              </w:rPr>
              <w:t>4.明确班主任应具备的基本素养，促进自我专业成长。</w:t>
            </w:r>
          </w:p>
        </w:tc>
        <w:tc>
          <w:tcPr>
            <w:tcW w:w="1573" w:type="dxa"/>
            <w:vAlign w:val="center"/>
          </w:tcPr>
          <w:p w14:paraId="3E60F87C">
            <w:pPr>
              <w:jc w:val="left"/>
              <w:rPr>
                <w:rFonts w:hint="eastAsia" w:ascii="宋体" w:hAnsi="宋体" w:eastAsia="宋体" w:cs="Times New Roman"/>
                <w:szCs w:val="21"/>
              </w:rPr>
            </w:pPr>
            <w:r>
              <w:rPr>
                <w:rFonts w:hint="eastAsia" w:ascii="宋体" w:hAnsi="宋体" w:eastAsia="宋体" w:cs="Times New Roman"/>
                <w:szCs w:val="21"/>
              </w:rPr>
              <w:t>1.多媒体教学</w:t>
            </w:r>
          </w:p>
          <w:p w14:paraId="292983D1">
            <w:pPr>
              <w:jc w:val="left"/>
              <w:rPr>
                <w:rFonts w:hint="eastAsia" w:ascii="宋体" w:hAnsi="宋体" w:eastAsia="宋体" w:cs="Times New Roman"/>
                <w:szCs w:val="21"/>
              </w:rPr>
            </w:pPr>
            <w:r>
              <w:rPr>
                <w:rFonts w:hint="eastAsia" w:ascii="宋体" w:hAnsi="宋体" w:eastAsia="宋体" w:cs="Times New Roman"/>
                <w:szCs w:val="21"/>
              </w:rPr>
              <w:t>2.课堂讨论</w:t>
            </w:r>
          </w:p>
          <w:p w14:paraId="38B2A971">
            <w:pPr>
              <w:jc w:val="left"/>
              <w:rPr>
                <w:rFonts w:hint="eastAsia" w:ascii="宋体" w:hAnsi="宋体" w:eastAsia="宋体" w:cs="Times New Roman"/>
                <w:szCs w:val="21"/>
              </w:rPr>
            </w:pPr>
            <w:r>
              <w:rPr>
                <w:rFonts w:hint="eastAsia" w:ascii="宋体" w:hAnsi="宋体" w:eastAsia="宋体" w:cs="Times New Roman"/>
                <w:szCs w:val="21"/>
              </w:rPr>
              <w:t>3.平时作业</w:t>
            </w:r>
          </w:p>
          <w:p w14:paraId="391B1696">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5F3E5DB8">
            <w:pPr>
              <w:jc w:val="center"/>
              <w:rPr>
                <w:rFonts w:hint="eastAsia" w:ascii="宋体" w:hAnsi="宋体" w:eastAsia="宋体" w:cs="Times New Roman"/>
                <w:szCs w:val="21"/>
              </w:rPr>
            </w:pPr>
            <w:r>
              <w:rPr>
                <w:rFonts w:hint="eastAsia" w:ascii="宋体" w:hAnsi="宋体" w:eastAsia="宋体" w:cs="Times New Roman"/>
                <w:szCs w:val="21"/>
              </w:rPr>
              <w:t>3</w:t>
            </w:r>
          </w:p>
        </w:tc>
      </w:tr>
      <w:tr w14:paraId="51F8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0C5D1FF">
            <w:pPr>
              <w:jc w:val="center"/>
              <w:rPr>
                <w:rFonts w:hint="eastAsia" w:ascii="宋体" w:hAnsi="宋体" w:eastAsia="宋体" w:cs="Times New Roman"/>
                <w:szCs w:val="21"/>
              </w:rPr>
            </w:pPr>
          </w:p>
        </w:tc>
        <w:tc>
          <w:tcPr>
            <w:tcW w:w="8494" w:type="dxa"/>
            <w:gridSpan w:val="5"/>
            <w:vAlign w:val="center"/>
          </w:tcPr>
          <w:p w14:paraId="3015DE2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和形成良好的教师职业道德规范，具有依法执教的意识，培育师范生成为有理想信念、有道德情操、有扎实学识、有仁爱之心的好教师。培养学生的职业认同感，认同教师职业的专业性与意义性，形成良好的职业理想与较强的敬业精神。</w:t>
            </w:r>
          </w:p>
        </w:tc>
      </w:tr>
      <w:tr w14:paraId="5A92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4448BD5E">
            <w:pPr>
              <w:jc w:val="center"/>
              <w:rPr>
                <w:rFonts w:hint="eastAsia" w:ascii="宋体" w:hAnsi="宋体" w:eastAsia="宋体" w:cs="Times New Roman"/>
                <w:szCs w:val="21"/>
              </w:rPr>
            </w:pPr>
            <w:r>
              <w:rPr>
                <w:rFonts w:hint="eastAsia" w:ascii="宋体" w:hAnsi="宋体" w:eastAsia="宋体" w:cs="Times New Roman"/>
                <w:szCs w:val="21"/>
              </w:rPr>
              <w:t>3.小学班队常规管理</w:t>
            </w:r>
          </w:p>
        </w:tc>
        <w:tc>
          <w:tcPr>
            <w:tcW w:w="1616" w:type="dxa"/>
            <w:vAlign w:val="center"/>
          </w:tcPr>
          <w:p w14:paraId="35958A3A">
            <w:pPr>
              <w:jc w:val="left"/>
              <w:rPr>
                <w:rFonts w:hint="eastAsia" w:ascii="宋体" w:hAnsi="宋体" w:eastAsia="宋体" w:cs="Times New Roman"/>
                <w:szCs w:val="21"/>
              </w:rPr>
            </w:pPr>
            <w:r>
              <w:rPr>
                <w:rFonts w:hint="eastAsia" w:ascii="宋体" w:hAnsi="宋体" w:eastAsia="宋体" w:cs="Times New Roman"/>
                <w:szCs w:val="21"/>
              </w:rPr>
              <w:t>（1）小学班队规范的制定</w:t>
            </w:r>
          </w:p>
          <w:p w14:paraId="44E4AD0F">
            <w:pPr>
              <w:jc w:val="left"/>
              <w:rPr>
                <w:rFonts w:hint="eastAsia" w:ascii="宋体" w:hAnsi="宋体" w:eastAsia="宋体" w:cs="Times New Roman"/>
                <w:szCs w:val="21"/>
              </w:rPr>
            </w:pPr>
            <w:r>
              <w:rPr>
                <w:rFonts w:hint="eastAsia" w:ascii="宋体" w:hAnsi="宋体" w:eastAsia="宋体" w:cs="Times New Roman"/>
                <w:szCs w:val="21"/>
              </w:rPr>
              <w:t>（2）小学班队常规教育</w:t>
            </w:r>
          </w:p>
          <w:p w14:paraId="13CFF810">
            <w:pPr>
              <w:jc w:val="left"/>
              <w:rPr>
                <w:rFonts w:hint="eastAsia" w:ascii="宋体" w:hAnsi="宋体" w:eastAsia="宋体" w:cs="Times New Roman"/>
                <w:szCs w:val="21"/>
              </w:rPr>
            </w:pPr>
            <w:r>
              <w:rPr>
                <w:rFonts w:hint="eastAsia" w:ascii="宋体" w:hAnsi="宋体" w:eastAsia="宋体" w:cs="Times New Roman"/>
                <w:szCs w:val="21"/>
              </w:rPr>
              <w:t>（3）教育惩戒</w:t>
            </w:r>
          </w:p>
        </w:tc>
        <w:tc>
          <w:tcPr>
            <w:tcW w:w="1175" w:type="dxa"/>
            <w:vAlign w:val="center"/>
          </w:tcPr>
          <w:p w14:paraId="2C6C2899">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692" w:type="dxa"/>
            <w:vAlign w:val="center"/>
          </w:tcPr>
          <w:p w14:paraId="4C5E448E">
            <w:pPr>
              <w:jc w:val="left"/>
              <w:rPr>
                <w:rFonts w:hint="eastAsia" w:ascii="宋体" w:hAnsi="宋体" w:eastAsia="宋体" w:cs="Times New Roman"/>
                <w:szCs w:val="21"/>
              </w:rPr>
            </w:pPr>
            <w:r>
              <w:rPr>
                <w:rFonts w:hint="eastAsia" w:ascii="宋体" w:hAnsi="宋体" w:eastAsia="宋体" w:cs="Times New Roman"/>
                <w:szCs w:val="21"/>
              </w:rPr>
              <w:t>1.认识小学班队规范的类型与内容；</w:t>
            </w:r>
          </w:p>
          <w:p w14:paraId="5778E6A8">
            <w:pPr>
              <w:jc w:val="left"/>
              <w:rPr>
                <w:rFonts w:hint="eastAsia" w:ascii="宋体" w:hAnsi="宋体" w:eastAsia="宋体" w:cs="Times New Roman"/>
                <w:szCs w:val="21"/>
              </w:rPr>
            </w:pPr>
            <w:r>
              <w:rPr>
                <w:rFonts w:hint="eastAsia" w:ascii="宋体" w:hAnsi="宋体" w:eastAsia="宋体" w:cs="Times New Roman"/>
                <w:szCs w:val="21"/>
              </w:rPr>
              <w:t>2.明确小学班队规范制定的要求；</w:t>
            </w:r>
          </w:p>
          <w:p w14:paraId="5435AA86">
            <w:pPr>
              <w:jc w:val="left"/>
              <w:rPr>
                <w:rFonts w:hint="eastAsia" w:ascii="宋体" w:hAnsi="宋体" w:eastAsia="宋体" w:cs="Times New Roman"/>
                <w:szCs w:val="21"/>
              </w:rPr>
            </w:pPr>
            <w:r>
              <w:rPr>
                <w:rFonts w:hint="eastAsia" w:ascii="宋体" w:hAnsi="宋体" w:eastAsia="宋体" w:cs="Times New Roman"/>
                <w:szCs w:val="21"/>
              </w:rPr>
              <w:t>3.掌握小学班队常规教育的意义以及有效执行班规的策略；</w:t>
            </w:r>
          </w:p>
          <w:p w14:paraId="29DBBB4F">
            <w:pPr>
              <w:jc w:val="left"/>
              <w:rPr>
                <w:rFonts w:hint="eastAsia" w:ascii="宋体" w:hAnsi="宋体" w:eastAsia="宋体" w:cs="Times New Roman"/>
                <w:szCs w:val="21"/>
              </w:rPr>
            </w:pPr>
            <w:r>
              <w:rPr>
                <w:rFonts w:hint="eastAsia" w:ascii="宋体" w:hAnsi="宋体" w:eastAsia="宋体" w:cs="Times New Roman"/>
                <w:szCs w:val="21"/>
              </w:rPr>
              <w:t>4.理解教育惩戒的作用，知道教育惩戒的运用范围，在教育实践中能够合理运用教育惩戒</w:t>
            </w:r>
          </w:p>
        </w:tc>
        <w:tc>
          <w:tcPr>
            <w:tcW w:w="1573" w:type="dxa"/>
            <w:vAlign w:val="center"/>
          </w:tcPr>
          <w:p w14:paraId="6DAD9D5D">
            <w:pPr>
              <w:jc w:val="left"/>
              <w:rPr>
                <w:rFonts w:hint="eastAsia" w:ascii="宋体" w:hAnsi="宋体" w:eastAsia="宋体" w:cs="Times New Roman"/>
                <w:szCs w:val="21"/>
              </w:rPr>
            </w:pPr>
            <w:r>
              <w:rPr>
                <w:rFonts w:ascii="宋体" w:hAnsi="宋体" w:eastAsia="宋体" w:cs="Times New Roman"/>
                <w:szCs w:val="21"/>
              </w:rPr>
              <w:t>1.多媒体教学</w:t>
            </w:r>
          </w:p>
          <w:p w14:paraId="387AE68E">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课内实践</w:t>
            </w:r>
          </w:p>
          <w:p w14:paraId="5DEBB378">
            <w:pPr>
              <w:jc w:val="left"/>
              <w:rPr>
                <w:rFonts w:hint="eastAsia" w:ascii="宋体" w:hAnsi="宋体" w:eastAsia="宋体" w:cs="Times New Roman"/>
                <w:szCs w:val="21"/>
              </w:rPr>
            </w:pPr>
            <w:r>
              <w:rPr>
                <w:rFonts w:hint="eastAsia" w:ascii="宋体" w:hAnsi="宋体" w:eastAsia="宋体" w:cs="Times New Roman"/>
                <w:szCs w:val="21"/>
              </w:rPr>
              <w:t>3.单元</w:t>
            </w:r>
            <w:r>
              <w:rPr>
                <w:rFonts w:ascii="宋体" w:hAnsi="宋体" w:eastAsia="宋体" w:cs="Times New Roman"/>
                <w:szCs w:val="21"/>
              </w:rPr>
              <w:t>测验</w:t>
            </w:r>
          </w:p>
        </w:tc>
        <w:tc>
          <w:tcPr>
            <w:tcW w:w="438" w:type="dxa"/>
            <w:vAlign w:val="center"/>
          </w:tcPr>
          <w:p w14:paraId="3650F349">
            <w:pPr>
              <w:jc w:val="center"/>
              <w:rPr>
                <w:rFonts w:hint="eastAsia" w:ascii="宋体" w:hAnsi="宋体" w:eastAsia="宋体" w:cs="Times New Roman"/>
                <w:szCs w:val="21"/>
              </w:rPr>
            </w:pPr>
            <w:r>
              <w:rPr>
                <w:rFonts w:hint="eastAsia" w:ascii="宋体" w:hAnsi="宋体" w:eastAsia="宋体" w:cs="Times New Roman"/>
                <w:szCs w:val="21"/>
              </w:rPr>
              <w:t>3</w:t>
            </w:r>
          </w:p>
        </w:tc>
      </w:tr>
      <w:tr w14:paraId="1409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31C4BBAE">
            <w:pPr>
              <w:jc w:val="center"/>
              <w:rPr>
                <w:rFonts w:hint="eastAsia" w:ascii="宋体" w:hAnsi="宋体" w:eastAsia="宋体" w:cs="Times New Roman"/>
                <w:szCs w:val="21"/>
              </w:rPr>
            </w:pPr>
          </w:p>
        </w:tc>
        <w:tc>
          <w:tcPr>
            <w:tcW w:w="8494" w:type="dxa"/>
            <w:gridSpan w:val="5"/>
            <w:vAlign w:val="center"/>
          </w:tcPr>
          <w:p w14:paraId="6360CF9C">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了解教育惩戒的作用与运用范围，遵循教育规律，正确运用教育惩戒。</w:t>
            </w:r>
          </w:p>
        </w:tc>
      </w:tr>
      <w:tr w14:paraId="3AA5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4C61423B">
            <w:pPr>
              <w:jc w:val="center"/>
              <w:rPr>
                <w:rFonts w:hint="eastAsia" w:ascii="宋体" w:hAnsi="宋体" w:eastAsia="宋体" w:cs="Times New Roman"/>
                <w:szCs w:val="21"/>
              </w:rPr>
            </w:pPr>
            <w:r>
              <w:rPr>
                <w:rFonts w:hint="eastAsia" w:ascii="宋体" w:hAnsi="宋体" w:eastAsia="宋体" w:cs="Times New Roman"/>
                <w:szCs w:val="21"/>
              </w:rPr>
              <w:t>4.小学班队组织管理</w:t>
            </w:r>
          </w:p>
        </w:tc>
        <w:tc>
          <w:tcPr>
            <w:tcW w:w="1616" w:type="dxa"/>
            <w:vAlign w:val="center"/>
          </w:tcPr>
          <w:p w14:paraId="4A36AE32">
            <w:pPr>
              <w:jc w:val="left"/>
              <w:rPr>
                <w:rFonts w:hint="eastAsia" w:ascii="宋体" w:hAnsi="宋体" w:eastAsia="宋体" w:cs="Times New Roman"/>
                <w:szCs w:val="21"/>
              </w:rPr>
            </w:pPr>
            <w:r>
              <w:rPr>
                <w:rFonts w:hint="eastAsia" w:ascii="宋体" w:hAnsi="宋体" w:eastAsia="宋体" w:cs="Times New Roman"/>
                <w:szCs w:val="21"/>
              </w:rPr>
              <w:t>（1）小学班集体的形成</w:t>
            </w:r>
          </w:p>
          <w:p w14:paraId="2EC5890F">
            <w:pPr>
              <w:jc w:val="left"/>
              <w:rPr>
                <w:rFonts w:hint="eastAsia" w:ascii="宋体" w:hAnsi="宋体" w:eastAsia="宋体" w:cs="Times New Roman"/>
                <w:szCs w:val="21"/>
              </w:rPr>
            </w:pPr>
            <w:r>
              <w:rPr>
                <w:rFonts w:hint="eastAsia" w:ascii="宋体" w:hAnsi="宋体" w:eastAsia="宋体" w:cs="Times New Roman"/>
                <w:szCs w:val="21"/>
              </w:rPr>
              <w:t>（2）小学班队组织结构</w:t>
            </w:r>
          </w:p>
          <w:p w14:paraId="6B27D691">
            <w:pPr>
              <w:jc w:val="left"/>
              <w:rPr>
                <w:rFonts w:hint="eastAsia" w:ascii="宋体" w:hAnsi="宋体" w:eastAsia="宋体" w:cs="Times New Roman"/>
                <w:szCs w:val="21"/>
              </w:rPr>
            </w:pPr>
            <w:r>
              <w:rPr>
                <w:rFonts w:hint="eastAsia" w:ascii="宋体" w:hAnsi="宋体" w:eastAsia="宋体" w:cs="Times New Roman"/>
                <w:szCs w:val="21"/>
              </w:rPr>
              <w:t>（3）非正式群体的类型与教育</w:t>
            </w:r>
          </w:p>
        </w:tc>
        <w:tc>
          <w:tcPr>
            <w:tcW w:w="1175" w:type="dxa"/>
            <w:vAlign w:val="center"/>
          </w:tcPr>
          <w:p w14:paraId="725F7BDF">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692" w:type="dxa"/>
            <w:vAlign w:val="center"/>
          </w:tcPr>
          <w:p w14:paraId="54201C50">
            <w:pPr>
              <w:jc w:val="left"/>
              <w:rPr>
                <w:rFonts w:hint="eastAsia" w:ascii="宋体" w:hAnsi="宋体" w:eastAsia="宋体" w:cs="Times New Roman"/>
                <w:szCs w:val="21"/>
              </w:rPr>
            </w:pPr>
            <w:r>
              <w:rPr>
                <w:rFonts w:hint="eastAsia" w:ascii="宋体" w:hAnsi="宋体" w:eastAsia="宋体" w:cs="Times New Roman"/>
                <w:szCs w:val="21"/>
              </w:rPr>
              <w:t>1.掌握班级和少先队的组织结构；</w:t>
            </w:r>
          </w:p>
          <w:p w14:paraId="6EEAFE1B">
            <w:pPr>
              <w:jc w:val="left"/>
              <w:rPr>
                <w:rFonts w:hint="eastAsia" w:ascii="宋体" w:hAnsi="宋体" w:eastAsia="宋体" w:cs="Times New Roman"/>
                <w:szCs w:val="21"/>
              </w:rPr>
            </w:pPr>
            <w:r>
              <w:rPr>
                <w:rFonts w:hint="eastAsia" w:ascii="宋体" w:hAnsi="宋体" w:eastAsia="宋体" w:cs="Times New Roman"/>
                <w:szCs w:val="21"/>
              </w:rPr>
              <w:t xml:space="preserve">2.了解班队干部的产生方式与培养；            </w:t>
            </w:r>
          </w:p>
          <w:p w14:paraId="482331DE">
            <w:pPr>
              <w:jc w:val="left"/>
              <w:rPr>
                <w:rFonts w:hint="eastAsia" w:ascii="宋体" w:hAnsi="宋体" w:eastAsia="宋体" w:cs="Times New Roman"/>
                <w:szCs w:val="21"/>
              </w:rPr>
            </w:pPr>
            <w:r>
              <w:rPr>
                <w:rFonts w:hint="eastAsia" w:ascii="宋体" w:hAnsi="宋体" w:eastAsia="宋体" w:cs="Times New Roman"/>
                <w:szCs w:val="21"/>
              </w:rPr>
              <w:t>3.掌握对非正式群体的教育策略。</w:t>
            </w:r>
          </w:p>
        </w:tc>
        <w:tc>
          <w:tcPr>
            <w:tcW w:w="1573" w:type="dxa"/>
            <w:vAlign w:val="center"/>
          </w:tcPr>
          <w:p w14:paraId="093CE665">
            <w:pPr>
              <w:jc w:val="left"/>
              <w:rPr>
                <w:rFonts w:hint="eastAsia" w:ascii="宋体" w:hAnsi="宋体" w:eastAsia="宋体" w:cs="Times New Roman"/>
                <w:szCs w:val="21"/>
              </w:rPr>
            </w:pPr>
            <w:r>
              <w:rPr>
                <w:rFonts w:ascii="宋体" w:hAnsi="宋体" w:eastAsia="宋体" w:cs="Times New Roman"/>
                <w:szCs w:val="21"/>
              </w:rPr>
              <w:t>1.多媒体教学</w:t>
            </w:r>
          </w:p>
          <w:p w14:paraId="005F74E1">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课堂讨论</w:t>
            </w:r>
          </w:p>
          <w:p w14:paraId="69139A73">
            <w:pPr>
              <w:jc w:val="left"/>
              <w:rPr>
                <w:rFonts w:hint="eastAsia" w:ascii="宋体" w:hAnsi="宋体" w:eastAsia="宋体" w:cs="Times New Roman"/>
                <w:szCs w:val="21"/>
              </w:rPr>
            </w:pPr>
            <w:r>
              <w:rPr>
                <w:rFonts w:hint="eastAsia" w:ascii="宋体" w:hAnsi="宋体" w:eastAsia="宋体" w:cs="Times New Roman"/>
                <w:szCs w:val="21"/>
              </w:rPr>
              <w:t>3.平时作业</w:t>
            </w:r>
          </w:p>
          <w:p w14:paraId="30192F42">
            <w:pPr>
              <w:jc w:val="left"/>
              <w:rPr>
                <w:rFonts w:hint="eastAsia" w:ascii="宋体" w:hAnsi="宋体" w:eastAsia="宋体" w:cs="Times New Roman"/>
                <w:szCs w:val="21"/>
              </w:rPr>
            </w:pPr>
            <w:r>
              <w:rPr>
                <w:rFonts w:hint="eastAsia" w:ascii="宋体" w:hAnsi="宋体" w:eastAsia="宋体" w:cs="Times New Roman"/>
                <w:szCs w:val="21"/>
              </w:rPr>
              <w:t>4.单元</w:t>
            </w:r>
            <w:r>
              <w:rPr>
                <w:rFonts w:ascii="宋体" w:hAnsi="宋体" w:eastAsia="宋体" w:cs="Times New Roman"/>
                <w:szCs w:val="21"/>
              </w:rPr>
              <w:t>测验</w:t>
            </w:r>
          </w:p>
        </w:tc>
        <w:tc>
          <w:tcPr>
            <w:tcW w:w="438" w:type="dxa"/>
            <w:vAlign w:val="center"/>
          </w:tcPr>
          <w:p w14:paraId="5136B40B">
            <w:pPr>
              <w:jc w:val="center"/>
              <w:rPr>
                <w:rFonts w:hint="eastAsia" w:ascii="宋体" w:hAnsi="宋体" w:eastAsia="宋体" w:cs="Times New Roman"/>
                <w:szCs w:val="21"/>
              </w:rPr>
            </w:pPr>
            <w:r>
              <w:rPr>
                <w:rFonts w:hint="eastAsia" w:ascii="宋体" w:hAnsi="宋体" w:eastAsia="宋体" w:cs="Times New Roman"/>
                <w:szCs w:val="21"/>
              </w:rPr>
              <w:t>3</w:t>
            </w:r>
          </w:p>
        </w:tc>
      </w:tr>
      <w:tr w14:paraId="2575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0958F7F6">
            <w:pPr>
              <w:jc w:val="center"/>
              <w:rPr>
                <w:rFonts w:hint="eastAsia" w:ascii="宋体" w:hAnsi="宋体" w:eastAsia="宋体" w:cs="Times New Roman"/>
                <w:szCs w:val="21"/>
              </w:rPr>
            </w:pPr>
          </w:p>
        </w:tc>
        <w:tc>
          <w:tcPr>
            <w:tcW w:w="8494" w:type="dxa"/>
            <w:gridSpan w:val="5"/>
            <w:vAlign w:val="center"/>
          </w:tcPr>
          <w:p w14:paraId="352D49D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理解班队组织的价值和意义，坚定学好组织建设的意识并为之而努力。</w:t>
            </w:r>
          </w:p>
        </w:tc>
      </w:tr>
      <w:tr w14:paraId="2ED5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341E666C">
            <w:pPr>
              <w:jc w:val="center"/>
              <w:rPr>
                <w:rFonts w:hint="eastAsia" w:ascii="宋体" w:hAnsi="宋体" w:eastAsia="宋体" w:cs="Times New Roman"/>
                <w:szCs w:val="21"/>
              </w:rPr>
            </w:pPr>
            <w:r>
              <w:rPr>
                <w:rFonts w:hint="eastAsia" w:ascii="宋体" w:hAnsi="宋体" w:eastAsia="宋体" w:cs="Times New Roman"/>
                <w:szCs w:val="21"/>
              </w:rPr>
              <w:t>5.小学班队活动管理</w:t>
            </w:r>
          </w:p>
        </w:tc>
        <w:tc>
          <w:tcPr>
            <w:tcW w:w="1616" w:type="dxa"/>
            <w:vAlign w:val="center"/>
          </w:tcPr>
          <w:p w14:paraId="0D4C0159">
            <w:pPr>
              <w:jc w:val="left"/>
              <w:rPr>
                <w:rFonts w:hint="eastAsia" w:ascii="宋体" w:hAnsi="宋体" w:eastAsia="宋体" w:cs="Times New Roman"/>
                <w:szCs w:val="21"/>
              </w:rPr>
            </w:pPr>
            <w:r>
              <w:rPr>
                <w:rFonts w:hint="eastAsia" w:ascii="宋体" w:hAnsi="宋体" w:eastAsia="宋体" w:cs="Times New Roman"/>
                <w:szCs w:val="21"/>
              </w:rPr>
              <w:t>（1）小学班队活动概述</w:t>
            </w:r>
          </w:p>
          <w:p w14:paraId="37DC6B14">
            <w:pPr>
              <w:jc w:val="left"/>
              <w:rPr>
                <w:rFonts w:hint="eastAsia" w:ascii="宋体" w:hAnsi="宋体" w:eastAsia="宋体" w:cs="Times New Roman"/>
                <w:szCs w:val="21"/>
              </w:rPr>
            </w:pPr>
            <w:r>
              <w:rPr>
                <w:rFonts w:hint="eastAsia" w:ascii="宋体" w:hAnsi="宋体" w:eastAsia="宋体" w:cs="Times New Roman"/>
                <w:szCs w:val="21"/>
              </w:rPr>
              <w:t>（2）小学班队活动的类型</w:t>
            </w:r>
          </w:p>
          <w:p w14:paraId="1E04BD80">
            <w:pPr>
              <w:jc w:val="left"/>
              <w:rPr>
                <w:rFonts w:hint="eastAsia" w:ascii="宋体" w:hAnsi="宋体" w:eastAsia="宋体" w:cs="Times New Roman"/>
                <w:szCs w:val="21"/>
              </w:rPr>
            </w:pPr>
            <w:r>
              <w:rPr>
                <w:rFonts w:hint="eastAsia" w:ascii="宋体" w:hAnsi="宋体" w:eastAsia="宋体" w:cs="Times New Roman"/>
                <w:szCs w:val="21"/>
              </w:rPr>
              <w:t>（3）小学班队活动的设计与组织</w:t>
            </w:r>
          </w:p>
        </w:tc>
        <w:tc>
          <w:tcPr>
            <w:tcW w:w="1175" w:type="dxa"/>
            <w:vAlign w:val="center"/>
          </w:tcPr>
          <w:p w14:paraId="36E6AC2B">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692" w:type="dxa"/>
            <w:vAlign w:val="center"/>
          </w:tcPr>
          <w:p w14:paraId="4A67D133">
            <w:pPr>
              <w:jc w:val="left"/>
              <w:rPr>
                <w:rFonts w:hint="eastAsia" w:ascii="宋体" w:hAnsi="宋体" w:eastAsia="宋体" w:cs="Times New Roman"/>
                <w:szCs w:val="21"/>
              </w:rPr>
            </w:pPr>
            <w:r>
              <w:rPr>
                <w:rFonts w:hint="eastAsia" w:ascii="宋体" w:hAnsi="宋体" w:eastAsia="宋体" w:cs="Times New Roman"/>
                <w:szCs w:val="21"/>
              </w:rPr>
              <w:t>1.理解班队活动的意义，提升对班队活动价值的认识；</w:t>
            </w:r>
          </w:p>
          <w:p w14:paraId="0BD17ABB">
            <w:pPr>
              <w:jc w:val="left"/>
              <w:rPr>
                <w:rFonts w:hint="eastAsia" w:ascii="宋体" w:hAnsi="宋体" w:eastAsia="宋体" w:cs="Times New Roman"/>
                <w:szCs w:val="21"/>
              </w:rPr>
            </w:pPr>
            <w:r>
              <w:rPr>
                <w:rFonts w:hint="eastAsia" w:ascii="宋体" w:hAnsi="宋体" w:eastAsia="宋体" w:cs="Times New Roman"/>
                <w:szCs w:val="21"/>
              </w:rPr>
              <w:t>2.初步掌握班队活动的方法和策略；</w:t>
            </w:r>
          </w:p>
          <w:p w14:paraId="7E5E0C4E">
            <w:pPr>
              <w:jc w:val="left"/>
              <w:rPr>
                <w:rFonts w:hint="eastAsia" w:ascii="宋体" w:hAnsi="宋体" w:eastAsia="宋体" w:cs="Times New Roman"/>
                <w:szCs w:val="21"/>
              </w:rPr>
            </w:pPr>
            <w:r>
              <w:rPr>
                <w:rFonts w:hint="eastAsia" w:ascii="宋体" w:hAnsi="宋体" w:eastAsia="宋体" w:cs="Times New Roman"/>
                <w:szCs w:val="21"/>
              </w:rPr>
              <w:t>3.能根据班级活动的特点及规律进行班队活动的设计。</w:t>
            </w:r>
          </w:p>
        </w:tc>
        <w:tc>
          <w:tcPr>
            <w:tcW w:w="1573" w:type="dxa"/>
            <w:vAlign w:val="center"/>
          </w:tcPr>
          <w:p w14:paraId="790B0B43">
            <w:pPr>
              <w:jc w:val="left"/>
              <w:rPr>
                <w:rFonts w:hint="eastAsia" w:ascii="宋体" w:hAnsi="宋体" w:eastAsia="宋体" w:cs="Times New Roman"/>
                <w:szCs w:val="21"/>
              </w:rPr>
            </w:pPr>
            <w:r>
              <w:rPr>
                <w:rFonts w:hint="eastAsia" w:ascii="宋体" w:hAnsi="宋体" w:eastAsia="宋体" w:cs="Times New Roman"/>
                <w:szCs w:val="21"/>
              </w:rPr>
              <w:t>1.多媒体教学</w:t>
            </w:r>
          </w:p>
          <w:p w14:paraId="37BBFE27">
            <w:pPr>
              <w:jc w:val="left"/>
              <w:rPr>
                <w:rFonts w:hint="eastAsia" w:ascii="宋体" w:hAnsi="宋体" w:eastAsia="宋体" w:cs="Times New Roman"/>
                <w:szCs w:val="21"/>
              </w:rPr>
            </w:pPr>
            <w:r>
              <w:rPr>
                <w:rFonts w:hint="eastAsia" w:ascii="宋体" w:hAnsi="宋体" w:eastAsia="宋体" w:cs="Times New Roman"/>
                <w:szCs w:val="21"/>
              </w:rPr>
              <w:t>2.课内实践</w:t>
            </w:r>
          </w:p>
          <w:p w14:paraId="4211FEE7">
            <w:pPr>
              <w:jc w:val="left"/>
              <w:rPr>
                <w:rFonts w:hint="eastAsia" w:ascii="宋体" w:hAnsi="宋体" w:eastAsia="宋体" w:cs="Times New Roman"/>
                <w:szCs w:val="21"/>
              </w:rPr>
            </w:pPr>
            <w:r>
              <w:rPr>
                <w:rFonts w:hint="eastAsia" w:ascii="宋体" w:hAnsi="宋体" w:eastAsia="宋体" w:cs="Times New Roman"/>
                <w:szCs w:val="21"/>
              </w:rPr>
              <w:t>3.单元测验</w:t>
            </w:r>
          </w:p>
        </w:tc>
        <w:tc>
          <w:tcPr>
            <w:tcW w:w="438" w:type="dxa"/>
            <w:vAlign w:val="center"/>
          </w:tcPr>
          <w:p w14:paraId="476CAA80">
            <w:pPr>
              <w:jc w:val="center"/>
              <w:rPr>
                <w:rFonts w:hint="eastAsia" w:ascii="宋体" w:hAnsi="宋体" w:eastAsia="宋体" w:cs="Times New Roman"/>
                <w:szCs w:val="21"/>
              </w:rPr>
            </w:pPr>
            <w:r>
              <w:rPr>
                <w:rFonts w:hint="eastAsia" w:ascii="宋体" w:hAnsi="宋体" w:eastAsia="宋体" w:cs="Times New Roman"/>
                <w:szCs w:val="21"/>
              </w:rPr>
              <w:t>3</w:t>
            </w:r>
          </w:p>
        </w:tc>
      </w:tr>
      <w:tr w14:paraId="523C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5B5B764B">
            <w:pPr>
              <w:jc w:val="center"/>
              <w:rPr>
                <w:rFonts w:hint="eastAsia" w:ascii="宋体" w:hAnsi="宋体" w:eastAsia="宋体" w:cs="Times New Roman"/>
                <w:szCs w:val="21"/>
              </w:rPr>
            </w:pPr>
          </w:p>
        </w:tc>
        <w:tc>
          <w:tcPr>
            <w:tcW w:w="8494" w:type="dxa"/>
            <w:gridSpan w:val="5"/>
            <w:vAlign w:val="center"/>
          </w:tcPr>
          <w:p w14:paraId="5ED5FC4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理解“三全育人”的作用和价值，增强活动育人的意识。</w:t>
            </w:r>
          </w:p>
        </w:tc>
      </w:tr>
      <w:tr w14:paraId="0696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6594EEA6">
            <w:pPr>
              <w:jc w:val="center"/>
              <w:rPr>
                <w:rFonts w:hint="eastAsia" w:ascii="宋体" w:hAnsi="宋体" w:eastAsia="宋体" w:cs="Times New Roman"/>
                <w:szCs w:val="21"/>
              </w:rPr>
            </w:pPr>
            <w:r>
              <w:rPr>
                <w:rFonts w:hint="eastAsia" w:ascii="宋体" w:hAnsi="宋体" w:eastAsia="宋体" w:cs="Times New Roman"/>
                <w:szCs w:val="21"/>
              </w:rPr>
              <w:t>6.小学班队环境管理</w:t>
            </w:r>
          </w:p>
        </w:tc>
        <w:tc>
          <w:tcPr>
            <w:tcW w:w="1616" w:type="dxa"/>
            <w:vAlign w:val="center"/>
          </w:tcPr>
          <w:p w14:paraId="1D94487F">
            <w:pPr>
              <w:jc w:val="left"/>
              <w:rPr>
                <w:rFonts w:hint="eastAsia" w:ascii="宋体" w:hAnsi="宋体" w:eastAsia="宋体" w:cs="Times New Roman"/>
                <w:szCs w:val="21"/>
              </w:rPr>
            </w:pPr>
            <w:r>
              <w:rPr>
                <w:rFonts w:hint="eastAsia" w:ascii="宋体" w:hAnsi="宋体" w:eastAsia="宋体" w:cs="Times New Roman"/>
                <w:szCs w:val="21"/>
              </w:rPr>
              <w:t>（1）教室环境布置</w:t>
            </w:r>
          </w:p>
          <w:p w14:paraId="5CAE0315">
            <w:pPr>
              <w:jc w:val="left"/>
              <w:rPr>
                <w:rFonts w:hint="eastAsia" w:ascii="宋体" w:hAnsi="宋体" w:eastAsia="宋体" w:cs="Times New Roman"/>
                <w:szCs w:val="21"/>
              </w:rPr>
            </w:pPr>
            <w:r>
              <w:rPr>
                <w:rFonts w:hint="eastAsia" w:ascii="宋体" w:hAnsi="宋体" w:eastAsia="宋体" w:cs="Times New Roman"/>
                <w:szCs w:val="21"/>
              </w:rPr>
              <w:t>（2）班队人际沟通</w:t>
            </w:r>
          </w:p>
          <w:p w14:paraId="1AB91965">
            <w:pPr>
              <w:jc w:val="left"/>
              <w:rPr>
                <w:rFonts w:hint="eastAsia" w:ascii="宋体" w:hAnsi="宋体" w:eastAsia="宋体" w:cs="Times New Roman"/>
                <w:szCs w:val="21"/>
              </w:rPr>
            </w:pPr>
            <w:r>
              <w:rPr>
                <w:rFonts w:hint="eastAsia" w:ascii="宋体" w:hAnsi="宋体" w:eastAsia="宋体" w:cs="Times New Roman"/>
                <w:szCs w:val="21"/>
              </w:rPr>
              <w:t>（3）班风建设</w:t>
            </w:r>
          </w:p>
        </w:tc>
        <w:tc>
          <w:tcPr>
            <w:tcW w:w="1175" w:type="dxa"/>
            <w:vAlign w:val="center"/>
          </w:tcPr>
          <w:p w14:paraId="4A0FE639">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692" w:type="dxa"/>
            <w:vAlign w:val="center"/>
          </w:tcPr>
          <w:p w14:paraId="5EFFEAD4">
            <w:pPr>
              <w:jc w:val="left"/>
              <w:rPr>
                <w:rFonts w:hint="eastAsia" w:ascii="宋体" w:hAnsi="宋体" w:eastAsia="宋体" w:cs="Times New Roman"/>
                <w:szCs w:val="21"/>
              </w:rPr>
            </w:pPr>
            <w:r>
              <w:rPr>
                <w:rFonts w:hint="eastAsia" w:ascii="宋体" w:hAnsi="宋体" w:eastAsia="宋体" w:cs="Times New Roman"/>
                <w:szCs w:val="21"/>
              </w:rPr>
              <w:t>1.了解班队环境管理的内容；</w:t>
            </w:r>
          </w:p>
          <w:p w14:paraId="1AE0A3DB">
            <w:pPr>
              <w:jc w:val="left"/>
              <w:rPr>
                <w:rFonts w:hint="eastAsia" w:ascii="宋体" w:hAnsi="宋体" w:eastAsia="宋体" w:cs="Times New Roman"/>
                <w:szCs w:val="21"/>
              </w:rPr>
            </w:pPr>
            <w:r>
              <w:rPr>
                <w:rFonts w:hint="eastAsia" w:ascii="宋体" w:hAnsi="宋体" w:eastAsia="宋体" w:cs="Times New Roman"/>
                <w:szCs w:val="21"/>
              </w:rPr>
              <w:t>2.了解教室环境布置的要求；</w:t>
            </w:r>
          </w:p>
          <w:p w14:paraId="36FABE0F">
            <w:pPr>
              <w:jc w:val="left"/>
              <w:rPr>
                <w:rFonts w:hint="eastAsia" w:ascii="宋体" w:hAnsi="宋体" w:eastAsia="宋体" w:cs="Times New Roman"/>
                <w:szCs w:val="21"/>
              </w:rPr>
            </w:pPr>
            <w:r>
              <w:rPr>
                <w:rFonts w:hint="eastAsia" w:ascii="宋体" w:hAnsi="宋体" w:eastAsia="宋体" w:cs="Times New Roman"/>
                <w:szCs w:val="21"/>
              </w:rPr>
              <w:t>3.掌握班队人际沟通方式及师生沟通中应注意的事项；</w:t>
            </w:r>
          </w:p>
          <w:p w14:paraId="4C5A1373">
            <w:pPr>
              <w:jc w:val="left"/>
              <w:rPr>
                <w:rFonts w:hint="eastAsia" w:ascii="宋体" w:hAnsi="宋体" w:eastAsia="宋体" w:cs="Times New Roman"/>
                <w:szCs w:val="21"/>
              </w:rPr>
            </w:pPr>
            <w:r>
              <w:rPr>
                <w:rFonts w:hint="eastAsia" w:ascii="宋体" w:hAnsi="宋体" w:eastAsia="宋体" w:cs="Times New Roman"/>
                <w:szCs w:val="21"/>
              </w:rPr>
              <w:t>4.掌握班风建设的要求。</w:t>
            </w:r>
          </w:p>
        </w:tc>
        <w:tc>
          <w:tcPr>
            <w:tcW w:w="1573" w:type="dxa"/>
            <w:vAlign w:val="center"/>
          </w:tcPr>
          <w:p w14:paraId="36A8FFFD">
            <w:pPr>
              <w:jc w:val="left"/>
              <w:rPr>
                <w:rFonts w:hint="eastAsia" w:ascii="宋体" w:hAnsi="宋体" w:eastAsia="宋体" w:cs="Times New Roman"/>
                <w:szCs w:val="21"/>
              </w:rPr>
            </w:pPr>
            <w:r>
              <w:rPr>
                <w:rFonts w:hint="eastAsia" w:ascii="宋体" w:hAnsi="宋体" w:eastAsia="宋体" w:cs="Times New Roman"/>
                <w:szCs w:val="21"/>
              </w:rPr>
              <w:t>1.多媒体教学</w:t>
            </w:r>
          </w:p>
          <w:p w14:paraId="0C716541">
            <w:pPr>
              <w:jc w:val="left"/>
              <w:rPr>
                <w:rFonts w:hint="eastAsia" w:ascii="宋体" w:hAnsi="宋体" w:eastAsia="宋体" w:cs="Times New Roman"/>
                <w:szCs w:val="21"/>
              </w:rPr>
            </w:pPr>
            <w:r>
              <w:rPr>
                <w:rFonts w:hint="eastAsia" w:ascii="宋体" w:hAnsi="宋体" w:eastAsia="宋体" w:cs="Times New Roman"/>
                <w:szCs w:val="21"/>
              </w:rPr>
              <w:t>2.课堂讨论</w:t>
            </w:r>
          </w:p>
          <w:p w14:paraId="75462801">
            <w:pPr>
              <w:jc w:val="left"/>
              <w:rPr>
                <w:rFonts w:hint="eastAsia" w:ascii="宋体" w:hAnsi="宋体" w:eastAsia="宋体" w:cs="Times New Roman"/>
                <w:szCs w:val="21"/>
              </w:rPr>
            </w:pPr>
            <w:r>
              <w:rPr>
                <w:rFonts w:hint="eastAsia" w:ascii="宋体" w:hAnsi="宋体" w:eastAsia="宋体" w:cs="Times New Roman"/>
                <w:szCs w:val="21"/>
              </w:rPr>
              <w:t>3.课内实践</w:t>
            </w:r>
          </w:p>
          <w:p w14:paraId="1F79B3D0">
            <w:pPr>
              <w:jc w:val="left"/>
              <w:rPr>
                <w:rFonts w:hint="eastAsia" w:ascii="宋体" w:hAnsi="宋体" w:eastAsia="宋体" w:cs="Times New Roman"/>
                <w:szCs w:val="21"/>
              </w:rPr>
            </w:pPr>
            <w:r>
              <w:rPr>
                <w:rFonts w:hint="eastAsia" w:ascii="宋体" w:hAnsi="宋体" w:eastAsia="宋体" w:cs="Times New Roman"/>
                <w:szCs w:val="21"/>
              </w:rPr>
              <w:t>4.单元测验</w:t>
            </w:r>
          </w:p>
          <w:p w14:paraId="1AF3F95F">
            <w:pPr>
              <w:jc w:val="left"/>
              <w:rPr>
                <w:rFonts w:hint="eastAsia" w:ascii="宋体" w:hAnsi="宋体" w:eastAsia="宋体" w:cs="Times New Roman"/>
                <w:szCs w:val="21"/>
              </w:rPr>
            </w:pPr>
            <w:r>
              <w:rPr>
                <w:rFonts w:hint="eastAsia" w:ascii="宋体" w:hAnsi="宋体" w:eastAsia="宋体" w:cs="Times New Roman"/>
                <w:szCs w:val="21"/>
              </w:rPr>
              <w:t>5.学期考查</w:t>
            </w:r>
          </w:p>
        </w:tc>
        <w:tc>
          <w:tcPr>
            <w:tcW w:w="438" w:type="dxa"/>
            <w:vAlign w:val="center"/>
          </w:tcPr>
          <w:p w14:paraId="1CB27DF1">
            <w:pPr>
              <w:jc w:val="center"/>
              <w:rPr>
                <w:rFonts w:hint="eastAsia" w:ascii="宋体" w:hAnsi="宋体" w:eastAsia="宋体" w:cs="Times New Roman"/>
                <w:szCs w:val="21"/>
              </w:rPr>
            </w:pPr>
            <w:r>
              <w:rPr>
                <w:rFonts w:hint="eastAsia" w:ascii="宋体" w:hAnsi="宋体" w:eastAsia="宋体" w:cs="Times New Roman"/>
                <w:szCs w:val="21"/>
              </w:rPr>
              <w:t>3</w:t>
            </w:r>
          </w:p>
        </w:tc>
      </w:tr>
      <w:tr w14:paraId="49F2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4DCF5E1C">
            <w:pPr>
              <w:jc w:val="center"/>
              <w:rPr>
                <w:rFonts w:hint="eastAsia" w:ascii="宋体" w:hAnsi="宋体" w:eastAsia="宋体" w:cs="Times New Roman"/>
                <w:szCs w:val="21"/>
              </w:rPr>
            </w:pPr>
          </w:p>
        </w:tc>
        <w:tc>
          <w:tcPr>
            <w:tcW w:w="8494" w:type="dxa"/>
            <w:gridSpan w:val="5"/>
            <w:vAlign w:val="center"/>
          </w:tcPr>
          <w:p w14:paraId="275A301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理解“立德树人”的意义，自觉探索儿童成长成才的规律，增强文化育人的意识。</w:t>
            </w:r>
          </w:p>
        </w:tc>
      </w:tr>
      <w:tr w14:paraId="120A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7EA84712">
            <w:pPr>
              <w:jc w:val="center"/>
              <w:rPr>
                <w:rFonts w:hint="eastAsia" w:ascii="宋体" w:hAnsi="宋体" w:eastAsia="宋体" w:cs="Times New Roman"/>
                <w:szCs w:val="21"/>
              </w:rPr>
            </w:pPr>
            <w:r>
              <w:rPr>
                <w:rFonts w:hint="eastAsia" w:ascii="宋体" w:hAnsi="宋体" w:eastAsia="宋体" w:cs="Times New Roman"/>
                <w:szCs w:val="21"/>
              </w:rPr>
              <w:t>7.学生问题行为管理</w:t>
            </w:r>
          </w:p>
        </w:tc>
        <w:tc>
          <w:tcPr>
            <w:tcW w:w="1616" w:type="dxa"/>
            <w:vAlign w:val="center"/>
          </w:tcPr>
          <w:p w14:paraId="18BB6864">
            <w:pPr>
              <w:jc w:val="left"/>
              <w:rPr>
                <w:rFonts w:hint="eastAsia" w:ascii="宋体" w:hAnsi="宋体" w:eastAsia="宋体" w:cs="Times New Roman"/>
                <w:szCs w:val="21"/>
              </w:rPr>
            </w:pPr>
            <w:r>
              <w:rPr>
                <w:rFonts w:hint="eastAsia" w:ascii="宋体" w:hAnsi="宋体" w:eastAsia="宋体" w:cs="Times New Roman"/>
                <w:szCs w:val="21"/>
              </w:rPr>
              <w:t>（1）学生问题行为界定</w:t>
            </w:r>
          </w:p>
          <w:p w14:paraId="68A078B3">
            <w:pPr>
              <w:jc w:val="left"/>
              <w:rPr>
                <w:rFonts w:hint="eastAsia" w:ascii="宋体" w:hAnsi="宋体" w:eastAsia="宋体" w:cs="Times New Roman"/>
                <w:szCs w:val="21"/>
              </w:rPr>
            </w:pPr>
            <w:r>
              <w:rPr>
                <w:rFonts w:hint="eastAsia" w:ascii="宋体" w:hAnsi="宋体" w:eastAsia="宋体" w:cs="Times New Roman"/>
                <w:szCs w:val="21"/>
              </w:rPr>
              <w:t>（2）学生常见问题行为及教育</w:t>
            </w:r>
          </w:p>
          <w:p w14:paraId="6F4369F4">
            <w:pPr>
              <w:jc w:val="left"/>
              <w:rPr>
                <w:rFonts w:hint="eastAsia" w:ascii="宋体" w:hAnsi="宋体" w:eastAsia="宋体" w:cs="Times New Roman"/>
                <w:szCs w:val="21"/>
              </w:rPr>
            </w:pPr>
            <w:r>
              <w:rPr>
                <w:rFonts w:hint="eastAsia" w:ascii="宋体" w:hAnsi="宋体" w:eastAsia="宋体" w:cs="Times New Roman"/>
                <w:szCs w:val="21"/>
              </w:rPr>
              <w:t>（3）学生问题行为干预</w:t>
            </w:r>
          </w:p>
        </w:tc>
        <w:tc>
          <w:tcPr>
            <w:tcW w:w="1175" w:type="dxa"/>
            <w:vAlign w:val="center"/>
          </w:tcPr>
          <w:p w14:paraId="0844AA4F">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3692" w:type="dxa"/>
            <w:vAlign w:val="center"/>
          </w:tcPr>
          <w:p w14:paraId="4D464522">
            <w:pPr>
              <w:jc w:val="left"/>
              <w:rPr>
                <w:rFonts w:hint="eastAsia" w:ascii="宋体" w:hAnsi="宋体" w:eastAsia="宋体" w:cs="Times New Roman"/>
                <w:szCs w:val="21"/>
              </w:rPr>
            </w:pPr>
            <w:r>
              <w:rPr>
                <w:rFonts w:hint="eastAsia" w:ascii="宋体" w:hAnsi="宋体" w:eastAsia="宋体" w:cs="Times New Roman"/>
                <w:szCs w:val="21"/>
              </w:rPr>
              <w:t>1.了解常见的各类学生问题行为及其表现；</w:t>
            </w:r>
          </w:p>
          <w:p w14:paraId="1BD6F82E">
            <w:pPr>
              <w:jc w:val="left"/>
              <w:rPr>
                <w:rFonts w:hint="eastAsia" w:ascii="宋体" w:hAnsi="宋体" w:eastAsia="宋体" w:cs="Times New Roman"/>
                <w:szCs w:val="21"/>
              </w:rPr>
            </w:pPr>
            <w:r>
              <w:rPr>
                <w:rFonts w:hint="eastAsia" w:ascii="宋体" w:hAnsi="宋体" w:eastAsia="宋体" w:cs="Times New Roman"/>
                <w:szCs w:val="21"/>
              </w:rPr>
              <w:t>2.学会判断和分析各类学生问题行为产生的原因；</w:t>
            </w:r>
          </w:p>
          <w:p w14:paraId="20FBB37C">
            <w:pPr>
              <w:jc w:val="left"/>
              <w:rPr>
                <w:rFonts w:hint="eastAsia" w:ascii="宋体" w:hAnsi="宋体" w:eastAsia="宋体" w:cs="Times New Roman"/>
                <w:szCs w:val="21"/>
              </w:rPr>
            </w:pPr>
            <w:r>
              <w:rPr>
                <w:rFonts w:hint="eastAsia" w:ascii="宋体" w:hAnsi="宋体" w:eastAsia="宋体" w:cs="Times New Roman"/>
                <w:szCs w:val="21"/>
              </w:rPr>
              <w:t>3.掌握学生问题行为干预的步骤和各种方法；</w:t>
            </w:r>
          </w:p>
          <w:p w14:paraId="73216D6B">
            <w:pPr>
              <w:jc w:val="left"/>
              <w:rPr>
                <w:rFonts w:hint="eastAsia" w:ascii="宋体" w:hAnsi="宋体" w:eastAsia="宋体" w:cs="Times New Roman"/>
                <w:szCs w:val="21"/>
              </w:rPr>
            </w:pPr>
            <w:r>
              <w:rPr>
                <w:rFonts w:hint="eastAsia" w:ascii="宋体" w:hAnsi="宋体" w:eastAsia="宋体" w:cs="Times New Roman"/>
                <w:szCs w:val="21"/>
              </w:rPr>
              <w:t>4.尝试提出解决各类学生问题行为的合理方案。</w:t>
            </w:r>
          </w:p>
        </w:tc>
        <w:tc>
          <w:tcPr>
            <w:tcW w:w="1573" w:type="dxa"/>
            <w:vAlign w:val="center"/>
          </w:tcPr>
          <w:p w14:paraId="646F85C0">
            <w:pPr>
              <w:jc w:val="left"/>
              <w:rPr>
                <w:rFonts w:hint="eastAsia" w:ascii="宋体" w:hAnsi="宋体" w:eastAsia="宋体" w:cs="Times New Roman"/>
                <w:szCs w:val="21"/>
              </w:rPr>
            </w:pPr>
            <w:r>
              <w:rPr>
                <w:rFonts w:hint="eastAsia" w:ascii="宋体" w:hAnsi="宋体" w:eastAsia="宋体" w:cs="Times New Roman"/>
                <w:szCs w:val="21"/>
              </w:rPr>
              <w:t>1.多媒体教学</w:t>
            </w:r>
          </w:p>
          <w:p w14:paraId="256AF589">
            <w:pPr>
              <w:jc w:val="left"/>
              <w:rPr>
                <w:rFonts w:hint="eastAsia" w:ascii="宋体" w:hAnsi="宋体" w:eastAsia="宋体" w:cs="Times New Roman"/>
                <w:szCs w:val="21"/>
              </w:rPr>
            </w:pPr>
            <w:r>
              <w:rPr>
                <w:rFonts w:hint="eastAsia" w:ascii="宋体" w:hAnsi="宋体" w:eastAsia="宋体" w:cs="Times New Roman"/>
                <w:szCs w:val="21"/>
              </w:rPr>
              <w:t>2.课堂讨论</w:t>
            </w:r>
          </w:p>
          <w:p w14:paraId="135A59FF">
            <w:pPr>
              <w:jc w:val="left"/>
              <w:rPr>
                <w:rFonts w:hint="eastAsia" w:ascii="宋体" w:hAnsi="宋体" w:eastAsia="宋体" w:cs="Times New Roman"/>
                <w:szCs w:val="21"/>
              </w:rPr>
            </w:pPr>
            <w:r>
              <w:rPr>
                <w:rFonts w:hint="eastAsia" w:ascii="宋体" w:hAnsi="宋体" w:eastAsia="宋体" w:cs="Times New Roman"/>
                <w:szCs w:val="21"/>
              </w:rPr>
              <w:t>3.课内实践</w:t>
            </w:r>
          </w:p>
          <w:p w14:paraId="0C3B3B38">
            <w:pPr>
              <w:jc w:val="left"/>
              <w:rPr>
                <w:rFonts w:hint="eastAsia" w:ascii="宋体" w:hAnsi="宋体" w:eastAsia="宋体" w:cs="Times New Roman"/>
                <w:szCs w:val="21"/>
              </w:rPr>
            </w:pPr>
            <w:r>
              <w:rPr>
                <w:rFonts w:hint="eastAsia" w:ascii="宋体" w:hAnsi="宋体" w:eastAsia="宋体" w:cs="Times New Roman"/>
                <w:szCs w:val="21"/>
              </w:rPr>
              <w:t>4.单元测验</w:t>
            </w:r>
          </w:p>
          <w:p w14:paraId="575B93EE">
            <w:pPr>
              <w:jc w:val="left"/>
              <w:rPr>
                <w:rFonts w:hint="eastAsia" w:ascii="宋体" w:hAnsi="宋体" w:eastAsia="宋体" w:cs="Times New Roman"/>
                <w:szCs w:val="21"/>
              </w:rPr>
            </w:pPr>
            <w:r>
              <w:rPr>
                <w:rFonts w:hint="eastAsia" w:ascii="宋体" w:hAnsi="宋体" w:eastAsia="宋体" w:cs="Times New Roman"/>
                <w:szCs w:val="21"/>
              </w:rPr>
              <w:t>5.学期考查</w:t>
            </w:r>
          </w:p>
        </w:tc>
        <w:tc>
          <w:tcPr>
            <w:tcW w:w="438" w:type="dxa"/>
            <w:vAlign w:val="center"/>
          </w:tcPr>
          <w:p w14:paraId="6F470154">
            <w:pPr>
              <w:jc w:val="center"/>
              <w:rPr>
                <w:rFonts w:hint="eastAsia" w:ascii="宋体" w:hAnsi="宋体" w:eastAsia="宋体" w:cs="Times New Roman"/>
                <w:szCs w:val="21"/>
              </w:rPr>
            </w:pPr>
            <w:r>
              <w:rPr>
                <w:rFonts w:hint="eastAsia" w:ascii="宋体" w:hAnsi="宋体" w:eastAsia="宋体" w:cs="Times New Roman"/>
                <w:szCs w:val="21"/>
              </w:rPr>
              <w:t>3</w:t>
            </w:r>
          </w:p>
        </w:tc>
      </w:tr>
      <w:tr w14:paraId="66BD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448BC130">
            <w:pPr>
              <w:jc w:val="center"/>
              <w:rPr>
                <w:rFonts w:hint="eastAsia" w:ascii="宋体" w:hAnsi="宋体" w:eastAsia="宋体" w:cs="Times New Roman"/>
                <w:szCs w:val="21"/>
              </w:rPr>
            </w:pPr>
          </w:p>
        </w:tc>
        <w:tc>
          <w:tcPr>
            <w:tcW w:w="8494" w:type="dxa"/>
            <w:gridSpan w:val="5"/>
            <w:vAlign w:val="center"/>
          </w:tcPr>
          <w:p w14:paraId="407F17B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遵循教育规律和儿童身心发展，尊重儿童个性，培养和形成正确的学生观、教师观，提升关爱学生，公平公正对待学生的意识。</w:t>
            </w:r>
          </w:p>
        </w:tc>
      </w:tr>
      <w:tr w14:paraId="108C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restart"/>
            <w:vAlign w:val="center"/>
          </w:tcPr>
          <w:p w14:paraId="17972DC9">
            <w:pPr>
              <w:jc w:val="center"/>
              <w:rPr>
                <w:rFonts w:hint="eastAsia" w:ascii="宋体" w:hAnsi="宋体" w:eastAsia="宋体" w:cs="Times New Roman"/>
                <w:szCs w:val="21"/>
              </w:rPr>
            </w:pPr>
            <w:r>
              <w:rPr>
                <w:rFonts w:hint="eastAsia" w:ascii="宋体" w:hAnsi="宋体" w:eastAsia="宋体" w:cs="Times New Roman"/>
                <w:szCs w:val="21"/>
              </w:rPr>
              <w:t>8.小学家校合作</w:t>
            </w:r>
          </w:p>
        </w:tc>
        <w:tc>
          <w:tcPr>
            <w:tcW w:w="1616" w:type="dxa"/>
            <w:vAlign w:val="center"/>
          </w:tcPr>
          <w:p w14:paraId="1DC4402E">
            <w:pPr>
              <w:jc w:val="left"/>
              <w:rPr>
                <w:rFonts w:hint="eastAsia" w:ascii="宋体" w:hAnsi="宋体" w:eastAsia="宋体" w:cs="Times New Roman"/>
                <w:szCs w:val="21"/>
              </w:rPr>
            </w:pPr>
            <w:r>
              <w:rPr>
                <w:rFonts w:hint="eastAsia" w:ascii="宋体" w:hAnsi="宋体" w:eastAsia="宋体" w:cs="Times New Roman"/>
                <w:szCs w:val="21"/>
              </w:rPr>
              <w:t>（1）家校合作的意义</w:t>
            </w:r>
          </w:p>
          <w:p w14:paraId="0CDED51E">
            <w:pPr>
              <w:jc w:val="left"/>
              <w:rPr>
                <w:rFonts w:hint="eastAsia" w:ascii="宋体" w:hAnsi="宋体" w:eastAsia="宋体" w:cs="Times New Roman"/>
                <w:szCs w:val="21"/>
              </w:rPr>
            </w:pPr>
            <w:r>
              <w:rPr>
                <w:rFonts w:hint="eastAsia" w:ascii="宋体" w:hAnsi="宋体" w:eastAsia="宋体" w:cs="Times New Roman"/>
                <w:szCs w:val="21"/>
              </w:rPr>
              <w:t>（2）班主任与家长沟通</w:t>
            </w:r>
          </w:p>
          <w:p w14:paraId="5BA2A069">
            <w:pPr>
              <w:jc w:val="left"/>
              <w:rPr>
                <w:rFonts w:hint="eastAsia" w:ascii="宋体" w:hAnsi="宋体" w:eastAsia="宋体" w:cs="Times New Roman"/>
                <w:szCs w:val="21"/>
              </w:rPr>
            </w:pPr>
            <w:r>
              <w:rPr>
                <w:rFonts w:hint="eastAsia" w:ascii="宋体" w:hAnsi="宋体" w:eastAsia="宋体" w:cs="Times New Roman"/>
                <w:szCs w:val="21"/>
              </w:rPr>
              <w:t>（3）家校合作的方式</w:t>
            </w:r>
          </w:p>
        </w:tc>
        <w:tc>
          <w:tcPr>
            <w:tcW w:w="1175" w:type="dxa"/>
            <w:vAlign w:val="center"/>
          </w:tcPr>
          <w:p w14:paraId="08F0C50C">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3692" w:type="dxa"/>
            <w:vAlign w:val="center"/>
          </w:tcPr>
          <w:p w14:paraId="17C41C3A">
            <w:pPr>
              <w:jc w:val="left"/>
              <w:rPr>
                <w:rFonts w:hint="eastAsia" w:ascii="宋体" w:hAnsi="宋体" w:eastAsia="宋体" w:cs="Times New Roman"/>
                <w:szCs w:val="21"/>
              </w:rPr>
            </w:pPr>
            <w:r>
              <w:rPr>
                <w:rFonts w:hint="eastAsia" w:ascii="宋体" w:hAnsi="宋体" w:eastAsia="宋体" w:cs="Times New Roman"/>
                <w:szCs w:val="21"/>
              </w:rPr>
              <w:t>1.明确家校合作的意义；</w:t>
            </w:r>
          </w:p>
          <w:p w14:paraId="597B9FC1">
            <w:pPr>
              <w:jc w:val="left"/>
              <w:rPr>
                <w:rFonts w:hint="eastAsia" w:ascii="宋体" w:hAnsi="宋体" w:eastAsia="宋体" w:cs="Times New Roman"/>
                <w:szCs w:val="21"/>
              </w:rPr>
            </w:pPr>
            <w:r>
              <w:rPr>
                <w:rFonts w:hint="eastAsia" w:ascii="宋体" w:hAnsi="宋体" w:eastAsia="宋体" w:cs="Times New Roman"/>
                <w:szCs w:val="21"/>
              </w:rPr>
              <w:t>2.了解班主任与家长沟通的目的、方式及注意事项；</w:t>
            </w:r>
          </w:p>
          <w:p w14:paraId="76ACA246">
            <w:pPr>
              <w:jc w:val="left"/>
              <w:rPr>
                <w:rFonts w:hint="eastAsia" w:ascii="宋体" w:hAnsi="宋体" w:eastAsia="宋体" w:cs="Times New Roman"/>
                <w:szCs w:val="21"/>
              </w:rPr>
            </w:pPr>
            <w:r>
              <w:rPr>
                <w:rFonts w:hint="eastAsia" w:ascii="宋体" w:hAnsi="宋体" w:eastAsia="宋体" w:cs="Times New Roman"/>
                <w:szCs w:val="21"/>
              </w:rPr>
              <w:t>3.学会判断班主任与家长产生冲突的原因并尝试提出解决方案</w:t>
            </w:r>
          </w:p>
        </w:tc>
        <w:tc>
          <w:tcPr>
            <w:tcW w:w="1573" w:type="dxa"/>
            <w:vAlign w:val="center"/>
          </w:tcPr>
          <w:p w14:paraId="57DA5E99">
            <w:pPr>
              <w:jc w:val="left"/>
              <w:rPr>
                <w:rFonts w:hint="eastAsia" w:ascii="宋体" w:hAnsi="宋体" w:eastAsia="宋体" w:cs="Times New Roman"/>
                <w:szCs w:val="21"/>
              </w:rPr>
            </w:pPr>
            <w:r>
              <w:rPr>
                <w:rFonts w:hint="eastAsia" w:ascii="宋体" w:hAnsi="宋体" w:eastAsia="宋体" w:cs="Times New Roman"/>
                <w:szCs w:val="21"/>
              </w:rPr>
              <w:t>1.多媒体教学</w:t>
            </w:r>
          </w:p>
          <w:p w14:paraId="6F6C077E">
            <w:pPr>
              <w:jc w:val="left"/>
              <w:rPr>
                <w:rFonts w:hint="eastAsia" w:ascii="宋体" w:hAnsi="宋体" w:eastAsia="宋体" w:cs="Times New Roman"/>
                <w:szCs w:val="21"/>
              </w:rPr>
            </w:pPr>
            <w:r>
              <w:rPr>
                <w:rFonts w:hint="eastAsia" w:ascii="宋体" w:hAnsi="宋体" w:eastAsia="宋体" w:cs="Times New Roman"/>
                <w:szCs w:val="21"/>
              </w:rPr>
              <w:t>2.课堂讨论</w:t>
            </w:r>
          </w:p>
          <w:p w14:paraId="1E686CE7">
            <w:pPr>
              <w:jc w:val="left"/>
              <w:rPr>
                <w:rFonts w:hint="eastAsia" w:ascii="宋体" w:hAnsi="宋体" w:eastAsia="宋体" w:cs="Times New Roman"/>
                <w:szCs w:val="21"/>
              </w:rPr>
            </w:pPr>
            <w:r>
              <w:rPr>
                <w:rFonts w:hint="eastAsia" w:ascii="宋体" w:hAnsi="宋体" w:eastAsia="宋体" w:cs="Times New Roman"/>
                <w:szCs w:val="21"/>
              </w:rPr>
              <w:t>3.学期考查</w:t>
            </w:r>
          </w:p>
        </w:tc>
        <w:tc>
          <w:tcPr>
            <w:tcW w:w="438" w:type="dxa"/>
            <w:vAlign w:val="center"/>
          </w:tcPr>
          <w:p w14:paraId="2726A4C6">
            <w:pPr>
              <w:jc w:val="center"/>
              <w:rPr>
                <w:rFonts w:hint="eastAsia" w:ascii="宋体" w:hAnsi="宋体" w:eastAsia="宋体" w:cs="Times New Roman"/>
                <w:szCs w:val="21"/>
              </w:rPr>
            </w:pPr>
            <w:r>
              <w:rPr>
                <w:rFonts w:hint="eastAsia" w:ascii="宋体" w:hAnsi="宋体" w:eastAsia="宋体" w:cs="Times New Roman"/>
                <w:szCs w:val="21"/>
              </w:rPr>
              <w:t>3</w:t>
            </w:r>
          </w:p>
        </w:tc>
      </w:tr>
      <w:tr w14:paraId="04D7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4" w:type="dxa"/>
            <w:vMerge w:val="continue"/>
            <w:vAlign w:val="center"/>
          </w:tcPr>
          <w:p w14:paraId="66A9300F">
            <w:pPr>
              <w:jc w:val="center"/>
              <w:rPr>
                <w:rFonts w:hint="eastAsia" w:ascii="宋体" w:hAnsi="宋体" w:eastAsia="宋体" w:cs="Times New Roman"/>
                <w:szCs w:val="21"/>
              </w:rPr>
            </w:pPr>
          </w:p>
        </w:tc>
        <w:tc>
          <w:tcPr>
            <w:tcW w:w="8494" w:type="dxa"/>
            <w:gridSpan w:val="5"/>
            <w:vAlign w:val="center"/>
          </w:tcPr>
          <w:p w14:paraId="03A5A5D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深刻理解家校合作的意义，增强家校共育的大局意识、合作精神、敬业精神。</w:t>
            </w:r>
          </w:p>
        </w:tc>
      </w:tr>
    </w:tbl>
    <w:p w14:paraId="682A925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443C174D">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056B1B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1384"/>
        <w:gridCol w:w="1125"/>
        <w:gridCol w:w="1375"/>
        <w:gridCol w:w="1203"/>
        <w:gridCol w:w="1433"/>
        <w:gridCol w:w="1325"/>
      </w:tblGrid>
      <w:tr w14:paraId="57F8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vAlign w:val="center"/>
          </w:tcPr>
          <w:p w14:paraId="28EBF9DE">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520" w:type="dxa"/>
            <w:gridSpan w:val="5"/>
            <w:vAlign w:val="center"/>
          </w:tcPr>
          <w:p w14:paraId="7FDD8B51">
            <w:pPr>
              <w:spacing w:line="312"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325" w:type="dxa"/>
            <w:vMerge w:val="restart"/>
            <w:vAlign w:val="center"/>
          </w:tcPr>
          <w:p w14:paraId="7136A22D">
            <w:pPr>
              <w:spacing w:line="312"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14C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vAlign w:val="center"/>
          </w:tcPr>
          <w:p w14:paraId="75467EE2">
            <w:pPr>
              <w:spacing w:line="312" w:lineRule="auto"/>
              <w:jc w:val="center"/>
              <w:rPr>
                <w:rFonts w:hint="eastAsia" w:ascii="宋体" w:hAnsi="宋体" w:eastAsia="宋体" w:cs="Times New Roman"/>
                <w:szCs w:val="21"/>
              </w:rPr>
            </w:pPr>
          </w:p>
        </w:tc>
        <w:tc>
          <w:tcPr>
            <w:tcW w:w="1384" w:type="dxa"/>
            <w:vAlign w:val="center"/>
          </w:tcPr>
          <w:p w14:paraId="2C7E994A">
            <w:pPr>
              <w:spacing w:line="312"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125" w:type="dxa"/>
            <w:vAlign w:val="center"/>
          </w:tcPr>
          <w:p w14:paraId="0FCB8906">
            <w:pPr>
              <w:spacing w:line="312"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375" w:type="dxa"/>
            <w:vAlign w:val="center"/>
          </w:tcPr>
          <w:p w14:paraId="0E545631">
            <w:pPr>
              <w:spacing w:line="312"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1203" w:type="dxa"/>
            <w:vAlign w:val="center"/>
          </w:tcPr>
          <w:p w14:paraId="547B5351">
            <w:pPr>
              <w:spacing w:line="312" w:lineRule="auto"/>
              <w:jc w:val="center"/>
              <w:rPr>
                <w:rFonts w:hint="eastAsia" w:ascii="宋体" w:hAnsi="宋体" w:eastAsia="宋体" w:cs="Times New Roman"/>
                <w:szCs w:val="21"/>
              </w:rPr>
            </w:pPr>
            <w:r>
              <w:rPr>
                <w:rFonts w:hint="eastAsia" w:ascii="宋体" w:hAnsi="宋体" w:eastAsia="宋体" w:cs="Times New Roman"/>
                <w:szCs w:val="21"/>
              </w:rPr>
              <w:t>平时测验</w:t>
            </w:r>
          </w:p>
        </w:tc>
        <w:tc>
          <w:tcPr>
            <w:tcW w:w="1433" w:type="dxa"/>
            <w:vAlign w:val="center"/>
          </w:tcPr>
          <w:p w14:paraId="1A382923">
            <w:pPr>
              <w:spacing w:line="312"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325" w:type="dxa"/>
            <w:vMerge w:val="continue"/>
            <w:vAlign w:val="center"/>
          </w:tcPr>
          <w:p w14:paraId="778EEDF7">
            <w:pPr>
              <w:spacing w:line="312" w:lineRule="auto"/>
              <w:jc w:val="center"/>
              <w:rPr>
                <w:rFonts w:hint="eastAsia" w:ascii="宋体" w:hAnsi="宋体" w:eastAsia="宋体" w:cs="Times New Roman"/>
                <w:szCs w:val="21"/>
              </w:rPr>
            </w:pPr>
          </w:p>
        </w:tc>
      </w:tr>
      <w:tr w14:paraId="16A5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20076E43">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384" w:type="dxa"/>
            <w:vAlign w:val="center"/>
          </w:tcPr>
          <w:p w14:paraId="581DB4F0">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06B348A9">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75" w:type="dxa"/>
            <w:vAlign w:val="center"/>
          </w:tcPr>
          <w:p w14:paraId="26F73D55">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03" w:type="dxa"/>
            <w:vAlign w:val="center"/>
          </w:tcPr>
          <w:p w14:paraId="75F8B9B8">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3" w:type="dxa"/>
            <w:vAlign w:val="center"/>
          </w:tcPr>
          <w:p w14:paraId="61F9D1DC">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25" w:type="dxa"/>
            <w:vAlign w:val="center"/>
          </w:tcPr>
          <w:p w14:paraId="47F4D53D">
            <w:pPr>
              <w:spacing w:line="312"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5717E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62D5622D">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384" w:type="dxa"/>
            <w:vAlign w:val="center"/>
          </w:tcPr>
          <w:p w14:paraId="2F244A3D">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1E40E399">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75" w:type="dxa"/>
            <w:vAlign w:val="center"/>
          </w:tcPr>
          <w:p w14:paraId="3A682B77">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03" w:type="dxa"/>
            <w:vAlign w:val="center"/>
          </w:tcPr>
          <w:p w14:paraId="495847A0">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3" w:type="dxa"/>
            <w:vAlign w:val="center"/>
          </w:tcPr>
          <w:p w14:paraId="5AC0A555">
            <w:pPr>
              <w:spacing w:line="312" w:lineRule="auto"/>
              <w:jc w:val="center"/>
              <w:rPr>
                <w:rFonts w:hint="eastAsia" w:ascii="宋体" w:hAnsi="宋体" w:eastAsia="宋体" w:cs="Times New Roman"/>
                <w:szCs w:val="21"/>
              </w:rPr>
            </w:pPr>
          </w:p>
        </w:tc>
        <w:tc>
          <w:tcPr>
            <w:tcW w:w="1325" w:type="dxa"/>
            <w:vAlign w:val="center"/>
          </w:tcPr>
          <w:p w14:paraId="2B939069">
            <w:pPr>
              <w:spacing w:line="312" w:lineRule="auto"/>
              <w:jc w:val="center"/>
              <w:rPr>
                <w:rFonts w:hint="eastAsia" w:ascii="宋体" w:hAnsi="宋体" w:eastAsia="宋体" w:cs="Times New Roman"/>
                <w:szCs w:val="21"/>
              </w:rPr>
            </w:pPr>
            <w:r>
              <w:rPr>
                <w:rFonts w:hint="eastAsia" w:ascii="宋体" w:hAnsi="宋体" w:eastAsia="宋体" w:cs="Times New Roman"/>
                <w:szCs w:val="21"/>
              </w:rPr>
              <w:t>60</w:t>
            </w:r>
          </w:p>
        </w:tc>
      </w:tr>
      <w:tr w14:paraId="6ADE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4A0CEFA9">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384" w:type="dxa"/>
            <w:vAlign w:val="center"/>
          </w:tcPr>
          <w:p w14:paraId="6D52F9B6">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2342BAB9">
            <w:pPr>
              <w:spacing w:line="312" w:lineRule="auto"/>
              <w:jc w:val="center"/>
              <w:rPr>
                <w:rFonts w:hint="eastAsia" w:ascii="宋体" w:hAnsi="宋体" w:eastAsia="宋体" w:cs="Times New Roman"/>
                <w:szCs w:val="21"/>
              </w:rPr>
            </w:pPr>
          </w:p>
        </w:tc>
        <w:tc>
          <w:tcPr>
            <w:tcW w:w="1375" w:type="dxa"/>
            <w:vAlign w:val="center"/>
          </w:tcPr>
          <w:p w14:paraId="52020B92">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03" w:type="dxa"/>
            <w:vAlign w:val="center"/>
          </w:tcPr>
          <w:p w14:paraId="3382BB01">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3" w:type="dxa"/>
            <w:vAlign w:val="center"/>
          </w:tcPr>
          <w:p w14:paraId="394CDC79">
            <w:pPr>
              <w:spacing w:line="312"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25" w:type="dxa"/>
            <w:vAlign w:val="center"/>
          </w:tcPr>
          <w:p w14:paraId="54B2CFE5">
            <w:pPr>
              <w:spacing w:line="312"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423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Align w:val="center"/>
          </w:tcPr>
          <w:p w14:paraId="6EE434EC">
            <w:pPr>
              <w:spacing w:line="312"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384" w:type="dxa"/>
            <w:vAlign w:val="center"/>
          </w:tcPr>
          <w:p w14:paraId="43CF320D">
            <w:pPr>
              <w:spacing w:line="312" w:lineRule="auto"/>
              <w:jc w:val="center"/>
              <w:rPr>
                <w:rFonts w:hint="eastAsia" w:ascii="宋体" w:hAnsi="宋体" w:eastAsia="宋体" w:cs="Times New Roman"/>
                <w:szCs w:val="21"/>
              </w:rPr>
            </w:pPr>
          </w:p>
        </w:tc>
        <w:tc>
          <w:tcPr>
            <w:tcW w:w="1125" w:type="dxa"/>
            <w:vAlign w:val="center"/>
          </w:tcPr>
          <w:p w14:paraId="7EC00159">
            <w:pPr>
              <w:spacing w:line="312" w:lineRule="auto"/>
              <w:jc w:val="center"/>
              <w:rPr>
                <w:rFonts w:hint="eastAsia" w:ascii="宋体" w:hAnsi="宋体" w:eastAsia="宋体" w:cs="Times New Roman"/>
                <w:szCs w:val="21"/>
              </w:rPr>
            </w:pPr>
          </w:p>
        </w:tc>
        <w:tc>
          <w:tcPr>
            <w:tcW w:w="1375" w:type="dxa"/>
            <w:vAlign w:val="center"/>
          </w:tcPr>
          <w:p w14:paraId="2700B15D">
            <w:pPr>
              <w:spacing w:line="312" w:lineRule="auto"/>
              <w:jc w:val="center"/>
              <w:rPr>
                <w:rFonts w:hint="eastAsia" w:ascii="宋体" w:hAnsi="宋体" w:eastAsia="宋体" w:cs="Times New Roman"/>
                <w:szCs w:val="21"/>
              </w:rPr>
            </w:pPr>
          </w:p>
        </w:tc>
        <w:tc>
          <w:tcPr>
            <w:tcW w:w="1203" w:type="dxa"/>
            <w:vAlign w:val="center"/>
          </w:tcPr>
          <w:p w14:paraId="60A10457">
            <w:pPr>
              <w:spacing w:line="312" w:lineRule="auto"/>
              <w:jc w:val="center"/>
              <w:rPr>
                <w:rFonts w:hint="eastAsia" w:ascii="宋体" w:hAnsi="宋体" w:eastAsia="宋体" w:cs="Times New Roman"/>
                <w:szCs w:val="21"/>
              </w:rPr>
            </w:pPr>
          </w:p>
        </w:tc>
        <w:tc>
          <w:tcPr>
            <w:tcW w:w="1433" w:type="dxa"/>
            <w:vAlign w:val="center"/>
          </w:tcPr>
          <w:p w14:paraId="1C30695B">
            <w:pPr>
              <w:spacing w:line="312" w:lineRule="auto"/>
              <w:jc w:val="center"/>
              <w:rPr>
                <w:rFonts w:hint="eastAsia" w:ascii="宋体" w:hAnsi="宋体" w:eastAsia="宋体" w:cs="Times New Roman"/>
                <w:szCs w:val="21"/>
              </w:rPr>
            </w:pPr>
          </w:p>
        </w:tc>
        <w:tc>
          <w:tcPr>
            <w:tcW w:w="1325" w:type="dxa"/>
            <w:vAlign w:val="center"/>
          </w:tcPr>
          <w:p w14:paraId="0846832E">
            <w:pPr>
              <w:spacing w:line="312"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6A4E14A">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E63A1F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596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F49182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231974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385F86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0A7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3E9CF6">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52187710">
            <w:pPr>
              <w:jc w:val="left"/>
              <w:rPr>
                <w:rFonts w:ascii="Times New Roman" w:hAnsi="Times New Roman" w:eastAsia="宋体" w:cs="Times New Roman"/>
                <w:szCs w:val="21"/>
              </w:rPr>
            </w:pPr>
            <w:r>
              <w:rPr>
                <w:rFonts w:hint="eastAsia" w:ascii="Times New Roman" w:hAnsi="Times New Roman" w:eastAsia="宋体" w:cs="Times New Roman"/>
                <w:szCs w:val="21"/>
              </w:rPr>
              <w:t>平时作业共3次，为小论文或讨论题，论述的逻辑性、充分性及深刻性为评分的主要依据。</w:t>
            </w:r>
          </w:p>
        </w:tc>
        <w:tc>
          <w:tcPr>
            <w:tcW w:w="0" w:type="auto"/>
            <w:vAlign w:val="center"/>
          </w:tcPr>
          <w:p w14:paraId="0F9C77A8">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0681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D6995F">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BC690C1">
            <w:pPr>
              <w:widowControl/>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BAC06C8">
            <w:pPr>
              <w:widowControl/>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318CED8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184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5120D40">
            <w:pPr>
              <w:rPr>
                <w:rFonts w:ascii="Times New Roman" w:hAnsi="Times New Roman" w:eastAsia="宋体" w:cs="Times New Roman"/>
                <w:szCs w:val="21"/>
              </w:rPr>
            </w:pPr>
            <w:r>
              <w:rPr>
                <w:rFonts w:hint="eastAsia" w:ascii="Times New Roman" w:hAnsi="Times New Roman" w:eastAsia="宋体" w:cs="Times New Roman"/>
                <w:szCs w:val="21"/>
              </w:rPr>
              <w:t>平时测验</w:t>
            </w:r>
          </w:p>
        </w:tc>
        <w:tc>
          <w:tcPr>
            <w:tcW w:w="7141" w:type="dxa"/>
            <w:vAlign w:val="center"/>
          </w:tcPr>
          <w:p w14:paraId="109332C9">
            <w:pPr>
              <w:widowControl/>
              <w:jc w:val="left"/>
              <w:rPr>
                <w:rFonts w:hint="eastAsia" w:ascii="宋体" w:hAnsi="宋体" w:eastAsia="宋体" w:cs="宋体"/>
                <w:kern w:val="0"/>
                <w:szCs w:val="21"/>
                <w:lang w:bidi="ar"/>
              </w:rPr>
            </w:pPr>
            <w:r>
              <w:rPr>
                <w:rFonts w:hint="eastAsia" w:ascii="宋体" w:hAnsi="宋体" w:eastAsia="宋体" w:cs="宋体"/>
                <w:kern w:val="0"/>
                <w:szCs w:val="21"/>
                <w:lang w:bidi="ar"/>
              </w:rPr>
              <w:t>以客观题形式进行线上进行测验，主要考查基础知识和基本理论的掌握，以题目的正确率为得分依据。</w:t>
            </w:r>
          </w:p>
        </w:tc>
        <w:tc>
          <w:tcPr>
            <w:tcW w:w="0" w:type="auto"/>
            <w:vAlign w:val="center"/>
          </w:tcPr>
          <w:p w14:paraId="7A0FF70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70B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5785DA5">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7141" w:type="dxa"/>
            <w:vAlign w:val="center"/>
          </w:tcPr>
          <w:p w14:paraId="55AD6326">
            <w:pPr>
              <w:widowControl/>
              <w:jc w:val="left"/>
              <w:rPr>
                <w:rFonts w:hint="eastAsia" w:ascii="宋体" w:hAnsi="宋体" w:eastAsia="宋体" w:cs="宋体"/>
                <w:kern w:val="0"/>
                <w:szCs w:val="21"/>
                <w:lang w:bidi="ar"/>
              </w:rPr>
            </w:pPr>
            <w:r>
              <w:rPr>
                <w:rFonts w:hint="eastAsia" w:ascii="宋体" w:hAnsi="宋体" w:eastAsia="宋体" w:cs="宋体"/>
                <w:kern w:val="0"/>
                <w:szCs w:val="21"/>
                <w:lang w:bidi="ar"/>
              </w:rPr>
              <w:t>建立“小学班队管理课内实践项目库”，要求每个学生在项目库中选择2个项目完成并提交，每个项目需在1000字以上。</w:t>
            </w:r>
          </w:p>
        </w:tc>
        <w:tc>
          <w:tcPr>
            <w:tcW w:w="0" w:type="auto"/>
            <w:vAlign w:val="center"/>
          </w:tcPr>
          <w:p w14:paraId="77C18B55">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5D88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3AECE4">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439EC816">
            <w:pPr>
              <w:jc w:val="left"/>
              <w:rPr>
                <w:rFonts w:ascii="Times New Roman" w:hAnsi="Times New Roman" w:eastAsia="宋体" w:cs="Times New Roman"/>
                <w:szCs w:val="21"/>
              </w:rPr>
            </w:pPr>
            <w:r>
              <w:rPr>
                <w:rFonts w:hint="eastAsia" w:ascii="Times New Roman" w:hAnsi="Times New Roman" w:eastAsia="宋体" w:cs="Times New Roman"/>
                <w:szCs w:val="21"/>
              </w:rPr>
              <w:t>对所学内容的认识、理解和应用情况</w:t>
            </w:r>
          </w:p>
        </w:tc>
        <w:tc>
          <w:tcPr>
            <w:tcW w:w="0" w:type="auto"/>
            <w:vAlign w:val="center"/>
          </w:tcPr>
          <w:p w14:paraId="3D6EC4FD">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38BC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6409B0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787B0D6">
            <w:pPr>
              <w:jc w:val="left"/>
              <w:rPr>
                <w:rFonts w:ascii="Times New Roman" w:hAnsi="Times New Roman" w:eastAsia="宋体" w:cs="Times New Roman"/>
                <w:szCs w:val="21"/>
              </w:rPr>
            </w:pPr>
          </w:p>
        </w:tc>
        <w:tc>
          <w:tcPr>
            <w:tcW w:w="0" w:type="auto"/>
            <w:vAlign w:val="center"/>
          </w:tcPr>
          <w:p w14:paraId="6B97C70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2FA9FD3">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03D215F5">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2DA1033D">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45"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45" DrawAspect="Content" ObjectID="_1468075745" r:id="rId33">
            <o:LockedField>false</o:LockedField>
          </o:OLEObject>
        </w:object>
      </w:r>
      <w:r>
        <w:rPr>
          <w:rFonts w:hint="eastAsia" w:ascii="Times New Roman" w:hAnsi="Times New Roman" w:eastAsia="宋体" w:cs="Times New Roman"/>
          <w:b/>
          <w:sz w:val="24"/>
        </w:rPr>
        <w:t>五、课程实践</w:t>
      </w:r>
    </w:p>
    <w:p w14:paraId="15060D96">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本课程在24学时理论教学的基础上，完成8学时的课内实践。</w:t>
      </w:r>
    </w:p>
    <w:p w14:paraId="2443DF7A">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课内实践活动安排</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885"/>
        <w:gridCol w:w="1136"/>
        <w:gridCol w:w="3286"/>
      </w:tblGrid>
      <w:tr w14:paraId="7A74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AE116B2">
            <w:pPr>
              <w:jc w:val="center"/>
              <w:rPr>
                <w:rFonts w:hint="eastAsia" w:ascii="宋体" w:hAnsi="宋体" w:eastAsia="宋体" w:cs="宋体"/>
                <w:b/>
                <w:bCs/>
                <w:szCs w:val="21"/>
              </w:rPr>
            </w:pPr>
            <w:r>
              <w:rPr>
                <w:rFonts w:hint="eastAsia" w:ascii="宋体" w:hAnsi="宋体" w:eastAsia="宋体" w:cs="宋体"/>
                <w:b/>
                <w:bCs/>
                <w:szCs w:val="21"/>
              </w:rPr>
              <w:t>活动主题</w:t>
            </w:r>
          </w:p>
        </w:tc>
        <w:tc>
          <w:tcPr>
            <w:tcW w:w="2885" w:type="dxa"/>
            <w:vAlign w:val="center"/>
          </w:tcPr>
          <w:p w14:paraId="0830A088">
            <w:pPr>
              <w:jc w:val="center"/>
              <w:rPr>
                <w:rFonts w:hint="eastAsia" w:ascii="宋体" w:hAnsi="宋体" w:eastAsia="宋体" w:cs="宋体"/>
                <w:b/>
                <w:bCs/>
                <w:szCs w:val="21"/>
              </w:rPr>
            </w:pPr>
            <w:r>
              <w:rPr>
                <w:rFonts w:hint="eastAsia" w:ascii="宋体" w:hAnsi="宋体" w:eastAsia="宋体" w:cs="宋体"/>
                <w:b/>
                <w:bCs/>
                <w:szCs w:val="21"/>
              </w:rPr>
              <w:t>活动内容</w:t>
            </w:r>
          </w:p>
        </w:tc>
        <w:tc>
          <w:tcPr>
            <w:tcW w:w="1136" w:type="dxa"/>
            <w:vAlign w:val="center"/>
          </w:tcPr>
          <w:p w14:paraId="4C8B2A2B">
            <w:pPr>
              <w:jc w:val="center"/>
              <w:rPr>
                <w:rFonts w:hint="eastAsia" w:ascii="宋体" w:hAnsi="宋体" w:eastAsia="宋体" w:cs="宋体"/>
                <w:b/>
                <w:bCs/>
                <w:szCs w:val="21"/>
              </w:rPr>
            </w:pPr>
            <w:r>
              <w:rPr>
                <w:rFonts w:hint="eastAsia" w:ascii="宋体" w:hAnsi="宋体" w:eastAsia="宋体" w:cs="宋体"/>
                <w:b/>
                <w:bCs/>
                <w:szCs w:val="21"/>
              </w:rPr>
              <w:t>活动方式</w:t>
            </w:r>
          </w:p>
        </w:tc>
        <w:tc>
          <w:tcPr>
            <w:tcW w:w="3286" w:type="dxa"/>
            <w:vAlign w:val="center"/>
          </w:tcPr>
          <w:p w14:paraId="11DD8645">
            <w:pPr>
              <w:jc w:val="center"/>
              <w:rPr>
                <w:rFonts w:hint="eastAsia" w:ascii="宋体" w:hAnsi="宋体" w:eastAsia="宋体" w:cs="宋体"/>
                <w:b/>
                <w:bCs/>
                <w:szCs w:val="21"/>
              </w:rPr>
            </w:pPr>
            <w:r>
              <w:rPr>
                <w:rFonts w:hint="eastAsia" w:ascii="宋体" w:hAnsi="宋体" w:eastAsia="宋体" w:cs="宋体"/>
                <w:b/>
                <w:bCs/>
                <w:szCs w:val="21"/>
              </w:rPr>
              <w:t>教学目标</w:t>
            </w:r>
          </w:p>
        </w:tc>
      </w:tr>
      <w:tr w14:paraId="34D0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6CDB0704">
            <w:pPr>
              <w:jc w:val="center"/>
              <w:rPr>
                <w:rFonts w:hint="eastAsia" w:ascii="宋体" w:hAnsi="宋体" w:eastAsia="宋体" w:cs="宋体"/>
                <w:szCs w:val="21"/>
              </w:rPr>
            </w:pPr>
            <w:r>
              <w:rPr>
                <w:rFonts w:hint="eastAsia" w:ascii="宋体" w:hAnsi="宋体" w:eastAsia="宋体" w:cs="宋体"/>
                <w:szCs w:val="21"/>
              </w:rPr>
              <w:t>班队常规管理</w:t>
            </w:r>
          </w:p>
        </w:tc>
        <w:tc>
          <w:tcPr>
            <w:tcW w:w="2885" w:type="dxa"/>
            <w:vAlign w:val="center"/>
          </w:tcPr>
          <w:p w14:paraId="29A91B84">
            <w:pPr>
              <w:jc w:val="left"/>
              <w:rPr>
                <w:rFonts w:hint="eastAsia" w:ascii="宋体" w:hAnsi="宋体" w:eastAsia="宋体" w:cs="宋体"/>
                <w:szCs w:val="21"/>
              </w:rPr>
            </w:pPr>
            <w:r>
              <w:rPr>
                <w:rFonts w:hint="eastAsia" w:ascii="宋体" w:hAnsi="宋体" w:eastAsia="宋体" w:cs="宋体"/>
                <w:szCs w:val="21"/>
              </w:rPr>
              <w:t>了解小学班队常规，学习《中小学教育惩戒规则》，选择一个年级，制定一份班队常规或结合教育实践案例，谈谈如何正确进行教育惩戒</w:t>
            </w:r>
          </w:p>
        </w:tc>
        <w:tc>
          <w:tcPr>
            <w:tcW w:w="1136" w:type="dxa"/>
            <w:vAlign w:val="center"/>
          </w:tcPr>
          <w:p w14:paraId="5791628E">
            <w:pPr>
              <w:jc w:val="center"/>
              <w:rPr>
                <w:rFonts w:hint="eastAsia" w:ascii="宋体" w:hAnsi="宋体" w:eastAsia="宋体" w:cs="宋体"/>
                <w:szCs w:val="21"/>
              </w:rPr>
            </w:pPr>
            <w:r>
              <w:rPr>
                <w:rFonts w:hint="eastAsia" w:ascii="宋体" w:hAnsi="宋体" w:eastAsia="宋体" w:cs="宋体"/>
                <w:szCs w:val="21"/>
              </w:rPr>
              <w:t>课堂研讨与分享</w:t>
            </w:r>
          </w:p>
        </w:tc>
        <w:tc>
          <w:tcPr>
            <w:tcW w:w="3286" w:type="dxa"/>
            <w:vAlign w:val="center"/>
          </w:tcPr>
          <w:p w14:paraId="7F7EC5FC">
            <w:pPr>
              <w:jc w:val="left"/>
              <w:rPr>
                <w:rFonts w:hint="eastAsia" w:ascii="宋体" w:hAnsi="宋体" w:eastAsia="宋体" w:cs="宋体"/>
                <w:szCs w:val="21"/>
              </w:rPr>
            </w:pPr>
            <w:r>
              <w:rPr>
                <w:rFonts w:hint="eastAsia" w:ascii="宋体" w:hAnsi="宋体" w:eastAsia="宋体" w:cs="宋体"/>
                <w:szCs w:val="21"/>
              </w:rPr>
              <w:t>1.学会制订班队常规，能够运用班队常规进行班级管理，掌握中小学教育惩戒规则，正确进行教育惩戒；</w:t>
            </w:r>
          </w:p>
          <w:p w14:paraId="3D7E6409">
            <w:pPr>
              <w:jc w:val="left"/>
              <w:rPr>
                <w:rFonts w:hint="eastAsia" w:ascii="宋体" w:hAnsi="宋体" w:eastAsia="宋体" w:cs="宋体"/>
                <w:szCs w:val="21"/>
              </w:rPr>
            </w:pPr>
            <w:r>
              <w:rPr>
                <w:rFonts w:hint="eastAsia" w:ascii="宋体" w:hAnsi="宋体" w:eastAsia="宋体" w:cs="宋体"/>
                <w:szCs w:val="21"/>
              </w:rPr>
              <w:t>2.树立正确的教育观、教师观、学生观，遵守教育法律法规，进行班级管理。</w:t>
            </w:r>
          </w:p>
        </w:tc>
      </w:tr>
      <w:tr w14:paraId="0C1D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DF61931">
            <w:pPr>
              <w:jc w:val="center"/>
              <w:rPr>
                <w:rFonts w:hint="eastAsia" w:ascii="宋体" w:hAnsi="宋体" w:eastAsia="宋体" w:cs="宋体"/>
                <w:szCs w:val="21"/>
              </w:rPr>
            </w:pPr>
            <w:r>
              <w:rPr>
                <w:rFonts w:hint="eastAsia" w:ascii="宋体" w:hAnsi="宋体" w:eastAsia="宋体" w:cs="宋体"/>
                <w:szCs w:val="21"/>
              </w:rPr>
              <w:t>班队活动管理</w:t>
            </w:r>
          </w:p>
        </w:tc>
        <w:tc>
          <w:tcPr>
            <w:tcW w:w="2885" w:type="dxa"/>
            <w:vAlign w:val="center"/>
          </w:tcPr>
          <w:p w14:paraId="2531369B">
            <w:pPr>
              <w:jc w:val="left"/>
              <w:rPr>
                <w:rFonts w:hint="eastAsia" w:ascii="宋体" w:hAnsi="宋体" w:eastAsia="宋体" w:cs="宋体"/>
                <w:szCs w:val="21"/>
              </w:rPr>
            </w:pPr>
            <w:r>
              <w:rPr>
                <w:rFonts w:hint="eastAsia" w:ascii="宋体" w:hAnsi="宋体" w:eastAsia="宋体" w:cs="宋体"/>
                <w:szCs w:val="21"/>
              </w:rPr>
              <w:t>观看以小学竞选班长为主题的纪录片《请投我一票》，分析这次班队活动中反映出的一些问题，并自选主题，设计“主题班会”活动方案</w:t>
            </w:r>
          </w:p>
        </w:tc>
        <w:tc>
          <w:tcPr>
            <w:tcW w:w="1136" w:type="dxa"/>
            <w:vAlign w:val="center"/>
          </w:tcPr>
          <w:p w14:paraId="6C08AEEC">
            <w:pPr>
              <w:jc w:val="center"/>
              <w:rPr>
                <w:rFonts w:hint="eastAsia" w:ascii="宋体" w:hAnsi="宋体" w:eastAsia="宋体" w:cs="宋体"/>
                <w:szCs w:val="21"/>
              </w:rPr>
            </w:pPr>
            <w:r>
              <w:rPr>
                <w:rFonts w:hint="eastAsia" w:ascii="宋体" w:hAnsi="宋体" w:eastAsia="宋体" w:cs="宋体"/>
                <w:szCs w:val="21"/>
              </w:rPr>
              <w:t>课堂研讨与分享</w:t>
            </w:r>
          </w:p>
        </w:tc>
        <w:tc>
          <w:tcPr>
            <w:tcW w:w="3286" w:type="dxa"/>
            <w:vAlign w:val="center"/>
          </w:tcPr>
          <w:p w14:paraId="242B930A">
            <w:pPr>
              <w:jc w:val="left"/>
              <w:rPr>
                <w:rFonts w:hint="eastAsia" w:ascii="宋体" w:hAnsi="宋体" w:eastAsia="宋体" w:cs="宋体"/>
                <w:szCs w:val="21"/>
              </w:rPr>
            </w:pPr>
            <w:r>
              <w:rPr>
                <w:rFonts w:hint="eastAsia" w:ascii="宋体" w:hAnsi="宋体" w:eastAsia="宋体" w:cs="宋体"/>
                <w:szCs w:val="21"/>
              </w:rPr>
              <w:t>1.学会组织班队活动；</w:t>
            </w:r>
          </w:p>
          <w:p w14:paraId="36B4B17D">
            <w:pPr>
              <w:jc w:val="left"/>
              <w:rPr>
                <w:rFonts w:hint="eastAsia" w:ascii="宋体" w:hAnsi="宋体" w:eastAsia="宋体" w:cs="宋体"/>
                <w:szCs w:val="21"/>
              </w:rPr>
            </w:pPr>
            <w:r>
              <w:rPr>
                <w:rFonts w:hint="eastAsia" w:ascii="宋体" w:hAnsi="宋体" w:eastAsia="宋体" w:cs="宋体"/>
                <w:szCs w:val="21"/>
              </w:rPr>
              <w:t>2.进一步理解活动育人的意义；</w:t>
            </w:r>
          </w:p>
          <w:p w14:paraId="4D09CD7E">
            <w:pPr>
              <w:jc w:val="left"/>
              <w:rPr>
                <w:rFonts w:hint="eastAsia" w:ascii="宋体" w:hAnsi="宋体" w:eastAsia="宋体" w:cs="宋体"/>
                <w:szCs w:val="21"/>
              </w:rPr>
            </w:pPr>
            <w:r>
              <w:rPr>
                <w:rFonts w:hint="eastAsia" w:ascii="宋体" w:hAnsi="宋体" w:eastAsia="宋体" w:cs="宋体"/>
                <w:szCs w:val="21"/>
              </w:rPr>
              <w:t>3.深刻领会班主任素养对学生成长的重要性，提升努力成为“四有”好教师的意愿。</w:t>
            </w:r>
          </w:p>
        </w:tc>
      </w:tr>
      <w:tr w14:paraId="3D28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9" w:hRule="atLeast"/>
        </w:trPr>
        <w:tc>
          <w:tcPr>
            <w:tcW w:w="1212" w:type="dxa"/>
            <w:vAlign w:val="center"/>
          </w:tcPr>
          <w:p w14:paraId="5A2FDD69">
            <w:pPr>
              <w:jc w:val="center"/>
              <w:rPr>
                <w:rFonts w:hint="eastAsia" w:ascii="宋体" w:hAnsi="宋体" w:eastAsia="宋体" w:cs="宋体"/>
                <w:szCs w:val="21"/>
              </w:rPr>
            </w:pPr>
            <w:r>
              <w:rPr>
                <w:rFonts w:hint="eastAsia" w:ascii="宋体" w:hAnsi="宋体" w:eastAsia="宋体" w:cs="宋体"/>
                <w:szCs w:val="21"/>
              </w:rPr>
              <w:t>班队环境管理</w:t>
            </w:r>
          </w:p>
        </w:tc>
        <w:tc>
          <w:tcPr>
            <w:tcW w:w="2885" w:type="dxa"/>
            <w:vAlign w:val="center"/>
          </w:tcPr>
          <w:p w14:paraId="794DDEAE">
            <w:pPr>
              <w:jc w:val="left"/>
              <w:rPr>
                <w:rFonts w:hint="eastAsia" w:ascii="宋体" w:hAnsi="宋体" w:eastAsia="宋体" w:cs="宋体"/>
                <w:szCs w:val="21"/>
              </w:rPr>
            </w:pPr>
            <w:r>
              <w:rPr>
                <w:rFonts w:hint="eastAsia" w:ascii="宋体" w:hAnsi="宋体" w:eastAsia="宋体" w:cs="宋体"/>
                <w:szCs w:val="21"/>
              </w:rPr>
              <w:t>结合见习实习经历，谈谈班主任进行班级环境创设应注意的问题。</w:t>
            </w:r>
          </w:p>
        </w:tc>
        <w:tc>
          <w:tcPr>
            <w:tcW w:w="1136" w:type="dxa"/>
            <w:vAlign w:val="center"/>
          </w:tcPr>
          <w:p w14:paraId="3B64BBBD">
            <w:pPr>
              <w:jc w:val="center"/>
              <w:rPr>
                <w:rFonts w:hint="eastAsia" w:ascii="宋体" w:hAnsi="宋体" w:eastAsia="宋体" w:cs="宋体"/>
                <w:szCs w:val="21"/>
              </w:rPr>
            </w:pPr>
            <w:r>
              <w:rPr>
                <w:rFonts w:hint="eastAsia" w:ascii="宋体" w:hAnsi="宋体" w:eastAsia="宋体" w:cs="宋体"/>
                <w:szCs w:val="21"/>
              </w:rPr>
              <w:t>课堂研讨与分享</w:t>
            </w:r>
          </w:p>
        </w:tc>
        <w:tc>
          <w:tcPr>
            <w:tcW w:w="3286" w:type="dxa"/>
            <w:vAlign w:val="center"/>
          </w:tcPr>
          <w:p w14:paraId="22830553">
            <w:pPr>
              <w:jc w:val="left"/>
              <w:rPr>
                <w:rFonts w:hint="eastAsia" w:ascii="宋体" w:hAnsi="宋体" w:eastAsia="宋体" w:cs="宋体"/>
                <w:szCs w:val="21"/>
              </w:rPr>
            </w:pPr>
            <w:r>
              <w:rPr>
                <w:rFonts w:hint="eastAsia" w:ascii="宋体" w:hAnsi="宋体" w:eastAsia="宋体" w:cs="宋体"/>
                <w:szCs w:val="21"/>
              </w:rPr>
              <w:t>1.掌握班级环境创设的要求与方法；</w:t>
            </w:r>
          </w:p>
          <w:p w14:paraId="176FF575">
            <w:pPr>
              <w:jc w:val="left"/>
              <w:rPr>
                <w:rFonts w:hint="eastAsia" w:ascii="宋体" w:hAnsi="宋体" w:eastAsia="宋体" w:cs="宋体"/>
                <w:szCs w:val="21"/>
              </w:rPr>
            </w:pPr>
            <w:r>
              <w:rPr>
                <w:rFonts w:hint="eastAsia" w:ascii="宋体" w:hAnsi="宋体" w:eastAsia="宋体" w:cs="宋体"/>
                <w:szCs w:val="21"/>
              </w:rPr>
              <w:t>2.提高对教师职业特性的认识，增强文化育人的意识。</w:t>
            </w:r>
          </w:p>
        </w:tc>
      </w:tr>
      <w:tr w14:paraId="25C9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4A7C0915">
            <w:pPr>
              <w:jc w:val="center"/>
              <w:rPr>
                <w:rFonts w:hint="eastAsia" w:ascii="宋体" w:hAnsi="宋体" w:eastAsia="宋体" w:cs="宋体"/>
                <w:szCs w:val="21"/>
              </w:rPr>
            </w:pPr>
            <w:r>
              <w:rPr>
                <w:rFonts w:hint="eastAsia" w:ascii="宋体" w:hAnsi="宋体" w:eastAsia="宋体" w:cs="宋体"/>
                <w:szCs w:val="21"/>
              </w:rPr>
              <w:t>学生问题行为管理与家校沟通</w:t>
            </w:r>
          </w:p>
        </w:tc>
        <w:tc>
          <w:tcPr>
            <w:tcW w:w="2885" w:type="dxa"/>
            <w:vAlign w:val="center"/>
          </w:tcPr>
          <w:p w14:paraId="13753CFA">
            <w:pPr>
              <w:jc w:val="left"/>
              <w:rPr>
                <w:rFonts w:hint="eastAsia" w:ascii="宋体" w:hAnsi="宋体" w:eastAsia="宋体" w:cs="宋体"/>
                <w:szCs w:val="21"/>
              </w:rPr>
            </w:pPr>
            <w:r>
              <w:rPr>
                <w:rFonts w:hint="eastAsia" w:ascii="宋体" w:hAnsi="宋体" w:eastAsia="宋体" w:cs="宋体"/>
                <w:szCs w:val="21"/>
              </w:rPr>
              <w:t>分析当前小学校园霸凌问题的表现、成因及应对策略；并谈谈家校沟通存在的问题及应对</w:t>
            </w:r>
          </w:p>
        </w:tc>
        <w:tc>
          <w:tcPr>
            <w:tcW w:w="1136" w:type="dxa"/>
            <w:vAlign w:val="center"/>
          </w:tcPr>
          <w:p w14:paraId="13B10E34">
            <w:pPr>
              <w:jc w:val="center"/>
              <w:rPr>
                <w:rFonts w:hint="eastAsia" w:ascii="宋体" w:hAnsi="宋体" w:eastAsia="宋体" w:cs="宋体"/>
                <w:szCs w:val="21"/>
              </w:rPr>
            </w:pPr>
            <w:r>
              <w:rPr>
                <w:rFonts w:hint="eastAsia" w:ascii="宋体" w:hAnsi="宋体" w:eastAsia="宋体" w:cs="宋体"/>
                <w:szCs w:val="21"/>
              </w:rPr>
              <w:t>课堂研讨与分享</w:t>
            </w:r>
          </w:p>
        </w:tc>
        <w:tc>
          <w:tcPr>
            <w:tcW w:w="3286" w:type="dxa"/>
            <w:vAlign w:val="center"/>
          </w:tcPr>
          <w:p w14:paraId="0A7A8A08">
            <w:pPr>
              <w:jc w:val="left"/>
              <w:rPr>
                <w:rFonts w:hint="eastAsia" w:ascii="宋体" w:hAnsi="宋体" w:eastAsia="宋体" w:cs="宋体"/>
                <w:szCs w:val="21"/>
              </w:rPr>
            </w:pPr>
            <w:r>
              <w:rPr>
                <w:rFonts w:hint="eastAsia" w:ascii="宋体" w:hAnsi="宋体" w:eastAsia="宋体" w:cs="宋体"/>
                <w:szCs w:val="21"/>
              </w:rPr>
              <w:t>1.了解常见的学生问题行为，掌握处理学生问题行为的策略；提升家校沟通技巧；</w:t>
            </w:r>
          </w:p>
          <w:p w14:paraId="1A0DFDAB">
            <w:pPr>
              <w:jc w:val="left"/>
              <w:rPr>
                <w:rFonts w:hint="eastAsia" w:ascii="宋体" w:hAnsi="宋体" w:eastAsia="宋体" w:cs="宋体"/>
                <w:szCs w:val="21"/>
              </w:rPr>
            </w:pPr>
            <w:r>
              <w:rPr>
                <w:rFonts w:hint="eastAsia" w:ascii="宋体" w:hAnsi="宋体" w:eastAsia="宋体" w:cs="宋体"/>
                <w:szCs w:val="21"/>
              </w:rPr>
              <w:t>2.增强从教的意愿，以及成为小学教师的荣耀感、责任感和使命感。</w:t>
            </w:r>
          </w:p>
        </w:tc>
      </w:tr>
    </w:tbl>
    <w:p w14:paraId="38D25574">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78252884">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49046F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根据学生课堂教学中的反应、课后反馈、课内实践、作业质量，以及领导、督导、教师同行等的听课情况，及时发现和改进教学中的不足之处，确保相应毕业要求指标点达成。</w:t>
      </w:r>
    </w:p>
    <w:p w14:paraId="6DFE501C">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505423BA">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沈佳琪.小学班管队理，高等教育出版社，2021。</w:t>
      </w:r>
    </w:p>
    <w:p w14:paraId="46EB8397">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54241CB5">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 李镇西.我这样做班主任——李镇西30年班级管理精华. 漓江出版社，2018.</w:t>
      </w:r>
    </w:p>
    <w:p w14:paraId="086E3854">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 xml:space="preserve">2. 曹长德. 当代班级管理引论. 中国科学技术大学出版社, 2019. </w:t>
      </w:r>
    </w:p>
    <w:p w14:paraId="0773A990">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 xml:space="preserve">3. 王怀玉. 从班级到成长共同体：不一样的带班策略.华东师范大学出版社, 2019. </w:t>
      </w:r>
    </w:p>
    <w:p w14:paraId="7B3CB1E1">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4. 李明敏等. 班级管理原理与方法. 中国社会科学出版社, 2017.</w:t>
      </w:r>
    </w:p>
    <w:p w14:paraId="62810A42">
      <w:pPr>
        <w:spacing w:line="360" w:lineRule="auto"/>
        <w:ind w:firstLine="420" w:firstLineChars="200"/>
      </w:pPr>
      <w:r>
        <w:rPr>
          <w:rFonts w:hint="eastAsia" w:ascii="Times New Roman" w:hAnsi="Times New Roman" w:eastAsia="宋体" w:cs="Times New Roman"/>
          <w:bCs/>
          <w:szCs w:val="21"/>
        </w:rPr>
        <w:t>5. 李继秀, 陈小勤. 班级管理案例精选. 安徽大学出版社, 2018.</w:t>
      </w:r>
    </w:p>
    <w:p w14:paraId="0B737A32">
      <w:pPr>
        <w:spacing w:line="312" w:lineRule="auto"/>
        <w:ind w:right="240"/>
        <w:jc w:val="right"/>
        <w:rPr>
          <w:rFonts w:ascii="Times New Roman" w:hAnsi="Times New Roman" w:eastAsia="宋体" w:cs="Times New Roman"/>
          <w:szCs w:val="21"/>
        </w:rPr>
      </w:pPr>
      <w:r>
        <w:rPr>
          <w:rFonts w:hint="eastAsia" w:ascii="Times New Roman" w:hAnsi="Times New Roman" w:eastAsia="宋体" w:cs="Times New Roman"/>
          <w:szCs w:val="21"/>
        </w:rPr>
        <w:t>执 笔 人： 姚玉香</w:t>
      </w:r>
    </w:p>
    <w:p w14:paraId="68237913">
      <w:pPr>
        <w:wordWrap w:val="0"/>
        <w:spacing w:line="312" w:lineRule="auto"/>
        <w:ind w:right="240"/>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定 人： 王  健</w:t>
      </w:r>
    </w:p>
    <w:p w14:paraId="33E8AE7C">
      <w:pPr>
        <w:spacing w:line="312" w:lineRule="auto"/>
        <w:ind w:right="240"/>
        <w:jc w:val="right"/>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007AAA0F">
      <w:pPr>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批准时间：2025年7月1日</w:t>
      </w:r>
    </w:p>
    <w:p w14:paraId="7CDAC136">
      <w:pPr>
        <w:spacing w:line="360" w:lineRule="auto"/>
        <w:ind w:firstLine="420" w:firstLineChars="200"/>
        <w:jc w:val="right"/>
        <w:rPr>
          <w:rFonts w:ascii="Times New Roman" w:hAnsi="Times New Roman" w:eastAsia="宋体" w:cs="Times New Roman"/>
          <w:b/>
          <w:sz w:val="24"/>
        </w:rPr>
      </w:pPr>
      <w:r>
        <w:rPr>
          <w:rFonts w:hint="eastAsia" w:ascii="等线" w:hAnsi="等线" w:eastAsia="等线" w:cs="等线"/>
          <w:szCs w:val="44"/>
        </w:rPr>
        <w:br w:type="page"/>
      </w:r>
    </w:p>
    <w:p w14:paraId="6F33248F">
      <w:pPr>
        <w:spacing w:line="360" w:lineRule="auto"/>
        <w:jc w:val="center"/>
        <w:outlineLvl w:val="0"/>
        <w:rPr>
          <w:rFonts w:ascii="Times New Roman" w:hAnsi="Times New Roman" w:eastAsia="宋体" w:cs="Times New Roman"/>
          <w:b/>
          <w:sz w:val="44"/>
          <w:szCs w:val="44"/>
        </w:rPr>
      </w:pPr>
      <w:bookmarkStart w:id="685" w:name="_Toc23760"/>
      <w:r>
        <w:rPr>
          <w:rFonts w:hint="eastAsia" w:ascii="Times New Roman" w:hAnsi="Times New Roman" w:eastAsia="宋体" w:cs="Times New Roman"/>
          <w:b/>
          <w:sz w:val="44"/>
          <w:szCs w:val="44"/>
        </w:rPr>
        <w:t>《教师口语与礼仪》课程教学大纲</w:t>
      </w:r>
      <w:bookmarkEnd w:id="685"/>
    </w:p>
    <w:p w14:paraId="180E7591">
      <w:pPr>
        <w:spacing w:line="360" w:lineRule="auto"/>
        <w:jc w:val="center"/>
        <w:rPr>
          <w:rFonts w:ascii="Times New Roman" w:hAnsi="Times New Roman" w:eastAsia="宋体" w:cs="Times New Roman"/>
          <w:b/>
          <w:bCs/>
          <w:sz w:val="28"/>
          <w:szCs w:val="28"/>
        </w:rPr>
      </w:pPr>
      <w:bookmarkStart w:id="686" w:name="_Toc25148"/>
      <w:r>
        <w:rPr>
          <w:rFonts w:hint="eastAsia" w:ascii="Times New Roman" w:hAnsi="Times New Roman" w:eastAsia="宋体" w:cs="Times New Roman"/>
          <w:b/>
          <w:bCs/>
          <w:sz w:val="28"/>
          <w:szCs w:val="28"/>
        </w:rPr>
        <w:t>（Teachers' Spoken Language and Etiquette）</w:t>
      </w:r>
      <w:bookmarkEnd w:id="686"/>
    </w:p>
    <w:p w14:paraId="7DC0F9A3"/>
    <w:p w14:paraId="6F35EAB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hint="eastAsia" w:ascii="Times New Roman" w:hAnsi="Times New Roman" w:eastAsia="宋体" w:cs="Times New Roman"/>
          <w:bCs/>
          <w:sz w:val="24"/>
        </w:rPr>
        <w:t>教师口语与礼仪</w:t>
      </w:r>
    </w:p>
    <w:p w14:paraId="027B0657">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hint="eastAsia" w:ascii="Times New Roman" w:hAnsi="Times New Roman" w:eastAsia="宋体" w:cs="Times New Roman"/>
          <w:bCs/>
          <w:sz w:val="24"/>
        </w:rPr>
        <w:t>2401060</w:t>
      </w:r>
    </w:p>
    <w:p w14:paraId="44AEFB91">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Times New Roman" w:hAnsi="Times New Roman" w:eastAsia="宋体" w:cs="Times New Roman"/>
          <w:bCs/>
          <w:sz w:val="24"/>
        </w:rPr>
        <w:t>1</w:t>
      </w:r>
    </w:p>
    <w:p w14:paraId="07F5B9DB">
      <w:pPr>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kern w:val="0"/>
          <w:sz w:val="24"/>
        </w:rPr>
        <w:t>16</w:t>
      </w:r>
    </w:p>
    <w:p w14:paraId="78E7B84F">
      <w:pPr>
        <w:spacing w:line="360" w:lineRule="auto"/>
        <w:ind w:firstLine="482" w:firstLineChars="200"/>
        <w:rPr>
          <w:rFonts w:ascii="Times New Roman" w:hAnsi="Times New Roman" w:eastAsia="宋体" w:cs="Times New Roman"/>
          <w:bCs/>
          <w:sz w:val="24"/>
        </w:rPr>
      </w:pPr>
      <w:r>
        <w:rPr>
          <w:rFonts w:hint="eastAsia" w:ascii="Times New Roman" w:hAnsi="Times New Roman" w:eastAsia="宋体" w:cs="Times New Roman"/>
          <w:b/>
          <w:sz w:val="24"/>
        </w:rPr>
        <w:t>先修课程：</w:t>
      </w:r>
      <w:r>
        <w:rPr>
          <w:rFonts w:hint="eastAsia" w:ascii="Times New Roman" w:hAnsi="Times New Roman" w:eastAsia="宋体" w:cs="Times New Roman"/>
          <w:bCs/>
          <w:sz w:val="24"/>
        </w:rPr>
        <w:t>教师职业道德、普通话训练</w:t>
      </w:r>
    </w:p>
    <w:p w14:paraId="6C969FE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w:t>
      </w:r>
      <w:r>
        <w:rPr>
          <w:rFonts w:ascii="Times New Roman" w:hAnsi="Times New Roman" w:eastAsia="宋体" w:cs="Times New Roman"/>
          <w:kern w:val="0"/>
          <w:sz w:val="24"/>
        </w:rPr>
        <w:t>小学教育</w:t>
      </w:r>
    </w:p>
    <w:p w14:paraId="6981BF87">
      <w:pPr>
        <w:spacing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319D910F">
      <w:pPr>
        <w:autoSpaceDE w:val="0"/>
        <w:autoSpaceDN w:val="0"/>
        <w:adjustRightInd w:val="0"/>
        <w:spacing w:line="360" w:lineRule="auto"/>
        <w:ind w:firstLine="420" w:firstLineChars="200"/>
        <w:jc w:val="left"/>
        <w:rPr>
          <w:rFonts w:hint="eastAsia" w:ascii="宋体" w:hAnsi="宋体" w:eastAsia="宋体" w:cs="Times New Roman"/>
          <w:b/>
          <w:szCs w:val="21"/>
        </w:rPr>
      </w:pPr>
      <w:r>
        <w:rPr>
          <w:rFonts w:ascii="宋体" w:hAnsi="宋体" w:eastAsia="宋体" w:cs="宋体"/>
          <w:szCs w:val="21"/>
        </w:rPr>
        <w:t>本课程旨在培养师范生及在职教师的口语表达能力和职业礼仪素养，助力提升教学效果与职业形象。课程内容涵盖教师口语艺术（如普通话训练、课堂语言设计、演讲技巧）和职业礼仪规范（如仪态举止、着装礼仪、师生沟通礼仪等），结合教育心理学与真实教学场景，强化语言感染力与互动能力。通过理论讲解、案例分析、情境模拟及实践训练，学生将掌握清晰、得体、富有魅力的表达方式，塑造专业、亲切的教师形象，为未来教育教学工作奠定坚实基础。</w:t>
      </w:r>
    </w:p>
    <w:p w14:paraId="04D2BF53">
      <w:pPr>
        <w:spacing w:line="360" w:lineRule="auto"/>
        <w:jc w:val="left"/>
        <w:rPr>
          <w:rFonts w:ascii="Times New Roman" w:hAnsi="Times New Roman" w:eastAsia="宋体" w:cs="Times New Roman"/>
          <w:sz w:val="24"/>
        </w:rPr>
      </w:pPr>
      <w:r>
        <w:rPr>
          <w:rFonts w:hint="eastAsia" w:ascii="宋体" w:hAnsi="宋体" w:eastAsia="宋体" w:cs="Times New Roman"/>
          <w:b/>
          <w:sz w:val="24"/>
        </w:rPr>
        <w:t>二</w:t>
      </w:r>
      <w:r>
        <w:rPr>
          <w:rFonts w:ascii="宋体" w:hAnsi="宋体" w:eastAsia="宋体" w:cs="Times New Roman"/>
          <w:b/>
          <w:sz w:val="24"/>
        </w:rPr>
        <w:t>、课程目标</w:t>
      </w:r>
    </w:p>
    <w:p w14:paraId="24028296">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0F586726">
      <w:pPr>
        <w:spacing w:line="312"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目标1.掌握普通话中的语流音变现象，掌握各种文体的朗读技巧，提高学生的普通话水平、礼仪标准和实际应用能力。</w:t>
      </w:r>
    </w:p>
    <w:p w14:paraId="4D79C830">
      <w:pPr>
        <w:spacing w:line="312"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目标2.掌握教师教学口语、礼仪的特点，在课堂练习中正确使用各类教学语言和礼仪标准。</w:t>
      </w:r>
    </w:p>
    <w:p w14:paraId="5401B9CB">
      <w:pPr>
        <w:spacing w:line="312"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目标3.熟知教师教育口语和礼仪的基本特点，能针对不同环境、不同对象使用教育语言和行为标准。</w:t>
      </w:r>
    </w:p>
    <w:p w14:paraId="61419136">
      <w:pPr>
        <w:spacing w:line="312"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目标4.熟悉教师职业口语、礼仪的特点和类型，提高应变能力。</w:t>
      </w:r>
    </w:p>
    <w:p w14:paraId="2B6CB71C">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5523"/>
        <w:gridCol w:w="1191"/>
      </w:tblGrid>
      <w:tr w14:paraId="4D97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04B975A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523" w:type="dxa"/>
            <w:vAlign w:val="center"/>
          </w:tcPr>
          <w:p w14:paraId="59E26DC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E99CE9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41D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493A8F8A">
            <w:pPr>
              <w:autoSpaceDE w:val="0"/>
              <w:autoSpaceDN w:val="0"/>
              <w:rPr>
                <w:rFonts w:ascii="Times New Roman" w:hAnsi="Times New Roman" w:eastAsia="宋体" w:cs="Times New Roman"/>
                <w:szCs w:val="21"/>
              </w:rPr>
            </w:pPr>
            <w:r>
              <w:rPr>
                <w:rFonts w:hint="eastAsia" w:ascii="宋体" w:hAnsi="宋体" w:cs="宋体"/>
                <w:b/>
                <w:bCs/>
                <w:kern w:val="0"/>
                <w:szCs w:val="21"/>
              </w:rPr>
              <w:t>毕业要求2：</w:t>
            </w:r>
            <w:r>
              <w:rPr>
                <w:rFonts w:hint="eastAsia" w:ascii="宋体" w:hAnsi="宋体" w:cs="宋体"/>
                <w:b/>
                <w:bCs/>
                <w:szCs w:val="21"/>
              </w:rPr>
              <w:t>教育情怀</w:t>
            </w:r>
          </w:p>
        </w:tc>
        <w:tc>
          <w:tcPr>
            <w:tcW w:w="5523" w:type="dxa"/>
            <w:vAlign w:val="center"/>
          </w:tcPr>
          <w:p w14:paraId="66A1847C">
            <w:pPr>
              <w:spacing w:line="276" w:lineRule="auto"/>
              <w:jc w:val="left"/>
              <w:rPr>
                <w:rFonts w:hint="eastAsia" w:ascii="宋体" w:hAnsi="宋体" w:cs="宋体"/>
                <w:szCs w:val="21"/>
              </w:rPr>
            </w:pPr>
            <w:r>
              <w:rPr>
                <w:rFonts w:hint="eastAsia" w:ascii="宋体" w:hAnsi="宋体" w:cs="宋体"/>
                <w:b/>
                <w:szCs w:val="21"/>
              </w:rPr>
              <w:t>指标点2-3</w:t>
            </w:r>
            <w:r>
              <w:rPr>
                <w:rFonts w:hint="eastAsia" w:ascii="宋体" w:hAnsi="宋体" w:cs="宋体"/>
                <w:szCs w:val="21"/>
              </w:rPr>
              <w:t>：【自身修养良好】具有较好的人文艺术底蕴与科学精神，言行举止符合教师职业标准，情感积极，人格健全，身心健康。</w:t>
            </w:r>
          </w:p>
        </w:tc>
        <w:tc>
          <w:tcPr>
            <w:tcW w:w="1191" w:type="dxa"/>
            <w:vAlign w:val="center"/>
          </w:tcPr>
          <w:p w14:paraId="5D6483B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w:t>
            </w:r>
          </w:p>
        </w:tc>
      </w:tr>
      <w:tr w14:paraId="3271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297DF437">
            <w:pPr>
              <w:autoSpaceDE w:val="0"/>
              <w:autoSpaceDN w:val="0"/>
              <w:rPr>
                <w:rFonts w:hint="eastAsia" w:ascii="宋体" w:hAnsi="宋体" w:cs="宋体"/>
                <w:b/>
                <w:bCs/>
                <w:kern w:val="0"/>
                <w:szCs w:val="21"/>
              </w:rPr>
            </w:pPr>
            <w:r>
              <w:rPr>
                <w:rFonts w:hint="eastAsia" w:ascii="宋体" w:hAnsi="宋体" w:cs="宋体"/>
                <w:b/>
                <w:bCs/>
                <w:szCs w:val="21"/>
              </w:rPr>
              <w:t>毕业要求4：教学能力</w:t>
            </w:r>
          </w:p>
        </w:tc>
        <w:tc>
          <w:tcPr>
            <w:tcW w:w="5523" w:type="dxa"/>
            <w:vAlign w:val="center"/>
          </w:tcPr>
          <w:p w14:paraId="600EBAEB">
            <w:pPr>
              <w:spacing w:line="276" w:lineRule="auto"/>
              <w:jc w:val="left"/>
              <w:rPr>
                <w:rFonts w:hint="eastAsia" w:ascii="宋体" w:hAnsi="宋体" w:cs="宋体"/>
                <w:szCs w:val="21"/>
              </w:rPr>
            </w:pPr>
            <w:r>
              <w:rPr>
                <w:rFonts w:hint="eastAsia" w:ascii="宋体" w:hAnsi="宋体" w:cs="宋体"/>
                <w:b/>
                <w:szCs w:val="21"/>
              </w:rPr>
              <w:t>指标点4-3</w:t>
            </w:r>
            <w:r>
              <w:rPr>
                <w:rFonts w:hint="eastAsia" w:ascii="宋体" w:hAnsi="宋体" w:cs="宋体"/>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3025BA8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课程目标2、3、4</w:t>
            </w:r>
          </w:p>
        </w:tc>
      </w:tr>
      <w:tr w14:paraId="2CFE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vAlign w:val="center"/>
          </w:tcPr>
          <w:p w14:paraId="37B53445">
            <w:pPr>
              <w:autoSpaceDE w:val="0"/>
              <w:autoSpaceDN w:val="0"/>
              <w:rPr>
                <w:rFonts w:hint="eastAsia" w:ascii="宋体" w:hAnsi="宋体" w:cs="宋体"/>
                <w:b/>
                <w:bCs/>
                <w:szCs w:val="21"/>
              </w:rPr>
            </w:pPr>
            <w:r>
              <w:rPr>
                <w:rFonts w:hint="eastAsia" w:ascii="宋体" w:hAnsi="宋体" w:cs="宋体"/>
                <w:b/>
                <w:bCs/>
                <w:kern w:val="0"/>
                <w:szCs w:val="21"/>
              </w:rPr>
              <w:t>毕业要求8：</w:t>
            </w:r>
            <w:r>
              <w:rPr>
                <w:rFonts w:hint="eastAsia" w:ascii="宋体" w:hAnsi="宋体" w:cs="宋体"/>
                <w:b/>
                <w:bCs/>
                <w:szCs w:val="21"/>
              </w:rPr>
              <w:t>沟通合作</w:t>
            </w:r>
          </w:p>
        </w:tc>
        <w:tc>
          <w:tcPr>
            <w:tcW w:w="5523" w:type="dxa"/>
            <w:vAlign w:val="center"/>
          </w:tcPr>
          <w:p w14:paraId="3DA30AB7">
            <w:pPr>
              <w:spacing w:line="276" w:lineRule="auto"/>
              <w:jc w:val="left"/>
              <w:rPr>
                <w:rFonts w:hint="eastAsia" w:ascii="宋体" w:hAnsi="宋体" w:cs="宋体"/>
                <w:szCs w:val="21"/>
              </w:rPr>
            </w:pPr>
            <w:r>
              <w:rPr>
                <w:rFonts w:hint="eastAsia" w:ascii="宋体" w:hAnsi="宋体" w:cs="宋体"/>
                <w:b/>
                <w:szCs w:val="21"/>
              </w:rPr>
              <w:t>指标点8-2</w:t>
            </w:r>
            <w:r>
              <w:rPr>
                <w:rFonts w:hint="eastAsia" w:ascii="宋体" w:hAnsi="宋体" w:cs="宋体"/>
                <w:szCs w:val="21"/>
              </w:rPr>
              <w:t>：【学会沟通交流】掌握人际沟通合作技能与方法，在教育教学实践中，能与学生和家长以及同行、同事、专家进行有效沟通与合作，实现共同发展。</w:t>
            </w:r>
          </w:p>
        </w:tc>
        <w:tc>
          <w:tcPr>
            <w:tcW w:w="1191" w:type="dxa"/>
            <w:vAlign w:val="center"/>
          </w:tcPr>
          <w:p w14:paraId="32DEEB8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课程目标1、2、4</w:t>
            </w:r>
          </w:p>
        </w:tc>
      </w:tr>
    </w:tbl>
    <w:p w14:paraId="4D5F488E">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5B6F4DEB">
      <w:pPr>
        <w:spacing w:line="360" w:lineRule="auto"/>
        <w:ind w:firstLine="420" w:firstLineChars="200"/>
        <w:jc w:val="left"/>
        <w:rPr>
          <w:rFonts w:hint="eastAsia" w:ascii="宋体" w:hAnsi="宋体" w:eastAsia="宋体" w:cs="Times New Roman"/>
          <w:b/>
          <w:szCs w:val="21"/>
        </w:rPr>
      </w:pPr>
      <w:r>
        <w:rPr>
          <w:rFonts w:ascii="宋体" w:hAnsi="宋体" w:eastAsia="宋体" w:cs="宋体"/>
          <w:szCs w:val="21"/>
        </w:rPr>
        <w:t>课程坚持以立德树人为根本，将思想政治教育贯穿教学全过程，着力培养具有坚定政治立场、高尚师德修养和强烈社会责任感的未来教师。通过规范语言表达和职业礼仪训练，引导学生深刻理解国家通用语言文字的政治意义和文化价值，增强文化自信与民族认同；注重在语言艺术和礼仪规范中渗透"学高为师、身正为范"的师德传统，培养爱岗敬业、关爱学生的职业精神；在沟通技巧训练中强化诚信、尊重、平等的核心价值观，帮助学生树立正确的教育理念；结合真实教学情境的模拟实践，激发学生教育报国的使命担当，培养服务基层、奉献教育的家国情怀。课程致力于实现专业知识传授、教学能力培养与思想政治教育同向同行，为新时代基础教育培养德才兼备的合格师资。</w:t>
      </w:r>
    </w:p>
    <w:p w14:paraId="580D2482">
      <w:pPr>
        <w:spacing w:line="360" w:lineRule="auto"/>
        <w:jc w:val="left"/>
        <w:rPr>
          <w:rFonts w:hint="eastAsia" w:ascii="宋体" w:hAnsi="宋体" w:eastAsia="宋体" w:cs="Times New Roman"/>
          <w:b/>
          <w:sz w:val="24"/>
        </w:rPr>
      </w:pPr>
      <w:r>
        <w:rPr>
          <w:rFonts w:hint="eastAsia" w:ascii="宋体" w:hAnsi="宋体"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2278"/>
        <w:gridCol w:w="1285"/>
        <w:gridCol w:w="2429"/>
        <w:gridCol w:w="1517"/>
        <w:gridCol w:w="438"/>
      </w:tblGrid>
      <w:tr w14:paraId="7C21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Align w:val="center"/>
          </w:tcPr>
          <w:p w14:paraId="0B3E7DE6">
            <w:pPr>
              <w:jc w:val="center"/>
              <w:rPr>
                <w:rFonts w:hint="eastAsia" w:ascii="宋体" w:hAnsi="宋体" w:eastAsia="宋体" w:cs="Times New Roman"/>
                <w:b/>
                <w:szCs w:val="21"/>
              </w:rPr>
            </w:pPr>
            <w:r>
              <w:rPr>
                <w:rFonts w:hint="eastAsia" w:ascii="宋体" w:hAnsi="宋体" w:eastAsia="宋体" w:cs="Times New Roman"/>
                <w:b/>
                <w:szCs w:val="21"/>
              </w:rPr>
              <w:t>知识</w:t>
            </w:r>
          </w:p>
          <w:p w14:paraId="77709EE4">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278" w:type="dxa"/>
            <w:vAlign w:val="center"/>
          </w:tcPr>
          <w:p w14:paraId="368C95D4">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85" w:type="dxa"/>
            <w:vAlign w:val="center"/>
          </w:tcPr>
          <w:p w14:paraId="4A5CA960">
            <w:pPr>
              <w:jc w:val="center"/>
              <w:rPr>
                <w:rFonts w:hint="eastAsia" w:ascii="宋体" w:hAnsi="宋体" w:eastAsia="宋体" w:cs="Times New Roman"/>
                <w:b/>
                <w:szCs w:val="21"/>
              </w:rPr>
            </w:pPr>
            <w:r>
              <w:rPr>
                <w:rFonts w:hint="eastAsia" w:ascii="宋体" w:hAnsi="宋体" w:eastAsia="宋体" w:cs="Times New Roman"/>
                <w:b/>
                <w:szCs w:val="21"/>
              </w:rPr>
              <w:t>对应</w:t>
            </w:r>
          </w:p>
          <w:p w14:paraId="5FDAAD07">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429" w:type="dxa"/>
            <w:vAlign w:val="center"/>
          </w:tcPr>
          <w:p w14:paraId="632CC79F">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17" w:type="dxa"/>
            <w:vAlign w:val="center"/>
          </w:tcPr>
          <w:p w14:paraId="47F3160C">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53A1AACB">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3F10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3F39864C">
            <w:pPr>
              <w:jc w:val="center"/>
              <w:rPr>
                <w:rFonts w:hint="eastAsia" w:ascii="宋体" w:hAnsi="宋体" w:eastAsia="宋体" w:cs="Times New Roman"/>
                <w:szCs w:val="21"/>
              </w:rPr>
            </w:pPr>
            <w:r>
              <w:rPr>
                <w:rFonts w:hint="eastAsia" w:ascii="Times New Roman" w:hAnsi="Times New Roman" w:eastAsia="宋体" w:cs="Times New Roman"/>
                <w:bCs/>
                <w:szCs w:val="21"/>
              </w:rPr>
              <w:t>1</w:t>
            </w:r>
            <w:r>
              <w:rPr>
                <w:rFonts w:ascii="宋体" w:hAnsi="宋体" w:eastAsia="宋体" w:cs="宋体"/>
                <w:szCs w:val="21"/>
              </w:rPr>
              <w:t>教师口语基础与职业定位</w:t>
            </w:r>
          </w:p>
        </w:tc>
        <w:tc>
          <w:tcPr>
            <w:tcW w:w="2278" w:type="dxa"/>
            <w:vAlign w:val="center"/>
          </w:tcPr>
          <w:p w14:paraId="1CE1DA84">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教师口语的基本特征（教育性、规范性、艺术性）</w:t>
            </w:r>
            <w:r>
              <w:rPr>
                <w:rFonts w:ascii="宋体" w:hAnsi="宋体" w:eastAsia="宋体" w:cs="Times New Roman"/>
                <w:szCs w:val="21"/>
              </w:rPr>
              <w:br w:type="textWrapping"/>
            </w:r>
            <w:r>
              <w:rPr>
                <w:rFonts w:hint="eastAsia" w:ascii="宋体" w:hAnsi="宋体" w:eastAsia="宋体" w:cs="Times New Roman"/>
                <w:szCs w:val="21"/>
              </w:rPr>
              <w:t>（2）</w:t>
            </w:r>
            <w:r>
              <w:rPr>
                <w:rFonts w:ascii="宋体" w:hAnsi="宋体" w:eastAsia="宋体" w:cs="Times New Roman"/>
                <w:szCs w:val="21"/>
              </w:rPr>
              <w:t>普通话正音训练（声韵调难点突破）</w:t>
            </w:r>
            <w:r>
              <w:rPr>
                <w:rFonts w:ascii="宋体" w:hAnsi="宋体" w:eastAsia="宋体" w:cs="Times New Roman"/>
                <w:szCs w:val="21"/>
              </w:rPr>
              <w:br w:type="textWrapping"/>
            </w:r>
            <w:r>
              <w:rPr>
                <w:rFonts w:hint="eastAsia" w:ascii="宋体" w:hAnsi="宋体" w:eastAsia="宋体" w:cs="Times New Roman"/>
                <w:szCs w:val="21"/>
              </w:rPr>
              <w:t>（3）</w:t>
            </w:r>
            <w:r>
              <w:rPr>
                <w:rFonts w:ascii="宋体" w:hAnsi="宋体" w:eastAsia="宋体" w:cs="Times New Roman"/>
                <w:szCs w:val="21"/>
              </w:rPr>
              <w:t>师职业语言的社会责任与思政要求</w:t>
            </w:r>
          </w:p>
        </w:tc>
        <w:tc>
          <w:tcPr>
            <w:tcW w:w="1285" w:type="dxa"/>
            <w:vAlign w:val="center"/>
          </w:tcPr>
          <w:p w14:paraId="1F88C9AE">
            <w:pPr>
              <w:jc w:val="center"/>
              <w:rPr>
                <w:rFonts w:hint="eastAsia" w:ascii="宋体" w:hAnsi="宋体" w:eastAsia="宋体" w:cs="Times New Roman"/>
                <w:szCs w:val="21"/>
              </w:rPr>
            </w:pPr>
            <w:r>
              <w:rPr>
                <w:rFonts w:ascii="Times New Roman" w:hAnsi="Times New Roman" w:eastAsia="宋体" w:cs="Times New Roman"/>
                <w:szCs w:val="21"/>
              </w:rPr>
              <w:t>课程目标1</w:t>
            </w:r>
            <w:r>
              <w:rPr>
                <w:rFonts w:hint="eastAsia" w:ascii="Times New Roman" w:hAnsi="Times New Roman" w:eastAsia="宋体" w:cs="Times New Roman"/>
                <w:szCs w:val="21"/>
              </w:rPr>
              <w:t>、2、</w:t>
            </w:r>
            <w:r>
              <w:rPr>
                <w:rFonts w:ascii="Times New Roman" w:hAnsi="Times New Roman" w:eastAsia="宋体" w:cs="Times New Roman"/>
                <w:szCs w:val="21"/>
              </w:rPr>
              <w:t>3</w:t>
            </w:r>
          </w:p>
        </w:tc>
        <w:tc>
          <w:tcPr>
            <w:tcW w:w="2429" w:type="dxa"/>
            <w:vAlign w:val="center"/>
          </w:tcPr>
          <w:p w14:paraId="5DADD5E0">
            <w:pPr>
              <w:jc w:val="left"/>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能准确辨析并纠正常见语音错误</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理解教师语言对学生价值观的塑造作用</w:t>
            </w:r>
          </w:p>
        </w:tc>
        <w:tc>
          <w:tcPr>
            <w:tcW w:w="1517" w:type="dxa"/>
            <w:vAlign w:val="center"/>
          </w:tcPr>
          <w:p w14:paraId="70F2DF05">
            <w:pPr>
              <w:jc w:val="left"/>
              <w:rPr>
                <w:rFonts w:hint="eastAsia" w:ascii="宋体" w:hAnsi="宋体" w:eastAsia="宋体" w:cs="Times New Roman"/>
                <w:szCs w:val="21"/>
              </w:rPr>
            </w:pPr>
            <w:r>
              <w:rPr>
                <w:rFonts w:hint="eastAsia" w:ascii="宋体" w:hAnsi="宋体" w:eastAsia="宋体" w:cs="Times New Roman"/>
                <w:szCs w:val="21"/>
              </w:rPr>
              <w:t>1.线上学习</w:t>
            </w:r>
          </w:p>
          <w:p w14:paraId="3062AB31">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544E51B0">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5BA0B370">
            <w:pPr>
              <w:jc w:val="center"/>
              <w:rPr>
                <w:rFonts w:hint="eastAsia" w:ascii="宋体" w:hAnsi="宋体" w:eastAsia="宋体" w:cs="Times New Roman"/>
                <w:szCs w:val="21"/>
              </w:rPr>
            </w:pPr>
            <w:r>
              <w:rPr>
                <w:rFonts w:hint="eastAsia" w:ascii="宋体" w:hAnsi="宋体" w:eastAsia="宋体" w:cs="Times New Roman"/>
                <w:szCs w:val="21"/>
              </w:rPr>
              <w:t>2</w:t>
            </w:r>
          </w:p>
        </w:tc>
      </w:tr>
      <w:tr w14:paraId="5624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000D51A5">
            <w:pPr>
              <w:jc w:val="center"/>
              <w:rPr>
                <w:rFonts w:hint="eastAsia" w:ascii="宋体" w:hAnsi="宋体" w:eastAsia="宋体" w:cs="Times New Roman"/>
                <w:szCs w:val="21"/>
              </w:rPr>
            </w:pPr>
          </w:p>
        </w:tc>
        <w:tc>
          <w:tcPr>
            <w:tcW w:w="7947" w:type="dxa"/>
            <w:gridSpan w:val="5"/>
            <w:vAlign w:val="center"/>
          </w:tcPr>
          <w:p w14:paraId="1A01E7C2">
            <w:pPr>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5D54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954B814">
            <w:pPr>
              <w:jc w:val="center"/>
              <w:rPr>
                <w:rFonts w:hint="eastAsia" w:ascii="宋体" w:hAnsi="宋体" w:eastAsia="宋体" w:cs="Times New Roman"/>
                <w:szCs w:val="21"/>
              </w:rPr>
            </w:pPr>
            <w:r>
              <w:rPr>
                <w:rFonts w:hint="eastAsia" w:ascii="Times New Roman" w:hAnsi="Times New Roman" w:eastAsia="宋体" w:cs="Times New Roman"/>
                <w:bCs/>
                <w:szCs w:val="21"/>
              </w:rPr>
              <w:t>2.</w:t>
            </w:r>
            <w:r>
              <w:rPr>
                <w:rFonts w:ascii="宋体" w:hAnsi="宋体" w:eastAsia="宋体" w:cs="宋体"/>
                <w:szCs w:val="21"/>
              </w:rPr>
              <w:t>课堂语言设计与教学感染力</w:t>
            </w:r>
          </w:p>
        </w:tc>
        <w:tc>
          <w:tcPr>
            <w:tcW w:w="2278" w:type="dxa"/>
            <w:vAlign w:val="center"/>
          </w:tcPr>
          <w:p w14:paraId="2226BC32">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教学语言的逻辑结构（导入、讲解、提问、反馈）</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语气、节奏、重音的感染力训练</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课程思政元素的自然融入技巧</w:t>
            </w:r>
          </w:p>
        </w:tc>
        <w:tc>
          <w:tcPr>
            <w:tcW w:w="1285" w:type="dxa"/>
            <w:vAlign w:val="center"/>
          </w:tcPr>
          <w:p w14:paraId="430E9757">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429" w:type="dxa"/>
            <w:vAlign w:val="center"/>
          </w:tcPr>
          <w:p w14:paraId="21D0C1E5">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能设计符合学段特点的教学语言片段</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掌握通过语言传递正向价值观的方法</w:t>
            </w:r>
          </w:p>
        </w:tc>
        <w:tc>
          <w:tcPr>
            <w:tcW w:w="1517" w:type="dxa"/>
            <w:vAlign w:val="center"/>
          </w:tcPr>
          <w:p w14:paraId="60AB2723">
            <w:pPr>
              <w:jc w:val="left"/>
              <w:rPr>
                <w:rFonts w:hint="eastAsia" w:ascii="宋体" w:hAnsi="宋体" w:eastAsia="宋体" w:cs="Times New Roman"/>
                <w:szCs w:val="21"/>
              </w:rPr>
            </w:pPr>
            <w:r>
              <w:rPr>
                <w:rFonts w:hint="eastAsia" w:ascii="宋体" w:hAnsi="宋体" w:eastAsia="宋体" w:cs="Times New Roman"/>
                <w:szCs w:val="21"/>
              </w:rPr>
              <w:t>1.线上学习</w:t>
            </w:r>
          </w:p>
          <w:p w14:paraId="2109455B">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7BB66D27">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20865ABF">
            <w:pPr>
              <w:jc w:val="center"/>
              <w:rPr>
                <w:rFonts w:hint="eastAsia" w:ascii="宋体" w:hAnsi="宋体" w:eastAsia="宋体" w:cs="Times New Roman"/>
                <w:szCs w:val="21"/>
              </w:rPr>
            </w:pPr>
            <w:r>
              <w:rPr>
                <w:rFonts w:hint="eastAsia" w:ascii="宋体" w:hAnsi="宋体" w:eastAsia="宋体" w:cs="Times New Roman"/>
                <w:szCs w:val="21"/>
              </w:rPr>
              <w:t>2</w:t>
            </w:r>
          </w:p>
        </w:tc>
      </w:tr>
      <w:tr w14:paraId="3AA2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7AE9A85A">
            <w:pPr>
              <w:jc w:val="center"/>
              <w:rPr>
                <w:rFonts w:hint="eastAsia" w:ascii="宋体" w:hAnsi="宋体" w:eastAsia="宋体" w:cs="Times New Roman"/>
                <w:szCs w:val="21"/>
              </w:rPr>
            </w:pPr>
          </w:p>
        </w:tc>
        <w:tc>
          <w:tcPr>
            <w:tcW w:w="7947" w:type="dxa"/>
            <w:gridSpan w:val="5"/>
            <w:vAlign w:val="center"/>
          </w:tcPr>
          <w:p w14:paraId="70EC771C">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77AD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00A77787">
            <w:pPr>
              <w:jc w:val="center"/>
              <w:rPr>
                <w:rFonts w:hint="eastAsia" w:ascii="宋体" w:hAnsi="宋体" w:eastAsia="宋体" w:cs="Times New Roman"/>
                <w:szCs w:val="21"/>
              </w:rPr>
            </w:pPr>
            <w:r>
              <w:rPr>
                <w:rFonts w:hint="eastAsia" w:ascii="Times New Roman" w:hAnsi="Times New Roman" w:eastAsia="宋体" w:cs="Times New Roman"/>
                <w:bCs/>
                <w:szCs w:val="21"/>
              </w:rPr>
              <w:t>3.</w:t>
            </w:r>
            <w:r>
              <w:rPr>
                <w:rFonts w:ascii="宋体" w:hAnsi="宋体" w:eastAsia="宋体" w:cs="宋体"/>
                <w:szCs w:val="21"/>
              </w:rPr>
              <w:t>师生沟通艺术与教育伦理</w:t>
            </w:r>
          </w:p>
        </w:tc>
        <w:tc>
          <w:tcPr>
            <w:tcW w:w="2278" w:type="dxa"/>
            <w:vAlign w:val="center"/>
          </w:tcPr>
          <w:p w14:paraId="33A1288C">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教育场景下的非暴力沟通（观察-感受-需求-请求）</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批评与表扬的语言策略</w:t>
            </w:r>
            <w:r>
              <w:rPr>
                <w:rFonts w:hint="eastAsia" w:ascii="宋体" w:hAnsi="宋体" w:eastAsia="宋体" w:cs="宋体"/>
                <w:szCs w:val="21"/>
              </w:rPr>
              <w:t>。</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特殊学生群体的沟通禁忌（如留守儿童、特殊儿童）</w:t>
            </w:r>
          </w:p>
        </w:tc>
        <w:tc>
          <w:tcPr>
            <w:tcW w:w="1285" w:type="dxa"/>
            <w:vAlign w:val="center"/>
          </w:tcPr>
          <w:p w14:paraId="489D46AC">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429" w:type="dxa"/>
            <w:vAlign w:val="center"/>
          </w:tcPr>
          <w:p w14:paraId="54AD0239">
            <w:pPr>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能运用尊重、平等的语言解决师生矛盾案例</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形成保护学生心理健康的沟通意识</w:t>
            </w:r>
          </w:p>
        </w:tc>
        <w:tc>
          <w:tcPr>
            <w:tcW w:w="1517" w:type="dxa"/>
            <w:vAlign w:val="center"/>
          </w:tcPr>
          <w:p w14:paraId="0C3B1CAD">
            <w:pPr>
              <w:jc w:val="left"/>
              <w:rPr>
                <w:rFonts w:hint="eastAsia" w:ascii="宋体" w:hAnsi="宋体" w:eastAsia="宋体" w:cs="Times New Roman"/>
                <w:szCs w:val="21"/>
              </w:rPr>
            </w:pPr>
            <w:r>
              <w:rPr>
                <w:rFonts w:ascii="宋体" w:hAnsi="宋体" w:eastAsia="宋体" w:cs="Times New Roman"/>
                <w:szCs w:val="21"/>
              </w:rPr>
              <w:t>1.线上学习</w:t>
            </w:r>
          </w:p>
          <w:p w14:paraId="52C7D5C3">
            <w:pPr>
              <w:jc w:val="left"/>
              <w:rPr>
                <w:rFonts w:hint="eastAsia" w:ascii="宋体" w:hAnsi="宋体" w:eastAsia="宋体" w:cs="Times New Roman"/>
                <w:szCs w:val="21"/>
              </w:rPr>
            </w:pPr>
            <w:r>
              <w:rPr>
                <w:rFonts w:ascii="宋体" w:hAnsi="宋体" w:eastAsia="宋体" w:cs="Times New Roman"/>
                <w:szCs w:val="21"/>
              </w:rPr>
              <w:t>2.多媒体教学3.课堂讨论</w:t>
            </w:r>
          </w:p>
          <w:p w14:paraId="57608D87">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2E225F44">
            <w:pPr>
              <w:jc w:val="center"/>
              <w:rPr>
                <w:rFonts w:hint="eastAsia" w:ascii="宋体" w:hAnsi="宋体" w:eastAsia="宋体" w:cs="Times New Roman"/>
                <w:szCs w:val="21"/>
              </w:rPr>
            </w:pPr>
            <w:r>
              <w:rPr>
                <w:rFonts w:hint="eastAsia" w:ascii="宋体" w:hAnsi="宋体" w:eastAsia="宋体" w:cs="Times New Roman"/>
                <w:szCs w:val="21"/>
              </w:rPr>
              <w:t>2</w:t>
            </w:r>
          </w:p>
        </w:tc>
      </w:tr>
      <w:tr w14:paraId="76B1D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57B183F4">
            <w:pPr>
              <w:jc w:val="center"/>
              <w:rPr>
                <w:rFonts w:hint="eastAsia" w:ascii="宋体" w:hAnsi="宋体" w:eastAsia="宋体" w:cs="Times New Roman"/>
                <w:szCs w:val="21"/>
              </w:rPr>
            </w:pPr>
          </w:p>
        </w:tc>
        <w:tc>
          <w:tcPr>
            <w:tcW w:w="7947" w:type="dxa"/>
            <w:gridSpan w:val="5"/>
            <w:vAlign w:val="center"/>
          </w:tcPr>
          <w:p w14:paraId="50200021">
            <w:pPr>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72ACD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20DF136B">
            <w:pPr>
              <w:jc w:val="center"/>
              <w:rPr>
                <w:rFonts w:hint="eastAsia" w:ascii="宋体" w:hAnsi="宋体" w:eastAsia="宋体" w:cs="Times New Roman"/>
                <w:szCs w:val="21"/>
              </w:rPr>
            </w:pPr>
            <w:r>
              <w:rPr>
                <w:rFonts w:hint="eastAsia" w:ascii="Times New Roman" w:hAnsi="Times New Roman" w:eastAsia="宋体" w:cs="Times New Roman"/>
                <w:bCs/>
                <w:szCs w:val="21"/>
              </w:rPr>
              <w:t>4.</w:t>
            </w:r>
            <w:r>
              <w:rPr>
                <w:rFonts w:ascii="宋体" w:hAnsi="宋体" w:eastAsia="宋体" w:cs="宋体"/>
                <w:szCs w:val="21"/>
              </w:rPr>
              <w:t>教师仪态礼仪与职业形象</w:t>
            </w:r>
          </w:p>
        </w:tc>
        <w:tc>
          <w:tcPr>
            <w:tcW w:w="2278" w:type="dxa"/>
            <w:vAlign w:val="center"/>
          </w:tcPr>
          <w:p w14:paraId="28F8B76E">
            <w:pPr>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教师着装TPO原则（时间、场合、身份）</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站姿、手势、眼神的得体运用</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线上线下教学场景的仪态差异</w:t>
            </w:r>
          </w:p>
        </w:tc>
        <w:tc>
          <w:tcPr>
            <w:tcW w:w="1285" w:type="dxa"/>
            <w:vAlign w:val="center"/>
          </w:tcPr>
          <w:p w14:paraId="68A1BC58">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429" w:type="dxa"/>
            <w:vAlign w:val="center"/>
          </w:tcPr>
          <w:p w14:paraId="1FC35D74">
            <w:pPr>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能根据教学场景选择恰当的着装与仪态</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通过微格教学视频完成仪态自评与改进</w:t>
            </w:r>
          </w:p>
        </w:tc>
        <w:tc>
          <w:tcPr>
            <w:tcW w:w="1517" w:type="dxa"/>
            <w:vAlign w:val="center"/>
          </w:tcPr>
          <w:p w14:paraId="24E4EAAF">
            <w:pPr>
              <w:jc w:val="left"/>
              <w:rPr>
                <w:rFonts w:hint="eastAsia" w:ascii="宋体" w:hAnsi="宋体" w:eastAsia="宋体" w:cs="Times New Roman"/>
                <w:szCs w:val="21"/>
              </w:rPr>
            </w:pPr>
            <w:r>
              <w:rPr>
                <w:rFonts w:ascii="宋体" w:hAnsi="宋体" w:eastAsia="宋体" w:cs="Times New Roman"/>
                <w:szCs w:val="21"/>
              </w:rPr>
              <w:t>1.线上学习</w:t>
            </w:r>
          </w:p>
          <w:p w14:paraId="7D0BF03F">
            <w:pPr>
              <w:jc w:val="left"/>
              <w:rPr>
                <w:rFonts w:hint="eastAsia" w:ascii="宋体" w:hAnsi="宋体" w:eastAsia="宋体" w:cs="Times New Roman"/>
                <w:szCs w:val="21"/>
              </w:rPr>
            </w:pPr>
            <w:r>
              <w:rPr>
                <w:rFonts w:ascii="宋体" w:hAnsi="宋体" w:eastAsia="宋体" w:cs="Times New Roman"/>
                <w:szCs w:val="21"/>
              </w:rPr>
              <w:t>2.多媒体教学3.课堂讨论</w:t>
            </w:r>
          </w:p>
          <w:p w14:paraId="4E0C9553">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53C9757B">
            <w:pPr>
              <w:jc w:val="center"/>
              <w:rPr>
                <w:rFonts w:hint="eastAsia" w:ascii="宋体" w:hAnsi="宋体" w:eastAsia="宋体" w:cs="Times New Roman"/>
                <w:szCs w:val="21"/>
              </w:rPr>
            </w:pPr>
            <w:r>
              <w:rPr>
                <w:rFonts w:hint="eastAsia" w:ascii="宋体" w:hAnsi="宋体" w:eastAsia="宋体" w:cs="Times New Roman"/>
                <w:szCs w:val="21"/>
              </w:rPr>
              <w:t>2</w:t>
            </w:r>
          </w:p>
        </w:tc>
      </w:tr>
      <w:tr w14:paraId="6089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AFAFCFE">
            <w:pPr>
              <w:jc w:val="center"/>
              <w:rPr>
                <w:rFonts w:hint="eastAsia" w:ascii="宋体" w:hAnsi="宋体" w:eastAsia="宋体" w:cs="Times New Roman"/>
                <w:szCs w:val="21"/>
              </w:rPr>
            </w:pPr>
          </w:p>
        </w:tc>
        <w:tc>
          <w:tcPr>
            <w:tcW w:w="7947" w:type="dxa"/>
            <w:gridSpan w:val="5"/>
            <w:vAlign w:val="center"/>
          </w:tcPr>
          <w:p w14:paraId="39C89F06">
            <w:pPr>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1C0F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16406AD2">
            <w:pPr>
              <w:jc w:val="center"/>
              <w:rPr>
                <w:rFonts w:hint="eastAsia" w:ascii="宋体" w:hAnsi="宋体" w:eastAsia="宋体" w:cs="Times New Roman"/>
                <w:szCs w:val="21"/>
              </w:rPr>
            </w:pPr>
            <w:r>
              <w:rPr>
                <w:rFonts w:hint="eastAsia" w:ascii="Times New Roman" w:hAnsi="Times New Roman" w:eastAsia="宋体" w:cs="Times New Roman"/>
                <w:bCs/>
                <w:szCs w:val="21"/>
              </w:rPr>
              <w:t>5.</w:t>
            </w:r>
            <w:r>
              <w:rPr>
                <w:rFonts w:ascii="宋体" w:hAnsi="宋体" w:eastAsia="宋体" w:cs="宋体"/>
                <w:szCs w:val="21"/>
              </w:rPr>
              <w:t>校园礼仪与师德践行</w:t>
            </w:r>
          </w:p>
        </w:tc>
        <w:tc>
          <w:tcPr>
            <w:tcW w:w="2278" w:type="dxa"/>
            <w:vAlign w:val="center"/>
          </w:tcPr>
          <w:p w14:paraId="404EAAC5">
            <w:pPr>
              <w:jc w:val="left"/>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师生/同事/家长交往礼仪（称呼、握手、座位等）</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教研活动、家长会等场景的礼仪规范</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礼仪背后的师德内涵（尊重、包容、专业性）</w:t>
            </w:r>
          </w:p>
        </w:tc>
        <w:tc>
          <w:tcPr>
            <w:tcW w:w="1285" w:type="dxa"/>
            <w:vAlign w:val="center"/>
          </w:tcPr>
          <w:p w14:paraId="24FA0F0D">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429" w:type="dxa"/>
            <w:vAlign w:val="center"/>
          </w:tcPr>
          <w:p w14:paraId="28202424">
            <w:pP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宋体"/>
                <w:szCs w:val="21"/>
              </w:rPr>
              <w:t>能规范完成校园常见礼仪流程演示</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理解礼仪行为对教育关系的促进作用 </w:t>
            </w:r>
          </w:p>
          <w:p w14:paraId="74173851">
            <w:pPr>
              <w:jc w:val="left"/>
              <w:rPr>
                <w:rFonts w:hint="eastAsia" w:ascii="宋体" w:hAnsi="宋体" w:eastAsia="宋体" w:cs="Times New Roman"/>
                <w:szCs w:val="21"/>
              </w:rPr>
            </w:pPr>
          </w:p>
        </w:tc>
        <w:tc>
          <w:tcPr>
            <w:tcW w:w="1517" w:type="dxa"/>
            <w:vAlign w:val="center"/>
          </w:tcPr>
          <w:p w14:paraId="39D860F4">
            <w:pPr>
              <w:jc w:val="left"/>
              <w:rPr>
                <w:rFonts w:hint="eastAsia" w:ascii="宋体" w:hAnsi="宋体" w:eastAsia="宋体" w:cs="Times New Roman"/>
                <w:szCs w:val="21"/>
              </w:rPr>
            </w:pPr>
            <w:r>
              <w:rPr>
                <w:rFonts w:ascii="宋体" w:hAnsi="宋体" w:eastAsia="宋体" w:cs="Times New Roman"/>
                <w:szCs w:val="21"/>
              </w:rPr>
              <w:t>1.线上学习</w:t>
            </w:r>
          </w:p>
          <w:p w14:paraId="3D0C4F47">
            <w:pPr>
              <w:jc w:val="left"/>
              <w:rPr>
                <w:rFonts w:hint="eastAsia" w:ascii="宋体" w:hAnsi="宋体" w:eastAsia="宋体" w:cs="Times New Roman"/>
                <w:szCs w:val="21"/>
              </w:rPr>
            </w:pPr>
            <w:r>
              <w:rPr>
                <w:rFonts w:ascii="宋体" w:hAnsi="宋体" w:eastAsia="宋体" w:cs="Times New Roman"/>
                <w:szCs w:val="21"/>
              </w:rPr>
              <w:t>2.多媒体教学3.课堂讨论</w:t>
            </w:r>
          </w:p>
          <w:p w14:paraId="1C4A1A15">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61D74F73">
            <w:pPr>
              <w:jc w:val="center"/>
              <w:rPr>
                <w:rFonts w:hint="eastAsia" w:ascii="宋体" w:hAnsi="宋体" w:eastAsia="宋体" w:cs="Times New Roman"/>
                <w:szCs w:val="21"/>
              </w:rPr>
            </w:pPr>
            <w:r>
              <w:rPr>
                <w:rFonts w:hint="eastAsia" w:ascii="宋体" w:hAnsi="宋体" w:eastAsia="宋体" w:cs="Times New Roman"/>
                <w:szCs w:val="21"/>
              </w:rPr>
              <w:t>2</w:t>
            </w:r>
          </w:p>
        </w:tc>
      </w:tr>
      <w:tr w14:paraId="19A1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266A71BC">
            <w:pPr>
              <w:jc w:val="center"/>
              <w:rPr>
                <w:rFonts w:hint="eastAsia" w:ascii="宋体" w:hAnsi="宋体" w:eastAsia="宋体" w:cs="Times New Roman"/>
                <w:szCs w:val="21"/>
              </w:rPr>
            </w:pPr>
          </w:p>
        </w:tc>
        <w:tc>
          <w:tcPr>
            <w:tcW w:w="7947" w:type="dxa"/>
            <w:gridSpan w:val="5"/>
            <w:vAlign w:val="center"/>
          </w:tcPr>
          <w:p w14:paraId="5C99F6E3">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3150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B597993">
            <w:pPr>
              <w:jc w:val="center"/>
              <w:rPr>
                <w:rFonts w:hint="eastAsia" w:ascii="宋体" w:hAnsi="宋体" w:eastAsia="宋体" w:cs="Times New Roman"/>
                <w:szCs w:val="21"/>
              </w:rPr>
            </w:pPr>
            <w:r>
              <w:rPr>
                <w:rFonts w:hint="eastAsia" w:ascii="Times New Roman" w:hAnsi="Times New Roman" w:eastAsia="宋体" w:cs="Times New Roman"/>
                <w:bCs/>
                <w:szCs w:val="21"/>
              </w:rPr>
              <w:t>6.</w:t>
            </w:r>
            <w:r>
              <w:rPr>
                <w:rFonts w:ascii="宋体" w:hAnsi="宋体" w:eastAsia="宋体" w:cs="宋体"/>
                <w:szCs w:val="21"/>
              </w:rPr>
              <w:t>演讲表达与思政宣讲能力</w:t>
            </w:r>
          </w:p>
        </w:tc>
        <w:tc>
          <w:tcPr>
            <w:tcW w:w="2278" w:type="dxa"/>
            <w:vAlign w:val="center"/>
          </w:tcPr>
          <w:p w14:paraId="1299D6D8">
            <w:pPr>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教育主题演讲结构设计（故事化、数据化、共鸣点）</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国旗下的讲话、主题班会等场景演练</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将政策语言转化为学生易懂的表达</w:t>
            </w:r>
          </w:p>
        </w:tc>
        <w:tc>
          <w:tcPr>
            <w:tcW w:w="1285" w:type="dxa"/>
            <w:vAlign w:val="center"/>
          </w:tcPr>
          <w:p w14:paraId="32D3D929">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429" w:type="dxa"/>
            <w:vAlign w:val="center"/>
          </w:tcPr>
          <w:p w14:paraId="043ED8AF">
            <w:pP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宋体"/>
                <w:szCs w:val="21"/>
              </w:rPr>
              <w:t>能完成5分钟具有思政教育意义的即兴演讲</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掌握面向青少年的政治话语转化技巧  </w:t>
            </w:r>
          </w:p>
          <w:p w14:paraId="7A0B5C6E">
            <w:pPr>
              <w:jc w:val="left"/>
              <w:rPr>
                <w:rFonts w:hint="eastAsia" w:ascii="宋体" w:hAnsi="宋体" w:eastAsia="宋体" w:cs="Times New Roman"/>
                <w:szCs w:val="21"/>
              </w:rPr>
            </w:pPr>
          </w:p>
        </w:tc>
        <w:tc>
          <w:tcPr>
            <w:tcW w:w="1517" w:type="dxa"/>
            <w:vAlign w:val="center"/>
          </w:tcPr>
          <w:p w14:paraId="20E5E445">
            <w:pPr>
              <w:jc w:val="left"/>
              <w:rPr>
                <w:rFonts w:hint="eastAsia" w:ascii="宋体" w:hAnsi="宋体" w:eastAsia="宋体" w:cs="Times New Roman"/>
                <w:szCs w:val="21"/>
              </w:rPr>
            </w:pPr>
            <w:r>
              <w:rPr>
                <w:rFonts w:ascii="宋体" w:hAnsi="宋体" w:eastAsia="宋体" w:cs="Times New Roman"/>
                <w:szCs w:val="21"/>
              </w:rPr>
              <w:t>1.线上学习</w:t>
            </w:r>
          </w:p>
          <w:p w14:paraId="2E72EBBB">
            <w:pPr>
              <w:jc w:val="left"/>
              <w:rPr>
                <w:rFonts w:hint="eastAsia" w:ascii="宋体" w:hAnsi="宋体" w:eastAsia="宋体" w:cs="Times New Roman"/>
                <w:szCs w:val="21"/>
              </w:rPr>
            </w:pPr>
            <w:r>
              <w:rPr>
                <w:rFonts w:ascii="宋体" w:hAnsi="宋体" w:eastAsia="宋体" w:cs="Times New Roman"/>
                <w:szCs w:val="21"/>
              </w:rPr>
              <w:t>2.多媒体教学3.课堂讨论</w:t>
            </w:r>
          </w:p>
          <w:p w14:paraId="09CA3569">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2D6FB3C5">
            <w:pPr>
              <w:jc w:val="center"/>
              <w:rPr>
                <w:rFonts w:hint="eastAsia" w:ascii="宋体" w:hAnsi="宋体" w:eastAsia="宋体" w:cs="Times New Roman"/>
                <w:szCs w:val="21"/>
              </w:rPr>
            </w:pPr>
            <w:r>
              <w:rPr>
                <w:rFonts w:hint="eastAsia" w:ascii="宋体" w:hAnsi="宋体" w:eastAsia="宋体" w:cs="Times New Roman"/>
                <w:szCs w:val="21"/>
              </w:rPr>
              <w:t>2</w:t>
            </w:r>
          </w:p>
        </w:tc>
      </w:tr>
      <w:tr w14:paraId="0A56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7119FC1E">
            <w:pPr>
              <w:jc w:val="center"/>
              <w:rPr>
                <w:rFonts w:hint="eastAsia" w:ascii="宋体" w:hAnsi="宋体" w:eastAsia="宋体" w:cs="Times New Roman"/>
                <w:szCs w:val="21"/>
              </w:rPr>
            </w:pPr>
          </w:p>
        </w:tc>
        <w:tc>
          <w:tcPr>
            <w:tcW w:w="7947" w:type="dxa"/>
            <w:gridSpan w:val="5"/>
            <w:vAlign w:val="center"/>
          </w:tcPr>
          <w:p w14:paraId="0CEA0F3A">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38F9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3F55F604">
            <w:pPr>
              <w:jc w:val="center"/>
              <w:rPr>
                <w:rFonts w:hint="eastAsia" w:ascii="宋体" w:hAnsi="宋体" w:eastAsia="宋体" w:cs="Times New Roman"/>
                <w:szCs w:val="21"/>
              </w:rPr>
            </w:pPr>
            <w:r>
              <w:rPr>
                <w:rFonts w:hint="eastAsia" w:ascii="Times New Roman" w:hAnsi="Times New Roman" w:eastAsia="宋体" w:cs="Times New Roman"/>
                <w:bCs/>
                <w:szCs w:val="21"/>
              </w:rPr>
              <w:t>7.</w:t>
            </w:r>
            <w:r>
              <w:rPr>
                <w:rFonts w:ascii="宋体" w:hAnsi="宋体" w:eastAsia="宋体" w:cs="宋体"/>
                <w:szCs w:val="21"/>
              </w:rPr>
              <w:t>求职面试语言与职业发展</w:t>
            </w:r>
          </w:p>
        </w:tc>
        <w:tc>
          <w:tcPr>
            <w:tcW w:w="2278" w:type="dxa"/>
            <w:vAlign w:val="center"/>
          </w:tcPr>
          <w:p w14:paraId="5FCBD20A">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教师招聘面试常见题型解析</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结构化回答技巧（STAR法则运用）</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职业发展规划的语言表达 </w:t>
            </w:r>
          </w:p>
        </w:tc>
        <w:tc>
          <w:tcPr>
            <w:tcW w:w="1285" w:type="dxa"/>
            <w:vAlign w:val="center"/>
          </w:tcPr>
          <w:p w14:paraId="2945BAA0">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429" w:type="dxa"/>
            <w:vAlign w:val="center"/>
          </w:tcPr>
          <w:p w14:paraId="731562AA">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能流畅应对模拟教师招聘面试</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清晰表达个人教育理念与职业追求 </w:t>
            </w:r>
          </w:p>
        </w:tc>
        <w:tc>
          <w:tcPr>
            <w:tcW w:w="1517" w:type="dxa"/>
            <w:vAlign w:val="center"/>
          </w:tcPr>
          <w:p w14:paraId="16770C18">
            <w:pPr>
              <w:jc w:val="left"/>
              <w:rPr>
                <w:rFonts w:hint="eastAsia" w:ascii="宋体" w:hAnsi="宋体" w:eastAsia="宋体" w:cs="Times New Roman"/>
                <w:szCs w:val="21"/>
              </w:rPr>
            </w:pPr>
            <w:r>
              <w:rPr>
                <w:rFonts w:ascii="宋体" w:hAnsi="宋体" w:eastAsia="宋体" w:cs="Times New Roman"/>
                <w:szCs w:val="21"/>
              </w:rPr>
              <w:t>1.线上学习</w:t>
            </w:r>
          </w:p>
          <w:p w14:paraId="7017C3C4">
            <w:pPr>
              <w:jc w:val="left"/>
              <w:rPr>
                <w:rFonts w:hint="eastAsia" w:ascii="宋体" w:hAnsi="宋体" w:eastAsia="宋体" w:cs="Times New Roman"/>
                <w:szCs w:val="21"/>
              </w:rPr>
            </w:pPr>
            <w:r>
              <w:rPr>
                <w:rFonts w:ascii="宋体" w:hAnsi="宋体" w:eastAsia="宋体" w:cs="Times New Roman"/>
                <w:szCs w:val="21"/>
              </w:rPr>
              <w:t>2.多媒体教学3.课堂讨论</w:t>
            </w:r>
          </w:p>
          <w:p w14:paraId="5ABE283E">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4C1ABE0C">
            <w:pPr>
              <w:jc w:val="center"/>
              <w:rPr>
                <w:rFonts w:hint="eastAsia" w:ascii="宋体" w:hAnsi="宋体" w:eastAsia="宋体" w:cs="Times New Roman"/>
                <w:szCs w:val="21"/>
              </w:rPr>
            </w:pPr>
            <w:r>
              <w:rPr>
                <w:rFonts w:hint="eastAsia" w:ascii="宋体" w:hAnsi="宋体" w:eastAsia="宋体" w:cs="Times New Roman"/>
                <w:szCs w:val="21"/>
              </w:rPr>
              <w:t>2</w:t>
            </w:r>
          </w:p>
        </w:tc>
      </w:tr>
      <w:tr w14:paraId="0BDA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5B532917">
            <w:pPr>
              <w:jc w:val="center"/>
              <w:rPr>
                <w:rFonts w:hint="eastAsia" w:ascii="宋体" w:hAnsi="宋体" w:eastAsia="宋体" w:cs="Times New Roman"/>
                <w:szCs w:val="21"/>
              </w:rPr>
            </w:pPr>
          </w:p>
        </w:tc>
        <w:tc>
          <w:tcPr>
            <w:tcW w:w="7947" w:type="dxa"/>
            <w:gridSpan w:val="5"/>
            <w:vAlign w:val="center"/>
          </w:tcPr>
          <w:p w14:paraId="205C3146">
            <w:pPr>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5555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6B1D8105">
            <w:pPr>
              <w:rPr>
                <w:rFonts w:hint="eastAsia" w:ascii="宋体" w:hAnsi="宋体" w:eastAsia="宋体" w:cs="Times New Roman"/>
                <w:szCs w:val="21"/>
              </w:rPr>
            </w:pPr>
            <w:r>
              <w:rPr>
                <w:rFonts w:hint="eastAsia" w:ascii="Times New Roman" w:hAnsi="Times New Roman" w:eastAsia="宋体" w:cs="Times New Roman"/>
                <w:bCs/>
                <w:szCs w:val="21"/>
              </w:rPr>
              <w:t>8.</w:t>
            </w:r>
            <w:r>
              <w:rPr>
                <w:rFonts w:ascii="宋体" w:hAnsi="宋体" w:eastAsia="宋体" w:cs="宋体"/>
                <w:szCs w:val="21"/>
              </w:rPr>
              <w:t>综合实训与课程思政总结</w:t>
            </w:r>
          </w:p>
        </w:tc>
        <w:tc>
          <w:tcPr>
            <w:tcW w:w="2278" w:type="dxa"/>
            <w:vAlign w:val="center"/>
          </w:tcPr>
          <w:p w14:paraId="65EB91C7">
            <w:pPr>
              <w:rPr>
                <w:rFonts w:ascii="Times New Roman" w:hAnsi="Times New Roman" w:eastAsia="宋体" w:cs="Times New Roman"/>
                <w:szCs w:val="21"/>
              </w:rPr>
            </w:pPr>
            <w:r>
              <w:rPr>
                <w:rFonts w:ascii="Times New Roman" w:hAnsi="Times New Roman" w:eastAsia="宋体" w:cs="Times New Roman"/>
                <w:szCs w:val="21"/>
              </w:rPr>
              <w:t>（1）能够简单使用Lingo</w:t>
            </w:r>
          </w:p>
          <w:p w14:paraId="19446DF7">
            <w:pPr>
              <w:rPr>
                <w:rFonts w:ascii="Times New Roman" w:hAnsi="Times New Roman" w:eastAsia="宋体" w:cs="Times New Roman"/>
                <w:szCs w:val="21"/>
              </w:rPr>
            </w:pPr>
            <w:r>
              <w:rPr>
                <w:rFonts w:ascii="Times New Roman" w:hAnsi="Times New Roman" w:eastAsia="宋体" w:cs="Times New Roman"/>
                <w:szCs w:val="21"/>
              </w:rPr>
              <w:t>（2）能够简单使用Mathematica</w:t>
            </w:r>
          </w:p>
          <w:p w14:paraId="713B5B11">
            <w:pPr>
              <w:rPr>
                <w:rFonts w:hint="eastAsia" w:ascii="宋体" w:hAnsi="宋体" w:eastAsia="宋体" w:cs="Times New Roman"/>
                <w:szCs w:val="21"/>
              </w:rPr>
            </w:pPr>
            <w:r>
              <w:rPr>
                <w:rFonts w:ascii="Times New Roman" w:hAnsi="Times New Roman" w:eastAsia="宋体" w:cs="Times New Roman"/>
                <w:szCs w:val="21"/>
              </w:rPr>
              <w:t>（3）能够简单使用Matlab</w:t>
            </w:r>
          </w:p>
        </w:tc>
        <w:tc>
          <w:tcPr>
            <w:tcW w:w="1285" w:type="dxa"/>
            <w:vAlign w:val="center"/>
          </w:tcPr>
          <w:p w14:paraId="0D21A02D">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429" w:type="dxa"/>
            <w:vAlign w:val="center"/>
          </w:tcPr>
          <w:p w14:paraId="5E0AA1B5">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微课展示（融合语言表达、礼仪、思政元素）</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教育热点事件中的语言与礼仪案例分析</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教师职业认同感提升研讨</w:t>
            </w:r>
          </w:p>
        </w:tc>
        <w:tc>
          <w:tcPr>
            <w:tcW w:w="1517" w:type="dxa"/>
            <w:vAlign w:val="center"/>
          </w:tcPr>
          <w:p w14:paraId="58EA81E8">
            <w:pPr>
              <w:jc w:val="left"/>
              <w:rPr>
                <w:rFonts w:hint="eastAsia" w:ascii="宋体" w:hAnsi="宋体" w:eastAsia="宋体" w:cs="Times New Roman"/>
                <w:szCs w:val="21"/>
              </w:rPr>
            </w:pPr>
            <w:r>
              <w:rPr>
                <w:rFonts w:ascii="宋体" w:hAnsi="宋体" w:eastAsia="宋体" w:cs="Times New Roman"/>
                <w:szCs w:val="21"/>
              </w:rPr>
              <w:t>1.线上学习</w:t>
            </w:r>
          </w:p>
          <w:p w14:paraId="3786835D">
            <w:pPr>
              <w:jc w:val="left"/>
              <w:rPr>
                <w:rFonts w:hint="eastAsia" w:ascii="宋体" w:hAnsi="宋体" w:eastAsia="宋体" w:cs="Times New Roman"/>
                <w:szCs w:val="21"/>
              </w:rPr>
            </w:pPr>
            <w:r>
              <w:rPr>
                <w:rFonts w:ascii="宋体" w:hAnsi="宋体" w:eastAsia="宋体" w:cs="Times New Roman"/>
                <w:szCs w:val="21"/>
              </w:rPr>
              <w:t>2.多媒体教学3.课堂讨论</w:t>
            </w:r>
          </w:p>
          <w:p w14:paraId="3E6A57B5">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10B39B31">
            <w:pPr>
              <w:jc w:val="center"/>
              <w:rPr>
                <w:rFonts w:hint="eastAsia" w:ascii="宋体" w:hAnsi="宋体" w:eastAsia="宋体" w:cs="Times New Roman"/>
                <w:szCs w:val="21"/>
              </w:rPr>
            </w:pPr>
            <w:r>
              <w:rPr>
                <w:rFonts w:hint="eastAsia" w:ascii="宋体" w:hAnsi="宋体" w:eastAsia="宋体" w:cs="Times New Roman"/>
                <w:szCs w:val="21"/>
              </w:rPr>
              <w:t>2</w:t>
            </w:r>
          </w:p>
        </w:tc>
      </w:tr>
      <w:tr w14:paraId="6A03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4524D699">
            <w:pPr>
              <w:jc w:val="center"/>
              <w:rPr>
                <w:rFonts w:hint="eastAsia" w:ascii="宋体" w:hAnsi="宋体" w:eastAsia="宋体" w:cs="Times New Roman"/>
                <w:szCs w:val="21"/>
              </w:rPr>
            </w:pPr>
          </w:p>
        </w:tc>
        <w:tc>
          <w:tcPr>
            <w:tcW w:w="7947" w:type="dxa"/>
            <w:gridSpan w:val="5"/>
            <w:vAlign w:val="center"/>
          </w:tcPr>
          <w:p w14:paraId="3149746A">
            <w:pPr>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bl>
    <w:p w14:paraId="2F33257E">
      <w:pPr>
        <w:spacing w:line="360" w:lineRule="auto"/>
        <w:jc w:val="left"/>
        <w:rPr>
          <w:rFonts w:ascii="Times New Roman" w:hAnsi="Times New Roman" w:eastAsia="宋体" w:cs="Times New Roman"/>
          <w:sz w:val="24"/>
        </w:rPr>
      </w:pPr>
      <w:r>
        <w:rPr>
          <w:rFonts w:hint="eastAsia" w:ascii="宋体" w:hAnsi="宋体" w:eastAsia="宋体" w:cs="Times New Roman"/>
          <w:b/>
          <w:sz w:val="24"/>
        </w:rPr>
        <w:t>四、目标评价与成绩评定</w:t>
      </w:r>
    </w:p>
    <w:p w14:paraId="583218AE">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4E9B71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2616"/>
        <w:gridCol w:w="3193"/>
        <w:gridCol w:w="1325"/>
      </w:tblGrid>
      <w:tr w14:paraId="5207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49" w:type="dxa"/>
            <w:vMerge w:val="restart"/>
            <w:vAlign w:val="center"/>
          </w:tcPr>
          <w:p w14:paraId="6522763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809" w:type="dxa"/>
            <w:gridSpan w:val="2"/>
            <w:vAlign w:val="center"/>
          </w:tcPr>
          <w:p w14:paraId="761E6CBA">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325" w:type="dxa"/>
            <w:vMerge w:val="restart"/>
            <w:vAlign w:val="center"/>
          </w:tcPr>
          <w:p w14:paraId="083E1DB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D1DA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Merge w:val="continue"/>
            <w:vAlign w:val="center"/>
          </w:tcPr>
          <w:p w14:paraId="72FD2A5C">
            <w:pPr>
              <w:spacing w:line="360" w:lineRule="auto"/>
              <w:jc w:val="center"/>
              <w:rPr>
                <w:rFonts w:hint="eastAsia" w:ascii="宋体" w:hAnsi="宋体" w:eastAsia="宋体" w:cs="Times New Roman"/>
                <w:szCs w:val="21"/>
              </w:rPr>
            </w:pPr>
          </w:p>
        </w:tc>
        <w:tc>
          <w:tcPr>
            <w:tcW w:w="2616" w:type="dxa"/>
            <w:vAlign w:val="center"/>
          </w:tcPr>
          <w:p w14:paraId="754F05A1">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3193" w:type="dxa"/>
            <w:vAlign w:val="center"/>
          </w:tcPr>
          <w:p w14:paraId="7397D537">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325" w:type="dxa"/>
            <w:vMerge w:val="continue"/>
            <w:vAlign w:val="center"/>
          </w:tcPr>
          <w:p w14:paraId="22DB9632">
            <w:pPr>
              <w:spacing w:line="360" w:lineRule="auto"/>
              <w:jc w:val="center"/>
              <w:rPr>
                <w:rFonts w:hint="eastAsia" w:ascii="宋体" w:hAnsi="宋体" w:eastAsia="宋体" w:cs="Times New Roman"/>
                <w:szCs w:val="21"/>
              </w:rPr>
            </w:pPr>
          </w:p>
        </w:tc>
      </w:tr>
      <w:tr w14:paraId="42B2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56DC78C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616" w:type="dxa"/>
            <w:vAlign w:val="center"/>
          </w:tcPr>
          <w:p w14:paraId="6311E113">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3193" w:type="dxa"/>
            <w:vAlign w:val="center"/>
          </w:tcPr>
          <w:p w14:paraId="3FF488FE">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325" w:type="dxa"/>
            <w:vAlign w:val="center"/>
          </w:tcPr>
          <w:p w14:paraId="2338521D">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241B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664F6EA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616" w:type="dxa"/>
            <w:vAlign w:val="center"/>
          </w:tcPr>
          <w:p w14:paraId="10547E2B">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3193" w:type="dxa"/>
            <w:vAlign w:val="center"/>
          </w:tcPr>
          <w:p w14:paraId="14790360">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c>
          <w:tcPr>
            <w:tcW w:w="1325" w:type="dxa"/>
            <w:vAlign w:val="center"/>
          </w:tcPr>
          <w:p w14:paraId="018345DB">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5724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5265DCC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616" w:type="dxa"/>
            <w:vAlign w:val="center"/>
          </w:tcPr>
          <w:p w14:paraId="28D3EC2A">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3193" w:type="dxa"/>
            <w:vAlign w:val="center"/>
          </w:tcPr>
          <w:p w14:paraId="6517E105">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325" w:type="dxa"/>
            <w:vAlign w:val="center"/>
          </w:tcPr>
          <w:p w14:paraId="60206DE2">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45CC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27CED8E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2616" w:type="dxa"/>
            <w:vAlign w:val="center"/>
          </w:tcPr>
          <w:p w14:paraId="45634BBD">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3193" w:type="dxa"/>
            <w:vAlign w:val="center"/>
          </w:tcPr>
          <w:p w14:paraId="0D5D723F">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c>
          <w:tcPr>
            <w:tcW w:w="1325" w:type="dxa"/>
            <w:vAlign w:val="center"/>
          </w:tcPr>
          <w:p w14:paraId="54F49388">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A49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9" w:type="dxa"/>
            <w:vAlign w:val="center"/>
          </w:tcPr>
          <w:p w14:paraId="58508759">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2616" w:type="dxa"/>
            <w:vAlign w:val="center"/>
          </w:tcPr>
          <w:p w14:paraId="24654969">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3193" w:type="dxa"/>
            <w:vAlign w:val="center"/>
          </w:tcPr>
          <w:p w14:paraId="5CBE0015">
            <w:pPr>
              <w:spacing w:line="360" w:lineRule="auto"/>
              <w:jc w:val="center"/>
              <w:rPr>
                <w:rFonts w:hint="eastAsia" w:ascii="宋体" w:hAnsi="宋体" w:eastAsia="宋体" w:cs="Times New Roman"/>
                <w:szCs w:val="21"/>
              </w:rPr>
            </w:pPr>
            <w:r>
              <w:rPr>
                <w:rFonts w:hint="eastAsia" w:ascii="宋体" w:hAnsi="宋体" w:eastAsia="宋体" w:cs="Times New Roman"/>
                <w:szCs w:val="21"/>
              </w:rPr>
              <w:t>70</w:t>
            </w:r>
          </w:p>
        </w:tc>
        <w:tc>
          <w:tcPr>
            <w:tcW w:w="1325" w:type="dxa"/>
            <w:vAlign w:val="center"/>
          </w:tcPr>
          <w:p w14:paraId="001615A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8A829BC">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655C29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A0D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317555B">
            <w:pP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1323B8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06" w:type="dxa"/>
            <w:vAlign w:val="center"/>
          </w:tcPr>
          <w:p w14:paraId="0F21AD9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E5D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842F407">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B985B1B">
            <w:pPr>
              <w:spacing w:line="276" w:lineRule="auto"/>
              <w:rPr>
                <w:rFonts w:hint="eastAsia" w:ascii="宋体" w:hAnsi="宋体" w:eastAsia="宋体" w:cs="宋体"/>
                <w:szCs w:val="21"/>
              </w:rPr>
            </w:pPr>
            <w:r>
              <w:rPr>
                <w:rFonts w:hint="eastAsia" w:ascii="宋体" w:hAnsi="宋体" w:eastAsia="宋体" w:cs="宋体"/>
                <w:szCs w:val="21"/>
              </w:rPr>
              <w:t>其中课堂考勤占20%，平时作业占80%。</w:t>
            </w:r>
          </w:p>
          <w:p w14:paraId="6EEBD4E0">
            <w:pPr>
              <w:spacing w:line="276" w:lineRule="auto"/>
              <w:jc w:val="left"/>
              <w:rPr>
                <w:rFonts w:hint="eastAsia" w:ascii="宋体" w:hAnsi="宋体" w:eastAsia="宋体" w:cs="宋体"/>
                <w:szCs w:val="21"/>
              </w:rPr>
            </w:pPr>
            <w:r>
              <w:rPr>
                <w:rFonts w:hint="eastAsia" w:ascii="宋体" w:hAnsi="宋体" w:eastAsia="宋体" w:cs="宋体"/>
                <w:szCs w:val="21"/>
              </w:rPr>
              <w:t>课堂考勤：病假和事假一次扣5分，无故缺席一次扣10分，无故缺席累积达5次以上（不含5次）取消课程成绩。</w:t>
            </w:r>
          </w:p>
          <w:p w14:paraId="68528CCF">
            <w:pPr>
              <w:spacing w:line="264" w:lineRule="auto"/>
              <w:jc w:val="left"/>
              <w:rPr>
                <w:rFonts w:ascii="Times New Roman" w:hAnsi="Times New Roman" w:eastAsia="宋体" w:cs="Times New Roman"/>
                <w:szCs w:val="21"/>
              </w:rPr>
            </w:pPr>
            <w:r>
              <w:rPr>
                <w:rFonts w:hint="eastAsia" w:ascii="宋体" w:hAnsi="宋体" w:eastAsia="宋体" w:cs="宋体"/>
                <w:szCs w:val="21"/>
              </w:rPr>
              <w:t>平时作业：课后完成3次作业，主要考核学生对每节课知识点的复习、理解和掌握程度，计算全部作业的平均成绩。</w:t>
            </w:r>
          </w:p>
        </w:tc>
        <w:tc>
          <w:tcPr>
            <w:tcW w:w="706" w:type="dxa"/>
            <w:vAlign w:val="center"/>
          </w:tcPr>
          <w:p w14:paraId="41F0CFB8">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6BA0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84DF38C">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1852AC2">
            <w:pPr>
              <w:spacing w:line="264" w:lineRule="auto"/>
              <w:jc w:val="left"/>
              <w:rPr>
                <w:rFonts w:ascii="Times New Roman" w:hAnsi="Times New Roman" w:eastAsia="宋体" w:cs="Times New Roman"/>
                <w:szCs w:val="21"/>
              </w:rPr>
            </w:pPr>
            <w:r>
              <w:rPr>
                <w:rFonts w:hint="eastAsia" w:ascii="宋体" w:hAnsi="宋体" w:eastAsia="宋体" w:cs="宋体"/>
                <w:szCs w:val="21"/>
              </w:rPr>
              <w:t>主要考核学生对本课程知识的掌握，并考核其实际运用教师口语的能力。</w:t>
            </w:r>
          </w:p>
        </w:tc>
        <w:tc>
          <w:tcPr>
            <w:tcW w:w="706" w:type="dxa"/>
            <w:vAlign w:val="center"/>
          </w:tcPr>
          <w:p w14:paraId="4CC639B4">
            <w:pPr>
              <w:jc w:val="center"/>
              <w:rPr>
                <w:rFonts w:ascii="Times New Roman" w:hAnsi="Times New Roman" w:eastAsia="宋体" w:cs="Times New Roman"/>
                <w:szCs w:val="21"/>
              </w:rPr>
            </w:pPr>
            <w:r>
              <w:rPr>
                <w:rFonts w:hint="eastAsia" w:ascii="Times New Roman" w:hAnsi="Times New Roman" w:eastAsia="宋体" w:cs="Times New Roman"/>
                <w:szCs w:val="21"/>
              </w:rPr>
              <w:t>70%</w:t>
            </w:r>
          </w:p>
        </w:tc>
      </w:tr>
      <w:tr w14:paraId="71E4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0ADE96D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184E0A15">
            <w:pPr>
              <w:jc w:val="left"/>
              <w:rPr>
                <w:rFonts w:ascii="Times New Roman" w:hAnsi="Times New Roman" w:eastAsia="宋体" w:cs="Times New Roman"/>
                <w:szCs w:val="21"/>
              </w:rPr>
            </w:pPr>
          </w:p>
        </w:tc>
        <w:tc>
          <w:tcPr>
            <w:tcW w:w="706" w:type="dxa"/>
            <w:vAlign w:val="center"/>
          </w:tcPr>
          <w:p w14:paraId="04E575CA">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482C5D6">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07EC7CE2">
      <w:pPr>
        <w:spacing w:line="360" w:lineRule="auto"/>
        <w:ind w:firstLine="480"/>
        <w:rPr>
          <w:rFonts w:hint="eastAsia"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167FB149">
      <w:pPr>
        <w:spacing w:line="360" w:lineRule="auto"/>
        <w:rPr>
          <w:rFonts w:ascii="Book Antiqua" w:hAnsi="Book Antiqua" w:eastAsia="宋体" w:cs="Times New Roman"/>
          <w:b/>
          <w:sz w:val="24"/>
        </w:rPr>
      </w:pPr>
      <w:r>
        <w:rPr>
          <w:rFonts w:ascii="宋体" w:hAnsi="宋体" w:eastAsia="宋体" w:cs="Times New Roman"/>
          <w:sz w:val="24"/>
        </w:rPr>
        <w:drawing>
          <wp:inline distT="0" distB="0" distL="0" distR="0">
            <wp:extent cx="5104765" cy="280035"/>
            <wp:effectExtent l="0" t="0" r="635" b="5715"/>
            <wp:docPr id="75" name="图片 75"/>
            <wp:cNvGraphicFramePr/>
            <a:graphic xmlns:a="http://schemas.openxmlformats.org/drawingml/2006/main">
              <a:graphicData uri="http://schemas.openxmlformats.org/drawingml/2006/picture">
                <pic:pic xmlns:pic="http://schemas.openxmlformats.org/drawingml/2006/picture">
                  <pic:nvPicPr>
                    <pic:cNvPr id="75" name="图片 75"/>
                    <pic:cNvPicPr/>
                  </pic:nvPicPr>
                  <pic:blipFill>
                    <a:blip r:embed="rId22">
                      <a:extLst>
                        <a:ext uri="{28A0092B-C50C-407E-A947-70E740481C1C}">
                          <a14:useLocalDpi xmlns:a14="http://schemas.microsoft.com/office/drawing/2010/main" val="0"/>
                        </a:ext>
                      </a:extLst>
                    </a:blip>
                    <a:srcRect/>
                    <a:stretch>
                      <a:fillRect/>
                    </a:stretch>
                  </pic:blipFill>
                  <pic:spPr>
                    <a:xfrm>
                      <a:off x="0" y="0"/>
                      <a:ext cx="5260978" cy="289238"/>
                    </a:xfrm>
                    <a:prstGeom prst="rect">
                      <a:avLst/>
                    </a:prstGeom>
                    <a:noFill/>
                    <a:ln>
                      <a:noFill/>
                    </a:ln>
                  </pic:spPr>
                </pic:pic>
              </a:graphicData>
            </a:graphic>
          </wp:inline>
        </w:drawing>
      </w:r>
    </w:p>
    <w:p w14:paraId="3BC1066D">
      <w:pPr>
        <w:spacing w:before="156" w:beforeLines="50" w:line="360" w:lineRule="auto"/>
        <w:jc w:val="left"/>
        <w:rPr>
          <w:rFonts w:ascii="Times New Roman" w:hAnsi="Times New Roman" w:eastAsia="宋体" w:cs="Times New Roman"/>
          <w:b/>
          <w:sz w:val="24"/>
        </w:rPr>
      </w:pPr>
      <w:r>
        <w:rPr>
          <w:rFonts w:hint="eastAsia" w:ascii="宋体" w:hAnsi="宋体" w:eastAsia="宋体" w:cs="Times New Roman"/>
          <w:b/>
          <w:sz w:val="24"/>
        </w:rPr>
        <w:t>五、</w:t>
      </w:r>
      <w:r>
        <w:rPr>
          <w:rFonts w:hint="eastAsia" w:ascii="Times New Roman" w:hAnsi="Times New Roman" w:eastAsia="宋体" w:cs="Times New Roman"/>
          <w:b/>
          <w:sz w:val="24"/>
        </w:rPr>
        <w:t>课程实践</w:t>
      </w:r>
    </w:p>
    <w:p w14:paraId="77205351">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326FD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E2954D2">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02A7C2A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78E3234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CCD7E37">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7507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1212" w:type="dxa"/>
            <w:vAlign w:val="center"/>
          </w:tcPr>
          <w:p w14:paraId="07392300">
            <w:pPr>
              <w:adjustRightInd w:val="0"/>
              <w:jc w:val="center"/>
              <w:rPr>
                <w:rFonts w:hint="eastAsia" w:ascii="宋体" w:hAnsi="宋体" w:eastAsia="宋体" w:cs="宋体"/>
                <w:bCs/>
                <w:szCs w:val="21"/>
              </w:rPr>
            </w:pPr>
            <w:r>
              <w:rPr>
                <w:rFonts w:hint="eastAsia" w:ascii="宋体" w:hAnsi="宋体" w:eastAsia="宋体" w:cs="宋体"/>
                <w:bCs/>
                <w:szCs w:val="21"/>
              </w:rPr>
              <w:t>普通话</w:t>
            </w:r>
          </w:p>
          <w:p w14:paraId="36007651">
            <w:pPr>
              <w:adjustRightInd w:val="0"/>
              <w:jc w:val="center"/>
              <w:rPr>
                <w:rFonts w:hint="eastAsia" w:ascii="宋体" w:hAnsi="宋体" w:eastAsia="宋体" w:cs="宋体"/>
                <w:szCs w:val="21"/>
              </w:rPr>
            </w:pPr>
            <w:r>
              <w:rPr>
                <w:rFonts w:hint="eastAsia" w:ascii="宋体" w:hAnsi="宋体" w:eastAsia="宋体" w:cs="宋体"/>
                <w:bCs/>
                <w:szCs w:val="21"/>
              </w:rPr>
              <w:t>语音</w:t>
            </w:r>
            <w:r>
              <w:rPr>
                <w:rFonts w:hint="eastAsia" w:ascii="宋体" w:hAnsi="宋体" w:eastAsia="宋体" w:cs="宋体"/>
                <w:kern w:val="0"/>
                <w:szCs w:val="21"/>
              </w:rPr>
              <w:t>训练</w:t>
            </w:r>
          </w:p>
        </w:tc>
        <w:tc>
          <w:tcPr>
            <w:tcW w:w="3407" w:type="dxa"/>
            <w:vAlign w:val="center"/>
          </w:tcPr>
          <w:p w14:paraId="4AC7C78F">
            <w:pPr>
              <w:ind w:firstLine="210" w:firstLineChars="100"/>
              <w:rPr>
                <w:rFonts w:hint="eastAsia" w:ascii="宋体" w:hAnsi="宋体" w:eastAsia="宋体" w:cs="宋体"/>
                <w:szCs w:val="21"/>
              </w:rPr>
            </w:pPr>
            <w:r>
              <w:rPr>
                <w:rFonts w:hint="eastAsia" w:ascii="宋体" w:hAnsi="宋体" w:eastAsia="宋体" w:cs="Times New Roman"/>
                <w:bCs/>
                <w:szCs w:val="21"/>
              </w:rPr>
              <w:t>声母、韵母、声调、吐字归音、语流音变等普通话语音基础知识训练。逐步认识和纠正发音、发声中存在的问题，掌握和运用科学的发音、发声方法。</w:t>
            </w:r>
          </w:p>
        </w:tc>
        <w:tc>
          <w:tcPr>
            <w:tcW w:w="740" w:type="dxa"/>
            <w:vAlign w:val="center"/>
          </w:tcPr>
          <w:p w14:paraId="6D3F9363">
            <w:pPr>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3B062005">
            <w:pPr>
              <w:jc w:val="left"/>
              <w:rPr>
                <w:rFonts w:hint="eastAsia" w:ascii="宋体" w:hAnsi="宋体" w:eastAsia="宋体" w:cs="宋体"/>
                <w:szCs w:val="21"/>
              </w:rPr>
            </w:pP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1D56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1FF2AE9">
            <w:pPr>
              <w:adjustRightInd w:val="0"/>
              <w:jc w:val="center"/>
              <w:rPr>
                <w:rFonts w:hint="eastAsia" w:ascii="宋体" w:hAnsi="宋体" w:eastAsia="宋体" w:cs="宋体"/>
                <w:szCs w:val="21"/>
              </w:rPr>
            </w:pPr>
            <w:r>
              <w:rPr>
                <w:rFonts w:hint="eastAsia" w:ascii="宋体" w:hAnsi="宋体" w:eastAsia="宋体" w:cs="宋体"/>
                <w:szCs w:val="21"/>
              </w:rPr>
              <w:t>教师基本礼仪技能的要求</w:t>
            </w:r>
            <w:r>
              <w:rPr>
                <w:rFonts w:hint="eastAsia" w:ascii="宋体" w:hAnsi="宋体" w:eastAsia="宋体" w:cs="宋体"/>
                <w:kern w:val="0"/>
                <w:szCs w:val="21"/>
              </w:rPr>
              <w:t>训练</w:t>
            </w:r>
          </w:p>
        </w:tc>
        <w:tc>
          <w:tcPr>
            <w:tcW w:w="3407" w:type="dxa"/>
            <w:vAlign w:val="center"/>
          </w:tcPr>
          <w:p w14:paraId="251DFA7F">
            <w:pPr>
              <w:widowControl/>
              <w:ind w:firstLine="420" w:firstLineChars="200"/>
              <w:jc w:val="left"/>
              <w:rPr>
                <w:rFonts w:hint="eastAsia" w:ascii="宋体" w:hAnsi="宋体" w:eastAsia="宋体" w:cs="宋体"/>
                <w:szCs w:val="21"/>
              </w:rPr>
            </w:pPr>
            <w:r>
              <w:rPr>
                <w:rFonts w:hint="eastAsia" w:ascii="宋体" w:hAnsi="宋体" w:eastAsia="宋体" w:cs="Times New Roman"/>
                <w:bCs/>
                <w:szCs w:val="21"/>
              </w:rPr>
              <w:t>掌握复述、描述、评述、讲故事、态势语等一些基本技能的要求。通过训练，掌握各种技能、技巧。</w:t>
            </w:r>
            <w:r>
              <w:rPr>
                <w:rFonts w:hint="eastAsia" w:ascii="宋体" w:hAnsi="宋体" w:eastAsia="宋体" w:cs="宋体"/>
                <w:szCs w:val="21"/>
              </w:rPr>
              <w:t>能够熟练自如的运用各种技能。</w:t>
            </w:r>
          </w:p>
        </w:tc>
        <w:tc>
          <w:tcPr>
            <w:tcW w:w="740" w:type="dxa"/>
            <w:vAlign w:val="center"/>
          </w:tcPr>
          <w:p w14:paraId="0A1FA96A">
            <w:pPr>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7BB301B9">
            <w:pPr>
              <w:jc w:val="left"/>
              <w:rPr>
                <w:rFonts w:hint="eastAsia" w:ascii="宋体" w:hAnsi="宋体" w:eastAsia="宋体" w:cs="宋体"/>
                <w:szCs w:val="21"/>
              </w:rPr>
            </w:pP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2674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B6CE2E5">
            <w:pPr>
              <w:adjustRightInd w:val="0"/>
              <w:jc w:val="center"/>
              <w:rPr>
                <w:rFonts w:hint="eastAsia" w:ascii="宋体" w:hAnsi="宋体" w:eastAsia="宋体" w:cs="宋体"/>
                <w:szCs w:val="21"/>
              </w:rPr>
            </w:pPr>
            <w:r>
              <w:rPr>
                <w:rFonts w:hint="eastAsia" w:ascii="宋体" w:hAnsi="宋体" w:eastAsia="宋体" w:cs="宋体"/>
                <w:bCs/>
                <w:szCs w:val="21"/>
              </w:rPr>
              <w:t>教师教学口语训练</w:t>
            </w:r>
          </w:p>
        </w:tc>
        <w:tc>
          <w:tcPr>
            <w:tcW w:w="3407" w:type="dxa"/>
            <w:vAlign w:val="center"/>
          </w:tcPr>
          <w:p w14:paraId="6B4934C5">
            <w:pPr>
              <w:ind w:firstLine="420" w:firstLineChars="200"/>
              <w:rPr>
                <w:rFonts w:hint="eastAsia" w:ascii="宋体" w:hAnsi="宋体" w:eastAsia="宋体" w:cs="宋体"/>
                <w:szCs w:val="21"/>
              </w:rPr>
            </w:pPr>
            <w:r>
              <w:rPr>
                <w:rFonts w:hint="eastAsia" w:ascii="宋体" w:hAnsi="宋体" w:eastAsia="宋体" w:cs="宋体"/>
                <w:szCs w:val="21"/>
              </w:rPr>
              <w:t>导入语、提问语、过渡语、讲解语、评价语、应变语、小结语等各教学环节的用语技巧。能掌握幼儿教师教学语言的特点，在课堂模拟教学中正确使用各类教学语言。</w:t>
            </w:r>
          </w:p>
        </w:tc>
        <w:tc>
          <w:tcPr>
            <w:tcW w:w="740" w:type="dxa"/>
            <w:vAlign w:val="center"/>
          </w:tcPr>
          <w:p w14:paraId="727A51A4">
            <w:pPr>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599AE5F4">
            <w:pPr>
              <w:jc w:val="left"/>
              <w:rPr>
                <w:rFonts w:hint="eastAsia" w:ascii="宋体" w:hAnsi="宋体" w:eastAsia="宋体" w:cs="宋体"/>
                <w:b/>
                <w:bCs/>
                <w:szCs w:val="21"/>
              </w:rPr>
            </w:pP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4DE2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66DE9CEB">
            <w:pPr>
              <w:adjustRightInd w:val="0"/>
              <w:jc w:val="center"/>
              <w:rPr>
                <w:rFonts w:hint="eastAsia" w:ascii="宋体" w:hAnsi="宋体" w:eastAsia="宋体" w:cs="宋体"/>
                <w:szCs w:val="21"/>
              </w:rPr>
            </w:pPr>
            <w:r>
              <w:rPr>
                <w:rFonts w:hint="eastAsia" w:ascii="宋体" w:hAnsi="宋体" w:eastAsia="宋体" w:cs="宋体"/>
                <w:bCs/>
                <w:szCs w:val="21"/>
              </w:rPr>
              <w:t>教师教育口语训练</w:t>
            </w:r>
          </w:p>
        </w:tc>
        <w:tc>
          <w:tcPr>
            <w:tcW w:w="3407" w:type="dxa"/>
            <w:vAlign w:val="center"/>
          </w:tcPr>
          <w:p w14:paraId="0536C0D0">
            <w:pPr>
              <w:ind w:firstLine="420" w:firstLineChars="200"/>
              <w:rPr>
                <w:rFonts w:hint="eastAsia" w:ascii="宋体" w:hAnsi="宋体" w:eastAsia="宋体" w:cs="宋体"/>
                <w:szCs w:val="21"/>
              </w:rPr>
            </w:pPr>
            <w:r>
              <w:rPr>
                <w:rFonts w:hint="eastAsia" w:ascii="宋体" w:hAnsi="宋体" w:eastAsia="宋体" w:cs="Times New Roman"/>
                <w:bCs/>
                <w:szCs w:val="21"/>
              </w:rPr>
              <w:t>掌握幼儿教育口语的特点、原则和要求。能根据不同教育情境准确、恰当地运用教育口语。</w:t>
            </w:r>
          </w:p>
        </w:tc>
        <w:tc>
          <w:tcPr>
            <w:tcW w:w="740" w:type="dxa"/>
            <w:vAlign w:val="center"/>
          </w:tcPr>
          <w:p w14:paraId="208F8C15">
            <w:pPr>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3DFDD506">
            <w:pPr>
              <w:jc w:val="left"/>
              <w:rPr>
                <w:rFonts w:hint="eastAsia" w:ascii="宋体" w:hAnsi="宋体" w:eastAsia="宋体" w:cs="宋体"/>
                <w:szCs w:val="21"/>
              </w:rPr>
            </w:pP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bl>
    <w:p w14:paraId="780DE37E">
      <w:pPr>
        <w:spacing w:line="360" w:lineRule="auto"/>
        <w:jc w:val="left"/>
        <w:rPr>
          <w:rFonts w:hint="eastAsia" w:ascii="宋体" w:hAnsi="宋体" w:eastAsia="宋体" w:cs="Times New Roman"/>
          <w:b/>
          <w:sz w:val="24"/>
        </w:rPr>
      </w:pPr>
    </w:p>
    <w:p w14:paraId="47DD5381">
      <w:pPr>
        <w:spacing w:line="360" w:lineRule="auto"/>
        <w:jc w:val="left"/>
        <w:rPr>
          <w:rFonts w:ascii="Times New Roman" w:hAnsi="Times New Roman" w:eastAsia="宋体" w:cs="Times New Roman"/>
          <w:b/>
          <w:bCs/>
          <w:sz w:val="24"/>
        </w:rPr>
      </w:pPr>
      <w:r>
        <w:rPr>
          <w:rFonts w:hint="eastAsia" w:ascii="宋体" w:hAnsi="宋体" w:eastAsia="宋体" w:cs="Times New Roman"/>
          <w:b/>
          <w:sz w:val="24"/>
        </w:rPr>
        <w:t>六、有关说明</w:t>
      </w:r>
    </w:p>
    <w:p w14:paraId="10D96A16">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（一）持续改进</w:t>
      </w:r>
    </w:p>
    <w:p w14:paraId="7FC788E2">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本课程根据学生作业、课堂讨论情况和学生、教学督导等方面</w:t>
      </w:r>
      <w:r>
        <w:rPr>
          <w:rFonts w:hint="eastAsia" w:ascii="宋体" w:hAnsi="宋体" w:eastAsia="宋体" w:cs="Times New Roman"/>
          <w:szCs w:val="21"/>
        </w:rPr>
        <w:t>的</w:t>
      </w:r>
      <w:r>
        <w:rPr>
          <w:rFonts w:ascii="宋体" w:hAnsi="宋体" w:eastAsia="宋体" w:cs="Times New Roman"/>
          <w:szCs w:val="21"/>
        </w:rPr>
        <w:t>反馈意见及时对教学中</w:t>
      </w:r>
      <w:r>
        <w:rPr>
          <w:rFonts w:hint="eastAsia" w:ascii="宋体" w:hAnsi="宋体" w:eastAsia="宋体" w:cs="Times New Roman"/>
          <w:szCs w:val="21"/>
        </w:rPr>
        <w:t>的</w:t>
      </w:r>
      <w:r>
        <w:rPr>
          <w:rFonts w:ascii="宋体" w:hAnsi="宋体" w:eastAsia="宋体" w:cs="Times New Roman"/>
          <w:szCs w:val="21"/>
        </w:rPr>
        <w:t>不足之处进行改进，并在下一轮课程教学中</w:t>
      </w:r>
      <w:r>
        <w:rPr>
          <w:rFonts w:hint="eastAsia" w:ascii="宋体" w:hAnsi="宋体" w:eastAsia="宋体" w:cs="Times New Roman"/>
          <w:szCs w:val="21"/>
        </w:rPr>
        <w:t>整改完善</w:t>
      </w:r>
      <w:r>
        <w:rPr>
          <w:rFonts w:ascii="宋体" w:hAnsi="宋体" w:eastAsia="宋体" w:cs="Times New Roman"/>
          <w:szCs w:val="21"/>
        </w:rPr>
        <w:t>，确保相应毕业要求指标点达成。</w:t>
      </w:r>
    </w:p>
    <w:p w14:paraId="24DB3D77">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（二）参考书目及学习资料</w:t>
      </w:r>
    </w:p>
    <w:p w14:paraId="09D1BF5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1.教材</w:t>
      </w:r>
    </w:p>
    <w:p w14:paraId="4EA666E3">
      <w:pPr>
        <w:spacing w:line="360"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高林广.教师口语实训教程.北京：高等教育出版社，2016.</w:t>
      </w:r>
    </w:p>
    <w:p w14:paraId="60C5FD1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2.教学参考书</w:t>
      </w:r>
    </w:p>
    <w:p w14:paraId="268B210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陈国安、王海燕.新编教师口语——表达与训练.上海：华东师范大学出版社，</w:t>
      </w:r>
      <w:r>
        <w:rPr>
          <w:rFonts w:ascii="宋体" w:hAnsi="宋体" w:eastAsia="宋体" w:cs="Times New Roman"/>
          <w:szCs w:val="21"/>
        </w:rPr>
        <w:t>2007</w:t>
      </w:r>
      <w:r>
        <w:rPr>
          <w:rFonts w:hint="eastAsia" w:ascii="宋体" w:hAnsi="宋体" w:eastAsia="宋体" w:cs="Times New Roman"/>
          <w:szCs w:val="21"/>
        </w:rPr>
        <w:t>.</w:t>
      </w:r>
    </w:p>
    <w:p w14:paraId="427F53A0">
      <w:pPr>
        <w:spacing w:line="360" w:lineRule="auto"/>
        <w:ind w:firstLine="420" w:firstLineChars="200"/>
        <w:rPr>
          <w:rFonts w:ascii="Book Antiqua" w:hAnsi="Book Antiqua" w:eastAsia="宋体" w:cs="Times New Roman"/>
          <w:szCs w:val="21"/>
        </w:rPr>
      </w:pPr>
      <w:r>
        <w:rPr>
          <w:rFonts w:hint="eastAsia" w:ascii="Book Antiqua" w:hAnsi="Book Antiqua" w:eastAsia="宋体" w:cs="Times New Roman"/>
          <w:szCs w:val="21"/>
        </w:rPr>
        <w:t>江苏省普通话水平测试研究组.普通话水平测试指导用书(最新版）.北京：中国和平音像电子出版社，2013.</w:t>
      </w:r>
    </w:p>
    <w:p w14:paraId="29B7F68C">
      <w:pPr>
        <w:autoSpaceDE w:val="0"/>
        <w:autoSpaceDN w:val="0"/>
        <w:adjustRightInd w:val="0"/>
        <w:spacing w:line="360" w:lineRule="auto"/>
        <w:ind w:firstLine="420" w:firstLineChars="200"/>
        <w:jc w:val="left"/>
        <w:rPr>
          <w:rFonts w:hint="eastAsia" w:ascii="宋体" w:hAnsi="宋体" w:eastAsia="宋体" w:cs="Times New Roman"/>
          <w:kern w:val="0"/>
          <w:szCs w:val="18"/>
        </w:rPr>
      </w:pPr>
    </w:p>
    <w:p w14:paraId="117A0F09">
      <w:pPr>
        <w:wordWrap w:val="0"/>
        <w:autoSpaceDE w:val="0"/>
        <w:autoSpaceDN w:val="0"/>
        <w:adjustRightInd w:val="0"/>
        <w:spacing w:line="360" w:lineRule="auto"/>
        <w:jc w:val="right"/>
        <w:rPr>
          <w:rFonts w:hint="eastAsia" w:ascii="宋体" w:hAnsi="宋体" w:eastAsia="宋体" w:cs="Times New Roman"/>
          <w:kern w:val="0"/>
          <w:szCs w:val="18"/>
        </w:rPr>
      </w:pPr>
      <w:r>
        <w:rPr>
          <w:rFonts w:hint="eastAsia" w:ascii="宋体" w:hAnsi="宋体" w:eastAsia="宋体" w:cs="Times New Roman"/>
          <w:kern w:val="0"/>
          <w:szCs w:val="18"/>
        </w:rPr>
        <w:t xml:space="preserve">                                               </w:t>
      </w:r>
      <w:r>
        <w:rPr>
          <w:rFonts w:ascii="宋体" w:hAnsi="宋体" w:eastAsia="宋体" w:cs="Times New Roman"/>
          <w:kern w:val="0"/>
          <w:szCs w:val="18"/>
        </w:rPr>
        <w:t>执笔人：</w:t>
      </w:r>
      <w:r>
        <w:rPr>
          <w:rFonts w:hint="eastAsia" w:ascii="宋体" w:hAnsi="宋体" w:eastAsia="宋体" w:cs="Times New Roman"/>
          <w:kern w:val="0"/>
          <w:szCs w:val="18"/>
        </w:rPr>
        <w:t xml:space="preserve">李  森  </w:t>
      </w:r>
    </w:p>
    <w:p w14:paraId="129F8C43">
      <w:pPr>
        <w:wordWrap w:val="0"/>
        <w:autoSpaceDE w:val="0"/>
        <w:autoSpaceDN w:val="0"/>
        <w:adjustRightInd w:val="0"/>
        <w:spacing w:line="360" w:lineRule="auto"/>
        <w:jc w:val="right"/>
        <w:rPr>
          <w:rFonts w:hint="eastAsia" w:ascii="宋体" w:hAnsi="宋体" w:eastAsia="宋体" w:cs="Times New Roman"/>
          <w:kern w:val="0"/>
          <w:szCs w:val="18"/>
        </w:rPr>
      </w:pPr>
      <w:r>
        <w:rPr>
          <w:rFonts w:hint="eastAsia" w:ascii="宋体" w:hAnsi="宋体" w:eastAsia="宋体" w:cs="Times New Roman"/>
          <w:kern w:val="0"/>
          <w:szCs w:val="18"/>
        </w:rPr>
        <w:t xml:space="preserve">                                               审定人：钱  峰  </w:t>
      </w:r>
    </w:p>
    <w:p w14:paraId="0DD49E77">
      <w:pPr>
        <w:wordWrap w:val="0"/>
        <w:autoSpaceDE w:val="0"/>
        <w:autoSpaceDN w:val="0"/>
        <w:adjustRightInd w:val="0"/>
        <w:spacing w:line="360" w:lineRule="auto"/>
        <w:jc w:val="right"/>
        <w:rPr>
          <w:rFonts w:hint="eastAsia" w:ascii="宋体" w:hAnsi="宋体" w:eastAsia="宋体" w:cs="Times New Roman"/>
          <w:kern w:val="0"/>
          <w:szCs w:val="18"/>
        </w:rPr>
      </w:pPr>
      <w:r>
        <w:rPr>
          <w:rFonts w:hint="eastAsia" w:ascii="宋体" w:hAnsi="宋体" w:eastAsia="宋体" w:cs="Times New Roman"/>
          <w:kern w:val="0"/>
          <w:szCs w:val="18"/>
        </w:rPr>
        <w:t xml:space="preserve">                                                 审批人：王献东  </w:t>
      </w:r>
    </w:p>
    <w:p w14:paraId="30CFF095">
      <w:pPr>
        <w:autoSpaceDE w:val="0"/>
        <w:autoSpaceDN w:val="0"/>
        <w:adjustRightInd w:val="0"/>
        <w:spacing w:line="360" w:lineRule="auto"/>
        <w:jc w:val="right"/>
        <w:rPr>
          <w:rFonts w:ascii="Calibri" w:hAnsi="Calibri" w:eastAsia="宋体" w:cs="Times New Roman"/>
          <w:kern w:val="0"/>
          <w:sz w:val="24"/>
          <w:szCs w:val="21"/>
        </w:rPr>
      </w:pPr>
      <w:r>
        <w:rPr>
          <w:rFonts w:hint="eastAsia" w:ascii="Calibri" w:hAnsi="Calibri" w:eastAsia="宋体" w:cs="Times New Roman"/>
          <w:kern w:val="0"/>
          <w:szCs w:val="18"/>
        </w:rPr>
        <w:t>批准时间：2025年7月1日</w:t>
      </w:r>
      <w:r>
        <w:rPr>
          <w:rFonts w:ascii="Calibri" w:hAnsi="Calibri" w:eastAsia="宋体" w:cs="Times New Roman"/>
          <w:kern w:val="0"/>
          <w:szCs w:val="18"/>
        </w:rPr>
        <w:t xml:space="preserve"> </w:t>
      </w:r>
    </w:p>
    <w:p w14:paraId="344D4432"/>
    <w:p w14:paraId="133DF142"/>
    <w:p w14:paraId="4A5D2234">
      <w:pPr>
        <w:spacing w:line="360" w:lineRule="auto"/>
        <w:ind w:right="240"/>
        <w:jc w:val="right"/>
        <w:rPr>
          <w:rFonts w:ascii="Times New Roman" w:hAnsi="Times New Roman" w:eastAsia="宋体" w:cs="Times New Roman"/>
          <w:sz w:val="24"/>
        </w:rPr>
      </w:pPr>
    </w:p>
    <w:p w14:paraId="71F60BB1">
      <w:pPr>
        <w:rPr>
          <w:rFonts w:hint="eastAsia" w:ascii="等线" w:hAnsi="等线" w:eastAsia="等线" w:cs="Times New Roman"/>
          <w:sz w:val="24"/>
          <w:szCs w:val="22"/>
        </w:rPr>
      </w:pPr>
      <w:r>
        <w:rPr>
          <w:rFonts w:hint="eastAsia" w:ascii="等线" w:hAnsi="等线" w:eastAsia="等线" w:cs="Times New Roman"/>
          <w:sz w:val="24"/>
          <w:szCs w:val="22"/>
        </w:rPr>
        <w:br w:type="page"/>
      </w:r>
    </w:p>
    <w:p w14:paraId="072B673C">
      <w:pPr>
        <w:spacing w:line="360" w:lineRule="auto"/>
        <w:jc w:val="center"/>
        <w:outlineLvl w:val="0"/>
        <w:rPr>
          <w:rFonts w:ascii="Times New Roman" w:hAnsi="Times New Roman" w:eastAsia="宋体" w:cs="Times New Roman"/>
          <w:b/>
          <w:sz w:val="44"/>
          <w:szCs w:val="44"/>
        </w:rPr>
      </w:pPr>
      <w:bookmarkStart w:id="687" w:name="_Toc16423"/>
      <w:bookmarkStart w:id="688" w:name="_Toc1593"/>
      <w:bookmarkStart w:id="689" w:name="_Toc2567"/>
      <w:bookmarkStart w:id="690" w:name="_Toc3816"/>
      <w:r>
        <w:rPr>
          <w:rFonts w:hint="eastAsia" w:ascii="Times New Roman" w:hAnsi="Times New Roman" w:eastAsia="宋体" w:cs="Times New Roman"/>
          <w:b/>
          <w:sz w:val="44"/>
          <w:szCs w:val="44"/>
        </w:rPr>
        <w:t>《教育统计与测量》课程教学大纲</w:t>
      </w:r>
      <w:bookmarkEnd w:id="687"/>
      <w:bookmarkEnd w:id="688"/>
      <w:bookmarkEnd w:id="689"/>
      <w:bookmarkEnd w:id="690"/>
    </w:p>
    <w:p w14:paraId="27242BDC">
      <w:pPr>
        <w:spacing w:line="360" w:lineRule="auto"/>
        <w:jc w:val="center"/>
        <w:rPr>
          <w:rFonts w:ascii="Times New Roman" w:hAnsi="Times New Roman" w:eastAsia="宋体" w:cs="Times New Roman"/>
          <w:b/>
          <w:bCs/>
          <w:sz w:val="28"/>
          <w:szCs w:val="28"/>
        </w:rPr>
      </w:pPr>
      <w:bookmarkStart w:id="691" w:name="_Toc16111"/>
      <w:bookmarkStart w:id="692" w:name="_Toc27355"/>
      <w:bookmarkStart w:id="693" w:name="_Toc14513"/>
      <w:bookmarkStart w:id="694" w:name="_Toc5859"/>
      <w:bookmarkStart w:id="695" w:name="_Toc19616"/>
      <w:bookmarkStart w:id="696" w:name="_Toc2149"/>
      <w:bookmarkStart w:id="697" w:name="_Toc10847"/>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Educational Statistics and Measurement</w:t>
      </w:r>
      <w:r>
        <w:rPr>
          <w:rFonts w:ascii="Times New Roman" w:hAnsi="Times New Roman" w:eastAsia="宋体" w:cs="Times New Roman"/>
          <w:b/>
          <w:bCs/>
          <w:sz w:val="28"/>
          <w:szCs w:val="28"/>
        </w:rPr>
        <w:t>）</w:t>
      </w:r>
      <w:bookmarkEnd w:id="691"/>
      <w:bookmarkEnd w:id="692"/>
      <w:bookmarkEnd w:id="693"/>
      <w:bookmarkEnd w:id="694"/>
      <w:bookmarkEnd w:id="695"/>
      <w:bookmarkEnd w:id="696"/>
      <w:bookmarkEnd w:id="697"/>
    </w:p>
    <w:p w14:paraId="31B36034">
      <w:pPr>
        <w:spacing w:line="360" w:lineRule="auto"/>
        <w:jc w:val="center"/>
        <w:rPr>
          <w:rFonts w:ascii="Times New Roman" w:hAnsi="Times New Roman" w:eastAsia="宋体" w:cs="Times New Roman"/>
          <w:bCs/>
          <w:szCs w:val="21"/>
        </w:rPr>
      </w:pPr>
    </w:p>
    <w:p w14:paraId="497E771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课程名称：教育统计与测量</w:t>
      </w:r>
    </w:p>
    <w:p w14:paraId="13ABA32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课程代码：2401015</w:t>
      </w:r>
    </w:p>
    <w:p w14:paraId="3A9E8A9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6F37E65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4E8CCB3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0A5C993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1D6F3245">
      <w:pPr>
        <w:spacing w:before="62" w:beforeLines="20" w:after="62" w:afterLines="20" w:line="360" w:lineRule="auto"/>
        <w:jc w:val="left"/>
        <w:rPr>
          <w:rFonts w:ascii="Times New Roman" w:hAnsi="Times New Roman" w:eastAsia="宋体" w:cs="Times New Roman"/>
          <w:b/>
          <w:sz w:val="24"/>
        </w:rPr>
      </w:pPr>
      <w:bookmarkStart w:id="698" w:name="_Toc27431"/>
      <w:bookmarkStart w:id="699" w:name="_Toc32143"/>
      <w:bookmarkStart w:id="700" w:name="_Toc19138"/>
      <w:bookmarkStart w:id="701" w:name="_Toc31002"/>
      <w:bookmarkStart w:id="702" w:name="_Toc29811"/>
      <w:bookmarkStart w:id="703" w:name="_Toc10146"/>
      <w:bookmarkStart w:id="704" w:name="_Toc21742"/>
      <w:r>
        <w:rPr>
          <w:rFonts w:hint="eastAsia" w:ascii="Times New Roman" w:hAnsi="Times New Roman" w:eastAsia="宋体" w:cs="Times New Roman"/>
          <w:b/>
          <w:sz w:val="24"/>
        </w:rPr>
        <w:t>一、课程简介</w:t>
      </w:r>
      <w:bookmarkEnd w:id="698"/>
      <w:bookmarkEnd w:id="699"/>
      <w:bookmarkEnd w:id="700"/>
      <w:bookmarkEnd w:id="701"/>
      <w:bookmarkEnd w:id="702"/>
      <w:bookmarkEnd w:id="703"/>
      <w:bookmarkEnd w:id="704"/>
    </w:p>
    <w:p w14:paraId="4DE83FA2">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选修课。通过本课程的学习，加强学生对教育统计理论的认识；培养学生解决各种教育统计问题的能力；提高学生教育科研的基本能力；培养学生创新精神和实践能力，为后续《教育科学研究方法》等课程和毕业论文等实践环节以及未来分析与解决教育实际问题奠定基础。</w:t>
      </w:r>
    </w:p>
    <w:p w14:paraId="61DDF707">
      <w:pPr>
        <w:spacing w:before="62" w:beforeLines="20" w:after="62" w:afterLines="20" w:line="360" w:lineRule="auto"/>
        <w:jc w:val="left"/>
        <w:rPr>
          <w:rFonts w:ascii="Times New Roman" w:hAnsi="Times New Roman" w:eastAsia="宋体" w:cs="Times New Roman"/>
          <w:b/>
          <w:sz w:val="24"/>
        </w:rPr>
      </w:pPr>
      <w:bookmarkStart w:id="705" w:name="_Toc2924"/>
      <w:bookmarkStart w:id="706" w:name="_Toc18106"/>
      <w:bookmarkStart w:id="707" w:name="_Toc286"/>
      <w:bookmarkStart w:id="708" w:name="_Toc2291"/>
      <w:bookmarkStart w:id="709" w:name="_Toc12189"/>
      <w:bookmarkStart w:id="710" w:name="_Toc25395"/>
      <w:bookmarkStart w:id="711" w:name="_Toc28347"/>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705"/>
      <w:bookmarkEnd w:id="706"/>
      <w:bookmarkEnd w:id="707"/>
      <w:bookmarkEnd w:id="708"/>
      <w:bookmarkEnd w:id="709"/>
      <w:bookmarkEnd w:id="710"/>
      <w:bookmarkEnd w:id="711"/>
    </w:p>
    <w:p w14:paraId="1B5AA4D5">
      <w:pPr>
        <w:spacing w:line="360" w:lineRule="auto"/>
        <w:ind w:firstLine="422" w:firstLineChars="200"/>
        <w:outlineLvl w:val="1"/>
        <w:rPr>
          <w:rFonts w:hint="eastAsia" w:ascii="宋体" w:hAnsi="宋体" w:eastAsia="宋体" w:cs="Times New Roman"/>
          <w:b/>
          <w:szCs w:val="21"/>
        </w:rPr>
      </w:pPr>
      <w:bookmarkStart w:id="712" w:name="_Toc15482"/>
      <w:r>
        <w:rPr>
          <w:rFonts w:hint="eastAsia" w:ascii="宋体" w:hAnsi="宋体" w:eastAsia="宋体" w:cs="Times New Roman"/>
          <w:b/>
          <w:szCs w:val="21"/>
        </w:rPr>
        <w:t>（一）课程具体目标</w:t>
      </w:r>
      <w:bookmarkEnd w:id="712"/>
    </w:p>
    <w:p w14:paraId="7F723852">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bCs/>
          <w:szCs w:val="21"/>
        </w:rPr>
        <w:t>形成自然科学的思维品质</w:t>
      </w:r>
      <w:r>
        <w:rPr>
          <w:rFonts w:hint="eastAsia" w:ascii="宋体" w:hAnsi="宋体" w:eastAsia="宋体" w:cs="Times New Roman"/>
          <w:bCs/>
          <w:kern w:val="0"/>
          <w:szCs w:val="21"/>
        </w:rPr>
        <w:t>；</w:t>
      </w:r>
    </w:p>
    <w:p w14:paraId="5BE7A3CA">
      <w:pPr>
        <w:spacing w:line="360" w:lineRule="auto"/>
        <w:ind w:firstLine="422" w:firstLineChars="200"/>
        <w:rPr>
          <w:rFonts w:hint="eastAsia" w:ascii="宋体" w:hAnsi="宋体" w:eastAsia="宋体" w:cs="Times New Roman"/>
          <w:kern w:val="0"/>
          <w:szCs w:val="21"/>
        </w:rPr>
      </w:pPr>
      <w:r>
        <w:rPr>
          <w:rFonts w:hint="eastAsia" w:ascii="Times New Roman" w:hAnsi="Times New Roman" w:eastAsia="宋体" w:cs="Times New Roman"/>
          <w:b/>
          <w:szCs w:val="21"/>
        </w:rPr>
        <w:t xml:space="preserve">目标2. </w:t>
      </w:r>
      <w:r>
        <w:rPr>
          <w:rFonts w:hint="eastAsia" w:ascii="宋体" w:hAnsi="宋体" w:eastAsia="宋体" w:cs="Times New Roman"/>
          <w:kern w:val="0"/>
          <w:szCs w:val="21"/>
        </w:rPr>
        <w:t>能运用教育统计分析和解决小学教育实践中的问题，形成一定的教学研究能力；</w:t>
      </w:r>
    </w:p>
    <w:p w14:paraId="60835BEA">
      <w:pPr>
        <w:spacing w:line="360" w:lineRule="auto"/>
        <w:ind w:firstLine="422" w:firstLineChars="200"/>
        <w:rPr>
          <w:rFonts w:hint="eastAsia" w:ascii="宋体" w:hAnsi="宋体" w:eastAsia="宋体" w:cs="Times New Roman"/>
          <w:kern w:val="0"/>
          <w:szCs w:val="21"/>
        </w:rPr>
      </w:pPr>
      <w:r>
        <w:rPr>
          <w:rFonts w:hint="eastAsia" w:ascii="Times New Roman" w:hAnsi="Times New Roman" w:eastAsia="宋体" w:cs="Times New Roman"/>
          <w:b/>
          <w:szCs w:val="21"/>
        </w:rPr>
        <w:t xml:space="preserve">目标3. </w:t>
      </w:r>
      <w:r>
        <w:rPr>
          <w:rFonts w:hint="eastAsia" w:ascii="宋体" w:hAnsi="宋体" w:eastAsia="宋体" w:cs="Times New Roman"/>
          <w:kern w:val="0"/>
          <w:szCs w:val="21"/>
        </w:rPr>
        <w:t>能通过教育统计与测量的方法，形成一定的教育反思能力与意识。</w:t>
      </w:r>
    </w:p>
    <w:p w14:paraId="2A6A108D">
      <w:pPr>
        <w:spacing w:line="360" w:lineRule="auto"/>
        <w:ind w:firstLine="422" w:firstLineChars="200"/>
        <w:outlineLvl w:val="1"/>
        <w:rPr>
          <w:rFonts w:hint="eastAsia" w:ascii="宋体" w:hAnsi="宋体" w:eastAsia="宋体" w:cs="Times New Roman"/>
          <w:b/>
          <w:szCs w:val="21"/>
        </w:rPr>
      </w:pPr>
      <w:bookmarkStart w:id="713" w:name="_Toc23182"/>
      <w:r>
        <w:rPr>
          <w:rFonts w:hint="eastAsia" w:ascii="宋体" w:hAnsi="宋体" w:eastAsia="宋体" w:cs="Times New Roman"/>
          <w:b/>
          <w:szCs w:val="21"/>
        </w:rPr>
        <w:t>（二）课程目标与专业毕业要求的关系</w:t>
      </w:r>
      <w:bookmarkEnd w:id="713"/>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C5E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209C45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BBD422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69E924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57D9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107ACFB4">
            <w:pPr>
              <w:jc w:val="left"/>
              <w:rPr>
                <w:rFonts w:hint="eastAsia" w:ascii="宋体" w:hAnsi="宋体" w:eastAsia="宋体" w:cs="Times New Roman"/>
                <w:b/>
                <w:bCs/>
                <w:spacing w:val="-6"/>
                <w:szCs w:val="21"/>
              </w:rPr>
            </w:pPr>
            <w:r>
              <w:rPr>
                <w:rFonts w:hint="eastAsia" w:ascii="宋体" w:hAnsi="宋体" w:eastAsia="宋体" w:cs="Times New Roman"/>
                <w:b/>
                <w:bCs/>
                <w:spacing w:val="-6"/>
                <w:szCs w:val="21"/>
              </w:rPr>
              <w:t>毕业要求3 学科素养</w:t>
            </w:r>
          </w:p>
        </w:tc>
        <w:tc>
          <w:tcPr>
            <w:tcW w:w="5688" w:type="dxa"/>
            <w:vAlign w:val="center"/>
          </w:tcPr>
          <w:p w14:paraId="527EECFA">
            <w:pPr>
              <w:jc w:val="left"/>
              <w:rPr>
                <w:rFonts w:hint="eastAsia" w:ascii="宋体" w:hAnsi="宋体" w:eastAsia="宋体" w:cs="Times New Roman"/>
                <w:szCs w:val="21"/>
              </w:rPr>
            </w:pPr>
            <w:r>
              <w:rPr>
                <w:rFonts w:hint="eastAsia" w:ascii="宋体" w:hAnsi="宋体" w:eastAsia="宋体" w:cs="Times New Roman"/>
                <w:b/>
                <w:szCs w:val="21"/>
              </w:rPr>
              <w:t>指标点3-1</w:t>
            </w:r>
            <w:r>
              <w:rPr>
                <w:rFonts w:hint="eastAsia" w:ascii="宋体" w:hAnsi="宋体" w:eastAsia="宋体" w:cs="Times New Roman"/>
                <w:szCs w:val="21"/>
              </w:rPr>
              <w:t>：【通识知识广博】具有小学教育本科专业相应的自然科学和人文社会科学知识素养。</w:t>
            </w:r>
          </w:p>
        </w:tc>
        <w:tc>
          <w:tcPr>
            <w:tcW w:w="1191" w:type="dxa"/>
            <w:vAlign w:val="center"/>
          </w:tcPr>
          <w:p w14:paraId="6A5622B0">
            <w:pPr>
              <w:spacing w:line="360" w:lineRule="auto"/>
              <w:jc w:val="left"/>
              <w:rPr>
                <w:rFonts w:hint="eastAsia" w:ascii="宋体" w:hAnsi="宋体" w:eastAsia="宋体" w:cs="Times New Roman"/>
                <w:szCs w:val="21"/>
              </w:rPr>
            </w:pPr>
            <w:r>
              <w:rPr>
                <w:rFonts w:hint="eastAsia" w:ascii="宋体" w:hAnsi="宋体" w:eastAsia="宋体" w:cs="Times New Roman"/>
                <w:szCs w:val="21"/>
              </w:rPr>
              <w:t>课程目标1</w:t>
            </w:r>
          </w:p>
        </w:tc>
      </w:tr>
      <w:tr w14:paraId="29A0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3EB1DE6C">
            <w:pPr>
              <w:jc w:val="left"/>
              <w:rPr>
                <w:rFonts w:hint="eastAsia" w:ascii="宋体" w:hAnsi="宋体" w:eastAsia="宋体" w:cs="Times New Roman"/>
                <w:b/>
                <w:bCs/>
                <w:szCs w:val="21"/>
              </w:rPr>
            </w:pPr>
            <w:r>
              <w:rPr>
                <w:rFonts w:hint="eastAsia" w:ascii="宋体" w:hAnsi="宋体" w:eastAsia="宋体" w:cs="Times New Roman"/>
                <w:b/>
                <w:bCs/>
                <w:spacing w:val="-6"/>
                <w:szCs w:val="21"/>
              </w:rPr>
              <w:t>毕业要求4 教学能力</w:t>
            </w:r>
          </w:p>
        </w:tc>
        <w:tc>
          <w:tcPr>
            <w:tcW w:w="5688" w:type="dxa"/>
            <w:vAlign w:val="center"/>
          </w:tcPr>
          <w:p w14:paraId="48AE9E84">
            <w:pPr>
              <w:jc w:val="left"/>
              <w:rPr>
                <w:rFonts w:hint="eastAsia" w:ascii="宋体" w:hAnsi="宋体" w:eastAsia="宋体" w:cs="Times New Roman"/>
                <w:szCs w:val="21"/>
              </w:rPr>
            </w:pPr>
            <w:r>
              <w:rPr>
                <w:rFonts w:hint="eastAsia" w:ascii="宋体" w:hAnsi="宋体" w:cs="宋体"/>
                <w:b/>
                <w:kern w:val="0"/>
                <w:szCs w:val="21"/>
              </w:rPr>
              <w:t>指标点4-4</w:t>
            </w:r>
            <w:r>
              <w:rPr>
                <w:rFonts w:hint="eastAsia" w:ascii="宋体" w:hAnsi="宋体" w:cs="宋体"/>
                <w:szCs w:val="21"/>
              </w:rPr>
              <w:t>：【具备教学研究能力】掌握教育研究的基本方法，在教育教学实践中，结合小学教育教学实践进行研究，具有一定的教学研究能力。</w:t>
            </w:r>
          </w:p>
        </w:tc>
        <w:tc>
          <w:tcPr>
            <w:tcW w:w="1191" w:type="dxa"/>
            <w:vAlign w:val="center"/>
          </w:tcPr>
          <w:p w14:paraId="6E03FA27">
            <w:pPr>
              <w:spacing w:line="360" w:lineRule="auto"/>
              <w:jc w:val="left"/>
              <w:rPr>
                <w:rFonts w:hint="eastAsia" w:ascii="宋体" w:hAnsi="宋体" w:eastAsia="宋体" w:cs="Times New Roman"/>
                <w:szCs w:val="21"/>
              </w:rPr>
            </w:pPr>
            <w:r>
              <w:rPr>
                <w:rFonts w:hint="eastAsia" w:ascii="宋体" w:hAnsi="宋体" w:eastAsia="宋体" w:cs="Times New Roman"/>
                <w:szCs w:val="21"/>
              </w:rPr>
              <w:t>课程目标2</w:t>
            </w:r>
          </w:p>
        </w:tc>
      </w:tr>
      <w:tr w14:paraId="0B16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225422A">
            <w:pPr>
              <w:jc w:val="left"/>
              <w:rPr>
                <w:rFonts w:hint="eastAsia" w:ascii="宋体" w:hAnsi="宋体" w:eastAsia="宋体" w:cs="Times New Roman"/>
                <w:b/>
                <w:bCs/>
                <w:szCs w:val="21"/>
              </w:rPr>
            </w:pPr>
            <w:r>
              <w:rPr>
                <w:rFonts w:hint="eastAsia" w:ascii="宋体" w:hAnsi="宋体" w:eastAsia="宋体" w:cs="Times New Roman"/>
                <w:b/>
                <w:bCs/>
                <w:spacing w:val="-6"/>
                <w:szCs w:val="21"/>
              </w:rPr>
              <w:t>毕业要求7 学会反思</w:t>
            </w:r>
          </w:p>
        </w:tc>
        <w:tc>
          <w:tcPr>
            <w:tcW w:w="5688" w:type="dxa"/>
            <w:vAlign w:val="center"/>
          </w:tcPr>
          <w:p w14:paraId="3A67F5AA">
            <w:pPr>
              <w:jc w:val="left"/>
              <w:rPr>
                <w:rFonts w:hint="eastAsia" w:ascii="宋体" w:hAnsi="宋体" w:eastAsia="宋体" w:cs="Times New Roman"/>
                <w:szCs w:val="21"/>
              </w:rPr>
            </w:pPr>
            <w:r>
              <w:rPr>
                <w:rFonts w:hint="eastAsia" w:ascii="宋体" w:hAnsi="宋体" w:eastAsia="宋体" w:cs="Times New Roman"/>
                <w:b/>
                <w:szCs w:val="21"/>
              </w:rPr>
              <w:t>指标点7-3</w:t>
            </w:r>
            <w:r>
              <w:rPr>
                <w:rFonts w:hint="eastAsia" w:ascii="宋体" w:hAnsi="宋体" w:eastAsia="宋体" w:cs="Times New Roman"/>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思考和见解。</w:t>
            </w:r>
          </w:p>
        </w:tc>
        <w:tc>
          <w:tcPr>
            <w:tcW w:w="1191" w:type="dxa"/>
            <w:vAlign w:val="center"/>
          </w:tcPr>
          <w:p w14:paraId="41483B45">
            <w:pPr>
              <w:spacing w:line="360" w:lineRule="auto"/>
              <w:jc w:val="left"/>
              <w:rPr>
                <w:rFonts w:hint="eastAsia" w:ascii="宋体" w:hAnsi="宋体" w:eastAsia="宋体" w:cs="Times New Roman"/>
                <w:szCs w:val="21"/>
              </w:rPr>
            </w:pPr>
            <w:r>
              <w:rPr>
                <w:rFonts w:hint="eastAsia" w:ascii="宋体" w:hAnsi="宋体" w:eastAsia="宋体" w:cs="Times New Roman"/>
                <w:szCs w:val="21"/>
              </w:rPr>
              <w:t>课程目标3</w:t>
            </w:r>
          </w:p>
        </w:tc>
      </w:tr>
    </w:tbl>
    <w:p w14:paraId="00431EF6">
      <w:pPr>
        <w:spacing w:before="156" w:beforeLines="50" w:line="360" w:lineRule="auto"/>
        <w:ind w:firstLine="422" w:firstLineChars="200"/>
        <w:jc w:val="left"/>
        <w:outlineLvl w:val="1"/>
        <w:rPr>
          <w:rFonts w:hint="eastAsia" w:ascii="宋体" w:hAnsi="宋体" w:eastAsia="宋体" w:cs="Times New Roman"/>
          <w:b/>
          <w:szCs w:val="21"/>
        </w:rPr>
      </w:pPr>
      <w:bookmarkStart w:id="714" w:name="_Toc8200"/>
      <w:r>
        <w:rPr>
          <w:rFonts w:hint="eastAsia" w:ascii="宋体" w:hAnsi="宋体" w:eastAsia="宋体" w:cs="Times New Roman"/>
          <w:b/>
          <w:szCs w:val="21"/>
        </w:rPr>
        <w:t>（三）课程思政目标</w:t>
      </w:r>
      <w:bookmarkEnd w:id="714"/>
    </w:p>
    <w:p w14:paraId="2A07860E">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促使学生在扎实掌握社会统计软件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7DAE93E3">
      <w:pPr>
        <w:spacing w:before="62" w:beforeLines="20" w:after="62" w:afterLines="20" w:line="360" w:lineRule="auto"/>
        <w:jc w:val="left"/>
        <w:rPr>
          <w:rFonts w:ascii="Times New Roman" w:hAnsi="Times New Roman" w:eastAsia="宋体" w:cs="Times New Roman"/>
          <w:b/>
          <w:sz w:val="24"/>
        </w:rPr>
      </w:pPr>
      <w:bookmarkStart w:id="715" w:name="_Toc5885"/>
      <w:bookmarkStart w:id="716" w:name="_Toc9441"/>
      <w:bookmarkStart w:id="717" w:name="_Toc25105"/>
      <w:bookmarkStart w:id="718" w:name="_Toc29808"/>
      <w:bookmarkStart w:id="719" w:name="_Toc29892"/>
      <w:bookmarkStart w:id="720" w:name="_Toc22569"/>
      <w:bookmarkStart w:id="721" w:name="_Toc8632"/>
      <w:r>
        <w:rPr>
          <w:rFonts w:hint="eastAsia" w:ascii="Times New Roman" w:hAnsi="Times New Roman" w:eastAsia="宋体" w:cs="Times New Roman"/>
          <w:b/>
          <w:sz w:val="24"/>
        </w:rPr>
        <w:t>三、教学内容与预期学习成效</w:t>
      </w:r>
      <w:bookmarkEnd w:id="715"/>
      <w:bookmarkEnd w:id="716"/>
      <w:bookmarkEnd w:id="717"/>
      <w:bookmarkEnd w:id="718"/>
      <w:bookmarkEnd w:id="719"/>
      <w:bookmarkEnd w:id="720"/>
      <w:bookmarkEnd w:id="721"/>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994"/>
        <w:gridCol w:w="1183"/>
        <w:gridCol w:w="2918"/>
        <w:gridCol w:w="1560"/>
        <w:gridCol w:w="438"/>
      </w:tblGrid>
      <w:tr w14:paraId="09C9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2D6C5AA9">
            <w:pPr>
              <w:jc w:val="center"/>
              <w:rPr>
                <w:rFonts w:hint="eastAsia" w:ascii="宋体" w:hAnsi="宋体" w:eastAsia="宋体" w:cs="Times New Roman"/>
                <w:b/>
                <w:szCs w:val="21"/>
              </w:rPr>
            </w:pPr>
            <w:r>
              <w:rPr>
                <w:rFonts w:hint="eastAsia" w:ascii="宋体" w:hAnsi="宋体" w:eastAsia="宋体" w:cs="Times New Roman"/>
                <w:b/>
                <w:szCs w:val="21"/>
              </w:rPr>
              <w:t>知识</w:t>
            </w:r>
          </w:p>
          <w:p w14:paraId="30DECE27">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994" w:type="dxa"/>
            <w:vAlign w:val="center"/>
          </w:tcPr>
          <w:p w14:paraId="6E976FF4">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83" w:type="dxa"/>
            <w:vAlign w:val="center"/>
          </w:tcPr>
          <w:p w14:paraId="42AECFEA">
            <w:pPr>
              <w:jc w:val="center"/>
              <w:rPr>
                <w:rFonts w:hint="eastAsia" w:ascii="宋体" w:hAnsi="宋体" w:eastAsia="宋体" w:cs="Times New Roman"/>
                <w:b/>
                <w:szCs w:val="21"/>
              </w:rPr>
            </w:pPr>
            <w:r>
              <w:rPr>
                <w:rFonts w:hint="eastAsia" w:ascii="宋体" w:hAnsi="宋体" w:eastAsia="宋体" w:cs="Times New Roman"/>
                <w:b/>
                <w:szCs w:val="21"/>
              </w:rPr>
              <w:t>对应</w:t>
            </w:r>
          </w:p>
          <w:p w14:paraId="476B099E">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918" w:type="dxa"/>
            <w:vAlign w:val="center"/>
          </w:tcPr>
          <w:p w14:paraId="705CC26B">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319B82C6">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35F4C22B">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46C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A5BCC0E">
            <w:pPr>
              <w:numPr>
                <w:ilvl w:val="0"/>
                <w:numId w:val="17"/>
              </w:numPr>
              <w:jc w:val="center"/>
              <w:rPr>
                <w:rFonts w:hint="eastAsia" w:ascii="宋体" w:hAnsi="宋体" w:eastAsia="宋体" w:cs="Times New Roman"/>
                <w:szCs w:val="21"/>
              </w:rPr>
            </w:pPr>
            <w:r>
              <w:rPr>
                <w:rFonts w:hint="eastAsia" w:ascii="宋体" w:hAnsi="宋体" w:eastAsia="宋体" w:cs="Times New Roman"/>
                <w:szCs w:val="21"/>
              </w:rPr>
              <w:t>绪论</w:t>
            </w:r>
          </w:p>
        </w:tc>
        <w:tc>
          <w:tcPr>
            <w:tcW w:w="1994" w:type="dxa"/>
            <w:vAlign w:val="center"/>
          </w:tcPr>
          <w:p w14:paraId="4EAFE8F0">
            <w:pPr>
              <w:numPr>
                <w:ilvl w:val="0"/>
                <w:numId w:val="18"/>
              </w:numPr>
              <w:jc w:val="left"/>
              <w:rPr>
                <w:rFonts w:hint="eastAsia" w:ascii="宋体" w:hAnsi="宋体" w:eastAsia="宋体" w:cs="Times New Roman"/>
                <w:szCs w:val="21"/>
              </w:rPr>
            </w:pPr>
            <w:r>
              <w:rPr>
                <w:rFonts w:hint="eastAsia" w:ascii="宋体" w:hAnsi="宋体" w:eastAsia="宋体" w:cs="Times New Roman"/>
                <w:szCs w:val="21"/>
              </w:rPr>
              <w:t>教育统计与测量的意义、特点与内容</w:t>
            </w:r>
          </w:p>
          <w:p w14:paraId="4D880D56">
            <w:pPr>
              <w:numPr>
                <w:ilvl w:val="0"/>
                <w:numId w:val="18"/>
              </w:numPr>
              <w:jc w:val="left"/>
              <w:rPr>
                <w:rFonts w:hint="eastAsia" w:ascii="宋体" w:hAnsi="宋体" w:eastAsia="宋体" w:cs="Times New Roman"/>
                <w:szCs w:val="21"/>
              </w:rPr>
            </w:pPr>
            <w:r>
              <w:rPr>
                <w:rFonts w:hint="eastAsia" w:ascii="宋体" w:hAnsi="宋体" w:eastAsia="宋体" w:cs="Times New Roman"/>
                <w:szCs w:val="21"/>
              </w:rPr>
              <w:t>教育统计与测量的基本概念‌‌</w:t>
            </w:r>
          </w:p>
        </w:tc>
        <w:tc>
          <w:tcPr>
            <w:tcW w:w="1183" w:type="dxa"/>
            <w:vAlign w:val="center"/>
          </w:tcPr>
          <w:p w14:paraId="7774876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918" w:type="dxa"/>
            <w:vAlign w:val="center"/>
          </w:tcPr>
          <w:p w14:paraId="4C7AD76D">
            <w:pPr>
              <w:numPr>
                <w:ilvl w:val="0"/>
                <w:numId w:val="19"/>
              </w:numPr>
              <w:jc w:val="left"/>
              <w:rPr>
                <w:rFonts w:hint="eastAsia" w:ascii="宋体" w:hAnsi="宋体" w:eastAsia="宋体" w:cs="Times New Roman"/>
                <w:szCs w:val="21"/>
              </w:rPr>
            </w:pPr>
            <w:r>
              <w:rPr>
                <w:rFonts w:hint="eastAsia" w:ascii="宋体" w:hAnsi="宋体" w:eastAsia="宋体" w:cs="Times New Roman"/>
                <w:szCs w:val="21"/>
              </w:rPr>
              <w:t>认识教育统计与测量的意义，形成自觉学习的信箱；</w:t>
            </w:r>
          </w:p>
          <w:p w14:paraId="1FA7512F">
            <w:pPr>
              <w:numPr>
                <w:ilvl w:val="0"/>
                <w:numId w:val="19"/>
              </w:numPr>
              <w:jc w:val="left"/>
              <w:rPr>
                <w:rFonts w:hint="eastAsia" w:ascii="宋体" w:hAnsi="宋体" w:eastAsia="宋体" w:cs="Times New Roman"/>
                <w:szCs w:val="21"/>
              </w:rPr>
            </w:pPr>
            <w:r>
              <w:rPr>
                <w:rFonts w:hint="eastAsia" w:ascii="宋体" w:hAnsi="宋体" w:eastAsia="宋体" w:cs="Times New Roman"/>
                <w:szCs w:val="21"/>
              </w:rPr>
              <w:t>把握教育统计与测量的基本内容；</w:t>
            </w:r>
          </w:p>
          <w:p w14:paraId="70E230B8">
            <w:pPr>
              <w:jc w:val="left"/>
              <w:rPr>
                <w:rFonts w:hint="eastAsia" w:ascii="宋体" w:hAnsi="宋体" w:eastAsia="宋体" w:cs="Times New Roman"/>
                <w:szCs w:val="21"/>
              </w:rPr>
            </w:pPr>
            <w:r>
              <w:rPr>
                <w:rFonts w:hint="eastAsia" w:ascii="宋体" w:hAnsi="宋体" w:eastAsia="宋体" w:cs="Times New Roman"/>
                <w:szCs w:val="21"/>
              </w:rPr>
              <w:t>（2）掌握教育统计与测量的基本概念</w:t>
            </w:r>
          </w:p>
        </w:tc>
        <w:tc>
          <w:tcPr>
            <w:tcW w:w="1560" w:type="dxa"/>
            <w:vAlign w:val="center"/>
          </w:tcPr>
          <w:p w14:paraId="3073E8F9">
            <w:pPr>
              <w:jc w:val="left"/>
              <w:rPr>
                <w:rFonts w:hint="eastAsia" w:ascii="宋体" w:hAnsi="宋体" w:eastAsia="宋体" w:cs="Times New Roman"/>
                <w:szCs w:val="21"/>
              </w:rPr>
            </w:pPr>
            <w:r>
              <w:rPr>
                <w:rFonts w:hint="eastAsia" w:ascii="宋体" w:hAnsi="宋体" w:eastAsia="宋体" w:cs="Times New Roman"/>
                <w:szCs w:val="21"/>
              </w:rPr>
              <w:t>1.线上学习</w:t>
            </w:r>
          </w:p>
          <w:p w14:paraId="69BD621C">
            <w:pPr>
              <w:jc w:val="left"/>
              <w:rPr>
                <w:rFonts w:hint="eastAsia" w:ascii="宋体" w:hAnsi="宋体" w:eastAsia="宋体" w:cs="Times New Roman"/>
                <w:szCs w:val="21"/>
              </w:rPr>
            </w:pPr>
            <w:r>
              <w:rPr>
                <w:rFonts w:hint="eastAsia" w:ascii="宋体" w:hAnsi="宋体" w:eastAsia="宋体" w:cs="Times New Roman"/>
                <w:szCs w:val="21"/>
              </w:rPr>
              <w:t>2.多媒体教学3.课堂练习</w:t>
            </w:r>
          </w:p>
          <w:p w14:paraId="2169BB38">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70400E29">
            <w:pPr>
              <w:jc w:val="center"/>
              <w:rPr>
                <w:rFonts w:hint="eastAsia" w:ascii="宋体" w:hAnsi="宋体" w:eastAsia="宋体" w:cs="Times New Roman"/>
                <w:szCs w:val="21"/>
              </w:rPr>
            </w:pPr>
            <w:r>
              <w:rPr>
                <w:rFonts w:hint="eastAsia" w:ascii="宋体" w:hAnsi="宋体" w:eastAsia="宋体" w:cs="Times New Roman"/>
                <w:szCs w:val="21"/>
              </w:rPr>
              <w:t>2</w:t>
            </w:r>
          </w:p>
        </w:tc>
      </w:tr>
      <w:tr w14:paraId="042A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4C57B0B">
            <w:pPr>
              <w:jc w:val="center"/>
              <w:rPr>
                <w:rFonts w:hint="eastAsia" w:ascii="宋体" w:hAnsi="宋体" w:eastAsia="宋体" w:cs="Times New Roman"/>
                <w:szCs w:val="21"/>
              </w:rPr>
            </w:pPr>
          </w:p>
        </w:tc>
        <w:tc>
          <w:tcPr>
            <w:tcW w:w="8093" w:type="dxa"/>
            <w:gridSpan w:val="5"/>
            <w:vAlign w:val="center"/>
          </w:tcPr>
          <w:p w14:paraId="470E219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尊重科学技术，形成初步的科学技术应用思想。</w:t>
            </w:r>
          </w:p>
        </w:tc>
      </w:tr>
      <w:tr w14:paraId="544B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9861A3F">
            <w:pPr>
              <w:jc w:val="center"/>
              <w:rPr>
                <w:rFonts w:hint="eastAsia" w:ascii="宋体" w:hAnsi="宋体" w:eastAsia="宋体" w:cs="Times New Roman"/>
                <w:szCs w:val="21"/>
              </w:rPr>
            </w:pPr>
            <w:r>
              <w:rPr>
                <w:rFonts w:hint="eastAsia" w:ascii="宋体" w:hAnsi="宋体" w:eastAsia="宋体" w:cs="Times New Roman"/>
                <w:szCs w:val="21"/>
              </w:rPr>
              <w:t>2.描述性分析</w:t>
            </w:r>
          </w:p>
        </w:tc>
        <w:tc>
          <w:tcPr>
            <w:tcW w:w="1994" w:type="dxa"/>
            <w:vAlign w:val="center"/>
          </w:tcPr>
          <w:p w14:paraId="28A9E1E4">
            <w:pPr>
              <w:jc w:val="left"/>
              <w:rPr>
                <w:rFonts w:hint="eastAsia" w:ascii="宋体" w:hAnsi="宋体" w:eastAsia="宋体" w:cs="Times New Roman"/>
                <w:szCs w:val="21"/>
              </w:rPr>
            </w:pPr>
            <w:r>
              <w:rPr>
                <w:rFonts w:hint="eastAsia" w:ascii="宋体" w:hAnsi="宋体" w:eastAsia="宋体" w:cs="Times New Roman"/>
                <w:szCs w:val="21"/>
              </w:rPr>
              <w:t>（1）频数统计</w:t>
            </w:r>
          </w:p>
          <w:p w14:paraId="184BBD2D">
            <w:pPr>
              <w:jc w:val="left"/>
              <w:rPr>
                <w:rFonts w:hint="eastAsia" w:ascii="宋体" w:hAnsi="宋体" w:eastAsia="宋体" w:cs="Times New Roman"/>
                <w:szCs w:val="21"/>
              </w:rPr>
            </w:pPr>
            <w:r>
              <w:rPr>
                <w:rFonts w:hint="eastAsia" w:ascii="宋体" w:hAnsi="宋体" w:eastAsia="宋体" w:cs="Times New Roman"/>
                <w:szCs w:val="21"/>
              </w:rPr>
              <w:t>（2）描述统计</w:t>
            </w:r>
          </w:p>
          <w:p w14:paraId="2CA5168E">
            <w:pPr>
              <w:jc w:val="left"/>
              <w:rPr>
                <w:rFonts w:hint="eastAsia" w:ascii="宋体" w:hAnsi="宋体" w:eastAsia="宋体" w:cs="Times New Roman"/>
                <w:szCs w:val="21"/>
              </w:rPr>
            </w:pPr>
            <w:r>
              <w:rPr>
                <w:rFonts w:hint="eastAsia" w:ascii="宋体" w:hAnsi="宋体" w:eastAsia="宋体" w:cs="Times New Roman"/>
                <w:szCs w:val="21"/>
              </w:rPr>
              <w:t>（3）统计图表</w:t>
            </w:r>
          </w:p>
        </w:tc>
        <w:tc>
          <w:tcPr>
            <w:tcW w:w="1183" w:type="dxa"/>
            <w:vAlign w:val="center"/>
          </w:tcPr>
          <w:p w14:paraId="545F09B2">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918" w:type="dxa"/>
            <w:vAlign w:val="center"/>
          </w:tcPr>
          <w:p w14:paraId="5D03CFC6">
            <w:pPr>
              <w:jc w:val="left"/>
              <w:rPr>
                <w:rFonts w:hint="eastAsia" w:ascii="宋体" w:hAnsi="宋体" w:eastAsia="宋体" w:cs="Times New Roman"/>
                <w:szCs w:val="21"/>
              </w:rPr>
            </w:pPr>
            <w:r>
              <w:rPr>
                <w:rFonts w:hint="eastAsia" w:ascii="宋体" w:hAnsi="宋体" w:eastAsia="宋体" w:cs="Times New Roman"/>
                <w:szCs w:val="21"/>
              </w:rPr>
              <w:t>（1）把握各类数据的频数分析的统计条件；</w:t>
            </w:r>
          </w:p>
          <w:p w14:paraId="7646BE29">
            <w:pPr>
              <w:jc w:val="left"/>
              <w:rPr>
                <w:rFonts w:hint="eastAsia" w:ascii="宋体" w:hAnsi="宋体" w:eastAsia="宋体" w:cs="Times New Roman"/>
                <w:szCs w:val="21"/>
              </w:rPr>
            </w:pPr>
            <w:r>
              <w:rPr>
                <w:rFonts w:hint="eastAsia" w:ascii="宋体" w:hAnsi="宋体" w:eastAsia="宋体" w:cs="Times New Roman"/>
                <w:szCs w:val="21"/>
              </w:rPr>
              <w:t>（2）认识集中量数与差异量数的类别及使用条件；</w:t>
            </w:r>
          </w:p>
          <w:p w14:paraId="12FA25EE">
            <w:pPr>
              <w:jc w:val="left"/>
              <w:rPr>
                <w:rFonts w:hint="eastAsia" w:ascii="宋体" w:hAnsi="宋体" w:eastAsia="宋体" w:cs="Times New Roman"/>
                <w:szCs w:val="21"/>
              </w:rPr>
            </w:pPr>
            <w:r>
              <w:rPr>
                <w:rFonts w:hint="eastAsia" w:ascii="宋体" w:hAnsi="宋体" w:eastAsia="宋体" w:cs="Times New Roman"/>
                <w:szCs w:val="21"/>
              </w:rPr>
              <w:t>（3）把握各类统计图表的使用条件与基本特征</w:t>
            </w:r>
          </w:p>
        </w:tc>
        <w:tc>
          <w:tcPr>
            <w:tcW w:w="1560" w:type="dxa"/>
            <w:vAlign w:val="center"/>
          </w:tcPr>
          <w:p w14:paraId="218DD8D4">
            <w:pPr>
              <w:jc w:val="left"/>
              <w:rPr>
                <w:rFonts w:hint="eastAsia" w:ascii="宋体" w:hAnsi="宋体" w:eastAsia="宋体" w:cs="Times New Roman"/>
                <w:szCs w:val="21"/>
              </w:rPr>
            </w:pPr>
            <w:r>
              <w:rPr>
                <w:rFonts w:hint="eastAsia" w:ascii="宋体" w:hAnsi="宋体" w:eastAsia="宋体" w:cs="Times New Roman"/>
                <w:szCs w:val="21"/>
              </w:rPr>
              <w:t>1.线上学习</w:t>
            </w:r>
          </w:p>
          <w:p w14:paraId="59C40DC9">
            <w:pPr>
              <w:jc w:val="left"/>
              <w:rPr>
                <w:rFonts w:hint="eastAsia" w:ascii="宋体" w:hAnsi="宋体" w:eastAsia="宋体" w:cs="Times New Roman"/>
                <w:szCs w:val="21"/>
              </w:rPr>
            </w:pPr>
            <w:r>
              <w:rPr>
                <w:rFonts w:hint="eastAsia" w:ascii="宋体" w:hAnsi="宋体" w:eastAsia="宋体" w:cs="Times New Roman"/>
                <w:szCs w:val="21"/>
              </w:rPr>
              <w:t>2.多媒体教学3.课堂练习</w:t>
            </w:r>
          </w:p>
          <w:p w14:paraId="5151D0E1">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4AC7210D">
            <w:pPr>
              <w:jc w:val="center"/>
              <w:rPr>
                <w:rFonts w:hint="eastAsia" w:ascii="宋体" w:hAnsi="宋体" w:eastAsia="宋体" w:cs="Times New Roman"/>
                <w:szCs w:val="21"/>
              </w:rPr>
            </w:pPr>
            <w:r>
              <w:rPr>
                <w:rFonts w:hint="eastAsia" w:ascii="宋体" w:hAnsi="宋体" w:eastAsia="宋体" w:cs="Times New Roman"/>
                <w:szCs w:val="21"/>
              </w:rPr>
              <w:t>6</w:t>
            </w:r>
          </w:p>
        </w:tc>
      </w:tr>
      <w:tr w14:paraId="7983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D7748D7">
            <w:pPr>
              <w:jc w:val="center"/>
              <w:rPr>
                <w:rFonts w:hint="eastAsia" w:ascii="宋体" w:hAnsi="宋体" w:eastAsia="宋体" w:cs="Times New Roman"/>
                <w:szCs w:val="21"/>
              </w:rPr>
            </w:pPr>
          </w:p>
        </w:tc>
        <w:tc>
          <w:tcPr>
            <w:tcW w:w="8093" w:type="dxa"/>
            <w:gridSpan w:val="5"/>
            <w:vAlign w:val="center"/>
          </w:tcPr>
          <w:p w14:paraId="6432521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认识到人类社会中的不同类型的数据有不同的分布特点；掌握大千世界中一些看似杂乱的数据背后的规律。</w:t>
            </w:r>
          </w:p>
        </w:tc>
      </w:tr>
      <w:tr w14:paraId="51D2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1205" w:type="dxa"/>
            <w:vAlign w:val="center"/>
          </w:tcPr>
          <w:p w14:paraId="402DC68C">
            <w:pPr>
              <w:rPr>
                <w:rFonts w:hint="eastAsia" w:ascii="宋体" w:hAnsi="宋体" w:eastAsia="宋体" w:cs="Times New Roman"/>
                <w:szCs w:val="21"/>
              </w:rPr>
            </w:pPr>
            <w:r>
              <w:rPr>
                <w:rFonts w:hint="eastAsia" w:ascii="宋体" w:hAnsi="宋体" w:eastAsia="宋体" w:cs="Times New Roman"/>
                <w:szCs w:val="21"/>
              </w:rPr>
              <w:t>3.概率与概率分布</w:t>
            </w:r>
          </w:p>
        </w:tc>
        <w:tc>
          <w:tcPr>
            <w:tcW w:w="1994" w:type="dxa"/>
            <w:vAlign w:val="center"/>
          </w:tcPr>
          <w:p w14:paraId="3726B882">
            <w:pPr>
              <w:jc w:val="left"/>
              <w:rPr>
                <w:rFonts w:hint="eastAsia" w:ascii="宋体" w:hAnsi="宋体" w:eastAsia="宋体" w:cs="Times New Roman"/>
                <w:szCs w:val="21"/>
              </w:rPr>
            </w:pPr>
            <w:r>
              <w:rPr>
                <w:rFonts w:hint="eastAsia" w:ascii="宋体" w:hAnsi="宋体" w:eastAsia="宋体" w:cs="Times New Roman"/>
                <w:szCs w:val="21"/>
              </w:rPr>
              <w:t>（1）概率</w:t>
            </w:r>
          </w:p>
          <w:p w14:paraId="63813049">
            <w:pPr>
              <w:jc w:val="left"/>
              <w:rPr>
                <w:rFonts w:hint="eastAsia" w:ascii="宋体" w:hAnsi="宋体" w:eastAsia="宋体" w:cs="Times New Roman"/>
                <w:szCs w:val="21"/>
              </w:rPr>
            </w:pPr>
            <w:r>
              <w:rPr>
                <w:rFonts w:hint="eastAsia" w:ascii="宋体" w:hAnsi="宋体" w:eastAsia="宋体" w:cs="Times New Roman"/>
                <w:szCs w:val="21"/>
              </w:rPr>
              <w:t>（2）概率分布</w:t>
            </w:r>
          </w:p>
        </w:tc>
        <w:tc>
          <w:tcPr>
            <w:tcW w:w="1183" w:type="dxa"/>
            <w:vAlign w:val="center"/>
          </w:tcPr>
          <w:p w14:paraId="6E265149">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918" w:type="dxa"/>
            <w:vAlign w:val="center"/>
          </w:tcPr>
          <w:p w14:paraId="4F094585">
            <w:pPr>
              <w:numPr>
                <w:ilvl w:val="0"/>
                <w:numId w:val="20"/>
              </w:numPr>
              <w:jc w:val="left"/>
              <w:rPr>
                <w:rFonts w:hint="eastAsia" w:ascii="宋体" w:hAnsi="宋体" w:eastAsia="宋体" w:cs="Times New Roman"/>
                <w:szCs w:val="21"/>
              </w:rPr>
            </w:pPr>
            <w:r>
              <w:rPr>
                <w:rFonts w:hint="eastAsia" w:ascii="宋体" w:hAnsi="宋体" w:eastAsia="宋体" w:cs="Times New Roman"/>
                <w:szCs w:val="21"/>
              </w:rPr>
              <w:t>理解与把握概率的概念</w:t>
            </w:r>
          </w:p>
          <w:p w14:paraId="31BCDDA7">
            <w:pPr>
              <w:numPr>
                <w:ilvl w:val="0"/>
                <w:numId w:val="20"/>
              </w:numPr>
              <w:jc w:val="left"/>
              <w:rPr>
                <w:rFonts w:hint="eastAsia" w:ascii="宋体" w:hAnsi="宋体" w:eastAsia="宋体" w:cs="Times New Roman"/>
                <w:szCs w:val="21"/>
              </w:rPr>
            </w:pPr>
            <w:r>
              <w:rPr>
                <w:rFonts w:hint="eastAsia" w:ascii="宋体" w:hAnsi="宋体" w:eastAsia="宋体" w:cs="Times New Roman"/>
                <w:szCs w:val="21"/>
              </w:rPr>
              <w:t>把握各类概率分布的特征</w:t>
            </w:r>
          </w:p>
        </w:tc>
        <w:tc>
          <w:tcPr>
            <w:tcW w:w="1560" w:type="dxa"/>
            <w:vAlign w:val="center"/>
          </w:tcPr>
          <w:p w14:paraId="35901D72">
            <w:pPr>
              <w:jc w:val="left"/>
              <w:rPr>
                <w:rFonts w:hint="eastAsia" w:ascii="宋体" w:hAnsi="宋体" w:eastAsia="宋体" w:cs="Times New Roman"/>
                <w:szCs w:val="21"/>
              </w:rPr>
            </w:pPr>
            <w:r>
              <w:rPr>
                <w:rFonts w:hint="eastAsia" w:ascii="宋体" w:hAnsi="宋体" w:eastAsia="宋体" w:cs="Times New Roman"/>
                <w:szCs w:val="21"/>
              </w:rPr>
              <w:t>1.线上学习</w:t>
            </w:r>
          </w:p>
          <w:p w14:paraId="74C666B8">
            <w:pPr>
              <w:jc w:val="left"/>
              <w:rPr>
                <w:rFonts w:hint="eastAsia" w:ascii="宋体" w:hAnsi="宋体" w:eastAsia="宋体" w:cs="Times New Roman"/>
                <w:szCs w:val="21"/>
              </w:rPr>
            </w:pPr>
            <w:r>
              <w:rPr>
                <w:rFonts w:hint="eastAsia" w:ascii="宋体" w:hAnsi="宋体" w:eastAsia="宋体" w:cs="Times New Roman"/>
                <w:szCs w:val="21"/>
              </w:rPr>
              <w:t>2.多媒体教学3.课堂练习</w:t>
            </w:r>
          </w:p>
          <w:p w14:paraId="7A5F858B">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3D932A7F">
            <w:pPr>
              <w:jc w:val="center"/>
              <w:rPr>
                <w:rFonts w:hint="eastAsia" w:ascii="宋体" w:hAnsi="宋体" w:eastAsia="宋体" w:cs="Times New Roman"/>
                <w:szCs w:val="21"/>
              </w:rPr>
            </w:pPr>
            <w:r>
              <w:rPr>
                <w:rFonts w:hint="eastAsia" w:ascii="宋体" w:hAnsi="宋体" w:eastAsia="宋体" w:cs="Times New Roman"/>
                <w:szCs w:val="21"/>
              </w:rPr>
              <w:t>2</w:t>
            </w:r>
          </w:p>
        </w:tc>
      </w:tr>
      <w:tr w14:paraId="5ABD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25CA64B">
            <w:pPr>
              <w:jc w:val="center"/>
              <w:rPr>
                <w:rFonts w:hint="eastAsia" w:ascii="宋体" w:hAnsi="宋体" w:eastAsia="宋体" w:cs="Times New Roman"/>
                <w:szCs w:val="21"/>
              </w:rPr>
            </w:pPr>
            <w:r>
              <w:rPr>
                <w:rFonts w:hint="eastAsia" w:ascii="宋体" w:hAnsi="宋体" w:eastAsia="宋体" w:cs="Times New Roman"/>
                <w:szCs w:val="21"/>
              </w:rPr>
              <w:t>4.参数</w:t>
            </w:r>
          </w:p>
          <w:p w14:paraId="376446F7">
            <w:pPr>
              <w:jc w:val="center"/>
              <w:rPr>
                <w:rFonts w:hint="eastAsia" w:ascii="宋体" w:hAnsi="宋体" w:eastAsia="宋体" w:cs="Times New Roman"/>
                <w:szCs w:val="21"/>
              </w:rPr>
            </w:pPr>
            <w:r>
              <w:rPr>
                <w:rFonts w:hint="eastAsia" w:ascii="宋体" w:hAnsi="宋体" w:eastAsia="宋体" w:cs="Times New Roman"/>
                <w:szCs w:val="21"/>
              </w:rPr>
              <w:t>检验</w:t>
            </w:r>
          </w:p>
        </w:tc>
        <w:tc>
          <w:tcPr>
            <w:tcW w:w="1994" w:type="dxa"/>
            <w:vAlign w:val="center"/>
          </w:tcPr>
          <w:p w14:paraId="1D0342A8">
            <w:pPr>
              <w:jc w:val="left"/>
              <w:rPr>
                <w:rFonts w:hint="eastAsia" w:ascii="宋体" w:hAnsi="宋体" w:eastAsia="宋体" w:cs="Times New Roman"/>
                <w:szCs w:val="21"/>
              </w:rPr>
            </w:pPr>
            <w:r>
              <w:rPr>
                <w:rFonts w:hint="eastAsia" w:ascii="宋体" w:hAnsi="宋体" w:eastAsia="宋体" w:cs="Times New Roman"/>
                <w:szCs w:val="21"/>
              </w:rPr>
              <w:t>（1）单样本t检验</w:t>
            </w:r>
          </w:p>
          <w:p w14:paraId="2120F81B">
            <w:pPr>
              <w:jc w:val="left"/>
              <w:rPr>
                <w:rFonts w:hint="eastAsia" w:ascii="宋体" w:hAnsi="宋体" w:eastAsia="宋体" w:cs="Times New Roman"/>
                <w:szCs w:val="21"/>
              </w:rPr>
            </w:pPr>
            <w:r>
              <w:rPr>
                <w:rFonts w:hint="eastAsia" w:ascii="宋体" w:hAnsi="宋体" w:eastAsia="宋体" w:cs="Times New Roman"/>
                <w:szCs w:val="21"/>
              </w:rPr>
              <w:t>（2）独立样本t检验</w:t>
            </w:r>
          </w:p>
          <w:p w14:paraId="08DAEBD2">
            <w:pPr>
              <w:jc w:val="left"/>
              <w:rPr>
                <w:rFonts w:hint="eastAsia" w:ascii="宋体" w:hAnsi="宋体" w:eastAsia="宋体" w:cs="Times New Roman"/>
                <w:szCs w:val="21"/>
              </w:rPr>
            </w:pPr>
            <w:r>
              <w:rPr>
                <w:rFonts w:hint="eastAsia" w:ascii="宋体" w:hAnsi="宋体" w:eastAsia="宋体" w:cs="Times New Roman"/>
                <w:szCs w:val="21"/>
              </w:rPr>
              <w:t>（3）相关样本t检验</w:t>
            </w:r>
          </w:p>
        </w:tc>
        <w:tc>
          <w:tcPr>
            <w:tcW w:w="1183" w:type="dxa"/>
            <w:vAlign w:val="center"/>
          </w:tcPr>
          <w:p w14:paraId="519579C1">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918" w:type="dxa"/>
            <w:vAlign w:val="center"/>
          </w:tcPr>
          <w:p w14:paraId="6E6CD03B">
            <w:pPr>
              <w:jc w:val="left"/>
              <w:rPr>
                <w:rFonts w:hint="eastAsia" w:ascii="宋体" w:hAnsi="宋体" w:eastAsia="宋体" w:cs="Times New Roman"/>
                <w:szCs w:val="21"/>
              </w:rPr>
            </w:pPr>
            <w:r>
              <w:rPr>
                <w:rFonts w:hint="eastAsia" w:ascii="宋体" w:hAnsi="宋体" w:eastAsia="宋体" w:cs="Times New Roman"/>
                <w:szCs w:val="21"/>
              </w:rPr>
              <w:t>（1）把握单样本t检验的适用条件；</w:t>
            </w:r>
          </w:p>
          <w:p w14:paraId="5F7D4F95">
            <w:pPr>
              <w:jc w:val="left"/>
              <w:rPr>
                <w:rFonts w:hint="eastAsia" w:ascii="宋体" w:hAnsi="宋体" w:eastAsia="宋体" w:cs="Times New Roman"/>
                <w:szCs w:val="21"/>
              </w:rPr>
            </w:pPr>
            <w:r>
              <w:rPr>
                <w:rFonts w:hint="eastAsia" w:ascii="宋体" w:hAnsi="宋体" w:eastAsia="宋体" w:cs="Times New Roman"/>
                <w:szCs w:val="21"/>
              </w:rPr>
              <w:t>（2）把握独立样本t检验的适用条件；</w:t>
            </w:r>
          </w:p>
          <w:p w14:paraId="6562F38C">
            <w:pPr>
              <w:jc w:val="left"/>
              <w:rPr>
                <w:rFonts w:hint="eastAsia" w:ascii="宋体" w:hAnsi="宋体" w:eastAsia="宋体" w:cs="Times New Roman"/>
                <w:szCs w:val="21"/>
              </w:rPr>
            </w:pPr>
            <w:r>
              <w:rPr>
                <w:rFonts w:hint="eastAsia" w:ascii="宋体" w:hAnsi="宋体" w:eastAsia="宋体" w:cs="Times New Roman"/>
                <w:szCs w:val="21"/>
              </w:rPr>
              <w:t>（3）把握相关样本t检验的适用条件</w:t>
            </w:r>
            <w:r>
              <w:rPr>
                <w:rFonts w:ascii="宋体" w:hAnsi="宋体" w:eastAsia="宋体" w:cs="Times New Roman"/>
                <w:szCs w:val="21"/>
              </w:rPr>
              <w:t>。</w:t>
            </w:r>
          </w:p>
        </w:tc>
        <w:tc>
          <w:tcPr>
            <w:tcW w:w="1560" w:type="dxa"/>
            <w:vAlign w:val="center"/>
          </w:tcPr>
          <w:p w14:paraId="20263BB2">
            <w:pPr>
              <w:jc w:val="left"/>
              <w:rPr>
                <w:rFonts w:hint="eastAsia" w:ascii="宋体" w:hAnsi="宋体" w:eastAsia="宋体" w:cs="Times New Roman"/>
                <w:szCs w:val="21"/>
              </w:rPr>
            </w:pPr>
            <w:r>
              <w:rPr>
                <w:rFonts w:ascii="宋体" w:hAnsi="宋体" w:eastAsia="宋体" w:cs="Times New Roman"/>
                <w:szCs w:val="21"/>
              </w:rPr>
              <w:t>1.线上学习</w:t>
            </w:r>
          </w:p>
          <w:p w14:paraId="75CCDC79">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4F3312BB">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756264AD">
            <w:pPr>
              <w:jc w:val="center"/>
              <w:rPr>
                <w:rFonts w:hint="eastAsia" w:ascii="宋体" w:hAnsi="宋体" w:eastAsia="宋体" w:cs="Times New Roman"/>
                <w:szCs w:val="21"/>
              </w:rPr>
            </w:pPr>
            <w:r>
              <w:rPr>
                <w:rFonts w:hint="eastAsia" w:ascii="宋体" w:hAnsi="宋体" w:eastAsia="宋体" w:cs="Times New Roman"/>
                <w:szCs w:val="21"/>
              </w:rPr>
              <w:t>6</w:t>
            </w:r>
          </w:p>
        </w:tc>
      </w:tr>
      <w:tr w14:paraId="53CE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636A6EC">
            <w:pPr>
              <w:jc w:val="center"/>
              <w:rPr>
                <w:rFonts w:hint="eastAsia" w:ascii="宋体" w:hAnsi="宋体" w:eastAsia="宋体" w:cs="Times New Roman"/>
                <w:szCs w:val="21"/>
              </w:rPr>
            </w:pPr>
          </w:p>
        </w:tc>
        <w:tc>
          <w:tcPr>
            <w:tcW w:w="8093" w:type="dxa"/>
            <w:gridSpan w:val="5"/>
            <w:vAlign w:val="center"/>
          </w:tcPr>
          <w:p w14:paraId="19AE6E6C">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了解人类社会同一群体所简化为数据背后的内在关联；学会用科学的检验方法去认识教育现象与社会现象。</w:t>
            </w:r>
          </w:p>
        </w:tc>
      </w:tr>
      <w:tr w14:paraId="5A39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282414">
            <w:pPr>
              <w:jc w:val="center"/>
              <w:rPr>
                <w:rFonts w:hint="eastAsia" w:ascii="宋体" w:hAnsi="宋体" w:eastAsia="宋体" w:cs="Times New Roman"/>
                <w:szCs w:val="21"/>
              </w:rPr>
            </w:pPr>
            <w:r>
              <w:rPr>
                <w:rFonts w:hint="eastAsia" w:ascii="宋体" w:hAnsi="宋体" w:eastAsia="宋体" w:cs="Times New Roman"/>
                <w:szCs w:val="21"/>
              </w:rPr>
              <w:t>5.方差分析</w:t>
            </w:r>
          </w:p>
        </w:tc>
        <w:tc>
          <w:tcPr>
            <w:tcW w:w="1994" w:type="dxa"/>
            <w:vAlign w:val="center"/>
          </w:tcPr>
          <w:p w14:paraId="2FFCE0D1">
            <w:pPr>
              <w:jc w:val="left"/>
              <w:rPr>
                <w:rFonts w:hint="eastAsia" w:ascii="宋体" w:hAnsi="宋体" w:eastAsia="宋体" w:cs="Times New Roman"/>
                <w:szCs w:val="21"/>
              </w:rPr>
            </w:pPr>
            <w:r>
              <w:rPr>
                <w:rFonts w:hint="eastAsia" w:ascii="宋体" w:hAnsi="宋体" w:eastAsia="宋体" w:cs="Times New Roman"/>
                <w:szCs w:val="21"/>
              </w:rPr>
              <w:t>（1）实验设计方式</w:t>
            </w:r>
          </w:p>
          <w:p w14:paraId="13498BB1">
            <w:pPr>
              <w:jc w:val="left"/>
              <w:rPr>
                <w:rFonts w:hint="eastAsia" w:ascii="宋体" w:hAnsi="宋体" w:eastAsia="宋体" w:cs="Times New Roman"/>
                <w:szCs w:val="21"/>
              </w:rPr>
            </w:pPr>
            <w:r>
              <w:rPr>
                <w:rFonts w:hint="eastAsia" w:ascii="宋体" w:hAnsi="宋体" w:eastAsia="宋体" w:cs="Times New Roman"/>
                <w:szCs w:val="21"/>
              </w:rPr>
              <w:t>（2）单因素完全随机设计的方差分析</w:t>
            </w:r>
          </w:p>
          <w:p w14:paraId="0780D002">
            <w:pPr>
              <w:jc w:val="left"/>
              <w:rPr>
                <w:rFonts w:hint="eastAsia" w:ascii="宋体" w:hAnsi="宋体" w:eastAsia="宋体" w:cs="Times New Roman"/>
                <w:szCs w:val="21"/>
              </w:rPr>
            </w:pPr>
            <w:r>
              <w:rPr>
                <w:rFonts w:hint="eastAsia" w:ascii="宋体" w:hAnsi="宋体" w:eastAsia="宋体" w:cs="Times New Roman"/>
                <w:szCs w:val="21"/>
              </w:rPr>
              <w:t>（3）单因素重复测量设计的方差分析</w:t>
            </w:r>
          </w:p>
          <w:p w14:paraId="73B893DF">
            <w:pPr>
              <w:jc w:val="left"/>
              <w:rPr>
                <w:rFonts w:hint="eastAsia" w:ascii="宋体" w:hAnsi="宋体" w:eastAsia="宋体" w:cs="Times New Roman"/>
                <w:szCs w:val="21"/>
              </w:rPr>
            </w:pPr>
            <w:r>
              <w:rPr>
                <w:rFonts w:hint="eastAsia" w:ascii="宋体" w:hAnsi="宋体" w:eastAsia="宋体" w:cs="Times New Roman"/>
                <w:szCs w:val="21"/>
              </w:rPr>
              <w:t>（4）两因素完全随机设计的方差分析</w:t>
            </w:r>
          </w:p>
          <w:p w14:paraId="0B0DC63B">
            <w:pPr>
              <w:jc w:val="left"/>
              <w:rPr>
                <w:rFonts w:hint="eastAsia" w:ascii="宋体" w:hAnsi="宋体" w:eastAsia="宋体" w:cs="Times New Roman"/>
                <w:szCs w:val="21"/>
              </w:rPr>
            </w:pPr>
            <w:r>
              <w:rPr>
                <w:rFonts w:hint="eastAsia" w:ascii="宋体" w:hAnsi="宋体" w:eastAsia="宋体" w:cs="Times New Roman"/>
                <w:szCs w:val="21"/>
              </w:rPr>
              <w:t>（5）两因素混合设计的方差分析</w:t>
            </w:r>
          </w:p>
        </w:tc>
        <w:tc>
          <w:tcPr>
            <w:tcW w:w="1183" w:type="dxa"/>
            <w:vAlign w:val="center"/>
          </w:tcPr>
          <w:p w14:paraId="2A7A6E6C">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918" w:type="dxa"/>
            <w:vAlign w:val="center"/>
          </w:tcPr>
          <w:p w14:paraId="35EAE66C">
            <w:pPr>
              <w:jc w:val="left"/>
              <w:rPr>
                <w:rFonts w:hint="eastAsia" w:ascii="宋体" w:hAnsi="宋体" w:eastAsia="宋体" w:cs="Times New Roman"/>
                <w:szCs w:val="21"/>
              </w:rPr>
            </w:pPr>
            <w:r>
              <w:rPr>
                <w:rFonts w:hint="eastAsia" w:ascii="宋体" w:hAnsi="宋体" w:eastAsia="宋体" w:cs="Times New Roman"/>
                <w:szCs w:val="21"/>
              </w:rPr>
              <w:t>（1）理解并掌握各种实验设计方式；</w:t>
            </w:r>
          </w:p>
          <w:p w14:paraId="0F969820">
            <w:pPr>
              <w:jc w:val="left"/>
              <w:rPr>
                <w:rFonts w:hint="eastAsia" w:ascii="宋体" w:hAnsi="宋体" w:eastAsia="宋体" w:cs="Times New Roman"/>
                <w:szCs w:val="21"/>
              </w:rPr>
            </w:pPr>
            <w:r>
              <w:rPr>
                <w:rFonts w:hint="eastAsia" w:ascii="宋体" w:hAnsi="宋体" w:eastAsia="宋体" w:cs="Times New Roman"/>
                <w:szCs w:val="21"/>
              </w:rPr>
              <w:t>（2）把</w:t>
            </w:r>
            <w:r>
              <w:rPr>
                <w:rFonts w:ascii="宋体" w:hAnsi="宋体" w:eastAsia="宋体" w:cs="Times New Roman"/>
                <w:szCs w:val="21"/>
              </w:rPr>
              <w:t>解</w:t>
            </w:r>
            <w:r>
              <w:rPr>
                <w:rFonts w:hint="eastAsia" w:ascii="宋体" w:hAnsi="宋体" w:eastAsia="宋体" w:cs="Times New Roman"/>
                <w:szCs w:val="21"/>
              </w:rPr>
              <w:t>各类实验设计的适用条件。</w:t>
            </w:r>
          </w:p>
        </w:tc>
        <w:tc>
          <w:tcPr>
            <w:tcW w:w="1560" w:type="dxa"/>
            <w:vAlign w:val="center"/>
          </w:tcPr>
          <w:p w14:paraId="1F56C3C4">
            <w:pPr>
              <w:jc w:val="left"/>
              <w:rPr>
                <w:rFonts w:hint="eastAsia" w:ascii="宋体" w:hAnsi="宋体" w:eastAsia="宋体" w:cs="Times New Roman"/>
                <w:szCs w:val="21"/>
              </w:rPr>
            </w:pPr>
            <w:r>
              <w:rPr>
                <w:rFonts w:ascii="宋体" w:hAnsi="宋体" w:eastAsia="宋体" w:cs="Times New Roman"/>
                <w:szCs w:val="21"/>
              </w:rPr>
              <w:t>1.线上学习</w:t>
            </w:r>
          </w:p>
          <w:p w14:paraId="5EA0FC42">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60FA69CF">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01BA1161">
            <w:pPr>
              <w:jc w:val="center"/>
              <w:rPr>
                <w:rFonts w:hint="eastAsia" w:ascii="宋体" w:hAnsi="宋体" w:eastAsia="宋体" w:cs="Times New Roman"/>
                <w:szCs w:val="21"/>
              </w:rPr>
            </w:pPr>
            <w:r>
              <w:rPr>
                <w:rFonts w:hint="eastAsia" w:ascii="宋体" w:hAnsi="宋体" w:eastAsia="宋体" w:cs="Times New Roman"/>
                <w:szCs w:val="21"/>
              </w:rPr>
              <w:t>6</w:t>
            </w:r>
          </w:p>
        </w:tc>
      </w:tr>
      <w:tr w14:paraId="7659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848BB43">
            <w:pPr>
              <w:jc w:val="center"/>
              <w:rPr>
                <w:rFonts w:hint="eastAsia" w:ascii="宋体" w:hAnsi="宋体" w:eastAsia="宋体" w:cs="Times New Roman"/>
                <w:szCs w:val="21"/>
              </w:rPr>
            </w:pPr>
          </w:p>
        </w:tc>
        <w:tc>
          <w:tcPr>
            <w:tcW w:w="8093" w:type="dxa"/>
            <w:gridSpan w:val="5"/>
            <w:vAlign w:val="center"/>
          </w:tcPr>
          <w:p w14:paraId="4944FAE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认识到任何一种教育结果的发生之前，有众多不同的因素的影响；能用统计学的语言描述教育现象。</w:t>
            </w:r>
          </w:p>
        </w:tc>
      </w:tr>
      <w:tr w14:paraId="74104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E08C0A">
            <w:pPr>
              <w:jc w:val="center"/>
              <w:rPr>
                <w:rFonts w:hint="eastAsia" w:ascii="宋体" w:hAnsi="宋体" w:eastAsia="宋体" w:cs="Times New Roman"/>
                <w:szCs w:val="21"/>
              </w:rPr>
            </w:pPr>
            <w:r>
              <w:rPr>
                <w:rFonts w:hint="eastAsia" w:ascii="宋体" w:hAnsi="宋体" w:eastAsia="宋体" w:cs="Times New Roman"/>
                <w:szCs w:val="21"/>
              </w:rPr>
              <w:t>6.相关分析</w:t>
            </w:r>
          </w:p>
        </w:tc>
        <w:tc>
          <w:tcPr>
            <w:tcW w:w="1994" w:type="dxa"/>
            <w:vAlign w:val="center"/>
          </w:tcPr>
          <w:p w14:paraId="1469570B">
            <w:pPr>
              <w:jc w:val="left"/>
              <w:rPr>
                <w:rFonts w:hint="eastAsia" w:ascii="宋体" w:hAnsi="宋体" w:eastAsia="宋体" w:cs="Times New Roman"/>
                <w:szCs w:val="21"/>
              </w:rPr>
            </w:pPr>
            <w:r>
              <w:rPr>
                <w:rFonts w:hint="eastAsia" w:ascii="宋体" w:hAnsi="宋体" w:eastAsia="宋体" w:cs="Times New Roman"/>
                <w:szCs w:val="21"/>
              </w:rPr>
              <w:t>（1）积差相关（2）等级相关</w:t>
            </w:r>
          </w:p>
          <w:p w14:paraId="283CFAC5">
            <w:pPr>
              <w:jc w:val="left"/>
              <w:rPr>
                <w:rFonts w:hint="eastAsia" w:ascii="宋体" w:hAnsi="宋体" w:eastAsia="宋体" w:cs="Times New Roman"/>
                <w:szCs w:val="21"/>
              </w:rPr>
            </w:pPr>
            <w:r>
              <w:rPr>
                <w:rFonts w:hint="eastAsia" w:ascii="宋体" w:hAnsi="宋体" w:eastAsia="宋体" w:cs="Times New Roman"/>
                <w:szCs w:val="21"/>
              </w:rPr>
              <w:t>（3）品质相关</w:t>
            </w:r>
          </w:p>
          <w:p w14:paraId="466D0CC4">
            <w:pPr>
              <w:jc w:val="left"/>
              <w:rPr>
                <w:rFonts w:hint="eastAsia" w:ascii="宋体" w:hAnsi="宋体" w:eastAsia="宋体" w:cs="Times New Roman"/>
                <w:szCs w:val="21"/>
              </w:rPr>
            </w:pPr>
            <w:r>
              <w:rPr>
                <w:rFonts w:hint="eastAsia" w:ascii="宋体" w:hAnsi="宋体" w:eastAsia="宋体" w:cs="Times New Roman"/>
                <w:szCs w:val="21"/>
              </w:rPr>
              <w:t>（4）质与量相关</w:t>
            </w:r>
          </w:p>
          <w:p w14:paraId="608F93B1">
            <w:pPr>
              <w:jc w:val="left"/>
              <w:rPr>
                <w:rFonts w:hint="eastAsia" w:ascii="宋体" w:hAnsi="宋体" w:eastAsia="宋体" w:cs="Times New Roman"/>
                <w:szCs w:val="21"/>
              </w:rPr>
            </w:pPr>
            <w:r>
              <w:rPr>
                <w:rFonts w:hint="eastAsia" w:ascii="宋体" w:hAnsi="宋体" w:eastAsia="宋体" w:cs="Times New Roman"/>
                <w:szCs w:val="21"/>
              </w:rPr>
              <w:t>（5）偏相关</w:t>
            </w:r>
          </w:p>
        </w:tc>
        <w:tc>
          <w:tcPr>
            <w:tcW w:w="1183" w:type="dxa"/>
            <w:vAlign w:val="center"/>
          </w:tcPr>
          <w:p w14:paraId="7F21DAFE">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918" w:type="dxa"/>
            <w:vAlign w:val="center"/>
          </w:tcPr>
          <w:p w14:paraId="50DB3F7A">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掌握</w:t>
            </w:r>
            <w:r>
              <w:rPr>
                <w:rFonts w:hint="eastAsia" w:ascii="宋体" w:hAnsi="宋体" w:eastAsia="宋体" w:cs="Times New Roman"/>
                <w:szCs w:val="21"/>
              </w:rPr>
              <w:t>相关的</w:t>
            </w:r>
            <w:r>
              <w:rPr>
                <w:rFonts w:ascii="宋体" w:hAnsi="宋体" w:eastAsia="宋体" w:cs="Times New Roman"/>
                <w:szCs w:val="21"/>
              </w:rPr>
              <w:t>基本概念</w:t>
            </w:r>
            <w:r>
              <w:rPr>
                <w:rFonts w:hint="eastAsia" w:ascii="宋体" w:hAnsi="宋体" w:eastAsia="宋体" w:cs="Times New Roman"/>
                <w:szCs w:val="21"/>
              </w:rPr>
              <w:t>和类型；</w:t>
            </w:r>
          </w:p>
          <w:p w14:paraId="061F193E">
            <w:pPr>
              <w:jc w:val="left"/>
              <w:rPr>
                <w:rFonts w:hint="eastAsia" w:ascii="宋体" w:hAnsi="宋体" w:eastAsia="宋体" w:cs="Times New Roman"/>
                <w:szCs w:val="21"/>
              </w:rPr>
            </w:pPr>
            <w:r>
              <w:rPr>
                <w:rFonts w:hint="eastAsia" w:ascii="宋体" w:hAnsi="宋体" w:eastAsia="宋体" w:cs="Times New Roman"/>
                <w:szCs w:val="21"/>
              </w:rPr>
              <w:t>（2）把</w:t>
            </w:r>
            <w:r>
              <w:rPr>
                <w:rFonts w:ascii="宋体" w:hAnsi="宋体" w:eastAsia="宋体" w:cs="Times New Roman"/>
                <w:szCs w:val="21"/>
              </w:rPr>
              <w:t>解</w:t>
            </w:r>
            <w:r>
              <w:rPr>
                <w:rFonts w:hint="eastAsia" w:ascii="宋体" w:hAnsi="宋体" w:eastAsia="宋体" w:cs="Times New Roman"/>
                <w:szCs w:val="21"/>
              </w:rPr>
              <w:t>各类相关的适用条件。</w:t>
            </w:r>
          </w:p>
        </w:tc>
        <w:tc>
          <w:tcPr>
            <w:tcW w:w="1560" w:type="dxa"/>
            <w:vAlign w:val="center"/>
          </w:tcPr>
          <w:p w14:paraId="721824E8">
            <w:pPr>
              <w:jc w:val="left"/>
              <w:rPr>
                <w:rFonts w:hint="eastAsia" w:ascii="宋体" w:hAnsi="宋体" w:eastAsia="宋体" w:cs="Times New Roman"/>
                <w:szCs w:val="21"/>
              </w:rPr>
            </w:pPr>
            <w:r>
              <w:rPr>
                <w:rFonts w:ascii="宋体" w:hAnsi="宋体" w:eastAsia="宋体" w:cs="Times New Roman"/>
                <w:szCs w:val="21"/>
              </w:rPr>
              <w:t>1.线上学习</w:t>
            </w:r>
          </w:p>
          <w:p w14:paraId="234CB9C4">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517F53D1">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1CBF5AEF">
            <w:pPr>
              <w:jc w:val="center"/>
              <w:rPr>
                <w:rFonts w:hint="eastAsia" w:ascii="宋体" w:hAnsi="宋体" w:eastAsia="宋体" w:cs="Times New Roman"/>
                <w:szCs w:val="21"/>
              </w:rPr>
            </w:pPr>
            <w:r>
              <w:rPr>
                <w:rFonts w:hint="eastAsia" w:ascii="宋体" w:hAnsi="宋体" w:eastAsia="宋体" w:cs="Times New Roman"/>
                <w:szCs w:val="21"/>
              </w:rPr>
              <w:t>2</w:t>
            </w:r>
          </w:p>
        </w:tc>
      </w:tr>
      <w:tr w14:paraId="7FD5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05E52D9">
            <w:pPr>
              <w:jc w:val="center"/>
              <w:rPr>
                <w:rFonts w:hint="eastAsia" w:ascii="宋体" w:hAnsi="宋体" w:eastAsia="宋体" w:cs="Times New Roman"/>
                <w:szCs w:val="21"/>
              </w:rPr>
            </w:pPr>
          </w:p>
        </w:tc>
        <w:tc>
          <w:tcPr>
            <w:tcW w:w="8093" w:type="dxa"/>
            <w:gridSpan w:val="5"/>
            <w:vAlign w:val="center"/>
          </w:tcPr>
          <w:p w14:paraId="2D9D1FA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了解并学习历史上的统计学家对认识世界的那种孜孜以求的精神；掌握主要的相关分析手段背后所反映的社会现象之间的关系。</w:t>
            </w:r>
          </w:p>
        </w:tc>
      </w:tr>
      <w:tr w14:paraId="6372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092D50B">
            <w:pPr>
              <w:jc w:val="center"/>
              <w:rPr>
                <w:rFonts w:hint="eastAsia" w:ascii="宋体" w:hAnsi="宋体" w:eastAsia="宋体" w:cs="Times New Roman"/>
                <w:szCs w:val="21"/>
              </w:rPr>
            </w:pPr>
            <w:r>
              <w:rPr>
                <w:rFonts w:hint="eastAsia" w:ascii="宋体" w:hAnsi="宋体" w:eastAsia="宋体" w:cs="Times New Roman"/>
                <w:szCs w:val="21"/>
              </w:rPr>
              <w:t>7.回归分析</w:t>
            </w:r>
          </w:p>
        </w:tc>
        <w:tc>
          <w:tcPr>
            <w:tcW w:w="1994" w:type="dxa"/>
            <w:vAlign w:val="center"/>
          </w:tcPr>
          <w:p w14:paraId="0C03CEB5">
            <w:pPr>
              <w:jc w:val="left"/>
              <w:rPr>
                <w:rFonts w:hint="eastAsia" w:ascii="宋体" w:hAnsi="宋体" w:eastAsia="宋体" w:cs="Times New Roman"/>
                <w:szCs w:val="21"/>
              </w:rPr>
            </w:pPr>
            <w:r>
              <w:rPr>
                <w:rFonts w:hint="eastAsia" w:ascii="宋体" w:hAnsi="宋体" w:eastAsia="宋体" w:cs="Times New Roman"/>
                <w:szCs w:val="21"/>
              </w:rPr>
              <w:t>（1）回归分析基本原理</w:t>
            </w:r>
          </w:p>
          <w:p w14:paraId="091DA2B7">
            <w:pPr>
              <w:jc w:val="left"/>
              <w:rPr>
                <w:rFonts w:hint="eastAsia" w:ascii="宋体" w:hAnsi="宋体" w:eastAsia="宋体" w:cs="Times New Roman"/>
                <w:szCs w:val="21"/>
              </w:rPr>
            </w:pPr>
            <w:r>
              <w:rPr>
                <w:rFonts w:hint="eastAsia" w:ascii="宋体" w:hAnsi="宋体" w:eastAsia="宋体" w:cs="Times New Roman"/>
                <w:szCs w:val="21"/>
              </w:rPr>
              <w:t>（2）各类回归分析</w:t>
            </w:r>
          </w:p>
        </w:tc>
        <w:tc>
          <w:tcPr>
            <w:tcW w:w="1183" w:type="dxa"/>
            <w:vAlign w:val="center"/>
          </w:tcPr>
          <w:p w14:paraId="50F7F95B">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918" w:type="dxa"/>
            <w:vAlign w:val="center"/>
          </w:tcPr>
          <w:p w14:paraId="5425FEB6">
            <w:pPr>
              <w:numPr>
                <w:ilvl w:val="0"/>
                <w:numId w:val="21"/>
              </w:numPr>
              <w:jc w:val="left"/>
              <w:rPr>
                <w:rFonts w:hint="eastAsia" w:ascii="宋体" w:hAnsi="宋体" w:eastAsia="宋体" w:cs="Times New Roman"/>
                <w:szCs w:val="21"/>
              </w:rPr>
            </w:pPr>
            <w:r>
              <w:rPr>
                <w:rFonts w:hint="eastAsia" w:ascii="宋体" w:hAnsi="宋体" w:eastAsia="宋体" w:cs="Times New Roman"/>
                <w:szCs w:val="21"/>
              </w:rPr>
              <w:t>把握回归分析的基本原理</w:t>
            </w:r>
          </w:p>
          <w:p w14:paraId="50A9601C">
            <w:pPr>
              <w:jc w:val="left"/>
              <w:rPr>
                <w:rFonts w:hint="eastAsia" w:ascii="宋体" w:hAnsi="宋体" w:eastAsia="宋体" w:cs="Times New Roman"/>
                <w:szCs w:val="21"/>
              </w:rPr>
            </w:pPr>
            <w:r>
              <w:rPr>
                <w:rFonts w:hint="eastAsia" w:ascii="宋体" w:hAnsi="宋体" w:eastAsia="宋体" w:cs="Times New Roman"/>
                <w:szCs w:val="21"/>
              </w:rPr>
              <w:t>（2）掌握各类回归分析的基本方法</w:t>
            </w:r>
          </w:p>
        </w:tc>
        <w:tc>
          <w:tcPr>
            <w:tcW w:w="1560" w:type="dxa"/>
            <w:vAlign w:val="center"/>
          </w:tcPr>
          <w:p w14:paraId="0CD903C4">
            <w:pPr>
              <w:jc w:val="left"/>
              <w:rPr>
                <w:rFonts w:hint="eastAsia" w:ascii="宋体" w:hAnsi="宋体" w:eastAsia="宋体" w:cs="Times New Roman"/>
                <w:szCs w:val="21"/>
              </w:rPr>
            </w:pPr>
            <w:r>
              <w:rPr>
                <w:rFonts w:ascii="宋体" w:hAnsi="宋体" w:eastAsia="宋体" w:cs="Times New Roman"/>
                <w:szCs w:val="21"/>
              </w:rPr>
              <w:t>1.线上学习</w:t>
            </w:r>
          </w:p>
          <w:p w14:paraId="7C7237C3">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44D23192">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4EC48016">
            <w:pPr>
              <w:jc w:val="center"/>
              <w:rPr>
                <w:rFonts w:hint="eastAsia" w:ascii="宋体" w:hAnsi="宋体" w:eastAsia="宋体" w:cs="Times New Roman"/>
                <w:szCs w:val="21"/>
              </w:rPr>
            </w:pPr>
            <w:r>
              <w:rPr>
                <w:rFonts w:hint="eastAsia" w:ascii="宋体" w:hAnsi="宋体" w:eastAsia="宋体" w:cs="Times New Roman"/>
                <w:szCs w:val="21"/>
              </w:rPr>
              <w:t>4</w:t>
            </w:r>
          </w:p>
        </w:tc>
      </w:tr>
      <w:tr w14:paraId="54BB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B854E8">
            <w:pPr>
              <w:jc w:val="center"/>
              <w:rPr>
                <w:rFonts w:hint="eastAsia" w:ascii="宋体" w:hAnsi="宋体" w:eastAsia="宋体" w:cs="Times New Roman"/>
                <w:szCs w:val="21"/>
              </w:rPr>
            </w:pPr>
          </w:p>
        </w:tc>
        <w:tc>
          <w:tcPr>
            <w:tcW w:w="8093" w:type="dxa"/>
            <w:gridSpan w:val="5"/>
            <w:vAlign w:val="center"/>
          </w:tcPr>
          <w:p w14:paraId="1D9E15E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认识到教育和社会中的现象之间联系的复杂性，树立认识事物的联系观、发展观，形成建模思想。</w:t>
            </w:r>
          </w:p>
        </w:tc>
      </w:tr>
      <w:tr w14:paraId="58D3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F79CE09">
            <w:pPr>
              <w:jc w:val="center"/>
              <w:rPr>
                <w:rFonts w:hint="eastAsia" w:ascii="宋体" w:hAnsi="宋体" w:eastAsia="宋体" w:cs="Times New Roman"/>
                <w:szCs w:val="21"/>
              </w:rPr>
            </w:pPr>
            <w:r>
              <w:rPr>
                <w:rFonts w:hint="eastAsia" w:ascii="宋体" w:hAnsi="宋体" w:eastAsia="宋体" w:cs="Times New Roman"/>
                <w:szCs w:val="21"/>
              </w:rPr>
              <w:t>8.非参数检验</w:t>
            </w:r>
          </w:p>
        </w:tc>
        <w:tc>
          <w:tcPr>
            <w:tcW w:w="1994" w:type="dxa"/>
            <w:vAlign w:val="center"/>
          </w:tcPr>
          <w:p w14:paraId="6EE20D27">
            <w:pPr>
              <w:jc w:val="left"/>
              <w:rPr>
                <w:rFonts w:hint="eastAsia" w:ascii="宋体" w:hAnsi="宋体" w:eastAsia="宋体" w:cs="Times New Roman"/>
                <w:szCs w:val="21"/>
              </w:rPr>
            </w:pPr>
            <w:r>
              <w:rPr>
                <w:rFonts w:hint="eastAsia" w:ascii="宋体" w:hAnsi="宋体" w:eastAsia="宋体" w:cs="Times New Roman"/>
                <w:szCs w:val="21"/>
              </w:rPr>
              <w:t>（1）计数数据的卡方分析</w:t>
            </w:r>
          </w:p>
          <w:p w14:paraId="711F81DC">
            <w:pPr>
              <w:jc w:val="left"/>
              <w:rPr>
                <w:rFonts w:hint="eastAsia" w:ascii="宋体" w:hAnsi="宋体" w:eastAsia="宋体" w:cs="Times New Roman"/>
                <w:szCs w:val="21"/>
              </w:rPr>
            </w:pPr>
            <w:r>
              <w:rPr>
                <w:rFonts w:hint="eastAsia" w:ascii="宋体" w:hAnsi="宋体" w:eastAsia="宋体" w:cs="Times New Roman"/>
                <w:szCs w:val="21"/>
              </w:rPr>
              <w:t>（2）连续数据的独立样本非参数检验</w:t>
            </w:r>
          </w:p>
          <w:p w14:paraId="60C5B5F4">
            <w:pPr>
              <w:jc w:val="left"/>
              <w:rPr>
                <w:rFonts w:hint="eastAsia" w:ascii="宋体" w:hAnsi="宋体" w:eastAsia="宋体" w:cs="Times New Roman"/>
                <w:szCs w:val="21"/>
              </w:rPr>
            </w:pPr>
            <w:r>
              <w:rPr>
                <w:rFonts w:hint="eastAsia" w:ascii="宋体" w:hAnsi="宋体" w:eastAsia="宋体" w:cs="Times New Roman"/>
                <w:szCs w:val="21"/>
              </w:rPr>
              <w:t>（3）连续数据的相关样本非参数检验</w:t>
            </w:r>
          </w:p>
        </w:tc>
        <w:tc>
          <w:tcPr>
            <w:tcW w:w="1183" w:type="dxa"/>
            <w:vAlign w:val="center"/>
          </w:tcPr>
          <w:p w14:paraId="1BE2342D">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918" w:type="dxa"/>
            <w:vAlign w:val="center"/>
          </w:tcPr>
          <w:p w14:paraId="4FF8505A">
            <w:pPr>
              <w:numPr>
                <w:ilvl w:val="0"/>
                <w:numId w:val="22"/>
              </w:numPr>
              <w:jc w:val="left"/>
              <w:rPr>
                <w:rFonts w:hint="eastAsia" w:ascii="宋体" w:hAnsi="宋体" w:eastAsia="宋体" w:cs="Times New Roman"/>
                <w:szCs w:val="21"/>
              </w:rPr>
            </w:pPr>
            <w:r>
              <w:rPr>
                <w:rFonts w:hint="eastAsia" w:ascii="宋体" w:hAnsi="宋体" w:eastAsia="宋体" w:cs="Times New Roman"/>
                <w:szCs w:val="21"/>
              </w:rPr>
              <w:t>掌握卡方分析的适用条件</w:t>
            </w:r>
          </w:p>
          <w:p w14:paraId="042F7AC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掌握独立样本非参数检验的适用条件；</w:t>
            </w:r>
          </w:p>
          <w:p w14:paraId="2C85848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掌握相关样本非参数检验的适用条件。</w:t>
            </w:r>
          </w:p>
        </w:tc>
        <w:tc>
          <w:tcPr>
            <w:tcW w:w="1560" w:type="dxa"/>
            <w:vAlign w:val="center"/>
          </w:tcPr>
          <w:p w14:paraId="1939E1EC">
            <w:pPr>
              <w:jc w:val="left"/>
              <w:rPr>
                <w:rFonts w:hint="eastAsia" w:ascii="宋体" w:hAnsi="宋体" w:eastAsia="宋体" w:cs="Times New Roman"/>
                <w:szCs w:val="21"/>
              </w:rPr>
            </w:pPr>
            <w:r>
              <w:rPr>
                <w:rFonts w:ascii="宋体" w:hAnsi="宋体" w:eastAsia="宋体" w:cs="Times New Roman"/>
                <w:szCs w:val="21"/>
              </w:rPr>
              <w:t>1.线上学习</w:t>
            </w:r>
          </w:p>
          <w:p w14:paraId="5C9CDB05">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088B492E">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62830E93">
            <w:pPr>
              <w:jc w:val="center"/>
              <w:rPr>
                <w:rFonts w:hint="eastAsia" w:ascii="宋体" w:hAnsi="宋体" w:eastAsia="宋体" w:cs="Times New Roman"/>
                <w:szCs w:val="21"/>
              </w:rPr>
            </w:pPr>
            <w:r>
              <w:rPr>
                <w:rFonts w:hint="eastAsia" w:ascii="宋体" w:hAnsi="宋体" w:eastAsia="宋体" w:cs="Times New Roman"/>
                <w:szCs w:val="21"/>
              </w:rPr>
              <w:t>2</w:t>
            </w:r>
          </w:p>
        </w:tc>
      </w:tr>
      <w:tr w14:paraId="7F99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2803EE2">
            <w:pPr>
              <w:jc w:val="center"/>
              <w:rPr>
                <w:rFonts w:hint="eastAsia" w:ascii="宋体" w:hAnsi="宋体" w:eastAsia="宋体" w:cs="Times New Roman"/>
                <w:szCs w:val="21"/>
              </w:rPr>
            </w:pPr>
          </w:p>
        </w:tc>
        <w:tc>
          <w:tcPr>
            <w:tcW w:w="8093" w:type="dxa"/>
            <w:gridSpan w:val="5"/>
            <w:vAlign w:val="center"/>
          </w:tcPr>
          <w:p w14:paraId="7CF935F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了解人类社会同一群体所简化为数据背后的内在关联；学会用科学的检验方法去认识教育现象与社会现象。</w:t>
            </w:r>
          </w:p>
        </w:tc>
      </w:tr>
      <w:tr w14:paraId="3CC3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AE843B0">
            <w:pPr>
              <w:jc w:val="center"/>
              <w:rPr>
                <w:rFonts w:hint="eastAsia" w:ascii="宋体" w:hAnsi="宋体" w:eastAsia="宋体" w:cs="Times New Roman"/>
                <w:szCs w:val="21"/>
              </w:rPr>
            </w:pPr>
            <w:r>
              <w:rPr>
                <w:rFonts w:hint="eastAsia" w:ascii="宋体" w:hAnsi="宋体" w:eastAsia="宋体" w:cs="Times New Roman"/>
                <w:szCs w:val="21"/>
              </w:rPr>
              <w:t>9.测验信效度分析</w:t>
            </w:r>
          </w:p>
        </w:tc>
        <w:tc>
          <w:tcPr>
            <w:tcW w:w="1994" w:type="dxa"/>
            <w:vAlign w:val="center"/>
          </w:tcPr>
          <w:p w14:paraId="7B7983E3">
            <w:pPr>
              <w:jc w:val="left"/>
              <w:rPr>
                <w:rFonts w:hint="eastAsia" w:ascii="宋体" w:hAnsi="宋体" w:eastAsia="宋体" w:cs="Times New Roman"/>
                <w:szCs w:val="21"/>
              </w:rPr>
            </w:pPr>
            <w:r>
              <w:rPr>
                <w:rFonts w:hint="eastAsia" w:ascii="宋体" w:hAnsi="宋体" w:eastAsia="宋体" w:cs="Times New Roman"/>
                <w:szCs w:val="21"/>
              </w:rPr>
              <w:t>（1）测验的信度分析</w:t>
            </w:r>
          </w:p>
          <w:p w14:paraId="7FC58A35">
            <w:pPr>
              <w:jc w:val="left"/>
              <w:rPr>
                <w:rFonts w:hint="eastAsia" w:ascii="宋体" w:hAnsi="宋体" w:eastAsia="宋体" w:cs="Times New Roman"/>
                <w:szCs w:val="21"/>
              </w:rPr>
            </w:pPr>
            <w:r>
              <w:rPr>
                <w:rFonts w:hint="eastAsia" w:ascii="宋体" w:hAnsi="宋体" w:eastAsia="宋体" w:cs="Times New Roman"/>
                <w:szCs w:val="21"/>
              </w:rPr>
              <w:t>（2）测验的效度分析</w:t>
            </w:r>
          </w:p>
        </w:tc>
        <w:tc>
          <w:tcPr>
            <w:tcW w:w="1183" w:type="dxa"/>
            <w:vAlign w:val="center"/>
          </w:tcPr>
          <w:p w14:paraId="5853FF1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918" w:type="dxa"/>
            <w:vAlign w:val="center"/>
          </w:tcPr>
          <w:p w14:paraId="296D646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把握测量的信度与效度等测量学指标概念与类别；</w:t>
            </w:r>
          </w:p>
          <w:p w14:paraId="64B2925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掌握测量的各类信度和效度检验的适用条件。</w:t>
            </w:r>
          </w:p>
        </w:tc>
        <w:tc>
          <w:tcPr>
            <w:tcW w:w="1560" w:type="dxa"/>
            <w:vAlign w:val="center"/>
          </w:tcPr>
          <w:p w14:paraId="31A537A0">
            <w:pPr>
              <w:jc w:val="left"/>
              <w:rPr>
                <w:rFonts w:hint="eastAsia" w:ascii="宋体" w:hAnsi="宋体" w:eastAsia="宋体" w:cs="Times New Roman"/>
                <w:szCs w:val="21"/>
              </w:rPr>
            </w:pPr>
            <w:r>
              <w:rPr>
                <w:rFonts w:ascii="宋体" w:hAnsi="宋体" w:eastAsia="宋体" w:cs="Times New Roman"/>
                <w:szCs w:val="21"/>
              </w:rPr>
              <w:t>1.线上学习</w:t>
            </w:r>
          </w:p>
          <w:p w14:paraId="2A53C00E">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69FBA523">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75FB1790">
            <w:pPr>
              <w:jc w:val="center"/>
              <w:rPr>
                <w:rFonts w:hint="eastAsia" w:ascii="宋体" w:hAnsi="宋体" w:eastAsia="宋体" w:cs="Times New Roman"/>
                <w:szCs w:val="21"/>
              </w:rPr>
            </w:pPr>
            <w:r>
              <w:rPr>
                <w:rFonts w:hint="eastAsia" w:ascii="宋体" w:hAnsi="宋体" w:eastAsia="宋体" w:cs="Times New Roman"/>
                <w:szCs w:val="21"/>
              </w:rPr>
              <w:t>2</w:t>
            </w:r>
          </w:p>
        </w:tc>
      </w:tr>
      <w:tr w14:paraId="01A2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25E3CFF">
            <w:pPr>
              <w:jc w:val="center"/>
              <w:rPr>
                <w:rFonts w:hint="eastAsia" w:ascii="宋体" w:hAnsi="宋体" w:eastAsia="宋体" w:cs="Times New Roman"/>
                <w:szCs w:val="21"/>
              </w:rPr>
            </w:pPr>
          </w:p>
        </w:tc>
        <w:tc>
          <w:tcPr>
            <w:tcW w:w="8093" w:type="dxa"/>
            <w:gridSpan w:val="5"/>
            <w:vAlign w:val="center"/>
          </w:tcPr>
          <w:p w14:paraId="3456D12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理解认识事物的规律需要依靠可靠的工具，了解判别可靠性的客观化标准。</w:t>
            </w:r>
          </w:p>
        </w:tc>
      </w:tr>
    </w:tbl>
    <w:p w14:paraId="644B452C">
      <w:pPr>
        <w:spacing w:before="62" w:beforeLines="20" w:after="62" w:afterLines="20" w:line="360" w:lineRule="auto"/>
        <w:jc w:val="left"/>
        <w:rPr>
          <w:rFonts w:ascii="Times New Roman" w:hAnsi="Times New Roman" w:eastAsia="宋体" w:cs="Times New Roman"/>
          <w:b/>
          <w:sz w:val="24"/>
        </w:rPr>
      </w:pPr>
      <w:bookmarkStart w:id="722" w:name="_Toc8601"/>
      <w:bookmarkStart w:id="723" w:name="_Toc7949"/>
      <w:bookmarkStart w:id="724" w:name="_Toc7852"/>
      <w:bookmarkStart w:id="725" w:name="_Toc19151"/>
      <w:bookmarkStart w:id="726" w:name="_Toc12553"/>
      <w:bookmarkStart w:id="727" w:name="_Toc24631"/>
      <w:bookmarkStart w:id="728" w:name="_Toc17201"/>
      <w:r>
        <w:rPr>
          <w:rFonts w:hint="eastAsia" w:ascii="Times New Roman" w:hAnsi="Times New Roman" w:eastAsia="宋体" w:cs="Times New Roman"/>
          <w:b/>
          <w:sz w:val="24"/>
        </w:rPr>
        <w:t>四、目标评价与成绩评定</w:t>
      </w:r>
      <w:bookmarkEnd w:id="722"/>
      <w:bookmarkEnd w:id="723"/>
      <w:bookmarkEnd w:id="724"/>
      <w:bookmarkEnd w:id="725"/>
      <w:bookmarkEnd w:id="726"/>
      <w:bookmarkEnd w:id="727"/>
      <w:bookmarkEnd w:id="728"/>
    </w:p>
    <w:p w14:paraId="36A98B5E">
      <w:pPr>
        <w:spacing w:line="360" w:lineRule="auto"/>
        <w:ind w:firstLine="422" w:firstLineChars="200"/>
        <w:jc w:val="left"/>
        <w:outlineLvl w:val="1"/>
        <w:rPr>
          <w:rFonts w:ascii="Times New Roman" w:hAnsi="Times New Roman" w:eastAsia="宋体" w:cs="Times New Roman"/>
          <w:b/>
          <w:szCs w:val="21"/>
        </w:rPr>
      </w:pPr>
      <w:bookmarkStart w:id="729" w:name="_Toc8634"/>
      <w:r>
        <w:rPr>
          <w:rFonts w:hint="eastAsia" w:ascii="Times New Roman" w:hAnsi="Times New Roman" w:eastAsia="宋体" w:cs="Times New Roman"/>
          <w:b/>
          <w:szCs w:val="21"/>
        </w:rPr>
        <w:t>（一）课程目标评价方式</w:t>
      </w:r>
      <w:bookmarkEnd w:id="729"/>
    </w:p>
    <w:p w14:paraId="2154670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81"/>
        <w:gridCol w:w="1481"/>
        <w:gridCol w:w="1481"/>
        <w:gridCol w:w="1483"/>
        <w:gridCol w:w="890"/>
      </w:tblGrid>
      <w:tr w14:paraId="2671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3E01FF4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477" w:type="pct"/>
            <w:gridSpan w:val="4"/>
            <w:vAlign w:val="center"/>
          </w:tcPr>
          <w:p w14:paraId="6DABA21B">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522" w:type="pct"/>
            <w:vMerge w:val="restart"/>
            <w:vAlign w:val="center"/>
          </w:tcPr>
          <w:p w14:paraId="6C76D90C">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29D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6CAC8CF5">
            <w:pPr>
              <w:spacing w:line="360" w:lineRule="auto"/>
              <w:jc w:val="center"/>
              <w:rPr>
                <w:rFonts w:hint="eastAsia" w:ascii="宋体" w:hAnsi="宋体" w:eastAsia="宋体" w:cs="Times New Roman"/>
                <w:szCs w:val="21"/>
              </w:rPr>
            </w:pPr>
          </w:p>
        </w:tc>
        <w:tc>
          <w:tcPr>
            <w:tcW w:w="869" w:type="pct"/>
            <w:vAlign w:val="center"/>
          </w:tcPr>
          <w:p w14:paraId="32A8923C">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869" w:type="pct"/>
            <w:vAlign w:val="center"/>
          </w:tcPr>
          <w:p w14:paraId="07FECBC3">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869" w:type="pct"/>
            <w:vAlign w:val="center"/>
          </w:tcPr>
          <w:p w14:paraId="54DBA1A6">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870" w:type="pct"/>
          </w:tcPr>
          <w:p w14:paraId="08D544C9">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522" w:type="pct"/>
            <w:vMerge w:val="continue"/>
            <w:vAlign w:val="center"/>
          </w:tcPr>
          <w:p w14:paraId="78BC8093">
            <w:pPr>
              <w:spacing w:line="360" w:lineRule="auto"/>
              <w:jc w:val="center"/>
              <w:rPr>
                <w:rFonts w:hint="eastAsia" w:ascii="宋体" w:hAnsi="宋体" w:eastAsia="宋体" w:cs="Times New Roman"/>
                <w:szCs w:val="21"/>
              </w:rPr>
            </w:pPr>
          </w:p>
        </w:tc>
      </w:tr>
      <w:tr w14:paraId="500D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1D2C3C4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869" w:type="pct"/>
            <w:vAlign w:val="center"/>
          </w:tcPr>
          <w:p w14:paraId="4512340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666208FD">
            <w:pPr>
              <w:spacing w:line="360" w:lineRule="auto"/>
              <w:jc w:val="center"/>
              <w:rPr>
                <w:rFonts w:hint="eastAsia" w:ascii="宋体" w:hAnsi="宋体" w:eastAsia="宋体" w:cs="Times New Roman"/>
                <w:szCs w:val="21"/>
              </w:rPr>
            </w:pPr>
            <w:r>
              <w:rPr>
                <w:rFonts w:hint="eastAsia" w:ascii="宋体" w:hAnsi="宋体" w:eastAsia="宋体" w:cs="Times New Roman"/>
                <w:szCs w:val="21"/>
              </w:rPr>
              <w:sym w:font="Wingdings 2" w:char="F050"/>
            </w:r>
          </w:p>
        </w:tc>
        <w:tc>
          <w:tcPr>
            <w:tcW w:w="869" w:type="pct"/>
            <w:vAlign w:val="center"/>
          </w:tcPr>
          <w:p w14:paraId="59FFD11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tcPr>
          <w:p w14:paraId="4604360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2" w:type="pct"/>
            <w:vAlign w:val="center"/>
          </w:tcPr>
          <w:p w14:paraId="2A99242D">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726B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350CBC3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869" w:type="pct"/>
            <w:vAlign w:val="center"/>
          </w:tcPr>
          <w:p w14:paraId="449D1D2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5A749AE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4667E7D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tcPr>
          <w:p w14:paraId="1B36CF7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2" w:type="pct"/>
            <w:vAlign w:val="center"/>
          </w:tcPr>
          <w:p w14:paraId="20C2F62F">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26FF7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12F6961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869" w:type="pct"/>
            <w:vAlign w:val="center"/>
          </w:tcPr>
          <w:p w14:paraId="18E9314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4514FFE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51A961A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tcPr>
          <w:p w14:paraId="6A15559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2" w:type="pct"/>
            <w:vAlign w:val="center"/>
          </w:tcPr>
          <w:p w14:paraId="4F811B41">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2A91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325A3BAA">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869" w:type="pct"/>
            <w:vAlign w:val="center"/>
          </w:tcPr>
          <w:p w14:paraId="4AAFA7B2">
            <w:pPr>
              <w:spacing w:line="360" w:lineRule="auto"/>
              <w:jc w:val="center"/>
              <w:rPr>
                <w:rFonts w:hint="eastAsia" w:ascii="宋体" w:hAnsi="宋体" w:eastAsia="宋体" w:cs="Times New Roman"/>
                <w:szCs w:val="21"/>
              </w:rPr>
            </w:pPr>
          </w:p>
        </w:tc>
        <w:tc>
          <w:tcPr>
            <w:tcW w:w="869" w:type="pct"/>
            <w:vAlign w:val="center"/>
          </w:tcPr>
          <w:p w14:paraId="4FC147AE">
            <w:pPr>
              <w:spacing w:line="360" w:lineRule="auto"/>
              <w:jc w:val="center"/>
              <w:rPr>
                <w:rFonts w:hint="eastAsia" w:ascii="宋体" w:hAnsi="宋体" w:eastAsia="宋体" w:cs="Times New Roman"/>
                <w:szCs w:val="21"/>
              </w:rPr>
            </w:pPr>
          </w:p>
        </w:tc>
        <w:tc>
          <w:tcPr>
            <w:tcW w:w="869" w:type="pct"/>
            <w:vAlign w:val="center"/>
          </w:tcPr>
          <w:p w14:paraId="44E7CD41">
            <w:pPr>
              <w:spacing w:line="360" w:lineRule="auto"/>
              <w:jc w:val="center"/>
              <w:rPr>
                <w:rFonts w:hint="eastAsia" w:ascii="宋体" w:hAnsi="宋体" w:eastAsia="宋体" w:cs="Times New Roman"/>
                <w:szCs w:val="21"/>
              </w:rPr>
            </w:pPr>
          </w:p>
        </w:tc>
        <w:tc>
          <w:tcPr>
            <w:tcW w:w="870" w:type="pct"/>
          </w:tcPr>
          <w:p w14:paraId="0BBA17CC">
            <w:pPr>
              <w:spacing w:line="360" w:lineRule="auto"/>
              <w:jc w:val="center"/>
              <w:rPr>
                <w:rFonts w:hint="eastAsia" w:ascii="宋体" w:hAnsi="宋体" w:eastAsia="宋体" w:cs="Times New Roman"/>
                <w:szCs w:val="21"/>
              </w:rPr>
            </w:pPr>
          </w:p>
        </w:tc>
        <w:tc>
          <w:tcPr>
            <w:tcW w:w="522" w:type="pct"/>
            <w:vAlign w:val="center"/>
          </w:tcPr>
          <w:p w14:paraId="7D2FB723">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07CE1D0">
      <w:pPr>
        <w:spacing w:before="156" w:beforeLines="50" w:line="360" w:lineRule="auto"/>
        <w:ind w:firstLine="422" w:firstLineChars="200"/>
        <w:jc w:val="left"/>
        <w:outlineLvl w:val="1"/>
        <w:rPr>
          <w:rFonts w:ascii="Times New Roman" w:hAnsi="Times New Roman" w:eastAsia="宋体" w:cs="Times New Roman"/>
          <w:b/>
          <w:szCs w:val="21"/>
        </w:rPr>
      </w:pPr>
      <w:bookmarkStart w:id="730" w:name="_Toc25622"/>
      <w:r>
        <w:rPr>
          <w:rFonts w:hint="eastAsia" w:ascii="Times New Roman" w:hAnsi="Times New Roman" w:eastAsia="宋体" w:cs="Times New Roman"/>
          <w:b/>
          <w:szCs w:val="21"/>
        </w:rPr>
        <w:t>（二）成绩评定细则</w:t>
      </w:r>
      <w:bookmarkEnd w:id="730"/>
    </w:p>
    <w:p w14:paraId="41EFBB6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C3B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F6671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BDEC2E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BE85CC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6EA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6F2440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4729E5F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平时作业共3次，包括参数检验、方差分析与回归分析等内容。</w:t>
            </w:r>
          </w:p>
        </w:tc>
        <w:tc>
          <w:tcPr>
            <w:tcW w:w="0" w:type="auto"/>
            <w:vAlign w:val="center"/>
          </w:tcPr>
          <w:p w14:paraId="2D671702">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0CDD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B7120C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E027683">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4F8956B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62D12749">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821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A8A374">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18934A3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65931F3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3F3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9992434">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530E81E2">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操作题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统计基本理论和知识型题目占5</w:t>
            </w:r>
            <w:r>
              <w:rPr>
                <w:rFonts w:ascii="Times New Roman" w:hAnsi="Times New Roman" w:eastAsia="宋体" w:cs="Times New Roman"/>
                <w:szCs w:val="21"/>
              </w:rPr>
              <w:t>0</w:t>
            </w:r>
            <w:r>
              <w:rPr>
                <w:rFonts w:hint="eastAsia" w:ascii="Times New Roman" w:hAnsi="Times New Roman" w:eastAsia="宋体" w:cs="Times New Roman"/>
                <w:szCs w:val="21"/>
              </w:rPr>
              <w:t>%；考核学生的统计计算题占5</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6E998E45">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F78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DB49AE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4A76A21">
            <w:pPr>
              <w:jc w:val="left"/>
              <w:rPr>
                <w:rFonts w:ascii="Times New Roman" w:hAnsi="Times New Roman" w:eastAsia="宋体" w:cs="Times New Roman"/>
                <w:szCs w:val="21"/>
              </w:rPr>
            </w:pPr>
          </w:p>
        </w:tc>
        <w:tc>
          <w:tcPr>
            <w:tcW w:w="0" w:type="auto"/>
            <w:vAlign w:val="center"/>
          </w:tcPr>
          <w:p w14:paraId="059F688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B756D67">
      <w:pPr>
        <w:spacing w:line="360" w:lineRule="auto"/>
        <w:ind w:firstLine="422" w:firstLineChars="200"/>
        <w:jc w:val="left"/>
        <w:outlineLvl w:val="1"/>
        <w:rPr>
          <w:rFonts w:hint="eastAsia" w:ascii="宋体" w:hAnsi="宋体" w:eastAsia="宋体" w:cs="Times New Roman"/>
          <w:b/>
          <w:szCs w:val="21"/>
        </w:rPr>
      </w:pPr>
      <w:bookmarkStart w:id="731" w:name="_Toc3208"/>
      <w:r>
        <w:rPr>
          <w:rFonts w:hint="eastAsia" w:ascii="宋体" w:hAnsi="宋体" w:eastAsia="宋体" w:cs="Times New Roman"/>
          <w:b/>
          <w:szCs w:val="21"/>
        </w:rPr>
        <w:t>（三）课程目标达成度计算方法</w:t>
      </w:r>
      <w:bookmarkEnd w:id="731"/>
    </w:p>
    <w:p w14:paraId="12F2E8EE">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0BDEA424">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46"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46" DrawAspect="Content" ObjectID="_1468075746" r:id="rId34">
            <o:LockedField>false</o:LockedField>
          </o:OLEObject>
        </w:object>
      </w:r>
      <w:r>
        <w:rPr>
          <w:rFonts w:hint="eastAsia" w:ascii="Times New Roman" w:hAnsi="Times New Roman" w:eastAsia="宋体" w:cs="Times New Roman"/>
          <w:b/>
          <w:sz w:val="24"/>
        </w:rPr>
        <w:t>五、有关说明</w:t>
      </w:r>
    </w:p>
    <w:p w14:paraId="774BBCF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F9D18F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38D2747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CCC06A6">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戴海琦，张峰主编.心理与教育测量（第4版）.广州：暨南大学出版社，2018</w:t>
      </w:r>
      <w:r>
        <w:rPr>
          <w:rFonts w:ascii="Times New Roman" w:hAnsi="Times New Roman" w:eastAsia="宋体" w:cs="Times New Roman"/>
          <w:bCs/>
          <w:szCs w:val="21"/>
        </w:rPr>
        <w:t>.</w:t>
      </w:r>
    </w:p>
    <w:p w14:paraId="3A27F854">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2A6E8941">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1.张厚粲、徐建平主编.现代心理与教育统计学（第5版）.北京：北京师范大学出版社，2020.</w:t>
      </w:r>
    </w:p>
    <w:p w14:paraId="6D945B2D">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2.王孝玲，赵必华主编.新编教育统计学.北京：北京师范大学出版社，2023.</w:t>
      </w:r>
    </w:p>
    <w:p w14:paraId="6F7AC202">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执笔人：巫文胜</w:t>
      </w:r>
    </w:p>
    <w:p w14:paraId="5371BFE2">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审定人：王  健</w:t>
      </w:r>
    </w:p>
    <w:p w14:paraId="4DDB365D">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审批人：张志欣</w:t>
      </w:r>
    </w:p>
    <w:p w14:paraId="6DC171E3">
      <w:pPr>
        <w:spacing w:line="360" w:lineRule="auto"/>
        <w:ind w:firstLine="4620" w:firstLineChars="2200"/>
        <w:jc w:val="righ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313B0515">
      <w:pPr>
        <w:rPr>
          <w:rFonts w:ascii="Times New Roman" w:hAnsi="Times New Roman" w:eastAsia="宋体" w:cs="Times New Roman"/>
          <w:sz w:val="24"/>
        </w:rPr>
      </w:pPr>
      <w:r>
        <w:rPr>
          <w:rFonts w:ascii="Times New Roman" w:hAnsi="Times New Roman" w:eastAsia="宋体" w:cs="Times New Roman"/>
          <w:sz w:val="24"/>
        </w:rPr>
        <w:br w:type="page"/>
      </w:r>
    </w:p>
    <w:p w14:paraId="403EB498">
      <w:pPr>
        <w:spacing w:line="360" w:lineRule="auto"/>
        <w:jc w:val="center"/>
        <w:outlineLvl w:val="0"/>
        <w:rPr>
          <w:rFonts w:ascii="Times New Roman" w:hAnsi="Times New Roman" w:eastAsia="宋体" w:cs="Times New Roman"/>
          <w:b/>
          <w:sz w:val="44"/>
          <w:szCs w:val="44"/>
        </w:rPr>
      </w:pPr>
      <w:bookmarkStart w:id="732" w:name="_Toc30105"/>
      <w:bookmarkStart w:id="733" w:name="_Toc57017181"/>
      <w:bookmarkStart w:id="734" w:name="_Toc29723"/>
      <w:bookmarkStart w:id="735" w:name="_Toc166164858"/>
      <w:bookmarkStart w:id="736" w:name="_Toc6292"/>
      <w:bookmarkStart w:id="737" w:name="_Toc27721"/>
      <w:r>
        <w:rPr>
          <w:rFonts w:hint="eastAsia" w:ascii="Times New Roman" w:hAnsi="Times New Roman" w:eastAsia="宋体" w:cs="Times New Roman"/>
          <w:b/>
          <w:sz w:val="44"/>
          <w:szCs w:val="44"/>
        </w:rPr>
        <w:t>《中外基础教育改革热点》课程教学大纲</w:t>
      </w:r>
      <w:bookmarkEnd w:id="732"/>
      <w:bookmarkEnd w:id="733"/>
      <w:bookmarkEnd w:id="734"/>
      <w:bookmarkEnd w:id="735"/>
      <w:bookmarkEnd w:id="736"/>
      <w:bookmarkEnd w:id="737"/>
    </w:p>
    <w:p w14:paraId="40A30D60">
      <w:pPr>
        <w:spacing w:line="360" w:lineRule="auto"/>
        <w:jc w:val="center"/>
        <w:rPr>
          <w:rFonts w:ascii="Times New Roman" w:hAnsi="Times New Roman" w:eastAsia="宋体" w:cs="Times New Roman"/>
          <w:b/>
          <w:bCs/>
          <w:sz w:val="28"/>
          <w:szCs w:val="28"/>
        </w:rPr>
      </w:pPr>
      <w:bookmarkStart w:id="738" w:name="_Toc20035"/>
      <w:bookmarkStart w:id="739" w:name="_Toc24410"/>
      <w:bookmarkStart w:id="740" w:name="_Toc9324"/>
      <w:bookmarkStart w:id="741" w:name="_Toc27243"/>
      <w:bookmarkStart w:id="742" w:name="_Toc17164"/>
      <w:bookmarkStart w:id="743" w:name="_Toc17961"/>
      <w:bookmarkStart w:id="744" w:name="_Toc10359"/>
      <w:r>
        <w:rPr>
          <w:rFonts w:ascii="Times New Roman" w:hAnsi="Times New Roman" w:eastAsia="宋体" w:cs="Times New Roman"/>
          <w:b/>
          <w:bCs/>
          <w:sz w:val="28"/>
          <w:szCs w:val="28"/>
        </w:rPr>
        <w:t>（Focus on Basic Research Reform in China and Foreign Countries）</w:t>
      </w:r>
      <w:bookmarkEnd w:id="738"/>
      <w:bookmarkEnd w:id="739"/>
      <w:bookmarkEnd w:id="740"/>
      <w:bookmarkEnd w:id="741"/>
      <w:bookmarkEnd w:id="742"/>
      <w:bookmarkEnd w:id="743"/>
      <w:bookmarkEnd w:id="744"/>
      <w:bookmarkStart w:id="745" w:name="_Toc27847311"/>
    </w:p>
    <w:bookmarkEnd w:id="745"/>
    <w:p w14:paraId="4A44F3C4">
      <w:pPr>
        <w:autoSpaceDE w:val="0"/>
        <w:autoSpaceDN w:val="0"/>
        <w:adjustRightInd w:val="0"/>
        <w:spacing w:line="360" w:lineRule="auto"/>
        <w:rPr>
          <w:rFonts w:hint="eastAsia" w:ascii="宋体" w:hAnsi="宋体" w:eastAsia="宋体" w:cs="Times New Roman"/>
          <w:b/>
          <w:bCs/>
          <w:kern w:val="0"/>
          <w:szCs w:val="21"/>
        </w:rPr>
      </w:pPr>
    </w:p>
    <w:p w14:paraId="52488284">
      <w:pPr>
        <w:autoSpaceDE w:val="0"/>
        <w:autoSpaceDN w:val="0"/>
        <w:adjustRightInd w:val="0"/>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课程名称：中外基础教育改革热点</w:t>
      </w:r>
    </w:p>
    <w:p w14:paraId="42C3D366">
      <w:pPr>
        <w:autoSpaceDE w:val="0"/>
        <w:autoSpaceDN w:val="0"/>
        <w:adjustRightInd w:val="0"/>
        <w:spacing w:line="360" w:lineRule="auto"/>
        <w:ind w:firstLine="482" w:firstLineChars="200"/>
        <w:rPr>
          <w:rFonts w:ascii="Times New Roman" w:hAnsi="Times New Roman" w:eastAsia="宋体" w:cs="Times New Roman"/>
          <w:kern w:val="0"/>
          <w:sz w:val="24"/>
        </w:rPr>
      </w:pPr>
      <w:r>
        <w:rPr>
          <w:rFonts w:ascii="宋体" w:hAnsi="宋体" w:eastAsia="宋体" w:cs="Times New Roman"/>
          <w:b/>
          <w:bCs/>
          <w:kern w:val="0"/>
          <w:sz w:val="24"/>
        </w:rPr>
        <w:t>课程代码</w:t>
      </w:r>
      <w:r>
        <w:rPr>
          <w:rFonts w:ascii="宋体" w:hAnsi="宋体" w:eastAsia="宋体" w:cs="Times New Roman"/>
          <w:b/>
          <w:kern w:val="0"/>
          <w:sz w:val="24"/>
        </w:rPr>
        <w:t>：</w:t>
      </w:r>
      <w:r>
        <w:rPr>
          <w:rFonts w:ascii="宋体" w:hAnsi="宋体" w:eastAsia="宋体" w:cs="Times New Roman"/>
          <w:b/>
          <w:bCs/>
          <w:kern w:val="0"/>
          <w:sz w:val="24"/>
        </w:rPr>
        <w:t>2401016</w:t>
      </w:r>
    </w:p>
    <w:p w14:paraId="6D91DAE6">
      <w:pPr>
        <w:spacing w:line="360" w:lineRule="auto"/>
        <w:ind w:firstLine="482" w:firstLineChars="200"/>
        <w:rPr>
          <w:rFonts w:hint="eastAsia" w:ascii="宋体" w:hAnsi="宋体" w:eastAsia="宋体" w:cs="Times New Roman"/>
          <w:b/>
          <w:kern w:val="0"/>
          <w:sz w:val="24"/>
        </w:rPr>
      </w:pPr>
      <w:r>
        <w:rPr>
          <w:rFonts w:ascii="宋体" w:hAnsi="宋体" w:eastAsia="宋体" w:cs="Times New Roman"/>
          <w:b/>
          <w:bCs/>
          <w:kern w:val="0"/>
          <w:sz w:val="24"/>
        </w:rPr>
        <w:t>学    分：</w:t>
      </w:r>
      <w:r>
        <w:rPr>
          <w:rFonts w:hint="eastAsia" w:ascii="宋体" w:hAnsi="宋体" w:eastAsia="宋体" w:cs="Times New Roman"/>
          <w:b/>
          <w:bCs/>
          <w:kern w:val="0"/>
          <w:sz w:val="24"/>
        </w:rPr>
        <w:t>2</w:t>
      </w:r>
    </w:p>
    <w:p w14:paraId="0F87AA82">
      <w:pPr>
        <w:spacing w:line="360" w:lineRule="auto"/>
        <w:ind w:firstLine="482" w:firstLineChars="200"/>
        <w:rPr>
          <w:rFonts w:hint="eastAsia" w:ascii="宋体" w:hAnsi="宋体" w:eastAsia="宋体" w:cs="Times New Roman"/>
          <w:kern w:val="0"/>
          <w:sz w:val="24"/>
        </w:rPr>
      </w:pPr>
      <w:r>
        <w:rPr>
          <w:rFonts w:ascii="宋体" w:hAnsi="宋体" w:eastAsia="宋体" w:cs="Times New Roman"/>
          <w:b/>
          <w:bCs/>
          <w:kern w:val="0"/>
          <w:sz w:val="24"/>
        </w:rPr>
        <w:t>学    时：</w:t>
      </w:r>
      <w:r>
        <w:rPr>
          <w:rFonts w:hint="eastAsia" w:ascii="宋体" w:hAnsi="宋体" w:eastAsia="宋体" w:cs="Times New Roman"/>
          <w:b/>
          <w:bCs/>
          <w:kern w:val="0"/>
          <w:sz w:val="24"/>
        </w:rPr>
        <w:t>32</w:t>
      </w:r>
      <w:r>
        <w:rPr>
          <w:rFonts w:ascii="宋体" w:hAnsi="宋体" w:eastAsia="宋体" w:cs="Times New Roman"/>
          <w:b/>
          <w:bCs/>
          <w:kern w:val="0"/>
          <w:sz w:val="24"/>
        </w:rPr>
        <w:t xml:space="preserve"> </w:t>
      </w:r>
    </w:p>
    <w:p w14:paraId="62A507EE">
      <w:pPr>
        <w:spacing w:line="360" w:lineRule="auto"/>
        <w:ind w:firstLine="482" w:firstLineChars="200"/>
        <w:jc w:val="left"/>
        <w:rPr>
          <w:rFonts w:hint="eastAsia" w:ascii="宋体" w:hAnsi="宋体" w:eastAsia="宋体" w:cs="Times New Roman"/>
          <w:kern w:val="0"/>
          <w:sz w:val="24"/>
        </w:rPr>
      </w:pPr>
      <w:r>
        <w:rPr>
          <w:rFonts w:ascii="宋体" w:hAnsi="宋体" w:eastAsia="宋体" w:cs="Times New Roman"/>
          <w:b/>
          <w:bCs/>
          <w:kern w:val="0"/>
          <w:sz w:val="24"/>
        </w:rPr>
        <w:t>先修课程：</w:t>
      </w:r>
      <w:r>
        <w:rPr>
          <w:rFonts w:hint="eastAsia" w:ascii="宋体" w:hAnsi="宋体" w:eastAsia="宋体" w:cs="Times New Roman"/>
          <w:b/>
          <w:bCs/>
          <w:sz w:val="24"/>
          <w:lang w:val="zh-CN"/>
        </w:rPr>
        <w:t>教育原理、教育心理学、中外教育史、课程与教学论</w:t>
      </w:r>
    </w:p>
    <w:p w14:paraId="702E12F8">
      <w:pPr>
        <w:spacing w:line="360" w:lineRule="auto"/>
        <w:ind w:firstLine="482" w:firstLineChars="200"/>
        <w:rPr>
          <w:rFonts w:ascii="Times New Roman" w:hAnsi="Times New Roman" w:eastAsia="宋体" w:cs="Times New Roman"/>
          <w:kern w:val="0"/>
          <w:sz w:val="24"/>
        </w:rPr>
      </w:pPr>
      <w:r>
        <w:rPr>
          <w:rFonts w:ascii="宋体" w:hAnsi="宋体" w:eastAsia="宋体" w:cs="Times New Roman"/>
          <w:b/>
          <w:bCs/>
          <w:kern w:val="0"/>
          <w:sz w:val="24"/>
        </w:rPr>
        <w:t>适用专业：</w:t>
      </w:r>
      <w:r>
        <w:rPr>
          <w:rFonts w:hint="eastAsia" w:ascii="宋体" w:hAnsi="宋体" w:eastAsia="宋体" w:cs="Times New Roman"/>
          <w:b/>
          <w:bCs/>
          <w:kern w:val="0"/>
          <w:sz w:val="24"/>
        </w:rPr>
        <w:t>小学</w:t>
      </w:r>
      <w:r>
        <w:rPr>
          <w:rFonts w:ascii="宋体" w:hAnsi="宋体" w:eastAsia="宋体" w:cs="Times New Roman"/>
          <w:b/>
          <w:bCs/>
          <w:kern w:val="0"/>
          <w:sz w:val="24"/>
        </w:rPr>
        <w:t xml:space="preserve">教育  </w:t>
      </w:r>
      <w:r>
        <w:rPr>
          <w:rFonts w:ascii="宋体" w:hAnsi="宋体" w:eastAsia="宋体" w:cs="Times New Roman"/>
          <w:kern w:val="0"/>
          <w:sz w:val="24"/>
        </w:rPr>
        <w:t xml:space="preserve">                      </w:t>
      </w:r>
    </w:p>
    <w:p w14:paraId="329AA84F">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7237AE0C">
      <w:pPr>
        <w:autoSpaceDE w:val="0"/>
        <w:autoSpaceDN w:val="0"/>
        <w:adjustRightInd w:val="0"/>
        <w:spacing w:after="160" w:line="360" w:lineRule="auto"/>
        <w:ind w:firstLine="420" w:firstLineChars="200"/>
        <w:jc w:val="left"/>
        <w:rPr>
          <w:rFonts w:ascii="Times New Roman" w:hAnsi="Times New Roman" w:eastAsia="宋体" w:cs="Times New Roman"/>
          <w:sz w:val="24"/>
        </w:rPr>
      </w:pPr>
      <w:r>
        <w:rPr>
          <w:rFonts w:hint="eastAsia" w:ascii="Times New Roman" w:hAnsi="Times New Roman" w:eastAsia="宋体" w:cs="Times New Roman"/>
          <w:szCs w:val="21"/>
        </w:rPr>
        <w:t>本课程是小学教育本科专业一门专业选修课。课程旨在帮助学生理解基础教育改革现实意义和国内外改革所涉及的热点问题，提高小学教师的反思意识和开阔视野。通过本门课程的学习，学生能够了解世界上主要发达国家基础教育改革的时代背景，理解我国21世纪基础教育深化改革的现实意义；了解当前基础教育改革的主要内容，提高未来小学教师的发现问题、分析问题、研究问题的能力</w:t>
      </w:r>
      <w:r>
        <w:rPr>
          <w:rFonts w:hint="eastAsia" w:ascii="Times New Roman" w:hAnsi="Times New Roman" w:eastAsia="宋体" w:cs="Times New Roman"/>
          <w:sz w:val="24"/>
        </w:rPr>
        <w:t>。</w:t>
      </w:r>
    </w:p>
    <w:p w14:paraId="5D1CE9E9">
      <w:pPr>
        <w:spacing w:before="62" w:beforeLines="20" w:after="62" w:afterLines="20" w:line="360" w:lineRule="auto"/>
        <w:jc w:val="left"/>
        <w:rPr>
          <w:rFonts w:ascii="Times New Roman" w:hAnsi="Times New Roman" w:eastAsia="宋体" w:cs="Times New Roman"/>
          <w:b/>
          <w:sz w:val="24"/>
        </w:rPr>
      </w:pPr>
      <w:bookmarkStart w:id="746" w:name="_Toc27847312"/>
      <w:r>
        <w:rPr>
          <w:rFonts w:hint="eastAsia" w:ascii="Times New Roman" w:hAnsi="Times New Roman" w:eastAsia="宋体" w:cs="Times New Roman"/>
          <w:b/>
          <w:sz w:val="24"/>
        </w:rPr>
        <w:t>二、课程目标</w:t>
      </w:r>
      <w:bookmarkEnd w:id="746"/>
    </w:p>
    <w:p w14:paraId="39466AAF">
      <w:pPr>
        <w:spacing w:line="360" w:lineRule="auto"/>
        <w:ind w:firstLine="422" w:firstLineChars="200"/>
        <w:rPr>
          <w:rFonts w:hint="eastAsia" w:ascii="宋体" w:hAnsi="宋体" w:eastAsia="宋体" w:cs="Times New Roman"/>
          <w:b/>
          <w:kern w:val="0"/>
          <w:szCs w:val="21"/>
        </w:rPr>
      </w:pPr>
      <w:bookmarkStart w:id="747" w:name="_Toc27847313"/>
      <w:r>
        <w:rPr>
          <w:rFonts w:hint="eastAsia" w:ascii="宋体" w:hAnsi="宋体" w:eastAsia="宋体" w:cs="Times New Roman"/>
          <w:b/>
          <w:kern w:val="0"/>
          <w:szCs w:val="21"/>
        </w:rPr>
        <w:t>（一）课程具体目标</w:t>
      </w:r>
      <w:bookmarkEnd w:id="747"/>
    </w:p>
    <w:p w14:paraId="5D7789A6">
      <w:pPr>
        <w:autoSpaceDE w:val="0"/>
        <w:autoSpaceDN w:val="0"/>
        <w:adjustRightInd w:val="0"/>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szCs w:val="21"/>
        </w:rPr>
        <w:t>了解社会转型对教育改革的含义与影响，理解我国21世纪基础教育改革的必要性，掌握基础教育改革研究中的热点问题，增强教育使命感和教师责任感。</w:t>
      </w:r>
    </w:p>
    <w:p w14:paraId="4DE8897C">
      <w:pPr>
        <w:autoSpaceDE w:val="0"/>
        <w:autoSpaceDN w:val="0"/>
        <w:adjustRightInd w:val="0"/>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hint="eastAsia" w:ascii="Times New Roman" w:hAnsi="Times New Roman" w:eastAsia="宋体" w:cs="Times New Roman"/>
          <w:szCs w:val="21"/>
        </w:rPr>
        <w:t>了</w:t>
      </w:r>
      <w:r>
        <w:rPr>
          <w:rFonts w:ascii="Times New Roman" w:hAnsi="Times New Roman" w:eastAsia="宋体" w:cs="Times New Roman"/>
          <w:szCs w:val="21"/>
        </w:rPr>
        <w:t>解国际视野中的基础教育改革概况</w:t>
      </w:r>
      <w:r>
        <w:rPr>
          <w:rFonts w:hint="eastAsia" w:ascii="Times New Roman" w:hAnsi="Times New Roman" w:eastAsia="宋体" w:cs="Times New Roman"/>
          <w:szCs w:val="21"/>
        </w:rPr>
        <w:t>，基本掌握西方主要国家基础教育改革的动向和发展趋势，牢固树立建设中国特色社会主义教育强国的自信心。</w:t>
      </w:r>
      <w:r>
        <w:rPr>
          <w:rFonts w:ascii="Times New Roman" w:hAnsi="Times New Roman" w:eastAsia="宋体" w:cs="Times New Roman"/>
          <w:szCs w:val="21"/>
        </w:rPr>
        <w:t xml:space="preserve"> </w:t>
      </w:r>
    </w:p>
    <w:p w14:paraId="6CEF2E44">
      <w:pPr>
        <w:autoSpaceDE w:val="0"/>
        <w:autoSpaceDN w:val="0"/>
        <w:adjustRightInd w:val="0"/>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ascii="Times New Roman" w:hAnsi="Times New Roman" w:eastAsia="宋体" w:cs="Times New Roman"/>
          <w:b/>
          <w:szCs w:val="21"/>
        </w:rPr>
        <w:t xml:space="preserve">. </w:t>
      </w:r>
      <w:r>
        <w:rPr>
          <w:rFonts w:hint="eastAsia" w:ascii="Times New Roman" w:hAnsi="Times New Roman" w:eastAsia="宋体" w:cs="Times New Roman"/>
          <w:szCs w:val="21"/>
        </w:rPr>
        <w:t>了解中国基础教育课程与教学改革的潮流、历史演进及政策分析，初步理解我国21世纪基础教育课程与教学改革中的基本问题及解决策略；掌握我国城乡基础教育改革中的主要热点问题及改革思路，增强教育危机意识。</w:t>
      </w:r>
    </w:p>
    <w:p w14:paraId="2ECEC6D6">
      <w:pPr>
        <w:autoSpaceDE w:val="0"/>
        <w:autoSpaceDN w:val="0"/>
        <w:adjustRightInd w:val="0"/>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目标4</w:t>
      </w:r>
      <w:r>
        <w:rPr>
          <w:rFonts w:ascii="Times New Roman" w:hAnsi="Times New Roman" w:eastAsia="宋体" w:cs="Times New Roman"/>
          <w:b/>
          <w:szCs w:val="21"/>
        </w:rPr>
        <w:t>.</w:t>
      </w:r>
      <w:r>
        <w:rPr>
          <w:rFonts w:ascii="Times New Roman" w:hAnsi="Times New Roman" w:eastAsia="宋体" w:cs="Times New Roman"/>
          <w:szCs w:val="21"/>
        </w:rPr>
        <w:t xml:space="preserve"> 能够通过自主</w:t>
      </w:r>
      <w:r>
        <w:rPr>
          <w:rFonts w:hint="eastAsia" w:ascii="Times New Roman" w:hAnsi="Times New Roman" w:eastAsia="宋体" w:cs="Times New Roman"/>
          <w:szCs w:val="21"/>
        </w:rPr>
        <w:t>、</w:t>
      </w:r>
      <w:r>
        <w:rPr>
          <w:rFonts w:ascii="Times New Roman" w:hAnsi="Times New Roman" w:eastAsia="宋体" w:cs="Times New Roman"/>
          <w:szCs w:val="21"/>
        </w:rPr>
        <w:t>合作</w:t>
      </w:r>
      <w:r>
        <w:rPr>
          <w:rFonts w:hint="eastAsia" w:ascii="Times New Roman" w:hAnsi="Times New Roman" w:eastAsia="宋体" w:cs="Times New Roman"/>
          <w:szCs w:val="21"/>
        </w:rPr>
        <w:t>、</w:t>
      </w:r>
      <w:r>
        <w:rPr>
          <w:rFonts w:ascii="Times New Roman" w:hAnsi="Times New Roman" w:eastAsia="宋体" w:cs="Times New Roman"/>
          <w:szCs w:val="21"/>
        </w:rPr>
        <w:t>探究的方式</w:t>
      </w:r>
      <w:r>
        <w:rPr>
          <w:rFonts w:hint="eastAsia" w:ascii="Times New Roman" w:hAnsi="Times New Roman" w:eastAsia="宋体" w:cs="Times New Roman"/>
          <w:szCs w:val="21"/>
        </w:rPr>
        <w:t>分析中外主要国家</w:t>
      </w:r>
      <w:r>
        <w:rPr>
          <w:rFonts w:ascii="Times New Roman" w:hAnsi="Times New Roman" w:eastAsia="宋体" w:cs="Times New Roman"/>
          <w:szCs w:val="21"/>
        </w:rPr>
        <w:t>基础教育改革的</w:t>
      </w:r>
      <w:r>
        <w:rPr>
          <w:rFonts w:hint="eastAsia" w:ascii="Times New Roman" w:hAnsi="Times New Roman" w:eastAsia="宋体" w:cs="Times New Roman"/>
          <w:szCs w:val="21"/>
        </w:rPr>
        <w:t>缺陷，</w:t>
      </w:r>
      <w:r>
        <w:rPr>
          <w:rFonts w:ascii="Times New Roman" w:hAnsi="Times New Roman" w:eastAsia="宋体" w:cs="Times New Roman"/>
          <w:szCs w:val="21"/>
        </w:rPr>
        <w:t>形成独立的分析判断能力</w:t>
      </w:r>
      <w:r>
        <w:rPr>
          <w:rFonts w:hint="eastAsia" w:ascii="Times New Roman" w:hAnsi="Times New Roman" w:eastAsia="宋体" w:cs="Times New Roman"/>
          <w:szCs w:val="21"/>
        </w:rPr>
        <w:t>和问题研究能力。</w:t>
      </w:r>
    </w:p>
    <w:p w14:paraId="4DAEDB61">
      <w:pPr>
        <w:spacing w:line="360" w:lineRule="auto"/>
        <w:ind w:firstLine="422" w:firstLineChars="200"/>
        <w:rPr>
          <w:rFonts w:hint="eastAsia" w:ascii="宋体" w:hAnsi="宋体" w:eastAsia="宋体" w:cs="Times New Roman"/>
          <w:b/>
          <w:kern w:val="0"/>
          <w:szCs w:val="21"/>
        </w:rPr>
      </w:pPr>
      <w:bookmarkStart w:id="748" w:name="_Toc27847314"/>
      <w:r>
        <w:rPr>
          <w:rFonts w:hint="eastAsia" w:ascii="宋体" w:hAnsi="宋体" w:eastAsia="宋体" w:cs="Times New Roman"/>
          <w:b/>
          <w:kern w:val="0"/>
          <w:szCs w:val="21"/>
        </w:rPr>
        <w:t>（二）课程目标与专业毕业要求的关系</w:t>
      </w:r>
      <w:bookmarkEnd w:id="748"/>
    </w:p>
    <w:tbl>
      <w:tblPr>
        <w:tblStyle w:val="11"/>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5839"/>
        <w:gridCol w:w="1339"/>
      </w:tblGrid>
      <w:tr w14:paraId="79D3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11" w:type="dxa"/>
            <w:vAlign w:val="center"/>
          </w:tcPr>
          <w:p w14:paraId="4822F7B2">
            <w:pPr>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5839" w:type="dxa"/>
            <w:vAlign w:val="center"/>
          </w:tcPr>
          <w:p w14:paraId="0085513E">
            <w:pPr>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339" w:type="dxa"/>
            <w:vAlign w:val="center"/>
          </w:tcPr>
          <w:p w14:paraId="158A6861">
            <w:pPr>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7ECF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511" w:type="dxa"/>
            <w:vMerge w:val="restart"/>
            <w:vAlign w:val="center"/>
          </w:tcPr>
          <w:p w14:paraId="31E12134">
            <w:pPr>
              <w:spacing w:after="160"/>
              <w:jc w:val="center"/>
              <w:rPr>
                <w:rFonts w:hint="eastAsia" w:ascii="宋体" w:hAnsi="宋体" w:eastAsia="宋体" w:cs="宋体"/>
                <w:szCs w:val="21"/>
              </w:rPr>
            </w:pPr>
            <w:r>
              <w:rPr>
                <w:rFonts w:hint="eastAsia" w:ascii="宋体" w:hAnsi="宋体" w:eastAsia="宋体" w:cs="宋体"/>
                <w:szCs w:val="21"/>
              </w:rPr>
              <w:t>毕业要求7</w:t>
            </w:r>
          </w:p>
          <w:p w14:paraId="24C397B1">
            <w:pPr>
              <w:spacing w:after="160"/>
              <w:jc w:val="center"/>
              <w:rPr>
                <w:rFonts w:hint="eastAsia" w:ascii="宋体" w:hAnsi="宋体" w:eastAsia="宋体" w:cs="Times New Roman"/>
                <w:kern w:val="0"/>
                <w:szCs w:val="21"/>
              </w:rPr>
            </w:pPr>
            <w:r>
              <w:rPr>
                <w:rFonts w:hint="eastAsia" w:ascii="宋体" w:hAnsi="宋体" w:eastAsia="宋体" w:cs="宋体"/>
                <w:szCs w:val="21"/>
              </w:rPr>
              <w:t>学会反思</w:t>
            </w:r>
          </w:p>
        </w:tc>
        <w:tc>
          <w:tcPr>
            <w:tcW w:w="5839" w:type="dxa"/>
            <w:vAlign w:val="center"/>
          </w:tcPr>
          <w:p w14:paraId="7E9F25EE">
            <w:pPr>
              <w:autoSpaceDE w:val="0"/>
              <w:autoSpaceDN w:val="0"/>
              <w:adjustRightInd w:val="0"/>
              <w:spacing w:after="160" w:line="360" w:lineRule="auto"/>
              <w:jc w:val="left"/>
              <w:rPr>
                <w:rFonts w:ascii="Times New Roman" w:hAnsi="Times New Roman" w:eastAsia="宋体" w:cs="Times New Roman"/>
                <w:kern w:val="0"/>
                <w:szCs w:val="21"/>
              </w:rPr>
            </w:pPr>
            <w:r>
              <w:rPr>
                <w:rFonts w:hint="eastAsia" w:ascii="宋体" w:hAnsi="宋体" w:eastAsia="宋体" w:cs="宋体"/>
                <w:b/>
                <w:kern w:val="0"/>
                <w:szCs w:val="21"/>
              </w:rPr>
              <w:t>指标点7-1</w:t>
            </w:r>
            <w:r>
              <w:rPr>
                <w:rFonts w:hint="eastAsia" w:ascii="宋体" w:hAnsi="宋体" w:eastAsia="宋体" w:cs="宋体"/>
                <w:kern w:val="0"/>
                <w:szCs w:val="21"/>
              </w:rPr>
              <w:t>：【教育视野开阔】积极关注基础教育领域的国内外交流进展，了解国内外基础教育改革发展的动态，具有宽广的教育视野，能够主动适应新时代和教育发展需求。</w:t>
            </w:r>
          </w:p>
        </w:tc>
        <w:tc>
          <w:tcPr>
            <w:tcW w:w="1339" w:type="dxa"/>
            <w:vAlign w:val="center"/>
          </w:tcPr>
          <w:p w14:paraId="3A7F2A5A">
            <w:pPr>
              <w:spacing w:after="160"/>
              <w:jc w:val="center"/>
              <w:rPr>
                <w:rFonts w:hint="eastAsia" w:ascii="宋体" w:hAnsi="宋体" w:eastAsia="宋体" w:cs="宋体"/>
                <w:szCs w:val="21"/>
              </w:rPr>
            </w:pPr>
            <w:r>
              <w:rPr>
                <w:rFonts w:hint="eastAsia" w:ascii="宋体" w:hAnsi="宋体" w:eastAsia="宋体" w:cs="宋体"/>
                <w:szCs w:val="21"/>
              </w:rPr>
              <w:t>课程目标</w:t>
            </w:r>
          </w:p>
          <w:p w14:paraId="3B888128">
            <w:pPr>
              <w:spacing w:after="160"/>
              <w:jc w:val="center"/>
              <w:rPr>
                <w:rFonts w:hint="eastAsia" w:ascii="宋体" w:hAnsi="宋体" w:eastAsia="宋体" w:cs="宋体"/>
                <w:szCs w:val="21"/>
                <w:lang w:eastAsia="zh"/>
              </w:rPr>
            </w:pPr>
            <w:r>
              <w:rPr>
                <w:rFonts w:hint="eastAsia" w:ascii="宋体" w:hAnsi="宋体" w:eastAsia="宋体" w:cs="宋体"/>
                <w:szCs w:val="21"/>
              </w:rPr>
              <w:t>1</w:t>
            </w:r>
            <w:r>
              <w:rPr>
                <w:rFonts w:hint="eastAsia" w:ascii="宋体" w:hAnsi="宋体" w:eastAsia="宋体" w:cs="宋体"/>
                <w:szCs w:val="21"/>
                <w:lang w:eastAsia="zh"/>
              </w:rPr>
              <w:t>、2</w:t>
            </w:r>
          </w:p>
        </w:tc>
      </w:tr>
      <w:tr w14:paraId="68BAD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11" w:type="dxa"/>
            <w:vMerge w:val="continue"/>
            <w:vAlign w:val="center"/>
          </w:tcPr>
          <w:p w14:paraId="0217678F">
            <w:pPr>
              <w:spacing w:after="160"/>
              <w:rPr>
                <w:rFonts w:hint="eastAsia" w:ascii="宋体" w:hAnsi="宋体" w:eastAsia="宋体" w:cs="Times New Roman"/>
                <w:spacing w:val="2"/>
                <w:kern w:val="0"/>
                <w:szCs w:val="21"/>
              </w:rPr>
            </w:pPr>
          </w:p>
        </w:tc>
        <w:tc>
          <w:tcPr>
            <w:tcW w:w="5839" w:type="dxa"/>
          </w:tcPr>
          <w:p w14:paraId="56EC7F16">
            <w:pPr>
              <w:autoSpaceDE w:val="0"/>
              <w:autoSpaceDN w:val="0"/>
              <w:adjustRightInd w:val="0"/>
              <w:spacing w:after="160" w:line="360" w:lineRule="auto"/>
              <w:rPr>
                <w:rFonts w:hint="eastAsia" w:ascii="Times New Roman" w:hAnsi="宋体" w:eastAsia="宋体" w:cs="Times New Roman"/>
                <w:kern w:val="0"/>
                <w:szCs w:val="21"/>
              </w:rPr>
            </w:pPr>
            <w:r>
              <w:rPr>
                <w:rFonts w:hint="eastAsia" w:ascii="宋体" w:hAnsi="宋体" w:eastAsia="宋体" w:cs="宋体"/>
                <w:b/>
                <w:kern w:val="0"/>
                <w:szCs w:val="21"/>
              </w:rPr>
              <w:t>指标点7-3</w:t>
            </w:r>
            <w:r>
              <w:rPr>
                <w:rFonts w:hint="eastAsia" w:ascii="宋体" w:hAnsi="宋体" w:eastAsia="宋体" w:cs="宋体"/>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39" w:type="dxa"/>
            <w:vAlign w:val="center"/>
          </w:tcPr>
          <w:p w14:paraId="49D45A4B">
            <w:pPr>
              <w:spacing w:after="160"/>
              <w:jc w:val="center"/>
              <w:rPr>
                <w:rFonts w:hint="eastAsia" w:ascii="宋体" w:hAnsi="宋体" w:eastAsia="宋体" w:cs="宋体"/>
                <w:szCs w:val="21"/>
              </w:rPr>
            </w:pPr>
            <w:r>
              <w:rPr>
                <w:rFonts w:hint="eastAsia" w:ascii="宋体" w:hAnsi="宋体" w:eastAsia="宋体" w:cs="宋体"/>
                <w:szCs w:val="21"/>
              </w:rPr>
              <w:t>课程目标</w:t>
            </w:r>
          </w:p>
          <w:p w14:paraId="7298BDEB">
            <w:pPr>
              <w:spacing w:after="160"/>
              <w:jc w:val="center"/>
              <w:rPr>
                <w:rFonts w:hint="eastAsia" w:ascii="宋体" w:hAnsi="宋体" w:eastAsia="宋体" w:cs="宋体"/>
                <w:szCs w:val="21"/>
                <w:lang w:eastAsia="zh"/>
              </w:rPr>
            </w:pPr>
            <w:r>
              <w:rPr>
                <w:rFonts w:hint="eastAsia" w:ascii="宋体" w:hAnsi="宋体" w:eastAsia="宋体" w:cs="宋体"/>
                <w:szCs w:val="21"/>
              </w:rPr>
              <w:t>3</w:t>
            </w:r>
            <w:r>
              <w:rPr>
                <w:rFonts w:hint="eastAsia" w:ascii="宋体" w:hAnsi="宋体" w:eastAsia="宋体" w:cs="宋体"/>
                <w:szCs w:val="21"/>
                <w:lang w:eastAsia="zh"/>
              </w:rPr>
              <w:t>、4</w:t>
            </w:r>
          </w:p>
        </w:tc>
      </w:tr>
    </w:tbl>
    <w:p w14:paraId="62AE0B83">
      <w:pPr>
        <w:spacing w:line="360" w:lineRule="auto"/>
        <w:rPr>
          <w:rFonts w:hint="eastAsia" w:ascii="宋体" w:hAnsi="宋体" w:eastAsia="宋体" w:cs="Times New Roman"/>
          <w:b/>
          <w:kern w:val="0"/>
          <w:szCs w:val="21"/>
        </w:rPr>
      </w:pPr>
      <w:r>
        <w:rPr>
          <w:rFonts w:hint="eastAsia" w:ascii="宋体" w:hAnsi="宋体" w:eastAsia="宋体" w:cs="Times New Roman"/>
          <w:b/>
          <w:kern w:val="0"/>
          <w:sz w:val="24"/>
        </w:rPr>
        <w:t xml:space="preserve">   </w:t>
      </w:r>
      <w:r>
        <w:rPr>
          <w:rFonts w:hint="eastAsia" w:ascii="宋体" w:hAnsi="宋体" w:eastAsia="宋体" w:cs="Times New Roman"/>
          <w:b/>
          <w:kern w:val="0"/>
          <w:szCs w:val="21"/>
        </w:rPr>
        <w:t>（三）课程思政目标</w:t>
      </w:r>
    </w:p>
    <w:p w14:paraId="49FC8AB0">
      <w:pPr>
        <w:spacing w:before="62" w:beforeLines="20" w:after="62" w:afterLines="20" w:line="360" w:lineRule="auto"/>
        <w:ind w:firstLine="420" w:firstLineChars="200"/>
        <w:jc w:val="left"/>
        <w:rPr>
          <w:rFonts w:ascii="Times New Roman" w:hAnsi="Times New Roman" w:eastAsia="宋体" w:cs="Times New Roman"/>
          <w:b/>
          <w:szCs w:val="21"/>
        </w:rPr>
      </w:pPr>
      <w:r>
        <w:rPr>
          <w:rFonts w:hint="eastAsia" w:ascii="宋体" w:hAnsi="宋体" w:eastAsia="宋体" w:cs="Times New Roman"/>
          <w:bCs/>
          <w:kern w:val="0"/>
          <w:szCs w:val="21"/>
        </w:rPr>
        <w:t>用马克思主义观点剖析人类历史发展规律，理解我国新时代社会转型及教育改革需求；明确基础教育要以人民为中心、发展教育要促进人的全面发展等基本治国理念；用马克思辩证唯物主义的观点全面分析国外基础教育改革的历史背景，以客观开放的心态吸收借鉴国外先进教育改革经验；坚持中国特色社会主义文化自信。</w:t>
      </w:r>
    </w:p>
    <w:p w14:paraId="7861639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2758"/>
        <w:gridCol w:w="1092"/>
        <w:gridCol w:w="2285"/>
        <w:gridCol w:w="1748"/>
        <w:gridCol w:w="508"/>
      </w:tblGrid>
      <w:tr w14:paraId="015D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2" w:type="dxa"/>
            <w:vAlign w:val="center"/>
          </w:tcPr>
          <w:p w14:paraId="4B35A584">
            <w:pPr>
              <w:jc w:val="center"/>
              <w:rPr>
                <w:rFonts w:hint="eastAsia" w:ascii="宋体" w:hAnsi="宋体" w:eastAsia="宋体" w:cs="Times New Roman"/>
                <w:b/>
                <w:szCs w:val="21"/>
              </w:rPr>
            </w:pPr>
            <w:r>
              <w:rPr>
                <w:rFonts w:hint="eastAsia" w:ascii="宋体" w:hAnsi="宋体" w:eastAsia="宋体" w:cs="Times New Roman"/>
                <w:b/>
                <w:szCs w:val="21"/>
              </w:rPr>
              <w:t>知识</w:t>
            </w:r>
          </w:p>
          <w:p w14:paraId="641B8BE6">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758" w:type="dxa"/>
            <w:vAlign w:val="center"/>
          </w:tcPr>
          <w:p w14:paraId="0FD2D352">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092" w:type="dxa"/>
            <w:vAlign w:val="center"/>
          </w:tcPr>
          <w:p w14:paraId="26019F52">
            <w:pPr>
              <w:jc w:val="center"/>
              <w:rPr>
                <w:rFonts w:hint="eastAsia" w:ascii="宋体" w:hAnsi="宋体" w:eastAsia="宋体" w:cs="Times New Roman"/>
                <w:b/>
                <w:szCs w:val="21"/>
              </w:rPr>
            </w:pPr>
            <w:r>
              <w:rPr>
                <w:rFonts w:hint="eastAsia" w:ascii="宋体" w:hAnsi="宋体" w:eastAsia="宋体" w:cs="Times New Roman"/>
                <w:b/>
                <w:szCs w:val="21"/>
              </w:rPr>
              <w:t>对应</w:t>
            </w:r>
          </w:p>
          <w:p w14:paraId="2749DEEA">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285" w:type="dxa"/>
            <w:vAlign w:val="center"/>
          </w:tcPr>
          <w:p w14:paraId="57F96D7B">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748" w:type="dxa"/>
            <w:vAlign w:val="center"/>
          </w:tcPr>
          <w:p w14:paraId="16E9E38C">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508" w:type="dxa"/>
            <w:vAlign w:val="center"/>
          </w:tcPr>
          <w:p w14:paraId="25CB3FDD">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564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036DC8B2">
            <w:pPr>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kern w:val="0"/>
                <w:szCs w:val="21"/>
                <w:lang w:bidi="ar"/>
              </w:rPr>
              <w:t>社会转型与各国基础教育改革</w:t>
            </w:r>
          </w:p>
        </w:tc>
        <w:tc>
          <w:tcPr>
            <w:tcW w:w="2758" w:type="dxa"/>
            <w:vAlign w:val="center"/>
          </w:tcPr>
          <w:p w14:paraId="25B90E10">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（1）社会转型的含义与特征</w:t>
            </w:r>
            <w:r>
              <w:rPr>
                <w:rFonts w:ascii="宋体" w:hAnsi="宋体" w:eastAsia="宋体" w:cs="Times New Roman"/>
                <w:kern w:val="0"/>
                <w:szCs w:val="21"/>
                <w:lang w:bidi="ar"/>
              </w:rPr>
              <w:br w:type="textWrapping"/>
            </w:r>
            <w:r>
              <w:rPr>
                <w:rFonts w:ascii="宋体" w:hAnsi="宋体" w:eastAsia="宋体" w:cs="Times New Roman"/>
                <w:kern w:val="0"/>
                <w:szCs w:val="21"/>
                <w:lang w:bidi="ar"/>
              </w:rPr>
              <w:t>（2）基础教育改革的必要性及政策分析</w:t>
            </w:r>
            <w:r>
              <w:rPr>
                <w:rFonts w:ascii="宋体" w:hAnsi="宋体" w:eastAsia="宋体" w:cs="Times New Roman"/>
                <w:kern w:val="0"/>
                <w:szCs w:val="21"/>
                <w:lang w:bidi="ar"/>
              </w:rPr>
              <w:br w:type="textWrapping"/>
            </w:r>
            <w:r>
              <w:rPr>
                <w:rFonts w:ascii="宋体" w:hAnsi="宋体" w:eastAsia="宋体" w:cs="Times New Roman"/>
                <w:kern w:val="0"/>
                <w:szCs w:val="21"/>
                <w:lang w:bidi="ar"/>
              </w:rPr>
              <w:t>（3）基础教育改革的问题及策略</w:t>
            </w:r>
          </w:p>
        </w:tc>
        <w:tc>
          <w:tcPr>
            <w:tcW w:w="1092" w:type="dxa"/>
            <w:vAlign w:val="center"/>
          </w:tcPr>
          <w:p w14:paraId="475D4008">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课程目标1</w:t>
            </w:r>
          </w:p>
        </w:tc>
        <w:tc>
          <w:tcPr>
            <w:tcW w:w="2285" w:type="dxa"/>
            <w:vAlign w:val="center"/>
          </w:tcPr>
          <w:p w14:paraId="5F6E40A5">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（1）了解社会转型的含义与特征</w:t>
            </w:r>
            <w:r>
              <w:rPr>
                <w:rFonts w:ascii="宋体" w:hAnsi="宋体" w:eastAsia="宋体" w:cs="Times New Roman"/>
                <w:kern w:val="0"/>
                <w:szCs w:val="21"/>
                <w:lang w:bidi="ar"/>
              </w:rPr>
              <w:br w:type="textWrapping"/>
            </w:r>
            <w:r>
              <w:rPr>
                <w:rFonts w:ascii="宋体" w:hAnsi="宋体" w:eastAsia="宋体" w:cs="Times New Roman"/>
                <w:kern w:val="0"/>
                <w:szCs w:val="21"/>
                <w:lang w:bidi="ar"/>
              </w:rPr>
              <w:t>（2）理解社会转型与基础教育改革的关系</w:t>
            </w:r>
            <w:r>
              <w:rPr>
                <w:rFonts w:ascii="宋体" w:hAnsi="宋体" w:eastAsia="宋体" w:cs="Times New Roman"/>
                <w:kern w:val="0"/>
                <w:szCs w:val="21"/>
                <w:lang w:bidi="ar"/>
              </w:rPr>
              <w:br w:type="textWrapping"/>
            </w:r>
            <w:r>
              <w:rPr>
                <w:rFonts w:ascii="宋体" w:hAnsi="宋体" w:eastAsia="宋体" w:cs="Times New Roman"/>
                <w:kern w:val="0"/>
                <w:szCs w:val="21"/>
                <w:lang w:bidi="ar"/>
              </w:rPr>
              <w:t>（3）掌握基础教育改革的问题及策略</w:t>
            </w:r>
          </w:p>
        </w:tc>
        <w:tc>
          <w:tcPr>
            <w:tcW w:w="1748" w:type="dxa"/>
            <w:vAlign w:val="center"/>
          </w:tcPr>
          <w:p w14:paraId="23B2D1E9">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1.线上学习</w:t>
            </w:r>
          </w:p>
          <w:p w14:paraId="1E2B9490">
            <w:pPr>
              <w:pStyle w:val="10"/>
              <w:widowControl/>
              <w:jc w:val="left"/>
              <w:rPr>
                <w:rFonts w:hint="eastAsia" w:ascii="宋体" w:hAnsi="宋体" w:eastAsia="宋体" w:cs="宋体"/>
                <w:sz w:val="21"/>
                <w:szCs w:val="21"/>
              </w:rPr>
            </w:pPr>
            <w:r>
              <w:rPr>
                <w:rFonts w:hint="eastAsia" w:ascii="宋体" w:hAnsi="宋体" w:eastAsia="宋体" w:cs="宋体"/>
                <w:sz w:val="21"/>
                <w:szCs w:val="21"/>
              </w:rPr>
              <w:t>2.多媒体教学</w:t>
            </w:r>
          </w:p>
          <w:p w14:paraId="08EF25A4">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3.课堂讨论</w:t>
            </w:r>
          </w:p>
          <w:p w14:paraId="5983C970">
            <w:pPr>
              <w:pStyle w:val="10"/>
              <w:widowControl/>
              <w:jc w:val="left"/>
              <w:rPr>
                <w:rFonts w:hint="eastAsia" w:ascii="宋体" w:hAnsi="宋体" w:eastAsia="宋体" w:cs="Times New Roman"/>
                <w:sz w:val="21"/>
                <w:szCs w:val="21"/>
              </w:rPr>
            </w:pPr>
            <w:r>
              <w:rPr>
                <w:rFonts w:hint="eastAsia" w:ascii="宋体" w:hAnsi="宋体" w:eastAsia="宋体" w:cs="宋体"/>
                <w:sz w:val="21"/>
                <w:szCs w:val="21"/>
              </w:rPr>
              <w:t>4.单元测验</w:t>
            </w:r>
          </w:p>
        </w:tc>
        <w:tc>
          <w:tcPr>
            <w:tcW w:w="508" w:type="dxa"/>
            <w:vAlign w:val="center"/>
          </w:tcPr>
          <w:p w14:paraId="2FD3A4C1">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2</w:t>
            </w:r>
          </w:p>
        </w:tc>
      </w:tr>
      <w:tr w14:paraId="3BA8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563D72EA">
            <w:pPr>
              <w:jc w:val="center"/>
              <w:rPr>
                <w:rFonts w:hint="eastAsia" w:ascii="宋体" w:hAnsi="宋体" w:eastAsia="宋体" w:cs="Times New Roman"/>
                <w:szCs w:val="21"/>
              </w:rPr>
            </w:pPr>
          </w:p>
        </w:tc>
        <w:tc>
          <w:tcPr>
            <w:tcW w:w="8391" w:type="dxa"/>
            <w:gridSpan w:val="5"/>
            <w:vAlign w:val="center"/>
          </w:tcPr>
          <w:p w14:paraId="0E6E61B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用马克思主义观点剖析人类历史发展规律，理解我国新时代社会转型及教育改革需求；明确基础教育要以人民为中心、发展教育要促进人的全面发展等基本治国理念。</w:t>
            </w:r>
          </w:p>
        </w:tc>
      </w:tr>
      <w:tr w14:paraId="28EA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414F8572">
            <w:pPr>
              <w:jc w:val="center"/>
              <w:rPr>
                <w:rFonts w:hint="eastAsia" w:ascii="宋体" w:hAnsi="宋体" w:eastAsia="宋体" w:cs="Times New Roman"/>
                <w:szCs w:val="21"/>
              </w:rPr>
            </w:pPr>
            <w:r>
              <w:rPr>
                <w:rFonts w:hint="eastAsia" w:ascii="宋体" w:hAnsi="宋体" w:eastAsia="宋体" w:cs="Times New Roman"/>
                <w:szCs w:val="21"/>
              </w:rPr>
              <w:t>2.美国基础教育改革热点</w:t>
            </w:r>
          </w:p>
        </w:tc>
        <w:tc>
          <w:tcPr>
            <w:tcW w:w="2758" w:type="dxa"/>
            <w:vAlign w:val="center"/>
          </w:tcPr>
          <w:p w14:paraId="22BF4EB7">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（1）美国基础教育改革的进程</w:t>
            </w:r>
            <w:r>
              <w:rPr>
                <w:rFonts w:ascii="宋体" w:hAnsi="宋体" w:eastAsia="宋体" w:cs="Times New Roman"/>
                <w:kern w:val="0"/>
                <w:szCs w:val="21"/>
                <w:lang w:bidi="ar"/>
              </w:rPr>
              <w:br w:type="textWrapping"/>
            </w:r>
            <w:r>
              <w:rPr>
                <w:rFonts w:ascii="宋体" w:hAnsi="宋体" w:eastAsia="宋体" w:cs="Times New Roman"/>
                <w:kern w:val="0"/>
                <w:szCs w:val="21"/>
                <w:lang w:bidi="ar"/>
              </w:rPr>
              <w:t>（2）美国基础教育改革的问题</w:t>
            </w:r>
            <w:r>
              <w:rPr>
                <w:rFonts w:ascii="宋体" w:hAnsi="宋体" w:eastAsia="宋体" w:cs="Times New Roman"/>
                <w:kern w:val="0"/>
                <w:szCs w:val="21"/>
                <w:lang w:bidi="ar"/>
              </w:rPr>
              <w:br w:type="textWrapping"/>
            </w:r>
            <w:r>
              <w:rPr>
                <w:rFonts w:ascii="宋体" w:hAnsi="宋体" w:eastAsia="宋体" w:cs="Times New Roman"/>
                <w:kern w:val="0"/>
                <w:szCs w:val="21"/>
                <w:lang w:bidi="ar"/>
              </w:rPr>
              <w:t>（3）美国基础教育改革的现实意义</w:t>
            </w:r>
          </w:p>
        </w:tc>
        <w:tc>
          <w:tcPr>
            <w:tcW w:w="1092" w:type="dxa"/>
            <w:vAlign w:val="center"/>
          </w:tcPr>
          <w:p w14:paraId="203B9654">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课程目标2、4</w:t>
            </w:r>
          </w:p>
        </w:tc>
        <w:tc>
          <w:tcPr>
            <w:tcW w:w="2285" w:type="dxa"/>
            <w:vAlign w:val="center"/>
          </w:tcPr>
          <w:p w14:paraId="2902D1CF">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（1）了解美国基础教育改革的概况</w:t>
            </w:r>
            <w:r>
              <w:rPr>
                <w:rFonts w:ascii="宋体" w:hAnsi="宋体" w:eastAsia="宋体" w:cs="Times New Roman"/>
                <w:kern w:val="0"/>
                <w:szCs w:val="21"/>
                <w:lang w:bidi="ar"/>
              </w:rPr>
              <w:br w:type="textWrapping"/>
            </w:r>
            <w:r>
              <w:rPr>
                <w:rFonts w:ascii="宋体" w:hAnsi="宋体" w:eastAsia="宋体" w:cs="Times New Roman"/>
                <w:kern w:val="0"/>
                <w:szCs w:val="21"/>
                <w:lang w:bidi="ar"/>
              </w:rPr>
              <w:t>（2）掌握美国基础教育的精神实质及对中国的启示</w:t>
            </w:r>
          </w:p>
        </w:tc>
        <w:tc>
          <w:tcPr>
            <w:tcW w:w="1748" w:type="dxa"/>
            <w:vAlign w:val="center"/>
          </w:tcPr>
          <w:p w14:paraId="6C37BC00">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1.线上学习</w:t>
            </w:r>
          </w:p>
          <w:p w14:paraId="313448FB">
            <w:pPr>
              <w:pStyle w:val="10"/>
              <w:widowControl/>
              <w:jc w:val="left"/>
              <w:rPr>
                <w:rFonts w:hint="eastAsia" w:ascii="宋体" w:hAnsi="宋体" w:eastAsia="宋体" w:cs="宋体"/>
                <w:sz w:val="21"/>
                <w:szCs w:val="21"/>
              </w:rPr>
            </w:pPr>
            <w:r>
              <w:rPr>
                <w:rFonts w:hint="eastAsia" w:ascii="宋体" w:hAnsi="宋体" w:eastAsia="宋体" w:cs="宋体"/>
                <w:sz w:val="21"/>
                <w:szCs w:val="21"/>
              </w:rPr>
              <w:t>2.多媒体教学</w:t>
            </w:r>
          </w:p>
          <w:p w14:paraId="3DE09E20">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3.课堂讨论</w:t>
            </w:r>
          </w:p>
          <w:p w14:paraId="6D1EFC67">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4.单元测验</w:t>
            </w:r>
          </w:p>
          <w:p w14:paraId="58C5DFE5">
            <w:pPr>
              <w:widowControl/>
              <w:jc w:val="center"/>
              <w:textAlignment w:val="center"/>
              <w:rPr>
                <w:rFonts w:hint="eastAsia" w:ascii="宋体" w:hAnsi="宋体" w:eastAsia="宋体" w:cs="Times New Roman"/>
                <w:szCs w:val="21"/>
              </w:rPr>
            </w:pPr>
          </w:p>
        </w:tc>
        <w:tc>
          <w:tcPr>
            <w:tcW w:w="508" w:type="dxa"/>
            <w:vAlign w:val="center"/>
          </w:tcPr>
          <w:p w14:paraId="3A2B445C">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4</w:t>
            </w:r>
          </w:p>
        </w:tc>
      </w:tr>
      <w:tr w14:paraId="3954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40A6DC93">
            <w:pPr>
              <w:jc w:val="center"/>
              <w:rPr>
                <w:rFonts w:hint="eastAsia" w:ascii="宋体" w:hAnsi="宋体" w:eastAsia="宋体" w:cs="Times New Roman"/>
                <w:szCs w:val="21"/>
              </w:rPr>
            </w:pPr>
          </w:p>
        </w:tc>
        <w:tc>
          <w:tcPr>
            <w:tcW w:w="8391" w:type="dxa"/>
            <w:gridSpan w:val="5"/>
            <w:vAlign w:val="center"/>
          </w:tcPr>
          <w:p w14:paraId="5C68BE2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用马克思辩证唯物主义的观点全面分析美国基础教育改革的历史背景，以客观开放的心态吸收借鉴国外先进教育改革经验；坚持中国特色社会主义文化自信。</w:t>
            </w:r>
          </w:p>
        </w:tc>
      </w:tr>
      <w:tr w14:paraId="0A56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059D5489">
            <w:pPr>
              <w:jc w:val="center"/>
              <w:rPr>
                <w:rFonts w:hint="eastAsia" w:ascii="宋体" w:hAnsi="宋体" w:eastAsia="宋体" w:cs="Times New Roman"/>
                <w:szCs w:val="21"/>
              </w:rPr>
            </w:pPr>
            <w:r>
              <w:rPr>
                <w:rFonts w:hint="eastAsia" w:ascii="宋体" w:hAnsi="宋体" w:eastAsia="宋体" w:cs="Times New Roman"/>
                <w:szCs w:val="21"/>
              </w:rPr>
              <w:t>3.英国基础教育改革热点</w:t>
            </w:r>
          </w:p>
        </w:tc>
        <w:tc>
          <w:tcPr>
            <w:tcW w:w="2758" w:type="dxa"/>
            <w:vAlign w:val="center"/>
          </w:tcPr>
          <w:p w14:paraId="7FC0B50D">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（1）英国基础教育改革的进程</w:t>
            </w:r>
            <w:r>
              <w:rPr>
                <w:rFonts w:ascii="宋体" w:hAnsi="宋体" w:eastAsia="宋体" w:cs="Times New Roman"/>
                <w:kern w:val="0"/>
                <w:szCs w:val="21"/>
                <w:lang w:bidi="ar"/>
              </w:rPr>
              <w:br w:type="textWrapping"/>
            </w:r>
            <w:r>
              <w:rPr>
                <w:rFonts w:ascii="宋体" w:hAnsi="宋体" w:eastAsia="宋体" w:cs="Times New Roman"/>
                <w:kern w:val="0"/>
                <w:szCs w:val="21"/>
                <w:lang w:bidi="ar"/>
              </w:rPr>
              <w:t>（2）英国基础教育改革的问题</w:t>
            </w:r>
            <w:r>
              <w:rPr>
                <w:rFonts w:ascii="宋体" w:hAnsi="宋体" w:eastAsia="宋体" w:cs="Times New Roman"/>
                <w:kern w:val="0"/>
                <w:szCs w:val="21"/>
                <w:lang w:bidi="ar"/>
              </w:rPr>
              <w:br w:type="textWrapping"/>
            </w:r>
            <w:r>
              <w:rPr>
                <w:rFonts w:ascii="宋体" w:hAnsi="宋体" w:eastAsia="宋体" w:cs="Times New Roman"/>
                <w:kern w:val="0"/>
                <w:szCs w:val="21"/>
                <w:lang w:bidi="ar"/>
              </w:rPr>
              <w:t>（3）英国基础教育改革的现实意义</w:t>
            </w:r>
          </w:p>
        </w:tc>
        <w:tc>
          <w:tcPr>
            <w:tcW w:w="1092" w:type="dxa"/>
            <w:vAlign w:val="center"/>
          </w:tcPr>
          <w:p w14:paraId="1EEEB726">
            <w:pPr>
              <w:widowControl/>
              <w:jc w:val="left"/>
              <w:textAlignment w:val="center"/>
              <w:rPr>
                <w:rFonts w:hint="eastAsia" w:ascii="宋体" w:hAnsi="宋体" w:eastAsia="宋体" w:cs="Times New Roman"/>
                <w:szCs w:val="21"/>
              </w:rPr>
            </w:pPr>
            <w:r>
              <w:rPr>
                <w:rFonts w:hint="eastAsia" w:ascii="宋体" w:hAnsi="宋体" w:eastAsia="宋体" w:cs="Times New Roman"/>
                <w:kern w:val="0"/>
                <w:szCs w:val="21"/>
                <w:lang w:bidi="ar"/>
              </w:rPr>
              <w:t>课程目标2、4</w:t>
            </w:r>
          </w:p>
        </w:tc>
        <w:tc>
          <w:tcPr>
            <w:tcW w:w="2285" w:type="dxa"/>
            <w:vAlign w:val="center"/>
          </w:tcPr>
          <w:p w14:paraId="46F4F75C">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（1）了解英国基础教育改革的概况</w:t>
            </w:r>
            <w:r>
              <w:rPr>
                <w:rFonts w:ascii="宋体" w:hAnsi="宋体" w:eastAsia="宋体" w:cs="Times New Roman"/>
                <w:kern w:val="0"/>
                <w:szCs w:val="21"/>
                <w:lang w:bidi="ar"/>
              </w:rPr>
              <w:br w:type="textWrapping"/>
            </w:r>
            <w:r>
              <w:rPr>
                <w:rFonts w:ascii="宋体" w:hAnsi="宋体" w:eastAsia="宋体" w:cs="Times New Roman"/>
                <w:kern w:val="0"/>
                <w:szCs w:val="21"/>
                <w:lang w:bidi="ar"/>
              </w:rPr>
              <w:t>（2）掌握英国基础教育的精神实质及对中国的启示</w:t>
            </w:r>
          </w:p>
        </w:tc>
        <w:tc>
          <w:tcPr>
            <w:tcW w:w="1748" w:type="dxa"/>
            <w:vAlign w:val="center"/>
          </w:tcPr>
          <w:p w14:paraId="3EC253FF">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1.线上学习</w:t>
            </w:r>
          </w:p>
          <w:p w14:paraId="401D33BB">
            <w:pPr>
              <w:pStyle w:val="10"/>
              <w:widowControl/>
              <w:jc w:val="left"/>
              <w:rPr>
                <w:rFonts w:hint="eastAsia" w:ascii="宋体" w:hAnsi="宋体" w:eastAsia="宋体" w:cs="宋体"/>
                <w:sz w:val="21"/>
                <w:szCs w:val="21"/>
              </w:rPr>
            </w:pPr>
            <w:r>
              <w:rPr>
                <w:rFonts w:hint="eastAsia" w:ascii="宋体" w:hAnsi="宋体" w:eastAsia="宋体" w:cs="宋体"/>
                <w:sz w:val="21"/>
                <w:szCs w:val="21"/>
              </w:rPr>
              <w:t>2.多媒体教学</w:t>
            </w:r>
          </w:p>
          <w:p w14:paraId="3B565B76">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3.课堂讨论</w:t>
            </w:r>
          </w:p>
          <w:p w14:paraId="7AFF7F20">
            <w:pPr>
              <w:widowControl/>
              <w:jc w:val="left"/>
              <w:textAlignment w:val="center"/>
              <w:rPr>
                <w:rFonts w:hint="eastAsia" w:ascii="宋体" w:hAnsi="宋体" w:eastAsia="宋体" w:cs="Times New Roman"/>
                <w:szCs w:val="21"/>
              </w:rPr>
            </w:pPr>
            <w:r>
              <w:rPr>
                <w:rFonts w:hint="eastAsia" w:ascii="宋体" w:hAnsi="宋体" w:eastAsia="宋体" w:cs="宋体"/>
                <w:szCs w:val="21"/>
              </w:rPr>
              <w:t>4.单元测验</w:t>
            </w:r>
          </w:p>
        </w:tc>
        <w:tc>
          <w:tcPr>
            <w:tcW w:w="508" w:type="dxa"/>
            <w:vAlign w:val="center"/>
          </w:tcPr>
          <w:p w14:paraId="36BCF6D8">
            <w:pPr>
              <w:widowControl/>
              <w:jc w:val="left"/>
              <w:textAlignment w:val="center"/>
              <w:rPr>
                <w:rFonts w:hint="eastAsia" w:ascii="宋体" w:hAnsi="宋体" w:eastAsia="宋体" w:cs="Times New Roman"/>
                <w:szCs w:val="21"/>
              </w:rPr>
            </w:pPr>
            <w:r>
              <w:rPr>
                <w:rFonts w:hint="eastAsia" w:ascii="宋体" w:hAnsi="宋体" w:eastAsia="宋体" w:cs="Times New Roman"/>
                <w:kern w:val="0"/>
                <w:szCs w:val="21"/>
                <w:lang w:bidi="ar"/>
              </w:rPr>
              <w:t>2</w:t>
            </w:r>
          </w:p>
        </w:tc>
      </w:tr>
      <w:tr w14:paraId="44FD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381E975F">
            <w:pPr>
              <w:jc w:val="center"/>
              <w:rPr>
                <w:rFonts w:hint="eastAsia" w:ascii="宋体" w:hAnsi="宋体" w:eastAsia="宋体" w:cs="Times New Roman"/>
                <w:szCs w:val="21"/>
              </w:rPr>
            </w:pPr>
          </w:p>
        </w:tc>
        <w:tc>
          <w:tcPr>
            <w:tcW w:w="8391" w:type="dxa"/>
            <w:gridSpan w:val="5"/>
            <w:vAlign w:val="center"/>
          </w:tcPr>
          <w:p w14:paraId="08A1DF3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用马克思辩证唯物主义的观点全面分析英国基础教育改革的历史背景，以客观开放的心态吸收借鉴国外先进教育改革经验；坚持中国特色社会主义文化自信。</w:t>
            </w:r>
          </w:p>
        </w:tc>
      </w:tr>
      <w:tr w14:paraId="07D76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41C064FF">
            <w:pPr>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kern w:val="0"/>
                <w:szCs w:val="21"/>
                <w:lang w:bidi="ar"/>
              </w:rPr>
              <w:t>日本基础教育改革热点</w:t>
            </w:r>
          </w:p>
        </w:tc>
        <w:tc>
          <w:tcPr>
            <w:tcW w:w="2758" w:type="dxa"/>
            <w:vAlign w:val="center"/>
          </w:tcPr>
          <w:p w14:paraId="0CEF714B">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（1）日本基础教育改革的进程</w:t>
            </w:r>
            <w:r>
              <w:rPr>
                <w:rFonts w:ascii="宋体" w:hAnsi="宋体" w:eastAsia="宋体" w:cs="Times New Roman"/>
                <w:kern w:val="0"/>
                <w:szCs w:val="21"/>
                <w:lang w:bidi="ar"/>
              </w:rPr>
              <w:br w:type="textWrapping"/>
            </w:r>
            <w:r>
              <w:rPr>
                <w:rFonts w:ascii="宋体" w:hAnsi="宋体" w:eastAsia="宋体" w:cs="Times New Roman"/>
                <w:kern w:val="0"/>
                <w:szCs w:val="21"/>
                <w:lang w:bidi="ar"/>
              </w:rPr>
              <w:t>（2）日本基础教育改革的问题</w:t>
            </w:r>
            <w:r>
              <w:rPr>
                <w:rFonts w:ascii="宋体" w:hAnsi="宋体" w:eastAsia="宋体" w:cs="Times New Roman"/>
                <w:kern w:val="0"/>
                <w:szCs w:val="21"/>
                <w:lang w:bidi="ar"/>
              </w:rPr>
              <w:br w:type="textWrapping"/>
            </w:r>
            <w:r>
              <w:rPr>
                <w:rFonts w:ascii="宋体" w:hAnsi="宋体" w:eastAsia="宋体" w:cs="Times New Roman"/>
                <w:kern w:val="0"/>
                <w:szCs w:val="21"/>
                <w:lang w:bidi="ar"/>
              </w:rPr>
              <w:t>（3）日本基础教育改革的现实意义</w:t>
            </w:r>
          </w:p>
        </w:tc>
        <w:tc>
          <w:tcPr>
            <w:tcW w:w="1092" w:type="dxa"/>
            <w:vAlign w:val="center"/>
          </w:tcPr>
          <w:p w14:paraId="58D9F7E0">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课程目标2、4</w:t>
            </w:r>
          </w:p>
        </w:tc>
        <w:tc>
          <w:tcPr>
            <w:tcW w:w="2285" w:type="dxa"/>
            <w:vAlign w:val="center"/>
          </w:tcPr>
          <w:p w14:paraId="3D073DF7">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（1）了解日本基础教育改革的概况</w:t>
            </w:r>
            <w:r>
              <w:rPr>
                <w:rFonts w:ascii="宋体" w:hAnsi="宋体" w:eastAsia="宋体" w:cs="Times New Roman"/>
                <w:kern w:val="0"/>
                <w:szCs w:val="21"/>
                <w:lang w:bidi="ar"/>
              </w:rPr>
              <w:br w:type="textWrapping"/>
            </w:r>
            <w:r>
              <w:rPr>
                <w:rFonts w:ascii="宋体" w:hAnsi="宋体" w:eastAsia="宋体" w:cs="Times New Roman"/>
                <w:kern w:val="0"/>
                <w:szCs w:val="21"/>
                <w:lang w:bidi="ar"/>
              </w:rPr>
              <w:t>（2）掌握日本基础教育的精神实质及对中国的启示</w:t>
            </w:r>
          </w:p>
        </w:tc>
        <w:tc>
          <w:tcPr>
            <w:tcW w:w="1748" w:type="dxa"/>
            <w:vAlign w:val="center"/>
          </w:tcPr>
          <w:p w14:paraId="59E114A8">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1.线上学习</w:t>
            </w:r>
          </w:p>
          <w:p w14:paraId="2AE24866">
            <w:pPr>
              <w:pStyle w:val="10"/>
              <w:widowControl/>
              <w:jc w:val="left"/>
              <w:rPr>
                <w:rFonts w:hint="eastAsia" w:ascii="宋体" w:hAnsi="宋体" w:eastAsia="宋体" w:cs="宋体"/>
                <w:sz w:val="21"/>
                <w:szCs w:val="21"/>
              </w:rPr>
            </w:pPr>
            <w:r>
              <w:rPr>
                <w:rFonts w:hint="eastAsia" w:ascii="宋体" w:hAnsi="宋体" w:eastAsia="宋体" w:cs="宋体"/>
                <w:sz w:val="21"/>
                <w:szCs w:val="21"/>
              </w:rPr>
              <w:t>2.多媒体教学</w:t>
            </w:r>
          </w:p>
          <w:p w14:paraId="460042F4">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3.课堂讨论</w:t>
            </w:r>
          </w:p>
          <w:p w14:paraId="13155293">
            <w:pPr>
              <w:widowControl/>
              <w:textAlignment w:val="center"/>
              <w:rPr>
                <w:rFonts w:hint="eastAsia" w:ascii="宋体" w:hAnsi="宋体" w:eastAsia="宋体" w:cs="Times New Roman"/>
                <w:szCs w:val="21"/>
              </w:rPr>
            </w:pPr>
            <w:r>
              <w:rPr>
                <w:rFonts w:hint="eastAsia" w:ascii="宋体" w:hAnsi="宋体" w:eastAsia="宋体" w:cs="宋体"/>
                <w:szCs w:val="21"/>
              </w:rPr>
              <w:t>4.单元测验</w:t>
            </w:r>
          </w:p>
        </w:tc>
        <w:tc>
          <w:tcPr>
            <w:tcW w:w="508" w:type="dxa"/>
            <w:vAlign w:val="center"/>
          </w:tcPr>
          <w:p w14:paraId="340D9344">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4</w:t>
            </w:r>
          </w:p>
        </w:tc>
      </w:tr>
      <w:tr w14:paraId="2D15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6D3A698A">
            <w:pPr>
              <w:jc w:val="center"/>
              <w:rPr>
                <w:rFonts w:hint="eastAsia" w:ascii="宋体" w:hAnsi="宋体" w:eastAsia="宋体" w:cs="Times New Roman"/>
                <w:szCs w:val="21"/>
              </w:rPr>
            </w:pPr>
          </w:p>
        </w:tc>
        <w:tc>
          <w:tcPr>
            <w:tcW w:w="8391" w:type="dxa"/>
            <w:gridSpan w:val="5"/>
            <w:vAlign w:val="center"/>
          </w:tcPr>
          <w:p w14:paraId="74EFC2EC">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用马克思辩证唯物主义的观点全面分析日本基础教育改革的历史背景，以客观开放的心态吸收借鉴国外先进教育改革经验；坚持中国特色社会主义文化自信。</w:t>
            </w:r>
          </w:p>
        </w:tc>
      </w:tr>
      <w:tr w14:paraId="5C2B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3A15636B">
            <w:pPr>
              <w:jc w:val="center"/>
              <w:rPr>
                <w:rFonts w:hint="eastAsia" w:ascii="宋体" w:hAnsi="宋体" w:eastAsia="宋体" w:cs="Times New Roman"/>
                <w:szCs w:val="21"/>
              </w:rPr>
            </w:pPr>
            <w:r>
              <w:rPr>
                <w:rFonts w:hint="eastAsia" w:ascii="宋体" w:hAnsi="宋体" w:eastAsia="宋体" w:cs="Times New Roman"/>
                <w:szCs w:val="21"/>
              </w:rPr>
              <w:t>5.中国基础教育课程改革</w:t>
            </w:r>
          </w:p>
        </w:tc>
        <w:tc>
          <w:tcPr>
            <w:tcW w:w="2758" w:type="dxa"/>
            <w:vAlign w:val="center"/>
          </w:tcPr>
          <w:p w14:paraId="6193CFBE">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（1）基础教育课程改革的国际潮流</w:t>
            </w:r>
            <w:r>
              <w:rPr>
                <w:rFonts w:ascii="宋体" w:hAnsi="宋体" w:eastAsia="宋体" w:cs="Times New Roman"/>
                <w:kern w:val="0"/>
                <w:szCs w:val="21"/>
                <w:lang w:bidi="ar"/>
              </w:rPr>
              <w:br w:type="textWrapping"/>
            </w:r>
            <w:r>
              <w:rPr>
                <w:rFonts w:ascii="宋体" w:hAnsi="宋体" w:eastAsia="宋体" w:cs="Times New Roman"/>
                <w:kern w:val="0"/>
                <w:szCs w:val="21"/>
                <w:lang w:bidi="ar"/>
              </w:rPr>
              <w:t>（2）我国基础教育课程改革的历史演进</w:t>
            </w:r>
            <w:r>
              <w:rPr>
                <w:rFonts w:ascii="宋体" w:hAnsi="宋体" w:eastAsia="宋体" w:cs="Times New Roman"/>
                <w:kern w:val="0"/>
                <w:szCs w:val="21"/>
                <w:lang w:bidi="ar"/>
              </w:rPr>
              <w:br w:type="textWrapping"/>
            </w:r>
            <w:r>
              <w:rPr>
                <w:rFonts w:ascii="宋体" w:hAnsi="宋体" w:eastAsia="宋体" w:cs="Times New Roman"/>
                <w:kern w:val="0"/>
                <w:szCs w:val="21"/>
                <w:lang w:bidi="ar"/>
              </w:rPr>
              <w:t>（3）我国基础教育课程改革的政策分析</w:t>
            </w:r>
          </w:p>
        </w:tc>
        <w:tc>
          <w:tcPr>
            <w:tcW w:w="1092" w:type="dxa"/>
            <w:vAlign w:val="center"/>
          </w:tcPr>
          <w:p w14:paraId="7E959DFC">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课程目标3、4</w:t>
            </w:r>
          </w:p>
        </w:tc>
        <w:tc>
          <w:tcPr>
            <w:tcW w:w="2285" w:type="dxa"/>
            <w:vAlign w:val="center"/>
          </w:tcPr>
          <w:p w14:paraId="4CDAD750">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（1）了解基础教育课程改革的国际潮流</w:t>
            </w:r>
            <w:r>
              <w:rPr>
                <w:rFonts w:ascii="宋体" w:hAnsi="宋体" w:eastAsia="宋体" w:cs="Times New Roman"/>
                <w:kern w:val="0"/>
                <w:szCs w:val="21"/>
                <w:lang w:bidi="ar"/>
              </w:rPr>
              <w:br w:type="textWrapping"/>
            </w:r>
            <w:r>
              <w:rPr>
                <w:rFonts w:ascii="宋体" w:hAnsi="宋体" w:eastAsia="宋体" w:cs="Times New Roman"/>
                <w:kern w:val="0"/>
                <w:szCs w:val="21"/>
                <w:lang w:bidi="ar"/>
              </w:rPr>
              <w:t>（2）理解我国基础教育课程改革的历史演进</w:t>
            </w:r>
            <w:r>
              <w:rPr>
                <w:rFonts w:ascii="宋体" w:hAnsi="宋体" w:eastAsia="宋体" w:cs="Times New Roman"/>
                <w:kern w:val="0"/>
                <w:szCs w:val="21"/>
                <w:lang w:bidi="ar"/>
              </w:rPr>
              <w:br w:type="textWrapping"/>
            </w:r>
            <w:r>
              <w:rPr>
                <w:rFonts w:ascii="宋体" w:hAnsi="宋体" w:eastAsia="宋体" w:cs="Times New Roman"/>
                <w:kern w:val="0"/>
                <w:szCs w:val="21"/>
                <w:lang w:bidi="ar"/>
              </w:rPr>
              <w:t>（3）掌握基础教育课程改革的政策及执行</w:t>
            </w:r>
          </w:p>
        </w:tc>
        <w:tc>
          <w:tcPr>
            <w:tcW w:w="1748" w:type="dxa"/>
            <w:vAlign w:val="center"/>
          </w:tcPr>
          <w:p w14:paraId="02830131">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1.线上学习</w:t>
            </w:r>
          </w:p>
          <w:p w14:paraId="76D16234">
            <w:pPr>
              <w:pStyle w:val="10"/>
              <w:widowControl/>
              <w:jc w:val="left"/>
              <w:rPr>
                <w:rFonts w:hint="eastAsia" w:ascii="宋体" w:hAnsi="宋体" w:eastAsia="宋体" w:cs="宋体"/>
                <w:sz w:val="21"/>
                <w:szCs w:val="21"/>
              </w:rPr>
            </w:pPr>
            <w:r>
              <w:rPr>
                <w:rFonts w:hint="eastAsia" w:ascii="宋体" w:hAnsi="宋体" w:eastAsia="宋体" w:cs="宋体"/>
                <w:sz w:val="21"/>
                <w:szCs w:val="21"/>
              </w:rPr>
              <w:t>2.多媒体教学</w:t>
            </w:r>
          </w:p>
          <w:p w14:paraId="59B167F1">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3.课堂讨论</w:t>
            </w:r>
          </w:p>
          <w:p w14:paraId="05ED6D7C">
            <w:pPr>
              <w:widowControl/>
              <w:textAlignment w:val="center"/>
              <w:rPr>
                <w:rFonts w:hint="eastAsia" w:ascii="宋体" w:hAnsi="宋体" w:eastAsia="宋体" w:cs="Times New Roman"/>
                <w:szCs w:val="21"/>
              </w:rPr>
            </w:pPr>
            <w:r>
              <w:rPr>
                <w:rFonts w:hint="eastAsia" w:ascii="宋体" w:hAnsi="宋体" w:eastAsia="宋体" w:cs="宋体"/>
                <w:szCs w:val="21"/>
              </w:rPr>
              <w:t>4.单元测验</w:t>
            </w:r>
          </w:p>
        </w:tc>
        <w:tc>
          <w:tcPr>
            <w:tcW w:w="508" w:type="dxa"/>
            <w:vAlign w:val="center"/>
          </w:tcPr>
          <w:p w14:paraId="008DD4DD">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4</w:t>
            </w:r>
          </w:p>
        </w:tc>
      </w:tr>
      <w:tr w14:paraId="4F2F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1938A591">
            <w:pPr>
              <w:jc w:val="center"/>
              <w:rPr>
                <w:rFonts w:hint="eastAsia" w:ascii="宋体" w:hAnsi="宋体" w:eastAsia="宋体" w:cs="Times New Roman"/>
                <w:szCs w:val="21"/>
              </w:rPr>
            </w:pPr>
          </w:p>
        </w:tc>
        <w:tc>
          <w:tcPr>
            <w:tcW w:w="8391" w:type="dxa"/>
            <w:gridSpan w:val="5"/>
            <w:vAlign w:val="center"/>
          </w:tcPr>
          <w:p w14:paraId="2D346C6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以历史唯物主义观点全面分析基础教育课程改革的国际动向，坚持把服务中华民族伟大复兴作为我国基础教育改革的重要历史使命；坚持基础教育的社会主义办学方向，培养全面发展的中国人。</w:t>
            </w:r>
          </w:p>
        </w:tc>
      </w:tr>
      <w:tr w14:paraId="252BC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restart"/>
            <w:vAlign w:val="center"/>
          </w:tcPr>
          <w:p w14:paraId="7DFB4424">
            <w:pPr>
              <w:jc w:val="center"/>
              <w:rPr>
                <w:rFonts w:hint="eastAsia" w:ascii="宋体" w:hAnsi="宋体" w:eastAsia="宋体" w:cs="Times New Roman"/>
                <w:szCs w:val="21"/>
              </w:rPr>
            </w:pPr>
            <w:r>
              <w:rPr>
                <w:rFonts w:hint="eastAsia" w:ascii="宋体" w:hAnsi="宋体" w:eastAsia="宋体" w:cs="Times New Roman"/>
                <w:szCs w:val="21"/>
              </w:rPr>
              <w:t>6.中国基础教育课堂教学改革</w:t>
            </w:r>
          </w:p>
        </w:tc>
        <w:tc>
          <w:tcPr>
            <w:tcW w:w="2758" w:type="dxa"/>
            <w:vAlign w:val="center"/>
          </w:tcPr>
          <w:p w14:paraId="2B720341">
            <w:pPr>
              <w:widowControl/>
              <w:jc w:val="center"/>
              <w:textAlignment w:val="center"/>
              <w:rPr>
                <w:rFonts w:hint="eastAsia" w:ascii="宋体" w:hAnsi="宋体" w:eastAsia="宋体" w:cs="Times New Roman"/>
                <w:szCs w:val="21"/>
              </w:rPr>
            </w:pPr>
            <w:r>
              <w:rPr>
                <w:rFonts w:ascii="宋体" w:hAnsi="宋体" w:eastAsia="宋体" w:cs="Times New Roman"/>
                <w:kern w:val="0"/>
                <w:szCs w:val="21"/>
                <w:lang w:bidi="ar"/>
              </w:rPr>
              <w:t>（1）基础教育课堂教学目标</w:t>
            </w:r>
            <w:r>
              <w:rPr>
                <w:rFonts w:ascii="宋体" w:hAnsi="宋体" w:eastAsia="宋体" w:cs="Times New Roman"/>
                <w:kern w:val="0"/>
                <w:szCs w:val="21"/>
                <w:lang w:bidi="ar"/>
              </w:rPr>
              <w:br w:type="textWrapping"/>
            </w:r>
            <w:r>
              <w:rPr>
                <w:rFonts w:ascii="宋体" w:hAnsi="宋体" w:eastAsia="宋体" w:cs="Times New Roman"/>
                <w:kern w:val="0"/>
                <w:szCs w:val="21"/>
                <w:lang w:bidi="ar"/>
              </w:rPr>
              <w:t>（2）基础教育课堂教学过程</w:t>
            </w:r>
            <w:r>
              <w:rPr>
                <w:rFonts w:ascii="宋体" w:hAnsi="宋体" w:eastAsia="宋体" w:cs="Times New Roman"/>
                <w:kern w:val="0"/>
                <w:szCs w:val="21"/>
                <w:lang w:bidi="ar"/>
              </w:rPr>
              <w:br w:type="textWrapping"/>
            </w:r>
            <w:r>
              <w:rPr>
                <w:rFonts w:ascii="宋体" w:hAnsi="宋体" w:eastAsia="宋体" w:cs="Times New Roman"/>
                <w:kern w:val="0"/>
                <w:szCs w:val="21"/>
                <w:lang w:bidi="ar"/>
              </w:rPr>
              <w:t>（3）基础教育课堂师生关系</w:t>
            </w:r>
          </w:p>
        </w:tc>
        <w:tc>
          <w:tcPr>
            <w:tcW w:w="1092" w:type="dxa"/>
            <w:vAlign w:val="center"/>
          </w:tcPr>
          <w:p w14:paraId="4FF396ED">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课程目标3、4</w:t>
            </w:r>
          </w:p>
        </w:tc>
        <w:tc>
          <w:tcPr>
            <w:tcW w:w="2285" w:type="dxa"/>
            <w:vAlign w:val="center"/>
          </w:tcPr>
          <w:p w14:paraId="4EF1D26C">
            <w:pPr>
              <w:widowControl/>
              <w:jc w:val="left"/>
              <w:textAlignment w:val="center"/>
              <w:rPr>
                <w:rFonts w:hint="eastAsia" w:ascii="宋体" w:hAnsi="宋体" w:eastAsia="宋体" w:cs="Times New Roman"/>
                <w:kern w:val="0"/>
                <w:szCs w:val="21"/>
                <w:lang w:bidi="ar"/>
              </w:rPr>
            </w:pPr>
            <w:r>
              <w:rPr>
                <w:rFonts w:ascii="宋体" w:hAnsi="宋体" w:eastAsia="宋体" w:cs="Times New Roman"/>
                <w:kern w:val="0"/>
                <w:szCs w:val="21"/>
                <w:lang w:bidi="ar"/>
              </w:rPr>
              <w:t>（1）理解基础教育课堂教学的目标的选择和过程，树立正确的师生观</w:t>
            </w:r>
          </w:p>
          <w:p w14:paraId="2E224849">
            <w:pPr>
              <w:widowControl/>
              <w:jc w:val="left"/>
              <w:textAlignment w:val="center"/>
              <w:rPr>
                <w:rFonts w:hint="eastAsia" w:ascii="宋体" w:hAnsi="宋体" w:eastAsia="宋体" w:cs="Times New Roman"/>
                <w:szCs w:val="21"/>
              </w:rPr>
            </w:pPr>
            <w:r>
              <w:rPr>
                <w:rFonts w:ascii="宋体" w:hAnsi="宋体" w:eastAsia="宋体" w:cs="Times New Roman"/>
                <w:kern w:val="0"/>
                <w:szCs w:val="21"/>
                <w:lang w:bidi="ar"/>
              </w:rPr>
              <w:t>（2）掌握教学过程的设计</w:t>
            </w:r>
          </w:p>
        </w:tc>
        <w:tc>
          <w:tcPr>
            <w:tcW w:w="1748" w:type="dxa"/>
            <w:vAlign w:val="center"/>
          </w:tcPr>
          <w:p w14:paraId="743BE432">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1.线上学习</w:t>
            </w:r>
          </w:p>
          <w:p w14:paraId="38AE3D89">
            <w:pPr>
              <w:pStyle w:val="10"/>
              <w:widowControl/>
              <w:jc w:val="left"/>
              <w:rPr>
                <w:rFonts w:hint="eastAsia" w:ascii="宋体" w:hAnsi="宋体" w:eastAsia="宋体" w:cs="宋体"/>
                <w:sz w:val="21"/>
                <w:szCs w:val="21"/>
              </w:rPr>
            </w:pPr>
            <w:r>
              <w:rPr>
                <w:rFonts w:hint="eastAsia" w:ascii="宋体" w:hAnsi="宋体" w:eastAsia="宋体" w:cs="宋体"/>
                <w:sz w:val="21"/>
                <w:szCs w:val="21"/>
              </w:rPr>
              <w:t>2.多媒体教学</w:t>
            </w:r>
          </w:p>
          <w:p w14:paraId="0F7B95DA">
            <w:pPr>
              <w:pStyle w:val="10"/>
              <w:widowControl/>
              <w:jc w:val="left"/>
              <w:rPr>
                <w:rFonts w:ascii="-webkit-standard" w:hAnsi="-webkit-standard" w:eastAsia="-webkit-standard" w:cs="-webkit-standard"/>
                <w:sz w:val="21"/>
                <w:szCs w:val="21"/>
              </w:rPr>
            </w:pPr>
            <w:r>
              <w:rPr>
                <w:rFonts w:hint="eastAsia" w:ascii="宋体" w:hAnsi="宋体" w:eastAsia="宋体" w:cs="宋体"/>
                <w:sz w:val="21"/>
                <w:szCs w:val="21"/>
              </w:rPr>
              <w:t>3.课堂讨论</w:t>
            </w:r>
          </w:p>
          <w:p w14:paraId="133080F3">
            <w:pPr>
              <w:widowControl/>
              <w:textAlignment w:val="center"/>
              <w:rPr>
                <w:rFonts w:hint="eastAsia" w:ascii="宋体" w:hAnsi="宋体" w:eastAsia="宋体" w:cs="Times New Roman"/>
                <w:szCs w:val="21"/>
              </w:rPr>
            </w:pPr>
            <w:r>
              <w:rPr>
                <w:rFonts w:hint="eastAsia" w:ascii="宋体" w:hAnsi="宋体" w:eastAsia="宋体" w:cs="宋体"/>
                <w:szCs w:val="21"/>
              </w:rPr>
              <w:t>4.单元测验</w:t>
            </w:r>
          </w:p>
        </w:tc>
        <w:tc>
          <w:tcPr>
            <w:tcW w:w="508" w:type="dxa"/>
            <w:vAlign w:val="center"/>
          </w:tcPr>
          <w:p w14:paraId="46CF98F5">
            <w:pPr>
              <w:widowControl/>
              <w:jc w:val="center"/>
              <w:textAlignment w:val="center"/>
              <w:rPr>
                <w:rFonts w:hint="eastAsia" w:ascii="宋体" w:hAnsi="宋体" w:eastAsia="宋体" w:cs="Times New Roman"/>
                <w:szCs w:val="21"/>
              </w:rPr>
            </w:pPr>
            <w:r>
              <w:rPr>
                <w:rFonts w:hint="eastAsia" w:ascii="宋体" w:hAnsi="宋体" w:eastAsia="宋体" w:cs="Times New Roman"/>
                <w:kern w:val="0"/>
                <w:szCs w:val="21"/>
                <w:lang w:bidi="ar"/>
              </w:rPr>
              <w:t>4</w:t>
            </w:r>
          </w:p>
        </w:tc>
      </w:tr>
      <w:tr w14:paraId="00B6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2" w:type="dxa"/>
            <w:vMerge w:val="continue"/>
            <w:vAlign w:val="center"/>
          </w:tcPr>
          <w:p w14:paraId="1CB36D69">
            <w:pPr>
              <w:jc w:val="center"/>
              <w:rPr>
                <w:rFonts w:hint="eastAsia" w:ascii="宋体" w:hAnsi="宋体" w:eastAsia="宋体" w:cs="Times New Roman"/>
                <w:szCs w:val="21"/>
              </w:rPr>
            </w:pPr>
          </w:p>
        </w:tc>
        <w:tc>
          <w:tcPr>
            <w:tcW w:w="8391" w:type="dxa"/>
            <w:gridSpan w:val="5"/>
            <w:vAlign w:val="center"/>
          </w:tcPr>
          <w:p w14:paraId="2A790B6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树立课堂是育人第一阵地的观念，始终坚持“上好每一堂课”的好老师的标准。</w:t>
            </w:r>
          </w:p>
        </w:tc>
      </w:tr>
    </w:tbl>
    <w:p w14:paraId="040802A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425B363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03B7DA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w:t>
      </w:r>
      <w:r>
        <w:rPr>
          <w:rFonts w:ascii="Times New Roman" w:hAnsi="Times New Roman" w:eastAsia="宋体" w:cs="Times New Roman"/>
          <w:szCs w:val="21"/>
        </w:rPr>
        <w:t>所示。</w:t>
      </w:r>
    </w:p>
    <w:tbl>
      <w:tblPr>
        <w:tblStyle w:val="12"/>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074"/>
        <w:gridCol w:w="2281"/>
        <w:gridCol w:w="1819"/>
        <w:gridCol w:w="1284"/>
      </w:tblGrid>
      <w:tr w14:paraId="3B0C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Merge w:val="restart"/>
            <w:vAlign w:val="center"/>
          </w:tcPr>
          <w:p w14:paraId="45506DEC">
            <w:pPr>
              <w:spacing w:line="360" w:lineRule="auto"/>
              <w:jc w:val="center"/>
              <w:rPr>
                <w:rFonts w:hint="eastAsia" w:ascii="宋体" w:hAnsi="宋体" w:eastAsia="宋体" w:cs="Times New Roman"/>
                <w:szCs w:val="21"/>
              </w:rPr>
            </w:pPr>
          </w:p>
          <w:p w14:paraId="3995D30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174" w:type="dxa"/>
            <w:gridSpan w:val="3"/>
            <w:vAlign w:val="center"/>
          </w:tcPr>
          <w:p w14:paraId="43CE44CE">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284" w:type="dxa"/>
            <w:vMerge w:val="restart"/>
            <w:vAlign w:val="center"/>
          </w:tcPr>
          <w:p w14:paraId="5B327DAF">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F02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Merge w:val="continue"/>
            <w:vAlign w:val="center"/>
          </w:tcPr>
          <w:p w14:paraId="692A7EE2">
            <w:pPr>
              <w:spacing w:line="360" w:lineRule="auto"/>
              <w:jc w:val="center"/>
              <w:rPr>
                <w:rFonts w:hint="eastAsia" w:ascii="宋体" w:hAnsi="宋体" w:eastAsia="宋体" w:cs="Times New Roman"/>
                <w:szCs w:val="21"/>
              </w:rPr>
            </w:pPr>
          </w:p>
        </w:tc>
        <w:tc>
          <w:tcPr>
            <w:tcW w:w="2074" w:type="dxa"/>
            <w:vAlign w:val="center"/>
          </w:tcPr>
          <w:p w14:paraId="1E52A102">
            <w:pPr>
              <w:spacing w:line="360" w:lineRule="auto"/>
              <w:jc w:val="center"/>
              <w:rPr>
                <w:rFonts w:hint="eastAsia" w:ascii="宋体" w:hAnsi="宋体" w:eastAsia="宋体" w:cs="Times New Roman"/>
                <w:szCs w:val="21"/>
              </w:rPr>
            </w:pPr>
            <w:r>
              <w:rPr>
                <w:rFonts w:hint="eastAsia" w:ascii="宋体" w:hAnsi="宋体" w:eastAsia="宋体" w:cs="Times New Roman"/>
                <w:szCs w:val="21"/>
              </w:rPr>
              <w:t>出勤与课堂表现</w:t>
            </w:r>
          </w:p>
        </w:tc>
        <w:tc>
          <w:tcPr>
            <w:tcW w:w="2281" w:type="dxa"/>
            <w:vAlign w:val="center"/>
          </w:tcPr>
          <w:p w14:paraId="62F79BB2">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819" w:type="dxa"/>
            <w:vAlign w:val="center"/>
          </w:tcPr>
          <w:p w14:paraId="501CF0ED">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284" w:type="dxa"/>
            <w:vMerge w:val="continue"/>
            <w:vAlign w:val="center"/>
          </w:tcPr>
          <w:p w14:paraId="01539835">
            <w:pPr>
              <w:spacing w:line="360" w:lineRule="auto"/>
              <w:jc w:val="center"/>
              <w:rPr>
                <w:rFonts w:hint="eastAsia" w:ascii="宋体" w:hAnsi="宋体" w:eastAsia="宋体" w:cs="Times New Roman"/>
                <w:szCs w:val="21"/>
              </w:rPr>
            </w:pPr>
          </w:p>
        </w:tc>
      </w:tr>
      <w:tr w14:paraId="4EBCF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29F7D95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074" w:type="dxa"/>
            <w:vAlign w:val="center"/>
          </w:tcPr>
          <w:p w14:paraId="2459789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81" w:type="dxa"/>
            <w:vAlign w:val="center"/>
          </w:tcPr>
          <w:p w14:paraId="1774AD4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19" w:type="dxa"/>
            <w:vAlign w:val="center"/>
          </w:tcPr>
          <w:p w14:paraId="72281D8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84" w:type="dxa"/>
            <w:vAlign w:val="center"/>
          </w:tcPr>
          <w:p w14:paraId="0801F913">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7A4F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4304C24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074" w:type="dxa"/>
            <w:vAlign w:val="center"/>
          </w:tcPr>
          <w:p w14:paraId="289D27C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81" w:type="dxa"/>
            <w:vAlign w:val="center"/>
          </w:tcPr>
          <w:p w14:paraId="300BFA4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19" w:type="dxa"/>
            <w:vAlign w:val="center"/>
          </w:tcPr>
          <w:p w14:paraId="568D285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84" w:type="dxa"/>
            <w:vAlign w:val="center"/>
          </w:tcPr>
          <w:p w14:paraId="00528F4B">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7FE7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67782F8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074" w:type="dxa"/>
            <w:vAlign w:val="center"/>
          </w:tcPr>
          <w:p w14:paraId="08C3B8F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81" w:type="dxa"/>
            <w:vAlign w:val="center"/>
          </w:tcPr>
          <w:p w14:paraId="579C9A2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19" w:type="dxa"/>
            <w:vAlign w:val="center"/>
          </w:tcPr>
          <w:p w14:paraId="2DD3892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84" w:type="dxa"/>
            <w:vAlign w:val="center"/>
          </w:tcPr>
          <w:p w14:paraId="2740E6EC">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52D6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76A80BB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2074" w:type="dxa"/>
            <w:vAlign w:val="center"/>
          </w:tcPr>
          <w:p w14:paraId="27D5A8D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281" w:type="dxa"/>
            <w:vAlign w:val="center"/>
          </w:tcPr>
          <w:p w14:paraId="4ABC3A9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19" w:type="dxa"/>
            <w:vAlign w:val="center"/>
          </w:tcPr>
          <w:p w14:paraId="321FB86D">
            <w:pPr>
              <w:spacing w:line="360" w:lineRule="auto"/>
              <w:jc w:val="center"/>
              <w:rPr>
                <w:rFonts w:hint="eastAsia" w:ascii="宋体" w:hAnsi="宋体" w:eastAsia="宋体" w:cs="Times New Roman"/>
                <w:szCs w:val="21"/>
              </w:rPr>
            </w:pPr>
          </w:p>
        </w:tc>
        <w:tc>
          <w:tcPr>
            <w:tcW w:w="1284" w:type="dxa"/>
            <w:vAlign w:val="center"/>
          </w:tcPr>
          <w:p w14:paraId="05F2E8B8">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3556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5" w:type="dxa"/>
            <w:vAlign w:val="center"/>
          </w:tcPr>
          <w:p w14:paraId="0DED7CA5">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2074" w:type="dxa"/>
            <w:vAlign w:val="center"/>
          </w:tcPr>
          <w:p w14:paraId="6AD36DA7">
            <w:pPr>
              <w:spacing w:line="360" w:lineRule="auto"/>
              <w:jc w:val="center"/>
              <w:rPr>
                <w:rFonts w:hint="eastAsia" w:ascii="宋体" w:hAnsi="宋体" w:eastAsia="宋体" w:cs="Times New Roman"/>
                <w:szCs w:val="21"/>
              </w:rPr>
            </w:pPr>
          </w:p>
        </w:tc>
        <w:tc>
          <w:tcPr>
            <w:tcW w:w="2281" w:type="dxa"/>
            <w:vAlign w:val="center"/>
          </w:tcPr>
          <w:p w14:paraId="4C2283D9">
            <w:pPr>
              <w:spacing w:line="360" w:lineRule="auto"/>
              <w:jc w:val="center"/>
              <w:rPr>
                <w:rFonts w:hint="eastAsia" w:ascii="宋体" w:hAnsi="宋体" w:eastAsia="宋体" w:cs="Times New Roman"/>
                <w:szCs w:val="21"/>
              </w:rPr>
            </w:pPr>
          </w:p>
        </w:tc>
        <w:tc>
          <w:tcPr>
            <w:tcW w:w="1819" w:type="dxa"/>
            <w:vAlign w:val="center"/>
          </w:tcPr>
          <w:p w14:paraId="6328F020">
            <w:pPr>
              <w:spacing w:line="360" w:lineRule="auto"/>
              <w:jc w:val="center"/>
              <w:rPr>
                <w:rFonts w:hint="eastAsia" w:ascii="宋体" w:hAnsi="宋体" w:eastAsia="宋体" w:cs="Times New Roman"/>
                <w:szCs w:val="21"/>
              </w:rPr>
            </w:pPr>
          </w:p>
        </w:tc>
        <w:tc>
          <w:tcPr>
            <w:tcW w:w="1284" w:type="dxa"/>
            <w:vAlign w:val="center"/>
          </w:tcPr>
          <w:p w14:paraId="3490E2BA">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E9D38F4">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09ED2D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6754"/>
        <w:gridCol w:w="706"/>
      </w:tblGrid>
      <w:tr w14:paraId="0C0A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center"/>
          </w:tcPr>
          <w:p w14:paraId="780A5E2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754" w:type="dxa"/>
            <w:vAlign w:val="center"/>
          </w:tcPr>
          <w:p w14:paraId="40CB3A9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F946C4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F3F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center"/>
          </w:tcPr>
          <w:p w14:paraId="171DB860">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6754" w:type="dxa"/>
            <w:vAlign w:val="center"/>
          </w:tcPr>
          <w:p w14:paraId="6A36E82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平时作业：课后完成3次作业，主要考核学生对基本理论的理解和掌握程度，计算全部作业的平均成绩。</w:t>
            </w:r>
          </w:p>
        </w:tc>
        <w:tc>
          <w:tcPr>
            <w:tcW w:w="0" w:type="auto"/>
            <w:vAlign w:val="center"/>
          </w:tcPr>
          <w:p w14:paraId="57742F1A">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44EA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center"/>
          </w:tcPr>
          <w:p w14:paraId="6DE63287">
            <w:pPr>
              <w:rPr>
                <w:rFonts w:ascii="Times New Roman" w:hAnsi="Times New Roman" w:eastAsia="宋体" w:cs="Times New Roman"/>
                <w:szCs w:val="21"/>
              </w:rPr>
            </w:pPr>
            <w:r>
              <w:rPr>
                <w:rFonts w:hint="eastAsia" w:ascii="Times New Roman" w:hAnsi="Times New Roman" w:eastAsia="宋体" w:cs="Times New Roman"/>
                <w:szCs w:val="21"/>
              </w:rPr>
              <w:t>出勤与课堂表现</w:t>
            </w:r>
          </w:p>
        </w:tc>
        <w:tc>
          <w:tcPr>
            <w:tcW w:w="6754" w:type="dxa"/>
            <w:vAlign w:val="center"/>
          </w:tcPr>
          <w:p w14:paraId="332D488D">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B450517">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51E12237">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0638C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vAlign w:val="center"/>
          </w:tcPr>
          <w:p w14:paraId="70E3D98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754" w:type="dxa"/>
            <w:vAlign w:val="center"/>
          </w:tcPr>
          <w:p w14:paraId="701DAEF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开卷题型包括论述题和案例分析题。</w:t>
            </w:r>
          </w:p>
        </w:tc>
        <w:tc>
          <w:tcPr>
            <w:tcW w:w="0" w:type="auto"/>
            <w:vAlign w:val="center"/>
          </w:tcPr>
          <w:p w14:paraId="3DCD40B9">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D4C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062" w:type="dxa"/>
            <w:vAlign w:val="center"/>
          </w:tcPr>
          <w:p w14:paraId="4B059C0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754" w:type="dxa"/>
            <w:vAlign w:val="center"/>
          </w:tcPr>
          <w:p w14:paraId="31407CC2">
            <w:pPr>
              <w:jc w:val="left"/>
              <w:rPr>
                <w:rFonts w:ascii="Times New Roman" w:hAnsi="Times New Roman" w:eastAsia="宋体" w:cs="Times New Roman"/>
                <w:szCs w:val="21"/>
              </w:rPr>
            </w:pPr>
          </w:p>
        </w:tc>
        <w:tc>
          <w:tcPr>
            <w:tcW w:w="0" w:type="auto"/>
            <w:vAlign w:val="center"/>
          </w:tcPr>
          <w:p w14:paraId="11FEF6BF">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201A1C6">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（三）</w:t>
      </w:r>
      <w:r>
        <w:rPr>
          <w:rFonts w:ascii="宋体" w:hAnsi="宋体" w:eastAsia="宋体" w:cs="Times New Roman"/>
          <w:b/>
          <w:bCs/>
          <w:szCs w:val="21"/>
        </w:rPr>
        <w:t>课程目标达成度计算方法</w:t>
      </w:r>
    </w:p>
    <w:p w14:paraId="13A7C8ED">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所有课程目标均</w:t>
      </w:r>
      <w:r>
        <w:rPr>
          <w:rFonts w:hint="eastAsia" w:ascii="宋体" w:hAnsi="宋体" w:eastAsia="宋体" w:cs="Times New Roman"/>
          <w:szCs w:val="21"/>
        </w:rPr>
        <w:t>需</w:t>
      </w:r>
      <w:r>
        <w:rPr>
          <w:rFonts w:ascii="宋体" w:hAnsi="宋体" w:eastAsia="宋体" w:cs="Times New Roman"/>
          <w:szCs w:val="21"/>
        </w:rPr>
        <w:t>大于等于0.6，否则总评成绩不及格，需要补考或重</w:t>
      </w:r>
      <w:r>
        <w:rPr>
          <w:rFonts w:hint="eastAsia" w:ascii="宋体" w:hAnsi="宋体" w:eastAsia="宋体" w:cs="Times New Roman"/>
          <w:szCs w:val="21"/>
        </w:rPr>
        <w:t>修。</w:t>
      </w:r>
      <w:r>
        <w:rPr>
          <w:rFonts w:ascii="宋体" w:hAnsi="宋体" w:eastAsia="宋体" w:cs="Times New Roman"/>
          <w:szCs w:val="21"/>
        </w:rPr>
        <w:t>每</w:t>
      </w:r>
      <w:r>
        <w:rPr>
          <w:rFonts w:hint="eastAsia" w:ascii="宋体" w:hAnsi="宋体" w:eastAsia="宋体" w:cs="Times New Roman"/>
          <w:szCs w:val="21"/>
        </w:rPr>
        <w:t>门</w:t>
      </w:r>
      <w:r>
        <w:rPr>
          <w:rFonts w:ascii="宋体" w:hAnsi="宋体" w:eastAsia="宋体" w:cs="Times New Roman"/>
          <w:szCs w:val="21"/>
        </w:rPr>
        <w:t>课程目标</w:t>
      </w:r>
      <w:r>
        <w:rPr>
          <w:rFonts w:hint="eastAsia" w:ascii="宋体" w:hAnsi="宋体" w:eastAsia="宋体" w:cs="Times New Roman"/>
          <w:szCs w:val="21"/>
        </w:rPr>
        <w:t>总体</w:t>
      </w:r>
      <w:r>
        <w:rPr>
          <w:rFonts w:ascii="宋体" w:hAnsi="宋体" w:eastAsia="宋体" w:cs="Times New Roman"/>
          <w:szCs w:val="21"/>
        </w:rPr>
        <w:t>达成度计算方法如下：</w:t>
      </w:r>
    </w:p>
    <w:p w14:paraId="26D3F515">
      <w:pPr>
        <w:spacing w:after="160" w:line="360" w:lineRule="auto"/>
        <w:rPr>
          <w:rFonts w:hint="eastAsia" w:ascii="宋体" w:hAnsi="宋体" w:eastAsia="宋体" w:cs="Times New Roman"/>
          <w:sz w:val="24"/>
        </w:rPr>
      </w:pPr>
      <w:r>
        <w:rPr>
          <w:rFonts w:ascii="宋体" w:hAnsi="宋体" w:eastAsia="宋体" w:cs="Times New Roman"/>
          <w:sz w:val="24"/>
        </w:rPr>
        <w:drawing>
          <wp:inline distT="0" distB="0" distL="0" distR="0">
            <wp:extent cx="5274310" cy="337185"/>
            <wp:effectExtent l="0" t="0" r="254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4310" cy="337185"/>
                    </a:xfrm>
                    <a:prstGeom prst="rect">
                      <a:avLst/>
                    </a:prstGeom>
                    <a:noFill/>
                    <a:ln>
                      <a:noFill/>
                    </a:ln>
                  </pic:spPr>
                </pic:pic>
              </a:graphicData>
            </a:graphic>
          </wp:inline>
        </w:drawing>
      </w:r>
    </w:p>
    <w:p w14:paraId="2C6DEDF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五、有关说明</w:t>
      </w:r>
    </w:p>
    <w:p w14:paraId="104ECD36">
      <w:pPr>
        <w:adjustRightInd w:val="0"/>
        <w:snapToGrid w:val="0"/>
        <w:spacing w:line="360" w:lineRule="auto"/>
        <w:ind w:firstLine="422" w:firstLineChars="200"/>
        <w:rPr>
          <w:rFonts w:hint="eastAsia" w:ascii="宋体" w:hAnsi="宋体" w:eastAsia="宋体" w:cs="Times New Roman"/>
          <w:b/>
          <w:szCs w:val="21"/>
        </w:rPr>
      </w:pPr>
      <w:bookmarkStart w:id="749" w:name="_Toc27847328"/>
      <w:r>
        <w:rPr>
          <w:rFonts w:hint="eastAsia" w:ascii="宋体" w:hAnsi="宋体" w:eastAsia="宋体" w:cs="Times New Roman"/>
          <w:b/>
          <w:szCs w:val="21"/>
        </w:rPr>
        <w:t>（一）持续改进</w:t>
      </w:r>
      <w:bookmarkEnd w:id="749"/>
    </w:p>
    <w:p w14:paraId="3A235819">
      <w:pPr>
        <w:adjustRightInd w:val="0"/>
        <w:snapToGrid w:val="0"/>
        <w:spacing w:line="312"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 提倡改革教学方法，强调应用现代化教学手段，如课件、互联网教学和网络答疑。</w:t>
      </w:r>
    </w:p>
    <w:p w14:paraId="78F79BDC">
      <w:pPr>
        <w:adjustRightInd w:val="0"/>
        <w:snapToGrid w:val="0"/>
        <w:spacing w:line="312"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 xml:space="preserve"> </w:t>
      </w:r>
      <w:r>
        <w:rPr>
          <w:rFonts w:ascii="Times New Roman" w:hAnsi="Times New Roman" w:eastAsia="宋体" w:cs="Times New Roman"/>
          <w:szCs w:val="21"/>
        </w:rPr>
        <w:t>合理安排教学课时，加强课堂提问、小组讨论</w:t>
      </w:r>
      <w:r>
        <w:rPr>
          <w:rFonts w:hint="eastAsia" w:ascii="Times New Roman" w:hAnsi="Times New Roman" w:eastAsia="宋体" w:cs="Times New Roman"/>
          <w:szCs w:val="21"/>
        </w:rPr>
        <w:t>、</w:t>
      </w:r>
      <w:r>
        <w:rPr>
          <w:rFonts w:ascii="Times New Roman" w:hAnsi="Times New Roman" w:eastAsia="宋体" w:cs="Times New Roman"/>
          <w:szCs w:val="21"/>
        </w:rPr>
        <w:t>社会调查环节</w:t>
      </w:r>
      <w:r>
        <w:rPr>
          <w:rFonts w:hint="eastAsia" w:ascii="Times New Roman" w:hAnsi="Times New Roman" w:eastAsia="宋体" w:cs="Times New Roman"/>
          <w:szCs w:val="21"/>
        </w:rPr>
        <w:t>，</w:t>
      </w:r>
      <w:r>
        <w:rPr>
          <w:rFonts w:ascii="Times New Roman" w:hAnsi="Times New Roman" w:eastAsia="宋体" w:cs="Times New Roman"/>
          <w:szCs w:val="21"/>
        </w:rPr>
        <w:t>旨在</w:t>
      </w:r>
      <w:r>
        <w:rPr>
          <w:rFonts w:hint="eastAsia" w:ascii="Times New Roman" w:hAnsi="Times New Roman" w:eastAsia="宋体" w:cs="Times New Roman"/>
          <w:szCs w:val="21"/>
        </w:rPr>
        <w:t>促进</w:t>
      </w:r>
      <w:r>
        <w:rPr>
          <w:rFonts w:ascii="Times New Roman" w:hAnsi="Times New Roman" w:eastAsia="宋体" w:cs="Times New Roman"/>
          <w:szCs w:val="21"/>
        </w:rPr>
        <w:t>学生</w:t>
      </w:r>
      <w:r>
        <w:rPr>
          <w:rFonts w:hint="eastAsia" w:ascii="Times New Roman" w:hAnsi="Times New Roman" w:eastAsia="宋体" w:cs="Times New Roman"/>
          <w:szCs w:val="21"/>
        </w:rPr>
        <w:t>反思基础教育改革热点问题，培养批判性思维能力。</w:t>
      </w:r>
    </w:p>
    <w:p w14:paraId="4E232C86">
      <w:pPr>
        <w:adjustRightInd w:val="0"/>
        <w:snapToGrid w:val="0"/>
        <w:spacing w:line="312" w:lineRule="auto"/>
        <w:ind w:firstLine="420" w:firstLineChars="200"/>
        <w:rPr>
          <w:rFonts w:hint="eastAsia" w:ascii="宋体" w:hAnsi="宋体" w:eastAsia="宋体" w:cs="Times New Roman"/>
          <w:szCs w:val="21"/>
        </w:rPr>
      </w:pPr>
      <w:r>
        <w:rPr>
          <w:rFonts w:ascii="Times New Roman" w:hAnsi="Times New Roman" w:eastAsia="宋体" w:cs="Times New Roman"/>
          <w:szCs w:val="21"/>
        </w:rPr>
        <w:t>3．教学内容密切联系</w:t>
      </w:r>
      <w:r>
        <w:rPr>
          <w:rFonts w:hint="eastAsia" w:ascii="Times New Roman" w:hAnsi="Times New Roman" w:eastAsia="宋体" w:cs="Times New Roman"/>
          <w:szCs w:val="21"/>
        </w:rPr>
        <w:t>当前</w:t>
      </w:r>
      <w:r>
        <w:rPr>
          <w:rFonts w:ascii="Times New Roman" w:hAnsi="Times New Roman" w:eastAsia="宋体" w:cs="Times New Roman"/>
          <w:szCs w:val="21"/>
        </w:rPr>
        <w:t>的社会热点。</w:t>
      </w:r>
    </w:p>
    <w:p w14:paraId="366FF635">
      <w:pPr>
        <w:adjustRightInd w:val="0"/>
        <w:snapToGrid w:val="0"/>
        <w:spacing w:line="312" w:lineRule="auto"/>
        <w:ind w:firstLine="422" w:firstLineChars="200"/>
        <w:rPr>
          <w:rFonts w:hint="eastAsia" w:ascii="宋体" w:hAnsi="宋体" w:eastAsia="宋体" w:cs="Times New Roman"/>
          <w:b/>
          <w:szCs w:val="21"/>
        </w:rPr>
      </w:pPr>
      <w:bookmarkStart w:id="750" w:name="_Toc27847329"/>
      <w:r>
        <w:rPr>
          <w:rFonts w:hint="eastAsia" w:ascii="宋体" w:hAnsi="宋体" w:eastAsia="宋体" w:cs="Times New Roman"/>
          <w:b/>
          <w:szCs w:val="21"/>
        </w:rPr>
        <w:t>（二）建议教材</w:t>
      </w:r>
      <w:bookmarkEnd w:id="750"/>
    </w:p>
    <w:p w14:paraId="00452DD1">
      <w:pPr>
        <w:adjustRightInd w:val="0"/>
        <w:snapToGrid w:val="0"/>
        <w:spacing w:line="312"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张荣伟. 我们需要怎样的教育——中国基础教育改革概论.</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北京： 教育科学出版社</w:t>
      </w:r>
      <w:r>
        <w:rPr>
          <w:rFonts w:hint="eastAsia" w:ascii="宋体" w:hAnsi="宋体" w:eastAsia="宋体" w:cs="Times New Roman"/>
          <w:szCs w:val="21"/>
        </w:rPr>
        <w:t>.</w:t>
      </w:r>
      <w:r>
        <w:rPr>
          <w:rFonts w:ascii="Times New Roman" w:hAnsi="Times New Roman" w:eastAsia="宋体" w:cs="Times New Roman"/>
          <w:kern w:val="0"/>
          <w:szCs w:val="21"/>
        </w:rPr>
        <w:t>20</w:t>
      </w:r>
      <w:r>
        <w:rPr>
          <w:rFonts w:hint="eastAsia" w:ascii="Times New Roman" w:hAnsi="Times New Roman" w:eastAsia="宋体" w:cs="Times New Roman"/>
          <w:kern w:val="0"/>
          <w:szCs w:val="21"/>
        </w:rPr>
        <w:t>18.</w:t>
      </w:r>
    </w:p>
    <w:p w14:paraId="78FB673D">
      <w:pPr>
        <w:adjustRightInd w:val="0"/>
        <w:snapToGrid w:val="0"/>
        <w:spacing w:line="312"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（三）参考书目</w:t>
      </w:r>
    </w:p>
    <w:p w14:paraId="5FB497D4">
      <w:pPr>
        <w:adjustRightInd w:val="0"/>
        <w:snapToGrid w:val="0"/>
        <w:spacing w:line="312" w:lineRule="auto"/>
        <w:ind w:firstLine="420" w:firstLineChars="200"/>
        <w:rPr>
          <w:rFonts w:hint="eastAsia" w:ascii="宋体" w:hAnsi="宋体" w:eastAsia="宋体" w:cs="宋体"/>
          <w:szCs w:val="21"/>
        </w:rPr>
      </w:pPr>
      <w:r>
        <w:rPr>
          <w:rFonts w:hint="eastAsia" w:ascii="宋体" w:hAnsi="宋体" w:eastAsia="宋体" w:cs="宋体"/>
          <w:szCs w:val="21"/>
        </w:rPr>
        <w:t>1.</w:t>
      </w:r>
      <w:r>
        <w:fldChar w:fldCharType="begin"/>
      </w:r>
      <w:r>
        <w:instrText xml:space="preserve"> HYPERLINK "https://book.jd.com/writer/%E5%AE%8B%E4%B9%83%E5%BA%86_1.html" \t "_blank" </w:instrText>
      </w:r>
      <w:r>
        <w:fldChar w:fldCharType="separate"/>
      </w:r>
      <w:bookmarkStart w:id="751" w:name="_Toc27847331"/>
      <w:r>
        <w:rPr>
          <w:rFonts w:hint="eastAsia" w:ascii="宋体" w:hAnsi="宋体" w:eastAsia="宋体" w:cs="宋体"/>
          <w:szCs w:val="21"/>
        </w:rPr>
        <w:t>宋乃庆</w:t>
      </w:r>
      <w:r>
        <w:rPr>
          <w:rFonts w:hint="eastAsia" w:ascii="宋体" w:hAnsi="宋体" w:eastAsia="宋体" w:cs="宋体"/>
          <w:szCs w:val="21"/>
        </w:rPr>
        <w:fldChar w:fldCharType="end"/>
      </w:r>
      <w:r>
        <w:rPr>
          <w:rFonts w:hint="eastAsia" w:ascii="宋体" w:hAnsi="宋体" w:eastAsia="宋体" w:cs="宋体"/>
          <w:szCs w:val="21"/>
        </w:rPr>
        <w:t>，</w:t>
      </w:r>
      <w:r>
        <w:fldChar w:fldCharType="begin"/>
      </w:r>
      <w:r>
        <w:instrText xml:space="preserve"> HYPERLINK "https://book.jd.com/writer/%E6%9D%8E%E6%A3%AE_1.html" \t "_blank" </w:instrText>
      </w:r>
      <w:r>
        <w:fldChar w:fldCharType="separate"/>
      </w:r>
      <w:r>
        <w:rPr>
          <w:rFonts w:hint="eastAsia" w:ascii="宋体" w:hAnsi="宋体" w:eastAsia="宋体" w:cs="宋体"/>
          <w:szCs w:val="21"/>
        </w:rPr>
        <w:t>李森</w:t>
      </w:r>
      <w:r>
        <w:rPr>
          <w:rFonts w:hint="eastAsia" w:ascii="宋体" w:hAnsi="宋体" w:eastAsia="宋体" w:cs="宋体"/>
          <w:szCs w:val="21"/>
        </w:rPr>
        <w:fldChar w:fldCharType="end"/>
      </w:r>
      <w:r>
        <w:rPr>
          <w:rFonts w:hint="eastAsia" w:ascii="宋体" w:hAnsi="宋体" w:eastAsia="宋体" w:cs="宋体"/>
          <w:szCs w:val="21"/>
        </w:rPr>
        <w:t>，</w:t>
      </w:r>
      <w:r>
        <w:fldChar w:fldCharType="begin"/>
      </w:r>
      <w:r>
        <w:instrText xml:space="preserve"> HYPERLINK "https://book.jd.com/writer/%E6%9C%B1%E5%BE%B7%E5%85%A8_1.html" \t "_blank" </w:instrText>
      </w:r>
      <w:r>
        <w:fldChar w:fldCharType="separate"/>
      </w:r>
      <w:r>
        <w:rPr>
          <w:rFonts w:hint="eastAsia" w:ascii="宋体" w:hAnsi="宋体" w:eastAsia="宋体" w:cs="宋体"/>
          <w:szCs w:val="21"/>
        </w:rPr>
        <w:t>朱德全</w:t>
      </w:r>
      <w:r>
        <w:rPr>
          <w:rFonts w:hint="eastAsia" w:ascii="宋体" w:hAnsi="宋体" w:eastAsia="宋体" w:cs="宋体"/>
          <w:szCs w:val="21"/>
        </w:rPr>
        <w:fldChar w:fldCharType="end"/>
      </w:r>
      <w:r>
        <w:rPr>
          <w:rFonts w:hint="eastAsia" w:ascii="宋体" w:hAnsi="宋体" w:eastAsia="宋体" w:cs="宋体"/>
          <w:szCs w:val="21"/>
        </w:rPr>
        <w:t>.中国基础教育改革与发展.高等教育出版社.2018.</w:t>
      </w:r>
      <w:bookmarkEnd w:id="751"/>
    </w:p>
    <w:p w14:paraId="2E31943B">
      <w:pPr>
        <w:adjustRightInd w:val="0"/>
        <w:snapToGrid w:val="0"/>
        <w:spacing w:line="312" w:lineRule="auto"/>
        <w:ind w:firstLine="420" w:firstLineChars="200"/>
        <w:rPr>
          <w:rFonts w:hint="eastAsia" w:ascii="宋体" w:hAnsi="宋体" w:eastAsia="宋体" w:cs="Times New Roman"/>
          <w:sz w:val="24"/>
        </w:rPr>
      </w:pPr>
      <w:r>
        <w:rPr>
          <w:rFonts w:hint="eastAsia" w:ascii="宋体" w:hAnsi="宋体" w:eastAsia="宋体" w:cs="宋体"/>
          <w:szCs w:val="21"/>
        </w:rPr>
        <w:t>2.王晓</w:t>
      </w:r>
      <w:r>
        <w:rPr>
          <w:rFonts w:hint="eastAsia" w:ascii="宋体" w:hAnsi="宋体" w:eastAsia="宋体" w:cs="Times New Roman"/>
          <w:szCs w:val="21"/>
        </w:rPr>
        <w:t>辉、赵莉.</w:t>
      </w:r>
      <w:r>
        <w:rPr>
          <w:rFonts w:ascii="宋体" w:hAnsi="宋体" w:eastAsia="宋体" w:cs="Times New Roman"/>
          <w:szCs w:val="21"/>
        </w:rPr>
        <w:t>中</w:t>
      </w:r>
      <w:r>
        <w:rPr>
          <w:rFonts w:hint="eastAsia" w:ascii="宋体" w:hAnsi="宋体" w:eastAsia="宋体" w:cs="Times New Roman"/>
          <w:szCs w:val="21"/>
        </w:rPr>
        <w:t>外</w:t>
      </w:r>
      <w:r>
        <w:rPr>
          <w:rFonts w:ascii="宋体" w:hAnsi="宋体" w:eastAsia="宋体" w:cs="Times New Roman"/>
          <w:szCs w:val="21"/>
        </w:rPr>
        <w:t>基础教育改革与发展</w:t>
      </w:r>
      <w:r>
        <w:rPr>
          <w:rFonts w:hint="eastAsia" w:ascii="宋体" w:hAnsi="宋体" w:eastAsia="宋体" w:cs="Times New Roman"/>
          <w:szCs w:val="21"/>
        </w:rPr>
        <w:t>.中央广播电视大学出版社.2017.</w:t>
      </w:r>
    </w:p>
    <w:p w14:paraId="3F106AB5">
      <w:pPr>
        <w:autoSpaceDE w:val="0"/>
        <w:autoSpaceDN w:val="0"/>
        <w:adjustRightInd w:val="0"/>
        <w:snapToGrid w:val="0"/>
        <w:spacing w:line="312" w:lineRule="auto"/>
        <w:jc w:val="right"/>
        <w:rPr>
          <w:rFonts w:hint="eastAsia" w:ascii="宋体" w:hAnsi="宋体" w:eastAsia="宋体" w:cs="Times New Roman"/>
          <w:kern w:val="0"/>
          <w:szCs w:val="18"/>
        </w:rPr>
      </w:pPr>
      <w:r>
        <w:rPr>
          <w:rFonts w:hint="eastAsia" w:ascii="宋体" w:hAnsi="宋体" w:eastAsia="宋体" w:cs="Times New Roman"/>
          <w:kern w:val="0"/>
          <w:sz w:val="24"/>
          <w:szCs w:val="21"/>
        </w:rPr>
        <w:t xml:space="preserve">                                   </w:t>
      </w:r>
      <w:r>
        <w:rPr>
          <w:rFonts w:ascii="宋体" w:hAnsi="宋体" w:eastAsia="宋体" w:cs="Times New Roman"/>
          <w:kern w:val="0"/>
          <w:szCs w:val="18"/>
        </w:rPr>
        <w:t>执笔人：</w:t>
      </w:r>
      <w:r>
        <w:rPr>
          <w:rFonts w:hint="eastAsia" w:ascii="宋体" w:hAnsi="宋体" w:eastAsia="宋体" w:cs="Times New Roman"/>
          <w:kern w:val="0"/>
          <w:szCs w:val="18"/>
        </w:rPr>
        <w:t>赵振杰</w:t>
      </w:r>
    </w:p>
    <w:p w14:paraId="73DA8255">
      <w:pPr>
        <w:autoSpaceDE w:val="0"/>
        <w:autoSpaceDN w:val="0"/>
        <w:adjustRightInd w:val="0"/>
        <w:snapToGrid w:val="0"/>
        <w:spacing w:line="312" w:lineRule="auto"/>
        <w:jc w:val="right"/>
        <w:rPr>
          <w:rFonts w:hint="eastAsia" w:ascii="宋体" w:hAnsi="宋体" w:eastAsia="宋体" w:cs="Times New Roman"/>
          <w:kern w:val="0"/>
          <w:szCs w:val="18"/>
        </w:rPr>
      </w:pPr>
      <w:r>
        <w:rPr>
          <w:rFonts w:hint="eastAsia" w:ascii="宋体" w:hAnsi="宋体" w:eastAsia="宋体" w:cs="Times New Roman"/>
          <w:kern w:val="0"/>
          <w:szCs w:val="18"/>
        </w:rPr>
        <w:t xml:space="preserve">                                    审定人：王  健</w:t>
      </w:r>
    </w:p>
    <w:p w14:paraId="20C6FC41">
      <w:pPr>
        <w:autoSpaceDE w:val="0"/>
        <w:autoSpaceDN w:val="0"/>
        <w:adjustRightInd w:val="0"/>
        <w:snapToGrid w:val="0"/>
        <w:spacing w:line="312" w:lineRule="auto"/>
        <w:jc w:val="right"/>
        <w:rPr>
          <w:rFonts w:hint="eastAsia" w:ascii="宋体" w:hAnsi="宋体" w:eastAsia="宋体" w:cs="Times New Roman"/>
          <w:kern w:val="0"/>
          <w:szCs w:val="18"/>
        </w:rPr>
      </w:pPr>
      <w:r>
        <w:rPr>
          <w:rFonts w:hint="eastAsia" w:ascii="宋体" w:hAnsi="宋体" w:eastAsia="宋体" w:cs="Times New Roman"/>
          <w:kern w:val="0"/>
          <w:szCs w:val="18"/>
        </w:rPr>
        <w:t xml:space="preserve">                                     审批人：张志欣</w:t>
      </w:r>
    </w:p>
    <w:p w14:paraId="0CC80961">
      <w:pPr>
        <w:autoSpaceDE w:val="0"/>
        <w:autoSpaceDN w:val="0"/>
        <w:adjustRightInd w:val="0"/>
        <w:snapToGrid w:val="0"/>
        <w:spacing w:line="312" w:lineRule="auto"/>
        <w:jc w:val="right"/>
        <w:rPr>
          <w:rFonts w:hint="eastAsia" w:ascii="宋体" w:hAnsi="宋体" w:eastAsia="宋体" w:cs="Times New Roman"/>
          <w:kern w:val="0"/>
          <w:sz w:val="24"/>
          <w:szCs w:val="21"/>
        </w:rPr>
      </w:pPr>
      <w:r>
        <w:rPr>
          <w:rFonts w:hint="eastAsia" w:ascii="宋体" w:hAnsi="宋体" w:eastAsia="宋体" w:cs="Times New Roman"/>
          <w:kern w:val="0"/>
          <w:szCs w:val="18"/>
        </w:rPr>
        <w:t>批准时间：2025年7月1日</w:t>
      </w:r>
    </w:p>
    <w:p w14:paraId="711C97D1">
      <w:pPr>
        <w:spacing w:after="160" w:line="278" w:lineRule="auto"/>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70F91500">
      <w:pPr>
        <w:spacing w:line="360" w:lineRule="auto"/>
        <w:jc w:val="center"/>
        <w:outlineLvl w:val="0"/>
        <w:rPr>
          <w:rFonts w:ascii="Times New Roman" w:hAnsi="Times New Roman" w:eastAsia="宋体" w:cs="Times New Roman"/>
          <w:b/>
          <w:sz w:val="44"/>
          <w:szCs w:val="44"/>
        </w:rPr>
      </w:pPr>
      <w:bookmarkStart w:id="752" w:name="_Toc2982"/>
      <w:bookmarkStart w:id="753" w:name="_Toc13566"/>
      <w:bookmarkStart w:id="754" w:name="_Toc4663"/>
      <w:r>
        <w:rPr>
          <w:rFonts w:hint="eastAsia" w:ascii="Times New Roman" w:hAnsi="Times New Roman" w:eastAsia="宋体" w:cs="Times New Roman"/>
          <w:b/>
          <w:sz w:val="44"/>
          <w:szCs w:val="44"/>
        </w:rPr>
        <w:t>《教育哲学》课程教学大纲</w:t>
      </w:r>
      <w:bookmarkEnd w:id="752"/>
      <w:bookmarkEnd w:id="753"/>
      <w:bookmarkEnd w:id="754"/>
    </w:p>
    <w:p w14:paraId="1EA78661">
      <w:pPr>
        <w:spacing w:line="360" w:lineRule="auto"/>
        <w:jc w:val="center"/>
        <w:rPr>
          <w:rFonts w:ascii="Times New Roman" w:hAnsi="Times New Roman" w:eastAsia="宋体" w:cs="Times New Roman"/>
          <w:b/>
          <w:bCs/>
          <w:sz w:val="28"/>
          <w:szCs w:val="28"/>
        </w:rPr>
      </w:pPr>
      <w:bookmarkStart w:id="755" w:name="_Toc4085"/>
      <w:bookmarkStart w:id="756" w:name="_Toc16117"/>
      <w:bookmarkStart w:id="757" w:name="_Toc18286"/>
      <w:bookmarkStart w:id="758" w:name="_Toc13002"/>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Philosophy of Education</w:t>
      </w:r>
      <w:r>
        <w:rPr>
          <w:rFonts w:hint="eastAsia" w:ascii="Times New Roman" w:hAnsi="Times New Roman" w:eastAsia="宋体" w:cs="Times New Roman"/>
          <w:b/>
          <w:bCs/>
          <w:sz w:val="28"/>
          <w:szCs w:val="28"/>
        </w:rPr>
        <w:t>）</w:t>
      </w:r>
      <w:bookmarkEnd w:id="755"/>
      <w:bookmarkEnd w:id="756"/>
      <w:bookmarkEnd w:id="757"/>
      <w:bookmarkEnd w:id="758"/>
    </w:p>
    <w:p w14:paraId="1BDB07F0">
      <w:pPr>
        <w:spacing w:line="360" w:lineRule="auto"/>
        <w:jc w:val="center"/>
        <w:rPr>
          <w:rFonts w:ascii="Times New Roman" w:hAnsi="Times New Roman" w:eastAsia="宋体" w:cs="Times New Roman"/>
          <w:b/>
          <w:bCs/>
          <w:szCs w:val="21"/>
        </w:rPr>
      </w:pPr>
    </w:p>
    <w:p w14:paraId="3CCC4DB7">
      <w:pPr>
        <w:spacing w:line="360" w:lineRule="auto"/>
        <w:ind w:firstLine="482" w:firstLineChars="200"/>
        <w:rPr>
          <w:rFonts w:ascii="Times New Roman" w:hAnsi="Times New Roman" w:cs="Times New Roman"/>
          <w:b/>
          <w:sz w:val="24"/>
          <w:szCs w:val="32"/>
        </w:rPr>
      </w:pPr>
      <w:r>
        <w:rPr>
          <w:rFonts w:ascii="Times New Roman" w:hAnsi="Times New Roman" w:cs="Times New Roman"/>
          <w:b/>
          <w:sz w:val="24"/>
          <w:szCs w:val="32"/>
        </w:rPr>
        <w:t>课程代码：2401017</w:t>
      </w:r>
    </w:p>
    <w:p w14:paraId="04CE42EC">
      <w:pPr>
        <w:spacing w:line="360" w:lineRule="auto"/>
        <w:ind w:firstLine="482" w:firstLineChars="200"/>
        <w:rPr>
          <w:rFonts w:ascii="Times New Roman" w:hAnsi="Times New Roman" w:cs="Times New Roman"/>
          <w:b/>
          <w:sz w:val="24"/>
          <w:szCs w:val="32"/>
        </w:rPr>
      </w:pPr>
      <w:r>
        <w:rPr>
          <w:rFonts w:ascii="Times New Roman" w:hAnsi="Times New Roman" w:cs="Times New Roman"/>
          <w:b/>
          <w:sz w:val="24"/>
          <w:szCs w:val="32"/>
        </w:rPr>
        <w:t>学分：2</w:t>
      </w:r>
    </w:p>
    <w:p w14:paraId="77E9F840">
      <w:pPr>
        <w:spacing w:line="360" w:lineRule="auto"/>
        <w:ind w:firstLine="482" w:firstLineChars="200"/>
        <w:rPr>
          <w:rFonts w:ascii="Times New Roman" w:hAnsi="Times New Roman" w:cs="Times New Roman"/>
          <w:b/>
          <w:sz w:val="24"/>
          <w:szCs w:val="32"/>
        </w:rPr>
      </w:pPr>
      <w:r>
        <w:rPr>
          <w:rFonts w:ascii="Times New Roman" w:hAnsi="Times New Roman" w:cs="Times New Roman"/>
          <w:b/>
          <w:sz w:val="24"/>
          <w:szCs w:val="32"/>
        </w:rPr>
        <w:t>学时：32</w:t>
      </w:r>
    </w:p>
    <w:p w14:paraId="65E5A902">
      <w:pPr>
        <w:spacing w:line="360" w:lineRule="auto"/>
        <w:ind w:firstLine="482" w:firstLineChars="200"/>
        <w:rPr>
          <w:rFonts w:ascii="Times New Roman" w:hAnsi="Times New Roman" w:cs="Times New Roman"/>
          <w:b/>
          <w:sz w:val="24"/>
          <w:szCs w:val="32"/>
        </w:rPr>
      </w:pPr>
      <w:r>
        <w:rPr>
          <w:rFonts w:ascii="Times New Roman" w:hAnsi="Times New Roman" w:cs="Times New Roman"/>
          <w:b/>
          <w:sz w:val="24"/>
          <w:szCs w:val="32"/>
        </w:rPr>
        <w:t>先修课程：中外教育史、教育原理</w:t>
      </w:r>
    </w:p>
    <w:p w14:paraId="36919203">
      <w:pPr>
        <w:spacing w:line="360" w:lineRule="auto"/>
        <w:ind w:firstLine="482" w:firstLineChars="200"/>
        <w:rPr>
          <w:rFonts w:ascii="Times New Roman" w:hAnsi="Times New Roman" w:cs="Times New Roman"/>
          <w:b/>
          <w:sz w:val="24"/>
          <w:szCs w:val="32"/>
        </w:rPr>
      </w:pPr>
      <w:r>
        <w:rPr>
          <w:rFonts w:ascii="Times New Roman" w:hAnsi="Times New Roman" w:cs="Times New Roman"/>
          <w:b/>
          <w:sz w:val="24"/>
          <w:szCs w:val="32"/>
        </w:rPr>
        <w:t>适用专业：小学教育</w:t>
      </w:r>
    </w:p>
    <w:p w14:paraId="099B403B">
      <w:pPr>
        <w:spacing w:before="62" w:beforeLines="20" w:after="62" w:afterLines="20" w:line="360" w:lineRule="auto"/>
        <w:rPr>
          <w:rFonts w:hint="eastAsia" w:ascii="宋体" w:hAnsi="宋体"/>
          <w:b/>
          <w:sz w:val="22"/>
          <w:szCs w:val="22"/>
        </w:rPr>
      </w:pPr>
      <w:r>
        <w:rPr>
          <w:rFonts w:hint="eastAsia" w:ascii="宋体" w:hAnsi="宋体"/>
          <w:b/>
          <w:sz w:val="24"/>
        </w:rPr>
        <w:t>一、课程简介</w:t>
      </w:r>
    </w:p>
    <w:p w14:paraId="23FBC152">
      <w:pPr>
        <w:spacing w:line="360" w:lineRule="auto"/>
        <w:ind w:firstLine="420" w:firstLineChars="200"/>
        <w:rPr>
          <w:rFonts w:hint="eastAsia" w:ascii="宋体" w:hAnsi="宋体"/>
          <w:szCs w:val="21"/>
        </w:rPr>
      </w:pPr>
      <w:r>
        <w:rPr>
          <w:rFonts w:hint="eastAsia" w:ascii="宋体" w:hAnsi="宋体"/>
          <w:szCs w:val="21"/>
        </w:rPr>
        <w:t>本课程是小学教育专业选修课程，是运用哲学的观念、思维方法分析、阐释教育问题的专业基础课。课程从教育实践出发以培养教师的教育人格与教育智慧为宗旨，通过本课程的学习，使学生初步掌握哲学的思维方法分析教育现象的能力，提高教育哲学作为人文学科对教师自身素质发展的价值与意义，尤其是批判性思维的意识，进而更好的处理教育理想与教育行动的关系、教师职业和日常生活的关系。</w:t>
      </w:r>
    </w:p>
    <w:p w14:paraId="0C342EE0">
      <w:pPr>
        <w:spacing w:before="62" w:beforeLines="20" w:after="62" w:afterLines="20" w:line="360" w:lineRule="auto"/>
        <w:rPr>
          <w:rFonts w:hint="eastAsia" w:ascii="宋体" w:hAnsi="宋体"/>
          <w:b/>
          <w:sz w:val="24"/>
        </w:rPr>
      </w:pPr>
      <w:r>
        <w:rPr>
          <w:rFonts w:hint="eastAsia" w:ascii="宋体" w:hAnsi="宋体"/>
          <w:b/>
          <w:sz w:val="24"/>
        </w:rPr>
        <w:t>二、课程目标</w:t>
      </w:r>
    </w:p>
    <w:p w14:paraId="48F6F0CF">
      <w:pPr>
        <w:adjustRightInd w:val="0"/>
        <w:snapToGrid w:val="0"/>
        <w:spacing w:line="360" w:lineRule="auto"/>
        <w:ind w:firstLine="316" w:firstLineChars="150"/>
        <w:rPr>
          <w:rFonts w:ascii="宋体"/>
          <w:b/>
          <w:szCs w:val="21"/>
        </w:rPr>
      </w:pPr>
      <w:r>
        <w:rPr>
          <w:rFonts w:hint="eastAsia" w:ascii="宋体" w:hAnsi="宋体"/>
          <w:b/>
          <w:szCs w:val="21"/>
        </w:rPr>
        <w:t>（一）课程具体目标</w:t>
      </w:r>
    </w:p>
    <w:p w14:paraId="44812032">
      <w:pPr>
        <w:adjustRightInd w:val="0"/>
        <w:snapToGrid w:val="0"/>
        <w:spacing w:line="360" w:lineRule="auto"/>
        <w:ind w:firstLine="420" w:firstLineChars="200"/>
        <w:rPr>
          <w:rFonts w:hint="eastAsia" w:ascii="宋体" w:hAnsi="宋体"/>
          <w:szCs w:val="21"/>
        </w:rPr>
      </w:pPr>
      <w:r>
        <w:rPr>
          <w:rFonts w:hint="eastAsia" w:ascii="宋体" w:hAnsi="宋体"/>
          <w:szCs w:val="21"/>
        </w:rPr>
        <w:t>目标</w:t>
      </w:r>
      <w:r>
        <w:rPr>
          <w:rFonts w:ascii="宋体" w:hAnsi="宋体"/>
          <w:szCs w:val="21"/>
        </w:rPr>
        <w:t>1.</w:t>
      </w:r>
      <w:r>
        <w:rPr>
          <w:rFonts w:hint="eastAsia" w:ascii="宋体" w:hAnsi="宋体"/>
          <w:szCs w:val="21"/>
        </w:rPr>
        <w:t>全面系统地了解教育哲学基本知识，深入理解教育哲学特别是建构教育哲学的基本理论观点，初步掌握教育哲学的理论方法。</w:t>
      </w:r>
    </w:p>
    <w:p w14:paraId="28BD06B1">
      <w:pPr>
        <w:adjustRightInd w:val="0"/>
        <w:snapToGrid w:val="0"/>
        <w:spacing w:line="360" w:lineRule="auto"/>
        <w:ind w:firstLine="420" w:firstLineChars="200"/>
        <w:rPr>
          <w:rFonts w:ascii="宋体"/>
          <w:szCs w:val="21"/>
        </w:rPr>
      </w:pPr>
      <w:r>
        <w:rPr>
          <w:rFonts w:hint="eastAsia" w:ascii="宋体" w:hAnsi="宋体"/>
          <w:szCs w:val="21"/>
        </w:rPr>
        <w:t>目标2</w:t>
      </w:r>
      <w:r>
        <w:rPr>
          <w:rFonts w:ascii="宋体" w:hAnsi="宋体"/>
          <w:szCs w:val="21"/>
        </w:rPr>
        <w:t>.</w:t>
      </w:r>
      <w:r>
        <w:rPr>
          <w:rFonts w:hint="eastAsia" w:ascii="宋体" w:hAnsi="宋体"/>
          <w:szCs w:val="21"/>
        </w:rPr>
        <w:t>引导师范生思考教育的根本目的与价值、反思教育实践问题，认识学生、认识教师专业，引导师范生树立正确的教育观、教师观和学生观。</w:t>
      </w:r>
    </w:p>
    <w:p w14:paraId="76B676AF">
      <w:pPr>
        <w:adjustRightInd w:val="0"/>
        <w:snapToGrid w:val="0"/>
        <w:spacing w:line="360" w:lineRule="auto"/>
        <w:ind w:firstLine="420" w:firstLineChars="200"/>
        <w:rPr>
          <w:rFonts w:ascii="宋体"/>
          <w:szCs w:val="21"/>
        </w:rPr>
      </w:pPr>
      <w:r>
        <w:rPr>
          <w:rFonts w:hint="eastAsia" w:ascii="宋体" w:hAnsi="宋体"/>
          <w:szCs w:val="21"/>
        </w:rPr>
        <w:t>目标</w:t>
      </w:r>
      <w:r>
        <w:rPr>
          <w:rFonts w:ascii="宋体" w:hAnsi="宋体"/>
          <w:szCs w:val="21"/>
        </w:rPr>
        <w:t>3.</w:t>
      </w:r>
      <w:r>
        <w:rPr>
          <w:rFonts w:hint="eastAsia" w:ascii="宋体" w:hAnsi="宋体"/>
          <w:szCs w:val="21"/>
        </w:rPr>
        <w:t>针对日常教育教学活动和过程的分析与审视，养成师范生反思、乐思、善思的思维品质和思维习惯，提升他们的教育反思意识与能力。</w:t>
      </w:r>
    </w:p>
    <w:p w14:paraId="50F4153A">
      <w:pPr>
        <w:adjustRightInd w:val="0"/>
        <w:snapToGrid w:val="0"/>
        <w:spacing w:line="360" w:lineRule="auto"/>
        <w:ind w:firstLine="420" w:firstLineChars="200"/>
        <w:rPr>
          <w:rFonts w:hint="eastAsia" w:ascii="宋体" w:hAnsi="宋体"/>
          <w:szCs w:val="21"/>
        </w:rPr>
      </w:pPr>
      <w:r>
        <w:rPr>
          <w:rFonts w:hint="eastAsia" w:ascii="宋体" w:hAnsi="宋体"/>
          <w:szCs w:val="21"/>
        </w:rPr>
        <w:t>目标</w:t>
      </w:r>
      <w:r>
        <w:rPr>
          <w:rFonts w:ascii="宋体" w:hAnsi="宋体"/>
          <w:szCs w:val="21"/>
        </w:rPr>
        <w:t>4</w:t>
      </w:r>
      <w:r>
        <w:rPr>
          <w:rFonts w:ascii="宋体"/>
          <w:szCs w:val="21"/>
        </w:rPr>
        <w:t>.</w:t>
      </w:r>
      <w:r>
        <w:rPr>
          <w:rFonts w:hint="eastAsia" w:ascii="宋体" w:hAnsi="宋体"/>
          <w:szCs w:val="21"/>
        </w:rPr>
        <w:t>形成对教育教学科学合理的理念和价值观，形成和发展优秀的教育人格和卓越的教师品质，逐步成长为研究型、智慧型教师。</w:t>
      </w:r>
    </w:p>
    <w:p w14:paraId="3EDF4370">
      <w:pPr>
        <w:spacing w:line="360" w:lineRule="auto"/>
        <w:ind w:firstLine="422" w:firstLineChars="200"/>
        <w:jc w:val="left"/>
        <w:rPr>
          <w:rFonts w:ascii="Times New Roman" w:hAnsi="Times New Roman"/>
          <w:b/>
          <w:bCs/>
          <w:szCs w:val="21"/>
        </w:rPr>
      </w:pPr>
      <w:r>
        <w:rPr>
          <w:rFonts w:hint="eastAsia" w:ascii="Times New Roman" w:hAnsi="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5911"/>
        <w:gridCol w:w="1469"/>
      </w:tblGrid>
      <w:tr w14:paraId="2A1A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162AF2B6">
            <w:pPr>
              <w:spacing w:line="360" w:lineRule="auto"/>
              <w:jc w:val="center"/>
              <w:rPr>
                <w:rFonts w:ascii="Times New Roman" w:hAnsi="Times New Roman"/>
                <w:b/>
                <w:bCs/>
                <w:kern w:val="0"/>
                <w:szCs w:val="21"/>
              </w:rPr>
            </w:pPr>
            <w:r>
              <w:rPr>
                <w:rFonts w:hint="eastAsia" w:ascii="Times New Roman" w:hAnsi="Times New Roman"/>
                <w:b/>
                <w:bCs/>
                <w:kern w:val="0"/>
                <w:szCs w:val="21"/>
              </w:rPr>
              <w:t>毕业要求</w:t>
            </w:r>
          </w:p>
        </w:tc>
        <w:tc>
          <w:tcPr>
            <w:tcW w:w="5911" w:type="dxa"/>
            <w:vAlign w:val="center"/>
          </w:tcPr>
          <w:p w14:paraId="08ADED7D">
            <w:pPr>
              <w:spacing w:line="360" w:lineRule="auto"/>
              <w:jc w:val="center"/>
              <w:rPr>
                <w:rFonts w:ascii="Times New Roman" w:hAnsi="Times New Roman"/>
                <w:b/>
                <w:bCs/>
                <w:kern w:val="0"/>
                <w:szCs w:val="21"/>
              </w:rPr>
            </w:pPr>
            <w:r>
              <w:rPr>
                <w:rFonts w:hint="eastAsia" w:ascii="Times New Roman" w:hAnsi="Times New Roman"/>
                <w:b/>
                <w:bCs/>
                <w:kern w:val="0"/>
                <w:szCs w:val="21"/>
              </w:rPr>
              <w:t>毕业要求指标点</w:t>
            </w:r>
          </w:p>
        </w:tc>
        <w:tc>
          <w:tcPr>
            <w:tcW w:w="1469" w:type="dxa"/>
            <w:vAlign w:val="center"/>
          </w:tcPr>
          <w:p w14:paraId="137C7ED3">
            <w:pPr>
              <w:spacing w:line="360" w:lineRule="auto"/>
              <w:jc w:val="center"/>
              <w:rPr>
                <w:rFonts w:ascii="Times New Roman" w:hAnsi="Times New Roman"/>
                <w:b/>
                <w:bCs/>
                <w:kern w:val="0"/>
                <w:szCs w:val="21"/>
              </w:rPr>
            </w:pPr>
            <w:r>
              <w:rPr>
                <w:rFonts w:hint="eastAsia" w:ascii="Times New Roman" w:hAnsi="Times New Roman"/>
                <w:b/>
                <w:bCs/>
                <w:kern w:val="0"/>
                <w:szCs w:val="21"/>
              </w:rPr>
              <w:t>课程目标</w:t>
            </w:r>
          </w:p>
        </w:tc>
      </w:tr>
      <w:tr w14:paraId="1184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4502C856">
            <w:pPr>
              <w:spacing w:line="276" w:lineRule="auto"/>
              <w:jc w:val="center"/>
              <w:rPr>
                <w:rFonts w:ascii="Times New Roman" w:hAnsi="Times New Roman"/>
                <w:b/>
                <w:bCs/>
                <w:kern w:val="0"/>
                <w:szCs w:val="21"/>
              </w:rPr>
            </w:pPr>
            <w:r>
              <w:rPr>
                <w:rFonts w:hint="eastAsia" w:ascii="Times New Roman" w:hAnsi="Times New Roman"/>
                <w:b/>
                <w:bCs/>
                <w:kern w:val="0"/>
                <w:szCs w:val="21"/>
              </w:rPr>
              <w:t>毕业要求1</w:t>
            </w:r>
          </w:p>
          <w:p w14:paraId="16CC5280">
            <w:pPr>
              <w:spacing w:line="276" w:lineRule="auto"/>
              <w:jc w:val="center"/>
              <w:rPr>
                <w:rFonts w:ascii="Times New Roman" w:hAnsi="Times New Roman"/>
                <w:b/>
                <w:bCs/>
                <w:kern w:val="0"/>
                <w:szCs w:val="21"/>
              </w:rPr>
            </w:pPr>
            <w:r>
              <w:rPr>
                <w:rFonts w:hint="eastAsia" w:ascii="Times New Roman" w:hAnsi="Times New Roman"/>
                <w:b/>
                <w:bCs/>
                <w:kern w:val="0"/>
                <w:szCs w:val="21"/>
              </w:rPr>
              <w:t>师德规范</w:t>
            </w:r>
          </w:p>
        </w:tc>
        <w:tc>
          <w:tcPr>
            <w:tcW w:w="5911" w:type="dxa"/>
            <w:vAlign w:val="center"/>
          </w:tcPr>
          <w:p w14:paraId="3785C860">
            <w:pPr>
              <w:spacing w:line="276" w:lineRule="auto"/>
              <w:jc w:val="left"/>
              <w:rPr>
                <w:rFonts w:ascii="Times New Roman" w:hAnsi="Times New Roman"/>
                <w:kern w:val="0"/>
                <w:szCs w:val="21"/>
              </w:rPr>
            </w:pPr>
            <w:r>
              <w:rPr>
                <w:rFonts w:hint="eastAsia" w:ascii="Times New Roman" w:hAnsi="Times New Roman"/>
                <w:b/>
                <w:kern w:val="0"/>
                <w:szCs w:val="21"/>
              </w:rPr>
              <w:t>指标点1-1</w:t>
            </w:r>
            <w:r>
              <w:rPr>
                <w:rFonts w:ascii="Times New Roman" w:hAnsi="Times New Roman"/>
                <w:kern w:val="0"/>
                <w:szCs w:val="21"/>
              </w:rPr>
              <w:t>：【理想信念坚定】了解我国国情及国际局势，深刻理解新时代中国特色社会主义思想内涵；认同中国特色社会主义，贯彻党的教育方针，自觉践行社会主义核心价值观；认同教师劳动的价值，树立职业理想，立志成为有理想信念、有道德情操、有扎实学识、有仁爱之心受学生爱戴的好老师。</w:t>
            </w:r>
          </w:p>
        </w:tc>
        <w:tc>
          <w:tcPr>
            <w:tcW w:w="1469" w:type="dxa"/>
            <w:vAlign w:val="center"/>
          </w:tcPr>
          <w:p w14:paraId="2264D67B">
            <w:pPr>
              <w:spacing w:line="276" w:lineRule="auto"/>
              <w:jc w:val="left"/>
              <w:rPr>
                <w:rFonts w:ascii="Times New Roman" w:hAnsi="Times New Roman"/>
                <w:kern w:val="0"/>
                <w:szCs w:val="21"/>
              </w:rPr>
            </w:pPr>
            <w:r>
              <w:rPr>
                <w:rFonts w:hint="eastAsia" w:ascii="Times New Roman" w:hAnsi="Times New Roman"/>
                <w:kern w:val="0"/>
                <w:szCs w:val="21"/>
              </w:rPr>
              <w:t>课程目标2</w:t>
            </w:r>
          </w:p>
        </w:tc>
      </w:tr>
      <w:tr w14:paraId="4F315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332DA455">
            <w:pPr>
              <w:spacing w:line="276" w:lineRule="auto"/>
              <w:jc w:val="center"/>
              <w:rPr>
                <w:rFonts w:ascii="Times New Roman" w:hAnsi="Times New Roman"/>
                <w:b/>
                <w:bCs/>
                <w:kern w:val="0"/>
                <w:szCs w:val="21"/>
              </w:rPr>
            </w:pPr>
            <w:r>
              <w:rPr>
                <w:rFonts w:hint="eastAsia" w:ascii="Times New Roman" w:hAnsi="Times New Roman"/>
                <w:b/>
                <w:bCs/>
                <w:kern w:val="0"/>
                <w:szCs w:val="21"/>
              </w:rPr>
              <w:t>毕业要求2</w:t>
            </w:r>
          </w:p>
          <w:p w14:paraId="790624A5">
            <w:pPr>
              <w:spacing w:line="276" w:lineRule="auto"/>
              <w:jc w:val="center"/>
              <w:rPr>
                <w:rFonts w:ascii="Times New Roman" w:hAnsi="Times New Roman"/>
                <w:b/>
                <w:bCs/>
                <w:kern w:val="0"/>
                <w:szCs w:val="21"/>
              </w:rPr>
            </w:pPr>
            <w:r>
              <w:rPr>
                <w:rFonts w:hint="eastAsia" w:ascii="Times New Roman" w:hAnsi="Times New Roman"/>
                <w:b/>
                <w:bCs/>
                <w:kern w:val="0"/>
                <w:szCs w:val="21"/>
              </w:rPr>
              <w:t>教育情怀</w:t>
            </w:r>
          </w:p>
        </w:tc>
        <w:tc>
          <w:tcPr>
            <w:tcW w:w="5911" w:type="dxa"/>
            <w:vAlign w:val="center"/>
          </w:tcPr>
          <w:p w14:paraId="7BB8D0FD">
            <w:pPr>
              <w:spacing w:line="276" w:lineRule="auto"/>
              <w:jc w:val="left"/>
              <w:rPr>
                <w:rFonts w:ascii="Times New Roman" w:hAnsi="Times New Roman"/>
                <w:kern w:val="0"/>
                <w:szCs w:val="21"/>
              </w:rPr>
            </w:pPr>
            <w:r>
              <w:rPr>
                <w:rFonts w:hint="eastAsia" w:ascii="宋体" w:hAnsi="宋体"/>
                <w:b/>
                <w:spacing w:val="2"/>
                <w:kern w:val="0"/>
                <w:szCs w:val="21"/>
              </w:rPr>
              <w:t>指标点2-2</w:t>
            </w:r>
            <w:r>
              <w:rPr>
                <w:rFonts w:ascii="宋体" w:hAnsi="宋体"/>
                <w:spacing w:val="2"/>
                <w:kern w:val="0"/>
                <w:szCs w:val="21"/>
              </w:rPr>
              <w:t>：【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469" w:type="dxa"/>
            <w:vAlign w:val="center"/>
          </w:tcPr>
          <w:p w14:paraId="7C366E45">
            <w:pPr>
              <w:spacing w:line="276" w:lineRule="auto"/>
              <w:jc w:val="left"/>
              <w:rPr>
                <w:rFonts w:ascii="Times New Roman" w:hAnsi="Times New Roman"/>
                <w:kern w:val="0"/>
                <w:szCs w:val="21"/>
              </w:rPr>
            </w:pPr>
            <w:r>
              <w:rPr>
                <w:rFonts w:hint="eastAsia" w:ascii="Times New Roman" w:hAnsi="Times New Roman"/>
                <w:kern w:val="0"/>
                <w:szCs w:val="21"/>
              </w:rPr>
              <w:t>课程目标4</w:t>
            </w:r>
          </w:p>
        </w:tc>
      </w:tr>
      <w:tr w14:paraId="75A6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31F25BDE">
            <w:pPr>
              <w:spacing w:line="276" w:lineRule="auto"/>
              <w:jc w:val="center"/>
              <w:rPr>
                <w:rFonts w:ascii="Times New Roman" w:hAnsi="Times New Roman"/>
                <w:b/>
                <w:bCs/>
                <w:kern w:val="0"/>
                <w:szCs w:val="21"/>
              </w:rPr>
            </w:pPr>
            <w:r>
              <w:rPr>
                <w:rFonts w:hint="eastAsia" w:ascii="Times New Roman" w:hAnsi="Times New Roman"/>
                <w:b/>
                <w:bCs/>
                <w:kern w:val="0"/>
                <w:szCs w:val="21"/>
              </w:rPr>
              <w:t>毕业要求4</w:t>
            </w:r>
          </w:p>
          <w:p w14:paraId="39BB0FE4">
            <w:pPr>
              <w:spacing w:line="276" w:lineRule="auto"/>
              <w:jc w:val="center"/>
              <w:rPr>
                <w:rFonts w:ascii="Times New Roman" w:hAnsi="Times New Roman"/>
                <w:b/>
                <w:bCs/>
                <w:kern w:val="0"/>
                <w:szCs w:val="21"/>
              </w:rPr>
            </w:pPr>
            <w:r>
              <w:rPr>
                <w:rFonts w:hint="eastAsia" w:ascii="Times New Roman" w:hAnsi="Times New Roman"/>
                <w:b/>
                <w:bCs/>
                <w:kern w:val="0"/>
                <w:szCs w:val="21"/>
              </w:rPr>
              <w:t>教学能力</w:t>
            </w:r>
          </w:p>
        </w:tc>
        <w:tc>
          <w:tcPr>
            <w:tcW w:w="5911" w:type="dxa"/>
            <w:vAlign w:val="center"/>
          </w:tcPr>
          <w:p w14:paraId="585D792A">
            <w:pPr>
              <w:spacing w:line="276" w:lineRule="auto"/>
              <w:jc w:val="left"/>
              <w:rPr>
                <w:rFonts w:ascii="Times New Roman" w:hAnsi="Times New Roman"/>
                <w:kern w:val="0"/>
                <w:szCs w:val="21"/>
              </w:rPr>
            </w:pPr>
            <w:r>
              <w:rPr>
                <w:rFonts w:hint="eastAsia" w:ascii="宋体" w:hAnsi="宋体"/>
                <w:b/>
                <w:spacing w:val="2"/>
                <w:kern w:val="0"/>
                <w:szCs w:val="21"/>
              </w:rPr>
              <w:t>指标点4-1</w:t>
            </w:r>
            <w:r>
              <w:rPr>
                <w:rFonts w:hint="eastAsia" w:ascii="宋体" w:hAnsi="宋体"/>
                <w:spacing w:val="2"/>
                <w:kern w:val="0"/>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469" w:type="dxa"/>
            <w:vAlign w:val="center"/>
          </w:tcPr>
          <w:p w14:paraId="14FE2A36">
            <w:pPr>
              <w:spacing w:line="276" w:lineRule="auto"/>
              <w:jc w:val="left"/>
              <w:rPr>
                <w:rFonts w:ascii="Times New Roman" w:hAnsi="Times New Roman"/>
                <w:kern w:val="0"/>
                <w:szCs w:val="21"/>
              </w:rPr>
            </w:pPr>
            <w:r>
              <w:rPr>
                <w:rFonts w:hint="eastAsia" w:ascii="Times New Roman" w:hAnsi="Times New Roman"/>
                <w:kern w:val="0"/>
                <w:szCs w:val="21"/>
              </w:rPr>
              <w:t>课程目标1</w:t>
            </w:r>
          </w:p>
        </w:tc>
      </w:tr>
      <w:tr w14:paraId="7588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7" w:type="dxa"/>
            <w:vAlign w:val="center"/>
          </w:tcPr>
          <w:p w14:paraId="7D656DFE">
            <w:pPr>
              <w:spacing w:line="276" w:lineRule="auto"/>
              <w:jc w:val="center"/>
              <w:rPr>
                <w:rFonts w:ascii="Times New Roman" w:hAnsi="Times New Roman"/>
                <w:b/>
                <w:bCs/>
                <w:kern w:val="0"/>
                <w:szCs w:val="21"/>
              </w:rPr>
            </w:pPr>
            <w:r>
              <w:rPr>
                <w:rFonts w:hint="eastAsia" w:ascii="Times New Roman" w:hAnsi="Times New Roman"/>
                <w:b/>
                <w:bCs/>
                <w:kern w:val="0"/>
                <w:szCs w:val="21"/>
              </w:rPr>
              <w:t>毕业要求7</w:t>
            </w:r>
          </w:p>
          <w:p w14:paraId="3739A1AF">
            <w:pPr>
              <w:spacing w:line="276" w:lineRule="auto"/>
              <w:jc w:val="center"/>
              <w:rPr>
                <w:rFonts w:ascii="Times New Roman" w:hAnsi="Times New Roman"/>
                <w:b/>
                <w:bCs/>
                <w:kern w:val="0"/>
                <w:szCs w:val="21"/>
              </w:rPr>
            </w:pPr>
            <w:r>
              <w:rPr>
                <w:rFonts w:hint="eastAsia" w:ascii="Times New Roman" w:hAnsi="Times New Roman"/>
                <w:b/>
                <w:bCs/>
                <w:kern w:val="0"/>
                <w:szCs w:val="21"/>
              </w:rPr>
              <w:t>学会反思</w:t>
            </w:r>
          </w:p>
        </w:tc>
        <w:tc>
          <w:tcPr>
            <w:tcW w:w="5911" w:type="dxa"/>
            <w:vAlign w:val="center"/>
          </w:tcPr>
          <w:p w14:paraId="38FC8C85">
            <w:pPr>
              <w:spacing w:line="276" w:lineRule="auto"/>
              <w:jc w:val="left"/>
              <w:rPr>
                <w:rFonts w:ascii="Times New Roman" w:hAnsi="Times New Roman"/>
                <w:kern w:val="0"/>
                <w:szCs w:val="21"/>
              </w:rPr>
            </w:pPr>
            <w:r>
              <w:rPr>
                <w:rFonts w:hint="eastAsia" w:ascii="宋体" w:hAnsi="宋体"/>
                <w:b/>
                <w:kern w:val="0"/>
                <w:szCs w:val="21"/>
              </w:rPr>
              <w:t>指标点7-3</w:t>
            </w:r>
            <w:r>
              <w:rPr>
                <w:rFonts w:ascii="宋体" w:hAnsi="宋体"/>
                <w:kern w:val="0"/>
                <w:szCs w:val="21"/>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469" w:type="dxa"/>
            <w:vAlign w:val="center"/>
          </w:tcPr>
          <w:p w14:paraId="4BA78AE7">
            <w:pPr>
              <w:spacing w:line="276" w:lineRule="auto"/>
              <w:jc w:val="left"/>
              <w:rPr>
                <w:rFonts w:ascii="Times New Roman" w:hAnsi="Times New Roman"/>
                <w:kern w:val="0"/>
                <w:szCs w:val="21"/>
              </w:rPr>
            </w:pPr>
            <w:r>
              <w:rPr>
                <w:rFonts w:hint="eastAsia" w:ascii="Times New Roman" w:hAnsi="Times New Roman"/>
                <w:kern w:val="0"/>
                <w:szCs w:val="21"/>
              </w:rPr>
              <w:t>课程目标3</w:t>
            </w:r>
          </w:p>
        </w:tc>
      </w:tr>
    </w:tbl>
    <w:p w14:paraId="17CC9321">
      <w:pPr>
        <w:spacing w:before="156" w:beforeLines="50" w:line="360" w:lineRule="auto"/>
        <w:ind w:firstLine="211" w:firstLineChars="100"/>
        <w:jc w:val="left"/>
        <w:rPr>
          <w:rFonts w:hint="eastAsia" w:ascii="宋体" w:hAnsi="宋体"/>
          <w:b/>
          <w:szCs w:val="21"/>
        </w:rPr>
      </w:pPr>
      <w:r>
        <w:rPr>
          <w:rFonts w:hint="eastAsia" w:ascii="宋体" w:hAnsi="宋体"/>
          <w:b/>
          <w:szCs w:val="21"/>
        </w:rPr>
        <w:t>（三）课程思政目标</w:t>
      </w:r>
    </w:p>
    <w:p w14:paraId="1E351C0D">
      <w:pPr>
        <w:spacing w:line="360" w:lineRule="auto"/>
        <w:ind w:firstLine="420" w:firstLineChars="200"/>
        <w:rPr>
          <w:rFonts w:ascii="宋体"/>
          <w:szCs w:val="21"/>
        </w:rPr>
      </w:pPr>
      <w:r>
        <w:rPr>
          <w:rFonts w:hint="eastAsia" w:ascii="宋体"/>
          <w:szCs w:val="21"/>
        </w:rPr>
        <w:t>遵循师范培养目标和新时代教师需求，通过学生对教育哲学的学习，全面系统地掌握教育哲学基本知识、观点和方法，并能够指导学生认识学生、认识教师专业，引导师范生树立正确的教育观、教师观和学生观进而培养学生形成和发展优秀的教育人格和卓越的教师品质</w:t>
      </w:r>
    </w:p>
    <w:p w14:paraId="7681E800">
      <w:pPr>
        <w:spacing w:before="62" w:beforeLines="20" w:after="62" w:afterLines="20" w:line="360" w:lineRule="auto"/>
        <w:rPr>
          <w:rFonts w:hint="eastAsia" w:ascii="宋体" w:hAnsi="宋体"/>
          <w:b/>
          <w:sz w:val="24"/>
        </w:rPr>
      </w:pPr>
      <w:r>
        <w:rPr>
          <w:rFonts w:hint="eastAsia" w:ascii="宋体" w:hAnsi="宋体"/>
          <w:b/>
          <w:sz w:val="24"/>
        </w:rPr>
        <w:t>四、教学内容与预期学习成效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467"/>
        <w:gridCol w:w="152"/>
        <w:gridCol w:w="1007"/>
        <w:gridCol w:w="135"/>
        <w:gridCol w:w="3261"/>
        <w:gridCol w:w="187"/>
        <w:gridCol w:w="1372"/>
        <w:gridCol w:w="142"/>
        <w:gridCol w:w="372"/>
      </w:tblGrid>
      <w:tr w14:paraId="0F4B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Align w:val="center"/>
          </w:tcPr>
          <w:p w14:paraId="70AE3A90">
            <w:pPr>
              <w:jc w:val="center"/>
              <w:rPr>
                <w:rFonts w:hint="eastAsia" w:ascii="宋体" w:hAnsi="宋体"/>
                <w:b/>
                <w:kern w:val="0"/>
                <w:szCs w:val="21"/>
              </w:rPr>
            </w:pPr>
            <w:r>
              <w:rPr>
                <w:rFonts w:hint="eastAsia" w:ascii="宋体" w:hAnsi="宋体"/>
                <w:b/>
                <w:kern w:val="0"/>
                <w:szCs w:val="21"/>
              </w:rPr>
              <w:t>知识</w:t>
            </w:r>
          </w:p>
          <w:p w14:paraId="67099C2C">
            <w:pPr>
              <w:jc w:val="center"/>
              <w:rPr>
                <w:rFonts w:hint="eastAsia" w:ascii="宋体" w:hAnsi="宋体"/>
                <w:b/>
                <w:kern w:val="0"/>
                <w:szCs w:val="21"/>
              </w:rPr>
            </w:pPr>
            <w:r>
              <w:rPr>
                <w:rFonts w:hint="eastAsia" w:ascii="宋体" w:hAnsi="宋体"/>
                <w:b/>
                <w:kern w:val="0"/>
                <w:szCs w:val="21"/>
              </w:rPr>
              <w:t>单元</w:t>
            </w:r>
          </w:p>
        </w:tc>
        <w:tc>
          <w:tcPr>
            <w:tcW w:w="1467" w:type="dxa"/>
            <w:vAlign w:val="center"/>
          </w:tcPr>
          <w:p w14:paraId="76B9398B">
            <w:pPr>
              <w:jc w:val="center"/>
              <w:rPr>
                <w:rFonts w:hint="eastAsia" w:ascii="宋体" w:hAnsi="宋体"/>
                <w:b/>
                <w:kern w:val="0"/>
                <w:szCs w:val="21"/>
              </w:rPr>
            </w:pPr>
            <w:r>
              <w:rPr>
                <w:rFonts w:hint="eastAsia" w:ascii="宋体" w:hAnsi="宋体"/>
                <w:b/>
                <w:kern w:val="0"/>
                <w:szCs w:val="21"/>
              </w:rPr>
              <w:t>知识点</w:t>
            </w:r>
          </w:p>
        </w:tc>
        <w:tc>
          <w:tcPr>
            <w:tcW w:w="1159" w:type="dxa"/>
            <w:gridSpan w:val="2"/>
            <w:vAlign w:val="center"/>
          </w:tcPr>
          <w:p w14:paraId="3AE18979">
            <w:pPr>
              <w:jc w:val="center"/>
              <w:rPr>
                <w:rFonts w:hint="eastAsia" w:ascii="宋体" w:hAnsi="宋体"/>
                <w:b/>
                <w:kern w:val="0"/>
                <w:szCs w:val="21"/>
              </w:rPr>
            </w:pPr>
            <w:r>
              <w:rPr>
                <w:rFonts w:hint="eastAsia" w:ascii="宋体" w:hAnsi="宋体"/>
                <w:b/>
                <w:kern w:val="0"/>
                <w:szCs w:val="21"/>
              </w:rPr>
              <w:t>对应</w:t>
            </w:r>
          </w:p>
          <w:p w14:paraId="7963CA15">
            <w:pPr>
              <w:jc w:val="center"/>
              <w:rPr>
                <w:rFonts w:hint="eastAsia" w:ascii="宋体" w:hAnsi="宋体"/>
                <w:b/>
                <w:kern w:val="0"/>
                <w:szCs w:val="21"/>
              </w:rPr>
            </w:pPr>
            <w:r>
              <w:rPr>
                <w:rFonts w:hint="eastAsia" w:ascii="宋体" w:hAnsi="宋体"/>
                <w:b/>
                <w:kern w:val="0"/>
                <w:szCs w:val="21"/>
              </w:rPr>
              <w:t>课程目标</w:t>
            </w:r>
          </w:p>
        </w:tc>
        <w:tc>
          <w:tcPr>
            <w:tcW w:w="3583" w:type="dxa"/>
            <w:gridSpan w:val="3"/>
            <w:vAlign w:val="center"/>
          </w:tcPr>
          <w:p w14:paraId="044C93C0">
            <w:pPr>
              <w:jc w:val="center"/>
              <w:rPr>
                <w:rFonts w:hint="eastAsia" w:ascii="宋体" w:hAnsi="宋体"/>
                <w:b/>
                <w:kern w:val="0"/>
                <w:szCs w:val="21"/>
              </w:rPr>
            </w:pPr>
            <w:r>
              <w:rPr>
                <w:rFonts w:hint="eastAsia" w:ascii="宋体" w:hAnsi="宋体"/>
                <w:b/>
                <w:kern w:val="0"/>
                <w:szCs w:val="21"/>
              </w:rPr>
              <w:t>预期学习成效</w:t>
            </w:r>
          </w:p>
        </w:tc>
        <w:tc>
          <w:tcPr>
            <w:tcW w:w="1372" w:type="dxa"/>
            <w:vAlign w:val="center"/>
          </w:tcPr>
          <w:p w14:paraId="08CCD3A4">
            <w:pPr>
              <w:jc w:val="center"/>
              <w:rPr>
                <w:rFonts w:hint="eastAsia" w:ascii="宋体" w:hAnsi="宋体"/>
                <w:b/>
                <w:kern w:val="0"/>
                <w:szCs w:val="21"/>
              </w:rPr>
            </w:pPr>
            <w:r>
              <w:rPr>
                <w:rFonts w:hint="eastAsia" w:ascii="宋体" w:hAnsi="宋体"/>
                <w:b/>
                <w:kern w:val="0"/>
                <w:szCs w:val="21"/>
              </w:rPr>
              <w:t>实现环节</w:t>
            </w:r>
          </w:p>
        </w:tc>
        <w:tc>
          <w:tcPr>
            <w:tcW w:w="514" w:type="dxa"/>
            <w:gridSpan w:val="2"/>
            <w:vAlign w:val="center"/>
          </w:tcPr>
          <w:p w14:paraId="34DFF878">
            <w:pPr>
              <w:jc w:val="center"/>
              <w:rPr>
                <w:rFonts w:hint="eastAsia" w:ascii="宋体" w:hAnsi="宋体"/>
                <w:b/>
                <w:kern w:val="0"/>
                <w:szCs w:val="21"/>
              </w:rPr>
            </w:pPr>
            <w:r>
              <w:rPr>
                <w:rFonts w:hint="eastAsia" w:ascii="宋体" w:hAnsi="宋体"/>
                <w:b/>
                <w:kern w:val="0"/>
                <w:szCs w:val="21"/>
              </w:rPr>
              <w:t>学时</w:t>
            </w:r>
          </w:p>
        </w:tc>
      </w:tr>
      <w:tr w14:paraId="5F88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6F144AAA">
            <w:pPr>
              <w:jc w:val="center"/>
              <w:rPr>
                <w:rFonts w:hint="eastAsia" w:ascii="宋体" w:hAnsi="宋体"/>
                <w:kern w:val="0"/>
                <w:szCs w:val="21"/>
              </w:rPr>
            </w:pPr>
            <w:r>
              <w:rPr>
                <w:rFonts w:hint="eastAsia" w:ascii="宋体" w:hAnsi="宋体"/>
                <w:kern w:val="0"/>
                <w:szCs w:val="21"/>
              </w:rPr>
              <w:t>1.</w:t>
            </w:r>
            <w:r>
              <w:rPr>
                <w:rFonts w:hint="eastAsia"/>
                <w:kern w:val="0"/>
                <w:szCs w:val="21"/>
              </w:rPr>
              <w:t xml:space="preserve"> </w:t>
            </w:r>
            <w:r>
              <w:rPr>
                <w:rFonts w:hint="eastAsia" w:ascii="宋体" w:hAnsi="宋体"/>
                <w:kern w:val="0"/>
                <w:szCs w:val="21"/>
              </w:rPr>
              <w:t>绪论</w:t>
            </w:r>
          </w:p>
        </w:tc>
        <w:tc>
          <w:tcPr>
            <w:tcW w:w="1467" w:type="dxa"/>
            <w:vAlign w:val="center"/>
          </w:tcPr>
          <w:p w14:paraId="78815E0E">
            <w:pPr>
              <w:jc w:val="left"/>
              <w:rPr>
                <w:rFonts w:hint="eastAsia" w:ascii="宋体" w:hAnsi="宋体"/>
                <w:kern w:val="0"/>
                <w:szCs w:val="21"/>
              </w:rPr>
            </w:pPr>
            <w:r>
              <w:rPr>
                <w:rFonts w:hint="eastAsia" w:ascii="宋体" w:hAnsi="宋体"/>
                <w:kern w:val="0"/>
                <w:szCs w:val="21"/>
              </w:rPr>
              <w:t>（1）教育哲学的研究对象与性质</w:t>
            </w:r>
          </w:p>
          <w:p w14:paraId="16023A7F">
            <w:pPr>
              <w:jc w:val="left"/>
              <w:rPr>
                <w:rFonts w:hint="eastAsia" w:ascii="宋体" w:hAnsi="宋体"/>
                <w:kern w:val="0"/>
                <w:szCs w:val="21"/>
              </w:rPr>
            </w:pPr>
            <w:r>
              <w:rPr>
                <w:rFonts w:hint="eastAsia" w:ascii="宋体" w:hAnsi="宋体"/>
                <w:kern w:val="0"/>
                <w:szCs w:val="21"/>
              </w:rPr>
              <w:t>（2）教育哲学的价值</w:t>
            </w:r>
          </w:p>
          <w:p w14:paraId="6E8AD3E7">
            <w:pPr>
              <w:jc w:val="left"/>
              <w:rPr>
                <w:rFonts w:hint="eastAsia" w:ascii="宋体" w:hAnsi="宋体"/>
                <w:kern w:val="0"/>
                <w:szCs w:val="21"/>
              </w:rPr>
            </w:pPr>
            <w:r>
              <w:rPr>
                <w:rFonts w:hint="eastAsia" w:ascii="宋体" w:hAnsi="宋体"/>
                <w:kern w:val="0"/>
                <w:szCs w:val="21"/>
              </w:rPr>
              <w:t>（3）教育哲学的研究与教学方法</w:t>
            </w:r>
          </w:p>
        </w:tc>
        <w:tc>
          <w:tcPr>
            <w:tcW w:w="1159" w:type="dxa"/>
            <w:gridSpan w:val="2"/>
            <w:vAlign w:val="center"/>
          </w:tcPr>
          <w:p w14:paraId="5EF046D8">
            <w:pPr>
              <w:jc w:val="center"/>
              <w:rPr>
                <w:rFonts w:hint="eastAsia" w:ascii="宋体" w:hAnsi="宋体"/>
                <w:kern w:val="0"/>
                <w:szCs w:val="21"/>
              </w:rPr>
            </w:pPr>
            <w:r>
              <w:rPr>
                <w:rFonts w:hint="eastAsia" w:ascii="宋体" w:hAnsi="宋体"/>
                <w:kern w:val="0"/>
                <w:szCs w:val="21"/>
              </w:rPr>
              <w:t>课程目标1</w:t>
            </w:r>
          </w:p>
        </w:tc>
        <w:tc>
          <w:tcPr>
            <w:tcW w:w="3583" w:type="dxa"/>
            <w:gridSpan w:val="3"/>
            <w:vAlign w:val="center"/>
          </w:tcPr>
          <w:p w14:paraId="42DAA51C">
            <w:pPr>
              <w:jc w:val="left"/>
              <w:rPr>
                <w:rFonts w:hint="eastAsia" w:ascii="宋体" w:hAnsi="宋体"/>
                <w:kern w:val="0"/>
                <w:szCs w:val="21"/>
              </w:rPr>
            </w:pPr>
            <w:r>
              <w:rPr>
                <w:rFonts w:hint="eastAsia" w:ascii="宋体" w:hAnsi="宋体"/>
                <w:kern w:val="0"/>
                <w:szCs w:val="21"/>
              </w:rPr>
              <w:t>（1）了解教育哲学课程的性质、目标与学习要求；</w:t>
            </w:r>
          </w:p>
          <w:p w14:paraId="58FCF870">
            <w:pPr>
              <w:jc w:val="left"/>
              <w:rPr>
                <w:rFonts w:hint="eastAsia" w:ascii="宋体" w:hAnsi="宋体"/>
                <w:kern w:val="0"/>
                <w:szCs w:val="21"/>
              </w:rPr>
            </w:pPr>
            <w:r>
              <w:rPr>
                <w:rFonts w:hint="eastAsia" w:ascii="宋体" w:hAnsi="宋体"/>
                <w:kern w:val="0"/>
                <w:szCs w:val="21"/>
              </w:rPr>
              <w:t>（2）辨识教育哲学的研究对象，理解教育哲学的四种基本性质；</w:t>
            </w:r>
          </w:p>
          <w:p w14:paraId="7BD3D5A6">
            <w:pPr>
              <w:jc w:val="left"/>
              <w:rPr>
                <w:rFonts w:hint="eastAsia" w:ascii="宋体" w:hAnsi="宋体"/>
                <w:kern w:val="0"/>
                <w:szCs w:val="21"/>
              </w:rPr>
            </w:pPr>
            <w:r>
              <w:rPr>
                <w:rFonts w:hint="eastAsia" w:ascii="宋体" w:hAnsi="宋体"/>
                <w:kern w:val="0"/>
                <w:szCs w:val="21"/>
              </w:rPr>
              <w:t>（3）理解教育哲学的教育实践价值、政策价值和研究价值；</w:t>
            </w:r>
          </w:p>
          <w:p w14:paraId="08B82FE7">
            <w:pPr>
              <w:jc w:val="left"/>
              <w:rPr>
                <w:rFonts w:hint="eastAsia" w:ascii="宋体" w:hAnsi="宋体"/>
                <w:kern w:val="0"/>
                <w:szCs w:val="21"/>
              </w:rPr>
            </w:pPr>
            <w:r>
              <w:rPr>
                <w:rFonts w:hint="eastAsia" w:ascii="宋体" w:hAnsi="宋体"/>
                <w:kern w:val="0"/>
                <w:szCs w:val="21"/>
              </w:rPr>
              <w:t>（4）理解中国教育哲学的研究和教学为什么要以马克思主义为指导以及如何以马克思主义为指导</w:t>
            </w:r>
          </w:p>
          <w:p w14:paraId="1D12684B">
            <w:pPr>
              <w:jc w:val="left"/>
              <w:rPr>
                <w:rFonts w:hint="eastAsia" w:ascii="宋体" w:hAnsi="宋体"/>
                <w:kern w:val="0"/>
                <w:szCs w:val="21"/>
              </w:rPr>
            </w:pPr>
            <w:r>
              <w:rPr>
                <w:rFonts w:hint="eastAsia" w:ascii="宋体" w:hAnsi="宋体"/>
                <w:kern w:val="0"/>
                <w:szCs w:val="21"/>
              </w:rPr>
              <w:t>（5）培养初步的对于教育哲学学科的积极态度和价值认同教学重点：认识教育哲学的学科属性</w:t>
            </w:r>
          </w:p>
        </w:tc>
        <w:tc>
          <w:tcPr>
            <w:tcW w:w="1372" w:type="dxa"/>
            <w:vAlign w:val="center"/>
          </w:tcPr>
          <w:p w14:paraId="6637C1A3">
            <w:pPr>
              <w:jc w:val="left"/>
              <w:rPr>
                <w:rFonts w:hint="eastAsia" w:ascii="宋体" w:hAnsi="宋体"/>
                <w:kern w:val="0"/>
                <w:szCs w:val="21"/>
              </w:rPr>
            </w:pPr>
            <w:r>
              <w:rPr>
                <w:rFonts w:hint="eastAsia" w:ascii="宋体" w:hAnsi="宋体"/>
                <w:kern w:val="0"/>
                <w:szCs w:val="21"/>
              </w:rPr>
              <w:t>1.自主学习</w:t>
            </w:r>
          </w:p>
          <w:p w14:paraId="040C737E">
            <w:pPr>
              <w:jc w:val="left"/>
              <w:rPr>
                <w:rFonts w:hint="eastAsia" w:ascii="宋体" w:hAnsi="宋体"/>
                <w:kern w:val="0"/>
                <w:szCs w:val="21"/>
              </w:rPr>
            </w:pPr>
            <w:r>
              <w:rPr>
                <w:rFonts w:hint="eastAsia" w:ascii="宋体" w:hAnsi="宋体"/>
                <w:kern w:val="0"/>
                <w:szCs w:val="21"/>
              </w:rPr>
              <w:t>2.多媒体教学</w:t>
            </w:r>
          </w:p>
          <w:p w14:paraId="6CB7641D">
            <w:pPr>
              <w:jc w:val="left"/>
              <w:rPr>
                <w:rFonts w:hint="eastAsia" w:ascii="宋体" w:hAnsi="宋体"/>
                <w:kern w:val="0"/>
                <w:szCs w:val="21"/>
              </w:rPr>
            </w:pPr>
            <w:r>
              <w:rPr>
                <w:rFonts w:hint="eastAsia" w:ascii="宋体" w:hAnsi="宋体"/>
                <w:kern w:val="0"/>
                <w:szCs w:val="21"/>
              </w:rPr>
              <w:t>3.课堂讨论</w:t>
            </w:r>
          </w:p>
        </w:tc>
        <w:tc>
          <w:tcPr>
            <w:tcW w:w="514" w:type="dxa"/>
            <w:gridSpan w:val="2"/>
            <w:vAlign w:val="center"/>
          </w:tcPr>
          <w:p w14:paraId="5288A758">
            <w:pPr>
              <w:jc w:val="center"/>
              <w:rPr>
                <w:rFonts w:hint="eastAsia" w:ascii="宋体" w:hAnsi="宋体"/>
                <w:kern w:val="0"/>
                <w:szCs w:val="21"/>
              </w:rPr>
            </w:pPr>
            <w:r>
              <w:rPr>
                <w:rFonts w:hint="eastAsia" w:ascii="宋体" w:hAnsi="宋体"/>
                <w:kern w:val="0"/>
                <w:szCs w:val="21"/>
              </w:rPr>
              <w:t>2</w:t>
            </w:r>
          </w:p>
        </w:tc>
      </w:tr>
      <w:tr w14:paraId="5399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18E3CE04">
            <w:pPr>
              <w:jc w:val="center"/>
              <w:rPr>
                <w:rFonts w:hint="eastAsia" w:ascii="宋体" w:hAnsi="宋体"/>
                <w:kern w:val="0"/>
                <w:szCs w:val="21"/>
              </w:rPr>
            </w:pPr>
          </w:p>
        </w:tc>
        <w:tc>
          <w:tcPr>
            <w:tcW w:w="8095" w:type="dxa"/>
            <w:gridSpan w:val="9"/>
            <w:vAlign w:val="center"/>
          </w:tcPr>
          <w:p w14:paraId="76631E94">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把马克思主义哲学中的辩证唯物主义和历史唯物主义基本观点融入教育哲学概念和基本理论中，弥补学生哲学素养的不足，并对“哲学是时代精神的精华”做出新时代背景下的阐释。</w:t>
            </w:r>
          </w:p>
        </w:tc>
      </w:tr>
      <w:tr w14:paraId="0D4A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3412B215">
            <w:pPr>
              <w:jc w:val="center"/>
              <w:rPr>
                <w:rFonts w:hint="eastAsia" w:ascii="宋体" w:hAnsi="宋体"/>
                <w:kern w:val="0"/>
                <w:szCs w:val="21"/>
              </w:rPr>
            </w:pPr>
            <w:r>
              <w:rPr>
                <w:rFonts w:hint="eastAsia" w:ascii="宋体" w:hAnsi="宋体"/>
                <w:kern w:val="0"/>
                <w:szCs w:val="21"/>
              </w:rPr>
              <w:t>2.</w:t>
            </w:r>
            <w:r>
              <w:rPr>
                <w:rFonts w:hint="eastAsia"/>
                <w:kern w:val="0"/>
                <w:szCs w:val="21"/>
              </w:rPr>
              <w:t xml:space="preserve"> </w:t>
            </w:r>
            <w:r>
              <w:rPr>
                <w:rFonts w:hint="eastAsia" w:ascii="宋体" w:hAnsi="宋体"/>
                <w:kern w:val="0"/>
                <w:szCs w:val="21"/>
              </w:rPr>
              <w:t>教育哲学的历史发展</w:t>
            </w:r>
          </w:p>
        </w:tc>
        <w:tc>
          <w:tcPr>
            <w:tcW w:w="1467" w:type="dxa"/>
            <w:vAlign w:val="center"/>
          </w:tcPr>
          <w:p w14:paraId="4C46AE7D">
            <w:pPr>
              <w:jc w:val="left"/>
              <w:rPr>
                <w:rFonts w:hint="eastAsia" w:ascii="宋体" w:hAnsi="宋体"/>
                <w:kern w:val="0"/>
                <w:szCs w:val="21"/>
              </w:rPr>
            </w:pPr>
            <w:r>
              <w:rPr>
                <w:rFonts w:hint="eastAsia" w:ascii="宋体" w:hAnsi="宋体"/>
                <w:kern w:val="0"/>
                <w:szCs w:val="21"/>
              </w:rPr>
              <w:t>（1）中国教育哲学的历史发展</w:t>
            </w:r>
          </w:p>
          <w:p w14:paraId="4EA0C99A">
            <w:pPr>
              <w:jc w:val="left"/>
              <w:rPr>
                <w:rFonts w:hint="eastAsia" w:ascii="宋体" w:hAnsi="宋体"/>
                <w:kern w:val="0"/>
                <w:szCs w:val="21"/>
              </w:rPr>
            </w:pPr>
            <w:r>
              <w:rPr>
                <w:rFonts w:hint="eastAsia" w:ascii="宋体" w:hAnsi="宋体"/>
                <w:kern w:val="0"/>
                <w:szCs w:val="21"/>
              </w:rPr>
              <w:t>（2）西方教育哲学的历史发展</w:t>
            </w:r>
          </w:p>
          <w:p w14:paraId="0962EAC5">
            <w:pPr>
              <w:jc w:val="left"/>
              <w:rPr>
                <w:rFonts w:hint="eastAsia" w:ascii="宋体" w:hAnsi="宋体"/>
                <w:kern w:val="0"/>
                <w:szCs w:val="21"/>
              </w:rPr>
            </w:pPr>
            <w:r>
              <w:rPr>
                <w:rFonts w:hint="eastAsia" w:ascii="宋体" w:hAnsi="宋体"/>
                <w:kern w:val="0"/>
                <w:szCs w:val="21"/>
              </w:rPr>
              <w:t>（3）马克思主义哲学的形成与发展</w:t>
            </w:r>
          </w:p>
        </w:tc>
        <w:tc>
          <w:tcPr>
            <w:tcW w:w="1159" w:type="dxa"/>
            <w:gridSpan w:val="2"/>
            <w:vAlign w:val="center"/>
          </w:tcPr>
          <w:p w14:paraId="32D54888">
            <w:pPr>
              <w:jc w:val="center"/>
              <w:rPr>
                <w:rFonts w:hint="eastAsia" w:ascii="宋体" w:hAnsi="宋体"/>
                <w:kern w:val="0"/>
                <w:szCs w:val="21"/>
              </w:rPr>
            </w:pPr>
            <w:r>
              <w:rPr>
                <w:rFonts w:hint="eastAsia" w:ascii="宋体" w:hAnsi="宋体"/>
                <w:kern w:val="0"/>
                <w:szCs w:val="21"/>
              </w:rPr>
              <w:t>课程目标1</w:t>
            </w:r>
          </w:p>
        </w:tc>
        <w:tc>
          <w:tcPr>
            <w:tcW w:w="3583" w:type="dxa"/>
            <w:gridSpan w:val="3"/>
            <w:vAlign w:val="center"/>
          </w:tcPr>
          <w:p w14:paraId="3B4C4F64">
            <w:pPr>
              <w:jc w:val="left"/>
              <w:rPr>
                <w:rFonts w:hint="eastAsia" w:ascii="宋体" w:hAnsi="宋体"/>
                <w:kern w:val="0"/>
                <w:szCs w:val="21"/>
              </w:rPr>
            </w:pPr>
            <w:r>
              <w:rPr>
                <w:rFonts w:hint="eastAsia" w:ascii="宋体" w:hAnsi="宋体"/>
                <w:kern w:val="0"/>
                <w:szCs w:val="21"/>
              </w:rPr>
              <w:t>（1）了解中国教育哲学历史发展的主要脉络，初步理解我国古代几种主要的教育哲学传统；</w:t>
            </w:r>
          </w:p>
          <w:p w14:paraId="798E7BD4">
            <w:pPr>
              <w:jc w:val="left"/>
              <w:rPr>
                <w:rFonts w:hint="eastAsia" w:ascii="宋体" w:hAnsi="宋体"/>
                <w:kern w:val="0"/>
                <w:szCs w:val="21"/>
              </w:rPr>
            </w:pPr>
            <w:r>
              <w:rPr>
                <w:rFonts w:hint="eastAsia" w:ascii="宋体" w:hAnsi="宋体"/>
                <w:kern w:val="0"/>
                <w:szCs w:val="21"/>
              </w:rPr>
              <w:t>（2）了解西方教育哲学历史发展的主要脉络，批判性地认识实用主义教育哲学、存在主义教育哲学、分析教育哲学及后现代教育哲学思潮产生的社会背景、主要观点、学术影响和理论局限；</w:t>
            </w:r>
          </w:p>
          <w:p w14:paraId="6A315F50">
            <w:pPr>
              <w:jc w:val="left"/>
              <w:rPr>
                <w:rFonts w:hint="eastAsia" w:ascii="宋体" w:hAnsi="宋体"/>
                <w:kern w:val="0"/>
                <w:szCs w:val="21"/>
              </w:rPr>
            </w:pPr>
            <w:r>
              <w:rPr>
                <w:rFonts w:hint="eastAsia" w:ascii="宋体" w:hAnsi="宋体"/>
                <w:kern w:val="0"/>
                <w:szCs w:val="21"/>
              </w:rPr>
              <w:t>（3）系统了解马克思主义经典作家有关教育问题的重要哲学论述，理解马克思主义教育哲学思想在西方、苏联和我国的传播与发展。</w:t>
            </w:r>
          </w:p>
          <w:p w14:paraId="03225E1A">
            <w:pPr>
              <w:jc w:val="left"/>
              <w:rPr>
                <w:rFonts w:hint="eastAsia" w:ascii="宋体" w:hAnsi="宋体"/>
                <w:kern w:val="0"/>
                <w:szCs w:val="21"/>
              </w:rPr>
            </w:pPr>
            <w:r>
              <w:rPr>
                <w:rFonts w:hint="eastAsia" w:ascii="宋体" w:hAnsi="宋体"/>
                <w:kern w:val="0"/>
                <w:szCs w:val="21"/>
              </w:rPr>
              <w:t>（4）重点理解十八大以来习近平总书记有关教育问题的重要论述，深度思考如何进一步继承和发展马克思主义教育哲学思想，构建中国特色、中国风格和中国气派的教育哲学体系。</w:t>
            </w:r>
          </w:p>
        </w:tc>
        <w:tc>
          <w:tcPr>
            <w:tcW w:w="1372" w:type="dxa"/>
            <w:vAlign w:val="center"/>
          </w:tcPr>
          <w:p w14:paraId="5880BD59">
            <w:pPr>
              <w:jc w:val="left"/>
              <w:rPr>
                <w:rFonts w:hint="eastAsia" w:ascii="宋体" w:hAnsi="宋体"/>
                <w:kern w:val="0"/>
                <w:szCs w:val="21"/>
              </w:rPr>
            </w:pPr>
            <w:r>
              <w:rPr>
                <w:rFonts w:hint="eastAsia" w:ascii="宋体" w:hAnsi="宋体"/>
                <w:kern w:val="0"/>
                <w:szCs w:val="21"/>
              </w:rPr>
              <w:t>1.自主学习</w:t>
            </w:r>
          </w:p>
          <w:p w14:paraId="5DECD81F">
            <w:pPr>
              <w:jc w:val="left"/>
              <w:rPr>
                <w:rFonts w:hint="eastAsia" w:ascii="宋体" w:hAnsi="宋体"/>
                <w:kern w:val="0"/>
                <w:szCs w:val="21"/>
              </w:rPr>
            </w:pPr>
            <w:r>
              <w:rPr>
                <w:rFonts w:hint="eastAsia" w:ascii="宋体" w:hAnsi="宋体"/>
                <w:kern w:val="0"/>
                <w:szCs w:val="21"/>
              </w:rPr>
              <w:t>2.多媒体教学</w:t>
            </w:r>
          </w:p>
          <w:p w14:paraId="622C1778">
            <w:pPr>
              <w:jc w:val="left"/>
              <w:rPr>
                <w:rFonts w:hint="eastAsia" w:ascii="宋体" w:hAnsi="宋体"/>
                <w:kern w:val="0"/>
                <w:szCs w:val="21"/>
              </w:rPr>
            </w:pPr>
            <w:r>
              <w:rPr>
                <w:rFonts w:hint="eastAsia" w:ascii="宋体" w:hAnsi="宋体"/>
                <w:kern w:val="0"/>
                <w:szCs w:val="21"/>
              </w:rPr>
              <w:t>3.课堂讨论</w:t>
            </w:r>
          </w:p>
          <w:p w14:paraId="508D3A3F">
            <w:pPr>
              <w:jc w:val="left"/>
              <w:rPr>
                <w:rFonts w:hint="eastAsia" w:ascii="宋体" w:hAnsi="宋体"/>
                <w:kern w:val="0"/>
                <w:szCs w:val="21"/>
              </w:rPr>
            </w:pPr>
          </w:p>
        </w:tc>
        <w:tc>
          <w:tcPr>
            <w:tcW w:w="514" w:type="dxa"/>
            <w:gridSpan w:val="2"/>
            <w:vAlign w:val="center"/>
          </w:tcPr>
          <w:p w14:paraId="5500730E">
            <w:pPr>
              <w:jc w:val="center"/>
              <w:rPr>
                <w:rFonts w:hint="eastAsia" w:ascii="宋体" w:hAnsi="宋体"/>
                <w:kern w:val="0"/>
                <w:szCs w:val="21"/>
              </w:rPr>
            </w:pPr>
            <w:r>
              <w:rPr>
                <w:rFonts w:hint="eastAsia" w:ascii="宋体" w:hAnsi="宋体"/>
                <w:kern w:val="0"/>
                <w:szCs w:val="21"/>
              </w:rPr>
              <w:t>2</w:t>
            </w:r>
          </w:p>
        </w:tc>
      </w:tr>
      <w:tr w14:paraId="4669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064FF056">
            <w:pPr>
              <w:jc w:val="center"/>
              <w:rPr>
                <w:rFonts w:hint="eastAsia" w:ascii="宋体" w:hAnsi="宋体"/>
                <w:kern w:val="0"/>
                <w:szCs w:val="21"/>
              </w:rPr>
            </w:pPr>
          </w:p>
        </w:tc>
        <w:tc>
          <w:tcPr>
            <w:tcW w:w="8095" w:type="dxa"/>
            <w:gridSpan w:val="9"/>
            <w:vAlign w:val="center"/>
          </w:tcPr>
          <w:p w14:paraId="43C3B7A8">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通过研究和阐发中国教育哲学蕴含的中国智慧，增强文化自信；通过理解十八大以来习近平总书记有关教育问题的重要论述，深度思考如何进一步继承和发展马克思主义教育哲学思想，构建中国特色、中国风格和中国气派的教育哲学。</w:t>
            </w:r>
          </w:p>
        </w:tc>
      </w:tr>
      <w:tr w14:paraId="6F8C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5A404751">
            <w:pPr>
              <w:jc w:val="center"/>
              <w:rPr>
                <w:rFonts w:hint="eastAsia" w:ascii="宋体" w:hAnsi="宋体"/>
                <w:kern w:val="0"/>
                <w:szCs w:val="21"/>
              </w:rPr>
            </w:pPr>
            <w:r>
              <w:rPr>
                <w:rFonts w:hint="eastAsia" w:ascii="宋体" w:hAnsi="宋体"/>
                <w:kern w:val="0"/>
                <w:szCs w:val="21"/>
              </w:rPr>
              <w:t>3.</w:t>
            </w:r>
            <w:r>
              <w:rPr>
                <w:rFonts w:hint="eastAsia"/>
                <w:kern w:val="0"/>
                <w:szCs w:val="21"/>
              </w:rPr>
              <w:t xml:space="preserve"> </w:t>
            </w:r>
            <w:r>
              <w:rPr>
                <w:rFonts w:hint="eastAsia" w:ascii="宋体" w:hAnsi="宋体"/>
                <w:kern w:val="0"/>
                <w:szCs w:val="21"/>
              </w:rPr>
              <w:t>教育的本质</w:t>
            </w:r>
          </w:p>
        </w:tc>
        <w:tc>
          <w:tcPr>
            <w:tcW w:w="1467" w:type="dxa"/>
            <w:vAlign w:val="center"/>
          </w:tcPr>
          <w:p w14:paraId="6EFCE46F">
            <w:pPr>
              <w:jc w:val="left"/>
              <w:rPr>
                <w:rFonts w:hint="eastAsia" w:ascii="宋体" w:hAnsi="宋体"/>
                <w:kern w:val="0"/>
                <w:szCs w:val="21"/>
              </w:rPr>
            </w:pPr>
            <w:r>
              <w:rPr>
                <w:rFonts w:hint="eastAsia" w:ascii="宋体" w:hAnsi="宋体"/>
                <w:kern w:val="0"/>
                <w:szCs w:val="21"/>
              </w:rPr>
              <w:t>（1）教育概念的语言分析</w:t>
            </w:r>
          </w:p>
          <w:p w14:paraId="76D479BF">
            <w:pPr>
              <w:jc w:val="left"/>
              <w:rPr>
                <w:rFonts w:hint="eastAsia" w:ascii="宋体" w:hAnsi="宋体"/>
                <w:kern w:val="0"/>
                <w:szCs w:val="21"/>
              </w:rPr>
            </w:pPr>
            <w:r>
              <w:rPr>
                <w:rFonts w:hint="eastAsia" w:ascii="宋体" w:hAnsi="宋体"/>
                <w:kern w:val="0"/>
                <w:szCs w:val="21"/>
              </w:rPr>
              <w:t>（2）教育与相关概念的辨析</w:t>
            </w:r>
          </w:p>
          <w:p w14:paraId="504F854E">
            <w:pPr>
              <w:jc w:val="left"/>
              <w:rPr>
                <w:rFonts w:hint="eastAsia" w:ascii="宋体" w:hAnsi="宋体"/>
                <w:kern w:val="0"/>
                <w:szCs w:val="21"/>
              </w:rPr>
            </w:pPr>
            <w:r>
              <w:rPr>
                <w:rFonts w:hint="eastAsia" w:ascii="宋体" w:hAnsi="宋体"/>
                <w:kern w:val="0"/>
                <w:szCs w:val="21"/>
              </w:rPr>
              <w:t>（3）教育的本质与理想</w:t>
            </w:r>
          </w:p>
        </w:tc>
        <w:tc>
          <w:tcPr>
            <w:tcW w:w="1159" w:type="dxa"/>
            <w:gridSpan w:val="2"/>
            <w:vAlign w:val="center"/>
          </w:tcPr>
          <w:p w14:paraId="15B9D0FD">
            <w:pPr>
              <w:jc w:val="center"/>
              <w:rPr>
                <w:rFonts w:hint="eastAsia" w:ascii="宋体" w:hAnsi="宋体"/>
                <w:kern w:val="0"/>
                <w:szCs w:val="21"/>
              </w:rPr>
            </w:pPr>
            <w:r>
              <w:rPr>
                <w:rFonts w:hint="eastAsia" w:ascii="宋体" w:hAnsi="宋体"/>
                <w:kern w:val="0"/>
                <w:szCs w:val="21"/>
              </w:rPr>
              <w:t>课程目标1、2、4</w:t>
            </w:r>
          </w:p>
        </w:tc>
        <w:tc>
          <w:tcPr>
            <w:tcW w:w="3583" w:type="dxa"/>
            <w:gridSpan w:val="3"/>
            <w:vAlign w:val="center"/>
          </w:tcPr>
          <w:p w14:paraId="1493309C">
            <w:pPr>
              <w:jc w:val="left"/>
              <w:rPr>
                <w:rFonts w:hint="eastAsia" w:ascii="宋体" w:hAnsi="宋体"/>
                <w:kern w:val="0"/>
                <w:szCs w:val="21"/>
              </w:rPr>
            </w:pPr>
            <w:r>
              <w:rPr>
                <w:rFonts w:hint="eastAsia" w:ascii="宋体" w:hAnsi="宋体"/>
                <w:kern w:val="0"/>
                <w:szCs w:val="21"/>
              </w:rPr>
              <w:t>（1）了解教育概念的日常意义、定义类型以及主要的隐喻；</w:t>
            </w:r>
          </w:p>
          <w:p w14:paraId="6DBC9B13">
            <w:pPr>
              <w:jc w:val="left"/>
              <w:rPr>
                <w:rFonts w:hint="eastAsia" w:ascii="宋体" w:hAnsi="宋体"/>
                <w:kern w:val="0"/>
                <w:szCs w:val="21"/>
              </w:rPr>
            </w:pPr>
            <w:r>
              <w:rPr>
                <w:rFonts w:hint="eastAsia" w:ascii="宋体" w:hAnsi="宋体"/>
                <w:kern w:val="0"/>
                <w:szCs w:val="21"/>
              </w:rPr>
              <w:t>（2）从理论上和实践上能够把握教育概念与教学、学习、训练、宣传等的区别与联系；</w:t>
            </w:r>
          </w:p>
          <w:p w14:paraId="77960FE6">
            <w:pPr>
              <w:jc w:val="left"/>
              <w:rPr>
                <w:rFonts w:hint="eastAsia" w:ascii="宋体" w:hAnsi="宋体"/>
                <w:kern w:val="0"/>
                <w:szCs w:val="21"/>
              </w:rPr>
            </w:pPr>
            <w:r>
              <w:rPr>
                <w:rFonts w:hint="eastAsia" w:ascii="宋体" w:hAnsi="宋体"/>
                <w:kern w:val="0"/>
                <w:szCs w:val="21"/>
              </w:rPr>
              <w:t>（3）理解教育本质认识的社会性和历史性，重点掌握习近平总书记有关教育一般本质和中国特色社会主义教育本质的重要论述；</w:t>
            </w:r>
          </w:p>
          <w:p w14:paraId="52ECEF40">
            <w:pPr>
              <w:jc w:val="left"/>
              <w:rPr>
                <w:rFonts w:hint="eastAsia" w:ascii="宋体" w:hAnsi="宋体"/>
                <w:kern w:val="0"/>
                <w:szCs w:val="21"/>
              </w:rPr>
            </w:pPr>
            <w:r>
              <w:rPr>
                <w:rFonts w:hint="eastAsia" w:ascii="宋体" w:hAnsi="宋体"/>
                <w:kern w:val="0"/>
                <w:szCs w:val="21"/>
              </w:rPr>
              <w:t>（4）掌握新时代中国特色社会主义良好教育的标准，理解教育的理想是人的自由全面发展。</w:t>
            </w:r>
          </w:p>
        </w:tc>
        <w:tc>
          <w:tcPr>
            <w:tcW w:w="1372" w:type="dxa"/>
            <w:vAlign w:val="center"/>
          </w:tcPr>
          <w:p w14:paraId="66A35E76">
            <w:pPr>
              <w:jc w:val="left"/>
              <w:rPr>
                <w:rFonts w:hint="eastAsia" w:ascii="宋体" w:hAnsi="宋体"/>
                <w:kern w:val="0"/>
                <w:szCs w:val="21"/>
              </w:rPr>
            </w:pPr>
            <w:r>
              <w:rPr>
                <w:rFonts w:ascii="宋体" w:hAnsi="宋体"/>
                <w:kern w:val="0"/>
                <w:szCs w:val="21"/>
              </w:rPr>
              <w:t>1.</w:t>
            </w:r>
            <w:r>
              <w:rPr>
                <w:rFonts w:hint="eastAsia" w:ascii="宋体" w:hAnsi="宋体"/>
                <w:kern w:val="0"/>
                <w:szCs w:val="21"/>
              </w:rPr>
              <w:t>自主</w:t>
            </w:r>
            <w:r>
              <w:rPr>
                <w:rFonts w:ascii="宋体" w:hAnsi="宋体"/>
                <w:kern w:val="0"/>
                <w:szCs w:val="21"/>
              </w:rPr>
              <w:t>学习</w:t>
            </w:r>
          </w:p>
          <w:p w14:paraId="246BCA82">
            <w:pPr>
              <w:jc w:val="left"/>
              <w:rPr>
                <w:rFonts w:hint="eastAsia" w:ascii="宋体" w:hAnsi="宋体"/>
                <w:kern w:val="0"/>
                <w:szCs w:val="21"/>
              </w:rPr>
            </w:pPr>
            <w:r>
              <w:rPr>
                <w:rFonts w:ascii="宋体" w:hAnsi="宋体"/>
                <w:kern w:val="0"/>
                <w:szCs w:val="21"/>
              </w:rPr>
              <w:t>2.多媒体教学</w:t>
            </w:r>
          </w:p>
          <w:p w14:paraId="56449772">
            <w:pPr>
              <w:jc w:val="left"/>
              <w:rPr>
                <w:rFonts w:hint="eastAsia" w:ascii="宋体" w:hAnsi="宋体"/>
                <w:kern w:val="0"/>
                <w:szCs w:val="21"/>
              </w:rPr>
            </w:pPr>
            <w:r>
              <w:rPr>
                <w:rFonts w:ascii="宋体" w:hAnsi="宋体"/>
                <w:kern w:val="0"/>
                <w:szCs w:val="21"/>
              </w:rPr>
              <w:t>3.课堂讨论</w:t>
            </w:r>
          </w:p>
        </w:tc>
        <w:tc>
          <w:tcPr>
            <w:tcW w:w="514" w:type="dxa"/>
            <w:gridSpan w:val="2"/>
            <w:vAlign w:val="center"/>
          </w:tcPr>
          <w:p w14:paraId="2072CF6D">
            <w:pPr>
              <w:jc w:val="center"/>
              <w:rPr>
                <w:rFonts w:hint="eastAsia" w:ascii="宋体" w:hAnsi="宋体"/>
                <w:kern w:val="0"/>
                <w:szCs w:val="21"/>
              </w:rPr>
            </w:pPr>
            <w:r>
              <w:rPr>
                <w:rFonts w:hint="eastAsia" w:ascii="宋体" w:hAnsi="宋体"/>
                <w:kern w:val="0"/>
                <w:szCs w:val="21"/>
              </w:rPr>
              <w:t>2</w:t>
            </w:r>
          </w:p>
        </w:tc>
      </w:tr>
      <w:tr w14:paraId="176B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73C0E15D">
            <w:pPr>
              <w:jc w:val="center"/>
              <w:rPr>
                <w:rFonts w:hint="eastAsia" w:ascii="宋体" w:hAnsi="宋体"/>
                <w:kern w:val="0"/>
                <w:szCs w:val="21"/>
              </w:rPr>
            </w:pPr>
          </w:p>
        </w:tc>
        <w:tc>
          <w:tcPr>
            <w:tcW w:w="8095" w:type="dxa"/>
            <w:gridSpan w:val="9"/>
            <w:vAlign w:val="center"/>
          </w:tcPr>
          <w:p w14:paraId="49929503">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用习近平总书记关于教育重要论述中关于“立德树人”思想分析中外历史上对教育本质的不同理解差异，以及新时代对教育本质理解所发生的变化，使学生通过对比深入思考哲学视域内的教育内涵。使学生从更深的意义上思考师范生所承担的育人使命，增强职业敬畏感和神圣感。</w:t>
            </w:r>
          </w:p>
        </w:tc>
      </w:tr>
      <w:tr w14:paraId="4D80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0D76AB61">
            <w:pPr>
              <w:jc w:val="center"/>
              <w:rPr>
                <w:rFonts w:hint="eastAsia" w:ascii="宋体" w:hAnsi="宋体"/>
                <w:kern w:val="0"/>
                <w:szCs w:val="21"/>
              </w:rPr>
            </w:pPr>
            <w:r>
              <w:rPr>
                <w:rFonts w:hint="eastAsia" w:ascii="宋体" w:hAnsi="宋体"/>
                <w:kern w:val="0"/>
                <w:szCs w:val="21"/>
              </w:rPr>
              <w:t>4.</w:t>
            </w:r>
            <w:r>
              <w:rPr>
                <w:rFonts w:hint="eastAsia"/>
                <w:kern w:val="0"/>
                <w:szCs w:val="21"/>
              </w:rPr>
              <w:t xml:space="preserve"> </w:t>
            </w:r>
            <w:r>
              <w:rPr>
                <w:rFonts w:hint="eastAsia" w:ascii="宋体" w:hAnsi="宋体"/>
                <w:kern w:val="0"/>
                <w:szCs w:val="21"/>
              </w:rPr>
              <w:t>人性论与教育</w:t>
            </w:r>
          </w:p>
        </w:tc>
        <w:tc>
          <w:tcPr>
            <w:tcW w:w="1467" w:type="dxa"/>
            <w:vAlign w:val="center"/>
          </w:tcPr>
          <w:p w14:paraId="1C996D8D">
            <w:pPr>
              <w:jc w:val="left"/>
              <w:rPr>
                <w:rFonts w:hint="eastAsia" w:ascii="宋体" w:hAnsi="宋体"/>
                <w:kern w:val="0"/>
                <w:szCs w:val="21"/>
              </w:rPr>
            </w:pPr>
            <w:r>
              <w:rPr>
                <w:rFonts w:hint="eastAsia" w:ascii="宋体" w:hAnsi="宋体"/>
                <w:kern w:val="0"/>
                <w:szCs w:val="21"/>
              </w:rPr>
              <w:t>（1）人性论概述</w:t>
            </w:r>
          </w:p>
          <w:p w14:paraId="450C6E5F">
            <w:pPr>
              <w:jc w:val="left"/>
              <w:rPr>
                <w:rFonts w:hint="eastAsia" w:ascii="宋体" w:hAnsi="宋体"/>
                <w:kern w:val="0"/>
                <w:szCs w:val="21"/>
              </w:rPr>
            </w:pPr>
            <w:r>
              <w:rPr>
                <w:rFonts w:hint="eastAsia" w:ascii="宋体" w:hAnsi="宋体"/>
                <w:kern w:val="0"/>
                <w:szCs w:val="21"/>
              </w:rPr>
              <w:t>（2）人性论与教育的关系</w:t>
            </w:r>
          </w:p>
          <w:p w14:paraId="08F31C8A">
            <w:pPr>
              <w:jc w:val="left"/>
              <w:rPr>
                <w:rFonts w:hint="eastAsia" w:ascii="宋体" w:hAnsi="宋体"/>
                <w:kern w:val="0"/>
                <w:szCs w:val="21"/>
              </w:rPr>
            </w:pPr>
            <w:r>
              <w:rPr>
                <w:rFonts w:hint="eastAsia" w:ascii="宋体" w:hAnsi="宋体"/>
                <w:kern w:val="0"/>
                <w:szCs w:val="21"/>
              </w:rPr>
              <w:t>（3）当代教育中的人性问题与责任</w:t>
            </w:r>
          </w:p>
        </w:tc>
        <w:tc>
          <w:tcPr>
            <w:tcW w:w="1159" w:type="dxa"/>
            <w:gridSpan w:val="2"/>
            <w:vAlign w:val="center"/>
          </w:tcPr>
          <w:p w14:paraId="719A8E6E">
            <w:pPr>
              <w:jc w:val="center"/>
              <w:rPr>
                <w:rFonts w:hint="eastAsia" w:ascii="宋体" w:hAnsi="宋体"/>
                <w:kern w:val="0"/>
                <w:szCs w:val="21"/>
              </w:rPr>
            </w:pPr>
            <w:r>
              <w:rPr>
                <w:rFonts w:hint="eastAsia" w:ascii="宋体" w:hAnsi="宋体"/>
                <w:kern w:val="0"/>
                <w:szCs w:val="21"/>
              </w:rPr>
              <w:t>课程目标1、2、3</w:t>
            </w:r>
          </w:p>
        </w:tc>
        <w:tc>
          <w:tcPr>
            <w:tcW w:w="3583" w:type="dxa"/>
            <w:gridSpan w:val="3"/>
            <w:vAlign w:val="center"/>
          </w:tcPr>
          <w:p w14:paraId="515709EC">
            <w:pPr>
              <w:jc w:val="left"/>
              <w:rPr>
                <w:rFonts w:hint="eastAsia" w:ascii="宋体" w:hAnsi="宋体"/>
                <w:kern w:val="0"/>
                <w:szCs w:val="21"/>
              </w:rPr>
            </w:pPr>
            <w:r>
              <w:rPr>
                <w:rFonts w:hint="eastAsia" w:ascii="宋体" w:hAnsi="宋体"/>
                <w:kern w:val="0"/>
                <w:szCs w:val="21"/>
              </w:rPr>
              <w:t>（1）了解中外历史上的人性论主张，掌握马克思主义在人性问题上的基本立场、观点和方法，理解它们之间的联系与本质差别；</w:t>
            </w:r>
          </w:p>
          <w:p w14:paraId="1324753C">
            <w:pPr>
              <w:jc w:val="left"/>
              <w:rPr>
                <w:rFonts w:hint="eastAsia" w:ascii="宋体" w:hAnsi="宋体"/>
                <w:kern w:val="0"/>
                <w:szCs w:val="21"/>
              </w:rPr>
            </w:pPr>
            <w:r>
              <w:rPr>
                <w:rFonts w:hint="eastAsia" w:ascii="宋体" w:hAnsi="宋体"/>
                <w:kern w:val="0"/>
                <w:szCs w:val="21"/>
              </w:rPr>
              <w:t>（2）理解不同的人性论假设与儿童观、教育方法和教育管理实践之间的内在关联，并辩证地看待不同人性论对教育实践的影响；</w:t>
            </w:r>
          </w:p>
          <w:p w14:paraId="78B231BF">
            <w:pPr>
              <w:jc w:val="left"/>
              <w:rPr>
                <w:rFonts w:hint="eastAsia" w:ascii="宋体" w:hAnsi="宋体"/>
                <w:kern w:val="0"/>
                <w:szCs w:val="21"/>
              </w:rPr>
            </w:pPr>
            <w:r>
              <w:rPr>
                <w:rFonts w:hint="eastAsia" w:ascii="宋体" w:hAnsi="宋体"/>
                <w:kern w:val="0"/>
                <w:szCs w:val="21"/>
              </w:rPr>
              <w:t>（3）从实际出发，分析当代教育实践中存在的人性论问题，理解“以人为本”的内涵以及现代教育的人性关怀。</w:t>
            </w:r>
          </w:p>
        </w:tc>
        <w:tc>
          <w:tcPr>
            <w:tcW w:w="1372" w:type="dxa"/>
            <w:vAlign w:val="center"/>
          </w:tcPr>
          <w:p w14:paraId="672B5A01">
            <w:pPr>
              <w:jc w:val="left"/>
              <w:rPr>
                <w:rFonts w:hint="eastAsia" w:ascii="宋体" w:hAnsi="宋体"/>
                <w:kern w:val="0"/>
                <w:szCs w:val="21"/>
              </w:rPr>
            </w:pPr>
            <w:r>
              <w:rPr>
                <w:rFonts w:ascii="宋体" w:hAnsi="宋体"/>
                <w:kern w:val="0"/>
                <w:szCs w:val="21"/>
              </w:rPr>
              <w:t>1.</w:t>
            </w:r>
            <w:r>
              <w:rPr>
                <w:rFonts w:hint="eastAsia" w:ascii="宋体" w:hAnsi="宋体"/>
                <w:kern w:val="0"/>
                <w:szCs w:val="21"/>
              </w:rPr>
              <w:t>自主</w:t>
            </w:r>
            <w:r>
              <w:rPr>
                <w:rFonts w:ascii="宋体" w:hAnsi="宋体"/>
                <w:kern w:val="0"/>
                <w:szCs w:val="21"/>
              </w:rPr>
              <w:t>学习</w:t>
            </w:r>
          </w:p>
          <w:p w14:paraId="0528CEAE">
            <w:pPr>
              <w:jc w:val="left"/>
              <w:rPr>
                <w:rFonts w:hint="eastAsia" w:ascii="宋体" w:hAnsi="宋体"/>
                <w:kern w:val="0"/>
                <w:szCs w:val="21"/>
              </w:rPr>
            </w:pPr>
            <w:r>
              <w:rPr>
                <w:rFonts w:ascii="宋体" w:hAnsi="宋体"/>
                <w:kern w:val="0"/>
                <w:szCs w:val="21"/>
              </w:rPr>
              <w:t>2.多媒体教学</w:t>
            </w:r>
          </w:p>
          <w:p w14:paraId="098D956C">
            <w:pPr>
              <w:jc w:val="left"/>
              <w:rPr>
                <w:rFonts w:hint="eastAsia" w:ascii="宋体" w:hAnsi="宋体"/>
                <w:kern w:val="0"/>
                <w:szCs w:val="21"/>
              </w:rPr>
            </w:pPr>
            <w:r>
              <w:rPr>
                <w:rFonts w:ascii="宋体" w:hAnsi="宋体"/>
                <w:kern w:val="0"/>
                <w:szCs w:val="21"/>
              </w:rPr>
              <w:t>3.课堂讨论</w:t>
            </w:r>
          </w:p>
          <w:p w14:paraId="17AA0A28">
            <w:pPr>
              <w:jc w:val="left"/>
              <w:rPr>
                <w:rFonts w:hint="eastAsia" w:ascii="宋体" w:hAnsi="宋体"/>
                <w:kern w:val="0"/>
                <w:szCs w:val="21"/>
              </w:rPr>
            </w:pPr>
            <w:r>
              <w:rPr>
                <w:rFonts w:ascii="宋体" w:hAnsi="宋体"/>
                <w:kern w:val="0"/>
                <w:szCs w:val="21"/>
              </w:rPr>
              <w:t>4.</w:t>
            </w:r>
            <w:r>
              <w:rPr>
                <w:rFonts w:hint="eastAsia" w:ascii="宋体" w:hAnsi="宋体"/>
                <w:kern w:val="0"/>
                <w:szCs w:val="21"/>
              </w:rPr>
              <w:t>小组合作与汇报</w:t>
            </w:r>
          </w:p>
        </w:tc>
        <w:tc>
          <w:tcPr>
            <w:tcW w:w="514" w:type="dxa"/>
            <w:gridSpan w:val="2"/>
            <w:vAlign w:val="center"/>
          </w:tcPr>
          <w:p w14:paraId="715463AA">
            <w:pPr>
              <w:jc w:val="center"/>
              <w:rPr>
                <w:rFonts w:hint="eastAsia" w:ascii="宋体" w:hAnsi="宋体"/>
                <w:kern w:val="0"/>
                <w:szCs w:val="21"/>
              </w:rPr>
            </w:pPr>
            <w:r>
              <w:rPr>
                <w:rFonts w:hint="eastAsia" w:ascii="宋体" w:hAnsi="宋体"/>
                <w:kern w:val="0"/>
                <w:szCs w:val="21"/>
              </w:rPr>
              <w:t>4</w:t>
            </w:r>
          </w:p>
        </w:tc>
      </w:tr>
      <w:tr w14:paraId="1CCF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520A6FAB">
            <w:pPr>
              <w:jc w:val="center"/>
              <w:rPr>
                <w:rFonts w:hint="eastAsia" w:ascii="宋体" w:hAnsi="宋体"/>
                <w:kern w:val="0"/>
                <w:szCs w:val="21"/>
              </w:rPr>
            </w:pPr>
          </w:p>
        </w:tc>
        <w:tc>
          <w:tcPr>
            <w:tcW w:w="8095" w:type="dxa"/>
            <w:gridSpan w:val="9"/>
            <w:vAlign w:val="center"/>
          </w:tcPr>
          <w:p w14:paraId="756AC9E3">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通过对人本身问题的追问和反思，深入理解人性论与教育活动的内在联系，坚持以人为本的原则，树立正确的学生观，促进每一个学生健康、和谐与可持续发展。</w:t>
            </w:r>
          </w:p>
        </w:tc>
      </w:tr>
      <w:tr w14:paraId="7C72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0442294">
            <w:pPr>
              <w:jc w:val="center"/>
              <w:rPr>
                <w:rFonts w:hint="eastAsia" w:ascii="宋体" w:hAnsi="宋体"/>
                <w:kern w:val="0"/>
                <w:szCs w:val="21"/>
              </w:rPr>
            </w:pPr>
            <w:r>
              <w:rPr>
                <w:rFonts w:hint="eastAsia" w:ascii="宋体" w:hAnsi="宋体"/>
                <w:kern w:val="0"/>
                <w:szCs w:val="21"/>
              </w:rPr>
              <w:t>5.</w:t>
            </w:r>
            <w:r>
              <w:rPr>
                <w:rFonts w:hint="eastAsia"/>
                <w:kern w:val="0"/>
                <w:szCs w:val="21"/>
              </w:rPr>
              <w:t xml:space="preserve"> </w:t>
            </w:r>
            <w:r>
              <w:rPr>
                <w:rFonts w:hint="eastAsia" w:ascii="宋体" w:hAnsi="宋体"/>
                <w:kern w:val="0"/>
                <w:szCs w:val="21"/>
              </w:rPr>
              <w:t>认识论与教育</w:t>
            </w:r>
          </w:p>
        </w:tc>
        <w:tc>
          <w:tcPr>
            <w:tcW w:w="1467" w:type="dxa"/>
            <w:vAlign w:val="center"/>
          </w:tcPr>
          <w:p w14:paraId="00EF73F7">
            <w:pPr>
              <w:jc w:val="left"/>
              <w:rPr>
                <w:rFonts w:hint="eastAsia" w:ascii="宋体" w:hAnsi="宋体"/>
                <w:kern w:val="0"/>
                <w:szCs w:val="21"/>
              </w:rPr>
            </w:pPr>
            <w:r>
              <w:rPr>
                <w:rFonts w:hint="eastAsia" w:ascii="宋体" w:hAnsi="宋体"/>
                <w:kern w:val="0"/>
                <w:szCs w:val="21"/>
              </w:rPr>
              <w:t>（1）认识论概述</w:t>
            </w:r>
          </w:p>
          <w:p w14:paraId="7D40894B">
            <w:pPr>
              <w:jc w:val="left"/>
              <w:rPr>
                <w:rFonts w:hint="eastAsia" w:ascii="宋体" w:hAnsi="宋体"/>
                <w:kern w:val="0"/>
                <w:szCs w:val="21"/>
              </w:rPr>
            </w:pPr>
            <w:r>
              <w:rPr>
                <w:rFonts w:hint="eastAsia" w:ascii="宋体" w:hAnsi="宋体"/>
                <w:kern w:val="0"/>
                <w:szCs w:val="21"/>
              </w:rPr>
              <w:t>（2）知识的性质、类型与课程</w:t>
            </w:r>
          </w:p>
          <w:p w14:paraId="2FDFF5CA">
            <w:pPr>
              <w:jc w:val="left"/>
              <w:rPr>
                <w:rFonts w:hint="eastAsia" w:ascii="宋体" w:hAnsi="宋体"/>
                <w:kern w:val="0"/>
                <w:szCs w:val="21"/>
              </w:rPr>
            </w:pPr>
            <w:r>
              <w:rPr>
                <w:rFonts w:hint="eastAsia" w:ascii="宋体" w:hAnsi="宋体"/>
                <w:kern w:val="0"/>
                <w:szCs w:val="21"/>
              </w:rPr>
              <w:t>（3）教育中的批判性思维</w:t>
            </w:r>
          </w:p>
        </w:tc>
        <w:tc>
          <w:tcPr>
            <w:tcW w:w="1159" w:type="dxa"/>
            <w:gridSpan w:val="2"/>
            <w:vAlign w:val="center"/>
          </w:tcPr>
          <w:p w14:paraId="3DE508D8">
            <w:pPr>
              <w:jc w:val="center"/>
              <w:rPr>
                <w:rFonts w:hint="eastAsia" w:ascii="宋体" w:hAnsi="宋体"/>
                <w:kern w:val="0"/>
                <w:szCs w:val="21"/>
              </w:rPr>
            </w:pPr>
            <w:r>
              <w:rPr>
                <w:rFonts w:hint="eastAsia" w:ascii="宋体" w:hAnsi="宋体"/>
                <w:kern w:val="0"/>
                <w:szCs w:val="21"/>
              </w:rPr>
              <w:t>课程目标1、3、4</w:t>
            </w:r>
          </w:p>
        </w:tc>
        <w:tc>
          <w:tcPr>
            <w:tcW w:w="3583" w:type="dxa"/>
            <w:gridSpan w:val="3"/>
            <w:vAlign w:val="center"/>
          </w:tcPr>
          <w:p w14:paraId="169124BB">
            <w:pPr>
              <w:jc w:val="left"/>
              <w:rPr>
                <w:rFonts w:hint="eastAsia" w:ascii="宋体" w:hAnsi="宋体"/>
                <w:kern w:val="0"/>
                <w:szCs w:val="21"/>
              </w:rPr>
            </w:pPr>
            <w:r>
              <w:rPr>
                <w:rFonts w:hint="eastAsia" w:ascii="宋体" w:hAnsi="宋体"/>
                <w:kern w:val="0"/>
                <w:szCs w:val="21"/>
              </w:rPr>
              <w:t>（1）了解和评析中国传统和西方认识论，深入理解马克思主义认识论；</w:t>
            </w:r>
          </w:p>
          <w:p w14:paraId="593AE0BD">
            <w:pPr>
              <w:jc w:val="left"/>
              <w:rPr>
                <w:rFonts w:hint="eastAsia" w:ascii="宋体" w:hAnsi="宋体"/>
                <w:kern w:val="0"/>
                <w:szCs w:val="21"/>
              </w:rPr>
            </w:pPr>
            <w:r>
              <w:rPr>
                <w:rFonts w:hint="eastAsia" w:ascii="宋体" w:hAnsi="宋体"/>
                <w:kern w:val="0"/>
                <w:szCs w:val="21"/>
              </w:rPr>
              <w:t>（2）了解知识的性质与学科性质，掌握知识类型与课程建构的规律，理解课程建构和教育教学中的知识选择；</w:t>
            </w:r>
          </w:p>
          <w:p w14:paraId="42CCA573">
            <w:pPr>
              <w:jc w:val="left"/>
              <w:rPr>
                <w:rFonts w:hint="eastAsia" w:ascii="宋体" w:hAnsi="宋体"/>
                <w:kern w:val="0"/>
                <w:szCs w:val="21"/>
              </w:rPr>
            </w:pPr>
            <w:r>
              <w:rPr>
                <w:rFonts w:hint="eastAsia" w:ascii="宋体" w:hAnsi="宋体"/>
                <w:kern w:val="0"/>
                <w:szCs w:val="21"/>
              </w:rPr>
              <w:t>（3）理解批判性思维的概念及其与创造力培养的关系，把握批判性思维的教与学的原则要求；</w:t>
            </w:r>
          </w:p>
          <w:p w14:paraId="3FF4111B">
            <w:pPr>
              <w:jc w:val="left"/>
              <w:rPr>
                <w:rFonts w:hint="eastAsia" w:ascii="宋体" w:hAnsi="宋体"/>
                <w:kern w:val="0"/>
                <w:szCs w:val="21"/>
              </w:rPr>
            </w:pPr>
            <w:r>
              <w:rPr>
                <w:rFonts w:hint="eastAsia" w:ascii="宋体" w:hAnsi="宋体"/>
                <w:kern w:val="0"/>
                <w:szCs w:val="21"/>
              </w:rPr>
              <w:t>（4）能够就当前我国课程与教学改革中的若干问题从认识论视角进行分析。</w:t>
            </w:r>
          </w:p>
        </w:tc>
        <w:tc>
          <w:tcPr>
            <w:tcW w:w="1372" w:type="dxa"/>
            <w:vAlign w:val="center"/>
          </w:tcPr>
          <w:p w14:paraId="11411AF8">
            <w:pPr>
              <w:jc w:val="left"/>
              <w:rPr>
                <w:rFonts w:hint="eastAsia" w:ascii="宋体" w:hAnsi="宋体"/>
                <w:kern w:val="0"/>
                <w:szCs w:val="21"/>
              </w:rPr>
            </w:pPr>
            <w:r>
              <w:rPr>
                <w:rFonts w:ascii="宋体" w:hAnsi="宋体"/>
                <w:kern w:val="0"/>
                <w:szCs w:val="21"/>
              </w:rPr>
              <w:t>1.</w:t>
            </w:r>
            <w:r>
              <w:rPr>
                <w:rFonts w:hint="eastAsia" w:ascii="宋体" w:hAnsi="宋体"/>
                <w:kern w:val="0"/>
                <w:szCs w:val="21"/>
              </w:rPr>
              <w:t>自主</w:t>
            </w:r>
            <w:r>
              <w:rPr>
                <w:rFonts w:ascii="宋体" w:hAnsi="宋体"/>
                <w:kern w:val="0"/>
                <w:szCs w:val="21"/>
              </w:rPr>
              <w:t>学习</w:t>
            </w:r>
          </w:p>
          <w:p w14:paraId="09B44DA0">
            <w:pPr>
              <w:jc w:val="left"/>
              <w:rPr>
                <w:rFonts w:hint="eastAsia" w:ascii="宋体" w:hAnsi="宋体"/>
                <w:kern w:val="0"/>
                <w:szCs w:val="21"/>
              </w:rPr>
            </w:pPr>
            <w:r>
              <w:rPr>
                <w:rFonts w:ascii="宋体" w:hAnsi="宋体"/>
                <w:kern w:val="0"/>
                <w:szCs w:val="21"/>
              </w:rPr>
              <w:t>2.多媒体教学</w:t>
            </w:r>
          </w:p>
          <w:p w14:paraId="6512A912">
            <w:pPr>
              <w:jc w:val="left"/>
              <w:rPr>
                <w:rFonts w:hint="eastAsia" w:ascii="宋体" w:hAnsi="宋体"/>
                <w:kern w:val="0"/>
                <w:szCs w:val="21"/>
              </w:rPr>
            </w:pPr>
            <w:r>
              <w:rPr>
                <w:rFonts w:ascii="宋体" w:hAnsi="宋体"/>
                <w:kern w:val="0"/>
                <w:szCs w:val="21"/>
              </w:rPr>
              <w:t>3.课堂讨论</w:t>
            </w:r>
          </w:p>
        </w:tc>
        <w:tc>
          <w:tcPr>
            <w:tcW w:w="514" w:type="dxa"/>
            <w:gridSpan w:val="2"/>
            <w:vAlign w:val="center"/>
          </w:tcPr>
          <w:p w14:paraId="17ED0F5A">
            <w:pPr>
              <w:jc w:val="center"/>
              <w:rPr>
                <w:rFonts w:hint="eastAsia" w:ascii="宋体" w:hAnsi="宋体"/>
                <w:kern w:val="0"/>
                <w:szCs w:val="21"/>
              </w:rPr>
            </w:pPr>
            <w:r>
              <w:rPr>
                <w:rFonts w:hint="eastAsia" w:ascii="宋体" w:hAnsi="宋体"/>
                <w:kern w:val="0"/>
                <w:szCs w:val="21"/>
              </w:rPr>
              <w:t>3</w:t>
            </w:r>
          </w:p>
        </w:tc>
      </w:tr>
      <w:tr w14:paraId="4DD6C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5777234C">
            <w:pPr>
              <w:jc w:val="center"/>
              <w:rPr>
                <w:rFonts w:hint="eastAsia" w:ascii="宋体" w:hAnsi="宋体"/>
                <w:kern w:val="0"/>
                <w:szCs w:val="21"/>
              </w:rPr>
            </w:pPr>
          </w:p>
        </w:tc>
        <w:tc>
          <w:tcPr>
            <w:tcW w:w="8095" w:type="dxa"/>
            <w:gridSpan w:val="9"/>
            <w:vAlign w:val="center"/>
          </w:tcPr>
          <w:p w14:paraId="10920BAE">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使师范生从唯物主义出发，辩证地、历史地按照事物本身去认识事物，并进行主动的、持续的和审慎的思考，养成批判性思维。同时，使学生在理解知识真正内涵的基础上进一步把握知识的承载者所具有的国家性质和民族意义，增强学生掌握知识服务人类、服务国家、服务社会的伦理自觉性。</w:t>
            </w:r>
          </w:p>
        </w:tc>
      </w:tr>
      <w:tr w14:paraId="6B016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43F79C46">
            <w:pPr>
              <w:jc w:val="center"/>
              <w:rPr>
                <w:rFonts w:hint="eastAsia" w:ascii="宋体" w:hAnsi="宋体"/>
                <w:kern w:val="0"/>
                <w:szCs w:val="21"/>
              </w:rPr>
            </w:pPr>
            <w:r>
              <w:rPr>
                <w:rFonts w:hint="eastAsia" w:ascii="宋体" w:hAnsi="宋体"/>
                <w:kern w:val="0"/>
                <w:szCs w:val="21"/>
              </w:rPr>
              <w:t>6.</w:t>
            </w:r>
            <w:r>
              <w:rPr>
                <w:rFonts w:hint="eastAsia"/>
                <w:kern w:val="0"/>
                <w:szCs w:val="21"/>
              </w:rPr>
              <w:t xml:space="preserve"> </w:t>
            </w:r>
            <w:r>
              <w:rPr>
                <w:rFonts w:hint="eastAsia" w:ascii="宋体" w:hAnsi="宋体"/>
                <w:kern w:val="0"/>
                <w:szCs w:val="21"/>
              </w:rPr>
              <w:t>价值论与教育</w:t>
            </w:r>
          </w:p>
        </w:tc>
        <w:tc>
          <w:tcPr>
            <w:tcW w:w="1467" w:type="dxa"/>
            <w:vAlign w:val="center"/>
          </w:tcPr>
          <w:p w14:paraId="0D32F8B5">
            <w:pPr>
              <w:jc w:val="left"/>
              <w:rPr>
                <w:rFonts w:hint="eastAsia" w:ascii="宋体" w:hAnsi="宋体"/>
                <w:kern w:val="0"/>
                <w:szCs w:val="21"/>
              </w:rPr>
            </w:pPr>
            <w:r>
              <w:rPr>
                <w:rFonts w:hint="eastAsia" w:ascii="宋体" w:hAnsi="宋体"/>
                <w:kern w:val="0"/>
                <w:szCs w:val="21"/>
              </w:rPr>
              <w:t>（1）价值论概述</w:t>
            </w:r>
          </w:p>
          <w:p w14:paraId="777BF1F8">
            <w:pPr>
              <w:jc w:val="left"/>
              <w:rPr>
                <w:rFonts w:hint="eastAsia" w:ascii="宋体" w:hAnsi="宋体"/>
                <w:kern w:val="0"/>
                <w:szCs w:val="21"/>
              </w:rPr>
            </w:pPr>
            <w:r>
              <w:rPr>
                <w:rFonts w:hint="eastAsia" w:ascii="宋体" w:hAnsi="宋体"/>
                <w:kern w:val="0"/>
                <w:szCs w:val="21"/>
              </w:rPr>
              <w:t>（2）教育价值</w:t>
            </w:r>
          </w:p>
          <w:p w14:paraId="68FEBC77">
            <w:pPr>
              <w:jc w:val="left"/>
              <w:rPr>
                <w:rFonts w:hint="eastAsia" w:ascii="宋体" w:hAnsi="宋体"/>
                <w:kern w:val="0"/>
                <w:szCs w:val="21"/>
              </w:rPr>
            </w:pPr>
            <w:r>
              <w:rPr>
                <w:rFonts w:hint="eastAsia" w:ascii="宋体" w:hAnsi="宋体"/>
                <w:kern w:val="0"/>
                <w:szCs w:val="21"/>
              </w:rPr>
              <w:t>（3）价值教育的理论与实践</w:t>
            </w:r>
          </w:p>
        </w:tc>
        <w:tc>
          <w:tcPr>
            <w:tcW w:w="1159" w:type="dxa"/>
            <w:gridSpan w:val="2"/>
            <w:vAlign w:val="center"/>
          </w:tcPr>
          <w:p w14:paraId="0F91075C">
            <w:pPr>
              <w:jc w:val="center"/>
              <w:rPr>
                <w:rFonts w:hint="eastAsia" w:ascii="宋体" w:hAnsi="宋体"/>
                <w:kern w:val="0"/>
                <w:szCs w:val="21"/>
              </w:rPr>
            </w:pPr>
            <w:r>
              <w:rPr>
                <w:rFonts w:hint="eastAsia" w:ascii="宋体" w:hAnsi="宋体"/>
                <w:kern w:val="0"/>
                <w:szCs w:val="21"/>
              </w:rPr>
              <w:t>课程目标1、2、3</w:t>
            </w:r>
          </w:p>
        </w:tc>
        <w:tc>
          <w:tcPr>
            <w:tcW w:w="3583" w:type="dxa"/>
            <w:gridSpan w:val="3"/>
            <w:vAlign w:val="center"/>
          </w:tcPr>
          <w:p w14:paraId="49D41E00">
            <w:pPr>
              <w:jc w:val="left"/>
              <w:rPr>
                <w:rFonts w:hint="eastAsia" w:ascii="宋体" w:hAnsi="宋体"/>
                <w:kern w:val="0"/>
                <w:szCs w:val="21"/>
              </w:rPr>
            </w:pPr>
            <w:r>
              <w:rPr>
                <w:rFonts w:hint="eastAsia" w:ascii="宋体" w:hAnsi="宋体"/>
                <w:kern w:val="0"/>
                <w:szCs w:val="21"/>
              </w:rPr>
              <w:t>（1）了解价值和价值论的基本概念；</w:t>
            </w:r>
          </w:p>
          <w:p w14:paraId="698FCE13">
            <w:pPr>
              <w:jc w:val="left"/>
              <w:rPr>
                <w:rFonts w:hint="eastAsia" w:ascii="宋体" w:hAnsi="宋体"/>
                <w:kern w:val="0"/>
                <w:szCs w:val="21"/>
              </w:rPr>
            </w:pPr>
            <w:r>
              <w:rPr>
                <w:rFonts w:hint="eastAsia" w:ascii="宋体" w:hAnsi="宋体"/>
                <w:kern w:val="0"/>
                <w:szCs w:val="21"/>
              </w:rPr>
              <w:t>（2）理解中国传统价值论、西方主要的价值思潮，重点学习和掌握马克思主义价值思想；</w:t>
            </w:r>
          </w:p>
          <w:p w14:paraId="4CE19434">
            <w:pPr>
              <w:jc w:val="left"/>
              <w:rPr>
                <w:rFonts w:hint="eastAsia" w:ascii="宋体" w:hAnsi="宋体"/>
                <w:kern w:val="0"/>
                <w:szCs w:val="21"/>
              </w:rPr>
            </w:pPr>
            <w:r>
              <w:rPr>
                <w:rFonts w:hint="eastAsia" w:ascii="宋体" w:hAnsi="宋体"/>
                <w:kern w:val="0"/>
                <w:szCs w:val="21"/>
              </w:rPr>
              <w:t>（3）理解教育价值的概念、类型和秩序，能够结合实际理解教育价值冲突的本质是教育价值排序的不同，把握当代中国教育改革的基本价值取向；</w:t>
            </w:r>
          </w:p>
          <w:p w14:paraId="04FF7EEA">
            <w:pPr>
              <w:jc w:val="left"/>
              <w:rPr>
                <w:rFonts w:hint="eastAsia" w:ascii="宋体" w:hAnsi="宋体"/>
                <w:kern w:val="0"/>
                <w:szCs w:val="21"/>
              </w:rPr>
            </w:pPr>
            <w:r>
              <w:rPr>
                <w:rFonts w:hint="eastAsia" w:ascii="宋体" w:hAnsi="宋体"/>
                <w:kern w:val="0"/>
                <w:szCs w:val="21"/>
              </w:rPr>
              <w:t>（4）理解价值教育的概念及在人的全面自由发展中的作用，批判性地看待20世纪英美主要的价值教育思想，重点掌握新时代我国社会主义核心价值观教育的主要内容和途径。</w:t>
            </w:r>
          </w:p>
        </w:tc>
        <w:tc>
          <w:tcPr>
            <w:tcW w:w="1372" w:type="dxa"/>
            <w:vAlign w:val="center"/>
          </w:tcPr>
          <w:p w14:paraId="58B47953">
            <w:pPr>
              <w:jc w:val="left"/>
              <w:rPr>
                <w:rFonts w:hint="eastAsia" w:ascii="宋体" w:hAnsi="宋体"/>
                <w:kern w:val="0"/>
                <w:szCs w:val="21"/>
              </w:rPr>
            </w:pPr>
            <w:r>
              <w:rPr>
                <w:rFonts w:ascii="宋体" w:hAnsi="宋体"/>
                <w:kern w:val="0"/>
                <w:szCs w:val="21"/>
              </w:rPr>
              <w:t>1.</w:t>
            </w:r>
            <w:r>
              <w:rPr>
                <w:rFonts w:hint="eastAsia" w:ascii="宋体" w:hAnsi="宋体"/>
                <w:kern w:val="0"/>
                <w:szCs w:val="21"/>
              </w:rPr>
              <w:t>自主</w:t>
            </w:r>
            <w:r>
              <w:rPr>
                <w:rFonts w:ascii="宋体" w:hAnsi="宋体"/>
                <w:kern w:val="0"/>
                <w:szCs w:val="21"/>
              </w:rPr>
              <w:t>学习</w:t>
            </w:r>
          </w:p>
          <w:p w14:paraId="1E9F4656">
            <w:pPr>
              <w:jc w:val="left"/>
              <w:rPr>
                <w:rFonts w:hint="eastAsia" w:ascii="宋体" w:hAnsi="宋体"/>
                <w:kern w:val="0"/>
                <w:szCs w:val="21"/>
              </w:rPr>
            </w:pPr>
            <w:r>
              <w:rPr>
                <w:rFonts w:ascii="宋体" w:hAnsi="宋体"/>
                <w:kern w:val="0"/>
                <w:szCs w:val="21"/>
              </w:rPr>
              <w:t>2.多媒体教学</w:t>
            </w:r>
          </w:p>
          <w:p w14:paraId="5F5A1B45">
            <w:pPr>
              <w:jc w:val="left"/>
              <w:rPr>
                <w:rFonts w:hint="eastAsia" w:ascii="宋体" w:hAnsi="宋体"/>
                <w:kern w:val="0"/>
                <w:szCs w:val="21"/>
              </w:rPr>
            </w:pPr>
            <w:r>
              <w:rPr>
                <w:rFonts w:ascii="宋体" w:hAnsi="宋体"/>
                <w:kern w:val="0"/>
                <w:szCs w:val="21"/>
              </w:rPr>
              <w:t>3.课堂讨论</w:t>
            </w:r>
          </w:p>
          <w:p w14:paraId="1ED51197">
            <w:pPr>
              <w:jc w:val="left"/>
              <w:rPr>
                <w:rFonts w:hint="eastAsia" w:ascii="宋体" w:hAnsi="宋体"/>
                <w:kern w:val="0"/>
                <w:szCs w:val="21"/>
              </w:rPr>
            </w:pPr>
          </w:p>
        </w:tc>
        <w:tc>
          <w:tcPr>
            <w:tcW w:w="514" w:type="dxa"/>
            <w:gridSpan w:val="2"/>
            <w:vAlign w:val="center"/>
          </w:tcPr>
          <w:p w14:paraId="6F109A6E">
            <w:pPr>
              <w:jc w:val="center"/>
              <w:rPr>
                <w:rFonts w:hint="eastAsia" w:ascii="宋体" w:hAnsi="宋体"/>
                <w:kern w:val="0"/>
                <w:szCs w:val="21"/>
              </w:rPr>
            </w:pPr>
            <w:r>
              <w:rPr>
                <w:rFonts w:hint="eastAsia" w:ascii="宋体" w:hAnsi="宋体"/>
                <w:kern w:val="0"/>
                <w:szCs w:val="21"/>
              </w:rPr>
              <w:t>3</w:t>
            </w:r>
          </w:p>
        </w:tc>
      </w:tr>
      <w:tr w14:paraId="58BA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2ED56B10">
            <w:pPr>
              <w:jc w:val="center"/>
              <w:rPr>
                <w:rFonts w:hint="eastAsia" w:ascii="宋体" w:hAnsi="宋体"/>
                <w:kern w:val="0"/>
                <w:szCs w:val="21"/>
              </w:rPr>
            </w:pPr>
          </w:p>
        </w:tc>
        <w:tc>
          <w:tcPr>
            <w:tcW w:w="8095" w:type="dxa"/>
            <w:gridSpan w:val="9"/>
            <w:vAlign w:val="center"/>
          </w:tcPr>
          <w:p w14:paraId="4C78FE22">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通过把握当代中国教育改革的基本价值取向，使师范生在未来的教育教学实践中推进价值教育实践，更好地完成立德树人根本任务。同时加强对师范生的核心主义价值观教育，为其扣好第一粒扣子。</w:t>
            </w:r>
          </w:p>
        </w:tc>
      </w:tr>
      <w:tr w14:paraId="5776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7AC86472">
            <w:pPr>
              <w:jc w:val="center"/>
              <w:rPr>
                <w:rFonts w:hint="eastAsia" w:ascii="宋体" w:hAnsi="宋体"/>
                <w:kern w:val="0"/>
                <w:szCs w:val="21"/>
              </w:rPr>
            </w:pPr>
            <w:r>
              <w:rPr>
                <w:rFonts w:hint="eastAsia" w:ascii="宋体" w:hAnsi="宋体"/>
                <w:kern w:val="0"/>
                <w:szCs w:val="21"/>
              </w:rPr>
              <w:t>7.</w:t>
            </w:r>
            <w:r>
              <w:rPr>
                <w:rFonts w:hint="eastAsia"/>
                <w:kern w:val="0"/>
                <w:szCs w:val="21"/>
              </w:rPr>
              <w:t xml:space="preserve"> </w:t>
            </w:r>
            <w:r>
              <w:rPr>
                <w:rFonts w:hint="eastAsia" w:ascii="宋体" w:hAnsi="宋体"/>
                <w:kern w:val="0"/>
                <w:szCs w:val="21"/>
              </w:rPr>
              <w:t>伦理学与教育</w:t>
            </w:r>
          </w:p>
        </w:tc>
        <w:tc>
          <w:tcPr>
            <w:tcW w:w="1467" w:type="dxa"/>
            <w:vAlign w:val="center"/>
          </w:tcPr>
          <w:p w14:paraId="74C254DC">
            <w:pPr>
              <w:jc w:val="left"/>
              <w:rPr>
                <w:rFonts w:hint="eastAsia" w:ascii="宋体" w:hAnsi="宋体"/>
                <w:kern w:val="0"/>
                <w:szCs w:val="21"/>
              </w:rPr>
            </w:pPr>
            <w:r>
              <w:rPr>
                <w:rFonts w:hint="eastAsia" w:ascii="宋体" w:hAnsi="宋体"/>
                <w:kern w:val="0"/>
                <w:szCs w:val="21"/>
              </w:rPr>
              <w:t>（1）伦理学概述</w:t>
            </w:r>
          </w:p>
          <w:p w14:paraId="5E3E680B">
            <w:pPr>
              <w:jc w:val="left"/>
              <w:rPr>
                <w:rFonts w:hint="eastAsia" w:ascii="宋体" w:hAnsi="宋体"/>
                <w:kern w:val="0"/>
                <w:szCs w:val="21"/>
              </w:rPr>
            </w:pPr>
            <w:r>
              <w:rPr>
                <w:rFonts w:hint="eastAsia" w:ascii="宋体" w:hAnsi="宋体"/>
                <w:kern w:val="0"/>
                <w:szCs w:val="21"/>
              </w:rPr>
              <w:t>（2）道德教育的伦理学基础</w:t>
            </w:r>
          </w:p>
          <w:p w14:paraId="1B2A4C09">
            <w:pPr>
              <w:jc w:val="left"/>
              <w:rPr>
                <w:rFonts w:hint="eastAsia" w:ascii="宋体" w:hAnsi="宋体"/>
                <w:kern w:val="0"/>
                <w:szCs w:val="21"/>
              </w:rPr>
            </w:pPr>
            <w:r>
              <w:rPr>
                <w:rFonts w:hint="eastAsia" w:ascii="宋体" w:hAnsi="宋体"/>
                <w:kern w:val="0"/>
                <w:szCs w:val="21"/>
              </w:rPr>
              <w:t>（3）教育活动中的伦理问题</w:t>
            </w:r>
          </w:p>
        </w:tc>
        <w:tc>
          <w:tcPr>
            <w:tcW w:w="1159" w:type="dxa"/>
            <w:gridSpan w:val="2"/>
            <w:vAlign w:val="center"/>
          </w:tcPr>
          <w:p w14:paraId="40B3A72C">
            <w:pPr>
              <w:jc w:val="center"/>
              <w:rPr>
                <w:rFonts w:hint="eastAsia" w:ascii="宋体" w:hAnsi="宋体"/>
                <w:kern w:val="0"/>
                <w:szCs w:val="21"/>
              </w:rPr>
            </w:pPr>
            <w:r>
              <w:rPr>
                <w:rFonts w:hint="eastAsia" w:ascii="宋体" w:hAnsi="宋体"/>
                <w:kern w:val="0"/>
                <w:szCs w:val="21"/>
              </w:rPr>
              <w:t>课程目标1、2、3</w:t>
            </w:r>
          </w:p>
        </w:tc>
        <w:tc>
          <w:tcPr>
            <w:tcW w:w="3583" w:type="dxa"/>
            <w:gridSpan w:val="3"/>
            <w:vAlign w:val="center"/>
          </w:tcPr>
          <w:p w14:paraId="47211BC6">
            <w:pPr>
              <w:jc w:val="left"/>
              <w:rPr>
                <w:rFonts w:hint="eastAsia" w:ascii="宋体" w:hAnsi="宋体"/>
                <w:kern w:val="0"/>
                <w:szCs w:val="21"/>
              </w:rPr>
            </w:pPr>
            <w:r>
              <w:rPr>
                <w:rFonts w:hint="eastAsia" w:ascii="宋体" w:hAnsi="宋体"/>
                <w:kern w:val="0"/>
                <w:szCs w:val="21"/>
              </w:rPr>
              <w:t>（1）了解中国传统的伦理学、西方伦理学的主要流派，重点学习和掌握马克思主义伦理学；</w:t>
            </w:r>
          </w:p>
          <w:p w14:paraId="5C335E22">
            <w:pPr>
              <w:jc w:val="left"/>
              <w:rPr>
                <w:rFonts w:hint="eastAsia" w:ascii="宋体" w:hAnsi="宋体"/>
                <w:kern w:val="0"/>
                <w:szCs w:val="21"/>
              </w:rPr>
            </w:pPr>
            <w:r>
              <w:rPr>
                <w:rFonts w:hint="eastAsia" w:ascii="宋体" w:hAnsi="宋体"/>
                <w:kern w:val="0"/>
                <w:szCs w:val="21"/>
              </w:rPr>
              <w:t>（2）理解道德教育的伦理学基础，包括德性伦理学、功利主义伦理学、义务论伦理学、元伦理学；</w:t>
            </w:r>
          </w:p>
          <w:p w14:paraId="39AF2B13">
            <w:pPr>
              <w:jc w:val="left"/>
              <w:rPr>
                <w:rFonts w:hint="eastAsia" w:ascii="宋体" w:hAnsi="宋体"/>
                <w:kern w:val="0"/>
                <w:szCs w:val="21"/>
              </w:rPr>
            </w:pPr>
            <w:r>
              <w:rPr>
                <w:rFonts w:hint="eastAsia" w:ascii="宋体" w:hAnsi="宋体"/>
                <w:kern w:val="0"/>
                <w:szCs w:val="21"/>
              </w:rPr>
              <w:t>（3）能够结合实际分析教育活动中的伦理问题。</w:t>
            </w:r>
          </w:p>
        </w:tc>
        <w:tc>
          <w:tcPr>
            <w:tcW w:w="1372" w:type="dxa"/>
            <w:vAlign w:val="center"/>
          </w:tcPr>
          <w:p w14:paraId="101440E3">
            <w:pPr>
              <w:jc w:val="left"/>
              <w:rPr>
                <w:rFonts w:hint="eastAsia" w:ascii="宋体" w:hAnsi="宋体"/>
                <w:kern w:val="0"/>
                <w:szCs w:val="21"/>
              </w:rPr>
            </w:pPr>
            <w:r>
              <w:rPr>
                <w:rFonts w:ascii="宋体" w:hAnsi="宋体"/>
                <w:kern w:val="0"/>
                <w:szCs w:val="21"/>
              </w:rPr>
              <w:t>1.</w:t>
            </w:r>
            <w:r>
              <w:rPr>
                <w:rFonts w:hint="eastAsia" w:ascii="宋体" w:hAnsi="宋体"/>
                <w:kern w:val="0"/>
                <w:szCs w:val="21"/>
              </w:rPr>
              <w:t>自主</w:t>
            </w:r>
            <w:r>
              <w:rPr>
                <w:rFonts w:ascii="宋体" w:hAnsi="宋体"/>
                <w:kern w:val="0"/>
                <w:szCs w:val="21"/>
              </w:rPr>
              <w:t>学习</w:t>
            </w:r>
          </w:p>
          <w:p w14:paraId="7409F4CA">
            <w:pPr>
              <w:jc w:val="left"/>
              <w:rPr>
                <w:rFonts w:hint="eastAsia" w:ascii="宋体" w:hAnsi="宋体"/>
                <w:kern w:val="0"/>
                <w:szCs w:val="21"/>
              </w:rPr>
            </w:pPr>
            <w:r>
              <w:rPr>
                <w:rFonts w:ascii="宋体" w:hAnsi="宋体"/>
                <w:kern w:val="0"/>
                <w:szCs w:val="21"/>
              </w:rPr>
              <w:t>2.多媒体教学</w:t>
            </w:r>
          </w:p>
          <w:p w14:paraId="3D00EFA8">
            <w:pPr>
              <w:jc w:val="left"/>
              <w:rPr>
                <w:rFonts w:hint="eastAsia" w:ascii="宋体" w:hAnsi="宋体"/>
                <w:kern w:val="0"/>
                <w:szCs w:val="21"/>
              </w:rPr>
            </w:pPr>
            <w:r>
              <w:rPr>
                <w:rFonts w:ascii="宋体" w:hAnsi="宋体"/>
                <w:kern w:val="0"/>
                <w:szCs w:val="21"/>
              </w:rPr>
              <w:t>3.课堂讨论</w:t>
            </w:r>
          </w:p>
          <w:p w14:paraId="67F6C6B0">
            <w:pPr>
              <w:jc w:val="left"/>
              <w:rPr>
                <w:rFonts w:hint="eastAsia" w:ascii="宋体" w:hAnsi="宋体"/>
                <w:kern w:val="0"/>
                <w:szCs w:val="21"/>
              </w:rPr>
            </w:pPr>
            <w:r>
              <w:rPr>
                <w:rFonts w:ascii="宋体" w:hAnsi="宋体"/>
                <w:kern w:val="0"/>
                <w:szCs w:val="21"/>
              </w:rPr>
              <w:t>4.</w:t>
            </w:r>
            <w:r>
              <w:rPr>
                <w:rFonts w:hint="eastAsia" w:ascii="宋体" w:hAnsi="宋体"/>
                <w:kern w:val="0"/>
                <w:szCs w:val="21"/>
              </w:rPr>
              <w:t>小组合作与汇报</w:t>
            </w:r>
          </w:p>
        </w:tc>
        <w:tc>
          <w:tcPr>
            <w:tcW w:w="514" w:type="dxa"/>
            <w:gridSpan w:val="2"/>
            <w:vAlign w:val="center"/>
          </w:tcPr>
          <w:p w14:paraId="013132CC">
            <w:pPr>
              <w:jc w:val="center"/>
              <w:rPr>
                <w:rFonts w:hint="eastAsia" w:ascii="宋体" w:hAnsi="宋体"/>
                <w:kern w:val="0"/>
                <w:szCs w:val="21"/>
              </w:rPr>
            </w:pPr>
            <w:r>
              <w:rPr>
                <w:rFonts w:hint="eastAsia" w:ascii="宋体" w:hAnsi="宋体"/>
                <w:kern w:val="0"/>
                <w:szCs w:val="21"/>
              </w:rPr>
              <w:t>3</w:t>
            </w:r>
          </w:p>
        </w:tc>
      </w:tr>
      <w:tr w14:paraId="34EA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72B2810C">
            <w:pPr>
              <w:jc w:val="center"/>
              <w:rPr>
                <w:rFonts w:hint="eastAsia" w:ascii="宋体" w:hAnsi="宋体"/>
                <w:kern w:val="0"/>
                <w:szCs w:val="21"/>
              </w:rPr>
            </w:pPr>
          </w:p>
        </w:tc>
        <w:tc>
          <w:tcPr>
            <w:tcW w:w="8095" w:type="dxa"/>
            <w:gridSpan w:val="9"/>
            <w:vAlign w:val="center"/>
          </w:tcPr>
          <w:p w14:paraId="450D93C2">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引导师范生对教育活动进行全面的伦理审视，保障教师专业操守，提升教育专业自信。</w:t>
            </w:r>
          </w:p>
        </w:tc>
      </w:tr>
      <w:tr w14:paraId="2776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1C23A0C2">
            <w:pPr>
              <w:jc w:val="center"/>
              <w:rPr>
                <w:rFonts w:hint="eastAsia" w:ascii="宋体" w:hAnsi="宋体"/>
                <w:kern w:val="0"/>
                <w:szCs w:val="21"/>
              </w:rPr>
            </w:pPr>
            <w:r>
              <w:rPr>
                <w:rFonts w:hint="eastAsia" w:ascii="宋体" w:hAnsi="宋体"/>
                <w:kern w:val="0"/>
                <w:szCs w:val="21"/>
              </w:rPr>
              <w:t>8.</w:t>
            </w:r>
            <w:r>
              <w:rPr>
                <w:rFonts w:hint="eastAsia"/>
                <w:kern w:val="0"/>
                <w:szCs w:val="21"/>
              </w:rPr>
              <w:t xml:space="preserve"> </w:t>
            </w:r>
            <w:r>
              <w:rPr>
                <w:rFonts w:hint="eastAsia" w:ascii="宋体" w:hAnsi="宋体"/>
                <w:kern w:val="0"/>
                <w:szCs w:val="21"/>
              </w:rPr>
              <w:t>美学与教育</w:t>
            </w:r>
          </w:p>
        </w:tc>
        <w:tc>
          <w:tcPr>
            <w:tcW w:w="1467" w:type="dxa"/>
            <w:vAlign w:val="center"/>
          </w:tcPr>
          <w:p w14:paraId="1DDAE069">
            <w:pPr>
              <w:jc w:val="left"/>
              <w:rPr>
                <w:rFonts w:hint="eastAsia" w:ascii="宋体" w:hAnsi="宋体"/>
                <w:kern w:val="0"/>
                <w:szCs w:val="21"/>
              </w:rPr>
            </w:pPr>
            <w:r>
              <w:rPr>
                <w:rFonts w:hint="eastAsia" w:ascii="宋体" w:hAnsi="宋体"/>
                <w:kern w:val="0"/>
                <w:szCs w:val="21"/>
              </w:rPr>
              <w:t>（1）美学概述</w:t>
            </w:r>
          </w:p>
          <w:p w14:paraId="70DFDCE1">
            <w:pPr>
              <w:jc w:val="left"/>
              <w:rPr>
                <w:rFonts w:hint="eastAsia" w:ascii="宋体" w:hAnsi="宋体"/>
                <w:kern w:val="0"/>
                <w:szCs w:val="21"/>
              </w:rPr>
            </w:pPr>
            <w:r>
              <w:rPr>
                <w:rFonts w:hint="eastAsia" w:ascii="宋体" w:hAnsi="宋体"/>
                <w:kern w:val="0"/>
                <w:szCs w:val="21"/>
              </w:rPr>
              <w:t>（2）美育的美学基础</w:t>
            </w:r>
          </w:p>
          <w:p w14:paraId="5729A18B">
            <w:pPr>
              <w:jc w:val="left"/>
              <w:rPr>
                <w:rFonts w:hint="eastAsia" w:ascii="宋体" w:hAnsi="宋体"/>
                <w:kern w:val="0"/>
                <w:szCs w:val="21"/>
              </w:rPr>
            </w:pPr>
            <w:r>
              <w:rPr>
                <w:rFonts w:hint="eastAsia" w:ascii="宋体" w:hAnsi="宋体"/>
                <w:kern w:val="0"/>
                <w:szCs w:val="21"/>
              </w:rPr>
              <w:t>（3）美育与人的创造性培养</w:t>
            </w:r>
          </w:p>
        </w:tc>
        <w:tc>
          <w:tcPr>
            <w:tcW w:w="1159" w:type="dxa"/>
            <w:gridSpan w:val="2"/>
            <w:vAlign w:val="center"/>
          </w:tcPr>
          <w:p w14:paraId="73272A6F">
            <w:pPr>
              <w:jc w:val="center"/>
              <w:rPr>
                <w:rFonts w:hint="eastAsia" w:ascii="宋体" w:hAnsi="宋体"/>
                <w:kern w:val="0"/>
                <w:szCs w:val="21"/>
              </w:rPr>
            </w:pPr>
            <w:r>
              <w:rPr>
                <w:rFonts w:hint="eastAsia" w:ascii="宋体" w:hAnsi="宋体"/>
                <w:kern w:val="0"/>
                <w:szCs w:val="21"/>
              </w:rPr>
              <w:t>课程目标1、3</w:t>
            </w:r>
          </w:p>
        </w:tc>
        <w:tc>
          <w:tcPr>
            <w:tcW w:w="3583" w:type="dxa"/>
            <w:gridSpan w:val="3"/>
            <w:vAlign w:val="center"/>
          </w:tcPr>
          <w:p w14:paraId="4093D577">
            <w:pPr>
              <w:jc w:val="left"/>
              <w:rPr>
                <w:rFonts w:hint="eastAsia" w:ascii="宋体" w:hAnsi="宋体"/>
                <w:kern w:val="0"/>
                <w:szCs w:val="21"/>
              </w:rPr>
            </w:pPr>
            <w:r>
              <w:rPr>
                <w:rFonts w:hint="eastAsia" w:ascii="宋体" w:hAnsi="宋体"/>
                <w:kern w:val="0"/>
                <w:szCs w:val="21"/>
              </w:rPr>
              <w:t>（1）了解中国传统的美学思想、西方主要的美学思想以及马克思主义的美学思想，理解美的多样性以及美学理论的丰富性；</w:t>
            </w:r>
          </w:p>
          <w:p w14:paraId="02711ADD">
            <w:pPr>
              <w:jc w:val="left"/>
              <w:rPr>
                <w:rFonts w:hint="eastAsia" w:ascii="宋体" w:hAnsi="宋体"/>
                <w:kern w:val="0"/>
                <w:szCs w:val="21"/>
              </w:rPr>
            </w:pPr>
            <w:r>
              <w:rPr>
                <w:rFonts w:hint="eastAsia" w:ascii="宋体" w:hAnsi="宋体"/>
                <w:kern w:val="0"/>
                <w:szCs w:val="21"/>
              </w:rPr>
              <w:t>（2）理解美育的美学基础，包括美的需要与美育的必要性、美的特性与美育的特性以及美与美育的多样性等；</w:t>
            </w:r>
          </w:p>
          <w:p w14:paraId="48204196">
            <w:pPr>
              <w:jc w:val="left"/>
              <w:rPr>
                <w:rFonts w:hint="eastAsia" w:ascii="宋体" w:hAnsi="宋体"/>
                <w:kern w:val="0"/>
                <w:szCs w:val="21"/>
              </w:rPr>
            </w:pPr>
            <w:r>
              <w:rPr>
                <w:rFonts w:hint="eastAsia" w:ascii="宋体" w:hAnsi="宋体"/>
                <w:kern w:val="0"/>
                <w:szCs w:val="21"/>
              </w:rPr>
              <w:t>（3）理解审美素养与人的创造性之间的内在关联，学会用美的眼光来审视教育实践活动</w:t>
            </w:r>
            <w:r>
              <w:rPr>
                <w:rFonts w:ascii="宋体" w:hAnsi="宋体"/>
                <w:kern w:val="0"/>
                <w:szCs w:val="21"/>
              </w:rPr>
              <w:t>。</w:t>
            </w:r>
          </w:p>
        </w:tc>
        <w:tc>
          <w:tcPr>
            <w:tcW w:w="1372" w:type="dxa"/>
            <w:vAlign w:val="center"/>
          </w:tcPr>
          <w:p w14:paraId="18810544">
            <w:pPr>
              <w:jc w:val="left"/>
              <w:rPr>
                <w:rFonts w:hint="eastAsia" w:ascii="宋体" w:hAnsi="宋体"/>
                <w:kern w:val="0"/>
                <w:szCs w:val="21"/>
              </w:rPr>
            </w:pPr>
            <w:r>
              <w:rPr>
                <w:rFonts w:ascii="宋体" w:hAnsi="宋体"/>
                <w:kern w:val="0"/>
                <w:szCs w:val="21"/>
              </w:rPr>
              <w:t>1.</w:t>
            </w:r>
            <w:bookmarkStart w:id="759" w:name="OLE_LINK7"/>
            <w:r>
              <w:rPr>
                <w:rFonts w:hint="eastAsia" w:ascii="宋体" w:hAnsi="宋体"/>
                <w:kern w:val="0"/>
                <w:szCs w:val="21"/>
              </w:rPr>
              <w:t>自主</w:t>
            </w:r>
            <w:bookmarkEnd w:id="759"/>
            <w:r>
              <w:rPr>
                <w:rFonts w:ascii="宋体" w:hAnsi="宋体"/>
                <w:kern w:val="0"/>
                <w:szCs w:val="21"/>
              </w:rPr>
              <w:t>学习</w:t>
            </w:r>
          </w:p>
          <w:p w14:paraId="28B3D028">
            <w:pPr>
              <w:jc w:val="left"/>
              <w:rPr>
                <w:rFonts w:hint="eastAsia" w:ascii="宋体" w:hAnsi="宋体"/>
                <w:kern w:val="0"/>
                <w:szCs w:val="21"/>
              </w:rPr>
            </w:pPr>
            <w:r>
              <w:rPr>
                <w:rFonts w:ascii="宋体" w:hAnsi="宋体"/>
                <w:kern w:val="0"/>
                <w:szCs w:val="21"/>
              </w:rPr>
              <w:t>2.多媒体教学</w:t>
            </w:r>
          </w:p>
          <w:p w14:paraId="154548D4">
            <w:pPr>
              <w:jc w:val="left"/>
              <w:rPr>
                <w:rFonts w:hint="eastAsia" w:ascii="宋体" w:hAnsi="宋体"/>
                <w:kern w:val="0"/>
                <w:szCs w:val="21"/>
              </w:rPr>
            </w:pPr>
            <w:r>
              <w:rPr>
                <w:rFonts w:ascii="宋体" w:hAnsi="宋体"/>
                <w:kern w:val="0"/>
                <w:szCs w:val="21"/>
              </w:rPr>
              <w:t>3.课堂讨论</w:t>
            </w:r>
          </w:p>
        </w:tc>
        <w:tc>
          <w:tcPr>
            <w:tcW w:w="514" w:type="dxa"/>
            <w:gridSpan w:val="2"/>
            <w:vAlign w:val="center"/>
          </w:tcPr>
          <w:p w14:paraId="1E07ACA2">
            <w:pPr>
              <w:jc w:val="center"/>
              <w:rPr>
                <w:rFonts w:hint="eastAsia" w:ascii="宋体" w:hAnsi="宋体"/>
                <w:kern w:val="0"/>
                <w:szCs w:val="21"/>
              </w:rPr>
            </w:pPr>
            <w:r>
              <w:rPr>
                <w:rFonts w:hint="eastAsia" w:ascii="宋体" w:hAnsi="宋体"/>
                <w:kern w:val="0"/>
                <w:szCs w:val="21"/>
              </w:rPr>
              <w:t>3</w:t>
            </w:r>
          </w:p>
        </w:tc>
      </w:tr>
      <w:tr w14:paraId="06A9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07DF9818">
            <w:pPr>
              <w:jc w:val="center"/>
              <w:rPr>
                <w:rFonts w:hint="eastAsia" w:ascii="宋体" w:hAnsi="宋体"/>
                <w:kern w:val="0"/>
                <w:szCs w:val="21"/>
              </w:rPr>
            </w:pPr>
          </w:p>
        </w:tc>
        <w:tc>
          <w:tcPr>
            <w:tcW w:w="8095" w:type="dxa"/>
            <w:gridSpan w:val="9"/>
            <w:vAlign w:val="center"/>
          </w:tcPr>
          <w:p w14:paraId="27DA8EE9">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通过对美的沉思以及美育问题的讨论，提升师范生的审美素养与创造力，同时传播中国美学精神，从而促进师范生的全面发展和健全人格的养成。</w:t>
            </w:r>
          </w:p>
        </w:tc>
      </w:tr>
      <w:tr w14:paraId="43F18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28A26880">
            <w:pPr>
              <w:jc w:val="center"/>
              <w:rPr>
                <w:rFonts w:hint="eastAsia" w:ascii="宋体" w:hAnsi="宋体"/>
                <w:kern w:val="0"/>
                <w:szCs w:val="21"/>
              </w:rPr>
            </w:pPr>
            <w:r>
              <w:rPr>
                <w:rFonts w:hint="eastAsia" w:ascii="宋体" w:hAnsi="宋体"/>
                <w:kern w:val="0"/>
                <w:szCs w:val="21"/>
              </w:rPr>
              <w:t>9.</w:t>
            </w:r>
            <w:r>
              <w:rPr>
                <w:rFonts w:hint="eastAsia"/>
                <w:kern w:val="0"/>
                <w:szCs w:val="21"/>
              </w:rPr>
              <w:t xml:space="preserve"> </w:t>
            </w:r>
            <w:r>
              <w:rPr>
                <w:rFonts w:hint="eastAsia" w:ascii="宋体" w:hAnsi="宋体"/>
                <w:kern w:val="0"/>
                <w:szCs w:val="21"/>
              </w:rPr>
              <w:t>社会哲学与教育</w:t>
            </w:r>
          </w:p>
        </w:tc>
        <w:tc>
          <w:tcPr>
            <w:tcW w:w="1467" w:type="dxa"/>
            <w:vAlign w:val="center"/>
          </w:tcPr>
          <w:p w14:paraId="798FAD92">
            <w:pPr>
              <w:jc w:val="left"/>
              <w:rPr>
                <w:rFonts w:hint="eastAsia" w:ascii="宋体" w:hAnsi="宋体"/>
                <w:kern w:val="0"/>
                <w:szCs w:val="21"/>
              </w:rPr>
            </w:pPr>
            <w:r>
              <w:rPr>
                <w:rFonts w:hint="eastAsia" w:ascii="宋体" w:hAnsi="宋体"/>
                <w:kern w:val="0"/>
                <w:szCs w:val="21"/>
              </w:rPr>
              <w:t>（1）社会哲学概述</w:t>
            </w:r>
          </w:p>
          <w:p w14:paraId="1802A74A">
            <w:pPr>
              <w:jc w:val="left"/>
              <w:rPr>
                <w:rFonts w:hint="eastAsia" w:ascii="宋体" w:hAnsi="宋体"/>
                <w:kern w:val="0"/>
                <w:szCs w:val="21"/>
              </w:rPr>
            </w:pPr>
            <w:r>
              <w:rPr>
                <w:rFonts w:hint="eastAsia" w:ascii="宋体" w:hAnsi="宋体"/>
                <w:kern w:val="0"/>
                <w:szCs w:val="21"/>
              </w:rPr>
              <w:t>（2）良好的社会秩序与教育</w:t>
            </w:r>
          </w:p>
          <w:p w14:paraId="38D86F11">
            <w:pPr>
              <w:jc w:val="left"/>
              <w:rPr>
                <w:rFonts w:hint="eastAsia" w:ascii="宋体" w:hAnsi="宋体"/>
                <w:kern w:val="0"/>
                <w:szCs w:val="21"/>
              </w:rPr>
            </w:pPr>
            <w:r>
              <w:rPr>
                <w:rFonts w:hint="eastAsia" w:ascii="宋体" w:hAnsi="宋体"/>
                <w:kern w:val="0"/>
                <w:szCs w:val="21"/>
              </w:rPr>
              <w:t>（3）公民意识与公民教育</w:t>
            </w:r>
          </w:p>
        </w:tc>
        <w:tc>
          <w:tcPr>
            <w:tcW w:w="1159" w:type="dxa"/>
            <w:gridSpan w:val="2"/>
            <w:vAlign w:val="center"/>
          </w:tcPr>
          <w:p w14:paraId="6229A6F5">
            <w:pPr>
              <w:jc w:val="center"/>
              <w:rPr>
                <w:rFonts w:hint="eastAsia" w:ascii="宋体" w:hAnsi="宋体"/>
                <w:kern w:val="0"/>
                <w:szCs w:val="21"/>
              </w:rPr>
            </w:pPr>
            <w:r>
              <w:rPr>
                <w:rFonts w:hint="eastAsia" w:ascii="宋体" w:hAnsi="宋体"/>
                <w:kern w:val="0"/>
                <w:szCs w:val="21"/>
              </w:rPr>
              <w:t>课程目标1、3、4</w:t>
            </w:r>
          </w:p>
        </w:tc>
        <w:tc>
          <w:tcPr>
            <w:tcW w:w="3583" w:type="dxa"/>
            <w:gridSpan w:val="3"/>
            <w:vAlign w:val="center"/>
          </w:tcPr>
          <w:p w14:paraId="72F6DF4A">
            <w:pPr>
              <w:jc w:val="left"/>
              <w:rPr>
                <w:rFonts w:hint="eastAsia" w:ascii="宋体" w:hAnsi="宋体"/>
                <w:kern w:val="0"/>
                <w:szCs w:val="21"/>
              </w:rPr>
            </w:pPr>
            <w:r>
              <w:rPr>
                <w:rFonts w:hint="eastAsia" w:ascii="宋体" w:hAnsi="宋体"/>
                <w:kern w:val="0"/>
                <w:szCs w:val="21"/>
              </w:rPr>
              <w:t>（1）继承和弘扬中国传统的社会哲学思想，在了解和借鉴西方社会哲学思想的基础上，确立马克思主义的历史唯物主义社会哲学思想；</w:t>
            </w:r>
          </w:p>
          <w:p w14:paraId="03E1155E">
            <w:pPr>
              <w:jc w:val="left"/>
              <w:rPr>
                <w:rFonts w:hint="eastAsia" w:ascii="宋体" w:hAnsi="宋体"/>
                <w:kern w:val="0"/>
                <w:szCs w:val="21"/>
              </w:rPr>
            </w:pPr>
            <w:r>
              <w:rPr>
                <w:rFonts w:hint="eastAsia" w:ascii="宋体" w:hAnsi="宋体"/>
                <w:kern w:val="0"/>
                <w:szCs w:val="21"/>
              </w:rPr>
              <w:t>（2）辩证理解个人自由与社会秩序的关系，以及我国良好社会秩序建设的思想基础和价值追求，自觉而有效地开展促进良好社会秩序的教育；</w:t>
            </w:r>
          </w:p>
          <w:p w14:paraId="6CFD77CF">
            <w:pPr>
              <w:jc w:val="left"/>
              <w:rPr>
                <w:rFonts w:hint="eastAsia" w:ascii="宋体" w:hAnsi="宋体"/>
                <w:kern w:val="0"/>
                <w:szCs w:val="21"/>
              </w:rPr>
            </w:pPr>
            <w:r>
              <w:rPr>
                <w:rFonts w:hint="eastAsia" w:ascii="宋体" w:hAnsi="宋体"/>
                <w:kern w:val="0"/>
                <w:szCs w:val="21"/>
              </w:rPr>
              <w:t>（3）立足于我国建设民主法治的社会主义国家，开展社会主义公民教育，培养社会主义的合格公民，成为社会主义的建设者和接班人。</w:t>
            </w:r>
          </w:p>
        </w:tc>
        <w:tc>
          <w:tcPr>
            <w:tcW w:w="1372" w:type="dxa"/>
            <w:vAlign w:val="center"/>
          </w:tcPr>
          <w:p w14:paraId="52EA3709">
            <w:pPr>
              <w:jc w:val="left"/>
              <w:rPr>
                <w:rFonts w:hint="eastAsia" w:ascii="宋体" w:hAnsi="宋体"/>
                <w:kern w:val="0"/>
                <w:szCs w:val="21"/>
              </w:rPr>
            </w:pPr>
            <w:r>
              <w:rPr>
                <w:rFonts w:ascii="宋体" w:hAnsi="宋体"/>
                <w:kern w:val="0"/>
                <w:szCs w:val="21"/>
              </w:rPr>
              <w:t>1.</w:t>
            </w:r>
            <w:r>
              <w:rPr>
                <w:rFonts w:hint="eastAsia" w:ascii="宋体" w:hAnsi="宋体"/>
                <w:kern w:val="0"/>
                <w:szCs w:val="21"/>
              </w:rPr>
              <w:t>自主</w:t>
            </w:r>
            <w:r>
              <w:rPr>
                <w:rFonts w:ascii="宋体" w:hAnsi="宋体"/>
                <w:kern w:val="0"/>
                <w:szCs w:val="21"/>
              </w:rPr>
              <w:t>学习</w:t>
            </w:r>
          </w:p>
          <w:p w14:paraId="7E4E3167">
            <w:pPr>
              <w:jc w:val="left"/>
              <w:rPr>
                <w:rFonts w:hint="eastAsia" w:ascii="宋体" w:hAnsi="宋体"/>
                <w:kern w:val="0"/>
                <w:szCs w:val="21"/>
              </w:rPr>
            </w:pPr>
            <w:r>
              <w:rPr>
                <w:rFonts w:ascii="宋体" w:hAnsi="宋体"/>
                <w:kern w:val="0"/>
                <w:szCs w:val="21"/>
              </w:rPr>
              <w:t>2.多媒体教学</w:t>
            </w:r>
          </w:p>
          <w:p w14:paraId="18CA3428">
            <w:pPr>
              <w:jc w:val="left"/>
              <w:rPr>
                <w:rFonts w:hint="eastAsia" w:ascii="宋体" w:hAnsi="宋体"/>
                <w:kern w:val="0"/>
                <w:szCs w:val="21"/>
              </w:rPr>
            </w:pPr>
            <w:r>
              <w:rPr>
                <w:rFonts w:ascii="宋体" w:hAnsi="宋体"/>
                <w:kern w:val="0"/>
                <w:szCs w:val="21"/>
              </w:rPr>
              <w:t>3.课堂讨论</w:t>
            </w:r>
          </w:p>
        </w:tc>
        <w:tc>
          <w:tcPr>
            <w:tcW w:w="514" w:type="dxa"/>
            <w:gridSpan w:val="2"/>
            <w:vAlign w:val="center"/>
          </w:tcPr>
          <w:p w14:paraId="203FA033">
            <w:pPr>
              <w:jc w:val="center"/>
              <w:rPr>
                <w:rFonts w:hint="eastAsia" w:ascii="宋体" w:hAnsi="宋体"/>
                <w:kern w:val="0"/>
                <w:szCs w:val="21"/>
              </w:rPr>
            </w:pPr>
            <w:r>
              <w:rPr>
                <w:rFonts w:hint="eastAsia" w:ascii="宋体" w:hAnsi="宋体"/>
                <w:kern w:val="0"/>
                <w:szCs w:val="21"/>
              </w:rPr>
              <w:t>3</w:t>
            </w:r>
          </w:p>
        </w:tc>
      </w:tr>
      <w:tr w14:paraId="004A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24670F94">
            <w:pPr>
              <w:jc w:val="center"/>
              <w:rPr>
                <w:rFonts w:hint="eastAsia" w:ascii="宋体" w:hAnsi="宋体"/>
                <w:kern w:val="0"/>
                <w:szCs w:val="21"/>
              </w:rPr>
            </w:pPr>
          </w:p>
        </w:tc>
        <w:tc>
          <w:tcPr>
            <w:tcW w:w="8095" w:type="dxa"/>
            <w:gridSpan w:val="9"/>
            <w:vAlign w:val="center"/>
          </w:tcPr>
          <w:p w14:paraId="20CD5538">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使师范生在继承和弘扬中国传统的社会哲学思想，在了解和借鉴西方社会哲学思想的基础上，确立马克思主义的历史唯物主义社会哲学思想；理解我国良好社会秩序建设的思想基础和价值追求，自觉而有效地开展促进良好社会秩序的教育，培养社会主义的合格公民，成为社会主义的建设者和接班人。</w:t>
            </w:r>
          </w:p>
        </w:tc>
      </w:tr>
      <w:tr w14:paraId="31D3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restart"/>
            <w:vAlign w:val="center"/>
          </w:tcPr>
          <w:p w14:paraId="5812D822">
            <w:pPr>
              <w:jc w:val="center"/>
              <w:rPr>
                <w:rFonts w:hint="eastAsia" w:ascii="宋体" w:hAnsi="宋体"/>
                <w:kern w:val="0"/>
                <w:szCs w:val="21"/>
              </w:rPr>
            </w:pPr>
            <w:r>
              <w:rPr>
                <w:rFonts w:hint="eastAsia" w:ascii="宋体" w:hAnsi="宋体"/>
                <w:kern w:val="0"/>
                <w:szCs w:val="21"/>
              </w:rPr>
              <w:t>10.</w:t>
            </w:r>
            <w:r>
              <w:rPr>
                <w:rFonts w:hint="eastAsia"/>
                <w:kern w:val="0"/>
                <w:szCs w:val="21"/>
              </w:rPr>
              <w:t xml:space="preserve"> </w:t>
            </w:r>
            <w:r>
              <w:rPr>
                <w:rFonts w:hint="eastAsia" w:ascii="宋体" w:hAnsi="宋体"/>
                <w:kern w:val="0"/>
                <w:szCs w:val="21"/>
              </w:rPr>
              <w:t>文化哲学与教育</w:t>
            </w:r>
          </w:p>
        </w:tc>
        <w:tc>
          <w:tcPr>
            <w:tcW w:w="1467" w:type="dxa"/>
            <w:vAlign w:val="center"/>
          </w:tcPr>
          <w:p w14:paraId="65FA6372">
            <w:pPr>
              <w:jc w:val="left"/>
              <w:rPr>
                <w:rFonts w:hint="eastAsia" w:ascii="宋体" w:hAnsi="宋体"/>
                <w:kern w:val="0"/>
                <w:szCs w:val="21"/>
              </w:rPr>
            </w:pPr>
            <w:r>
              <w:rPr>
                <w:rFonts w:hint="eastAsia" w:ascii="宋体" w:hAnsi="宋体"/>
                <w:kern w:val="0"/>
                <w:szCs w:val="21"/>
              </w:rPr>
              <w:t>（1）文化哲学概述</w:t>
            </w:r>
          </w:p>
          <w:p w14:paraId="51C6057F">
            <w:pPr>
              <w:jc w:val="left"/>
              <w:rPr>
                <w:rFonts w:hint="eastAsia" w:ascii="宋体" w:hAnsi="宋体"/>
                <w:kern w:val="0"/>
                <w:szCs w:val="21"/>
              </w:rPr>
            </w:pPr>
            <w:r>
              <w:rPr>
                <w:rFonts w:hint="eastAsia" w:ascii="宋体" w:hAnsi="宋体"/>
                <w:kern w:val="0"/>
                <w:szCs w:val="21"/>
              </w:rPr>
              <w:t>（2）教育的文化基础与责任</w:t>
            </w:r>
          </w:p>
          <w:p w14:paraId="34CDC75B">
            <w:pPr>
              <w:jc w:val="left"/>
              <w:rPr>
                <w:rFonts w:hint="eastAsia" w:ascii="宋体" w:hAnsi="宋体"/>
                <w:kern w:val="0"/>
                <w:szCs w:val="21"/>
              </w:rPr>
            </w:pPr>
            <w:r>
              <w:rPr>
                <w:rFonts w:hint="eastAsia" w:ascii="宋体" w:hAnsi="宋体"/>
                <w:kern w:val="0"/>
                <w:szCs w:val="21"/>
              </w:rPr>
              <w:t>（3）全球化背景下的文化多样性教育</w:t>
            </w:r>
          </w:p>
        </w:tc>
        <w:tc>
          <w:tcPr>
            <w:tcW w:w="1159" w:type="dxa"/>
            <w:gridSpan w:val="2"/>
            <w:vAlign w:val="center"/>
          </w:tcPr>
          <w:p w14:paraId="5565CF51">
            <w:pPr>
              <w:jc w:val="center"/>
              <w:rPr>
                <w:rFonts w:hint="eastAsia" w:ascii="宋体" w:hAnsi="宋体"/>
                <w:kern w:val="0"/>
                <w:szCs w:val="21"/>
              </w:rPr>
            </w:pPr>
            <w:r>
              <w:rPr>
                <w:rFonts w:hint="eastAsia" w:ascii="宋体" w:hAnsi="宋体"/>
                <w:kern w:val="0"/>
                <w:szCs w:val="21"/>
              </w:rPr>
              <w:t>课程目标1、2、3</w:t>
            </w:r>
          </w:p>
          <w:p w14:paraId="3DCF276C">
            <w:pPr>
              <w:jc w:val="center"/>
              <w:rPr>
                <w:rFonts w:hint="eastAsia" w:ascii="宋体" w:hAnsi="宋体"/>
                <w:kern w:val="0"/>
                <w:szCs w:val="21"/>
              </w:rPr>
            </w:pPr>
          </w:p>
        </w:tc>
        <w:tc>
          <w:tcPr>
            <w:tcW w:w="3583" w:type="dxa"/>
            <w:gridSpan w:val="3"/>
            <w:vAlign w:val="center"/>
          </w:tcPr>
          <w:p w14:paraId="4F2841A3">
            <w:pPr>
              <w:jc w:val="left"/>
              <w:rPr>
                <w:rFonts w:hint="eastAsia" w:ascii="宋体" w:hAnsi="宋体"/>
                <w:kern w:val="0"/>
                <w:szCs w:val="21"/>
              </w:rPr>
            </w:pPr>
            <w:r>
              <w:rPr>
                <w:rFonts w:hint="eastAsia" w:ascii="宋体" w:hAnsi="宋体"/>
                <w:kern w:val="0"/>
                <w:szCs w:val="21"/>
              </w:rPr>
              <w:t>（1）了解中国古代、西方的文化哲学思想，理解马克思主义文化哲学；</w:t>
            </w:r>
          </w:p>
          <w:p w14:paraId="566AD72A">
            <w:pPr>
              <w:jc w:val="left"/>
              <w:rPr>
                <w:rFonts w:hint="eastAsia" w:ascii="宋体" w:hAnsi="宋体"/>
                <w:kern w:val="0"/>
                <w:szCs w:val="21"/>
              </w:rPr>
            </w:pPr>
            <w:r>
              <w:rPr>
                <w:rFonts w:hint="eastAsia" w:ascii="宋体" w:hAnsi="宋体"/>
                <w:kern w:val="0"/>
                <w:szCs w:val="21"/>
              </w:rPr>
              <w:t>（2）理解教育的文化基础与责任，特别关注如何通过教育促进文化传统的继承与弘扬；</w:t>
            </w:r>
          </w:p>
          <w:p w14:paraId="5BCD5500">
            <w:pPr>
              <w:jc w:val="left"/>
              <w:rPr>
                <w:rFonts w:hint="eastAsia" w:ascii="宋体" w:hAnsi="宋体"/>
                <w:kern w:val="0"/>
                <w:szCs w:val="21"/>
              </w:rPr>
            </w:pPr>
            <w:r>
              <w:rPr>
                <w:rFonts w:hint="eastAsia" w:ascii="宋体" w:hAnsi="宋体"/>
                <w:kern w:val="0"/>
                <w:szCs w:val="21"/>
              </w:rPr>
              <w:t>（3）理解多元文化背景下民族文化认同遭遇的挑战及其教育行动要点；</w:t>
            </w:r>
          </w:p>
          <w:p w14:paraId="6F42CCAB">
            <w:pPr>
              <w:jc w:val="left"/>
              <w:rPr>
                <w:rFonts w:hint="eastAsia" w:ascii="宋体" w:hAnsi="宋体"/>
                <w:kern w:val="0"/>
                <w:szCs w:val="21"/>
              </w:rPr>
            </w:pPr>
            <w:r>
              <w:rPr>
                <w:rFonts w:hint="eastAsia" w:ascii="宋体" w:hAnsi="宋体"/>
                <w:kern w:val="0"/>
                <w:szCs w:val="21"/>
              </w:rPr>
              <w:t>（4）树立文化多样性以及文化交流、文化对话的态度和价值观念。</w:t>
            </w:r>
          </w:p>
        </w:tc>
        <w:tc>
          <w:tcPr>
            <w:tcW w:w="1372" w:type="dxa"/>
            <w:vAlign w:val="center"/>
          </w:tcPr>
          <w:p w14:paraId="70B2BCFF">
            <w:pPr>
              <w:jc w:val="left"/>
              <w:rPr>
                <w:rFonts w:hint="eastAsia" w:ascii="宋体" w:hAnsi="宋体"/>
                <w:kern w:val="0"/>
                <w:szCs w:val="21"/>
              </w:rPr>
            </w:pPr>
            <w:bookmarkStart w:id="760" w:name="OLE_LINK6"/>
            <w:r>
              <w:rPr>
                <w:rFonts w:ascii="宋体" w:hAnsi="宋体"/>
                <w:kern w:val="0"/>
                <w:szCs w:val="21"/>
              </w:rPr>
              <w:t>1.</w:t>
            </w:r>
            <w:r>
              <w:rPr>
                <w:rFonts w:hint="eastAsia" w:ascii="宋体" w:hAnsi="宋体"/>
                <w:kern w:val="0"/>
                <w:szCs w:val="21"/>
              </w:rPr>
              <w:t>自主</w:t>
            </w:r>
            <w:r>
              <w:rPr>
                <w:rFonts w:ascii="宋体" w:hAnsi="宋体"/>
                <w:kern w:val="0"/>
                <w:szCs w:val="21"/>
              </w:rPr>
              <w:t>学习</w:t>
            </w:r>
          </w:p>
          <w:p w14:paraId="14096CAA">
            <w:pPr>
              <w:jc w:val="left"/>
              <w:rPr>
                <w:rFonts w:hint="eastAsia" w:ascii="宋体" w:hAnsi="宋体"/>
                <w:kern w:val="0"/>
                <w:szCs w:val="21"/>
              </w:rPr>
            </w:pPr>
            <w:r>
              <w:rPr>
                <w:rFonts w:ascii="宋体" w:hAnsi="宋体"/>
                <w:kern w:val="0"/>
                <w:szCs w:val="21"/>
              </w:rPr>
              <w:t>2.多媒体教学</w:t>
            </w:r>
          </w:p>
          <w:p w14:paraId="489A6A22">
            <w:pPr>
              <w:jc w:val="left"/>
              <w:rPr>
                <w:rFonts w:hint="eastAsia" w:ascii="宋体" w:hAnsi="宋体"/>
                <w:kern w:val="0"/>
                <w:szCs w:val="21"/>
              </w:rPr>
            </w:pPr>
            <w:r>
              <w:rPr>
                <w:rFonts w:ascii="宋体" w:hAnsi="宋体"/>
                <w:kern w:val="0"/>
                <w:szCs w:val="21"/>
              </w:rPr>
              <w:t>3.课堂讨论</w:t>
            </w:r>
            <w:bookmarkEnd w:id="760"/>
          </w:p>
        </w:tc>
        <w:tc>
          <w:tcPr>
            <w:tcW w:w="514" w:type="dxa"/>
            <w:gridSpan w:val="2"/>
            <w:vAlign w:val="center"/>
          </w:tcPr>
          <w:p w14:paraId="66E672EA">
            <w:pPr>
              <w:jc w:val="center"/>
              <w:rPr>
                <w:rFonts w:hint="eastAsia" w:ascii="宋体" w:hAnsi="宋体"/>
                <w:kern w:val="0"/>
                <w:szCs w:val="21"/>
              </w:rPr>
            </w:pPr>
            <w:r>
              <w:rPr>
                <w:rFonts w:hint="eastAsia" w:ascii="宋体" w:hAnsi="宋体"/>
                <w:kern w:val="0"/>
                <w:szCs w:val="21"/>
              </w:rPr>
              <w:t>3</w:t>
            </w:r>
          </w:p>
        </w:tc>
      </w:tr>
      <w:tr w14:paraId="212A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Merge w:val="continue"/>
            <w:vAlign w:val="center"/>
          </w:tcPr>
          <w:p w14:paraId="176FEC35">
            <w:pPr>
              <w:jc w:val="center"/>
              <w:rPr>
                <w:rFonts w:hint="eastAsia" w:ascii="宋体" w:hAnsi="宋体"/>
                <w:kern w:val="0"/>
                <w:szCs w:val="21"/>
              </w:rPr>
            </w:pPr>
          </w:p>
        </w:tc>
        <w:tc>
          <w:tcPr>
            <w:tcW w:w="8095" w:type="dxa"/>
            <w:gridSpan w:val="9"/>
            <w:vAlign w:val="center"/>
          </w:tcPr>
          <w:p w14:paraId="3BC5751C">
            <w:pPr>
              <w:jc w:val="left"/>
              <w:rPr>
                <w:rFonts w:hint="eastAsia" w:ascii="宋体" w:hAnsi="宋体"/>
                <w:kern w:val="0"/>
                <w:szCs w:val="21"/>
              </w:rPr>
            </w:pPr>
            <w:r>
              <w:rPr>
                <w:rFonts w:hint="eastAsia" w:ascii="宋体" w:hAnsi="宋体"/>
                <w:b/>
                <w:kern w:val="0"/>
                <w:szCs w:val="21"/>
              </w:rPr>
              <w:t>课程思政目标：</w:t>
            </w:r>
            <w:r>
              <w:rPr>
                <w:rFonts w:hint="eastAsia" w:ascii="宋体" w:hAnsi="宋体"/>
                <w:kern w:val="0"/>
                <w:szCs w:val="21"/>
              </w:rPr>
              <w:t>传承和弘扬中国优秀文化传统，培养具有传统文化素养的人，通过教育变革培养青年一代的文化自信和文化自觉，为中华民族文化保留优秀的基因，培育新的文化生命力。</w:t>
            </w:r>
          </w:p>
        </w:tc>
      </w:tr>
      <w:tr w14:paraId="6E25D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03" w:type="dxa"/>
            <w:vMerge w:val="restart"/>
            <w:vAlign w:val="center"/>
          </w:tcPr>
          <w:p w14:paraId="798D10F5">
            <w:pPr>
              <w:jc w:val="center"/>
              <w:rPr>
                <w:rFonts w:hint="eastAsia" w:ascii="宋体" w:hAnsi="宋体"/>
                <w:kern w:val="0"/>
                <w:szCs w:val="21"/>
              </w:rPr>
            </w:pPr>
            <w:r>
              <w:rPr>
                <w:rFonts w:hint="eastAsia" w:ascii="宋体" w:hAnsi="宋体"/>
                <w:kern w:val="0"/>
                <w:szCs w:val="21"/>
              </w:rPr>
              <w:t>11.</w:t>
            </w:r>
            <w:r>
              <w:rPr>
                <w:rFonts w:hint="eastAsia"/>
                <w:kern w:val="0"/>
                <w:szCs w:val="21"/>
              </w:rPr>
              <w:t xml:space="preserve"> </w:t>
            </w:r>
            <w:r>
              <w:rPr>
                <w:rFonts w:hint="eastAsia" w:ascii="宋体" w:hAnsi="宋体"/>
                <w:kern w:val="0"/>
                <w:szCs w:val="21"/>
              </w:rPr>
              <w:t>教育哲学与教师发展</w:t>
            </w:r>
          </w:p>
        </w:tc>
        <w:tc>
          <w:tcPr>
            <w:tcW w:w="1619" w:type="dxa"/>
            <w:gridSpan w:val="2"/>
            <w:vAlign w:val="center"/>
          </w:tcPr>
          <w:p w14:paraId="33D06E68">
            <w:pPr>
              <w:jc w:val="left"/>
              <w:rPr>
                <w:rFonts w:hint="eastAsia" w:ascii="宋体" w:hAnsi="宋体"/>
                <w:kern w:val="0"/>
                <w:szCs w:val="21"/>
              </w:rPr>
            </w:pPr>
            <w:r>
              <w:rPr>
                <w:rFonts w:hint="eastAsia" w:ascii="宋体" w:hAnsi="宋体"/>
                <w:kern w:val="0"/>
                <w:szCs w:val="21"/>
              </w:rPr>
              <w:t>（1）卓越教师的教育哲学</w:t>
            </w:r>
          </w:p>
          <w:p w14:paraId="5E2858BB">
            <w:pPr>
              <w:jc w:val="left"/>
              <w:rPr>
                <w:rFonts w:hint="eastAsia" w:ascii="宋体" w:hAnsi="宋体"/>
                <w:kern w:val="0"/>
                <w:szCs w:val="21"/>
              </w:rPr>
            </w:pPr>
            <w:r>
              <w:rPr>
                <w:rFonts w:hint="eastAsia" w:ascii="宋体" w:hAnsi="宋体"/>
                <w:kern w:val="0"/>
                <w:szCs w:val="21"/>
              </w:rPr>
              <w:t>（2）教育哲学与教师专业发展</w:t>
            </w:r>
          </w:p>
          <w:p w14:paraId="4CE0ECAD">
            <w:pPr>
              <w:jc w:val="left"/>
              <w:rPr>
                <w:rFonts w:hint="eastAsia" w:ascii="宋体" w:hAnsi="宋体"/>
                <w:b/>
                <w:kern w:val="0"/>
                <w:szCs w:val="21"/>
              </w:rPr>
            </w:pPr>
            <w:r>
              <w:rPr>
                <w:rFonts w:hint="eastAsia" w:ascii="宋体" w:hAnsi="宋体"/>
                <w:kern w:val="0"/>
                <w:szCs w:val="21"/>
              </w:rPr>
              <w:t>（3）建构教师个人教育哲学</w:t>
            </w:r>
          </w:p>
        </w:tc>
        <w:tc>
          <w:tcPr>
            <w:tcW w:w="1142" w:type="dxa"/>
            <w:gridSpan w:val="2"/>
            <w:vAlign w:val="center"/>
          </w:tcPr>
          <w:p w14:paraId="6BE49484">
            <w:pPr>
              <w:jc w:val="left"/>
              <w:rPr>
                <w:rFonts w:hint="eastAsia" w:ascii="宋体" w:hAnsi="宋体"/>
                <w:bCs/>
                <w:kern w:val="0"/>
                <w:szCs w:val="21"/>
              </w:rPr>
            </w:pPr>
            <w:r>
              <w:rPr>
                <w:rFonts w:hint="eastAsia" w:ascii="宋体" w:hAnsi="宋体"/>
                <w:bCs/>
                <w:kern w:val="0"/>
                <w:szCs w:val="21"/>
              </w:rPr>
              <w:t>课程目标2、3、4</w:t>
            </w:r>
          </w:p>
        </w:tc>
        <w:tc>
          <w:tcPr>
            <w:tcW w:w="3261" w:type="dxa"/>
            <w:vAlign w:val="center"/>
          </w:tcPr>
          <w:p w14:paraId="3B228CD5">
            <w:pPr>
              <w:jc w:val="left"/>
              <w:rPr>
                <w:rFonts w:hint="eastAsia" w:ascii="宋体" w:hAnsi="宋体"/>
                <w:kern w:val="0"/>
                <w:szCs w:val="21"/>
              </w:rPr>
            </w:pPr>
            <w:r>
              <w:rPr>
                <w:rFonts w:hint="eastAsia" w:ascii="宋体" w:hAnsi="宋体"/>
                <w:bCs/>
                <w:kern w:val="0"/>
                <w:szCs w:val="21"/>
              </w:rPr>
              <w:t>（</w:t>
            </w:r>
            <w:r>
              <w:rPr>
                <w:rFonts w:hint="eastAsia" w:ascii="宋体" w:hAnsi="宋体"/>
                <w:kern w:val="0"/>
                <w:szCs w:val="21"/>
              </w:rPr>
              <w:t>1）理解教育哲学作为一种实践哲学，只有与教育实践的主体（教师）相结合，才能发挥实践作用；</w:t>
            </w:r>
          </w:p>
          <w:p w14:paraId="37818B0A">
            <w:pPr>
              <w:jc w:val="left"/>
              <w:rPr>
                <w:rFonts w:hint="eastAsia" w:ascii="宋体" w:hAnsi="宋体"/>
                <w:b/>
                <w:kern w:val="0"/>
                <w:szCs w:val="21"/>
              </w:rPr>
            </w:pPr>
            <w:r>
              <w:rPr>
                <w:rFonts w:hint="eastAsia" w:ascii="宋体" w:hAnsi="宋体"/>
                <w:kern w:val="0"/>
                <w:szCs w:val="21"/>
              </w:rPr>
              <w:t>（2）理解教师成长与哲学之思的内在联系，理解教育哲学的实践意义在于让教师拥有反思实践的理论态度；</w:t>
            </w:r>
          </w:p>
        </w:tc>
        <w:tc>
          <w:tcPr>
            <w:tcW w:w="1701" w:type="dxa"/>
            <w:gridSpan w:val="3"/>
            <w:vAlign w:val="center"/>
          </w:tcPr>
          <w:p w14:paraId="7FBFD94B">
            <w:pPr>
              <w:jc w:val="left"/>
              <w:rPr>
                <w:rFonts w:hint="eastAsia" w:ascii="宋体" w:hAnsi="宋体"/>
                <w:bCs/>
                <w:kern w:val="0"/>
                <w:szCs w:val="21"/>
              </w:rPr>
            </w:pPr>
            <w:r>
              <w:rPr>
                <w:rFonts w:hint="eastAsia" w:ascii="宋体" w:hAnsi="宋体"/>
                <w:bCs/>
                <w:kern w:val="0"/>
                <w:szCs w:val="21"/>
              </w:rPr>
              <w:t>1.自主学习</w:t>
            </w:r>
          </w:p>
          <w:p w14:paraId="7E000A34">
            <w:pPr>
              <w:jc w:val="left"/>
              <w:rPr>
                <w:rFonts w:hint="eastAsia" w:ascii="宋体" w:hAnsi="宋体"/>
                <w:bCs/>
                <w:kern w:val="0"/>
                <w:szCs w:val="21"/>
              </w:rPr>
            </w:pPr>
            <w:r>
              <w:rPr>
                <w:rFonts w:hint="eastAsia" w:ascii="宋体" w:hAnsi="宋体"/>
                <w:bCs/>
                <w:kern w:val="0"/>
                <w:szCs w:val="21"/>
              </w:rPr>
              <w:t>2.多媒体教学</w:t>
            </w:r>
          </w:p>
          <w:p w14:paraId="629465C0">
            <w:pPr>
              <w:jc w:val="left"/>
              <w:rPr>
                <w:rFonts w:hint="eastAsia" w:ascii="宋体" w:hAnsi="宋体"/>
                <w:bCs/>
                <w:kern w:val="0"/>
                <w:szCs w:val="21"/>
              </w:rPr>
            </w:pPr>
            <w:r>
              <w:rPr>
                <w:rFonts w:hint="eastAsia" w:ascii="宋体" w:hAnsi="宋体"/>
                <w:bCs/>
                <w:kern w:val="0"/>
                <w:szCs w:val="21"/>
              </w:rPr>
              <w:t>3.课堂讨论</w:t>
            </w:r>
          </w:p>
          <w:p w14:paraId="72105023">
            <w:pPr>
              <w:jc w:val="left"/>
              <w:rPr>
                <w:rFonts w:hint="eastAsia" w:ascii="宋体" w:hAnsi="宋体"/>
                <w:b/>
                <w:kern w:val="0"/>
                <w:szCs w:val="21"/>
              </w:rPr>
            </w:pPr>
            <w:r>
              <w:rPr>
                <w:rFonts w:hint="eastAsia" w:ascii="宋体" w:hAnsi="宋体"/>
                <w:bCs/>
                <w:kern w:val="0"/>
                <w:szCs w:val="21"/>
              </w:rPr>
              <w:t>4.小组合作</w:t>
            </w:r>
          </w:p>
        </w:tc>
        <w:tc>
          <w:tcPr>
            <w:tcW w:w="372" w:type="dxa"/>
            <w:vAlign w:val="center"/>
          </w:tcPr>
          <w:p w14:paraId="76DF434D">
            <w:pPr>
              <w:jc w:val="left"/>
              <w:rPr>
                <w:rFonts w:hint="eastAsia" w:ascii="宋体" w:hAnsi="宋体"/>
                <w:b/>
                <w:kern w:val="0"/>
                <w:szCs w:val="21"/>
              </w:rPr>
            </w:pPr>
            <w:r>
              <w:rPr>
                <w:rFonts w:hint="eastAsia" w:ascii="宋体" w:hAnsi="宋体"/>
                <w:b/>
                <w:kern w:val="0"/>
                <w:szCs w:val="21"/>
              </w:rPr>
              <w:t>4</w:t>
            </w:r>
          </w:p>
        </w:tc>
      </w:tr>
      <w:tr w14:paraId="526E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203" w:type="dxa"/>
            <w:vMerge w:val="continue"/>
            <w:vAlign w:val="center"/>
          </w:tcPr>
          <w:p w14:paraId="3C1FE569">
            <w:pPr>
              <w:jc w:val="center"/>
              <w:rPr>
                <w:rFonts w:hint="eastAsia" w:ascii="宋体" w:hAnsi="宋体"/>
                <w:kern w:val="0"/>
                <w:szCs w:val="21"/>
              </w:rPr>
            </w:pPr>
          </w:p>
        </w:tc>
        <w:tc>
          <w:tcPr>
            <w:tcW w:w="7723" w:type="dxa"/>
            <w:gridSpan w:val="8"/>
            <w:vAlign w:val="center"/>
          </w:tcPr>
          <w:p w14:paraId="2EB0AEB5">
            <w:pPr>
              <w:jc w:val="left"/>
              <w:rPr>
                <w:rFonts w:hint="eastAsia" w:ascii="宋体" w:hAnsi="宋体"/>
                <w:b/>
                <w:kern w:val="0"/>
                <w:szCs w:val="21"/>
              </w:rPr>
            </w:pPr>
            <w:r>
              <w:rPr>
                <w:rFonts w:hint="eastAsia" w:ascii="宋体" w:hAnsi="宋体"/>
                <w:b/>
                <w:kern w:val="0"/>
                <w:szCs w:val="21"/>
              </w:rPr>
              <w:t>课程思政目标：</w:t>
            </w:r>
            <w:r>
              <w:rPr>
                <w:rFonts w:hint="eastAsia" w:ascii="宋体" w:hAnsi="宋体"/>
                <w:kern w:val="0"/>
                <w:szCs w:val="21"/>
              </w:rPr>
              <w:t>指导师范生学会以哲学方式思考教师的境遇与相关问题，拥有反思实践的能力（哲学态度）。增强其对专业的热爱和坚持，从而深刻认识教师所承担的国家使命、社会期待和民族重托，立志成为“四有”好老师。</w:t>
            </w:r>
          </w:p>
        </w:tc>
        <w:tc>
          <w:tcPr>
            <w:tcW w:w="372" w:type="dxa"/>
            <w:vAlign w:val="center"/>
          </w:tcPr>
          <w:p w14:paraId="4B2B2D1F">
            <w:pPr>
              <w:jc w:val="left"/>
              <w:rPr>
                <w:rFonts w:hint="eastAsia" w:ascii="宋体" w:hAnsi="宋体"/>
                <w:b/>
                <w:kern w:val="0"/>
                <w:szCs w:val="21"/>
              </w:rPr>
            </w:pPr>
          </w:p>
        </w:tc>
      </w:tr>
    </w:tbl>
    <w:p w14:paraId="00347CD4">
      <w:pPr>
        <w:spacing w:before="62" w:beforeLines="20" w:after="62" w:afterLines="20" w:line="360" w:lineRule="auto"/>
        <w:rPr>
          <w:rFonts w:hint="eastAsia" w:ascii="宋体" w:hAnsi="宋体"/>
          <w:b/>
          <w:sz w:val="24"/>
        </w:rPr>
      </w:pPr>
      <w:r>
        <w:rPr>
          <w:rFonts w:hint="eastAsia" w:ascii="宋体" w:hAnsi="宋体"/>
          <w:b/>
          <w:sz w:val="24"/>
        </w:rPr>
        <w:t>五、目标评价与成绩评定</w:t>
      </w:r>
    </w:p>
    <w:p w14:paraId="78A592E0">
      <w:pPr>
        <w:spacing w:line="360" w:lineRule="auto"/>
        <w:ind w:firstLine="422" w:firstLineChars="200"/>
        <w:jc w:val="left"/>
        <w:rPr>
          <w:rFonts w:ascii="Times New Roman" w:hAnsi="Times New Roman"/>
          <w:b/>
          <w:szCs w:val="21"/>
        </w:rPr>
      </w:pPr>
      <w:r>
        <w:rPr>
          <w:rFonts w:hint="eastAsia" w:ascii="Times New Roman" w:hAnsi="Times New Roman"/>
          <w:b/>
          <w:szCs w:val="21"/>
        </w:rPr>
        <w:t>（一）课程目标评价方式</w:t>
      </w:r>
    </w:p>
    <w:p w14:paraId="03008E9F">
      <w:pPr>
        <w:spacing w:line="360" w:lineRule="auto"/>
        <w:ind w:firstLine="420" w:firstLineChars="200"/>
        <w:jc w:val="left"/>
        <w:rPr>
          <w:rFonts w:ascii="Times New Roman" w:hAnsi="Times New Roman"/>
          <w:szCs w:val="21"/>
        </w:rPr>
      </w:pPr>
      <w:r>
        <w:rPr>
          <w:rFonts w:hint="eastAsia" w:ascii="Times New Roman" w:hAnsi="Times New Roman"/>
          <w:szCs w:val="21"/>
        </w:rPr>
        <w:t>根据总体设计，用于评价各课程目标的评价方式如下表所示</w:t>
      </w:r>
      <w:r>
        <w:rPr>
          <w:rFonts w:ascii="Times New Roman" w:hAnsi="Times New Roman"/>
          <w:szCs w:val="21"/>
        </w:rPr>
        <w:t>。</w:t>
      </w:r>
    </w:p>
    <w:tbl>
      <w:tblPr>
        <w:tblStyle w:val="1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686"/>
        <w:gridCol w:w="1056"/>
        <w:gridCol w:w="1440"/>
        <w:gridCol w:w="851"/>
      </w:tblGrid>
      <w:tr w14:paraId="70E8F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76C1332">
            <w:pPr>
              <w:spacing w:line="360" w:lineRule="auto"/>
              <w:jc w:val="center"/>
              <w:rPr>
                <w:rFonts w:hint="eastAsia" w:ascii="宋体" w:hAnsi="宋体"/>
                <w:kern w:val="0"/>
                <w:szCs w:val="21"/>
              </w:rPr>
            </w:pPr>
            <w:r>
              <w:rPr>
                <w:rFonts w:hint="eastAsia" w:ascii="宋体" w:hAnsi="宋体"/>
                <w:kern w:val="0"/>
                <w:szCs w:val="21"/>
              </w:rPr>
              <w:t>课程目标</w:t>
            </w:r>
          </w:p>
        </w:tc>
        <w:tc>
          <w:tcPr>
            <w:tcW w:w="6294" w:type="dxa"/>
            <w:gridSpan w:val="5"/>
            <w:vAlign w:val="center"/>
          </w:tcPr>
          <w:p w14:paraId="1829502B">
            <w:pPr>
              <w:spacing w:line="360" w:lineRule="auto"/>
              <w:jc w:val="center"/>
              <w:rPr>
                <w:rFonts w:hint="eastAsia" w:ascii="宋体" w:hAnsi="宋体"/>
                <w:kern w:val="0"/>
                <w:szCs w:val="21"/>
              </w:rPr>
            </w:pPr>
            <w:r>
              <w:rPr>
                <w:rFonts w:hint="eastAsia" w:ascii="宋体" w:hAnsi="宋体"/>
                <w:kern w:val="0"/>
                <w:szCs w:val="21"/>
              </w:rPr>
              <w:t>评价与成绩评定方法</w:t>
            </w:r>
          </w:p>
        </w:tc>
        <w:tc>
          <w:tcPr>
            <w:tcW w:w="851" w:type="dxa"/>
            <w:vMerge w:val="restart"/>
            <w:vAlign w:val="center"/>
          </w:tcPr>
          <w:p w14:paraId="03F5346D">
            <w:pPr>
              <w:spacing w:line="360" w:lineRule="auto"/>
              <w:jc w:val="center"/>
              <w:rPr>
                <w:rFonts w:hint="eastAsia" w:ascii="宋体" w:hAnsi="宋体"/>
                <w:kern w:val="0"/>
                <w:szCs w:val="21"/>
              </w:rPr>
            </w:pPr>
            <w:r>
              <w:rPr>
                <w:rFonts w:hint="eastAsia" w:ascii="宋体" w:hAnsi="宋体"/>
                <w:kern w:val="0"/>
                <w:szCs w:val="21"/>
              </w:rPr>
              <w:t>分值</w:t>
            </w:r>
          </w:p>
        </w:tc>
      </w:tr>
      <w:tr w14:paraId="1D7B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33BBF97D">
            <w:pPr>
              <w:spacing w:line="360" w:lineRule="auto"/>
              <w:jc w:val="center"/>
              <w:rPr>
                <w:rFonts w:hint="eastAsia" w:ascii="宋体" w:hAnsi="宋体"/>
                <w:kern w:val="0"/>
                <w:szCs w:val="21"/>
              </w:rPr>
            </w:pPr>
          </w:p>
        </w:tc>
        <w:tc>
          <w:tcPr>
            <w:tcW w:w="0" w:type="auto"/>
            <w:vAlign w:val="center"/>
          </w:tcPr>
          <w:p w14:paraId="4D5EFB43">
            <w:pPr>
              <w:spacing w:line="360" w:lineRule="auto"/>
              <w:jc w:val="center"/>
              <w:rPr>
                <w:rFonts w:hint="eastAsia" w:ascii="宋体" w:hAnsi="宋体"/>
                <w:kern w:val="0"/>
                <w:szCs w:val="21"/>
              </w:rPr>
            </w:pPr>
            <w:r>
              <w:rPr>
                <w:rFonts w:hint="eastAsia" w:ascii="宋体" w:hAnsi="宋体"/>
                <w:kern w:val="0"/>
                <w:szCs w:val="21"/>
              </w:rPr>
              <w:t>平时作业</w:t>
            </w:r>
          </w:p>
        </w:tc>
        <w:tc>
          <w:tcPr>
            <w:tcW w:w="0" w:type="auto"/>
            <w:vAlign w:val="center"/>
          </w:tcPr>
          <w:p w14:paraId="4FDA24C9">
            <w:pPr>
              <w:spacing w:line="360" w:lineRule="auto"/>
              <w:jc w:val="center"/>
              <w:rPr>
                <w:rFonts w:hint="eastAsia" w:ascii="宋体" w:hAnsi="宋体"/>
                <w:kern w:val="0"/>
                <w:szCs w:val="21"/>
              </w:rPr>
            </w:pPr>
            <w:r>
              <w:rPr>
                <w:rFonts w:hint="eastAsia" w:ascii="宋体" w:hAnsi="宋体"/>
                <w:kern w:val="0"/>
                <w:szCs w:val="21"/>
              </w:rPr>
              <w:t>课堂表现</w:t>
            </w:r>
          </w:p>
        </w:tc>
        <w:tc>
          <w:tcPr>
            <w:tcW w:w="0" w:type="auto"/>
            <w:vAlign w:val="center"/>
          </w:tcPr>
          <w:p w14:paraId="7EC21EFD">
            <w:pPr>
              <w:spacing w:line="360" w:lineRule="auto"/>
              <w:jc w:val="center"/>
              <w:rPr>
                <w:rFonts w:hint="eastAsia" w:ascii="宋体" w:hAnsi="宋体"/>
                <w:kern w:val="0"/>
                <w:szCs w:val="21"/>
              </w:rPr>
            </w:pPr>
            <w:r>
              <w:rPr>
                <w:rFonts w:hint="eastAsia" w:ascii="宋体" w:hAnsi="宋体"/>
                <w:kern w:val="0"/>
                <w:szCs w:val="21"/>
              </w:rPr>
              <w:t>小组讨论与汇报</w:t>
            </w:r>
          </w:p>
        </w:tc>
        <w:tc>
          <w:tcPr>
            <w:tcW w:w="0" w:type="auto"/>
            <w:vAlign w:val="center"/>
          </w:tcPr>
          <w:p w14:paraId="782BC64B">
            <w:pPr>
              <w:spacing w:line="360" w:lineRule="auto"/>
              <w:jc w:val="center"/>
              <w:rPr>
                <w:rFonts w:hint="eastAsia" w:ascii="宋体" w:hAnsi="宋体"/>
                <w:kern w:val="0"/>
                <w:szCs w:val="21"/>
              </w:rPr>
            </w:pPr>
            <w:r>
              <w:rPr>
                <w:rFonts w:hint="eastAsia" w:ascii="宋体" w:hAnsi="宋体"/>
                <w:kern w:val="0"/>
                <w:szCs w:val="21"/>
              </w:rPr>
              <w:t>期末考试</w:t>
            </w:r>
          </w:p>
        </w:tc>
        <w:tc>
          <w:tcPr>
            <w:tcW w:w="1440" w:type="dxa"/>
          </w:tcPr>
          <w:p w14:paraId="42632B26">
            <w:pPr>
              <w:spacing w:line="360" w:lineRule="auto"/>
              <w:jc w:val="center"/>
              <w:rPr>
                <w:rFonts w:hint="eastAsia" w:ascii="宋体" w:hAnsi="宋体"/>
                <w:kern w:val="0"/>
                <w:szCs w:val="21"/>
              </w:rPr>
            </w:pPr>
            <w:r>
              <w:rPr>
                <w:rFonts w:hint="eastAsia" w:ascii="宋体" w:hAnsi="宋体"/>
                <w:kern w:val="0"/>
                <w:szCs w:val="21"/>
              </w:rPr>
              <w:t>自主学习</w:t>
            </w:r>
          </w:p>
        </w:tc>
        <w:tc>
          <w:tcPr>
            <w:tcW w:w="851" w:type="dxa"/>
            <w:vMerge w:val="continue"/>
            <w:vAlign w:val="center"/>
          </w:tcPr>
          <w:p w14:paraId="717B2D0A">
            <w:pPr>
              <w:spacing w:line="360" w:lineRule="auto"/>
              <w:jc w:val="center"/>
              <w:rPr>
                <w:rFonts w:hint="eastAsia" w:ascii="宋体" w:hAnsi="宋体"/>
                <w:kern w:val="0"/>
                <w:szCs w:val="21"/>
              </w:rPr>
            </w:pPr>
          </w:p>
        </w:tc>
      </w:tr>
      <w:tr w14:paraId="5804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0ED1614">
            <w:pPr>
              <w:spacing w:line="360" w:lineRule="auto"/>
              <w:jc w:val="center"/>
              <w:rPr>
                <w:rFonts w:hint="eastAsia" w:ascii="宋体" w:hAnsi="宋体"/>
                <w:kern w:val="0"/>
                <w:szCs w:val="21"/>
              </w:rPr>
            </w:pPr>
            <w:r>
              <w:rPr>
                <w:rFonts w:hint="eastAsia" w:ascii="宋体" w:hAnsi="宋体"/>
                <w:kern w:val="0"/>
                <w:szCs w:val="21"/>
              </w:rPr>
              <w:t>课程目标1</w:t>
            </w:r>
          </w:p>
        </w:tc>
        <w:tc>
          <w:tcPr>
            <w:tcW w:w="0" w:type="auto"/>
            <w:vAlign w:val="center"/>
          </w:tcPr>
          <w:p w14:paraId="1274BF0E">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23D241FF">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543A992B">
            <w:pPr>
              <w:spacing w:line="360" w:lineRule="auto"/>
              <w:jc w:val="center"/>
              <w:rPr>
                <w:rFonts w:hint="eastAsia" w:ascii="宋体" w:hAnsi="宋体"/>
                <w:kern w:val="0"/>
                <w:szCs w:val="21"/>
              </w:rPr>
            </w:pPr>
          </w:p>
        </w:tc>
        <w:tc>
          <w:tcPr>
            <w:tcW w:w="0" w:type="auto"/>
            <w:vAlign w:val="center"/>
          </w:tcPr>
          <w:p w14:paraId="6712F60A">
            <w:pPr>
              <w:spacing w:line="360" w:lineRule="auto"/>
              <w:jc w:val="center"/>
              <w:rPr>
                <w:rFonts w:hint="eastAsia" w:ascii="宋体" w:hAnsi="宋体"/>
                <w:kern w:val="0"/>
                <w:szCs w:val="21"/>
              </w:rPr>
            </w:pPr>
            <w:r>
              <w:rPr>
                <w:rFonts w:ascii="宋体" w:hAnsi="宋体"/>
                <w:kern w:val="0"/>
                <w:szCs w:val="21"/>
              </w:rPr>
              <w:sym w:font="Wingdings 2" w:char="F050"/>
            </w:r>
          </w:p>
        </w:tc>
        <w:tc>
          <w:tcPr>
            <w:tcW w:w="1440" w:type="dxa"/>
          </w:tcPr>
          <w:p w14:paraId="5D75BB4B">
            <w:pPr>
              <w:spacing w:line="360" w:lineRule="auto"/>
              <w:jc w:val="center"/>
              <w:rPr>
                <w:rFonts w:hint="eastAsia" w:ascii="宋体" w:hAnsi="宋体"/>
                <w:kern w:val="0"/>
                <w:szCs w:val="21"/>
              </w:rPr>
            </w:pPr>
            <w:r>
              <w:rPr>
                <w:rFonts w:ascii="宋体" w:hAnsi="宋体"/>
                <w:kern w:val="0"/>
                <w:szCs w:val="21"/>
              </w:rPr>
              <w:sym w:font="Wingdings 2" w:char="F050"/>
            </w:r>
          </w:p>
        </w:tc>
        <w:tc>
          <w:tcPr>
            <w:tcW w:w="851" w:type="dxa"/>
            <w:vAlign w:val="center"/>
          </w:tcPr>
          <w:p w14:paraId="089F0809">
            <w:pPr>
              <w:spacing w:line="360" w:lineRule="auto"/>
              <w:jc w:val="center"/>
              <w:rPr>
                <w:rFonts w:hint="eastAsia" w:ascii="宋体" w:hAnsi="宋体"/>
                <w:kern w:val="0"/>
                <w:szCs w:val="21"/>
              </w:rPr>
            </w:pPr>
            <w:r>
              <w:rPr>
                <w:rFonts w:hint="eastAsia" w:ascii="宋体" w:hAnsi="宋体"/>
                <w:kern w:val="0"/>
                <w:szCs w:val="21"/>
              </w:rPr>
              <w:t>25</w:t>
            </w:r>
          </w:p>
        </w:tc>
      </w:tr>
      <w:tr w14:paraId="2D26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DBF534E">
            <w:pPr>
              <w:spacing w:line="360" w:lineRule="auto"/>
              <w:jc w:val="center"/>
              <w:rPr>
                <w:rFonts w:hint="eastAsia" w:ascii="宋体" w:hAnsi="宋体"/>
                <w:kern w:val="0"/>
                <w:szCs w:val="21"/>
              </w:rPr>
            </w:pPr>
            <w:r>
              <w:rPr>
                <w:rFonts w:hint="eastAsia" w:ascii="宋体" w:hAnsi="宋体"/>
                <w:kern w:val="0"/>
                <w:szCs w:val="21"/>
              </w:rPr>
              <w:t>课程目标2</w:t>
            </w:r>
          </w:p>
        </w:tc>
        <w:tc>
          <w:tcPr>
            <w:tcW w:w="0" w:type="auto"/>
            <w:vAlign w:val="center"/>
          </w:tcPr>
          <w:p w14:paraId="1FEBAF4E">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2FB10041">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34638AF1">
            <w:pPr>
              <w:spacing w:line="360" w:lineRule="auto"/>
              <w:jc w:val="center"/>
              <w:rPr>
                <w:rFonts w:hint="eastAsia" w:ascii="宋体" w:hAnsi="宋体"/>
                <w:kern w:val="0"/>
                <w:szCs w:val="21"/>
              </w:rPr>
            </w:pPr>
          </w:p>
        </w:tc>
        <w:tc>
          <w:tcPr>
            <w:tcW w:w="0" w:type="auto"/>
            <w:vAlign w:val="center"/>
          </w:tcPr>
          <w:p w14:paraId="69D60468">
            <w:pPr>
              <w:spacing w:line="360" w:lineRule="auto"/>
              <w:jc w:val="center"/>
              <w:rPr>
                <w:rFonts w:hint="eastAsia" w:ascii="宋体" w:hAnsi="宋体"/>
                <w:kern w:val="0"/>
                <w:szCs w:val="21"/>
              </w:rPr>
            </w:pPr>
            <w:r>
              <w:rPr>
                <w:rFonts w:ascii="宋体" w:hAnsi="宋体"/>
                <w:kern w:val="0"/>
                <w:szCs w:val="21"/>
              </w:rPr>
              <w:sym w:font="Wingdings 2" w:char="F050"/>
            </w:r>
          </w:p>
        </w:tc>
        <w:tc>
          <w:tcPr>
            <w:tcW w:w="1440" w:type="dxa"/>
          </w:tcPr>
          <w:p w14:paraId="52740736">
            <w:pPr>
              <w:spacing w:line="360" w:lineRule="auto"/>
              <w:jc w:val="center"/>
              <w:rPr>
                <w:rFonts w:hint="eastAsia" w:ascii="宋体" w:hAnsi="宋体"/>
                <w:kern w:val="0"/>
                <w:szCs w:val="21"/>
              </w:rPr>
            </w:pPr>
            <w:r>
              <w:rPr>
                <w:rFonts w:ascii="宋体" w:hAnsi="宋体"/>
                <w:kern w:val="0"/>
                <w:szCs w:val="21"/>
              </w:rPr>
              <w:sym w:font="Wingdings 2" w:char="F050"/>
            </w:r>
          </w:p>
        </w:tc>
        <w:tc>
          <w:tcPr>
            <w:tcW w:w="851" w:type="dxa"/>
            <w:vAlign w:val="center"/>
          </w:tcPr>
          <w:p w14:paraId="48457F01">
            <w:pPr>
              <w:spacing w:line="360" w:lineRule="auto"/>
              <w:jc w:val="center"/>
              <w:rPr>
                <w:rFonts w:hint="eastAsia" w:ascii="宋体" w:hAnsi="宋体"/>
                <w:kern w:val="0"/>
                <w:szCs w:val="21"/>
              </w:rPr>
            </w:pPr>
            <w:r>
              <w:rPr>
                <w:rFonts w:hint="eastAsia" w:ascii="宋体" w:hAnsi="宋体"/>
                <w:kern w:val="0"/>
                <w:szCs w:val="21"/>
              </w:rPr>
              <w:t>25</w:t>
            </w:r>
          </w:p>
        </w:tc>
      </w:tr>
      <w:tr w14:paraId="3AEF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AEAB605">
            <w:pPr>
              <w:spacing w:line="360" w:lineRule="auto"/>
              <w:jc w:val="center"/>
              <w:rPr>
                <w:rFonts w:hint="eastAsia" w:ascii="宋体" w:hAnsi="宋体"/>
                <w:kern w:val="0"/>
                <w:szCs w:val="21"/>
              </w:rPr>
            </w:pPr>
            <w:r>
              <w:rPr>
                <w:rFonts w:hint="eastAsia" w:ascii="宋体" w:hAnsi="宋体"/>
                <w:kern w:val="0"/>
                <w:szCs w:val="21"/>
              </w:rPr>
              <w:t>课程目标3</w:t>
            </w:r>
          </w:p>
        </w:tc>
        <w:tc>
          <w:tcPr>
            <w:tcW w:w="0" w:type="auto"/>
            <w:vAlign w:val="center"/>
          </w:tcPr>
          <w:p w14:paraId="0955B8C8">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389E97C4">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3730FC24">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6D45C4EC">
            <w:pPr>
              <w:spacing w:line="360" w:lineRule="auto"/>
              <w:jc w:val="center"/>
              <w:rPr>
                <w:rFonts w:hint="eastAsia" w:ascii="宋体" w:hAnsi="宋体"/>
                <w:kern w:val="0"/>
                <w:szCs w:val="21"/>
              </w:rPr>
            </w:pPr>
            <w:r>
              <w:rPr>
                <w:rFonts w:ascii="宋体" w:hAnsi="宋体"/>
                <w:kern w:val="0"/>
                <w:szCs w:val="21"/>
              </w:rPr>
              <w:sym w:font="Wingdings 2" w:char="F050"/>
            </w:r>
          </w:p>
        </w:tc>
        <w:tc>
          <w:tcPr>
            <w:tcW w:w="1440" w:type="dxa"/>
          </w:tcPr>
          <w:p w14:paraId="28A07564">
            <w:pPr>
              <w:spacing w:line="360" w:lineRule="auto"/>
              <w:jc w:val="center"/>
              <w:rPr>
                <w:rFonts w:hint="eastAsia" w:ascii="宋体" w:hAnsi="宋体"/>
                <w:kern w:val="0"/>
                <w:szCs w:val="21"/>
              </w:rPr>
            </w:pPr>
          </w:p>
        </w:tc>
        <w:tc>
          <w:tcPr>
            <w:tcW w:w="851" w:type="dxa"/>
            <w:vAlign w:val="center"/>
          </w:tcPr>
          <w:p w14:paraId="2EC44749">
            <w:pPr>
              <w:spacing w:line="360" w:lineRule="auto"/>
              <w:jc w:val="center"/>
              <w:rPr>
                <w:rFonts w:hint="eastAsia" w:ascii="宋体" w:hAnsi="宋体"/>
                <w:kern w:val="0"/>
                <w:szCs w:val="21"/>
              </w:rPr>
            </w:pPr>
            <w:r>
              <w:rPr>
                <w:rFonts w:hint="eastAsia" w:ascii="宋体" w:hAnsi="宋体"/>
                <w:kern w:val="0"/>
                <w:szCs w:val="21"/>
              </w:rPr>
              <w:t>25</w:t>
            </w:r>
          </w:p>
        </w:tc>
      </w:tr>
      <w:tr w14:paraId="17D21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01D0BD1">
            <w:pPr>
              <w:spacing w:line="360" w:lineRule="auto"/>
              <w:jc w:val="center"/>
              <w:rPr>
                <w:rFonts w:hint="eastAsia" w:ascii="宋体" w:hAnsi="宋体"/>
                <w:kern w:val="0"/>
                <w:szCs w:val="21"/>
              </w:rPr>
            </w:pPr>
            <w:r>
              <w:rPr>
                <w:rFonts w:hint="eastAsia" w:ascii="宋体" w:hAnsi="宋体"/>
                <w:kern w:val="0"/>
                <w:szCs w:val="21"/>
              </w:rPr>
              <w:t>课程目标4</w:t>
            </w:r>
          </w:p>
        </w:tc>
        <w:tc>
          <w:tcPr>
            <w:tcW w:w="0" w:type="auto"/>
            <w:vAlign w:val="center"/>
          </w:tcPr>
          <w:p w14:paraId="455B1C74">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535F6B93">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0EAED3A7">
            <w:pPr>
              <w:spacing w:line="360" w:lineRule="auto"/>
              <w:jc w:val="center"/>
              <w:rPr>
                <w:rFonts w:hint="eastAsia" w:ascii="宋体" w:hAnsi="宋体"/>
                <w:kern w:val="0"/>
                <w:szCs w:val="21"/>
              </w:rPr>
            </w:pPr>
            <w:r>
              <w:rPr>
                <w:rFonts w:ascii="宋体" w:hAnsi="宋体"/>
                <w:kern w:val="0"/>
                <w:szCs w:val="21"/>
              </w:rPr>
              <w:sym w:font="Wingdings 2" w:char="F050"/>
            </w:r>
          </w:p>
        </w:tc>
        <w:tc>
          <w:tcPr>
            <w:tcW w:w="0" w:type="auto"/>
            <w:vAlign w:val="center"/>
          </w:tcPr>
          <w:p w14:paraId="63FA5AB3">
            <w:pPr>
              <w:spacing w:line="360" w:lineRule="auto"/>
              <w:jc w:val="center"/>
              <w:rPr>
                <w:rFonts w:hint="eastAsia" w:ascii="宋体" w:hAnsi="宋体"/>
                <w:kern w:val="0"/>
                <w:szCs w:val="21"/>
              </w:rPr>
            </w:pPr>
            <w:r>
              <w:rPr>
                <w:rFonts w:hint="eastAsia" w:ascii="宋体" w:hAnsi="宋体"/>
                <w:kern w:val="0"/>
                <w:szCs w:val="21"/>
              </w:rPr>
              <w:sym w:font="Wingdings 2" w:char="F050"/>
            </w:r>
          </w:p>
        </w:tc>
        <w:tc>
          <w:tcPr>
            <w:tcW w:w="1440" w:type="dxa"/>
          </w:tcPr>
          <w:p w14:paraId="1676653D">
            <w:pPr>
              <w:spacing w:line="360" w:lineRule="auto"/>
              <w:jc w:val="center"/>
              <w:rPr>
                <w:rFonts w:hint="eastAsia" w:ascii="宋体" w:hAnsi="宋体"/>
                <w:kern w:val="0"/>
                <w:szCs w:val="21"/>
              </w:rPr>
            </w:pPr>
            <w:r>
              <w:rPr>
                <w:rFonts w:ascii="宋体" w:hAnsi="宋体"/>
                <w:kern w:val="0"/>
                <w:szCs w:val="21"/>
              </w:rPr>
              <w:sym w:font="Wingdings 2" w:char="F050"/>
            </w:r>
          </w:p>
        </w:tc>
        <w:tc>
          <w:tcPr>
            <w:tcW w:w="851" w:type="dxa"/>
            <w:vAlign w:val="center"/>
          </w:tcPr>
          <w:p w14:paraId="57169154">
            <w:pPr>
              <w:spacing w:line="360" w:lineRule="auto"/>
              <w:jc w:val="center"/>
              <w:rPr>
                <w:rFonts w:hint="eastAsia" w:ascii="宋体" w:hAnsi="宋体"/>
                <w:kern w:val="0"/>
                <w:szCs w:val="21"/>
              </w:rPr>
            </w:pPr>
            <w:r>
              <w:rPr>
                <w:rFonts w:hint="eastAsia" w:ascii="宋体" w:hAnsi="宋体"/>
                <w:kern w:val="0"/>
                <w:szCs w:val="21"/>
              </w:rPr>
              <w:t>25</w:t>
            </w:r>
          </w:p>
        </w:tc>
      </w:tr>
      <w:tr w14:paraId="7FB2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1EB272B">
            <w:pPr>
              <w:spacing w:line="360" w:lineRule="auto"/>
              <w:jc w:val="center"/>
              <w:rPr>
                <w:rFonts w:hint="eastAsia" w:ascii="宋体" w:hAnsi="宋体"/>
                <w:kern w:val="0"/>
                <w:szCs w:val="21"/>
              </w:rPr>
            </w:pPr>
            <w:r>
              <w:rPr>
                <w:rFonts w:hint="eastAsia" w:ascii="宋体" w:hAnsi="宋体"/>
                <w:kern w:val="0"/>
                <w:szCs w:val="21"/>
              </w:rPr>
              <w:t>合计</w:t>
            </w:r>
          </w:p>
        </w:tc>
        <w:tc>
          <w:tcPr>
            <w:tcW w:w="0" w:type="auto"/>
            <w:vAlign w:val="center"/>
          </w:tcPr>
          <w:p w14:paraId="654A964D">
            <w:pPr>
              <w:spacing w:line="360" w:lineRule="auto"/>
              <w:jc w:val="center"/>
              <w:rPr>
                <w:rFonts w:hint="eastAsia" w:ascii="宋体" w:hAnsi="宋体"/>
                <w:kern w:val="0"/>
                <w:szCs w:val="21"/>
              </w:rPr>
            </w:pPr>
          </w:p>
        </w:tc>
        <w:tc>
          <w:tcPr>
            <w:tcW w:w="0" w:type="auto"/>
            <w:vAlign w:val="center"/>
          </w:tcPr>
          <w:p w14:paraId="79750793">
            <w:pPr>
              <w:spacing w:line="360" w:lineRule="auto"/>
              <w:jc w:val="center"/>
              <w:rPr>
                <w:rFonts w:hint="eastAsia" w:ascii="宋体" w:hAnsi="宋体"/>
                <w:kern w:val="0"/>
                <w:szCs w:val="21"/>
              </w:rPr>
            </w:pPr>
          </w:p>
        </w:tc>
        <w:tc>
          <w:tcPr>
            <w:tcW w:w="0" w:type="auto"/>
            <w:vAlign w:val="center"/>
          </w:tcPr>
          <w:p w14:paraId="19B0790F">
            <w:pPr>
              <w:spacing w:line="360" w:lineRule="auto"/>
              <w:jc w:val="center"/>
              <w:rPr>
                <w:rFonts w:hint="eastAsia" w:ascii="宋体" w:hAnsi="宋体"/>
                <w:kern w:val="0"/>
                <w:szCs w:val="21"/>
              </w:rPr>
            </w:pPr>
          </w:p>
        </w:tc>
        <w:tc>
          <w:tcPr>
            <w:tcW w:w="0" w:type="auto"/>
            <w:vAlign w:val="center"/>
          </w:tcPr>
          <w:p w14:paraId="2220E23C">
            <w:pPr>
              <w:spacing w:line="360" w:lineRule="auto"/>
              <w:jc w:val="center"/>
              <w:rPr>
                <w:rFonts w:hint="eastAsia" w:ascii="宋体" w:hAnsi="宋体"/>
                <w:kern w:val="0"/>
                <w:szCs w:val="21"/>
              </w:rPr>
            </w:pPr>
          </w:p>
        </w:tc>
        <w:tc>
          <w:tcPr>
            <w:tcW w:w="1440" w:type="dxa"/>
          </w:tcPr>
          <w:p w14:paraId="6293CA99">
            <w:pPr>
              <w:spacing w:line="360" w:lineRule="auto"/>
              <w:jc w:val="center"/>
              <w:rPr>
                <w:rFonts w:hint="eastAsia" w:ascii="宋体" w:hAnsi="宋体"/>
                <w:kern w:val="0"/>
                <w:szCs w:val="21"/>
              </w:rPr>
            </w:pPr>
          </w:p>
        </w:tc>
        <w:tc>
          <w:tcPr>
            <w:tcW w:w="851" w:type="dxa"/>
            <w:vAlign w:val="center"/>
          </w:tcPr>
          <w:p w14:paraId="5AD02F44">
            <w:pPr>
              <w:spacing w:line="360" w:lineRule="auto"/>
              <w:jc w:val="center"/>
              <w:rPr>
                <w:rFonts w:hint="eastAsia" w:ascii="宋体" w:hAnsi="宋体"/>
                <w:kern w:val="0"/>
                <w:szCs w:val="21"/>
              </w:rPr>
            </w:pPr>
            <w:r>
              <w:rPr>
                <w:rFonts w:hint="eastAsia" w:ascii="宋体" w:hAnsi="宋体"/>
                <w:kern w:val="0"/>
                <w:szCs w:val="21"/>
              </w:rPr>
              <w:t>100</w:t>
            </w:r>
          </w:p>
        </w:tc>
      </w:tr>
    </w:tbl>
    <w:p w14:paraId="6EE21224">
      <w:pPr>
        <w:spacing w:line="360" w:lineRule="auto"/>
        <w:ind w:firstLine="422" w:firstLineChars="200"/>
        <w:jc w:val="left"/>
        <w:rPr>
          <w:rFonts w:ascii="Times New Roman" w:hAnsi="Times New Roman"/>
          <w:b/>
          <w:szCs w:val="21"/>
        </w:rPr>
      </w:pPr>
      <w:r>
        <w:rPr>
          <w:rFonts w:hint="eastAsia" w:ascii="Times New Roman" w:hAnsi="Times New Roman"/>
          <w:b/>
          <w:szCs w:val="21"/>
        </w:rPr>
        <w:t>（二）成绩评定细则</w:t>
      </w:r>
    </w:p>
    <w:p w14:paraId="71DEDA99">
      <w:pPr>
        <w:spacing w:line="360" w:lineRule="auto"/>
        <w:ind w:firstLine="420" w:firstLineChars="200"/>
        <w:jc w:val="left"/>
        <w:rPr>
          <w:rFonts w:ascii="Times New Roman" w:hAnsi="Times New Roman"/>
          <w:szCs w:val="21"/>
        </w:rPr>
      </w:pPr>
      <w:r>
        <w:rPr>
          <w:rFonts w:hint="eastAsia" w:ascii="Times New Roman" w:hAnsi="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62C62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D75129A">
            <w:pPr>
              <w:jc w:val="center"/>
              <w:rPr>
                <w:rFonts w:ascii="Times New Roman" w:hAnsi="Times New Roman"/>
                <w:b/>
                <w:bCs/>
                <w:kern w:val="0"/>
                <w:szCs w:val="21"/>
              </w:rPr>
            </w:pPr>
            <w:r>
              <w:rPr>
                <w:rFonts w:hint="eastAsia" w:ascii="Times New Roman" w:hAnsi="Times New Roman"/>
                <w:b/>
                <w:bCs/>
                <w:kern w:val="0"/>
                <w:szCs w:val="21"/>
              </w:rPr>
              <w:t>评价方式</w:t>
            </w:r>
          </w:p>
        </w:tc>
        <w:tc>
          <w:tcPr>
            <w:tcW w:w="6924" w:type="dxa"/>
            <w:vAlign w:val="center"/>
          </w:tcPr>
          <w:p w14:paraId="5F574A87">
            <w:pPr>
              <w:jc w:val="center"/>
              <w:rPr>
                <w:rFonts w:ascii="Times New Roman" w:hAnsi="Times New Roman"/>
                <w:b/>
                <w:bCs/>
                <w:kern w:val="0"/>
                <w:szCs w:val="21"/>
              </w:rPr>
            </w:pPr>
            <w:r>
              <w:rPr>
                <w:rFonts w:hint="eastAsia" w:ascii="Times New Roman" w:hAnsi="Times New Roman"/>
                <w:b/>
                <w:bCs/>
                <w:kern w:val="0"/>
                <w:szCs w:val="21"/>
              </w:rPr>
              <w:t>评定细则</w:t>
            </w:r>
          </w:p>
        </w:tc>
        <w:tc>
          <w:tcPr>
            <w:tcW w:w="0" w:type="auto"/>
            <w:vAlign w:val="center"/>
          </w:tcPr>
          <w:p w14:paraId="32D2F9CE">
            <w:pPr>
              <w:jc w:val="center"/>
              <w:rPr>
                <w:rFonts w:ascii="Times New Roman" w:hAnsi="Times New Roman"/>
                <w:b/>
                <w:bCs/>
                <w:kern w:val="0"/>
                <w:szCs w:val="21"/>
              </w:rPr>
            </w:pPr>
            <w:r>
              <w:rPr>
                <w:rFonts w:hint="eastAsia" w:ascii="Times New Roman" w:hAnsi="Times New Roman"/>
                <w:b/>
                <w:bCs/>
                <w:kern w:val="0"/>
                <w:szCs w:val="21"/>
              </w:rPr>
              <w:t>占比</w:t>
            </w:r>
          </w:p>
        </w:tc>
      </w:tr>
      <w:tr w14:paraId="0F28A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715600E">
            <w:pPr>
              <w:rPr>
                <w:rFonts w:ascii="Times New Roman" w:hAnsi="Times New Roman"/>
                <w:kern w:val="0"/>
                <w:szCs w:val="21"/>
              </w:rPr>
            </w:pPr>
            <w:r>
              <w:rPr>
                <w:rFonts w:hint="eastAsia" w:ascii="Times New Roman" w:hAnsi="Times New Roman"/>
                <w:kern w:val="0"/>
                <w:szCs w:val="21"/>
              </w:rPr>
              <w:t>平时作业</w:t>
            </w:r>
          </w:p>
        </w:tc>
        <w:tc>
          <w:tcPr>
            <w:tcW w:w="6924" w:type="dxa"/>
            <w:vAlign w:val="center"/>
          </w:tcPr>
          <w:p w14:paraId="3A12D5EC">
            <w:pPr>
              <w:spacing w:line="264" w:lineRule="auto"/>
              <w:jc w:val="left"/>
              <w:rPr>
                <w:rFonts w:ascii="Times New Roman" w:hAnsi="Times New Roman"/>
                <w:kern w:val="0"/>
                <w:szCs w:val="21"/>
              </w:rPr>
            </w:pPr>
            <w:r>
              <w:rPr>
                <w:rFonts w:hint="eastAsia" w:ascii="Times New Roman" w:hAnsi="Times New Roman"/>
                <w:kern w:val="0"/>
                <w:szCs w:val="21"/>
              </w:rPr>
              <w:t>平时作业共3次，一为教育自传，学期初即提供《教育自传》参考资料和要求，要求每位学生以自己成长史为基点，反思自身受教育过程的特点，反思优点与不足，深化自身教育价值观，书写内容、反思深度情况将作为评分的主要依据。二为两次小论文，以小论文的规范性、逻辑性、创新性及整洁性为评分的主要依据。</w:t>
            </w:r>
          </w:p>
        </w:tc>
        <w:tc>
          <w:tcPr>
            <w:tcW w:w="0" w:type="auto"/>
            <w:vAlign w:val="center"/>
          </w:tcPr>
          <w:p w14:paraId="7FA59A98">
            <w:pPr>
              <w:jc w:val="center"/>
              <w:rPr>
                <w:rFonts w:ascii="Times New Roman" w:hAnsi="Times New Roman"/>
                <w:kern w:val="0"/>
                <w:szCs w:val="21"/>
              </w:rPr>
            </w:pPr>
            <w:r>
              <w:rPr>
                <w:rFonts w:hint="eastAsia" w:ascii="Times New Roman" w:hAnsi="Times New Roman"/>
                <w:kern w:val="0"/>
                <w:szCs w:val="21"/>
              </w:rPr>
              <w:t>20%</w:t>
            </w:r>
          </w:p>
        </w:tc>
      </w:tr>
      <w:tr w14:paraId="1926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26980A6B">
            <w:pPr>
              <w:rPr>
                <w:rFonts w:ascii="Times New Roman" w:hAnsi="Times New Roman"/>
                <w:kern w:val="0"/>
                <w:szCs w:val="21"/>
              </w:rPr>
            </w:pPr>
            <w:r>
              <w:rPr>
                <w:rFonts w:hint="eastAsia" w:ascii="Times New Roman" w:hAnsi="Times New Roman"/>
                <w:kern w:val="0"/>
                <w:szCs w:val="21"/>
              </w:rPr>
              <w:t>课堂表现</w:t>
            </w:r>
          </w:p>
        </w:tc>
        <w:tc>
          <w:tcPr>
            <w:tcW w:w="6924" w:type="dxa"/>
            <w:vAlign w:val="center"/>
          </w:tcPr>
          <w:p w14:paraId="31D463D1">
            <w:pPr>
              <w:widowControl/>
              <w:spacing w:line="264" w:lineRule="auto"/>
              <w:jc w:val="left"/>
              <w:rPr>
                <w:rFonts w:ascii="Times New Roman" w:hAnsi="Times New Roman"/>
                <w:kern w:val="0"/>
                <w:szCs w:val="21"/>
              </w:rPr>
            </w:pPr>
            <w:r>
              <w:rPr>
                <w:rFonts w:hint="eastAsia" w:ascii="宋体" w:hAnsi="宋体" w:cs="宋体"/>
                <w:kern w:val="0"/>
                <w:szCs w:val="21"/>
                <w:lang w:bidi="ar"/>
              </w:rPr>
              <w:t>一是课题考勤情况</w:t>
            </w:r>
            <w:r>
              <w:rPr>
                <w:rFonts w:ascii="宋体" w:hAnsi="宋体" w:cs="宋体"/>
                <w:kern w:val="0"/>
                <w:szCs w:val="21"/>
                <w:lang w:bidi="ar"/>
              </w:rPr>
              <w:t>。</w:t>
            </w:r>
            <w:r>
              <w:rPr>
                <w:rFonts w:hint="eastAsia" w:ascii="Times New Roman" w:hAnsi="Times New Roman"/>
                <w:kern w:val="0"/>
                <w:szCs w:val="21"/>
              </w:rPr>
              <w:t>迟到一次扣2分，无故缺席一次扣5分，累计达</w:t>
            </w:r>
            <w:r>
              <w:rPr>
                <w:rFonts w:ascii="Times New Roman" w:hAnsi="Times New Roman"/>
                <w:kern w:val="0"/>
                <w:szCs w:val="21"/>
              </w:rPr>
              <w:t>3</w:t>
            </w:r>
            <w:r>
              <w:rPr>
                <w:rFonts w:hint="eastAsia" w:ascii="Times New Roman" w:hAnsi="Times New Roman"/>
                <w:kern w:val="0"/>
                <w:szCs w:val="21"/>
              </w:rPr>
              <w:t>次以上（不含</w:t>
            </w:r>
            <w:r>
              <w:rPr>
                <w:rFonts w:ascii="Times New Roman" w:hAnsi="Times New Roman"/>
                <w:kern w:val="0"/>
                <w:szCs w:val="21"/>
              </w:rPr>
              <w:t>3</w:t>
            </w:r>
            <w:r>
              <w:rPr>
                <w:rFonts w:hint="eastAsia" w:ascii="Times New Roman" w:hAnsi="Times New Roman"/>
                <w:kern w:val="0"/>
                <w:szCs w:val="21"/>
              </w:rPr>
              <w:t>次）取消课程成绩。</w:t>
            </w:r>
          </w:p>
          <w:p w14:paraId="3C062490">
            <w:pPr>
              <w:widowControl/>
              <w:spacing w:line="264" w:lineRule="auto"/>
              <w:jc w:val="left"/>
              <w:rPr>
                <w:rFonts w:ascii="Times New Roman" w:hAnsi="Times New Roman"/>
                <w:kern w:val="0"/>
                <w:szCs w:val="21"/>
              </w:rPr>
            </w:pPr>
            <w:r>
              <w:rPr>
                <w:rFonts w:hint="eastAsia" w:ascii="Times New Roman" w:hAnsi="Times New Roman"/>
                <w:kern w:val="0"/>
                <w:szCs w:val="21"/>
              </w:rPr>
              <w:t>二是</w:t>
            </w:r>
            <w:r>
              <w:rPr>
                <w:rFonts w:ascii="宋体" w:hAnsi="宋体" w:cs="宋体"/>
                <w:kern w:val="0"/>
                <w:szCs w:val="21"/>
                <w:lang w:bidi="ar"/>
              </w:rPr>
              <w:t>课堂参与</w:t>
            </w:r>
            <w:r>
              <w:rPr>
                <w:rFonts w:hint="eastAsia" w:ascii="宋体" w:hAnsi="宋体" w:cs="宋体"/>
                <w:kern w:val="0"/>
                <w:szCs w:val="21"/>
                <w:lang w:bidi="ar"/>
              </w:rPr>
              <w:t>情况。</w:t>
            </w:r>
            <w:r>
              <w:rPr>
                <w:rFonts w:ascii="宋体" w:hAnsi="宋体" w:cs="宋体"/>
                <w:kern w:val="0"/>
                <w:szCs w:val="21"/>
                <w:lang w:bidi="ar"/>
              </w:rPr>
              <w:t>主要指课上教师随机提问、组织课堂讨论等，观察学生参与程度</w:t>
            </w:r>
            <w:r>
              <w:rPr>
                <w:rFonts w:hint="eastAsia" w:ascii="宋体" w:hAnsi="宋体" w:cs="宋体"/>
                <w:kern w:val="0"/>
                <w:szCs w:val="21"/>
                <w:lang w:bidi="ar"/>
              </w:rPr>
              <w:t>，</w:t>
            </w:r>
            <w:r>
              <w:rPr>
                <w:rFonts w:ascii="宋体" w:hAnsi="宋体" w:cs="宋体"/>
                <w:kern w:val="0"/>
                <w:szCs w:val="21"/>
                <w:lang w:bidi="ar"/>
              </w:rPr>
              <w:t>表现良好，按照对应的课程目标及权重给予评定</w:t>
            </w:r>
            <w:r>
              <w:rPr>
                <w:rFonts w:hint="eastAsia" w:ascii="宋体" w:hAnsi="宋体" w:cs="宋体"/>
                <w:kern w:val="0"/>
                <w:szCs w:val="21"/>
                <w:lang w:bidi="ar"/>
              </w:rPr>
              <w:t>。</w:t>
            </w:r>
          </w:p>
        </w:tc>
        <w:tc>
          <w:tcPr>
            <w:tcW w:w="0" w:type="auto"/>
            <w:vAlign w:val="center"/>
          </w:tcPr>
          <w:p w14:paraId="52B587C5">
            <w:pPr>
              <w:jc w:val="center"/>
              <w:rPr>
                <w:rFonts w:ascii="Times New Roman" w:hAnsi="Times New Roman"/>
                <w:kern w:val="0"/>
                <w:szCs w:val="21"/>
              </w:rPr>
            </w:pPr>
            <w:r>
              <w:rPr>
                <w:rFonts w:hint="eastAsia" w:ascii="Times New Roman" w:hAnsi="Times New Roman"/>
                <w:kern w:val="0"/>
                <w:szCs w:val="21"/>
              </w:rPr>
              <w:t>10%</w:t>
            </w:r>
          </w:p>
        </w:tc>
      </w:tr>
      <w:tr w14:paraId="4E74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74288E4B">
            <w:pPr>
              <w:rPr>
                <w:rFonts w:ascii="Times New Roman" w:hAnsi="Times New Roman"/>
                <w:kern w:val="0"/>
                <w:szCs w:val="21"/>
              </w:rPr>
            </w:pPr>
            <w:r>
              <w:rPr>
                <w:rFonts w:hint="eastAsia" w:ascii="Times New Roman" w:hAnsi="Times New Roman"/>
                <w:kern w:val="0"/>
                <w:szCs w:val="21"/>
              </w:rPr>
              <w:t>小组讨论与汇报</w:t>
            </w:r>
          </w:p>
        </w:tc>
        <w:tc>
          <w:tcPr>
            <w:tcW w:w="6924" w:type="dxa"/>
            <w:vAlign w:val="center"/>
          </w:tcPr>
          <w:p w14:paraId="52E7BD92">
            <w:pPr>
              <w:widowControl/>
              <w:spacing w:line="264" w:lineRule="auto"/>
              <w:jc w:val="left"/>
              <w:rPr>
                <w:rFonts w:hint="eastAsia" w:ascii="宋体" w:hAnsi="宋体" w:cs="宋体"/>
                <w:kern w:val="0"/>
                <w:szCs w:val="21"/>
                <w:lang w:bidi="ar"/>
              </w:rPr>
            </w:pPr>
            <w:r>
              <w:rPr>
                <w:rFonts w:hint="eastAsia" w:ascii="宋体" w:hAnsi="宋体" w:cs="宋体"/>
                <w:kern w:val="0"/>
                <w:szCs w:val="21"/>
                <w:lang w:bidi="ar"/>
              </w:rPr>
              <w:t>小组讨论与回报主要包括人性论与教育、伦理学与教育、哲学教师专业发展等内容以小组形式回报，评定主要以、内容、PPT制作、个人参与度、小组合作度、演讲水平等作为成绩评定标准。</w:t>
            </w:r>
          </w:p>
        </w:tc>
        <w:tc>
          <w:tcPr>
            <w:tcW w:w="0" w:type="auto"/>
            <w:vAlign w:val="center"/>
          </w:tcPr>
          <w:p w14:paraId="1F605A4A">
            <w:pPr>
              <w:jc w:val="center"/>
              <w:rPr>
                <w:rFonts w:ascii="Times New Roman" w:hAnsi="Times New Roman"/>
                <w:kern w:val="0"/>
                <w:szCs w:val="21"/>
              </w:rPr>
            </w:pPr>
            <w:r>
              <w:rPr>
                <w:rFonts w:hint="eastAsia" w:ascii="Times New Roman" w:hAnsi="Times New Roman"/>
                <w:kern w:val="0"/>
                <w:szCs w:val="21"/>
              </w:rPr>
              <w:t>10%</w:t>
            </w:r>
          </w:p>
        </w:tc>
      </w:tr>
      <w:tr w14:paraId="03BE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68EA2387">
            <w:pPr>
              <w:rPr>
                <w:rFonts w:ascii="Times New Roman" w:hAnsi="Times New Roman"/>
                <w:kern w:val="0"/>
                <w:szCs w:val="21"/>
              </w:rPr>
            </w:pPr>
            <w:r>
              <w:rPr>
                <w:rFonts w:hint="eastAsia" w:ascii="Times New Roman" w:hAnsi="Times New Roman"/>
                <w:kern w:val="0"/>
                <w:szCs w:val="21"/>
              </w:rPr>
              <w:t>自主学习</w:t>
            </w:r>
          </w:p>
        </w:tc>
        <w:tc>
          <w:tcPr>
            <w:tcW w:w="6924" w:type="dxa"/>
            <w:vAlign w:val="center"/>
          </w:tcPr>
          <w:p w14:paraId="7961DD0A">
            <w:pPr>
              <w:spacing w:line="264" w:lineRule="auto"/>
              <w:jc w:val="left"/>
              <w:rPr>
                <w:rFonts w:ascii="Times New Roman" w:hAnsi="Times New Roman"/>
                <w:kern w:val="0"/>
                <w:szCs w:val="21"/>
              </w:rPr>
            </w:pPr>
            <w:r>
              <w:rPr>
                <w:rFonts w:hint="eastAsia" w:ascii="Times New Roman" w:hAnsi="Times New Roman"/>
                <w:kern w:val="0"/>
                <w:szCs w:val="21"/>
              </w:rPr>
              <w:t>学生在在线开放课程中完成课前自主学习，系统记录其学习经历，主要包括学习通参与讨论的数量、资料阅读的情况等行为。期末收集所有学生的学习数据，以完成所有要求的学习项目为满分，按比例折算出学生的得分。</w:t>
            </w:r>
          </w:p>
        </w:tc>
        <w:tc>
          <w:tcPr>
            <w:tcW w:w="0" w:type="auto"/>
            <w:vAlign w:val="center"/>
          </w:tcPr>
          <w:p w14:paraId="3A69B129">
            <w:pPr>
              <w:jc w:val="center"/>
              <w:rPr>
                <w:rFonts w:ascii="Times New Roman" w:hAnsi="Times New Roman"/>
                <w:kern w:val="0"/>
                <w:szCs w:val="21"/>
              </w:rPr>
            </w:pPr>
            <w:r>
              <w:rPr>
                <w:rFonts w:hint="eastAsia" w:ascii="Times New Roman" w:hAnsi="Times New Roman"/>
                <w:kern w:val="0"/>
                <w:szCs w:val="21"/>
              </w:rPr>
              <w:t>10%</w:t>
            </w:r>
          </w:p>
        </w:tc>
      </w:tr>
      <w:tr w14:paraId="20A2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2EB6552">
            <w:pPr>
              <w:rPr>
                <w:rFonts w:ascii="Times New Roman" w:hAnsi="Times New Roman"/>
                <w:kern w:val="0"/>
                <w:szCs w:val="21"/>
              </w:rPr>
            </w:pPr>
            <w:r>
              <w:rPr>
                <w:rFonts w:hint="eastAsia" w:ascii="Times New Roman" w:hAnsi="Times New Roman"/>
                <w:kern w:val="0"/>
                <w:szCs w:val="21"/>
              </w:rPr>
              <w:t>期末考试</w:t>
            </w:r>
          </w:p>
        </w:tc>
        <w:tc>
          <w:tcPr>
            <w:tcW w:w="6924" w:type="dxa"/>
            <w:vAlign w:val="center"/>
          </w:tcPr>
          <w:p w14:paraId="0B9AC19A">
            <w:pPr>
              <w:spacing w:line="264" w:lineRule="auto"/>
              <w:jc w:val="left"/>
              <w:rPr>
                <w:rFonts w:ascii="Times New Roman" w:hAnsi="Times New Roman"/>
                <w:kern w:val="0"/>
                <w:szCs w:val="21"/>
              </w:rPr>
            </w:pPr>
            <w:r>
              <w:rPr>
                <w:rFonts w:ascii="Times New Roman" w:hAnsi="Times New Roman"/>
                <w:kern w:val="0"/>
                <w:szCs w:val="21"/>
              </w:rPr>
              <w:t>试卷题型包括</w:t>
            </w:r>
            <w:r>
              <w:rPr>
                <w:rFonts w:hint="eastAsia" w:ascii="Times New Roman" w:hAnsi="Times New Roman"/>
                <w:kern w:val="0"/>
                <w:szCs w:val="21"/>
              </w:rPr>
              <w:t>论述题</w:t>
            </w:r>
            <w:r>
              <w:rPr>
                <w:rFonts w:ascii="Times New Roman" w:hAnsi="Times New Roman"/>
                <w:kern w:val="0"/>
                <w:szCs w:val="21"/>
              </w:rPr>
              <w:t>等，以卷面成绩的50%计入课程总成绩。</w:t>
            </w:r>
            <w:r>
              <w:rPr>
                <w:rFonts w:hint="eastAsia" w:ascii="Times New Roman" w:hAnsi="Times New Roman"/>
                <w:kern w:val="0"/>
                <w:szCs w:val="21"/>
              </w:rPr>
              <w:t>开卷，题考核学生对基本理论知识的掌握自己运用基本理论知识进行综合分析的能力。基本理论知识占50%，运用基本论知识进行综合分析占50%。</w:t>
            </w:r>
          </w:p>
        </w:tc>
        <w:tc>
          <w:tcPr>
            <w:tcW w:w="0" w:type="auto"/>
            <w:vAlign w:val="center"/>
          </w:tcPr>
          <w:p w14:paraId="4B01D702">
            <w:pPr>
              <w:jc w:val="center"/>
              <w:rPr>
                <w:rFonts w:ascii="Times New Roman" w:hAnsi="Times New Roman"/>
                <w:kern w:val="0"/>
                <w:szCs w:val="21"/>
              </w:rPr>
            </w:pPr>
            <w:r>
              <w:rPr>
                <w:rFonts w:hint="eastAsia" w:ascii="Times New Roman" w:hAnsi="Times New Roman"/>
                <w:kern w:val="0"/>
                <w:szCs w:val="21"/>
              </w:rPr>
              <w:t>50%</w:t>
            </w:r>
          </w:p>
        </w:tc>
      </w:tr>
      <w:tr w14:paraId="3FC2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D4C973F">
            <w:pPr>
              <w:jc w:val="center"/>
              <w:rPr>
                <w:rFonts w:ascii="Times New Roman" w:hAnsi="Times New Roman"/>
                <w:b/>
                <w:bCs/>
                <w:kern w:val="0"/>
                <w:szCs w:val="21"/>
              </w:rPr>
            </w:pPr>
            <w:r>
              <w:rPr>
                <w:rFonts w:hint="eastAsia" w:ascii="Times New Roman" w:hAnsi="Times New Roman"/>
                <w:b/>
                <w:bCs/>
                <w:kern w:val="0"/>
                <w:szCs w:val="21"/>
              </w:rPr>
              <w:t>合计</w:t>
            </w:r>
          </w:p>
        </w:tc>
        <w:tc>
          <w:tcPr>
            <w:tcW w:w="0" w:type="auto"/>
            <w:vAlign w:val="center"/>
          </w:tcPr>
          <w:p w14:paraId="4E52FD6A">
            <w:pPr>
              <w:jc w:val="left"/>
              <w:rPr>
                <w:rFonts w:ascii="Times New Roman" w:hAnsi="Times New Roman"/>
                <w:kern w:val="0"/>
                <w:szCs w:val="21"/>
              </w:rPr>
            </w:pPr>
          </w:p>
        </w:tc>
        <w:tc>
          <w:tcPr>
            <w:tcW w:w="0" w:type="auto"/>
            <w:vAlign w:val="center"/>
          </w:tcPr>
          <w:p w14:paraId="60D0A7D1">
            <w:pPr>
              <w:jc w:val="center"/>
              <w:rPr>
                <w:rFonts w:ascii="Times New Roman" w:hAnsi="Times New Roman"/>
                <w:kern w:val="0"/>
                <w:szCs w:val="21"/>
              </w:rPr>
            </w:pPr>
            <w:r>
              <w:rPr>
                <w:rFonts w:hint="eastAsia" w:ascii="Times New Roman" w:hAnsi="Times New Roman"/>
                <w:kern w:val="0"/>
                <w:szCs w:val="21"/>
              </w:rPr>
              <w:t>100%</w:t>
            </w:r>
          </w:p>
        </w:tc>
      </w:tr>
    </w:tbl>
    <w:p w14:paraId="3533BB25">
      <w:pPr>
        <w:spacing w:before="156" w:beforeLines="50" w:line="360" w:lineRule="auto"/>
        <w:ind w:firstLine="422" w:firstLineChars="200"/>
        <w:jc w:val="left"/>
        <w:rPr>
          <w:rFonts w:ascii="Times New Roman" w:hAnsi="Times New Roman"/>
          <w:b/>
          <w:szCs w:val="21"/>
        </w:rPr>
      </w:pPr>
      <w:r>
        <w:rPr>
          <w:rFonts w:hint="eastAsia" w:ascii="Times New Roman" w:hAnsi="Times New Roman"/>
          <w:b/>
          <w:szCs w:val="21"/>
        </w:rPr>
        <w:t>（三）课程目标达成度计算方法</w:t>
      </w:r>
    </w:p>
    <w:p w14:paraId="1C9F5508">
      <w:pPr>
        <w:spacing w:line="360" w:lineRule="auto"/>
        <w:ind w:firstLine="411" w:firstLineChars="196"/>
        <w:jc w:val="left"/>
        <w:rPr>
          <w:rFonts w:hint="eastAsia" w:ascii="宋体" w:hAnsi="宋体"/>
          <w:szCs w:val="21"/>
        </w:rPr>
      </w:pPr>
      <w:r>
        <w:rPr>
          <w:rFonts w:hint="eastAsia" w:ascii="宋体" w:hAnsi="宋体"/>
          <w:szCs w:val="21"/>
        </w:rPr>
        <w:t>所有课程目标均需大于等于</w:t>
      </w:r>
      <w:r>
        <w:rPr>
          <w:rFonts w:ascii="宋体" w:hAnsi="宋体"/>
          <w:szCs w:val="21"/>
        </w:rPr>
        <w:t>0.6，否则总评成绩不及格，需要补考或重修。每门课程目标总体达成度计算方法如下：</w:t>
      </w:r>
    </w:p>
    <w:p w14:paraId="278DDE89">
      <w:pPr>
        <w:spacing w:line="360" w:lineRule="auto"/>
        <w:rPr>
          <w:rFonts w:hint="eastAsia" w:ascii="宋体" w:hAnsi="宋体"/>
          <w:b/>
          <w:szCs w:val="21"/>
        </w:rPr>
      </w:pPr>
      <w:r>
        <w:rPr>
          <w:rFonts w:ascii="宋体" w:hAnsi="宋体"/>
          <w:szCs w:val="21"/>
        </w:rPr>
        <w:object>
          <v:shape id="_x0000_i1047"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47" DrawAspect="Content" ObjectID="_1468075747" r:id="rId35">
            <o:LockedField>false</o:LockedField>
          </o:OLEObject>
        </w:object>
      </w:r>
    </w:p>
    <w:p w14:paraId="089F0451">
      <w:pPr>
        <w:spacing w:before="62" w:beforeLines="20" w:after="62" w:afterLines="20" w:line="360" w:lineRule="auto"/>
        <w:rPr>
          <w:rFonts w:hint="eastAsia" w:ascii="宋体" w:hAnsi="宋体"/>
          <w:b/>
          <w:sz w:val="24"/>
        </w:rPr>
      </w:pPr>
      <w:r>
        <w:rPr>
          <w:rFonts w:hint="eastAsia" w:ascii="宋体" w:hAnsi="宋体"/>
          <w:b/>
          <w:sz w:val="24"/>
        </w:rPr>
        <w:t>六、有关说明</w:t>
      </w:r>
    </w:p>
    <w:p w14:paraId="57754308">
      <w:pPr>
        <w:spacing w:before="156" w:beforeLines="50" w:line="360" w:lineRule="auto"/>
        <w:ind w:firstLine="422" w:firstLineChars="200"/>
        <w:jc w:val="left"/>
        <w:rPr>
          <w:rFonts w:ascii="Times New Roman" w:hAnsi="Times New Roman"/>
          <w:b/>
          <w:szCs w:val="21"/>
        </w:rPr>
      </w:pPr>
      <w:r>
        <w:rPr>
          <w:rFonts w:hint="eastAsia" w:ascii="Times New Roman" w:hAnsi="Times New Roman"/>
          <w:b/>
          <w:szCs w:val="21"/>
        </w:rPr>
        <w:t>（一）持续改进</w:t>
      </w:r>
    </w:p>
    <w:p w14:paraId="48997F2B">
      <w:pPr>
        <w:spacing w:line="300" w:lineRule="auto"/>
        <w:ind w:firstLine="420" w:firstLineChars="200"/>
        <w:rPr>
          <w:rFonts w:ascii="Calibri" w:hAnsi="Calibri"/>
          <w:szCs w:val="21"/>
        </w:rPr>
      </w:pPr>
      <w:r>
        <w:rPr>
          <w:rFonts w:hint="eastAsia" w:ascii="Calibri" w:hAnsi="Calibri"/>
          <w:szCs w:val="21"/>
        </w:rPr>
        <w:t>本课程根据学生作业、课堂讨论、教学环节、平时考核情况和学生、教学督导等的反馈，及时对教学中的不足之处进行改进，并在下一轮课程教学中整改完善，确保相应毕业要求指标点达成。</w:t>
      </w:r>
    </w:p>
    <w:p w14:paraId="43B078BA">
      <w:pPr>
        <w:spacing w:before="156" w:beforeLines="50" w:line="360" w:lineRule="auto"/>
        <w:ind w:firstLine="422" w:firstLineChars="200"/>
        <w:jc w:val="left"/>
        <w:rPr>
          <w:rFonts w:ascii="Times New Roman" w:hAnsi="Times New Roman"/>
          <w:b/>
          <w:szCs w:val="21"/>
        </w:rPr>
      </w:pPr>
      <w:r>
        <w:rPr>
          <w:rFonts w:hint="eastAsia" w:ascii="Times New Roman" w:hAnsi="Times New Roman"/>
          <w:b/>
          <w:szCs w:val="21"/>
        </w:rPr>
        <w:t>（二）参考书目及学习资料</w:t>
      </w:r>
    </w:p>
    <w:p w14:paraId="641444D2">
      <w:pPr>
        <w:spacing w:line="360" w:lineRule="auto"/>
        <w:ind w:firstLine="411" w:firstLineChars="196"/>
        <w:jc w:val="left"/>
        <w:rPr>
          <w:rFonts w:hint="eastAsia" w:ascii="宋体" w:hAnsi="宋体"/>
          <w:szCs w:val="21"/>
        </w:rPr>
      </w:pPr>
      <w:r>
        <w:rPr>
          <w:rFonts w:ascii="宋体" w:hAnsi="宋体"/>
          <w:szCs w:val="21"/>
        </w:rPr>
        <w:t>1.</w:t>
      </w:r>
      <w:r>
        <w:rPr>
          <w:rFonts w:hint="eastAsia" w:ascii="宋体" w:hAnsi="宋体"/>
          <w:szCs w:val="21"/>
        </w:rPr>
        <w:t>教材</w:t>
      </w:r>
    </w:p>
    <w:p w14:paraId="78A1108A">
      <w:pPr>
        <w:spacing w:line="360" w:lineRule="auto"/>
        <w:ind w:firstLine="411" w:firstLineChars="196"/>
        <w:jc w:val="left"/>
        <w:rPr>
          <w:rFonts w:hint="eastAsia" w:ascii="宋体" w:hAnsi="宋体"/>
          <w:szCs w:val="21"/>
        </w:rPr>
      </w:pPr>
      <w:r>
        <w:rPr>
          <w:rFonts w:hint="eastAsia" w:ascii="宋体" w:hAnsi="宋体"/>
          <w:szCs w:val="21"/>
        </w:rPr>
        <w:t>石中英</w:t>
      </w:r>
      <w:r>
        <w:rPr>
          <w:rFonts w:ascii="宋体" w:hAnsi="宋体"/>
          <w:szCs w:val="21"/>
        </w:rPr>
        <w:t>.</w:t>
      </w:r>
      <w:r>
        <w:rPr>
          <w:rFonts w:hint="eastAsia" w:ascii="宋体" w:hAnsi="宋体"/>
          <w:szCs w:val="21"/>
        </w:rPr>
        <w:t>教育哲学</w:t>
      </w:r>
      <w:r>
        <w:rPr>
          <w:rFonts w:ascii="宋体" w:hAnsi="宋体"/>
          <w:szCs w:val="21"/>
        </w:rPr>
        <w:t>.</w:t>
      </w:r>
      <w:r>
        <w:rPr>
          <w:rFonts w:hint="eastAsia" w:ascii="宋体" w:hAnsi="宋体"/>
          <w:szCs w:val="21"/>
        </w:rPr>
        <w:t>高等教育出版社，</w:t>
      </w:r>
      <w:r>
        <w:rPr>
          <w:rFonts w:ascii="宋体" w:hAnsi="宋体"/>
          <w:szCs w:val="21"/>
        </w:rPr>
        <w:t>2019.</w:t>
      </w:r>
      <w:r>
        <w:rPr>
          <w:rFonts w:hint="eastAsia" w:ascii="宋体" w:hAnsi="宋体"/>
          <w:szCs w:val="21"/>
        </w:rPr>
        <w:t>（马工程教材）</w:t>
      </w:r>
    </w:p>
    <w:p w14:paraId="56047FAF">
      <w:pPr>
        <w:spacing w:line="360" w:lineRule="auto"/>
        <w:ind w:firstLine="411" w:firstLineChars="196"/>
        <w:jc w:val="left"/>
        <w:rPr>
          <w:rFonts w:hint="eastAsia" w:ascii="宋体" w:hAnsi="宋体"/>
          <w:szCs w:val="21"/>
        </w:rPr>
      </w:pPr>
      <w:r>
        <w:rPr>
          <w:rFonts w:ascii="宋体" w:hAnsi="宋体"/>
          <w:szCs w:val="21"/>
        </w:rPr>
        <w:t>2.</w:t>
      </w:r>
      <w:r>
        <w:rPr>
          <w:rFonts w:hint="eastAsia" w:ascii="宋体" w:hAnsi="宋体"/>
          <w:szCs w:val="21"/>
        </w:rPr>
        <w:t>教学参考书</w:t>
      </w:r>
    </w:p>
    <w:p w14:paraId="05A338AA">
      <w:pPr>
        <w:spacing w:line="360" w:lineRule="auto"/>
        <w:ind w:firstLine="411" w:firstLineChars="196"/>
        <w:jc w:val="left"/>
        <w:rPr>
          <w:rFonts w:hint="eastAsia" w:ascii="宋体" w:hAnsi="宋体"/>
          <w:szCs w:val="21"/>
        </w:rPr>
      </w:pPr>
      <w:r>
        <w:rPr>
          <w:rFonts w:hint="eastAsia" w:ascii="宋体" w:hAnsi="宋体"/>
          <w:szCs w:val="21"/>
        </w:rPr>
        <w:t>于伟</w:t>
      </w:r>
      <w:r>
        <w:rPr>
          <w:rFonts w:ascii="宋体" w:hAnsi="宋体"/>
          <w:szCs w:val="21"/>
        </w:rPr>
        <w:t>.</w:t>
      </w:r>
      <w:r>
        <w:rPr>
          <w:rFonts w:hint="eastAsia" w:ascii="宋体" w:hAnsi="宋体"/>
          <w:szCs w:val="21"/>
        </w:rPr>
        <w:t>教育哲学</w:t>
      </w:r>
      <w:r>
        <w:rPr>
          <w:rFonts w:ascii="宋体" w:hAnsi="宋体"/>
          <w:szCs w:val="21"/>
        </w:rPr>
        <w:t>.</w:t>
      </w:r>
      <w:r>
        <w:rPr>
          <w:rFonts w:hint="eastAsia" w:ascii="宋体" w:hAnsi="宋体"/>
          <w:szCs w:val="21"/>
        </w:rPr>
        <w:t>北京师范大学出版社，</w:t>
      </w:r>
      <w:r>
        <w:rPr>
          <w:rFonts w:ascii="宋体" w:hAnsi="宋体"/>
          <w:szCs w:val="21"/>
        </w:rPr>
        <w:t>2016.</w:t>
      </w:r>
    </w:p>
    <w:p w14:paraId="61C18E4C">
      <w:pPr>
        <w:spacing w:line="360" w:lineRule="auto"/>
        <w:ind w:firstLine="411" w:firstLineChars="196"/>
        <w:jc w:val="left"/>
        <w:rPr>
          <w:rFonts w:hint="eastAsia" w:ascii="宋体" w:hAnsi="宋体"/>
          <w:szCs w:val="21"/>
        </w:rPr>
      </w:pPr>
      <w:r>
        <w:rPr>
          <w:rFonts w:hint="eastAsia" w:ascii="宋体" w:hAnsi="宋体"/>
          <w:szCs w:val="21"/>
        </w:rPr>
        <w:t>郝文武</w:t>
      </w:r>
      <w:r>
        <w:rPr>
          <w:rFonts w:ascii="宋体" w:hAnsi="宋体"/>
          <w:szCs w:val="21"/>
        </w:rPr>
        <w:t>.</w:t>
      </w:r>
      <w:r>
        <w:rPr>
          <w:rFonts w:hint="eastAsia" w:ascii="宋体" w:hAnsi="宋体"/>
          <w:szCs w:val="21"/>
        </w:rPr>
        <w:t>教育哲学</w:t>
      </w:r>
      <w:r>
        <w:rPr>
          <w:rFonts w:ascii="宋体" w:hAnsi="宋体"/>
          <w:szCs w:val="21"/>
        </w:rPr>
        <w:t>.</w:t>
      </w:r>
      <w:r>
        <w:rPr>
          <w:rFonts w:hint="eastAsia" w:ascii="宋体" w:hAnsi="宋体"/>
          <w:szCs w:val="21"/>
        </w:rPr>
        <w:t>人民教育出版社，</w:t>
      </w:r>
      <w:r>
        <w:rPr>
          <w:rFonts w:ascii="宋体" w:hAnsi="宋体"/>
          <w:szCs w:val="21"/>
        </w:rPr>
        <w:t>2011.</w:t>
      </w:r>
    </w:p>
    <w:p w14:paraId="597CF0D2">
      <w:pPr>
        <w:spacing w:line="360" w:lineRule="auto"/>
        <w:ind w:firstLine="411" w:firstLineChars="196"/>
        <w:jc w:val="left"/>
        <w:rPr>
          <w:rFonts w:hint="eastAsia" w:ascii="宋体" w:hAnsi="宋体"/>
          <w:szCs w:val="21"/>
        </w:rPr>
      </w:pPr>
      <w:r>
        <w:rPr>
          <w:rFonts w:hint="eastAsia" w:ascii="宋体" w:hAnsi="宋体"/>
          <w:szCs w:val="21"/>
        </w:rPr>
        <w:t xml:space="preserve">刘铁芳.什么是好的教育-学校教育的哲学阐释.高等教育出版社，2014. </w:t>
      </w:r>
    </w:p>
    <w:p w14:paraId="292F81C1">
      <w:pPr>
        <w:spacing w:line="360" w:lineRule="auto"/>
        <w:ind w:firstLine="411" w:firstLineChars="196"/>
        <w:jc w:val="left"/>
        <w:rPr>
          <w:rFonts w:hint="eastAsia" w:ascii="宋体" w:hAnsi="宋体"/>
          <w:szCs w:val="21"/>
        </w:rPr>
      </w:pPr>
      <w:r>
        <w:rPr>
          <w:rFonts w:hint="eastAsia" w:ascii="宋体" w:hAnsi="宋体"/>
          <w:szCs w:val="21"/>
        </w:rPr>
        <w:t>黄济.教育哲学通论.山西教育出版社,1998.</w:t>
      </w:r>
    </w:p>
    <w:p w14:paraId="1E919E4F">
      <w:pPr>
        <w:spacing w:line="360" w:lineRule="auto"/>
        <w:ind w:firstLine="411" w:firstLineChars="196"/>
        <w:jc w:val="left"/>
        <w:rPr>
          <w:rFonts w:hint="eastAsia" w:ascii="宋体" w:hAnsi="宋体"/>
          <w:szCs w:val="21"/>
        </w:rPr>
      </w:pPr>
      <w:r>
        <w:rPr>
          <w:rFonts w:hint="eastAsia" w:ascii="宋体" w:hAnsi="宋体"/>
          <w:szCs w:val="21"/>
        </w:rPr>
        <w:t>陆有铨.现代西方教育哲学.北京大学出版社,2012.</w:t>
      </w:r>
    </w:p>
    <w:p w14:paraId="53730454">
      <w:pPr>
        <w:spacing w:line="360" w:lineRule="auto"/>
        <w:ind w:firstLine="411" w:firstLineChars="196"/>
        <w:jc w:val="left"/>
        <w:rPr>
          <w:rFonts w:hint="eastAsia" w:ascii="宋体" w:hAnsi="宋体"/>
          <w:szCs w:val="21"/>
        </w:rPr>
      </w:pPr>
      <w:r>
        <w:rPr>
          <w:rFonts w:hint="eastAsia" w:ascii="宋体" w:hAnsi="宋体"/>
          <w:szCs w:val="21"/>
        </w:rPr>
        <w:t>张楚廷.教育哲学[M].教育科学出版社,2006.</w:t>
      </w:r>
    </w:p>
    <w:p w14:paraId="7E79FD3A">
      <w:pPr>
        <w:spacing w:line="360" w:lineRule="auto"/>
        <w:ind w:firstLine="411" w:firstLineChars="196"/>
        <w:jc w:val="left"/>
        <w:rPr>
          <w:rFonts w:hint="eastAsia" w:ascii="宋体" w:hAnsi="宋体"/>
          <w:szCs w:val="21"/>
        </w:rPr>
      </w:pPr>
      <w:r>
        <w:rPr>
          <w:rFonts w:hint="eastAsia" w:ascii="宋体" w:hAnsi="宋体"/>
          <w:szCs w:val="21"/>
        </w:rPr>
        <w:t>王坤庆.教育哲学——一种哲学价值论视角的研究.华中师大学出版社,2006.</w:t>
      </w:r>
    </w:p>
    <w:p w14:paraId="28F49DCC">
      <w:pPr>
        <w:spacing w:line="360" w:lineRule="auto"/>
        <w:ind w:firstLine="411" w:firstLineChars="196"/>
        <w:jc w:val="left"/>
        <w:rPr>
          <w:rFonts w:hint="eastAsia" w:ascii="宋体" w:hAnsi="宋体"/>
          <w:szCs w:val="21"/>
        </w:rPr>
      </w:pPr>
      <w:r>
        <w:rPr>
          <w:rFonts w:hint="eastAsia" w:ascii="宋体" w:hAnsi="宋体"/>
          <w:szCs w:val="21"/>
        </w:rPr>
        <w:t>萨瓦特尔.教育的价值.北京大学出版社,2012.</w:t>
      </w:r>
    </w:p>
    <w:p w14:paraId="4B565B2C">
      <w:pPr>
        <w:spacing w:line="360" w:lineRule="auto"/>
        <w:ind w:firstLine="411" w:firstLineChars="196"/>
        <w:jc w:val="left"/>
        <w:rPr>
          <w:rFonts w:hint="eastAsia" w:ascii="宋体" w:hAnsi="宋体"/>
          <w:szCs w:val="21"/>
        </w:rPr>
      </w:pPr>
      <w:r>
        <w:rPr>
          <w:rFonts w:hint="eastAsia" w:ascii="宋体" w:hAnsi="宋体"/>
          <w:szCs w:val="21"/>
        </w:rPr>
        <w:t>冯建军等.教育哲学[M].武汉大学出版社,2011.</w:t>
      </w:r>
    </w:p>
    <w:p w14:paraId="4AF48C70">
      <w:pPr>
        <w:spacing w:line="300" w:lineRule="auto"/>
        <w:rPr>
          <w:rFonts w:ascii="宋体"/>
          <w:szCs w:val="21"/>
        </w:rPr>
      </w:pPr>
    </w:p>
    <w:p w14:paraId="22BC7C48">
      <w:pPr>
        <w:autoSpaceDE w:val="0"/>
        <w:autoSpaceDN w:val="0"/>
        <w:adjustRightInd w:val="0"/>
        <w:spacing w:line="300" w:lineRule="auto"/>
        <w:ind w:firstLine="5670" w:firstLineChars="2700"/>
        <w:jc w:val="left"/>
        <w:rPr>
          <w:rFonts w:ascii="宋体"/>
          <w:kern w:val="0"/>
          <w:szCs w:val="21"/>
        </w:rPr>
      </w:pPr>
      <w:r>
        <w:rPr>
          <w:rFonts w:hint="eastAsia" w:ascii="宋体" w:hAnsi="宋体"/>
          <w:kern w:val="0"/>
          <w:szCs w:val="21"/>
        </w:rPr>
        <w:t>执笔人：刘  丽</w:t>
      </w:r>
    </w:p>
    <w:p w14:paraId="33F89698">
      <w:pPr>
        <w:autoSpaceDE w:val="0"/>
        <w:autoSpaceDN w:val="0"/>
        <w:adjustRightInd w:val="0"/>
        <w:spacing w:line="300" w:lineRule="auto"/>
        <w:ind w:firstLine="5670" w:firstLineChars="2700"/>
        <w:jc w:val="left"/>
        <w:rPr>
          <w:rFonts w:ascii="宋体"/>
          <w:kern w:val="0"/>
          <w:szCs w:val="21"/>
        </w:rPr>
      </w:pPr>
      <w:r>
        <w:rPr>
          <w:rFonts w:hint="eastAsia" w:ascii="宋体" w:hAnsi="宋体"/>
          <w:kern w:val="0"/>
          <w:szCs w:val="21"/>
        </w:rPr>
        <w:t>审定人：王  健</w:t>
      </w:r>
    </w:p>
    <w:p w14:paraId="62B62726">
      <w:pPr>
        <w:autoSpaceDE w:val="0"/>
        <w:autoSpaceDN w:val="0"/>
        <w:adjustRightInd w:val="0"/>
        <w:spacing w:line="300" w:lineRule="auto"/>
        <w:ind w:firstLine="5670" w:firstLineChars="2700"/>
        <w:jc w:val="left"/>
        <w:rPr>
          <w:rFonts w:hint="eastAsia" w:ascii="宋体" w:hAnsi="宋体"/>
          <w:kern w:val="0"/>
          <w:szCs w:val="21"/>
        </w:rPr>
      </w:pPr>
      <w:r>
        <w:rPr>
          <w:rFonts w:hint="eastAsia" w:ascii="宋体" w:hAnsi="宋体"/>
          <w:kern w:val="0"/>
          <w:szCs w:val="21"/>
        </w:rPr>
        <w:t>审批人：张志欣</w:t>
      </w:r>
    </w:p>
    <w:p w14:paraId="0108C628">
      <w:pPr>
        <w:autoSpaceDE w:val="0"/>
        <w:autoSpaceDN w:val="0"/>
        <w:adjustRightInd w:val="0"/>
        <w:spacing w:line="300" w:lineRule="auto"/>
        <w:ind w:firstLine="5670" w:firstLineChars="2700"/>
        <w:jc w:val="left"/>
        <w:rPr>
          <w:rFonts w:hint="eastAsia" w:ascii="宋体" w:hAnsi="宋体"/>
          <w:kern w:val="0"/>
          <w:szCs w:val="21"/>
        </w:rPr>
      </w:pPr>
      <w:r>
        <w:rPr>
          <w:rFonts w:hint="eastAsia" w:ascii="宋体" w:hAnsi="宋体"/>
          <w:kern w:val="0"/>
          <w:szCs w:val="21"/>
        </w:rPr>
        <w:t>批准时间：2025年7月1日</w:t>
      </w:r>
    </w:p>
    <w:p w14:paraId="48A6AED8">
      <w:pPr>
        <w:rPr>
          <w:rFonts w:hint="eastAsia" w:ascii="宋体" w:hAnsi="宋体" w:eastAsia="宋体" w:cs="Times New Roman"/>
          <w:kern w:val="0"/>
          <w:sz w:val="24"/>
          <w:szCs w:val="21"/>
        </w:rPr>
      </w:pPr>
    </w:p>
    <w:p w14:paraId="3D8E64CB">
      <w:pPr>
        <w:rPr>
          <w:rFonts w:hint="eastAsia" w:ascii="宋体" w:hAnsi="宋体" w:eastAsia="宋体" w:cs="Times New Roman"/>
          <w:kern w:val="0"/>
          <w:sz w:val="24"/>
          <w:szCs w:val="21"/>
        </w:rPr>
      </w:pPr>
    </w:p>
    <w:p w14:paraId="1ABD9A43">
      <w:pPr>
        <w:rPr>
          <w:rFonts w:hint="eastAsia" w:ascii="宋体" w:hAnsi="宋体" w:eastAsia="宋体" w:cs="Times New Roman"/>
          <w:kern w:val="0"/>
          <w:sz w:val="24"/>
          <w:szCs w:val="21"/>
        </w:rPr>
      </w:pPr>
    </w:p>
    <w:p w14:paraId="76D3BFFF">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34799AAA">
      <w:pPr>
        <w:spacing w:line="360" w:lineRule="auto"/>
        <w:jc w:val="center"/>
        <w:outlineLvl w:val="0"/>
        <w:rPr>
          <w:rFonts w:ascii="Times New Roman" w:hAnsi="Times New Roman" w:eastAsia="宋体" w:cs="Times New Roman"/>
          <w:b/>
          <w:sz w:val="44"/>
          <w:szCs w:val="44"/>
        </w:rPr>
      </w:pPr>
      <w:bookmarkStart w:id="761" w:name="_Toc29380667"/>
      <w:bookmarkStart w:id="762" w:name="_Toc7493"/>
      <w:bookmarkStart w:id="763" w:name="_Toc24817"/>
      <w:bookmarkStart w:id="764" w:name="_Toc4867"/>
      <w:bookmarkStart w:id="765" w:name="_Toc14352"/>
      <w:r>
        <w:rPr>
          <w:rFonts w:hint="eastAsia" w:ascii="Times New Roman" w:hAnsi="Times New Roman" w:eastAsia="宋体" w:cs="Times New Roman"/>
          <w:b/>
          <w:sz w:val="44"/>
          <w:szCs w:val="44"/>
        </w:rPr>
        <w:t>《教育社会学》课程与教学大纲</w:t>
      </w:r>
      <w:bookmarkEnd w:id="761"/>
      <w:bookmarkEnd w:id="762"/>
      <w:bookmarkEnd w:id="763"/>
      <w:bookmarkEnd w:id="764"/>
      <w:bookmarkEnd w:id="765"/>
    </w:p>
    <w:p w14:paraId="382F3D81">
      <w:pPr>
        <w:spacing w:line="360" w:lineRule="auto"/>
        <w:jc w:val="center"/>
        <w:rPr>
          <w:rFonts w:ascii="Times New Roman" w:hAnsi="Times New Roman" w:eastAsia="宋体" w:cs="Times New Roman"/>
          <w:b/>
          <w:bCs/>
          <w:sz w:val="28"/>
          <w:szCs w:val="28"/>
        </w:rPr>
      </w:pPr>
      <w:bookmarkStart w:id="766" w:name="_Toc29980"/>
      <w:bookmarkStart w:id="767" w:name="_Toc28886"/>
      <w:bookmarkStart w:id="768" w:name="_Toc12182"/>
      <w:bookmarkStart w:id="769" w:name="_Toc8562"/>
      <w:bookmarkStart w:id="770" w:name="_Toc19640"/>
      <w:bookmarkStart w:id="771" w:name="_Toc9768"/>
      <w:bookmarkStart w:id="772" w:name="_Toc27475"/>
      <w:r>
        <w:rPr>
          <w:rFonts w:ascii="Times New Roman" w:hAnsi="Times New Roman" w:eastAsia="宋体" w:cs="Times New Roman"/>
          <w:b/>
          <w:bCs/>
          <w:sz w:val="28"/>
          <w:szCs w:val="28"/>
        </w:rPr>
        <w:t>(sociology of education</w:t>
      </w:r>
      <w:r>
        <w:rPr>
          <w:rFonts w:hint="eastAsia" w:ascii="Times New Roman" w:hAnsi="Times New Roman" w:eastAsia="宋体" w:cs="Times New Roman"/>
          <w:b/>
          <w:bCs/>
          <w:sz w:val="28"/>
          <w:szCs w:val="28"/>
        </w:rPr>
        <w:t>)</w:t>
      </w:r>
      <w:bookmarkEnd w:id="766"/>
      <w:bookmarkEnd w:id="767"/>
      <w:bookmarkEnd w:id="768"/>
      <w:bookmarkEnd w:id="769"/>
      <w:bookmarkEnd w:id="770"/>
      <w:bookmarkEnd w:id="771"/>
      <w:bookmarkEnd w:id="772"/>
    </w:p>
    <w:p w14:paraId="07575E3A">
      <w:pPr>
        <w:spacing w:line="360" w:lineRule="auto"/>
        <w:jc w:val="left"/>
        <w:rPr>
          <w:rFonts w:ascii="Times New Roman" w:hAnsi="Times New Roman" w:eastAsia="宋体" w:cs="Times New Roman"/>
          <w:b/>
          <w:sz w:val="24"/>
        </w:rPr>
      </w:pPr>
    </w:p>
    <w:p w14:paraId="3DC67AD0">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课程名称：教育社会学</w:t>
      </w:r>
    </w:p>
    <w:p w14:paraId="026249B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课程代码：2401018</w:t>
      </w:r>
    </w:p>
    <w:p w14:paraId="0FB1D3C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341585C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38B92A8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先修课程：小学教育专业导论与职业发展</w:t>
      </w:r>
    </w:p>
    <w:p w14:paraId="32A09E8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56EFABEA">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一、</w:t>
      </w:r>
      <w:bookmarkStart w:id="773" w:name="_Toc32186"/>
      <w:bookmarkStart w:id="774" w:name="_Toc13937"/>
      <w:bookmarkStart w:id="775" w:name="_Toc25306"/>
      <w:bookmarkStart w:id="776" w:name="_Toc30204"/>
      <w:bookmarkStart w:id="777" w:name="_Toc28132"/>
      <w:bookmarkStart w:id="778" w:name="_Toc10348"/>
      <w:bookmarkStart w:id="779" w:name="_Toc246"/>
      <w:r>
        <w:rPr>
          <w:rFonts w:hint="eastAsia" w:ascii="Times New Roman" w:hAnsi="Times New Roman" w:eastAsia="宋体" w:cs="Times New Roman"/>
          <w:b/>
          <w:sz w:val="24"/>
        </w:rPr>
        <w:t>课程简介</w:t>
      </w:r>
      <w:bookmarkEnd w:id="773"/>
      <w:bookmarkEnd w:id="774"/>
      <w:bookmarkEnd w:id="775"/>
      <w:bookmarkEnd w:id="776"/>
      <w:bookmarkEnd w:id="777"/>
      <w:bookmarkEnd w:id="778"/>
      <w:bookmarkEnd w:id="779"/>
    </w:p>
    <w:p w14:paraId="43A3134A">
      <w:pPr>
        <w:spacing w:line="360" w:lineRule="auto"/>
        <w:jc w:val="left"/>
        <w:rPr>
          <w:rFonts w:hint="eastAsia" w:ascii="宋体" w:hAnsi="宋体" w:eastAsia="宋体" w:cs="Times New Roman"/>
          <w:bCs/>
          <w:szCs w:val="21"/>
        </w:rPr>
      </w:pPr>
      <w:r>
        <w:rPr>
          <w:rFonts w:hint="eastAsia" w:ascii="Times New Roman" w:hAnsi="Times New Roman" w:eastAsia="宋体" w:cs="Times New Roman"/>
          <w:b/>
          <w:sz w:val="24"/>
        </w:rPr>
        <w:t xml:space="preserve">    </w:t>
      </w:r>
      <w:r>
        <w:rPr>
          <w:rFonts w:hint="eastAsia" w:ascii="Times New Roman" w:hAnsi="Times New Roman" w:eastAsia="宋体" w:cs="Times New Roman"/>
          <w:bCs/>
          <w:szCs w:val="21"/>
        </w:rPr>
        <w:t>本课程是小学教育专业选修课程。课程的主要任务是通过展示社会学的独特研究视角与经典研究成果，培养学生分析社会问题和社会现象的学科意识，提高其作为教师的综合人文社科素养，以及对人类一般社会活动的认知能力。</w:t>
      </w:r>
    </w:p>
    <w:p w14:paraId="6227CB35">
      <w:pPr>
        <w:spacing w:before="62" w:beforeLines="20" w:after="62" w:afterLines="20" w:line="360" w:lineRule="auto"/>
        <w:jc w:val="left"/>
        <w:rPr>
          <w:rFonts w:ascii="Times New Roman" w:hAnsi="Times New Roman" w:eastAsia="宋体" w:cs="Times New Roman"/>
          <w:b/>
          <w:sz w:val="24"/>
        </w:rPr>
      </w:pPr>
      <w:bookmarkStart w:id="780" w:name="_Toc27526"/>
      <w:bookmarkStart w:id="781" w:name="_Toc27931"/>
      <w:bookmarkStart w:id="782" w:name="_Toc11282"/>
      <w:bookmarkStart w:id="783" w:name="_Toc17570"/>
      <w:bookmarkStart w:id="784" w:name="_Toc22581"/>
      <w:bookmarkStart w:id="785" w:name="_Toc32414"/>
      <w:bookmarkStart w:id="786" w:name="_Toc29486"/>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780"/>
      <w:bookmarkEnd w:id="781"/>
      <w:bookmarkEnd w:id="782"/>
      <w:bookmarkEnd w:id="783"/>
      <w:bookmarkEnd w:id="784"/>
      <w:bookmarkEnd w:id="785"/>
      <w:bookmarkEnd w:id="786"/>
    </w:p>
    <w:p w14:paraId="2BAB9B7A">
      <w:pPr>
        <w:spacing w:line="360" w:lineRule="auto"/>
        <w:ind w:firstLine="422" w:firstLineChars="200"/>
        <w:outlineLvl w:val="1"/>
        <w:rPr>
          <w:rFonts w:hint="eastAsia" w:ascii="宋体" w:hAnsi="宋体" w:eastAsia="宋体" w:cs="Times New Roman"/>
          <w:b/>
          <w:szCs w:val="21"/>
        </w:rPr>
      </w:pPr>
      <w:bookmarkStart w:id="787" w:name="_Toc20676"/>
      <w:r>
        <w:rPr>
          <w:rFonts w:hint="eastAsia" w:ascii="宋体" w:hAnsi="宋体" w:eastAsia="宋体" w:cs="Times New Roman"/>
          <w:b/>
          <w:szCs w:val="21"/>
        </w:rPr>
        <w:t>（一）课程具体目标</w:t>
      </w:r>
      <w:bookmarkEnd w:id="787"/>
    </w:p>
    <w:p w14:paraId="71786E62">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szCs w:val="21"/>
        </w:rPr>
        <w:t>掌握教育社会学的学科性质、研究对象、基本概念，建立教育社会学的研究视角和学科意识。</w:t>
      </w:r>
    </w:p>
    <w:p w14:paraId="342FA85A">
      <w:pPr>
        <w:spacing w:line="360"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w:t>
      </w:r>
      <w:r>
        <w:rPr>
          <w:rFonts w:hint="eastAsia" w:ascii="宋体" w:hAnsi="宋体" w:eastAsia="宋体" w:cs="Times New Roman"/>
          <w:szCs w:val="21"/>
        </w:rPr>
        <w:t>理解社会系统的运行规则，掌握分析社会问题的教育社会学理论。</w:t>
      </w:r>
    </w:p>
    <w:p w14:paraId="235A5D30">
      <w:pPr>
        <w:spacing w:line="360" w:lineRule="auto"/>
        <w:ind w:firstLine="422" w:firstLineChars="200"/>
        <w:jc w:val="left"/>
        <w:rPr>
          <w:rFonts w:hint="eastAsia" w:ascii="宋体" w:hAnsi="宋体"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ascii="Times New Roman" w:hAnsi="Times New Roman" w:eastAsia="宋体" w:cs="Times New Roman"/>
          <w:szCs w:val="21"/>
        </w:rPr>
        <w:t xml:space="preserve"> </w:t>
      </w:r>
      <w:r>
        <w:rPr>
          <w:rFonts w:hint="eastAsia" w:ascii="宋体" w:hAnsi="宋体" w:eastAsia="宋体" w:cs="Times New Roman"/>
          <w:szCs w:val="21"/>
        </w:rPr>
        <w:t>理解社会化、社会角色、社会群体等社会良性运动规律的微观分析，理解个体在社会中的作用，建立分析问题的教育社会学视角和意识。</w:t>
      </w:r>
    </w:p>
    <w:p w14:paraId="5CB5C1C5">
      <w:pPr>
        <w:spacing w:line="360" w:lineRule="auto"/>
        <w:ind w:firstLine="422" w:firstLineChars="200"/>
        <w:rPr>
          <w:rFonts w:hint="eastAsia" w:ascii="宋体" w:hAnsi="等线" w:eastAsia="宋体" w:cs="Times New Roman"/>
          <w:szCs w:val="21"/>
        </w:rPr>
      </w:pPr>
      <w:r>
        <w:rPr>
          <w:rFonts w:hint="eastAsia" w:ascii="宋体" w:hAnsi="宋体" w:eastAsia="宋体" w:cs="Times New Roman"/>
          <w:b/>
          <w:bCs/>
          <w:szCs w:val="21"/>
        </w:rPr>
        <w:t>目标</w:t>
      </w:r>
      <w:r>
        <w:rPr>
          <w:rFonts w:ascii="宋体" w:hAnsi="宋体" w:eastAsia="宋体" w:cs="Times New Roman"/>
          <w:b/>
          <w:bCs/>
          <w:szCs w:val="21"/>
        </w:rPr>
        <w:t>4.</w:t>
      </w:r>
      <w:r>
        <w:rPr>
          <w:rFonts w:hint="eastAsia" w:ascii="宋体" w:hAnsi="宋体" w:eastAsia="宋体" w:cs="Times New Roman"/>
          <w:szCs w:val="21"/>
        </w:rPr>
        <w:t>理解宏观范围内的社会组织、社会分层、社会流动等教育社会学基础问题，掌握使用教育社会学方法分析思考一般社会现象的基本能力。</w:t>
      </w:r>
    </w:p>
    <w:p w14:paraId="43D77969">
      <w:pPr>
        <w:spacing w:line="360" w:lineRule="auto"/>
        <w:ind w:firstLine="422" w:firstLineChars="200"/>
        <w:rPr>
          <w:rFonts w:hint="eastAsia" w:ascii="宋体" w:hAnsi="等线" w:eastAsia="宋体" w:cs="Times New Roman"/>
          <w:szCs w:val="21"/>
        </w:rPr>
      </w:pPr>
      <w:r>
        <w:rPr>
          <w:rFonts w:hint="eastAsia" w:ascii="宋体" w:hAnsi="宋体" w:eastAsia="宋体" w:cs="Times New Roman"/>
          <w:b/>
          <w:bCs/>
          <w:szCs w:val="21"/>
        </w:rPr>
        <w:t>目标</w:t>
      </w:r>
      <w:r>
        <w:rPr>
          <w:rFonts w:ascii="宋体" w:hAnsi="宋体" w:eastAsia="宋体" w:cs="Times New Roman"/>
          <w:b/>
          <w:bCs/>
          <w:szCs w:val="21"/>
        </w:rPr>
        <w:t>5.</w:t>
      </w:r>
      <w:r>
        <w:rPr>
          <w:rFonts w:hint="eastAsia" w:ascii="宋体" w:hAnsi="宋体" w:eastAsia="宋体" w:cs="Times New Roman"/>
          <w:szCs w:val="21"/>
        </w:rPr>
        <w:t>理解社会良性运行规律的反向研究教育社会学问题，掌握使用教育社会学方法分析和思考社会问题、社会控制等教育现象的能力。</w:t>
      </w:r>
    </w:p>
    <w:p w14:paraId="3C5978A0">
      <w:pPr>
        <w:spacing w:line="360" w:lineRule="auto"/>
        <w:ind w:firstLine="422" w:firstLineChars="200"/>
        <w:rPr>
          <w:rFonts w:hint="eastAsia" w:ascii="宋体" w:hAnsi="宋体" w:eastAsia="宋体" w:cs="Times New Roman"/>
          <w:szCs w:val="21"/>
        </w:rPr>
      </w:pPr>
      <w:r>
        <w:rPr>
          <w:rFonts w:hint="eastAsia" w:ascii="宋体" w:hAnsi="宋体" w:eastAsia="宋体" w:cs="Times New Roman"/>
          <w:b/>
          <w:bCs/>
          <w:szCs w:val="21"/>
        </w:rPr>
        <w:t>目标</w:t>
      </w:r>
      <w:r>
        <w:rPr>
          <w:rFonts w:ascii="宋体" w:hAnsi="宋体" w:eastAsia="宋体" w:cs="Times New Roman"/>
          <w:b/>
          <w:bCs/>
          <w:szCs w:val="21"/>
        </w:rPr>
        <w:t>6.</w:t>
      </w:r>
      <w:r>
        <w:rPr>
          <w:rFonts w:hint="eastAsia" w:ascii="宋体" w:hAnsi="宋体" w:eastAsia="宋体" w:cs="Times New Roman"/>
          <w:szCs w:val="21"/>
        </w:rPr>
        <w:t>了解研究社会运行的常用手段，掌握教育社会学调查和社会问题研究的方法。</w:t>
      </w:r>
    </w:p>
    <w:p w14:paraId="4F7576E7">
      <w:pPr>
        <w:numPr>
          <w:ilvl w:val="0"/>
          <w:numId w:val="16"/>
        </w:numPr>
        <w:spacing w:line="360" w:lineRule="auto"/>
        <w:ind w:firstLine="422" w:firstLineChars="200"/>
        <w:outlineLvl w:val="1"/>
        <w:rPr>
          <w:rFonts w:ascii="Times New Roman" w:hAnsi="Times New Roman" w:eastAsia="宋体" w:cs="Times New Roman"/>
          <w:b/>
          <w:bCs/>
          <w:szCs w:val="21"/>
        </w:rPr>
      </w:pPr>
      <w:bookmarkStart w:id="788" w:name="_Toc9947"/>
      <w:r>
        <w:rPr>
          <w:rFonts w:hint="eastAsia" w:ascii="Times New Roman" w:hAnsi="Times New Roman" w:eastAsia="宋体" w:cs="Times New Roman"/>
          <w:b/>
          <w:bCs/>
          <w:szCs w:val="21"/>
        </w:rPr>
        <w:t>课程目标及其对毕业要求指标点的支撑</w:t>
      </w:r>
      <w:bookmarkEnd w:id="788"/>
    </w:p>
    <w:p w14:paraId="685F6185">
      <w:pPr>
        <w:spacing w:line="360" w:lineRule="auto"/>
        <w:outlineLvl w:val="1"/>
        <w:rPr>
          <w:rFonts w:ascii="Times New Roman" w:hAnsi="Times New Roman" w:eastAsia="宋体" w:cs="Times New Roman"/>
          <w:b/>
          <w:bCs/>
          <w:szCs w:val="21"/>
        </w:rPr>
      </w:pPr>
    </w:p>
    <w:p w14:paraId="2E2D10D8">
      <w:pPr>
        <w:spacing w:line="360" w:lineRule="auto"/>
        <w:outlineLvl w:val="1"/>
        <w:rPr>
          <w:rFonts w:ascii="Times New Roman" w:hAnsi="Times New Roman" w:eastAsia="宋体" w:cs="Times New Roman"/>
          <w:b/>
          <w:bCs/>
          <w:szCs w:val="21"/>
        </w:rPr>
      </w:pPr>
    </w:p>
    <w:tbl>
      <w:tblPr>
        <w:tblStyle w:val="12"/>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5567"/>
        <w:gridCol w:w="1813"/>
      </w:tblGrid>
      <w:tr w14:paraId="732B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7" w:type="dxa"/>
            <w:vAlign w:val="center"/>
          </w:tcPr>
          <w:p w14:paraId="11EC0D0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567" w:type="dxa"/>
            <w:vAlign w:val="center"/>
          </w:tcPr>
          <w:p w14:paraId="27BCA83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813" w:type="dxa"/>
            <w:vAlign w:val="center"/>
          </w:tcPr>
          <w:p w14:paraId="0B8E750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497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1687" w:type="dxa"/>
            <w:vAlign w:val="center"/>
          </w:tcPr>
          <w:p w14:paraId="7453E070">
            <w:pPr>
              <w:widowControl/>
              <w:autoSpaceDE w:val="0"/>
              <w:autoSpaceDN w:val="0"/>
              <w:jc w:val="center"/>
              <w:rPr>
                <w:rFonts w:hint="eastAsia" w:ascii="宋体" w:hAnsi="宋体" w:eastAsia="宋体" w:cs="宋体"/>
                <w:b/>
                <w:bCs/>
                <w:szCs w:val="21"/>
              </w:rPr>
            </w:pPr>
            <w:r>
              <w:rPr>
                <w:rFonts w:hint="eastAsia" w:ascii="宋体" w:hAnsi="宋体" w:eastAsia="宋体" w:cs="宋体"/>
                <w:b/>
                <w:bCs/>
                <w:szCs w:val="21"/>
              </w:rPr>
              <w:t>毕业要求4</w:t>
            </w:r>
          </w:p>
          <w:p w14:paraId="50D62165">
            <w:pPr>
              <w:widowControl/>
              <w:autoSpaceDE w:val="0"/>
              <w:autoSpaceDN w:val="0"/>
              <w:jc w:val="center"/>
              <w:rPr>
                <w:rFonts w:hint="eastAsia" w:ascii="宋体" w:hAnsi="宋体" w:eastAsia="宋体" w:cs="宋体"/>
                <w:b/>
                <w:bCs/>
                <w:szCs w:val="21"/>
              </w:rPr>
            </w:pPr>
            <w:r>
              <w:rPr>
                <w:rFonts w:hint="eastAsia" w:ascii="宋体" w:hAnsi="宋体" w:eastAsia="宋体" w:cs="宋体"/>
                <w:b/>
                <w:bCs/>
                <w:szCs w:val="21"/>
              </w:rPr>
              <w:t>教学能力</w:t>
            </w:r>
          </w:p>
        </w:tc>
        <w:tc>
          <w:tcPr>
            <w:tcW w:w="5567" w:type="dxa"/>
            <w:vAlign w:val="center"/>
          </w:tcPr>
          <w:p w14:paraId="41CC1182">
            <w:pPr>
              <w:autoSpaceDE w:val="0"/>
              <w:autoSpaceDN w:val="0"/>
              <w:rPr>
                <w:rFonts w:ascii="Times New Roman" w:hAnsi="Times New Roman" w:eastAsia="宋体" w:cs="Times New Roman"/>
                <w:szCs w:val="21"/>
              </w:rPr>
            </w:pPr>
            <w:r>
              <w:rPr>
                <w:rFonts w:hint="eastAsia" w:ascii="宋体" w:hAnsi="宋体" w:cs="宋体"/>
                <w:b/>
                <w:kern w:val="0"/>
                <w:sz w:val="20"/>
                <w:szCs w:val="20"/>
              </w:rPr>
              <w:t>指标点4-1</w:t>
            </w:r>
            <w:r>
              <w:rPr>
                <w:rFonts w:hint="eastAsia" w:ascii="宋体" w:hAnsi="宋体" w:cs="宋体"/>
                <w:kern w:val="0"/>
                <w:sz w:val="20"/>
                <w:szCs w:val="20"/>
              </w:rPr>
              <w:t>：</w:t>
            </w:r>
            <w:r>
              <w:rPr>
                <w:rFonts w:hint="eastAsia" w:ascii="宋体" w:hAnsi="宋体" w:cs="宋体"/>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813" w:type="dxa"/>
            <w:vAlign w:val="center"/>
          </w:tcPr>
          <w:p w14:paraId="4CC87EB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42B13DAB">
            <w:pPr>
              <w:widowControl/>
              <w:autoSpaceDE w:val="0"/>
              <w:autoSpaceDN w:val="0"/>
              <w:jc w:val="center"/>
              <w:rPr>
                <w:rFonts w:ascii="Times New Roman" w:hAnsi="Times New Roman" w:eastAsia="宋体" w:cs="Times New Roman"/>
                <w:szCs w:val="21"/>
              </w:rPr>
            </w:pPr>
            <w:r>
              <w:rPr>
                <w:rFonts w:hint="eastAsia" w:ascii="Times New Roman" w:hAnsi="Times New Roman" w:eastAsia="宋体" w:cs="Times New Roman"/>
                <w:szCs w:val="21"/>
                <w:lang w:eastAsia="zh"/>
              </w:rPr>
              <w:t>1</w:t>
            </w:r>
            <w:r>
              <w:rPr>
                <w:rFonts w:hint="eastAsia" w:ascii="Times New Roman" w:hAnsi="Times New Roman" w:eastAsia="宋体" w:cs="Times New Roman"/>
                <w:szCs w:val="21"/>
              </w:rPr>
              <w:t>、2、3</w:t>
            </w:r>
          </w:p>
        </w:tc>
      </w:tr>
      <w:tr w14:paraId="5817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7" w:type="dxa"/>
            <w:vAlign w:val="center"/>
          </w:tcPr>
          <w:p w14:paraId="674DF4CE">
            <w:pPr>
              <w:adjustRightInd w:val="0"/>
              <w:snapToGrid w:val="0"/>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毕业要求7</w:t>
            </w:r>
          </w:p>
          <w:p w14:paraId="34B579F9">
            <w:pPr>
              <w:adjustRightInd w:val="0"/>
              <w:snapToGrid w:val="0"/>
              <w:spacing w:line="276" w:lineRule="auto"/>
              <w:jc w:val="center"/>
              <w:rPr>
                <w:rFonts w:hint="eastAsia" w:ascii="宋体" w:hAnsi="宋体" w:eastAsia="宋体" w:cs="宋体"/>
                <w:b/>
                <w:bCs/>
                <w:kern w:val="0"/>
                <w:szCs w:val="21"/>
              </w:rPr>
            </w:pPr>
            <w:r>
              <w:rPr>
                <w:rFonts w:hint="eastAsia" w:ascii="宋体" w:hAnsi="宋体" w:eastAsia="宋体" w:cs="宋体"/>
                <w:b/>
                <w:bCs/>
                <w:kern w:val="0"/>
                <w:szCs w:val="21"/>
              </w:rPr>
              <w:t>学会反思</w:t>
            </w:r>
          </w:p>
        </w:tc>
        <w:tc>
          <w:tcPr>
            <w:tcW w:w="5567" w:type="dxa"/>
            <w:vAlign w:val="center"/>
          </w:tcPr>
          <w:p w14:paraId="311517F4">
            <w:pPr>
              <w:adjustRightInd w:val="0"/>
              <w:snapToGrid w:val="0"/>
              <w:spacing w:line="276" w:lineRule="auto"/>
              <w:jc w:val="left"/>
              <w:rPr>
                <w:rFonts w:hint="eastAsia" w:ascii="宋体" w:hAnsi="宋体" w:cs="宋体"/>
                <w:sz w:val="20"/>
                <w:szCs w:val="20"/>
              </w:rPr>
            </w:pPr>
            <w:r>
              <w:rPr>
                <w:rFonts w:hint="eastAsia" w:ascii="宋体" w:hAnsi="宋体" w:cs="宋体"/>
                <w:b/>
                <w:kern w:val="0"/>
                <w:sz w:val="20"/>
                <w:szCs w:val="20"/>
              </w:rPr>
              <w:t>指标点7-1</w:t>
            </w:r>
            <w:r>
              <w:rPr>
                <w:rFonts w:hint="eastAsia" w:ascii="宋体" w:hAnsi="宋体" w:cs="宋体"/>
                <w:sz w:val="20"/>
                <w:szCs w:val="20"/>
              </w:rPr>
              <w:t>：【教育视野开阔】积极关注基础教育领域的国内外交流进展，了解国内外基础教育改革发展的动态，具有宽广的教育视野，能够主动适应新时代和教育发展需求。</w:t>
            </w:r>
          </w:p>
          <w:p w14:paraId="1144C4F5">
            <w:pPr>
              <w:adjustRightInd w:val="0"/>
              <w:snapToGrid w:val="0"/>
              <w:spacing w:line="276" w:lineRule="auto"/>
              <w:jc w:val="left"/>
              <w:rPr>
                <w:rFonts w:hint="eastAsia" w:ascii="宋体" w:hAnsi="宋体" w:eastAsia="宋体" w:cs="Times New Roman"/>
                <w:szCs w:val="21"/>
              </w:rPr>
            </w:pPr>
            <w:r>
              <w:rPr>
                <w:rFonts w:hint="eastAsia" w:ascii="宋体" w:hAnsi="宋体" w:eastAsia="宋体" w:cs="Times New Roman"/>
                <w:b/>
                <w:szCs w:val="21"/>
              </w:rPr>
              <w:t>指标点7-3</w:t>
            </w:r>
            <w:r>
              <w:rPr>
                <w:rFonts w:hint="eastAsia" w:ascii="宋体" w:hAnsi="宋体" w:eastAsia="宋体" w:cs="Times New Roman"/>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813" w:type="dxa"/>
            <w:vAlign w:val="center"/>
          </w:tcPr>
          <w:p w14:paraId="1644B243">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课程目标</w:t>
            </w:r>
          </w:p>
          <w:p w14:paraId="64778436">
            <w:pPr>
              <w:adjustRightInd w:val="0"/>
              <w:snapToGrid w:val="0"/>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4、5、6</w:t>
            </w:r>
          </w:p>
        </w:tc>
      </w:tr>
    </w:tbl>
    <w:p w14:paraId="2B682189">
      <w:pPr>
        <w:spacing w:before="156" w:beforeLines="50" w:line="360" w:lineRule="auto"/>
        <w:ind w:firstLine="422" w:firstLineChars="200"/>
        <w:jc w:val="left"/>
        <w:outlineLvl w:val="1"/>
        <w:rPr>
          <w:rFonts w:hint="eastAsia" w:ascii="宋体" w:hAnsi="宋体" w:eastAsia="宋体" w:cs="Times New Roman"/>
          <w:b/>
          <w:szCs w:val="21"/>
        </w:rPr>
      </w:pPr>
      <w:bookmarkStart w:id="789" w:name="_Toc7677"/>
      <w:r>
        <w:rPr>
          <w:rFonts w:hint="eastAsia" w:ascii="宋体" w:hAnsi="宋体" w:eastAsia="宋体" w:cs="Times New Roman"/>
          <w:b/>
          <w:szCs w:val="21"/>
        </w:rPr>
        <w:t>（三）课程思政目标</w:t>
      </w:r>
      <w:bookmarkEnd w:id="789"/>
    </w:p>
    <w:p w14:paraId="54DB4788">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在系统了解教育社会学的学科知识基础上，学习掌握对现实教育问题的社会学观察视角和思想理念，深入了解教育对个人成长的重要意义，理解教育公平与社会正义的重要性；增进自身专业使命感与社会责任感，关注并参与解决现实社会中存在的各种教育不平等问题；弘扬社会主义核心价值观，通过教育促进社会和谐与进步；培养国际视野，理解全球化背景下的教育交流与合作，增进中华民族文化自信。</w:t>
      </w:r>
    </w:p>
    <w:p w14:paraId="7B54002C">
      <w:pPr>
        <w:spacing w:before="62" w:beforeLines="20" w:after="62" w:afterLines="20" w:line="360" w:lineRule="auto"/>
        <w:jc w:val="left"/>
        <w:rPr>
          <w:rFonts w:ascii="Times New Roman" w:hAnsi="Times New Roman" w:eastAsia="宋体" w:cs="Times New Roman"/>
          <w:b/>
          <w:sz w:val="24"/>
        </w:rPr>
      </w:pPr>
      <w:bookmarkStart w:id="790" w:name="_Toc31969"/>
      <w:bookmarkStart w:id="791" w:name="_Toc20688"/>
      <w:bookmarkStart w:id="792" w:name="_Toc18740"/>
      <w:bookmarkStart w:id="793" w:name="_Toc15271"/>
      <w:bookmarkStart w:id="794" w:name="_Toc22014"/>
      <w:bookmarkStart w:id="795" w:name="_Toc7609"/>
      <w:bookmarkStart w:id="796" w:name="_Toc14998"/>
      <w:r>
        <w:rPr>
          <w:rFonts w:hint="eastAsia" w:ascii="Times New Roman" w:hAnsi="Times New Roman" w:eastAsia="宋体" w:cs="Times New Roman"/>
          <w:b/>
          <w:sz w:val="24"/>
        </w:rPr>
        <w:t>三、教学内容与预期学习成效</w:t>
      </w:r>
      <w:bookmarkEnd w:id="790"/>
      <w:bookmarkEnd w:id="791"/>
      <w:bookmarkEnd w:id="792"/>
      <w:bookmarkEnd w:id="793"/>
      <w:bookmarkEnd w:id="794"/>
      <w:bookmarkEnd w:id="795"/>
      <w:bookmarkEnd w:id="796"/>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435"/>
        <w:gridCol w:w="1178"/>
        <w:gridCol w:w="2955"/>
        <w:gridCol w:w="1087"/>
        <w:gridCol w:w="438"/>
      </w:tblGrid>
      <w:tr w14:paraId="3DF4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Align w:val="center"/>
          </w:tcPr>
          <w:p w14:paraId="60979B08">
            <w:pPr>
              <w:jc w:val="center"/>
              <w:rPr>
                <w:rFonts w:hint="eastAsia" w:ascii="宋体" w:hAnsi="宋体" w:eastAsia="宋体" w:cs="Times New Roman"/>
                <w:b/>
                <w:szCs w:val="21"/>
              </w:rPr>
            </w:pPr>
            <w:r>
              <w:rPr>
                <w:rFonts w:hint="eastAsia" w:ascii="宋体" w:hAnsi="宋体" w:eastAsia="宋体" w:cs="Times New Roman"/>
                <w:b/>
                <w:szCs w:val="21"/>
              </w:rPr>
              <w:t>知识</w:t>
            </w:r>
          </w:p>
          <w:p w14:paraId="33237645">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435" w:type="dxa"/>
            <w:vAlign w:val="center"/>
          </w:tcPr>
          <w:p w14:paraId="727D1246">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78" w:type="dxa"/>
            <w:vAlign w:val="center"/>
          </w:tcPr>
          <w:p w14:paraId="43330622">
            <w:pPr>
              <w:jc w:val="center"/>
              <w:rPr>
                <w:rFonts w:hint="eastAsia" w:ascii="宋体" w:hAnsi="宋体" w:eastAsia="宋体" w:cs="Times New Roman"/>
                <w:b/>
                <w:szCs w:val="21"/>
              </w:rPr>
            </w:pPr>
            <w:r>
              <w:rPr>
                <w:rFonts w:hint="eastAsia" w:ascii="宋体" w:hAnsi="宋体" w:eastAsia="宋体" w:cs="Times New Roman"/>
                <w:b/>
                <w:szCs w:val="21"/>
              </w:rPr>
              <w:t>对应</w:t>
            </w:r>
          </w:p>
          <w:p w14:paraId="177F2630">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955" w:type="dxa"/>
            <w:vAlign w:val="center"/>
          </w:tcPr>
          <w:p w14:paraId="03E8BF21">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087" w:type="dxa"/>
            <w:vAlign w:val="center"/>
          </w:tcPr>
          <w:p w14:paraId="12F9179A">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790B34C6">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0F48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BF3A6F5">
            <w:pPr>
              <w:jc w:val="center"/>
              <w:rPr>
                <w:rFonts w:hint="eastAsia" w:ascii="宋体" w:hAnsi="宋体" w:eastAsia="宋体" w:cs="宋体"/>
                <w:kern w:val="0"/>
                <w:szCs w:val="21"/>
              </w:rPr>
            </w:pPr>
            <w:r>
              <w:rPr>
                <w:rFonts w:hint="eastAsia" w:ascii="宋体" w:hAnsi="宋体" w:eastAsia="宋体" w:cs="宋体"/>
                <w:kern w:val="0"/>
                <w:szCs w:val="21"/>
              </w:rPr>
              <w:t>第一章</w:t>
            </w:r>
          </w:p>
          <w:p w14:paraId="7D58E941">
            <w:pPr>
              <w:jc w:val="center"/>
              <w:rPr>
                <w:rFonts w:hint="eastAsia" w:ascii="宋体" w:hAnsi="宋体" w:eastAsia="宋体" w:cs="Times New Roman"/>
                <w:szCs w:val="21"/>
              </w:rPr>
            </w:pPr>
            <w:r>
              <w:rPr>
                <w:rFonts w:hint="eastAsia" w:ascii="宋体" w:hAnsi="宋体" w:eastAsia="宋体" w:cs="宋体"/>
                <w:kern w:val="0"/>
                <w:szCs w:val="21"/>
              </w:rPr>
              <w:t>教育社会学概论</w:t>
            </w:r>
          </w:p>
        </w:tc>
        <w:tc>
          <w:tcPr>
            <w:tcW w:w="2435" w:type="dxa"/>
            <w:vAlign w:val="center"/>
          </w:tcPr>
          <w:p w14:paraId="56F96450">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1.教育社会学的学科性质、研究对象、学科功能和学科边界；</w:t>
            </w:r>
          </w:p>
          <w:p w14:paraId="388A3B16">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2.教育社会学的概念、教育社会学研究的方法论；</w:t>
            </w:r>
          </w:p>
          <w:p w14:paraId="2A0995A8">
            <w:pPr>
              <w:jc w:val="left"/>
              <w:rPr>
                <w:rFonts w:hint="eastAsia" w:ascii="宋体" w:hAnsi="宋体" w:eastAsia="宋体" w:cs="Times New Roman"/>
                <w:szCs w:val="21"/>
              </w:rPr>
            </w:pPr>
            <w:r>
              <w:rPr>
                <w:rFonts w:hint="eastAsia" w:ascii="宋体" w:hAnsi="宋体" w:eastAsia="宋体" w:cs="宋体"/>
                <w:kern w:val="0"/>
                <w:szCs w:val="21"/>
              </w:rPr>
              <w:t>3.教育社会学的研究视角和学科意识。</w:t>
            </w:r>
          </w:p>
        </w:tc>
        <w:tc>
          <w:tcPr>
            <w:tcW w:w="1178" w:type="dxa"/>
            <w:vAlign w:val="center"/>
          </w:tcPr>
          <w:p w14:paraId="4CBF1FA1">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955" w:type="dxa"/>
            <w:vAlign w:val="center"/>
          </w:tcPr>
          <w:p w14:paraId="5B2D35E8">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1.了解教育社会学的学科性质、研究对象、学科功能和学科边界；</w:t>
            </w:r>
          </w:p>
          <w:p w14:paraId="7079FDFD">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2.理解教育社会学的概念、教育社会学研究的方法论；</w:t>
            </w:r>
          </w:p>
          <w:p w14:paraId="1311C4A8">
            <w:pPr>
              <w:widowControl/>
              <w:adjustRightInd w:val="0"/>
              <w:snapToGrid w:val="0"/>
              <w:jc w:val="left"/>
              <w:rPr>
                <w:rFonts w:hint="eastAsia" w:ascii="宋体" w:hAnsi="宋体" w:eastAsia="宋体" w:cs="Times New Roman"/>
                <w:szCs w:val="21"/>
              </w:rPr>
            </w:pPr>
            <w:r>
              <w:rPr>
                <w:rFonts w:hint="eastAsia" w:ascii="宋体" w:hAnsi="宋体" w:eastAsia="宋体" w:cs="宋体"/>
                <w:kern w:val="0"/>
                <w:szCs w:val="21"/>
              </w:rPr>
              <w:t>3.掌握教育社会学的研究视角和学科意识。</w:t>
            </w:r>
          </w:p>
        </w:tc>
        <w:tc>
          <w:tcPr>
            <w:tcW w:w="1087" w:type="dxa"/>
            <w:vAlign w:val="center"/>
          </w:tcPr>
          <w:p w14:paraId="2BB20A51">
            <w:pPr>
              <w:jc w:val="center"/>
              <w:rPr>
                <w:rFonts w:hint="eastAsia" w:ascii="宋体" w:hAnsi="宋体" w:eastAsia="宋体" w:cs="Times New Roman"/>
                <w:szCs w:val="21"/>
              </w:rPr>
            </w:pPr>
            <w:r>
              <w:rPr>
                <w:rFonts w:hint="eastAsia" w:ascii="宋体" w:hAnsi="宋体" w:eastAsia="宋体" w:cs="Times New Roman"/>
                <w:szCs w:val="21"/>
              </w:rPr>
              <w:t>教师讲授</w:t>
            </w:r>
          </w:p>
          <w:p w14:paraId="6842A27C">
            <w:pPr>
              <w:jc w:val="center"/>
              <w:rPr>
                <w:rFonts w:hint="eastAsia" w:ascii="宋体" w:hAnsi="宋体" w:eastAsia="宋体" w:cs="Times New Roman"/>
                <w:szCs w:val="21"/>
              </w:rPr>
            </w:pPr>
            <w:r>
              <w:rPr>
                <w:rFonts w:hint="eastAsia" w:ascii="宋体" w:hAnsi="宋体" w:eastAsia="宋体" w:cs="Times New Roman"/>
                <w:szCs w:val="21"/>
              </w:rPr>
              <w:t>课堂讨论</w:t>
            </w:r>
          </w:p>
        </w:tc>
        <w:tc>
          <w:tcPr>
            <w:tcW w:w="438" w:type="dxa"/>
            <w:vAlign w:val="center"/>
          </w:tcPr>
          <w:p w14:paraId="5F605FD0">
            <w:pPr>
              <w:jc w:val="center"/>
              <w:rPr>
                <w:rFonts w:hint="eastAsia" w:ascii="宋体" w:hAnsi="宋体" w:eastAsia="宋体" w:cs="Times New Roman"/>
                <w:szCs w:val="21"/>
              </w:rPr>
            </w:pPr>
            <w:r>
              <w:rPr>
                <w:rFonts w:hint="eastAsia" w:ascii="宋体" w:hAnsi="宋体" w:eastAsia="宋体" w:cs="Times New Roman"/>
                <w:szCs w:val="21"/>
              </w:rPr>
              <w:t>2</w:t>
            </w:r>
          </w:p>
        </w:tc>
      </w:tr>
      <w:tr w14:paraId="1691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C4F0A5">
            <w:pPr>
              <w:jc w:val="center"/>
              <w:rPr>
                <w:rFonts w:hint="eastAsia" w:ascii="宋体" w:hAnsi="宋体" w:eastAsia="宋体" w:cs="Times New Roman"/>
                <w:szCs w:val="21"/>
              </w:rPr>
            </w:pPr>
          </w:p>
        </w:tc>
        <w:tc>
          <w:tcPr>
            <w:tcW w:w="8093" w:type="dxa"/>
            <w:gridSpan w:val="5"/>
            <w:vAlign w:val="center"/>
          </w:tcPr>
          <w:p w14:paraId="1450DE1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7D649415">
            <w:pPr>
              <w:jc w:val="left"/>
              <w:rPr>
                <w:rFonts w:hint="eastAsia" w:ascii="宋体" w:hAnsi="宋体" w:eastAsia="宋体" w:cs="Times New Roman"/>
                <w:szCs w:val="21"/>
              </w:rPr>
            </w:pPr>
            <w:r>
              <w:rPr>
                <w:rFonts w:hint="eastAsia" w:ascii="宋体" w:hAnsi="宋体" w:eastAsia="宋体" w:cs="Times New Roman"/>
                <w:szCs w:val="21"/>
              </w:rPr>
              <w:t>增进自身专业使命感与社会责任感，运用社会学视角审视教育问题，关注并乐于参与解决现实社会中存在的各种教育不平等问题。</w:t>
            </w:r>
          </w:p>
        </w:tc>
      </w:tr>
      <w:tr w14:paraId="2512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BC199B">
            <w:pPr>
              <w:widowControl/>
              <w:snapToGrid w:val="0"/>
              <w:jc w:val="center"/>
              <w:rPr>
                <w:rFonts w:hint="eastAsia" w:ascii="宋体" w:hAnsi="宋体" w:eastAsia="宋体" w:cs="宋体"/>
                <w:kern w:val="0"/>
                <w:szCs w:val="21"/>
              </w:rPr>
            </w:pPr>
            <w:r>
              <w:rPr>
                <w:rFonts w:hint="eastAsia" w:ascii="宋体" w:hAnsi="宋体" w:eastAsia="宋体" w:cs="宋体"/>
                <w:kern w:val="0"/>
                <w:szCs w:val="21"/>
              </w:rPr>
              <w:t>第二章</w:t>
            </w:r>
          </w:p>
          <w:p w14:paraId="6F2F47A4">
            <w:pPr>
              <w:widowControl/>
              <w:snapToGrid w:val="0"/>
              <w:jc w:val="center"/>
              <w:rPr>
                <w:rFonts w:hint="eastAsia" w:ascii="宋体" w:hAnsi="宋体" w:eastAsia="宋体" w:cs="Times New Roman"/>
                <w:szCs w:val="21"/>
              </w:rPr>
            </w:pPr>
            <w:r>
              <w:rPr>
                <w:rFonts w:hint="eastAsia" w:ascii="宋体" w:hAnsi="宋体" w:eastAsia="宋体" w:cs="宋体"/>
                <w:kern w:val="0"/>
                <w:szCs w:val="21"/>
              </w:rPr>
              <w:t>教育社会学的历史与发展</w:t>
            </w:r>
          </w:p>
        </w:tc>
        <w:tc>
          <w:tcPr>
            <w:tcW w:w="2435" w:type="dxa"/>
            <w:vAlign w:val="center"/>
          </w:tcPr>
          <w:p w14:paraId="03DC53FF">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1.中外教育社会学的产生和发展历程；</w:t>
            </w:r>
          </w:p>
          <w:p w14:paraId="368F0307">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2.我国教育社会学所面临的理论创新困境与突破路径；</w:t>
            </w:r>
          </w:p>
          <w:p w14:paraId="2773EF86">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3.迪尔凯姆与教育社会学创建的相关内容。</w:t>
            </w:r>
          </w:p>
        </w:tc>
        <w:tc>
          <w:tcPr>
            <w:tcW w:w="1178" w:type="dxa"/>
            <w:vAlign w:val="center"/>
          </w:tcPr>
          <w:p w14:paraId="25B8A233">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955" w:type="dxa"/>
            <w:vAlign w:val="center"/>
          </w:tcPr>
          <w:p w14:paraId="3733530C">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1.了解中外教育社会学的产生和发展历程；</w:t>
            </w:r>
          </w:p>
          <w:p w14:paraId="4705C901">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2.理解我国教育社会学所面临的理论创新困境与突破路径；</w:t>
            </w:r>
          </w:p>
          <w:p w14:paraId="43FCF671">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3.掌握迪尔凯姆与教育社会学创建的相关内容。</w:t>
            </w:r>
          </w:p>
          <w:p w14:paraId="5A87270A">
            <w:pPr>
              <w:widowControl/>
              <w:adjustRightInd w:val="0"/>
              <w:snapToGrid w:val="0"/>
              <w:jc w:val="left"/>
              <w:rPr>
                <w:rFonts w:hint="eastAsia" w:ascii="宋体" w:hAnsi="宋体" w:eastAsia="宋体" w:cs="Times New Roman"/>
                <w:szCs w:val="21"/>
              </w:rPr>
            </w:pPr>
          </w:p>
        </w:tc>
        <w:tc>
          <w:tcPr>
            <w:tcW w:w="1087" w:type="dxa"/>
            <w:vAlign w:val="center"/>
          </w:tcPr>
          <w:p w14:paraId="0DF18A3F">
            <w:pPr>
              <w:jc w:val="center"/>
              <w:rPr>
                <w:rFonts w:hint="eastAsia" w:ascii="宋体" w:hAnsi="宋体" w:eastAsia="宋体" w:cs="Times New Roman"/>
                <w:szCs w:val="21"/>
              </w:rPr>
            </w:pPr>
            <w:r>
              <w:rPr>
                <w:rFonts w:hint="eastAsia" w:ascii="宋体" w:hAnsi="宋体" w:eastAsia="宋体" w:cs="Times New Roman"/>
                <w:szCs w:val="21"/>
              </w:rPr>
              <w:t>教师讲授</w:t>
            </w:r>
          </w:p>
          <w:p w14:paraId="06513DAD">
            <w:pPr>
              <w:jc w:val="center"/>
              <w:rPr>
                <w:rFonts w:hint="eastAsia" w:ascii="宋体" w:hAnsi="宋体" w:eastAsia="宋体" w:cs="Times New Roman"/>
                <w:szCs w:val="21"/>
              </w:rPr>
            </w:pPr>
            <w:r>
              <w:rPr>
                <w:rFonts w:hint="eastAsia" w:ascii="宋体" w:hAnsi="宋体" w:eastAsia="宋体" w:cs="Times New Roman"/>
                <w:szCs w:val="21"/>
              </w:rPr>
              <w:t>小组分享</w:t>
            </w:r>
          </w:p>
        </w:tc>
        <w:tc>
          <w:tcPr>
            <w:tcW w:w="438" w:type="dxa"/>
            <w:vAlign w:val="center"/>
          </w:tcPr>
          <w:p w14:paraId="75B7BE75">
            <w:pPr>
              <w:jc w:val="center"/>
              <w:rPr>
                <w:rFonts w:hint="eastAsia" w:ascii="宋体" w:hAnsi="宋体" w:eastAsia="宋体" w:cs="Times New Roman"/>
                <w:szCs w:val="21"/>
              </w:rPr>
            </w:pPr>
            <w:r>
              <w:rPr>
                <w:rFonts w:hint="eastAsia" w:ascii="宋体" w:hAnsi="宋体" w:eastAsia="宋体" w:cs="Times New Roman"/>
                <w:szCs w:val="21"/>
              </w:rPr>
              <w:t>4</w:t>
            </w:r>
          </w:p>
        </w:tc>
      </w:tr>
      <w:tr w14:paraId="3B24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0CEEBF8">
            <w:pPr>
              <w:jc w:val="center"/>
              <w:rPr>
                <w:rFonts w:hint="eastAsia" w:ascii="宋体" w:hAnsi="宋体" w:eastAsia="宋体" w:cs="Times New Roman"/>
                <w:szCs w:val="21"/>
              </w:rPr>
            </w:pPr>
          </w:p>
        </w:tc>
        <w:tc>
          <w:tcPr>
            <w:tcW w:w="8093" w:type="dxa"/>
            <w:gridSpan w:val="5"/>
            <w:vAlign w:val="center"/>
          </w:tcPr>
          <w:p w14:paraId="2D3F74B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766C7DD8">
            <w:pPr>
              <w:jc w:val="left"/>
              <w:rPr>
                <w:rFonts w:hint="eastAsia" w:ascii="宋体" w:hAnsi="宋体" w:eastAsia="宋体" w:cs="Times New Roman"/>
                <w:szCs w:val="21"/>
              </w:rPr>
            </w:pPr>
            <w:r>
              <w:rPr>
                <w:rFonts w:hint="eastAsia" w:ascii="宋体" w:hAnsi="宋体" w:eastAsia="宋体" w:cs="Times New Roman"/>
                <w:szCs w:val="21"/>
              </w:rPr>
              <w:t>拥有国际视野，关注中国教育现实，树立中华文化自信。</w:t>
            </w:r>
          </w:p>
        </w:tc>
      </w:tr>
      <w:tr w14:paraId="7923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A58227A">
            <w:pPr>
              <w:jc w:val="center"/>
              <w:rPr>
                <w:rFonts w:hint="eastAsia" w:ascii="宋体" w:hAnsi="宋体" w:eastAsia="宋体" w:cs="Times New Roman"/>
                <w:szCs w:val="21"/>
              </w:rPr>
            </w:pPr>
            <w:r>
              <w:rPr>
                <w:rFonts w:hint="eastAsia" w:ascii="宋体" w:hAnsi="宋体" w:eastAsia="宋体" w:cs="Times New Roman"/>
                <w:szCs w:val="21"/>
              </w:rPr>
              <w:t>第三章</w:t>
            </w:r>
          </w:p>
          <w:p w14:paraId="722F5F02">
            <w:pPr>
              <w:jc w:val="center"/>
              <w:rPr>
                <w:rFonts w:hint="eastAsia" w:ascii="宋体" w:hAnsi="宋体" w:eastAsia="宋体" w:cs="Times New Roman"/>
                <w:szCs w:val="21"/>
              </w:rPr>
            </w:pPr>
            <w:r>
              <w:rPr>
                <w:rFonts w:hint="eastAsia" w:ascii="宋体" w:hAnsi="宋体" w:eastAsia="宋体" w:cs="Times New Roman"/>
                <w:szCs w:val="21"/>
              </w:rPr>
              <w:t>教育社会学的理论流派</w:t>
            </w:r>
          </w:p>
        </w:tc>
        <w:tc>
          <w:tcPr>
            <w:tcW w:w="2435" w:type="dxa"/>
            <w:vAlign w:val="center"/>
          </w:tcPr>
          <w:p w14:paraId="1E5CD4E0">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1.互动论教育社会学理论的基本主张、代表人物及经典研究；</w:t>
            </w:r>
          </w:p>
          <w:p w14:paraId="6A5F66AC">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2.功能论教育社会学理论的基本主张、代表人物及经典研究；</w:t>
            </w:r>
          </w:p>
          <w:p w14:paraId="68F2B165">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3.冲突论教育社会学理论的基本主张、代表人物及经典研究。</w:t>
            </w:r>
          </w:p>
        </w:tc>
        <w:tc>
          <w:tcPr>
            <w:tcW w:w="1178" w:type="dxa"/>
            <w:vAlign w:val="center"/>
          </w:tcPr>
          <w:p w14:paraId="418C5286">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955" w:type="dxa"/>
            <w:vAlign w:val="center"/>
          </w:tcPr>
          <w:p w14:paraId="3F46A88F">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1.了解互动论教育社会学理论的基本主张、代表人物及经典研究；</w:t>
            </w:r>
          </w:p>
          <w:p w14:paraId="14BD538A">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2.理解功能论教育社会学理论的基本主张、代表人物及经典研究；</w:t>
            </w:r>
          </w:p>
          <w:p w14:paraId="3E3A8397">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3.掌握冲突论教育社会学理论的基本主张、代表人物及经典研究。</w:t>
            </w:r>
          </w:p>
          <w:p w14:paraId="65D70302">
            <w:pPr>
              <w:widowControl/>
              <w:adjustRightInd w:val="0"/>
              <w:snapToGrid w:val="0"/>
              <w:jc w:val="left"/>
              <w:rPr>
                <w:rFonts w:hint="eastAsia" w:ascii="宋体" w:hAnsi="宋体" w:eastAsia="宋体" w:cs="Times New Roman"/>
                <w:szCs w:val="21"/>
              </w:rPr>
            </w:pPr>
          </w:p>
        </w:tc>
        <w:tc>
          <w:tcPr>
            <w:tcW w:w="1087" w:type="dxa"/>
            <w:vAlign w:val="center"/>
          </w:tcPr>
          <w:p w14:paraId="049B44B0">
            <w:pPr>
              <w:jc w:val="center"/>
              <w:rPr>
                <w:rFonts w:hint="eastAsia" w:ascii="宋体" w:hAnsi="宋体" w:eastAsia="宋体" w:cs="Times New Roman"/>
                <w:szCs w:val="21"/>
              </w:rPr>
            </w:pPr>
            <w:r>
              <w:rPr>
                <w:rFonts w:hint="eastAsia" w:ascii="宋体" w:hAnsi="宋体" w:eastAsia="宋体" w:cs="Times New Roman"/>
                <w:szCs w:val="21"/>
              </w:rPr>
              <w:t>教师讲授</w:t>
            </w:r>
          </w:p>
          <w:p w14:paraId="53A6C910">
            <w:pPr>
              <w:jc w:val="center"/>
              <w:rPr>
                <w:rFonts w:hint="eastAsia" w:ascii="宋体" w:hAnsi="宋体" w:eastAsia="宋体" w:cs="Times New Roman"/>
                <w:szCs w:val="21"/>
              </w:rPr>
            </w:pPr>
            <w:r>
              <w:rPr>
                <w:rFonts w:hint="eastAsia" w:ascii="宋体" w:hAnsi="宋体" w:eastAsia="宋体" w:cs="Times New Roman"/>
                <w:szCs w:val="21"/>
              </w:rPr>
              <w:t>小组分享</w:t>
            </w:r>
          </w:p>
        </w:tc>
        <w:tc>
          <w:tcPr>
            <w:tcW w:w="438" w:type="dxa"/>
            <w:vAlign w:val="center"/>
          </w:tcPr>
          <w:p w14:paraId="407C3C56">
            <w:pPr>
              <w:jc w:val="center"/>
              <w:rPr>
                <w:rFonts w:hint="eastAsia" w:ascii="宋体" w:hAnsi="宋体" w:eastAsia="宋体" w:cs="Times New Roman"/>
                <w:szCs w:val="21"/>
              </w:rPr>
            </w:pPr>
            <w:r>
              <w:rPr>
                <w:rFonts w:hint="eastAsia" w:ascii="宋体" w:hAnsi="宋体" w:eastAsia="宋体" w:cs="Times New Roman"/>
                <w:szCs w:val="21"/>
              </w:rPr>
              <w:t>4</w:t>
            </w:r>
          </w:p>
        </w:tc>
      </w:tr>
      <w:tr w14:paraId="5B89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126D521">
            <w:pPr>
              <w:jc w:val="center"/>
              <w:rPr>
                <w:rFonts w:hint="eastAsia" w:ascii="宋体" w:hAnsi="宋体" w:eastAsia="宋体" w:cs="Times New Roman"/>
                <w:szCs w:val="21"/>
              </w:rPr>
            </w:pPr>
          </w:p>
        </w:tc>
        <w:tc>
          <w:tcPr>
            <w:tcW w:w="8093" w:type="dxa"/>
            <w:gridSpan w:val="5"/>
            <w:vAlign w:val="center"/>
          </w:tcPr>
          <w:p w14:paraId="29CB448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760FE9D1">
            <w:pPr>
              <w:jc w:val="left"/>
              <w:rPr>
                <w:rFonts w:hint="eastAsia" w:ascii="宋体" w:hAnsi="宋体" w:eastAsia="宋体" w:cs="Times New Roman"/>
                <w:szCs w:val="21"/>
              </w:rPr>
            </w:pPr>
            <w:r>
              <w:rPr>
                <w:rFonts w:hint="eastAsia" w:ascii="宋体" w:hAnsi="宋体" w:eastAsia="宋体" w:cs="Times New Roman"/>
                <w:szCs w:val="21"/>
              </w:rPr>
              <w:t>放眼世界，拓展国际视野，关注人类共同体所共同关注的教育公平；形成理性分析的社会学思维。</w:t>
            </w:r>
          </w:p>
        </w:tc>
      </w:tr>
      <w:tr w14:paraId="2A65D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719BBE4">
            <w:pPr>
              <w:jc w:val="center"/>
              <w:rPr>
                <w:rFonts w:hint="eastAsia" w:ascii="宋体" w:hAnsi="宋体" w:eastAsia="宋体" w:cs="Times New Roman"/>
                <w:szCs w:val="21"/>
              </w:rPr>
            </w:pPr>
            <w:r>
              <w:rPr>
                <w:rFonts w:hint="eastAsia" w:ascii="宋体" w:hAnsi="宋体" w:eastAsia="宋体" w:cs="Times New Roman"/>
                <w:szCs w:val="21"/>
              </w:rPr>
              <w:t>第四章</w:t>
            </w:r>
          </w:p>
          <w:p w14:paraId="1149EC41">
            <w:pPr>
              <w:jc w:val="center"/>
              <w:rPr>
                <w:rFonts w:hint="eastAsia" w:ascii="宋体" w:hAnsi="宋体" w:eastAsia="宋体" w:cs="Times New Roman"/>
                <w:szCs w:val="21"/>
              </w:rPr>
            </w:pPr>
            <w:r>
              <w:rPr>
                <w:rFonts w:hint="eastAsia" w:ascii="宋体" w:hAnsi="宋体" w:eastAsia="宋体" w:cs="Times New Roman"/>
                <w:szCs w:val="21"/>
              </w:rPr>
              <w:t>教育与个体社会化</w:t>
            </w:r>
          </w:p>
        </w:tc>
        <w:tc>
          <w:tcPr>
            <w:tcW w:w="2435" w:type="dxa"/>
            <w:vAlign w:val="center"/>
          </w:tcPr>
          <w:p w14:paraId="5BF92598">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1.个体社会学的基本类型与主要理论；</w:t>
            </w:r>
          </w:p>
          <w:p w14:paraId="002429F7">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2.个体社会化的主要内容；</w:t>
            </w:r>
          </w:p>
          <w:p w14:paraId="066A91DF">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3.教育在个体社会化中的作用。</w:t>
            </w:r>
          </w:p>
        </w:tc>
        <w:tc>
          <w:tcPr>
            <w:tcW w:w="1178" w:type="dxa"/>
            <w:vAlign w:val="center"/>
          </w:tcPr>
          <w:p w14:paraId="416AC0C6">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955" w:type="dxa"/>
            <w:vAlign w:val="center"/>
          </w:tcPr>
          <w:p w14:paraId="37724CF3">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1.了解个体社会学的基本类型与主要理论；</w:t>
            </w:r>
          </w:p>
          <w:p w14:paraId="36FED1E2">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2.理解个体社会化的主要内容；</w:t>
            </w:r>
          </w:p>
          <w:p w14:paraId="68C68924">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3.掌握教育在个体社会化中的作用。</w:t>
            </w:r>
          </w:p>
        </w:tc>
        <w:tc>
          <w:tcPr>
            <w:tcW w:w="1087" w:type="dxa"/>
            <w:vAlign w:val="center"/>
          </w:tcPr>
          <w:p w14:paraId="23881334">
            <w:pPr>
              <w:jc w:val="left"/>
              <w:rPr>
                <w:rFonts w:hint="eastAsia" w:ascii="宋体" w:hAnsi="宋体" w:eastAsia="宋体" w:cs="Times New Roman"/>
                <w:szCs w:val="21"/>
              </w:rPr>
            </w:pPr>
            <w:r>
              <w:rPr>
                <w:rFonts w:hint="eastAsia" w:ascii="宋体" w:hAnsi="宋体" w:eastAsia="宋体" w:cs="Times New Roman"/>
                <w:szCs w:val="21"/>
              </w:rPr>
              <w:t>教师讲授</w:t>
            </w:r>
          </w:p>
          <w:p w14:paraId="365585A9">
            <w:pPr>
              <w:jc w:val="left"/>
              <w:rPr>
                <w:rFonts w:hint="eastAsia" w:ascii="宋体" w:hAnsi="宋体" w:eastAsia="宋体" w:cs="Times New Roman"/>
                <w:szCs w:val="21"/>
              </w:rPr>
            </w:pPr>
            <w:r>
              <w:rPr>
                <w:rFonts w:hint="eastAsia" w:ascii="宋体" w:hAnsi="宋体" w:eastAsia="宋体" w:cs="Times New Roman"/>
                <w:szCs w:val="21"/>
              </w:rPr>
              <w:t>小组分享</w:t>
            </w:r>
          </w:p>
        </w:tc>
        <w:tc>
          <w:tcPr>
            <w:tcW w:w="438" w:type="dxa"/>
            <w:vAlign w:val="center"/>
          </w:tcPr>
          <w:p w14:paraId="09F58116">
            <w:pPr>
              <w:jc w:val="center"/>
              <w:rPr>
                <w:rFonts w:hint="eastAsia" w:ascii="宋体" w:hAnsi="宋体" w:eastAsia="宋体" w:cs="Times New Roman"/>
                <w:szCs w:val="21"/>
              </w:rPr>
            </w:pPr>
            <w:r>
              <w:rPr>
                <w:rFonts w:hint="eastAsia" w:ascii="宋体" w:hAnsi="宋体" w:eastAsia="宋体" w:cs="Times New Roman"/>
                <w:szCs w:val="21"/>
              </w:rPr>
              <w:t>4</w:t>
            </w:r>
          </w:p>
        </w:tc>
      </w:tr>
      <w:tr w14:paraId="264B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EFEADD5">
            <w:pPr>
              <w:jc w:val="center"/>
              <w:rPr>
                <w:rFonts w:hint="eastAsia" w:ascii="宋体" w:hAnsi="宋体" w:eastAsia="宋体" w:cs="Times New Roman"/>
                <w:szCs w:val="21"/>
              </w:rPr>
            </w:pPr>
          </w:p>
        </w:tc>
        <w:tc>
          <w:tcPr>
            <w:tcW w:w="8093" w:type="dxa"/>
            <w:gridSpan w:val="5"/>
            <w:vAlign w:val="center"/>
          </w:tcPr>
          <w:p w14:paraId="2B5F7A7B">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08EA79B5">
            <w:pPr>
              <w:jc w:val="left"/>
              <w:rPr>
                <w:rFonts w:hint="eastAsia" w:ascii="宋体" w:hAnsi="宋体" w:eastAsia="宋体" w:cs="Times New Roman"/>
                <w:szCs w:val="21"/>
              </w:rPr>
            </w:pPr>
            <w:r>
              <w:rPr>
                <w:rFonts w:hint="eastAsia" w:ascii="宋体" w:hAnsi="宋体" w:eastAsia="宋体" w:cs="Times New Roman"/>
                <w:szCs w:val="21"/>
              </w:rPr>
              <w:t>以社会主义核心价值观中的</w:t>
            </w:r>
            <w:r>
              <w:rPr>
                <w:rFonts w:ascii="宋体" w:hAnsi="宋体" w:eastAsia="宋体" w:cs="Times New Roman"/>
                <w:szCs w:val="21"/>
              </w:rPr>
              <w:t>爱国、敬业、诚信、友善</w:t>
            </w:r>
            <w:r>
              <w:rPr>
                <w:rFonts w:hint="eastAsia" w:ascii="宋体" w:hAnsi="宋体" w:eastAsia="宋体" w:cs="Times New Roman"/>
                <w:szCs w:val="21"/>
              </w:rPr>
              <w:t>来作为</w:t>
            </w:r>
            <w:r>
              <w:rPr>
                <w:rFonts w:ascii="宋体" w:hAnsi="宋体" w:eastAsia="宋体" w:cs="Times New Roman"/>
                <w:szCs w:val="21"/>
              </w:rPr>
              <w:t>公民个人层面的价值准则</w:t>
            </w:r>
            <w:r>
              <w:rPr>
                <w:rFonts w:hint="eastAsia" w:ascii="宋体" w:hAnsi="宋体" w:eastAsia="宋体" w:cs="Times New Roman"/>
                <w:szCs w:val="21"/>
              </w:rPr>
              <w:t>，提升公民素养，为国育才，为党育人。</w:t>
            </w:r>
          </w:p>
        </w:tc>
      </w:tr>
      <w:tr w14:paraId="17CC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9DA1F9">
            <w:pPr>
              <w:jc w:val="center"/>
              <w:rPr>
                <w:rFonts w:hint="eastAsia" w:ascii="宋体" w:hAnsi="宋体" w:eastAsia="宋体" w:cs="Times New Roman"/>
                <w:szCs w:val="21"/>
              </w:rPr>
            </w:pPr>
            <w:r>
              <w:rPr>
                <w:rFonts w:hint="eastAsia" w:ascii="宋体" w:hAnsi="宋体" w:eastAsia="宋体" w:cs="Times New Roman"/>
                <w:szCs w:val="21"/>
              </w:rPr>
              <w:t>第五章</w:t>
            </w:r>
          </w:p>
          <w:p w14:paraId="4B5BB768">
            <w:pPr>
              <w:jc w:val="center"/>
              <w:rPr>
                <w:rFonts w:hint="eastAsia" w:ascii="宋体" w:hAnsi="宋体" w:eastAsia="宋体" w:cs="Times New Roman"/>
                <w:szCs w:val="21"/>
              </w:rPr>
            </w:pPr>
            <w:r>
              <w:rPr>
                <w:rFonts w:hint="eastAsia" w:ascii="宋体" w:hAnsi="宋体" w:eastAsia="宋体" w:cs="Times New Roman"/>
                <w:szCs w:val="21"/>
              </w:rPr>
              <w:t>教育与社会民主</w:t>
            </w:r>
          </w:p>
        </w:tc>
        <w:tc>
          <w:tcPr>
            <w:tcW w:w="2435" w:type="dxa"/>
            <w:vAlign w:val="center"/>
          </w:tcPr>
          <w:p w14:paraId="1897E47B">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1.民主的概念和历史发展；</w:t>
            </w:r>
          </w:p>
          <w:p w14:paraId="1624F20B">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2.民主教育与教育民主；</w:t>
            </w:r>
          </w:p>
          <w:p w14:paraId="22663BAE">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3.民主教育与民主素质研究的两种理论视角；</w:t>
            </w:r>
          </w:p>
          <w:p w14:paraId="470C5814">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4.我国高中生民主素质与学校民主教育的现状。</w:t>
            </w:r>
          </w:p>
        </w:tc>
        <w:tc>
          <w:tcPr>
            <w:tcW w:w="1178" w:type="dxa"/>
            <w:vAlign w:val="center"/>
          </w:tcPr>
          <w:p w14:paraId="3F9BD740">
            <w:pPr>
              <w:jc w:val="center"/>
              <w:rPr>
                <w:rFonts w:hint="eastAsia" w:ascii="宋体" w:hAnsi="宋体" w:eastAsia="宋体" w:cs="Times New Roman"/>
                <w:szCs w:val="21"/>
              </w:rPr>
            </w:pPr>
            <w:r>
              <w:rPr>
                <w:rFonts w:hint="eastAsia" w:ascii="宋体" w:hAnsi="宋体" w:eastAsia="宋体" w:cs="Times New Roman"/>
                <w:szCs w:val="21"/>
              </w:rPr>
              <w:t>课程目标3、4</w:t>
            </w:r>
          </w:p>
        </w:tc>
        <w:tc>
          <w:tcPr>
            <w:tcW w:w="2955" w:type="dxa"/>
            <w:vAlign w:val="center"/>
          </w:tcPr>
          <w:p w14:paraId="589D7FE0">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1.了解民主的概念和历史发展；</w:t>
            </w:r>
          </w:p>
          <w:p w14:paraId="2D3F951C">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2.区分民主教育与教育民主；</w:t>
            </w:r>
          </w:p>
          <w:p w14:paraId="7B4819C0">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3.理解民主教育与民主素质研究的两种理论视角；</w:t>
            </w:r>
          </w:p>
          <w:p w14:paraId="1810DF00">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4.掌握我国高中生民主素质与学校民主教育的现状。</w:t>
            </w:r>
          </w:p>
          <w:p w14:paraId="5A47CD67">
            <w:pPr>
              <w:widowControl/>
              <w:adjustRightInd w:val="0"/>
              <w:snapToGrid w:val="0"/>
              <w:jc w:val="left"/>
              <w:rPr>
                <w:rFonts w:hint="eastAsia" w:ascii="宋体" w:hAnsi="宋体" w:eastAsia="宋体" w:cs="宋体"/>
                <w:kern w:val="0"/>
                <w:szCs w:val="21"/>
              </w:rPr>
            </w:pPr>
          </w:p>
        </w:tc>
        <w:tc>
          <w:tcPr>
            <w:tcW w:w="1087" w:type="dxa"/>
            <w:vAlign w:val="center"/>
          </w:tcPr>
          <w:p w14:paraId="0F9FD06C">
            <w:pPr>
              <w:jc w:val="left"/>
              <w:rPr>
                <w:rFonts w:hint="eastAsia" w:ascii="宋体" w:hAnsi="宋体" w:eastAsia="宋体" w:cs="Times New Roman"/>
                <w:szCs w:val="21"/>
              </w:rPr>
            </w:pPr>
            <w:r>
              <w:rPr>
                <w:rFonts w:hint="eastAsia" w:ascii="宋体" w:hAnsi="宋体" w:eastAsia="宋体" w:cs="Times New Roman"/>
                <w:szCs w:val="21"/>
              </w:rPr>
              <w:t>教师讲授</w:t>
            </w:r>
          </w:p>
          <w:p w14:paraId="010B7736">
            <w:pPr>
              <w:jc w:val="left"/>
              <w:rPr>
                <w:rFonts w:hint="eastAsia" w:ascii="宋体" w:hAnsi="宋体" w:eastAsia="宋体" w:cs="Times New Roman"/>
                <w:szCs w:val="21"/>
              </w:rPr>
            </w:pPr>
            <w:r>
              <w:rPr>
                <w:rFonts w:hint="eastAsia" w:ascii="宋体" w:hAnsi="宋体" w:eastAsia="宋体" w:cs="Times New Roman"/>
                <w:szCs w:val="21"/>
              </w:rPr>
              <w:t>小组模拟</w:t>
            </w:r>
          </w:p>
        </w:tc>
        <w:tc>
          <w:tcPr>
            <w:tcW w:w="438" w:type="dxa"/>
            <w:vAlign w:val="center"/>
          </w:tcPr>
          <w:p w14:paraId="2FE8FA08">
            <w:pPr>
              <w:jc w:val="center"/>
              <w:rPr>
                <w:rFonts w:hint="eastAsia" w:ascii="宋体" w:hAnsi="宋体" w:eastAsia="宋体" w:cs="Times New Roman"/>
                <w:szCs w:val="21"/>
              </w:rPr>
            </w:pPr>
            <w:r>
              <w:rPr>
                <w:rFonts w:hint="eastAsia" w:ascii="宋体" w:hAnsi="宋体" w:eastAsia="宋体" w:cs="Times New Roman"/>
                <w:szCs w:val="21"/>
              </w:rPr>
              <w:t>4</w:t>
            </w:r>
          </w:p>
        </w:tc>
      </w:tr>
      <w:tr w14:paraId="46D2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6E980D3">
            <w:pPr>
              <w:jc w:val="center"/>
              <w:rPr>
                <w:rFonts w:hint="eastAsia" w:ascii="宋体" w:hAnsi="宋体" w:eastAsia="宋体" w:cs="Times New Roman"/>
                <w:szCs w:val="21"/>
              </w:rPr>
            </w:pPr>
          </w:p>
        </w:tc>
        <w:tc>
          <w:tcPr>
            <w:tcW w:w="8093" w:type="dxa"/>
            <w:gridSpan w:val="5"/>
            <w:vAlign w:val="center"/>
          </w:tcPr>
          <w:p w14:paraId="66FFE59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0216FC1B">
            <w:pPr>
              <w:jc w:val="left"/>
              <w:rPr>
                <w:rFonts w:hint="eastAsia" w:ascii="宋体" w:hAnsi="宋体" w:eastAsia="宋体" w:cs="Times New Roman"/>
                <w:szCs w:val="21"/>
              </w:rPr>
            </w:pPr>
            <w:r>
              <w:rPr>
                <w:rFonts w:hint="eastAsia" w:ascii="宋体" w:hAnsi="宋体" w:eastAsia="宋体" w:cs="Times New Roman"/>
                <w:szCs w:val="21"/>
              </w:rPr>
              <w:t>践行社会主义核心价值观，强化提升公民民主素养的意识,立志发展素质教育。</w:t>
            </w:r>
          </w:p>
        </w:tc>
      </w:tr>
      <w:tr w14:paraId="07A3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A62FAEF">
            <w:pPr>
              <w:widowControl/>
              <w:snapToGrid w:val="0"/>
              <w:jc w:val="center"/>
              <w:rPr>
                <w:rFonts w:hint="eastAsia" w:ascii="宋体" w:hAnsi="宋体" w:eastAsia="宋体" w:cs="宋体"/>
                <w:kern w:val="0"/>
                <w:szCs w:val="21"/>
              </w:rPr>
            </w:pPr>
            <w:r>
              <w:rPr>
                <w:rFonts w:hint="eastAsia" w:ascii="宋体" w:hAnsi="宋体" w:eastAsia="宋体" w:cs="宋体"/>
                <w:kern w:val="0"/>
                <w:szCs w:val="21"/>
              </w:rPr>
              <w:t>第六章</w:t>
            </w:r>
          </w:p>
          <w:p w14:paraId="124154F4">
            <w:pPr>
              <w:widowControl/>
              <w:snapToGrid w:val="0"/>
              <w:jc w:val="center"/>
              <w:rPr>
                <w:rFonts w:hint="eastAsia" w:ascii="宋体" w:hAnsi="宋体" w:eastAsia="宋体" w:cs="Times New Roman"/>
                <w:szCs w:val="21"/>
              </w:rPr>
            </w:pPr>
            <w:r>
              <w:rPr>
                <w:rFonts w:hint="eastAsia" w:ascii="宋体" w:hAnsi="宋体" w:eastAsia="宋体" w:cs="宋体"/>
                <w:kern w:val="0"/>
                <w:szCs w:val="21"/>
              </w:rPr>
              <w:t>教育与社会分层、社会流动</w:t>
            </w:r>
          </w:p>
        </w:tc>
        <w:tc>
          <w:tcPr>
            <w:tcW w:w="2435" w:type="dxa"/>
            <w:vAlign w:val="center"/>
          </w:tcPr>
          <w:p w14:paraId="6F64DBF8">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1.社会流动与教育的关系；</w:t>
            </w:r>
          </w:p>
          <w:p w14:paraId="0B57B64D">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2.社会分层理论以及两种类型的教育机会均等概念；</w:t>
            </w:r>
          </w:p>
          <w:p w14:paraId="3EF96F88">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3.社会分层与教育机会均等的经典研究。</w:t>
            </w:r>
          </w:p>
        </w:tc>
        <w:tc>
          <w:tcPr>
            <w:tcW w:w="1178" w:type="dxa"/>
            <w:vAlign w:val="center"/>
          </w:tcPr>
          <w:p w14:paraId="023879CB">
            <w:pPr>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2955" w:type="dxa"/>
            <w:vAlign w:val="center"/>
          </w:tcPr>
          <w:p w14:paraId="4BA51BDD">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1.了解社会流动与教育的关系；</w:t>
            </w:r>
          </w:p>
          <w:p w14:paraId="182AD331">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2.理解社会分层理论以及两种类型的教育机会均等概念；</w:t>
            </w:r>
          </w:p>
          <w:p w14:paraId="3DF4CA7B">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3.掌握社会分层与教育机会均等的经典研究。</w:t>
            </w:r>
          </w:p>
          <w:p w14:paraId="730895B1">
            <w:pPr>
              <w:widowControl/>
              <w:adjustRightInd w:val="0"/>
              <w:snapToGrid w:val="0"/>
              <w:jc w:val="left"/>
              <w:rPr>
                <w:rFonts w:hint="eastAsia" w:ascii="宋体" w:hAnsi="宋体" w:eastAsia="宋体" w:cs="Times New Roman"/>
                <w:szCs w:val="21"/>
              </w:rPr>
            </w:pPr>
          </w:p>
        </w:tc>
        <w:tc>
          <w:tcPr>
            <w:tcW w:w="1087" w:type="dxa"/>
            <w:vAlign w:val="center"/>
          </w:tcPr>
          <w:p w14:paraId="2B638C4E">
            <w:pPr>
              <w:jc w:val="left"/>
              <w:rPr>
                <w:rFonts w:hint="eastAsia" w:ascii="宋体" w:hAnsi="宋体" w:eastAsia="宋体" w:cs="Times New Roman"/>
                <w:szCs w:val="21"/>
              </w:rPr>
            </w:pPr>
            <w:r>
              <w:rPr>
                <w:rFonts w:hint="eastAsia" w:ascii="宋体" w:hAnsi="宋体" w:eastAsia="宋体" w:cs="Times New Roman"/>
                <w:szCs w:val="21"/>
              </w:rPr>
              <w:t>教师讲授</w:t>
            </w:r>
          </w:p>
          <w:p w14:paraId="250A607B">
            <w:pPr>
              <w:jc w:val="left"/>
              <w:rPr>
                <w:rFonts w:hint="eastAsia" w:ascii="宋体" w:hAnsi="宋体" w:eastAsia="宋体" w:cs="Times New Roman"/>
                <w:szCs w:val="21"/>
              </w:rPr>
            </w:pPr>
            <w:r>
              <w:rPr>
                <w:rFonts w:hint="eastAsia" w:ascii="宋体" w:hAnsi="宋体" w:eastAsia="宋体" w:cs="Times New Roman"/>
                <w:szCs w:val="21"/>
              </w:rPr>
              <w:t>案例分析</w:t>
            </w:r>
          </w:p>
          <w:p w14:paraId="1A2427DA">
            <w:pPr>
              <w:jc w:val="left"/>
              <w:rPr>
                <w:rFonts w:hint="eastAsia" w:ascii="宋体" w:hAnsi="宋体" w:eastAsia="宋体" w:cs="Times New Roman"/>
                <w:szCs w:val="21"/>
              </w:rPr>
            </w:pPr>
            <w:r>
              <w:rPr>
                <w:rFonts w:hint="eastAsia" w:ascii="宋体" w:hAnsi="宋体" w:eastAsia="宋体" w:cs="Times New Roman"/>
                <w:szCs w:val="21"/>
              </w:rPr>
              <w:t>课堂交流</w:t>
            </w:r>
          </w:p>
        </w:tc>
        <w:tc>
          <w:tcPr>
            <w:tcW w:w="438" w:type="dxa"/>
            <w:vAlign w:val="center"/>
          </w:tcPr>
          <w:p w14:paraId="78198F83">
            <w:pPr>
              <w:jc w:val="center"/>
              <w:rPr>
                <w:rFonts w:hint="eastAsia" w:ascii="宋体" w:hAnsi="宋体" w:eastAsia="宋体" w:cs="Times New Roman"/>
                <w:szCs w:val="21"/>
              </w:rPr>
            </w:pPr>
            <w:r>
              <w:rPr>
                <w:rFonts w:hint="eastAsia" w:ascii="宋体" w:hAnsi="宋体" w:eastAsia="宋体" w:cs="Times New Roman"/>
                <w:szCs w:val="21"/>
              </w:rPr>
              <w:t>4</w:t>
            </w:r>
          </w:p>
        </w:tc>
      </w:tr>
      <w:tr w14:paraId="1C2B1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94DE465">
            <w:pPr>
              <w:jc w:val="center"/>
              <w:rPr>
                <w:rFonts w:hint="eastAsia" w:ascii="宋体" w:hAnsi="宋体" w:eastAsia="宋体" w:cs="Times New Roman"/>
                <w:szCs w:val="21"/>
              </w:rPr>
            </w:pPr>
          </w:p>
        </w:tc>
        <w:tc>
          <w:tcPr>
            <w:tcW w:w="8093" w:type="dxa"/>
            <w:gridSpan w:val="5"/>
            <w:vAlign w:val="center"/>
          </w:tcPr>
          <w:p w14:paraId="2C3FBBC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241386E7">
            <w:pPr>
              <w:jc w:val="left"/>
              <w:rPr>
                <w:rFonts w:hint="eastAsia" w:ascii="宋体" w:hAnsi="宋体" w:eastAsia="宋体" w:cs="Times New Roman"/>
                <w:szCs w:val="21"/>
              </w:rPr>
            </w:pPr>
            <w:r>
              <w:rPr>
                <w:rFonts w:hint="eastAsia" w:ascii="宋体" w:hAnsi="宋体" w:eastAsia="宋体" w:cs="Times New Roman"/>
                <w:szCs w:val="21"/>
              </w:rPr>
              <w:t>理性看待教育不平等不均衡现象；端正教育观，平等地对待来自不同家庭的每一位学生；关心关注城乡教育差距下的教育不平衡问题；积极帮助弱势群体子女公平普惠地接受教育指导或教育服务。</w:t>
            </w:r>
          </w:p>
        </w:tc>
      </w:tr>
      <w:tr w14:paraId="05ED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DBC617">
            <w:pPr>
              <w:jc w:val="center"/>
              <w:rPr>
                <w:rFonts w:hint="eastAsia" w:ascii="宋体" w:hAnsi="宋体" w:eastAsia="宋体" w:cs="Times New Roman"/>
                <w:szCs w:val="21"/>
              </w:rPr>
            </w:pPr>
            <w:r>
              <w:rPr>
                <w:rFonts w:hint="eastAsia" w:ascii="宋体" w:hAnsi="宋体" w:eastAsia="宋体" w:cs="Times New Roman"/>
                <w:szCs w:val="21"/>
              </w:rPr>
              <w:t>第七章</w:t>
            </w:r>
          </w:p>
          <w:p w14:paraId="564B3C84">
            <w:pPr>
              <w:jc w:val="center"/>
              <w:rPr>
                <w:rFonts w:hint="eastAsia" w:ascii="宋体" w:hAnsi="宋体" w:eastAsia="宋体" w:cs="Times New Roman"/>
                <w:szCs w:val="21"/>
              </w:rPr>
            </w:pPr>
            <w:r>
              <w:rPr>
                <w:rFonts w:hint="eastAsia" w:ascii="宋体" w:hAnsi="宋体" w:eastAsia="宋体" w:cs="Times New Roman"/>
                <w:szCs w:val="21"/>
              </w:rPr>
              <w:t>学校的社会学分析</w:t>
            </w:r>
          </w:p>
        </w:tc>
        <w:tc>
          <w:tcPr>
            <w:tcW w:w="2435" w:type="dxa"/>
            <w:vAlign w:val="center"/>
          </w:tcPr>
          <w:p w14:paraId="1F5D7DD4">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1.学校是一种制度化的社会组织；</w:t>
            </w:r>
          </w:p>
          <w:p w14:paraId="60B0FABE">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2.学校组织文化以及学校组织中的各种亚文化；</w:t>
            </w:r>
          </w:p>
          <w:p w14:paraId="009024DE">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3.学生越轨行为的表现、成因与对策。</w:t>
            </w:r>
          </w:p>
        </w:tc>
        <w:tc>
          <w:tcPr>
            <w:tcW w:w="1178" w:type="dxa"/>
            <w:vAlign w:val="center"/>
          </w:tcPr>
          <w:p w14:paraId="34E303F5">
            <w:pPr>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2955" w:type="dxa"/>
            <w:vAlign w:val="center"/>
          </w:tcPr>
          <w:p w14:paraId="041BA766">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1.了解学校是一种制度化的社会组织；</w:t>
            </w:r>
          </w:p>
          <w:p w14:paraId="33F1A76B">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2.理解学校组织文化以及学校组织中的各种亚文化；</w:t>
            </w:r>
          </w:p>
          <w:p w14:paraId="58B08E45">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3.掌握学生越轨行为的表现、成因与对策。</w:t>
            </w:r>
          </w:p>
        </w:tc>
        <w:tc>
          <w:tcPr>
            <w:tcW w:w="1087" w:type="dxa"/>
            <w:vAlign w:val="center"/>
          </w:tcPr>
          <w:p w14:paraId="084EDFD3">
            <w:pPr>
              <w:jc w:val="left"/>
              <w:rPr>
                <w:rFonts w:hint="eastAsia" w:ascii="宋体" w:hAnsi="宋体" w:eastAsia="宋体" w:cs="Times New Roman"/>
                <w:szCs w:val="21"/>
              </w:rPr>
            </w:pPr>
            <w:r>
              <w:rPr>
                <w:rFonts w:hint="eastAsia" w:ascii="宋体" w:hAnsi="宋体" w:eastAsia="宋体" w:cs="Times New Roman"/>
                <w:szCs w:val="21"/>
              </w:rPr>
              <w:t>教师讲授</w:t>
            </w:r>
          </w:p>
          <w:p w14:paraId="54ED48EA">
            <w:pPr>
              <w:jc w:val="left"/>
              <w:rPr>
                <w:rFonts w:hint="eastAsia" w:ascii="宋体" w:hAnsi="宋体" w:eastAsia="宋体" w:cs="Times New Roman"/>
                <w:szCs w:val="21"/>
              </w:rPr>
            </w:pPr>
            <w:r>
              <w:rPr>
                <w:rFonts w:hint="eastAsia" w:ascii="宋体" w:hAnsi="宋体" w:eastAsia="宋体" w:cs="Times New Roman"/>
                <w:szCs w:val="21"/>
              </w:rPr>
              <w:t>案例分析</w:t>
            </w:r>
          </w:p>
          <w:p w14:paraId="2E1319BE">
            <w:pPr>
              <w:jc w:val="left"/>
              <w:rPr>
                <w:rFonts w:hint="eastAsia" w:ascii="宋体" w:hAnsi="宋体" w:eastAsia="宋体" w:cs="Times New Roman"/>
                <w:szCs w:val="21"/>
              </w:rPr>
            </w:pPr>
            <w:r>
              <w:rPr>
                <w:rFonts w:hint="eastAsia" w:ascii="宋体" w:hAnsi="宋体" w:eastAsia="宋体" w:cs="Times New Roman"/>
                <w:szCs w:val="21"/>
              </w:rPr>
              <w:t>小组分享</w:t>
            </w:r>
          </w:p>
        </w:tc>
        <w:tc>
          <w:tcPr>
            <w:tcW w:w="438" w:type="dxa"/>
            <w:vAlign w:val="center"/>
          </w:tcPr>
          <w:p w14:paraId="2DCF549B">
            <w:pPr>
              <w:jc w:val="center"/>
              <w:rPr>
                <w:rFonts w:hint="eastAsia" w:ascii="宋体" w:hAnsi="宋体" w:eastAsia="宋体" w:cs="Times New Roman"/>
                <w:szCs w:val="21"/>
              </w:rPr>
            </w:pPr>
            <w:r>
              <w:rPr>
                <w:rFonts w:hint="eastAsia" w:ascii="宋体" w:hAnsi="宋体" w:eastAsia="宋体" w:cs="Times New Roman"/>
                <w:szCs w:val="21"/>
              </w:rPr>
              <w:t>4</w:t>
            </w:r>
          </w:p>
        </w:tc>
      </w:tr>
      <w:tr w14:paraId="1D323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78DF47F">
            <w:pPr>
              <w:jc w:val="center"/>
              <w:rPr>
                <w:rFonts w:hint="eastAsia" w:ascii="宋体" w:hAnsi="宋体" w:eastAsia="宋体" w:cs="Times New Roman"/>
                <w:szCs w:val="21"/>
              </w:rPr>
            </w:pPr>
          </w:p>
        </w:tc>
        <w:tc>
          <w:tcPr>
            <w:tcW w:w="8093" w:type="dxa"/>
            <w:gridSpan w:val="5"/>
            <w:vAlign w:val="center"/>
          </w:tcPr>
          <w:p w14:paraId="6BE966C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7419CF4A">
            <w:pPr>
              <w:jc w:val="left"/>
              <w:rPr>
                <w:rFonts w:hint="eastAsia" w:ascii="宋体" w:hAnsi="宋体" w:eastAsia="宋体" w:cs="Times New Roman"/>
                <w:szCs w:val="21"/>
              </w:rPr>
            </w:pPr>
            <w:r>
              <w:rPr>
                <w:rFonts w:hint="eastAsia" w:ascii="宋体" w:hAnsi="宋体" w:eastAsia="宋体" w:cs="Times New Roman"/>
                <w:szCs w:val="21"/>
              </w:rPr>
              <w:t>理性看待学生行为失范（包括越轨和违法），倡导我国社会中主流价值观，引导学生健康成长，符合我国社会及新时代的期待和要求。</w:t>
            </w:r>
          </w:p>
        </w:tc>
      </w:tr>
      <w:tr w14:paraId="352FA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B7994F3">
            <w:pPr>
              <w:jc w:val="center"/>
              <w:rPr>
                <w:rFonts w:hint="eastAsia" w:ascii="宋体" w:hAnsi="宋体" w:eastAsia="宋体" w:cs="Times New Roman"/>
                <w:szCs w:val="21"/>
              </w:rPr>
            </w:pPr>
            <w:r>
              <w:rPr>
                <w:rFonts w:hint="eastAsia" w:ascii="宋体" w:hAnsi="宋体" w:eastAsia="宋体" w:cs="Times New Roman"/>
                <w:szCs w:val="21"/>
              </w:rPr>
              <w:t>第八章</w:t>
            </w:r>
          </w:p>
          <w:p w14:paraId="7253FFF2">
            <w:pPr>
              <w:jc w:val="center"/>
              <w:rPr>
                <w:rFonts w:hint="eastAsia" w:ascii="宋体" w:hAnsi="宋体" w:eastAsia="宋体" w:cs="Times New Roman"/>
                <w:szCs w:val="21"/>
              </w:rPr>
            </w:pPr>
            <w:r>
              <w:rPr>
                <w:rFonts w:hint="eastAsia" w:ascii="宋体" w:hAnsi="宋体" w:eastAsia="宋体" w:cs="Times New Roman"/>
                <w:szCs w:val="21"/>
              </w:rPr>
              <w:t>班级的社会学分析</w:t>
            </w:r>
          </w:p>
        </w:tc>
        <w:tc>
          <w:tcPr>
            <w:tcW w:w="2435" w:type="dxa"/>
            <w:vAlign w:val="center"/>
          </w:tcPr>
          <w:p w14:paraId="1B8EE6AB">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1.班级的社会属性；</w:t>
            </w:r>
          </w:p>
          <w:p w14:paraId="5433FC6C">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2.班级群体的定位分析以及对班级进行组织分析的不足；</w:t>
            </w:r>
          </w:p>
          <w:p w14:paraId="69678DF4">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3.班集体组织与建设的相关理论与对策。</w:t>
            </w:r>
          </w:p>
        </w:tc>
        <w:tc>
          <w:tcPr>
            <w:tcW w:w="1178" w:type="dxa"/>
            <w:vAlign w:val="center"/>
          </w:tcPr>
          <w:p w14:paraId="44BDB7DC">
            <w:pPr>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2955" w:type="dxa"/>
            <w:vAlign w:val="center"/>
          </w:tcPr>
          <w:p w14:paraId="3D43542E">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1.了解班级的社会属性；</w:t>
            </w:r>
          </w:p>
          <w:p w14:paraId="5B0139B5">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2.理解班级群体的定位分析以及对班级进行组织分析的不足；</w:t>
            </w:r>
          </w:p>
          <w:p w14:paraId="590FBC27">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3.掌握班集体组织与建设的相关理论与对策。</w:t>
            </w:r>
          </w:p>
          <w:p w14:paraId="4BB2177B">
            <w:pPr>
              <w:widowControl/>
              <w:adjustRightInd w:val="0"/>
              <w:snapToGrid w:val="0"/>
              <w:jc w:val="left"/>
              <w:rPr>
                <w:rFonts w:hint="eastAsia" w:ascii="宋体" w:hAnsi="宋体" w:eastAsia="宋体" w:cs="宋体"/>
                <w:kern w:val="0"/>
                <w:szCs w:val="21"/>
              </w:rPr>
            </w:pPr>
          </w:p>
          <w:p w14:paraId="0A3BB86E">
            <w:pPr>
              <w:jc w:val="left"/>
              <w:rPr>
                <w:rFonts w:hint="eastAsia" w:ascii="宋体" w:hAnsi="宋体" w:eastAsia="宋体" w:cs="Times New Roman"/>
                <w:szCs w:val="21"/>
              </w:rPr>
            </w:pPr>
          </w:p>
        </w:tc>
        <w:tc>
          <w:tcPr>
            <w:tcW w:w="1087" w:type="dxa"/>
            <w:vAlign w:val="center"/>
          </w:tcPr>
          <w:p w14:paraId="301F1945">
            <w:pPr>
              <w:jc w:val="left"/>
              <w:rPr>
                <w:rFonts w:hint="eastAsia" w:ascii="宋体" w:hAnsi="宋体" w:eastAsia="宋体" w:cs="Times New Roman"/>
                <w:szCs w:val="21"/>
              </w:rPr>
            </w:pPr>
            <w:r>
              <w:rPr>
                <w:rFonts w:hint="eastAsia" w:ascii="宋体" w:hAnsi="宋体" w:eastAsia="宋体" w:cs="Times New Roman"/>
                <w:szCs w:val="21"/>
              </w:rPr>
              <w:t>教师讲授</w:t>
            </w:r>
          </w:p>
          <w:p w14:paraId="34194695">
            <w:pPr>
              <w:jc w:val="left"/>
              <w:rPr>
                <w:rFonts w:hint="eastAsia" w:ascii="宋体" w:hAnsi="宋体" w:eastAsia="宋体" w:cs="Times New Roman"/>
                <w:szCs w:val="21"/>
              </w:rPr>
            </w:pPr>
            <w:r>
              <w:rPr>
                <w:rFonts w:hint="eastAsia" w:ascii="宋体" w:hAnsi="宋体" w:eastAsia="宋体" w:cs="Times New Roman"/>
                <w:szCs w:val="21"/>
              </w:rPr>
              <w:t>案例分析</w:t>
            </w:r>
          </w:p>
          <w:p w14:paraId="48B585CA">
            <w:pPr>
              <w:jc w:val="left"/>
              <w:rPr>
                <w:rFonts w:hint="eastAsia" w:ascii="宋体" w:hAnsi="宋体" w:eastAsia="宋体" w:cs="Times New Roman"/>
                <w:szCs w:val="21"/>
              </w:rPr>
            </w:pPr>
            <w:r>
              <w:rPr>
                <w:rFonts w:hint="eastAsia" w:ascii="宋体" w:hAnsi="宋体" w:eastAsia="宋体" w:cs="Times New Roman"/>
                <w:szCs w:val="21"/>
              </w:rPr>
              <w:t>课堂交流</w:t>
            </w:r>
          </w:p>
        </w:tc>
        <w:tc>
          <w:tcPr>
            <w:tcW w:w="438" w:type="dxa"/>
            <w:vAlign w:val="center"/>
          </w:tcPr>
          <w:p w14:paraId="76DA710B">
            <w:pPr>
              <w:jc w:val="center"/>
              <w:rPr>
                <w:rFonts w:hint="eastAsia" w:ascii="宋体" w:hAnsi="宋体" w:eastAsia="宋体" w:cs="Times New Roman"/>
                <w:szCs w:val="21"/>
              </w:rPr>
            </w:pPr>
            <w:r>
              <w:rPr>
                <w:rFonts w:hint="eastAsia" w:ascii="宋体" w:hAnsi="宋体" w:eastAsia="宋体" w:cs="Times New Roman"/>
                <w:szCs w:val="21"/>
              </w:rPr>
              <w:t>2</w:t>
            </w:r>
          </w:p>
        </w:tc>
      </w:tr>
      <w:tr w14:paraId="2F6E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BE4B81">
            <w:pPr>
              <w:jc w:val="center"/>
              <w:rPr>
                <w:rFonts w:hint="eastAsia" w:ascii="宋体" w:hAnsi="宋体" w:eastAsia="宋体" w:cs="Times New Roman"/>
                <w:szCs w:val="21"/>
              </w:rPr>
            </w:pPr>
          </w:p>
        </w:tc>
        <w:tc>
          <w:tcPr>
            <w:tcW w:w="8093" w:type="dxa"/>
            <w:gridSpan w:val="5"/>
            <w:vAlign w:val="center"/>
          </w:tcPr>
          <w:p w14:paraId="1F6346D1">
            <w:pPr>
              <w:jc w:val="left"/>
              <w:rPr>
                <w:rFonts w:hint="eastAsia" w:ascii="宋体" w:hAnsi="宋体" w:eastAsia="宋体" w:cs="Times New Roman"/>
                <w:b/>
                <w:szCs w:val="21"/>
              </w:rPr>
            </w:pPr>
            <w:r>
              <w:rPr>
                <w:rFonts w:hint="eastAsia" w:ascii="宋体" w:hAnsi="宋体" w:eastAsia="宋体" w:cs="Times New Roman"/>
                <w:b/>
                <w:szCs w:val="21"/>
              </w:rPr>
              <w:t>课程思政目标：</w:t>
            </w:r>
          </w:p>
          <w:p w14:paraId="3EA0872F">
            <w:pPr>
              <w:jc w:val="left"/>
              <w:rPr>
                <w:rFonts w:hint="eastAsia" w:ascii="宋体" w:hAnsi="宋体" w:eastAsia="宋体" w:cs="Times New Roman"/>
                <w:szCs w:val="21"/>
              </w:rPr>
            </w:pPr>
            <w:r>
              <w:rPr>
                <w:rFonts w:hint="eastAsia" w:ascii="宋体" w:hAnsi="宋体" w:eastAsia="宋体" w:cs="Times New Roman"/>
                <w:szCs w:val="21"/>
              </w:rPr>
              <w:t xml:space="preserve"> 树立社会学视角审视班级、班级组织与建设；引导学生通过不同职务体验民主管理并建设班集体；强化通过优良班风文化建设引导非正式组织、非正式结构等的健康发展。</w:t>
            </w:r>
          </w:p>
        </w:tc>
      </w:tr>
      <w:tr w14:paraId="5B7B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E31A2FE">
            <w:pPr>
              <w:jc w:val="center"/>
              <w:rPr>
                <w:rFonts w:hint="eastAsia" w:ascii="宋体" w:hAnsi="宋体" w:eastAsia="宋体" w:cs="Times New Roman"/>
                <w:szCs w:val="21"/>
              </w:rPr>
            </w:pPr>
            <w:bookmarkStart w:id="797" w:name="_Hlk184664434"/>
            <w:r>
              <w:rPr>
                <w:rFonts w:hint="eastAsia" w:ascii="宋体" w:hAnsi="宋体" w:eastAsia="宋体" w:cs="Times New Roman"/>
                <w:szCs w:val="21"/>
              </w:rPr>
              <w:t>第九章</w:t>
            </w:r>
          </w:p>
          <w:p w14:paraId="6146B86C">
            <w:pPr>
              <w:jc w:val="center"/>
              <w:rPr>
                <w:rFonts w:hint="eastAsia" w:ascii="宋体" w:hAnsi="宋体" w:eastAsia="宋体" w:cs="Times New Roman"/>
                <w:szCs w:val="21"/>
              </w:rPr>
            </w:pPr>
            <w:r>
              <w:rPr>
                <w:rFonts w:hint="eastAsia" w:ascii="宋体" w:hAnsi="宋体" w:eastAsia="宋体" w:cs="Times New Roman"/>
                <w:szCs w:val="21"/>
              </w:rPr>
              <w:t>课程的社会学分析</w:t>
            </w:r>
          </w:p>
        </w:tc>
        <w:tc>
          <w:tcPr>
            <w:tcW w:w="2435" w:type="dxa"/>
            <w:vAlign w:val="center"/>
          </w:tcPr>
          <w:p w14:paraId="711DF261">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1.课程类型与课程社会学的产生与发展历程；</w:t>
            </w:r>
          </w:p>
          <w:p w14:paraId="24E869B4">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2.课程研究的社会学范式；</w:t>
            </w:r>
          </w:p>
          <w:p w14:paraId="032BD89D">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3.后现代课程观的特征价值与理论缺陷。</w:t>
            </w:r>
          </w:p>
        </w:tc>
        <w:tc>
          <w:tcPr>
            <w:tcW w:w="1178" w:type="dxa"/>
            <w:vAlign w:val="center"/>
          </w:tcPr>
          <w:p w14:paraId="4421B7AE">
            <w:pPr>
              <w:jc w:val="center"/>
              <w:rPr>
                <w:rFonts w:hint="eastAsia" w:ascii="宋体" w:hAnsi="宋体" w:eastAsia="宋体" w:cs="Times New Roman"/>
                <w:szCs w:val="21"/>
              </w:rPr>
            </w:pPr>
            <w:r>
              <w:rPr>
                <w:rFonts w:hint="eastAsia" w:ascii="宋体" w:hAnsi="宋体" w:eastAsia="宋体" w:cs="Times New Roman"/>
                <w:szCs w:val="21"/>
              </w:rPr>
              <w:t>课程目标6</w:t>
            </w:r>
          </w:p>
        </w:tc>
        <w:tc>
          <w:tcPr>
            <w:tcW w:w="2955" w:type="dxa"/>
            <w:vAlign w:val="center"/>
          </w:tcPr>
          <w:p w14:paraId="5C907457">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1.了解课程类型与课程社会学的产生与发展历程；</w:t>
            </w:r>
          </w:p>
          <w:p w14:paraId="2CCC0E31">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2.理解课程研究的社会学范式；</w:t>
            </w:r>
          </w:p>
          <w:p w14:paraId="2B492673">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3.掌握后现代课程观的特征价值与理论缺陷。</w:t>
            </w:r>
          </w:p>
          <w:p w14:paraId="3054C98B">
            <w:pPr>
              <w:widowControl/>
              <w:adjustRightInd w:val="0"/>
              <w:snapToGrid w:val="0"/>
              <w:jc w:val="left"/>
              <w:rPr>
                <w:rFonts w:hint="eastAsia" w:ascii="宋体" w:hAnsi="宋体" w:eastAsia="宋体" w:cs="Times New Roman"/>
                <w:szCs w:val="21"/>
              </w:rPr>
            </w:pPr>
          </w:p>
        </w:tc>
        <w:tc>
          <w:tcPr>
            <w:tcW w:w="1087" w:type="dxa"/>
            <w:vAlign w:val="center"/>
          </w:tcPr>
          <w:p w14:paraId="3FC4A313">
            <w:pPr>
              <w:jc w:val="left"/>
              <w:rPr>
                <w:rFonts w:hint="eastAsia" w:ascii="宋体" w:hAnsi="宋体" w:eastAsia="宋体" w:cs="Times New Roman"/>
                <w:szCs w:val="21"/>
              </w:rPr>
            </w:pPr>
            <w:r>
              <w:rPr>
                <w:rFonts w:hint="eastAsia" w:ascii="宋体" w:hAnsi="宋体" w:eastAsia="宋体" w:cs="Times New Roman"/>
                <w:szCs w:val="21"/>
              </w:rPr>
              <w:t>教师讲授</w:t>
            </w:r>
          </w:p>
          <w:p w14:paraId="75B0F7FA">
            <w:pPr>
              <w:jc w:val="left"/>
              <w:rPr>
                <w:rFonts w:hint="eastAsia" w:ascii="宋体" w:hAnsi="宋体" w:eastAsia="宋体" w:cs="Times New Roman"/>
                <w:szCs w:val="21"/>
              </w:rPr>
            </w:pPr>
            <w:r>
              <w:rPr>
                <w:rFonts w:hint="eastAsia" w:ascii="宋体" w:hAnsi="宋体" w:eastAsia="宋体" w:cs="Times New Roman"/>
                <w:szCs w:val="21"/>
              </w:rPr>
              <w:t>案例分析</w:t>
            </w:r>
          </w:p>
          <w:p w14:paraId="21261720">
            <w:pPr>
              <w:jc w:val="left"/>
              <w:rPr>
                <w:rFonts w:hint="eastAsia" w:ascii="宋体" w:hAnsi="宋体" w:eastAsia="宋体" w:cs="Times New Roman"/>
                <w:szCs w:val="21"/>
              </w:rPr>
            </w:pPr>
            <w:r>
              <w:rPr>
                <w:rFonts w:hint="eastAsia" w:ascii="宋体" w:hAnsi="宋体" w:eastAsia="宋体" w:cs="Times New Roman"/>
                <w:szCs w:val="21"/>
              </w:rPr>
              <w:t>课堂交流</w:t>
            </w:r>
          </w:p>
        </w:tc>
        <w:tc>
          <w:tcPr>
            <w:tcW w:w="438" w:type="dxa"/>
            <w:vAlign w:val="center"/>
          </w:tcPr>
          <w:p w14:paraId="4D51F047">
            <w:pPr>
              <w:jc w:val="center"/>
              <w:rPr>
                <w:rFonts w:hint="eastAsia" w:ascii="宋体" w:hAnsi="宋体" w:eastAsia="宋体" w:cs="Times New Roman"/>
                <w:szCs w:val="21"/>
              </w:rPr>
            </w:pPr>
            <w:r>
              <w:rPr>
                <w:rFonts w:hint="eastAsia" w:ascii="宋体" w:hAnsi="宋体" w:eastAsia="宋体" w:cs="Times New Roman"/>
                <w:szCs w:val="21"/>
              </w:rPr>
              <w:t>2</w:t>
            </w:r>
          </w:p>
        </w:tc>
      </w:tr>
      <w:tr w14:paraId="1C375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EE6CED">
            <w:pPr>
              <w:jc w:val="center"/>
              <w:rPr>
                <w:rFonts w:hint="eastAsia" w:ascii="宋体" w:hAnsi="宋体" w:eastAsia="宋体" w:cs="Times New Roman"/>
                <w:szCs w:val="21"/>
              </w:rPr>
            </w:pPr>
          </w:p>
        </w:tc>
        <w:tc>
          <w:tcPr>
            <w:tcW w:w="8093" w:type="dxa"/>
            <w:gridSpan w:val="5"/>
            <w:vAlign w:val="center"/>
          </w:tcPr>
          <w:p w14:paraId="16D58A2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1920D926">
            <w:pPr>
              <w:jc w:val="left"/>
              <w:rPr>
                <w:rFonts w:hint="eastAsia" w:ascii="宋体" w:hAnsi="宋体" w:eastAsia="宋体" w:cs="Times New Roman"/>
                <w:szCs w:val="21"/>
              </w:rPr>
            </w:pPr>
            <w:r>
              <w:rPr>
                <w:rFonts w:hint="eastAsia" w:ascii="宋体" w:hAnsi="宋体" w:eastAsia="宋体" w:cs="Times New Roman"/>
                <w:szCs w:val="21"/>
              </w:rPr>
              <w:t>能够辩证地理解课程的社会本质，理解课程在现代社会的重要价值，增进教师和学生对于课程的适应性，积极迎接新课程。</w:t>
            </w:r>
          </w:p>
        </w:tc>
      </w:tr>
      <w:bookmarkEnd w:id="797"/>
      <w:tr w14:paraId="5D82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186A282">
            <w:pPr>
              <w:jc w:val="center"/>
              <w:rPr>
                <w:rFonts w:hint="eastAsia" w:ascii="宋体" w:hAnsi="宋体" w:eastAsia="宋体" w:cs="Times New Roman"/>
                <w:szCs w:val="21"/>
              </w:rPr>
            </w:pPr>
            <w:r>
              <w:rPr>
                <w:rFonts w:hint="eastAsia" w:ascii="宋体" w:hAnsi="宋体" w:eastAsia="宋体" w:cs="Times New Roman"/>
                <w:szCs w:val="21"/>
              </w:rPr>
              <w:t>第十章</w:t>
            </w:r>
          </w:p>
          <w:p w14:paraId="751508C6">
            <w:pPr>
              <w:jc w:val="center"/>
              <w:rPr>
                <w:rFonts w:hint="eastAsia" w:ascii="宋体" w:hAnsi="宋体" w:eastAsia="宋体" w:cs="Times New Roman"/>
                <w:szCs w:val="21"/>
              </w:rPr>
            </w:pPr>
            <w:r>
              <w:rPr>
                <w:rFonts w:hint="eastAsia" w:ascii="宋体" w:hAnsi="宋体" w:eastAsia="宋体" w:cs="Times New Roman"/>
                <w:szCs w:val="21"/>
              </w:rPr>
              <w:t>教学的社会学分析</w:t>
            </w:r>
          </w:p>
        </w:tc>
        <w:tc>
          <w:tcPr>
            <w:tcW w:w="2435" w:type="dxa"/>
            <w:vAlign w:val="center"/>
          </w:tcPr>
          <w:p w14:paraId="42FE92EF">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1.教学的职业地位与影响因素；</w:t>
            </w:r>
          </w:p>
          <w:p w14:paraId="3B57B02B">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2.教学中教师角色，包括教师权威和教师专业化、教师压力与职业倦怠等；</w:t>
            </w:r>
          </w:p>
          <w:p w14:paraId="2E0E3731">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3.教学中的学生角色；</w:t>
            </w:r>
          </w:p>
          <w:p w14:paraId="726816E8">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4.影响教学效果的社会因素。</w:t>
            </w:r>
          </w:p>
        </w:tc>
        <w:tc>
          <w:tcPr>
            <w:tcW w:w="1178" w:type="dxa"/>
            <w:vAlign w:val="center"/>
          </w:tcPr>
          <w:p w14:paraId="1E43C6C2">
            <w:pPr>
              <w:jc w:val="center"/>
              <w:rPr>
                <w:rFonts w:hint="eastAsia" w:ascii="宋体" w:hAnsi="宋体" w:eastAsia="宋体" w:cs="Times New Roman"/>
                <w:szCs w:val="21"/>
              </w:rPr>
            </w:pPr>
            <w:r>
              <w:rPr>
                <w:rFonts w:hint="eastAsia" w:ascii="宋体" w:hAnsi="宋体" w:eastAsia="宋体" w:cs="Times New Roman"/>
                <w:szCs w:val="21"/>
              </w:rPr>
              <w:t>课程目标6</w:t>
            </w:r>
          </w:p>
        </w:tc>
        <w:tc>
          <w:tcPr>
            <w:tcW w:w="2955" w:type="dxa"/>
            <w:vAlign w:val="center"/>
          </w:tcPr>
          <w:p w14:paraId="292CB959">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1.了解教学的职业地位与影响因素；</w:t>
            </w:r>
          </w:p>
          <w:p w14:paraId="33CF6001">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2.理解教学中教师角色，包括教师权威和教师专业化、教师压力与职业倦怠等；</w:t>
            </w:r>
          </w:p>
          <w:p w14:paraId="35A2C395">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3.理解教学中的学生角色；</w:t>
            </w:r>
          </w:p>
          <w:p w14:paraId="4035EDF7">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4.掌握影响教学效果的社会因素。</w:t>
            </w:r>
          </w:p>
          <w:p w14:paraId="6FF6F777">
            <w:pPr>
              <w:widowControl/>
              <w:adjustRightInd w:val="0"/>
              <w:snapToGrid w:val="0"/>
              <w:jc w:val="left"/>
              <w:rPr>
                <w:rFonts w:hint="eastAsia" w:ascii="宋体" w:hAnsi="宋体" w:eastAsia="宋体" w:cs="Times New Roman"/>
                <w:szCs w:val="21"/>
              </w:rPr>
            </w:pPr>
          </w:p>
        </w:tc>
        <w:tc>
          <w:tcPr>
            <w:tcW w:w="1087" w:type="dxa"/>
            <w:vAlign w:val="center"/>
          </w:tcPr>
          <w:p w14:paraId="70808F28">
            <w:pPr>
              <w:jc w:val="left"/>
              <w:rPr>
                <w:rFonts w:hint="eastAsia" w:ascii="宋体" w:hAnsi="宋体" w:eastAsia="宋体" w:cs="Times New Roman"/>
                <w:szCs w:val="21"/>
              </w:rPr>
            </w:pPr>
            <w:r>
              <w:rPr>
                <w:rFonts w:hint="eastAsia" w:ascii="宋体" w:hAnsi="宋体" w:eastAsia="宋体" w:cs="Times New Roman"/>
                <w:szCs w:val="21"/>
              </w:rPr>
              <w:t>案例分析</w:t>
            </w:r>
          </w:p>
          <w:p w14:paraId="0F00E659">
            <w:pPr>
              <w:jc w:val="left"/>
              <w:rPr>
                <w:rFonts w:hint="eastAsia" w:ascii="宋体" w:hAnsi="宋体" w:eastAsia="宋体" w:cs="Times New Roman"/>
                <w:szCs w:val="21"/>
              </w:rPr>
            </w:pPr>
            <w:r>
              <w:rPr>
                <w:rFonts w:hint="eastAsia" w:ascii="宋体" w:hAnsi="宋体" w:eastAsia="宋体" w:cs="Times New Roman"/>
                <w:szCs w:val="21"/>
              </w:rPr>
              <w:t>课堂交流</w:t>
            </w:r>
          </w:p>
        </w:tc>
        <w:tc>
          <w:tcPr>
            <w:tcW w:w="438" w:type="dxa"/>
            <w:vAlign w:val="center"/>
          </w:tcPr>
          <w:p w14:paraId="30919EB4">
            <w:pPr>
              <w:jc w:val="center"/>
              <w:rPr>
                <w:rFonts w:hint="eastAsia" w:ascii="宋体" w:hAnsi="宋体" w:eastAsia="宋体" w:cs="Times New Roman"/>
                <w:szCs w:val="21"/>
              </w:rPr>
            </w:pPr>
            <w:r>
              <w:rPr>
                <w:rFonts w:hint="eastAsia" w:ascii="宋体" w:hAnsi="宋体" w:eastAsia="宋体" w:cs="Times New Roman"/>
                <w:szCs w:val="21"/>
              </w:rPr>
              <w:t>2</w:t>
            </w:r>
          </w:p>
        </w:tc>
      </w:tr>
      <w:tr w14:paraId="0213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4F79F57">
            <w:pPr>
              <w:jc w:val="center"/>
              <w:rPr>
                <w:rFonts w:hint="eastAsia" w:ascii="宋体" w:hAnsi="宋体" w:eastAsia="宋体" w:cs="Times New Roman"/>
                <w:szCs w:val="21"/>
              </w:rPr>
            </w:pPr>
          </w:p>
        </w:tc>
        <w:tc>
          <w:tcPr>
            <w:tcW w:w="8093" w:type="dxa"/>
            <w:gridSpan w:val="5"/>
            <w:vAlign w:val="center"/>
          </w:tcPr>
          <w:p w14:paraId="0AA8BD4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0672EDA5">
            <w:pPr>
              <w:jc w:val="left"/>
              <w:rPr>
                <w:rFonts w:hint="eastAsia" w:ascii="宋体" w:hAnsi="宋体" w:eastAsia="宋体" w:cs="Times New Roman"/>
                <w:szCs w:val="21"/>
              </w:rPr>
            </w:pPr>
            <w:r>
              <w:rPr>
                <w:rFonts w:hint="eastAsia" w:ascii="宋体" w:hAnsi="宋体" w:eastAsia="宋体" w:cs="Times New Roman"/>
                <w:szCs w:val="21"/>
              </w:rPr>
              <w:t>努力提升</w:t>
            </w:r>
            <w:r>
              <w:rPr>
                <w:rFonts w:ascii="宋体" w:hAnsi="宋体" w:eastAsia="宋体" w:cs="Times New Roman"/>
                <w:szCs w:val="21"/>
              </w:rPr>
              <w:t>作为学生个体社会化承担者的</w:t>
            </w:r>
            <w:r>
              <w:rPr>
                <w:rFonts w:hint="eastAsia" w:ascii="宋体" w:hAnsi="宋体" w:eastAsia="宋体" w:cs="Times New Roman"/>
                <w:szCs w:val="21"/>
              </w:rPr>
              <w:t>专业</w:t>
            </w:r>
            <w:r>
              <w:rPr>
                <w:rFonts w:ascii="宋体" w:hAnsi="宋体" w:eastAsia="宋体" w:cs="Times New Roman"/>
                <w:szCs w:val="21"/>
              </w:rPr>
              <w:t>素质</w:t>
            </w:r>
            <w:r>
              <w:rPr>
                <w:rFonts w:hint="eastAsia" w:ascii="宋体" w:hAnsi="宋体" w:eastAsia="宋体" w:cs="Times New Roman"/>
                <w:szCs w:val="21"/>
              </w:rPr>
              <w:t>；增强教师的权能、提高待遇和尊重，减轻教师非教学负担，努力形成优秀人才争相从教、教师人人尽展其才、好老师不断涌现的良好局面。</w:t>
            </w:r>
          </w:p>
        </w:tc>
      </w:tr>
    </w:tbl>
    <w:p w14:paraId="436319AC">
      <w:pPr>
        <w:spacing w:before="62" w:beforeLines="20" w:after="62" w:afterLines="20" w:line="360" w:lineRule="auto"/>
        <w:jc w:val="left"/>
        <w:rPr>
          <w:rFonts w:ascii="Times New Roman" w:hAnsi="Times New Roman" w:eastAsia="宋体" w:cs="Times New Roman"/>
          <w:b/>
          <w:sz w:val="24"/>
        </w:rPr>
      </w:pPr>
      <w:bookmarkStart w:id="798" w:name="_Toc24886"/>
      <w:bookmarkStart w:id="799" w:name="_Toc32342"/>
      <w:bookmarkStart w:id="800" w:name="_Toc5028"/>
      <w:bookmarkStart w:id="801" w:name="_Toc21567"/>
      <w:bookmarkStart w:id="802" w:name="_Toc20600"/>
      <w:bookmarkStart w:id="803" w:name="_Toc14303"/>
      <w:bookmarkStart w:id="804" w:name="_Toc13807"/>
      <w:r>
        <w:rPr>
          <w:rFonts w:hint="eastAsia" w:ascii="Times New Roman" w:hAnsi="Times New Roman" w:eastAsia="宋体" w:cs="Times New Roman"/>
          <w:b/>
          <w:sz w:val="24"/>
        </w:rPr>
        <w:t>四、目标评价与成绩评定</w:t>
      </w:r>
      <w:bookmarkEnd w:id="798"/>
      <w:bookmarkEnd w:id="799"/>
      <w:bookmarkEnd w:id="800"/>
      <w:bookmarkEnd w:id="801"/>
      <w:bookmarkEnd w:id="802"/>
      <w:bookmarkEnd w:id="803"/>
      <w:bookmarkEnd w:id="804"/>
    </w:p>
    <w:p w14:paraId="4BDCA750">
      <w:pPr>
        <w:spacing w:line="360" w:lineRule="auto"/>
        <w:ind w:firstLine="422" w:firstLineChars="200"/>
        <w:jc w:val="left"/>
        <w:outlineLvl w:val="1"/>
        <w:rPr>
          <w:rFonts w:ascii="Times New Roman" w:hAnsi="Times New Roman" w:eastAsia="宋体" w:cs="Times New Roman"/>
          <w:b/>
          <w:szCs w:val="21"/>
        </w:rPr>
      </w:pPr>
      <w:bookmarkStart w:id="805" w:name="_Toc6296"/>
      <w:r>
        <w:rPr>
          <w:rFonts w:hint="eastAsia" w:ascii="Times New Roman" w:hAnsi="Times New Roman" w:eastAsia="宋体" w:cs="Times New Roman"/>
          <w:b/>
          <w:szCs w:val="21"/>
        </w:rPr>
        <w:t>（一）课程目标评价方式</w:t>
      </w:r>
      <w:bookmarkEnd w:id="805"/>
    </w:p>
    <w:p w14:paraId="6B0B920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842"/>
        <w:gridCol w:w="2207"/>
        <w:gridCol w:w="2360"/>
        <w:gridCol w:w="720"/>
      </w:tblGrid>
      <w:tr w14:paraId="7DB8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5ED50C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3"/>
            <w:vAlign w:val="center"/>
          </w:tcPr>
          <w:p w14:paraId="6C4104CF">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720" w:type="dxa"/>
            <w:vMerge w:val="restart"/>
            <w:vAlign w:val="center"/>
          </w:tcPr>
          <w:p w14:paraId="15627895">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11F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D995CF3">
            <w:pPr>
              <w:spacing w:line="360" w:lineRule="auto"/>
              <w:jc w:val="center"/>
              <w:rPr>
                <w:rFonts w:hint="eastAsia" w:ascii="宋体" w:hAnsi="宋体" w:eastAsia="宋体" w:cs="Times New Roman"/>
                <w:szCs w:val="21"/>
              </w:rPr>
            </w:pPr>
          </w:p>
        </w:tc>
        <w:tc>
          <w:tcPr>
            <w:tcW w:w="1842" w:type="dxa"/>
            <w:vAlign w:val="center"/>
          </w:tcPr>
          <w:p w14:paraId="6F8FA087">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2207" w:type="dxa"/>
            <w:vAlign w:val="center"/>
          </w:tcPr>
          <w:p w14:paraId="740E5B78">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2360" w:type="dxa"/>
            <w:vAlign w:val="center"/>
          </w:tcPr>
          <w:p w14:paraId="65D7F152">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720" w:type="dxa"/>
            <w:vMerge w:val="continue"/>
            <w:vAlign w:val="center"/>
          </w:tcPr>
          <w:p w14:paraId="2851B1D4">
            <w:pPr>
              <w:spacing w:line="360" w:lineRule="auto"/>
              <w:jc w:val="center"/>
              <w:rPr>
                <w:rFonts w:hint="eastAsia" w:ascii="宋体" w:hAnsi="宋体" w:eastAsia="宋体" w:cs="Times New Roman"/>
                <w:szCs w:val="21"/>
              </w:rPr>
            </w:pPr>
          </w:p>
        </w:tc>
      </w:tr>
      <w:tr w14:paraId="28A0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E4B68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42" w:type="dxa"/>
            <w:vAlign w:val="center"/>
          </w:tcPr>
          <w:p w14:paraId="473B79FD">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4FC3BF0B">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2384E48F">
            <w:pPr>
              <w:spacing w:line="360" w:lineRule="auto"/>
              <w:jc w:val="center"/>
              <w:rPr>
                <w:rFonts w:hint="eastAsia" w:ascii="宋体" w:hAnsi="宋体" w:eastAsia="宋体" w:cs="Times New Roman"/>
                <w:szCs w:val="21"/>
              </w:rPr>
            </w:pPr>
          </w:p>
        </w:tc>
        <w:tc>
          <w:tcPr>
            <w:tcW w:w="720" w:type="dxa"/>
            <w:vAlign w:val="center"/>
          </w:tcPr>
          <w:p w14:paraId="3C411A71">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5AC0A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33A0E7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842" w:type="dxa"/>
            <w:vAlign w:val="center"/>
          </w:tcPr>
          <w:p w14:paraId="0548F2E6">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5A9B1FF8">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0C2652B3">
            <w:pPr>
              <w:spacing w:line="360" w:lineRule="auto"/>
              <w:jc w:val="center"/>
              <w:rPr>
                <w:rFonts w:hint="eastAsia" w:ascii="宋体" w:hAnsi="宋体" w:eastAsia="宋体" w:cs="Times New Roman"/>
                <w:szCs w:val="21"/>
              </w:rPr>
            </w:pPr>
          </w:p>
        </w:tc>
        <w:tc>
          <w:tcPr>
            <w:tcW w:w="720" w:type="dxa"/>
            <w:vAlign w:val="center"/>
          </w:tcPr>
          <w:p w14:paraId="353F5C31">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6906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B21861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842" w:type="dxa"/>
            <w:vAlign w:val="center"/>
          </w:tcPr>
          <w:p w14:paraId="402275C0">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050C2C95">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3F16FDD6">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720" w:type="dxa"/>
            <w:vAlign w:val="center"/>
          </w:tcPr>
          <w:p w14:paraId="7014CCF0">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2</w:t>
            </w:r>
            <w:r>
              <w:rPr>
                <w:rFonts w:ascii="宋体" w:hAnsi="宋体" w:eastAsia="宋体" w:cs="Times New Roman"/>
                <w:kern w:val="0"/>
                <w:szCs w:val="21"/>
              </w:rPr>
              <w:t>0</w:t>
            </w:r>
          </w:p>
        </w:tc>
      </w:tr>
      <w:tr w14:paraId="3880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dxa"/>
            <w:vAlign w:val="center"/>
          </w:tcPr>
          <w:p w14:paraId="4B3E4604">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4</w:t>
            </w:r>
          </w:p>
        </w:tc>
        <w:tc>
          <w:tcPr>
            <w:tcW w:w="1842" w:type="dxa"/>
            <w:vAlign w:val="center"/>
          </w:tcPr>
          <w:p w14:paraId="2F10D5D4">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33E7FFB5">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6649867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720" w:type="dxa"/>
            <w:vAlign w:val="center"/>
          </w:tcPr>
          <w:p w14:paraId="2DB94B0B">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25</w:t>
            </w:r>
          </w:p>
        </w:tc>
      </w:tr>
      <w:tr w14:paraId="2441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dxa"/>
            <w:vAlign w:val="center"/>
          </w:tcPr>
          <w:p w14:paraId="3C4B9EC1">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5</w:t>
            </w:r>
          </w:p>
        </w:tc>
        <w:tc>
          <w:tcPr>
            <w:tcW w:w="1842" w:type="dxa"/>
            <w:vAlign w:val="center"/>
          </w:tcPr>
          <w:p w14:paraId="3C1620F0">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37FA7453">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1E4D6587">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720" w:type="dxa"/>
            <w:vAlign w:val="center"/>
          </w:tcPr>
          <w:p w14:paraId="1A3CA990">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25</w:t>
            </w:r>
          </w:p>
        </w:tc>
      </w:tr>
      <w:tr w14:paraId="0FD7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dxa"/>
            <w:vAlign w:val="center"/>
          </w:tcPr>
          <w:p w14:paraId="07496AA7">
            <w:pPr>
              <w:adjustRightInd w:val="0"/>
              <w:snapToGrid w:val="0"/>
              <w:spacing w:line="276" w:lineRule="auto"/>
              <w:jc w:val="center"/>
              <w:rPr>
                <w:rFonts w:hint="eastAsia" w:ascii="宋体" w:hAnsi="宋体" w:eastAsia="宋体" w:cs="Times New Roman"/>
                <w:szCs w:val="21"/>
              </w:rPr>
            </w:pPr>
            <w:r>
              <w:rPr>
                <w:rFonts w:hint="eastAsia" w:ascii="宋体" w:hAnsi="宋体" w:eastAsia="宋体" w:cs="Times New Roman"/>
                <w:kern w:val="0"/>
                <w:szCs w:val="21"/>
              </w:rPr>
              <w:t>课程目标</w:t>
            </w:r>
            <w:r>
              <w:rPr>
                <w:rFonts w:ascii="宋体" w:hAnsi="宋体" w:eastAsia="宋体" w:cs="Times New Roman"/>
                <w:kern w:val="0"/>
                <w:szCs w:val="21"/>
              </w:rPr>
              <w:t>6</w:t>
            </w:r>
          </w:p>
        </w:tc>
        <w:tc>
          <w:tcPr>
            <w:tcW w:w="1842" w:type="dxa"/>
            <w:vAlign w:val="center"/>
          </w:tcPr>
          <w:p w14:paraId="268D3C5F">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207" w:type="dxa"/>
            <w:vAlign w:val="center"/>
          </w:tcPr>
          <w:p w14:paraId="1351C8BA">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2360" w:type="dxa"/>
            <w:vAlign w:val="center"/>
          </w:tcPr>
          <w:p w14:paraId="438E5499">
            <w:pPr>
              <w:spacing w:line="360" w:lineRule="auto"/>
              <w:jc w:val="center"/>
              <w:rPr>
                <w:rFonts w:hint="eastAsia" w:ascii="宋体" w:hAnsi="宋体" w:eastAsia="宋体" w:cs="Times New Roman"/>
                <w:szCs w:val="21"/>
              </w:rPr>
            </w:pPr>
          </w:p>
        </w:tc>
        <w:tc>
          <w:tcPr>
            <w:tcW w:w="720" w:type="dxa"/>
            <w:vAlign w:val="center"/>
          </w:tcPr>
          <w:p w14:paraId="465040EE">
            <w:pPr>
              <w:adjustRightInd w:val="0"/>
              <w:snapToGrid w:val="0"/>
              <w:spacing w:line="276" w:lineRule="auto"/>
              <w:jc w:val="center"/>
              <w:rPr>
                <w:rFonts w:hint="eastAsia" w:ascii="宋体" w:hAnsi="宋体" w:eastAsia="宋体" w:cs="Times New Roman"/>
                <w:szCs w:val="21"/>
              </w:rPr>
            </w:pPr>
            <w:r>
              <w:rPr>
                <w:rFonts w:ascii="宋体" w:hAnsi="宋体" w:eastAsia="宋体" w:cs="Times New Roman"/>
                <w:kern w:val="0"/>
                <w:szCs w:val="21"/>
              </w:rPr>
              <w:t>10</w:t>
            </w:r>
          </w:p>
        </w:tc>
      </w:tr>
      <w:tr w14:paraId="5B3F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5A097FA">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842" w:type="dxa"/>
            <w:vAlign w:val="center"/>
          </w:tcPr>
          <w:p w14:paraId="5CF33852">
            <w:pPr>
              <w:spacing w:line="360" w:lineRule="auto"/>
              <w:jc w:val="center"/>
              <w:rPr>
                <w:rFonts w:hint="eastAsia" w:ascii="宋体" w:hAnsi="宋体" w:eastAsia="宋体" w:cs="Times New Roman"/>
                <w:szCs w:val="21"/>
              </w:rPr>
            </w:pPr>
          </w:p>
        </w:tc>
        <w:tc>
          <w:tcPr>
            <w:tcW w:w="2207" w:type="dxa"/>
            <w:vAlign w:val="center"/>
          </w:tcPr>
          <w:p w14:paraId="79C48E35">
            <w:pPr>
              <w:spacing w:line="360" w:lineRule="auto"/>
              <w:jc w:val="center"/>
              <w:rPr>
                <w:rFonts w:hint="eastAsia" w:ascii="宋体" w:hAnsi="宋体" w:eastAsia="宋体" w:cs="Times New Roman"/>
                <w:szCs w:val="21"/>
              </w:rPr>
            </w:pPr>
          </w:p>
        </w:tc>
        <w:tc>
          <w:tcPr>
            <w:tcW w:w="2360" w:type="dxa"/>
            <w:vAlign w:val="center"/>
          </w:tcPr>
          <w:p w14:paraId="04908117">
            <w:pPr>
              <w:spacing w:line="360" w:lineRule="auto"/>
              <w:jc w:val="center"/>
              <w:rPr>
                <w:rFonts w:hint="eastAsia" w:ascii="宋体" w:hAnsi="宋体" w:eastAsia="宋体" w:cs="Times New Roman"/>
                <w:szCs w:val="21"/>
              </w:rPr>
            </w:pPr>
          </w:p>
        </w:tc>
        <w:tc>
          <w:tcPr>
            <w:tcW w:w="720" w:type="dxa"/>
            <w:vAlign w:val="center"/>
          </w:tcPr>
          <w:p w14:paraId="36B51052">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C787B6F">
      <w:pPr>
        <w:spacing w:before="156" w:beforeLines="50" w:line="360" w:lineRule="auto"/>
        <w:ind w:firstLine="422" w:firstLineChars="200"/>
        <w:jc w:val="left"/>
        <w:outlineLvl w:val="1"/>
        <w:rPr>
          <w:rFonts w:ascii="Times New Roman" w:hAnsi="Times New Roman" w:eastAsia="宋体" w:cs="Times New Roman"/>
          <w:b/>
          <w:szCs w:val="21"/>
        </w:rPr>
      </w:pPr>
      <w:bookmarkStart w:id="806" w:name="_Toc14467"/>
      <w:r>
        <w:rPr>
          <w:rFonts w:hint="eastAsia" w:ascii="Times New Roman" w:hAnsi="Times New Roman" w:eastAsia="宋体" w:cs="Times New Roman"/>
          <w:b/>
          <w:szCs w:val="21"/>
        </w:rPr>
        <w:t>（二）成绩评定细则</w:t>
      </w:r>
      <w:bookmarkEnd w:id="806"/>
    </w:p>
    <w:p w14:paraId="7524164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6585"/>
        <w:gridCol w:w="638"/>
      </w:tblGrid>
      <w:tr w14:paraId="6F75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Align w:val="center"/>
          </w:tcPr>
          <w:p w14:paraId="0476C00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585" w:type="dxa"/>
            <w:vAlign w:val="center"/>
          </w:tcPr>
          <w:p w14:paraId="5AB10B6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tcBorders>
              <w:bottom w:val="single" w:color="auto" w:sz="4" w:space="0"/>
            </w:tcBorders>
            <w:vAlign w:val="center"/>
          </w:tcPr>
          <w:p w14:paraId="55105AB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3A8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Align w:val="center"/>
          </w:tcPr>
          <w:p w14:paraId="7BF02831">
            <w:pPr>
              <w:spacing w:line="400" w:lineRule="exact"/>
              <w:rPr>
                <w:rFonts w:hint="eastAsia" w:ascii="宋体" w:hAnsi="宋体" w:eastAsia="宋体" w:cs="Times New Roman"/>
                <w:szCs w:val="21"/>
              </w:rPr>
            </w:pPr>
            <w:r>
              <w:rPr>
                <w:rFonts w:hint="eastAsia" w:ascii="宋体" w:hAnsi="宋体" w:eastAsia="宋体" w:cs="Times New Roman"/>
                <w:szCs w:val="21"/>
              </w:rPr>
              <w:t>课堂考勤</w:t>
            </w:r>
          </w:p>
        </w:tc>
        <w:tc>
          <w:tcPr>
            <w:tcW w:w="6585" w:type="dxa"/>
            <w:tcBorders>
              <w:right w:val="single" w:color="auto" w:sz="4" w:space="0"/>
            </w:tcBorders>
            <w:vAlign w:val="center"/>
          </w:tcPr>
          <w:p w14:paraId="4742CB9F">
            <w:pPr>
              <w:widowControl/>
              <w:adjustRightInd w:val="0"/>
              <w:snapToGrid w:val="0"/>
              <w:spacing w:line="400" w:lineRule="exact"/>
              <w:jc w:val="left"/>
              <w:rPr>
                <w:rFonts w:hint="eastAsia" w:ascii="宋体" w:hAnsi="宋体" w:eastAsia="宋体" w:cs="宋体"/>
                <w:kern w:val="0"/>
                <w:szCs w:val="21"/>
              </w:rPr>
            </w:pPr>
            <w:r>
              <w:rPr>
                <w:rFonts w:hint="eastAsia" w:ascii="宋体" w:hAnsi="宋体" w:eastAsia="宋体" w:cs="宋体"/>
                <w:kern w:val="0"/>
                <w:szCs w:val="21"/>
              </w:rPr>
              <w:t>病假和事假一次扣</w:t>
            </w:r>
            <w:r>
              <w:rPr>
                <w:rFonts w:ascii="宋体" w:hAnsi="宋体" w:eastAsia="宋体" w:cs="宋体"/>
                <w:kern w:val="0"/>
                <w:szCs w:val="21"/>
              </w:rPr>
              <w:t>3</w:t>
            </w:r>
            <w:r>
              <w:rPr>
                <w:rFonts w:hint="eastAsia" w:ascii="宋体" w:hAnsi="宋体" w:eastAsia="宋体" w:cs="宋体"/>
                <w:kern w:val="0"/>
                <w:szCs w:val="21"/>
              </w:rPr>
              <w:t>分，无故缺席一次扣</w:t>
            </w:r>
            <w:r>
              <w:rPr>
                <w:rFonts w:ascii="宋体" w:hAnsi="宋体" w:eastAsia="宋体" w:cs="宋体"/>
                <w:kern w:val="0"/>
                <w:szCs w:val="21"/>
              </w:rPr>
              <w:t>5</w:t>
            </w:r>
            <w:r>
              <w:rPr>
                <w:rFonts w:hint="eastAsia" w:ascii="宋体" w:hAnsi="宋体" w:eastAsia="宋体" w:cs="宋体"/>
                <w:kern w:val="0"/>
                <w:szCs w:val="21"/>
              </w:rPr>
              <w:t>分，无辜缺席累计达</w:t>
            </w:r>
            <w:r>
              <w:rPr>
                <w:rFonts w:ascii="宋体" w:hAnsi="宋体" w:eastAsia="宋体" w:cs="宋体"/>
                <w:kern w:val="0"/>
                <w:szCs w:val="21"/>
              </w:rPr>
              <w:t>3</w:t>
            </w:r>
            <w:r>
              <w:rPr>
                <w:rFonts w:hint="eastAsia" w:ascii="宋体" w:hAnsi="宋体" w:eastAsia="宋体" w:cs="宋体"/>
                <w:kern w:val="0"/>
                <w:szCs w:val="21"/>
              </w:rPr>
              <w:t>次以上</w:t>
            </w:r>
            <w:r>
              <w:rPr>
                <w:rFonts w:ascii="宋体" w:hAnsi="宋体" w:eastAsia="宋体" w:cs="宋体"/>
                <w:kern w:val="0"/>
                <w:szCs w:val="21"/>
              </w:rPr>
              <w:t>(</w:t>
            </w:r>
            <w:r>
              <w:rPr>
                <w:rFonts w:hint="eastAsia" w:ascii="宋体" w:hAnsi="宋体" w:eastAsia="宋体" w:cs="宋体"/>
                <w:kern w:val="0"/>
                <w:szCs w:val="21"/>
              </w:rPr>
              <w:t>不含</w:t>
            </w:r>
            <w:r>
              <w:rPr>
                <w:rFonts w:ascii="宋体" w:hAnsi="宋体" w:eastAsia="宋体" w:cs="宋体"/>
                <w:kern w:val="0"/>
                <w:szCs w:val="21"/>
              </w:rPr>
              <w:t>3</w:t>
            </w:r>
            <w:r>
              <w:rPr>
                <w:rFonts w:hint="eastAsia" w:ascii="宋体" w:hAnsi="宋体" w:eastAsia="宋体" w:cs="宋体"/>
                <w:kern w:val="0"/>
                <w:szCs w:val="21"/>
              </w:rPr>
              <w:t>次</w:t>
            </w:r>
            <w:r>
              <w:rPr>
                <w:rFonts w:ascii="宋体" w:hAnsi="宋体" w:eastAsia="宋体" w:cs="宋体"/>
                <w:kern w:val="0"/>
                <w:szCs w:val="21"/>
              </w:rPr>
              <w:t>)</w:t>
            </w:r>
            <w:r>
              <w:rPr>
                <w:rFonts w:hint="eastAsia" w:ascii="宋体" w:hAnsi="宋体" w:eastAsia="宋体" w:cs="宋体"/>
                <w:kern w:val="0"/>
                <w:szCs w:val="21"/>
              </w:rPr>
              <w:t>取消课程成绩。</w:t>
            </w:r>
          </w:p>
        </w:tc>
        <w:tc>
          <w:tcPr>
            <w:tcW w:w="0" w:type="auto"/>
            <w:tcBorders>
              <w:left w:val="single" w:color="auto" w:sz="4" w:space="0"/>
              <w:bottom w:val="single" w:color="auto" w:sz="4" w:space="0"/>
              <w:right w:val="single" w:color="auto" w:sz="4" w:space="0"/>
            </w:tcBorders>
            <w:shd w:val="clear" w:color="auto" w:fill="FFFFFF"/>
            <w:vAlign w:val="center"/>
          </w:tcPr>
          <w:p w14:paraId="688A7B49">
            <w:pPr>
              <w:spacing w:line="400" w:lineRule="exact"/>
              <w:jc w:val="center"/>
              <w:rPr>
                <w:rFonts w:hint="eastAsia" w:ascii="宋体" w:hAnsi="宋体" w:eastAsia="宋体" w:cs="Times New Roman"/>
                <w:szCs w:val="21"/>
              </w:rPr>
            </w:pPr>
            <w:r>
              <w:rPr>
                <w:rFonts w:hint="eastAsia" w:ascii="宋体" w:hAnsi="宋体" w:eastAsia="宋体" w:cs="Times New Roman"/>
                <w:szCs w:val="21"/>
              </w:rPr>
              <w:t>10%</w:t>
            </w:r>
          </w:p>
        </w:tc>
      </w:tr>
      <w:tr w14:paraId="263AD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Align w:val="center"/>
          </w:tcPr>
          <w:p w14:paraId="1380965C">
            <w:pPr>
              <w:spacing w:line="400" w:lineRule="exact"/>
              <w:rPr>
                <w:rFonts w:hint="eastAsia" w:ascii="宋体" w:hAnsi="宋体" w:eastAsia="宋体" w:cs="Times New Roman"/>
              </w:rPr>
            </w:pPr>
            <w:r>
              <w:rPr>
                <w:rFonts w:hint="eastAsia" w:ascii="宋体" w:hAnsi="宋体" w:eastAsia="宋体" w:cs="宋体"/>
                <w:kern w:val="0"/>
                <w:szCs w:val="21"/>
              </w:rPr>
              <w:t>课堂表现</w:t>
            </w:r>
          </w:p>
        </w:tc>
        <w:tc>
          <w:tcPr>
            <w:tcW w:w="6585" w:type="dxa"/>
            <w:tcBorders>
              <w:right w:val="single" w:color="auto" w:sz="4" w:space="0"/>
            </w:tcBorders>
            <w:vAlign w:val="center"/>
          </w:tcPr>
          <w:p w14:paraId="4715125A">
            <w:pPr>
              <w:widowControl/>
              <w:adjustRightInd w:val="0"/>
              <w:snapToGrid w:val="0"/>
              <w:spacing w:line="400" w:lineRule="exact"/>
              <w:jc w:val="left"/>
              <w:rPr>
                <w:rFonts w:hint="eastAsia" w:ascii="宋体" w:hAnsi="宋体" w:eastAsia="宋体" w:cs="宋体"/>
                <w:kern w:val="0"/>
                <w:szCs w:val="21"/>
              </w:rPr>
            </w:pPr>
            <w:r>
              <w:rPr>
                <w:rFonts w:hint="eastAsia" w:ascii="宋体" w:hAnsi="宋体" w:eastAsia="宋体" w:cs="宋体"/>
                <w:kern w:val="0"/>
                <w:szCs w:val="21"/>
              </w:rPr>
              <w:t>每章组织进行</w:t>
            </w:r>
            <w:r>
              <w:rPr>
                <w:rFonts w:ascii="宋体" w:hAnsi="宋体" w:eastAsia="宋体" w:cs="宋体"/>
                <w:kern w:val="0"/>
                <w:szCs w:val="21"/>
              </w:rPr>
              <w:t>1-3</w:t>
            </w:r>
            <w:r>
              <w:rPr>
                <w:rFonts w:hint="eastAsia" w:ascii="宋体" w:hAnsi="宋体" w:eastAsia="宋体" w:cs="宋体"/>
                <w:kern w:val="0"/>
                <w:szCs w:val="21"/>
              </w:rPr>
              <w:t>次讨论，主要考核学生对知识的理解与思考情况。根据回答给出相应分数。</w:t>
            </w:r>
          </w:p>
        </w:tc>
        <w:tc>
          <w:tcPr>
            <w:tcW w:w="0" w:type="auto"/>
            <w:tcBorders>
              <w:left w:val="single" w:color="auto" w:sz="4" w:space="0"/>
              <w:bottom w:val="single" w:color="auto" w:sz="4" w:space="0"/>
              <w:right w:val="single" w:color="auto" w:sz="4" w:space="0"/>
            </w:tcBorders>
            <w:shd w:val="clear" w:color="auto" w:fill="FFFFFF"/>
            <w:vAlign w:val="center"/>
          </w:tcPr>
          <w:p w14:paraId="0E6DD2C0">
            <w:pPr>
              <w:spacing w:line="400" w:lineRule="exact"/>
              <w:jc w:val="center"/>
              <w:rPr>
                <w:rFonts w:hint="eastAsia" w:ascii="宋体" w:hAnsi="宋体" w:eastAsia="宋体" w:cs="Times New Roman"/>
                <w:szCs w:val="21"/>
              </w:rPr>
            </w:pPr>
            <w:r>
              <w:rPr>
                <w:rFonts w:hint="eastAsia" w:ascii="宋体" w:hAnsi="宋体" w:eastAsia="宋体" w:cs="Times New Roman"/>
                <w:szCs w:val="21"/>
              </w:rPr>
              <w:t>10%</w:t>
            </w:r>
          </w:p>
        </w:tc>
      </w:tr>
      <w:tr w14:paraId="4697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Align w:val="center"/>
          </w:tcPr>
          <w:p w14:paraId="3979E18F">
            <w:pPr>
              <w:spacing w:line="400" w:lineRule="exact"/>
              <w:rPr>
                <w:rFonts w:hint="eastAsia" w:ascii="宋体" w:hAnsi="宋体" w:eastAsia="宋体" w:cs="Times New Roman"/>
              </w:rPr>
            </w:pPr>
            <w:r>
              <w:rPr>
                <w:rFonts w:hint="eastAsia" w:ascii="宋体" w:hAnsi="宋体" w:eastAsia="宋体" w:cs="Times New Roman"/>
              </w:rPr>
              <w:t>平时作业</w:t>
            </w:r>
          </w:p>
        </w:tc>
        <w:tc>
          <w:tcPr>
            <w:tcW w:w="6585" w:type="dxa"/>
            <w:tcBorders>
              <w:right w:val="single" w:color="auto" w:sz="4" w:space="0"/>
            </w:tcBorders>
            <w:vAlign w:val="center"/>
          </w:tcPr>
          <w:p w14:paraId="13CF00F8">
            <w:pPr>
              <w:widowControl/>
              <w:adjustRightInd w:val="0"/>
              <w:snapToGrid w:val="0"/>
              <w:spacing w:line="400" w:lineRule="exact"/>
              <w:jc w:val="left"/>
              <w:rPr>
                <w:rFonts w:hint="eastAsia" w:ascii="宋体" w:hAnsi="宋体" w:eastAsia="宋体" w:cs="宋体"/>
                <w:kern w:val="0"/>
                <w:szCs w:val="21"/>
              </w:rPr>
            </w:pPr>
            <w:r>
              <w:rPr>
                <w:rFonts w:ascii="宋体" w:hAnsi="宋体" w:eastAsia="宋体" w:cs="Times New Roman"/>
                <w:szCs w:val="21"/>
              </w:rPr>
              <w:t>3</w:t>
            </w:r>
            <w:r>
              <w:rPr>
                <w:rFonts w:hint="eastAsia" w:ascii="宋体" w:hAnsi="宋体" w:eastAsia="宋体" w:cs="Times New Roman"/>
                <w:szCs w:val="21"/>
              </w:rPr>
              <w:t>次书面作业，主要考核学生运用社会学理论分析问题的能力。</w:t>
            </w:r>
          </w:p>
        </w:tc>
        <w:tc>
          <w:tcPr>
            <w:tcW w:w="0" w:type="auto"/>
            <w:tcBorders>
              <w:left w:val="single" w:color="auto" w:sz="4" w:space="0"/>
              <w:bottom w:val="single" w:color="auto" w:sz="4" w:space="0"/>
              <w:right w:val="single" w:color="auto" w:sz="4" w:space="0"/>
            </w:tcBorders>
            <w:shd w:val="clear" w:color="auto" w:fill="FFFFFF"/>
            <w:vAlign w:val="center"/>
          </w:tcPr>
          <w:p w14:paraId="0764F1A7">
            <w:pPr>
              <w:spacing w:line="400" w:lineRule="exact"/>
              <w:jc w:val="center"/>
              <w:rPr>
                <w:rFonts w:hint="eastAsia" w:ascii="宋体" w:hAnsi="宋体" w:eastAsia="宋体" w:cs="Times New Roman"/>
                <w:szCs w:val="21"/>
              </w:rPr>
            </w:pPr>
            <w:r>
              <w:rPr>
                <w:rFonts w:hint="eastAsia" w:ascii="宋体" w:hAnsi="宋体" w:eastAsia="宋体" w:cs="Times New Roman"/>
                <w:szCs w:val="21"/>
              </w:rPr>
              <w:t>20%</w:t>
            </w:r>
          </w:p>
        </w:tc>
      </w:tr>
      <w:tr w14:paraId="2746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Align w:val="center"/>
          </w:tcPr>
          <w:p w14:paraId="37402935">
            <w:pPr>
              <w:adjustRightInd w:val="0"/>
              <w:snapToGrid w:val="0"/>
              <w:spacing w:line="400" w:lineRule="exact"/>
              <w:jc w:val="center"/>
              <w:rPr>
                <w:rFonts w:hint="eastAsia" w:ascii="宋体" w:hAnsi="宋体" w:eastAsia="宋体" w:cs="Times New Roman"/>
              </w:rPr>
            </w:pPr>
            <w:r>
              <w:rPr>
                <w:rFonts w:hint="eastAsia" w:ascii="宋体" w:hAnsi="宋体" w:eastAsia="宋体" w:cs="Times New Roman"/>
              </w:rPr>
              <w:t>期末考试</w:t>
            </w:r>
          </w:p>
          <w:p w14:paraId="337995CB">
            <w:pPr>
              <w:spacing w:line="400" w:lineRule="exact"/>
              <w:rPr>
                <w:rFonts w:hint="eastAsia" w:ascii="宋体" w:hAnsi="宋体" w:eastAsia="宋体" w:cs="Times New Roman"/>
                <w:szCs w:val="21"/>
              </w:rPr>
            </w:pPr>
          </w:p>
        </w:tc>
        <w:tc>
          <w:tcPr>
            <w:tcW w:w="6585" w:type="dxa"/>
            <w:vAlign w:val="center"/>
          </w:tcPr>
          <w:p w14:paraId="5A7467C8">
            <w:pPr>
              <w:adjustRightInd w:val="0"/>
              <w:snapToGrid w:val="0"/>
              <w:spacing w:line="400" w:lineRule="exact"/>
              <w:rPr>
                <w:rFonts w:hint="eastAsia" w:ascii="宋体" w:hAnsi="宋体" w:eastAsia="宋体" w:cs="宋体"/>
                <w:kern w:val="0"/>
                <w:szCs w:val="21"/>
                <w:lang w:bidi="ar"/>
              </w:rPr>
            </w:pPr>
            <w:r>
              <w:rPr>
                <w:rFonts w:hint="eastAsia" w:ascii="宋体" w:hAnsi="宋体" w:eastAsia="宋体" w:cs="Times New Roman"/>
                <w:szCs w:val="21"/>
              </w:rPr>
              <w:t>试卷题型包括填空题、简答题、论述题，以卷面成绩的</w:t>
            </w:r>
            <w:r>
              <w:rPr>
                <w:rFonts w:ascii="宋体" w:hAnsi="宋体" w:eastAsia="宋体" w:cs="Times New Roman"/>
                <w:szCs w:val="21"/>
              </w:rPr>
              <w:t>60%</w:t>
            </w:r>
            <w:r>
              <w:rPr>
                <w:rFonts w:hint="eastAsia" w:ascii="宋体" w:hAnsi="宋体" w:eastAsia="宋体" w:cs="Times New Roman"/>
                <w:szCs w:val="21"/>
              </w:rPr>
              <w:t>计入课程总成绩。其中：考核基本概念知识型题目占</w:t>
            </w:r>
            <w:r>
              <w:rPr>
                <w:rFonts w:ascii="宋体" w:hAnsi="宋体" w:eastAsia="宋体" w:cs="Times New Roman"/>
                <w:szCs w:val="21"/>
              </w:rPr>
              <w:t>30%</w:t>
            </w:r>
            <w:r>
              <w:rPr>
                <w:rFonts w:hint="eastAsia" w:ascii="宋体" w:hAnsi="宋体" w:eastAsia="宋体" w:cs="Times New Roman"/>
                <w:szCs w:val="21"/>
              </w:rPr>
              <w:t>；考核基本知识理解占</w:t>
            </w:r>
            <w:r>
              <w:rPr>
                <w:rFonts w:ascii="宋体" w:hAnsi="宋体" w:eastAsia="宋体" w:cs="Times New Roman"/>
                <w:szCs w:val="21"/>
              </w:rPr>
              <w:t>30%</w:t>
            </w:r>
            <w:r>
              <w:rPr>
                <w:rFonts w:hint="eastAsia" w:ascii="宋体" w:hAnsi="宋体" w:eastAsia="宋体" w:cs="Times New Roman"/>
                <w:szCs w:val="21"/>
              </w:rPr>
              <w:t>；考核综合运用能力占</w:t>
            </w:r>
            <w:r>
              <w:rPr>
                <w:rFonts w:ascii="宋体" w:hAnsi="宋体" w:eastAsia="宋体" w:cs="Times New Roman"/>
                <w:szCs w:val="21"/>
              </w:rPr>
              <w:t>40%</w:t>
            </w:r>
            <w:r>
              <w:rPr>
                <w:rFonts w:hint="eastAsia" w:ascii="宋体" w:hAnsi="宋体" w:eastAsia="宋体" w:cs="Times New Roman"/>
                <w:szCs w:val="21"/>
              </w:rPr>
              <w:t>。</w:t>
            </w:r>
          </w:p>
        </w:tc>
        <w:tc>
          <w:tcPr>
            <w:tcW w:w="0" w:type="auto"/>
            <w:tcBorders>
              <w:top w:val="single" w:color="auto" w:sz="4" w:space="0"/>
            </w:tcBorders>
            <w:vAlign w:val="center"/>
          </w:tcPr>
          <w:p w14:paraId="3EBE5818">
            <w:pPr>
              <w:spacing w:line="400" w:lineRule="exact"/>
              <w:jc w:val="center"/>
              <w:rPr>
                <w:rFonts w:hint="eastAsia" w:ascii="宋体" w:hAnsi="宋体" w:eastAsia="宋体" w:cs="Times New Roman"/>
                <w:szCs w:val="21"/>
              </w:rPr>
            </w:pPr>
            <w:r>
              <w:rPr>
                <w:rFonts w:ascii="宋体" w:hAnsi="宋体" w:eastAsia="宋体" w:cs="Times New Roman"/>
              </w:rPr>
              <w:t>60%</w:t>
            </w:r>
          </w:p>
        </w:tc>
      </w:tr>
      <w:tr w14:paraId="19C4E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31" w:type="dxa"/>
            <w:vAlign w:val="center"/>
          </w:tcPr>
          <w:p w14:paraId="54FF6FC6">
            <w:pPr>
              <w:spacing w:line="400" w:lineRule="exact"/>
              <w:jc w:val="center"/>
              <w:rPr>
                <w:rFonts w:hint="eastAsia" w:ascii="宋体" w:hAnsi="宋体" w:eastAsia="宋体" w:cs="Times New Roman"/>
                <w:b/>
                <w:bCs/>
                <w:szCs w:val="21"/>
              </w:rPr>
            </w:pPr>
            <w:r>
              <w:rPr>
                <w:rFonts w:hint="eastAsia" w:ascii="宋体" w:hAnsi="宋体" w:eastAsia="宋体" w:cs="Times New Roman"/>
                <w:b/>
                <w:bCs/>
                <w:szCs w:val="21"/>
              </w:rPr>
              <w:t>合计</w:t>
            </w:r>
          </w:p>
        </w:tc>
        <w:tc>
          <w:tcPr>
            <w:tcW w:w="6585" w:type="dxa"/>
            <w:vAlign w:val="center"/>
          </w:tcPr>
          <w:p w14:paraId="666FDF10">
            <w:pPr>
              <w:spacing w:line="400" w:lineRule="exact"/>
              <w:jc w:val="left"/>
              <w:rPr>
                <w:rFonts w:hint="eastAsia" w:ascii="宋体" w:hAnsi="宋体" w:eastAsia="宋体" w:cs="Times New Roman"/>
                <w:szCs w:val="21"/>
              </w:rPr>
            </w:pPr>
          </w:p>
        </w:tc>
        <w:tc>
          <w:tcPr>
            <w:tcW w:w="0" w:type="auto"/>
            <w:vAlign w:val="center"/>
          </w:tcPr>
          <w:p w14:paraId="6CCD445F">
            <w:pPr>
              <w:spacing w:line="400" w:lineRule="exact"/>
              <w:jc w:val="center"/>
              <w:rPr>
                <w:rFonts w:hint="eastAsia" w:ascii="宋体" w:hAnsi="宋体" w:eastAsia="宋体" w:cs="Times New Roman"/>
                <w:szCs w:val="21"/>
              </w:rPr>
            </w:pPr>
            <w:r>
              <w:rPr>
                <w:rFonts w:hint="eastAsia" w:ascii="宋体" w:hAnsi="宋体" w:eastAsia="宋体" w:cs="Times New Roman"/>
                <w:szCs w:val="21"/>
              </w:rPr>
              <w:t>100%</w:t>
            </w:r>
          </w:p>
        </w:tc>
      </w:tr>
    </w:tbl>
    <w:p w14:paraId="331FB08E">
      <w:pPr>
        <w:spacing w:line="360" w:lineRule="auto"/>
        <w:ind w:firstLine="422" w:firstLineChars="200"/>
        <w:jc w:val="left"/>
        <w:outlineLvl w:val="1"/>
        <w:rPr>
          <w:rFonts w:hint="eastAsia" w:ascii="宋体" w:hAnsi="宋体" w:eastAsia="宋体" w:cs="Times New Roman"/>
          <w:b/>
          <w:szCs w:val="21"/>
        </w:rPr>
      </w:pPr>
      <w:bookmarkStart w:id="807" w:name="_Toc28433"/>
      <w:r>
        <w:rPr>
          <w:rFonts w:hint="eastAsia" w:ascii="宋体" w:hAnsi="宋体" w:eastAsia="宋体" w:cs="Times New Roman"/>
          <w:b/>
          <w:szCs w:val="21"/>
        </w:rPr>
        <w:t>（三）课程目标达成度计算方法</w:t>
      </w:r>
      <w:bookmarkEnd w:id="807"/>
    </w:p>
    <w:p w14:paraId="61C51565">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0D2AD6A">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48"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48" DrawAspect="Content" ObjectID="_1468075748" r:id="rId36">
            <o:LockedField>false</o:LockedField>
          </o:OLEObject>
        </w:object>
      </w:r>
      <w:bookmarkStart w:id="808" w:name="_Toc26017"/>
      <w:bookmarkStart w:id="809" w:name="_Toc23913"/>
      <w:bookmarkStart w:id="810" w:name="_Toc12521"/>
      <w:bookmarkStart w:id="811" w:name="_Toc27738"/>
      <w:bookmarkStart w:id="812" w:name="_Toc7168"/>
      <w:bookmarkStart w:id="813" w:name="_Toc8579"/>
      <w:bookmarkStart w:id="814" w:name="_Toc18440"/>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bookmarkEnd w:id="808"/>
      <w:bookmarkEnd w:id="809"/>
      <w:bookmarkEnd w:id="810"/>
      <w:bookmarkEnd w:id="811"/>
      <w:bookmarkEnd w:id="812"/>
      <w:bookmarkEnd w:id="813"/>
      <w:bookmarkEnd w:id="814"/>
    </w:p>
    <w:p w14:paraId="0D53A0AA">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653A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C47557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37A6FA3E">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1BDAFCF5">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3B271414">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0419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1212" w:type="dxa"/>
            <w:vAlign w:val="center"/>
          </w:tcPr>
          <w:p w14:paraId="7ECF4542">
            <w:pPr>
              <w:spacing w:line="276" w:lineRule="auto"/>
              <w:jc w:val="left"/>
              <w:rPr>
                <w:rFonts w:hint="eastAsia" w:ascii="宋体" w:hAnsi="宋体" w:eastAsia="宋体" w:cs="宋体"/>
                <w:szCs w:val="21"/>
              </w:rPr>
            </w:pPr>
            <w:r>
              <w:rPr>
                <w:rFonts w:hint="eastAsia" w:ascii="宋体" w:hAnsi="宋体" w:eastAsia="宋体" w:cs="宋体"/>
                <w:szCs w:val="21"/>
              </w:rPr>
              <w:t>班干部的选举方法</w:t>
            </w:r>
          </w:p>
        </w:tc>
        <w:tc>
          <w:tcPr>
            <w:tcW w:w="3407" w:type="dxa"/>
            <w:vAlign w:val="center"/>
          </w:tcPr>
          <w:p w14:paraId="70A0E418">
            <w:pPr>
              <w:spacing w:line="276" w:lineRule="auto"/>
              <w:jc w:val="left"/>
              <w:rPr>
                <w:rFonts w:hint="eastAsia" w:ascii="宋体" w:hAnsi="宋体" w:eastAsia="宋体" w:cs="宋体"/>
                <w:szCs w:val="21"/>
              </w:rPr>
            </w:pPr>
            <w:r>
              <w:rPr>
                <w:rFonts w:hint="eastAsia" w:ascii="宋体" w:hAnsi="宋体" w:eastAsia="宋体" w:cs="宋体"/>
                <w:szCs w:val="21"/>
              </w:rPr>
              <w:t>讨论班级民主管理</w:t>
            </w:r>
          </w:p>
        </w:tc>
        <w:tc>
          <w:tcPr>
            <w:tcW w:w="740" w:type="dxa"/>
            <w:vAlign w:val="center"/>
          </w:tcPr>
          <w:p w14:paraId="675B54F1">
            <w:pPr>
              <w:spacing w:line="276" w:lineRule="auto"/>
              <w:jc w:val="center"/>
              <w:rPr>
                <w:rFonts w:hint="eastAsia" w:ascii="宋体" w:hAnsi="宋体" w:eastAsia="宋体" w:cs="宋体"/>
                <w:szCs w:val="21"/>
              </w:rPr>
            </w:pPr>
            <w:r>
              <w:rPr>
                <w:rFonts w:hint="eastAsia" w:ascii="宋体" w:hAnsi="宋体" w:eastAsia="宋体" w:cs="宋体"/>
                <w:szCs w:val="21"/>
              </w:rPr>
              <w:t>班会活动</w:t>
            </w:r>
          </w:p>
        </w:tc>
        <w:tc>
          <w:tcPr>
            <w:tcW w:w="3160" w:type="dxa"/>
            <w:vAlign w:val="center"/>
          </w:tcPr>
          <w:p w14:paraId="35D694DE">
            <w:pPr>
              <w:spacing w:line="276" w:lineRule="auto"/>
              <w:jc w:val="left"/>
              <w:rPr>
                <w:rFonts w:hint="eastAsia" w:ascii="宋体" w:hAnsi="宋体" w:eastAsia="宋体" w:cs="宋体"/>
                <w:szCs w:val="21"/>
              </w:rPr>
            </w:pPr>
            <w:r>
              <w:rPr>
                <w:rFonts w:hint="eastAsia" w:ascii="宋体" w:hAnsi="宋体" w:eastAsia="宋体" w:cs="宋体"/>
                <w:szCs w:val="21"/>
              </w:rPr>
              <w:t>置身真实情景、亲身体验班级民主管理</w:t>
            </w:r>
          </w:p>
        </w:tc>
      </w:tr>
      <w:tr w14:paraId="7489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6D74E536">
            <w:pPr>
              <w:spacing w:line="276" w:lineRule="auto"/>
              <w:jc w:val="left"/>
              <w:rPr>
                <w:rFonts w:hint="eastAsia" w:ascii="宋体" w:hAnsi="宋体" w:eastAsia="宋体" w:cs="宋体"/>
                <w:szCs w:val="21"/>
              </w:rPr>
            </w:pPr>
            <w:r>
              <w:rPr>
                <w:rFonts w:hint="eastAsia" w:ascii="宋体" w:hAnsi="宋体" w:eastAsia="宋体" w:cs="宋体"/>
                <w:szCs w:val="21"/>
              </w:rPr>
              <w:t>教师工作压力观察</w:t>
            </w:r>
          </w:p>
        </w:tc>
        <w:tc>
          <w:tcPr>
            <w:tcW w:w="3407" w:type="dxa"/>
            <w:vAlign w:val="center"/>
          </w:tcPr>
          <w:p w14:paraId="388A497F">
            <w:pPr>
              <w:spacing w:line="276" w:lineRule="auto"/>
              <w:jc w:val="left"/>
              <w:rPr>
                <w:rFonts w:hint="eastAsia" w:ascii="宋体" w:hAnsi="宋体" w:eastAsia="宋体" w:cs="宋体"/>
                <w:szCs w:val="21"/>
              </w:rPr>
            </w:pPr>
            <w:r>
              <w:rPr>
                <w:rFonts w:hint="eastAsia" w:ascii="宋体" w:hAnsi="宋体" w:eastAsia="宋体" w:cs="宋体"/>
                <w:szCs w:val="21"/>
              </w:rPr>
              <w:t>利用见习等事件观察一线教师的工作压力状况及其应对</w:t>
            </w:r>
          </w:p>
        </w:tc>
        <w:tc>
          <w:tcPr>
            <w:tcW w:w="740" w:type="dxa"/>
            <w:vAlign w:val="center"/>
          </w:tcPr>
          <w:p w14:paraId="2C3250CC">
            <w:pPr>
              <w:spacing w:line="276" w:lineRule="auto"/>
              <w:jc w:val="center"/>
              <w:rPr>
                <w:rFonts w:hint="eastAsia" w:ascii="宋体" w:hAnsi="宋体" w:eastAsia="宋体" w:cs="宋体"/>
                <w:szCs w:val="21"/>
              </w:rPr>
            </w:pPr>
            <w:r>
              <w:rPr>
                <w:rFonts w:hint="eastAsia" w:ascii="宋体" w:hAnsi="宋体" w:eastAsia="宋体" w:cs="宋体"/>
                <w:szCs w:val="21"/>
              </w:rPr>
              <w:t>课外调查</w:t>
            </w:r>
          </w:p>
        </w:tc>
        <w:tc>
          <w:tcPr>
            <w:tcW w:w="3160" w:type="dxa"/>
            <w:vAlign w:val="center"/>
          </w:tcPr>
          <w:p w14:paraId="21527CC6">
            <w:pPr>
              <w:spacing w:line="276" w:lineRule="auto"/>
              <w:jc w:val="left"/>
              <w:rPr>
                <w:rFonts w:hint="eastAsia" w:ascii="宋体" w:hAnsi="宋体" w:eastAsia="宋体" w:cs="宋体"/>
                <w:szCs w:val="21"/>
              </w:rPr>
            </w:pPr>
            <w:r>
              <w:rPr>
                <w:rFonts w:hint="eastAsia" w:ascii="宋体" w:hAnsi="宋体" w:eastAsia="宋体" w:cs="宋体"/>
                <w:szCs w:val="21"/>
              </w:rPr>
              <w:t>体验教师文化，感受尊师崇教、竞相从师的社会文化氛围的得来不易。</w:t>
            </w:r>
          </w:p>
        </w:tc>
      </w:tr>
    </w:tbl>
    <w:p w14:paraId="5B6DD276">
      <w:pPr>
        <w:spacing w:before="62" w:beforeLines="20" w:after="62" w:afterLines="20" w:line="360" w:lineRule="auto"/>
        <w:jc w:val="left"/>
        <w:rPr>
          <w:rFonts w:ascii="Times New Roman" w:hAnsi="Times New Roman" w:eastAsia="宋体" w:cs="Times New Roman"/>
          <w:b/>
          <w:sz w:val="24"/>
        </w:rPr>
      </w:pPr>
      <w:bookmarkStart w:id="815" w:name="_Toc2079"/>
      <w:bookmarkStart w:id="816" w:name="_Toc2759"/>
      <w:bookmarkStart w:id="817" w:name="_Toc394"/>
      <w:bookmarkStart w:id="818" w:name="_Toc22461"/>
      <w:bookmarkStart w:id="819" w:name="_Toc11427"/>
      <w:bookmarkStart w:id="820" w:name="_Toc8194"/>
      <w:bookmarkStart w:id="821" w:name="_Toc12635"/>
      <w:r>
        <w:rPr>
          <w:rFonts w:hint="eastAsia" w:ascii="Times New Roman" w:hAnsi="Times New Roman" w:eastAsia="宋体" w:cs="Times New Roman"/>
          <w:b/>
          <w:sz w:val="24"/>
        </w:rPr>
        <w:t>六、有关说明</w:t>
      </w:r>
      <w:bookmarkEnd w:id="815"/>
      <w:bookmarkEnd w:id="816"/>
      <w:bookmarkEnd w:id="817"/>
      <w:bookmarkEnd w:id="818"/>
      <w:bookmarkEnd w:id="819"/>
      <w:bookmarkEnd w:id="820"/>
      <w:bookmarkEnd w:id="821"/>
    </w:p>
    <w:p w14:paraId="1F2FF194">
      <w:pPr>
        <w:spacing w:line="288" w:lineRule="auto"/>
        <w:ind w:firstLine="422" w:firstLineChars="200"/>
        <w:jc w:val="left"/>
        <w:outlineLvl w:val="1"/>
        <w:rPr>
          <w:rFonts w:ascii="Times New Roman" w:hAnsi="Times New Roman" w:eastAsia="宋体" w:cs="Times New Roman"/>
          <w:b/>
          <w:szCs w:val="21"/>
        </w:rPr>
      </w:pPr>
      <w:bookmarkStart w:id="822" w:name="_Toc14618"/>
      <w:r>
        <w:rPr>
          <w:rFonts w:hint="eastAsia" w:ascii="Times New Roman" w:hAnsi="Times New Roman" w:eastAsia="宋体" w:cs="Times New Roman"/>
          <w:b/>
          <w:szCs w:val="21"/>
        </w:rPr>
        <w:t>（一）持续改进</w:t>
      </w:r>
      <w:bookmarkEnd w:id="822"/>
    </w:p>
    <w:p w14:paraId="0D538626">
      <w:pPr>
        <w:adjustRightInd w:val="0"/>
        <w:snapToGrid w:val="0"/>
        <w:spacing w:line="288" w:lineRule="auto"/>
        <w:ind w:firstLine="480" w:firstLineChars="200"/>
        <w:rPr>
          <w:rFonts w:ascii="Times New Roman" w:hAnsi="Times New Roman" w:eastAsia="宋体" w:cs="Times New Roman"/>
          <w:b/>
          <w:szCs w:val="21"/>
        </w:rPr>
      </w:pPr>
      <w:r>
        <w:rPr>
          <w:rFonts w:hint="eastAsia" w:ascii="Calibri" w:hAnsi="Calibri" w:eastAsia="宋体" w:cs="Times New Roman"/>
          <w:sz w:val="24"/>
          <w:szCs w:val="22"/>
        </w:rPr>
        <w:t>本课程根据学生作业、课堂讨论、教学环节、平时考核情况和学生、教学督导等的反馈，及时对教学中的不足之处进行改进，并在下一轮课程教学中整改完善，确保相应毕业要求指标点达成。</w:t>
      </w:r>
    </w:p>
    <w:p w14:paraId="584E08F0">
      <w:pPr>
        <w:spacing w:line="288" w:lineRule="auto"/>
        <w:ind w:firstLine="422" w:firstLineChars="200"/>
        <w:jc w:val="left"/>
        <w:outlineLvl w:val="1"/>
        <w:rPr>
          <w:rFonts w:ascii="Times New Roman" w:hAnsi="Times New Roman" w:eastAsia="宋体" w:cs="Times New Roman"/>
          <w:b/>
          <w:szCs w:val="21"/>
        </w:rPr>
      </w:pPr>
      <w:bookmarkStart w:id="823" w:name="_Toc4676"/>
      <w:r>
        <w:rPr>
          <w:rFonts w:hint="eastAsia" w:ascii="Times New Roman" w:hAnsi="Times New Roman" w:eastAsia="宋体" w:cs="Times New Roman"/>
          <w:b/>
          <w:szCs w:val="21"/>
        </w:rPr>
        <w:t>（二）建议教材</w:t>
      </w:r>
      <w:bookmarkEnd w:id="823"/>
    </w:p>
    <w:p w14:paraId="44B9D4AD">
      <w:pPr>
        <w:spacing w:line="288" w:lineRule="auto"/>
        <w:ind w:firstLine="420" w:firstLineChars="200"/>
        <w:rPr>
          <w:rFonts w:hint="eastAsia" w:ascii="宋体" w:hAnsi="宋体" w:eastAsia="宋体" w:cs="Times New Roman"/>
          <w:szCs w:val="21"/>
        </w:rPr>
      </w:pPr>
      <w:r>
        <w:rPr>
          <w:rFonts w:hint="eastAsia" w:ascii="宋体" w:hAnsi="宋体" w:eastAsia="宋体" w:cs="Times New Roman"/>
          <w:szCs w:val="21"/>
        </w:rPr>
        <w:t>马和民，教育社会学基础，中国人民大学出版社，2022.</w:t>
      </w:r>
    </w:p>
    <w:p w14:paraId="2820C37F">
      <w:pPr>
        <w:spacing w:line="288" w:lineRule="auto"/>
        <w:ind w:firstLine="422" w:firstLineChars="200"/>
        <w:jc w:val="left"/>
        <w:outlineLvl w:val="1"/>
        <w:rPr>
          <w:rFonts w:hint="eastAsia" w:ascii="等线" w:hAnsi="等线" w:eastAsia="等线" w:cs="Times New Roman"/>
          <w:szCs w:val="21"/>
        </w:rPr>
      </w:pPr>
      <w:bookmarkStart w:id="824" w:name="_Toc21154"/>
      <w:r>
        <w:rPr>
          <w:rFonts w:hint="eastAsia" w:ascii="Times New Roman" w:hAnsi="Times New Roman" w:eastAsia="宋体" w:cs="Times New Roman"/>
          <w:b/>
          <w:szCs w:val="21"/>
        </w:rPr>
        <w:t>（三）参考书目</w:t>
      </w:r>
      <w:bookmarkEnd w:id="824"/>
    </w:p>
    <w:p w14:paraId="0BF8A007">
      <w:pPr>
        <w:spacing w:line="288" w:lineRule="auto"/>
        <w:ind w:firstLine="420" w:firstLineChars="200"/>
        <w:rPr>
          <w:rFonts w:hint="eastAsia" w:ascii="宋体" w:hAnsi="宋体" w:eastAsia="宋体" w:cs="Times New Roman"/>
          <w:szCs w:val="21"/>
        </w:rPr>
      </w:pPr>
      <w:r>
        <w:rPr>
          <w:rFonts w:hint="eastAsia" w:ascii="宋体" w:hAnsi="宋体" w:eastAsia="宋体" w:cs="Times New Roman"/>
          <w:szCs w:val="21"/>
        </w:rPr>
        <w:t>1.吴康宁，教育社会学，人民教育出版社，2021</w:t>
      </w:r>
    </w:p>
    <w:p w14:paraId="5C1FEB8E">
      <w:pPr>
        <w:spacing w:line="288" w:lineRule="auto"/>
        <w:ind w:firstLine="420" w:firstLineChars="200"/>
        <w:rPr>
          <w:rFonts w:hint="eastAsia" w:ascii="宋体" w:hAnsi="宋体" w:eastAsia="宋体" w:cs="Times New Roman"/>
          <w:szCs w:val="21"/>
        </w:rPr>
      </w:pPr>
      <w:r>
        <w:rPr>
          <w:rFonts w:hint="eastAsia" w:ascii="宋体" w:hAnsi="宋体" w:eastAsia="宋体" w:cs="Times New Roman"/>
          <w:szCs w:val="21"/>
        </w:rPr>
        <w:t>2.钱民辉，教育社会学概论（第四版），北京大学出版社，2021.</w:t>
      </w:r>
    </w:p>
    <w:p w14:paraId="4F9C9D92">
      <w:pPr>
        <w:spacing w:line="288" w:lineRule="auto"/>
        <w:ind w:firstLine="420" w:firstLineChars="200"/>
        <w:rPr>
          <w:rFonts w:hint="eastAsia" w:ascii="宋体" w:hAnsi="宋体" w:eastAsia="宋体" w:cs="Times New Roman"/>
          <w:szCs w:val="21"/>
        </w:rPr>
      </w:pPr>
      <w:r>
        <w:rPr>
          <w:rFonts w:hint="eastAsia" w:ascii="宋体" w:hAnsi="宋体" w:eastAsia="宋体" w:cs="Times New Roman"/>
          <w:szCs w:val="21"/>
        </w:rPr>
        <w:t>3.雷通群.</w:t>
      </w:r>
      <w:r>
        <w:rPr>
          <w:rFonts w:hint="eastAsia" w:ascii="等线" w:hAnsi="等线" w:eastAsia="等线" w:cs="Times New Roman"/>
          <w:szCs w:val="21"/>
        </w:rPr>
        <w:t xml:space="preserve"> </w:t>
      </w:r>
      <w:r>
        <w:rPr>
          <w:rFonts w:hint="eastAsia" w:ascii="宋体" w:hAnsi="宋体" w:eastAsia="宋体" w:cs="Times New Roman"/>
          <w:szCs w:val="21"/>
        </w:rPr>
        <w:t>教育社会学，厦门大学出版社，2021.</w:t>
      </w:r>
    </w:p>
    <w:p w14:paraId="4655D4F6">
      <w:pPr>
        <w:spacing w:line="288" w:lineRule="auto"/>
        <w:ind w:firstLine="420" w:firstLineChars="200"/>
        <w:rPr>
          <w:rFonts w:hint="eastAsia" w:ascii="宋体" w:hAnsi="宋体" w:eastAsia="宋体" w:cs="Times New Roman"/>
          <w:szCs w:val="21"/>
        </w:rPr>
      </w:pPr>
      <w:r>
        <w:rPr>
          <w:rFonts w:hint="eastAsia" w:ascii="宋体" w:hAnsi="宋体" w:eastAsia="宋体" w:cs="Times New Roman"/>
          <w:szCs w:val="21"/>
        </w:rPr>
        <w:t>4.许瑞、刘惠珍，教育社会学，北京师范大学出版社，2010</w:t>
      </w:r>
    </w:p>
    <w:p w14:paraId="65D7C2EC">
      <w:pPr>
        <w:spacing w:line="288" w:lineRule="auto"/>
        <w:ind w:firstLine="420" w:firstLineChars="200"/>
        <w:rPr>
          <w:rFonts w:hint="eastAsia" w:ascii="宋体" w:hAnsi="宋体" w:eastAsia="宋体" w:cs="Times New Roman"/>
          <w:szCs w:val="21"/>
        </w:rPr>
      </w:pPr>
      <w:r>
        <w:rPr>
          <w:rFonts w:hint="eastAsia" w:ascii="宋体" w:hAnsi="宋体" w:eastAsia="宋体" w:cs="Times New Roman"/>
          <w:szCs w:val="21"/>
        </w:rPr>
        <w:t>5.珍妮•H•巴兰坦、弗洛伊德•M•哈马克、詹妮•斯图伯，教育社会学——一种系统分析的方法，商务印书馆，2017</w:t>
      </w:r>
    </w:p>
    <w:p w14:paraId="215DC49B">
      <w:pPr>
        <w:spacing w:line="288" w:lineRule="auto"/>
        <w:ind w:left="420" w:leftChars="200"/>
        <w:rPr>
          <w:rFonts w:hint="eastAsia" w:ascii="宋体" w:hAnsi="宋体" w:eastAsia="宋体" w:cs="Times New Roman"/>
          <w:szCs w:val="21"/>
        </w:rPr>
      </w:pPr>
      <w:r>
        <w:rPr>
          <w:rFonts w:hint="eastAsia" w:ascii="宋体" w:hAnsi="宋体" w:eastAsia="宋体" w:cs="Times New Roman"/>
          <w:szCs w:val="21"/>
        </w:rPr>
        <w:t>6.丹尼尔•U•莱文、瑞依娜•F•莱文，教育社会学，中国人民大学出版社，2016.</w:t>
      </w:r>
    </w:p>
    <w:p w14:paraId="254C453A">
      <w:pPr>
        <w:spacing w:line="288" w:lineRule="auto"/>
        <w:ind w:left="420" w:leftChars="200"/>
        <w:rPr>
          <w:rFonts w:ascii="Times New Roman" w:hAnsi="Times New Roman" w:eastAsia="宋体" w:cs="Times New Roman"/>
          <w:bCs/>
          <w:szCs w:val="21"/>
        </w:rPr>
      </w:pPr>
      <w:r>
        <w:rPr>
          <w:rFonts w:hint="eastAsia" w:ascii="宋体" w:hAnsi="宋体" w:eastAsia="宋体" w:cs="Times New Roman"/>
          <w:szCs w:val="21"/>
        </w:rPr>
        <w:t>7.郑杭生</w:t>
      </w:r>
      <w:r>
        <w:rPr>
          <w:rFonts w:ascii="宋体" w:hAnsi="等线" w:eastAsia="宋体" w:cs="Times New Roman"/>
          <w:szCs w:val="21"/>
        </w:rPr>
        <w:t>.</w:t>
      </w:r>
      <w:r>
        <w:rPr>
          <w:rFonts w:hint="eastAsia" w:ascii="宋体" w:hAnsi="宋体" w:eastAsia="宋体" w:cs="Times New Roman"/>
          <w:szCs w:val="21"/>
        </w:rPr>
        <w:t>社会学概论新修</w:t>
      </w:r>
      <w:r>
        <w:rPr>
          <w:rFonts w:ascii="宋体" w:hAnsi="宋体" w:eastAsia="宋体" w:cs="Times New Roman"/>
          <w:szCs w:val="21"/>
        </w:rPr>
        <w:t>[M].</w:t>
      </w:r>
      <w:r>
        <w:rPr>
          <w:rFonts w:hint="eastAsia" w:ascii="宋体" w:hAnsi="宋体" w:eastAsia="宋体" w:cs="Times New Roman"/>
          <w:szCs w:val="21"/>
        </w:rPr>
        <w:t>北京：中国人民大学出版社，</w:t>
      </w:r>
      <w:r>
        <w:rPr>
          <w:rFonts w:ascii="宋体" w:hAnsi="宋体" w:eastAsia="宋体" w:cs="Times New Roman"/>
          <w:szCs w:val="21"/>
        </w:rPr>
        <w:t>2016</w:t>
      </w:r>
      <w:r>
        <w:rPr>
          <w:rFonts w:ascii="宋体" w:hAnsi="等线" w:eastAsia="宋体" w:cs="Times New Roman"/>
          <w:szCs w:val="21"/>
        </w:rPr>
        <w:t>.</w:t>
      </w:r>
    </w:p>
    <w:p w14:paraId="7A089084">
      <w:pPr>
        <w:spacing w:line="288" w:lineRule="auto"/>
        <w:ind w:firstLine="420" w:firstLineChars="200"/>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美</w:t>
      </w:r>
      <w:r>
        <w:rPr>
          <w:rFonts w:ascii="宋体" w:hAnsi="宋体" w:eastAsia="宋体" w:cs="Times New Roman"/>
          <w:szCs w:val="21"/>
        </w:rPr>
        <w:t>]</w:t>
      </w:r>
      <w:r>
        <w:rPr>
          <w:rFonts w:hint="eastAsia" w:ascii="宋体" w:hAnsi="宋体" w:eastAsia="宋体" w:cs="Times New Roman"/>
          <w:szCs w:val="21"/>
        </w:rPr>
        <w:t>戴维·波普诺</w:t>
      </w:r>
      <w:r>
        <w:rPr>
          <w:rFonts w:ascii="宋体" w:hAnsi="等线" w:eastAsia="宋体" w:cs="Times New Roman"/>
          <w:szCs w:val="21"/>
        </w:rPr>
        <w:t>.</w:t>
      </w:r>
      <w:r>
        <w:rPr>
          <w:rFonts w:hint="eastAsia" w:ascii="宋体" w:hAnsi="宋体" w:eastAsia="宋体" w:cs="Times New Roman"/>
          <w:szCs w:val="21"/>
        </w:rPr>
        <w:t>社会学（第十一版）</w:t>
      </w:r>
      <w:r>
        <w:rPr>
          <w:rFonts w:ascii="宋体" w:hAnsi="宋体" w:eastAsia="宋体" w:cs="Times New Roman"/>
          <w:szCs w:val="21"/>
        </w:rPr>
        <w:t xml:space="preserve"> [M].</w:t>
      </w:r>
      <w:r>
        <w:rPr>
          <w:rFonts w:hint="eastAsia" w:ascii="宋体" w:hAnsi="宋体" w:eastAsia="宋体" w:cs="Times New Roman"/>
          <w:szCs w:val="21"/>
        </w:rPr>
        <w:t>李强等译，北京：中国人民大学出版社，</w:t>
      </w:r>
      <w:r>
        <w:rPr>
          <w:rFonts w:ascii="宋体" w:hAnsi="宋体" w:eastAsia="宋体" w:cs="Times New Roman"/>
          <w:szCs w:val="21"/>
        </w:rPr>
        <w:t>2007.</w:t>
      </w:r>
    </w:p>
    <w:p w14:paraId="359D1EFA">
      <w:pPr>
        <w:spacing w:line="288" w:lineRule="auto"/>
        <w:ind w:left="239" w:leftChars="114" w:firstLine="210" w:firstLineChars="100"/>
        <w:rPr>
          <w:rFonts w:hint="eastAsia" w:ascii="宋体" w:hAnsi="宋体" w:eastAsia="宋体" w:cs="Times New Roman"/>
          <w:szCs w:val="21"/>
        </w:rPr>
      </w:pPr>
      <w:r>
        <w:rPr>
          <w:rFonts w:hint="eastAsia" w:ascii="宋体" w:hAnsi="等线" w:eastAsia="宋体" w:cs="Times New Roman"/>
          <w:szCs w:val="21"/>
        </w:rPr>
        <w:t>9.[美]理查德</w:t>
      </w:r>
      <w:r>
        <w:rPr>
          <w:rFonts w:hint="eastAsia" w:ascii="宋体" w:hAnsi="宋体" w:eastAsia="宋体" w:cs="Times New Roman"/>
          <w:szCs w:val="21"/>
        </w:rPr>
        <w:t>·拉赫曼.历史社会学概论 [M].赵莉妍译, 北京：商务印书馆，2017.</w:t>
      </w:r>
    </w:p>
    <w:p w14:paraId="67BA1C95">
      <w:pPr>
        <w:spacing w:line="288" w:lineRule="auto"/>
        <w:ind w:left="239" w:leftChars="114" w:firstLine="210" w:firstLineChars="100"/>
        <w:rPr>
          <w:rFonts w:hint="eastAsia" w:ascii="宋体" w:hAnsi="宋体" w:eastAsia="宋体" w:cs="Times New Roman"/>
          <w:szCs w:val="21"/>
        </w:rPr>
      </w:pPr>
      <w:r>
        <w:rPr>
          <w:rFonts w:hint="eastAsia" w:ascii="宋体" w:hAnsi="宋体" w:eastAsia="宋体" w:cs="Times New Roman"/>
          <w:szCs w:val="21"/>
        </w:rPr>
        <w:t>10.王永起.社会学研究方法新探，北京：中国书籍出版社，2016.11</w:t>
      </w:r>
    </w:p>
    <w:p w14:paraId="69E77012">
      <w:pPr>
        <w:spacing w:line="288" w:lineRule="auto"/>
        <w:ind w:left="239" w:leftChars="114" w:firstLine="210" w:firstLineChars="100"/>
        <w:rPr>
          <w:rFonts w:hint="eastAsia" w:ascii="等线" w:hAnsi="等线" w:eastAsia="等线" w:cs="Times New Roman"/>
          <w:szCs w:val="22"/>
        </w:rPr>
      </w:pPr>
      <w:r>
        <w:rPr>
          <w:rFonts w:hint="eastAsia" w:ascii="宋体" w:hAnsi="宋体" w:eastAsia="宋体" w:cs="Times New Roman"/>
          <w:szCs w:val="21"/>
        </w:rPr>
        <w:t>11.徐祥运，刘杰编著.社会学概论（第4版），大连：东北财经大学出版社，2015.02</w:t>
      </w:r>
    </w:p>
    <w:p w14:paraId="6EC34A9D">
      <w:pPr>
        <w:spacing w:line="360" w:lineRule="auto"/>
        <w:jc w:val="right"/>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 xml:space="preserve"> 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张文娟</w:t>
      </w:r>
    </w:p>
    <w:p w14:paraId="55124E56">
      <w:pPr>
        <w:wordWrap w:val="0"/>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王  健</w:t>
      </w:r>
    </w:p>
    <w:p w14:paraId="3A542943">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 xml:space="preserve">                                                              审 批 人：张志欣</w:t>
      </w:r>
    </w:p>
    <w:p w14:paraId="49BFB805">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批准时间：2025年7月1日</w:t>
      </w:r>
    </w:p>
    <w:p w14:paraId="5B0378FF">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2F45BF08">
      <w:pPr>
        <w:spacing w:line="360" w:lineRule="auto"/>
        <w:jc w:val="center"/>
        <w:outlineLvl w:val="0"/>
        <w:rPr>
          <w:rFonts w:ascii="Times New Roman" w:hAnsi="Times New Roman" w:eastAsia="宋体" w:cs="Times New Roman"/>
          <w:b/>
          <w:sz w:val="44"/>
          <w:szCs w:val="44"/>
        </w:rPr>
      </w:pPr>
      <w:bookmarkStart w:id="825" w:name="_Toc22550"/>
      <w:bookmarkStart w:id="826" w:name="_Toc17002"/>
      <w:bookmarkStart w:id="827" w:name="_Toc19579"/>
      <w:bookmarkStart w:id="828" w:name="_Toc9371"/>
      <w:r>
        <w:rPr>
          <w:rFonts w:hint="eastAsia" w:ascii="Times New Roman" w:hAnsi="Times New Roman" w:eastAsia="宋体" w:cs="Times New Roman"/>
          <w:b/>
          <w:sz w:val="44"/>
          <w:szCs w:val="44"/>
        </w:rPr>
        <w:t>《家校社协同育人》课程教学大纲</w:t>
      </w:r>
      <w:bookmarkEnd w:id="825"/>
      <w:bookmarkEnd w:id="826"/>
      <w:bookmarkEnd w:id="827"/>
      <w:bookmarkEnd w:id="828"/>
    </w:p>
    <w:p w14:paraId="21BE5B11">
      <w:pPr>
        <w:spacing w:line="360" w:lineRule="auto"/>
        <w:jc w:val="center"/>
        <w:rPr>
          <w:rFonts w:ascii="Times New Roman" w:hAnsi="Times New Roman" w:eastAsia="宋体" w:cs="Arial"/>
          <w:b/>
          <w:bCs/>
          <w:szCs w:val="13"/>
        </w:rPr>
      </w:pPr>
      <w:bookmarkStart w:id="829" w:name="_Toc7283"/>
      <w:bookmarkStart w:id="830" w:name="_Toc14742"/>
      <w:bookmarkStart w:id="831" w:name="_Toc17182"/>
      <w:bookmarkStart w:id="832" w:name="_Toc27859"/>
      <w:bookmarkStart w:id="833" w:name="_Toc14968"/>
      <w:bookmarkStart w:id="834" w:name="_Toc30274"/>
      <w:bookmarkStart w:id="835" w:name="_Toc12707"/>
      <w:r>
        <w:rPr>
          <w:rFonts w:ascii="Times New Roman" w:hAnsi="Times New Roman" w:eastAsia="宋体" w:cs="Times New Roman"/>
          <w:b/>
          <w:bCs/>
          <w:sz w:val="28"/>
          <w:szCs w:val="28"/>
        </w:rPr>
        <w:t>（Family and Community Education）</w:t>
      </w:r>
      <w:bookmarkEnd w:id="829"/>
      <w:bookmarkEnd w:id="830"/>
      <w:bookmarkEnd w:id="831"/>
      <w:bookmarkEnd w:id="832"/>
      <w:bookmarkEnd w:id="833"/>
      <w:bookmarkEnd w:id="834"/>
      <w:bookmarkEnd w:id="835"/>
    </w:p>
    <w:p w14:paraId="1EB867C1">
      <w:pPr>
        <w:spacing w:line="360" w:lineRule="auto"/>
        <w:ind w:firstLine="422" w:firstLineChars="200"/>
        <w:jc w:val="left"/>
        <w:rPr>
          <w:rFonts w:ascii="Times New Roman" w:hAnsi="Times New Roman" w:eastAsia="宋体" w:cs="Times New Roman"/>
          <w:b/>
          <w:szCs w:val="21"/>
        </w:rPr>
      </w:pPr>
    </w:p>
    <w:p w14:paraId="2371230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hint="eastAsia" w:ascii="宋体" w:hAnsi="宋体" w:eastAsia="宋体" w:cs="Times New Roman"/>
          <w:b/>
          <w:sz w:val="24"/>
        </w:rPr>
        <w:t>家校社协同育人</w:t>
      </w:r>
    </w:p>
    <w:p w14:paraId="46592A5E">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2401061</w:t>
      </w:r>
    </w:p>
    <w:p w14:paraId="65BB30C9">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宋体" w:hAnsi="宋体" w:eastAsia="宋体" w:cs="Times New Roman"/>
          <w:b/>
          <w:sz w:val="24"/>
        </w:rPr>
        <w:t>2</w:t>
      </w:r>
    </w:p>
    <w:p w14:paraId="594B8AA6">
      <w:pPr>
        <w:snapToGrid w:val="0"/>
        <w:spacing w:line="360" w:lineRule="auto"/>
        <w:ind w:firstLine="472" w:firstLineChars="196"/>
        <w:rPr>
          <w:rFonts w:hint="eastAsia" w:ascii="宋体" w:hAnsi="宋体"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宋体" w:hAnsi="宋体" w:eastAsia="宋体" w:cs="Times New Roman"/>
          <w:b/>
          <w:sz w:val="24"/>
        </w:rPr>
        <w:t>3</w:t>
      </w:r>
      <w:r>
        <w:rPr>
          <w:rFonts w:ascii="宋体" w:hAnsi="宋体" w:eastAsia="宋体" w:cs="Times New Roman"/>
          <w:b/>
          <w:sz w:val="24"/>
        </w:rPr>
        <w:t>2</w:t>
      </w:r>
    </w:p>
    <w:p w14:paraId="4212F745">
      <w:pPr>
        <w:snapToGrid w:val="0"/>
        <w:spacing w:line="360" w:lineRule="auto"/>
        <w:ind w:firstLine="472" w:firstLineChars="196"/>
        <w:rPr>
          <w:rFonts w:ascii="Times New Roman" w:hAnsi="Times New Roman" w:eastAsia="宋体" w:cs="Times New Roman"/>
          <w:b/>
          <w:sz w:val="24"/>
        </w:rPr>
      </w:pPr>
      <w:r>
        <w:rPr>
          <w:rFonts w:hint="eastAsia" w:ascii="Times New Roman" w:hAnsi="Times New Roman" w:eastAsia="宋体" w:cs="Times New Roman"/>
          <w:b/>
          <w:sz w:val="24"/>
        </w:rPr>
        <w:t>先修课程：</w:t>
      </w:r>
      <w:r>
        <w:rPr>
          <w:rFonts w:hint="eastAsia" w:ascii="宋体" w:hAnsi="宋体" w:eastAsia="宋体" w:cs="Times New Roman"/>
          <w:b/>
          <w:sz w:val="24"/>
        </w:rPr>
        <w:t>教育原理、教育心理学</w:t>
      </w:r>
    </w:p>
    <w:p w14:paraId="6CA4DA4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0B577359">
      <w:pPr>
        <w:spacing w:before="62" w:beforeLines="20" w:after="62" w:afterLines="20" w:line="360" w:lineRule="auto"/>
        <w:jc w:val="left"/>
        <w:rPr>
          <w:rFonts w:hint="eastAsia" w:ascii="宋体" w:hAnsi="宋体" w:eastAsia="宋体" w:cs="Times New Roman"/>
          <w:b/>
          <w:sz w:val="24"/>
        </w:rPr>
      </w:pPr>
      <w:r>
        <w:rPr>
          <w:rFonts w:hint="eastAsia" w:ascii="宋体" w:hAnsi="宋体" w:eastAsia="宋体" w:cs="Times New Roman"/>
          <w:b/>
          <w:sz w:val="24"/>
        </w:rPr>
        <w:t>一、课程简介</w:t>
      </w:r>
    </w:p>
    <w:p w14:paraId="34F0D9CD">
      <w:pPr>
        <w:snapToGrid w:val="0"/>
        <w:spacing w:line="360" w:lineRule="auto"/>
        <w:ind w:firstLine="420" w:firstLineChars="200"/>
        <w:rPr>
          <w:rFonts w:hint="eastAsia" w:ascii="宋体" w:hAnsi="宋体" w:eastAsia="宋体" w:cs="Times New Roman"/>
          <w:b/>
          <w:szCs w:val="21"/>
        </w:rPr>
      </w:pPr>
      <w:r>
        <w:rPr>
          <w:rFonts w:hint="eastAsia" w:ascii="宋体" w:hAnsi="宋体" w:eastAsia="宋体" w:cs="Times New Roman"/>
          <w:szCs w:val="21"/>
        </w:rPr>
        <w:t>《家校社协同育人》是小学教育专业的一门专业选修课，是一门实践性和理论性并重的基础课程，该课程主要涉及家庭与社区教育的一些基本概念和基本理论，立足中国儿童家庭与社区教育发展的实际，关注</w:t>
      </w:r>
      <w:r>
        <w:rPr>
          <w:rFonts w:ascii="宋体" w:hAnsi="宋体" w:eastAsia="宋体" w:cs="Times New Roman"/>
          <w:szCs w:val="21"/>
        </w:rPr>
        <w:t>当前家庭教育发展的具体情况，总结近些年中国家庭教育的发展历程与经验启示，介绍中国家庭教育的现状、父母教育理念的更新、家庭教育的立法进程、</w:t>
      </w:r>
      <w:r>
        <w:rPr>
          <w:rFonts w:hint="eastAsia" w:ascii="宋体" w:hAnsi="宋体" w:eastAsia="宋体" w:cs="Times New Roman"/>
          <w:szCs w:val="21"/>
        </w:rPr>
        <w:t>“</w:t>
      </w:r>
      <w:r>
        <w:rPr>
          <w:rFonts w:ascii="宋体" w:hAnsi="宋体" w:eastAsia="宋体" w:cs="Times New Roman"/>
          <w:szCs w:val="21"/>
        </w:rPr>
        <w:t>二孩时代</w:t>
      </w:r>
      <w:r>
        <w:rPr>
          <w:rFonts w:hint="eastAsia" w:ascii="宋体" w:hAnsi="宋体" w:eastAsia="宋体" w:cs="Times New Roman"/>
          <w:szCs w:val="21"/>
        </w:rPr>
        <w:t>”的</w:t>
      </w:r>
      <w:r>
        <w:rPr>
          <w:rFonts w:ascii="宋体" w:hAnsi="宋体" w:eastAsia="宋体" w:cs="Times New Roman"/>
          <w:szCs w:val="21"/>
        </w:rPr>
        <w:t>隔代教养</w:t>
      </w:r>
      <w:r>
        <w:rPr>
          <w:rFonts w:hint="eastAsia" w:ascii="宋体" w:hAnsi="宋体" w:eastAsia="宋体" w:cs="Times New Roman"/>
          <w:szCs w:val="21"/>
        </w:rPr>
        <w:t>等</w:t>
      </w:r>
      <w:r>
        <w:rPr>
          <w:rFonts w:ascii="宋体" w:hAnsi="宋体" w:eastAsia="宋体" w:cs="Times New Roman"/>
          <w:szCs w:val="21"/>
        </w:rPr>
        <w:t>诸多现象、家风家训与中国传统优秀家教文化的弘扬等内容，为</w:t>
      </w:r>
      <w:r>
        <w:rPr>
          <w:rFonts w:hint="eastAsia" w:ascii="宋体" w:hAnsi="宋体" w:eastAsia="宋体" w:cs="Times New Roman"/>
          <w:szCs w:val="21"/>
        </w:rPr>
        <w:t>小学</w:t>
      </w:r>
      <w:r>
        <w:rPr>
          <w:rFonts w:ascii="宋体" w:hAnsi="宋体" w:eastAsia="宋体" w:cs="Times New Roman"/>
          <w:szCs w:val="21"/>
        </w:rPr>
        <w:t>教育专业学生掌握</w:t>
      </w:r>
      <w:r>
        <w:rPr>
          <w:rFonts w:hint="eastAsia" w:ascii="宋体" w:hAnsi="宋体" w:eastAsia="宋体" w:cs="Times New Roman"/>
          <w:szCs w:val="21"/>
        </w:rPr>
        <w:t>、理解</w:t>
      </w:r>
      <w:r>
        <w:rPr>
          <w:rFonts w:ascii="宋体" w:hAnsi="宋体" w:eastAsia="宋体" w:cs="Times New Roman"/>
          <w:szCs w:val="21"/>
        </w:rPr>
        <w:t>和开展家庭与社区教育提供理论学习</w:t>
      </w:r>
      <w:r>
        <w:rPr>
          <w:rFonts w:hint="eastAsia" w:ascii="宋体" w:hAnsi="宋体" w:eastAsia="宋体" w:cs="Times New Roman"/>
          <w:szCs w:val="21"/>
        </w:rPr>
        <w:t>帮助。</w:t>
      </w:r>
    </w:p>
    <w:p w14:paraId="16E0575B">
      <w:pPr>
        <w:spacing w:before="62" w:beforeLines="20" w:after="62" w:afterLines="20" w:line="360" w:lineRule="auto"/>
        <w:jc w:val="left"/>
        <w:rPr>
          <w:rFonts w:ascii="Times New Roman" w:hAnsi="Times New Roman" w:eastAsia="宋体" w:cs="Times New Roman"/>
          <w:sz w:val="24"/>
        </w:rPr>
      </w:pPr>
      <w:r>
        <w:rPr>
          <w:rFonts w:hint="eastAsia" w:ascii="宋体" w:hAnsi="宋体" w:eastAsia="宋体" w:cs="Times New Roman"/>
          <w:b/>
          <w:sz w:val="24"/>
        </w:rPr>
        <w:t>二</w:t>
      </w:r>
      <w:r>
        <w:rPr>
          <w:rFonts w:ascii="宋体" w:hAnsi="宋体" w:eastAsia="宋体" w:cs="Times New Roman"/>
          <w:b/>
          <w:sz w:val="24"/>
        </w:rPr>
        <w:t>、课程目标</w:t>
      </w:r>
    </w:p>
    <w:p w14:paraId="3783F548">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5C659FF9">
      <w:pPr>
        <w:snapToGrid w:val="0"/>
        <w:spacing w:line="360" w:lineRule="auto"/>
        <w:ind w:firstLine="413" w:firstLineChars="196"/>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szCs w:val="21"/>
        </w:rPr>
        <w:t>了解本课程以及家庭教育的理论知识及实践，了解中国在家庭教育方面的优秀传统文化及当前面临的育人现实问题。</w:t>
      </w:r>
    </w:p>
    <w:p w14:paraId="41B704F9">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ascii="Times New Roman" w:hAnsi="Times New Roman" w:eastAsia="宋体" w:cs="Times New Roman"/>
          <w:szCs w:val="21"/>
        </w:rPr>
        <w:t xml:space="preserve"> </w:t>
      </w:r>
      <w:r>
        <w:rPr>
          <w:rFonts w:hint="eastAsia" w:ascii="宋体" w:hAnsi="宋体" w:eastAsia="宋体" w:cs="Times New Roman"/>
          <w:szCs w:val="21"/>
        </w:rPr>
        <w:t>树立科学的儿童观、具备保护儿童权利的意识；树立家校社协同育人的思想观念；树立家庭教育的法制观念和职业职责意识。</w:t>
      </w:r>
    </w:p>
    <w:p w14:paraId="2546A56B">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宋体" w:hAnsi="宋体" w:eastAsia="宋体" w:cs="Times New Roman"/>
          <w:szCs w:val="21"/>
        </w:rPr>
        <w:t>具备了解儿童，具备家校社协同育人的知识、能力和技巧。</w:t>
      </w:r>
      <w:r>
        <w:rPr>
          <w:rFonts w:ascii="Times New Roman" w:hAnsi="Times New Roman" w:eastAsia="宋体" w:cs="Times New Roman"/>
          <w:szCs w:val="21"/>
        </w:rPr>
        <w:t xml:space="preserve"> </w:t>
      </w:r>
    </w:p>
    <w:p w14:paraId="2244AEFF">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6309"/>
        <w:gridCol w:w="1191"/>
      </w:tblGrid>
      <w:tr w14:paraId="7D97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3FFA3E2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309" w:type="dxa"/>
            <w:vAlign w:val="center"/>
          </w:tcPr>
          <w:p w14:paraId="7E2F765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DDC0AC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ACC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7" w:type="dxa"/>
            <w:vAlign w:val="center"/>
          </w:tcPr>
          <w:p w14:paraId="2A8B4C29">
            <w:pPr>
              <w:spacing w:line="276" w:lineRule="auto"/>
              <w:jc w:val="center"/>
              <w:rPr>
                <w:rFonts w:hint="eastAsia" w:ascii="宋体" w:hAnsi="宋体" w:eastAsia="宋体" w:cs="Times New Roman"/>
                <w:b/>
                <w:bCs/>
                <w:szCs w:val="21"/>
              </w:rPr>
            </w:pPr>
            <w:r>
              <w:rPr>
                <w:rFonts w:ascii="宋体" w:hAnsi="宋体" w:eastAsia="宋体" w:cs="Times New Roman"/>
                <w:b/>
                <w:bCs/>
                <w:szCs w:val="21"/>
              </w:rPr>
              <w:t>毕业要求6</w:t>
            </w:r>
          </w:p>
          <w:p w14:paraId="3CF57D10">
            <w:pPr>
              <w:spacing w:line="276" w:lineRule="auto"/>
              <w:jc w:val="center"/>
              <w:rPr>
                <w:rFonts w:ascii="Times New Roman" w:hAnsi="Times New Roman" w:eastAsia="宋体" w:cs="Times New Roman"/>
                <w:b/>
                <w:bCs/>
                <w:szCs w:val="21"/>
              </w:rPr>
            </w:pPr>
            <w:r>
              <w:rPr>
                <w:rFonts w:ascii="宋体" w:hAnsi="宋体" w:eastAsia="宋体" w:cs="Times New Roman"/>
                <w:b/>
                <w:bCs/>
                <w:szCs w:val="21"/>
              </w:rPr>
              <w:t>综合育人</w:t>
            </w:r>
          </w:p>
        </w:tc>
        <w:tc>
          <w:tcPr>
            <w:tcW w:w="6309" w:type="dxa"/>
            <w:vAlign w:val="center"/>
          </w:tcPr>
          <w:p w14:paraId="30CBA32F">
            <w:pPr>
              <w:spacing w:line="276" w:lineRule="auto"/>
              <w:jc w:val="left"/>
              <w:rPr>
                <w:rFonts w:ascii="Times New Roman" w:hAnsi="Times New Roman" w:eastAsia="宋体" w:cs="Times New Roman"/>
                <w:szCs w:val="21"/>
              </w:rPr>
            </w:pPr>
            <w:r>
              <w:rPr>
                <w:rFonts w:hint="eastAsia" w:ascii="宋体" w:hAnsi="宋体" w:eastAsia="宋体" w:cs="Times New Roman"/>
                <w:b/>
                <w:bCs/>
                <w:szCs w:val="21"/>
              </w:rPr>
              <w:t>指标点6-3</w:t>
            </w:r>
            <w:r>
              <w:rPr>
                <w:rFonts w:ascii="宋体" w:hAnsi="宋体" w:eastAsia="宋体" w:cs="Times New Roman"/>
                <w:b/>
                <w:bCs/>
                <w:szCs w:val="21"/>
              </w:rPr>
              <w:t>：</w:t>
            </w:r>
            <w:r>
              <w:rPr>
                <w:rFonts w:hint="eastAsia" w:ascii="宋体" w:hAnsi="宋体" w:eastAsia="宋体" w:cs="Times New Roman"/>
                <w:szCs w:val="21"/>
              </w:rPr>
              <w:t>【善于文化与活动育人】了解课外活动组织和管理知识，掌握学校文化和各类课外教育活动的育人内涵和方法，参与组织主题教育、少先队活动和社团活动，促进小学生全面、健康发展</w:t>
            </w:r>
          </w:p>
        </w:tc>
        <w:tc>
          <w:tcPr>
            <w:tcW w:w="1191" w:type="dxa"/>
            <w:vAlign w:val="center"/>
          </w:tcPr>
          <w:p w14:paraId="0F4009C9">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w:t>
            </w:r>
          </w:p>
          <w:p w14:paraId="26C410FA">
            <w:pPr>
              <w:spacing w:line="276" w:lineRule="auto"/>
              <w:jc w:val="center"/>
              <w:rPr>
                <w:rFonts w:ascii="Times New Roman" w:hAnsi="Times New Roman" w:eastAsia="宋体" w:cs="Times New Roman"/>
                <w:szCs w:val="21"/>
              </w:rPr>
            </w:pPr>
            <w:r>
              <w:rPr>
                <w:rFonts w:hint="eastAsia" w:ascii="宋体" w:hAnsi="宋体" w:eastAsia="宋体" w:cs="Times New Roman"/>
                <w:szCs w:val="21"/>
              </w:rPr>
              <w:t>1、2</w:t>
            </w:r>
          </w:p>
        </w:tc>
      </w:tr>
      <w:tr w14:paraId="1F72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477" w:type="dxa"/>
            <w:vAlign w:val="center"/>
          </w:tcPr>
          <w:p w14:paraId="13F6C61B">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毕业要求8</w:t>
            </w:r>
          </w:p>
          <w:p w14:paraId="7D1AA770">
            <w:pPr>
              <w:spacing w:line="276" w:lineRule="auto"/>
              <w:jc w:val="center"/>
              <w:rPr>
                <w:rFonts w:ascii="Times New Roman" w:hAnsi="Times New Roman" w:eastAsia="宋体" w:cs="Times New Roman"/>
                <w:b/>
                <w:bCs/>
                <w:szCs w:val="21"/>
              </w:rPr>
            </w:pPr>
            <w:r>
              <w:rPr>
                <w:rFonts w:hint="eastAsia" w:ascii="宋体" w:hAnsi="宋体" w:eastAsia="宋体" w:cs="Times New Roman"/>
                <w:b/>
                <w:bCs/>
                <w:szCs w:val="21"/>
              </w:rPr>
              <w:t>沟通合作</w:t>
            </w:r>
          </w:p>
        </w:tc>
        <w:tc>
          <w:tcPr>
            <w:tcW w:w="6309" w:type="dxa"/>
            <w:vAlign w:val="center"/>
          </w:tcPr>
          <w:p w14:paraId="02966548">
            <w:pPr>
              <w:snapToGrid w:val="0"/>
              <w:spacing w:line="288" w:lineRule="auto"/>
              <w:rPr>
                <w:rFonts w:hint="eastAsia" w:ascii="宋体" w:hAnsi="宋体" w:eastAsia="宋体" w:cs="Times New Roman"/>
                <w:szCs w:val="21"/>
              </w:rPr>
            </w:pPr>
            <w:r>
              <w:rPr>
                <w:rFonts w:hint="eastAsia" w:ascii="宋体" w:hAnsi="宋体" w:eastAsia="宋体" w:cs="Times New Roman"/>
                <w:b/>
                <w:bCs/>
                <w:szCs w:val="21"/>
              </w:rPr>
              <w:t>指标点8-2</w:t>
            </w:r>
            <w:r>
              <w:rPr>
                <w:rFonts w:ascii="宋体" w:hAnsi="宋体" w:eastAsia="宋体" w:cs="Times New Roman"/>
                <w:b/>
                <w:bCs/>
                <w:szCs w:val="21"/>
              </w:rPr>
              <w:t>：</w:t>
            </w:r>
            <w:r>
              <w:rPr>
                <w:rFonts w:hint="eastAsia" w:ascii="宋体" w:hAnsi="宋体" w:eastAsia="宋体" w:cs="Times New Roman"/>
                <w:szCs w:val="21"/>
              </w:rPr>
              <w:t>【学会沟通交流】掌握人际沟通合作技能与方法，能与学生和家长以及同行、同事、专家进行有效沟通与合作，实现共同发展。</w:t>
            </w:r>
          </w:p>
        </w:tc>
        <w:tc>
          <w:tcPr>
            <w:tcW w:w="1191" w:type="dxa"/>
            <w:vAlign w:val="center"/>
          </w:tcPr>
          <w:p w14:paraId="5EB83CB8">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w:t>
            </w:r>
          </w:p>
          <w:p w14:paraId="5CFE3636">
            <w:pPr>
              <w:spacing w:line="276" w:lineRule="auto"/>
              <w:jc w:val="center"/>
              <w:rPr>
                <w:rFonts w:ascii="Times New Roman" w:hAnsi="Times New Roman" w:eastAsia="宋体" w:cs="Times New Roman"/>
                <w:szCs w:val="21"/>
              </w:rPr>
            </w:pPr>
            <w:r>
              <w:rPr>
                <w:rFonts w:ascii="宋体" w:hAnsi="宋体" w:eastAsia="宋体" w:cs="Times New Roman"/>
                <w:szCs w:val="21"/>
              </w:rPr>
              <w:t>3</w:t>
            </w:r>
          </w:p>
        </w:tc>
      </w:tr>
    </w:tbl>
    <w:p w14:paraId="0B38132F">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0144B4C4">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引导学生树立关心现实教育需求、关怀儿童的理念；弘扬师德师爱，增强儿童权益保护意识；强化儿童教育的法制观念，认识到教师自身专业职责，做家庭教育政策的贯彻者和践行者；厚植中华优秀传统文化，宣传优良家教家风家训等文化；立足人口政策现实，积极为家庭提供教育指导服务。</w:t>
      </w:r>
    </w:p>
    <w:p w14:paraId="43D769A4">
      <w:pPr>
        <w:spacing w:line="360" w:lineRule="auto"/>
        <w:jc w:val="left"/>
        <w:rPr>
          <w:rFonts w:hint="eastAsia" w:ascii="宋体" w:hAnsi="宋体" w:eastAsia="宋体" w:cs="Times New Roman"/>
          <w:b/>
          <w:sz w:val="24"/>
        </w:rPr>
      </w:pPr>
      <w:r>
        <w:rPr>
          <w:rFonts w:hint="eastAsia" w:ascii="宋体" w:hAnsi="宋体"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507"/>
        <w:gridCol w:w="1362"/>
        <w:gridCol w:w="2555"/>
        <w:gridCol w:w="1231"/>
        <w:gridCol w:w="438"/>
      </w:tblGrid>
      <w:tr w14:paraId="1730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Align w:val="center"/>
          </w:tcPr>
          <w:p w14:paraId="39FC9963">
            <w:pPr>
              <w:jc w:val="center"/>
              <w:rPr>
                <w:rFonts w:hint="eastAsia" w:ascii="宋体" w:hAnsi="宋体" w:eastAsia="宋体" w:cs="Times New Roman"/>
                <w:b/>
                <w:szCs w:val="21"/>
              </w:rPr>
            </w:pPr>
            <w:r>
              <w:rPr>
                <w:rFonts w:hint="eastAsia" w:ascii="宋体" w:hAnsi="宋体" w:eastAsia="宋体" w:cs="Times New Roman"/>
                <w:b/>
                <w:szCs w:val="21"/>
              </w:rPr>
              <w:t>知识</w:t>
            </w:r>
          </w:p>
          <w:p w14:paraId="2A9543FB">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507" w:type="dxa"/>
            <w:vAlign w:val="center"/>
          </w:tcPr>
          <w:p w14:paraId="3B5DC5EE">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362" w:type="dxa"/>
            <w:vAlign w:val="center"/>
          </w:tcPr>
          <w:p w14:paraId="177F1BD2">
            <w:pPr>
              <w:jc w:val="center"/>
              <w:rPr>
                <w:rFonts w:hint="eastAsia" w:ascii="宋体" w:hAnsi="宋体" w:eastAsia="宋体" w:cs="Times New Roman"/>
                <w:b/>
                <w:szCs w:val="21"/>
              </w:rPr>
            </w:pPr>
            <w:r>
              <w:rPr>
                <w:rFonts w:hint="eastAsia" w:ascii="宋体" w:hAnsi="宋体" w:eastAsia="宋体" w:cs="Times New Roman"/>
                <w:b/>
                <w:szCs w:val="21"/>
              </w:rPr>
              <w:t>对应</w:t>
            </w:r>
          </w:p>
          <w:p w14:paraId="025B1166">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555" w:type="dxa"/>
            <w:vAlign w:val="center"/>
          </w:tcPr>
          <w:p w14:paraId="7AB71BD1">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231" w:type="dxa"/>
            <w:vAlign w:val="center"/>
          </w:tcPr>
          <w:p w14:paraId="5DB30FBF">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396FF5AB">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247F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09F6A3">
            <w:pPr>
              <w:jc w:val="center"/>
              <w:rPr>
                <w:rFonts w:hint="eastAsia" w:ascii="宋体" w:hAnsi="宋体" w:eastAsia="宋体" w:cs="Times New Roman"/>
                <w:szCs w:val="21"/>
              </w:rPr>
            </w:pPr>
          </w:p>
          <w:p w14:paraId="7147A247">
            <w:pPr>
              <w:snapToGrid w:val="0"/>
              <w:jc w:val="center"/>
              <w:rPr>
                <w:rFonts w:hint="eastAsia" w:ascii="宋体" w:hAnsi="宋体" w:eastAsia="宋体" w:cs="Times New Roman"/>
                <w:szCs w:val="21"/>
              </w:rPr>
            </w:pPr>
            <w:r>
              <w:rPr>
                <w:rFonts w:hint="eastAsia" w:ascii="宋体" w:hAnsi="宋体" w:eastAsia="宋体" w:cs="Times New Roman"/>
                <w:szCs w:val="21"/>
              </w:rPr>
              <w:t>1.“家校社合作共育”概述</w:t>
            </w:r>
          </w:p>
        </w:tc>
        <w:tc>
          <w:tcPr>
            <w:tcW w:w="2507" w:type="dxa"/>
            <w:vAlign w:val="center"/>
          </w:tcPr>
          <w:p w14:paraId="6429808A">
            <w:pPr>
              <w:snapToGrid w:val="0"/>
              <w:rPr>
                <w:rFonts w:hint="eastAsia" w:ascii="宋体" w:hAnsi="宋体" w:eastAsia="宋体" w:cs="Times New Roman"/>
                <w:szCs w:val="21"/>
              </w:rPr>
            </w:pPr>
            <w:r>
              <w:rPr>
                <w:rFonts w:hint="eastAsia" w:ascii="宋体" w:hAnsi="宋体" w:eastAsia="宋体" w:cs="Times New Roman"/>
                <w:szCs w:val="21"/>
              </w:rPr>
              <w:t>（1）“家校社合作共育”课程介绍</w:t>
            </w:r>
          </w:p>
          <w:p w14:paraId="27352CFD">
            <w:pPr>
              <w:snapToGrid w:val="0"/>
              <w:rPr>
                <w:rFonts w:hint="eastAsia" w:ascii="宋体" w:hAnsi="宋体" w:eastAsia="宋体" w:cs="Times New Roman"/>
                <w:szCs w:val="21"/>
              </w:rPr>
            </w:pPr>
            <w:r>
              <w:rPr>
                <w:rFonts w:hint="eastAsia" w:ascii="宋体" w:hAnsi="宋体" w:eastAsia="宋体" w:cs="Times New Roman"/>
                <w:szCs w:val="21"/>
              </w:rPr>
              <w:t>（2）学习“家校社合作共育”的意义和方法</w:t>
            </w:r>
          </w:p>
        </w:tc>
        <w:tc>
          <w:tcPr>
            <w:tcW w:w="1362" w:type="dxa"/>
            <w:vAlign w:val="center"/>
          </w:tcPr>
          <w:p w14:paraId="3E0BAD3E">
            <w:pPr>
              <w:jc w:val="center"/>
              <w:rPr>
                <w:rFonts w:hint="eastAsia" w:ascii="宋体" w:hAnsi="宋体" w:eastAsia="宋体" w:cs="Times New Roman"/>
                <w:szCs w:val="21"/>
              </w:rPr>
            </w:pPr>
            <w:r>
              <w:rPr>
                <w:rFonts w:hint="eastAsia" w:ascii="宋体" w:hAnsi="宋体" w:eastAsia="宋体" w:cs="Times New Roman"/>
                <w:szCs w:val="21"/>
              </w:rPr>
              <w:t>目标1、2、3</w:t>
            </w:r>
          </w:p>
        </w:tc>
        <w:tc>
          <w:tcPr>
            <w:tcW w:w="2555" w:type="dxa"/>
            <w:vAlign w:val="center"/>
          </w:tcPr>
          <w:p w14:paraId="6101FA5D">
            <w:pPr>
              <w:snapToGrid w:val="0"/>
              <w:rPr>
                <w:rFonts w:hint="eastAsia"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了解“家校社合作共育”这门课程的学科归属</w:t>
            </w:r>
          </w:p>
          <w:p w14:paraId="23EEAFA2">
            <w:pPr>
              <w:snapToGrid w:val="0"/>
              <w:rPr>
                <w:rFonts w:hint="eastAsia"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能够理解“家校社合作共育”的意义、掌握其方法</w:t>
            </w:r>
          </w:p>
        </w:tc>
        <w:tc>
          <w:tcPr>
            <w:tcW w:w="1231" w:type="dxa"/>
            <w:vAlign w:val="center"/>
          </w:tcPr>
          <w:p w14:paraId="16D49845">
            <w:pPr>
              <w:jc w:val="center"/>
              <w:rPr>
                <w:rFonts w:hint="eastAsia" w:ascii="宋体" w:hAnsi="宋体" w:eastAsia="宋体" w:cs="Times New Roman"/>
                <w:szCs w:val="21"/>
              </w:rPr>
            </w:pPr>
            <w:r>
              <w:rPr>
                <w:rFonts w:hint="eastAsia" w:ascii="宋体" w:hAnsi="宋体" w:eastAsia="宋体" w:cs="Times New Roman"/>
                <w:szCs w:val="21"/>
              </w:rPr>
              <w:t>课堂讲授</w:t>
            </w:r>
          </w:p>
          <w:p w14:paraId="74E24E4E">
            <w:pPr>
              <w:jc w:val="center"/>
              <w:rPr>
                <w:rFonts w:hint="eastAsia" w:ascii="宋体" w:hAnsi="宋体" w:eastAsia="宋体" w:cs="Times New Roman"/>
                <w:szCs w:val="21"/>
              </w:rPr>
            </w:pPr>
            <w:r>
              <w:rPr>
                <w:rFonts w:hint="eastAsia" w:ascii="宋体" w:hAnsi="宋体" w:eastAsia="宋体" w:cs="Times New Roman"/>
                <w:szCs w:val="21"/>
              </w:rPr>
              <w:t>学生分享</w:t>
            </w:r>
          </w:p>
        </w:tc>
        <w:tc>
          <w:tcPr>
            <w:tcW w:w="438" w:type="dxa"/>
            <w:vAlign w:val="center"/>
          </w:tcPr>
          <w:p w14:paraId="28E2EBDE">
            <w:pPr>
              <w:jc w:val="center"/>
              <w:rPr>
                <w:rFonts w:hint="eastAsia" w:ascii="宋体" w:hAnsi="宋体" w:eastAsia="宋体" w:cs="Times New Roman"/>
                <w:szCs w:val="21"/>
              </w:rPr>
            </w:pPr>
            <w:r>
              <w:rPr>
                <w:rFonts w:hint="eastAsia" w:ascii="宋体" w:hAnsi="宋体" w:eastAsia="宋体" w:cs="Times New Roman"/>
                <w:szCs w:val="21"/>
              </w:rPr>
              <w:t>2</w:t>
            </w:r>
          </w:p>
        </w:tc>
      </w:tr>
      <w:tr w14:paraId="2B2E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4F63005">
            <w:pPr>
              <w:jc w:val="center"/>
              <w:rPr>
                <w:rFonts w:hint="eastAsia" w:ascii="宋体" w:hAnsi="宋体" w:eastAsia="宋体" w:cs="Times New Roman"/>
                <w:szCs w:val="21"/>
              </w:rPr>
            </w:pPr>
          </w:p>
        </w:tc>
        <w:tc>
          <w:tcPr>
            <w:tcW w:w="8093" w:type="dxa"/>
            <w:gridSpan w:val="5"/>
            <w:vAlign w:val="center"/>
          </w:tcPr>
          <w:p w14:paraId="339D0E01">
            <w:pPr>
              <w:snapToGrid w:val="0"/>
              <w:ind w:firstLine="413" w:firstLineChars="196"/>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家校社合作育人是社会主义教育价值观念的具体表现和集中反映，能够树立宏观的家校社合作育人的理念。 </w:t>
            </w:r>
          </w:p>
        </w:tc>
      </w:tr>
      <w:tr w14:paraId="4F8C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48E2770">
            <w:pPr>
              <w:snapToGrid w:val="0"/>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中国家庭教育的现状与特点</w:t>
            </w:r>
          </w:p>
        </w:tc>
        <w:tc>
          <w:tcPr>
            <w:tcW w:w="2507" w:type="dxa"/>
            <w:vAlign w:val="center"/>
          </w:tcPr>
          <w:p w14:paraId="1C8BD7A5">
            <w:pPr>
              <w:jc w:val="left"/>
              <w:rPr>
                <w:rFonts w:hint="eastAsia" w:ascii="宋体" w:hAnsi="宋体" w:eastAsia="宋体" w:cs="Times New Roman"/>
                <w:szCs w:val="21"/>
              </w:rPr>
            </w:pPr>
            <w:r>
              <w:rPr>
                <w:rFonts w:hint="eastAsia" w:ascii="宋体" w:hAnsi="宋体" w:eastAsia="宋体" w:cs="Times New Roman"/>
                <w:szCs w:val="21"/>
              </w:rPr>
              <w:t>中国家庭教育的现状及特点：</w:t>
            </w:r>
            <w:r>
              <w:rPr>
                <w:rFonts w:ascii="宋体" w:hAnsi="宋体" w:eastAsia="宋体" w:cs="Times New Roman"/>
                <w:szCs w:val="21"/>
              </w:rPr>
              <w:t>政府主导力度越来越大</w:t>
            </w:r>
            <w:r>
              <w:rPr>
                <w:rFonts w:hint="eastAsia" w:ascii="宋体" w:hAnsi="宋体" w:eastAsia="宋体" w:cs="Times New Roman"/>
                <w:szCs w:val="21"/>
              </w:rPr>
              <w:t>；</w:t>
            </w:r>
            <w:r>
              <w:rPr>
                <w:rFonts w:ascii="宋体" w:hAnsi="宋体" w:eastAsia="宋体" w:cs="Times New Roman"/>
                <w:szCs w:val="21"/>
              </w:rPr>
              <w:t>社会各方支持力度日趋加大</w:t>
            </w:r>
            <w:r>
              <w:rPr>
                <w:rFonts w:hint="eastAsia" w:ascii="宋体" w:hAnsi="宋体" w:eastAsia="宋体" w:cs="Times New Roman"/>
                <w:szCs w:val="21"/>
              </w:rPr>
              <w:t>；</w:t>
            </w:r>
            <w:r>
              <w:rPr>
                <w:rFonts w:ascii="宋体" w:hAnsi="宋体" w:eastAsia="宋体" w:cs="Times New Roman"/>
                <w:szCs w:val="21"/>
              </w:rPr>
              <w:t>家校社合作成为普遍追求</w:t>
            </w:r>
            <w:r>
              <w:rPr>
                <w:rFonts w:hint="eastAsia" w:ascii="宋体" w:hAnsi="宋体" w:eastAsia="宋体" w:cs="Times New Roman"/>
                <w:szCs w:val="21"/>
              </w:rPr>
              <w:t>；</w:t>
            </w:r>
            <w:r>
              <w:rPr>
                <w:rFonts w:ascii="宋体" w:hAnsi="宋体" w:eastAsia="宋体" w:cs="Times New Roman"/>
                <w:szCs w:val="21"/>
              </w:rPr>
              <w:t>家庭教育立法进入加速期</w:t>
            </w:r>
            <w:r>
              <w:rPr>
                <w:rFonts w:hint="eastAsia" w:ascii="宋体" w:hAnsi="宋体" w:eastAsia="宋体" w:cs="Times New Roman"/>
                <w:szCs w:val="21"/>
              </w:rPr>
              <w:t>；</w:t>
            </w:r>
            <w:r>
              <w:rPr>
                <w:rFonts w:ascii="宋体" w:hAnsi="宋体" w:eastAsia="宋体" w:cs="Times New Roman"/>
                <w:szCs w:val="21"/>
              </w:rPr>
              <w:t>强化父母的主体责任</w:t>
            </w:r>
            <w:r>
              <w:rPr>
                <w:rFonts w:hint="eastAsia" w:ascii="宋体" w:hAnsi="宋体" w:eastAsia="宋体" w:cs="Times New Roman"/>
                <w:szCs w:val="21"/>
              </w:rPr>
              <w:t>；家</w:t>
            </w:r>
            <w:r>
              <w:rPr>
                <w:rFonts w:ascii="宋体" w:hAnsi="宋体" w:eastAsia="宋体" w:cs="Times New Roman"/>
                <w:szCs w:val="21"/>
              </w:rPr>
              <w:t>庭教育指导进入新媒体时代</w:t>
            </w:r>
            <w:r>
              <w:rPr>
                <w:rFonts w:hint="eastAsia" w:ascii="宋体" w:hAnsi="宋体" w:eastAsia="宋体" w:cs="Times New Roman"/>
                <w:szCs w:val="21"/>
              </w:rPr>
              <w:t>；</w:t>
            </w:r>
            <w:r>
              <w:rPr>
                <w:rFonts w:ascii="宋体" w:hAnsi="宋体" w:eastAsia="宋体" w:cs="Times New Roman"/>
                <w:szCs w:val="21"/>
              </w:rPr>
              <w:t>家文化开始复兴</w:t>
            </w:r>
            <w:r>
              <w:rPr>
                <w:rFonts w:hint="eastAsia" w:ascii="宋体" w:hAnsi="宋体" w:eastAsia="宋体" w:cs="Times New Roman"/>
                <w:szCs w:val="21"/>
              </w:rPr>
              <w:t>。</w:t>
            </w:r>
          </w:p>
        </w:tc>
        <w:tc>
          <w:tcPr>
            <w:tcW w:w="1362" w:type="dxa"/>
            <w:vAlign w:val="center"/>
          </w:tcPr>
          <w:p w14:paraId="3BDC9442">
            <w:pPr>
              <w:jc w:val="center"/>
              <w:rPr>
                <w:rFonts w:hint="eastAsia" w:ascii="宋体" w:hAnsi="宋体" w:eastAsia="宋体" w:cs="Times New Roman"/>
                <w:szCs w:val="21"/>
              </w:rPr>
            </w:pPr>
            <w:r>
              <w:rPr>
                <w:rFonts w:hint="eastAsia" w:ascii="宋体" w:hAnsi="宋体" w:eastAsia="宋体" w:cs="Times New Roman"/>
                <w:szCs w:val="21"/>
              </w:rPr>
              <w:t>目标1、2、3</w:t>
            </w:r>
          </w:p>
        </w:tc>
        <w:tc>
          <w:tcPr>
            <w:tcW w:w="2555" w:type="dxa"/>
            <w:vAlign w:val="center"/>
          </w:tcPr>
          <w:p w14:paraId="18306E1D">
            <w:pPr>
              <w:jc w:val="left"/>
              <w:rPr>
                <w:rFonts w:hint="eastAsia" w:ascii="宋体" w:hAnsi="宋体" w:eastAsia="宋体" w:cs="Times New Roman"/>
                <w:szCs w:val="21"/>
              </w:rPr>
            </w:pPr>
            <w:r>
              <w:rPr>
                <w:rFonts w:hint="eastAsia" w:ascii="宋体" w:hAnsi="宋体" w:eastAsia="宋体" w:cs="Times New Roman"/>
                <w:szCs w:val="21"/>
              </w:rPr>
              <w:t>了解中国现阶段家庭教育的现状，领会家庭教育特点。</w:t>
            </w:r>
          </w:p>
        </w:tc>
        <w:tc>
          <w:tcPr>
            <w:tcW w:w="1231" w:type="dxa"/>
            <w:vAlign w:val="center"/>
          </w:tcPr>
          <w:p w14:paraId="14FD029D">
            <w:pPr>
              <w:jc w:val="center"/>
              <w:rPr>
                <w:rFonts w:hint="eastAsia" w:ascii="宋体" w:hAnsi="宋体" w:eastAsia="宋体" w:cs="Times New Roman"/>
                <w:szCs w:val="21"/>
              </w:rPr>
            </w:pPr>
            <w:r>
              <w:rPr>
                <w:rFonts w:hint="eastAsia" w:ascii="宋体" w:hAnsi="宋体" w:eastAsia="宋体" w:cs="Times New Roman"/>
                <w:szCs w:val="21"/>
              </w:rPr>
              <w:t>案例观摩</w:t>
            </w:r>
          </w:p>
          <w:p w14:paraId="4959FDBA">
            <w:pPr>
              <w:jc w:val="center"/>
              <w:rPr>
                <w:rFonts w:hint="eastAsia" w:ascii="宋体" w:hAnsi="宋体" w:eastAsia="宋体" w:cs="Times New Roman"/>
                <w:szCs w:val="21"/>
              </w:rPr>
            </w:pPr>
            <w:r>
              <w:rPr>
                <w:rFonts w:hint="eastAsia" w:ascii="宋体" w:hAnsi="宋体" w:eastAsia="宋体" w:cs="Times New Roman"/>
                <w:szCs w:val="21"/>
              </w:rPr>
              <w:t>小组讨论</w:t>
            </w:r>
          </w:p>
        </w:tc>
        <w:tc>
          <w:tcPr>
            <w:tcW w:w="438" w:type="dxa"/>
            <w:vAlign w:val="center"/>
          </w:tcPr>
          <w:p w14:paraId="1C67A75B">
            <w:pPr>
              <w:jc w:val="center"/>
              <w:rPr>
                <w:rFonts w:hint="eastAsia" w:ascii="宋体" w:hAnsi="宋体" w:eastAsia="宋体" w:cs="Times New Roman"/>
                <w:szCs w:val="21"/>
              </w:rPr>
            </w:pPr>
            <w:r>
              <w:rPr>
                <w:rFonts w:hint="eastAsia" w:ascii="宋体" w:hAnsi="宋体" w:eastAsia="宋体" w:cs="Times New Roman"/>
                <w:szCs w:val="21"/>
              </w:rPr>
              <w:t>4</w:t>
            </w:r>
          </w:p>
        </w:tc>
      </w:tr>
      <w:tr w14:paraId="125F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98E319">
            <w:pPr>
              <w:jc w:val="center"/>
              <w:rPr>
                <w:rFonts w:hint="eastAsia" w:ascii="宋体" w:hAnsi="宋体" w:eastAsia="宋体" w:cs="Times New Roman"/>
                <w:szCs w:val="21"/>
              </w:rPr>
            </w:pPr>
          </w:p>
        </w:tc>
        <w:tc>
          <w:tcPr>
            <w:tcW w:w="8093" w:type="dxa"/>
            <w:gridSpan w:val="5"/>
            <w:vAlign w:val="center"/>
          </w:tcPr>
          <w:p w14:paraId="7D4D1D08">
            <w:pPr>
              <w:snapToGrid w:val="0"/>
              <w:ind w:firstLine="413" w:firstLineChars="196"/>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树立关心现实教育需求、关怀儿童的教育理念，形成调查研究的教学与研究习惯，基于事实能够科学地开展自己的教育教学工作。</w:t>
            </w:r>
          </w:p>
        </w:tc>
      </w:tr>
      <w:tr w14:paraId="5E84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B4DAC1C">
            <w:pPr>
              <w:jc w:val="center"/>
              <w:rPr>
                <w:rFonts w:hint="eastAsia" w:ascii="宋体" w:hAnsi="宋体" w:eastAsia="宋体" w:cs="Times New Roman"/>
                <w:szCs w:val="21"/>
              </w:rPr>
            </w:pPr>
          </w:p>
          <w:p w14:paraId="6DD09E90">
            <w:pPr>
              <w:snapToGrid w:val="0"/>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家庭教育理论的发展与创新</w:t>
            </w:r>
          </w:p>
        </w:tc>
        <w:tc>
          <w:tcPr>
            <w:tcW w:w="2507" w:type="dxa"/>
            <w:vAlign w:val="center"/>
          </w:tcPr>
          <w:p w14:paraId="775FE5D5">
            <w:pPr>
              <w:snapToGrid w:val="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家庭教育理论中的核心概念与基本内容</w:t>
            </w:r>
          </w:p>
          <w:p w14:paraId="35010F65">
            <w:pPr>
              <w:snapToGrid w:val="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不同阶段的家庭教育理论发展</w:t>
            </w:r>
          </w:p>
          <w:p w14:paraId="04B868A4">
            <w:pPr>
              <w:snapToGrid w:val="0"/>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当代家庭教育理论的新发展</w:t>
            </w:r>
          </w:p>
          <w:p w14:paraId="319311FA">
            <w:pPr>
              <w:snapToGrid w:val="0"/>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家庭教育理论发展存在的主要问题</w:t>
            </w:r>
          </w:p>
          <w:p w14:paraId="722578B6">
            <w:pPr>
              <w:snapToGrid w:val="0"/>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家庭教育理论的研究趋势</w:t>
            </w:r>
          </w:p>
        </w:tc>
        <w:tc>
          <w:tcPr>
            <w:tcW w:w="1362" w:type="dxa"/>
            <w:vAlign w:val="center"/>
          </w:tcPr>
          <w:p w14:paraId="2294D69B">
            <w:pPr>
              <w:jc w:val="center"/>
              <w:rPr>
                <w:rFonts w:hint="eastAsia" w:ascii="宋体" w:hAnsi="宋体" w:eastAsia="宋体" w:cs="Times New Roman"/>
                <w:szCs w:val="21"/>
              </w:rPr>
            </w:pPr>
            <w:r>
              <w:rPr>
                <w:rFonts w:hint="eastAsia" w:ascii="宋体" w:hAnsi="宋体" w:eastAsia="宋体" w:cs="Times New Roman"/>
                <w:szCs w:val="21"/>
              </w:rPr>
              <w:t>目标1、2、3</w:t>
            </w:r>
          </w:p>
        </w:tc>
        <w:tc>
          <w:tcPr>
            <w:tcW w:w="2555" w:type="dxa"/>
            <w:vAlign w:val="center"/>
          </w:tcPr>
          <w:p w14:paraId="42F9AEC8">
            <w:pPr>
              <w:snapToGrid w:val="0"/>
              <w:rPr>
                <w:rFonts w:hint="eastAsia" w:ascii="宋体" w:hAnsi="宋体" w:eastAsia="宋体" w:cs="Times New Roman"/>
                <w:szCs w:val="21"/>
              </w:rPr>
            </w:pPr>
            <w:r>
              <w:rPr>
                <w:rFonts w:hint="eastAsia" w:ascii="宋体" w:hAnsi="宋体" w:eastAsia="宋体" w:cs="Times New Roman"/>
                <w:szCs w:val="21"/>
              </w:rPr>
              <w:t>（1）掌握</w:t>
            </w:r>
            <w:r>
              <w:rPr>
                <w:rFonts w:ascii="宋体" w:hAnsi="宋体" w:eastAsia="宋体" w:cs="Times New Roman"/>
                <w:szCs w:val="21"/>
              </w:rPr>
              <w:t>家庭教育理论中的核心概念与基本内容</w:t>
            </w:r>
          </w:p>
          <w:p w14:paraId="7FB30A84">
            <w:pPr>
              <w:snapToGrid w:val="0"/>
              <w:rPr>
                <w:rFonts w:hint="eastAsia" w:ascii="宋体" w:hAnsi="宋体" w:eastAsia="宋体" w:cs="Times New Roman"/>
                <w:szCs w:val="21"/>
              </w:rPr>
            </w:pPr>
            <w:r>
              <w:rPr>
                <w:rFonts w:hint="eastAsia" w:ascii="宋体" w:hAnsi="宋体" w:eastAsia="宋体" w:cs="Times New Roman"/>
                <w:szCs w:val="21"/>
              </w:rPr>
              <w:t>（2）理解</w:t>
            </w:r>
            <w:r>
              <w:rPr>
                <w:rFonts w:ascii="宋体" w:hAnsi="宋体" w:eastAsia="宋体" w:cs="Times New Roman"/>
                <w:szCs w:val="21"/>
              </w:rPr>
              <w:t>不同阶段的家庭教育理论发展</w:t>
            </w:r>
          </w:p>
          <w:p w14:paraId="12A75E52">
            <w:pPr>
              <w:snapToGrid w:val="0"/>
              <w:rPr>
                <w:rFonts w:hint="eastAsia" w:ascii="宋体" w:hAnsi="宋体" w:eastAsia="宋体" w:cs="Times New Roman"/>
                <w:szCs w:val="21"/>
              </w:rPr>
            </w:pPr>
            <w:r>
              <w:rPr>
                <w:rFonts w:hint="eastAsia" w:ascii="宋体" w:hAnsi="宋体" w:eastAsia="宋体" w:cs="Times New Roman"/>
                <w:szCs w:val="21"/>
              </w:rPr>
              <w:t>（3）了解</w:t>
            </w:r>
            <w:r>
              <w:rPr>
                <w:rFonts w:ascii="宋体" w:hAnsi="宋体" w:eastAsia="宋体" w:cs="Times New Roman"/>
                <w:szCs w:val="21"/>
              </w:rPr>
              <w:t>当代家庭教育理论的新发展</w:t>
            </w:r>
          </w:p>
          <w:p w14:paraId="39DA26B6">
            <w:pPr>
              <w:snapToGrid w:val="0"/>
              <w:rPr>
                <w:rFonts w:hint="eastAsia" w:ascii="宋体" w:hAnsi="宋体" w:eastAsia="宋体" w:cs="Times New Roman"/>
                <w:szCs w:val="21"/>
              </w:rPr>
            </w:pPr>
            <w:r>
              <w:rPr>
                <w:rFonts w:hint="eastAsia" w:ascii="宋体" w:hAnsi="宋体" w:eastAsia="宋体" w:cs="Times New Roman"/>
                <w:szCs w:val="21"/>
              </w:rPr>
              <w:t>（4）了解</w:t>
            </w:r>
            <w:r>
              <w:rPr>
                <w:rFonts w:ascii="宋体" w:hAnsi="宋体" w:eastAsia="宋体" w:cs="Times New Roman"/>
                <w:szCs w:val="21"/>
              </w:rPr>
              <w:t>家庭教育理论发展存在的主要问题</w:t>
            </w:r>
          </w:p>
          <w:p w14:paraId="010BF36E">
            <w:pPr>
              <w:jc w:val="left"/>
              <w:rPr>
                <w:rFonts w:hint="eastAsia" w:ascii="宋体" w:hAnsi="宋体" w:eastAsia="宋体" w:cs="Times New Roman"/>
                <w:szCs w:val="21"/>
              </w:rPr>
            </w:pPr>
            <w:r>
              <w:rPr>
                <w:rFonts w:hint="eastAsia" w:ascii="宋体" w:hAnsi="宋体" w:eastAsia="宋体" w:cs="Times New Roman"/>
                <w:szCs w:val="21"/>
              </w:rPr>
              <w:t>（5）了解</w:t>
            </w:r>
            <w:r>
              <w:rPr>
                <w:rFonts w:ascii="宋体" w:hAnsi="宋体" w:eastAsia="宋体" w:cs="Times New Roman"/>
                <w:szCs w:val="21"/>
              </w:rPr>
              <w:t>家庭教育理论的研究趋势</w:t>
            </w:r>
          </w:p>
        </w:tc>
        <w:tc>
          <w:tcPr>
            <w:tcW w:w="1231" w:type="dxa"/>
            <w:vAlign w:val="center"/>
          </w:tcPr>
          <w:p w14:paraId="4286783C">
            <w:pPr>
              <w:jc w:val="center"/>
              <w:rPr>
                <w:rFonts w:hint="eastAsia" w:ascii="宋体" w:hAnsi="宋体" w:eastAsia="宋体" w:cs="Times New Roman"/>
                <w:szCs w:val="21"/>
              </w:rPr>
            </w:pPr>
            <w:r>
              <w:rPr>
                <w:rFonts w:hint="eastAsia" w:ascii="宋体" w:hAnsi="宋体" w:eastAsia="宋体" w:cs="Times New Roman"/>
                <w:szCs w:val="21"/>
              </w:rPr>
              <w:t>课堂讲授</w:t>
            </w:r>
          </w:p>
          <w:p w14:paraId="3BBF7542">
            <w:pPr>
              <w:jc w:val="center"/>
              <w:rPr>
                <w:rFonts w:hint="eastAsia" w:ascii="宋体" w:hAnsi="宋体" w:eastAsia="宋体" w:cs="Times New Roman"/>
                <w:szCs w:val="21"/>
              </w:rPr>
            </w:pPr>
            <w:r>
              <w:rPr>
                <w:rFonts w:hint="eastAsia" w:ascii="宋体" w:hAnsi="宋体" w:eastAsia="宋体" w:cs="Times New Roman"/>
                <w:szCs w:val="21"/>
              </w:rPr>
              <w:t>学生分享</w:t>
            </w:r>
          </w:p>
        </w:tc>
        <w:tc>
          <w:tcPr>
            <w:tcW w:w="438" w:type="dxa"/>
            <w:vAlign w:val="center"/>
          </w:tcPr>
          <w:p w14:paraId="3B0233A7">
            <w:pPr>
              <w:jc w:val="center"/>
              <w:rPr>
                <w:rFonts w:hint="eastAsia" w:ascii="宋体" w:hAnsi="宋体" w:eastAsia="宋体" w:cs="Times New Roman"/>
                <w:szCs w:val="21"/>
              </w:rPr>
            </w:pPr>
            <w:r>
              <w:rPr>
                <w:rFonts w:hint="eastAsia" w:ascii="宋体" w:hAnsi="宋体" w:eastAsia="宋体" w:cs="Times New Roman"/>
                <w:szCs w:val="21"/>
              </w:rPr>
              <w:t>4</w:t>
            </w:r>
          </w:p>
        </w:tc>
      </w:tr>
      <w:tr w14:paraId="3372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6EB8A44">
            <w:pPr>
              <w:jc w:val="center"/>
              <w:rPr>
                <w:rFonts w:hint="eastAsia" w:ascii="宋体" w:hAnsi="宋体" w:eastAsia="宋体" w:cs="Times New Roman"/>
                <w:szCs w:val="21"/>
              </w:rPr>
            </w:pPr>
          </w:p>
        </w:tc>
        <w:tc>
          <w:tcPr>
            <w:tcW w:w="8093" w:type="dxa"/>
            <w:gridSpan w:val="5"/>
            <w:vAlign w:val="center"/>
          </w:tcPr>
          <w:p w14:paraId="65240F78">
            <w:pPr>
              <w:snapToGrid w:val="0"/>
              <w:ind w:firstLine="413" w:firstLineChars="196"/>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胸怀家国、关注中国现实，形成调查研究的教学与研究习惯，基于事实能够科学地开展自己的教育教学工作。</w:t>
            </w:r>
          </w:p>
        </w:tc>
      </w:tr>
      <w:tr w14:paraId="73B8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41AA76F">
            <w:pPr>
              <w:snapToGrid w:val="0"/>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家庭教育的立法进程</w:t>
            </w:r>
          </w:p>
        </w:tc>
        <w:tc>
          <w:tcPr>
            <w:tcW w:w="2507" w:type="dxa"/>
            <w:vAlign w:val="center"/>
          </w:tcPr>
          <w:p w14:paraId="4D9623A4">
            <w:pPr>
              <w:snapToGrid w:val="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家庭教育法的背景和意义</w:t>
            </w:r>
          </w:p>
          <w:p w14:paraId="13E22E03">
            <w:pPr>
              <w:snapToGrid w:val="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家庭教育立法的现状与进展</w:t>
            </w:r>
          </w:p>
          <w:p w14:paraId="670BDDFD">
            <w:pPr>
              <w:snapToGrid w:val="0"/>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制定家庭教育法的思路与重点</w:t>
            </w:r>
          </w:p>
        </w:tc>
        <w:tc>
          <w:tcPr>
            <w:tcW w:w="1362" w:type="dxa"/>
            <w:vAlign w:val="center"/>
          </w:tcPr>
          <w:p w14:paraId="4D5015E4">
            <w:pPr>
              <w:jc w:val="center"/>
              <w:rPr>
                <w:rFonts w:hint="eastAsia" w:ascii="宋体" w:hAnsi="宋体" w:eastAsia="宋体" w:cs="Times New Roman"/>
                <w:szCs w:val="21"/>
              </w:rPr>
            </w:pPr>
            <w:r>
              <w:rPr>
                <w:rFonts w:hint="eastAsia" w:ascii="宋体" w:hAnsi="宋体" w:eastAsia="宋体" w:cs="Times New Roman"/>
                <w:szCs w:val="21"/>
              </w:rPr>
              <w:t>目标1、2、3</w:t>
            </w:r>
          </w:p>
        </w:tc>
        <w:tc>
          <w:tcPr>
            <w:tcW w:w="2555" w:type="dxa"/>
            <w:vAlign w:val="center"/>
          </w:tcPr>
          <w:p w14:paraId="1464A3A6">
            <w:pPr>
              <w:snapToGrid w:val="0"/>
              <w:rPr>
                <w:rFonts w:hint="eastAsia"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了解《</w:t>
            </w:r>
            <w:r>
              <w:rPr>
                <w:rFonts w:ascii="宋体" w:hAnsi="宋体" w:eastAsia="宋体" w:cs="Times New Roman"/>
                <w:szCs w:val="21"/>
              </w:rPr>
              <w:t>家庭教育</w:t>
            </w:r>
            <w:r>
              <w:rPr>
                <w:rFonts w:hint="eastAsia" w:ascii="宋体" w:hAnsi="宋体" w:eastAsia="宋体" w:cs="Times New Roman"/>
                <w:szCs w:val="21"/>
              </w:rPr>
              <w:t>促进</w:t>
            </w:r>
            <w:r>
              <w:rPr>
                <w:rFonts w:ascii="宋体" w:hAnsi="宋体" w:eastAsia="宋体" w:cs="Times New Roman"/>
                <w:szCs w:val="21"/>
              </w:rPr>
              <w:t>法</w:t>
            </w:r>
            <w:r>
              <w:rPr>
                <w:rFonts w:hint="eastAsia" w:ascii="宋体" w:hAnsi="宋体" w:eastAsia="宋体" w:cs="Times New Roman"/>
                <w:szCs w:val="21"/>
              </w:rPr>
              <w:t>》等国家立法</w:t>
            </w:r>
            <w:r>
              <w:rPr>
                <w:rFonts w:ascii="宋体" w:hAnsi="宋体" w:eastAsia="宋体" w:cs="Times New Roman"/>
                <w:szCs w:val="21"/>
              </w:rPr>
              <w:t>背景和意义</w:t>
            </w:r>
          </w:p>
          <w:p w14:paraId="73E6C648">
            <w:pPr>
              <w:snapToGrid w:val="0"/>
              <w:rPr>
                <w:rFonts w:hint="eastAsia"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明确我国</w:t>
            </w:r>
            <w:r>
              <w:rPr>
                <w:rFonts w:ascii="宋体" w:hAnsi="宋体" w:eastAsia="宋体" w:cs="Times New Roman"/>
                <w:szCs w:val="21"/>
              </w:rPr>
              <w:t>家庭教育立法的现状与进展</w:t>
            </w:r>
          </w:p>
          <w:p w14:paraId="7751B416">
            <w:pPr>
              <w:snapToGrid w:val="0"/>
              <w:rPr>
                <w:rFonts w:hint="eastAsia" w:ascii="宋体" w:hAnsi="宋体" w:eastAsia="宋体" w:cs="Times New Roman"/>
                <w:sz w:val="24"/>
              </w:rPr>
            </w:pPr>
            <w:r>
              <w:rPr>
                <w:rFonts w:ascii="宋体" w:hAnsi="宋体" w:eastAsia="宋体" w:cs="Times New Roman"/>
                <w:szCs w:val="21"/>
              </w:rPr>
              <w:t>（</w:t>
            </w: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理解我国</w:t>
            </w:r>
            <w:r>
              <w:rPr>
                <w:rFonts w:ascii="宋体" w:hAnsi="宋体" w:eastAsia="宋体" w:cs="Times New Roman"/>
                <w:szCs w:val="21"/>
              </w:rPr>
              <w:t>制定家庭教育法的思路与重点</w:t>
            </w:r>
          </w:p>
          <w:p w14:paraId="14769A9E">
            <w:pPr>
              <w:jc w:val="left"/>
              <w:rPr>
                <w:rFonts w:hint="eastAsia" w:ascii="宋体" w:hAnsi="宋体" w:eastAsia="宋体" w:cs="Times New Roman"/>
                <w:szCs w:val="21"/>
              </w:rPr>
            </w:pPr>
          </w:p>
        </w:tc>
        <w:tc>
          <w:tcPr>
            <w:tcW w:w="1231" w:type="dxa"/>
            <w:vAlign w:val="center"/>
          </w:tcPr>
          <w:p w14:paraId="25166529">
            <w:pPr>
              <w:jc w:val="center"/>
              <w:rPr>
                <w:rFonts w:hint="eastAsia" w:ascii="宋体" w:hAnsi="宋体" w:eastAsia="宋体" w:cs="Times New Roman"/>
                <w:szCs w:val="21"/>
              </w:rPr>
            </w:pPr>
            <w:r>
              <w:rPr>
                <w:rFonts w:hint="eastAsia" w:ascii="宋体" w:hAnsi="宋体" w:eastAsia="宋体" w:cs="Times New Roman"/>
                <w:szCs w:val="21"/>
              </w:rPr>
              <w:t>自我学习</w:t>
            </w:r>
          </w:p>
          <w:p w14:paraId="67338D7D">
            <w:pPr>
              <w:jc w:val="center"/>
              <w:rPr>
                <w:rFonts w:hint="eastAsia" w:ascii="宋体" w:hAnsi="宋体" w:eastAsia="宋体" w:cs="Times New Roman"/>
                <w:szCs w:val="21"/>
              </w:rPr>
            </w:pPr>
            <w:r>
              <w:rPr>
                <w:rFonts w:hint="eastAsia" w:ascii="宋体" w:hAnsi="宋体" w:eastAsia="宋体" w:cs="Times New Roman"/>
                <w:szCs w:val="21"/>
              </w:rPr>
              <w:t>课堂分享</w:t>
            </w:r>
          </w:p>
        </w:tc>
        <w:tc>
          <w:tcPr>
            <w:tcW w:w="438" w:type="dxa"/>
            <w:vAlign w:val="center"/>
          </w:tcPr>
          <w:p w14:paraId="3FC7EC12">
            <w:pPr>
              <w:jc w:val="center"/>
              <w:rPr>
                <w:rFonts w:hint="eastAsia" w:ascii="宋体" w:hAnsi="宋体" w:eastAsia="宋体" w:cs="Times New Roman"/>
                <w:szCs w:val="21"/>
              </w:rPr>
            </w:pPr>
            <w:r>
              <w:rPr>
                <w:rFonts w:hint="eastAsia" w:ascii="宋体" w:hAnsi="宋体" w:eastAsia="宋体" w:cs="Times New Roman"/>
                <w:szCs w:val="21"/>
              </w:rPr>
              <w:t>4</w:t>
            </w:r>
          </w:p>
        </w:tc>
      </w:tr>
      <w:tr w14:paraId="4C81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335D9D">
            <w:pPr>
              <w:jc w:val="center"/>
              <w:rPr>
                <w:rFonts w:hint="eastAsia" w:ascii="宋体" w:hAnsi="宋体" w:eastAsia="宋体" w:cs="Times New Roman"/>
                <w:szCs w:val="21"/>
              </w:rPr>
            </w:pPr>
          </w:p>
        </w:tc>
        <w:tc>
          <w:tcPr>
            <w:tcW w:w="8093" w:type="dxa"/>
            <w:gridSpan w:val="5"/>
            <w:vAlign w:val="center"/>
          </w:tcPr>
          <w:p w14:paraId="4D9AF3A0">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树立儿童教育法制观念，明确自身教师家庭教育指导的责任，能够成为国家家庭教育政策的贯彻者和践行者。 </w:t>
            </w:r>
          </w:p>
        </w:tc>
      </w:tr>
      <w:tr w14:paraId="5F7E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18F634C">
            <w:pPr>
              <w:snapToGrid w:val="0"/>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中国家庭教育中的儿童权利保护</w:t>
            </w:r>
          </w:p>
        </w:tc>
        <w:tc>
          <w:tcPr>
            <w:tcW w:w="2507" w:type="dxa"/>
            <w:vAlign w:val="center"/>
          </w:tcPr>
          <w:p w14:paraId="44E12157">
            <w:pPr>
              <w:jc w:val="left"/>
              <w:rPr>
                <w:rFonts w:hint="eastAsia" w:ascii="宋体" w:hAnsi="宋体" w:eastAsia="宋体" w:cs="Times New Roman"/>
                <w:szCs w:val="21"/>
              </w:rPr>
            </w:pPr>
            <w:r>
              <w:rPr>
                <w:rFonts w:hint="eastAsia" w:ascii="宋体" w:hAnsi="宋体" w:eastAsia="宋体" w:cs="Times New Roman"/>
                <w:szCs w:val="21"/>
              </w:rPr>
              <w:t>中国儿童权利及其家庭教育中的权利保护</w:t>
            </w:r>
          </w:p>
        </w:tc>
        <w:tc>
          <w:tcPr>
            <w:tcW w:w="1362" w:type="dxa"/>
            <w:vAlign w:val="center"/>
          </w:tcPr>
          <w:p w14:paraId="0BC8F26E">
            <w:pPr>
              <w:jc w:val="center"/>
              <w:rPr>
                <w:rFonts w:hint="eastAsia" w:ascii="宋体" w:hAnsi="宋体" w:eastAsia="宋体" w:cs="Times New Roman"/>
                <w:szCs w:val="21"/>
              </w:rPr>
            </w:pPr>
            <w:r>
              <w:rPr>
                <w:rFonts w:hint="eastAsia" w:ascii="宋体" w:hAnsi="宋体" w:eastAsia="宋体" w:cs="Times New Roman"/>
                <w:szCs w:val="21"/>
              </w:rPr>
              <w:t>目标1、2、3</w:t>
            </w:r>
          </w:p>
        </w:tc>
        <w:tc>
          <w:tcPr>
            <w:tcW w:w="2555" w:type="dxa"/>
            <w:vAlign w:val="center"/>
          </w:tcPr>
          <w:p w14:paraId="3709280C">
            <w:pPr>
              <w:snapToGrid w:val="0"/>
              <w:rPr>
                <w:rFonts w:hint="eastAsia" w:ascii="宋体" w:hAnsi="宋体" w:eastAsia="宋体" w:cs="Times New Roman"/>
                <w:szCs w:val="21"/>
              </w:rPr>
            </w:pPr>
            <w:r>
              <w:rPr>
                <w:rFonts w:hint="eastAsia" w:ascii="宋体" w:hAnsi="宋体" w:eastAsia="宋体" w:cs="Times New Roman"/>
                <w:szCs w:val="21"/>
              </w:rPr>
              <w:t>（1）明确我国</w:t>
            </w:r>
            <w:r>
              <w:rPr>
                <w:rFonts w:ascii="宋体" w:hAnsi="宋体" w:eastAsia="宋体" w:cs="Times New Roman"/>
                <w:szCs w:val="21"/>
              </w:rPr>
              <w:t>政策和法规</w:t>
            </w:r>
            <w:r>
              <w:rPr>
                <w:rFonts w:hint="eastAsia" w:ascii="宋体" w:hAnsi="宋体" w:eastAsia="宋体" w:cs="Times New Roman"/>
                <w:szCs w:val="21"/>
              </w:rPr>
              <w:t>规定的儿童权利及其教师责任</w:t>
            </w:r>
          </w:p>
          <w:p w14:paraId="75523623">
            <w:pPr>
              <w:snapToGrid w:val="0"/>
              <w:rPr>
                <w:rFonts w:hint="eastAsia" w:ascii="宋体" w:hAnsi="宋体" w:eastAsia="宋体" w:cs="Times New Roman"/>
                <w:szCs w:val="21"/>
              </w:rPr>
            </w:pPr>
            <w:r>
              <w:rPr>
                <w:rFonts w:hint="eastAsia" w:ascii="宋体" w:hAnsi="宋体" w:eastAsia="宋体" w:cs="Times New Roman"/>
                <w:szCs w:val="21"/>
              </w:rPr>
              <w:t>（2）能够通过自身行动贯彻落实我国儿童权利保护</w:t>
            </w:r>
          </w:p>
          <w:p w14:paraId="6DF3DE7D">
            <w:pPr>
              <w:snapToGrid w:val="0"/>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）学会指导</w:t>
            </w:r>
            <w:r>
              <w:rPr>
                <w:rFonts w:ascii="宋体" w:hAnsi="宋体" w:eastAsia="宋体" w:cs="Times New Roman"/>
                <w:szCs w:val="21"/>
              </w:rPr>
              <w:t>家庭教育中的儿童权利保护</w:t>
            </w:r>
          </w:p>
        </w:tc>
        <w:tc>
          <w:tcPr>
            <w:tcW w:w="1231" w:type="dxa"/>
            <w:vAlign w:val="center"/>
          </w:tcPr>
          <w:p w14:paraId="3FAB5254">
            <w:pPr>
              <w:jc w:val="center"/>
              <w:rPr>
                <w:rFonts w:hint="eastAsia" w:ascii="宋体" w:hAnsi="宋体" w:eastAsia="宋体" w:cs="Times New Roman"/>
                <w:szCs w:val="21"/>
              </w:rPr>
            </w:pPr>
            <w:r>
              <w:rPr>
                <w:rFonts w:hint="eastAsia" w:ascii="宋体" w:hAnsi="宋体" w:eastAsia="宋体" w:cs="Times New Roman"/>
                <w:szCs w:val="21"/>
              </w:rPr>
              <w:t>案例观摩</w:t>
            </w:r>
          </w:p>
        </w:tc>
        <w:tc>
          <w:tcPr>
            <w:tcW w:w="438" w:type="dxa"/>
            <w:vAlign w:val="center"/>
          </w:tcPr>
          <w:p w14:paraId="2A82302B">
            <w:pPr>
              <w:jc w:val="center"/>
              <w:rPr>
                <w:rFonts w:hint="eastAsia" w:ascii="宋体" w:hAnsi="宋体" w:eastAsia="宋体" w:cs="Times New Roman"/>
                <w:szCs w:val="21"/>
              </w:rPr>
            </w:pPr>
            <w:r>
              <w:rPr>
                <w:rFonts w:hint="eastAsia" w:ascii="宋体" w:hAnsi="宋体" w:eastAsia="宋体" w:cs="Times New Roman"/>
                <w:szCs w:val="21"/>
              </w:rPr>
              <w:t>4</w:t>
            </w:r>
          </w:p>
        </w:tc>
      </w:tr>
      <w:tr w14:paraId="358E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6A64C32">
            <w:pPr>
              <w:jc w:val="center"/>
              <w:rPr>
                <w:rFonts w:hint="eastAsia" w:ascii="宋体" w:hAnsi="宋体" w:eastAsia="宋体" w:cs="Times New Roman"/>
                <w:szCs w:val="21"/>
              </w:rPr>
            </w:pPr>
          </w:p>
        </w:tc>
        <w:tc>
          <w:tcPr>
            <w:tcW w:w="8093" w:type="dxa"/>
            <w:gridSpan w:val="5"/>
            <w:vAlign w:val="center"/>
          </w:tcPr>
          <w:p w14:paraId="04C5DBCE">
            <w:pPr>
              <w:snapToGrid w:val="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树立正确的儿童观，树立儿童权利保护意识、教育法律观念，强化教师职业信念，弘扬师德、师爱，爱护儿童，帮助儿童健康快乐成长。</w:t>
            </w:r>
          </w:p>
        </w:tc>
      </w:tr>
      <w:tr w14:paraId="6516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94D43FA">
            <w:pPr>
              <w:snapToGrid w:val="0"/>
              <w:jc w:val="center"/>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独生子女和二孩政策</w:t>
            </w:r>
            <w:r>
              <w:rPr>
                <w:rFonts w:hint="eastAsia" w:ascii="宋体" w:hAnsi="宋体" w:eastAsia="宋体" w:cs="Times New Roman"/>
                <w:szCs w:val="21"/>
              </w:rPr>
              <w:t>及其对</w:t>
            </w:r>
            <w:r>
              <w:rPr>
                <w:rFonts w:ascii="宋体" w:hAnsi="宋体" w:eastAsia="宋体" w:cs="Times New Roman"/>
                <w:szCs w:val="21"/>
              </w:rPr>
              <w:t>家庭教育的影响</w:t>
            </w:r>
          </w:p>
        </w:tc>
        <w:tc>
          <w:tcPr>
            <w:tcW w:w="2507" w:type="dxa"/>
            <w:vAlign w:val="center"/>
          </w:tcPr>
          <w:p w14:paraId="14359621">
            <w:pPr>
              <w:snapToGrid w:val="0"/>
              <w:rPr>
                <w:rFonts w:hint="eastAsia" w:ascii="宋体" w:hAnsi="宋体" w:eastAsia="宋体" w:cs="Times New Roman"/>
                <w:szCs w:val="21"/>
              </w:rPr>
            </w:pPr>
            <w:r>
              <w:rPr>
                <w:rFonts w:hint="eastAsia" w:ascii="宋体" w:hAnsi="宋体" w:eastAsia="宋体" w:cs="Times New Roman"/>
                <w:szCs w:val="21"/>
              </w:rPr>
              <w:t>（1）家庭的结构类型</w:t>
            </w:r>
          </w:p>
          <w:p w14:paraId="66CD2E54">
            <w:pPr>
              <w:snapToGrid w:val="0"/>
              <w:rPr>
                <w:rFonts w:hint="eastAsia" w:ascii="宋体" w:hAnsi="宋体" w:eastAsia="宋体" w:cs="Times New Roman"/>
                <w:sz w:val="24"/>
              </w:rPr>
            </w:pPr>
            <w:r>
              <w:rPr>
                <w:rFonts w:hint="eastAsia" w:ascii="宋体" w:hAnsi="宋体" w:eastAsia="宋体" w:cs="Times New Roman"/>
                <w:szCs w:val="21"/>
              </w:rPr>
              <w:t>（2）现阶段少子化时代的家庭教育现状</w:t>
            </w:r>
          </w:p>
        </w:tc>
        <w:tc>
          <w:tcPr>
            <w:tcW w:w="1362" w:type="dxa"/>
            <w:vAlign w:val="center"/>
          </w:tcPr>
          <w:p w14:paraId="68772B26">
            <w:pPr>
              <w:jc w:val="center"/>
              <w:rPr>
                <w:rFonts w:hint="eastAsia" w:ascii="宋体" w:hAnsi="宋体" w:eastAsia="宋体" w:cs="Times New Roman"/>
                <w:szCs w:val="21"/>
              </w:rPr>
            </w:pPr>
            <w:r>
              <w:rPr>
                <w:rFonts w:hint="eastAsia" w:ascii="宋体" w:hAnsi="宋体" w:eastAsia="宋体" w:cs="Times New Roman"/>
                <w:szCs w:val="21"/>
              </w:rPr>
              <w:t>目标1、2、3</w:t>
            </w:r>
          </w:p>
        </w:tc>
        <w:tc>
          <w:tcPr>
            <w:tcW w:w="2555" w:type="dxa"/>
            <w:vAlign w:val="center"/>
          </w:tcPr>
          <w:p w14:paraId="3EBF3A74">
            <w:pPr>
              <w:snapToGrid w:val="0"/>
              <w:rPr>
                <w:rFonts w:hint="eastAsia" w:ascii="宋体" w:hAnsi="宋体" w:eastAsia="宋体" w:cs="Times New Roman"/>
                <w:szCs w:val="21"/>
              </w:rPr>
            </w:pPr>
            <w:r>
              <w:rPr>
                <w:rFonts w:hint="eastAsia" w:ascii="宋体" w:hAnsi="宋体" w:eastAsia="宋体" w:cs="Times New Roman"/>
                <w:szCs w:val="21"/>
              </w:rPr>
              <w:t>（1）掌握家庭的结构类型</w:t>
            </w:r>
          </w:p>
          <w:p w14:paraId="49325253">
            <w:pPr>
              <w:snapToGrid w:val="0"/>
              <w:rPr>
                <w:rFonts w:hint="eastAsia" w:ascii="宋体" w:hAnsi="宋体" w:eastAsia="宋体" w:cs="Times New Roman"/>
                <w:szCs w:val="21"/>
              </w:rPr>
            </w:pPr>
            <w:r>
              <w:rPr>
                <w:rFonts w:hint="eastAsia" w:ascii="宋体" w:hAnsi="宋体" w:eastAsia="宋体" w:cs="Times New Roman"/>
                <w:szCs w:val="21"/>
              </w:rPr>
              <w:t>（2）了解现阶段少子化时代特点：独生子女和二孩政策</w:t>
            </w:r>
          </w:p>
          <w:p w14:paraId="2A8D205B">
            <w:pPr>
              <w:snapToGrid w:val="0"/>
              <w:rPr>
                <w:rFonts w:hint="eastAsia" w:ascii="宋体" w:hAnsi="宋体" w:eastAsia="宋体" w:cs="Times New Roman"/>
                <w:szCs w:val="21"/>
              </w:rPr>
            </w:pPr>
            <w:r>
              <w:rPr>
                <w:rFonts w:hint="eastAsia" w:ascii="宋体" w:hAnsi="宋体" w:eastAsia="宋体" w:cs="Times New Roman"/>
                <w:szCs w:val="21"/>
              </w:rPr>
              <w:t>（3）家庭教育的结构动力学分析及思考</w:t>
            </w:r>
          </w:p>
        </w:tc>
        <w:tc>
          <w:tcPr>
            <w:tcW w:w="1231" w:type="dxa"/>
            <w:vAlign w:val="center"/>
          </w:tcPr>
          <w:p w14:paraId="031F139C">
            <w:pPr>
              <w:jc w:val="center"/>
              <w:rPr>
                <w:rFonts w:hint="eastAsia" w:ascii="宋体" w:hAnsi="宋体" w:eastAsia="宋体" w:cs="Times New Roman"/>
                <w:szCs w:val="21"/>
              </w:rPr>
            </w:pPr>
            <w:r>
              <w:rPr>
                <w:rFonts w:hint="eastAsia" w:ascii="宋体" w:hAnsi="宋体" w:eastAsia="宋体" w:cs="Times New Roman"/>
                <w:szCs w:val="21"/>
              </w:rPr>
              <w:t>学生分享</w:t>
            </w:r>
          </w:p>
        </w:tc>
        <w:tc>
          <w:tcPr>
            <w:tcW w:w="438" w:type="dxa"/>
            <w:vAlign w:val="center"/>
          </w:tcPr>
          <w:p w14:paraId="5A400543">
            <w:pPr>
              <w:jc w:val="center"/>
              <w:rPr>
                <w:rFonts w:hint="eastAsia" w:ascii="宋体" w:hAnsi="宋体" w:eastAsia="宋体" w:cs="Times New Roman"/>
                <w:szCs w:val="21"/>
              </w:rPr>
            </w:pPr>
            <w:r>
              <w:rPr>
                <w:rFonts w:hint="eastAsia" w:ascii="宋体" w:hAnsi="宋体" w:eastAsia="宋体" w:cs="Times New Roman"/>
                <w:szCs w:val="21"/>
              </w:rPr>
              <w:t>4</w:t>
            </w:r>
          </w:p>
        </w:tc>
      </w:tr>
      <w:tr w14:paraId="519F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4F7B9F4">
            <w:pPr>
              <w:jc w:val="center"/>
              <w:rPr>
                <w:rFonts w:hint="eastAsia" w:ascii="宋体" w:hAnsi="宋体" w:eastAsia="宋体" w:cs="Times New Roman"/>
                <w:szCs w:val="21"/>
              </w:rPr>
            </w:pPr>
          </w:p>
        </w:tc>
        <w:tc>
          <w:tcPr>
            <w:tcW w:w="8093" w:type="dxa"/>
            <w:gridSpan w:val="5"/>
            <w:vAlign w:val="center"/>
          </w:tcPr>
          <w:p w14:paraId="1EA5970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胸怀家国、关注现实，责任担当，能够认识到自身的教师社会责任。</w:t>
            </w:r>
          </w:p>
        </w:tc>
      </w:tr>
      <w:tr w14:paraId="7551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34CD5CD">
            <w:pPr>
              <w:snapToGrid w:val="0"/>
              <w:jc w:val="center"/>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家庭中祖辈参与教养的现状与特点</w:t>
            </w:r>
          </w:p>
        </w:tc>
        <w:tc>
          <w:tcPr>
            <w:tcW w:w="2507" w:type="dxa"/>
            <w:vAlign w:val="center"/>
          </w:tcPr>
          <w:p w14:paraId="15B30A18">
            <w:pPr>
              <w:snapToGrid w:val="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家庭中常见的家庭教养模式</w:t>
            </w:r>
          </w:p>
          <w:p w14:paraId="1096EE6C">
            <w:pPr>
              <w:snapToGrid w:val="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家庭教养中祖辈参与</w:t>
            </w:r>
            <w:r>
              <w:rPr>
                <w:rFonts w:hint="eastAsia" w:ascii="宋体" w:hAnsi="宋体" w:eastAsia="宋体" w:cs="Times New Roman"/>
                <w:szCs w:val="21"/>
              </w:rPr>
              <w:t>教养的意义、现状、问题及建议</w:t>
            </w:r>
          </w:p>
        </w:tc>
        <w:tc>
          <w:tcPr>
            <w:tcW w:w="1362" w:type="dxa"/>
            <w:vAlign w:val="center"/>
          </w:tcPr>
          <w:p w14:paraId="09456574">
            <w:pPr>
              <w:jc w:val="center"/>
              <w:rPr>
                <w:rFonts w:hint="eastAsia" w:ascii="宋体" w:hAnsi="宋体" w:eastAsia="宋体" w:cs="Times New Roman"/>
                <w:szCs w:val="21"/>
              </w:rPr>
            </w:pPr>
            <w:r>
              <w:rPr>
                <w:rFonts w:hint="eastAsia" w:ascii="宋体" w:hAnsi="宋体" w:eastAsia="宋体" w:cs="Times New Roman"/>
                <w:szCs w:val="21"/>
              </w:rPr>
              <w:t>目标1、2、3</w:t>
            </w:r>
          </w:p>
        </w:tc>
        <w:tc>
          <w:tcPr>
            <w:tcW w:w="2555" w:type="dxa"/>
            <w:vAlign w:val="center"/>
          </w:tcPr>
          <w:p w14:paraId="4651B9CE">
            <w:pPr>
              <w:snapToGrid w:val="0"/>
              <w:rPr>
                <w:rFonts w:hint="eastAsia"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掌握</w:t>
            </w:r>
            <w:r>
              <w:rPr>
                <w:rFonts w:ascii="宋体" w:hAnsi="宋体" w:eastAsia="宋体" w:cs="Times New Roman"/>
                <w:szCs w:val="21"/>
              </w:rPr>
              <w:t>家庭中常见的家庭教养模式</w:t>
            </w:r>
          </w:p>
          <w:p w14:paraId="4851E32F">
            <w:pPr>
              <w:snapToGrid w:val="0"/>
              <w:rPr>
                <w:rFonts w:hint="eastAsia"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理解</w:t>
            </w:r>
            <w:r>
              <w:rPr>
                <w:rFonts w:ascii="宋体" w:hAnsi="宋体" w:eastAsia="宋体" w:cs="Times New Roman"/>
                <w:szCs w:val="21"/>
              </w:rPr>
              <w:t>中国家庭教养中祖辈参与教养的</w:t>
            </w:r>
            <w:r>
              <w:rPr>
                <w:rFonts w:hint="eastAsia" w:ascii="宋体" w:hAnsi="宋体" w:eastAsia="宋体" w:cs="Times New Roman"/>
                <w:szCs w:val="21"/>
              </w:rPr>
              <w:t>意义、</w:t>
            </w:r>
            <w:r>
              <w:rPr>
                <w:rFonts w:ascii="宋体" w:hAnsi="宋体" w:eastAsia="宋体" w:cs="Times New Roman"/>
                <w:szCs w:val="21"/>
              </w:rPr>
              <w:t>现状、问题及建议</w:t>
            </w:r>
          </w:p>
        </w:tc>
        <w:tc>
          <w:tcPr>
            <w:tcW w:w="1231" w:type="dxa"/>
            <w:vAlign w:val="center"/>
          </w:tcPr>
          <w:p w14:paraId="088569A1">
            <w:pPr>
              <w:jc w:val="center"/>
              <w:rPr>
                <w:rFonts w:hint="eastAsia" w:ascii="宋体" w:hAnsi="宋体" w:eastAsia="宋体" w:cs="Times New Roman"/>
                <w:szCs w:val="21"/>
              </w:rPr>
            </w:pPr>
            <w:r>
              <w:rPr>
                <w:rFonts w:hint="eastAsia" w:ascii="宋体" w:hAnsi="宋体" w:eastAsia="宋体" w:cs="Times New Roman"/>
                <w:szCs w:val="21"/>
              </w:rPr>
              <w:t>学生分享</w:t>
            </w:r>
          </w:p>
        </w:tc>
        <w:tc>
          <w:tcPr>
            <w:tcW w:w="438" w:type="dxa"/>
            <w:vAlign w:val="center"/>
          </w:tcPr>
          <w:p w14:paraId="0131FA04">
            <w:pPr>
              <w:jc w:val="center"/>
              <w:rPr>
                <w:rFonts w:hint="eastAsia" w:ascii="宋体" w:hAnsi="宋体" w:eastAsia="宋体" w:cs="Times New Roman"/>
                <w:szCs w:val="21"/>
              </w:rPr>
            </w:pPr>
            <w:r>
              <w:rPr>
                <w:rFonts w:hint="eastAsia" w:ascii="宋体" w:hAnsi="宋体" w:eastAsia="宋体" w:cs="Times New Roman"/>
                <w:szCs w:val="21"/>
              </w:rPr>
              <w:t>4</w:t>
            </w:r>
          </w:p>
        </w:tc>
      </w:tr>
      <w:tr w14:paraId="5635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6022C47">
            <w:pPr>
              <w:jc w:val="center"/>
              <w:rPr>
                <w:rFonts w:hint="eastAsia" w:ascii="宋体" w:hAnsi="宋体" w:eastAsia="宋体" w:cs="Times New Roman"/>
                <w:szCs w:val="21"/>
              </w:rPr>
            </w:pPr>
          </w:p>
        </w:tc>
        <w:tc>
          <w:tcPr>
            <w:tcW w:w="8093" w:type="dxa"/>
            <w:gridSpan w:val="5"/>
            <w:vAlign w:val="center"/>
          </w:tcPr>
          <w:p w14:paraId="5C697EE0">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r>
              <w:rPr>
                <w:rFonts w:ascii="宋体" w:hAnsi="宋体" w:eastAsia="宋体" w:cs="Times New Roman"/>
                <w:szCs w:val="21"/>
              </w:rPr>
              <w:t>胸怀家国、</w:t>
            </w:r>
            <w:r>
              <w:rPr>
                <w:rFonts w:hint="eastAsia" w:ascii="宋体" w:hAnsi="宋体" w:eastAsia="宋体" w:cs="Times New Roman"/>
                <w:szCs w:val="21"/>
              </w:rPr>
              <w:t>关注现实，责任担当，能够认识到自身作为教师的社会责任。</w:t>
            </w:r>
          </w:p>
        </w:tc>
      </w:tr>
      <w:tr w14:paraId="2100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4909B6A">
            <w:pPr>
              <w:snapToGrid w:val="0"/>
              <w:jc w:val="center"/>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家风家训与中国传统家教文化的弘扬</w:t>
            </w:r>
          </w:p>
        </w:tc>
        <w:tc>
          <w:tcPr>
            <w:tcW w:w="2507" w:type="dxa"/>
            <w:vAlign w:val="center"/>
          </w:tcPr>
          <w:p w14:paraId="4AA719F5">
            <w:pPr>
              <w:snapToGrid w:val="0"/>
              <w:rPr>
                <w:rFonts w:hint="eastAsia" w:ascii="宋体" w:hAnsi="宋体" w:eastAsia="宋体" w:cs="Times New Roman"/>
                <w:szCs w:val="21"/>
              </w:rPr>
            </w:pPr>
            <w:r>
              <w:rPr>
                <w:rFonts w:hint="eastAsia" w:ascii="宋体" w:hAnsi="宋体" w:eastAsia="宋体" w:cs="Times New Roman"/>
                <w:szCs w:val="21"/>
              </w:rPr>
              <w:t>（1）中国传统家训文化及其研究进展</w:t>
            </w:r>
          </w:p>
          <w:p w14:paraId="079BADCA">
            <w:pPr>
              <w:snapToGrid w:val="0"/>
              <w:rPr>
                <w:rFonts w:hint="eastAsia" w:ascii="宋体" w:hAnsi="宋体" w:eastAsia="宋体" w:cs="Times New Roman"/>
                <w:szCs w:val="21"/>
              </w:rPr>
            </w:pPr>
            <w:r>
              <w:rPr>
                <w:rFonts w:hint="eastAsia" w:ascii="宋体" w:hAnsi="宋体" w:eastAsia="宋体" w:cs="Times New Roman"/>
                <w:szCs w:val="21"/>
              </w:rPr>
              <w:t>（2）中国优秀家风及其建设研究</w:t>
            </w:r>
          </w:p>
        </w:tc>
        <w:tc>
          <w:tcPr>
            <w:tcW w:w="1362" w:type="dxa"/>
            <w:vAlign w:val="center"/>
          </w:tcPr>
          <w:p w14:paraId="7A66D36E">
            <w:pPr>
              <w:jc w:val="center"/>
              <w:rPr>
                <w:rFonts w:hint="eastAsia" w:ascii="宋体" w:hAnsi="宋体" w:eastAsia="宋体" w:cs="Times New Roman"/>
                <w:szCs w:val="21"/>
              </w:rPr>
            </w:pPr>
            <w:r>
              <w:rPr>
                <w:rFonts w:hint="eastAsia" w:ascii="宋体" w:hAnsi="宋体" w:eastAsia="宋体" w:cs="Times New Roman"/>
                <w:szCs w:val="21"/>
              </w:rPr>
              <w:t>目标1、2、3</w:t>
            </w:r>
          </w:p>
        </w:tc>
        <w:tc>
          <w:tcPr>
            <w:tcW w:w="2555" w:type="dxa"/>
            <w:vAlign w:val="center"/>
          </w:tcPr>
          <w:p w14:paraId="55CA13E0">
            <w:pPr>
              <w:snapToGrid w:val="0"/>
              <w:rPr>
                <w:rFonts w:hint="eastAsia"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理解中国传统家训文化及其研究进展</w:t>
            </w:r>
          </w:p>
          <w:p w14:paraId="44696E63">
            <w:pPr>
              <w:snapToGrid w:val="0"/>
              <w:rPr>
                <w:rFonts w:hint="eastAsia" w:ascii="宋体" w:hAnsi="宋体" w:eastAsia="宋体" w:cs="Times New Roman"/>
                <w:sz w:val="24"/>
              </w:rPr>
            </w:pPr>
            <w:r>
              <w:rPr>
                <w:rFonts w:ascii="宋体" w:hAnsi="宋体" w:eastAsia="宋体" w:cs="Times New Roman"/>
                <w:szCs w:val="21"/>
              </w:rPr>
              <w:t>（</w:t>
            </w:r>
            <w:r>
              <w:rPr>
                <w:rFonts w:hint="eastAsia" w:ascii="宋体" w:hAnsi="宋体" w:eastAsia="宋体" w:cs="Times New Roman"/>
                <w:szCs w:val="21"/>
              </w:rPr>
              <w:t>2）理解中国优秀家风及其建设研究</w:t>
            </w:r>
          </w:p>
        </w:tc>
        <w:tc>
          <w:tcPr>
            <w:tcW w:w="1231" w:type="dxa"/>
            <w:vAlign w:val="center"/>
          </w:tcPr>
          <w:p w14:paraId="1BBCA907">
            <w:pPr>
              <w:jc w:val="center"/>
              <w:rPr>
                <w:rFonts w:hint="eastAsia" w:ascii="宋体" w:hAnsi="宋体" w:eastAsia="宋体" w:cs="Times New Roman"/>
                <w:szCs w:val="21"/>
              </w:rPr>
            </w:pPr>
            <w:r>
              <w:rPr>
                <w:rFonts w:hint="eastAsia" w:ascii="宋体" w:hAnsi="宋体" w:eastAsia="宋体" w:cs="Times New Roman"/>
                <w:szCs w:val="21"/>
              </w:rPr>
              <w:t>案例观摩</w:t>
            </w:r>
          </w:p>
          <w:p w14:paraId="2FAD3BF3">
            <w:pPr>
              <w:jc w:val="center"/>
              <w:rPr>
                <w:rFonts w:hint="eastAsia" w:ascii="宋体" w:hAnsi="宋体" w:eastAsia="宋体" w:cs="Times New Roman"/>
                <w:szCs w:val="21"/>
              </w:rPr>
            </w:pPr>
            <w:r>
              <w:rPr>
                <w:rFonts w:hint="eastAsia" w:ascii="宋体" w:hAnsi="宋体" w:eastAsia="宋体" w:cs="Times New Roman"/>
                <w:szCs w:val="21"/>
              </w:rPr>
              <w:t>课堂交流</w:t>
            </w:r>
          </w:p>
        </w:tc>
        <w:tc>
          <w:tcPr>
            <w:tcW w:w="438" w:type="dxa"/>
            <w:vAlign w:val="center"/>
          </w:tcPr>
          <w:p w14:paraId="23E19AEB">
            <w:pPr>
              <w:jc w:val="center"/>
              <w:rPr>
                <w:rFonts w:hint="eastAsia" w:ascii="宋体" w:hAnsi="宋体" w:eastAsia="宋体" w:cs="Times New Roman"/>
                <w:szCs w:val="21"/>
              </w:rPr>
            </w:pPr>
            <w:r>
              <w:rPr>
                <w:rFonts w:hint="eastAsia" w:ascii="宋体" w:hAnsi="宋体" w:eastAsia="宋体" w:cs="Times New Roman"/>
                <w:szCs w:val="21"/>
              </w:rPr>
              <w:t>4</w:t>
            </w:r>
          </w:p>
        </w:tc>
      </w:tr>
      <w:tr w14:paraId="2078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9D1BABF">
            <w:pPr>
              <w:jc w:val="center"/>
              <w:rPr>
                <w:rFonts w:hint="eastAsia" w:ascii="宋体" w:hAnsi="宋体" w:eastAsia="宋体" w:cs="Times New Roman"/>
                <w:szCs w:val="21"/>
              </w:rPr>
            </w:pPr>
          </w:p>
        </w:tc>
        <w:tc>
          <w:tcPr>
            <w:tcW w:w="8093" w:type="dxa"/>
            <w:gridSpan w:val="5"/>
            <w:vAlign w:val="center"/>
          </w:tcPr>
          <w:p w14:paraId="3DF5F9B1">
            <w:pPr>
              <w:snapToGrid w:val="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植根中华优秀传统文化，厚植爱国主义情怀，传承中华优秀传统文化尤其是家教家风，为国育人、为党育人。</w:t>
            </w:r>
          </w:p>
        </w:tc>
      </w:tr>
      <w:tr w14:paraId="3FF8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83664FF">
            <w:pPr>
              <w:jc w:val="center"/>
              <w:rPr>
                <w:rFonts w:hint="eastAsia" w:ascii="宋体" w:hAnsi="宋体" w:eastAsia="宋体" w:cs="Times New Roman"/>
                <w:szCs w:val="21"/>
              </w:rPr>
            </w:pPr>
            <w:r>
              <w:rPr>
                <w:rFonts w:hint="eastAsia" w:ascii="宋体" w:hAnsi="宋体" w:eastAsia="宋体" w:cs="Times New Roman"/>
                <w:szCs w:val="21"/>
              </w:rPr>
              <w:t>9.</w:t>
            </w:r>
            <w:r>
              <w:rPr>
                <w:rFonts w:ascii="宋体" w:hAnsi="宋体" w:eastAsia="宋体" w:cs="Times New Roman"/>
                <w:szCs w:val="21"/>
              </w:rPr>
              <w:t>亲子共读实践</w:t>
            </w:r>
          </w:p>
        </w:tc>
        <w:tc>
          <w:tcPr>
            <w:tcW w:w="2507" w:type="dxa"/>
            <w:vAlign w:val="center"/>
          </w:tcPr>
          <w:p w14:paraId="39CD7449">
            <w:pPr>
              <w:snapToGrid w:val="0"/>
              <w:rPr>
                <w:rFonts w:hint="eastAsia" w:ascii="宋体" w:hAnsi="宋体" w:eastAsia="宋体" w:cs="Times New Roman"/>
                <w:szCs w:val="21"/>
              </w:rPr>
            </w:pPr>
            <w:bookmarkStart w:id="836" w:name="_Hlk151567357"/>
            <w:r>
              <w:rPr>
                <w:rFonts w:hint="eastAsia" w:ascii="宋体" w:hAnsi="宋体" w:eastAsia="宋体" w:cs="Times New Roman"/>
                <w:szCs w:val="21"/>
              </w:rPr>
              <w:t>（1）</w:t>
            </w:r>
            <w:r>
              <w:rPr>
                <w:rFonts w:ascii="宋体" w:hAnsi="宋体" w:eastAsia="宋体" w:cs="Times New Roman"/>
                <w:szCs w:val="21"/>
              </w:rPr>
              <w:t>亲子共读的特点</w:t>
            </w:r>
            <w:r>
              <w:rPr>
                <w:rFonts w:hint="eastAsia" w:ascii="宋体" w:hAnsi="宋体" w:eastAsia="宋体" w:cs="Times New Roman"/>
                <w:szCs w:val="21"/>
              </w:rPr>
              <w:t>、方式</w:t>
            </w:r>
          </w:p>
          <w:p w14:paraId="19F2F2B5">
            <w:pPr>
              <w:snapToGrid w:val="0"/>
              <w:rPr>
                <w:rFonts w:hint="eastAsia" w:ascii="宋体" w:hAnsi="宋体" w:eastAsia="宋体" w:cs="Times New Roman"/>
                <w:sz w:val="24"/>
              </w:rPr>
            </w:pPr>
            <w:r>
              <w:rPr>
                <w:rFonts w:hint="eastAsia" w:ascii="宋体" w:hAnsi="宋体" w:eastAsia="宋体" w:cs="Times New Roman"/>
                <w:szCs w:val="21"/>
              </w:rPr>
              <w:t>（2）亲子共读的现存问题及社会探索</w:t>
            </w:r>
            <w:bookmarkEnd w:id="836"/>
          </w:p>
        </w:tc>
        <w:tc>
          <w:tcPr>
            <w:tcW w:w="1362" w:type="dxa"/>
            <w:vAlign w:val="center"/>
          </w:tcPr>
          <w:p w14:paraId="1855C998">
            <w:pPr>
              <w:jc w:val="center"/>
              <w:rPr>
                <w:rFonts w:hint="eastAsia" w:ascii="宋体" w:hAnsi="宋体" w:eastAsia="宋体" w:cs="Times New Roman"/>
                <w:szCs w:val="21"/>
              </w:rPr>
            </w:pPr>
            <w:r>
              <w:rPr>
                <w:rFonts w:hint="eastAsia" w:ascii="宋体" w:hAnsi="宋体" w:eastAsia="宋体" w:cs="Times New Roman"/>
                <w:szCs w:val="21"/>
              </w:rPr>
              <w:t>目标1、2、3</w:t>
            </w:r>
          </w:p>
        </w:tc>
        <w:tc>
          <w:tcPr>
            <w:tcW w:w="2555" w:type="dxa"/>
            <w:vAlign w:val="center"/>
          </w:tcPr>
          <w:p w14:paraId="2E239CC5">
            <w:pPr>
              <w:snapToGrid w:val="0"/>
              <w:rPr>
                <w:rFonts w:hint="eastAsia" w:ascii="宋体" w:hAnsi="宋体" w:eastAsia="宋体" w:cs="Times New Roman"/>
                <w:szCs w:val="21"/>
              </w:rPr>
            </w:pPr>
            <w:r>
              <w:rPr>
                <w:rFonts w:hint="eastAsia" w:ascii="宋体" w:hAnsi="宋体" w:eastAsia="宋体" w:cs="Times New Roman"/>
                <w:szCs w:val="21"/>
              </w:rPr>
              <w:t>（1）掌握</w:t>
            </w:r>
            <w:r>
              <w:rPr>
                <w:rFonts w:ascii="宋体" w:hAnsi="宋体" w:eastAsia="宋体" w:cs="Times New Roman"/>
                <w:szCs w:val="21"/>
              </w:rPr>
              <w:t>亲子共读的特点</w:t>
            </w:r>
            <w:r>
              <w:rPr>
                <w:rFonts w:hint="eastAsia" w:ascii="宋体" w:hAnsi="宋体" w:eastAsia="宋体" w:cs="Times New Roman"/>
                <w:szCs w:val="21"/>
              </w:rPr>
              <w:t>、方式</w:t>
            </w:r>
          </w:p>
          <w:p w14:paraId="2741EF29">
            <w:pPr>
              <w:snapToGrid w:val="0"/>
              <w:rPr>
                <w:rFonts w:hint="eastAsia" w:ascii="宋体" w:hAnsi="宋体" w:eastAsia="宋体" w:cs="Times New Roman"/>
                <w:szCs w:val="21"/>
              </w:rPr>
            </w:pPr>
            <w:r>
              <w:rPr>
                <w:rFonts w:hint="eastAsia" w:ascii="宋体" w:hAnsi="宋体" w:eastAsia="宋体" w:cs="Times New Roman"/>
                <w:szCs w:val="21"/>
              </w:rPr>
              <w:t>（2）了解亲子共读的现存问题及社会探索</w:t>
            </w:r>
          </w:p>
          <w:p w14:paraId="2780B736">
            <w:pPr>
              <w:jc w:val="left"/>
              <w:rPr>
                <w:rFonts w:hint="eastAsia" w:ascii="宋体" w:hAnsi="宋体" w:eastAsia="宋体" w:cs="Times New Roman"/>
                <w:szCs w:val="21"/>
              </w:rPr>
            </w:pPr>
          </w:p>
        </w:tc>
        <w:tc>
          <w:tcPr>
            <w:tcW w:w="1231" w:type="dxa"/>
            <w:vAlign w:val="center"/>
          </w:tcPr>
          <w:p w14:paraId="100158C1">
            <w:pPr>
              <w:jc w:val="center"/>
              <w:rPr>
                <w:rFonts w:hint="eastAsia" w:ascii="宋体" w:hAnsi="宋体" w:eastAsia="宋体" w:cs="Times New Roman"/>
                <w:szCs w:val="21"/>
              </w:rPr>
            </w:pPr>
            <w:r>
              <w:rPr>
                <w:rFonts w:hint="eastAsia" w:ascii="宋体" w:hAnsi="宋体" w:eastAsia="宋体" w:cs="Times New Roman"/>
                <w:szCs w:val="21"/>
              </w:rPr>
              <w:t>学生调查</w:t>
            </w:r>
          </w:p>
          <w:p w14:paraId="1EB69831">
            <w:pPr>
              <w:jc w:val="center"/>
              <w:rPr>
                <w:rFonts w:hint="eastAsia" w:ascii="宋体" w:hAnsi="宋体" w:eastAsia="宋体" w:cs="Times New Roman"/>
                <w:szCs w:val="21"/>
              </w:rPr>
            </w:pPr>
            <w:r>
              <w:rPr>
                <w:rFonts w:hint="eastAsia" w:ascii="宋体" w:hAnsi="宋体" w:eastAsia="宋体" w:cs="Times New Roman"/>
                <w:szCs w:val="21"/>
              </w:rPr>
              <w:t>课堂交流</w:t>
            </w:r>
          </w:p>
        </w:tc>
        <w:tc>
          <w:tcPr>
            <w:tcW w:w="438" w:type="dxa"/>
            <w:vAlign w:val="center"/>
          </w:tcPr>
          <w:p w14:paraId="5DF94C7E">
            <w:pPr>
              <w:jc w:val="center"/>
              <w:rPr>
                <w:rFonts w:hint="eastAsia" w:ascii="宋体" w:hAnsi="宋体" w:eastAsia="宋体" w:cs="Times New Roman"/>
                <w:szCs w:val="21"/>
              </w:rPr>
            </w:pPr>
            <w:r>
              <w:rPr>
                <w:rFonts w:hint="eastAsia" w:ascii="宋体" w:hAnsi="宋体" w:eastAsia="宋体" w:cs="Times New Roman"/>
                <w:szCs w:val="21"/>
              </w:rPr>
              <w:t>2</w:t>
            </w:r>
          </w:p>
        </w:tc>
      </w:tr>
      <w:tr w14:paraId="068D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05" w:type="dxa"/>
            <w:vMerge w:val="continue"/>
            <w:vAlign w:val="center"/>
          </w:tcPr>
          <w:p w14:paraId="3603AB2C">
            <w:pPr>
              <w:jc w:val="center"/>
              <w:rPr>
                <w:rFonts w:hint="eastAsia" w:ascii="宋体" w:hAnsi="宋体" w:eastAsia="宋体" w:cs="Times New Roman"/>
                <w:szCs w:val="21"/>
              </w:rPr>
            </w:pPr>
          </w:p>
        </w:tc>
        <w:tc>
          <w:tcPr>
            <w:tcW w:w="8093" w:type="dxa"/>
            <w:gridSpan w:val="5"/>
            <w:vAlign w:val="center"/>
          </w:tcPr>
          <w:p w14:paraId="45CA8CED">
            <w:pPr>
              <w:snapToGrid w:val="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关心教育现实、立足社会实践，积极投身儿童教育事业，积极为家庭提供教育指导服务。</w:t>
            </w:r>
          </w:p>
        </w:tc>
      </w:tr>
    </w:tbl>
    <w:p w14:paraId="74EB8739">
      <w:pPr>
        <w:spacing w:line="360" w:lineRule="auto"/>
        <w:jc w:val="left"/>
        <w:rPr>
          <w:rFonts w:ascii="Times New Roman" w:hAnsi="Times New Roman" w:eastAsia="宋体" w:cs="Times New Roman"/>
          <w:sz w:val="24"/>
        </w:rPr>
      </w:pPr>
      <w:r>
        <w:rPr>
          <w:rFonts w:hint="eastAsia" w:ascii="宋体" w:hAnsi="宋体" w:eastAsia="宋体" w:cs="Times New Roman"/>
          <w:b/>
          <w:sz w:val="24"/>
        </w:rPr>
        <w:t>四、目标评价与成绩评定</w:t>
      </w:r>
    </w:p>
    <w:p w14:paraId="0AAF9D2E">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E2DB0C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p w14:paraId="09E36537">
      <w:pPr>
        <w:spacing w:line="360" w:lineRule="auto"/>
        <w:ind w:firstLine="420" w:firstLineChars="200"/>
        <w:jc w:val="left"/>
        <w:rPr>
          <w:rFonts w:ascii="Times New Roman" w:hAnsi="Times New Roman" w:eastAsia="宋体" w:cs="Times New Roman"/>
          <w:szCs w:val="21"/>
        </w:rPr>
      </w:pPr>
    </w:p>
    <w:p w14:paraId="73AE94D1">
      <w:pPr>
        <w:spacing w:line="360" w:lineRule="auto"/>
        <w:ind w:firstLine="420" w:firstLineChars="200"/>
        <w:jc w:val="left"/>
        <w:rPr>
          <w:rFonts w:ascii="Times New Roman" w:hAnsi="Times New Roman" w:eastAsia="宋体" w:cs="Times New Roman"/>
          <w:szCs w:val="21"/>
        </w:rPr>
      </w:pP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834"/>
        <w:gridCol w:w="1834"/>
        <w:gridCol w:w="1834"/>
        <w:gridCol w:w="1032"/>
      </w:tblGrid>
      <w:tr w14:paraId="200A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vAlign w:val="center"/>
          </w:tcPr>
          <w:p w14:paraId="0B900BB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3"/>
            <w:vAlign w:val="center"/>
          </w:tcPr>
          <w:p w14:paraId="301E33A3">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11AFCAFC">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9FC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D28B659">
            <w:pPr>
              <w:spacing w:line="360" w:lineRule="auto"/>
              <w:jc w:val="center"/>
              <w:rPr>
                <w:rFonts w:hint="eastAsia" w:ascii="宋体" w:hAnsi="宋体" w:eastAsia="宋体" w:cs="Times New Roman"/>
                <w:szCs w:val="21"/>
              </w:rPr>
            </w:pPr>
          </w:p>
        </w:tc>
        <w:tc>
          <w:tcPr>
            <w:tcW w:w="1834" w:type="dxa"/>
            <w:vAlign w:val="center"/>
          </w:tcPr>
          <w:p w14:paraId="7DE8598F">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834" w:type="dxa"/>
            <w:vAlign w:val="center"/>
          </w:tcPr>
          <w:p w14:paraId="55C0ABFF">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834" w:type="dxa"/>
            <w:vAlign w:val="center"/>
          </w:tcPr>
          <w:p w14:paraId="5B9348F3">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3C628106">
            <w:pPr>
              <w:spacing w:line="360" w:lineRule="auto"/>
              <w:jc w:val="center"/>
              <w:rPr>
                <w:rFonts w:hint="eastAsia" w:ascii="宋体" w:hAnsi="宋体" w:eastAsia="宋体" w:cs="Times New Roman"/>
                <w:szCs w:val="21"/>
              </w:rPr>
            </w:pPr>
          </w:p>
        </w:tc>
      </w:tr>
      <w:tr w14:paraId="5875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80CFDE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34" w:type="dxa"/>
            <w:vAlign w:val="center"/>
          </w:tcPr>
          <w:p w14:paraId="057630C3">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34" w:type="dxa"/>
          </w:tcPr>
          <w:p w14:paraId="22395D24">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34" w:type="dxa"/>
            <w:vAlign w:val="center"/>
          </w:tcPr>
          <w:p w14:paraId="0DB6FFAE">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407B6245">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A9D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8D684E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834" w:type="dxa"/>
            <w:vAlign w:val="center"/>
          </w:tcPr>
          <w:p w14:paraId="18B4C7F7">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34" w:type="dxa"/>
          </w:tcPr>
          <w:p w14:paraId="6A681DDA">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34" w:type="dxa"/>
            <w:vAlign w:val="center"/>
          </w:tcPr>
          <w:p w14:paraId="374E2D35">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4D290B24">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10F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17DE2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834" w:type="dxa"/>
            <w:vAlign w:val="center"/>
          </w:tcPr>
          <w:p w14:paraId="11B15C8D">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34" w:type="dxa"/>
          </w:tcPr>
          <w:p w14:paraId="5C38486A">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34" w:type="dxa"/>
            <w:vAlign w:val="center"/>
          </w:tcPr>
          <w:p w14:paraId="763EF760">
            <w:pPr>
              <w:spacing w:line="360"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0" w:type="auto"/>
            <w:vAlign w:val="center"/>
          </w:tcPr>
          <w:p w14:paraId="68A51B27">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35AC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DFCCD7">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834" w:type="dxa"/>
            <w:vAlign w:val="center"/>
          </w:tcPr>
          <w:p w14:paraId="1AC23A16">
            <w:pPr>
              <w:spacing w:line="360" w:lineRule="auto"/>
              <w:jc w:val="center"/>
              <w:rPr>
                <w:rFonts w:hint="eastAsia" w:ascii="宋体" w:hAnsi="宋体" w:eastAsia="宋体" w:cs="Times New Roman"/>
                <w:szCs w:val="21"/>
              </w:rPr>
            </w:pPr>
          </w:p>
        </w:tc>
        <w:tc>
          <w:tcPr>
            <w:tcW w:w="1834" w:type="dxa"/>
            <w:vAlign w:val="center"/>
          </w:tcPr>
          <w:p w14:paraId="283B19B6">
            <w:pPr>
              <w:spacing w:line="360" w:lineRule="auto"/>
              <w:jc w:val="center"/>
              <w:rPr>
                <w:rFonts w:hint="eastAsia" w:ascii="宋体" w:hAnsi="宋体" w:eastAsia="宋体" w:cs="Times New Roman"/>
                <w:szCs w:val="21"/>
              </w:rPr>
            </w:pPr>
          </w:p>
        </w:tc>
        <w:tc>
          <w:tcPr>
            <w:tcW w:w="1834" w:type="dxa"/>
            <w:vAlign w:val="center"/>
          </w:tcPr>
          <w:p w14:paraId="7E562C09">
            <w:pPr>
              <w:spacing w:line="360" w:lineRule="auto"/>
              <w:jc w:val="center"/>
              <w:rPr>
                <w:rFonts w:hint="eastAsia" w:ascii="宋体" w:hAnsi="宋体" w:eastAsia="宋体" w:cs="Times New Roman"/>
                <w:szCs w:val="21"/>
              </w:rPr>
            </w:pPr>
          </w:p>
        </w:tc>
        <w:tc>
          <w:tcPr>
            <w:tcW w:w="0" w:type="auto"/>
            <w:vAlign w:val="center"/>
          </w:tcPr>
          <w:p w14:paraId="4AE45C11">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0B44421">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EA66AB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6434"/>
        <w:gridCol w:w="706"/>
      </w:tblGrid>
      <w:tr w14:paraId="5B03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14:paraId="31581E2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434" w:type="dxa"/>
            <w:vAlign w:val="center"/>
          </w:tcPr>
          <w:p w14:paraId="1C89C92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CF7018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440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14:paraId="38D248BB">
            <w:pPr>
              <w:snapToGrid w:val="0"/>
              <w:spacing w:line="288" w:lineRule="auto"/>
              <w:jc w:val="center"/>
              <w:rPr>
                <w:rFonts w:ascii="Times New Roman" w:hAnsi="Times New Roman" w:eastAsia="宋体" w:cs="Times New Roman"/>
                <w:szCs w:val="21"/>
              </w:rPr>
            </w:pPr>
            <w:r>
              <w:rPr>
                <w:rFonts w:hint="eastAsia" w:ascii="宋体" w:hAnsi="宋体" w:eastAsia="宋体" w:cs="Times New Roman"/>
                <w:szCs w:val="21"/>
              </w:rPr>
              <w:t>课堂表现及</w:t>
            </w:r>
            <w:r>
              <w:rPr>
                <w:rFonts w:ascii="宋体" w:hAnsi="宋体" w:eastAsia="宋体" w:cs="Times New Roman"/>
                <w:szCs w:val="21"/>
              </w:rPr>
              <w:t>平时作业</w:t>
            </w:r>
          </w:p>
        </w:tc>
        <w:tc>
          <w:tcPr>
            <w:tcW w:w="6434" w:type="dxa"/>
            <w:vAlign w:val="center"/>
          </w:tcPr>
          <w:p w14:paraId="763CF842">
            <w:pPr>
              <w:snapToGrid w:val="0"/>
              <w:spacing w:line="288" w:lineRule="auto"/>
              <w:rPr>
                <w:rFonts w:hint="eastAsia" w:ascii="宋体" w:hAnsi="宋体" w:eastAsia="宋体" w:cs="Times New Roman"/>
                <w:szCs w:val="21"/>
              </w:rPr>
            </w:pPr>
            <w:r>
              <w:rPr>
                <w:rFonts w:hint="eastAsia" w:ascii="宋体" w:hAnsi="宋体" w:eastAsia="宋体" w:cs="Times New Roman"/>
                <w:szCs w:val="21"/>
              </w:rPr>
              <w:t>课堂表现占</w:t>
            </w:r>
            <w:r>
              <w:rPr>
                <w:rFonts w:ascii="宋体" w:hAnsi="宋体" w:eastAsia="宋体" w:cs="Times New Roman"/>
                <w:szCs w:val="21"/>
              </w:rPr>
              <w:t>4</w:t>
            </w:r>
            <w:r>
              <w:rPr>
                <w:rFonts w:hint="eastAsia" w:ascii="宋体" w:hAnsi="宋体" w:eastAsia="宋体" w:cs="Times New Roman"/>
                <w:szCs w:val="21"/>
              </w:rPr>
              <w:t>0%，平时作业占</w:t>
            </w:r>
            <w:r>
              <w:rPr>
                <w:rFonts w:ascii="宋体" w:hAnsi="宋体" w:eastAsia="宋体" w:cs="Times New Roman"/>
                <w:szCs w:val="21"/>
              </w:rPr>
              <w:t>6</w:t>
            </w:r>
            <w:r>
              <w:rPr>
                <w:rFonts w:hint="eastAsia" w:ascii="宋体" w:hAnsi="宋体" w:eastAsia="宋体" w:cs="Times New Roman"/>
                <w:szCs w:val="21"/>
              </w:rPr>
              <w:t>0%。</w:t>
            </w:r>
          </w:p>
          <w:p w14:paraId="1C0D0360">
            <w:pPr>
              <w:snapToGrid w:val="0"/>
              <w:spacing w:line="288" w:lineRule="auto"/>
              <w:rPr>
                <w:rFonts w:hint="eastAsia" w:ascii="宋体" w:hAnsi="宋体" w:eastAsia="宋体" w:cs="Times New Roman"/>
                <w:szCs w:val="21"/>
              </w:rPr>
            </w:pPr>
            <w:r>
              <w:rPr>
                <w:rFonts w:hint="eastAsia" w:ascii="宋体" w:hAnsi="宋体" w:eastAsia="宋体" w:cs="Times New Roman"/>
                <w:szCs w:val="21"/>
              </w:rPr>
              <w:t>课堂表现：课堂考勤和课上表现。</w:t>
            </w:r>
          </w:p>
          <w:p w14:paraId="3A47360B">
            <w:pPr>
              <w:spacing w:line="264" w:lineRule="auto"/>
              <w:jc w:val="left"/>
              <w:rPr>
                <w:rFonts w:ascii="Times New Roman" w:hAnsi="Times New Roman" w:eastAsia="宋体" w:cs="Times New Roman"/>
                <w:szCs w:val="21"/>
              </w:rPr>
            </w:pPr>
            <w:r>
              <w:rPr>
                <w:rFonts w:hint="eastAsia" w:ascii="宋体" w:hAnsi="宋体" w:eastAsia="宋体" w:cs="Times New Roman"/>
                <w:szCs w:val="21"/>
              </w:rPr>
              <w:t>平时作业：</w:t>
            </w:r>
            <w:r>
              <w:rPr>
                <w:rFonts w:ascii="宋体" w:hAnsi="宋体" w:eastAsia="宋体" w:cs="Times New Roman"/>
                <w:szCs w:val="21"/>
              </w:rPr>
              <w:t>主要考核学生对知识点的理解和</w:t>
            </w:r>
            <w:r>
              <w:rPr>
                <w:rFonts w:hint="eastAsia" w:ascii="宋体" w:hAnsi="宋体" w:eastAsia="宋体" w:cs="Times New Roman"/>
                <w:szCs w:val="21"/>
              </w:rPr>
              <w:t>应用</w:t>
            </w:r>
            <w:r>
              <w:rPr>
                <w:rFonts w:ascii="宋体" w:hAnsi="宋体" w:eastAsia="宋体" w:cs="Times New Roman"/>
                <w:szCs w:val="21"/>
              </w:rPr>
              <w:t>。</w:t>
            </w:r>
          </w:p>
        </w:tc>
        <w:tc>
          <w:tcPr>
            <w:tcW w:w="0" w:type="auto"/>
            <w:vAlign w:val="center"/>
          </w:tcPr>
          <w:p w14:paraId="58F1185D">
            <w:pPr>
              <w:jc w:val="center"/>
              <w:rPr>
                <w:rFonts w:ascii="Times New Roman" w:hAnsi="Times New Roman" w:eastAsia="宋体" w:cs="Times New Roman"/>
                <w:szCs w:val="21"/>
              </w:rPr>
            </w:pPr>
            <w:r>
              <w:rPr>
                <w:rFonts w:ascii="宋体" w:hAnsi="宋体" w:eastAsia="宋体" w:cs="Times New Roman"/>
                <w:szCs w:val="21"/>
              </w:rPr>
              <w:t>40%</w:t>
            </w:r>
          </w:p>
        </w:tc>
      </w:tr>
      <w:tr w14:paraId="32E0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vAlign w:val="center"/>
          </w:tcPr>
          <w:p w14:paraId="2CC1C5E1">
            <w:pPr>
              <w:snapToGrid w:val="0"/>
              <w:spacing w:line="288" w:lineRule="auto"/>
              <w:jc w:val="center"/>
              <w:rPr>
                <w:rFonts w:hint="eastAsia" w:ascii="宋体" w:hAnsi="宋体" w:eastAsia="宋体" w:cs="Times New Roman"/>
                <w:szCs w:val="21"/>
              </w:rPr>
            </w:pPr>
            <w:r>
              <w:rPr>
                <w:rFonts w:ascii="宋体" w:hAnsi="宋体" w:eastAsia="宋体" w:cs="Times New Roman"/>
                <w:szCs w:val="21"/>
              </w:rPr>
              <w:t>期末考试</w:t>
            </w:r>
          </w:p>
          <w:p w14:paraId="20D121FB">
            <w:pPr>
              <w:jc w:val="center"/>
              <w:rPr>
                <w:rFonts w:ascii="Times New Roman" w:hAnsi="Times New Roman" w:eastAsia="宋体" w:cs="Times New Roman"/>
                <w:szCs w:val="21"/>
              </w:rPr>
            </w:pPr>
            <w:r>
              <w:rPr>
                <w:rFonts w:hint="eastAsia" w:ascii="宋体" w:hAnsi="宋体" w:eastAsia="宋体" w:cs="Times New Roman"/>
                <w:szCs w:val="21"/>
              </w:rPr>
              <w:t>卷面</w:t>
            </w:r>
            <w:r>
              <w:rPr>
                <w:rFonts w:ascii="宋体" w:hAnsi="宋体" w:eastAsia="宋体" w:cs="Times New Roman"/>
                <w:szCs w:val="21"/>
              </w:rPr>
              <w:t>成绩</w:t>
            </w:r>
          </w:p>
        </w:tc>
        <w:tc>
          <w:tcPr>
            <w:tcW w:w="6434" w:type="dxa"/>
            <w:vAlign w:val="center"/>
          </w:tcPr>
          <w:p w14:paraId="12115A7A">
            <w:pPr>
              <w:widowControl/>
              <w:spacing w:line="264" w:lineRule="auto"/>
              <w:jc w:val="left"/>
              <w:rPr>
                <w:rFonts w:ascii="Times New Roman" w:hAnsi="Times New Roman" w:eastAsia="宋体" w:cs="Times New Roman"/>
                <w:szCs w:val="21"/>
              </w:rPr>
            </w:pPr>
            <w:r>
              <w:rPr>
                <w:rFonts w:hint="eastAsia" w:ascii="宋体" w:hAnsi="宋体" w:eastAsia="宋体" w:cs="Times New Roman"/>
                <w:szCs w:val="21"/>
              </w:rPr>
              <w:t>开卷</w:t>
            </w:r>
            <w:r>
              <w:rPr>
                <w:rFonts w:ascii="宋体" w:hAnsi="宋体" w:eastAsia="宋体" w:cs="Times New Roman"/>
                <w:szCs w:val="21"/>
              </w:rPr>
              <w:t>题型包括</w:t>
            </w:r>
            <w:r>
              <w:rPr>
                <w:rFonts w:hint="eastAsia" w:ascii="宋体" w:hAnsi="宋体" w:eastAsia="宋体" w:cs="Times New Roman"/>
                <w:szCs w:val="21"/>
              </w:rPr>
              <w:t>材料</w:t>
            </w:r>
            <w:r>
              <w:rPr>
                <w:rFonts w:ascii="宋体" w:hAnsi="宋体" w:eastAsia="宋体" w:cs="Times New Roman"/>
                <w:szCs w:val="21"/>
              </w:rPr>
              <w:t>分析题</w:t>
            </w:r>
            <w:r>
              <w:rPr>
                <w:rFonts w:hint="eastAsia" w:ascii="宋体" w:hAnsi="宋体" w:eastAsia="宋体" w:cs="Times New Roman"/>
                <w:szCs w:val="21"/>
              </w:rPr>
              <w:t>、论述题</w:t>
            </w:r>
            <w:r>
              <w:rPr>
                <w:rFonts w:ascii="宋体" w:hAnsi="宋体" w:eastAsia="宋体" w:cs="Times New Roman"/>
                <w:szCs w:val="21"/>
              </w:rPr>
              <w:t>等，以卷面成绩的60%计入课程总成绩。</w:t>
            </w:r>
          </w:p>
        </w:tc>
        <w:tc>
          <w:tcPr>
            <w:tcW w:w="0" w:type="auto"/>
            <w:vAlign w:val="center"/>
          </w:tcPr>
          <w:p w14:paraId="3EC8A7F4">
            <w:pPr>
              <w:jc w:val="center"/>
              <w:rPr>
                <w:rFonts w:ascii="Times New Roman" w:hAnsi="Times New Roman" w:eastAsia="宋体" w:cs="Times New Roman"/>
                <w:szCs w:val="21"/>
              </w:rPr>
            </w:pPr>
            <w:r>
              <w:rPr>
                <w:rFonts w:ascii="宋体" w:hAnsi="宋体" w:eastAsia="宋体" w:cs="Times New Roman"/>
                <w:szCs w:val="21"/>
              </w:rPr>
              <w:t>60%</w:t>
            </w:r>
          </w:p>
        </w:tc>
      </w:tr>
      <w:tr w14:paraId="3A46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82" w:type="dxa"/>
            <w:vAlign w:val="center"/>
          </w:tcPr>
          <w:p w14:paraId="57745A9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434" w:type="dxa"/>
            <w:vAlign w:val="center"/>
          </w:tcPr>
          <w:p w14:paraId="25C390C5">
            <w:pPr>
              <w:jc w:val="left"/>
              <w:rPr>
                <w:rFonts w:ascii="Times New Roman" w:hAnsi="Times New Roman" w:eastAsia="宋体" w:cs="Times New Roman"/>
                <w:szCs w:val="21"/>
              </w:rPr>
            </w:pPr>
          </w:p>
        </w:tc>
        <w:tc>
          <w:tcPr>
            <w:tcW w:w="0" w:type="auto"/>
            <w:vAlign w:val="center"/>
          </w:tcPr>
          <w:p w14:paraId="5A95A776">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54B351F">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2141B324">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70822D7D">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49"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49" DrawAspect="Content" ObjectID="_1468075749" r:id="rId37">
            <o:LockedField>false</o:LockedField>
          </o:OLEObject>
        </w:object>
      </w:r>
      <w:r>
        <w:rPr>
          <w:rFonts w:hint="eastAsia" w:ascii="宋体" w:hAnsi="宋体" w:eastAsia="宋体" w:cs="Times New Roman"/>
          <w:b/>
          <w:sz w:val="24"/>
        </w:rPr>
        <w:t>五、</w:t>
      </w:r>
      <w:r>
        <w:rPr>
          <w:rFonts w:hint="eastAsia" w:ascii="Times New Roman" w:hAnsi="Times New Roman" w:eastAsia="宋体" w:cs="Times New Roman"/>
          <w:b/>
          <w:sz w:val="24"/>
        </w:rPr>
        <w:t>课程实践</w:t>
      </w:r>
      <w:r>
        <w:rPr>
          <w:rFonts w:hint="eastAsia" w:ascii="Times New Roman" w:hAnsi="Times New Roman" w:eastAsia="宋体" w:cs="Times New Roman"/>
          <w:bCs/>
          <w:sz w:val="24"/>
        </w:rPr>
        <w:t>（利用第二课堂，不占总学时）</w:t>
      </w:r>
    </w:p>
    <w:p w14:paraId="4D180434">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5C051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D66190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40DB0F1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EDEAE4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2FD01011">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465F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4ABD39C0">
            <w:pPr>
              <w:spacing w:line="276" w:lineRule="auto"/>
              <w:jc w:val="center"/>
              <w:rPr>
                <w:rFonts w:hint="eastAsia" w:ascii="宋体" w:hAnsi="宋体" w:eastAsia="宋体" w:cs="宋体"/>
                <w:szCs w:val="21"/>
              </w:rPr>
            </w:pPr>
            <w:r>
              <w:rPr>
                <w:rFonts w:hint="eastAsia" w:ascii="宋体" w:hAnsi="宋体" w:eastAsia="宋体" w:cs="宋体"/>
                <w:szCs w:val="21"/>
              </w:rPr>
              <w:t>不同类型家庭及其家庭教育现状观察</w:t>
            </w:r>
          </w:p>
        </w:tc>
        <w:tc>
          <w:tcPr>
            <w:tcW w:w="3407" w:type="dxa"/>
            <w:vAlign w:val="center"/>
          </w:tcPr>
          <w:p w14:paraId="585D6320">
            <w:pPr>
              <w:spacing w:line="276" w:lineRule="auto"/>
              <w:jc w:val="left"/>
              <w:rPr>
                <w:rFonts w:hint="eastAsia" w:ascii="宋体" w:hAnsi="宋体" w:eastAsia="宋体" w:cs="宋体"/>
                <w:szCs w:val="21"/>
              </w:rPr>
            </w:pPr>
            <w:r>
              <w:rPr>
                <w:rFonts w:hint="eastAsia" w:ascii="宋体" w:hAnsi="宋体" w:eastAsia="宋体" w:cs="宋体"/>
                <w:szCs w:val="21"/>
              </w:rPr>
              <w:t>观察了解中小学生的家庭类型、家长教育需求；观察了解现实中的中小学生所遭遇到的儿童权利保护不当或不完善之处的种种表现。</w:t>
            </w:r>
          </w:p>
        </w:tc>
        <w:tc>
          <w:tcPr>
            <w:tcW w:w="740" w:type="dxa"/>
            <w:vAlign w:val="center"/>
          </w:tcPr>
          <w:p w14:paraId="11B09D71">
            <w:pPr>
              <w:spacing w:line="276" w:lineRule="auto"/>
              <w:jc w:val="center"/>
              <w:rPr>
                <w:rFonts w:hint="eastAsia" w:ascii="宋体" w:hAnsi="宋体" w:eastAsia="宋体" w:cs="宋体"/>
                <w:szCs w:val="21"/>
              </w:rPr>
            </w:pPr>
            <w:r>
              <w:rPr>
                <w:rFonts w:hint="eastAsia" w:ascii="宋体" w:hAnsi="宋体" w:eastAsia="宋体" w:cs="宋体"/>
                <w:szCs w:val="21"/>
              </w:rPr>
              <w:t>实践观察</w:t>
            </w:r>
          </w:p>
        </w:tc>
        <w:tc>
          <w:tcPr>
            <w:tcW w:w="3160" w:type="dxa"/>
            <w:vAlign w:val="center"/>
          </w:tcPr>
          <w:p w14:paraId="3F94B139">
            <w:pPr>
              <w:spacing w:line="276" w:lineRule="auto"/>
              <w:jc w:val="left"/>
              <w:rPr>
                <w:rFonts w:hint="eastAsia" w:ascii="宋体" w:hAnsi="宋体" w:eastAsia="宋体" w:cs="宋体"/>
                <w:szCs w:val="21"/>
              </w:rPr>
            </w:pPr>
            <w:r>
              <w:rPr>
                <w:rFonts w:hint="eastAsia" w:ascii="宋体" w:hAnsi="宋体" w:eastAsia="宋体" w:cs="宋体"/>
                <w:szCs w:val="21"/>
              </w:rPr>
              <w:t>关心关注教育现实，提升专业责任感及家庭教育法制责任意识，积极投身儿童教育事业，愿意为家庭提供教育指导服务。</w:t>
            </w:r>
          </w:p>
        </w:tc>
      </w:tr>
      <w:tr w14:paraId="11C7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DD2548F">
            <w:pPr>
              <w:spacing w:line="276" w:lineRule="auto"/>
              <w:jc w:val="center"/>
              <w:rPr>
                <w:rFonts w:hint="eastAsia" w:ascii="宋体" w:hAnsi="宋体" w:eastAsia="宋体" w:cs="宋体"/>
                <w:szCs w:val="21"/>
              </w:rPr>
            </w:pPr>
            <w:r>
              <w:rPr>
                <w:rFonts w:hint="eastAsia" w:ascii="宋体" w:hAnsi="宋体" w:eastAsia="宋体" w:cs="宋体"/>
                <w:szCs w:val="21"/>
              </w:rPr>
              <w:t>家乡所在地的优秀家教家书家风家训</w:t>
            </w:r>
          </w:p>
        </w:tc>
        <w:tc>
          <w:tcPr>
            <w:tcW w:w="3407" w:type="dxa"/>
            <w:vAlign w:val="center"/>
          </w:tcPr>
          <w:p w14:paraId="6902DCA5">
            <w:pPr>
              <w:spacing w:line="276" w:lineRule="auto"/>
              <w:jc w:val="left"/>
              <w:rPr>
                <w:rFonts w:hint="eastAsia" w:ascii="宋体" w:hAnsi="宋体" w:eastAsia="宋体" w:cs="宋体"/>
                <w:szCs w:val="21"/>
              </w:rPr>
            </w:pPr>
            <w:r>
              <w:rPr>
                <w:rFonts w:hint="eastAsia" w:ascii="宋体" w:hAnsi="宋体" w:eastAsia="宋体" w:cs="宋体"/>
                <w:szCs w:val="21"/>
              </w:rPr>
              <w:t>搜集并学习家乡所在地的红色家书；讲述家乡所在地涌现出的优秀家教、家风、家训等优秀典型；观察小学校园中的儿童有关有中华优秀传统文化类的读本情况</w:t>
            </w:r>
          </w:p>
        </w:tc>
        <w:tc>
          <w:tcPr>
            <w:tcW w:w="740" w:type="dxa"/>
            <w:vAlign w:val="center"/>
          </w:tcPr>
          <w:p w14:paraId="2DD798F5">
            <w:pPr>
              <w:spacing w:line="276" w:lineRule="auto"/>
              <w:jc w:val="center"/>
              <w:rPr>
                <w:rFonts w:hint="eastAsia" w:ascii="宋体" w:hAnsi="宋体" w:eastAsia="宋体" w:cs="宋体"/>
                <w:szCs w:val="21"/>
              </w:rPr>
            </w:pPr>
            <w:r>
              <w:rPr>
                <w:rFonts w:hint="eastAsia" w:ascii="宋体" w:hAnsi="宋体" w:eastAsia="宋体" w:cs="宋体"/>
                <w:szCs w:val="21"/>
              </w:rPr>
              <w:t>案例观摩</w:t>
            </w:r>
          </w:p>
          <w:p w14:paraId="4313C1E0">
            <w:pPr>
              <w:spacing w:line="276" w:lineRule="auto"/>
              <w:jc w:val="center"/>
              <w:rPr>
                <w:rFonts w:hint="eastAsia" w:ascii="宋体" w:hAnsi="宋体" w:eastAsia="宋体" w:cs="宋体"/>
                <w:szCs w:val="21"/>
              </w:rPr>
            </w:pPr>
          </w:p>
          <w:p w14:paraId="6801842A">
            <w:pPr>
              <w:spacing w:line="276" w:lineRule="auto"/>
              <w:jc w:val="center"/>
              <w:rPr>
                <w:rFonts w:hint="eastAsia" w:ascii="宋体" w:hAnsi="宋体" w:eastAsia="宋体" w:cs="宋体"/>
                <w:szCs w:val="21"/>
              </w:rPr>
            </w:pPr>
            <w:r>
              <w:rPr>
                <w:rFonts w:hint="eastAsia" w:ascii="宋体" w:hAnsi="宋体" w:eastAsia="宋体" w:cs="宋体"/>
                <w:szCs w:val="21"/>
              </w:rPr>
              <w:t>学生分享</w:t>
            </w:r>
          </w:p>
        </w:tc>
        <w:tc>
          <w:tcPr>
            <w:tcW w:w="3160" w:type="dxa"/>
            <w:vAlign w:val="center"/>
          </w:tcPr>
          <w:p w14:paraId="1D383EA3">
            <w:pPr>
              <w:spacing w:line="276" w:lineRule="auto"/>
              <w:jc w:val="left"/>
              <w:rPr>
                <w:rFonts w:hint="eastAsia" w:ascii="宋体" w:hAnsi="宋体" w:eastAsia="宋体" w:cs="宋体"/>
                <w:szCs w:val="21"/>
              </w:rPr>
            </w:pPr>
            <w:r>
              <w:rPr>
                <w:rFonts w:hint="eastAsia" w:ascii="宋体" w:hAnsi="宋体" w:eastAsia="宋体" w:cs="宋体"/>
                <w:szCs w:val="21"/>
              </w:rPr>
              <w:t>传承并弘扬中华优秀传统文化中的责任担当、孝行义举等文化基因或红色文化基因</w:t>
            </w:r>
          </w:p>
        </w:tc>
      </w:tr>
    </w:tbl>
    <w:p w14:paraId="37DBF1BA">
      <w:pPr>
        <w:spacing w:line="360" w:lineRule="auto"/>
        <w:jc w:val="left"/>
        <w:rPr>
          <w:rFonts w:ascii="Times New Roman" w:hAnsi="Times New Roman" w:eastAsia="宋体" w:cs="Times New Roman"/>
          <w:b/>
          <w:bCs/>
          <w:sz w:val="24"/>
        </w:rPr>
      </w:pPr>
      <w:r>
        <w:rPr>
          <w:rFonts w:hint="eastAsia" w:ascii="宋体" w:hAnsi="宋体" w:eastAsia="宋体" w:cs="Times New Roman"/>
          <w:b/>
          <w:sz w:val="24"/>
        </w:rPr>
        <w:t>六、有关说明</w:t>
      </w:r>
    </w:p>
    <w:p w14:paraId="0BD536AE">
      <w:pPr>
        <w:snapToGrid w:val="0"/>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D9F56FA">
      <w:pPr>
        <w:snapToGrid w:val="0"/>
        <w:spacing w:line="360" w:lineRule="auto"/>
        <w:ind w:firstLine="411" w:firstLineChars="196"/>
        <w:rPr>
          <w:rFonts w:ascii="Times New Roman" w:hAnsi="Times New Roman" w:eastAsia="宋体" w:cs="Times New Roman"/>
          <w:b/>
          <w:szCs w:val="21"/>
        </w:rPr>
      </w:pPr>
      <w:r>
        <w:rPr>
          <w:rFonts w:ascii="宋体" w:hAnsi="宋体" w:eastAsia="宋体" w:cs="Times New Roman"/>
          <w:szCs w:val="21"/>
        </w:rPr>
        <w:t>本课程根据学生作业、课堂讨论、平时考核情况和学生、教学督导等</w:t>
      </w:r>
      <w:r>
        <w:rPr>
          <w:rFonts w:hint="eastAsia" w:ascii="宋体" w:hAnsi="宋体" w:eastAsia="宋体" w:cs="Times New Roman"/>
          <w:szCs w:val="21"/>
        </w:rPr>
        <w:t>的</w:t>
      </w:r>
      <w:r>
        <w:rPr>
          <w:rFonts w:ascii="宋体" w:hAnsi="宋体" w:eastAsia="宋体" w:cs="Times New Roman"/>
          <w:szCs w:val="21"/>
        </w:rPr>
        <w:t>反馈，及时对教学中</w:t>
      </w:r>
      <w:r>
        <w:rPr>
          <w:rFonts w:hint="eastAsia" w:ascii="宋体" w:hAnsi="宋体" w:eastAsia="宋体" w:cs="Times New Roman"/>
          <w:szCs w:val="21"/>
        </w:rPr>
        <w:t>的</w:t>
      </w:r>
      <w:r>
        <w:rPr>
          <w:rFonts w:ascii="宋体" w:hAnsi="宋体" w:eastAsia="宋体" w:cs="Times New Roman"/>
          <w:szCs w:val="21"/>
        </w:rPr>
        <w:t>不足之处进行改进，并在下一轮课程教学中</w:t>
      </w:r>
      <w:r>
        <w:rPr>
          <w:rFonts w:hint="eastAsia" w:ascii="宋体" w:hAnsi="宋体" w:eastAsia="宋体" w:cs="Times New Roman"/>
          <w:szCs w:val="21"/>
        </w:rPr>
        <w:t>整改完善</w:t>
      </w:r>
      <w:r>
        <w:rPr>
          <w:rFonts w:ascii="宋体" w:hAnsi="宋体" w:eastAsia="宋体" w:cs="Times New Roman"/>
          <w:szCs w:val="21"/>
        </w:rPr>
        <w:t>，确保相应毕业要求指标点达成。</w:t>
      </w:r>
    </w:p>
    <w:p w14:paraId="34D87D47">
      <w:pPr>
        <w:snapToGrid w:val="0"/>
        <w:spacing w:line="360" w:lineRule="auto"/>
        <w:ind w:firstLine="422" w:firstLineChars="200"/>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04AD911">
      <w:pPr>
        <w:snapToGrid w:val="0"/>
        <w:spacing w:line="360" w:lineRule="auto"/>
        <w:ind w:firstLine="420" w:firstLineChars="200"/>
        <w:rPr>
          <w:rFonts w:ascii="Times New Roman" w:hAnsi="Times New Roman" w:eastAsia="宋体" w:cs="Times New Roman"/>
          <w:bCs/>
          <w:szCs w:val="21"/>
        </w:rPr>
      </w:pPr>
      <w:r>
        <w:rPr>
          <w:rFonts w:hint="eastAsia" w:ascii="宋体" w:hAnsi="宋体" w:eastAsia="宋体" w:cs="Times New Roman"/>
          <w:szCs w:val="21"/>
        </w:rPr>
        <w:t>孙云晓，</w:t>
      </w:r>
      <w:r>
        <w:rPr>
          <w:rFonts w:ascii="宋体" w:hAnsi="宋体" w:eastAsia="宋体" w:cs="Times New Roman"/>
          <w:szCs w:val="21"/>
        </w:rPr>
        <w:t>家校合作共育：中国家庭教育的新趋势</w:t>
      </w:r>
      <w:r>
        <w:rPr>
          <w:rFonts w:hint="eastAsia" w:ascii="宋体" w:hAnsi="宋体" w:eastAsia="宋体" w:cs="Times New Roman"/>
          <w:szCs w:val="21"/>
        </w:rPr>
        <w:t>，北京：中国人民大学出版社，20</w:t>
      </w:r>
      <w:r>
        <w:rPr>
          <w:rFonts w:ascii="宋体" w:hAnsi="宋体" w:eastAsia="宋体" w:cs="Times New Roman"/>
          <w:szCs w:val="21"/>
        </w:rPr>
        <w:t>20</w:t>
      </w:r>
      <w:r>
        <w:rPr>
          <w:rFonts w:hint="eastAsia" w:ascii="宋体" w:hAnsi="宋体" w:eastAsia="宋体" w:cs="Times New Roman"/>
          <w:szCs w:val="21"/>
        </w:rPr>
        <w:t>.</w:t>
      </w:r>
      <w:r>
        <w:rPr>
          <w:rFonts w:ascii="宋体" w:hAnsi="宋体" w:eastAsia="宋体" w:cs="Times New Roman"/>
          <w:szCs w:val="21"/>
        </w:rPr>
        <w:t>10.</w:t>
      </w:r>
    </w:p>
    <w:p w14:paraId="02765DEF">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（三）参考书目</w:t>
      </w:r>
    </w:p>
    <w:p w14:paraId="11FE5DF0">
      <w:pPr>
        <w:spacing w:line="360" w:lineRule="auto"/>
        <w:ind w:firstLine="420" w:firstLineChars="200"/>
        <w:rPr>
          <w:rFonts w:hint="eastAsia" w:ascii="宋体" w:hAnsi="宋体" w:eastAsia="宋体"/>
        </w:rPr>
      </w:pPr>
      <w:bookmarkStart w:id="837" w:name="_Hlk151829643"/>
      <w:r>
        <w:rPr>
          <w:rFonts w:hint="eastAsia" w:ascii="宋体" w:hAnsi="宋体" w:eastAsia="宋体"/>
        </w:rPr>
        <w:t>1.李家成，学校家庭社区协同育人研究，国家开放大学出版社，2023.</w:t>
      </w:r>
    </w:p>
    <w:p w14:paraId="666677EF">
      <w:pPr>
        <w:spacing w:line="360" w:lineRule="auto"/>
        <w:ind w:firstLine="420" w:firstLineChars="200"/>
        <w:rPr>
          <w:rFonts w:hint="eastAsia" w:ascii="宋体" w:hAnsi="宋体" w:eastAsia="宋体"/>
        </w:rPr>
      </w:pPr>
      <w:r>
        <w:rPr>
          <w:rFonts w:hint="eastAsia" w:ascii="宋体" w:hAnsi="宋体" w:eastAsia="宋体"/>
        </w:rPr>
        <w:t>2.张竹林，教师家庭教育制导能力建设论，上海：华东师范大学出版社，2</w:t>
      </w:r>
      <w:r>
        <w:rPr>
          <w:rFonts w:ascii="宋体" w:hAnsi="宋体" w:eastAsia="宋体"/>
        </w:rPr>
        <w:t>021.</w:t>
      </w:r>
    </w:p>
    <w:p w14:paraId="04140211">
      <w:pPr>
        <w:spacing w:line="360" w:lineRule="auto"/>
        <w:ind w:firstLine="420" w:firstLineChars="200"/>
        <w:rPr>
          <w:rFonts w:hint="eastAsia" w:ascii="宋体" w:hAnsi="宋体" w:eastAsia="宋体"/>
        </w:rPr>
      </w:pPr>
      <w:r>
        <w:rPr>
          <w:rFonts w:hint="eastAsia" w:ascii="宋体" w:hAnsi="宋体" w:eastAsia="宋体"/>
        </w:rPr>
        <w:t>3.</w:t>
      </w:r>
      <w:r>
        <w:rPr>
          <w:rFonts w:ascii="宋体" w:hAnsi="宋体" w:eastAsia="宋体"/>
        </w:rPr>
        <w:t>吴重涵，王梅雾，张俊</w:t>
      </w:r>
      <w:r>
        <w:rPr>
          <w:rFonts w:hint="eastAsia" w:ascii="宋体" w:hAnsi="宋体" w:eastAsia="宋体"/>
        </w:rPr>
        <w:t>，</w:t>
      </w:r>
      <w:bookmarkEnd w:id="837"/>
      <w:r>
        <w:rPr>
          <w:rFonts w:hint="eastAsia" w:ascii="宋体" w:hAnsi="宋体" w:eastAsia="宋体"/>
        </w:rPr>
        <w:t>国际视野与本土行动：家校合作的经验和行动指南，</w:t>
      </w:r>
      <w:bookmarkStart w:id="838" w:name="_Hlk151829651"/>
      <w:r>
        <w:rPr>
          <w:rFonts w:hint="eastAsia" w:ascii="宋体" w:hAnsi="宋体" w:eastAsia="宋体"/>
        </w:rPr>
        <w:t>江西教育出版社，2</w:t>
      </w:r>
      <w:r>
        <w:rPr>
          <w:rFonts w:ascii="宋体" w:hAnsi="宋体" w:eastAsia="宋体"/>
        </w:rPr>
        <w:t>012</w:t>
      </w:r>
      <w:bookmarkEnd w:id="838"/>
      <w:r>
        <w:rPr>
          <w:rFonts w:hint="eastAsia" w:ascii="宋体" w:hAnsi="宋体" w:eastAsia="宋体"/>
        </w:rPr>
        <w:t>.</w:t>
      </w:r>
    </w:p>
    <w:p w14:paraId="0E9FEB6B">
      <w:pPr>
        <w:spacing w:line="360" w:lineRule="auto"/>
        <w:ind w:firstLine="420" w:firstLineChars="200"/>
        <w:rPr>
          <w:rFonts w:hint="eastAsia" w:ascii="宋体" w:hAnsi="宋体" w:eastAsia="宋体"/>
        </w:rPr>
      </w:pPr>
      <w:r>
        <w:rPr>
          <w:rFonts w:hint="eastAsia" w:ascii="宋体" w:hAnsi="宋体" w:eastAsia="宋体"/>
        </w:rPr>
        <w:t>4．</w:t>
      </w:r>
      <w:r>
        <w:rPr>
          <w:rFonts w:ascii="宋体" w:hAnsi="宋体" w:eastAsia="宋体"/>
        </w:rPr>
        <w:t>吴重涵，王梅雾，张俊，</w:t>
      </w:r>
      <w:r>
        <w:rPr>
          <w:rFonts w:hint="eastAsia" w:ascii="宋体" w:hAnsi="宋体" w:eastAsia="宋体"/>
        </w:rPr>
        <w:t>家校合作：理论、经验与行动，江西教育出版社，2</w:t>
      </w:r>
      <w:r>
        <w:rPr>
          <w:rFonts w:ascii="宋体" w:hAnsi="宋体" w:eastAsia="宋体"/>
        </w:rPr>
        <w:t>013</w:t>
      </w:r>
      <w:r>
        <w:rPr>
          <w:rFonts w:hint="eastAsia" w:ascii="宋体" w:hAnsi="宋体" w:eastAsia="宋体"/>
        </w:rPr>
        <w:t>.</w:t>
      </w:r>
    </w:p>
    <w:p w14:paraId="281725EA">
      <w:pPr>
        <w:spacing w:line="360" w:lineRule="auto"/>
        <w:ind w:firstLine="420" w:firstLineChars="200"/>
        <w:rPr>
          <w:rFonts w:hint="eastAsia" w:ascii="宋体" w:hAnsi="宋体" w:eastAsia="宋体"/>
        </w:rPr>
      </w:pPr>
      <w:r>
        <w:rPr>
          <w:rFonts w:hint="eastAsia" w:ascii="宋体" w:hAnsi="宋体" w:eastAsia="宋体"/>
        </w:rPr>
        <w:t>5.</w:t>
      </w:r>
      <w:r>
        <w:rPr>
          <w:rFonts w:ascii="宋体" w:hAnsi="宋体" w:eastAsia="宋体"/>
        </w:rPr>
        <w:t>Joyce L. Epstein; Mavis G. Sanders; Steven B. Sheldon</w:t>
      </w:r>
      <w:r>
        <w:rPr>
          <w:rFonts w:hint="eastAsia" w:ascii="宋体" w:hAnsi="宋体" w:eastAsia="宋体"/>
        </w:rPr>
        <w:t>，学校、家庭和社区合作伙伴：行动手册，江西教育出版社，2</w:t>
      </w:r>
      <w:r>
        <w:rPr>
          <w:rFonts w:ascii="宋体" w:hAnsi="宋体" w:eastAsia="宋体"/>
        </w:rPr>
        <w:t>012</w:t>
      </w:r>
      <w:r>
        <w:rPr>
          <w:rFonts w:hint="eastAsia" w:ascii="宋体" w:hAnsi="宋体" w:eastAsia="宋体"/>
        </w:rPr>
        <w:t>。</w:t>
      </w:r>
    </w:p>
    <w:p w14:paraId="1B1644C6">
      <w:pPr>
        <w:spacing w:line="360" w:lineRule="auto"/>
        <w:ind w:firstLine="422" w:firstLineChars="200"/>
        <w:rPr>
          <w:rFonts w:hint="eastAsia" w:ascii="宋体" w:hAnsi="宋体" w:eastAsia="宋体"/>
          <w:b/>
          <w:bCs/>
        </w:rPr>
      </w:pPr>
      <w:r>
        <w:rPr>
          <w:rFonts w:hint="eastAsia" w:ascii="宋体" w:hAnsi="宋体" w:eastAsia="宋体"/>
          <w:b/>
          <w:bCs/>
        </w:rPr>
        <w:t>国家新近政策</w:t>
      </w:r>
    </w:p>
    <w:p w14:paraId="40590D56">
      <w:pPr>
        <w:spacing w:line="360" w:lineRule="auto"/>
        <w:ind w:firstLine="420" w:firstLineChars="200"/>
        <w:rPr>
          <w:rFonts w:hint="eastAsia" w:ascii="宋体" w:hAnsi="宋体" w:eastAsia="宋体"/>
        </w:rPr>
      </w:pPr>
      <w:r>
        <w:rPr>
          <w:rFonts w:hint="eastAsia" w:ascii="宋体" w:hAnsi="宋体" w:eastAsia="宋体"/>
        </w:rPr>
        <w:t>1.教育部，加快推动“教联体”建设 凝聚全社会育人合力，http://www.moe.gov.cn/jyb_xwfb/s5148/202411/t20241101_1160298.html</w:t>
      </w:r>
    </w:p>
    <w:p w14:paraId="336178EE">
      <w:pPr>
        <w:spacing w:line="360" w:lineRule="auto"/>
        <w:ind w:firstLine="420" w:firstLineChars="200"/>
        <w:rPr>
          <w:rFonts w:hint="eastAsia" w:ascii="宋体" w:hAnsi="宋体" w:eastAsia="宋体"/>
        </w:rPr>
      </w:pPr>
      <w:r>
        <w:rPr>
          <w:rFonts w:hint="eastAsia" w:ascii="宋体" w:hAnsi="宋体" w:eastAsia="宋体"/>
        </w:rPr>
        <w:t>2.教育部等联合印发《家校社协同育人“教联体”工作方案》2024年.</w:t>
      </w:r>
    </w:p>
    <w:p w14:paraId="3D691063">
      <w:pPr>
        <w:spacing w:line="360" w:lineRule="auto"/>
        <w:ind w:firstLine="420" w:firstLineChars="200"/>
        <w:rPr>
          <w:rFonts w:hint="eastAsia" w:ascii="宋体" w:hAnsi="宋体" w:eastAsia="宋体"/>
        </w:rPr>
      </w:pPr>
      <w:r>
        <w:rPr>
          <w:rFonts w:hint="eastAsia" w:ascii="宋体" w:hAnsi="宋体" w:eastAsia="宋体"/>
        </w:rPr>
        <w:t>3.</w:t>
      </w:r>
      <w:r>
        <w:fldChar w:fldCharType="begin"/>
      </w:r>
      <w:r>
        <w:instrText xml:space="preserve"> HYPERLINK "http://www.moe.gov.cn/jyb_xwfb/s5148/202411/t20241102_1160413.html" </w:instrText>
      </w:r>
      <w:r>
        <w:fldChar w:fldCharType="separate"/>
      </w:r>
      <w:r>
        <w:rPr>
          <w:rStyle w:val="15"/>
          <w:rFonts w:ascii="宋体" w:hAnsi="宋体" w:eastAsia="宋体"/>
          <w:color w:val="auto"/>
        </w:rPr>
        <w:t>构建协同育人“教联体” 共画学生成长“同心圆”——专家解读《家校社协同育人“教联体”工作方案》 - 中华人民共和国教育部政府门户网站</w:t>
      </w:r>
      <w:r>
        <w:rPr>
          <w:rStyle w:val="15"/>
          <w:rFonts w:ascii="宋体" w:hAnsi="宋体" w:eastAsia="宋体"/>
          <w:color w:val="auto"/>
        </w:rPr>
        <w:fldChar w:fldCharType="end"/>
      </w:r>
      <w:r>
        <w:rPr>
          <w:rFonts w:hint="eastAsia" w:ascii="宋体" w:hAnsi="宋体" w:eastAsia="宋体"/>
        </w:rPr>
        <w:t>http://www.moe.gov.cn/jyb_xwfb/s5148/202411/t20241102_1160413.html</w:t>
      </w:r>
    </w:p>
    <w:p w14:paraId="02A67C36">
      <w:pPr>
        <w:spacing w:line="360" w:lineRule="auto"/>
        <w:ind w:firstLine="420" w:firstLineChars="200"/>
        <w:rPr>
          <w:rFonts w:hint="eastAsia" w:ascii="宋体" w:hAnsi="宋体" w:eastAsia="宋体"/>
        </w:rPr>
      </w:pPr>
      <w:r>
        <w:rPr>
          <w:rFonts w:hint="eastAsia" w:ascii="宋体" w:hAnsi="宋体" w:eastAsia="宋体"/>
        </w:rPr>
        <w:t>4.</w:t>
      </w:r>
      <w:r>
        <w:fldChar w:fldCharType="begin"/>
      </w:r>
      <w:r>
        <w:instrText xml:space="preserve"> HYPERLINK "http://www.moe.gov.cn/jyb_sjzl/sjzl_zcfg/zcfg_qtxgfl/202110/t20211025_574749.html" </w:instrText>
      </w:r>
      <w:r>
        <w:fldChar w:fldCharType="separate"/>
      </w:r>
      <w:r>
        <w:rPr>
          <w:rStyle w:val="15"/>
          <w:rFonts w:ascii="宋体" w:hAnsi="宋体" w:eastAsia="宋体"/>
          <w:color w:val="auto"/>
        </w:rPr>
        <w:t>中华人民共和国家庭教育促进法 - 中华人民共和国教育部政府门户网站</w:t>
      </w:r>
      <w:r>
        <w:rPr>
          <w:rStyle w:val="15"/>
          <w:rFonts w:ascii="宋体" w:hAnsi="宋体" w:eastAsia="宋体"/>
          <w:color w:val="auto"/>
        </w:rPr>
        <w:fldChar w:fldCharType="end"/>
      </w:r>
      <w:r>
        <w:fldChar w:fldCharType="begin"/>
      </w:r>
      <w:r>
        <w:instrText xml:space="preserve"> HYPERLINK "http://www.moe.gov.cn/jyb_sjzl/sjzl_zcfg/zcfg_qtxgfl/202110/t20211025_574749.html" </w:instrText>
      </w:r>
      <w:r>
        <w:fldChar w:fldCharType="separate"/>
      </w:r>
      <w:r>
        <w:rPr>
          <w:rStyle w:val="15"/>
          <w:rFonts w:hint="eastAsia" w:ascii="宋体" w:hAnsi="宋体" w:eastAsia="宋体"/>
          <w:color w:val="auto"/>
        </w:rPr>
        <w:t>http://www.moe.gov.cn/jyb_sjzl/sjzl_zcfg/zcfg_qtxgfl/202110/t20211025_574749.html</w:t>
      </w:r>
      <w:r>
        <w:rPr>
          <w:rStyle w:val="15"/>
          <w:rFonts w:hint="eastAsia" w:ascii="宋体" w:hAnsi="宋体" w:eastAsia="宋体"/>
          <w:color w:val="auto"/>
        </w:rPr>
        <w:fldChar w:fldCharType="end"/>
      </w:r>
    </w:p>
    <w:p w14:paraId="47F7D9B7">
      <w:pPr>
        <w:spacing w:line="360" w:lineRule="auto"/>
        <w:ind w:firstLine="420" w:firstLineChars="200"/>
        <w:rPr>
          <w:rFonts w:hint="eastAsia" w:ascii="宋体" w:hAnsi="宋体" w:eastAsia="宋体"/>
        </w:rPr>
      </w:pPr>
      <w:r>
        <w:rPr>
          <w:rFonts w:hint="eastAsia" w:ascii="宋体" w:hAnsi="宋体" w:eastAsia="宋体"/>
        </w:rPr>
        <w:t>5.</w:t>
      </w:r>
      <w:r>
        <w:fldChar w:fldCharType="begin"/>
      </w:r>
      <w:r>
        <w:instrText xml:space="preserve"> HYPERLINK "http://www.moe.gov.cn/jyb_sjzl/sjzl_zcfg/zcfg_qtxgfl/202110/t20211025_574798.html" </w:instrText>
      </w:r>
      <w:r>
        <w:fldChar w:fldCharType="separate"/>
      </w:r>
      <w:r>
        <w:rPr>
          <w:rStyle w:val="15"/>
          <w:rFonts w:ascii="宋体" w:hAnsi="宋体" w:eastAsia="宋体"/>
          <w:color w:val="auto"/>
        </w:rPr>
        <w:t>中华人民共和国未成年人保护法 - 中华人民共和国教育部政府门户网站</w:t>
      </w:r>
      <w:r>
        <w:rPr>
          <w:rStyle w:val="15"/>
          <w:rFonts w:ascii="宋体" w:hAnsi="宋体" w:eastAsia="宋体"/>
          <w:color w:val="auto"/>
        </w:rPr>
        <w:fldChar w:fldCharType="end"/>
      </w:r>
      <w:r>
        <w:rPr>
          <w:rFonts w:hint="eastAsia" w:ascii="宋体" w:hAnsi="宋体" w:eastAsia="宋体"/>
        </w:rPr>
        <w:t>http://www.moe.gov.cn/jyb_sjzl/sjzl_zcfg/zcfg_qtxgfl/202110/t20211025_574798.html</w:t>
      </w:r>
    </w:p>
    <w:p w14:paraId="0A6820DF">
      <w:pPr>
        <w:snapToGrid w:val="0"/>
        <w:spacing w:line="360" w:lineRule="auto"/>
        <w:ind w:firstLine="4830" w:firstLineChars="2300"/>
        <w:jc w:val="right"/>
        <w:rPr>
          <w:rFonts w:ascii="Times New Roman" w:hAnsi="Times New Roman" w:eastAsia="宋体" w:cs="Times New Roman"/>
          <w:szCs w:val="21"/>
        </w:rPr>
      </w:pPr>
      <w:r>
        <w:rPr>
          <w:rFonts w:hint="eastAsia" w:ascii="Times New Roman" w:hAnsi="Times New Roman" w:eastAsia="宋体" w:cs="Times New Roman"/>
          <w:szCs w:val="21"/>
        </w:rPr>
        <w:t>执 笔 人：</w:t>
      </w:r>
      <w:r>
        <w:rPr>
          <w:rFonts w:ascii="Times New Roman" w:hAnsi="Times New Roman" w:eastAsia="宋体" w:cs="Times New Roman"/>
          <w:szCs w:val="21"/>
        </w:rPr>
        <w:t xml:space="preserve"> </w:t>
      </w:r>
      <w:r>
        <w:rPr>
          <w:rFonts w:hint="eastAsia" w:ascii="宋体" w:hAnsi="宋体" w:eastAsia="宋体" w:cs="Times New Roman"/>
          <w:szCs w:val="21"/>
        </w:rPr>
        <w:t>张文娟</w:t>
      </w:r>
    </w:p>
    <w:p w14:paraId="57C1B7E5">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定 人：</w:t>
      </w:r>
      <w:r>
        <w:rPr>
          <w:rFonts w:ascii="Times New Roman" w:hAnsi="Times New Roman" w:eastAsia="宋体" w:cs="Times New Roman"/>
          <w:szCs w:val="21"/>
        </w:rPr>
        <w:t xml:space="preserve"> </w:t>
      </w:r>
      <w:r>
        <w:rPr>
          <w:rFonts w:hint="eastAsia" w:ascii="宋体" w:hAnsi="宋体" w:eastAsia="宋体" w:cs="Times New Roman"/>
          <w:szCs w:val="21"/>
        </w:rPr>
        <w:t>张志欣</w:t>
      </w:r>
    </w:p>
    <w:p w14:paraId="3DB89E77">
      <w:pPr>
        <w:snapToGrid w:val="0"/>
        <w:spacing w:line="360" w:lineRule="auto"/>
        <w:ind w:firstLine="4830" w:firstLineChars="2300"/>
        <w:jc w:val="right"/>
        <w:rPr>
          <w:rFonts w:ascii="Times New Roman" w:hAnsi="Times New Roman" w:eastAsia="宋体" w:cs="Times New Roman"/>
          <w:szCs w:val="21"/>
        </w:rPr>
      </w:pPr>
      <w:r>
        <w:rPr>
          <w:rFonts w:hint="eastAsia" w:ascii="Times New Roman" w:hAnsi="Times New Roman" w:eastAsia="宋体" w:cs="Times New Roman"/>
          <w:szCs w:val="21"/>
        </w:rPr>
        <w:t xml:space="preserve">审 批 人： </w:t>
      </w:r>
      <w:r>
        <w:rPr>
          <w:rFonts w:hint="eastAsia" w:ascii="宋体" w:hAnsi="宋体" w:eastAsia="宋体" w:cs="Times New Roman"/>
          <w:szCs w:val="21"/>
        </w:rPr>
        <w:t>崔  涛</w:t>
      </w:r>
      <w:r>
        <w:rPr>
          <w:rFonts w:ascii="Times New Roman" w:hAnsi="Times New Roman" w:eastAsia="宋体" w:cs="Times New Roman"/>
          <w:szCs w:val="21"/>
        </w:rPr>
        <w:t xml:space="preserve"> </w:t>
      </w:r>
    </w:p>
    <w:p w14:paraId="6EA3FFA3">
      <w:pPr>
        <w:jc w:val="right"/>
        <w:rPr>
          <w:rFonts w:hint="eastAsia" w:ascii="宋体" w:hAnsi="宋体" w:eastAsia="宋体" w:cs="Times New Roman"/>
          <w:kern w:val="0"/>
          <w:sz w:val="24"/>
          <w:szCs w:val="21"/>
        </w:rPr>
      </w:pPr>
      <w:r>
        <w:rPr>
          <w:rFonts w:hint="eastAsia" w:ascii="Times New Roman" w:hAnsi="Times New Roman" w:eastAsia="宋体" w:cs="Times New Roman"/>
          <w:szCs w:val="21"/>
        </w:rPr>
        <w:t>批准时间：2025年7月1日</w:t>
      </w:r>
      <w:r>
        <w:rPr>
          <w:rFonts w:hint="eastAsia" w:ascii="宋体" w:hAnsi="宋体" w:eastAsia="宋体" w:cs="Times New Roman"/>
          <w:kern w:val="0"/>
          <w:sz w:val="24"/>
          <w:szCs w:val="21"/>
        </w:rPr>
        <w:br w:type="page"/>
      </w:r>
    </w:p>
    <w:p w14:paraId="24930A33">
      <w:pPr>
        <w:spacing w:line="360" w:lineRule="auto"/>
        <w:jc w:val="center"/>
        <w:outlineLvl w:val="0"/>
        <w:rPr>
          <w:rFonts w:ascii="Times New Roman" w:hAnsi="Times New Roman" w:eastAsia="宋体" w:cs="Times New Roman"/>
          <w:b/>
          <w:sz w:val="44"/>
          <w:szCs w:val="44"/>
        </w:rPr>
      </w:pPr>
      <w:bookmarkStart w:id="839" w:name="_Toc166165201"/>
      <w:bookmarkStart w:id="840" w:name="_Toc24373"/>
      <w:bookmarkStart w:id="841" w:name="_Toc31335"/>
      <w:bookmarkStart w:id="842" w:name="_Toc19713"/>
      <w:bookmarkStart w:id="843" w:name="_Toc14566"/>
      <w:r>
        <w:rPr>
          <w:rFonts w:hint="eastAsia" w:ascii="Times New Roman" w:hAnsi="Times New Roman" w:eastAsia="宋体" w:cs="Times New Roman"/>
          <w:b/>
          <w:sz w:val="44"/>
          <w:szCs w:val="44"/>
        </w:rPr>
        <w:t>《中外教育名著导读》课程教学大纲</w:t>
      </w:r>
      <w:bookmarkEnd w:id="839"/>
      <w:bookmarkEnd w:id="840"/>
      <w:bookmarkEnd w:id="841"/>
      <w:bookmarkEnd w:id="842"/>
      <w:bookmarkEnd w:id="843"/>
    </w:p>
    <w:p w14:paraId="37FB1547">
      <w:pPr>
        <w:spacing w:line="360" w:lineRule="auto"/>
        <w:jc w:val="center"/>
        <w:rPr>
          <w:rFonts w:ascii="Times New Roman" w:hAnsi="Times New Roman" w:eastAsia="宋体" w:cs="Times New Roman"/>
          <w:b/>
          <w:bCs/>
          <w:sz w:val="28"/>
          <w:szCs w:val="28"/>
        </w:rPr>
      </w:pPr>
      <w:bookmarkStart w:id="844" w:name="_Toc32193"/>
      <w:bookmarkStart w:id="845" w:name="_Toc14633"/>
      <w:bookmarkStart w:id="846" w:name="_Toc21325"/>
      <w:bookmarkStart w:id="847" w:name="_Toc12637"/>
      <w:bookmarkStart w:id="848" w:name="_Toc16156"/>
      <w:bookmarkStart w:id="849" w:name="_Toc16945"/>
      <w:bookmarkStart w:id="850" w:name="_Toc30183"/>
      <w:r>
        <w:rPr>
          <w:rFonts w:ascii="Times New Roman" w:hAnsi="Times New Roman" w:eastAsia="宋体" w:cs="Times New Roman"/>
          <w:b/>
          <w:bCs/>
          <w:sz w:val="28"/>
          <w:szCs w:val="28"/>
        </w:rPr>
        <w:t>（Introduction to Chinese and Foreign Educational Classics）</w:t>
      </w:r>
      <w:bookmarkEnd w:id="844"/>
      <w:bookmarkEnd w:id="845"/>
      <w:bookmarkEnd w:id="846"/>
      <w:bookmarkEnd w:id="847"/>
      <w:bookmarkEnd w:id="848"/>
      <w:bookmarkEnd w:id="849"/>
      <w:bookmarkEnd w:id="850"/>
    </w:p>
    <w:p w14:paraId="366C1AF6">
      <w:pPr>
        <w:spacing w:line="360" w:lineRule="auto"/>
        <w:ind w:firstLine="422" w:firstLineChars="200"/>
        <w:jc w:val="left"/>
        <w:rPr>
          <w:rFonts w:ascii="Times New Roman" w:hAnsi="Times New Roman" w:eastAsia="宋体" w:cs="Times New Roman"/>
          <w:b/>
          <w:szCs w:val="21"/>
        </w:rPr>
      </w:pPr>
    </w:p>
    <w:p w14:paraId="6C5324D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课程名称：中外教育名著导读</w:t>
      </w:r>
    </w:p>
    <w:p w14:paraId="4CB9EF6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sz w:val="24"/>
        </w:rPr>
        <w:t>2401020</w:t>
      </w:r>
    </w:p>
    <w:p w14:paraId="14230AD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Times New Roman" w:hAnsi="Times New Roman" w:eastAsia="宋体" w:cs="Times New Roman"/>
          <w:sz w:val="24"/>
        </w:rPr>
        <w:t>2</w:t>
      </w:r>
    </w:p>
    <w:p w14:paraId="1F6345E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sz w:val="24"/>
        </w:rPr>
        <w:t>32</w:t>
      </w:r>
    </w:p>
    <w:p w14:paraId="3E7C7A9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hint="eastAsia" w:ascii="Times New Roman" w:hAnsi="Times New Roman" w:eastAsia="宋体" w:cs="Times New Roman"/>
          <w:bCs/>
          <w:sz w:val="24"/>
        </w:rPr>
        <w:t>教育原理、中国教育史、外国教育史</w:t>
      </w:r>
    </w:p>
    <w:p w14:paraId="4876DE7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w:t>
      </w:r>
      <w:r>
        <w:rPr>
          <w:rFonts w:hint="eastAsia" w:ascii="Times New Roman" w:hAnsi="Times New Roman" w:eastAsia="宋体" w:cs="Times New Roman"/>
          <w:sz w:val="24"/>
        </w:rPr>
        <w:t>小学教育</w:t>
      </w:r>
    </w:p>
    <w:p w14:paraId="13429577">
      <w:pPr>
        <w:spacing w:before="62" w:beforeLines="20" w:after="62" w:afterLines="20" w:line="360" w:lineRule="auto"/>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7C6CBC36">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选修课。开设本课程，旨在促使学生通过阅读一些中外教育名著，更真实清晰地了解教育史上的重要教育思想，理解其思想实质和教育家们思考问题的立场、方法及时代背景；能运用马克思主义的思想观点、立场、方法来分析历史上中外教育家们的教育思想，取其精华，去其糟粕。学生在掌握中外教育名著理论精华和特色的基础上，能把传统思想精华与现代教育改革有机结合，丰富中国特色现代教育理论和实践。牢固学生专业思想，养成热爱祖国，热爱教育事业的情操。</w:t>
      </w:r>
    </w:p>
    <w:p w14:paraId="727D567B">
      <w:pPr>
        <w:spacing w:before="62" w:beforeLines="20" w:after="62" w:afterLines="20" w:line="360" w:lineRule="auto"/>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4D6B980E">
      <w:pPr>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（一）课程具体目标</w:t>
      </w:r>
    </w:p>
    <w:p w14:paraId="33B5362A">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目标1</w:t>
      </w:r>
      <w:r>
        <w:rPr>
          <w:rFonts w:ascii="Times New Roman" w:hAnsi="Times New Roman" w:eastAsia="宋体" w:cs="Times New Roman"/>
          <w:szCs w:val="21"/>
        </w:rPr>
        <w:t xml:space="preserve">. </w:t>
      </w:r>
      <w:r>
        <w:rPr>
          <w:rFonts w:hint="eastAsia" w:ascii="Times New Roman" w:hAnsi="Times New Roman" w:eastAsia="宋体" w:cs="Times New Roman"/>
          <w:szCs w:val="21"/>
        </w:rPr>
        <w:t>掌握中外著名教育家的主要教育思想及代表性作品。</w:t>
      </w:r>
    </w:p>
    <w:p w14:paraId="49EBC45F">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目标2</w:t>
      </w:r>
      <w:r>
        <w:rPr>
          <w:rFonts w:ascii="Times New Roman" w:hAnsi="Times New Roman" w:eastAsia="宋体" w:cs="Times New Roman"/>
          <w:szCs w:val="21"/>
        </w:rPr>
        <w:t xml:space="preserve">. </w:t>
      </w:r>
      <w:r>
        <w:rPr>
          <w:rFonts w:hint="eastAsia" w:ascii="Times New Roman" w:hAnsi="Times New Roman" w:eastAsia="宋体" w:cs="Times New Roman"/>
          <w:szCs w:val="21"/>
        </w:rPr>
        <w:t>了解中外教育名著的写作背景，把握其思想实质和教育家们分析问题的立场、方法，自觉树立科学的教育理念</w:t>
      </w:r>
    </w:p>
    <w:p w14:paraId="74D9458D">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 xml:space="preserve">3. </w:t>
      </w:r>
      <w:r>
        <w:rPr>
          <w:rFonts w:hint="eastAsia" w:ascii="Times New Roman" w:hAnsi="Times New Roman" w:eastAsia="宋体" w:cs="Times New Roman"/>
          <w:szCs w:val="21"/>
        </w:rPr>
        <w:t>了解古今中外教育家教育思想的现实意义，通过知古识今，洋为中用，更好地分析和思考当前我国教育改革的实际问题，增强教育的革新意识</w:t>
      </w:r>
    </w:p>
    <w:p w14:paraId="4E4E38A5">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 xml:space="preserve">4. </w:t>
      </w:r>
      <w:r>
        <w:rPr>
          <w:rFonts w:hint="eastAsia" w:ascii="Times New Roman" w:hAnsi="Times New Roman" w:eastAsia="宋体" w:cs="Times New Roman"/>
          <w:szCs w:val="21"/>
        </w:rPr>
        <w:t>掌握一定的阅读方法，养成良好的阅读习惯，增强分析、批判和创新能力。</w:t>
      </w:r>
    </w:p>
    <w:p w14:paraId="29DFE6B0">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4248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DA1B220">
            <w:pPr>
              <w:spacing w:line="360"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毕业要求</w:t>
            </w:r>
          </w:p>
        </w:tc>
        <w:tc>
          <w:tcPr>
            <w:tcW w:w="5688" w:type="dxa"/>
            <w:vAlign w:val="center"/>
          </w:tcPr>
          <w:p w14:paraId="0F3B3458">
            <w:pPr>
              <w:spacing w:line="360"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毕业要求指标点</w:t>
            </w:r>
          </w:p>
        </w:tc>
        <w:tc>
          <w:tcPr>
            <w:tcW w:w="1191" w:type="dxa"/>
            <w:vAlign w:val="center"/>
          </w:tcPr>
          <w:p w14:paraId="6D53C8B7">
            <w:pPr>
              <w:spacing w:line="360"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课程目标</w:t>
            </w:r>
          </w:p>
        </w:tc>
      </w:tr>
      <w:tr w14:paraId="6DF6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1965799">
            <w:pPr>
              <w:spacing w:line="276" w:lineRule="auto"/>
              <w:jc w:val="left"/>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毕业要求2教育情怀</w:t>
            </w:r>
          </w:p>
        </w:tc>
        <w:tc>
          <w:tcPr>
            <w:tcW w:w="5688" w:type="dxa"/>
            <w:vAlign w:val="center"/>
          </w:tcPr>
          <w:p w14:paraId="5FAB6425">
            <w:pPr>
              <w:spacing w:line="276" w:lineRule="auto"/>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指标点2-3</w:t>
            </w:r>
            <w:r>
              <w:rPr>
                <w:rFonts w:hint="eastAsia" w:ascii="Times New Roman" w:hAnsi="Times New Roman" w:eastAsia="宋体" w:cs="Times New Roman"/>
                <w:kern w:val="0"/>
                <w:szCs w:val="21"/>
              </w:rPr>
              <w:t>：【自身修养良好】具有较好的人文艺术底蕴与科学精神，言行举止符合教师职业标准，情感积极，人格健全，身心健康。</w:t>
            </w:r>
          </w:p>
        </w:tc>
        <w:tc>
          <w:tcPr>
            <w:tcW w:w="1191" w:type="dxa"/>
            <w:vAlign w:val="center"/>
          </w:tcPr>
          <w:p w14:paraId="4D2DB7EE">
            <w:pPr>
              <w:spacing w:line="276"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课程目标1、4</w:t>
            </w:r>
          </w:p>
        </w:tc>
      </w:tr>
      <w:tr w14:paraId="72C7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449BC60">
            <w:pPr>
              <w:spacing w:line="276" w:lineRule="auto"/>
              <w:jc w:val="left"/>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毕业要求3学科素养</w:t>
            </w:r>
          </w:p>
        </w:tc>
        <w:tc>
          <w:tcPr>
            <w:tcW w:w="5688" w:type="dxa"/>
            <w:vAlign w:val="center"/>
          </w:tcPr>
          <w:p w14:paraId="6BCC766E">
            <w:pPr>
              <w:spacing w:line="276" w:lineRule="auto"/>
              <w:jc w:val="left"/>
              <w:rPr>
                <w:rFonts w:ascii="Times New Roman" w:hAnsi="Times New Roman" w:eastAsia="宋体" w:cs="Times New Roman"/>
                <w:kern w:val="0"/>
                <w:szCs w:val="21"/>
              </w:rPr>
            </w:pPr>
            <w:r>
              <w:rPr>
                <w:rFonts w:hint="eastAsia" w:ascii="宋体" w:hAnsi="宋体" w:eastAsia="宋体" w:cs="Times New Roman"/>
                <w:b/>
                <w:spacing w:val="2"/>
                <w:kern w:val="0"/>
                <w:szCs w:val="21"/>
              </w:rPr>
              <w:t>指标点3-1</w:t>
            </w:r>
            <w:r>
              <w:rPr>
                <w:rFonts w:hint="eastAsia" w:ascii="宋体" w:hAnsi="宋体" w:eastAsia="宋体" w:cs="Times New Roman"/>
                <w:spacing w:val="2"/>
                <w:kern w:val="0"/>
                <w:szCs w:val="21"/>
              </w:rPr>
              <w:t>：【通识知识广博】具有小学教育本科专业相应的自然科学和人文社会科学知识素养。</w:t>
            </w:r>
          </w:p>
        </w:tc>
        <w:tc>
          <w:tcPr>
            <w:tcW w:w="1191" w:type="dxa"/>
            <w:vAlign w:val="center"/>
          </w:tcPr>
          <w:p w14:paraId="1DE845B6">
            <w:pPr>
              <w:spacing w:line="276"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课程目标1、2</w:t>
            </w:r>
          </w:p>
        </w:tc>
      </w:tr>
      <w:tr w14:paraId="56FB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A192D70">
            <w:pPr>
              <w:spacing w:line="276" w:lineRule="auto"/>
              <w:jc w:val="left"/>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毕业要求7学会反思</w:t>
            </w:r>
          </w:p>
        </w:tc>
        <w:tc>
          <w:tcPr>
            <w:tcW w:w="5688" w:type="dxa"/>
            <w:vAlign w:val="center"/>
          </w:tcPr>
          <w:p w14:paraId="12F11B00">
            <w:pPr>
              <w:spacing w:line="276" w:lineRule="auto"/>
              <w:jc w:val="left"/>
              <w:rPr>
                <w:rFonts w:ascii="Times New Roman" w:hAnsi="Times New Roman" w:eastAsia="宋体" w:cs="Times New Roman"/>
                <w:kern w:val="0"/>
                <w:szCs w:val="21"/>
              </w:rPr>
            </w:pPr>
            <w:r>
              <w:rPr>
                <w:rFonts w:hint="eastAsia" w:ascii="宋体" w:hAnsi="宋体" w:eastAsia="宋体" w:cs="Times New Roman"/>
                <w:b/>
                <w:kern w:val="0"/>
                <w:szCs w:val="21"/>
              </w:rPr>
              <w:t>指标点7-1</w:t>
            </w:r>
            <w:r>
              <w:rPr>
                <w:rFonts w:hint="eastAsia" w:ascii="宋体" w:hAnsi="宋体" w:eastAsia="宋体" w:cs="Times New Roman"/>
                <w:kern w:val="0"/>
                <w:szCs w:val="21"/>
              </w:rPr>
              <w:t>：【教育视野开阔】积极关注基础教育领域的国内外交流进展，了解国内外基础教育改革发展的动态，具有宽广的教育视野，能够主动适应新时代和教育发展需求。</w:t>
            </w:r>
          </w:p>
        </w:tc>
        <w:tc>
          <w:tcPr>
            <w:tcW w:w="1191" w:type="dxa"/>
            <w:vAlign w:val="center"/>
          </w:tcPr>
          <w:p w14:paraId="46A58566">
            <w:pPr>
              <w:spacing w:line="276"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课程目标3</w:t>
            </w:r>
          </w:p>
        </w:tc>
      </w:tr>
    </w:tbl>
    <w:p w14:paraId="06DC3267">
      <w:pPr>
        <w:spacing w:before="62" w:beforeLines="20" w:after="62" w:afterLines="20" w:line="360" w:lineRule="auto"/>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752"/>
        <w:gridCol w:w="1134"/>
        <w:gridCol w:w="3339"/>
        <w:gridCol w:w="1481"/>
        <w:gridCol w:w="438"/>
      </w:tblGrid>
      <w:tr w14:paraId="0765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Align w:val="center"/>
          </w:tcPr>
          <w:p w14:paraId="48864FE4">
            <w:pPr>
              <w:jc w:val="center"/>
              <w:rPr>
                <w:rFonts w:hint="eastAsia" w:ascii="宋体" w:hAnsi="宋体" w:eastAsia="宋体" w:cs="Times New Roman"/>
                <w:b/>
                <w:kern w:val="0"/>
                <w:szCs w:val="21"/>
              </w:rPr>
            </w:pPr>
            <w:r>
              <w:rPr>
                <w:rFonts w:hint="eastAsia" w:ascii="宋体" w:hAnsi="宋体" w:eastAsia="宋体" w:cs="Times New Roman"/>
                <w:b/>
                <w:kern w:val="0"/>
                <w:szCs w:val="21"/>
              </w:rPr>
              <w:t>知识</w:t>
            </w:r>
          </w:p>
          <w:p w14:paraId="63B3B9B0">
            <w:pPr>
              <w:jc w:val="center"/>
              <w:rPr>
                <w:rFonts w:hint="eastAsia" w:ascii="宋体" w:hAnsi="宋体" w:eastAsia="宋体" w:cs="Times New Roman"/>
                <w:b/>
                <w:kern w:val="0"/>
                <w:szCs w:val="21"/>
              </w:rPr>
            </w:pPr>
            <w:r>
              <w:rPr>
                <w:rFonts w:hint="eastAsia" w:ascii="宋体" w:hAnsi="宋体" w:eastAsia="宋体" w:cs="Times New Roman"/>
                <w:b/>
                <w:kern w:val="0"/>
                <w:szCs w:val="21"/>
              </w:rPr>
              <w:t>单元</w:t>
            </w:r>
          </w:p>
        </w:tc>
        <w:tc>
          <w:tcPr>
            <w:tcW w:w="1752" w:type="dxa"/>
            <w:vAlign w:val="center"/>
          </w:tcPr>
          <w:p w14:paraId="00E7894E">
            <w:pPr>
              <w:jc w:val="center"/>
              <w:rPr>
                <w:rFonts w:hint="eastAsia" w:ascii="宋体" w:hAnsi="宋体" w:eastAsia="宋体" w:cs="Times New Roman"/>
                <w:b/>
                <w:kern w:val="0"/>
                <w:szCs w:val="21"/>
              </w:rPr>
            </w:pPr>
            <w:r>
              <w:rPr>
                <w:rFonts w:hint="eastAsia" w:ascii="宋体" w:hAnsi="宋体" w:eastAsia="宋体" w:cs="Times New Roman"/>
                <w:b/>
                <w:kern w:val="0"/>
                <w:szCs w:val="21"/>
              </w:rPr>
              <w:t>知识点</w:t>
            </w:r>
          </w:p>
        </w:tc>
        <w:tc>
          <w:tcPr>
            <w:tcW w:w="1134" w:type="dxa"/>
            <w:vAlign w:val="center"/>
          </w:tcPr>
          <w:p w14:paraId="4D8B2C2F">
            <w:pPr>
              <w:jc w:val="center"/>
              <w:rPr>
                <w:rFonts w:hint="eastAsia" w:ascii="宋体" w:hAnsi="宋体" w:eastAsia="宋体" w:cs="Times New Roman"/>
                <w:b/>
                <w:kern w:val="0"/>
                <w:szCs w:val="21"/>
              </w:rPr>
            </w:pPr>
            <w:r>
              <w:rPr>
                <w:rFonts w:hint="eastAsia" w:ascii="宋体" w:hAnsi="宋体" w:eastAsia="宋体" w:cs="Times New Roman"/>
                <w:b/>
                <w:kern w:val="0"/>
                <w:szCs w:val="21"/>
              </w:rPr>
              <w:t>对应</w:t>
            </w:r>
          </w:p>
          <w:p w14:paraId="6F2ADF6A">
            <w:pPr>
              <w:jc w:val="center"/>
              <w:rPr>
                <w:rFonts w:hint="eastAsia" w:ascii="宋体" w:hAnsi="宋体" w:eastAsia="宋体" w:cs="Times New Roman"/>
                <w:b/>
                <w:kern w:val="0"/>
                <w:szCs w:val="21"/>
              </w:rPr>
            </w:pPr>
            <w:r>
              <w:rPr>
                <w:rFonts w:hint="eastAsia" w:ascii="宋体" w:hAnsi="宋体" w:eastAsia="宋体" w:cs="Times New Roman"/>
                <w:b/>
                <w:kern w:val="0"/>
                <w:szCs w:val="21"/>
              </w:rPr>
              <w:t>课程目标</w:t>
            </w:r>
          </w:p>
        </w:tc>
        <w:tc>
          <w:tcPr>
            <w:tcW w:w="3339" w:type="dxa"/>
            <w:vAlign w:val="center"/>
          </w:tcPr>
          <w:p w14:paraId="5AC9D0BB">
            <w:pPr>
              <w:jc w:val="center"/>
              <w:rPr>
                <w:rFonts w:hint="eastAsia" w:ascii="宋体" w:hAnsi="宋体" w:eastAsia="宋体" w:cs="Times New Roman"/>
                <w:b/>
                <w:kern w:val="0"/>
                <w:szCs w:val="21"/>
              </w:rPr>
            </w:pPr>
            <w:r>
              <w:rPr>
                <w:rFonts w:hint="eastAsia" w:ascii="宋体" w:hAnsi="宋体" w:eastAsia="宋体" w:cs="Times New Roman"/>
                <w:b/>
                <w:kern w:val="0"/>
                <w:szCs w:val="21"/>
              </w:rPr>
              <w:t>预期学习成效</w:t>
            </w:r>
          </w:p>
        </w:tc>
        <w:tc>
          <w:tcPr>
            <w:tcW w:w="1481" w:type="dxa"/>
            <w:vAlign w:val="center"/>
          </w:tcPr>
          <w:p w14:paraId="0B596D14">
            <w:pPr>
              <w:jc w:val="center"/>
              <w:rPr>
                <w:rFonts w:hint="eastAsia" w:ascii="宋体" w:hAnsi="宋体" w:eastAsia="宋体" w:cs="Times New Roman"/>
                <w:b/>
                <w:kern w:val="0"/>
                <w:szCs w:val="21"/>
              </w:rPr>
            </w:pPr>
            <w:r>
              <w:rPr>
                <w:rFonts w:hint="eastAsia" w:ascii="宋体" w:hAnsi="宋体" w:eastAsia="宋体" w:cs="Times New Roman"/>
                <w:b/>
                <w:kern w:val="0"/>
                <w:szCs w:val="21"/>
              </w:rPr>
              <w:t>实现环节</w:t>
            </w:r>
          </w:p>
        </w:tc>
        <w:tc>
          <w:tcPr>
            <w:tcW w:w="438" w:type="dxa"/>
            <w:vAlign w:val="center"/>
          </w:tcPr>
          <w:p w14:paraId="00BA5543">
            <w:pPr>
              <w:jc w:val="center"/>
              <w:rPr>
                <w:rFonts w:hint="eastAsia" w:ascii="宋体" w:hAnsi="宋体" w:eastAsia="宋体" w:cs="Times New Roman"/>
                <w:b/>
                <w:kern w:val="0"/>
                <w:szCs w:val="21"/>
              </w:rPr>
            </w:pPr>
            <w:r>
              <w:rPr>
                <w:rFonts w:hint="eastAsia" w:ascii="宋体" w:hAnsi="宋体" w:eastAsia="宋体" w:cs="Times New Roman"/>
                <w:b/>
                <w:kern w:val="0"/>
                <w:szCs w:val="21"/>
              </w:rPr>
              <w:t>学时</w:t>
            </w:r>
          </w:p>
        </w:tc>
      </w:tr>
      <w:tr w14:paraId="0D17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5FB5D32B">
            <w:pPr>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导读概述</w:t>
            </w:r>
          </w:p>
        </w:tc>
        <w:tc>
          <w:tcPr>
            <w:tcW w:w="1752" w:type="dxa"/>
            <w:vAlign w:val="center"/>
          </w:tcPr>
          <w:p w14:paraId="5D72FB90">
            <w:pPr>
              <w:jc w:val="left"/>
              <w:rPr>
                <w:rFonts w:hint="eastAsia" w:ascii="宋体" w:hAnsi="宋体" w:eastAsia="宋体" w:cs="Times New Roman"/>
                <w:kern w:val="0"/>
                <w:szCs w:val="21"/>
              </w:rPr>
            </w:pPr>
            <w:r>
              <w:rPr>
                <w:rFonts w:hint="eastAsia" w:ascii="宋体" w:hAnsi="宋体" w:eastAsia="宋体" w:cs="Times New Roman"/>
                <w:kern w:val="0"/>
                <w:szCs w:val="21"/>
              </w:rPr>
              <w:t>（1）什么是教育经典名著</w:t>
            </w:r>
          </w:p>
          <w:p w14:paraId="1F29AADE">
            <w:pPr>
              <w:jc w:val="left"/>
              <w:rPr>
                <w:rFonts w:hint="eastAsia" w:ascii="宋体" w:hAnsi="宋体" w:eastAsia="宋体" w:cs="Times New Roman"/>
                <w:kern w:val="0"/>
                <w:szCs w:val="21"/>
              </w:rPr>
            </w:pPr>
            <w:r>
              <w:rPr>
                <w:rFonts w:hint="eastAsia" w:ascii="宋体" w:hAnsi="宋体" w:eastAsia="宋体" w:cs="Times New Roman"/>
                <w:kern w:val="0"/>
                <w:szCs w:val="21"/>
              </w:rPr>
              <w:t>（2）阅读教育经典名著的方法</w:t>
            </w:r>
          </w:p>
        </w:tc>
        <w:tc>
          <w:tcPr>
            <w:tcW w:w="1134" w:type="dxa"/>
            <w:vAlign w:val="center"/>
          </w:tcPr>
          <w:p w14:paraId="1C8CBB2D">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课程目标1、4</w:t>
            </w:r>
          </w:p>
        </w:tc>
        <w:tc>
          <w:tcPr>
            <w:tcW w:w="3339" w:type="dxa"/>
            <w:vAlign w:val="center"/>
          </w:tcPr>
          <w:p w14:paraId="5DF56D7C">
            <w:pPr>
              <w:jc w:val="left"/>
              <w:rPr>
                <w:rFonts w:hint="eastAsia" w:ascii="宋体" w:hAnsi="宋体" w:eastAsia="宋体" w:cs="Times New Roman"/>
                <w:kern w:val="0"/>
                <w:szCs w:val="21"/>
              </w:rPr>
            </w:pPr>
            <w:r>
              <w:rPr>
                <w:rFonts w:hint="eastAsia" w:ascii="宋体" w:hAnsi="宋体" w:eastAsia="宋体" w:cs="Times New Roman"/>
                <w:kern w:val="0"/>
                <w:szCs w:val="21"/>
              </w:rPr>
              <w:t>（1）了解什么是教育经典名著</w:t>
            </w:r>
          </w:p>
          <w:p w14:paraId="2B761A78">
            <w:pPr>
              <w:jc w:val="left"/>
              <w:rPr>
                <w:rFonts w:hint="eastAsia" w:ascii="宋体" w:hAnsi="宋体" w:eastAsia="宋体" w:cs="Times New Roman"/>
                <w:kern w:val="0"/>
                <w:szCs w:val="21"/>
              </w:rPr>
            </w:pPr>
            <w:r>
              <w:rPr>
                <w:rFonts w:hint="eastAsia" w:ascii="宋体" w:hAnsi="宋体" w:eastAsia="宋体" w:cs="Times New Roman"/>
                <w:kern w:val="0"/>
                <w:szCs w:val="21"/>
              </w:rPr>
              <w:t>（2）明确阅读教育经典名著的意义</w:t>
            </w:r>
          </w:p>
          <w:p w14:paraId="6CE24110">
            <w:pPr>
              <w:jc w:val="left"/>
              <w:rPr>
                <w:rFonts w:hint="eastAsia" w:ascii="宋体" w:hAnsi="宋体" w:eastAsia="宋体" w:cs="Times New Roman"/>
                <w:kern w:val="0"/>
                <w:szCs w:val="21"/>
              </w:rPr>
            </w:pPr>
            <w:r>
              <w:rPr>
                <w:rFonts w:hint="eastAsia" w:ascii="宋体" w:hAnsi="宋体" w:eastAsia="宋体" w:cs="Times New Roman"/>
                <w:kern w:val="0"/>
                <w:szCs w:val="21"/>
              </w:rPr>
              <w:t>（3）掌握教育经典名著的方法</w:t>
            </w:r>
          </w:p>
        </w:tc>
        <w:tc>
          <w:tcPr>
            <w:tcW w:w="1481" w:type="dxa"/>
            <w:vAlign w:val="center"/>
          </w:tcPr>
          <w:p w14:paraId="3EE6E9FD">
            <w:pPr>
              <w:jc w:val="left"/>
              <w:rPr>
                <w:rFonts w:hint="eastAsia" w:ascii="宋体" w:hAnsi="宋体" w:eastAsia="宋体" w:cs="Times New Roman"/>
                <w:kern w:val="0"/>
                <w:szCs w:val="21"/>
              </w:rPr>
            </w:pPr>
            <w:r>
              <w:rPr>
                <w:rFonts w:hint="eastAsia" w:ascii="宋体" w:hAnsi="宋体" w:eastAsia="宋体" w:cs="Times New Roman"/>
                <w:kern w:val="0"/>
                <w:szCs w:val="21"/>
              </w:rPr>
              <w:t>1.线上学习</w:t>
            </w:r>
          </w:p>
          <w:p w14:paraId="3BAB6D65">
            <w:pPr>
              <w:jc w:val="left"/>
              <w:rPr>
                <w:rFonts w:hint="eastAsia" w:ascii="宋体" w:hAnsi="宋体" w:eastAsia="宋体" w:cs="Times New Roman"/>
                <w:kern w:val="0"/>
                <w:szCs w:val="21"/>
              </w:rPr>
            </w:pPr>
            <w:r>
              <w:rPr>
                <w:rFonts w:hint="eastAsia" w:ascii="宋体" w:hAnsi="宋体" w:eastAsia="宋体" w:cs="Times New Roman"/>
                <w:kern w:val="0"/>
                <w:szCs w:val="21"/>
              </w:rPr>
              <w:t>2.多媒体教学3.课堂讨论</w:t>
            </w:r>
          </w:p>
          <w:p w14:paraId="3A909767">
            <w:pPr>
              <w:jc w:val="left"/>
              <w:rPr>
                <w:rFonts w:hint="eastAsia" w:ascii="宋体" w:hAnsi="宋体" w:eastAsia="宋体" w:cs="Times New Roman"/>
                <w:kern w:val="0"/>
                <w:szCs w:val="21"/>
              </w:rPr>
            </w:pPr>
            <w:r>
              <w:rPr>
                <w:rFonts w:hint="eastAsia" w:ascii="宋体" w:hAnsi="宋体" w:eastAsia="宋体" w:cs="Times New Roman"/>
                <w:kern w:val="0"/>
                <w:szCs w:val="21"/>
              </w:rPr>
              <w:t>4.单元测验</w:t>
            </w:r>
          </w:p>
        </w:tc>
        <w:tc>
          <w:tcPr>
            <w:tcW w:w="438" w:type="dxa"/>
            <w:vAlign w:val="center"/>
          </w:tcPr>
          <w:p w14:paraId="580D30D8">
            <w:pPr>
              <w:jc w:val="center"/>
              <w:rPr>
                <w:rFonts w:hint="eastAsia" w:ascii="宋体" w:hAnsi="宋体" w:eastAsia="宋体" w:cs="Times New Roman"/>
                <w:kern w:val="0"/>
                <w:szCs w:val="21"/>
              </w:rPr>
            </w:pPr>
            <w:r>
              <w:rPr>
                <w:rFonts w:hint="eastAsia" w:ascii="宋体" w:hAnsi="宋体" w:eastAsia="宋体" w:cs="Times New Roman"/>
                <w:kern w:val="0"/>
                <w:szCs w:val="21"/>
              </w:rPr>
              <w:t>1</w:t>
            </w:r>
          </w:p>
        </w:tc>
      </w:tr>
      <w:tr w14:paraId="7F72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615E3C53">
            <w:pPr>
              <w:jc w:val="center"/>
              <w:rPr>
                <w:rFonts w:hint="eastAsia" w:ascii="宋体" w:hAnsi="宋体" w:eastAsia="宋体" w:cs="Times New Roman"/>
                <w:kern w:val="0"/>
                <w:szCs w:val="21"/>
              </w:rPr>
            </w:pPr>
          </w:p>
        </w:tc>
        <w:tc>
          <w:tcPr>
            <w:tcW w:w="8144" w:type="dxa"/>
            <w:gridSpan w:val="5"/>
            <w:vAlign w:val="center"/>
          </w:tcPr>
          <w:p w14:paraId="773D22F3">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把马克思主义经典理论和习近平新时代中国特色社会主义思想等马克思主义中国化的最新理论成果融入课程内容，树牢“四个意识”，坚定“四个自信”，坚决做到“两个维护”，立志肩负起民族复兴的时代重任。</w:t>
            </w:r>
          </w:p>
        </w:tc>
      </w:tr>
      <w:tr w14:paraId="5BEE3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721EE676">
            <w:pPr>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中国古代教育名著导读</w:t>
            </w:r>
          </w:p>
        </w:tc>
        <w:tc>
          <w:tcPr>
            <w:tcW w:w="1752" w:type="dxa"/>
            <w:vAlign w:val="center"/>
          </w:tcPr>
          <w:p w14:paraId="267C2C96">
            <w:pPr>
              <w:jc w:val="left"/>
              <w:rPr>
                <w:rFonts w:hint="eastAsia" w:ascii="宋体" w:hAnsi="宋体" w:eastAsia="宋体" w:cs="Times New Roman"/>
                <w:kern w:val="0"/>
                <w:szCs w:val="21"/>
              </w:rPr>
            </w:pPr>
            <w:r>
              <w:rPr>
                <w:rFonts w:hint="eastAsia" w:ascii="宋体" w:hAnsi="宋体" w:eastAsia="宋体" w:cs="Times New Roman"/>
                <w:kern w:val="0"/>
                <w:szCs w:val="21"/>
              </w:rPr>
              <w:t>（1）《论语》导读</w:t>
            </w:r>
          </w:p>
          <w:p w14:paraId="04C749BE">
            <w:pPr>
              <w:jc w:val="left"/>
              <w:rPr>
                <w:rFonts w:hint="eastAsia" w:ascii="宋体" w:hAnsi="宋体" w:eastAsia="宋体" w:cs="Times New Roman"/>
                <w:kern w:val="0"/>
                <w:szCs w:val="21"/>
              </w:rPr>
            </w:pPr>
            <w:r>
              <w:rPr>
                <w:rFonts w:hint="eastAsia" w:ascii="宋体" w:hAnsi="宋体" w:eastAsia="宋体" w:cs="Times New Roman"/>
                <w:kern w:val="0"/>
                <w:szCs w:val="21"/>
              </w:rPr>
              <w:t>（2）《学记》导读</w:t>
            </w:r>
          </w:p>
          <w:p w14:paraId="6C64A9EE">
            <w:pPr>
              <w:jc w:val="left"/>
              <w:rPr>
                <w:rFonts w:hint="eastAsia" w:ascii="宋体" w:hAnsi="宋体" w:eastAsia="宋体" w:cs="Times New Roman"/>
                <w:kern w:val="0"/>
                <w:szCs w:val="21"/>
              </w:rPr>
            </w:pPr>
            <w:r>
              <w:rPr>
                <w:rFonts w:hint="eastAsia" w:ascii="宋体" w:hAnsi="宋体" w:eastAsia="宋体" w:cs="Times New Roman"/>
                <w:kern w:val="0"/>
                <w:szCs w:val="21"/>
              </w:rPr>
              <w:t>（3）《勉学》导读</w:t>
            </w:r>
          </w:p>
          <w:p w14:paraId="6CD7FA3B">
            <w:pPr>
              <w:jc w:val="left"/>
              <w:rPr>
                <w:rFonts w:hint="eastAsia" w:ascii="宋体" w:hAnsi="宋体" w:eastAsia="宋体" w:cs="Times New Roman"/>
                <w:kern w:val="0"/>
                <w:szCs w:val="21"/>
              </w:rPr>
            </w:pPr>
            <w:r>
              <w:rPr>
                <w:rFonts w:hint="eastAsia" w:ascii="宋体" w:hAnsi="宋体" w:eastAsia="宋体" w:cs="Times New Roman"/>
                <w:kern w:val="0"/>
                <w:szCs w:val="21"/>
              </w:rPr>
              <w:t>（4）《师说》导读</w:t>
            </w:r>
          </w:p>
        </w:tc>
        <w:tc>
          <w:tcPr>
            <w:tcW w:w="1134" w:type="dxa"/>
            <w:vAlign w:val="center"/>
          </w:tcPr>
          <w:p w14:paraId="34A7A37E">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课程目标1、2、3、4</w:t>
            </w:r>
          </w:p>
        </w:tc>
        <w:tc>
          <w:tcPr>
            <w:tcW w:w="3339" w:type="dxa"/>
            <w:vAlign w:val="center"/>
          </w:tcPr>
          <w:p w14:paraId="1E37EE92">
            <w:pPr>
              <w:jc w:val="left"/>
              <w:rPr>
                <w:rFonts w:hint="eastAsia" w:ascii="宋体" w:hAnsi="宋体" w:eastAsia="宋体" w:cs="Times New Roman"/>
                <w:kern w:val="0"/>
                <w:szCs w:val="21"/>
              </w:rPr>
            </w:pPr>
            <w:r>
              <w:rPr>
                <w:rFonts w:hint="eastAsia" w:ascii="宋体" w:hAnsi="宋体" w:eastAsia="宋体" w:cs="Times New Roman"/>
                <w:kern w:val="0"/>
                <w:szCs w:val="21"/>
              </w:rPr>
              <w:t>（1）了解《论语》《学记》《勉学》《师说》的内容和孔子、颜之推、韩愈的教育思想</w:t>
            </w:r>
          </w:p>
          <w:p w14:paraId="62C809B0">
            <w:pPr>
              <w:jc w:val="left"/>
              <w:rPr>
                <w:rFonts w:hint="eastAsia" w:ascii="宋体" w:hAnsi="宋体" w:eastAsia="宋体" w:cs="Times New Roman"/>
                <w:kern w:val="0"/>
                <w:szCs w:val="21"/>
              </w:rPr>
            </w:pPr>
            <w:r>
              <w:rPr>
                <w:rFonts w:hint="eastAsia" w:ascii="宋体" w:hAnsi="宋体" w:eastAsia="宋体" w:cs="Times New Roman"/>
                <w:kern w:val="0"/>
                <w:szCs w:val="21"/>
              </w:rPr>
              <w:t>（2）理解《论语》《学记》《勉学》《师说》中的教育观和它们的历史地位</w:t>
            </w:r>
          </w:p>
          <w:p w14:paraId="2F289D0D">
            <w:pPr>
              <w:jc w:val="left"/>
              <w:rPr>
                <w:rFonts w:hint="eastAsia" w:ascii="宋体" w:hAnsi="宋体" w:eastAsia="宋体" w:cs="Times New Roman"/>
                <w:kern w:val="0"/>
                <w:szCs w:val="21"/>
              </w:rPr>
            </w:pPr>
            <w:r>
              <w:rPr>
                <w:rFonts w:hint="eastAsia" w:ascii="宋体" w:hAnsi="宋体" w:eastAsia="宋体" w:cs="Times New Roman"/>
                <w:kern w:val="0"/>
                <w:szCs w:val="21"/>
              </w:rPr>
              <w:t>（3）掌握其思想精髓</w:t>
            </w:r>
          </w:p>
          <w:p w14:paraId="441DB5B8">
            <w:pPr>
              <w:jc w:val="left"/>
              <w:rPr>
                <w:rFonts w:hint="eastAsia" w:ascii="宋体" w:hAnsi="宋体" w:eastAsia="宋体" w:cs="Times New Roman"/>
                <w:kern w:val="0"/>
                <w:szCs w:val="21"/>
              </w:rPr>
            </w:pPr>
            <w:r>
              <w:rPr>
                <w:rFonts w:hint="eastAsia" w:ascii="宋体" w:hAnsi="宋体" w:eastAsia="宋体" w:cs="Times New Roman"/>
                <w:kern w:val="0"/>
                <w:szCs w:val="21"/>
              </w:rPr>
              <w:t>（4）能联系实际，探寻教育思想的现代意义</w:t>
            </w:r>
          </w:p>
        </w:tc>
        <w:tc>
          <w:tcPr>
            <w:tcW w:w="1481" w:type="dxa"/>
            <w:vAlign w:val="center"/>
          </w:tcPr>
          <w:p w14:paraId="42D11DF3">
            <w:pPr>
              <w:jc w:val="left"/>
              <w:rPr>
                <w:rFonts w:hint="eastAsia" w:ascii="宋体" w:hAnsi="宋体" w:eastAsia="宋体" w:cs="Times New Roman"/>
                <w:kern w:val="0"/>
                <w:szCs w:val="21"/>
              </w:rPr>
            </w:pPr>
            <w:r>
              <w:rPr>
                <w:rFonts w:hint="eastAsia" w:ascii="宋体" w:hAnsi="宋体" w:eastAsia="宋体" w:cs="Times New Roman"/>
                <w:kern w:val="0"/>
                <w:szCs w:val="21"/>
              </w:rPr>
              <w:t>1.线上学习</w:t>
            </w:r>
          </w:p>
          <w:p w14:paraId="6B76BF67">
            <w:pPr>
              <w:jc w:val="left"/>
              <w:rPr>
                <w:rFonts w:hint="eastAsia" w:ascii="宋体" w:hAnsi="宋体" w:eastAsia="宋体" w:cs="Times New Roman"/>
                <w:kern w:val="0"/>
                <w:szCs w:val="21"/>
              </w:rPr>
            </w:pPr>
            <w:r>
              <w:rPr>
                <w:rFonts w:hint="eastAsia" w:ascii="宋体" w:hAnsi="宋体" w:eastAsia="宋体" w:cs="Times New Roman"/>
                <w:kern w:val="0"/>
                <w:szCs w:val="21"/>
              </w:rPr>
              <w:t>2.多媒体教学3.课堂讨论</w:t>
            </w:r>
          </w:p>
          <w:p w14:paraId="4599C13D">
            <w:pPr>
              <w:jc w:val="left"/>
              <w:rPr>
                <w:rFonts w:hint="eastAsia" w:ascii="宋体" w:hAnsi="宋体" w:eastAsia="宋体" w:cs="Times New Roman"/>
                <w:kern w:val="0"/>
                <w:szCs w:val="21"/>
              </w:rPr>
            </w:pPr>
            <w:r>
              <w:rPr>
                <w:rFonts w:hint="eastAsia" w:ascii="宋体" w:hAnsi="宋体" w:eastAsia="宋体" w:cs="Times New Roman"/>
                <w:kern w:val="0"/>
                <w:szCs w:val="21"/>
              </w:rPr>
              <w:t>4.单元测验</w:t>
            </w:r>
          </w:p>
        </w:tc>
        <w:tc>
          <w:tcPr>
            <w:tcW w:w="438" w:type="dxa"/>
            <w:vAlign w:val="center"/>
          </w:tcPr>
          <w:p w14:paraId="36970D83">
            <w:pPr>
              <w:jc w:val="center"/>
              <w:rPr>
                <w:rFonts w:hint="eastAsia" w:ascii="宋体" w:hAnsi="宋体" w:eastAsia="宋体" w:cs="Times New Roman"/>
                <w:kern w:val="0"/>
                <w:szCs w:val="21"/>
              </w:rPr>
            </w:pPr>
            <w:r>
              <w:rPr>
                <w:rFonts w:hint="eastAsia" w:ascii="宋体" w:hAnsi="宋体" w:eastAsia="宋体" w:cs="Times New Roman"/>
                <w:kern w:val="0"/>
                <w:szCs w:val="21"/>
              </w:rPr>
              <w:t>8</w:t>
            </w:r>
          </w:p>
        </w:tc>
      </w:tr>
      <w:tr w14:paraId="3476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5CE54B8E">
            <w:pPr>
              <w:jc w:val="center"/>
              <w:rPr>
                <w:rFonts w:hint="eastAsia" w:ascii="宋体" w:hAnsi="宋体" w:eastAsia="宋体" w:cs="Times New Roman"/>
                <w:kern w:val="0"/>
                <w:szCs w:val="21"/>
              </w:rPr>
            </w:pPr>
          </w:p>
        </w:tc>
        <w:tc>
          <w:tcPr>
            <w:tcW w:w="8144" w:type="dxa"/>
            <w:gridSpan w:val="5"/>
            <w:vAlign w:val="center"/>
          </w:tcPr>
          <w:p w14:paraId="63905E1A">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以教育家为榜样，忠诚人民教育事业，进一步巩固专业思想，乐于从事“太阳底下最光辉的事业”，把青春和智慧献给教育事业。</w:t>
            </w:r>
          </w:p>
        </w:tc>
      </w:tr>
      <w:tr w14:paraId="2CD2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512CE8D8">
            <w:pPr>
              <w:jc w:val="center"/>
              <w:rPr>
                <w:rFonts w:hint="eastAsia" w:ascii="宋体" w:hAnsi="宋体" w:eastAsia="宋体" w:cs="Times New Roman"/>
                <w:kern w:val="0"/>
                <w:szCs w:val="21"/>
              </w:rPr>
            </w:pPr>
            <w:r>
              <w:rPr>
                <w:rFonts w:hint="eastAsia" w:ascii="宋体" w:hAnsi="宋体" w:eastAsia="宋体" w:cs="Times New Roman"/>
                <w:kern w:val="0"/>
                <w:szCs w:val="21"/>
              </w:rPr>
              <w:t>3.</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中国近现代教育名著导读</w:t>
            </w:r>
          </w:p>
        </w:tc>
        <w:tc>
          <w:tcPr>
            <w:tcW w:w="1752" w:type="dxa"/>
            <w:vAlign w:val="center"/>
          </w:tcPr>
          <w:p w14:paraId="42ED8F72">
            <w:pPr>
              <w:jc w:val="left"/>
              <w:rPr>
                <w:rFonts w:hint="eastAsia" w:ascii="宋体" w:hAnsi="宋体" w:eastAsia="宋体" w:cs="Times New Roman"/>
                <w:kern w:val="0"/>
                <w:szCs w:val="21"/>
              </w:rPr>
            </w:pPr>
            <w:r>
              <w:rPr>
                <w:rFonts w:hint="eastAsia" w:ascii="宋体" w:hAnsi="宋体" w:eastAsia="宋体" w:cs="Times New Roman"/>
                <w:kern w:val="0"/>
                <w:szCs w:val="21"/>
              </w:rPr>
              <w:t>（1）《就任北京大学校长之演说》导读</w:t>
            </w:r>
          </w:p>
          <w:p w14:paraId="2EA4CE40">
            <w:pPr>
              <w:jc w:val="left"/>
              <w:rPr>
                <w:rFonts w:hint="eastAsia" w:ascii="宋体" w:hAnsi="宋体" w:eastAsia="宋体" w:cs="Times New Roman"/>
                <w:kern w:val="0"/>
                <w:szCs w:val="21"/>
              </w:rPr>
            </w:pPr>
            <w:r>
              <w:rPr>
                <w:rFonts w:hint="eastAsia" w:ascii="宋体" w:hAnsi="宋体" w:eastAsia="宋体" w:cs="Times New Roman"/>
                <w:kern w:val="0"/>
                <w:szCs w:val="21"/>
              </w:rPr>
              <w:t>（2）《大学一解》导读</w:t>
            </w:r>
          </w:p>
          <w:p w14:paraId="03892BD2">
            <w:pPr>
              <w:jc w:val="left"/>
              <w:rPr>
                <w:rFonts w:hint="eastAsia" w:ascii="宋体" w:hAnsi="宋体" w:eastAsia="宋体" w:cs="Times New Roman"/>
                <w:kern w:val="0"/>
                <w:szCs w:val="21"/>
              </w:rPr>
            </w:pPr>
            <w:r>
              <w:rPr>
                <w:rFonts w:hint="eastAsia" w:ascii="宋体" w:hAnsi="宋体" w:eastAsia="宋体" w:cs="Times New Roman"/>
                <w:kern w:val="0"/>
                <w:szCs w:val="21"/>
              </w:rPr>
              <w:t>（3）《创造的教育》导读</w:t>
            </w:r>
          </w:p>
          <w:p w14:paraId="4062BE1A">
            <w:pPr>
              <w:jc w:val="left"/>
              <w:rPr>
                <w:rFonts w:hint="eastAsia" w:ascii="宋体" w:hAnsi="宋体" w:eastAsia="宋体" w:cs="Times New Roman"/>
                <w:kern w:val="0"/>
                <w:szCs w:val="21"/>
              </w:rPr>
            </w:pPr>
            <w:r>
              <w:rPr>
                <w:rFonts w:hint="eastAsia" w:ascii="宋体" w:hAnsi="宋体" w:eastAsia="宋体" w:cs="Times New Roman"/>
                <w:kern w:val="0"/>
                <w:szCs w:val="21"/>
              </w:rPr>
              <w:t>（4）《为什么读书》导读</w:t>
            </w:r>
          </w:p>
        </w:tc>
        <w:tc>
          <w:tcPr>
            <w:tcW w:w="1134" w:type="dxa"/>
            <w:vAlign w:val="center"/>
          </w:tcPr>
          <w:p w14:paraId="2723C8BC">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课程目标1、2、3、4</w:t>
            </w:r>
          </w:p>
        </w:tc>
        <w:tc>
          <w:tcPr>
            <w:tcW w:w="3339" w:type="dxa"/>
            <w:vAlign w:val="center"/>
          </w:tcPr>
          <w:p w14:paraId="22D88D3F">
            <w:pPr>
              <w:jc w:val="left"/>
              <w:rPr>
                <w:rFonts w:hint="eastAsia" w:ascii="宋体" w:hAnsi="宋体" w:eastAsia="宋体" w:cs="Times New Roman"/>
                <w:kern w:val="0"/>
                <w:szCs w:val="21"/>
              </w:rPr>
            </w:pPr>
            <w:r>
              <w:rPr>
                <w:rFonts w:hint="eastAsia" w:ascii="宋体" w:hAnsi="宋体" w:eastAsia="宋体" w:cs="Times New Roman"/>
                <w:kern w:val="0"/>
                <w:szCs w:val="21"/>
              </w:rPr>
              <w:t>（1）了解蔡元培、梅贻琦、陶行知、胡适的教育思想</w:t>
            </w:r>
          </w:p>
          <w:p w14:paraId="68AF5F29">
            <w:pPr>
              <w:jc w:val="left"/>
              <w:rPr>
                <w:rFonts w:hint="eastAsia" w:ascii="宋体" w:hAnsi="宋体" w:eastAsia="宋体" w:cs="Times New Roman"/>
                <w:kern w:val="0"/>
                <w:szCs w:val="21"/>
              </w:rPr>
            </w:pPr>
            <w:r>
              <w:rPr>
                <w:rFonts w:hint="eastAsia" w:ascii="宋体" w:hAnsi="宋体" w:eastAsia="宋体" w:cs="Times New Roman"/>
                <w:kern w:val="0"/>
                <w:szCs w:val="21"/>
              </w:rPr>
              <w:t>（2）理解《就任北京大学校长之演说》《大学一解》《创造的教育》《为什么读书》中的教育观</w:t>
            </w:r>
          </w:p>
          <w:p w14:paraId="2AE2875B">
            <w:pPr>
              <w:jc w:val="left"/>
              <w:rPr>
                <w:rFonts w:hint="eastAsia" w:ascii="宋体" w:hAnsi="宋体" w:eastAsia="宋体" w:cs="Times New Roman"/>
                <w:kern w:val="0"/>
                <w:szCs w:val="21"/>
              </w:rPr>
            </w:pPr>
            <w:r>
              <w:rPr>
                <w:rFonts w:hint="eastAsia" w:ascii="宋体" w:hAnsi="宋体" w:eastAsia="宋体" w:cs="Times New Roman"/>
                <w:kern w:val="0"/>
                <w:szCs w:val="21"/>
              </w:rPr>
              <w:t>（3）掌握其思想精髓</w:t>
            </w:r>
          </w:p>
          <w:p w14:paraId="4F6F7145">
            <w:pPr>
              <w:jc w:val="left"/>
              <w:rPr>
                <w:rFonts w:hint="eastAsia" w:ascii="宋体" w:hAnsi="宋体" w:eastAsia="宋体" w:cs="Times New Roman"/>
                <w:kern w:val="0"/>
                <w:szCs w:val="21"/>
              </w:rPr>
            </w:pPr>
            <w:r>
              <w:rPr>
                <w:rFonts w:hint="eastAsia" w:ascii="宋体" w:hAnsi="宋体" w:eastAsia="宋体" w:cs="Times New Roman"/>
                <w:kern w:val="0"/>
                <w:szCs w:val="21"/>
              </w:rPr>
              <w:t>（4）能联系实际，探寻其教育思想的现代意义</w:t>
            </w:r>
          </w:p>
        </w:tc>
        <w:tc>
          <w:tcPr>
            <w:tcW w:w="1481" w:type="dxa"/>
            <w:vAlign w:val="center"/>
          </w:tcPr>
          <w:p w14:paraId="01593B49">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5744237A">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6C11F5DB">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0811C581">
            <w:pPr>
              <w:jc w:val="center"/>
              <w:rPr>
                <w:rFonts w:hint="eastAsia" w:ascii="宋体" w:hAnsi="宋体" w:eastAsia="宋体" w:cs="Times New Roman"/>
                <w:kern w:val="0"/>
                <w:szCs w:val="21"/>
              </w:rPr>
            </w:pPr>
            <w:r>
              <w:rPr>
                <w:rFonts w:hint="eastAsia" w:ascii="宋体" w:hAnsi="宋体" w:eastAsia="宋体" w:cs="Times New Roman"/>
                <w:kern w:val="0"/>
                <w:szCs w:val="21"/>
              </w:rPr>
              <w:t>8</w:t>
            </w:r>
          </w:p>
        </w:tc>
      </w:tr>
      <w:tr w14:paraId="55F1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24408813">
            <w:pPr>
              <w:jc w:val="center"/>
              <w:rPr>
                <w:rFonts w:hint="eastAsia" w:ascii="宋体" w:hAnsi="宋体" w:eastAsia="宋体" w:cs="Times New Roman"/>
                <w:kern w:val="0"/>
                <w:szCs w:val="21"/>
              </w:rPr>
            </w:pPr>
          </w:p>
        </w:tc>
        <w:tc>
          <w:tcPr>
            <w:tcW w:w="8144" w:type="dxa"/>
            <w:gridSpan w:val="5"/>
            <w:vAlign w:val="center"/>
          </w:tcPr>
          <w:p w14:paraId="5AB1114D">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继承祖国优秀教育遗产，增强民族自尊心和自信心。厚植爱国主义情怀，传承中华优秀传统文化，弘扬以爱国主义为核心的民族精神和以改革创新为核心的时代精神。</w:t>
            </w:r>
          </w:p>
        </w:tc>
      </w:tr>
      <w:tr w14:paraId="2D57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2EBAB3D5">
            <w:pPr>
              <w:jc w:val="center"/>
              <w:rPr>
                <w:rFonts w:hint="eastAsia" w:ascii="宋体" w:hAnsi="宋体" w:eastAsia="宋体" w:cs="Times New Roman"/>
                <w:kern w:val="0"/>
                <w:szCs w:val="21"/>
              </w:rPr>
            </w:pPr>
            <w:r>
              <w:rPr>
                <w:rFonts w:hint="eastAsia" w:ascii="宋体" w:hAnsi="宋体" w:eastAsia="宋体" w:cs="Times New Roman"/>
                <w:kern w:val="0"/>
                <w:szCs w:val="21"/>
              </w:rPr>
              <w:t>4.</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西方古代教育名著导读</w:t>
            </w:r>
          </w:p>
        </w:tc>
        <w:tc>
          <w:tcPr>
            <w:tcW w:w="1752" w:type="dxa"/>
            <w:vAlign w:val="center"/>
          </w:tcPr>
          <w:p w14:paraId="4B91B7C3">
            <w:pPr>
              <w:jc w:val="left"/>
              <w:rPr>
                <w:rFonts w:hint="eastAsia" w:ascii="宋体" w:hAnsi="宋体" w:eastAsia="宋体" w:cs="Times New Roman"/>
                <w:kern w:val="0"/>
                <w:szCs w:val="21"/>
              </w:rPr>
            </w:pPr>
            <w:r>
              <w:rPr>
                <w:rFonts w:hint="eastAsia" w:ascii="宋体" w:hAnsi="宋体" w:eastAsia="宋体" w:cs="Times New Roman"/>
                <w:kern w:val="0"/>
                <w:szCs w:val="21"/>
              </w:rPr>
              <w:t>（1）《大教学论》导读</w:t>
            </w:r>
          </w:p>
          <w:p w14:paraId="30439553">
            <w:pPr>
              <w:jc w:val="left"/>
              <w:rPr>
                <w:rFonts w:hint="eastAsia" w:ascii="宋体" w:hAnsi="宋体" w:eastAsia="宋体" w:cs="Times New Roman"/>
                <w:kern w:val="0"/>
                <w:szCs w:val="21"/>
              </w:rPr>
            </w:pPr>
            <w:r>
              <w:rPr>
                <w:rFonts w:hint="eastAsia" w:ascii="宋体" w:hAnsi="宋体" w:eastAsia="宋体" w:cs="Times New Roman"/>
                <w:kern w:val="0"/>
                <w:szCs w:val="21"/>
              </w:rPr>
              <w:t>（2）《教育漫话》导读</w:t>
            </w:r>
          </w:p>
          <w:p w14:paraId="2BC450B1">
            <w:pPr>
              <w:jc w:val="left"/>
              <w:rPr>
                <w:rFonts w:hint="eastAsia" w:ascii="宋体" w:hAnsi="宋体" w:eastAsia="宋体" w:cs="Times New Roman"/>
                <w:kern w:val="0"/>
                <w:szCs w:val="21"/>
              </w:rPr>
            </w:pPr>
            <w:r>
              <w:rPr>
                <w:rFonts w:hint="eastAsia" w:ascii="宋体" w:hAnsi="宋体" w:eastAsia="宋体" w:cs="Times New Roman"/>
                <w:kern w:val="0"/>
                <w:szCs w:val="21"/>
              </w:rPr>
              <w:t>（3）《爱弥儿》导读</w:t>
            </w:r>
          </w:p>
          <w:p w14:paraId="25587157">
            <w:pPr>
              <w:jc w:val="left"/>
              <w:rPr>
                <w:rFonts w:hint="eastAsia" w:ascii="宋体" w:hAnsi="宋体" w:eastAsia="宋体" w:cs="Times New Roman"/>
                <w:kern w:val="0"/>
                <w:szCs w:val="21"/>
              </w:rPr>
            </w:pPr>
            <w:r>
              <w:rPr>
                <w:rFonts w:hint="eastAsia" w:ascii="宋体" w:hAnsi="宋体" w:eastAsia="宋体" w:cs="Times New Roman"/>
                <w:kern w:val="0"/>
                <w:szCs w:val="21"/>
              </w:rPr>
              <w:t>（4）《普通教育学》导读</w:t>
            </w:r>
          </w:p>
        </w:tc>
        <w:tc>
          <w:tcPr>
            <w:tcW w:w="1134" w:type="dxa"/>
            <w:vAlign w:val="center"/>
          </w:tcPr>
          <w:p w14:paraId="4D00E4AE">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课程目标1、2、3、4</w:t>
            </w:r>
          </w:p>
        </w:tc>
        <w:tc>
          <w:tcPr>
            <w:tcW w:w="3339" w:type="dxa"/>
            <w:vAlign w:val="center"/>
          </w:tcPr>
          <w:p w14:paraId="3651CB64">
            <w:pPr>
              <w:jc w:val="left"/>
              <w:rPr>
                <w:rFonts w:hint="eastAsia" w:ascii="宋体" w:hAnsi="宋体" w:eastAsia="宋体" w:cs="Times New Roman"/>
                <w:kern w:val="0"/>
                <w:szCs w:val="21"/>
              </w:rPr>
            </w:pPr>
            <w:r>
              <w:rPr>
                <w:rFonts w:hint="eastAsia" w:ascii="宋体" w:hAnsi="宋体" w:eastAsia="宋体" w:cs="Times New Roman"/>
                <w:kern w:val="0"/>
                <w:szCs w:val="21"/>
              </w:rPr>
              <w:t>（1）了解夸美纽斯、洛克、卢梭、赫尔巴特的教育思想</w:t>
            </w:r>
          </w:p>
          <w:p w14:paraId="7AF48F8B">
            <w:pPr>
              <w:jc w:val="left"/>
              <w:rPr>
                <w:rFonts w:hint="eastAsia" w:ascii="宋体" w:hAnsi="宋体" w:eastAsia="宋体" w:cs="Times New Roman"/>
                <w:kern w:val="0"/>
                <w:szCs w:val="21"/>
              </w:rPr>
            </w:pPr>
            <w:r>
              <w:rPr>
                <w:rFonts w:hint="eastAsia" w:ascii="宋体" w:hAnsi="宋体" w:eastAsia="宋体" w:cs="Times New Roman"/>
                <w:kern w:val="0"/>
                <w:szCs w:val="21"/>
              </w:rPr>
              <w:t>（2）理解《大教学论》《教育漫话》《爱弥儿》《普通教育学》中的教育观</w:t>
            </w:r>
          </w:p>
          <w:p w14:paraId="1333CDFF">
            <w:pPr>
              <w:jc w:val="left"/>
              <w:rPr>
                <w:rFonts w:hint="eastAsia" w:ascii="宋体" w:hAnsi="宋体" w:eastAsia="宋体" w:cs="Times New Roman"/>
                <w:kern w:val="0"/>
                <w:szCs w:val="21"/>
              </w:rPr>
            </w:pPr>
            <w:r>
              <w:rPr>
                <w:rFonts w:hint="eastAsia" w:ascii="宋体" w:hAnsi="宋体" w:eastAsia="宋体" w:cs="Times New Roman"/>
                <w:kern w:val="0"/>
                <w:szCs w:val="21"/>
              </w:rPr>
              <w:t>（3）掌握其思想精髓</w:t>
            </w:r>
          </w:p>
          <w:p w14:paraId="457264E9">
            <w:pPr>
              <w:jc w:val="left"/>
              <w:rPr>
                <w:rFonts w:hint="eastAsia" w:ascii="宋体" w:hAnsi="宋体" w:eastAsia="宋体" w:cs="Times New Roman"/>
                <w:kern w:val="0"/>
                <w:szCs w:val="21"/>
              </w:rPr>
            </w:pPr>
            <w:r>
              <w:rPr>
                <w:rFonts w:hint="eastAsia" w:ascii="宋体" w:hAnsi="宋体" w:eastAsia="宋体" w:cs="Times New Roman"/>
                <w:kern w:val="0"/>
                <w:szCs w:val="21"/>
              </w:rPr>
              <w:t>（4）能联系实际，探寻教育思想的现代意义</w:t>
            </w:r>
          </w:p>
        </w:tc>
        <w:tc>
          <w:tcPr>
            <w:tcW w:w="1481" w:type="dxa"/>
            <w:vAlign w:val="center"/>
          </w:tcPr>
          <w:p w14:paraId="50961E1A">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2A0DB505">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6AE65808">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21CC153B">
            <w:pPr>
              <w:jc w:val="center"/>
              <w:rPr>
                <w:rFonts w:hint="eastAsia" w:ascii="宋体" w:hAnsi="宋体" w:eastAsia="宋体" w:cs="Times New Roman"/>
                <w:kern w:val="0"/>
                <w:szCs w:val="21"/>
              </w:rPr>
            </w:pPr>
            <w:r>
              <w:rPr>
                <w:rFonts w:hint="eastAsia" w:ascii="宋体" w:hAnsi="宋体" w:eastAsia="宋体" w:cs="Times New Roman"/>
                <w:kern w:val="0"/>
                <w:szCs w:val="21"/>
              </w:rPr>
              <w:t>8</w:t>
            </w:r>
          </w:p>
        </w:tc>
      </w:tr>
      <w:tr w14:paraId="62B2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088C29A9">
            <w:pPr>
              <w:jc w:val="center"/>
              <w:rPr>
                <w:rFonts w:hint="eastAsia" w:ascii="宋体" w:hAnsi="宋体" w:eastAsia="宋体" w:cs="Times New Roman"/>
                <w:kern w:val="0"/>
                <w:szCs w:val="21"/>
              </w:rPr>
            </w:pPr>
          </w:p>
        </w:tc>
        <w:tc>
          <w:tcPr>
            <w:tcW w:w="8144" w:type="dxa"/>
            <w:gridSpan w:val="5"/>
            <w:vAlign w:val="center"/>
          </w:tcPr>
          <w:p w14:paraId="0426E1D5">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践行教育家精神，学习其乐思、善思的精神树立经师与人师统一的大先生。</w:t>
            </w:r>
          </w:p>
        </w:tc>
      </w:tr>
      <w:tr w14:paraId="1BA3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restart"/>
            <w:vAlign w:val="center"/>
          </w:tcPr>
          <w:p w14:paraId="720CF49D">
            <w:pPr>
              <w:jc w:val="center"/>
              <w:rPr>
                <w:rFonts w:hint="eastAsia" w:ascii="宋体" w:hAnsi="宋体" w:eastAsia="宋体" w:cs="Times New Roman"/>
                <w:kern w:val="0"/>
                <w:szCs w:val="21"/>
              </w:rPr>
            </w:pPr>
            <w:r>
              <w:rPr>
                <w:rFonts w:hint="eastAsia" w:ascii="宋体" w:hAnsi="宋体" w:eastAsia="宋体" w:cs="Times New Roman"/>
                <w:kern w:val="0"/>
                <w:szCs w:val="21"/>
              </w:rPr>
              <w:t>5.</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西方近现代教育名著导读</w:t>
            </w:r>
          </w:p>
        </w:tc>
        <w:tc>
          <w:tcPr>
            <w:tcW w:w="1752" w:type="dxa"/>
            <w:vAlign w:val="center"/>
          </w:tcPr>
          <w:p w14:paraId="761113C8">
            <w:pPr>
              <w:jc w:val="left"/>
              <w:rPr>
                <w:rFonts w:hint="eastAsia" w:ascii="宋体" w:hAnsi="宋体" w:eastAsia="宋体" w:cs="Times New Roman"/>
                <w:kern w:val="0"/>
                <w:szCs w:val="21"/>
              </w:rPr>
            </w:pPr>
            <w:r>
              <w:rPr>
                <w:rFonts w:hint="eastAsia" w:ascii="宋体" w:hAnsi="宋体" w:eastAsia="宋体" w:cs="Times New Roman"/>
                <w:kern w:val="0"/>
                <w:szCs w:val="21"/>
              </w:rPr>
              <w:t>（1）《民主主义与教育》导读</w:t>
            </w:r>
          </w:p>
          <w:p w14:paraId="0830DD77">
            <w:pPr>
              <w:jc w:val="left"/>
              <w:rPr>
                <w:rFonts w:hint="eastAsia" w:ascii="宋体" w:hAnsi="宋体" w:eastAsia="宋体" w:cs="Times New Roman"/>
                <w:kern w:val="0"/>
                <w:szCs w:val="21"/>
              </w:rPr>
            </w:pPr>
            <w:r>
              <w:rPr>
                <w:rFonts w:hint="eastAsia" w:ascii="宋体" w:hAnsi="宋体" w:eastAsia="宋体" w:cs="Times New Roman"/>
                <w:kern w:val="0"/>
                <w:szCs w:val="21"/>
              </w:rPr>
              <w:t>（2）《静悄悄的革命》导读</w:t>
            </w:r>
          </w:p>
          <w:p w14:paraId="55ACD0CE">
            <w:pPr>
              <w:jc w:val="left"/>
              <w:rPr>
                <w:rFonts w:hint="eastAsia" w:ascii="宋体" w:hAnsi="宋体" w:eastAsia="宋体" w:cs="Times New Roman"/>
                <w:kern w:val="0"/>
                <w:szCs w:val="21"/>
              </w:rPr>
            </w:pPr>
            <w:r>
              <w:rPr>
                <w:rFonts w:hint="eastAsia" w:ascii="宋体" w:hAnsi="宋体" w:eastAsia="宋体" w:cs="Times New Roman"/>
                <w:kern w:val="0"/>
                <w:szCs w:val="21"/>
              </w:rPr>
              <w:t>（3）《学会生存——教育世界的今天和明天》导读</w:t>
            </w:r>
          </w:p>
        </w:tc>
        <w:tc>
          <w:tcPr>
            <w:tcW w:w="1134" w:type="dxa"/>
            <w:vAlign w:val="center"/>
          </w:tcPr>
          <w:p w14:paraId="61D35FFA">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w:t>
            </w:r>
          </w:p>
        </w:tc>
        <w:tc>
          <w:tcPr>
            <w:tcW w:w="3339" w:type="dxa"/>
            <w:vAlign w:val="center"/>
          </w:tcPr>
          <w:p w14:paraId="0515DE4E">
            <w:pPr>
              <w:jc w:val="left"/>
              <w:rPr>
                <w:rFonts w:hint="eastAsia" w:ascii="宋体" w:hAnsi="宋体" w:eastAsia="宋体" w:cs="Times New Roman"/>
                <w:kern w:val="0"/>
                <w:szCs w:val="21"/>
              </w:rPr>
            </w:pPr>
            <w:r>
              <w:rPr>
                <w:rFonts w:hint="eastAsia" w:ascii="宋体" w:hAnsi="宋体" w:eastAsia="宋体" w:cs="Times New Roman"/>
                <w:kern w:val="0"/>
                <w:szCs w:val="21"/>
              </w:rPr>
              <w:t>（1）了解杜威、佐藤学、埃德加·富尔的教育思想</w:t>
            </w:r>
          </w:p>
          <w:p w14:paraId="32FDF9B4">
            <w:pPr>
              <w:jc w:val="left"/>
              <w:rPr>
                <w:rFonts w:hint="eastAsia" w:ascii="宋体" w:hAnsi="宋体" w:eastAsia="宋体" w:cs="Times New Roman"/>
                <w:kern w:val="0"/>
                <w:szCs w:val="21"/>
              </w:rPr>
            </w:pPr>
            <w:r>
              <w:rPr>
                <w:rFonts w:hint="eastAsia" w:ascii="宋体" w:hAnsi="宋体" w:eastAsia="宋体" w:cs="Times New Roman"/>
                <w:kern w:val="0"/>
                <w:szCs w:val="21"/>
              </w:rPr>
              <w:t>（2）理解《民主主义与教育》《静悄悄的革命》《学会生存》中的教育观</w:t>
            </w:r>
          </w:p>
          <w:p w14:paraId="54613E0A">
            <w:pPr>
              <w:jc w:val="left"/>
              <w:rPr>
                <w:rFonts w:hint="eastAsia" w:ascii="宋体" w:hAnsi="宋体" w:eastAsia="宋体" w:cs="Times New Roman"/>
                <w:kern w:val="0"/>
                <w:szCs w:val="21"/>
              </w:rPr>
            </w:pPr>
            <w:r>
              <w:rPr>
                <w:rFonts w:hint="eastAsia" w:ascii="宋体" w:hAnsi="宋体" w:eastAsia="宋体" w:cs="Times New Roman"/>
                <w:kern w:val="0"/>
                <w:szCs w:val="21"/>
              </w:rPr>
              <w:t>（3）掌握其思想精髓</w:t>
            </w:r>
          </w:p>
          <w:p w14:paraId="3195E2B2">
            <w:pPr>
              <w:jc w:val="left"/>
              <w:rPr>
                <w:rFonts w:hint="eastAsia" w:ascii="宋体" w:hAnsi="宋体" w:eastAsia="宋体" w:cs="Times New Roman"/>
                <w:kern w:val="0"/>
                <w:szCs w:val="21"/>
              </w:rPr>
            </w:pPr>
            <w:r>
              <w:rPr>
                <w:rFonts w:hint="eastAsia" w:ascii="宋体" w:hAnsi="宋体" w:eastAsia="宋体" w:cs="Times New Roman"/>
                <w:kern w:val="0"/>
                <w:szCs w:val="21"/>
              </w:rPr>
              <w:t>（4）能联系实际，探寻教育思想的现代意义</w:t>
            </w:r>
          </w:p>
        </w:tc>
        <w:tc>
          <w:tcPr>
            <w:tcW w:w="1481" w:type="dxa"/>
            <w:vAlign w:val="center"/>
          </w:tcPr>
          <w:p w14:paraId="5E269111">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0898212E">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4F3D99AF">
            <w:pPr>
              <w:jc w:val="left"/>
              <w:rPr>
                <w:rFonts w:hint="eastAsia" w:ascii="宋体" w:hAnsi="宋体" w:eastAsia="宋体" w:cs="Times New Roman"/>
                <w:kern w:val="0"/>
                <w:szCs w:val="21"/>
              </w:rPr>
            </w:pPr>
            <w:r>
              <w:rPr>
                <w:rFonts w:ascii="宋体" w:hAnsi="宋体" w:eastAsia="宋体" w:cs="Times New Roman"/>
                <w:kern w:val="0"/>
                <w:szCs w:val="21"/>
              </w:rPr>
              <w:t>4.单元测验</w:t>
            </w:r>
          </w:p>
        </w:tc>
        <w:tc>
          <w:tcPr>
            <w:tcW w:w="438" w:type="dxa"/>
            <w:vAlign w:val="center"/>
          </w:tcPr>
          <w:p w14:paraId="093D9C5A">
            <w:pPr>
              <w:jc w:val="center"/>
              <w:rPr>
                <w:rFonts w:hint="eastAsia" w:ascii="宋体" w:hAnsi="宋体" w:eastAsia="宋体" w:cs="Times New Roman"/>
                <w:kern w:val="0"/>
                <w:szCs w:val="21"/>
              </w:rPr>
            </w:pPr>
            <w:r>
              <w:rPr>
                <w:rFonts w:hint="eastAsia" w:ascii="宋体" w:hAnsi="宋体" w:eastAsia="宋体" w:cs="Times New Roman"/>
                <w:kern w:val="0"/>
                <w:szCs w:val="21"/>
              </w:rPr>
              <w:t>7</w:t>
            </w:r>
          </w:p>
        </w:tc>
      </w:tr>
      <w:tr w14:paraId="0186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4" w:type="dxa"/>
            <w:vMerge w:val="continue"/>
            <w:vAlign w:val="center"/>
          </w:tcPr>
          <w:p w14:paraId="7B6171B3">
            <w:pPr>
              <w:jc w:val="center"/>
              <w:rPr>
                <w:rFonts w:hint="eastAsia" w:ascii="宋体" w:hAnsi="宋体" w:eastAsia="宋体" w:cs="Times New Roman"/>
                <w:kern w:val="0"/>
                <w:szCs w:val="21"/>
              </w:rPr>
            </w:pPr>
          </w:p>
        </w:tc>
        <w:tc>
          <w:tcPr>
            <w:tcW w:w="8144" w:type="dxa"/>
            <w:gridSpan w:val="5"/>
            <w:vAlign w:val="center"/>
          </w:tcPr>
          <w:p w14:paraId="6453E506">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bCs/>
                <w:kern w:val="0"/>
                <w:szCs w:val="21"/>
              </w:rPr>
              <w:t>学习教育家与践行教育家精神，树立楷模先知的四有好教师。</w:t>
            </w:r>
          </w:p>
        </w:tc>
      </w:tr>
    </w:tbl>
    <w:p w14:paraId="0CDD8313">
      <w:pPr>
        <w:spacing w:line="360" w:lineRule="auto"/>
        <w:jc w:val="left"/>
        <w:rPr>
          <w:rFonts w:ascii="Times New Roman" w:hAnsi="Times New Roman" w:eastAsia="宋体" w:cs="Times New Roman"/>
          <w:sz w:val="24"/>
        </w:rPr>
      </w:pPr>
      <w:r>
        <w:rPr>
          <w:rFonts w:hint="eastAsia" w:ascii="宋体" w:hAnsi="宋体" w:eastAsia="宋体" w:cs="Times New Roman"/>
          <w:b/>
          <w:sz w:val="24"/>
        </w:rPr>
        <w:t>四、目标评价与成绩评定</w:t>
      </w:r>
    </w:p>
    <w:p w14:paraId="28FA2BA0">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0684F3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664"/>
        <w:gridCol w:w="1134"/>
        <w:gridCol w:w="1418"/>
        <w:gridCol w:w="1134"/>
        <w:gridCol w:w="1276"/>
        <w:gridCol w:w="992"/>
      </w:tblGrid>
      <w:tr w14:paraId="41386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5CB2AD27">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626" w:type="dxa"/>
            <w:gridSpan w:val="5"/>
            <w:vAlign w:val="center"/>
          </w:tcPr>
          <w:p w14:paraId="4DA9A904">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992" w:type="dxa"/>
            <w:vMerge w:val="restart"/>
            <w:vAlign w:val="center"/>
          </w:tcPr>
          <w:p w14:paraId="00C5D992">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353E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2B7CC6E8">
            <w:pPr>
              <w:spacing w:line="324" w:lineRule="auto"/>
              <w:jc w:val="center"/>
              <w:rPr>
                <w:rFonts w:hint="eastAsia" w:ascii="宋体" w:hAnsi="宋体" w:eastAsia="宋体" w:cs="Times New Roman"/>
                <w:kern w:val="0"/>
                <w:sz w:val="20"/>
                <w:szCs w:val="21"/>
              </w:rPr>
            </w:pPr>
          </w:p>
        </w:tc>
        <w:tc>
          <w:tcPr>
            <w:tcW w:w="1664" w:type="dxa"/>
            <w:vAlign w:val="center"/>
          </w:tcPr>
          <w:p w14:paraId="6CE76BF9">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1134" w:type="dxa"/>
            <w:vAlign w:val="center"/>
          </w:tcPr>
          <w:p w14:paraId="05262A6B">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1418" w:type="dxa"/>
            <w:vAlign w:val="center"/>
          </w:tcPr>
          <w:p w14:paraId="24360132">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单元测验</w:t>
            </w:r>
          </w:p>
        </w:tc>
        <w:tc>
          <w:tcPr>
            <w:tcW w:w="1134" w:type="dxa"/>
            <w:vAlign w:val="center"/>
          </w:tcPr>
          <w:p w14:paraId="46D8A917">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自主学习</w:t>
            </w:r>
          </w:p>
        </w:tc>
        <w:tc>
          <w:tcPr>
            <w:tcW w:w="1276" w:type="dxa"/>
            <w:vAlign w:val="center"/>
          </w:tcPr>
          <w:p w14:paraId="00DBAD9A">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992" w:type="dxa"/>
            <w:vMerge w:val="continue"/>
            <w:vAlign w:val="center"/>
          </w:tcPr>
          <w:p w14:paraId="069FA30C">
            <w:pPr>
              <w:spacing w:line="324" w:lineRule="auto"/>
              <w:jc w:val="center"/>
              <w:rPr>
                <w:rFonts w:hint="eastAsia" w:ascii="宋体" w:hAnsi="宋体" w:eastAsia="宋体" w:cs="Times New Roman"/>
                <w:kern w:val="0"/>
                <w:sz w:val="20"/>
                <w:szCs w:val="21"/>
              </w:rPr>
            </w:pPr>
          </w:p>
        </w:tc>
      </w:tr>
      <w:tr w14:paraId="1996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2CDC357">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664" w:type="dxa"/>
            <w:vAlign w:val="center"/>
          </w:tcPr>
          <w:p w14:paraId="6ACBC2F2">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2602BA72">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8" w:type="dxa"/>
            <w:vAlign w:val="center"/>
          </w:tcPr>
          <w:p w14:paraId="51B77D0E">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07457388">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0E6DDC09">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w:t>
            </w:r>
            <w:r>
              <w:rPr>
                <w:rFonts w:ascii="宋体" w:hAnsi="宋体" w:eastAsia="宋体" w:cs="Times New Roman"/>
                <w:kern w:val="0"/>
                <w:sz w:val="20"/>
                <w:szCs w:val="21"/>
              </w:rPr>
              <w:sym w:font="Wingdings 2" w:char="F050"/>
            </w:r>
          </w:p>
        </w:tc>
        <w:tc>
          <w:tcPr>
            <w:tcW w:w="992" w:type="dxa"/>
            <w:vAlign w:val="center"/>
          </w:tcPr>
          <w:p w14:paraId="279EFE84">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7A00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BF9B76B">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664" w:type="dxa"/>
            <w:vAlign w:val="center"/>
          </w:tcPr>
          <w:p w14:paraId="45FE6EF2">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4CF3030B">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8" w:type="dxa"/>
            <w:vAlign w:val="center"/>
          </w:tcPr>
          <w:p w14:paraId="21C8A1A1">
            <w:pPr>
              <w:spacing w:line="324" w:lineRule="auto"/>
              <w:jc w:val="center"/>
              <w:rPr>
                <w:rFonts w:hint="eastAsia" w:ascii="宋体" w:hAnsi="宋体" w:eastAsia="宋体" w:cs="Times New Roman"/>
                <w:kern w:val="0"/>
                <w:sz w:val="20"/>
                <w:szCs w:val="21"/>
              </w:rPr>
            </w:pPr>
          </w:p>
        </w:tc>
        <w:tc>
          <w:tcPr>
            <w:tcW w:w="1134" w:type="dxa"/>
            <w:vAlign w:val="center"/>
          </w:tcPr>
          <w:p w14:paraId="28ED4ECB">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32F48927">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992" w:type="dxa"/>
            <w:vAlign w:val="center"/>
          </w:tcPr>
          <w:p w14:paraId="6A3E7AFA">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5BD4C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CE63A7">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664" w:type="dxa"/>
            <w:vAlign w:val="center"/>
          </w:tcPr>
          <w:p w14:paraId="13D1B98A">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6FC79BA0">
            <w:pPr>
              <w:spacing w:line="324" w:lineRule="auto"/>
              <w:jc w:val="center"/>
              <w:rPr>
                <w:rFonts w:hint="eastAsia" w:ascii="宋体" w:hAnsi="宋体" w:eastAsia="宋体" w:cs="Times New Roman"/>
                <w:kern w:val="0"/>
                <w:sz w:val="20"/>
                <w:szCs w:val="21"/>
              </w:rPr>
            </w:pPr>
          </w:p>
        </w:tc>
        <w:tc>
          <w:tcPr>
            <w:tcW w:w="1418" w:type="dxa"/>
            <w:vAlign w:val="center"/>
          </w:tcPr>
          <w:p w14:paraId="57AA47AE">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3A8CB01C">
            <w:pPr>
              <w:spacing w:line="324" w:lineRule="auto"/>
              <w:jc w:val="center"/>
              <w:rPr>
                <w:rFonts w:hint="eastAsia" w:ascii="宋体" w:hAnsi="宋体" w:eastAsia="宋体" w:cs="Times New Roman"/>
                <w:kern w:val="0"/>
                <w:sz w:val="20"/>
                <w:szCs w:val="21"/>
              </w:rPr>
            </w:pPr>
          </w:p>
        </w:tc>
        <w:tc>
          <w:tcPr>
            <w:tcW w:w="1276" w:type="dxa"/>
            <w:vAlign w:val="center"/>
          </w:tcPr>
          <w:p w14:paraId="424CEA1A">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992" w:type="dxa"/>
            <w:vAlign w:val="center"/>
          </w:tcPr>
          <w:p w14:paraId="1BBDCFAC">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4F45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CCA9F33">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664" w:type="dxa"/>
            <w:vAlign w:val="center"/>
          </w:tcPr>
          <w:p w14:paraId="544A30F5">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3D450125">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8" w:type="dxa"/>
            <w:vAlign w:val="center"/>
          </w:tcPr>
          <w:p w14:paraId="1B49AFA0">
            <w:pPr>
              <w:spacing w:line="324" w:lineRule="auto"/>
              <w:jc w:val="center"/>
              <w:rPr>
                <w:rFonts w:hint="eastAsia" w:ascii="宋体" w:hAnsi="宋体" w:eastAsia="宋体" w:cs="Times New Roman"/>
                <w:kern w:val="0"/>
                <w:sz w:val="20"/>
                <w:szCs w:val="21"/>
              </w:rPr>
            </w:pPr>
          </w:p>
        </w:tc>
        <w:tc>
          <w:tcPr>
            <w:tcW w:w="1134" w:type="dxa"/>
            <w:vAlign w:val="center"/>
          </w:tcPr>
          <w:p w14:paraId="74E35607">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506840A1">
            <w:pPr>
              <w:spacing w:line="324"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992" w:type="dxa"/>
            <w:vAlign w:val="center"/>
          </w:tcPr>
          <w:p w14:paraId="4A844484">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14B1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CA9DF5">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664" w:type="dxa"/>
            <w:vAlign w:val="center"/>
          </w:tcPr>
          <w:p w14:paraId="5C1A9AD1">
            <w:pPr>
              <w:spacing w:line="324" w:lineRule="auto"/>
              <w:jc w:val="center"/>
              <w:rPr>
                <w:rFonts w:hint="eastAsia" w:ascii="宋体" w:hAnsi="宋体" w:eastAsia="宋体" w:cs="Times New Roman"/>
                <w:kern w:val="0"/>
                <w:sz w:val="20"/>
                <w:szCs w:val="21"/>
              </w:rPr>
            </w:pPr>
          </w:p>
        </w:tc>
        <w:tc>
          <w:tcPr>
            <w:tcW w:w="1134" w:type="dxa"/>
            <w:vAlign w:val="center"/>
          </w:tcPr>
          <w:p w14:paraId="03B22377">
            <w:pPr>
              <w:spacing w:line="324" w:lineRule="auto"/>
              <w:jc w:val="center"/>
              <w:rPr>
                <w:rFonts w:hint="eastAsia" w:ascii="宋体" w:hAnsi="宋体" w:eastAsia="宋体" w:cs="Times New Roman"/>
                <w:kern w:val="0"/>
                <w:sz w:val="20"/>
                <w:szCs w:val="21"/>
              </w:rPr>
            </w:pPr>
          </w:p>
        </w:tc>
        <w:tc>
          <w:tcPr>
            <w:tcW w:w="1418" w:type="dxa"/>
            <w:vAlign w:val="center"/>
          </w:tcPr>
          <w:p w14:paraId="6407300B">
            <w:pPr>
              <w:spacing w:line="324" w:lineRule="auto"/>
              <w:jc w:val="center"/>
              <w:rPr>
                <w:rFonts w:hint="eastAsia" w:ascii="宋体" w:hAnsi="宋体" w:eastAsia="宋体" w:cs="Times New Roman"/>
                <w:kern w:val="0"/>
                <w:sz w:val="20"/>
                <w:szCs w:val="21"/>
              </w:rPr>
            </w:pPr>
          </w:p>
        </w:tc>
        <w:tc>
          <w:tcPr>
            <w:tcW w:w="1134" w:type="dxa"/>
            <w:vAlign w:val="center"/>
          </w:tcPr>
          <w:p w14:paraId="02CB0F75">
            <w:pPr>
              <w:spacing w:line="324" w:lineRule="auto"/>
              <w:jc w:val="center"/>
              <w:rPr>
                <w:rFonts w:hint="eastAsia" w:ascii="宋体" w:hAnsi="宋体" w:eastAsia="宋体" w:cs="Times New Roman"/>
                <w:kern w:val="0"/>
                <w:sz w:val="20"/>
                <w:szCs w:val="21"/>
              </w:rPr>
            </w:pPr>
          </w:p>
        </w:tc>
        <w:tc>
          <w:tcPr>
            <w:tcW w:w="1276" w:type="dxa"/>
            <w:vAlign w:val="center"/>
          </w:tcPr>
          <w:p w14:paraId="431CBFD7">
            <w:pPr>
              <w:spacing w:line="324" w:lineRule="auto"/>
              <w:jc w:val="center"/>
              <w:rPr>
                <w:rFonts w:hint="eastAsia" w:ascii="宋体" w:hAnsi="宋体" w:eastAsia="宋体" w:cs="Times New Roman"/>
                <w:kern w:val="0"/>
                <w:sz w:val="20"/>
                <w:szCs w:val="21"/>
              </w:rPr>
            </w:pPr>
          </w:p>
        </w:tc>
        <w:tc>
          <w:tcPr>
            <w:tcW w:w="992" w:type="dxa"/>
            <w:vAlign w:val="center"/>
          </w:tcPr>
          <w:p w14:paraId="40F867C2">
            <w:pPr>
              <w:spacing w:line="32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74D6B46B">
      <w:pPr>
        <w:spacing w:before="156" w:beforeLines="50" w:line="360" w:lineRule="auto"/>
        <w:ind w:firstLine="422" w:firstLineChars="200"/>
        <w:jc w:val="left"/>
        <w:rPr>
          <w:rFonts w:ascii="Times New Roman" w:hAnsi="Times New Roman" w:eastAsia="宋体" w:cs="Times New Roman"/>
          <w:b/>
          <w:szCs w:val="21"/>
        </w:rPr>
      </w:pPr>
      <w:bookmarkStart w:id="851" w:name="OLE_LINK1"/>
      <w:r>
        <w:rPr>
          <w:rFonts w:hint="eastAsia" w:ascii="Times New Roman" w:hAnsi="Times New Roman" w:eastAsia="宋体" w:cs="Times New Roman"/>
          <w:b/>
          <w:szCs w:val="21"/>
        </w:rPr>
        <w:t>（二）成绩评定细则</w:t>
      </w:r>
    </w:p>
    <w:p w14:paraId="6BD46D1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bookmarkEnd w:id="851"/>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6485"/>
        <w:gridCol w:w="683"/>
      </w:tblGrid>
      <w:tr w14:paraId="0616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4F6943A6">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485" w:type="dxa"/>
            <w:vAlign w:val="center"/>
          </w:tcPr>
          <w:p w14:paraId="145517BE">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1F7C7EBC">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796A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30F60B2B">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485" w:type="dxa"/>
            <w:vAlign w:val="center"/>
          </w:tcPr>
          <w:p w14:paraId="6A173960">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3次，一为读书笔记，学期初即提供阅读书目，要求每位学生至少选择一本认真阅读并作读书笔记，读书笔记完成情况将作为评分的主要依据。二为小组汇报，三为小论文，以小论文的规范性、逻辑性、创新性及整洁性为评分的主要依据。</w:t>
            </w:r>
          </w:p>
        </w:tc>
        <w:tc>
          <w:tcPr>
            <w:tcW w:w="0" w:type="auto"/>
            <w:vAlign w:val="center"/>
          </w:tcPr>
          <w:p w14:paraId="1801000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04DD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121871AD">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485" w:type="dxa"/>
            <w:vAlign w:val="center"/>
          </w:tcPr>
          <w:p w14:paraId="4ECDC2E7">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kern w:val="0"/>
                <w:sz w:val="20"/>
                <w:szCs w:val="21"/>
                <w:lang w:bidi="ar"/>
              </w:rPr>
              <w:t>一是课题考勤情况</w:t>
            </w:r>
            <w:r>
              <w:rPr>
                <w:rFonts w:ascii="宋体" w:hAnsi="宋体" w:eastAsia="宋体" w:cs="宋体"/>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46BAF594">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kern w:val="0"/>
                <w:sz w:val="20"/>
                <w:szCs w:val="21"/>
                <w:lang w:bidi="ar"/>
              </w:rPr>
              <w:t>课堂参与</w:t>
            </w:r>
            <w:r>
              <w:rPr>
                <w:rFonts w:hint="eastAsia" w:ascii="宋体" w:hAnsi="宋体" w:eastAsia="宋体" w:cs="宋体"/>
                <w:kern w:val="0"/>
                <w:sz w:val="20"/>
                <w:szCs w:val="21"/>
                <w:lang w:bidi="ar"/>
              </w:rPr>
              <w:t>情况。</w:t>
            </w:r>
            <w:r>
              <w:rPr>
                <w:rFonts w:ascii="宋体" w:hAnsi="宋体" w:eastAsia="宋体" w:cs="宋体"/>
                <w:kern w:val="0"/>
                <w:sz w:val="20"/>
                <w:szCs w:val="21"/>
                <w:lang w:bidi="ar"/>
              </w:rPr>
              <w:t>主要指课上教师随机提问、组织课堂讨论等，观察学生参与程度</w:t>
            </w:r>
            <w:r>
              <w:rPr>
                <w:rFonts w:hint="eastAsia" w:ascii="宋体" w:hAnsi="宋体" w:eastAsia="宋体" w:cs="宋体"/>
                <w:kern w:val="0"/>
                <w:sz w:val="20"/>
                <w:szCs w:val="21"/>
                <w:lang w:bidi="ar"/>
              </w:rPr>
              <w:t>，</w:t>
            </w:r>
            <w:r>
              <w:rPr>
                <w:rFonts w:ascii="宋体" w:hAnsi="宋体" w:eastAsia="宋体" w:cs="宋体"/>
                <w:kern w:val="0"/>
                <w:sz w:val="20"/>
                <w:szCs w:val="21"/>
                <w:lang w:bidi="ar"/>
              </w:rPr>
              <w:t>表现良好，按照对应的课程目标及权重给予评定</w:t>
            </w:r>
            <w:r>
              <w:rPr>
                <w:rFonts w:hint="eastAsia" w:ascii="宋体" w:hAnsi="宋体" w:eastAsia="宋体" w:cs="宋体"/>
                <w:kern w:val="0"/>
                <w:sz w:val="20"/>
                <w:szCs w:val="21"/>
                <w:lang w:bidi="ar"/>
              </w:rPr>
              <w:t>。</w:t>
            </w:r>
          </w:p>
        </w:tc>
        <w:tc>
          <w:tcPr>
            <w:tcW w:w="0" w:type="auto"/>
            <w:vAlign w:val="center"/>
          </w:tcPr>
          <w:p w14:paraId="0D6C0A8E">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2F6E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47CD7EBB">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单元测验</w:t>
            </w:r>
          </w:p>
        </w:tc>
        <w:tc>
          <w:tcPr>
            <w:tcW w:w="6485" w:type="dxa"/>
            <w:vAlign w:val="center"/>
          </w:tcPr>
          <w:p w14:paraId="3183A3E7">
            <w:pPr>
              <w:widowControl/>
              <w:spacing w:line="264" w:lineRule="auto"/>
              <w:jc w:val="left"/>
              <w:rPr>
                <w:rFonts w:hint="eastAsia" w:ascii="宋体" w:hAnsi="宋体" w:eastAsia="宋体" w:cs="宋体"/>
                <w:kern w:val="0"/>
                <w:sz w:val="20"/>
                <w:szCs w:val="21"/>
                <w:lang w:bidi="ar"/>
              </w:rPr>
            </w:pPr>
            <w:r>
              <w:rPr>
                <w:rFonts w:hint="eastAsia" w:ascii="宋体" w:hAnsi="宋体" w:eastAsia="宋体" w:cs="宋体"/>
                <w:kern w:val="0"/>
                <w:sz w:val="20"/>
                <w:szCs w:val="21"/>
                <w:lang w:bidi="ar"/>
              </w:rPr>
              <w:t>每单元在线上进行测验，主要考查基础知识和基本理论的掌握，以题目的正确率为得分依据。</w:t>
            </w:r>
          </w:p>
        </w:tc>
        <w:tc>
          <w:tcPr>
            <w:tcW w:w="0" w:type="auto"/>
            <w:vAlign w:val="center"/>
          </w:tcPr>
          <w:p w14:paraId="223391D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5B36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3F005366">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自主学习</w:t>
            </w:r>
          </w:p>
        </w:tc>
        <w:tc>
          <w:tcPr>
            <w:tcW w:w="6485" w:type="dxa"/>
            <w:vAlign w:val="center"/>
          </w:tcPr>
          <w:p w14:paraId="0A8C4720">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42914CA6">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4589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dxa"/>
            <w:vAlign w:val="center"/>
          </w:tcPr>
          <w:p w14:paraId="4E5CFD92">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485" w:type="dxa"/>
            <w:vAlign w:val="center"/>
          </w:tcPr>
          <w:p w14:paraId="6078A500">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以课程论文方式进行，主要测查学生对于中外教育名著的了解程度和理解程度占50%；对当代中国教育教学改革的关注意识、反思能力和创新精神占50%。</w:t>
            </w:r>
          </w:p>
        </w:tc>
        <w:tc>
          <w:tcPr>
            <w:tcW w:w="0" w:type="auto"/>
            <w:vAlign w:val="center"/>
          </w:tcPr>
          <w:p w14:paraId="0F5EDE79">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42DE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28" w:type="dxa"/>
            <w:vAlign w:val="center"/>
          </w:tcPr>
          <w:p w14:paraId="487BEA09">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6485" w:type="dxa"/>
            <w:vAlign w:val="center"/>
          </w:tcPr>
          <w:p w14:paraId="54CE3EEC">
            <w:pPr>
              <w:jc w:val="left"/>
              <w:rPr>
                <w:rFonts w:ascii="Times New Roman" w:hAnsi="Times New Roman" w:eastAsia="宋体" w:cs="Times New Roman"/>
                <w:kern w:val="0"/>
                <w:sz w:val="20"/>
                <w:szCs w:val="21"/>
              </w:rPr>
            </w:pPr>
          </w:p>
        </w:tc>
        <w:tc>
          <w:tcPr>
            <w:tcW w:w="0" w:type="auto"/>
            <w:vAlign w:val="center"/>
          </w:tcPr>
          <w:p w14:paraId="0750D3E8">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5DD32FB5">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09DA23E6">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109FECAC">
      <w:pPr>
        <w:spacing w:before="156" w:beforeLines="50" w:line="360" w:lineRule="auto"/>
        <w:ind w:firstLine="420" w:firstLineChars="200"/>
        <w:jc w:val="left"/>
        <w:rPr>
          <w:rFonts w:hint="eastAsia" w:ascii="宋体" w:hAnsi="宋体" w:eastAsia="宋体" w:cs="Times New Roman"/>
          <w:b/>
          <w:sz w:val="28"/>
          <w:szCs w:val="28"/>
        </w:rPr>
      </w:pPr>
      <w:r>
        <w:rPr>
          <w:rFonts w:ascii="宋体" w:hAnsi="宋体" w:eastAsia="宋体" w:cs="Times New Roman"/>
          <w:szCs w:val="21"/>
        </w:rPr>
        <w:object>
          <v:shape id="_x0000_i1050"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50" DrawAspect="Content" ObjectID="_1468075750" r:id="rId38">
            <o:LockedField>false</o:LockedField>
          </o:OLEObject>
        </w:object>
      </w:r>
      <w:r>
        <w:rPr>
          <w:rFonts w:hint="eastAsia" w:ascii="宋体" w:hAnsi="宋体" w:eastAsia="宋体" w:cs="Times New Roman"/>
          <w:b/>
          <w:sz w:val="28"/>
          <w:szCs w:val="28"/>
        </w:rPr>
        <w:t>五</w:t>
      </w:r>
      <w:r>
        <w:rPr>
          <w:rFonts w:ascii="宋体" w:hAnsi="宋体" w:eastAsia="宋体" w:cs="Times New Roman"/>
          <w:b/>
          <w:sz w:val="28"/>
          <w:szCs w:val="28"/>
        </w:rPr>
        <w:t>、</w:t>
      </w:r>
      <w:r>
        <w:rPr>
          <w:rFonts w:hint="eastAsia" w:ascii="宋体" w:hAnsi="宋体" w:eastAsia="宋体" w:cs="Times New Roman"/>
          <w:b/>
          <w:sz w:val="28"/>
          <w:szCs w:val="28"/>
        </w:rPr>
        <w:t>有关说明</w:t>
      </w:r>
    </w:p>
    <w:p w14:paraId="62474C36">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（一）持续改进</w:t>
      </w:r>
    </w:p>
    <w:p w14:paraId="6443A9A1">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本课程根据学生作业、课堂讨论、考核情况和学生、教学督导等</w:t>
      </w:r>
      <w:r>
        <w:rPr>
          <w:rFonts w:hint="eastAsia" w:ascii="宋体" w:hAnsi="宋体" w:eastAsia="宋体" w:cs="Times New Roman"/>
          <w:szCs w:val="21"/>
        </w:rPr>
        <w:t>的</w:t>
      </w:r>
      <w:r>
        <w:rPr>
          <w:rFonts w:ascii="宋体" w:hAnsi="宋体" w:eastAsia="宋体" w:cs="Times New Roman"/>
          <w:szCs w:val="21"/>
        </w:rPr>
        <w:t>反馈，及时对教学中</w:t>
      </w:r>
      <w:r>
        <w:rPr>
          <w:rFonts w:hint="eastAsia" w:ascii="宋体" w:hAnsi="宋体" w:eastAsia="宋体" w:cs="Times New Roman"/>
          <w:szCs w:val="21"/>
        </w:rPr>
        <w:t>的</w:t>
      </w:r>
      <w:r>
        <w:rPr>
          <w:rFonts w:ascii="宋体" w:hAnsi="宋体" w:eastAsia="宋体" w:cs="Times New Roman"/>
          <w:szCs w:val="21"/>
        </w:rPr>
        <w:t>不足之处进行改进，并在下一轮课程教学中</w:t>
      </w:r>
      <w:r>
        <w:rPr>
          <w:rFonts w:hint="eastAsia" w:ascii="宋体" w:hAnsi="宋体" w:eastAsia="宋体" w:cs="Times New Roman"/>
          <w:szCs w:val="21"/>
        </w:rPr>
        <w:t>整改完善</w:t>
      </w:r>
      <w:r>
        <w:rPr>
          <w:rFonts w:ascii="宋体" w:hAnsi="宋体" w:eastAsia="宋体" w:cs="Times New Roman"/>
          <w:szCs w:val="21"/>
        </w:rPr>
        <w:t>，确保相应毕业要求指标点达成。</w:t>
      </w:r>
    </w:p>
    <w:p w14:paraId="12CF628D">
      <w:pPr>
        <w:spacing w:line="360" w:lineRule="auto"/>
        <w:ind w:firstLine="422" w:firstLineChars="200"/>
        <w:rPr>
          <w:rFonts w:hint="eastAsia" w:ascii="宋体" w:hAnsi="宋体" w:eastAsia="宋体" w:cs="Times New Roman"/>
          <w:b/>
          <w:szCs w:val="21"/>
        </w:rPr>
      </w:pPr>
      <w:bookmarkStart w:id="852" w:name="_Toc27847345"/>
      <w:r>
        <w:rPr>
          <w:rFonts w:hint="eastAsia" w:ascii="宋体" w:hAnsi="宋体" w:eastAsia="宋体" w:cs="Times New Roman"/>
          <w:b/>
          <w:szCs w:val="21"/>
        </w:rPr>
        <w:t>（二）</w:t>
      </w:r>
      <w:r>
        <w:rPr>
          <w:rFonts w:ascii="宋体" w:hAnsi="宋体" w:eastAsia="宋体" w:cs="Times New Roman"/>
          <w:b/>
          <w:szCs w:val="21"/>
        </w:rPr>
        <w:t>参考书目及学习资料</w:t>
      </w:r>
      <w:bookmarkEnd w:id="852"/>
    </w:p>
    <w:p w14:paraId="390485A1">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1</w:t>
      </w:r>
      <w:r>
        <w:rPr>
          <w:rFonts w:ascii="宋体" w:hAnsi="宋体" w:eastAsia="宋体" w:cs="Times New Roman"/>
          <w:b/>
          <w:bCs/>
          <w:szCs w:val="21"/>
        </w:rPr>
        <w:t>.</w:t>
      </w:r>
      <w:r>
        <w:rPr>
          <w:rFonts w:hint="eastAsia" w:ascii="宋体" w:hAnsi="宋体" w:eastAsia="宋体" w:cs="Times New Roman"/>
          <w:b/>
          <w:bCs/>
          <w:szCs w:val="21"/>
        </w:rPr>
        <w:t>教材</w:t>
      </w:r>
    </w:p>
    <w:p w14:paraId="7D87331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肖朗.中外教育名著选读.</w:t>
      </w:r>
      <w:r>
        <w:rPr>
          <w:rFonts w:ascii="Times New Roman" w:hAnsi="Times New Roman" w:eastAsia="宋体" w:cs="Times New Roman"/>
          <w:szCs w:val="21"/>
        </w:rPr>
        <w:t xml:space="preserve"> </w:t>
      </w:r>
      <w:r>
        <w:rPr>
          <w:rFonts w:hint="eastAsia" w:ascii="Times New Roman" w:hAnsi="Times New Roman" w:eastAsia="宋体" w:cs="Times New Roman"/>
          <w:szCs w:val="21"/>
        </w:rPr>
        <w:t>北京：高等教育出版社，20</w:t>
      </w:r>
      <w:r>
        <w:rPr>
          <w:rFonts w:ascii="Times New Roman" w:hAnsi="Times New Roman" w:eastAsia="宋体" w:cs="Times New Roman"/>
          <w:szCs w:val="21"/>
        </w:rPr>
        <w:t>09.</w:t>
      </w:r>
    </w:p>
    <w:p w14:paraId="46C130F6">
      <w:pPr>
        <w:spacing w:line="360" w:lineRule="auto"/>
        <w:ind w:firstLine="422" w:firstLineChars="200"/>
        <w:rPr>
          <w:rFonts w:hint="eastAsia" w:ascii="宋体" w:hAnsi="宋体" w:eastAsia="宋体" w:cs="Times New Roman"/>
          <w:b/>
          <w:bCs/>
          <w:szCs w:val="21"/>
        </w:rPr>
      </w:pPr>
      <w:r>
        <w:rPr>
          <w:rFonts w:hint="eastAsia" w:ascii="宋体" w:hAnsi="宋体" w:eastAsia="宋体" w:cs="Times New Roman"/>
          <w:b/>
          <w:bCs/>
          <w:szCs w:val="21"/>
        </w:rPr>
        <w:t>2</w:t>
      </w:r>
      <w:r>
        <w:rPr>
          <w:rFonts w:ascii="宋体" w:hAnsi="宋体" w:eastAsia="宋体" w:cs="Times New Roman"/>
          <w:b/>
          <w:bCs/>
          <w:szCs w:val="21"/>
        </w:rPr>
        <w:t>.</w:t>
      </w:r>
      <w:r>
        <w:rPr>
          <w:rFonts w:hint="eastAsia" w:ascii="宋体" w:hAnsi="宋体" w:eastAsia="宋体" w:cs="Times New Roman"/>
          <w:b/>
          <w:bCs/>
          <w:szCs w:val="21"/>
        </w:rPr>
        <w:t>教学参考书</w:t>
      </w:r>
    </w:p>
    <w:p w14:paraId="7C801B3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周洪宇.教育经典导读.华中科技大学出版社,2013.</w:t>
      </w:r>
    </w:p>
    <w:p w14:paraId="59A1029E">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华东师范大学教育系</w:t>
      </w:r>
      <w:r>
        <w:rPr>
          <w:rFonts w:ascii="宋体" w:hAnsi="宋体" w:eastAsia="宋体" w:cs="Times New Roman"/>
          <w:szCs w:val="21"/>
        </w:rPr>
        <w:t xml:space="preserve">. </w:t>
      </w:r>
      <w:r>
        <w:rPr>
          <w:rFonts w:hint="eastAsia" w:ascii="宋体" w:hAnsi="宋体" w:eastAsia="宋体" w:cs="Times New Roman"/>
          <w:szCs w:val="21"/>
        </w:rPr>
        <w:t>教育文选</w:t>
      </w:r>
      <w:r>
        <w:rPr>
          <w:rFonts w:ascii="宋体" w:hAnsi="宋体" w:eastAsia="宋体" w:cs="Times New Roman"/>
          <w:szCs w:val="21"/>
        </w:rPr>
        <w:t xml:space="preserve">. </w:t>
      </w:r>
      <w:r>
        <w:rPr>
          <w:rFonts w:hint="eastAsia" w:ascii="宋体" w:hAnsi="宋体" w:eastAsia="宋体" w:cs="Times New Roman"/>
          <w:szCs w:val="21"/>
        </w:rPr>
        <w:t>北京</w:t>
      </w:r>
      <w:r>
        <w:rPr>
          <w:rFonts w:ascii="宋体" w:hAnsi="宋体" w:eastAsia="宋体" w:cs="Times New Roman"/>
          <w:szCs w:val="21"/>
        </w:rPr>
        <w:t xml:space="preserve">: </w:t>
      </w:r>
      <w:r>
        <w:rPr>
          <w:rFonts w:hint="eastAsia" w:ascii="宋体" w:hAnsi="宋体" w:eastAsia="宋体" w:cs="Times New Roman"/>
          <w:szCs w:val="21"/>
        </w:rPr>
        <w:t>人民教育出版社</w:t>
      </w:r>
      <w:r>
        <w:rPr>
          <w:rFonts w:ascii="宋体" w:hAnsi="宋体" w:eastAsia="宋体" w:cs="Times New Roman"/>
          <w:szCs w:val="21"/>
        </w:rPr>
        <w:t>, 2007.</w:t>
      </w:r>
    </w:p>
    <w:p w14:paraId="10EE482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褚慧芳</w:t>
      </w:r>
      <w:r>
        <w:rPr>
          <w:rFonts w:ascii="宋体" w:hAnsi="宋体" w:eastAsia="宋体" w:cs="Times New Roman"/>
          <w:szCs w:val="21"/>
        </w:rPr>
        <w:t>.</w:t>
      </w:r>
      <w:r>
        <w:rPr>
          <w:rFonts w:hint="eastAsia" w:ascii="宋体" w:hAnsi="宋体" w:eastAsia="宋体" w:cs="Times New Roman"/>
          <w:szCs w:val="21"/>
        </w:rPr>
        <w:t>外国教育名著导读</w:t>
      </w:r>
      <w:r>
        <w:rPr>
          <w:rFonts w:ascii="宋体" w:hAnsi="宋体" w:eastAsia="宋体" w:cs="Times New Roman"/>
          <w:szCs w:val="21"/>
        </w:rPr>
        <w:t>.</w:t>
      </w:r>
      <w:r>
        <w:rPr>
          <w:rFonts w:hint="eastAsia" w:ascii="宋体" w:hAnsi="宋体" w:eastAsia="宋体" w:cs="Times New Roman"/>
          <w:szCs w:val="21"/>
        </w:rPr>
        <w:t>北京：人民教育出版社</w:t>
      </w:r>
      <w:r>
        <w:rPr>
          <w:rFonts w:ascii="宋体" w:hAnsi="宋体" w:eastAsia="宋体" w:cs="Times New Roman"/>
          <w:szCs w:val="21"/>
        </w:rPr>
        <w:t>，2009.</w:t>
      </w:r>
    </w:p>
    <w:p w14:paraId="205206F0">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张瑞璠，王承绪</w:t>
      </w:r>
      <w:r>
        <w:rPr>
          <w:rFonts w:ascii="宋体" w:hAnsi="宋体" w:eastAsia="宋体" w:cs="Times New Roman"/>
          <w:szCs w:val="21"/>
        </w:rPr>
        <w:t>.</w:t>
      </w:r>
      <w:r>
        <w:rPr>
          <w:rFonts w:hint="eastAsia" w:ascii="宋体" w:hAnsi="宋体" w:eastAsia="宋体" w:cs="Times New Roman"/>
          <w:szCs w:val="21"/>
        </w:rPr>
        <w:t>中外教育比较史纲</w:t>
      </w:r>
      <w:r>
        <w:rPr>
          <w:rFonts w:ascii="宋体" w:hAnsi="宋体" w:eastAsia="宋体" w:cs="Times New Roman"/>
          <w:szCs w:val="21"/>
        </w:rPr>
        <w:t>.</w:t>
      </w:r>
      <w:r>
        <w:rPr>
          <w:rFonts w:hint="eastAsia" w:ascii="宋体" w:hAnsi="宋体" w:eastAsia="宋体" w:cs="Times New Roman"/>
          <w:szCs w:val="21"/>
        </w:rPr>
        <w:t>济南：山东教育出版社</w:t>
      </w:r>
      <w:r>
        <w:rPr>
          <w:rFonts w:ascii="宋体" w:hAnsi="宋体" w:eastAsia="宋体" w:cs="Times New Roman"/>
          <w:szCs w:val="21"/>
        </w:rPr>
        <w:t>，2001.</w:t>
      </w:r>
    </w:p>
    <w:p w14:paraId="05E0DCB7">
      <w:pPr>
        <w:autoSpaceDE w:val="0"/>
        <w:autoSpaceDN w:val="0"/>
        <w:adjustRightInd w:val="0"/>
        <w:spacing w:line="360" w:lineRule="auto"/>
        <w:ind w:firstLine="4620" w:firstLineChars="2200"/>
        <w:jc w:val="right"/>
        <w:rPr>
          <w:rFonts w:hint="eastAsia" w:ascii="宋体" w:hAnsi="宋体" w:eastAsia="宋体" w:cs="Times New Roman"/>
          <w:kern w:val="0"/>
          <w:szCs w:val="21"/>
        </w:rPr>
      </w:pPr>
      <w:r>
        <w:rPr>
          <w:rFonts w:ascii="宋体" w:hAnsi="宋体" w:eastAsia="宋体" w:cs="Times New Roman"/>
          <w:kern w:val="0"/>
          <w:szCs w:val="21"/>
        </w:rPr>
        <w:t>执笔人：</w:t>
      </w:r>
      <w:r>
        <w:rPr>
          <w:rFonts w:hint="eastAsia" w:ascii="宋体" w:hAnsi="宋体" w:eastAsia="宋体" w:cs="Times New Roman"/>
          <w:kern w:val="0"/>
          <w:szCs w:val="21"/>
        </w:rPr>
        <w:t>刘  丽</w:t>
      </w:r>
    </w:p>
    <w:p w14:paraId="1E7FFC73">
      <w:pPr>
        <w:autoSpaceDE w:val="0"/>
        <w:autoSpaceDN w:val="0"/>
        <w:adjustRightInd w:val="0"/>
        <w:spacing w:line="360" w:lineRule="auto"/>
        <w:ind w:firstLine="4620" w:firstLineChars="2200"/>
        <w:jc w:val="right"/>
        <w:rPr>
          <w:rFonts w:hint="eastAsia" w:ascii="宋体" w:hAnsi="宋体" w:eastAsia="宋体" w:cs="Times New Roman"/>
          <w:kern w:val="0"/>
          <w:szCs w:val="21"/>
        </w:rPr>
      </w:pPr>
      <w:r>
        <w:rPr>
          <w:rFonts w:hint="eastAsia" w:ascii="宋体" w:hAnsi="宋体" w:eastAsia="宋体" w:cs="Times New Roman"/>
          <w:kern w:val="0"/>
          <w:szCs w:val="21"/>
        </w:rPr>
        <w:t>审定人：王  健</w:t>
      </w:r>
    </w:p>
    <w:p w14:paraId="2F048273">
      <w:pPr>
        <w:autoSpaceDE w:val="0"/>
        <w:autoSpaceDN w:val="0"/>
        <w:adjustRightInd w:val="0"/>
        <w:spacing w:line="360" w:lineRule="auto"/>
        <w:ind w:firstLine="4620" w:firstLineChars="2200"/>
        <w:jc w:val="right"/>
        <w:rPr>
          <w:rFonts w:hint="eastAsia" w:ascii="宋体" w:hAnsi="宋体" w:eastAsia="宋体" w:cs="Times New Roman"/>
          <w:kern w:val="0"/>
          <w:szCs w:val="21"/>
        </w:rPr>
      </w:pPr>
      <w:r>
        <w:rPr>
          <w:rFonts w:hint="eastAsia" w:ascii="宋体" w:hAnsi="宋体" w:eastAsia="宋体" w:cs="Times New Roman"/>
          <w:kern w:val="0"/>
          <w:szCs w:val="21"/>
        </w:rPr>
        <w:t>审批人：张志欣</w:t>
      </w:r>
    </w:p>
    <w:p w14:paraId="5B0D31DE">
      <w:pPr>
        <w:spacing w:line="360" w:lineRule="auto"/>
        <w:ind w:firstLine="4200" w:firstLineChars="2000"/>
        <w:jc w:val="right"/>
        <w:rPr>
          <w:rFonts w:eastAsia="宋体"/>
          <w:szCs w:val="21"/>
        </w:rPr>
      </w:pPr>
      <w:r>
        <w:rPr>
          <w:rFonts w:hint="eastAsia" w:ascii="宋体" w:hAnsi="宋体" w:eastAsia="宋体" w:cs="Times New Roman"/>
          <w:kern w:val="0"/>
          <w:szCs w:val="21"/>
        </w:rPr>
        <w:t>批准时间：2025年7月1日</w:t>
      </w:r>
    </w:p>
    <w:p w14:paraId="243F056A">
      <w:pPr>
        <w:rPr>
          <w:rFonts w:hint="eastAsia" w:ascii="宋体" w:hAnsi="宋体" w:eastAsia="宋体" w:cs="Times New Roman"/>
          <w:kern w:val="0"/>
          <w:sz w:val="24"/>
          <w:szCs w:val="21"/>
        </w:rPr>
      </w:pPr>
    </w:p>
    <w:p w14:paraId="20BF7F56">
      <w:pPr>
        <w:rPr>
          <w:rFonts w:hint="eastAsia" w:ascii="宋体" w:hAnsi="宋体" w:eastAsia="宋体" w:cs="Times New Roman"/>
          <w:kern w:val="0"/>
          <w:sz w:val="24"/>
          <w:szCs w:val="21"/>
        </w:rPr>
      </w:pPr>
    </w:p>
    <w:p w14:paraId="6D84D92F">
      <w:pPr>
        <w:rPr>
          <w:rFonts w:hint="eastAsia" w:ascii="宋体" w:hAnsi="宋体" w:eastAsia="宋体" w:cs="Times New Roman"/>
          <w:kern w:val="0"/>
          <w:sz w:val="24"/>
          <w:szCs w:val="21"/>
        </w:rPr>
      </w:pPr>
    </w:p>
    <w:p w14:paraId="1C8CE334">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63F4F092">
      <w:pPr>
        <w:spacing w:line="360" w:lineRule="auto"/>
        <w:jc w:val="center"/>
        <w:outlineLvl w:val="0"/>
        <w:rPr>
          <w:rFonts w:ascii="Times New Roman" w:hAnsi="Times New Roman" w:eastAsia="宋体" w:cs="Times New Roman"/>
          <w:b/>
          <w:sz w:val="44"/>
          <w:szCs w:val="44"/>
        </w:rPr>
      </w:pPr>
      <w:bookmarkStart w:id="853" w:name="_Toc15679"/>
      <w:bookmarkStart w:id="854" w:name="_Toc24161"/>
      <w:bookmarkStart w:id="855" w:name="_Toc28419"/>
      <w:bookmarkStart w:id="856" w:name="_Toc13932"/>
      <w:r>
        <w:rPr>
          <w:rFonts w:hint="eastAsia" w:ascii="Times New Roman" w:hAnsi="Times New Roman" w:eastAsia="宋体" w:cs="Times New Roman"/>
          <w:b/>
          <w:sz w:val="44"/>
          <w:szCs w:val="44"/>
        </w:rPr>
        <w:t>《课堂观察与模拟教学》课程教学大纲</w:t>
      </w:r>
      <w:bookmarkEnd w:id="853"/>
      <w:bookmarkEnd w:id="854"/>
      <w:bookmarkEnd w:id="855"/>
      <w:bookmarkEnd w:id="856"/>
    </w:p>
    <w:p w14:paraId="46BDF119">
      <w:pPr>
        <w:spacing w:line="360" w:lineRule="auto"/>
        <w:jc w:val="center"/>
        <w:rPr>
          <w:rFonts w:ascii="Times New Roman" w:hAnsi="Times New Roman" w:eastAsia="宋体" w:cs="Times New Roman"/>
          <w:bCs/>
          <w:sz w:val="30"/>
          <w:szCs w:val="30"/>
        </w:rPr>
      </w:pPr>
      <w:bookmarkStart w:id="857" w:name="_Toc16434"/>
      <w:bookmarkStart w:id="858" w:name="_Toc7819"/>
      <w:bookmarkStart w:id="859" w:name="_Toc20239"/>
      <w:bookmarkStart w:id="860" w:name="_Toc2304"/>
      <w:bookmarkStart w:id="861" w:name="_Toc20505"/>
      <w:bookmarkStart w:id="862" w:name="_Toc15030"/>
      <w:bookmarkStart w:id="863" w:name="_Toc21050"/>
      <w:r>
        <w:rPr>
          <w:rFonts w:ascii="Times New Roman" w:hAnsi="Times New Roman" w:eastAsia="宋体" w:cs="Times New Roman"/>
          <w:b/>
          <w:bCs/>
          <w:sz w:val="28"/>
          <w:szCs w:val="28"/>
        </w:rPr>
        <w:t>（Classroom Observation and Simulation Teaching）</w:t>
      </w:r>
      <w:bookmarkEnd w:id="857"/>
      <w:bookmarkEnd w:id="858"/>
      <w:bookmarkEnd w:id="859"/>
      <w:bookmarkEnd w:id="860"/>
      <w:bookmarkEnd w:id="861"/>
      <w:bookmarkEnd w:id="862"/>
      <w:bookmarkEnd w:id="863"/>
    </w:p>
    <w:p w14:paraId="7FD720AC">
      <w:pPr>
        <w:jc w:val="right"/>
        <w:rPr>
          <w:rFonts w:ascii="Times New Roman" w:hAnsi="Times New Roman" w:eastAsia="宋体" w:cs="Times New Roman"/>
          <w:szCs w:val="21"/>
        </w:rPr>
      </w:pPr>
    </w:p>
    <w:p w14:paraId="7B0D697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课程名称：课堂观察与模拟教学</w:t>
      </w:r>
    </w:p>
    <w:p w14:paraId="4C939AD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2401021</w:t>
      </w:r>
    </w:p>
    <w:p w14:paraId="55A76B1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分：2</w:t>
      </w:r>
    </w:p>
    <w:p w14:paraId="12C4346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时：32 （其中：讲授学时16， 实践学时16）</w:t>
      </w:r>
    </w:p>
    <w:p w14:paraId="0C1B7EE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先修课程：教育心理学、课程与教学论、小学语文/数学课程标准与教材分析、小学语文/数学教学设计与实施</w:t>
      </w:r>
    </w:p>
    <w:p w14:paraId="15E141B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7DA1AC83">
      <w:pPr>
        <w:spacing w:before="62" w:beforeLines="20" w:after="62" w:afterLines="20"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3E642AE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一门专业基础必修课程。通过本课程的学习，学生能熟练掌握课程观察的方法和技能，能够从课堂观察中借鉴他人的课堂教学与管理经验；掌握模拟教学的一般原理和基本技能，具备较强的模拟教学能力，为将来从事小学教学工作做好准备。</w:t>
      </w:r>
    </w:p>
    <w:p w14:paraId="23CECFF0">
      <w:pPr>
        <w:spacing w:before="62" w:beforeLines="20" w:after="62" w:afterLines="20"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二、课程目标</w:t>
      </w:r>
    </w:p>
    <w:p w14:paraId="500BF2DE">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75710FD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1. 理解课堂观察的内涵</w:t>
      </w:r>
      <w:r>
        <w:rPr>
          <w:rFonts w:hint="eastAsia" w:ascii="Times New Roman" w:hAnsi="Times New Roman" w:eastAsia="宋体" w:cs="Times New Roman"/>
          <w:szCs w:val="21"/>
        </w:rPr>
        <w:t>和</w:t>
      </w:r>
      <w:r>
        <w:rPr>
          <w:rFonts w:ascii="Times New Roman" w:hAnsi="Times New Roman" w:eastAsia="宋体" w:cs="Times New Roman"/>
          <w:szCs w:val="21"/>
        </w:rPr>
        <w:t>意义，了解课堂观察的类型与方法，掌握课堂观察的基本技能，能够运用科学的方法深入现场进行全方位的课堂观察，能够撰写规范的课堂观察报告，能够从课堂观察中吸取经验教训，</w:t>
      </w:r>
      <w:r>
        <w:rPr>
          <w:rFonts w:hint="eastAsia" w:ascii="Times New Roman" w:hAnsi="Times New Roman" w:eastAsia="宋体" w:cs="Times New Roman"/>
          <w:szCs w:val="21"/>
        </w:rPr>
        <w:t>为</w:t>
      </w:r>
      <w:r>
        <w:rPr>
          <w:rFonts w:ascii="Times New Roman" w:hAnsi="Times New Roman" w:eastAsia="宋体" w:cs="Times New Roman"/>
          <w:szCs w:val="21"/>
        </w:rPr>
        <w:t>自己</w:t>
      </w:r>
      <w:r>
        <w:rPr>
          <w:rFonts w:hint="eastAsia" w:ascii="Times New Roman" w:hAnsi="Times New Roman" w:eastAsia="宋体" w:cs="Times New Roman"/>
          <w:szCs w:val="21"/>
        </w:rPr>
        <w:t>今后</w:t>
      </w:r>
      <w:r>
        <w:rPr>
          <w:rFonts w:ascii="Times New Roman" w:hAnsi="Times New Roman" w:eastAsia="宋体" w:cs="Times New Roman"/>
          <w:szCs w:val="21"/>
        </w:rPr>
        <w:t>课堂教学</w:t>
      </w:r>
      <w:r>
        <w:rPr>
          <w:rFonts w:hint="eastAsia" w:ascii="Times New Roman" w:hAnsi="Times New Roman" w:eastAsia="宋体" w:cs="Times New Roman"/>
          <w:szCs w:val="21"/>
        </w:rPr>
        <w:t>提供借鉴</w:t>
      </w:r>
      <w:r>
        <w:rPr>
          <w:rFonts w:ascii="Times New Roman" w:hAnsi="Times New Roman" w:eastAsia="宋体" w:cs="Times New Roman"/>
          <w:szCs w:val="21"/>
        </w:rPr>
        <w:t>。</w:t>
      </w:r>
    </w:p>
    <w:p w14:paraId="0D79286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2.理解模拟教学的内涵，理解模拟教学对于师范生专业发展的意义，</w:t>
      </w:r>
      <w:r>
        <w:rPr>
          <w:rFonts w:hint="eastAsia" w:ascii="Times New Roman" w:hAnsi="Times New Roman" w:eastAsia="宋体" w:cs="Times New Roman"/>
          <w:szCs w:val="21"/>
        </w:rPr>
        <w:t>理解</w:t>
      </w:r>
      <w:r>
        <w:rPr>
          <w:rFonts w:ascii="Times New Roman" w:hAnsi="Times New Roman" w:eastAsia="宋体" w:cs="Times New Roman"/>
          <w:szCs w:val="21"/>
        </w:rPr>
        <w:t>模拟教学的原则，掌握模拟教学的方法，了解模拟教学的一般流程，能够运用现代教学理念开展模拟教学，具有较强的模拟教学能力，能对自己的模拟教学进行正确的评价并作出相应的改进。</w:t>
      </w:r>
    </w:p>
    <w:p w14:paraId="7C10094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3.具有较强的研究能力和反思能力。</w:t>
      </w:r>
      <w:r>
        <w:rPr>
          <w:rFonts w:hint="eastAsia" w:ascii="Times New Roman" w:hAnsi="Times New Roman" w:eastAsia="宋体" w:cs="Times New Roman"/>
          <w:szCs w:val="21"/>
        </w:rPr>
        <w:t>养成</w:t>
      </w:r>
      <w:r>
        <w:rPr>
          <w:rFonts w:ascii="Times New Roman" w:hAnsi="Times New Roman" w:eastAsia="宋体" w:cs="Times New Roman"/>
          <w:szCs w:val="21"/>
        </w:rPr>
        <w:t>严谨、踏实的学习和教学态度</w:t>
      </w:r>
      <w:r>
        <w:rPr>
          <w:rFonts w:hint="eastAsia" w:ascii="Times New Roman" w:hAnsi="Times New Roman" w:eastAsia="宋体" w:cs="Times New Roman"/>
          <w:szCs w:val="21"/>
        </w:rPr>
        <w:t>；</w:t>
      </w:r>
      <w:r>
        <w:rPr>
          <w:rFonts w:ascii="Times New Roman" w:hAnsi="Times New Roman" w:eastAsia="宋体" w:cs="Times New Roman"/>
          <w:szCs w:val="21"/>
        </w:rPr>
        <w:t>愿意与他人分享自己的课堂观察和模拟教学经验，能够主动寻求同学和老师的帮助，具有强烈的团队合作意识。</w:t>
      </w:r>
    </w:p>
    <w:p w14:paraId="0E41C1EB">
      <w:pPr>
        <w:spacing w:line="360" w:lineRule="auto"/>
        <w:ind w:left="420" w:left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p w14:paraId="0BB8FA10">
      <w:pPr>
        <w:spacing w:line="360" w:lineRule="auto"/>
        <w:jc w:val="left"/>
        <w:rPr>
          <w:rFonts w:ascii="Times New Roman" w:hAnsi="Times New Roman" w:eastAsia="宋体" w:cs="Times New Roman"/>
          <w:b/>
          <w:bCs/>
          <w:szCs w:val="21"/>
        </w:rPr>
      </w:pPr>
    </w:p>
    <w:p w14:paraId="525DF94D">
      <w:pPr>
        <w:spacing w:line="360" w:lineRule="auto"/>
        <w:jc w:val="left"/>
        <w:rPr>
          <w:rFonts w:ascii="Times New Roman" w:hAnsi="Times New Roman" w:eastAsia="宋体" w:cs="Times New Roman"/>
          <w:b/>
          <w:bCs/>
          <w:szCs w:val="21"/>
        </w:rPr>
      </w:pP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7E697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7A31CF5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095" w:type="dxa"/>
            <w:vAlign w:val="center"/>
          </w:tcPr>
          <w:p w14:paraId="63ED458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209139F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C36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5" w:type="dxa"/>
            <w:vMerge w:val="restart"/>
            <w:vAlign w:val="center"/>
          </w:tcPr>
          <w:p w14:paraId="30180005">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r>
              <w:rPr>
                <w:rFonts w:ascii="Times New Roman" w:hAnsi="Times New Roman" w:eastAsia="宋体" w:cs="Times New Roman"/>
                <w:b/>
                <w:bCs/>
                <w:szCs w:val="21"/>
              </w:rPr>
              <w:t>4</w:t>
            </w:r>
          </w:p>
          <w:p w14:paraId="23C57F6F">
            <w:pPr>
              <w:spacing w:line="276" w:lineRule="auto"/>
              <w:jc w:val="center"/>
              <w:rPr>
                <w:rFonts w:ascii="Times New Roman" w:hAnsi="Times New Roman" w:eastAsia="宋体" w:cs="Times New Roman"/>
                <w:b/>
                <w:bCs/>
                <w:szCs w:val="21"/>
              </w:rPr>
            </w:pPr>
            <w:r>
              <w:rPr>
                <w:rFonts w:ascii="Times New Roman" w:hAnsi="Times New Roman" w:eastAsia="宋体" w:cs="Times New Roman"/>
                <w:b/>
                <w:bCs/>
                <w:szCs w:val="21"/>
              </w:rPr>
              <w:t>教学能力</w:t>
            </w:r>
          </w:p>
        </w:tc>
        <w:tc>
          <w:tcPr>
            <w:tcW w:w="6095" w:type="dxa"/>
            <w:vAlign w:val="center"/>
          </w:tcPr>
          <w:p w14:paraId="6AB680F7">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指标点4-3</w:t>
            </w:r>
            <w:r>
              <w:rPr>
                <w:rFonts w:hint="eastAsia" w:ascii="宋体" w:hAnsi="宋体" w:eastAsia="宋体" w:cs="Times New Roman"/>
                <w:spacing w:val="2"/>
                <w:kern w:val="0"/>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767E740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5501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0E92E5DC">
            <w:pPr>
              <w:spacing w:line="276" w:lineRule="auto"/>
              <w:jc w:val="center"/>
              <w:rPr>
                <w:rFonts w:ascii="Times New Roman" w:hAnsi="Times New Roman" w:eastAsia="宋体" w:cs="Times New Roman"/>
                <w:b/>
                <w:bCs/>
                <w:szCs w:val="21"/>
              </w:rPr>
            </w:pPr>
          </w:p>
        </w:tc>
        <w:tc>
          <w:tcPr>
            <w:tcW w:w="6095" w:type="dxa"/>
            <w:vAlign w:val="center"/>
          </w:tcPr>
          <w:p w14:paraId="3488DC19">
            <w:pPr>
              <w:spacing w:line="276" w:lineRule="auto"/>
              <w:jc w:val="left"/>
              <w:rPr>
                <w:rFonts w:ascii="Times New Roman" w:hAnsi="Times New Roman" w:eastAsia="宋体" w:cs="Times New Roman"/>
                <w:szCs w:val="21"/>
              </w:rPr>
            </w:pPr>
            <w:r>
              <w:rPr>
                <w:rFonts w:hint="eastAsia" w:ascii="Times New Roman" w:hAnsi="Times New Roman" w:eastAsia="宋体" w:cs="Times New Roman"/>
                <w:b/>
                <w:szCs w:val="21"/>
              </w:rPr>
              <w:t>指标点4-4</w:t>
            </w:r>
            <w:r>
              <w:rPr>
                <w:rFonts w:ascii="Times New Roman" w:hAnsi="Times New Roman" w:eastAsia="宋体" w:cs="Times New Roman"/>
                <w:szCs w:val="21"/>
              </w:rPr>
              <w:t>：【具备教学研究能力】掌握教育研究的基本方法，在教育教学实践中，结合小学教育教学实践进行研究，具有一定的教学研究能力。</w:t>
            </w:r>
          </w:p>
        </w:tc>
        <w:tc>
          <w:tcPr>
            <w:tcW w:w="1327" w:type="dxa"/>
            <w:vAlign w:val="center"/>
          </w:tcPr>
          <w:p w14:paraId="0170873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tc>
      </w:tr>
      <w:tr w14:paraId="3A8A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2BE9F8C9">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r>
              <w:rPr>
                <w:rFonts w:ascii="Times New Roman" w:hAnsi="Times New Roman" w:eastAsia="宋体" w:cs="Times New Roman"/>
                <w:b/>
                <w:bCs/>
                <w:szCs w:val="21"/>
              </w:rPr>
              <w:t>7</w:t>
            </w:r>
          </w:p>
          <w:p w14:paraId="49F9F5F6">
            <w:pPr>
              <w:spacing w:line="276" w:lineRule="auto"/>
              <w:jc w:val="center"/>
              <w:rPr>
                <w:rFonts w:ascii="Times New Roman" w:hAnsi="Times New Roman" w:eastAsia="宋体" w:cs="Times New Roman"/>
                <w:b/>
                <w:bCs/>
                <w:szCs w:val="21"/>
              </w:rPr>
            </w:pPr>
            <w:r>
              <w:rPr>
                <w:rFonts w:ascii="Times New Roman" w:hAnsi="Times New Roman" w:eastAsia="宋体" w:cs="Times New Roman"/>
                <w:b/>
                <w:bCs/>
                <w:szCs w:val="21"/>
              </w:rPr>
              <w:t>学会反思</w:t>
            </w:r>
          </w:p>
        </w:tc>
        <w:tc>
          <w:tcPr>
            <w:tcW w:w="6095" w:type="dxa"/>
            <w:vAlign w:val="center"/>
          </w:tcPr>
          <w:p w14:paraId="155DA806">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指标点7-3</w:t>
            </w:r>
            <w:r>
              <w:rPr>
                <w:rFonts w:hint="eastAsia" w:ascii="宋体" w:hAnsi="宋体" w:eastAsia="宋体" w:cs="Times New Roman"/>
                <w:spacing w:val="2"/>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4503B6D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003690D8">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485F4D44">
      <w:pPr>
        <w:spacing w:line="360" w:lineRule="auto"/>
        <w:ind w:firstLine="411" w:firstLineChars="196"/>
        <w:jc w:val="left"/>
        <w:rPr>
          <w:rFonts w:hint="eastAsia" w:ascii="宋体" w:hAnsi="宋体" w:eastAsia="宋体" w:cs="Times New Roman"/>
          <w:szCs w:val="21"/>
        </w:rPr>
      </w:pPr>
      <w:r>
        <w:rPr>
          <w:rFonts w:ascii="宋体" w:hAnsi="宋体" w:eastAsia="宋体" w:cs="Times New Roman"/>
          <w:szCs w:val="21"/>
        </w:rPr>
        <w:t>以“四有”好老师的标准要求自己，进一步巩固专业思想</w:t>
      </w:r>
      <w:r>
        <w:rPr>
          <w:rFonts w:hint="eastAsia" w:ascii="宋体" w:hAnsi="宋体" w:eastAsia="宋体" w:cs="Times New Roman"/>
          <w:szCs w:val="21"/>
        </w:rPr>
        <w:t>，</w:t>
      </w:r>
      <w:r>
        <w:rPr>
          <w:rFonts w:ascii="宋体" w:hAnsi="宋体" w:eastAsia="宋体" w:cs="Times New Roman"/>
          <w:szCs w:val="21"/>
        </w:rPr>
        <w:t>体会数学的严谨性，养成严谨治学的态度</w:t>
      </w:r>
      <w:r>
        <w:rPr>
          <w:rFonts w:hint="eastAsia" w:ascii="宋体" w:hAnsi="宋体" w:eastAsia="宋体" w:cs="Times New Roman"/>
          <w:szCs w:val="21"/>
        </w:rPr>
        <w:t>，</w:t>
      </w:r>
      <w:r>
        <w:rPr>
          <w:rFonts w:ascii="宋体" w:hAnsi="宋体" w:eastAsia="宋体" w:cs="Times New Roman"/>
          <w:szCs w:val="21"/>
        </w:rPr>
        <w:t>掌握科学、严谨的学习方法</w:t>
      </w:r>
      <w:r>
        <w:rPr>
          <w:rFonts w:hint="eastAsia" w:ascii="宋体" w:hAnsi="宋体" w:eastAsia="宋体" w:cs="Times New Roman"/>
          <w:szCs w:val="21"/>
        </w:rPr>
        <w:t>，</w:t>
      </w:r>
      <w:r>
        <w:rPr>
          <w:rFonts w:ascii="宋体" w:hAnsi="宋体" w:eastAsia="宋体" w:cs="Times New Roman"/>
          <w:szCs w:val="21"/>
        </w:rPr>
        <w:t>强化学习意识，注重创新精神和实践能力的提升</w:t>
      </w:r>
      <w:r>
        <w:rPr>
          <w:rFonts w:hint="eastAsia" w:ascii="宋体" w:hAnsi="宋体" w:eastAsia="宋体" w:cs="Times New Roman"/>
          <w:szCs w:val="21"/>
        </w:rPr>
        <w:t>，</w:t>
      </w:r>
      <w:r>
        <w:rPr>
          <w:rFonts w:ascii="宋体" w:hAnsi="宋体" w:eastAsia="宋体" w:cs="Times New Roman"/>
          <w:szCs w:val="21"/>
        </w:rPr>
        <w:t>树立全面的评价理念</w:t>
      </w:r>
      <w:r>
        <w:rPr>
          <w:rFonts w:hint="eastAsia" w:ascii="宋体" w:hAnsi="宋体" w:eastAsia="宋体" w:cs="Times New Roman"/>
          <w:szCs w:val="21"/>
        </w:rPr>
        <w:t>，</w:t>
      </w:r>
      <w:r>
        <w:rPr>
          <w:rFonts w:ascii="宋体" w:hAnsi="宋体" w:eastAsia="宋体" w:cs="Times New Roman"/>
          <w:szCs w:val="21"/>
        </w:rPr>
        <w:t>增强团队合作的意识，争做“四有”好老师。</w:t>
      </w:r>
    </w:p>
    <w:p w14:paraId="0B23F64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957"/>
        <w:gridCol w:w="1091"/>
        <w:gridCol w:w="3250"/>
        <w:gridCol w:w="1370"/>
        <w:gridCol w:w="442"/>
      </w:tblGrid>
      <w:tr w14:paraId="3DBB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7DAC0271">
            <w:pPr>
              <w:jc w:val="center"/>
              <w:rPr>
                <w:rFonts w:hint="eastAsia" w:ascii="宋体" w:hAnsi="宋体" w:eastAsia="宋体" w:cs="Times New Roman"/>
                <w:b/>
                <w:szCs w:val="21"/>
              </w:rPr>
            </w:pPr>
            <w:r>
              <w:rPr>
                <w:rFonts w:hint="eastAsia" w:ascii="宋体" w:hAnsi="宋体" w:eastAsia="宋体" w:cs="Times New Roman"/>
                <w:b/>
                <w:szCs w:val="21"/>
              </w:rPr>
              <w:t>知识</w:t>
            </w:r>
          </w:p>
          <w:p w14:paraId="4AE6A488">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957" w:type="dxa"/>
            <w:vAlign w:val="center"/>
          </w:tcPr>
          <w:p w14:paraId="0D42DC70">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091" w:type="dxa"/>
            <w:vAlign w:val="center"/>
          </w:tcPr>
          <w:p w14:paraId="590F5ECC">
            <w:pPr>
              <w:jc w:val="center"/>
              <w:rPr>
                <w:rFonts w:hint="eastAsia" w:ascii="宋体" w:hAnsi="宋体" w:eastAsia="宋体" w:cs="Times New Roman"/>
                <w:b/>
                <w:szCs w:val="21"/>
              </w:rPr>
            </w:pPr>
            <w:r>
              <w:rPr>
                <w:rFonts w:hint="eastAsia" w:ascii="宋体" w:hAnsi="宋体" w:eastAsia="宋体" w:cs="Times New Roman"/>
                <w:b/>
                <w:szCs w:val="21"/>
              </w:rPr>
              <w:t>对应</w:t>
            </w:r>
          </w:p>
          <w:p w14:paraId="3DB49519">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50" w:type="dxa"/>
            <w:vAlign w:val="center"/>
          </w:tcPr>
          <w:p w14:paraId="53C8A384">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370" w:type="dxa"/>
            <w:vAlign w:val="center"/>
          </w:tcPr>
          <w:p w14:paraId="5335EB13">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42" w:type="dxa"/>
            <w:vAlign w:val="center"/>
          </w:tcPr>
          <w:p w14:paraId="568815DD">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3FB9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5FA6810A">
            <w:pPr>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rPr>
              <w:t xml:space="preserve"> </w:t>
            </w:r>
            <w:r>
              <w:rPr>
                <w:rFonts w:hint="eastAsia" w:ascii="宋体" w:hAnsi="宋体" w:eastAsia="宋体" w:cs="Times New Roman"/>
                <w:szCs w:val="21"/>
              </w:rPr>
              <w:t>课堂观察与模拟教学概述</w:t>
            </w:r>
          </w:p>
        </w:tc>
        <w:tc>
          <w:tcPr>
            <w:tcW w:w="1957" w:type="dxa"/>
            <w:vAlign w:val="center"/>
          </w:tcPr>
          <w:p w14:paraId="11B13F77">
            <w:pPr>
              <w:jc w:val="left"/>
              <w:rPr>
                <w:rFonts w:hint="eastAsia" w:ascii="宋体" w:hAnsi="宋体" w:eastAsia="宋体" w:cs="Times New Roman"/>
                <w:szCs w:val="21"/>
              </w:rPr>
            </w:pPr>
            <w:r>
              <w:rPr>
                <w:rFonts w:hint="eastAsia" w:ascii="宋体" w:hAnsi="宋体" w:eastAsia="宋体" w:cs="Times New Roman"/>
                <w:szCs w:val="21"/>
              </w:rPr>
              <w:t>⑴课堂观察与模拟教学的内涵</w:t>
            </w:r>
          </w:p>
          <w:p w14:paraId="57DC821C">
            <w:pPr>
              <w:jc w:val="left"/>
              <w:rPr>
                <w:rFonts w:hint="eastAsia" w:ascii="宋体" w:hAnsi="宋体" w:eastAsia="宋体" w:cs="Times New Roman"/>
                <w:szCs w:val="21"/>
              </w:rPr>
            </w:pPr>
            <w:r>
              <w:rPr>
                <w:rFonts w:hint="eastAsia" w:ascii="宋体" w:hAnsi="宋体" w:eastAsia="宋体" w:cs="Times New Roman"/>
                <w:szCs w:val="21"/>
              </w:rPr>
              <w:t>⑵课堂观察与模拟教学的意义</w:t>
            </w:r>
          </w:p>
          <w:p w14:paraId="417849C2">
            <w:pPr>
              <w:jc w:val="left"/>
              <w:rPr>
                <w:rFonts w:hint="eastAsia" w:ascii="宋体" w:hAnsi="宋体" w:eastAsia="宋体" w:cs="Times New Roman"/>
                <w:szCs w:val="21"/>
              </w:rPr>
            </w:pPr>
            <w:r>
              <w:rPr>
                <w:rFonts w:hint="eastAsia" w:ascii="宋体" w:hAnsi="宋体" w:eastAsia="宋体" w:cs="Times New Roman"/>
                <w:szCs w:val="21"/>
              </w:rPr>
              <w:t>⑶课堂观察与模拟教学的任务</w:t>
            </w:r>
          </w:p>
        </w:tc>
        <w:tc>
          <w:tcPr>
            <w:tcW w:w="1091" w:type="dxa"/>
            <w:vAlign w:val="center"/>
          </w:tcPr>
          <w:p w14:paraId="3EB26C4C">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50" w:type="dxa"/>
            <w:vAlign w:val="center"/>
          </w:tcPr>
          <w:p w14:paraId="5DF16AC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1）理解课堂观察与模拟教学的内涵</w:t>
            </w:r>
          </w:p>
          <w:p w14:paraId="11999BC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2）明确课堂观察与模拟教学的意义</w:t>
            </w:r>
          </w:p>
          <w:p w14:paraId="4CFABC9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3）了解课堂观察的任务</w:t>
            </w:r>
          </w:p>
        </w:tc>
        <w:tc>
          <w:tcPr>
            <w:tcW w:w="1370" w:type="dxa"/>
            <w:vAlign w:val="center"/>
          </w:tcPr>
          <w:p w14:paraId="4A220B1B">
            <w:pPr>
              <w:jc w:val="left"/>
              <w:rPr>
                <w:rFonts w:hint="eastAsia" w:ascii="宋体" w:hAnsi="宋体" w:eastAsia="宋体" w:cs="Times New Roman"/>
                <w:szCs w:val="21"/>
              </w:rPr>
            </w:pPr>
            <w:r>
              <w:rPr>
                <w:rFonts w:hint="eastAsia" w:ascii="宋体" w:hAnsi="宋体" w:eastAsia="宋体" w:cs="Times New Roman"/>
                <w:szCs w:val="21"/>
              </w:rPr>
              <w:t>1.理论讲解</w:t>
            </w:r>
          </w:p>
          <w:p w14:paraId="1710D644">
            <w:pPr>
              <w:jc w:val="left"/>
              <w:rPr>
                <w:rFonts w:hint="eastAsia" w:ascii="宋体" w:hAnsi="宋体" w:eastAsia="宋体" w:cs="Times New Roman"/>
                <w:szCs w:val="21"/>
              </w:rPr>
            </w:pPr>
            <w:r>
              <w:rPr>
                <w:rFonts w:hint="eastAsia" w:ascii="宋体" w:hAnsi="宋体" w:eastAsia="宋体" w:cs="Times New Roman"/>
                <w:szCs w:val="21"/>
              </w:rPr>
              <w:t>2.课堂讨论</w:t>
            </w:r>
          </w:p>
          <w:p w14:paraId="7BF89ECE">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42" w:type="dxa"/>
            <w:vAlign w:val="center"/>
          </w:tcPr>
          <w:p w14:paraId="0BF13635">
            <w:pPr>
              <w:jc w:val="center"/>
              <w:rPr>
                <w:rFonts w:hint="eastAsia" w:ascii="宋体" w:hAnsi="宋体" w:eastAsia="宋体" w:cs="Times New Roman"/>
                <w:szCs w:val="21"/>
              </w:rPr>
            </w:pPr>
            <w:r>
              <w:rPr>
                <w:rFonts w:ascii="宋体" w:hAnsi="宋体" w:eastAsia="宋体" w:cs="Times New Roman"/>
                <w:szCs w:val="21"/>
              </w:rPr>
              <w:t>2</w:t>
            </w:r>
          </w:p>
        </w:tc>
      </w:tr>
      <w:tr w14:paraId="6C3A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206" w:type="dxa"/>
            <w:vMerge w:val="continue"/>
            <w:vAlign w:val="center"/>
          </w:tcPr>
          <w:p w14:paraId="403F1D3F">
            <w:pPr>
              <w:jc w:val="center"/>
              <w:rPr>
                <w:rFonts w:hint="eastAsia" w:ascii="宋体" w:hAnsi="宋体" w:eastAsia="宋体" w:cs="Times New Roman"/>
                <w:szCs w:val="21"/>
              </w:rPr>
            </w:pPr>
          </w:p>
        </w:tc>
        <w:tc>
          <w:tcPr>
            <w:tcW w:w="8110" w:type="dxa"/>
            <w:gridSpan w:val="5"/>
            <w:vAlign w:val="center"/>
          </w:tcPr>
          <w:p w14:paraId="5051C68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体会数学的严谨性，养成严谨治学的态度</w:t>
            </w:r>
            <w:r>
              <w:rPr>
                <w:rFonts w:hint="eastAsia" w:ascii="宋体" w:hAnsi="宋体" w:eastAsia="宋体" w:cs="Times New Roman"/>
                <w:szCs w:val="21"/>
              </w:rPr>
              <w:t>，</w:t>
            </w:r>
            <w:r>
              <w:rPr>
                <w:rFonts w:ascii="宋体" w:hAnsi="宋体" w:eastAsia="宋体" w:cs="Times New Roman"/>
                <w:szCs w:val="21"/>
              </w:rPr>
              <w:t>争做“四有”好老师。</w:t>
            </w:r>
          </w:p>
        </w:tc>
      </w:tr>
      <w:tr w14:paraId="77CF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1206" w:type="dxa"/>
            <w:vMerge w:val="restart"/>
            <w:vAlign w:val="center"/>
          </w:tcPr>
          <w:p w14:paraId="18C14F29">
            <w:pPr>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rPr>
              <w:t xml:space="preserve"> </w:t>
            </w:r>
            <w:r>
              <w:rPr>
                <w:rFonts w:hint="eastAsia" w:ascii="宋体" w:hAnsi="宋体" w:eastAsia="宋体" w:cs="Times New Roman"/>
                <w:szCs w:val="21"/>
              </w:rPr>
              <w:t>课堂观察的类型与方法</w:t>
            </w:r>
          </w:p>
        </w:tc>
        <w:tc>
          <w:tcPr>
            <w:tcW w:w="1957" w:type="dxa"/>
            <w:vAlign w:val="center"/>
          </w:tcPr>
          <w:p w14:paraId="4B068A9F">
            <w:pPr>
              <w:jc w:val="left"/>
              <w:rPr>
                <w:rFonts w:hint="eastAsia" w:ascii="宋体" w:hAnsi="宋体" w:eastAsia="宋体" w:cs="Times New Roman"/>
                <w:szCs w:val="21"/>
              </w:rPr>
            </w:pPr>
            <w:r>
              <w:rPr>
                <w:rFonts w:hint="eastAsia" w:ascii="宋体" w:hAnsi="宋体" w:eastAsia="宋体" w:cs="Times New Roman"/>
                <w:szCs w:val="21"/>
              </w:rPr>
              <w:t>⑴课堂观察的类型</w:t>
            </w:r>
          </w:p>
          <w:p w14:paraId="5500CE7A">
            <w:pPr>
              <w:jc w:val="left"/>
              <w:rPr>
                <w:rFonts w:hint="eastAsia" w:ascii="宋体" w:hAnsi="宋体" w:eastAsia="宋体" w:cs="Times New Roman"/>
                <w:szCs w:val="21"/>
              </w:rPr>
            </w:pPr>
            <w:r>
              <w:rPr>
                <w:rFonts w:hint="eastAsia" w:ascii="宋体" w:hAnsi="宋体" w:eastAsia="宋体" w:cs="Times New Roman"/>
                <w:szCs w:val="21"/>
              </w:rPr>
              <w:t>⑵课堂观察的方法</w:t>
            </w:r>
          </w:p>
        </w:tc>
        <w:tc>
          <w:tcPr>
            <w:tcW w:w="1091" w:type="dxa"/>
            <w:vAlign w:val="center"/>
          </w:tcPr>
          <w:p w14:paraId="1AFDFA8F">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3250" w:type="dxa"/>
            <w:vAlign w:val="center"/>
          </w:tcPr>
          <w:p w14:paraId="1C820A6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1）了解课堂观察的基本类型及特点</w:t>
            </w:r>
          </w:p>
          <w:p w14:paraId="43D6E69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2）掌握常用的课堂观察方法</w:t>
            </w:r>
          </w:p>
        </w:tc>
        <w:tc>
          <w:tcPr>
            <w:tcW w:w="1370" w:type="dxa"/>
            <w:vAlign w:val="center"/>
          </w:tcPr>
          <w:p w14:paraId="265822E4">
            <w:pPr>
              <w:jc w:val="left"/>
              <w:rPr>
                <w:rFonts w:hint="eastAsia" w:ascii="宋体" w:hAnsi="宋体" w:eastAsia="宋体" w:cs="Times New Roman"/>
                <w:szCs w:val="21"/>
              </w:rPr>
            </w:pPr>
            <w:r>
              <w:rPr>
                <w:rFonts w:hint="eastAsia" w:ascii="宋体" w:hAnsi="宋体" w:eastAsia="宋体" w:cs="Times New Roman"/>
                <w:szCs w:val="21"/>
              </w:rPr>
              <w:t>1.理论讲解</w:t>
            </w:r>
          </w:p>
          <w:p w14:paraId="1E3F52FB">
            <w:pPr>
              <w:jc w:val="left"/>
              <w:rPr>
                <w:rFonts w:hint="eastAsia" w:ascii="宋体" w:hAnsi="宋体" w:eastAsia="宋体" w:cs="Times New Roman"/>
                <w:szCs w:val="21"/>
              </w:rPr>
            </w:pPr>
            <w:r>
              <w:rPr>
                <w:rFonts w:hint="eastAsia" w:ascii="宋体" w:hAnsi="宋体" w:eastAsia="宋体" w:cs="Times New Roman"/>
                <w:szCs w:val="21"/>
              </w:rPr>
              <w:t>2.课堂讨论</w:t>
            </w:r>
          </w:p>
          <w:p w14:paraId="7E5F2BF7">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42" w:type="dxa"/>
            <w:vAlign w:val="center"/>
          </w:tcPr>
          <w:p w14:paraId="24269932">
            <w:pPr>
              <w:jc w:val="center"/>
              <w:rPr>
                <w:rFonts w:hint="eastAsia" w:ascii="宋体" w:hAnsi="宋体" w:eastAsia="宋体" w:cs="Times New Roman"/>
                <w:szCs w:val="21"/>
              </w:rPr>
            </w:pPr>
            <w:r>
              <w:rPr>
                <w:rFonts w:ascii="宋体" w:hAnsi="宋体" w:eastAsia="宋体" w:cs="Times New Roman"/>
                <w:szCs w:val="21"/>
              </w:rPr>
              <w:t>2</w:t>
            </w:r>
          </w:p>
        </w:tc>
      </w:tr>
      <w:tr w14:paraId="126C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06" w:type="dxa"/>
            <w:vMerge w:val="continue"/>
            <w:vAlign w:val="center"/>
          </w:tcPr>
          <w:p w14:paraId="7A07079B">
            <w:pPr>
              <w:jc w:val="center"/>
              <w:rPr>
                <w:rFonts w:hint="eastAsia" w:ascii="宋体" w:hAnsi="宋体" w:eastAsia="宋体" w:cs="Times New Roman"/>
                <w:szCs w:val="21"/>
              </w:rPr>
            </w:pPr>
          </w:p>
        </w:tc>
        <w:tc>
          <w:tcPr>
            <w:tcW w:w="8110" w:type="dxa"/>
            <w:gridSpan w:val="5"/>
            <w:vAlign w:val="center"/>
          </w:tcPr>
          <w:p w14:paraId="7ABBD1CC">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1）掌握科学、严谨的学习方法。</w:t>
            </w: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养成</w:t>
            </w:r>
            <w:r>
              <w:rPr>
                <w:rFonts w:ascii="宋体" w:hAnsi="宋体" w:eastAsia="宋体" w:cs="Times New Roman"/>
                <w:szCs w:val="21"/>
              </w:rPr>
              <w:t>学习他人先进理念和教学经验的意识。</w:t>
            </w:r>
          </w:p>
        </w:tc>
      </w:tr>
      <w:tr w14:paraId="00C5E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64F00DBE">
            <w:pPr>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rPr>
              <w:t xml:space="preserve"> </w:t>
            </w:r>
            <w:r>
              <w:rPr>
                <w:rFonts w:hint="eastAsia" w:ascii="宋体" w:hAnsi="宋体" w:eastAsia="宋体" w:cs="Times New Roman"/>
                <w:szCs w:val="21"/>
              </w:rPr>
              <w:t>课堂观察的实施</w:t>
            </w:r>
          </w:p>
        </w:tc>
        <w:tc>
          <w:tcPr>
            <w:tcW w:w="1957" w:type="dxa"/>
            <w:vAlign w:val="center"/>
          </w:tcPr>
          <w:p w14:paraId="684C1A2C">
            <w:pPr>
              <w:jc w:val="left"/>
              <w:rPr>
                <w:rFonts w:hint="eastAsia" w:ascii="宋体" w:hAnsi="宋体" w:eastAsia="宋体" w:cs="Times New Roman"/>
                <w:szCs w:val="21"/>
              </w:rPr>
            </w:pPr>
            <w:r>
              <w:rPr>
                <w:rFonts w:hint="eastAsia" w:ascii="宋体" w:hAnsi="宋体" w:eastAsia="宋体" w:cs="Times New Roman"/>
                <w:szCs w:val="21"/>
              </w:rPr>
              <w:t>⑴课堂观察的准备</w:t>
            </w:r>
          </w:p>
          <w:p w14:paraId="4A94F641">
            <w:pPr>
              <w:jc w:val="left"/>
              <w:rPr>
                <w:rFonts w:hint="eastAsia" w:ascii="宋体" w:hAnsi="宋体" w:eastAsia="宋体" w:cs="Times New Roman"/>
                <w:szCs w:val="21"/>
              </w:rPr>
            </w:pPr>
            <w:r>
              <w:rPr>
                <w:rFonts w:hint="eastAsia" w:ascii="宋体" w:hAnsi="宋体" w:eastAsia="宋体" w:cs="Times New Roman"/>
                <w:szCs w:val="21"/>
              </w:rPr>
              <w:t>⑵课堂观察的具体实施</w:t>
            </w:r>
          </w:p>
          <w:p w14:paraId="4FB80782">
            <w:pPr>
              <w:jc w:val="left"/>
              <w:rPr>
                <w:rFonts w:hint="eastAsia" w:ascii="宋体" w:hAnsi="宋体" w:eastAsia="宋体" w:cs="Times New Roman"/>
                <w:szCs w:val="21"/>
              </w:rPr>
            </w:pPr>
            <w:r>
              <w:rPr>
                <w:rFonts w:hint="eastAsia" w:ascii="宋体" w:hAnsi="宋体" w:eastAsia="宋体" w:cs="Times New Roman"/>
                <w:szCs w:val="21"/>
              </w:rPr>
              <w:t>⑶课堂观察报告的撰写</w:t>
            </w:r>
          </w:p>
        </w:tc>
        <w:tc>
          <w:tcPr>
            <w:tcW w:w="1091" w:type="dxa"/>
            <w:vAlign w:val="center"/>
          </w:tcPr>
          <w:p w14:paraId="6204F5A5">
            <w:pPr>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w:t>
            </w:r>
            <w:r>
              <w:rPr>
                <w:rFonts w:hint="eastAsia" w:ascii="宋体" w:hAnsi="宋体" w:eastAsia="宋体" w:cs="Times New Roman"/>
                <w:szCs w:val="21"/>
              </w:rPr>
              <w:t>、3</w:t>
            </w:r>
          </w:p>
        </w:tc>
        <w:tc>
          <w:tcPr>
            <w:tcW w:w="3250" w:type="dxa"/>
            <w:vAlign w:val="center"/>
          </w:tcPr>
          <w:p w14:paraId="73509899">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1）知道如何做好课堂观察的准备</w:t>
            </w:r>
          </w:p>
          <w:p w14:paraId="75FB27B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2）能够运用科学的方法开展课堂观察</w:t>
            </w:r>
          </w:p>
          <w:p w14:paraId="3F301E6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3）能够撰写较为全面课堂观察报告</w:t>
            </w:r>
          </w:p>
        </w:tc>
        <w:tc>
          <w:tcPr>
            <w:tcW w:w="1370" w:type="dxa"/>
            <w:vAlign w:val="center"/>
          </w:tcPr>
          <w:p w14:paraId="340B3DCB">
            <w:pPr>
              <w:jc w:val="left"/>
              <w:rPr>
                <w:rFonts w:hint="eastAsia" w:ascii="宋体" w:hAnsi="宋体" w:eastAsia="宋体" w:cs="Times New Roman"/>
                <w:szCs w:val="21"/>
              </w:rPr>
            </w:pPr>
            <w:r>
              <w:rPr>
                <w:rFonts w:hint="eastAsia" w:ascii="宋体" w:hAnsi="宋体" w:eastAsia="宋体" w:cs="Times New Roman"/>
                <w:szCs w:val="21"/>
              </w:rPr>
              <w:t>1.理论讲解</w:t>
            </w:r>
          </w:p>
          <w:p w14:paraId="2E4E6F90">
            <w:pPr>
              <w:jc w:val="left"/>
              <w:rPr>
                <w:rFonts w:hint="eastAsia" w:ascii="宋体" w:hAnsi="宋体" w:eastAsia="宋体" w:cs="Times New Roman"/>
                <w:szCs w:val="21"/>
              </w:rPr>
            </w:pPr>
            <w:r>
              <w:rPr>
                <w:rFonts w:hint="eastAsia" w:ascii="宋体" w:hAnsi="宋体" w:eastAsia="宋体" w:cs="Times New Roman"/>
                <w:szCs w:val="21"/>
              </w:rPr>
              <w:t>2.课堂讨论</w:t>
            </w:r>
          </w:p>
          <w:p w14:paraId="121AA07C">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.观察实践</w:t>
            </w:r>
          </w:p>
          <w:p w14:paraId="228B7F3A">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自主学习</w:t>
            </w:r>
          </w:p>
        </w:tc>
        <w:tc>
          <w:tcPr>
            <w:tcW w:w="442" w:type="dxa"/>
            <w:vAlign w:val="center"/>
          </w:tcPr>
          <w:p w14:paraId="5C9CA72A">
            <w:pPr>
              <w:jc w:val="center"/>
              <w:rPr>
                <w:rFonts w:hint="eastAsia" w:ascii="宋体" w:hAnsi="宋体" w:eastAsia="宋体" w:cs="Times New Roman"/>
                <w:szCs w:val="21"/>
              </w:rPr>
            </w:pPr>
            <w:r>
              <w:rPr>
                <w:rFonts w:ascii="宋体" w:hAnsi="宋体" w:eastAsia="宋体" w:cs="Times New Roman"/>
                <w:szCs w:val="21"/>
              </w:rPr>
              <w:t>12</w:t>
            </w:r>
          </w:p>
        </w:tc>
      </w:tr>
      <w:tr w14:paraId="7B4B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4253E3A8">
            <w:pPr>
              <w:jc w:val="center"/>
              <w:rPr>
                <w:rFonts w:hint="eastAsia" w:ascii="宋体" w:hAnsi="宋体" w:eastAsia="宋体" w:cs="Times New Roman"/>
                <w:szCs w:val="21"/>
              </w:rPr>
            </w:pPr>
          </w:p>
        </w:tc>
        <w:tc>
          <w:tcPr>
            <w:tcW w:w="8110" w:type="dxa"/>
            <w:gridSpan w:val="5"/>
            <w:vAlign w:val="center"/>
          </w:tcPr>
          <w:p w14:paraId="275176E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1）学习优秀教师的教学经验和专业情怀。</w:t>
            </w:r>
            <w:r>
              <w:rPr>
                <w:rFonts w:hint="eastAsia" w:ascii="宋体" w:hAnsi="宋体" w:eastAsia="宋体" w:cs="Times New Roman"/>
                <w:szCs w:val="21"/>
              </w:rPr>
              <w:t>（</w:t>
            </w:r>
            <w:r>
              <w:rPr>
                <w:rFonts w:ascii="宋体" w:hAnsi="宋体" w:eastAsia="宋体" w:cs="Times New Roman"/>
                <w:szCs w:val="21"/>
              </w:rPr>
              <w:t>2）养成踏实、严谨的学习习惯。</w:t>
            </w:r>
          </w:p>
        </w:tc>
      </w:tr>
      <w:tr w14:paraId="7AF5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15425859">
            <w:pPr>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rPr>
              <w:t xml:space="preserve"> </w:t>
            </w:r>
            <w:r>
              <w:rPr>
                <w:rFonts w:hint="eastAsia" w:ascii="宋体" w:hAnsi="宋体" w:eastAsia="宋体" w:cs="Times New Roman"/>
                <w:szCs w:val="21"/>
              </w:rPr>
              <w:t>模拟教学的原则</w:t>
            </w:r>
          </w:p>
        </w:tc>
        <w:tc>
          <w:tcPr>
            <w:tcW w:w="1957" w:type="dxa"/>
            <w:vAlign w:val="center"/>
          </w:tcPr>
          <w:p w14:paraId="2D440F72">
            <w:pPr>
              <w:jc w:val="left"/>
              <w:rPr>
                <w:rFonts w:hint="eastAsia" w:ascii="宋体" w:hAnsi="宋体" w:eastAsia="宋体" w:cs="Times New Roman"/>
                <w:szCs w:val="21"/>
              </w:rPr>
            </w:pPr>
            <w:r>
              <w:rPr>
                <w:rFonts w:hint="eastAsia" w:ascii="宋体" w:hAnsi="宋体" w:eastAsia="宋体" w:cs="Times New Roman"/>
                <w:szCs w:val="21"/>
              </w:rPr>
              <w:t>⑴影响模拟教学的主要因素</w:t>
            </w:r>
          </w:p>
          <w:p w14:paraId="27115C56">
            <w:pPr>
              <w:jc w:val="left"/>
              <w:rPr>
                <w:rFonts w:hint="eastAsia" w:ascii="宋体" w:hAnsi="宋体" w:eastAsia="宋体" w:cs="Times New Roman"/>
                <w:szCs w:val="21"/>
              </w:rPr>
            </w:pPr>
            <w:r>
              <w:rPr>
                <w:rFonts w:hint="eastAsia" w:ascii="宋体" w:hAnsi="宋体" w:eastAsia="宋体" w:cs="Times New Roman"/>
                <w:szCs w:val="21"/>
              </w:rPr>
              <w:t>⑵模拟教学的一般原则</w:t>
            </w:r>
          </w:p>
        </w:tc>
        <w:tc>
          <w:tcPr>
            <w:tcW w:w="1091" w:type="dxa"/>
            <w:vAlign w:val="center"/>
          </w:tcPr>
          <w:p w14:paraId="60101380">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3250" w:type="dxa"/>
            <w:vAlign w:val="center"/>
          </w:tcPr>
          <w:p w14:paraId="63C9018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1）了解影响模拟教学的主要因素</w:t>
            </w:r>
          </w:p>
          <w:p w14:paraId="314D2ED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2）理解模拟教学应遵循的一般原则</w:t>
            </w:r>
          </w:p>
          <w:p w14:paraId="790B369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3）明确模拟教学的基本要求</w:t>
            </w:r>
          </w:p>
        </w:tc>
        <w:tc>
          <w:tcPr>
            <w:tcW w:w="1370" w:type="dxa"/>
            <w:vAlign w:val="center"/>
          </w:tcPr>
          <w:p w14:paraId="3E3B0192">
            <w:pPr>
              <w:jc w:val="left"/>
              <w:rPr>
                <w:rFonts w:hint="eastAsia" w:ascii="宋体" w:hAnsi="宋体" w:eastAsia="宋体" w:cs="Times New Roman"/>
                <w:szCs w:val="21"/>
              </w:rPr>
            </w:pPr>
            <w:r>
              <w:rPr>
                <w:rFonts w:hint="eastAsia" w:ascii="宋体" w:hAnsi="宋体" w:eastAsia="宋体" w:cs="Times New Roman"/>
                <w:szCs w:val="21"/>
              </w:rPr>
              <w:t>1.理论讲解</w:t>
            </w:r>
          </w:p>
          <w:p w14:paraId="78B82477">
            <w:pPr>
              <w:jc w:val="left"/>
              <w:rPr>
                <w:rFonts w:hint="eastAsia" w:ascii="宋体" w:hAnsi="宋体" w:eastAsia="宋体" w:cs="Times New Roman"/>
                <w:szCs w:val="21"/>
              </w:rPr>
            </w:pPr>
            <w:r>
              <w:rPr>
                <w:rFonts w:hint="eastAsia" w:ascii="宋体" w:hAnsi="宋体" w:eastAsia="宋体" w:cs="Times New Roman"/>
                <w:szCs w:val="21"/>
              </w:rPr>
              <w:t>2.课堂讨论</w:t>
            </w:r>
          </w:p>
          <w:p w14:paraId="4B5BCEAF">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.模拟教学</w:t>
            </w:r>
          </w:p>
          <w:p w14:paraId="1C14E751">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自主学习</w:t>
            </w:r>
          </w:p>
        </w:tc>
        <w:tc>
          <w:tcPr>
            <w:tcW w:w="442" w:type="dxa"/>
            <w:vAlign w:val="center"/>
          </w:tcPr>
          <w:p w14:paraId="68FADCCC">
            <w:pPr>
              <w:jc w:val="center"/>
              <w:rPr>
                <w:rFonts w:hint="eastAsia" w:ascii="宋体" w:hAnsi="宋体" w:eastAsia="宋体" w:cs="Times New Roman"/>
                <w:szCs w:val="21"/>
              </w:rPr>
            </w:pPr>
            <w:r>
              <w:rPr>
                <w:rFonts w:ascii="宋体" w:hAnsi="宋体" w:eastAsia="宋体" w:cs="Times New Roman"/>
                <w:szCs w:val="21"/>
              </w:rPr>
              <w:t>2</w:t>
            </w:r>
          </w:p>
        </w:tc>
      </w:tr>
      <w:tr w14:paraId="5CFE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36F5D4FE">
            <w:pPr>
              <w:jc w:val="center"/>
              <w:rPr>
                <w:rFonts w:hint="eastAsia" w:ascii="宋体" w:hAnsi="宋体" w:eastAsia="宋体" w:cs="Times New Roman"/>
                <w:szCs w:val="21"/>
              </w:rPr>
            </w:pPr>
          </w:p>
        </w:tc>
        <w:tc>
          <w:tcPr>
            <w:tcW w:w="8110" w:type="dxa"/>
            <w:gridSpan w:val="5"/>
            <w:vAlign w:val="center"/>
          </w:tcPr>
          <w:p w14:paraId="0FF8F5E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1）强化学习意识，注重创新精神和实践能力的提升。</w:t>
            </w:r>
            <w:r>
              <w:rPr>
                <w:rFonts w:hint="eastAsia" w:ascii="宋体" w:hAnsi="宋体" w:eastAsia="宋体" w:cs="Times New Roman"/>
                <w:szCs w:val="21"/>
              </w:rPr>
              <w:t>（</w:t>
            </w:r>
            <w:r>
              <w:rPr>
                <w:rFonts w:ascii="宋体" w:hAnsi="宋体" w:eastAsia="宋体" w:cs="Times New Roman"/>
                <w:szCs w:val="21"/>
              </w:rPr>
              <w:t>2）提高专业学习的严谨性。</w:t>
            </w:r>
          </w:p>
        </w:tc>
      </w:tr>
      <w:tr w14:paraId="7E97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1206" w:type="dxa"/>
            <w:vMerge w:val="restart"/>
            <w:vAlign w:val="center"/>
          </w:tcPr>
          <w:p w14:paraId="2D50EF46">
            <w:pPr>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w:t>
            </w:r>
            <w:r>
              <w:rPr>
                <w:rFonts w:hint="eastAsia"/>
              </w:rPr>
              <w:t xml:space="preserve"> </w:t>
            </w:r>
            <w:r>
              <w:rPr>
                <w:rFonts w:hint="eastAsia" w:ascii="宋体" w:hAnsi="宋体" w:eastAsia="宋体" w:cs="Times New Roman"/>
                <w:szCs w:val="21"/>
              </w:rPr>
              <w:t>模拟教学的流程</w:t>
            </w:r>
          </w:p>
        </w:tc>
        <w:tc>
          <w:tcPr>
            <w:tcW w:w="1957" w:type="dxa"/>
            <w:vAlign w:val="center"/>
          </w:tcPr>
          <w:p w14:paraId="14F81F42">
            <w:pPr>
              <w:jc w:val="left"/>
              <w:rPr>
                <w:rFonts w:hint="eastAsia" w:ascii="宋体" w:hAnsi="宋体" w:eastAsia="宋体" w:cs="Times New Roman"/>
                <w:szCs w:val="21"/>
              </w:rPr>
            </w:pPr>
            <w:r>
              <w:rPr>
                <w:rFonts w:hint="eastAsia" w:ascii="宋体" w:hAnsi="宋体" w:eastAsia="宋体" w:cs="Times New Roman"/>
                <w:szCs w:val="21"/>
              </w:rPr>
              <w:t>⑴模拟教学的一般流程</w:t>
            </w:r>
          </w:p>
          <w:p w14:paraId="0DD3DDC1">
            <w:pPr>
              <w:jc w:val="left"/>
              <w:rPr>
                <w:rFonts w:hint="eastAsia" w:ascii="宋体" w:hAnsi="宋体" w:eastAsia="宋体" w:cs="Times New Roman"/>
                <w:szCs w:val="21"/>
              </w:rPr>
            </w:pPr>
            <w:r>
              <w:rPr>
                <w:rFonts w:hint="eastAsia" w:ascii="宋体" w:hAnsi="宋体" w:eastAsia="宋体" w:cs="Times New Roman"/>
                <w:szCs w:val="21"/>
              </w:rPr>
              <w:t>⑵模拟教学案例分析</w:t>
            </w:r>
          </w:p>
        </w:tc>
        <w:tc>
          <w:tcPr>
            <w:tcW w:w="1091" w:type="dxa"/>
            <w:vAlign w:val="center"/>
          </w:tcPr>
          <w:p w14:paraId="13EEE020">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3250" w:type="dxa"/>
            <w:vAlign w:val="center"/>
          </w:tcPr>
          <w:p w14:paraId="4E18E92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1）了解模拟教学的一般流程</w:t>
            </w:r>
          </w:p>
          <w:p w14:paraId="2CB4E8C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2）知道如何进行有效的模拟教学</w:t>
            </w:r>
          </w:p>
          <w:p w14:paraId="335357A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3）能较好地进行模拟教学</w:t>
            </w:r>
          </w:p>
        </w:tc>
        <w:tc>
          <w:tcPr>
            <w:tcW w:w="1370" w:type="dxa"/>
            <w:vAlign w:val="center"/>
          </w:tcPr>
          <w:p w14:paraId="1F55E248">
            <w:pPr>
              <w:jc w:val="left"/>
              <w:rPr>
                <w:rFonts w:hint="eastAsia" w:ascii="宋体" w:hAnsi="宋体" w:eastAsia="宋体" w:cs="Times New Roman"/>
                <w:szCs w:val="21"/>
              </w:rPr>
            </w:pPr>
            <w:r>
              <w:rPr>
                <w:rFonts w:hint="eastAsia" w:ascii="宋体" w:hAnsi="宋体" w:eastAsia="宋体" w:cs="Times New Roman"/>
                <w:szCs w:val="21"/>
              </w:rPr>
              <w:t>1.理论讲解</w:t>
            </w:r>
          </w:p>
          <w:p w14:paraId="3CD6A45F">
            <w:pPr>
              <w:jc w:val="left"/>
              <w:rPr>
                <w:rFonts w:hint="eastAsia" w:ascii="宋体" w:hAnsi="宋体" w:eastAsia="宋体" w:cs="Times New Roman"/>
                <w:szCs w:val="21"/>
              </w:rPr>
            </w:pPr>
            <w:r>
              <w:rPr>
                <w:rFonts w:hint="eastAsia" w:ascii="宋体" w:hAnsi="宋体" w:eastAsia="宋体" w:cs="Times New Roman"/>
                <w:szCs w:val="21"/>
              </w:rPr>
              <w:t>2.课堂讨论</w:t>
            </w:r>
          </w:p>
          <w:p w14:paraId="116C9D8B">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.模拟教学</w:t>
            </w:r>
          </w:p>
          <w:p w14:paraId="0EE4867C">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自主学习</w:t>
            </w:r>
          </w:p>
        </w:tc>
        <w:tc>
          <w:tcPr>
            <w:tcW w:w="442" w:type="dxa"/>
            <w:vAlign w:val="center"/>
          </w:tcPr>
          <w:p w14:paraId="7008043B">
            <w:pPr>
              <w:jc w:val="center"/>
              <w:rPr>
                <w:rFonts w:hint="eastAsia" w:ascii="宋体" w:hAnsi="宋体" w:eastAsia="宋体" w:cs="Times New Roman"/>
                <w:szCs w:val="21"/>
              </w:rPr>
            </w:pPr>
            <w:r>
              <w:rPr>
                <w:rFonts w:ascii="宋体" w:hAnsi="宋体" w:eastAsia="宋体" w:cs="Times New Roman"/>
                <w:szCs w:val="21"/>
              </w:rPr>
              <w:t>2</w:t>
            </w:r>
          </w:p>
        </w:tc>
      </w:tr>
      <w:tr w14:paraId="1A07B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0D65BC28">
            <w:pPr>
              <w:jc w:val="center"/>
              <w:rPr>
                <w:rFonts w:hint="eastAsia" w:ascii="宋体" w:hAnsi="宋体" w:eastAsia="宋体" w:cs="Times New Roman"/>
                <w:szCs w:val="21"/>
              </w:rPr>
            </w:pPr>
          </w:p>
        </w:tc>
        <w:tc>
          <w:tcPr>
            <w:tcW w:w="8110" w:type="dxa"/>
            <w:gridSpan w:val="5"/>
            <w:vAlign w:val="center"/>
          </w:tcPr>
          <w:p w14:paraId="12EFF14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1）增强团队合作意识与沟通表达能力。</w:t>
            </w:r>
            <w:r>
              <w:rPr>
                <w:rFonts w:hint="eastAsia" w:ascii="宋体" w:hAnsi="宋体" w:eastAsia="宋体" w:cs="Times New Roman"/>
                <w:szCs w:val="21"/>
              </w:rPr>
              <w:t>（</w:t>
            </w:r>
            <w:r>
              <w:rPr>
                <w:rFonts w:ascii="宋体" w:hAnsi="宋体" w:eastAsia="宋体" w:cs="Times New Roman"/>
                <w:szCs w:val="21"/>
              </w:rPr>
              <w:t>2）养成虚心学习和不断进取的意识。</w:t>
            </w:r>
          </w:p>
        </w:tc>
      </w:tr>
      <w:tr w14:paraId="227A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1206" w:type="dxa"/>
            <w:vMerge w:val="restart"/>
            <w:vAlign w:val="center"/>
          </w:tcPr>
          <w:p w14:paraId="35862508">
            <w:pPr>
              <w:jc w:val="center"/>
              <w:rPr>
                <w:rFonts w:hint="eastAsia" w:ascii="宋体" w:hAnsi="宋体" w:eastAsia="宋体" w:cs="Times New Roman"/>
                <w:szCs w:val="21"/>
              </w:rPr>
            </w:pPr>
            <w:r>
              <w:rPr>
                <w:rFonts w:ascii="宋体" w:hAnsi="宋体" w:eastAsia="宋体" w:cs="Times New Roman"/>
                <w:szCs w:val="21"/>
              </w:rPr>
              <w:t>6.</w:t>
            </w:r>
            <w:r>
              <w:rPr>
                <w:rFonts w:hint="eastAsia"/>
              </w:rPr>
              <w:t xml:space="preserve"> 模拟教学的训练与指导</w:t>
            </w:r>
          </w:p>
        </w:tc>
        <w:tc>
          <w:tcPr>
            <w:tcW w:w="1957" w:type="dxa"/>
            <w:vAlign w:val="center"/>
          </w:tcPr>
          <w:p w14:paraId="76477F2A">
            <w:pPr>
              <w:jc w:val="left"/>
              <w:rPr>
                <w:rFonts w:hint="eastAsia" w:ascii="宋体" w:hAnsi="宋体" w:eastAsia="宋体" w:cs="Times New Roman"/>
                <w:szCs w:val="21"/>
              </w:rPr>
            </w:pPr>
            <w:r>
              <w:rPr>
                <w:rFonts w:hint="eastAsia" w:ascii="宋体" w:hAnsi="宋体" w:eastAsia="宋体" w:cs="Times New Roman"/>
                <w:szCs w:val="21"/>
              </w:rPr>
              <w:t>⑴模拟教学训练</w:t>
            </w:r>
          </w:p>
          <w:p w14:paraId="2FE6779A">
            <w:pPr>
              <w:jc w:val="left"/>
              <w:rPr>
                <w:rFonts w:hint="eastAsia" w:ascii="宋体" w:hAnsi="宋体" w:eastAsia="宋体" w:cs="Times New Roman"/>
                <w:szCs w:val="21"/>
              </w:rPr>
            </w:pPr>
            <w:r>
              <w:rPr>
                <w:rFonts w:hint="eastAsia" w:ascii="宋体" w:hAnsi="宋体" w:eastAsia="宋体" w:cs="Times New Roman"/>
                <w:szCs w:val="21"/>
              </w:rPr>
              <w:t>⑵模拟教学指导</w:t>
            </w:r>
          </w:p>
        </w:tc>
        <w:tc>
          <w:tcPr>
            <w:tcW w:w="1091" w:type="dxa"/>
            <w:vAlign w:val="center"/>
          </w:tcPr>
          <w:p w14:paraId="378726D6">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3250" w:type="dxa"/>
            <w:vAlign w:val="center"/>
          </w:tcPr>
          <w:p w14:paraId="56E9BC0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1）能够在理论的指导下开展经常性的模拟教学训练</w:t>
            </w:r>
          </w:p>
          <w:p w14:paraId="5FE0368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2）较为熟练地掌握模拟教学的技能</w:t>
            </w:r>
          </w:p>
          <w:p w14:paraId="3798EA4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3）能虚心听取老师和同学们的建议</w:t>
            </w:r>
          </w:p>
        </w:tc>
        <w:tc>
          <w:tcPr>
            <w:tcW w:w="1370" w:type="dxa"/>
            <w:vAlign w:val="center"/>
          </w:tcPr>
          <w:p w14:paraId="005F9A35">
            <w:pPr>
              <w:jc w:val="left"/>
              <w:rPr>
                <w:rFonts w:hint="eastAsia" w:ascii="宋体" w:hAnsi="宋体" w:eastAsia="宋体" w:cs="Times New Roman"/>
                <w:szCs w:val="21"/>
              </w:rPr>
            </w:pPr>
            <w:r>
              <w:rPr>
                <w:rFonts w:hint="eastAsia" w:ascii="宋体" w:hAnsi="宋体" w:eastAsia="宋体" w:cs="Times New Roman"/>
                <w:szCs w:val="21"/>
              </w:rPr>
              <w:t>1.理论讲解</w:t>
            </w:r>
          </w:p>
          <w:p w14:paraId="6EAB8784">
            <w:pPr>
              <w:jc w:val="left"/>
              <w:rPr>
                <w:rFonts w:hint="eastAsia" w:ascii="宋体" w:hAnsi="宋体" w:eastAsia="宋体" w:cs="Times New Roman"/>
                <w:szCs w:val="21"/>
              </w:rPr>
            </w:pPr>
            <w:r>
              <w:rPr>
                <w:rFonts w:hint="eastAsia" w:ascii="宋体" w:hAnsi="宋体" w:eastAsia="宋体" w:cs="Times New Roman"/>
                <w:szCs w:val="21"/>
              </w:rPr>
              <w:t>2.课堂讨论</w:t>
            </w:r>
          </w:p>
          <w:p w14:paraId="457ACFDC">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.模拟教学</w:t>
            </w:r>
          </w:p>
          <w:p w14:paraId="13850B5C">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自主学习</w:t>
            </w:r>
          </w:p>
        </w:tc>
        <w:tc>
          <w:tcPr>
            <w:tcW w:w="442" w:type="dxa"/>
            <w:vAlign w:val="center"/>
          </w:tcPr>
          <w:p w14:paraId="72117321">
            <w:pPr>
              <w:jc w:val="center"/>
              <w:rPr>
                <w:rFonts w:hint="eastAsia" w:ascii="宋体" w:hAnsi="宋体" w:eastAsia="宋体" w:cs="Times New Roman"/>
                <w:szCs w:val="21"/>
              </w:rPr>
            </w:pPr>
            <w:r>
              <w:rPr>
                <w:rFonts w:ascii="宋体" w:hAnsi="宋体" w:eastAsia="宋体" w:cs="Times New Roman"/>
                <w:szCs w:val="21"/>
              </w:rPr>
              <w:t>10</w:t>
            </w:r>
          </w:p>
        </w:tc>
      </w:tr>
      <w:tr w14:paraId="2FF7F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56733D53">
            <w:pPr>
              <w:jc w:val="center"/>
              <w:rPr>
                <w:rFonts w:hint="eastAsia" w:ascii="宋体" w:hAnsi="宋体" w:eastAsia="宋体" w:cs="Times New Roman"/>
                <w:szCs w:val="21"/>
              </w:rPr>
            </w:pPr>
          </w:p>
        </w:tc>
        <w:tc>
          <w:tcPr>
            <w:tcW w:w="8110" w:type="dxa"/>
            <w:gridSpan w:val="5"/>
            <w:vAlign w:val="center"/>
          </w:tcPr>
          <w:p w14:paraId="1E048F3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1）增强团队合作意识。</w:t>
            </w:r>
            <w:r>
              <w:rPr>
                <w:rFonts w:hint="eastAsia" w:ascii="宋体" w:hAnsi="宋体" w:eastAsia="宋体" w:cs="Times New Roman"/>
                <w:szCs w:val="21"/>
              </w:rPr>
              <w:t>（</w:t>
            </w:r>
            <w:r>
              <w:rPr>
                <w:rFonts w:ascii="宋体" w:hAnsi="宋体" w:eastAsia="宋体" w:cs="Times New Roman"/>
                <w:szCs w:val="21"/>
              </w:rPr>
              <w:t>2）养成坚持不懈的意志品质，进一步巩固专业思想。</w:t>
            </w:r>
          </w:p>
        </w:tc>
      </w:tr>
      <w:tr w14:paraId="31EF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1206" w:type="dxa"/>
            <w:vMerge w:val="restart"/>
            <w:vAlign w:val="center"/>
          </w:tcPr>
          <w:p w14:paraId="576C4D15">
            <w:pPr>
              <w:jc w:val="center"/>
              <w:rPr>
                <w:rFonts w:hint="eastAsia" w:ascii="宋体" w:hAnsi="宋体" w:eastAsia="宋体" w:cs="Times New Roman"/>
                <w:szCs w:val="21"/>
              </w:rPr>
            </w:pPr>
            <w:r>
              <w:rPr>
                <w:rFonts w:ascii="宋体" w:hAnsi="宋体" w:eastAsia="宋体" w:cs="Times New Roman"/>
                <w:szCs w:val="21"/>
              </w:rPr>
              <w:t>7.</w:t>
            </w:r>
            <w:r>
              <w:rPr>
                <w:rFonts w:hint="eastAsia"/>
              </w:rPr>
              <w:t xml:space="preserve"> </w:t>
            </w:r>
            <w:r>
              <w:rPr>
                <w:rFonts w:hint="eastAsia" w:ascii="宋体" w:hAnsi="宋体" w:eastAsia="宋体" w:cs="Times New Roman"/>
                <w:szCs w:val="21"/>
              </w:rPr>
              <w:t>模拟教学的评价</w:t>
            </w:r>
          </w:p>
        </w:tc>
        <w:tc>
          <w:tcPr>
            <w:tcW w:w="1957" w:type="dxa"/>
            <w:vAlign w:val="center"/>
          </w:tcPr>
          <w:p w14:paraId="70D60700">
            <w:pPr>
              <w:jc w:val="left"/>
              <w:rPr>
                <w:rFonts w:hint="eastAsia" w:ascii="宋体" w:hAnsi="宋体" w:eastAsia="宋体" w:cs="Times New Roman"/>
                <w:szCs w:val="21"/>
              </w:rPr>
            </w:pPr>
            <w:r>
              <w:rPr>
                <w:rFonts w:hint="eastAsia" w:ascii="宋体" w:hAnsi="宋体" w:eastAsia="宋体" w:cs="Times New Roman"/>
                <w:szCs w:val="21"/>
              </w:rPr>
              <w:t>⑴模拟教学的评价标准</w:t>
            </w:r>
          </w:p>
          <w:p w14:paraId="5DD78C2D">
            <w:pPr>
              <w:jc w:val="left"/>
              <w:rPr>
                <w:rFonts w:hint="eastAsia" w:ascii="宋体" w:hAnsi="宋体" w:eastAsia="宋体" w:cs="Times New Roman"/>
                <w:szCs w:val="21"/>
              </w:rPr>
            </w:pPr>
            <w:r>
              <w:rPr>
                <w:rFonts w:hint="eastAsia" w:ascii="宋体" w:hAnsi="宋体" w:eastAsia="宋体" w:cs="Times New Roman"/>
                <w:szCs w:val="21"/>
              </w:rPr>
              <w:t>⑵模拟教学的评价方法</w:t>
            </w:r>
          </w:p>
        </w:tc>
        <w:tc>
          <w:tcPr>
            <w:tcW w:w="1091" w:type="dxa"/>
            <w:vAlign w:val="center"/>
          </w:tcPr>
          <w:p w14:paraId="312979E2">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3250" w:type="dxa"/>
            <w:vAlign w:val="center"/>
          </w:tcPr>
          <w:p w14:paraId="1F359D4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1）明确模拟教学的评价标准</w:t>
            </w:r>
          </w:p>
          <w:p w14:paraId="66DFA64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2）知道如何开展模拟教学评价</w:t>
            </w:r>
          </w:p>
          <w:p w14:paraId="2CF9CFF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3）能在全面评价的基础上进一步改进模拟教学</w:t>
            </w:r>
          </w:p>
        </w:tc>
        <w:tc>
          <w:tcPr>
            <w:tcW w:w="1370" w:type="dxa"/>
            <w:vAlign w:val="center"/>
          </w:tcPr>
          <w:p w14:paraId="06AB69EF">
            <w:pPr>
              <w:jc w:val="left"/>
              <w:rPr>
                <w:rFonts w:hint="eastAsia" w:ascii="宋体" w:hAnsi="宋体" w:eastAsia="宋体" w:cs="Times New Roman"/>
                <w:szCs w:val="21"/>
              </w:rPr>
            </w:pPr>
            <w:r>
              <w:rPr>
                <w:rFonts w:hint="eastAsia" w:ascii="宋体" w:hAnsi="宋体" w:eastAsia="宋体" w:cs="Times New Roman"/>
                <w:szCs w:val="21"/>
              </w:rPr>
              <w:t>1.理论讲解</w:t>
            </w:r>
          </w:p>
          <w:p w14:paraId="790BA254">
            <w:pPr>
              <w:jc w:val="left"/>
              <w:rPr>
                <w:rFonts w:hint="eastAsia" w:ascii="宋体" w:hAnsi="宋体" w:eastAsia="宋体" w:cs="Times New Roman"/>
                <w:szCs w:val="21"/>
              </w:rPr>
            </w:pPr>
            <w:r>
              <w:rPr>
                <w:rFonts w:hint="eastAsia" w:ascii="宋体" w:hAnsi="宋体" w:eastAsia="宋体" w:cs="Times New Roman"/>
                <w:szCs w:val="21"/>
              </w:rPr>
              <w:t>2.课堂讨论</w:t>
            </w:r>
          </w:p>
          <w:p w14:paraId="4E5F6CAC">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.模拟教学</w:t>
            </w:r>
          </w:p>
          <w:p w14:paraId="3DD8DB93">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自主学习</w:t>
            </w:r>
          </w:p>
        </w:tc>
        <w:tc>
          <w:tcPr>
            <w:tcW w:w="442" w:type="dxa"/>
            <w:vAlign w:val="center"/>
          </w:tcPr>
          <w:p w14:paraId="436C6F1E">
            <w:pPr>
              <w:jc w:val="center"/>
              <w:rPr>
                <w:rFonts w:hint="eastAsia" w:ascii="宋体" w:hAnsi="宋体" w:eastAsia="宋体" w:cs="Times New Roman"/>
                <w:szCs w:val="21"/>
              </w:rPr>
            </w:pPr>
            <w:r>
              <w:rPr>
                <w:rFonts w:ascii="宋体" w:hAnsi="宋体" w:eastAsia="宋体" w:cs="Times New Roman"/>
                <w:szCs w:val="21"/>
              </w:rPr>
              <w:t>2</w:t>
            </w:r>
          </w:p>
        </w:tc>
      </w:tr>
      <w:tr w14:paraId="60584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06" w:type="dxa"/>
            <w:vMerge w:val="continue"/>
            <w:vAlign w:val="center"/>
          </w:tcPr>
          <w:p w14:paraId="52F83F31">
            <w:pPr>
              <w:jc w:val="center"/>
              <w:rPr>
                <w:rFonts w:hint="eastAsia" w:ascii="宋体" w:hAnsi="宋体" w:eastAsia="宋体" w:cs="Times New Roman"/>
                <w:szCs w:val="21"/>
              </w:rPr>
            </w:pPr>
          </w:p>
        </w:tc>
        <w:tc>
          <w:tcPr>
            <w:tcW w:w="8110" w:type="dxa"/>
            <w:gridSpan w:val="5"/>
            <w:vAlign w:val="center"/>
          </w:tcPr>
          <w:p w14:paraId="189D29C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1）树立全面的评价理念。</w:t>
            </w:r>
            <w:r>
              <w:rPr>
                <w:rFonts w:hint="eastAsia" w:ascii="宋体" w:hAnsi="宋体" w:eastAsia="宋体" w:cs="Times New Roman"/>
                <w:szCs w:val="21"/>
              </w:rPr>
              <w:t>（</w:t>
            </w:r>
            <w:r>
              <w:rPr>
                <w:rFonts w:ascii="宋体" w:hAnsi="宋体" w:eastAsia="宋体" w:cs="Times New Roman"/>
                <w:szCs w:val="21"/>
              </w:rPr>
              <w:t>2）增强团队合作的意识。</w:t>
            </w:r>
          </w:p>
        </w:tc>
      </w:tr>
    </w:tbl>
    <w:p w14:paraId="35537ACF">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5E9B1BFB">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F8D62A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519B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6E0E347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31FEF7D2">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1D75F740">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5DF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478470B6">
            <w:pPr>
              <w:spacing w:line="360" w:lineRule="auto"/>
              <w:jc w:val="center"/>
              <w:rPr>
                <w:rFonts w:hint="eastAsia" w:ascii="宋体" w:hAnsi="宋体" w:eastAsia="宋体" w:cs="Times New Roman"/>
                <w:szCs w:val="21"/>
              </w:rPr>
            </w:pPr>
          </w:p>
        </w:tc>
        <w:tc>
          <w:tcPr>
            <w:tcW w:w="0" w:type="auto"/>
            <w:vAlign w:val="center"/>
          </w:tcPr>
          <w:p w14:paraId="3EE4CA0A">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w:t>
            </w:r>
            <w:r>
              <w:rPr>
                <w:rFonts w:ascii="宋体" w:hAnsi="宋体" w:eastAsia="宋体" w:cs="Times New Roman"/>
                <w:szCs w:val="21"/>
              </w:rPr>
              <w:t>+考勤</w:t>
            </w:r>
          </w:p>
        </w:tc>
        <w:tc>
          <w:tcPr>
            <w:tcW w:w="0" w:type="auto"/>
            <w:vAlign w:val="center"/>
          </w:tcPr>
          <w:p w14:paraId="6A27A5E4">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0E1407E1">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0" w:type="auto"/>
            <w:vAlign w:val="center"/>
          </w:tcPr>
          <w:p w14:paraId="317EF35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6E4B3290">
            <w:pPr>
              <w:spacing w:line="360" w:lineRule="auto"/>
              <w:jc w:val="center"/>
              <w:rPr>
                <w:rFonts w:hint="eastAsia" w:ascii="宋体" w:hAnsi="宋体" w:eastAsia="宋体" w:cs="Times New Roman"/>
                <w:szCs w:val="21"/>
              </w:rPr>
            </w:pPr>
          </w:p>
        </w:tc>
      </w:tr>
      <w:tr w14:paraId="605E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04041B0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2C8E5A7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C30C55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6108DF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422853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B5D2B9B">
            <w:pPr>
              <w:spacing w:line="360" w:lineRule="auto"/>
              <w:jc w:val="center"/>
              <w:rPr>
                <w:rFonts w:hint="eastAsia" w:ascii="宋体" w:hAnsi="宋体" w:eastAsia="宋体" w:cs="Times New Roman"/>
                <w:szCs w:val="21"/>
              </w:rPr>
            </w:pPr>
            <w:r>
              <w:rPr>
                <w:rFonts w:ascii="宋体" w:hAnsi="宋体" w:eastAsia="宋体" w:cs="Times New Roman"/>
                <w:szCs w:val="21"/>
              </w:rPr>
              <w:t>25</w:t>
            </w:r>
          </w:p>
        </w:tc>
      </w:tr>
      <w:tr w14:paraId="12C3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2884F31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0F6E620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8B40BA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E30B0D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CFDA69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9EBB674">
            <w:pPr>
              <w:spacing w:line="360" w:lineRule="auto"/>
              <w:jc w:val="center"/>
              <w:rPr>
                <w:rFonts w:hint="eastAsia" w:ascii="宋体" w:hAnsi="宋体" w:eastAsia="宋体" w:cs="Times New Roman"/>
                <w:szCs w:val="21"/>
              </w:rPr>
            </w:pPr>
            <w:r>
              <w:rPr>
                <w:rFonts w:ascii="宋体" w:hAnsi="宋体" w:eastAsia="宋体" w:cs="Times New Roman"/>
                <w:szCs w:val="21"/>
              </w:rPr>
              <w:t>50</w:t>
            </w:r>
          </w:p>
        </w:tc>
      </w:tr>
      <w:tr w14:paraId="0DD7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7105A2C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04390F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B1CAB7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5EBEC3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6D21AB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557369E">
            <w:pPr>
              <w:spacing w:line="360" w:lineRule="auto"/>
              <w:jc w:val="center"/>
              <w:rPr>
                <w:rFonts w:hint="eastAsia" w:ascii="宋体" w:hAnsi="宋体" w:eastAsia="宋体" w:cs="Times New Roman"/>
                <w:szCs w:val="21"/>
              </w:rPr>
            </w:pPr>
            <w:r>
              <w:rPr>
                <w:rFonts w:ascii="宋体" w:hAnsi="宋体" w:eastAsia="宋体" w:cs="Times New Roman"/>
                <w:szCs w:val="21"/>
              </w:rPr>
              <w:t>25</w:t>
            </w:r>
          </w:p>
        </w:tc>
      </w:tr>
      <w:tr w14:paraId="6417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13D8CE86">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7F779636">
            <w:pPr>
              <w:spacing w:line="360" w:lineRule="auto"/>
              <w:jc w:val="center"/>
              <w:rPr>
                <w:rFonts w:hint="eastAsia" w:ascii="宋体" w:hAnsi="宋体" w:eastAsia="宋体" w:cs="Times New Roman"/>
                <w:szCs w:val="21"/>
              </w:rPr>
            </w:pPr>
            <w:r>
              <w:rPr>
                <w:rFonts w:ascii="宋体" w:hAnsi="宋体" w:eastAsia="宋体" w:cs="Times New Roman"/>
                <w:szCs w:val="21"/>
              </w:rPr>
              <w:t>20</w:t>
            </w:r>
          </w:p>
        </w:tc>
        <w:tc>
          <w:tcPr>
            <w:tcW w:w="0" w:type="auto"/>
            <w:vAlign w:val="center"/>
          </w:tcPr>
          <w:p w14:paraId="29CA83EA">
            <w:pPr>
              <w:spacing w:line="36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p>
        </w:tc>
        <w:tc>
          <w:tcPr>
            <w:tcW w:w="0" w:type="auto"/>
            <w:vAlign w:val="center"/>
          </w:tcPr>
          <w:p w14:paraId="593369DE">
            <w:pPr>
              <w:spacing w:line="360" w:lineRule="auto"/>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0" w:type="auto"/>
            <w:vAlign w:val="center"/>
          </w:tcPr>
          <w:p w14:paraId="24715CE4">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c>
          <w:tcPr>
            <w:tcW w:w="0" w:type="auto"/>
            <w:vAlign w:val="center"/>
          </w:tcPr>
          <w:p w14:paraId="2C05583E">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33269C7">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010E4D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6774"/>
        <w:gridCol w:w="706"/>
      </w:tblGrid>
      <w:tr w14:paraId="46B0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4327D50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774" w:type="dxa"/>
            <w:vAlign w:val="center"/>
          </w:tcPr>
          <w:p w14:paraId="6A23A3D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450469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9ED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0EAD4607">
            <w:pPr>
              <w:jc w:val="center"/>
              <w:rPr>
                <w:rFonts w:ascii="Times New Roman" w:hAnsi="Times New Roman" w:eastAsia="宋体" w:cs="Times New Roman"/>
                <w:szCs w:val="21"/>
              </w:rPr>
            </w:pPr>
            <w:r>
              <w:rPr>
                <w:rFonts w:hint="eastAsia" w:ascii="Times New Roman" w:hAnsi="Times New Roman" w:eastAsia="宋体" w:cs="Times New Roman"/>
                <w:szCs w:val="21"/>
              </w:rPr>
              <w:t>作业</w:t>
            </w:r>
            <w:r>
              <w:rPr>
                <w:rFonts w:ascii="Times New Roman" w:hAnsi="Times New Roman" w:eastAsia="宋体" w:cs="Times New Roman"/>
                <w:szCs w:val="21"/>
              </w:rPr>
              <w:t>+考勤</w:t>
            </w:r>
          </w:p>
        </w:tc>
        <w:tc>
          <w:tcPr>
            <w:tcW w:w="6774" w:type="dxa"/>
            <w:vAlign w:val="center"/>
          </w:tcPr>
          <w:p w14:paraId="28643CE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平时作业共3次，平时总评</w:t>
            </w:r>
            <w:r>
              <w:rPr>
                <w:rFonts w:ascii="Times New Roman" w:hAnsi="Times New Roman" w:eastAsia="宋体" w:cs="Times New Roman"/>
                <w:szCs w:val="21"/>
              </w:rPr>
              <w:t>=作业平均—考勤扣分，旷课1次扣5分，事假一次扣2分，迟到1次扣1分，病假不扣分（但病假次数达本学期总授课学时的1/3以上者不得参加考核）。</w:t>
            </w:r>
          </w:p>
        </w:tc>
        <w:tc>
          <w:tcPr>
            <w:tcW w:w="0" w:type="auto"/>
            <w:vAlign w:val="center"/>
          </w:tcPr>
          <w:p w14:paraId="28824DC1">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14B9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1E87620D">
            <w:pPr>
              <w:jc w:val="cente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774" w:type="dxa"/>
            <w:vAlign w:val="center"/>
          </w:tcPr>
          <w:p w14:paraId="4AC94E36">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课堂表现。</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按照对应的课程目标及权重给予评定</w:t>
            </w:r>
            <w:r>
              <w:rPr>
                <w:rFonts w:hint="eastAsia" w:ascii="宋体" w:hAnsi="宋体" w:eastAsia="宋体" w:cs="宋体"/>
                <w:kern w:val="0"/>
                <w:szCs w:val="21"/>
                <w:lang w:bidi="ar"/>
              </w:rPr>
              <w:t>。</w:t>
            </w:r>
          </w:p>
        </w:tc>
        <w:tc>
          <w:tcPr>
            <w:tcW w:w="0" w:type="auto"/>
            <w:vAlign w:val="center"/>
          </w:tcPr>
          <w:p w14:paraId="27CA3E0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644B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3D0AEA84">
            <w:pPr>
              <w:jc w:val="cente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6774" w:type="dxa"/>
            <w:vAlign w:val="center"/>
          </w:tcPr>
          <w:p w14:paraId="66D38F56">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认真完成</w:t>
            </w:r>
            <w:r>
              <w:rPr>
                <w:rFonts w:ascii="宋体" w:hAnsi="宋体" w:eastAsia="宋体" w:cs="宋体"/>
                <w:kern w:val="0"/>
                <w:szCs w:val="21"/>
                <w:lang w:bidi="ar"/>
              </w:rPr>
              <w:t>5个项目的课内实践，</w:t>
            </w:r>
            <w:r>
              <w:rPr>
                <w:rFonts w:hint="eastAsia" w:ascii="宋体" w:hAnsi="宋体" w:eastAsia="宋体" w:cs="宋体"/>
                <w:kern w:val="0"/>
                <w:szCs w:val="21"/>
                <w:lang w:bidi="ar"/>
              </w:rPr>
              <w:t>在充分观摩学习的基础上</w:t>
            </w:r>
            <w:r>
              <w:rPr>
                <w:rFonts w:ascii="宋体" w:hAnsi="宋体" w:eastAsia="宋体" w:cs="宋体"/>
                <w:kern w:val="0"/>
                <w:szCs w:val="21"/>
                <w:lang w:bidi="ar"/>
              </w:rPr>
              <w:t>，</w:t>
            </w:r>
            <w:r>
              <w:rPr>
                <w:rFonts w:hint="eastAsia" w:ascii="宋体" w:hAnsi="宋体" w:eastAsia="宋体" w:cs="宋体"/>
                <w:kern w:val="0"/>
                <w:szCs w:val="21"/>
                <w:lang w:bidi="ar"/>
              </w:rPr>
              <w:t>开展全面的课堂观察和持续的模拟教学训练</w:t>
            </w:r>
            <w:r>
              <w:rPr>
                <w:rFonts w:ascii="宋体" w:hAnsi="宋体" w:eastAsia="宋体" w:cs="宋体"/>
                <w:kern w:val="0"/>
                <w:szCs w:val="21"/>
                <w:lang w:bidi="ar"/>
              </w:rPr>
              <w:t>。</w:t>
            </w:r>
            <w:r>
              <w:rPr>
                <w:rFonts w:hint="eastAsia" w:ascii="宋体" w:hAnsi="宋体" w:eastAsia="宋体" w:cs="宋体"/>
                <w:kern w:val="0"/>
                <w:szCs w:val="21"/>
                <w:lang w:bidi="ar"/>
              </w:rPr>
              <w:t>实行组内互评与教师评价相结合的方式。</w:t>
            </w:r>
            <w:r>
              <w:rPr>
                <w:rFonts w:ascii="宋体" w:hAnsi="宋体" w:eastAsia="宋体" w:cs="宋体"/>
                <w:kern w:val="0"/>
                <w:szCs w:val="21"/>
                <w:lang w:bidi="ar"/>
              </w:rPr>
              <w:t>4个项目成绩取平均分作为课内实践分。</w:t>
            </w:r>
          </w:p>
        </w:tc>
        <w:tc>
          <w:tcPr>
            <w:tcW w:w="0" w:type="auto"/>
            <w:vAlign w:val="center"/>
          </w:tcPr>
          <w:p w14:paraId="5D2EB7B9">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46E9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14:paraId="30357F36">
            <w:pPr>
              <w:jc w:val="cente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774" w:type="dxa"/>
            <w:vAlign w:val="center"/>
          </w:tcPr>
          <w:p w14:paraId="0F5E08B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利用教育实习的机会，完成一份课堂观察报告；选择一个小学数学教学内容，提交一份小学数学模拟教学视频</w:t>
            </w:r>
            <w:r>
              <w:rPr>
                <w:rFonts w:ascii="Times New Roman" w:hAnsi="Times New Roman" w:eastAsia="宋体" w:cs="Times New Roman"/>
                <w:szCs w:val="21"/>
              </w:rPr>
              <w:t>。</w:t>
            </w:r>
          </w:p>
        </w:tc>
        <w:tc>
          <w:tcPr>
            <w:tcW w:w="0" w:type="auto"/>
            <w:vAlign w:val="center"/>
          </w:tcPr>
          <w:p w14:paraId="2580527B">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DB6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16" w:type="dxa"/>
            <w:vAlign w:val="center"/>
          </w:tcPr>
          <w:p w14:paraId="75A0DA0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774" w:type="dxa"/>
            <w:vAlign w:val="center"/>
          </w:tcPr>
          <w:p w14:paraId="36DA0049">
            <w:pPr>
              <w:jc w:val="left"/>
              <w:rPr>
                <w:rFonts w:ascii="Times New Roman" w:hAnsi="Times New Roman" w:eastAsia="宋体" w:cs="Times New Roman"/>
                <w:szCs w:val="21"/>
              </w:rPr>
            </w:pPr>
          </w:p>
        </w:tc>
        <w:tc>
          <w:tcPr>
            <w:tcW w:w="0" w:type="auto"/>
            <w:vAlign w:val="center"/>
          </w:tcPr>
          <w:p w14:paraId="6449C92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067BCDB">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56C50C3A">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072F1D9">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51"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51" DrawAspect="Content" ObjectID="_1468075751" r:id="rId39">
            <o:LockedField>false</o:LockedField>
          </o:OLEObject>
        </w:object>
      </w:r>
      <w:r>
        <w:rPr>
          <w:rFonts w:hint="eastAsia" w:ascii="Times New Roman" w:hAnsi="Times New Roman" w:eastAsia="宋体" w:cs="Times New Roman"/>
          <w:b/>
          <w:sz w:val="24"/>
        </w:rPr>
        <w:t>五、课内实践</w:t>
      </w:r>
    </w:p>
    <w:p w14:paraId="34B4F770">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本课程在理论教学的基础上，安排了4个课内实践项目（共</w:t>
      </w:r>
      <w:r>
        <w:rPr>
          <w:rFonts w:ascii="宋体" w:hAnsi="宋体" w:eastAsia="宋体"/>
          <w:szCs w:val="21"/>
        </w:rPr>
        <w:t>16</w:t>
      </w:r>
      <w:r>
        <w:rPr>
          <w:rFonts w:hint="eastAsia" w:ascii="宋体" w:hAnsi="宋体" w:eastAsia="宋体"/>
          <w:szCs w:val="21"/>
        </w:rPr>
        <w:t>学时），体现了理论与实践的结合，强化对学生的课程思政。</w:t>
      </w:r>
    </w:p>
    <w:p w14:paraId="1D8542DB">
      <w:pPr>
        <w:spacing w:after="156" w:afterLines="50" w:line="360" w:lineRule="auto"/>
        <w:ind w:firstLine="420" w:firstLineChars="200"/>
        <w:rPr>
          <w:rFonts w:hint="eastAsia" w:ascii="宋体" w:hAnsi="宋体" w:eastAsia="宋体"/>
          <w:szCs w:val="21"/>
        </w:rPr>
      </w:pPr>
    </w:p>
    <w:p w14:paraId="1C6283C2">
      <w:pPr>
        <w:spacing w:after="156" w:afterLines="50" w:line="360" w:lineRule="auto"/>
        <w:ind w:firstLine="420" w:firstLineChars="200"/>
        <w:rPr>
          <w:rFonts w:hint="eastAsia" w:ascii="宋体" w:hAnsi="宋体" w:eastAsia="宋体"/>
          <w:szCs w:val="21"/>
        </w:rPr>
      </w:pPr>
    </w:p>
    <w:tbl>
      <w:tblPr>
        <w:tblStyle w:val="1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3475"/>
        <w:gridCol w:w="1200"/>
        <w:gridCol w:w="2520"/>
      </w:tblGrid>
      <w:tr w14:paraId="6C21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324" w:type="dxa"/>
            <w:vAlign w:val="center"/>
          </w:tcPr>
          <w:p w14:paraId="0A6565CC">
            <w:pPr>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75" w:type="dxa"/>
            <w:vAlign w:val="center"/>
          </w:tcPr>
          <w:p w14:paraId="6EFEFF0D">
            <w:pPr>
              <w:jc w:val="center"/>
              <w:rPr>
                <w:rFonts w:hint="eastAsia" w:ascii="宋体" w:hAnsi="宋体" w:eastAsia="宋体" w:cs="宋体"/>
                <w:b/>
                <w:bCs/>
                <w:szCs w:val="21"/>
              </w:rPr>
            </w:pPr>
            <w:r>
              <w:rPr>
                <w:rFonts w:hint="eastAsia" w:ascii="宋体" w:hAnsi="宋体" w:eastAsia="宋体" w:cs="宋体"/>
                <w:b/>
                <w:bCs/>
                <w:szCs w:val="21"/>
              </w:rPr>
              <w:t>活动内容</w:t>
            </w:r>
          </w:p>
        </w:tc>
        <w:tc>
          <w:tcPr>
            <w:tcW w:w="1200" w:type="dxa"/>
            <w:vAlign w:val="center"/>
          </w:tcPr>
          <w:p w14:paraId="478B7B8D">
            <w:pPr>
              <w:jc w:val="center"/>
              <w:rPr>
                <w:rFonts w:hint="eastAsia" w:ascii="宋体" w:hAnsi="宋体" w:eastAsia="宋体" w:cs="宋体"/>
                <w:b/>
                <w:bCs/>
                <w:szCs w:val="21"/>
              </w:rPr>
            </w:pPr>
            <w:r>
              <w:rPr>
                <w:rFonts w:hint="eastAsia" w:ascii="宋体" w:hAnsi="宋体" w:eastAsia="宋体" w:cs="宋体"/>
                <w:b/>
                <w:bCs/>
                <w:szCs w:val="21"/>
              </w:rPr>
              <w:t>活动方式</w:t>
            </w:r>
          </w:p>
        </w:tc>
        <w:tc>
          <w:tcPr>
            <w:tcW w:w="2520" w:type="dxa"/>
            <w:vAlign w:val="center"/>
          </w:tcPr>
          <w:p w14:paraId="4D0FA45E">
            <w:pPr>
              <w:jc w:val="center"/>
              <w:rPr>
                <w:rFonts w:hint="eastAsia" w:ascii="宋体" w:hAnsi="宋体" w:eastAsia="宋体" w:cs="宋体"/>
                <w:b/>
                <w:bCs/>
                <w:szCs w:val="21"/>
              </w:rPr>
            </w:pPr>
            <w:r>
              <w:rPr>
                <w:rFonts w:hint="eastAsia" w:ascii="宋体" w:hAnsi="宋体" w:eastAsia="宋体" w:cs="宋体"/>
                <w:b/>
                <w:bCs/>
                <w:szCs w:val="21"/>
              </w:rPr>
              <w:t>思政目标</w:t>
            </w:r>
          </w:p>
        </w:tc>
      </w:tr>
      <w:tr w14:paraId="57AD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1324" w:type="dxa"/>
            <w:vAlign w:val="center"/>
          </w:tcPr>
          <w:p w14:paraId="5CB773BF">
            <w:pPr>
              <w:jc w:val="center"/>
              <w:rPr>
                <w:rFonts w:hint="eastAsia" w:ascii="宋体" w:hAnsi="宋体" w:eastAsia="宋体" w:cs="Times New Roman"/>
                <w:szCs w:val="21"/>
              </w:rPr>
            </w:pPr>
            <w:r>
              <w:rPr>
                <w:rFonts w:hint="eastAsia" w:ascii="宋体" w:hAnsi="宋体" w:eastAsia="宋体" w:cs="Times New Roman"/>
                <w:szCs w:val="21"/>
              </w:rPr>
              <w:t>设计课堂</w:t>
            </w:r>
            <w:r>
              <w:rPr>
                <w:rFonts w:ascii="宋体" w:hAnsi="宋体" w:eastAsia="宋体" w:cs="Times New Roman"/>
                <w:szCs w:val="21"/>
              </w:rPr>
              <w:t>观察记录表</w:t>
            </w:r>
          </w:p>
        </w:tc>
        <w:tc>
          <w:tcPr>
            <w:tcW w:w="3475" w:type="dxa"/>
            <w:vAlign w:val="center"/>
          </w:tcPr>
          <w:p w14:paraId="04E03E95">
            <w:pPr>
              <w:rPr>
                <w:rFonts w:hint="eastAsia" w:ascii="宋体" w:hAnsi="宋体" w:eastAsia="宋体" w:cs="Times New Roman"/>
                <w:szCs w:val="21"/>
              </w:rPr>
            </w:pPr>
            <w:r>
              <w:rPr>
                <w:rFonts w:hint="eastAsia" w:ascii="宋体" w:hAnsi="宋体" w:eastAsia="宋体" w:cs="Times New Roman"/>
                <w:szCs w:val="21"/>
              </w:rPr>
              <w:t>确定3</w:t>
            </w:r>
            <w:r>
              <w:rPr>
                <w:rFonts w:ascii="宋体" w:hAnsi="宋体" w:eastAsia="宋体" w:cs="Times New Roman"/>
                <w:szCs w:val="21"/>
              </w:rPr>
              <w:t>-4</w:t>
            </w:r>
            <w:r>
              <w:rPr>
                <w:rFonts w:hint="eastAsia" w:ascii="宋体" w:hAnsi="宋体" w:eastAsia="宋体" w:cs="Times New Roman"/>
                <w:szCs w:val="21"/>
              </w:rPr>
              <w:t>个</w:t>
            </w:r>
            <w:r>
              <w:rPr>
                <w:rFonts w:ascii="宋体" w:hAnsi="宋体" w:eastAsia="宋体" w:cs="Times New Roman"/>
                <w:szCs w:val="21"/>
              </w:rPr>
              <w:t>课堂观察主题，以小组为单位，设计课堂观察记录表。</w:t>
            </w:r>
          </w:p>
        </w:tc>
        <w:tc>
          <w:tcPr>
            <w:tcW w:w="1200" w:type="dxa"/>
            <w:vAlign w:val="center"/>
          </w:tcPr>
          <w:p w14:paraId="29CD8597">
            <w:pPr>
              <w:jc w:val="center"/>
              <w:rPr>
                <w:rFonts w:hint="eastAsia" w:ascii="宋体" w:hAnsi="宋体" w:eastAsia="宋体" w:cs="宋体"/>
                <w:szCs w:val="21"/>
              </w:rPr>
            </w:pPr>
            <w:r>
              <w:rPr>
                <w:rFonts w:hint="eastAsia" w:ascii="宋体" w:hAnsi="宋体" w:eastAsia="宋体" w:cs="宋体"/>
                <w:szCs w:val="21"/>
              </w:rPr>
              <w:t>研讨</w:t>
            </w:r>
          </w:p>
          <w:p w14:paraId="4C8AB2D1">
            <w:pPr>
              <w:jc w:val="center"/>
              <w:rPr>
                <w:rFonts w:hint="eastAsia" w:ascii="宋体" w:hAnsi="宋体" w:eastAsia="宋体" w:cs="宋体"/>
                <w:szCs w:val="21"/>
              </w:rPr>
            </w:pPr>
            <w:r>
              <w:rPr>
                <w:rFonts w:hint="eastAsia" w:ascii="宋体" w:hAnsi="宋体" w:eastAsia="宋体" w:cs="宋体"/>
                <w:szCs w:val="21"/>
              </w:rPr>
              <w:t>设计</w:t>
            </w:r>
          </w:p>
        </w:tc>
        <w:tc>
          <w:tcPr>
            <w:tcW w:w="2520" w:type="dxa"/>
            <w:vAlign w:val="center"/>
          </w:tcPr>
          <w:p w14:paraId="7FFAE845">
            <w:pPr>
              <w:rPr>
                <w:rFonts w:hint="eastAsia" w:ascii="宋体" w:hAnsi="宋体" w:eastAsia="宋体" w:cs="Times New Roman"/>
                <w:szCs w:val="21"/>
              </w:rPr>
            </w:pPr>
            <w:r>
              <w:rPr>
                <w:rFonts w:hint="eastAsia" w:ascii="宋体" w:hAnsi="宋体" w:eastAsia="宋体" w:cs="Times New Roman"/>
                <w:szCs w:val="21"/>
              </w:rPr>
              <w:t>体会数学的严谨性，养成严谨治学的态度，争做“四有”好老师。</w:t>
            </w:r>
          </w:p>
        </w:tc>
      </w:tr>
      <w:tr w14:paraId="1905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24" w:type="dxa"/>
            <w:vAlign w:val="center"/>
          </w:tcPr>
          <w:p w14:paraId="38C442D5">
            <w:pPr>
              <w:jc w:val="center"/>
              <w:rPr>
                <w:rFonts w:hint="eastAsia" w:ascii="宋体" w:hAnsi="宋体" w:eastAsia="宋体" w:cs="Times New Roman"/>
                <w:szCs w:val="21"/>
              </w:rPr>
            </w:pPr>
            <w:r>
              <w:rPr>
                <w:rFonts w:hint="eastAsia" w:ascii="宋体" w:hAnsi="宋体" w:eastAsia="宋体" w:cs="Times New Roman"/>
                <w:szCs w:val="21"/>
              </w:rPr>
              <w:t>课堂观察</w:t>
            </w:r>
          </w:p>
          <w:p w14:paraId="5C44CA61">
            <w:pPr>
              <w:jc w:val="center"/>
              <w:rPr>
                <w:rFonts w:hint="eastAsia" w:ascii="宋体" w:hAnsi="宋体" w:eastAsia="宋体" w:cs="Times New Roman"/>
                <w:szCs w:val="21"/>
              </w:rPr>
            </w:pPr>
            <w:r>
              <w:rPr>
                <w:rFonts w:ascii="宋体" w:hAnsi="宋体" w:eastAsia="宋体" w:cs="Times New Roman"/>
                <w:szCs w:val="21"/>
              </w:rPr>
              <w:t>实施</w:t>
            </w:r>
          </w:p>
        </w:tc>
        <w:tc>
          <w:tcPr>
            <w:tcW w:w="3475" w:type="dxa"/>
            <w:vAlign w:val="center"/>
          </w:tcPr>
          <w:p w14:paraId="5614E5BF">
            <w:pPr>
              <w:rPr>
                <w:rFonts w:hint="eastAsia" w:ascii="宋体" w:hAnsi="宋体" w:eastAsia="宋体" w:cs="Times New Roman"/>
                <w:szCs w:val="21"/>
              </w:rPr>
            </w:pPr>
            <w:r>
              <w:rPr>
                <w:rFonts w:hint="eastAsia" w:ascii="宋体" w:hAnsi="宋体" w:eastAsia="宋体" w:cs="Times New Roman"/>
                <w:szCs w:val="21"/>
              </w:rPr>
              <w:t>在</w:t>
            </w:r>
            <w:r>
              <w:rPr>
                <w:rFonts w:ascii="宋体" w:hAnsi="宋体" w:eastAsia="宋体" w:cs="Times New Roman"/>
                <w:szCs w:val="21"/>
              </w:rPr>
              <w:t>充分准备</w:t>
            </w:r>
            <w:r>
              <w:rPr>
                <w:rFonts w:hint="eastAsia" w:ascii="宋体" w:hAnsi="宋体" w:eastAsia="宋体" w:cs="Times New Roman"/>
                <w:szCs w:val="21"/>
              </w:rPr>
              <w:t>的</w:t>
            </w:r>
            <w:r>
              <w:rPr>
                <w:rFonts w:ascii="宋体" w:hAnsi="宋体" w:eastAsia="宋体" w:cs="Times New Roman"/>
                <w:szCs w:val="21"/>
              </w:rPr>
              <w:t>基础上，</w:t>
            </w:r>
            <w:r>
              <w:rPr>
                <w:rFonts w:hint="eastAsia" w:ascii="宋体" w:hAnsi="宋体" w:eastAsia="宋体" w:cs="Times New Roman"/>
                <w:szCs w:val="21"/>
              </w:rPr>
              <w:t>深入小学</w:t>
            </w:r>
            <w:r>
              <w:rPr>
                <w:rFonts w:ascii="宋体" w:hAnsi="宋体" w:eastAsia="宋体" w:cs="Times New Roman"/>
                <w:szCs w:val="21"/>
              </w:rPr>
              <w:t>课堂</w:t>
            </w:r>
            <w:r>
              <w:rPr>
                <w:rFonts w:hint="eastAsia" w:ascii="宋体" w:hAnsi="宋体" w:eastAsia="宋体" w:cs="Times New Roman"/>
                <w:szCs w:val="21"/>
              </w:rPr>
              <w:t>进行</w:t>
            </w:r>
            <w:r>
              <w:rPr>
                <w:rFonts w:ascii="宋体" w:hAnsi="宋体" w:eastAsia="宋体" w:cs="Times New Roman"/>
                <w:szCs w:val="21"/>
              </w:rPr>
              <w:t>课堂观察</w:t>
            </w:r>
            <w:r>
              <w:rPr>
                <w:rFonts w:hint="eastAsia" w:ascii="宋体" w:hAnsi="宋体" w:eastAsia="宋体" w:cs="Times New Roman"/>
                <w:szCs w:val="21"/>
              </w:rPr>
              <w:t>，做好</w:t>
            </w:r>
            <w:r>
              <w:rPr>
                <w:rFonts w:ascii="宋体" w:hAnsi="宋体" w:eastAsia="宋体" w:cs="Times New Roman"/>
                <w:szCs w:val="21"/>
              </w:rPr>
              <w:t>观察记录，并提交</w:t>
            </w:r>
            <w:r>
              <w:rPr>
                <w:rFonts w:hint="eastAsia" w:ascii="宋体" w:hAnsi="宋体" w:eastAsia="宋体" w:cs="Times New Roman"/>
                <w:szCs w:val="21"/>
              </w:rPr>
              <w:t>3-4个</w:t>
            </w:r>
            <w:r>
              <w:rPr>
                <w:rFonts w:ascii="宋体" w:hAnsi="宋体" w:eastAsia="宋体" w:cs="Times New Roman"/>
                <w:szCs w:val="21"/>
              </w:rPr>
              <w:t>相应的课堂观察报告。</w:t>
            </w:r>
          </w:p>
        </w:tc>
        <w:tc>
          <w:tcPr>
            <w:tcW w:w="1200" w:type="dxa"/>
            <w:vAlign w:val="center"/>
          </w:tcPr>
          <w:p w14:paraId="7ABEA98C">
            <w:pPr>
              <w:jc w:val="center"/>
              <w:rPr>
                <w:rFonts w:hint="eastAsia" w:ascii="宋体" w:hAnsi="宋体" w:eastAsia="宋体" w:cs="宋体"/>
                <w:szCs w:val="21"/>
              </w:rPr>
            </w:pPr>
            <w:r>
              <w:rPr>
                <w:rFonts w:hint="eastAsia" w:ascii="宋体" w:hAnsi="宋体" w:eastAsia="宋体" w:cs="宋体"/>
                <w:szCs w:val="21"/>
              </w:rPr>
              <w:t>研讨</w:t>
            </w:r>
          </w:p>
          <w:p w14:paraId="7F7B65E7">
            <w:pPr>
              <w:jc w:val="center"/>
              <w:rPr>
                <w:rFonts w:hint="eastAsia" w:ascii="宋体" w:hAnsi="宋体" w:eastAsia="宋体" w:cs="宋体"/>
                <w:szCs w:val="21"/>
              </w:rPr>
            </w:pPr>
            <w:r>
              <w:rPr>
                <w:rFonts w:hint="eastAsia" w:ascii="宋体" w:hAnsi="宋体" w:eastAsia="宋体" w:cs="宋体"/>
                <w:szCs w:val="21"/>
              </w:rPr>
              <w:t>观察</w:t>
            </w:r>
          </w:p>
        </w:tc>
        <w:tc>
          <w:tcPr>
            <w:tcW w:w="2520" w:type="dxa"/>
            <w:vAlign w:val="center"/>
          </w:tcPr>
          <w:p w14:paraId="3C014D79">
            <w:pPr>
              <w:rPr>
                <w:rFonts w:hint="eastAsia" w:ascii="宋体" w:hAnsi="宋体" w:eastAsia="宋体" w:cs="Times New Roman"/>
                <w:szCs w:val="21"/>
              </w:rPr>
            </w:pPr>
            <w:r>
              <w:rPr>
                <w:rFonts w:ascii="宋体" w:hAnsi="宋体" w:eastAsia="宋体" w:cs="Times New Roman"/>
                <w:szCs w:val="21"/>
              </w:rPr>
              <w:t>掌握科学、严谨的学习方法</w:t>
            </w:r>
            <w:r>
              <w:rPr>
                <w:rFonts w:hint="eastAsia" w:ascii="宋体" w:hAnsi="宋体" w:eastAsia="宋体" w:cs="Times New Roman"/>
                <w:szCs w:val="21"/>
              </w:rPr>
              <w:t>,</w:t>
            </w:r>
            <w:r>
              <w:rPr>
                <w:rFonts w:ascii="宋体" w:hAnsi="宋体" w:eastAsia="宋体" w:cs="Times New Roman"/>
                <w:szCs w:val="21"/>
              </w:rPr>
              <w:t>养成学习他人先进理念和教学经验的意识。</w:t>
            </w:r>
          </w:p>
        </w:tc>
      </w:tr>
      <w:tr w14:paraId="29C1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324" w:type="dxa"/>
            <w:vAlign w:val="center"/>
          </w:tcPr>
          <w:p w14:paraId="135C557E">
            <w:pPr>
              <w:jc w:val="center"/>
              <w:rPr>
                <w:rFonts w:hint="eastAsia" w:ascii="宋体" w:hAnsi="宋体" w:eastAsia="宋体" w:cs="Times New Roman"/>
                <w:szCs w:val="21"/>
              </w:rPr>
            </w:pPr>
            <w:r>
              <w:rPr>
                <w:rFonts w:hint="eastAsia" w:ascii="宋体" w:hAnsi="宋体" w:eastAsia="宋体" w:cs="Times New Roman"/>
                <w:szCs w:val="21"/>
              </w:rPr>
              <w:t>课堂观察</w:t>
            </w:r>
          </w:p>
          <w:p w14:paraId="584884A2">
            <w:pPr>
              <w:jc w:val="center"/>
              <w:rPr>
                <w:rFonts w:hint="eastAsia" w:ascii="宋体" w:hAnsi="宋体" w:eastAsia="宋体" w:cs="Times New Roman"/>
                <w:szCs w:val="21"/>
              </w:rPr>
            </w:pPr>
            <w:r>
              <w:rPr>
                <w:rFonts w:ascii="宋体" w:hAnsi="宋体" w:eastAsia="宋体" w:cs="Times New Roman"/>
                <w:szCs w:val="21"/>
              </w:rPr>
              <w:t>交流</w:t>
            </w:r>
          </w:p>
        </w:tc>
        <w:tc>
          <w:tcPr>
            <w:tcW w:w="3475" w:type="dxa"/>
            <w:vAlign w:val="center"/>
          </w:tcPr>
          <w:p w14:paraId="71152E17">
            <w:pPr>
              <w:rPr>
                <w:rFonts w:hint="eastAsia" w:ascii="宋体" w:hAnsi="宋体" w:eastAsia="宋体" w:cs="Times New Roman"/>
                <w:szCs w:val="21"/>
              </w:rPr>
            </w:pPr>
            <w:r>
              <w:rPr>
                <w:rFonts w:hint="eastAsia" w:ascii="宋体" w:hAnsi="宋体" w:eastAsia="宋体" w:cs="Times New Roman"/>
                <w:szCs w:val="21"/>
              </w:rPr>
              <w:t>围绕课堂</w:t>
            </w:r>
            <w:r>
              <w:rPr>
                <w:rFonts w:ascii="宋体" w:hAnsi="宋体" w:eastAsia="宋体" w:cs="Times New Roman"/>
                <w:szCs w:val="21"/>
              </w:rPr>
              <w:t>观察的实际情况进行研讨、交流，分享观察体会，</w:t>
            </w:r>
            <w:r>
              <w:rPr>
                <w:rFonts w:hint="eastAsia" w:ascii="宋体" w:hAnsi="宋体" w:eastAsia="宋体" w:cs="Times New Roman"/>
                <w:szCs w:val="21"/>
              </w:rPr>
              <w:t>探讨课堂</w:t>
            </w:r>
            <w:r>
              <w:rPr>
                <w:rFonts w:ascii="宋体" w:hAnsi="宋体" w:eastAsia="宋体" w:cs="Times New Roman"/>
                <w:szCs w:val="21"/>
              </w:rPr>
              <w:t>教学经验</w:t>
            </w:r>
            <w:r>
              <w:rPr>
                <w:rFonts w:hint="eastAsia" w:ascii="宋体" w:hAnsi="宋体" w:eastAsia="宋体" w:cs="Times New Roman"/>
                <w:szCs w:val="21"/>
              </w:rPr>
              <w:t>。</w:t>
            </w:r>
          </w:p>
        </w:tc>
        <w:tc>
          <w:tcPr>
            <w:tcW w:w="1200" w:type="dxa"/>
            <w:vAlign w:val="center"/>
          </w:tcPr>
          <w:p w14:paraId="54961021">
            <w:pPr>
              <w:jc w:val="center"/>
              <w:rPr>
                <w:rFonts w:hint="eastAsia" w:ascii="宋体" w:hAnsi="宋体" w:eastAsia="宋体" w:cs="宋体"/>
                <w:szCs w:val="21"/>
              </w:rPr>
            </w:pPr>
            <w:r>
              <w:rPr>
                <w:rFonts w:hint="eastAsia" w:ascii="宋体" w:hAnsi="宋体" w:eastAsia="宋体" w:cs="宋体"/>
                <w:szCs w:val="21"/>
              </w:rPr>
              <w:t>研讨</w:t>
            </w:r>
          </w:p>
          <w:p w14:paraId="1BF5B1DC">
            <w:pPr>
              <w:jc w:val="center"/>
              <w:rPr>
                <w:rFonts w:hint="eastAsia" w:ascii="宋体" w:hAnsi="宋体" w:eastAsia="宋体" w:cs="宋体"/>
                <w:szCs w:val="21"/>
              </w:rPr>
            </w:pPr>
            <w:r>
              <w:rPr>
                <w:rFonts w:hint="eastAsia" w:ascii="宋体" w:hAnsi="宋体" w:eastAsia="宋体" w:cs="宋体"/>
                <w:szCs w:val="21"/>
              </w:rPr>
              <w:t>交流</w:t>
            </w:r>
          </w:p>
        </w:tc>
        <w:tc>
          <w:tcPr>
            <w:tcW w:w="2520" w:type="dxa"/>
            <w:vAlign w:val="center"/>
          </w:tcPr>
          <w:p w14:paraId="3BB4FFAB">
            <w:pPr>
              <w:rPr>
                <w:rFonts w:hint="eastAsia" w:ascii="宋体" w:hAnsi="宋体" w:eastAsia="宋体" w:cs="Times New Roman"/>
                <w:szCs w:val="21"/>
              </w:rPr>
            </w:pPr>
            <w:r>
              <w:rPr>
                <w:rFonts w:ascii="宋体" w:hAnsi="宋体" w:eastAsia="宋体" w:cs="Times New Roman"/>
                <w:szCs w:val="21"/>
              </w:rPr>
              <w:t>增强团队合作意识与沟通表达能力</w:t>
            </w:r>
            <w:r>
              <w:rPr>
                <w:rFonts w:hint="eastAsia" w:ascii="宋体" w:hAnsi="宋体" w:eastAsia="宋体" w:cs="Times New Roman"/>
                <w:szCs w:val="21"/>
              </w:rPr>
              <w:t>,</w:t>
            </w:r>
            <w:r>
              <w:rPr>
                <w:rFonts w:ascii="宋体" w:hAnsi="宋体" w:eastAsia="宋体" w:cs="Times New Roman"/>
                <w:szCs w:val="21"/>
              </w:rPr>
              <w:t>养成虚心学习和不断进取的意识。</w:t>
            </w:r>
          </w:p>
        </w:tc>
      </w:tr>
      <w:tr w14:paraId="272D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324" w:type="dxa"/>
            <w:vAlign w:val="center"/>
          </w:tcPr>
          <w:p w14:paraId="6D17025A">
            <w:pPr>
              <w:jc w:val="center"/>
              <w:rPr>
                <w:rFonts w:hint="eastAsia" w:ascii="宋体" w:hAnsi="宋体" w:eastAsia="宋体" w:cs="Times New Roman"/>
                <w:szCs w:val="21"/>
              </w:rPr>
            </w:pPr>
            <w:r>
              <w:rPr>
                <w:rFonts w:hint="eastAsia" w:ascii="宋体" w:hAnsi="宋体" w:eastAsia="宋体" w:cs="Times New Roman"/>
                <w:szCs w:val="21"/>
              </w:rPr>
              <w:t>模拟教学</w:t>
            </w:r>
          </w:p>
          <w:p w14:paraId="26C22943">
            <w:pPr>
              <w:jc w:val="center"/>
              <w:rPr>
                <w:rFonts w:hint="eastAsia" w:ascii="宋体" w:hAnsi="宋体" w:eastAsia="宋体" w:cs="Times New Roman"/>
                <w:szCs w:val="21"/>
              </w:rPr>
            </w:pPr>
            <w:r>
              <w:rPr>
                <w:rFonts w:hint="eastAsia" w:ascii="宋体" w:hAnsi="宋体" w:eastAsia="宋体" w:cs="Times New Roman"/>
                <w:szCs w:val="21"/>
              </w:rPr>
              <w:t>训练</w:t>
            </w:r>
          </w:p>
        </w:tc>
        <w:tc>
          <w:tcPr>
            <w:tcW w:w="3475" w:type="dxa"/>
            <w:vAlign w:val="center"/>
          </w:tcPr>
          <w:p w14:paraId="01B5BED8">
            <w:pPr>
              <w:rPr>
                <w:rFonts w:hint="eastAsia" w:ascii="宋体" w:hAnsi="宋体" w:eastAsia="宋体" w:cs="Times New Roman"/>
                <w:szCs w:val="21"/>
              </w:rPr>
            </w:pPr>
            <w:r>
              <w:rPr>
                <w:rFonts w:hint="eastAsia" w:ascii="宋体" w:hAnsi="宋体" w:eastAsia="宋体" w:cs="Times New Roman"/>
                <w:szCs w:val="21"/>
              </w:rPr>
              <w:t>选择</w:t>
            </w:r>
            <w:r>
              <w:rPr>
                <w:rFonts w:ascii="宋体" w:hAnsi="宋体" w:eastAsia="宋体" w:cs="Times New Roman"/>
                <w:szCs w:val="21"/>
              </w:rPr>
              <w:t>3-5</w:t>
            </w:r>
            <w:r>
              <w:rPr>
                <w:rFonts w:hint="eastAsia" w:ascii="宋体" w:hAnsi="宋体" w:eastAsia="宋体" w:cs="Times New Roman"/>
                <w:szCs w:val="21"/>
              </w:rPr>
              <w:t>个</w:t>
            </w:r>
            <w:r>
              <w:rPr>
                <w:rFonts w:ascii="宋体" w:hAnsi="宋体" w:eastAsia="宋体" w:cs="Times New Roman"/>
                <w:szCs w:val="21"/>
              </w:rPr>
              <w:t>小学教学内容</w:t>
            </w:r>
            <w:r>
              <w:rPr>
                <w:rFonts w:hint="eastAsia" w:ascii="宋体" w:hAnsi="宋体" w:eastAsia="宋体" w:cs="Times New Roman"/>
                <w:szCs w:val="21"/>
              </w:rPr>
              <w:t>，</w:t>
            </w:r>
            <w:r>
              <w:rPr>
                <w:rFonts w:ascii="宋体" w:hAnsi="宋体" w:eastAsia="宋体" w:cs="Times New Roman"/>
                <w:szCs w:val="21"/>
              </w:rPr>
              <w:t>先</w:t>
            </w:r>
            <w:r>
              <w:rPr>
                <w:rFonts w:hint="eastAsia" w:ascii="宋体" w:hAnsi="宋体" w:eastAsia="宋体" w:cs="Times New Roman"/>
                <w:szCs w:val="21"/>
              </w:rPr>
              <w:t>进行教学设计，然后</w:t>
            </w:r>
            <w:r>
              <w:rPr>
                <w:rFonts w:ascii="宋体" w:hAnsi="宋体" w:eastAsia="宋体" w:cs="Times New Roman"/>
                <w:szCs w:val="21"/>
              </w:rPr>
              <w:t>模拟教学</w:t>
            </w:r>
            <w:r>
              <w:rPr>
                <w:rFonts w:hint="eastAsia" w:ascii="宋体" w:hAnsi="宋体" w:eastAsia="宋体" w:cs="Times New Roman"/>
                <w:szCs w:val="21"/>
              </w:rPr>
              <w:t>。</w:t>
            </w:r>
          </w:p>
        </w:tc>
        <w:tc>
          <w:tcPr>
            <w:tcW w:w="1200" w:type="dxa"/>
            <w:vAlign w:val="center"/>
          </w:tcPr>
          <w:p w14:paraId="34670D3B">
            <w:pPr>
              <w:jc w:val="center"/>
              <w:rPr>
                <w:rFonts w:hint="eastAsia" w:ascii="宋体" w:hAnsi="宋体" w:eastAsia="宋体" w:cs="宋体"/>
                <w:szCs w:val="21"/>
              </w:rPr>
            </w:pPr>
            <w:r>
              <w:rPr>
                <w:rFonts w:hint="eastAsia" w:ascii="宋体" w:hAnsi="宋体" w:eastAsia="宋体" w:cs="宋体"/>
                <w:szCs w:val="21"/>
              </w:rPr>
              <w:t>设计</w:t>
            </w:r>
          </w:p>
          <w:p w14:paraId="70736314">
            <w:pPr>
              <w:jc w:val="center"/>
              <w:rPr>
                <w:rFonts w:hint="eastAsia" w:ascii="宋体" w:hAnsi="宋体" w:eastAsia="宋体" w:cs="宋体"/>
                <w:szCs w:val="21"/>
              </w:rPr>
            </w:pPr>
            <w:r>
              <w:rPr>
                <w:rFonts w:hint="eastAsia" w:ascii="宋体" w:hAnsi="宋体" w:eastAsia="宋体" w:cs="宋体"/>
                <w:szCs w:val="21"/>
              </w:rPr>
              <w:t>训练</w:t>
            </w:r>
          </w:p>
        </w:tc>
        <w:tc>
          <w:tcPr>
            <w:tcW w:w="2520" w:type="dxa"/>
            <w:vAlign w:val="center"/>
          </w:tcPr>
          <w:p w14:paraId="15ACF486">
            <w:pPr>
              <w:rPr>
                <w:rFonts w:hint="eastAsia" w:ascii="宋体" w:hAnsi="宋体" w:eastAsia="宋体" w:cs="Times New Roman"/>
                <w:szCs w:val="21"/>
              </w:rPr>
            </w:pPr>
            <w:r>
              <w:rPr>
                <w:rFonts w:ascii="宋体" w:hAnsi="宋体" w:eastAsia="宋体" w:cs="Times New Roman"/>
                <w:szCs w:val="21"/>
              </w:rPr>
              <w:t>增强团队合作意识</w:t>
            </w:r>
            <w:r>
              <w:rPr>
                <w:rFonts w:hint="eastAsia" w:ascii="宋体" w:hAnsi="宋体" w:eastAsia="宋体" w:cs="Times New Roman"/>
                <w:szCs w:val="21"/>
              </w:rPr>
              <w:t>,</w:t>
            </w:r>
            <w:r>
              <w:rPr>
                <w:rFonts w:ascii="宋体" w:hAnsi="宋体" w:eastAsia="宋体" w:cs="Times New Roman"/>
                <w:szCs w:val="21"/>
              </w:rPr>
              <w:t>养成坚持不懈的意志品质，进一步巩固专业思想</w:t>
            </w:r>
            <w:r>
              <w:rPr>
                <w:rFonts w:hint="eastAsia" w:ascii="宋体" w:hAnsi="宋体" w:eastAsia="宋体" w:cs="Times New Roman"/>
                <w:szCs w:val="21"/>
              </w:rPr>
              <w:t>,增强专业自信心。</w:t>
            </w:r>
          </w:p>
        </w:tc>
      </w:tr>
      <w:tr w14:paraId="091F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324" w:type="dxa"/>
            <w:vAlign w:val="center"/>
          </w:tcPr>
          <w:p w14:paraId="14FCC7CF">
            <w:pPr>
              <w:jc w:val="center"/>
              <w:rPr>
                <w:rFonts w:hint="eastAsia" w:ascii="宋体" w:hAnsi="宋体" w:eastAsia="宋体" w:cs="Times New Roman"/>
                <w:szCs w:val="21"/>
              </w:rPr>
            </w:pPr>
            <w:r>
              <w:rPr>
                <w:rFonts w:hint="eastAsia" w:ascii="宋体" w:hAnsi="宋体" w:eastAsia="宋体" w:cs="Times New Roman"/>
                <w:szCs w:val="21"/>
              </w:rPr>
              <w:t>模拟</w:t>
            </w:r>
            <w:r>
              <w:rPr>
                <w:rFonts w:ascii="宋体" w:hAnsi="宋体" w:eastAsia="宋体" w:cs="Times New Roman"/>
                <w:szCs w:val="21"/>
              </w:rPr>
              <w:t>教学</w:t>
            </w:r>
          </w:p>
          <w:p w14:paraId="408A1090">
            <w:pPr>
              <w:jc w:val="center"/>
              <w:rPr>
                <w:rFonts w:hint="eastAsia" w:ascii="宋体" w:hAnsi="宋体" w:eastAsia="宋体" w:cs="Times New Roman"/>
                <w:szCs w:val="21"/>
              </w:rPr>
            </w:pPr>
            <w:r>
              <w:rPr>
                <w:rFonts w:ascii="宋体" w:hAnsi="宋体" w:eastAsia="宋体" w:cs="Times New Roman"/>
                <w:szCs w:val="21"/>
              </w:rPr>
              <w:t>交流</w:t>
            </w:r>
          </w:p>
        </w:tc>
        <w:tc>
          <w:tcPr>
            <w:tcW w:w="3475" w:type="dxa"/>
            <w:vAlign w:val="center"/>
          </w:tcPr>
          <w:p w14:paraId="0BAA3F47">
            <w:pPr>
              <w:rPr>
                <w:rFonts w:hint="eastAsia" w:ascii="宋体" w:hAnsi="宋体" w:eastAsia="宋体" w:cs="Times New Roman"/>
                <w:szCs w:val="21"/>
              </w:rPr>
            </w:pPr>
            <w:r>
              <w:rPr>
                <w:rFonts w:hint="eastAsia" w:ascii="宋体" w:hAnsi="宋体" w:eastAsia="宋体" w:cs="Times New Roman"/>
                <w:szCs w:val="21"/>
              </w:rPr>
              <w:t>围绕自己</w:t>
            </w:r>
            <w:r>
              <w:rPr>
                <w:rFonts w:ascii="宋体" w:hAnsi="宋体" w:eastAsia="宋体" w:cs="Times New Roman"/>
                <w:szCs w:val="21"/>
              </w:rPr>
              <w:t>和其他同学的模拟教学进行</w:t>
            </w:r>
            <w:r>
              <w:rPr>
                <w:rFonts w:hint="eastAsia" w:ascii="宋体" w:hAnsi="宋体" w:eastAsia="宋体" w:cs="Times New Roman"/>
                <w:szCs w:val="21"/>
              </w:rPr>
              <w:t>研讨</w:t>
            </w:r>
            <w:r>
              <w:rPr>
                <w:rFonts w:ascii="宋体" w:hAnsi="宋体" w:eastAsia="宋体" w:cs="Times New Roman"/>
                <w:szCs w:val="21"/>
              </w:rPr>
              <w:t>、交流，</w:t>
            </w:r>
            <w:r>
              <w:rPr>
                <w:rFonts w:hint="eastAsia" w:ascii="宋体" w:hAnsi="宋体" w:eastAsia="宋体" w:cs="Times New Roman"/>
                <w:szCs w:val="21"/>
              </w:rPr>
              <w:t>从而</w:t>
            </w:r>
            <w:r>
              <w:rPr>
                <w:rFonts w:ascii="宋体" w:hAnsi="宋体" w:eastAsia="宋体" w:cs="Times New Roman"/>
                <w:szCs w:val="21"/>
              </w:rPr>
              <w:t>进一步</w:t>
            </w:r>
            <w:r>
              <w:rPr>
                <w:rFonts w:hint="eastAsia" w:ascii="宋体" w:hAnsi="宋体" w:eastAsia="宋体" w:cs="Times New Roman"/>
                <w:szCs w:val="21"/>
              </w:rPr>
              <w:t>提高</w:t>
            </w:r>
            <w:r>
              <w:rPr>
                <w:rFonts w:ascii="宋体" w:hAnsi="宋体" w:eastAsia="宋体" w:cs="Times New Roman"/>
                <w:szCs w:val="21"/>
              </w:rPr>
              <w:t>教学能力</w:t>
            </w:r>
            <w:r>
              <w:rPr>
                <w:rFonts w:hint="eastAsia" w:ascii="宋体" w:hAnsi="宋体" w:eastAsia="宋体" w:cs="Times New Roman"/>
                <w:szCs w:val="21"/>
              </w:rPr>
              <w:t>。</w:t>
            </w:r>
          </w:p>
        </w:tc>
        <w:tc>
          <w:tcPr>
            <w:tcW w:w="1200" w:type="dxa"/>
            <w:vAlign w:val="center"/>
          </w:tcPr>
          <w:p w14:paraId="1D4A4DE7">
            <w:pPr>
              <w:jc w:val="center"/>
              <w:rPr>
                <w:rFonts w:hint="eastAsia" w:ascii="宋体" w:hAnsi="宋体" w:eastAsia="宋体" w:cs="宋体"/>
                <w:szCs w:val="21"/>
              </w:rPr>
            </w:pPr>
            <w:r>
              <w:rPr>
                <w:rFonts w:hint="eastAsia" w:ascii="宋体" w:hAnsi="宋体" w:eastAsia="宋体" w:cs="宋体"/>
                <w:szCs w:val="21"/>
              </w:rPr>
              <w:t>研讨</w:t>
            </w:r>
          </w:p>
          <w:p w14:paraId="469B58DB">
            <w:pPr>
              <w:jc w:val="center"/>
              <w:rPr>
                <w:rFonts w:hint="eastAsia" w:ascii="宋体" w:hAnsi="宋体" w:eastAsia="宋体" w:cs="宋体"/>
                <w:szCs w:val="21"/>
              </w:rPr>
            </w:pPr>
            <w:r>
              <w:rPr>
                <w:rFonts w:hint="eastAsia" w:ascii="宋体" w:hAnsi="宋体" w:eastAsia="宋体" w:cs="宋体"/>
                <w:szCs w:val="21"/>
              </w:rPr>
              <w:t>交流</w:t>
            </w:r>
          </w:p>
        </w:tc>
        <w:tc>
          <w:tcPr>
            <w:tcW w:w="2520" w:type="dxa"/>
            <w:vAlign w:val="center"/>
          </w:tcPr>
          <w:p w14:paraId="50AC9D67">
            <w:pPr>
              <w:rPr>
                <w:rFonts w:hint="eastAsia" w:ascii="宋体" w:hAnsi="宋体" w:eastAsia="宋体" w:cs="Times New Roman"/>
                <w:szCs w:val="21"/>
              </w:rPr>
            </w:pPr>
            <w:r>
              <w:rPr>
                <w:rFonts w:ascii="宋体" w:hAnsi="宋体" w:eastAsia="宋体" w:cs="Times New Roman"/>
                <w:szCs w:val="21"/>
              </w:rPr>
              <w:t>树立全面的评价理念</w:t>
            </w:r>
            <w:r>
              <w:rPr>
                <w:rFonts w:hint="eastAsia" w:ascii="宋体" w:hAnsi="宋体" w:eastAsia="宋体" w:cs="Times New Roman"/>
                <w:szCs w:val="21"/>
              </w:rPr>
              <w:t>,</w:t>
            </w:r>
            <w:r>
              <w:rPr>
                <w:rFonts w:ascii="宋体" w:hAnsi="宋体" w:eastAsia="宋体" w:cs="Times New Roman"/>
                <w:szCs w:val="21"/>
              </w:rPr>
              <w:t>增强团队合作的意识。</w:t>
            </w:r>
          </w:p>
        </w:tc>
      </w:tr>
    </w:tbl>
    <w:p w14:paraId="131C0EB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366D0C5F">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10807174">
      <w:pPr>
        <w:spacing w:line="312"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本课程根据学生作业、课堂讨论、实践环节和学生、教学督导等的反馈，及时对教学中的不足之处进行改进，并在下一轮课程教学中整改完善，确保相应毕业要求指标点达成。</w:t>
      </w:r>
    </w:p>
    <w:p w14:paraId="2A8D39EC">
      <w:pPr>
        <w:spacing w:line="312"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6F3D0DB">
      <w:pPr>
        <w:spacing w:line="312" w:lineRule="auto"/>
        <w:ind w:firstLine="525" w:firstLineChars="250"/>
        <w:jc w:val="left"/>
        <w:rPr>
          <w:rFonts w:ascii="Times New Roman" w:hAnsi="Times New Roman" w:eastAsia="宋体" w:cs="Times New Roman"/>
          <w:bCs/>
          <w:szCs w:val="21"/>
        </w:rPr>
      </w:pPr>
      <w:r>
        <w:rPr>
          <w:rFonts w:hint="eastAsia" w:ascii="宋体" w:hAnsi="宋体" w:eastAsia="宋体" w:cs="Times New Roman"/>
          <w:szCs w:val="21"/>
        </w:rPr>
        <w:t>沈毅，崔允漷</w:t>
      </w:r>
      <w:r>
        <w:rPr>
          <w:rFonts w:ascii="宋体" w:hAnsi="宋体" w:eastAsia="宋体" w:cs="Times New Roman"/>
          <w:szCs w:val="21"/>
        </w:rPr>
        <w:t>.课堂观察：走向专业的听评课.上海：华东师范大学大学出版社.2008.</w:t>
      </w:r>
    </w:p>
    <w:p w14:paraId="52A004ED">
      <w:pPr>
        <w:spacing w:line="312"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5FE9C7BF">
      <w:pPr>
        <w:spacing w:line="312" w:lineRule="auto"/>
        <w:ind w:firstLine="420" w:firstLineChars="200"/>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教育部.义务教育</w:t>
      </w:r>
      <w:r>
        <w:rPr>
          <w:rFonts w:ascii="宋体" w:hAnsi="宋体" w:eastAsia="宋体" w:cs="Times New Roman"/>
          <w:szCs w:val="21"/>
        </w:rPr>
        <w:t>数学课程标准</w:t>
      </w:r>
      <w:r>
        <w:rPr>
          <w:rFonts w:hint="eastAsia" w:ascii="宋体" w:hAnsi="宋体" w:eastAsia="宋体" w:cs="Times New Roman"/>
          <w:szCs w:val="21"/>
        </w:rPr>
        <w:t>（20</w:t>
      </w:r>
      <w:r>
        <w:rPr>
          <w:rFonts w:ascii="宋体" w:hAnsi="宋体" w:eastAsia="宋体" w:cs="Times New Roman"/>
          <w:szCs w:val="21"/>
        </w:rPr>
        <w:t>22</w:t>
      </w:r>
      <w:r>
        <w:rPr>
          <w:rFonts w:hint="eastAsia" w:ascii="宋体" w:hAnsi="宋体" w:eastAsia="宋体" w:cs="Times New Roman"/>
          <w:szCs w:val="21"/>
        </w:rPr>
        <w:t>年</w:t>
      </w:r>
      <w:r>
        <w:rPr>
          <w:rFonts w:ascii="宋体" w:hAnsi="宋体" w:eastAsia="宋体" w:cs="Times New Roman"/>
          <w:szCs w:val="21"/>
        </w:rPr>
        <w:t>版）</w:t>
      </w:r>
      <w:r>
        <w:rPr>
          <w:rFonts w:hint="eastAsia" w:ascii="宋体" w:hAnsi="宋体" w:eastAsia="宋体" w:cs="Times New Roman"/>
          <w:szCs w:val="21"/>
        </w:rPr>
        <w:t>.北京：北京师范</w:t>
      </w:r>
      <w:r>
        <w:rPr>
          <w:rFonts w:ascii="宋体" w:hAnsi="宋体" w:eastAsia="宋体" w:cs="Times New Roman"/>
          <w:szCs w:val="21"/>
        </w:rPr>
        <w:t>大学</w:t>
      </w:r>
      <w:r>
        <w:rPr>
          <w:rFonts w:hint="eastAsia" w:ascii="宋体" w:hAnsi="宋体" w:eastAsia="宋体" w:cs="Times New Roman"/>
          <w:szCs w:val="21"/>
        </w:rPr>
        <w:t>大学出版社.20</w:t>
      </w:r>
      <w:r>
        <w:rPr>
          <w:rFonts w:ascii="宋体" w:hAnsi="宋体" w:eastAsia="宋体" w:cs="Times New Roman"/>
          <w:szCs w:val="21"/>
        </w:rPr>
        <w:t>22</w:t>
      </w:r>
      <w:r>
        <w:rPr>
          <w:rFonts w:hint="eastAsia" w:ascii="宋体" w:hAnsi="宋体" w:eastAsia="宋体" w:cs="Times New Roman"/>
          <w:szCs w:val="21"/>
        </w:rPr>
        <w:t>.</w:t>
      </w:r>
    </w:p>
    <w:p w14:paraId="26A0C773">
      <w:pPr>
        <w:spacing w:line="312"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Times New Roman" w:hAnsi="Times New Roman" w:eastAsia="宋体" w:cs="Times New Roman"/>
          <w:bCs/>
          <w:szCs w:val="21"/>
        </w:rPr>
        <w:t xml:space="preserve"> 陈瑶</w:t>
      </w:r>
      <w:r>
        <w:rPr>
          <w:rFonts w:ascii="Times New Roman" w:hAnsi="Times New Roman" w:eastAsia="宋体" w:cs="Times New Roman"/>
          <w:bCs/>
          <w:szCs w:val="21"/>
        </w:rPr>
        <w:t>.课堂观察指导.北京：教育科学出版社，</w:t>
      </w:r>
      <w:r>
        <w:rPr>
          <w:rFonts w:hint="eastAsia" w:ascii="Times New Roman" w:hAnsi="Times New Roman" w:eastAsia="宋体" w:cs="Times New Roman"/>
          <w:bCs/>
          <w:szCs w:val="21"/>
        </w:rPr>
        <w:t>2</w:t>
      </w:r>
      <w:r>
        <w:rPr>
          <w:rFonts w:ascii="Times New Roman" w:hAnsi="Times New Roman" w:eastAsia="宋体" w:cs="Times New Roman"/>
          <w:bCs/>
          <w:szCs w:val="21"/>
        </w:rPr>
        <w:t>003.</w:t>
      </w:r>
    </w:p>
    <w:p w14:paraId="0110512F">
      <w:pPr>
        <w:spacing w:line="312" w:lineRule="auto"/>
        <w:ind w:firstLine="420" w:firstLineChars="200"/>
        <w:rPr>
          <w:rFonts w:hint="eastAsia" w:ascii="宋体" w:hAnsi="宋体" w:eastAsia="宋体" w:cs="Times New Roman"/>
          <w:szCs w:val="21"/>
        </w:rPr>
      </w:pPr>
      <w:r>
        <w:rPr>
          <w:rFonts w:ascii="宋体" w:hAnsi="宋体" w:eastAsia="宋体" w:cs="Times New Roman"/>
          <w:szCs w:val="21"/>
        </w:rPr>
        <w:t>3.[加]F.迈克尔•康纳利，D.琼•克兰迪宁.教师成为课程研究者——经验叙事.刘良华，等译.杭州：浙江教育出版社，2004.</w:t>
      </w:r>
    </w:p>
    <w:p w14:paraId="6A0739B6">
      <w:pPr>
        <w:spacing w:line="312" w:lineRule="auto"/>
        <w:ind w:firstLine="420" w:firstLineChars="200"/>
        <w:rPr>
          <w:rFonts w:hint="eastAsia" w:ascii="宋体" w:hAnsi="宋体" w:eastAsia="宋体" w:cs="Times New Roman"/>
          <w:szCs w:val="21"/>
        </w:rPr>
      </w:pPr>
      <w:r>
        <w:rPr>
          <w:rFonts w:ascii="宋体" w:hAnsi="宋体" w:eastAsia="宋体" w:cs="Times New Roman"/>
          <w:szCs w:val="21"/>
        </w:rPr>
        <w:t>4.[美]Renee Campoy.课堂问题分析与解决——成为反思型教师。赵清梅，等译.北京:中国轻工业出版社,2007.</w:t>
      </w:r>
    </w:p>
    <w:p w14:paraId="323DD974">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执 笔 人：谢国忠</w:t>
      </w:r>
    </w:p>
    <w:p w14:paraId="09CC1062">
      <w:pPr>
        <w:wordWrap w:val="0"/>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定 人：王  健</w:t>
      </w:r>
    </w:p>
    <w:p w14:paraId="749D3FE3">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4FA8E1D2">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1CEC26F5">
      <w:pPr>
        <w:rPr>
          <w:rFonts w:ascii="Times New Roman" w:hAnsi="Times New Roman" w:eastAsia="宋体" w:cs="Times New Roman"/>
          <w:sz w:val="24"/>
        </w:rPr>
      </w:pPr>
    </w:p>
    <w:p w14:paraId="2A9F4D89">
      <w:pPr>
        <w:rPr>
          <w:rFonts w:ascii="Times New Roman" w:hAnsi="Times New Roman" w:eastAsia="宋体" w:cs="Times New Roman"/>
          <w:sz w:val="24"/>
        </w:rPr>
      </w:pPr>
      <w:r>
        <w:rPr>
          <w:rFonts w:ascii="Times New Roman" w:hAnsi="Times New Roman" w:eastAsia="宋体" w:cs="Times New Roman"/>
          <w:sz w:val="24"/>
        </w:rPr>
        <w:br w:type="page"/>
      </w:r>
    </w:p>
    <w:p w14:paraId="3C6E5404">
      <w:pPr>
        <w:spacing w:line="360" w:lineRule="auto"/>
        <w:jc w:val="center"/>
        <w:outlineLvl w:val="0"/>
        <w:rPr>
          <w:rFonts w:ascii="Times New Roman" w:hAnsi="Times New Roman" w:eastAsia="宋体" w:cs="Times New Roman"/>
          <w:b/>
          <w:sz w:val="44"/>
          <w:szCs w:val="44"/>
        </w:rPr>
      </w:pPr>
      <w:bookmarkStart w:id="864" w:name="_Toc2024"/>
      <w:bookmarkStart w:id="865" w:name="_Toc17259"/>
      <w:bookmarkStart w:id="866" w:name="_Toc16816"/>
      <w:bookmarkStart w:id="867" w:name="_Toc21942"/>
      <w:r>
        <w:rPr>
          <w:rFonts w:hint="eastAsia" w:ascii="Times New Roman" w:hAnsi="Times New Roman" w:eastAsia="宋体" w:cs="Times New Roman"/>
          <w:b/>
          <w:sz w:val="44"/>
          <w:szCs w:val="44"/>
        </w:rPr>
        <w:t>《校本课程开发》课程教学大纲</w:t>
      </w:r>
      <w:bookmarkEnd w:id="864"/>
      <w:bookmarkEnd w:id="865"/>
      <w:bookmarkEnd w:id="866"/>
      <w:bookmarkEnd w:id="867"/>
    </w:p>
    <w:p w14:paraId="6F99EFB9">
      <w:pPr>
        <w:spacing w:line="360" w:lineRule="auto"/>
        <w:jc w:val="center"/>
        <w:rPr>
          <w:rFonts w:ascii="Times New Roman" w:hAnsi="Times New Roman" w:eastAsia="宋体" w:cs="Times New Roman"/>
          <w:b/>
          <w:bCs/>
          <w:sz w:val="28"/>
          <w:szCs w:val="28"/>
        </w:rPr>
      </w:pPr>
      <w:bookmarkStart w:id="868" w:name="_Toc3282"/>
      <w:bookmarkStart w:id="869" w:name="_Toc20028"/>
      <w:bookmarkStart w:id="870" w:name="_Toc5261"/>
      <w:bookmarkStart w:id="871" w:name="_Toc6887"/>
      <w:bookmarkStart w:id="872" w:name="_Toc749"/>
      <w:bookmarkStart w:id="873" w:name="_Toc22079"/>
      <w:bookmarkStart w:id="874" w:name="_Toc8303"/>
      <w:r>
        <w:rPr>
          <w:rFonts w:hint="eastAsia" w:ascii="Times New Roman" w:hAnsi="Times New Roman" w:eastAsia="宋体" w:cs="Times New Roman"/>
          <w:b/>
          <w:bCs/>
          <w:sz w:val="28"/>
          <w:szCs w:val="28"/>
        </w:rPr>
        <w:t>（Development of School-based Curriculum）</w:t>
      </w:r>
      <w:bookmarkEnd w:id="868"/>
      <w:bookmarkEnd w:id="869"/>
      <w:bookmarkEnd w:id="870"/>
      <w:bookmarkEnd w:id="871"/>
      <w:bookmarkEnd w:id="872"/>
      <w:bookmarkEnd w:id="873"/>
      <w:bookmarkEnd w:id="874"/>
    </w:p>
    <w:p w14:paraId="7F8E76FA">
      <w:pPr>
        <w:spacing w:line="360" w:lineRule="auto"/>
        <w:jc w:val="center"/>
        <w:rPr>
          <w:rFonts w:ascii="Times New Roman" w:hAnsi="Times New Roman" w:eastAsia="宋体" w:cs="Times New Roman"/>
          <w:bCs/>
          <w:szCs w:val="21"/>
        </w:rPr>
      </w:pPr>
    </w:p>
    <w:p w14:paraId="17774EE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hint="eastAsia" w:ascii="Times New Roman" w:hAnsi="Times New Roman" w:eastAsia="宋体" w:cs="Times New Roman"/>
          <w:bCs/>
          <w:sz w:val="24"/>
        </w:rPr>
        <w:t>校本课程开发</w:t>
      </w:r>
      <w:r>
        <w:rPr>
          <w:rFonts w:ascii="Times New Roman" w:hAnsi="Times New Roman" w:eastAsia="宋体" w:cs="Times New Roman"/>
          <w:bCs/>
          <w:sz w:val="24"/>
        </w:rPr>
        <w:t xml:space="preserve"> </w:t>
      </w:r>
    </w:p>
    <w:p w14:paraId="5719E38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hint="eastAsia" w:ascii="Times New Roman" w:hAnsi="Times New Roman" w:eastAsia="宋体" w:cs="Times New Roman"/>
          <w:bCs/>
          <w:sz w:val="24"/>
        </w:rPr>
        <w:t>2401022</w:t>
      </w:r>
    </w:p>
    <w:p w14:paraId="173AB16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Times New Roman" w:hAnsi="Times New Roman" w:eastAsia="宋体" w:cs="Times New Roman"/>
          <w:bCs/>
          <w:sz w:val="24"/>
        </w:rPr>
        <w:t>2</w:t>
      </w:r>
    </w:p>
    <w:p w14:paraId="41B54DF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bCs/>
          <w:sz w:val="24"/>
        </w:rPr>
        <w:t>32</w:t>
      </w:r>
    </w:p>
    <w:p w14:paraId="637D768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hint="eastAsia" w:ascii="Times New Roman" w:hAnsi="Times New Roman" w:eastAsia="宋体" w:cs="Times New Roman"/>
          <w:bCs/>
          <w:sz w:val="24"/>
        </w:rPr>
        <w:t>教育原理、课程与教学论</w:t>
      </w:r>
    </w:p>
    <w:p w14:paraId="5F397C99">
      <w:pPr>
        <w:spacing w:line="360" w:lineRule="auto"/>
        <w:ind w:firstLine="482" w:firstLineChars="200"/>
        <w:jc w:val="left"/>
        <w:rPr>
          <w:rFonts w:ascii="Times New Roman" w:hAnsi="Times New Roman" w:eastAsia="宋体" w:cs="Times New Roman"/>
          <w:bCs/>
          <w:sz w:val="24"/>
        </w:rPr>
      </w:pPr>
      <w:r>
        <w:rPr>
          <w:rFonts w:hint="eastAsia" w:ascii="Times New Roman" w:hAnsi="Times New Roman" w:eastAsia="宋体" w:cs="Times New Roman"/>
          <w:b/>
          <w:sz w:val="24"/>
        </w:rPr>
        <w:t>适用专业：</w:t>
      </w:r>
      <w:r>
        <w:rPr>
          <w:rFonts w:hint="eastAsia" w:ascii="Times New Roman" w:hAnsi="Times New Roman" w:eastAsia="宋体" w:cs="Times New Roman"/>
          <w:bCs/>
          <w:sz w:val="24"/>
        </w:rPr>
        <w:t>师范学院</w:t>
      </w:r>
    </w:p>
    <w:p w14:paraId="3B6DEC13">
      <w:pPr>
        <w:spacing w:before="62" w:beforeLines="20" w:after="62" w:afterLines="20"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03065D5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选修课。通过本课程的学习使学生了解校本课程的基本理念，国内外校本课程开发的经验，掌握校本课程开发中的相关理论问题和具体实践操作的步骤和方法，明确校本课程资源开发的一般原理和具体做法，并从校本课程开发中对教师专业发展的要求来寻找自己的不足，从而为在教学实践中能有效地进行校本课程开发打下理论和实践基础。</w:t>
      </w:r>
    </w:p>
    <w:p w14:paraId="26385EB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5B95CF6C">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1D433D46">
      <w:pPr>
        <w:spacing w:line="360" w:lineRule="auto"/>
        <w:ind w:firstLine="482"/>
        <w:jc w:val="left"/>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b/>
          <w:bCs/>
          <w:szCs w:val="21"/>
        </w:rPr>
        <w:t>目标1.</w:t>
      </w:r>
      <w:r>
        <w:rPr>
          <w:rFonts w:hint="eastAsia" w:ascii="Times New Roman" w:hAnsi="Times New Roman" w:eastAsia="宋体" w:cs="Times New Roman"/>
          <w:szCs w:val="21"/>
        </w:rPr>
        <w:t xml:space="preserve"> 掌握校本课程开发的理论基础知识，了解校本课程开发的国内外经验，增强本课程学习所需的知识基础。</w:t>
      </w:r>
    </w:p>
    <w:p w14:paraId="37927481">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 xml:space="preserve">目标2. </w:t>
      </w:r>
      <w:r>
        <w:rPr>
          <w:rFonts w:hint="eastAsia" w:ascii="Times New Roman" w:hAnsi="Times New Roman" w:eastAsia="宋体" w:cs="Times New Roman"/>
          <w:szCs w:val="21"/>
        </w:rPr>
        <w:t>学生能够立足实践，领悟校本课程开发所应树立的崭新课程与教育教学理念，掌握科学的校本课程开发方法（研制、开发、实施、管理与评价等），培养和锻炼学生的实践能力和创新能力。</w:t>
      </w:r>
    </w:p>
    <w:p w14:paraId="088C5D0C">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目标3.</w:t>
      </w:r>
      <w:r>
        <w:rPr>
          <w:rFonts w:hint="eastAsia" w:ascii="Times New Roman" w:hAnsi="Times New Roman" w:eastAsia="宋体" w:cs="Times New Roman"/>
          <w:szCs w:val="21"/>
        </w:rPr>
        <w:t xml:space="preserve"> 让学生亲身感受和体验校本课程开发对我国基础教育的影响，从而培养他们积极地学习态度和学习方法。同时进一步夯实他们的专业思想，是他们热爱小学教师这个职业，对小学教育事业产生深厚的情感，并愿意为教育事业奋斗终身。</w:t>
      </w:r>
    </w:p>
    <w:p w14:paraId="0BDA4338">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目标4.</w:t>
      </w:r>
      <w:r>
        <w:rPr>
          <w:rFonts w:hint="eastAsia" w:ascii="Times New Roman" w:hAnsi="Times New Roman" w:eastAsia="宋体" w:cs="Times New Roman"/>
          <w:szCs w:val="21"/>
        </w:rPr>
        <w:t xml:space="preserve"> 能明确校本课程管理和评价的一般原理和具体做法，能够在管理和评价中学会反思，运用批判的思维分析和解决问题。</w:t>
      </w:r>
    </w:p>
    <w:p w14:paraId="4F51751D">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bCs/>
          <w:szCs w:val="21"/>
        </w:rPr>
        <w:t xml:space="preserve">目标5. </w:t>
      </w:r>
      <w:r>
        <w:rPr>
          <w:rFonts w:hint="eastAsia" w:ascii="Times New Roman" w:hAnsi="Times New Roman" w:eastAsia="宋体" w:cs="Times New Roman"/>
          <w:szCs w:val="21"/>
        </w:rPr>
        <w:t>明确校本课程开发对教师的意义和要求，并能从校本课程开发中对教师专业发展的要求来寻找自己的不足，从而为在教学实践中能有效地进行校本课程开发打下理论和实践基础。</w:t>
      </w:r>
    </w:p>
    <w:p w14:paraId="0306B51A">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5799"/>
        <w:gridCol w:w="1191"/>
      </w:tblGrid>
      <w:tr w14:paraId="02DE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vAlign w:val="center"/>
          </w:tcPr>
          <w:p w14:paraId="335E589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799" w:type="dxa"/>
            <w:vAlign w:val="center"/>
          </w:tcPr>
          <w:p w14:paraId="4578C6B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456D082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117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vAlign w:val="center"/>
          </w:tcPr>
          <w:p w14:paraId="212B842A">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毕业要求3学科素养</w:t>
            </w:r>
          </w:p>
        </w:tc>
        <w:tc>
          <w:tcPr>
            <w:tcW w:w="5799" w:type="dxa"/>
            <w:vAlign w:val="center"/>
          </w:tcPr>
          <w:p w14:paraId="1D79FE6D">
            <w:pPr>
              <w:spacing w:line="276" w:lineRule="auto"/>
              <w:jc w:val="left"/>
              <w:rPr>
                <w:rFonts w:hint="eastAsia" w:ascii="宋体" w:hAnsi="宋体" w:eastAsia="宋体" w:cs="Times New Roman"/>
                <w:spacing w:val="2"/>
                <w:kern w:val="0"/>
                <w:szCs w:val="21"/>
                <w:lang w:eastAsia="zh"/>
              </w:rPr>
            </w:pPr>
            <w:r>
              <w:rPr>
                <w:rFonts w:hint="eastAsia" w:ascii="宋体" w:hAnsi="宋体" w:eastAsia="宋体" w:cs="Times New Roman"/>
                <w:b/>
                <w:spacing w:val="2"/>
                <w:kern w:val="0"/>
                <w:szCs w:val="21"/>
              </w:rPr>
              <w:t>指标点3-3</w:t>
            </w:r>
            <w:r>
              <w:rPr>
                <w:rFonts w:ascii="宋体" w:hAnsi="宋体" w:eastAsia="宋体" w:cs="Times New Roman"/>
                <w:spacing w:val="2"/>
                <w:kern w:val="0"/>
                <w:szCs w:val="21"/>
              </w:rPr>
              <w:t>：</w:t>
            </w:r>
            <w:r>
              <w:rPr>
                <w:rFonts w:hint="eastAsia" w:ascii="宋体" w:hAnsi="宋体" w:eastAsia="宋体" w:cs="Times New Roman"/>
                <w:spacing w:val="2"/>
                <w:kern w:val="0"/>
                <w:szCs w:val="21"/>
                <w:lang w:eastAsia="zh"/>
              </w:rPr>
              <w:t>【注重知识整合】了解所教学科与小学其他学科及与社会实践、小学生生活实践之间的联系，了解学科整合在小学教育中的价值，具有跨学科解决问题的意识和能力，能指导综合性学科教学活动。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Align w:val="center"/>
          </w:tcPr>
          <w:p w14:paraId="6C226ACB">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7F67EDB8">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4、5</w:t>
            </w:r>
          </w:p>
        </w:tc>
      </w:tr>
      <w:tr w14:paraId="19E2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vAlign w:val="center"/>
          </w:tcPr>
          <w:p w14:paraId="15948A13">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毕业要求4</w:t>
            </w:r>
          </w:p>
          <w:p w14:paraId="7E81A89B">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教学能力</w:t>
            </w:r>
          </w:p>
        </w:tc>
        <w:tc>
          <w:tcPr>
            <w:tcW w:w="5799" w:type="dxa"/>
            <w:vAlign w:val="center"/>
          </w:tcPr>
          <w:p w14:paraId="4F2E3ADE">
            <w:pPr>
              <w:spacing w:line="276" w:lineRule="auto"/>
              <w:jc w:val="left"/>
              <w:rPr>
                <w:rFonts w:hint="eastAsia" w:ascii="宋体" w:hAnsi="宋体" w:eastAsia="宋体" w:cs="Times New Roman"/>
                <w:spacing w:val="2"/>
                <w:kern w:val="0"/>
                <w:szCs w:val="21"/>
              </w:rPr>
            </w:pPr>
            <w:r>
              <w:rPr>
                <w:rFonts w:hint="eastAsia" w:ascii="宋体" w:hAnsi="宋体" w:eastAsia="宋体" w:cs="Times New Roman"/>
                <w:b/>
                <w:spacing w:val="2"/>
                <w:kern w:val="0"/>
                <w:szCs w:val="21"/>
              </w:rPr>
              <w:t>指标点4-1</w:t>
            </w:r>
            <w:r>
              <w:rPr>
                <w:rFonts w:hint="eastAsia" w:ascii="宋体" w:hAnsi="宋体" w:eastAsia="宋体" w:cs="Times New Roman"/>
                <w:spacing w:val="2"/>
                <w:kern w:val="0"/>
                <w:szCs w:val="21"/>
                <w:lang w:eastAsia="zh"/>
              </w:rPr>
              <w:t>:【教育教学知识牢固】掌握教育教学基本理论知识，熟悉所教学科课程标准和教材、教学内容。掌握教师教有知识、学科教学知识和现代信息技术，具有主动适应信息化、人工智能等新技术变革积极有效开展教育教学的意识。</w:t>
            </w:r>
          </w:p>
        </w:tc>
        <w:tc>
          <w:tcPr>
            <w:tcW w:w="1191" w:type="dxa"/>
            <w:vAlign w:val="center"/>
          </w:tcPr>
          <w:p w14:paraId="3B953A87">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66F32BC0">
            <w:pPr>
              <w:spacing w:line="276" w:lineRule="auto"/>
              <w:jc w:val="center"/>
              <w:rPr>
                <w:rFonts w:ascii="Times New Roman" w:hAnsi="Times New Roman" w:eastAsia="宋体" w:cs="Times New Roman"/>
                <w:szCs w:val="21"/>
                <w:lang w:eastAsia="zh"/>
              </w:rPr>
            </w:pPr>
            <w:r>
              <w:rPr>
                <w:rFonts w:hint="eastAsia" w:ascii="Times New Roman" w:hAnsi="Times New Roman" w:eastAsia="宋体" w:cs="Times New Roman"/>
                <w:szCs w:val="21"/>
                <w:lang w:eastAsia="zh"/>
              </w:rPr>
              <w:t>1</w:t>
            </w:r>
            <w:r>
              <w:rPr>
                <w:rFonts w:hint="eastAsia" w:ascii="Times New Roman" w:hAnsi="Times New Roman" w:eastAsia="宋体" w:cs="Times New Roman"/>
                <w:szCs w:val="21"/>
              </w:rPr>
              <w:t>、2、3</w:t>
            </w:r>
          </w:p>
        </w:tc>
      </w:tr>
    </w:tbl>
    <w:p w14:paraId="1AF1D137">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49F3EB32">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继承中华优秀教师文化、彰显时代教育要求、发扬工匠精神，充分挖掘地方资源优势并将其融入校本课程，传承并弘扬中华优秀传统文化，增强运用课程积极发挥课程育人作用的思想意识，努力成为新时代高素质专业化教师队伍中的一员，为国育才，为党育人。关心关注本土本地的课程改革的新要求、新进展，用笃行创新的躬耕态度做好教书育人工作，唤醒并不断增强课程开发及课程领导意识，通过实际行动积极践行新课改与新课标中的新任务新要求。</w:t>
      </w:r>
    </w:p>
    <w:p w14:paraId="2D92AA3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2672"/>
        <w:gridCol w:w="1292"/>
        <w:gridCol w:w="2533"/>
        <w:gridCol w:w="1158"/>
        <w:gridCol w:w="438"/>
      </w:tblGrid>
      <w:tr w14:paraId="648D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Align w:val="center"/>
          </w:tcPr>
          <w:p w14:paraId="6E97E926">
            <w:pPr>
              <w:jc w:val="center"/>
              <w:rPr>
                <w:rFonts w:hint="eastAsia" w:ascii="宋体" w:hAnsi="宋体" w:eastAsia="宋体" w:cs="Times New Roman"/>
                <w:b/>
                <w:szCs w:val="21"/>
              </w:rPr>
            </w:pPr>
            <w:r>
              <w:rPr>
                <w:rFonts w:hint="eastAsia" w:ascii="宋体" w:hAnsi="宋体" w:eastAsia="宋体" w:cs="Times New Roman"/>
                <w:b/>
                <w:szCs w:val="21"/>
              </w:rPr>
              <w:t>知识</w:t>
            </w:r>
          </w:p>
          <w:p w14:paraId="54D83E5B">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672" w:type="dxa"/>
            <w:vAlign w:val="center"/>
          </w:tcPr>
          <w:p w14:paraId="06DD041A">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92" w:type="dxa"/>
            <w:vAlign w:val="center"/>
          </w:tcPr>
          <w:p w14:paraId="67F30128">
            <w:pPr>
              <w:jc w:val="center"/>
              <w:rPr>
                <w:rFonts w:hint="eastAsia" w:ascii="宋体" w:hAnsi="宋体" w:eastAsia="宋体" w:cs="Times New Roman"/>
                <w:b/>
                <w:szCs w:val="21"/>
              </w:rPr>
            </w:pPr>
            <w:r>
              <w:rPr>
                <w:rFonts w:hint="eastAsia" w:ascii="宋体" w:hAnsi="宋体" w:eastAsia="宋体" w:cs="Times New Roman"/>
                <w:b/>
                <w:szCs w:val="21"/>
              </w:rPr>
              <w:t>对应</w:t>
            </w:r>
          </w:p>
          <w:p w14:paraId="70803FB5">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533" w:type="dxa"/>
            <w:vAlign w:val="center"/>
          </w:tcPr>
          <w:p w14:paraId="0318FD57">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158" w:type="dxa"/>
            <w:vAlign w:val="center"/>
          </w:tcPr>
          <w:p w14:paraId="70BBAC5F">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6AD0BA70">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4345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1B668B4A">
            <w:pPr>
              <w:jc w:val="center"/>
              <w:rPr>
                <w:rFonts w:hint="eastAsia" w:ascii="宋体" w:hAnsi="宋体" w:eastAsia="宋体" w:cs="Times New Roman"/>
                <w:szCs w:val="21"/>
              </w:rPr>
            </w:pPr>
            <w:r>
              <w:rPr>
                <w:rFonts w:hint="eastAsia" w:ascii="宋体" w:hAnsi="宋体" w:eastAsia="宋体" w:cs="Times New Roman"/>
                <w:szCs w:val="21"/>
              </w:rPr>
              <w:t>导论：校本课程开发概述</w:t>
            </w:r>
          </w:p>
        </w:tc>
        <w:tc>
          <w:tcPr>
            <w:tcW w:w="2672" w:type="dxa"/>
            <w:vAlign w:val="center"/>
          </w:tcPr>
          <w:p w14:paraId="47FA4A08">
            <w:pPr>
              <w:jc w:val="left"/>
              <w:rPr>
                <w:rFonts w:hint="eastAsia" w:ascii="宋体" w:hAnsi="宋体" w:eastAsia="宋体" w:cs="Times New Roman"/>
                <w:bCs/>
                <w:szCs w:val="21"/>
              </w:rPr>
            </w:pPr>
            <w:r>
              <w:rPr>
                <w:rFonts w:hint="eastAsia" w:ascii="宋体" w:hAnsi="宋体" w:eastAsia="宋体" w:cs="Times New Roman"/>
                <w:bCs/>
                <w:szCs w:val="21"/>
              </w:rPr>
              <w:t>（1）校本课程开发的兴起</w:t>
            </w:r>
          </w:p>
          <w:p w14:paraId="67F6FEED">
            <w:pPr>
              <w:jc w:val="left"/>
              <w:rPr>
                <w:rFonts w:hint="eastAsia" w:ascii="宋体" w:hAnsi="宋体" w:eastAsia="宋体" w:cs="Times New Roman"/>
                <w:bCs/>
                <w:szCs w:val="21"/>
              </w:rPr>
            </w:pPr>
            <w:r>
              <w:rPr>
                <w:rFonts w:hint="eastAsia" w:ascii="宋体" w:hAnsi="宋体" w:eastAsia="宋体" w:cs="Times New Roman"/>
                <w:bCs/>
                <w:szCs w:val="21"/>
              </w:rPr>
              <w:t>（2）校本课程开发的涵义</w:t>
            </w:r>
          </w:p>
          <w:p w14:paraId="099ECB21">
            <w:pPr>
              <w:jc w:val="left"/>
              <w:rPr>
                <w:rFonts w:hint="eastAsia" w:ascii="宋体" w:hAnsi="宋体" w:eastAsia="宋体" w:cs="Times New Roman"/>
                <w:bCs/>
                <w:szCs w:val="21"/>
              </w:rPr>
            </w:pPr>
            <w:r>
              <w:rPr>
                <w:rFonts w:hint="eastAsia" w:ascii="宋体" w:hAnsi="宋体" w:eastAsia="宋体" w:cs="Times New Roman"/>
                <w:bCs/>
                <w:szCs w:val="21"/>
              </w:rPr>
              <w:t>（3）校本课程开发的意义</w:t>
            </w:r>
          </w:p>
          <w:p w14:paraId="2BE35C39">
            <w:pPr>
              <w:jc w:val="left"/>
              <w:rPr>
                <w:rFonts w:hint="eastAsia" w:ascii="宋体" w:hAnsi="宋体" w:eastAsia="宋体" w:cs="Times New Roman"/>
                <w:bCs/>
                <w:szCs w:val="21"/>
              </w:rPr>
            </w:pPr>
            <w:r>
              <w:rPr>
                <w:rFonts w:hint="eastAsia" w:ascii="宋体" w:hAnsi="宋体" w:eastAsia="宋体" w:cs="Times New Roman"/>
                <w:bCs/>
                <w:szCs w:val="21"/>
              </w:rPr>
              <w:t>（4）校本课程开发的现状</w:t>
            </w:r>
          </w:p>
        </w:tc>
        <w:tc>
          <w:tcPr>
            <w:tcW w:w="1292" w:type="dxa"/>
            <w:vAlign w:val="center"/>
          </w:tcPr>
          <w:p w14:paraId="4C55C921">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533" w:type="dxa"/>
            <w:vAlign w:val="center"/>
          </w:tcPr>
          <w:p w14:paraId="1211C956">
            <w:pPr>
              <w:jc w:val="left"/>
              <w:rPr>
                <w:rFonts w:hint="eastAsia" w:ascii="宋体" w:hAnsi="宋体" w:eastAsia="宋体" w:cs="Times New Roman"/>
                <w:bCs/>
                <w:szCs w:val="21"/>
              </w:rPr>
            </w:pPr>
            <w:r>
              <w:rPr>
                <w:rFonts w:hint="eastAsia" w:ascii="宋体" w:hAnsi="宋体" w:eastAsia="宋体" w:cs="Times New Roman"/>
                <w:bCs/>
                <w:szCs w:val="21"/>
              </w:rPr>
              <w:t>（1）理解校本课程开发的涵义。</w:t>
            </w:r>
          </w:p>
          <w:p w14:paraId="4F65B39F">
            <w:pPr>
              <w:jc w:val="left"/>
              <w:rPr>
                <w:rFonts w:hint="eastAsia" w:ascii="宋体" w:hAnsi="宋体" w:eastAsia="宋体" w:cs="Times New Roman"/>
                <w:bCs/>
                <w:szCs w:val="21"/>
              </w:rPr>
            </w:pPr>
            <w:r>
              <w:rPr>
                <w:rFonts w:hint="eastAsia" w:ascii="宋体" w:hAnsi="宋体" w:eastAsia="宋体" w:cs="Times New Roman"/>
                <w:bCs/>
                <w:szCs w:val="21"/>
              </w:rPr>
              <w:t>（2）了解校本课程开发的兴起、发展与现状。</w:t>
            </w:r>
          </w:p>
          <w:p w14:paraId="0BA8AA44">
            <w:pPr>
              <w:jc w:val="left"/>
              <w:rPr>
                <w:rFonts w:hint="eastAsia" w:ascii="宋体" w:hAnsi="宋体" w:eastAsia="宋体" w:cs="Times New Roman"/>
                <w:szCs w:val="21"/>
              </w:rPr>
            </w:pPr>
            <w:r>
              <w:rPr>
                <w:rFonts w:hint="eastAsia" w:ascii="宋体" w:hAnsi="宋体" w:eastAsia="宋体" w:cs="Times New Roman"/>
                <w:bCs/>
                <w:szCs w:val="21"/>
              </w:rPr>
              <w:t>（3）掌握校本课程开发的意义。</w:t>
            </w:r>
          </w:p>
        </w:tc>
        <w:tc>
          <w:tcPr>
            <w:tcW w:w="1158" w:type="dxa"/>
            <w:vAlign w:val="center"/>
          </w:tcPr>
          <w:p w14:paraId="60989B76">
            <w:pPr>
              <w:jc w:val="left"/>
              <w:rPr>
                <w:rFonts w:hint="eastAsia" w:ascii="宋体" w:hAnsi="宋体" w:eastAsia="宋体" w:cs="Times New Roman"/>
                <w:szCs w:val="21"/>
              </w:rPr>
            </w:pPr>
            <w:r>
              <w:rPr>
                <w:rFonts w:hint="eastAsia" w:ascii="宋体" w:hAnsi="宋体" w:eastAsia="宋体" w:cs="Times New Roman"/>
                <w:szCs w:val="21"/>
              </w:rPr>
              <w:t>教师讲授</w:t>
            </w:r>
          </w:p>
          <w:p w14:paraId="5990F6E0">
            <w:pPr>
              <w:jc w:val="left"/>
              <w:rPr>
                <w:rFonts w:hint="eastAsia" w:ascii="宋体" w:hAnsi="宋体" w:eastAsia="宋体" w:cs="Times New Roman"/>
                <w:szCs w:val="21"/>
              </w:rPr>
            </w:pPr>
            <w:r>
              <w:rPr>
                <w:rFonts w:hint="eastAsia" w:ascii="宋体" w:hAnsi="宋体" w:eastAsia="宋体" w:cs="Times New Roman"/>
                <w:szCs w:val="21"/>
              </w:rPr>
              <w:t>课堂讨论</w:t>
            </w:r>
          </w:p>
        </w:tc>
        <w:tc>
          <w:tcPr>
            <w:tcW w:w="438" w:type="dxa"/>
            <w:vAlign w:val="center"/>
          </w:tcPr>
          <w:p w14:paraId="295BD6A1">
            <w:pPr>
              <w:jc w:val="center"/>
              <w:rPr>
                <w:rFonts w:hint="eastAsia" w:ascii="宋体" w:hAnsi="宋体" w:eastAsia="宋体" w:cs="Times New Roman"/>
                <w:szCs w:val="21"/>
              </w:rPr>
            </w:pPr>
            <w:r>
              <w:rPr>
                <w:rFonts w:hint="eastAsia" w:ascii="宋体" w:hAnsi="宋体" w:eastAsia="宋体" w:cs="Times New Roman"/>
                <w:szCs w:val="21"/>
              </w:rPr>
              <w:t>2</w:t>
            </w:r>
          </w:p>
        </w:tc>
      </w:tr>
      <w:tr w14:paraId="68FC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60B82E7C">
            <w:pPr>
              <w:jc w:val="center"/>
              <w:rPr>
                <w:rFonts w:hint="eastAsia" w:ascii="宋体" w:hAnsi="宋体" w:eastAsia="宋体" w:cs="Times New Roman"/>
                <w:szCs w:val="21"/>
              </w:rPr>
            </w:pPr>
          </w:p>
        </w:tc>
        <w:tc>
          <w:tcPr>
            <w:tcW w:w="8093" w:type="dxa"/>
            <w:gridSpan w:val="5"/>
            <w:vAlign w:val="center"/>
          </w:tcPr>
          <w:p w14:paraId="14DC35F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5F0F4CA6">
            <w:pPr>
              <w:jc w:val="left"/>
              <w:rPr>
                <w:rFonts w:hint="eastAsia" w:ascii="宋体" w:hAnsi="宋体" w:eastAsia="宋体" w:cs="Times New Roman"/>
                <w:szCs w:val="21"/>
              </w:rPr>
            </w:pPr>
            <w:r>
              <w:rPr>
                <w:rFonts w:hint="eastAsia" w:ascii="宋体" w:hAnsi="宋体" w:eastAsia="宋体" w:cs="Times New Roman"/>
                <w:szCs w:val="21"/>
              </w:rPr>
              <w:t>明确课程政策要求，增强运用课程积极发挥课程育人作用的思想意识，为国育才，为党育人。</w:t>
            </w:r>
          </w:p>
        </w:tc>
      </w:tr>
      <w:tr w14:paraId="2450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365BBA44">
            <w:pPr>
              <w:jc w:val="center"/>
              <w:rPr>
                <w:rFonts w:hint="eastAsia" w:ascii="宋体" w:hAnsi="宋体" w:eastAsia="宋体" w:cs="Times New Roman"/>
                <w:szCs w:val="21"/>
              </w:rPr>
            </w:pPr>
            <w:r>
              <w:rPr>
                <w:rFonts w:hint="eastAsia" w:ascii="宋体" w:hAnsi="宋体" w:eastAsia="宋体" w:cs="Times New Roman"/>
                <w:szCs w:val="21"/>
              </w:rPr>
              <w:t>课程管理体制的变革</w:t>
            </w:r>
          </w:p>
        </w:tc>
        <w:tc>
          <w:tcPr>
            <w:tcW w:w="2672" w:type="dxa"/>
            <w:vAlign w:val="center"/>
          </w:tcPr>
          <w:p w14:paraId="78059126">
            <w:pPr>
              <w:jc w:val="left"/>
              <w:rPr>
                <w:rFonts w:hint="eastAsia" w:ascii="宋体" w:hAnsi="宋体" w:eastAsia="宋体" w:cs="Times New Roman"/>
                <w:bCs/>
                <w:szCs w:val="21"/>
              </w:rPr>
            </w:pPr>
            <w:r>
              <w:rPr>
                <w:rFonts w:hint="eastAsia" w:ascii="宋体" w:hAnsi="宋体" w:eastAsia="宋体" w:cs="Times New Roman"/>
                <w:bCs/>
                <w:szCs w:val="21"/>
              </w:rPr>
              <w:t>1.教学内容</w:t>
            </w:r>
          </w:p>
          <w:p w14:paraId="089E65D4">
            <w:pPr>
              <w:jc w:val="left"/>
              <w:rPr>
                <w:rFonts w:hint="eastAsia" w:ascii="宋体" w:hAnsi="宋体" w:eastAsia="宋体" w:cs="Times New Roman"/>
                <w:bCs/>
                <w:szCs w:val="21"/>
              </w:rPr>
            </w:pPr>
            <w:r>
              <w:rPr>
                <w:rFonts w:hint="eastAsia" w:ascii="宋体" w:hAnsi="宋体" w:eastAsia="宋体" w:cs="Times New Roman"/>
                <w:bCs/>
                <w:szCs w:val="21"/>
              </w:rPr>
              <w:t>（1）外国课程管理体制的经验</w:t>
            </w:r>
          </w:p>
          <w:p w14:paraId="3FB535C8">
            <w:pPr>
              <w:jc w:val="left"/>
              <w:rPr>
                <w:rFonts w:hint="eastAsia" w:ascii="宋体" w:hAnsi="宋体" w:eastAsia="宋体" w:cs="Times New Roman"/>
                <w:bCs/>
                <w:szCs w:val="21"/>
              </w:rPr>
            </w:pPr>
            <w:r>
              <w:rPr>
                <w:rFonts w:hint="eastAsia" w:ascii="宋体" w:hAnsi="宋体" w:eastAsia="宋体" w:cs="Times New Roman"/>
                <w:bCs/>
                <w:szCs w:val="21"/>
              </w:rPr>
              <w:t>（2）中国课程管理体制的经验</w:t>
            </w:r>
          </w:p>
        </w:tc>
        <w:tc>
          <w:tcPr>
            <w:tcW w:w="1292" w:type="dxa"/>
            <w:vAlign w:val="center"/>
          </w:tcPr>
          <w:p w14:paraId="25DD033D">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533" w:type="dxa"/>
            <w:vAlign w:val="center"/>
          </w:tcPr>
          <w:p w14:paraId="2AD1FCE0">
            <w:pPr>
              <w:jc w:val="left"/>
              <w:rPr>
                <w:rFonts w:ascii="Times New Roman" w:hAnsi="Times New Roman" w:eastAsia="宋体" w:cs="Times New Roman"/>
                <w:bCs/>
                <w:szCs w:val="21"/>
              </w:rPr>
            </w:pPr>
            <w:r>
              <w:rPr>
                <w:rFonts w:hint="eastAsia" w:ascii="Times New Roman" w:hAnsi="Times New Roman" w:eastAsia="宋体" w:cs="Times New Roman"/>
                <w:bCs/>
                <w:szCs w:val="21"/>
              </w:rPr>
              <w:t>（1）了解国外课程管理体制的基本经验。</w:t>
            </w:r>
          </w:p>
          <w:p w14:paraId="54DEDC50">
            <w:pPr>
              <w:jc w:val="left"/>
              <w:rPr>
                <w:rFonts w:ascii="Times New Roman" w:hAnsi="Times New Roman" w:eastAsia="宋体" w:cs="Times New Roman"/>
                <w:bCs/>
                <w:szCs w:val="21"/>
              </w:rPr>
            </w:pPr>
            <w:r>
              <w:rPr>
                <w:rFonts w:hint="eastAsia" w:ascii="Times New Roman" w:hAnsi="Times New Roman" w:eastAsia="宋体" w:cs="Times New Roman"/>
                <w:bCs/>
                <w:szCs w:val="21"/>
              </w:rPr>
              <w:t>（2）了解中国课程管理体制的经验和弊端。</w:t>
            </w:r>
          </w:p>
          <w:p w14:paraId="04B6D916">
            <w:pPr>
              <w:jc w:val="left"/>
              <w:rPr>
                <w:rFonts w:ascii="Times New Roman" w:hAnsi="Times New Roman" w:eastAsia="宋体" w:cs="Times New Roman"/>
                <w:bCs/>
                <w:szCs w:val="21"/>
              </w:rPr>
            </w:pPr>
            <w:r>
              <w:rPr>
                <w:rFonts w:hint="eastAsia" w:ascii="Times New Roman" w:hAnsi="Times New Roman" w:eastAsia="宋体" w:cs="Times New Roman"/>
                <w:bCs/>
                <w:szCs w:val="21"/>
              </w:rPr>
              <w:t>（3）理解三级课程管理体制及其价值。</w:t>
            </w:r>
          </w:p>
        </w:tc>
        <w:tc>
          <w:tcPr>
            <w:tcW w:w="1158" w:type="dxa"/>
            <w:vAlign w:val="center"/>
          </w:tcPr>
          <w:p w14:paraId="75B2C34E">
            <w:pPr>
              <w:jc w:val="left"/>
              <w:rPr>
                <w:rFonts w:hint="eastAsia" w:ascii="宋体" w:hAnsi="宋体" w:eastAsia="宋体" w:cs="Times New Roman"/>
                <w:szCs w:val="21"/>
              </w:rPr>
            </w:pPr>
            <w:r>
              <w:rPr>
                <w:rFonts w:hint="eastAsia" w:ascii="宋体" w:hAnsi="宋体" w:eastAsia="宋体" w:cs="Times New Roman"/>
                <w:szCs w:val="21"/>
              </w:rPr>
              <w:t>分组查阅</w:t>
            </w:r>
          </w:p>
          <w:p w14:paraId="65FB8EE1">
            <w:pPr>
              <w:jc w:val="left"/>
              <w:rPr>
                <w:rFonts w:hint="eastAsia" w:ascii="宋体" w:hAnsi="宋体" w:eastAsia="宋体" w:cs="Times New Roman"/>
                <w:szCs w:val="21"/>
              </w:rPr>
            </w:pPr>
            <w:r>
              <w:rPr>
                <w:rFonts w:hint="eastAsia" w:ascii="宋体" w:hAnsi="宋体" w:eastAsia="宋体" w:cs="Times New Roman"/>
                <w:szCs w:val="21"/>
              </w:rPr>
              <w:t>课堂分享</w:t>
            </w:r>
          </w:p>
        </w:tc>
        <w:tc>
          <w:tcPr>
            <w:tcW w:w="438" w:type="dxa"/>
            <w:vAlign w:val="center"/>
          </w:tcPr>
          <w:p w14:paraId="7EA53E34">
            <w:pPr>
              <w:jc w:val="center"/>
              <w:rPr>
                <w:rFonts w:hint="eastAsia" w:ascii="宋体" w:hAnsi="宋体" w:eastAsia="宋体" w:cs="Times New Roman"/>
                <w:szCs w:val="21"/>
              </w:rPr>
            </w:pPr>
            <w:r>
              <w:rPr>
                <w:rFonts w:hint="eastAsia" w:ascii="宋体" w:hAnsi="宋体" w:eastAsia="宋体" w:cs="Times New Roman"/>
                <w:szCs w:val="21"/>
              </w:rPr>
              <w:t>4</w:t>
            </w:r>
          </w:p>
        </w:tc>
      </w:tr>
      <w:tr w14:paraId="488D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3635CF0F">
            <w:pPr>
              <w:jc w:val="center"/>
              <w:rPr>
                <w:rFonts w:hint="eastAsia" w:ascii="宋体" w:hAnsi="宋体" w:eastAsia="宋体" w:cs="Times New Roman"/>
                <w:szCs w:val="21"/>
              </w:rPr>
            </w:pPr>
          </w:p>
        </w:tc>
        <w:tc>
          <w:tcPr>
            <w:tcW w:w="8093" w:type="dxa"/>
            <w:gridSpan w:val="5"/>
            <w:vAlign w:val="center"/>
          </w:tcPr>
          <w:p w14:paraId="49553EB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66543BF6">
            <w:pPr>
              <w:jc w:val="left"/>
              <w:rPr>
                <w:rFonts w:hint="eastAsia" w:ascii="宋体" w:hAnsi="宋体" w:eastAsia="宋体" w:cs="Times New Roman"/>
                <w:szCs w:val="21"/>
              </w:rPr>
            </w:pPr>
            <w:r>
              <w:rPr>
                <w:rFonts w:hint="eastAsia" w:ascii="宋体" w:hAnsi="宋体" w:eastAsia="宋体" w:cs="Times New Roman"/>
                <w:szCs w:val="21"/>
              </w:rPr>
              <w:t>增强社会责任感与课程主体意识，既具有国际视野，也进一步增强我国课程文化自信。</w:t>
            </w:r>
          </w:p>
        </w:tc>
      </w:tr>
      <w:tr w14:paraId="2C3F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6C7AD458">
            <w:pPr>
              <w:rPr>
                <w:rFonts w:hint="eastAsia" w:ascii="宋体" w:hAnsi="宋体" w:eastAsia="宋体" w:cs="Times New Roman"/>
                <w:szCs w:val="21"/>
              </w:rPr>
            </w:pPr>
            <w:r>
              <w:rPr>
                <w:rFonts w:hint="eastAsia" w:ascii="宋体" w:hAnsi="宋体" w:eastAsia="宋体" w:cs="Times New Roman"/>
                <w:szCs w:val="21"/>
              </w:rPr>
              <w:t>校本课程开发的特征</w:t>
            </w:r>
          </w:p>
        </w:tc>
        <w:tc>
          <w:tcPr>
            <w:tcW w:w="2672" w:type="dxa"/>
            <w:vAlign w:val="center"/>
          </w:tcPr>
          <w:p w14:paraId="3F311753">
            <w:pPr>
              <w:jc w:val="left"/>
              <w:rPr>
                <w:rFonts w:hint="eastAsia" w:ascii="宋体" w:hAnsi="宋体" w:eastAsia="宋体" w:cs="Times New Roman"/>
                <w:bCs/>
                <w:szCs w:val="21"/>
              </w:rPr>
            </w:pPr>
            <w:r>
              <w:rPr>
                <w:rFonts w:hint="eastAsia" w:ascii="宋体" w:hAnsi="宋体" w:eastAsia="宋体" w:cs="Times New Roman"/>
                <w:bCs/>
                <w:szCs w:val="21"/>
              </w:rPr>
              <w:t>（1）校本课程开发的特点</w:t>
            </w:r>
          </w:p>
          <w:p w14:paraId="59589F98">
            <w:pPr>
              <w:jc w:val="left"/>
              <w:rPr>
                <w:rFonts w:hint="eastAsia" w:ascii="宋体" w:hAnsi="宋体" w:eastAsia="宋体" w:cs="Times New Roman"/>
                <w:bCs/>
                <w:szCs w:val="21"/>
              </w:rPr>
            </w:pPr>
            <w:r>
              <w:rPr>
                <w:rFonts w:hint="eastAsia" w:ascii="宋体" w:hAnsi="宋体" w:eastAsia="宋体" w:cs="Times New Roman"/>
                <w:bCs/>
                <w:szCs w:val="21"/>
              </w:rPr>
              <w:t>（2）校本课程开发的关键要素</w:t>
            </w:r>
          </w:p>
          <w:p w14:paraId="37EF7F42">
            <w:pPr>
              <w:jc w:val="left"/>
              <w:rPr>
                <w:rFonts w:hint="eastAsia" w:ascii="宋体" w:hAnsi="宋体" w:eastAsia="宋体" w:cs="Times New Roman"/>
                <w:bCs/>
                <w:szCs w:val="21"/>
              </w:rPr>
            </w:pPr>
            <w:r>
              <w:rPr>
                <w:rFonts w:hint="eastAsia" w:ascii="宋体" w:hAnsi="宋体" w:eastAsia="宋体" w:cs="Times New Roman"/>
                <w:bCs/>
                <w:szCs w:val="21"/>
              </w:rPr>
              <w:t>（3）校本课程开发的独特价值</w:t>
            </w:r>
          </w:p>
        </w:tc>
        <w:tc>
          <w:tcPr>
            <w:tcW w:w="1292" w:type="dxa"/>
            <w:vAlign w:val="center"/>
          </w:tcPr>
          <w:p w14:paraId="79F1D62C">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533" w:type="dxa"/>
            <w:vAlign w:val="center"/>
          </w:tcPr>
          <w:p w14:paraId="4DB255F6">
            <w:pPr>
              <w:jc w:val="left"/>
              <w:rPr>
                <w:rFonts w:hint="eastAsia" w:ascii="宋体" w:hAnsi="宋体" w:eastAsia="宋体" w:cs="Times New Roman"/>
                <w:bCs/>
                <w:szCs w:val="21"/>
              </w:rPr>
            </w:pPr>
            <w:r>
              <w:rPr>
                <w:rFonts w:hint="eastAsia" w:ascii="宋体" w:hAnsi="宋体" w:eastAsia="宋体" w:cs="Times New Roman"/>
                <w:bCs/>
                <w:szCs w:val="21"/>
              </w:rPr>
              <w:t>（1）理解校本课程开发的特征。</w:t>
            </w:r>
          </w:p>
          <w:p w14:paraId="4D98A17F">
            <w:pPr>
              <w:jc w:val="left"/>
              <w:rPr>
                <w:rFonts w:hint="eastAsia" w:ascii="宋体" w:hAnsi="宋体" w:eastAsia="宋体" w:cs="Times New Roman"/>
                <w:bCs/>
                <w:szCs w:val="21"/>
              </w:rPr>
            </w:pPr>
            <w:r>
              <w:rPr>
                <w:rFonts w:hint="eastAsia" w:ascii="宋体" w:hAnsi="宋体" w:eastAsia="宋体" w:cs="Times New Roman"/>
                <w:bCs/>
                <w:szCs w:val="21"/>
              </w:rPr>
              <w:t>（2）了解校本课程开发的独特价值。</w:t>
            </w:r>
          </w:p>
          <w:p w14:paraId="73786AE3">
            <w:pPr>
              <w:jc w:val="left"/>
              <w:rPr>
                <w:rFonts w:hint="eastAsia" w:ascii="宋体" w:hAnsi="宋体" w:eastAsia="宋体" w:cs="Times New Roman"/>
                <w:bCs/>
                <w:szCs w:val="21"/>
              </w:rPr>
            </w:pPr>
            <w:r>
              <w:rPr>
                <w:rFonts w:hint="eastAsia" w:ascii="宋体" w:hAnsi="宋体" w:eastAsia="宋体" w:cs="Times New Roman"/>
                <w:bCs/>
                <w:szCs w:val="21"/>
              </w:rPr>
              <w:t>（3）掌握校本课程开发的关键要素。</w:t>
            </w:r>
          </w:p>
        </w:tc>
        <w:tc>
          <w:tcPr>
            <w:tcW w:w="1158" w:type="dxa"/>
            <w:vAlign w:val="center"/>
          </w:tcPr>
          <w:p w14:paraId="6DA979ED">
            <w:pPr>
              <w:jc w:val="left"/>
              <w:rPr>
                <w:rFonts w:hint="eastAsia" w:ascii="宋体" w:hAnsi="宋体" w:eastAsia="宋体" w:cs="Times New Roman"/>
                <w:szCs w:val="21"/>
              </w:rPr>
            </w:pPr>
            <w:r>
              <w:rPr>
                <w:rFonts w:hint="eastAsia" w:ascii="宋体" w:hAnsi="宋体" w:eastAsia="宋体" w:cs="Times New Roman"/>
                <w:szCs w:val="21"/>
              </w:rPr>
              <w:t>案例观摩</w:t>
            </w:r>
          </w:p>
          <w:p w14:paraId="19B775DB">
            <w:pPr>
              <w:jc w:val="left"/>
              <w:rPr>
                <w:rFonts w:hint="eastAsia" w:ascii="宋体" w:hAnsi="宋体" w:eastAsia="宋体" w:cs="Times New Roman"/>
                <w:szCs w:val="21"/>
              </w:rPr>
            </w:pPr>
            <w:r>
              <w:rPr>
                <w:rFonts w:hint="eastAsia" w:ascii="宋体" w:hAnsi="宋体" w:eastAsia="宋体" w:cs="Times New Roman"/>
                <w:szCs w:val="21"/>
              </w:rPr>
              <w:t>课堂交流</w:t>
            </w:r>
          </w:p>
        </w:tc>
        <w:tc>
          <w:tcPr>
            <w:tcW w:w="438" w:type="dxa"/>
            <w:vAlign w:val="center"/>
          </w:tcPr>
          <w:p w14:paraId="2E3116AB">
            <w:pPr>
              <w:jc w:val="center"/>
              <w:rPr>
                <w:rFonts w:hint="eastAsia" w:ascii="宋体" w:hAnsi="宋体" w:eastAsia="宋体" w:cs="Times New Roman"/>
                <w:szCs w:val="21"/>
              </w:rPr>
            </w:pPr>
            <w:r>
              <w:rPr>
                <w:rFonts w:hint="eastAsia" w:ascii="宋体" w:hAnsi="宋体" w:eastAsia="宋体" w:cs="Times New Roman"/>
                <w:szCs w:val="21"/>
              </w:rPr>
              <w:t>2</w:t>
            </w:r>
          </w:p>
        </w:tc>
      </w:tr>
      <w:tr w14:paraId="4CF9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1A8DC2AC">
            <w:pPr>
              <w:jc w:val="center"/>
              <w:rPr>
                <w:rFonts w:hint="eastAsia" w:ascii="宋体" w:hAnsi="宋体" w:eastAsia="宋体" w:cs="Times New Roman"/>
                <w:szCs w:val="21"/>
              </w:rPr>
            </w:pPr>
          </w:p>
        </w:tc>
        <w:tc>
          <w:tcPr>
            <w:tcW w:w="8093" w:type="dxa"/>
            <w:gridSpan w:val="5"/>
            <w:vAlign w:val="center"/>
          </w:tcPr>
          <w:p w14:paraId="4B71EEC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6CE29EF6">
            <w:pPr>
              <w:jc w:val="left"/>
              <w:rPr>
                <w:rFonts w:hint="eastAsia" w:ascii="宋体" w:hAnsi="宋体" w:eastAsia="宋体" w:cs="Times New Roman"/>
                <w:szCs w:val="21"/>
              </w:rPr>
            </w:pPr>
            <w:r>
              <w:rPr>
                <w:rFonts w:hint="eastAsia" w:ascii="宋体" w:hAnsi="宋体" w:eastAsia="宋体" w:cs="Times New Roman"/>
                <w:szCs w:val="21"/>
              </w:rPr>
              <w:t>乐于关注我国基础教育课程改革新动态，愿意学习我国各地各校的校本课程开发的中国经验。</w:t>
            </w:r>
          </w:p>
        </w:tc>
      </w:tr>
      <w:tr w14:paraId="551B0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0E2F916B">
            <w:pPr>
              <w:jc w:val="center"/>
              <w:rPr>
                <w:rFonts w:hint="eastAsia" w:ascii="宋体" w:hAnsi="宋体" w:eastAsia="宋体" w:cs="Times New Roman"/>
                <w:szCs w:val="21"/>
              </w:rPr>
            </w:pPr>
            <w:r>
              <w:rPr>
                <w:rFonts w:hint="eastAsia" w:ascii="Times New Roman" w:hAnsi="Times New Roman" w:eastAsia="宋体" w:cs="Times New Roman"/>
                <w:szCs w:val="21"/>
              </w:rPr>
              <w:t>校本课程开发的模式</w:t>
            </w:r>
          </w:p>
        </w:tc>
        <w:tc>
          <w:tcPr>
            <w:tcW w:w="2672" w:type="dxa"/>
            <w:vAlign w:val="center"/>
          </w:tcPr>
          <w:p w14:paraId="51EA6813">
            <w:pPr>
              <w:jc w:val="left"/>
              <w:rPr>
                <w:rFonts w:hint="eastAsia" w:ascii="宋体" w:hAnsi="宋体" w:eastAsia="宋体" w:cs="Times New Roman"/>
                <w:bCs/>
                <w:szCs w:val="21"/>
              </w:rPr>
            </w:pPr>
            <w:r>
              <w:rPr>
                <w:rFonts w:hint="eastAsia" w:ascii="宋体" w:hAnsi="宋体" w:eastAsia="宋体" w:cs="Times New Roman"/>
                <w:bCs/>
                <w:szCs w:val="21"/>
              </w:rPr>
              <w:t>（1）校本课程开发的可能形态</w:t>
            </w:r>
          </w:p>
          <w:p w14:paraId="28A76F34">
            <w:pPr>
              <w:jc w:val="left"/>
              <w:rPr>
                <w:rFonts w:hint="eastAsia" w:ascii="宋体" w:hAnsi="宋体" w:eastAsia="宋体" w:cs="Times New Roman"/>
                <w:szCs w:val="21"/>
              </w:rPr>
            </w:pPr>
            <w:r>
              <w:rPr>
                <w:rFonts w:hint="eastAsia" w:ascii="宋体" w:hAnsi="宋体" w:eastAsia="宋体" w:cs="Times New Roman"/>
                <w:bCs/>
                <w:szCs w:val="21"/>
              </w:rPr>
              <w:t>（2）校本课程开发的具体方式</w:t>
            </w:r>
          </w:p>
        </w:tc>
        <w:tc>
          <w:tcPr>
            <w:tcW w:w="1292" w:type="dxa"/>
            <w:vAlign w:val="center"/>
          </w:tcPr>
          <w:p w14:paraId="3A61F09D">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533" w:type="dxa"/>
            <w:vAlign w:val="center"/>
          </w:tcPr>
          <w:p w14:paraId="5A587EE4">
            <w:pPr>
              <w:jc w:val="left"/>
              <w:rPr>
                <w:rFonts w:hint="eastAsia" w:ascii="宋体" w:hAnsi="宋体" w:eastAsia="宋体" w:cs="Times New Roman"/>
                <w:bCs/>
                <w:szCs w:val="21"/>
              </w:rPr>
            </w:pPr>
            <w:r>
              <w:rPr>
                <w:rFonts w:hint="eastAsia" w:ascii="宋体" w:hAnsi="宋体" w:eastAsia="宋体" w:cs="Times New Roman"/>
                <w:bCs/>
                <w:szCs w:val="21"/>
              </w:rPr>
              <w:t>（1）了解课程开发的多元分类标准和不同类型。</w:t>
            </w:r>
          </w:p>
          <w:p w14:paraId="1008D217">
            <w:pPr>
              <w:jc w:val="left"/>
              <w:rPr>
                <w:rFonts w:hint="eastAsia" w:ascii="宋体" w:hAnsi="宋体" w:eastAsia="宋体" w:cs="Times New Roman"/>
                <w:bCs/>
                <w:szCs w:val="21"/>
              </w:rPr>
            </w:pPr>
            <w:r>
              <w:rPr>
                <w:rFonts w:hint="eastAsia" w:ascii="宋体" w:hAnsi="宋体" w:eastAsia="宋体" w:cs="Times New Roman"/>
                <w:bCs/>
                <w:szCs w:val="21"/>
              </w:rPr>
              <w:t>（2）掌握课程选择、课程整合、课程创编等三种开发活动的实践样式，并能在实践中自由运用。</w:t>
            </w:r>
          </w:p>
        </w:tc>
        <w:tc>
          <w:tcPr>
            <w:tcW w:w="1158" w:type="dxa"/>
            <w:vAlign w:val="center"/>
          </w:tcPr>
          <w:p w14:paraId="3D7066FD">
            <w:pPr>
              <w:jc w:val="left"/>
              <w:rPr>
                <w:rFonts w:hint="eastAsia" w:ascii="宋体" w:hAnsi="宋体" w:eastAsia="宋体" w:cs="Times New Roman"/>
                <w:szCs w:val="21"/>
              </w:rPr>
            </w:pPr>
            <w:r>
              <w:rPr>
                <w:rFonts w:hint="eastAsia" w:ascii="宋体" w:hAnsi="宋体" w:eastAsia="宋体" w:cs="Times New Roman"/>
                <w:szCs w:val="21"/>
              </w:rPr>
              <w:t>教师讲授</w:t>
            </w:r>
          </w:p>
          <w:p w14:paraId="1C2BDF50">
            <w:pPr>
              <w:jc w:val="left"/>
              <w:rPr>
                <w:rFonts w:hint="eastAsia" w:ascii="宋体" w:hAnsi="宋体" w:eastAsia="宋体" w:cs="Times New Roman"/>
                <w:szCs w:val="21"/>
              </w:rPr>
            </w:pPr>
            <w:r>
              <w:rPr>
                <w:rFonts w:hint="eastAsia" w:ascii="宋体" w:hAnsi="宋体" w:eastAsia="宋体" w:cs="Times New Roman"/>
                <w:szCs w:val="21"/>
              </w:rPr>
              <w:t>案例观摩</w:t>
            </w:r>
          </w:p>
          <w:p w14:paraId="5A22CD03">
            <w:pPr>
              <w:jc w:val="left"/>
              <w:rPr>
                <w:rFonts w:hint="eastAsia" w:ascii="宋体" w:hAnsi="宋体" w:eastAsia="宋体" w:cs="Times New Roman"/>
                <w:szCs w:val="21"/>
              </w:rPr>
            </w:pPr>
            <w:r>
              <w:rPr>
                <w:rFonts w:hint="eastAsia" w:ascii="宋体" w:hAnsi="宋体" w:eastAsia="宋体" w:cs="Times New Roman"/>
                <w:szCs w:val="21"/>
              </w:rPr>
              <w:t>课堂交流</w:t>
            </w:r>
          </w:p>
        </w:tc>
        <w:tc>
          <w:tcPr>
            <w:tcW w:w="438" w:type="dxa"/>
            <w:vAlign w:val="center"/>
          </w:tcPr>
          <w:p w14:paraId="041FDAD6">
            <w:pPr>
              <w:jc w:val="center"/>
              <w:rPr>
                <w:rFonts w:hint="eastAsia" w:ascii="宋体" w:hAnsi="宋体" w:eastAsia="宋体" w:cs="Times New Roman"/>
                <w:szCs w:val="21"/>
              </w:rPr>
            </w:pPr>
            <w:r>
              <w:rPr>
                <w:rFonts w:hint="eastAsia" w:ascii="宋体" w:hAnsi="宋体" w:eastAsia="宋体" w:cs="Times New Roman"/>
                <w:szCs w:val="21"/>
              </w:rPr>
              <w:t>4</w:t>
            </w:r>
          </w:p>
        </w:tc>
      </w:tr>
      <w:tr w14:paraId="6157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0937123D">
            <w:pPr>
              <w:jc w:val="center"/>
              <w:rPr>
                <w:rFonts w:hint="eastAsia" w:ascii="宋体" w:hAnsi="宋体" w:eastAsia="宋体" w:cs="Times New Roman"/>
                <w:szCs w:val="21"/>
              </w:rPr>
            </w:pPr>
          </w:p>
        </w:tc>
        <w:tc>
          <w:tcPr>
            <w:tcW w:w="8093" w:type="dxa"/>
            <w:gridSpan w:val="5"/>
            <w:vAlign w:val="center"/>
          </w:tcPr>
          <w:p w14:paraId="20C371D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04F25FF5">
            <w:pPr>
              <w:jc w:val="left"/>
              <w:rPr>
                <w:rFonts w:hint="eastAsia" w:ascii="宋体" w:hAnsi="宋体" w:eastAsia="宋体" w:cs="Times New Roman"/>
                <w:szCs w:val="21"/>
              </w:rPr>
            </w:pPr>
            <w:r>
              <w:rPr>
                <w:rFonts w:hint="eastAsia" w:ascii="宋体" w:hAnsi="宋体" w:eastAsia="宋体" w:cs="Times New Roman"/>
                <w:szCs w:val="21"/>
              </w:rPr>
              <w:t>体验教师校本课程开发中不断创新的工匠精神，传承并弘扬中国教育家精神。</w:t>
            </w:r>
          </w:p>
        </w:tc>
      </w:tr>
      <w:tr w14:paraId="5EA9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04022796">
            <w:pPr>
              <w:jc w:val="center"/>
              <w:rPr>
                <w:rFonts w:hint="eastAsia" w:ascii="宋体" w:hAnsi="宋体" w:eastAsia="宋体" w:cs="Times New Roman"/>
                <w:szCs w:val="21"/>
              </w:rPr>
            </w:pPr>
            <w:r>
              <w:rPr>
                <w:rFonts w:hint="eastAsia" w:ascii="Times New Roman" w:hAnsi="Times New Roman" w:eastAsia="宋体" w:cs="Times New Roman"/>
                <w:szCs w:val="21"/>
              </w:rPr>
              <w:t>校本课程开发的条件</w:t>
            </w:r>
          </w:p>
        </w:tc>
        <w:tc>
          <w:tcPr>
            <w:tcW w:w="2672" w:type="dxa"/>
            <w:vAlign w:val="center"/>
          </w:tcPr>
          <w:p w14:paraId="61B55179">
            <w:pPr>
              <w:jc w:val="left"/>
              <w:rPr>
                <w:rFonts w:hint="eastAsia" w:ascii="宋体" w:hAnsi="宋体" w:eastAsia="宋体" w:cs="Times New Roman"/>
                <w:bCs/>
                <w:szCs w:val="21"/>
              </w:rPr>
            </w:pPr>
            <w:r>
              <w:rPr>
                <w:rFonts w:hint="eastAsia" w:ascii="宋体" w:hAnsi="宋体" w:eastAsia="宋体" w:cs="Times New Roman"/>
                <w:bCs/>
                <w:szCs w:val="21"/>
              </w:rPr>
              <w:t>（1）校本课程开发的影响因素</w:t>
            </w:r>
          </w:p>
          <w:p w14:paraId="040380B4">
            <w:pPr>
              <w:jc w:val="left"/>
              <w:rPr>
                <w:rFonts w:hint="eastAsia" w:ascii="宋体" w:hAnsi="宋体" w:eastAsia="宋体" w:cs="Times New Roman"/>
                <w:bCs/>
                <w:szCs w:val="21"/>
              </w:rPr>
            </w:pPr>
            <w:r>
              <w:rPr>
                <w:rFonts w:hint="eastAsia" w:ascii="宋体" w:hAnsi="宋体" w:eastAsia="宋体" w:cs="Times New Roman"/>
                <w:bCs/>
                <w:szCs w:val="21"/>
              </w:rPr>
              <w:t>（2）校长与学校教育哲学</w:t>
            </w:r>
          </w:p>
          <w:p w14:paraId="156D2287">
            <w:pPr>
              <w:jc w:val="left"/>
              <w:rPr>
                <w:rFonts w:hint="eastAsia" w:ascii="宋体" w:hAnsi="宋体" w:eastAsia="宋体" w:cs="Times New Roman"/>
                <w:bCs/>
                <w:szCs w:val="21"/>
              </w:rPr>
            </w:pPr>
            <w:r>
              <w:rPr>
                <w:rFonts w:hint="eastAsia" w:ascii="宋体" w:hAnsi="宋体" w:eastAsia="宋体" w:cs="Times New Roman"/>
                <w:bCs/>
                <w:szCs w:val="21"/>
              </w:rPr>
              <w:t>（3）教师与个人教育信念</w:t>
            </w:r>
          </w:p>
        </w:tc>
        <w:tc>
          <w:tcPr>
            <w:tcW w:w="1292" w:type="dxa"/>
            <w:vAlign w:val="center"/>
          </w:tcPr>
          <w:p w14:paraId="16D2642C">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533" w:type="dxa"/>
            <w:vAlign w:val="center"/>
          </w:tcPr>
          <w:p w14:paraId="20599845">
            <w:pPr>
              <w:jc w:val="left"/>
              <w:rPr>
                <w:rFonts w:hint="eastAsia" w:ascii="宋体" w:hAnsi="宋体" w:eastAsia="宋体" w:cs="Times New Roman"/>
                <w:bCs/>
                <w:szCs w:val="21"/>
              </w:rPr>
            </w:pPr>
            <w:r>
              <w:rPr>
                <w:rFonts w:hint="eastAsia" w:ascii="宋体" w:hAnsi="宋体" w:eastAsia="宋体" w:cs="Times New Roman"/>
                <w:bCs/>
                <w:szCs w:val="21"/>
              </w:rPr>
              <w:t>（1）理解影响校本课程开发的因素。</w:t>
            </w:r>
          </w:p>
          <w:p w14:paraId="28334FF5">
            <w:pPr>
              <w:jc w:val="left"/>
              <w:rPr>
                <w:rFonts w:hint="eastAsia" w:ascii="宋体" w:hAnsi="宋体" w:eastAsia="宋体" w:cs="Times New Roman"/>
                <w:bCs/>
                <w:szCs w:val="21"/>
              </w:rPr>
            </w:pPr>
            <w:r>
              <w:rPr>
                <w:rFonts w:hint="eastAsia" w:ascii="宋体" w:hAnsi="宋体" w:eastAsia="宋体" w:cs="Times New Roman"/>
                <w:bCs/>
                <w:szCs w:val="21"/>
              </w:rPr>
              <w:t>（2）了解校长在校本课程开发中的重要性。</w:t>
            </w:r>
          </w:p>
          <w:p w14:paraId="538F2905">
            <w:pPr>
              <w:jc w:val="left"/>
              <w:rPr>
                <w:rFonts w:hint="eastAsia" w:ascii="宋体" w:hAnsi="宋体" w:eastAsia="宋体" w:cs="Times New Roman"/>
                <w:bCs/>
                <w:szCs w:val="21"/>
              </w:rPr>
            </w:pPr>
            <w:r>
              <w:rPr>
                <w:rFonts w:hint="eastAsia" w:ascii="宋体" w:hAnsi="宋体" w:eastAsia="宋体" w:cs="Times New Roman"/>
                <w:bCs/>
                <w:szCs w:val="21"/>
              </w:rPr>
              <w:t>（4）掌握教师参与校本课程开发的条件。</w:t>
            </w:r>
          </w:p>
        </w:tc>
        <w:tc>
          <w:tcPr>
            <w:tcW w:w="1158" w:type="dxa"/>
            <w:vAlign w:val="center"/>
          </w:tcPr>
          <w:p w14:paraId="36257571">
            <w:pPr>
              <w:jc w:val="left"/>
              <w:rPr>
                <w:rFonts w:hint="eastAsia" w:ascii="宋体" w:hAnsi="宋体" w:eastAsia="宋体" w:cs="Times New Roman"/>
                <w:szCs w:val="21"/>
              </w:rPr>
            </w:pPr>
            <w:r>
              <w:rPr>
                <w:rFonts w:hint="eastAsia" w:ascii="宋体" w:hAnsi="宋体" w:eastAsia="宋体" w:cs="Times New Roman"/>
                <w:szCs w:val="21"/>
              </w:rPr>
              <w:t>案例观摩</w:t>
            </w:r>
          </w:p>
          <w:p w14:paraId="5617349C">
            <w:pPr>
              <w:jc w:val="left"/>
              <w:rPr>
                <w:rFonts w:hint="eastAsia" w:ascii="宋体" w:hAnsi="宋体" w:eastAsia="宋体" w:cs="Times New Roman"/>
                <w:szCs w:val="21"/>
              </w:rPr>
            </w:pPr>
            <w:r>
              <w:rPr>
                <w:rFonts w:hint="eastAsia" w:ascii="宋体" w:hAnsi="宋体" w:eastAsia="宋体" w:cs="Times New Roman"/>
                <w:szCs w:val="21"/>
              </w:rPr>
              <w:t>小组辩论</w:t>
            </w:r>
          </w:p>
        </w:tc>
        <w:tc>
          <w:tcPr>
            <w:tcW w:w="438" w:type="dxa"/>
            <w:vAlign w:val="center"/>
          </w:tcPr>
          <w:p w14:paraId="534A263A">
            <w:pPr>
              <w:jc w:val="center"/>
              <w:rPr>
                <w:rFonts w:hint="eastAsia" w:ascii="宋体" w:hAnsi="宋体" w:eastAsia="宋体" w:cs="Times New Roman"/>
                <w:szCs w:val="21"/>
              </w:rPr>
            </w:pPr>
            <w:r>
              <w:rPr>
                <w:rFonts w:hint="eastAsia" w:ascii="宋体" w:hAnsi="宋体" w:eastAsia="宋体" w:cs="Times New Roman"/>
                <w:szCs w:val="21"/>
              </w:rPr>
              <w:t>2</w:t>
            </w:r>
          </w:p>
        </w:tc>
      </w:tr>
      <w:tr w14:paraId="0891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249ED378">
            <w:pPr>
              <w:jc w:val="center"/>
              <w:rPr>
                <w:rFonts w:hint="eastAsia" w:ascii="宋体" w:hAnsi="宋体" w:eastAsia="宋体" w:cs="Times New Roman"/>
                <w:szCs w:val="21"/>
              </w:rPr>
            </w:pPr>
          </w:p>
        </w:tc>
        <w:tc>
          <w:tcPr>
            <w:tcW w:w="8093" w:type="dxa"/>
            <w:gridSpan w:val="5"/>
            <w:vAlign w:val="center"/>
          </w:tcPr>
          <w:p w14:paraId="7C23710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76B493A7">
            <w:pPr>
              <w:jc w:val="left"/>
              <w:rPr>
                <w:rFonts w:hint="eastAsia" w:ascii="宋体" w:hAnsi="宋体" w:eastAsia="宋体" w:cs="Times New Roman"/>
                <w:szCs w:val="21"/>
              </w:rPr>
            </w:pPr>
            <w:r>
              <w:rPr>
                <w:rFonts w:hint="eastAsia" w:ascii="宋体" w:hAnsi="宋体" w:eastAsia="宋体" w:cs="Times New Roman"/>
                <w:szCs w:val="21"/>
              </w:rPr>
              <w:t>强化课程开发的主体意识，自觉借助课程弘扬中华优秀传统文化，文化自信。</w:t>
            </w:r>
          </w:p>
        </w:tc>
      </w:tr>
      <w:tr w14:paraId="190D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4A4882C3">
            <w:pPr>
              <w:jc w:val="center"/>
              <w:rPr>
                <w:rFonts w:hint="eastAsia" w:ascii="宋体" w:hAnsi="宋体" w:eastAsia="宋体" w:cs="Times New Roman"/>
                <w:szCs w:val="21"/>
              </w:rPr>
            </w:pPr>
            <w:r>
              <w:rPr>
                <w:rFonts w:hint="eastAsia" w:ascii="Times New Roman" w:hAnsi="Times New Roman" w:eastAsia="宋体" w:cs="Times New Roman"/>
                <w:szCs w:val="21"/>
              </w:rPr>
              <w:t>校本课程开发的资源</w:t>
            </w:r>
          </w:p>
        </w:tc>
        <w:tc>
          <w:tcPr>
            <w:tcW w:w="2672" w:type="dxa"/>
            <w:vAlign w:val="center"/>
          </w:tcPr>
          <w:p w14:paraId="5ACD61E2">
            <w:pPr>
              <w:jc w:val="left"/>
              <w:rPr>
                <w:rFonts w:hint="eastAsia" w:ascii="宋体" w:hAnsi="宋体" w:eastAsia="宋体" w:cs="Times New Roman"/>
                <w:bCs/>
                <w:szCs w:val="21"/>
              </w:rPr>
            </w:pPr>
            <w:r>
              <w:rPr>
                <w:rFonts w:hint="eastAsia" w:ascii="宋体" w:hAnsi="宋体" w:eastAsia="宋体" w:cs="Times New Roman"/>
                <w:bCs/>
                <w:szCs w:val="21"/>
              </w:rPr>
              <w:t>（1）课程资源的类型与选择</w:t>
            </w:r>
          </w:p>
          <w:p w14:paraId="1430FC49">
            <w:pPr>
              <w:jc w:val="left"/>
              <w:rPr>
                <w:rFonts w:hint="eastAsia" w:ascii="宋体" w:hAnsi="宋体" w:eastAsia="宋体" w:cs="Times New Roman"/>
                <w:bCs/>
                <w:szCs w:val="21"/>
              </w:rPr>
            </w:pPr>
            <w:r>
              <w:rPr>
                <w:rFonts w:hint="eastAsia" w:ascii="宋体" w:hAnsi="宋体" w:eastAsia="宋体" w:cs="Times New Roman"/>
                <w:bCs/>
                <w:szCs w:val="21"/>
              </w:rPr>
              <w:t>（2）物质课程资源的开发与利用</w:t>
            </w:r>
          </w:p>
          <w:p w14:paraId="364B468D">
            <w:pPr>
              <w:jc w:val="left"/>
              <w:rPr>
                <w:rFonts w:hint="eastAsia" w:ascii="宋体" w:hAnsi="宋体" w:eastAsia="宋体" w:cs="Times New Roman"/>
                <w:szCs w:val="21"/>
              </w:rPr>
            </w:pPr>
            <w:r>
              <w:rPr>
                <w:rFonts w:hint="eastAsia" w:ascii="宋体" w:hAnsi="宋体" w:eastAsia="宋体" w:cs="Times New Roman"/>
                <w:bCs/>
                <w:szCs w:val="21"/>
              </w:rPr>
              <w:t>（3）人力资源的开发与利用</w:t>
            </w:r>
          </w:p>
        </w:tc>
        <w:tc>
          <w:tcPr>
            <w:tcW w:w="1292" w:type="dxa"/>
            <w:vAlign w:val="center"/>
          </w:tcPr>
          <w:p w14:paraId="00DE5463">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533" w:type="dxa"/>
            <w:vAlign w:val="center"/>
          </w:tcPr>
          <w:p w14:paraId="6C58002D">
            <w:pPr>
              <w:jc w:val="left"/>
              <w:rPr>
                <w:rFonts w:hint="eastAsia" w:ascii="宋体" w:hAnsi="宋体" w:eastAsia="宋体" w:cs="Times New Roman"/>
                <w:bCs/>
                <w:szCs w:val="21"/>
              </w:rPr>
            </w:pPr>
            <w:r>
              <w:rPr>
                <w:rFonts w:hint="eastAsia" w:ascii="宋体" w:hAnsi="宋体" w:eastAsia="宋体" w:cs="Times New Roman"/>
                <w:bCs/>
                <w:szCs w:val="21"/>
              </w:rPr>
              <w:t>（1）了解课程资源的类型以及课程资源选择的原则与路径。</w:t>
            </w:r>
          </w:p>
          <w:p w14:paraId="070BB09E">
            <w:pPr>
              <w:jc w:val="left"/>
              <w:rPr>
                <w:rFonts w:hint="eastAsia" w:ascii="宋体" w:hAnsi="宋体" w:eastAsia="宋体" w:cs="Times New Roman"/>
                <w:bCs/>
                <w:szCs w:val="21"/>
              </w:rPr>
            </w:pPr>
            <w:r>
              <w:rPr>
                <w:rFonts w:hint="eastAsia" w:ascii="宋体" w:hAnsi="宋体" w:eastAsia="宋体" w:cs="Times New Roman"/>
                <w:bCs/>
                <w:szCs w:val="21"/>
              </w:rPr>
              <w:t>（2）明确校本课程开发中有哪些物质和人力资源可以利用，掌握物质和人力资源开发和利用中应注意的一些问题，并结合案例明确如何在各学科教学课程与教学中选择和使用物质、人力资源。</w:t>
            </w:r>
          </w:p>
        </w:tc>
        <w:tc>
          <w:tcPr>
            <w:tcW w:w="1158" w:type="dxa"/>
            <w:vAlign w:val="center"/>
          </w:tcPr>
          <w:p w14:paraId="66835C90">
            <w:pPr>
              <w:jc w:val="left"/>
              <w:rPr>
                <w:rFonts w:hint="eastAsia" w:ascii="宋体" w:hAnsi="宋体" w:eastAsia="宋体" w:cs="Times New Roman"/>
                <w:szCs w:val="21"/>
              </w:rPr>
            </w:pPr>
            <w:r>
              <w:rPr>
                <w:rFonts w:hint="eastAsia" w:ascii="宋体" w:hAnsi="宋体" w:eastAsia="宋体" w:cs="Times New Roman"/>
                <w:szCs w:val="21"/>
              </w:rPr>
              <w:t>实践观察</w:t>
            </w:r>
          </w:p>
          <w:p w14:paraId="5882DEDF">
            <w:pPr>
              <w:jc w:val="left"/>
              <w:rPr>
                <w:rFonts w:hint="eastAsia" w:ascii="宋体" w:hAnsi="宋体" w:eastAsia="宋体" w:cs="Times New Roman"/>
                <w:szCs w:val="21"/>
              </w:rPr>
            </w:pPr>
            <w:r>
              <w:rPr>
                <w:rFonts w:hint="eastAsia" w:ascii="宋体" w:hAnsi="宋体" w:eastAsia="宋体" w:cs="Times New Roman"/>
                <w:szCs w:val="21"/>
              </w:rPr>
              <w:t>课堂讨论</w:t>
            </w:r>
          </w:p>
        </w:tc>
        <w:tc>
          <w:tcPr>
            <w:tcW w:w="438" w:type="dxa"/>
            <w:vAlign w:val="center"/>
          </w:tcPr>
          <w:p w14:paraId="2FACF3B2">
            <w:pPr>
              <w:jc w:val="center"/>
              <w:rPr>
                <w:rFonts w:hint="eastAsia" w:ascii="宋体" w:hAnsi="宋体" w:eastAsia="宋体" w:cs="Times New Roman"/>
                <w:szCs w:val="21"/>
              </w:rPr>
            </w:pPr>
            <w:r>
              <w:rPr>
                <w:rFonts w:hint="eastAsia" w:ascii="宋体" w:hAnsi="宋体" w:eastAsia="宋体" w:cs="Times New Roman"/>
                <w:szCs w:val="21"/>
              </w:rPr>
              <w:t>6</w:t>
            </w:r>
          </w:p>
        </w:tc>
      </w:tr>
      <w:tr w14:paraId="5638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3D16B323">
            <w:pPr>
              <w:jc w:val="center"/>
              <w:rPr>
                <w:rFonts w:hint="eastAsia" w:ascii="宋体" w:hAnsi="宋体" w:eastAsia="宋体" w:cs="Times New Roman"/>
                <w:szCs w:val="21"/>
              </w:rPr>
            </w:pPr>
          </w:p>
        </w:tc>
        <w:tc>
          <w:tcPr>
            <w:tcW w:w="8093" w:type="dxa"/>
            <w:gridSpan w:val="5"/>
            <w:vAlign w:val="center"/>
          </w:tcPr>
          <w:p w14:paraId="2AE319C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65610637">
            <w:pPr>
              <w:jc w:val="left"/>
              <w:rPr>
                <w:rFonts w:hint="eastAsia" w:ascii="宋体" w:hAnsi="宋体" w:eastAsia="宋体" w:cs="Times New Roman"/>
                <w:szCs w:val="21"/>
              </w:rPr>
            </w:pPr>
            <w:r>
              <w:rPr>
                <w:rFonts w:hint="eastAsia" w:ascii="宋体" w:hAnsi="宋体" w:eastAsia="宋体" w:cs="Times New Roman"/>
                <w:szCs w:val="21"/>
              </w:rPr>
              <w:t>增进文化自信，充分挖掘地方资源优势并将其融入校本课程，实现课程育人的宗旨。</w:t>
            </w:r>
          </w:p>
        </w:tc>
      </w:tr>
      <w:tr w14:paraId="1AFC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4959A9C3">
            <w:pPr>
              <w:jc w:val="center"/>
              <w:rPr>
                <w:rFonts w:hint="eastAsia" w:ascii="宋体" w:hAnsi="宋体" w:eastAsia="宋体" w:cs="Times New Roman"/>
                <w:szCs w:val="21"/>
              </w:rPr>
            </w:pPr>
            <w:r>
              <w:rPr>
                <w:rFonts w:hint="eastAsia" w:ascii="宋体" w:hAnsi="宋体" w:eastAsia="宋体" w:cs="Times New Roman"/>
                <w:szCs w:val="21"/>
              </w:rPr>
              <w:t>开发校本课程的操作策略</w:t>
            </w:r>
          </w:p>
        </w:tc>
        <w:tc>
          <w:tcPr>
            <w:tcW w:w="2672" w:type="dxa"/>
            <w:vAlign w:val="center"/>
          </w:tcPr>
          <w:p w14:paraId="0FD26C38">
            <w:pPr>
              <w:jc w:val="left"/>
              <w:rPr>
                <w:rFonts w:hint="eastAsia" w:ascii="宋体" w:hAnsi="宋体" w:eastAsia="宋体" w:cs="Times New Roman"/>
                <w:bCs/>
                <w:szCs w:val="21"/>
              </w:rPr>
            </w:pPr>
            <w:r>
              <w:rPr>
                <w:rFonts w:hint="eastAsia" w:ascii="宋体" w:hAnsi="宋体" w:eastAsia="宋体" w:cs="Times New Roman"/>
                <w:bCs/>
                <w:szCs w:val="21"/>
              </w:rPr>
              <w:t>（1）校本课程开发的流程</w:t>
            </w:r>
          </w:p>
          <w:p w14:paraId="168E53AC">
            <w:pPr>
              <w:jc w:val="left"/>
              <w:rPr>
                <w:rFonts w:hint="eastAsia" w:ascii="宋体" w:hAnsi="宋体" w:eastAsia="宋体" w:cs="Times New Roman"/>
                <w:szCs w:val="21"/>
              </w:rPr>
            </w:pPr>
            <w:r>
              <w:rPr>
                <w:rFonts w:hint="eastAsia" w:ascii="宋体" w:hAnsi="宋体" w:eastAsia="宋体" w:cs="Times New Roman"/>
                <w:bCs/>
                <w:szCs w:val="21"/>
              </w:rPr>
              <w:t>（2）校本课程开发的三种取向</w:t>
            </w:r>
          </w:p>
        </w:tc>
        <w:tc>
          <w:tcPr>
            <w:tcW w:w="1292" w:type="dxa"/>
            <w:vAlign w:val="center"/>
          </w:tcPr>
          <w:p w14:paraId="6D2CB138">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533" w:type="dxa"/>
            <w:vAlign w:val="center"/>
          </w:tcPr>
          <w:p w14:paraId="669792F9">
            <w:pPr>
              <w:jc w:val="left"/>
              <w:rPr>
                <w:rFonts w:hint="eastAsia" w:ascii="宋体" w:hAnsi="宋体" w:eastAsia="宋体" w:cs="Times New Roman"/>
                <w:bCs/>
                <w:szCs w:val="21"/>
              </w:rPr>
            </w:pPr>
            <w:r>
              <w:rPr>
                <w:rFonts w:hint="eastAsia" w:ascii="宋体" w:hAnsi="宋体" w:eastAsia="宋体" w:cs="Times New Roman"/>
                <w:bCs/>
                <w:szCs w:val="21"/>
              </w:rPr>
              <w:t>（1）掌握校本课程开发的流程，尤其是校本课程方案的制定和设计的基本途径，为未来校本课程开发实践打下基础。</w:t>
            </w:r>
          </w:p>
          <w:p w14:paraId="5FEE4E5F">
            <w:pPr>
              <w:jc w:val="left"/>
              <w:rPr>
                <w:rFonts w:hint="eastAsia" w:ascii="宋体" w:hAnsi="宋体" w:eastAsia="宋体" w:cs="Times New Roman"/>
                <w:bCs/>
                <w:szCs w:val="21"/>
              </w:rPr>
            </w:pPr>
            <w:r>
              <w:rPr>
                <w:rFonts w:hint="eastAsia" w:ascii="宋体" w:hAnsi="宋体" w:eastAsia="宋体" w:cs="Times New Roman"/>
                <w:bCs/>
                <w:szCs w:val="21"/>
              </w:rPr>
              <w:t>（2）深刻理解校本课程开发的三种取向，实践中能根据实际情况灵活运用。</w:t>
            </w:r>
          </w:p>
        </w:tc>
        <w:tc>
          <w:tcPr>
            <w:tcW w:w="1158" w:type="dxa"/>
            <w:vAlign w:val="center"/>
          </w:tcPr>
          <w:p w14:paraId="54416C46">
            <w:pPr>
              <w:jc w:val="left"/>
              <w:rPr>
                <w:rFonts w:hint="eastAsia" w:ascii="宋体" w:hAnsi="宋体" w:eastAsia="宋体" w:cs="Times New Roman"/>
                <w:szCs w:val="21"/>
              </w:rPr>
            </w:pPr>
            <w:r>
              <w:rPr>
                <w:rFonts w:hint="eastAsia" w:ascii="宋体" w:hAnsi="宋体" w:eastAsia="宋体" w:cs="Times New Roman"/>
                <w:szCs w:val="21"/>
              </w:rPr>
              <w:t>教师讲授</w:t>
            </w:r>
          </w:p>
          <w:p w14:paraId="6CE3AA7E">
            <w:pPr>
              <w:jc w:val="left"/>
              <w:rPr>
                <w:rFonts w:hint="eastAsia" w:ascii="宋体" w:hAnsi="宋体" w:eastAsia="宋体" w:cs="Times New Roman"/>
                <w:szCs w:val="21"/>
              </w:rPr>
            </w:pPr>
            <w:r>
              <w:rPr>
                <w:rFonts w:hint="eastAsia" w:ascii="宋体" w:hAnsi="宋体" w:eastAsia="宋体" w:cs="Times New Roman"/>
                <w:szCs w:val="21"/>
              </w:rPr>
              <w:t>小组合作</w:t>
            </w:r>
          </w:p>
        </w:tc>
        <w:tc>
          <w:tcPr>
            <w:tcW w:w="438" w:type="dxa"/>
            <w:vAlign w:val="center"/>
          </w:tcPr>
          <w:p w14:paraId="7510A7A5">
            <w:pPr>
              <w:jc w:val="center"/>
              <w:rPr>
                <w:rFonts w:hint="eastAsia" w:ascii="宋体" w:hAnsi="宋体" w:eastAsia="宋体" w:cs="Times New Roman"/>
                <w:szCs w:val="21"/>
              </w:rPr>
            </w:pPr>
            <w:r>
              <w:rPr>
                <w:rFonts w:hint="eastAsia" w:ascii="宋体" w:hAnsi="宋体" w:eastAsia="宋体" w:cs="Times New Roman"/>
                <w:szCs w:val="21"/>
              </w:rPr>
              <w:t>6</w:t>
            </w:r>
          </w:p>
        </w:tc>
      </w:tr>
      <w:tr w14:paraId="42FA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5DF522E1">
            <w:pPr>
              <w:jc w:val="center"/>
              <w:rPr>
                <w:rFonts w:hint="eastAsia" w:ascii="宋体" w:hAnsi="宋体" w:eastAsia="宋体" w:cs="Times New Roman"/>
                <w:szCs w:val="21"/>
              </w:rPr>
            </w:pPr>
          </w:p>
        </w:tc>
        <w:tc>
          <w:tcPr>
            <w:tcW w:w="8093" w:type="dxa"/>
            <w:gridSpan w:val="5"/>
            <w:vAlign w:val="center"/>
          </w:tcPr>
          <w:p w14:paraId="2047F94B">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043366C6">
            <w:pPr>
              <w:jc w:val="left"/>
              <w:rPr>
                <w:rFonts w:hint="eastAsia" w:ascii="宋体" w:hAnsi="宋体" w:eastAsia="宋体" w:cs="Times New Roman"/>
                <w:szCs w:val="21"/>
              </w:rPr>
            </w:pPr>
            <w:bookmarkStart w:id="875" w:name="_Hlk184661792"/>
            <w:r>
              <w:rPr>
                <w:rFonts w:hint="eastAsia" w:ascii="宋体" w:hAnsi="宋体" w:eastAsia="宋体" w:cs="Times New Roman"/>
                <w:szCs w:val="21"/>
              </w:rPr>
              <w:t>用工匠精神做好立德树人工作，用笃行创新的躬耕态度做好教书育人工作。</w:t>
            </w:r>
            <w:bookmarkEnd w:id="875"/>
          </w:p>
        </w:tc>
      </w:tr>
      <w:tr w14:paraId="5A17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1E29CA99">
            <w:pPr>
              <w:jc w:val="center"/>
              <w:rPr>
                <w:rFonts w:hint="eastAsia" w:ascii="宋体" w:hAnsi="宋体" w:eastAsia="宋体" w:cs="Times New Roman"/>
                <w:szCs w:val="21"/>
              </w:rPr>
            </w:pPr>
            <w:r>
              <w:rPr>
                <w:rFonts w:hint="eastAsia" w:ascii="Times New Roman" w:hAnsi="Times New Roman" w:eastAsia="宋体" w:cs="Times New Roman"/>
                <w:szCs w:val="21"/>
              </w:rPr>
              <w:t>校本课程的管理与评价</w:t>
            </w:r>
          </w:p>
        </w:tc>
        <w:tc>
          <w:tcPr>
            <w:tcW w:w="2672" w:type="dxa"/>
            <w:vAlign w:val="center"/>
          </w:tcPr>
          <w:p w14:paraId="444E230D">
            <w:pPr>
              <w:jc w:val="left"/>
              <w:rPr>
                <w:rFonts w:hint="eastAsia" w:ascii="宋体" w:hAnsi="宋体" w:eastAsia="宋体" w:cs="Times New Roman"/>
                <w:bCs/>
                <w:szCs w:val="21"/>
              </w:rPr>
            </w:pPr>
            <w:r>
              <w:rPr>
                <w:rFonts w:hint="eastAsia" w:ascii="宋体" w:hAnsi="宋体" w:eastAsia="宋体" w:cs="Times New Roman"/>
                <w:bCs/>
                <w:szCs w:val="21"/>
              </w:rPr>
              <w:t>（1）校本课程的管理</w:t>
            </w:r>
          </w:p>
          <w:p w14:paraId="04A390E7">
            <w:pPr>
              <w:jc w:val="left"/>
              <w:rPr>
                <w:rFonts w:hint="eastAsia" w:ascii="宋体" w:hAnsi="宋体" w:eastAsia="宋体" w:cs="Times New Roman"/>
                <w:bCs/>
                <w:szCs w:val="21"/>
              </w:rPr>
            </w:pPr>
            <w:r>
              <w:rPr>
                <w:rFonts w:hint="eastAsia" w:ascii="宋体" w:hAnsi="宋体" w:eastAsia="宋体" w:cs="Times New Roman"/>
                <w:bCs/>
                <w:szCs w:val="21"/>
              </w:rPr>
              <w:t>（2）校本课程的评价</w:t>
            </w:r>
          </w:p>
          <w:p w14:paraId="11FAA5F8">
            <w:pPr>
              <w:jc w:val="left"/>
              <w:rPr>
                <w:rFonts w:hint="eastAsia" w:ascii="宋体" w:hAnsi="宋体" w:eastAsia="宋体" w:cs="Times New Roman"/>
                <w:szCs w:val="21"/>
              </w:rPr>
            </w:pPr>
          </w:p>
        </w:tc>
        <w:tc>
          <w:tcPr>
            <w:tcW w:w="1292" w:type="dxa"/>
            <w:vAlign w:val="center"/>
          </w:tcPr>
          <w:p w14:paraId="57BDC979">
            <w:pPr>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2533" w:type="dxa"/>
            <w:vAlign w:val="center"/>
          </w:tcPr>
          <w:p w14:paraId="26E71182">
            <w:pPr>
              <w:jc w:val="left"/>
              <w:rPr>
                <w:rFonts w:hint="eastAsia" w:ascii="宋体" w:hAnsi="宋体" w:eastAsia="宋体" w:cs="Times New Roman"/>
                <w:bCs/>
                <w:szCs w:val="21"/>
              </w:rPr>
            </w:pPr>
            <w:r>
              <w:rPr>
                <w:rFonts w:hint="eastAsia" w:ascii="宋体" w:hAnsi="宋体" w:eastAsia="宋体" w:cs="Times New Roman"/>
                <w:bCs/>
                <w:szCs w:val="21"/>
              </w:rPr>
              <w:t>（1）了解校本课程管理与评价的价值观、主要内容、取向和模式。</w:t>
            </w:r>
          </w:p>
          <w:p w14:paraId="099766F2">
            <w:pPr>
              <w:jc w:val="left"/>
              <w:rPr>
                <w:rFonts w:hint="eastAsia" w:ascii="宋体" w:hAnsi="宋体" w:eastAsia="宋体" w:cs="Times New Roman"/>
                <w:bCs/>
                <w:szCs w:val="21"/>
              </w:rPr>
            </w:pPr>
            <w:r>
              <w:rPr>
                <w:rFonts w:hint="eastAsia" w:ascii="宋体" w:hAnsi="宋体" w:eastAsia="宋体" w:cs="Times New Roman"/>
                <w:bCs/>
                <w:szCs w:val="21"/>
              </w:rPr>
              <w:t>（2）掌握校本课程管理和评价的具体方法、原则，为在实践中有效管理和评价校本课程提供理论和实践指导。</w:t>
            </w:r>
          </w:p>
        </w:tc>
        <w:tc>
          <w:tcPr>
            <w:tcW w:w="1158" w:type="dxa"/>
            <w:vAlign w:val="center"/>
          </w:tcPr>
          <w:p w14:paraId="105506AB">
            <w:pPr>
              <w:jc w:val="left"/>
              <w:rPr>
                <w:rFonts w:hint="eastAsia" w:ascii="宋体" w:hAnsi="宋体" w:eastAsia="宋体" w:cs="Times New Roman"/>
                <w:szCs w:val="21"/>
              </w:rPr>
            </w:pPr>
            <w:r>
              <w:rPr>
                <w:rFonts w:hint="eastAsia" w:ascii="宋体" w:hAnsi="宋体" w:eastAsia="宋体" w:cs="Times New Roman"/>
                <w:szCs w:val="21"/>
              </w:rPr>
              <w:t>课堂学习</w:t>
            </w:r>
          </w:p>
          <w:p w14:paraId="28ED7CCE">
            <w:pPr>
              <w:jc w:val="left"/>
              <w:rPr>
                <w:rFonts w:hint="eastAsia" w:ascii="宋体" w:hAnsi="宋体" w:eastAsia="宋体" w:cs="Times New Roman"/>
                <w:szCs w:val="21"/>
              </w:rPr>
            </w:pPr>
            <w:r>
              <w:rPr>
                <w:rFonts w:hint="eastAsia" w:ascii="宋体" w:hAnsi="宋体" w:eastAsia="宋体" w:cs="Times New Roman"/>
                <w:szCs w:val="21"/>
              </w:rPr>
              <w:t>课例观察</w:t>
            </w:r>
          </w:p>
          <w:p w14:paraId="39D9A488">
            <w:pPr>
              <w:jc w:val="left"/>
              <w:rPr>
                <w:rFonts w:hint="eastAsia" w:ascii="宋体" w:hAnsi="宋体" w:eastAsia="宋体" w:cs="Times New Roman"/>
                <w:szCs w:val="21"/>
              </w:rPr>
            </w:pPr>
          </w:p>
        </w:tc>
        <w:tc>
          <w:tcPr>
            <w:tcW w:w="438" w:type="dxa"/>
            <w:vAlign w:val="center"/>
          </w:tcPr>
          <w:p w14:paraId="6D89C9FF">
            <w:pPr>
              <w:jc w:val="center"/>
              <w:rPr>
                <w:rFonts w:hint="eastAsia" w:ascii="宋体" w:hAnsi="宋体" w:eastAsia="宋体" w:cs="Times New Roman"/>
                <w:szCs w:val="21"/>
              </w:rPr>
            </w:pPr>
            <w:r>
              <w:rPr>
                <w:rFonts w:hint="eastAsia" w:ascii="宋体" w:hAnsi="宋体" w:eastAsia="宋体" w:cs="Times New Roman"/>
                <w:szCs w:val="21"/>
              </w:rPr>
              <w:t>2</w:t>
            </w:r>
          </w:p>
        </w:tc>
      </w:tr>
      <w:tr w14:paraId="09FEC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48C9D3FE">
            <w:pPr>
              <w:jc w:val="center"/>
              <w:rPr>
                <w:rFonts w:hint="eastAsia" w:ascii="宋体" w:hAnsi="宋体" w:eastAsia="宋体" w:cs="Times New Roman"/>
                <w:szCs w:val="21"/>
              </w:rPr>
            </w:pPr>
          </w:p>
        </w:tc>
        <w:tc>
          <w:tcPr>
            <w:tcW w:w="8093" w:type="dxa"/>
            <w:gridSpan w:val="5"/>
            <w:vAlign w:val="center"/>
          </w:tcPr>
          <w:p w14:paraId="01D691A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1F9DF64E">
            <w:pPr>
              <w:jc w:val="left"/>
              <w:rPr>
                <w:rFonts w:hint="eastAsia" w:ascii="宋体" w:hAnsi="宋体" w:eastAsia="宋体" w:cs="Times New Roman"/>
                <w:szCs w:val="21"/>
              </w:rPr>
            </w:pPr>
            <w:r>
              <w:rPr>
                <w:rFonts w:hint="eastAsia" w:ascii="宋体" w:hAnsi="宋体" w:eastAsia="宋体" w:cs="Times New Roman"/>
                <w:szCs w:val="21"/>
              </w:rPr>
              <w:t>以评促教，以评促学，以评促改，以评促优，树立构建教育新生态的课程意识。</w:t>
            </w:r>
          </w:p>
        </w:tc>
      </w:tr>
      <w:tr w14:paraId="07F8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restart"/>
            <w:vAlign w:val="center"/>
          </w:tcPr>
          <w:p w14:paraId="0EBA0198">
            <w:pPr>
              <w:jc w:val="center"/>
              <w:rPr>
                <w:rFonts w:hint="eastAsia" w:ascii="宋体" w:hAnsi="宋体" w:eastAsia="宋体" w:cs="Times New Roman"/>
                <w:szCs w:val="21"/>
              </w:rPr>
            </w:pPr>
            <w:r>
              <w:rPr>
                <w:rFonts w:hint="eastAsia" w:ascii="宋体" w:hAnsi="宋体" w:eastAsia="宋体" w:cs="Times New Roman"/>
                <w:szCs w:val="21"/>
              </w:rPr>
              <w:t>校本课程开发中的教师专业发展</w:t>
            </w:r>
          </w:p>
        </w:tc>
        <w:tc>
          <w:tcPr>
            <w:tcW w:w="2672" w:type="dxa"/>
            <w:vAlign w:val="center"/>
          </w:tcPr>
          <w:p w14:paraId="10DBCE42">
            <w:pPr>
              <w:jc w:val="left"/>
              <w:rPr>
                <w:rFonts w:hint="eastAsia" w:ascii="宋体" w:hAnsi="宋体" w:eastAsia="宋体" w:cs="Times New Roman"/>
                <w:bCs/>
                <w:szCs w:val="21"/>
              </w:rPr>
            </w:pPr>
            <w:r>
              <w:rPr>
                <w:rFonts w:hint="eastAsia" w:ascii="宋体" w:hAnsi="宋体" w:eastAsia="宋体" w:cs="Times New Roman"/>
                <w:bCs/>
                <w:szCs w:val="21"/>
              </w:rPr>
              <w:t>（1）校本课程开发对教师的意义和对教师的要求</w:t>
            </w:r>
          </w:p>
          <w:p w14:paraId="5B8469A1">
            <w:pPr>
              <w:jc w:val="left"/>
              <w:rPr>
                <w:rFonts w:hint="eastAsia" w:ascii="宋体" w:hAnsi="宋体" w:eastAsia="宋体" w:cs="Times New Roman"/>
                <w:bCs/>
                <w:szCs w:val="21"/>
              </w:rPr>
            </w:pPr>
            <w:r>
              <w:rPr>
                <w:rFonts w:hint="eastAsia" w:ascii="宋体" w:hAnsi="宋体" w:eastAsia="宋体" w:cs="Times New Roman"/>
                <w:bCs/>
                <w:szCs w:val="21"/>
              </w:rPr>
              <w:t>（2）教师参与校本课程开发的影响因素和提高途径</w:t>
            </w:r>
          </w:p>
        </w:tc>
        <w:tc>
          <w:tcPr>
            <w:tcW w:w="1292" w:type="dxa"/>
            <w:vAlign w:val="center"/>
          </w:tcPr>
          <w:p w14:paraId="01D5336A">
            <w:pPr>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2533" w:type="dxa"/>
            <w:vAlign w:val="center"/>
          </w:tcPr>
          <w:p w14:paraId="6B220887">
            <w:pPr>
              <w:jc w:val="left"/>
              <w:rPr>
                <w:rFonts w:hint="eastAsia" w:ascii="宋体" w:hAnsi="宋体" w:eastAsia="宋体" w:cs="Times New Roman"/>
                <w:bCs/>
                <w:szCs w:val="21"/>
              </w:rPr>
            </w:pPr>
            <w:r>
              <w:rPr>
                <w:rFonts w:hint="eastAsia" w:ascii="宋体" w:hAnsi="宋体" w:eastAsia="宋体" w:cs="Times New Roman"/>
                <w:bCs/>
                <w:szCs w:val="21"/>
              </w:rPr>
              <w:t>（1）了解校本课程开发对教师的意义和对教师的要求。</w:t>
            </w:r>
          </w:p>
          <w:p w14:paraId="13AE0488">
            <w:pPr>
              <w:jc w:val="left"/>
              <w:rPr>
                <w:rFonts w:hint="eastAsia" w:ascii="宋体" w:hAnsi="宋体" w:eastAsia="宋体" w:cs="Times New Roman"/>
                <w:bCs/>
                <w:szCs w:val="21"/>
              </w:rPr>
            </w:pPr>
            <w:r>
              <w:rPr>
                <w:rFonts w:hint="eastAsia" w:ascii="宋体" w:hAnsi="宋体" w:eastAsia="宋体" w:cs="Times New Roman"/>
                <w:bCs/>
                <w:szCs w:val="21"/>
              </w:rPr>
              <w:t>（2）掌握影响教师参与校本课程开发的因素。</w:t>
            </w:r>
          </w:p>
          <w:p w14:paraId="15F08597">
            <w:pPr>
              <w:jc w:val="left"/>
              <w:rPr>
                <w:rFonts w:hint="eastAsia" w:ascii="宋体" w:hAnsi="宋体" w:eastAsia="宋体" w:cs="Times New Roman"/>
                <w:bCs/>
                <w:szCs w:val="21"/>
              </w:rPr>
            </w:pPr>
            <w:r>
              <w:rPr>
                <w:rFonts w:hint="eastAsia" w:ascii="宋体" w:hAnsi="宋体" w:eastAsia="宋体" w:cs="Times New Roman"/>
                <w:bCs/>
                <w:szCs w:val="21"/>
              </w:rPr>
              <w:t>（3）明确要实现有效的校本课程开发，就必须从教师培训、教育教学研究及校本教研入手来促进教师的专业发展。</w:t>
            </w:r>
          </w:p>
        </w:tc>
        <w:tc>
          <w:tcPr>
            <w:tcW w:w="1158" w:type="dxa"/>
            <w:vAlign w:val="center"/>
          </w:tcPr>
          <w:p w14:paraId="47419D77">
            <w:pPr>
              <w:jc w:val="left"/>
              <w:rPr>
                <w:rFonts w:hint="eastAsia" w:ascii="宋体" w:hAnsi="宋体" w:eastAsia="宋体" w:cs="Times New Roman"/>
                <w:szCs w:val="21"/>
              </w:rPr>
            </w:pPr>
            <w:r>
              <w:rPr>
                <w:rFonts w:hint="eastAsia" w:ascii="宋体" w:hAnsi="宋体" w:eastAsia="宋体" w:cs="Times New Roman"/>
                <w:szCs w:val="21"/>
              </w:rPr>
              <w:t>课堂讨论</w:t>
            </w:r>
          </w:p>
        </w:tc>
        <w:tc>
          <w:tcPr>
            <w:tcW w:w="438" w:type="dxa"/>
            <w:vAlign w:val="center"/>
          </w:tcPr>
          <w:p w14:paraId="3B42AD21">
            <w:pPr>
              <w:jc w:val="center"/>
              <w:rPr>
                <w:rFonts w:hint="eastAsia" w:ascii="宋体" w:hAnsi="宋体" w:eastAsia="宋体" w:cs="Times New Roman"/>
                <w:szCs w:val="21"/>
              </w:rPr>
            </w:pPr>
            <w:r>
              <w:rPr>
                <w:rFonts w:hint="eastAsia" w:ascii="宋体" w:hAnsi="宋体" w:eastAsia="宋体" w:cs="Times New Roman"/>
                <w:szCs w:val="21"/>
              </w:rPr>
              <w:t>4</w:t>
            </w:r>
          </w:p>
        </w:tc>
      </w:tr>
      <w:tr w14:paraId="1D37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6" w:type="dxa"/>
            <w:vMerge w:val="continue"/>
            <w:vAlign w:val="center"/>
          </w:tcPr>
          <w:p w14:paraId="6A61F8F8">
            <w:pPr>
              <w:jc w:val="center"/>
              <w:rPr>
                <w:rFonts w:hint="eastAsia" w:ascii="宋体" w:hAnsi="宋体" w:eastAsia="宋体" w:cs="Times New Roman"/>
                <w:szCs w:val="21"/>
              </w:rPr>
            </w:pPr>
          </w:p>
        </w:tc>
        <w:tc>
          <w:tcPr>
            <w:tcW w:w="8093" w:type="dxa"/>
            <w:gridSpan w:val="5"/>
            <w:vAlign w:val="center"/>
          </w:tcPr>
          <w:p w14:paraId="4B99265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w:t>
            </w:r>
          </w:p>
          <w:p w14:paraId="4D60FF85">
            <w:pPr>
              <w:jc w:val="left"/>
              <w:rPr>
                <w:rFonts w:hint="eastAsia" w:ascii="宋体" w:hAnsi="宋体" w:eastAsia="宋体" w:cs="Times New Roman"/>
                <w:szCs w:val="21"/>
              </w:rPr>
            </w:pPr>
            <w:r>
              <w:rPr>
                <w:rFonts w:hint="eastAsia" w:ascii="宋体" w:hAnsi="宋体" w:eastAsia="宋体" w:cs="Times New Roman"/>
                <w:szCs w:val="21"/>
              </w:rPr>
              <w:t>继承中华优秀教师文化、彰显时代教育要求，不断从“四有”好老师，到“四个引路人”和“四个相统一”，到“经师”和“人师”相统一的“大先生”，再到“中国特有的教育家精神”，自觉提升自我，成为新时代高素质专业化教师队伍中的一员。</w:t>
            </w:r>
          </w:p>
        </w:tc>
      </w:tr>
    </w:tbl>
    <w:p w14:paraId="726A0B7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6946361B">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596A96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644"/>
        <w:gridCol w:w="1694"/>
        <w:gridCol w:w="1862"/>
        <w:gridCol w:w="1998"/>
      </w:tblGrid>
      <w:tr w14:paraId="6395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FEE07CC">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200" w:type="dxa"/>
            <w:gridSpan w:val="3"/>
            <w:vAlign w:val="center"/>
          </w:tcPr>
          <w:p w14:paraId="29ADF11B">
            <w:pPr>
              <w:spacing w:line="312"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998" w:type="dxa"/>
            <w:vMerge w:val="restart"/>
            <w:vAlign w:val="center"/>
          </w:tcPr>
          <w:p w14:paraId="1107640A">
            <w:pPr>
              <w:spacing w:line="312"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B49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7C897687">
            <w:pPr>
              <w:spacing w:line="312" w:lineRule="auto"/>
              <w:jc w:val="center"/>
              <w:rPr>
                <w:rFonts w:hint="eastAsia" w:ascii="宋体" w:hAnsi="宋体" w:eastAsia="宋体" w:cs="Times New Roman"/>
                <w:szCs w:val="21"/>
              </w:rPr>
            </w:pPr>
          </w:p>
        </w:tc>
        <w:tc>
          <w:tcPr>
            <w:tcW w:w="1644" w:type="dxa"/>
            <w:vAlign w:val="center"/>
          </w:tcPr>
          <w:p w14:paraId="4095114E">
            <w:pPr>
              <w:spacing w:line="312"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694" w:type="dxa"/>
            <w:vAlign w:val="center"/>
          </w:tcPr>
          <w:p w14:paraId="31C5A558">
            <w:pPr>
              <w:spacing w:line="312"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862" w:type="dxa"/>
            <w:vAlign w:val="center"/>
          </w:tcPr>
          <w:p w14:paraId="0664E9CE">
            <w:pPr>
              <w:spacing w:line="312"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998" w:type="dxa"/>
            <w:vMerge w:val="continue"/>
            <w:vAlign w:val="center"/>
          </w:tcPr>
          <w:p w14:paraId="686A263A">
            <w:pPr>
              <w:spacing w:line="312" w:lineRule="auto"/>
              <w:jc w:val="center"/>
              <w:rPr>
                <w:rFonts w:hint="eastAsia" w:ascii="宋体" w:hAnsi="宋体" w:eastAsia="宋体" w:cs="Times New Roman"/>
                <w:szCs w:val="21"/>
              </w:rPr>
            </w:pPr>
          </w:p>
        </w:tc>
      </w:tr>
      <w:tr w14:paraId="4FC2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A09BB9D">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644" w:type="dxa"/>
            <w:vAlign w:val="center"/>
          </w:tcPr>
          <w:p w14:paraId="426F61EF">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694" w:type="dxa"/>
            <w:vAlign w:val="center"/>
          </w:tcPr>
          <w:p w14:paraId="460CD6E1">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62" w:type="dxa"/>
            <w:vAlign w:val="center"/>
          </w:tcPr>
          <w:p w14:paraId="759C5365">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998" w:type="dxa"/>
            <w:vAlign w:val="center"/>
          </w:tcPr>
          <w:p w14:paraId="09384BD8">
            <w:pPr>
              <w:spacing w:line="312"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37D48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F9943B3">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644" w:type="dxa"/>
            <w:vAlign w:val="center"/>
          </w:tcPr>
          <w:p w14:paraId="65C7243C">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694" w:type="dxa"/>
            <w:vAlign w:val="center"/>
          </w:tcPr>
          <w:p w14:paraId="23C5F587">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62" w:type="dxa"/>
            <w:vAlign w:val="center"/>
          </w:tcPr>
          <w:p w14:paraId="7C690CD0">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998" w:type="dxa"/>
          </w:tcPr>
          <w:p w14:paraId="651D806B">
            <w:pPr>
              <w:spacing w:line="312"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4AA2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F8A3059">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644" w:type="dxa"/>
            <w:vAlign w:val="center"/>
          </w:tcPr>
          <w:p w14:paraId="236DB873">
            <w:pPr>
              <w:spacing w:line="312" w:lineRule="auto"/>
              <w:jc w:val="center"/>
              <w:rPr>
                <w:rFonts w:hint="eastAsia" w:ascii="宋体" w:hAnsi="宋体" w:eastAsia="宋体" w:cs="Times New Roman"/>
                <w:szCs w:val="21"/>
              </w:rPr>
            </w:pPr>
          </w:p>
        </w:tc>
        <w:tc>
          <w:tcPr>
            <w:tcW w:w="1694" w:type="dxa"/>
            <w:vAlign w:val="center"/>
          </w:tcPr>
          <w:p w14:paraId="4349DFD4">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62" w:type="dxa"/>
            <w:vAlign w:val="center"/>
          </w:tcPr>
          <w:p w14:paraId="041CAFDF">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998" w:type="dxa"/>
          </w:tcPr>
          <w:p w14:paraId="5B93A80C">
            <w:pPr>
              <w:spacing w:line="312"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429C3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D6F12CB">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644" w:type="dxa"/>
            <w:vAlign w:val="center"/>
          </w:tcPr>
          <w:p w14:paraId="0930E17F">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694" w:type="dxa"/>
            <w:vAlign w:val="center"/>
          </w:tcPr>
          <w:p w14:paraId="33478042">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62" w:type="dxa"/>
            <w:vAlign w:val="center"/>
          </w:tcPr>
          <w:p w14:paraId="59102384">
            <w:pPr>
              <w:spacing w:line="312" w:lineRule="auto"/>
              <w:jc w:val="center"/>
              <w:rPr>
                <w:rFonts w:hint="eastAsia" w:ascii="宋体" w:hAnsi="宋体" w:eastAsia="宋体" w:cs="Times New Roman"/>
                <w:szCs w:val="21"/>
              </w:rPr>
            </w:pPr>
          </w:p>
        </w:tc>
        <w:tc>
          <w:tcPr>
            <w:tcW w:w="1998" w:type="dxa"/>
          </w:tcPr>
          <w:p w14:paraId="5B2F59FD">
            <w:pPr>
              <w:spacing w:line="312"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AB3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D6AC182">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1644" w:type="dxa"/>
            <w:vAlign w:val="center"/>
          </w:tcPr>
          <w:p w14:paraId="038E92D0">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694" w:type="dxa"/>
            <w:vAlign w:val="center"/>
          </w:tcPr>
          <w:p w14:paraId="0FA2EF56">
            <w:pPr>
              <w:spacing w:line="312" w:lineRule="auto"/>
              <w:jc w:val="center"/>
              <w:rPr>
                <w:rFonts w:hint="eastAsia" w:ascii="宋体" w:hAnsi="宋体" w:eastAsia="宋体" w:cs="Times New Roman"/>
                <w:szCs w:val="21"/>
              </w:rPr>
            </w:pPr>
            <w:r>
              <w:rPr>
                <w:rFonts w:hint="eastAsia" w:ascii="宋体" w:hAnsi="宋体" w:eastAsia="宋体" w:cs="Times New Roman"/>
                <w:szCs w:val="21"/>
              </w:rPr>
              <w:t>√</w:t>
            </w:r>
          </w:p>
        </w:tc>
        <w:tc>
          <w:tcPr>
            <w:tcW w:w="1862" w:type="dxa"/>
            <w:vAlign w:val="center"/>
          </w:tcPr>
          <w:p w14:paraId="78C46B70">
            <w:pPr>
              <w:spacing w:line="312" w:lineRule="auto"/>
              <w:jc w:val="center"/>
              <w:rPr>
                <w:rFonts w:hint="eastAsia" w:ascii="宋体" w:hAnsi="宋体" w:eastAsia="宋体" w:cs="Times New Roman"/>
                <w:szCs w:val="21"/>
              </w:rPr>
            </w:pPr>
          </w:p>
        </w:tc>
        <w:tc>
          <w:tcPr>
            <w:tcW w:w="1998" w:type="dxa"/>
          </w:tcPr>
          <w:p w14:paraId="225AA68B">
            <w:pPr>
              <w:spacing w:line="312"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4F29F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32120BB">
            <w:pPr>
              <w:spacing w:line="312"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644" w:type="dxa"/>
            <w:vAlign w:val="center"/>
          </w:tcPr>
          <w:p w14:paraId="18F1694C">
            <w:pPr>
              <w:spacing w:line="312" w:lineRule="auto"/>
              <w:jc w:val="center"/>
              <w:rPr>
                <w:rFonts w:hint="eastAsia" w:ascii="宋体" w:hAnsi="宋体" w:eastAsia="宋体" w:cs="Times New Roman"/>
                <w:szCs w:val="21"/>
              </w:rPr>
            </w:pPr>
          </w:p>
        </w:tc>
        <w:tc>
          <w:tcPr>
            <w:tcW w:w="1694" w:type="dxa"/>
            <w:vAlign w:val="center"/>
          </w:tcPr>
          <w:p w14:paraId="00614767">
            <w:pPr>
              <w:spacing w:line="312" w:lineRule="auto"/>
              <w:jc w:val="center"/>
              <w:rPr>
                <w:rFonts w:hint="eastAsia" w:ascii="宋体" w:hAnsi="宋体" w:eastAsia="宋体" w:cs="Times New Roman"/>
                <w:szCs w:val="21"/>
              </w:rPr>
            </w:pPr>
          </w:p>
        </w:tc>
        <w:tc>
          <w:tcPr>
            <w:tcW w:w="1862" w:type="dxa"/>
            <w:vAlign w:val="center"/>
          </w:tcPr>
          <w:p w14:paraId="2EFCF623">
            <w:pPr>
              <w:spacing w:line="312" w:lineRule="auto"/>
              <w:jc w:val="center"/>
              <w:rPr>
                <w:rFonts w:hint="eastAsia" w:ascii="宋体" w:hAnsi="宋体" w:eastAsia="宋体" w:cs="Times New Roman"/>
                <w:szCs w:val="21"/>
              </w:rPr>
            </w:pPr>
          </w:p>
        </w:tc>
        <w:tc>
          <w:tcPr>
            <w:tcW w:w="1998" w:type="dxa"/>
          </w:tcPr>
          <w:p w14:paraId="397B6DA4">
            <w:pPr>
              <w:spacing w:line="312"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7AA268D">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5959F4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1"/>
        <w:tblW w:w="7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5701"/>
        <w:gridCol w:w="824"/>
      </w:tblGrid>
      <w:tr w14:paraId="1AED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shd w:val="clear" w:color="auto" w:fill="FFFFFF"/>
            <w:vAlign w:val="center"/>
          </w:tcPr>
          <w:p w14:paraId="080B44A7">
            <w:pPr>
              <w:jc w:val="center"/>
              <w:rPr>
                <w:rFonts w:ascii="Times New Roman" w:hAnsi="Times New Roman" w:eastAsia="宋体" w:cs="Times New Roman"/>
                <w:b/>
                <w:bCs/>
              </w:rPr>
            </w:pPr>
            <w:r>
              <w:rPr>
                <w:rFonts w:ascii="Times New Roman" w:hAnsi="Times New Roman" w:eastAsia="宋体" w:cs="Times New Roman"/>
                <w:b/>
                <w:bCs/>
              </w:rPr>
              <w:t>评</w:t>
            </w:r>
            <w:r>
              <w:rPr>
                <w:rFonts w:hint="eastAsia" w:ascii="Times New Roman" w:hAnsi="Times New Roman" w:eastAsia="宋体" w:cs="Times New Roman"/>
                <w:b/>
                <w:bCs/>
              </w:rPr>
              <w:t>定方式</w:t>
            </w:r>
          </w:p>
        </w:tc>
        <w:tc>
          <w:tcPr>
            <w:tcW w:w="5701" w:type="dxa"/>
            <w:shd w:val="clear" w:color="auto" w:fill="FFFFFF"/>
            <w:vAlign w:val="center"/>
          </w:tcPr>
          <w:p w14:paraId="33556B73">
            <w:pPr>
              <w:jc w:val="center"/>
              <w:rPr>
                <w:rFonts w:ascii="Times New Roman" w:hAnsi="Times New Roman" w:eastAsia="宋体" w:cs="Times New Roman"/>
                <w:b/>
                <w:bCs/>
              </w:rPr>
            </w:pPr>
            <w:r>
              <w:rPr>
                <w:rFonts w:ascii="Times New Roman" w:hAnsi="Times New Roman" w:eastAsia="宋体" w:cs="Times New Roman"/>
                <w:b/>
                <w:bCs/>
              </w:rPr>
              <w:t>评</w:t>
            </w:r>
            <w:r>
              <w:rPr>
                <w:rFonts w:hint="eastAsia" w:ascii="Times New Roman" w:hAnsi="Times New Roman" w:eastAsia="宋体" w:cs="Times New Roman"/>
                <w:b/>
                <w:bCs/>
              </w:rPr>
              <w:t>定</w:t>
            </w:r>
            <w:r>
              <w:rPr>
                <w:rFonts w:ascii="Times New Roman" w:hAnsi="Times New Roman" w:eastAsia="宋体" w:cs="Times New Roman"/>
                <w:b/>
                <w:bCs/>
              </w:rPr>
              <w:t>细则</w:t>
            </w:r>
          </w:p>
        </w:tc>
        <w:tc>
          <w:tcPr>
            <w:tcW w:w="824" w:type="dxa"/>
            <w:shd w:val="clear" w:color="auto" w:fill="FFFFFF"/>
            <w:vAlign w:val="center"/>
          </w:tcPr>
          <w:p w14:paraId="6F07D7C4">
            <w:pPr>
              <w:jc w:val="center"/>
              <w:rPr>
                <w:rFonts w:ascii="Times New Roman" w:hAnsi="Times New Roman" w:eastAsia="宋体" w:cs="Times New Roman"/>
                <w:b/>
                <w:bCs/>
              </w:rPr>
            </w:pPr>
            <w:r>
              <w:rPr>
                <w:rFonts w:hint="eastAsia" w:ascii="Times New Roman" w:hAnsi="Times New Roman" w:eastAsia="宋体" w:cs="Times New Roman"/>
                <w:b/>
                <w:bCs/>
              </w:rPr>
              <w:t>权重</w:t>
            </w:r>
          </w:p>
        </w:tc>
      </w:tr>
      <w:tr w14:paraId="0243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419" w:type="dxa"/>
            <w:vAlign w:val="center"/>
          </w:tcPr>
          <w:p w14:paraId="22A9031A">
            <w:pPr>
              <w:jc w:val="center"/>
              <w:rPr>
                <w:rFonts w:ascii="Times New Roman" w:hAnsi="Times New Roman" w:eastAsia="宋体" w:cs="Times New Roman"/>
              </w:rPr>
            </w:pPr>
            <w:r>
              <w:rPr>
                <w:rFonts w:ascii="Times New Roman" w:hAnsi="Times New Roman" w:eastAsia="宋体" w:cs="Times New Roman"/>
              </w:rPr>
              <w:t>平时作业</w:t>
            </w:r>
          </w:p>
        </w:tc>
        <w:tc>
          <w:tcPr>
            <w:tcW w:w="5701" w:type="dxa"/>
            <w:vAlign w:val="center"/>
          </w:tcPr>
          <w:p w14:paraId="48E8B47E">
            <w:pPr>
              <w:rPr>
                <w:rFonts w:ascii="Times New Roman" w:hAnsi="Times New Roman" w:eastAsia="宋体" w:cs="Times New Roman"/>
              </w:rPr>
            </w:pPr>
            <w:r>
              <w:rPr>
                <w:rFonts w:hint="eastAsia" w:ascii="Times New Roman" w:hAnsi="Times New Roman" w:eastAsia="宋体" w:cs="Times New Roman"/>
              </w:rPr>
              <w:t>三次书面作业，主要考察学生对所学知识的理解和应用</w:t>
            </w:r>
            <w:r>
              <w:rPr>
                <w:rFonts w:ascii="Times New Roman" w:hAnsi="Times New Roman" w:eastAsia="宋体" w:cs="Times New Roman"/>
              </w:rPr>
              <w:t>，计算全部作业的平均成绩再按</w:t>
            </w:r>
            <w:r>
              <w:rPr>
                <w:rFonts w:hint="eastAsia" w:ascii="Times New Roman" w:hAnsi="Times New Roman" w:eastAsia="宋体" w:cs="Times New Roman"/>
              </w:rPr>
              <w:t>2</w:t>
            </w:r>
            <w:r>
              <w:rPr>
                <w:rFonts w:ascii="Times New Roman" w:hAnsi="Times New Roman" w:eastAsia="宋体" w:cs="Times New Roman"/>
              </w:rPr>
              <w:t>0%计入总成绩。</w:t>
            </w:r>
          </w:p>
        </w:tc>
        <w:tc>
          <w:tcPr>
            <w:tcW w:w="824" w:type="dxa"/>
            <w:vAlign w:val="center"/>
          </w:tcPr>
          <w:p w14:paraId="22611A85">
            <w:pP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0%</w:t>
            </w:r>
          </w:p>
        </w:tc>
      </w:tr>
      <w:tr w14:paraId="267C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419" w:type="dxa"/>
            <w:vAlign w:val="center"/>
          </w:tcPr>
          <w:p w14:paraId="64DC2794">
            <w:pPr>
              <w:jc w:val="center"/>
              <w:rPr>
                <w:rFonts w:ascii="Times New Roman" w:hAnsi="Times New Roman" w:eastAsia="宋体" w:cs="Times New Roman"/>
              </w:rPr>
            </w:pPr>
            <w:r>
              <w:rPr>
                <w:rFonts w:hint="eastAsia" w:ascii="Times New Roman" w:hAnsi="Times New Roman" w:eastAsia="宋体" w:cs="Times New Roman"/>
              </w:rPr>
              <w:t>课堂表现</w:t>
            </w:r>
          </w:p>
        </w:tc>
        <w:tc>
          <w:tcPr>
            <w:tcW w:w="5701" w:type="dxa"/>
            <w:vAlign w:val="center"/>
          </w:tcPr>
          <w:p w14:paraId="6CE733E1">
            <w:pPr>
              <w:rPr>
                <w:rFonts w:ascii="Times New Roman" w:hAnsi="Times New Roman" w:eastAsia="宋体" w:cs="Times New Roman"/>
                <w:szCs w:val="21"/>
              </w:rPr>
            </w:pPr>
            <w:r>
              <w:rPr>
                <w:rFonts w:hint="eastAsia" w:ascii="Times New Roman" w:hAnsi="Times New Roman" w:eastAsia="宋体" w:cs="Times New Roman"/>
                <w:szCs w:val="21"/>
              </w:rPr>
              <w:t>在教学过程中，提问每位同学，根据回答问题情况给出相应分数，同时课堂组织小组讨论，根据每组同学表现给分，再</w:t>
            </w:r>
            <w:r>
              <w:rPr>
                <w:rFonts w:ascii="Times New Roman" w:hAnsi="Times New Roman" w:eastAsia="宋体" w:cs="Times New Roman"/>
                <w:szCs w:val="21"/>
              </w:rPr>
              <w:t>结合平时</w:t>
            </w:r>
            <w:r>
              <w:rPr>
                <w:rFonts w:hint="eastAsia" w:ascii="Times New Roman" w:hAnsi="Times New Roman" w:eastAsia="宋体" w:cs="Times New Roman"/>
                <w:szCs w:val="21"/>
              </w:rPr>
              <w:t>考勤</w:t>
            </w:r>
            <w:r>
              <w:rPr>
                <w:rFonts w:ascii="Times New Roman" w:hAnsi="Times New Roman" w:eastAsia="宋体" w:cs="Times New Roman"/>
                <w:szCs w:val="21"/>
              </w:rPr>
              <w:t>，最后按</w:t>
            </w:r>
            <w:r>
              <w:rPr>
                <w:rFonts w:hint="eastAsia" w:ascii="Times New Roman" w:hAnsi="Times New Roman" w:eastAsia="宋体" w:cs="Times New Roman"/>
                <w:szCs w:val="21"/>
              </w:rPr>
              <w:t>2</w:t>
            </w:r>
            <w:r>
              <w:rPr>
                <w:rFonts w:ascii="Times New Roman" w:hAnsi="Times New Roman" w:eastAsia="宋体" w:cs="Times New Roman"/>
                <w:szCs w:val="21"/>
              </w:rPr>
              <w:t>0%计入课程总成绩。</w:t>
            </w:r>
          </w:p>
        </w:tc>
        <w:tc>
          <w:tcPr>
            <w:tcW w:w="824" w:type="dxa"/>
            <w:vAlign w:val="center"/>
          </w:tcPr>
          <w:p w14:paraId="7CBE2AC8">
            <w:pPr>
              <w:rPr>
                <w:rFonts w:ascii="Times New Roman" w:hAnsi="Times New Roman" w:eastAsia="宋体" w:cs="Times New Roman"/>
                <w:szCs w:val="21"/>
              </w:rPr>
            </w:pPr>
            <w:r>
              <w:rPr>
                <w:rFonts w:hint="eastAsia" w:ascii="Times New Roman" w:hAnsi="Times New Roman" w:eastAsia="宋体" w:cs="Times New Roman"/>
              </w:rPr>
              <w:t>2</w:t>
            </w:r>
            <w:r>
              <w:rPr>
                <w:rFonts w:ascii="Times New Roman" w:hAnsi="Times New Roman" w:eastAsia="宋体" w:cs="Times New Roman"/>
              </w:rPr>
              <w:t>0%</w:t>
            </w:r>
          </w:p>
        </w:tc>
      </w:tr>
      <w:tr w14:paraId="059C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419" w:type="dxa"/>
            <w:vAlign w:val="center"/>
          </w:tcPr>
          <w:p w14:paraId="06836054">
            <w:pPr>
              <w:jc w:val="center"/>
              <w:rPr>
                <w:rFonts w:ascii="Times New Roman" w:hAnsi="Times New Roman" w:eastAsia="宋体" w:cs="Times New Roman"/>
              </w:rPr>
            </w:pPr>
            <w:r>
              <w:rPr>
                <w:rFonts w:ascii="Times New Roman" w:hAnsi="Times New Roman" w:eastAsia="宋体" w:cs="Times New Roman"/>
              </w:rPr>
              <w:t>期末考试</w:t>
            </w:r>
          </w:p>
        </w:tc>
        <w:tc>
          <w:tcPr>
            <w:tcW w:w="5701" w:type="dxa"/>
            <w:vAlign w:val="center"/>
          </w:tcPr>
          <w:p w14:paraId="79132B69">
            <w:pPr>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名词解释</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等，以卷面成绩的60%计入课程总成绩。</w:t>
            </w:r>
          </w:p>
        </w:tc>
        <w:tc>
          <w:tcPr>
            <w:tcW w:w="824" w:type="dxa"/>
            <w:vAlign w:val="center"/>
          </w:tcPr>
          <w:p w14:paraId="6F75647C">
            <w:pPr>
              <w:rPr>
                <w:rFonts w:ascii="Times New Roman" w:hAnsi="Times New Roman" w:eastAsia="宋体" w:cs="Times New Roman"/>
                <w:szCs w:val="21"/>
              </w:rPr>
            </w:pPr>
            <w:r>
              <w:rPr>
                <w:rFonts w:ascii="Times New Roman" w:hAnsi="Times New Roman" w:eastAsia="宋体" w:cs="Times New Roman"/>
              </w:rPr>
              <w:t>60%</w:t>
            </w:r>
          </w:p>
        </w:tc>
      </w:tr>
      <w:tr w14:paraId="763D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19" w:type="dxa"/>
            <w:vAlign w:val="center"/>
          </w:tcPr>
          <w:p w14:paraId="6F62515B">
            <w:pPr>
              <w:jc w:val="center"/>
              <w:rPr>
                <w:rFonts w:ascii="Times New Roman" w:hAnsi="Times New Roman" w:eastAsia="宋体" w:cs="Times New Roman"/>
                <w:b/>
                <w:bCs/>
              </w:rPr>
            </w:pPr>
            <w:r>
              <w:rPr>
                <w:rFonts w:hint="eastAsia" w:ascii="Times New Roman" w:hAnsi="Times New Roman" w:eastAsia="宋体" w:cs="Times New Roman"/>
                <w:b/>
                <w:bCs/>
              </w:rPr>
              <w:t>合计</w:t>
            </w:r>
          </w:p>
        </w:tc>
        <w:tc>
          <w:tcPr>
            <w:tcW w:w="5701" w:type="dxa"/>
            <w:vAlign w:val="center"/>
          </w:tcPr>
          <w:p w14:paraId="29D80ED7">
            <w:pPr>
              <w:rPr>
                <w:rFonts w:ascii="Times New Roman" w:hAnsi="Times New Roman" w:eastAsia="宋体" w:cs="Times New Roman"/>
                <w:szCs w:val="21"/>
              </w:rPr>
            </w:pPr>
          </w:p>
        </w:tc>
        <w:tc>
          <w:tcPr>
            <w:tcW w:w="824" w:type="dxa"/>
            <w:vAlign w:val="center"/>
          </w:tcPr>
          <w:p w14:paraId="60BE0E78">
            <w:pPr>
              <w:rPr>
                <w:rFonts w:ascii="Times New Roman" w:hAnsi="Times New Roman" w:eastAsia="宋体" w:cs="Times New Roman"/>
              </w:rPr>
            </w:pPr>
            <w:r>
              <w:rPr>
                <w:rFonts w:hint="eastAsia" w:ascii="Times New Roman" w:hAnsi="Times New Roman" w:eastAsia="宋体" w:cs="Times New Roman"/>
              </w:rPr>
              <w:t>100%</w:t>
            </w:r>
          </w:p>
        </w:tc>
      </w:tr>
    </w:tbl>
    <w:p w14:paraId="40A8F10E">
      <w:pPr>
        <w:jc w:val="center"/>
        <w:rPr>
          <w:rFonts w:ascii="Times New Roman" w:hAnsi="Times New Roman" w:eastAsia="宋体" w:cs="Times New Roman"/>
          <w:b/>
          <w:bCs/>
          <w:szCs w:val="21"/>
        </w:rPr>
      </w:pPr>
    </w:p>
    <w:p w14:paraId="2C348E76">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774A1FAD">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71AE35BE">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52"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52" DrawAspect="Content" ObjectID="_1468075752" r:id="rId40">
            <o:LockedField>false</o:LockedField>
          </o:OLEObject>
        </w:object>
      </w:r>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p>
    <w:p w14:paraId="4350AAA4">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tbl>
      <w:tblPr>
        <w:tblStyle w:val="1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78D16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08AF2FB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43C66D0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2E516E7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05070181">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72B0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5B07AB1">
            <w:pPr>
              <w:spacing w:line="276" w:lineRule="auto"/>
              <w:jc w:val="left"/>
              <w:rPr>
                <w:rFonts w:hint="eastAsia" w:ascii="宋体" w:hAnsi="宋体" w:eastAsia="宋体" w:cs="宋体"/>
                <w:szCs w:val="21"/>
              </w:rPr>
            </w:pPr>
            <w:r>
              <w:rPr>
                <w:rFonts w:hint="eastAsia" w:ascii="宋体" w:hAnsi="宋体" w:eastAsia="宋体" w:cs="宋体"/>
                <w:szCs w:val="21"/>
              </w:rPr>
              <w:t>小学校本课程发现</w:t>
            </w:r>
          </w:p>
        </w:tc>
        <w:tc>
          <w:tcPr>
            <w:tcW w:w="3407" w:type="dxa"/>
            <w:vAlign w:val="center"/>
          </w:tcPr>
          <w:p w14:paraId="2E5F9A77">
            <w:pPr>
              <w:spacing w:line="276" w:lineRule="auto"/>
              <w:jc w:val="left"/>
              <w:rPr>
                <w:rFonts w:hint="eastAsia" w:ascii="宋体" w:hAnsi="宋体" w:eastAsia="宋体" w:cs="宋体"/>
                <w:szCs w:val="21"/>
              </w:rPr>
            </w:pPr>
            <w:r>
              <w:rPr>
                <w:rFonts w:hint="eastAsia" w:ascii="宋体" w:hAnsi="宋体" w:eastAsia="宋体" w:cs="宋体"/>
                <w:szCs w:val="21"/>
              </w:rPr>
              <w:t>借助教育见习之机或日常观察，了解家乡所在地区的小学的校本课程</w:t>
            </w:r>
          </w:p>
        </w:tc>
        <w:tc>
          <w:tcPr>
            <w:tcW w:w="740" w:type="dxa"/>
            <w:vAlign w:val="center"/>
          </w:tcPr>
          <w:p w14:paraId="24B5899E">
            <w:pPr>
              <w:spacing w:line="276" w:lineRule="auto"/>
              <w:jc w:val="center"/>
              <w:rPr>
                <w:rFonts w:hint="eastAsia" w:ascii="宋体" w:hAnsi="宋体" w:eastAsia="宋体" w:cs="宋体"/>
                <w:szCs w:val="21"/>
              </w:rPr>
            </w:pPr>
            <w:r>
              <w:rPr>
                <w:rFonts w:hint="eastAsia" w:ascii="宋体" w:hAnsi="宋体" w:eastAsia="宋体" w:cs="宋体"/>
                <w:szCs w:val="21"/>
              </w:rPr>
              <w:t>调查报告</w:t>
            </w:r>
          </w:p>
        </w:tc>
        <w:tc>
          <w:tcPr>
            <w:tcW w:w="3160" w:type="dxa"/>
            <w:vAlign w:val="center"/>
          </w:tcPr>
          <w:p w14:paraId="636D49B0">
            <w:pPr>
              <w:spacing w:line="276" w:lineRule="auto"/>
              <w:jc w:val="left"/>
              <w:rPr>
                <w:rFonts w:hint="eastAsia" w:ascii="宋体" w:hAnsi="宋体" w:eastAsia="宋体" w:cs="宋体"/>
                <w:szCs w:val="21"/>
              </w:rPr>
            </w:pPr>
            <w:r>
              <w:rPr>
                <w:rFonts w:hint="eastAsia" w:ascii="宋体" w:hAnsi="宋体" w:eastAsia="宋体" w:cs="宋体"/>
                <w:szCs w:val="21"/>
              </w:rPr>
              <w:t>关心关注本土本地的课程改革的新要求、新进展</w:t>
            </w:r>
          </w:p>
        </w:tc>
      </w:tr>
      <w:tr w14:paraId="11B2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517617D">
            <w:pPr>
              <w:spacing w:line="276" w:lineRule="auto"/>
              <w:jc w:val="left"/>
              <w:rPr>
                <w:rFonts w:hint="eastAsia" w:ascii="宋体" w:hAnsi="宋体" w:eastAsia="宋体" w:cs="宋体"/>
                <w:szCs w:val="21"/>
              </w:rPr>
            </w:pPr>
            <w:r>
              <w:rPr>
                <w:rFonts w:hint="eastAsia" w:ascii="宋体" w:hAnsi="宋体" w:eastAsia="宋体" w:cs="宋体"/>
                <w:szCs w:val="21"/>
              </w:rPr>
              <w:t>教师的校本课程开发个案</w:t>
            </w:r>
          </w:p>
        </w:tc>
        <w:tc>
          <w:tcPr>
            <w:tcW w:w="3407" w:type="dxa"/>
            <w:vAlign w:val="center"/>
          </w:tcPr>
          <w:p w14:paraId="6D03B9F8">
            <w:pPr>
              <w:spacing w:line="276" w:lineRule="auto"/>
              <w:jc w:val="left"/>
              <w:rPr>
                <w:rFonts w:hint="eastAsia" w:ascii="宋体" w:hAnsi="宋体" w:eastAsia="宋体" w:cs="宋体"/>
                <w:szCs w:val="21"/>
              </w:rPr>
            </w:pPr>
            <w:r>
              <w:rPr>
                <w:rFonts w:hint="eastAsia" w:ascii="宋体" w:hAnsi="宋体" w:eastAsia="宋体" w:cs="宋体"/>
                <w:szCs w:val="21"/>
              </w:rPr>
              <w:t>观察记录小学学科教师的校本课程理解及开发情况</w:t>
            </w:r>
          </w:p>
        </w:tc>
        <w:tc>
          <w:tcPr>
            <w:tcW w:w="740" w:type="dxa"/>
            <w:vAlign w:val="center"/>
          </w:tcPr>
          <w:p w14:paraId="43025CD3">
            <w:pPr>
              <w:spacing w:line="276" w:lineRule="auto"/>
              <w:jc w:val="center"/>
              <w:rPr>
                <w:rFonts w:hint="eastAsia" w:ascii="宋体" w:hAnsi="宋体" w:eastAsia="宋体" w:cs="宋体"/>
                <w:szCs w:val="21"/>
              </w:rPr>
            </w:pPr>
            <w:r>
              <w:rPr>
                <w:rFonts w:hint="eastAsia" w:ascii="宋体" w:hAnsi="宋体" w:eastAsia="宋体" w:cs="宋体"/>
                <w:szCs w:val="21"/>
              </w:rPr>
              <w:t>观察记录</w:t>
            </w:r>
          </w:p>
        </w:tc>
        <w:tc>
          <w:tcPr>
            <w:tcW w:w="3160" w:type="dxa"/>
            <w:vAlign w:val="center"/>
          </w:tcPr>
          <w:p w14:paraId="4CAFDCB3">
            <w:pPr>
              <w:spacing w:line="276" w:lineRule="auto"/>
              <w:jc w:val="left"/>
              <w:rPr>
                <w:rFonts w:hint="eastAsia" w:ascii="宋体" w:hAnsi="宋体" w:eastAsia="宋体" w:cs="宋体"/>
                <w:szCs w:val="21"/>
              </w:rPr>
            </w:pPr>
            <w:r>
              <w:rPr>
                <w:rFonts w:hint="eastAsia" w:ascii="宋体" w:hAnsi="宋体" w:eastAsia="宋体" w:cs="宋体"/>
                <w:szCs w:val="21"/>
              </w:rPr>
              <w:t>唤醒课程开发及课程领导意识，通过实际行动积极践行新课改与新课标。</w:t>
            </w:r>
          </w:p>
        </w:tc>
      </w:tr>
    </w:tbl>
    <w:p w14:paraId="0B06F52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24F88CFA">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E450D30">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本课程根据学生作业、课堂讨论、平时考核情况和学生、教学督导等</w:t>
      </w:r>
      <w:r>
        <w:rPr>
          <w:rFonts w:hint="eastAsia" w:ascii="Times New Roman" w:hAnsi="Times New Roman" w:eastAsia="宋体" w:cs="Times New Roman"/>
          <w:szCs w:val="21"/>
        </w:rPr>
        <w:t>的</w:t>
      </w:r>
      <w:r>
        <w:rPr>
          <w:rFonts w:ascii="Times New Roman" w:hAnsi="Times New Roman" w:eastAsia="宋体" w:cs="Times New Roman"/>
          <w:szCs w:val="21"/>
        </w:rPr>
        <w:t>反馈，及时对教学中</w:t>
      </w:r>
      <w:r>
        <w:rPr>
          <w:rFonts w:hint="eastAsia" w:ascii="Times New Roman" w:hAnsi="Times New Roman" w:eastAsia="宋体" w:cs="Times New Roman"/>
          <w:szCs w:val="21"/>
        </w:rPr>
        <w:t>的</w:t>
      </w:r>
      <w:r>
        <w:rPr>
          <w:rFonts w:ascii="Times New Roman" w:hAnsi="Times New Roman" w:eastAsia="宋体" w:cs="Times New Roman"/>
          <w:szCs w:val="21"/>
        </w:rPr>
        <w:t>不足之处进行改进，并在下一轮课程教学中</w:t>
      </w:r>
      <w:r>
        <w:rPr>
          <w:rFonts w:hint="eastAsia" w:ascii="Times New Roman" w:hAnsi="Times New Roman" w:eastAsia="宋体" w:cs="Times New Roman"/>
          <w:szCs w:val="21"/>
        </w:rPr>
        <w:t>整改完善</w:t>
      </w:r>
      <w:r>
        <w:rPr>
          <w:rFonts w:ascii="Times New Roman" w:hAnsi="Times New Roman" w:eastAsia="宋体" w:cs="Times New Roman"/>
          <w:szCs w:val="21"/>
        </w:rPr>
        <w:t>，确保相应毕业要求指标点达成。</w:t>
      </w:r>
    </w:p>
    <w:p w14:paraId="6A17D762">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（二）建议教材</w:t>
      </w:r>
    </w:p>
    <w:p w14:paraId="2FAEA8A3">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高慎英，《小学</w:t>
      </w:r>
      <w:bookmarkStart w:id="876" w:name="_Hlk184559674"/>
      <w:r>
        <w:rPr>
          <w:rFonts w:hint="eastAsia" w:ascii="宋体" w:hAnsi="宋体" w:eastAsia="宋体" w:cs="Times New Roman"/>
          <w:bCs/>
          <w:szCs w:val="21"/>
        </w:rPr>
        <w:t>校本课程开发</w:t>
      </w:r>
      <w:bookmarkEnd w:id="876"/>
      <w:r>
        <w:rPr>
          <w:rFonts w:hint="eastAsia" w:ascii="宋体" w:hAnsi="宋体" w:eastAsia="宋体" w:cs="Times New Roman"/>
          <w:bCs/>
          <w:szCs w:val="21"/>
        </w:rPr>
        <w:t>》，高等教育出版社，2017.6.</w:t>
      </w:r>
    </w:p>
    <w:p w14:paraId="5A884D7B">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（三）参考书目</w:t>
      </w:r>
    </w:p>
    <w:p w14:paraId="3A114079">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1.罗生全、艾兴，中小学校本课程开发，西南大学出版社，2023.</w:t>
      </w:r>
    </w:p>
    <w:p w14:paraId="42E3452A">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2.李臣之，校本课程开发，北京师范大学出版社，2015.8.</w:t>
      </w:r>
    </w:p>
    <w:p w14:paraId="23E1229E">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3.张华著，《课程与教学论》，上海教育出版社，2014.</w:t>
      </w:r>
    </w:p>
    <w:p w14:paraId="0EF9D062">
      <w:pPr>
        <w:ind w:firstLine="420" w:firstLineChars="200"/>
        <w:rPr>
          <w:rFonts w:hint="eastAsia" w:ascii="宋体" w:hAnsi="宋体" w:eastAsia="宋体"/>
          <w:szCs w:val="21"/>
        </w:rPr>
      </w:pPr>
      <w:r>
        <w:rPr>
          <w:rFonts w:hint="eastAsia" w:ascii="宋体" w:hAnsi="宋体" w:eastAsia="宋体"/>
          <w:szCs w:val="21"/>
        </w:rPr>
        <w:t>4.</w:t>
      </w:r>
      <w:r>
        <w:rPr>
          <w:rFonts w:ascii="宋体" w:hAnsi="宋体" w:eastAsia="宋体"/>
          <w:szCs w:val="21"/>
        </w:rPr>
        <w:t>项家庆</w:t>
      </w:r>
      <w:r>
        <w:rPr>
          <w:rFonts w:hint="eastAsia" w:ascii="宋体" w:hAnsi="宋体" w:eastAsia="宋体"/>
          <w:szCs w:val="21"/>
        </w:rPr>
        <w:t>，</w:t>
      </w:r>
      <w:r>
        <w:rPr>
          <w:rFonts w:ascii="宋体" w:hAnsi="宋体" w:eastAsia="宋体"/>
          <w:szCs w:val="21"/>
        </w:rPr>
        <w:t>教你开发校本课程</w:t>
      </w:r>
      <w:r>
        <w:rPr>
          <w:rFonts w:hint="eastAsia" w:ascii="宋体" w:hAnsi="宋体" w:eastAsia="宋体"/>
          <w:szCs w:val="21"/>
        </w:rPr>
        <w:t>，</w:t>
      </w:r>
      <w:r>
        <w:rPr>
          <w:rFonts w:ascii="宋体" w:hAnsi="宋体" w:eastAsia="宋体"/>
          <w:szCs w:val="21"/>
        </w:rPr>
        <w:t>世界图书出版广东有限公司</w:t>
      </w:r>
      <w:r>
        <w:rPr>
          <w:rFonts w:hint="eastAsia" w:ascii="宋体" w:hAnsi="宋体" w:eastAsia="宋体"/>
          <w:szCs w:val="21"/>
        </w:rPr>
        <w:t>，</w:t>
      </w:r>
      <w:r>
        <w:rPr>
          <w:rFonts w:ascii="宋体" w:hAnsi="宋体" w:eastAsia="宋体"/>
          <w:szCs w:val="21"/>
        </w:rPr>
        <w:t>2012</w:t>
      </w:r>
      <w:r>
        <w:rPr>
          <w:rFonts w:hint="eastAsia" w:ascii="宋体" w:hAnsi="宋体" w:eastAsia="宋体"/>
          <w:szCs w:val="21"/>
        </w:rPr>
        <w:t>.</w:t>
      </w:r>
    </w:p>
    <w:p w14:paraId="20BBEFEF">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5.钟启泉主编，《新课程的理念与创新——师范生读本》（第二版），高等教育出版社，2008.</w:t>
      </w:r>
    </w:p>
    <w:p w14:paraId="64F05D5E">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6.崔允漷，《校本课程开发：课程故事》，华东师范大学出版社，2007.</w:t>
      </w:r>
    </w:p>
    <w:p w14:paraId="743ACC2B">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7.施良方著，《课程理论》，教育科学出版社，1996.</w:t>
      </w:r>
    </w:p>
    <w:p w14:paraId="0EB7727A">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8.吴刚平著，《校本课程开发》，四川教育出版社，2002.</w:t>
      </w:r>
    </w:p>
    <w:p w14:paraId="2EAF78AE">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9.[美]泰勒著，《课程与教学的基本原理》，中国轻工业出版社，2008.</w:t>
      </w:r>
    </w:p>
    <w:p w14:paraId="1CB57432">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10.中小学校校本课程资源开发研究与实验课题组编著,《校本课程资源开发指南》，人民教育出版社，2004</w:t>
      </w:r>
      <w:r>
        <w:rPr>
          <w:rFonts w:ascii="宋体" w:hAnsi="宋体" w:eastAsia="宋体" w:cs="Times New Roman"/>
          <w:bCs/>
          <w:szCs w:val="21"/>
        </w:rPr>
        <w:t> </w:t>
      </w:r>
    </w:p>
    <w:p w14:paraId="7837527D">
      <w:pPr>
        <w:spacing w:line="360" w:lineRule="auto"/>
        <w:ind w:firstLine="420" w:firstLineChars="200"/>
        <w:jc w:val="left"/>
        <w:rPr>
          <w:rFonts w:hint="eastAsia" w:ascii="宋体" w:hAnsi="宋体" w:eastAsia="宋体" w:cs="Times New Roman"/>
          <w:bCs/>
          <w:szCs w:val="21"/>
        </w:rPr>
      </w:pPr>
      <w:r>
        <w:rPr>
          <w:rFonts w:hint="eastAsia" w:ascii="宋体" w:hAnsi="宋体" w:eastAsia="宋体" w:cs="Times New Roman"/>
          <w:bCs/>
          <w:szCs w:val="21"/>
        </w:rPr>
        <w:t>11.王一军</w:t>
      </w:r>
      <w:r>
        <w:rPr>
          <w:rFonts w:ascii="宋体" w:hAnsi="宋体" w:eastAsia="宋体" w:cs="Times New Roman"/>
          <w:bCs/>
          <w:szCs w:val="21"/>
        </w:rPr>
        <w:t> 吕林海著</w:t>
      </w:r>
      <w:r>
        <w:rPr>
          <w:rFonts w:hint="eastAsia" w:ascii="宋体" w:hAnsi="宋体" w:eastAsia="宋体" w:cs="Times New Roman"/>
          <w:bCs/>
          <w:szCs w:val="21"/>
        </w:rPr>
        <w:t>,《校本课程开发：小学案例》,华东师范大学出版社，2009.</w:t>
      </w:r>
    </w:p>
    <w:p w14:paraId="7D648BAE">
      <w:pPr>
        <w:spacing w:line="360" w:lineRule="auto"/>
        <w:ind w:firstLine="420" w:firstLineChars="200"/>
        <w:jc w:val="left"/>
      </w:pPr>
      <w:r>
        <w:rPr>
          <w:rFonts w:hint="eastAsia" w:ascii="宋体" w:hAnsi="宋体" w:eastAsia="宋体" w:cs="Times New Roman"/>
          <w:bCs/>
          <w:szCs w:val="21"/>
        </w:rPr>
        <w:t>12，本书编写组,</w:t>
      </w:r>
      <w:r>
        <w:rPr>
          <w:rFonts w:ascii="宋体" w:hAnsi="宋体" w:eastAsia="宋体" w:cs="Times New Roman"/>
          <w:bCs/>
          <w:szCs w:val="21"/>
        </w:rPr>
        <w:t>《新课改校本研究与课程新设计</w:t>
      </w:r>
      <w:r>
        <w:rPr>
          <w:rFonts w:hint="eastAsia" w:ascii="宋体" w:hAnsi="宋体" w:eastAsia="宋体" w:cs="Times New Roman"/>
          <w:bCs/>
          <w:szCs w:val="21"/>
        </w:rPr>
        <w:t>：校本课程开发案例</w:t>
      </w:r>
      <w:r>
        <w:rPr>
          <w:rFonts w:ascii="宋体" w:hAnsi="宋体" w:eastAsia="宋体" w:cs="Times New Roman"/>
          <w:bCs/>
          <w:szCs w:val="21"/>
        </w:rPr>
        <w:t>》</w:t>
      </w:r>
      <w:r>
        <w:rPr>
          <w:rFonts w:hint="eastAsia" w:ascii="宋体" w:hAnsi="宋体" w:eastAsia="宋体" w:cs="Times New Roman"/>
          <w:bCs/>
          <w:szCs w:val="21"/>
        </w:rPr>
        <w:t>，</w:t>
      </w:r>
      <w:r>
        <w:rPr>
          <w:rFonts w:ascii="宋体" w:hAnsi="宋体" w:eastAsia="宋体" w:cs="Times New Roman"/>
          <w:bCs/>
          <w:szCs w:val="21"/>
        </w:rPr>
        <w:t>人民日报出版社</w:t>
      </w:r>
      <w:r>
        <w:rPr>
          <w:rFonts w:hint="eastAsia" w:ascii="宋体" w:hAnsi="宋体" w:eastAsia="宋体" w:cs="Times New Roman"/>
          <w:bCs/>
          <w:szCs w:val="21"/>
        </w:rPr>
        <w:t>，2004.</w:t>
      </w:r>
    </w:p>
    <w:p w14:paraId="154F7F3C">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执 笔 人：张文娟</w:t>
      </w:r>
      <w:r>
        <w:rPr>
          <w:rFonts w:ascii="Times New Roman" w:hAnsi="Times New Roman" w:eastAsia="宋体" w:cs="Times New Roman"/>
          <w:szCs w:val="21"/>
        </w:rPr>
        <w:t xml:space="preserve"> </w:t>
      </w:r>
    </w:p>
    <w:p w14:paraId="25D0DF5D">
      <w:pPr>
        <w:wordWrap w:val="0"/>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 定 人：王  健</w:t>
      </w:r>
    </w:p>
    <w:p w14:paraId="5915BFF6">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 批 人：张志欣</w:t>
      </w:r>
    </w:p>
    <w:p w14:paraId="32721DA7">
      <w:pPr>
        <w:jc w:val="right"/>
        <w:rPr>
          <w:rFonts w:ascii="Times New Roman" w:hAnsi="Times New Roman" w:eastAsia="宋体" w:cs="Times New Roman"/>
          <w:sz w:val="24"/>
        </w:rPr>
      </w:pPr>
      <w:r>
        <w:rPr>
          <w:rFonts w:hint="eastAsia" w:ascii="Times New Roman" w:hAnsi="Times New Roman" w:eastAsia="宋体" w:cs="Times New Roman"/>
          <w:szCs w:val="21"/>
        </w:rPr>
        <w:t xml:space="preserve">                   批准时间：2025年7月1日</w:t>
      </w:r>
    </w:p>
    <w:p w14:paraId="5EE86EFA">
      <w:pPr>
        <w:rPr>
          <w:rFonts w:ascii="Times New Roman" w:hAnsi="Times New Roman" w:eastAsia="宋体" w:cs="Times New Roman"/>
          <w:sz w:val="24"/>
        </w:rPr>
      </w:pPr>
    </w:p>
    <w:p w14:paraId="15F64876">
      <w:pPr>
        <w:rPr>
          <w:rFonts w:ascii="Times New Roman" w:hAnsi="Times New Roman" w:eastAsia="宋体" w:cs="Times New Roman"/>
          <w:sz w:val="24"/>
        </w:rPr>
      </w:pPr>
    </w:p>
    <w:p w14:paraId="24468FF7">
      <w:pPr>
        <w:rPr>
          <w:rFonts w:ascii="Times New Roman" w:hAnsi="Times New Roman" w:eastAsia="宋体" w:cs="Times New Roman"/>
          <w:sz w:val="24"/>
        </w:rPr>
      </w:pPr>
      <w:r>
        <w:rPr>
          <w:rFonts w:hint="eastAsia" w:ascii="Times New Roman" w:hAnsi="Times New Roman" w:eastAsia="宋体" w:cs="Times New Roman"/>
          <w:sz w:val="24"/>
        </w:rPr>
        <w:br w:type="page"/>
      </w:r>
    </w:p>
    <w:p w14:paraId="420DB9F1">
      <w:pPr>
        <w:spacing w:line="360" w:lineRule="auto"/>
        <w:jc w:val="center"/>
        <w:outlineLvl w:val="0"/>
        <w:rPr>
          <w:rFonts w:ascii="Times New Roman" w:hAnsi="Times New Roman" w:eastAsia="宋体" w:cs="Times New Roman"/>
          <w:b/>
          <w:sz w:val="44"/>
          <w:szCs w:val="44"/>
        </w:rPr>
      </w:pPr>
      <w:bookmarkStart w:id="877" w:name="_Toc7428"/>
      <w:bookmarkStart w:id="878" w:name="_Toc3632"/>
      <w:bookmarkStart w:id="879" w:name="_Toc16429"/>
      <w:bookmarkStart w:id="880" w:name="_Toc31654"/>
      <w:bookmarkStart w:id="881" w:name="_Toc88340335"/>
      <w:r>
        <w:rPr>
          <w:rFonts w:hint="eastAsia" w:ascii="Times New Roman" w:hAnsi="Times New Roman" w:eastAsia="宋体" w:cs="Times New Roman"/>
          <w:b/>
          <w:sz w:val="44"/>
          <w:szCs w:val="44"/>
        </w:rPr>
        <w:t>《小学生心理辅导》课程教学大纲</w:t>
      </w:r>
      <w:bookmarkEnd w:id="877"/>
      <w:bookmarkEnd w:id="878"/>
      <w:bookmarkEnd w:id="879"/>
      <w:bookmarkEnd w:id="880"/>
      <w:bookmarkEnd w:id="881"/>
    </w:p>
    <w:p w14:paraId="23A329C5">
      <w:pPr>
        <w:spacing w:line="360" w:lineRule="auto"/>
        <w:jc w:val="center"/>
        <w:rPr>
          <w:rFonts w:ascii="Times New Roman" w:hAnsi="Times New Roman" w:eastAsia="宋体" w:cs="Times New Roman"/>
          <w:b/>
          <w:bCs/>
          <w:sz w:val="28"/>
          <w:szCs w:val="28"/>
        </w:rPr>
      </w:pPr>
      <w:bookmarkStart w:id="882" w:name="_Toc22992"/>
      <w:bookmarkStart w:id="883" w:name="_Toc21052"/>
      <w:bookmarkStart w:id="884" w:name="_Toc13654"/>
      <w:bookmarkStart w:id="885" w:name="_Toc31445"/>
      <w:bookmarkStart w:id="886" w:name="_Toc25947"/>
      <w:bookmarkStart w:id="887" w:name="_Toc4209"/>
      <w:bookmarkStart w:id="888" w:name="_Toc11120"/>
      <w:r>
        <w:rPr>
          <w:rFonts w:ascii="Times New Roman" w:hAnsi="Times New Roman" w:eastAsia="宋体" w:cs="Times New Roman"/>
          <w:b/>
          <w:bCs/>
          <w:sz w:val="28"/>
          <w:szCs w:val="28"/>
        </w:rPr>
        <w:t>（Psychological counseling for primary school students）</w:t>
      </w:r>
      <w:bookmarkEnd w:id="882"/>
      <w:bookmarkEnd w:id="883"/>
      <w:bookmarkEnd w:id="884"/>
      <w:bookmarkEnd w:id="885"/>
      <w:bookmarkEnd w:id="886"/>
      <w:bookmarkEnd w:id="887"/>
      <w:bookmarkEnd w:id="888"/>
    </w:p>
    <w:p w14:paraId="45862E87">
      <w:pPr>
        <w:spacing w:line="312" w:lineRule="auto"/>
        <w:rPr>
          <w:rFonts w:ascii="Calibri" w:hAnsi="Calibri" w:eastAsia="黑体" w:cs="Times New Roman"/>
          <w:bCs/>
          <w:szCs w:val="18"/>
        </w:rPr>
      </w:pPr>
    </w:p>
    <w:p w14:paraId="47B3C137">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kern w:val="0"/>
          <w:sz w:val="24"/>
        </w:rPr>
        <w:t>课程代码：2401023</w:t>
      </w:r>
    </w:p>
    <w:p w14:paraId="56084275">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分：2</w:t>
      </w:r>
    </w:p>
    <w:p w14:paraId="15EA566D">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时：32（其中：讲授学时24，课内实践学时8）</w:t>
      </w:r>
    </w:p>
    <w:p w14:paraId="5A0257DB">
      <w:pPr>
        <w:spacing w:line="360" w:lineRule="auto"/>
        <w:ind w:firstLine="482" w:firstLineChars="200"/>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先修课程：小学心理学、教育心理学</w:t>
      </w:r>
    </w:p>
    <w:p w14:paraId="26F1589B">
      <w:pPr>
        <w:spacing w:line="360" w:lineRule="auto"/>
        <w:ind w:firstLine="482" w:firstLineChars="200"/>
        <w:rPr>
          <w:rFonts w:ascii="Calibri" w:hAnsi="Calibri" w:eastAsia="宋体" w:cs="Times New Roman"/>
          <w:b/>
          <w:bCs/>
          <w:kern w:val="0"/>
          <w:sz w:val="24"/>
        </w:rPr>
      </w:pPr>
      <w:r>
        <w:rPr>
          <w:rFonts w:hint="eastAsia" w:ascii="Calibri" w:hAnsi="Calibri" w:eastAsia="宋体" w:cs="Times New Roman"/>
          <w:b/>
          <w:bCs/>
          <w:kern w:val="0"/>
          <w:sz w:val="24"/>
        </w:rPr>
        <w:t>适用专业：</w:t>
      </w:r>
      <w:r>
        <w:rPr>
          <w:rFonts w:hint="eastAsia" w:ascii="Calibri" w:hAnsi="Calibri" w:eastAsia="宋体" w:cs="Times New Roman"/>
          <w:b/>
          <w:bCs/>
          <w:sz w:val="24"/>
        </w:rPr>
        <w:t>小学教育</w:t>
      </w:r>
    </w:p>
    <w:p w14:paraId="13E1094E">
      <w:pPr>
        <w:spacing w:before="62" w:beforeLines="20" w:after="62" w:afterLines="20" w:line="360" w:lineRule="auto"/>
        <w:rPr>
          <w:rFonts w:ascii="Calibri" w:hAnsi="Calibri" w:eastAsia="宋体" w:cs="Times New Roman"/>
          <w:b/>
          <w:bCs/>
          <w:kern w:val="0"/>
          <w:sz w:val="24"/>
        </w:rPr>
      </w:pPr>
      <w:r>
        <w:rPr>
          <w:rFonts w:hint="eastAsia" w:ascii="Calibri" w:hAnsi="Calibri" w:eastAsia="宋体" w:cs="Times New Roman"/>
          <w:b/>
          <w:bCs/>
          <w:kern w:val="0"/>
          <w:sz w:val="24"/>
        </w:rPr>
        <w:t>一、课程简介</w:t>
      </w:r>
    </w:p>
    <w:p w14:paraId="3B2EA464">
      <w:pPr>
        <w:spacing w:line="360" w:lineRule="auto"/>
        <w:ind w:firstLine="420" w:firstLineChars="200"/>
        <w:rPr>
          <w:rFonts w:ascii="Calibri" w:hAnsi="Calibri" w:eastAsia="宋体" w:cs="Times New Roman"/>
          <w:kern w:val="0"/>
          <w:szCs w:val="21"/>
        </w:rPr>
      </w:pPr>
      <w:r>
        <w:rPr>
          <w:rFonts w:hint="eastAsia" w:ascii="Calibri" w:hAnsi="Calibri" w:eastAsia="宋体" w:cs="Times New Roman"/>
          <w:kern w:val="0"/>
          <w:szCs w:val="21"/>
        </w:rPr>
        <w:t>小学生心理辅导是小学教育专业的专业选修课程。课程通过对心理辅导技术的学习，结合小学生发展存在问题的研究，提高本专业学生的心理辅导的能力和操作技能。本课程的任务是掌握小学生心理辅导的基本概念和理论，学会心理辅导的基本方法，树立科学的心理辅导观，熟练运用小学生心理辅导规律和技术对小学生进行心理辅导。提高自己在生活和工作中的适应能力，能解决工作和生活中的各种心理健康问题。</w:t>
      </w:r>
    </w:p>
    <w:p w14:paraId="07656CDE">
      <w:pPr>
        <w:spacing w:before="62" w:beforeLines="20" w:after="62" w:afterLines="20" w:line="360" w:lineRule="auto"/>
        <w:rPr>
          <w:rFonts w:ascii="Calibri" w:hAnsi="Calibri" w:eastAsia="宋体" w:cs="Times New Roman"/>
          <w:b/>
          <w:bCs/>
          <w:kern w:val="0"/>
          <w:sz w:val="24"/>
        </w:rPr>
      </w:pPr>
      <w:r>
        <w:rPr>
          <w:rFonts w:hint="eastAsia" w:ascii="Calibri" w:hAnsi="Calibri" w:eastAsia="宋体" w:cs="Times New Roman"/>
          <w:b/>
          <w:bCs/>
          <w:kern w:val="0"/>
          <w:sz w:val="24"/>
        </w:rPr>
        <w:t>二、课程目标</w:t>
      </w:r>
    </w:p>
    <w:p w14:paraId="590E40A3">
      <w:pPr>
        <w:spacing w:line="360" w:lineRule="auto"/>
        <w:ind w:firstLine="422" w:firstLineChars="200"/>
        <w:rPr>
          <w:rFonts w:ascii="Calibri" w:hAnsi="Calibri" w:eastAsia="宋体" w:cs="Times New Roman"/>
          <w:b/>
          <w:szCs w:val="21"/>
        </w:rPr>
      </w:pPr>
      <w:r>
        <w:rPr>
          <w:rFonts w:hint="eastAsia" w:ascii="Calibri" w:hAnsi="Calibri" w:eastAsia="宋体" w:cs="Times New Roman"/>
          <w:b/>
          <w:szCs w:val="21"/>
        </w:rPr>
        <w:t>（一）课程具体目标</w:t>
      </w:r>
    </w:p>
    <w:p w14:paraId="12D28BB4">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目标1.阐释小学生心理辅导的目标和价值，形成以儿童发展为中心的辅导理念，分析小学儿童发展心理的规律，思政目标在于强化教师职业理念中的儿童中心思想，提高师范生的职业信念。</w:t>
      </w:r>
    </w:p>
    <w:p w14:paraId="32462DBE">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目标2.尝试运用小学生心理辅导的理论，结合小学生心理辅导的主要技术，学会在小学生班队管理中设计团体辅导活动，思政目标是强化科学发展观，用学科发展的历史及对学科的流派的梳理培养科学精神。</w:t>
      </w:r>
    </w:p>
    <w:p w14:paraId="49559216">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目标3.学会分析小学生常见的心理问题，运用个别辅导技术设计辅导方案，在课内实践中验证方案的可行性</w:t>
      </w:r>
      <w:r>
        <w:rPr>
          <w:rFonts w:hint="eastAsia" w:ascii="Times New Roman" w:hAnsi="Times New Roman" w:eastAsia="宋体" w:cs="Times New Roman"/>
          <w:szCs w:val="21"/>
        </w:rPr>
        <w:t>。</w:t>
      </w:r>
      <w:r>
        <w:rPr>
          <w:rFonts w:ascii="Times New Roman" w:hAnsi="Times New Roman" w:eastAsia="宋体" w:cs="Times New Roman"/>
          <w:szCs w:val="21"/>
        </w:rPr>
        <w:t>思政目标是进一步提升教师职业素养，提高因材施教的能力。</w:t>
      </w:r>
    </w:p>
    <w:p w14:paraId="72D23B71">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目标4.在课内实践过程中选择相应的小组活动形式，练习心理辅导的技能，获得团队活动体验，习得与学生、同伴和家长沟通的技能，思政目标是强调教育的生态观，师范生在活动中提升人际协调的能力和体验。</w:t>
      </w:r>
    </w:p>
    <w:p w14:paraId="063F5C02">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6342"/>
        <w:gridCol w:w="1191"/>
      </w:tblGrid>
      <w:tr w14:paraId="760F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14:paraId="47B9793D">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w:t>
            </w:r>
          </w:p>
        </w:tc>
        <w:tc>
          <w:tcPr>
            <w:tcW w:w="6342" w:type="dxa"/>
            <w:vAlign w:val="center"/>
          </w:tcPr>
          <w:p w14:paraId="316D0210">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毕业要求指标点</w:t>
            </w:r>
          </w:p>
        </w:tc>
        <w:tc>
          <w:tcPr>
            <w:tcW w:w="1191" w:type="dxa"/>
            <w:vAlign w:val="center"/>
          </w:tcPr>
          <w:p w14:paraId="3DF4DEAE">
            <w:pPr>
              <w:spacing w:line="360" w:lineRule="auto"/>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课程目标</w:t>
            </w:r>
          </w:p>
        </w:tc>
      </w:tr>
      <w:tr w14:paraId="7978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14:paraId="4B10F35B">
            <w:pPr>
              <w:spacing w:line="276"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毕业要求5</w:t>
            </w:r>
          </w:p>
          <w:p w14:paraId="6454CAF0">
            <w:pPr>
              <w:spacing w:line="276"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班级管理</w:t>
            </w:r>
          </w:p>
        </w:tc>
        <w:tc>
          <w:tcPr>
            <w:tcW w:w="6342" w:type="dxa"/>
            <w:vAlign w:val="center"/>
          </w:tcPr>
          <w:p w14:paraId="23FA5412">
            <w:pPr>
              <w:spacing w:line="276" w:lineRule="auto"/>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指标点5-2</w:t>
            </w:r>
            <w:r>
              <w:rPr>
                <w:rFonts w:hint="eastAsia" w:ascii="Times New Roman" w:hAnsi="Times New Roman" w:eastAsia="宋体" w:cs="Times New Roman"/>
                <w:kern w:val="0"/>
                <w:szCs w:val="21"/>
              </w:rPr>
              <w:t>：【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191" w:type="dxa"/>
            <w:vAlign w:val="center"/>
          </w:tcPr>
          <w:p w14:paraId="55780C2E">
            <w:pPr>
              <w:spacing w:line="276"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课程目标2、3</w:t>
            </w:r>
          </w:p>
        </w:tc>
      </w:tr>
      <w:tr w14:paraId="3E8A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14:paraId="1328DC29">
            <w:pPr>
              <w:spacing w:line="276"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毕业要求6</w:t>
            </w:r>
          </w:p>
          <w:p w14:paraId="2192CA38">
            <w:pPr>
              <w:spacing w:line="276" w:lineRule="auto"/>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综合育人</w:t>
            </w:r>
          </w:p>
        </w:tc>
        <w:tc>
          <w:tcPr>
            <w:tcW w:w="6342" w:type="dxa"/>
            <w:vAlign w:val="center"/>
          </w:tcPr>
          <w:p w14:paraId="17647819">
            <w:pPr>
              <w:spacing w:line="276" w:lineRule="auto"/>
              <w:jc w:val="left"/>
              <w:rPr>
                <w:rFonts w:hint="eastAsia" w:ascii="宋体" w:hAnsi="宋体" w:eastAsia="宋体" w:cs="Times New Roman"/>
                <w:spacing w:val="2"/>
                <w:kern w:val="0"/>
                <w:szCs w:val="21"/>
              </w:rPr>
            </w:pPr>
            <w:r>
              <w:rPr>
                <w:rFonts w:hint="eastAsia" w:ascii="宋体" w:hAnsi="宋体" w:eastAsia="宋体" w:cs="Times New Roman"/>
                <w:b/>
                <w:spacing w:val="2"/>
                <w:kern w:val="0"/>
                <w:szCs w:val="21"/>
              </w:rPr>
              <w:t>指标点6-1</w:t>
            </w:r>
            <w:r>
              <w:rPr>
                <w:rFonts w:hint="eastAsia" w:ascii="宋体" w:hAnsi="宋体" w:eastAsia="宋体" w:cs="Times New Roman"/>
                <w:spacing w:val="2"/>
                <w:kern w:val="0"/>
                <w:szCs w:val="21"/>
              </w:rPr>
              <w:t>：【遵循身心规律】了解不同年龄以及有特殊需要的小学生的身心发展特点和规律、不同年龄小学生学习的特点，掌握小学生良好行为习惯养成的知识。</w:t>
            </w:r>
          </w:p>
          <w:p w14:paraId="046021F0">
            <w:pPr>
              <w:spacing w:line="276" w:lineRule="auto"/>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指标点6-3</w:t>
            </w:r>
            <w:r>
              <w:rPr>
                <w:rFonts w:hint="eastAsia" w:ascii="Times New Roman" w:hAnsi="Times New Roman" w:eastAsia="宋体" w:cs="Times New Roman"/>
                <w:kern w:val="0"/>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7702B945">
            <w:pPr>
              <w:spacing w:line="276" w:lineRule="auto"/>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课程目标1、4</w:t>
            </w:r>
          </w:p>
        </w:tc>
      </w:tr>
    </w:tbl>
    <w:p w14:paraId="612BE7BB">
      <w:pPr>
        <w:spacing w:before="62" w:beforeLines="20" w:after="62" w:afterLines="20" w:line="360" w:lineRule="auto"/>
        <w:rPr>
          <w:rFonts w:hint="eastAsia" w:ascii="宋体" w:hAnsi="宋体" w:eastAsia="宋体" w:cs="Times New Roman"/>
          <w:b/>
          <w:sz w:val="24"/>
        </w:rPr>
      </w:pPr>
      <w:r>
        <w:rPr>
          <w:rFonts w:hint="eastAsia" w:ascii="Calibri" w:hAnsi="Calibri" w:eastAsia="宋体" w:cs="Times New Roman"/>
          <w:b/>
          <w:bCs/>
          <w:kern w:val="0"/>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740"/>
        <w:gridCol w:w="1159"/>
        <w:gridCol w:w="2170"/>
        <w:gridCol w:w="171"/>
        <w:gridCol w:w="1339"/>
        <w:gridCol w:w="145"/>
        <w:gridCol w:w="369"/>
      </w:tblGrid>
      <w:tr w14:paraId="695C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C65D170">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知识</w:t>
            </w:r>
          </w:p>
          <w:p w14:paraId="1920B418">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单元</w:t>
            </w:r>
          </w:p>
        </w:tc>
        <w:tc>
          <w:tcPr>
            <w:tcW w:w="2740" w:type="dxa"/>
            <w:vAlign w:val="center"/>
          </w:tcPr>
          <w:p w14:paraId="16A9C0AE">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知识点</w:t>
            </w:r>
          </w:p>
        </w:tc>
        <w:tc>
          <w:tcPr>
            <w:tcW w:w="1159" w:type="dxa"/>
            <w:vAlign w:val="center"/>
          </w:tcPr>
          <w:p w14:paraId="0951A363">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对应</w:t>
            </w:r>
          </w:p>
          <w:p w14:paraId="1BF5CE14">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课程目标</w:t>
            </w:r>
          </w:p>
        </w:tc>
        <w:tc>
          <w:tcPr>
            <w:tcW w:w="2341" w:type="dxa"/>
            <w:gridSpan w:val="2"/>
            <w:vAlign w:val="center"/>
          </w:tcPr>
          <w:p w14:paraId="3FEFA930">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预期学习成效</w:t>
            </w:r>
          </w:p>
        </w:tc>
        <w:tc>
          <w:tcPr>
            <w:tcW w:w="1484" w:type="dxa"/>
            <w:gridSpan w:val="2"/>
            <w:vAlign w:val="center"/>
          </w:tcPr>
          <w:p w14:paraId="683A5AB2">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实现环节</w:t>
            </w:r>
          </w:p>
        </w:tc>
        <w:tc>
          <w:tcPr>
            <w:tcW w:w="369" w:type="dxa"/>
            <w:vAlign w:val="center"/>
          </w:tcPr>
          <w:p w14:paraId="21B64AB6">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学时</w:t>
            </w:r>
          </w:p>
        </w:tc>
      </w:tr>
      <w:tr w14:paraId="0F7C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FB3AA97">
            <w:pPr>
              <w:jc w:val="center"/>
              <w:rPr>
                <w:rFonts w:hint="eastAsia" w:ascii="宋体" w:hAnsi="宋体" w:eastAsia="宋体" w:cs="Times New Roman"/>
                <w:kern w:val="0"/>
                <w:szCs w:val="21"/>
              </w:rPr>
            </w:pPr>
            <w:r>
              <w:rPr>
                <w:rFonts w:hint="eastAsia" w:ascii="宋体" w:hAnsi="宋体" w:eastAsia="宋体" w:cs="Times New Roman"/>
                <w:kern w:val="0"/>
                <w:szCs w:val="21"/>
              </w:rPr>
              <w:t>1.小学生心理辅导概述</w:t>
            </w:r>
          </w:p>
        </w:tc>
        <w:tc>
          <w:tcPr>
            <w:tcW w:w="2740" w:type="dxa"/>
            <w:vAlign w:val="center"/>
          </w:tcPr>
          <w:p w14:paraId="1AA43F65">
            <w:pPr>
              <w:jc w:val="left"/>
              <w:rPr>
                <w:rFonts w:hint="eastAsia" w:ascii="宋体" w:hAnsi="宋体" w:eastAsia="宋体" w:cs="Times New Roman"/>
                <w:kern w:val="0"/>
                <w:szCs w:val="21"/>
              </w:rPr>
            </w:pPr>
            <w:r>
              <w:rPr>
                <w:rFonts w:hint="eastAsia" w:ascii="宋体" w:hAnsi="宋体" w:eastAsia="宋体" w:cs="Times New Roman"/>
                <w:kern w:val="0"/>
                <w:szCs w:val="21"/>
              </w:rPr>
              <w:t>（1）小学生心理辅导的意义</w:t>
            </w:r>
          </w:p>
          <w:p w14:paraId="2A20C5AF">
            <w:pPr>
              <w:jc w:val="left"/>
              <w:rPr>
                <w:rFonts w:hint="eastAsia" w:ascii="宋体" w:hAnsi="宋体" w:eastAsia="宋体" w:cs="Times New Roman"/>
                <w:kern w:val="0"/>
                <w:szCs w:val="21"/>
              </w:rPr>
            </w:pPr>
            <w:r>
              <w:rPr>
                <w:rFonts w:hint="eastAsia" w:ascii="宋体" w:hAnsi="宋体" w:eastAsia="宋体" w:cs="Times New Roman"/>
                <w:kern w:val="0"/>
                <w:szCs w:val="21"/>
              </w:rPr>
              <w:t>（2）小学生心理辅导的内涵</w:t>
            </w:r>
          </w:p>
          <w:p w14:paraId="464C82B2">
            <w:pPr>
              <w:jc w:val="left"/>
              <w:rPr>
                <w:rFonts w:hint="eastAsia" w:ascii="宋体" w:hAnsi="宋体" w:eastAsia="宋体" w:cs="Times New Roman"/>
                <w:kern w:val="0"/>
                <w:szCs w:val="21"/>
              </w:rPr>
            </w:pPr>
            <w:r>
              <w:rPr>
                <w:rFonts w:hint="eastAsia" w:ascii="宋体" w:hAnsi="宋体" w:eastAsia="宋体" w:cs="Times New Roman"/>
                <w:kern w:val="0"/>
                <w:szCs w:val="21"/>
              </w:rPr>
              <w:t>（3）小学生心理辅导的目标</w:t>
            </w:r>
          </w:p>
          <w:p w14:paraId="003EC261">
            <w:pPr>
              <w:jc w:val="left"/>
              <w:rPr>
                <w:rFonts w:hint="eastAsia" w:ascii="宋体" w:hAnsi="宋体" w:eastAsia="宋体" w:cs="Times New Roman"/>
                <w:kern w:val="0"/>
                <w:szCs w:val="21"/>
              </w:rPr>
            </w:pPr>
            <w:r>
              <w:rPr>
                <w:rFonts w:hint="eastAsia" w:ascii="宋体" w:hAnsi="宋体" w:eastAsia="宋体" w:cs="Times New Roman"/>
                <w:kern w:val="0"/>
                <w:szCs w:val="21"/>
              </w:rPr>
              <w:t>（4）小学生心理辅导的对象与内容</w:t>
            </w:r>
          </w:p>
          <w:p w14:paraId="02B3C34E">
            <w:pPr>
              <w:jc w:val="left"/>
              <w:rPr>
                <w:rFonts w:hint="eastAsia" w:ascii="宋体" w:hAnsi="宋体" w:eastAsia="宋体" w:cs="Times New Roman"/>
                <w:kern w:val="0"/>
                <w:szCs w:val="21"/>
              </w:rPr>
            </w:pPr>
            <w:r>
              <w:rPr>
                <w:rFonts w:hint="eastAsia" w:ascii="宋体" w:hAnsi="宋体" w:eastAsia="宋体" w:cs="Times New Roman"/>
                <w:kern w:val="0"/>
                <w:szCs w:val="21"/>
              </w:rPr>
              <w:t>（5）小学生心理辅导的原则</w:t>
            </w:r>
          </w:p>
        </w:tc>
        <w:tc>
          <w:tcPr>
            <w:tcW w:w="1159" w:type="dxa"/>
            <w:vAlign w:val="center"/>
          </w:tcPr>
          <w:p w14:paraId="4558466D">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w:t>
            </w:r>
          </w:p>
        </w:tc>
        <w:tc>
          <w:tcPr>
            <w:tcW w:w="2341" w:type="dxa"/>
            <w:gridSpan w:val="2"/>
            <w:vAlign w:val="center"/>
          </w:tcPr>
          <w:p w14:paraId="6692A990">
            <w:pPr>
              <w:jc w:val="left"/>
              <w:rPr>
                <w:rFonts w:hint="eastAsia" w:ascii="宋体" w:hAnsi="宋体" w:eastAsia="宋体" w:cs="Times New Roman"/>
                <w:kern w:val="0"/>
                <w:szCs w:val="21"/>
              </w:rPr>
            </w:pPr>
            <w:r>
              <w:rPr>
                <w:rFonts w:hint="eastAsia" w:ascii="宋体" w:hAnsi="宋体" w:eastAsia="宋体" w:cs="Times New Roman"/>
                <w:kern w:val="0"/>
                <w:szCs w:val="21"/>
              </w:rPr>
              <w:t>（1）了解小学生心理辅导的意义，掌握小学生心理辅导的目标与对象；</w:t>
            </w:r>
          </w:p>
          <w:p w14:paraId="237FDB65">
            <w:pPr>
              <w:jc w:val="left"/>
              <w:rPr>
                <w:rFonts w:hint="eastAsia" w:ascii="宋体" w:hAnsi="宋体" w:eastAsia="宋体" w:cs="Times New Roman"/>
                <w:kern w:val="0"/>
                <w:szCs w:val="21"/>
              </w:rPr>
            </w:pPr>
            <w:r>
              <w:rPr>
                <w:rFonts w:hint="eastAsia" w:ascii="宋体" w:hAnsi="宋体" w:eastAsia="宋体" w:cs="Times New Roman"/>
                <w:kern w:val="0"/>
                <w:szCs w:val="21"/>
              </w:rPr>
              <w:t>（2）理解小学生心理辅导的原则和内涵，形成正确的小学生心理辅导理念。</w:t>
            </w:r>
          </w:p>
        </w:tc>
        <w:tc>
          <w:tcPr>
            <w:tcW w:w="1484" w:type="dxa"/>
            <w:gridSpan w:val="2"/>
            <w:vAlign w:val="center"/>
          </w:tcPr>
          <w:p w14:paraId="7B10829C">
            <w:pPr>
              <w:jc w:val="left"/>
              <w:rPr>
                <w:rFonts w:hint="eastAsia" w:ascii="宋体" w:hAnsi="宋体" w:eastAsia="宋体" w:cs="Times New Roman"/>
                <w:kern w:val="0"/>
                <w:szCs w:val="21"/>
              </w:rPr>
            </w:pPr>
            <w:r>
              <w:rPr>
                <w:rFonts w:hint="eastAsia" w:ascii="宋体" w:hAnsi="宋体" w:eastAsia="宋体" w:cs="Times New Roman"/>
                <w:kern w:val="0"/>
                <w:szCs w:val="21"/>
              </w:rPr>
              <w:t>1.线上学习</w:t>
            </w:r>
          </w:p>
          <w:p w14:paraId="436FA178">
            <w:pPr>
              <w:jc w:val="left"/>
              <w:rPr>
                <w:rFonts w:hint="eastAsia" w:ascii="宋体" w:hAnsi="宋体" w:eastAsia="宋体" w:cs="Times New Roman"/>
                <w:kern w:val="0"/>
                <w:szCs w:val="21"/>
              </w:rPr>
            </w:pPr>
            <w:r>
              <w:rPr>
                <w:rFonts w:hint="eastAsia" w:ascii="宋体" w:hAnsi="宋体" w:eastAsia="宋体" w:cs="Times New Roman"/>
                <w:kern w:val="0"/>
                <w:szCs w:val="21"/>
              </w:rPr>
              <w:t>2.多媒体教学3.课堂讨论</w:t>
            </w:r>
          </w:p>
          <w:p w14:paraId="2C9249BE">
            <w:pPr>
              <w:jc w:val="left"/>
              <w:rPr>
                <w:rFonts w:hint="eastAsia" w:ascii="宋体" w:hAnsi="宋体" w:eastAsia="宋体" w:cs="Times New Roman"/>
                <w:kern w:val="0"/>
                <w:szCs w:val="21"/>
              </w:rPr>
            </w:pPr>
          </w:p>
        </w:tc>
        <w:tc>
          <w:tcPr>
            <w:tcW w:w="369" w:type="dxa"/>
            <w:vAlign w:val="center"/>
          </w:tcPr>
          <w:p w14:paraId="0323CD00">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00E9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C583840">
            <w:pPr>
              <w:jc w:val="center"/>
              <w:rPr>
                <w:rFonts w:hint="eastAsia" w:ascii="宋体" w:hAnsi="宋体" w:eastAsia="宋体" w:cs="Times New Roman"/>
                <w:kern w:val="0"/>
                <w:szCs w:val="21"/>
              </w:rPr>
            </w:pPr>
          </w:p>
        </w:tc>
        <w:tc>
          <w:tcPr>
            <w:tcW w:w="8093" w:type="dxa"/>
            <w:gridSpan w:val="7"/>
            <w:vAlign w:val="center"/>
          </w:tcPr>
          <w:p w14:paraId="4F72C485">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建立“以人为本、立德树人”的教育价值观，并融入小学生心理辅导个案中。</w:t>
            </w:r>
          </w:p>
        </w:tc>
      </w:tr>
      <w:tr w14:paraId="3490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9CC2F9B">
            <w:pPr>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小学生心理辅导的基本理论</w:t>
            </w:r>
          </w:p>
        </w:tc>
        <w:tc>
          <w:tcPr>
            <w:tcW w:w="2740" w:type="dxa"/>
            <w:vAlign w:val="center"/>
          </w:tcPr>
          <w:p w14:paraId="194B04AF">
            <w:pPr>
              <w:jc w:val="left"/>
              <w:rPr>
                <w:rFonts w:hint="eastAsia" w:ascii="宋体" w:hAnsi="宋体" w:eastAsia="宋体" w:cs="Times New Roman"/>
                <w:kern w:val="0"/>
                <w:szCs w:val="21"/>
              </w:rPr>
            </w:pPr>
            <w:r>
              <w:rPr>
                <w:rFonts w:hint="eastAsia" w:ascii="宋体" w:hAnsi="宋体" w:eastAsia="宋体" w:cs="Times New Roman"/>
                <w:kern w:val="0"/>
                <w:szCs w:val="21"/>
              </w:rPr>
              <w:t>（1）精神分析理论</w:t>
            </w:r>
          </w:p>
          <w:p w14:paraId="6DFF7577">
            <w:pPr>
              <w:jc w:val="left"/>
              <w:rPr>
                <w:rFonts w:hint="eastAsia" w:ascii="宋体" w:hAnsi="宋体" w:eastAsia="宋体" w:cs="Times New Roman"/>
                <w:kern w:val="0"/>
                <w:szCs w:val="21"/>
              </w:rPr>
            </w:pPr>
            <w:r>
              <w:rPr>
                <w:rFonts w:hint="eastAsia" w:ascii="宋体" w:hAnsi="宋体" w:eastAsia="宋体" w:cs="Times New Roman"/>
                <w:kern w:val="0"/>
                <w:szCs w:val="21"/>
              </w:rPr>
              <w:t>（2）行为主义理论</w:t>
            </w:r>
          </w:p>
          <w:p w14:paraId="7C4A4E26">
            <w:pPr>
              <w:jc w:val="left"/>
              <w:rPr>
                <w:rFonts w:hint="eastAsia" w:ascii="宋体" w:hAnsi="宋体" w:eastAsia="宋体" w:cs="Times New Roman"/>
                <w:kern w:val="0"/>
                <w:szCs w:val="21"/>
              </w:rPr>
            </w:pPr>
            <w:r>
              <w:rPr>
                <w:rFonts w:hint="eastAsia" w:ascii="宋体" w:hAnsi="宋体" w:eastAsia="宋体" w:cs="Times New Roman"/>
                <w:kern w:val="0"/>
                <w:szCs w:val="21"/>
              </w:rPr>
              <w:t>（3）理性情绪咨询理论</w:t>
            </w:r>
          </w:p>
          <w:p w14:paraId="49A51066">
            <w:pPr>
              <w:jc w:val="left"/>
              <w:rPr>
                <w:rFonts w:hint="eastAsia" w:ascii="宋体" w:hAnsi="宋体" w:eastAsia="宋体" w:cs="Times New Roman"/>
                <w:kern w:val="0"/>
                <w:szCs w:val="21"/>
              </w:rPr>
            </w:pPr>
            <w:r>
              <w:rPr>
                <w:rFonts w:hint="eastAsia" w:ascii="宋体" w:hAnsi="宋体" w:eastAsia="宋体" w:cs="Times New Roman"/>
                <w:kern w:val="0"/>
                <w:szCs w:val="21"/>
              </w:rPr>
              <w:t>（4）以人为中心的咨询理论</w:t>
            </w:r>
          </w:p>
          <w:p w14:paraId="5C72F7FD">
            <w:pPr>
              <w:jc w:val="left"/>
              <w:rPr>
                <w:rFonts w:hint="eastAsia" w:ascii="宋体" w:hAnsi="宋体" w:eastAsia="宋体" w:cs="Times New Roman"/>
                <w:kern w:val="0"/>
                <w:szCs w:val="21"/>
              </w:rPr>
            </w:pPr>
            <w:r>
              <w:rPr>
                <w:rFonts w:hint="eastAsia" w:ascii="宋体" w:hAnsi="宋体" w:eastAsia="宋体" w:cs="Times New Roman"/>
                <w:kern w:val="0"/>
                <w:szCs w:val="21"/>
              </w:rPr>
              <w:t>（5）群体动力理论</w:t>
            </w:r>
          </w:p>
        </w:tc>
        <w:tc>
          <w:tcPr>
            <w:tcW w:w="1159" w:type="dxa"/>
            <w:vAlign w:val="center"/>
          </w:tcPr>
          <w:p w14:paraId="41A08412">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tc>
        <w:tc>
          <w:tcPr>
            <w:tcW w:w="2341" w:type="dxa"/>
            <w:gridSpan w:val="2"/>
            <w:vAlign w:val="center"/>
          </w:tcPr>
          <w:p w14:paraId="45F7743D">
            <w:pPr>
              <w:jc w:val="left"/>
              <w:rPr>
                <w:rFonts w:hint="eastAsia" w:ascii="宋体" w:hAnsi="宋体" w:eastAsia="宋体" w:cs="Times New Roman"/>
                <w:kern w:val="0"/>
                <w:szCs w:val="21"/>
              </w:rPr>
            </w:pPr>
            <w:r>
              <w:rPr>
                <w:rFonts w:hint="eastAsia" w:ascii="宋体" w:hAnsi="宋体" w:eastAsia="宋体" w:cs="Times New Roman"/>
                <w:kern w:val="0"/>
                <w:szCs w:val="21"/>
              </w:rPr>
              <w:t>（1）了解群体动力理论，理解各理论流派在小学生心理辅导中的适用性；</w:t>
            </w:r>
          </w:p>
          <w:p w14:paraId="41332FDC">
            <w:pPr>
              <w:jc w:val="left"/>
              <w:rPr>
                <w:rFonts w:hint="eastAsia" w:ascii="宋体" w:hAnsi="宋体" w:eastAsia="宋体" w:cs="Times New Roman"/>
                <w:kern w:val="0"/>
                <w:szCs w:val="21"/>
              </w:rPr>
            </w:pPr>
            <w:r>
              <w:rPr>
                <w:rFonts w:hint="eastAsia" w:ascii="宋体" w:hAnsi="宋体" w:eastAsia="宋体" w:cs="Times New Roman"/>
                <w:kern w:val="0"/>
                <w:szCs w:val="21"/>
              </w:rPr>
              <w:t>（2）掌握行为主义理论和理性情绪理论，能设计与相关理论相应的小学生心理辅导活动。</w:t>
            </w:r>
          </w:p>
        </w:tc>
        <w:tc>
          <w:tcPr>
            <w:tcW w:w="1484" w:type="dxa"/>
            <w:gridSpan w:val="2"/>
            <w:vAlign w:val="center"/>
          </w:tcPr>
          <w:p w14:paraId="63BFF3BF">
            <w:pPr>
              <w:jc w:val="left"/>
              <w:rPr>
                <w:rFonts w:hint="eastAsia" w:ascii="宋体" w:hAnsi="宋体" w:eastAsia="宋体" w:cs="Times New Roman"/>
                <w:kern w:val="0"/>
                <w:szCs w:val="21"/>
              </w:rPr>
            </w:pPr>
            <w:r>
              <w:rPr>
                <w:rFonts w:hint="eastAsia" w:ascii="宋体" w:hAnsi="宋体" w:eastAsia="宋体" w:cs="Times New Roman"/>
                <w:kern w:val="0"/>
                <w:szCs w:val="21"/>
              </w:rPr>
              <w:t>1.线上学习</w:t>
            </w:r>
          </w:p>
          <w:p w14:paraId="55F6C4A5">
            <w:pPr>
              <w:jc w:val="left"/>
              <w:rPr>
                <w:rFonts w:hint="eastAsia" w:ascii="宋体" w:hAnsi="宋体" w:eastAsia="宋体" w:cs="Times New Roman"/>
                <w:kern w:val="0"/>
                <w:szCs w:val="21"/>
              </w:rPr>
            </w:pPr>
            <w:r>
              <w:rPr>
                <w:rFonts w:hint="eastAsia" w:ascii="宋体" w:hAnsi="宋体" w:eastAsia="宋体" w:cs="Times New Roman"/>
                <w:kern w:val="0"/>
                <w:szCs w:val="21"/>
              </w:rPr>
              <w:t>2.多媒体教学3.课堂讨论</w:t>
            </w:r>
          </w:p>
          <w:p w14:paraId="76E2DB1C">
            <w:pPr>
              <w:jc w:val="left"/>
              <w:rPr>
                <w:rFonts w:hint="eastAsia" w:ascii="宋体" w:hAnsi="宋体" w:eastAsia="宋体" w:cs="Times New Roman"/>
                <w:kern w:val="0"/>
                <w:szCs w:val="21"/>
              </w:rPr>
            </w:pPr>
            <w:r>
              <w:rPr>
                <w:rFonts w:hint="eastAsia" w:ascii="宋体" w:hAnsi="宋体" w:eastAsia="宋体" w:cs="Times New Roman"/>
                <w:kern w:val="0"/>
                <w:szCs w:val="21"/>
              </w:rPr>
              <w:t>4.课内实践</w:t>
            </w:r>
          </w:p>
        </w:tc>
        <w:tc>
          <w:tcPr>
            <w:tcW w:w="369" w:type="dxa"/>
            <w:vAlign w:val="center"/>
          </w:tcPr>
          <w:p w14:paraId="77FCB3F5">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6F4B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17036E5">
            <w:pPr>
              <w:jc w:val="center"/>
              <w:rPr>
                <w:rFonts w:hint="eastAsia" w:ascii="宋体" w:hAnsi="宋体" w:eastAsia="宋体" w:cs="Times New Roman"/>
                <w:kern w:val="0"/>
                <w:szCs w:val="21"/>
              </w:rPr>
            </w:pPr>
          </w:p>
        </w:tc>
        <w:tc>
          <w:tcPr>
            <w:tcW w:w="8093" w:type="dxa"/>
            <w:gridSpan w:val="7"/>
            <w:vAlign w:val="center"/>
          </w:tcPr>
          <w:p w14:paraId="38F6CE0D">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以全人的视角分析理论学习对小学生辅导的价值，进而形成正确的学生观、教育观。</w:t>
            </w:r>
          </w:p>
        </w:tc>
      </w:tr>
      <w:tr w14:paraId="2910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36902D4">
            <w:pPr>
              <w:jc w:val="center"/>
              <w:rPr>
                <w:rFonts w:hint="eastAsia" w:ascii="宋体" w:hAnsi="宋体" w:eastAsia="宋体" w:cs="Times New Roman"/>
                <w:kern w:val="0"/>
                <w:szCs w:val="21"/>
              </w:rPr>
            </w:pPr>
            <w:r>
              <w:rPr>
                <w:rFonts w:hint="eastAsia" w:ascii="宋体" w:hAnsi="宋体" w:eastAsia="宋体" w:cs="Times New Roman"/>
                <w:kern w:val="0"/>
                <w:szCs w:val="21"/>
              </w:rPr>
              <w:t>3.</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小学生心理辅导的基本技术</w:t>
            </w:r>
          </w:p>
        </w:tc>
        <w:tc>
          <w:tcPr>
            <w:tcW w:w="2740" w:type="dxa"/>
            <w:vAlign w:val="center"/>
          </w:tcPr>
          <w:p w14:paraId="2E9E6658">
            <w:pPr>
              <w:jc w:val="left"/>
              <w:rPr>
                <w:rFonts w:hint="eastAsia" w:ascii="宋体" w:hAnsi="宋体" w:eastAsia="宋体" w:cs="Times New Roman"/>
                <w:kern w:val="0"/>
                <w:szCs w:val="21"/>
              </w:rPr>
            </w:pPr>
            <w:r>
              <w:rPr>
                <w:rFonts w:hint="eastAsia" w:ascii="宋体" w:hAnsi="宋体" w:eastAsia="宋体" w:cs="Times New Roman"/>
                <w:kern w:val="0"/>
                <w:szCs w:val="21"/>
              </w:rPr>
              <w:t>（1）心理辅导关系建立技术</w:t>
            </w:r>
          </w:p>
          <w:p w14:paraId="0DC903F5">
            <w:pPr>
              <w:jc w:val="left"/>
              <w:rPr>
                <w:rFonts w:hint="eastAsia" w:ascii="宋体" w:hAnsi="宋体" w:eastAsia="宋体" w:cs="Times New Roman"/>
                <w:kern w:val="0"/>
                <w:szCs w:val="21"/>
              </w:rPr>
            </w:pPr>
            <w:r>
              <w:rPr>
                <w:rFonts w:hint="eastAsia" w:ascii="宋体" w:hAnsi="宋体" w:eastAsia="宋体" w:cs="Times New Roman"/>
                <w:kern w:val="0"/>
                <w:szCs w:val="21"/>
              </w:rPr>
              <w:t>（2）晤谈技术</w:t>
            </w:r>
          </w:p>
          <w:p w14:paraId="73A97424">
            <w:pPr>
              <w:jc w:val="left"/>
              <w:rPr>
                <w:rFonts w:hint="eastAsia" w:ascii="宋体" w:hAnsi="宋体" w:eastAsia="宋体" w:cs="Times New Roman"/>
                <w:kern w:val="0"/>
                <w:szCs w:val="21"/>
              </w:rPr>
            </w:pPr>
            <w:r>
              <w:rPr>
                <w:rFonts w:hint="eastAsia" w:ascii="宋体" w:hAnsi="宋体" w:eastAsia="宋体" w:cs="Times New Roman"/>
                <w:kern w:val="0"/>
                <w:szCs w:val="21"/>
              </w:rPr>
              <w:t>（3）心理评估技术</w:t>
            </w:r>
          </w:p>
        </w:tc>
        <w:tc>
          <w:tcPr>
            <w:tcW w:w="1159" w:type="dxa"/>
            <w:vAlign w:val="center"/>
          </w:tcPr>
          <w:p w14:paraId="46D97460">
            <w:pPr>
              <w:jc w:val="center"/>
              <w:rPr>
                <w:rFonts w:hint="eastAsia" w:ascii="宋体" w:hAnsi="宋体" w:eastAsia="宋体" w:cs="Times New Roman"/>
                <w:kern w:val="0"/>
                <w:szCs w:val="21"/>
              </w:rPr>
            </w:pPr>
            <w:r>
              <w:rPr>
                <w:rFonts w:hint="eastAsia" w:ascii="宋体" w:hAnsi="宋体" w:eastAsia="宋体" w:cs="Times New Roman"/>
                <w:kern w:val="0"/>
                <w:szCs w:val="21"/>
              </w:rPr>
              <w:t>课程目标3、4</w:t>
            </w:r>
          </w:p>
        </w:tc>
        <w:tc>
          <w:tcPr>
            <w:tcW w:w="2341" w:type="dxa"/>
            <w:gridSpan w:val="2"/>
            <w:vAlign w:val="center"/>
          </w:tcPr>
          <w:p w14:paraId="1F5264EA">
            <w:pPr>
              <w:jc w:val="left"/>
              <w:rPr>
                <w:rFonts w:hint="eastAsia" w:ascii="宋体" w:hAnsi="宋体" w:eastAsia="宋体" w:cs="Times New Roman"/>
                <w:kern w:val="0"/>
                <w:szCs w:val="21"/>
              </w:rPr>
            </w:pPr>
            <w:r>
              <w:rPr>
                <w:rFonts w:hint="eastAsia" w:ascii="宋体" w:hAnsi="宋体" w:eastAsia="宋体" w:cs="Times New Roman"/>
                <w:kern w:val="0"/>
                <w:szCs w:val="21"/>
              </w:rPr>
              <w:t>（1）了解上小学生心理辅导的基本技术的构成，理解心理辅导技术的流程；</w:t>
            </w:r>
          </w:p>
          <w:p w14:paraId="36F616E9">
            <w:pPr>
              <w:jc w:val="left"/>
              <w:rPr>
                <w:rFonts w:hint="eastAsia" w:ascii="宋体" w:hAnsi="宋体" w:eastAsia="宋体" w:cs="Times New Roman"/>
                <w:kern w:val="0"/>
                <w:szCs w:val="21"/>
              </w:rPr>
            </w:pPr>
            <w:r>
              <w:rPr>
                <w:rFonts w:hint="eastAsia" w:ascii="宋体" w:hAnsi="宋体" w:eastAsia="宋体" w:cs="Times New Roman"/>
                <w:kern w:val="0"/>
                <w:szCs w:val="21"/>
              </w:rPr>
              <w:t>（2）掌握心理辅导关系的建立、晤谈技术的基本要点，能运用心理评估技术对小学生进行初步的心理评估。</w:t>
            </w:r>
          </w:p>
        </w:tc>
        <w:tc>
          <w:tcPr>
            <w:tcW w:w="1484" w:type="dxa"/>
            <w:gridSpan w:val="2"/>
            <w:vAlign w:val="center"/>
          </w:tcPr>
          <w:p w14:paraId="19D9C170">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51DEA287">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650E01C3">
            <w:pPr>
              <w:jc w:val="left"/>
              <w:rPr>
                <w:rFonts w:hint="eastAsia" w:ascii="宋体" w:hAnsi="宋体" w:eastAsia="宋体" w:cs="Times New Roman"/>
                <w:kern w:val="0"/>
                <w:szCs w:val="21"/>
              </w:rPr>
            </w:pPr>
            <w:r>
              <w:rPr>
                <w:rFonts w:ascii="宋体" w:hAnsi="宋体" w:eastAsia="宋体" w:cs="Times New Roman"/>
                <w:kern w:val="0"/>
                <w:szCs w:val="21"/>
              </w:rPr>
              <w:t>4.</w:t>
            </w:r>
            <w:r>
              <w:rPr>
                <w:rFonts w:hint="eastAsia" w:ascii="宋体" w:hAnsi="宋体" w:eastAsia="宋体" w:cs="Times New Roman"/>
                <w:kern w:val="0"/>
                <w:szCs w:val="21"/>
              </w:rPr>
              <w:t>课内实践</w:t>
            </w:r>
          </w:p>
        </w:tc>
        <w:tc>
          <w:tcPr>
            <w:tcW w:w="369" w:type="dxa"/>
            <w:vAlign w:val="center"/>
          </w:tcPr>
          <w:p w14:paraId="6566852E">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2AF5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D78691C">
            <w:pPr>
              <w:jc w:val="center"/>
              <w:rPr>
                <w:rFonts w:hint="eastAsia" w:ascii="宋体" w:hAnsi="宋体" w:eastAsia="宋体" w:cs="Times New Roman"/>
                <w:kern w:val="0"/>
                <w:szCs w:val="21"/>
              </w:rPr>
            </w:pPr>
          </w:p>
        </w:tc>
        <w:tc>
          <w:tcPr>
            <w:tcW w:w="8093" w:type="dxa"/>
            <w:gridSpan w:val="7"/>
            <w:vAlign w:val="center"/>
          </w:tcPr>
          <w:p w14:paraId="3F654431">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了解小学生心理辅导的基本技术和流程，建立“民主、平等”的师生关系，培养德智体美劳全面发展的人。</w:t>
            </w:r>
          </w:p>
        </w:tc>
      </w:tr>
      <w:tr w14:paraId="6A2D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821031C">
            <w:pPr>
              <w:jc w:val="center"/>
              <w:rPr>
                <w:rFonts w:hint="eastAsia" w:ascii="宋体" w:hAnsi="宋体" w:eastAsia="宋体" w:cs="Times New Roman"/>
                <w:kern w:val="0"/>
                <w:szCs w:val="21"/>
              </w:rPr>
            </w:pPr>
            <w:r>
              <w:rPr>
                <w:rFonts w:hint="eastAsia" w:ascii="宋体" w:hAnsi="宋体" w:eastAsia="宋体" w:cs="Times New Roman"/>
                <w:kern w:val="0"/>
                <w:szCs w:val="21"/>
              </w:rPr>
              <w:t>4.</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小学生常见的心理问题及其辅导</w:t>
            </w:r>
          </w:p>
        </w:tc>
        <w:tc>
          <w:tcPr>
            <w:tcW w:w="2740" w:type="dxa"/>
            <w:vAlign w:val="center"/>
          </w:tcPr>
          <w:p w14:paraId="65812675">
            <w:pPr>
              <w:jc w:val="left"/>
              <w:rPr>
                <w:rFonts w:hint="eastAsia" w:ascii="宋体" w:hAnsi="宋体" w:eastAsia="宋体" w:cs="Times New Roman"/>
                <w:kern w:val="0"/>
                <w:szCs w:val="21"/>
              </w:rPr>
            </w:pPr>
            <w:r>
              <w:rPr>
                <w:rFonts w:hint="eastAsia" w:ascii="宋体" w:hAnsi="宋体" w:eastAsia="宋体" w:cs="Times New Roman"/>
                <w:kern w:val="0"/>
                <w:szCs w:val="21"/>
              </w:rPr>
              <w:t>（1）小学生认知心理问题及其辅导</w:t>
            </w:r>
          </w:p>
          <w:p w14:paraId="26AD35D1">
            <w:pPr>
              <w:jc w:val="left"/>
              <w:rPr>
                <w:rFonts w:hint="eastAsia" w:ascii="宋体" w:hAnsi="宋体" w:eastAsia="宋体" w:cs="Times New Roman"/>
                <w:kern w:val="0"/>
                <w:szCs w:val="21"/>
              </w:rPr>
            </w:pPr>
            <w:r>
              <w:rPr>
                <w:rFonts w:hint="eastAsia" w:ascii="宋体" w:hAnsi="宋体" w:eastAsia="宋体" w:cs="Times New Roman"/>
                <w:kern w:val="0"/>
                <w:szCs w:val="21"/>
              </w:rPr>
              <w:t>（2）小学生学习心理问题及其辅导</w:t>
            </w:r>
          </w:p>
          <w:p w14:paraId="5DF64833">
            <w:pPr>
              <w:jc w:val="left"/>
              <w:rPr>
                <w:rFonts w:hint="eastAsia" w:ascii="宋体" w:hAnsi="宋体" w:eastAsia="宋体" w:cs="Times New Roman"/>
                <w:kern w:val="0"/>
                <w:szCs w:val="21"/>
              </w:rPr>
            </w:pPr>
            <w:r>
              <w:rPr>
                <w:rFonts w:hint="eastAsia" w:ascii="宋体" w:hAnsi="宋体" w:eastAsia="宋体" w:cs="Times New Roman"/>
                <w:kern w:val="0"/>
                <w:szCs w:val="21"/>
              </w:rPr>
              <w:t>（3）小学生人际交往心理问题及其辅导</w:t>
            </w:r>
          </w:p>
          <w:p w14:paraId="4C3CABFC">
            <w:pPr>
              <w:jc w:val="left"/>
              <w:rPr>
                <w:rFonts w:hint="eastAsia" w:ascii="宋体" w:hAnsi="宋体" w:eastAsia="宋体" w:cs="Times New Roman"/>
                <w:kern w:val="0"/>
                <w:szCs w:val="21"/>
              </w:rPr>
            </w:pPr>
            <w:r>
              <w:rPr>
                <w:rFonts w:hint="eastAsia" w:ascii="宋体" w:hAnsi="宋体" w:eastAsia="宋体" w:cs="Times New Roman"/>
                <w:kern w:val="0"/>
                <w:szCs w:val="21"/>
              </w:rPr>
              <w:t>（4）小学生情绪、意志心理问题及其辅导</w:t>
            </w:r>
          </w:p>
        </w:tc>
        <w:tc>
          <w:tcPr>
            <w:tcW w:w="1159" w:type="dxa"/>
            <w:vAlign w:val="center"/>
          </w:tcPr>
          <w:p w14:paraId="4E9ECC1F">
            <w:pPr>
              <w:jc w:val="center"/>
              <w:rPr>
                <w:rFonts w:hint="eastAsia" w:ascii="宋体" w:hAnsi="宋体" w:eastAsia="宋体" w:cs="Times New Roman"/>
                <w:kern w:val="0"/>
                <w:szCs w:val="21"/>
              </w:rPr>
            </w:pPr>
            <w:r>
              <w:rPr>
                <w:rFonts w:hint="eastAsia" w:ascii="宋体" w:hAnsi="宋体" w:eastAsia="宋体" w:cs="Times New Roman"/>
                <w:kern w:val="0"/>
                <w:szCs w:val="21"/>
              </w:rPr>
              <w:t>课程目标3</w:t>
            </w:r>
          </w:p>
        </w:tc>
        <w:tc>
          <w:tcPr>
            <w:tcW w:w="2341" w:type="dxa"/>
            <w:gridSpan w:val="2"/>
            <w:vAlign w:val="center"/>
          </w:tcPr>
          <w:p w14:paraId="3D09987B">
            <w:pPr>
              <w:jc w:val="left"/>
              <w:rPr>
                <w:rFonts w:hint="eastAsia" w:ascii="宋体" w:hAnsi="宋体" w:eastAsia="宋体" w:cs="Times New Roman"/>
                <w:kern w:val="0"/>
                <w:szCs w:val="21"/>
              </w:rPr>
            </w:pPr>
            <w:r>
              <w:rPr>
                <w:rFonts w:hint="eastAsia" w:ascii="宋体" w:hAnsi="宋体" w:eastAsia="宋体" w:cs="Times New Roman"/>
                <w:kern w:val="0"/>
                <w:szCs w:val="21"/>
              </w:rPr>
              <w:t>（1）了解小学生常见的各类心理问题的表现，学会分析影响小学生心理问题的各类因素，并能提出辅导建议；</w:t>
            </w:r>
          </w:p>
          <w:p w14:paraId="342B6AA5">
            <w:pPr>
              <w:jc w:val="left"/>
              <w:rPr>
                <w:rFonts w:hint="eastAsia" w:ascii="宋体" w:hAnsi="宋体" w:eastAsia="宋体" w:cs="Times New Roman"/>
                <w:kern w:val="0"/>
                <w:szCs w:val="21"/>
              </w:rPr>
            </w:pPr>
            <w:r>
              <w:rPr>
                <w:rFonts w:hint="eastAsia" w:ascii="宋体" w:hAnsi="宋体" w:eastAsia="宋体" w:cs="Times New Roman"/>
                <w:kern w:val="0"/>
                <w:szCs w:val="21"/>
              </w:rPr>
              <w:t>（2）掌握小学生各类心理问题的辅导方法，能设计小学生心理问题辅导的方案并能加以实施。</w:t>
            </w:r>
          </w:p>
        </w:tc>
        <w:tc>
          <w:tcPr>
            <w:tcW w:w="1484" w:type="dxa"/>
            <w:gridSpan w:val="2"/>
            <w:vAlign w:val="center"/>
          </w:tcPr>
          <w:p w14:paraId="00A70C1E">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23889C03">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4AD5F303">
            <w:pPr>
              <w:jc w:val="left"/>
              <w:rPr>
                <w:rFonts w:hint="eastAsia" w:ascii="宋体" w:hAnsi="宋体" w:eastAsia="宋体" w:cs="Times New Roman"/>
                <w:kern w:val="0"/>
                <w:szCs w:val="21"/>
              </w:rPr>
            </w:pPr>
          </w:p>
        </w:tc>
        <w:tc>
          <w:tcPr>
            <w:tcW w:w="369" w:type="dxa"/>
            <w:vAlign w:val="center"/>
          </w:tcPr>
          <w:p w14:paraId="0CD889DB">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4B8E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AC3661">
            <w:pPr>
              <w:jc w:val="center"/>
              <w:rPr>
                <w:rFonts w:hint="eastAsia" w:ascii="宋体" w:hAnsi="宋体" w:eastAsia="宋体" w:cs="Times New Roman"/>
                <w:kern w:val="0"/>
                <w:szCs w:val="21"/>
              </w:rPr>
            </w:pPr>
          </w:p>
        </w:tc>
        <w:tc>
          <w:tcPr>
            <w:tcW w:w="8093" w:type="dxa"/>
            <w:gridSpan w:val="7"/>
            <w:vAlign w:val="center"/>
          </w:tcPr>
          <w:p w14:paraId="1AAF20ED">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通过了解小学生常见的心理问题，培养学生热爱教育事业和学生的情感，增强从事教育事业的责任感和使命感。</w:t>
            </w:r>
          </w:p>
        </w:tc>
      </w:tr>
      <w:tr w14:paraId="59C78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1D9F51C">
            <w:pPr>
              <w:jc w:val="center"/>
              <w:rPr>
                <w:rFonts w:hint="eastAsia" w:ascii="宋体" w:hAnsi="宋体" w:eastAsia="宋体" w:cs="Times New Roman"/>
                <w:kern w:val="0"/>
                <w:szCs w:val="21"/>
              </w:rPr>
            </w:pPr>
            <w:r>
              <w:rPr>
                <w:rFonts w:hint="eastAsia" w:ascii="宋体" w:hAnsi="宋体" w:eastAsia="宋体" w:cs="Times New Roman"/>
                <w:kern w:val="0"/>
                <w:szCs w:val="21"/>
              </w:rPr>
              <w:t>5.</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小学生问题行为的甄别与干预</w:t>
            </w:r>
          </w:p>
        </w:tc>
        <w:tc>
          <w:tcPr>
            <w:tcW w:w="2740" w:type="dxa"/>
            <w:vAlign w:val="center"/>
          </w:tcPr>
          <w:p w14:paraId="619D072A">
            <w:pPr>
              <w:jc w:val="left"/>
              <w:rPr>
                <w:rFonts w:hint="eastAsia" w:ascii="宋体" w:hAnsi="宋体" w:eastAsia="宋体" w:cs="Times New Roman"/>
                <w:kern w:val="0"/>
                <w:szCs w:val="21"/>
              </w:rPr>
            </w:pPr>
            <w:r>
              <w:rPr>
                <w:rFonts w:hint="eastAsia" w:ascii="宋体" w:hAnsi="宋体" w:eastAsia="宋体" w:cs="Times New Roman"/>
                <w:kern w:val="0"/>
                <w:szCs w:val="21"/>
              </w:rPr>
              <w:t>（1）问题行为的概述</w:t>
            </w:r>
          </w:p>
          <w:p w14:paraId="6028C7D9">
            <w:pPr>
              <w:jc w:val="left"/>
              <w:rPr>
                <w:rFonts w:hint="eastAsia" w:ascii="宋体" w:hAnsi="宋体" w:eastAsia="宋体" w:cs="Times New Roman"/>
                <w:kern w:val="0"/>
                <w:szCs w:val="21"/>
              </w:rPr>
            </w:pPr>
            <w:r>
              <w:rPr>
                <w:rFonts w:hint="eastAsia" w:ascii="宋体" w:hAnsi="宋体" w:eastAsia="宋体" w:cs="Times New Roman"/>
                <w:kern w:val="0"/>
                <w:szCs w:val="21"/>
              </w:rPr>
              <w:t>（2）品行问题的甄别与干预</w:t>
            </w:r>
          </w:p>
          <w:p w14:paraId="1787B7C3">
            <w:pPr>
              <w:jc w:val="left"/>
              <w:rPr>
                <w:rFonts w:hint="eastAsia" w:ascii="宋体" w:hAnsi="宋体" w:eastAsia="宋体" w:cs="Times New Roman"/>
                <w:kern w:val="0"/>
                <w:szCs w:val="21"/>
              </w:rPr>
            </w:pPr>
            <w:r>
              <w:rPr>
                <w:rFonts w:hint="eastAsia" w:ascii="宋体" w:hAnsi="宋体" w:eastAsia="宋体" w:cs="Times New Roman"/>
                <w:kern w:val="0"/>
                <w:szCs w:val="21"/>
              </w:rPr>
              <w:t>（3）不良行为习惯的甄别与干预</w:t>
            </w:r>
          </w:p>
          <w:p w14:paraId="4CA164D8">
            <w:pPr>
              <w:jc w:val="left"/>
              <w:rPr>
                <w:rFonts w:hint="eastAsia" w:ascii="宋体" w:hAnsi="宋体" w:eastAsia="宋体" w:cs="Times New Roman"/>
                <w:kern w:val="0"/>
                <w:szCs w:val="21"/>
              </w:rPr>
            </w:pPr>
            <w:r>
              <w:rPr>
                <w:rFonts w:hint="eastAsia" w:ascii="宋体" w:hAnsi="宋体" w:eastAsia="宋体" w:cs="Times New Roman"/>
                <w:kern w:val="0"/>
                <w:szCs w:val="21"/>
              </w:rPr>
              <w:t>（4）退缩行为的甄别与干预（4）素质教育创新人才培养</w:t>
            </w:r>
          </w:p>
        </w:tc>
        <w:tc>
          <w:tcPr>
            <w:tcW w:w="1159" w:type="dxa"/>
            <w:vAlign w:val="center"/>
          </w:tcPr>
          <w:p w14:paraId="66A6845D">
            <w:pPr>
              <w:jc w:val="center"/>
              <w:rPr>
                <w:rFonts w:hint="eastAsia" w:ascii="宋体" w:hAnsi="宋体" w:eastAsia="宋体" w:cs="Times New Roman"/>
                <w:kern w:val="0"/>
                <w:szCs w:val="21"/>
              </w:rPr>
            </w:pPr>
            <w:r>
              <w:rPr>
                <w:rFonts w:hint="eastAsia" w:ascii="宋体" w:hAnsi="宋体" w:eastAsia="宋体" w:cs="Times New Roman"/>
                <w:kern w:val="0"/>
                <w:szCs w:val="21"/>
              </w:rPr>
              <w:t>课程目标3</w:t>
            </w:r>
          </w:p>
        </w:tc>
        <w:tc>
          <w:tcPr>
            <w:tcW w:w="2341" w:type="dxa"/>
            <w:gridSpan w:val="2"/>
            <w:vAlign w:val="center"/>
          </w:tcPr>
          <w:p w14:paraId="1D30D215">
            <w:pPr>
              <w:jc w:val="left"/>
              <w:rPr>
                <w:rFonts w:hint="eastAsia" w:ascii="宋体" w:hAnsi="宋体" w:eastAsia="宋体" w:cs="Times New Roman"/>
                <w:kern w:val="0"/>
                <w:szCs w:val="21"/>
              </w:rPr>
            </w:pPr>
            <w:r>
              <w:rPr>
                <w:rFonts w:hint="eastAsia" w:ascii="宋体" w:hAnsi="宋体" w:eastAsia="宋体" w:cs="Times New Roman"/>
                <w:kern w:val="0"/>
                <w:szCs w:val="21"/>
              </w:rPr>
              <w:t>（1）理解问题行为的涵义和分类，掌握各类问题行为的特征；</w:t>
            </w:r>
          </w:p>
          <w:p w14:paraId="74F8317D">
            <w:pPr>
              <w:jc w:val="left"/>
              <w:rPr>
                <w:rFonts w:hint="eastAsia" w:ascii="宋体" w:hAnsi="宋体" w:eastAsia="宋体" w:cs="Times New Roman"/>
                <w:kern w:val="0"/>
                <w:szCs w:val="21"/>
              </w:rPr>
            </w:pPr>
            <w:r>
              <w:rPr>
                <w:rFonts w:hint="eastAsia" w:ascii="宋体" w:hAnsi="宋体" w:eastAsia="宋体" w:cs="Times New Roman"/>
                <w:kern w:val="0"/>
                <w:szCs w:val="21"/>
              </w:rPr>
              <w:t>（2）了解小学生问题各类问题行为的甄别方法，能针对不同的问题行为提出辅导建议。</w:t>
            </w:r>
          </w:p>
        </w:tc>
        <w:tc>
          <w:tcPr>
            <w:tcW w:w="1484" w:type="dxa"/>
            <w:gridSpan w:val="2"/>
            <w:vAlign w:val="center"/>
          </w:tcPr>
          <w:p w14:paraId="708F7BA6">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4B87773B">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26F5E9E0">
            <w:pPr>
              <w:jc w:val="left"/>
              <w:rPr>
                <w:rFonts w:hint="eastAsia" w:ascii="宋体" w:hAnsi="宋体" w:eastAsia="宋体" w:cs="Times New Roman"/>
                <w:kern w:val="0"/>
                <w:szCs w:val="21"/>
              </w:rPr>
            </w:pPr>
          </w:p>
        </w:tc>
        <w:tc>
          <w:tcPr>
            <w:tcW w:w="369" w:type="dxa"/>
            <w:vAlign w:val="center"/>
          </w:tcPr>
          <w:p w14:paraId="431A0F3D">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5956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5B9827A">
            <w:pPr>
              <w:jc w:val="center"/>
              <w:rPr>
                <w:rFonts w:hint="eastAsia" w:ascii="宋体" w:hAnsi="宋体" w:eastAsia="宋体" w:cs="Times New Roman"/>
                <w:kern w:val="0"/>
                <w:szCs w:val="21"/>
              </w:rPr>
            </w:pPr>
          </w:p>
        </w:tc>
        <w:tc>
          <w:tcPr>
            <w:tcW w:w="8093" w:type="dxa"/>
            <w:gridSpan w:val="7"/>
            <w:vAlign w:val="center"/>
          </w:tcPr>
          <w:p w14:paraId="48CF720A">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通过对小学生问题行为的甄别与干预能够用整体观看待小学生问题行为与干预。</w:t>
            </w:r>
          </w:p>
        </w:tc>
      </w:tr>
      <w:tr w14:paraId="50D2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F95F623">
            <w:pPr>
              <w:jc w:val="center"/>
              <w:rPr>
                <w:rFonts w:hint="eastAsia" w:ascii="宋体" w:hAnsi="宋体" w:eastAsia="宋体" w:cs="Times New Roman"/>
                <w:kern w:val="0"/>
                <w:szCs w:val="21"/>
              </w:rPr>
            </w:pPr>
            <w:r>
              <w:rPr>
                <w:rFonts w:hint="eastAsia" w:ascii="宋体" w:hAnsi="宋体" w:eastAsia="宋体" w:cs="Times New Roman"/>
                <w:kern w:val="0"/>
                <w:szCs w:val="21"/>
              </w:rPr>
              <w:t>6.</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小学生心理障碍的甄别与干预</w:t>
            </w:r>
          </w:p>
        </w:tc>
        <w:tc>
          <w:tcPr>
            <w:tcW w:w="2740" w:type="dxa"/>
            <w:vAlign w:val="center"/>
          </w:tcPr>
          <w:p w14:paraId="67108B9B">
            <w:pPr>
              <w:jc w:val="left"/>
              <w:rPr>
                <w:rFonts w:hint="eastAsia" w:ascii="宋体" w:hAnsi="宋体" w:eastAsia="宋体" w:cs="Times New Roman"/>
                <w:kern w:val="0"/>
                <w:szCs w:val="21"/>
              </w:rPr>
            </w:pPr>
            <w:r>
              <w:rPr>
                <w:rFonts w:hint="eastAsia" w:ascii="宋体" w:hAnsi="宋体" w:eastAsia="宋体" w:cs="Times New Roman"/>
                <w:kern w:val="0"/>
                <w:szCs w:val="21"/>
              </w:rPr>
              <w:t>（1）注意缺陷多动障碍的甄别与干预；</w:t>
            </w:r>
          </w:p>
          <w:p w14:paraId="00C8B2EC">
            <w:pPr>
              <w:jc w:val="left"/>
              <w:rPr>
                <w:rFonts w:hint="eastAsia" w:ascii="宋体" w:hAnsi="宋体" w:eastAsia="宋体" w:cs="Times New Roman"/>
                <w:kern w:val="0"/>
                <w:szCs w:val="21"/>
              </w:rPr>
            </w:pPr>
            <w:r>
              <w:rPr>
                <w:rFonts w:hint="eastAsia" w:ascii="宋体" w:hAnsi="宋体" w:eastAsia="宋体" w:cs="Times New Roman"/>
                <w:kern w:val="0"/>
                <w:szCs w:val="21"/>
              </w:rPr>
              <w:t>（2）品行障碍的甄别与干预；</w:t>
            </w:r>
          </w:p>
          <w:p w14:paraId="2E84B3A5">
            <w:pPr>
              <w:jc w:val="left"/>
              <w:rPr>
                <w:rFonts w:hint="eastAsia" w:ascii="宋体" w:hAnsi="宋体" w:eastAsia="宋体" w:cs="Times New Roman"/>
                <w:kern w:val="0"/>
                <w:szCs w:val="21"/>
              </w:rPr>
            </w:pPr>
            <w:r>
              <w:rPr>
                <w:rFonts w:hint="eastAsia" w:ascii="宋体" w:hAnsi="宋体" w:eastAsia="宋体" w:cs="Times New Roman"/>
                <w:kern w:val="0"/>
                <w:szCs w:val="21"/>
              </w:rPr>
              <w:t>（3）小学生情感障碍的甄别与干预。</w:t>
            </w:r>
          </w:p>
          <w:p w14:paraId="33EC855A">
            <w:pPr>
              <w:jc w:val="left"/>
              <w:rPr>
                <w:rFonts w:hint="eastAsia" w:ascii="宋体" w:hAnsi="宋体" w:eastAsia="宋体" w:cs="Times New Roman"/>
                <w:kern w:val="0"/>
                <w:szCs w:val="21"/>
              </w:rPr>
            </w:pPr>
            <w:r>
              <w:rPr>
                <w:rFonts w:hint="eastAsia" w:ascii="宋体" w:hAnsi="宋体" w:eastAsia="宋体" w:cs="Times New Roman"/>
                <w:kern w:val="0"/>
                <w:szCs w:val="21"/>
              </w:rPr>
              <w:t>（4）学习和交流障碍的甄别与干预；</w:t>
            </w:r>
          </w:p>
          <w:p w14:paraId="13C4ACD2">
            <w:pPr>
              <w:jc w:val="left"/>
              <w:rPr>
                <w:rFonts w:hint="eastAsia" w:ascii="宋体" w:hAnsi="宋体" w:eastAsia="宋体" w:cs="Times New Roman"/>
                <w:kern w:val="0"/>
                <w:szCs w:val="21"/>
              </w:rPr>
            </w:pPr>
            <w:r>
              <w:rPr>
                <w:rFonts w:hint="eastAsia" w:ascii="宋体" w:hAnsi="宋体" w:eastAsia="宋体" w:cs="Times New Roman"/>
                <w:kern w:val="0"/>
                <w:szCs w:val="21"/>
              </w:rPr>
              <w:t>（5）精神发育迟滞的甄别与干预；</w:t>
            </w:r>
          </w:p>
          <w:p w14:paraId="7B26AB52">
            <w:pPr>
              <w:jc w:val="left"/>
              <w:rPr>
                <w:rFonts w:hint="eastAsia" w:ascii="宋体" w:hAnsi="宋体" w:eastAsia="宋体" w:cs="Times New Roman"/>
                <w:kern w:val="0"/>
                <w:szCs w:val="21"/>
              </w:rPr>
            </w:pPr>
            <w:r>
              <w:rPr>
                <w:rFonts w:hint="eastAsia" w:ascii="宋体" w:hAnsi="宋体" w:eastAsia="宋体" w:cs="Times New Roman"/>
                <w:kern w:val="0"/>
                <w:szCs w:val="21"/>
              </w:rPr>
              <w:t>（6）自闭症的甄别。</w:t>
            </w:r>
          </w:p>
        </w:tc>
        <w:tc>
          <w:tcPr>
            <w:tcW w:w="1159" w:type="dxa"/>
            <w:vAlign w:val="center"/>
          </w:tcPr>
          <w:p w14:paraId="158765BC">
            <w:pPr>
              <w:jc w:val="center"/>
              <w:rPr>
                <w:rFonts w:hint="eastAsia" w:ascii="宋体" w:hAnsi="宋体" w:eastAsia="宋体" w:cs="Times New Roman"/>
                <w:kern w:val="0"/>
                <w:szCs w:val="21"/>
              </w:rPr>
            </w:pPr>
            <w:r>
              <w:rPr>
                <w:rFonts w:hint="eastAsia" w:ascii="宋体" w:hAnsi="宋体" w:eastAsia="宋体" w:cs="Times New Roman"/>
                <w:kern w:val="0"/>
                <w:szCs w:val="21"/>
              </w:rPr>
              <w:t>课程目标3</w:t>
            </w:r>
          </w:p>
        </w:tc>
        <w:tc>
          <w:tcPr>
            <w:tcW w:w="2341" w:type="dxa"/>
            <w:gridSpan w:val="2"/>
            <w:vAlign w:val="center"/>
          </w:tcPr>
          <w:p w14:paraId="06569F9D">
            <w:pPr>
              <w:jc w:val="left"/>
              <w:rPr>
                <w:rFonts w:hint="eastAsia" w:ascii="宋体" w:hAnsi="宋体" w:eastAsia="宋体" w:cs="Times New Roman"/>
                <w:kern w:val="0"/>
                <w:szCs w:val="21"/>
              </w:rPr>
            </w:pPr>
            <w:r>
              <w:rPr>
                <w:rFonts w:hint="eastAsia" w:ascii="宋体" w:hAnsi="宋体" w:eastAsia="宋体" w:cs="Times New Roman"/>
                <w:kern w:val="0"/>
                <w:szCs w:val="21"/>
              </w:rPr>
              <w:t>（1）掌握小学生常见的心理障碍分类及基本的甄别方法，并具有简单的干预能力；</w:t>
            </w:r>
          </w:p>
          <w:p w14:paraId="4435F3FF">
            <w:pPr>
              <w:jc w:val="left"/>
              <w:rPr>
                <w:rFonts w:hint="eastAsia" w:ascii="宋体" w:hAnsi="宋体" w:eastAsia="宋体" w:cs="Times New Roman"/>
                <w:kern w:val="0"/>
                <w:szCs w:val="21"/>
              </w:rPr>
            </w:pPr>
            <w:r>
              <w:rPr>
                <w:rFonts w:hint="eastAsia" w:ascii="宋体" w:hAnsi="宋体" w:eastAsia="宋体" w:cs="Times New Roman"/>
                <w:kern w:val="0"/>
                <w:szCs w:val="21"/>
              </w:rPr>
              <w:t>（2）了解各类心理障碍的表现和影响因素，具备基本的心理干预意识。</w:t>
            </w:r>
          </w:p>
        </w:tc>
        <w:tc>
          <w:tcPr>
            <w:tcW w:w="1484" w:type="dxa"/>
            <w:gridSpan w:val="2"/>
            <w:vAlign w:val="center"/>
          </w:tcPr>
          <w:p w14:paraId="64DE4CAF">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3F30C79E">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4D66BD68">
            <w:pPr>
              <w:jc w:val="left"/>
              <w:rPr>
                <w:rFonts w:hint="eastAsia" w:ascii="宋体" w:hAnsi="宋体" w:eastAsia="宋体" w:cs="Times New Roman"/>
                <w:kern w:val="0"/>
                <w:szCs w:val="21"/>
              </w:rPr>
            </w:pPr>
          </w:p>
        </w:tc>
        <w:tc>
          <w:tcPr>
            <w:tcW w:w="369" w:type="dxa"/>
            <w:vAlign w:val="center"/>
          </w:tcPr>
          <w:p w14:paraId="797D23C8">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39A1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D6E67F">
            <w:pPr>
              <w:jc w:val="center"/>
              <w:rPr>
                <w:rFonts w:hint="eastAsia" w:ascii="宋体" w:hAnsi="宋体" w:eastAsia="宋体" w:cs="Times New Roman"/>
                <w:kern w:val="0"/>
                <w:szCs w:val="21"/>
              </w:rPr>
            </w:pPr>
          </w:p>
        </w:tc>
        <w:tc>
          <w:tcPr>
            <w:tcW w:w="8093" w:type="dxa"/>
            <w:gridSpan w:val="7"/>
            <w:vAlign w:val="center"/>
          </w:tcPr>
          <w:p w14:paraId="1B557CCB">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通过对小学生心理障碍的甄别与干预的学习，形成全面发展的教育观，确立从教信念。</w:t>
            </w:r>
          </w:p>
        </w:tc>
      </w:tr>
      <w:tr w14:paraId="4169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623C577">
            <w:pPr>
              <w:jc w:val="center"/>
              <w:rPr>
                <w:rFonts w:hint="eastAsia" w:ascii="宋体" w:hAnsi="宋体" w:eastAsia="宋体" w:cs="Times New Roman"/>
                <w:kern w:val="0"/>
                <w:szCs w:val="21"/>
              </w:rPr>
            </w:pPr>
            <w:r>
              <w:rPr>
                <w:rFonts w:hint="eastAsia" w:ascii="宋体" w:hAnsi="宋体" w:eastAsia="宋体" w:cs="Times New Roman"/>
                <w:kern w:val="0"/>
                <w:szCs w:val="21"/>
              </w:rPr>
              <w:t>7小学生游戏辅导</w:t>
            </w:r>
          </w:p>
        </w:tc>
        <w:tc>
          <w:tcPr>
            <w:tcW w:w="2740" w:type="dxa"/>
            <w:vAlign w:val="center"/>
          </w:tcPr>
          <w:p w14:paraId="555B4E28">
            <w:pPr>
              <w:jc w:val="left"/>
              <w:rPr>
                <w:rFonts w:hint="eastAsia" w:ascii="宋体" w:hAnsi="宋体" w:eastAsia="宋体" w:cs="Times New Roman"/>
                <w:kern w:val="0"/>
                <w:szCs w:val="21"/>
              </w:rPr>
            </w:pPr>
            <w:r>
              <w:rPr>
                <w:rFonts w:hint="eastAsia" w:ascii="宋体" w:hAnsi="宋体" w:eastAsia="宋体" w:cs="Times New Roman"/>
                <w:kern w:val="0"/>
                <w:szCs w:val="21"/>
              </w:rPr>
              <w:t>（1）游戏辅导的意义和主要理论</w:t>
            </w:r>
          </w:p>
          <w:p w14:paraId="2AD22BF9">
            <w:pPr>
              <w:jc w:val="left"/>
              <w:rPr>
                <w:rFonts w:hint="eastAsia" w:ascii="宋体" w:hAnsi="宋体" w:eastAsia="宋体" w:cs="Times New Roman"/>
                <w:kern w:val="0"/>
                <w:szCs w:val="21"/>
              </w:rPr>
            </w:pPr>
            <w:r>
              <w:rPr>
                <w:rFonts w:hint="eastAsia" w:ascii="宋体" w:hAnsi="宋体" w:eastAsia="宋体" w:cs="Times New Roman"/>
                <w:kern w:val="0"/>
                <w:szCs w:val="21"/>
              </w:rPr>
              <w:t>（2）游戏辅导实施</w:t>
            </w:r>
          </w:p>
          <w:p w14:paraId="5BEDC852">
            <w:pPr>
              <w:jc w:val="left"/>
              <w:rPr>
                <w:rFonts w:hint="eastAsia" w:ascii="宋体" w:hAnsi="宋体" w:eastAsia="宋体" w:cs="Times New Roman"/>
                <w:kern w:val="0"/>
                <w:szCs w:val="21"/>
              </w:rPr>
            </w:pPr>
            <w:r>
              <w:rPr>
                <w:rFonts w:hint="eastAsia" w:ascii="宋体" w:hAnsi="宋体" w:eastAsia="宋体" w:cs="Times New Roman"/>
                <w:kern w:val="0"/>
                <w:szCs w:val="21"/>
              </w:rPr>
              <w:t>（3）沙盘游戏辅导</w:t>
            </w:r>
          </w:p>
        </w:tc>
        <w:tc>
          <w:tcPr>
            <w:tcW w:w="1159" w:type="dxa"/>
            <w:vAlign w:val="center"/>
          </w:tcPr>
          <w:p w14:paraId="4C2ADBF6">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课程目标1、2、3</w:t>
            </w:r>
          </w:p>
        </w:tc>
        <w:tc>
          <w:tcPr>
            <w:tcW w:w="2341" w:type="dxa"/>
            <w:gridSpan w:val="2"/>
            <w:vAlign w:val="center"/>
          </w:tcPr>
          <w:p w14:paraId="234554F8">
            <w:pPr>
              <w:jc w:val="left"/>
              <w:rPr>
                <w:rFonts w:hint="eastAsia" w:ascii="宋体" w:hAnsi="宋体" w:eastAsia="宋体" w:cs="Times New Roman"/>
                <w:kern w:val="0"/>
                <w:szCs w:val="21"/>
              </w:rPr>
            </w:pPr>
            <w:r>
              <w:rPr>
                <w:rFonts w:hint="eastAsia" w:ascii="宋体" w:hAnsi="宋体" w:eastAsia="宋体" w:cs="Times New Roman"/>
                <w:kern w:val="0"/>
                <w:szCs w:val="21"/>
              </w:rPr>
              <w:t>（1）了解游戏辅导的意义和主要的游戏辅导理论，掌握游戏辅导的涵义和分类；</w:t>
            </w:r>
          </w:p>
          <w:p w14:paraId="35D97773">
            <w:pPr>
              <w:jc w:val="left"/>
              <w:rPr>
                <w:rFonts w:hint="eastAsia" w:ascii="宋体" w:hAnsi="宋体" w:eastAsia="宋体" w:cs="Times New Roman"/>
                <w:kern w:val="0"/>
                <w:szCs w:val="21"/>
              </w:rPr>
            </w:pPr>
            <w:r>
              <w:rPr>
                <w:rFonts w:hint="eastAsia" w:ascii="宋体" w:hAnsi="宋体" w:eastAsia="宋体" w:cs="Times New Roman"/>
                <w:kern w:val="0"/>
                <w:szCs w:val="21"/>
              </w:rPr>
              <w:t>（2）掌握几种主要的心理游戏辅导活动，能进行游戏设计和实施。</w:t>
            </w:r>
          </w:p>
        </w:tc>
        <w:tc>
          <w:tcPr>
            <w:tcW w:w="1484" w:type="dxa"/>
            <w:gridSpan w:val="2"/>
            <w:vAlign w:val="center"/>
          </w:tcPr>
          <w:p w14:paraId="72C849F2">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08C9BA95">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3E07AEBC">
            <w:pPr>
              <w:jc w:val="left"/>
              <w:rPr>
                <w:rFonts w:hint="eastAsia" w:ascii="宋体" w:hAnsi="宋体" w:eastAsia="宋体" w:cs="Times New Roman"/>
                <w:kern w:val="0"/>
                <w:szCs w:val="21"/>
              </w:rPr>
            </w:pPr>
            <w:r>
              <w:rPr>
                <w:rFonts w:ascii="宋体" w:hAnsi="宋体" w:eastAsia="宋体" w:cs="Times New Roman"/>
                <w:kern w:val="0"/>
                <w:szCs w:val="21"/>
              </w:rPr>
              <w:t>4.</w:t>
            </w:r>
            <w:r>
              <w:rPr>
                <w:rFonts w:hint="eastAsia" w:ascii="宋体" w:hAnsi="宋体" w:eastAsia="宋体" w:cs="Times New Roman"/>
                <w:kern w:val="0"/>
                <w:szCs w:val="21"/>
              </w:rPr>
              <w:t>课内实践</w:t>
            </w:r>
          </w:p>
        </w:tc>
        <w:tc>
          <w:tcPr>
            <w:tcW w:w="369" w:type="dxa"/>
            <w:vAlign w:val="center"/>
          </w:tcPr>
          <w:p w14:paraId="47C73C83">
            <w:pPr>
              <w:jc w:val="center"/>
              <w:rPr>
                <w:rFonts w:hint="eastAsia" w:ascii="宋体" w:hAnsi="宋体" w:eastAsia="宋体" w:cs="Times New Roman"/>
                <w:kern w:val="0"/>
                <w:szCs w:val="21"/>
              </w:rPr>
            </w:pPr>
            <w:r>
              <w:rPr>
                <w:rFonts w:hint="eastAsia" w:ascii="宋体" w:hAnsi="宋体" w:eastAsia="宋体" w:cs="Times New Roman"/>
                <w:kern w:val="0"/>
                <w:szCs w:val="21"/>
              </w:rPr>
              <w:t>3</w:t>
            </w:r>
          </w:p>
        </w:tc>
      </w:tr>
      <w:tr w14:paraId="6232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D25ACCE">
            <w:pPr>
              <w:jc w:val="center"/>
              <w:rPr>
                <w:rFonts w:hint="eastAsia" w:ascii="宋体" w:hAnsi="宋体" w:eastAsia="宋体" w:cs="Times New Roman"/>
                <w:kern w:val="0"/>
                <w:szCs w:val="21"/>
              </w:rPr>
            </w:pPr>
          </w:p>
        </w:tc>
        <w:tc>
          <w:tcPr>
            <w:tcW w:w="8093" w:type="dxa"/>
            <w:gridSpan w:val="7"/>
            <w:vAlign w:val="center"/>
          </w:tcPr>
          <w:p w14:paraId="2963514D">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了解小学生游戏辅导，用发展眼光看待学生的发展潜能。</w:t>
            </w:r>
          </w:p>
        </w:tc>
      </w:tr>
      <w:tr w14:paraId="4083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DC483CF">
            <w:pPr>
              <w:jc w:val="center"/>
              <w:rPr>
                <w:rFonts w:hint="eastAsia" w:ascii="宋体" w:hAnsi="宋体" w:eastAsia="宋体" w:cs="Times New Roman"/>
                <w:kern w:val="0"/>
                <w:szCs w:val="21"/>
              </w:rPr>
            </w:pPr>
            <w:r>
              <w:rPr>
                <w:rFonts w:hint="eastAsia" w:ascii="宋体" w:hAnsi="宋体" w:eastAsia="宋体" w:cs="Times New Roman"/>
                <w:kern w:val="0"/>
                <w:szCs w:val="21"/>
              </w:rPr>
              <w:t>8.</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小学生心理剧辅导</w:t>
            </w:r>
          </w:p>
        </w:tc>
        <w:tc>
          <w:tcPr>
            <w:tcW w:w="2740" w:type="dxa"/>
            <w:vAlign w:val="center"/>
          </w:tcPr>
          <w:p w14:paraId="07018255">
            <w:pPr>
              <w:jc w:val="left"/>
              <w:rPr>
                <w:rFonts w:hint="eastAsia" w:ascii="宋体" w:hAnsi="宋体" w:eastAsia="宋体" w:cs="Times New Roman"/>
                <w:kern w:val="0"/>
                <w:szCs w:val="21"/>
              </w:rPr>
            </w:pPr>
            <w:r>
              <w:rPr>
                <w:rFonts w:hint="eastAsia" w:ascii="宋体" w:hAnsi="宋体" w:eastAsia="宋体" w:cs="Times New Roman"/>
                <w:kern w:val="0"/>
                <w:szCs w:val="21"/>
              </w:rPr>
              <w:t>（1）心理剧辅导的概述</w:t>
            </w:r>
          </w:p>
          <w:p w14:paraId="5FF19A18">
            <w:pPr>
              <w:jc w:val="left"/>
              <w:rPr>
                <w:rFonts w:hint="eastAsia" w:ascii="宋体" w:hAnsi="宋体" w:eastAsia="宋体" w:cs="Times New Roman"/>
                <w:kern w:val="0"/>
                <w:szCs w:val="21"/>
              </w:rPr>
            </w:pPr>
            <w:r>
              <w:rPr>
                <w:rFonts w:hint="eastAsia" w:ascii="宋体" w:hAnsi="宋体" w:eastAsia="宋体" w:cs="Times New Roman"/>
                <w:kern w:val="0"/>
                <w:szCs w:val="21"/>
              </w:rPr>
              <w:t>（2）小学生心理剧辅导的理论</w:t>
            </w:r>
          </w:p>
          <w:p w14:paraId="52B172CB">
            <w:pPr>
              <w:jc w:val="left"/>
              <w:rPr>
                <w:rFonts w:hint="eastAsia" w:ascii="宋体" w:hAnsi="宋体" w:eastAsia="宋体" w:cs="Times New Roman"/>
                <w:kern w:val="0"/>
                <w:szCs w:val="21"/>
              </w:rPr>
            </w:pPr>
            <w:r>
              <w:rPr>
                <w:rFonts w:hint="eastAsia" w:ascii="宋体" w:hAnsi="宋体" w:eastAsia="宋体" w:cs="Times New Roman"/>
                <w:kern w:val="0"/>
                <w:szCs w:val="21"/>
              </w:rPr>
              <w:t>（3）小学生心理剧辅导的组织与实施</w:t>
            </w:r>
          </w:p>
        </w:tc>
        <w:tc>
          <w:tcPr>
            <w:tcW w:w="1159" w:type="dxa"/>
            <w:vAlign w:val="center"/>
          </w:tcPr>
          <w:p w14:paraId="7C8DBB0C">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课程目标1、3、4</w:t>
            </w:r>
          </w:p>
        </w:tc>
        <w:tc>
          <w:tcPr>
            <w:tcW w:w="2341" w:type="dxa"/>
            <w:gridSpan w:val="2"/>
            <w:vAlign w:val="center"/>
          </w:tcPr>
          <w:p w14:paraId="644DAB60">
            <w:pPr>
              <w:jc w:val="left"/>
              <w:rPr>
                <w:rFonts w:hint="eastAsia" w:ascii="宋体" w:hAnsi="宋体" w:eastAsia="宋体" w:cs="Times New Roman"/>
                <w:kern w:val="0"/>
                <w:szCs w:val="21"/>
              </w:rPr>
            </w:pPr>
            <w:r>
              <w:rPr>
                <w:rFonts w:hint="eastAsia" w:ascii="宋体" w:hAnsi="宋体" w:eastAsia="宋体" w:cs="Times New Roman"/>
                <w:kern w:val="0"/>
                <w:szCs w:val="21"/>
              </w:rPr>
              <w:t>（1）了解小学生心理剧辅导的理论，理解心理剧辅导的涵义和类型；</w:t>
            </w:r>
          </w:p>
          <w:p w14:paraId="12B470FF">
            <w:pPr>
              <w:jc w:val="left"/>
              <w:rPr>
                <w:rFonts w:hint="eastAsia" w:ascii="宋体" w:hAnsi="宋体" w:eastAsia="宋体" w:cs="Times New Roman"/>
                <w:kern w:val="0"/>
                <w:szCs w:val="21"/>
              </w:rPr>
            </w:pPr>
            <w:r>
              <w:rPr>
                <w:rFonts w:hint="eastAsia" w:ascii="宋体" w:hAnsi="宋体" w:eastAsia="宋体" w:cs="Times New Roman"/>
                <w:kern w:val="0"/>
                <w:szCs w:val="21"/>
              </w:rPr>
              <w:t>（2）掌握小学生心理剧辅导的组织和实施过程，能在团队活动中组织开展心理剧活动。</w:t>
            </w:r>
          </w:p>
        </w:tc>
        <w:tc>
          <w:tcPr>
            <w:tcW w:w="1484" w:type="dxa"/>
            <w:gridSpan w:val="2"/>
            <w:vAlign w:val="center"/>
          </w:tcPr>
          <w:p w14:paraId="2F5FA86D">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03CD2382">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6FD7F7C2">
            <w:pPr>
              <w:jc w:val="left"/>
              <w:rPr>
                <w:rFonts w:hint="eastAsia" w:ascii="宋体" w:hAnsi="宋体" w:eastAsia="宋体" w:cs="Times New Roman"/>
                <w:kern w:val="0"/>
                <w:szCs w:val="21"/>
              </w:rPr>
            </w:pPr>
            <w:r>
              <w:rPr>
                <w:rFonts w:ascii="宋体" w:hAnsi="宋体" w:eastAsia="宋体" w:cs="Times New Roman"/>
                <w:kern w:val="0"/>
                <w:szCs w:val="21"/>
              </w:rPr>
              <w:t>4.</w:t>
            </w:r>
            <w:r>
              <w:rPr>
                <w:rFonts w:hint="eastAsia" w:ascii="宋体" w:hAnsi="宋体" w:eastAsia="宋体" w:cs="Times New Roman"/>
                <w:kern w:val="0"/>
                <w:szCs w:val="21"/>
              </w:rPr>
              <w:t>课内实践</w:t>
            </w:r>
          </w:p>
        </w:tc>
        <w:tc>
          <w:tcPr>
            <w:tcW w:w="369" w:type="dxa"/>
            <w:vAlign w:val="center"/>
          </w:tcPr>
          <w:p w14:paraId="4B48BCE5">
            <w:pPr>
              <w:jc w:val="center"/>
              <w:rPr>
                <w:rFonts w:hint="eastAsia" w:ascii="宋体" w:hAnsi="宋体" w:eastAsia="宋体" w:cs="Times New Roman"/>
                <w:kern w:val="0"/>
                <w:szCs w:val="21"/>
              </w:rPr>
            </w:pPr>
            <w:r>
              <w:rPr>
                <w:rFonts w:hint="eastAsia" w:ascii="宋体" w:hAnsi="宋体" w:eastAsia="宋体" w:cs="Times New Roman"/>
                <w:kern w:val="0"/>
                <w:szCs w:val="21"/>
              </w:rPr>
              <w:t>4</w:t>
            </w:r>
          </w:p>
        </w:tc>
      </w:tr>
      <w:tr w14:paraId="74D5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0FB8DB">
            <w:pPr>
              <w:jc w:val="center"/>
              <w:rPr>
                <w:rFonts w:hint="eastAsia" w:ascii="宋体" w:hAnsi="宋体" w:eastAsia="宋体" w:cs="Times New Roman"/>
                <w:kern w:val="0"/>
                <w:szCs w:val="21"/>
              </w:rPr>
            </w:pPr>
          </w:p>
        </w:tc>
        <w:tc>
          <w:tcPr>
            <w:tcW w:w="8093" w:type="dxa"/>
            <w:gridSpan w:val="7"/>
            <w:vAlign w:val="center"/>
          </w:tcPr>
          <w:p w14:paraId="69336C78">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kern w:val="0"/>
                <w:szCs w:val="21"/>
              </w:rPr>
              <w:t>鼓励用积极关注方法来展示小学生心理辅导。</w:t>
            </w:r>
          </w:p>
        </w:tc>
      </w:tr>
      <w:tr w14:paraId="19A9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E38736B">
            <w:pPr>
              <w:jc w:val="center"/>
              <w:rPr>
                <w:rFonts w:hint="eastAsia" w:ascii="宋体" w:hAnsi="宋体" w:eastAsia="宋体" w:cs="Times New Roman"/>
                <w:kern w:val="0"/>
                <w:szCs w:val="21"/>
              </w:rPr>
            </w:pPr>
            <w:r>
              <w:rPr>
                <w:rFonts w:hint="eastAsia" w:ascii="宋体" w:hAnsi="宋体" w:eastAsia="宋体" w:cs="Times New Roman"/>
                <w:kern w:val="0"/>
                <w:szCs w:val="21"/>
              </w:rPr>
              <w:t>9.</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小学生图文作品辅导</w:t>
            </w:r>
          </w:p>
        </w:tc>
        <w:tc>
          <w:tcPr>
            <w:tcW w:w="2740" w:type="dxa"/>
            <w:vAlign w:val="center"/>
          </w:tcPr>
          <w:p w14:paraId="46B09E9F">
            <w:pPr>
              <w:jc w:val="left"/>
              <w:rPr>
                <w:rFonts w:hint="eastAsia" w:ascii="宋体" w:hAnsi="宋体" w:eastAsia="宋体" w:cs="Times New Roman"/>
                <w:kern w:val="0"/>
                <w:szCs w:val="21"/>
              </w:rPr>
            </w:pPr>
            <w:r>
              <w:rPr>
                <w:rFonts w:hint="eastAsia" w:ascii="宋体" w:hAnsi="宋体" w:eastAsia="宋体" w:cs="Times New Roman"/>
                <w:kern w:val="0"/>
                <w:szCs w:val="21"/>
              </w:rPr>
              <w:t>（1）图文作品辅导的概述</w:t>
            </w:r>
          </w:p>
          <w:p w14:paraId="00C20FEF">
            <w:pPr>
              <w:jc w:val="left"/>
              <w:rPr>
                <w:rFonts w:hint="eastAsia" w:ascii="宋体" w:hAnsi="宋体" w:eastAsia="宋体" w:cs="Times New Roman"/>
                <w:kern w:val="0"/>
                <w:szCs w:val="21"/>
              </w:rPr>
            </w:pPr>
            <w:r>
              <w:rPr>
                <w:rFonts w:hint="eastAsia" w:ascii="宋体" w:hAnsi="宋体" w:eastAsia="宋体" w:cs="Times New Roman"/>
                <w:kern w:val="0"/>
                <w:szCs w:val="21"/>
              </w:rPr>
              <w:t>（2）小学生绘画心理辅导</w:t>
            </w:r>
          </w:p>
          <w:p w14:paraId="2FE9F2F5">
            <w:pPr>
              <w:jc w:val="left"/>
              <w:rPr>
                <w:rFonts w:hint="eastAsia" w:ascii="宋体" w:hAnsi="宋体" w:eastAsia="宋体" w:cs="Times New Roman"/>
                <w:kern w:val="0"/>
                <w:szCs w:val="21"/>
              </w:rPr>
            </w:pPr>
            <w:r>
              <w:rPr>
                <w:rFonts w:hint="eastAsia" w:ascii="宋体" w:hAnsi="宋体" w:eastAsia="宋体" w:cs="Times New Roman"/>
                <w:kern w:val="0"/>
                <w:szCs w:val="21"/>
              </w:rPr>
              <w:t>（3）小学生写作心理辅导</w:t>
            </w:r>
          </w:p>
          <w:p w14:paraId="3D1A5E26">
            <w:pPr>
              <w:jc w:val="left"/>
              <w:rPr>
                <w:rFonts w:hint="eastAsia" w:ascii="宋体" w:hAnsi="宋体" w:eastAsia="宋体" w:cs="Times New Roman"/>
                <w:kern w:val="0"/>
                <w:szCs w:val="21"/>
              </w:rPr>
            </w:pPr>
            <w:r>
              <w:rPr>
                <w:rFonts w:hint="eastAsia" w:ascii="宋体" w:hAnsi="宋体" w:eastAsia="宋体" w:cs="Times New Roman"/>
                <w:kern w:val="0"/>
                <w:szCs w:val="21"/>
              </w:rPr>
              <w:t>（4）小学生阅读心理辅导</w:t>
            </w:r>
          </w:p>
        </w:tc>
        <w:tc>
          <w:tcPr>
            <w:tcW w:w="1159" w:type="dxa"/>
            <w:vAlign w:val="center"/>
          </w:tcPr>
          <w:p w14:paraId="379A9F2D">
            <w:pPr>
              <w:jc w:val="center"/>
              <w:rPr>
                <w:rFonts w:hint="eastAsia" w:ascii="宋体" w:hAnsi="宋体" w:eastAsia="宋体" w:cs="Times New Roman"/>
                <w:kern w:val="0"/>
                <w:szCs w:val="21"/>
              </w:rPr>
            </w:pPr>
            <w:r>
              <w:rPr>
                <w:rFonts w:hint="eastAsia" w:ascii="宋体" w:hAnsi="宋体" w:eastAsia="宋体" w:cs="Times New Roman"/>
                <w:kern w:val="0"/>
                <w:szCs w:val="21"/>
              </w:rPr>
              <w:t>课程目标3</w:t>
            </w:r>
          </w:p>
        </w:tc>
        <w:tc>
          <w:tcPr>
            <w:tcW w:w="2341" w:type="dxa"/>
            <w:gridSpan w:val="2"/>
            <w:vAlign w:val="center"/>
          </w:tcPr>
          <w:p w14:paraId="41D94888">
            <w:pPr>
              <w:jc w:val="left"/>
              <w:rPr>
                <w:rFonts w:hint="eastAsia" w:ascii="宋体" w:hAnsi="宋体" w:eastAsia="宋体" w:cs="Times New Roman"/>
                <w:kern w:val="0"/>
                <w:szCs w:val="21"/>
              </w:rPr>
            </w:pPr>
            <w:r>
              <w:rPr>
                <w:rFonts w:hint="eastAsia" w:ascii="宋体" w:hAnsi="宋体" w:eastAsia="宋体" w:cs="Times New Roman"/>
                <w:kern w:val="0"/>
                <w:szCs w:val="21"/>
              </w:rPr>
              <w:t>（1）了解小学生图文作品辅导的理论基础，掌握图文作品辅导的范围；</w:t>
            </w:r>
          </w:p>
          <w:p w14:paraId="47C05250">
            <w:pPr>
              <w:jc w:val="left"/>
              <w:rPr>
                <w:rFonts w:hint="eastAsia" w:ascii="宋体" w:hAnsi="宋体" w:eastAsia="宋体" w:cs="Times New Roman"/>
                <w:kern w:val="0"/>
                <w:szCs w:val="21"/>
              </w:rPr>
            </w:pPr>
            <w:r>
              <w:rPr>
                <w:rFonts w:hint="eastAsia" w:ascii="宋体" w:hAnsi="宋体" w:eastAsia="宋体" w:cs="Times New Roman"/>
                <w:kern w:val="0"/>
                <w:szCs w:val="21"/>
              </w:rPr>
              <w:t>（2）能结合小学生的心理特点开展小学生的绘画、写作和阅读心理辅导。</w:t>
            </w:r>
          </w:p>
        </w:tc>
        <w:tc>
          <w:tcPr>
            <w:tcW w:w="1484" w:type="dxa"/>
            <w:gridSpan w:val="2"/>
            <w:vAlign w:val="center"/>
          </w:tcPr>
          <w:p w14:paraId="382296C9">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21FF810D">
            <w:pPr>
              <w:jc w:val="left"/>
              <w:rPr>
                <w:rFonts w:hint="eastAsia" w:ascii="宋体" w:hAnsi="宋体" w:eastAsia="宋体" w:cs="Times New Roman"/>
                <w:kern w:val="0"/>
                <w:szCs w:val="21"/>
              </w:rPr>
            </w:pPr>
            <w:r>
              <w:rPr>
                <w:rFonts w:ascii="宋体" w:hAnsi="宋体" w:eastAsia="宋体" w:cs="Times New Roman"/>
                <w:kern w:val="0"/>
                <w:szCs w:val="21"/>
              </w:rPr>
              <w:t>2.多媒体教学</w:t>
            </w:r>
          </w:p>
          <w:p w14:paraId="62069601">
            <w:pPr>
              <w:jc w:val="left"/>
              <w:rPr>
                <w:rFonts w:hint="eastAsia" w:ascii="宋体" w:hAnsi="宋体" w:eastAsia="宋体" w:cs="Times New Roman"/>
                <w:kern w:val="0"/>
                <w:szCs w:val="21"/>
              </w:rPr>
            </w:pPr>
            <w:r>
              <w:rPr>
                <w:rFonts w:ascii="宋体" w:hAnsi="宋体" w:eastAsia="宋体" w:cs="Times New Roman"/>
                <w:kern w:val="0"/>
                <w:szCs w:val="21"/>
              </w:rPr>
              <w:t>3.课堂讨论</w:t>
            </w:r>
          </w:p>
          <w:p w14:paraId="31B58CBD">
            <w:pPr>
              <w:jc w:val="left"/>
              <w:rPr>
                <w:rFonts w:hint="eastAsia" w:ascii="宋体" w:hAnsi="宋体" w:eastAsia="宋体" w:cs="Times New Roman"/>
                <w:kern w:val="0"/>
                <w:szCs w:val="21"/>
              </w:rPr>
            </w:pPr>
          </w:p>
        </w:tc>
        <w:tc>
          <w:tcPr>
            <w:tcW w:w="369" w:type="dxa"/>
            <w:vAlign w:val="center"/>
          </w:tcPr>
          <w:p w14:paraId="1CE5097A">
            <w:pPr>
              <w:jc w:val="center"/>
              <w:rPr>
                <w:rFonts w:hint="eastAsia" w:ascii="宋体" w:hAnsi="宋体" w:eastAsia="宋体" w:cs="Times New Roman"/>
                <w:kern w:val="0"/>
                <w:szCs w:val="21"/>
              </w:rPr>
            </w:pPr>
            <w:r>
              <w:rPr>
                <w:rFonts w:hint="eastAsia" w:ascii="宋体" w:hAnsi="宋体" w:eastAsia="宋体" w:cs="Times New Roman"/>
                <w:kern w:val="0"/>
                <w:szCs w:val="21"/>
              </w:rPr>
              <w:t>2</w:t>
            </w:r>
          </w:p>
        </w:tc>
      </w:tr>
      <w:tr w14:paraId="03E6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0219F5">
            <w:pPr>
              <w:jc w:val="center"/>
              <w:rPr>
                <w:rFonts w:hint="eastAsia" w:ascii="宋体" w:hAnsi="宋体" w:eastAsia="宋体" w:cs="Times New Roman"/>
                <w:kern w:val="0"/>
                <w:szCs w:val="21"/>
              </w:rPr>
            </w:pPr>
          </w:p>
        </w:tc>
        <w:tc>
          <w:tcPr>
            <w:tcW w:w="8093" w:type="dxa"/>
            <w:gridSpan w:val="7"/>
            <w:vAlign w:val="center"/>
          </w:tcPr>
          <w:p w14:paraId="01AA78BD">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bCs/>
                <w:kern w:val="0"/>
                <w:szCs w:val="21"/>
              </w:rPr>
              <w:t>树立正确的教师观、学生观并用发展的视角看待学生。</w:t>
            </w:r>
          </w:p>
        </w:tc>
      </w:tr>
      <w:tr w14:paraId="49B5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3D4394A">
            <w:pPr>
              <w:jc w:val="center"/>
              <w:rPr>
                <w:rFonts w:hint="eastAsia" w:ascii="宋体" w:hAnsi="宋体" w:eastAsia="宋体" w:cs="Times New Roman"/>
                <w:kern w:val="0"/>
                <w:szCs w:val="21"/>
              </w:rPr>
            </w:pPr>
            <w:r>
              <w:rPr>
                <w:rFonts w:hint="eastAsia" w:ascii="宋体" w:hAnsi="宋体" w:eastAsia="宋体" w:cs="Times New Roman"/>
                <w:kern w:val="0"/>
                <w:szCs w:val="21"/>
              </w:rPr>
              <w:t>10.</w:t>
            </w:r>
            <w:r>
              <w:rPr>
                <w:rFonts w:hint="eastAsia" w:ascii="Times New Roman" w:hAnsi="Times New Roman" w:eastAsia="宋体" w:cs="Times New Roman"/>
                <w:kern w:val="0"/>
                <w:szCs w:val="21"/>
              </w:rPr>
              <w:t xml:space="preserve"> </w:t>
            </w:r>
            <w:r>
              <w:rPr>
                <w:rFonts w:hint="eastAsia" w:ascii="宋体" w:hAnsi="宋体" w:eastAsia="宋体" w:cs="Times New Roman"/>
                <w:kern w:val="0"/>
                <w:szCs w:val="21"/>
              </w:rPr>
              <w:t>小学班级心理辅导活动课设计</w:t>
            </w:r>
          </w:p>
        </w:tc>
        <w:tc>
          <w:tcPr>
            <w:tcW w:w="2740" w:type="dxa"/>
            <w:vAlign w:val="center"/>
          </w:tcPr>
          <w:p w14:paraId="3FA6B5BF">
            <w:pPr>
              <w:jc w:val="left"/>
              <w:rPr>
                <w:rFonts w:hint="eastAsia" w:ascii="宋体" w:hAnsi="宋体" w:eastAsia="宋体" w:cs="Times New Roman"/>
                <w:kern w:val="0"/>
                <w:szCs w:val="21"/>
              </w:rPr>
            </w:pPr>
            <w:r>
              <w:rPr>
                <w:rFonts w:hint="eastAsia" w:ascii="宋体" w:hAnsi="宋体" w:eastAsia="宋体" w:cs="Times New Roman"/>
                <w:kern w:val="0"/>
                <w:szCs w:val="21"/>
              </w:rPr>
              <w:t>（1）小学班级心理辅导活动课概述</w:t>
            </w:r>
          </w:p>
          <w:p w14:paraId="79974430">
            <w:pPr>
              <w:jc w:val="left"/>
              <w:rPr>
                <w:rFonts w:hint="eastAsia" w:ascii="宋体" w:hAnsi="宋体" w:eastAsia="宋体" w:cs="Times New Roman"/>
                <w:kern w:val="0"/>
                <w:szCs w:val="21"/>
              </w:rPr>
            </w:pPr>
            <w:r>
              <w:rPr>
                <w:rFonts w:hint="eastAsia" w:ascii="宋体" w:hAnsi="宋体" w:eastAsia="宋体" w:cs="Times New Roman"/>
                <w:kern w:val="0"/>
                <w:szCs w:val="21"/>
              </w:rPr>
              <w:t>（2）小学班级心理辅导活动课设计</w:t>
            </w:r>
          </w:p>
          <w:p w14:paraId="3B1FE38B">
            <w:pPr>
              <w:jc w:val="left"/>
              <w:rPr>
                <w:rFonts w:hint="eastAsia" w:ascii="宋体" w:hAnsi="宋体" w:eastAsia="宋体" w:cs="Times New Roman"/>
                <w:kern w:val="0"/>
                <w:szCs w:val="21"/>
              </w:rPr>
            </w:pPr>
            <w:r>
              <w:rPr>
                <w:rFonts w:hint="eastAsia" w:ascii="宋体" w:hAnsi="宋体" w:eastAsia="宋体" w:cs="Times New Roman"/>
                <w:kern w:val="0"/>
                <w:szCs w:val="21"/>
              </w:rPr>
              <w:t>（3）小学班级心理辅导活动课的实施与评价</w:t>
            </w:r>
          </w:p>
        </w:tc>
        <w:tc>
          <w:tcPr>
            <w:tcW w:w="1159" w:type="dxa"/>
            <w:vAlign w:val="center"/>
          </w:tcPr>
          <w:p w14:paraId="516919F2">
            <w:pPr>
              <w:jc w:val="center"/>
              <w:rPr>
                <w:rFonts w:hint="eastAsia" w:ascii="宋体" w:hAnsi="宋体" w:eastAsia="宋体" w:cs="Times New Roman"/>
                <w:kern w:val="0"/>
                <w:szCs w:val="21"/>
              </w:rPr>
            </w:pPr>
            <w:r>
              <w:rPr>
                <w:rFonts w:hint="eastAsia" w:ascii="宋体" w:hAnsi="宋体" w:eastAsia="宋体" w:cs="Times New Roman"/>
                <w:kern w:val="0"/>
                <w:szCs w:val="21"/>
              </w:rPr>
              <w:t>课程目标2、3</w:t>
            </w:r>
          </w:p>
          <w:p w14:paraId="48153992">
            <w:pPr>
              <w:jc w:val="center"/>
              <w:rPr>
                <w:rFonts w:hint="eastAsia" w:ascii="宋体" w:hAnsi="宋体" w:eastAsia="宋体" w:cs="Times New Roman"/>
                <w:kern w:val="0"/>
                <w:szCs w:val="21"/>
              </w:rPr>
            </w:pPr>
          </w:p>
        </w:tc>
        <w:tc>
          <w:tcPr>
            <w:tcW w:w="2341" w:type="dxa"/>
            <w:gridSpan w:val="2"/>
            <w:vAlign w:val="center"/>
          </w:tcPr>
          <w:p w14:paraId="714E7C04">
            <w:pPr>
              <w:jc w:val="left"/>
              <w:rPr>
                <w:rFonts w:hint="eastAsia" w:ascii="宋体" w:hAnsi="宋体" w:eastAsia="宋体" w:cs="Times New Roman"/>
                <w:kern w:val="0"/>
                <w:szCs w:val="21"/>
              </w:rPr>
            </w:pPr>
            <w:r>
              <w:rPr>
                <w:rFonts w:hint="eastAsia" w:ascii="宋体" w:hAnsi="宋体" w:eastAsia="宋体" w:cs="Times New Roman"/>
                <w:kern w:val="0"/>
                <w:szCs w:val="21"/>
              </w:rPr>
              <w:t>（1）理解小学生班级心理辅导活动课的适用范围，掌握小学班级心理辅导活动课的开展要素；</w:t>
            </w:r>
          </w:p>
          <w:p w14:paraId="6AF88775">
            <w:pPr>
              <w:jc w:val="left"/>
              <w:rPr>
                <w:rFonts w:hint="eastAsia" w:ascii="宋体" w:hAnsi="宋体" w:eastAsia="宋体" w:cs="Times New Roman"/>
                <w:kern w:val="0"/>
                <w:szCs w:val="21"/>
              </w:rPr>
            </w:pPr>
            <w:r>
              <w:rPr>
                <w:rFonts w:hint="eastAsia" w:ascii="宋体" w:hAnsi="宋体" w:eastAsia="宋体" w:cs="Times New Roman"/>
                <w:kern w:val="0"/>
                <w:szCs w:val="21"/>
              </w:rPr>
              <w:t>（2）会进行小学班级心理活动课的设计，并能开展实施，也能对小学班级心理活动课的开展情况进行合理评价。</w:t>
            </w:r>
          </w:p>
        </w:tc>
        <w:tc>
          <w:tcPr>
            <w:tcW w:w="1484" w:type="dxa"/>
            <w:gridSpan w:val="2"/>
            <w:vAlign w:val="center"/>
          </w:tcPr>
          <w:p w14:paraId="5B7183D2">
            <w:pPr>
              <w:jc w:val="left"/>
              <w:rPr>
                <w:rFonts w:hint="eastAsia" w:ascii="宋体" w:hAnsi="宋体" w:eastAsia="宋体" w:cs="Times New Roman"/>
                <w:kern w:val="0"/>
                <w:szCs w:val="21"/>
              </w:rPr>
            </w:pPr>
            <w:r>
              <w:rPr>
                <w:rFonts w:ascii="宋体" w:hAnsi="宋体" w:eastAsia="宋体" w:cs="Times New Roman"/>
                <w:kern w:val="0"/>
                <w:szCs w:val="21"/>
              </w:rPr>
              <w:t>1.线上学习</w:t>
            </w:r>
          </w:p>
          <w:p w14:paraId="2CDAF3EB">
            <w:pPr>
              <w:jc w:val="left"/>
              <w:rPr>
                <w:rFonts w:hint="eastAsia" w:ascii="宋体" w:hAnsi="宋体" w:eastAsia="宋体" w:cs="Times New Roman"/>
                <w:kern w:val="0"/>
                <w:szCs w:val="21"/>
              </w:rPr>
            </w:pPr>
            <w:r>
              <w:rPr>
                <w:rFonts w:ascii="宋体" w:hAnsi="宋体" w:eastAsia="宋体" w:cs="Times New Roman"/>
                <w:kern w:val="0"/>
                <w:szCs w:val="21"/>
              </w:rPr>
              <w:t>2.多媒体教学3.课堂讨论</w:t>
            </w:r>
          </w:p>
          <w:p w14:paraId="66CC5609">
            <w:pPr>
              <w:jc w:val="left"/>
              <w:rPr>
                <w:rFonts w:hint="eastAsia" w:ascii="宋体" w:hAnsi="宋体" w:eastAsia="宋体" w:cs="Times New Roman"/>
                <w:kern w:val="0"/>
                <w:szCs w:val="21"/>
              </w:rPr>
            </w:pPr>
            <w:r>
              <w:rPr>
                <w:rFonts w:ascii="宋体" w:hAnsi="宋体" w:eastAsia="宋体" w:cs="Times New Roman"/>
                <w:kern w:val="0"/>
                <w:szCs w:val="21"/>
              </w:rPr>
              <w:t>4.</w:t>
            </w:r>
            <w:r>
              <w:rPr>
                <w:rFonts w:hint="eastAsia" w:ascii="宋体" w:hAnsi="宋体" w:eastAsia="宋体" w:cs="Times New Roman"/>
                <w:kern w:val="0"/>
                <w:szCs w:val="21"/>
              </w:rPr>
              <w:t>课内实践</w:t>
            </w:r>
          </w:p>
        </w:tc>
        <w:tc>
          <w:tcPr>
            <w:tcW w:w="369" w:type="dxa"/>
            <w:vAlign w:val="center"/>
          </w:tcPr>
          <w:p w14:paraId="480D850A">
            <w:pPr>
              <w:jc w:val="center"/>
              <w:rPr>
                <w:rFonts w:hint="eastAsia" w:ascii="宋体" w:hAnsi="宋体" w:eastAsia="宋体" w:cs="Times New Roman"/>
                <w:kern w:val="0"/>
                <w:szCs w:val="21"/>
              </w:rPr>
            </w:pPr>
            <w:r>
              <w:rPr>
                <w:rFonts w:hint="eastAsia" w:ascii="宋体" w:hAnsi="宋体" w:eastAsia="宋体" w:cs="Times New Roman"/>
                <w:kern w:val="0"/>
                <w:szCs w:val="21"/>
              </w:rPr>
              <w:t>3</w:t>
            </w:r>
          </w:p>
        </w:tc>
      </w:tr>
      <w:tr w14:paraId="106FB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9F20EC6">
            <w:pPr>
              <w:jc w:val="center"/>
              <w:rPr>
                <w:rFonts w:hint="eastAsia" w:ascii="宋体" w:hAnsi="宋体" w:eastAsia="宋体" w:cs="Times New Roman"/>
                <w:kern w:val="0"/>
                <w:szCs w:val="21"/>
              </w:rPr>
            </w:pPr>
          </w:p>
        </w:tc>
        <w:tc>
          <w:tcPr>
            <w:tcW w:w="8093" w:type="dxa"/>
            <w:gridSpan w:val="7"/>
            <w:vAlign w:val="center"/>
          </w:tcPr>
          <w:p w14:paraId="362DA715">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hint="eastAsia" w:ascii="宋体" w:hAnsi="宋体" w:eastAsia="宋体" w:cs="Times New Roman"/>
                <w:bCs/>
                <w:kern w:val="0"/>
                <w:szCs w:val="21"/>
              </w:rPr>
              <w:t>通过对小学生班级心理辅导活动设计，将思想政治教育与心理健康教育有机融合，引导小学生树立正确的世界观、人生观、价值观，培养他们良好的道德品质、社会责任感、爱国情怀和集体主义精神。</w:t>
            </w:r>
          </w:p>
        </w:tc>
      </w:tr>
      <w:tr w14:paraId="4BED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restart"/>
            <w:vAlign w:val="center"/>
          </w:tcPr>
          <w:p w14:paraId="2827C10B">
            <w:pPr>
              <w:jc w:val="center"/>
              <w:rPr>
                <w:rFonts w:hint="eastAsia" w:ascii="宋体" w:hAnsi="宋体" w:eastAsia="宋体" w:cs="Times New Roman"/>
                <w:kern w:val="0"/>
                <w:szCs w:val="21"/>
              </w:rPr>
            </w:pPr>
            <w:r>
              <w:rPr>
                <w:rFonts w:hint="eastAsia" w:ascii="宋体" w:hAnsi="宋体" w:eastAsia="宋体" w:cs="Times New Roman"/>
                <w:kern w:val="0"/>
                <w:szCs w:val="21"/>
              </w:rPr>
              <w:t>11. 小学生心理辅导的工作开展</w:t>
            </w:r>
          </w:p>
        </w:tc>
        <w:tc>
          <w:tcPr>
            <w:tcW w:w="2740" w:type="dxa"/>
            <w:vAlign w:val="center"/>
          </w:tcPr>
          <w:p w14:paraId="18257D11">
            <w:pPr>
              <w:jc w:val="left"/>
              <w:rPr>
                <w:rFonts w:hint="eastAsia" w:ascii="宋体" w:hAnsi="宋体" w:eastAsia="宋体" w:cs="Times New Roman"/>
                <w:kern w:val="0"/>
                <w:szCs w:val="21"/>
              </w:rPr>
            </w:pPr>
            <w:r>
              <w:rPr>
                <w:rFonts w:hint="eastAsia" w:ascii="宋体" w:hAnsi="宋体" w:eastAsia="宋体" w:cs="Times New Roman"/>
                <w:kern w:val="0"/>
                <w:szCs w:val="21"/>
              </w:rPr>
              <w:t>（1）小学生心理辅导的基本格局</w:t>
            </w:r>
          </w:p>
          <w:p w14:paraId="713BC63F">
            <w:pPr>
              <w:jc w:val="left"/>
              <w:rPr>
                <w:rFonts w:hint="eastAsia" w:ascii="宋体" w:hAnsi="宋体" w:eastAsia="宋体" w:cs="Times New Roman"/>
                <w:kern w:val="0"/>
                <w:szCs w:val="21"/>
              </w:rPr>
            </w:pPr>
            <w:r>
              <w:rPr>
                <w:rFonts w:hint="eastAsia" w:ascii="宋体" w:hAnsi="宋体" w:eastAsia="宋体" w:cs="Times New Roman"/>
                <w:kern w:val="0"/>
                <w:szCs w:val="21"/>
              </w:rPr>
              <w:t>（2）小学生心理辅导教师的道德素养与专业素养</w:t>
            </w:r>
          </w:p>
          <w:p w14:paraId="1D314D42">
            <w:pPr>
              <w:jc w:val="left"/>
              <w:rPr>
                <w:rFonts w:hint="eastAsia" w:ascii="宋体" w:hAnsi="宋体" w:eastAsia="宋体" w:cs="Times New Roman"/>
                <w:kern w:val="0"/>
                <w:szCs w:val="21"/>
              </w:rPr>
            </w:pPr>
            <w:r>
              <w:rPr>
                <w:rFonts w:hint="eastAsia" w:ascii="宋体" w:hAnsi="宋体" w:eastAsia="宋体" w:cs="Times New Roman"/>
                <w:kern w:val="0"/>
                <w:szCs w:val="21"/>
              </w:rPr>
              <w:t>（3）小学生心理辅导室的创建</w:t>
            </w:r>
          </w:p>
          <w:p w14:paraId="076DA5E3">
            <w:pPr>
              <w:jc w:val="left"/>
              <w:rPr>
                <w:rFonts w:hint="eastAsia" w:ascii="宋体" w:hAnsi="宋体" w:eastAsia="宋体" w:cs="Times New Roman"/>
                <w:kern w:val="0"/>
                <w:szCs w:val="21"/>
              </w:rPr>
            </w:pPr>
            <w:r>
              <w:rPr>
                <w:rFonts w:hint="eastAsia" w:ascii="宋体" w:hAnsi="宋体" w:eastAsia="宋体" w:cs="Times New Roman"/>
                <w:kern w:val="0"/>
                <w:szCs w:val="21"/>
              </w:rPr>
              <w:t>（4）小学生心理辅导档案的管理</w:t>
            </w:r>
          </w:p>
          <w:p w14:paraId="14819ED4">
            <w:pPr>
              <w:jc w:val="left"/>
              <w:rPr>
                <w:rFonts w:hint="eastAsia" w:ascii="宋体" w:hAnsi="宋体" w:eastAsia="宋体" w:cs="Times New Roman"/>
                <w:b/>
                <w:kern w:val="0"/>
                <w:szCs w:val="21"/>
              </w:rPr>
            </w:pPr>
            <w:r>
              <w:rPr>
                <w:rFonts w:hint="eastAsia" w:ascii="宋体" w:hAnsi="宋体" w:eastAsia="宋体" w:cs="Times New Roman"/>
                <w:kern w:val="0"/>
                <w:szCs w:val="21"/>
              </w:rPr>
              <w:t>（5）关于全员参与小学生心理辅导教育的展望</w:t>
            </w:r>
          </w:p>
        </w:tc>
        <w:tc>
          <w:tcPr>
            <w:tcW w:w="1159" w:type="dxa"/>
            <w:vAlign w:val="center"/>
          </w:tcPr>
          <w:p w14:paraId="4BB6E8AE">
            <w:pPr>
              <w:jc w:val="center"/>
              <w:rPr>
                <w:rFonts w:hint="eastAsia" w:ascii="宋体" w:hAnsi="宋体" w:eastAsia="宋体" w:cs="Times New Roman"/>
                <w:b/>
                <w:kern w:val="0"/>
                <w:szCs w:val="21"/>
              </w:rPr>
            </w:pPr>
            <w:r>
              <w:rPr>
                <w:rFonts w:hint="eastAsia" w:ascii="宋体" w:hAnsi="宋体" w:eastAsia="宋体" w:cs="Times New Roman"/>
                <w:kern w:val="0"/>
                <w:szCs w:val="21"/>
              </w:rPr>
              <w:t>课程目标2、3、4</w:t>
            </w:r>
          </w:p>
        </w:tc>
        <w:tc>
          <w:tcPr>
            <w:tcW w:w="2170" w:type="dxa"/>
            <w:vAlign w:val="center"/>
          </w:tcPr>
          <w:p w14:paraId="430947DB">
            <w:pPr>
              <w:jc w:val="left"/>
              <w:rPr>
                <w:rFonts w:hint="eastAsia" w:ascii="宋体" w:hAnsi="宋体" w:eastAsia="宋体" w:cs="Times New Roman"/>
                <w:kern w:val="0"/>
                <w:szCs w:val="21"/>
              </w:rPr>
            </w:pPr>
            <w:r>
              <w:rPr>
                <w:rFonts w:hint="eastAsia" w:ascii="宋体" w:hAnsi="宋体" w:eastAsia="宋体" w:cs="Times New Roman"/>
                <w:kern w:val="0"/>
                <w:szCs w:val="21"/>
              </w:rPr>
              <w:t>（1）了解小学生心理辅导教育的发展前景，知道小学生心理辅导的基本格局，掌握小学生心理辅导的教师的专业素养；</w:t>
            </w:r>
          </w:p>
          <w:p w14:paraId="561684EF">
            <w:pPr>
              <w:jc w:val="left"/>
              <w:rPr>
                <w:rFonts w:hint="eastAsia" w:ascii="宋体" w:hAnsi="宋体" w:eastAsia="宋体" w:cs="Times New Roman"/>
                <w:b/>
                <w:kern w:val="0"/>
                <w:szCs w:val="21"/>
              </w:rPr>
            </w:pPr>
            <w:r>
              <w:rPr>
                <w:rFonts w:hint="eastAsia" w:ascii="宋体" w:hAnsi="宋体" w:eastAsia="宋体" w:cs="Times New Roman"/>
                <w:kern w:val="0"/>
                <w:szCs w:val="21"/>
              </w:rPr>
              <w:t>（2）学会创建小学生心理辅导室，掌握小学生心理辅导档案的建立和管理方法。</w:t>
            </w:r>
          </w:p>
        </w:tc>
        <w:tc>
          <w:tcPr>
            <w:tcW w:w="1510" w:type="dxa"/>
            <w:gridSpan w:val="2"/>
            <w:vAlign w:val="center"/>
          </w:tcPr>
          <w:p w14:paraId="38F69FA3">
            <w:pPr>
              <w:jc w:val="left"/>
              <w:rPr>
                <w:rFonts w:hint="eastAsia" w:ascii="宋体" w:hAnsi="宋体" w:eastAsia="宋体" w:cs="Times New Roman"/>
                <w:kern w:val="0"/>
                <w:szCs w:val="21"/>
              </w:rPr>
            </w:pPr>
            <w:r>
              <w:rPr>
                <w:rFonts w:hint="eastAsia" w:ascii="宋体" w:hAnsi="宋体" w:eastAsia="宋体" w:cs="Times New Roman"/>
                <w:kern w:val="0"/>
                <w:szCs w:val="21"/>
              </w:rPr>
              <w:t>1.线上学习</w:t>
            </w:r>
          </w:p>
          <w:p w14:paraId="68570FBF">
            <w:pPr>
              <w:jc w:val="left"/>
              <w:rPr>
                <w:rFonts w:hint="eastAsia" w:ascii="宋体" w:hAnsi="宋体" w:eastAsia="宋体" w:cs="Times New Roman"/>
                <w:kern w:val="0"/>
                <w:szCs w:val="21"/>
              </w:rPr>
            </w:pPr>
            <w:r>
              <w:rPr>
                <w:rFonts w:hint="eastAsia" w:ascii="宋体" w:hAnsi="宋体" w:eastAsia="宋体" w:cs="Times New Roman"/>
                <w:kern w:val="0"/>
                <w:szCs w:val="21"/>
              </w:rPr>
              <w:t>2.多媒体教学3.课堂讨论</w:t>
            </w:r>
          </w:p>
          <w:p w14:paraId="6F0402ED">
            <w:pPr>
              <w:jc w:val="left"/>
              <w:rPr>
                <w:rFonts w:hint="eastAsia" w:ascii="宋体" w:hAnsi="宋体" w:eastAsia="宋体" w:cs="Times New Roman"/>
                <w:kern w:val="0"/>
                <w:szCs w:val="21"/>
              </w:rPr>
            </w:pPr>
            <w:r>
              <w:rPr>
                <w:rFonts w:hint="eastAsia" w:ascii="宋体" w:hAnsi="宋体" w:eastAsia="宋体" w:cs="Times New Roman"/>
                <w:kern w:val="0"/>
                <w:szCs w:val="21"/>
              </w:rPr>
              <w:t>4.课内实践</w:t>
            </w:r>
          </w:p>
        </w:tc>
        <w:tc>
          <w:tcPr>
            <w:tcW w:w="514" w:type="dxa"/>
            <w:gridSpan w:val="2"/>
            <w:vAlign w:val="center"/>
          </w:tcPr>
          <w:p w14:paraId="07F1378F">
            <w:pPr>
              <w:jc w:val="left"/>
              <w:rPr>
                <w:rFonts w:hint="eastAsia" w:ascii="宋体" w:hAnsi="宋体" w:eastAsia="宋体" w:cs="Times New Roman"/>
                <w:b/>
                <w:kern w:val="0"/>
                <w:szCs w:val="21"/>
              </w:rPr>
            </w:pPr>
            <w:r>
              <w:rPr>
                <w:rFonts w:hint="eastAsia" w:ascii="宋体" w:hAnsi="宋体" w:eastAsia="宋体" w:cs="Times New Roman"/>
                <w:b/>
                <w:kern w:val="0"/>
                <w:szCs w:val="21"/>
              </w:rPr>
              <w:t>2</w:t>
            </w:r>
          </w:p>
        </w:tc>
      </w:tr>
      <w:tr w14:paraId="0339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205" w:type="dxa"/>
            <w:vMerge w:val="continue"/>
            <w:vAlign w:val="center"/>
          </w:tcPr>
          <w:p w14:paraId="64F1F60A">
            <w:pPr>
              <w:jc w:val="center"/>
              <w:rPr>
                <w:rFonts w:hint="eastAsia" w:ascii="宋体" w:hAnsi="宋体" w:eastAsia="宋体" w:cs="Times New Roman"/>
                <w:kern w:val="0"/>
                <w:szCs w:val="21"/>
              </w:rPr>
            </w:pPr>
          </w:p>
        </w:tc>
        <w:tc>
          <w:tcPr>
            <w:tcW w:w="8093" w:type="dxa"/>
            <w:gridSpan w:val="7"/>
            <w:vAlign w:val="center"/>
          </w:tcPr>
          <w:p w14:paraId="3178D2BF">
            <w:pPr>
              <w:jc w:val="left"/>
              <w:rPr>
                <w:rFonts w:hint="eastAsia" w:ascii="宋体" w:hAnsi="宋体" w:eastAsia="宋体" w:cs="Times New Roman"/>
                <w:b/>
                <w:kern w:val="0"/>
                <w:szCs w:val="21"/>
              </w:rPr>
            </w:pPr>
            <w:r>
              <w:rPr>
                <w:rFonts w:hint="eastAsia" w:ascii="宋体" w:hAnsi="宋体" w:eastAsia="宋体" w:cs="Times New Roman"/>
                <w:b/>
                <w:kern w:val="0"/>
                <w:szCs w:val="21"/>
              </w:rPr>
              <w:t>课程思政目标：</w:t>
            </w:r>
            <w:r>
              <w:rPr>
                <w:rFonts w:hint="eastAsia" w:ascii="宋体" w:hAnsi="宋体" w:eastAsia="宋体" w:cs="Times New Roman"/>
                <w:bCs/>
                <w:kern w:val="0"/>
                <w:szCs w:val="21"/>
              </w:rPr>
              <w:t>通过多形式开展心理健康活动，培养学生教师道德和专业素养，力争成为四有好教师。</w:t>
            </w:r>
          </w:p>
        </w:tc>
      </w:tr>
    </w:tbl>
    <w:p w14:paraId="59768014">
      <w:pPr>
        <w:spacing w:before="62" w:beforeLines="20" w:after="62" w:afterLines="20" w:line="360" w:lineRule="auto"/>
        <w:rPr>
          <w:rFonts w:ascii="Calibri" w:hAnsi="Calibri" w:eastAsia="宋体" w:cs="Times New Roman"/>
          <w:b/>
          <w:bCs/>
          <w:kern w:val="0"/>
          <w:sz w:val="24"/>
        </w:rPr>
      </w:pPr>
      <w:r>
        <w:rPr>
          <w:rFonts w:hint="eastAsia" w:ascii="Calibri" w:hAnsi="Calibri" w:eastAsia="宋体" w:cs="Times New Roman"/>
          <w:b/>
          <w:bCs/>
          <w:kern w:val="0"/>
          <w:sz w:val="24"/>
        </w:rPr>
        <w:t>四、目标评价与成绩评定</w:t>
      </w:r>
    </w:p>
    <w:p w14:paraId="321C62C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60618C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1097"/>
        <w:gridCol w:w="1134"/>
        <w:gridCol w:w="1410"/>
        <w:gridCol w:w="1284"/>
        <w:gridCol w:w="1417"/>
        <w:gridCol w:w="851"/>
      </w:tblGrid>
      <w:tr w14:paraId="6CCE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2F2464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342" w:type="dxa"/>
            <w:gridSpan w:val="5"/>
            <w:vAlign w:val="center"/>
          </w:tcPr>
          <w:p w14:paraId="137E77B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851" w:type="dxa"/>
            <w:vMerge w:val="restart"/>
            <w:vAlign w:val="center"/>
          </w:tcPr>
          <w:p w14:paraId="75C39F96">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2DFA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401BBC3C">
            <w:pPr>
              <w:spacing w:line="360" w:lineRule="auto"/>
              <w:jc w:val="center"/>
              <w:rPr>
                <w:rFonts w:hint="eastAsia" w:ascii="宋体" w:hAnsi="宋体" w:eastAsia="宋体" w:cs="Times New Roman"/>
                <w:kern w:val="0"/>
                <w:sz w:val="20"/>
                <w:szCs w:val="21"/>
              </w:rPr>
            </w:pPr>
          </w:p>
        </w:tc>
        <w:tc>
          <w:tcPr>
            <w:tcW w:w="1097" w:type="dxa"/>
            <w:vAlign w:val="center"/>
          </w:tcPr>
          <w:p w14:paraId="031123F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平时作业</w:t>
            </w:r>
          </w:p>
        </w:tc>
        <w:tc>
          <w:tcPr>
            <w:tcW w:w="1134" w:type="dxa"/>
            <w:vAlign w:val="center"/>
          </w:tcPr>
          <w:p w14:paraId="439C755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课堂表现</w:t>
            </w:r>
          </w:p>
        </w:tc>
        <w:tc>
          <w:tcPr>
            <w:tcW w:w="1410" w:type="dxa"/>
            <w:vAlign w:val="center"/>
          </w:tcPr>
          <w:p w14:paraId="644F866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课内实践</w:t>
            </w:r>
          </w:p>
        </w:tc>
        <w:tc>
          <w:tcPr>
            <w:tcW w:w="1284" w:type="dxa"/>
            <w:vAlign w:val="center"/>
          </w:tcPr>
          <w:p w14:paraId="59E49D9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期末考试</w:t>
            </w:r>
          </w:p>
        </w:tc>
        <w:tc>
          <w:tcPr>
            <w:tcW w:w="1417" w:type="dxa"/>
          </w:tcPr>
          <w:p w14:paraId="327ED18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自主学习</w:t>
            </w:r>
          </w:p>
        </w:tc>
        <w:tc>
          <w:tcPr>
            <w:tcW w:w="851" w:type="dxa"/>
            <w:vMerge w:val="continue"/>
            <w:vAlign w:val="center"/>
          </w:tcPr>
          <w:p w14:paraId="4639AEF7">
            <w:pPr>
              <w:spacing w:line="360" w:lineRule="auto"/>
              <w:jc w:val="center"/>
              <w:rPr>
                <w:rFonts w:hint="eastAsia" w:ascii="宋体" w:hAnsi="宋体" w:eastAsia="宋体" w:cs="Times New Roman"/>
                <w:kern w:val="0"/>
                <w:sz w:val="20"/>
                <w:szCs w:val="21"/>
              </w:rPr>
            </w:pPr>
          </w:p>
        </w:tc>
      </w:tr>
      <w:tr w14:paraId="436C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FF860C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097" w:type="dxa"/>
            <w:vAlign w:val="center"/>
          </w:tcPr>
          <w:p w14:paraId="26A4896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113824B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0" w:type="dxa"/>
            <w:vAlign w:val="center"/>
          </w:tcPr>
          <w:p w14:paraId="31E624DA">
            <w:pPr>
              <w:spacing w:line="360" w:lineRule="auto"/>
              <w:jc w:val="center"/>
              <w:rPr>
                <w:rFonts w:hint="eastAsia" w:ascii="宋体" w:hAnsi="宋体" w:eastAsia="宋体" w:cs="Times New Roman"/>
                <w:kern w:val="0"/>
                <w:sz w:val="20"/>
                <w:szCs w:val="21"/>
              </w:rPr>
            </w:pPr>
          </w:p>
        </w:tc>
        <w:tc>
          <w:tcPr>
            <w:tcW w:w="1284" w:type="dxa"/>
            <w:vAlign w:val="center"/>
          </w:tcPr>
          <w:p w14:paraId="65208FE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7" w:type="dxa"/>
          </w:tcPr>
          <w:p w14:paraId="2D3D0FB8">
            <w:pPr>
              <w:spacing w:line="360" w:lineRule="auto"/>
              <w:jc w:val="center"/>
              <w:rPr>
                <w:rFonts w:hint="eastAsia" w:ascii="宋体" w:hAnsi="宋体" w:eastAsia="宋体" w:cs="Times New Roman"/>
                <w:kern w:val="0"/>
                <w:sz w:val="20"/>
                <w:szCs w:val="21"/>
              </w:rPr>
            </w:pPr>
          </w:p>
        </w:tc>
        <w:tc>
          <w:tcPr>
            <w:tcW w:w="851" w:type="dxa"/>
            <w:vAlign w:val="center"/>
          </w:tcPr>
          <w:p w14:paraId="1A90E34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3BA6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27D3B0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097" w:type="dxa"/>
            <w:vAlign w:val="center"/>
          </w:tcPr>
          <w:p w14:paraId="394E5BC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0E22B749">
            <w:pPr>
              <w:spacing w:line="360" w:lineRule="auto"/>
              <w:jc w:val="center"/>
              <w:rPr>
                <w:rFonts w:hint="eastAsia" w:ascii="宋体" w:hAnsi="宋体" w:eastAsia="宋体" w:cs="Times New Roman"/>
                <w:kern w:val="0"/>
                <w:sz w:val="20"/>
                <w:szCs w:val="21"/>
              </w:rPr>
            </w:pPr>
          </w:p>
        </w:tc>
        <w:tc>
          <w:tcPr>
            <w:tcW w:w="1410" w:type="dxa"/>
            <w:vAlign w:val="center"/>
          </w:tcPr>
          <w:p w14:paraId="64DE198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r>
              <w:rPr>
                <w:rFonts w:ascii="宋体" w:hAnsi="宋体" w:eastAsia="宋体" w:cs="Times New Roman"/>
                <w:kern w:val="0"/>
                <w:sz w:val="20"/>
                <w:szCs w:val="21"/>
              </w:rPr>
              <w:t></w:t>
            </w:r>
          </w:p>
        </w:tc>
        <w:tc>
          <w:tcPr>
            <w:tcW w:w="1284" w:type="dxa"/>
            <w:vAlign w:val="center"/>
          </w:tcPr>
          <w:p w14:paraId="378617C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7" w:type="dxa"/>
          </w:tcPr>
          <w:p w14:paraId="2E49F41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851" w:type="dxa"/>
            <w:vAlign w:val="center"/>
          </w:tcPr>
          <w:p w14:paraId="66252FC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68567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8EAD6E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097" w:type="dxa"/>
            <w:vAlign w:val="center"/>
          </w:tcPr>
          <w:p w14:paraId="344373E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1AC119F1">
            <w:pPr>
              <w:spacing w:line="360" w:lineRule="auto"/>
              <w:jc w:val="center"/>
              <w:rPr>
                <w:rFonts w:hint="eastAsia" w:ascii="宋体" w:hAnsi="宋体" w:eastAsia="宋体" w:cs="Times New Roman"/>
                <w:kern w:val="0"/>
                <w:sz w:val="20"/>
                <w:szCs w:val="21"/>
              </w:rPr>
            </w:pPr>
          </w:p>
        </w:tc>
        <w:tc>
          <w:tcPr>
            <w:tcW w:w="1410" w:type="dxa"/>
            <w:vAlign w:val="center"/>
          </w:tcPr>
          <w:p w14:paraId="7D0CE38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84" w:type="dxa"/>
            <w:vAlign w:val="center"/>
          </w:tcPr>
          <w:p w14:paraId="7282907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417" w:type="dxa"/>
          </w:tcPr>
          <w:p w14:paraId="15EDAD0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851" w:type="dxa"/>
            <w:vAlign w:val="center"/>
          </w:tcPr>
          <w:p w14:paraId="5A14BAF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553F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76027A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097" w:type="dxa"/>
            <w:vAlign w:val="center"/>
          </w:tcPr>
          <w:p w14:paraId="1EDE916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5B7D04CB">
            <w:pPr>
              <w:spacing w:line="360" w:lineRule="auto"/>
              <w:jc w:val="center"/>
              <w:rPr>
                <w:rFonts w:hint="eastAsia" w:ascii="宋体" w:hAnsi="宋体" w:eastAsia="宋体" w:cs="Times New Roman"/>
                <w:kern w:val="0"/>
                <w:sz w:val="20"/>
                <w:szCs w:val="21"/>
              </w:rPr>
            </w:pPr>
          </w:p>
        </w:tc>
        <w:tc>
          <w:tcPr>
            <w:tcW w:w="1410" w:type="dxa"/>
            <w:vAlign w:val="center"/>
          </w:tcPr>
          <w:p w14:paraId="662DBA8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84" w:type="dxa"/>
            <w:vAlign w:val="center"/>
          </w:tcPr>
          <w:p w14:paraId="035ADF7D">
            <w:pPr>
              <w:spacing w:line="360" w:lineRule="auto"/>
              <w:jc w:val="center"/>
              <w:rPr>
                <w:rFonts w:hint="eastAsia" w:ascii="宋体" w:hAnsi="宋体" w:eastAsia="宋体" w:cs="Times New Roman"/>
                <w:kern w:val="0"/>
                <w:sz w:val="20"/>
                <w:szCs w:val="21"/>
              </w:rPr>
            </w:pPr>
          </w:p>
        </w:tc>
        <w:tc>
          <w:tcPr>
            <w:tcW w:w="1417" w:type="dxa"/>
          </w:tcPr>
          <w:p w14:paraId="503C623A">
            <w:pPr>
              <w:spacing w:line="360" w:lineRule="auto"/>
              <w:jc w:val="center"/>
              <w:rPr>
                <w:rFonts w:hint="eastAsia" w:ascii="宋体" w:hAnsi="宋体" w:eastAsia="宋体" w:cs="Times New Roman"/>
                <w:kern w:val="0"/>
                <w:sz w:val="20"/>
                <w:szCs w:val="21"/>
              </w:rPr>
            </w:pPr>
          </w:p>
        </w:tc>
        <w:tc>
          <w:tcPr>
            <w:tcW w:w="851" w:type="dxa"/>
            <w:vAlign w:val="center"/>
          </w:tcPr>
          <w:p w14:paraId="37911E2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780A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12052A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097" w:type="dxa"/>
            <w:vAlign w:val="center"/>
          </w:tcPr>
          <w:p w14:paraId="000FC9E8">
            <w:pPr>
              <w:spacing w:line="360" w:lineRule="auto"/>
              <w:jc w:val="center"/>
              <w:rPr>
                <w:rFonts w:hint="eastAsia" w:ascii="宋体" w:hAnsi="宋体" w:eastAsia="宋体" w:cs="Times New Roman"/>
                <w:kern w:val="0"/>
                <w:sz w:val="20"/>
                <w:szCs w:val="21"/>
              </w:rPr>
            </w:pPr>
          </w:p>
        </w:tc>
        <w:tc>
          <w:tcPr>
            <w:tcW w:w="1134" w:type="dxa"/>
            <w:vAlign w:val="center"/>
          </w:tcPr>
          <w:p w14:paraId="78C178DC">
            <w:pPr>
              <w:spacing w:line="360" w:lineRule="auto"/>
              <w:jc w:val="center"/>
              <w:rPr>
                <w:rFonts w:hint="eastAsia" w:ascii="宋体" w:hAnsi="宋体" w:eastAsia="宋体" w:cs="Times New Roman"/>
                <w:kern w:val="0"/>
                <w:sz w:val="20"/>
                <w:szCs w:val="21"/>
              </w:rPr>
            </w:pPr>
          </w:p>
        </w:tc>
        <w:tc>
          <w:tcPr>
            <w:tcW w:w="1410" w:type="dxa"/>
            <w:vAlign w:val="center"/>
          </w:tcPr>
          <w:p w14:paraId="314676E0">
            <w:pPr>
              <w:spacing w:line="360" w:lineRule="auto"/>
              <w:jc w:val="center"/>
              <w:rPr>
                <w:rFonts w:hint="eastAsia" w:ascii="宋体" w:hAnsi="宋体" w:eastAsia="宋体" w:cs="Times New Roman"/>
                <w:kern w:val="0"/>
                <w:sz w:val="20"/>
                <w:szCs w:val="21"/>
              </w:rPr>
            </w:pPr>
          </w:p>
        </w:tc>
        <w:tc>
          <w:tcPr>
            <w:tcW w:w="1284" w:type="dxa"/>
            <w:vAlign w:val="center"/>
          </w:tcPr>
          <w:p w14:paraId="774B46AA">
            <w:pPr>
              <w:spacing w:line="360" w:lineRule="auto"/>
              <w:jc w:val="center"/>
              <w:rPr>
                <w:rFonts w:hint="eastAsia" w:ascii="宋体" w:hAnsi="宋体" w:eastAsia="宋体" w:cs="Times New Roman"/>
                <w:kern w:val="0"/>
                <w:sz w:val="20"/>
                <w:szCs w:val="21"/>
              </w:rPr>
            </w:pPr>
          </w:p>
        </w:tc>
        <w:tc>
          <w:tcPr>
            <w:tcW w:w="1417" w:type="dxa"/>
          </w:tcPr>
          <w:p w14:paraId="1DE2D90D">
            <w:pPr>
              <w:spacing w:line="360" w:lineRule="auto"/>
              <w:jc w:val="center"/>
              <w:rPr>
                <w:rFonts w:hint="eastAsia" w:ascii="宋体" w:hAnsi="宋体" w:eastAsia="宋体" w:cs="Times New Roman"/>
                <w:kern w:val="0"/>
                <w:sz w:val="20"/>
                <w:szCs w:val="21"/>
              </w:rPr>
            </w:pPr>
          </w:p>
        </w:tc>
        <w:tc>
          <w:tcPr>
            <w:tcW w:w="851" w:type="dxa"/>
            <w:vAlign w:val="center"/>
          </w:tcPr>
          <w:p w14:paraId="22AD93C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58439B0E">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4A03E2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7"/>
        <w:gridCol w:w="6356"/>
        <w:gridCol w:w="683"/>
      </w:tblGrid>
      <w:tr w14:paraId="3266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027E393D">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6356" w:type="dxa"/>
            <w:vAlign w:val="center"/>
          </w:tcPr>
          <w:p w14:paraId="3F669A6C">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5E3F0317">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0D96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21B27064">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w:t>
            </w:r>
          </w:p>
        </w:tc>
        <w:tc>
          <w:tcPr>
            <w:tcW w:w="6356" w:type="dxa"/>
            <w:vAlign w:val="center"/>
          </w:tcPr>
          <w:p w14:paraId="558E7D1A">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平时作业共3次，一为SCL-90心理健康自测，要求每位同学按照测了要求进行自测，分析自己的心理健康现状，提出策略。二代币制设计。根据行为主义治疗理论设计一个用代币制教育儿童不良行为的方案，主要考核标准为：不良行为表现、目标行为、代币系统设计、实施方案等。三为活动设计，完成一个五年级学生的以合作为主题的心理健康活动设计，评定内容包括活动主题、活动目标、活动过程、注意事项或反思。</w:t>
            </w:r>
          </w:p>
        </w:tc>
        <w:tc>
          <w:tcPr>
            <w:tcW w:w="0" w:type="auto"/>
            <w:vAlign w:val="center"/>
          </w:tcPr>
          <w:p w14:paraId="566220F1">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581F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652689E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课堂表现</w:t>
            </w:r>
          </w:p>
        </w:tc>
        <w:tc>
          <w:tcPr>
            <w:tcW w:w="6356" w:type="dxa"/>
            <w:vAlign w:val="center"/>
          </w:tcPr>
          <w:p w14:paraId="12855928">
            <w:pPr>
              <w:widowControl/>
              <w:spacing w:line="264" w:lineRule="auto"/>
              <w:jc w:val="left"/>
              <w:rPr>
                <w:rFonts w:ascii="Times New Roman" w:hAnsi="Times New Roman" w:eastAsia="宋体" w:cs="Times New Roman"/>
                <w:kern w:val="0"/>
                <w:sz w:val="20"/>
                <w:szCs w:val="21"/>
              </w:rPr>
            </w:pPr>
            <w:r>
              <w:rPr>
                <w:rFonts w:hint="eastAsia" w:ascii="宋体" w:hAnsi="宋体" w:eastAsia="宋体" w:cs="宋体"/>
                <w:kern w:val="0"/>
                <w:sz w:val="20"/>
                <w:szCs w:val="21"/>
                <w:lang w:bidi="ar"/>
              </w:rPr>
              <w:t>一是课题考勤情况</w:t>
            </w:r>
            <w:r>
              <w:rPr>
                <w:rFonts w:ascii="宋体" w:hAnsi="宋体" w:eastAsia="宋体" w:cs="宋体"/>
                <w:kern w:val="0"/>
                <w:sz w:val="20"/>
                <w:szCs w:val="21"/>
                <w:lang w:bidi="ar"/>
              </w:rPr>
              <w:t>。</w:t>
            </w:r>
            <w:r>
              <w:rPr>
                <w:rFonts w:hint="eastAsia" w:ascii="Times New Roman" w:hAnsi="Times New Roman" w:eastAsia="宋体" w:cs="Times New Roman"/>
                <w:kern w:val="0"/>
                <w:sz w:val="20"/>
                <w:szCs w:val="21"/>
              </w:rPr>
              <w:t>迟到一次扣2分，无故缺席一次扣5分，累计达</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次以上（不含</w:t>
            </w:r>
            <w:r>
              <w:rPr>
                <w:rFonts w:ascii="Times New Roman" w:hAnsi="Times New Roman" w:eastAsia="宋体" w:cs="Times New Roman"/>
                <w:kern w:val="0"/>
                <w:sz w:val="20"/>
                <w:szCs w:val="21"/>
              </w:rPr>
              <w:t>3</w:t>
            </w:r>
            <w:r>
              <w:rPr>
                <w:rFonts w:hint="eastAsia" w:ascii="Times New Roman" w:hAnsi="Times New Roman" w:eastAsia="宋体" w:cs="Times New Roman"/>
                <w:kern w:val="0"/>
                <w:sz w:val="20"/>
                <w:szCs w:val="21"/>
              </w:rPr>
              <w:t>次）取消课程成绩。</w:t>
            </w:r>
          </w:p>
          <w:p w14:paraId="20BA1F23">
            <w:pPr>
              <w:widowControl/>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二是</w:t>
            </w:r>
            <w:r>
              <w:rPr>
                <w:rFonts w:ascii="宋体" w:hAnsi="宋体" w:eastAsia="宋体" w:cs="宋体"/>
                <w:kern w:val="0"/>
                <w:sz w:val="20"/>
                <w:szCs w:val="21"/>
                <w:lang w:bidi="ar"/>
              </w:rPr>
              <w:t>课堂参与</w:t>
            </w:r>
            <w:r>
              <w:rPr>
                <w:rFonts w:hint="eastAsia" w:ascii="宋体" w:hAnsi="宋体" w:eastAsia="宋体" w:cs="宋体"/>
                <w:kern w:val="0"/>
                <w:sz w:val="20"/>
                <w:szCs w:val="21"/>
                <w:lang w:bidi="ar"/>
              </w:rPr>
              <w:t>情况。</w:t>
            </w:r>
            <w:r>
              <w:rPr>
                <w:rFonts w:ascii="宋体" w:hAnsi="宋体" w:eastAsia="宋体" w:cs="宋体"/>
                <w:kern w:val="0"/>
                <w:sz w:val="20"/>
                <w:szCs w:val="21"/>
                <w:lang w:bidi="ar"/>
              </w:rPr>
              <w:t>主要指课上教师随机提问、组织课堂讨论等，观察学生参与程度</w:t>
            </w:r>
            <w:r>
              <w:rPr>
                <w:rFonts w:hint="eastAsia" w:ascii="宋体" w:hAnsi="宋体" w:eastAsia="宋体" w:cs="宋体"/>
                <w:kern w:val="0"/>
                <w:sz w:val="20"/>
                <w:szCs w:val="21"/>
                <w:lang w:bidi="ar"/>
              </w:rPr>
              <w:t>，</w:t>
            </w:r>
            <w:r>
              <w:rPr>
                <w:rFonts w:ascii="宋体" w:hAnsi="宋体" w:eastAsia="宋体" w:cs="宋体"/>
                <w:kern w:val="0"/>
                <w:sz w:val="20"/>
                <w:szCs w:val="21"/>
                <w:lang w:bidi="ar"/>
              </w:rPr>
              <w:t>表现良好，按照对应的课程目标及权重给予评定</w:t>
            </w:r>
            <w:r>
              <w:rPr>
                <w:rFonts w:hint="eastAsia" w:ascii="宋体" w:hAnsi="宋体" w:eastAsia="宋体" w:cs="宋体"/>
                <w:kern w:val="0"/>
                <w:sz w:val="20"/>
                <w:szCs w:val="21"/>
                <w:lang w:bidi="ar"/>
              </w:rPr>
              <w:t>。</w:t>
            </w:r>
          </w:p>
        </w:tc>
        <w:tc>
          <w:tcPr>
            <w:tcW w:w="0" w:type="auto"/>
            <w:vAlign w:val="center"/>
          </w:tcPr>
          <w:p w14:paraId="1F493FC2">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0FD3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53EBCFEE">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课内实践</w:t>
            </w:r>
          </w:p>
        </w:tc>
        <w:tc>
          <w:tcPr>
            <w:tcW w:w="6356" w:type="dxa"/>
            <w:vAlign w:val="center"/>
          </w:tcPr>
          <w:p w14:paraId="1894BA26">
            <w:pPr>
              <w:widowControl/>
              <w:spacing w:line="264" w:lineRule="auto"/>
              <w:jc w:val="left"/>
              <w:rPr>
                <w:rFonts w:hint="eastAsia" w:ascii="宋体" w:hAnsi="宋体" w:eastAsia="宋体" w:cs="宋体"/>
                <w:kern w:val="0"/>
                <w:sz w:val="20"/>
                <w:szCs w:val="21"/>
                <w:lang w:bidi="ar"/>
              </w:rPr>
            </w:pPr>
            <w:r>
              <w:rPr>
                <w:rFonts w:hint="eastAsia" w:ascii="宋体" w:hAnsi="宋体" w:eastAsia="宋体" w:cs="宋体"/>
                <w:kern w:val="0"/>
                <w:sz w:val="20"/>
                <w:szCs w:val="21"/>
                <w:lang w:bidi="ar"/>
              </w:rPr>
              <w:t>完成4个课内实践活动，主要是学生对常用心理辅导技术的掌握和学生对合作学习、学习共同体的活动体验的表现，实践成绩平均后得到实践总评成绩，并按20%计入课程总成绩。</w:t>
            </w:r>
          </w:p>
        </w:tc>
        <w:tc>
          <w:tcPr>
            <w:tcW w:w="0" w:type="auto"/>
            <w:vAlign w:val="center"/>
          </w:tcPr>
          <w:p w14:paraId="1CB611BC">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20%</w:t>
            </w:r>
          </w:p>
        </w:tc>
      </w:tr>
      <w:tr w14:paraId="435D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2E13DFD0">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自主学习</w:t>
            </w:r>
          </w:p>
        </w:tc>
        <w:tc>
          <w:tcPr>
            <w:tcW w:w="6356" w:type="dxa"/>
            <w:vAlign w:val="center"/>
          </w:tcPr>
          <w:p w14:paraId="4B7DE795">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课后完成练习题，主要考核学生对每节课知识点的复习、理解和掌握程度，计算全部作业的平均成绩再按20%计入总成绩。</w:t>
            </w:r>
          </w:p>
        </w:tc>
        <w:tc>
          <w:tcPr>
            <w:tcW w:w="0" w:type="auto"/>
            <w:vAlign w:val="center"/>
          </w:tcPr>
          <w:p w14:paraId="382A21BC">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w:t>
            </w:r>
          </w:p>
        </w:tc>
      </w:tr>
      <w:tr w14:paraId="4DF7C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7" w:type="dxa"/>
            <w:vAlign w:val="center"/>
          </w:tcPr>
          <w:p w14:paraId="6287A4CC">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期末考试</w:t>
            </w:r>
          </w:p>
        </w:tc>
        <w:tc>
          <w:tcPr>
            <w:tcW w:w="6356" w:type="dxa"/>
            <w:vAlign w:val="center"/>
          </w:tcPr>
          <w:p w14:paraId="08CA202C">
            <w:pPr>
              <w:spacing w:line="264" w:lineRule="auto"/>
              <w:jc w:val="left"/>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试卷题型简答题、案例分析和论述题，以卷面成绩的50%计入课程总成绩。其中考核小学生心理辅导的知识、理论占20%，小学生心理相关理论案例分析和应用占40%；以及小学生心理辅导的活动设计占40%。</w:t>
            </w:r>
          </w:p>
        </w:tc>
        <w:tc>
          <w:tcPr>
            <w:tcW w:w="0" w:type="auto"/>
            <w:vAlign w:val="center"/>
          </w:tcPr>
          <w:p w14:paraId="4D40E757">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50%</w:t>
            </w:r>
          </w:p>
        </w:tc>
      </w:tr>
      <w:tr w14:paraId="019C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257" w:type="dxa"/>
            <w:vAlign w:val="center"/>
          </w:tcPr>
          <w:p w14:paraId="358CCA89">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合计</w:t>
            </w:r>
          </w:p>
        </w:tc>
        <w:tc>
          <w:tcPr>
            <w:tcW w:w="6356" w:type="dxa"/>
            <w:vAlign w:val="center"/>
          </w:tcPr>
          <w:p w14:paraId="7542C9C0">
            <w:pPr>
              <w:jc w:val="left"/>
              <w:rPr>
                <w:rFonts w:ascii="Times New Roman" w:hAnsi="Times New Roman" w:eastAsia="宋体" w:cs="Times New Roman"/>
                <w:kern w:val="0"/>
                <w:sz w:val="20"/>
                <w:szCs w:val="21"/>
              </w:rPr>
            </w:pPr>
          </w:p>
        </w:tc>
        <w:tc>
          <w:tcPr>
            <w:tcW w:w="0" w:type="auto"/>
            <w:vAlign w:val="center"/>
          </w:tcPr>
          <w:p w14:paraId="1E42BEBE">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100%</w:t>
            </w:r>
          </w:p>
        </w:tc>
      </w:tr>
    </w:tbl>
    <w:p w14:paraId="61529E46">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398EC151">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349B1638">
      <w:pPr>
        <w:spacing w:line="360" w:lineRule="auto"/>
        <w:rPr>
          <w:rFonts w:hint="eastAsia" w:ascii="宋体" w:hAnsi="宋体" w:eastAsia="宋体" w:cs="Times New Roman"/>
          <w:szCs w:val="21"/>
        </w:rPr>
      </w:pPr>
      <w:r>
        <w:rPr>
          <w:rFonts w:ascii="宋体" w:hAnsi="宋体" w:eastAsia="宋体" w:cs="Times New Roman"/>
          <w:szCs w:val="21"/>
        </w:rPr>
        <w:object>
          <v:shape id="_x0000_i1053"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53" DrawAspect="Content" ObjectID="_1468075753" r:id="rId41">
            <o:LockedField>false</o:LockedField>
          </o:OLEObject>
        </w:object>
      </w:r>
    </w:p>
    <w:p w14:paraId="3CB03B5C">
      <w:pPr>
        <w:spacing w:before="62" w:beforeLines="20" w:after="62" w:afterLines="20" w:line="360" w:lineRule="auto"/>
        <w:rPr>
          <w:rFonts w:ascii="Calibri" w:hAnsi="Calibri" w:eastAsia="宋体" w:cs="Times New Roman"/>
          <w:b/>
          <w:bCs/>
          <w:kern w:val="0"/>
          <w:sz w:val="24"/>
        </w:rPr>
      </w:pPr>
      <w:r>
        <w:rPr>
          <w:rFonts w:hint="eastAsia" w:ascii="Calibri" w:hAnsi="Calibri" w:eastAsia="宋体" w:cs="Times New Roman"/>
          <w:b/>
          <w:bCs/>
          <w:kern w:val="0"/>
          <w:sz w:val="24"/>
        </w:rPr>
        <w:t>五、课内实验（实践）</w:t>
      </w:r>
    </w:p>
    <w:tbl>
      <w:tblPr>
        <w:tblStyle w:val="1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517"/>
        <w:gridCol w:w="5951"/>
        <w:gridCol w:w="796"/>
      </w:tblGrid>
      <w:tr w14:paraId="3343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07" w:type="dxa"/>
            <w:tcBorders>
              <w:top w:val="single" w:color="auto" w:sz="4" w:space="0"/>
              <w:left w:val="single" w:color="auto" w:sz="4" w:space="0"/>
              <w:bottom w:val="single" w:color="auto" w:sz="4" w:space="0"/>
              <w:right w:val="single" w:color="auto" w:sz="4" w:space="0"/>
            </w:tcBorders>
            <w:shd w:val="clear" w:color="auto" w:fill="FFFFFF"/>
            <w:vAlign w:val="center"/>
          </w:tcPr>
          <w:p w14:paraId="4FE20A2B">
            <w:pPr>
              <w:jc w:val="center"/>
              <w:rPr>
                <w:rFonts w:ascii="Calibri" w:hAnsi="Calibri" w:eastAsia="宋体" w:cs="Times New Roman"/>
                <w:bCs/>
                <w:spacing w:val="-20"/>
                <w:szCs w:val="21"/>
              </w:rPr>
            </w:pPr>
            <w:r>
              <w:rPr>
                <w:rFonts w:hint="eastAsia" w:ascii="Calibri" w:hAnsi="Calibri" w:eastAsia="宋体" w:cs="Times New Roman"/>
                <w:bCs/>
                <w:spacing w:val="-20"/>
                <w:szCs w:val="21"/>
              </w:rPr>
              <w:t>序号</w:t>
            </w:r>
          </w:p>
        </w:tc>
        <w:tc>
          <w:tcPr>
            <w:tcW w:w="1517" w:type="dxa"/>
            <w:tcBorders>
              <w:top w:val="single" w:color="auto" w:sz="4" w:space="0"/>
              <w:left w:val="single" w:color="auto" w:sz="4" w:space="0"/>
              <w:bottom w:val="single" w:color="auto" w:sz="4" w:space="0"/>
              <w:right w:val="single" w:color="auto" w:sz="4" w:space="0"/>
            </w:tcBorders>
            <w:shd w:val="clear" w:color="auto" w:fill="FFFFFF"/>
            <w:vAlign w:val="center"/>
          </w:tcPr>
          <w:p w14:paraId="2DACF3FB">
            <w:pPr>
              <w:jc w:val="center"/>
              <w:rPr>
                <w:rFonts w:ascii="Calibri" w:hAnsi="Calibri" w:eastAsia="宋体" w:cs="Times New Roman"/>
                <w:bCs/>
                <w:szCs w:val="21"/>
              </w:rPr>
            </w:pPr>
            <w:r>
              <w:rPr>
                <w:rFonts w:hint="eastAsia" w:ascii="Calibri" w:hAnsi="Calibri" w:eastAsia="宋体" w:cs="Times New Roman"/>
                <w:bCs/>
                <w:szCs w:val="21"/>
              </w:rPr>
              <w:t>项目名称</w:t>
            </w:r>
          </w:p>
        </w:tc>
        <w:tc>
          <w:tcPr>
            <w:tcW w:w="5951" w:type="dxa"/>
            <w:tcBorders>
              <w:top w:val="single" w:color="auto" w:sz="4" w:space="0"/>
              <w:left w:val="single" w:color="auto" w:sz="4" w:space="0"/>
              <w:bottom w:val="single" w:color="auto" w:sz="4" w:space="0"/>
              <w:right w:val="single" w:color="auto" w:sz="4" w:space="0"/>
            </w:tcBorders>
            <w:shd w:val="clear" w:color="auto" w:fill="FFFFFF"/>
            <w:vAlign w:val="center"/>
          </w:tcPr>
          <w:p w14:paraId="5F18AE49">
            <w:pPr>
              <w:jc w:val="center"/>
              <w:rPr>
                <w:rFonts w:ascii="Calibri" w:hAnsi="Calibri" w:eastAsia="宋体" w:cs="Times New Roman"/>
                <w:bCs/>
                <w:szCs w:val="21"/>
              </w:rPr>
            </w:pPr>
            <w:r>
              <w:rPr>
                <w:rFonts w:hint="eastAsia" w:ascii="Calibri" w:hAnsi="Calibri" w:eastAsia="宋体" w:cs="Times New Roman"/>
                <w:bCs/>
                <w:szCs w:val="21"/>
              </w:rPr>
              <w:t>实践内容及要求</w:t>
            </w:r>
          </w:p>
        </w:tc>
        <w:tc>
          <w:tcPr>
            <w:tcW w:w="796" w:type="dxa"/>
            <w:tcBorders>
              <w:top w:val="single" w:color="auto" w:sz="4" w:space="0"/>
              <w:left w:val="single" w:color="auto" w:sz="4" w:space="0"/>
              <w:bottom w:val="single" w:color="auto" w:sz="4" w:space="0"/>
              <w:right w:val="single" w:color="auto" w:sz="4" w:space="0"/>
            </w:tcBorders>
            <w:shd w:val="clear" w:color="auto" w:fill="FFFFFF"/>
            <w:vAlign w:val="center"/>
          </w:tcPr>
          <w:p w14:paraId="50E31902">
            <w:pPr>
              <w:jc w:val="center"/>
              <w:rPr>
                <w:rFonts w:ascii="Calibri" w:hAnsi="Calibri" w:eastAsia="宋体" w:cs="Times New Roman"/>
                <w:bCs/>
                <w:szCs w:val="21"/>
              </w:rPr>
            </w:pPr>
            <w:r>
              <w:rPr>
                <w:rFonts w:hint="eastAsia" w:ascii="Calibri" w:hAnsi="Calibri" w:eastAsia="宋体" w:cs="Times New Roman"/>
                <w:bCs/>
                <w:szCs w:val="21"/>
              </w:rPr>
              <w:t>学时</w:t>
            </w:r>
          </w:p>
        </w:tc>
      </w:tr>
      <w:tr w14:paraId="6AD0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3875D723">
            <w:pPr>
              <w:jc w:val="center"/>
              <w:rPr>
                <w:rFonts w:hint="eastAsia" w:ascii="新宋体" w:hAnsi="新宋体" w:eastAsia="新宋体" w:cs="Times New Roman"/>
                <w:szCs w:val="21"/>
              </w:rPr>
            </w:pPr>
            <w:r>
              <w:rPr>
                <w:rFonts w:hint="eastAsia" w:ascii="新宋体" w:hAnsi="新宋体" w:eastAsia="新宋体" w:cs="Times New Roman"/>
                <w:szCs w:val="21"/>
              </w:rPr>
              <w:t>1</w:t>
            </w:r>
          </w:p>
        </w:tc>
        <w:tc>
          <w:tcPr>
            <w:tcW w:w="1517" w:type="dxa"/>
            <w:tcBorders>
              <w:top w:val="single" w:color="auto" w:sz="4" w:space="0"/>
              <w:left w:val="single" w:color="auto" w:sz="4" w:space="0"/>
              <w:bottom w:val="single" w:color="auto" w:sz="4" w:space="0"/>
              <w:right w:val="single" w:color="auto" w:sz="4" w:space="0"/>
            </w:tcBorders>
            <w:vAlign w:val="center"/>
          </w:tcPr>
          <w:p w14:paraId="1BCB301C">
            <w:pPr>
              <w:adjustRightInd w:val="0"/>
              <w:jc w:val="center"/>
              <w:rPr>
                <w:rFonts w:hint="eastAsia" w:ascii="新宋体" w:hAnsi="新宋体" w:eastAsia="新宋体" w:cs="Times New Roman"/>
                <w:bCs/>
                <w:szCs w:val="21"/>
              </w:rPr>
            </w:pPr>
            <w:r>
              <w:rPr>
                <w:rFonts w:hint="eastAsia" w:ascii="新宋体" w:hAnsi="新宋体" w:eastAsia="新宋体" w:cs="Times New Roman"/>
                <w:szCs w:val="21"/>
              </w:rPr>
              <w:t>晤谈技术训练</w:t>
            </w:r>
          </w:p>
        </w:tc>
        <w:tc>
          <w:tcPr>
            <w:tcW w:w="5951" w:type="dxa"/>
            <w:tcBorders>
              <w:top w:val="single" w:color="auto" w:sz="4" w:space="0"/>
              <w:left w:val="single" w:color="auto" w:sz="4" w:space="0"/>
              <w:bottom w:val="single" w:color="auto" w:sz="4" w:space="0"/>
              <w:right w:val="single" w:color="auto" w:sz="4" w:space="0"/>
            </w:tcBorders>
            <w:vAlign w:val="center"/>
          </w:tcPr>
          <w:p w14:paraId="5D016635">
            <w:pPr>
              <w:rPr>
                <w:rFonts w:hint="eastAsia" w:ascii="新宋体" w:hAnsi="新宋体" w:eastAsia="新宋体" w:cs="Times New Roman"/>
                <w:szCs w:val="21"/>
              </w:rPr>
            </w:pPr>
            <w:r>
              <w:rPr>
                <w:rFonts w:hint="eastAsia" w:ascii="新宋体" w:hAnsi="新宋体" w:eastAsia="新宋体" w:cs="Times New Roman"/>
                <w:szCs w:val="21"/>
              </w:rPr>
              <w:t>实践内容：根据要求设计小学生心理辅导的晤谈过程并进行模拟晤谈</w:t>
            </w:r>
          </w:p>
          <w:p w14:paraId="19BAD666">
            <w:pPr>
              <w:rPr>
                <w:rFonts w:hint="eastAsia" w:ascii="新宋体" w:hAnsi="新宋体" w:eastAsia="新宋体" w:cs="Times New Roman"/>
                <w:szCs w:val="21"/>
              </w:rPr>
            </w:pPr>
            <w:r>
              <w:rPr>
                <w:rFonts w:hint="eastAsia" w:ascii="新宋体" w:hAnsi="新宋体" w:eastAsia="新宋体" w:cs="Times New Roman"/>
                <w:szCs w:val="21"/>
              </w:rPr>
              <w:t>实践要求：（1）设计合理的晤谈提纲；（2）与同学合作开展模拟晤谈并录像；（3）反复练习晤谈的各个步骤，直到熟练</w:t>
            </w:r>
          </w:p>
        </w:tc>
        <w:tc>
          <w:tcPr>
            <w:tcW w:w="796" w:type="dxa"/>
            <w:tcBorders>
              <w:top w:val="single" w:color="auto" w:sz="4" w:space="0"/>
              <w:left w:val="single" w:color="auto" w:sz="4" w:space="0"/>
              <w:bottom w:val="single" w:color="auto" w:sz="4" w:space="0"/>
              <w:right w:val="single" w:color="auto" w:sz="4" w:space="0"/>
            </w:tcBorders>
            <w:vAlign w:val="center"/>
          </w:tcPr>
          <w:p w14:paraId="2FBFC40C">
            <w:pPr>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3801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687AF1C4">
            <w:pPr>
              <w:jc w:val="center"/>
              <w:rPr>
                <w:rFonts w:hint="eastAsia" w:ascii="新宋体" w:hAnsi="新宋体" w:eastAsia="新宋体" w:cs="Times New Roman"/>
                <w:szCs w:val="21"/>
              </w:rPr>
            </w:pPr>
            <w:r>
              <w:rPr>
                <w:rFonts w:hint="eastAsia" w:ascii="新宋体" w:hAnsi="新宋体" w:eastAsia="新宋体" w:cs="Times New Roman"/>
                <w:szCs w:val="21"/>
              </w:rPr>
              <w:t>2</w:t>
            </w:r>
          </w:p>
        </w:tc>
        <w:tc>
          <w:tcPr>
            <w:tcW w:w="1517" w:type="dxa"/>
            <w:tcBorders>
              <w:top w:val="single" w:color="auto" w:sz="4" w:space="0"/>
              <w:left w:val="single" w:color="auto" w:sz="4" w:space="0"/>
              <w:bottom w:val="single" w:color="auto" w:sz="4" w:space="0"/>
              <w:right w:val="single" w:color="auto" w:sz="4" w:space="0"/>
            </w:tcBorders>
            <w:vAlign w:val="center"/>
          </w:tcPr>
          <w:p w14:paraId="4F99EA02">
            <w:pPr>
              <w:adjustRightInd w:val="0"/>
              <w:jc w:val="center"/>
              <w:rPr>
                <w:rFonts w:hint="eastAsia" w:ascii="宋体" w:hAnsi="宋体" w:eastAsia="宋体" w:cs="Times New Roman"/>
                <w:bCs/>
                <w:szCs w:val="21"/>
              </w:rPr>
            </w:pPr>
            <w:r>
              <w:rPr>
                <w:rFonts w:hint="eastAsia" w:ascii="宋体" w:hAnsi="宋体" w:eastAsia="宋体" w:cs="Times New Roman"/>
                <w:szCs w:val="21"/>
              </w:rPr>
              <w:t>游戏辅导设计</w:t>
            </w:r>
          </w:p>
        </w:tc>
        <w:tc>
          <w:tcPr>
            <w:tcW w:w="5951" w:type="dxa"/>
            <w:tcBorders>
              <w:top w:val="single" w:color="auto" w:sz="4" w:space="0"/>
              <w:left w:val="single" w:color="auto" w:sz="4" w:space="0"/>
              <w:bottom w:val="single" w:color="auto" w:sz="4" w:space="0"/>
              <w:right w:val="single" w:color="auto" w:sz="4" w:space="0"/>
            </w:tcBorders>
            <w:vAlign w:val="center"/>
          </w:tcPr>
          <w:p w14:paraId="5EB32797">
            <w:pPr>
              <w:rPr>
                <w:rFonts w:hint="eastAsia" w:ascii="宋体" w:hAnsi="宋体" w:eastAsia="宋体" w:cs="Times New Roman"/>
                <w:szCs w:val="21"/>
              </w:rPr>
            </w:pPr>
            <w:r>
              <w:rPr>
                <w:rFonts w:hint="eastAsia" w:ascii="宋体" w:hAnsi="宋体" w:eastAsia="宋体" w:cs="Times New Roman"/>
                <w:szCs w:val="21"/>
              </w:rPr>
              <w:t>实践内容：设计一个符合小学生心理发展特点并能促进小学生心理发展的游戏，并能在小组内实施</w:t>
            </w:r>
          </w:p>
          <w:p w14:paraId="1A02B608">
            <w:pPr>
              <w:rPr>
                <w:rFonts w:hint="eastAsia" w:ascii="宋体" w:hAnsi="宋体" w:eastAsia="宋体" w:cs="Times New Roman"/>
                <w:szCs w:val="21"/>
              </w:rPr>
            </w:pPr>
            <w:r>
              <w:rPr>
                <w:rFonts w:hint="eastAsia" w:ascii="宋体" w:hAnsi="宋体" w:eastAsia="宋体" w:cs="Times New Roman"/>
                <w:szCs w:val="21"/>
              </w:rPr>
              <w:t>实践要求：（1）游戏设计符合小学生心理特点，能针对性地对小学发展的某个方面进行辅导；（2）游戏安排时间合理，程序清楚，目标明确；（3）游戏实施过程清晰，组织安排恰当</w:t>
            </w:r>
          </w:p>
        </w:tc>
        <w:tc>
          <w:tcPr>
            <w:tcW w:w="796" w:type="dxa"/>
            <w:tcBorders>
              <w:top w:val="single" w:color="auto" w:sz="4" w:space="0"/>
              <w:left w:val="single" w:color="auto" w:sz="4" w:space="0"/>
              <w:bottom w:val="single" w:color="auto" w:sz="4" w:space="0"/>
              <w:right w:val="single" w:color="auto" w:sz="4" w:space="0"/>
            </w:tcBorders>
            <w:vAlign w:val="center"/>
          </w:tcPr>
          <w:p w14:paraId="750E1324">
            <w:pPr>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35E7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225FD45B">
            <w:pPr>
              <w:jc w:val="center"/>
              <w:rPr>
                <w:rFonts w:hint="eastAsia" w:ascii="宋体" w:hAnsi="宋体" w:eastAsia="宋体" w:cs="Times New Roman"/>
                <w:szCs w:val="21"/>
              </w:rPr>
            </w:pPr>
            <w:r>
              <w:rPr>
                <w:rFonts w:hint="eastAsia" w:ascii="宋体" w:hAnsi="宋体" w:eastAsia="宋体" w:cs="Times New Roman"/>
                <w:szCs w:val="21"/>
              </w:rPr>
              <w:t>3</w:t>
            </w:r>
          </w:p>
        </w:tc>
        <w:tc>
          <w:tcPr>
            <w:tcW w:w="1517" w:type="dxa"/>
            <w:tcBorders>
              <w:top w:val="single" w:color="auto" w:sz="4" w:space="0"/>
              <w:left w:val="single" w:color="auto" w:sz="4" w:space="0"/>
              <w:bottom w:val="single" w:color="auto" w:sz="4" w:space="0"/>
              <w:right w:val="single" w:color="auto" w:sz="4" w:space="0"/>
            </w:tcBorders>
            <w:vAlign w:val="center"/>
          </w:tcPr>
          <w:p w14:paraId="51627954">
            <w:pPr>
              <w:adjustRightInd w:val="0"/>
              <w:jc w:val="center"/>
              <w:rPr>
                <w:rFonts w:hint="eastAsia" w:ascii="宋体" w:hAnsi="宋体" w:eastAsia="宋体" w:cs="Times New Roman"/>
                <w:bCs/>
                <w:szCs w:val="21"/>
              </w:rPr>
            </w:pPr>
            <w:r>
              <w:rPr>
                <w:rFonts w:hint="eastAsia" w:ascii="宋体" w:hAnsi="宋体" w:eastAsia="宋体" w:cs="Times New Roman"/>
                <w:szCs w:val="21"/>
              </w:rPr>
              <w:t>心理剧展演</w:t>
            </w:r>
          </w:p>
        </w:tc>
        <w:tc>
          <w:tcPr>
            <w:tcW w:w="5951" w:type="dxa"/>
            <w:tcBorders>
              <w:top w:val="single" w:color="auto" w:sz="4" w:space="0"/>
              <w:left w:val="single" w:color="auto" w:sz="4" w:space="0"/>
              <w:bottom w:val="single" w:color="auto" w:sz="4" w:space="0"/>
              <w:right w:val="single" w:color="auto" w:sz="4" w:space="0"/>
            </w:tcBorders>
            <w:vAlign w:val="center"/>
          </w:tcPr>
          <w:p w14:paraId="49D5764A">
            <w:pPr>
              <w:rPr>
                <w:rFonts w:hint="eastAsia" w:ascii="宋体" w:hAnsi="宋体" w:eastAsia="宋体" w:cs="Times New Roman"/>
                <w:szCs w:val="21"/>
              </w:rPr>
            </w:pPr>
            <w:r>
              <w:rPr>
                <w:rFonts w:hint="eastAsia" w:ascii="宋体" w:hAnsi="宋体" w:eastAsia="宋体" w:cs="Times New Roman"/>
                <w:szCs w:val="21"/>
              </w:rPr>
              <w:t>实践内容：小组合作创编一个心理剧并在演出</w:t>
            </w:r>
          </w:p>
          <w:p w14:paraId="1D27C881">
            <w:pPr>
              <w:rPr>
                <w:rFonts w:hint="eastAsia" w:ascii="宋体" w:hAnsi="宋体" w:eastAsia="宋体" w:cs="Times New Roman"/>
                <w:szCs w:val="21"/>
              </w:rPr>
            </w:pPr>
            <w:r>
              <w:rPr>
                <w:rFonts w:hint="eastAsia" w:ascii="宋体" w:hAnsi="宋体" w:eastAsia="宋体" w:cs="Times New Roman"/>
                <w:szCs w:val="21"/>
              </w:rPr>
              <w:t>实践要求：（1）心理剧创编由小组合作完成，内容符合小学生特点，形式符合心理剧要求；（2）各成员分工合理，能协同完成活动</w:t>
            </w:r>
          </w:p>
        </w:tc>
        <w:tc>
          <w:tcPr>
            <w:tcW w:w="796" w:type="dxa"/>
            <w:tcBorders>
              <w:top w:val="single" w:color="auto" w:sz="4" w:space="0"/>
              <w:left w:val="single" w:color="auto" w:sz="4" w:space="0"/>
              <w:bottom w:val="single" w:color="auto" w:sz="4" w:space="0"/>
              <w:right w:val="single" w:color="auto" w:sz="4" w:space="0"/>
            </w:tcBorders>
            <w:vAlign w:val="center"/>
          </w:tcPr>
          <w:p w14:paraId="1A43CB9E">
            <w:pPr>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39B2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7E31CC61">
            <w:pPr>
              <w:jc w:val="center"/>
              <w:rPr>
                <w:rFonts w:hint="eastAsia" w:ascii="宋体" w:hAnsi="宋体" w:eastAsia="宋体" w:cs="Times New Roman"/>
                <w:szCs w:val="21"/>
              </w:rPr>
            </w:pPr>
            <w:r>
              <w:rPr>
                <w:rFonts w:hint="eastAsia" w:ascii="宋体" w:hAnsi="宋体" w:eastAsia="宋体" w:cs="Times New Roman"/>
                <w:szCs w:val="21"/>
              </w:rPr>
              <w:t>4</w:t>
            </w:r>
          </w:p>
        </w:tc>
        <w:tc>
          <w:tcPr>
            <w:tcW w:w="1517" w:type="dxa"/>
            <w:tcBorders>
              <w:top w:val="single" w:color="auto" w:sz="4" w:space="0"/>
              <w:left w:val="single" w:color="auto" w:sz="4" w:space="0"/>
              <w:bottom w:val="single" w:color="auto" w:sz="4" w:space="0"/>
              <w:right w:val="single" w:color="auto" w:sz="4" w:space="0"/>
            </w:tcBorders>
            <w:vAlign w:val="center"/>
          </w:tcPr>
          <w:p w14:paraId="577AAF1B">
            <w:pPr>
              <w:adjustRightInd w:val="0"/>
              <w:jc w:val="center"/>
              <w:rPr>
                <w:rFonts w:hint="eastAsia" w:ascii="宋体" w:hAnsi="宋体" w:eastAsia="宋体" w:cs="Times New Roman"/>
                <w:bCs/>
                <w:szCs w:val="21"/>
              </w:rPr>
            </w:pPr>
            <w:r>
              <w:rPr>
                <w:rFonts w:hint="eastAsia" w:ascii="宋体" w:hAnsi="宋体" w:eastAsia="宋体" w:cs="Times New Roman"/>
                <w:bCs/>
                <w:szCs w:val="21"/>
              </w:rPr>
              <w:t>模拟教学</w:t>
            </w:r>
          </w:p>
        </w:tc>
        <w:tc>
          <w:tcPr>
            <w:tcW w:w="5951" w:type="dxa"/>
            <w:tcBorders>
              <w:top w:val="single" w:color="auto" w:sz="4" w:space="0"/>
              <w:left w:val="single" w:color="auto" w:sz="4" w:space="0"/>
              <w:bottom w:val="single" w:color="auto" w:sz="4" w:space="0"/>
              <w:right w:val="single" w:color="auto" w:sz="4" w:space="0"/>
            </w:tcBorders>
            <w:vAlign w:val="center"/>
          </w:tcPr>
          <w:p w14:paraId="189C810B">
            <w:pPr>
              <w:rPr>
                <w:rFonts w:hint="eastAsia" w:ascii="宋体" w:hAnsi="宋体" w:eastAsia="宋体" w:cs="Times New Roman"/>
                <w:szCs w:val="21"/>
              </w:rPr>
            </w:pPr>
            <w:r>
              <w:rPr>
                <w:rFonts w:hint="eastAsia" w:ascii="宋体" w:hAnsi="宋体" w:eastAsia="宋体" w:cs="Times New Roman"/>
                <w:szCs w:val="21"/>
              </w:rPr>
              <w:t>实践内容：在微格教室完成心理一节心理辅导课的模拟教学</w:t>
            </w:r>
          </w:p>
          <w:p w14:paraId="470F3B7E">
            <w:pPr>
              <w:rPr>
                <w:rFonts w:hint="eastAsia" w:ascii="宋体" w:hAnsi="宋体" w:eastAsia="宋体" w:cs="Times New Roman"/>
                <w:szCs w:val="21"/>
              </w:rPr>
            </w:pPr>
            <w:r>
              <w:rPr>
                <w:rFonts w:hint="eastAsia" w:ascii="宋体" w:hAnsi="宋体" w:eastAsia="宋体" w:cs="Times New Roman"/>
                <w:szCs w:val="21"/>
              </w:rPr>
              <w:t>实践要求：（1）模拟教学目标清楚、内容符合小学心理辅导课的要求；（2）能对模拟教学进行自评和互评</w:t>
            </w:r>
          </w:p>
        </w:tc>
        <w:tc>
          <w:tcPr>
            <w:tcW w:w="796" w:type="dxa"/>
            <w:tcBorders>
              <w:top w:val="single" w:color="auto" w:sz="4" w:space="0"/>
              <w:left w:val="single" w:color="auto" w:sz="4" w:space="0"/>
              <w:bottom w:val="single" w:color="auto" w:sz="4" w:space="0"/>
              <w:right w:val="single" w:color="auto" w:sz="4" w:space="0"/>
            </w:tcBorders>
            <w:vAlign w:val="center"/>
          </w:tcPr>
          <w:p w14:paraId="2E6A28F7">
            <w:pPr>
              <w:jc w:val="center"/>
              <w:rPr>
                <w:rFonts w:ascii="Times New Roman" w:hAnsi="Times New Roman" w:eastAsia="宋体" w:cs="Times New Roman"/>
                <w:bCs/>
                <w:szCs w:val="21"/>
              </w:rPr>
            </w:pPr>
            <w:r>
              <w:rPr>
                <w:rFonts w:ascii="Times New Roman" w:hAnsi="Times New Roman" w:eastAsia="宋体" w:cs="Times New Roman"/>
                <w:bCs/>
                <w:szCs w:val="21"/>
              </w:rPr>
              <w:t>2</w:t>
            </w:r>
          </w:p>
        </w:tc>
      </w:tr>
      <w:tr w14:paraId="67DC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24" w:type="dxa"/>
            <w:gridSpan w:val="2"/>
            <w:tcBorders>
              <w:top w:val="single" w:color="auto" w:sz="4" w:space="0"/>
              <w:left w:val="single" w:color="auto" w:sz="4" w:space="0"/>
              <w:bottom w:val="single" w:color="auto" w:sz="4" w:space="0"/>
              <w:right w:val="single" w:color="auto" w:sz="4" w:space="0"/>
            </w:tcBorders>
            <w:vAlign w:val="center"/>
          </w:tcPr>
          <w:p w14:paraId="0ABBD18D">
            <w:pPr>
              <w:adjustRightInd w:val="0"/>
              <w:jc w:val="center"/>
              <w:rPr>
                <w:rFonts w:hint="eastAsia" w:ascii="新宋体" w:hAnsi="新宋体" w:eastAsia="新宋体" w:cs="Times New Roman"/>
                <w:bCs/>
                <w:szCs w:val="21"/>
              </w:rPr>
            </w:pPr>
            <w:r>
              <w:rPr>
                <w:rFonts w:hint="eastAsia" w:ascii="新宋体" w:hAnsi="新宋体" w:eastAsia="新宋体" w:cs="Times New Roman"/>
                <w:bCs/>
                <w:szCs w:val="21"/>
              </w:rPr>
              <w:t>合计</w:t>
            </w:r>
          </w:p>
        </w:tc>
        <w:tc>
          <w:tcPr>
            <w:tcW w:w="5951" w:type="dxa"/>
            <w:tcBorders>
              <w:top w:val="single" w:color="auto" w:sz="4" w:space="0"/>
              <w:left w:val="single" w:color="auto" w:sz="4" w:space="0"/>
              <w:bottom w:val="single" w:color="auto" w:sz="4" w:space="0"/>
              <w:right w:val="single" w:color="auto" w:sz="4" w:space="0"/>
            </w:tcBorders>
            <w:vAlign w:val="center"/>
          </w:tcPr>
          <w:p w14:paraId="6262D434">
            <w:pPr>
              <w:rPr>
                <w:rFonts w:hint="eastAsia" w:ascii="新宋体" w:hAnsi="新宋体" w:eastAsia="新宋体" w:cs="Times New Roman"/>
                <w:szCs w:val="21"/>
              </w:rPr>
            </w:pPr>
          </w:p>
        </w:tc>
        <w:tc>
          <w:tcPr>
            <w:tcW w:w="796" w:type="dxa"/>
            <w:tcBorders>
              <w:top w:val="single" w:color="auto" w:sz="4" w:space="0"/>
              <w:left w:val="single" w:color="auto" w:sz="4" w:space="0"/>
              <w:bottom w:val="single" w:color="auto" w:sz="4" w:space="0"/>
              <w:right w:val="single" w:color="auto" w:sz="4" w:space="0"/>
            </w:tcBorders>
            <w:vAlign w:val="center"/>
          </w:tcPr>
          <w:p w14:paraId="0473C1C2">
            <w:pPr>
              <w:jc w:val="center"/>
              <w:rPr>
                <w:rFonts w:ascii="Times New Roman" w:hAnsi="Times New Roman" w:eastAsia="宋体" w:cs="Times New Roman"/>
                <w:bCs/>
                <w:szCs w:val="21"/>
              </w:rPr>
            </w:pPr>
            <w:r>
              <w:rPr>
                <w:rFonts w:ascii="Times New Roman" w:hAnsi="Times New Roman" w:eastAsia="宋体" w:cs="Times New Roman"/>
                <w:bCs/>
                <w:szCs w:val="21"/>
              </w:rPr>
              <w:t>8</w:t>
            </w:r>
          </w:p>
        </w:tc>
      </w:tr>
    </w:tbl>
    <w:p w14:paraId="22993E2F">
      <w:pPr>
        <w:spacing w:before="62" w:beforeLines="20" w:after="62" w:afterLines="20" w:line="360" w:lineRule="auto"/>
        <w:rPr>
          <w:rFonts w:ascii="Calibri" w:hAnsi="Calibri" w:eastAsia="宋体" w:cs="Times New Roman"/>
          <w:b/>
          <w:bCs/>
          <w:kern w:val="0"/>
          <w:sz w:val="24"/>
        </w:rPr>
      </w:pPr>
      <w:r>
        <w:rPr>
          <w:rFonts w:hint="eastAsia" w:ascii="Calibri" w:hAnsi="Calibri" w:eastAsia="宋体" w:cs="Times New Roman"/>
          <w:b/>
          <w:bCs/>
          <w:kern w:val="0"/>
          <w:sz w:val="24"/>
        </w:rPr>
        <w:t>六、有关说明</w:t>
      </w:r>
    </w:p>
    <w:p w14:paraId="6BF342F9">
      <w:pPr>
        <w:spacing w:line="360" w:lineRule="auto"/>
        <w:ind w:firstLine="422" w:firstLineChars="200"/>
        <w:rPr>
          <w:rFonts w:ascii="Calibri" w:hAnsi="Calibri" w:eastAsia="宋体" w:cs="Times New Roman"/>
          <w:b/>
          <w:szCs w:val="21"/>
        </w:rPr>
      </w:pPr>
      <w:r>
        <w:rPr>
          <w:rFonts w:hint="eastAsia" w:ascii="Calibri" w:hAnsi="Calibri" w:eastAsia="宋体" w:cs="Times New Roman"/>
          <w:b/>
          <w:szCs w:val="21"/>
        </w:rPr>
        <w:t>（一）持续改进</w:t>
      </w:r>
    </w:p>
    <w:p w14:paraId="6E5D499C">
      <w:pPr>
        <w:spacing w:line="360" w:lineRule="auto"/>
        <w:ind w:firstLine="420" w:firstLineChars="200"/>
        <w:rPr>
          <w:rFonts w:ascii="Calibri" w:hAnsi="Calibri" w:eastAsia="宋体" w:cs="Times New Roman"/>
          <w:szCs w:val="21"/>
        </w:rPr>
      </w:pPr>
      <w:r>
        <w:rPr>
          <w:rFonts w:hint="eastAsia" w:ascii="Calibri" w:hAnsi="Calibri" w:eastAsia="宋体" w:cs="Times New Roman"/>
          <w:szCs w:val="21"/>
        </w:rPr>
        <w:t>本课程根据学生作业、课堂讨论、实验环节、平时考核情况和学生、教学督导等的反馈，及时对教学中的不足之处进行改进，并在下一轮课程教学中整改完善，确保相应毕业要求指标点达成。</w:t>
      </w:r>
    </w:p>
    <w:p w14:paraId="0BDDC8F5">
      <w:pPr>
        <w:spacing w:line="360" w:lineRule="auto"/>
        <w:ind w:firstLine="422" w:firstLineChars="200"/>
        <w:rPr>
          <w:rFonts w:ascii="Calibri" w:hAnsi="Calibri" w:eastAsia="宋体" w:cs="Times New Roman"/>
          <w:b/>
          <w:szCs w:val="21"/>
        </w:rPr>
      </w:pPr>
      <w:r>
        <w:rPr>
          <w:rFonts w:hint="eastAsia" w:ascii="Calibri" w:hAnsi="Calibri" w:eastAsia="宋体" w:cs="Times New Roman"/>
          <w:b/>
          <w:szCs w:val="21"/>
        </w:rPr>
        <w:t>（二）建议教材</w:t>
      </w:r>
    </w:p>
    <w:p w14:paraId="5673060A">
      <w:pPr>
        <w:spacing w:line="360" w:lineRule="auto"/>
        <w:ind w:firstLine="480" w:firstLineChars="200"/>
        <w:rPr>
          <w:rFonts w:ascii="Calibri" w:hAnsi="Calibri" w:eastAsia="宋体" w:cs="Times New Roman"/>
          <w:szCs w:val="21"/>
        </w:rPr>
      </w:pPr>
      <w:r>
        <w:rPr>
          <w:rFonts w:ascii="Times New Roman" w:hAnsi="Times New Roman" w:eastAsia="宋体" w:cs="Times New Roman"/>
          <w:kern w:val="0"/>
          <w:sz w:val="24"/>
          <w:szCs w:val="21"/>
        </w:rPr>
        <w:t>1. 惠中，邹萍. 小学心理辅导与健康，中国人民大学出版社，2021.</w:t>
      </w:r>
    </w:p>
    <w:p w14:paraId="15BB9FD4">
      <w:pPr>
        <w:spacing w:line="360" w:lineRule="auto"/>
        <w:ind w:firstLine="422" w:firstLineChars="200"/>
        <w:rPr>
          <w:rFonts w:ascii="Calibri" w:hAnsi="Calibri" w:eastAsia="宋体" w:cs="Times New Roman"/>
          <w:b/>
          <w:szCs w:val="21"/>
        </w:rPr>
      </w:pPr>
      <w:r>
        <w:rPr>
          <w:rFonts w:hint="eastAsia" w:ascii="Calibri" w:hAnsi="Calibri" w:eastAsia="宋体" w:cs="Times New Roman"/>
          <w:b/>
          <w:szCs w:val="21"/>
        </w:rPr>
        <w:t>（三）参考书目及学习资料</w:t>
      </w:r>
    </w:p>
    <w:p w14:paraId="59EF3499">
      <w:pPr>
        <w:autoSpaceDE w:val="0"/>
        <w:autoSpaceDN w:val="0"/>
        <w:adjustRightIn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1.彭小虎，小学生心理辅导，华东师范大学出版社，2012</w:t>
      </w:r>
    </w:p>
    <w:p w14:paraId="48C1AE58">
      <w:pPr>
        <w:autoSpaceDE w:val="0"/>
        <w:autoSpaceDN w:val="0"/>
        <w:adjustRightIn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2.吴增强 主编，发展性心理辅导：理论与实务，上海科技教育出版社，2018</w:t>
      </w:r>
    </w:p>
    <w:p w14:paraId="494A3ADD">
      <w:pPr>
        <w:autoSpaceDE w:val="0"/>
        <w:autoSpaceDN w:val="0"/>
        <w:adjustRightIn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3.刘慧贤，郝红英.小学生心理健康与辅导，教育科学出版社，2013</w:t>
      </w:r>
    </w:p>
    <w:p w14:paraId="3FC10268">
      <w:pPr>
        <w:autoSpaceDE w:val="0"/>
        <w:autoSpaceDN w:val="0"/>
        <w:adjustRightIn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4.陶勑恒,郑洪利．小学生心理辅导（第二版）．高等教育出版社，2018．</w:t>
      </w:r>
    </w:p>
    <w:p w14:paraId="6A862C9D">
      <w:pPr>
        <w:autoSpaceDE w:val="0"/>
        <w:autoSpaceDN w:val="0"/>
        <w:adjustRightIn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5.殷炳江．小学生心理健康教育．人民教育出版社，2003．</w:t>
      </w:r>
    </w:p>
    <w:p w14:paraId="386A8543">
      <w:pPr>
        <w:autoSpaceDE w:val="0"/>
        <w:autoSpaceDN w:val="0"/>
        <w:adjustRightIn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6.</w:t>
      </w:r>
      <w:r>
        <w:rPr>
          <w:rFonts w:ascii="Times New Roman" w:hAnsi="Times New Roman" w:eastAsia="宋体" w:cs="Times New Roman"/>
          <w:szCs w:val="21"/>
        </w:rPr>
        <w:t xml:space="preserve"> </w:t>
      </w:r>
      <w:r>
        <w:rPr>
          <w:rFonts w:ascii="Times New Roman" w:hAnsi="Times New Roman" w:eastAsia="宋体" w:cs="Times New Roman"/>
          <w:kern w:val="0"/>
          <w:szCs w:val="21"/>
        </w:rPr>
        <w:t xml:space="preserve">张艺馨，小学生心理辅导与咨询 ，北京师范大学出版社，2013 </w:t>
      </w:r>
    </w:p>
    <w:p w14:paraId="69872957">
      <w:pPr>
        <w:autoSpaceDE w:val="0"/>
        <w:autoSpaceDN w:val="0"/>
        <w:adjustRightIn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 xml:space="preserve">7. 叶一舵著，中小学团体心理辅导活动350例（中小学心理健康教育案例丛书），福建教育出版社，2018 </w:t>
      </w:r>
    </w:p>
    <w:p w14:paraId="0149CBD2">
      <w:pPr>
        <w:autoSpaceDE w:val="0"/>
        <w:autoSpaceDN w:val="0"/>
        <w:adjustRightIn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8.郭黎岩，小学生心理健康与辅导（第2版），高等教育出版社，2014</w:t>
      </w:r>
    </w:p>
    <w:p w14:paraId="071CE945">
      <w:pPr>
        <w:autoSpaceDE w:val="0"/>
        <w:autoSpaceDN w:val="0"/>
        <w:adjustRightInd w:val="0"/>
        <w:spacing w:line="360" w:lineRule="auto"/>
        <w:ind w:firstLine="420" w:firstLineChars="200"/>
        <w:rPr>
          <w:rFonts w:ascii="Times New Roman" w:hAnsi="Times New Roman" w:eastAsia="宋体" w:cs="Times New Roman"/>
          <w:kern w:val="0"/>
          <w:szCs w:val="21"/>
        </w:rPr>
      </w:pPr>
      <w:r>
        <w:rPr>
          <w:rFonts w:ascii="Times New Roman" w:hAnsi="Times New Roman" w:eastAsia="宋体" w:cs="Times New Roman"/>
          <w:kern w:val="0"/>
          <w:szCs w:val="21"/>
        </w:rPr>
        <w:t>9.H．T．Prout &amp; D.T.Brown 著、林丹华等译．儿童青少年心理咨询与治疗．中国轻工业出版社，2002．</w:t>
      </w:r>
    </w:p>
    <w:p w14:paraId="7B2DB576">
      <w:pPr>
        <w:autoSpaceDE w:val="0"/>
        <w:autoSpaceDN w:val="0"/>
        <w:adjustRightInd w:val="0"/>
        <w:spacing w:line="360" w:lineRule="auto"/>
        <w:ind w:firstLine="5460" w:firstLineChars="2600"/>
        <w:jc w:val="right"/>
        <w:rPr>
          <w:rFonts w:ascii="Calibri" w:hAnsi="Calibri" w:eastAsia="宋体" w:cs="Times New Roman"/>
          <w:kern w:val="0"/>
          <w:szCs w:val="21"/>
        </w:rPr>
      </w:pPr>
      <w:r>
        <w:rPr>
          <w:rFonts w:hint="eastAsia" w:ascii="Calibri" w:hAnsi="Calibri" w:eastAsia="宋体" w:cs="Times New Roman"/>
          <w:kern w:val="0"/>
          <w:szCs w:val="21"/>
        </w:rPr>
        <w:t>执笔人：刘  丽</w:t>
      </w:r>
    </w:p>
    <w:p w14:paraId="23975A74">
      <w:pPr>
        <w:autoSpaceDE w:val="0"/>
        <w:autoSpaceDN w:val="0"/>
        <w:adjustRightInd w:val="0"/>
        <w:spacing w:line="360" w:lineRule="auto"/>
        <w:ind w:firstLine="5460" w:firstLineChars="2600"/>
        <w:jc w:val="right"/>
        <w:rPr>
          <w:rFonts w:ascii="Calibri" w:hAnsi="Calibri" w:eastAsia="宋体" w:cs="Times New Roman"/>
          <w:kern w:val="0"/>
          <w:szCs w:val="21"/>
        </w:rPr>
      </w:pPr>
      <w:r>
        <w:rPr>
          <w:rFonts w:hint="eastAsia" w:ascii="Calibri" w:hAnsi="Calibri" w:eastAsia="宋体" w:cs="Times New Roman"/>
          <w:kern w:val="0"/>
          <w:szCs w:val="21"/>
        </w:rPr>
        <w:t>审定人：王  健</w:t>
      </w:r>
    </w:p>
    <w:p w14:paraId="0075E9A3">
      <w:pPr>
        <w:autoSpaceDE w:val="0"/>
        <w:autoSpaceDN w:val="0"/>
        <w:adjustRightInd w:val="0"/>
        <w:spacing w:line="360" w:lineRule="auto"/>
        <w:ind w:firstLine="5460" w:firstLineChars="2600"/>
        <w:jc w:val="right"/>
        <w:rPr>
          <w:rFonts w:ascii="Calibri" w:hAnsi="Calibri" w:eastAsia="宋体" w:cs="Times New Roman"/>
          <w:kern w:val="0"/>
          <w:szCs w:val="21"/>
        </w:rPr>
      </w:pPr>
      <w:r>
        <w:rPr>
          <w:rFonts w:hint="eastAsia" w:ascii="Calibri" w:hAnsi="Calibri" w:eastAsia="宋体" w:cs="Times New Roman"/>
          <w:kern w:val="0"/>
          <w:szCs w:val="21"/>
        </w:rPr>
        <w:t>审批人：张志欣</w:t>
      </w:r>
    </w:p>
    <w:p w14:paraId="4690CF5B">
      <w:pPr>
        <w:jc w:val="right"/>
        <w:rPr>
          <w:rFonts w:ascii="Times New Roman" w:hAnsi="Times New Roman" w:eastAsia="宋体" w:cs="Times New Roman"/>
          <w:kern w:val="0"/>
          <w:sz w:val="24"/>
          <w:szCs w:val="21"/>
        </w:rPr>
      </w:pPr>
      <w:r>
        <w:rPr>
          <w:rFonts w:hint="eastAsia" w:ascii="Times New Roman" w:hAnsi="Times New Roman" w:eastAsia="宋体" w:cs="Times New Roman"/>
          <w:kern w:val="0"/>
          <w:szCs w:val="21"/>
        </w:rPr>
        <w:t>批准时间：2025年7月1日</w:t>
      </w:r>
      <w:r>
        <w:rPr>
          <w:rFonts w:ascii="Times New Roman" w:hAnsi="Times New Roman" w:eastAsia="宋体" w:cs="Times New Roman"/>
          <w:kern w:val="0"/>
          <w:sz w:val="24"/>
          <w:szCs w:val="21"/>
        </w:rPr>
        <w:br w:type="page"/>
      </w:r>
    </w:p>
    <w:p w14:paraId="3C6FB84B">
      <w:pPr>
        <w:spacing w:line="360" w:lineRule="auto"/>
        <w:jc w:val="center"/>
        <w:outlineLvl w:val="0"/>
        <w:rPr>
          <w:rFonts w:ascii="Times New Roman" w:hAnsi="Times New Roman" w:eastAsia="宋体" w:cs="Times New Roman"/>
          <w:b/>
          <w:sz w:val="44"/>
          <w:szCs w:val="44"/>
        </w:rPr>
      </w:pPr>
      <w:bookmarkStart w:id="889" w:name="_Toc1494"/>
      <w:bookmarkStart w:id="890" w:name="_Toc31981"/>
      <w:bookmarkStart w:id="891" w:name="_Toc26327"/>
      <w:bookmarkStart w:id="892" w:name="_Toc20241"/>
      <w:r>
        <w:rPr>
          <w:rFonts w:hint="eastAsia" w:ascii="Times New Roman" w:hAnsi="Times New Roman" w:eastAsia="宋体" w:cs="Times New Roman"/>
          <w:b/>
          <w:sz w:val="44"/>
          <w:szCs w:val="44"/>
        </w:rPr>
        <w:t>《小学跨学科学习》课程教学大纲</w:t>
      </w:r>
      <w:bookmarkEnd w:id="889"/>
      <w:bookmarkEnd w:id="890"/>
      <w:bookmarkEnd w:id="891"/>
      <w:bookmarkEnd w:id="892"/>
    </w:p>
    <w:p w14:paraId="24FDD935">
      <w:pPr>
        <w:spacing w:line="360" w:lineRule="auto"/>
        <w:jc w:val="center"/>
        <w:rPr>
          <w:rFonts w:ascii="Times New Roman" w:hAnsi="Times New Roman" w:eastAsia="宋体" w:cs="Times New Roman"/>
          <w:b/>
          <w:bCs/>
          <w:sz w:val="28"/>
          <w:szCs w:val="28"/>
        </w:rPr>
      </w:pPr>
      <w:bookmarkStart w:id="893" w:name="_Toc10202"/>
      <w:bookmarkStart w:id="894" w:name="_Toc27439"/>
      <w:bookmarkStart w:id="895" w:name="_Toc10979"/>
      <w:bookmarkStart w:id="896" w:name="_Toc7301"/>
      <w:bookmarkStart w:id="897" w:name="_Toc30821"/>
      <w:bookmarkStart w:id="898" w:name="_Toc12705"/>
      <w:bookmarkStart w:id="899" w:name="_Toc1"/>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Interdisciplinary Learning in Primary School</w:t>
      </w:r>
      <w:r>
        <w:rPr>
          <w:rFonts w:ascii="Times New Roman" w:hAnsi="Times New Roman" w:eastAsia="宋体" w:cs="Times New Roman"/>
          <w:b/>
          <w:bCs/>
          <w:sz w:val="28"/>
          <w:szCs w:val="28"/>
        </w:rPr>
        <w:t>）</w:t>
      </w:r>
      <w:bookmarkEnd w:id="893"/>
      <w:bookmarkEnd w:id="894"/>
      <w:bookmarkEnd w:id="895"/>
      <w:bookmarkEnd w:id="896"/>
      <w:bookmarkEnd w:id="897"/>
      <w:bookmarkEnd w:id="898"/>
      <w:bookmarkEnd w:id="899"/>
    </w:p>
    <w:p w14:paraId="3982966E">
      <w:pPr>
        <w:spacing w:line="360" w:lineRule="auto"/>
        <w:jc w:val="center"/>
        <w:rPr>
          <w:rFonts w:ascii="Times New Roman" w:hAnsi="Times New Roman" w:eastAsia="宋体" w:cs="Times New Roman"/>
          <w:bCs/>
          <w:szCs w:val="21"/>
        </w:rPr>
      </w:pPr>
    </w:p>
    <w:p w14:paraId="61D1BB1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课程名称：小学跨学科学习</w:t>
      </w:r>
    </w:p>
    <w:p w14:paraId="46029BD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课程代码：2401062</w:t>
      </w:r>
    </w:p>
    <w:p w14:paraId="6D20B1E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1A5623B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75A4147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先修课程：小学心理学、教育原理、学科课程与教学论、教育心理学、学科课程标准与教材分析</w:t>
      </w:r>
    </w:p>
    <w:p w14:paraId="32B1166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4EB5683A">
      <w:pPr>
        <w:spacing w:before="62" w:beforeLines="20" w:after="62" w:afterLines="20" w:line="360" w:lineRule="auto"/>
        <w:jc w:val="left"/>
        <w:rPr>
          <w:rFonts w:hint="eastAsia" w:ascii="宋体" w:hAnsi="宋体" w:eastAsia="宋体" w:cs="Times New Roman"/>
          <w:b/>
          <w:sz w:val="24"/>
        </w:rPr>
      </w:pPr>
      <w:r>
        <w:rPr>
          <w:rFonts w:hint="eastAsia" w:ascii="宋体" w:hAnsi="宋体" w:eastAsia="宋体" w:cs="Times New Roman"/>
          <w:b/>
          <w:sz w:val="24"/>
        </w:rPr>
        <w:t>一、课程简介</w:t>
      </w:r>
    </w:p>
    <w:p w14:paraId="206C47BF">
      <w:pPr>
        <w:spacing w:line="360" w:lineRule="auto"/>
        <w:ind w:firstLine="420" w:firstLineChars="200"/>
        <w:jc w:val="left"/>
        <w:rPr>
          <w:rFonts w:hint="eastAsia" w:ascii="宋体" w:hAnsi="宋体" w:eastAsia="宋体" w:cs="Times New Roman"/>
          <w:b/>
          <w:szCs w:val="21"/>
        </w:rPr>
      </w:pPr>
      <w:r>
        <w:rPr>
          <w:rFonts w:hint="eastAsia" w:ascii="Times New Roman" w:hAnsi="Times New Roman" w:eastAsia="宋体" w:cs="Times New Roman"/>
          <w:szCs w:val="21"/>
        </w:rPr>
        <w:t>本课程是小学教育专业的专业基础选修课。通过本课程的学习，学生在了解跨学科学习的背景、意义、类型的基础上，形成自觉主动的跨学科意识，真正理解为什么跨学科学习、跨学科究竟要跨什么；掌握跨学科学习设计与实施过程中的主题确定、目标确定、任务设计、评价设计，能够科学开展跨学科主题学习教研活动，将新课标理念落实到教育教学中。</w:t>
      </w:r>
    </w:p>
    <w:p w14:paraId="75093995">
      <w:pPr>
        <w:spacing w:before="62" w:beforeLines="20" w:after="62" w:afterLines="20" w:line="360" w:lineRule="auto"/>
        <w:jc w:val="left"/>
        <w:rPr>
          <w:rFonts w:ascii="Times New Roman" w:hAnsi="Times New Roman" w:eastAsia="宋体" w:cs="Times New Roman"/>
          <w:sz w:val="24"/>
        </w:rPr>
      </w:pPr>
      <w:r>
        <w:rPr>
          <w:rFonts w:hint="eastAsia" w:ascii="宋体" w:hAnsi="宋体" w:eastAsia="宋体" w:cs="Times New Roman"/>
          <w:b/>
          <w:sz w:val="24"/>
        </w:rPr>
        <w:t>二</w:t>
      </w:r>
      <w:r>
        <w:rPr>
          <w:rFonts w:ascii="宋体" w:hAnsi="宋体" w:eastAsia="宋体" w:cs="Times New Roman"/>
          <w:b/>
          <w:sz w:val="24"/>
        </w:rPr>
        <w:t>、课程目标</w:t>
      </w:r>
    </w:p>
    <w:p w14:paraId="7DF3091A">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6FB133F0">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 xml:space="preserve">目标1. </w:t>
      </w:r>
      <w:r>
        <w:rPr>
          <w:rFonts w:hint="eastAsia" w:ascii="Times New Roman" w:hAnsi="Times New Roman" w:eastAsia="宋体" w:cs="Times New Roman"/>
          <w:bCs/>
          <w:szCs w:val="21"/>
        </w:rPr>
        <w:t>了解跨学科学习的概念、功能、类型；掌握跨学科学习设计与实施过程中的主题确定、目标确定、任务设计、评价设计的基础知识和基本原理。</w:t>
      </w:r>
    </w:p>
    <w:p w14:paraId="7C226403">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 xml:space="preserve">目标2. </w:t>
      </w:r>
      <w:r>
        <w:rPr>
          <w:rFonts w:hint="eastAsia" w:ascii="Times New Roman" w:hAnsi="Times New Roman" w:eastAsia="宋体" w:cs="Times New Roman"/>
          <w:bCs/>
          <w:szCs w:val="21"/>
        </w:rPr>
        <w:t>能够从小学生学习和发展的角度，主动加强学科间的内容关联，主动建立学科思想和方法的关联，并将其转化为有真实情境的、小学生能够主动介入的学习主题；能够科学开展跨学科主题学习教研活动。</w:t>
      </w:r>
    </w:p>
    <w:p w14:paraId="4E63C199">
      <w:pPr>
        <w:spacing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 xml:space="preserve">目标3. </w:t>
      </w:r>
      <w:r>
        <w:rPr>
          <w:rFonts w:hint="eastAsia" w:ascii="Times New Roman" w:hAnsi="Times New Roman" w:eastAsia="宋体" w:cs="Times New Roman"/>
          <w:bCs/>
          <w:szCs w:val="21"/>
        </w:rPr>
        <w:t>理解跨学科学习的意义及重要性，明确跨学科学习的学科立场；通过关键问题解读、典型课例解析，真正理解为什么跨、跨什么、怎么跨，形成自觉主动的跨学科意识。</w:t>
      </w:r>
    </w:p>
    <w:p w14:paraId="6406E3D2">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E58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75ED5F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C42528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765902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6F93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8" w:type="dxa"/>
            <w:vAlign w:val="center"/>
          </w:tcPr>
          <w:p w14:paraId="5FF90FA0">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毕业要求3学科素养</w:t>
            </w:r>
          </w:p>
        </w:tc>
        <w:tc>
          <w:tcPr>
            <w:tcW w:w="5688" w:type="dxa"/>
            <w:vAlign w:val="center"/>
          </w:tcPr>
          <w:p w14:paraId="70D965C2">
            <w:pPr>
              <w:spacing w:line="276" w:lineRule="auto"/>
              <w:jc w:val="left"/>
              <w:rPr>
                <w:rFonts w:ascii="Times New Roman" w:hAnsi="Times New Roman" w:eastAsia="宋体" w:cs="Times New Roman"/>
                <w:szCs w:val="21"/>
              </w:rPr>
            </w:pPr>
            <w:r>
              <w:rPr>
                <w:rFonts w:hint="eastAsia" w:ascii="Times New Roman" w:hAnsi="Times New Roman" w:eastAsia="宋体" w:cs="Times New Roman"/>
                <w:b/>
                <w:szCs w:val="21"/>
              </w:rPr>
              <w:t>指标点3-3</w:t>
            </w:r>
            <w:r>
              <w:rPr>
                <w:rFonts w:hint="eastAsia" w:ascii="Times New Roman" w:hAnsi="Times New Roman" w:eastAsia="宋体" w:cs="Times New Roman"/>
                <w:szCs w:val="21"/>
              </w:rPr>
              <w:t>：【注重知识整合】了解所教学科与其他学科及与社会实践、小学生生活实践之间的联系，了解学科整合的在小学教育中的价值，具有跨学科解决问题的意识和能力，能指导综合性学科教学活动。</w:t>
            </w:r>
          </w:p>
        </w:tc>
        <w:tc>
          <w:tcPr>
            <w:tcW w:w="1191" w:type="dxa"/>
            <w:vAlign w:val="center"/>
          </w:tcPr>
          <w:p w14:paraId="5F21AE3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p w14:paraId="2A26A0F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课程目标2课程目标3</w:t>
            </w:r>
          </w:p>
        </w:tc>
      </w:tr>
      <w:tr w14:paraId="7DBA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224CDE6">
            <w:pPr>
              <w:spacing w:line="276"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毕业要求4教学能力</w:t>
            </w:r>
          </w:p>
        </w:tc>
        <w:tc>
          <w:tcPr>
            <w:tcW w:w="5688" w:type="dxa"/>
            <w:vAlign w:val="center"/>
          </w:tcPr>
          <w:p w14:paraId="18FBC66D">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指标点4-3</w:t>
            </w:r>
            <w:r>
              <w:rPr>
                <w:rFonts w:hint="eastAsia" w:ascii="宋体" w:hAnsi="宋体" w:eastAsia="宋体" w:cs="Times New Roman"/>
                <w:spacing w:val="2"/>
                <w:kern w:val="0"/>
                <w:szCs w:val="21"/>
              </w:rPr>
              <w:t>：【教学实施与评价科学】掌握小学教师基本功技能，包括书写技能、沟通与表达技能、信息技术运用技能等。获得全面的小学教学体验，掌握学科教学的基本方法与策略，能独立进行教学设计、实施和评价。</w:t>
            </w:r>
          </w:p>
        </w:tc>
        <w:tc>
          <w:tcPr>
            <w:tcW w:w="1191" w:type="dxa"/>
            <w:vAlign w:val="center"/>
          </w:tcPr>
          <w:p w14:paraId="0DF7FD3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67A97CD3">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6C2697AC">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深刻理解跨学科学习的价值、理念和本质特征，形成跨学科意识、终身学习意识与研究意识，努力成为“四有”好老师；积极响应国家对教师跨学科素养培育的要求，科学开展跨学科主题学习活动，将新课标理念落实到教育教学中。</w:t>
      </w:r>
    </w:p>
    <w:p w14:paraId="1F958657">
      <w:pPr>
        <w:spacing w:before="62" w:beforeLines="20" w:after="62" w:afterLines="20" w:line="360" w:lineRule="auto"/>
        <w:jc w:val="left"/>
        <w:rPr>
          <w:rFonts w:hint="eastAsia" w:ascii="宋体" w:hAnsi="宋体" w:eastAsia="宋体" w:cs="Times New Roman"/>
          <w:b/>
          <w:sz w:val="24"/>
        </w:rPr>
      </w:pPr>
      <w:r>
        <w:rPr>
          <w:rFonts w:hint="eastAsia" w:ascii="宋体" w:hAnsi="宋体"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2800"/>
        <w:gridCol w:w="1184"/>
        <w:gridCol w:w="2316"/>
        <w:gridCol w:w="1490"/>
        <w:gridCol w:w="438"/>
      </w:tblGrid>
      <w:tr w14:paraId="317C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0" w:type="dxa"/>
            <w:vAlign w:val="center"/>
          </w:tcPr>
          <w:p w14:paraId="464F7DF7">
            <w:pPr>
              <w:jc w:val="center"/>
              <w:rPr>
                <w:rFonts w:hint="eastAsia" w:ascii="宋体" w:hAnsi="宋体" w:eastAsia="宋体" w:cs="Times New Roman"/>
                <w:b/>
                <w:szCs w:val="21"/>
              </w:rPr>
            </w:pPr>
            <w:r>
              <w:rPr>
                <w:rFonts w:hint="eastAsia" w:ascii="宋体" w:hAnsi="宋体" w:eastAsia="宋体" w:cs="Times New Roman"/>
                <w:b/>
                <w:szCs w:val="21"/>
              </w:rPr>
              <w:t>知识</w:t>
            </w:r>
          </w:p>
          <w:p w14:paraId="72A035B5">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800" w:type="dxa"/>
            <w:vAlign w:val="center"/>
          </w:tcPr>
          <w:p w14:paraId="07395DD0">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84" w:type="dxa"/>
            <w:vAlign w:val="center"/>
          </w:tcPr>
          <w:p w14:paraId="3ED0AE2F">
            <w:pPr>
              <w:jc w:val="center"/>
              <w:rPr>
                <w:rFonts w:hint="eastAsia" w:ascii="宋体" w:hAnsi="宋体" w:eastAsia="宋体" w:cs="Times New Roman"/>
                <w:b/>
                <w:szCs w:val="21"/>
              </w:rPr>
            </w:pPr>
            <w:r>
              <w:rPr>
                <w:rFonts w:hint="eastAsia" w:ascii="宋体" w:hAnsi="宋体" w:eastAsia="宋体" w:cs="Times New Roman"/>
                <w:b/>
                <w:szCs w:val="21"/>
              </w:rPr>
              <w:t>对应</w:t>
            </w:r>
          </w:p>
          <w:p w14:paraId="66B70EB3">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316" w:type="dxa"/>
            <w:vAlign w:val="center"/>
          </w:tcPr>
          <w:p w14:paraId="17BBC9C3">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490" w:type="dxa"/>
            <w:vAlign w:val="center"/>
          </w:tcPr>
          <w:p w14:paraId="1A38046D">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720E811E">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B223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08931DE4">
            <w:pPr>
              <w:jc w:val="center"/>
              <w:rPr>
                <w:rFonts w:hint="eastAsia" w:ascii="宋体" w:hAnsi="宋体" w:eastAsia="宋体" w:cs="Times New Roman"/>
                <w:szCs w:val="21"/>
              </w:rPr>
            </w:pPr>
            <w:r>
              <w:rPr>
                <w:rFonts w:hint="eastAsia" w:ascii="宋体" w:hAnsi="宋体" w:eastAsia="宋体" w:cs="Times New Roman"/>
                <w:szCs w:val="21"/>
              </w:rPr>
              <w:t>1.跨学科学习的意义与功能</w:t>
            </w:r>
          </w:p>
        </w:tc>
        <w:tc>
          <w:tcPr>
            <w:tcW w:w="2800" w:type="dxa"/>
            <w:vAlign w:val="center"/>
          </w:tcPr>
          <w:p w14:paraId="0EEE6FED">
            <w:pPr>
              <w:jc w:val="left"/>
              <w:rPr>
                <w:rFonts w:hint="eastAsia" w:ascii="宋体" w:hAnsi="宋体" w:eastAsia="宋体" w:cs="Times New Roman"/>
                <w:szCs w:val="21"/>
              </w:rPr>
            </w:pPr>
            <w:r>
              <w:rPr>
                <w:rFonts w:hint="eastAsia" w:ascii="宋体" w:hAnsi="宋体" w:eastAsia="宋体" w:cs="Times New Roman"/>
                <w:szCs w:val="21"/>
              </w:rPr>
              <w:t>（1）跨学科学习的含义</w:t>
            </w:r>
          </w:p>
          <w:p w14:paraId="6C487E22">
            <w:pPr>
              <w:jc w:val="left"/>
              <w:rPr>
                <w:rFonts w:hint="eastAsia" w:ascii="宋体" w:hAnsi="宋体" w:eastAsia="宋体" w:cs="Times New Roman"/>
                <w:szCs w:val="21"/>
              </w:rPr>
            </w:pPr>
            <w:r>
              <w:rPr>
                <w:rFonts w:hint="eastAsia" w:ascii="宋体" w:hAnsi="宋体" w:eastAsia="宋体" w:cs="Times New Roman"/>
                <w:szCs w:val="21"/>
              </w:rPr>
              <w:t>（2）设置跨学科学习的意义</w:t>
            </w:r>
          </w:p>
          <w:p w14:paraId="341BD08B">
            <w:pPr>
              <w:jc w:val="left"/>
              <w:rPr>
                <w:rFonts w:hint="eastAsia" w:ascii="宋体" w:hAnsi="宋体" w:eastAsia="宋体" w:cs="Times New Roman"/>
                <w:szCs w:val="21"/>
              </w:rPr>
            </w:pPr>
            <w:r>
              <w:rPr>
                <w:rFonts w:hint="eastAsia" w:ascii="宋体" w:hAnsi="宋体" w:eastAsia="宋体" w:cs="Times New Roman"/>
                <w:szCs w:val="21"/>
              </w:rPr>
              <w:t>（3）跨学科学习的功能</w:t>
            </w:r>
          </w:p>
          <w:p w14:paraId="2A1C3772">
            <w:pPr>
              <w:jc w:val="left"/>
              <w:rPr>
                <w:rFonts w:hint="eastAsia" w:ascii="宋体" w:hAnsi="宋体" w:eastAsia="宋体" w:cs="Times New Roman"/>
                <w:szCs w:val="21"/>
              </w:rPr>
            </w:pPr>
            <w:r>
              <w:rPr>
                <w:rFonts w:hint="eastAsia" w:ascii="宋体" w:hAnsi="宋体" w:eastAsia="宋体" w:cs="Times New Roman"/>
                <w:szCs w:val="21"/>
              </w:rPr>
              <w:t>（4）跨学科学习的学科立场</w:t>
            </w:r>
          </w:p>
        </w:tc>
        <w:tc>
          <w:tcPr>
            <w:tcW w:w="1184" w:type="dxa"/>
            <w:vAlign w:val="center"/>
          </w:tcPr>
          <w:p w14:paraId="1787C6D1">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316" w:type="dxa"/>
            <w:vAlign w:val="center"/>
          </w:tcPr>
          <w:p w14:paraId="4EE2EE75">
            <w:pPr>
              <w:jc w:val="left"/>
              <w:rPr>
                <w:rFonts w:hint="eastAsia" w:ascii="宋体" w:hAnsi="宋体" w:eastAsia="宋体" w:cs="Times New Roman"/>
                <w:szCs w:val="21"/>
              </w:rPr>
            </w:pPr>
            <w:r>
              <w:rPr>
                <w:rFonts w:hint="eastAsia" w:ascii="宋体" w:hAnsi="宋体" w:eastAsia="宋体" w:cs="Times New Roman"/>
                <w:szCs w:val="21"/>
              </w:rPr>
              <w:t>1.理解跨学科学习的概念表述；</w:t>
            </w:r>
          </w:p>
          <w:p w14:paraId="72E2D09F">
            <w:pPr>
              <w:jc w:val="left"/>
              <w:rPr>
                <w:rFonts w:hint="eastAsia" w:ascii="宋体" w:hAnsi="宋体" w:eastAsia="宋体" w:cs="Times New Roman"/>
                <w:szCs w:val="21"/>
              </w:rPr>
            </w:pPr>
            <w:r>
              <w:rPr>
                <w:rFonts w:hint="eastAsia" w:ascii="宋体" w:hAnsi="宋体" w:eastAsia="宋体" w:cs="Times New Roman"/>
                <w:szCs w:val="21"/>
              </w:rPr>
              <w:t>2.了解跨学科学习的意义、功能与学科立场。</w:t>
            </w:r>
          </w:p>
        </w:tc>
        <w:tc>
          <w:tcPr>
            <w:tcW w:w="1490" w:type="dxa"/>
            <w:vAlign w:val="center"/>
          </w:tcPr>
          <w:p w14:paraId="026A66F7">
            <w:pPr>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46FCC74E">
            <w:pPr>
              <w:jc w:val="left"/>
              <w:rPr>
                <w:rFonts w:hint="eastAsia" w:ascii="宋体" w:hAnsi="宋体" w:eastAsia="宋体" w:cs="Times New Roman"/>
                <w:szCs w:val="21"/>
              </w:rPr>
            </w:pPr>
          </w:p>
        </w:tc>
        <w:tc>
          <w:tcPr>
            <w:tcW w:w="438" w:type="dxa"/>
            <w:vAlign w:val="center"/>
          </w:tcPr>
          <w:p w14:paraId="6A76D04E">
            <w:pPr>
              <w:jc w:val="center"/>
              <w:rPr>
                <w:rFonts w:hint="eastAsia" w:ascii="宋体" w:hAnsi="宋体" w:eastAsia="宋体" w:cs="Times New Roman"/>
                <w:szCs w:val="21"/>
              </w:rPr>
            </w:pPr>
            <w:r>
              <w:rPr>
                <w:rFonts w:hint="eastAsia" w:ascii="宋体" w:hAnsi="宋体" w:eastAsia="宋体" w:cs="Times New Roman"/>
                <w:szCs w:val="21"/>
              </w:rPr>
              <w:t>2</w:t>
            </w:r>
          </w:p>
        </w:tc>
      </w:tr>
      <w:tr w14:paraId="14ED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19A8BB9D">
            <w:pPr>
              <w:jc w:val="center"/>
              <w:rPr>
                <w:rFonts w:hint="eastAsia" w:ascii="宋体" w:hAnsi="宋体" w:eastAsia="宋体" w:cs="Times New Roman"/>
                <w:szCs w:val="21"/>
              </w:rPr>
            </w:pPr>
          </w:p>
        </w:tc>
        <w:tc>
          <w:tcPr>
            <w:tcW w:w="8228" w:type="dxa"/>
            <w:gridSpan w:val="5"/>
            <w:vAlign w:val="center"/>
          </w:tcPr>
          <w:p w14:paraId="79322CC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在中国式现代化、教育强国、人才强国背景下理解跨学科学习与时代新人培养的意义，结合我国人才素养要求，与时俱进，开拓创新，立志为中华民族伟大复兴培养高素质人才奠基。</w:t>
            </w:r>
          </w:p>
        </w:tc>
      </w:tr>
      <w:tr w14:paraId="613F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02B40F13">
            <w:pPr>
              <w:jc w:val="center"/>
              <w:rPr>
                <w:rFonts w:hint="eastAsia" w:ascii="宋体" w:hAnsi="宋体" w:eastAsia="宋体" w:cs="Times New Roman"/>
                <w:szCs w:val="21"/>
              </w:rPr>
            </w:pPr>
            <w:r>
              <w:rPr>
                <w:rFonts w:hint="eastAsia" w:ascii="宋体" w:hAnsi="宋体" w:eastAsia="宋体" w:cs="Times New Roman"/>
                <w:szCs w:val="21"/>
              </w:rPr>
              <w:t>2.跨学科学习的基本类型、实施要点与进阶安排</w:t>
            </w:r>
          </w:p>
        </w:tc>
        <w:tc>
          <w:tcPr>
            <w:tcW w:w="2800" w:type="dxa"/>
            <w:vAlign w:val="center"/>
          </w:tcPr>
          <w:p w14:paraId="50B2EBD2">
            <w:pPr>
              <w:jc w:val="left"/>
              <w:rPr>
                <w:rFonts w:hint="eastAsia" w:ascii="宋体" w:hAnsi="宋体" w:eastAsia="宋体" w:cs="Times New Roman"/>
                <w:szCs w:val="21"/>
              </w:rPr>
            </w:pPr>
            <w:r>
              <w:rPr>
                <w:rFonts w:hint="eastAsia" w:ascii="宋体" w:hAnsi="宋体" w:eastAsia="宋体" w:cs="Times New Roman"/>
                <w:szCs w:val="21"/>
              </w:rPr>
              <w:t>（1）跨学科学习的基本类型</w:t>
            </w:r>
          </w:p>
          <w:p w14:paraId="7B0DBFAA">
            <w:pPr>
              <w:jc w:val="left"/>
              <w:rPr>
                <w:rFonts w:hint="eastAsia" w:ascii="宋体" w:hAnsi="宋体" w:eastAsia="宋体" w:cs="Times New Roman"/>
                <w:szCs w:val="21"/>
              </w:rPr>
            </w:pPr>
            <w:r>
              <w:rPr>
                <w:rFonts w:hint="eastAsia" w:ascii="宋体" w:hAnsi="宋体" w:eastAsia="宋体" w:cs="Times New Roman"/>
                <w:szCs w:val="21"/>
              </w:rPr>
              <w:t>（2）跨学科学习的实施要点</w:t>
            </w:r>
          </w:p>
          <w:p w14:paraId="597ECE93">
            <w:pPr>
              <w:jc w:val="left"/>
              <w:rPr>
                <w:rFonts w:hint="eastAsia" w:ascii="宋体" w:hAnsi="宋体" w:eastAsia="宋体" w:cs="Times New Roman"/>
                <w:szCs w:val="21"/>
              </w:rPr>
            </w:pPr>
            <w:r>
              <w:rPr>
                <w:rFonts w:hint="eastAsia" w:ascii="宋体" w:hAnsi="宋体" w:eastAsia="宋体" w:cs="Times New Roman"/>
                <w:szCs w:val="21"/>
              </w:rPr>
              <w:t>（3）跨学科学习的进阶安排</w:t>
            </w:r>
          </w:p>
        </w:tc>
        <w:tc>
          <w:tcPr>
            <w:tcW w:w="1184" w:type="dxa"/>
            <w:vAlign w:val="center"/>
          </w:tcPr>
          <w:p w14:paraId="70C7B3F1">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316" w:type="dxa"/>
            <w:vAlign w:val="center"/>
          </w:tcPr>
          <w:p w14:paraId="384F1CE3">
            <w:pPr>
              <w:jc w:val="left"/>
              <w:rPr>
                <w:rFonts w:hint="eastAsia" w:ascii="宋体" w:hAnsi="宋体" w:eastAsia="宋体" w:cs="Times New Roman"/>
                <w:szCs w:val="21"/>
              </w:rPr>
            </w:pPr>
            <w:r>
              <w:rPr>
                <w:rFonts w:hint="eastAsia" w:ascii="宋体" w:hAnsi="宋体" w:eastAsia="宋体" w:cs="Times New Roman"/>
                <w:szCs w:val="21"/>
              </w:rPr>
              <w:t>1.正确理解并掌握跨学科学习的基本类型与实施要点；</w:t>
            </w:r>
          </w:p>
          <w:p w14:paraId="4E13FF83">
            <w:pPr>
              <w:jc w:val="left"/>
              <w:rPr>
                <w:rFonts w:hint="eastAsia" w:ascii="宋体" w:hAnsi="宋体" w:eastAsia="宋体" w:cs="Times New Roman"/>
                <w:szCs w:val="21"/>
              </w:rPr>
            </w:pPr>
            <w:r>
              <w:rPr>
                <w:rFonts w:hint="eastAsia" w:ascii="宋体" w:hAnsi="宋体" w:eastAsia="宋体" w:cs="Times New Roman"/>
                <w:szCs w:val="21"/>
              </w:rPr>
              <w:t>2.理解跨学科学习进阶安排的含义、依据、基本思路与支持工具。</w:t>
            </w:r>
          </w:p>
        </w:tc>
        <w:tc>
          <w:tcPr>
            <w:tcW w:w="1490" w:type="dxa"/>
            <w:vAlign w:val="center"/>
          </w:tcPr>
          <w:p w14:paraId="703E36A1">
            <w:pPr>
              <w:jc w:val="left"/>
              <w:rPr>
                <w:rFonts w:hint="eastAsia" w:ascii="宋体" w:hAnsi="宋体" w:eastAsia="宋体" w:cs="Times New Roman"/>
                <w:szCs w:val="21"/>
              </w:rPr>
            </w:pPr>
            <w:r>
              <w:rPr>
                <w:rFonts w:hint="eastAsia" w:ascii="宋体" w:hAnsi="宋体" w:eastAsia="宋体" w:cs="Times New Roman"/>
                <w:szCs w:val="21"/>
              </w:rPr>
              <w:t>1.线上学习</w:t>
            </w:r>
          </w:p>
          <w:p w14:paraId="1DC2A9DD">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4FFB4200">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751FD51C">
            <w:pPr>
              <w:jc w:val="center"/>
              <w:rPr>
                <w:rFonts w:hint="eastAsia" w:ascii="宋体" w:hAnsi="宋体" w:eastAsia="宋体" w:cs="Times New Roman"/>
                <w:szCs w:val="21"/>
              </w:rPr>
            </w:pPr>
            <w:r>
              <w:rPr>
                <w:rFonts w:hint="eastAsia" w:ascii="宋体" w:hAnsi="宋体" w:eastAsia="宋体" w:cs="Times New Roman"/>
                <w:szCs w:val="21"/>
              </w:rPr>
              <w:t>4</w:t>
            </w:r>
          </w:p>
        </w:tc>
      </w:tr>
      <w:tr w14:paraId="7AE0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5E4DA3E6">
            <w:pPr>
              <w:jc w:val="center"/>
              <w:rPr>
                <w:rFonts w:hint="eastAsia" w:ascii="宋体" w:hAnsi="宋体" w:eastAsia="宋体" w:cs="Times New Roman"/>
                <w:szCs w:val="21"/>
              </w:rPr>
            </w:pPr>
          </w:p>
        </w:tc>
        <w:tc>
          <w:tcPr>
            <w:tcW w:w="8228" w:type="dxa"/>
            <w:gridSpan w:val="5"/>
            <w:vAlign w:val="center"/>
          </w:tcPr>
          <w:p w14:paraId="63958A1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形成对跨学科学习的正确认识，理解跨学科学习的重要性。</w:t>
            </w:r>
          </w:p>
        </w:tc>
      </w:tr>
      <w:tr w14:paraId="4BAE9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109DB8AA">
            <w:pPr>
              <w:jc w:val="center"/>
              <w:rPr>
                <w:rFonts w:hint="eastAsia" w:ascii="宋体" w:hAnsi="宋体" w:eastAsia="宋体" w:cs="Times New Roman"/>
                <w:szCs w:val="21"/>
              </w:rPr>
            </w:pPr>
            <w:r>
              <w:rPr>
                <w:rFonts w:hint="eastAsia" w:ascii="宋体" w:hAnsi="宋体" w:eastAsia="宋体" w:cs="Times New Roman"/>
                <w:szCs w:val="21"/>
              </w:rPr>
              <w:t>3.跨学科学习的主题确定</w:t>
            </w:r>
          </w:p>
        </w:tc>
        <w:tc>
          <w:tcPr>
            <w:tcW w:w="2800" w:type="dxa"/>
            <w:vAlign w:val="center"/>
          </w:tcPr>
          <w:p w14:paraId="0DC2023D">
            <w:pPr>
              <w:jc w:val="left"/>
              <w:rPr>
                <w:rFonts w:hint="eastAsia" w:ascii="宋体" w:hAnsi="宋体" w:eastAsia="宋体" w:cs="Times New Roman"/>
                <w:szCs w:val="21"/>
              </w:rPr>
            </w:pPr>
            <w:r>
              <w:rPr>
                <w:rFonts w:hint="eastAsia" w:ascii="宋体" w:hAnsi="宋体" w:eastAsia="宋体" w:cs="Times New Roman"/>
                <w:szCs w:val="21"/>
              </w:rPr>
              <w:t>（1）确立主题的主要依据</w:t>
            </w:r>
          </w:p>
          <w:p w14:paraId="66DCA5A4">
            <w:pPr>
              <w:jc w:val="left"/>
              <w:rPr>
                <w:rFonts w:hint="eastAsia" w:ascii="宋体" w:hAnsi="宋体" w:eastAsia="宋体" w:cs="Times New Roman"/>
                <w:szCs w:val="21"/>
              </w:rPr>
            </w:pPr>
            <w:r>
              <w:rPr>
                <w:rFonts w:hint="eastAsia" w:ascii="宋体" w:hAnsi="宋体" w:eastAsia="宋体" w:cs="Times New Roman"/>
                <w:szCs w:val="21"/>
              </w:rPr>
              <w:t>（2）主题应具备的重要特征</w:t>
            </w:r>
          </w:p>
          <w:p w14:paraId="39CB695B">
            <w:pPr>
              <w:jc w:val="left"/>
              <w:rPr>
                <w:rFonts w:hint="eastAsia" w:ascii="宋体" w:hAnsi="宋体" w:eastAsia="宋体" w:cs="Times New Roman"/>
                <w:szCs w:val="21"/>
              </w:rPr>
            </w:pPr>
            <w:r>
              <w:rPr>
                <w:rFonts w:hint="eastAsia" w:ascii="宋体" w:hAnsi="宋体" w:eastAsia="宋体" w:cs="Times New Roman"/>
                <w:szCs w:val="21"/>
              </w:rPr>
              <w:t>（3）主题的表述要点</w:t>
            </w:r>
          </w:p>
        </w:tc>
        <w:tc>
          <w:tcPr>
            <w:tcW w:w="1184" w:type="dxa"/>
            <w:vAlign w:val="center"/>
          </w:tcPr>
          <w:p w14:paraId="4B95ADA9">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16" w:type="dxa"/>
            <w:vAlign w:val="center"/>
          </w:tcPr>
          <w:p w14:paraId="483411EC">
            <w:pPr>
              <w:jc w:val="left"/>
              <w:rPr>
                <w:rFonts w:hint="eastAsia" w:ascii="宋体" w:hAnsi="宋体" w:eastAsia="宋体" w:cs="Times New Roman"/>
                <w:szCs w:val="21"/>
              </w:rPr>
            </w:pPr>
            <w:r>
              <w:rPr>
                <w:rFonts w:hint="eastAsia" w:ascii="宋体" w:hAnsi="宋体" w:eastAsia="宋体" w:cs="Times New Roman"/>
                <w:szCs w:val="21"/>
              </w:rPr>
              <w:t>1.理解确立主题的主要依据；</w:t>
            </w:r>
          </w:p>
          <w:p w14:paraId="10A0694C">
            <w:pPr>
              <w:jc w:val="left"/>
              <w:rPr>
                <w:rFonts w:hint="eastAsia" w:ascii="宋体" w:hAnsi="宋体" w:eastAsia="宋体" w:cs="Times New Roman"/>
                <w:szCs w:val="21"/>
              </w:rPr>
            </w:pPr>
            <w:r>
              <w:rPr>
                <w:rFonts w:hint="eastAsia" w:ascii="宋体" w:hAnsi="宋体" w:eastAsia="宋体" w:cs="Times New Roman"/>
                <w:szCs w:val="21"/>
              </w:rPr>
              <w:t>2.掌握主题应具备的主要特征；</w:t>
            </w:r>
          </w:p>
          <w:p w14:paraId="74F444EC">
            <w:pPr>
              <w:jc w:val="left"/>
              <w:rPr>
                <w:rFonts w:hint="eastAsia" w:ascii="宋体" w:hAnsi="宋体" w:eastAsia="宋体" w:cs="Times New Roman"/>
                <w:szCs w:val="21"/>
              </w:rPr>
            </w:pPr>
            <w:r>
              <w:rPr>
                <w:rFonts w:hint="eastAsia" w:ascii="宋体" w:hAnsi="宋体" w:eastAsia="宋体" w:cs="Times New Roman"/>
                <w:szCs w:val="21"/>
              </w:rPr>
              <w:t>3.能够正确的进行主题表述。</w:t>
            </w:r>
          </w:p>
        </w:tc>
        <w:tc>
          <w:tcPr>
            <w:tcW w:w="1490" w:type="dxa"/>
            <w:vAlign w:val="center"/>
          </w:tcPr>
          <w:p w14:paraId="5A051A67">
            <w:pPr>
              <w:jc w:val="left"/>
              <w:rPr>
                <w:rFonts w:hint="eastAsia" w:ascii="宋体" w:hAnsi="宋体" w:eastAsia="宋体" w:cs="Times New Roman"/>
                <w:szCs w:val="21"/>
              </w:rPr>
            </w:pPr>
            <w:r>
              <w:rPr>
                <w:rFonts w:ascii="宋体" w:hAnsi="宋体" w:eastAsia="宋体" w:cs="Times New Roman"/>
                <w:szCs w:val="21"/>
              </w:rPr>
              <w:t>1.线上学习</w:t>
            </w:r>
          </w:p>
          <w:p w14:paraId="10D2C740">
            <w:pPr>
              <w:jc w:val="left"/>
              <w:rPr>
                <w:rFonts w:hint="eastAsia" w:ascii="宋体" w:hAnsi="宋体" w:eastAsia="宋体" w:cs="Times New Roman"/>
                <w:szCs w:val="21"/>
              </w:rPr>
            </w:pPr>
            <w:r>
              <w:rPr>
                <w:rFonts w:ascii="宋体" w:hAnsi="宋体" w:eastAsia="宋体" w:cs="Times New Roman"/>
                <w:szCs w:val="21"/>
              </w:rPr>
              <w:t>2.多媒体教学3.课堂讨论</w:t>
            </w:r>
          </w:p>
          <w:p w14:paraId="01328FF6">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0BC97C34">
            <w:pPr>
              <w:jc w:val="center"/>
              <w:rPr>
                <w:rFonts w:hint="eastAsia" w:ascii="宋体" w:hAnsi="宋体" w:eastAsia="宋体" w:cs="Times New Roman"/>
                <w:szCs w:val="21"/>
              </w:rPr>
            </w:pPr>
            <w:r>
              <w:rPr>
                <w:rFonts w:hint="eastAsia" w:ascii="宋体" w:hAnsi="宋体" w:eastAsia="宋体" w:cs="Times New Roman"/>
                <w:szCs w:val="21"/>
              </w:rPr>
              <w:t>6</w:t>
            </w:r>
          </w:p>
        </w:tc>
      </w:tr>
      <w:tr w14:paraId="7608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037D6420">
            <w:pPr>
              <w:jc w:val="center"/>
              <w:rPr>
                <w:rFonts w:hint="eastAsia" w:ascii="宋体" w:hAnsi="宋体" w:eastAsia="宋体" w:cs="Times New Roman"/>
                <w:szCs w:val="21"/>
              </w:rPr>
            </w:pPr>
          </w:p>
        </w:tc>
        <w:tc>
          <w:tcPr>
            <w:tcW w:w="8228" w:type="dxa"/>
            <w:gridSpan w:val="5"/>
            <w:vAlign w:val="center"/>
          </w:tcPr>
          <w:p w14:paraId="7C76D65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结合案例，理解跨学科学习的重要性以及教师开展跨学科教学应具备的素养，树立终身学习意识，努力成为“四有”好老师。</w:t>
            </w:r>
          </w:p>
        </w:tc>
      </w:tr>
      <w:tr w14:paraId="576B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513447A9">
            <w:pPr>
              <w:jc w:val="center"/>
              <w:rPr>
                <w:rFonts w:hint="eastAsia" w:ascii="宋体" w:hAnsi="宋体" w:eastAsia="宋体" w:cs="Times New Roman"/>
                <w:szCs w:val="21"/>
              </w:rPr>
            </w:pPr>
            <w:r>
              <w:rPr>
                <w:rFonts w:hint="eastAsia" w:ascii="宋体" w:hAnsi="宋体" w:eastAsia="宋体" w:cs="Times New Roman"/>
                <w:szCs w:val="21"/>
              </w:rPr>
              <w:t>4.跨学科主题学习的目标确定</w:t>
            </w:r>
          </w:p>
        </w:tc>
        <w:tc>
          <w:tcPr>
            <w:tcW w:w="2800" w:type="dxa"/>
            <w:vAlign w:val="center"/>
          </w:tcPr>
          <w:p w14:paraId="5DAE03C5">
            <w:pPr>
              <w:jc w:val="left"/>
              <w:rPr>
                <w:rFonts w:hint="eastAsia" w:ascii="宋体" w:hAnsi="宋体" w:eastAsia="宋体" w:cs="Times New Roman"/>
                <w:szCs w:val="21"/>
              </w:rPr>
            </w:pPr>
            <w:r>
              <w:rPr>
                <w:rFonts w:hint="eastAsia" w:ascii="宋体" w:hAnsi="宋体" w:eastAsia="宋体" w:cs="Times New Roman"/>
                <w:szCs w:val="21"/>
              </w:rPr>
              <w:t>（1）确定目标的基本依据</w:t>
            </w:r>
          </w:p>
          <w:p w14:paraId="77D3938D">
            <w:pPr>
              <w:jc w:val="left"/>
              <w:rPr>
                <w:rFonts w:hint="eastAsia" w:ascii="宋体" w:hAnsi="宋体" w:eastAsia="宋体" w:cs="Times New Roman"/>
                <w:szCs w:val="21"/>
              </w:rPr>
            </w:pPr>
            <w:r>
              <w:rPr>
                <w:rFonts w:hint="eastAsia" w:ascii="宋体" w:hAnsi="宋体" w:eastAsia="宋体" w:cs="Times New Roman"/>
                <w:szCs w:val="21"/>
              </w:rPr>
              <w:t>（2）目标的基本要点</w:t>
            </w:r>
          </w:p>
          <w:p w14:paraId="0AD07326">
            <w:pPr>
              <w:jc w:val="left"/>
              <w:rPr>
                <w:rFonts w:hint="eastAsia" w:ascii="宋体" w:hAnsi="宋体" w:eastAsia="宋体" w:cs="Times New Roman"/>
                <w:szCs w:val="21"/>
              </w:rPr>
            </w:pPr>
            <w:r>
              <w:rPr>
                <w:rFonts w:hint="eastAsia" w:ascii="宋体" w:hAnsi="宋体" w:eastAsia="宋体" w:cs="Times New Roman"/>
                <w:szCs w:val="21"/>
              </w:rPr>
              <w:t>（3）目标的表述方式</w:t>
            </w:r>
          </w:p>
        </w:tc>
        <w:tc>
          <w:tcPr>
            <w:tcW w:w="1184" w:type="dxa"/>
            <w:vAlign w:val="center"/>
          </w:tcPr>
          <w:p w14:paraId="79DE3412">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16" w:type="dxa"/>
            <w:vAlign w:val="center"/>
          </w:tcPr>
          <w:p w14:paraId="5C808A60">
            <w:pPr>
              <w:jc w:val="left"/>
              <w:rPr>
                <w:rFonts w:hint="eastAsia" w:ascii="宋体" w:hAnsi="宋体" w:eastAsia="宋体" w:cs="Times New Roman"/>
                <w:szCs w:val="21"/>
              </w:rPr>
            </w:pPr>
            <w:r>
              <w:rPr>
                <w:rFonts w:hint="eastAsia" w:ascii="宋体" w:hAnsi="宋体" w:eastAsia="宋体" w:cs="Times New Roman"/>
                <w:szCs w:val="21"/>
              </w:rPr>
              <w:t>1.理解跨学科学习目标确定的基本依据；</w:t>
            </w:r>
          </w:p>
          <w:p w14:paraId="4A497E2F">
            <w:pPr>
              <w:jc w:val="left"/>
              <w:rPr>
                <w:rFonts w:hint="eastAsia" w:ascii="宋体" w:hAnsi="宋体" w:eastAsia="宋体" w:cs="Times New Roman"/>
                <w:szCs w:val="21"/>
              </w:rPr>
            </w:pPr>
            <w:r>
              <w:rPr>
                <w:rFonts w:hint="eastAsia" w:ascii="宋体" w:hAnsi="宋体" w:eastAsia="宋体" w:cs="Times New Roman"/>
                <w:szCs w:val="21"/>
              </w:rPr>
              <w:t>2.掌握跨学科学习目标的基本要点与表述方式；</w:t>
            </w:r>
          </w:p>
          <w:p w14:paraId="007AADD7">
            <w:pPr>
              <w:jc w:val="left"/>
              <w:rPr>
                <w:rFonts w:hint="eastAsia" w:ascii="宋体" w:hAnsi="宋体" w:eastAsia="宋体" w:cs="Times New Roman"/>
                <w:szCs w:val="21"/>
              </w:rPr>
            </w:pPr>
            <w:r>
              <w:rPr>
                <w:rFonts w:hint="eastAsia" w:ascii="宋体" w:hAnsi="宋体" w:eastAsia="宋体" w:cs="Times New Roman"/>
                <w:szCs w:val="21"/>
              </w:rPr>
              <w:t>3.能够进行科学的目标表述。</w:t>
            </w:r>
          </w:p>
        </w:tc>
        <w:tc>
          <w:tcPr>
            <w:tcW w:w="1490" w:type="dxa"/>
            <w:vAlign w:val="center"/>
          </w:tcPr>
          <w:p w14:paraId="7D6BBFA2">
            <w:pPr>
              <w:jc w:val="left"/>
              <w:rPr>
                <w:rFonts w:hint="eastAsia" w:ascii="宋体" w:hAnsi="宋体" w:eastAsia="宋体" w:cs="Times New Roman"/>
                <w:szCs w:val="21"/>
              </w:rPr>
            </w:pPr>
            <w:r>
              <w:rPr>
                <w:rFonts w:ascii="宋体" w:hAnsi="宋体" w:eastAsia="宋体" w:cs="Times New Roman"/>
                <w:szCs w:val="21"/>
              </w:rPr>
              <w:t>1.线上学习</w:t>
            </w:r>
          </w:p>
          <w:p w14:paraId="29A3A257">
            <w:pPr>
              <w:jc w:val="left"/>
              <w:rPr>
                <w:rFonts w:hint="eastAsia" w:ascii="宋体" w:hAnsi="宋体" w:eastAsia="宋体" w:cs="Times New Roman"/>
                <w:szCs w:val="21"/>
              </w:rPr>
            </w:pPr>
            <w:r>
              <w:rPr>
                <w:rFonts w:ascii="宋体" w:hAnsi="宋体" w:eastAsia="宋体" w:cs="Times New Roman"/>
                <w:szCs w:val="21"/>
              </w:rPr>
              <w:t>2.多媒体教学3.课堂讨论</w:t>
            </w:r>
          </w:p>
          <w:p w14:paraId="0597A59F">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25B97937">
            <w:pPr>
              <w:jc w:val="center"/>
              <w:rPr>
                <w:rFonts w:hint="eastAsia" w:ascii="宋体" w:hAnsi="宋体" w:eastAsia="宋体" w:cs="Times New Roman"/>
                <w:szCs w:val="21"/>
              </w:rPr>
            </w:pPr>
            <w:r>
              <w:rPr>
                <w:rFonts w:hint="eastAsia" w:ascii="宋体" w:hAnsi="宋体" w:eastAsia="宋体" w:cs="Times New Roman"/>
                <w:szCs w:val="21"/>
              </w:rPr>
              <w:t>6</w:t>
            </w:r>
          </w:p>
        </w:tc>
      </w:tr>
      <w:tr w14:paraId="406A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624F5E58">
            <w:pPr>
              <w:jc w:val="center"/>
              <w:rPr>
                <w:rFonts w:hint="eastAsia" w:ascii="宋体" w:hAnsi="宋体" w:eastAsia="宋体" w:cs="Times New Roman"/>
                <w:szCs w:val="21"/>
              </w:rPr>
            </w:pPr>
          </w:p>
        </w:tc>
        <w:tc>
          <w:tcPr>
            <w:tcW w:w="8228" w:type="dxa"/>
            <w:gridSpan w:val="5"/>
            <w:vAlign w:val="center"/>
          </w:tcPr>
          <w:p w14:paraId="19E34F6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结合案例，理解跨学科学习的重要性以及教师开展跨学科教学应具备的素养，树立终身学习意识，努力成为“四有”好老师。</w:t>
            </w:r>
          </w:p>
        </w:tc>
      </w:tr>
      <w:tr w14:paraId="5A1D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62047742">
            <w:pPr>
              <w:jc w:val="center"/>
              <w:rPr>
                <w:rFonts w:hint="eastAsia" w:ascii="宋体" w:hAnsi="宋体" w:eastAsia="宋体" w:cs="Times New Roman"/>
                <w:szCs w:val="21"/>
              </w:rPr>
            </w:pPr>
            <w:r>
              <w:rPr>
                <w:rFonts w:hint="eastAsia" w:ascii="宋体" w:hAnsi="宋体" w:eastAsia="宋体" w:cs="Times New Roman"/>
                <w:szCs w:val="21"/>
              </w:rPr>
              <w:t>5.跨学科学习的任务设计</w:t>
            </w:r>
          </w:p>
        </w:tc>
        <w:tc>
          <w:tcPr>
            <w:tcW w:w="2800" w:type="dxa"/>
            <w:vAlign w:val="center"/>
          </w:tcPr>
          <w:p w14:paraId="60601835">
            <w:pPr>
              <w:jc w:val="left"/>
              <w:rPr>
                <w:rFonts w:hint="eastAsia" w:ascii="宋体" w:hAnsi="宋体" w:eastAsia="宋体" w:cs="Times New Roman"/>
                <w:szCs w:val="21"/>
              </w:rPr>
            </w:pPr>
            <w:r>
              <w:rPr>
                <w:rFonts w:hint="eastAsia" w:ascii="宋体" w:hAnsi="宋体" w:eastAsia="宋体" w:cs="Times New Roman"/>
                <w:szCs w:val="21"/>
              </w:rPr>
              <w:t>（1）任务设计的依据</w:t>
            </w:r>
          </w:p>
          <w:p w14:paraId="618DA569">
            <w:pPr>
              <w:jc w:val="left"/>
              <w:rPr>
                <w:rFonts w:hint="eastAsia" w:ascii="宋体" w:hAnsi="宋体" w:eastAsia="宋体" w:cs="Times New Roman"/>
                <w:szCs w:val="21"/>
              </w:rPr>
            </w:pPr>
            <w:r>
              <w:rPr>
                <w:rFonts w:hint="eastAsia" w:ascii="宋体" w:hAnsi="宋体" w:eastAsia="宋体" w:cs="Times New Roman"/>
                <w:szCs w:val="21"/>
              </w:rPr>
              <w:t>（2）任务设计的流程</w:t>
            </w:r>
          </w:p>
          <w:p w14:paraId="120F862A">
            <w:pPr>
              <w:jc w:val="left"/>
              <w:rPr>
                <w:rFonts w:hint="eastAsia" w:ascii="宋体" w:hAnsi="宋体" w:eastAsia="宋体" w:cs="Times New Roman"/>
                <w:szCs w:val="21"/>
              </w:rPr>
            </w:pPr>
            <w:r>
              <w:rPr>
                <w:rFonts w:hint="eastAsia" w:ascii="宋体" w:hAnsi="宋体" w:eastAsia="宋体" w:cs="Times New Roman"/>
                <w:szCs w:val="21"/>
              </w:rPr>
              <w:t>（3）任务设计自评</w:t>
            </w:r>
          </w:p>
        </w:tc>
        <w:tc>
          <w:tcPr>
            <w:tcW w:w="1184" w:type="dxa"/>
            <w:vAlign w:val="center"/>
          </w:tcPr>
          <w:p w14:paraId="789AA4A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16" w:type="dxa"/>
            <w:vAlign w:val="center"/>
          </w:tcPr>
          <w:p w14:paraId="5FAB07EF">
            <w:pPr>
              <w:jc w:val="left"/>
              <w:rPr>
                <w:rFonts w:hint="eastAsia" w:ascii="宋体" w:hAnsi="宋体" w:eastAsia="宋体" w:cs="Times New Roman"/>
                <w:szCs w:val="21"/>
              </w:rPr>
            </w:pPr>
            <w:r>
              <w:rPr>
                <w:rFonts w:hint="eastAsia" w:ascii="宋体" w:hAnsi="宋体" w:eastAsia="宋体" w:cs="Times New Roman"/>
                <w:szCs w:val="21"/>
              </w:rPr>
              <w:t>1.掌握跨学科学习任务设计的依据与流程；</w:t>
            </w:r>
          </w:p>
          <w:p w14:paraId="3F5C4C71">
            <w:pPr>
              <w:jc w:val="left"/>
              <w:rPr>
                <w:rFonts w:hint="eastAsia" w:ascii="宋体" w:hAnsi="宋体" w:eastAsia="宋体" w:cs="Times New Roman"/>
                <w:szCs w:val="21"/>
              </w:rPr>
            </w:pPr>
            <w:r>
              <w:rPr>
                <w:rFonts w:hint="eastAsia" w:ascii="宋体" w:hAnsi="宋体" w:eastAsia="宋体" w:cs="Times New Roman"/>
                <w:szCs w:val="21"/>
              </w:rPr>
              <w:t>2.能够进行任务设计并进行自评。</w:t>
            </w:r>
          </w:p>
        </w:tc>
        <w:tc>
          <w:tcPr>
            <w:tcW w:w="1490" w:type="dxa"/>
            <w:vAlign w:val="center"/>
          </w:tcPr>
          <w:p w14:paraId="52ED651D">
            <w:pPr>
              <w:jc w:val="left"/>
              <w:rPr>
                <w:rFonts w:hint="eastAsia" w:ascii="宋体" w:hAnsi="宋体" w:eastAsia="宋体" w:cs="Times New Roman"/>
                <w:szCs w:val="21"/>
              </w:rPr>
            </w:pPr>
            <w:r>
              <w:rPr>
                <w:rFonts w:ascii="宋体" w:hAnsi="宋体" w:eastAsia="宋体" w:cs="Times New Roman"/>
                <w:szCs w:val="21"/>
              </w:rPr>
              <w:t>1.线上学习</w:t>
            </w:r>
          </w:p>
          <w:p w14:paraId="784CF01C">
            <w:pPr>
              <w:jc w:val="left"/>
              <w:rPr>
                <w:rFonts w:hint="eastAsia" w:ascii="宋体" w:hAnsi="宋体" w:eastAsia="宋体" w:cs="Times New Roman"/>
                <w:szCs w:val="21"/>
              </w:rPr>
            </w:pPr>
            <w:r>
              <w:rPr>
                <w:rFonts w:ascii="宋体" w:hAnsi="宋体" w:eastAsia="宋体" w:cs="Times New Roman"/>
                <w:szCs w:val="21"/>
              </w:rPr>
              <w:t>2.多媒体教学3.课堂讨论</w:t>
            </w:r>
          </w:p>
          <w:p w14:paraId="3AA45590">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4D7344A9">
            <w:pPr>
              <w:jc w:val="center"/>
              <w:rPr>
                <w:rFonts w:hint="eastAsia" w:ascii="宋体" w:hAnsi="宋体" w:eastAsia="宋体" w:cs="Times New Roman"/>
                <w:szCs w:val="21"/>
              </w:rPr>
            </w:pPr>
            <w:r>
              <w:rPr>
                <w:rFonts w:hint="eastAsia" w:ascii="宋体" w:hAnsi="宋体" w:eastAsia="宋体" w:cs="Times New Roman"/>
                <w:szCs w:val="21"/>
              </w:rPr>
              <w:t>6</w:t>
            </w:r>
          </w:p>
        </w:tc>
      </w:tr>
      <w:tr w14:paraId="40BA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496494CD">
            <w:pPr>
              <w:jc w:val="center"/>
              <w:rPr>
                <w:rFonts w:hint="eastAsia" w:ascii="宋体" w:hAnsi="宋体" w:eastAsia="宋体" w:cs="Times New Roman"/>
                <w:szCs w:val="21"/>
              </w:rPr>
            </w:pPr>
          </w:p>
        </w:tc>
        <w:tc>
          <w:tcPr>
            <w:tcW w:w="8228" w:type="dxa"/>
            <w:gridSpan w:val="5"/>
            <w:vAlign w:val="center"/>
          </w:tcPr>
          <w:p w14:paraId="32AD62F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结合案例，理解跨学科学习的重要性以及教师开展跨学科教学应具备的素养，树立终身学习意识，努力成为“四有”好老师。</w:t>
            </w:r>
          </w:p>
        </w:tc>
      </w:tr>
      <w:tr w14:paraId="0E28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5AD24935">
            <w:pPr>
              <w:jc w:val="center"/>
              <w:rPr>
                <w:rFonts w:hint="eastAsia" w:ascii="宋体" w:hAnsi="宋体" w:eastAsia="宋体" w:cs="Times New Roman"/>
                <w:szCs w:val="21"/>
              </w:rPr>
            </w:pPr>
            <w:r>
              <w:rPr>
                <w:rFonts w:hint="eastAsia" w:ascii="宋体" w:hAnsi="宋体" w:eastAsia="宋体" w:cs="Times New Roman"/>
                <w:szCs w:val="21"/>
              </w:rPr>
              <w:t>6.跨学科学习的评价设计</w:t>
            </w:r>
          </w:p>
        </w:tc>
        <w:tc>
          <w:tcPr>
            <w:tcW w:w="2800" w:type="dxa"/>
            <w:vAlign w:val="center"/>
          </w:tcPr>
          <w:p w14:paraId="504F5D6E">
            <w:pPr>
              <w:jc w:val="left"/>
              <w:rPr>
                <w:rFonts w:hint="eastAsia" w:ascii="宋体" w:hAnsi="宋体" w:eastAsia="宋体" w:cs="Times New Roman"/>
                <w:szCs w:val="21"/>
              </w:rPr>
            </w:pPr>
            <w:r>
              <w:rPr>
                <w:rFonts w:hint="eastAsia" w:ascii="宋体" w:hAnsi="宋体" w:eastAsia="宋体" w:cs="Times New Roman"/>
                <w:szCs w:val="21"/>
              </w:rPr>
              <w:t>（1）评价设计的基本依据</w:t>
            </w:r>
          </w:p>
          <w:p w14:paraId="0FC02360">
            <w:pPr>
              <w:jc w:val="left"/>
              <w:rPr>
                <w:rFonts w:hint="eastAsia" w:ascii="宋体" w:hAnsi="宋体" w:eastAsia="宋体" w:cs="Times New Roman"/>
                <w:szCs w:val="21"/>
              </w:rPr>
            </w:pPr>
            <w:r>
              <w:rPr>
                <w:rFonts w:hint="eastAsia" w:ascii="宋体" w:hAnsi="宋体" w:eastAsia="宋体" w:cs="Times New Roman"/>
                <w:szCs w:val="21"/>
              </w:rPr>
              <w:t>（2）评价设计要点</w:t>
            </w:r>
          </w:p>
          <w:p w14:paraId="5919C841">
            <w:pPr>
              <w:jc w:val="left"/>
              <w:rPr>
                <w:rFonts w:hint="eastAsia" w:ascii="宋体" w:hAnsi="宋体" w:eastAsia="宋体" w:cs="Times New Roman"/>
                <w:szCs w:val="21"/>
              </w:rPr>
            </w:pPr>
            <w:r>
              <w:rPr>
                <w:rFonts w:hint="eastAsia" w:ascii="宋体" w:hAnsi="宋体" w:eastAsia="宋体" w:cs="Times New Roman"/>
                <w:szCs w:val="21"/>
              </w:rPr>
              <w:t>（3）引导学生参与评价</w:t>
            </w:r>
          </w:p>
        </w:tc>
        <w:tc>
          <w:tcPr>
            <w:tcW w:w="1184" w:type="dxa"/>
            <w:vAlign w:val="center"/>
          </w:tcPr>
          <w:p w14:paraId="4D245029">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16" w:type="dxa"/>
            <w:vAlign w:val="center"/>
          </w:tcPr>
          <w:p w14:paraId="052419FA">
            <w:pPr>
              <w:jc w:val="left"/>
              <w:rPr>
                <w:rFonts w:hint="eastAsia" w:ascii="宋体" w:hAnsi="宋体" w:eastAsia="宋体" w:cs="Times New Roman"/>
                <w:szCs w:val="21"/>
              </w:rPr>
            </w:pPr>
            <w:r>
              <w:rPr>
                <w:rFonts w:hint="eastAsia" w:ascii="宋体" w:hAnsi="宋体" w:eastAsia="宋体" w:cs="Times New Roman"/>
                <w:szCs w:val="21"/>
              </w:rPr>
              <w:t>1.理解跨学科学习评价设计的依据、掌握评价设计的要点；</w:t>
            </w:r>
          </w:p>
          <w:p w14:paraId="55054092">
            <w:pPr>
              <w:jc w:val="left"/>
              <w:rPr>
                <w:rFonts w:hint="eastAsia" w:ascii="宋体" w:hAnsi="宋体" w:eastAsia="宋体" w:cs="Times New Roman"/>
                <w:szCs w:val="21"/>
              </w:rPr>
            </w:pPr>
            <w:r>
              <w:rPr>
                <w:rFonts w:hint="eastAsia" w:ascii="宋体" w:hAnsi="宋体" w:eastAsia="宋体" w:cs="Times New Roman"/>
                <w:szCs w:val="21"/>
              </w:rPr>
              <w:t>2.能够引导学生参与评价。</w:t>
            </w:r>
          </w:p>
        </w:tc>
        <w:tc>
          <w:tcPr>
            <w:tcW w:w="1490" w:type="dxa"/>
            <w:vAlign w:val="center"/>
          </w:tcPr>
          <w:p w14:paraId="458AF615">
            <w:pPr>
              <w:jc w:val="left"/>
              <w:rPr>
                <w:rFonts w:hint="eastAsia" w:ascii="宋体" w:hAnsi="宋体" w:eastAsia="宋体" w:cs="Times New Roman"/>
                <w:szCs w:val="21"/>
              </w:rPr>
            </w:pPr>
            <w:r>
              <w:rPr>
                <w:rFonts w:ascii="宋体" w:hAnsi="宋体" w:eastAsia="宋体" w:cs="Times New Roman"/>
                <w:szCs w:val="21"/>
              </w:rPr>
              <w:t>1.线上学习</w:t>
            </w:r>
          </w:p>
          <w:p w14:paraId="7F0F63AF">
            <w:pPr>
              <w:jc w:val="left"/>
              <w:rPr>
                <w:rFonts w:hint="eastAsia" w:ascii="宋体" w:hAnsi="宋体" w:eastAsia="宋体" w:cs="Times New Roman"/>
                <w:szCs w:val="21"/>
              </w:rPr>
            </w:pPr>
            <w:r>
              <w:rPr>
                <w:rFonts w:ascii="宋体" w:hAnsi="宋体" w:eastAsia="宋体" w:cs="Times New Roman"/>
                <w:szCs w:val="21"/>
              </w:rPr>
              <w:t>2.多媒体教学3.课堂讨论</w:t>
            </w:r>
          </w:p>
          <w:p w14:paraId="0C702B89">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4642DD18">
            <w:pPr>
              <w:jc w:val="center"/>
              <w:rPr>
                <w:rFonts w:hint="eastAsia" w:ascii="宋体" w:hAnsi="宋体" w:eastAsia="宋体" w:cs="Times New Roman"/>
                <w:szCs w:val="21"/>
              </w:rPr>
            </w:pPr>
            <w:r>
              <w:rPr>
                <w:rFonts w:hint="eastAsia" w:ascii="宋体" w:hAnsi="宋体" w:eastAsia="宋体" w:cs="Times New Roman"/>
                <w:szCs w:val="21"/>
              </w:rPr>
              <w:t>4</w:t>
            </w:r>
          </w:p>
        </w:tc>
      </w:tr>
      <w:tr w14:paraId="2DF7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49E7232F">
            <w:pPr>
              <w:jc w:val="center"/>
              <w:rPr>
                <w:rFonts w:hint="eastAsia" w:ascii="宋体" w:hAnsi="宋体" w:eastAsia="宋体" w:cs="Times New Roman"/>
                <w:szCs w:val="21"/>
              </w:rPr>
            </w:pPr>
          </w:p>
        </w:tc>
        <w:tc>
          <w:tcPr>
            <w:tcW w:w="8228" w:type="dxa"/>
            <w:gridSpan w:val="5"/>
            <w:vAlign w:val="center"/>
          </w:tcPr>
          <w:p w14:paraId="433D9E8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结合案例，理解跨学科学习的重要性以及教师开展跨学科教学应具备的素养，树立终身学习意识，努力成为“四有”好老师。</w:t>
            </w:r>
          </w:p>
        </w:tc>
      </w:tr>
      <w:tr w14:paraId="7807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168633C7">
            <w:pPr>
              <w:jc w:val="center"/>
              <w:rPr>
                <w:rFonts w:hint="eastAsia" w:ascii="宋体" w:hAnsi="宋体" w:eastAsia="宋体" w:cs="Times New Roman"/>
                <w:szCs w:val="21"/>
              </w:rPr>
            </w:pPr>
            <w:r>
              <w:rPr>
                <w:rFonts w:hint="eastAsia" w:ascii="宋体" w:hAnsi="宋体" w:eastAsia="宋体" w:cs="Times New Roman"/>
                <w:szCs w:val="21"/>
              </w:rPr>
              <w:t>7.跨学科学习的教研活动</w:t>
            </w:r>
          </w:p>
        </w:tc>
        <w:tc>
          <w:tcPr>
            <w:tcW w:w="2800" w:type="dxa"/>
            <w:vAlign w:val="center"/>
          </w:tcPr>
          <w:p w14:paraId="357D0E45">
            <w:pPr>
              <w:jc w:val="left"/>
              <w:rPr>
                <w:rFonts w:hint="eastAsia" w:ascii="宋体" w:hAnsi="宋体" w:eastAsia="宋体" w:cs="Times New Roman"/>
                <w:szCs w:val="21"/>
              </w:rPr>
            </w:pPr>
            <w:r>
              <w:rPr>
                <w:rFonts w:hint="eastAsia" w:ascii="宋体" w:hAnsi="宋体" w:eastAsia="宋体" w:cs="Times New Roman"/>
                <w:szCs w:val="21"/>
              </w:rPr>
              <w:t>（1）价值与难点</w:t>
            </w:r>
          </w:p>
          <w:p w14:paraId="199930A8">
            <w:pPr>
              <w:jc w:val="left"/>
              <w:rPr>
                <w:rFonts w:hint="eastAsia" w:ascii="宋体" w:hAnsi="宋体" w:eastAsia="宋体" w:cs="Times New Roman"/>
                <w:szCs w:val="21"/>
              </w:rPr>
            </w:pPr>
            <w:r>
              <w:rPr>
                <w:rFonts w:hint="eastAsia" w:ascii="宋体" w:hAnsi="宋体" w:eastAsia="宋体" w:cs="Times New Roman"/>
                <w:szCs w:val="21"/>
              </w:rPr>
              <w:t>（2）基本类型</w:t>
            </w:r>
          </w:p>
          <w:p w14:paraId="24EC4A5D">
            <w:pPr>
              <w:jc w:val="left"/>
              <w:rPr>
                <w:rFonts w:hint="eastAsia" w:ascii="宋体" w:hAnsi="宋体" w:eastAsia="宋体" w:cs="Times New Roman"/>
                <w:szCs w:val="21"/>
              </w:rPr>
            </w:pPr>
            <w:r>
              <w:rPr>
                <w:rFonts w:hint="eastAsia" w:ascii="宋体" w:hAnsi="宋体" w:eastAsia="宋体" w:cs="Times New Roman"/>
                <w:szCs w:val="21"/>
              </w:rPr>
              <w:t>（3）基本流程和关键要素</w:t>
            </w:r>
          </w:p>
        </w:tc>
        <w:tc>
          <w:tcPr>
            <w:tcW w:w="1184" w:type="dxa"/>
            <w:vAlign w:val="center"/>
          </w:tcPr>
          <w:p w14:paraId="17EDA782">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16" w:type="dxa"/>
            <w:vAlign w:val="center"/>
          </w:tcPr>
          <w:p w14:paraId="133FD1EA">
            <w:pPr>
              <w:jc w:val="left"/>
              <w:rPr>
                <w:rFonts w:hint="eastAsia" w:ascii="宋体" w:hAnsi="宋体" w:eastAsia="宋体" w:cs="Times New Roman"/>
                <w:szCs w:val="21"/>
              </w:rPr>
            </w:pPr>
            <w:r>
              <w:rPr>
                <w:rFonts w:hint="eastAsia" w:ascii="宋体" w:hAnsi="宋体" w:eastAsia="宋体" w:cs="Times New Roman"/>
                <w:szCs w:val="21"/>
              </w:rPr>
              <w:t>1.了解跨学科学习教研活动的价值与难点，掌握教研活动的类型与基本流程；</w:t>
            </w:r>
          </w:p>
          <w:p w14:paraId="1264AD84">
            <w:pPr>
              <w:jc w:val="left"/>
              <w:rPr>
                <w:rFonts w:hint="eastAsia" w:ascii="宋体" w:hAnsi="宋体" w:eastAsia="宋体" w:cs="Times New Roman"/>
                <w:szCs w:val="21"/>
              </w:rPr>
            </w:pPr>
            <w:r>
              <w:rPr>
                <w:rFonts w:hint="eastAsia" w:ascii="宋体" w:hAnsi="宋体" w:eastAsia="宋体" w:cs="Times New Roman"/>
                <w:szCs w:val="21"/>
              </w:rPr>
              <w:t>2.能够开展跨学科学习教研活动；</w:t>
            </w:r>
          </w:p>
        </w:tc>
        <w:tc>
          <w:tcPr>
            <w:tcW w:w="1490" w:type="dxa"/>
            <w:vAlign w:val="center"/>
          </w:tcPr>
          <w:p w14:paraId="3B615A93">
            <w:pPr>
              <w:jc w:val="left"/>
              <w:rPr>
                <w:rFonts w:hint="eastAsia" w:ascii="宋体" w:hAnsi="宋体" w:eastAsia="宋体" w:cs="Times New Roman"/>
                <w:szCs w:val="21"/>
              </w:rPr>
            </w:pPr>
            <w:r>
              <w:rPr>
                <w:rFonts w:ascii="宋体" w:hAnsi="宋体" w:eastAsia="宋体" w:cs="Times New Roman"/>
                <w:szCs w:val="21"/>
              </w:rPr>
              <w:t>1.线上学习</w:t>
            </w:r>
          </w:p>
          <w:p w14:paraId="20DC8708">
            <w:pPr>
              <w:jc w:val="left"/>
              <w:rPr>
                <w:rFonts w:hint="eastAsia" w:ascii="宋体" w:hAnsi="宋体" w:eastAsia="宋体" w:cs="Times New Roman"/>
                <w:szCs w:val="21"/>
              </w:rPr>
            </w:pPr>
            <w:r>
              <w:rPr>
                <w:rFonts w:ascii="宋体" w:hAnsi="宋体" w:eastAsia="宋体" w:cs="Times New Roman"/>
                <w:szCs w:val="21"/>
              </w:rPr>
              <w:t>2.多媒体教学3.课堂讨论</w:t>
            </w:r>
          </w:p>
          <w:p w14:paraId="4734F846">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56258260">
            <w:pPr>
              <w:jc w:val="center"/>
              <w:rPr>
                <w:rFonts w:hint="eastAsia" w:ascii="宋体" w:hAnsi="宋体" w:eastAsia="宋体" w:cs="Times New Roman"/>
                <w:szCs w:val="21"/>
              </w:rPr>
            </w:pPr>
            <w:r>
              <w:rPr>
                <w:rFonts w:hint="eastAsia" w:ascii="宋体" w:hAnsi="宋体" w:eastAsia="宋体" w:cs="Times New Roman"/>
                <w:szCs w:val="21"/>
              </w:rPr>
              <w:t>4</w:t>
            </w:r>
          </w:p>
        </w:tc>
      </w:tr>
      <w:tr w14:paraId="21FF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51FD552B">
            <w:pPr>
              <w:jc w:val="center"/>
              <w:rPr>
                <w:rFonts w:hint="eastAsia" w:ascii="宋体" w:hAnsi="宋体" w:eastAsia="宋体" w:cs="Times New Roman"/>
                <w:szCs w:val="21"/>
              </w:rPr>
            </w:pPr>
          </w:p>
        </w:tc>
        <w:tc>
          <w:tcPr>
            <w:tcW w:w="8228" w:type="dxa"/>
            <w:gridSpan w:val="5"/>
            <w:vAlign w:val="center"/>
          </w:tcPr>
          <w:p w14:paraId="7EB933A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结合案例，理解开展跨学科学习教研活动的重要性，树立终身学习意识与研究意识，努力成为“四有”好老师。</w:t>
            </w:r>
          </w:p>
        </w:tc>
      </w:tr>
    </w:tbl>
    <w:p w14:paraId="5F7D492D">
      <w:pPr>
        <w:spacing w:before="62" w:beforeLines="20" w:after="62" w:afterLines="20" w:line="360" w:lineRule="auto"/>
        <w:jc w:val="left"/>
        <w:rPr>
          <w:rFonts w:hint="eastAsia" w:ascii="宋体" w:hAnsi="宋体" w:eastAsia="宋体" w:cs="Times New Roman"/>
          <w:b/>
          <w:sz w:val="24"/>
        </w:rPr>
      </w:pPr>
      <w:r>
        <w:rPr>
          <w:rFonts w:hint="eastAsia" w:ascii="宋体" w:hAnsi="宋体" w:eastAsia="宋体" w:cs="Times New Roman"/>
          <w:b/>
          <w:sz w:val="24"/>
        </w:rPr>
        <w:t>四、目标评价与成绩评定</w:t>
      </w:r>
    </w:p>
    <w:p w14:paraId="646D1D1C">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902AC3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140"/>
        <w:gridCol w:w="1110"/>
        <w:gridCol w:w="1425"/>
        <w:gridCol w:w="1170"/>
        <w:gridCol w:w="1575"/>
        <w:gridCol w:w="1140"/>
      </w:tblGrid>
      <w:tr w14:paraId="3608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06967DA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5"/>
            <w:vAlign w:val="center"/>
          </w:tcPr>
          <w:p w14:paraId="565FFD55">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3B869B84">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111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110D21C8">
            <w:pPr>
              <w:spacing w:line="360" w:lineRule="auto"/>
              <w:jc w:val="center"/>
              <w:rPr>
                <w:rFonts w:hint="eastAsia" w:ascii="宋体" w:hAnsi="宋体" w:eastAsia="宋体" w:cs="Times New Roman"/>
                <w:szCs w:val="21"/>
              </w:rPr>
            </w:pPr>
          </w:p>
        </w:tc>
        <w:tc>
          <w:tcPr>
            <w:tcW w:w="1140" w:type="dxa"/>
            <w:vAlign w:val="center"/>
          </w:tcPr>
          <w:p w14:paraId="3FD5B56C">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110" w:type="dxa"/>
            <w:vAlign w:val="center"/>
          </w:tcPr>
          <w:p w14:paraId="049DB9D1">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425" w:type="dxa"/>
            <w:vAlign w:val="center"/>
          </w:tcPr>
          <w:p w14:paraId="31EE48A4">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1170" w:type="dxa"/>
            <w:vAlign w:val="center"/>
          </w:tcPr>
          <w:p w14:paraId="1D657A85">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575" w:type="dxa"/>
          </w:tcPr>
          <w:p w14:paraId="591A09F8">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1140" w:type="dxa"/>
            <w:vMerge w:val="continue"/>
            <w:vAlign w:val="center"/>
          </w:tcPr>
          <w:p w14:paraId="56FD5E23">
            <w:pPr>
              <w:spacing w:line="360" w:lineRule="auto"/>
              <w:jc w:val="center"/>
              <w:rPr>
                <w:rFonts w:hint="eastAsia" w:ascii="宋体" w:hAnsi="宋体" w:eastAsia="宋体" w:cs="Times New Roman"/>
                <w:szCs w:val="21"/>
              </w:rPr>
            </w:pPr>
          </w:p>
        </w:tc>
      </w:tr>
      <w:tr w14:paraId="3B98E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EB3529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140" w:type="dxa"/>
            <w:vAlign w:val="center"/>
          </w:tcPr>
          <w:p w14:paraId="607409A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0" w:type="dxa"/>
            <w:vAlign w:val="center"/>
          </w:tcPr>
          <w:p w14:paraId="5EA3183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25" w:type="dxa"/>
            <w:vAlign w:val="center"/>
          </w:tcPr>
          <w:p w14:paraId="31E5F4C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70" w:type="dxa"/>
            <w:vAlign w:val="center"/>
          </w:tcPr>
          <w:p w14:paraId="5DECC34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75" w:type="dxa"/>
          </w:tcPr>
          <w:p w14:paraId="5F0D133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13A85385">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1E28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736C769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140" w:type="dxa"/>
            <w:vAlign w:val="center"/>
          </w:tcPr>
          <w:p w14:paraId="230ECFA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0" w:type="dxa"/>
            <w:vAlign w:val="center"/>
          </w:tcPr>
          <w:p w14:paraId="0A42290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25" w:type="dxa"/>
            <w:vAlign w:val="center"/>
          </w:tcPr>
          <w:p w14:paraId="272D54E1">
            <w:pPr>
              <w:spacing w:line="360" w:lineRule="auto"/>
              <w:jc w:val="center"/>
              <w:rPr>
                <w:rFonts w:hint="eastAsia" w:ascii="宋体" w:hAnsi="宋体" w:eastAsia="宋体" w:cs="Times New Roman"/>
                <w:szCs w:val="21"/>
              </w:rPr>
            </w:pPr>
          </w:p>
        </w:tc>
        <w:tc>
          <w:tcPr>
            <w:tcW w:w="1170" w:type="dxa"/>
            <w:vAlign w:val="center"/>
          </w:tcPr>
          <w:p w14:paraId="111DF2F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75" w:type="dxa"/>
          </w:tcPr>
          <w:p w14:paraId="44FE9C3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76BAA896">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4554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ACDCC3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140" w:type="dxa"/>
            <w:vAlign w:val="center"/>
          </w:tcPr>
          <w:p w14:paraId="641FA00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0" w:type="dxa"/>
            <w:vAlign w:val="center"/>
          </w:tcPr>
          <w:p w14:paraId="2C4C4FF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25" w:type="dxa"/>
            <w:vAlign w:val="center"/>
          </w:tcPr>
          <w:p w14:paraId="06A5965F">
            <w:pPr>
              <w:spacing w:line="360" w:lineRule="auto"/>
              <w:jc w:val="center"/>
              <w:rPr>
                <w:rFonts w:hint="eastAsia" w:ascii="宋体" w:hAnsi="宋体" w:eastAsia="宋体" w:cs="Times New Roman"/>
                <w:szCs w:val="21"/>
              </w:rPr>
            </w:pPr>
          </w:p>
        </w:tc>
        <w:tc>
          <w:tcPr>
            <w:tcW w:w="1170" w:type="dxa"/>
            <w:vAlign w:val="center"/>
          </w:tcPr>
          <w:p w14:paraId="19867ED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75" w:type="dxa"/>
          </w:tcPr>
          <w:p w14:paraId="57BD177C">
            <w:pPr>
              <w:spacing w:line="360" w:lineRule="auto"/>
              <w:jc w:val="center"/>
              <w:rPr>
                <w:rFonts w:hint="eastAsia" w:ascii="宋体" w:hAnsi="宋体" w:eastAsia="宋体" w:cs="Times New Roman"/>
                <w:szCs w:val="21"/>
              </w:rPr>
            </w:pPr>
          </w:p>
        </w:tc>
        <w:tc>
          <w:tcPr>
            <w:tcW w:w="1140" w:type="dxa"/>
            <w:vAlign w:val="center"/>
          </w:tcPr>
          <w:p w14:paraId="0C3AC2E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9D9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56D22F46">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140" w:type="dxa"/>
            <w:vAlign w:val="center"/>
          </w:tcPr>
          <w:p w14:paraId="586C622D">
            <w:pPr>
              <w:spacing w:line="360" w:lineRule="auto"/>
              <w:jc w:val="center"/>
              <w:rPr>
                <w:rFonts w:hint="eastAsia" w:ascii="宋体" w:hAnsi="宋体" w:eastAsia="宋体" w:cs="Times New Roman"/>
                <w:szCs w:val="21"/>
              </w:rPr>
            </w:pPr>
          </w:p>
        </w:tc>
        <w:tc>
          <w:tcPr>
            <w:tcW w:w="1110" w:type="dxa"/>
            <w:vAlign w:val="center"/>
          </w:tcPr>
          <w:p w14:paraId="50FF38B4">
            <w:pPr>
              <w:spacing w:line="360" w:lineRule="auto"/>
              <w:jc w:val="center"/>
              <w:rPr>
                <w:rFonts w:hint="eastAsia" w:ascii="宋体" w:hAnsi="宋体" w:eastAsia="宋体" w:cs="Times New Roman"/>
                <w:szCs w:val="21"/>
              </w:rPr>
            </w:pPr>
          </w:p>
        </w:tc>
        <w:tc>
          <w:tcPr>
            <w:tcW w:w="1425" w:type="dxa"/>
            <w:vAlign w:val="center"/>
          </w:tcPr>
          <w:p w14:paraId="6A2F41DB">
            <w:pPr>
              <w:spacing w:line="360" w:lineRule="auto"/>
              <w:jc w:val="center"/>
              <w:rPr>
                <w:rFonts w:hint="eastAsia" w:ascii="宋体" w:hAnsi="宋体" w:eastAsia="宋体" w:cs="Times New Roman"/>
                <w:szCs w:val="21"/>
              </w:rPr>
            </w:pPr>
          </w:p>
        </w:tc>
        <w:tc>
          <w:tcPr>
            <w:tcW w:w="1170" w:type="dxa"/>
            <w:vAlign w:val="center"/>
          </w:tcPr>
          <w:p w14:paraId="31FE610D">
            <w:pPr>
              <w:spacing w:line="360" w:lineRule="auto"/>
              <w:jc w:val="center"/>
              <w:rPr>
                <w:rFonts w:hint="eastAsia" w:ascii="宋体" w:hAnsi="宋体" w:eastAsia="宋体" w:cs="Times New Roman"/>
                <w:szCs w:val="21"/>
              </w:rPr>
            </w:pPr>
          </w:p>
        </w:tc>
        <w:tc>
          <w:tcPr>
            <w:tcW w:w="1575" w:type="dxa"/>
          </w:tcPr>
          <w:p w14:paraId="06DDF82F">
            <w:pPr>
              <w:spacing w:line="360" w:lineRule="auto"/>
              <w:jc w:val="center"/>
              <w:rPr>
                <w:rFonts w:hint="eastAsia" w:ascii="宋体" w:hAnsi="宋体" w:eastAsia="宋体" w:cs="Times New Roman"/>
                <w:szCs w:val="21"/>
              </w:rPr>
            </w:pPr>
          </w:p>
        </w:tc>
        <w:tc>
          <w:tcPr>
            <w:tcW w:w="1140" w:type="dxa"/>
            <w:vAlign w:val="center"/>
          </w:tcPr>
          <w:p w14:paraId="0C86C8FE">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4833C60">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9AFDFA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6A0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23ED0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C48D37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0E5B00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6DD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43531B2">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7C03D7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平时作业即过程性考核：由1篇小论文、2篇实践活动报告组成，主要考查学生对所学知识的理解和应用。</w:t>
            </w:r>
          </w:p>
        </w:tc>
        <w:tc>
          <w:tcPr>
            <w:tcW w:w="0" w:type="auto"/>
            <w:vAlign w:val="center"/>
          </w:tcPr>
          <w:p w14:paraId="7503338E">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129C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DA899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1DCEB67">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课堂考勤：迟到一次扣2分，事假一次扣3分，病假一次扣1分无故缺席一次扣5分，累计达3次以上（不含3次）取消课程成绩。</w:t>
            </w:r>
          </w:p>
          <w:p w14:paraId="133F92D5">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课堂参与：在教学过程中，随机提问，根据回答情况进行评分，同时课堂组织小组讨论，根据每组同学表现给分。</w:t>
            </w:r>
          </w:p>
        </w:tc>
        <w:tc>
          <w:tcPr>
            <w:tcW w:w="0" w:type="auto"/>
            <w:vAlign w:val="center"/>
          </w:tcPr>
          <w:p w14:paraId="08F0A2A4">
            <w:pPr>
              <w:jc w:val="center"/>
              <w:rPr>
                <w:rFonts w:ascii="Times New Roman" w:hAnsi="Times New Roman" w:eastAsia="宋体" w:cs="Times New Roman"/>
                <w:szCs w:val="21"/>
              </w:rPr>
            </w:pPr>
            <w:r>
              <w:rPr>
                <w:rFonts w:hint="eastAsia" w:ascii="Times New Roman" w:hAnsi="Times New Roman" w:eastAsia="宋体" w:cs="Times New Roman"/>
                <w:szCs w:val="21"/>
              </w:rPr>
              <w:t>15%</w:t>
            </w:r>
          </w:p>
        </w:tc>
      </w:tr>
      <w:tr w14:paraId="39BD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C75F333">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23FF9B7C">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对单元知识在线上进行测验，主要考查基础知识和基本理论的掌握，以题目的正确率为得分依据。</w:t>
            </w:r>
          </w:p>
        </w:tc>
        <w:tc>
          <w:tcPr>
            <w:tcW w:w="0" w:type="auto"/>
            <w:vAlign w:val="center"/>
          </w:tcPr>
          <w:p w14:paraId="1FFCA11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FB0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D346517">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1E16FB2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2AE9C5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82C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98C841">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D472B4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试卷题型包括辨析、论述题案例分析题等，以卷面成绩的50%计入课程总成绩。其中考核跨学科主题学习理论和知识型题目占30%；考核学生运用基本理论知识进行分析能力的题型占30%；考核学生运用学与教的基本理论和知识进行教学设计的题型占40%。</w:t>
            </w:r>
          </w:p>
        </w:tc>
        <w:tc>
          <w:tcPr>
            <w:tcW w:w="0" w:type="auto"/>
            <w:vAlign w:val="center"/>
          </w:tcPr>
          <w:p w14:paraId="1E54D99A">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DCC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78FD25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3847A24">
            <w:pPr>
              <w:jc w:val="left"/>
              <w:rPr>
                <w:rFonts w:ascii="Times New Roman" w:hAnsi="Times New Roman" w:eastAsia="宋体" w:cs="Times New Roman"/>
                <w:szCs w:val="21"/>
              </w:rPr>
            </w:pPr>
          </w:p>
        </w:tc>
        <w:tc>
          <w:tcPr>
            <w:tcW w:w="0" w:type="auto"/>
            <w:vAlign w:val="center"/>
          </w:tcPr>
          <w:p w14:paraId="1C4E959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BE4799A">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071A14C4">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0E9B5496">
      <w:pPr>
        <w:spacing w:line="360" w:lineRule="auto"/>
        <w:ind w:firstLine="420" w:firstLineChars="200"/>
        <w:jc w:val="left"/>
        <w:rPr>
          <w:rFonts w:ascii="Times New Roman" w:hAnsi="Times New Roman" w:eastAsia="宋体" w:cs="Times New Roman"/>
          <w:b/>
          <w:bCs/>
          <w:sz w:val="24"/>
        </w:rPr>
      </w:pPr>
      <w:r>
        <w:rPr>
          <w:rFonts w:ascii="宋体" w:hAnsi="宋体" w:eastAsia="宋体" w:cs="Times New Roman"/>
          <w:szCs w:val="21"/>
        </w:rPr>
        <w:object>
          <v:shape id="_x0000_i1054"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54" DrawAspect="Content" ObjectID="_1468075754" r:id="rId42">
            <o:LockedField>false</o:LockedField>
          </o:OLEObject>
        </w:object>
      </w:r>
      <w:r>
        <w:rPr>
          <w:rFonts w:hint="eastAsia" w:ascii="宋体" w:hAnsi="宋体" w:eastAsia="宋体" w:cs="Times New Roman"/>
          <w:b/>
          <w:sz w:val="24"/>
        </w:rPr>
        <w:t>五、有关说明</w:t>
      </w:r>
    </w:p>
    <w:p w14:paraId="7808A680">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7EE87C8D">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37FF1766">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5031665E">
      <w:pPr>
        <w:spacing w:line="312"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郭华等.跨学科主题学习.北京：教育科学出版社，2023.</w:t>
      </w:r>
    </w:p>
    <w:p w14:paraId="1230F47A">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7B1F9501">
      <w:pPr>
        <w:spacing w:line="312"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1.王艳玲等. 跨学科主题学习设计与实施（小学数学）. 北京：教育科学出版社，2023.</w:t>
      </w:r>
    </w:p>
    <w:p w14:paraId="05A43968">
      <w:pPr>
        <w:spacing w:line="312"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2.徐鹏. 跨学科主题学习设计与实施（小学语文）. 北京：教育科学出版社，2023.</w:t>
      </w:r>
    </w:p>
    <w:p w14:paraId="083B0FF2">
      <w:pPr>
        <w:spacing w:line="312" w:lineRule="auto"/>
        <w:ind w:firstLine="420" w:firstLineChars="200"/>
      </w:pPr>
      <w:r>
        <w:rPr>
          <w:rFonts w:hint="eastAsia" w:ascii="Times New Roman" w:hAnsi="Times New Roman" w:eastAsia="宋体" w:cs="Times New Roman"/>
          <w:bCs/>
          <w:szCs w:val="21"/>
        </w:rPr>
        <w:t>3.（美）阿卡西娅·M. 沃伦.跨学科项目式学习.孙明玉译.北京：中国青年出版社，2020</w:t>
      </w:r>
    </w:p>
    <w:p w14:paraId="5CDF5D20">
      <w:pPr>
        <w:spacing w:line="312" w:lineRule="auto"/>
        <w:jc w:val="right"/>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 xml:space="preserve">  执 笔 人：姚玉香</w:t>
      </w:r>
    </w:p>
    <w:p w14:paraId="000486E5">
      <w:pPr>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定 人： 王  健</w:t>
      </w:r>
    </w:p>
    <w:p w14:paraId="48B7B2BE">
      <w:pPr>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4A50FBAA">
      <w:pPr>
        <w:jc w:val="right"/>
        <w:rPr>
          <w:rFonts w:ascii="Times New Roman" w:hAnsi="Times New Roman" w:eastAsia="宋体" w:cs="Times New Roman"/>
          <w:sz w:val="24"/>
        </w:rPr>
      </w:pPr>
      <w:r>
        <w:rPr>
          <w:rFonts w:hint="eastAsia" w:ascii="Times New Roman" w:hAnsi="Times New Roman" w:eastAsia="宋体" w:cs="Times New Roman"/>
          <w:szCs w:val="21"/>
        </w:rPr>
        <w:t>批准时间：2025年7月1日</w:t>
      </w:r>
    </w:p>
    <w:p w14:paraId="1FD38BE4">
      <w:pPr>
        <w:rPr>
          <w:rFonts w:ascii="Times New Roman" w:hAnsi="Times New Roman" w:eastAsia="宋体" w:cs="Times New Roman"/>
          <w:sz w:val="24"/>
        </w:rPr>
      </w:pPr>
    </w:p>
    <w:p w14:paraId="11AA6938">
      <w:pPr>
        <w:rPr>
          <w:rFonts w:ascii="Times New Roman" w:hAnsi="Times New Roman" w:eastAsia="宋体" w:cs="Times New Roman"/>
          <w:sz w:val="24"/>
        </w:rPr>
      </w:pPr>
      <w:r>
        <w:rPr>
          <w:rFonts w:hint="eastAsia" w:ascii="Times New Roman" w:hAnsi="Times New Roman" w:eastAsia="宋体" w:cs="Times New Roman"/>
          <w:sz w:val="24"/>
        </w:rPr>
        <w:br w:type="page"/>
      </w:r>
    </w:p>
    <w:p w14:paraId="51935672">
      <w:pPr>
        <w:spacing w:line="360" w:lineRule="auto"/>
        <w:jc w:val="center"/>
        <w:outlineLvl w:val="0"/>
      </w:pPr>
      <w:bookmarkStart w:id="900" w:name="_Toc9159"/>
      <w:bookmarkStart w:id="901" w:name="_Toc32657"/>
      <w:bookmarkStart w:id="902" w:name="_Toc12192"/>
      <w:bookmarkStart w:id="903" w:name="_Toc27318"/>
      <w:r>
        <w:rPr>
          <w:rFonts w:hint="eastAsia" w:ascii="Times New Roman" w:hAnsi="Times New Roman" w:eastAsia="宋体" w:cs="Times New Roman"/>
          <w:b/>
          <w:sz w:val="44"/>
          <w:szCs w:val="44"/>
        </w:rPr>
        <w:t>《教育论文写作》课程教学大纲</w:t>
      </w:r>
      <w:bookmarkEnd w:id="900"/>
      <w:bookmarkEnd w:id="901"/>
      <w:bookmarkEnd w:id="902"/>
      <w:bookmarkEnd w:id="903"/>
      <w:r>
        <w:rPr>
          <w:rFonts w:hint="eastAsia" w:ascii="Times New Roman" w:hAnsi="Times New Roman" w:eastAsia="宋体" w:cs="Times New Roman"/>
          <w:b/>
          <w:sz w:val="44"/>
          <w:szCs w:val="44"/>
        </w:rPr>
        <w:t xml:space="preserve"> </w:t>
      </w:r>
    </w:p>
    <w:p w14:paraId="1C6829BC">
      <w:pPr>
        <w:spacing w:line="360" w:lineRule="auto"/>
        <w:jc w:val="center"/>
        <w:rPr>
          <w:rFonts w:ascii="Times New Roman" w:hAnsi="Times New Roman" w:eastAsia="宋体" w:cs="Times New Roman"/>
          <w:b/>
          <w:bCs/>
          <w:sz w:val="28"/>
          <w:szCs w:val="28"/>
        </w:rPr>
      </w:pPr>
      <w:bookmarkStart w:id="904" w:name="_Toc30021"/>
      <w:bookmarkStart w:id="905" w:name="_Toc3973"/>
      <w:bookmarkStart w:id="906" w:name="_Toc13634"/>
      <w:bookmarkStart w:id="907" w:name="_Toc8458"/>
      <w:bookmarkStart w:id="908" w:name="_Toc32371"/>
      <w:bookmarkStart w:id="909" w:name="_Toc26250"/>
      <w:bookmarkStart w:id="910" w:name="_Toc3049"/>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Educational Thesis Writing）</w:t>
      </w:r>
      <w:bookmarkEnd w:id="904"/>
      <w:bookmarkEnd w:id="905"/>
      <w:bookmarkEnd w:id="906"/>
      <w:bookmarkEnd w:id="907"/>
      <w:bookmarkEnd w:id="908"/>
      <w:bookmarkEnd w:id="909"/>
      <w:bookmarkEnd w:id="910"/>
    </w:p>
    <w:p w14:paraId="6315CE5D">
      <w:pPr>
        <w:jc w:val="left"/>
        <w:rPr>
          <w:rFonts w:ascii="Times New Roman" w:hAnsi="Times New Roman" w:eastAsia="宋体" w:cs="Times New Roman"/>
          <w:szCs w:val="21"/>
        </w:rPr>
      </w:pPr>
    </w:p>
    <w:p w14:paraId="569AA10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课程名称：教育论文写作</w:t>
      </w:r>
    </w:p>
    <w:p w14:paraId="05212C5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2401025</w:t>
      </w:r>
    </w:p>
    <w:p w14:paraId="64AEDD6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ascii="Times New Roman" w:hAnsi="Times New Roman" w:eastAsia="宋体" w:cs="Times New Roman"/>
          <w:b/>
          <w:sz w:val="24"/>
        </w:rPr>
        <w:t>2</w:t>
      </w:r>
    </w:p>
    <w:p w14:paraId="23714D9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ascii="Times New Roman" w:hAnsi="Times New Roman" w:eastAsia="宋体" w:cs="Times New Roman"/>
          <w:b/>
          <w:sz w:val="24"/>
        </w:rPr>
        <w:t>32（其中，讲授学时16，实践学时16）</w:t>
      </w:r>
    </w:p>
    <w:p w14:paraId="4CB9FC5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先修课程：教育原理、教育心理学、教育哲学、中国教育史、中外基础教育改革热点、教育社会学</w:t>
      </w:r>
    </w:p>
    <w:p w14:paraId="1612335B">
      <w:pPr>
        <w:spacing w:line="360" w:lineRule="auto"/>
        <w:ind w:firstLine="482" w:firstLineChars="200"/>
        <w:jc w:val="left"/>
        <w:rPr>
          <w:rFonts w:ascii="Times New Roman" w:hAnsi="Times New Roman" w:eastAsia="宋体" w:cs="Times New Roman"/>
          <w:szCs w:val="21"/>
        </w:rPr>
      </w:pPr>
      <w:r>
        <w:rPr>
          <w:rFonts w:hint="eastAsia" w:ascii="Times New Roman" w:hAnsi="Times New Roman" w:eastAsia="宋体" w:cs="Times New Roman"/>
          <w:b/>
          <w:sz w:val="24"/>
        </w:rPr>
        <w:t>适用专业：</w:t>
      </w:r>
      <w:r>
        <w:rPr>
          <w:rFonts w:ascii="Times New Roman" w:hAnsi="Times New Roman" w:eastAsia="宋体" w:cs="Times New Roman"/>
          <w:b/>
          <w:sz w:val="24"/>
        </w:rPr>
        <w:t xml:space="preserve"> 小学教育    </w:t>
      </w:r>
      <w:r>
        <w:rPr>
          <w:rFonts w:ascii="Times New Roman" w:hAnsi="Times New Roman" w:eastAsia="宋体" w:cs="Times New Roman"/>
          <w:b/>
          <w:szCs w:val="21"/>
        </w:rPr>
        <w:t xml:space="preserve">   </w:t>
      </w:r>
    </w:p>
    <w:p w14:paraId="5348E1CE">
      <w:pPr>
        <w:spacing w:before="62" w:beforeLines="20" w:after="62" w:afterLines="20" w:line="360" w:lineRule="auto"/>
        <w:jc w:val="left"/>
        <w:rPr>
          <w:rFonts w:ascii="Times New Roman" w:hAnsi="Times New Roman" w:eastAsia="宋体" w:cs="Times New Roman"/>
          <w:sz w:val="24"/>
        </w:rPr>
      </w:pPr>
      <w:r>
        <w:rPr>
          <w:rFonts w:hint="eastAsia" w:ascii="Times New Roman" w:hAnsi="Times New Roman" w:eastAsia="宋体" w:cs="Times New Roman"/>
          <w:b/>
          <w:sz w:val="24"/>
        </w:rPr>
        <w:t>一、课程简介</w:t>
      </w:r>
    </w:p>
    <w:p w14:paraId="2E0B7B12">
      <w:pPr>
        <w:spacing w:line="360" w:lineRule="auto"/>
        <w:ind w:firstLine="420" w:firstLineChars="200"/>
        <w:jc w:val="left"/>
        <w:rPr>
          <w:rFonts w:hint="eastAsia" w:ascii="宋体" w:hAnsi="宋体" w:eastAsia="宋体" w:cs="Times New Roman"/>
          <w:b/>
          <w:szCs w:val="21"/>
        </w:rPr>
      </w:pPr>
      <w:r>
        <w:rPr>
          <w:rFonts w:hint="eastAsia" w:ascii="Times New Roman" w:hAnsi="Times New Roman" w:eastAsia="宋体" w:cs="Times New Roman"/>
          <w:szCs w:val="21"/>
        </w:rPr>
        <w:t>本课程是小学教育专业的一门专业基础选修课程。通过本课程的教学，师范生能够了解教育论文的基本要求与写作过程，初步掌握不同类型教育论文的写作方法，能够撰写符合学术规范和语言规范的教育论文，为后续毕业论文写作奠定基础。</w:t>
      </w:r>
    </w:p>
    <w:p w14:paraId="097D3636">
      <w:pPr>
        <w:spacing w:before="62" w:beforeLines="20" w:after="62" w:afterLines="20" w:line="360" w:lineRule="auto"/>
        <w:jc w:val="left"/>
        <w:rPr>
          <w:rFonts w:ascii="Times New Roman" w:hAnsi="Times New Roman" w:eastAsia="宋体" w:cs="Times New Roman"/>
          <w:szCs w:val="21"/>
        </w:rPr>
      </w:pPr>
      <w:r>
        <w:rPr>
          <w:rFonts w:hint="eastAsia" w:ascii="Times New Roman" w:hAnsi="Times New Roman" w:eastAsia="宋体" w:cs="Times New Roman"/>
          <w:b/>
          <w:sz w:val="24"/>
        </w:rPr>
        <w:t>二、课程目标</w:t>
      </w:r>
    </w:p>
    <w:p w14:paraId="239572D6">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37633E94">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目标</w:t>
      </w:r>
      <w:r>
        <w:rPr>
          <w:rFonts w:ascii="Times New Roman" w:hAnsi="Times New Roman" w:eastAsia="宋体" w:cs="Times New Roman"/>
          <w:kern w:val="0"/>
          <w:szCs w:val="21"/>
        </w:rPr>
        <w:t>1. 理解教育论文写作的意义，熟悉教育论文写作的基本步骤。</w:t>
      </w:r>
    </w:p>
    <w:p w14:paraId="75648E80">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目标</w:t>
      </w:r>
      <w:r>
        <w:rPr>
          <w:rFonts w:ascii="Times New Roman" w:hAnsi="Times New Roman" w:eastAsia="宋体" w:cs="Times New Roman"/>
          <w:kern w:val="0"/>
          <w:szCs w:val="21"/>
        </w:rPr>
        <w:t>2. 结合具体案例，学会分析学术期刊论文、教育综述论文、教育调查报告、教育实验报告、教育经验总结、教育叙事论文、学位论文等类型教育论文的框架结构，解释教育论文的语言特点。</w:t>
      </w:r>
    </w:p>
    <w:p w14:paraId="2DBBC36E">
      <w:pPr>
        <w:autoSpaceDE w:val="0"/>
        <w:autoSpaceDN w:val="0"/>
        <w:adjustRightInd w:val="0"/>
        <w:spacing w:line="360"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目标</w:t>
      </w:r>
      <w:r>
        <w:rPr>
          <w:rFonts w:ascii="Times New Roman" w:hAnsi="Times New Roman" w:eastAsia="宋体" w:cs="Times New Roman"/>
          <w:kern w:val="0"/>
          <w:szCs w:val="21"/>
        </w:rPr>
        <w:t>3．结合教育实践和自身的学习、思考，撰写符合规范的教育论文。</w:t>
      </w:r>
    </w:p>
    <w:p w14:paraId="1745216A">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kern w:val="0"/>
          <w:szCs w:val="21"/>
        </w:rPr>
        <w:t>目标4. 了解教育论文交流、发表的途径与方法，遵守教育论文写作的学术规范，恪守学术道德。</w:t>
      </w:r>
    </w:p>
    <w:p w14:paraId="521F99CD">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269"/>
        <w:gridCol w:w="1472"/>
      </w:tblGrid>
      <w:tr w14:paraId="38EB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215C337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269" w:type="dxa"/>
          </w:tcPr>
          <w:p w14:paraId="692EA4C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472" w:type="dxa"/>
          </w:tcPr>
          <w:p w14:paraId="3D747CF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CFC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1555" w:type="dxa"/>
            <w:vAlign w:val="center"/>
          </w:tcPr>
          <w:p w14:paraId="3429E0CA">
            <w:pPr>
              <w:pStyle w:val="33"/>
              <w:spacing w:line="276" w:lineRule="auto"/>
              <w:ind w:firstLine="0" w:firstLineChars="0"/>
              <w:jc w:val="center"/>
              <w:rPr>
                <w:rFonts w:hint="eastAsia" w:ascii="宋体" w:hAnsi="宋体" w:cs="宋体"/>
                <w:b/>
                <w:bCs/>
                <w:szCs w:val="21"/>
              </w:rPr>
            </w:pPr>
            <w:r>
              <w:rPr>
                <w:rFonts w:hint="eastAsia" w:ascii="宋体" w:hAnsi="宋体" w:cs="宋体"/>
                <w:b/>
                <w:bCs/>
                <w:szCs w:val="21"/>
              </w:rPr>
              <w:t>毕业要求</w:t>
            </w:r>
            <w:r>
              <w:rPr>
                <w:rFonts w:ascii="宋体" w:hAnsi="宋体" w:cs="宋体"/>
                <w:b/>
                <w:bCs/>
                <w:szCs w:val="21"/>
              </w:rPr>
              <w:t>4</w:t>
            </w:r>
            <w:r>
              <w:rPr>
                <w:rFonts w:hint="eastAsia" w:ascii="宋体" w:hAnsi="宋体" w:cs="宋体"/>
                <w:b/>
                <w:bCs/>
                <w:szCs w:val="21"/>
              </w:rPr>
              <w:t>.</w:t>
            </w:r>
          </w:p>
          <w:p w14:paraId="45A170E9">
            <w:pPr>
              <w:pStyle w:val="33"/>
              <w:spacing w:line="276" w:lineRule="auto"/>
              <w:ind w:firstLine="0" w:firstLineChars="0"/>
              <w:jc w:val="center"/>
              <w:rPr>
                <w:rFonts w:hint="eastAsia" w:ascii="宋体" w:hAnsi="宋体" w:cs="宋体"/>
                <w:b/>
                <w:bCs/>
                <w:szCs w:val="21"/>
              </w:rPr>
            </w:pPr>
            <w:r>
              <w:rPr>
                <w:rFonts w:hint="eastAsia" w:ascii="宋体" w:hAnsi="宋体" w:cs="宋体"/>
                <w:b/>
                <w:bCs/>
                <w:szCs w:val="21"/>
              </w:rPr>
              <w:t>学会教学</w:t>
            </w:r>
          </w:p>
        </w:tc>
        <w:tc>
          <w:tcPr>
            <w:tcW w:w="5269" w:type="dxa"/>
            <w:vAlign w:val="center"/>
          </w:tcPr>
          <w:p w14:paraId="5D757814">
            <w:pPr>
              <w:pStyle w:val="33"/>
              <w:spacing w:line="276" w:lineRule="auto"/>
              <w:ind w:firstLine="0" w:firstLineChars="0"/>
              <w:jc w:val="left"/>
              <w:rPr>
                <w:rFonts w:hint="eastAsia" w:ascii="宋体" w:hAnsi="宋体" w:cs="宋体"/>
                <w:szCs w:val="21"/>
              </w:rPr>
            </w:pPr>
            <w:r>
              <w:rPr>
                <w:rFonts w:hint="eastAsia" w:ascii="宋体" w:hAnsi="宋体" w:cs="宋体"/>
                <w:b/>
                <w:szCs w:val="21"/>
              </w:rPr>
              <w:t>指标点4-4</w:t>
            </w:r>
            <w:r>
              <w:rPr>
                <w:rFonts w:ascii="宋体" w:hAnsi="宋体" w:cs="宋体"/>
                <w:szCs w:val="21"/>
              </w:rPr>
              <w:t>：【具备教学研究能力】掌握教育研究的基本方法，在教育教学实践中，结合小学教育教学实践进行研究，具有一定的教学研究能力。</w:t>
            </w:r>
          </w:p>
        </w:tc>
        <w:tc>
          <w:tcPr>
            <w:tcW w:w="1472" w:type="dxa"/>
            <w:vAlign w:val="center"/>
          </w:tcPr>
          <w:p w14:paraId="7E8C8482">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6FC468FC">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1、2、3、4</w:t>
            </w:r>
          </w:p>
        </w:tc>
      </w:tr>
      <w:tr w14:paraId="04A7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1" w:hRule="atLeast"/>
        </w:trPr>
        <w:tc>
          <w:tcPr>
            <w:tcW w:w="1555" w:type="dxa"/>
            <w:vAlign w:val="center"/>
          </w:tcPr>
          <w:p w14:paraId="5AC18D97">
            <w:pPr>
              <w:pStyle w:val="33"/>
              <w:spacing w:line="276" w:lineRule="auto"/>
              <w:ind w:firstLine="0" w:firstLineChars="0"/>
              <w:jc w:val="center"/>
              <w:rPr>
                <w:b/>
                <w:bCs/>
                <w:szCs w:val="21"/>
              </w:rPr>
            </w:pPr>
            <w:r>
              <w:rPr>
                <w:rFonts w:hint="eastAsia" w:ascii="宋体" w:hAnsi="宋体" w:cs="宋体"/>
                <w:b/>
                <w:bCs/>
                <w:szCs w:val="21"/>
              </w:rPr>
              <w:t>毕业要求7</w:t>
            </w:r>
            <w:r>
              <w:rPr>
                <w:rFonts w:ascii="宋体" w:hAnsi="宋体" w:cs="宋体"/>
                <w:b/>
                <w:bCs/>
                <w:szCs w:val="21"/>
              </w:rPr>
              <w:t>.</w:t>
            </w:r>
          </w:p>
          <w:p w14:paraId="4E61B112">
            <w:pPr>
              <w:pStyle w:val="33"/>
              <w:spacing w:line="276" w:lineRule="auto"/>
              <w:ind w:firstLine="0" w:firstLineChars="0"/>
              <w:jc w:val="center"/>
              <w:rPr>
                <w:rFonts w:hint="eastAsia" w:ascii="宋体" w:hAnsi="宋体" w:cs="宋体"/>
                <w:b/>
                <w:bCs/>
                <w:szCs w:val="21"/>
              </w:rPr>
            </w:pPr>
            <w:r>
              <w:rPr>
                <w:rFonts w:hint="eastAsia" w:ascii="宋体" w:hAnsi="宋体" w:cs="宋体"/>
                <w:b/>
                <w:bCs/>
                <w:szCs w:val="21"/>
              </w:rPr>
              <w:t>学会反思</w:t>
            </w:r>
          </w:p>
        </w:tc>
        <w:tc>
          <w:tcPr>
            <w:tcW w:w="5269" w:type="dxa"/>
            <w:vAlign w:val="center"/>
          </w:tcPr>
          <w:p w14:paraId="14D2E9DE">
            <w:pPr>
              <w:pStyle w:val="33"/>
              <w:spacing w:line="276" w:lineRule="auto"/>
              <w:ind w:firstLine="0" w:firstLineChars="0"/>
              <w:jc w:val="left"/>
              <w:rPr>
                <w:rFonts w:hint="eastAsia" w:ascii="宋体" w:hAnsi="宋体" w:cs="宋体"/>
                <w:szCs w:val="21"/>
              </w:rPr>
            </w:pPr>
            <w:r>
              <w:rPr>
                <w:rFonts w:hint="eastAsia" w:ascii="宋体" w:hAnsi="宋体" w:cs="宋体"/>
                <w:b/>
                <w:szCs w:val="21"/>
              </w:rPr>
              <w:t>指标点7-3</w:t>
            </w:r>
            <w:r>
              <w:rPr>
                <w:rFonts w:hint="eastAsia" w:ascii="宋体" w:hAnsi="宋体" w:cs="宋体"/>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472" w:type="dxa"/>
            <w:vAlign w:val="center"/>
          </w:tcPr>
          <w:p w14:paraId="7A629375">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32BFD6FB">
            <w:pPr>
              <w:spacing w:line="360" w:lineRule="auto"/>
              <w:jc w:val="center"/>
              <w:rPr>
                <w:rFonts w:hint="eastAsia" w:ascii="宋体" w:hAnsi="宋体" w:eastAsia="宋体" w:cs="宋体"/>
                <w:szCs w:val="21"/>
              </w:rPr>
            </w:pPr>
            <w:r>
              <w:rPr>
                <w:rFonts w:hint="eastAsia" w:ascii="Times New Roman" w:hAnsi="Times New Roman" w:eastAsia="宋体" w:cs="Times New Roman"/>
                <w:szCs w:val="21"/>
              </w:rPr>
              <w:t>1、2、3、4</w:t>
            </w:r>
          </w:p>
        </w:tc>
      </w:tr>
    </w:tbl>
    <w:p w14:paraId="1CC9C2F1">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（三）课程思政目标</w:t>
      </w:r>
    </w:p>
    <w:p w14:paraId="0348591E">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学生在扎实掌握教育论文写作理论与方法的基础上，践行社会主义核心价值观，认同中国特色社会主义，坚持“立德树人”，树立正确的世界观、价值观和人生观，形成正确的学术观、科研观和儿童观，学会发现、分析和解决人民群众关心的基础教育热点与难点问题。立志成为有理想信念、有道德情操、有扎实学习、有仁爱之心的新时代大国良师。</w:t>
      </w:r>
    </w:p>
    <w:p w14:paraId="098F84E8">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p w14:paraId="61EA63D1">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本课程主要教学内容及学生预期学习成效见下表。</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326"/>
        <w:gridCol w:w="1276"/>
        <w:gridCol w:w="656"/>
      </w:tblGrid>
      <w:tr w14:paraId="17C3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Align w:val="center"/>
          </w:tcPr>
          <w:p w14:paraId="780427D9">
            <w:pPr>
              <w:jc w:val="center"/>
              <w:rPr>
                <w:rFonts w:hint="eastAsia" w:ascii="宋体" w:hAnsi="宋体" w:eastAsia="宋体" w:cs="Times New Roman"/>
                <w:b/>
                <w:szCs w:val="21"/>
              </w:rPr>
            </w:pPr>
            <w:r>
              <w:rPr>
                <w:rFonts w:hint="eastAsia" w:ascii="宋体" w:hAnsi="宋体" w:eastAsia="宋体" w:cs="Times New Roman"/>
                <w:b/>
                <w:szCs w:val="21"/>
              </w:rPr>
              <w:t>知识</w:t>
            </w:r>
          </w:p>
          <w:p w14:paraId="5279A611">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1FE4CC4B">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277E253A">
            <w:pPr>
              <w:jc w:val="center"/>
              <w:rPr>
                <w:rFonts w:hint="eastAsia" w:ascii="宋体" w:hAnsi="宋体" w:eastAsia="宋体" w:cs="Times New Roman"/>
                <w:b/>
                <w:szCs w:val="21"/>
              </w:rPr>
            </w:pPr>
            <w:r>
              <w:rPr>
                <w:rFonts w:hint="eastAsia" w:ascii="宋体" w:hAnsi="宋体" w:eastAsia="宋体" w:cs="Times New Roman"/>
                <w:b/>
                <w:szCs w:val="21"/>
              </w:rPr>
              <w:t>对应</w:t>
            </w:r>
          </w:p>
          <w:p w14:paraId="2D66DC97">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326" w:type="dxa"/>
            <w:vAlign w:val="center"/>
          </w:tcPr>
          <w:p w14:paraId="5E296160">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276" w:type="dxa"/>
            <w:vAlign w:val="center"/>
          </w:tcPr>
          <w:p w14:paraId="74897584">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656" w:type="dxa"/>
            <w:vAlign w:val="center"/>
          </w:tcPr>
          <w:p w14:paraId="586E3A65">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70EC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11CC890">
            <w:pPr>
              <w:spacing w:line="264"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教育论文写作概述</w:t>
            </w:r>
          </w:p>
        </w:tc>
        <w:tc>
          <w:tcPr>
            <w:tcW w:w="1701" w:type="dxa"/>
            <w:vAlign w:val="center"/>
          </w:tcPr>
          <w:p w14:paraId="3847053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1）教育论文写作的意义</w:t>
            </w:r>
          </w:p>
          <w:p w14:paraId="17A0051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2）教育论文写作的一般步骤</w:t>
            </w:r>
          </w:p>
          <w:p w14:paraId="70EF413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3）教育论文写作的学术规范</w:t>
            </w:r>
          </w:p>
        </w:tc>
        <w:tc>
          <w:tcPr>
            <w:tcW w:w="1134" w:type="dxa"/>
            <w:vAlign w:val="center"/>
          </w:tcPr>
          <w:p w14:paraId="25A5548A">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326" w:type="dxa"/>
            <w:vAlign w:val="center"/>
          </w:tcPr>
          <w:p w14:paraId="52A8F44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1）理解论文写作的意义；</w:t>
            </w:r>
          </w:p>
          <w:p w14:paraId="36B0C9F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2）掌握教育论文写作的基本步骤；</w:t>
            </w:r>
          </w:p>
          <w:p w14:paraId="374212E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3）了解教育论文写作的学术规范，恪守学术道德。</w:t>
            </w:r>
          </w:p>
        </w:tc>
        <w:tc>
          <w:tcPr>
            <w:tcW w:w="1276" w:type="dxa"/>
            <w:vAlign w:val="center"/>
          </w:tcPr>
          <w:p w14:paraId="7CDCFF63">
            <w:pPr>
              <w:spacing w:line="269" w:lineRule="auto"/>
              <w:jc w:val="center"/>
              <w:rPr>
                <w:rFonts w:hint="eastAsia" w:ascii="宋体" w:hAnsi="宋体" w:eastAsia="宋体" w:cs="Times New Roman"/>
                <w:szCs w:val="21"/>
              </w:rPr>
            </w:pPr>
            <w:r>
              <w:rPr>
                <w:rFonts w:hint="eastAsia" w:ascii="宋体" w:hAnsi="宋体" w:eastAsia="宋体" w:cs="Times New Roman"/>
                <w:szCs w:val="21"/>
              </w:rPr>
              <w:t>自主学习</w:t>
            </w:r>
          </w:p>
          <w:p w14:paraId="453E6B61">
            <w:pPr>
              <w:spacing w:line="269" w:lineRule="auto"/>
              <w:jc w:val="center"/>
              <w:rPr>
                <w:rFonts w:hint="eastAsia" w:ascii="宋体" w:hAnsi="宋体" w:eastAsia="宋体" w:cs="Times New Roman"/>
                <w:szCs w:val="21"/>
              </w:rPr>
            </w:pPr>
            <w:r>
              <w:rPr>
                <w:rFonts w:hint="eastAsia" w:ascii="宋体" w:hAnsi="宋体" w:eastAsia="宋体" w:cs="Times New Roman"/>
                <w:szCs w:val="21"/>
              </w:rPr>
              <w:t>多媒体教学</w:t>
            </w:r>
          </w:p>
          <w:p w14:paraId="06AA502B">
            <w:pPr>
              <w:spacing w:line="269" w:lineRule="auto"/>
              <w:jc w:val="center"/>
              <w:rPr>
                <w:rFonts w:hint="eastAsia" w:ascii="宋体" w:hAnsi="宋体" w:eastAsia="宋体" w:cs="Times New Roman"/>
                <w:szCs w:val="21"/>
              </w:rPr>
            </w:pPr>
            <w:r>
              <w:rPr>
                <w:rFonts w:hint="eastAsia" w:ascii="宋体" w:hAnsi="宋体" w:eastAsia="宋体" w:cs="Times New Roman"/>
                <w:szCs w:val="21"/>
              </w:rPr>
              <w:t>课堂讨论</w:t>
            </w:r>
          </w:p>
        </w:tc>
        <w:tc>
          <w:tcPr>
            <w:tcW w:w="656" w:type="dxa"/>
            <w:vAlign w:val="center"/>
          </w:tcPr>
          <w:p w14:paraId="4ED232A0">
            <w:pPr>
              <w:spacing w:line="269" w:lineRule="auto"/>
              <w:jc w:val="center"/>
              <w:rPr>
                <w:rFonts w:hint="eastAsia" w:ascii="宋体" w:hAnsi="宋体" w:eastAsia="宋体" w:cs="Times New Roman"/>
                <w:szCs w:val="21"/>
              </w:rPr>
            </w:pPr>
            <w:r>
              <w:rPr>
                <w:rFonts w:ascii="宋体" w:hAnsi="宋体" w:eastAsia="宋体" w:cs="Times New Roman"/>
                <w:szCs w:val="21"/>
              </w:rPr>
              <w:t>2</w:t>
            </w:r>
          </w:p>
        </w:tc>
      </w:tr>
      <w:tr w14:paraId="3A32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DA70C1C">
            <w:pPr>
              <w:spacing w:line="264" w:lineRule="auto"/>
              <w:jc w:val="center"/>
              <w:rPr>
                <w:rFonts w:hint="eastAsia" w:ascii="宋体" w:hAnsi="宋体" w:eastAsia="宋体" w:cs="Times New Roman"/>
                <w:szCs w:val="21"/>
              </w:rPr>
            </w:pPr>
          </w:p>
        </w:tc>
        <w:tc>
          <w:tcPr>
            <w:tcW w:w="8093" w:type="dxa"/>
            <w:gridSpan w:val="5"/>
            <w:vAlign w:val="center"/>
          </w:tcPr>
          <w:p w14:paraId="1C887666">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以习近平总书记关于教育工作的重要论述为指导，理解教育论文写作的价值和意义；坚持“立德树人”，树立正确的世界观、价值观和人生观；热爱中小学教育，理解基础教育改革的意义，具有一定的创新意识，学会发现和分析人民群众关心的基础教育热点和难点问题。</w:t>
            </w:r>
          </w:p>
        </w:tc>
      </w:tr>
      <w:tr w14:paraId="7DFB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FC4D93C">
            <w:pPr>
              <w:spacing w:line="264" w:lineRule="auto"/>
              <w:jc w:val="center"/>
              <w:rPr>
                <w:rFonts w:hint="eastAsia" w:ascii="宋体" w:hAnsi="宋体" w:eastAsia="宋体" w:cs="Times New Roman"/>
                <w:szCs w:val="21"/>
              </w:rPr>
            </w:pPr>
            <w:r>
              <w:rPr>
                <w:rFonts w:hint="eastAsia" w:ascii="宋体" w:hAnsi="宋体" w:eastAsia="宋体" w:cs="Times New Roman"/>
                <w:szCs w:val="21"/>
              </w:rPr>
              <w:t>2.</w:t>
            </w:r>
            <w:r>
              <w:rPr>
                <w:rFonts w:hint="eastAsia" w:ascii="Calibri" w:hAnsi="Calibri" w:eastAsia="宋体" w:cs="Times New Roman"/>
                <w:szCs w:val="21"/>
              </w:rPr>
              <w:t xml:space="preserve"> </w:t>
            </w:r>
            <w:r>
              <w:rPr>
                <w:rFonts w:hint="eastAsia" w:ascii="宋体" w:hAnsi="宋体" w:eastAsia="宋体" w:cs="Times New Roman"/>
                <w:szCs w:val="21"/>
              </w:rPr>
              <w:t>学术期刊论文的写作</w:t>
            </w:r>
          </w:p>
        </w:tc>
        <w:tc>
          <w:tcPr>
            <w:tcW w:w="1701" w:type="dxa"/>
            <w:vAlign w:val="center"/>
          </w:tcPr>
          <w:p w14:paraId="4DCEC29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1）学术期刊论文标题的拟定</w:t>
            </w:r>
          </w:p>
          <w:p w14:paraId="100BF4F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2）学术期刊论文摘要的撰写</w:t>
            </w:r>
          </w:p>
          <w:p w14:paraId="35C2A1D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3）学术期刊论文引言的撰写</w:t>
            </w:r>
          </w:p>
          <w:p w14:paraId="06C6BE3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4）学术期刊论文正文的撰写</w:t>
            </w:r>
          </w:p>
          <w:p w14:paraId="117B53E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5）学术期刊论文结语的撰写</w:t>
            </w:r>
          </w:p>
        </w:tc>
        <w:tc>
          <w:tcPr>
            <w:tcW w:w="1134" w:type="dxa"/>
            <w:vAlign w:val="center"/>
          </w:tcPr>
          <w:p w14:paraId="434E0F7F">
            <w:pPr>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4</w:t>
            </w:r>
          </w:p>
        </w:tc>
        <w:tc>
          <w:tcPr>
            <w:tcW w:w="3326" w:type="dxa"/>
            <w:vAlign w:val="center"/>
          </w:tcPr>
          <w:p w14:paraId="24B5416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1）了解教育论文（期刊论文）的基本结构；</w:t>
            </w:r>
          </w:p>
          <w:p w14:paraId="589B8E3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2）掌握教育论文各组成部分的写作方法；</w:t>
            </w:r>
          </w:p>
          <w:p w14:paraId="62ACE1B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3）能够撰写符合规范的小论文。</w:t>
            </w:r>
          </w:p>
        </w:tc>
        <w:tc>
          <w:tcPr>
            <w:tcW w:w="1276" w:type="dxa"/>
            <w:vAlign w:val="center"/>
          </w:tcPr>
          <w:p w14:paraId="1D5B6F90">
            <w:pPr>
              <w:spacing w:line="269" w:lineRule="auto"/>
              <w:jc w:val="center"/>
              <w:rPr>
                <w:rFonts w:hint="eastAsia" w:ascii="宋体" w:hAnsi="宋体" w:eastAsia="宋体" w:cs="Times New Roman"/>
                <w:szCs w:val="21"/>
              </w:rPr>
            </w:pPr>
            <w:r>
              <w:rPr>
                <w:rFonts w:hint="eastAsia" w:ascii="宋体" w:hAnsi="宋体" w:eastAsia="宋体" w:cs="Times New Roman"/>
                <w:szCs w:val="21"/>
              </w:rPr>
              <w:t>自主学习</w:t>
            </w:r>
          </w:p>
          <w:p w14:paraId="57D3B17E">
            <w:pPr>
              <w:spacing w:line="269" w:lineRule="auto"/>
              <w:jc w:val="center"/>
              <w:rPr>
                <w:rFonts w:hint="eastAsia" w:ascii="宋体" w:hAnsi="宋体" w:eastAsia="宋体" w:cs="Times New Roman"/>
                <w:szCs w:val="21"/>
              </w:rPr>
            </w:pPr>
            <w:r>
              <w:rPr>
                <w:rFonts w:hint="eastAsia" w:ascii="宋体" w:hAnsi="宋体" w:eastAsia="宋体" w:cs="Times New Roman"/>
                <w:szCs w:val="21"/>
              </w:rPr>
              <w:t>案例教学</w:t>
            </w:r>
          </w:p>
          <w:p w14:paraId="6F4D01DE">
            <w:pPr>
              <w:spacing w:line="269" w:lineRule="auto"/>
              <w:jc w:val="center"/>
              <w:rPr>
                <w:rFonts w:hint="eastAsia" w:ascii="宋体" w:hAnsi="宋体" w:eastAsia="宋体" w:cs="Times New Roman"/>
                <w:szCs w:val="21"/>
              </w:rPr>
            </w:pPr>
            <w:r>
              <w:rPr>
                <w:rFonts w:hint="eastAsia" w:ascii="宋体" w:hAnsi="宋体" w:eastAsia="宋体" w:cs="Times New Roman"/>
                <w:szCs w:val="21"/>
              </w:rPr>
              <w:t>课堂讨论</w:t>
            </w:r>
          </w:p>
          <w:p w14:paraId="784D8C58">
            <w:pPr>
              <w:spacing w:line="269" w:lineRule="auto"/>
              <w:jc w:val="center"/>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520DFEFC">
            <w:pPr>
              <w:spacing w:line="269" w:lineRule="auto"/>
              <w:jc w:val="center"/>
              <w:rPr>
                <w:rFonts w:hint="eastAsia" w:ascii="宋体" w:hAnsi="宋体" w:eastAsia="宋体" w:cs="Times New Roman"/>
                <w:szCs w:val="21"/>
              </w:rPr>
            </w:pPr>
            <w:r>
              <w:rPr>
                <w:rFonts w:ascii="宋体" w:hAnsi="宋体" w:eastAsia="宋体" w:cs="Times New Roman"/>
                <w:szCs w:val="21"/>
              </w:rPr>
              <w:t>6</w:t>
            </w:r>
          </w:p>
        </w:tc>
      </w:tr>
      <w:tr w14:paraId="74EF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246AA89">
            <w:pPr>
              <w:spacing w:line="264" w:lineRule="auto"/>
              <w:jc w:val="center"/>
              <w:rPr>
                <w:rFonts w:hint="eastAsia" w:ascii="宋体" w:hAnsi="宋体" w:eastAsia="宋体" w:cs="Times New Roman"/>
                <w:szCs w:val="21"/>
              </w:rPr>
            </w:pPr>
          </w:p>
        </w:tc>
        <w:tc>
          <w:tcPr>
            <w:tcW w:w="8093" w:type="dxa"/>
            <w:gridSpan w:val="5"/>
            <w:vAlign w:val="center"/>
          </w:tcPr>
          <w:p w14:paraId="2C091ED1">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 xml:space="preserve">  正确处理整体和部分的关系，准确把握主要矛盾和次要矛盾；践行社会主义核心价值观，坚持“四个自信”；虚心学习，实事求是，培养和形成朴素、严谨的文风；遵守学术规范，恪守学术诚信；学会创新，善于分析和解决人民群众关心的热点问题。</w:t>
            </w:r>
          </w:p>
        </w:tc>
      </w:tr>
      <w:tr w14:paraId="32AAA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415355B">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 xml:space="preserve">. </w:t>
            </w:r>
            <w:r>
              <w:rPr>
                <w:rFonts w:hint="eastAsia" w:ascii="宋体" w:hAnsi="宋体" w:eastAsia="宋体" w:cs="Times New Roman"/>
                <w:szCs w:val="21"/>
              </w:rPr>
              <w:t>教育综述论文的写作</w:t>
            </w:r>
          </w:p>
        </w:tc>
        <w:tc>
          <w:tcPr>
            <w:tcW w:w="1701" w:type="dxa"/>
            <w:vAlign w:val="center"/>
          </w:tcPr>
          <w:p w14:paraId="2CACC0B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1）教育综述论文的结构特点</w:t>
            </w:r>
          </w:p>
          <w:p w14:paraId="7A6B2D4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2）教育综述论文的语言特点 </w:t>
            </w:r>
          </w:p>
          <w:p w14:paraId="7CB62C4D">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3）教育综述论文的撰写要点</w:t>
            </w:r>
          </w:p>
        </w:tc>
        <w:tc>
          <w:tcPr>
            <w:tcW w:w="1134" w:type="dxa"/>
            <w:vAlign w:val="center"/>
          </w:tcPr>
          <w:p w14:paraId="73CE88DF">
            <w:pPr>
              <w:jc w:val="center"/>
              <w:rPr>
                <w:rFonts w:hint="eastAsia" w:ascii="宋体" w:hAnsi="宋体" w:eastAsia="宋体" w:cs="Times New Roman"/>
                <w:szCs w:val="21"/>
              </w:rPr>
            </w:pPr>
            <w:r>
              <w:rPr>
                <w:rFonts w:hint="eastAsia" w:ascii="宋体" w:hAnsi="宋体" w:eastAsia="宋体" w:cs="Times New Roman"/>
                <w:szCs w:val="21"/>
              </w:rPr>
              <w:t>课程目标2、</w:t>
            </w:r>
            <w:r>
              <w:rPr>
                <w:rFonts w:ascii="宋体" w:hAnsi="宋体" w:eastAsia="宋体" w:cs="Times New Roman"/>
                <w:szCs w:val="21"/>
              </w:rPr>
              <w:t>4</w:t>
            </w:r>
          </w:p>
        </w:tc>
        <w:tc>
          <w:tcPr>
            <w:tcW w:w="3326" w:type="dxa"/>
            <w:vAlign w:val="center"/>
          </w:tcPr>
          <w:p w14:paraId="5565B97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1）熟悉教育综述论文的结构特点；</w:t>
            </w:r>
          </w:p>
          <w:p w14:paraId="3A87E33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2）结合实例，了解教育综述论文的语言特点；</w:t>
            </w:r>
          </w:p>
          <w:p w14:paraId="0A24938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3）能够结合自身的学习和研究，撰写符合规范的教育综述小论文。</w:t>
            </w:r>
          </w:p>
        </w:tc>
        <w:tc>
          <w:tcPr>
            <w:tcW w:w="1276" w:type="dxa"/>
            <w:vAlign w:val="center"/>
          </w:tcPr>
          <w:p w14:paraId="383CF7D0">
            <w:pPr>
              <w:jc w:val="center"/>
              <w:rPr>
                <w:rFonts w:hint="eastAsia" w:ascii="宋体" w:hAnsi="宋体" w:eastAsia="宋体" w:cs="Times New Roman"/>
                <w:szCs w:val="21"/>
              </w:rPr>
            </w:pPr>
            <w:r>
              <w:rPr>
                <w:rFonts w:hint="eastAsia" w:ascii="宋体" w:hAnsi="宋体" w:eastAsia="宋体" w:cs="Times New Roman"/>
                <w:szCs w:val="21"/>
              </w:rPr>
              <w:t>自主学习</w:t>
            </w:r>
          </w:p>
          <w:p w14:paraId="15FBC8DF">
            <w:pPr>
              <w:jc w:val="center"/>
              <w:rPr>
                <w:rFonts w:hint="eastAsia" w:ascii="宋体" w:hAnsi="宋体" w:eastAsia="宋体" w:cs="Times New Roman"/>
                <w:szCs w:val="21"/>
              </w:rPr>
            </w:pPr>
            <w:r>
              <w:rPr>
                <w:rFonts w:hint="eastAsia" w:ascii="宋体" w:hAnsi="宋体" w:eastAsia="宋体" w:cs="Times New Roman"/>
                <w:szCs w:val="21"/>
              </w:rPr>
              <w:t>案例教学</w:t>
            </w:r>
          </w:p>
          <w:p w14:paraId="7755D279">
            <w:pPr>
              <w:jc w:val="center"/>
              <w:rPr>
                <w:rFonts w:hint="eastAsia" w:ascii="宋体" w:hAnsi="宋体" w:eastAsia="宋体" w:cs="Times New Roman"/>
                <w:szCs w:val="21"/>
              </w:rPr>
            </w:pPr>
            <w:r>
              <w:rPr>
                <w:rFonts w:hint="eastAsia" w:ascii="宋体" w:hAnsi="宋体" w:eastAsia="宋体" w:cs="Times New Roman"/>
                <w:szCs w:val="21"/>
              </w:rPr>
              <w:t>课堂讨论</w:t>
            </w:r>
          </w:p>
          <w:p w14:paraId="32786664">
            <w:pPr>
              <w:jc w:val="center"/>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4FFCDCAC">
            <w:pPr>
              <w:jc w:val="center"/>
              <w:rPr>
                <w:rFonts w:hint="eastAsia" w:ascii="宋体" w:hAnsi="宋体" w:eastAsia="宋体" w:cs="Times New Roman"/>
                <w:szCs w:val="21"/>
              </w:rPr>
            </w:pPr>
            <w:r>
              <w:rPr>
                <w:rFonts w:ascii="宋体" w:hAnsi="宋体" w:eastAsia="宋体" w:cs="Times New Roman"/>
                <w:szCs w:val="21"/>
              </w:rPr>
              <w:t>6</w:t>
            </w:r>
          </w:p>
        </w:tc>
      </w:tr>
      <w:tr w14:paraId="39A3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6B1491">
            <w:pPr>
              <w:spacing w:line="264" w:lineRule="auto"/>
              <w:jc w:val="center"/>
              <w:rPr>
                <w:rFonts w:hint="eastAsia" w:ascii="宋体" w:hAnsi="宋体" w:eastAsia="宋体" w:cs="Times New Roman"/>
                <w:szCs w:val="21"/>
              </w:rPr>
            </w:pPr>
          </w:p>
        </w:tc>
        <w:tc>
          <w:tcPr>
            <w:tcW w:w="8093" w:type="dxa"/>
            <w:gridSpan w:val="5"/>
            <w:vAlign w:val="center"/>
          </w:tcPr>
          <w:p w14:paraId="4200F42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国内外教育研究现状的全面梳理，增强对我国基础教育改革取得伟大成就的自豪感，培养投身基础教育科学研究的责任感和使命感；形成诚信务实、脚踏实地、实事求是的科研素养；遵守学术规范，恪守学术诚信。</w:t>
            </w:r>
          </w:p>
        </w:tc>
      </w:tr>
      <w:tr w14:paraId="0A0D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A52A22B">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r>
              <w:rPr>
                <w:rFonts w:hint="eastAsia" w:ascii="Calibri" w:hAnsi="Calibri" w:eastAsia="宋体" w:cs="Times New Roman"/>
                <w:szCs w:val="21"/>
              </w:rPr>
              <w:t xml:space="preserve"> </w:t>
            </w:r>
            <w:r>
              <w:rPr>
                <w:rFonts w:hint="eastAsia" w:ascii="宋体" w:hAnsi="宋体" w:eastAsia="宋体" w:cs="Times New Roman"/>
                <w:szCs w:val="21"/>
              </w:rPr>
              <w:t>教育经验总结论文的写作</w:t>
            </w:r>
          </w:p>
        </w:tc>
        <w:tc>
          <w:tcPr>
            <w:tcW w:w="1701" w:type="dxa"/>
            <w:vAlign w:val="center"/>
          </w:tcPr>
          <w:p w14:paraId="2F243100">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1）教育经验总结论文的类别及其结构 </w:t>
            </w:r>
          </w:p>
          <w:p w14:paraId="1A789DA0">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2）具体经验总结论文的撰写</w:t>
            </w:r>
          </w:p>
          <w:p w14:paraId="2043C7B0">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3）一般经验总结论文的撰写</w:t>
            </w:r>
          </w:p>
          <w:p w14:paraId="63506621">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4）理论性经验总结论文的撰写</w:t>
            </w:r>
          </w:p>
        </w:tc>
        <w:tc>
          <w:tcPr>
            <w:tcW w:w="1134" w:type="dxa"/>
            <w:vAlign w:val="center"/>
          </w:tcPr>
          <w:p w14:paraId="1E6AECDD">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2</w:t>
            </w:r>
            <w:r>
              <w:rPr>
                <w:rFonts w:hint="eastAsia" w:ascii="宋体" w:hAnsi="宋体" w:eastAsia="宋体" w:cs="Times New Roman"/>
                <w:szCs w:val="21"/>
              </w:rPr>
              <w:t>、</w:t>
            </w:r>
            <w:r>
              <w:rPr>
                <w:rFonts w:ascii="宋体" w:hAnsi="宋体" w:eastAsia="宋体" w:cs="Times New Roman"/>
                <w:szCs w:val="21"/>
              </w:rPr>
              <w:t>4</w:t>
            </w:r>
          </w:p>
        </w:tc>
        <w:tc>
          <w:tcPr>
            <w:tcW w:w="3326" w:type="dxa"/>
            <w:vAlign w:val="center"/>
          </w:tcPr>
          <w:p w14:paraId="070D8AD8">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1）熟悉教育经验总结类论文的结构特点；</w:t>
            </w:r>
          </w:p>
          <w:p w14:paraId="2D94288F">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2）结合实例，了解教育经验总结类论文的语言特点；</w:t>
            </w:r>
          </w:p>
          <w:p w14:paraId="27E4B03F">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3）初步掌握教育经验总结类论文的写作要点；</w:t>
            </w:r>
          </w:p>
          <w:p w14:paraId="0B4A2081">
            <w:pPr>
              <w:spacing w:line="276" w:lineRule="auto"/>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4）能够结合教育实践，撰写符合规范的具体教育经验总结小论文（教学随笔或教学反思）。</w:t>
            </w:r>
          </w:p>
        </w:tc>
        <w:tc>
          <w:tcPr>
            <w:tcW w:w="1276" w:type="dxa"/>
            <w:vAlign w:val="center"/>
          </w:tcPr>
          <w:p w14:paraId="35CDB082">
            <w:pPr>
              <w:spacing w:line="276" w:lineRule="auto"/>
              <w:jc w:val="center"/>
              <w:rPr>
                <w:rFonts w:hint="eastAsia" w:ascii="宋体" w:hAnsi="宋体" w:eastAsia="宋体" w:cs="Times New Roman"/>
                <w:szCs w:val="21"/>
              </w:rPr>
            </w:pPr>
            <w:r>
              <w:rPr>
                <w:rFonts w:hint="eastAsia" w:ascii="宋体" w:hAnsi="宋体" w:eastAsia="宋体" w:cs="Times New Roman"/>
                <w:szCs w:val="21"/>
              </w:rPr>
              <w:t>自主学习</w:t>
            </w:r>
          </w:p>
          <w:p w14:paraId="2EF9352F">
            <w:pPr>
              <w:spacing w:line="276" w:lineRule="auto"/>
              <w:jc w:val="center"/>
              <w:rPr>
                <w:rFonts w:hint="eastAsia" w:ascii="宋体" w:hAnsi="宋体" w:eastAsia="宋体" w:cs="Times New Roman"/>
                <w:szCs w:val="21"/>
              </w:rPr>
            </w:pPr>
            <w:r>
              <w:rPr>
                <w:rFonts w:hint="eastAsia" w:ascii="宋体" w:hAnsi="宋体" w:eastAsia="宋体" w:cs="Times New Roman"/>
                <w:szCs w:val="21"/>
              </w:rPr>
              <w:t>案例教学</w:t>
            </w:r>
          </w:p>
          <w:p w14:paraId="297A0A44">
            <w:pPr>
              <w:spacing w:line="276" w:lineRule="auto"/>
              <w:jc w:val="center"/>
              <w:rPr>
                <w:rFonts w:hint="eastAsia" w:ascii="宋体" w:hAnsi="宋体" w:eastAsia="宋体" w:cs="Times New Roman"/>
                <w:szCs w:val="21"/>
              </w:rPr>
            </w:pPr>
            <w:r>
              <w:rPr>
                <w:rFonts w:hint="eastAsia" w:ascii="宋体" w:hAnsi="宋体" w:eastAsia="宋体" w:cs="Times New Roman"/>
                <w:szCs w:val="21"/>
              </w:rPr>
              <w:t>课堂讨论</w:t>
            </w:r>
          </w:p>
          <w:p w14:paraId="49E8A367">
            <w:pPr>
              <w:spacing w:line="276" w:lineRule="auto"/>
              <w:jc w:val="center"/>
              <w:rPr>
                <w:rFonts w:hint="eastAsia" w:ascii="宋体" w:hAnsi="宋体" w:eastAsia="宋体" w:cs="Times New Roman"/>
                <w:szCs w:val="21"/>
              </w:rPr>
            </w:pPr>
            <w:r>
              <w:rPr>
                <w:rFonts w:hint="eastAsia" w:ascii="宋体" w:hAnsi="宋体" w:eastAsia="宋体" w:cs="Times New Roman"/>
                <w:szCs w:val="21"/>
              </w:rPr>
              <w:t>项目作业</w:t>
            </w:r>
          </w:p>
        </w:tc>
        <w:tc>
          <w:tcPr>
            <w:tcW w:w="656" w:type="dxa"/>
            <w:vAlign w:val="center"/>
          </w:tcPr>
          <w:p w14:paraId="7CD171F1">
            <w:pPr>
              <w:spacing w:line="276" w:lineRule="auto"/>
              <w:jc w:val="center"/>
              <w:rPr>
                <w:rFonts w:hint="eastAsia" w:ascii="宋体" w:hAnsi="宋体" w:eastAsia="宋体" w:cs="Times New Roman"/>
                <w:szCs w:val="21"/>
              </w:rPr>
            </w:pPr>
            <w:r>
              <w:rPr>
                <w:rFonts w:ascii="宋体" w:hAnsi="宋体" w:eastAsia="宋体" w:cs="Times New Roman"/>
                <w:szCs w:val="21"/>
              </w:rPr>
              <w:t>4</w:t>
            </w:r>
          </w:p>
        </w:tc>
      </w:tr>
      <w:tr w14:paraId="277E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6B7F9A7">
            <w:pPr>
              <w:spacing w:line="276" w:lineRule="auto"/>
              <w:jc w:val="center"/>
              <w:rPr>
                <w:rFonts w:hint="eastAsia" w:ascii="宋体" w:hAnsi="宋体" w:eastAsia="宋体" w:cs="Times New Roman"/>
                <w:szCs w:val="21"/>
              </w:rPr>
            </w:pPr>
          </w:p>
        </w:tc>
        <w:tc>
          <w:tcPr>
            <w:tcW w:w="8093" w:type="dxa"/>
            <w:gridSpan w:val="5"/>
            <w:vAlign w:val="center"/>
          </w:tcPr>
          <w:p w14:paraId="4AF15608">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w:t>
            </w:r>
            <w:r>
              <w:rPr>
                <w:rFonts w:ascii="宋体" w:hAnsi="宋体" w:eastAsia="宋体" w:cs="Times New Roman"/>
                <w:szCs w:val="21"/>
              </w:rPr>
              <w:t>理解学校教育工作的价值和意义；把握教育改革和发展的本质规律；尊重科学、尊重事实， 遵循教育规律，培养和形成正确</w:t>
            </w:r>
            <w:r>
              <w:rPr>
                <w:rFonts w:hint="eastAsia" w:ascii="宋体" w:hAnsi="宋体" w:eastAsia="宋体" w:cs="Times New Roman"/>
                <w:szCs w:val="21"/>
              </w:rPr>
              <w:t>科研观</w:t>
            </w:r>
            <w:r>
              <w:rPr>
                <w:rFonts w:ascii="宋体" w:hAnsi="宋体" w:eastAsia="宋体" w:cs="Times New Roman"/>
                <w:szCs w:val="21"/>
              </w:rPr>
              <w:t>；遵守学术规范，恪守学术诚信。</w:t>
            </w:r>
          </w:p>
        </w:tc>
      </w:tr>
      <w:tr w14:paraId="149D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35C8F2E">
            <w:pPr>
              <w:spacing w:line="276" w:lineRule="auto"/>
              <w:jc w:val="center"/>
              <w:rPr>
                <w:rFonts w:hint="eastAsia" w:ascii="宋体" w:hAnsi="宋体" w:eastAsia="宋体" w:cs="Times New Roman"/>
                <w:szCs w:val="21"/>
              </w:rPr>
            </w:pPr>
            <w:r>
              <w:rPr>
                <w:rFonts w:hint="eastAsia" w:ascii="宋体" w:hAnsi="宋体" w:eastAsia="宋体" w:cs="Times New Roman"/>
                <w:szCs w:val="21"/>
              </w:rPr>
              <w:t>5.</w:t>
            </w:r>
            <w:r>
              <w:rPr>
                <w:rFonts w:hint="eastAsia" w:ascii="Calibri" w:hAnsi="Calibri" w:eastAsia="宋体" w:cs="Times New Roman"/>
                <w:szCs w:val="21"/>
              </w:rPr>
              <w:t xml:space="preserve"> </w:t>
            </w:r>
            <w:r>
              <w:rPr>
                <w:rFonts w:hint="eastAsia" w:ascii="宋体" w:hAnsi="宋体" w:eastAsia="宋体" w:cs="Times New Roman"/>
                <w:szCs w:val="21"/>
              </w:rPr>
              <w:t>教育调查报告及实验报告的写作</w:t>
            </w:r>
          </w:p>
        </w:tc>
        <w:tc>
          <w:tcPr>
            <w:tcW w:w="1701" w:type="dxa"/>
            <w:vAlign w:val="center"/>
          </w:tcPr>
          <w:p w14:paraId="00EDA890">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1）教育调查报告的结构特点及写作要求</w:t>
            </w:r>
          </w:p>
          <w:p w14:paraId="38684F6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2）教育实验报告的结构特点与写作要求</w:t>
            </w:r>
          </w:p>
        </w:tc>
        <w:tc>
          <w:tcPr>
            <w:tcW w:w="1134" w:type="dxa"/>
            <w:vAlign w:val="center"/>
          </w:tcPr>
          <w:p w14:paraId="14BB6AB5">
            <w:pPr>
              <w:jc w:val="center"/>
              <w:rPr>
                <w:rFonts w:hint="eastAsia" w:ascii="宋体" w:hAnsi="宋体" w:eastAsia="宋体" w:cs="Times New Roman"/>
                <w:szCs w:val="21"/>
              </w:rPr>
            </w:pPr>
            <w:r>
              <w:rPr>
                <w:rFonts w:hint="eastAsia" w:ascii="宋体" w:hAnsi="宋体" w:eastAsia="宋体" w:cs="Times New Roman"/>
                <w:szCs w:val="21"/>
              </w:rPr>
              <w:t>课程目标2、</w:t>
            </w:r>
            <w:r>
              <w:rPr>
                <w:rFonts w:ascii="宋体" w:hAnsi="宋体" w:eastAsia="宋体" w:cs="Times New Roman"/>
                <w:szCs w:val="21"/>
              </w:rPr>
              <w:t>4</w:t>
            </w:r>
          </w:p>
        </w:tc>
        <w:tc>
          <w:tcPr>
            <w:tcW w:w="3326" w:type="dxa"/>
            <w:vAlign w:val="center"/>
          </w:tcPr>
          <w:p w14:paraId="74F94E7C">
            <w:pPr>
              <w:jc w:val="left"/>
              <w:rPr>
                <w:rFonts w:hint="eastAsia"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1）结合实例，了解教育调查报告、教育实验报告的结构特点；</w:t>
            </w:r>
          </w:p>
          <w:p w14:paraId="1B44D5BF">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2）能够结合教育实践（开展微型教育调查），撰写符合规范的教育调查报告。 </w:t>
            </w:r>
          </w:p>
          <w:p w14:paraId="3AC8CD0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3）能够结合教育实践，提出教育实验课题，列出教育实验报告的框架。</w:t>
            </w:r>
          </w:p>
        </w:tc>
        <w:tc>
          <w:tcPr>
            <w:tcW w:w="1276" w:type="dxa"/>
            <w:vAlign w:val="center"/>
          </w:tcPr>
          <w:p w14:paraId="446ECB81">
            <w:pPr>
              <w:jc w:val="center"/>
              <w:rPr>
                <w:rFonts w:hint="eastAsia" w:ascii="宋体" w:hAnsi="宋体" w:eastAsia="宋体" w:cs="Times New Roman"/>
                <w:szCs w:val="21"/>
              </w:rPr>
            </w:pPr>
            <w:r>
              <w:rPr>
                <w:rFonts w:hint="eastAsia" w:ascii="宋体" w:hAnsi="宋体" w:eastAsia="宋体" w:cs="Times New Roman"/>
                <w:szCs w:val="21"/>
              </w:rPr>
              <w:t>自主学习</w:t>
            </w:r>
          </w:p>
          <w:p w14:paraId="6981E9A7">
            <w:pPr>
              <w:jc w:val="center"/>
              <w:rPr>
                <w:rFonts w:hint="eastAsia" w:ascii="宋体" w:hAnsi="宋体" w:eastAsia="宋体" w:cs="Times New Roman"/>
                <w:szCs w:val="21"/>
              </w:rPr>
            </w:pPr>
            <w:r>
              <w:rPr>
                <w:rFonts w:hint="eastAsia" w:ascii="宋体" w:hAnsi="宋体" w:eastAsia="宋体" w:cs="Times New Roman"/>
                <w:szCs w:val="21"/>
              </w:rPr>
              <w:t>案例教学</w:t>
            </w:r>
          </w:p>
          <w:p w14:paraId="37EDAB0C">
            <w:pPr>
              <w:jc w:val="center"/>
              <w:rPr>
                <w:rFonts w:hint="eastAsia" w:ascii="宋体" w:hAnsi="宋体" w:eastAsia="宋体" w:cs="Times New Roman"/>
                <w:szCs w:val="21"/>
              </w:rPr>
            </w:pPr>
            <w:r>
              <w:rPr>
                <w:rFonts w:hint="eastAsia" w:ascii="宋体" w:hAnsi="宋体" w:eastAsia="宋体" w:cs="Times New Roman"/>
                <w:szCs w:val="21"/>
              </w:rPr>
              <w:t>课堂讨论</w:t>
            </w:r>
          </w:p>
          <w:p w14:paraId="33C7BD1B">
            <w:pPr>
              <w:jc w:val="center"/>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10AE952B">
            <w:pPr>
              <w:spacing w:line="276" w:lineRule="auto"/>
              <w:rPr>
                <w:rFonts w:hint="eastAsia" w:ascii="宋体" w:hAnsi="宋体" w:eastAsia="宋体" w:cs="Times New Roman"/>
                <w:szCs w:val="21"/>
              </w:rPr>
            </w:pPr>
            <w:r>
              <w:rPr>
                <w:rFonts w:ascii="宋体" w:hAnsi="宋体" w:eastAsia="宋体" w:cs="Times New Roman"/>
                <w:szCs w:val="21"/>
              </w:rPr>
              <w:t>4</w:t>
            </w:r>
          </w:p>
        </w:tc>
      </w:tr>
      <w:tr w14:paraId="72A4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3FB17B2">
            <w:pPr>
              <w:spacing w:line="276" w:lineRule="auto"/>
              <w:jc w:val="center"/>
              <w:rPr>
                <w:rFonts w:hint="eastAsia" w:ascii="宋体" w:hAnsi="宋体" w:eastAsia="宋体" w:cs="Times New Roman"/>
                <w:szCs w:val="21"/>
              </w:rPr>
            </w:pPr>
          </w:p>
        </w:tc>
        <w:tc>
          <w:tcPr>
            <w:tcW w:w="8093" w:type="dxa"/>
            <w:gridSpan w:val="5"/>
            <w:vAlign w:val="center"/>
          </w:tcPr>
          <w:p w14:paraId="02C8F67D">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了解基础教育改革与发展的本质规律，准确把握事物的主要矛盾和次要矛盾；培养和形成朴素、严谨的文风。</w:t>
            </w:r>
          </w:p>
        </w:tc>
      </w:tr>
      <w:tr w14:paraId="28DD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54F896B">
            <w:pPr>
              <w:spacing w:line="276" w:lineRule="auto"/>
              <w:jc w:val="center"/>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 xml:space="preserve"> </w:t>
            </w:r>
            <w:r>
              <w:rPr>
                <w:rFonts w:hint="eastAsia" w:ascii="宋体" w:hAnsi="宋体" w:eastAsia="宋体" w:cs="Times New Roman"/>
                <w:szCs w:val="21"/>
              </w:rPr>
              <w:t>教育叙事论文的写作</w:t>
            </w:r>
          </w:p>
        </w:tc>
        <w:tc>
          <w:tcPr>
            <w:tcW w:w="1701" w:type="dxa"/>
            <w:vAlign w:val="center"/>
          </w:tcPr>
          <w:p w14:paraId="4757A4DD">
            <w:pPr>
              <w:jc w:val="left"/>
              <w:rPr>
                <w:rFonts w:hint="eastAsia" w:ascii="宋体" w:hAnsi="宋体" w:eastAsia="宋体" w:cs="Times New Roman"/>
                <w:szCs w:val="21"/>
              </w:rPr>
            </w:pPr>
            <w:r>
              <w:rPr>
                <w:rFonts w:hint="eastAsia" w:ascii="宋体" w:hAnsi="宋体" w:eastAsia="宋体" w:cs="Times New Roman"/>
                <w:szCs w:val="21"/>
              </w:rPr>
              <w:t xml:space="preserve"> </w:t>
            </w:r>
            <w:r>
              <w:rPr>
                <w:rFonts w:ascii="宋体" w:hAnsi="宋体" w:eastAsia="宋体" w:cs="Times New Roman"/>
                <w:szCs w:val="21"/>
              </w:rPr>
              <w:t xml:space="preserve"> </w:t>
            </w:r>
            <w:r>
              <w:rPr>
                <w:rFonts w:hint="eastAsia" w:ascii="宋体" w:hAnsi="宋体" w:eastAsia="宋体" w:cs="Times New Roman"/>
                <w:szCs w:val="21"/>
              </w:rPr>
              <w:t>（</w:t>
            </w:r>
            <w:r>
              <w:rPr>
                <w:rFonts w:ascii="宋体" w:hAnsi="宋体" w:eastAsia="宋体" w:cs="Times New Roman"/>
                <w:szCs w:val="21"/>
              </w:rPr>
              <w:t xml:space="preserve">1）教育叙事论文的结构 </w:t>
            </w:r>
          </w:p>
          <w:p w14:paraId="085C87B5">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2）教育叙事论文的写作程序与方法</w:t>
            </w:r>
          </w:p>
        </w:tc>
        <w:tc>
          <w:tcPr>
            <w:tcW w:w="1134" w:type="dxa"/>
            <w:vAlign w:val="center"/>
          </w:tcPr>
          <w:p w14:paraId="60CEE0ED">
            <w:pPr>
              <w:jc w:val="center"/>
              <w:rPr>
                <w:rFonts w:hint="eastAsia" w:ascii="宋体" w:hAnsi="宋体" w:eastAsia="宋体" w:cs="Times New Roman"/>
                <w:szCs w:val="21"/>
              </w:rPr>
            </w:pPr>
            <w:r>
              <w:rPr>
                <w:rFonts w:hint="eastAsia" w:ascii="宋体" w:hAnsi="宋体" w:eastAsia="宋体" w:cs="Times New Roman"/>
                <w:szCs w:val="21"/>
              </w:rPr>
              <w:t>课程目标2、</w:t>
            </w:r>
            <w:r>
              <w:rPr>
                <w:rFonts w:ascii="宋体" w:hAnsi="宋体" w:eastAsia="宋体" w:cs="Times New Roman"/>
                <w:szCs w:val="21"/>
              </w:rPr>
              <w:t xml:space="preserve">4 </w:t>
            </w:r>
          </w:p>
        </w:tc>
        <w:tc>
          <w:tcPr>
            <w:tcW w:w="3326" w:type="dxa"/>
            <w:vAlign w:val="center"/>
          </w:tcPr>
          <w:p w14:paraId="7B97CA7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1）结合实例，学会分析教育叙事论文的结构；</w:t>
            </w:r>
          </w:p>
          <w:p w14:paraId="093E7C4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2）掌握教育叙事研究的“深度描写”的基本要求；</w:t>
            </w:r>
          </w:p>
          <w:p w14:paraId="3D31F22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3）能够结合教育实践，尝试撰写教育叙事论文。</w:t>
            </w:r>
          </w:p>
        </w:tc>
        <w:tc>
          <w:tcPr>
            <w:tcW w:w="1276" w:type="dxa"/>
            <w:vAlign w:val="center"/>
          </w:tcPr>
          <w:p w14:paraId="4022A305">
            <w:pPr>
              <w:spacing w:line="276" w:lineRule="auto"/>
              <w:jc w:val="center"/>
              <w:rPr>
                <w:rFonts w:hint="eastAsia" w:ascii="宋体" w:hAnsi="宋体" w:eastAsia="宋体" w:cs="Times New Roman"/>
                <w:szCs w:val="21"/>
              </w:rPr>
            </w:pPr>
            <w:r>
              <w:rPr>
                <w:rFonts w:hint="eastAsia" w:ascii="宋体" w:hAnsi="宋体" w:eastAsia="宋体" w:cs="Times New Roman"/>
                <w:szCs w:val="21"/>
              </w:rPr>
              <w:t>自主学习</w:t>
            </w:r>
          </w:p>
          <w:p w14:paraId="0BD4D827">
            <w:pPr>
              <w:spacing w:line="276" w:lineRule="auto"/>
              <w:jc w:val="center"/>
              <w:rPr>
                <w:rFonts w:hint="eastAsia" w:ascii="宋体" w:hAnsi="宋体" w:eastAsia="宋体" w:cs="Times New Roman"/>
                <w:szCs w:val="21"/>
              </w:rPr>
            </w:pPr>
            <w:r>
              <w:rPr>
                <w:rFonts w:hint="eastAsia" w:ascii="宋体" w:hAnsi="宋体" w:eastAsia="宋体" w:cs="Times New Roman"/>
                <w:szCs w:val="21"/>
              </w:rPr>
              <w:t>案例教学</w:t>
            </w:r>
          </w:p>
          <w:p w14:paraId="7F7501C4">
            <w:pPr>
              <w:spacing w:line="276" w:lineRule="auto"/>
              <w:jc w:val="center"/>
              <w:rPr>
                <w:rFonts w:hint="eastAsia" w:ascii="宋体" w:hAnsi="宋体" w:eastAsia="宋体" w:cs="Times New Roman"/>
                <w:szCs w:val="21"/>
              </w:rPr>
            </w:pPr>
            <w:r>
              <w:rPr>
                <w:rFonts w:hint="eastAsia" w:ascii="宋体" w:hAnsi="宋体" w:eastAsia="宋体" w:cs="Times New Roman"/>
                <w:szCs w:val="21"/>
              </w:rPr>
              <w:t>课堂讨论</w:t>
            </w:r>
          </w:p>
          <w:p w14:paraId="46D1C5D9">
            <w:pPr>
              <w:spacing w:line="276" w:lineRule="auto"/>
              <w:jc w:val="center"/>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789FE33B">
            <w:pPr>
              <w:spacing w:line="276" w:lineRule="auto"/>
              <w:jc w:val="center"/>
              <w:rPr>
                <w:rFonts w:hint="eastAsia" w:ascii="宋体" w:hAnsi="宋体" w:eastAsia="宋体" w:cs="Times New Roman"/>
                <w:szCs w:val="21"/>
              </w:rPr>
            </w:pPr>
            <w:r>
              <w:rPr>
                <w:rFonts w:ascii="宋体" w:hAnsi="宋体" w:eastAsia="宋体" w:cs="Times New Roman"/>
                <w:szCs w:val="21"/>
              </w:rPr>
              <w:t>4</w:t>
            </w:r>
          </w:p>
        </w:tc>
      </w:tr>
      <w:tr w14:paraId="1389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050D12">
            <w:pPr>
              <w:spacing w:line="276" w:lineRule="auto"/>
              <w:jc w:val="center"/>
              <w:rPr>
                <w:rFonts w:hint="eastAsia" w:ascii="宋体" w:hAnsi="宋体" w:eastAsia="宋体" w:cs="Times New Roman"/>
                <w:szCs w:val="21"/>
              </w:rPr>
            </w:pPr>
          </w:p>
        </w:tc>
        <w:tc>
          <w:tcPr>
            <w:tcW w:w="8093" w:type="dxa"/>
            <w:gridSpan w:val="5"/>
            <w:vAlign w:val="center"/>
          </w:tcPr>
          <w:p w14:paraId="1BD3484E">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培养和形成深厚的教育情怀，走进儿童心灵，关心、关爱儿童；形成脚踏实地、实事求是的学习风气和研究态度。</w:t>
            </w:r>
          </w:p>
        </w:tc>
      </w:tr>
      <w:tr w14:paraId="78E9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E07C4C6">
            <w:pPr>
              <w:spacing w:line="276" w:lineRule="auto"/>
              <w:jc w:val="center"/>
              <w:rPr>
                <w:rFonts w:hint="eastAsia" w:ascii="宋体" w:hAnsi="宋体" w:eastAsia="宋体" w:cs="Times New Roman"/>
                <w:szCs w:val="21"/>
              </w:rPr>
            </w:pPr>
            <w:r>
              <w:rPr>
                <w:rFonts w:hint="eastAsia" w:ascii="宋体" w:hAnsi="宋体" w:eastAsia="宋体" w:cs="Times New Roman"/>
                <w:szCs w:val="21"/>
              </w:rPr>
              <w:t>7. 教育学位论文的写作</w:t>
            </w:r>
          </w:p>
        </w:tc>
        <w:tc>
          <w:tcPr>
            <w:tcW w:w="1701" w:type="dxa"/>
            <w:vAlign w:val="center"/>
          </w:tcPr>
          <w:p w14:paraId="2B149667">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1）教育学位论文基本结构</w:t>
            </w:r>
          </w:p>
          <w:p w14:paraId="4FDAC94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2）教育学论文写作的方法与要求</w:t>
            </w:r>
          </w:p>
        </w:tc>
        <w:tc>
          <w:tcPr>
            <w:tcW w:w="1134" w:type="dxa"/>
            <w:vAlign w:val="center"/>
          </w:tcPr>
          <w:p w14:paraId="17689D29">
            <w:pPr>
              <w:jc w:val="center"/>
              <w:rPr>
                <w:rFonts w:hint="eastAsia" w:ascii="宋体" w:hAnsi="宋体" w:eastAsia="宋体" w:cs="Times New Roman"/>
                <w:szCs w:val="21"/>
              </w:rPr>
            </w:pPr>
            <w:r>
              <w:rPr>
                <w:rFonts w:hint="eastAsia" w:ascii="宋体" w:hAnsi="宋体" w:eastAsia="宋体" w:cs="Times New Roman"/>
                <w:szCs w:val="21"/>
              </w:rPr>
              <w:t>课程目标2、3、</w:t>
            </w:r>
            <w:r>
              <w:rPr>
                <w:rFonts w:ascii="宋体" w:hAnsi="宋体" w:eastAsia="宋体" w:cs="Times New Roman"/>
                <w:szCs w:val="21"/>
              </w:rPr>
              <w:t>4</w:t>
            </w:r>
          </w:p>
        </w:tc>
        <w:tc>
          <w:tcPr>
            <w:tcW w:w="3326" w:type="dxa"/>
            <w:vAlign w:val="center"/>
          </w:tcPr>
          <w:p w14:paraId="2361E4B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1）了解教育学位论文的结构特点；</w:t>
            </w:r>
          </w:p>
          <w:p w14:paraId="7D91255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2）掌握教育教学论文写作的方法与要求； </w:t>
            </w:r>
          </w:p>
          <w:p w14:paraId="4453408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3）能够根据毕业论文的选题，初步拟定毕业论文的框架。</w:t>
            </w:r>
          </w:p>
        </w:tc>
        <w:tc>
          <w:tcPr>
            <w:tcW w:w="1276" w:type="dxa"/>
            <w:vAlign w:val="center"/>
          </w:tcPr>
          <w:p w14:paraId="48DFF3BB">
            <w:pPr>
              <w:spacing w:line="276" w:lineRule="auto"/>
              <w:jc w:val="center"/>
              <w:rPr>
                <w:rFonts w:hint="eastAsia" w:ascii="宋体" w:hAnsi="宋体" w:eastAsia="宋体" w:cs="Times New Roman"/>
                <w:szCs w:val="21"/>
              </w:rPr>
            </w:pPr>
            <w:r>
              <w:rPr>
                <w:rFonts w:hint="eastAsia" w:ascii="宋体" w:hAnsi="宋体" w:eastAsia="宋体" w:cs="Times New Roman"/>
                <w:szCs w:val="21"/>
              </w:rPr>
              <w:t>自主学习</w:t>
            </w:r>
          </w:p>
          <w:p w14:paraId="5296219A">
            <w:pPr>
              <w:spacing w:line="276" w:lineRule="auto"/>
              <w:jc w:val="center"/>
              <w:rPr>
                <w:rFonts w:hint="eastAsia" w:ascii="宋体" w:hAnsi="宋体" w:eastAsia="宋体" w:cs="Times New Roman"/>
                <w:szCs w:val="21"/>
              </w:rPr>
            </w:pPr>
            <w:r>
              <w:rPr>
                <w:rFonts w:hint="eastAsia" w:ascii="宋体" w:hAnsi="宋体" w:eastAsia="宋体" w:cs="Times New Roman"/>
                <w:szCs w:val="21"/>
              </w:rPr>
              <w:t>案例教学</w:t>
            </w:r>
          </w:p>
          <w:p w14:paraId="6493F486">
            <w:pPr>
              <w:spacing w:line="276" w:lineRule="auto"/>
              <w:jc w:val="center"/>
              <w:rPr>
                <w:rFonts w:hint="eastAsia" w:ascii="宋体" w:hAnsi="宋体" w:eastAsia="宋体" w:cs="Times New Roman"/>
                <w:szCs w:val="21"/>
              </w:rPr>
            </w:pPr>
            <w:r>
              <w:rPr>
                <w:rFonts w:hint="eastAsia" w:ascii="宋体" w:hAnsi="宋体" w:eastAsia="宋体" w:cs="Times New Roman"/>
                <w:szCs w:val="21"/>
              </w:rPr>
              <w:t>课堂讨论</w:t>
            </w:r>
          </w:p>
          <w:p w14:paraId="1B18A1E2">
            <w:pPr>
              <w:spacing w:line="276" w:lineRule="auto"/>
              <w:jc w:val="center"/>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1B070F7B">
            <w:pPr>
              <w:spacing w:line="276" w:lineRule="auto"/>
              <w:jc w:val="center"/>
              <w:rPr>
                <w:rFonts w:hint="eastAsia" w:ascii="宋体" w:hAnsi="宋体" w:eastAsia="宋体" w:cs="Times New Roman"/>
                <w:szCs w:val="21"/>
              </w:rPr>
            </w:pPr>
            <w:r>
              <w:rPr>
                <w:rFonts w:ascii="宋体" w:hAnsi="宋体" w:eastAsia="宋体" w:cs="Times New Roman"/>
                <w:szCs w:val="21"/>
              </w:rPr>
              <w:t>4</w:t>
            </w:r>
          </w:p>
        </w:tc>
      </w:tr>
      <w:tr w14:paraId="5401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3DB39C4">
            <w:pPr>
              <w:spacing w:line="276" w:lineRule="auto"/>
              <w:jc w:val="center"/>
              <w:rPr>
                <w:rFonts w:hint="eastAsia" w:ascii="宋体" w:hAnsi="宋体" w:eastAsia="宋体" w:cs="Times New Roman"/>
                <w:szCs w:val="21"/>
              </w:rPr>
            </w:pPr>
          </w:p>
        </w:tc>
        <w:tc>
          <w:tcPr>
            <w:tcW w:w="8093" w:type="dxa"/>
            <w:gridSpan w:val="5"/>
            <w:vAlign w:val="center"/>
          </w:tcPr>
          <w:p w14:paraId="7C43E6FF">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培养学生学会发现、分析和解决人民关心的教育热点问题的能力；培养创新精神和实践能力。</w:t>
            </w:r>
          </w:p>
        </w:tc>
      </w:tr>
      <w:tr w14:paraId="5DEA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205" w:type="dxa"/>
            <w:vMerge w:val="restart"/>
            <w:vAlign w:val="center"/>
          </w:tcPr>
          <w:p w14:paraId="6142B0C9">
            <w:pPr>
              <w:spacing w:line="264" w:lineRule="auto"/>
              <w:jc w:val="center"/>
              <w:rPr>
                <w:rFonts w:hint="eastAsia" w:ascii="宋体" w:hAnsi="宋体" w:eastAsia="宋体" w:cs="Times New Roman"/>
                <w:szCs w:val="21"/>
              </w:rPr>
            </w:pPr>
            <w:r>
              <w:rPr>
                <w:rFonts w:hint="eastAsia" w:ascii="宋体" w:hAnsi="宋体" w:eastAsia="宋体" w:cs="Times New Roman"/>
                <w:szCs w:val="21"/>
              </w:rPr>
              <w:t>8.</w:t>
            </w:r>
            <w:r>
              <w:rPr>
                <w:rFonts w:hint="eastAsia" w:ascii="Calibri" w:hAnsi="Calibri" w:eastAsia="宋体" w:cs="Times New Roman"/>
                <w:szCs w:val="21"/>
              </w:rPr>
              <w:t xml:space="preserve"> </w:t>
            </w:r>
            <w:r>
              <w:rPr>
                <w:rFonts w:hint="eastAsia" w:ascii="宋体" w:hAnsi="宋体" w:eastAsia="宋体" w:cs="Times New Roman"/>
                <w:szCs w:val="21"/>
              </w:rPr>
              <w:t>教育论文的交流与发表</w:t>
            </w:r>
          </w:p>
        </w:tc>
        <w:tc>
          <w:tcPr>
            <w:tcW w:w="1701" w:type="dxa"/>
            <w:vAlign w:val="center"/>
          </w:tcPr>
          <w:p w14:paraId="568506C1">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1）教育论文的修改</w:t>
            </w:r>
          </w:p>
          <w:p w14:paraId="4860FDF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2）教育论文的交流</w:t>
            </w:r>
          </w:p>
          <w:p w14:paraId="4BFCD7F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2）教育论文的发表</w:t>
            </w:r>
          </w:p>
        </w:tc>
        <w:tc>
          <w:tcPr>
            <w:tcW w:w="1134" w:type="dxa"/>
            <w:vAlign w:val="center"/>
          </w:tcPr>
          <w:p w14:paraId="3DF6A8CD">
            <w:pPr>
              <w:jc w:val="center"/>
              <w:rPr>
                <w:rFonts w:hint="eastAsia" w:ascii="宋体" w:hAnsi="宋体" w:eastAsia="宋体" w:cs="Times New Roman"/>
                <w:szCs w:val="21"/>
              </w:rPr>
            </w:pPr>
            <w:r>
              <w:rPr>
                <w:rFonts w:hint="eastAsia" w:ascii="宋体" w:hAnsi="宋体" w:eastAsia="宋体" w:cs="Times New Roman"/>
                <w:szCs w:val="21"/>
              </w:rPr>
              <w:t>课程目标1、2、</w:t>
            </w:r>
          </w:p>
          <w:p w14:paraId="3AB69A8A">
            <w:pPr>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4</w:t>
            </w:r>
          </w:p>
        </w:tc>
        <w:tc>
          <w:tcPr>
            <w:tcW w:w="3326" w:type="dxa"/>
            <w:vAlign w:val="center"/>
          </w:tcPr>
          <w:p w14:paraId="0A53605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1）掌握教育论文修改的基本方法与要求；</w:t>
            </w:r>
          </w:p>
          <w:p w14:paraId="3BA4035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2）了解教育论文交流与发表的途径； </w:t>
            </w:r>
          </w:p>
          <w:p w14:paraId="1E21AFC6">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3）了解教育论文投稿的规范。</w:t>
            </w:r>
          </w:p>
        </w:tc>
        <w:tc>
          <w:tcPr>
            <w:tcW w:w="1276" w:type="dxa"/>
            <w:vAlign w:val="center"/>
          </w:tcPr>
          <w:p w14:paraId="0D61001F">
            <w:pPr>
              <w:spacing w:line="264" w:lineRule="auto"/>
              <w:jc w:val="center"/>
              <w:rPr>
                <w:rFonts w:hint="eastAsia" w:ascii="宋体" w:hAnsi="宋体" w:eastAsia="宋体" w:cs="Times New Roman"/>
                <w:szCs w:val="21"/>
              </w:rPr>
            </w:pPr>
            <w:r>
              <w:rPr>
                <w:rFonts w:hint="eastAsia" w:ascii="宋体" w:hAnsi="宋体" w:eastAsia="宋体" w:cs="Times New Roman"/>
                <w:szCs w:val="21"/>
              </w:rPr>
              <w:t>自主学习</w:t>
            </w:r>
          </w:p>
          <w:p w14:paraId="5D4E59C9">
            <w:pPr>
              <w:spacing w:line="264" w:lineRule="auto"/>
              <w:jc w:val="center"/>
              <w:rPr>
                <w:rFonts w:hint="eastAsia" w:ascii="宋体" w:hAnsi="宋体" w:eastAsia="宋体" w:cs="Times New Roman"/>
                <w:szCs w:val="21"/>
              </w:rPr>
            </w:pPr>
            <w:r>
              <w:rPr>
                <w:rFonts w:hint="eastAsia" w:ascii="宋体" w:hAnsi="宋体" w:eastAsia="宋体" w:cs="Times New Roman"/>
                <w:szCs w:val="21"/>
              </w:rPr>
              <w:t>案例教学</w:t>
            </w:r>
          </w:p>
          <w:p w14:paraId="21D75A86">
            <w:pPr>
              <w:spacing w:line="264" w:lineRule="auto"/>
              <w:jc w:val="center"/>
              <w:rPr>
                <w:rFonts w:hint="eastAsia" w:ascii="宋体" w:hAnsi="宋体" w:eastAsia="宋体" w:cs="Times New Roman"/>
                <w:szCs w:val="21"/>
              </w:rPr>
            </w:pPr>
            <w:r>
              <w:rPr>
                <w:rFonts w:hint="eastAsia" w:ascii="宋体" w:hAnsi="宋体" w:eastAsia="宋体" w:cs="Times New Roman"/>
                <w:szCs w:val="21"/>
              </w:rPr>
              <w:t>课堂讨论</w:t>
            </w:r>
          </w:p>
          <w:p w14:paraId="5DB88CBC">
            <w:pPr>
              <w:spacing w:line="264" w:lineRule="auto"/>
              <w:jc w:val="center"/>
              <w:rPr>
                <w:rFonts w:hint="eastAsia" w:ascii="宋体" w:hAnsi="宋体" w:eastAsia="宋体" w:cs="Times New Roman"/>
                <w:szCs w:val="21"/>
              </w:rPr>
            </w:pPr>
            <w:r>
              <w:rPr>
                <w:rFonts w:hint="eastAsia" w:ascii="宋体" w:hAnsi="宋体" w:eastAsia="宋体" w:cs="Times New Roman"/>
                <w:szCs w:val="21"/>
              </w:rPr>
              <w:t>合作学习</w:t>
            </w:r>
          </w:p>
        </w:tc>
        <w:tc>
          <w:tcPr>
            <w:tcW w:w="656" w:type="dxa"/>
            <w:vAlign w:val="center"/>
          </w:tcPr>
          <w:p w14:paraId="0BFC0222">
            <w:pPr>
              <w:spacing w:line="264" w:lineRule="auto"/>
              <w:ind w:firstLine="210" w:firstLineChars="100"/>
              <w:rPr>
                <w:rFonts w:hint="eastAsia" w:ascii="宋体" w:hAnsi="宋体" w:eastAsia="宋体" w:cs="Times New Roman"/>
                <w:szCs w:val="21"/>
              </w:rPr>
            </w:pPr>
            <w:r>
              <w:rPr>
                <w:rFonts w:ascii="宋体" w:hAnsi="宋体" w:eastAsia="宋体" w:cs="Times New Roman"/>
                <w:szCs w:val="21"/>
              </w:rPr>
              <w:t>2</w:t>
            </w:r>
          </w:p>
        </w:tc>
      </w:tr>
      <w:tr w14:paraId="6D1B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205" w:type="dxa"/>
            <w:vMerge w:val="continue"/>
            <w:vAlign w:val="center"/>
          </w:tcPr>
          <w:p w14:paraId="0B1C90AC">
            <w:pPr>
              <w:spacing w:line="264" w:lineRule="auto"/>
              <w:jc w:val="center"/>
              <w:rPr>
                <w:rFonts w:hint="eastAsia" w:ascii="宋体" w:hAnsi="宋体" w:eastAsia="宋体" w:cs="Times New Roman"/>
                <w:szCs w:val="21"/>
              </w:rPr>
            </w:pPr>
          </w:p>
        </w:tc>
        <w:tc>
          <w:tcPr>
            <w:tcW w:w="8093" w:type="dxa"/>
            <w:gridSpan w:val="5"/>
            <w:vAlign w:val="center"/>
          </w:tcPr>
          <w:p w14:paraId="61E6C4DD">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培养学生国际视野，增强“四个自信”；遵守学术规范，恪守学术诚信。</w:t>
            </w:r>
          </w:p>
        </w:tc>
      </w:tr>
    </w:tbl>
    <w:p w14:paraId="48F99C75">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2AF40FB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136"/>
        <w:gridCol w:w="1157"/>
        <w:gridCol w:w="1211"/>
        <w:gridCol w:w="1328"/>
        <w:gridCol w:w="1297"/>
        <w:gridCol w:w="693"/>
      </w:tblGrid>
      <w:tr w14:paraId="11AB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95" w:type="dxa"/>
            <w:vMerge w:val="restart"/>
            <w:vAlign w:val="center"/>
          </w:tcPr>
          <w:p w14:paraId="700AD54F">
            <w:pPr>
              <w:jc w:val="left"/>
              <w:rPr>
                <w:rFonts w:hint="eastAsia" w:ascii="宋体" w:hAnsi="宋体" w:eastAsia="宋体" w:cs="宋体"/>
                <w:b/>
                <w:bCs/>
                <w:szCs w:val="21"/>
              </w:rPr>
            </w:pPr>
            <w:r>
              <w:rPr>
                <w:rFonts w:hint="eastAsia" w:ascii="宋体" w:hAnsi="宋体" w:eastAsia="宋体" w:cs="宋体"/>
                <w:b/>
                <w:bCs/>
                <w:szCs w:val="21"/>
              </w:rPr>
              <w:t>课程目标</w:t>
            </w:r>
          </w:p>
        </w:tc>
        <w:tc>
          <w:tcPr>
            <w:tcW w:w="6129" w:type="dxa"/>
            <w:gridSpan w:val="5"/>
            <w:vAlign w:val="center"/>
          </w:tcPr>
          <w:p w14:paraId="6AA639FF">
            <w:pPr>
              <w:jc w:val="center"/>
              <w:rPr>
                <w:rFonts w:hint="eastAsia" w:ascii="宋体" w:hAnsi="宋体" w:eastAsia="宋体" w:cs="宋体"/>
                <w:b/>
                <w:bCs/>
                <w:szCs w:val="21"/>
              </w:rPr>
            </w:pPr>
            <w:r>
              <w:rPr>
                <w:rFonts w:hint="eastAsia" w:ascii="宋体" w:hAnsi="宋体" w:eastAsia="宋体" w:cs="宋体"/>
                <w:b/>
                <w:bCs/>
                <w:szCs w:val="21"/>
              </w:rPr>
              <w:t>评价与成绩评定方法</w:t>
            </w:r>
          </w:p>
        </w:tc>
        <w:tc>
          <w:tcPr>
            <w:tcW w:w="693" w:type="dxa"/>
            <w:vMerge w:val="restart"/>
            <w:vAlign w:val="center"/>
          </w:tcPr>
          <w:p w14:paraId="060BE70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分值</w:t>
            </w:r>
          </w:p>
        </w:tc>
      </w:tr>
      <w:tr w14:paraId="081E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395" w:type="dxa"/>
            <w:vMerge w:val="continue"/>
            <w:vAlign w:val="center"/>
          </w:tcPr>
          <w:p w14:paraId="791CFAAD">
            <w:pPr>
              <w:jc w:val="left"/>
              <w:rPr>
                <w:rFonts w:hint="eastAsia" w:ascii="宋体" w:hAnsi="宋体" w:eastAsia="宋体" w:cs="宋体"/>
                <w:b/>
                <w:bCs/>
                <w:szCs w:val="21"/>
              </w:rPr>
            </w:pPr>
          </w:p>
        </w:tc>
        <w:tc>
          <w:tcPr>
            <w:tcW w:w="4832" w:type="dxa"/>
            <w:gridSpan w:val="4"/>
            <w:vAlign w:val="center"/>
          </w:tcPr>
          <w:p w14:paraId="67C9C1D2">
            <w:pPr>
              <w:jc w:val="center"/>
              <w:rPr>
                <w:rFonts w:hint="eastAsia" w:ascii="宋体" w:hAnsi="宋体" w:eastAsia="宋体" w:cs="宋体"/>
                <w:b/>
                <w:bCs/>
                <w:szCs w:val="21"/>
              </w:rPr>
            </w:pPr>
            <w:r>
              <w:rPr>
                <w:rFonts w:hint="eastAsia" w:ascii="宋体" w:hAnsi="宋体" w:eastAsia="宋体" w:cs="宋体"/>
                <w:b/>
                <w:bCs/>
                <w:szCs w:val="21"/>
              </w:rPr>
              <w:t>过程性评价</w:t>
            </w:r>
          </w:p>
        </w:tc>
        <w:tc>
          <w:tcPr>
            <w:tcW w:w="1297" w:type="dxa"/>
            <w:vAlign w:val="center"/>
          </w:tcPr>
          <w:p w14:paraId="421D829C">
            <w:pPr>
              <w:jc w:val="center"/>
              <w:rPr>
                <w:rFonts w:hint="eastAsia" w:ascii="宋体" w:hAnsi="宋体" w:eastAsia="宋体" w:cs="宋体"/>
                <w:b/>
                <w:bCs/>
                <w:szCs w:val="21"/>
              </w:rPr>
            </w:pPr>
            <w:r>
              <w:rPr>
                <w:rFonts w:hint="eastAsia" w:ascii="宋体" w:hAnsi="宋体" w:eastAsia="宋体" w:cs="宋体"/>
                <w:b/>
                <w:bCs/>
                <w:szCs w:val="21"/>
              </w:rPr>
              <w:t>期末考试</w:t>
            </w:r>
          </w:p>
        </w:tc>
        <w:tc>
          <w:tcPr>
            <w:tcW w:w="693" w:type="dxa"/>
            <w:vMerge w:val="continue"/>
            <w:vAlign w:val="center"/>
          </w:tcPr>
          <w:p w14:paraId="0128750A">
            <w:pPr>
              <w:jc w:val="center"/>
              <w:rPr>
                <w:rFonts w:ascii="Times New Roman" w:hAnsi="Times New Roman" w:eastAsia="宋体" w:cs="Times New Roman"/>
                <w:b/>
                <w:bCs/>
                <w:szCs w:val="21"/>
              </w:rPr>
            </w:pPr>
          </w:p>
        </w:tc>
      </w:tr>
      <w:tr w14:paraId="1791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95" w:type="dxa"/>
            <w:vMerge w:val="continue"/>
            <w:vAlign w:val="center"/>
          </w:tcPr>
          <w:p w14:paraId="1D46A3F8">
            <w:pPr>
              <w:jc w:val="left"/>
              <w:rPr>
                <w:rFonts w:hint="eastAsia" w:ascii="宋体" w:hAnsi="宋体" w:eastAsia="宋体" w:cs="宋体"/>
                <w:szCs w:val="21"/>
              </w:rPr>
            </w:pPr>
          </w:p>
        </w:tc>
        <w:tc>
          <w:tcPr>
            <w:tcW w:w="1136" w:type="dxa"/>
            <w:vAlign w:val="center"/>
          </w:tcPr>
          <w:p w14:paraId="3A0D1715">
            <w:pPr>
              <w:adjustRightInd w:val="0"/>
              <w:jc w:val="center"/>
              <w:rPr>
                <w:rFonts w:hint="eastAsia" w:ascii="宋体" w:hAnsi="宋体" w:eastAsia="宋体" w:cs="宋体"/>
                <w:szCs w:val="21"/>
              </w:rPr>
            </w:pPr>
            <w:r>
              <w:rPr>
                <w:rFonts w:hint="eastAsia" w:ascii="宋体" w:hAnsi="宋体" w:eastAsia="宋体" w:cs="宋体"/>
                <w:szCs w:val="21"/>
              </w:rPr>
              <w:t>课堂表现</w:t>
            </w:r>
          </w:p>
        </w:tc>
        <w:tc>
          <w:tcPr>
            <w:tcW w:w="1157" w:type="dxa"/>
            <w:vAlign w:val="center"/>
          </w:tcPr>
          <w:p w14:paraId="233B4261">
            <w:pPr>
              <w:adjustRightInd w:val="0"/>
              <w:jc w:val="center"/>
              <w:rPr>
                <w:rFonts w:hint="eastAsia" w:ascii="宋体" w:hAnsi="宋体" w:eastAsia="宋体" w:cs="宋体"/>
                <w:szCs w:val="21"/>
              </w:rPr>
            </w:pPr>
            <w:r>
              <w:rPr>
                <w:rFonts w:hint="eastAsia" w:ascii="宋体" w:hAnsi="宋体" w:eastAsia="宋体" w:cs="宋体"/>
                <w:szCs w:val="21"/>
              </w:rPr>
              <w:t>平时作业</w:t>
            </w:r>
          </w:p>
        </w:tc>
        <w:tc>
          <w:tcPr>
            <w:tcW w:w="1211" w:type="dxa"/>
            <w:vAlign w:val="center"/>
          </w:tcPr>
          <w:p w14:paraId="336E58CF">
            <w:pPr>
              <w:adjustRightInd w:val="0"/>
              <w:jc w:val="center"/>
              <w:rPr>
                <w:rFonts w:hint="eastAsia" w:ascii="宋体" w:hAnsi="宋体" w:eastAsia="宋体" w:cs="宋体"/>
                <w:szCs w:val="21"/>
              </w:rPr>
            </w:pPr>
            <w:r>
              <w:rPr>
                <w:rFonts w:hint="eastAsia" w:ascii="宋体" w:hAnsi="宋体" w:eastAsia="宋体" w:cs="宋体"/>
                <w:szCs w:val="21"/>
              </w:rPr>
              <w:t>自主学习</w:t>
            </w:r>
          </w:p>
        </w:tc>
        <w:tc>
          <w:tcPr>
            <w:tcW w:w="1328" w:type="dxa"/>
            <w:vAlign w:val="center"/>
          </w:tcPr>
          <w:p w14:paraId="2B51C150">
            <w:pPr>
              <w:adjustRightInd w:val="0"/>
              <w:jc w:val="center"/>
              <w:rPr>
                <w:rFonts w:hint="eastAsia" w:ascii="宋体" w:hAnsi="宋体" w:eastAsia="宋体" w:cs="宋体"/>
                <w:szCs w:val="21"/>
              </w:rPr>
            </w:pPr>
            <w:r>
              <w:rPr>
                <w:rFonts w:hint="eastAsia" w:ascii="宋体" w:hAnsi="宋体" w:eastAsia="宋体" w:cs="宋体"/>
                <w:szCs w:val="21"/>
              </w:rPr>
              <w:t>合作学习</w:t>
            </w:r>
          </w:p>
        </w:tc>
        <w:tc>
          <w:tcPr>
            <w:tcW w:w="1297" w:type="dxa"/>
            <w:vAlign w:val="center"/>
          </w:tcPr>
          <w:p w14:paraId="7A71D1CE">
            <w:pPr>
              <w:adjustRightInd w:val="0"/>
              <w:jc w:val="center"/>
              <w:rPr>
                <w:rFonts w:hint="eastAsia" w:ascii="宋体" w:hAnsi="宋体" w:eastAsia="宋体" w:cs="宋体"/>
                <w:szCs w:val="21"/>
              </w:rPr>
            </w:pPr>
            <w:r>
              <w:rPr>
                <w:rFonts w:hint="eastAsia" w:ascii="宋体" w:hAnsi="宋体" w:eastAsia="宋体" w:cs="宋体"/>
                <w:szCs w:val="21"/>
              </w:rPr>
              <w:t>论文撰写</w:t>
            </w:r>
          </w:p>
        </w:tc>
        <w:tc>
          <w:tcPr>
            <w:tcW w:w="693" w:type="dxa"/>
            <w:vMerge w:val="continue"/>
            <w:vAlign w:val="center"/>
          </w:tcPr>
          <w:p w14:paraId="7B8AD16E">
            <w:pPr>
              <w:jc w:val="left"/>
              <w:rPr>
                <w:rFonts w:ascii="Times New Roman" w:hAnsi="Times New Roman" w:eastAsia="宋体" w:cs="Times New Roman"/>
                <w:szCs w:val="21"/>
              </w:rPr>
            </w:pPr>
          </w:p>
        </w:tc>
      </w:tr>
      <w:tr w14:paraId="6935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95" w:type="dxa"/>
            <w:vAlign w:val="center"/>
          </w:tcPr>
          <w:p w14:paraId="3FB8CACD">
            <w:pPr>
              <w:contextualSpacing/>
              <w:jc w:val="center"/>
              <w:rPr>
                <w:rFonts w:hint="eastAsia" w:ascii="宋体" w:hAnsi="宋体" w:eastAsia="宋体" w:cs="宋体"/>
                <w:szCs w:val="21"/>
              </w:rPr>
            </w:pPr>
            <w:r>
              <w:rPr>
                <w:rFonts w:hint="eastAsia" w:ascii="宋体" w:hAnsi="宋体" w:eastAsia="宋体" w:cs="宋体"/>
                <w:szCs w:val="21"/>
              </w:rPr>
              <w:t>课程目标1</w:t>
            </w:r>
          </w:p>
        </w:tc>
        <w:tc>
          <w:tcPr>
            <w:tcW w:w="1136" w:type="dxa"/>
            <w:vAlign w:val="center"/>
          </w:tcPr>
          <w:p w14:paraId="2F48E028">
            <w:pPr>
              <w:contextualSpacing/>
              <w:jc w:val="center"/>
              <w:rPr>
                <w:rFonts w:hint="eastAsia" w:ascii="宋体" w:hAnsi="宋体" w:eastAsia="宋体" w:cs="宋体"/>
                <w:szCs w:val="21"/>
              </w:rPr>
            </w:pPr>
            <w:r>
              <w:rPr>
                <w:rFonts w:hint="eastAsia" w:ascii="宋体" w:hAnsi="宋体" w:eastAsia="宋体" w:cs="宋体"/>
                <w:szCs w:val="21"/>
              </w:rPr>
              <w:t>√</w:t>
            </w:r>
          </w:p>
        </w:tc>
        <w:tc>
          <w:tcPr>
            <w:tcW w:w="1157" w:type="dxa"/>
            <w:vAlign w:val="center"/>
          </w:tcPr>
          <w:p w14:paraId="19CC3587">
            <w:pPr>
              <w:ind w:firstLine="210" w:firstLineChars="100"/>
              <w:contextualSpacing/>
              <w:jc w:val="center"/>
              <w:rPr>
                <w:rFonts w:hint="eastAsia" w:ascii="宋体" w:hAnsi="宋体" w:eastAsia="宋体" w:cs="宋体"/>
                <w:szCs w:val="21"/>
              </w:rPr>
            </w:pPr>
          </w:p>
        </w:tc>
        <w:tc>
          <w:tcPr>
            <w:tcW w:w="1211" w:type="dxa"/>
            <w:vAlign w:val="center"/>
          </w:tcPr>
          <w:p w14:paraId="4A2E2B19">
            <w:pPr>
              <w:contextualSpacing/>
              <w:jc w:val="center"/>
              <w:rPr>
                <w:rFonts w:hint="eastAsia" w:ascii="宋体" w:hAnsi="宋体" w:eastAsia="宋体" w:cs="宋体"/>
                <w:szCs w:val="21"/>
              </w:rPr>
            </w:pPr>
            <w:r>
              <w:rPr>
                <w:rFonts w:hint="eastAsia" w:ascii="宋体" w:hAnsi="宋体" w:eastAsia="宋体" w:cs="宋体"/>
                <w:szCs w:val="21"/>
              </w:rPr>
              <w:t>√</w:t>
            </w:r>
          </w:p>
        </w:tc>
        <w:tc>
          <w:tcPr>
            <w:tcW w:w="1328" w:type="dxa"/>
            <w:vAlign w:val="center"/>
          </w:tcPr>
          <w:p w14:paraId="68383A9E">
            <w:pPr>
              <w:contextualSpacing/>
              <w:jc w:val="center"/>
              <w:rPr>
                <w:rFonts w:hint="eastAsia" w:ascii="宋体" w:hAnsi="宋体" w:eastAsia="宋体" w:cs="宋体"/>
                <w:szCs w:val="21"/>
              </w:rPr>
            </w:pPr>
            <w:r>
              <w:rPr>
                <w:rFonts w:hint="eastAsia" w:ascii="宋体" w:hAnsi="宋体" w:eastAsia="宋体" w:cs="宋体"/>
                <w:szCs w:val="21"/>
              </w:rPr>
              <w:t>√</w:t>
            </w:r>
          </w:p>
        </w:tc>
        <w:tc>
          <w:tcPr>
            <w:tcW w:w="1297" w:type="dxa"/>
            <w:vAlign w:val="center"/>
          </w:tcPr>
          <w:p w14:paraId="502DA5C0">
            <w:pPr>
              <w:contextualSpacing/>
              <w:jc w:val="center"/>
              <w:rPr>
                <w:rFonts w:hint="eastAsia" w:ascii="宋体" w:hAnsi="宋体" w:eastAsia="宋体" w:cs="宋体"/>
                <w:szCs w:val="21"/>
              </w:rPr>
            </w:pPr>
            <w:r>
              <w:rPr>
                <w:rFonts w:hint="eastAsia" w:ascii="宋体" w:hAnsi="宋体" w:eastAsia="宋体" w:cs="宋体"/>
                <w:szCs w:val="21"/>
              </w:rPr>
              <w:t>√</w:t>
            </w:r>
          </w:p>
        </w:tc>
        <w:tc>
          <w:tcPr>
            <w:tcW w:w="693" w:type="dxa"/>
            <w:vAlign w:val="center"/>
          </w:tcPr>
          <w:p w14:paraId="023C953D">
            <w:pPr>
              <w:contextualSpacing/>
              <w:jc w:val="center"/>
              <w:rPr>
                <w:rFonts w:ascii="Times New Roman" w:hAnsi="Times New Roman" w:eastAsia="宋体" w:cs="Times New Roman"/>
                <w:szCs w:val="21"/>
              </w:rPr>
            </w:pPr>
            <w:r>
              <w:rPr>
                <w:rFonts w:ascii="Times New Roman" w:hAnsi="Times New Roman" w:eastAsia="宋体" w:cs="Times New Roman"/>
                <w:szCs w:val="21"/>
              </w:rPr>
              <w:t>20</w:t>
            </w:r>
          </w:p>
        </w:tc>
      </w:tr>
      <w:tr w14:paraId="4EB1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95" w:type="dxa"/>
            <w:vAlign w:val="center"/>
          </w:tcPr>
          <w:p w14:paraId="56D833A8">
            <w:pPr>
              <w:contextualSpacing/>
              <w:jc w:val="center"/>
              <w:rPr>
                <w:rFonts w:hint="eastAsia" w:ascii="宋体" w:hAnsi="宋体" w:eastAsia="宋体" w:cs="宋体"/>
                <w:szCs w:val="21"/>
              </w:rPr>
            </w:pPr>
            <w:r>
              <w:rPr>
                <w:rFonts w:hint="eastAsia" w:ascii="宋体" w:hAnsi="宋体" w:eastAsia="宋体" w:cs="宋体"/>
                <w:szCs w:val="21"/>
              </w:rPr>
              <w:t>课程目标2</w:t>
            </w:r>
          </w:p>
        </w:tc>
        <w:tc>
          <w:tcPr>
            <w:tcW w:w="1136" w:type="dxa"/>
            <w:vAlign w:val="center"/>
          </w:tcPr>
          <w:p w14:paraId="3F428A20">
            <w:pPr>
              <w:contextualSpacing/>
              <w:jc w:val="center"/>
              <w:rPr>
                <w:rFonts w:hint="eastAsia" w:ascii="宋体" w:hAnsi="宋体" w:eastAsia="宋体" w:cs="宋体"/>
                <w:szCs w:val="21"/>
              </w:rPr>
            </w:pPr>
            <w:r>
              <w:rPr>
                <w:rFonts w:hint="eastAsia" w:ascii="宋体" w:hAnsi="宋体" w:eastAsia="宋体" w:cs="宋体"/>
                <w:szCs w:val="21"/>
              </w:rPr>
              <w:t>√</w:t>
            </w:r>
          </w:p>
        </w:tc>
        <w:tc>
          <w:tcPr>
            <w:tcW w:w="1157" w:type="dxa"/>
            <w:vAlign w:val="center"/>
          </w:tcPr>
          <w:p w14:paraId="76B9BC26">
            <w:pPr>
              <w:contextualSpacing/>
              <w:jc w:val="center"/>
              <w:rPr>
                <w:rFonts w:hint="eastAsia" w:ascii="宋体" w:hAnsi="宋体" w:eastAsia="宋体" w:cs="宋体"/>
                <w:szCs w:val="21"/>
              </w:rPr>
            </w:pPr>
            <w:r>
              <w:rPr>
                <w:rFonts w:hint="eastAsia" w:ascii="宋体" w:hAnsi="宋体" w:eastAsia="宋体" w:cs="宋体"/>
                <w:szCs w:val="21"/>
              </w:rPr>
              <w:t>√</w:t>
            </w:r>
          </w:p>
        </w:tc>
        <w:tc>
          <w:tcPr>
            <w:tcW w:w="1211" w:type="dxa"/>
            <w:vAlign w:val="center"/>
          </w:tcPr>
          <w:p w14:paraId="4E73E56E">
            <w:pPr>
              <w:contextualSpacing/>
              <w:jc w:val="center"/>
              <w:rPr>
                <w:rFonts w:hint="eastAsia" w:ascii="宋体" w:hAnsi="宋体" w:eastAsia="宋体" w:cs="宋体"/>
                <w:szCs w:val="21"/>
              </w:rPr>
            </w:pPr>
            <w:r>
              <w:rPr>
                <w:rFonts w:hint="eastAsia" w:ascii="宋体" w:hAnsi="宋体" w:eastAsia="宋体" w:cs="宋体"/>
                <w:szCs w:val="21"/>
              </w:rPr>
              <w:t>√</w:t>
            </w:r>
          </w:p>
        </w:tc>
        <w:tc>
          <w:tcPr>
            <w:tcW w:w="1328" w:type="dxa"/>
            <w:vAlign w:val="center"/>
          </w:tcPr>
          <w:p w14:paraId="4F358EE4">
            <w:pPr>
              <w:contextualSpacing/>
              <w:jc w:val="center"/>
              <w:rPr>
                <w:rFonts w:hint="eastAsia" w:ascii="宋体" w:hAnsi="宋体" w:eastAsia="宋体" w:cs="宋体"/>
                <w:szCs w:val="21"/>
              </w:rPr>
            </w:pPr>
            <w:r>
              <w:rPr>
                <w:rFonts w:hint="eastAsia" w:ascii="宋体" w:hAnsi="宋体" w:eastAsia="宋体" w:cs="宋体"/>
                <w:szCs w:val="21"/>
              </w:rPr>
              <w:t>√</w:t>
            </w:r>
          </w:p>
        </w:tc>
        <w:tc>
          <w:tcPr>
            <w:tcW w:w="1297" w:type="dxa"/>
            <w:vAlign w:val="center"/>
          </w:tcPr>
          <w:p w14:paraId="54B7AA2D">
            <w:pPr>
              <w:jc w:val="center"/>
              <w:rPr>
                <w:rFonts w:hint="eastAsia" w:ascii="宋体" w:hAnsi="宋体" w:eastAsia="宋体" w:cs="宋体"/>
                <w:szCs w:val="21"/>
              </w:rPr>
            </w:pPr>
            <w:r>
              <w:rPr>
                <w:rFonts w:hint="eastAsia" w:ascii="宋体" w:hAnsi="宋体" w:eastAsia="宋体" w:cs="宋体"/>
                <w:szCs w:val="21"/>
              </w:rPr>
              <w:t>√</w:t>
            </w:r>
          </w:p>
        </w:tc>
        <w:tc>
          <w:tcPr>
            <w:tcW w:w="693" w:type="dxa"/>
            <w:vAlign w:val="center"/>
          </w:tcPr>
          <w:p w14:paraId="25086906">
            <w:pPr>
              <w:contextualSpacing/>
              <w:jc w:val="center"/>
              <w:rPr>
                <w:rFonts w:ascii="Times New Roman" w:hAnsi="Times New Roman" w:eastAsia="宋体" w:cs="Times New Roman"/>
                <w:szCs w:val="21"/>
              </w:rPr>
            </w:pPr>
            <w:r>
              <w:rPr>
                <w:rFonts w:ascii="Times New Roman" w:hAnsi="Times New Roman" w:eastAsia="宋体" w:cs="Times New Roman"/>
                <w:szCs w:val="21"/>
              </w:rPr>
              <w:t>30</w:t>
            </w:r>
          </w:p>
        </w:tc>
      </w:tr>
      <w:tr w14:paraId="28CF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95" w:type="dxa"/>
            <w:vAlign w:val="center"/>
          </w:tcPr>
          <w:p w14:paraId="183EB2EA">
            <w:pPr>
              <w:contextualSpacing/>
              <w:jc w:val="center"/>
              <w:rPr>
                <w:rFonts w:hint="eastAsia" w:ascii="宋体" w:hAnsi="宋体" w:eastAsia="宋体" w:cs="宋体"/>
                <w:szCs w:val="21"/>
              </w:rPr>
            </w:pPr>
            <w:r>
              <w:rPr>
                <w:rFonts w:hint="eastAsia" w:ascii="宋体" w:hAnsi="宋体" w:eastAsia="宋体" w:cs="宋体"/>
                <w:szCs w:val="21"/>
              </w:rPr>
              <w:t>课程目标3</w:t>
            </w:r>
          </w:p>
        </w:tc>
        <w:tc>
          <w:tcPr>
            <w:tcW w:w="1136" w:type="dxa"/>
            <w:vAlign w:val="center"/>
          </w:tcPr>
          <w:p w14:paraId="386286B0">
            <w:pPr>
              <w:contextualSpacing/>
              <w:jc w:val="center"/>
              <w:rPr>
                <w:rFonts w:hint="eastAsia" w:ascii="宋体" w:hAnsi="宋体" w:eastAsia="宋体" w:cs="宋体"/>
                <w:szCs w:val="21"/>
              </w:rPr>
            </w:pPr>
            <w:r>
              <w:rPr>
                <w:rFonts w:hint="eastAsia" w:ascii="宋体" w:hAnsi="宋体" w:eastAsia="宋体" w:cs="宋体"/>
                <w:szCs w:val="21"/>
              </w:rPr>
              <w:t>√</w:t>
            </w:r>
          </w:p>
        </w:tc>
        <w:tc>
          <w:tcPr>
            <w:tcW w:w="1157" w:type="dxa"/>
            <w:vAlign w:val="center"/>
          </w:tcPr>
          <w:p w14:paraId="36D5D2F3">
            <w:pPr>
              <w:contextualSpacing/>
              <w:jc w:val="center"/>
              <w:rPr>
                <w:rFonts w:hint="eastAsia" w:ascii="宋体" w:hAnsi="宋体" w:eastAsia="宋体" w:cs="宋体"/>
                <w:szCs w:val="21"/>
              </w:rPr>
            </w:pPr>
            <w:r>
              <w:rPr>
                <w:rFonts w:hint="eastAsia" w:ascii="宋体" w:hAnsi="宋体" w:eastAsia="宋体" w:cs="宋体"/>
                <w:szCs w:val="21"/>
              </w:rPr>
              <w:t>√</w:t>
            </w:r>
          </w:p>
        </w:tc>
        <w:tc>
          <w:tcPr>
            <w:tcW w:w="1211" w:type="dxa"/>
            <w:vAlign w:val="center"/>
          </w:tcPr>
          <w:p w14:paraId="440A72EB">
            <w:pPr>
              <w:contextualSpacing/>
              <w:jc w:val="center"/>
              <w:rPr>
                <w:rFonts w:hint="eastAsia" w:ascii="宋体" w:hAnsi="宋体" w:eastAsia="宋体" w:cs="宋体"/>
                <w:szCs w:val="21"/>
              </w:rPr>
            </w:pPr>
            <w:r>
              <w:rPr>
                <w:rFonts w:hint="eastAsia" w:ascii="宋体" w:hAnsi="宋体" w:eastAsia="宋体" w:cs="宋体"/>
                <w:szCs w:val="21"/>
              </w:rPr>
              <w:t>√</w:t>
            </w:r>
          </w:p>
        </w:tc>
        <w:tc>
          <w:tcPr>
            <w:tcW w:w="1328" w:type="dxa"/>
            <w:vAlign w:val="center"/>
          </w:tcPr>
          <w:p w14:paraId="5FE77584">
            <w:pPr>
              <w:contextualSpacing/>
              <w:jc w:val="center"/>
              <w:rPr>
                <w:rFonts w:hint="eastAsia" w:ascii="宋体" w:hAnsi="宋体" w:eastAsia="宋体" w:cs="宋体"/>
                <w:szCs w:val="21"/>
              </w:rPr>
            </w:pPr>
            <w:r>
              <w:rPr>
                <w:rFonts w:hint="eastAsia" w:ascii="宋体" w:hAnsi="宋体" w:eastAsia="宋体" w:cs="宋体"/>
                <w:szCs w:val="21"/>
              </w:rPr>
              <w:t>√</w:t>
            </w:r>
          </w:p>
        </w:tc>
        <w:tc>
          <w:tcPr>
            <w:tcW w:w="1297" w:type="dxa"/>
            <w:vAlign w:val="center"/>
          </w:tcPr>
          <w:p w14:paraId="4D94221E">
            <w:pPr>
              <w:contextualSpacing/>
              <w:jc w:val="center"/>
              <w:rPr>
                <w:rFonts w:hint="eastAsia" w:ascii="宋体" w:hAnsi="宋体" w:eastAsia="宋体" w:cs="宋体"/>
                <w:szCs w:val="21"/>
              </w:rPr>
            </w:pPr>
            <w:r>
              <w:rPr>
                <w:rFonts w:hint="eastAsia" w:ascii="宋体" w:hAnsi="宋体" w:eastAsia="宋体" w:cs="宋体"/>
                <w:szCs w:val="21"/>
              </w:rPr>
              <w:t>√</w:t>
            </w:r>
          </w:p>
        </w:tc>
        <w:tc>
          <w:tcPr>
            <w:tcW w:w="693" w:type="dxa"/>
            <w:vAlign w:val="center"/>
          </w:tcPr>
          <w:p w14:paraId="46EDB895">
            <w:pPr>
              <w:contextualSpacing/>
              <w:jc w:val="center"/>
              <w:rPr>
                <w:rFonts w:ascii="Times New Roman" w:hAnsi="Times New Roman" w:eastAsia="宋体" w:cs="Times New Roman"/>
                <w:szCs w:val="21"/>
              </w:rPr>
            </w:pPr>
            <w:r>
              <w:rPr>
                <w:rFonts w:ascii="Times New Roman" w:hAnsi="Times New Roman" w:eastAsia="宋体" w:cs="Times New Roman"/>
                <w:szCs w:val="21"/>
              </w:rPr>
              <w:t>30</w:t>
            </w:r>
          </w:p>
        </w:tc>
      </w:tr>
      <w:tr w14:paraId="3026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395" w:type="dxa"/>
            <w:vAlign w:val="center"/>
          </w:tcPr>
          <w:p w14:paraId="28E2AFBE">
            <w:pPr>
              <w:contextualSpacing/>
              <w:jc w:val="center"/>
              <w:rPr>
                <w:rFonts w:hint="eastAsia" w:ascii="宋体" w:hAnsi="宋体" w:eastAsia="宋体" w:cs="宋体"/>
                <w:szCs w:val="21"/>
              </w:rPr>
            </w:pPr>
            <w:r>
              <w:rPr>
                <w:rFonts w:hint="eastAsia" w:ascii="宋体" w:hAnsi="宋体" w:eastAsia="宋体" w:cs="宋体"/>
                <w:szCs w:val="21"/>
              </w:rPr>
              <w:t>课程目标4</w:t>
            </w:r>
          </w:p>
        </w:tc>
        <w:tc>
          <w:tcPr>
            <w:tcW w:w="1136" w:type="dxa"/>
            <w:vAlign w:val="center"/>
          </w:tcPr>
          <w:p w14:paraId="1B7CD11C">
            <w:pPr>
              <w:contextualSpacing/>
              <w:jc w:val="center"/>
              <w:rPr>
                <w:rFonts w:hint="eastAsia" w:ascii="宋体" w:hAnsi="宋体" w:eastAsia="宋体" w:cs="宋体"/>
                <w:szCs w:val="21"/>
              </w:rPr>
            </w:pPr>
            <w:r>
              <w:rPr>
                <w:rFonts w:hint="eastAsia" w:ascii="宋体" w:hAnsi="宋体" w:eastAsia="宋体" w:cs="宋体"/>
                <w:szCs w:val="21"/>
              </w:rPr>
              <w:t>√</w:t>
            </w:r>
          </w:p>
        </w:tc>
        <w:tc>
          <w:tcPr>
            <w:tcW w:w="1157" w:type="dxa"/>
            <w:vAlign w:val="center"/>
          </w:tcPr>
          <w:p w14:paraId="1E6EE4C8">
            <w:pPr>
              <w:contextualSpacing/>
              <w:jc w:val="center"/>
              <w:rPr>
                <w:rFonts w:hint="eastAsia" w:ascii="宋体" w:hAnsi="宋体" w:eastAsia="宋体" w:cs="宋体"/>
                <w:szCs w:val="21"/>
              </w:rPr>
            </w:pPr>
            <w:r>
              <w:rPr>
                <w:rFonts w:hint="eastAsia" w:ascii="宋体" w:hAnsi="宋体" w:eastAsia="宋体" w:cs="宋体"/>
                <w:szCs w:val="21"/>
              </w:rPr>
              <w:t>√</w:t>
            </w:r>
          </w:p>
        </w:tc>
        <w:tc>
          <w:tcPr>
            <w:tcW w:w="1211" w:type="dxa"/>
            <w:vAlign w:val="center"/>
          </w:tcPr>
          <w:p w14:paraId="1F4B9CAF">
            <w:pPr>
              <w:contextualSpacing/>
              <w:jc w:val="center"/>
              <w:rPr>
                <w:rFonts w:hint="eastAsia" w:ascii="宋体" w:hAnsi="宋体" w:eastAsia="宋体" w:cs="宋体"/>
                <w:szCs w:val="21"/>
              </w:rPr>
            </w:pPr>
            <w:r>
              <w:rPr>
                <w:rFonts w:hint="eastAsia" w:ascii="宋体" w:hAnsi="宋体" w:eastAsia="宋体" w:cs="宋体"/>
                <w:szCs w:val="21"/>
              </w:rPr>
              <w:t>√</w:t>
            </w:r>
          </w:p>
        </w:tc>
        <w:tc>
          <w:tcPr>
            <w:tcW w:w="1328" w:type="dxa"/>
            <w:vAlign w:val="center"/>
          </w:tcPr>
          <w:p w14:paraId="32C698C0">
            <w:pPr>
              <w:contextualSpacing/>
              <w:jc w:val="center"/>
              <w:rPr>
                <w:rFonts w:hint="eastAsia" w:ascii="宋体" w:hAnsi="宋体" w:eastAsia="宋体" w:cs="宋体"/>
                <w:szCs w:val="21"/>
              </w:rPr>
            </w:pPr>
          </w:p>
        </w:tc>
        <w:tc>
          <w:tcPr>
            <w:tcW w:w="1297" w:type="dxa"/>
            <w:vAlign w:val="center"/>
          </w:tcPr>
          <w:p w14:paraId="07DED9EA">
            <w:pPr>
              <w:jc w:val="center"/>
              <w:rPr>
                <w:rFonts w:hint="eastAsia" w:ascii="宋体" w:hAnsi="宋体" w:eastAsia="宋体" w:cs="宋体"/>
                <w:szCs w:val="21"/>
              </w:rPr>
            </w:pPr>
            <w:r>
              <w:rPr>
                <w:rFonts w:hint="eastAsia" w:ascii="宋体" w:hAnsi="宋体" w:eastAsia="宋体" w:cs="宋体"/>
                <w:szCs w:val="21"/>
              </w:rPr>
              <w:t>√</w:t>
            </w:r>
          </w:p>
        </w:tc>
        <w:tc>
          <w:tcPr>
            <w:tcW w:w="693" w:type="dxa"/>
            <w:vAlign w:val="center"/>
          </w:tcPr>
          <w:p w14:paraId="0B5AA986">
            <w:pPr>
              <w:contextualSpacing/>
              <w:jc w:val="center"/>
              <w:rPr>
                <w:rFonts w:ascii="Times New Roman" w:hAnsi="Times New Roman" w:eastAsia="宋体" w:cs="Times New Roman"/>
                <w:szCs w:val="21"/>
              </w:rPr>
            </w:pPr>
            <w:r>
              <w:rPr>
                <w:rFonts w:ascii="Times New Roman" w:hAnsi="Times New Roman" w:eastAsia="宋体" w:cs="Times New Roman"/>
                <w:szCs w:val="21"/>
              </w:rPr>
              <w:t>20</w:t>
            </w:r>
          </w:p>
        </w:tc>
      </w:tr>
      <w:tr w14:paraId="4F8D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5" w:type="dxa"/>
            <w:vAlign w:val="center"/>
          </w:tcPr>
          <w:p w14:paraId="41A81FD6">
            <w:pPr>
              <w:contextualSpacing/>
              <w:jc w:val="center"/>
              <w:rPr>
                <w:rFonts w:ascii="Times New Roman" w:hAnsi="Times New Roman" w:eastAsia="宋体" w:cs="Times New Roman"/>
                <w:szCs w:val="21"/>
              </w:rPr>
            </w:pPr>
            <w:r>
              <w:rPr>
                <w:rFonts w:hint="eastAsia" w:ascii="Times New Roman" w:hAnsi="Times New Roman" w:eastAsia="宋体" w:cs="Times New Roman"/>
                <w:b/>
                <w:bCs/>
                <w:szCs w:val="21"/>
              </w:rPr>
              <w:t>合计</w:t>
            </w:r>
          </w:p>
        </w:tc>
        <w:tc>
          <w:tcPr>
            <w:tcW w:w="1136" w:type="dxa"/>
            <w:vAlign w:val="center"/>
          </w:tcPr>
          <w:p w14:paraId="69DA2669">
            <w:pPr>
              <w:contextualSpacing/>
              <w:jc w:val="center"/>
              <w:rPr>
                <w:rFonts w:ascii="Times New Roman" w:hAnsi="Times New Roman" w:eastAsia="宋体" w:cs="Times New Roman"/>
                <w:szCs w:val="21"/>
              </w:rPr>
            </w:pPr>
          </w:p>
        </w:tc>
        <w:tc>
          <w:tcPr>
            <w:tcW w:w="1157" w:type="dxa"/>
            <w:vAlign w:val="center"/>
          </w:tcPr>
          <w:p w14:paraId="710089E5">
            <w:pPr>
              <w:contextualSpacing/>
              <w:jc w:val="center"/>
              <w:rPr>
                <w:rFonts w:ascii="Times New Roman" w:hAnsi="Times New Roman" w:eastAsia="宋体" w:cs="Times New Roman"/>
                <w:szCs w:val="21"/>
              </w:rPr>
            </w:pPr>
          </w:p>
        </w:tc>
        <w:tc>
          <w:tcPr>
            <w:tcW w:w="1211" w:type="dxa"/>
            <w:vAlign w:val="center"/>
          </w:tcPr>
          <w:p w14:paraId="3CB70AC8">
            <w:pPr>
              <w:contextualSpacing/>
              <w:jc w:val="center"/>
              <w:rPr>
                <w:rFonts w:ascii="Times New Roman" w:hAnsi="Times New Roman" w:eastAsia="宋体" w:cs="Times New Roman"/>
                <w:szCs w:val="21"/>
              </w:rPr>
            </w:pPr>
          </w:p>
        </w:tc>
        <w:tc>
          <w:tcPr>
            <w:tcW w:w="1328" w:type="dxa"/>
            <w:vAlign w:val="center"/>
          </w:tcPr>
          <w:p w14:paraId="55256668">
            <w:pPr>
              <w:contextualSpacing/>
              <w:jc w:val="center"/>
              <w:rPr>
                <w:rFonts w:ascii="Times New Roman" w:hAnsi="Times New Roman" w:eastAsia="宋体" w:cs="Times New Roman"/>
                <w:szCs w:val="21"/>
              </w:rPr>
            </w:pPr>
          </w:p>
        </w:tc>
        <w:tc>
          <w:tcPr>
            <w:tcW w:w="1297" w:type="dxa"/>
            <w:vAlign w:val="center"/>
          </w:tcPr>
          <w:p w14:paraId="16D69620">
            <w:pPr>
              <w:contextualSpacing/>
              <w:jc w:val="center"/>
              <w:rPr>
                <w:rFonts w:ascii="Times New Roman" w:hAnsi="Times New Roman" w:eastAsia="宋体" w:cs="Times New Roman"/>
                <w:szCs w:val="21"/>
              </w:rPr>
            </w:pPr>
          </w:p>
        </w:tc>
        <w:tc>
          <w:tcPr>
            <w:tcW w:w="693" w:type="dxa"/>
            <w:vAlign w:val="center"/>
          </w:tcPr>
          <w:p w14:paraId="414A0425">
            <w:pPr>
              <w:contextualSpacing/>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F095A0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6026"/>
        <w:gridCol w:w="1021"/>
      </w:tblGrid>
      <w:tr w14:paraId="11D5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12" w:type="dxa"/>
            <w:vAlign w:val="center"/>
          </w:tcPr>
          <w:p w14:paraId="74CEF02A">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评价方式</w:t>
            </w:r>
          </w:p>
        </w:tc>
        <w:tc>
          <w:tcPr>
            <w:tcW w:w="6026" w:type="dxa"/>
            <w:vAlign w:val="center"/>
          </w:tcPr>
          <w:p w14:paraId="41E07B9C">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成绩评定细则</w:t>
            </w:r>
          </w:p>
        </w:tc>
        <w:tc>
          <w:tcPr>
            <w:tcW w:w="1021" w:type="dxa"/>
            <w:vAlign w:val="center"/>
          </w:tcPr>
          <w:p w14:paraId="5BF2EF5B">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占比</w:t>
            </w:r>
          </w:p>
        </w:tc>
      </w:tr>
      <w:tr w14:paraId="69EC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F24DF34">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课堂表现</w:t>
            </w:r>
          </w:p>
        </w:tc>
        <w:tc>
          <w:tcPr>
            <w:tcW w:w="6026" w:type="dxa"/>
          </w:tcPr>
          <w:p w14:paraId="049392FA">
            <w:pPr>
              <w:spacing w:line="310" w:lineRule="exac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按出勤和课堂参与情况进行评分。全勤记</w:t>
            </w:r>
            <w:r>
              <w:rPr>
                <w:rFonts w:ascii="Times New Roman" w:hAnsi="Times New Roman" w:eastAsia="宋体" w:cs="Times New Roman"/>
                <w:sz w:val="18"/>
                <w:szCs w:val="18"/>
              </w:rPr>
              <w:t>5分</w:t>
            </w:r>
            <w:r>
              <w:rPr>
                <w:rFonts w:hint="eastAsia" w:ascii="Times New Roman" w:hAnsi="Times New Roman" w:eastAsia="宋体" w:cs="Times New Roman"/>
                <w:sz w:val="18"/>
                <w:szCs w:val="18"/>
              </w:rPr>
              <w:t>，</w:t>
            </w:r>
            <w:r>
              <w:rPr>
                <w:rFonts w:ascii="Times New Roman" w:hAnsi="Times New Roman" w:eastAsia="宋体" w:cs="Times New Roman"/>
                <w:sz w:val="18"/>
                <w:szCs w:val="18"/>
              </w:rPr>
              <w:t>事假1节</w:t>
            </w:r>
            <w:r>
              <w:rPr>
                <w:rFonts w:hint="eastAsia" w:ascii="Times New Roman" w:hAnsi="Times New Roman" w:eastAsia="宋体" w:cs="Times New Roman"/>
                <w:sz w:val="18"/>
                <w:szCs w:val="18"/>
              </w:rPr>
              <w:t>或</w:t>
            </w:r>
            <w:r>
              <w:rPr>
                <w:rFonts w:ascii="Times New Roman" w:hAnsi="Times New Roman" w:eastAsia="宋体" w:cs="Times New Roman"/>
                <w:sz w:val="18"/>
                <w:szCs w:val="18"/>
              </w:rPr>
              <w:t>迟到、早退1次各扣1分</w:t>
            </w:r>
            <w:r>
              <w:rPr>
                <w:rFonts w:hint="eastAsia" w:ascii="Times New Roman" w:hAnsi="Times New Roman" w:eastAsia="宋体" w:cs="Times New Roman"/>
                <w:sz w:val="18"/>
                <w:szCs w:val="18"/>
              </w:rPr>
              <w:t>，</w:t>
            </w:r>
            <w:r>
              <w:rPr>
                <w:rFonts w:ascii="Times New Roman" w:hAnsi="Times New Roman" w:eastAsia="宋体" w:cs="Times New Roman"/>
                <w:sz w:val="18"/>
                <w:szCs w:val="18"/>
              </w:rPr>
              <w:t>无故旷课1次扣2分，无故旷课2次扣5分，</w:t>
            </w:r>
            <w:r>
              <w:rPr>
                <w:rFonts w:hint="eastAsia" w:ascii="Times New Roman" w:hAnsi="Times New Roman" w:eastAsia="宋体" w:cs="Times New Roman"/>
                <w:sz w:val="18"/>
                <w:szCs w:val="18"/>
              </w:rPr>
              <w:t>无故</w:t>
            </w:r>
            <w:r>
              <w:rPr>
                <w:rFonts w:ascii="Times New Roman" w:hAnsi="Times New Roman" w:eastAsia="宋体" w:cs="Times New Roman"/>
                <w:sz w:val="18"/>
                <w:szCs w:val="18"/>
              </w:rPr>
              <w:t>旷课3次及以上直接定为不及格。</w:t>
            </w:r>
            <w:r>
              <w:rPr>
                <w:rFonts w:hint="eastAsia" w:ascii="Times New Roman" w:hAnsi="Times New Roman" w:eastAsia="宋体" w:cs="Times New Roman"/>
                <w:sz w:val="18"/>
                <w:szCs w:val="18"/>
              </w:rPr>
              <w:t>课堂参与满分5分。学生在</w:t>
            </w:r>
            <w:r>
              <w:rPr>
                <w:rFonts w:ascii="Times New Roman" w:hAnsi="Times New Roman" w:eastAsia="宋体" w:cs="Times New Roman"/>
                <w:sz w:val="18"/>
                <w:szCs w:val="18"/>
              </w:rPr>
              <w:t>课堂上不做与学习无关的事</w:t>
            </w:r>
            <w:r>
              <w:rPr>
                <w:rFonts w:hint="eastAsia" w:ascii="Times New Roman" w:hAnsi="Times New Roman" w:eastAsia="宋体" w:cs="Times New Roman"/>
                <w:sz w:val="18"/>
                <w:szCs w:val="18"/>
              </w:rPr>
              <w:t>，认真听课，</w:t>
            </w:r>
            <w:r>
              <w:rPr>
                <w:rFonts w:ascii="Times New Roman" w:hAnsi="Times New Roman" w:eastAsia="宋体" w:cs="Times New Roman"/>
                <w:sz w:val="18"/>
                <w:szCs w:val="18"/>
              </w:rPr>
              <w:t>勤于思考，主动回答提问</w:t>
            </w:r>
            <w:r>
              <w:rPr>
                <w:rFonts w:hint="eastAsia" w:ascii="Times New Roman" w:hAnsi="Times New Roman" w:eastAsia="宋体" w:cs="Times New Roman"/>
                <w:sz w:val="18"/>
                <w:szCs w:val="18"/>
              </w:rPr>
              <w:t>，</w:t>
            </w:r>
            <w:r>
              <w:rPr>
                <w:rFonts w:ascii="Times New Roman" w:hAnsi="Times New Roman" w:eastAsia="宋体" w:cs="Times New Roman"/>
                <w:sz w:val="18"/>
                <w:szCs w:val="18"/>
              </w:rPr>
              <w:t>积极参加小组</w:t>
            </w:r>
            <w:r>
              <w:rPr>
                <w:rFonts w:hint="eastAsia" w:ascii="Times New Roman" w:hAnsi="Times New Roman" w:eastAsia="宋体" w:cs="Times New Roman"/>
                <w:sz w:val="18"/>
                <w:szCs w:val="18"/>
              </w:rPr>
              <w:t>讨论。根据学生课堂表现酌情给分。</w:t>
            </w:r>
            <w:r>
              <w:rPr>
                <w:rFonts w:ascii="Times New Roman" w:hAnsi="Times New Roman" w:eastAsia="宋体" w:cs="Times New Roman"/>
                <w:sz w:val="18"/>
                <w:szCs w:val="18"/>
              </w:rPr>
              <w:t xml:space="preserve"> </w:t>
            </w:r>
          </w:p>
        </w:tc>
        <w:tc>
          <w:tcPr>
            <w:tcW w:w="1021" w:type="dxa"/>
            <w:vAlign w:val="center"/>
          </w:tcPr>
          <w:p w14:paraId="2C7A466E">
            <w:pPr>
              <w:jc w:val="cente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0%</w:t>
            </w:r>
          </w:p>
        </w:tc>
      </w:tr>
      <w:tr w14:paraId="635C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39A7D216">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平时作业</w:t>
            </w:r>
          </w:p>
        </w:tc>
        <w:tc>
          <w:tcPr>
            <w:tcW w:w="6026" w:type="dxa"/>
          </w:tcPr>
          <w:p w14:paraId="76337227">
            <w:pPr>
              <w:spacing w:line="310" w:lineRule="exact"/>
              <w:jc w:val="left"/>
              <w:rPr>
                <w:rFonts w:eastAsia="宋体"/>
                <w:sz w:val="18"/>
                <w:szCs w:val="18"/>
              </w:rPr>
            </w:pPr>
            <w:r>
              <w:rPr>
                <w:rFonts w:hint="eastAsia" w:eastAsia="宋体"/>
                <w:sz w:val="18"/>
                <w:szCs w:val="18"/>
              </w:rPr>
              <w:t xml:space="preserve">在本课程学习中，学生提交的论文初稿、二稿为平时作业。 </w:t>
            </w:r>
          </w:p>
          <w:p w14:paraId="2EAF2C0B">
            <w:pPr>
              <w:spacing w:line="310" w:lineRule="exact"/>
              <w:jc w:val="left"/>
              <w:rPr>
                <w:rFonts w:ascii="Times New Roman" w:hAnsi="Times New Roman" w:eastAsia="宋体" w:cs="Times New Roman"/>
                <w:sz w:val="18"/>
                <w:szCs w:val="18"/>
              </w:rPr>
            </w:pPr>
            <w:r>
              <w:rPr>
                <w:rFonts w:hint="eastAsia" w:eastAsia="宋体"/>
                <w:sz w:val="18"/>
                <w:szCs w:val="18"/>
              </w:rPr>
              <w:t>学生需认真完成平时作业，按时提交，无故迟交作业1次扣</w:t>
            </w:r>
            <w:r>
              <w:rPr>
                <w:rFonts w:eastAsia="宋体"/>
                <w:sz w:val="18"/>
                <w:szCs w:val="18"/>
              </w:rPr>
              <w:t>1</w:t>
            </w:r>
            <w:r>
              <w:rPr>
                <w:rFonts w:hint="eastAsia" w:eastAsia="宋体"/>
                <w:sz w:val="18"/>
                <w:szCs w:val="18"/>
              </w:rPr>
              <w:t>分。作业评定标准与各项目评分标准相同。</w:t>
            </w:r>
          </w:p>
        </w:tc>
        <w:tc>
          <w:tcPr>
            <w:tcW w:w="1021" w:type="dxa"/>
            <w:vAlign w:val="center"/>
          </w:tcPr>
          <w:p w14:paraId="11396ECD">
            <w:pPr>
              <w:jc w:val="center"/>
              <w:rPr>
                <w:rFonts w:ascii="Times New Roman" w:hAnsi="Times New Roman" w:eastAsia="宋体" w:cs="Times New Roman"/>
                <w:sz w:val="18"/>
                <w:szCs w:val="18"/>
              </w:rPr>
            </w:pPr>
            <w:r>
              <w:rPr>
                <w:rFonts w:ascii="Times New Roman" w:hAnsi="Times New Roman" w:eastAsia="宋体" w:cs="Times New Roman"/>
                <w:sz w:val="18"/>
                <w:szCs w:val="18"/>
              </w:rPr>
              <w:t>20</w:t>
            </w:r>
            <w:r>
              <w:rPr>
                <w:rFonts w:hint="eastAsia" w:ascii="Times New Roman" w:hAnsi="Times New Roman" w:eastAsia="宋体" w:cs="Times New Roman"/>
                <w:sz w:val="18"/>
                <w:szCs w:val="18"/>
              </w:rPr>
              <w:t>%</w:t>
            </w:r>
          </w:p>
        </w:tc>
      </w:tr>
      <w:tr w14:paraId="527D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6B31CCEB">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自主学习</w:t>
            </w:r>
          </w:p>
        </w:tc>
        <w:tc>
          <w:tcPr>
            <w:tcW w:w="6026" w:type="dxa"/>
          </w:tcPr>
          <w:p w14:paraId="708F537F">
            <w:pPr>
              <w:spacing w:line="310" w:lineRule="exac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每个单元开课前，学生提前一周完成教材预习。</w:t>
            </w:r>
          </w:p>
        </w:tc>
        <w:tc>
          <w:tcPr>
            <w:tcW w:w="1021" w:type="dxa"/>
            <w:vAlign w:val="center"/>
          </w:tcPr>
          <w:p w14:paraId="4583205A">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w:t>
            </w:r>
          </w:p>
        </w:tc>
      </w:tr>
      <w:tr w14:paraId="4971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21B118EC">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合作学习</w:t>
            </w:r>
          </w:p>
        </w:tc>
        <w:tc>
          <w:tcPr>
            <w:tcW w:w="6026" w:type="dxa"/>
          </w:tcPr>
          <w:p w14:paraId="2215E1A4">
            <w:pPr>
              <w:spacing w:line="310" w:lineRule="exac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合作学习主要体现在课堂小组讨论和课后小组合作完成项目设计之中。课堂小组合作主要以学生互评为主，评价依据为每个学生在小组合作中的参与度与投入度。</w:t>
            </w:r>
          </w:p>
        </w:tc>
        <w:tc>
          <w:tcPr>
            <w:tcW w:w="1021" w:type="dxa"/>
            <w:vAlign w:val="center"/>
          </w:tcPr>
          <w:p w14:paraId="3C7E0421">
            <w:pPr>
              <w:jc w:val="center"/>
              <w:rPr>
                <w:rFonts w:ascii="Times New Roman" w:hAnsi="Times New Roman" w:eastAsia="宋体" w:cs="Times New Roman"/>
                <w:sz w:val="18"/>
                <w:szCs w:val="18"/>
              </w:rPr>
            </w:pPr>
            <w:r>
              <w:rPr>
                <w:rFonts w:ascii="Times New Roman" w:hAnsi="Times New Roman" w:eastAsia="宋体" w:cs="Times New Roman"/>
                <w:sz w:val="18"/>
                <w:szCs w:val="18"/>
              </w:rPr>
              <w:t>1</w:t>
            </w:r>
            <w:r>
              <w:rPr>
                <w:rFonts w:hint="eastAsia" w:ascii="Times New Roman" w:hAnsi="Times New Roman" w:eastAsia="宋体" w:cs="Times New Roman"/>
                <w:sz w:val="18"/>
                <w:szCs w:val="18"/>
              </w:rPr>
              <w:t>0%</w:t>
            </w:r>
          </w:p>
        </w:tc>
      </w:tr>
      <w:tr w14:paraId="00EA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dxa"/>
            <w:vAlign w:val="center"/>
          </w:tcPr>
          <w:p w14:paraId="187C7BC2">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期末考试</w:t>
            </w:r>
          </w:p>
        </w:tc>
        <w:tc>
          <w:tcPr>
            <w:tcW w:w="6026" w:type="dxa"/>
          </w:tcPr>
          <w:p w14:paraId="7AA49013">
            <w:pPr>
              <w:spacing w:line="330" w:lineRule="exact"/>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学生需独立完成</w:t>
            </w:r>
            <w:r>
              <w:rPr>
                <w:rFonts w:ascii="Times New Roman" w:hAnsi="Times New Roman" w:eastAsia="宋体" w:cs="Times New Roman"/>
                <w:sz w:val="18"/>
                <w:szCs w:val="18"/>
              </w:rPr>
              <w:t>1篇符合学术规范的教育论文，</w:t>
            </w:r>
            <w:r>
              <w:rPr>
                <w:rFonts w:hint="eastAsia" w:ascii="Times New Roman" w:hAnsi="Times New Roman" w:eastAsia="宋体" w:cs="Times New Roman"/>
                <w:sz w:val="18"/>
                <w:szCs w:val="18"/>
              </w:rPr>
              <w:t>要求：选题合适，层次清晰，结构合理，语句通顺；符合学术规范；</w:t>
            </w:r>
            <w:r>
              <w:rPr>
                <w:rFonts w:ascii="Times New Roman" w:hAnsi="Times New Roman" w:eastAsia="宋体" w:cs="Times New Roman"/>
                <w:sz w:val="18"/>
                <w:szCs w:val="18"/>
              </w:rPr>
              <w:t>字数5000字以上。</w:t>
            </w:r>
          </w:p>
        </w:tc>
        <w:tc>
          <w:tcPr>
            <w:tcW w:w="1021" w:type="dxa"/>
            <w:vAlign w:val="center"/>
          </w:tcPr>
          <w:p w14:paraId="16381780">
            <w:pPr>
              <w:ind w:firstLine="180" w:firstLineChars="100"/>
              <w:rPr>
                <w:rFonts w:ascii="Times New Roman" w:hAnsi="Times New Roman" w:eastAsia="宋体" w:cs="Times New Roman"/>
                <w:sz w:val="18"/>
                <w:szCs w:val="18"/>
              </w:rPr>
            </w:pPr>
            <w:r>
              <w:rPr>
                <w:rFonts w:ascii="Times New Roman" w:hAnsi="Times New Roman" w:eastAsia="宋体" w:cs="Times New Roman"/>
                <w:sz w:val="18"/>
                <w:szCs w:val="18"/>
              </w:rPr>
              <w:t>5</w:t>
            </w:r>
            <w:r>
              <w:rPr>
                <w:rFonts w:hint="eastAsia" w:ascii="Times New Roman" w:hAnsi="Times New Roman" w:eastAsia="宋体" w:cs="Times New Roman"/>
                <w:sz w:val="18"/>
                <w:szCs w:val="18"/>
              </w:rPr>
              <w:t xml:space="preserve">0% </w:t>
            </w:r>
          </w:p>
        </w:tc>
      </w:tr>
      <w:tr w14:paraId="04BC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12" w:type="dxa"/>
          </w:tcPr>
          <w:p w14:paraId="35C78DC5">
            <w:pPr>
              <w:jc w:val="center"/>
              <w:rPr>
                <w:rFonts w:ascii="Times New Roman" w:hAnsi="Times New Roman" w:eastAsia="宋体" w:cs="Times New Roman"/>
                <w:b/>
                <w:bCs/>
                <w:sz w:val="18"/>
                <w:szCs w:val="18"/>
              </w:rPr>
            </w:pPr>
            <w:r>
              <w:rPr>
                <w:rFonts w:hint="eastAsia" w:ascii="Times New Roman" w:hAnsi="Times New Roman" w:eastAsia="宋体" w:cs="Times New Roman"/>
                <w:b/>
                <w:bCs/>
                <w:sz w:val="18"/>
                <w:szCs w:val="18"/>
              </w:rPr>
              <w:t>合计</w:t>
            </w:r>
          </w:p>
        </w:tc>
        <w:tc>
          <w:tcPr>
            <w:tcW w:w="6026" w:type="dxa"/>
          </w:tcPr>
          <w:p w14:paraId="4396817B">
            <w:pPr>
              <w:jc w:val="left"/>
              <w:rPr>
                <w:rFonts w:ascii="Times New Roman" w:hAnsi="Times New Roman" w:eastAsia="宋体" w:cs="Times New Roman"/>
                <w:sz w:val="18"/>
                <w:szCs w:val="18"/>
              </w:rPr>
            </w:pPr>
          </w:p>
        </w:tc>
        <w:tc>
          <w:tcPr>
            <w:tcW w:w="1021" w:type="dxa"/>
            <w:vAlign w:val="center"/>
          </w:tcPr>
          <w:p w14:paraId="7FF2127D">
            <w:pPr>
              <w:jc w:val="center"/>
              <w:rPr>
                <w:rFonts w:ascii="Times New Roman" w:hAnsi="Times New Roman" w:eastAsia="宋体" w:cs="Times New Roman"/>
                <w:sz w:val="18"/>
                <w:szCs w:val="18"/>
              </w:rPr>
            </w:pPr>
            <w:r>
              <w:rPr>
                <w:rFonts w:hint="eastAsia" w:ascii="Times New Roman" w:hAnsi="Times New Roman" w:eastAsia="宋体" w:cs="Times New Roman"/>
                <w:sz w:val="18"/>
                <w:szCs w:val="18"/>
              </w:rPr>
              <w:t>100%</w:t>
            </w:r>
          </w:p>
        </w:tc>
      </w:tr>
    </w:tbl>
    <w:p w14:paraId="43C4E0DB">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72F313B6">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72482B5E">
      <w:pPr>
        <w:spacing w:before="62" w:beforeLines="20" w:after="62" w:afterLines="20" w:line="360" w:lineRule="auto"/>
        <w:jc w:val="left"/>
        <w:rPr>
          <w:rFonts w:hint="eastAsia" w:ascii="宋体" w:hAnsi="宋体" w:eastAsia="宋体" w:cs="宋体"/>
          <w:b/>
          <w:bCs/>
          <w:sz w:val="22"/>
          <w:szCs w:val="22"/>
        </w:rPr>
      </w:pPr>
      <w:r>
        <w:rPr>
          <w:rFonts w:ascii="宋体" w:hAnsi="宋体" w:eastAsia="宋体" w:cs="Times New Roman"/>
          <w:szCs w:val="21"/>
        </w:rPr>
        <w:object>
          <v:shape id="_x0000_i1055"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55" DrawAspect="Content" ObjectID="_1468075755" r:id="rId43">
            <o:LockedField>false</o:LockedField>
          </o:OLEObject>
        </w:object>
      </w:r>
      <w:r>
        <w:rPr>
          <w:rFonts w:hint="eastAsia" w:ascii="Times New Roman" w:hAnsi="Times New Roman" w:eastAsia="宋体" w:cs="Times New Roman"/>
          <w:b/>
          <w:sz w:val="24"/>
        </w:rPr>
        <w:t>五、课程实践（课内实践）</w:t>
      </w:r>
    </w:p>
    <w:tbl>
      <w:tblPr>
        <w:tblStyle w:val="11"/>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23"/>
        <w:gridCol w:w="3716"/>
        <w:gridCol w:w="1292"/>
        <w:gridCol w:w="423"/>
        <w:gridCol w:w="851"/>
        <w:gridCol w:w="908"/>
      </w:tblGrid>
      <w:tr w14:paraId="6EA4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77" w:type="dxa"/>
            <w:shd w:val="clear" w:color="auto" w:fill="FFFFFF"/>
            <w:vAlign w:val="center"/>
          </w:tcPr>
          <w:p w14:paraId="55B4B7E6">
            <w:pPr>
              <w:jc w:val="center"/>
              <w:rPr>
                <w:rFonts w:ascii="Times New Roman" w:hAnsi="Times New Roman" w:eastAsia="宋体" w:cs="Times New Roman"/>
                <w:szCs w:val="21"/>
              </w:rPr>
            </w:pPr>
            <w:r>
              <w:rPr>
                <w:rFonts w:hint="eastAsia" w:ascii="Times New Roman" w:hAnsi="Times New Roman" w:eastAsia="宋体" w:cs="Times New Roman"/>
                <w:szCs w:val="21"/>
              </w:rPr>
              <w:t>序号</w:t>
            </w:r>
          </w:p>
        </w:tc>
        <w:tc>
          <w:tcPr>
            <w:tcW w:w="1423" w:type="dxa"/>
            <w:shd w:val="clear" w:color="auto" w:fill="FFFFFF"/>
            <w:vAlign w:val="center"/>
          </w:tcPr>
          <w:p w14:paraId="10FFCB0C">
            <w:pPr>
              <w:jc w:val="center"/>
              <w:rPr>
                <w:rFonts w:ascii="Times New Roman" w:hAnsi="Times New Roman" w:eastAsia="宋体" w:cs="Times New Roman"/>
                <w:szCs w:val="21"/>
              </w:rPr>
            </w:pPr>
            <w:r>
              <w:rPr>
                <w:rFonts w:hint="eastAsia" w:ascii="Times New Roman" w:hAnsi="Times New Roman" w:eastAsia="宋体" w:cs="Times New Roman"/>
                <w:szCs w:val="21"/>
              </w:rPr>
              <w:t>实验（实践）</w:t>
            </w:r>
          </w:p>
          <w:p w14:paraId="401D52B1">
            <w:pPr>
              <w:jc w:val="center"/>
              <w:rPr>
                <w:rFonts w:ascii="Times New Roman" w:hAnsi="Times New Roman" w:eastAsia="宋体" w:cs="Times New Roman"/>
                <w:szCs w:val="21"/>
              </w:rPr>
            </w:pPr>
            <w:r>
              <w:rPr>
                <w:rFonts w:hint="eastAsia" w:ascii="Times New Roman" w:hAnsi="Times New Roman" w:eastAsia="宋体" w:cs="Times New Roman"/>
                <w:szCs w:val="21"/>
              </w:rPr>
              <w:t>项目名称</w:t>
            </w:r>
          </w:p>
        </w:tc>
        <w:tc>
          <w:tcPr>
            <w:tcW w:w="3716" w:type="dxa"/>
            <w:shd w:val="clear" w:color="auto" w:fill="FFFFFF"/>
            <w:vAlign w:val="center"/>
          </w:tcPr>
          <w:p w14:paraId="3FFA2725">
            <w:pPr>
              <w:jc w:val="center"/>
              <w:rPr>
                <w:rFonts w:ascii="Times New Roman" w:hAnsi="Times New Roman" w:eastAsia="宋体" w:cs="Times New Roman"/>
                <w:szCs w:val="21"/>
              </w:rPr>
            </w:pPr>
            <w:r>
              <w:rPr>
                <w:rFonts w:hint="eastAsia" w:ascii="Times New Roman" w:hAnsi="Times New Roman" w:eastAsia="宋体" w:cs="Times New Roman"/>
                <w:szCs w:val="21"/>
              </w:rPr>
              <w:t>实验（实践）项目</w:t>
            </w:r>
          </w:p>
          <w:p w14:paraId="7ABC7DEB">
            <w:pPr>
              <w:jc w:val="center"/>
              <w:rPr>
                <w:rFonts w:ascii="Times New Roman" w:hAnsi="Times New Roman" w:eastAsia="宋体" w:cs="Times New Roman"/>
                <w:szCs w:val="21"/>
              </w:rPr>
            </w:pPr>
            <w:r>
              <w:rPr>
                <w:rFonts w:hint="eastAsia" w:ascii="Times New Roman" w:hAnsi="Times New Roman" w:eastAsia="宋体" w:cs="Times New Roman"/>
                <w:szCs w:val="21"/>
              </w:rPr>
              <w:t>内容及要求</w:t>
            </w:r>
          </w:p>
        </w:tc>
        <w:tc>
          <w:tcPr>
            <w:tcW w:w="1292" w:type="dxa"/>
            <w:shd w:val="clear" w:color="auto" w:fill="FFFFFF"/>
            <w:vAlign w:val="center"/>
          </w:tcPr>
          <w:p w14:paraId="2C37AB84">
            <w:pPr>
              <w:jc w:val="center"/>
              <w:rPr>
                <w:rFonts w:ascii="Times New Roman" w:hAnsi="Times New Roman" w:eastAsia="宋体" w:cs="Times New Roman"/>
                <w:szCs w:val="21"/>
              </w:rPr>
            </w:pPr>
            <w:r>
              <w:rPr>
                <w:rFonts w:hint="eastAsia" w:ascii="Times New Roman" w:hAnsi="Times New Roman" w:eastAsia="宋体" w:cs="Times New Roman"/>
                <w:szCs w:val="21"/>
              </w:rPr>
              <w:t>对</w:t>
            </w:r>
            <w:r>
              <w:rPr>
                <w:rFonts w:ascii="Times New Roman" w:hAnsi="Times New Roman" w:eastAsia="宋体" w:cs="Times New Roman"/>
                <w:szCs w:val="21"/>
              </w:rPr>
              <w:t>毕业要求</w:t>
            </w:r>
          </w:p>
          <w:p w14:paraId="6EBBA644">
            <w:pPr>
              <w:jc w:val="center"/>
              <w:rPr>
                <w:rFonts w:ascii="Times New Roman" w:hAnsi="Times New Roman" w:eastAsia="宋体" w:cs="Times New Roman"/>
                <w:szCs w:val="21"/>
              </w:rPr>
            </w:pPr>
            <w:r>
              <w:rPr>
                <w:rFonts w:hint="eastAsia" w:ascii="Times New Roman" w:hAnsi="Times New Roman" w:eastAsia="宋体" w:cs="Times New Roman"/>
                <w:szCs w:val="21"/>
              </w:rPr>
              <w:t>的</w:t>
            </w:r>
            <w:r>
              <w:rPr>
                <w:rFonts w:ascii="Times New Roman" w:hAnsi="Times New Roman" w:eastAsia="宋体" w:cs="Times New Roman"/>
                <w:szCs w:val="21"/>
              </w:rPr>
              <w:t>支撑</w:t>
            </w:r>
          </w:p>
        </w:tc>
        <w:tc>
          <w:tcPr>
            <w:tcW w:w="423" w:type="dxa"/>
            <w:shd w:val="clear" w:color="auto" w:fill="FFFFFF"/>
            <w:vAlign w:val="center"/>
          </w:tcPr>
          <w:p w14:paraId="2FE66B33">
            <w:pPr>
              <w:rPr>
                <w:rFonts w:ascii="Times New Roman" w:hAnsi="Times New Roman" w:eastAsia="宋体" w:cs="Times New Roman"/>
                <w:szCs w:val="21"/>
              </w:rPr>
            </w:pPr>
            <w:r>
              <w:rPr>
                <w:rFonts w:ascii="Times New Roman" w:hAnsi="Times New Roman" w:eastAsia="宋体" w:cs="Times New Roman"/>
                <w:szCs w:val="21"/>
              </w:rPr>
              <w:t>学时</w:t>
            </w:r>
          </w:p>
        </w:tc>
        <w:tc>
          <w:tcPr>
            <w:tcW w:w="851" w:type="dxa"/>
            <w:shd w:val="clear" w:color="auto" w:fill="FFFFFF"/>
            <w:vAlign w:val="center"/>
          </w:tcPr>
          <w:p w14:paraId="35AB5DF7">
            <w:pPr>
              <w:jc w:val="center"/>
              <w:rPr>
                <w:rFonts w:ascii="Times New Roman" w:hAnsi="Times New Roman" w:eastAsia="宋体" w:cs="Times New Roman"/>
                <w:szCs w:val="21"/>
              </w:rPr>
            </w:pPr>
            <w:r>
              <w:rPr>
                <w:rFonts w:hint="eastAsia" w:ascii="Times New Roman" w:hAnsi="Times New Roman" w:eastAsia="宋体" w:cs="Times New Roman"/>
                <w:szCs w:val="21"/>
              </w:rPr>
              <w:t>类型</w:t>
            </w:r>
          </w:p>
        </w:tc>
        <w:tc>
          <w:tcPr>
            <w:tcW w:w="908" w:type="dxa"/>
            <w:shd w:val="clear" w:color="auto" w:fill="FFFFFF"/>
            <w:vAlign w:val="center"/>
          </w:tcPr>
          <w:p w14:paraId="0A40AFCA">
            <w:pPr>
              <w:jc w:val="center"/>
              <w:rPr>
                <w:rFonts w:ascii="Times New Roman" w:hAnsi="Times New Roman" w:eastAsia="宋体" w:cs="Times New Roman"/>
                <w:szCs w:val="21"/>
              </w:rPr>
            </w:pPr>
            <w:r>
              <w:rPr>
                <w:rFonts w:hint="eastAsia" w:ascii="Times New Roman" w:hAnsi="Times New Roman" w:eastAsia="宋体" w:cs="Times New Roman"/>
                <w:szCs w:val="21"/>
              </w:rPr>
              <w:t>备注</w:t>
            </w:r>
          </w:p>
        </w:tc>
      </w:tr>
      <w:tr w14:paraId="1692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3A54000F">
            <w:pPr>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423" w:type="dxa"/>
            <w:vAlign w:val="center"/>
          </w:tcPr>
          <w:p w14:paraId="43931564">
            <w:pPr>
              <w:jc w:val="center"/>
              <w:rPr>
                <w:rFonts w:ascii="Times New Roman" w:hAnsi="Times New Roman" w:eastAsia="宋体" w:cs="Times New Roman"/>
                <w:szCs w:val="21"/>
              </w:rPr>
            </w:pPr>
            <w:r>
              <w:rPr>
                <w:rFonts w:hint="eastAsia" w:ascii="Times New Roman" w:hAnsi="Times New Roman" w:eastAsia="宋体" w:cs="Times New Roman"/>
                <w:szCs w:val="21"/>
              </w:rPr>
              <w:t>学术期刊</w:t>
            </w:r>
          </w:p>
          <w:p w14:paraId="7CA88447">
            <w:pPr>
              <w:jc w:val="center"/>
              <w:rPr>
                <w:rFonts w:ascii="Times New Roman" w:hAnsi="Times New Roman" w:eastAsia="宋体" w:cs="Times New Roman"/>
                <w:szCs w:val="21"/>
              </w:rPr>
            </w:pPr>
            <w:r>
              <w:rPr>
                <w:rFonts w:hint="eastAsia" w:ascii="Times New Roman" w:hAnsi="Times New Roman" w:eastAsia="宋体" w:cs="Times New Roman"/>
                <w:szCs w:val="21"/>
              </w:rPr>
              <w:t>论文撰写</w:t>
            </w:r>
          </w:p>
        </w:tc>
        <w:tc>
          <w:tcPr>
            <w:tcW w:w="3716" w:type="dxa"/>
            <w:vAlign w:val="center"/>
          </w:tcPr>
          <w:p w14:paraId="67E787A9">
            <w:pPr>
              <w:jc w:val="left"/>
              <w:rPr>
                <w:rFonts w:ascii="Times New Roman" w:hAnsi="Times New Roman" w:eastAsia="宋体" w:cs="Times New Roman"/>
                <w:szCs w:val="21"/>
              </w:rPr>
            </w:pPr>
            <w:r>
              <w:rPr>
                <w:rFonts w:hint="eastAsia" w:ascii="Times New Roman" w:hAnsi="Times New Roman" w:eastAsia="宋体" w:cs="Times New Roman"/>
                <w:szCs w:val="21"/>
              </w:rPr>
              <w:t>内容：根据学术期刊论文写作规范，结合中小学教育实践，撰写1篇学术论文。</w:t>
            </w:r>
          </w:p>
          <w:p w14:paraId="384C3F94">
            <w:pPr>
              <w:jc w:val="left"/>
              <w:rPr>
                <w:rFonts w:ascii="Times New Roman" w:hAnsi="Times New Roman" w:eastAsia="宋体" w:cs="Times New Roman"/>
                <w:szCs w:val="21"/>
              </w:rPr>
            </w:pPr>
            <w:r>
              <w:rPr>
                <w:rFonts w:hint="eastAsia" w:ascii="Times New Roman" w:hAnsi="Times New Roman" w:eastAsia="宋体" w:cs="Times New Roman"/>
                <w:szCs w:val="21"/>
              </w:rPr>
              <w:t>要求：选题合适，层次清晰，结构合理，语句通顺；符合学术规范；字数3000字以上。</w:t>
            </w:r>
          </w:p>
        </w:tc>
        <w:tc>
          <w:tcPr>
            <w:tcW w:w="1292" w:type="dxa"/>
            <w:vAlign w:val="center"/>
          </w:tcPr>
          <w:p w14:paraId="602FDACB">
            <w:pPr>
              <w:jc w:val="center"/>
              <w:rPr>
                <w:rFonts w:ascii="Times New Roman" w:hAnsi="Times New Roman" w:eastAsia="宋体" w:cs="Times New Roman"/>
                <w:szCs w:val="21"/>
              </w:rPr>
            </w:pPr>
            <w:r>
              <w:rPr>
                <w:rFonts w:hint="eastAsia" w:ascii="Times New Roman" w:hAnsi="Times New Roman" w:eastAsia="宋体" w:cs="Times New Roman"/>
                <w:szCs w:val="21"/>
              </w:rPr>
              <w:t>1-1</w:t>
            </w:r>
          </w:p>
          <w:p w14:paraId="26E98945">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p>
          <w:p w14:paraId="6843E8A4">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4-4</w:t>
            </w:r>
          </w:p>
          <w:p w14:paraId="1040CDD9">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-1</w:t>
            </w:r>
          </w:p>
          <w:p w14:paraId="2125B163">
            <w:pPr>
              <w:ind w:firstLine="420" w:firstLineChars="200"/>
              <w:rPr>
                <w:rFonts w:ascii="Times New Roman" w:hAnsi="Times New Roman" w:eastAsia="宋体" w:cs="Times New Roman"/>
                <w:szCs w:val="21"/>
              </w:rPr>
            </w:pPr>
            <w:r>
              <w:rPr>
                <w:rFonts w:ascii="Times New Roman" w:hAnsi="Times New Roman" w:eastAsia="宋体" w:cs="Times New Roman"/>
                <w:szCs w:val="21"/>
              </w:rPr>
              <w:t>7-3</w:t>
            </w:r>
          </w:p>
        </w:tc>
        <w:tc>
          <w:tcPr>
            <w:tcW w:w="423" w:type="dxa"/>
            <w:vAlign w:val="center"/>
          </w:tcPr>
          <w:p w14:paraId="3E12D53E">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51" w:type="dxa"/>
            <w:vAlign w:val="center"/>
          </w:tcPr>
          <w:p w14:paraId="738B80CA">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49D8BA58">
            <w:pPr>
              <w:jc w:val="center"/>
              <w:rPr>
                <w:rFonts w:ascii="Times New Roman" w:hAnsi="Times New Roman" w:eastAsia="宋体" w:cs="Times New Roman"/>
                <w:szCs w:val="21"/>
              </w:rPr>
            </w:pPr>
            <w:r>
              <w:rPr>
                <w:rFonts w:hint="eastAsia" w:ascii="Times New Roman" w:hAnsi="Times New Roman" w:eastAsia="宋体" w:cs="Times New Roman"/>
                <w:szCs w:val="21"/>
              </w:rPr>
              <w:t>1-2</w:t>
            </w:r>
          </w:p>
          <w:p w14:paraId="1A71B0A4">
            <w:pPr>
              <w:jc w:val="center"/>
              <w:rPr>
                <w:rFonts w:ascii="Times New Roman" w:hAnsi="Times New Roman" w:eastAsia="宋体" w:cs="Times New Roman"/>
                <w:szCs w:val="21"/>
              </w:rPr>
            </w:pPr>
            <w:r>
              <w:rPr>
                <w:rFonts w:hint="eastAsia" w:ascii="Times New Roman" w:hAnsi="Times New Roman" w:eastAsia="宋体" w:cs="Times New Roman"/>
                <w:szCs w:val="21"/>
              </w:rPr>
              <w:t>二选一</w:t>
            </w:r>
          </w:p>
        </w:tc>
      </w:tr>
      <w:tr w14:paraId="1ABA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03F7B302">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2</w:t>
            </w:r>
          </w:p>
        </w:tc>
        <w:tc>
          <w:tcPr>
            <w:tcW w:w="1423" w:type="dxa"/>
            <w:vAlign w:val="center"/>
          </w:tcPr>
          <w:p w14:paraId="509B1703">
            <w:pPr>
              <w:jc w:val="center"/>
              <w:rPr>
                <w:rFonts w:ascii="Times New Roman" w:hAnsi="Times New Roman" w:eastAsia="宋体" w:cs="Times New Roman"/>
                <w:szCs w:val="21"/>
              </w:rPr>
            </w:pPr>
            <w:r>
              <w:rPr>
                <w:rFonts w:hint="eastAsia" w:ascii="Times New Roman" w:hAnsi="Times New Roman" w:eastAsia="宋体" w:cs="Times New Roman"/>
                <w:szCs w:val="21"/>
              </w:rPr>
              <w:t>教育综述</w:t>
            </w:r>
          </w:p>
          <w:p w14:paraId="68CEAC46">
            <w:pPr>
              <w:jc w:val="center"/>
              <w:rPr>
                <w:rFonts w:ascii="Times New Roman" w:hAnsi="Times New Roman" w:eastAsia="宋体" w:cs="Times New Roman"/>
                <w:szCs w:val="21"/>
              </w:rPr>
            </w:pPr>
            <w:r>
              <w:rPr>
                <w:rFonts w:hint="eastAsia" w:ascii="Times New Roman" w:hAnsi="Times New Roman" w:eastAsia="宋体" w:cs="Times New Roman"/>
                <w:szCs w:val="21"/>
              </w:rPr>
              <w:t>论文写作</w:t>
            </w:r>
          </w:p>
        </w:tc>
        <w:tc>
          <w:tcPr>
            <w:tcW w:w="3716" w:type="dxa"/>
            <w:vAlign w:val="center"/>
          </w:tcPr>
          <w:p w14:paraId="5BB3DFA1">
            <w:pPr>
              <w:jc w:val="left"/>
              <w:rPr>
                <w:rFonts w:ascii="Times New Roman" w:hAnsi="Times New Roman" w:eastAsia="宋体" w:cs="Times New Roman"/>
                <w:szCs w:val="21"/>
              </w:rPr>
            </w:pPr>
            <w:r>
              <w:rPr>
                <w:rFonts w:hint="eastAsia" w:ascii="Times New Roman" w:hAnsi="Times New Roman" w:eastAsia="宋体" w:cs="Times New Roman"/>
                <w:szCs w:val="21"/>
              </w:rPr>
              <w:t>内容：根据教育综述论文写作规范，结合自身的研究和思考，撰写1篇教育综述论文。</w:t>
            </w:r>
          </w:p>
          <w:p w14:paraId="1E971A67">
            <w:pPr>
              <w:jc w:val="left"/>
              <w:rPr>
                <w:rFonts w:ascii="Times New Roman" w:hAnsi="Times New Roman" w:eastAsia="宋体" w:cs="Times New Roman"/>
                <w:szCs w:val="21"/>
              </w:rPr>
            </w:pPr>
            <w:r>
              <w:rPr>
                <w:rFonts w:hint="eastAsia" w:ascii="Times New Roman" w:hAnsi="Times New Roman" w:eastAsia="宋体" w:cs="Times New Roman"/>
                <w:szCs w:val="21"/>
              </w:rPr>
              <w:t>要求：选题合适，层次清晰，结构合理，语句通顺；符合学术规范；字数1000字以上。</w:t>
            </w:r>
          </w:p>
        </w:tc>
        <w:tc>
          <w:tcPr>
            <w:tcW w:w="1292" w:type="dxa"/>
            <w:vAlign w:val="center"/>
          </w:tcPr>
          <w:p w14:paraId="25DC9F03">
            <w:pPr>
              <w:jc w:val="center"/>
              <w:rPr>
                <w:rFonts w:ascii="Times New Roman" w:hAnsi="Times New Roman" w:eastAsia="宋体" w:cs="Times New Roman"/>
                <w:szCs w:val="21"/>
              </w:rPr>
            </w:pPr>
            <w:r>
              <w:rPr>
                <w:rFonts w:hint="eastAsia" w:ascii="Times New Roman" w:hAnsi="Times New Roman" w:eastAsia="宋体" w:cs="Times New Roman"/>
                <w:szCs w:val="21"/>
              </w:rPr>
              <w:t>1-1</w:t>
            </w:r>
          </w:p>
          <w:p w14:paraId="1BCCF568">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p>
          <w:p w14:paraId="20EF5CEB">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4-4</w:t>
            </w:r>
          </w:p>
          <w:p w14:paraId="19CC5773">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-1</w:t>
            </w:r>
          </w:p>
          <w:p w14:paraId="4F439378">
            <w:pPr>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7-3 </w:t>
            </w:r>
          </w:p>
        </w:tc>
        <w:tc>
          <w:tcPr>
            <w:tcW w:w="423" w:type="dxa"/>
            <w:vAlign w:val="center"/>
          </w:tcPr>
          <w:p w14:paraId="6E7D4160">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51" w:type="dxa"/>
            <w:vAlign w:val="center"/>
          </w:tcPr>
          <w:p w14:paraId="5641F776">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3BBF3FCF">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-2</w:t>
            </w:r>
          </w:p>
          <w:p w14:paraId="32FFCF27">
            <w:pPr>
              <w:jc w:val="center"/>
              <w:rPr>
                <w:rFonts w:ascii="Times New Roman" w:hAnsi="Times New Roman" w:eastAsia="宋体" w:cs="Times New Roman"/>
                <w:szCs w:val="21"/>
              </w:rPr>
            </w:pPr>
            <w:r>
              <w:rPr>
                <w:rFonts w:hint="eastAsia" w:ascii="Times New Roman" w:hAnsi="Times New Roman" w:eastAsia="宋体" w:cs="Times New Roman"/>
                <w:szCs w:val="21"/>
              </w:rPr>
              <w:t>二选一</w:t>
            </w:r>
          </w:p>
        </w:tc>
      </w:tr>
      <w:tr w14:paraId="26AD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77" w:type="dxa"/>
            <w:vAlign w:val="center"/>
          </w:tcPr>
          <w:p w14:paraId="0C7DAB98">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423" w:type="dxa"/>
            <w:vAlign w:val="center"/>
          </w:tcPr>
          <w:p w14:paraId="4C2CA947">
            <w:pPr>
              <w:jc w:val="center"/>
              <w:rPr>
                <w:rFonts w:ascii="Times New Roman" w:hAnsi="Times New Roman" w:eastAsia="宋体" w:cs="Times New Roman"/>
                <w:szCs w:val="21"/>
              </w:rPr>
            </w:pPr>
            <w:r>
              <w:rPr>
                <w:rFonts w:hint="eastAsia" w:ascii="Times New Roman" w:hAnsi="Times New Roman" w:eastAsia="宋体" w:cs="Times New Roman"/>
                <w:szCs w:val="21"/>
              </w:rPr>
              <w:t>教育随笔</w:t>
            </w:r>
          </w:p>
          <w:p w14:paraId="6866F86F">
            <w:pPr>
              <w:jc w:val="center"/>
              <w:rPr>
                <w:rFonts w:ascii="Times New Roman" w:hAnsi="Times New Roman" w:eastAsia="宋体" w:cs="Times New Roman"/>
                <w:szCs w:val="21"/>
              </w:rPr>
            </w:pPr>
            <w:r>
              <w:rPr>
                <w:rFonts w:hint="eastAsia" w:ascii="Times New Roman" w:hAnsi="Times New Roman" w:eastAsia="宋体" w:cs="Times New Roman"/>
                <w:szCs w:val="21"/>
              </w:rPr>
              <w:t>写作</w:t>
            </w:r>
          </w:p>
        </w:tc>
        <w:tc>
          <w:tcPr>
            <w:tcW w:w="3716" w:type="dxa"/>
            <w:vAlign w:val="center"/>
          </w:tcPr>
          <w:p w14:paraId="5155ACE4">
            <w:pPr>
              <w:jc w:val="left"/>
              <w:rPr>
                <w:rFonts w:ascii="Times New Roman" w:hAnsi="Times New Roman" w:eastAsia="宋体" w:cs="Times New Roman"/>
                <w:szCs w:val="21"/>
              </w:rPr>
            </w:pPr>
            <w:r>
              <w:rPr>
                <w:rFonts w:hint="eastAsia" w:ascii="Times New Roman" w:hAnsi="Times New Roman" w:eastAsia="宋体" w:cs="Times New Roman"/>
                <w:szCs w:val="21"/>
              </w:rPr>
              <w:t>内容：结合教育实践，撰写1篇符合规范的教学随笔论文。</w:t>
            </w:r>
          </w:p>
          <w:p w14:paraId="5ED67640">
            <w:pPr>
              <w:jc w:val="left"/>
              <w:rPr>
                <w:rFonts w:ascii="Times New Roman" w:hAnsi="Times New Roman" w:eastAsia="宋体" w:cs="Times New Roman"/>
                <w:szCs w:val="21"/>
              </w:rPr>
            </w:pPr>
            <w:r>
              <w:rPr>
                <w:rFonts w:hint="eastAsia" w:ascii="Times New Roman" w:hAnsi="Times New Roman" w:eastAsia="宋体" w:cs="Times New Roman"/>
                <w:szCs w:val="21"/>
              </w:rPr>
              <w:t>要求：题目恰当，层次清晰，结构合理，语句通顺；符合学术规范；字数800字以上。</w:t>
            </w:r>
          </w:p>
        </w:tc>
        <w:tc>
          <w:tcPr>
            <w:tcW w:w="1292" w:type="dxa"/>
            <w:vAlign w:val="center"/>
          </w:tcPr>
          <w:p w14:paraId="648363C4">
            <w:pPr>
              <w:jc w:val="center"/>
              <w:rPr>
                <w:rFonts w:ascii="Times New Roman" w:hAnsi="Times New Roman" w:eastAsia="宋体" w:cs="Times New Roman"/>
                <w:szCs w:val="21"/>
              </w:rPr>
            </w:pPr>
            <w:r>
              <w:rPr>
                <w:rFonts w:ascii="Times New Roman" w:hAnsi="Times New Roman" w:eastAsia="宋体" w:cs="Times New Roman"/>
                <w:szCs w:val="21"/>
              </w:rPr>
              <w:t xml:space="preserve"> </w:t>
            </w:r>
            <w:r>
              <w:rPr>
                <w:rFonts w:hint="eastAsia" w:ascii="Times New Roman" w:hAnsi="Times New Roman" w:eastAsia="宋体" w:cs="Times New Roman"/>
                <w:szCs w:val="21"/>
              </w:rPr>
              <w:t>1-1</w:t>
            </w:r>
          </w:p>
          <w:p w14:paraId="1F975356">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p>
          <w:p w14:paraId="0B64CAC2">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4-4</w:t>
            </w:r>
          </w:p>
          <w:p w14:paraId="34C33704">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-1</w:t>
            </w:r>
          </w:p>
          <w:p w14:paraId="40225351">
            <w:pPr>
              <w:jc w:val="center"/>
              <w:rPr>
                <w:rFonts w:ascii="Times New Roman" w:hAnsi="Times New Roman" w:eastAsia="宋体" w:cs="Times New Roman"/>
                <w:szCs w:val="21"/>
              </w:rPr>
            </w:pPr>
            <w:r>
              <w:rPr>
                <w:rFonts w:ascii="Times New Roman" w:hAnsi="Times New Roman" w:eastAsia="宋体" w:cs="Times New Roman"/>
                <w:szCs w:val="21"/>
              </w:rPr>
              <w:t>7-3</w:t>
            </w:r>
          </w:p>
        </w:tc>
        <w:tc>
          <w:tcPr>
            <w:tcW w:w="423" w:type="dxa"/>
            <w:vAlign w:val="center"/>
          </w:tcPr>
          <w:p w14:paraId="7FE33379">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851" w:type="dxa"/>
            <w:vAlign w:val="center"/>
          </w:tcPr>
          <w:p w14:paraId="4A3A9C1F">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45843225">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-5</w:t>
            </w:r>
          </w:p>
          <w:p w14:paraId="7B8489F5">
            <w:pPr>
              <w:jc w:val="center"/>
              <w:rPr>
                <w:rFonts w:ascii="Times New Roman" w:hAnsi="Times New Roman" w:eastAsia="宋体" w:cs="Times New Roman"/>
                <w:szCs w:val="21"/>
              </w:rPr>
            </w:pPr>
            <w:r>
              <w:rPr>
                <w:rFonts w:hint="eastAsia" w:ascii="Times New Roman" w:hAnsi="Times New Roman" w:eastAsia="宋体" w:cs="Times New Roman"/>
                <w:szCs w:val="21"/>
              </w:rPr>
              <w:t>三选一</w:t>
            </w:r>
          </w:p>
        </w:tc>
      </w:tr>
      <w:tr w14:paraId="48783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67E1D63E">
            <w:pPr>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423" w:type="dxa"/>
            <w:vAlign w:val="center"/>
          </w:tcPr>
          <w:p w14:paraId="5DE4E97B">
            <w:pPr>
              <w:jc w:val="center"/>
              <w:rPr>
                <w:rFonts w:ascii="Times New Roman" w:hAnsi="Times New Roman" w:eastAsia="宋体" w:cs="Times New Roman"/>
                <w:szCs w:val="21"/>
              </w:rPr>
            </w:pPr>
            <w:r>
              <w:rPr>
                <w:rFonts w:hint="eastAsia" w:ascii="Times New Roman" w:hAnsi="Times New Roman" w:eastAsia="宋体" w:cs="Times New Roman"/>
                <w:szCs w:val="21"/>
              </w:rPr>
              <w:t>教育调查</w:t>
            </w:r>
          </w:p>
          <w:p w14:paraId="31DDEF2C">
            <w:pPr>
              <w:jc w:val="center"/>
              <w:rPr>
                <w:rFonts w:ascii="Times New Roman" w:hAnsi="Times New Roman" w:eastAsia="宋体" w:cs="Times New Roman"/>
                <w:szCs w:val="21"/>
              </w:rPr>
            </w:pPr>
            <w:r>
              <w:rPr>
                <w:rFonts w:hint="eastAsia" w:ascii="Times New Roman" w:hAnsi="Times New Roman" w:eastAsia="宋体" w:cs="Times New Roman"/>
                <w:szCs w:val="21"/>
              </w:rPr>
              <w:t>报告撰写</w:t>
            </w:r>
          </w:p>
        </w:tc>
        <w:tc>
          <w:tcPr>
            <w:tcW w:w="3716" w:type="dxa"/>
            <w:vAlign w:val="center"/>
          </w:tcPr>
          <w:p w14:paraId="2A2D3C82">
            <w:pPr>
              <w:jc w:val="left"/>
              <w:rPr>
                <w:rFonts w:ascii="Times New Roman" w:hAnsi="Times New Roman" w:eastAsia="宋体" w:cs="Times New Roman"/>
                <w:szCs w:val="21"/>
              </w:rPr>
            </w:pPr>
            <w:r>
              <w:rPr>
                <w:rFonts w:hint="eastAsia" w:ascii="Times New Roman" w:hAnsi="Times New Roman" w:eastAsia="宋体" w:cs="Times New Roman"/>
                <w:szCs w:val="21"/>
              </w:rPr>
              <w:t>内容：开展一项微型教育调查，撰写1份符合规范的教育调查报告。</w:t>
            </w:r>
          </w:p>
          <w:p w14:paraId="247712AE">
            <w:pPr>
              <w:jc w:val="left"/>
              <w:rPr>
                <w:rFonts w:ascii="Times New Roman" w:hAnsi="Times New Roman" w:eastAsia="宋体" w:cs="Times New Roman"/>
                <w:szCs w:val="21"/>
              </w:rPr>
            </w:pPr>
            <w:r>
              <w:rPr>
                <w:rFonts w:hint="eastAsia" w:ascii="Times New Roman" w:hAnsi="Times New Roman" w:eastAsia="宋体" w:cs="Times New Roman"/>
                <w:szCs w:val="21"/>
              </w:rPr>
              <w:t>要求：选题合适，层次清晰，结构合理，语句通顺；符合学术规范；字数1500字以上。</w:t>
            </w:r>
          </w:p>
        </w:tc>
        <w:tc>
          <w:tcPr>
            <w:tcW w:w="1292" w:type="dxa"/>
            <w:vAlign w:val="center"/>
          </w:tcPr>
          <w:p w14:paraId="071473AF">
            <w:pPr>
              <w:jc w:val="center"/>
              <w:rPr>
                <w:rFonts w:ascii="Times New Roman" w:hAnsi="Times New Roman" w:eastAsia="宋体" w:cs="Times New Roman"/>
                <w:szCs w:val="21"/>
              </w:rPr>
            </w:pPr>
            <w:r>
              <w:rPr>
                <w:rFonts w:hint="eastAsia" w:ascii="Times New Roman" w:hAnsi="Times New Roman" w:eastAsia="宋体" w:cs="Times New Roman"/>
                <w:szCs w:val="21"/>
              </w:rPr>
              <w:t>1-1</w:t>
            </w:r>
          </w:p>
          <w:p w14:paraId="36A6A537">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p>
          <w:p w14:paraId="321D0201">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4-4</w:t>
            </w:r>
          </w:p>
          <w:p w14:paraId="1DE29DBB">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-1</w:t>
            </w:r>
          </w:p>
          <w:p w14:paraId="19C9DFB5">
            <w:pPr>
              <w:jc w:val="center"/>
              <w:rPr>
                <w:rFonts w:ascii="Times New Roman" w:hAnsi="Times New Roman" w:eastAsia="宋体" w:cs="Times New Roman"/>
                <w:szCs w:val="21"/>
              </w:rPr>
            </w:pPr>
            <w:r>
              <w:rPr>
                <w:rFonts w:ascii="Times New Roman" w:hAnsi="Times New Roman" w:eastAsia="宋体" w:cs="Times New Roman"/>
                <w:szCs w:val="21"/>
              </w:rPr>
              <w:t xml:space="preserve">7-3 </w:t>
            </w:r>
          </w:p>
        </w:tc>
        <w:tc>
          <w:tcPr>
            <w:tcW w:w="423" w:type="dxa"/>
            <w:vAlign w:val="center"/>
          </w:tcPr>
          <w:p w14:paraId="7097F53F">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51" w:type="dxa"/>
            <w:vAlign w:val="center"/>
          </w:tcPr>
          <w:p w14:paraId="10A87191">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29198EEF">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-5</w:t>
            </w:r>
          </w:p>
          <w:p w14:paraId="548D36B2">
            <w:pPr>
              <w:jc w:val="center"/>
              <w:rPr>
                <w:rFonts w:ascii="Times New Roman" w:hAnsi="Times New Roman" w:eastAsia="宋体" w:cs="Times New Roman"/>
                <w:szCs w:val="21"/>
              </w:rPr>
            </w:pPr>
            <w:r>
              <w:rPr>
                <w:rFonts w:hint="eastAsia" w:ascii="Times New Roman" w:hAnsi="Times New Roman" w:eastAsia="宋体" w:cs="Times New Roman"/>
                <w:szCs w:val="21"/>
              </w:rPr>
              <w:t>三选一</w:t>
            </w:r>
          </w:p>
        </w:tc>
      </w:tr>
      <w:tr w14:paraId="67F4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47BAD0E4">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423" w:type="dxa"/>
            <w:vAlign w:val="center"/>
          </w:tcPr>
          <w:p w14:paraId="64ECA3F3">
            <w:pPr>
              <w:jc w:val="center"/>
              <w:rPr>
                <w:rFonts w:ascii="Times New Roman" w:hAnsi="Times New Roman" w:eastAsia="宋体" w:cs="Times New Roman"/>
                <w:szCs w:val="21"/>
              </w:rPr>
            </w:pPr>
            <w:r>
              <w:rPr>
                <w:rFonts w:hint="eastAsia" w:ascii="Times New Roman" w:hAnsi="Times New Roman" w:eastAsia="宋体" w:cs="Times New Roman"/>
                <w:szCs w:val="21"/>
              </w:rPr>
              <w:t>教育叙事</w:t>
            </w:r>
          </w:p>
          <w:p w14:paraId="655A9B69">
            <w:pPr>
              <w:jc w:val="center"/>
              <w:rPr>
                <w:rFonts w:ascii="Times New Roman" w:hAnsi="Times New Roman" w:eastAsia="宋体" w:cs="Times New Roman"/>
                <w:szCs w:val="21"/>
              </w:rPr>
            </w:pPr>
            <w:r>
              <w:rPr>
                <w:rFonts w:hint="eastAsia" w:ascii="Times New Roman" w:hAnsi="Times New Roman" w:eastAsia="宋体" w:cs="Times New Roman"/>
                <w:szCs w:val="21"/>
              </w:rPr>
              <w:t>论文撰写</w:t>
            </w:r>
          </w:p>
        </w:tc>
        <w:tc>
          <w:tcPr>
            <w:tcW w:w="3716" w:type="dxa"/>
            <w:vAlign w:val="center"/>
          </w:tcPr>
          <w:p w14:paraId="6008E7D4">
            <w:pPr>
              <w:jc w:val="left"/>
              <w:rPr>
                <w:rFonts w:ascii="Times New Roman" w:hAnsi="Times New Roman" w:eastAsia="宋体" w:cs="Times New Roman"/>
                <w:szCs w:val="21"/>
              </w:rPr>
            </w:pPr>
            <w:r>
              <w:rPr>
                <w:rFonts w:hint="eastAsia" w:ascii="Times New Roman" w:hAnsi="Times New Roman" w:eastAsia="宋体" w:cs="Times New Roman"/>
                <w:szCs w:val="21"/>
              </w:rPr>
              <w:t>内容：结合教育实践，撰写1篇教育叙事论文。</w:t>
            </w:r>
          </w:p>
          <w:p w14:paraId="50B2A44E">
            <w:pPr>
              <w:jc w:val="left"/>
              <w:rPr>
                <w:rFonts w:ascii="Times New Roman" w:hAnsi="Times New Roman" w:eastAsia="宋体" w:cs="Times New Roman"/>
                <w:szCs w:val="21"/>
              </w:rPr>
            </w:pPr>
            <w:r>
              <w:rPr>
                <w:rFonts w:hint="eastAsia" w:ascii="Times New Roman" w:hAnsi="Times New Roman" w:eastAsia="宋体" w:cs="Times New Roman"/>
                <w:szCs w:val="21"/>
              </w:rPr>
              <w:t>要求：选题合适，层次清晰，结构合理，语句通顺；符合学术规范；字数1500字以上。</w:t>
            </w:r>
          </w:p>
        </w:tc>
        <w:tc>
          <w:tcPr>
            <w:tcW w:w="1292" w:type="dxa"/>
            <w:vAlign w:val="center"/>
          </w:tcPr>
          <w:p w14:paraId="70561A93">
            <w:pPr>
              <w:jc w:val="center"/>
              <w:rPr>
                <w:rFonts w:ascii="Times New Roman" w:hAnsi="Times New Roman" w:eastAsia="宋体" w:cs="Times New Roman"/>
                <w:szCs w:val="21"/>
              </w:rPr>
            </w:pPr>
            <w:r>
              <w:rPr>
                <w:rFonts w:hint="eastAsia" w:ascii="Times New Roman" w:hAnsi="Times New Roman" w:eastAsia="宋体" w:cs="Times New Roman"/>
                <w:szCs w:val="21"/>
              </w:rPr>
              <w:t>1-1</w:t>
            </w:r>
          </w:p>
          <w:p w14:paraId="32467C3A">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p>
          <w:p w14:paraId="55189C9A">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4-4</w:t>
            </w:r>
          </w:p>
          <w:p w14:paraId="2C3CB07D">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-1</w:t>
            </w:r>
          </w:p>
          <w:p w14:paraId="2F4B7E82">
            <w:pPr>
              <w:jc w:val="center"/>
              <w:rPr>
                <w:rFonts w:ascii="Times New Roman" w:hAnsi="Times New Roman" w:eastAsia="宋体" w:cs="Times New Roman"/>
                <w:szCs w:val="21"/>
              </w:rPr>
            </w:pPr>
            <w:r>
              <w:rPr>
                <w:rFonts w:ascii="Times New Roman" w:hAnsi="Times New Roman" w:eastAsia="宋体" w:cs="Times New Roman"/>
                <w:szCs w:val="21"/>
              </w:rPr>
              <w:t xml:space="preserve">7-3 </w:t>
            </w:r>
          </w:p>
        </w:tc>
        <w:tc>
          <w:tcPr>
            <w:tcW w:w="423" w:type="dxa"/>
            <w:vAlign w:val="center"/>
          </w:tcPr>
          <w:p w14:paraId="7E41058F">
            <w:pPr>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851" w:type="dxa"/>
            <w:vAlign w:val="center"/>
          </w:tcPr>
          <w:p w14:paraId="1F7F31F7">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6DACA3AC">
            <w:pPr>
              <w:jc w:val="center"/>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-5</w:t>
            </w:r>
          </w:p>
          <w:p w14:paraId="1310009D">
            <w:pPr>
              <w:jc w:val="center"/>
              <w:rPr>
                <w:rFonts w:ascii="Times New Roman" w:hAnsi="Times New Roman" w:eastAsia="宋体" w:cs="Times New Roman"/>
                <w:szCs w:val="21"/>
              </w:rPr>
            </w:pPr>
            <w:r>
              <w:rPr>
                <w:rFonts w:hint="eastAsia" w:ascii="Times New Roman" w:hAnsi="Times New Roman" w:eastAsia="宋体" w:cs="Times New Roman"/>
                <w:szCs w:val="21"/>
              </w:rPr>
              <w:t>三选一</w:t>
            </w:r>
          </w:p>
        </w:tc>
      </w:tr>
      <w:tr w14:paraId="733C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7" w:type="dxa"/>
            <w:vAlign w:val="center"/>
          </w:tcPr>
          <w:p w14:paraId="1EBD8D8A">
            <w:pPr>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423" w:type="dxa"/>
            <w:vAlign w:val="center"/>
          </w:tcPr>
          <w:p w14:paraId="68EBBBBA">
            <w:pPr>
              <w:jc w:val="center"/>
              <w:rPr>
                <w:rFonts w:ascii="Times New Roman" w:hAnsi="Times New Roman" w:eastAsia="宋体" w:cs="Times New Roman"/>
                <w:szCs w:val="21"/>
              </w:rPr>
            </w:pPr>
            <w:r>
              <w:rPr>
                <w:rFonts w:hint="eastAsia" w:ascii="Times New Roman" w:hAnsi="Times New Roman" w:eastAsia="宋体" w:cs="Times New Roman"/>
                <w:szCs w:val="21"/>
              </w:rPr>
              <w:t>毕业论文</w:t>
            </w:r>
          </w:p>
          <w:p w14:paraId="368DAB2F">
            <w:pPr>
              <w:jc w:val="center"/>
              <w:rPr>
                <w:rFonts w:ascii="Times New Roman" w:hAnsi="Times New Roman" w:eastAsia="宋体" w:cs="Times New Roman"/>
                <w:szCs w:val="21"/>
              </w:rPr>
            </w:pPr>
            <w:r>
              <w:rPr>
                <w:rFonts w:hint="eastAsia" w:ascii="Times New Roman" w:hAnsi="Times New Roman" w:eastAsia="宋体" w:cs="Times New Roman"/>
                <w:szCs w:val="21"/>
              </w:rPr>
              <w:t>提纲撰写</w:t>
            </w:r>
          </w:p>
        </w:tc>
        <w:tc>
          <w:tcPr>
            <w:tcW w:w="3716" w:type="dxa"/>
            <w:vAlign w:val="center"/>
          </w:tcPr>
          <w:p w14:paraId="73ECF107">
            <w:pPr>
              <w:jc w:val="left"/>
              <w:rPr>
                <w:rFonts w:ascii="Times New Roman" w:hAnsi="Times New Roman" w:eastAsia="宋体" w:cs="Times New Roman"/>
                <w:szCs w:val="21"/>
              </w:rPr>
            </w:pPr>
            <w:r>
              <w:rPr>
                <w:rFonts w:hint="eastAsia" w:ascii="Times New Roman" w:hAnsi="Times New Roman" w:eastAsia="宋体" w:cs="Times New Roman"/>
                <w:szCs w:val="21"/>
              </w:rPr>
              <w:t>内容：结合毕业论文选题，拟定毕业论文提纲。</w:t>
            </w:r>
          </w:p>
          <w:p w14:paraId="63E79A45">
            <w:pPr>
              <w:jc w:val="left"/>
              <w:rPr>
                <w:rFonts w:ascii="Times New Roman" w:hAnsi="Times New Roman" w:eastAsia="宋体" w:cs="Times New Roman"/>
                <w:szCs w:val="21"/>
              </w:rPr>
            </w:pPr>
            <w:r>
              <w:rPr>
                <w:rFonts w:hint="eastAsia" w:ascii="Times New Roman" w:hAnsi="Times New Roman" w:eastAsia="宋体" w:cs="Times New Roman"/>
                <w:szCs w:val="21"/>
              </w:rPr>
              <w:t>要求：选题合适，层次清晰，结构合理，列出三级提纲。</w:t>
            </w:r>
          </w:p>
        </w:tc>
        <w:tc>
          <w:tcPr>
            <w:tcW w:w="1292" w:type="dxa"/>
            <w:vAlign w:val="center"/>
          </w:tcPr>
          <w:p w14:paraId="4716254E">
            <w:pPr>
              <w:jc w:val="center"/>
              <w:rPr>
                <w:rFonts w:ascii="Times New Roman" w:hAnsi="Times New Roman" w:eastAsia="宋体" w:cs="Times New Roman"/>
                <w:szCs w:val="21"/>
              </w:rPr>
            </w:pPr>
            <w:r>
              <w:rPr>
                <w:rFonts w:hint="eastAsia" w:ascii="Times New Roman" w:hAnsi="Times New Roman" w:eastAsia="宋体" w:cs="Times New Roman"/>
                <w:szCs w:val="21"/>
              </w:rPr>
              <w:t>1-1</w:t>
            </w:r>
          </w:p>
          <w:p w14:paraId="37A1EBD1">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p>
          <w:p w14:paraId="59E07988">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4-4</w:t>
            </w:r>
          </w:p>
          <w:p w14:paraId="13A3309F">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-1</w:t>
            </w:r>
          </w:p>
          <w:p w14:paraId="768D11E9">
            <w:pPr>
              <w:jc w:val="center"/>
              <w:rPr>
                <w:rFonts w:ascii="Times New Roman" w:hAnsi="Times New Roman" w:eastAsia="宋体" w:cs="Times New Roman"/>
                <w:szCs w:val="21"/>
              </w:rPr>
            </w:pPr>
            <w:r>
              <w:rPr>
                <w:rFonts w:ascii="Times New Roman" w:hAnsi="Times New Roman" w:eastAsia="宋体" w:cs="Times New Roman"/>
                <w:szCs w:val="21"/>
              </w:rPr>
              <w:t xml:space="preserve">7-3 </w:t>
            </w:r>
          </w:p>
        </w:tc>
        <w:tc>
          <w:tcPr>
            <w:tcW w:w="423" w:type="dxa"/>
            <w:vAlign w:val="center"/>
          </w:tcPr>
          <w:p w14:paraId="1CF502CB">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851" w:type="dxa"/>
            <w:vAlign w:val="center"/>
          </w:tcPr>
          <w:p w14:paraId="7E78F5FE">
            <w:pPr>
              <w:jc w:val="center"/>
              <w:rPr>
                <w:rFonts w:ascii="Times New Roman" w:hAnsi="Times New Roman" w:eastAsia="宋体" w:cs="Times New Roman"/>
                <w:szCs w:val="21"/>
              </w:rPr>
            </w:pPr>
            <w:r>
              <w:rPr>
                <w:rFonts w:hint="eastAsia" w:ascii="Times New Roman" w:hAnsi="Times New Roman" w:eastAsia="宋体" w:cs="Times New Roman"/>
                <w:szCs w:val="21"/>
              </w:rPr>
              <w:t>设计性</w:t>
            </w:r>
          </w:p>
        </w:tc>
        <w:tc>
          <w:tcPr>
            <w:tcW w:w="908" w:type="dxa"/>
            <w:vAlign w:val="center"/>
          </w:tcPr>
          <w:p w14:paraId="0181FFB9">
            <w:pPr>
              <w:jc w:val="center"/>
              <w:rPr>
                <w:rFonts w:ascii="Times New Roman" w:hAnsi="Times New Roman" w:eastAsia="宋体" w:cs="Times New Roman"/>
                <w:szCs w:val="21"/>
              </w:rPr>
            </w:pPr>
            <w:r>
              <w:rPr>
                <w:rFonts w:hint="eastAsia" w:ascii="Times New Roman" w:hAnsi="Times New Roman" w:eastAsia="宋体" w:cs="Times New Roman"/>
                <w:szCs w:val="21"/>
              </w:rPr>
              <w:t>必做</w:t>
            </w:r>
          </w:p>
        </w:tc>
      </w:tr>
    </w:tbl>
    <w:p w14:paraId="60B70F5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69D3823F">
      <w:pPr>
        <w:spacing w:line="312"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（一）持续改进</w:t>
      </w:r>
    </w:p>
    <w:p w14:paraId="72389356">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w:t>
      </w:r>
      <w:r>
        <w:rPr>
          <w:rFonts w:hint="eastAsia" w:ascii="Times New Roman" w:hAnsi="Times New Roman" w:eastAsia="宋体" w:cs="Times New Roman"/>
          <w:szCs w:val="21"/>
        </w:rPr>
        <w:t xml:space="preserve"> 主讲教师利用指导学生教育见习、实习的机会，认真听取优秀毕业生对本课程教学改革的建议；根据基础教育改革与研究的需要，及时优化、调整教学内容。</w:t>
      </w:r>
    </w:p>
    <w:p w14:paraId="7F792C05">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hint="eastAsia" w:ascii="Times New Roman" w:hAnsi="Times New Roman" w:eastAsia="宋体" w:cs="Times New Roman"/>
          <w:szCs w:val="21"/>
        </w:rPr>
        <w:t xml:space="preserve"> 开课过程中，通过课程群随时了解学生的学习反馈；开课过程中以及课程结束后一周内分别召开一次学生座谈会；同时，依据每学期学生评教结果，及时了解教学中存在的问题，持续改进教学方式方法。</w:t>
      </w:r>
    </w:p>
    <w:p w14:paraId="669ABDAA">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 xml:space="preserve">. </w:t>
      </w:r>
      <w:r>
        <w:rPr>
          <w:rFonts w:hint="eastAsia" w:ascii="Times New Roman" w:hAnsi="Times New Roman" w:eastAsia="宋体" w:cs="Times New Roman"/>
          <w:szCs w:val="21"/>
        </w:rPr>
        <w:t>根据学生作业完成情况，及时发现课程评价中存在的问题，不断优化课程评价方式。</w:t>
      </w:r>
    </w:p>
    <w:p w14:paraId="596B1AB7">
      <w:pPr>
        <w:spacing w:line="312"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 xml:space="preserve">4. </w:t>
      </w:r>
      <w:r>
        <w:rPr>
          <w:rFonts w:hint="eastAsia" w:ascii="Times New Roman" w:hAnsi="Times New Roman" w:eastAsia="宋体" w:cs="Times New Roman"/>
          <w:szCs w:val="21"/>
        </w:rPr>
        <w:t>虚心听取领导、督导、教师听课评价意见和建议，努力提高教学质量。</w:t>
      </w:r>
    </w:p>
    <w:p w14:paraId="7CECD743">
      <w:pPr>
        <w:spacing w:line="312"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5.</w:t>
      </w:r>
      <w:r>
        <w:rPr>
          <w:rFonts w:hint="eastAsia" w:ascii="Times New Roman" w:hAnsi="Times New Roman" w:eastAsia="宋体" w:cs="Times New Roman"/>
          <w:szCs w:val="21"/>
        </w:rPr>
        <w:t xml:space="preserve"> 每一轮开课结束后，课程组召开研讨会，探讨课程教学中的盲点、难点和痛点问题，找准课程改革的切入点和教学质量的增长点，确保课程目标对毕业要求形成有力支撑。</w:t>
      </w:r>
    </w:p>
    <w:p w14:paraId="250B1E0D">
      <w:pPr>
        <w:spacing w:line="312"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w:t>
      </w:r>
      <w:r>
        <w:rPr>
          <w:rFonts w:ascii="Times New Roman" w:hAnsi="Times New Roman" w:eastAsia="宋体" w:cs="Times New Roman"/>
          <w:b/>
          <w:bCs/>
          <w:szCs w:val="21"/>
        </w:rPr>
        <w:t>参考书目及学习资料</w:t>
      </w:r>
    </w:p>
    <w:p w14:paraId="368CA42D">
      <w:pPr>
        <w:autoSpaceDE w:val="0"/>
        <w:autoSpaceDN w:val="0"/>
        <w:adjustRightInd w:val="0"/>
        <w:spacing w:line="312"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兰国帅</w:t>
      </w:r>
      <w:r>
        <w:rPr>
          <w:rFonts w:hint="eastAsia" w:ascii="Times New Roman" w:hAnsi="Times New Roman" w:eastAsia="宋体" w:cs="Times New Roman"/>
          <w:kern w:val="0"/>
          <w:szCs w:val="21"/>
        </w:rPr>
        <w:t>：教育学学术论文写作，</w:t>
      </w:r>
      <w:r>
        <w:rPr>
          <w:rFonts w:ascii="Times New Roman" w:hAnsi="Times New Roman" w:eastAsia="宋体" w:cs="Times New Roman"/>
          <w:kern w:val="0"/>
          <w:szCs w:val="21"/>
        </w:rPr>
        <w:t>科学出版社</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2024年</w:t>
      </w:r>
      <w:r>
        <w:rPr>
          <w:rFonts w:hint="eastAsia" w:ascii="Times New Roman" w:hAnsi="Times New Roman" w:eastAsia="宋体" w:cs="Times New Roman"/>
          <w:kern w:val="0"/>
          <w:szCs w:val="21"/>
        </w:rPr>
        <w:t>版。</w:t>
      </w:r>
    </w:p>
    <w:p w14:paraId="4C8328D1">
      <w:pPr>
        <w:autoSpaceDE w:val="0"/>
        <w:autoSpaceDN w:val="0"/>
        <w:adjustRightInd w:val="0"/>
        <w:spacing w:line="312"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2</w:t>
      </w:r>
      <w:r>
        <w:rPr>
          <w:rFonts w:ascii="Times New Roman" w:hAnsi="Times New Roman" w:eastAsia="宋体" w:cs="Times New Roman"/>
          <w:kern w:val="0"/>
          <w:szCs w:val="21"/>
        </w:rPr>
        <w:t>. 徐有富</w:t>
      </w:r>
      <w:r>
        <w:rPr>
          <w:rFonts w:hint="eastAsia" w:ascii="Times New Roman" w:hAnsi="Times New Roman" w:eastAsia="宋体" w:cs="Times New Roman"/>
          <w:kern w:val="0"/>
          <w:szCs w:val="21"/>
        </w:rPr>
        <w:t>：学术论文写作1</w:t>
      </w:r>
      <w:r>
        <w:rPr>
          <w:rFonts w:ascii="Times New Roman" w:hAnsi="Times New Roman" w:eastAsia="宋体" w:cs="Times New Roman"/>
          <w:kern w:val="0"/>
          <w:szCs w:val="21"/>
        </w:rPr>
        <w:t>0</w:t>
      </w:r>
      <w:r>
        <w:rPr>
          <w:rFonts w:hint="eastAsia" w:ascii="Times New Roman" w:hAnsi="Times New Roman" w:eastAsia="宋体" w:cs="Times New Roman"/>
          <w:kern w:val="0"/>
          <w:szCs w:val="21"/>
        </w:rPr>
        <w:t>讲，</w:t>
      </w:r>
      <w:r>
        <w:rPr>
          <w:rFonts w:ascii="Times New Roman" w:hAnsi="Times New Roman" w:eastAsia="宋体" w:cs="Times New Roman"/>
          <w:kern w:val="0"/>
          <w:szCs w:val="21"/>
        </w:rPr>
        <w:t>北京大学出版社</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2019年</w:t>
      </w:r>
      <w:r>
        <w:rPr>
          <w:rFonts w:hint="eastAsia" w:ascii="Times New Roman" w:hAnsi="Times New Roman" w:eastAsia="宋体" w:cs="Times New Roman"/>
          <w:kern w:val="0"/>
          <w:szCs w:val="21"/>
        </w:rPr>
        <w:t>版。</w:t>
      </w:r>
    </w:p>
    <w:p w14:paraId="5EC1A4ED">
      <w:pPr>
        <w:autoSpaceDE w:val="0"/>
        <w:autoSpaceDN w:val="0"/>
        <w:adjustRightInd w:val="0"/>
        <w:spacing w:line="312"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3. </w:t>
      </w:r>
      <w:r>
        <w:rPr>
          <w:rFonts w:hint="eastAsia" w:ascii="Times New Roman" w:hAnsi="Times New Roman" w:eastAsia="宋体" w:cs="Times New Roman"/>
          <w:kern w:val="0"/>
          <w:szCs w:val="21"/>
        </w:rPr>
        <w:t>李德方：怎样写文章——学术论文写作项目化教程，苏州大学出版社，2</w:t>
      </w:r>
      <w:r>
        <w:rPr>
          <w:rFonts w:ascii="Times New Roman" w:hAnsi="Times New Roman" w:eastAsia="宋体" w:cs="Times New Roman"/>
          <w:kern w:val="0"/>
          <w:szCs w:val="21"/>
        </w:rPr>
        <w:t>020</w:t>
      </w:r>
      <w:r>
        <w:rPr>
          <w:rFonts w:hint="eastAsia" w:ascii="Times New Roman" w:hAnsi="Times New Roman" w:eastAsia="宋体" w:cs="Times New Roman"/>
          <w:kern w:val="0"/>
          <w:szCs w:val="21"/>
        </w:rPr>
        <w:t>年版。</w:t>
      </w:r>
    </w:p>
    <w:p w14:paraId="45E1117B">
      <w:pPr>
        <w:autoSpaceDE w:val="0"/>
        <w:autoSpaceDN w:val="0"/>
        <w:adjustRightInd w:val="0"/>
        <w:spacing w:line="312"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4. 吴杨</w:t>
      </w:r>
      <w:r>
        <w:rPr>
          <w:rFonts w:hint="eastAsia" w:ascii="Times New Roman" w:hAnsi="Times New Roman" w:eastAsia="宋体" w:cs="Times New Roman"/>
          <w:kern w:val="0"/>
          <w:szCs w:val="21"/>
        </w:rPr>
        <w:t>：社科类学术论文写作指南，</w:t>
      </w:r>
      <w:r>
        <w:rPr>
          <w:rFonts w:ascii="Times New Roman" w:hAnsi="Times New Roman" w:eastAsia="宋体" w:cs="Times New Roman"/>
          <w:kern w:val="0"/>
          <w:szCs w:val="21"/>
        </w:rPr>
        <w:t>人民出版社</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2021年</w:t>
      </w:r>
      <w:r>
        <w:rPr>
          <w:rFonts w:hint="eastAsia" w:ascii="Times New Roman" w:hAnsi="Times New Roman" w:eastAsia="宋体" w:cs="Times New Roman"/>
          <w:kern w:val="0"/>
          <w:szCs w:val="21"/>
        </w:rPr>
        <w:t>版。</w:t>
      </w:r>
    </w:p>
    <w:p w14:paraId="66687F69">
      <w:pPr>
        <w:autoSpaceDE w:val="0"/>
        <w:autoSpaceDN w:val="0"/>
        <w:adjustRightInd w:val="0"/>
        <w:spacing w:line="312"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5. </w:t>
      </w:r>
      <w:r>
        <w:rPr>
          <w:rFonts w:hint="eastAsia" w:ascii="Times New Roman" w:hAnsi="Times New Roman" w:eastAsia="宋体" w:cs="Times New Roman"/>
          <w:kern w:val="0"/>
          <w:szCs w:val="21"/>
        </w:rPr>
        <w:t>王雨磊等：学术论文写作与发表指引，中国人民大学出版社，2017年版。</w:t>
      </w:r>
    </w:p>
    <w:p w14:paraId="51ECD648">
      <w:pPr>
        <w:autoSpaceDE w:val="0"/>
        <w:autoSpaceDN w:val="0"/>
        <w:adjustRightInd w:val="0"/>
        <w:spacing w:line="312"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6</w:t>
      </w:r>
      <w:r>
        <w:rPr>
          <w:rFonts w:hint="eastAsia" w:ascii="Times New Roman" w:hAnsi="Times New Roman" w:eastAsia="宋体" w:cs="Times New Roman"/>
          <w:kern w:val="0"/>
          <w:szCs w:val="21"/>
        </w:rPr>
        <w:t>. 周新年：科学研究方法与学术论文写作（第二版），科学出版社，2019年版。</w:t>
      </w:r>
    </w:p>
    <w:p w14:paraId="05E55AA8">
      <w:pPr>
        <w:autoSpaceDE w:val="0"/>
        <w:autoSpaceDN w:val="0"/>
        <w:adjustRightInd w:val="0"/>
        <w:spacing w:line="312"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7</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王细荣等：文献信息检索与论文写作（第六版），上海交通大学出版社，2017年版。</w:t>
      </w:r>
    </w:p>
    <w:p w14:paraId="4AD391FB">
      <w:pPr>
        <w:autoSpaceDE w:val="0"/>
        <w:autoSpaceDN w:val="0"/>
        <w:adjustRightInd w:val="0"/>
        <w:spacing w:line="312" w:lineRule="auto"/>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8</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李兴仁、王荣党：毕业论文写作指导，科学出版社，2018年版。</w:t>
      </w:r>
    </w:p>
    <w:p w14:paraId="319437CE">
      <w:pPr>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潘金林</w:t>
      </w:r>
    </w:p>
    <w:p w14:paraId="1E2DA9B6">
      <w:pPr>
        <w:wordWrap w:val="0"/>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 xml:space="preserve">王 </w:t>
      </w:r>
      <w:r>
        <w:rPr>
          <w:rFonts w:ascii="Times New Roman" w:hAnsi="Times New Roman" w:eastAsia="宋体" w:cs="Times New Roman"/>
          <w:szCs w:val="21"/>
        </w:rPr>
        <w:t xml:space="preserve"> </w:t>
      </w:r>
      <w:r>
        <w:rPr>
          <w:rFonts w:hint="eastAsia" w:ascii="Times New Roman" w:hAnsi="Times New Roman" w:eastAsia="宋体" w:cs="Times New Roman"/>
          <w:szCs w:val="21"/>
        </w:rPr>
        <w:t>健</w:t>
      </w:r>
    </w:p>
    <w:p w14:paraId="58D476B8">
      <w:pPr>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69DB553F">
      <w:pPr>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1E623B03">
      <w:pPr>
        <w:jc w:val="left"/>
        <w:rPr>
          <w:rFonts w:ascii="Times New Roman" w:hAnsi="Times New Roman" w:eastAsia="宋体" w:cs="Times New Roman"/>
          <w:sz w:val="24"/>
        </w:rPr>
      </w:pPr>
    </w:p>
    <w:p w14:paraId="397EB5DC">
      <w:pPr>
        <w:jc w:val="left"/>
        <w:rPr>
          <w:rFonts w:ascii="Times New Roman" w:hAnsi="Times New Roman" w:eastAsia="宋体" w:cs="Times New Roman"/>
          <w:sz w:val="24"/>
        </w:rPr>
      </w:pPr>
    </w:p>
    <w:p w14:paraId="4D13959C">
      <w:pPr>
        <w:rPr>
          <w:rFonts w:ascii="Times New Roman" w:hAnsi="Times New Roman" w:eastAsia="宋体" w:cs="Times New Roman"/>
          <w:sz w:val="24"/>
        </w:rPr>
      </w:pPr>
      <w:r>
        <w:rPr>
          <w:rFonts w:hint="eastAsia" w:ascii="Times New Roman" w:hAnsi="Times New Roman" w:eastAsia="宋体" w:cs="Times New Roman"/>
          <w:sz w:val="24"/>
        </w:rPr>
        <w:br w:type="page"/>
      </w:r>
    </w:p>
    <w:p w14:paraId="035F4F9A">
      <w:pPr>
        <w:spacing w:line="360" w:lineRule="auto"/>
        <w:jc w:val="center"/>
        <w:outlineLvl w:val="0"/>
        <w:rPr>
          <w:rFonts w:ascii="Times New Roman" w:hAnsi="Times New Roman" w:eastAsia="宋体" w:cs="Times New Roman"/>
          <w:b/>
          <w:sz w:val="44"/>
          <w:szCs w:val="44"/>
        </w:rPr>
      </w:pPr>
      <w:bookmarkStart w:id="911" w:name="_Toc425"/>
      <w:bookmarkStart w:id="912" w:name="_Toc18129"/>
      <w:bookmarkStart w:id="913" w:name="_Toc4739"/>
      <w:bookmarkStart w:id="914" w:name="_Toc13058"/>
      <w:bookmarkStart w:id="915" w:name="_Toc57314540"/>
      <w:r>
        <w:rPr>
          <w:rFonts w:hint="eastAsia" w:ascii="Times New Roman" w:hAnsi="Times New Roman" w:eastAsia="宋体" w:cs="Times New Roman"/>
          <w:b/>
          <w:sz w:val="44"/>
          <w:szCs w:val="44"/>
        </w:rPr>
        <w:t>《古代汉语》课程教学大纲</w:t>
      </w:r>
      <w:bookmarkEnd w:id="911"/>
      <w:bookmarkEnd w:id="912"/>
      <w:bookmarkEnd w:id="913"/>
      <w:bookmarkEnd w:id="914"/>
      <w:bookmarkEnd w:id="915"/>
    </w:p>
    <w:p w14:paraId="7A7D76D2">
      <w:pPr>
        <w:spacing w:line="360" w:lineRule="auto"/>
        <w:jc w:val="center"/>
        <w:rPr>
          <w:rFonts w:ascii="Times New Roman" w:hAnsi="Times New Roman" w:eastAsia="宋体" w:cs="Times New Roman"/>
          <w:b/>
          <w:bCs/>
          <w:sz w:val="28"/>
          <w:szCs w:val="28"/>
        </w:rPr>
      </w:pPr>
      <w:bookmarkStart w:id="916" w:name="_Toc26650"/>
      <w:bookmarkStart w:id="917" w:name="_Toc10064"/>
      <w:bookmarkStart w:id="918" w:name="_Toc6819"/>
      <w:bookmarkStart w:id="919" w:name="_Toc31019"/>
      <w:bookmarkStart w:id="920" w:name="_Toc6372"/>
      <w:bookmarkStart w:id="921" w:name="_Toc23735"/>
      <w:bookmarkStart w:id="922" w:name="_Toc7473"/>
      <w:r>
        <w:rPr>
          <w:rFonts w:ascii="Times New Roman" w:hAnsi="Times New Roman" w:eastAsia="宋体" w:cs="Times New Roman"/>
          <w:b/>
          <w:bCs/>
          <w:sz w:val="28"/>
          <w:szCs w:val="28"/>
        </w:rPr>
        <w:t>（Ancient Chinese）</w:t>
      </w:r>
      <w:bookmarkEnd w:id="916"/>
      <w:bookmarkEnd w:id="917"/>
      <w:bookmarkEnd w:id="918"/>
      <w:bookmarkEnd w:id="919"/>
      <w:bookmarkEnd w:id="920"/>
      <w:bookmarkEnd w:id="921"/>
      <w:bookmarkEnd w:id="922"/>
    </w:p>
    <w:p w14:paraId="3A44591D">
      <w:pPr>
        <w:spacing w:line="360" w:lineRule="auto"/>
        <w:ind w:firstLine="482" w:firstLineChars="200"/>
        <w:rPr>
          <w:rFonts w:ascii="Times New Roman" w:hAnsi="Times New Roman" w:eastAsia="宋体" w:cs="Times New Roman"/>
          <w:smallCaps/>
          <w:kern w:val="44"/>
          <w:sz w:val="24"/>
        </w:rPr>
      </w:pPr>
      <w:r>
        <w:rPr>
          <w:rFonts w:ascii="Times New Roman" w:hAnsi="Times New Roman" w:eastAsia="宋体" w:cs="Times New Roman"/>
          <w:b/>
          <w:bCs/>
          <w:smallCaps/>
          <w:kern w:val="44"/>
          <w:sz w:val="24"/>
        </w:rPr>
        <w:t>课程代码：</w:t>
      </w:r>
      <w:r>
        <w:rPr>
          <w:rFonts w:ascii="Times New Roman" w:hAnsi="Times New Roman" w:eastAsia="宋体" w:cs="Times New Roman"/>
          <w:sz w:val="24"/>
        </w:rPr>
        <w:t>0705026</w:t>
      </w:r>
    </w:p>
    <w:p w14:paraId="6B1B8D11">
      <w:pPr>
        <w:spacing w:line="360" w:lineRule="auto"/>
        <w:ind w:firstLine="482" w:firstLineChars="200"/>
        <w:rPr>
          <w:rFonts w:ascii="Times New Roman" w:hAnsi="Times New Roman" w:eastAsia="宋体" w:cs="Times New Roman"/>
          <w:smallCaps/>
          <w:kern w:val="44"/>
          <w:sz w:val="24"/>
        </w:rPr>
      </w:pPr>
      <w:r>
        <w:rPr>
          <w:rFonts w:ascii="Times New Roman" w:hAnsi="Times New Roman" w:eastAsia="宋体" w:cs="Times New Roman"/>
          <w:b/>
          <w:bCs/>
          <w:smallCaps/>
          <w:kern w:val="44"/>
          <w:sz w:val="24"/>
        </w:rPr>
        <w:t>学    分：</w:t>
      </w:r>
      <w:r>
        <w:rPr>
          <w:rFonts w:ascii="Times New Roman" w:hAnsi="Times New Roman" w:eastAsia="宋体" w:cs="Times New Roman"/>
          <w:smallCaps/>
          <w:kern w:val="44"/>
          <w:sz w:val="24"/>
        </w:rPr>
        <w:t xml:space="preserve"> 3</w:t>
      </w:r>
    </w:p>
    <w:p w14:paraId="1AFFB5B8">
      <w:pPr>
        <w:spacing w:line="360" w:lineRule="auto"/>
        <w:ind w:firstLine="482" w:firstLineChars="200"/>
        <w:rPr>
          <w:rFonts w:ascii="Times New Roman" w:hAnsi="Times New Roman" w:eastAsia="宋体" w:cs="Times New Roman"/>
          <w:smallCaps/>
          <w:kern w:val="44"/>
          <w:sz w:val="24"/>
        </w:rPr>
      </w:pPr>
      <w:r>
        <w:rPr>
          <w:rFonts w:ascii="Times New Roman" w:hAnsi="Times New Roman" w:eastAsia="宋体" w:cs="Times New Roman"/>
          <w:b/>
          <w:bCs/>
          <w:smallCaps/>
          <w:kern w:val="44"/>
          <w:sz w:val="24"/>
        </w:rPr>
        <w:t>学    时：</w:t>
      </w:r>
      <w:r>
        <w:rPr>
          <w:rFonts w:ascii="Times New Roman" w:hAnsi="Times New Roman" w:eastAsia="宋体" w:cs="Times New Roman"/>
          <w:smallCaps/>
          <w:kern w:val="44"/>
          <w:sz w:val="24"/>
        </w:rPr>
        <w:t xml:space="preserve"> 48（其中：讲授学时48，</w:t>
      </w:r>
      <w:r>
        <w:rPr>
          <w:rFonts w:ascii="Times New Roman" w:hAnsi="Times New Roman" w:eastAsia="宋体" w:cs="Times New Roman"/>
          <w:smallCaps/>
          <w:kern w:val="44"/>
          <w:sz w:val="24"/>
          <w:szCs w:val="22"/>
        </w:rPr>
        <w:t>实践学时0</w:t>
      </w:r>
      <w:r>
        <w:rPr>
          <w:rFonts w:ascii="Times New Roman" w:hAnsi="Times New Roman" w:eastAsia="宋体" w:cs="Times New Roman"/>
          <w:smallCaps/>
          <w:kern w:val="44"/>
          <w:sz w:val="24"/>
        </w:rPr>
        <w:t>）</w:t>
      </w:r>
    </w:p>
    <w:p w14:paraId="5EEB2716">
      <w:pPr>
        <w:spacing w:line="360" w:lineRule="auto"/>
        <w:ind w:firstLine="482" w:firstLineChars="200"/>
        <w:rPr>
          <w:rFonts w:ascii="Times New Roman" w:hAnsi="Times New Roman" w:eastAsia="宋体" w:cs="Times New Roman"/>
          <w:smallCaps/>
          <w:kern w:val="44"/>
          <w:sz w:val="24"/>
        </w:rPr>
      </w:pPr>
      <w:r>
        <w:rPr>
          <w:rFonts w:ascii="Times New Roman" w:hAnsi="Times New Roman" w:eastAsia="宋体" w:cs="Times New Roman"/>
          <w:b/>
          <w:bCs/>
          <w:smallCaps/>
          <w:kern w:val="44"/>
          <w:sz w:val="24"/>
        </w:rPr>
        <w:t>先修课程</w:t>
      </w:r>
      <w:r>
        <w:rPr>
          <w:rFonts w:ascii="Times New Roman" w:hAnsi="Times New Roman" w:eastAsia="宋体" w:cs="Times New Roman"/>
          <w:smallCaps/>
          <w:kern w:val="44"/>
          <w:sz w:val="24"/>
        </w:rPr>
        <w:t>：现代汉语</w:t>
      </w:r>
    </w:p>
    <w:p w14:paraId="7E476FA0">
      <w:pPr>
        <w:spacing w:line="360" w:lineRule="auto"/>
        <w:ind w:firstLine="482" w:firstLineChars="200"/>
        <w:rPr>
          <w:rFonts w:ascii="Times New Roman" w:hAnsi="Times New Roman" w:eastAsia="宋体" w:cs="Times New Roman"/>
          <w:smallCaps/>
          <w:kern w:val="44"/>
          <w:sz w:val="24"/>
        </w:rPr>
      </w:pPr>
      <w:r>
        <w:rPr>
          <w:rFonts w:ascii="Times New Roman" w:hAnsi="Times New Roman" w:eastAsia="宋体" w:cs="Times New Roman"/>
          <w:b/>
          <w:bCs/>
          <w:smallCaps/>
          <w:kern w:val="44"/>
          <w:sz w:val="24"/>
        </w:rPr>
        <w:t>适用专业</w:t>
      </w:r>
      <w:r>
        <w:rPr>
          <w:rFonts w:ascii="Times New Roman" w:hAnsi="Times New Roman" w:eastAsia="宋体" w:cs="Times New Roman"/>
          <w:smallCaps/>
          <w:kern w:val="44"/>
          <w:sz w:val="24"/>
        </w:rPr>
        <w:t>：</w:t>
      </w:r>
      <w:r>
        <w:rPr>
          <w:rFonts w:hint="eastAsia" w:ascii="Times New Roman" w:hAnsi="Times New Roman" w:eastAsia="宋体" w:cs="Times New Roman"/>
          <w:smallCaps/>
          <w:kern w:val="44"/>
          <w:sz w:val="24"/>
        </w:rPr>
        <w:t>小学教育（文）</w:t>
      </w:r>
      <w:r>
        <w:rPr>
          <w:rFonts w:ascii="Times New Roman" w:hAnsi="Times New Roman" w:eastAsia="宋体" w:cs="Times New Roman"/>
          <w:smallCaps/>
          <w:kern w:val="44"/>
          <w:sz w:val="24"/>
        </w:rPr>
        <w:t xml:space="preserve"> </w:t>
      </w:r>
    </w:p>
    <w:p w14:paraId="159237E7">
      <w:pPr>
        <w:spacing w:line="360" w:lineRule="auto"/>
        <w:ind w:firstLine="482" w:firstLineChars="200"/>
        <w:rPr>
          <w:rFonts w:ascii="Times New Roman" w:hAnsi="Times New Roman" w:eastAsia="宋体" w:cs="Times New Roman"/>
          <w:smallCaps/>
          <w:kern w:val="44"/>
          <w:sz w:val="24"/>
        </w:rPr>
      </w:pPr>
      <w:r>
        <w:rPr>
          <w:rFonts w:ascii="Times New Roman" w:hAnsi="Times New Roman" w:eastAsia="宋体" w:cs="Times New Roman"/>
          <w:b/>
          <w:bCs/>
          <w:smallCaps/>
          <w:kern w:val="44"/>
          <w:sz w:val="24"/>
        </w:rPr>
        <w:t>教    材：</w:t>
      </w:r>
      <w:r>
        <w:rPr>
          <w:rFonts w:ascii="Times New Roman" w:hAnsi="Times New Roman" w:eastAsia="宋体" w:cs="Times New Roman"/>
          <w:smallCaps/>
          <w:kern w:val="44"/>
          <w:sz w:val="24"/>
        </w:rPr>
        <w:t>《古代汉语》，王力主编，中华书局，1999年版</w:t>
      </w:r>
    </w:p>
    <w:p w14:paraId="25774640">
      <w:pPr>
        <w:autoSpaceDE w:val="0"/>
        <w:autoSpaceDN w:val="0"/>
        <w:adjustRightInd w:val="0"/>
        <w:snapToGrid w:val="0"/>
        <w:spacing w:before="62" w:beforeLines="20" w:after="62" w:afterLines="20" w:line="360" w:lineRule="auto"/>
        <w:jc w:val="left"/>
        <w:rPr>
          <w:rFonts w:ascii="Times New Roman" w:hAnsi="Times New Roman" w:eastAsia="宋体" w:cs="Times New Roman"/>
          <w:b/>
          <w:bCs/>
          <w:smallCaps/>
          <w:kern w:val="44"/>
          <w:sz w:val="24"/>
        </w:rPr>
      </w:pPr>
      <w:r>
        <w:rPr>
          <w:rFonts w:hint="eastAsia" w:ascii="Times New Roman" w:hAnsi="Times New Roman" w:eastAsia="宋体" w:cs="Times New Roman"/>
          <w:b/>
          <w:bCs/>
          <w:smallCaps/>
          <w:kern w:val="44"/>
          <w:sz w:val="24"/>
        </w:rPr>
        <w:t>一、课程简介</w:t>
      </w:r>
    </w:p>
    <w:p w14:paraId="6BCEDAF7">
      <w:pPr>
        <w:autoSpaceDE w:val="0"/>
        <w:autoSpaceDN w:val="0"/>
        <w:adjustRightInd w:val="0"/>
        <w:snapToGrid w:val="0"/>
        <w:spacing w:line="360" w:lineRule="auto"/>
        <w:ind w:firstLine="420" w:firstLineChars="200"/>
        <w:jc w:val="left"/>
        <w:rPr>
          <w:rFonts w:ascii="Times New Roman" w:hAnsi="Times New Roman" w:eastAsia="宋体" w:cs="Times New Roman"/>
          <w:smallCaps/>
          <w:kern w:val="44"/>
          <w:szCs w:val="21"/>
        </w:rPr>
      </w:pPr>
      <w:r>
        <w:rPr>
          <w:rFonts w:ascii="Times New Roman" w:hAnsi="Times New Roman" w:eastAsia="宋体" w:cs="Times New Roman"/>
          <w:smallCaps/>
          <w:kern w:val="44"/>
          <w:szCs w:val="21"/>
        </w:rPr>
        <w:t>本课程是</w:t>
      </w:r>
      <w:r>
        <w:rPr>
          <w:rFonts w:hint="eastAsia" w:ascii="Times New Roman" w:hAnsi="Times New Roman" w:eastAsia="宋体" w:cs="Times New Roman"/>
          <w:smallCaps/>
          <w:kern w:val="44"/>
          <w:szCs w:val="21"/>
        </w:rPr>
        <w:t>小学教育（文）</w:t>
      </w:r>
      <w:r>
        <w:rPr>
          <w:rFonts w:ascii="Times New Roman" w:hAnsi="Times New Roman" w:eastAsia="宋体" w:cs="Times New Roman"/>
          <w:smallCaps/>
          <w:kern w:val="44"/>
          <w:szCs w:val="21"/>
        </w:rPr>
        <w:t>专业的专业必修课。课程秉持立德树人的教育理念，将课程思政与专业教学有机结合，注意将知识传授、能力培养和价值观引领有机统一</w:t>
      </w:r>
      <w:r>
        <w:rPr>
          <w:rFonts w:hint="eastAsia" w:ascii="Times New Roman" w:hAnsi="Times New Roman" w:eastAsia="宋体" w:cs="Times New Roman"/>
          <w:smallCaps/>
          <w:kern w:val="44"/>
          <w:szCs w:val="21"/>
        </w:rPr>
        <w:t>，推动中华优秀传统文化自信教育，培养新时代文化传承者。</w:t>
      </w:r>
    </w:p>
    <w:p w14:paraId="79B32E23">
      <w:pPr>
        <w:autoSpaceDE w:val="0"/>
        <w:autoSpaceDN w:val="0"/>
        <w:adjustRightInd w:val="0"/>
        <w:snapToGrid w:val="0"/>
        <w:spacing w:before="62" w:beforeLines="20" w:after="62" w:afterLines="20" w:line="360" w:lineRule="auto"/>
        <w:jc w:val="left"/>
        <w:rPr>
          <w:rFonts w:ascii="Times New Roman" w:hAnsi="Times New Roman" w:eastAsia="宋体" w:cs="Times New Roman"/>
          <w:smallCaps/>
          <w:kern w:val="44"/>
          <w:szCs w:val="21"/>
        </w:rPr>
      </w:pPr>
      <w:r>
        <w:rPr>
          <w:rFonts w:ascii="Times New Roman" w:hAnsi="Times New Roman" w:eastAsia="宋体" w:cs="Times New Roman"/>
          <w:smallCaps/>
          <w:kern w:val="44"/>
          <w:szCs w:val="21"/>
        </w:rPr>
        <w:t>本课程旨</w:t>
      </w:r>
      <w:r>
        <w:rPr>
          <w:rFonts w:hint="eastAsia" w:ascii="Times New Roman" w:hAnsi="Times New Roman" w:eastAsia="宋体" w:cs="Times New Roman"/>
          <w:smallCaps/>
          <w:kern w:val="44"/>
          <w:szCs w:val="21"/>
        </w:rPr>
        <w:t>在</w:t>
      </w:r>
      <w:r>
        <w:rPr>
          <w:rFonts w:ascii="Times New Roman" w:hAnsi="Times New Roman" w:eastAsia="宋体" w:cs="Times New Roman"/>
          <w:smallCaps/>
          <w:kern w:val="44"/>
          <w:szCs w:val="21"/>
        </w:rPr>
        <w:t>培养学生独立阅读古书的能力，即通过古代汉语的基础理论、基本知识的教学与有重点地阅读古代文献的实践，使学生掌握古代汉语的语言规律，以便借助于工具书能够直接阅读古代文献，</w:t>
      </w:r>
      <w:r>
        <w:rPr>
          <w:rFonts w:hint="eastAsia" w:ascii="Times New Roman" w:hAnsi="Times New Roman" w:eastAsia="宋体" w:cs="Times New Roman"/>
          <w:smallCaps/>
          <w:kern w:val="44"/>
          <w:szCs w:val="21"/>
        </w:rPr>
        <w:t>获得较为全面系统的知识框架，</w:t>
      </w:r>
      <w:r>
        <w:rPr>
          <w:rFonts w:ascii="Times New Roman" w:hAnsi="Times New Roman" w:eastAsia="宋体" w:cs="Times New Roman"/>
          <w:smallCaps/>
          <w:kern w:val="44"/>
          <w:szCs w:val="21"/>
        </w:rPr>
        <w:t>从而批判地继承我国古代优秀的文化遗产，</w:t>
      </w:r>
      <w:r>
        <w:rPr>
          <w:rFonts w:hint="eastAsia" w:ascii="Times New Roman" w:hAnsi="Times New Roman" w:eastAsia="宋体" w:cs="Times New Roman"/>
          <w:smallCaps/>
          <w:kern w:val="44"/>
          <w:szCs w:val="21"/>
        </w:rPr>
        <w:t>进一步坚定文化自信，增强中华民族的向心力和凝聚力，</w:t>
      </w:r>
      <w:r>
        <w:rPr>
          <w:rFonts w:ascii="Times New Roman" w:hAnsi="Times New Roman" w:eastAsia="宋体" w:cs="Times New Roman"/>
          <w:smallCaps/>
          <w:kern w:val="44"/>
          <w:szCs w:val="21"/>
        </w:rPr>
        <w:t>也为后续课程奠定基础。</w:t>
      </w:r>
    </w:p>
    <w:p w14:paraId="69FDF105">
      <w:pPr>
        <w:autoSpaceDE w:val="0"/>
        <w:autoSpaceDN w:val="0"/>
        <w:adjustRightInd w:val="0"/>
        <w:snapToGrid w:val="0"/>
        <w:spacing w:before="62" w:beforeLines="20" w:after="62" w:afterLines="20" w:line="360" w:lineRule="auto"/>
        <w:jc w:val="left"/>
        <w:rPr>
          <w:rFonts w:ascii="Times New Roman" w:hAnsi="Times New Roman" w:eastAsia="宋体" w:cs="Times New Roman"/>
          <w:b/>
          <w:bCs/>
          <w:smallCaps/>
          <w:kern w:val="44"/>
          <w:sz w:val="24"/>
        </w:rPr>
      </w:pPr>
      <w:r>
        <w:rPr>
          <w:rFonts w:hint="eastAsia" w:ascii="Times New Roman" w:hAnsi="Times New Roman" w:eastAsia="宋体" w:cs="Times New Roman"/>
          <w:b/>
          <w:bCs/>
          <w:smallCaps/>
          <w:kern w:val="44"/>
          <w:sz w:val="24"/>
        </w:rPr>
        <w:t>二、课程目标</w:t>
      </w:r>
    </w:p>
    <w:p w14:paraId="4E1433D8">
      <w:pPr>
        <w:spacing w:line="360" w:lineRule="auto"/>
        <w:ind w:firstLine="422" w:firstLineChars="200"/>
        <w:outlineLvl w:val="1"/>
        <w:rPr>
          <w:rFonts w:hint="eastAsia" w:ascii="宋体" w:hAnsi="宋体" w:eastAsia="宋体" w:cs="Times New Roman"/>
          <w:b/>
          <w:szCs w:val="21"/>
        </w:rPr>
      </w:pPr>
      <w:r>
        <w:rPr>
          <w:rFonts w:hint="eastAsia" w:ascii="宋体" w:hAnsi="宋体" w:eastAsia="宋体" w:cs="Times New Roman"/>
          <w:b/>
          <w:szCs w:val="21"/>
        </w:rPr>
        <w:t>（一）课程具体目标</w:t>
      </w:r>
    </w:p>
    <w:p w14:paraId="7815B5F0">
      <w:pPr>
        <w:spacing w:line="360" w:lineRule="auto"/>
        <w:ind w:firstLine="420" w:firstLineChars="200"/>
        <w:rPr>
          <w:rFonts w:ascii="Times New Roman" w:hAnsi="Times New Roman" w:eastAsia="宋体" w:cs="Times New Roman"/>
          <w:smallCaps/>
          <w:kern w:val="44"/>
          <w:szCs w:val="21"/>
        </w:rPr>
      </w:pPr>
      <w:r>
        <w:rPr>
          <w:rFonts w:ascii="Times New Roman" w:hAnsi="Times New Roman" w:eastAsia="宋体" w:cs="Times New Roman"/>
          <w:smallCaps/>
          <w:kern w:val="44"/>
          <w:szCs w:val="21"/>
        </w:rPr>
        <w:t>目标</w:t>
      </w:r>
      <w:r>
        <w:rPr>
          <w:rFonts w:hint="eastAsia" w:ascii="Times New Roman" w:hAnsi="Times New Roman" w:eastAsia="宋体" w:cs="Times New Roman"/>
          <w:smallCaps/>
          <w:kern w:val="44"/>
          <w:szCs w:val="21"/>
        </w:rPr>
        <w:t>1：</w:t>
      </w:r>
      <w:r>
        <w:rPr>
          <w:rFonts w:ascii="Times New Roman" w:hAnsi="Times New Roman" w:eastAsia="宋体" w:cs="Times New Roman"/>
          <w:smallCaps/>
          <w:kern w:val="44"/>
          <w:szCs w:val="21"/>
        </w:rPr>
        <w:t>掌握古代汉语的基本理论和基础知识</w:t>
      </w:r>
      <w:r>
        <w:rPr>
          <w:rFonts w:hint="eastAsia" w:ascii="Times New Roman" w:hAnsi="Times New Roman" w:eastAsia="宋体" w:cs="Times New Roman"/>
          <w:smallCaps/>
          <w:kern w:val="44"/>
          <w:szCs w:val="21"/>
        </w:rPr>
        <w:t>，</w:t>
      </w:r>
      <w:r>
        <w:rPr>
          <w:rFonts w:ascii="Times New Roman" w:hAnsi="Times New Roman" w:eastAsia="宋体" w:cs="Times New Roman"/>
          <w:smallCaps/>
          <w:kern w:val="44"/>
          <w:szCs w:val="21"/>
        </w:rPr>
        <w:t>培养和提高学生理解、分析和运用古代汉语的能力</w:t>
      </w:r>
      <w:r>
        <w:rPr>
          <w:rFonts w:hint="eastAsia" w:ascii="Times New Roman" w:hAnsi="Times New Roman" w:eastAsia="宋体" w:cs="Times New Roman"/>
          <w:smallCaps/>
          <w:kern w:val="44"/>
          <w:szCs w:val="21"/>
        </w:rPr>
        <w:t>和初步的学术研究能力。</w:t>
      </w:r>
    </w:p>
    <w:p w14:paraId="73F1BB89">
      <w:pPr>
        <w:spacing w:line="360" w:lineRule="auto"/>
        <w:ind w:firstLine="420" w:firstLineChars="200"/>
        <w:jc w:val="left"/>
        <w:rPr>
          <w:rFonts w:ascii="Times New Roman" w:hAnsi="Times New Roman" w:eastAsia="宋体" w:cs="Times New Roman"/>
          <w:smallCaps/>
          <w:kern w:val="44"/>
          <w:szCs w:val="21"/>
        </w:rPr>
      </w:pPr>
      <w:r>
        <w:rPr>
          <w:rFonts w:hint="eastAsia" w:ascii="Times New Roman" w:hAnsi="Times New Roman" w:eastAsia="宋体" w:cs="Times New Roman"/>
          <w:smallCaps/>
          <w:kern w:val="44"/>
          <w:szCs w:val="21"/>
        </w:rPr>
        <w:t>目标2：</w:t>
      </w:r>
      <w:r>
        <w:rPr>
          <w:rFonts w:ascii="Times New Roman" w:hAnsi="Times New Roman" w:eastAsia="宋体" w:cs="Times New Roman"/>
          <w:smallCaps/>
          <w:kern w:val="44"/>
          <w:szCs w:val="21"/>
        </w:rPr>
        <w:t>培养学生</w:t>
      </w:r>
      <w:r>
        <w:rPr>
          <w:rFonts w:hint="eastAsia" w:ascii="Times New Roman" w:hAnsi="Times New Roman" w:eastAsia="宋体" w:cs="Times New Roman"/>
          <w:smallCaps/>
          <w:kern w:val="44"/>
          <w:szCs w:val="21"/>
        </w:rPr>
        <w:t>对中华优秀传统文化的热爱和文化自信并</w:t>
      </w:r>
      <w:r>
        <w:rPr>
          <w:rFonts w:ascii="Times New Roman" w:hAnsi="Times New Roman" w:eastAsia="宋体" w:cs="Times New Roman"/>
          <w:smallCaps/>
          <w:kern w:val="44"/>
          <w:szCs w:val="21"/>
        </w:rPr>
        <w:t>提升学生的人文素养</w:t>
      </w:r>
      <w:r>
        <w:rPr>
          <w:rFonts w:hint="eastAsia" w:ascii="Times New Roman" w:hAnsi="Times New Roman" w:eastAsia="宋体" w:cs="Times New Roman"/>
          <w:smallCaps/>
          <w:kern w:val="44"/>
          <w:szCs w:val="21"/>
        </w:rPr>
        <w:t>和传承中华优秀传统文化的自觉性</w:t>
      </w:r>
      <w:r>
        <w:rPr>
          <w:rFonts w:ascii="Times New Roman" w:hAnsi="Times New Roman" w:eastAsia="宋体" w:cs="Times New Roman"/>
          <w:smallCaps/>
          <w:kern w:val="44"/>
          <w:szCs w:val="21"/>
        </w:rPr>
        <w:t>。</w:t>
      </w:r>
    </w:p>
    <w:p w14:paraId="1BB460A5">
      <w:pPr>
        <w:spacing w:line="360" w:lineRule="auto"/>
        <w:ind w:firstLine="422" w:firstLineChars="200"/>
        <w:jc w:val="left"/>
        <w:outlineLvl w:val="1"/>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5169"/>
        <w:gridCol w:w="1572"/>
      </w:tblGrid>
      <w:tr w14:paraId="5A39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71EC66B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169" w:type="dxa"/>
          </w:tcPr>
          <w:p w14:paraId="152E67D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572" w:type="dxa"/>
          </w:tcPr>
          <w:p w14:paraId="305223E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B84A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1555" w:type="dxa"/>
            <w:vAlign w:val="center"/>
          </w:tcPr>
          <w:p w14:paraId="60A1EAC6">
            <w:pPr>
              <w:spacing w:line="276" w:lineRule="auto"/>
              <w:jc w:val="center"/>
              <w:rPr>
                <w:rFonts w:hint="eastAsia" w:ascii="宋体" w:hAnsi="宋体" w:eastAsia="宋体" w:cs="宋体"/>
                <w:b/>
                <w:bCs/>
                <w:szCs w:val="21"/>
              </w:rPr>
            </w:pPr>
            <w:r>
              <w:rPr>
                <w:rFonts w:hint="eastAsia" w:ascii="宋体" w:hAnsi="宋体" w:eastAsia="宋体" w:cs="宋体"/>
                <w:b/>
                <w:bCs/>
                <w:szCs w:val="21"/>
              </w:rPr>
              <w:t>毕业要求3</w:t>
            </w:r>
          </w:p>
          <w:p w14:paraId="3EB88B71">
            <w:pPr>
              <w:spacing w:line="276" w:lineRule="auto"/>
              <w:jc w:val="center"/>
              <w:rPr>
                <w:rFonts w:hint="eastAsia" w:ascii="宋体" w:hAnsi="宋体" w:eastAsia="宋体" w:cs="宋体"/>
                <w:szCs w:val="21"/>
              </w:rPr>
            </w:pPr>
            <w:r>
              <w:rPr>
                <w:rFonts w:hint="eastAsia" w:ascii="宋体" w:hAnsi="宋体" w:eastAsia="宋体" w:cs="宋体"/>
                <w:b/>
                <w:bCs/>
                <w:szCs w:val="21"/>
              </w:rPr>
              <w:t>学科素养</w:t>
            </w:r>
          </w:p>
        </w:tc>
        <w:tc>
          <w:tcPr>
            <w:tcW w:w="5169" w:type="dxa"/>
            <w:vAlign w:val="center"/>
          </w:tcPr>
          <w:p w14:paraId="48CA3BE7">
            <w:pPr>
              <w:autoSpaceDE w:val="0"/>
              <w:autoSpaceDN w:val="0"/>
              <w:rPr>
                <w:kern w:val="0"/>
                <w:sz w:val="20"/>
                <w:szCs w:val="20"/>
              </w:rPr>
            </w:pPr>
            <w:r>
              <w:rPr>
                <w:rFonts w:hint="eastAsia" w:ascii="宋体" w:hAnsi="宋体" w:cs="宋体"/>
                <w:b/>
                <w:kern w:val="0"/>
                <w:sz w:val="20"/>
                <w:szCs w:val="20"/>
              </w:rPr>
              <w:t>指标点3-2</w:t>
            </w:r>
            <w:r>
              <w:rPr>
                <w:rFonts w:hint="eastAsia" w:ascii="宋体" w:hAnsi="宋体" w:cs="宋体"/>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572" w:type="dxa"/>
            <w:vAlign w:val="center"/>
          </w:tcPr>
          <w:p w14:paraId="1168DC32">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7ED42461">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1、2</w:t>
            </w:r>
          </w:p>
        </w:tc>
      </w:tr>
    </w:tbl>
    <w:p w14:paraId="1A5F20CD">
      <w:pPr>
        <w:spacing w:before="62" w:beforeLines="20" w:after="62" w:afterLines="20" w:line="360" w:lineRule="auto"/>
        <w:ind w:left="-2" w:leftChars="-1"/>
        <w:jc w:val="left"/>
        <w:rPr>
          <w:rFonts w:ascii="Times New Roman" w:hAnsi="Times New Roman" w:eastAsia="宋体" w:cs="Times New Roman"/>
          <w:b/>
          <w:sz w:val="24"/>
        </w:rPr>
      </w:pPr>
      <w:r>
        <w:rPr>
          <w:rFonts w:hint="eastAsia" w:ascii="宋体" w:hAnsi="宋体" w:eastAsia="宋体" w:cs="Times New Roman"/>
          <w:b/>
          <w:sz w:val="24"/>
        </w:rPr>
        <w:t>三、教学内容与预期学习成效</w:t>
      </w:r>
    </w:p>
    <w:tbl>
      <w:tblPr>
        <w:tblStyle w:val="12"/>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393"/>
        <w:gridCol w:w="2180"/>
        <w:gridCol w:w="1429"/>
        <w:gridCol w:w="456"/>
      </w:tblGrid>
      <w:tr w14:paraId="2D9C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05" w:type="dxa"/>
            <w:vAlign w:val="center"/>
          </w:tcPr>
          <w:p w14:paraId="4E7A220D">
            <w:pPr>
              <w:jc w:val="center"/>
              <w:rPr>
                <w:rFonts w:hint="eastAsia" w:ascii="宋体" w:hAnsi="宋体" w:eastAsia="宋体" w:cs="宋体"/>
                <w:b/>
                <w:szCs w:val="21"/>
              </w:rPr>
            </w:pPr>
            <w:bookmarkStart w:id="923" w:name="_Toc13417"/>
            <w:r>
              <w:rPr>
                <w:rFonts w:hint="eastAsia" w:ascii="宋体" w:hAnsi="宋体" w:eastAsia="宋体" w:cs="宋体"/>
                <w:b/>
                <w:szCs w:val="21"/>
              </w:rPr>
              <w:t>知识</w:t>
            </w:r>
          </w:p>
          <w:p w14:paraId="3E7934CC">
            <w:pPr>
              <w:jc w:val="center"/>
              <w:rPr>
                <w:rFonts w:hint="eastAsia" w:ascii="宋体" w:hAnsi="宋体" w:eastAsia="宋体" w:cs="宋体"/>
                <w:b/>
                <w:szCs w:val="21"/>
              </w:rPr>
            </w:pPr>
            <w:r>
              <w:rPr>
                <w:rFonts w:hint="eastAsia" w:ascii="宋体" w:hAnsi="宋体" w:eastAsia="宋体" w:cs="宋体"/>
                <w:b/>
                <w:szCs w:val="21"/>
              </w:rPr>
              <w:t>单元</w:t>
            </w:r>
          </w:p>
        </w:tc>
        <w:tc>
          <w:tcPr>
            <w:tcW w:w="3393" w:type="dxa"/>
            <w:vAlign w:val="center"/>
          </w:tcPr>
          <w:p w14:paraId="4AEB5B69">
            <w:pPr>
              <w:jc w:val="center"/>
              <w:rPr>
                <w:rFonts w:hint="eastAsia" w:ascii="宋体" w:hAnsi="宋体" w:eastAsia="宋体" w:cs="宋体"/>
                <w:b/>
                <w:szCs w:val="21"/>
              </w:rPr>
            </w:pPr>
            <w:r>
              <w:rPr>
                <w:rFonts w:hint="eastAsia" w:ascii="宋体" w:hAnsi="宋体" w:eastAsia="宋体" w:cs="宋体"/>
                <w:b/>
                <w:szCs w:val="21"/>
              </w:rPr>
              <w:t>教学内容</w:t>
            </w:r>
          </w:p>
        </w:tc>
        <w:tc>
          <w:tcPr>
            <w:tcW w:w="2180" w:type="dxa"/>
            <w:vAlign w:val="center"/>
          </w:tcPr>
          <w:p w14:paraId="421EBB2A">
            <w:pPr>
              <w:jc w:val="center"/>
              <w:rPr>
                <w:rFonts w:hint="eastAsia" w:ascii="宋体" w:hAnsi="宋体" w:eastAsia="宋体" w:cs="宋体"/>
                <w:b/>
                <w:szCs w:val="21"/>
              </w:rPr>
            </w:pPr>
            <w:r>
              <w:rPr>
                <w:rFonts w:hint="eastAsia" w:ascii="宋体" w:hAnsi="宋体" w:eastAsia="宋体" w:cs="Times New Roman"/>
                <w:b/>
                <w:szCs w:val="21"/>
              </w:rPr>
              <w:t>预期学习成效</w:t>
            </w:r>
          </w:p>
        </w:tc>
        <w:tc>
          <w:tcPr>
            <w:tcW w:w="1429" w:type="dxa"/>
            <w:vAlign w:val="center"/>
          </w:tcPr>
          <w:p w14:paraId="2FFF02F1">
            <w:pPr>
              <w:jc w:val="center"/>
              <w:rPr>
                <w:rFonts w:hint="eastAsia" w:ascii="宋体" w:hAnsi="宋体" w:eastAsia="宋体" w:cs="宋体"/>
                <w:b/>
                <w:szCs w:val="21"/>
              </w:rPr>
            </w:pPr>
            <w:r>
              <w:rPr>
                <w:rFonts w:hint="eastAsia" w:ascii="宋体" w:hAnsi="宋体" w:eastAsia="宋体" w:cs="宋体"/>
                <w:b/>
                <w:szCs w:val="21"/>
              </w:rPr>
              <w:t>实现方式</w:t>
            </w:r>
          </w:p>
        </w:tc>
        <w:tc>
          <w:tcPr>
            <w:tcW w:w="456" w:type="dxa"/>
            <w:vAlign w:val="center"/>
          </w:tcPr>
          <w:p w14:paraId="6520925E">
            <w:pPr>
              <w:jc w:val="center"/>
              <w:rPr>
                <w:rFonts w:hint="eastAsia" w:ascii="宋体" w:hAnsi="宋体" w:eastAsia="宋体" w:cs="宋体"/>
                <w:b/>
                <w:szCs w:val="21"/>
              </w:rPr>
            </w:pPr>
            <w:r>
              <w:rPr>
                <w:rFonts w:hint="eastAsia" w:ascii="宋体" w:hAnsi="宋体" w:eastAsia="宋体" w:cs="宋体"/>
                <w:b/>
                <w:szCs w:val="21"/>
              </w:rPr>
              <w:t>学时</w:t>
            </w:r>
          </w:p>
        </w:tc>
      </w:tr>
      <w:tr w14:paraId="3D44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Align w:val="center"/>
          </w:tcPr>
          <w:p w14:paraId="573369A7">
            <w:pPr>
              <w:jc w:val="center"/>
              <w:rPr>
                <w:rFonts w:hint="eastAsia" w:ascii="宋体" w:hAnsi="宋体" w:eastAsia="宋体" w:cs="宋体"/>
                <w:b/>
                <w:bCs/>
                <w:szCs w:val="21"/>
              </w:rPr>
            </w:pPr>
            <w:r>
              <w:rPr>
                <w:rFonts w:hint="eastAsia" w:ascii="宋体" w:hAnsi="宋体" w:eastAsia="宋体" w:cs="宋体"/>
                <w:b/>
                <w:bCs/>
                <w:szCs w:val="21"/>
              </w:rPr>
              <w:t>文字</w:t>
            </w:r>
          </w:p>
          <w:p w14:paraId="6A691E9B">
            <w:pPr>
              <w:jc w:val="center"/>
              <w:rPr>
                <w:rFonts w:hint="eastAsia" w:ascii="宋体" w:hAnsi="宋体" w:eastAsia="宋体" w:cs="宋体"/>
                <w:szCs w:val="21"/>
              </w:rPr>
            </w:pPr>
            <w:r>
              <w:rPr>
                <w:rFonts w:hint="eastAsia" w:ascii="宋体" w:hAnsi="宋体" w:eastAsia="宋体" w:cs="宋体"/>
                <w:b/>
                <w:bCs/>
                <w:szCs w:val="21"/>
              </w:rPr>
              <w:t>部分</w:t>
            </w:r>
          </w:p>
        </w:tc>
        <w:tc>
          <w:tcPr>
            <w:tcW w:w="3393" w:type="dxa"/>
            <w:vAlign w:val="center"/>
          </w:tcPr>
          <w:p w14:paraId="5DC81293">
            <w:pPr>
              <w:rPr>
                <w:rFonts w:hint="eastAsia" w:ascii="宋体" w:hAnsi="宋体" w:eastAsia="宋体" w:cs="宋体"/>
                <w:szCs w:val="21"/>
              </w:rPr>
            </w:pPr>
            <w:r>
              <w:rPr>
                <w:rFonts w:hint="eastAsia" w:ascii="宋体" w:hAnsi="宋体" w:eastAsia="宋体" w:cs="宋体"/>
                <w:szCs w:val="21"/>
              </w:rPr>
              <w:t>（1）六书的名称及由来；</w:t>
            </w:r>
          </w:p>
          <w:p w14:paraId="5F7D6B51">
            <w:pPr>
              <w:rPr>
                <w:rFonts w:hint="eastAsia" w:ascii="宋体" w:hAnsi="宋体" w:eastAsia="宋体" w:cs="宋体"/>
                <w:szCs w:val="21"/>
              </w:rPr>
            </w:pPr>
            <w:r>
              <w:rPr>
                <w:rFonts w:hint="eastAsia" w:ascii="宋体" w:hAnsi="宋体" w:eastAsia="宋体" w:cs="宋体"/>
                <w:szCs w:val="21"/>
              </w:rPr>
              <w:t>（2）六书的内容；</w:t>
            </w:r>
          </w:p>
          <w:p w14:paraId="698ADB10">
            <w:pPr>
              <w:rPr>
                <w:rFonts w:hint="eastAsia" w:ascii="宋体" w:hAnsi="宋体" w:eastAsia="宋体" w:cs="宋体"/>
                <w:szCs w:val="21"/>
              </w:rPr>
            </w:pPr>
            <w:r>
              <w:rPr>
                <w:rFonts w:hint="eastAsia" w:ascii="宋体" w:hAnsi="宋体" w:eastAsia="宋体" w:cs="宋体"/>
                <w:szCs w:val="21"/>
              </w:rPr>
              <w:t>（3）六书的局限；</w:t>
            </w:r>
          </w:p>
          <w:p w14:paraId="0F02F073">
            <w:pPr>
              <w:rPr>
                <w:rFonts w:hint="eastAsia" w:ascii="宋体" w:hAnsi="宋体" w:eastAsia="宋体" w:cs="宋体"/>
                <w:szCs w:val="21"/>
              </w:rPr>
            </w:pPr>
            <w:r>
              <w:rPr>
                <w:rFonts w:hint="eastAsia" w:ascii="宋体" w:hAnsi="宋体" w:eastAsia="宋体" w:cs="宋体"/>
                <w:szCs w:val="21"/>
              </w:rPr>
              <w:t>（4）什么是古今字，古今字形成的原因；古今字的类型；古今字的特点；</w:t>
            </w:r>
          </w:p>
          <w:p w14:paraId="7ECF1403">
            <w:pPr>
              <w:rPr>
                <w:rFonts w:hint="eastAsia" w:ascii="宋体" w:hAnsi="宋体" w:eastAsia="宋体" w:cs="宋体"/>
                <w:szCs w:val="21"/>
              </w:rPr>
            </w:pPr>
            <w:r>
              <w:rPr>
                <w:rFonts w:hint="eastAsia" w:ascii="宋体" w:hAnsi="宋体" w:eastAsia="宋体" w:cs="宋体"/>
                <w:szCs w:val="21"/>
              </w:rPr>
              <w:t>（5）什么是异体字；产生异体字的几种情况；</w:t>
            </w:r>
          </w:p>
          <w:p w14:paraId="693FA5AF">
            <w:pPr>
              <w:rPr>
                <w:rFonts w:hint="eastAsia" w:ascii="宋体" w:hAnsi="宋体" w:eastAsia="宋体" w:cs="宋体"/>
                <w:szCs w:val="21"/>
              </w:rPr>
            </w:pPr>
            <w:r>
              <w:rPr>
                <w:rFonts w:hint="eastAsia" w:ascii="宋体" w:hAnsi="宋体" w:eastAsia="宋体" w:cs="宋体"/>
                <w:szCs w:val="21"/>
              </w:rPr>
              <w:t>（6）什么是繁简字；繁简字的对应情况。</w:t>
            </w:r>
          </w:p>
        </w:tc>
        <w:tc>
          <w:tcPr>
            <w:tcW w:w="2180" w:type="dxa"/>
            <w:vAlign w:val="center"/>
          </w:tcPr>
          <w:p w14:paraId="49C4084F">
            <w:pPr>
              <w:rPr>
                <w:rFonts w:hint="eastAsia" w:ascii="宋体" w:hAnsi="宋体" w:eastAsia="宋体" w:cs="宋体"/>
                <w:szCs w:val="21"/>
              </w:rPr>
            </w:pPr>
            <w:r>
              <w:rPr>
                <w:rFonts w:hint="eastAsia" w:ascii="宋体" w:hAnsi="宋体" w:eastAsia="宋体" w:cs="宋体"/>
                <w:szCs w:val="21"/>
              </w:rPr>
              <w:t>（1）了解汉字形体的构造，掌握象形、指事、会意、形声四种造字方法。</w:t>
            </w:r>
          </w:p>
          <w:p w14:paraId="007FA175">
            <w:pPr>
              <w:rPr>
                <w:rFonts w:hint="eastAsia" w:ascii="宋体" w:hAnsi="宋体" w:eastAsia="宋体" w:cs="宋体"/>
                <w:szCs w:val="21"/>
              </w:rPr>
            </w:pPr>
            <w:r>
              <w:rPr>
                <w:rFonts w:hint="eastAsia" w:ascii="宋体" w:hAnsi="宋体" w:eastAsia="宋体" w:cs="宋体"/>
                <w:szCs w:val="21"/>
              </w:rPr>
              <w:t>（2）知道古今字、异体字、繁简字的区别，了解繁简字的对应情况。</w:t>
            </w:r>
          </w:p>
          <w:p w14:paraId="3B61C86A">
            <w:pPr>
              <w:jc w:val="center"/>
              <w:rPr>
                <w:rFonts w:hint="eastAsia" w:ascii="宋体" w:hAnsi="宋体" w:eastAsia="宋体" w:cs="宋体"/>
                <w:szCs w:val="21"/>
              </w:rPr>
            </w:pPr>
          </w:p>
        </w:tc>
        <w:tc>
          <w:tcPr>
            <w:tcW w:w="1429" w:type="dxa"/>
            <w:vAlign w:val="center"/>
          </w:tcPr>
          <w:p w14:paraId="31526C37">
            <w:pPr>
              <w:ind w:firstLine="420" w:firstLineChars="200"/>
              <w:rPr>
                <w:rFonts w:hint="eastAsia" w:ascii="宋体" w:hAnsi="宋体" w:eastAsia="宋体" w:cs="宋体"/>
                <w:szCs w:val="21"/>
              </w:rPr>
            </w:pPr>
          </w:p>
          <w:p w14:paraId="420E59E4">
            <w:pPr>
              <w:jc w:val="left"/>
              <w:rPr>
                <w:rFonts w:hint="eastAsia" w:ascii="宋体" w:hAnsi="宋体" w:eastAsia="宋体" w:cs="Times New Roman"/>
                <w:szCs w:val="21"/>
              </w:rPr>
            </w:pPr>
            <w:r>
              <w:rPr>
                <w:rFonts w:hint="eastAsia" w:ascii="宋体" w:hAnsi="宋体" w:eastAsia="宋体" w:cs="Times New Roman"/>
                <w:szCs w:val="21"/>
              </w:rPr>
              <w:t>1.线上学习</w:t>
            </w:r>
          </w:p>
          <w:p w14:paraId="3B9B467C">
            <w:pPr>
              <w:jc w:val="left"/>
              <w:rPr>
                <w:rFonts w:hint="eastAsia" w:ascii="宋体" w:hAnsi="宋体" w:eastAsia="宋体" w:cs="Times New Roman"/>
                <w:szCs w:val="21"/>
              </w:rPr>
            </w:pPr>
            <w:r>
              <w:rPr>
                <w:rFonts w:hint="eastAsia" w:ascii="宋体" w:hAnsi="宋体" w:eastAsia="宋体" w:cs="Times New Roman"/>
                <w:szCs w:val="21"/>
              </w:rPr>
              <w:t>2.多媒体教学</w:t>
            </w:r>
          </w:p>
          <w:p w14:paraId="4EEBE7E6">
            <w:pPr>
              <w:jc w:val="left"/>
              <w:rPr>
                <w:rFonts w:hint="eastAsia" w:ascii="宋体" w:hAnsi="宋体" w:eastAsia="宋体" w:cs="Times New Roman"/>
                <w:szCs w:val="21"/>
              </w:rPr>
            </w:pPr>
            <w:r>
              <w:rPr>
                <w:rFonts w:hint="eastAsia" w:ascii="宋体" w:hAnsi="宋体" w:eastAsia="宋体" w:cs="Times New Roman"/>
                <w:szCs w:val="21"/>
              </w:rPr>
              <w:t>3.课堂讨论</w:t>
            </w:r>
          </w:p>
          <w:p w14:paraId="4B2C4F20">
            <w:pPr>
              <w:jc w:val="left"/>
              <w:rPr>
                <w:rFonts w:hint="eastAsia" w:ascii="宋体" w:hAnsi="宋体" w:eastAsia="宋体" w:cs="宋体"/>
                <w:szCs w:val="21"/>
              </w:rPr>
            </w:pPr>
          </w:p>
        </w:tc>
        <w:tc>
          <w:tcPr>
            <w:tcW w:w="456" w:type="dxa"/>
            <w:vAlign w:val="center"/>
          </w:tcPr>
          <w:p w14:paraId="7DE46007">
            <w:pPr>
              <w:jc w:val="center"/>
              <w:rPr>
                <w:rFonts w:hint="eastAsia" w:ascii="宋体" w:hAnsi="宋体" w:eastAsia="宋体" w:cs="宋体"/>
                <w:szCs w:val="21"/>
              </w:rPr>
            </w:pPr>
            <w:r>
              <w:rPr>
                <w:rFonts w:hint="eastAsia" w:ascii="宋体" w:hAnsi="宋体" w:eastAsia="宋体" w:cs="宋体"/>
                <w:szCs w:val="21"/>
              </w:rPr>
              <w:t>6</w:t>
            </w:r>
          </w:p>
        </w:tc>
      </w:tr>
      <w:tr w14:paraId="4573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Align w:val="center"/>
          </w:tcPr>
          <w:p w14:paraId="18FEA458">
            <w:pPr>
              <w:jc w:val="center"/>
              <w:rPr>
                <w:rFonts w:hint="eastAsia" w:ascii="宋体" w:hAnsi="宋体" w:eastAsia="宋体" w:cs="宋体"/>
                <w:b/>
                <w:bCs/>
                <w:szCs w:val="21"/>
              </w:rPr>
            </w:pPr>
          </w:p>
        </w:tc>
        <w:tc>
          <w:tcPr>
            <w:tcW w:w="7458" w:type="dxa"/>
            <w:gridSpan w:val="4"/>
            <w:vAlign w:val="center"/>
          </w:tcPr>
          <w:p w14:paraId="7BF37245">
            <w:pPr>
              <w:jc w:val="left"/>
              <w:rPr>
                <w:rFonts w:hint="eastAsia" w:ascii="宋体" w:hAnsi="宋体" w:eastAsia="宋体" w:cs="宋体"/>
                <w:szCs w:val="21"/>
              </w:rPr>
            </w:pPr>
            <w:r>
              <w:rPr>
                <w:rFonts w:hint="eastAsia" w:ascii="宋体" w:hAnsi="宋体" w:eastAsia="宋体" w:cs="宋体"/>
                <w:szCs w:val="21"/>
              </w:rPr>
              <w:t>课程思政目标：汉字是传承中华文明的载体，学好、用好汉字对继承发扬民族文化、提高文化自信心有极大助益。</w:t>
            </w:r>
          </w:p>
        </w:tc>
      </w:tr>
      <w:tr w14:paraId="2D31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063FF501">
            <w:pPr>
              <w:rPr>
                <w:rFonts w:hint="eastAsia" w:ascii="宋体" w:hAnsi="宋体" w:eastAsia="宋体" w:cs="宋体"/>
                <w:b/>
                <w:bCs/>
                <w:szCs w:val="21"/>
              </w:rPr>
            </w:pPr>
            <w:r>
              <w:rPr>
                <w:rFonts w:hint="eastAsia" w:ascii="宋体" w:hAnsi="宋体" w:eastAsia="宋体" w:cs="宋体"/>
                <w:b/>
                <w:bCs/>
                <w:szCs w:val="21"/>
              </w:rPr>
              <w:t>词汇</w:t>
            </w:r>
          </w:p>
          <w:p w14:paraId="5EA6E2B4">
            <w:pPr>
              <w:rPr>
                <w:rFonts w:hint="eastAsia" w:ascii="宋体" w:hAnsi="宋体" w:eastAsia="宋体" w:cs="宋体"/>
                <w:b/>
                <w:bCs/>
                <w:szCs w:val="21"/>
              </w:rPr>
            </w:pPr>
            <w:r>
              <w:rPr>
                <w:rFonts w:hint="eastAsia" w:ascii="宋体" w:hAnsi="宋体" w:eastAsia="宋体" w:cs="宋体"/>
                <w:b/>
                <w:bCs/>
                <w:szCs w:val="21"/>
              </w:rPr>
              <w:t>部分</w:t>
            </w:r>
          </w:p>
          <w:p w14:paraId="43540E33">
            <w:pPr>
              <w:jc w:val="center"/>
              <w:rPr>
                <w:rFonts w:hint="eastAsia" w:ascii="宋体" w:hAnsi="宋体" w:eastAsia="宋体" w:cs="宋体"/>
                <w:szCs w:val="21"/>
              </w:rPr>
            </w:pPr>
          </w:p>
        </w:tc>
        <w:tc>
          <w:tcPr>
            <w:tcW w:w="3393" w:type="dxa"/>
            <w:vAlign w:val="center"/>
          </w:tcPr>
          <w:p w14:paraId="0AB18935">
            <w:pPr>
              <w:rPr>
                <w:rFonts w:hint="eastAsia" w:ascii="宋体" w:hAnsi="宋体" w:eastAsia="宋体" w:cs="宋体"/>
                <w:szCs w:val="21"/>
              </w:rPr>
            </w:pPr>
            <w:r>
              <w:rPr>
                <w:rFonts w:hint="eastAsia" w:ascii="宋体" w:hAnsi="宋体" w:eastAsia="宋体" w:cs="宋体"/>
                <w:szCs w:val="21"/>
              </w:rPr>
              <w:t>（1）词汇的继承与发展；</w:t>
            </w:r>
          </w:p>
          <w:p w14:paraId="57E95F17">
            <w:pPr>
              <w:rPr>
                <w:rFonts w:hint="eastAsia" w:ascii="宋体" w:hAnsi="宋体" w:eastAsia="宋体" w:cs="宋体"/>
                <w:szCs w:val="21"/>
              </w:rPr>
            </w:pPr>
            <w:r>
              <w:rPr>
                <w:rFonts w:hint="eastAsia" w:ascii="宋体" w:hAnsi="宋体" w:eastAsia="宋体" w:cs="宋体"/>
                <w:szCs w:val="21"/>
              </w:rPr>
              <w:t>（2）词义的沿袭与演变，沟通古今词义；</w:t>
            </w:r>
          </w:p>
          <w:p w14:paraId="2EF1CEF9">
            <w:pPr>
              <w:rPr>
                <w:rFonts w:hint="eastAsia" w:ascii="宋体" w:hAnsi="宋体" w:eastAsia="宋体" w:cs="宋体"/>
                <w:szCs w:val="21"/>
              </w:rPr>
            </w:pPr>
            <w:r>
              <w:rPr>
                <w:rFonts w:hint="eastAsia" w:ascii="宋体" w:hAnsi="宋体" w:eastAsia="宋体" w:cs="宋体"/>
                <w:szCs w:val="21"/>
              </w:rPr>
              <w:t>（3）什么是单音词，什么是复音词，正确辨识古代汉语中的单音词和复音词；</w:t>
            </w:r>
          </w:p>
          <w:p w14:paraId="0D9DE33A">
            <w:pPr>
              <w:rPr>
                <w:rFonts w:hint="eastAsia" w:ascii="宋体" w:hAnsi="宋体" w:eastAsia="宋体" w:cs="宋体"/>
                <w:szCs w:val="21"/>
              </w:rPr>
            </w:pPr>
            <w:r>
              <w:rPr>
                <w:rFonts w:hint="eastAsia" w:ascii="宋体" w:hAnsi="宋体" w:eastAsia="宋体" w:cs="宋体"/>
                <w:szCs w:val="21"/>
              </w:rPr>
              <w:t>（4）古代汉语同义词的特点，辨析同义词的依据和基本方法；</w:t>
            </w:r>
          </w:p>
          <w:p w14:paraId="7D22E775">
            <w:pPr>
              <w:rPr>
                <w:rFonts w:hint="eastAsia" w:ascii="宋体" w:hAnsi="宋体" w:eastAsia="宋体" w:cs="宋体"/>
                <w:szCs w:val="21"/>
              </w:rPr>
            </w:pPr>
            <w:r>
              <w:rPr>
                <w:rFonts w:hint="eastAsia" w:ascii="宋体" w:hAnsi="宋体" w:eastAsia="宋体" w:cs="宋体"/>
                <w:szCs w:val="21"/>
              </w:rPr>
              <w:t>（5）词的本义和引申义，探求词的本义和引申义的方法，词义引申的类型和方式；</w:t>
            </w:r>
          </w:p>
          <w:p w14:paraId="3F1666F8">
            <w:pPr>
              <w:rPr>
                <w:rFonts w:hint="eastAsia" w:ascii="宋体" w:hAnsi="宋体" w:eastAsia="宋体" w:cs="宋体"/>
                <w:szCs w:val="21"/>
              </w:rPr>
            </w:pPr>
            <w:r>
              <w:rPr>
                <w:rFonts w:hint="eastAsia" w:ascii="宋体" w:hAnsi="宋体" w:eastAsia="宋体" w:cs="宋体"/>
                <w:szCs w:val="21"/>
              </w:rPr>
              <w:t>（6）词义引申和词性变化；</w:t>
            </w:r>
          </w:p>
          <w:p w14:paraId="59790E7C">
            <w:pPr>
              <w:rPr>
                <w:rFonts w:hint="eastAsia" w:ascii="宋体" w:hAnsi="宋体" w:eastAsia="宋体" w:cs="宋体"/>
                <w:szCs w:val="21"/>
              </w:rPr>
            </w:pPr>
            <w:r>
              <w:rPr>
                <w:rFonts w:hint="eastAsia" w:ascii="宋体" w:hAnsi="宋体" w:eastAsia="宋体" w:cs="宋体"/>
                <w:szCs w:val="21"/>
              </w:rPr>
              <w:t>（7）词义引申的相互渗透和影响。</w:t>
            </w:r>
          </w:p>
        </w:tc>
        <w:tc>
          <w:tcPr>
            <w:tcW w:w="2180" w:type="dxa"/>
            <w:vAlign w:val="center"/>
          </w:tcPr>
          <w:p w14:paraId="142D9573">
            <w:pPr>
              <w:rPr>
                <w:rFonts w:hint="eastAsia" w:ascii="宋体" w:hAnsi="宋体" w:eastAsia="宋体" w:cs="宋体"/>
                <w:szCs w:val="21"/>
              </w:rPr>
            </w:pPr>
            <w:r>
              <w:rPr>
                <w:rFonts w:hint="eastAsia" w:ascii="宋体" w:hAnsi="宋体" w:eastAsia="宋体" w:cs="宋体"/>
                <w:szCs w:val="21"/>
              </w:rPr>
              <w:t>（1）了解古今词的演变和古今词义的差异。</w:t>
            </w:r>
          </w:p>
          <w:p w14:paraId="33CB0D8F">
            <w:pPr>
              <w:rPr>
                <w:rFonts w:hint="eastAsia" w:ascii="宋体" w:hAnsi="宋体" w:eastAsia="宋体" w:cs="宋体"/>
                <w:szCs w:val="21"/>
              </w:rPr>
            </w:pPr>
            <w:r>
              <w:rPr>
                <w:rFonts w:hint="eastAsia" w:ascii="宋体" w:hAnsi="宋体" w:eastAsia="宋体" w:cs="宋体"/>
                <w:szCs w:val="21"/>
              </w:rPr>
              <w:t>（2）了解单音词、复音词的关系，能够辨析同义词。</w:t>
            </w:r>
          </w:p>
          <w:p w14:paraId="0FD3E3F2">
            <w:pPr>
              <w:rPr>
                <w:rFonts w:hint="eastAsia" w:ascii="宋体" w:hAnsi="宋体" w:eastAsia="宋体" w:cs="宋体"/>
                <w:szCs w:val="21"/>
              </w:rPr>
            </w:pPr>
            <w:r>
              <w:rPr>
                <w:rFonts w:hint="eastAsia" w:ascii="宋体" w:hAnsi="宋体" w:eastAsia="宋体" w:cs="宋体"/>
                <w:szCs w:val="21"/>
              </w:rPr>
              <w:t>（3）掌握词的本义和引申义，并能揭示词的本义与引申义之间的关系。</w:t>
            </w:r>
          </w:p>
        </w:tc>
        <w:tc>
          <w:tcPr>
            <w:tcW w:w="1429" w:type="dxa"/>
            <w:vAlign w:val="center"/>
          </w:tcPr>
          <w:p w14:paraId="4EDC68D8">
            <w:pPr>
              <w:jc w:val="left"/>
              <w:rPr>
                <w:rFonts w:hint="eastAsia" w:ascii="宋体" w:hAnsi="宋体" w:eastAsia="宋体" w:cs="Times New Roman"/>
                <w:szCs w:val="21"/>
              </w:rPr>
            </w:pPr>
            <w:r>
              <w:rPr>
                <w:rFonts w:hint="eastAsia" w:ascii="宋体" w:hAnsi="宋体" w:eastAsia="宋体" w:cs="Times New Roman"/>
                <w:szCs w:val="21"/>
              </w:rPr>
              <w:t>1.线上学习</w:t>
            </w:r>
          </w:p>
          <w:p w14:paraId="78AF0D91">
            <w:pPr>
              <w:jc w:val="left"/>
              <w:rPr>
                <w:rFonts w:hint="eastAsia" w:ascii="宋体" w:hAnsi="宋体" w:eastAsia="宋体" w:cs="Times New Roman"/>
                <w:szCs w:val="21"/>
              </w:rPr>
            </w:pPr>
            <w:r>
              <w:rPr>
                <w:rFonts w:hint="eastAsia" w:ascii="宋体" w:hAnsi="宋体" w:eastAsia="宋体" w:cs="Times New Roman"/>
                <w:szCs w:val="21"/>
              </w:rPr>
              <w:t>2.多媒体教学</w:t>
            </w:r>
          </w:p>
          <w:p w14:paraId="6EA8717A">
            <w:pPr>
              <w:jc w:val="left"/>
              <w:rPr>
                <w:rFonts w:hint="eastAsia" w:ascii="宋体" w:hAnsi="宋体" w:eastAsia="宋体" w:cs="Times New Roman"/>
                <w:szCs w:val="21"/>
              </w:rPr>
            </w:pPr>
            <w:r>
              <w:rPr>
                <w:rFonts w:hint="eastAsia" w:ascii="宋体" w:hAnsi="宋体" w:eastAsia="宋体" w:cs="Times New Roman"/>
                <w:szCs w:val="21"/>
              </w:rPr>
              <w:t>3.课堂讨论</w:t>
            </w:r>
          </w:p>
          <w:p w14:paraId="4F16549F">
            <w:pPr>
              <w:jc w:val="left"/>
              <w:rPr>
                <w:rFonts w:hint="eastAsia" w:ascii="宋体" w:hAnsi="宋体" w:eastAsia="宋体" w:cs="宋体"/>
                <w:szCs w:val="21"/>
              </w:rPr>
            </w:pPr>
          </w:p>
        </w:tc>
        <w:tc>
          <w:tcPr>
            <w:tcW w:w="456" w:type="dxa"/>
            <w:vAlign w:val="center"/>
          </w:tcPr>
          <w:p w14:paraId="26B948FB">
            <w:pPr>
              <w:jc w:val="center"/>
              <w:rPr>
                <w:rFonts w:hint="eastAsia" w:ascii="宋体" w:hAnsi="宋体" w:eastAsia="宋体" w:cs="宋体"/>
                <w:szCs w:val="21"/>
              </w:rPr>
            </w:pPr>
            <w:r>
              <w:rPr>
                <w:rFonts w:hint="eastAsia" w:ascii="宋体" w:hAnsi="宋体" w:eastAsia="宋体" w:cs="宋体"/>
                <w:szCs w:val="21"/>
              </w:rPr>
              <w:t>6</w:t>
            </w:r>
          </w:p>
        </w:tc>
      </w:tr>
      <w:tr w14:paraId="44C13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60923EAC">
            <w:pPr>
              <w:jc w:val="center"/>
              <w:rPr>
                <w:rFonts w:hint="eastAsia" w:ascii="宋体" w:hAnsi="宋体" w:eastAsia="宋体" w:cs="宋体"/>
                <w:szCs w:val="21"/>
              </w:rPr>
            </w:pPr>
          </w:p>
        </w:tc>
        <w:tc>
          <w:tcPr>
            <w:tcW w:w="7458" w:type="dxa"/>
            <w:gridSpan w:val="4"/>
            <w:vAlign w:val="center"/>
          </w:tcPr>
          <w:p w14:paraId="657B42DE">
            <w:pPr>
              <w:ind w:firstLine="420" w:firstLineChars="200"/>
              <w:rPr>
                <w:rFonts w:hint="eastAsia" w:ascii="宋体" w:hAnsi="宋体" w:eastAsia="宋体" w:cs="宋体"/>
                <w:szCs w:val="21"/>
              </w:rPr>
            </w:pPr>
            <w:r>
              <w:rPr>
                <w:rFonts w:hint="eastAsia" w:ascii="宋体" w:hAnsi="宋体" w:eastAsia="宋体" w:cs="宋体"/>
                <w:szCs w:val="21"/>
              </w:rPr>
              <w:t>课程思政目标：在汉语的各个要素中，词汇的发展变化最快，最能体现中国社会的变化发展，学好词汇学部分，有助于学生更好的知晓传统文化的发展历程，明确中国社会的发展方向。</w:t>
            </w:r>
          </w:p>
        </w:tc>
      </w:tr>
      <w:tr w14:paraId="330A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44898362">
            <w:pPr>
              <w:rPr>
                <w:rFonts w:hint="eastAsia" w:ascii="宋体" w:hAnsi="宋体" w:eastAsia="宋体" w:cs="宋体"/>
                <w:b/>
                <w:bCs/>
                <w:szCs w:val="21"/>
              </w:rPr>
            </w:pPr>
            <w:r>
              <w:rPr>
                <w:rFonts w:hint="eastAsia" w:ascii="宋体" w:hAnsi="宋体" w:eastAsia="宋体" w:cs="宋体"/>
                <w:b/>
                <w:bCs/>
                <w:szCs w:val="21"/>
              </w:rPr>
              <w:t>语法部分</w:t>
            </w:r>
          </w:p>
          <w:p w14:paraId="6A823079">
            <w:pPr>
              <w:jc w:val="center"/>
              <w:rPr>
                <w:rFonts w:hint="eastAsia" w:ascii="宋体" w:hAnsi="宋体" w:eastAsia="宋体" w:cs="宋体"/>
                <w:szCs w:val="21"/>
              </w:rPr>
            </w:pPr>
          </w:p>
        </w:tc>
        <w:tc>
          <w:tcPr>
            <w:tcW w:w="3393" w:type="dxa"/>
            <w:vAlign w:val="center"/>
          </w:tcPr>
          <w:p w14:paraId="1F8A850D">
            <w:pPr>
              <w:rPr>
                <w:rFonts w:hint="eastAsia" w:ascii="宋体" w:hAnsi="宋体" w:eastAsia="宋体" w:cs="宋体"/>
                <w:szCs w:val="21"/>
              </w:rPr>
            </w:pPr>
            <w:r>
              <w:rPr>
                <w:rFonts w:hint="eastAsia" w:ascii="宋体" w:hAnsi="宋体" w:eastAsia="宋体" w:cs="宋体"/>
                <w:szCs w:val="21"/>
              </w:rPr>
              <w:t>（1）古汉语判断句的句式和特点；</w:t>
            </w:r>
          </w:p>
          <w:p w14:paraId="201EF733">
            <w:pPr>
              <w:rPr>
                <w:rFonts w:hint="eastAsia" w:ascii="宋体" w:hAnsi="宋体" w:eastAsia="宋体" w:cs="宋体"/>
                <w:szCs w:val="21"/>
              </w:rPr>
            </w:pPr>
            <w:r>
              <w:rPr>
                <w:rFonts w:hint="eastAsia" w:ascii="宋体" w:hAnsi="宋体" w:eastAsia="宋体" w:cs="宋体"/>
                <w:szCs w:val="21"/>
              </w:rPr>
              <w:t>（2）判断句的活用；</w:t>
            </w:r>
          </w:p>
          <w:p w14:paraId="5EFE3133">
            <w:pPr>
              <w:rPr>
                <w:rFonts w:hint="eastAsia" w:ascii="宋体" w:hAnsi="宋体" w:eastAsia="宋体" w:cs="宋体"/>
                <w:szCs w:val="21"/>
              </w:rPr>
            </w:pPr>
            <w:r>
              <w:rPr>
                <w:rFonts w:hint="eastAsia" w:ascii="宋体" w:hAnsi="宋体" w:eastAsia="宋体" w:cs="宋体"/>
                <w:szCs w:val="21"/>
              </w:rPr>
              <w:t>（3）双宾语句，尤其是动词“为”所带双宾语句；</w:t>
            </w:r>
          </w:p>
          <w:p w14:paraId="58B24AEA">
            <w:pPr>
              <w:rPr>
                <w:rFonts w:hint="eastAsia" w:ascii="宋体" w:hAnsi="宋体" w:eastAsia="宋体" w:cs="宋体"/>
                <w:szCs w:val="21"/>
              </w:rPr>
            </w:pPr>
            <w:r>
              <w:rPr>
                <w:rFonts w:hint="eastAsia" w:ascii="宋体" w:hAnsi="宋体" w:eastAsia="宋体" w:cs="宋体"/>
                <w:szCs w:val="21"/>
              </w:rPr>
              <w:t>（4）用代词“是”“之”等复指的宾语前置句；</w:t>
            </w:r>
          </w:p>
          <w:p w14:paraId="4AF0E799">
            <w:pPr>
              <w:rPr>
                <w:rFonts w:hint="eastAsia" w:ascii="宋体" w:hAnsi="宋体" w:eastAsia="宋体" w:cs="宋体"/>
                <w:szCs w:val="21"/>
              </w:rPr>
            </w:pPr>
            <w:r>
              <w:rPr>
                <w:rFonts w:hint="eastAsia" w:ascii="宋体" w:hAnsi="宋体" w:eastAsia="宋体" w:cs="宋体"/>
                <w:szCs w:val="21"/>
              </w:rPr>
              <w:t>（5）行为数量表示法；</w:t>
            </w:r>
          </w:p>
          <w:p w14:paraId="16F1A456">
            <w:pPr>
              <w:rPr>
                <w:rFonts w:hint="eastAsia" w:ascii="宋体" w:hAnsi="宋体" w:eastAsia="宋体" w:cs="宋体"/>
                <w:szCs w:val="21"/>
              </w:rPr>
            </w:pPr>
            <w:r>
              <w:rPr>
                <w:rFonts w:hint="eastAsia" w:ascii="宋体" w:hAnsi="宋体" w:eastAsia="宋体" w:cs="宋体"/>
                <w:szCs w:val="21"/>
              </w:rPr>
              <w:t>（6）被动句的类型；</w:t>
            </w:r>
          </w:p>
          <w:p w14:paraId="4F3A4338">
            <w:pPr>
              <w:rPr>
                <w:rFonts w:hint="eastAsia" w:ascii="宋体" w:hAnsi="宋体" w:eastAsia="宋体" w:cs="宋体"/>
                <w:szCs w:val="21"/>
              </w:rPr>
            </w:pPr>
            <w:r>
              <w:rPr>
                <w:rFonts w:hint="eastAsia" w:ascii="宋体" w:hAnsi="宋体" w:eastAsia="宋体" w:cs="宋体"/>
                <w:szCs w:val="21"/>
              </w:rPr>
              <w:t>（7）“矣”“焉”的性质和作用；</w:t>
            </w:r>
          </w:p>
          <w:p w14:paraId="09319C3B">
            <w:pPr>
              <w:rPr>
                <w:rFonts w:hint="eastAsia" w:ascii="宋体" w:hAnsi="宋体" w:eastAsia="宋体" w:cs="宋体"/>
                <w:szCs w:val="21"/>
              </w:rPr>
            </w:pPr>
            <w:r>
              <w:rPr>
                <w:rFonts w:hint="eastAsia" w:ascii="宋体" w:hAnsi="宋体" w:eastAsia="宋体" w:cs="宋体"/>
                <w:szCs w:val="21"/>
              </w:rPr>
              <w:t>（8）否定句代词宾语前置的条件和规律；</w:t>
            </w:r>
          </w:p>
          <w:p w14:paraId="4F433197">
            <w:pPr>
              <w:rPr>
                <w:rFonts w:hint="eastAsia" w:ascii="宋体" w:hAnsi="宋体" w:eastAsia="宋体" w:cs="宋体"/>
                <w:szCs w:val="21"/>
              </w:rPr>
            </w:pPr>
            <w:r>
              <w:rPr>
                <w:rFonts w:hint="eastAsia" w:ascii="宋体" w:hAnsi="宋体" w:eastAsia="宋体" w:cs="宋体"/>
                <w:szCs w:val="21"/>
              </w:rPr>
              <w:t>（9）“不”“弗”“毋”“勿”“未”“否”“非”“无”“莫”等否定代词的用法；</w:t>
            </w:r>
          </w:p>
          <w:p w14:paraId="5FD2437F">
            <w:pPr>
              <w:rPr>
                <w:rFonts w:hint="eastAsia" w:ascii="宋体" w:hAnsi="宋体" w:eastAsia="宋体" w:cs="宋体"/>
                <w:szCs w:val="21"/>
              </w:rPr>
            </w:pPr>
            <w:r>
              <w:rPr>
                <w:rFonts w:hint="eastAsia" w:ascii="宋体" w:hAnsi="宋体" w:eastAsia="宋体" w:cs="宋体"/>
                <w:szCs w:val="21"/>
              </w:rPr>
              <w:t>（10）疑问代词宾语提前的规律；</w:t>
            </w:r>
          </w:p>
          <w:p w14:paraId="20745095">
            <w:pPr>
              <w:rPr>
                <w:rFonts w:hint="eastAsia" w:ascii="宋体" w:hAnsi="宋体" w:eastAsia="宋体" w:cs="宋体"/>
                <w:szCs w:val="21"/>
              </w:rPr>
            </w:pPr>
            <w:r>
              <w:rPr>
                <w:rFonts w:hint="eastAsia" w:ascii="宋体" w:hAnsi="宋体" w:eastAsia="宋体" w:cs="宋体"/>
                <w:szCs w:val="21"/>
              </w:rPr>
              <w:t>（11）疑句代词“谁”“孰”“何”“安”“恶”“焉”“胡”“奚”“曷”的用法；</w:t>
            </w:r>
          </w:p>
          <w:p w14:paraId="294417C2">
            <w:pPr>
              <w:rPr>
                <w:rFonts w:hint="eastAsia" w:ascii="宋体" w:hAnsi="宋体" w:eastAsia="宋体" w:cs="宋体"/>
                <w:szCs w:val="21"/>
              </w:rPr>
            </w:pPr>
            <w:r>
              <w:rPr>
                <w:rFonts w:hint="eastAsia" w:ascii="宋体" w:hAnsi="宋体" w:eastAsia="宋体" w:cs="宋体"/>
                <w:szCs w:val="21"/>
              </w:rPr>
              <w:t>（12）疑问语气词“乎”“诸”“与”“邪（耶）”“哉”的用法；</w:t>
            </w:r>
          </w:p>
          <w:p w14:paraId="345026B9">
            <w:pPr>
              <w:rPr>
                <w:rFonts w:hint="eastAsia" w:ascii="宋体" w:hAnsi="宋体" w:eastAsia="宋体" w:cs="宋体"/>
                <w:szCs w:val="21"/>
              </w:rPr>
            </w:pPr>
            <w:r>
              <w:rPr>
                <w:rFonts w:hint="eastAsia" w:ascii="宋体" w:hAnsi="宋体" w:eastAsia="宋体" w:cs="宋体"/>
                <w:szCs w:val="21"/>
              </w:rPr>
              <w:t>（13）几种表示反问的习惯说法；</w:t>
            </w:r>
          </w:p>
          <w:p w14:paraId="01EA585C">
            <w:pPr>
              <w:rPr>
                <w:rFonts w:hint="eastAsia" w:ascii="宋体" w:hAnsi="宋体" w:eastAsia="宋体" w:cs="宋体"/>
                <w:szCs w:val="21"/>
              </w:rPr>
            </w:pPr>
            <w:r>
              <w:rPr>
                <w:rFonts w:hint="eastAsia" w:ascii="宋体" w:hAnsi="宋体" w:eastAsia="宋体" w:cs="宋体"/>
                <w:szCs w:val="21"/>
              </w:rPr>
              <w:t>（14）名词用如动词；</w:t>
            </w:r>
          </w:p>
          <w:p w14:paraId="164C6A09">
            <w:pPr>
              <w:rPr>
                <w:rFonts w:hint="eastAsia" w:ascii="宋体" w:hAnsi="宋体" w:eastAsia="宋体" w:cs="宋体"/>
                <w:szCs w:val="21"/>
              </w:rPr>
            </w:pPr>
            <w:r>
              <w:rPr>
                <w:rFonts w:hint="eastAsia" w:ascii="宋体" w:hAnsi="宋体" w:eastAsia="宋体" w:cs="宋体"/>
                <w:szCs w:val="21"/>
              </w:rPr>
              <w:t>（15）动词、形容词、名词的使动用法；</w:t>
            </w:r>
          </w:p>
          <w:p w14:paraId="0C8C9FFC">
            <w:pPr>
              <w:rPr>
                <w:rFonts w:hint="eastAsia" w:ascii="宋体" w:hAnsi="宋体" w:eastAsia="宋体" w:cs="宋体"/>
                <w:szCs w:val="21"/>
              </w:rPr>
            </w:pPr>
            <w:r>
              <w:rPr>
                <w:rFonts w:hint="eastAsia" w:ascii="宋体" w:hAnsi="宋体" w:eastAsia="宋体" w:cs="宋体"/>
                <w:szCs w:val="21"/>
              </w:rPr>
              <w:t>（16）形容词、名词的意动用法；</w:t>
            </w:r>
          </w:p>
          <w:p w14:paraId="09E24052">
            <w:pPr>
              <w:rPr>
                <w:rFonts w:hint="eastAsia" w:ascii="宋体" w:hAnsi="宋体" w:eastAsia="宋体" w:cs="宋体"/>
                <w:szCs w:val="21"/>
              </w:rPr>
            </w:pPr>
            <w:r>
              <w:rPr>
                <w:rFonts w:hint="eastAsia" w:ascii="宋体" w:hAnsi="宋体" w:eastAsia="宋体" w:cs="宋体"/>
                <w:szCs w:val="21"/>
              </w:rPr>
              <w:t>（17）名词用作状语；</w:t>
            </w:r>
          </w:p>
          <w:p w14:paraId="47CA3EFD">
            <w:pPr>
              <w:rPr>
                <w:rFonts w:hint="eastAsia" w:ascii="宋体" w:hAnsi="宋体" w:eastAsia="宋体" w:cs="宋体"/>
                <w:szCs w:val="21"/>
              </w:rPr>
            </w:pPr>
            <w:r>
              <w:rPr>
                <w:rFonts w:hint="eastAsia" w:ascii="宋体" w:hAnsi="宋体" w:eastAsia="宋体" w:cs="宋体"/>
                <w:szCs w:val="21"/>
              </w:rPr>
              <w:t>（18）动词用作状语；</w:t>
            </w:r>
          </w:p>
          <w:p w14:paraId="34DF4867">
            <w:pPr>
              <w:rPr>
                <w:rFonts w:hint="eastAsia" w:ascii="宋体" w:hAnsi="宋体" w:eastAsia="宋体" w:cs="宋体"/>
                <w:szCs w:val="21"/>
              </w:rPr>
            </w:pPr>
            <w:r>
              <w:rPr>
                <w:rFonts w:hint="eastAsia" w:ascii="宋体" w:hAnsi="宋体" w:eastAsia="宋体" w:cs="宋体"/>
                <w:szCs w:val="21"/>
              </w:rPr>
              <w:t>（19）人称代词“尔”“汝”“若”“而”“乃”“其”“之”的用法；</w:t>
            </w:r>
          </w:p>
          <w:p w14:paraId="74E95EBF">
            <w:pPr>
              <w:rPr>
                <w:rFonts w:hint="eastAsia" w:ascii="宋体" w:hAnsi="宋体" w:eastAsia="宋体" w:cs="宋体"/>
                <w:szCs w:val="21"/>
              </w:rPr>
            </w:pPr>
            <w:r>
              <w:rPr>
                <w:rFonts w:hint="eastAsia" w:ascii="宋体" w:hAnsi="宋体" w:eastAsia="宋体" w:cs="宋体"/>
                <w:szCs w:val="21"/>
              </w:rPr>
              <w:t>（20）指示代词“是”“兹”“尔”“若”“然”“焉”“或”的用法；</w:t>
            </w:r>
          </w:p>
          <w:p w14:paraId="37E4C298">
            <w:pPr>
              <w:rPr>
                <w:rFonts w:hint="eastAsia" w:ascii="宋体" w:hAnsi="宋体" w:eastAsia="宋体" w:cs="宋体"/>
                <w:szCs w:val="21"/>
              </w:rPr>
            </w:pPr>
            <w:r>
              <w:rPr>
                <w:rFonts w:hint="eastAsia" w:ascii="宋体" w:hAnsi="宋体" w:eastAsia="宋体" w:cs="宋体"/>
                <w:szCs w:val="21"/>
              </w:rPr>
              <w:t>（21）特殊指示代词“者”和“所”的用法及区别；</w:t>
            </w:r>
          </w:p>
          <w:p w14:paraId="5E0A08C6">
            <w:pPr>
              <w:rPr>
                <w:rFonts w:hint="eastAsia" w:ascii="宋体" w:hAnsi="宋体" w:eastAsia="宋体" w:cs="宋体"/>
                <w:szCs w:val="21"/>
              </w:rPr>
            </w:pPr>
            <w:r>
              <w:rPr>
                <w:rFonts w:hint="eastAsia" w:ascii="宋体" w:hAnsi="宋体" w:eastAsia="宋体" w:cs="宋体"/>
                <w:szCs w:val="21"/>
              </w:rPr>
              <w:t>（22）连词“与”“以”“而”“则”等的用法；</w:t>
            </w:r>
          </w:p>
          <w:p w14:paraId="41FF7FAD">
            <w:pPr>
              <w:rPr>
                <w:rFonts w:hint="eastAsia" w:ascii="宋体" w:hAnsi="宋体" w:eastAsia="宋体" w:cs="宋体"/>
                <w:szCs w:val="21"/>
              </w:rPr>
            </w:pPr>
            <w:r>
              <w:rPr>
                <w:rFonts w:hint="eastAsia" w:ascii="宋体" w:hAnsi="宋体" w:eastAsia="宋体" w:cs="宋体"/>
                <w:szCs w:val="21"/>
              </w:rPr>
              <w:t>（23）介词“以”“於（于、乎、诸）”“为”“之”等的用法；</w:t>
            </w:r>
          </w:p>
          <w:p w14:paraId="01D1F155">
            <w:pPr>
              <w:rPr>
                <w:rFonts w:hint="eastAsia" w:ascii="宋体" w:hAnsi="宋体" w:eastAsia="宋体" w:cs="宋体"/>
                <w:szCs w:val="21"/>
              </w:rPr>
            </w:pPr>
            <w:r>
              <w:rPr>
                <w:rFonts w:hint="eastAsia" w:ascii="宋体" w:hAnsi="宋体" w:eastAsia="宋体" w:cs="宋体"/>
                <w:szCs w:val="21"/>
              </w:rPr>
              <w:t>（24）语气词“夫”“其”“唯”的用法；</w:t>
            </w:r>
          </w:p>
          <w:p w14:paraId="6E24096A">
            <w:pPr>
              <w:rPr>
                <w:rFonts w:hint="eastAsia" w:ascii="宋体" w:hAnsi="宋体" w:eastAsia="宋体" w:cs="宋体"/>
                <w:szCs w:val="21"/>
              </w:rPr>
            </w:pPr>
            <w:r>
              <w:rPr>
                <w:rFonts w:hint="eastAsia" w:ascii="宋体" w:hAnsi="宋体" w:eastAsia="宋体" w:cs="宋体"/>
                <w:szCs w:val="21"/>
              </w:rPr>
              <w:t>（25）词头“有”“其”“言”“于”“薄”的用法；</w:t>
            </w:r>
          </w:p>
          <w:p w14:paraId="778A28E9">
            <w:pPr>
              <w:rPr>
                <w:rFonts w:hint="eastAsia" w:ascii="宋体" w:hAnsi="宋体" w:eastAsia="宋体" w:cs="宋体"/>
                <w:szCs w:val="21"/>
              </w:rPr>
            </w:pPr>
            <w:r>
              <w:rPr>
                <w:rFonts w:hint="eastAsia" w:ascii="宋体" w:hAnsi="宋体" w:eastAsia="宋体" w:cs="宋体"/>
                <w:szCs w:val="21"/>
              </w:rPr>
              <w:t>（26）词尾“然”“乎”“焉”“如”“尔”的用法。</w:t>
            </w:r>
          </w:p>
        </w:tc>
        <w:tc>
          <w:tcPr>
            <w:tcW w:w="2180" w:type="dxa"/>
            <w:vAlign w:val="center"/>
          </w:tcPr>
          <w:p w14:paraId="0A5057BA">
            <w:pPr>
              <w:rPr>
                <w:rFonts w:hint="eastAsia" w:ascii="宋体" w:hAnsi="宋体" w:eastAsia="宋体" w:cs="宋体"/>
                <w:szCs w:val="21"/>
              </w:rPr>
            </w:pPr>
            <w:r>
              <w:rPr>
                <w:rFonts w:hint="eastAsia" w:ascii="宋体" w:hAnsi="宋体" w:eastAsia="宋体" w:cs="宋体"/>
                <w:szCs w:val="21"/>
              </w:rPr>
              <w:t>（1）掌握古汉语判断句的特点及常见句式。</w:t>
            </w:r>
          </w:p>
          <w:p w14:paraId="47422F65">
            <w:pPr>
              <w:rPr>
                <w:rFonts w:hint="eastAsia" w:ascii="宋体" w:hAnsi="宋体" w:eastAsia="宋体" w:cs="宋体"/>
                <w:szCs w:val="21"/>
              </w:rPr>
            </w:pPr>
            <w:r>
              <w:rPr>
                <w:rFonts w:hint="eastAsia" w:ascii="宋体" w:hAnsi="宋体" w:eastAsia="宋体" w:cs="宋体"/>
                <w:szCs w:val="21"/>
              </w:rPr>
              <w:t>（2）了解古汉语叙述句的结构及其特点。</w:t>
            </w:r>
          </w:p>
          <w:p w14:paraId="512111B4">
            <w:pPr>
              <w:rPr>
                <w:rFonts w:hint="eastAsia" w:ascii="宋体" w:hAnsi="宋体" w:eastAsia="宋体" w:cs="宋体"/>
                <w:szCs w:val="21"/>
              </w:rPr>
            </w:pPr>
            <w:r>
              <w:rPr>
                <w:rFonts w:hint="eastAsia" w:ascii="宋体" w:hAnsi="宋体" w:eastAsia="宋体" w:cs="宋体"/>
                <w:szCs w:val="21"/>
              </w:rPr>
              <w:t>（3）掌握否定句代词宾语前置的条件和规律及几个重要否定词的用法。</w:t>
            </w:r>
          </w:p>
          <w:p w14:paraId="7CB10253">
            <w:pPr>
              <w:rPr>
                <w:rFonts w:hint="eastAsia" w:ascii="宋体" w:hAnsi="宋体" w:eastAsia="宋体" w:cs="宋体"/>
                <w:szCs w:val="21"/>
              </w:rPr>
            </w:pPr>
            <w:r>
              <w:rPr>
                <w:rFonts w:hint="eastAsia" w:ascii="宋体" w:hAnsi="宋体" w:eastAsia="宋体" w:cs="宋体"/>
                <w:szCs w:val="21"/>
              </w:rPr>
              <w:t>（4）掌握古汉语疑问句的特点及常见的疑问词。</w:t>
            </w:r>
          </w:p>
          <w:p w14:paraId="2DB3257C">
            <w:pPr>
              <w:rPr>
                <w:rFonts w:hint="eastAsia" w:ascii="宋体" w:hAnsi="宋体" w:eastAsia="宋体" w:cs="宋体"/>
                <w:szCs w:val="21"/>
              </w:rPr>
            </w:pPr>
            <w:r>
              <w:rPr>
                <w:rFonts w:hint="eastAsia" w:ascii="宋体" w:hAnsi="宋体" w:eastAsia="宋体" w:cs="宋体"/>
                <w:szCs w:val="21"/>
              </w:rPr>
              <w:t>（5）掌握各种词类活用的特点，并能正确加以辨认。</w:t>
            </w:r>
          </w:p>
          <w:p w14:paraId="4CB1DF49">
            <w:pPr>
              <w:rPr>
                <w:rFonts w:hint="eastAsia" w:ascii="宋体" w:hAnsi="宋体" w:eastAsia="宋体" w:cs="宋体"/>
                <w:szCs w:val="21"/>
              </w:rPr>
            </w:pPr>
            <w:r>
              <w:rPr>
                <w:rFonts w:hint="eastAsia" w:ascii="宋体" w:hAnsi="宋体" w:eastAsia="宋体" w:cs="宋体"/>
                <w:szCs w:val="21"/>
              </w:rPr>
              <w:t>（6）了解常用人称代词和指示代词，掌握特殊指示代词“者”“所”用法。</w:t>
            </w:r>
          </w:p>
          <w:p w14:paraId="5ECFDA2B">
            <w:pPr>
              <w:rPr>
                <w:rFonts w:hint="eastAsia" w:ascii="宋体" w:hAnsi="宋体" w:eastAsia="宋体" w:cs="宋体"/>
                <w:szCs w:val="21"/>
              </w:rPr>
            </w:pPr>
            <w:r>
              <w:rPr>
                <w:rFonts w:hint="eastAsia" w:ascii="宋体" w:hAnsi="宋体" w:eastAsia="宋体" w:cs="宋体"/>
                <w:szCs w:val="21"/>
              </w:rPr>
              <w:t>（7）掌握古汉语中常用连词及介词的使用特点。</w:t>
            </w:r>
          </w:p>
          <w:p w14:paraId="66F19DFA">
            <w:pPr>
              <w:rPr>
                <w:rFonts w:hint="eastAsia" w:ascii="宋体" w:hAnsi="宋体" w:eastAsia="宋体" w:cs="宋体"/>
                <w:szCs w:val="21"/>
              </w:rPr>
            </w:pPr>
            <w:r>
              <w:rPr>
                <w:rFonts w:hint="eastAsia" w:ascii="宋体" w:hAnsi="宋体" w:eastAsia="宋体" w:cs="宋体"/>
                <w:szCs w:val="21"/>
              </w:rPr>
              <w:t>（8）了解古汉语句首句中语气词及词头、词尾的使用情况。</w:t>
            </w:r>
          </w:p>
          <w:p w14:paraId="5E467169">
            <w:pPr>
              <w:jc w:val="center"/>
              <w:rPr>
                <w:rFonts w:hint="eastAsia" w:ascii="宋体" w:hAnsi="宋体" w:eastAsia="宋体" w:cs="宋体"/>
                <w:szCs w:val="21"/>
              </w:rPr>
            </w:pPr>
          </w:p>
        </w:tc>
        <w:tc>
          <w:tcPr>
            <w:tcW w:w="1429" w:type="dxa"/>
            <w:vAlign w:val="center"/>
          </w:tcPr>
          <w:p w14:paraId="4F79B112">
            <w:pPr>
              <w:jc w:val="left"/>
              <w:rPr>
                <w:rFonts w:hint="eastAsia" w:ascii="宋体" w:hAnsi="宋体" w:eastAsia="宋体" w:cs="Times New Roman"/>
                <w:szCs w:val="21"/>
              </w:rPr>
            </w:pPr>
            <w:r>
              <w:rPr>
                <w:rFonts w:hint="eastAsia" w:ascii="宋体" w:hAnsi="宋体" w:eastAsia="宋体" w:cs="Times New Roman"/>
                <w:szCs w:val="21"/>
              </w:rPr>
              <w:t>1.线上学习</w:t>
            </w:r>
          </w:p>
          <w:p w14:paraId="0A8AD6E9">
            <w:pPr>
              <w:jc w:val="left"/>
              <w:rPr>
                <w:rFonts w:hint="eastAsia" w:ascii="宋体" w:hAnsi="宋体" w:eastAsia="宋体" w:cs="Times New Roman"/>
                <w:szCs w:val="21"/>
              </w:rPr>
            </w:pPr>
            <w:r>
              <w:rPr>
                <w:rFonts w:hint="eastAsia" w:ascii="宋体" w:hAnsi="宋体" w:eastAsia="宋体" w:cs="Times New Roman"/>
                <w:szCs w:val="21"/>
              </w:rPr>
              <w:t>2.多媒体教学</w:t>
            </w:r>
          </w:p>
          <w:p w14:paraId="0B63542E">
            <w:pPr>
              <w:jc w:val="left"/>
              <w:rPr>
                <w:rFonts w:hint="eastAsia" w:ascii="宋体" w:hAnsi="宋体" w:eastAsia="宋体" w:cs="Times New Roman"/>
                <w:szCs w:val="21"/>
              </w:rPr>
            </w:pPr>
            <w:r>
              <w:rPr>
                <w:rFonts w:hint="eastAsia" w:ascii="宋体" w:hAnsi="宋体" w:eastAsia="宋体" w:cs="Times New Roman"/>
                <w:szCs w:val="21"/>
              </w:rPr>
              <w:t>3.课堂讨论</w:t>
            </w:r>
          </w:p>
          <w:p w14:paraId="7CA130A4">
            <w:pPr>
              <w:jc w:val="left"/>
              <w:rPr>
                <w:rFonts w:hint="eastAsia" w:ascii="宋体" w:hAnsi="宋体" w:eastAsia="宋体" w:cs="宋体"/>
                <w:szCs w:val="21"/>
              </w:rPr>
            </w:pPr>
          </w:p>
        </w:tc>
        <w:tc>
          <w:tcPr>
            <w:tcW w:w="456" w:type="dxa"/>
            <w:vAlign w:val="center"/>
          </w:tcPr>
          <w:p w14:paraId="4ED3EBCE">
            <w:pPr>
              <w:jc w:val="center"/>
              <w:rPr>
                <w:rFonts w:hint="eastAsia" w:ascii="宋体" w:hAnsi="宋体" w:eastAsia="宋体" w:cs="宋体"/>
                <w:szCs w:val="21"/>
              </w:rPr>
            </w:pPr>
            <w:r>
              <w:rPr>
                <w:rFonts w:hint="eastAsia" w:ascii="宋体" w:hAnsi="宋体" w:eastAsia="宋体" w:cs="宋体"/>
                <w:szCs w:val="21"/>
              </w:rPr>
              <w:t>24</w:t>
            </w:r>
          </w:p>
        </w:tc>
      </w:tr>
      <w:tr w14:paraId="202F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234CAFC4">
            <w:pPr>
              <w:jc w:val="center"/>
              <w:rPr>
                <w:rFonts w:hint="eastAsia" w:ascii="宋体" w:hAnsi="宋体" w:eastAsia="宋体" w:cs="宋体"/>
                <w:szCs w:val="21"/>
              </w:rPr>
            </w:pPr>
          </w:p>
        </w:tc>
        <w:tc>
          <w:tcPr>
            <w:tcW w:w="7458" w:type="dxa"/>
            <w:gridSpan w:val="4"/>
            <w:vAlign w:val="center"/>
          </w:tcPr>
          <w:p w14:paraId="4FFFB783">
            <w:pPr>
              <w:jc w:val="left"/>
              <w:rPr>
                <w:rFonts w:hint="eastAsia" w:ascii="宋体" w:hAnsi="宋体" w:eastAsia="宋体" w:cs="宋体"/>
                <w:szCs w:val="21"/>
              </w:rPr>
            </w:pPr>
            <w:r>
              <w:rPr>
                <w:rFonts w:hint="eastAsia" w:ascii="宋体" w:hAnsi="宋体" w:eastAsia="宋体" w:cs="宋体"/>
                <w:szCs w:val="21"/>
              </w:rPr>
              <w:t>课程思政目标：学好语法部分有助于消除学生对古代汉语的陌生感，对提高学生独立阅读古书的能力提升非常显著。学生掌握丰富的语法知识后，对现代文的写作也有帮助。</w:t>
            </w:r>
          </w:p>
        </w:tc>
      </w:tr>
      <w:tr w14:paraId="5A51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1" w:hRule="atLeast"/>
          <w:jc w:val="center"/>
        </w:trPr>
        <w:tc>
          <w:tcPr>
            <w:tcW w:w="705" w:type="dxa"/>
            <w:vAlign w:val="center"/>
          </w:tcPr>
          <w:p w14:paraId="6B278A77">
            <w:pPr>
              <w:jc w:val="center"/>
              <w:rPr>
                <w:rFonts w:hint="eastAsia" w:ascii="宋体" w:hAnsi="宋体" w:eastAsia="宋体" w:cs="宋体"/>
                <w:szCs w:val="21"/>
              </w:rPr>
            </w:pPr>
            <w:r>
              <w:rPr>
                <w:rFonts w:hint="eastAsia" w:ascii="宋体" w:hAnsi="宋体" w:eastAsia="宋体" w:cs="宋体"/>
                <w:b/>
                <w:bCs/>
                <w:szCs w:val="21"/>
              </w:rPr>
              <w:t>音韵部分</w:t>
            </w:r>
          </w:p>
        </w:tc>
        <w:tc>
          <w:tcPr>
            <w:tcW w:w="3393" w:type="dxa"/>
            <w:vAlign w:val="center"/>
          </w:tcPr>
          <w:p w14:paraId="66F7F841">
            <w:pPr>
              <w:rPr>
                <w:rFonts w:hint="eastAsia" w:ascii="宋体" w:hAnsi="宋体" w:eastAsia="宋体" w:cs="宋体"/>
                <w:szCs w:val="21"/>
              </w:rPr>
            </w:pPr>
            <w:r>
              <w:rPr>
                <w:rFonts w:hint="eastAsia" w:ascii="宋体" w:hAnsi="宋体" w:eastAsia="宋体" w:cs="宋体"/>
                <w:szCs w:val="21"/>
              </w:rPr>
              <w:t>（1）《诗经》的用韵；</w:t>
            </w:r>
          </w:p>
          <w:p w14:paraId="51FBCDB9">
            <w:pPr>
              <w:rPr>
                <w:rFonts w:hint="eastAsia" w:ascii="宋体" w:hAnsi="宋体" w:eastAsia="宋体" w:cs="宋体"/>
                <w:szCs w:val="21"/>
              </w:rPr>
            </w:pPr>
            <w:r>
              <w:rPr>
                <w:rFonts w:hint="eastAsia" w:ascii="宋体" w:hAnsi="宋体" w:eastAsia="宋体" w:cs="宋体"/>
                <w:szCs w:val="21"/>
              </w:rPr>
              <w:t>（2）《诗经》的韵例；</w:t>
            </w:r>
          </w:p>
          <w:p w14:paraId="44101291">
            <w:pPr>
              <w:rPr>
                <w:rFonts w:hint="eastAsia" w:ascii="宋体" w:hAnsi="宋体" w:eastAsia="宋体" w:cs="宋体"/>
                <w:szCs w:val="21"/>
              </w:rPr>
            </w:pPr>
            <w:r>
              <w:rPr>
                <w:rFonts w:hint="eastAsia" w:ascii="宋体" w:hAnsi="宋体" w:eastAsia="宋体" w:cs="宋体"/>
                <w:szCs w:val="21"/>
              </w:rPr>
              <w:t>（3）先秦古韵三十部；</w:t>
            </w:r>
          </w:p>
          <w:p w14:paraId="37A50EC8">
            <w:pPr>
              <w:rPr>
                <w:rFonts w:hint="eastAsia" w:ascii="宋体" w:hAnsi="宋体" w:eastAsia="宋体" w:cs="宋体"/>
                <w:szCs w:val="21"/>
              </w:rPr>
            </w:pPr>
            <w:r>
              <w:rPr>
                <w:rFonts w:hint="eastAsia" w:ascii="宋体" w:hAnsi="宋体" w:eastAsia="宋体" w:cs="宋体"/>
                <w:szCs w:val="21"/>
              </w:rPr>
              <w:t>（4）双声、叠韵、叠音词、联绵词等；</w:t>
            </w:r>
          </w:p>
          <w:p w14:paraId="5234DAC8">
            <w:pPr>
              <w:rPr>
                <w:rFonts w:hint="eastAsia" w:ascii="宋体" w:hAnsi="宋体" w:eastAsia="宋体" w:cs="宋体"/>
                <w:szCs w:val="21"/>
              </w:rPr>
            </w:pPr>
            <w:r>
              <w:rPr>
                <w:rFonts w:hint="eastAsia" w:ascii="宋体" w:hAnsi="宋体" w:eastAsia="宋体" w:cs="宋体"/>
                <w:szCs w:val="21"/>
              </w:rPr>
              <w:t>（5）古音通假；假借字产生的两种情况（即本有其字的假借与本无其字的假借）；古音通假的原则。</w:t>
            </w:r>
          </w:p>
        </w:tc>
        <w:tc>
          <w:tcPr>
            <w:tcW w:w="2180" w:type="dxa"/>
            <w:vAlign w:val="center"/>
          </w:tcPr>
          <w:p w14:paraId="50BA1979">
            <w:pPr>
              <w:ind w:firstLine="420" w:firstLineChars="200"/>
              <w:rPr>
                <w:rFonts w:hint="eastAsia" w:ascii="宋体" w:hAnsi="宋体" w:eastAsia="宋体" w:cs="宋体"/>
                <w:szCs w:val="21"/>
              </w:rPr>
            </w:pPr>
            <w:r>
              <w:rPr>
                <w:rFonts w:hint="eastAsia" w:ascii="宋体" w:hAnsi="宋体" w:eastAsia="宋体" w:cs="宋体"/>
                <w:szCs w:val="21"/>
              </w:rPr>
              <w:t>了解《诗经》的用韵情况；掌握音韵术语；了解先秦古韵三十部；掌握古汉语中的古音通假现象。</w:t>
            </w:r>
          </w:p>
          <w:p w14:paraId="0E70299A">
            <w:pPr>
              <w:rPr>
                <w:rFonts w:hint="eastAsia" w:ascii="宋体" w:hAnsi="宋体" w:eastAsia="宋体" w:cs="宋体"/>
                <w:szCs w:val="21"/>
              </w:rPr>
            </w:pPr>
          </w:p>
        </w:tc>
        <w:tc>
          <w:tcPr>
            <w:tcW w:w="1429" w:type="dxa"/>
            <w:vAlign w:val="center"/>
          </w:tcPr>
          <w:p w14:paraId="7FF8A8F9">
            <w:pPr>
              <w:jc w:val="left"/>
              <w:rPr>
                <w:rFonts w:hint="eastAsia" w:ascii="宋体" w:hAnsi="宋体" w:eastAsia="宋体" w:cs="Times New Roman"/>
                <w:szCs w:val="21"/>
              </w:rPr>
            </w:pPr>
            <w:r>
              <w:rPr>
                <w:rFonts w:hint="eastAsia" w:ascii="宋体" w:hAnsi="宋体" w:eastAsia="宋体" w:cs="Times New Roman"/>
                <w:szCs w:val="21"/>
              </w:rPr>
              <w:t>1.线上学习</w:t>
            </w:r>
          </w:p>
          <w:p w14:paraId="017742DC">
            <w:pPr>
              <w:jc w:val="left"/>
              <w:rPr>
                <w:rFonts w:hint="eastAsia" w:ascii="宋体" w:hAnsi="宋体" w:eastAsia="宋体" w:cs="Times New Roman"/>
                <w:szCs w:val="21"/>
              </w:rPr>
            </w:pPr>
            <w:r>
              <w:rPr>
                <w:rFonts w:hint="eastAsia" w:ascii="宋体" w:hAnsi="宋体" w:eastAsia="宋体" w:cs="Times New Roman"/>
                <w:szCs w:val="21"/>
              </w:rPr>
              <w:t>2.多媒体教学</w:t>
            </w:r>
          </w:p>
          <w:p w14:paraId="574CA2B3">
            <w:pPr>
              <w:jc w:val="left"/>
              <w:rPr>
                <w:rFonts w:hint="eastAsia" w:ascii="宋体" w:hAnsi="宋体" w:eastAsia="宋体" w:cs="宋体"/>
                <w:szCs w:val="21"/>
              </w:rPr>
            </w:pPr>
            <w:r>
              <w:rPr>
                <w:rFonts w:hint="eastAsia" w:ascii="宋体" w:hAnsi="宋体" w:eastAsia="宋体" w:cs="Times New Roman"/>
                <w:szCs w:val="21"/>
              </w:rPr>
              <w:t>3.课堂讨论</w:t>
            </w:r>
          </w:p>
        </w:tc>
        <w:tc>
          <w:tcPr>
            <w:tcW w:w="456" w:type="dxa"/>
            <w:vAlign w:val="center"/>
          </w:tcPr>
          <w:p w14:paraId="320A9062">
            <w:pPr>
              <w:jc w:val="center"/>
              <w:rPr>
                <w:rFonts w:hint="eastAsia" w:ascii="宋体" w:hAnsi="宋体" w:eastAsia="宋体" w:cs="宋体"/>
                <w:szCs w:val="21"/>
              </w:rPr>
            </w:pPr>
            <w:r>
              <w:rPr>
                <w:rFonts w:hint="eastAsia" w:ascii="宋体" w:hAnsi="宋体" w:eastAsia="宋体" w:cs="宋体"/>
                <w:szCs w:val="21"/>
              </w:rPr>
              <w:t>6</w:t>
            </w:r>
          </w:p>
        </w:tc>
      </w:tr>
      <w:tr w14:paraId="1456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705" w:type="dxa"/>
            <w:vAlign w:val="center"/>
          </w:tcPr>
          <w:p w14:paraId="11F2AB82">
            <w:pPr>
              <w:jc w:val="center"/>
              <w:rPr>
                <w:rFonts w:hint="eastAsia" w:ascii="宋体" w:hAnsi="宋体" w:eastAsia="宋体" w:cs="宋体"/>
                <w:b/>
                <w:bCs/>
                <w:szCs w:val="21"/>
              </w:rPr>
            </w:pPr>
          </w:p>
        </w:tc>
        <w:tc>
          <w:tcPr>
            <w:tcW w:w="7458" w:type="dxa"/>
            <w:gridSpan w:val="4"/>
            <w:vAlign w:val="center"/>
          </w:tcPr>
          <w:p w14:paraId="25AA60F6">
            <w:pPr>
              <w:ind w:firstLine="420" w:firstLineChars="200"/>
              <w:jc w:val="left"/>
              <w:rPr>
                <w:rFonts w:hint="eastAsia" w:ascii="宋体" w:hAnsi="宋体" w:eastAsia="宋体" w:cs="宋体"/>
                <w:szCs w:val="21"/>
              </w:rPr>
            </w:pPr>
            <w:r>
              <w:rPr>
                <w:rFonts w:hint="eastAsia" w:ascii="宋体" w:hAnsi="宋体" w:eastAsia="宋体" w:cs="宋体"/>
                <w:szCs w:val="21"/>
              </w:rPr>
              <w:t>课程思政：汉语的语音古今差异巨大，学生学好古音知识，可以更好的欣赏和阅读古代诗文，培养出具有汉民族文化特色的审美趋向，增强中华传统优秀文化理念的认同感。</w:t>
            </w:r>
          </w:p>
        </w:tc>
      </w:tr>
      <w:tr w14:paraId="7FBB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55E5C11A">
            <w:pPr>
              <w:jc w:val="center"/>
              <w:rPr>
                <w:rFonts w:hint="eastAsia" w:ascii="宋体" w:hAnsi="宋体" w:eastAsia="宋体" w:cs="宋体"/>
                <w:szCs w:val="21"/>
              </w:rPr>
            </w:pPr>
            <w:r>
              <w:rPr>
                <w:rFonts w:hint="eastAsia" w:ascii="宋体" w:hAnsi="宋体" w:eastAsia="宋体" w:cs="宋体"/>
                <w:b/>
                <w:bCs/>
                <w:szCs w:val="21"/>
              </w:rPr>
              <w:t>文选</w:t>
            </w:r>
          </w:p>
        </w:tc>
        <w:tc>
          <w:tcPr>
            <w:tcW w:w="3393" w:type="dxa"/>
            <w:vAlign w:val="center"/>
          </w:tcPr>
          <w:p w14:paraId="6A2DE439">
            <w:pPr>
              <w:ind w:left="210" w:leftChars="100" w:firstLine="420" w:firstLineChars="200"/>
              <w:rPr>
                <w:rFonts w:hint="eastAsia" w:ascii="宋体" w:hAnsi="宋体" w:eastAsia="宋体" w:cs="宋体"/>
                <w:szCs w:val="21"/>
              </w:rPr>
            </w:pPr>
            <w:r>
              <w:rPr>
                <w:rFonts w:hint="eastAsia" w:ascii="宋体" w:hAnsi="宋体" w:eastAsia="宋体" w:cs="宋体"/>
                <w:szCs w:val="21"/>
              </w:rPr>
              <w:t>精讲篇目：《郑伯克段于鄢》《齐晋鞌之战》《晋灵公不君》《冯谖客孟尝君》《鲁仲连义不帝秦》《静女》《柏舟》《北门》《七月》。</w:t>
            </w:r>
          </w:p>
          <w:p w14:paraId="7D99607B">
            <w:pPr>
              <w:jc w:val="left"/>
              <w:rPr>
                <w:rFonts w:hint="eastAsia" w:ascii="宋体" w:hAnsi="宋体" w:eastAsia="宋体" w:cs="宋体"/>
                <w:szCs w:val="21"/>
              </w:rPr>
            </w:pPr>
          </w:p>
        </w:tc>
        <w:tc>
          <w:tcPr>
            <w:tcW w:w="2180" w:type="dxa"/>
            <w:vAlign w:val="center"/>
          </w:tcPr>
          <w:p w14:paraId="00173F9B">
            <w:pPr>
              <w:rPr>
                <w:rFonts w:hint="eastAsia" w:ascii="宋体" w:hAnsi="宋体" w:eastAsia="宋体" w:cs="宋体"/>
                <w:szCs w:val="21"/>
              </w:rPr>
            </w:pPr>
            <w:r>
              <w:rPr>
                <w:rFonts w:hint="eastAsia" w:ascii="宋体" w:hAnsi="宋体" w:eastAsia="宋体" w:cs="宋体"/>
                <w:szCs w:val="21"/>
              </w:rPr>
              <w:t>（1）掌握每篇精读散文的字义词义句子结构和句意，特别注意句中涉及到的虚词用法及各种语法现象。</w:t>
            </w:r>
          </w:p>
          <w:p w14:paraId="16EFC699">
            <w:pPr>
              <w:rPr>
                <w:rFonts w:hint="eastAsia" w:ascii="宋体" w:hAnsi="宋体" w:eastAsia="宋体" w:cs="宋体"/>
                <w:szCs w:val="21"/>
              </w:rPr>
            </w:pPr>
            <w:r>
              <w:rPr>
                <w:rFonts w:hint="eastAsia" w:ascii="宋体" w:hAnsi="宋体" w:eastAsia="宋体" w:cs="宋体"/>
                <w:szCs w:val="21"/>
              </w:rPr>
              <w:t>（2）了解韵文的押韵情况，能够运用古音学知识分析辨别文中出现的通假字。</w:t>
            </w:r>
          </w:p>
        </w:tc>
        <w:tc>
          <w:tcPr>
            <w:tcW w:w="1429" w:type="dxa"/>
            <w:vAlign w:val="center"/>
          </w:tcPr>
          <w:p w14:paraId="07A29249">
            <w:pPr>
              <w:jc w:val="left"/>
              <w:rPr>
                <w:rFonts w:hint="eastAsia" w:ascii="宋体" w:hAnsi="宋体" w:eastAsia="宋体" w:cs="Times New Roman"/>
                <w:szCs w:val="21"/>
              </w:rPr>
            </w:pPr>
            <w:r>
              <w:rPr>
                <w:rFonts w:hint="eastAsia" w:ascii="宋体" w:hAnsi="宋体" w:eastAsia="宋体" w:cs="Times New Roman"/>
                <w:szCs w:val="21"/>
              </w:rPr>
              <w:t>1.线上学习</w:t>
            </w:r>
          </w:p>
          <w:p w14:paraId="02D2AC38">
            <w:pPr>
              <w:jc w:val="left"/>
              <w:rPr>
                <w:rFonts w:hint="eastAsia" w:ascii="宋体" w:hAnsi="宋体" w:eastAsia="宋体" w:cs="Times New Roman"/>
                <w:szCs w:val="21"/>
              </w:rPr>
            </w:pPr>
            <w:r>
              <w:rPr>
                <w:rFonts w:hint="eastAsia" w:ascii="宋体" w:hAnsi="宋体" w:eastAsia="宋体" w:cs="Times New Roman"/>
                <w:szCs w:val="21"/>
              </w:rPr>
              <w:t>2.多媒体教学</w:t>
            </w:r>
          </w:p>
          <w:p w14:paraId="67259C61">
            <w:pPr>
              <w:jc w:val="left"/>
              <w:rPr>
                <w:rFonts w:hint="eastAsia" w:ascii="宋体" w:hAnsi="宋体" w:eastAsia="宋体" w:cs="Times New Roman"/>
                <w:szCs w:val="21"/>
              </w:rPr>
            </w:pPr>
            <w:r>
              <w:rPr>
                <w:rFonts w:hint="eastAsia" w:ascii="宋体" w:hAnsi="宋体" w:eastAsia="宋体" w:cs="Times New Roman"/>
                <w:szCs w:val="21"/>
              </w:rPr>
              <w:t>3.课堂讨论</w:t>
            </w:r>
          </w:p>
          <w:p w14:paraId="28ED1A31">
            <w:pPr>
              <w:jc w:val="left"/>
              <w:rPr>
                <w:rFonts w:hint="eastAsia" w:ascii="宋体" w:hAnsi="宋体" w:eastAsia="宋体" w:cs="宋体"/>
                <w:szCs w:val="21"/>
              </w:rPr>
            </w:pPr>
          </w:p>
        </w:tc>
        <w:tc>
          <w:tcPr>
            <w:tcW w:w="456" w:type="dxa"/>
            <w:vAlign w:val="center"/>
          </w:tcPr>
          <w:p w14:paraId="2B127FC0">
            <w:pPr>
              <w:jc w:val="center"/>
              <w:rPr>
                <w:rFonts w:hint="eastAsia" w:ascii="宋体" w:hAnsi="宋体" w:eastAsia="宋体" w:cs="宋体"/>
                <w:szCs w:val="21"/>
              </w:rPr>
            </w:pPr>
            <w:r>
              <w:rPr>
                <w:rFonts w:hint="eastAsia" w:ascii="宋体" w:hAnsi="宋体" w:eastAsia="宋体" w:cs="宋体"/>
                <w:szCs w:val="21"/>
              </w:rPr>
              <w:t>6</w:t>
            </w:r>
          </w:p>
        </w:tc>
      </w:tr>
      <w:tr w14:paraId="09F5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14:paraId="5FE2FB03">
            <w:pPr>
              <w:jc w:val="center"/>
              <w:rPr>
                <w:rFonts w:hint="eastAsia" w:ascii="宋体" w:hAnsi="宋体" w:eastAsia="宋体" w:cs="宋体"/>
                <w:b/>
                <w:bCs/>
                <w:szCs w:val="21"/>
              </w:rPr>
            </w:pPr>
          </w:p>
        </w:tc>
        <w:tc>
          <w:tcPr>
            <w:tcW w:w="7458" w:type="dxa"/>
            <w:gridSpan w:val="4"/>
            <w:vAlign w:val="center"/>
          </w:tcPr>
          <w:p w14:paraId="21C47CD5">
            <w:pPr>
              <w:ind w:firstLine="420" w:firstLineChars="200"/>
              <w:jc w:val="left"/>
              <w:rPr>
                <w:rFonts w:hint="eastAsia" w:ascii="宋体" w:hAnsi="宋体" w:eastAsia="宋体" w:cs="宋体"/>
                <w:szCs w:val="21"/>
              </w:rPr>
            </w:pPr>
            <w:r>
              <w:rPr>
                <w:rFonts w:hint="eastAsia" w:ascii="宋体" w:hAnsi="宋体" w:eastAsia="宋体" w:cs="宋体"/>
                <w:szCs w:val="21"/>
              </w:rPr>
              <w:t>课程思政目标：仔细研读典范的传世古文可以探究得到传统中国人所应用的、具有民族性的独特思维方式，这是中国人观照世界的独特视角。广博与专精并存的文选阅读，一方面可以增广知识拓宽视野，另一方面能避免过于欧化的语言思维方式。</w:t>
            </w:r>
          </w:p>
        </w:tc>
      </w:tr>
      <w:bookmarkEnd w:id="923"/>
    </w:tbl>
    <w:p w14:paraId="3077876E">
      <w:pPr>
        <w:spacing w:before="62" w:beforeLines="20" w:after="62" w:afterLines="20" w:line="360" w:lineRule="auto"/>
        <w:jc w:val="left"/>
        <w:rPr>
          <w:rFonts w:ascii="Times New Roman" w:hAnsi="Times New Roman" w:eastAsia="宋体" w:cs="Times New Roman"/>
          <w:sz w:val="24"/>
        </w:rPr>
      </w:pPr>
      <w:r>
        <w:rPr>
          <w:rFonts w:hint="eastAsia" w:ascii="宋体" w:hAnsi="宋体" w:eastAsia="宋体" w:cs="Times New Roman"/>
          <w:b/>
          <w:sz w:val="24"/>
        </w:rPr>
        <w:t>四、目标评价与成绩评定</w:t>
      </w:r>
    </w:p>
    <w:p w14:paraId="749359AE">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根据总体设计，用于评价各课程目标的评价方式如表所示。</w:t>
      </w:r>
    </w:p>
    <w:tbl>
      <w:tblPr>
        <w:tblStyle w:val="1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0"/>
        <w:gridCol w:w="1533"/>
        <w:gridCol w:w="1492"/>
        <w:gridCol w:w="1721"/>
        <w:gridCol w:w="1711"/>
      </w:tblGrid>
      <w:tr w14:paraId="494F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480" w:type="dxa"/>
            <w:vMerge w:val="restart"/>
            <w:vAlign w:val="center"/>
          </w:tcPr>
          <w:p w14:paraId="53E4566E">
            <w:pPr>
              <w:spacing w:line="312" w:lineRule="auto"/>
              <w:jc w:val="center"/>
              <w:rPr>
                <w:rFonts w:hint="eastAsia" w:ascii="宋体" w:hAnsi="宋体" w:eastAsia="宋体" w:cs="宋体"/>
                <w:szCs w:val="21"/>
              </w:rPr>
            </w:pPr>
            <w:r>
              <w:rPr>
                <w:rFonts w:hint="eastAsia" w:ascii="宋体" w:hAnsi="宋体" w:eastAsia="宋体" w:cs="宋体"/>
                <w:szCs w:val="21"/>
              </w:rPr>
              <w:t>课程目标</w:t>
            </w:r>
          </w:p>
        </w:tc>
        <w:tc>
          <w:tcPr>
            <w:tcW w:w="4746" w:type="dxa"/>
            <w:gridSpan w:val="3"/>
            <w:vAlign w:val="center"/>
          </w:tcPr>
          <w:p w14:paraId="79D49B4A">
            <w:pPr>
              <w:spacing w:line="312" w:lineRule="auto"/>
              <w:jc w:val="center"/>
              <w:rPr>
                <w:rFonts w:hint="eastAsia" w:ascii="宋体" w:hAnsi="宋体" w:eastAsia="宋体" w:cs="宋体"/>
                <w:szCs w:val="21"/>
              </w:rPr>
            </w:pPr>
            <w:r>
              <w:rPr>
                <w:rFonts w:hint="eastAsia" w:ascii="宋体" w:hAnsi="宋体" w:eastAsia="宋体" w:cs="宋体"/>
                <w:szCs w:val="21"/>
              </w:rPr>
              <w:t>评价与成绩评定方法</w:t>
            </w:r>
          </w:p>
        </w:tc>
        <w:tc>
          <w:tcPr>
            <w:tcW w:w="1711" w:type="dxa"/>
            <w:vMerge w:val="restart"/>
            <w:vAlign w:val="center"/>
          </w:tcPr>
          <w:p w14:paraId="6C566436">
            <w:pPr>
              <w:spacing w:line="312" w:lineRule="auto"/>
              <w:jc w:val="center"/>
              <w:rPr>
                <w:rFonts w:hint="eastAsia" w:ascii="宋体" w:hAnsi="宋体" w:eastAsia="宋体" w:cs="宋体"/>
                <w:szCs w:val="21"/>
              </w:rPr>
            </w:pPr>
            <w:r>
              <w:rPr>
                <w:rFonts w:hint="eastAsia" w:ascii="宋体" w:hAnsi="宋体" w:eastAsia="宋体" w:cs="宋体"/>
                <w:szCs w:val="21"/>
              </w:rPr>
              <w:t>分值</w:t>
            </w:r>
          </w:p>
        </w:tc>
      </w:tr>
      <w:tr w14:paraId="2000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80" w:type="dxa"/>
            <w:vMerge w:val="continue"/>
            <w:vAlign w:val="center"/>
          </w:tcPr>
          <w:p w14:paraId="02985AB3">
            <w:pPr>
              <w:spacing w:line="312" w:lineRule="auto"/>
              <w:jc w:val="center"/>
              <w:rPr>
                <w:rFonts w:hint="eastAsia" w:ascii="宋体" w:hAnsi="宋体" w:eastAsia="宋体" w:cs="宋体"/>
                <w:szCs w:val="21"/>
              </w:rPr>
            </w:pPr>
          </w:p>
        </w:tc>
        <w:tc>
          <w:tcPr>
            <w:tcW w:w="1533" w:type="dxa"/>
            <w:vAlign w:val="center"/>
          </w:tcPr>
          <w:p w14:paraId="29DC489D">
            <w:pPr>
              <w:spacing w:line="312" w:lineRule="auto"/>
              <w:jc w:val="center"/>
              <w:rPr>
                <w:rFonts w:hint="eastAsia" w:ascii="宋体" w:hAnsi="宋体" w:eastAsia="宋体" w:cs="宋体"/>
                <w:szCs w:val="21"/>
              </w:rPr>
            </w:pPr>
            <w:r>
              <w:rPr>
                <w:rFonts w:hint="eastAsia" w:ascii="宋体" w:hAnsi="宋体" w:eastAsia="宋体" w:cs="宋体"/>
                <w:szCs w:val="21"/>
              </w:rPr>
              <w:t>平时作业</w:t>
            </w:r>
          </w:p>
        </w:tc>
        <w:tc>
          <w:tcPr>
            <w:tcW w:w="1492" w:type="dxa"/>
            <w:vAlign w:val="center"/>
          </w:tcPr>
          <w:p w14:paraId="02DA82BD">
            <w:pPr>
              <w:spacing w:line="312" w:lineRule="auto"/>
              <w:jc w:val="center"/>
              <w:rPr>
                <w:rFonts w:hint="eastAsia" w:ascii="宋体" w:hAnsi="宋体" w:eastAsia="宋体" w:cs="宋体"/>
                <w:szCs w:val="21"/>
              </w:rPr>
            </w:pPr>
            <w:r>
              <w:rPr>
                <w:rFonts w:hint="eastAsia" w:ascii="宋体" w:hAnsi="宋体" w:eastAsia="宋体" w:cs="宋体"/>
                <w:szCs w:val="21"/>
              </w:rPr>
              <w:t>课堂表现</w:t>
            </w:r>
          </w:p>
        </w:tc>
        <w:tc>
          <w:tcPr>
            <w:tcW w:w="1721" w:type="dxa"/>
            <w:vAlign w:val="center"/>
          </w:tcPr>
          <w:p w14:paraId="13D62CA8">
            <w:pPr>
              <w:spacing w:line="312" w:lineRule="auto"/>
              <w:jc w:val="center"/>
              <w:rPr>
                <w:rFonts w:hint="eastAsia" w:ascii="宋体" w:hAnsi="宋体" w:eastAsia="宋体" w:cs="宋体"/>
                <w:szCs w:val="21"/>
              </w:rPr>
            </w:pPr>
            <w:r>
              <w:rPr>
                <w:rFonts w:hint="eastAsia" w:ascii="宋体" w:hAnsi="宋体" w:eastAsia="宋体" w:cs="宋体"/>
                <w:szCs w:val="21"/>
              </w:rPr>
              <w:t>期末考试</w:t>
            </w:r>
          </w:p>
        </w:tc>
        <w:tc>
          <w:tcPr>
            <w:tcW w:w="1711" w:type="dxa"/>
            <w:vMerge w:val="continue"/>
            <w:vAlign w:val="center"/>
          </w:tcPr>
          <w:p w14:paraId="1A7BF204">
            <w:pPr>
              <w:spacing w:line="312" w:lineRule="auto"/>
              <w:jc w:val="center"/>
              <w:rPr>
                <w:rFonts w:hint="eastAsia" w:ascii="宋体" w:hAnsi="宋体" w:eastAsia="宋体" w:cs="宋体"/>
                <w:szCs w:val="21"/>
              </w:rPr>
            </w:pPr>
          </w:p>
        </w:tc>
      </w:tr>
      <w:tr w14:paraId="129A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80" w:type="dxa"/>
            <w:vAlign w:val="center"/>
          </w:tcPr>
          <w:p w14:paraId="4641D7DD">
            <w:pPr>
              <w:spacing w:line="312" w:lineRule="auto"/>
              <w:jc w:val="center"/>
              <w:rPr>
                <w:rFonts w:hint="eastAsia" w:ascii="宋体" w:hAnsi="宋体" w:eastAsia="宋体" w:cs="宋体"/>
                <w:szCs w:val="21"/>
              </w:rPr>
            </w:pPr>
            <w:r>
              <w:rPr>
                <w:rFonts w:hint="eastAsia" w:ascii="宋体" w:hAnsi="宋体" w:eastAsia="宋体" w:cs="宋体"/>
                <w:szCs w:val="21"/>
              </w:rPr>
              <w:t>目标1</w:t>
            </w:r>
          </w:p>
        </w:tc>
        <w:tc>
          <w:tcPr>
            <w:tcW w:w="1533" w:type="dxa"/>
            <w:vAlign w:val="center"/>
          </w:tcPr>
          <w:p w14:paraId="670300C4">
            <w:pPr>
              <w:spacing w:line="312"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92" w:type="dxa"/>
            <w:vAlign w:val="center"/>
          </w:tcPr>
          <w:p w14:paraId="794143FA">
            <w:pPr>
              <w:spacing w:line="312"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721" w:type="dxa"/>
            <w:vAlign w:val="center"/>
          </w:tcPr>
          <w:p w14:paraId="57D9D9C9">
            <w:pPr>
              <w:spacing w:line="312"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711" w:type="dxa"/>
            <w:vAlign w:val="center"/>
          </w:tcPr>
          <w:p w14:paraId="5B84D98C">
            <w:pPr>
              <w:spacing w:line="312" w:lineRule="auto"/>
              <w:jc w:val="center"/>
              <w:rPr>
                <w:rFonts w:hint="eastAsia" w:ascii="宋体" w:hAnsi="宋体" w:eastAsia="宋体" w:cs="宋体"/>
                <w:szCs w:val="21"/>
              </w:rPr>
            </w:pPr>
            <w:r>
              <w:rPr>
                <w:rFonts w:hint="eastAsia" w:ascii="宋体" w:hAnsi="宋体" w:eastAsia="宋体" w:cs="宋体"/>
                <w:szCs w:val="21"/>
              </w:rPr>
              <w:t>30</w:t>
            </w:r>
          </w:p>
        </w:tc>
      </w:tr>
      <w:tr w14:paraId="3EE95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80" w:type="dxa"/>
            <w:vAlign w:val="center"/>
          </w:tcPr>
          <w:p w14:paraId="5322218D">
            <w:pPr>
              <w:spacing w:line="312" w:lineRule="auto"/>
              <w:jc w:val="center"/>
              <w:rPr>
                <w:rFonts w:hint="eastAsia" w:ascii="宋体" w:hAnsi="宋体" w:eastAsia="宋体" w:cs="宋体"/>
                <w:szCs w:val="21"/>
              </w:rPr>
            </w:pPr>
            <w:r>
              <w:rPr>
                <w:rFonts w:hint="eastAsia" w:ascii="宋体" w:hAnsi="宋体" w:eastAsia="宋体" w:cs="宋体"/>
                <w:szCs w:val="21"/>
              </w:rPr>
              <w:t>目标2</w:t>
            </w:r>
          </w:p>
        </w:tc>
        <w:tc>
          <w:tcPr>
            <w:tcW w:w="1533" w:type="dxa"/>
            <w:vAlign w:val="center"/>
          </w:tcPr>
          <w:p w14:paraId="5F6E0087">
            <w:pPr>
              <w:spacing w:line="312"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92" w:type="dxa"/>
            <w:vAlign w:val="center"/>
          </w:tcPr>
          <w:p w14:paraId="1A1720E0">
            <w:pPr>
              <w:spacing w:line="312"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721" w:type="dxa"/>
            <w:vAlign w:val="center"/>
          </w:tcPr>
          <w:p w14:paraId="0454DF16">
            <w:pPr>
              <w:spacing w:line="312"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711" w:type="dxa"/>
            <w:vAlign w:val="center"/>
          </w:tcPr>
          <w:p w14:paraId="46FEFAD3">
            <w:pPr>
              <w:spacing w:line="312" w:lineRule="auto"/>
              <w:jc w:val="center"/>
              <w:rPr>
                <w:rFonts w:hint="eastAsia" w:ascii="宋体" w:hAnsi="宋体" w:eastAsia="宋体" w:cs="宋体"/>
                <w:szCs w:val="21"/>
              </w:rPr>
            </w:pPr>
            <w:r>
              <w:rPr>
                <w:rFonts w:hint="eastAsia" w:ascii="宋体" w:hAnsi="宋体" w:eastAsia="宋体" w:cs="宋体"/>
                <w:szCs w:val="21"/>
              </w:rPr>
              <w:t>70</w:t>
            </w:r>
          </w:p>
        </w:tc>
      </w:tr>
      <w:tr w14:paraId="6A5F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80" w:type="dxa"/>
            <w:vAlign w:val="center"/>
          </w:tcPr>
          <w:p w14:paraId="1859E43F">
            <w:pPr>
              <w:spacing w:line="312" w:lineRule="auto"/>
              <w:jc w:val="center"/>
              <w:rPr>
                <w:rFonts w:hint="eastAsia" w:ascii="宋体" w:hAnsi="宋体" w:eastAsia="宋体" w:cs="宋体"/>
                <w:szCs w:val="21"/>
              </w:rPr>
            </w:pPr>
            <w:r>
              <w:rPr>
                <w:rFonts w:hint="eastAsia" w:ascii="宋体" w:hAnsi="宋体" w:eastAsia="宋体" w:cs="宋体"/>
                <w:szCs w:val="21"/>
              </w:rPr>
              <w:t>合计</w:t>
            </w:r>
          </w:p>
        </w:tc>
        <w:tc>
          <w:tcPr>
            <w:tcW w:w="1533" w:type="dxa"/>
            <w:vAlign w:val="center"/>
          </w:tcPr>
          <w:p w14:paraId="4B961343">
            <w:pPr>
              <w:spacing w:line="312" w:lineRule="auto"/>
              <w:jc w:val="center"/>
              <w:rPr>
                <w:rFonts w:hint="eastAsia" w:ascii="宋体" w:hAnsi="宋体" w:eastAsia="宋体" w:cs="宋体"/>
                <w:szCs w:val="21"/>
              </w:rPr>
            </w:pPr>
          </w:p>
        </w:tc>
        <w:tc>
          <w:tcPr>
            <w:tcW w:w="1492" w:type="dxa"/>
            <w:vAlign w:val="center"/>
          </w:tcPr>
          <w:p w14:paraId="576DCB07">
            <w:pPr>
              <w:spacing w:line="312" w:lineRule="auto"/>
              <w:jc w:val="center"/>
              <w:rPr>
                <w:rFonts w:hint="eastAsia" w:ascii="宋体" w:hAnsi="宋体" w:eastAsia="宋体" w:cs="宋体"/>
                <w:szCs w:val="21"/>
              </w:rPr>
            </w:pPr>
          </w:p>
        </w:tc>
        <w:tc>
          <w:tcPr>
            <w:tcW w:w="1721" w:type="dxa"/>
            <w:vAlign w:val="center"/>
          </w:tcPr>
          <w:p w14:paraId="2A12B5A5">
            <w:pPr>
              <w:spacing w:line="312" w:lineRule="auto"/>
              <w:jc w:val="center"/>
              <w:rPr>
                <w:rFonts w:hint="eastAsia" w:ascii="宋体" w:hAnsi="宋体" w:eastAsia="宋体" w:cs="宋体"/>
                <w:szCs w:val="21"/>
              </w:rPr>
            </w:pPr>
          </w:p>
        </w:tc>
        <w:tc>
          <w:tcPr>
            <w:tcW w:w="1711" w:type="dxa"/>
            <w:vAlign w:val="center"/>
          </w:tcPr>
          <w:p w14:paraId="2ACF3636">
            <w:pPr>
              <w:spacing w:line="312" w:lineRule="auto"/>
              <w:jc w:val="center"/>
              <w:rPr>
                <w:rFonts w:hint="eastAsia" w:ascii="宋体" w:hAnsi="宋体" w:eastAsia="宋体" w:cs="宋体"/>
                <w:szCs w:val="21"/>
              </w:rPr>
            </w:pPr>
            <w:r>
              <w:rPr>
                <w:rFonts w:hint="eastAsia" w:ascii="宋体" w:hAnsi="宋体" w:eastAsia="宋体" w:cs="宋体"/>
                <w:szCs w:val="21"/>
              </w:rPr>
              <w:t>100</w:t>
            </w:r>
          </w:p>
        </w:tc>
      </w:tr>
    </w:tbl>
    <w:p w14:paraId="6D350283">
      <w:pPr>
        <w:pStyle w:val="31"/>
        <w:spacing w:before="62" w:beforeLines="20" w:after="62" w:afterLines="20" w:line="360" w:lineRule="auto"/>
        <w:ind w:firstLine="0" w:firstLineChars="0"/>
        <w:jc w:val="left"/>
        <w:rPr>
          <w:rFonts w:hint="eastAsia" w:ascii="宋体" w:hAnsi="宋体" w:eastAsia="宋体" w:cs="宋体"/>
          <w:b/>
          <w:bCs/>
          <w:sz w:val="24"/>
        </w:rPr>
      </w:pPr>
      <w:r>
        <w:rPr>
          <w:rFonts w:hint="eastAsia" w:ascii="宋体" w:hAnsi="宋体" w:eastAsia="宋体" w:cs="宋体"/>
          <w:b/>
          <w:bCs/>
          <w:sz w:val="24"/>
        </w:rPr>
        <w:t>五、课程实施</w:t>
      </w:r>
    </w:p>
    <w:p w14:paraId="25AE50C8">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一）传统讲授式教学：吸收国内外社会语言学研究的最新成果，在课堂上进行讲授，力求贯彻理论联系实际的原则，逐步提高学生对于社会语言现象的发现和研究能力。学生根据教师提供的参考文献清单，加强课外学习，扩大视野。   </w:t>
      </w:r>
    </w:p>
    <w:p w14:paraId="2B5DBF6E">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（二）互动式教学：将理论知识的讲授与经典案例的分析密切结合，采取多媒体教学方式，通过增加教师与学生之间、学生与学生之间的讨论与交流机会，提高教学效果，增强学生的学习兴趣。</w:t>
      </w:r>
    </w:p>
    <w:p w14:paraId="4685B055">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（三）研究性教学：通过课程作业，培养学生查阅文献及撰写研究报告、研究综述和论文提纲等方面的能力。</w:t>
      </w:r>
    </w:p>
    <w:p w14:paraId="11CA90C3">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主要教学环节的质量要求如表所示：</w:t>
      </w:r>
    </w:p>
    <w:tbl>
      <w:tblPr>
        <w:tblStyle w:val="11"/>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993"/>
        <w:gridCol w:w="6802"/>
      </w:tblGrid>
      <w:tr w14:paraId="4BFB9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575" w:type="dxa"/>
            <w:gridSpan w:val="2"/>
            <w:tcMar>
              <w:top w:w="0" w:type="dxa"/>
              <w:left w:w="28" w:type="dxa"/>
              <w:bottom w:w="0" w:type="dxa"/>
              <w:right w:w="28" w:type="dxa"/>
            </w:tcMar>
            <w:vAlign w:val="center"/>
          </w:tcPr>
          <w:p w14:paraId="23204130">
            <w:pPr>
              <w:spacing w:line="273" w:lineRule="auto"/>
              <w:jc w:val="center"/>
              <w:rPr>
                <w:rFonts w:hint="eastAsia" w:ascii="宋体" w:hAnsi="宋体" w:eastAsia="宋体" w:cs="宋体"/>
                <w:b/>
                <w:bCs/>
                <w:szCs w:val="21"/>
              </w:rPr>
            </w:pPr>
            <w:r>
              <w:rPr>
                <w:rFonts w:hint="eastAsia" w:ascii="宋体" w:hAnsi="宋体" w:eastAsia="宋体" w:cs="宋体"/>
                <w:b/>
                <w:bCs/>
                <w:szCs w:val="21"/>
              </w:rPr>
              <w:t>主要教学环节</w:t>
            </w:r>
          </w:p>
        </w:tc>
        <w:tc>
          <w:tcPr>
            <w:tcW w:w="6802" w:type="dxa"/>
            <w:vAlign w:val="center"/>
          </w:tcPr>
          <w:p w14:paraId="277198B1">
            <w:pPr>
              <w:spacing w:line="273" w:lineRule="auto"/>
              <w:jc w:val="center"/>
              <w:rPr>
                <w:rFonts w:hint="eastAsia" w:ascii="宋体" w:hAnsi="宋体" w:eastAsia="宋体" w:cs="宋体"/>
                <w:b/>
                <w:bCs/>
                <w:szCs w:val="21"/>
              </w:rPr>
            </w:pPr>
            <w:r>
              <w:rPr>
                <w:rFonts w:hint="eastAsia" w:ascii="宋体" w:hAnsi="宋体" w:eastAsia="宋体" w:cs="宋体"/>
                <w:b/>
                <w:bCs/>
                <w:szCs w:val="21"/>
              </w:rPr>
              <w:t>质量要求</w:t>
            </w:r>
          </w:p>
        </w:tc>
      </w:tr>
      <w:tr w14:paraId="5EAD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trPr>
        <w:tc>
          <w:tcPr>
            <w:tcW w:w="582" w:type="dxa"/>
            <w:vAlign w:val="center"/>
          </w:tcPr>
          <w:p w14:paraId="0E110E5E">
            <w:pPr>
              <w:spacing w:line="273" w:lineRule="auto"/>
              <w:jc w:val="center"/>
              <w:rPr>
                <w:rFonts w:hint="eastAsia" w:ascii="宋体" w:hAnsi="宋体" w:eastAsia="宋体" w:cs="宋体"/>
                <w:szCs w:val="21"/>
              </w:rPr>
            </w:pPr>
            <w:r>
              <w:rPr>
                <w:rFonts w:hint="eastAsia" w:ascii="宋体" w:hAnsi="宋体" w:eastAsia="宋体" w:cs="宋体"/>
                <w:szCs w:val="21"/>
              </w:rPr>
              <w:t>1</w:t>
            </w:r>
          </w:p>
        </w:tc>
        <w:tc>
          <w:tcPr>
            <w:tcW w:w="993" w:type="dxa"/>
            <w:tcMar>
              <w:top w:w="0" w:type="dxa"/>
              <w:left w:w="28" w:type="dxa"/>
              <w:bottom w:w="0" w:type="dxa"/>
              <w:right w:w="28" w:type="dxa"/>
            </w:tcMar>
            <w:vAlign w:val="center"/>
          </w:tcPr>
          <w:p w14:paraId="3F60D2D0">
            <w:pPr>
              <w:spacing w:line="273" w:lineRule="auto"/>
              <w:jc w:val="center"/>
              <w:rPr>
                <w:rFonts w:hint="eastAsia" w:ascii="宋体" w:hAnsi="宋体" w:eastAsia="宋体" w:cs="宋体"/>
                <w:szCs w:val="21"/>
              </w:rPr>
            </w:pPr>
            <w:r>
              <w:rPr>
                <w:rFonts w:hint="eastAsia" w:ascii="宋体" w:hAnsi="宋体" w:eastAsia="宋体" w:cs="宋体"/>
                <w:szCs w:val="21"/>
              </w:rPr>
              <w:t>备课</w:t>
            </w:r>
          </w:p>
        </w:tc>
        <w:tc>
          <w:tcPr>
            <w:tcW w:w="6802" w:type="dxa"/>
            <w:vAlign w:val="center"/>
          </w:tcPr>
          <w:p w14:paraId="008444EA">
            <w:pPr>
              <w:spacing w:line="273" w:lineRule="auto"/>
              <w:rPr>
                <w:rFonts w:hint="eastAsia" w:ascii="宋体" w:hAnsi="宋体" w:eastAsia="宋体" w:cs="宋体"/>
                <w:szCs w:val="21"/>
              </w:rPr>
            </w:pPr>
            <w:r>
              <w:rPr>
                <w:rFonts w:hint="eastAsia" w:ascii="宋体" w:hAnsi="宋体" w:eastAsia="宋体" w:cs="宋体"/>
                <w:szCs w:val="21"/>
              </w:rPr>
              <w:t>（1）掌握课程教学大纲内容，严格按照教学大纲要求进行课程教学内容的组织。</w:t>
            </w:r>
          </w:p>
          <w:p w14:paraId="6D548631">
            <w:pPr>
              <w:spacing w:line="273" w:lineRule="auto"/>
              <w:rPr>
                <w:rFonts w:hint="eastAsia" w:ascii="宋体" w:hAnsi="宋体" w:eastAsia="宋体" w:cs="宋体"/>
                <w:szCs w:val="21"/>
              </w:rPr>
            </w:pPr>
            <w:r>
              <w:rPr>
                <w:rFonts w:hint="eastAsia" w:ascii="宋体" w:hAnsi="宋体" w:eastAsia="宋体" w:cs="宋体"/>
                <w:szCs w:val="21"/>
              </w:rPr>
              <w:t>（2）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14:paraId="768E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trPr>
        <w:tc>
          <w:tcPr>
            <w:tcW w:w="582" w:type="dxa"/>
            <w:vAlign w:val="center"/>
          </w:tcPr>
          <w:p w14:paraId="2EF46FD7">
            <w:pPr>
              <w:spacing w:line="273" w:lineRule="auto"/>
              <w:jc w:val="center"/>
              <w:rPr>
                <w:rFonts w:hint="eastAsia" w:ascii="宋体" w:hAnsi="宋体" w:eastAsia="宋体" w:cs="宋体"/>
                <w:szCs w:val="21"/>
              </w:rPr>
            </w:pPr>
            <w:r>
              <w:rPr>
                <w:rFonts w:hint="eastAsia" w:ascii="宋体" w:hAnsi="宋体" w:eastAsia="宋体" w:cs="宋体"/>
                <w:szCs w:val="21"/>
              </w:rPr>
              <w:t>2</w:t>
            </w:r>
          </w:p>
        </w:tc>
        <w:tc>
          <w:tcPr>
            <w:tcW w:w="993" w:type="dxa"/>
            <w:tcMar>
              <w:top w:w="0" w:type="dxa"/>
              <w:left w:w="28" w:type="dxa"/>
              <w:bottom w:w="0" w:type="dxa"/>
              <w:right w:w="28" w:type="dxa"/>
            </w:tcMar>
            <w:vAlign w:val="center"/>
          </w:tcPr>
          <w:p w14:paraId="72735714">
            <w:pPr>
              <w:spacing w:line="273" w:lineRule="auto"/>
              <w:jc w:val="center"/>
              <w:rPr>
                <w:rFonts w:hint="eastAsia" w:ascii="宋体" w:hAnsi="宋体" w:eastAsia="宋体" w:cs="宋体"/>
                <w:szCs w:val="21"/>
              </w:rPr>
            </w:pPr>
            <w:r>
              <w:rPr>
                <w:rFonts w:hint="eastAsia" w:ascii="宋体" w:hAnsi="宋体" w:eastAsia="宋体" w:cs="宋体"/>
                <w:szCs w:val="21"/>
              </w:rPr>
              <w:t>讲授</w:t>
            </w:r>
          </w:p>
        </w:tc>
        <w:tc>
          <w:tcPr>
            <w:tcW w:w="6802" w:type="dxa"/>
            <w:vAlign w:val="center"/>
          </w:tcPr>
          <w:p w14:paraId="4DE0A183">
            <w:pPr>
              <w:spacing w:line="273" w:lineRule="auto"/>
              <w:rPr>
                <w:rFonts w:hint="eastAsia" w:ascii="宋体" w:hAnsi="宋体" w:eastAsia="宋体" w:cs="宋体"/>
                <w:szCs w:val="21"/>
              </w:rPr>
            </w:pPr>
            <w:r>
              <w:rPr>
                <w:rFonts w:hint="eastAsia" w:ascii="宋体" w:hAnsi="宋体" w:eastAsia="宋体" w:cs="宋体"/>
                <w:szCs w:val="21"/>
              </w:rPr>
              <w:t>（1）教师仪表端庄，情绪情感要饱满；</w:t>
            </w:r>
          </w:p>
          <w:p w14:paraId="3DA0F32F">
            <w:pPr>
              <w:spacing w:line="273" w:lineRule="auto"/>
              <w:rPr>
                <w:rFonts w:hint="eastAsia" w:ascii="宋体" w:hAnsi="宋体" w:eastAsia="宋体" w:cs="宋体"/>
                <w:szCs w:val="21"/>
              </w:rPr>
            </w:pPr>
            <w:r>
              <w:rPr>
                <w:rFonts w:hint="eastAsia" w:ascii="宋体" w:hAnsi="宋体" w:eastAsia="宋体" w:cs="宋体"/>
                <w:szCs w:val="21"/>
              </w:rPr>
              <w:t>（2）教学准备充分，熟悉教学内容；</w:t>
            </w:r>
          </w:p>
          <w:p w14:paraId="629E2EAF">
            <w:pPr>
              <w:spacing w:line="273" w:lineRule="auto"/>
              <w:rPr>
                <w:rFonts w:hint="eastAsia" w:ascii="宋体" w:hAnsi="宋体" w:eastAsia="宋体" w:cs="宋体"/>
                <w:szCs w:val="21"/>
              </w:rPr>
            </w:pPr>
            <w:r>
              <w:rPr>
                <w:rFonts w:hint="eastAsia" w:ascii="宋体" w:hAnsi="宋体" w:eastAsia="宋体" w:cs="宋体"/>
                <w:szCs w:val="21"/>
              </w:rPr>
              <w:t>（3）教学内容充实，不断充实最新研究成果；</w:t>
            </w:r>
          </w:p>
          <w:p w14:paraId="6971DCE4">
            <w:pPr>
              <w:spacing w:line="273" w:lineRule="auto"/>
              <w:rPr>
                <w:rFonts w:hint="eastAsia" w:ascii="宋体" w:hAnsi="宋体" w:eastAsia="宋体" w:cs="宋体"/>
                <w:szCs w:val="21"/>
              </w:rPr>
            </w:pPr>
            <w:r>
              <w:rPr>
                <w:rFonts w:hint="eastAsia" w:ascii="宋体" w:hAnsi="宋体" w:eastAsia="宋体" w:cs="宋体"/>
                <w:szCs w:val="21"/>
              </w:rPr>
              <w:t>（4）严格执行计划，教学进度适宜；</w:t>
            </w:r>
          </w:p>
          <w:p w14:paraId="5034178E">
            <w:pPr>
              <w:spacing w:line="273" w:lineRule="auto"/>
              <w:rPr>
                <w:rFonts w:hint="eastAsia" w:ascii="宋体" w:hAnsi="宋体" w:eastAsia="宋体" w:cs="宋体"/>
                <w:szCs w:val="21"/>
              </w:rPr>
            </w:pPr>
            <w:r>
              <w:rPr>
                <w:rFonts w:hint="eastAsia" w:ascii="宋体" w:hAnsi="宋体" w:eastAsia="宋体" w:cs="宋体"/>
                <w:szCs w:val="21"/>
              </w:rPr>
              <w:t>（5）课堂教学信息充分，注重理论联系实际；</w:t>
            </w:r>
          </w:p>
          <w:p w14:paraId="79787EAB">
            <w:pPr>
              <w:spacing w:line="273" w:lineRule="auto"/>
              <w:rPr>
                <w:rFonts w:hint="eastAsia" w:ascii="宋体" w:hAnsi="宋体" w:eastAsia="宋体" w:cs="宋体"/>
                <w:szCs w:val="21"/>
              </w:rPr>
            </w:pPr>
            <w:r>
              <w:rPr>
                <w:rFonts w:hint="eastAsia" w:ascii="宋体" w:hAnsi="宋体" w:eastAsia="宋体" w:cs="宋体"/>
                <w:szCs w:val="21"/>
              </w:rPr>
              <w:t>（6）注重启发学生思维，培养学生的教学能力；</w:t>
            </w:r>
          </w:p>
          <w:p w14:paraId="1EA06F64">
            <w:pPr>
              <w:spacing w:line="273" w:lineRule="auto"/>
              <w:rPr>
                <w:rFonts w:hint="eastAsia" w:ascii="宋体" w:hAnsi="宋体" w:eastAsia="宋体" w:cs="宋体"/>
                <w:szCs w:val="21"/>
              </w:rPr>
            </w:pPr>
            <w:r>
              <w:rPr>
                <w:rFonts w:hint="eastAsia" w:ascii="宋体" w:hAnsi="宋体" w:eastAsia="宋体" w:cs="宋体"/>
                <w:szCs w:val="21"/>
              </w:rPr>
              <w:t>（7）面向全体基础上因材施教，灵活运用多种教学方法；</w:t>
            </w:r>
          </w:p>
          <w:p w14:paraId="0BDE202E">
            <w:pPr>
              <w:spacing w:line="273" w:lineRule="auto"/>
              <w:rPr>
                <w:rFonts w:hint="eastAsia" w:ascii="宋体" w:hAnsi="宋体" w:eastAsia="宋体" w:cs="宋体"/>
                <w:szCs w:val="21"/>
              </w:rPr>
            </w:pPr>
            <w:r>
              <w:rPr>
                <w:rFonts w:hint="eastAsia" w:ascii="宋体" w:hAnsi="宋体" w:eastAsia="宋体" w:cs="宋体"/>
                <w:szCs w:val="21"/>
              </w:rPr>
              <w:t>（8）教学语言规范，为学生教育教学做好表率；</w:t>
            </w:r>
          </w:p>
          <w:p w14:paraId="638537CF">
            <w:pPr>
              <w:spacing w:line="273" w:lineRule="auto"/>
              <w:rPr>
                <w:rFonts w:hint="eastAsia" w:ascii="宋体" w:hAnsi="宋体" w:eastAsia="宋体" w:cs="宋体"/>
                <w:szCs w:val="21"/>
              </w:rPr>
            </w:pPr>
            <w:r>
              <w:rPr>
                <w:rFonts w:hint="eastAsia" w:ascii="宋体" w:hAnsi="宋体" w:eastAsia="宋体" w:cs="宋体"/>
                <w:szCs w:val="21"/>
              </w:rPr>
              <w:t>（9）教学条理清楚，教学思路逻辑严密；</w:t>
            </w:r>
          </w:p>
          <w:p w14:paraId="08BAFBC2">
            <w:pPr>
              <w:spacing w:line="273" w:lineRule="auto"/>
              <w:rPr>
                <w:rFonts w:hint="eastAsia" w:ascii="宋体" w:hAnsi="宋体" w:eastAsia="宋体" w:cs="宋体"/>
                <w:szCs w:val="21"/>
              </w:rPr>
            </w:pPr>
            <w:r>
              <w:rPr>
                <w:rFonts w:hint="eastAsia" w:ascii="宋体" w:hAnsi="宋体" w:eastAsia="宋体" w:cs="宋体"/>
                <w:szCs w:val="21"/>
              </w:rPr>
              <w:t>（10）充分运用现代化教学手段，教学技术熟练；</w:t>
            </w:r>
          </w:p>
          <w:p w14:paraId="0859091D">
            <w:pPr>
              <w:spacing w:line="273" w:lineRule="auto"/>
              <w:rPr>
                <w:rFonts w:hint="eastAsia" w:ascii="宋体" w:hAnsi="宋体" w:eastAsia="宋体" w:cs="宋体"/>
                <w:szCs w:val="21"/>
              </w:rPr>
            </w:pPr>
            <w:r>
              <w:rPr>
                <w:rFonts w:hint="eastAsia" w:ascii="宋体" w:hAnsi="宋体" w:eastAsia="宋体" w:cs="宋体"/>
                <w:szCs w:val="21"/>
              </w:rPr>
              <w:t>（11）课堂教学要重点突出，难点突破；</w:t>
            </w:r>
          </w:p>
          <w:p w14:paraId="5ABF4386">
            <w:pPr>
              <w:spacing w:line="273" w:lineRule="auto"/>
              <w:rPr>
                <w:rFonts w:hint="eastAsia" w:ascii="宋体" w:hAnsi="宋体" w:eastAsia="宋体" w:cs="宋体"/>
                <w:szCs w:val="21"/>
              </w:rPr>
            </w:pPr>
            <w:r>
              <w:rPr>
                <w:rFonts w:hint="eastAsia" w:ascii="宋体" w:hAnsi="宋体" w:eastAsia="宋体" w:cs="宋体"/>
                <w:szCs w:val="21"/>
              </w:rPr>
              <w:t>（12）注重师生互动，形成良好的课堂氛围。</w:t>
            </w:r>
          </w:p>
        </w:tc>
      </w:tr>
      <w:tr w14:paraId="4B78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582" w:type="dxa"/>
            <w:vAlign w:val="center"/>
          </w:tcPr>
          <w:p w14:paraId="4B94EAE9">
            <w:pPr>
              <w:spacing w:line="273" w:lineRule="auto"/>
              <w:jc w:val="center"/>
              <w:rPr>
                <w:rFonts w:hint="eastAsia" w:ascii="宋体" w:hAnsi="宋体" w:eastAsia="宋体" w:cs="宋体"/>
                <w:szCs w:val="21"/>
              </w:rPr>
            </w:pPr>
            <w:r>
              <w:rPr>
                <w:rFonts w:hint="eastAsia" w:ascii="宋体" w:hAnsi="宋体" w:eastAsia="宋体" w:cs="宋体"/>
                <w:szCs w:val="21"/>
              </w:rPr>
              <w:t>3</w:t>
            </w:r>
          </w:p>
        </w:tc>
        <w:tc>
          <w:tcPr>
            <w:tcW w:w="993" w:type="dxa"/>
            <w:tcMar>
              <w:top w:w="0" w:type="dxa"/>
              <w:left w:w="28" w:type="dxa"/>
              <w:bottom w:w="0" w:type="dxa"/>
              <w:right w:w="28" w:type="dxa"/>
            </w:tcMar>
            <w:vAlign w:val="center"/>
          </w:tcPr>
          <w:p w14:paraId="2B04C43D">
            <w:pPr>
              <w:spacing w:line="273" w:lineRule="auto"/>
              <w:jc w:val="center"/>
              <w:rPr>
                <w:rFonts w:hint="eastAsia" w:ascii="宋体" w:hAnsi="宋体" w:eastAsia="宋体" w:cs="宋体"/>
                <w:szCs w:val="21"/>
              </w:rPr>
            </w:pPr>
            <w:r>
              <w:rPr>
                <w:rFonts w:hint="eastAsia" w:ascii="宋体" w:hAnsi="宋体" w:eastAsia="宋体" w:cs="宋体"/>
                <w:szCs w:val="21"/>
              </w:rPr>
              <w:t>作业布置与批改</w:t>
            </w:r>
          </w:p>
        </w:tc>
        <w:tc>
          <w:tcPr>
            <w:tcW w:w="6802" w:type="dxa"/>
            <w:vAlign w:val="center"/>
          </w:tcPr>
          <w:p w14:paraId="70E91899">
            <w:pPr>
              <w:spacing w:line="273" w:lineRule="auto"/>
              <w:rPr>
                <w:rFonts w:hint="eastAsia" w:ascii="宋体" w:hAnsi="宋体" w:eastAsia="宋体" w:cs="宋体"/>
                <w:szCs w:val="21"/>
              </w:rPr>
            </w:pPr>
            <w:r>
              <w:rPr>
                <w:rFonts w:hint="eastAsia" w:ascii="宋体" w:hAnsi="宋体" w:eastAsia="宋体" w:cs="宋体"/>
                <w:szCs w:val="21"/>
              </w:rPr>
              <w:t>学生必须完成规定数量的作业，作业必须达到以下基本要求：</w:t>
            </w:r>
          </w:p>
          <w:p w14:paraId="39618784">
            <w:pPr>
              <w:spacing w:line="273" w:lineRule="auto"/>
              <w:rPr>
                <w:rFonts w:hint="eastAsia" w:ascii="宋体" w:hAnsi="宋体" w:eastAsia="宋体" w:cs="宋体"/>
                <w:szCs w:val="21"/>
              </w:rPr>
            </w:pPr>
            <w:r>
              <w:rPr>
                <w:rFonts w:hint="eastAsia" w:ascii="宋体" w:hAnsi="宋体" w:eastAsia="宋体" w:cs="宋体"/>
                <w:szCs w:val="21"/>
              </w:rPr>
              <w:t>（1）平时作业总次数以3次为宜。</w:t>
            </w:r>
          </w:p>
          <w:p w14:paraId="6D989603">
            <w:pPr>
              <w:spacing w:line="273" w:lineRule="auto"/>
              <w:rPr>
                <w:rFonts w:hint="eastAsia" w:ascii="宋体" w:hAnsi="宋体" w:eastAsia="宋体" w:cs="宋体"/>
                <w:szCs w:val="21"/>
              </w:rPr>
            </w:pPr>
            <w:r>
              <w:rPr>
                <w:rFonts w:hint="eastAsia" w:ascii="宋体" w:hAnsi="宋体" w:eastAsia="宋体" w:cs="宋体"/>
                <w:szCs w:val="21"/>
              </w:rPr>
              <w:t>（2）按时按量完成作业，不缺交，不抄袭。</w:t>
            </w:r>
          </w:p>
          <w:p w14:paraId="11BFE0BC">
            <w:pPr>
              <w:spacing w:line="273" w:lineRule="auto"/>
              <w:rPr>
                <w:rFonts w:hint="eastAsia" w:ascii="宋体" w:hAnsi="宋体" w:eastAsia="宋体" w:cs="宋体"/>
                <w:szCs w:val="21"/>
              </w:rPr>
            </w:pPr>
            <w:r>
              <w:rPr>
                <w:rFonts w:hint="eastAsia" w:ascii="宋体" w:hAnsi="宋体" w:eastAsia="宋体" w:cs="宋体"/>
                <w:szCs w:val="21"/>
              </w:rPr>
              <w:t>（3）书写规范、教学设计方案格式规范、清晰。</w:t>
            </w:r>
          </w:p>
          <w:p w14:paraId="091D58A7">
            <w:pPr>
              <w:spacing w:line="273" w:lineRule="auto"/>
              <w:rPr>
                <w:rFonts w:hint="eastAsia" w:ascii="宋体" w:hAnsi="宋体" w:eastAsia="宋体" w:cs="宋体"/>
                <w:szCs w:val="21"/>
              </w:rPr>
            </w:pPr>
            <w:r>
              <w:rPr>
                <w:rFonts w:hint="eastAsia" w:ascii="宋体" w:hAnsi="宋体" w:eastAsia="宋体" w:cs="宋体"/>
                <w:szCs w:val="21"/>
              </w:rPr>
              <w:t>（4）教学设计理念先进，教学目标适宜，教学方法灵活，教学组织形式多样、教学过程紧凑，教学准备充分。</w:t>
            </w:r>
          </w:p>
          <w:p w14:paraId="45DEB5AA">
            <w:pPr>
              <w:spacing w:line="273" w:lineRule="auto"/>
              <w:rPr>
                <w:rFonts w:hint="eastAsia" w:ascii="宋体" w:hAnsi="宋体" w:eastAsia="宋体" w:cs="宋体"/>
                <w:szCs w:val="21"/>
              </w:rPr>
            </w:pPr>
            <w:r>
              <w:rPr>
                <w:rFonts w:hint="eastAsia" w:ascii="宋体" w:hAnsi="宋体" w:eastAsia="宋体" w:cs="宋体"/>
                <w:szCs w:val="21"/>
              </w:rPr>
              <w:t>教师批改和讲评作业要求如下：</w:t>
            </w:r>
          </w:p>
          <w:p w14:paraId="0BEC210A">
            <w:pPr>
              <w:spacing w:line="273" w:lineRule="auto"/>
              <w:rPr>
                <w:rFonts w:hint="eastAsia" w:ascii="宋体" w:hAnsi="宋体" w:eastAsia="宋体" w:cs="宋体"/>
                <w:szCs w:val="21"/>
              </w:rPr>
            </w:pPr>
            <w:r>
              <w:rPr>
                <w:rFonts w:hint="eastAsia" w:ascii="宋体" w:hAnsi="宋体" w:eastAsia="宋体" w:cs="宋体"/>
                <w:szCs w:val="21"/>
              </w:rPr>
              <w:t>（1）学生的作业要按时全部批改，并及时进行讲评。</w:t>
            </w:r>
          </w:p>
          <w:p w14:paraId="7CBC2DC8">
            <w:pPr>
              <w:spacing w:line="273" w:lineRule="auto"/>
              <w:rPr>
                <w:rFonts w:hint="eastAsia" w:ascii="宋体" w:hAnsi="宋体" w:eastAsia="宋体" w:cs="宋体"/>
                <w:szCs w:val="21"/>
              </w:rPr>
            </w:pPr>
            <w:r>
              <w:rPr>
                <w:rFonts w:hint="eastAsia" w:ascii="宋体" w:hAnsi="宋体" w:eastAsia="宋体" w:cs="宋体"/>
                <w:szCs w:val="21"/>
              </w:rPr>
              <w:t>（2）教师批改和讲评作业要认真、细致，按百分制评定成绩并写明日期。</w:t>
            </w:r>
          </w:p>
          <w:p w14:paraId="5A3557DA">
            <w:pPr>
              <w:spacing w:line="273" w:lineRule="auto"/>
              <w:rPr>
                <w:rFonts w:hint="eastAsia" w:ascii="宋体" w:hAnsi="宋体" w:eastAsia="宋体" w:cs="宋体"/>
                <w:szCs w:val="21"/>
              </w:rPr>
            </w:pPr>
            <w:r>
              <w:rPr>
                <w:rFonts w:hint="eastAsia" w:ascii="宋体" w:hAnsi="宋体" w:eastAsia="宋体" w:cs="宋体"/>
                <w:szCs w:val="21"/>
              </w:rPr>
              <w:t>（3）学生作业平均成绩应作为本课程总评成绩中平时成绩的重要组成部分。</w:t>
            </w:r>
          </w:p>
        </w:tc>
      </w:tr>
      <w:tr w14:paraId="2EF4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582" w:type="dxa"/>
            <w:vAlign w:val="center"/>
          </w:tcPr>
          <w:p w14:paraId="5C4935BB">
            <w:pPr>
              <w:spacing w:line="273" w:lineRule="auto"/>
              <w:jc w:val="center"/>
              <w:rPr>
                <w:rFonts w:hint="eastAsia" w:ascii="宋体" w:hAnsi="宋体" w:eastAsia="宋体" w:cs="宋体"/>
                <w:szCs w:val="21"/>
              </w:rPr>
            </w:pPr>
            <w:r>
              <w:rPr>
                <w:rFonts w:hint="eastAsia" w:ascii="宋体" w:hAnsi="宋体" w:eastAsia="宋体" w:cs="宋体"/>
                <w:szCs w:val="21"/>
              </w:rPr>
              <w:t>4</w:t>
            </w:r>
          </w:p>
        </w:tc>
        <w:tc>
          <w:tcPr>
            <w:tcW w:w="993" w:type="dxa"/>
            <w:tcMar>
              <w:top w:w="0" w:type="dxa"/>
              <w:left w:w="28" w:type="dxa"/>
              <w:bottom w:w="0" w:type="dxa"/>
              <w:right w:w="28" w:type="dxa"/>
            </w:tcMar>
            <w:vAlign w:val="center"/>
          </w:tcPr>
          <w:p w14:paraId="7F9F2F01">
            <w:pPr>
              <w:spacing w:line="273" w:lineRule="auto"/>
              <w:jc w:val="center"/>
              <w:rPr>
                <w:rFonts w:hint="eastAsia" w:ascii="宋体" w:hAnsi="宋体" w:eastAsia="宋体" w:cs="宋体"/>
                <w:szCs w:val="21"/>
              </w:rPr>
            </w:pPr>
            <w:r>
              <w:rPr>
                <w:rFonts w:hint="eastAsia" w:ascii="宋体" w:hAnsi="宋体" w:eastAsia="宋体" w:cs="宋体"/>
                <w:szCs w:val="21"/>
              </w:rPr>
              <w:t>课外答疑</w:t>
            </w:r>
          </w:p>
        </w:tc>
        <w:tc>
          <w:tcPr>
            <w:tcW w:w="6802" w:type="dxa"/>
            <w:vAlign w:val="center"/>
          </w:tcPr>
          <w:p w14:paraId="18DB4508">
            <w:pPr>
              <w:spacing w:line="273" w:lineRule="auto"/>
              <w:rPr>
                <w:rFonts w:hint="eastAsia" w:ascii="宋体" w:hAnsi="宋体" w:eastAsia="宋体" w:cs="宋体"/>
                <w:szCs w:val="21"/>
              </w:rPr>
            </w:pPr>
            <w:r>
              <w:rPr>
                <w:rFonts w:hint="eastAsia" w:ascii="宋体" w:hAnsi="宋体" w:eastAsia="宋体" w:cs="宋体"/>
                <w:szCs w:val="21"/>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14:paraId="688D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582" w:type="dxa"/>
            <w:vAlign w:val="center"/>
          </w:tcPr>
          <w:p w14:paraId="63B915FE">
            <w:pPr>
              <w:spacing w:line="273" w:lineRule="auto"/>
              <w:jc w:val="center"/>
              <w:rPr>
                <w:rFonts w:hint="eastAsia" w:ascii="宋体" w:hAnsi="宋体" w:eastAsia="宋体" w:cs="宋体"/>
                <w:szCs w:val="21"/>
              </w:rPr>
            </w:pPr>
            <w:r>
              <w:rPr>
                <w:rFonts w:hint="eastAsia" w:ascii="宋体" w:hAnsi="宋体" w:eastAsia="宋体" w:cs="宋体"/>
                <w:szCs w:val="21"/>
              </w:rPr>
              <w:t>5</w:t>
            </w:r>
          </w:p>
        </w:tc>
        <w:tc>
          <w:tcPr>
            <w:tcW w:w="993" w:type="dxa"/>
            <w:tcMar>
              <w:top w:w="0" w:type="dxa"/>
              <w:left w:w="28" w:type="dxa"/>
              <w:bottom w:w="0" w:type="dxa"/>
              <w:right w:w="28" w:type="dxa"/>
            </w:tcMar>
            <w:vAlign w:val="center"/>
          </w:tcPr>
          <w:p w14:paraId="4E8D9274">
            <w:pPr>
              <w:spacing w:line="273" w:lineRule="auto"/>
              <w:jc w:val="center"/>
              <w:rPr>
                <w:rFonts w:hint="eastAsia" w:ascii="宋体" w:hAnsi="宋体" w:eastAsia="宋体" w:cs="宋体"/>
                <w:szCs w:val="21"/>
              </w:rPr>
            </w:pPr>
            <w:r>
              <w:rPr>
                <w:rFonts w:hint="eastAsia" w:ascii="宋体" w:hAnsi="宋体" w:eastAsia="宋体" w:cs="宋体"/>
                <w:szCs w:val="21"/>
              </w:rPr>
              <w:t>成绩考核</w:t>
            </w:r>
          </w:p>
        </w:tc>
        <w:tc>
          <w:tcPr>
            <w:tcW w:w="6802" w:type="dxa"/>
            <w:vAlign w:val="center"/>
          </w:tcPr>
          <w:p w14:paraId="28385C89">
            <w:pPr>
              <w:spacing w:line="273" w:lineRule="auto"/>
              <w:rPr>
                <w:rFonts w:hint="eastAsia" w:ascii="宋体" w:hAnsi="宋体" w:eastAsia="宋体" w:cs="宋体"/>
                <w:szCs w:val="21"/>
              </w:rPr>
            </w:pPr>
            <w:r>
              <w:rPr>
                <w:rFonts w:hint="eastAsia" w:ascii="宋体" w:hAnsi="宋体" w:eastAsia="宋体" w:cs="宋体"/>
                <w:szCs w:val="21"/>
              </w:rPr>
              <w:t>本课程考核的方式为闭卷笔试。有下列情况之一者，总评成绩为不及格：</w:t>
            </w:r>
          </w:p>
          <w:p w14:paraId="1542B8EE">
            <w:pPr>
              <w:spacing w:line="273" w:lineRule="auto"/>
              <w:rPr>
                <w:rFonts w:hint="eastAsia" w:ascii="宋体" w:hAnsi="宋体" w:eastAsia="宋体" w:cs="宋体"/>
                <w:szCs w:val="21"/>
              </w:rPr>
            </w:pPr>
            <w:r>
              <w:rPr>
                <w:rFonts w:hint="eastAsia" w:ascii="宋体" w:hAnsi="宋体" w:eastAsia="宋体" w:cs="宋体"/>
                <w:szCs w:val="21"/>
              </w:rPr>
              <w:t>（1）缺交作业次数达1/3以上者。</w:t>
            </w:r>
          </w:p>
          <w:p w14:paraId="3BBD4F0A">
            <w:pPr>
              <w:spacing w:line="273" w:lineRule="auto"/>
              <w:rPr>
                <w:rFonts w:hint="eastAsia" w:ascii="宋体" w:hAnsi="宋体" w:eastAsia="宋体" w:cs="宋体"/>
                <w:szCs w:val="21"/>
              </w:rPr>
            </w:pPr>
            <w:r>
              <w:rPr>
                <w:rFonts w:hint="eastAsia" w:ascii="宋体" w:hAnsi="宋体" w:eastAsia="宋体" w:cs="宋体"/>
                <w:szCs w:val="21"/>
              </w:rPr>
              <w:t>（2）缺课次数达本学期总授课学时的1/3以上者。</w:t>
            </w:r>
          </w:p>
        </w:tc>
      </w:tr>
    </w:tbl>
    <w:p w14:paraId="2A6AA7AF">
      <w:pPr>
        <w:spacing w:line="276" w:lineRule="auto"/>
        <w:jc w:val="left"/>
        <w:rPr>
          <w:rFonts w:hint="eastAsia" w:ascii="宋体" w:hAnsi="宋体" w:eastAsia="宋体" w:cs="宋体"/>
          <w:b/>
          <w:bCs/>
          <w:szCs w:val="21"/>
        </w:rPr>
      </w:pPr>
    </w:p>
    <w:p w14:paraId="58AFBD37">
      <w:pPr>
        <w:pStyle w:val="31"/>
        <w:spacing w:before="62" w:beforeLines="20" w:after="62" w:afterLines="20" w:line="360" w:lineRule="auto"/>
        <w:ind w:firstLine="0" w:firstLineChars="0"/>
        <w:jc w:val="left"/>
        <w:rPr>
          <w:rFonts w:hint="eastAsia" w:ascii="宋体" w:hAnsi="宋体" w:eastAsia="宋体" w:cs="宋体"/>
          <w:b/>
          <w:bCs/>
          <w:sz w:val="24"/>
        </w:rPr>
      </w:pPr>
      <w:r>
        <w:rPr>
          <w:rFonts w:hint="eastAsia" w:ascii="宋体" w:hAnsi="宋体" w:eastAsia="宋体" w:cs="宋体"/>
          <w:b/>
          <w:bCs/>
          <w:sz w:val="24"/>
        </w:rPr>
        <w:t>六、参考书目及相关材料</w:t>
      </w:r>
    </w:p>
    <w:p w14:paraId="68FABC3F">
      <w:pPr>
        <w:spacing w:line="276" w:lineRule="auto"/>
        <w:ind w:left="562"/>
        <w:jc w:val="left"/>
        <w:rPr>
          <w:rFonts w:hint="eastAsia" w:ascii="宋体" w:hAnsi="宋体" w:eastAsia="宋体" w:cs="宋体"/>
          <w:b/>
          <w:bCs/>
          <w:szCs w:val="21"/>
        </w:rPr>
      </w:pPr>
      <w:r>
        <w:rPr>
          <w:rFonts w:hint="eastAsia" w:ascii="宋体" w:hAnsi="宋体" w:eastAsia="宋体" w:cs="宋体"/>
          <w:b/>
          <w:bCs/>
          <w:szCs w:val="21"/>
        </w:rPr>
        <w:t>（一）参考书目</w:t>
      </w:r>
    </w:p>
    <w:p w14:paraId="7614B1D9">
      <w:pPr>
        <w:spacing w:line="276" w:lineRule="auto"/>
        <w:ind w:firstLine="420" w:firstLineChars="200"/>
        <w:rPr>
          <w:rFonts w:hint="eastAsia" w:ascii="宋体" w:hAnsi="宋体" w:eastAsia="宋体" w:cs="宋体"/>
          <w:szCs w:val="21"/>
        </w:rPr>
      </w:pPr>
      <w:r>
        <w:rPr>
          <w:rFonts w:hint="eastAsia" w:ascii="宋体" w:hAnsi="宋体" w:eastAsia="宋体" w:cs="宋体"/>
          <w:szCs w:val="21"/>
        </w:rPr>
        <w:t>1．《古代汉语》，郭锡良主编，天津教育出版社，1996年版。</w:t>
      </w:r>
    </w:p>
    <w:p w14:paraId="12F7C06E">
      <w:pPr>
        <w:spacing w:line="276" w:lineRule="auto"/>
        <w:ind w:firstLine="420" w:firstLineChars="200"/>
        <w:rPr>
          <w:rFonts w:hint="eastAsia" w:ascii="宋体" w:hAnsi="宋体" w:eastAsia="宋体" w:cs="宋体"/>
          <w:szCs w:val="21"/>
        </w:rPr>
      </w:pPr>
      <w:r>
        <w:rPr>
          <w:rFonts w:hint="eastAsia" w:ascii="宋体" w:hAnsi="宋体" w:eastAsia="宋体" w:cs="宋体"/>
          <w:szCs w:val="21"/>
        </w:rPr>
        <w:t>2．《古代汉语》，许嘉璐主编，高等教育出版社，1992年版。</w:t>
      </w:r>
    </w:p>
    <w:p w14:paraId="459DF355">
      <w:pPr>
        <w:spacing w:line="276" w:lineRule="auto"/>
        <w:ind w:firstLine="420" w:firstLineChars="200"/>
        <w:rPr>
          <w:rFonts w:hint="eastAsia" w:ascii="宋体" w:hAnsi="宋体" w:eastAsia="宋体" w:cs="宋体"/>
          <w:szCs w:val="21"/>
        </w:rPr>
      </w:pPr>
      <w:r>
        <w:rPr>
          <w:rFonts w:hint="eastAsia" w:ascii="宋体" w:hAnsi="宋体" w:eastAsia="宋体" w:cs="宋体"/>
          <w:szCs w:val="21"/>
        </w:rPr>
        <w:t>3．《古代汉语》，刘亦晨主编，华东师范大学出版社，1997年版。</w:t>
      </w:r>
    </w:p>
    <w:p w14:paraId="578CE6A2">
      <w:pPr>
        <w:spacing w:line="276" w:lineRule="auto"/>
        <w:ind w:firstLine="420" w:firstLineChars="200"/>
        <w:rPr>
          <w:rFonts w:hint="eastAsia" w:ascii="宋体" w:hAnsi="宋体" w:eastAsia="宋体" w:cs="宋体"/>
          <w:szCs w:val="21"/>
        </w:rPr>
      </w:pPr>
      <w:r>
        <w:rPr>
          <w:rFonts w:hint="eastAsia" w:ascii="宋体" w:hAnsi="宋体" w:eastAsia="宋体" w:cs="宋体"/>
          <w:szCs w:val="21"/>
        </w:rPr>
        <w:t>4．《文字学概要》，裘锡圭，商务印书馆，1999年版。</w:t>
      </w:r>
    </w:p>
    <w:p w14:paraId="5378BE20">
      <w:pPr>
        <w:spacing w:line="276" w:lineRule="auto"/>
        <w:ind w:firstLine="420" w:firstLineChars="200"/>
        <w:rPr>
          <w:rFonts w:hint="eastAsia" w:ascii="宋体" w:hAnsi="宋体" w:eastAsia="宋体" w:cs="宋体"/>
          <w:szCs w:val="21"/>
        </w:rPr>
      </w:pPr>
      <w:r>
        <w:rPr>
          <w:rFonts w:hint="eastAsia" w:ascii="宋体" w:hAnsi="宋体" w:eastAsia="宋体" w:cs="宋体"/>
          <w:szCs w:val="21"/>
        </w:rPr>
        <w:t>5．《汉语音韵学》，王力，中华书局，1987年版。</w:t>
      </w:r>
    </w:p>
    <w:p w14:paraId="5A22B355">
      <w:pPr>
        <w:spacing w:line="276" w:lineRule="auto"/>
        <w:ind w:firstLine="420" w:firstLineChars="200"/>
        <w:rPr>
          <w:rFonts w:hint="eastAsia" w:ascii="宋体" w:hAnsi="宋体" w:eastAsia="宋体" w:cs="宋体"/>
          <w:szCs w:val="21"/>
        </w:rPr>
      </w:pPr>
      <w:r>
        <w:rPr>
          <w:rFonts w:hint="eastAsia" w:ascii="宋体" w:hAnsi="宋体" w:eastAsia="宋体" w:cs="宋体"/>
          <w:szCs w:val="21"/>
        </w:rPr>
        <w:t>6．《诗词格律》，王力，中华书局，1999年版。</w:t>
      </w:r>
    </w:p>
    <w:p w14:paraId="0046985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7．《汉语音韵学常识》，唐作藩，上海教育出版社，1979年版。</w:t>
      </w:r>
    </w:p>
    <w:p w14:paraId="2F4E76D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8．《汉语语法史》，王力，商务印书馆，1989年版。</w:t>
      </w:r>
    </w:p>
    <w:p w14:paraId="7031723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9．《古代汉语虚词词典》，中科院语言研究所古汉语研究室，商务印书馆，2000年版。 </w:t>
      </w:r>
    </w:p>
    <w:p w14:paraId="33F78FFB">
      <w:pPr>
        <w:adjustRightInd w:val="0"/>
        <w:snapToGrid w:val="0"/>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（二）学习网站</w:t>
      </w:r>
    </w:p>
    <w:p w14:paraId="3B5B6E85">
      <w:pPr>
        <w:adjustRightInd w:val="0"/>
        <w:snapToGrid w:val="0"/>
        <w:spacing w:line="360" w:lineRule="auto"/>
        <w:ind w:firstLine="210" w:firstLineChars="100"/>
        <w:jc w:val="left"/>
        <w:rPr>
          <w:rFonts w:hint="eastAsia" w:ascii="宋体" w:hAnsi="宋体" w:eastAsia="宋体" w:cs="宋体"/>
          <w:szCs w:val="21"/>
        </w:rPr>
      </w:pPr>
      <w:r>
        <w:rPr>
          <w:rFonts w:hint="eastAsia" w:ascii="宋体" w:hAnsi="宋体" w:eastAsia="宋体" w:cs="宋体"/>
          <w:smallCaps/>
          <w:kern w:val="44"/>
          <w:szCs w:val="21"/>
        </w:rPr>
        <w:t xml:space="preserve">   </w:t>
      </w:r>
      <w:r>
        <w:rPr>
          <w:rFonts w:hint="eastAsia" w:ascii="宋体" w:hAnsi="宋体" w:eastAsia="宋体" w:cs="宋体"/>
          <w:szCs w:val="21"/>
        </w:rPr>
        <w:t xml:space="preserve">1. 学堂在线-国家精品课程，http://www.xuetangx.com/                       </w:t>
      </w:r>
    </w:p>
    <w:p w14:paraId="3DABB218">
      <w:pPr>
        <w:adjustRightInd w:val="0"/>
        <w:snapToGrid w:val="0"/>
        <w:spacing w:line="360" w:lineRule="auto"/>
        <w:ind w:firstLine="210" w:firstLineChars="100"/>
        <w:jc w:val="left"/>
        <w:rPr>
          <w:rFonts w:hint="eastAsia" w:ascii="宋体" w:hAnsi="宋体" w:eastAsia="宋体" w:cs="宋体"/>
          <w:szCs w:val="21"/>
        </w:rPr>
      </w:pPr>
      <w:r>
        <w:rPr>
          <w:rFonts w:hint="eastAsia" w:ascii="宋体" w:hAnsi="宋体" w:eastAsia="宋体" w:cs="宋体"/>
          <w:szCs w:val="21"/>
        </w:rPr>
        <w:t xml:space="preserve">  2. 爱课程-在线开放课程，ttp://www.icourses.cn/home/</w:t>
      </w:r>
    </w:p>
    <w:p w14:paraId="7EDC0B05">
      <w:pPr>
        <w:adjustRightInd w:val="0"/>
        <w:snapToGrid w:val="0"/>
        <w:spacing w:line="360" w:lineRule="auto"/>
        <w:ind w:firstLine="210" w:firstLineChars="100"/>
        <w:jc w:val="left"/>
        <w:rPr>
          <w:rFonts w:hint="eastAsia" w:ascii="宋体" w:hAnsi="宋体" w:eastAsia="宋体" w:cs="宋体"/>
          <w:szCs w:val="21"/>
        </w:rPr>
      </w:pPr>
      <w:r>
        <w:rPr>
          <w:rFonts w:hint="eastAsia" w:ascii="宋体" w:hAnsi="宋体" w:eastAsia="宋体" w:cs="宋体"/>
          <w:szCs w:val="21"/>
        </w:rPr>
        <w:t xml:space="preserve">  3. 网易公开课-中国大学视频公开课，https://open.163.com/</w:t>
      </w:r>
    </w:p>
    <w:p w14:paraId="5A9FC9E2">
      <w:pPr>
        <w:adjustRightInd w:val="0"/>
        <w:snapToGrid w:val="0"/>
        <w:spacing w:line="360" w:lineRule="auto"/>
        <w:ind w:firstLine="210" w:firstLineChars="100"/>
        <w:jc w:val="left"/>
        <w:rPr>
          <w:rFonts w:hint="eastAsia" w:ascii="宋体" w:hAnsi="宋体" w:eastAsia="宋体" w:cs="宋体"/>
          <w:szCs w:val="21"/>
        </w:rPr>
      </w:pPr>
      <w:r>
        <w:rPr>
          <w:rFonts w:hint="eastAsia" w:ascii="宋体" w:hAnsi="宋体" w:eastAsia="宋体" w:cs="宋体"/>
          <w:szCs w:val="21"/>
        </w:rPr>
        <w:t xml:space="preserve">  4. 中国大学MOOC-国家精品在线开放课程，https://www.icourse163.org/ </w:t>
      </w:r>
    </w:p>
    <w:p w14:paraId="3F10C1BD">
      <w:pPr>
        <w:pStyle w:val="31"/>
        <w:spacing w:before="62" w:beforeLines="20" w:after="62" w:afterLines="20" w:line="360" w:lineRule="auto"/>
        <w:ind w:firstLine="0" w:firstLineChars="0"/>
        <w:jc w:val="left"/>
        <w:rPr>
          <w:rFonts w:hint="eastAsia" w:ascii="宋体" w:hAnsi="宋体" w:eastAsia="宋体" w:cs="宋体"/>
          <w:b/>
          <w:bCs/>
          <w:sz w:val="24"/>
        </w:rPr>
      </w:pPr>
      <w:r>
        <w:rPr>
          <w:rFonts w:hint="eastAsia" w:ascii="宋体" w:hAnsi="宋体" w:eastAsia="宋体" w:cs="宋体"/>
          <w:b/>
          <w:bCs/>
          <w:sz w:val="24"/>
        </w:rPr>
        <w:t>七、其他</w:t>
      </w:r>
    </w:p>
    <w:p w14:paraId="00E532F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本课程鼓励学生通过广泛深入的阅读中国文化经典文本，撰写研究性论文、读书报告等，以拓宽学生的知识面，培养学生查阅文献资料和开展学习研究的能力，促使学生了解本课程的发展及最新研究动态。</w:t>
      </w:r>
    </w:p>
    <w:p w14:paraId="73E04C19">
      <w:pPr>
        <w:spacing w:line="360" w:lineRule="auto"/>
        <w:jc w:val="center"/>
        <w:rPr>
          <w:rFonts w:hint="eastAsia" w:ascii="宋体" w:hAnsi="宋体" w:eastAsia="宋体" w:cs="宋体"/>
          <w:szCs w:val="21"/>
        </w:rPr>
      </w:pPr>
      <w:r>
        <w:rPr>
          <w:rFonts w:hint="eastAsia" w:ascii="宋体" w:hAnsi="宋体" w:eastAsia="宋体" w:cs="宋体"/>
          <w:szCs w:val="21"/>
        </w:rPr>
        <w:t xml:space="preserve">                                                             执 笔 人：王倩倩 </w:t>
      </w:r>
    </w:p>
    <w:p w14:paraId="7ED44148">
      <w:pPr>
        <w:wordWrap w:val="0"/>
        <w:spacing w:line="360" w:lineRule="auto"/>
        <w:jc w:val="right"/>
        <w:rPr>
          <w:rFonts w:hint="eastAsia" w:ascii="宋体" w:hAnsi="宋体" w:eastAsia="宋体" w:cs="宋体"/>
          <w:szCs w:val="21"/>
        </w:rPr>
      </w:pPr>
      <w:r>
        <w:rPr>
          <w:rFonts w:hint="eastAsia" w:ascii="宋体" w:hAnsi="宋体" w:eastAsia="宋体" w:cs="宋体"/>
          <w:szCs w:val="21"/>
        </w:rPr>
        <w:t xml:space="preserve">审 定 人：王  健 </w:t>
      </w:r>
    </w:p>
    <w:p w14:paraId="2FD9699C">
      <w:pPr>
        <w:spacing w:line="360" w:lineRule="auto"/>
        <w:jc w:val="right"/>
        <w:rPr>
          <w:rFonts w:hint="eastAsia" w:ascii="宋体" w:hAnsi="宋体" w:eastAsia="宋体" w:cs="宋体"/>
          <w:szCs w:val="21"/>
        </w:rPr>
      </w:pPr>
      <w:r>
        <w:rPr>
          <w:rFonts w:hint="eastAsia" w:ascii="宋体" w:hAnsi="宋体" w:eastAsia="宋体" w:cs="宋体"/>
          <w:szCs w:val="21"/>
        </w:rPr>
        <w:t>审 批 人： 张志欣</w:t>
      </w:r>
    </w:p>
    <w:p w14:paraId="42B5424A">
      <w:pPr>
        <w:spacing w:line="360" w:lineRule="auto"/>
        <w:jc w:val="right"/>
        <w:rPr>
          <w:rFonts w:hint="eastAsia" w:ascii="宋体" w:hAnsi="宋体" w:eastAsia="宋体" w:cs="宋体"/>
          <w:smallCaps/>
          <w:kern w:val="44"/>
          <w:szCs w:val="21"/>
        </w:rPr>
      </w:pPr>
      <w:r>
        <w:rPr>
          <w:rFonts w:hint="eastAsia" w:ascii="宋体" w:hAnsi="宋体" w:eastAsia="宋体" w:cs="宋体"/>
          <w:szCs w:val="21"/>
        </w:rPr>
        <w:t>批准时间：2025年7月1日</w:t>
      </w:r>
    </w:p>
    <w:p w14:paraId="3EBCE8B3">
      <w:pPr>
        <w:spacing w:line="360" w:lineRule="auto"/>
        <w:rPr>
          <w:rFonts w:ascii="Times New Roman" w:hAnsi="Times New Roman" w:eastAsia="宋体" w:cs="Times New Roman"/>
          <w:smallCaps/>
          <w:kern w:val="44"/>
          <w:sz w:val="24"/>
        </w:rPr>
      </w:pPr>
      <w:r>
        <w:rPr>
          <w:rFonts w:hint="eastAsia" w:ascii="Times New Roman" w:hAnsi="Times New Roman" w:eastAsia="宋体" w:cs="Times New Roman"/>
          <w:smallCaps/>
          <w:kern w:val="44"/>
          <w:sz w:val="24"/>
        </w:rPr>
        <w:br w:type="page"/>
      </w:r>
    </w:p>
    <w:p w14:paraId="7037F05E">
      <w:pPr>
        <w:spacing w:line="360" w:lineRule="auto"/>
        <w:jc w:val="center"/>
        <w:outlineLvl w:val="0"/>
        <w:rPr>
          <w:rFonts w:ascii="Times New Roman" w:hAnsi="Times New Roman" w:eastAsia="宋体" w:cs="Times New Roman"/>
          <w:b/>
          <w:sz w:val="44"/>
          <w:szCs w:val="44"/>
        </w:rPr>
      </w:pPr>
      <w:bookmarkStart w:id="924" w:name="_Toc12045"/>
      <w:bookmarkStart w:id="925" w:name="_Toc12987"/>
      <w:bookmarkStart w:id="926" w:name="_Toc29775"/>
      <w:bookmarkStart w:id="927" w:name="_Toc14609"/>
      <w:r>
        <w:rPr>
          <w:rFonts w:hint="eastAsia" w:ascii="Times New Roman" w:hAnsi="Times New Roman" w:eastAsia="宋体" w:cs="Times New Roman"/>
          <w:b/>
          <w:sz w:val="44"/>
          <w:szCs w:val="44"/>
        </w:rPr>
        <w:t>《现代汉语》课程教学大纲</w:t>
      </w:r>
      <w:bookmarkEnd w:id="924"/>
      <w:bookmarkEnd w:id="925"/>
      <w:bookmarkEnd w:id="926"/>
      <w:bookmarkEnd w:id="927"/>
    </w:p>
    <w:p w14:paraId="2D0D4215">
      <w:pPr>
        <w:spacing w:line="360" w:lineRule="auto"/>
        <w:jc w:val="center"/>
        <w:rPr>
          <w:rFonts w:ascii="Times New Roman" w:hAnsi="Times New Roman" w:eastAsia="宋体" w:cs="Times New Roman"/>
          <w:b/>
          <w:bCs/>
          <w:sz w:val="28"/>
          <w:szCs w:val="28"/>
        </w:rPr>
      </w:pPr>
      <w:bookmarkStart w:id="928" w:name="_Toc26645"/>
      <w:bookmarkStart w:id="929" w:name="_Toc486"/>
      <w:bookmarkStart w:id="930" w:name="_Toc20338"/>
      <w:bookmarkStart w:id="931" w:name="_Toc7061"/>
      <w:bookmarkStart w:id="932" w:name="_Toc24941"/>
      <w:bookmarkStart w:id="933" w:name="_Toc18085"/>
      <w:bookmarkStart w:id="934" w:name="_Toc3687"/>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Modern Chinese</w:t>
      </w:r>
      <w:r>
        <w:rPr>
          <w:rFonts w:hint="eastAsia" w:ascii="Times New Roman" w:hAnsi="Times New Roman" w:eastAsia="宋体" w:cs="Times New Roman"/>
          <w:b/>
          <w:bCs/>
          <w:sz w:val="28"/>
          <w:szCs w:val="28"/>
        </w:rPr>
        <w:t>）</w:t>
      </w:r>
      <w:bookmarkEnd w:id="928"/>
      <w:bookmarkEnd w:id="929"/>
      <w:bookmarkEnd w:id="930"/>
      <w:bookmarkEnd w:id="931"/>
      <w:bookmarkEnd w:id="932"/>
      <w:bookmarkEnd w:id="933"/>
      <w:bookmarkEnd w:id="934"/>
    </w:p>
    <w:p w14:paraId="70ACE3E3">
      <w:pPr>
        <w:spacing w:line="360" w:lineRule="auto"/>
        <w:ind w:firstLine="422" w:firstLineChars="200"/>
        <w:rPr>
          <w:rFonts w:hint="eastAsia" w:ascii="宋体" w:hAnsi="宋体" w:eastAsia="宋体" w:cs="Times New Roman"/>
          <w:b/>
          <w:bCs/>
          <w:kern w:val="0"/>
          <w:szCs w:val="21"/>
        </w:rPr>
      </w:pPr>
    </w:p>
    <w:p w14:paraId="33AF6783">
      <w:pPr>
        <w:spacing w:line="360" w:lineRule="auto"/>
        <w:ind w:firstLine="482" w:firstLineChars="200"/>
        <w:rPr>
          <w:rFonts w:ascii="Calibri" w:hAnsi="Calibri" w:eastAsia="宋体" w:cs="Arial"/>
          <w:szCs w:val="22"/>
        </w:rPr>
      </w:pPr>
      <w:r>
        <w:rPr>
          <w:rFonts w:ascii="宋体" w:hAnsi="宋体" w:eastAsia="宋体" w:cs="Times New Roman"/>
          <w:b/>
          <w:bCs/>
          <w:kern w:val="0"/>
          <w:sz w:val="24"/>
        </w:rPr>
        <w:t>课程代码：</w:t>
      </w:r>
      <w:r>
        <w:rPr>
          <w:rFonts w:ascii="宋体" w:hAnsi="宋体" w:eastAsia="宋体" w:cs="Times New Roman"/>
          <w:kern w:val="0"/>
          <w:sz w:val="24"/>
        </w:rPr>
        <w:t>0705027</w:t>
      </w:r>
    </w:p>
    <w:p w14:paraId="6B22E3BB">
      <w:pPr>
        <w:spacing w:line="360" w:lineRule="auto"/>
        <w:ind w:firstLine="482" w:firstLineChars="200"/>
        <w:rPr>
          <w:rFonts w:ascii="Calibri" w:hAnsi="Calibri" w:eastAsia="宋体" w:cs="Arial"/>
          <w:szCs w:val="22"/>
        </w:rPr>
      </w:pPr>
      <w:r>
        <w:rPr>
          <w:rFonts w:ascii="宋体" w:hAnsi="宋体" w:eastAsia="宋体" w:cs="Times New Roman"/>
          <w:b/>
          <w:bCs/>
          <w:kern w:val="0"/>
          <w:sz w:val="24"/>
        </w:rPr>
        <w:t>学    分：</w:t>
      </w:r>
      <w:r>
        <w:rPr>
          <w:rFonts w:ascii="宋体" w:hAnsi="宋体" w:eastAsia="宋体" w:cs="Times New Roman"/>
          <w:kern w:val="0"/>
          <w:sz w:val="24"/>
        </w:rPr>
        <w:t>3</w:t>
      </w:r>
    </w:p>
    <w:p w14:paraId="3487604A">
      <w:pPr>
        <w:spacing w:line="360" w:lineRule="auto"/>
        <w:ind w:firstLine="482" w:firstLineChars="200"/>
        <w:rPr>
          <w:rFonts w:ascii="Calibri" w:hAnsi="Calibri" w:eastAsia="宋体" w:cs="Arial"/>
          <w:szCs w:val="22"/>
        </w:rPr>
      </w:pPr>
      <w:r>
        <w:rPr>
          <w:rFonts w:ascii="宋体" w:hAnsi="宋体" w:eastAsia="宋体" w:cs="Times New Roman"/>
          <w:b/>
          <w:bCs/>
          <w:kern w:val="0"/>
          <w:sz w:val="24"/>
        </w:rPr>
        <w:t>学    时：</w:t>
      </w:r>
      <w:r>
        <w:rPr>
          <w:rFonts w:ascii="宋体" w:hAnsi="宋体" w:eastAsia="宋体" w:cs="Times New Roman"/>
          <w:kern w:val="0"/>
          <w:sz w:val="24"/>
        </w:rPr>
        <w:t>48 （其中：讲授学时48，实践学时0）</w:t>
      </w:r>
    </w:p>
    <w:p w14:paraId="4885CB54">
      <w:pPr>
        <w:spacing w:line="360" w:lineRule="auto"/>
        <w:ind w:firstLine="482" w:firstLineChars="200"/>
        <w:jc w:val="left"/>
        <w:rPr>
          <w:rFonts w:ascii="Calibri" w:hAnsi="Calibri" w:eastAsia="宋体" w:cs="Arial"/>
          <w:szCs w:val="22"/>
        </w:rPr>
      </w:pPr>
      <w:r>
        <w:rPr>
          <w:rFonts w:ascii="宋体" w:hAnsi="宋体" w:eastAsia="宋体" w:cs="Calibri"/>
          <w:b/>
          <w:bCs/>
          <w:kern w:val="0"/>
          <w:sz w:val="24"/>
        </w:rPr>
        <w:t>先修课程：</w:t>
      </w:r>
      <w:r>
        <w:rPr>
          <w:rFonts w:ascii="宋体" w:hAnsi="宋体" w:eastAsia="宋体" w:cs="Calibri"/>
          <w:sz w:val="24"/>
        </w:rPr>
        <w:t>无</w:t>
      </w:r>
    </w:p>
    <w:p w14:paraId="4FD62431">
      <w:pPr>
        <w:spacing w:line="360" w:lineRule="auto"/>
        <w:ind w:firstLine="482" w:firstLineChars="200"/>
        <w:rPr>
          <w:rFonts w:ascii="Calibri" w:hAnsi="Calibri" w:eastAsia="宋体" w:cs="Arial"/>
          <w:szCs w:val="22"/>
        </w:rPr>
      </w:pPr>
      <w:r>
        <w:rPr>
          <w:rFonts w:ascii="宋体" w:hAnsi="宋体" w:eastAsia="宋体" w:cs="Times New Roman"/>
          <w:b/>
          <w:bCs/>
          <w:kern w:val="0"/>
          <w:sz w:val="24"/>
        </w:rPr>
        <w:t>适用专业：</w:t>
      </w:r>
      <w:r>
        <w:rPr>
          <w:rFonts w:ascii="宋体" w:hAnsi="宋体" w:eastAsia="宋体" w:cs="Times New Roman"/>
          <w:kern w:val="0"/>
          <w:sz w:val="24"/>
        </w:rPr>
        <w:t xml:space="preserve">小学教育（文）                          </w:t>
      </w:r>
    </w:p>
    <w:p w14:paraId="65373AFF">
      <w:pPr>
        <w:spacing w:line="360" w:lineRule="auto"/>
        <w:ind w:firstLine="482" w:firstLineChars="200"/>
        <w:rPr>
          <w:rFonts w:ascii="Calibri" w:hAnsi="Calibri" w:eastAsia="宋体" w:cs="Arial"/>
          <w:szCs w:val="22"/>
        </w:rPr>
      </w:pPr>
      <w:r>
        <w:rPr>
          <w:rFonts w:ascii="宋体" w:hAnsi="宋体" w:eastAsia="宋体" w:cs="Times New Roman"/>
          <w:b/>
          <w:bCs/>
          <w:kern w:val="0"/>
          <w:sz w:val="24"/>
        </w:rPr>
        <w:t>建议教材：</w:t>
      </w:r>
      <w:r>
        <w:rPr>
          <w:rFonts w:ascii="宋体" w:hAnsi="宋体" w:eastAsia="宋体" w:cs="Times New Roman"/>
          <w:kern w:val="0"/>
          <w:sz w:val="24"/>
        </w:rPr>
        <w:t>黄伯荣，廖序东.现代汉语（上册）（下册）.北京：高等教育出版社.2017.6（第六版）。</w:t>
      </w:r>
    </w:p>
    <w:p w14:paraId="12DF489E">
      <w:pPr>
        <w:spacing w:before="62" w:beforeLines="20" w:after="62" w:afterLines="20" w:line="360" w:lineRule="auto"/>
        <w:jc w:val="left"/>
        <w:rPr>
          <w:rFonts w:ascii="Times New Roman" w:hAnsi="Times New Roman" w:eastAsia="宋体" w:cs="Times New Roman"/>
          <w:b/>
          <w:sz w:val="24"/>
        </w:rPr>
      </w:pPr>
      <w:bookmarkStart w:id="935" w:name="_Toc21653"/>
      <w:bookmarkStart w:id="936" w:name="_Toc3343"/>
      <w:bookmarkStart w:id="937" w:name="_Toc5716"/>
      <w:bookmarkStart w:id="938" w:name="_Toc28296"/>
      <w:bookmarkStart w:id="939" w:name="_Toc28395"/>
      <w:bookmarkStart w:id="940" w:name="_Toc25026"/>
      <w:bookmarkStart w:id="941" w:name="_Toc7529"/>
      <w:r>
        <w:rPr>
          <w:rFonts w:hint="eastAsia" w:ascii="Times New Roman" w:hAnsi="Times New Roman" w:eastAsia="宋体" w:cs="Times New Roman"/>
          <w:b/>
          <w:sz w:val="24"/>
        </w:rPr>
        <w:t>一、课程简介</w:t>
      </w:r>
      <w:bookmarkEnd w:id="935"/>
      <w:bookmarkEnd w:id="936"/>
      <w:bookmarkEnd w:id="937"/>
      <w:bookmarkEnd w:id="938"/>
      <w:bookmarkEnd w:id="939"/>
      <w:bookmarkEnd w:id="940"/>
      <w:bookmarkEnd w:id="941"/>
    </w:p>
    <w:p w14:paraId="1AF1922B">
      <w:pPr>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本课程是小学教育（文）专业的基础必修课。本课程的任务是培养和提高学生良好的语言素质和出色的语言能力，以及对现代汉语的理解能力和表达能力、分析能力和思辨能力、创新能力和研究能力，提高学生的普通话表达能力和汉字、词汇的应用能力，为他们将来从事相关工作打好语言基础，也为后续的古代汉语课程及毕业论文写作环节奠定基础。同时，现代汉语课程蕴含着丰富的思想政治元素，包括民族性格、语言特色、家国情怀等，有益于培养学生的文化自信心和民族自豪感，增强学生的专业荣誉感、职业使命感和社会责任感。</w:t>
      </w:r>
    </w:p>
    <w:p w14:paraId="40813B03">
      <w:pPr>
        <w:spacing w:before="62" w:beforeLines="20" w:after="62" w:afterLines="20" w:line="360" w:lineRule="auto"/>
        <w:jc w:val="left"/>
        <w:rPr>
          <w:rFonts w:ascii="Times New Roman" w:hAnsi="Times New Roman" w:eastAsia="宋体" w:cs="Times New Roman"/>
          <w:b/>
          <w:sz w:val="24"/>
        </w:rPr>
      </w:pPr>
      <w:bookmarkStart w:id="942" w:name="_Toc1212683318"/>
      <w:bookmarkStart w:id="943" w:name="_Toc30379"/>
      <w:bookmarkStart w:id="944" w:name="_Toc20142"/>
      <w:bookmarkStart w:id="945" w:name="_Toc13288"/>
      <w:bookmarkStart w:id="946" w:name="_Toc26729"/>
      <w:bookmarkStart w:id="947" w:name="_Toc29431"/>
      <w:bookmarkStart w:id="948" w:name="_Toc16606"/>
      <w:bookmarkStart w:id="949" w:name="_Toc15989"/>
      <w:r>
        <w:rPr>
          <w:rFonts w:hint="eastAsia" w:ascii="Times New Roman" w:hAnsi="Times New Roman" w:eastAsia="宋体" w:cs="Times New Roman"/>
          <w:b/>
          <w:sz w:val="24"/>
        </w:rPr>
        <w:t>二、课程目标</w:t>
      </w:r>
      <w:bookmarkEnd w:id="942"/>
      <w:bookmarkEnd w:id="943"/>
      <w:bookmarkEnd w:id="944"/>
      <w:bookmarkEnd w:id="945"/>
      <w:bookmarkEnd w:id="946"/>
      <w:bookmarkEnd w:id="947"/>
      <w:bookmarkEnd w:id="948"/>
      <w:bookmarkEnd w:id="949"/>
    </w:p>
    <w:p w14:paraId="38C1AF31">
      <w:pPr>
        <w:spacing w:line="360" w:lineRule="auto"/>
        <w:ind w:firstLine="482" w:firstLineChars="200"/>
        <w:rPr>
          <w:rFonts w:hint="eastAsia" w:ascii="宋体" w:hAnsi="宋体" w:eastAsia="宋体" w:cs="宋体"/>
          <w:b/>
          <w:bCs/>
          <w:sz w:val="24"/>
        </w:rPr>
      </w:pPr>
      <w:bookmarkStart w:id="950" w:name="_Toc21870"/>
      <w:r>
        <w:rPr>
          <w:rFonts w:hint="eastAsia" w:ascii="宋体" w:hAnsi="宋体" w:eastAsia="宋体" w:cs="宋体"/>
          <w:b/>
          <w:bCs/>
          <w:sz w:val="24"/>
        </w:rPr>
        <w:t>（一）课程具体目标</w:t>
      </w:r>
      <w:bookmarkEnd w:id="950"/>
    </w:p>
    <w:p w14:paraId="796AC11D">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目标1. 了解现代汉语标准语和方言的基本特点，了解中国语言文化的发展历程，树立正确的民族语言观。</w:t>
      </w:r>
    </w:p>
    <w:p w14:paraId="0F7F7F55">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目标2. 了解现代汉语的语音结构、文字结构、词汇结构与构词方式，现代汉语的短语以及语法结构。</w:t>
      </w:r>
    </w:p>
    <w:p w14:paraId="294494DB">
      <w:pPr>
        <w:spacing w:line="360" w:lineRule="auto"/>
        <w:ind w:firstLine="480" w:firstLineChars="200"/>
        <w:rPr>
          <w:rFonts w:hint="eastAsia" w:ascii="宋体" w:hAnsi="宋体" w:eastAsia="宋体" w:cs="宋体"/>
          <w:kern w:val="0"/>
          <w:sz w:val="24"/>
        </w:rPr>
      </w:pPr>
      <w:r>
        <w:rPr>
          <w:rFonts w:hint="eastAsia" w:ascii="宋体" w:hAnsi="宋体" w:eastAsia="宋体" w:cs="宋体"/>
          <w:kern w:val="0"/>
          <w:sz w:val="24"/>
        </w:rPr>
        <w:t>目标3. 了解现代汉语的修辞类型与特点。领略语言的魅力，学习语言表达的技巧和艺术，为文科的教学工作奠定专业基础。</w:t>
      </w:r>
    </w:p>
    <w:p w14:paraId="470F5925">
      <w:pPr>
        <w:numPr>
          <w:ilvl w:val="0"/>
          <w:numId w:val="23"/>
        </w:numPr>
        <w:spacing w:line="360" w:lineRule="auto"/>
        <w:ind w:firstLine="422" w:firstLineChars="200"/>
        <w:rPr>
          <w:rFonts w:hint="eastAsia" w:ascii="宋体" w:hAnsi="宋体" w:eastAsia="宋体" w:cs="宋体"/>
          <w:b/>
          <w:bCs/>
          <w:szCs w:val="21"/>
        </w:rPr>
      </w:pPr>
      <w:bookmarkStart w:id="951" w:name="_Toc17305"/>
      <w:r>
        <w:rPr>
          <w:rFonts w:hint="eastAsia" w:ascii="宋体" w:hAnsi="宋体" w:eastAsia="宋体" w:cs="宋体"/>
          <w:b/>
          <w:bCs/>
          <w:szCs w:val="21"/>
        </w:rPr>
        <w:t>课程目标与专业毕业要求的关系</w:t>
      </w:r>
      <w:bookmarkEnd w:id="951"/>
    </w:p>
    <w:p w14:paraId="32DBB423">
      <w:pPr>
        <w:spacing w:line="360" w:lineRule="auto"/>
        <w:rPr>
          <w:rFonts w:hint="eastAsia" w:ascii="宋体" w:hAnsi="宋体" w:eastAsia="宋体" w:cs="宋体"/>
          <w:b/>
          <w:bCs/>
          <w:szCs w:val="21"/>
        </w:rPr>
      </w:pPr>
    </w:p>
    <w:p w14:paraId="319A786F">
      <w:pPr>
        <w:spacing w:line="360" w:lineRule="auto"/>
        <w:rPr>
          <w:rFonts w:hint="eastAsia" w:ascii="宋体" w:hAnsi="宋体" w:eastAsia="宋体" w:cs="宋体"/>
          <w:b/>
          <w:bCs/>
          <w:szCs w:val="21"/>
        </w:rPr>
      </w:pPr>
    </w:p>
    <w:tbl>
      <w:tblPr>
        <w:tblStyle w:val="11"/>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4852"/>
        <w:gridCol w:w="2348"/>
      </w:tblGrid>
      <w:tr w14:paraId="03C2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0E0B0C60">
            <w:pPr>
              <w:spacing w:line="273" w:lineRule="auto"/>
              <w:jc w:val="center"/>
              <w:rPr>
                <w:rFonts w:hint="eastAsia" w:ascii="宋体" w:hAnsi="宋体" w:eastAsia="宋体" w:cs="宋体"/>
                <w:b/>
                <w:bCs/>
                <w:szCs w:val="22"/>
              </w:rPr>
            </w:pPr>
            <w:r>
              <w:rPr>
                <w:rFonts w:hint="eastAsia" w:ascii="宋体" w:hAnsi="宋体" w:eastAsia="宋体" w:cs="宋体"/>
                <w:b/>
                <w:bCs/>
                <w:szCs w:val="22"/>
              </w:rPr>
              <w:t>毕业要求</w:t>
            </w:r>
          </w:p>
        </w:tc>
        <w:tc>
          <w:tcPr>
            <w:tcW w:w="4852" w:type="dxa"/>
            <w:tcBorders>
              <w:top w:val="single" w:color="auto" w:sz="4" w:space="0"/>
              <w:left w:val="nil"/>
              <w:bottom w:val="single" w:color="auto" w:sz="4" w:space="0"/>
              <w:right w:val="single" w:color="auto" w:sz="4" w:space="0"/>
            </w:tcBorders>
            <w:vAlign w:val="center"/>
          </w:tcPr>
          <w:p w14:paraId="58E66E61">
            <w:pPr>
              <w:spacing w:line="273" w:lineRule="auto"/>
              <w:jc w:val="center"/>
              <w:rPr>
                <w:rFonts w:hint="eastAsia" w:ascii="宋体" w:hAnsi="宋体" w:eastAsia="宋体" w:cs="宋体"/>
                <w:b/>
                <w:bCs/>
                <w:szCs w:val="22"/>
              </w:rPr>
            </w:pPr>
            <w:r>
              <w:rPr>
                <w:rFonts w:hint="eastAsia" w:ascii="宋体" w:hAnsi="宋体" w:eastAsia="宋体" w:cs="宋体"/>
                <w:b/>
                <w:bCs/>
                <w:szCs w:val="22"/>
              </w:rPr>
              <w:t>支撑的毕业要求</w:t>
            </w:r>
          </w:p>
        </w:tc>
        <w:tc>
          <w:tcPr>
            <w:tcW w:w="2348" w:type="dxa"/>
            <w:tcBorders>
              <w:top w:val="single" w:color="auto" w:sz="4" w:space="0"/>
              <w:left w:val="nil"/>
              <w:bottom w:val="single" w:color="auto" w:sz="4" w:space="0"/>
              <w:right w:val="single" w:color="auto" w:sz="4" w:space="0"/>
            </w:tcBorders>
            <w:vAlign w:val="center"/>
          </w:tcPr>
          <w:p w14:paraId="1B255F39">
            <w:pPr>
              <w:spacing w:line="274" w:lineRule="auto"/>
              <w:jc w:val="center"/>
              <w:rPr>
                <w:rFonts w:hint="eastAsia" w:ascii="宋体" w:hAnsi="宋体" w:eastAsia="宋体" w:cs="宋体"/>
                <w:b/>
                <w:bCs/>
                <w:szCs w:val="22"/>
              </w:rPr>
            </w:pPr>
            <w:r>
              <w:rPr>
                <w:rFonts w:hint="eastAsia" w:ascii="宋体" w:hAnsi="宋体" w:eastAsia="宋体" w:cs="宋体"/>
                <w:b/>
                <w:bCs/>
                <w:szCs w:val="22"/>
              </w:rPr>
              <w:t>指标点课程目标</w:t>
            </w:r>
          </w:p>
        </w:tc>
      </w:tr>
      <w:tr w14:paraId="26F8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748" w:type="dxa"/>
            <w:tcBorders>
              <w:top w:val="single" w:color="auto" w:sz="4" w:space="0"/>
              <w:left w:val="single" w:color="auto" w:sz="4" w:space="0"/>
              <w:bottom w:val="single" w:color="auto" w:sz="4" w:space="0"/>
              <w:right w:val="single" w:color="auto" w:sz="4" w:space="0"/>
            </w:tcBorders>
            <w:vAlign w:val="center"/>
          </w:tcPr>
          <w:p w14:paraId="65652C9C">
            <w:pPr>
              <w:spacing w:line="273" w:lineRule="auto"/>
              <w:jc w:val="center"/>
              <w:rPr>
                <w:rFonts w:hint="eastAsia" w:ascii="宋体" w:hAnsi="宋体" w:eastAsia="宋体" w:cs="宋体"/>
                <w:kern w:val="0"/>
                <w:sz w:val="20"/>
                <w:szCs w:val="20"/>
              </w:rPr>
            </w:pPr>
            <w:r>
              <w:rPr>
                <w:rFonts w:hint="eastAsia" w:ascii="宋体" w:hAnsi="宋体" w:eastAsia="宋体" w:cs="宋体"/>
                <w:kern w:val="0"/>
                <w:sz w:val="20"/>
                <w:szCs w:val="20"/>
              </w:rPr>
              <w:t>毕业要求3.</w:t>
            </w:r>
          </w:p>
          <w:p w14:paraId="756D499D">
            <w:pPr>
              <w:spacing w:line="273" w:lineRule="auto"/>
              <w:jc w:val="center"/>
              <w:rPr>
                <w:rFonts w:hint="eastAsia" w:ascii="宋体" w:hAnsi="宋体" w:eastAsia="宋体" w:cs="宋体"/>
                <w:sz w:val="20"/>
                <w:szCs w:val="20"/>
              </w:rPr>
            </w:pPr>
            <w:r>
              <w:rPr>
                <w:rFonts w:hint="eastAsia" w:ascii="宋体" w:hAnsi="宋体" w:eastAsia="宋体" w:cs="宋体"/>
                <w:kern w:val="0"/>
                <w:sz w:val="20"/>
                <w:szCs w:val="20"/>
              </w:rPr>
              <w:t>学科素养</w:t>
            </w:r>
          </w:p>
        </w:tc>
        <w:tc>
          <w:tcPr>
            <w:tcW w:w="4852" w:type="dxa"/>
            <w:tcBorders>
              <w:top w:val="single" w:color="auto" w:sz="4" w:space="0"/>
              <w:left w:val="nil"/>
              <w:right w:val="single" w:color="auto" w:sz="4" w:space="0"/>
            </w:tcBorders>
            <w:vAlign w:val="center"/>
          </w:tcPr>
          <w:p w14:paraId="7CAE1048">
            <w:pPr>
              <w:widowControl/>
              <w:jc w:val="left"/>
              <w:rPr>
                <w:rFonts w:hint="eastAsia" w:ascii="宋体" w:hAnsi="宋体" w:eastAsia="宋体" w:cs="宋体"/>
                <w:kern w:val="0"/>
                <w:sz w:val="20"/>
                <w:szCs w:val="20"/>
                <w:lang w:bidi="ar"/>
              </w:rPr>
            </w:pPr>
            <w:r>
              <w:rPr>
                <w:rFonts w:hint="eastAsia" w:ascii="宋体" w:hAnsi="宋体" w:eastAsia="宋体" w:cs="宋体"/>
                <w:b/>
                <w:kern w:val="0"/>
                <w:szCs w:val="21"/>
                <w:lang w:bidi="ar"/>
              </w:rPr>
              <w:t>指标点3-2</w:t>
            </w:r>
            <w:r>
              <w:rPr>
                <w:rFonts w:hint="eastAsia" w:ascii="宋体" w:hAnsi="宋体" w:eastAsia="宋体" w:cs="宋体"/>
                <w:kern w:val="0"/>
                <w:szCs w:val="21"/>
                <w:lang w:bidi="ar"/>
              </w:rPr>
              <w:t xml:space="preserve">：【学科知识扎实】具有学科专业能力，牢固掌握小学语文学科的基本知识、原理和技能。熟悉小学道德与法治学科 的知识体系，掌握小学道德与法治学科的基本知识、原理和技能。 并具备一定的文学学科基本知识，对学习社会科学相关知识有一 定的了解。 </w:t>
            </w:r>
          </w:p>
        </w:tc>
        <w:tc>
          <w:tcPr>
            <w:tcW w:w="2348" w:type="dxa"/>
            <w:tcBorders>
              <w:top w:val="single" w:color="auto" w:sz="4" w:space="0"/>
              <w:left w:val="nil"/>
              <w:right w:val="single" w:color="auto" w:sz="4" w:space="0"/>
            </w:tcBorders>
            <w:vAlign w:val="center"/>
          </w:tcPr>
          <w:p w14:paraId="3CB38AED">
            <w:pPr>
              <w:spacing w:line="273" w:lineRule="auto"/>
              <w:jc w:val="center"/>
              <w:rPr>
                <w:rFonts w:hint="eastAsia" w:ascii="宋体" w:hAnsi="宋体" w:eastAsia="宋体" w:cs="宋体"/>
                <w:sz w:val="20"/>
                <w:szCs w:val="20"/>
              </w:rPr>
            </w:pPr>
            <w:r>
              <w:rPr>
                <w:rFonts w:hint="eastAsia" w:ascii="宋体" w:hAnsi="宋体" w:eastAsia="宋体" w:cs="宋体"/>
                <w:sz w:val="20"/>
                <w:szCs w:val="20"/>
              </w:rPr>
              <w:t>课程目标1</w:t>
            </w:r>
          </w:p>
          <w:p w14:paraId="4EE567CF">
            <w:pPr>
              <w:spacing w:line="273" w:lineRule="auto"/>
              <w:jc w:val="center"/>
              <w:rPr>
                <w:rFonts w:hint="eastAsia" w:ascii="宋体" w:hAnsi="宋体" w:eastAsia="宋体" w:cs="宋体"/>
                <w:sz w:val="20"/>
                <w:szCs w:val="20"/>
              </w:rPr>
            </w:pPr>
            <w:r>
              <w:rPr>
                <w:rFonts w:hint="eastAsia" w:ascii="宋体" w:hAnsi="宋体" w:eastAsia="宋体" w:cs="宋体"/>
                <w:sz w:val="20"/>
                <w:szCs w:val="20"/>
              </w:rPr>
              <w:t>课程目标2</w:t>
            </w:r>
          </w:p>
          <w:p w14:paraId="51CC5580">
            <w:pPr>
              <w:spacing w:line="273" w:lineRule="auto"/>
              <w:jc w:val="center"/>
              <w:rPr>
                <w:rFonts w:hint="eastAsia" w:ascii="宋体" w:hAnsi="宋体" w:eastAsia="宋体" w:cs="宋体"/>
                <w:spacing w:val="2"/>
                <w:kern w:val="0"/>
                <w:sz w:val="20"/>
                <w:szCs w:val="20"/>
              </w:rPr>
            </w:pPr>
            <w:r>
              <w:rPr>
                <w:rFonts w:hint="eastAsia" w:ascii="宋体" w:hAnsi="宋体" w:eastAsia="宋体" w:cs="宋体"/>
                <w:sz w:val="20"/>
                <w:szCs w:val="20"/>
              </w:rPr>
              <w:t>课程目标3</w:t>
            </w:r>
          </w:p>
        </w:tc>
      </w:tr>
    </w:tbl>
    <w:p w14:paraId="396F59FF">
      <w:pPr>
        <w:spacing w:line="276" w:lineRule="auto"/>
        <w:ind w:firstLine="422" w:firstLineChars="200"/>
        <w:rPr>
          <w:rFonts w:hint="eastAsia" w:ascii="宋体" w:hAnsi="宋体" w:eastAsia="宋体" w:cs="宋体"/>
          <w:b/>
          <w:bCs/>
          <w:szCs w:val="21"/>
        </w:rPr>
      </w:pPr>
      <w:bookmarkStart w:id="952" w:name="_Toc18896"/>
      <w:r>
        <w:rPr>
          <w:rFonts w:hint="eastAsia" w:ascii="宋体" w:hAnsi="宋体" w:eastAsia="宋体" w:cs="宋体"/>
          <w:b/>
          <w:bCs/>
          <w:szCs w:val="21"/>
        </w:rPr>
        <w:t>（三）课程思政目标</w:t>
      </w:r>
      <w:bookmarkEnd w:id="952"/>
    </w:p>
    <w:p w14:paraId="7FDC6CD1">
      <w:pPr>
        <w:spacing w:line="360" w:lineRule="auto"/>
        <w:ind w:firstLine="420" w:firstLineChars="200"/>
        <w:jc w:val="left"/>
        <w:rPr>
          <w:rFonts w:hint="eastAsia" w:ascii="宋体" w:hAnsi="宋体" w:eastAsia="宋体" w:cs="宋体"/>
          <w:szCs w:val="21"/>
        </w:rPr>
      </w:pPr>
      <w:bookmarkStart w:id="953" w:name="_Toc10804"/>
      <w:r>
        <w:rPr>
          <w:rFonts w:hint="eastAsia" w:ascii="宋体" w:hAnsi="宋体" w:eastAsia="宋体" w:cs="宋体"/>
          <w:szCs w:val="21"/>
        </w:rPr>
        <w:t>通过系统性知识传授与语言能力培养，潜移默化地引导学生树立爱国爱党、文化自信、汉语自信的价值观念，培养实事求是的科学精神与辩证分析能力，同时激发学生传承中华优秀语言文化的使命感‌。通过汉字演变、经典语料等载体，深化对中华文化底蕴的认知与情感共鸣‌；结合语言政策与实践应用，强化规范使用汉语的责任意识，培育兼具专业素养与家国情怀的新时代人才。‌</w:t>
      </w:r>
      <w:bookmarkEnd w:id="953"/>
    </w:p>
    <w:p w14:paraId="46477E51">
      <w:pPr>
        <w:spacing w:before="62" w:beforeLines="20" w:after="62" w:afterLines="20" w:line="360" w:lineRule="auto"/>
        <w:jc w:val="left"/>
        <w:rPr>
          <w:rFonts w:ascii="Times New Roman" w:hAnsi="Times New Roman" w:eastAsia="宋体" w:cs="Times New Roman"/>
          <w:b/>
          <w:sz w:val="24"/>
        </w:rPr>
      </w:pPr>
      <w:bookmarkStart w:id="954" w:name="_Toc14629"/>
      <w:bookmarkStart w:id="955" w:name="_Toc24129"/>
      <w:bookmarkStart w:id="956" w:name="_Toc16476"/>
      <w:bookmarkStart w:id="957" w:name="_Toc25470"/>
      <w:bookmarkStart w:id="958" w:name="_Toc24004"/>
      <w:bookmarkStart w:id="959" w:name="_Toc8657"/>
      <w:bookmarkStart w:id="960" w:name="_Toc5933"/>
      <w:r>
        <w:rPr>
          <w:rFonts w:hint="eastAsia" w:ascii="Times New Roman" w:hAnsi="Times New Roman" w:eastAsia="宋体" w:cs="Times New Roman"/>
          <w:b/>
          <w:sz w:val="24"/>
        </w:rPr>
        <w:t>二、教学内容与预期学习成效</w:t>
      </w:r>
      <w:bookmarkEnd w:id="954"/>
      <w:bookmarkEnd w:id="955"/>
      <w:bookmarkEnd w:id="956"/>
      <w:bookmarkEnd w:id="957"/>
      <w:bookmarkEnd w:id="958"/>
      <w:bookmarkEnd w:id="959"/>
      <w:bookmarkEnd w:id="960"/>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149"/>
        <w:gridCol w:w="20"/>
        <w:gridCol w:w="1173"/>
        <w:gridCol w:w="18"/>
        <w:gridCol w:w="3010"/>
        <w:gridCol w:w="93"/>
        <w:gridCol w:w="1397"/>
        <w:gridCol w:w="61"/>
        <w:gridCol w:w="438"/>
      </w:tblGrid>
      <w:tr w14:paraId="7A73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Align w:val="center"/>
          </w:tcPr>
          <w:p w14:paraId="3FC5D4F3">
            <w:pPr>
              <w:jc w:val="center"/>
              <w:rPr>
                <w:rFonts w:ascii="Times New Roman" w:hAnsi="Times New Roman" w:eastAsia="宋体" w:cs="Times New Roman"/>
                <w:b/>
                <w:szCs w:val="21"/>
              </w:rPr>
            </w:pPr>
            <w:r>
              <w:rPr>
                <w:rFonts w:ascii="Times New Roman" w:hAnsi="Times New Roman" w:eastAsia="宋体" w:cs="Times New Roman"/>
                <w:b/>
                <w:szCs w:val="21"/>
              </w:rPr>
              <w:t>知识</w:t>
            </w:r>
          </w:p>
          <w:p w14:paraId="23873ADB">
            <w:pPr>
              <w:jc w:val="center"/>
              <w:rPr>
                <w:rFonts w:ascii="Times New Roman" w:hAnsi="Times New Roman" w:eastAsia="宋体" w:cs="Times New Roman"/>
                <w:b/>
                <w:szCs w:val="21"/>
              </w:rPr>
            </w:pPr>
            <w:r>
              <w:rPr>
                <w:rFonts w:ascii="Times New Roman" w:hAnsi="Times New Roman" w:eastAsia="宋体" w:cs="Times New Roman"/>
                <w:b/>
                <w:szCs w:val="21"/>
              </w:rPr>
              <w:t>单元</w:t>
            </w:r>
          </w:p>
        </w:tc>
        <w:tc>
          <w:tcPr>
            <w:tcW w:w="2149" w:type="dxa"/>
            <w:vAlign w:val="center"/>
          </w:tcPr>
          <w:p w14:paraId="15E9AF77">
            <w:pPr>
              <w:jc w:val="center"/>
              <w:rPr>
                <w:rFonts w:ascii="Times New Roman" w:hAnsi="Times New Roman" w:eastAsia="宋体" w:cs="Times New Roman"/>
                <w:b/>
                <w:szCs w:val="21"/>
              </w:rPr>
            </w:pPr>
            <w:r>
              <w:rPr>
                <w:rFonts w:ascii="Times New Roman" w:hAnsi="Times New Roman" w:eastAsia="宋体" w:cs="Times New Roman"/>
                <w:b/>
                <w:szCs w:val="21"/>
              </w:rPr>
              <w:t>知识点</w:t>
            </w:r>
          </w:p>
        </w:tc>
        <w:tc>
          <w:tcPr>
            <w:tcW w:w="1211" w:type="dxa"/>
            <w:gridSpan w:val="3"/>
            <w:vAlign w:val="center"/>
          </w:tcPr>
          <w:p w14:paraId="40FD1BC8">
            <w:pPr>
              <w:jc w:val="center"/>
              <w:rPr>
                <w:rFonts w:ascii="Times New Roman" w:hAnsi="Times New Roman" w:eastAsia="宋体" w:cs="Times New Roman"/>
                <w:b/>
                <w:szCs w:val="21"/>
              </w:rPr>
            </w:pPr>
            <w:r>
              <w:rPr>
                <w:rFonts w:ascii="Times New Roman" w:hAnsi="Times New Roman" w:eastAsia="宋体" w:cs="Times New Roman"/>
                <w:b/>
                <w:szCs w:val="21"/>
              </w:rPr>
              <w:t>对应</w:t>
            </w:r>
          </w:p>
          <w:p w14:paraId="491FA04C">
            <w:pPr>
              <w:jc w:val="center"/>
              <w:rPr>
                <w:rFonts w:ascii="Times New Roman" w:hAnsi="Times New Roman" w:eastAsia="宋体" w:cs="Times New Roman"/>
                <w:b/>
                <w:szCs w:val="21"/>
              </w:rPr>
            </w:pPr>
            <w:r>
              <w:rPr>
                <w:rFonts w:ascii="Times New Roman" w:hAnsi="Times New Roman" w:eastAsia="宋体" w:cs="Times New Roman"/>
                <w:b/>
                <w:szCs w:val="21"/>
              </w:rPr>
              <w:t>课程目标</w:t>
            </w:r>
          </w:p>
        </w:tc>
        <w:tc>
          <w:tcPr>
            <w:tcW w:w="3010" w:type="dxa"/>
            <w:vAlign w:val="center"/>
          </w:tcPr>
          <w:p w14:paraId="5D5558E0">
            <w:pPr>
              <w:jc w:val="center"/>
              <w:rPr>
                <w:rFonts w:ascii="Times New Roman" w:hAnsi="Times New Roman" w:eastAsia="宋体" w:cs="Times New Roman"/>
                <w:b/>
                <w:szCs w:val="21"/>
              </w:rPr>
            </w:pPr>
            <w:r>
              <w:rPr>
                <w:rFonts w:ascii="Times New Roman" w:hAnsi="Times New Roman" w:eastAsia="宋体" w:cs="Times New Roman"/>
                <w:b/>
                <w:szCs w:val="21"/>
              </w:rPr>
              <w:t>预期学习成效</w:t>
            </w:r>
          </w:p>
        </w:tc>
        <w:tc>
          <w:tcPr>
            <w:tcW w:w="1551" w:type="dxa"/>
            <w:gridSpan w:val="3"/>
            <w:vAlign w:val="center"/>
          </w:tcPr>
          <w:p w14:paraId="2E3F7E57">
            <w:pPr>
              <w:jc w:val="center"/>
              <w:rPr>
                <w:rFonts w:ascii="Times New Roman" w:hAnsi="Times New Roman" w:eastAsia="宋体" w:cs="Times New Roman"/>
                <w:b/>
                <w:szCs w:val="21"/>
              </w:rPr>
            </w:pPr>
            <w:r>
              <w:rPr>
                <w:rFonts w:ascii="Times New Roman" w:hAnsi="Times New Roman" w:eastAsia="宋体" w:cs="Times New Roman"/>
                <w:b/>
                <w:szCs w:val="21"/>
              </w:rPr>
              <w:t>实现环节</w:t>
            </w:r>
          </w:p>
        </w:tc>
        <w:tc>
          <w:tcPr>
            <w:tcW w:w="438" w:type="dxa"/>
            <w:vAlign w:val="center"/>
          </w:tcPr>
          <w:p w14:paraId="54DE97D6">
            <w:pPr>
              <w:jc w:val="center"/>
              <w:rPr>
                <w:rFonts w:ascii="Times New Roman" w:hAnsi="Times New Roman" w:eastAsia="宋体" w:cs="Times New Roman"/>
                <w:b/>
                <w:szCs w:val="21"/>
              </w:rPr>
            </w:pPr>
            <w:r>
              <w:rPr>
                <w:rFonts w:ascii="Times New Roman" w:hAnsi="Times New Roman" w:eastAsia="宋体" w:cs="Times New Roman"/>
                <w:b/>
                <w:szCs w:val="21"/>
              </w:rPr>
              <w:t>学时</w:t>
            </w:r>
          </w:p>
        </w:tc>
      </w:tr>
      <w:tr w14:paraId="44E9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472B8D13">
            <w:pPr>
              <w:spacing w:line="264" w:lineRule="auto"/>
              <w:jc w:val="center"/>
              <w:rPr>
                <w:rFonts w:ascii="Times New Roman" w:hAnsi="Times New Roman" w:eastAsia="宋体" w:cs="Times New Roman"/>
                <w:szCs w:val="21"/>
              </w:rPr>
            </w:pPr>
            <w:r>
              <w:rPr>
                <w:rFonts w:ascii="Times New Roman" w:hAnsi="Times New Roman" w:eastAsia="宋体" w:cs="Times New Roman"/>
                <w:szCs w:val="21"/>
              </w:rPr>
              <w:t>概论</w:t>
            </w:r>
          </w:p>
        </w:tc>
        <w:tc>
          <w:tcPr>
            <w:tcW w:w="2149" w:type="dxa"/>
            <w:vAlign w:val="center"/>
          </w:tcPr>
          <w:p w14:paraId="6CCFFB53">
            <w:pPr>
              <w:jc w:val="left"/>
              <w:rPr>
                <w:rFonts w:ascii="Times New Roman" w:hAnsi="Times New Roman" w:eastAsia="宋体" w:cs="Times New Roman"/>
                <w:szCs w:val="21"/>
              </w:rPr>
            </w:pPr>
            <w:r>
              <w:rPr>
                <w:rFonts w:ascii="Times New Roman" w:hAnsi="Times New Roman" w:eastAsia="宋体" w:cs="Times New Roman"/>
                <w:szCs w:val="21"/>
              </w:rPr>
              <w:t>（1）汉语标准语普通话的定义。</w:t>
            </w:r>
          </w:p>
          <w:p w14:paraId="01E98ECD">
            <w:pPr>
              <w:jc w:val="left"/>
              <w:rPr>
                <w:rFonts w:ascii="Times New Roman" w:hAnsi="Times New Roman" w:eastAsia="宋体" w:cs="Times New Roman"/>
                <w:szCs w:val="21"/>
              </w:rPr>
            </w:pPr>
            <w:r>
              <w:rPr>
                <w:rFonts w:ascii="Times New Roman" w:hAnsi="Times New Roman" w:eastAsia="宋体" w:cs="Times New Roman"/>
                <w:szCs w:val="21"/>
              </w:rPr>
              <w:t>（2）现代汉语方言的特点。</w:t>
            </w:r>
          </w:p>
          <w:p w14:paraId="7817F475">
            <w:pPr>
              <w:jc w:val="left"/>
              <w:rPr>
                <w:rFonts w:ascii="Times New Roman" w:hAnsi="Times New Roman" w:eastAsia="宋体" w:cs="Times New Roman"/>
                <w:szCs w:val="21"/>
              </w:rPr>
            </w:pPr>
            <w:r>
              <w:rPr>
                <w:rFonts w:ascii="Times New Roman" w:hAnsi="Times New Roman" w:eastAsia="宋体" w:cs="Times New Roman"/>
                <w:szCs w:val="21"/>
              </w:rPr>
              <w:t>（3）现代汉语方言的分类（七分法与十分法）。</w:t>
            </w:r>
          </w:p>
        </w:tc>
        <w:tc>
          <w:tcPr>
            <w:tcW w:w="1211" w:type="dxa"/>
            <w:gridSpan w:val="3"/>
            <w:vAlign w:val="center"/>
          </w:tcPr>
          <w:p w14:paraId="4A0A303B">
            <w:pPr>
              <w:jc w:val="center"/>
              <w:rPr>
                <w:rFonts w:ascii="Times New Roman" w:hAnsi="Times New Roman" w:eastAsia="宋体" w:cs="Times New Roman"/>
                <w:szCs w:val="21"/>
              </w:rPr>
            </w:pPr>
            <w:r>
              <w:rPr>
                <w:rFonts w:ascii="Times New Roman" w:hAnsi="Times New Roman" w:eastAsia="宋体" w:cs="Times New Roman"/>
                <w:szCs w:val="21"/>
              </w:rPr>
              <w:t>课程目标1</w:t>
            </w:r>
          </w:p>
        </w:tc>
        <w:tc>
          <w:tcPr>
            <w:tcW w:w="3010" w:type="dxa"/>
            <w:vAlign w:val="center"/>
          </w:tcPr>
          <w:p w14:paraId="03E91E6E">
            <w:pPr>
              <w:rPr>
                <w:rFonts w:ascii="Times New Roman" w:hAnsi="Times New Roman" w:eastAsia="宋体" w:cs="Times New Roman"/>
                <w:szCs w:val="21"/>
              </w:rPr>
            </w:pPr>
            <w:r>
              <w:rPr>
                <w:rFonts w:ascii="Times New Roman" w:hAnsi="Times New Roman" w:eastAsia="宋体" w:cs="Times New Roman"/>
                <w:szCs w:val="21"/>
              </w:rPr>
              <w:t>（1）掌握汉语标准语的定义。</w:t>
            </w:r>
          </w:p>
          <w:p w14:paraId="21411105">
            <w:pPr>
              <w:rPr>
                <w:rFonts w:ascii="Times New Roman" w:hAnsi="Times New Roman" w:eastAsia="宋体" w:cs="Times New Roman"/>
                <w:szCs w:val="21"/>
              </w:rPr>
            </w:pPr>
            <w:r>
              <w:rPr>
                <w:rFonts w:ascii="Times New Roman" w:hAnsi="Times New Roman" w:eastAsia="宋体" w:cs="Times New Roman"/>
                <w:szCs w:val="21"/>
              </w:rPr>
              <w:t>（2）掌握汉语方言的基本语音特点，并能判断自己的家乡话属于哪一个方言。</w:t>
            </w:r>
          </w:p>
        </w:tc>
        <w:tc>
          <w:tcPr>
            <w:tcW w:w="1551" w:type="dxa"/>
            <w:gridSpan w:val="3"/>
            <w:vAlign w:val="center"/>
          </w:tcPr>
          <w:p w14:paraId="5836A2FD">
            <w:pPr>
              <w:jc w:val="left"/>
              <w:rPr>
                <w:rFonts w:ascii="Times New Roman" w:hAnsi="Times New Roman" w:eastAsia="宋体" w:cs="Times New Roman"/>
                <w:szCs w:val="21"/>
              </w:rPr>
            </w:pPr>
            <w:r>
              <w:rPr>
                <w:rFonts w:ascii="Times New Roman" w:hAnsi="Times New Roman" w:eastAsia="宋体" w:cs="Times New Roman"/>
                <w:szCs w:val="21"/>
              </w:rPr>
              <w:t>1.线上学习</w:t>
            </w:r>
          </w:p>
          <w:p w14:paraId="4317AA43">
            <w:pPr>
              <w:jc w:val="left"/>
              <w:rPr>
                <w:rFonts w:ascii="Times New Roman" w:hAnsi="Times New Roman" w:eastAsia="宋体" w:cs="Times New Roman"/>
                <w:szCs w:val="21"/>
              </w:rPr>
            </w:pPr>
            <w:r>
              <w:rPr>
                <w:rFonts w:ascii="Times New Roman" w:hAnsi="Times New Roman" w:eastAsia="宋体" w:cs="Times New Roman"/>
                <w:szCs w:val="21"/>
              </w:rPr>
              <w:t>2.多媒体教学3.课堂讨论</w:t>
            </w:r>
          </w:p>
          <w:p w14:paraId="7DEBAAD2">
            <w:pPr>
              <w:jc w:val="left"/>
              <w:rPr>
                <w:rFonts w:ascii="Times New Roman" w:hAnsi="Times New Roman" w:eastAsia="宋体" w:cs="Times New Roman"/>
                <w:szCs w:val="21"/>
              </w:rPr>
            </w:pPr>
          </w:p>
        </w:tc>
        <w:tc>
          <w:tcPr>
            <w:tcW w:w="438" w:type="dxa"/>
            <w:vAlign w:val="center"/>
          </w:tcPr>
          <w:p w14:paraId="55053C5D">
            <w:pPr>
              <w:jc w:val="center"/>
              <w:rPr>
                <w:rFonts w:ascii="Times New Roman" w:hAnsi="Times New Roman" w:eastAsia="宋体" w:cs="Times New Roman"/>
                <w:szCs w:val="21"/>
              </w:rPr>
            </w:pPr>
            <w:r>
              <w:rPr>
                <w:rFonts w:ascii="Times New Roman" w:hAnsi="Times New Roman" w:eastAsia="宋体" w:cs="Times New Roman"/>
                <w:szCs w:val="21"/>
              </w:rPr>
              <w:t>2</w:t>
            </w:r>
          </w:p>
        </w:tc>
      </w:tr>
      <w:tr w14:paraId="2896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5200D712">
            <w:pPr>
              <w:spacing w:line="264" w:lineRule="auto"/>
              <w:jc w:val="center"/>
              <w:rPr>
                <w:rFonts w:ascii="Times New Roman" w:hAnsi="Times New Roman" w:eastAsia="宋体" w:cs="Times New Roman"/>
                <w:szCs w:val="21"/>
              </w:rPr>
            </w:pPr>
          </w:p>
        </w:tc>
        <w:tc>
          <w:tcPr>
            <w:tcW w:w="8359" w:type="dxa"/>
            <w:gridSpan w:val="9"/>
            <w:vAlign w:val="center"/>
          </w:tcPr>
          <w:p w14:paraId="0547A522">
            <w:pPr>
              <w:rPr>
                <w:rFonts w:ascii="Times New Roman" w:hAnsi="Times New Roman" w:eastAsia="宋体" w:cs="Times New Roman"/>
                <w:szCs w:val="21"/>
              </w:rPr>
            </w:pPr>
            <w:r>
              <w:rPr>
                <w:rFonts w:ascii="Times New Roman" w:hAnsi="Times New Roman" w:eastAsia="宋体" w:cs="Times New Roman"/>
                <w:b/>
                <w:szCs w:val="21"/>
              </w:rPr>
              <w:t>课程思政目标：</w:t>
            </w:r>
            <w:r>
              <w:rPr>
                <w:rFonts w:ascii="Times New Roman" w:hAnsi="Times New Roman" w:eastAsia="宋体" w:cs="Times New Roman"/>
                <w:szCs w:val="21"/>
              </w:rPr>
              <w:t>通过对汉语方言的认识，使学生加强对本民族语言文化的认同感，为继承和发扬本民族文化，坚定走社会主义发展道路奠定基础。</w:t>
            </w:r>
            <w:r>
              <w:rPr>
                <w:rFonts w:ascii="Times New Roman" w:hAnsi="Times New Roman" w:eastAsia="宋体" w:cs="Times New Roman"/>
                <w:bCs/>
                <w:szCs w:val="21"/>
              </w:rPr>
              <w:t>增强语言规范意识，树立国家通用语言认同感。</w:t>
            </w:r>
          </w:p>
        </w:tc>
      </w:tr>
      <w:tr w14:paraId="45AF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3BC82C51">
            <w:pPr>
              <w:spacing w:line="264" w:lineRule="auto"/>
              <w:jc w:val="center"/>
              <w:rPr>
                <w:rFonts w:ascii="Times New Roman" w:hAnsi="Times New Roman" w:eastAsia="宋体" w:cs="Times New Roman"/>
                <w:szCs w:val="21"/>
              </w:rPr>
            </w:pPr>
            <w:r>
              <w:rPr>
                <w:rFonts w:ascii="Times New Roman" w:hAnsi="Times New Roman" w:eastAsia="宋体" w:cs="Times New Roman"/>
                <w:szCs w:val="21"/>
              </w:rPr>
              <w:t>‌语音（一）</w:t>
            </w:r>
          </w:p>
        </w:tc>
        <w:tc>
          <w:tcPr>
            <w:tcW w:w="2149" w:type="dxa"/>
            <w:vAlign w:val="center"/>
          </w:tcPr>
          <w:p w14:paraId="0958E26A">
            <w:pPr>
              <w:numPr>
                <w:ilvl w:val="0"/>
                <w:numId w:val="24"/>
              </w:numPr>
              <w:jc w:val="left"/>
              <w:rPr>
                <w:rFonts w:ascii="Times New Roman" w:hAnsi="Times New Roman" w:eastAsia="宋体" w:cs="Times New Roman"/>
                <w:szCs w:val="21"/>
              </w:rPr>
            </w:pPr>
            <w:r>
              <w:rPr>
                <w:rFonts w:ascii="Times New Roman" w:hAnsi="Times New Roman" w:eastAsia="宋体" w:cs="Times New Roman"/>
                <w:szCs w:val="21"/>
              </w:rPr>
              <w:t>语音的性质。</w:t>
            </w:r>
          </w:p>
          <w:p w14:paraId="31F2BED2">
            <w:pPr>
              <w:numPr>
                <w:ilvl w:val="0"/>
                <w:numId w:val="24"/>
              </w:numPr>
              <w:jc w:val="left"/>
              <w:rPr>
                <w:rFonts w:ascii="Times New Roman" w:hAnsi="Times New Roman" w:eastAsia="宋体" w:cs="Times New Roman"/>
                <w:szCs w:val="21"/>
              </w:rPr>
            </w:pPr>
            <w:r>
              <w:rPr>
                <w:rFonts w:ascii="Times New Roman" w:hAnsi="Times New Roman" w:eastAsia="宋体" w:cs="Times New Roman"/>
                <w:szCs w:val="21"/>
              </w:rPr>
              <w:t>现代汉语语音结构--声韵调。</w:t>
            </w:r>
          </w:p>
          <w:p w14:paraId="488F4E9D">
            <w:pPr>
              <w:numPr>
                <w:ilvl w:val="0"/>
                <w:numId w:val="24"/>
              </w:numPr>
              <w:jc w:val="left"/>
              <w:rPr>
                <w:rFonts w:ascii="Times New Roman" w:hAnsi="Times New Roman" w:eastAsia="宋体" w:cs="Times New Roman"/>
                <w:szCs w:val="21"/>
              </w:rPr>
            </w:pPr>
            <w:r>
              <w:rPr>
                <w:rFonts w:ascii="Times New Roman" w:hAnsi="Times New Roman" w:eastAsia="宋体" w:cs="Times New Roman"/>
                <w:szCs w:val="21"/>
              </w:rPr>
              <w:t>国际音标。</w:t>
            </w:r>
          </w:p>
          <w:p w14:paraId="3CC7AC16">
            <w:pPr>
              <w:jc w:val="left"/>
              <w:rPr>
                <w:rFonts w:ascii="Times New Roman" w:hAnsi="Times New Roman" w:eastAsia="宋体" w:cs="Times New Roman"/>
                <w:szCs w:val="21"/>
              </w:rPr>
            </w:pPr>
            <w:r>
              <w:rPr>
                <w:rFonts w:ascii="Times New Roman" w:hAnsi="Times New Roman" w:eastAsia="宋体" w:cs="Times New Roman"/>
                <w:szCs w:val="21"/>
              </w:rPr>
              <w:t>（4）汉语拼音与其他拼音系统。</w:t>
            </w:r>
          </w:p>
        </w:tc>
        <w:tc>
          <w:tcPr>
            <w:tcW w:w="1211" w:type="dxa"/>
            <w:gridSpan w:val="3"/>
            <w:vAlign w:val="center"/>
          </w:tcPr>
          <w:p w14:paraId="532193AB">
            <w:pPr>
              <w:jc w:val="center"/>
              <w:rPr>
                <w:rFonts w:ascii="Times New Roman" w:hAnsi="Times New Roman" w:eastAsia="宋体" w:cs="Times New Roman"/>
                <w:szCs w:val="21"/>
              </w:rPr>
            </w:pPr>
            <w:r>
              <w:rPr>
                <w:rFonts w:ascii="Times New Roman" w:hAnsi="Times New Roman" w:eastAsia="宋体" w:cs="Times New Roman"/>
                <w:szCs w:val="21"/>
              </w:rPr>
              <w:t>课程目标1</w:t>
            </w:r>
          </w:p>
          <w:p w14:paraId="4A2AF27E">
            <w:pPr>
              <w:jc w:val="center"/>
              <w:rPr>
                <w:rFonts w:ascii="Times New Roman" w:hAnsi="Times New Roman" w:eastAsia="宋体" w:cs="Times New Roman"/>
                <w:szCs w:val="21"/>
              </w:rPr>
            </w:pPr>
            <w:r>
              <w:rPr>
                <w:rFonts w:ascii="Times New Roman" w:hAnsi="Times New Roman" w:eastAsia="宋体" w:cs="Times New Roman"/>
                <w:szCs w:val="21"/>
              </w:rPr>
              <w:t>课程目标2</w:t>
            </w:r>
          </w:p>
        </w:tc>
        <w:tc>
          <w:tcPr>
            <w:tcW w:w="3010" w:type="dxa"/>
            <w:vAlign w:val="center"/>
          </w:tcPr>
          <w:p w14:paraId="6CA5B0C6">
            <w:pPr>
              <w:numPr>
                <w:ilvl w:val="0"/>
                <w:numId w:val="25"/>
              </w:numPr>
              <w:rPr>
                <w:rFonts w:ascii="Times New Roman" w:hAnsi="Times New Roman" w:eastAsia="宋体" w:cs="Times New Roman"/>
                <w:szCs w:val="21"/>
              </w:rPr>
            </w:pPr>
            <w:r>
              <w:rPr>
                <w:rFonts w:ascii="Times New Roman" w:hAnsi="Times New Roman" w:eastAsia="宋体" w:cs="Times New Roman"/>
                <w:szCs w:val="21"/>
              </w:rPr>
              <w:t>对现代汉语的语音系统有初步的了解。</w:t>
            </w:r>
          </w:p>
          <w:p w14:paraId="2B7B9670">
            <w:pPr>
              <w:rPr>
                <w:rFonts w:ascii="Times New Roman" w:hAnsi="Times New Roman" w:eastAsia="宋体" w:cs="Times New Roman"/>
                <w:szCs w:val="21"/>
              </w:rPr>
            </w:pPr>
            <w:r>
              <w:rPr>
                <w:rFonts w:ascii="Times New Roman" w:hAnsi="Times New Roman" w:eastAsia="宋体" w:cs="Times New Roman"/>
                <w:szCs w:val="21"/>
              </w:rPr>
              <w:t>（2）能够用国际音标写出现代汉语的字词。</w:t>
            </w:r>
          </w:p>
          <w:p w14:paraId="3F471FED">
            <w:pPr>
              <w:jc w:val="left"/>
              <w:rPr>
                <w:rFonts w:ascii="Times New Roman" w:hAnsi="Times New Roman" w:eastAsia="宋体" w:cs="Times New Roman"/>
                <w:szCs w:val="21"/>
              </w:rPr>
            </w:pPr>
          </w:p>
        </w:tc>
        <w:tc>
          <w:tcPr>
            <w:tcW w:w="1551" w:type="dxa"/>
            <w:gridSpan w:val="3"/>
            <w:vAlign w:val="center"/>
          </w:tcPr>
          <w:p w14:paraId="26A0ADC0">
            <w:pPr>
              <w:jc w:val="left"/>
              <w:rPr>
                <w:rFonts w:ascii="Times New Roman" w:hAnsi="Times New Roman" w:eastAsia="宋体" w:cs="Times New Roman"/>
                <w:szCs w:val="21"/>
              </w:rPr>
            </w:pPr>
            <w:r>
              <w:rPr>
                <w:rFonts w:ascii="Times New Roman" w:hAnsi="Times New Roman" w:eastAsia="宋体" w:cs="Times New Roman"/>
                <w:szCs w:val="21"/>
              </w:rPr>
              <w:t>1.多媒体教学</w:t>
            </w:r>
          </w:p>
          <w:p w14:paraId="7D3672BE">
            <w:pPr>
              <w:jc w:val="left"/>
              <w:rPr>
                <w:rFonts w:ascii="Times New Roman" w:hAnsi="Times New Roman" w:eastAsia="宋体" w:cs="Times New Roman"/>
                <w:szCs w:val="21"/>
              </w:rPr>
            </w:pPr>
            <w:r>
              <w:rPr>
                <w:rFonts w:ascii="Times New Roman" w:hAnsi="Times New Roman" w:eastAsia="宋体" w:cs="Times New Roman"/>
                <w:szCs w:val="21"/>
              </w:rPr>
              <w:t>2.课堂讨论</w:t>
            </w:r>
          </w:p>
          <w:p w14:paraId="2CDCD49E">
            <w:pPr>
              <w:jc w:val="left"/>
              <w:rPr>
                <w:rFonts w:ascii="Times New Roman" w:hAnsi="Times New Roman" w:eastAsia="宋体" w:cs="Times New Roman"/>
                <w:szCs w:val="21"/>
              </w:rPr>
            </w:pPr>
            <w:r>
              <w:rPr>
                <w:rFonts w:ascii="Times New Roman" w:hAnsi="Times New Roman" w:eastAsia="宋体" w:cs="Times New Roman"/>
                <w:szCs w:val="21"/>
              </w:rPr>
              <w:t>3.平时作业</w:t>
            </w:r>
          </w:p>
          <w:p w14:paraId="2ED572F6">
            <w:pPr>
              <w:jc w:val="left"/>
              <w:rPr>
                <w:rFonts w:ascii="Times New Roman" w:hAnsi="Times New Roman" w:eastAsia="宋体" w:cs="Times New Roman"/>
                <w:szCs w:val="21"/>
              </w:rPr>
            </w:pPr>
          </w:p>
        </w:tc>
        <w:tc>
          <w:tcPr>
            <w:tcW w:w="438" w:type="dxa"/>
            <w:vAlign w:val="center"/>
          </w:tcPr>
          <w:p w14:paraId="4DA81EBC">
            <w:pPr>
              <w:jc w:val="center"/>
              <w:rPr>
                <w:rFonts w:ascii="Times New Roman" w:hAnsi="Times New Roman" w:eastAsia="宋体" w:cs="Times New Roman"/>
                <w:szCs w:val="21"/>
              </w:rPr>
            </w:pPr>
            <w:r>
              <w:rPr>
                <w:rFonts w:ascii="Times New Roman" w:hAnsi="Times New Roman" w:eastAsia="宋体" w:cs="Times New Roman"/>
                <w:szCs w:val="21"/>
              </w:rPr>
              <w:t>4</w:t>
            </w:r>
          </w:p>
        </w:tc>
      </w:tr>
      <w:tr w14:paraId="0A57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07D21A19">
            <w:pPr>
              <w:spacing w:line="264" w:lineRule="auto"/>
              <w:jc w:val="center"/>
              <w:rPr>
                <w:rFonts w:ascii="Times New Roman" w:hAnsi="Times New Roman" w:eastAsia="宋体" w:cs="Times New Roman"/>
                <w:szCs w:val="21"/>
              </w:rPr>
            </w:pPr>
          </w:p>
        </w:tc>
        <w:tc>
          <w:tcPr>
            <w:tcW w:w="8359" w:type="dxa"/>
            <w:gridSpan w:val="9"/>
            <w:vAlign w:val="center"/>
          </w:tcPr>
          <w:p w14:paraId="223FF2F2">
            <w:pPr>
              <w:jc w:val="left"/>
              <w:rPr>
                <w:rFonts w:ascii="Times New Roman" w:hAnsi="Times New Roman" w:eastAsia="宋体" w:cs="Times New Roman"/>
                <w:szCs w:val="21"/>
              </w:rPr>
            </w:pPr>
            <w:r>
              <w:rPr>
                <w:rFonts w:ascii="Times New Roman" w:hAnsi="Times New Roman" w:eastAsia="宋体" w:cs="Times New Roman"/>
                <w:b/>
                <w:szCs w:val="21"/>
              </w:rPr>
              <w:t>课程思政目标：</w:t>
            </w:r>
            <w:r>
              <w:rPr>
                <w:rFonts w:ascii="Times New Roman" w:hAnsi="Times New Roman" w:eastAsia="宋体" w:cs="Times New Roman"/>
                <w:szCs w:val="21"/>
              </w:rPr>
              <w:t>通过对现代汉语的语音结构、汉语拼音你进行深入了解，提高学生对汉语的关注度，增强学生对汉语文化的认同感、自信心和自豪感。</w:t>
            </w:r>
          </w:p>
        </w:tc>
      </w:tr>
      <w:tr w14:paraId="5A1C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6C3CFF28">
            <w:pPr>
              <w:spacing w:line="264" w:lineRule="auto"/>
              <w:jc w:val="center"/>
              <w:rPr>
                <w:rFonts w:ascii="Times New Roman" w:hAnsi="Times New Roman" w:eastAsia="宋体" w:cs="Times New Roman"/>
                <w:szCs w:val="21"/>
              </w:rPr>
            </w:pPr>
            <w:r>
              <w:rPr>
                <w:rFonts w:ascii="Times New Roman" w:hAnsi="Times New Roman" w:eastAsia="宋体" w:cs="Times New Roman"/>
                <w:szCs w:val="21"/>
              </w:rPr>
              <w:t>语音（二）（三）</w:t>
            </w:r>
          </w:p>
        </w:tc>
        <w:tc>
          <w:tcPr>
            <w:tcW w:w="2149" w:type="dxa"/>
            <w:vAlign w:val="center"/>
          </w:tcPr>
          <w:p w14:paraId="7B159152">
            <w:pPr>
              <w:numPr>
                <w:ilvl w:val="0"/>
                <w:numId w:val="26"/>
              </w:numPr>
              <w:jc w:val="left"/>
              <w:rPr>
                <w:rFonts w:ascii="Times New Roman" w:hAnsi="Times New Roman" w:eastAsia="宋体" w:cs="Times New Roman"/>
                <w:szCs w:val="21"/>
              </w:rPr>
            </w:pPr>
            <w:r>
              <w:rPr>
                <w:rFonts w:ascii="Times New Roman" w:hAnsi="Times New Roman" w:eastAsia="宋体" w:cs="Times New Roman"/>
                <w:szCs w:val="21"/>
              </w:rPr>
              <w:t>辅音、元音、声调、音节；</w:t>
            </w:r>
          </w:p>
          <w:p w14:paraId="0574F74C">
            <w:pPr>
              <w:numPr>
                <w:ilvl w:val="0"/>
                <w:numId w:val="26"/>
              </w:numPr>
              <w:jc w:val="left"/>
              <w:rPr>
                <w:rFonts w:ascii="Times New Roman" w:hAnsi="Times New Roman" w:eastAsia="宋体" w:cs="Times New Roman"/>
                <w:szCs w:val="21"/>
              </w:rPr>
            </w:pPr>
            <w:r>
              <w:rPr>
                <w:rFonts w:ascii="Times New Roman" w:hAnsi="Times New Roman" w:eastAsia="宋体" w:cs="Times New Roman"/>
                <w:szCs w:val="21"/>
              </w:rPr>
              <w:t>音变（变调、轻声、儿化、啊音变）；</w:t>
            </w:r>
          </w:p>
          <w:p w14:paraId="733FBF80">
            <w:pPr>
              <w:jc w:val="left"/>
              <w:rPr>
                <w:rFonts w:ascii="Times New Roman" w:hAnsi="Times New Roman" w:eastAsia="宋体" w:cs="Times New Roman"/>
                <w:szCs w:val="21"/>
              </w:rPr>
            </w:pPr>
            <w:r>
              <w:rPr>
                <w:rFonts w:ascii="Times New Roman" w:hAnsi="Times New Roman" w:eastAsia="宋体" w:cs="Times New Roman"/>
                <w:szCs w:val="21"/>
              </w:rPr>
              <w:t>（3）音系学：音位与音位变体。</w:t>
            </w:r>
          </w:p>
          <w:p w14:paraId="6FA287BC">
            <w:pPr>
              <w:jc w:val="left"/>
              <w:rPr>
                <w:rFonts w:ascii="Times New Roman" w:hAnsi="Times New Roman" w:eastAsia="宋体" w:cs="Times New Roman"/>
                <w:szCs w:val="21"/>
              </w:rPr>
            </w:pPr>
          </w:p>
        </w:tc>
        <w:tc>
          <w:tcPr>
            <w:tcW w:w="1211" w:type="dxa"/>
            <w:gridSpan w:val="3"/>
            <w:vAlign w:val="center"/>
          </w:tcPr>
          <w:p w14:paraId="493E296A">
            <w:pPr>
              <w:jc w:val="center"/>
              <w:rPr>
                <w:rFonts w:ascii="Times New Roman" w:hAnsi="Times New Roman" w:eastAsia="宋体" w:cs="Times New Roman"/>
                <w:szCs w:val="21"/>
              </w:rPr>
            </w:pPr>
            <w:r>
              <w:rPr>
                <w:rFonts w:ascii="Times New Roman" w:hAnsi="Times New Roman" w:eastAsia="宋体" w:cs="Times New Roman"/>
                <w:szCs w:val="21"/>
              </w:rPr>
              <w:t>课程目标1课程目标2</w:t>
            </w:r>
          </w:p>
        </w:tc>
        <w:tc>
          <w:tcPr>
            <w:tcW w:w="3010" w:type="dxa"/>
            <w:vAlign w:val="center"/>
          </w:tcPr>
          <w:p w14:paraId="70C7938F">
            <w:pPr>
              <w:rPr>
                <w:rFonts w:ascii="Times New Roman" w:hAnsi="Times New Roman" w:eastAsia="宋体" w:cs="Times New Roman"/>
                <w:szCs w:val="21"/>
              </w:rPr>
            </w:pPr>
            <w:r>
              <w:rPr>
                <w:rFonts w:ascii="Times New Roman" w:hAnsi="Times New Roman" w:eastAsia="宋体" w:cs="Times New Roman"/>
                <w:szCs w:val="21"/>
              </w:rPr>
              <w:t>（1）能够对现代汉语的辅音和元音进行描写。</w:t>
            </w:r>
          </w:p>
          <w:p w14:paraId="3374BCCD">
            <w:pPr>
              <w:rPr>
                <w:rFonts w:ascii="Times New Roman" w:hAnsi="Times New Roman" w:eastAsia="宋体" w:cs="Times New Roman"/>
                <w:szCs w:val="21"/>
              </w:rPr>
            </w:pPr>
            <w:r>
              <w:rPr>
                <w:rFonts w:ascii="Times New Roman" w:hAnsi="Times New Roman" w:eastAsia="宋体" w:cs="Times New Roman"/>
                <w:szCs w:val="21"/>
              </w:rPr>
              <w:t>（2）能用五度标调法对现代汉语的声调进行标注。</w:t>
            </w:r>
          </w:p>
          <w:p w14:paraId="207BD506">
            <w:pPr>
              <w:rPr>
                <w:rFonts w:ascii="Times New Roman" w:hAnsi="Times New Roman" w:eastAsia="宋体" w:cs="Times New Roman"/>
                <w:szCs w:val="21"/>
              </w:rPr>
            </w:pPr>
            <w:r>
              <w:rPr>
                <w:rFonts w:ascii="Times New Roman" w:hAnsi="Times New Roman" w:eastAsia="宋体" w:cs="Times New Roman"/>
                <w:szCs w:val="21"/>
              </w:rPr>
              <w:t>（3）能准确切分现代汉语音节结构。</w:t>
            </w:r>
          </w:p>
          <w:p w14:paraId="49A804C5">
            <w:pPr>
              <w:rPr>
                <w:rFonts w:ascii="Times New Roman" w:hAnsi="Times New Roman" w:eastAsia="宋体" w:cs="Times New Roman"/>
                <w:szCs w:val="21"/>
              </w:rPr>
            </w:pPr>
            <w:r>
              <w:rPr>
                <w:rFonts w:ascii="Times New Roman" w:hAnsi="Times New Roman" w:eastAsia="宋体" w:cs="Times New Roman"/>
                <w:szCs w:val="21"/>
              </w:rPr>
              <w:t>（4）能够处理常见的现代汉语音变现象。</w:t>
            </w:r>
          </w:p>
          <w:p w14:paraId="4DCBDF3E">
            <w:pPr>
              <w:jc w:val="left"/>
              <w:rPr>
                <w:rFonts w:ascii="Times New Roman" w:hAnsi="Times New Roman" w:eastAsia="宋体" w:cs="Times New Roman"/>
                <w:szCs w:val="21"/>
              </w:rPr>
            </w:pPr>
          </w:p>
        </w:tc>
        <w:tc>
          <w:tcPr>
            <w:tcW w:w="1551" w:type="dxa"/>
            <w:gridSpan w:val="3"/>
            <w:vAlign w:val="center"/>
          </w:tcPr>
          <w:p w14:paraId="21403A06">
            <w:pPr>
              <w:jc w:val="left"/>
              <w:rPr>
                <w:rFonts w:ascii="Times New Roman" w:hAnsi="Times New Roman" w:eastAsia="宋体" w:cs="Times New Roman"/>
                <w:szCs w:val="21"/>
              </w:rPr>
            </w:pPr>
            <w:r>
              <w:rPr>
                <w:rFonts w:ascii="Times New Roman" w:hAnsi="Times New Roman" w:eastAsia="宋体" w:cs="Times New Roman"/>
                <w:szCs w:val="21"/>
              </w:rPr>
              <w:t>1.线上学习</w:t>
            </w:r>
          </w:p>
          <w:p w14:paraId="37FEAC41">
            <w:pPr>
              <w:jc w:val="left"/>
              <w:rPr>
                <w:rFonts w:ascii="Times New Roman" w:hAnsi="Times New Roman" w:eastAsia="宋体" w:cs="Times New Roman"/>
                <w:szCs w:val="21"/>
              </w:rPr>
            </w:pPr>
            <w:r>
              <w:rPr>
                <w:rFonts w:ascii="Times New Roman" w:hAnsi="Times New Roman" w:eastAsia="宋体" w:cs="Times New Roman"/>
                <w:szCs w:val="21"/>
              </w:rPr>
              <w:t>2.多媒体教学3.课堂讨论</w:t>
            </w:r>
          </w:p>
          <w:p w14:paraId="40231CAB">
            <w:pPr>
              <w:jc w:val="left"/>
              <w:rPr>
                <w:rFonts w:ascii="Times New Roman" w:hAnsi="Times New Roman" w:eastAsia="宋体" w:cs="Times New Roman"/>
                <w:szCs w:val="21"/>
              </w:rPr>
            </w:pPr>
            <w:r>
              <w:rPr>
                <w:rFonts w:ascii="Times New Roman" w:hAnsi="Times New Roman" w:eastAsia="宋体" w:cs="Times New Roman"/>
                <w:szCs w:val="21"/>
              </w:rPr>
              <w:t>4.平时作业</w:t>
            </w:r>
          </w:p>
        </w:tc>
        <w:tc>
          <w:tcPr>
            <w:tcW w:w="438" w:type="dxa"/>
            <w:vAlign w:val="center"/>
          </w:tcPr>
          <w:p w14:paraId="1E0FAAE8">
            <w:pPr>
              <w:jc w:val="center"/>
              <w:rPr>
                <w:rFonts w:ascii="Times New Roman" w:hAnsi="Times New Roman" w:eastAsia="宋体" w:cs="Times New Roman"/>
                <w:szCs w:val="21"/>
              </w:rPr>
            </w:pPr>
            <w:r>
              <w:rPr>
                <w:rFonts w:ascii="Times New Roman" w:hAnsi="Times New Roman" w:eastAsia="宋体" w:cs="Times New Roman"/>
                <w:szCs w:val="21"/>
              </w:rPr>
              <w:t>6</w:t>
            </w:r>
          </w:p>
        </w:tc>
      </w:tr>
      <w:tr w14:paraId="7618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0C55C5CF">
            <w:pPr>
              <w:spacing w:line="264" w:lineRule="auto"/>
              <w:jc w:val="center"/>
              <w:rPr>
                <w:rFonts w:ascii="Times New Roman" w:hAnsi="Times New Roman" w:eastAsia="宋体" w:cs="Times New Roman"/>
                <w:szCs w:val="21"/>
              </w:rPr>
            </w:pPr>
          </w:p>
        </w:tc>
        <w:tc>
          <w:tcPr>
            <w:tcW w:w="8359" w:type="dxa"/>
            <w:gridSpan w:val="9"/>
            <w:vAlign w:val="center"/>
          </w:tcPr>
          <w:p w14:paraId="519256C9">
            <w:pPr>
              <w:jc w:val="left"/>
              <w:rPr>
                <w:rFonts w:ascii="Times New Roman" w:hAnsi="Times New Roman" w:eastAsia="宋体" w:cs="Times New Roman"/>
                <w:szCs w:val="21"/>
              </w:rPr>
            </w:pPr>
            <w:r>
              <w:rPr>
                <w:rFonts w:ascii="Times New Roman" w:hAnsi="Times New Roman" w:eastAsia="宋体" w:cs="Times New Roman"/>
                <w:b/>
                <w:szCs w:val="21"/>
              </w:rPr>
              <w:t>课程思政目标：</w:t>
            </w:r>
            <w:r>
              <w:rPr>
                <w:rFonts w:ascii="Times New Roman" w:hAnsi="Times New Roman" w:eastAsia="Arial" w:cs="Times New Roman"/>
                <w:szCs w:val="21"/>
              </w:rPr>
              <w:t>激发汉字文化自信，培养文化遗产保护责任感</w:t>
            </w:r>
          </w:p>
        </w:tc>
      </w:tr>
      <w:tr w14:paraId="6A87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1D4A8193">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文字</w:t>
            </w:r>
          </w:p>
        </w:tc>
        <w:tc>
          <w:tcPr>
            <w:tcW w:w="2149" w:type="dxa"/>
            <w:vAlign w:val="center"/>
          </w:tcPr>
          <w:p w14:paraId="4E59A776">
            <w:pPr>
              <w:numPr>
                <w:ilvl w:val="0"/>
                <w:numId w:val="27"/>
              </w:numPr>
              <w:jc w:val="left"/>
              <w:rPr>
                <w:rFonts w:ascii="Times New Roman" w:hAnsi="Times New Roman" w:eastAsia="Arial" w:cs="Times New Roman"/>
                <w:szCs w:val="21"/>
              </w:rPr>
            </w:pPr>
            <w:r>
              <w:rPr>
                <w:rFonts w:ascii="Times New Roman" w:hAnsi="Times New Roman" w:eastAsia="Arial" w:cs="Times New Roman"/>
                <w:szCs w:val="21"/>
              </w:rPr>
              <w:t>文字的性质。</w:t>
            </w:r>
          </w:p>
          <w:p w14:paraId="607A4982">
            <w:pPr>
              <w:numPr>
                <w:ilvl w:val="0"/>
                <w:numId w:val="27"/>
              </w:numPr>
              <w:jc w:val="left"/>
              <w:rPr>
                <w:rFonts w:ascii="Times New Roman" w:hAnsi="Times New Roman" w:eastAsia="Arial" w:cs="Times New Roman"/>
                <w:szCs w:val="21"/>
              </w:rPr>
            </w:pPr>
            <w:r>
              <w:rPr>
                <w:rFonts w:ascii="Times New Roman" w:hAnsi="Times New Roman" w:eastAsia="Arial" w:cs="Times New Roman"/>
                <w:szCs w:val="21"/>
              </w:rPr>
              <w:t>汉字的起源。</w:t>
            </w:r>
          </w:p>
          <w:p w14:paraId="4E62F2CB">
            <w:pPr>
              <w:numPr>
                <w:ilvl w:val="0"/>
                <w:numId w:val="27"/>
              </w:numPr>
              <w:jc w:val="left"/>
              <w:rPr>
                <w:rFonts w:ascii="Times New Roman" w:hAnsi="Times New Roman" w:eastAsia="Arial" w:cs="Times New Roman"/>
                <w:szCs w:val="21"/>
              </w:rPr>
            </w:pPr>
            <w:r>
              <w:rPr>
                <w:rFonts w:ascii="Times New Roman" w:hAnsi="Times New Roman" w:eastAsia="Arial" w:cs="Times New Roman"/>
                <w:szCs w:val="21"/>
              </w:rPr>
              <w:t>汉字的特点。</w:t>
            </w:r>
          </w:p>
          <w:p w14:paraId="4509252C">
            <w:pPr>
              <w:numPr>
                <w:ilvl w:val="0"/>
                <w:numId w:val="27"/>
              </w:numPr>
              <w:jc w:val="left"/>
              <w:rPr>
                <w:rFonts w:ascii="Times New Roman" w:hAnsi="Times New Roman" w:eastAsia="Arial" w:cs="Times New Roman"/>
                <w:szCs w:val="21"/>
              </w:rPr>
            </w:pPr>
            <w:r>
              <w:rPr>
                <w:rFonts w:ascii="Times New Roman" w:hAnsi="Times New Roman" w:eastAsia="Arial" w:cs="Times New Roman"/>
                <w:szCs w:val="21"/>
              </w:rPr>
              <w:t>汉字的作用。</w:t>
            </w:r>
          </w:p>
          <w:p w14:paraId="0AE3D125">
            <w:pPr>
              <w:numPr>
                <w:ilvl w:val="0"/>
                <w:numId w:val="27"/>
              </w:numPr>
              <w:jc w:val="left"/>
              <w:rPr>
                <w:rFonts w:ascii="Times New Roman" w:hAnsi="Times New Roman" w:eastAsia="Arial" w:cs="Times New Roman"/>
                <w:szCs w:val="21"/>
              </w:rPr>
            </w:pPr>
            <w:r>
              <w:rPr>
                <w:rFonts w:ascii="Times New Roman" w:hAnsi="Times New Roman" w:eastAsia="Arial" w:cs="Times New Roman"/>
                <w:szCs w:val="21"/>
              </w:rPr>
              <w:t>汉字的形体。</w:t>
            </w:r>
          </w:p>
          <w:p w14:paraId="60DB28D8">
            <w:pPr>
              <w:jc w:val="left"/>
              <w:rPr>
                <w:rFonts w:ascii="Times New Roman" w:hAnsi="Times New Roman" w:eastAsia="宋体" w:cs="Times New Roman"/>
                <w:szCs w:val="21"/>
              </w:rPr>
            </w:pPr>
            <w:r>
              <w:rPr>
                <w:rFonts w:ascii="Times New Roman" w:hAnsi="Times New Roman" w:eastAsia="Arial" w:cs="Times New Roman"/>
                <w:szCs w:val="21"/>
              </w:rPr>
              <w:t>（6）汉字的结构。</w:t>
            </w:r>
          </w:p>
        </w:tc>
        <w:tc>
          <w:tcPr>
            <w:tcW w:w="1211" w:type="dxa"/>
            <w:gridSpan w:val="3"/>
            <w:vAlign w:val="center"/>
          </w:tcPr>
          <w:p w14:paraId="52BACD58">
            <w:pPr>
              <w:jc w:val="center"/>
              <w:rPr>
                <w:rFonts w:ascii="Times New Roman" w:hAnsi="Times New Roman" w:eastAsia="宋体" w:cs="Times New Roman"/>
                <w:szCs w:val="21"/>
              </w:rPr>
            </w:pPr>
            <w:r>
              <w:rPr>
                <w:rFonts w:ascii="Times New Roman" w:hAnsi="Times New Roman" w:eastAsia="宋体" w:cs="Times New Roman"/>
                <w:szCs w:val="21"/>
              </w:rPr>
              <w:t>课程目标2</w:t>
            </w:r>
          </w:p>
        </w:tc>
        <w:tc>
          <w:tcPr>
            <w:tcW w:w="3010" w:type="dxa"/>
            <w:vAlign w:val="center"/>
          </w:tcPr>
          <w:p w14:paraId="636491DE">
            <w:pPr>
              <w:numPr>
                <w:ilvl w:val="0"/>
                <w:numId w:val="28"/>
              </w:numPr>
              <w:jc w:val="left"/>
              <w:rPr>
                <w:rFonts w:ascii="Times New Roman" w:hAnsi="Times New Roman" w:eastAsia="Arial" w:cs="Times New Roman"/>
                <w:szCs w:val="21"/>
              </w:rPr>
            </w:pPr>
            <w:r>
              <w:rPr>
                <w:rFonts w:ascii="Times New Roman" w:hAnsi="Times New Roman" w:eastAsia="Arial" w:cs="Times New Roman"/>
                <w:szCs w:val="21"/>
              </w:rPr>
              <w:t>了解文字、汉字的产生过程</w:t>
            </w:r>
            <w:r>
              <w:rPr>
                <w:rFonts w:ascii="Times New Roman" w:hAnsi="Times New Roman" w:eastAsia="宋体" w:cs="Times New Roman"/>
                <w:szCs w:val="21"/>
              </w:rPr>
              <w:t>，</w:t>
            </w:r>
            <w:r>
              <w:rPr>
                <w:rFonts w:ascii="Times New Roman" w:hAnsi="Times New Roman" w:eastAsia="Arial" w:cs="Times New Roman"/>
                <w:szCs w:val="21"/>
              </w:rPr>
              <w:t>掌握汉字的特点和作用。</w:t>
            </w:r>
          </w:p>
          <w:p w14:paraId="243CD6E1">
            <w:pPr>
              <w:numPr>
                <w:ilvl w:val="0"/>
                <w:numId w:val="28"/>
              </w:numPr>
              <w:jc w:val="left"/>
              <w:rPr>
                <w:rFonts w:ascii="Times New Roman" w:hAnsi="Times New Roman" w:eastAsia="Arial" w:cs="Times New Roman"/>
                <w:szCs w:val="21"/>
              </w:rPr>
            </w:pPr>
            <w:r>
              <w:rPr>
                <w:rFonts w:ascii="Times New Roman" w:hAnsi="Times New Roman" w:eastAsia="Arial" w:cs="Times New Roman"/>
                <w:szCs w:val="21"/>
              </w:rPr>
              <w:t>了解古代汉字形体的演变过程</w:t>
            </w:r>
            <w:r>
              <w:rPr>
                <w:rFonts w:ascii="Times New Roman" w:hAnsi="Times New Roman" w:eastAsia="宋体" w:cs="Times New Roman"/>
                <w:szCs w:val="21"/>
              </w:rPr>
              <w:t>，</w:t>
            </w:r>
            <w:r>
              <w:rPr>
                <w:rFonts w:ascii="Times New Roman" w:hAnsi="Times New Roman" w:eastAsia="Arial" w:cs="Times New Roman"/>
                <w:szCs w:val="21"/>
              </w:rPr>
              <w:t>了解现行汉字的形体。</w:t>
            </w:r>
          </w:p>
          <w:p w14:paraId="4D0C386D">
            <w:pPr>
              <w:numPr>
                <w:ilvl w:val="0"/>
                <w:numId w:val="28"/>
              </w:numPr>
              <w:jc w:val="left"/>
              <w:rPr>
                <w:rFonts w:ascii="Times New Roman" w:hAnsi="Times New Roman" w:eastAsia="Arial" w:cs="Times New Roman"/>
                <w:szCs w:val="21"/>
              </w:rPr>
            </w:pPr>
            <w:r>
              <w:rPr>
                <w:rFonts w:ascii="Times New Roman" w:hAnsi="Times New Roman" w:eastAsia="Arial" w:cs="Times New Roman"/>
                <w:szCs w:val="21"/>
              </w:rPr>
              <w:t>了解汉字的结构单位以及它们的含义、具体类型和特点。</w:t>
            </w:r>
          </w:p>
          <w:p w14:paraId="68DD7A66">
            <w:pPr>
              <w:jc w:val="left"/>
              <w:rPr>
                <w:rFonts w:ascii="Times New Roman" w:hAnsi="Times New Roman" w:eastAsia="Arial" w:cs="Times New Roman"/>
                <w:szCs w:val="21"/>
              </w:rPr>
            </w:pPr>
            <w:r>
              <w:rPr>
                <w:rFonts w:ascii="Times New Roman" w:hAnsi="Times New Roman" w:eastAsia="Arial" w:cs="Times New Roman"/>
                <w:szCs w:val="21"/>
              </w:rPr>
              <w:t>（4）掌握汉字笔画、部件的组合方式，了解笔顺的含义及基本规则</w:t>
            </w:r>
            <w:r>
              <w:rPr>
                <w:rFonts w:ascii="Times New Roman" w:hAnsi="Times New Roman" w:eastAsia="宋体" w:cs="Times New Roman"/>
                <w:szCs w:val="21"/>
              </w:rPr>
              <w:t>，</w:t>
            </w:r>
            <w:r>
              <w:rPr>
                <w:rFonts w:ascii="Times New Roman" w:hAnsi="Times New Roman" w:eastAsia="Arial" w:cs="Times New Roman"/>
                <w:szCs w:val="21"/>
              </w:rPr>
              <w:t>掌握汉字造字法的类型以及各种造字法的具体含义、种类。</w:t>
            </w:r>
          </w:p>
        </w:tc>
        <w:tc>
          <w:tcPr>
            <w:tcW w:w="1551" w:type="dxa"/>
            <w:gridSpan w:val="3"/>
            <w:vAlign w:val="center"/>
          </w:tcPr>
          <w:p w14:paraId="13AD7BDD">
            <w:pPr>
              <w:jc w:val="left"/>
              <w:rPr>
                <w:rFonts w:ascii="Times New Roman" w:hAnsi="Times New Roman" w:eastAsia="宋体" w:cs="Times New Roman"/>
                <w:szCs w:val="21"/>
              </w:rPr>
            </w:pPr>
            <w:r>
              <w:rPr>
                <w:rFonts w:ascii="Times New Roman" w:hAnsi="Times New Roman" w:eastAsia="宋体" w:cs="Times New Roman"/>
                <w:szCs w:val="21"/>
              </w:rPr>
              <w:t>1.线上学习</w:t>
            </w:r>
          </w:p>
          <w:p w14:paraId="01759AD7">
            <w:pPr>
              <w:jc w:val="left"/>
              <w:rPr>
                <w:rFonts w:ascii="Times New Roman" w:hAnsi="Times New Roman" w:eastAsia="宋体" w:cs="Times New Roman"/>
                <w:szCs w:val="21"/>
              </w:rPr>
            </w:pPr>
            <w:r>
              <w:rPr>
                <w:rFonts w:ascii="Times New Roman" w:hAnsi="Times New Roman" w:eastAsia="宋体" w:cs="Times New Roman"/>
                <w:szCs w:val="21"/>
              </w:rPr>
              <w:t>2.多媒体教学3.课堂讨论</w:t>
            </w:r>
          </w:p>
          <w:p w14:paraId="17C1DD82">
            <w:pPr>
              <w:jc w:val="left"/>
              <w:rPr>
                <w:rFonts w:ascii="Times New Roman" w:hAnsi="Times New Roman" w:eastAsia="宋体" w:cs="Times New Roman"/>
                <w:szCs w:val="21"/>
              </w:rPr>
            </w:pPr>
            <w:r>
              <w:rPr>
                <w:rFonts w:ascii="Times New Roman" w:hAnsi="Times New Roman" w:eastAsia="宋体" w:cs="Times New Roman"/>
                <w:szCs w:val="21"/>
              </w:rPr>
              <w:t>4.单元测验</w:t>
            </w:r>
          </w:p>
        </w:tc>
        <w:tc>
          <w:tcPr>
            <w:tcW w:w="438" w:type="dxa"/>
            <w:vAlign w:val="center"/>
          </w:tcPr>
          <w:p w14:paraId="035B8EEF">
            <w:pPr>
              <w:jc w:val="center"/>
              <w:rPr>
                <w:rFonts w:ascii="Times New Roman" w:hAnsi="Times New Roman" w:eastAsia="宋体" w:cs="Times New Roman"/>
                <w:szCs w:val="21"/>
              </w:rPr>
            </w:pPr>
            <w:r>
              <w:rPr>
                <w:rFonts w:ascii="Times New Roman" w:hAnsi="Times New Roman" w:eastAsia="宋体" w:cs="Times New Roman"/>
                <w:szCs w:val="21"/>
              </w:rPr>
              <w:t>8</w:t>
            </w:r>
          </w:p>
        </w:tc>
      </w:tr>
      <w:tr w14:paraId="11B3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39" w:type="dxa"/>
            <w:vMerge w:val="continue"/>
            <w:vAlign w:val="center"/>
          </w:tcPr>
          <w:p w14:paraId="5E4EE374">
            <w:pPr>
              <w:spacing w:line="276" w:lineRule="auto"/>
              <w:jc w:val="center"/>
              <w:rPr>
                <w:rFonts w:ascii="Times New Roman" w:hAnsi="Times New Roman" w:eastAsia="宋体" w:cs="Times New Roman"/>
                <w:szCs w:val="21"/>
              </w:rPr>
            </w:pPr>
          </w:p>
        </w:tc>
        <w:tc>
          <w:tcPr>
            <w:tcW w:w="8359" w:type="dxa"/>
            <w:gridSpan w:val="9"/>
            <w:vAlign w:val="center"/>
          </w:tcPr>
          <w:p w14:paraId="1378CF3B">
            <w:pPr>
              <w:rPr>
                <w:rFonts w:ascii="Times New Roman" w:hAnsi="Times New Roman" w:eastAsia="宋体" w:cs="Times New Roman"/>
                <w:szCs w:val="21"/>
              </w:rPr>
            </w:pPr>
            <w:r>
              <w:rPr>
                <w:rFonts w:ascii="Times New Roman" w:hAnsi="Times New Roman" w:eastAsia="宋体" w:cs="Times New Roman"/>
                <w:b/>
                <w:szCs w:val="21"/>
              </w:rPr>
              <w:t>课程思政目标：</w:t>
            </w:r>
            <w:r>
              <w:rPr>
                <w:rFonts w:ascii="Times New Roman" w:hAnsi="Times New Roman" w:eastAsia="宋体" w:cs="Times New Roman"/>
                <w:szCs w:val="21"/>
              </w:rPr>
              <w:t>通过对汉字的起源、特点、作用进行系统了解，让学生体会到汉文化之美，培养学生对汉民族传统文化的热爱。</w:t>
            </w:r>
          </w:p>
          <w:p w14:paraId="1CB2C81A">
            <w:pPr>
              <w:rPr>
                <w:rFonts w:ascii="Times New Roman" w:hAnsi="Times New Roman" w:eastAsia="宋体" w:cs="Times New Roman"/>
                <w:szCs w:val="21"/>
              </w:rPr>
            </w:pPr>
            <w:r>
              <w:rPr>
                <w:rFonts w:ascii="Times New Roman" w:hAnsi="Times New Roman" w:eastAsia="宋体" w:cs="Times New Roman"/>
                <w:szCs w:val="21"/>
              </w:rPr>
              <w:t>通过对汉字的形体结构进行系统了解，让学生体会到汉字之美美，让学生树立起主动传承中国优秀传统文化的主动性和自觉性。</w:t>
            </w:r>
          </w:p>
        </w:tc>
      </w:tr>
      <w:tr w14:paraId="2ED9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279FEEF2">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词汇</w:t>
            </w:r>
          </w:p>
          <w:p w14:paraId="3D9E94BA">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 xml:space="preserve">（一）‌ </w:t>
            </w:r>
          </w:p>
        </w:tc>
        <w:tc>
          <w:tcPr>
            <w:tcW w:w="2149" w:type="dxa"/>
            <w:vAlign w:val="center"/>
          </w:tcPr>
          <w:p w14:paraId="07BC831C">
            <w:pPr>
              <w:numPr>
                <w:ilvl w:val="0"/>
                <w:numId w:val="29"/>
              </w:numPr>
              <w:jc w:val="left"/>
              <w:rPr>
                <w:rFonts w:ascii="Times New Roman" w:hAnsi="Times New Roman" w:eastAsia="宋体" w:cs="Times New Roman"/>
                <w:szCs w:val="21"/>
              </w:rPr>
            </w:pPr>
            <w:r>
              <w:rPr>
                <w:rFonts w:ascii="Times New Roman" w:hAnsi="Times New Roman" w:eastAsia="宋体" w:cs="Times New Roman"/>
                <w:szCs w:val="21"/>
              </w:rPr>
              <w:t>词汇的性质/结构类型。</w:t>
            </w:r>
          </w:p>
          <w:p w14:paraId="65FE6CFC">
            <w:pPr>
              <w:jc w:val="left"/>
              <w:rPr>
                <w:rFonts w:ascii="Times New Roman" w:hAnsi="Times New Roman" w:eastAsia="宋体" w:cs="Times New Roman"/>
                <w:szCs w:val="21"/>
              </w:rPr>
            </w:pPr>
            <w:r>
              <w:rPr>
                <w:rFonts w:ascii="Times New Roman" w:hAnsi="Times New Roman" w:eastAsia="宋体" w:cs="Times New Roman"/>
                <w:szCs w:val="21"/>
              </w:rPr>
              <w:t>（2）词汇的语义类型。</w:t>
            </w:r>
          </w:p>
          <w:p w14:paraId="6CA7F901">
            <w:pPr>
              <w:jc w:val="left"/>
              <w:rPr>
                <w:rFonts w:ascii="Times New Roman" w:hAnsi="Times New Roman" w:eastAsia="宋体" w:cs="Times New Roman"/>
                <w:szCs w:val="21"/>
              </w:rPr>
            </w:pPr>
            <w:r>
              <w:rPr>
                <w:rFonts w:ascii="Times New Roman" w:hAnsi="Times New Roman" w:eastAsia="宋体" w:cs="Times New Roman"/>
                <w:szCs w:val="21"/>
              </w:rPr>
              <w:t>（3）义项和义素。</w:t>
            </w:r>
          </w:p>
          <w:p w14:paraId="03088611">
            <w:pPr>
              <w:jc w:val="left"/>
              <w:rPr>
                <w:rFonts w:ascii="Times New Roman" w:hAnsi="Times New Roman" w:eastAsia="宋体" w:cs="Times New Roman"/>
                <w:szCs w:val="21"/>
              </w:rPr>
            </w:pPr>
            <w:r>
              <w:rPr>
                <w:rFonts w:ascii="Times New Roman" w:hAnsi="Times New Roman" w:eastAsia="宋体" w:cs="Times New Roman"/>
                <w:szCs w:val="21"/>
              </w:rPr>
              <w:t>（4）语义场。</w:t>
            </w:r>
          </w:p>
          <w:p w14:paraId="790BE076">
            <w:pPr>
              <w:jc w:val="left"/>
              <w:rPr>
                <w:rFonts w:ascii="Times New Roman" w:hAnsi="Times New Roman" w:eastAsia="宋体" w:cs="Times New Roman"/>
                <w:szCs w:val="21"/>
              </w:rPr>
            </w:pPr>
            <w:r>
              <w:rPr>
                <w:rFonts w:ascii="Times New Roman" w:hAnsi="Times New Roman" w:eastAsia="宋体" w:cs="Times New Roman"/>
                <w:szCs w:val="21"/>
              </w:rPr>
              <w:t>（5）同义词、反义词。</w:t>
            </w:r>
          </w:p>
        </w:tc>
        <w:tc>
          <w:tcPr>
            <w:tcW w:w="1211" w:type="dxa"/>
            <w:gridSpan w:val="3"/>
            <w:vAlign w:val="center"/>
          </w:tcPr>
          <w:p w14:paraId="57AF081A">
            <w:pPr>
              <w:jc w:val="center"/>
              <w:rPr>
                <w:rFonts w:ascii="Times New Roman" w:hAnsi="Times New Roman" w:eastAsia="宋体" w:cs="Times New Roman"/>
                <w:szCs w:val="21"/>
              </w:rPr>
            </w:pPr>
            <w:r>
              <w:rPr>
                <w:rFonts w:ascii="Times New Roman" w:hAnsi="Times New Roman" w:eastAsia="宋体" w:cs="Times New Roman"/>
                <w:szCs w:val="21"/>
              </w:rPr>
              <w:t>课程目标2</w:t>
            </w:r>
          </w:p>
        </w:tc>
        <w:tc>
          <w:tcPr>
            <w:tcW w:w="3010" w:type="dxa"/>
            <w:vAlign w:val="center"/>
          </w:tcPr>
          <w:p w14:paraId="70D6BA50">
            <w:pPr>
              <w:numPr>
                <w:ilvl w:val="0"/>
                <w:numId w:val="30"/>
              </w:numPr>
              <w:jc w:val="left"/>
              <w:rPr>
                <w:rFonts w:ascii="Times New Roman" w:hAnsi="Times New Roman" w:eastAsia="Arial" w:cs="Times New Roman"/>
                <w:szCs w:val="21"/>
              </w:rPr>
            </w:pPr>
            <w:r>
              <w:rPr>
                <w:rFonts w:ascii="Times New Roman" w:hAnsi="Times New Roman" w:eastAsia="Arial" w:cs="Times New Roman"/>
                <w:szCs w:val="21"/>
              </w:rPr>
              <w:t>了解词汇的含义。</w:t>
            </w:r>
          </w:p>
          <w:p w14:paraId="78B68C57">
            <w:pPr>
              <w:numPr>
                <w:ilvl w:val="0"/>
                <w:numId w:val="30"/>
              </w:numPr>
              <w:jc w:val="left"/>
              <w:rPr>
                <w:rFonts w:ascii="Times New Roman" w:hAnsi="Times New Roman" w:eastAsia="Arial" w:cs="Times New Roman"/>
                <w:szCs w:val="21"/>
              </w:rPr>
            </w:pPr>
            <w:r>
              <w:rPr>
                <w:rFonts w:ascii="Times New Roman" w:hAnsi="Times New Roman" w:eastAsia="Arial" w:cs="Times New Roman"/>
                <w:szCs w:val="21"/>
              </w:rPr>
              <w:t>掌握词汇的结构类型和语义类型。</w:t>
            </w:r>
          </w:p>
          <w:p w14:paraId="0E32DA6C">
            <w:pPr>
              <w:numPr>
                <w:ilvl w:val="0"/>
                <w:numId w:val="30"/>
              </w:numPr>
              <w:jc w:val="left"/>
              <w:rPr>
                <w:rFonts w:ascii="Times New Roman" w:hAnsi="Times New Roman" w:eastAsia="Arial" w:cs="Times New Roman"/>
                <w:szCs w:val="21"/>
              </w:rPr>
            </w:pPr>
            <w:r>
              <w:rPr>
                <w:rFonts w:ascii="Times New Roman" w:hAnsi="Times New Roman" w:eastAsia="Arial" w:cs="Times New Roman"/>
                <w:szCs w:val="21"/>
              </w:rPr>
              <w:t>掌握汉语词汇的语义类型。（</w:t>
            </w:r>
            <w:r>
              <w:rPr>
                <w:rFonts w:ascii="Times New Roman" w:hAnsi="Times New Roman" w:eastAsia="宋体" w:cs="Times New Roman"/>
                <w:szCs w:val="21"/>
              </w:rPr>
              <w:t>4</w:t>
            </w:r>
            <w:r>
              <w:rPr>
                <w:rFonts w:ascii="Times New Roman" w:hAnsi="Times New Roman" w:eastAsia="Arial" w:cs="Times New Roman"/>
                <w:szCs w:val="21"/>
              </w:rPr>
              <w:t>）对词汇基本要素，包括义素、义项、语义场、同义词、反义词等有基本的认识。</w:t>
            </w:r>
          </w:p>
        </w:tc>
        <w:tc>
          <w:tcPr>
            <w:tcW w:w="1551" w:type="dxa"/>
            <w:gridSpan w:val="3"/>
            <w:vAlign w:val="center"/>
          </w:tcPr>
          <w:p w14:paraId="4FF21B9A">
            <w:pPr>
              <w:jc w:val="left"/>
              <w:rPr>
                <w:rFonts w:ascii="Times New Roman" w:hAnsi="Times New Roman" w:eastAsia="宋体" w:cs="Times New Roman"/>
                <w:szCs w:val="21"/>
              </w:rPr>
            </w:pPr>
            <w:r>
              <w:rPr>
                <w:rFonts w:ascii="Times New Roman" w:hAnsi="Times New Roman" w:eastAsia="宋体" w:cs="Times New Roman"/>
                <w:szCs w:val="21"/>
              </w:rPr>
              <w:t>1.线上学习</w:t>
            </w:r>
          </w:p>
          <w:p w14:paraId="1619CFE5">
            <w:pPr>
              <w:jc w:val="left"/>
              <w:rPr>
                <w:rFonts w:ascii="Times New Roman" w:hAnsi="Times New Roman" w:eastAsia="宋体" w:cs="Times New Roman"/>
                <w:szCs w:val="21"/>
              </w:rPr>
            </w:pPr>
            <w:r>
              <w:rPr>
                <w:rFonts w:ascii="Times New Roman" w:hAnsi="Times New Roman" w:eastAsia="宋体" w:cs="Times New Roman"/>
                <w:szCs w:val="21"/>
              </w:rPr>
              <w:t>2.多媒体教学3.课堂讨论</w:t>
            </w:r>
          </w:p>
          <w:p w14:paraId="77493BB6">
            <w:pPr>
              <w:jc w:val="left"/>
              <w:rPr>
                <w:rFonts w:ascii="Times New Roman" w:hAnsi="Times New Roman" w:eastAsia="宋体" w:cs="Times New Roman"/>
                <w:szCs w:val="21"/>
              </w:rPr>
            </w:pPr>
            <w:r>
              <w:rPr>
                <w:rFonts w:ascii="Times New Roman" w:hAnsi="Times New Roman" w:eastAsia="宋体" w:cs="Times New Roman"/>
                <w:szCs w:val="21"/>
              </w:rPr>
              <w:t>4.单元测验</w:t>
            </w:r>
          </w:p>
        </w:tc>
        <w:tc>
          <w:tcPr>
            <w:tcW w:w="438" w:type="dxa"/>
            <w:vAlign w:val="center"/>
          </w:tcPr>
          <w:p w14:paraId="4F84A5CF">
            <w:pPr>
              <w:jc w:val="center"/>
              <w:rPr>
                <w:rFonts w:ascii="Times New Roman" w:hAnsi="Times New Roman" w:eastAsia="宋体" w:cs="Times New Roman"/>
                <w:szCs w:val="21"/>
              </w:rPr>
            </w:pPr>
            <w:r>
              <w:rPr>
                <w:rFonts w:ascii="Times New Roman" w:hAnsi="Times New Roman" w:eastAsia="宋体" w:cs="Times New Roman"/>
                <w:szCs w:val="21"/>
              </w:rPr>
              <w:t>6</w:t>
            </w:r>
          </w:p>
        </w:tc>
      </w:tr>
      <w:tr w14:paraId="17D2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7622D4E3">
            <w:pPr>
              <w:spacing w:line="276" w:lineRule="auto"/>
              <w:jc w:val="center"/>
              <w:rPr>
                <w:rFonts w:ascii="Times New Roman" w:hAnsi="Times New Roman" w:eastAsia="宋体" w:cs="Times New Roman"/>
                <w:szCs w:val="21"/>
              </w:rPr>
            </w:pPr>
          </w:p>
        </w:tc>
        <w:tc>
          <w:tcPr>
            <w:tcW w:w="8359" w:type="dxa"/>
            <w:gridSpan w:val="9"/>
            <w:vAlign w:val="center"/>
          </w:tcPr>
          <w:p w14:paraId="314DFC3B">
            <w:pPr>
              <w:jc w:val="left"/>
              <w:rPr>
                <w:rFonts w:ascii="Times New Roman" w:hAnsi="Times New Roman" w:eastAsia="宋体" w:cs="Times New Roman"/>
                <w:szCs w:val="21"/>
              </w:rPr>
            </w:pPr>
            <w:r>
              <w:rPr>
                <w:rFonts w:ascii="Times New Roman" w:hAnsi="Times New Roman" w:eastAsia="宋体" w:cs="Times New Roman"/>
                <w:b/>
                <w:szCs w:val="21"/>
              </w:rPr>
              <w:t>课程思政目标：</w:t>
            </w:r>
            <w:r>
              <w:rPr>
                <w:rFonts w:ascii="Times New Roman" w:hAnsi="Times New Roman" w:eastAsia="宋体" w:cs="Times New Roman"/>
                <w:szCs w:val="21"/>
              </w:rPr>
              <w:t>通过对词汇语义层面相关知识进行深入学习，提高学生对词义的认识程度，理解文化词的含义并能将其应用于语言实践中，传承并正确使用汉语词汇，加深对优秀传统文化的理解。</w:t>
            </w:r>
          </w:p>
        </w:tc>
      </w:tr>
      <w:tr w14:paraId="0D6BF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756ED027">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词汇</w:t>
            </w:r>
          </w:p>
          <w:p w14:paraId="3734672C">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（二）</w:t>
            </w:r>
          </w:p>
        </w:tc>
        <w:tc>
          <w:tcPr>
            <w:tcW w:w="2149" w:type="dxa"/>
            <w:vAlign w:val="center"/>
          </w:tcPr>
          <w:p w14:paraId="7066D853">
            <w:pPr>
              <w:numPr>
                <w:ilvl w:val="0"/>
                <w:numId w:val="31"/>
              </w:numPr>
              <w:jc w:val="left"/>
              <w:rPr>
                <w:rFonts w:ascii="Times New Roman" w:hAnsi="Times New Roman" w:eastAsia="Arial" w:cs="Times New Roman"/>
                <w:szCs w:val="21"/>
              </w:rPr>
            </w:pPr>
            <w:r>
              <w:rPr>
                <w:rFonts w:ascii="Times New Roman" w:hAnsi="Times New Roman" w:eastAsia="Arial" w:cs="Times New Roman"/>
                <w:szCs w:val="21"/>
              </w:rPr>
              <w:t>现代汉语的词汇构成。</w:t>
            </w:r>
          </w:p>
          <w:p w14:paraId="3485E416">
            <w:pPr>
              <w:numPr>
                <w:ilvl w:val="0"/>
                <w:numId w:val="31"/>
              </w:numPr>
              <w:jc w:val="left"/>
              <w:rPr>
                <w:rFonts w:ascii="Times New Roman" w:hAnsi="Times New Roman" w:eastAsia="Arial" w:cs="Times New Roman"/>
                <w:szCs w:val="21"/>
              </w:rPr>
            </w:pPr>
            <w:r>
              <w:rPr>
                <w:rFonts w:ascii="Times New Roman" w:hAnsi="Times New Roman" w:eastAsia="Arial" w:cs="Times New Roman"/>
                <w:szCs w:val="21"/>
              </w:rPr>
              <w:t>方言词与外来语。</w:t>
            </w:r>
          </w:p>
          <w:p w14:paraId="0F8BE441">
            <w:pPr>
              <w:jc w:val="left"/>
              <w:rPr>
                <w:rFonts w:ascii="Times New Roman" w:hAnsi="Times New Roman" w:eastAsia="宋体" w:cs="Times New Roman"/>
                <w:szCs w:val="21"/>
              </w:rPr>
            </w:pPr>
            <w:r>
              <w:rPr>
                <w:rFonts w:ascii="Times New Roman" w:hAnsi="Times New Roman" w:eastAsia="Arial" w:cs="Times New Roman"/>
                <w:szCs w:val="21"/>
              </w:rPr>
              <w:t>（3）词汇的发展演变。</w:t>
            </w:r>
          </w:p>
        </w:tc>
        <w:tc>
          <w:tcPr>
            <w:tcW w:w="1211" w:type="dxa"/>
            <w:gridSpan w:val="3"/>
            <w:vAlign w:val="center"/>
          </w:tcPr>
          <w:p w14:paraId="04C0574D">
            <w:pPr>
              <w:jc w:val="center"/>
              <w:rPr>
                <w:rFonts w:ascii="Times New Roman" w:hAnsi="Times New Roman" w:eastAsia="宋体" w:cs="Times New Roman"/>
                <w:szCs w:val="21"/>
              </w:rPr>
            </w:pPr>
            <w:r>
              <w:rPr>
                <w:rFonts w:ascii="Times New Roman" w:hAnsi="Times New Roman" w:eastAsia="宋体" w:cs="Times New Roman"/>
                <w:szCs w:val="21"/>
              </w:rPr>
              <w:t>课程目标2</w:t>
            </w:r>
          </w:p>
        </w:tc>
        <w:tc>
          <w:tcPr>
            <w:tcW w:w="3010" w:type="dxa"/>
            <w:vAlign w:val="center"/>
          </w:tcPr>
          <w:p w14:paraId="61E1D599">
            <w:pPr>
              <w:jc w:val="left"/>
              <w:rPr>
                <w:rFonts w:ascii="Times New Roman" w:hAnsi="Times New Roman" w:eastAsia="Arial" w:cs="Times New Roman"/>
                <w:szCs w:val="21"/>
              </w:rPr>
            </w:pPr>
            <w:r>
              <w:rPr>
                <w:rFonts w:ascii="Times New Roman" w:hAnsi="Times New Roman" w:eastAsia="Arial" w:cs="Times New Roman"/>
                <w:szCs w:val="21"/>
              </w:rPr>
              <w:t>（1）了解汉语词汇系统的构成，对方言词以及外语借词能够有基本的判断。</w:t>
            </w:r>
          </w:p>
          <w:p w14:paraId="2FCC4A5D">
            <w:pPr>
              <w:jc w:val="left"/>
              <w:rPr>
                <w:rFonts w:ascii="Times New Roman" w:hAnsi="Times New Roman" w:eastAsia="宋体" w:cs="Times New Roman"/>
                <w:szCs w:val="21"/>
              </w:rPr>
            </w:pPr>
            <w:r>
              <w:rPr>
                <w:rFonts w:ascii="Times New Roman" w:hAnsi="Times New Roman" w:eastAsia="Arial" w:cs="Times New Roman"/>
                <w:szCs w:val="21"/>
              </w:rPr>
              <w:t>（2）明确汉语词汇发展的基本脉络。</w:t>
            </w:r>
          </w:p>
        </w:tc>
        <w:tc>
          <w:tcPr>
            <w:tcW w:w="1551" w:type="dxa"/>
            <w:gridSpan w:val="3"/>
            <w:vAlign w:val="center"/>
          </w:tcPr>
          <w:p w14:paraId="4B4DAE52">
            <w:pPr>
              <w:jc w:val="left"/>
              <w:rPr>
                <w:rFonts w:ascii="Times New Roman" w:hAnsi="Times New Roman" w:eastAsia="宋体" w:cs="Times New Roman"/>
                <w:szCs w:val="21"/>
              </w:rPr>
            </w:pPr>
            <w:r>
              <w:rPr>
                <w:rFonts w:ascii="Times New Roman" w:hAnsi="Times New Roman" w:eastAsia="宋体" w:cs="Times New Roman"/>
                <w:szCs w:val="21"/>
              </w:rPr>
              <w:t>1.线上学习</w:t>
            </w:r>
          </w:p>
          <w:p w14:paraId="7E256623">
            <w:pPr>
              <w:jc w:val="left"/>
              <w:rPr>
                <w:rFonts w:ascii="Times New Roman" w:hAnsi="Times New Roman" w:eastAsia="宋体" w:cs="Times New Roman"/>
                <w:szCs w:val="21"/>
              </w:rPr>
            </w:pPr>
            <w:r>
              <w:rPr>
                <w:rFonts w:ascii="Times New Roman" w:hAnsi="Times New Roman" w:eastAsia="宋体" w:cs="Times New Roman"/>
                <w:szCs w:val="21"/>
              </w:rPr>
              <w:t>2.多媒体教学3.课堂讨论</w:t>
            </w:r>
          </w:p>
          <w:p w14:paraId="7BCC518F">
            <w:pPr>
              <w:jc w:val="left"/>
              <w:rPr>
                <w:rFonts w:ascii="Times New Roman" w:hAnsi="Times New Roman" w:eastAsia="宋体" w:cs="Times New Roman"/>
                <w:szCs w:val="21"/>
              </w:rPr>
            </w:pPr>
            <w:r>
              <w:rPr>
                <w:rFonts w:ascii="Times New Roman" w:hAnsi="Times New Roman" w:eastAsia="宋体" w:cs="Times New Roman"/>
                <w:szCs w:val="21"/>
              </w:rPr>
              <w:t>4.单元测验</w:t>
            </w:r>
          </w:p>
        </w:tc>
        <w:tc>
          <w:tcPr>
            <w:tcW w:w="438" w:type="dxa"/>
            <w:vAlign w:val="center"/>
          </w:tcPr>
          <w:p w14:paraId="6861DD19">
            <w:pPr>
              <w:jc w:val="center"/>
              <w:rPr>
                <w:rFonts w:ascii="Times New Roman" w:hAnsi="Times New Roman" w:eastAsia="宋体" w:cs="Times New Roman"/>
                <w:szCs w:val="21"/>
              </w:rPr>
            </w:pPr>
            <w:r>
              <w:rPr>
                <w:rFonts w:ascii="Times New Roman" w:hAnsi="Times New Roman" w:eastAsia="宋体" w:cs="Times New Roman"/>
                <w:szCs w:val="21"/>
              </w:rPr>
              <w:t>4</w:t>
            </w:r>
          </w:p>
        </w:tc>
      </w:tr>
      <w:tr w14:paraId="0767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01B80A87">
            <w:pPr>
              <w:spacing w:line="276" w:lineRule="auto"/>
              <w:jc w:val="center"/>
              <w:rPr>
                <w:rFonts w:ascii="Times New Roman" w:hAnsi="Times New Roman" w:eastAsia="宋体" w:cs="Times New Roman"/>
                <w:szCs w:val="21"/>
              </w:rPr>
            </w:pPr>
          </w:p>
        </w:tc>
        <w:tc>
          <w:tcPr>
            <w:tcW w:w="8359" w:type="dxa"/>
            <w:gridSpan w:val="9"/>
            <w:vAlign w:val="center"/>
          </w:tcPr>
          <w:p w14:paraId="0C788A87">
            <w:pPr>
              <w:jc w:val="left"/>
              <w:rPr>
                <w:rFonts w:ascii="Times New Roman" w:hAnsi="Times New Roman" w:eastAsia="宋体" w:cs="Times New Roman"/>
                <w:szCs w:val="21"/>
              </w:rPr>
            </w:pPr>
            <w:r>
              <w:rPr>
                <w:rFonts w:ascii="Times New Roman" w:hAnsi="Times New Roman" w:eastAsia="宋体" w:cs="Times New Roman"/>
                <w:b/>
                <w:szCs w:val="21"/>
              </w:rPr>
              <w:t>课程思政目标：</w:t>
            </w:r>
            <w:r>
              <w:rPr>
                <w:rFonts w:ascii="Times New Roman" w:hAnsi="Times New Roman" w:eastAsia="宋体" w:cs="Times New Roman"/>
                <w:szCs w:val="21"/>
              </w:rPr>
              <w:t>通过对词汇来源、发展演变情况进行了解，引领学生感悟文化词中蕴含的优秀传统文化的价值观。</w:t>
            </w:r>
          </w:p>
        </w:tc>
      </w:tr>
      <w:tr w14:paraId="59D2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196A360B">
            <w:pPr>
              <w:spacing w:line="264" w:lineRule="auto"/>
              <w:jc w:val="center"/>
              <w:rPr>
                <w:rFonts w:ascii="Times New Roman" w:hAnsi="Times New Roman" w:eastAsia="宋体" w:cs="Times New Roman"/>
                <w:szCs w:val="21"/>
              </w:rPr>
            </w:pPr>
            <w:r>
              <w:rPr>
                <w:rFonts w:ascii="Times New Roman" w:hAnsi="Times New Roman" w:eastAsia="宋体" w:cs="Times New Roman"/>
                <w:szCs w:val="21"/>
              </w:rPr>
              <w:t>语法（一）</w:t>
            </w:r>
          </w:p>
        </w:tc>
        <w:tc>
          <w:tcPr>
            <w:tcW w:w="2149" w:type="dxa"/>
            <w:vAlign w:val="center"/>
          </w:tcPr>
          <w:p w14:paraId="1AA8024B">
            <w:pPr>
              <w:numPr>
                <w:ilvl w:val="0"/>
                <w:numId w:val="32"/>
              </w:numPr>
              <w:rPr>
                <w:rFonts w:ascii="Times New Roman" w:hAnsi="Times New Roman" w:eastAsia="宋体" w:cs="Times New Roman"/>
                <w:szCs w:val="21"/>
              </w:rPr>
            </w:pPr>
            <w:r>
              <w:rPr>
                <w:rFonts w:ascii="Times New Roman" w:hAnsi="Times New Roman" w:eastAsia="宋体" w:cs="Times New Roman"/>
                <w:szCs w:val="21"/>
              </w:rPr>
              <w:t>语法和语法体系。</w:t>
            </w:r>
          </w:p>
          <w:p w14:paraId="3A6CAFF8">
            <w:pPr>
              <w:numPr>
                <w:ilvl w:val="0"/>
                <w:numId w:val="32"/>
              </w:numPr>
              <w:rPr>
                <w:rFonts w:ascii="Times New Roman" w:hAnsi="Times New Roman" w:eastAsia="宋体" w:cs="Times New Roman"/>
                <w:szCs w:val="21"/>
              </w:rPr>
            </w:pPr>
            <w:r>
              <w:rPr>
                <w:rFonts w:ascii="Times New Roman" w:hAnsi="Times New Roman" w:eastAsia="宋体" w:cs="Times New Roman"/>
                <w:szCs w:val="21"/>
              </w:rPr>
              <w:t>语法的性质与语法单位。</w:t>
            </w:r>
          </w:p>
          <w:p w14:paraId="76A783D3">
            <w:pPr>
              <w:numPr>
                <w:ilvl w:val="0"/>
                <w:numId w:val="32"/>
              </w:numPr>
              <w:rPr>
                <w:rFonts w:ascii="Times New Roman" w:hAnsi="Times New Roman" w:eastAsia="宋体" w:cs="Times New Roman"/>
                <w:szCs w:val="21"/>
              </w:rPr>
            </w:pPr>
            <w:r>
              <w:rPr>
                <w:rFonts w:ascii="Times New Roman" w:hAnsi="Times New Roman" w:eastAsia="宋体" w:cs="Times New Roman"/>
                <w:szCs w:val="21"/>
              </w:rPr>
              <w:t>词类。</w:t>
            </w:r>
          </w:p>
          <w:p w14:paraId="1379217A">
            <w:pPr>
              <w:rPr>
                <w:rFonts w:ascii="Times New Roman" w:hAnsi="Times New Roman" w:eastAsia="宋体" w:cs="Times New Roman"/>
                <w:szCs w:val="21"/>
              </w:rPr>
            </w:pPr>
            <w:r>
              <w:rPr>
                <w:rFonts w:ascii="Times New Roman" w:hAnsi="Times New Roman" w:eastAsia="宋体" w:cs="Times New Roman"/>
                <w:szCs w:val="21"/>
              </w:rPr>
              <w:t>（4）句法成分。</w:t>
            </w:r>
          </w:p>
          <w:p w14:paraId="2906077C">
            <w:pPr>
              <w:jc w:val="left"/>
              <w:rPr>
                <w:rFonts w:ascii="Times New Roman" w:hAnsi="Times New Roman" w:eastAsia="宋体" w:cs="Times New Roman"/>
                <w:szCs w:val="21"/>
              </w:rPr>
            </w:pPr>
          </w:p>
        </w:tc>
        <w:tc>
          <w:tcPr>
            <w:tcW w:w="1211" w:type="dxa"/>
            <w:gridSpan w:val="3"/>
            <w:vAlign w:val="center"/>
          </w:tcPr>
          <w:p w14:paraId="6759E26E">
            <w:pPr>
              <w:jc w:val="center"/>
              <w:rPr>
                <w:rFonts w:ascii="Times New Roman" w:hAnsi="Times New Roman" w:eastAsia="宋体" w:cs="Times New Roman"/>
                <w:szCs w:val="21"/>
              </w:rPr>
            </w:pPr>
            <w:r>
              <w:rPr>
                <w:rFonts w:ascii="Times New Roman" w:hAnsi="Times New Roman" w:eastAsia="宋体" w:cs="Times New Roman"/>
                <w:szCs w:val="21"/>
              </w:rPr>
              <w:t>课程目标2</w:t>
            </w:r>
          </w:p>
        </w:tc>
        <w:tc>
          <w:tcPr>
            <w:tcW w:w="3010" w:type="dxa"/>
            <w:vAlign w:val="center"/>
          </w:tcPr>
          <w:p w14:paraId="7E50939D">
            <w:pPr>
              <w:numPr>
                <w:ilvl w:val="0"/>
                <w:numId w:val="33"/>
              </w:numPr>
              <w:rPr>
                <w:rFonts w:ascii="Times New Roman" w:hAnsi="Times New Roman" w:eastAsia="宋体" w:cs="Times New Roman"/>
                <w:szCs w:val="21"/>
              </w:rPr>
            </w:pPr>
            <w:r>
              <w:rPr>
                <w:rFonts w:ascii="Times New Roman" w:hAnsi="Times New Roman" w:eastAsia="宋体" w:cs="Times New Roman"/>
                <w:szCs w:val="21"/>
              </w:rPr>
              <w:t>了解语法的基本面向，认识语法的性质。</w:t>
            </w:r>
          </w:p>
          <w:p w14:paraId="743BDF53">
            <w:pPr>
              <w:rPr>
                <w:rFonts w:ascii="Times New Roman" w:hAnsi="Times New Roman" w:eastAsia="宋体" w:cs="Times New Roman"/>
                <w:szCs w:val="21"/>
              </w:rPr>
            </w:pPr>
            <w:r>
              <w:rPr>
                <w:rFonts w:ascii="Times New Roman" w:hAnsi="Times New Roman" w:eastAsia="宋体" w:cs="Times New Roman"/>
                <w:szCs w:val="21"/>
              </w:rPr>
              <w:t>（2）分清四级语法单位</w:t>
            </w:r>
          </w:p>
          <w:p w14:paraId="37F36592">
            <w:pPr>
              <w:jc w:val="left"/>
              <w:rPr>
                <w:rFonts w:ascii="Times New Roman" w:hAnsi="Times New Roman" w:eastAsia="宋体" w:cs="Times New Roman"/>
                <w:szCs w:val="21"/>
              </w:rPr>
            </w:pPr>
            <w:r>
              <w:rPr>
                <w:rFonts w:ascii="Times New Roman" w:hAnsi="Times New Roman" w:eastAsia="宋体" w:cs="Times New Roman"/>
                <w:szCs w:val="21"/>
              </w:rPr>
              <w:t>（3）区分现代汉语的词类划分原则。</w:t>
            </w:r>
          </w:p>
          <w:p w14:paraId="0F8C539B">
            <w:pPr>
              <w:jc w:val="left"/>
              <w:rPr>
                <w:rFonts w:ascii="Times New Roman" w:hAnsi="Times New Roman" w:eastAsia="宋体" w:cs="Times New Roman"/>
                <w:szCs w:val="21"/>
              </w:rPr>
            </w:pPr>
            <w:r>
              <w:rPr>
                <w:rFonts w:ascii="Times New Roman" w:hAnsi="Times New Roman" w:eastAsia="宋体" w:cs="Times New Roman"/>
                <w:szCs w:val="21"/>
              </w:rPr>
              <w:t>（4）了解句法成分的意义与功能。</w:t>
            </w:r>
          </w:p>
          <w:p w14:paraId="15701251">
            <w:pPr>
              <w:jc w:val="left"/>
              <w:rPr>
                <w:rFonts w:ascii="Times New Roman" w:hAnsi="Times New Roman" w:eastAsia="宋体" w:cs="Times New Roman"/>
                <w:szCs w:val="21"/>
              </w:rPr>
            </w:pPr>
            <w:r>
              <w:rPr>
                <w:rFonts w:ascii="Times New Roman" w:hAnsi="Times New Roman" w:eastAsia="宋体" w:cs="Times New Roman"/>
                <w:szCs w:val="21"/>
              </w:rPr>
              <w:t>（5）掌握汉语单句的两类分析方法（中心成分分析法和层次分析法）。</w:t>
            </w:r>
          </w:p>
        </w:tc>
        <w:tc>
          <w:tcPr>
            <w:tcW w:w="1551" w:type="dxa"/>
            <w:gridSpan w:val="3"/>
            <w:vAlign w:val="center"/>
          </w:tcPr>
          <w:p w14:paraId="077B58F7">
            <w:pPr>
              <w:jc w:val="left"/>
              <w:rPr>
                <w:rFonts w:ascii="Times New Roman" w:hAnsi="Times New Roman" w:eastAsia="宋体" w:cs="Times New Roman"/>
                <w:szCs w:val="21"/>
              </w:rPr>
            </w:pPr>
            <w:r>
              <w:rPr>
                <w:rFonts w:ascii="Times New Roman" w:hAnsi="Times New Roman" w:eastAsia="宋体" w:cs="Times New Roman"/>
                <w:szCs w:val="21"/>
              </w:rPr>
              <w:t>1.线上学习</w:t>
            </w:r>
          </w:p>
          <w:p w14:paraId="22109D4D">
            <w:pPr>
              <w:jc w:val="left"/>
              <w:rPr>
                <w:rFonts w:ascii="Times New Roman" w:hAnsi="Times New Roman" w:eastAsia="宋体" w:cs="Times New Roman"/>
                <w:szCs w:val="21"/>
              </w:rPr>
            </w:pPr>
            <w:r>
              <w:rPr>
                <w:rFonts w:ascii="Times New Roman" w:hAnsi="Times New Roman" w:eastAsia="宋体" w:cs="Times New Roman"/>
                <w:szCs w:val="21"/>
              </w:rPr>
              <w:t>2.多媒体教学3.课堂讨论</w:t>
            </w:r>
          </w:p>
          <w:p w14:paraId="726F54D5">
            <w:pPr>
              <w:jc w:val="left"/>
              <w:rPr>
                <w:rFonts w:ascii="Times New Roman" w:hAnsi="Times New Roman" w:eastAsia="宋体" w:cs="Times New Roman"/>
                <w:szCs w:val="21"/>
              </w:rPr>
            </w:pPr>
            <w:r>
              <w:rPr>
                <w:rFonts w:ascii="Times New Roman" w:hAnsi="Times New Roman" w:eastAsia="宋体" w:cs="Times New Roman"/>
                <w:szCs w:val="21"/>
              </w:rPr>
              <w:t>4.单元测验</w:t>
            </w:r>
          </w:p>
        </w:tc>
        <w:tc>
          <w:tcPr>
            <w:tcW w:w="438" w:type="dxa"/>
            <w:vAlign w:val="center"/>
          </w:tcPr>
          <w:p w14:paraId="3416629F">
            <w:pPr>
              <w:jc w:val="center"/>
              <w:rPr>
                <w:rFonts w:ascii="Times New Roman" w:hAnsi="Times New Roman" w:eastAsia="宋体" w:cs="Times New Roman"/>
                <w:szCs w:val="21"/>
              </w:rPr>
            </w:pPr>
            <w:r>
              <w:rPr>
                <w:rFonts w:ascii="Times New Roman" w:hAnsi="Times New Roman" w:eastAsia="宋体" w:cs="Times New Roman"/>
                <w:szCs w:val="21"/>
              </w:rPr>
              <w:t>6</w:t>
            </w:r>
          </w:p>
        </w:tc>
      </w:tr>
      <w:tr w14:paraId="6E9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6F6E5A84">
            <w:pPr>
              <w:spacing w:line="264" w:lineRule="auto"/>
              <w:jc w:val="center"/>
              <w:rPr>
                <w:rFonts w:ascii="Times New Roman" w:hAnsi="Times New Roman" w:eastAsia="宋体" w:cs="Times New Roman"/>
                <w:szCs w:val="21"/>
              </w:rPr>
            </w:pPr>
          </w:p>
        </w:tc>
        <w:tc>
          <w:tcPr>
            <w:tcW w:w="8359" w:type="dxa"/>
            <w:gridSpan w:val="9"/>
            <w:vAlign w:val="center"/>
          </w:tcPr>
          <w:p w14:paraId="77937236">
            <w:pPr>
              <w:rPr>
                <w:rFonts w:ascii="Times New Roman" w:hAnsi="Times New Roman" w:eastAsia="宋体" w:cs="Times New Roman"/>
                <w:szCs w:val="21"/>
              </w:rPr>
            </w:pPr>
            <w:r>
              <w:rPr>
                <w:rFonts w:ascii="Times New Roman" w:hAnsi="Times New Roman" w:eastAsia="宋体" w:cs="Times New Roman"/>
                <w:b/>
                <w:szCs w:val="21"/>
              </w:rPr>
              <w:t>课程思政目标：</w:t>
            </w:r>
            <w:r>
              <w:rPr>
                <w:rFonts w:ascii="Times New Roman" w:hAnsi="Times New Roman" w:eastAsia="宋体" w:cs="Times New Roman"/>
                <w:szCs w:val="21"/>
              </w:rPr>
              <w:t>通过对汉语语法的学习，使学生了解语法的基本体系，认识汉语语法的独特性，提升学生对汉语言文化特色的了解程度，热爱并传承汉语文化。通过对汉语词类、句法成分的学习，使学生了解语法的基本面向，并区分现代汉语的词类划分原则。提高学生的汉语语言水平，落实好习近平总书记文化强国、教育强国、人才强国的要求。</w:t>
            </w:r>
          </w:p>
        </w:tc>
      </w:tr>
      <w:tr w14:paraId="09C4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5C8205D0">
            <w:pPr>
              <w:spacing w:line="264" w:lineRule="auto"/>
              <w:jc w:val="center"/>
              <w:rPr>
                <w:rFonts w:ascii="Times New Roman" w:hAnsi="Times New Roman" w:eastAsia="宋体" w:cs="Times New Roman"/>
                <w:szCs w:val="21"/>
              </w:rPr>
            </w:pPr>
            <w:r>
              <w:rPr>
                <w:rFonts w:ascii="Times New Roman" w:hAnsi="Times New Roman" w:eastAsia="宋体" w:cs="Times New Roman"/>
                <w:szCs w:val="21"/>
              </w:rPr>
              <w:t>语法（二）</w:t>
            </w:r>
          </w:p>
        </w:tc>
        <w:tc>
          <w:tcPr>
            <w:tcW w:w="2149" w:type="dxa"/>
            <w:vAlign w:val="center"/>
          </w:tcPr>
          <w:p w14:paraId="0325F2BA">
            <w:pPr>
              <w:numPr>
                <w:ilvl w:val="0"/>
                <w:numId w:val="34"/>
              </w:numPr>
              <w:jc w:val="left"/>
              <w:rPr>
                <w:rFonts w:ascii="Times New Roman" w:hAnsi="Times New Roman" w:eastAsia="宋体" w:cs="Times New Roman"/>
                <w:szCs w:val="21"/>
              </w:rPr>
            </w:pPr>
            <w:r>
              <w:rPr>
                <w:rFonts w:ascii="Times New Roman" w:hAnsi="Times New Roman" w:eastAsia="宋体" w:cs="Times New Roman"/>
                <w:szCs w:val="21"/>
              </w:rPr>
              <w:t>单句的句型与句式。</w:t>
            </w:r>
          </w:p>
          <w:p w14:paraId="61DD8E34">
            <w:pPr>
              <w:numPr>
                <w:ilvl w:val="0"/>
                <w:numId w:val="34"/>
              </w:numPr>
              <w:jc w:val="left"/>
              <w:rPr>
                <w:rFonts w:ascii="Times New Roman" w:hAnsi="Times New Roman" w:eastAsia="宋体" w:cs="Times New Roman"/>
                <w:szCs w:val="21"/>
              </w:rPr>
            </w:pPr>
            <w:r>
              <w:rPr>
                <w:rFonts w:ascii="Times New Roman" w:hAnsi="Times New Roman" w:eastAsia="宋体" w:cs="Times New Roman"/>
                <w:szCs w:val="21"/>
              </w:rPr>
              <w:t>句式的变换。</w:t>
            </w:r>
          </w:p>
          <w:p w14:paraId="0BA5496C">
            <w:pPr>
              <w:jc w:val="left"/>
              <w:rPr>
                <w:rFonts w:ascii="Times New Roman" w:hAnsi="Times New Roman" w:eastAsia="宋体" w:cs="Times New Roman"/>
                <w:szCs w:val="21"/>
              </w:rPr>
            </w:pPr>
            <w:r>
              <w:rPr>
                <w:rFonts w:ascii="Times New Roman" w:hAnsi="Times New Roman" w:eastAsia="宋体" w:cs="Times New Roman"/>
                <w:szCs w:val="21"/>
              </w:rPr>
              <w:t>（3）句类。</w:t>
            </w:r>
          </w:p>
          <w:p w14:paraId="5EFE6742">
            <w:pPr>
              <w:jc w:val="left"/>
              <w:rPr>
                <w:rFonts w:ascii="Times New Roman" w:hAnsi="Times New Roman" w:eastAsia="宋体" w:cs="Times New Roman"/>
                <w:szCs w:val="21"/>
              </w:rPr>
            </w:pPr>
            <w:r>
              <w:rPr>
                <w:rFonts w:ascii="Times New Roman" w:hAnsi="Times New Roman" w:eastAsia="宋体" w:cs="Times New Roman"/>
                <w:szCs w:val="21"/>
              </w:rPr>
              <w:t>（4）复句。</w:t>
            </w:r>
          </w:p>
          <w:p w14:paraId="60CC4390">
            <w:pPr>
              <w:jc w:val="left"/>
              <w:rPr>
                <w:rFonts w:ascii="Times New Roman" w:hAnsi="Times New Roman" w:eastAsia="宋体" w:cs="Times New Roman"/>
                <w:szCs w:val="21"/>
              </w:rPr>
            </w:pPr>
            <w:r>
              <w:rPr>
                <w:rFonts w:ascii="Times New Roman" w:hAnsi="Times New Roman" w:eastAsia="宋体" w:cs="Times New Roman"/>
                <w:szCs w:val="21"/>
              </w:rPr>
              <w:t>（5）句群。</w:t>
            </w:r>
          </w:p>
        </w:tc>
        <w:tc>
          <w:tcPr>
            <w:tcW w:w="1211" w:type="dxa"/>
            <w:gridSpan w:val="3"/>
            <w:vAlign w:val="center"/>
          </w:tcPr>
          <w:p w14:paraId="1748DD6E">
            <w:pPr>
              <w:jc w:val="center"/>
              <w:rPr>
                <w:rFonts w:ascii="Times New Roman" w:hAnsi="Times New Roman" w:eastAsia="宋体" w:cs="Times New Roman"/>
                <w:szCs w:val="21"/>
              </w:rPr>
            </w:pPr>
            <w:r>
              <w:rPr>
                <w:rFonts w:ascii="Times New Roman" w:hAnsi="Times New Roman" w:eastAsia="宋体" w:cs="Times New Roman"/>
                <w:szCs w:val="21"/>
              </w:rPr>
              <w:t>课程目标2</w:t>
            </w:r>
          </w:p>
        </w:tc>
        <w:tc>
          <w:tcPr>
            <w:tcW w:w="3010" w:type="dxa"/>
            <w:vAlign w:val="center"/>
          </w:tcPr>
          <w:p w14:paraId="616390F0">
            <w:pPr>
              <w:jc w:val="left"/>
              <w:rPr>
                <w:rFonts w:ascii="Times New Roman" w:hAnsi="Times New Roman" w:eastAsia="宋体" w:cs="Times New Roman"/>
                <w:szCs w:val="21"/>
              </w:rPr>
            </w:pPr>
          </w:p>
          <w:p w14:paraId="43BC2812">
            <w:pPr>
              <w:numPr>
                <w:ilvl w:val="0"/>
                <w:numId w:val="35"/>
              </w:numPr>
              <w:jc w:val="left"/>
              <w:rPr>
                <w:rFonts w:ascii="Times New Roman" w:hAnsi="Times New Roman" w:eastAsia="宋体" w:cs="Times New Roman"/>
                <w:szCs w:val="21"/>
              </w:rPr>
            </w:pPr>
            <w:r>
              <w:rPr>
                <w:rFonts w:ascii="Times New Roman" w:hAnsi="Times New Roman" w:eastAsia="宋体" w:cs="Times New Roman"/>
                <w:szCs w:val="21"/>
              </w:rPr>
              <w:t>了解句型、句式、句类的分类依据，区分单句的句型、句式、句类。</w:t>
            </w:r>
          </w:p>
          <w:p w14:paraId="245A0F0F">
            <w:pPr>
              <w:jc w:val="left"/>
              <w:rPr>
                <w:rFonts w:ascii="Times New Roman" w:hAnsi="Times New Roman" w:eastAsia="宋体" w:cs="Times New Roman"/>
                <w:szCs w:val="21"/>
              </w:rPr>
            </w:pPr>
            <w:r>
              <w:rPr>
                <w:rFonts w:ascii="Times New Roman" w:hAnsi="Times New Roman" w:eastAsia="宋体" w:cs="Times New Roman"/>
                <w:szCs w:val="21"/>
              </w:rPr>
              <w:t>（2）认识变式句的种类和语用价值，了解句子变换的方法和作用。</w:t>
            </w:r>
          </w:p>
          <w:p w14:paraId="2E008818">
            <w:pPr>
              <w:jc w:val="left"/>
              <w:rPr>
                <w:rFonts w:ascii="Times New Roman" w:hAnsi="Times New Roman" w:eastAsia="宋体" w:cs="Times New Roman"/>
                <w:szCs w:val="21"/>
              </w:rPr>
            </w:pPr>
            <w:r>
              <w:rPr>
                <w:rFonts w:ascii="Times New Roman" w:hAnsi="Times New Roman" w:eastAsia="宋体" w:cs="Times New Roman"/>
                <w:szCs w:val="21"/>
              </w:rPr>
              <w:t>（3）了解复句与单句的区别，掌握复句的意义类型，学会多重复句的分析方法。</w:t>
            </w:r>
          </w:p>
          <w:p w14:paraId="6571CBCC">
            <w:pPr>
              <w:jc w:val="left"/>
              <w:rPr>
                <w:rFonts w:ascii="Times New Roman" w:hAnsi="Times New Roman" w:eastAsia="宋体" w:cs="Times New Roman"/>
                <w:szCs w:val="21"/>
              </w:rPr>
            </w:pPr>
            <w:r>
              <w:rPr>
                <w:rFonts w:ascii="Times New Roman" w:hAnsi="Times New Roman" w:eastAsia="宋体" w:cs="Times New Roman"/>
                <w:szCs w:val="21"/>
              </w:rPr>
              <w:t>（4）了解句群和复句的异同，掌握句群中句与句之间的意义关系和句群的分析方法。</w:t>
            </w:r>
          </w:p>
        </w:tc>
        <w:tc>
          <w:tcPr>
            <w:tcW w:w="1551" w:type="dxa"/>
            <w:gridSpan w:val="3"/>
            <w:vAlign w:val="center"/>
          </w:tcPr>
          <w:p w14:paraId="59A42B19">
            <w:pPr>
              <w:jc w:val="left"/>
              <w:rPr>
                <w:rFonts w:ascii="Times New Roman" w:hAnsi="Times New Roman" w:eastAsia="宋体" w:cs="Times New Roman"/>
                <w:szCs w:val="21"/>
              </w:rPr>
            </w:pPr>
            <w:r>
              <w:rPr>
                <w:rFonts w:ascii="Times New Roman" w:hAnsi="Times New Roman" w:eastAsia="宋体" w:cs="Times New Roman"/>
                <w:szCs w:val="21"/>
              </w:rPr>
              <w:t>1.线上学习</w:t>
            </w:r>
          </w:p>
          <w:p w14:paraId="0A163DB2">
            <w:pPr>
              <w:jc w:val="left"/>
              <w:rPr>
                <w:rFonts w:ascii="Times New Roman" w:hAnsi="Times New Roman" w:eastAsia="宋体" w:cs="Times New Roman"/>
                <w:szCs w:val="21"/>
              </w:rPr>
            </w:pPr>
            <w:r>
              <w:rPr>
                <w:rFonts w:ascii="Times New Roman" w:hAnsi="Times New Roman" w:eastAsia="宋体" w:cs="Times New Roman"/>
                <w:szCs w:val="21"/>
              </w:rPr>
              <w:t>2.多媒体教学3.课堂讨论</w:t>
            </w:r>
          </w:p>
          <w:p w14:paraId="12498074">
            <w:pPr>
              <w:jc w:val="left"/>
              <w:rPr>
                <w:rFonts w:ascii="Times New Roman" w:hAnsi="Times New Roman" w:eastAsia="宋体" w:cs="Times New Roman"/>
                <w:szCs w:val="21"/>
              </w:rPr>
            </w:pPr>
            <w:r>
              <w:rPr>
                <w:rFonts w:ascii="Times New Roman" w:hAnsi="Times New Roman" w:eastAsia="宋体" w:cs="Times New Roman"/>
                <w:szCs w:val="21"/>
              </w:rPr>
              <w:t>4.单元测验</w:t>
            </w:r>
          </w:p>
        </w:tc>
        <w:tc>
          <w:tcPr>
            <w:tcW w:w="438" w:type="dxa"/>
            <w:vAlign w:val="center"/>
          </w:tcPr>
          <w:p w14:paraId="28D18AC1">
            <w:pPr>
              <w:jc w:val="center"/>
              <w:rPr>
                <w:rFonts w:ascii="Times New Roman" w:hAnsi="Times New Roman" w:eastAsia="宋体" w:cs="Times New Roman"/>
                <w:szCs w:val="21"/>
              </w:rPr>
            </w:pPr>
            <w:r>
              <w:rPr>
                <w:rFonts w:ascii="Times New Roman" w:hAnsi="Times New Roman" w:eastAsia="宋体" w:cs="Times New Roman"/>
                <w:szCs w:val="21"/>
              </w:rPr>
              <w:t>6</w:t>
            </w:r>
          </w:p>
        </w:tc>
      </w:tr>
      <w:tr w14:paraId="5848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5ED8B1C8">
            <w:pPr>
              <w:spacing w:line="264" w:lineRule="auto"/>
              <w:jc w:val="center"/>
              <w:rPr>
                <w:rFonts w:ascii="Times New Roman" w:hAnsi="Times New Roman" w:eastAsia="宋体" w:cs="Times New Roman"/>
                <w:szCs w:val="21"/>
              </w:rPr>
            </w:pPr>
          </w:p>
        </w:tc>
        <w:tc>
          <w:tcPr>
            <w:tcW w:w="8359" w:type="dxa"/>
            <w:gridSpan w:val="9"/>
            <w:vAlign w:val="center"/>
          </w:tcPr>
          <w:p w14:paraId="3A292A49">
            <w:pPr>
              <w:rPr>
                <w:rFonts w:ascii="Times New Roman" w:hAnsi="Times New Roman" w:eastAsia="宋体" w:cs="Times New Roman"/>
                <w:szCs w:val="21"/>
              </w:rPr>
            </w:pPr>
            <w:r>
              <w:rPr>
                <w:rFonts w:ascii="Times New Roman" w:hAnsi="Times New Roman" w:eastAsia="宋体" w:cs="Times New Roman"/>
                <w:b/>
                <w:szCs w:val="21"/>
              </w:rPr>
              <w:t>课程思政目标：</w:t>
            </w:r>
            <w:r>
              <w:rPr>
                <w:rFonts w:ascii="Times New Roman" w:hAnsi="Times New Roman" w:eastAsia="宋体" w:cs="Times New Roman"/>
                <w:szCs w:val="21"/>
              </w:rPr>
              <w:t>通过对汉语句型、句式、句类的学习，使学生了解汉语句子的独特魅力，树立汉语汉文化自信。通过对汉语单句、复句的学习，使学生深入理解汉语语法的潜在表意功能，学生的汉语应用水平，并能积极主动地将博大精深的汉语言文化传统继承发扬。</w:t>
            </w:r>
          </w:p>
        </w:tc>
      </w:tr>
      <w:tr w14:paraId="2C86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5EBB9AD8">
            <w:pPr>
              <w:spacing w:line="264" w:lineRule="auto"/>
              <w:jc w:val="center"/>
              <w:rPr>
                <w:rFonts w:ascii="Times New Roman" w:hAnsi="Times New Roman" w:eastAsia="宋体" w:cs="Times New Roman"/>
                <w:szCs w:val="21"/>
              </w:rPr>
            </w:pPr>
            <w:r>
              <w:rPr>
                <w:rFonts w:ascii="Times New Roman" w:hAnsi="Times New Roman" w:eastAsia="宋体" w:cs="Times New Roman"/>
                <w:szCs w:val="21"/>
              </w:rPr>
              <w:t>修辞（一）</w:t>
            </w:r>
          </w:p>
        </w:tc>
        <w:tc>
          <w:tcPr>
            <w:tcW w:w="2149" w:type="dxa"/>
            <w:vAlign w:val="center"/>
          </w:tcPr>
          <w:p w14:paraId="5E302E47">
            <w:pPr>
              <w:jc w:val="left"/>
              <w:rPr>
                <w:rFonts w:ascii="Times New Roman" w:hAnsi="Times New Roman" w:eastAsia="宋体" w:cs="Times New Roman"/>
                <w:szCs w:val="21"/>
              </w:rPr>
            </w:pPr>
          </w:p>
          <w:p w14:paraId="796C4383">
            <w:pPr>
              <w:numPr>
                <w:ilvl w:val="0"/>
                <w:numId w:val="36"/>
              </w:numPr>
              <w:jc w:val="left"/>
              <w:rPr>
                <w:rFonts w:ascii="Times New Roman" w:hAnsi="Times New Roman" w:eastAsia="宋体" w:cs="Times New Roman"/>
                <w:szCs w:val="21"/>
              </w:rPr>
            </w:pPr>
            <w:r>
              <w:rPr>
                <w:rFonts w:ascii="Times New Roman" w:hAnsi="Times New Roman" w:eastAsia="宋体" w:cs="Times New Roman"/>
                <w:szCs w:val="21"/>
              </w:rPr>
              <w:t>修辞概说。</w:t>
            </w:r>
          </w:p>
          <w:p w14:paraId="4967041B">
            <w:pPr>
              <w:numPr>
                <w:ilvl w:val="0"/>
                <w:numId w:val="36"/>
              </w:numPr>
              <w:jc w:val="left"/>
              <w:rPr>
                <w:rFonts w:ascii="Times New Roman" w:hAnsi="Times New Roman" w:eastAsia="宋体" w:cs="Times New Roman"/>
                <w:szCs w:val="21"/>
              </w:rPr>
            </w:pPr>
            <w:r>
              <w:rPr>
                <w:rFonts w:ascii="Times New Roman" w:hAnsi="Times New Roman" w:eastAsia="宋体" w:cs="Times New Roman"/>
                <w:szCs w:val="21"/>
              </w:rPr>
              <w:t>词语的锤炼。</w:t>
            </w:r>
          </w:p>
          <w:p w14:paraId="1015620B">
            <w:pPr>
              <w:numPr>
                <w:ilvl w:val="0"/>
                <w:numId w:val="36"/>
              </w:numPr>
              <w:jc w:val="left"/>
              <w:rPr>
                <w:rFonts w:ascii="Times New Roman" w:hAnsi="Times New Roman" w:eastAsia="宋体" w:cs="Times New Roman"/>
                <w:szCs w:val="21"/>
              </w:rPr>
            </w:pPr>
            <w:r>
              <w:rPr>
                <w:rFonts w:ascii="Times New Roman" w:hAnsi="Times New Roman" w:eastAsia="宋体" w:cs="Times New Roman"/>
                <w:szCs w:val="21"/>
              </w:rPr>
              <w:t>句式的选择。</w:t>
            </w:r>
          </w:p>
          <w:p w14:paraId="1F5EF87F">
            <w:pPr>
              <w:jc w:val="left"/>
              <w:rPr>
                <w:rFonts w:ascii="Times New Roman" w:hAnsi="Times New Roman" w:eastAsia="宋体" w:cs="Times New Roman"/>
                <w:szCs w:val="21"/>
              </w:rPr>
            </w:pPr>
            <w:r>
              <w:rPr>
                <w:rFonts w:ascii="Times New Roman" w:hAnsi="Times New Roman" w:eastAsia="宋体" w:cs="Times New Roman"/>
                <w:szCs w:val="21"/>
              </w:rPr>
              <w:t>（4）辞格</w:t>
            </w:r>
          </w:p>
        </w:tc>
        <w:tc>
          <w:tcPr>
            <w:tcW w:w="1211" w:type="dxa"/>
            <w:gridSpan w:val="3"/>
            <w:vAlign w:val="center"/>
          </w:tcPr>
          <w:p w14:paraId="196FD1F7">
            <w:pPr>
              <w:jc w:val="center"/>
              <w:rPr>
                <w:rFonts w:ascii="Times New Roman" w:hAnsi="Times New Roman" w:eastAsia="宋体" w:cs="Times New Roman"/>
                <w:szCs w:val="21"/>
              </w:rPr>
            </w:pPr>
            <w:r>
              <w:rPr>
                <w:rFonts w:ascii="Times New Roman" w:hAnsi="Times New Roman" w:eastAsia="宋体" w:cs="Times New Roman"/>
                <w:szCs w:val="21"/>
              </w:rPr>
              <w:t>课程目标3</w:t>
            </w:r>
          </w:p>
        </w:tc>
        <w:tc>
          <w:tcPr>
            <w:tcW w:w="3010" w:type="dxa"/>
            <w:vAlign w:val="center"/>
          </w:tcPr>
          <w:p w14:paraId="71D6C28D">
            <w:pPr>
              <w:rPr>
                <w:rFonts w:ascii="Times New Roman" w:hAnsi="Times New Roman" w:eastAsia="宋体" w:cs="Times New Roman"/>
                <w:szCs w:val="21"/>
              </w:rPr>
            </w:pPr>
            <w:r>
              <w:rPr>
                <w:rFonts w:ascii="Times New Roman" w:hAnsi="Times New Roman" w:eastAsia="宋体" w:cs="Times New Roman"/>
                <w:szCs w:val="21"/>
              </w:rPr>
              <w:t>（1）掌握修辞的含义、修辞与语境的关系。</w:t>
            </w:r>
          </w:p>
          <w:p w14:paraId="56F2828C">
            <w:pPr>
              <w:rPr>
                <w:rFonts w:ascii="Times New Roman" w:hAnsi="Times New Roman" w:eastAsia="宋体" w:cs="Times New Roman"/>
                <w:szCs w:val="21"/>
              </w:rPr>
            </w:pPr>
            <w:r>
              <w:rPr>
                <w:rFonts w:ascii="Times New Roman" w:hAnsi="Times New Roman" w:eastAsia="宋体" w:cs="Times New Roman"/>
                <w:szCs w:val="21"/>
              </w:rPr>
              <w:t>（2）掌握从意义（内容）和声音（形式）两方面锤炼词语的四种方法。</w:t>
            </w:r>
          </w:p>
          <w:p w14:paraId="30872148">
            <w:pPr>
              <w:rPr>
                <w:rFonts w:ascii="Times New Roman" w:hAnsi="Times New Roman" w:eastAsia="宋体" w:cs="Times New Roman"/>
                <w:szCs w:val="21"/>
              </w:rPr>
            </w:pPr>
            <w:r>
              <w:rPr>
                <w:rFonts w:ascii="Times New Roman" w:hAnsi="Times New Roman" w:eastAsia="宋体" w:cs="Times New Roman"/>
                <w:szCs w:val="21"/>
              </w:rPr>
              <w:t>（3）理解汉语各类句式的特点和表达作用。</w:t>
            </w:r>
          </w:p>
          <w:p w14:paraId="4B149AA0">
            <w:pPr>
              <w:rPr>
                <w:rFonts w:ascii="Times New Roman" w:hAnsi="Times New Roman" w:eastAsia="宋体" w:cs="Times New Roman"/>
                <w:szCs w:val="21"/>
              </w:rPr>
            </w:pPr>
            <w:r>
              <w:rPr>
                <w:rFonts w:ascii="Times New Roman" w:hAnsi="Times New Roman" w:eastAsia="宋体" w:cs="Times New Roman"/>
                <w:szCs w:val="21"/>
              </w:rPr>
              <w:t>（4）掌握19种常用辞格的定义、特点及表达作用。</w:t>
            </w:r>
          </w:p>
          <w:p w14:paraId="707CD34C">
            <w:pPr>
              <w:jc w:val="left"/>
              <w:rPr>
                <w:rFonts w:ascii="Times New Roman" w:hAnsi="Times New Roman" w:eastAsia="宋体" w:cs="Times New Roman"/>
                <w:szCs w:val="21"/>
              </w:rPr>
            </w:pPr>
            <w:r>
              <w:rPr>
                <w:rFonts w:ascii="Times New Roman" w:hAnsi="Times New Roman" w:eastAsia="宋体" w:cs="Times New Roman"/>
                <w:szCs w:val="21"/>
              </w:rPr>
              <w:t>（5）正确区分19种常用辞格。</w:t>
            </w:r>
          </w:p>
        </w:tc>
        <w:tc>
          <w:tcPr>
            <w:tcW w:w="1551" w:type="dxa"/>
            <w:gridSpan w:val="3"/>
            <w:vAlign w:val="center"/>
          </w:tcPr>
          <w:p w14:paraId="7FC30F61">
            <w:pPr>
              <w:jc w:val="left"/>
              <w:rPr>
                <w:rFonts w:ascii="Times New Roman" w:hAnsi="Times New Roman" w:eastAsia="宋体" w:cs="Times New Roman"/>
                <w:szCs w:val="21"/>
              </w:rPr>
            </w:pPr>
            <w:r>
              <w:rPr>
                <w:rFonts w:ascii="Times New Roman" w:hAnsi="Times New Roman" w:eastAsia="宋体" w:cs="Times New Roman"/>
                <w:szCs w:val="21"/>
              </w:rPr>
              <w:t>1.线上学习</w:t>
            </w:r>
          </w:p>
          <w:p w14:paraId="7931F758">
            <w:pPr>
              <w:jc w:val="left"/>
              <w:rPr>
                <w:rFonts w:ascii="Times New Roman" w:hAnsi="Times New Roman" w:eastAsia="宋体" w:cs="Times New Roman"/>
                <w:szCs w:val="21"/>
              </w:rPr>
            </w:pPr>
            <w:r>
              <w:rPr>
                <w:rFonts w:ascii="Times New Roman" w:hAnsi="Times New Roman" w:eastAsia="宋体" w:cs="Times New Roman"/>
                <w:szCs w:val="21"/>
              </w:rPr>
              <w:t>2.多媒体教学3.课堂讨论</w:t>
            </w:r>
          </w:p>
          <w:p w14:paraId="0CEAD598">
            <w:pPr>
              <w:jc w:val="left"/>
              <w:rPr>
                <w:rFonts w:ascii="Times New Roman" w:hAnsi="Times New Roman" w:eastAsia="宋体" w:cs="Times New Roman"/>
                <w:szCs w:val="21"/>
              </w:rPr>
            </w:pPr>
            <w:r>
              <w:rPr>
                <w:rFonts w:ascii="Times New Roman" w:hAnsi="Times New Roman" w:eastAsia="宋体" w:cs="Times New Roman"/>
                <w:szCs w:val="21"/>
              </w:rPr>
              <w:t>4.单元测验</w:t>
            </w:r>
          </w:p>
        </w:tc>
        <w:tc>
          <w:tcPr>
            <w:tcW w:w="438" w:type="dxa"/>
            <w:vAlign w:val="center"/>
          </w:tcPr>
          <w:p w14:paraId="2810EDFB">
            <w:pPr>
              <w:jc w:val="center"/>
              <w:rPr>
                <w:rFonts w:ascii="Times New Roman" w:hAnsi="Times New Roman" w:eastAsia="宋体" w:cs="Times New Roman"/>
                <w:szCs w:val="21"/>
              </w:rPr>
            </w:pPr>
            <w:r>
              <w:rPr>
                <w:rFonts w:ascii="Times New Roman" w:hAnsi="Times New Roman" w:eastAsia="宋体" w:cs="Times New Roman"/>
                <w:szCs w:val="21"/>
              </w:rPr>
              <w:t>4</w:t>
            </w:r>
          </w:p>
        </w:tc>
      </w:tr>
      <w:tr w14:paraId="6F09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3C2E62F4">
            <w:pPr>
              <w:spacing w:line="264" w:lineRule="auto"/>
              <w:jc w:val="center"/>
              <w:rPr>
                <w:rFonts w:ascii="Times New Roman" w:hAnsi="Times New Roman" w:eastAsia="宋体" w:cs="Times New Roman"/>
                <w:szCs w:val="21"/>
              </w:rPr>
            </w:pPr>
          </w:p>
        </w:tc>
        <w:tc>
          <w:tcPr>
            <w:tcW w:w="8359" w:type="dxa"/>
            <w:gridSpan w:val="9"/>
            <w:vAlign w:val="center"/>
          </w:tcPr>
          <w:p w14:paraId="5A97078D">
            <w:pPr>
              <w:jc w:val="left"/>
              <w:rPr>
                <w:rFonts w:ascii="Times New Roman" w:hAnsi="Times New Roman" w:eastAsia="宋体" w:cs="Times New Roman"/>
                <w:szCs w:val="21"/>
              </w:rPr>
            </w:pPr>
            <w:r>
              <w:rPr>
                <w:rFonts w:ascii="Times New Roman" w:hAnsi="Times New Roman" w:eastAsia="宋体" w:cs="Times New Roman"/>
                <w:b/>
                <w:szCs w:val="21"/>
              </w:rPr>
              <w:t>课程思政目标：</w:t>
            </w:r>
            <w:r>
              <w:rPr>
                <w:rFonts w:ascii="Times New Roman" w:hAnsi="Times New Roman" w:eastAsia="宋体" w:cs="Times New Roman"/>
                <w:bCs/>
                <w:szCs w:val="21"/>
              </w:rPr>
              <w:t>通过对修辞内容的学习，提高学生的汉语表达能力，培育学生的人文情怀，为今后更好地够胜任语文教学及与语言文字关系密切的工作奠定基础。</w:t>
            </w:r>
          </w:p>
        </w:tc>
      </w:tr>
      <w:tr w14:paraId="0027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restart"/>
            <w:vAlign w:val="center"/>
          </w:tcPr>
          <w:p w14:paraId="5CC1D5F7">
            <w:pPr>
              <w:spacing w:line="264" w:lineRule="auto"/>
              <w:jc w:val="center"/>
              <w:rPr>
                <w:rFonts w:ascii="Times New Roman" w:hAnsi="Times New Roman" w:eastAsia="宋体" w:cs="Times New Roman"/>
                <w:szCs w:val="21"/>
              </w:rPr>
            </w:pPr>
            <w:r>
              <w:rPr>
                <w:rFonts w:ascii="Times New Roman" w:hAnsi="Times New Roman" w:eastAsia="宋体" w:cs="Times New Roman"/>
                <w:szCs w:val="21"/>
              </w:rPr>
              <w:t>修辞（二）</w:t>
            </w:r>
          </w:p>
        </w:tc>
        <w:tc>
          <w:tcPr>
            <w:tcW w:w="2169" w:type="dxa"/>
            <w:gridSpan w:val="2"/>
            <w:vAlign w:val="center"/>
          </w:tcPr>
          <w:p w14:paraId="133A4278">
            <w:pPr>
              <w:rPr>
                <w:rFonts w:ascii="Times New Roman" w:hAnsi="Times New Roman" w:eastAsia="宋体" w:cs="Times New Roman"/>
                <w:szCs w:val="21"/>
              </w:rPr>
            </w:pPr>
            <w:r>
              <w:rPr>
                <w:rFonts w:ascii="Times New Roman" w:hAnsi="Times New Roman" w:eastAsia="宋体" w:cs="Times New Roman"/>
                <w:szCs w:val="21"/>
              </w:rPr>
              <w:t>（1）公文语体。</w:t>
            </w:r>
          </w:p>
          <w:p w14:paraId="3D14B1FD">
            <w:pPr>
              <w:rPr>
                <w:rFonts w:ascii="Times New Roman" w:hAnsi="Times New Roman" w:eastAsia="宋体" w:cs="Times New Roman"/>
                <w:szCs w:val="21"/>
              </w:rPr>
            </w:pPr>
            <w:r>
              <w:rPr>
                <w:rFonts w:ascii="Times New Roman" w:hAnsi="Times New Roman" w:eastAsia="宋体" w:cs="Times New Roman"/>
                <w:szCs w:val="21"/>
              </w:rPr>
              <w:t>（2）科技语体。</w:t>
            </w:r>
          </w:p>
          <w:p w14:paraId="5DFCF9D2">
            <w:pPr>
              <w:rPr>
                <w:rFonts w:ascii="Times New Roman" w:hAnsi="Times New Roman" w:eastAsia="宋体" w:cs="Times New Roman"/>
                <w:szCs w:val="21"/>
              </w:rPr>
            </w:pPr>
            <w:r>
              <w:rPr>
                <w:rFonts w:ascii="Times New Roman" w:hAnsi="Times New Roman" w:eastAsia="宋体" w:cs="Times New Roman"/>
                <w:szCs w:val="21"/>
              </w:rPr>
              <w:t>（3）政论语体。</w:t>
            </w:r>
          </w:p>
          <w:p w14:paraId="4D08CEFF">
            <w:pPr>
              <w:jc w:val="left"/>
              <w:rPr>
                <w:rFonts w:ascii="Times New Roman" w:hAnsi="Times New Roman" w:eastAsia="宋体" w:cs="Times New Roman"/>
                <w:b/>
                <w:szCs w:val="21"/>
              </w:rPr>
            </w:pPr>
            <w:r>
              <w:rPr>
                <w:rFonts w:ascii="Times New Roman" w:hAnsi="Times New Roman" w:eastAsia="宋体" w:cs="Times New Roman"/>
                <w:szCs w:val="21"/>
              </w:rPr>
              <w:t>（4）文艺语体。</w:t>
            </w:r>
          </w:p>
        </w:tc>
        <w:tc>
          <w:tcPr>
            <w:tcW w:w="1173" w:type="dxa"/>
            <w:vAlign w:val="center"/>
          </w:tcPr>
          <w:p w14:paraId="65F9E114">
            <w:pPr>
              <w:jc w:val="left"/>
              <w:rPr>
                <w:rFonts w:ascii="Times New Roman" w:hAnsi="Times New Roman" w:eastAsia="宋体" w:cs="Times New Roman"/>
                <w:szCs w:val="21"/>
              </w:rPr>
            </w:pPr>
            <w:r>
              <w:rPr>
                <w:rFonts w:ascii="Times New Roman" w:hAnsi="Times New Roman" w:eastAsia="宋体" w:cs="Times New Roman"/>
                <w:szCs w:val="21"/>
              </w:rPr>
              <w:t>课程目标3</w:t>
            </w:r>
          </w:p>
        </w:tc>
        <w:tc>
          <w:tcPr>
            <w:tcW w:w="3121" w:type="dxa"/>
            <w:gridSpan w:val="3"/>
            <w:vAlign w:val="center"/>
          </w:tcPr>
          <w:p w14:paraId="3E3CB14E">
            <w:pPr>
              <w:rPr>
                <w:rFonts w:ascii="Times New Roman" w:hAnsi="Times New Roman" w:eastAsia="宋体" w:cs="Times New Roman"/>
                <w:szCs w:val="21"/>
              </w:rPr>
            </w:pPr>
            <w:r>
              <w:rPr>
                <w:rFonts w:ascii="Times New Roman" w:hAnsi="Times New Roman" w:eastAsia="宋体" w:cs="Times New Roman"/>
                <w:szCs w:val="21"/>
              </w:rPr>
              <w:t>（1）理解语体的概念。</w:t>
            </w:r>
          </w:p>
          <w:p w14:paraId="396ACC89">
            <w:pPr>
              <w:rPr>
                <w:rFonts w:ascii="Times New Roman" w:hAnsi="Times New Roman" w:eastAsia="宋体" w:cs="Times New Roman"/>
                <w:szCs w:val="21"/>
              </w:rPr>
            </w:pPr>
            <w:r>
              <w:rPr>
                <w:rFonts w:ascii="Times New Roman" w:hAnsi="Times New Roman" w:eastAsia="宋体" w:cs="Times New Roman"/>
                <w:szCs w:val="21"/>
              </w:rPr>
              <w:t>（2）掌握四类语体（公文语体、科技语体、政论语体、文艺语体）的主要特征。</w:t>
            </w:r>
          </w:p>
          <w:p w14:paraId="51357D62">
            <w:pPr>
              <w:rPr>
                <w:rFonts w:ascii="Times New Roman" w:hAnsi="Times New Roman" w:eastAsia="宋体" w:cs="Times New Roman"/>
                <w:szCs w:val="21"/>
              </w:rPr>
            </w:pPr>
            <w:r>
              <w:rPr>
                <w:rFonts w:ascii="Times New Roman" w:hAnsi="Times New Roman" w:eastAsia="宋体" w:cs="Times New Roman"/>
                <w:szCs w:val="21"/>
              </w:rPr>
              <w:t>（3）了解不同语体的使用情景。</w:t>
            </w:r>
          </w:p>
          <w:p w14:paraId="0C17FBBC">
            <w:pPr>
              <w:jc w:val="left"/>
              <w:rPr>
                <w:rFonts w:ascii="Times New Roman" w:hAnsi="Times New Roman" w:eastAsia="宋体" w:cs="Times New Roman"/>
                <w:szCs w:val="21"/>
              </w:rPr>
            </w:pPr>
          </w:p>
        </w:tc>
        <w:tc>
          <w:tcPr>
            <w:tcW w:w="1397" w:type="dxa"/>
            <w:vAlign w:val="center"/>
          </w:tcPr>
          <w:p w14:paraId="0F211AB1">
            <w:pPr>
              <w:jc w:val="left"/>
              <w:rPr>
                <w:rFonts w:ascii="Times New Roman" w:hAnsi="Times New Roman" w:eastAsia="宋体" w:cs="Times New Roman"/>
                <w:szCs w:val="21"/>
              </w:rPr>
            </w:pPr>
          </w:p>
        </w:tc>
        <w:tc>
          <w:tcPr>
            <w:tcW w:w="499" w:type="dxa"/>
            <w:gridSpan w:val="2"/>
            <w:vAlign w:val="center"/>
          </w:tcPr>
          <w:p w14:paraId="04099F0B">
            <w:pPr>
              <w:jc w:val="left"/>
              <w:rPr>
                <w:rFonts w:ascii="Times New Roman" w:hAnsi="Times New Roman" w:eastAsia="宋体" w:cs="Times New Roman"/>
                <w:szCs w:val="21"/>
              </w:rPr>
            </w:pPr>
            <w:r>
              <w:rPr>
                <w:rFonts w:ascii="Times New Roman" w:hAnsi="Times New Roman" w:eastAsia="宋体" w:cs="Times New Roman"/>
                <w:szCs w:val="21"/>
              </w:rPr>
              <w:t>2</w:t>
            </w:r>
          </w:p>
        </w:tc>
      </w:tr>
      <w:tr w14:paraId="6DE7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9" w:type="dxa"/>
            <w:vMerge w:val="continue"/>
            <w:vAlign w:val="center"/>
          </w:tcPr>
          <w:p w14:paraId="76F505B4">
            <w:pPr>
              <w:spacing w:line="264" w:lineRule="auto"/>
              <w:jc w:val="center"/>
              <w:rPr>
                <w:rFonts w:ascii="Times New Roman" w:hAnsi="Times New Roman" w:eastAsia="宋体" w:cs="Times New Roman"/>
                <w:szCs w:val="21"/>
              </w:rPr>
            </w:pPr>
          </w:p>
        </w:tc>
        <w:tc>
          <w:tcPr>
            <w:tcW w:w="8359" w:type="dxa"/>
            <w:gridSpan w:val="9"/>
            <w:vAlign w:val="center"/>
          </w:tcPr>
          <w:p w14:paraId="30E8CC05">
            <w:pPr>
              <w:rPr>
                <w:rFonts w:ascii="Times New Roman" w:hAnsi="Times New Roman" w:eastAsia="宋体" w:cs="Times New Roman"/>
                <w:b/>
                <w:szCs w:val="21"/>
              </w:rPr>
            </w:pPr>
            <w:r>
              <w:rPr>
                <w:rFonts w:ascii="Times New Roman" w:hAnsi="Times New Roman" w:eastAsia="宋体" w:cs="Times New Roman"/>
                <w:b/>
                <w:szCs w:val="21"/>
              </w:rPr>
              <w:t>课程思政目标：</w:t>
            </w:r>
            <w:r>
              <w:rPr>
                <w:rFonts w:ascii="Times New Roman" w:hAnsi="Times New Roman" w:eastAsia="宋体" w:cs="Times New Roman"/>
                <w:bCs/>
                <w:szCs w:val="21"/>
              </w:rPr>
              <w:t>通过对修辞内容的学习，了解不同语体的使用情景，提高学生的汉语使用效率及汉语应用能力，培养学生的人文素养及对中国语言文化的热爱，引导学生担负起传播中国优秀传统文化的使命。</w:t>
            </w:r>
          </w:p>
        </w:tc>
      </w:tr>
    </w:tbl>
    <w:p w14:paraId="6AF7994F">
      <w:pPr>
        <w:spacing w:before="62" w:beforeLines="20" w:after="62" w:afterLines="20" w:line="360" w:lineRule="auto"/>
        <w:jc w:val="left"/>
        <w:rPr>
          <w:rFonts w:ascii="Times New Roman" w:hAnsi="Times New Roman" w:eastAsia="宋体" w:cs="Times New Roman"/>
          <w:b/>
          <w:sz w:val="24"/>
        </w:rPr>
      </w:pPr>
      <w:bookmarkStart w:id="961" w:name="_Toc28932"/>
      <w:bookmarkStart w:id="962" w:name="_Toc13001"/>
      <w:bookmarkStart w:id="963" w:name="_Toc19244"/>
      <w:bookmarkStart w:id="964" w:name="_Toc28458"/>
      <w:bookmarkStart w:id="965" w:name="_Toc26265"/>
      <w:bookmarkStart w:id="966" w:name="_Toc26830"/>
      <w:bookmarkStart w:id="967" w:name="_Toc27188"/>
      <w:r>
        <w:rPr>
          <w:rFonts w:hint="eastAsia" w:ascii="Times New Roman" w:hAnsi="Times New Roman" w:eastAsia="宋体" w:cs="Times New Roman"/>
          <w:b/>
          <w:sz w:val="24"/>
        </w:rPr>
        <w:t>四、目标评价与成绩评定</w:t>
      </w:r>
      <w:bookmarkEnd w:id="961"/>
      <w:bookmarkEnd w:id="962"/>
      <w:bookmarkEnd w:id="963"/>
      <w:bookmarkEnd w:id="964"/>
      <w:bookmarkEnd w:id="965"/>
      <w:bookmarkEnd w:id="966"/>
      <w:bookmarkEnd w:id="967"/>
    </w:p>
    <w:p w14:paraId="37C14F6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908"/>
        <w:gridCol w:w="1908"/>
        <w:gridCol w:w="1908"/>
        <w:gridCol w:w="1437"/>
      </w:tblGrid>
      <w:tr w14:paraId="3C93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61" w:type="dxa"/>
            <w:vMerge w:val="restart"/>
            <w:vAlign w:val="center"/>
          </w:tcPr>
          <w:p w14:paraId="0E10FFD0">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724" w:type="dxa"/>
            <w:gridSpan w:val="3"/>
            <w:vAlign w:val="center"/>
          </w:tcPr>
          <w:p w14:paraId="3D3281AA">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437" w:type="dxa"/>
            <w:vMerge w:val="restart"/>
            <w:vAlign w:val="center"/>
          </w:tcPr>
          <w:p w14:paraId="55A52BF3">
            <w:pPr>
              <w:jc w:val="center"/>
              <w:rPr>
                <w:rFonts w:hint="eastAsia" w:ascii="宋体" w:hAnsi="宋体" w:eastAsia="宋体" w:cs="Times New Roman"/>
                <w:szCs w:val="21"/>
              </w:rPr>
            </w:pPr>
            <w:r>
              <w:rPr>
                <w:rFonts w:hint="eastAsia" w:ascii="宋体" w:hAnsi="宋体" w:eastAsia="宋体" w:cs="Times New Roman"/>
                <w:szCs w:val="21"/>
              </w:rPr>
              <w:t>分值</w:t>
            </w:r>
          </w:p>
        </w:tc>
      </w:tr>
      <w:tr w14:paraId="6876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361" w:type="dxa"/>
            <w:vMerge w:val="continue"/>
            <w:vAlign w:val="center"/>
          </w:tcPr>
          <w:p w14:paraId="138204C9">
            <w:pPr>
              <w:jc w:val="center"/>
              <w:rPr>
                <w:rFonts w:hint="eastAsia" w:ascii="宋体" w:hAnsi="宋体" w:eastAsia="宋体" w:cs="Times New Roman"/>
                <w:szCs w:val="21"/>
              </w:rPr>
            </w:pPr>
          </w:p>
        </w:tc>
        <w:tc>
          <w:tcPr>
            <w:tcW w:w="1908" w:type="dxa"/>
            <w:vAlign w:val="center"/>
          </w:tcPr>
          <w:p w14:paraId="7DFE4A03">
            <w:pPr>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908" w:type="dxa"/>
            <w:vAlign w:val="center"/>
          </w:tcPr>
          <w:p w14:paraId="1F6A61BC">
            <w:pPr>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908" w:type="dxa"/>
            <w:vAlign w:val="center"/>
          </w:tcPr>
          <w:p w14:paraId="4F341A86">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437" w:type="dxa"/>
            <w:vMerge w:val="continue"/>
            <w:vAlign w:val="center"/>
          </w:tcPr>
          <w:p w14:paraId="1CEA6D7C">
            <w:pPr>
              <w:jc w:val="center"/>
              <w:rPr>
                <w:rFonts w:hint="eastAsia" w:ascii="宋体" w:hAnsi="宋体" w:eastAsia="宋体" w:cs="Times New Roman"/>
                <w:szCs w:val="21"/>
              </w:rPr>
            </w:pPr>
          </w:p>
        </w:tc>
      </w:tr>
      <w:tr w14:paraId="560AF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1" w:type="dxa"/>
            <w:vAlign w:val="center"/>
          </w:tcPr>
          <w:p w14:paraId="34ED1563">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908" w:type="dxa"/>
            <w:vAlign w:val="center"/>
          </w:tcPr>
          <w:p w14:paraId="065A3948">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08" w:type="dxa"/>
            <w:vAlign w:val="center"/>
          </w:tcPr>
          <w:p w14:paraId="4E54291E">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08" w:type="dxa"/>
            <w:vAlign w:val="center"/>
          </w:tcPr>
          <w:p w14:paraId="0DBA32F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7" w:type="dxa"/>
            <w:vAlign w:val="center"/>
          </w:tcPr>
          <w:p w14:paraId="3B415FF5">
            <w:pPr>
              <w:jc w:val="center"/>
              <w:rPr>
                <w:rFonts w:hint="eastAsia" w:ascii="宋体" w:hAnsi="宋体" w:eastAsia="宋体" w:cs="Times New Roman"/>
                <w:szCs w:val="21"/>
              </w:rPr>
            </w:pPr>
            <w:r>
              <w:rPr>
                <w:rFonts w:hint="eastAsia" w:ascii="宋体" w:hAnsi="宋体" w:eastAsia="宋体" w:cs="Times New Roman"/>
                <w:szCs w:val="21"/>
              </w:rPr>
              <w:t>20</w:t>
            </w:r>
          </w:p>
        </w:tc>
      </w:tr>
      <w:tr w14:paraId="5D03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61" w:type="dxa"/>
            <w:vAlign w:val="center"/>
          </w:tcPr>
          <w:p w14:paraId="7EE5FB17">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908" w:type="dxa"/>
            <w:vAlign w:val="center"/>
          </w:tcPr>
          <w:p w14:paraId="57DE9BDD">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08" w:type="dxa"/>
            <w:vAlign w:val="center"/>
          </w:tcPr>
          <w:p w14:paraId="120E4687">
            <w:pPr>
              <w:jc w:val="center"/>
              <w:rPr>
                <w:rFonts w:hint="eastAsia" w:ascii="宋体" w:hAnsi="宋体" w:eastAsia="宋体" w:cs="Times New Roman"/>
                <w:szCs w:val="21"/>
              </w:rPr>
            </w:pPr>
            <w:bookmarkStart w:id="968" w:name="OLE_LINK8"/>
            <w:r>
              <w:rPr>
                <w:rFonts w:ascii="宋体" w:hAnsi="宋体" w:eastAsia="宋体" w:cs="Times New Roman"/>
                <w:szCs w:val="21"/>
              </w:rPr>
              <w:sym w:font="Wingdings 2" w:char="F050"/>
            </w:r>
            <w:bookmarkEnd w:id="968"/>
          </w:p>
        </w:tc>
        <w:tc>
          <w:tcPr>
            <w:tcW w:w="1908" w:type="dxa"/>
            <w:vAlign w:val="center"/>
          </w:tcPr>
          <w:p w14:paraId="48B46955">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7" w:type="dxa"/>
            <w:vAlign w:val="center"/>
          </w:tcPr>
          <w:p w14:paraId="4C39B5E0">
            <w:pPr>
              <w:jc w:val="center"/>
              <w:rPr>
                <w:rFonts w:hint="eastAsia" w:ascii="宋体" w:hAnsi="宋体" w:eastAsia="宋体" w:cs="Times New Roman"/>
                <w:szCs w:val="21"/>
              </w:rPr>
            </w:pPr>
            <w:r>
              <w:rPr>
                <w:rFonts w:hint="eastAsia" w:ascii="宋体" w:hAnsi="宋体" w:eastAsia="宋体" w:cs="Times New Roman"/>
                <w:szCs w:val="21"/>
              </w:rPr>
              <w:t>60</w:t>
            </w:r>
          </w:p>
        </w:tc>
      </w:tr>
      <w:tr w14:paraId="60D3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1" w:type="dxa"/>
            <w:vAlign w:val="center"/>
          </w:tcPr>
          <w:p w14:paraId="5B9384DF">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908" w:type="dxa"/>
            <w:vAlign w:val="center"/>
          </w:tcPr>
          <w:p w14:paraId="455D3661">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08" w:type="dxa"/>
            <w:vAlign w:val="center"/>
          </w:tcPr>
          <w:p w14:paraId="23FBF923">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08" w:type="dxa"/>
            <w:vAlign w:val="center"/>
          </w:tcPr>
          <w:p w14:paraId="14917BA6">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7" w:type="dxa"/>
            <w:vAlign w:val="center"/>
          </w:tcPr>
          <w:p w14:paraId="2C41512B">
            <w:pPr>
              <w:jc w:val="center"/>
              <w:rPr>
                <w:rFonts w:hint="eastAsia" w:ascii="宋体" w:hAnsi="宋体" w:eastAsia="宋体" w:cs="Times New Roman"/>
                <w:szCs w:val="21"/>
              </w:rPr>
            </w:pPr>
            <w:r>
              <w:rPr>
                <w:rFonts w:hint="eastAsia" w:ascii="宋体" w:hAnsi="宋体" w:eastAsia="宋体" w:cs="Times New Roman"/>
                <w:szCs w:val="21"/>
              </w:rPr>
              <w:t>20</w:t>
            </w:r>
          </w:p>
        </w:tc>
      </w:tr>
      <w:tr w14:paraId="56AD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61" w:type="dxa"/>
            <w:vAlign w:val="center"/>
          </w:tcPr>
          <w:p w14:paraId="33670EEA">
            <w:pPr>
              <w:jc w:val="center"/>
              <w:rPr>
                <w:rFonts w:hint="eastAsia" w:ascii="宋体" w:hAnsi="宋体" w:eastAsia="宋体" w:cs="Times New Roman"/>
                <w:szCs w:val="21"/>
              </w:rPr>
            </w:pPr>
            <w:r>
              <w:rPr>
                <w:rFonts w:hint="eastAsia" w:ascii="宋体" w:hAnsi="宋体" w:eastAsia="宋体" w:cs="Times New Roman"/>
                <w:szCs w:val="21"/>
              </w:rPr>
              <w:t>合计</w:t>
            </w:r>
          </w:p>
        </w:tc>
        <w:tc>
          <w:tcPr>
            <w:tcW w:w="1908" w:type="dxa"/>
            <w:vAlign w:val="center"/>
          </w:tcPr>
          <w:p w14:paraId="13B3F071">
            <w:pPr>
              <w:jc w:val="center"/>
              <w:rPr>
                <w:rFonts w:hint="eastAsia" w:ascii="宋体" w:hAnsi="宋体" w:eastAsia="宋体" w:cs="Times New Roman"/>
                <w:szCs w:val="21"/>
              </w:rPr>
            </w:pPr>
          </w:p>
        </w:tc>
        <w:tc>
          <w:tcPr>
            <w:tcW w:w="1908" w:type="dxa"/>
            <w:vAlign w:val="center"/>
          </w:tcPr>
          <w:p w14:paraId="791BD2D3">
            <w:pPr>
              <w:jc w:val="center"/>
              <w:rPr>
                <w:rFonts w:hint="eastAsia" w:ascii="宋体" w:hAnsi="宋体" w:eastAsia="宋体" w:cs="Times New Roman"/>
                <w:szCs w:val="21"/>
              </w:rPr>
            </w:pPr>
          </w:p>
        </w:tc>
        <w:tc>
          <w:tcPr>
            <w:tcW w:w="1908" w:type="dxa"/>
            <w:vAlign w:val="center"/>
          </w:tcPr>
          <w:p w14:paraId="3B73D633">
            <w:pPr>
              <w:jc w:val="center"/>
              <w:rPr>
                <w:rFonts w:hint="eastAsia" w:ascii="宋体" w:hAnsi="宋体" w:eastAsia="宋体" w:cs="Times New Roman"/>
                <w:szCs w:val="21"/>
              </w:rPr>
            </w:pPr>
          </w:p>
        </w:tc>
        <w:tc>
          <w:tcPr>
            <w:tcW w:w="1437" w:type="dxa"/>
            <w:vAlign w:val="center"/>
          </w:tcPr>
          <w:p w14:paraId="65ED2B95">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652FB12B">
      <w:pPr>
        <w:spacing w:before="62" w:beforeLines="20" w:after="62" w:afterLines="20" w:line="360" w:lineRule="auto"/>
        <w:jc w:val="left"/>
        <w:rPr>
          <w:rFonts w:ascii="Times New Roman" w:hAnsi="Times New Roman" w:eastAsia="宋体" w:cs="Times New Roman"/>
          <w:b/>
          <w:sz w:val="24"/>
        </w:rPr>
      </w:pPr>
      <w:bookmarkStart w:id="969" w:name="_Toc27605"/>
      <w:bookmarkStart w:id="970" w:name="_Toc31081"/>
      <w:bookmarkStart w:id="971" w:name="_Toc929"/>
      <w:bookmarkStart w:id="972" w:name="_Toc32752"/>
      <w:bookmarkStart w:id="973" w:name="_Toc30119"/>
      <w:bookmarkStart w:id="974" w:name="_Toc14589"/>
      <w:bookmarkStart w:id="975" w:name="_Toc19894"/>
      <w:r>
        <w:rPr>
          <w:rFonts w:hint="eastAsia" w:ascii="Times New Roman" w:hAnsi="Times New Roman" w:eastAsia="宋体" w:cs="Times New Roman"/>
          <w:b/>
          <w:sz w:val="24"/>
        </w:rPr>
        <w:t>五、课程实施</w:t>
      </w:r>
      <w:bookmarkEnd w:id="969"/>
      <w:bookmarkEnd w:id="970"/>
      <w:bookmarkEnd w:id="971"/>
      <w:bookmarkEnd w:id="972"/>
      <w:bookmarkEnd w:id="973"/>
      <w:bookmarkEnd w:id="974"/>
      <w:bookmarkEnd w:id="975"/>
    </w:p>
    <w:p w14:paraId="71ACAC04">
      <w:pPr>
        <w:spacing w:line="360" w:lineRule="auto"/>
        <w:ind w:firstLine="480" w:firstLineChars="200"/>
        <w:rPr>
          <w:rFonts w:hint="eastAsia" w:ascii="宋体" w:hAnsi="宋体" w:eastAsia="宋体" w:cs="宋体"/>
          <w:sz w:val="24"/>
        </w:rPr>
      </w:pPr>
      <w:r>
        <w:rPr>
          <w:rFonts w:hint="eastAsia" w:ascii="宋体" w:hAnsi="宋体" w:eastAsia="宋体" w:cs="宋体"/>
          <w:sz w:val="24"/>
        </w:rPr>
        <w:t xml:space="preserve">（一）传统讲授式教学：吸收国内外社会语言学研究的最新成果，在课堂上进行讲授，力求贯彻理论联系实际的原则，逐步提高学生对于社会语言现象的发现和研究能力。学生根据教师提供的参考文献清单，加强课外学习，扩大视野。   </w:t>
      </w:r>
    </w:p>
    <w:p w14:paraId="084FF6CA">
      <w:pPr>
        <w:spacing w:line="360" w:lineRule="auto"/>
        <w:ind w:firstLine="480" w:firstLineChars="200"/>
        <w:rPr>
          <w:rFonts w:hint="eastAsia" w:ascii="宋体" w:hAnsi="宋体" w:eastAsia="宋体" w:cs="宋体"/>
          <w:sz w:val="24"/>
        </w:rPr>
      </w:pPr>
      <w:r>
        <w:rPr>
          <w:rFonts w:hint="eastAsia" w:ascii="宋体" w:hAnsi="宋体" w:eastAsia="宋体" w:cs="宋体"/>
          <w:sz w:val="24"/>
        </w:rPr>
        <w:t>（二）互动式教学：将理论知识的讲授与经典案例的分析密切结合，采取多媒体教学方式，通过增加教师与学生之间、学生与学生之间的讨论与交流机会，提高教学效果，增强学生的学习兴趣。</w:t>
      </w:r>
    </w:p>
    <w:p w14:paraId="7EBB550F">
      <w:pPr>
        <w:spacing w:line="360" w:lineRule="auto"/>
        <w:ind w:firstLine="480" w:firstLineChars="200"/>
        <w:rPr>
          <w:rFonts w:hint="eastAsia" w:ascii="宋体" w:hAnsi="宋体" w:eastAsia="宋体" w:cs="宋体"/>
          <w:sz w:val="24"/>
        </w:rPr>
      </w:pPr>
      <w:r>
        <w:rPr>
          <w:rFonts w:hint="eastAsia" w:ascii="宋体" w:hAnsi="宋体" w:eastAsia="宋体" w:cs="宋体"/>
          <w:sz w:val="24"/>
        </w:rPr>
        <w:t>（三）研究性教学：通过课程作业，培养学生查阅文献及撰写研究报告、研究综述和论文提纲等方面的能力。</w:t>
      </w:r>
    </w:p>
    <w:p w14:paraId="73BB0AB2">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主要教学环节的质量要求如表所示：</w:t>
      </w:r>
    </w:p>
    <w:tbl>
      <w:tblPr>
        <w:tblStyle w:val="11"/>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1020"/>
        <w:gridCol w:w="6960"/>
      </w:tblGrid>
      <w:tr w14:paraId="1E34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417" w:type="dxa"/>
            <w:gridSpan w:val="2"/>
            <w:tcMar>
              <w:top w:w="0" w:type="dxa"/>
              <w:left w:w="28" w:type="dxa"/>
              <w:bottom w:w="0" w:type="dxa"/>
              <w:right w:w="28" w:type="dxa"/>
            </w:tcMar>
            <w:vAlign w:val="center"/>
          </w:tcPr>
          <w:p w14:paraId="69963E61">
            <w:pPr>
              <w:spacing w:line="273" w:lineRule="auto"/>
              <w:jc w:val="center"/>
              <w:rPr>
                <w:rFonts w:hint="eastAsia" w:ascii="宋体" w:hAnsi="宋体" w:eastAsia="宋体" w:cs="宋体"/>
                <w:b/>
                <w:bCs/>
                <w:szCs w:val="22"/>
              </w:rPr>
            </w:pPr>
            <w:r>
              <w:rPr>
                <w:rFonts w:hint="eastAsia" w:ascii="宋体" w:hAnsi="宋体" w:eastAsia="宋体" w:cs="宋体"/>
                <w:b/>
                <w:bCs/>
                <w:szCs w:val="22"/>
              </w:rPr>
              <w:t>主要教学环节</w:t>
            </w:r>
          </w:p>
        </w:tc>
        <w:tc>
          <w:tcPr>
            <w:tcW w:w="6960" w:type="dxa"/>
            <w:vAlign w:val="center"/>
          </w:tcPr>
          <w:p w14:paraId="43E408D9">
            <w:pPr>
              <w:spacing w:line="273" w:lineRule="auto"/>
              <w:jc w:val="center"/>
              <w:rPr>
                <w:rFonts w:hint="eastAsia" w:ascii="宋体" w:hAnsi="宋体" w:eastAsia="宋体" w:cs="宋体"/>
                <w:b/>
                <w:bCs/>
                <w:szCs w:val="22"/>
              </w:rPr>
            </w:pPr>
            <w:r>
              <w:rPr>
                <w:rFonts w:hint="eastAsia" w:ascii="宋体" w:hAnsi="宋体" w:eastAsia="宋体" w:cs="宋体"/>
                <w:b/>
                <w:bCs/>
                <w:szCs w:val="22"/>
              </w:rPr>
              <w:t>质量要求</w:t>
            </w:r>
          </w:p>
        </w:tc>
      </w:tr>
      <w:tr w14:paraId="5C37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trPr>
        <w:tc>
          <w:tcPr>
            <w:tcW w:w="397" w:type="dxa"/>
            <w:vAlign w:val="center"/>
          </w:tcPr>
          <w:p w14:paraId="5565B338">
            <w:pPr>
              <w:spacing w:line="273" w:lineRule="auto"/>
              <w:jc w:val="center"/>
              <w:rPr>
                <w:rFonts w:hint="eastAsia" w:ascii="宋体" w:hAnsi="宋体" w:eastAsia="宋体" w:cs="宋体"/>
                <w:szCs w:val="22"/>
              </w:rPr>
            </w:pPr>
            <w:r>
              <w:rPr>
                <w:rFonts w:hint="eastAsia" w:ascii="宋体" w:hAnsi="宋体" w:eastAsia="宋体" w:cs="宋体"/>
                <w:szCs w:val="22"/>
              </w:rPr>
              <w:t>1</w:t>
            </w:r>
          </w:p>
        </w:tc>
        <w:tc>
          <w:tcPr>
            <w:tcW w:w="1020" w:type="dxa"/>
            <w:tcMar>
              <w:top w:w="0" w:type="dxa"/>
              <w:left w:w="28" w:type="dxa"/>
              <w:bottom w:w="0" w:type="dxa"/>
              <w:right w:w="28" w:type="dxa"/>
            </w:tcMar>
            <w:vAlign w:val="center"/>
          </w:tcPr>
          <w:p w14:paraId="39993EF7">
            <w:pPr>
              <w:spacing w:line="273" w:lineRule="auto"/>
              <w:jc w:val="center"/>
              <w:rPr>
                <w:rFonts w:hint="eastAsia" w:ascii="宋体" w:hAnsi="宋体" w:eastAsia="宋体" w:cs="宋体"/>
                <w:szCs w:val="22"/>
              </w:rPr>
            </w:pPr>
            <w:r>
              <w:rPr>
                <w:rFonts w:hint="eastAsia" w:ascii="宋体" w:hAnsi="宋体" w:eastAsia="宋体" w:cs="宋体"/>
                <w:szCs w:val="22"/>
              </w:rPr>
              <w:t>备课</w:t>
            </w:r>
          </w:p>
        </w:tc>
        <w:tc>
          <w:tcPr>
            <w:tcW w:w="6960" w:type="dxa"/>
            <w:vAlign w:val="center"/>
          </w:tcPr>
          <w:p w14:paraId="4711587B">
            <w:pPr>
              <w:spacing w:line="273" w:lineRule="auto"/>
              <w:rPr>
                <w:rFonts w:hint="eastAsia" w:ascii="宋体" w:hAnsi="宋体" w:eastAsia="宋体" w:cs="宋体"/>
                <w:szCs w:val="22"/>
              </w:rPr>
            </w:pPr>
            <w:r>
              <w:rPr>
                <w:rFonts w:hint="eastAsia" w:ascii="宋体" w:hAnsi="宋体" w:eastAsia="宋体" w:cs="宋体"/>
                <w:szCs w:val="22"/>
              </w:rPr>
              <w:t>（1）掌握课程教学大纲内容，严格按照教学大纲要求进行课程教学内容的组织。</w:t>
            </w:r>
          </w:p>
          <w:p w14:paraId="7F7C3CD9">
            <w:pPr>
              <w:spacing w:line="273" w:lineRule="auto"/>
              <w:rPr>
                <w:rFonts w:hint="eastAsia" w:ascii="宋体" w:hAnsi="宋体" w:eastAsia="宋体" w:cs="宋体"/>
                <w:szCs w:val="22"/>
              </w:rPr>
            </w:pPr>
            <w:r>
              <w:rPr>
                <w:rFonts w:hint="eastAsia" w:ascii="宋体" w:hAnsi="宋体" w:eastAsia="宋体" w:cs="宋体"/>
                <w:szCs w:val="22"/>
              </w:rPr>
              <w:t>（2）悉心了解学生的现有水平和最新发展区水平，深透钻研教材内容，广泛阅读相关文献资料，精心选择教学方法、组织形式和教学手段，认真编写授课计划。授课教案内容包括章节标题、教学目标、教学准备、教学方法、课堂类型、时间分配、授课内容、课后作业、教学效果分析等方面。</w:t>
            </w:r>
          </w:p>
        </w:tc>
      </w:tr>
      <w:tr w14:paraId="3CF1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8" w:hRule="atLeast"/>
        </w:trPr>
        <w:tc>
          <w:tcPr>
            <w:tcW w:w="397" w:type="dxa"/>
            <w:vAlign w:val="center"/>
          </w:tcPr>
          <w:p w14:paraId="5085DF84">
            <w:pPr>
              <w:spacing w:line="273" w:lineRule="auto"/>
              <w:jc w:val="center"/>
              <w:rPr>
                <w:rFonts w:hint="eastAsia" w:ascii="宋体" w:hAnsi="宋体" w:eastAsia="宋体" w:cs="宋体"/>
                <w:szCs w:val="22"/>
              </w:rPr>
            </w:pPr>
            <w:r>
              <w:rPr>
                <w:rFonts w:hint="eastAsia" w:ascii="宋体" w:hAnsi="宋体" w:eastAsia="宋体" w:cs="宋体"/>
                <w:szCs w:val="22"/>
              </w:rPr>
              <w:t>2</w:t>
            </w:r>
          </w:p>
        </w:tc>
        <w:tc>
          <w:tcPr>
            <w:tcW w:w="1020" w:type="dxa"/>
            <w:tcMar>
              <w:top w:w="0" w:type="dxa"/>
              <w:left w:w="28" w:type="dxa"/>
              <w:bottom w:w="0" w:type="dxa"/>
              <w:right w:w="28" w:type="dxa"/>
            </w:tcMar>
            <w:vAlign w:val="center"/>
          </w:tcPr>
          <w:p w14:paraId="3ADCB427">
            <w:pPr>
              <w:spacing w:line="273" w:lineRule="auto"/>
              <w:jc w:val="center"/>
              <w:rPr>
                <w:rFonts w:hint="eastAsia" w:ascii="宋体" w:hAnsi="宋体" w:eastAsia="宋体" w:cs="宋体"/>
                <w:szCs w:val="22"/>
              </w:rPr>
            </w:pPr>
            <w:r>
              <w:rPr>
                <w:rFonts w:hint="eastAsia" w:ascii="宋体" w:hAnsi="宋体" w:eastAsia="宋体" w:cs="宋体"/>
                <w:szCs w:val="22"/>
              </w:rPr>
              <w:t>讲授</w:t>
            </w:r>
          </w:p>
        </w:tc>
        <w:tc>
          <w:tcPr>
            <w:tcW w:w="6960" w:type="dxa"/>
            <w:vAlign w:val="center"/>
          </w:tcPr>
          <w:p w14:paraId="3FF816E8">
            <w:pPr>
              <w:spacing w:line="273" w:lineRule="auto"/>
              <w:rPr>
                <w:rFonts w:hint="eastAsia" w:ascii="宋体" w:hAnsi="宋体" w:eastAsia="宋体" w:cs="宋体"/>
                <w:szCs w:val="22"/>
              </w:rPr>
            </w:pPr>
            <w:r>
              <w:rPr>
                <w:rFonts w:hint="eastAsia" w:ascii="宋体" w:hAnsi="宋体" w:eastAsia="宋体" w:cs="宋体"/>
                <w:szCs w:val="22"/>
              </w:rPr>
              <w:t>（1）教师仪表端庄，情绪情感要饱满；</w:t>
            </w:r>
          </w:p>
          <w:p w14:paraId="2B939AD9">
            <w:pPr>
              <w:spacing w:line="273" w:lineRule="auto"/>
              <w:rPr>
                <w:rFonts w:hint="eastAsia" w:ascii="宋体" w:hAnsi="宋体" w:eastAsia="宋体" w:cs="宋体"/>
                <w:szCs w:val="22"/>
              </w:rPr>
            </w:pPr>
            <w:r>
              <w:rPr>
                <w:rFonts w:hint="eastAsia" w:ascii="宋体" w:hAnsi="宋体" w:eastAsia="宋体" w:cs="宋体"/>
                <w:szCs w:val="22"/>
              </w:rPr>
              <w:t>（2）教学准备充分，熟悉教学内容；</w:t>
            </w:r>
          </w:p>
          <w:p w14:paraId="58A84522">
            <w:pPr>
              <w:spacing w:line="273" w:lineRule="auto"/>
              <w:rPr>
                <w:rFonts w:hint="eastAsia" w:ascii="宋体" w:hAnsi="宋体" w:eastAsia="宋体" w:cs="宋体"/>
                <w:szCs w:val="22"/>
              </w:rPr>
            </w:pPr>
            <w:r>
              <w:rPr>
                <w:rFonts w:hint="eastAsia" w:ascii="宋体" w:hAnsi="宋体" w:eastAsia="宋体" w:cs="宋体"/>
                <w:szCs w:val="22"/>
              </w:rPr>
              <w:t>（3）教学内容充实，不断充实最新研究成果；</w:t>
            </w:r>
          </w:p>
          <w:p w14:paraId="4A70FC12">
            <w:pPr>
              <w:spacing w:line="273" w:lineRule="auto"/>
              <w:rPr>
                <w:rFonts w:hint="eastAsia" w:ascii="宋体" w:hAnsi="宋体" w:eastAsia="宋体" w:cs="宋体"/>
                <w:szCs w:val="22"/>
              </w:rPr>
            </w:pPr>
            <w:r>
              <w:rPr>
                <w:rFonts w:hint="eastAsia" w:ascii="宋体" w:hAnsi="宋体" w:eastAsia="宋体" w:cs="宋体"/>
                <w:szCs w:val="22"/>
              </w:rPr>
              <w:t>（4）严格执行计划，教学进度适宜；</w:t>
            </w:r>
          </w:p>
          <w:p w14:paraId="6B832CC2">
            <w:pPr>
              <w:spacing w:line="273" w:lineRule="auto"/>
              <w:rPr>
                <w:rFonts w:hint="eastAsia" w:ascii="宋体" w:hAnsi="宋体" w:eastAsia="宋体" w:cs="宋体"/>
                <w:szCs w:val="22"/>
              </w:rPr>
            </w:pPr>
            <w:r>
              <w:rPr>
                <w:rFonts w:hint="eastAsia" w:ascii="宋体" w:hAnsi="宋体" w:eastAsia="宋体" w:cs="宋体"/>
                <w:szCs w:val="22"/>
              </w:rPr>
              <w:t>（5）课堂教学信息充分，注重理论联系实际；</w:t>
            </w:r>
          </w:p>
          <w:p w14:paraId="2258EFBC">
            <w:pPr>
              <w:spacing w:line="273" w:lineRule="auto"/>
              <w:rPr>
                <w:rFonts w:hint="eastAsia" w:ascii="宋体" w:hAnsi="宋体" w:eastAsia="宋体" w:cs="宋体"/>
                <w:szCs w:val="22"/>
              </w:rPr>
            </w:pPr>
            <w:r>
              <w:rPr>
                <w:rFonts w:hint="eastAsia" w:ascii="宋体" w:hAnsi="宋体" w:eastAsia="宋体" w:cs="宋体"/>
                <w:szCs w:val="22"/>
              </w:rPr>
              <w:t>（6）注重启发学生思维，培养学生的教学能力；</w:t>
            </w:r>
          </w:p>
          <w:p w14:paraId="48F1D072">
            <w:pPr>
              <w:spacing w:line="273" w:lineRule="auto"/>
              <w:rPr>
                <w:rFonts w:hint="eastAsia" w:ascii="宋体" w:hAnsi="宋体" w:eastAsia="宋体" w:cs="宋体"/>
                <w:szCs w:val="22"/>
              </w:rPr>
            </w:pPr>
            <w:r>
              <w:rPr>
                <w:rFonts w:hint="eastAsia" w:ascii="宋体" w:hAnsi="宋体" w:eastAsia="宋体" w:cs="宋体"/>
                <w:szCs w:val="22"/>
              </w:rPr>
              <w:t>（7）面向全体基础上因材施教，灵活运用多种教学方法；</w:t>
            </w:r>
          </w:p>
          <w:p w14:paraId="7FD67463">
            <w:pPr>
              <w:spacing w:line="273" w:lineRule="auto"/>
              <w:rPr>
                <w:rFonts w:hint="eastAsia" w:ascii="宋体" w:hAnsi="宋体" w:eastAsia="宋体" w:cs="宋体"/>
                <w:szCs w:val="22"/>
              </w:rPr>
            </w:pPr>
            <w:r>
              <w:rPr>
                <w:rFonts w:hint="eastAsia" w:ascii="宋体" w:hAnsi="宋体" w:eastAsia="宋体" w:cs="宋体"/>
                <w:szCs w:val="22"/>
              </w:rPr>
              <w:t>（8）教学语言规范，为学生教育教学做好表率；</w:t>
            </w:r>
          </w:p>
          <w:p w14:paraId="613BE509">
            <w:pPr>
              <w:spacing w:line="273" w:lineRule="auto"/>
              <w:rPr>
                <w:rFonts w:hint="eastAsia" w:ascii="宋体" w:hAnsi="宋体" w:eastAsia="宋体" w:cs="宋体"/>
                <w:szCs w:val="22"/>
              </w:rPr>
            </w:pPr>
            <w:r>
              <w:rPr>
                <w:rFonts w:hint="eastAsia" w:ascii="宋体" w:hAnsi="宋体" w:eastAsia="宋体" w:cs="宋体"/>
                <w:szCs w:val="22"/>
              </w:rPr>
              <w:t>（9）教学条理清楚，教学思路逻辑严密；</w:t>
            </w:r>
          </w:p>
          <w:p w14:paraId="51CE79D6">
            <w:pPr>
              <w:spacing w:line="273" w:lineRule="auto"/>
              <w:rPr>
                <w:rFonts w:hint="eastAsia" w:ascii="宋体" w:hAnsi="宋体" w:eastAsia="宋体" w:cs="宋体"/>
                <w:szCs w:val="22"/>
              </w:rPr>
            </w:pPr>
            <w:r>
              <w:rPr>
                <w:rFonts w:hint="eastAsia" w:ascii="宋体" w:hAnsi="宋体" w:eastAsia="宋体" w:cs="宋体"/>
                <w:szCs w:val="22"/>
              </w:rPr>
              <w:t>（10）充分运用现代化教学手段，教学技术熟练；</w:t>
            </w:r>
          </w:p>
          <w:p w14:paraId="7924F256">
            <w:pPr>
              <w:spacing w:line="273" w:lineRule="auto"/>
              <w:rPr>
                <w:rFonts w:hint="eastAsia" w:ascii="宋体" w:hAnsi="宋体" w:eastAsia="宋体" w:cs="宋体"/>
                <w:szCs w:val="22"/>
              </w:rPr>
            </w:pPr>
            <w:r>
              <w:rPr>
                <w:rFonts w:hint="eastAsia" w:ascii="宋体" w:hAnsi="宋体" w:eastAsia="宋体" w:cs="宋体"/>
                <w:szCs w:val="22"/>
              </w:rPr>
              <w:t>（11）课堂教学要重点突出，难点突破；</w:t>
            </w:r>
          </w:p>
          <w:p w14:paraId="1971C727">
            <w:pPr>
              <w:spacing w:line="273" w:lineRule="auto"/>
              <w:rPr>
                <w:rFonts w:hint="eastAsia" w:ascii="宋体" w:hAnsi="宋体" w:eastAsia="宋体" w:cs="宋体"/>
                <w:szCs w:val="22"/>
              </w:rPr>
            </w:pPr>
            <w:r>
              <w:rPr>
                <w:rFonts w:hint="eastAsia" w:ascii="宋体" w:hAnsi="宋体" w:eastAsia="宋体" w:cs="宋体"/>
                <w:szCs w:val="22"/>
              </w:rPr>
              <w:t>（12）注重师生互动，形成良好的课堂氛围。</w:t>
            </w:r>
          </w:p>
        </w:tc>
      </w:tr>
      <w:tr w14:paraId="33AB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trPr>
        <w:tc>
          <w:tcPr>
            <w:tcW w:w="397" w:type="dxa"/>
            <w:vAlign w:val="center"/>
          </w:tcPr>
          <w:p w14:paraId="27D22670">
            <w:pPr>
              <w:spacing w:line="273" w:lineRule="auto"/>
              <w:jc w:val="center"/>
              <w:rPr>
                <w:rFonts w:hint="eastAsia" w:ascii="宋体" w:hAnsi="宋体" w:eastAsia="宋体" w:cs="宋体"/>
                <w:szCs w:val="22"/>
              </w:rPr>
            </w:pPr>
            <w:r>
              <w:rPr>
                <w:rFonts w:hint="eastAsia" w:ascii="宋体" w:hAnsi="宋体" w:eastAsia="宋体" w:cs="宋体"/>
                <w:szCs w:val="22"/>
              </w:rPr>
              <w:t>3</w:t>
            </w:r>
          </w:p>
        </w:tc>
        <w:tc>
          <w:tcPr>
            <w:tcW w:w="1020" w:type="dxa"/>
            <w:tcMar>
              <w:top w:w="0" w:type="dxa"/>
              <w:left w:w="28" w:type="dxa"/>
              <w:bottom w:w="0" w:type="dxa"/>
              <w:right w:w="28" w:type="dxa"/>
            </w:tcMar>
            <w:vAlign w:val="center"/>
          </w:tcPr>
          <w:p w14:paraId="441967AF">
            <w:pPr>
              <w:spacing w:line="273" w:lineRule="auto"/>
              <w:jc w:val="center"/>
              <w:rPr>
                <w:rFonts w:hint="eastAsia" w:ascii="宋体" w:hAnsi="宋体" w:eastAsia="宋体" w:cs="宋体"/>
                <w:szCs w:val="22"/>
              </w:rPr>
            </w:pPr>
            <w:r>
              <w:rPr>
                <w:rFonts w:hint="eastAsia" w:ascii="宋体" w:hAnsi="宋体" w:eastAsia="宋体" w:cs="宋体"/>
                <w:szCs w:val="22"/>
              </w:rPr>
              <w:t>作业布置与批改</w:t>
            </w:r>
          </w:p>
        </w:tc>
        <w:tc>
          <w:tcPr>
            <w:tcW w:w="6960" w:type="dxa"/>
            <w:vAlign w:val="center"/>
          </w:tcPr>
          <w:p w14:paraId="1DAB8BFA">
            <w:pPr>
              <w:spacing w:line="273" w:lineRule="auto"/>
              <w:rPr>
                <w:rFonts w:hint="eastAsia" w:ascii="宋体" w:hAnsi="宋体" w:eastAsia="宋体" w:cs="宋体"/>
                <w:szCs w:val="22"/>
              </w:rPr>
            </w:pPr>
            <w:r>
              <w:rPr>
                <w:rFonts w:hint="eastAsia" w:ascii="宋体" w:hAnsi="宋体" w:eastAsia="宋体" w:cs="宋体"/>
                <w:szCs w:val="22"/>
              </w:rPr>
              <w:t>学生必须完成规定数量的作业，作业必须达到以下基本要求：</w:t>
            </w:r>
          </w:p>
          <w:p w14:paraId="5925C2C5">
            <w:pPr>
              <w:spacing w:line="273" w:lineRule="auto"/>
              <w:rPr>
                <w:rFonts w:hint="eastAsia" w:ascii="宋体" w:hAnsi="宋体" w:eastAsia="宋体" w:cs="宋体"/>
                <w:szCs w:val="22"/>
              </w:rPr>
            </w:pPr>
            <w:r>
              <w:rPr>
                <w:rFonts w:hint="eastAsia" w:ascii="宋体" w:hAnsi="宋体" w:eastAsia="宋体" w:cs="宋体"/>
                <w:szCs w:val="22"/>
              </w:rPr>
              <w:t>（1）平时作业总次数以3次为宜。</w:t>
            </w:r>
          </w:p>
          <w:p w14:paraId="18ADEE50">
            <w:pPr>
              <w:spacing w:line="273" w:lineRule="auto"/>
              <w:rPr>
                <w:rFonts w:hint="eastAsia" w:ascii="宋体" w:hAnsi="宋体" w:eastAsia="宋体" w:cs="宋体"/>
                <w:szCs w:val="22"/>
              </w:rPr>
            </w:pPr>
            <w:r>
              <w:rPr>
                <w:rFonts w:hint="eastAsia" w:ascii="宋体" w:hAnsi="宋体" w:eastAsia="宋体" w:cs="宋体"/>
                <w:szCs w:val="22"/>
              </w:rPr>
              <w:t>（2）按时按量完成作业，不缺交，不抄袭。</w:t>
            </w:r>
          </w:p>
          <w:p w14:paraId="639C385F">
            <w:pPr>
              <w:spacing w:line="273" w:lineRule="auto"/>
              <w:rPr>
                <w:rFonts w:hint="eastAsia" w:ascii="宋体" w:hAnsi="宋体" w:eastAsia="宋体" w:cs="宋体"/>
                <w:szCs w:val="22"/>
              </w:rPr>
            </w:pPr>
            <w:r>
              <w:rPr>
                <w:rFonts w:hint="eastAsia" w:ascii="宋体" w:hAnsi="宋体" w:eastAsia="宋体" w:cs="宋体"/>
                <w:szCs w:val="22"/>
              </w:rPr>
              <w:t>（3）书写规范、教学设计方案格式规范、清晰。</w:t>
            </w:r>
          </w:p>
          <w:p w14:paraId="7B2B6F06">
            <w:pPr>
              <w:spacing w:line="273" w:lineRule="auto"/>
              <w:rPr>
                <w:rFonts w:hint="eastAsia" w:ascii="宋体" w:hAnsi="宋体" w:eastAsia="宋体" w:cs="宋体"/>
                <w:szCs w:val="22"/>
              </w:rPr>
            </w:pPr>
            <w:r>
              <w:rPr>
                <w:rFonts w:hint="eastAsia" w:ascii="宋体" w:hAnsi="宋体" w:eastAsia="宋体" w:cs="宋体"/>
                <w:szCs w:val="22"/>
              </w:rPr>
              <w:t>（4）教学设计理念先进，教学目标适宜，教学方法灵活，教学组织形式多样、教学过程紧凑，教学准备充分。</w:t>
            </w:r>
          </w:p>
          <w:p w14:paraId="4C4F2334">
            <w:pPr>
              <w:spacing w:line="273" w:lineRule="auto"/>
              <w:rPr>
                <w:rFonts w:hint="eastAsia" w:ascii="宋体" w:hAnsi="宋体" w:eastAsia="宋体" w:cs="宋体"/>
                <w:szCs w:val="22"/>
              </w:rPr>
            </w:pPr>
            <w:r>
              <w:rPr>
                <w:rFonts w:hint="eastAsia" w:ascii="宋体" w:hAnsi="宋体" w:eastAsia="宋体" w:cs="宋体"/>
                <w:szCs w:val="22"/>
              </w:rPr>
              <w:t>教师批改和讲评作业要求如下：</w:t>
            </w:r>
          </w:p>
          <w:p w14:paraId="13065CA2">
            <w:pPr>
              <w:spacing w:line="273" w:lineRule="auto"/>
              <w:rPr>
                <w:rFonts w:hint="eastAsia" w:ascii="宋体" w:hAnsi="宋体" w:eastAsia="宋体" w:cs="宋体"/>
                <w:szCs w:val="22"/>
              </w:rPr>
            </w:pPr>
            <w:r>
              <w:rPr>
                <w:rFonts w:hint="eastAsia" w:ascii="宋体" w:hAnsi="宋体" w:eastAsia="宋体" w:cs="宋体"/>
                <w:szCs w:val="22"/>
              </w:rPr>
              <w:t>（1）学生的作业要按时全部批改，并及时进行讲评。</w:t>
            </w:r>
          </w:p>
          <w:p w14:paraId="761C650D">
            <w:pPr>
              <w:spacing w:line="273" w:lineRule="auto"/>
              <w:rPr>
                <w:rFonts w:hint="eastAsia" w:ascii="宋体" w:hAnsi="宋体" w:eastAsia="宋体" w:cs="宋体"/>
                <w:szCs w:val="22"/>
              </w:rPr>
            </w:pPr>
            <w:r>
              <w:rPr>
                <w:rFonts w:hint="eastAsia" w:ascii="宋体" w:hAnsi="宋体" w:eastAsia="宋体" w:cs="宋体"/>
                <w:szCs w:val="22"/>
              </w:rPr>
              <w:t>（2）教师批改和讲评作业要认真、细致，按百分制评定成绩并写明日期。</w:t>
            </w:r>
          </w:p>
          <w:p w14:paraId="3A5D9863">
            <w:pPr>
              <w:spacing w:line="273" w:lineRule="auto"/>
              <w:rPr>
                <w:rFonts w:hint="eastAsia" w:ascii="宋体" w:hAnsi="宋体" w:eastAsia="宋体" w:cs="宋体"/>
                <w:szCs w:val="22"/>
              </w:rPr>
            </w:pPr>
            <w:r>
              <w:rPr>
                <w:rFonts w:hint="eastAsia" w:ascii="宋体" w:hAnsi="宋体" w:eastAsia="宋体" w:cs="宋体"/>
                <w:szCs w:val="22"/>
              </w:rPr>
              <w:t>（3）学生作业平均成绩应作为本课程总评成绩中平时成绩的重要组成部分。</w:t>
            </w:r>
          </w:p>
        </w:tc>
      </w:tr>
      <w:tr w14:paraId="3BA1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 w:hRule="atLeast"/>
        </w:trPr>
        <w:tc>
          <w:tcPr>
            <w:tcW w:w="397" w:type="dxa"/>
            <w:vAlign w:val="center"/>
          </w:tcPr>
          <w:p w14:paraId="63DA67AA">
            <w:pPr>
              <w:spacing w:line="273" w:lineRule="auto"/>
              <w:jc w:val="center"/>
              <w:rPr>
                <w:rFonts w:hint="eastAsia" w:ascii="宋体" w:hAnsi="宋体" w:eastAsia="宋体" w:cs="宋体"/>
                <w:szCs w:val="22"/>
              </w:rPr>
            </w:pPr>
            <w:r>
              <w:rPr>
                <w:rFonts w:hint="eastAsia" w:ascii="宋体" w:hAnsi="宋体" w:eastAsia="宋体" w:cs="宋体"/>
                <w:szCs w:val="22"/>
              </w:rPr>
              <w:t>4</w:t>
            </w:r>
          </w:p>
        </w:tc>
        <w:tc>
          <w:tcPr>
            <w:tcW w:w="1020" w:type="dxa"/>
            <w:tcMar>
              <w:top w:w="0" w:type="dxa"/>
              <w:left w:w="28" w:type="dxa"/>
              <w:bottom w:w="0" w:type="dxa"/>
              <w:right w:w="28" w:type="dxa"/>
            </w:tcMar>
            <w:vAlign w:val="center"/>
          </w:tcPr>
          <w:p w14:paraId="4CC7C1E5">
            <w:pPr>
              <w:spacing w:line="273" w:lineRule="auto"/>
              <w:jc w:val="center"/>
              <w:rPr>
                <w:rFonts w:hint="eastAsia" w:ascii="宋体" w:hAnsi="宋体" w:eastAsia="宋体" w:cs="宋体"/>
                <w:szCs w:val="22"/>
              </w:rPr>
            </w:pPr>
            <w:r>
              <w:rPr>
                <w:rFonts w:hint="eastAsia" w:ascii="宋体" w:hAnsi="宋体" w:eastAsia="宋体" w:cs="宋体"/>
                <w:szCs w:val="22"/>
              </w:rPr>
              <w:t>课外答疑</w:t>
            </w:r>
          </w:p>
        </w:tc>
        <w:tc>
          <w:tcPr>
            <w:tcW w:w="6960" w:type="dxa"/>
            <w:vAlign w:val="center"/>
          </w:tcPr>
          <w:p w14:paraId="26663F91">
            <w:pPr>
              <w:spacing w:line="273" w:lineRule="auto"/>
              <w:rPr>
                <w:rFonts w:hint="eastAsia" w:ascii="宋体" w:hAnsi="宋体" w:eastAsia="宋体" w:cs="宋体"/>
                <w:szCs w:val="22"/>
              </w:rPr>
            </w:pPr>
            <w:r>
              <w:rPr>
                <w:rFonts w:hint="eastAsia" w:ascii="宋体" w:hAnsi="宋体" w:eastAsia="宋体" w:cs="宋体"/>
                <w:szCs w:val="22"/>
              </w:rPr>
              <w:t>为了解学生的学习情况，帮助学生更好地理解和消化所学知识、改进学习方法和思维方式，培养其独立的教学设计能力、教学组织指导能力、教学反思与评价能力，任课教师需每周安排一定时间进行课外答疑与辅导。</w:t>
            </w:r>
          </w:p>
        </w:tc>
      </w:tr>
      <w:tr w14:paraId="3AA61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397" w:type="dxa"/>
            <w:vAlign w:val="center"/>
          </w:tcPr>
          <w:p w14:paraId="38344583">
            <w:pPr>
              <w:spacing w:line="273" w:lineRule="auto"/>
              <w:jc w:val="center"/>
              <w:rPr>
                <w:rFonts w:hint="eastAsia" w:ascii="宋体" w:hAnsi="宋体" w:eastAsia="宋体" w:cs="宋体"/>
                <w:szCs w:val="22"/>
              </w:rPr>
            </w:pPr>
            <w:r>
              <w:rPr>
                <w:rFonts w:hint="eastAsia" w:ascii="宋体" w:hAnsi="宋体" w:eastAsia="宋体" w:cs="宋体"/>
                <w:szCs w:val="22"/>
              </w:rPr>
              <w:t>5</w:t>
            </w:r>
          </w:p>
        </w:tc>
        <w:tc>
          <w:tcPr>
            <w:tcW w:w="1020" w:type="dxa"/>
            <w:tcMar>
              <w:top w:w="0" w:type="dxa"/>
              <w:left w:w="28" w:type="dxa"/>
              <w:bottom w:w="0" w:type="dxa"/>
              <w:right w:w="28" w:type="dxa"/>
            </w:tcMar>
            <w:vAlign w:val="center"/>
          </w:tcPr>
          <w:p w14:paraId="485B7CD8">
            <w:pPr>
              <w:spacing w:line="273" w:lineRule="auto"/>
              <w:jc w:val="center"/>
              <w:rPr>
                <w:rFonts w:hint="eastAsia" w:ascii="宋体" w:hAnsi="宋体" w:eastAsia="宋体" w:cs="宋体"/>
                <w:szCs w:val="22"/>
              </w:rPr>
            </w:pPr>
            <w:r>
              <w:rPr>
                <w:rFonts w:hint="eastAsia" w:ascii="宋体" w:hAnsi="宋体" w:eastAsia="宋体" w:cs="宋体"/>
                <w:szCs w:val="22"/>
              </w:rPr>
              <w:t>成绩考核</w:t>
            </w:r>
          </w:p>
        </w:tc>
        <w:tc>
          <w:tcPr>
            <w:tcW w:w="6960" w:type="dxa"/>
            <w:vAlign w:val="center"/>
          </w:tcPr>
          <w:p w14:paraId="78D14488">
            <w:pPr>
              <w:spacing w:line="273" w:lineRule="auto"/>
              <w:rPr>
                <w:rFonts w:hint="eastAsia" w:ascii="宋体" w:hAnsi="宋体" w:eastAsia="宋体" w:cs="宋体"/>
                <w:szCs w:val="22"/>
              </w:rPr>
            </w:pPr>
            <w:r>
              <w:rPr>
                <w:rFonts w:hint="eastAsia" w:ascii="宋体" w:hAnsi="宋体" w:eastAsia="宋体" w:cs="宋体"/>
                <w:szCs w:val="22"/>
              </w:rPr>
              <w:t>本课程考核的方式为闭卷笔试。有下列情况之一者，总评成绩为不及格：</w:t>
            </w:r>
          </w:p>
          <w:p w14:paraId="0F3EFBFD">
            <w:pPr>
              <w:spacing w:line="273" w:lineRule="auto"/>
              <w:rPr>
                <w:rFonts w:hint="eastAsia" w:ascii="宋体" w:hAnsi="宋体" w:eastAsia="宋体" w:cs="宋体"/>
                <w:szCs w:val="22"/>
              </w:rPr>
            </w:pPr>
            <w:r>
              <w:rPr>
                <w:rFonts w:hint="eastAsia" w:ascii="宋体" w:hAnsi="宋体" w:eastAsia="宋体" w:cs="宋体"/>
                <w:szCs w:val="22"/>
              </w:rPr>
              <w:t>（1）缺交作业次数达1/3以上者。</w:t>
            </w:r>
          </w:p>
          <w:p w14:paraId="7E55BFA5">
            <w:pPr>
              <w:spacing w:line="273" w:lineRule="auto"/>
              <w:rPr>
                <w:rFonts w:hint="eastAsia" w:ascii="宋体" w:hAnsi="宋体" w:eastAsia="宋体" w:cs="宋体"/>
                <w:szCs w:val="22"/>
              </w:rPr>
            </w:pPr>
            <w:r>
              <w:rPr>
                <w:rFonts w:hint="eastAsia" w:ascii="宋体" w:hAnsi="宋体" w:eastAsia="宋体" w:cs="宋体"/>
                <w:szCs w:val="22"/>
              </w:rPr>
              <w:t>（2）缺课次数达本学期总授课学时的1/3以上者。</w:t>
            </w:r>
          </w:p>
        </w:tc>
      </w:tr>
    </w:tbl>
    <w:p w14:paraId="1131CC32">
      <w:pPr>
        <w:spacing w:before="62" w:beforeLines="20" w:after="62" w:afterLines="20" w:line="360" w:lineRule="auto"/>
        <w:jc w:val="left"/>
        <w:rPr>
          <w:rFonts w:ascii="Times New Roman" w:hAnsi="Times New Roman" w:eastAsia="宋体" w:cs="Times New Roman"/>
          <w:b/>
          <w:sz w:val="24"/>
        </w:rPr>
      </w:pPr>
      <w:bookmarkStart w:id="976" w:name="_Toc26086"/>
      <w:bookmarkStart w:id="977" w:name="_Toc3862"/>
      <w:bookmarkStart w:id="978" w:name="_Toc17584"/>
      <w:bookmarkStart w:id="979" w:name="_Toc6453"/>
      <w:bookmarkStart w:id="980" w:name="_Toc29223"/>
      <w:bookmarkStart w:id="981" w:name="_Toc15749"/>
      <w:bookmarkStart w:id="982" w:name="_Toc7450"/>
      <w:r>
        <w:rPr>
          <w:rFonts w:hint="eastAsia" w:ascii="Times New Roman" w:hAnsi="Times New Roman" w:eastAsia="宋体" w:cs="Times New Roman"/>
          <w:b/>
          <w:sz w:val="24"/>
        </w:rPr>
        <w:t>六、课程考核</w:t>
      </w:r>
      <w:bookmarkEnd w:id="976"/>
      <w:bookmarkEnd w:id="977"/>
      <w:bookmarkEnd w:id="978"/>
      <w:bookmarkEnd w:id="979"/>
      <w:bookmarkEnd w:id="980"/>
      <w:bookmarkEnd w:id="981"/>
      <w:bookmarkEnd w:id="982"/>
    </w:p>
    <w:p w14:paraId="3E734F10">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（一）课程考核包括期末考试、平时及作业考核，期末考试采用闭卷笔试方式。</w:t>
      </w:r>
    </w:p>
    <w:p w14:paraId="68ACFBC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（二）课程总评成绩=平时成绩×50%+期末考试成绩×50%。</w:t>
      </w:r>
    </w:p>
    <w:p w14:paraId="4F447290">
      <w:pPr>
        <w:spacing w:line="360" w:lineRule="auto"/>
        <w:ind w:firstLine="480"/>
        <w:rPr>
          <w:rFonts w:hint="eastAsia" w:ascii="宋体" w:hAnsi="宋体" w:eastAsia="宋体" w:cs="宋体"/>
          <w:szCs w:val="21"/>
        </w:rPr>
      </w:pPr>
      <w:r>
        <w:rPr>
          <w:rFonts w:hint="eastAsia" w:ascii="宋体" w:hAnsi="宋体" w:eastAsia="宋体" w:cs="宋体"/>
          <w:szCs w:val="21"/>
        </w:rPr>
        <w:t>（三）课程目标达成度计算方法</w:t>
      </w:r>
    </w:p>
    <w:p w14:paraId="0FEBD3A9">
      <w:pPr>
        <w:spacing w:line="360" w:lineRule="auto"/>
        <w:ind w:firstLine="630" w:firstLineChars="300"/>
        <w:jc w:val="left"/>
        <w:rPr>
          <w:rFonts w:hint="eastAsia" w:ascii="宋体" w:hAnsi="宋体" w:eastAsia="宋体" w:cs="宋体"/>
          <w:sz w:val="24"/>
        </w:rPr>
      </w:pPr>
      <w:r>
        <w:rPr>
          <w:rFonts w:hint="eastAsia" w:ascii="宋体" w:hAnsi="宋体" w:eastAsia="宋体" w:cs="宋体"/>
          <w:szCs w:val="21"/>
        </w:rPr>
        <w:t>所有课程目标均需大于等于0.6，否则总评成绩不及格，需要补考或重修。每门课程目标总体达成度计算方法如下：</w:t>
      </w:r>
      <w:r>
        <w:rPr>
          <w:rFonts w:ascii="宋体" w:hAnsi="宋体" w:eastAsia="宋体" w:cs="Times New Roman"/>
          <w:szCs w:val="21"/>
        </w:rPr>
        <w:object>
          <v:shape id="_x0000_i1056"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56" DrawAspect="Content" ObjectID="_1468075756" r:id="rId44">
            <o:LockedField>false</o:LockedField>
          </o:OLEObject>
        </w:object>
      </w:r>
    </w:p>
    <w:p w14:paraId="6523A999">
      <w:pPr>
        <w:spacing w:before="62" w:beforeLines="20" w:after="62" w:afterLines="20" w:line="360" w:lineRule="auto"/>
        <w:jc w:val="left"/>
        <w:rPr>
          <w:rFonts w:ascii="Times New Roman" w:hAnsi="Times New Roman" w:eastAsia="宋体" w:cs="Times New Roman"/>
          <w:b/>
          <w:sz w:val="24"/>
        </w:rPr>
      </w:pPr>
      <w:bookmarkStart w:id="983" w:name="_Toc187"/>
      <w:bookmarkStart w:id="984" w:name="_Toc6723"/>
      <w:bookmarkStart w:id="985" w:name="_Toc11515"/>
      <w:bookmarkStart w:id="986" w:name="_Toc6159"/>
      <w:bookmarkStart w:id="987" w:name="_Toc8556"/>
      <w:bookmarkStart w:id="988" w:name="_Toc8835"/>
      <w:bookmarkStart w:id="989" w:name="_Toc24264"/>
      <w:r>
        <w:rPr>
          <w:rFonts w:hint="eastAsia" w:ascii="Times New Roman" w:hAnsi="Times New Roman" w:eastAsia="宋体" w:cs="Times New Roman"/>
          <w:b/>
          <w:sz w:val="24"/>
        </w:rPr>
        <w:t>七、有关说明</w:t>
      </w:r>
      <w:bookmarkEnd w:id="983"/>
      <w:bookmarkEnd w:id="984"/>
      <w:bookmarkEnd w:id="985"/>
      <w:bookmarkEnd w:id="986"/>
      <w:bookmarkEnd w:id="987"/>
      <w:bookmarkEnd w:id="988"/>
      <w:bookmarkEnd w:id="989"/>
    </w:p>
    <w:p w14:paraId="242E3D0F">
      <w:pPr>
        <w:spacing w:line="312" w:lineRule="auto"/>
        <w:ind w:firstLine="422" w:firstLineChars="200"/>
        <w:rPr>
          <w:rFonts w:hint="eastAsia" w:ascii="宋体" w:hAnsi="宋体" w:eastAsia="宋体" w:cs="宋体"/>
          <w:b/>
          <w:bCs/>
          <w:szCs w:val="21"/>
        </w:rPr>
      </w:pPr>
      <w:bookmarkStart w:id="990" w:name="_Toc7616"/>
      <w:bookmarkStart w:id="991" w:name="_Toc25642"/>
      <w:bookmarkStart w:id="992" w:name="_Toc12995"/>
      <w:bookmarkStart w:id="993" w:name="_Toc29287"/>
      <w:bookmarkStart w:id="994" w:name="_Toc10326"/>
      <w:bookmarkStart w:id="995" w:name="_Toc29042"/>
      <w:bookmarkStart w:id="996" w:name="_Toc12419"/>
      <w:r>
        <w:rPr>
          <w:rFonts w:hint="eastAsia" w:ascii="宋体" w:hAnsi="宋体" w:eastAsia="宋体" w:cs="宋体"/>
          <w:b/>
          <w:bCs/>
          <w:szCs w:val="21"/>
        </w:rPr>
        <w:t>（一）持续改进</w:t>
      </w:r>
      <w:bookmarkEnd w:id="990"/>
      <w:bookmarkEnd w:id="991"/>
      <w:bookmarkEnd w:id="992"/>
      <w:bookmarkEnd w:id="993"/>
      <w:bookmarkEnd w:id="994"/>
      <w:bookmarkEnd w:id="995"/>
      <w:bookmarkEnd w:id="996"/>
    </w:p>
    <w:p w14:paraId="1CE92033">
      <w:pPr>
        <w:spacing w:line="312" w:lineRule="auto"/>
        <w:ind w:firstLine="420" w:firstLineChars="200"/>
        <w:rPr>
          <w:rFonts w:hint="eastAsia" w:ascii="宋体" w:hAnsi="宋体" w:eastAsia="宋体" w:cs="宋体"/>
          <w:szCs w:val="21"/>
        </w:rPr>
      </w:pPr>
      <w:bookmarkStart w:id="997" w:name="_Toc18327"/>
      <w:bookmarkStart w:id="998" w:name="_Toc19731"/>
      <w:bookmarkStart w:id="999" w:name="_Toc5469"/>
      <w:bookmarkStart w:id="1000" w:name="_Toc5256"/>
      <w:bookmarkStart w:id="1001" w:name="_Toc25899"/>
      <w:bookmarkStart w:id="1002" w:name="_Toc22664"/>
      <w:bookmarkStart w:id="1003" w:name="_Toc3162"/>
      <w:r>
        <w:rPr>
          <w:rFonts w:hint="eastAsia" w:ascii="宋体" w:hAnsi="宋体" w:eastAsia="宋体" w:cs="宋体"/>
          <w:szCs w:val="21"/>
        </w:rPr>
        <w:t>本课程根据学生作业、课堂讨论情况和学生、教学督导等方面的反馈意见及时对教学中的不足之处进行改进，并在下一轮课程教学中整改完善，确保相应毕业要求指标点达成。</w:t>
      </w:r>
      <w:bookmarkEnd w:id="997"/>
      <w:bookmarkEnd w:id="998"/>
      <w:bookmarkEnd w:id="999"/>
      <w:bookmarkEnd w:id="1000"/>
      <w:bookmarkEnd w:id="1001"/>
      <w:bookmarkEnd w:id="1002"/>
      <w:bookmarkEnd w:id="1003"/>
    </w:p>
    <w:p w14:paraId="3684FD66">
      <w:pPr>
        <w:spacing w:line="312" w:lineRule="auto"/>
        <w:ind w:right="-168" w:rightChars="-80" w:firstLine="422" w:firstLineChars="200"/>
        <w:rPr>
          <w:rFonts w:hint="eastAsia" w:ascii="宋体" w:hAnsi="宋体" w:eastAsia="宋体" w:cs="宋体"/>
          <w:b/>
          <w:bCs/>
          <w:szCs w:val="21"/>
        </w:rPr>
      </w:pPr>
      <w:bookmarkStart w:id="1004" w:name="_Toc17197"/>
      <w:r>
        <w:rPr>
          <w:rFonts w:hint="eastAsia" w:ascii="宋体" w:hAnsi="宋体" w:eastAsia="宋体" w:cs="宋体"/>
          <w:b/>
          <w:bCs/>
          <w:szCs w:val="21"/>
        </w:rPr>
        <w:t>（二）教材、参考书目及学习资料</w:t>
      </w:r>
      <w:bookmarkEnd w:id="1004"/>
    </w:p>
    <w:p w14:paraId="26FA06BA">
      <w:pPr>
        <w:spacing w:line="312" w:lineRule="auto"/>
        <w:ind w:right="-168" w:rightChars="-80" w:firstLine="420" w:firstLineChars="200"/>
        <w:rPr>
          <w:rFonts w:hint="eastAsia" w:ascii="宋体" w:hAnsi="宋体" w:eastAsia="宋体" w:cs="宋体"/>
          <w:szCs w:val="21"/>
        </w:rPr>
      </w:pPr>
      <w:r>
        <w:rPr>
          <w:rFonts w:hint="eastAsia" w:ascii="宋体" w:hAnsi="宋体" w:eastAsia="宋体" w:cs="宋体"/>
          <w:szCs w:val="21"/>
        </w:rPr>
        <w:t>教材：黄伯荣、廖旭东主编：《现代汉语》（增订六版）精简本，北京：高等教育出版社，2018</w:t>
      </w:r>
    </w:p>
    <w:p w14:paraId="60E0CAC9">
      <w:pPr>
        <w:spacing w:line="312" w:lineRule="auto"/>
        <w:ind w:right="-168" w:rightChars="-80" w:firstLine="420" w:firstLineChars="200"/>
        <w:rPr>
          <w:rFonts w:hint="eastAsia" w:ascii="宋体" w:hAnsi="宋体" w:eastAsia="宋体" w:cs="宋体"/>
          <w:szCs w:val="21"/>
        </w:rPr>
      </w:pPr>
      <w:r>
        <w:rPr>
          <w:rFonts w:hint="eastAsia" w:ascii="宋体" w:hAnsi="宋体" w:eastAsia="宋体" w:cs="宋体"/>
          <w:szCs w:val="21"/>
        </w:rPr>
        <w:t>主要参考书目：</w:t>
      </w:r>
    </w:p>
    <w:p w14:paraId="2AD06A38">
      <w:pPr>
        <w:spacing w:line="312" w:lineRule="auto"/>
        <w:ind w:right="-168" w:rightChars="-80" w:firstLine="420" w:firstLineChars="200"/>
        <w:rPr>
          <w:rFonts w:hint="eastAsia" w:ascii="宋体" w:hAnsi="宋体" w:eastAsia="宋体" w:cs="宋体"/>
          <w:szCs w:val="21"/>
        </w:rPr>
      </w:pPr>
      <w:bookmarkStart w:id="1005" w:name="_Toc400898913"/>
      <w:bookmarkStart w:id="1006" w:name="_Toc4984"/>
      <w:bookmarkStart w:id="1007" w:name="_Toc11026"/>
      <w:bookmarkStart w:id="1008" w:name="_Toc2163"/>
      <w:bookmarkStart w:id="1009" w:name="_Toc27229"/>
      <w:bookmarkStart w:id="1010" w:name="_Toc6335"/>
      <w:bookmarkStart w:id="1011" w:name="_Toc22170"/>
      <w:bookmarkStart w:id="1012" w:name="_Toc27410"/>
      <w:r>
        <w:rPr>
          <w:rFonts w:hint="eastAsia" w:ascii="宋体" w:hAnsi="宋体" w:eastAsia="宋体" w:cs="宋体"/>
          <w:szCs w:val="21"/>
        </w:rPr>
        <w:t xml:space="preserve">[1] </w:t>
      </w:r>
      <w:bookmarkEnd w:id="1005"/>
      <w:bookmarkStart w:id="1013" w:name="_Toc1251830152"/>
      <w:r>
        <w:rPr>
          <w:rFonts w:hint="eastAsia" w:ascii="宋体" w:hAnsi="宋体" w:eastAsia="宋体" w:cs="宋体"/>
          <w:szCs w:val="21"/>
        </w:rPr>
        <w:t>邵敬敏主编：《现代汉语通论》（下册），上海：上海教育出版社，2016</w:t>
      </w:r>
      <w:bookmarkEnd w:id="1006"/>
      <w:bookmarkEnd w:id="1007"/>
      <w:bookmarkEnd w:id="1008"/>
      <w:bookmarkEnd w:id="1009"/>
      <w:bookmarkEnd w:id="1010"/>
      <w:bookmarkEnd w:id="1011"/>
      <w:bookmarkEnd w:id="1012"/>
    </w:p>
    <w:p w14:paraId="1887C116">
      <w:pPr>
        <w:spacing w:line="312" w:lineRule="auto"/>
        <w:ind w:right="-168" w:rightChars="-80" w:firstLine="420" w:firstLineChars="200"/>
        <w:rPr>
          <w:rFonts w:hint="eastAsia" w:ascii="宋体" w:hAnsi="宋体" w:eastAsia="宋体" w:cs="宋体"/>
          <w:szCs w:val="21"/>
        </w:rPr>
      </w:pPr>
      <w:bookmarkStart w:id="1014" w:name="_Toc21358"/>
      <w:bookmarkStart w:id="1015" w:name="_Toc27074"/>
      <w:bookmarkStart w:id="1016" w:name="_Toc7632"/>
      <w:bookmarkStart w:id="1017" w:name="_Toc25347"/>
      <w:bookmarkStart w:id="1018" w:name="_Toc28186"/>
      <w:bookmarkStart w:id="1019" w:name="_Toc29326"/>
      <w:bookmarkStart w:id="1020" w:name="_Toc19481"/>
      <w:r>
        <w:rPr>
          <w:rFonts w:hint="eastAsia" w:ascii="宋体" w:hAnsi="宋体" w:eastAsia="宋体" w:cs="宋体"/>
          <w:szCs w:val="21"/>
        </w:rPr>
        <w:t>[2] 张斌主编：《新编现代汉语》上海：复旦大学出版社，2002</w:t>
      </w:r>
      <w:bookmarkEnd w:id="1013"/>
      <w:bookmarkEnd w:id="1014"/>
      <w:bookmarkEnd w:id="1015"/>
      <w:bookmarkEnd w:id="1016"/>
      <w:bookmarkEnd w:id="1017"/>
      <w:bookmarkEnd w:id="1018"/>
      <w:bookmarkEnd w:id="1019"/>
      <w:bookmarkEnd w:id="1020"/>
    </w:p>
    <w:p w14:paraId="2B071B32">
      <w:pPr>
        <w:spacing w:line="312" w:lineRule="auto"/>
        <w:ind w:right="-168" w:rightChars="-80" w:firstLine="420" w:firstLineChars="200"/>
        <w:rPr>
          <w:rFonts w:hint="eastAsia" w:ascii="宋体" w:hAnsi="宋体" w:eastAsia="宋体" w:cs="宋体"/>
          <w:szCs w:val="21"/>
        </w:rPr>
      </w:pPr>
      <w:bookmarkStart w:id="1021" w:name="_Toc612075005"/>
      <w:bookmarkStart w:id="1022" w:name="_Toc1611"/>
      <w:bookmarkStart w:id="1023" w:name="_Toc19018"/>
      <w:bookmarkStart w:id="1024" w:name="_Toc2694"/>
      <w:bookmarkStart w:id="1025" w:name="_Toc6354"/>
      <w:bookmarkStart w:id="1026" w:name="_Toc20138"/>
      <w:bookmarkStart w:id="1027" w:name="_Toc18304"/>
      <w:bookmarkStart w:id="1028" w:name="_Toc30611"/>
      <w:r>
        <w:rPr>
          <w:rFonts w:hint="eastAsia" w:ascii="宋体" w:hAnsi="宋体" w:eastAsia="宋体" w:cs="宋体"/>
          <w:szCs w:val="21"/>
        </w:rPr>
        <w:t>[3] 胡裕树主编：《现代汉语》上海：上海教育出版社，2001</w:t>
      </w:r>
      <w:bookmarkEnd w:id="1021"/>
      <w:bookmarkEnd w:id="1022"/>
      <w:bookmarkEnd w:id="1023"/>
      <w:bookmarkEnd w:id="1024"/>
      <w:bookmarkEnd w:id="1025"/>
      <w:bookmarkEnd w:id="1026"/>
      <w:bookmarkEnd w:id="1027"/>
      <w:bookmarkEnd w:id="1028"/>
    </w:p>
    <w:p w14:paraId="4AAB1B77">
      <w:pPr>
        <w:spacing w:line="312" w:lineRule="auto"/>
        <w:ind w:right="-168" w:rightChars="-80" w:firstLine="420" w:firstLineChars="200"/>
        <w:rPr>
          <w:rFonts w:hint="eastAsia" w:ascii="宋体" w:hAnsi="宋体" w:eastAsia="宋体" w:cs="宋体"/>
          <w:szCs w:val="21"/>
        </w:rPr>
      </w:pPr>
      <w:bookmarkStart w:id="1029" w:name="_Toc153"/>
      <w:bookmarkStart w:id="1030" w:name="_Toc21091"/>
      <w:bookmarkStart w:id="1031" w:name="_Toc21120"/>
      <w:bookmarkStart w:id="1032" w:name="_Toc697939905"/>
      <w:bookmarkStart w:id="1033" w:name="_Toc13674"/>
      <w:bookmarkStart w:id="1034" w:name="_Toc11723"/>
      <w:bookmarkStart w:id="1035" w:name="_Toc29217"/>
      <w:bookmarkStart w:id="1036" w:name="_Toc15334"/>
      <w:r>
        <w:rPr>
          <w:rFonts w:hint="eastAsia" w:ascii="宋体" w:hAnsi="宋体" w:eastAsia="宋体" w:cs="宋体"/>
          <w:szCs w:val="21"/>
        </w:rPr>
        <w:t>[4] 钱乃荣主编：《现代汉语》南京：江苏教育出版社，2001</w:t>
      </w:r>
      <w:bookmarkEnd w:id="1029"/>
      <w:bookmarkEnd w:id="1030"/>
      <w:bookmarkEnd w:id="1031"/>
      <w:bookmarkEnd w:id="1032"/>
      <w:bookmarkEnd w:id="1033"/>
      <w:bookmarkEnd w:id="1034"/>
      <w:bookmarkEnd w:id="1035"/>
      <w:bookmarkEnd w:id="1036"/>
    </w:p>
    <w:p w14:paraId="214976F4">
      <w:pPr>
        <w:spacing w:line="312" w:lineRule="auto"/>
        <w:ind w:right="-168" w:rightChars="-80" w:firstLine="420" w:firstLineChars="200"/>
        <w:rPr>
          <w:rFonts w:hint="eastAsia" w:ascii="宋体" w:hAnsi="宋体" w:eastAsia="宋体" w:cs="宋体"/>
          <w:szCs w:val="21"/>
        </w:rPr>
      </w:pPr>
      <w:bookmarkStart w:id="1037" w:name="_Toc31793"/>
      <w:bookmarkStart w:id="1038" w:name="_Toc5693"/>
      <w:bookmarkStart w:id="1039" w:name="_Toc8477"/>
      <w:bookmarkStart w:id="1040" w:name="_Toc720303421"/>
      <w:bookmarkStart w:id="1041" w:name="_Toc18779"/>
      <w:bookmarkStart w:id="1042" w:name="_Toc8392"/>
      <w:bookmarkStart w:id="1043" w:name="_Toc26155"/>
      <w:bookmarkStart w:id="1044" w:name="_Toc7316"/>
      <w:r>
        <w:rPr>
          <w:rFonts w:hint="eastAsia" w:ascii="宋体" w:hAnsi="宋体" w:eastAsia="宋体" w:cs="宋体"/>
          <w:szCs w:val="21"/>
        </w:rPr>
        <w:t>[5] 李如龙著：《汉语方言学》北京：高等教育出版社，2001</w:t>
      </w:r>
      <w:bookmarkEnd w:id="1037"/>
      <w:bookmarkEnd w:id="1038"/>
      <w:bookmarkEnd w:id="1039"/>
      <w:bookmarkEnd w:id="1040"/>
      <w:bookmarkEnd w:id="1041"/>
      <w:bookmarkEnd w:id="1042"/>
      <w:bookmarkEnd w:id="1043"/>
      <w:bookmarkEnd w:id="1044"/>
    </w:p>
    <w:p w14:paraId="1A653680">
      <w:pPr>
        <w:spacing w:line="312" w:lineRule="auto"/>
        <w:ind w:right="-168" w:rightChars="-80" w:firstLine="420" w:firstLineChars="200"/>
        <w:rPr>
          <w:rFonts w:hint="eastAsia" w:ascii="宋体" w:hAnsi="宋体" w:eastAsia="宋体" w:cs="宋体"/>
          <w:szCs w:val="21"/>
        </w:rPr>
      </w:pPr>
      <w:bookmarkStart w:id="1045" w:name="_Toc29131"/>
      <w:bookmarkStart w:id="1046" w:name="_Toc19301"/>
      <w:bookmarkStart w:id="1047" w:name="_Toc774278608"/>
      <w:bookmarkStart w:id="1048" w:name="_Toc32495"/>
      <w:bookmarkStart w:id="1049" w:name="_Toc10472"/>
      <w:bookmarkStart w:id="1050" w:name="_Toc14574"/>
      <w:bookmarkStart w:id="1051" w:name="_Toc3561"/>
      <w:bookmarkStart w:id="1052" w:name="_Toc27914"/>
      <w:r>
        <w:rPr>
          <w:rFonts w:hint="eastAsia" w:ascii="宋体" w:hAnsi="宋体" w:eastAsia="宋体" w:cs="宋体"/>
          <w:szCs w:val="21"/>
        </w:rPr>
        <w:t>[6] 林涛、王理嘉著：《语音学教程》北京：北京大学出版社，1992</w:t>
      </w:r>
      <w:bookmarkEnd w:id="1045"/>
      <w:bookmarkEnd w:id="1046"/>
      <w:bookmarkEnd w:id="1047"/>
      <w:bookmarkEnd w:id="1048"/>
      <w:bookmarkEnd w:id="1049"/>
      <w:bookmarkEnd w:id="1050"/>
      <w:bookmarkEnd w:id="1051"/>
      <w:bookmarkEnd w:id="1052"/>
    </w:p>
    <w:p w14:paraId="37E88765">
      <w:pPr>
        <w:spacing w:line="312" w:lineRule="auto"/>
        <w:ind w:right="-168" w:rightChars="-80" w:firstLine="420" w:firstLineChars="200"/>
        <w:rPr>
          <w:rFonts w:hint="eastAsia" w:ascii="宋体" w:hAnsi="宋体" w:eastAsia="宋体" w:cs="宋体"/>
          <w:szCs w:val="21"/>
        </w:rPr>
      </w:pPr>
      <w:bookmarkStart w:id="1053" w:name="_Toc11589"/>
      <w:bookmarkStart w:id="1054" w:name="_Toc22841"/>
      <w:bookmarkStart w:id="1055" w:name="_Toc8066"/>
      <w:bookmarkStart w:id="1056" w:name="_Toc1697147483"/>
      <w:bookmarkStart w:id="1057" w:name="_Toc22816"/>
      <w:bookmarkStart w:id="1058" w:name="_Toc10017"/>
      <w:bookmarkStart w:id="1059" w:name="_Toc23339"/>
      <w:bookmarkStart w:id="1060" w:name="_Toc6312"/>
      <w:r>
        <w:rPr>
          <w:rFonts w:hint="eastAsia" w:ascii="宋体" w:hAnsi="宋体" w:eastAsia="宋体" w:cs="宋体"/>
          <w:szCs w:val="21"/>
        </w:rPr>
        <w:t>[7] 苏培成著：《现代汉字学纲要》北京：北京大学出版社，2001</w:t>
      </w:r>
      <w:bookmarkEnd w:id="1053"/>
      <w:bookmarkEnd w:id="1054"/>
      <w:bookmarkEnd w:id="1055"/>
      <w:bookmarkEnd w:id="1056"/>
      <w:bookmarkEnd w:id="1057"/>
      <w:bookmarkEnd w:id="1058"/>
      <w:bookmarkEnd w:id="1059"/>
      <w:bookmarkEnd w:id="1060"/>
    </w:p>
    <w:p w14:paraId="6E9EFEB0">
      <w:pPr>
        <w:spacing w:line="312" w:lineRule="auto"/>
        <w:ind w:right="-168" w:rightChars="-80" w:firstLine="420" w:firstLineChars="200"/>
        <w:rPr>
          <w:rFonts w:hint="eastAsia" w:ascii="宋体" w:hAnsi="宋体" w:eastAsia="宋体" w:cs="宋体"/>
          <w:szCs w:val="21"/>
        </w:rPr>
      </w:pPr>
      <w:bookmarkStart w:id="1061" w:name="_Toc13478"/>
      <w:bookmarkStart w:id="1062" w:name="_Toc1079947327"/>
      <w:bookmarkStart w:id="1063" w:name="_Toc31"/>
      <w:bookmarkStart w:id="1064" w:name="_Toc23847"/>
      <w:bookmarkStart w:id="1065" w:name="_Toc29613"/>
      <w:bookmarkStart w:id="1066" w:name="_Toc10506"/>
      <w:bookmarkStart w:id="1067" w:name="_Toc15767"/>
      <w:bookmarkStart w:id="1068" w:name="_Toc12322"/>
      <w:r>
        <w:rPr>
          <w:rFonts w:hint="eastAsia" w:ascii="宋体" w:hAnsi="宋体" w:eastAsia="宋体" w:cs="宋体"/>
          <w:szCs w:val="21"/>
        </w:rPr>
        <w:t>[8] 符淮青著：《现代汉语词汇》北京：北京大学出版社，2004</w:t>
      </w:r>
      <w:bookmarkEnd w:id="1061"/>
      <w:bookmarkEnd w:id="1062"/>
      <w:bookmarkEnd w:id="1063"/>
      <w:bookmarkEnd w:id="1064"/>
      <w:bookmarkEnd w:id="1065"/>
      <w:bookmarkEnd w:id="1066"/>
      <w:bookmarkEnd w:id="1067"/>
      <w:bookmarkEnd w:id="1068"/>
    </w:p>
    <w:p w14:paraId="649D8D56">
      <w:pPr>
        <w:spacing w:line="312" w:lineRule="auto"/>
        <w:ind w:right="-168" w:rightChars="-80" w:firstLine="420" w:firstLineChars="200"/>
        <w:rPr>
          <w:rFonts w:hint="eastAsia" w:ascii="宋体" w:hAnsi="宋体" w:eastAsia="宋体" w:cs="宋体"/>
          <w:szCs w:val="21"/>
        </w:rPr>
      </w:pPr>
      <w:bookmarkStart w:id="1069" w:name="_Toc9964"/>
      <w:bookmarkStart w:id="1070" w:name="_Toc142940445"/>
      <w:bookmarkStart w:id="1071" w:name="_Toc19184"/>
      <w:bookmarkStart w:id="1072" w:name="_Toc12785"/>
      <w:bookmarkStart w:id="1073" w:name="_Toc9711"/>
      <w:bookmarkStart w:id="1074" w:name="_Toc27623"/>
      <w:bookmarkStart w:id="1075" w:name="_Toc32348"/>
      <w:bookmarkStart w:id="1076" w:name="_Toc30775"/>
      <w:r>
        <w:rPr>
          <w:rFonts w:hint="eastAsia" w:ascii="宋体" w:hAnsi="宋体" w:eastAsia="宋体" w:cs="宋体"/>
          <w:szCs w:val="21"/>
        </w:rPr>
        <w:t>[9] 贾彦德著：《汉语语义学》北京：北京大学出版社</w:t>
      </w:r>
      <w:bookmarkEnd w:id="1069"/>
      <w:bookmarkEnd w:id="1070"/>
      <w:bookmarkEnd w:id="1071"/>
      <w:bookmarkEnd w:id="1072"/>
      <w:bookmarkEnd w:id="1073"/>
      <w:bookmarkEnd w:id="1074"/>
      <w:bookmarkEnd w:id="1075"/>
      <w:bookmarkEnd w:id="1076"/>
    </w:p>
    <w:p w14:paraId="0B440F8F">
      <w:pPr>
        <w:spacing w:line="312" w:lineRule="auto"/>
        <w:ind w:right="-168" w:rightChars="-80" w:firstLine="420" w:firstLineChars="200"/>
        <w:rPr>
          <w:rFonts w:hint="eastAsia" w:ascii="宋体" w:hAnsi="宋体" w:eastAsia="宋体" w:cs="宋体"/>
          <w:szCs w:val="21"/>
        </w:rPr>
      </w:pPr>
      <w:bookmarkStart w:id="1077" w:name="_Toc11559"/>
      <w:bookmarkStart w:id="1078" w:name="_Toc1513341769"/>
      <w:bookmarkStart w:id="1079" w:name="_Toc24262"/>
      <w:bookmarkStart w:id="1080" w:name="_Toc11151"/>
      <w:bookmarkStart w:id="1081" w:name="_Toc11539"/>
      <w:bookmarkStart w:id="1082" w:name="_Toc30596"/>
      <w:bookmarkStart w:id="1083" w:name="_Toc32543"/>
      <w:bookmarkStart w:id="1084" w:name="_Toc19304"/>
      <w:r>
        <w:rPr>
          <w:rFonts w:hint="eastAsia" w:ascii="宋体" w:hAnsi="宋体" w:eastAsia="宋体" w:cs="宋体"/>
          <w:szCs w:val="21"/>
        </w:rPr>
        <w:t>[10] 朱德熙著：《语法讲义》北京：商务印书馆，1982</w:t>
      </w:r>
      <w:bookmarkEnd w:id="1077"/>
      <w:bookmarkEnd w:id="1078"/>
      <w:bookmarkEnd w:id="1079"/>
      <w:bookmarkEnd w:id="1080"/>
      <w:bookmarkEnd w:id="1081"/>
      <w:bookmarkEnd w:id="1082"/>
      <w:bookmarkEnd w:id="1083"/>
      <w:bookmarkEnd w:id="1084"/>
    </w:p>
    <w:p w14:paraId="4D15A954">
      <w:pPr>
        <w:spacing w:line="312" w:lineRule="auto"/>
        <w:ind w:right="-168" w:rightChars="-80" w:firstLine="420" w:firstLineChars="200"/>
        <w:rPr>
          <w:rFonts w:hint="eastAsia" w:ascii="宋体" w:hAnsi="宋体" w:eastAsia="宋体" w:cs="宋体"/>
          <w:szCs w:val="21"/>
        </w:rPr>
      </w:pPr>
      <w:bookmarkStart w:id="1085" w:name="_Toc17518"/>
      <w:bookmarkStart w:id="1086" w:name="_Toc6552"/>
      <w:bookmarkStart w:id="1087" w:name="_Toc12185"/>
      <w:bookmarkStart w:id="1088" w:name="_Toc27871"/>
      <w:bookmarkStart w:id="1089" w:name="_Toc8044"/>
      <w:bookmarkStart w:id="1090" w:name="_Toc26793"/>
      <w:bookmarkStart w:id="1091" w:name="_Toc2086280162"/>
      <w:bookmarkStart w:id="1092" w:name="_Toc24845"/>
      <w:r>
        <w:rPr>
          <w:rFonts w:hint="eastAsia" w:ascii="宋体" w:hAnsi="宋体" w:eastAsia="宋体" w:cs="宋体"/>
          <w:szCs w:val="21"/>
        </w:rPr>
        <w:t>[11] 朱德熙著：《语法答问》北京：商务印书馆，1985</w:t>
      </w:r>
      <w:bookmarkEnd w:id="1085"/>
      <w:bookmarkEnd w:id="1086"/>
      <w:bookmarkEnd w:id="1087"/>
      <w:bookmarkEnd w:id="1088"/>
      <w:bookmarkEnd w:id="1089"/>
      <w:bookmarkEnd w:id="1090"/>
      <w:bookmarkEnd w:id="1091"/>
      <w:bookmarkEnd w:id="1092"/>
    </w:p>
    <w:p w14:paraId="530DE730">
      <w:pPr>
        <w:spacing w:line="312" w:lineRule="auto"/>
        <w:ind w:right="-168" w:rightChars="-80" w:firstLine="420" w:firstLineChars="200"/>
        <w:rPr>
          <w:rFonts w:hint="eastAsia" w:ascii="宋体" w:hAnsi="宋体" w:eastAsia="宋体" w:cs="宋体"/>
          <w:szCs w:val="21"/>
        </w:rPr>
      </w:pPr>
      <w:bookmarkStart w:id="1093" w:name="_Toc31841"/>
      <w:bookmarkStart w:id="1094" w:name="_Toc32549"/>
      <w:bookmarkStart w:id="1095" w:name="_Toc12396"/>
      <w:bookmarkStart w:id="1096" w:name="_Toc2919"/>
      <w:bookmarkStart w:id="1097" w:name="_Toc6233"/>
      <w:bookmarkStart w:id="1098" w:name="_Toc12451"/>
      <w:bookmarkStart w:id="1099" w:name="_Toc2145178165"/>
      <w:bookmarkStart w:id="1100" w:name="_Toc31909"/>
      <w:r>
        <w:rPr>
          <w:rFonts w:hint="eastAsia" w:ascii="宋体" w:hAnsi="宋体" w:eastAsia="宋体" w:cs="宋体"/>
          <w:szCs w:val="21"/>
        </w:rPr>
        <w:t>[12] 朱德熙著：《现代汉语语法研究》北京：商务印书馆，1980</w:t>
      </w:r>
      <w:bookmarkEnd w:id="1093"/>
      <w:bookmarkEnd w:id="1094"/>
      <w:bookmarkEnd w:id="1095"/>
      <w:bookmarkEnd w:id="1096"/>
      <w:bookmarkEnd w:id="1097"/>
      <w:bookmarkEnd w:id="1098"/>
      <w:bookmarkEnd w:id="1099"/>
      <w:bookmarkEnd w:id="1100"/>
    </w:p>
    <w:p w14:paraId="576AF6F3">
      <w:pPr>
        <w:spacing w:line="312" w:lineRule="auto"/>
        <w:ind w:right="-168" w:rightChars="-80" w:firstLine="420" w:firstLineChars="200"/>
        <w:rPr>
          <w:rFonts w:hint="eastAsia" w:ascii="宋体" w:hAnsi="宋体" w:eastAsia="宋体" w:cs="宋体"/>
          <w:szCs w:val="21"/>
        </w:rPr>
      </w:pPr>
      <w:bookmarkStart w:id="1101" w:name="_Toc25351"/>
      <w:bookmarkStart w:id="1102" w:name="_Toc12267"/>
      <w:bookmarkStart w:id="1103" w:name="_Toc2985"/>
      <w:bookmarkStart w:id="1104" w:name="_Toc12975"/>
      <w:bookmarkStart w:id="1105" w:name="_Toc10195"/>
      <w:bookmarkStart w:id="1106" w:name="_Toc21157"/>
      <w:bookmarkStart w:id="1107" w:name="_Toc2053953319"/>
      <w:bookmarkStart w:id="1108" w:name="_Toc1843"/>
      <w:r>
        <w:rPr>
          <w:rFonts w:hint="eastAsia" w:ascii="宋体" w:hAnsi="宋体" w:eastAsia="宋体" w:cs="宋体"/>
          <w:szCs w:val="21"/>
        </w:rPr>
        <w:t>[13] 陆俭明著：《现代汉语语法研究教程》北京：北京大学出版社，2003</w:t>
      </w:r>
      <w:bookmarkEnd w:id="1101"/>
      <w:bookmarkEnd w:id="1102"/>
      <w:bookmarkEnd w:id="1103"/>
      <w:bookmarkEnd w:id="1104"/>
      <w:bookmarkEnd w:id="1105"/>
      <w:bookmarkEnd w:id="1106"/>
      <w:bookmarkEnd w:id="1107"/>
      <w:bookmarkEnd w:id="1108"/>
    </w:p>
    <w:p w14:paraId="3D90B24D">
      <w:pPr>
        <w:spacing w:line="312" w:lineRule="auto"/>
        <w:ind w:right="-168" w:rightChars="-80" w:firstLine="420" w:firstLineChars="200"/>
        <w:rPr>
          <w:rFonts w:hint="eastAsia" w:ascii="宋体" w:hAnsi="宋体" w:eastAsia="宋体" w:cs="宋体"/>
          <w:szCs w:val="21"/>
        </w:rPr>
      </w:pPr>
      <w:bookmarkStart w:id="1109" w:name="_Toc2141290555"/>
      <w:bookmarkStart w:id="1110" w:name="_Toc13068"/>
      <w:bookmarkStart w:id="1111" w:name="_Toc2948"/>
      <w:bookmarkStart w:id="1112" w:name="_Toc28560"/>
      <w:bookmarkStart w:id="1113" w:name="_Toc20799"/>
      <w:bookmarkStart w:id="1114" w:name="_Toc20931"/>
      <w:bookmarkStart w:id="1115" w:name="_Toc26141"/>
      <w:bookmarkStart w:id="1116" w:name="_Toc14778"/>
      <w:r>
        <w:rPr>
          <w:rFonts w:hint="eastAsia" w:ascii="宋体" w:hAnsi="宋体" w:eastAsia="宋体" w:cs="宋体"/>
          <w:szCs w:val="21"/>
        </w:rPr>
        <w:t>[14] 邢福义著：《汉语语法三百问》北京：商务印书馆，2001</w:t>
      </w:r>
      <w:bookmarkEnd w:id="1109"/>
      <w:bookmarkEnd w:id="1110"/>
      <w:bookmarkEnd w:id="1111"/>
      <w:bookmarkEnd w:id="1112"/>
      <w:bookmarkEnd w:id="1113"/>
      <w:bookmarkEnd w:id="1114"/>
      <w:bookmarkEnd w:id="1115"/>
      <w:bookmarkEnd w:id="1116"/>
    </w:p>
    <w:p w14:paraId="73150EA2">
      <w:pPr>
        <w:wordWrap w:val="0"/>
        <w:spacing w:line="312" w:lineRule="auto"/>
        <w:ind w:right="-168" w:rightChars="-80" w:firstLine="420" w:firstLineChars="200"/>
        <w:jc w:val="right"/>
        <w:rPr>
          <w:rFonts w:hint="eastAsia" w:ascii="宋体" w:hAnsi="宋体" w:eastAsia="宋体" w:cs="宋体"/>
          <w:szCs w:val="21"/>
        </w:rPr>
      </w:pPr>
      <w:r>
        <w:rPr>
          <w:rFonts w:hint="eastAsia" w:ascii="宋体" w:hAnsi="宋体" w:eastAsia="宋体" w:cs="宋体"/>
          <w:szCs w:val="21"/>
        </w:rPr>
        <w:t xml:space="preserve">                                                    执笔人：曹子男</w:t>
      </w:r>
    </w:p>
    <w:p w14:paraId="09DF54D1">
      <w:pPr>
        <w:spacing w:line="312" w:lineRule="auto"/>
        <w:ind w:right="-168" w:rightChars="-80" w:firstLine="420" w:firstLineChars="200"/>
        <w:jc w:val="right"/>
        <w:rPr>
          <w:rFonts w:hint="eastAsia" w:ascii="宋体" w:hAnsi="宋体" w:eastAsia="宋体" w:cs="宋体"/>
          <w:szCs w:val="21"/>
        </w:rPr>
      </w:pPr>
      <w:r>
        <w:rPr>
          <w:rFonts w:hint="eastAsia" w:ascii="宋体" w:hAnsi="宋体" w:eastAsia="宋体" w:cs="宋体"/>
          <w:szCs w:val="21"/>
        </w:rPr>
        <w:t xml:space="preserve">                                                 审定人：王  健</w:t>
      </w:r>
    </w:p>
    <w:p w14:paraId="57C5820F">
      <w:pPr>
        <w:spacing w:line="312" w:lineRule="auto"/>
        <w:ind w:right="-168" w:rightChars="-80" w:firstLine="420" w:firstLineChars="200"/>
        <w:jc w:val="right"/>
        <w:rPr>
          <w:rFonts w:hint="eastAsia" w:ascii="宋体" w:hAnsi="宋体" w:eastAsia="宋体" w:cs="宋体"/>
          <w:szCs w:val="21"/>
        </w:rPr>
      </w:pPr>
      <w:r>
        <w:rPr>
          <w:rFonts w:hint="eastAsia" w:ascii="宋体" w:hAnsi="宋体" w:eastAsia="宋体" w:cs="宋体"/>
          <w:szCs w:val="21"/>
        </w:rPr>
        <w:t xml:space="preserve">                                                 批准人：张志欣</w:t>
      </w:r>
    </w:p>
    <w:p w14:paraId="4F1B52C3">
      <w:pPr>
        <w:jc w:val="right"/>
        <w:rPr>
          <w:rFonts w:hint="eastAsia" w:ascii="宋体" w:hAnsi="宋体" w:eastAsia="宋体" w:cs="宋体"/>
          <w:sz w:val="24"/>
        </w:rPr>
      </w:pPr>
      <w:r>
        <w:rPr>
          <w:rFonts w:hint="eastAsia" w:ascii="宋体" w:hAnsi="宋体" w:eastAsia="宋体" w:cs="宋体"/>
          <w:szCs w:val="21"/>
        </w:rPr>
        <w:t>批准时间：2025年7月1日</w:t>
      </w:r>
      <w:r>
        <w:rPr>
          <w:rFonts w:hint="eastAsia" w:ascii="宋体" w:hAnsi="宋体" w:eastAsia="宋体" w:cs="宋体"/>
          <w:sz w:val="24"/>
        </w:rPr>
        <w:br w:type="page"/>
      </w:r>
    </w:p>
    <w:p w14:paraId="6642F075">
      <w:pPr>
        <w:ind w:right="-168" w:rightChars="-80" w:firstLine="480" w:firstLineChars="200"/>
        <w:jc w:val="right"/>
        <w:rPr>
          <w:rFonts w:hint="eastAsia" w:ascii="宋体" w:hAnsi="宋体" w:eastAsia="宋体" w:cs="宋体"/>
          <w:sz w:val="24"/>
        </w:rPr>
      </w:pPr>
    </w:p>
    <w:p w14:paraId="310FAEBE">
      <w:pPr>
        <w:spacing w:line="360" w:lineRule="auto"/>
        <w:jc w:val="center"/>
        <w:outlineLvl w:val="0"/>
        <w:rPr>
          <w:rFonts w:ascii="Times New Roman" w:hAnsi="Times New Roman" w:eastAsia="宋体" w:cs="Times New Roman"/>
          <w:b/>
          <w:sz w:val="44"/>
          <w:szCs w:val="44"/>
        </w:rPr>
      </w:pPr>
      <w:bookmarkStart w:id="1117" w:name="_Toc15115"/>
      <w:bookmarkStart w:id="1118" w:name="_Toc27187"/>
      <w:bookmarkStart w:id="1119" w:name="_Toc13726"/>
      <w:bookmarkStart w:id="1120" w:name="_Toc16646"/>
      <w:r>
        <w:rPr>
          <w:rFonts w:hint="eastAsia" w:ascii="Times New Roman" w:hAnsi="Times New Roman" w:eastAsia="宋体" w:cs="Times New Roman"/>
          <w:b/>
          <w:sz w:val="44"/>
          <w:szCs w:val="44"/>
        </w:rPr>
        <w:t>《中国古代文学》课程教学大纲</w:t>
      </w:r>
      <w:bookmarkEnd w:id="1117"/>
      <w:bookmarkEnd w:id="1118"/>
      <w:bookmarkEnd w:id="1119"/>
      <w:bookmarkEnd w:id="1120"/>
    </w:p>
    <w:p w14:paraId="41AF7AA0">
      <w:pPr>
        <w:spacing w:line="360" w:lineRule="auto"/>
        <w:jc w:val="center"/>
        <w:rPr>
          <w:rFonts w:ascii="Times New Roman" w:hAnsi="Times New Roman" w:eastAsia="宋体" w:cs="Times New Roman"/>
          <w:b/>
          <w:bCs/>
          <w:sz w:val="28"/>
          <w:szCs w:val="28"/>
        </w:rPr>
      </w:pPr>
      <w:bookmarkStart w:id="1121" w:name="_Toc17452"/>
      <w:bookmarkStart w:id="1122" w:name="_Toc15544"/>
      <w:bookmarkStart w:id="1123" w:name="_Toc9077"/>
      <w:bookmarkStart w:id="1124" w:name="_Toc20354"/>
      <w:bookmarkStart w:id="1125" w:name="_Toc6037"/>
      <w:bookmarkStart w:id="1126" w:name="_Toc2298"/>
      <w:bookmarkStart w:id="1127" w:name="_Toc16713"/>
      <w:r>
        <w:rPr>
          <w:rFonts w:ascii="Times New Roman" w:hAnsi="Times New Roman" w:eastAsia="宋体" w:cs="Times New Roman"/>
          <w:b/>
          <w:bCs/>
          <w:sz w:val="28"/>
          <w:szCs w:val="28"/>
        </w:rPr>
        <w:t>（Classical Chiese literature）</w:t>
      </w:r>
      <w:bookmarkEnd w:id="1121"/>
      <w:bookmarkEnd w:id="1122"/>
      <w:bookmarkEnd w:id="1123"/>
      <w:bookmarkEnd w:id="1124"/>
      <w:bookmarkEnd w:id="1125"/>
      <w:bookmarkEnd w:id="1126"/>
      <w:bookmarkEnd w:id="1127"/>
    </w:p>
    <w:p w14:paraId="04003088">
      <w:pPr>
        <w:spacing w:line="360" w:lineRule="auto"/>
        <w:jc w:val="center"/>
        <w:rPr>
          <w:rFonts w:ascii="Times New Roman" w:hAnsi="Times New Roman" w:eastAsia="宋体" w:cs="Times New Roman"/>
          <w:bCs/>
          <w:szCs w:val="21"/>
        </w:rPr>
      </w:pPr>
    </w:p>
    <w:p w14:paraId="1652942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课程名称：中国古代文学</w:t>
      </w:r>
    </w:p>
    <w:p w14:paraId="790B096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w:t>
      </w:r>
      <w:r>
        <w:rPr>
          <w:rFonts w:ascii="Times New Roman" w:hAnsi="Times New Roman" w:eastAsia="宋体" w:cs="Times New Roman"/>
          <w:b/>
          <w:sz w:val="24"/>
        </w:rPr>
        <w:t>73</w:t>
      </w:r>
    </w:p>
    <w:p w14:paraId="37741E0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ascii="Times New Roman" w:hAnsi="Times New Roman" w:eastAsia="宋体" w:cs="Times New Roman"/>
          <w:b/>
          <w:sz w:val="24"/>
        </w:rPr>
        <w:t>3</w:t>
      </w:r>
    </w:p>
    <w:p w14:paraId="7CB04D73">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ascii="Times New Roman" w:hAnsi="Times New Roman" w:eastAsia="宋体" w:cs="Times New Roman"/>
          <w:b/>
          <w:sz w:val="24"/>
        </w:rPr>
        <w:t>48</w:t>
      </w:r>
    </w:p>
    <w:p w14:paraId="1298385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74B6AD0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w:t>
      </w:r>
    </w:p>
    <w:p w14:paraId="1F191208">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1FD575C7">
      <w:pPr>
        <w:spacing w:line="360" w:lineRule="exact"/>
        <w:ind w:firstLine="482"/>
        <w:jc w:val="left"/>
        <w:rPr>
          <w:rFonts w:hint="eastAsia" w:ascii="宋体" w:hAnsi="宋体" w:eastAsia="宋体" w:cs="Times New Roman"/>
          <w:szCs w:val="21"/>
        </w:rPr>
      </w:pPr>
      <w:r>
        <w:rPr>
          <w:rFonts w:hint="eastAsia" w:ascii="宋体" w:hAnsi="宋体" w:eastAsia="宋体" w:cs="Times New Roman"/>
          <w:szCs w:val="21"/>
        </w:rPr>
        <w:t>本课程是小学教育专业课程必修课。课程秉持立德树人的教育理念，将课程思政与专业教学有机结合，尤其注重传播和宣传中华优秀传统文化，将知识传授、能力培养和价值观引领有机统一。</w:t>
      </w:r>
    </w:p>
    <w:p w14:paraId="5B1427F6">
      <w:pPr>
        <w:spacing w:line="360" w:lineRule="exact"/>
        <w:ind w:firstLine="482"/>
        <w:jc w:val="left"/>
        <w:rPr>
          <w:rFonts w:hint="eastAsia" w:ascii="宋体" w:hAnsi="宋体" w:eastAsia="宋体" w:cs="Times New Roman"/>
          <w:szCs w:val="21"/>
        </w:rPr>
      </w:pPr>
      <w:r>
        <w:rPr>
          <w:rFonts w:hint="eastAsia" w:ascii="宋体" w:hAnsi="宋体" w:eastAsia="宋体" w:cs="Times New Roman"/>
          <w:szCs w:val="21"/>
        </w:rPr>
        <w:t>本课程旨在使学生通过学习中国古代文学知识以及相关理论，以获得较为全面系统的知识框架，从而更好地传承并弘扬中国文化，进一步坚定文化自信，增强中华民族的向心力和凝聚力。</w:t>
      </w:r>
    </w:p>
    <w:p w14:paraId="2F4DEBF3">
      <w:pPr>
        <w:spacing w:line="360" w:lineRule="exact"/>
        <w:ind w:firstLine="482"/>
        <w:jc w:val="left"/>
        <w:rPr>
          <w:rFonts w:hint="eastAsia" w:ascii="宋体" w:hAnsi="宋体" w:eastAsia="宋体" w:cs="Times New Roman"/>
          <w:szCs w:val="21"/>
        </w:rPr>
      </w:pPr>
      <w:r>
        <w:rPr>
          <w:rFonts w:hint="eastAsia" w:ascii="宋体" w:hAnsi="宋体" w:eastAsia="宋体" w:cs="Times New Roman"/>
          <w:szCs w:val="21"/>
        </w:rPr>
        <w:t>通过本课程的学习，学生将对中国古代文学发展演变历程有清晰的了解，对代表性的作家、作品有重点的掌握。在此基础上，培养学生广博的文学知识和初步的分析、鉴赏古代文学名著的能力，提升学生的人文素养。</w:t>
      </w:r>
    </w:p>
    <w:p w14:paraId="5B618C1D">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48490F46">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35DBC8FF">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掌握中国古代文学基础理论知识，</w:t>
      </w:r>
      <w:r>
        <w:rPr>
          <w:rFonts w:hint="eastAsia" w:ascii="宋体" w:hAnsi="宋体" w:eastAsia="宋体" w:cs="Times New Roman"/>
          <w:szCs w:val="21"/>
        </w:rPr>
        <w:t>对中国古代文学发展演变历程有清晰的了解并对代表性的作家、作品有重点的掌握</w:t>
      </w:r>
      <w:r>
        <w:rPr>
          <w:rFonts w:hint="eastAsia" w:ascii="Times New Roman" w:hAnsi="Times New Roman" w:eastAsia="宋体" w:cs="Times New Roman"/>
          <w:szCs w:val="21"/>
        </w:rPr>
        <w:t>，形成古代文学相关理论完整的知识结构，初步具备从事小学教育教学实践的能力和不断提升自我专业发展的能力。</w:t>
      </w:r>
    </w:p>
    <w:p w14:paraId="4BBAACF0">
      <w:pPr>
        <w:spacing w:line="360" w:lineRule="auto"/>
        <w:ind w:firstLine="422" w:firstLineChars="200"/>
        <w:jc w:val="left"/>
        <w:rPr>
          <w:rFonts w:hint="eastAsia" w:ascii="宋体" w:hAnsi="宋体"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宋体" w:hAnsi="宋体" w:eastAsia="宋体" w:cs="Times New Roman"/>
          <w:szCs w:val="21"/>
        </w:rPr>
        <w:t>培养学生广博的中国古代文学知识和初步的分析、鉴赏中国古代文学名著的能力和初步的学术研究能力。</w:t>
      </w:r>
    </w:p>
    <w:p w14:paraId="538945E8">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形成正确的教育观、教师观、学生观、人才观、教育评价观和教育改革发展观；养成自觉提升自身业务修养的意识和从事教育教学改革的兴趣及意愿；养成教师职业认同感、使命感和责任感，自觉在教育教学活动中渗透教师职业道德。</w:t>
      </w:r>
    </w:p>
    <w:p w14:paraId="544BC380">
      <w:pPr>
        <w:spacing w:before="156" w:beforeLines="50" w:after="156" w:afterLines="50"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6307"/>
        <w:gridCol w:w="1191"/>
      </w:tblGrid>
      <w:tr w14:paraId="4BDB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7997E6C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307" w:type="dxa"/>
            <w:vAlign w:val="center"/>
          </w:tcPr>
          <w:p w14:paraId="537C717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81A166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040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3D075926">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sz w:val="20"/>
                <w:szCs w:val="20"/>
              </w:rPr>
              <w:t>毕业要求1</w:t>
            </w:r>
          </w:p>
          <w:p w14:paraId="5DF3CC7D">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sz w:val="20"/>
                <w:szCs w:val="20"/>
              </w:rPr>
              <w:t>师德规范</w:t>
            </w:r>
          </w:p>
        </w:tc>
        <w:tc>
          <w:tcPr>
            <w:tcW w:w="6307" w:type="dxa"/>
            <w:vAlign w:val="center"/>
          </w:tcPr>
          <w:p w14:paraId="6CF8AE66">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sz w:val="20"/>
                <w:szCs w:val="20"/>
              </w:rPr>
              <w:t>指标点1-1</w:t>
            </w:r>
            <w:r>
              <w:rPr>
                <w:rFonts w:hint="eastAsia" w:asciiTheme="minorEastAsia" w:hAnsiTheme="minorEastAsia" w:cstheme="minorEastAsia"/>
                <w:sz w:val="20"/>
                <w:szCs w:val="20"/>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1B477AD7">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课程目标3</w:t>
            </w:r>
          </w:p>
        </w:tc>
      </w:tr>
      <w:tr w14:paraId="0D76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5BEECA25">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sz w:val="20"/>
                <w:szCs w:val="20"/>
              </w:rPr>
              <w:t>毕业要求2</w:t>
            </w:r>
          </w:p>
          <w:p w14:paraId="72CDCBEC">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sz w:val="20"/>
                <w:szCs w:val="20"/>
              </w:rPr>
              <w:t>教育情怀</w:t>
            </w:r>
          </w:p>
        </w:tc>
        <w:tc>
          <w:tcPr>
            <w:tcW w:w="6307" w:type="dxa"/>
            <w:vAlign w:val="center"/>
          </w:tcPr>
          <w:p w14:paraId="5C151ECF">
            <w:pPr>
              <w:spacing w:line="276" w:lineRule="auto"/>
              <w:jc w:val="left"/>
              <w:rPr>
                <w:rFonts w:hint="eastAsia" w:asciiTheme="minorEastAsia" w:hAnsiTheme="minorEastAsia" w:cstheme="minorEastAsia"/>
                <w:spacing w:val="2"/>
                <w:kern w:val="0"/>
                <w:sz w:val="20"/>
                <w:szCs w:val="20"/>
              </w:rPr>
            </w:pPr>
            <w:r>
              <w:rPr>
                <w:rFonts w:hint="eastAsia" w:asciiTheme="minorEastAsia" w:hAnsiTheme="minorEastAsia" w:cstheme="minorEastAsia"/>
                <w:b/>
                <w:spacing w:val="2"/>
                <w:kern w:val="0"/>
                <w:sz w:val="20"/>
                <w:szCs w:val="20"/>
              </w:rPr>
              <w:t>指标点2-2</w:t>
            </w:r>
            <w:r>
              <w:rPr>
                <w:rFonts w:hint="eastAsia" w:asciiTheme="minorEastAsia" w:hAnsiTheme="minorEastAsia" w:cstheme="minorEastAsia"/>
                <w:spacing w:val="2"/>
                <w:kern w:val="0"/>
                <w:sz w:val="20"/>
                <w:szCs w:val="20"/>
              </w:rPr>
              <w:t>：【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w:t>
            </w:r>
          </w:p>
          <w:p w14:paraId="314BD1A1">
            <w:pPr>
              <w:spacing w:line="276" w:lineRule="auto"/>
              <w:jc w:val="left"/>
              <w:rPr>
                <w:rFonts w:hint="eastAsia" w:asciiTheme="minorEastAsia" w:hAnsiTheme="minorEastAsia" w:cstheme="minorEastAsia"/>
                <w:spacing w:val="2"/>
                <w:kern w:val="0"/>
                <w:sz w:val="20"/>
                <w:szCs w:val="20"/>
              </w:rPr>
            </w:pPr>
            <w:r>
              <w:rPr>
                <w:rFonts w:hint="eastAsia" w:ascii="宋体" w:hAnsi="宋体" w:cs="宋体"/>
                <w:b/>
                <w:kern w:val="0"/>
                <w:sz w:val="20"/>
                <w:szCs w:val="20"/>
              </w:rPr>
              <w:t>指标点2-3</w:t>
            </w:r>
            <w:r>
              <w:rPr>
                <w:rFonts w:hint="eastAsia" w:ascii="宋体" w:hAnsi="宋体" w:cs="宋体"/>
                <w:sz w:val="20"/>
                <w:szCs w:val="20"/>
              </w:rPr>
              <w:t>：【自身修养良好】具有较好的人文</w:t>
            </w:r>
            <w:r>
              <w:rPr>
                <w:rFonts w:hint="eastAsia" w:cs="宋体"/>
                <w:sz w:val="20"/>
                <w:szCs w:val="20"/>
              </w:rPr>
              <w:t>艺术</w:t>
            </w:r>
            <w:r>
              <w:rPr>
                <w:rFonts w:hint="eastAsia" w:ascii="宋体" w:hAnsi="宋体" w:cs="宋体"/>
                <w:sz w:val="20"/>
                <w:szCs w:val="20"/>
              </w:rPr>
              <w:t>底蕴与科学精神，言行举止符合教师职业标准，情感积极，人格健全，身心健康。</w:t>
            </w:r>
          </w:p>
        </w:tc>
        <w:tc>
          <w:tcPr>
            <w:tcW w:w="1191" w:type="dxa"/>
            <w:vAlign w:val="center"/>
          </w:tcPr>
          <w:p w14:paraId="44B5CC94">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课程目标3</w:t>
            </w:r>
          </w:p>
        </w:tc>
      </w:tr>
      <w:tr w14:paraId="1062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07EA86DD">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sz w:val="20"/>
                <w:szCs w:val="20"/>
              </w:rPr>
              <w:t>毕业要求3</w:t>
            </w:r>
          </w:p>
          <w:p w14:paraId="4B4487DA">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sz w:val="20"/>
                <w:szCs w:val="20"/>
              </w:rPr>
              <w:t>学科素养</w:t>
            </w:r>
          </w:p>
        </w:tc>
        <w:tc>
          <w:tcPr>
            <w:tcW w:w="6307" w:type="dxa"/>
            <w:vAlign w:val="center"/>
          </w:tcPr>
          <w:p w14:paraId="1F1C9F8C">
            <w:pPr>
              <w:spacing w:line="276" w:lineRule="auto"/>
              <w:jc w:val="left"/>
              <w:rPr>
                <w:rFonts w:hint="eastAsia" w:asciiTheme="minorEastAsia" w:hAnsiTheme="minorEastAsia" w:cstheme="minorEastAsia"/>
                <w:spacing w:val="2"/>
                <w:kern w:val="0"/>
                <w:sz w:val="20"/>
                <w:szCs w:val="20"/>
              </w:rPr>
            </w:pPr>
            <w:r>
              <w:rPr>
                <w:rFonts w:hint="eastAsia" w:asciiTheme="minorEastAsia" w:hAnsiTheme="minorEastAsia" w:cstheme="minorEastAsia"/>
                <w:b/>
                <w:kern w:val="0"/>
                <w:sz w:val="20"/>
                <w:szCs w:val="20"/>
              </w:rPr>
              <w:t>指标点3-2</w:t>
            </w:r>
            <w:r>
              <w:rPr>
                <w:rFonts w:hint="eastAsia" w:asciiTheme="minorEastAsia" w:hAnsiTheme="minorEastAsia" w:cstheme="minorEastAsia"/>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p w14:paraId="2821802C">
            <w:pPr>
              <w:spacing w:line="276" w:lineRule="auto"/>
              <w:jc w:val="left"/>
              <w:rPr>
                <w:rFonts w:hint="eastAsia" w:asciiTheme="minorEastAsia" w:hAnsiTheme="minorEastAsia" w:cstheme="minorEastAsia"/>
                <w:sz w:val="20"/>
                <w:szCs w:val="20"/>
              </w:rPr>
            </w:pPr>
            <w:r>
              <w:rPr>
                <w:rFonts w:hint="eastAsia" w:ascii="宋体" w:hAnsi="宋体" w:cs="宋体"/>
                <w:b/>
                <w:kern w:val="0"/>
                <w:sz w:val="20"/>
                <w:szCs w:val="20"/>
              </w:rPr>
              <w:t>指标点3-3</w:t>
            </w:r>
            <w:r>
              <w:rPr>
                <w:rFonts w:hint="eastAsia" w:ascii="宋体" w:hAnsi="宋体" w:cs="宋体"/>
                <w:sz w:val="20"/>
                <w:szCs w:val="20"/>
              </w:rPr>
              <w:t>：【注重知识整合】了解所教学科与小学其他学科及与社会实践、小学生生活实践之间的联系，了解学科整合在小学教育中的价值，具有跨学科解决问题的意识和能力，能指导综合性学科教学活动。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Align w:val="center"/>
          </w:tcPr>
          <w:p w14:paraId="283EE84F">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课程目标1</w:t>
            </w:r>
          </w:p>
        </w:tc>
      </w:tr>
      <w:tr w14:paraId="0B76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9" w:type="dxa"/>
            <w:vAlign w:val="center"/>
          </w:tcPr>
          <w:p w14:paraId="3E47AA6E">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sz w:val="20"/>
                <w:szCs w:val="20"/>
              </w:rPr>
              <w:t>毕业要求4</w:t>
            </w:r>
          </w:p>
          <w:p w14:paraId="5E6202F8">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sz w:val="20"/>
                <w:szCs w:val="20"/>
              </w:rPr>
              <w:t>学会反思</w:t>
            </w:r>
          </w:p>
        </w:tc>
        <w:tc>
          <w:tcPr>
            <w:tcW w:w="6307" w:type="dxa"/>
            <w:vAlign w:val="center"/>
          </w:tcPr>
          <w:p w14:paraId="7118C918">
            <w:pPr>
              <w:spacing w:line="276" w:lineRule="auto"/>
              <w:jc w:val="left"/>
              <w:rPr>
                <w:rFonts w:hint="eastAsia" w:asciiTheme="minorEastAsia" w:hAnsiTheme="minorEastAsia" w:cstheme="minorEastAsia"/>
                <w:kern w:val="0"/>
                <w:sz w:val="20"/>
                <w:szCs w:val="20"/>
              </w:rPr>
            </w:pPr>
            <w:r>
              <w:rPr>
                <w:rFonts w:hint="eastAsia" w:ascii="宋体" w:hAnsi="宋体" w:cs="宋体"/>
                <w:b/>
                <w:kern w:val="0"/>
                <w:sz w:val="20"/>
                <w:szCs w:val="20"/>
              </w:rPr>
              <w:t>指标点4-1</w:t>
            </w:r>
            <w:r>
              <w:rPr>
                <w:rFonts w:hint="eastAsia" w:ascii="宋体" w:hAnsi="宋体" w:cs="宋体"/>
                <w:kern w:val="0"/>
                <w:sz w:val="20"/>
                <w:szCs w:val="20"/>
              </w:rPr>
              <w:t>：</w:t>
            </w:r>
            <w:r>
              <w:rPr>
                <w:rFonts w:hint="eastAsia" w:ascii="宋体" w:hAnsi="宋体" w:cs="宋体"/>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r>
              <w:rPr>
                <w:rFonts w:hint="eastAsia" w:asciiTheme="minorEastAsia" w:hAnsiTheme="minorEastAsia" w:cstheme="minorEastAsia"/>
                <w:kern w:val="0"/>
                <w:sz w:val="20"/>
                <w:szCs w:val="20"/>
              </w:rPr>
              <w:t>。</w:t>
            </w:r>
          </w:p>
          <w:p w14:paraId="5EE7983A">
            <w:pPr>
              <w:spacing w:line="276" w:lineRule="auto"/>
              <w:jc w:val="left"/>
              <w:rPr>
                <w:rFonts w:hint="eastAsia" w:asciiTheme="minorEastAsia" w:hAnsiTheme="minorEastAsia" w:cstheme="minorEastAsia"/>
                <w:sz w:val="20"/>
                <w:szCs w:val="20"/>
              </w:rPr>
            </w:pPr>
            <w:r>
              <w:rPr>
                <w:rFonts w:hint="eastAsia" w:ascii="宋体" w:hAnsi="宋体" w:cs="宋体"/>
                <w:b/>
                <w:sz w:val="20"/>
                <w:szCs w:val="20"/>
              </w:rPr>
              <w:t>指标点4-2</w:t>
            </w:r>
            <w:r>
              <w:rPr>
                <w:rFonts w:hint="eastAsia" w:ascii="宋体" w:hAnsi="宋体" w:cs="宋体"/>
                <w:sz w:val="20"/>
                <w:szCs w:val="20"/>
              </w:rPr>
              <w:t>：</w:t>
            </w:r>
            <w:r>
              <w:rPr>
                <w:rFonts w:hint="eastAsia"/>
                <w:sz w:val="20"/>
                <w:szCs w:val="20"/>
              </w:rPr>
              <w:t>【教学设计恰当】</w:t>
            </w:r>
            <w:r>
              <w:rPr>
                <w:rFonts w:hint="eastAsia" w:ascii="宋体" w:hAnsi="宋体" w:cs="宋体"/>
                <w:sz w:val="20"/>
                <w:szCs w:val="20"/>
              </w:rPr>
              <w:t>能针对小学生已有的知识水平、学习经验和兴趣特点，依据课标确定恰当的学习目标和学习重点，设计学习活动。</w:t>
            </w:r>
            <w:r>
              <w:rPr>
                <w:rFonts w:hint="eastAsia"/>
                <w:sz w:val="20"/>
                <w:szCs w:val="20"/>
              </w:rPr>
              <w:t>能依据单元内容进行整体设计，科学合理地依据教学目标及内容设计作业。</w:t>
            </w:r>
          </w:p>
        </w:tc>
        <w:tc>
          <w:tcPr>
            <w:tcW w:w="1191" w:type="dxa"/>
            <w:vAlign w:val="center"/>
          </w:tcPr>
          <w:p w14:paraId="75C7C24F">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课程目标2</w:t>
            </w:r>
          </w:p>
        </w:tc>
      </w:tr>
    </w:tbl>
    <w:p w14:paraId="51364BD7">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2B085046">
      <w:pPr>
        <w:spacing w:line="360" w:lineRule="auto"/>
        <w:ind w:firstLine="411" w:firstLineChars="196"/>
        <w:jc w:val="left"/>
        <w:rPr>
          <w:rFonts w:hint="eastAsia" w:ascii="宋体" w:hAnsi="宋体" w:eastAsia="宋体" w:cs="Times New Roman"/>
          <w:b/>
          <w:sz w:val="28"/>
          <w:szCs w:val="28"/>
        </w:rPr>
      </w:pPr>
      <w:r>
        <w:rPr>
          <w:rFonts w:hint="eastAsia"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78FC46BF">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3"/>
        <w:gridCol w:w="1823"/>
        <w:gridCol w:w="1134"/>
        <w:gridCol w:w="3260"/>
        <w:gridCol w:w="1560"/>
        <w:gridCol w:w="438"/>
      </w:tblGrid>
      <w:tr w14:paraId="3C6F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14:paraId="01330BDF">
            <w:pPr>
              <w:jc w:val="center"/>
              <w:rPr>
                <w:rFonts w:hint="eastAsia" w:ascii="宋体" w:hAnsi="宋体" w:eastAsia="宋体" w:cs="Times New Roman"/>
                <w:b/>
                <w:szCs w:val="21"/>
              </w:rPr>
            </w:pPr>
            <w:r>
              <w:rPr>
                <w:rFonts w:hint="eastAsia" w:ascii="宋体" w:hAnsi="宋体" w:eastAsia="宋体" w:cs="Times New Roman"/>
                <w:b/>
                <w:szCs w:val="21"/>
              </w:rPr>
              <w:t>知识</w:t>
            </w:r>
          </w:p>
          <w:p w14:paraId="1E5B0E81">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823" w:type="dxa"/>
            <w:vAlign w:val="center"/>
          </w:tcPr>
          <w:p w14:paraId="26482FF3">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3A644E63">
            <w:pPr>
              <w:jc w:val="center"/>
              <w:rPr>
                <w:rFonts w:hint="eastAsia" w:ascii="宋体" w:hAnsi="宋体" w:eastAsia="宋体" w:cs="Times New Roman"/>
                <w:b/>
                <w:szCs w:val="21"/>
              </w:rPr>
            </w:pPr>
            <w:r>
              <w:rPr>
                <w:rFonts w:hint="eastAsia" w:ascii="宋体" w:hAnsi="宋体" w:eastAsia="宋体" w:cs="Times New Roman"/>
                <w:b/>
                <w:szCs w:val="21"/>
              </w:rPr>
              <w:t>对应</w:t>
            </w:r>
          </w:p>
          <w:p w14:paraId="35200AA3">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2944E921">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53B06FA1">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32B748C2">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D4D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14:paraId="0ABC0C80">
            <w:pPr>
              <w:rPr>
                <w:rFonts w:hint="eastAsia" w:ascii="宋体" w:hAnsi="宋体" w:eastAsia="宋体" w:cs="Times New Roman"/>
                <w:szCs w:val="21"/>
              </w:rPr>
            </w:pPr>
            <w:r>
              <w:rPr>
                <w:rFonts w:hint="eastAsia" w:ascii="宋体" w:hAnsi="宋体" w:eastAsia="宋体" w:cs="Times New Roman"/>
                <w:szCs w:val="21"/>
              </w:rPr>
              <w:t>1.先秦</w:t>
            </w:r>
          </w:p>
          <w:p w14:paraId="6B3841DF">
            <w:pPr>
              <w:rPr>
                <w:rFonts w:hint="eastAsia" w:ascii="宋体" w:hAnsi="宋体" w:eastAsia="宋体" w:cs="Times New Roman"/>
                <w:szCs w:val="21"/>
              </w:rPr>
            </w:pPr>
            <w:r>
              <w:rPr>
                <w:rFonts w:hint="eastAsia" w:ascii="宋体" w:hAnsi="宋体" w:eastAsia="宋体" w:cs="Times New Roman"/>
                <w:szCs w:val="21"/>
              </w:rPr>
              <w:t>文学</w:t>
            </w:r>
          </w:p>
        </w:tc>
        <w:tc>
          <w:tcPr>
            <w:tcW w:w="1823" w:type="dxa"/>
            <w:vAlign w:val="center"/>
          </w:tcPr>
          <w:p w14:paraId="6843EAC4">
            <w:pPr>
              <w:jc w:val="left"/>
              <w:rPr>
                <w:rFonts w:hint="eastAsia" w:ascii="宋体" w:hAnsi="宋体" w:eastAsia="宋体" w:cs="Times New Roman"/>
                <w:szCs w:val="21"/>
              </w:rPr>
            </w:pPr>
            <w:r>
              <w:rPr>
                <w:rFonts w:hint="eastAsia" w:ascii="宋体" w:hAnsi="宋体" w:eastAsia="宋体" w:cs="Times New Roman"/>
                <w:szCs w:val="21"/>
              </w:rPr>
              <w:t>（1）《诗经》“六义”，《七月》</w:t>
            </w:r>
          </w:p>
          <w:p w14:paraId="10924AA1">
            <w:pPr>
              <w:jc w:val="left"/>
              <w:rPr>
                <w:rFonts w:hint="eastAsia" w:ascii="宋体" w:hAnsi="宋体" w:eastAsia="宋体" w:cs="Times New Roman"/>
                <w:szCs w:val="21"/>
              </w:rPr>
            </w:pPr>
            <w:r>
              <w:rPr>
                <w:rFonts w:hint="eastAsia" w:ascii="宋体" w:hAnsi="宋体" w:eastAsia="宋体" w:cs="Times New Roman"/>
                <w:szCs w:val="21"/>
              </w:rPr>
              <w:t>（2）历史散文，《左传》叙事艺术</w:t>
            </w:r>
          </w:p>
          <w:p w14:paraId="5745CBC4">
            <w:pPr>
              <w:jc w:val="left"/>
              <w:rPr>
                <w:rFonts w:hint="eastAsia" w:ascii="宋体" w:hAnsi="宋体" w:eastAsia="宋体" w:cs="Times New Roman"/>
                <w:szCs w:val="21"/>
              </w:rPr>
            </w:pPr>
            <w:r>
              <w:rPr>
                <w:rFonts w:hint="eastAsia" w:ascii="宋体" w:hAnsi="宋体" w:eastAsia="宋体" w:cs="Times New Roman"/>
                <w:szCs w:val="21"/>
              </w:rPr>
              <w:t>（3）诸子散文，《论语》《庄子》</w:t>
            </w:r>
          </w:p>
          <w:p w14:paraId="2BA710C5">
            <w:pPr>
              <w:jc w:val="left"/>
              <w:rPr>
                <w:rFonts w:hint="eastAsia" w:ascii="宋体" w:hAnsi="宋体" w:eastAsia="宋体" w:cs="Times New Roman"/>
                <w:szCs w:val="21"/>
              </w:rPr>
            </w:pPr>
            <w:r>
              <w:rPr>
                <w:rFonts w:hint="eastAsia" w:ascii="宋体" w:hAnsi="宋体" w:eastAsia="宋体" w:cs="Times New Roman"/>
                <w:szCs w:val="21"/>
              </w:rPr>
              <w:t>（4）屈原与楚辞</w:t>
            </w:r>
          </w:p>
        </w:tc>
        <w:tc>
          <w:tcPr>
            <w:tcW w:w="1134" w:type="dxa"/>
            <w:vAlign w:val="center"/>
          </w:tcPr>
          <w:p w14:paraId="433B24FE">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4F06EC6E">
            <w:pPr>
              <w:jc w:val="left"/>
              <w:rPr>
                <w:rFonts w:hint="eastAsia" w:ascii="宋体" w:hAnsi="宋体" w:eastAsia="宋体" w:cs="Times New Roman"/>
                <w:szCs w:val="21"/>
              </w:rPr>
            </w:pPr>
            <w:r>
              <w:rPr>
                <w:rFonts w:ascii="宋体" w:hAnsi="宋体" w:eastAsia="宋体" w:cs="Times New Roman"/>
                <w:szCs w:val="21"/>
              </w:rPr>
              <w:t>1.理解</w:t>
            </w:r>
            <w:r>
              <w:rPr>
                <w:rFonts w:hint="eastAsia" w:ascii="宋体" w:hAnsi="宋体" w:eastAsia="宋体" w:cs="Times New Roman"/>
                <w:szCs w:val="21"/>
              </w:rPr>
              <w:t>《诗经》的艺术特色和《七月》内容；</w:t>
            </w:r>
          </w:p>
          <w:p w14:paraId="57A90EBA">
            <w:pPr>
              <w:jc w:val="left"/>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了解《左传》的叙事艺术；</w:t>
            </w:r>
          </w:p>
          <w:p w14:paraId="0BA6DC73">
            <w:pPr>
              <w:jc w:val="left"/>
              <w:rPr>
                <w:rFonts w:hint="eastAsia" w:ascii="宋体" w:hAnsi="宋体" w:eastAsia="宋体" w:cs="Times New Roman"/>
                <w:szCs w:val="21"/>
              </w:rPr>
            </w:pPr>
            <w:r>
              <w:rPr>
                <w:rFonts w:ascii="宋体" w:hAnsi="宋体" w:eastAsia="宋体" w:cs="Times New Roman"/>
                <w:szCs w:val="21"/>
              </w:rPr>
              <w:t>3.掌握</w:t>
            </w:r>
            <w:r>
              <w:rPr>
                <w:rFonts w:hint="eastAsia" w:ascii="宋体" w:hAnsi="宋体" w:eastAsia="宋体" w:cs="Times New Roman"/>
                <w:szCs w:val="21"/>
              </w:rPr>
              <w:t>《论语》的艺术特点、《庄子》散文的艺术特点；</w:t>
            </w:r>
          </w:p>
          <w:p w14:paraId="1B63EA51">
            <w:pPr>
              <w:jc w:val="left"/>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掌握屈原的人格精神和《离骚》的特点。</w:t>
            </w:r>
          </w:p>
        </w:tc>
        <w:tc>
          <w:tcPr>
            <w:tcW w:w="1560" w:type="dxa"/>
            <w:vAlign w:val="center"/>
          </w:tcPr>
          <w:p w14:paraId="6320E44A">
            <w:pPr>
              <w:jc w:val="left"/>
              <w:rPr>
                <w:rFonts w:hint="eastAsia" w:ascii="宋体" w:hAnsi="宋体" w:eastAsia="宋体" w:cs="Times New Roman"/>
                <w:szCs w:val="21"/>
              </w:rPr>
            </w:pPr>
            <w:r>
              <w:rPr>
                <w:rFonts w:hint="eastAsia" w:ascii="宋体" w:hAnsi="宋体" w:eastAsia="宋体" w:cs="Times New Roman"/>
                <w:szCs w:val="21"/>
              </w:rPr>
              <w:t>1.线上学习</w:t>
            </w:r>
          </w:p>
          <w:p w14:paraId="7FE2D3EE">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3BE944A0">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7EFA8F01">
            <w:pPr>
              <w:jc w:val="center"/>
              <w:rPr>
                <w:rFonts w:hint="eastAsia" w:ascii="宋体" w:hAnsi="宋体" w:eastAsia="宋体" w:cs="Times New Roman"/>
                <w:szCs w:val="21"/>
              </w:rPr>
            </w:pPr>
            <w:r>
              <w:rPr>
                <w:rFonts w:ascii="宋体" w:hAnsi="宋体" w:eastAsia="宋体" w:cs="Times New Roman"/>
                <w:szCs w:val="21"/>
              </w:rPr>
              <w:t>6</w:t>
            </w:r>
          </w:p>
        </w:tc>
      </w:tr>
      <w:tr w14:paraId="2903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410E8A88">
            <w:pPr>
              <w:jc w:val="center"/>
              <w:rPr>
                <w:rFonts w:hint="eastAsia" w:ascii="宋体" w:hAnsi="宋体" w:eastAsia="宋体" w:cs="Times New Roman"/>
                <w:szCs w:val="21"/>
              </w:rPr>
            </w:pPr>
          </w:p>
        </w:tc>
        <w:tc>
          <w:tcPr>
            <w:tcW w:w="8215" w:type="dxa"/>
            <w:gridSpan w:val="5"/>
            <w:vAlign w:val="center"/>
          </w:tcPr>
          <w:p w14:paraId="65E54E8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马克思主义思想指导下学习和研究教育学，运用辩证唯物主义和历史唯物主义的思想方法，结合我国教育改革和发展的具体实践，与时俱进，开拓创新，以不断创新的马克思主义教育学新理论来解释和解决我国教育改革和发展过程中遇到的新情况和新问题，从而使学生树牢“四个意识”，坚定“四个自信”，坚决做到“两个维护”，立志肩负起民族复兴的时代重任。</w:t>
            </w:r>
          </w:p>
        </w:tc>
      </w:tr>
      <w:tr w14:paraId="0507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14:paraId="0BDA33C6">
            <w:pPr>
              <w:jc w:val="center"/>
              <w:rPr>
                <w:rFonts w:hint="eastAsia" w:ascii="宋体" w:hAnsi="宋体" w:eastAsia="宋体" w:cs="Times New Roman"/>
                <w:szCs w:val="21"/>
              </w:rPr>
            </w:pPr>
            <w:r>
              <w:rPr>
                <w:rFonts w:hint="eastAsia" w:ascii="宋体" w:hAnsi="宋体" w:eastAsia="宋体" w:cs="Times New Roman"/>
                <w:szCs w:val="21"/>
              </w:rPr>
              <w:t>2.秦汉</w:t>
            </w:r>
          </w:p>
          <w:p w14:paraId="4D00DE17">
            <w:pPr>
              <w:jc w:val="center"/>
              <w:rPr>
                <w:rFonts w:hint="eastAsia" w:ascii="宋体" w:hAnsi="宋体" w:eastAsia="宋体" w:cs="Times New Roman"/>
                <w:szCs w:val="21"/>
              </w:rPr>
            </w:pPr>
            <w:r>
              <w:rPr>
                <w:rFonts w:hint="eastAsia" w:ascii="宋体" w:hAnsi="宋体" w:eastAsia="宋体" w:cs="Times New Roman"/>
                <w:szCs w:val="21"/>
              </w:rPr>
              <w:t>文学</w:t>
            </w:r>
          </w:p>
        </w:tc>
        <w:tc>
          <w:tcPr>
            <w:tcW w:w="1823" w:type="dxa"/>
            <w:vAlign w:val="center"/>
          </w:tcPr>
          <w:p w14:paraId="3554E3CF">
            <w:pPr>
              <w:jc w:val="left"/>
              <w:rPr>
                <w:rFonts w:hint="eastAsia" w:ascii="宋体" w:hAnsi="宋体" w:eastAsia="宋体" w:cs="Times New Roman"/>
                <w:szCs w:val="21"/>
              </w:rPr>
            </w:pPr>
            <w:r>
              <w:rPr>
                <w:rFonts w:hint="eastAsia" w:ascii="宋体" w:hAnsi="宋体" w:eastAsia="宋体" w:cs="Times New Roman"/>
                <w:szCs w:val="21"/>
              </w:rPr>
              <w:t>（1）汉赋</w:t>
            </w:r>
          </w:p>
          <w:p w14:paraId="14B452AB">
            <w:pPr>
              <w:jc w:val="left"/>
              <w:rPr>
                <w:rFonts w:hint="eastAsia" w:ascii="宋体" w:hAnsi="宋体" w:eastAsia="宋体" w:cs="Times New Roman"/>
                <w:szCs w:val="21"/>
              </w:rPr>
            </w:pPr>
            <w:r>
              <w:rPr>
                <w:rFonts w:hint="eastAsia" w:ascii="宋体" w:hAnsi="宋体" w:eastAsia="宋体" w:cs="Times New Roman"/>
                <w:szCs w:val="21"/>
              </w:rPr>
              <w:t>（2）司马迁与《史记》</w:t>
            </w:r>
          </w:p>
          <w:p w14:paraId="64D4351F">
            <w:pPr>
              <w:jc w:val="left"/>
              <w:rPr>
                <w:rFonts w:hint="eastAsia" w:ascii="宋体" w:hAnsi="宋体" w:eastAsia="宋体" w:cs="Times New Roman"/>
                <w:szCs w:val="21"/>
              </w:rPr>
            </w:pPr>
            <w:r>
              <w:rPr>
                <w:rFonts w:hint="eastAsia" w:ascii="宋体" w:hAnsi="宋体" w:eastAsia="宋体" w:cs="Times New Roman"/>
                <w:szCs w:val="21"/>
              </w:rPr>
              <w:t>（3）汉乐府</w:t>
            </w:r>
          </w:p>
          <w:p w14:paraId="3C06DFA5">
            <w:pPr>
              <w:jc w:val="left"/>
              <w:rPr>
                <w:rFonts w:hint="eastAsia" w:ascii="宋体" w:hAnsi="宋体" w:eastAsia="宋体" w:cs="Times New Roman"/>
                <w:szCs w:val="21"/>
              </w:rPr>
            </w:pPr>
            <w:r>
              <w:rPr>
                <w:rFonts w:hint="eastAsia" w:ascii="宋体" w:hAnsi="宋体" w:eastAsia="宋体" w:cs="Times New Roman"/>
                <w:szCs w:val="21"/>
              </w:rPr>
              <w:t>（4）古诗十九首</w:t>
            </w:r>
          </w:p>
        </w:tc>
        <w:tc>
          <w:tcPr>
            <w:tcW w:w="1134" w:type="dxa"/>
            <w:vAlign w:val="center"/>
          </w:tcPr>
          <w:p w14:paraId="6EBEA0AB">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2226B742">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正确理解并掌握</w:t>
            </w:r>
            <w:r>
              <w:rPr>
                <w:rFonts w:hint="eastAsia" w:ascii="宋体" w:hAnsi="宋体" w:eastAsia="宋体" w:cs="Times New Roman"/>
                <w:szCs w:val="21"/>
              </w:rPr>
              <w:t>汉赋</w:t>
            </w:r>
            <w:r>
              <w:rPr>
                <w:rFonts w:ascii="宋体" w:hAnsi="宋体" w:eastAsia="宋体" w:cs="Times New Roman"/>
                <w:szCs w:val="21"/>
              </w:rPr>
              <w:t>的</w:t>
            </w:r>
            <w:r>
              <w:rPr>
                <w:rFonts w:hint="eastAsia" w:ascii="宋体" w:hAnsi="宋体" w:eastAsia="宋体" w:cs="Times New Roman"/>
                <w:szCs w:val="21"/>
              </w:rPr>
              <w:t>概念、发展及其作品；</w:t>
            </w:r>
          </w:p>
          <w:p w14:paraId="4251319F">
            <w:pPr>
              <w:jc w:val="left"/>
              <w:rPr>
                <w:rFonts w:hint="eastAsia" w:ascii="宋体" w:hAnsi="宋体" w:eastAsia="宋体" w:cs="Times New Roman"/>
                <w:szCs w:val="21"/>
              </w:rPr>
            </w:pPr>
            <w:r>
              <w:rPr>
                <w:rFonts w:hint="eastAsia" w:ascii="宋体" w:hAnsi="宋体" w:eastAsia="宋体" w:cs="Times New Roman"/>
                <w:szCs w:val="21"/>
              </w:rPr>
              <w:t>2.掌握司马迁的人格和《史记》的文学成就；</w:t>
            </w:r>
          </w:p>
          <w:p w14:paraId="3FE98803">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理解</w:t>
            </w:r>
            <w:r>
              <w:rPr>
                <w:rFonts w:hint="eastAsia" w:ascii="宋体" w:hAnsi="宋体" w:eastAsia="宋体" w:cs="Times New Roman"/>
                <w:szCs w:val="21"/>
              </w:rPr>
              <w:t>汉乐府的内容和特点；</w:t>
            </w:r>
          </w:p>
          <w:p w14:paraId="7D13C077">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掌握古诗十九首的艺术特点。</w:t>
            </w:r>
          </w:p>
        </w:tc>
        <w:tc>
          <w:tcPr>
            <w:tcW w:w="1560" w:type="dxa"/>
            <w:vAlign w:val="center"/>
          </w:tcPr>
          <w:p w14:paraId="79CB8C37">
            <w:pPr>
              <w:jc w:val="left"/>
              <w:rPr>
                <w:rFonts w:hint="eastAsia" w:ascii="宋体" w:hAnsi="宋体" w:eastAsia="宋体" w:cs="Times New Roman"/>
                <w:szCs w:val="21"/>
              </w:rPr>
            </w:pPr>
            <w:r>
              <w:rPr>
                <w:rFonts w:hint="eastAsia" w:ascii="宋体" w:hAnsi="宋体" w:eastAsia="宋体" w:cs="Times New Roman"/>
                <w:szCs w:val="21"/>
              </w:rPr>
              <w:t>1.线上学习</w:t>
            </w:r>
          </w:p>
          <w:p w14:paraId="10CF04E8">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70FBF38C">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0CBB35B4">
            <w:pPr>
              <w:jc w:val="center"/>
              <w:rPr>
                <w:rFonts w:hint="eastAsia" w:ascii="宋体" w:hAnsi="宋体" w:eastAsia="宋体" w:cs="Times New Roman"/>
                <w:szCs w:val="21"/>
              </w:rPr>
            </w:pPr>
            <w:r>
              <w:rPr>
                <w:rFonts w:ascii="宋体" w:hAnsi="宋体" w:eastAsia="宋体" w:cs="Times New Roman"/>
                <w:szCs w:val="21"/>
              </w:rPr>
              <w:t>6</w:t>
            </w:r>
          </w:p>
        </w:tc>
      </w:tr>
      <w:tr w14:paraId="67B7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1B34BB39">
            <w:pPr>
              <w:jc w:val="center"/>
              <w:rPr>
                <w:rFonts w:hint="eastAsia" w:ascii="宋体" w:hAnsi="宋体" w:eastAsia="宋体" w:cs="Times New Roman"/>
                <w:szCs w:val="21"/>
              </w:rPr>
            </w:pPr>
          </w:p>
        </w:tc>
        <w:tc>
          <w:tcPr>
            <w:tcW w:w="8215" w:type="dxa"/>
            <w:gridSpan w:val="5"/>
            <w:vAlign w:val="center"/>
          </w:tcPr>
          <w:p w14:paraId="50FF283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明确社会主义教育的本质。把握教育的本质在于培养人，深刻理解习近平曾多次论述的教育要“培养什么人、怎样培养人、为谁培养人”的问题。</w:t>
            </w:r>
          </w:p>
        </w:tc>
      </w:tr>
      <w:tr w14:paraId="23C6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14:paraId="05746CFF">
            <w:pPr>
              <w:jc w:val="center"/>
              <w:rPr>
                <w:rFonts w:hint="eastAsia" w:ascii="宋体" w:hAnsi="宋体" w:eastAsia="宋体" w:cs="Times New Roman"/>
                <w:szCs w:val="21"/>
              </w:rPr>
            </w:pPr>
            <w:r>
              <w:rPr>
                <w:rFonts w:hint="eastAsia" w:ascii="宋体" w:hAnsi="宋体" w:eastAsia="宋体" w:cs="Times New Roman"/>
                <w:szCs w:val="21"/>
              </w:rPr>
              <w:t>3.魏晋南北朝文学</w:t>
            </w:r>
          </w:p>
        </w:tc>
        <w:tc>
          <w:tcPr>
            <w:tcW w:w="1823" w:type="dxa"/>
            <w:vAlign w:val="center"/>
          </w:tcPr>
          <w:p w14:paraId="5E862822">
            <w:pPr>
              <w:jc w:val="left"/>
              <w:rPr>
                <w:rFonts w:hint="eastAsia" w:ascii="宋体" w:hAnsi="宋体" w:eastAsia="宋体" w:cs="Times New Roman"/>
                <w:szCs w:val="21"/>
              </w:rPr>
            </w:pPr>
            <w:r>
              <w:rPr>
                <w:rFonts w:hint="eastAsia" w:ascii="宋体" w:hAnsi="宋体" w:eastAsia="宋体" w:cs="Times New Roman"/>
                <w:szCs w:val="21"/>
              </w:rPr>
              <w:t>（1）魏晋南北朝文学概述</w:t>
            </w:r>
          </w:p>
          <w:p w14:paraId="5BBE94B7">
            <w:pPr>
              <w:jc w:val="left"/>
              <w:rPr>
                <w:rFonts w:hint="eastAsia" w:ascii="宋体" w:hAnsi="宋体" w:eastAsia="宋体" w:cs="Times New Roman"/>
                <w:szCs w:val="21"/>
              </w:rPr>
            </w:pPr>
            <w:r>
              <w:rPr>
                <w:rFonts w:hint="eastAsia" w:ascii="宋体" w:hAnsi="宋体" w:eastAsia="宋体" w:cs="Times New Roman"/>
                <w:szCs w:val="21"/>
              </w:rPr>
              <w:t>（2）建安文学以及曹植</w:t>
            </w:r>
          </w:p>
          <w:p w14:paraId="395C0DB1">
            <w:pPr>
              <w:jc w:val="left"/>
              <w:rPr>
                <w:rFonts w:hint="eastAsia" w:ascii="宋体" w:hAnsi="宋体" w:eastAsia="宋体" w:cs="Times New Roman"/>
                <w:szCs w:val="21"/>
              </w:rPr>
            </w:pPr>
            <w:r>
              <w:rPr>
                <w:rFonts w:hint="eastAsia" w:ascii="宋体" w:hAnsi="宋体" w:eastAsia="宋体" w:cs="Times New Roman"/>
                <w:szCs w:val="21"/>
              </w:rPr>
              <w:t>（3）陶渊明的田园诗</w:t>
            </w:r>
          </w:p>
          <w:p w14:paraId="1B8617A5">
            <w:pPr>
              <w:jc w:val="left"/>
              <w:rPr>
                <w:rFonts w:hint="eastAsia" w:ascii="宋体" w:hAnsi="宋体" w:eastAsia="宋体" w:cs="Times New Roman"/>
                <w:szCs w:val="21"/>
              </w:rPr>
            </w:pPr>
            <w:r>
              <w:rPr>
                <w:rFonts w:hint="eastAsia" w:ascii="宋体" w:hAnsi="宋体" w:eastAsia="宋体" w:cs="Times New Roman"/>
                <w:szCs w:val="21"/>
              </w:rPr>
              <w:t>（4）谢灵运的山水诗</w:t>
            </w:r>
          </w:p>
        </w:tc>
        <w:tc>
          <w:tcPr>
            <w:tcW w:w="1134" w:type="dxa"/>
            <w:vAlign w:val="center"/>
          </w:tcPr>
          <w:p w14:paraId="0245CE57">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4B099853">
            <w:pPr>
              <w:jc w:val="left"/>
              <w:rPr>
                <w:rFonts w:hint="eastAsia" w:ascii="宋体" w:hAnsi="宋体" w:eastAsia="宋体" w:cs="Times New Roman"/>
                <w:szCs w:val="21"/>
              </w:rPr>
            </w:pPr>
            <w:r>
              <w:rPr>
                <w:rFonts w:hint="eastAsia" w:ascii="宋体" w:hAnsi="宋体" w:eastAsia="宋体" w:cs="Times New Roman"/>
                <w:szCs w:val="21"/>
              </w:rPr>
              <w:t>1.掌握建安风骨的内容与特点；</w:t>
            </w:r>
          </w:p>
          <w:p w14:paraId="4A259540">
            <w:pPr>
              <w:jc w:val="left"/>
              <w:rPr>
                <w:rFonts w:hint="eastAsia" w:ascii="宋体" w:hAnsi="宋体" w:eastAsia="宋体" w:cs="Times New Roman"/>
                <w:szCs w:val="21"/>
              </w:rPr>
            </w:pPr>
            <w:r>
              <w:rPr>
                <w:rFonts w:hint="eastAsia" w:ascii="宋体" w:hAnsi="宋体" w:eastAsia="宋体" w:cs="Times New Roman"/>
                <w:szCs w:val="21"/>
              </w:rPr>
              <w:t>2.掌握曹植诗歌的艺术风格；</w:t>
            </w:r>
          </w:p>
          <w:p w14:paraId="1EDB94B7">
            <w:pPr>
              <w:jc w:val="left"/>
              <w:rPr>
                <w:rFonts w:hint="eastAsia" w:ascii="宋体" w:hAnsi="宋体" w:eastAsia="宋体" w:cs="Times New Roman"/>
                <w:szCs w:val="21"/>
              </w:rPr>
            </w:pPr>
            <w:r>
              <w:rPr>
                <w:rFonts w:hint="eastAsia" w:ascii="宋体" w:hAnsi="宋体" w:eastAsia="宋体" w:cs="Times New Roman"/>
                <w:szCs w:val="21"/>
              </w:rPr>
              <w:t>3.掌握陶渊明平淡自然的艺术风格；</w:t>
            </w:r>
          </w:p>
          <w:p w14:paraId="68E4E980">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谢灵运山水诗的特点。</w:t>
            </w:r>
          </w:p>
        </w:tc>
        <w:tc>
          <w:tcPr>
            <w:tcW w:w="1560" w:type="dxa"/>
            <w:vAlign w:val="center"/>
          </w:tcPr>
          <w:p w14:paraId="30DEB61B">
            <w:pPr>
              <w:jc w:val="left"/>
              <w:rPr>
                <w:rFonts w:hint="eastAsia" w:ascii="宋体" w:hAnsi="宋体" w:eastAsia="宋体" w:cs="Times New Roman"/>
                <w:szCs w:val="21"/>
              </w:rPr>
            </w:pPr>
            <w:r>
              <w:rPr>
                <w:rFonts w:ascii="宋体" w:hAnsi="宋体" w:eastAsia="宋体" w:cs="Times New Roman"/>
                <w:szCs w:val="21"/>
              </w:rPr>
              <w:t>1.线上学习</w:t>
            </w:r>
          </w:p>
          <w:p w14:paraId="6AFD0525">
            <w:pPr>
              <w:jc w:val="left"/>
              <w:rPr>
                <w:rFonts w:hint="eastAsia" w:ascii="宋体" w:hAnsi="宋体" w:eastAsia="宋体" w:cs="Times New Roman"/>
                <w:szCs w:val="21"/>
              </w:rPr>
            </w:pPr>
            <w:r>
              <w:rPr>
                <w:rFonts w:ascii="宋体" w:hAnsi="宋体" w:eastAsia="宋体" w:cs="Times New Roman"/>
                <w:szCs w:val="21"/>
              </w:rPr>
              <w:t>2.多媒体教学3.课堂讨论</w:t>
            </w:r>
          </w:p>
          <w:p w14:paraId="07BB4665">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36883E2C">
            <w:pPr>
              <w:jc w:val="center"/>
              <w:rPr>
                <w:rFonts w:hint="eastAsia" w:ascii="宋体" w:hAnsi="宋体" w:eastAsia="宋体" w:cs="Times New Roman"/>
                <w:szCs w:val="21"/>
              </w:rPr>
            </w:pPr>
            <w:r>
              <w:rPr>
                <w:rFonts w:ascii="宋体" w:hAnsi="宋体" w:eastAsia="宋体" w:cs="Times New Roman"/>
                <w:szCs w:val="21"/>
              </w:rPr>
              <w:t>6</w:t>
            </w:r>
          </w:p>
        </w:tc>
      </w:tr>
      <w:tr w14:paraId="099D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7E39BA61">
            <w:pPr>
              <w:jc w:val="center"/>
              <w:rPr>
                <w:rFonts w:hint="eastAsia" w:ascii="宋体" w:hAnsi="宋体" w:eastAsia="宋体" w:cs="Times New Roman"/>
                <w:szCs w:val="21"/>
              </w:rPr>
            </w:pPr>
          </w:p>
        </w:tc>
        <w:tc>
          <w:tcPr>
            <w:tcW w:w="8215" w:type="dxa"/>
            <w:gridSpan w:val="5"/>
            <w:vAlign w:val="center"/>
          </w:tcPr>
          <w:p w14:paraId="07B0183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从辩证思维的角度掌握教育与社会发展的关系在分析教育与经济、教育与政治、教育与文化的关系中，树立制度自信和文化自信。</w:t>
            </w:r>
          </w:p>
        </w:tc>
      </w:tr>
      <w:tr w14:paraId="5761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14:paraId="0BD7BC4D">
            <w:pPr>
              <w:jc w:val="center"/>
              <w:rPr>
                <w:rFonts w:hint="eastAsia" w:ascii="宋体" w:hAnsi="宋体" w:eastAsia="宋体" w:cs="Times New Roman"/>
                <w:szCs w:val="21"/>
              </w:rPr>
            </w:pPr>
            <w:r>
              <w:rPr>
                <w:rFonts w:hint="eastAsia" w:ascii="宋体" w:hAnsi="宋体" w:eastAsia="宋体" w:cs="Times New Roman"/>
                <w:szCs w:val="21"/>
              </w:rPr>
              <w:t>4.唐代</w:t>
            </w:r>
          </w:p>
          <w:p w14:paraId="6E5F9416">
            <w:pPr>
              <w:jc w:val="center"/>
              <w:rPr>
                <w:rFonts w:hint="eastAsia" w:ascii="宋体" w:hAnsi="宋体" w:eastAsia="宋体" w:cs="Times New Roman"/>
                <w:szCs w:val="21"/>
              </w:rPr>
            </w:pPr>
            <w:r>
              <w:rPr>
                <w:rFonts w:hint="eastAsia" w:ascii="宋体" w:hAnsi="宋体" w:eastAsia="宋体" w:cs="Times New Roman"/>
                <w:szCs w:val="21"/>
              </w:rPr>
              <w:t>文学</w:t>
            </w:r>
          </w:p>
        </w:tc>
        <w:tc>
          <w:tcPr>
            <w:tcW w:w="1823" w:type="dxa"/>
            <w:vAlign w:val="center"/>
          </w:tcPr>
          <w:p w14:paraId="63C10015">
            <w:pPr>
              <w:jc w:val="left"/>
              <w:rPr>
                <w:rFonts w:hint="eastAsia" w:ascii="宋体" w:hAnsi="宋体" w:eastAsia="宋体" w:cs="Times New Roman"/>
                <w:szCs w:val="21"/>
              </w:rPr>
            </w:pPr>
            <w:r>
              <w:rPr>
                <w:rFonts w:hint="eastAsia" w:ascii="宋体" w:hAnsi="宋体" w:eastAsia="宋体" w:cs="Times New Roman"/>
                <w:szCs w:val="21"/>
              </w:rPr>
              <w:t>（1）唐诗：王维、李白、杜甫、白居易、李商隐、杜牧</w:t>
            </w:r>
          </w:p>
          <w:p w14:paraId="7E2D1BA3">
            <w:pPr>
              <w:jc w:val="left"/>
              <w:rPr>
                <w:rFonts w:hint="eastAsia" w:ascii="宋体" w:hAnsi="宋体" w:eastAsia="宋体" w:cs="Times New Roman"/>
                <w:szCs w:val="21"/>
              </w:rPr>
            </w:pPr>
            <w:r>
              <w:rPr>
                <w:rFonts w:hint="eastAsia" w:ascii="宋体" w:hAnsi="宋体" w:eastAsia="宋体" w:cs="Times New Roman"/>
                <w:szCs w:val="21"/>
              </w:rPr>
              <w:t>（2）唐代古文</w:t>
            </w:r>
          </w:p>
          <w:p w14:paraId="238A3FA4">
            <w:pPr>
              <w:jc w:val="left"/>
              <w:rPr>
                <w:rFonts w:hint="eastAsia" w:ascii="宋体" w:hAnsi="宋体" w:eastAsia="宋体" w:cs="Times New Roman"/>
                <w:szCs w:val="21"/>
              </w:rPr>
            </w:pPr>
            <w:r>
              <w:rPr>
                <w:rFonts w:hint="eastAsia" w:ascii="宋体" w:hAnsi="宋体" w:eastAsia="宋体" w:cs="Times New Roman"/>
                <w:szCs w:val="21"/>
              </w:rPr>
              <w:t>（3）唐代传奇</w:t>
            </w:r>
          </w:p>
        </w:tc>
        <w:tc>
          <w:tcPr>
            <w:tcW w:w="1134" w:type="dxa"/>
            <w:vAlign w:val="center"/>
          </w:tcPr>
          <w:p w14:paraId="09B8412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7CA784EC">
            <w:pPr>
              <w:jc w:val="left"/>
              <w:rPr>
                <w:rFonts w:hint="eastAsia" w:ascii="宋体" w:hAnsi="宋体" w:eastAsia="宋体" w:cs="Times New Roman"/>
                <w:szCs w:val="21"/>
              </w:rPr>
            </w:pPr>
            <w:r>
              <w:rPr>
                <w:rFonts w:hint="eastAsia" w:ascii="宋体" w:hAnsi="宋体" w:eastAsia="宋体" w:cs="Times New Roman"/>
                <w:szCs w:val="21"/>
              </w:rPr>
              <w:t>1.理解并掌握唐诗发展内涵及特征，掌握杜甫诗歌的特点；</w:t>
            </w:r>
          </w:p>
          <w:p w14:paraId="41A34E31">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w:t>
            </w:r>
            <w:r>
              <w:rPr>
                <w:rFonts w:hint="eastAsia" w:ascii="宋体" w:hAnsi="宋体" w:eastAsia="宋体" w:cs="Times New Roman"/>
                <w:szCs w:val="21"/>
              </w:rPr>
              <w:t>并掌握唐代古文运动的发展及特征，掌握韩愈散文的特点；</w:t>
            </w:r>
          </w:p>
          <w:p w14:paraId="30FB7C67">
            <w:pPr>
              <w:jc w:val="left"/>
              <w:rPr>
                <w:rFonts w:hint="eastAsia" w:ascii="宋体" w:hAnsi="宋体" w:eastAsia="宋体" w:cs="Times New Roman"/>
                <w:szCs w:val="21"/>
              </w:rPr>
            </w:pPr>
            <w:r>
              <w:rPr>
                <w:rFonts w:hint="eastAsia" w:ascii="宋体" w:hAnsi="宋体" w:eastAsia="宋体" w:cs="Times New Roman"/>
                <w:szCs w:val="21"/>
              </w:rPr>
              <w:t>3，掌握唐代传奇的思想内容和艺术特点。</w:t>
            </w:r>
          </w:p>
        </w:tc>
        <w:tc>
          <w:tcPr>
            <w:tcW w:w="1560" w:type="dxa"/>
            <w:vAlign w:val="center"/>
          </w:tcPr>
          <w:p w14:paraId="3AE043A6">
            <w:pPr>
              <w:jc w:val="left"/>
              <w:rPr>
                <w:rFonts w:hint="eastAsia" w:ascii="宋体" w:hAnsi="宋体" w:eastAsia="宋体" w:cs="Times New Roman"/>
                <w:szCs w:val="21"/>
              </w:rPr>
            </w:pPr>
            <w:r>
              <w:rPr>
                <w:rFonts w:ascii="宋体" w:hAnsi="宋体" w:eastAsia="宋体" w:cs="Times New Roman"/>
                <w:szCs w:val="21"/>
              </w:rPr>
              <w:t>1.线上学习</w:t>
            </w:r>
          </w:p>
          <w:p w14:paraId="4890150A">
            <w:pPr>
              <w:jc w:val="left"/>
              <w:rPr>
                <w:rFonts w:hint="eastAsia" w:ascii="宋体" w:hAnsi="宋体" w:eastAsia="宋体" w:cs="Times New Roman"/>
                <w:szCs w:val="21"/>
              </w:rPr>
            </w:pPr>
            <w:r>
              <w:rPr>
                <w:rFonts w:ascii="宋体" w:hAnsi="宋体" w:eastAsia="宋体" w:cs="Times New Roman"/>
                <w:szCs w:val="21"/>
              </w:rPr>
              <w:t>2.多媒体教学3.课堂讨论</w:t>
            </w:r>
          </w:p>
          <w:p w14:paraId="5A840363">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1582D63E">
            <w:pPr>
              <w:jc w:val="center"/>
              <w:rPr>
                <w:rFonts w:hint="eastAsia" w:ascii="宋体" w:hAnsi="宋体" w:eastAsia="宋体" w:cs="Times New Roman"/>
                <w:szCs w:val="21"/>
              </w:rPr>
            </w:pPr>
            <w:r>
              <w:rPr>
                <w:rFonts w:ascii="宋体" w:hAnsi="宋体" w:eastAsia="宋体" w:cs="Times New Roman"/>
                <w:szCs w:val="21"/>
              </w:rPr>
              <w:t>9</w:t>
            </w:r>
          </w:p>
        </w:tc>
      </w:tr>
      <w:tr w14:paraId="3442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5CA3F017">
            <w:pPr>
              <w:jc w:val="center"/>
              <w:rPr>
                <w:rFonts w:hint="eastAsia" w:ascii="宋体" w:hAnsi="宋体" w:eastAsia="宋体" w:cs="Times New Roman"/>
                <w:szCs w:val="21"/>
              </w:rPr>
            </w:pPr>
          </w:p>
        </w:tc>
        <w:tc>
          <w:tcPr>
            <w:tcW w:w="8215" w:type="dxa"/>
            <w:gridSpan w:val="5"/>
            <w:vAlign w:val="center"/>
          </w:tcPr>
          <w:p w14:paraId="183E976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培养学生热爱教育事业和学生的情感，增强从事教育事业的责任感和使命感。</w:t>
            </w:r>
          </w:p>
        </w:tc>
      </w:tr>
      <w:tr w14:paraId="0957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14:paraId="01BB2072">
            <w:pPr>
              <w:jc w:val="center"/>
              <w:rPr>
                <w:rFonts w:hint="eastAsia" w:ascii="宋体" w:hAnsi="宋体" w:eastAsia="宋体" w:cs="Times New Roman"/>
                <w:szCs w:val="21"/>
              </w:rPr>
            </w:pPr>
            <w:r>
              <w:rPr>
                <w:rFonts w:hint="eastAsia" w:ascii="宋体" w:hAnsi="宋体" w:eastAsia="宋体" w:cs="Times New Roman"/>
                <w:szCs w:val="21"/>
              </w:rPr>
              <w:t>5.宋代</w:t>
            </w:r>
          </w:p>
          <w:p w14:paraId="02D8722F">
            <w:pPr>
              <w:jc w:val="center"/>
              <w:rPr>
                <w:rFonts w:hint="eastAsia" w:ascii="宋体" w:hAnsi="宋体" w:eastAsia="宋体" w:cs="Times New Roman"/>
                <w:szCs w:val="21"/>
              </w:rPr>
            </w:pPr>
            <w:r>
              <w:rPr>
                <w:rFonts w:hint="eastAsia" w:ascii="宋体" w:hAnsi="宋体" w:eastAsia="宋体" w:cs="Times New Roman"/>
                <w:szCs w:val="21"/>
              </w:rPr>
              <w:t>文学</w:t>
            </w:r>
          </w:p>
        </w:tc>
        <w:tc>
          <w:tcPr>
            <w:tcW w:w="1823" w:type="dxa"/>
            <w:vAlign w:val="center"/>
          </w:tcPr>
          <w:p w14:paraId="44A13477">
            <w:pPr>
              <w:jc w:val="left"/>
              <w:rPr>
                <w:rFonts w:hint="eastAsia" w:ascii="宋体" w:hAnsi="宋体" w:eastAsia="宋体" w:cs="Times New Roman"/>
                <w:szCs w:val="21"/>
              </w:rPr>
            </w:pPr>
            <w:r>
              <w:rPr>
                <w:rFonts w:hint="eastAsia" w:ascii="宋体" w:hAnsi="宋体" w:eastAsia="宋体" w:cs="Times New Roman"/>
                <w:szCs w:val="21"/>
              </w:rPr>
              <w:t>（1）宋代文学概述</w:t>
            </w:r>
          </w:p>
          <w:p w14:paraId="77669D54">
            <w:pPr>
              <w:jc w:val="left"/>
              <w:rPr>
                <w:rFonts w:hint="eastAsia" w:ascii="宋体" w:hAnsi="宋体" w:eastAsia="宋体" w:cs="Times New Roman"/>
                <w:szCs w:val="21"/>
              </w:rPr>
            </w:pPr>
            <w:r>
              <w:rPr>
                <w:rFonts w:hint="eastAsia" w:ascii="宋体" w:hAnsi="宋体" w:eastAsia="宋体" w:cs="Times New Roman"/>
                <w:szCs w:val="21"/>
              </w:rPr>
              <w:t>（2）宋词</w:t>
            </w:r>
          </w:p>
          <w:p w14:paraId="36AE8B7D">
            <w:pPr>
              <w:jc w:val="left"/>
              <w:rPr>
                <w:rFonts w:hint="eastAsia" w:ascii="宋体" w:hAnsi="宋体" w:eastAsia="宋体" w:cs="Times New Roman"/>
                <w:szCs w:val="21"/>
              </w:rPr>
            </w:pPr>
            <w:r>
              <w:rPr>
                <w:rFonts w:hint="eastAsia" w:ascii="宋体" w:hAnsi="宋体" w:eastAsia="宋体" w:cs="Times New Roman"/>
                <w:szCs w:val="21"/>
              </w:rPr>
              <w:t>（3）宋诗：苏轼诗歌，陆游诗歌</w:t>
            </w:r>
          </w:p>
          <w:p w14:paraId="612A0A82">
            <w:pPr>
              <w:jc w:val="left"/>
              <w:rPr>
                <w:rFonts w:hint="eastAsia" w:ascii="宋体" w:hAnsi="宋体" w:eastAsia="宋体" w:cs="Times New Roman"/>
                <w:szCs w:val="21"/>
              </w:rPr>
            </w:pPr>
            <w:r>
              <w:rPr>
                <w:rFonts w:hint="eastAsia" w:ascii="宋体" w:hAnsi="宋体" w:eastAsia="宋体" w:cs="Times New Roman"/>
                <w:szCs w:val="21"/>
              </w:rPr>
              <w:t>（4）宋文</w:t>
            </w:r>
          </w:p>
        </w:tc>
        <w:tc>
          <w:tcPr>
            <w:tcW w:w="1134" w:type="dxa"/>
            <w:vAlign w:val="center"/>
          </w:tcPr>
          <w:p w14:paraId="24E1FDBC">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0CCFED57">
            <w:pPr>
              <w:jc w:val="left"/>
              <w:rPr>
                <w:rFonts w:hint="eastAsia" w:ascii="宋体" w:hAnsi="宋体" w:eastAsia="宋体" w:cs="Times New Roman"/>
                <w:szCs w:val="21"/>
              </w:rPr>
            </w:pPr>
            <w:r>
              <w:rPr>
                <w:rFonts w:hint="eastAsia" w:ascii="宋体" w:hAnsi="宋体" w:eastAsia="宋体" w:cs="Times New Roman"/>
                <w:szCs w:val="21"/>
              </w:rPr>
              <w:t>1.了解宋代文学发展的过程、特点和风格；</w:t>
            </w:r>
          </w:p>
          <w:p w14:paraId="1FD0E67E">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w:t>
            </w:r>
            <w:r>
              <w:rPr>
                <w:rFonts w:hint="eastAsia" w:ascii="宋体" w:hAnsi="宋体" w:eastAsia="宋体" w:cs="Times New Roman"/>
                <w:szCs w:val="21"/>
              </w:rPr>
              <w:t>宋词</w:t>
            </w:r>
            <w:r>
              <w:rPr>
                <w:rFonts w:ascii="宋体" w:hAnsi="宋体" w:eastAsia="宋体" w:cs="Times New Roman"/>
                <w:szCs w:val="21"/>
              </w:rPr>
              <w:t>内容</w:t>
            </w:r>
            <w:r>
              <w:rPr>
                <w:rFonts w:hint="eastAsia" w:ascii="宋体" w:hAnsi="宋体" w:eastAsia="宋体" w:cs="Times New Roman"/>
                <w:szCs w:val="21"/>
              </w:rPr>
              <w:t>、形式、风格等；</w:t>
            </w:r>
          </w:p>
          <w:p w14:paraId="2C2738FB">
            <w:pPr>
              <w:jc w:val="left"/>
              <w:rPr>
                <w:rFonts w:hint="eastAsia" w:ascii="宋体" w:hAnsi="宋体" w:eastAsia="宋体" w:cs="Times New Roman"/>
                <w:szCs w:val="21"/>
              </w:rPr>
            </w:pPr>
            <w:r>
              <w:rPr>
                <w:rFonts w:hint="eastAsia" w:ascii="宋体" w:hAnsi="宋体" w:eastAsia="宋体" w:cs="Times New Roman"/>
                <w:szCs w:val="21"/>
              </w:rPr>
              <w:t>3.掌握宋诗的特征以及苏轼诗歌的内容和艺术成就；</w:t>
            </w:r>
          </w:p>
          <w:p w14:paraId="77C1BA6A">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掌握宋代散文的内容和特点。</w:t>
            </w:r>
          </w:p>
        </w:tc>
        <w:tc>
          <w:tcPr>
            <w:tcW w:w="1560" w:type="dxa"/>
            <w:vAlign w:val="center"/>
          </w:tcPr>
          <w:p w14:paraId="5E196E6A">
            <w:pPr>
              <w:jc w:val="left"/>
              <w:rPr>
                <w:rFonts w:hint="eastAsia" w:ascii="宋体" w:hAnsi="宋体" w:eastAsia="宋体" w:cs="Times New Roman"/>
                <w:szCs w:val="21"/>
              </w:rPr>
            </w:pPr>
            <w:r>
              <w:rPr>
                <w:rFonts w:ascii="宋体" w:hAnsi="宋体" w:eastAsia="宋体" w:cs="Times New Roman"/>
                <w:szCs w:val="21"/>
              </w:rPr>
              <w:t>1.线上学习</w:t>
            </w:r>
          </w:p>
          <w:p w14:paraId="10ADC6BB">
            <w:pPr>
              <w:jc w:val="left"/>
              <w:rPr>
                <w:rFonts w:hint="eastAsia" w:ascii="宋体" w:hAnsi="宋体" w:eastAsia="宋体" w:cs="Times New Roman"/>
                <w:szCs w:val="21"/>
              </w:rPr>
            </w:pPr>
            <w:r>
              <w:rPr>
                <w:rFonts w:ascii="宋体" w:hAnsi="宋体" w:eastAsia="宋体" w:cs="Times New Roman"/>
                <w:szCs w:val="21"/>
              </w:rPr>
              <w:t>2.多媒体教学3.课堂讨论</w:t>
            </w:r>
          </w:p>
          <w:p w14:paraId="75ADAED3">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2318CC04">
            <w:pPr>
              <w:jc w:val="center"/>
              <w:rPr>
                <w:rFonts w:hint="eastAsia" w:ascii="宋体" w:hAnsi="宋体" w:eastAsia="宋体" w:cs="Times New Roman"/>
                <w:szCs w:val="21"/>
              </w:rPr>
            </w:pPr>
            <w:r>
              <w:rPr>
                <w:rFonts w:ascii="宋体" w:hAnsi="宋体" w:eastAsia="宋体" w:cs="Times New Roman"/>
                <w:szCs w:val="21"/>
              </w:rPr>
              <w:t>6</w:t>
            </w:r>
          </w:p>
        </w:tc>
      </w:tr>
      <w:tr w14:paraId="4B47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7B6C6C98">
            <w:pPr>
              <w:jc w:val="center"/>
              <w:rPr>
                <w:rFonts w:hint="eastAsia" w:ascii="宋体" w:hAnsi="宋体" w:eastAsia="宋体" w:cs="Times New Roman"/>
                <w:szCs w:val="21"/>
              </w:rPr>
            </w:pPr>
          </w:p>
        </w:tc>
        <w:tc>
          <w:tcPr>
            <w:tcW w:w="8215" w:type="dxa"/>
            <w:gridSpan w:val="5"/>
            <w:vAlign w:val="center"/>
          </w:tcPr>
          <w:p w14:paraId="098EEDD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具有社会责任感、创新精神和实践能力，主动践行社会主义核心价值观，在未来的教育实践中能主动推进素质教育，培养创新人才，从而实现中华民族的伟大复兴。</w:t>
            </w:r>
          </w:p>
        </w:tc>
      </w:tr>
      <w:tr w14:paraId="284A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14:paraId="0704B809">
            <w:pPr>
              <w:jc w:val="center"/>
              <w:rPr>
                <w:rFonts w:hint="eastAsia" w:ascii="宋体" w:hAnsi="宋体" w:eastAsia="宋体" w:cs="Times New Roman"/>
                <w:szCs w:val="21"/>
              </w:rPr>
            </w:pPr>
            <w:r>
              <w:rPr>
                <w:rFonts w:hint="eastAsia" w:ascii="宋体" w:hAnsi="宋体" w:eastAsia="宋体" w:cs="Times New Roman"/>
                <w:szCs w:val="21"/>
              </w:rPr>
              <w:t>6.元代</w:t>
            </w:r>
          </w:p>
          <w:p w14:paraId="5B14DC34">
            <w:pPr>
              <w:jc w:val="center"/>
              <w:rPr>
                <w:rFonts w:hint="eastAsia" w:ascii="宋体" w:hAnsi="宋体" w:eastAsia="宋体" w:cs="Times New Roman"/>
                <w:szCs w:val="21"/>
              </w:rPr>
            </w:pPr>
            <w:r>
              <w:rPr>
                <w:rFonts w:hint="eastAsia" w:ascii="宋体" w:hAnsi="宋体" w:eastAsia="宋体" w:cs="Times New Roman"/>
                <w:szCs w:val="21"/>
              </w:rPr>
              <w:t>文学</w:t>
            </w:r>
          </w:p>
        </w:tc>
        <w:tc>
          <w:tcPr>
            <w:tcW w:w="1823" w:type="dxa"/>
            <w:vAlign w:val="center"/>
          </w:tcPr>
          <w:p w14:paraId="4A5093CD">
            <w:pPr>
              <w:jc w:val="left"/>
              <w:rPr>
                <w:rFonts w:hint="eastAsia" w:ascii="宋体" w:hAnsi="宋体" w:eastAsia="宋体" w:cs="Times New Roman"/>
                <w:szCs w:val="21"/>
              </w:rPr>
            </w:pPr>
            <w:r>
              <w:rPr>
                <w:rFonts w:hint="eastAsia" w:ascii="宋体" w:hAnsi="宋体" w:eastAsia="宋体" w:cs="Times New Roman"/>
                <w:szCs w:val="21"/>
              </w:rPr>
              <w:t>（1）元代文学概述</w:t>
            </w:r>
          </w:p>
          <w:p w14:paraId="1043024E">
            <w:pPr>
              <w:jc w:val="left"/>
              <w:rPr>
                <w:rFonts w:hint="eastAsia" w:ascii="宋体" w:hAnsi="宋体" w:eastAsia="宋体" w:cs="Times New Roman"/>
                <w:szCs w:val="21"/>
              </w:rPr>
            </w:pPr>
            <w:r>
              <w:rPr>
                <w:rFonts w:hint="eastAsia" w:ascii="宋体" w:hAnsi="宋体" w:eastAsia="宋体" w:cs="Times New Roman"/>
                <w:szCs w:val="21"/>
              </w:rPr>
              <w:t>（2）元曲四大家</w:t>
            </w:r>
          </w:p>
          <w:p w14:paraId="75BC3436">
            <w:pPr>
              <w:jc w:val="left"/>
              <w:rPr>
                <w:rFonts w:hint="eastAsia" w:ascii="宋体" w:hAnsi="宋体" w:eastAsia="宋体" w:cs="Times New Roman"/>
                <w:szCs w:val="21"/>
              </w:rPr>
            </w:pPr>
            <w:r>
              <w:rPr>
                <w:rFonts w:hint="eastAsia" w:ascii="宋体" w:hAnsi="宋体" w:eastAsia="宋体" w:cs="Times New Roman"/>
                <w:szCs w:val="21"/>
              </w:rPr>
              <w:t>（3）关汉卿的杂剧创作</w:t>
            </w:r>
          </w:p>
          <w:p w14:paraId="502BFF91">
            <w:pPr>
              <w:jc w:val="left"/>
              <w:rPr>
                <w:rFonts w:hint="eastAsia" w:ascii="宋体" w:hAnsi="宋体" w:eastAsia="宋体" w:cs="Times New Roman"/>
                <w:szCs w:val="21"/>
              </w:rPr>
            </w:pPr>
            <w:r>
              <w:rPr>
                <w:rFonts w:hint="eastAsia" w:ascii="宋体" w:hAnsi="宋体" w:eastAsia="宋体" w:cs="Times New Roman"/>
                <w:szCs w:val="21"/>
              </w:rPr>
              <w:t>（4）王实甫与《西厢记》</w:t>
            </w:r>
          </w:p>
          <w:p w14:paraId="42F83292">
            <w:pPr>
              <w:jc w:val="left"/>
              <w:rPr>
                <w:rFonts w:hint="eastAsia" w:ascii="宋体" w:hAnsi="宋体" w:eastAsia="宋体" w:cs="Times New Roman"/>
                <w:szCs w:val="21"/>
              </w:rPr>
            </w:pPr>
            <w:r>
              <w:rPr>
                <w:rFonts w:hint="eastAsia" w:ascii="宋体" w:hAnsi="宋体" w:eastAsia="宋体" w:cs="Times New Roman"/>
                <w:szCs w:val="21"/>
              </w:rPr>
              <w:t>（5）元代诗文</w:t>
            </w:r>
          </w:p>
        </w:tc>
        <w:tc>
          <w:tcPr>
            <w:tcW w:w="1134" w:type="dxa"/>
            <w:vAlign w:val="center"/>
          </w:tcPr>
          <w:p w14:paraId="46B8DD29">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3D094ABB">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了解</w:t>
            </w:r>
            <w:r>
              <w:rPr>
                <w:rFonts w:hint="eastAsia" w:ascii="宋体" w:hAnsi="宋体" w:eastAsia="宋体" w:cs="Times New Roman"/>
                <w:szCs w:val="21"/>
              </w:rPr>
              <w:t>元代文学的发展概况；</w:t>
            </w:r>
          </w:p>
          <w:p w14:paraId="2884C3CC">
            <w:pPr>
              <w:jc w:val="left"/>
              <w:rPr>
                <w:rFonts w:hint="eastAsia" w:ascii="宋体" w:hAnsi="宋体" w:eastAsia="宋体" w:cs="Times New Roman"/>
                <w:szCs w:val="21"/>
              </w:rPr>
            </w:pPr>
            <w:r>
              <w:rPr>
                <w:rFonts w:hint="eastAsia" w:ascii="宋体" w:hAnsi="宋体" w:eastAsia="宋体" w:cs="Times New Roman"/>
                <w:szCs w:val="21"/>
              </w:rPr>
              <w:t>2.掌握关汉卿的杂剧创作；</w:t>
            </w:r>
          </w:p>
          <w:p w14:paraId="0858371D">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掌握</w:t>
            </w:r>
            <w:r>
              <w:rPr>
                <w:rFonts w:hint="eastAsia" w:ascii="宋体" w:hAnsi="宋体" w:eastAsia="宋体" w:cs="Times New Roman"/>
                <w:szCs w:val="21"/>
              </w:rPr>
              <w:t>《西厢记》的内容和艺术特色；</w:t>
            </w:r>
          </w:p>
          <w:p w14:paraId="3B470A62">
            <w:pPr>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元曲四大家的内容。</w:t>
            </w:r>
          </w:p>
        </w:tc>
        <w:tc>
          <w:tcPr>
            <w:tcW w:w="1560" w:type="dxa"/>
            <w:vAlign w:val="center"/>
          </w:tcPr>
          <w:p w14:paraId="2F6629F1">
            <w:pPr>
              <w:jc w:val="left"/>
              <w:rPr>
                <w:rFonts w:hint="eastAsia" w:ascii="宋体" w:hAnsi="宋体" w:eastAsia="宋体" w:cs="Times New Roman"/>
                <w:szCs w:val="21"/>
              </w:rPr>
            </w:pPr>
            <w:r>
              <w:rPr>
                <w:rFonts w:ascii="宋体" w:hAnsi="宋体" w:eastAsia="宋体" w:cs="Times New Roman"/>
                <w:szCs w:val="21"/>
              </w:rPr>
              <w:t>1.线上学习</w:t>
            </w:r>
          </w:p>
          <w:p w14:paraId="7D63E24E">
            <w:pPr>
              <w:jc w:val="left"/>
              <w:rPr>
                <w:rFonts w:hint="eastAsia" w:ascii="宋体" w:hAnsi="宋体" w:eastAsia="宋体" w:cs="Times New Roman"/>
                <w:szCs w:val="21"/>
              </w:rPr>
            </w:pPr>
            <w:r>
              <w:rPr>
                <w:rFonts w:ascii="宋体" w:hAnsi="宋体" w:eastAsia="宋体" w:cs="Times New Roman"/>
                <w:szCs w:val="21"/>
              </w:rPr>
              <w:t>2.多媒体教学3.课堂讨论</w:t>
            </w:r>
          </w:p>
          <w:p w14:paraId="7BEDCFC8">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6D4918D3">
            <w:pPr>
              <w:jc w:val="center"/>
              <w:rPr>
                <w:rFonts w:hint="eastAsia" w:ascii="宋体" w:hAnsi="宋体" w:eastAsia="宋体" w:cs="Times New Roman"/>
                <w:szCs w:val="21"/>
              </w:rPr>
            </w:pPr>
            <w:r>
              <w:rPr>
                <w:rFonts w:ascii="宋体" w:hAnsi="宋体" w:eastAsia="宋体" w:cs="Times New Roman"/>
                <w:szCs w:val="21"/>
              </w:rPr>
              <w:t>3</w:t>
            </w:r>
          </w:p>
        </w:tc>
      </w:tr>
      <w:tr w14:paraId="3133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44F33853">
            <w:pPr>
              <w:jc w:val="center"/>
              <w:rPr>
                <w:rFonts w:hint="eastAsia" w:ascii="宋体" w:hAnsi="宋体" w:eastAsia="宋体" w:cs="Times New Roman"/>
                <w:szCs w:val="21"/>
              </w:rPr>
            </w:pPr>
          </w:p>
        </w:tc>
        <w:tc>
          <w:tcPr>
            <w:tcW w:w="8215" w:type="dxa"/>
            <w:gridSpan w:val="5"/>
            <w:vAlign w:val="center"/>
          </w:tcPr>
          <w:p w14:paraId="41C4AD2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树立全面发展的教育观，确立从教信念。</w:t>
            </w:r>
          </w:p>
        </w:tc>
      </w:tr>
      <w:tr w14:paraId="13A6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14:paraId="264DE504">
            <w:pPr>
              <w:rPr>
                <w:rFonts w:hint="eastAsia" w:ascii="宋体" w:hAnsi="宋体" w:eastAsia="宋体" w:cs="Times New Roman"/>
                <w:szCs w:val="21"/>
              </w:rPr>
            </w:pPr>
            <w:r>
              <w:rPr>
                <w:rFonts w:hint="eastAsia" w:ascii="宋体" w:hAnsi="宋体" w:eastAsia="宋体" w:cs="Times New Roman"/>
                <w:szCs w:val="21"/>
              </w:rPr>
              <w:t>7.明代</w:t>
            </w:r>
          </w:p>
          <w:p w14:paraId="155783C7">
            <w:pPr>
              <w:ind w:firstLine="210" w:firstLineChars="100"/>
              <w:rPr>
                <w:rFonts w:hint="eastAsia" w:ascii="宋体" w:hAnsi="宋体" w:eastAsia="宋体" w:cs="Times New Roman"/>
                <w:szCs w:val="21"/>
              </w:rPr>
            </w:pPr>
            <w:r>
              <w:rPr>
                <w:rFonts w:hint="eastAsia" w:ascii="宋体" w:hAnsi="宋体" w:eastAsia="宋体" w:cs="Times New Roman"/>
                <w:szCs w:val="21"/>
              </w:rPr>
              <w:t>文学</w:t>
            </w:r>
          </w:p>
        </w:tc>
        <w:tc>
          <w:tcPr>
            <w:tcW w:w="1823" w:type="dxa"/>
            <w:vAlign w:val="center"/>
          </w:tcPr>
          <w:p w14:paraId="59671B0B">
            <w:pPr>
              <w:jc w:val="left"/>
              <w:rPr>
                <w:rFonts w:hint="eastAsia" w:ascii="宋体" w:hAnsi="宋体" w:eastAsia="宋体" w:cs="Times New Roman"/>
                <w:szCs w:val="21"/>
              </w:rPr>
            </w:pPr>
            <w:r>
              <w:rPr>
                <w:rFonts w:hint="eastAsia" w:ascii="宋体" w:hAnsi="宋体" w:eastAsia="宋体" w:cs="Times New Roman"/>
                <w:szCs w:val="21"/>
              </w:rPr>
              <w:t>（1）明代文学概述</w:t>
            </w:r>
          </w:p>
          <w:p w14:paraId="63856636">
            <w:pPr>
              <w:jc w:val="left"/>
              <w:rPr>
                <w:rFonts w:hint="eastAsia" w:ascii="宋体" w:hAnsi="宋体" w:eastAsia="宋体" w:cs="Times New Roman"/>
                <w:szCs w:val="21"/>
              </w:rPr>
            </w:pPr>
            <w:r>
              <w:rPr>
                <w:rFonts w:hint="eastAsia" w:ascii="宋体" w:hAnsi="宋体" w:eastAsia="宋体" w:cs="Times New Roman"/>
                <w:szCs w:val="21"/>
              </w:rPr>
              <w:t>（2）明代小说</w:t>
            </w:r>
          </w:p>
          <w:p w14:paraId="0FAF1111">
            <w:pPr>
              <w:jc w:val="left"/>
              <w:rPr>
                <w:rFonts w:hint="eastAsia" w:ascii="宋体" w:hAnsi="宋体" w:eastAsia="宋体" w:cs="Times New Roman"/>
                <w:szCs w:val="21"/>
              </w:rPr>
            </w:pPr>
            <w:r>
              <w:rPr>
                <w:rFonts w:hint="eastAsia" w:ascii="宋体" w:hAnsi="宋体" w:eastAsia="宋体" w:cs="Times New Roman"/>
                <w:szCs w:val="21"/>
              </w:rPr>
              <w:t>（3）汤显祖《牡丹亭》与明代戏曲</w:t>
            </w:r>
          </w:p>
          <w:p w14:paraId="4A2E7EC9">
            <w:pPr>
              <w:jc w:val="left"/>
              <w:rPr>
                <w:rFonts w:hint="eastAsia" w:ascii="宋体" w:hAnsi="宋体" w:eastAsia="宋体" w:cs="Times New Roman"/>
                <w:szCs w:val="21"/>
              </w:rPr>
            </w:pPr>
            <w:r>
              <w:rPr>
                <w:rFonts w:hint="eastAsia" w:ascii="宋体" w:hAnsi="宋体" w:eastAsia="宋体" w:cs="Times New Roman"/>
                <w:szCs w:val="21"/>
              </w:rPr>
              <w:t>（4）明代诗文</w:t>
            </w:r>
          </w:p>
        </w:tc>
        <w:tc>
          <w:tcPr>
            <w:tcW w:w="1134" w:type="dxa"/>
            <w:vAlign w:val="center"/>
          </w:tcPr>
          <w:p w14:paraId="74C2B50A">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6CA8408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了解明代文学发展概况；</w:t>
            </w:r>
          </w:p>
          <w:p w14:paraId="0DC0A402">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2）理解</w:t>
            </w:r>
            <w:r>
              <w:rPr>
                <w:rFonts w:hint="eastAsia" w:ascii="宋体" w:hAnsi="宋体" w:eastAsia="宋体" w:cs="Times New Roman"/>
                <w:szCs w:val="21"/>
              </w:rPr>
              <w:t>明代小说的特点以及《三国演义》《水浒传》《西游记》的思想内容和艺术成就；</w:t>
            </w:r>
          </w:p>
          <w:p w14:paraId="3260AB48">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理解《牡丹亭》“至情”的观念和艺术成就；</w:t>
            </w:r>
          </w:p>
          <w:p w14:paraId="4197B8BB">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4）</w:t>
            </w:r>
            <w:r>
              <w:rPr>
                <w:rFonts w:hint="eastAsia" w:ascii="宋体" w:hAnsi="宋体" w:eastAsia="宋体" w:cs="Times New Roman"/>
                <w:szCs w:val="21"/>
              </w:rPr>
              <w:t>了解明代诗文的特点。</w:t>
            </w:r>
          </w:p>
        </w:tc>
        <w:tc>
          <w:tcPr>
            <w:tcW w:w="1560" w:type="dxa"/>
            <w:vAlign w:val="center"/>
          </w:tcPr>
          <w:p w14:paraId="7496B406">
            <w:pPr>
              <w:jc w:val="left"/>
              <w:rPr>
                <w:rFonts w:hint="eastAsia" w:ascii="宋体" w:hAnsi="宋体" w:eastAsia="宋体" w:cs="Times New Roman"/>
                <w:szCs w:val="21"/>
              </w:rPr>
            </w:pPr>
            <w:r>
              <w:rPr>
                <w:rFonts w:ascii="宋体" w:hAnsi="宋体" w:eastAsia="宋体" w:cs="Times New Roman"/>
                <w:szCs w:val="21"/>
              </w:rPr>
              <w:t>1.线上学习</w:t>
            </w:r>
          </w:p>
          <w:p w14:paraId="54853F11">
            <w:pPr>
              <w:jc w:val="left"/>
              <w:rPr>
                <w:rFonts w:hint="eastAsia" w:ascii="宋体" w:hAnsi="宋体" w:eastAsia="宋体" w:cs="Times New Roman"/>
                <w:szCs w:val="21"/>
              </w:rPr>
            </w:pPr>
            <w:r>
              <w:rPr>
                <w:rFonts w:ascii="宋体" w:hAnsi="宋体" w:eastAsia="宋体" w:cs="Times New Roman"/>
                <w:szCs w:val="21"/>
              </w:rPr>
              <w:t>2.多媒体教学3.课堂讨论</w:t>
            </w:r>
          </w:p>
          <w:p w14:paraId="16D156CE">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77FBD853">
            <w:pPr>
              <w:jc w:val="center"/>
              <w:rPr>
                <w:rFonts w:hint="eastAsia" w:ascii="宋体" w:hAnsi="宋体" w:eastAsia="宋体" w:cs="Times New Roman"/>
                <w:szCs w:val="21"/>
              </w:rPr>
            </w:pPr>
            <w:r>
              <w:rPr>
                <w:rFonts w:ascii="宋体" w:hAnsi="宋体" w:eastAsia="宋体" w:cs="Times New Roman"/>
                <w:szCs w:val="21"/>
              </w:rPr>
              <w:t>6</w:t>
            </w:r>
          </w:p>
        </w:tc>
      </w:tr>
      <w:tr w14:paraId="4B39F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06746E11">
            <w:pPr>
              <w:jc w:val="center"/>
              <w:rPr>
                <w:rFonts w:hint="eastAsia" w:ascii="宋体" w:hAnsi="宋体" w:eastAsia="宋体" w:cs="Times New Roman"/>
                <w:szCs w:val="21"/>
              </w:rPr>
            </w:pPr>
          </w:p>
        </w:tc>
        <w:tc>
          <w:tcPr>
            <w:tcW w:w="8215" w:type="dxa"/>
            <w:gridSpan w:val="5"/>
            <w:vAlign w:val="center"/>
          </w:tcPr>
          <w:p w14:paraId="3BAF32BB">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实现知识转化，树立正确的教师观、学生观，并热爱教师职业、热爱学生，培养良好的师生关系。</w:t>
            </w:r>
          </w:p>
        </w:tc>
      </w:tr>
      <w:tr w14:paraId="098D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restart"/>
            <w:vAlign w:val="center"/>
          </w:tcPr>
          <w:p w14:paraId="0AE0D643">
            <w:pPr>
              <w:jc w:val="center"/>
              <w:rPr>
                <w:rFonts w:hint="eastAsia" w:ascii="宋体" w:hAnsi="宋体" w:eastAsia="宋体" w:cs="Times New Roman"/>
                <w:szCs w:val="21"/>
              </w:rPr>
            </w:pPr>
            <w:r>
              <w:rPr>
                <w:rFonts w:hint="eastAsia" w:ascii="宋体" w:hAnsi="宋体" w:eastAsia="宋体" w:cs="Times New Roman"/>
                <w:szCs w:val="21"/>
              </w:rPr>
              <w:t>8.清代</w:t>
            </w:r>
          </w:p>
          <w:p w14:paraId="6E8887F4">
            <w:pPr>
              <w:ind w:firstLine="210" w:firstLineChars="100"/>
              <w:jc w:val="center"/>
              <w:rPr>
                <w:rFonts w:hint="eastAsia" w:ascii="宋体" w:hAnsi="宋体" w:eastAsia="宋体" w:cs="Times New Roman"/>
                <w:szCs w:val="21"/>
              </w:rPr>
            </w:pPr>
            <w:r>
              <w:rPr>
                <w:rFonts w:hint="eastAsia" w:ascii="宋体" w:hAnsi="宋体" w:eastAsia="宋体" w:cs="Times New Roman"/>
                <w:szCs w:val="21"/>
              </w:rPr>
              <w:t>文学</w:t>
            </w:r>
          </w:p>
        </w:tc>
        <w:tc>
          <w:tcPr>
            <w:tcW w:w="1823" w:type="dxa"/>
            <w:vAlign w:val="center"/>
          </w:tcPr>
          <w:p w14:paraId="06D47DA7">
            <w:pPr>
              <w:jc w:val="left"/>
              <w:rPr>
                <w:rFonts w:hint="eastAsia" w:ascii="宋体" w:hAnsi="宋体" w:eastAsia="宋体" w:cs="Times New Roman"/>
                <w:szCs w:val="21"/>
              </w:rPr>
            </w:pPr>
            <w:r>
              <w:rPr>
                <w:rFonts w:hint="eastAsia" w:ascii="宋体" w:hAnsi="宋体" w:eastAsia="宋体" w:cs="Times New Roman"/>
                <w:szCs w:val="21"/>
              </w:rPr>
              <w:t>（1）清代文学概述</w:t>
            </w:r>
          </w:p>
          <w:p w14:paraId="20E51343">
            <w:pPr>
              <w:jc w:val="left"/>
              <w:rPr>
                <w:rFonts w:hint="eastAsia" w:ascii="宋体" w:hAnsi="宋体" w:eastAsia="宋体" w:cs="Times New Roman"/>
                <w:szCs w:val="21"/>
              </w:rPr>
            </w:pPr>
            <w:r>
              <w:rPr>
                <w:rFonts w:hint="eastAsia" w:ascii="宋体" w:hAnsi="宋体" w:eastAsia="宋体" w:cs="Times New Roman"/>
                <w:szCs w:val="21"/>
              </w:rPr>
              <w:t>（2）清代诗文</w:t>
            </w:r>
          </w:p>
          <w:p w14:paraId="0F20AF89">
            <w:pPr>
              <w:jc w:val="left"/>
              <w:rPr>
                <w:rFonts w:hint="eastAsia" w:ascii="宋体" w:hAnsi="宋体" w:eastAsia="宋体" w:cs="Times New Roman"/>
                <w:szCs w:val="21"/>
              </w:rPr>
            </w:pPr>
            <w:r>
              <w:rPr>
                <w:rFonts w:hint="eastAsia" w:ascii="宋体" w:hAnsi="宋体" w:eastAsia="宋体" w:cs="Times New Roman"/>
                <w:szCs w:val="21"/>
              </w:rPr>
              <w:t>（3）清代戏曲</w:t>
            </w:r>
          </w:p>
          <w:p w14:paraId="73FAC51A">
            <w:pPr>
              <w:jc w:val="left"/>
              <w:rPr>
                <w:rFonts w:hint="eastAsia" w:ascii="宋体" w:hAnsi="宋体" w:eastAsia="宋体" w:cs="Times New Roman"/>
                <w:szCs w:val="21"/>
              </w:rPr>
            </w:pPr>
            <w:r>
              <w:rPr>
                <w:rFonts w:hint="eastAsia" w:ascii="宋体" w:hAnsi="宋体" w:eastAsia="宋体" w:cs="Times New Roman"/>
                <w:szCs w:val="21"/>
              </w:rPr>
              <w:t>（4）《红楼梦》与清代小说</w:t>
            </w:r>
          </w:p>
        </w:tc>
        <w:tc>
          <w:tcPr>
            <w:tcW w:w="1134" w:type="dxa"/>
            <w:vAlign w:val="center"/>
          </w:tcPr>
          <w:p w14:paraId="76686855">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1E7788AE">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1）了解</w:t>
            </w:r>
            <w:r>
              <w:rPr>
                <w:rFonts w:hint="eastAsia" w:ascii="宋体" w:hAnsi="宋体" w:eastAsia="宋体" w:cs="Times New Roman"/>
                <w:szCs w:val="21"/>
              </w:rPr>
              <w:t>清代文学发展与特点；</w:t>
            </w:r>
          </w:p>
          <w:p w14:paraId="6AC3422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2）了解</w:t>
            </w:r>
            <w:r>
              <w:rPr>
                <w:rFonts w:hint="eastAsia" w:ascii="宋体" w:hAnsi="宋体" w:eastAsia="宋体" w:cs="Times New Roman"/>
                <w:szCs w:val="21"/>
              </w:rPr>
              <w:t>清代诗文的发展及诗人的特点；</w:t>
            </w:r>
          </w:p>
          <w:p w14:paraId="5FCE45FC">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掌握《长生殿》《桃花扇》的思想内容和艺术特征；</w:t>
            </w:r>
          </w:p>
          <w:p w14:paraId="075FB0A3">
            <w:pPr>
              <w:jc w:val="left"/>
              <w:rPr>
                <w:rFonts w:hint="eastAsia" w:ascii="宋体" w:hAnsi="宋体" w:eastAsia="宋体" w:cs="Times New Roman"/>
                <w:szCs w:val="21"/>
              </w:rPr>
            </w:pPr>
            <w:r>
              <w:rPr>
                <w:rFonts w:hint="eastAsia" w:ascii="宋体" w:hAnsi="宋体" w:eastAsia="宋体" w:cs="Times New Roman"/>
                <w:szCs w:val="21"/>
              </w:rPr>
              <w:t>（4）《红楼梦》的悲剧精神。</w:t>
            </w:r>
          </w:p>
        </w:tc>
        <w:tc>
          <w:tcPr>
            <w:tcW w:w="1560" w:type="dxa"/>
            <w:vAlign w:val="center"/>
          </w:tcPr>
          <w:p w14:paraId="7D0819C1">
            <w:pPr>
              <w:jc w:val="left"/>
              <w:rPr>
                <w:rFonts w:hint="eastAsia" w:ascii="宋体" w:hAnsi="宋体" w:eastAsia="宋体" w:cs="Times New Roman"/>
                <w:szCs w:val="21"/>
              </w:rPr>
            </w:pPr>
            <w:r>
              <w:rPr>
                <w:rFonts w:ascii="宋体" w:hAnsi="宋体" w:eastAsia="宋体" w:cs="Times New Roman"/>
                <w:szCs w:val="21"/>
              </w:rPr>
              <w:t>1.线上学习</w:t>
            </w:r>
          </w:p>
          <w:p w14:paraId="3AD0F853">
            <w:pPr>
              <w:jc w:val="left"/>
              <w:rPr>
                <w:rFonts w:hint="eastAsia" w:ascii="宋体" w:hAnsi="宋体" w:eastAsia="宋体" w:cs="Times New Roman"/>
                <w:szCs w:val="21"/>
              </w:rPr>
            </w:pPr>
            <w:r>
              <w:rPr>
                <w:rFonts w:ascii="宋体" w:hAnsi="宋体" w:eastAsia="宋体" w:cs="Times New Roman"/>
                <w:szCs w:val="21"/>
              </w:rPr>
              <w:t>2.多媒体教学3.课堂讨论</w:t>
            </w:r>
          </w:p>
          <w:p w14:paraId="7DD361B0">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31579F77">
            <w:pPr>
              <w:jc w:val="center"/>
              <w:rPr>
                <w:rFonts w:hint="eastAsia" w:ascii="宋体" w:hAnsi="宋体" w:eastAsia="宋体" w:cs="Times New Roman"/>
                <w:szCs w:val="21"/>
              </w:rPr>
            </w:pPr>
            <w:r>
              <w:rPr>
                <w:rFonts w:ascii="宋体" w:hAnsi="宋体" w:eastAsia="宋体" w:cs="Times New Roman"/>
                <w:szCs w:val="21"/>
              </w:rPr>
              <w:t>6</w:t>
            </w:r>
          </w:p>
        </w:tc>
      </w:tr>
      <w:tr w14:paraId="13A7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Merge w:val="continue"/>
            <w:vAlign w:val="center"/>
          </w:tcPr>
          <w:p w14:paraId="0F0B147F">
            <w:pPr>
              <w:jc w:val="center"/>
              <w:rPr>
                <w:rFonts w:hint="eastAsia" w:ascii="宋体" w:hAnsi="宋体" w:eastAsia="宋体" w:cs="Times New Roman"/>
                <w:szCs w:val="21"/>
              </w:rPr>
            </w:pPr>
          </w:p>
        </w:tc>
        <w:tc>
          <w:tcPr>
            <w:tcW w:w="8215" w:type="dxa"/>
            <w:gridSpan w:val="5"/>
            <w:vAlign w:val="center"/>
          </w:tcPr>
          <w:p w14:paraId="371DF75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理解新课程的基本价值取向是：为了中华民族的复兴，为了每一个学生的发展，培养教育情怀，确立从教信念。</w:t>
            </w:r>
          </w:p>
        </w:tc>
      </w:tr>
    </w:tbl>
    <w:p w14:paraId="26FAA82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79126B5C">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2AD9E4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p w14:paraId="699E25B7">
      <w:pPr>
        <w:spacing w:line="360" w:lineRule="auto"/>
        <w:ind w:firstLine="420" w:firstLineChars="200"/>
        <w:jc w:val="left"/>
        <w:rPr>
          <w:rFonts w:ascii="Times New Roman" w:hAnsi="Times New Roman" w:eastAsia="宋体" w:cs="Times New Roman"/>
          <w:szCs w:val="21"/>
        </w:rPr>
      </w:pPr>
    </w:p>
    <w:p w14:paraId="7319DD75">
      <w:pPr>
        <w:spacing w:line="360" w:lineRule="auto"/>
        <w:ind w:firstLine="420" w:firstLineChars="200"/>
        <w:jc w:val="left"/>
        <w:rPr>
          <w:rFonts w:ascii="Times New Roman" w:hAnsi="Times New Roman" w:eastAsia="宋体" w:cs="Times New Roman"/>
          <w:szCs w:val="21"/>
        </w:rPr>
      </w:pP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097"/>
        <w:gridCol w:w="1097"/>
        <w:gridCol w:w="1097"/>
        <w:gridCol w:w="1097"/>
        <w:gridCol w:w="1097"/>
        <w:gridCol w:w="1097"/>
        <w:gridCol w:w="661"/>
      </w:tblGrid>
      <w:tr w14:paraId="5067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vAlign w:val="center"/>
          </w:tcPr>
          <w:p w14:paraId="4251B4A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538B90AE">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2C3A3748">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8C5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31263B80">
            <w:pPr>
              <w:spacing w:line="360" w:lineRule="auto"/>
              <w:jc w:val="center"/>
              <w:rPr>
                <w:rFonts w:hint="eastAsia" w:ascii="宋体" w:hAnsi="宋体" w:eastAsia="宋体" w:cs="Times New Roman"/>
                <w:szCs w:val="21"/>
              </w:rPr>
            </w:pPr>
          </w:p>
        </w:tc>
        <w:tc>
          <w:tcPr>
            <w:tcW w:w="0" w:type="auto"/>
            <w:vAlign w:val="center"/>
          </w:tcPr>
          <w:p w14:paraId="22C5753E">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0C2F99E7">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192FE63F">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5DA0C29F">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7B572F64">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5AC2032A">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60005B91">
            <w:pPr>
              <w:spacing w:line="360" w:lineRule="auto"/>
              <w:jc w:val="center"/>
              <w:rPr>
                <w:rFonts w:hint="eastAsia" w:ascii="宋体" w:hAnsi="宋体" w:eastAsia="宋体" w:cs="Times New Roman"/>
                <w:szCs w:val="21"/>
              </w:rPr>
            </w:pPr>
          </w:p>
        </w:tc>
      </w:tr>
      <w:tr w14:paraId="46C0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18EEB9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02F0854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034C51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379B8D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FB58E90">
            <w:pPr>
              <w:spacing w:line="360" w:lineRule="auto"/>
              <w:jc w:val="center"/>
              <w:rPr>
                <w:rFonts w:hint="eastAsia" w:ascii="宋体" w:hAnsi="宋体" w:eastAsia="宋体" w:cs="Times New Roman"/>
                <w:szCs w:val="21"/>
              </w:rPr>
            </w:pPr>
          </w:p>
        </w:tc>
        <w:tc>
          <w:tcPr>
            <w:tcW w:w="0" w:type="auto"/>
            <w:vAlign w:val="center"/>
          </w:tcPr>
          <w:p w14:paraId="032AFE7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2370A7A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3DD2ACF">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8FE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30EBC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5CD290A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504429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F7A7DBB">
            <w:pPr>
              <w:spacing w:line="360" w:lineRule="auto"/>
              <w:jc w:val="center"/>
              <w:rPr>
                <w:rFonts w:hint="eastAsia" w:ascii="宋体" w:hAnsi="宋体" w:eastAsia="宋体" w:cs="Times New Roman"/>
                <w:szCs w:val="21"/>
              </w:rPr>
            </w:pPr>
          </w:p>
        </w:tc>
        <w:tc>
          <w:tcPr>
            <w:tcW w:w="0" w:type="auto"/>
            <w:vAlign w:val="center"/>
          </w:tcPr>
          <w:p w14:paraId="79364C9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3253F0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36EEF6D6">
            <w:pPr>
              <w:spacing w:line="360" w:lineRule="auto"/>
              <w:jc w:val="center"/>
              <w:rPr>
                <w:rFonts w:hint="eastAsia" w:ascii="宋体" w:hAnsi="宋体" w:eastAsia="宋体" w:cs="Times New Roman"/>
                <w:szCs w:val="21"/>
              </w:rPr>
            </w:pPr>
          </w:p>
        </w:tc>
        <w:tc>
          <w:tcPr>
            <w:tcW w:w="0" w:type="auto"/>
            <w:vAlign w:val="center"/>
          </w:tcPr>
          <w:p w14:paraId="088031AF">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7995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E4E60B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3FE222D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15EF5A2">
            <w:pPr>
              <w:spacing w:line="360" w:lineRule="auto"/>
              <w:jc w:val="center"/>
              <w:rPr>
                <w:rFonts w:hint="eastAsia" w:ascii="宋体" w:hAnsi="宋体" w:eastAsia="宋体" w:cs="Times New Roman"/>
                <w:szCs w:val="21"/>
              </w:rPr>
            </w:pPr>
          </w:p>
        </w:tc>
        <w:tc>
          <w:tcPr>
            <w:tcW w:w="0" w:type="auto"/>
            <w:vAlign w:val="center"/>
          </w:tcPr>
          <w:p w14:paraId="130220CB">
            <w:pPr>
              <w:spacing w:line="360" w:lineRule="auto"/>
              <w:jc w:val="center"/>
              <w:rPr>
                <w:rFonts w:hint="eastAsia" w:ascii="宋体" w:hAnsi="宋体" w:eastAsia="宋体" w:cs="Times New Roman"/>
                <w:szCs w:val="21"/>
              </w:rPr>
            </w:pPr>
          </w:p>
        </w:tc>
        <w:tc>
          <w:tcPr>
            <w:tcW w:w="0" w:type="auto"/>
            <w:vAlign w:val="center"/>
          </w:tcPr>
          <w:p w14:paraId="53B0D686">
            <w:pPr>
              <w:spacing w:line="360" w:lineRule="auto"/>
              <w:jc w:val="center"/>
              <w:rPr>
                <w:rFonts w:hint="eastAsia" w:ascii="宋体" w:hAnsi="宋体" w:eastAsia="宋体" w:cs="Times New Roman"/>
                <w:szCs w:val="21"/>
              </w:rPr>
            </w:pPr>
          </w:p>
        </w:tc>
        <w:tc>
          <w:tcPr>
            <w:tcW w:w="0" w:type="auto"/>
            <w:vAlign w:val="center"/>
          </w:tcPr>
          <w:p w14:paraId="4222B72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48D969A0">
            <w:pPr>
              <w:spacing w:line="360" w:lineRule="auto"/>
              <w:jc w:val="center"/>
              <w:rPr>
                <w:rFonts w:hint="eastAsia" w:ascii="宋体" w:hAnsi="宋体" w:eastAsia="宋体" w:cs="Times New Roman"/>
                <w:szCs w:val="21"/>
              </w:rPr>
            </w:pPr>
          </w:p>
        </w:tc>
        <w:tc>
          <w:tcPr>
            <w:tcW w:w="0" w:type="auto"/>
            <w:vAlign w:val="center"/>
          </w:tcPr>
          <w:p w14:paraId="57B5EEC6">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D09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A6420AE">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3E4674EC">
            <w:pPr>
              <w:spacing w:line="360" w:lineRule="auto"/>
              <w:jc w:val="center"/>
              <w:rPr>
                <w:rFonts w:hint="eastAsia" w:ascii="宋体" w:hAnsi="宋体" w:eastAsia="宋体" w:cs="Times New Roman"/>
                <w:szCs w:val="21"/>
              </w:rPr>
            </w:pPr>
          </w:p>
        </w:tc>
        <w:tc>
          <w:tcPr>
            <w:tcW w:w="0" w:type="auto"/>
            <w:vAlign w:val="center"/>
          </w:tcPr>
          <w:p w14:paraId="3000670A">
            <w:pPr>
              <w:spacing w:line="360" w:lineRule="auto"/>
              <w:jc w:val="center"/>
              <w:rPr>
                <w:rFonts w:hint="eastAsia" w:ascii="宋体" w:hAnsi="宋体" w:eastAsia="宋体" w:cs="Times New Roman"/>
                <w:szCs w:val="21"/>
              </w:rPr>
            </w:pPr>
          </w:p>
        </w:tc>
        <w:tc>
          <w:tcPr>
            <w:tcW w:w="0" w:type="auto"/>
            <w:vAlign w:val="center"/>
          </w:tcPr>
          <w:p w14:paraId="1A7DB44A">
            <w:pPr>
              <w:spacing w:line="360" w:lineRule="auto"/>
              <w:jc w:val="center"/>
              <w:rPr>
                <w:rFonts w:hint="eastAsia" w:ascii="宋体" w:hAnsi="宋体" w:eastAsia="宋体" w:cs="Times New Roman"/>
                <w:szCs w:val="21"/>
              </w:rPr>
            </w:pPr>
          </w:p>
        </w:tc>
        <w:tc>
          <w:tcPr>
            <w:tcW w:w="0" w:type="auto"/>
            <w:vAlign w:val="center"/>
          </w:tcPr>
          <w:p w14:paraId="637A4390">
            <w:pPr>
              <w:spacing w:line="360" w:lineRule="auto"/>
              <w:jc w:val="center"/>
              <w:rPr>
                <w:rFonts w:hint="eastAsia" w:ascii="宋体" w:hAnsi="宋体" w:eastAsia="宋体" w:cs="Times New Roman"/>
                <w:szCs w:val="21"/>
              </w:rPr>
            </w:pPr>
          </w:p>
        </w:tc>
        <w:tc>
          <w:tcPr>
            <w:tcW w:w="0" w:type="auto"/>
            <w:vAlign w:val="center"/>
          </w:tcPr>
          <w:p w14:paraId="647ECC7E">
            <w:pPr>
              <w:spacing w:line="360" w:lineRule="auto"/>
              <w:jc w:val="center"/>
              <w:rPr>
                <w:rFonts w:hint="eastAsia" w:ascii="宋体" w:hAnsi="宋体" w:eastAsia="宋体" w:cs="Times New Roman"/>
                <w:szCs w:val="21"/>
              </w:rPr>
            </w:pPr>
          </w:p>
        </w:tc>
        <w:tc>
          <w:tcPr>
            <w:tcW w:w="0" w:type="auto"/>
          </w:tcPr>
          <w:p w14:paraId="6F77EE2A">
            <w:pPr>
              <w:spacing w:line="360" w:lineRule="auto"/>
              <w:jc w:val="center"/>
              <w:rPr>
                <w:rFonts w:hint="eastAsia" w:ascii="宋体" w:hAnsi="宋体" w:eastAsia="宋体" w:cs="Times New Roman"/>
                <w:szCs w:val="21"/>
              </w:rPr>
            </w:pPr>
          </w:p>
        </w:tc>
        <w:tc>
          <w:tcPr>
            <w:tcW w:w="0" w:type="auto"/>
            <w:vAlign w:val="center"/>
          </w:tcPr>
          <w:p w14:paraId="66F8ACC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71B4693">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C6F24F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C7B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EEA982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8DB403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E3B857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017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72723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C95AE0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554340C0">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6FC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211313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6898D0B5">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498B9A87">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0BB417A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12A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97D75D3">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5D1E1B6F">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每单元在线上进行测验，主要考查基础知识和基本理论的掌握，以题目的正确率为得分依据。</w:t>
            </w:r>
          </w:p>
        </w:tc>
        <w:tc>
          <w:tcPr>
            <w:tcW w:w="0" w:type="auto"/>
            <w:vAlign w:val="center"/>
          </w:tcPr>
          <w:p w14:paraId="670F4DD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0A4C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9176E9">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2E8BCAB9">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课前5分钟左右，每位同学评说教育时事、教育事件或教育现象等，以学生表达的流程性、逻辑性和分析的深度为评分的主要依据。</w:t>
            </w:r>
          </w:p>
        </w:tc>
        <w:tc>
          <w:tcPr>
            <w:tcW w:w="0" w:type="auto"/>
            <w:vAlign w:val="center"/>
          </w:tcPr>
          <w:p w14:paraId="43ECDB4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2B7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2084E7">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63979F2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4AC1AA8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E67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FD3B61">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ADBC56B">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教育基本理论和知识型题目占3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%；考核学生运用基本理论知识进行分析能力的题型占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%；考核学生运用学与教的基本理论和知识进行教学设计的题型占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%；考核学生初步研究能力的题型占1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4C3167CC">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1C4E2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024002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026DDEA">
            <w:pPr>
              <w:jc w:val="left"/>
              <w:rPr>
                <w:rFonts w:ascii="Times New Roman" w:hAnsi="Times New Roman" w:eastAsia="宋体" w:cs="Times New Roman"/>
                <w:szCs w:val="21"/>
              </w:rPr>
            </w:pPr>
          </w:p>
        </w:tc>
        <w:tc>
          <w:tcPr>
            <w:tcW w:w="0" w:type="auto"/>
            <w:vAlign w:val="center"/>
          </w:tcPr>
          <w:p w14:paraId="7E1C3C9C">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E55DC88">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3EFA4E6F">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239FCA13">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57"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57" DrawAspect="Content" ObjectID="_1468075757" r:id="rId45">
            <o:LockedField>false</o:LockedField>
          </o:OLEObject>
        </w:object>
      </w:r>
      <w:r>
        <w:rPr>
          <w:rFonts w:hint="eastAsia" w:ascii="Times New Roman" w:hAnsi="Times New Roman" w:eastAsia="宋体" w:cs="Times New Roman"/>
          <w:b/>
          <w:sz w:val="24"/>
        </w:rPr>
        <w:t>五、有关说明</w:t>
      </w:r>
    </w:p>
    <w:p w14:paraId="4417F4E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661AE5A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30E9508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01C2ED24">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《中国古代文学史》编写组.</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中国古代文学史，高等教育出版社，2</w:t>
      </w:r>
      <w:r>
        <w:rPr>
          <w:rFonts w:ascii="Times New Roman" w:hAnsi="Times New Roman" w:eastAsia="宋体" w:cs="Times New Roman"/>
          <w:bCs/>
          <w:szCs w:val="21"/>
        </w:rPr>
        <w:t>018</w:t>
      </w:r>
      <w:r>
        <w:rPr>
          <w:rFonts w:hint="eastAsia" w:ascii="Times New Roman" w:hAnsi="Times New Roman" w:eastAsia="宋体" w:cs="Times New Roman"/>
          <w:bCs/>
          <w:szCs w:val="21"/>
        </w:rPr>
        <w:t>.（马克思主义理论研究和建设工程重点教材）</w:t>
      </w:r>
    </w:p>
    <w:p w14:paraId="2E1023FE">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3C419DAB">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袁行霈主编：《中国文学史》，高等教育出版社，</w:t>
      </w:r>
      <w:r>
        <w:rPr>
          <w:rFonts w:ascii="宋体" w:hAnsi="宋体" w:eastAsia="宋体" w:cs="Times New Roman"/>
          <w:szCs w:val="21"/>
        </w:rPr>
        <w:t>2005</w:t>
      </w:r>
      <w:r>
        <w:rPr>
          <w:rFonts w:hint="eastAsia" w:ascii="宋体" w:hAnsi="宋体" w:eastAsia="宋体" w:cs="Times New Roman"/>
          <w:szCs w:val="21"/>
        </w:rPr>
        <w:t>年</w:t>
      </w:r>
      <w:r>
        <w:rPr>
          <w:rFonts w:ascii="宋体" w:hAnsi="宋体" w:eastAsia="宋体" w:cs="Times New Roman"/>
          <w:szCs w:val="21"/>
        </w:rPr>
        <w:t>7</w:t>
      </w:r>
      <w:r>
        <w:rPr>
          <w:rFonts w:hint="eastAsia" w:ascii="宋体" w:hAnsi="宋体" w:eastAsia="宋体" w:cs="Times New Roman"/>
          <w:szCs w:val="21"/>
        </w:rPr>
        <w:t>月第</w:t>
      </w:r>
      <w:r>
        <w:rPr>
          <w:rFonts w:ascii="宋体" w:hAnsi="宋体" w:eastAsia="宋体" w:cs="Times New Roman"/>
          <w:szCs w:val="21"/>
        </w:rPr>
        <w:t>2</w:t>
      </w:r>
      <w:r>
        <w:rPr>
          <w:rFonts w:hint="eastAsia" w:ascii="宋体" w:hAnsi="宋体" w:eastAsia="宋体" w:cs="Times New Roman"/>
          <w:szCs w:val="21"/>
        </w:rPr>
        <w:t>版</w:t>
      </w:r>
    </w:p>
    <w:p w14:paraId="3C4A8429">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游国恩等主编：《中国文学史》，人民文学出版社，</w:t>
      </w:r>
      <w:r>
        <w:rPr>
          <w:rFonts w:ascii="宋体" w:hAnsi="宋体" w:eastAsia="宋体" w:cs="Times New Roman"/>
          <w:szCs w:val="21"/>
        </w:rPr>
        <w:t>1963</w:t>
      </w:r>
      <w:r>
        <w:rPr>
          <w:rFonts w:hint="eastAsia" w:ascii="宋体" w:hAnsi="宋体" w:eastAsia="宋体" w:cs="Times New Roman"/>
          <w:szCs w:val="21"/>
        </w:rPr>
        <w:t>年版</w:t>
      </w:r>
    </w:p>
    <w:p w14:paraId="11BCE6F9">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社科院文学研究所编：《中国文学史》人民文学出版社，</w:t>
      </w:r>
      <w:r>
        <w:rPr>
          <w:rFonts w:ascii="宋体" w:hAnsi="宋体" w:eastAsia="宋体" w:cs="Times New Roman"/>
          <w:szCs w:val="21"/>
        </w:rPr>
        <w:t>1962</w:t>
      </w:r>
      <w:r>
        <w:rPr>
          <w:rFonts w:hint="eastAsia" w:ascii="宋体" w:hAnsi="宋体" w:eastAsia="宋体" w:cs="Times New Roman"/>
          <w:szCs w:val="21"/>
        </w:rPr>
        <w:t>年版</w:t>
      </w:r>
    </w:p>
    <w:p w14:paraId="16F59C47">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刘大杰：《中国文学发展史》，上海古籍出版社，</w:t>
      </w:r>
      <w:r>
        <w:rPr>
          <w:rFonts w:ascii="宋体" w:hAnsi="宋体" w:eastAsia="宋体" w:cs="Times New Roman"/>
          <w:szCs w:val="21"/>
        </w:rPr>
        <w:t>1982</w:t>
      </w:r>
      <w:r>
        <w:rPr>
          <w:rFonts w:hint="eastAsia" w:ascii="宋体" w:hAnsi="宋体" w:eastAsia="宋体" w:cs="Times New Roman"/>
          <w:szCs w:val="21"/>
        </w:rPr>
        <w:t>年新</w:t>
      </w:r>
      <w:r>
        <w:rPr>
          <w:rFonts w:ascii="宋体" w:hAnsi="宋体" w:eastAsia="宋体" w:cs="Times New Roman"/>
          <w:szCs w:val="21"/>
        </w:rPr>
        <w:t>1</w:t>
      </w:r>
      <w:r>
        <w:rPr>
          <w:rFonts w:hint="eastAsia" w:ascii="宋体" w:hAnsi="宋体" w:eastAsia="宋体" w:cs="Times New Roman"/>
          <w:szCs w:val="21"/>
        </w:rPr>
        <w:t>版</w:t>
      </w:r>
    </w:p>
    <w:p w14:paraId="6778FDA6">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朱东润主编：《中国历代文学作品选》，</w:t>
      </w:r>
      <w:r>
        <w:rPr>
          <w:rFonts w:ascii="宋体" w:hAnsi="宋体" w:eastAsia="宋体" w:cs="Times New Roman"/>
          <w:szCs w:val="21"/>
        </w:rPr>
        <w:t>1979</w:t>
      </w:r>
      <w:r>
        <w:rPr>
          <w:rFonts w:hint="eastAsia" w:ascii="宋体" w:hAnsi="宋体" w:eastAsia="宋体" w:cs="Times New Roman"/>
          <w:szCs w:val="21"/>
        </w:rPr>
        <w:t>年版</w:t>
      </w:r>
    </w:p>
    <w:p w14:paraId="27A7A971">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6.</w:t>
      </w:r>
      <w:r>
        <w:rPr>
          <w:rFonts w:hint="eastAsia" w:ascii="宋体" w:hAnsi="宋体" w:eastAsia="宋体" w:cs="Times New Roman"/>
          <w:szCs w:val="21"/>
        </w:rPr>
        <w:t>郭绍虞：《中国文学批评史》，上海古籍出版社，</w:t>
      </w:r>
      <w:r>
        <w:rPr>
          <w:rFonts w:ascii="宋体" w:hAnsi="宋体" w:eastAsia="宋体" w:cs="Times New Roman"/>
          <w:szCs w:val="21"/>
        </w:rPr>
        <w:t>1979</w:t>
      </w:r>
      <w:r>
        <w:rPr>
          <w:rFonts w:hint="eastAsia" w:ascii="宋体" w:hAnsi="宋体" w:eastAsia="宋体" w:cs="Times New Roman"/>
          <w:szCs w:val="21"/>
        </w:rPr>
        <w:t>年新</w:t>
      </w:r>
      <w:r>
        <w:rPr>
          <w:rFonts w:ascii="宋体" w:hAnsi="宋体" w:eastAsia="宋体" w:cs="Times New Roman"/>
          <w:szCs w:val="21"/>
        </w:rPr>
        <w:t>1</w:t>
      </w:r>
      <w:r>
        <w:rPr>
          <w:rFonts w:hint="eastAsia" w:ascii="宋体" w:hAnsi="宋体" w:eastAsia="宋体" w:cs="Times New Roman"/>
          <w:szCs w:val="21"/>
        </w:rPr>
        <w:t>版</w:t>
      </w:r>
    </w:p>
    <w:p w14:paraId="661C093F">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7.</w:t>
      </w:r>
      <w:r>
        <w:rPr>
          <w:rFonts w:hint="eastAsia" w:ascii="宋体" w:hAnsi="宋体" w:eastAsia="宋体" w:cs="Times New Roman"/>
          <w:szCs w:val="21"/>
        </w:rPr>
        <w:t>陆侃如、冯沅君：《中国诗史》，百花文艺出版社，</w:t>
      </w:r>
      <w:r>
        <w:rPr>
          <w:rFonts w:ascii="宋体" w:hAnsi="宋体" w:eastAsia="宋体" w:cs="Times New Roman"/>
          <w:szCs w:val="21"/>
        </w:rPr>
        <w:t>1999</w:t>
      </w:r>
      <w:r>
        <w:rPr>
          <w:rFonts w:hint="eastAsia" w:ascii="宋体" w:hAnsi="宋体" w:eastAsia="宋体" w:cs="Times New Roman"/>
          <w:szCs w:val="21"/>
        </w:rPr>
        <w:t>年版</w:t>
      </w:r>
    </w:p>
    <w:p w14:paraId="5C9BB4BD">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8.</w:t>
      </w:r>
      <w:r>
        <w:rPr>
          <w:rFonts w:hint="eastAsia" w:ascii="宋体" w:hAnsi="宋体" w:eastAsia="宋体" w:cs="Times New Roman"/>
          <w:szCs w:val="21"/>
        </w:rPr>
        <w:t>郭豫衡：《中国散文史》，上海古籍出版社，</w:t>
      </w:r>
      <w:r>
        <w:rPr>
          <w:rFonts w:ascii="宋体" w:hAnsi="宋体" w:eastAsia="宋体" w:cs="Times New Roman"/>
          <w:szCs w:val="21"/>
        </w:rPr>
        <w:t>1986</w:t>
      </w:r>
      <w:r>
        <w:rPr>
          <w:rFonts w:hint="eastAsia" w:ascii="宋体" w:hAnsi="宋体" w:eastAsia="宋体" w:cs="Times New Roman"/>
          <w:szCs w:val="21"/>
        </w:rPr>
        <w:t>年版</w:t>
      </w:r>
    </w:p>
    <w:p w14:paraId="5C71A45B">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9.</w:t>
      </w:r>
      <w:r>
        <w:rPr>
          <w:rFonts w:hint="eastAsia" w:ascii="宋体" w:hAnsi="宋体" w:eastAsia="宋体" w:cs="Times New Roman"/>
          <w:szCs w:val="21"/>
        </w:rPr>
        <w:t>鲁迅：《中国小说史略》，人民文学出版社，</w:t>
      </w:r>
      <w:r>
        <w:rPr>
          <w:rFonts w:ascii="宋体" w:hAnsi="宋体" w:eastAsia="宋体" w:cs="Times New Roman"/>
          <w:szCs w:val="21"/>
        </w:rPr>
        <w:t>1981</w:t>
      </w:r>
      <w:r>
        <w:rPr>
          <w:rFonts w:hint="eastAsia" w:ascii="宋体" w:hAnsi="宋体" w:eastAsia="宋体" w:cs="Times New Roman"/>
          <w:szCs w:val="21"/>
        </w:rPr>
        <w:t>年版</w:t>
      </w:r>
    </w:p>
    <w:p w14:paraId="0EBB0DE7">
      <w:pPr>
        <w:rPr>
          <w:rFonts w:hint="eastAsia" w:ascii="宋体" w:hAnsi="宋体" w:eastAsia="宋体" w:cs="Times New Roman"/>
          <w:szCs w:val="21"/>
        </w:rPr>
      </w:pPr>
    </w:p>
    <w:p w14:paraId="39111E66">
      <w:pPr>
        <w:jc w:val="center"/>
        <w:rPr>
          <w:rFonts w:hint="eastAsia" w:ascii="宋体" w:hAnsi="宋体" w:eastAsia="宋体" w:cs="Times New Roman"/>
          <w:szCs w:val="21"/>
        </w:rPr>
      </w:pPr>
      <w:r>
        <w:rPr>
          <w:rFonts w:hint="eastAsia" w:ascii="宋体" w:hAnsi="宋体" w:eastAsia="宋体" w:cs="Times New Roman"/>
          <w:szCs w:val="21"/>
        </w:rPr>
        <w:t xml:space="preserve">                                             执笔人：</w:t>
      </w:r>
      <w:r>
        <w:rPr>
          <w:rFonts w:hint="eastAsia" w:ascii="Times New Roman" w:hAnsi="Times New Roman" w:eastAsia="宋体" w:cs="Times New Roman"/>
          <w:sz w:val="24"/>
        </w:rPr>
        <w:t>谭  坤</w:t>
      </w:r>
    </w:p>
    <w:p w14:paraId="60C813D5">
      <w:pPr>
        <w:spacing w:line="360" w:lineRule="auto"/>
        <w:jc w:val="center"/>
        <w:rPr>
          <w:rFonts w:hint="eastAsia" w:ascii="宋体" w:hAnsi="宋体" w:eastAsia="宋体" w:cs="Times New Roman"/>
          <w:szCs w:val="21"/>
        </w:rPr>
      </w:pPr>
      <w:r>
        <w:rPr>
          <w:rFonts w:hint="eastAsia" w:ascii="宋体" w:hAnsi="宋体" w:eastAsia="宋体" w:cs="Times New Roman"/>
          <w:szCs w:val="21"/>
        </w:rPr>
        <w:t xml:space="preserve">                                             审定人：</w:t>
      </w:r>
      <w:r>
        <w:rPr>
          <w:rFonts w:hint="eastAsia" w:ascii="Times New Roman" w:hAnsi="Times New Roman" w:eastAsia="宋体" w:cs="Times New Roman"/>
          <w:sz w:val="24"/>
        </w:rPr>
        <w:t>王  健</w:t>
      </w:r>
    </w:p>
    <w:p w14:paraId="76ADB7FB">
      <w:pPr>
        <w:jc w:val="center"/>
        <w:rPr>
          <w:rFonts w:hint="eastAsia" w:ascii="宋体" w:hAnsi="宋体" w:eastAsia="宋体" w:cs="Times New Roman"/>
          <w:szCs w:val="21"/>
        </w:rPr>
      </w:pPr>
      <w:r>
        <w:rPr>
          <w:rFonts w:hint="eastAsia" w:ascii="宋体" w:hAnsi="宋体" w:eastAsia="宋体" w:cs="Times New Roman"/>
          <w:szCs w:val="21"/>
        </w:rPr>
        <w:t xml:space="preserve">                                             审批人：</w:t>
      </w:r>
      <w:r>
        <w:rPr>
          <w:rFonts w:hint="eastAsia" w:ascii="Times New Roman" w:hAnsi="Times New Roman" w:eastAsia="宋体" w:cs="Times New Roman"/>
          <w:sz w:val="24"/>
        </w:rPr>
        <w:t>张志欣</w:t>
      </w:r>
    </w:p>
    <w:p w14:paraId="0177FDB7">
      <w:pPr>
        <w:spacing w:line="360" w:lineRule="auto"/>
        <w:jc w:val="right"/>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批准时间：2025年7月1日</w:t>
      </w:r>
    </w:p>
    <w:p w14:paraId="734D0DC0">
      <w:pPr>
        <w:rPr>
          <w:rFonts w:ascii="Times New Roman" w:hAnsi="Times New Roman" w:eastAsia="宋体" w:cs="Times New Roman"/>
          <w:smallCaps/>
          <w:kern w:val="44"/>
          <w:sz w:val="24"/>
        </w:rPr>
      </w:pPr>
      <w:r>
        <w:rPr>
          <w:rFonts w:hint="eastAsia" w:ascii="Times New Roman" w:hAnsi="Times New Roman" w:eastAsia="宋体" w:cs="Times New Roman"/>
          <w:smallCaps/>
          <w:kern w:val="44"/>
          <w:sz w:val="24"/>
        </w:rPr>
        <w:br w:type="page"/>
      </w:r>
    </w:p>
    <w:p w14:paraId="6E156866">
      <w:pPr>
        <w:spacing w:line="360" w:lineRule="auto"/>
        <w:jc w:val="center"/>
        <w:outlineLvl w:val="0"/>
        <w:rPr>
          <w:rFonts w:ascii="Times New Roman" w:hAnsi="Times New Roman" w:eastAsia="宋体" w:cs="Times New Roman"/>
          <w:b/>
          <w:sz w:val="44"/>
          <w:szCs w:val="44"/>
        </w:rPr>
      </w:pPr>
      <w:bookmarkStart w:id="1128" w:name="_Toc5939"/>
      <w:bookmarkStart w:id="1129" w:name="_Toc16140"/>
      <w:bookmarkStart w:id="1130" w:name="_Toc3839"/>
      <w:bookmarkStart w:id="1131" w:name="_Toc15523"/>
      <w:r>
        <w:rPr>
          <w:rFonts w:hint="eastAsia" w:ascii="Times New Roman" w:hAnsi="Times New Roman" w:eastAsia="宋体" w:cs="Times New Roman"/>
          <w:b/>
          <w:sz w:val="44"/>
          <w:szCs w:val="44"/>
        </w:rPr>
        <w:t>《中国现当代文学》课程教学大纲</w:t>
      </w:r>
      <w:bookmarkEnd w:id="1128"/>
      <w:bookmarkEnd w:id="1129"/>
      <w:bookmarkEnd w:id="1130"/>
      <w:bookmarkEnd w:id="1131"/>
    </w:p>
    <w:p w14:paraId="4652FAC7">
      <w:pPr>
        <w:spacing w:line="360" w:lineRule="auto"/>
        <w:jc w:val="center"/>
        <w:rPr>
          <w:rFonts w:ascii="Times New Roman" w:hAnsi="Times New Roman" w:eastAsia="宋体" w:cs="Times New Roman"/>
          <w:b/>
          <w:bCs/>
          <w:sz w:val="28"/>
          <w:szCs w:val="28"/>
        </w:rPr>
      </w:pPr>
      <w:bookmarkStart w:id="1132" w:name="_Toc23647"/>
      <w:bookmarkStart w:id="1133" w:name="_Toc3895"/>
      <w:bookmarkStart w:id="1134" w:name="_Toc16066"/>
      <w:bookmarkStart w:id="1135" w:name="_Toc16333"/>
      <w:bookmarkStart w:id="1136" w:name="_Toc15563"/>
      <w:bookmarkStart w:id="1137" w:name="_Toc12455"/>
      <w:bookmarkStart w:id="1138" w:name="_Toc17040"/>
      <w:r>
        <w:rPr>
          <w:rFonts w:hint="eastAsia" w:ascii="Times New Roman" w:hAnsi="Times New Roman" w:eastAsia="宋体" w:cs="Times New Roman"/>
          <w:b/>
          <w:bCs/>
          <w:sz w:val="28"/>
          <w:szCs w:val="28"/>
        </w:rPr>
        <w:t>（History of Modern and Contemporary Chinese Literature）</w:t>
      </w:r>
      <w:bookmarkEnd w:id="1132"/>
      <w:bookmarkEnd w:id="1133"/>
      <w:bookmarkEnd w:id="1134"/>
      <w:bookmarkEnd w:id="1135"/>
      <w:bookmarkEnd w:id="1136"/>
      <w:bookmarkEnd w:id="1137"/>
      <w:bookmarkEnd w:id="1138"/>
    </w:p>
    <w:p w14:paraId="786B8985">
      <w:pPr>
        <w:spacing w:line="360" w:lineRule="auto"/>
        <w:ind w:firstLine="422" w:firstLineChars="200"/>
        <w:jc w:val="left"/>
        <w:rPr>
          <w:rFonts w:hint="eastAsia" w:ascii="宋体" w:hAnsi="宋体" w:eastAsia="宋体" w:cs="宋体"/>
          <w:b/>
          <w:szCs w:val="21"/>
        </w:rPr>
      </w:pPr>
    </w:p>
    <w:p w14:paraId="50879C5D">
      <w:pPr>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课程名称：中国现当代文学</w:t>
      </w:r>
    </w:p>
    <w:p w14:paraId="7D868F19">
      <w:pPr>
        <w:spacing w:line="360" w:lineRule="auto"/>
        <w:ind w:firstLine="482" w:firstLineChars="200"/>
        <w:rPr>
          <w:rFonts w:hint="eastAsia" w:ascii="宋体" w:hAnsi="宋体" w:eastAsia="宋体" w:cs="宋体"/>
          <w:b/>
          <w:sz w:val="24"/>
        </w:rPr>
      </w:pPr>
      <w:r>
        <w:rPr>
          <w:rFonts w:hint="eastAsia" w:ascii="宋体" w:hAnsi="宋体" w:eastAsia="宋体" w:cs="宋体"/>
          <w:b/>
          <w:kern w:val="0"/>
          <w:sz w:val="24"/>
          <w:szCs w:val="22"/>
        </w:rPr>
        <w:t>课程代码：</w:t>
      </w:r>
      <w:r>
        <w:rPr>
          <w:rFonts w:hint="eastAsia" w:ascii="宋体" w:hAnsi="宋体" w:eastAsia="宋体" w:cs="宋体"/>
          <w:b/>
          <w:sz w:val="24"/>
        </w:rPr>
        <w:t>2401074</w:t>
      </w:r>
    </w:p>
    <w:p w14:paraId="2E2CA0D4">
      <w:pPr>
        <w:spacing w:line="360" w:lineRule="auto"/>
        <w:ind w:firstLine="482" w:firstLineChars="200"/>
        <w:rPr>
          <w:rFonts w:hint="eastAsia" w:ascii="宋体" w:hAnsi="宋体" w:eastAsia="宋体" w:cs="宋体"/>
          <w:b/>
          <w:kern w:val="0"/>
          <w:sz w:val="24"/>
          <w:szCs w:val="22"/>
        </w:rPr>
      </w:pPr>
      <w:r>
        <w:rPr>
          <w:rFonts w:hint="eastAsia" w:ascii="宋体" w:hAnsi="宋体" w:eastAsia="宋体" w:cs="宋体"/>
          <w:b/>
          <w:kern w:val="0"/>
          <w:sz w:val="24"/>
          <w:szCs w:val="22"/>
        </w:rPr>
        <w:t>学    分：3</w:t>
      </w:r>
    </w:p>
    <w:p w14:paraId="0122AA7A">
      <w:pPr>
        <w:spacing w:line="360" w:lineRule="auto"/>
        <w:ind w:firstLine="482" w:firstLineChars="200"/>
        <w:rPr>
          <w:rFonts w:hint="eastAsia" w:ascii="宋体" w:hAnsi="宋体" w:eastAsia="宋体" w:cs="宋体"/>
          <w:b/>
          <w:kern w:val="0"/>
          <w:sz w:val="24"/>
          <w:szCs w:val="22"/>
        </w:rPr>
      </w:pPr>
      <w:r>
        <w:rPr>
          <w:rFonts w:hint="eastAsia" w:ascii="宋体" w:hAnsi="宋体" w:eastAsia="宋体" w:cs="宋体"/>
          <w:b/>
          <w:kern w:val="0"/>
          <w:sz w:val="24"/>
          <w:szCs w:val="22"/>
        </w:rPr>
        <w:t>学    时：48</w:t>
      </w:r>
    </w:p>
    <w:p w14:paraId="29F2CC69">
      <w:pPr>
        <w:spacing w:line="360" w:lineRule="auto"/>
        <w:ind w:firstLine="482" w:firstLineChars="200"/>
        <w:rPr>
          <w:rFonts w:hint="eastAsia" w:ascii="宋体" w:hAnsi="宋体" w:eastAsia="宋体" w:cs="宋体"/>
          <w:b/>
          <w:kern w:val="0"/>
          <w:sz w:val="24"/>
          <w:szCs w:val="22"/>
        </w:rPr>
      </w:pPr>
      <w:r>
        <w:rPr>
          <w:rFonts w:hint="eastAsia" w:ascii="宋体" w:hAnsi="宋体" w:eastAsia="宋体" w:cs="宋体"/>
          <w:b/>
          <w:kern w:val="0"/>
          <w:sz w:val="24"/>
          <w:szCs w:val="22"/>
        </w:rPr>
        <w:t>先修课程：古代文学、现代汉语</w:t>
      </w:r>
    </w:p>
    <w:p w14:paraId="62989390">
      <w:pPr>
        <w:spacing w:line="360" w:lineRule="auto"/>
        <w:ind w:firstLine="482" w:firstLineChars="200"/>
        <w:rPr>
          <w:rFonts w:hint="eastAsia" w:ascii="宋体" w:hAnsi="宋体" w:eastAsia="宋体" w:cs="宋体"/>
          <w:b/>
          <w:kern w:val="0"/>
          <w:sz w:val="24"/>
          <w:szCs w:val="22"/>
        </w:rPr>
      </w:pPr>
      <w:r>
        <w:rPr>
          <w:rFonts w:hint="eastAsia" w:ascii="宋体" w:hAnsi="宋体" w:eastAsia="宋体" w:cs="宋体"/>
          <w:b/>
          <w:kern w:val="0"/>
          <w:sz w:val="24"/>
          <w:szCs w:val="22"/>
        </w:rPr>
        <w:t xml:space="preserve">适用专业：小学教育（文）                       </w:t>
      </w:r>
    </w:p>
    <w:p w14:paraId="1261E23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5030A43C">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本课程任务在于秉持立德树人教育理念，使学生了解中国现当代文学的概况，掌握相关的文学史知识，通过阅读文学史中重要的作家作品，培养学生的审美感悟力和鉴赏力，提升学生人文精神和文化素养，增强对中华文化的理解和认同，自觉传承中华文化，厚植爱国主义精神，树立文化自信和践行社会主义核心价值观。本课程同时也注重对学生进行初步的学术训练，培养学生具备基本的学术研究能力。</w:t>
      </w:r>
    </w:p>
    <w:p w14:paraId="7519717A">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6C2353CC">
      <w:pPr>
        <w:spacing w:line="360" w:lineRule="auto"/>
        <w:ind w:firstLine="442" w:firstLineChars="200"/>
        <w:rPr>
          <w:rFonts w:hint="eastAsia" w:ascii="宋体" w:hAnsi="宋体" w:eastAsia="宋体" w:cs="宋体"/>
          <w:b/>
          <w:sz w:val="22"/>
          <w:szCs w:val="22"/>
        </w:rPr>
      </w:pPr>
      <w:r>
        <w:rPr>
          <w:rFonts w:hint="eastAsia" w:ascii="宋体" w:hAnsi="宋体" w:eastAsia="宋体" w:cs="宋体"/>
          <w:b/>
          <w:sz w:val="22"/>
          <w:szCs w:val="22"/>
        </w:rPr>
        <w:t>（一）课程具体目标</w:t>
      </w:r>
    </w:p>
    <w:p w14:paraId="2252AA54">
      <w:pPr>
        <w:widowControl/>
        <w:spacing w:line="360" w:lineRule="auto"/>
        <w:ind w:firstLine="422" w:firstLineChars="200"/>
        <w:jc w:val="left"/>
        <w:rPr>
          <w:rFonts w:hint="eastAsia" w:ascii="宋体" w:hAnsi="宋体" w:eastAsia="宋体" w:cs="宋体"/>
          <w:szCs w:val="21"/>
        </w:rPr>
      </w:pPr>
      <w:r>
        <w:rPr>
          <w:rFonts w:hint="eastAsia" w:ascii="宋体" w:hAnsi="宋体" w:eastAsia="宋体" w:cs="宋体"/>
          <w:b/>
          <w:kern w:val="0"/>
          <w:szCs w:val="21"/>
        </w:rPr>
        <w:t xml:space="preserve">目标1. </w:t>
      </w:r>
      <w:r>
        <w:rPr>
          <w:rFonts w:hint="eastAsia" w:ascii="宋体" w:hAnsi="宋体" w:eastAsia="宋体" w:cs="宋体"/>
          <w:szCs w:val="21"/>
        </w:rPr>
        <w:t>阐释中国当代文学发展的历史脉络，形成对五四以来现当代文学史中重要的文学现象、文学潮流及作家作品的认知框架；学会分析具体的文学现象与文本。</w:t>
      </w:r>
    </w:p>
    <w:p w14:paraId="585D1DAC">
      <w:pPr>
        <w:widowControl/>
        <w:spacing w:line="360" w:lineRule="auto"/>
        <w:ind w:firstLine="422" w:firstLineChars="200"/>
        <w:jc w:val="left"/>
        <w:rPr>
          <w:rFonts w:hint="eastAsia" w:ascii="宋体" w:hAnsi="宋体" w:eastAsia="宋体" w:cs="宋体"/>
          <w:szCs w:val="21"/>
        </w:rPr>
      </w:pPr>
      <w:r>
        <w:rPr>
          <w:rFonts w:hint="eastAsia" w:ascii="宋体" w:hAnsi="宋体" w:eastAsia="宋体" w:cs="宋体"/>
          <w:b/>
          <w:kern w:val="0"/>
          <w:szCs w:val="21"/>
        </w:rPr>
        <w:t xml:space="preserve">目标2. </w:t>
      </w:r>
      <w:r>
        <w:rPr>
          <w:rFonts w:hint="eastAsia" w:ascii="宋体" w:hAnsi="宋体" w:eastAsia="宋体" w:cs="宋体"/>
          <w:szCs w:val="21"/>
        </w:rPr>
        <w:t>尝试应用相关原理、理论，学会对文学作品进行解读、评析，说明文学鉴赏的意见，能够树立基本的文学史眼光，建立较为全面的历史视野，拓展对中国现当代历史文化的理解深度。</w:t>
      </w:r>
    </w:p>
    <w:p w14:paraId="0748426E">
      <w:pPr>
        <w:widowControl/>
        <w:spacing w:line="360" w:lineRule="auto"/>
        <w:ind w:firstLine="422" w:firstLineChars="200"/>
        <w:jc w:val="left"/>
        <w:rPr>
          <w:rFonts w:hint="eastAsia" w:ascii="宋体" w:hAnsi="宋体" w:eastAsia="宋体" w:cs="宋体"/>
          <w:szCs w:val="21"/>
        </w:rPr>
      </w:pPr>
      <w:r>
        <w:rPr>
          <w:rFonts w:hint="eastAsia" w:ascii="宋体" w:hAnsi="宋体" w:eastAsia="宋体" w:cs="宋体"/>
          <w:b/>
          <w:kern w:val="0"/>
          <w:szCs w:val="21"/>
        </w:rPr>
        <w:t xml:space="preserve">目标3. </w:t>
      </w:r>
      <w:r>
        <w:rPr>
          <w:rFonts w:hint="eastAsia" w:ascii="宋体" w:hAnsi="宋体" w:eastAsia="宋体" w:cs="宋体"/>
          <w:szCs w:val="21"/>
        </w:rPr>
        <w:t>理解中国社会主义革命发展的历史脉络和情怀，为人民谋幸福，为民族谋复兴，为世界谋大同。由此深刻领会习近平新时代中国特色社会主义思想的时代意义。培养学生对中华文化的热爱和自信，提升学生的文学素养，使学生能够自觉弘扬中华文化，厚植爱国主义情怀，树立和践行社会主义核心价值观。</w:t>
      </w:r>
    </w:p>
    <w:p w14:paraId="7A291B7F">
      <w:pPr>
        <w:widowControl/>
        <w:spacing w:line="360" w:lineRule="auto"/>
        <w:ind w:firstLine="422" w:firstLineChars="200"/>
        <w:jc w:val="left"/>
        <w:rPr>
          <w:rFonts w:hint="eastAsia" w:ascii="宋体" w:hAnsi="宋体" w:eastAsia="宋体" w:cs="宋体"/>
          <w:szCs w:val="21"/>
        </w:rPr>
      </w:pPr>
      <w:r>
        <w:rPr>
          <w:rFonts w:hint="eastAsia" w:ascii="宋体" w:hAnsi="宋体" w:eastAsia="宋体" w:cs="宋体"/>
          <w:b/>
          <w:bCs/>
          <w:szCs w:val="21"/>
        </w:rPr>
        <w:t xml:space="preserve">目标4. </w:t>
      </w:r>
      <w:r>
        <w:rPr>
          <w:rFonts w:hint="eastAsia" w:ascii="宋体" w:hAnsi="宋体" w:eastAsia="宋体" w:cs="宋体"/>
          <w:szCs w:val="21"/>
        </w:rPr>
        <w:t>注重吸取新的研究成果与新的理论方法，将文学史基础知识与学术前沿相结合，对学生进行初步的学术训练，培养学生的研究能力。</w:t>
      </w:r>
    </w:p>
    <w:p w14:paraId="1610D76B">
      <w:pPr>
        <w:widowControl/>
        <w:spacing w:line="360" w:lineRule="auto"/>
        <w:ind w:firstLine="422" w:firstLineChars="200"/>
        <w:jc w:val="left"/>
        <w:rPr>
          <w:rFonts w:hint="eastAsia" w:ascii="宋体" w:hAnsi="宋体" w:eastAsia="宋体" w:cs="宋体"/>
          <w:szCs w:val="21"/>
        </w:rPr>
      </w:pPr>
      <w:r>
        <w:rPr>
          <w:rFonts w:hint="eastAsia" w:ascii="宋体" w:hAnsi="宋体" w:eastAsia="宋体" w:cs="宋体"/>
          <w:b/>
          <w:bCs/>
          <w:szCs w:val="21"/>
        </w:rPr>
        <w:t xml:space="preserve">目标5. </w:t>
      </w:r>
      <w:r>
        <w:rPr>
          <w:rFonts w:hint="eastAsia" w:ascii="宋体" w:hAnsi="宋体" w:eastAsia="宋体" w:cs="宋体"/>
          <w:szCs w:val="21"/>
        </w:rPr>
        <w:t>通过学习，对学生进行健康人格及审美观的培育，提高文化修养。</w:t>
      </w:r>
    </w:p>
    <w:p w14:paraId="1F24D626">
      <w:pPr>
        <w:spacing w:line="360" w:lineRule="auto"/>
        <w:ind w:firstLine="422" w:firstLineChars="200"/>
        <w:jc w:val="left"/>
        <w:rPr>
          <w:rFonts w:hint="eastAsia" w:ascii="宋体" w:hAnsi="宋体" w:eastAsia="宋体" w:cs="宋体"/>
          <w:b/>
          <w:bCs/>
          <w:szCs w:val="21"/>
        </w:rPr>
      </w:pPr>
      <w:r>
        <w:rPr>
          <w:rFonts w:hint="eastAsia" w:ascii="宋体" w:hAnsi="宋体" w:eastAsia="宋体" w:cs="宋体"/>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659F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3384512">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w:t>
            </w:r>
          </w:p>
        </w:tc>
        <w:tc>
          <w:tcPr>
            <w:tcW w:w="5688" w:type="dxa"/>
            <w:vAlign w:val="center"/>
          </w:tcPr>
          <w:p w14:paraId="00BEB882">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191" w:type="dxa"/>
            <w:vAlign w:val="center"/>
          </w:tcPr>
          <w:p w14:paraId="2FB8F518">
            <w:pPr>
              <w:spacing w:line="360" w:lineRule="auto"/>
              <w:jc w:val="center"/>
              <w:rPr>
                <w:rFonts w:hint="eastAsia" w:ascii="宋体" w:hAnsi="宋体" w:eastAsia="宋体" w:cs="宋体"/>
                <w:b/>
                <w:bCs/>
                <w:szCs w:val="21"/>
              </w:rPr>
            </w:pPr>
            <w:r>
              <w:rPr>
                <w:rFonts w:hint="eastAsia" w:ascii="宋体" w:hAnsi="宋体" w:eastAsia="宋体" w:cs="宋体"/>
                <w:b/>
                <w:bCs/>
                <w:szCs w:val="21"/>
              </w:rPr>
              <w:t>课程目标</w:t>
            </w:r>
          </w:p>
        </w:tc>
      </w:tr>
      <w:tr w14:paraId="5199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1B68B66">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毕业要求1学术规范</w:t>
            </w:r>
          </w:p>
        </w:tc>
        <w:tc>
          <w:tcPr>
            <w:tcW w:w="5688" w:type="dxa"/>
            <w:vAlign w:val="center"/>
          </w:tcPr>
          <w:p w14:paraId="430E9994">
            <w:pPr>
              <w:widowControl/>
              <w:spacing w:line="360" w:lineRule="exact"/>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指标点1-4：【学术论文规范】注重吸取新的研究成果与新的理论方法，将文学史基础知识与学术前沿相结合，对学生进行初步的学术训练，培养学生的研究能力。</w:t>
            </w:r>
          </w:p>
          <w:p w14:paraId="22268E38">
            <w:pPr>
              <w:spacing w:line="276" w:lineRule="auto"/>
              <w:jc w:val="left"/>
              <w:rPr>
                <w:rFonts w:hint="eastAsia" w:asciiTheme="minorEastAsia" w:hAnsiTheme="minorEastAsia" w:cstheme="minorEastAsia"/>
                <w:sz w:val="20"/>
                <w:szCs w:val="20"/>
              </w:rPr>
            </w:pPr>
          </w:p>
        </w:tc>
        <w:tc>
          <w:tcPr>
            <w:tcW w:w="1191" w:type="dxa"/>
            <w:vAlign w:val="center"/>
          </w:tcPr>
          <w:p w14:paraId="3C2AD0D0">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课程目标4</w:t>
            </w:r>
          </w:p>
        </w:tc>
      </w:tr>
      <w:tr w14:paraId="71CD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9CC3BB3">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毕业要求2文化修养</w:t>
            </w:r>
          </w:p>
        </w:tc>
        <w:tc>
          <w:tcPr>
            <w:tcW w:w="5688" w:type="dxa"/>
            <w:vAlign w:val="center"/>
          </w:tcPr>
          <w:p w14:paraId="7B1AFF64">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kern w:val="0"/>
                <w:sz w:val="20"/>
                <w:szCs w:val="20"/>
              </w:rPr>
              <w:t>指标点2-3</w:t>
            </w:r>
            <w:r>
              <w:rPr>
                <w:rFonts w:hint="eastAsia" w:asciiTheme="minorEastAsia" w:hAnsiTheme="minorEastAsia" w:cstheme="minorEastAsia"/>
                <w:sz w:val="20"/>
                <w:szCs w:val="20"/>
              </w:rPr>
              <w:t>：【自身修养良好】具有较好的人文艺术底蕴与科学精神，言行举止符合教师职业标准，情感积极，人格健全，身心健康。</w:t>
            </w:r>
          </w:p>
        </w:tc>
        <w:tc>
          <w:tcPr>
            <w:tcW w:w="1191" w:type="dxa"/>
            <w:vAlign w:val="center"/>
          </w:tcPr>
          <w:p w14:paraId="55C49677">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课程目标3</w:t>
            </w:r>
          </w:p>
        </w:tc>
      </w:tr>
      <w:tr w14:paraId="5174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632E9A0">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毕业要求3学科素养</w:t>
            </w:r>
          </w:p>
        </w:tc>
        <w:tc>
          <w:tcPr>
            <w:tcW w:w="5688" w:type="dxa"/>
            <w:vAlign w:val="center"/>
          </w:tcPr>
          <w:p w14:paraId="4A3984A7">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spacing w:val="2"/>
                <w:kern w:val="0"/>
                <w:sz w:val="20"/>
                <w:szCs w:val="20"/>
              </w:rPr>
              <w:t>指标点3-2</w:t>
            </w:r>
            <w:r>
              <w:rPr>
                <w:rFonts w:hint="eastAsia" w:asciiTheme="minorEastAsia" w:hAnsiTheme="minorEastAsia" w:cstheme="minorEastAsia"/>
                <w:spacing w:val="2"/>
                <w:kern w:val="0"/>
                <w:sz w:val="20"/>
                <w:szCs w:val="20"/>
              </w:rPr>
              <w:t>：【中国现当代文学知识牢固】熟悉所教学科课程的文学作品、作家基本内容。在文学教学实践中，具有一定的文学作品分析能力。</w:t>
            </w:r>
          </w:p>
        </w:tc>
        <w:tc>
          <w:tcPr>
            <w:tcW w:w="1191" w:type="dxa"/>
            <w:vAlign w:val="center"/>
          </w:tcPr>
          <w:p w14:paraId="1BA2D93B">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课程目标2</w:t>
            </w:r>
          </w:p>
        </w:tc>
      </w:tr>
      <w:tr w14:paraId="4AB3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9E3700D">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毕业要求4教学能力</w:t>
            </w:r>
          </w:p>
        </w:tc>
        <w:tc>
          <w:tcPr>
            <w:tcW w:w="5688" w:type="dxa"/>
            <w:vAlign w:val="center"/>
          </w:tcPr>
          <w:p w14:paraId="254EAEEA">
            <w:pPr>
              <w:spacing w:line="276" w:lineRule="auto"/>
              <w:jc w:val="left"/>
              <w:rPr>
                <w:rFonts w:hint="eastAsia" w:asciiTheme="minorEastAsia" w:hAnsiTheme="minorEastAsia" w:cstheme="minorEastAsia"/>
                <w:spacing w:val="2"/>
                <w:kern w:val="0"/>
                <w:sz w:val="20"/>
                <w:szCs w:val="20"/>
              </w:rPr>
            </w:pPr>
            <w:r>
              <w:rPr>
                <w:rFonts w:hint="eastAsia" w:asciiTheme="minorEastAsia" w:hAnsiTheme="minorEastAsia" w:cstheme="minorEastAsia"/>
                <w:b/>
                <w:kern w:val="0"/>
                <w:sz w:val="20"/>
                <w:szCs w:val="20"/>
              </w:rPr>
              <w:t>指标点4-1</w:t>
            </w:r>
            <w:r>
              <w:rPr>
                <w:rFonts w:hint="eastAsia" w:asciiTheme="minorEastAsia" w:hAnsiTheme="minorEastAsia" w:cstheme="minorEastAsia"/>
                <w:kern w:val="0"/>
                <w:sz w:val="20"/>
                <w:szCs w:val="20"/>
              </w:rPr>
              <w:t>：</w:t>
            </w:r>
            <w:r>
              <w:rPr>
                <w:rFonts w:hint="eastAsia" w:asciiTheme="minorEastAsia" w:hAnsiTheme="minorEastAsia" w:cstheme="minorEastAsia"/>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56991B27">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课程目标1</w:t>
            </w:r>
          </w:p>
        </w:tc>
      </w:tr>
    </w:tbl>
    <w:p w14:paraId="634F1C8F">
      <w:pPr>
        <w:spacing w:before="156" w:beforeLines="50"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（三）课程思政目标</w:t>
      </w:r>
    </w:p>
    <w:p w14:paraId="6D07986D">
      <w:pPr>
        <w:widowControl/>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在扎实掌握学科知识体系、思想与方法的基础上，践行社会主义核心价值观，认同中国特色社会主义，深刻领会习近平新时代中国特色社会主义思想的时代意义。培养学生对中华文化的热爱和自信，提升学生的文学素养，能够自觉弘扬中华文化，厚植爱国主义情怀，树立和践行社会主义核心价值观。</w:t>
      </w:r>
    </w:p>
    <w:p w14:paraId="576F7ED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2245"/>
        <w:gridCol w:w="1163"/>
        <w:gridCol w:w="2540"/>
        <w:gridCol w:w="1506"/>
        <w:gridCol w:w="438"/>
      </w:tblGrid>
      <w:tr w14:paraId="73D5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Align w:val="center"/>
          </w:tcPr>
          <w:p w14:paraId="6B60DD15">
            <w:pPr>
              <w:jc w:val="center"/>
              <w:rPr>
                <w:rFonts w:hint="eastAsia" w:ascii="宋体" w:hAnsi="宋体" w:eastAsia="宋体" w:cs="宋体"/>
                <w:b/>
                <w:szCs w:val="21"/>
              </w:rPr>
            </w:pPr>
            <w:r>
              <w:rPr>
                <w:rFonts w:hint="eastAsia" w:ascii="宋体" w:hAnsi="宋体" w:eastAsia="宋体" w:cs="宋体"/>
                <w:b/>
                <w:szCs w:val="21"/>
              </w:rPr>
              <w:t>知识</w:t>
            </w:r>
          </w:p>
          <w:p w14:paraId="7E0E6191">
            <w:pPr>
              <w:jc w:val="center"/>
              <w:rPr>
                <w:rFonts w:hint="eastAsia" w:ascii="宋体" w:hAnsi="宋体" w:eastAsia="宋体" w:cs="宋体"/>
                <w:b/>
                <w:szCs w:val="21"/>
              </w:rPr>
            </w:pPr>
            <w:r>
              <w:rPr>
                <w:rFonts w:hint="eastAsia" w:ascii="宋体" w:hAnsi="宋体" w:eastAsia="宋体" w:cs="宋体"/>
                <w:b/>
                <w:szCs w:val="21"/>
              </w:rPr>
              <w:t>单元</w:t>
            </w:r>
          </w:p>
        </w:tc>
        <w:tc>
          <w:tcPr>
            <w:tcW w:w="2245" w:type="dxa"/>
            <w:vAlign w:val="center"/>
          </w:tcPr>
          <w:p w14:paraId="08C1EA18">
            <w:pPr>
              <w:jc w:val="center"/>
              <w:rPr>
                <w:rFonts w:hint="eastAsia" w:ascii="宋体" w:hAnsi="宋体" w:eastAsia="宋体" w:cs="宋体"/>
                <w:b/>
                <w:szCs w:val="21"/>
              </w:rPr>
            </w:pPr>
            <w:r>
              <w:rPr>
                <w:rFonts w:hint="eastAsia" w:ascii="宋体" w:hAnsi="宋体" w:eastAsia="宋体" w:cs="宋体"/>
                <w:b/>
                <w:szCs w:val="21"/>
              </w:rPr>
              <w:t>知识点</w:t>
            </w:r>
          </w:p>
        </w:tc>
        <w:tc>
          <w:tcPr>
            <w:tcW w:w="1163" w:type="dxa"/>
            <w:vAlign w:val="center"/>
          </w:tcPr>
          <w:p w14:paraId="123E5C49">
            <w:pPr>
              <w:jc w:val="center"/>
              <w:rPr>
                <w:rFonts w:hint="eastAsia" w:ascii="宋体" w:hAnsi="宋体" w:eastAsia="宋体" w:cs="宋体"/>
                <w:b/>
                <w:szCs w:val="21"/>
              </w:rPr>
            </w:pPr>
            <w:r>
              <w:rPr>
                <w:rFonts w:hint="eastAsia" w:ascii="宋体" w:hAnsi="宋体" w:eastAsia="宋体" w:cs="宋体"/>
                <w:b/>
                <w:szCs w:val="21"/>
              </w:rPr>
              <w:t>对应</w:t>
            </w:r>
          </w:p>
          <w:p w14:paraId="7D670D85">
            <w:pPr>
              <w:jc w:val="center"/>
              <w:rPr>
                <w:rFonts w:hint="eastAsia" w:ascii="宋体" w:hAnsi="宋体" w:eastAsia="宋体" w:cs="宋体"/>
                <w:b/>
                <w:szCs w:val="21"/>
              </w:rPr>
            </w:pPr>
            <w:r>
              <w:rPr>
                <w:rFonts w:hint="eastAsia" w:ascii="宋体" w:hAnsi="宋体" w:eastAsia="宋体" w:cs="宋体"/>
                <w:b/>
                <w:szCs w:val="21"/>
              </w:rPr>
              <w:t>课程目标</w:t>
            </w:r>
          </w:p>
        </w:tc>
        <w:tc>
          <w:tcPr>
            <w:tcW w:w="2540" w:type="dxa"/>
            <w:vAlign w:val="center"/>
          </w:tcPr>
          <w:p w14:paraId="757E9F93">
            <w:pPr>
              <w:jc w:val="center"/>
              <w:rPr>
                <w:rFonts w:hint="eastAsia" w:ascii="宋体" w:hAnsi="宋体" w:eastAsia="宋体" w:cs="宋体"/>
                <w:b/>
                <w:szCs w:val="21"/>
              </w:rPr>
            </w:pPr>
            <w:r>
              <w:rPr>
                <w:rFonts w:hint="eastAsia" w:ascii="宋体" w:hAnsi="宋体" w:eastAsia="宋体" w:cs="宋体"/>
                <w:b/>
                <w:szCs w:val="21"/>
              </w:rPr>
              <w:t>预期学习成效</w:t>
            </w:r>
          </w:p>
        </w:tc>
        <w:tc>
          <w:tcPr>
            <w:tcW w:w="1506" w:type="dxa"/>
            <w:vAlign w:val="center"/>
          </w:tcPr>
          <w:p w14:paraId="15BCB8C6">
            <w:pPr>
              <w:jc w:val="center"/>
              <w:rPr>
                <w:rFonts w:hint="eastAsia" w:ascii="宋体" w:hAnsi="宋体" w:eastAsia="宋体" w:cs="宋体"/>
                <w:b/>
                <w:szCs w:val="21"/>
              </w:rPr>
            </w:pPr>
            <w:r>
              <w:rPr>
                <w:rFonts w:hint="eastAsia" w:ascii="宋体" w:hAnsi="宋体" w:eastAsia="宋体" w:cs="宋体"/>
                <w:b/>
                <w:szCs w:val="21"/>
              </w:rPr>
              <w:t>实现环节</w:t>
            </w:r>
          </w:p>
        </w:tc>
        <w:tc>
          <w:tcPr>
            <w:tcW w:w="438" w:type="dxa"/>
            <w:vAlign w:val="center"/>
          </w:tcPr>
          <w:p w14:paraId="04094CD7">
            <w:pPr>
              <w:jc w:val="center"/>
              <w:rPr>
                <w:rFonts w:hint="eastAsia" w:ascii="宋体" w:hAnsi="宋体" w:eastAsia="宋体" w:cs="宋体"/>
                <w:b/>
                <w:szCs w:val="21"/>
              </w:rPr>
            </w:pPr>
            <w:r>
              <w:rPr>
                <w:rFonts w:hint="eastAsia" w:ascii="宋体" w:hAnsi="宋体" w:eastAsia="宋体" w:cs="宋体"/>
                <w:b/>
                <w:szCs w:val="21"/>
              </w:rPr>
              <w:t>学时</w:t>
            </w:r>
          </w:p>
        </w:tc>
      </w:tr>
      <w:tr w14:paraId="1ECE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603B2242">
            <w:pPr>
              <w:ind w:firstLine="411" w:firstLineChars="196"/>
              <w:rPr>
                <w:rFonts w:hint="eastAsia" w:ascii="宋体" w:hAnsi="宋体" w:eastAsia="宋体" w:cs="宋体"/>
                <w:bCs/>
                <w:szCs w:val="21"/>
              </w:rPr>
            </w:pPr>
            <w:r>
              <w:rPr>
                <w:rFonts w:hint="eastAsia" w:ascii="宋体" w:hAnsi="宋体" w:eastAsia="宋体" w:cs="宋体"/>
                <w:szCs w:val="21"/>
              </w:rPr>
              <w:t>1.</w:t>
            </w:r>
            <w:r>
              <w:rPr>
                <w:rFonts w:hint="eastAsia" w:ascii="宋体" w:hAnsi="宋体" w:eastAsia="宋体" w:cs="宋体"/>
                <w:bCs/>
                <w:szCs w:val="21"/>
              </w:rPr>
              <w:t>文学革命</w:t>
            </w:r>
          </w:p>
          <w:p w14:paraId="579E2AB2">
            <w:pPr>
              <w:jc w:val="center"/>
              <w:rPr>
                <w:rFonts w:hint="eastAsia" w:ascii="宋体" w:hAnsi="宋体" w:eastAsia="宋体" w:cs="宋体"/>
                <w:szCs w:val="21"/>
              </w:rPr>
            </w:pPr>
          </w:p>
        </w:tc>
        <w:tc>
          <w:tcPr>
            <w:tcW w:w="2245" w:type="dxa"/>
            <w:vAlign w:val="center"/>
          </w:tcPr>
          <w:p w14:paraId="69D8DE01">
            <w:pPr>
              <w:jc w:val="left"/>
              <w:rPr>
                <w:rFonts w:hint="eastAsia" w:ascii="宋体" w:hAnsi="宋体" w:eastAsia="宋体" w:cs="宋体"/>
                <w:szCs w:val="21"/>
              </w:rPr>
            </w:pPr>
            <w:r>
              <w:rPr>
                <w:rFonts w:hint="eastAsia" w:ascii="宋体" w:hAnsi="宋体" w:eastAsia="宋体" w:cs="宋体"/>
                <w:szCs w:val="21"/>
              </w:rPr>
              <w:t>（1）文学革命的发生、性质与意义</w:t>
            </w:r>
          </w:p>
          <w:p w14:paraId="3FC9C96B">
            <w:pPr>
              <w:jc w:val="left"/>
              <w:rPr>
                <w:rFonts w:hint="eastAsia" w:ascii="宋体" w:hAnsi="宋体" w:eastAsia="宋体" w:cs="宋体"/>
                <w:szCs w:val="21"/>
              </w:rPr>
            </w:pPr>
            <w:r>
              <w:rPr>
                <w:rFonts w:hint="eastAsia" w:ascii="宋体" w:hAnsi="宋体" w:eastAsia="宋体" w:cs="宋体"/>
                <w:szCs w:val="21"/>
              </w:rPr>
              <w:t>（2）外国文艺思潮的涌入和主要的新文学社团</w:t>
            </w:r>
          </w:p>
          <w:p w14:paraId="3B40EDC8">
            <w:pPr>
              <w:jc w:val="left"/>
              <w:rPr>
                <w:rFonts w:hint="eastAsia" w:ascii="宋体" w:hAnsi="宋体" w:eastAsia="宋体" w:cs="宋体"/>
                <w:szCs w:val="21"/>
              </w:rPr>
            </w:pPr>
            <w:r>
              <w:rPr>
                <w:rFonts w:hint="eastAsia" w:ascii="宋体" w:hAnsi="宋体" w:eastAsia="宋体" w:cs="宋体"/>
                <w:szCs w:val="21"/>
              </w:rPr>
              <w:t>（3）胡适、周作人与新文学初期理论建设</w:t>
            </w:r>
          </w:p>
        </w:tc>
        <w:tc>
          <w:tcPr>
            <w:tcW w:w="1163" w:type="dxa"/>
            <w:vAlign w:val="center"/>
          </w:tcPr>
          <w:p w14:paraId="44EED850">
            <w:pPr>
              <w:jc w:val="center"/>
              <w:rPr>
                <w:rFonts w:hint="eastAsia" w:ascii="宋体" w:hAnsi="宋体" w:eastAsia="宋体" w:cs="宋体"/>
                <w:szCs w:val="21"/>
              </w:rPr>
            </w:pPr>
            <w:r>
              <w:rPr>
                <w:rFonts w:hint="eastAsia" w:ascii="宋体" w:hAnsi="宋体" w:eastAsia="宋体" w:cs="宋体"/>
                <w:szCs w:val="21"/>
              </w:rPr>
              <w:t>课程目标1</w:t>
            </w:r>
          </w:p>
        </w:tc>
        <w:tc>
          <w:tcPr>
            <w:tcW w:w="2540" w:type="dxa"/>
            <w:vAlign w:val="center"/>
          </w:tcPr>
          <w:p w14:paraId="19ED59EB">
            <w:pPr>
              <w:jc w:val="left"/>
              <w:rPr>
                <w:rFonts w:hint="eastAsia" w:ascii="宋体" w:hAnsi="宋体" w:eastAsia="宋体" w:cs="宋体"/>
                <w:szCs w:val="21"/>
              </w:rPr>
            </w:pPr>
            <w:r>
              <w:rPr>
                <w:rFonts w:hint="eastAsia" w:ascii="宋体" w:hAnsi="宋体" w:eastAsia="宋体" w:cs="宋体"/>
                <w:szCs w:val="21"/>
              </w:rPr>
              <w:t>1.理解文学革命的概念；</w:t>
            </w:r>
          </w:p>
          <w:p w14:paraId="419F5294">
            <w:pPr>
              <w:jc w:val="left"/>
              <w:rPr>
                <w:rFonts w:hint="eastAsia" w:ascii="宋体" w:hAnsi="宋体" w:eastAsia="宋体" w:cs="宋体"/>
                <w:szCs w:val="21"/>
              </w:rPr>
            </w:pPr>
            <w:r>
              <w:rPr>
                <w:rFonts w:hint="eastAsia" w:ascii="宋体" w:hAnsi="宋体" w:eastAsia="宋体" w:cs="宋体"/>
                <w:szCs w:val="21"/>
              </w:rPr>
              <w:t>2.了解文学革命的学科性质、发展历史；</w:t>
            </w:r>
          </w:p>
          <w:p w14:paraId="182FD92D">
            <w:pPr>
              <w:jc w:val="left"/>
              <w:rPr>
                <w:rFonts w:hint="eastAsia" w:ascii="宋体" w:hAnsi="宋体" w:eastAsia="宋体" w:cs="宋体"/>
                <w:szCs w:val="21"/>
              </w:rPr>
            </w:pPr>
            <w:r>
              <w:rPr>
                <w:rFonts w:hint="eastAsia" w:ascii="宋体" w:hAnsi="宋体" w:eastAsia="宋体" w:cs="宋体"/>
                <w:szCs w:val="21"/>
              </w:rPr>
              <w:t>3.掌握文学革命的实绩和社团的基本情况</w:t>
            </w:r>
          </w:p>
        </w:tc>
        <w:tc>
          <w:tcPr>
            <w:tcW w:w="1506" w:type="dxa"/>
            <w:vAlign w:val="center"/>
          </w:tcPr>
          <w:p w14:paraId="7EAB4BEA">
            <w:pPr>
              <w:jc w:val="left"/>
              <w:rPr>
                <w:rFonts w:hint="eastAsia" w:ascii="宋体" w:hAnsi="宋体" w:eastAsia="宋体" w:cs="宋体"/>
                <w:szCs w:val="21"/>
              </w:rPr>
            </w:pPr>
            <w:r>
              <w:rPr>
                <w:rFonts w:hint="eastAsia" w:ascii="宋体" w:hAnsi="宋体" w:eastAsia="宋体" w:cs="宋体"/>
                <w:szCs w:val="21"/>
              </w:rPr>
              <w:t>1.线上学习</w:t>
            </w:r>
          </w:p>
          <w:p w14:paraId="0C8C5589">
            <w:pPr>
              <w:jc w:val="left"/>
              <w:rPr>
                <w:rFonts w:hint="eastAsia" w:ascii="宋体" w:hAnsi="宋体" w:eastAsia="宋体" w:cs="宋体"/>
                <w:szCs w:val="21"/>
              </w:rPr>
            </w:pPr>
            <w:r>
              <w:rPr>
                <w:rFonts w:hint="eastAsia" w:ascii="宋体" w:hAnsi="宋体" w:eastAsia="宋体" w:cs="宋体"/>
                <w:szCs w:val="21"/>
              </w:rPr>
              <w:t>2.多媒体教学3.课堂讨论</w:t>
            </w:r>
          </w:p>
          <w:p w14:paraId="7EBA1041">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430E8340">
            <w:pPr>
              <w:jc w:val="center"/>
              <w:rPr>
                <w:rFonts w:hint="eastAsia" w:ascii="宋体" w:hAnsi="宋体" w:eastAsia="宋体" w:cs="宋体"/>
                <w:szCs w:val="21"/>
              </w:rPr>
            </w:pPr>
            <w:r>
              <w:rPr>
                <w:rFonts w:hint="eastAsia" w:ascii="宋体" w:hAnsi="宋体" w:eastAsia="宋体" w:cs="宋体"/>
                <w:szCs w:val="21"/>
              </w:rPr>
              <w:t>4</w:t>
            </w:r>
          </w:p>
        </w:tc>
      </w:tr>
      <w:tr w14:paraId="54E7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6221A021">
            <w:pPr>
              <w:jc w:val="center"/>
              <w:rPr>
                <w:rFonts w:hint="eastAsia" w:ascii="宋体" w:hAnsi="宋体" w:eastAsia="宋体" w:cs="宋体"/>
                <w:szCs w:val="21"/>
              </w:rPr>
            </w:pPr>
          </w:p>
        </w:tc>
        <w:tc>
          <w:tcPr>
            <w:tcW w:w="7892" w:type="dxa"/>
            <w:gridSpan w:val="5"/>
            <w:vAlign w:val="center"/>
          </w:tcPr>
          <w:p w14:paraId="3F08EFE0">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通过对新文学发生历程的回顾和新文学社团的介绍,使学生进一步认识艺术源于生活的艺术观念，树立马克思主义文艺观。</w:t>
            </w:r>
          </w:p>
        </w:tc>
      </w:tr>
      <w:tr w14:paraId="627C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43F7906C">
            <w:pPr>
              <w:rPr>
                <w:rFonts w:hint="eastAsia" w:ascii="宋体" w:hAnsi="宋体" w:eastAsia="宋体" w:cs="宋体"/>
                <w:bCs/>
                <w:szCs w:val="21"/>
              </w:rPr>
            </w:pPr>
            <w:r>
              <w:rPr>
                <w:rFonts w:hint="eastAsia" w:ascii="宋体" w:hAnsi="宋体" w:eastAsia="宋体" w:cs="宋体"/>
                <w:szCs w:val="21"/>
              </w:rPr>
              <w:t>2.</w:t>
            </w:r>
            <w:r>
              <w:rPr>
                <w:rFonts w:hint="eastAsia" w:ascii="宋体" w:hAnsi="宋体" w:eastAsia="宋体" w:cs="宋体"/>
                <w:bCs/>
                <w:szCs w:val="21"/>
              </w:rPr>
              <w:t>鲁迅</w:t>
            </w:r>
          </w:p>
          <w:p w14:paraId="0B6C61B2">
            <w:pPr>
              <w:jc w:val="center"/>
              <w:rPr>
                <w:rFonts w:hint="eastAsia" w:ascii="宋体" w:hAnsi="宋体" w:eastAsia="宋体" w:cs="宋体"/>
                <w:szCs w:val="21"/>
              </w:rPr>
            </w:pPr>
          </w:p>
        </w:tc>
        <w:tc>
          <w:tcPr>
            <w:tcW w:w="2245" w:type="dxa"/>
            <w:vAlign w:val="center"/>
          </w:tcPr>
          <w:p w14:paraId="57EC90B3">
            <w:pPr>
              <w:jc w:val="left"/>
              <w:rPr>
                <w:rFonts w:hint="eastAsia" w:ascii="宋体" w:hAnsi="宋体" w:eastAsia="宋体" w:cs="宋体"/>
                <w:szCs w:val="21"/>
              </w:rPr>
            </w:pPr>
            <w:r>
              <w:rPr>
                <w:rFonts w:hint="eastAsia" w:ascii="宋体" w:hAnsi="宋体" w:eastAsia="宋体" w:cs="宋体"/>
                <w:szCs w:val="21"/>
              </w:rPr>
              <w:t>（1）《呐喊》和《彷徨》</w:t>
            </w:r>
          </w:p>
          <w:p w14:paraId="29781538">
            <w:pPr>
              <w:jc w:val="left"/>
              <w:rPr>
                <w:rFonts w:hint="eastAsia" w:ascii="宋体" w:hAnsi="宋体" w:eastAsia="宋体" w:cs="宋体"/>
                <w:szCs w:val="21"/>
              </w:rPr>
            </w:pPr>
            <w:r>
              <w:rPr>
                <w:rFonts w:hint="eastAsia" w:ascii="宋体" w:hAnsi="宋体" w:eastAsia="宋体" w:cs="宋体"/>
                <w:szCs w:val="21"/>
              </w:rPr>
              <w:t>（2）《野草》与《朝花夕拾》</w:t>
            </w:r>
          </w:p>
        </w:tc>
        <w:tc>
          <w:tcPr>
            <w:tcW w:w="1163" w:type="dxa"/>
            <w:vAlign w:val="center"/>
          </w:tcPr>
          <w:p w14:paraId="7ED2D849">
            <w:pPr>
              <w:jc w:val="center"/>
              <w:rPr>
                <w:rFonts w:hint="eastAsia" w:ascii="宋体" w:hAnsi="宋体" w:eastAsia="宋体" w:cs="宋体"/>
                <w:szCs w:val="21"/>
              </w:rPr>
            </w:pPr>
            <w:r>
              <w:rPr>
                <w:rFonts w:hint="eastAsia" w:ascii="宋体" w:hAnsi="宋体" w:eastAsia="宋体" w:cs="宋体"/>
                <w:szCs w:val="21"/>
              </w:rPr>
              <w:t>课程目标1、3</w:t>
            </w:r>
          </w:p>
        </w:tc>
        <w:tc>
          <w:tcPr>
            <w:tcW w:w="2540" w:type="dxa"/>
            <w:vAlign w:val="center"/>
          </w:tcPr>
          <w:p w14:paraId="79C06BA4">
            <w:pPr>
              <w:rPr>
                <w:rFonts w:hint="eastAsia" w:ascii="宋体" w:hAnsi="宋体" w:eastAsia="宋体" w:cs="宋体"/>
                <w:bCs/>
                <w:szCs w:val="21"/>
              </w:rPr>
            </w:pPr>
            <w:r>
              <w:rPr>
                <w:rFonts w:hint="eastAsia" w:ascii="宋体" w:hAnsi="宋体" w:eastAsia="宋体" w:cs="宋体"/>
                <w:bCs/>
                <w:szCs w:val="21"/>
              </w:rPr>
              <w:t>（1）理解《呐喊》与《彷徨》对中国小说革命性的贡献</w:t>
            </w:r>
          </w:p>
          <w:p w14:paraId="65EE6DFC">
            <w:pPr>
              <w:rPr>
                <w:rFonts w:hint="eastAsia" w:ascii="宋体" w:hAnsi="宋体" w:eastAsia="宋体" w:cs="宋体"/>
                <w:bCs/>
                <w:szCs w:val="21"/>
              </w:rPr>
            </w:pPr>
            <w:r>
              <w:rPr>
                <w:rFonts w:hint="eastAsia" w:ascii="宋体" w:hAnsi="宋体" w:eastAsia="宋体" w:cs="宋体"/>
                <w:bCs/>
                <w:szCs w:val="21"/>
              </w:rPr>
              <w:t>（2）独特的题材、视角与小说模式</w:t>
            </w:r>
          </w:p>
          <w:p w14:paraId="06FE3CAF">
            <w:pPr>
              <w:rPr>
                <w:rFonts w:hint="eastAsia" w:ascii="宋体" w:hAnsi="宋体" w:eastAsia="宋体" w:cs="宋体"/>
                <w:szCs w:val="21"/>
              </w:rPr>
            </w:pPr>
            <w:r>
              <w:rPr>
                <w:rFonts w:hint="eastAsia" w:ascii="宋体" w:hAnsi="宋体" w:eastAsia="宋体" w:cs="宋体"/>
                <w:bCs/>
                <w:szCs w:val="21"/>
              </w:rPr>
              <w:t>（3）艺术形式方面的创造性与先锋性</w:t>
            </w:r>
          </w:p>
        </w:tc>
        <w:tc>
          <w:tcPr>
            <w:tcW w:w="1506" w:type="dxa"/>
            <w:vAlign w:val="center"/>
          </w:tcPr>
          <w:p w14:paraId="626ABAC6">
            <w:pPr>
              <w:jc w:val="left"/>
              <w:rPr>
                <w:rFonts w:hint="eastAsia" w:ascii="宋体" w:hAnsi="宋体" w:eastAsia="宋体" w:cs="宋体"/>
                <w:szCs w:val="21"/>
              </w:rPr>
            </w:pPr>
            <w:r>
              <w:rPr>
                <w:rFonts w:hint="eastAsia" w:ascii="宋体" w:hAnsi="宋体" w:eastAsia="宋体" w:cs="宋体"/>
                <w:szCs w:val="21"/>
              </w:rPr>
              <w:t>1.线上学习</w:t>
            </w:r>
          </w:p>
          <w:p w14:paraId="338C166C">
            <w:pPr>
              <w:jc w:val="left"/>
              <w:rPr>
                <w:rFonts w:hint="eastAsia" w:ascii="宋体" w:hAnsi="宋体" w:eastAsia="宋体" w:cs="宋体"/>
                <w:szCs w:val="21"/>
              </w:rPr>
            </w:pPr>
            <w:r>
              <w:rPr>
                <w:rFonts w:hint="eastAsia" w:ascii="宋体" w:hAnsi="宋体" w:eastAsia="宋体" w:cs="宋体"/>
                <w:szCs w:val="21"/>
              </w:rPr>
              <w:t>2.多媒体教学3.课堂讨论</w:t>
            </w:r>
          </w:p>
          <w:p w14:paraId="2044F492">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10673585">
            <w:pPr>
              <w:jc w:val="center"/>
              <w:rPr>
                <w:rFonts w:hint="eastAsia" w:ascii="宋体" w:hAnsi="宋体" w:eastAsia="宋体" w:cs="宋体"/>
                <w:szCs w:val="21"/>
              </w:rPr>
            </w:pPr>
            <w:r>
              <w:rPr>
                <w:rFonts w:hint="eastAsia" w:ascii="宋体" w:hAnsi="宋体" w:eastAsia="宋体" w:cs="宋体"/>
                <w:szCs w:val="21"/>
              </w:rPr>
              <w:t>6</w:t>
            </w:r>
          </w:p>
        </w:tc>
      </w:tr>
      <w:tr w14:paraId="35B4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6F14D4E3">
            <w:pPr>
              <w:jc w:val="center"/>
              <w:rPr>
                <w:rFonts w:hint="eastAsia" w:ascii="宋体" w:hAnsi="宋体" w:eastAsia="宋体" w:cs="宋体"/>
                <w:szCs w:val="21"/>
              </w:rPr>
            </w:pPr>
          </w:p>
        </w:tc>
        <w:tc>
          <w:tcPr>
            <w:tcW w:w="7892" w:type="dxa"/>
            <w:gridSpan w:val="5"/>
            <w:vAlign w:val="center"/>
          </w:tcPr>
          <w:p w14:paraId="0D37EE12">
            <w:pPr>
              <w:rPr>
                <w:rFonts w:hint="eastAsia" w:ascii="宋体" w:hAnsi="宋体" w:eastAsia="宋体" w:cs="宋体"/>
                <w:b/>
                <w:szCs w:val="21"/>
              </w:rPr>
            </w:pPr>
            <w:r>
              <w:rPr>
                <w:rFonts w:hint="eastAsia" w:ascii="宋体" w:hAnsi="宋体" w:eastAsia="宋体" w:cs="宋体"/>
                <w:b/>
                <w:szCs w:val="21"/>
              </w:rPr>
              <w:t>课程思政目标：</w:t>
            </w:r>
            <w:r>
              <w:rPr>
                <w:rFonts w:hint="eastAsia" w:ascii="宋体" w:hAnsi="宋体" w:eastAsia="宋体" w:cs="宋体"/>
                <w:bCs/>
                <w:szCs w:val="21"/>
              </w:rPr>
              <w:t>充分理解鲁迅关注民众的生活状态和精神面貌，关心人民疾苦的博大胸怀,从而培养学生正确的世界观、人生观与价值观。</w:t>
            </w:r>
          </w:p>
        </w:tc>
      </w:tr>
      <w:tr w14:paraId="17C0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7829C2F2">
            <w:pPr>
              <w:jc w:val="center"/>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bCs/>
                <w:szCs w:val="21"/>
              </w:rPr>
              <w:t>自由体诗、新月诗派和象征诗派</w:t>
            </w:r>
          </w:p>
        </w:tc>
        <w:tc>
          <w:tcPr>
            <w:tcW w:w="2245" w:type="dxa"/>
            <w:vAlign w:val="center"/>
          </w:tcPr>
          <w:p w14:paraId="7528C6F4">
            <w:pPr>
              <w:jc w:val="left"/>
              <w:rPr>
                <w:rFonts w:hint="eastAsia" w:ascii="宋体" w:hAnsi="宋体" w:eastAsia="宋体" w:cs="宋体"/>
                <w:szCs w:val="21"/>
              </w:rPr>
            </w:pPr>
            <w:r>
              <w:rPr>
                <w:rFonts w:hint="eastAsia" w:ascii="宋体" w:hAnsi="宋体" w:eastAsia="宋体" w:cs="宋体"/>
                <w:szCs w:val="21"/>
              </w:rPr>
              <w:t>⑴《女神》的艺术想象力、形象特征与形式</w:t>
            </w:r>
          </w:p>
          <w:p w14:paraId="38658763">
            <w:pPr>
              <w:jc w:val="left"/>
              <w:rPr>
                <w:rFonts w:hint="eastAsia" w:ascii="宋体" w:hAnsi="宋体" w:eastAsia="宋体" w:cs="宋体"/>
                <w:szCs w:val="21"/>
              </w:rPr>
            </w:pPr>
            <w:r>
              <w:rPr>
                <w:rFonts w:hint="eastAsia" w:ascii="宋体" w:hAnsi="宋体" w:eastAsia="宋体" w:cs="宋体"/>
                <w:szCs w:val="21"/>
              </w:rPr>
              <w:t>⑵ 前期新月诗派的理论和实践</w:t>
            </w:r>
          </w:p>
          <w:p w14:paraId="2A07A779">
            <w:pPr>
              <w:jc w:val="left"/>
              <w:rPr>
                <w:rFonts w:hint="eastAsia" w:ascii="宋体" w:hAnsi="宋体" w:eastAsia="宋体" w:cs="宋体"/>
                <w:szCs w:val="21"/>
              </w:rPr>
            </w:pPr>
            <w:r>
              <w:rPr>
                <w:rFonts w:hint="eastAsia" w:ascii="宋体" w:hAnsi="宋体" w:eastAsia="宋体" w:cs="宋体"/>
                <w:szCs w:val="21"/>
              </w:rPr>
              <w:t>⑶ 以李金发为代表的早期象征派诗歌</w:t>
            </w:r>
          </w:p>
        </w:tc>
        <w:tc>
          <w:tcPr>
            <w:tcW w:w="1163" w:type="dxa"/>
            <w:vAlign w:val="center"/>
          </w:tcPr>
          <w:p w14:paraId="02B0A3E1">
            <w:pPr>
              <w:jc w:val="center"/>
              <w:rPr>
                <w:rFonts w:hint="eastAsia" w:ascii="宋体" w:hAnsi="宋体" w:eastAsia="宋体" w:cs="宋体"/>
                <w:szCs w:val="21"/>
              </w:rPr>
            </w:pPr>
            <w:r>
              <w:rPr>
                <w:rFonts w:hint="eastAsia" w:ascii="宋体" w:hAnsi="宋体" w:eastAsia="宋体" w:cs="宋体"/>
                <w:szCs w:val="21"/>
              </w:rPr>
              <w:t>课程目标2、3</w:t>
            </w:r>
          </w:p>
        </w:tc>
        <w:tc>
          <w:tcPr>
            <w:tcW w:w="2540" w:type="dxa"/>
            <w:vAlign w:val="center"/>
          </w:tcPr>
          <w:p w14:paraId="4D8B96D3">
            <w:pPr>
              <w:jc w:val="left"/>
              <w:rPr>
                <w:rFonts w:hint="eastAsia" w:ascii="宋体" w:hAnsi="宋体" w:eastAsia="宋体" w:cs="宋体"/>
                <w:szCs w:val="21"/>
              </w:rPr>
            </w:pPr>
            <w:r>
              <w:rPr>
                <w:rFonts w:hint="eastAsia" w:ascii="宋体" w:hAnsi="宋体" w:eastAsia="宋体" w:cs="宋体"/>
                <w:szCs w:val="21"/>
              </w:rPr>
              <w:t>⑴了解“五四”新诗运动与早期白话诗</w:t>
            </w:r>
          </w:p>
          <w:p w14:paraId="7F25FD4F">
            <w:pPr>
              <w:jc w:val="left"/>
              <w:rPr>
                <w:rFonts w:hint="eastAsia" w:ascii="宋体" w:hAnsi="宋体" w:eastAsia="宋体" w:cs="宋体"/>
                <w:szCs w:val="21"/>
              </w:rPr>
            </w:pPr>
            <w:r>
              <w:rPr>
                <w:rFonts w:hint="eastAsia" w:ascii="宋体" w:hAnsi="宋体" w:eastAsia="宋体" w:cs="宋体"/>
                <w:szCs w:val="21"/>
              </w:rPr>
              <w:t>⑵理解《女神》的艺术想象力、形象特征与形式</w:t>
            </w:r>
          </w:p>
          <w:p w14:paraId="6F73BCAD">
            <w:pPr>
              <w:jc w:val="left"/>
              <w:rPr>
                <w:rFonts w:hint="eastAsia" w:ascii="宋体" w:hAnsi="宋体" w:eastAsia="宋体" w:cs="宋体"/>
                <w:szCs w:val="21"/>
              </w:rPr>
            </w:pPr>
            <w:r>
              <w:rPr>
                <w:rFonts w:hint="eastAsia" w:ascii="宋体" w:hAnsi="宋体" w:eastAsia="宋体" w:cs="宋体"/>
                <w:szCs w:val="21"/>
              </w:rPr>
              <w:t>⑶理解闻一多、徐志摩为代表的前期新月派的诗艺探索</w:t>
            </w:r>
          </w:p>
          <w:p w14:paraId="461A3827">
            <w:pPr>
              <w:jc w:val="left"/>
              <w:rPr>
                <w:rFonts w:hint="eastAsia" w:ascii="宋体" w:hAnsi="宋体" w:eastAsia="宋体" w:cs="宋体"/>
                <w:szCs w:val="21"/>
              </w:rPr>
            </w:pPr>
            <w:r>
              <w:rPr>
                <w:rFonts w:hint="eastAsia" w:ascii="宋体" w:hAnsi="宋体" w:eastAsia="宋体" w:cs="宋体"/>
                <w:szCs w:val="21"/>
              </w:rPr>
              <w:t>⑷了解以李金发为代表的早期象征派诗歌特征</w:t>
            </w:r>
          </w:p>
        </w:tc>
        <w:tc>
          <w:tcPr>
            <w:tcW w:w="1506" w:type="dxa"/>
            <w:vAlign w:val="center"/>
          </w:tcPr>
          <w:p w14:paraId="76E8FB05">
            <w:pPr>
              <w:jc w:val="left"/>
              <w:rPr>
                <w:rFonts w:hint="eastAsia" w:ascii="宋体" w:hAnsi="宋体" w:eastAsia="宋体" w:cs="宋体"/>
                <w:szCs w:val="21"/>
              </w:rPr>
            </w:pPr>
            <w:r>
              <w:rPr>
                <w:rFonts w:hint="eastAsia" w:ascii="宋体" w:hAnsi="宋体" w:eastAsia="宋体" w:cs="宋体"/>
                <w:szCs w:val="21"/>
              </w:rPr>
              <w:t>1.线上学习</w:t>
            </w:r>
          </w:p>
          <w:p w14:paraId="62F2DA43">
            <w:pPr>
              <w:jc w:val="left"/>
              <w:rPr>
                <w:rFonts w:hint="eastAsia" w:ascii="宋体" w:hAnsi="宋体" w:eastAsia="宋体" w:cs="宋体"/>
                <w:szCs w:val="21"/>
              </w:rPr>
            </w:pPr>
            <w:r>
              <w:rPr>
                <w:rFonts w:hint="eastAsia" w:ascii="宋体" w:hAnsi="宋体" w:eastAsia="宋体" w:cs="宋体"/>
                <w:szCs w:val="21"/>
              </w:rPr>
              <w:t>2.多媒体教学3.课堂讨论</w:t>
            </w:r>
          </w:p>
          <w:p w14:paraId="19AC2877">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7C9914D3">
            <w:pPr>
              <w:jc w:val="center"/>
              <w:rPr>
                <w:rFonts w:hint="eastAsia" w:ascii="宋体" w:hAnsi="宋体" w:eastAsia="宋体" w:cs="宋体"/>
                <w:szCs w:val="21"/>
              </w:rPr>
            </w:pPr>
            <w:r>
              <w:rPr>
                <w:rFonts w:hint="eastAsia" w:ascii="宋体" w:hAnsi="宋体" w:eastAsia="宋体" w:cs="宋体"/>
                <w:szCs w:val="21"/>
              </w:rPr>
              <w:t>6</w:t>
            </w:r>
          </w:p>
        </w:tc>
      </w:tr>
      <w:tr w14:paraId="32F8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5C840C0C">
            <w:pPr>
              <w:jc w:val="center"/>
              <w:rPr>
                <w:rFonts w:hint="eastAsia" w:ascii="宋体" w:hAnsi="宋体" w:eastAsia="宋体" w:cs="宋体"/>
                <w:szCs w:val="21"/>
              </w:rPr>
            </w:pPr>
          </w:p>
        </w:tc>
        <w:tc>
          <w:tcPr>
            <w:tcW w:w="7892" w:type="dxa"/>
            <w:gridSpan w:val="5"/>
            <w:vAlign w:val="center"/>
          </w:tcPr>
          <w:p w14:paraId="50CF1228">
            <w:pPr>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结合现代诗学理论对诗歌创作进行细致深入的分析，使学生进一步认识艺术源于生活的艺术观念，树立以诗歌反映社会现实的马克思主义诗学观。</w:t>
            </w:r>
          </w:p>
        </w:tc>
      </w:tr>
      <w:tr w14:paraId="4D5D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00A008A2">
            <w:pPr>
              <w:rPr>
                <w:rFonts w:hint="eastAsia" w:ascii="宋体" w:hAnsi="宋体" w:eastAsia="宋体" w:cs="宋体"/>
                <w:bCs/>
                <w:szCs w:val="21"/>
              </w:rPr>
            </w:pPr>
            <w:r>
              <w:rPr>
                <w:rFonts w:hint="eastAsia" w:ascii="宋体" w:hAnsi="宋体" w:eastAsia="宋体" w:cs="宋体"/>
                <w:szCs w:val="21"/>
              </w:rPr>
              <w:t>4、</w:t>
            </w:r>
            <w:r>
              <w:rPr>
                <w:rFonts w:hint="eastAsia" w:ascii="宋体" w:hAnsi="宋体" w:eastAsia="宋体" w:cs="宋体"/>
                <w:bCs/>
                <w:szCs w:val="21"/>
              </w:rPr>
              <w:t>茅盾、巴金、老舍</w:t>
            </w:r>
          </w:p>
          <w:p w14:paraId="1677D9CA">
            <w:pPr>
              <w:jc w:val="center"/>
              <w:rPr>
                <w:rFonts w:hint="eastAsia" w:ascii="宋体" w:hAnsi="宋体" w:eastAsia="宋体" w:cs="宋体"/>
                <w:szCs w:val="21"/>
              </w:rPr>
            </w:pPr>
          </w:p>
        </w:tc>
        <w:tc>
          <w:tcPr>
            <w:tcW w:w="2245" w:type="dxa"/>
            <w:vAlign w:val="center"/>
          </w:tcPr>
          <w:p w14:paraId="0EEAD0EF">
            <w:pPr>
              <w:rPr>
                <w:rFonts w:hint="eastAsia" w:ascii="宋体" w:hAnsi="宋体" w:eastAsia="宋体" w:cs="宋体"/>
                <w:bCs/>
                <w:szCs w:val="21"/>
              </w:rPr>
            </w:pPr>
            <w:r>
              <w:rPr>
                <w:rFonts w:hint="eastAsia" w:ascii="宋体" w:hAnsi="宋体" w:eastAsia="宋体" w:cs="宋体"/>
                <w:bCs/>
                <w:szCs w:val="21"/>
              </w:rPr>
              <w:t>（1）茅盾长篇小说艺术成就</w:t>
            </w:r>
          </w:p>
          <w:p w14:paraId="615E28CB">
            <w:pPr>
              <w:ind w:firstLine="420" w:firstLineChars="200"/>
              <w:rPr>
                <w:rFonts w:hint="eastAsia" w:ascii="宋体" w:hAnsi="宋体" w:eastAsia="宋体" w:cs="宋体"/>
                <w:szCs w:val="21"/>
              </w:rPr>
            </w:pPr>
            <w:r>
              <w:rPr>
                <w:rFonts w:hint="eastAsia" w:ascii="宋体" w:hAnsi="宋体" w:eastAsia="宋体" w:cs="宋体"/>
                <w:szCs w:val="21"/>
              </w:rPr>
              <w:t>（2）老舍作品的“京味”与幽默</w:t>
            </w:r>
          </w:p>
          <w:p w14:paraId="744FCC45">
            <w:pPr>
              <w:ind w:firstLine="420" w:firstLineChars="200"/>
              <w:rPr>
                <w:rFonts w:hint="eastAsia" w:ascii="宋体" w:hAnsi="宋体" w:eastAsia="宋体" w:cs="宋体"/>
                <w:szCs w:val="21"/>
              </w:rPr>
            </w:pPr>
            <w:r>
              <w:rPr>
                <w:rFonts w:hint="eastAsia" w:ascii="宋体" w:hAnsi="宋体" w:eastAsia="宋体" w:cs="宋体"/>
                <w:szCs w:val="21"/>
              </w:rPr>
              <w:t>（3）巴金小说创作的前后两个时期</w:t>
            </w:r>
          </w:p>
          <w:p w14:paraId="345C7764">
            <w:pPr>
              <w:jc w:val="left"/>
              <w:rPr>
                <w:rFonts w:hint="eastAsia" w:ascii="宋体" w:hAnsi="宋体" w:eastAsia="宋体" w:cs="宋体"/>
                <w:szCs w:val="21"/>
              </w:rPr>
            </w:pPr>
          </w:p>
        </w:tc>
        <w:tc>
          <w:tcPr>
            <w:tcW w:w="1163" w:type="dxa"/>
            <w:vAlign w:val="center"/>
          </w:tcPr>
          <w:p w14:paraId="5A5D08C6">
            <w:pPr>
              <w:jc w:val="center"/>
              <w:rPr>
                <w:rFonts w:hint="eastAsia" w:ascii="宋体" w:hAnsi="宋体" w:eastAsia="宋体" w:cs="宋体"/>
                <w:szCs w:val="21"/>
              </w:rPr>
            </w:pPr>
            <w:r>
              <w:rPr>
                <w:rFonts w:hint="eastAsia" w:ascii="宋体" w:hAnsi="宋体" w:eastAsia="宋体" w:cs="宋体"/>
                <w:szCs w:val="21"/>
              </w:rPr>
              <w:t>课程目标1、2、3</w:t>
            </w:r>
          </w:p>
        </w:tc>
        <w:tc>
          <w:tcPr>
            <w:tcW w:w="2540" w:type="dxa"/>
            <w:vAlign w:val="center"/>
          </w:tcPr>
          <w:p w14:paraId="3E267EC7">
            <w:pPr>
              <w:jc w:val="left"/>
              <w:rPr>
                <w:rFonts w:hint="eastAsia" w:ascii="宋体" w:hAnsi="宋体" w:eastAsia="宋体" w:cs="宋体"/>
                <w:szCs w:val="21"/>
              </w:rPr>
            </w:pPr>
            <w:r>
              <w:rPr>
                <w:rFonts w:hint="eastAsia" w:ascii="宋体" w:hAnsi="宋体" w:eastAsia="宋体" w:cs="宋体"/>
                <w:szCs w:val="21"/>
              </w:rPr>
              <w:t>（1）把握《子夜》的艺术成就：吴荪甫等人物塑造；叙事主旨；结构方式和心理描写</w:t>
            </w:r>
          </w:p>
          <w:p w14:paraId="65DA72E1">
            <w:pPr>
              <w:jc w:val="left"/>
              <w:rPr>
                <w:rFonts w:hint="eastAsia" w:ascii="宋体" w:hAnsi="宋体" w:eastAsia="宋体" w:cs="宋体"/>
                <w:szCs w:val="21"/>
              </w:rPr>
            </w:pPr>
            <w:r>
              <w:rPr>
                <w:rFonts w:hint="eastAsia" w:ascii="宋体" w:hAnsi="宋体" w:eastAsia="宋体" w:cs="宋体"/>
                <w:szCs w:val="21"/>
              </w:rPr>
              <w:t>（2）把握《骆驼祥子》的艺术成就：小说不同层面的主题意蕴；小说对人性的刻画与道德审视立场</w:t>
            </w:r>
          </w:p>
          <w:p w14:paraId="087612BC">
            <w:pPr>
              <w:jc w:val="left"/>
              <w:rPr>
                <w:rFonts w:hint="eastAsia" w:ascii="宋体" w:hAnsi="宋体" w:eastAsia="宋体" w:cs="宋体"/>
                <w:szCs w:val="21"/>
              </w:rPr>
            </w:pPr>
            <w:r>
              <w:rPr>
                <w:rFonts w:hint="eastAsia" w:ascii="宋体" w:hAnsi="宋体" w:eastAsia="宋体" w:cs="宋体"/>
                <w:szCs w:val="21"/>
              </w:rPr>
              <w:t>（3）掌握《家》的艺术成就：理解《家》的主题和“家”的寓意；理解高老太爷、觉慧、觉新等主要人物形象的意义</w:t>
            </w:r>
          </w:p>
        </w:tc>
        <w:tc>
          <w:tcPr>
            <w:tcW w:w="1506" w:type="dxa"/>
            <w:vAlign w:val="center"/>
          </w:tcPr>
          <w:p w14:paraId="34B9667A">
            <w:pPr>
              <w:jc w:val="left"/>
              <w:rPr>
                <w:rFonts w:hint="eastAsia" w:ascii="宋体" w:hAnsi="宋体" w:eastAsia="宋体" w:cs="宋体"/>
                <w:szCs w:val="21"/>
              </w:rPr>
            </w:pPr>
            <w:r>
              <w:rPr>
                <w:rFonts w:hint="eastAsia" w:ascii="宋体" w:hAnsi="宋体" w:eastAsia="宋体" w:cs="宋体"/>
                <w:szCs w:val="21"/>
              </w:rPr>
              <w:t>1.线上学习</w:t>
            </w:r>
          </w:p>
          <w:p w14:paraId="479D284B">
            <w:pPr>
              <w:jc w:val="left"/>
              <w:rPr>
                <w:rFonts w:hint="eastAsia" w:ascii="宋体" w:hAnsi="宋体" w:eastAsia="宋体" w:cs="宋体"/>
                <w:szCs w:val="21"/>
              </w:rPr>
            </w:pPr>
            <w:r>
              <w:rPr>
                <w:rFonts w:hint="eastAsia" w:ascii="宋体" w:hAnsi="宋体" w:eastAsia="宋体" w:cs="宋体"/>
                <w:szCs w:val="21"/>
              </w:rPr>
              <w:t>2.多媒体教学3.课堂讨论</w:t>
            </w:r>
          </w:p>
          <w:p w14:paraId="731F9425">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1D83338C">
            <w:pPr>
              <w:jc w:val="center"/>
              <w:rPr>
                <w:rFonts w:hint="eastAsia" w:ascii="宋体" w:hAnsi="宋体" w:eastAsia="宋体" w:cs="宋体"/>
                <w:szCs w:val="21"/>
              </w:rPr>
            </w:pPr>
            <w:r>
              <w:rPr>
                <w:rFonts w:hint="eastAsia" w:ascii="宋体" w:hAnsi="宋体" w:eastAsia="宋体" w:cs="宋体"/>
                <w:szCs w:val="21"/>
              </w:rPr>
              <w:t>6</w:t>
            </w:r>
          </w:p>
        </w:tc>
      </w:tr>
      <w:tr w14:paraId="1718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0FB0C96E">
            <w:pPr>
              <w:jc w:val="center"/>
              <w:rPr>
                <w:rFonts w:hint="eastAsia" w:ascii="宋体" w:hAnsi="宋体" w:eastAsia="宋体" w:cs="宋体"/>
                <w:szCs w:val="21"/>
              </w:rPr>
            </w:pPr>
          </w:p>
        </w:tc>
        <w:tc>
          <w:tcPr>
            <w:tcW w:w="7892" w:type="dxa"/>
            <w:gridSpan w:val="5"/>
            <w:vAlign w:val="center"/>
          </w:tcPr>
          <w:p w14:paraId="0C2C35CA">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将培育和践行社会主义核心价值观贯穿课程始终，从国家意识、法治意识、社会责任意识和个人诚信意识等层面，加强社会公德、职业道德、家庭美德、个人品德教育。让学生充分认识作家对下层平民生活的关心，树立社会主义理想，增强社会主义使命意识和社会责任感。</w:t>
            </w:r>
          </w:p>
        </w:tc>
      </w:tr>
      <w:tr w14:paraId="214F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17C3DAD9">
            <w:pPr>
              <w:jc w:val="center"/>
              <w:rPr>
                <w:rFonts w:hint="eastAsia" w:ascii="宋体" w:hAnsi="宋体" w:eastAsia="宋体" w:cs="宋体"/>
                <w:szCs w:val="21"/>
              </w:rPr>
            </w:pPr>
            <w:r>
              <w:rPr>
                <w:rFonts w:hint="eastAsia" w:ascii="宋体" w:hAnsi="宋体" w:eastAsia="宋体" w:cs="宋体"/>
                <w:szCs w:val="21"/>
              </w:rPr>
              <w:t>5.50-70年代的文学环境</w:t>
            </w:r>
          </w:p>
        </w:tc>
        <w:tc>
          <w:tcPr>
            <w:tcW w:w="2245" w:type="dxa"/>
            <w:vAlign w:val="center"/>
          </w:tcPr>
          <w:p w14:paraId="4FAF6570">
            <w:pPr>
              <w:jc w:val="left"/>
              <w:rPr>
                <w:rFonts w:hint="eastAsia" w:ascii="宋体" w:hAnsi="宋体" w:eastAsia="宋体" w:cs="宋体"/>
                <w:szCs w:val="21"/>
              </w:rPr>
            </w:pPr>
            <w:r>
              <w:rPr>
                <w:rFonts w:hint="eastAsia" w:ascii="宋体" w:hAnsi="宋体" w:eastAsia="宋体" w:cs="宋体"/>
                <w:szCs w:val="21"/>
              </w:rPr>
              <w:t>（1）毛泽东的文学思想与“文学新方向”的确立</w:t>
            </w:r>
          </w:p>
          <w:p w14:paraId="16D352C8">
            <w:pPr>
              <w:jc w:val="left"/>
              <w:rPr>
                <w:rFonts w:hint="eastAsia" w:ascii="宋体" w:hAnsi="宋体" w:eastAsia="宋体" w:cs="宋体"/>
                <w:szCs w:val="21"/>
              </w:rPr>
            </w:pPr>
            <w:r>
              <w:rPr>
                <w:rFonts w:hint="eastAsia" w:ascii="宋体" w:hAnsi="宋体" w:eastAsia="宋体" w:cs="宋体"/>
                <w:szCs w:val="21"/>
              </w:rPr>
              <w:t>（2）文学环境与文学规范</w:t>
            </w:r>
          </w:p>
          <w:p w14:paraId="441B7502">
            <w:pPr>
              <w:jc w:val="left"/>
              <w:rPr>
                <w:rFonts w:hint="eastAsia" w:ascii="宋体" w:hAnsi="宋体" w:eastAsia="宋体" w:cs="宋体"/>
                <w:szCs w:val="21"/>
              </w:rPr>
            </w:pPr>
            <w:r>
              <w:rPr>
                <w:rFonts w:hint="eastAsia" w:ascii="宋体" w:hAnsi="宋体" w:eastAsia="宋体" w:cs="宋体"/>
                <w:szCs w:val="21"/>
              </w:rPr>
              <w:t>（3）频繁的文学批判运动</w:t>
            </w:r>
          </w:p>
        </w:tc>
        <w:tc>
          <w:tcPr>
            <w:tcW w:w="1163" w:type="dxa"/>
            <w:vAlign w:val="center"/>
          </w:tcPr>
          <w:p w14:paraId="6C64A9F6">
            <w:pPr>
              <w:jc w:val="center"/>
              <w:rPr>
                <w:rFonts w:hint="eastAsia" w:ascii="宋体" w:hAnsi="宋体" w:eastAsia="宋体" w:cs="宋体"/>
                <w:szCs w:val="21"/>
              </w:rPr>
            </w:pPr>
            <w:r>
              <w:rPr>
                <w:rFonts w:hint="eastAsia" w:ascii="宋体" w:hAnsi="宋体" w:eastAsia="宋体" w:cs="宋体"/>
                <w:szCs w:val="21"/>
              </w:rPr>
              <w:t>课程目标1、2、3</w:t>
            </w:r>
          </w:p>
        </w:tc>
        <w:tc>
          <w:tcPr>
            <w:tcW w:w="2540" w:type="dxa"/>
            <w:vAlign w:val="center"/>
          </w:tcPr>
          <w:p w14:paraId="6CD93335">
            <w:pPr>
              <w:jc w:val="left"/>
              <w:rPr>
                <w:rFonts w:hint="eastAsia" w:ascii="宋体" w:hAnsi="宋体" w:eastAsia="宋体" w:cs="宋体"/>
                <w:szCs w:val="21"/>
              </w:rPr>
            </w:pPr>
            <w:r>
              <w:rPr>
                <w:rFonts w:hint="eastAsia" w:ascii="宋体" w:hAnsi="宋体" w:eastAsia="宋体" w:cs="宋体"/>
                <w:szCs w:val="21"/>
              </w:rPr>
              <w:t>（1）理解毛泽东的文艺思想</w:t>
            </w:r>
          </w:p>
          <w:p w14:paraId="638E675F">
            <w:pPr>
              <w:jc w:val="left"/>
              <w:rPr>
                <w:rFonts w:hint="eastAsia" w:ascii="宋体" w:hAnsi="宋体" w:eastAsia="宋体" w:cs="宋体"/>
                <w:szCs w:val="21"/>
              </w:rPr>
            </w:pPr>
            <w:r>
              <w:rPr>
                <w:rFonts w:hint="eastAsia" w:ascii="宋体" w:hAnsi="宋体" w:eastAsia="宋体" w:cs="宋体"/>
                <w:szCs w:val="21"/>
              </w:rPr>
              <w:t>（2）理解当代文学建立的文学规范的主要内涵</w:t>
            </w:r>
          </w:p>
          <w:p w14:paraId="69208FBC">
            <w:pPr>
              <w:jc w:val="left"/>
              <w:rPr>
                <w:rFonts w:hint="eastAsia" w:ascii="宋体" w:hAnsi="宋体" w:eastAsia="宋体" w:cs="宋体"/>
                <w:szCs w:val="21"/>
              </w:rPr>
            </w:pPr>
            <w:r>
              <w:rPr>
                <w:rFonts w:hint="eastAsia" w:ascii="宋体" w:hAnsi="宋体" w:eastAsia="宋体" w:cs="宋体"/>
                <w:szCs w:val="21"/>
              </w:rPr>
              <w:t>（3）理解本时期主要文学批判运动的具体内容</w:t>
            </w:r>
          </w:p>
        </w:tc>
        <w:tc>
          <w:tcPr>
            <w:tcW w:w="1506" w:type="dxa"/>
            <w:vAlign w:val="center"/>
          </w:tcPr>
          <w:p w14:paraId="2137128A">
            <w:pPr>
              <w:jc w:val="left"/>
              <w:rPr>
                <w:rFonts w:hint="eastAsia" w:ascii="宋体" w:hAnsi="宋体" w:eastAsia="宋体" w:cs="宋体"/>
                <w:szCs w:val="21"/>
              </w:rPr>
            </w:pPr>
            <w:r>
              <w:rPr>
                <w:rFonts w:hint="eastAsia" w:ascii="宋体" w:hAnsi="宋体" w:eastAsia="宋体" w:cs="宋体"/>
                <w:szCs w:val="21"/>
              </w:rPr>
              <w:t>1.线上学习</w:t>
            </w:r>
          </w:p>
          <w:p w14:paraId="58CEF98B">
            <w:pPr>
              <w:jc w:val="left"/>
              <w:rPr>
                <w:rFonts w:hint="eastAsia" w:ascii="宋体" w:hAnsi="宋体" w:eastAsia="宋体" w:cs="宋体"/>
                <w:szCs w:val="21"/>
              </w:rPr>
            </w:pPr>
            <w:r>
              <w:rPr>
                <w:rFonts w:hint="eastAsia" w:ascii="宋体" w:hAnsi="宋体" w:eastAsia="宋体" w:cs="宋体"/>
                <w:szCs w:val="21"/>
              </w:rPr>
              <w:t>2.多媒体教学3.课堂讨论</w:t>
            </w:r>
          </w:p>
          <w:p w14:paraId="1748394B">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48CAA605">
            <w:pPr>
              <w:jc w:val="center"/>
              <w:rPr>
                <w:rFonts w:hint="eastAsia" w:ascii="宋体" w:hAnsi="宋体" w:eastAsia="宋体" w:cs="宋体"/>
                <w:szCs w:val="21"/>
              </w:rPr>
            </w:pPr>
            <w:r>
              <w:rPr>
                <w:rFonts w:hint="eastAsia" w:ascii="宋体" w:hAnsi="宋体" w:eastAsia="宋体" w:cs="宋体"/>
                <w:szCs w:val="21"/>
              </w:rPr>
              <w:t>4</w:t>
            </w:r>
          </w:p>
        </w:tc>
      </w:tr>
      <w:tr w14:paraId="1C96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146AE7B2">
            <w:pPr>
              <w:jc w:val="center"/>
              <w:rPr>
                <w:rFonts w:hint="eastAsia" w:ascii="宋体" w:hAnsi="宋体" w:eastAsia="宋体" w:cs="宋体"/>
                <w:szCs w:val="21"/>
              </w:rPr>
            </w:pPr>
          </w:p>
        </w:tc>
        <w:tc>
          <w:tcPr>
            <w:tcW w:w="7892" w:type="dxa"/>
            <w:gridSpan w:val="5"/>
            <w:vAlign w:val="center"/>
          </w:tcPr>
          <w:p w14:paraId="64474106">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把马克思主义文学理论融入课程内容，对学生进行理想信念教育，树立健全的唯物史观，坚持“四个自信”。</w:t>
            </w:r>
          </w:p>
        </w:tc>
      </w:tr>
      <w:tr w14:paraId="7458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510248E6">
            <w:pPr>
              <w:jc w:val="center"/>
              <w:rPr>
                <w:rFonts w:hint="eastAsia" w:ascii="宋体" w:hAnsi="宋体" w:eastAsia="宋体" w:cs="宋体"/>
                <w:szCs w:val="21"/>
              </w:rPr>
            </w:pPr>
            <w:r>
              <w:rPr>
                <w:rFonts w:hint="eastAsia" w:ascii="宋体" w:hAnsi="宋体" w:eastAsia="宋体" w:cs="宋体"/>
                <w:szCs w:val="21"/>
              </w:rPr>
              <w:t>6.50-70年代的诗歌和散文</w:t>
            </w:r>
          </w:p>
        </w:tc>
        <w:tc>
          <w:tcPr>
            <w:tcW w:w="2245" w:type="dxa"/>
            <w:vAlign w:val="center"/>
          </w:tcPr>
          <w:p w14:paraId="5FB387EE">
            <w:pPr>
              <w:jc w:val="left"/>
              <w:rPr>
                <w:rFonts w:hint="eastAsia" w:ascii="宋体" w:hAnsi="宋体" w:eastAsia="宋体" w:cs="宋体"/>
                <w:szCs w:val="21"/>
              </w:rPr>
            </w:pPr>
            <w:r>
              <w:rPr>
                <w:rFonts w:hint="eastAsia" w:ascii="宋体" w:hAnsi="宋体" w:eastAsia="宋体" w:cs="宋体"/>
                <w:szCs w:val="21"/>
              </w:rPr>
              <w:t>（1）叙事诗潮流与政治抒情诗</w:t>
            </w:r>
          </w:p>
          <w:p w14:paraId="05729047">
            <w:pPr>
              <w:jc w:val="left"/>
              <w:rPr>
                <w:rFonts w:hint="eastAsia" w:ascii="宋体" w:hAnsi="宋体" w:eastAsia="宋体" w:cs="宋体"/>
                <w:szCs w:val="21"/>
              </w:rPr>
            </w:pPr>
            <w:r>
              <w:rPr>
                <w:rFonts w:hint="eastAsia" w:ascii="宋体" w:hAnsi="宋体" w:eastAsia="宋体" w:cs="宋体"/>
                <w:szCs w:val="21"/>
              </w:rPr>
              <w:t>（2）以杨朔、刘白羽、秦牧为代表的散文创作</w:t>
            </w:r>
          </w:p>
          <w:p w14:paraId="1715ACF7">
            <w:pPr>
              <w:jc w:val="left"/>
              <w:rPr>
                <w:rFonts w:hint="eastAsia" w:ascii="宋体" w:hAnsi="宋体" w:eastAsia="宋体" w:cs="宋体"/>
                <w:szCs w:val="21"/>
              </w:rPr>
            </w:pPr>
            <w:r>
              <w:rPr>
                <w:rFonts w:hint="eastAsia" w:ascii="宋体" w:hAnsi="宋体" w:eastAsia="宋体" w:cs="宋体"/>
                <w:szCs w:val="21"/>
              </w:rPr>
              <w:t>（3）邓拓、吴晗、廖沫沙等人的杂文创作</w:t>
            </w:r>
          </w:p>
          <w:p w14:paraId="359949E9">
            <w:pPr>
              <w:jc w:val="left"/>
              <w:rPr>
                <w:rFonts w:hint="eastAsia" w:ascii="宋体" w:hAnsi="宋体" w:eastAsia="宋体" w:cs="宋体"/>
                <w:szCs w:val="21"/>
              </w:rPr>
            </w:pPr>
            <w:r>
              <w:rPr>
                <w:rFonts w:hint="eastAsia" w:ascii="宋体" w:hAnsi="宋体" w:eastAsia="宋体" w:cs="宋体"/>
                <w:szCs w:val="21"/>
              </w:rPr>
              <w:t>（4）作品解读：郭小川《甘蔗林—青纱帐》；贺敬之《桂林山水歌》；刘白羽《长江三日》；邓拓《一个鸡蛋的家当》</w:t>
            </w:r>
          </w:p>
        </w:tc>
        <w:tc>
          <w:tcPr>
            <w:tcW w:w="1163" w:type="dxa"/>
            <w:vAlign w:val="center"/>
          </w:tcPr>
          <w:p w14:paraId="54B542BD">
            <w:pPr>
              <w:jc w:val="center"/>
              <w:rPr>
                <w:rFonts w:hint="eastAsia" w:ascii="宋体" w:hAnsi="宋体" w:eastAsia="宋体" w:cs="宋体"/>
                <w:szCs w:val="21"/>
              </w:rPr>
            </w:pPr>
            <w:r>
              <w:rPr>
                <w:rFonts w:hint="eastAsia" w:ascii="宋体" w:hAnsi="宋体" w:eastAsia="宋体" w:cs="宋体"/>
                <w:szCs w:val="21"/>
              </w:rPr>
              <w:t>课程目标1、2、3</w:t>
            </w:r>
          </w:p>
        </w:tc>
        <w:tc>
          <w:tcPr>
            <w:tcW w:w="2540" w:type="dxa"/>
            <w:vAlign w:val="center"/>
          </w:tcPr>
          <w:p w14:paraId="48CE375C">
            <w:pPr>
              <w:jc w:val="left"/>
              <w:rPr>
                <w:rFonts w:hint="eastAsia" w:ascii="宋体" w:hAnsi="宋体" w:eastAsia="宋体" w:cs="宋体"/>
                <w:szCs w:val="21"/>
              </w:rPr>
            </w:pPr>
            <w:r>
              <w:rPr>
                <w:rFonts w:hint="eastAsia" w:ascii="宋体" w:hAnsi="宋体" w:eastAsia="宋体" w:cs="宋体"/>
                <w:szCs w:val="21"/>
              </w:rPr>
              <w:t>（1）理解叙事诗与政治抒情诗的创作特征</w:t>
            </w:r>
          </w:p>
          <w:p w14:paraId="2A2E9113">
            <w:pPr>
              <w:jc w:val="left"/>
              <w:rPr>
                <w:rFonts w:hint="eastAsia" w:ascii="宋体" w:hAnsi="宋体" w:eastAsia="宋体" w:cs="宋体"/>
                <w:szCs w:val="21"/>
              </w:rPr>
            </w:pPr>
            <w:r>
              <w:rPr>
                <w:rFonts w:hint="eastAsia" w:ascii="宋体" w:hAnsi="宋体" w:eastAsia="宋体" w:cs="宋体"/>
                <w:szCs w:val="21"/>
              </w:rPr>
              <w:t>（2）理解50-70年代散文创作的主要特征</w:t>
            </w:r>
          </w:p>
          <w:p w14:paraId="578058C6">
            <w:pPr>
              <w:jc w:val="left"/>
              <w:rPr>
                <w:rFonts w:hint="eastAsia" w:ascii="宋体" w:hAnsi="宋体" w:eastAsia="宋体" w:cs="宋体"/>
                <w:szCs w:val="21"/>
              </w:rPr>
            </w:pPr>
            <w:r>
              <w:rPr>
                <w:rFonts w:hint="eastAsia" w:ascii="宋体" w:hAnsi="宋体" w:eastAsia="宋体" w:cs="宋体"/>
                <w:szCs w:val="21"/>
              </w:rPr>
              <w:t>（3）理解50-70年代杂文创作的主要特征</w:t>
            </w:r>
          </w:p>
          <w:p w14:paraId="71DA79B8">
            <w:pPr>
              <w:jc w:val="left"/>
              <w:rPr>
                <w:rFonts w:hint="eastAsia" w:ascii="宋体" w:hAnsi="宋体" w:eastAsia="宋体" w:cs="宋体"/>
                <w:szCs w:val="21"/>
              </w:rPr>
            </w:pPr>
            <w:r>
              <w:rPr>
                <w:rFonts w:hint="eastAsia" w:ascii="宋体" w:hAnsi="宋体" w:eastAsia="宋体" w:cs="宋体"/>
                <w:szCs w:val="21"/>
              </w:rPr>
              <w:t>（4）理解50-70诗歌中的国家意识，培养学生爱国主义情操。</w:t>
            </w:r>
          </w:p>
        </w:tc>
        <w:tc>
          <w:tcPr>
            <w:tcW w:w="1506" w:type="dxa"/>
            <w:vAlign w:val="center"/>
          </w:tcPr>
          <w:p w14:paraId="657C8738">
            <w:pPr>
              <w:jc w:val="left"/>
              <w:rPr>
                <w:rFonts w:hint="eastAsia" w:ascii="宋体" w:hAnsi="宋体" w:eastAsia="宋体" w:cs="宋体"/>
                <w:szCs w:val="21"/>
              </w:rPr>
            </w:pPr>
            <w:r>
              <w:rPr>
                <w:rFonts w:hint="eastAsia" w:ascii="宋体" w:hAnsi="宋体" w:eastAsia="宋体" w:cs="宋体"/>
                <w:szCs w:val="21"/>
              </w:rPr>
              <w:t>1.线上学习</w:t>
            </w:r>
          </w:p>
          <w:p w14:paraId="755C6773">
            <w:pPr>
              <w:jc w:val="left"/>
              <w:rPr>
                <w:rFonts w:hint="eastAsia" w:ascii="宋体" w:hAnsi="宋体" w:eastAsia="宋体" w:cs="宋体"/>
                <w:szCs w:val="21"/>
              </w:rPr>
            </w:pPr>
            <w:r>
              <w:rPr>
                <w:rFonts w:hint="eastAsia" w:ascii="宋体" w:hAnsi="宋体" w:eastAsia="宋体" w:cs="宋体"/>
                <w:szCs w:val="21"/>
              </w:rPr>
              <w:t>2.多媒体教学3.课堂讨论</w:t>
            </w:r>
          </w:p>
          <w:p w14:paraId="74F9AD7F">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2981D1C1">
            <w:pPr>
              <w:jc w:val="center"/>
              <w:rPr>
                <w:rFonts w:hint="eastAsia" w:ascii="宋体" w:hAnsi="宋体" w:eastAsia="宋体" w:cs="宋体"/>
                <w:szCs w:val="21"/>
              </w:rPr>
            </w:pPr>
            <w:r>
              <w:rPr>
                <w:rFonts w:hint="eastAsia" w:ascii="宋体" w:hAnsi="宋体" w:eastAsia="宋体" w:cs="宋体"/>
                <w:szCs w:val="21"/>
              </w:rPr>
              <w:t>4</w:t>
            </w:r>
          </w:p>
        </w:tc>
      </w:tr>
      <w:tr w14:paraId="640A5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09E18BCC">
            <w:pPr>
              <w:jc w:val="center"/>
              <w:rPr>
                <w:rFonts w:hint="eastAsia" w:ascii="宋体" w:hAnsi="宋体" w:eastAsia="宋体" w:cs="宋体"/>
                <w:szCs w:val="21"/>
              </w:rPr>
            </w:pPr>
          </w:p>
        </w:tc>
        <w:tc>
          <w:tcPr>
            <w:tcW w:w="7892" w:type="dxa"/>
            <w:gridSpan w:val="5"/>
            <w:vAlign w:val="center"/>
          </w:tcPr>
          <w:p w14:paraId="2CBCDA2A">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以马克思主义文学理论解读此阶段的诗文创作，对学生进行理想信念教育，树立健全的唯物史观，坚持文化自信。通过诗文的阅读和欣赏了解中国故事的发展演变。</w:t>
            </w:r>
          </w:p>
        </w:tc>
      </w:tr>
      <w:tr w14:paraId="61FF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7C4EC528">
            <w:pPr>
              <w:jc w:val="center"/>
              <w:rPr>
                <w:rFonts w:hint="eastAsia" w:ascii="宋体" w:hAnsi="宋体" w:eastAsia="宋体" w:cs="宋体"/>
                <w:szCs w:val="21"/>
              </w:rPr>
            </w:pPr>
            <w:r>
              <w:rPr>
                <w:rFonts w:hint="eastAsia" w:ascii="宋体" w:hAnsi="宋体" w:eastAsia="宋体" w:cs="宋体"/>
                <w:szCs w:val="21"/>
              </w:rPr>
              <w:t>7.50-70年代小说：农村题材小说</w:t>
            </w:r>
          </w:p>
        </w:tc>
        <w:tc>
          <w:tcPr>
            <w:tcW w:w="2245" w:type="dxa"/>
            <w:vAlign w:val="center"/>
          </w:tcPr>
          <w:p w14:paraId="74EE7CEC">
            <w:pPr>
              <w:jc w:val="left"/>
              <w:rPr>
                <w:rFonts w:hint="eastAsia" w:ascii="宋体" w:hAnsi="宋体" w:eastAsia="宋体" w:cs="宋体"/>
                <w:szCs w:val="21"/>
              </w:rPr>
            </w:pPr>
            <w:r>
              <w:rPr>
                <w:rFonts w:hint="eastAsia" w:ascii="宋体" w:hAnsi="宋体" w:eastAsia="宋体" w:cs="宋体"/>
                <w:szCs w:val="21"/>
              </w:rPr>
              <w:t>（1）农村小说的当代形态</w:t>
            </w:r>
          </w:p>
          <w:p w14:paraId="7C3B716D">
            <w:pPr>
              <w:jc w:val="left"/>
              <w:rPr>
                <w:rFonts w:hint="eastAsia" w:ascii="宋体" w:hAnsi="宋体" w:eastAsia="宋体" w:cs="宋体"/>
                <w:szCs w:val="21"/>
              </w:rPr>
            </w:pPr>
            <w:r>
              <w:rPr>
                <w:rFonts w:hint="eastAsia" w:ascii="宋体" w:hAnsi="宋体" w:eastAsia="宋体" w:cs="宋体"/>
                <w:szCs w:val="21"/>
              </w:rPr>
              <w:t xml:space="preserve">     （2）赵树理与赵树理的“评价史”</w:t>
            </w:r>
          </w:p>
          <w:p w14:paraId="0F7B6101">
            <w:pPr>
              <w:jc w:val="left"/>
              <w:rPr>
                <w:rFonts w:hint="eastAsia" w:ascii="宋体" w:hAnsi="宋体" w:eastAsia="宋体" w:cs="宋体"/>
                <w:szCs w:val="21"/>
              </w:rPr>
            </w:pPr>
            <w:r>
              <w:rPr>
                <w:rFonts w:hint="eastAsia" w:ascii="宋体" w:hAnsi="宋体" w:eastAsia="宋体" w:cs="宋体"/>
                <w:szCs w:val="21"/>
              </w:rPr>
              <w:t xml:space="preserve">     （3）柳青的《创作史》</w:t>
            </w:r>
          </w:p>
          <w:p w14:paraId="0B452754">
            <w:pPr>
              <w:jc w:val="left"/>
              <w:rPr>
                <w:rFonts w:hint="eastAsia" w:ascii="宋体" w:hAnsi="宋体" w:eastAsia="宋体" w:cs="宋体"/>
                <w:szCs w:val="21"/>
              </w:rPr>
            </w:pPr>
            <w:r>
              <w:rPr>
                <w:rFonts w:hint="eastAsia" w:ascii="宋体" w:hAnsi="宋体" w:eastAsia="宋体" w:cs="宋体"/>
                <w:szCs w:val="21"/>
              </w:rPr>
              <w:t xml:space="preserve">     （4）周立波的《山乡巨变》</w:t>
            </w:r>
          </w:p>
          <w:p w14:paraId="77026B53">
            <w:pPr>
              <w:jc w:val="left"/>
              <w:rPr>
                <w:rFonts w:hint="eastAsia" w:ascii="宋体" w:hAnsi="宋体" w:eastAsia="宋体" w:cs="宋体"/>
                <w:szCs w:val="21"/>
              </w:rPr>
            </w:pPr>
            <w:r>
              <w:rPr>
                <w:rFonts w:hint="eastAsia" w:ascii="宋体" w:hAnsi="宋体" w:eastAsia="宋体" w:cs="宋体"/>
                <w:szCs w:val="21"/>
              </w:rPr>
              <w:t xml:space="preserve">     （5）作品选读：赵树理《锻炼锻炼》；柳青《创业史》；周立波《山乡巨变》</w:t>
            </w:r>
          </w:p>
        </w:tc>
        <w:tc>
          <w:tcPr>
            <w:tcW w:w="1163" w:type="dxa"/>
            <w:vAlign w:val="center"/>
          </w:tcPr>
          <w:p w14:paraId="32DC36A1">
            <w:pPr>
              <w:jc w:val="center"/>
              <w:rPr>
                <w:rFonts w:hint="eastAsia" w:ascii="宋体" w:hAnsi="宋体" w:eastAsia="宋体" w:cs="宋体"/>
                <w:szCs w:val="21"/>
              </w:rPr>
            </w:pPr>
            <w:r>
              <w:rPr>
                <w:rFonts w:hint="eastAsia" w:ascii="宋体" w:hAnsi="宋体" w:eastAsia="宋体" w:cs="宋体"/>
                <w:szCs w:val="21"/>
              </w:rPr>
              <w:t>课程目标1、2、3</w:t>
            </w:r>
          </w:p>
        </w:tc>
        <w:tc>
          <w:tcPr>
            <w:tcW w:w="2540" w:type="dxa"/>
            <w:vAlign w:val="center"/>
          </w:tcPr>
          <w:p w14:paraId="4528927C">
            <w:pPr>
              <w:rPr>
                <w:rFonts w:hint="eastAsia" w:ascii="宋体" w:hAnsi="宋体" w:eastAsia="宋体" w:cs="宋体"/>
                <w:szCs w:val="21"/>
              </w:rPr>
            </w:pPr>
            <w:r>
              <w:rPr>
                <w:rFonts w:hint="eastAsia" w:ascii="宋体" w:hAnsi="宋体" w:eastAsia="宋体" w:cs="宋体"/>
                <w:szCs w:val="21"/>
              </w:rPr>
              <w:t>（1）理解农村题材小说的创作特征</w:t>
            </w:r>
          </w:p>
          <w:p w14:paraId="40886A46">
            <w:pPr>
              <w:rPr>
                <w:rFonts w:hint="eastAsia" w:ascii="宋体" w:hAnsi="宋体" w:eastAsia="宋体" w:cs="宋体"/>
                <w:szCs w:val="21"/>
              </w:rPr>
            </w:pPr>
            <w:r>
              <w:rPr>
                <w:rFonts w:hint="eastAsia" w:ascii="宋体" w:hAnsi="宋体" w:eastAsia="宋体" w:cs="宋体"/>
                <w:szCs w:val="21"/>
              </w:rPr>
              <w:t>（2）理解赵树理在当代文学中创作特点</w:t>
            </w:r>
          </w:p>
          <w:p w14:paraId="4C61E75B">
            <w:pPr>
              <w:rPr>
                <w:rFonts w:hint="eastAsia" w:ascii="宋体" w:hAnsi="宋体" w:eastAsia="宋体" w:cs="宋体"/>
                <w:szCs w:val="21"/>
              </w:rPr>
            </w:pPr>
            <w:r>
              <w:rPr>
                <w:rFonts w:hint="eastAsia" w:ascii="宋体" w:hAnsi="宋体" w:eastAsia="宋体" w:cs="宋体"/>
                <w:szCs w:val="21"/>
              </w:rPr>
              <w:t>（3）理解《创业史》的叙事主旨、人物塑造及争论</w:t>
            </w:r>
          </w:p>
          <w:p w14:paraId="62F5656C">
            <w:pPr>
              <w:rPr>
                <w:rFonts w:hint="eastAsia" w:ascii="宋体" w:hAnsi="宋体" w:eastAsia="宋体" w:cs="宋体"/>
                <w:szCs w:val="21"/>
              </w:rPr>
            </w:pPr>
            <w:r>
              <w:rPr>
                <w:rFonts w:hint="eastAsia" w:ascii="宋体" w:hAnsi="宋体" w:eastAsia="宋体" w:cs="宋体"/>
                <w:szCs w:val="21"/>
              </w:rPr>
              <w:t>（4）理解50-70小说的国家意识和革命文化理念，加强革命文化教育。</w:t>
            </w:r>
          </w:p>
        </w:tc>
        <w:tc>
          <w:tcPr>
            <w:tcW w:w="1506" w:type="dxa"/>
            <w:vAlign w:val="center"/>
          </w:tcPr>
          <w:p w14:paraId="7B40D87E">
            <w:pPr>
              <w:jc w:val="left"/>
              <w:rPr>
                <w:rFonts w:hint="eastAsia" w:ascii="宋体" w:hAnsi="宋体" w:eastAsia="宋体" w:cs="宋体"/>
                <w:szCs w:val="21"/>
              </w:rPr>
            </w:pPr>
            <w:r>
              <w:rPr>
                <w:rFonts w:hint="eastAsia" w:ascii="宋体" w:hAnsi="宋体" w:eastAsia="宋体" w:cs="宋体"/>
                <w:szCs w:val="21"/>
              </w:rPr>
              <w:t>1.线上学习</w:t>
            </w:r>
          </w:p>
          <w:p w14:paraId="01BE4812">
            <w:pPr>
              <w:jc w:val="left"/>
              <w:rPr>
                <w:rFonts w:hint="eastAsia" w:ascii="宋体" w:hAnsi="宋体" w:eastAsia="宋体" w:cs="宋体"/>
                <w:szCs w:val="21"/>
              </w:rPr>
            </w:pPr>
            <w:r>
              <w:rPr>
                <w:rFonts w:hint="eastAsia" w:ascii="宋体" w:hAnsi="宋体" w:eastAsia="宋体" w:cs="宋体"/>
                <w:szCs w:val="21"/>
              </w:rPr>
              <w:t>2.多媒体教学3.课堂讨论</w:t>
            </w:r>
          </w:p>
          <w:p w14:paraId="7BDF9C66">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4C7FE84C">
            <w:pPr>
              <w:jc w:val="center"/>
              <w:rPr>
                <w:rFonts w:hint="eastAsia" w:ascii="宋体" w:hAnsi="宋体" w:eastAsia="宋体" w:cs="宋体"/>
                <w:szCs w:val="21"/>
              </w:rPr>
            </w:pPr>
            <w:r>
              <w:rPr>
                <w:rFonts w:hint="eastAsia" w:ascii="宋体" w:hAnsi="宋体" w:eastAsia="宋体" w:cs="宋体"/>
                <w:szCs w:val="21"/>
              </w:rPr>
              <w:t>4</w:t>
            </w:r>
          </w:p>
        </w:tc>
      </w:tr>
      <w:tr w14:paraId="06D8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227BA0C7">
            <w:pPr>
              <w:jc w:val="center"/>
              <w:rPr>
                <w:rFonts w:hint="eastAsia" w:ascii="宋体" w:hAnsi="宋体" w:eastAsia="宋体" w:cs="宋体"/>
                <w:szCs w:val="21"/>
              </w:rPr>
            </w:pPr>
          </w:p>
        </w:tc>
        <w:tc>
          <w:tcPr>
            <w:tcW w:w="7892" w:type="dxa"/>
            <w:gridSpan w:val="5"/>
            <w:vAlign w:val="center"/>
          </w:tcPr>
          <w:p w14:paraId="7BD3C922">
            <w:pPr>
              <w:ind w:firstLine="422" w:firstLineChars="200"/>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kern w:val="0"/>
                <w:szCs w:val="21"/>
              </w:rPr>
              <w:t>以马克思主义文学理论解读此阶段的小说创作，了解党的农业农村建设方针政策，了解建国后“三农”问题在文学史中的文学再现。树立健全的唯物史观，坚持文化自信。</w:t>
            </w:r>
          </w:p>
        </w:tc>
      </w:tr>
      <w:tr w14:paraId="5B038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29326218">
            <w:pPr>
              <w:jc w:val="center"/>
              <w:rPr>
                <w:rFonts w:hint="eastAsia" w:ascii="宋体" w:hAnsi="宋体" w:eastAsia="宋体" w:cs="宋体"/>
                <w:szCs w:val="21"/>
              </w:rPr>
            </w:pPr>
            <w:r>
              <w:rPr>
                <w:rFonts w:hint="eastAsia" w:ascii="宋体" w:hAnsi="宋体" w:eastAsia="宋体" w:cs="宋体"/>
                <w:szCs w:val="21"/>
              </w:rPr>
              <w:t>8.50-70年代小说：革命历史小说</w:t>
            </w:r>
          </w:p>
          <w:p w14:paraId="0CE9FFE6">
            <w:pPr>
              <w:jc w:val="center"/>
              <w:rPr>
                <w:rFonts w:hint="eastAsia" w:ascii="宋体" w:hAnsi="宋体" w:eastAsia="宋体" w:cs="宋体"/>
                <w:szCs w:val="21"/>
              </w:rPr>
            </w:pPr>
          </w:p>
        </w:tc>
        <w:tc>
          <w:tcPr>
            <w:tcW w:w="2245" w:type="dxa"/>
            <w:vAlign w:val="center"/>
          </w:tcPr>
          <w:p w14:paraId="080AD17B">
            <w:pPr>
              <w:jc w:val="left"/>
              <w:rPr>
                <w:rFonts w:hint="eastAsia" w:ascii="宋体" w:hAnsi="宋体" w:eastAsia="宋体" w:cs="宋体"/>
                <w:szCs w:val="21"/>
              </w:rPr>
            </w:pPr>
            <w:r>
              <w:rPr>
                <w:rFonts w:hint="eastAsia" w:ascii="宋体" w:hAnsi="宋体" w:eastAsia="宋体" w:cs="宋体"/>
                <w:szCs w:val="21"/>
              </w:rPr>
              <w:t>（1）革命历史小说的创作特征</w:t>
            </w:r>
          </w:p>
          <w:p w14:paraId="221314A2">
            <w:pPr>
              <w:jc w:val="left"/>
              <w:rPr>
                <w:rFonts w:hint="eastAsia" w:ascii="宋体" w:hAnsi="宋体" w:eastAsia="宋体" w:cs="宋体"/>
                <w:szCs w:val="21"/>
              </w:rPr>
            </w:pPr>
            <w:r>
              <w:rPr>
                <w:rFonts w:hint="eastAsia" w:ascii="宋体" w:hAnsi="宋体" w:eastAsia="宋体" w:cs="宋体"/>
                <w:szCs w:val="21"/>
              </w:rPr>
              <w:t>（2）吴强的《红日》与梁斌的《红旗谱》</w:t>
            </w:r>
          </w:p>
          <w:p w14:paraId="510B4020">
            <w:pPr>
              <w:jc w:val="left"/>
              <w:rPr>
                <w:rFonts w:hint="eastAsia" w:ascii="宋体" w:hAnsi="宋体" w:eastAsia="宋体" w:cs="宋体"/>
                <w:szCs w:val="21"/>
              </w:rPr>
            </w:pPr>
            <w:r>
              <w:rPr>
                <w:rFonts w:hint="eastAsia" w:ascii="宋体" w:hAnsi="宋体" w:eastAsia="宋体" w:cs="宋体"/>
                <w:szCs w:val="21"/>
              </w:rPr>
              <w:t>（3）《红岩》的写作方式</w:t>
            </w:r>
          </w:p>
          <w:p w14:paraId="37A7EB16">
            <w:pPr>
              <w:jc w:val="left"/>
              <w:rPr>
                <w:rFonts w:hint="eastAsia" w:ascii="宋体" w:hAnsi="宋体" w:eastAsia="宋体" w:cs="宋体"/>
                <w:szCs w:val="21"/>
              </w:rPr>
            </w:pPr>
            <w:r>
              <w:rPr>
                <w:rFonts w:hint="eastAsia" w:ascii="宋体" w:hAnsi="宋体" w:eastAsia="宋体" w:cs="宋体"/>
                <w:szCs w:val="21"/>
              </w:rPr>
              <w:t>（4）杨沫的《青春之歌》</w:t>
            </w:r>
          </w:p>
        </w:tc>
        <w:tc>
          <w:tcPr>
            <w:tcW w:w="1163" w:type="dxa"/>
            <w:vAlign w:val="center"/>
          </w:tcPr>
          <w:p w14:paraId="3FF26E34">
            <w:pPr>
              <w:jc w:val="center"/>
              <w:rPr>
                <w:rFonts w:hint="eastAsia" w:ascii="宋体" w:hAnsi="宋体" w:eastAsia="宋体" w:cs="宋体"/>
                <w:szCs w:val="21"/>
              </w:rPr>
            </w:pPr>
            <w:r>
              <w:rPr>
                <w:rFonts w:hint="eastAsia" w:ascii="宋体" w:hAnsi="宋体" w:eastAsia="宋体" w:cs="宋体"/>
                <w:szCs w:val="21"/>
              </w:rPr>
              <w:t>课程目标1、2、3</w:t>
            </w:r>
          </w:p>
        </w:tc>
        <w:tc>
          <w:tcPr>
            <w:tcW w:w="2540" w:type="dxa"/>
            <w:vAlign w:val="center"/>
          </w:tcPr>
          <w:p w14:paraId="527A981B">
            <w:pPr>
              <w:ind w:firstLine="344"/>
              <w:jc w:val="left"/>
              <w:rPr>
                <w:rFonts w:hint="eastAsia" w:ascii="宋体" w:hAnsi="宋体" w:eastAsia="宋体" w:cs="宋体"/>
                <w:szCs w:val="21"/>
              </w:rPr>
            </w:pPr>
            <w:r>
              <w:rPr>
                <w:rFonts w:hint="eastAsia" w:ascii="宋体" w:hAnsi="宋体" w:eastAsia="宋体" w:cs="宋体"/>
                <w:szCs w:val="21"/>
              </w:rPr>
              <w:t>（1）理解“革命历史小说”这一概念的基本内涵</w:t>
            </w:r>
          </w:p>
          <w:p w14:paraId="442A2E22">
            <w:pPr>
              <w:ind w:firstLine="344"/>
              <w:jc w:val="left"/>
              <w:rPr>
                <w:rFonts w:hint="eastAsia" w:ascii="宋体" w:hAnsi="宋体" w:eastAsia="宋体" w:cs="宋体"/>
                <w:szCs w:val="21"/>
              </w:rPr>
            </w:pPr>
            <w:r>
              <w:rPr>
                <w:rFonts w:hint="eastAsia" w:ascii="宋体" w:hAnsi="宋体" w:eastAsia="宋体" w:cs="宋体"/>
                <w:szCs w:val="21"/>
              </w:rPr>
              <w:t>（2）理解《红日》、《红旗谱》等作品的创作特征</w:t>
            </w:r>
          </w:p>
          <w:p w14:paraId="21389E87">
            <w:pPr>
              <w:ind w:firstLine="344"/>
              <w:jc w:val="left"/>
              <w:rPr>
                <w:rFonts w:hint="eastAsia" w:ascii="宋体" w:hAnsi="宋体" w:eastAsia="宋体" w:cs="宋体"/>
                <w:szCs w:val="21"/>
              </w:rPr>
            </w:pPr>
            <w:r>
              <w:rPr>
                <w:rFonts w:hint="eastAsia" w:ascii="宋体" w:hAnsi="宋体" w:eastAsia="宋体" w:cs="宋体"/>
                <w:szCs w:val="21"/>
              </w:rPr>
              <w:t>（3）理解《青春之歌》的创作特点</w:t>
            </w:r>
          </w:p>
          <w:p w14:paraId="14266229">
            <w:pPr>
              <w:ind w:firstLine="344"/>
              <w:jc w:val="left"/>
              <w:rPr>
                <w:rFonts w:hint="eastAsia" w:ascii="宋体" w:hAnsi="宋体" w:eastAsia="宋体" w:cs="宋体"/>
                <w:szCs w:val="21"/>
              </w:rPr>
            </w:pPr>
            <w:r>
              <w:rPr>
                <w:rFonts w:hint="eastAsia" w:ascii="宋体" w:hAnsi="宋体" w:eastAsia="宋体" w:cs="宋体"/>
                <w:szCs w:val="21"/>
              </w:rPr>
              <w:t>（4）理解50-70年代小说的国家意识和革命文化理念，加强革命文化教育。</w:t>
            </w:r>
          </w:p>
        </w:tc>
        <w:tc>
          <w:tcPr>
            <w:tcW w:w="1506" w:type="dxa"/>
            <w:vAlign w:val="center"/>
          </w:tcPr>
          <w:p w14:paraId="1F906C74">
            <w:pPr>
              <w:jc w:val="left"/>
              <w:rPr>
                <w:rFonts w:hint="eastAsia" w:ascii="宋体" w:hAnsi="宋体" w:eastAsia="宋体" w:cs="宋体"/>
                <w:szCs w:val="21"/>
              </w:rPr>
            </w:pPr>
            <w:r>
              <w:rPr>
                <w:rFonts w:hint="eastAsia" w:ascii="宋体" w:hAnsi="宋体" w:eastAsia="宋体" w:cs="宋体"/>
                <w:szCs w:val="21"/>
              </w:rPr>
              <w:t>1.线上学习</w:t>
            </w:r>
          </w:p>
          <w:p w14:paraId="029D6268">
            <w:pPr>
              <w:jc w:val="left"/>
              <w:rPr>
                <w:rFonts w:hint="eastAsia" w:ascii="宋体" w:hAnsi="宋体" w:eastAsia="宋体" w:cs="宋体"/>
                <w:szCs w:val="21"/>
              </w:rPr>
            </w:pPr>
            <w:r>
              <w:rPr>
                <w:rFonts w:hint="eastAsia" w:ascii="宋体" w:hAnsi="宋体" w:eastAsia="宋体" w:cs="宋体"/>
                <w:szCs w:val="21"/>
              </w:rPr>
              <w:t>2.多媒体教学3.课堂讨论</w:t>
            </w:r>
          </w:p>
          <w:p w14:paraId="6AD4CF19">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0119EF72">
            <w:pPr>
              <w:jc w:val="center"/>
              <w:rPr>
                <w:rFonts w:hint="eastAsia" w:ascii="宋体" w:hAnsi="宋体" w:eastAsia="宋体" w:cs="宋体"/>
                <w:szCs w:val="21"/>
              </w:rPr>
            </w:pPr>
            <w:r>
              <w:rPr>
                <w:rFonts w:hint="eastAsia" w:ascii="宋体" w:hAnsi="宋体" w:eastAsia="宋体" w:cs="宋体"/>
                <w:szCs w:val="21"/>
              </w:rPr>
              <w:t>4</w:t>
            </w:r>
          </w:p>
        </w:tc>
      </w:tr>
      <w:tr w14:paraId="36FA7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31896DA5">
            <w:pPr>
              <w:jc w:val="center"/>
              <w:rPr>
                <w:rFonts w:hint="eastAsia" w:ascii="宋体" w:hAnsi="宋体" w:eastAsia="宋体" w:cs="宋体"/>
                <w:szCs w:val="21"/>
              </w:rPr>
            </w:pPr>
          </w:p>
        </w:tc>
        <w:tc>
          <w:tcPr>
            <w:tcW w:w="7892" w:type="dxa"/>
            <w:gridSpan w:val="5"/>
            <w:vAlign w:val="center"/>
          </w:tcPr>
          <w:p w14:paraId="00401F39">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以马克思主义文学理论解读此阶段的小说创作，思考革命小说的发展历程，以唯物史观纵览革命文学以及革命文化事业，培养理性的爱国主义精神。</w:t>
            </w:r>
          </w:p>
        </w:tc>
      </w:tr>
      <w:tr w14:paraId="0B53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42B67FB2">
            <w:pPr>
              <w:jc w:val="center"/>
              <w:rPr>
                <w:rFonts w:hint="eastAsia" w:ascii="宋体" w:hAnsi="宋体" w:eastAsia="宋体" w:cs="宋体"/>
                <w:szCs w:val="21"/>
              </w:rPr>
            </w:pPr>
            <w:r>
              <w:rPr>
                <w:rFonts w:hint="eastAsia" w:ascii="宋体" w:hAnsi="宋体" w:eastAsia="宋体" w:cs="宋体"/>
                <w:szCs w:val="21"/>
              </w:rPr>
              <w:t>9.新时期文学：伤痕文学、反思文学与改革文学</w:t>
            </w:r>
          </w:p>
        </w:tc>
        <w:tc>
          <w:tcPr>
            <w:tcW w:w="2245" w:type="dxa"/>
            <w:vAlign w:val="center"/>
          </w:tcPr>
          <w:p w14:paraId="6E4DB530">
            <w:pPr>
              <w:jc w:val="left"/>
              <w:rPr>
                <w:rFonts w:hint="eastAsia" w:ascii="宋体" w:hAnsi="宋体" w:eastAsia="宋体" w:cs="宋体"/>
                <w:szCs w:val="21"/>
              </w:rPr>
            </w:pPr>
            <w:r>
              <w:rPr>
                <w:rFonts w:hint="eastAsia" w:ascii="宋体" w:hAnsi="宋体" w:eastAsia="宋体" w:cs="宋体"/>
                <w:szCs w:val="21"/>
              </w:rPr>
              <w:t>（1）新时期文学的建立与话语资源</w:t>
            </w:r>
          </w:p>
          <w:p w14:paraId="362CF75C">
            <w:pPr>
              <w:jc w:val="left"/>
              <w:rPr>
                <w:rFonts w:hint="eastAsia" w:ascii="宋体" w:hAnsi="宋体" w:eastAsia="宋体" w:cs="宋体"/>
                <w:szCs w:val="21"/>
              </w:rPr>
            </w:pPr>
            <w:r>
              <w:rPr>
                <w:rFonts w:hint="eastAsia" w:ascii="宋体" w:hAnsi="宋体" w:eastAsia="宋体" w:cs="宋体"/>
                <w:szCs w:val="21"/>
              </w:rPr>
              <w:t>（2）“伤痕文学”“反思文学”和“改革文学”的创作特征</w:t>
            </w:r>
          </w:p>
          <w:p w14:paraId="761A6740">
            <w:pPr>
              <w:jc w:val="left"/>
              <w:rPr>
                <w:rFonts w:hint="eastAsia" w:ascii="宋体" w:hAnsi="宋体" w:eastAsia="宋体" w:cs="宋体"/>
                <w:szCs w:val="21"/>
              </w:rPr>
            </w:pPr>
            <w:r>
              <w:rPr>
                <w:rFonts w:hint="eastAsia" w:ascii="宋体" w:hAnsi="宋体" w:eastAsia="宋体" w:cs="宋体"/>
                <w:szCs w:val="21"/>
              </w:rPr>
              <w:t>（3）作品选读：刘心武的《班主任》、卢新华的《伤痕》、高晓声《陈奂生上城》、蒋子龙的《乔厂长上任记》</w:t>
            </w:r>
          </w:p>
        </w:tc>
        <w:tc>
          <w:tcPr>
            <w:tcW w:w="1163" w:type="dxa"/>
            <w:vAlign w:val="center"/>
          </w:tcPr>
          <w:p w14:paraId="6DF7F27D">
            <w:pPr>
              <w:jc w:val="center"/>
              <w:rPr>
                <w:rFonts w:hint="eastAsia" w:ascii="宋体" w:hAnsi="宋体" w:eastAsia="宋体" w:cs="宋体"/>
                <w:szCs w:val="21"/>
              </w:rPr>
            </w:pPr>
            <w:r>
              <w:rPr>
                <w:rFonts w:hint="eastAsia" w:ascii="宋体" w:hAnsi="宋体" w:eastAsia="宋体" w:cs="宋体"/>
                <w:szCs w:val="21"/>
              </w:rPr>
              <w:t>课程目标1、2、3</w:t>
            </w:r>
          </w:p>
        </w:tc>
        <w:tc>
          <w:tcPr>
            <w:tcW w:w="2540" w:type="dxa"/>
            <w:vAlign w:val="center"/>
          </w:tcPr>
          <w:p w14:paraId="5C1EA982">
            <w:pPr>
              <w:jc w:val="left"/>
              <w:rPr>
                <w:rFonts w:hint="eastAsia" w:ascii="宋体" w:hAnsi="宋体" w:eastAsia="宋体" w:cs="宋体"/>
                <w:szCs w:val="21"/>
              </w:rPr>
            </w:pPr>
            <w:r>
              <w:rPr>
                <w:rFonts w:hint="eastAsia" w:ascii="宋体" w:hAnsi="宋体" w:eastAsia="宋体" w:cs="宋体"/>
                <w:szCs w:val="21"/>
              </w:rPr>
              <w:t>（1）理解新时期文学这一概念的内涵</w:t>
            </w:r>
          </w:p>
          <w:p w14:paraId="1F59C30F">
            <w:pPr>
              <w:jc w:val="left"/>
              <w:rPr>
                <w:rFonts w:hint="eastAsia" w:ascii="宋体" w:hAnsi="宋体" w:eastAsia="宋体" w:cs="宋体"/>
                <w:szCs w:val="21"/>
              </w:rPr>
            </w:pPr>
            <w:r>
              <w:rPr>
                <w:rFonts w:hint="eastAsia" w:ascii="宋体" w:hAnsi="宋体" w:eastAsia="宋体" w:cs="宋体"/>
                <w:szCs w:val="21"/>
              </w:rPr>
              <w:t>（2）了解伤痕文学、反思文学和改革文学的概念和特征</w:t>
            </w:r>
          </w:p>
          <w:p w14:paraId="519CE054">
            <w:pPr>
              <w:jc w:val="left"/>
              <w:rPr>
                <w:rFonts w:hint="eastAsia" w:ascii="宋体" w:hAnsi="宋体" w:eastAsia="宋体" w:cs="宋体"/>
                <w:szCs w:val="21"/>
              </w:rPr>
            </w:pPr>
            <w:r>
              <w:rPr>
                <w:rFonts w:hint="eastAsia" w:ascii="宋体" w:hAnsi="宋体" w:eastAsia="宋体" w:cs="宋体"/>
                <w:szCs w:val="21"/>
              </w:rPr>
              <w:t>（3）理解新时期小说的国家意识和社会责任意识，培育和树立社会主义核心价值观。</w:t>
            </w:r>
          </w:p>
        </w:tc>
        <w:tc>
          <w:tcPr>
            <w:tcW w:w="1506" w:type="dxa"/>
            <w:vAlign w:val="center"/>
          </w:tcPr>
          <w:p w14:paraId="0A56D41B">
            <w:pPr>
              <w:jc w:val="left"/>
              <w:rPr>
                <w:rFonts w:hint="eastAsia" w:ascii="宋体" w:hAnsi="宋体" w:eastAsia="宋体" w:cs="宋体"/>
                <w:szCs w:val="21"/>
              </w:rPr>
            </w:pPr>
            <w:r>
              <w:rPr>
                <w:rFonts w:hint="eastAsia" w:ascii="宋体" w:hAnsi="宋体" w:eastAsia="宋体" w:cs="宋体"/>
                <w:szCs w:val="21"/>
              </w:rPr>
              <w:t>1.线上学习</w:t>
            </w:r>
          </w:p>
          <w:p w14:paraId="4013BE44">
            <w:pPr>
              <w:jc w:val="left"/>
              <w:rPr>
                <w:rFonts w:hint="eastAsia" w:ascii="宋体" w:hAnsi="宋体" w:eastAsia="宋体" w:cs="宋体"/>
                <w:szCs w:val="21"/>
              </w:rPr>
            </w:pPr>
            <w:r>
              <w:rPr>
                <w:rFonts w:hint="eastAsia" w:ascii="宋体" w:hAnsi="宋体" w:eastAsia="宋体" w:cs="宋体"/>
                <w:szCs w:val="21"/>
              </w:rPr>
              <w:t>2.多媒体教学3.课堂讨论</w:t>
            </w:r>
          </w:p>
          <w:p w14:paraId="507701DB">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008F0F85">
            <w:pPr>
              <w:jc w:val="center"/>
              <w:rPr>
                <w:rFonts w:hint="eastAsia" w:ascii="宋体" w:hAnsi="宋体" w:eastAsia="宋体" w:cs="宋体"/>
                <w:szCs w:val="21"/>
              </w:rPr>
            </w:pPr>
            <w:r>
              <w:rPr>
                <w:rFonts w:hint="eastAsia" w:ascii="宋体" w:hAnsi="宋体" w:eastAsia="宋体" w:cs="宋体"/>
                <w:szCs w:val="21"/>
              </w:rPr>
              <w:t>4</w:t>
            </w:r>
          </w:p>
        </w:tc>
      </w:tr>
      <w:tr w14:paraId="68A4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0D90BE94">
            <w:pPr>
              <w:jc w:val="center"/>
              <w:rPr>
                <w:rFonts w:hint="eastAsia" w:ascii="宋体" w:hAnsi="宋体" w:eastAsia="宋体" w:cs="宋体"/>
                <w:szCs w:val="21"/>
              </w:rPr>
            </w:pPr>
          </w:p>
        </w:tc>
        <w:tc>
          <w:tcPr>
            <w:tcW w:w="7892" w:type="dxa"/>
            <w:gridSpan w:val="5"/>
            <w:vAlign w:val="center"/>
          </w:tcPr>
          <w:p w14:paraId="04EBE45C">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以马克思主义文学理论解读此阶段的文学创作，思考中国当代文学的发展历程，培养理性的爱国主义精神。在文学史的梳理中，培养社会主义核心价值观。</w:t>
            </w:r>
          </w:p>
        </w:tc>
      </w:tr>
      <w:tr w14:paraId="2B82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restart"/>
            <w:vAlign w:val="center"/>
          </w:tcPr>
          <w:p w14:paraId="0470F5C4">
            <w:pPr>
              <w:jc w:val="center"/>
              <w:rPr>
                <w:rFonts w:hint="eastAsia" w:ascii="宋体" w:hAnsi="宋体" w:eastAsia="宋体" w:cs="宋体"/>
                <w:szCs w:val="21"/>
              </w:rPr>
            </w:pPr>
            <w:r>
              <w:rPr>
                <w:rFonts w:hint="eastAsia" w:ascii="宋体" w:hAnsi="宋体" w:eastAsia="宋体" w:cs="宋体"/>
                <w:szCs w:val="21"/>
              </w:rPr>
              <w:t>10.80年代诗歌：“朦胧诗”和“第三代诗”</w:t>
            </w:r>
          </w:p>
        </w:tc>
        <w:tc>
          <w:tcPr>
            <w:tcW w:w="2245" w:type="dxa"/>
            <w:vAlign w:val="center"/>
          </w:tcPr>
          <w:p w14:paraId="7C91200A">
            <w:pPr>
              <w:jc w:val="left"/>
              <w:rPr>
                <w:rFonts w:hint="eastAsia" w:ascii="宋体" w:hAnsi="宋体" w:eastAsia="宋体" w:cs="宋体"/>
                <w:szCs w:val="21"/>
              </w:rPr>
            </w:pPr>
            <w:r>
              <w:rPr>
                <w:rFonts w:hint="eastAsia" w:ascii="宋体" w:hAnsi="宋体" w:eastAsia="宋体" w:cs="宋体"/>
                <w:szCs w:val="21"/>
              </w:rPr>
              <w:t>（1）“朦胧诗”及其争论</w:t>
            </w:r>
          </w:p>
          <w:p w14:paraId="6687168B">
            <w:pPr>
              <w:jc w:val="left"/>
              <w:rPr>
                <w:rFonts w:hint="eastAsia" w:ascii="宋体" w:hAnsi="宋体" w:eastAsia="宋体" w:cs="宋体"/>
                <w:szCs w:val="21"/>
              </w:rPr>
            </w:pPr>
            <w:r>
              <w:rPr>
                <w:rFonts w:hint="eastAsia" w:ascii="宋体" w:hAnsi="宋体" w:eastAsia="宋体" w:cs="宋体"/>
                <w:szCs w:val="21"/>
              </w:rPr>
              <w:t>（2）“新生代”或“第三代诗”的美学特征</w:t>
            </w:r>
          </w:p>
          <w:p w14:paraId="6778B686">
            <w:pPr>
              <w:jc w:val="left"/>
              <w:rPr>
                <w:rFonts w:hint="eastAsia" w:ascii="宋体" w:hAnsi="宋体" w:eastAsia="宋体" w:cs="宋体"/>
                <w:szCs w:val="21"/>
              </w:rPr>
            </w:pPr>
            <w:r>
              <w:rPr>
                <w:rFonts w:hint="eastAsia" w:ascii="宋体" w:hAnsi="宋体" w:eastAsia="宋体" w:cs="宋体"/>
                <w:szCs w:val="21"/>
              </w:rPr>
              <w:t>（3）作品选读：北岛《回答》、梁小斌《中国，我的钥匙丢了》、舒婷《神女峰》、顾城《远和近》、海子《面朝大海，春暖花开》、韩东《有关大雁塔》、于坚《尚义街六号》</w:t>
            </w:r>
          </w:p>
        </w:tc>
        <w:tc>
          <w:tcPr>
            <w:tcW w:w="1163" w:type="dxa"/>
            <w:vAlign w:val="center"/>
          </w:tcPr>
          <w:p w14:paraId="1CFF1F54">
            <w:pPr>
              <w:jc w:val="center"/>
              <w:rPr>
                <w:rFonts w:hint="eastAsia" w:ascii="宋体" w:hAnsi="宋体" w:eastAsia="宋体" w:cs="宋体"/>
                <w:szCs w:val="21"/>
              </w:rPr>
            </w:pPr>
            <w:r>
              <w:rPr>
                <w:rFonts w:hint="eastAsia" w:ascii="宋体" w:hAnsi="宋体" w:eastAsia="宋体" w:cs="宋体"/>
                <w:szCs w:val="21"/>
              </w:rPr>
              <w:t>课程目标1、2、3</w:t>
            </w:r>
          </w:p>
        </w:tc>
        <w:tc>
          <w:tcPr>
            <w:tcW w:w="2540" w:type="dxa"/>
            <w:vAlign w:val="center"/>
          </w:tcPr>
          <w:p w14:paraId="02619B88">
            <w:pPr>
              <w:jc w:val="left"/>
              <w:rPr>
                <w:rFonts w:hint="eastAsia" w:ascii="宋体" w:hAnsi="宋体" w:eastAsia="宋体" w:cs="宋体"/>
                <w:szCs w:val="21"/>
              </w:rPr>
            </w:pPr>
            <w:r>
              <w:rPr>
                <w:rFonts w:hint="eastAsia" w:ascii="宋体" w:hAnsi="宋体" w:eastAsia="宋体" w:cs="宋体"/>
                <w:szCs w:val="21"/>
              </w:rPr>
              <w:t>（1）理解“朦胧诗”的内涵和艺术特征</w:t>
            </w:r>
          </w:p>
          <w:p w14:paraId="759864DA">
            <w:pPr>
              <w:jc w:val="left"/>
              <w:rPr>
                <w:rFonts w:hint="eastAsia" w:ascii="宋体" w:hAnsi="宋体" w:eastAsia="宋体" w:cs="宋体"/>
                <w:szCs w:val="21"/>
              </w:rPr>
            </w:pPr>
            <w:r>
              <w:rPr>
                <w:rFonts w:hint="eastAsia" w:ascii="宋体" w:hAnsi="宋体" w:eastAsia="宋体" w:cs="宋体"/>
                <w:szCs w:val="21"/>
              </w:rPr>
              <w:t>（2）理解“第三代诗”的美学特征</w:t>
            </w:r>
          </w:p>
          <w:p w14:paraId="72620517">
            <w:pPr>
              <w:jc w:val="left"/>
              <w:rPr>
                <w:rFonts w:hint="eastAsia" w:ascii="宋体" w:hAnsi="宋体" w:eastAsia="宋体" w:cs="宋体"/>
                <w:szCs w:val="21"/>
              </w:rPr>
            </w:pPr>
            <w:r>
              <w:rPr>
                <w:rFonts w:hint="eastAsia" w:ascii="宋体" w:hAnsi="宋体" w:eastAsia="宋体" w:cs="宋体"/>
                <w:szCs w:val="21"/>
              </w:rPr>
              <w:t>（3）理解朦胧诗的人文内涵，培养学生的文学职业素养，践行社会主义核心价值观。</w:t>
            </w:r>
          </w:p>
        </w:tc>
        <w:tc>
          <w:tcPr>
            <w:tcW w:w="1506" w:type="dxa"/>
            <w:vAlign w:val="center"/>
          </w:tcPr>
          <w:p w14:paraId="356A4AE7">
            <w:pPr>
              <w:jc w:val="left"/>
              <w:rPr>
                <w:rFonts w:hint="eastAsia" w:ascii="宋体" w:hAnsi="宋体" w:eastAsia="宋体" w:cs="宋体"/>
                <w:szCs w:val="21"/>
              </w:rPr>
            </w:pPr>
            <w:r>
              <w:rPr>
                <w:rFonts w:hint="eastAsia" w:ascii="宋体" w:hAnsi="宋体" w:eastAsia="宋体" w:cs="宋体"/>
                <w:szCs w:val="21"/>
              </w:rPr>
              <w:t>1.线上学习</w:t>
            </w:r>
          </w:p>
          <w:p w14:paraId="49C84A06">
            <w:pPr>
              <w:jc w:val="left"/>
              <w:rPr>
                <w:rFonts w:hint="eastAsia" w:ascii="宋体" w:hAnsi="宋体" w:eastAsia="宋体" w:cs="宋体"/>
                <w:szCs w:val="21"/>
              </w:rPr>
            </w:pPr>
            <w:r>
              <w:rPr>
                <w:rFonts w:hint="eastAsia" w:ascii="宋体" w:hAnsi="宋体" w:eastAsia="宋体" w:cs="宋体"/>
                <w:szCs w:val="21"/>
              </w:rPr>
              <w:t>2.多媒体教学3.课堂讨论</w:t>
            </w:r>
          </w:p>
          <w:p w14:paraId="23CC944F">
            <w:pPr>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7A626327">
            <w:pPr>
              <w:jc w:val="center"/>
              <w:rPr>
                <w:rFonts w:hint="eastAsia" w:ascii="宋体" w:hAnsi="宋体" w:eastAsia="宋体" w:cs="宋体"/>
                <w:szCs w:val="21"/>
              </w:rPr>
            </w:pPr>
            <w:r>
              <w:rPr>
                <w:rFonts w:hint="eastAsia" w:ascii="宋体" w:hAnsi="宋体" w:eastAsia="宋体" w:cs="宋体"/>
                <w:szCs w:val="21"/>
              </w:rPr>
              <w:t>6</w:t>
            </w:r>
          </w:p>
        </w:tc>
      </w:tr>
      <w:tr w14:paraId="48A2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6" w:type="dxa"/>
            <w:vMerge w:val="continue"/>
            <w:vAlign w:val="center"/>
          </w:tcPr>
          <w:p w14:paraId="5251F8BE">
            <w:pPr>
              <w:jc w:val="center"/>
              <w:rPr>
                <w:rFonts w:hint="eastAsia" w:ascii="宋体" w:hAnsi="宋体" w:eastAsia="宋体" w:cs="宋体"/>
                <w:szCs w:val="21"/>
              </w:rPr>
            </w:pPr>
          </w:p>
        </w:tc>
        <w:tc>
          <w:tcPr>
            <w:tcW w:w="7892" w:type="dxa"/>
            <w:gridSpan w:val="5"/>
            <w:vAlign w:val="center"/>
          </w:tcPr>
          <w:p w14:paraId="2DC062FF">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以马克思主义文学理论解读此阶段的诗歌创作，启发现代文学的创作创新能力，将歌咏新时代作为中国社会发展的文学主旋律。</w:t>
            </w:r>
          </w:p>
        </w:tc>
      </w:tr>
    </w:tbl>
    <w:p w14:paraId="21CF2EE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244614A1">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（一）课程目标评价方式</w:t>
      </w:r>
    </w:p>
    <w:p w14:paraId="2F922261">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根据总体设计，用于评价各课程目标的评价方式如下表所示。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79F3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143DBE6E">
            <w:pPr>
              <w:spacing w:line="360" w:lineRule="auto"/>
              <w:jc w:val="center"/>
              <w:rPr>
                <w:rFonts w:hint="eastAsia" w:ascii="宋体" w:hAnsi="宋体" w:eastAsia="宋体" w:cs="宋体"/>
                <w:szCs w:val="21"/>
              </w:rPr>
            </w:pPr>
            <w:r>
              <w:rPr>
                <w:rFonts w:hint="eastAsia" w:ascii="宋体" w:hAnsi="宋体" w:eastAsia="宋体" w:cs="宋体"/>
                <w:szCs w:val="21"/>
              </w:rPr>
              <w:t>课程目标</w:t>
            </w:r>
          </w:p>
        </w:tc>
        <w:tc>
          <w:tcPr>
            <w:tcW w:w="0" w:type="auto"/>
            <w:gridSpan w:val="6"/>
            <w:vAlign w:val="center"/>
          </w:tcPr>
          <w:p w14:paraId="1FBF379D">
            <w:pPr>
              <w:spacing w:line="360" w:lineRule="auto"/>
              <w:jc w:val="center"/>
              <w:rPr>
                <w:rFonts w:hint="eastAsia" w:ascii="宋体" w:hAnsi="宋体" w:eastAsia="宋体" w:cs="宋体"/>
                <w:szCs w:val="21"/>
              </w:rPr>
            </w:pPr>
            <w:r>
              <w:rPr>
                <w:rFonts w:hint="eastAsia" w:ascii="宋体" w:hAnsi="宋体" w:eastAsia="宋体" w:cs="宋体"/>
                <w:szCs w:val="21"/>
              </w:rPr>
              <w:t>评价与成绩评定方法</w:t>
            </w:r>
          </w:p>
        </w:tc>
        <w:tc>
          <w:tcPr>
            <w:tcW w:w="0" w:type="auto"/>
            <w:vMerge w:val="restart"/>
            <w:vAlign w:val="center"/>
          </w:tcPr>
          <w:p w14:paraId="05C5379D">
            <w:pPr>
              <w:spacing w:line="360" w:lineRule="auto"/>
              <w:jc w:val="center"/>
              <w:rPr>
                <w:rFonts w:hint="eastAsia" w:ascii="宋体" w:hAnsi="宋体" w:eastAsia="宋体" w:cs="宋体"/>
                <w:szCs w:val="21"/>
              </w:rPr>
            </w:pPr>
            <w:r>
              <w:rPr>
                <w:rFonts w:hint="eastAsia" w:ascii="宋体" w:hAnsi="宋体" w:eastAsia="宋体" w:cs="宋体"/>
                <w:szCs w:val="21"/>
              </w:rPr>
              <w:t>分值</w:t>
            </w:r>
          </w:p>
        </w:tc>
      </w:tr>
      <w:tr w14:paraId="5516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19DDCAC">
            <w:pPr>
              <w:spacing w:line="360" w:lineRule="auto"/>
              <w:jc w:val="center"/>
              <w:rPr>
                <w:rFonts w:hint="eastAsia" w:ascii="宋体" w:hAnsi="宋体" w:eastAsia="宋体" w:cs="宋体"/>
                <w:szCs w:val="21"/>
              </w:rPr>
            </w:pPr>
          </w:p>
        </w:tc>
        <w:tc>
          <w:tcPr>
            <w:tcW w:w="0" w:type="auto"/>
            <w:vAlign w:val="center"/>
          </w:tcPr>
          <w:p w14:paraId="202764EA">
            <w:pPr>
              <w:spacing w:line="360" w:lineRule="auto"/>
              <w:jc w:val="center"/>
              <w:rPr>
                <w:rFonts w:hint="eastAsia" w:ascii="宋体" w:hAnsi="宋体" w:eastAsia="宋体" w:cs="宋体"/>
                <w:szCs w:val="21"/>
              </w:rPr>
            </w:pPr>
            <w:r>
              <w:rPr>
                <w:rFonts w:hint="eastAsia" w:ascii="宋体" w:hAnsi="宋体" w:eastAsia="宋体" w:cs="宋体"/>
                <w:szCs w:val="21"/>
              </w:rPr>
              <w:t>平时作业</w:t>
            </w:r>
          </w:p>
        </w:tc>
        <w:tc>
          <w:tcPr>
            <w:tcW w:w="0" w:type="auto"/>
            <w:vAlign w:val="center"/>
          </w:tcPr>
          <w:p w14:paraId="225721DA">
            <w:pPr>
              <w:spacing w:line="360" w:lineRule="auto"/>
              <w:jc w:val="center"/>
              <w:rPr>
                <w:rFonts w:hint="eastAsia" w:ascii="宋体" w:hAnsi="宋体" w:eastAsia="宋体" w:cs="宋体"/>
                <w:szCs w:val="21"/>
              </w:rPr>
            </w:pPr>
            <w:r>
              <w:rPr>
                <w:rFonts w:hint="eastAsia" w:ascii="宋体" w:hAnsi="宋体" w:eastAsia="宋体" w:cs="宋体"/>
                <w:szCs w:val="21"/>
              </w:rPr>
              <w:t>课堂表现</w:t>
            </w:r>
          </w:p>
        </w:tc>
        <w:tc>
          <w:tcPr>
            <w:tcW w:w="0" w:type="auto"/>
            <w:vAlign w:val="center"/>
          </w:tcPr>
          <w:p w14:paraId="03BA7A0F">
            <w:pPr>
              <w:spacing w:line="360" w:lineRule="auto"/>
              <w:jc w:val="center"/>
              <w:rPr>
                <w:rFonts w:hint="eastAsia" w:ascii="宋体" w:hAnsi="宋体" w:eastAsia="宋体" w:cs="宋体"/>
                <w:szCs w:val="21"/>
              </w:rPr>
            </w:pPr>
            <w:r>
              <w:rPr>
                <w:rFonts w:hint="eastAsia" w:ascii="宋体" w:hAnsi="宋体" w:eastAsia="宋体" w:cs="宋体"/>
                <w:szCs w:val="21"/>
              </w:rPr>
              <w:t>单元测验</w:t>
            </w:r>
          </w:p>
        </w:tc>
        <w:tc>
          <w:tcPr>
            <w:tcW w:w="0" w:type="auto"/>
            <w:vAlign w:val="center"/>
          </w:tcPr>
          <w:p w14:paraId="23E942B7">
            <w:pPr>
              <w:spacing w:line="360" w:lineRule="auto"/>
              <w:jc w:val="center"/>
              <w:rPr>
                <w:rFonts w:hint="eastAsia" w:ascii="宋体" w:hAnsi="宋体" w:eastAsia="宋体" w:cs="宋体"/>
                <w:szCs w:val="21"/>
              </w:rPr>
            </w:pPr>
            <w:r>
              <w:rPr>
                <w:rFonts w:hint="eastAsia" w:ascii="宋体" w:hAnsi="宋体" w:eastAsia="宋体" w:cs="宋体"/>
                <w:szCs w:val="21"/>
              </w:rPr>
              <w:t>个人展示</w:t>
            </w:r>
          </w:p>
        </w:tc>
        <w:tc>
          <w:tcPr>
            <w:tcW w:w="0" w:type="auto"/>
            <w:vAlign w:val="center"/>
          </w:tcPr>
          <w:p w14:paraId="46B13D96">
            <w:pPr>
              <w:spacing w:line="360" w:lineRule="auto"/>
              <w:jc w:val="center"/>
              <w:rPr>
                <w:rFonts w:hint="eastAsia" w:ascii="宋体" w:hAnsi="宋体" w:eastAsia="宋体" w:cs="宋体"/>
                <w:szCs w:val="21"/>
              </w:rPr>
            </w:pPr>
            <w:r>
              <w:rPr>
                <w:rFonts w:hint="eastAsia" w:ascii="宋体" w:hAnsi="宋体" w:eastAsia="宋体" w:cs="宋体"/>
                <w:szCs w:val="21"/>
              </w:rPr>
              <w:t>期末考试</w:t>
            </w:r>
          </w:p>
        </w:tc>
        <w:tc>
          <w:tcPr>
            <w:tcW w:w="0" w:type="auto"/>
          </w:tcPr>
          <w:p w14:paraId="1894702F">
            <w:pPr>
              <w:spacing w:line="360" w:lineRule="auto"/>
              <w:jc w:val="center"/>
              <w:rPr>
                <w:rFonts w:hint="eastAsia" w:ascii="宋体" w:hAnsi="宋体" w:eastAsia="宋体" w:cs="宋体"/>
                <w:szCs w:val="21"/>
              </w:rPr>
            </w:pPr>
            <w:r>
              <w:rPr>
                <w:rFonts w:hint="eastAsia" w:ascii="宋体" w:hAnsi="宋体" w:eastAsia="宋体" w:cs="宋体"/>
                <w:szCs w:val="21"/>
              </w:rPr>
              <w:t>自主学习</w:t>
            </w:r>
          </w:p>
        </w:tc>
        <w:tc>
          <w:tcPr>
            <w:tcW w:w="0" w:type="auto"/>
            <w:vMerge w:val="continue"/>
            <w:vAlign w:val="center"/>
          </w:tcPr>
          <w:p w14:paraId="11A07E37">
            <w:pPr>
              <w:spacing w:line="360" w:lineRule="auto"/>
              <w:jc w:val="center"/>
              <w:rPr>
                <w:rFonts w:hint="eastAsia" w:ascii="宋体" w:hAnsi="宋体" w:eastAsia="宋体" w:cs="宋体"/>
                <w:szCs w:val="21"/>
              </w:rPr>
            </w:pPr>
          </w:p>
        </w:tc>
      </w:tr>
      <w:tr w14:paraId="5004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218E5BA">
            <w:pPr>
              <w:spacing w:line="360" w:lineRule="auto"/>
              <w:jc w:val="center"/>
              <w:rPr>
                <w:rFonts w:hint="eastAsia" w:ascii="宋体" w:hAnsi="宋体" w:eastAsia="宋体" w:cs="宋体"/>
                <w:szCs w:val="21"/>
              </w:rPr>
            </w:pPr>
            <w:r>
              <w:rPr>
                <w:rFonts w:hint="eastAsia" w:ascii="宋体" w:hAnsi="宋体" w:eastAsia="宋体" w:cs="宋体"/>
                <w:szCs w:val="21"/>
              </w:rPr>
              <w:t>课程目标1</w:t>
            </w:r>
          </w:p>
        </w:tc>
        <w:tc>
          <w:tcPr>
            <w:tcW w:w="0" w:type="auto"/>
            <w:vAlign w:val="center"/>
          </w:tcPr>
          <w:p w14:paraId="703206BB">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4A391EEE">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0C6478FD">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0582444D">
            <w:pPr>
              <w:spacing w:line="360" w:lineRule="auto"/>
              <w:jc w:val="center"/>
              <w:rPr>
                <w:rFonts w:hint="eastAsia" w:ascii="宋体" w:hAnsi="宋体" w:eastAsia="宋体" w:cs="宋体"/>
                <w:szCs w:val="21"/>
              </w:rPr>
            </w:pPr>
          </w:p>
        </w:tc>
        <w:tc>
          <w:tcPr>
            <w:tcW w:w="0" w:type="auto"/>
            <w:vAlign w:val="center"/>
          </w:tcPr>
          <w:p w14:paraId="7182EEE6">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4713DED9">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6058F6E2">
            <w:pPr>
              <w:spacing w:line="360" w:lineRule="auto"/>
              <w:jc w:val="center"/>
              <w:rPr>
                <w:rFonts w:hint="eastAsia" w:ascii="宋体" w:hAnsi="宋体" w:eastAsia="宋体" w:cs="宋体"/>
                <w:szCs w:val="21"/>
              </w:rPr>
            </w:pPr>
            <w:r>
              <w:rPr>
                <w:rFonts w:hint="eastAsia" w:ascii="宋体" w:hAnsi="宋体" w:eastAsia="宋体" w:cs="宋体"/>
                <w:szCs w:val="21"/>
              </w:rPr>
              <w:t>35</w:t>
            </w:r>
          </w:p>
        </w:tc>
      </w:tr>
      <w:tr w14:paraId="6DCD8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9E4180A">
            <w:pPr>
              <w:spacing w:line="360" w:lineRule="auto"/>
              <w:jc w:val="center"/>
              <w:rPr>
                <w:rFonts w:hint="eastAsia" w:ascii="宋体" w:hAnsi="宋体" w:eastAsia="宋体" w:cs="宋体"/>
                <w:szCs w:val="21"/>
              </w:rPr>
            </w:pPr>
            <w:r>
              <w:rPr>
                <w:rFonts w:hint="eastAsia" w:ascii="宋体" w:hAnsi="宋体" w:eastAsia="宋体" w:cs="宋体"/>
                <w:szCs w:val="21"/>
              </w:rPr>
              <w:t>课程目标2</w:t>
            </w:r>
          </w:p>
        </w:tc>
        <w:tc>
          <w:tcPr>
            <w:tcW w:w="0" w:type="auto"/>
            <w:vAlign w:val="center"/>
          </w:tcPr>
          <w:p w14:paraId="4E7B0DA6">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61C78739">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3E9B8174">
            <w:pPr>
              <w:spacing w:line="360" w:lineRule="auto"/>
              <w:jc w:val="center"/>
              <w:rPr>
                <w:rFonts w:hint="eastAsia" w:ascii="宋体" w:hAnsi="宋体" w:eastAsia="宋体" w:cs="宋体"/>
                <w:szCs w:val="21"/>
              </w:rPr>
            </w:pPr>
          </w:p>
        </w:tc>
        <w:tc>
          <w:tcPr>
            <w:tcW w:w="0" w:type="auto"/>
            <w:vAlign w:val="center"/>
          </w:tcPr>
          <w:p w14:paraId="6EC2209F">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286A59AA">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12FEA9CC">
            <w:pPr>
              <w:spacing w:line="360" w:lineRule="auto"/>
              <w:jc w:val="center"/>
              <w:rPr>
                <w:rFonts w:hint="eastAsia" w:ascii="宋体" w:hAnsi="宋体" w:eastAsia="宋体" w:cs="宋体"/>
                <w:szCs w:val="21"/>
              </w:rPr>
            </w:pPr>
          </w:p>
        </w:tc>
        <w:tc>
          <w:tcPr>
            <w:tcW w:w="0" w:type="auto"/>
            <w:vAlign w:val="center"/>
          </w:tcPr>
          <w:p w14:paraId="4EC4C52F">
            <w:pPr>
              <w:spacing w:line="360" w:lineRule="auto"/>
              <w:jc w:val="center"/>
              <w:rPr>
                <w:rFonts w:hint="eastAsia" w:ascii="宋体" w:hAnsi="宋体" w:eastAsia="宋体" w:cs="宋体"/>
                <w:szCs w:val="21"/>
              </w:rPr>
            </w:pPr>
            <w:r>
              <w:rPr>
                <w:rFonts w:hint="eastAsia" w:ascii="宋体" w:hAnsi="宋体" w:eastAsia="宋体" w:cs="宋体"/>
                <w:szCs w:val="21"/>
              </w:rPr>
              <w:t>35</w:t>
            </w:r>
          </w:p>
        </w:tc>
      </w:tr>
      <w:tr w14:paraId="1D64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FBE11D4">
            <w:pPr>
              <w:spacing w:line="360" w:lineRule="auto"/>
              <w:jc w:val="center"/>
              <w:rPr>
                <w:rFonts w:hint="eastAsia" w:ascii="宋体" w:hAnsi="宋体" w:eastAsia="宋体" w:cs="宋体"/>
                <w:szCs w:val="21"/>
              </w:rPr>
            </w:pPr>
            <w:r>
              <w:rPr>
                <w:rFonts w:hint="eastAsia" w:ascii="宋体" w:hAnsi="宋体" w:eastAsia="宋体" w:cs="宋体"/>
                <w:szCs w:val="21"/>
              </w:rPr>
              <w:t>课程目标3</w:t>
            </w:r>
          </w:p>
        </w:tc>
        <w:tc>
          <w:tcPr>
            <w:tcW w:w="0" w:type="auto"/>
            <w:vAlign w:val="center"/>
          </w:tcPr>
          <w:p w14:paraId="39BEF883">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6E50953A">
            <w:pPr>
              <w:spacing w:line="360" w:lineRule="auto"/>
              <w:jc w:val="center"/>
              <w:rPr>
                <w:rFonts w:hint="eastAsia" w:ascii="宋体" w:hAnsi="宋体" w:eastAsia="宋体" w:cs="宋体"/>
                <w:szCs w:val="21"/>
              </w:rPr>
            </w:pPr>
          </w:p>
        </w:tc>
        <w:tc>
          <w:tcPr>
            <w:tcW w:w="0" w:type="auto"/>
            <w:vAlign w:val="center"/>
          </w:tcPr>
          <w:p w14:paraId="2479B188">
            <w:pPr>
              <w:spacing w:line="360" w:lineRule="auto"/>
              <w:jc w:val="center"/>
              <w:rPr>
                <w:rFonts w:hint="eastAsia" w:ascii="宋体" w:hAnsi="宋体" w:eastAsia="宋体" w:cs="宋体"/>
                <w:szCs w:val="21"/>
              </w:rPr>
            </w:pPr>
          </w:p>
        </w:tc>
        <w:tc>
          <w:tcPr>
            <w:tcW w:w="0" w:type="auto"/>
            <w:vAlign w:val="center"/>
          </w:tcPr>
          <w:p w14:paraId="6B9C71C4">
            <w:pPr>
              <w:spacing w:line="360" w:lineRule="auto"/>
              <w:jc w:val="center"/>
              <w:rPr>
                <w:rFonts w:hint="eastAsia" w:ascii="宋体" w:hAnsi="宋体" w:eastAsia="宋体" w:cs="宋体"/>
                <w:szCs w:val="21"/>
              </w:rPr>
            </w:pPr>
          </w:p>
        </w:tc>
        <w:tc>
          <w:tcPr>
            <w:tcW w:w="0" w:type="auto"/>
            <w:vAlign w:val="center"/>
          </w:tcPr>
          <w:p w14:paraId="6BC5515B">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0BCEF24B">
            <w:pPr>
              <w:spacing w:line="360" w:lineRule="auto"/>
              <w:jc w:val="center"/>
              <w:rPr>
                <w:rFonts w:hint="eastAsia" w:ascii="宋体" w:hAnsi="宋体" w:eastAsia="宋体" w:cs="宋体"/>
                <w:szCs w:val="21"/>
              </w:rPr>
            </w:pPr>
          </w:p>
        </w:tc>
        <w:tc>
          <w:tcPr>
            <w:tcW w:w="0" w:type="auto"/>
            <w:vAlign w:val="center"/>
          </w:tcPr>
          <w:p w14:paraId="1D31DFD2">
            <w:pPr>
              <w:spacing w:line="360" w:lineRule="auto"/>
              <w:jc w:val="center"/>
              <w:rPr>
                <w:rFonts w:hint="eastAsia" w:ascii="宋体" w:hAnsi="宋体" w:eastAsia="宋体" w:cs="宋体"/>
                <w:szCs w:val="21"/>
              </w:rPr>
            </w:pPr>
            <w:r>
              <w:rPr>
                <w:rFonts w:hint="eastAsia" w:ascii="宋体" w:hAnsi="宋体" w:eastAsia="宋体" w:cs="宋体"/>
                <w:szCs w:val="21"/>
              </w:rPr>
              <w:t>30</w:t>
            </w:r>
          </w:p>
        </w:tc>
      </w:tr>
      <w:tr w14:paraId="2F2F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2EFDB2">
            <w:pPr>
              <w:spacing w:line="360" w:lineRule="auto"/>
              <w:jc w:val="center"/>
              <w:rPr>
                <w:rFonts w:hint="eastAsia" w:ascii="宋体" w:hAnsi="宋体" w:eastAsia="宋体" w:cs="宋体"/>
                <w:szCs w:val="21"/>
              </w:rPr>
            </w:pPr>
            <w:r>
              <w:rPr>
                <w:rFonts w:hint="eastAsia" w:ascii="宋体" w:hAnsi="宋体" w:eastAsia="宋体" w:cs="宋体"/>
                <w:szCs w:val="21"/>
              </w:rPr>
              <w:t>合计</w:t>
            </w:r>
          </w:p>
        </w:tc>
        <w:tc>
          <w:tcPr>
            <w:tcW w:w="0" w:type="auto"/>
            <w:vAlign w:val="center"/>
          </w:tcPr>
          <w:p w14:paraId="2DC75701">
            <w:pPr>
              <w:spacing w:line="360" w:lineRule="auto"/>
              <w:jc w:val="center"/>
              <w:rPr>
                <w:rFonts w:hint="eastAsia" w:ascii="宋体" w:hAnsi="宋体" w:eastAsia="宋体" w:cs="宋体"/>
                <w:szCs w:val="21"/>
              </w:rPr>
            </w:pPr>
          </w:p>
        </w:tc>
        <w:tc>
          <w:tcPr>
            <w:tcW w:w="0" w:type="auto"/>
            <w:vAlign w:val="center"/>
          </w:tcPr>
          <w:p w14:paraId="536183D3">
            <w:pPr>
              <w:spacing w:line="360" w:lineRule="auto"/>
              <w:jc w:val="center"/>
              <w:rPr>
                <w:rFonts w:hint="eastAsia" w:ascii="宋体" w:hAnsi="宋体" w:eastAsia="宋体" w:cs="宋体"/>
                <w:szCs w:val="21"/>
              </w:rPr>
            </w:pPr>
          </w:p>
        </w:tc>
        <w:tc>
          <w:tcPr>
            <w:tcW w:w="0" w:type="auto"/>
            <w:vAlign w:val="center"/>
          </w:tcPr>
          <w:p w14:paraId="5F0B13E9">
            <w:pPr>
              <w:spacing w:line="360" w:lineRule="auto"/>
              <w:jc w:val="center"/>
              <w:rPr>
                <w:rFonts w:hint="eastAsia" w:ascii="宋体" w:hAnsi="宋体" w:eastAsia="宋体" w:cs="宋体"/>
                <w:szCs w:val="21"/>
              </w:rPr>
            </w:pPr>
          </w:p>
        </w:tc>
        <w:tc>
          <w:tcPr>
            <w:tcW w:w="0" w:type="auto"/>
            <w:vAlign w:val="center"/>
          </w:tcPr>
          <w:p w14:paraId="4707BED1">
            <w:pPr>
              <w:spacing w:line="360" w:lineRule="auto"/>
              <w:jc w:val="center"/>
              <w:rPr>
                <w:rFonts w:hint="eastAsia" w:ascii="宋体" w:hAnsi="宋体" w:eastAsia="宋体" w:cs="宋体"/>
                <w:szCs w:val="21"/>
              </w:rPr>
            </w:pPr>
          </w:p>
        </w:tc>
        <w:tc>
          <w:tcPr>
            <w:tcW w:w="0" w:type="auto"/>
            <w:vAlign w:val="center"/>
          </w:tcPr>
          <w:p w14:paraId="0F30245B">
            <w:pPr>
              <w:spacing w:line="360" w:lineRule="auto"/>
              <w:jc w:val="center"/>
              <w:rPr>
                <w:rFonts w:hint="eastAsia" w:ascii="宋体" w:hAnsi="宋体" w:eastAsia="宋体" w:cs="宋体"/>
                <w:szCs w:val="21"/>
              </w:rPr>
            </w:pPr>
          </w:p>
        </w:tc>
        <w:tc>
          <w:tcPr>
            <w:tcW w:w="0" w:type="auto"/>
          </w:tcPr>
          <w:p w14:paraId="44EF7506">
            <w:pPr>
              <w:spacing w:line="360" w:lineRule="auto"/>
              <w:jc w:val="center"/>
              <w:rPr>
                <w:rFonts w:hint="eastAsia" w:ascii="宋体" w:hAnsi="宋体" w:eastAsia="宋体" w:cs="宋体"/>
                <w:szCs w:val="21"/>
              </w:rPr>
            </w:pPr>
          </w:p>
        </w:tc>
        <w:tc>
          <w:tcPr>
            <w:tcW w:w="0" w:type="auto"/>
            <w:vAlign w:val="center"/>
          </w:tcPr>
          <w:p w14:paraId="31694956">
            <w:pPr>
              <w:spacing w:line="360" w:lineRule="auto"/>
              <w:jc w:val="center"/>
              <w:rPr>
                <w:rFonts w:hint="eastAsia" w:ascii="宋体" w:hAnsi="宋体" w:eastAsia="宋体" w:cs="宋体"/>
                <w:szCs w:val="21"/>
              </w:rPr>
            </w:pPr>
            <w:r>
              <w:rPr>
                <w:rFonts w:hint="eastAsia" w:ascii="宋体" w:hAnsi="宋体" w:eastAsia="宋体" w:cs="宋体"/>
                <w:szCs w:val="21"/>
              </w:rPr>
              <w:t>100</w:t>
            </w:r>
          </w:p>
        </w:tc>
      </w:tr>
    </w:tbl>
    <w:p w14:paraId="42BC34AA">
      <w:pPr>
        <w:spacing w:before="156" w:beforeLines="50"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（二）成绩评定细则</w:t>
      </w:r>
    </w:p>
    <w:p w14:paraId="493D2F34">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38"/>
      </w:tblGrid>
      <w:tr w14:paraId="3DEF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B48C8BD">
            <w:pPr>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41" w:type="dxa"/>
            <w:vAlign w:val="center"/>
          </w:tcPr>
          <w:p w14:paraId="4249D540">
            <w:pPr>
              <w:jc w:val="center"/>
              <w:rPr>
                <w:rFonts w:hint="eastAsia" w:ascii="宋体" w:hAnsi="宋体" w:eastAsia="宋体" w:cs="宋体"/>
                <w:b/>
                <w:bCs/>
                <w:szCs w:val="21"/>
              </w:rPr>
            </w:pPr>
            <w:r>
              <w:rPr>
                <w:rFonts w:hint="eastAsia" w:ascii="宋体" w:hAnsi="宋体" w:eastAsia="宋体" w:cs="宋体"/>
                <w:b/>
                <w:bCs/>
                <w:szCs w:val="21"/>
              </w:rPr>
              <w:t>评定细则</w:t>
            </w:r>
          </w:p>
        </w:tc>
        <w:tc>
          <w:tcPr>
            <w:tcW w:w="0" w:type="auto"/>
            <w:vAlign w:val="center"/>
          </w:tcPr>
          <w:p w14:paraId="2586C2E1">
            <w:pPr>
              <w:jc w:val="center"/>
              <w:rPr>
                <w:rFonts w:hint="eastAsia" w:ascii="宋体" w:hAnsi="宋体" w:eastAsia="宋体" w:cs="宋体"/>
                <w:b/>
                <w:bCs/>
                <w:szCs w:val="21"/>
              </w:rPr>
            </w:pPr>
            <w:r>
              <w:rPr>
                <w:rFonts w:hint="eastAsia" w:ascii="宋体" w:hAnsi="宋体" w:eastAsia="宋体" w:cs="宋体"/>
                <w:b/>
                <w:bCs/>
                <w:szCs w:val="21"/>
              </w:rPr>
              <w:t>占比</w:t>
            </w:r>
          </w:p>
        </w:tc>
      </w:tr>
      <w:tr w14:paraId="5700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61D8421">
            <w:pPr>
              <w:rPr>
                <w:rFonts w:hint="eastAsia" w:ascii="宋体" w:hAnsi="宋体" w:eastAsia="宋体" w:cs="宋体"/>
                <w:szCs w:val="21"/>
              </w:rPr>
            </w:pPr>
            <w:r>
              <w:rPr>
                <w:rFonts w:hint="eastAsia" w:ascii="宋体" w:hAnsi="宋体" w:eastAsia="宋体" w:cs="宋体"/>
                <w:szCs w:val="21"/>
              </w:rPr>
              <w:t>平时作业</w:t>
            </w:r>
          </w:p>
        </w:tc>
        <w:tc>
          <w:tcPr>
            <w:tcW w:w="7141" w:type="dxa"/>
            <w:vAlign w:val="center"/>
          </w:tcPr>
          <w:p w14:paraId="0562B4E4">
            <w:pPr>
              <w:spacing w:line="264" w:lineRule="auto"/>
              <w:jc w:val="left"/>
              <w:rPr>
                <w:rFonts w:hint="eastAsia" w:ascii="宋体" w:hAnsi="宋体" w:eastAsia="宋体" w:cs="宋体"/>
                <w:szCs w:val="21"/>
              </w:rPr>
            </w:pPr>
            <w:r>
              <w:rPr>
                <w:rFonts w:hint="eastAsia" w:ascii="宋体" w:hAnsi="宋体" w:eastAsia="宋体" w:cs="宋体"/>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36C24C92">
            <w:pPr>
              <w:jc w:val="center"/>
              <w:rPr>
                <w:rFonts w:hint="eastAsia" w:ascii="宋体" w:hAnsi="宋体" w:eastAsia="宋体" w:cs="宋体"/>
                <w:szCs w:val="21"/>
              </w:rPr>
            </w:pPr>
            <w:r>
              <w:rPr>
                <w:rFonts w:hint="eastAsia" w:ascii="宋体" w:hAnsi="宋体" w:eastAsia="宋体" w:cs="宋体"/>
                <w:szCs w:val="21"/>
              </w:rPr>
              <w:t>10%</w:t>
            </w:r>
          </w:p>
        </w:tc>
      </w:tr>
      <w:tr w14:paraId="534B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2EDD23">
            <w:pPr>
              <w:rPr>
                <w:rFonts w:hint="eastAsia" w:ascii="宋体" w:hAnsi="宋体" w:eastAsia="宋体" w:cs="宋体"/>
                <w:szCs w:val="21"/>
              </w:rPr>
            </w:pPr>
            <w:r>
              <w:rPr>
                <w:rFonts w:hint="eastAsia" w:ascii="宋体" w:hAnsi="宋体" w:eastAsia="宋体" w:cs="宋体"/>
                <w:szCs w:val="21"/>
              </w:rPr>
              <w:t>课堂表现</w:t>
            </w:r>
          </w:p>
        </w:tc>
        <w:tc>
          <w:tcPr>
            <w:tcW w:w="7141" w:type="dxa"/>
            <w:vAlign w:val="center"/>
          </w:tcPr>
          <w:p w14:paraId="3DE662E7">
            <w:pPr>
              <w:widowControl/>
              <w:spacing w:line="264" w:lineRule="auto"/>
              <w:jc w:val="left"/>
              <w:rPr>
                <w:rFonts w:hint="eastAsia" w:ascii="宋体" w:hAnsi="宋体" w:eastAsia="宋体" w:cs="宋体"/>
                <w:szCs w:val="21"/>
              </w:rPr>
            </w:pPr>
            <w:r>
              <w:rPr>
                <w:rFonts w:hint="eastAsia" w:ascii="宋体" w:hAnsi="宋体" w:eastAsia="宋体" w:cs="宋体"/>
                <w:kern w:val="0"/>
                <w:szCs w:val="21"/>
                <w:lang w:bidi="ar"/>
              </w:rPr>
              <w:t>一是课题考勤情况。</w:t>
            </w:r>
            <w:r>
              <w:rPr>
                <w:rFonts w:hint="eastAsia" w:ascii="宋体" w:hAnsi="宋体" w:eastAsia="宋体" w:cs="宋体"/>
                <w:szCs w:val="21"/>
              </w:rPr>
              <w:t>迟到一次扣2分，无故缺席一次扣5分，累计达3次以上（不含3次）取消课程成绩。</w:t>
            </w:r>
          </w:p>
          <w:p w14:paraId="4A6D13EE">
            <w:pPr>
              <w:widowControl/>
              <w:spacing w:line="264" w:lineRule="auto"/>
              <w:jc w:val="left"/>
              <w:rPr>
                <w:rFonts w:hint="eastAsia" w:ascii="宋体" w:hAnsi="宋体" w:eastAsia="宋体" w:cs="宋体"/>
                <w:szCs w:val="21"/>
              </w:rPr>
            </w:pPr>
            <w:r>
              <w:rPr>
                <w:rFonts w:hint="eastAsia" w:ascii="宋体" w:hAnsi="宋体" w:eastAsia="宋体" w:cs="宋体"/>
                <w:szCs w:val="21"/>
              </w:rPr>
              <w:t>二是</w:t>
            </w:r>
            <w:r>
              <w:rPr>
                <w:rFonts w:hint="eastAsia" w:ascii="宋体" w:hAnsi="宋体" w:eastAsia="宋体" w:cs="宋体"/>
                <w:kern w:val="0"/>
                <w:szCs w:val="21"/>
                <w:lang w:bidi="ar"/>
              </w:rPr>
              <w:t>课堂参与情况。主要指课上教师随机提问、组织课堂讨论等，观察学生参与程度，表现良好，按照对应的课程目标及权重给予评定。</w:t>
            </w:r>
          </w:p>
        </w:tc>
        <w:tc>
          <w:tcPr>
            <w:tcW w:w="0" w:type="auto"/>
            <w:vAlign w:val="center"/>
          </w:tcPr>
          <w:p w14:paraId="55A26D66">
            <w:pPr>
              <w:jc w:val="center"/>
              <w:rPr>
                <w:rFonts w:hint="eastAsia" w:ascii="宋体" w:hAnsi="宋体" w:eastAsia="宋体" w:cs="宋体"/>
                <w:szCs w:val="21"/>
              </w:rPr>
            </w:pPr>
            <w:r>
              <w:rPr>
                <w:rFonts w:hint="eastAsia" w:ascii="宋体" w:hAnsi="宋体" w:eastAsia="宋体" w:cs="宋体"/>
                <w:szCs w:val="21"/>
              </w:rPr>
              <w:t>10%</w:t>
            </w:r>
          </w:p>
        </w:tc>
      </w:tr>
      <w:tr w14:paraId="520B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AB93A46">
            <w:pPr>
              <w:rPr>
                <w:rFonts w:hint="eastAsia" w:ascii="宋体" w:hAnsi="宋体" w:eastAsia="宋体" w:cs="宋体"/>
                <w:szCs w:val="21"/>
              </w:rPr>
            </w:pPr>
            <w:r>
              <w:rPr>
                <w:rFonts w:hint="eastAsia" w:ascii="宋体" w:hAnsi="宋体" w:eastAsia="宋体" w:cs="宋体"/>
                <w:szCs w:val="21"/>
              </w:rPr>
              <w:t>单元测验</w:t>
            </w:r>
          </w:p>
        </w:tc>
        <w:tc>
          <w:tcPr>
            <w:tcW w:w="7141" w:type="dxa"/>
            <w:vAlign w:val="center"/>
          </w:tcPr>
          <w:p w14:paraId="4EFD41C8">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每单元在线上进行测验，主要考查基础知识和基本理论的掌握，以题目的正确率为得分依据。</w:t>
            </w:r>
          </w:p>
        </w:tc>
        <w:tc>
          <w:tcPr>
            <w:tcW w:w="0" w:type="auto"/>
            <w:vAlign w:val="center"/>
          </w:tcPr>
          <w:p w14:paraId="64D171E4">
            <w:pPr>
              <w:jc w:val="center"/>
              <w:rPr>
                <w:rFonts w:hint="eastAsia" w:ascii="宋体" w:hAnsi="宋体" w:eastAsia="宋体" w:cs="宋体"/>
                <w:szCs w:val="21"/>
              </w:rPr>
            </w:pPr>
            <w:r>
              <w:rPr>
                <w:rFonts w:hint="eastAsia" w:ascii="宋体" w:hAnsi="宋体" w:eastAsia="宋体" w:cs="宋体"/>
                <w:szCs w:val="21"/>
              </w:rPr>
              <w:t>10%</w:t>
            </w:r>
          </w:p>
        </w:tc>
      </w:tr>
      <w:tr w14:paraId="153B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241718">
            <w:pPr>
              <w:rPr>
                <w:rFonts w:hint="eastAsia" w:ascii="宋体" w:hAnsi="宋体" w:eastAsia="宋体" w:cs="宋体"/>
                <w:szCs w:val="21"/>
              </w:rPr>
            </w:pPr>
            <w:r>
              <w:rPr>
                <w:rFonts w:hint="eastAsia" w:ascii="宋体" w:hAnsi="宋体" w:eastAsia="宋体" w:cs="宋体"/>
                <w:szCs w:val="21"/>
              </w:rPr>
              <w:t>个人展示</w:t>
            </w:r>
          </w:p>
        </w:tc>
        <w:tc>
          <w:tcPr>
            <w:tcW w:w="7141" w:type="dxa"/>
            <w:vAlign w:val="center"/>
          </w:tcPr>
          <w:p w14:paraId="3096A792">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课前5分钟左右，每位同学评说文学现象等，以学生表达的流程性、逻辑性和分析的深度为评分的主要依据。</w:t>
            </w:r>
          </w:p>
        </w:tc>
        <w:tc>
          <w:tcPr>
            <w:tcW w:w="0" w:type="auto"/>
            <w:vAlign w:val="center"/>
          </w:tcPr>
          <w:p w14:paraId="1EA75A31">
            <w:pPr>
              <w:jc w:val="center"/>
              <w:rPr>
                <w:rFonts w:hint="eastAsia" w:ascii="宋体" w:hAnsi="宋体" w:eastAsia="宋体" w:cs="宋体"/>
                <w:szCs w:val="21"/>
              </w:rPr>
            </w:pPr>
            <w:r>
              <w:rPr>
                <w:rFonts w:hint="eastAsia" w:ascii="宋体" w:hAnsi="宋体" w:eastAsia="宋体" w:cs="宋体"/>
                <w:szCs w:val="21"/>
              </w:rPr>
              <w:t>10%</w:t>
            </w:r>
          </w:p>
        </w:tc>
      </w:tr>
      <w:tr w14:paraId="6EC3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712097">
            <w:pPr>
              <w:rPr>
                <w:rFonts w:hint="eastAsia" w:ascii="宋体" w:hAnsi="宋体" w:eastAsia="宋体" w:cs="宋体"/>
                <w:szCs w:val="21"/>
              </w:rPr>
            </w:pPr>
            <w:r>
              <w:rPr>
                <w:rFonts w:hint="eastAsia" w:ascii="宋体" w:hAnsi="宋体" w:eastAsia="宋体" w:cs="宋体"/>
                <w:szCs w:val="21"/>
              </w:rPr>
              <w:t>自主学习</w:t>
            </w:r>
          </w:p>
        </w:tc>
        <w:tc>
          <w:tcPr>
            <w:tcW w:w="7141" w:type="dxa"/>
            <w:vAlign w:val="center"/>
          </w:tcPr>
          <w:p w14:paraId="38FC215D">
            <w:pPr>
              <w:spacing w:line="264" w:lineRule="auto"/>
              <w:jc w:val="left"/>
              <w:rPr>
                <w:rFonts w:hint="eastAsia" w:ascii="宋体" w:hAnsi="宋体" w:eastAsia="宋体" w:cs="宋体"/>
                <w:szCs w:val="21"/>
              </w:rPr>
            </w:pPr>
            <w:r>
              <w:rPr>
                <w:rFonts w:hint="eastAsia" w:ascii="宋体" w:hAnsi="宋体" w:eastAsia="宋体" w:cs="宋体"/>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3B98C4D4">
            <w:pPr>
              <w:jc w:val="center"/>
              <w:rPr>
                <w:rFonts w:hint="eastAsia" w:ascii="宋体" w:hAnsi="宋体" w:eastAsia="宋体" w:cs="宋体"/>
                <w:szCs w:val="21"/>
              </w:rPr>
            </w:pPr>
            <w:r>
              <w:rPr>
                <w:rFonts w:hint="eastAsia" w:ascii="宋体" w:hAnsi="宋体" w:eastAsia="宋体" w:cs="宋体"/>
                <w:szCs w:val="21"/>
              </w:rPr>
              <w:t>10%</w:t>
            </w:r>
          </w:p>
        </w:tc>
      </w:tr>
      <w:tr w14:paraId="0119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632B31F">
            <w:pPr>
              <w:rPr>
                <w:rFonts w:hint="eastAsia" w:ascii="宋体" w:hAnsi="宋体" w:eastAsia="宋体" w:cs="宋体"/>
                <w:szCs w:val="21"/>
              </w:rPr>
            </w:pPr>
            <w:r>
              <w:rPr>
                <w:rFonts w:hint="eastAsia" w:ascii="宋体" w:hAnsi="宋体" w:eastAsia="宋体" w:cs="宋体"/>
                <w:szCs w:val="21"/>
              </w:rPr>
              <w:t>期末考试</w:t>
            </w:r>
          </w:p>
        </w:tc>
        <w:tc>
          <w:tcPr>
            <w:tcW w:w="7141" w:type="dxa"/>
            <w:vAlign w:val="center"/>
          </w:tcPr>
          <w:p w14:paraId="420E97EF">
            <w:pPr>
              <w:spacing w:line="264" w:lineRule="auto"/>
              <w:jc w:val="left"/>
              <w:rPr>
                <w:rFonts w:hint="eastAsia" w:ascii="宋体" w:hAnsi="宋体" w:eastAsia="宋体" w:cs="宋体"/>
                <w:szCs w:val="21"/>
              </w:rPr>
            </w:pPr>
            <w:r>
              <w:rPr>
                <w:rFonts w:hint="eastAsia" w:ascii="宋体" w:hAnsi="宋体" w:eastAsia="宋体" w:cs="宋体"/>
                <w:szCs w:val="21"/>
              </w:rPr>
              <w:t>试卷题型包括填空题、名词解释、简答题、论述题等，以卷面成绩的50%计入课程总成绩。</w:t>
            </w:r>
          </w:p>
        </w:tc>
        <w:tc>
          <w:tcPr>
            <w:tcW w:w="0" w:type="auto"/>
            <w:vAlign w:val="center"/>
          </w:tcPr>
          <w:p w14:paraId="44E78656">
            <w:pPr>
              <w:jc w:val="center"/>
              <w:rPr>
                <w:rFonts w:hint="eastAsia" w:ascii="宋体" w:hAnsi="宋体" w:eastAsia="宋体" w:cs="宋体"/>
                <w:szCs w:val="21"/>
              </w:rPr>
            </w:pPr>
            <w:r>
              <w:rPr>
                <w:rFonts w:hint="eastAsia" w:ascii="宋体" w:hAnsi="宋体" w:eastAsia="宋体" w:cs="宋体"/>
                <w:szCs w:val="21"/>
              </w:rPr>
              <w:t>50%</w:t>
            </w:r>
          </w:p>
        </w:tc>
      </w:tr>
      <w:tr w14:paraId="3EB7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99ABA5E">
            <w:pPr>
              <w:jc w:val="center"/>
              <w:rPr>
                <w:rFonts w:hint="eastAsia" w:ascii="宋体" w:hAnsi="宋体" w:eastAsia="宋体" w:cs="宋体"/>
                <w:b/>
                <w:bCs/>
                <w:szCs w:val="21"/>
              </w:rPr>
            </w:pPr>
            <w:r>
              <w:rPr>
                <w:rFonts w:hint="eastAsia" w:ascii="宋体" w:hAnsi="宋体" w:eastAsia="宋体" w:cs="宋体"/>
                <w:b/>
                <w:bCs/>
                <w:szCs w:val="21"/>
              </w:rPr>
              <w:t>合计</w:t>
            </w:r>
          </w:p>
        </w:tc>
        <w:tc>
          <w:tcPr>
            <w:tcW w:w="0" w:type="auto"/>
            <w:vAlign w:val="center"/>
          </w:tcPr>
          <w:p w14:paraId="4FEC79BF">
            <w:pPr>
              <w:jc w:val="left"/>
              <w:rPr>
                <w:rFonts w:hint="eastAsia" w:ascii="宋体" w:hAnsi="宋体" w:eastAsia="宋体" w:cs="宋体"/>
                <w:szCs w:val="21"/>
              </w:rPr>
            </w:pPr>
          </w:p>
        </w:tc>
        <w:tc>
          <w:tcPr>
            <w:tcW w:w="0" w:type="auto"/>
            <w:vAlign w:val="center"/>
          </w:tcPr>
          <w:p w14:paraId="3E077246">
            <w:pPr>
              <w:jc w:val="center"/>
              <w:rPr>
                <w:rFonts w:hint="eastAsia" w:ascii="宋体" w:hAnsi="宋体" w:eastAsia="宋体" w:cs="宋体"/>
                <w:szCs w:val="21"/>
              </w:rPr>
            </w:pPr>
            <w:r>
              <w:rPr>
                <w:rFonts w:hint="eastAsia" w:ascii="宋体" w:hAnsi="宋体" w:eastAsia="宋体" w:cs="宋体"/>
                <w:szCs w:val="21"/>
              </w:rPr>
              <w:t>100%</w:t>
            </w:r>
          </w:p>
        </w:tc>
      </w:tr>
    </w:tbl>
    <w:p w14:paraId="282B4083">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（三）课程目标达成度计算方法</w:t>
      </w:r>
    </w:p>
    <w:p w14:paraId="1E569DAF">
      <w:pPr>
        <w:spacing w:line="360" w:lineRule="auto"/>
        <w:ind w:firstLine="411" w:firstLineChars="196"/>
        <w:jc w:val="left"/>
        <w:rPr>
          <w:rFonts w:hint="eastAsia" w:ascii="宋体" w:hAnsi="宋体" w:eastAsia="宋体" w:cs="宋体"/>
          <w:szCs w:val="21"/>
        </w:rPr>
      </w:pPr>
      <w:r>
        <w:rPr>
          <w:rFonts w:hint="eastAsia" w:ascii="宋体" w:hAnsi="宋体" w:eastAsia="宋体" w:cs="宋体"/>
          <w:szCs w:val="21"/>
        </w:rPr>
        <w:t>所有课程目标均需大于等于0.6，否则总评成绩不及格，需要补考或重修。每门课程目标总体达成度计算方法如下：</w:t>
      </w:r>
    </w:p>
    <w:p w14:paraId="7BEC0FF9">
      <w:pPr>
        <w:spacing w:before="156" w:beforeLines="50" w:line="360" w:lineRule="auto"/>
        <w:ind w:firstLine="420" w:firstLineChars="200"/>
        <w:jc w:val="left"/>
        <w:rPr>
          <w:rFonts w:ascii="Times New Roman" w:hAnsi="Times New Roman" w:eastAsia="宋体" w:cs="Times New Roman"/>
          <w:bCs/>
          <w:sz w:val="24"/>
        </w:rPr>
      </w:pPr>
      <w:r>
        <w:rPr>
          <w:rFonts w:hint="eastAsia" w:ascii="宋体" w:hAnsi="宋体" w:eastAsia="宋体" w:cs="宋体"/>
          <w:szCs w:val="21"/>
        </w:rPr>
        <w:object>
          <v:shape id="_x0000_i1058"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58" DrawAspect="Content" ObjectID="_1468075758" r:id="rId46">
            <o:LockedField>false</o:LockedField>
          </o:OLEObject>
        </w:object>
      </w:r>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p>
    <w:p w14:paraId="2A2DB5A6">
      <w:pPr>
        <w:spacing w:after="156" w:afterLines="50" w:line="360" w:lineRule="auto"/>
        <w:ind w:firstLine="420" w:firstLineChars="200"/>
        <w:rPr>
          <w:rFonts w:hint="eastAsia" w:ascii="宋体" w:hAnsi="宋体" w:eastAsia="宋体" w:cs="宋体"/>
          <w:szCs w:val="21"/>
        </w:rPr>
      </w:pPr>
      <w:r>
        <w:rPr>
          <w:rFonts w:hint="eastAsia" w:ascii="宋体" w:hAnsi="宋体" w:eastAsia="宋体" w:cs="宋体"/>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08983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69E7440">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77DE9802">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17A7FFC">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438CB8BE">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781B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22F80C2">
            <w:pPr>
              <w:spacing w:line="276" w:lineRule="auto"/>
              <w:jc w:val="center"/>
              <w:rPr>
                <w:rFonts w:hint="eastAsia" w:ascii="宋体" w:hAnsi="宋体" w:eastAsia="宋体" w:cs="宋体"/>
                <w:szCs w:val="21"/>
              </w:rPr>
            </w:pPr>
            <w:r>
              <w:rPr>
                <w:rFonts w:hint="eastAsia" w:ascii="宋体" w:hAnsi="宋体" w:eastAsia="宋体" w:cs="宋体"/>
                <w:szCs w:val="21"/>
              </w:rPr>
              <w:t>鲁迅的</w:t>
            </w:r>
          </w:p>
          <w:p w14:paraId="036B60DB">
            <w:pPr>
              <w:spacing w:line="276" w:lineRule="auto"/>
              <w:jc w:val="center"/>
              <w:rPr>
                <w:rFonts w:hint="eastAsia" w:ascii="宋体" w:hAnsi="宋体" w:eastAsia="宋体" w:cs="宋体"/>
                <w:szCs w:val="21"/>
              </w:rPr>
            </w:pPr>
            <w:r>
              <w:rPr>
                <w:rFonts w:hint="eastAsia" w:ascii="宋体" w:hAnsi="宋体" w:eastAsia="宋体" w:cs="宋体"/>
                <w:szCs w:val="21"/>
              </w:rPr>
              <w:t>故事</w:t>
            </w:r>
          </w:p>
        </w:tc>
        <w:tc>
          <w:tcPr>
            <w:tcW w:w="3407" w:type="dxa"/>
            <w:vAlign w:val="center"/>
          </w:tcPr>
          <w:p w14:paraId="496F64E2">
            <w:pPr>
              <w:spacing w:line="276" w:lineRule="auto"/>
              <w:jc w:val="left"/>
              <w:rPr>
                <w:rFonts w:hint="eastAsia" w:ascii="宋体" w:hAnsi="宋体" w:eastAsia="宋体" w:cs="宋体"/>
                <w:szCs w:val="21"/>
              </w:rPr>
            </w:pPr>
            <w:r>
              <w:rPr>
                <w:rFonts w:hint="eastAsia" w:ascii="宋体" w:hAnsi="宋体" w:eastAsia="宋体" w:cs="宋体"/>
                <w:szCs w:val="21"/>
              </w:rPr>
              <w:t>通过阅读相关书籍或讲述鲁迅的故事，进行课堂主题讨论，让学生领会鲁迅的艾果精神</w:t>
            </w:r>
          </w:p>
        </w:tc>
        <w:tc>
          <w:tcPr>
            <w:tcW w:w="740" w:type="dxa"/>
            <w:vAlign w:val="center"/>
          </w:tcPr>
          <w:p w14:paraId="517E1C33">
            <w:pPr>
              <w:spacing w:line="276" w:lineRule="auto"/>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6E0CB228">
            <w:pPr>
              <w:spacing w:line="276" w:lineRule="auto"/>
              <w:jc w:val="left"/>
              <w:rPr>
                <w:rFonts w:hint="eastAsia" w:ascii="宋体" w:hAnsi="宋体" w:eastAsia="宋体" w:cs="宋体"/>
                <w:szCs w:val="21"/>
              </w:rPr>
            </w:pPr>
            <w:r>
              <w:rPr>
                <w:rFonts w:hint="eastAsia" w:ascii="宋体" w:hAnsi="宋体" w:eastAsia="宋体" w:cs="宋体"/>
                <w:szCs w:val="21"/>
              </w:rPr>
              <w:t>通过对鲁迅爱国精神的领会，使学立志成为有理想信念、有道德情操、有扎实学识、有仁爱之心的人。</w:t>
            </w:r>
          </w:p>
        </w:tc>
      </w:tr>
      <w:tr w14:paraId="314E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5" w:hRule="atLeast"/>
        </w:trPr>
        <w:tc>
          <w:tcPr>
            <w:tcW w:w="1212" w:type="dxa"/>
            <w:vAlign w:val="center"/>
          </w:tcPr>
          <w:p w14:paraId="564ABB75">
            <w:pPr>
              <w:spacing w:line="276" w:lineRule="auto"/>
              <w:jc w:val="center"/>
              <w:rPr>
                <w:rFonts w:hint="eastAsia" w:ascii="宋体" w:hAnsi="宋体" w:eastAsia="宋体" w:cs="宋体"/>
                <w:szCs w:val="21"/>
              </w:rPr>
            </w:pPr>
            <w:r>
              <w:rPr>
                <w:rFonts w:hint="eastAsia" w:ascii="宋体" w:hAnsi="宋体" w:eastAsia="宋体" w:cs="宋体"/>
                <w:szCs w:val="21"/>
              </w:rPr>
              <w:t>文学中的江苏</w:t>
            </w:r>
          </w:p>
        </w:tc>
        <w:tc>
          <w:tcPr>
            <w:tcW w:w="3407" w:type="dxa"/>
            <w:vAlign w:val="center"/>
          </w:tcPr>
          <w:p w14:paraId="0C065458">
            <w:pPr>
              <w:spacing w:line="276" w:lineRule="auto"/>
              <w:jc w:val="left"/>
              <w:rPr>
                <w:rFonts w:hint="eastAsia" w:ascii="宋体" w:hAnsi="宋体" w:eastAsia="宋体" w:cs="宋体"/>
                <w:szCs w:val="21"/>
              </w:rPr>
            </w:pPr>
            <w:r>
              <w:rPr>
                <w:rFonts w:hint="eastAsia" w:ascii="宋体" w:hAnsi="宋体" w:eastAsia="宋体" w:cs="宋体"/>
                <w:szCs w:val="21"/>
              </w:rPr>
              <w:t>利用假期，让学生调查文学作品中对江苏的描写。</w:t>
            </w:r>
          </w:p>
        </w:tc>
        <w:tc>
          <w:tcPr>
            <w:tcW w:w="740" w:type="dxa"/>
            <w:vAlign w:val="center"/>
          </w:tcPr>
          <w:p w14:paraId="69DE6977">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1480EE99">
            <w:pPr>
              <w:spacing w:line="276" w:lineRule="auto"/>
              <w:jc w:val="left"/>
              <w:rPr>
                <w:rFonts w:hint="eastAsia" w:ascii="宋体" w:hAnsi="宋体" w:eastAsia="宋体" w:cs="宋体"/>
                <w:szCs w:val="21"/>
              </w:rPr>
            </w:pPr>
            <w:r>
              <w:rPr>
                <w:rFonts w:hint="eastAsia" w:ascii="宋体" w:hAnsi="宋体" w:eastAsia="宋体" w:cs="宋体"/>
                <w:szCs w:val="21"/>
              </w:rPr>
              <w:t>提高学生对汉语言基础知识的理解和对故乡的热爱。</w:t>
            </w:r>
          </w:p>
        </w:tc>
      </w:tr>
      <w:tr w14:paraId="10C21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1" w:hRule="atLeast"/>
        </w:trPr>
        <w:tc>
          <w:tcPr>
            <w:tcW w:w="1212" w:type="dxa"/>
            <w:vAlign w:val="center"/>
          </w:tcPr>
          <w:p w14:paraId="1C58C64E">
            <w:pPr>
              <w:spacing w:line="276" w:lineRule="auto"/>
              <w:jc w:val="center"/>
              <w:rPr>
                <w:rFonts w:hint="eastAsia" w:ascii="宋体" w:hAnsi="宋体" w:eastAsia="宋体" w:cs="宋体"/>
                <w:szCs w:val="21"/>
              </w:rPr>
            </w:pPr>
            <w:r>
              <w:rPr>
                <w:rFonts w:hint="eastAsia" w:ascii="宋体" w:hAnsi="宋体" w:eastAsia="宋体" w:cs="宋体"/>
                <w:szCs w:val="21"/>
              </w:rPr>
              <w:t>汉语言文学学生从教宣誓</w:t>
            </w:r>
          </w:p>
        </w:tc>
        <w:tc>
          <w:tcPr>
            <w:tcW w:w="3407" w:type="dxa"/>
            <w:vAlign w:val="center"/>
          </w:tcPr>
          <w:p w14:paraId="14BC57BC">
            <w:pPr>
              <w:spacing w:line="276" w:lineRule="auto"/>
              <w:jc w:val="left"/>
              <w:rPr>
                <w:rFonts w:hint="eastAsia" w:ascii="宋体" w:hAnsi="宋体" w:eastAsia="宋体" w:cs="宋体"/>
                <w:szCs w:val="21"/>
              </w:rPr>
            </w:pPr>
            <w:r>
              <w:rPr>
                <w:rFonts w:hint="eastAsia" w:ascii="宋体" w:hAnsi="宋体" w:eastAsia="宋体" w:cs="宋体"/>
                <w:szCs w:val="21"/>
              </w:rPr>
              <w:t>学期末，结合课程中的所思、所感、和所得 ，以活动展示的新式进行从教宣誓活动。</w:t>
            </w:r>
          </w:p>
        </w:tc>
        <w:tc>
          <w:tcPr>
            <w:tcW w:w="740" w:type="dxa"/>
            <w:vAlign w:val="center"/>
          </w:tcPr>
          <w:p w14:paraId="187E8005">
            <w:pPr>
              <w:spacing w:line="276" w:lineRule="auto"/>
              <w:jc w:val="center"/>
              <w:rPr>
                <w:rFonts w:hint="eastAsia" w:ascii="宋体" w:hAnsi="宋体" w:eastAsia="宋体" w:cs="宋体"/>
                <w:szCs w:val="21"/>
              </w:rPr>
            </w:pPr>
            <w:r>
              <w:rPr>
                <w:rFonts w:hint="eastAsia" w:ascii="宋体" w:hAnsi="宋体" w:eastAsia="宋体" w:cs="宋体"/>
                <w:szCs w:val="21"/>
              </w:rPr>
              <w:t>第二课堂</w:t>
            </w:r>
          </w:p>
        </w:tc>
        <w:tc>
          <w:tcPr>
            <w:tcW w:w="3160" w:type="dxa"/>
            <w:vAlign w:val="center"/>
          </w:tcPr>
          <w:p w14:paraId="4802068C">
            <w:pPr>
              <w:spacing w:line="276" w:lineRule="auto"/>
              <w:jc w:val="left"/>
              <w:rPr>
                <w:rFonts w:hint="eastAsia" w:ascii="宋体" w:hAnsi="宋体" w:eastAsia="宋体" w:cs="宋体"/>
                <w:szCs w:val="21"/>
              </w:rPr>
            </w:pPr>
            <w:r>
              <w:rPr>
                <w:rFonts w:hint="eastAsia" w:ascii="宋体" w:hAnsi="宋体" w:eastAsia="宋体" w:cs="宋体"/>
                <w:szCs w:val="21"/>
              </w:rPr>
              <w:t>用庄严的意识，增强学生从教的意愿，以及成为人民教师的荣耀感、责任感和使命感。</w:t>
            </w:r>
          </w:p>
        </w:tc>
      </w:tr>
    </w:tbl>
    <w:p w14:paraId="00A03FAA">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1EB7182E">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（一）持续改进</w:t>
      </w:r>
    </w:p>
    <w:p w14:paraId="712751C2">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本教学环节根据学生在课程设计期间的平时表现、课程设计阶段考核、报告陈述等情况，及时对课程设计中的不足之处进行改进，并在下一轮教学中整改完善，确保相应毕业要求指标点的达成。</w:t>
      </w:r>
    </w:p>
    <w:p w14:paraId="0C787BE6">
      <w:pPr>
        <w:spacing w:line="300" w:lineRule="auto"/>
        <w:ind w:firstLine="420" w:firstLineChars="200"/>
        <w:rPr>
          <w:rFonts w:hint="eastAsia" w:ascii="宋体" w:hAnsi="宋体" w:eastAsia="宋体" w:cs="宋体"/>
          <w:szCs w:val="21"/>
        </w:rPr>
      </w:pPr>
      <w:r>
        <w:rPr>
          <w:rFonts w:hint="eastAsia" w:ascii="宋体" w:hAnsi="宋体" w:eastAsia="宋体" w:cs="宋体"/>
          <w:szCs w:val="21"/>
        </w:rPr>
        <w:t>1．教学重点：中国现当代文学有六十多年的历史，出现大量的作家作品和复杂的文学现象，教学中不可能追求全面和详尽。本课程的评述对象，主要是重要的作家作品和文学现象。</w:t>
      </w:r>
    </w:p>
    <w:p w14:paraId="0535DE88">
      <w:pPr>
        <w:spacing w:line="300" w:lineRule="auto"/>
        <w:ind w:firstLine="420" w:firstLineChars="200"/>
        <w:rPr>
          <w:rFonts w:hint="eastAsia" w:ascii="宋体" w:hAnsi="宋体" w:eastAsia="宋体" w:cs="宋体"/>
          <w:szCs w:val="21"/>
        </w:rPr>
      </w:pPr>
      <w:r>
        <w:rPr>
          <w:rFonts w:hint="eastAsia" w:ascii="宋体" w:hAnsi="宋体" w:eastAsia="宋体" w:cs="宋体"/>
          <w:szCs w:val="21"/>
        </w:rPr>
        <w:t>2．教学方法：本课程以讲授为主，适当安排一些讨论，让学生充分地参与。教师应结合教学，开列一些必要的阅读书目和文献资料，指导学生阅读作品，注意培养学生的文学感悟力和文学史眼光。</w:t>
      </w:r>
    </w:p>
    <w:p w14:paraId="7EA6AED1">
      <w:pPr>
        <w:spacing w:line="300" w:lineRule="auto"/>
        <w:ind w:firstLine="420" w:firstLineChars="200"/>
        <w:rPr>
          <w:rFonts w:hint="eastAsia" w:ascii="宋体" w:hAnsi="宋体" w:eastAsia="宋体" w:cs="宋体"/>
          <w:szCs w:val="21"/>
        </w:rPr>
      </w:pPr>
      <w:r>
        <w:rPr>
          <w:rFonts w:hint="eastAsia" w:ascii="宋体" w:hAnsi="宋体" w:eastAsia="宋体" w:cs="宋体"/>
          <w:szCs w:val="21"/>
        </w:rPr>
        <w:t>3．学术性：教学中应尽可能介绍一些前沿性的成果和研究趋向，拓宽视野，有意识地对学生进行初步的学术训练。</w:t>
      </w:r>
    </w:p>
    <w:p w14:paraId="5B8D7698">
      <w:pPr>
        <w:spacing w:line="300" w:lineRule="auto"/>
        <w:ind w:firstLine="420" w:firstLineChars="200"/>
        <w:rPr>
          <w:rFonts w:hint="eastAsia" w:ascii="宋体" w:hAnsi="宋体" w:eastAsia="宋体" w:cs="宋体"/>
          <w:szCs w:val="21"/>
        </w:rPr>
      </w:pPr>
      <w:r>
        <w:rPr>
          <w:rFonts w:hint="eastAsia" w:ascii="宋体" w:hAnsi="宋体" w:eastAsia="宋体" w:cs="宋体"/>
          <w:szCs w:val="21"/>
        </w:rPr>
        <w:t>4．技能掌握：学会从不同视角解读作家作品和文学现象。</w:t>
      </w:r>
    </w:p>
    <w:p w14:paraId="5D0B89FF">
      <w:pPr>
        <w:spacing w:line="300" w:lineRule="auto"/>
        <w:ind w:firstLine="420" w:firstLineChars="200"/>
        <w:rPr>
          <w:rFonts w:hint="eastAsia" w:ascii="宋体" w:hAnsi="宋体" w:eastAsia="宋体" w:cs="宋体"/>
          <w:b/>
          <w:szCs w:val="21"/>
        </w:rPr>
      </w:pPr>
      <w:r>
        <w:rPr>
          <w:rFonts w:hint="eastAsia" w:ascii="宋体" w:hAnsi="宋体" w:eastAsia="宋体" w:cs="宋体"/>
          <w:szCs w:val="21"/>
        </w:rPr>
        <w:t>5．素质培养：提高文学的感悟力，逐步养成审美的能力和文学史眼光。</w:t>
      </w:r>
    </w:p>
    <w:p w14:paraId="1EB9E13E">
      <w:pPr>
        <w:numPr>
          <w:ilvl w:val="0"/>
          <w:numId w:val="37"/>
        </w:num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建议教材</w:t>
      </w:r>
    </w:p>
    <w:p w14:paraId="5C02C6B0">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洪子诚：《中国当代文学史》（修订版），北京大学出版社，2007年版。</w:t>
      </w:r>
    </w:p>
    <w:p w14:paraId="718D2C7F">
      <w:pPr>
        <w:spacing w:line="312" w:lineRule="auto"/>
        <w:ind w:firstLine="420" w:firstLineChars="200"/>
        <w:rPr>
          <w:rFonts w:hint="eastAsia" w:ascii="宋体" w:hAnsi="宋体" w:eastAsia="宋体" w:cs="宋体"/>
          <w:b/>
          <w:szCs w:val="21"/>
        </w:rPr>
      </w:pPr>
      <w:r>
        <w:rPr>
          <w:rFonts w:hint="eastAsia" w:ascii="宋体" w:hAnsi="宋体" w:eastAsia="宋体" w:cs="宋体"/>
          <w:szCs w:val="21"/>
        </w:rPr>
        <w:t>谢冕、洪子诚：《中国当代文学作品精选》（第三版），北京大学出版社，2015年版。</w:t>
      </w:r>
    </w:p>
    <w:p w14:paraId="4FF0E6D1">
      <w:pPr>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（三）参考书目</w:t>
      </w:r>
    </w:p>
    <w:p w14:paraId="67D3C24E">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1.陈思和：《中国当代文学史教程》，复旦大学出版，1999年版。</w:t>
      </w:r>
    </w:p>
    <w:p w14:paraId="41D21722">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2.王德威：《写实主义小说的虚构：茅盾·老舍·沈从文》，复旦大学出版社，2013年。</w:t>
      </w:r>
    </w:p>
    <w:p w14:paraId="33CE434D">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3.李欧梵：《中国现代作家浪漫的一代》，新星出版社，2005年版。</w:t>
      </w:r>
    </w:p>
    <w:p w14:paraId="0AF8B38C">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4.汪晖：《反抗绝望：鲁迅及其文学世界》，北京三联书店，2008年版。</w:t>
      </w:r>
    </w:p>
    <w:p w14:paraId="020CBBC8">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5.许子东：《张爱玲·郁达夫·香港文学》，人民文学出版社，2011年版。</w:t>
      </w:r>
    </w:p>
    <w:p w14:paraId="3D8CAACB">
      <w:pPr>
        <w:spacing w:line="312" w:lineRule="auto"/>
        <w:ind w:firstLine="420" w:firstLineChars="200"/>
        <w:rPr>
          <w:rFonts w:hint="eastAsia" w:ascii="宋体" w:hAnsi="宋体" w:eastAsia="宋体" w:cs="宋体"/>
          <w:szCs w:val="21"/>
        </w:rPr>
      </w:pPr>
      <w:r>
        <w:rPr>
          <w:rFonts w:hint="eastAsia" w:ascii="宋体" w:hAnsi="宋体" w:eastAsia="宋体" w:cs="宋体"/>
          <w:szCs w:val="21"/>
        </w:rPr>
        <w:t>6.陈平原：《触摸历史与进入五四》，北京大学出版社，2005年版。</w:t>
      </w:r>
    </w:p>
    <w:p w14:paraId="5880FDFF">
      <w:pPr>
        <w:spacing w:line="360" w:lineRule="auto"/>
        <w:jc w:val="right"/>
        <w:rPr>
          <w:rFonts w:hint="eastAsia" w:ascii="宋体" w:hAnsi="宋体" w:eastAsia="宋体" w:cs="宋体"/>
          <w:szCs w:val="21"/>
        </w:rPr>
      </w:pPr>
      <w:r>
        <w:rPr>
          <w:rFonts w:hint="eastAsia" w:ascii="宋体" w:hAnsi="宋体" w:eastAsia="宋体" w:cs="宋体"/>
          <w:szCs w:val="21"/>
        </w:rPr>
        <w:t>执 笔 人： 傅燕婷</w:t>
      </w:r>
    </w:p>
    <w:p w14:paraId="679CFEB8">
      <w:pPr>
        <w:wordWrap w:val="0"/>
        <w:spacing w:line="360" w:lineRule="auto"/>
        <w:jc w:val="right"/>
        <w:rPr>
          <w:rFonts w:hint="eastAsia" w:ascii="宋体" w:hAnsi="宋体" w:eastAsia="宋体" w:cs="宋体"/>
          <w:szCs w:val="21"/>
        </w:rPr>
      </w:pPr>
      <w:r>
        <w:rPr>
          <w:rFonts w:hint="eastAsia" w:ascii="宋体" w:hAnsi="宋体" w:eastAsia="宋体" w:cs="宋体"/>
          <w:szCs w:val="21"/>
        </w:rPr>
        <w:t xml:space="preserve">   审 定 人： 王  健</w:t>
      </w:r>
    </w:p>
    <w:p w14:paraId="0CE4C5F1">
      <w:pPr>
        <w:spacing w:line="360" w:lineRule="auto"/>
        <w:ind w:firstLine="3780" w:firstLineChars="1800"/>
        <w:jc w:val="right"/>
        <w:rPr>
          <w:rFonts w:hint="eastAsia" w:ascii="宋体" w:hAnsi="宋体" w:eastAsia="宋体" w:cs="宋体"/>
          <w:szCs w:val="21"/>
        </w:rPr>
      </w:pPr>
      <w:r>
        <w:rPr>
          <w:rFonts w:hint="eastAsia" w:ascii="宋体" w:hAnsi="宋体" w:eastAsia="宋体" w:cs="宋体"/>
          <w:szCs w:val="21"/>
        </w:rPr>
        <w:t>审 批 人： 张志欣</w:t>
      </w:r>
    </w:p>
    <w:p w14:paraId="3F8A7402">
      <w:pPr>
        <w:spacing w:line="360" w:lineRule="auto"/>
        <w:jc w:val="right"/>
        <w:rPr>
          <w:rFonts w:hint="eastAsia" w:ascii="宋体" w:hAnsi="宋体" w:eastAsia="宋体" w:cs="宋体"/>
          <w:szCs w:val="21"/>
        </w:rPr>
      </w:pPr>
      <w:r>
        <w:rPr>
          <w:rFonts w:hint="eastAsia" w:ascii="宋体" w:hAnsi="宋体" w:eastAsia="宋体" w:cs="宋体"/>
          <w:szCs w:val="21"/>
        </w:rPr>
        <w:t xml:space="preserve">                           批准时间：2025年7月1日</w:t>
      </w:r>
    </w:p>
    <w:p w14:paraId="3D91592D">
      <w:pPr>
        <w:rPr>
          <w:rFonts w:ascii="Times New Roman" w:hAnsi="Times New Roman" w:eastAsia="宋体" w:cs="Times New Roman"/>
          <w:smallCaps/>
          <w:kern w:val="44"/>
          <w:sz w:val="24"/>
        </w:rPr>
      </w:pPr>
      <w:r>
        <w:rPr>
          <w:rFonts w:hint="eastAsia" w:ascii="Times New Roman" w:hAnsi="Times New Roman" w:eastAsia="宋体" w:cs="Times New Roman"/>
          <w:smallCaps/>
          <w:kern w:val="44"/>
          <w:sz w:val="24"/>
        </w:rPr>
        <w:br w:type="page"/>
      </w:r>
    </w:p>
    <w:p w14:paraId="0C16F522">
      <w:pPr>
        <w:spacing w:line="360" w:lineRule="auto"/>
        <w:jc w:val="center"/>
        <w:outlineLvl w:val="0"/>
        <w:rPr>
          <w:rFonts w:ascii="Times New Roman" w:hAnsi="Times New Roman" w:eastAsia="宋体" w:cs="Times New Roman"/>
          <w:b/>
          <w:sz w:val="44"/>
          <w:szCs w:val="44"/>
        </w:rPr>
      </w:pPr>
      <w:bookmarkStart w:id="1139" w:name="_Toc3712"/>
      <w:bookmarkStart w:id="1140" w:name="_Toc25604"/>
      <w:bookmarkStart w:id="1141" w:name="_Toc22449"/>
      <w:bookmarkStart w:id="1142" w:name="_Toc27667"/>
      <w:r>
        <w:rPr>
          <w:rFonts w:hint="eastAsia" w:ascii="Times New Roman" w:hAnsi="Times New Roman" w:eastAsia="宋体" w:cs="Times New Roman"/>
          <w:b/>
          <w:sz w:val="44"/>
          <w:szCs w:val="44"/>
        </w:rPr>
        <w:t>《文学概论》课程教学大纲</w:t>
      </w:r>
      <w:bookmarkEnd w:id="1139"/>
      <w:bookmarkEnd w:id="1140"/>
      <w:bookmarkEnd w:id="1141"/>
      <w:bookmarkEnd w:id="1142"/>
    </w:p>
    <w:p w14:paraId="67C6CE66">
      <w:pPr>
        <w:spacing w:line="360" w:lineRule="auto"/>
        <w:jc w:val="center"/>
        <w:rPr>
          <w:rFonts w:ascii="Times New Roman" w:hAnsi="Times New Roman" w:eastAsia="宋体" w:cs="Times New Roman"/>
          <w:b/>
          <w:bCs/>
          <w:sz w:val="28"/>
          <w:szCs w:val="28"/>
        </w:rPr>
      </w:pPr>
      <w:bookmarkStart w:id="1143" w:name="_Toc2133"/>
      <w:bookmarkStart w:id="1144" w:name="_Toc10555"/>
      <w:bookmarkStart w:id="1145" w:name="_Toc23155"/>
      <w:bookmarkStart w:id="1146" w:name="_Toc7515"/>
      <w:bookmarkStart w:id="1147" w:name="_Toc131"/>
      <w:bookmarkStart w:id="1148" w:name="_Toc24341"/>
      <w:bookmarkStart w:id="1149" w:name="_Toc14076"/>
      <w:r>
        <w:rPr>
          <w:rFonts w:ascii="Times New Roman" w:hAnsi="Times New Roman" w:eastAsia="宋体" w:cs="Times New Roman"/>
          <w:b/>
          <w:bCs/>
          <w:sz w:val="28"/>
          <w:szCs w:val="28"/>
        </w:rPr>
        <w:t>（Introduction to Literature）</w:t>
      </w:r>
      <w:bookmarkEnd w:id="1143"/>
      <w:bookmarkEnd w:id="1144"/>
      <w:bookmarkEnd w:id="1145"/>
      <w:bookmarkEnd w:id="1146"/>
      <w:bookmarkEnd w:id="1147"/>
      <w:bookmarkEnd w:id="1148"/>
      <w:bookmarkEnd w:id="1149"/>
    </w:p>
    <w:p w14:paraId="50E90FF9">
      <w:pPr>
        <w:spacing w:line="440" w:lineRule="exact"/>
        <w:jc w:val="center"/>
        <w:rPr>
          <w:rFonts w:hint="eastAsia" w:ascii="宋体" w:hAnsi="宋体" w:eastAsia="宋体" w:cs="宋体"/>
          <w:szCs w:val="20"/>
        </w:rPr>
      </w:pPr>
    </w:p>
    <w:p w14:paraId="18169309">
      <w:pPr>
        <w:spacing w:line="360" w:lineRule="auto"/>
        <w:ind w:firstLine="482" w:firstLineChars="200"/>
        <w:rPr>
          <w:rFonts w:hint="eastAsia" w:ascii="宋体" w:hAnsi="宋体" w:eastAsia="宋体" w:cs="宋体"/>
          <w:b/>
          <w:bCs/>
          <w:kern w:val="0"/>
          <w:sz w:val="24"/>
          <w:szCs w:val="22"/>
        </w:rPr>
      </w:pPr>
      <w:r>
        <w:rPr>
          <w:rFonts w:hint="eastAsia" w:ascii="宋体" w:hAnsi="宋体" w:eastAsia="宋体" w:cs="宋体"/>
          <w:b/>
          <w:bCs/>
          <w:kern w:val="0"/>
          <w:sz w:val="24"/>
          <w:szCs w:val="22"/>
        </w:rPr>
        <w:t>课程名称：文学概论</w:t>
      </w:r>
    </w:p>
    <w:p w14:paraId="35137000">
      <w:pPr>
        <w:spacing w:line="360" w:lineRule="auto"/>
        <w:ind w:firstLine="482" w:firstLineChars="200"/>
        <w:rPr>
          <w:rFonts w:hint="eastAsia" w:ascii="宋体" w:hAnsi="宋体" w:eastAsia="宋体" w:cs="宋体"/>
          <w:b/>
          <w:bCs/>
          <w:sz w:val="28"/>
          <w:szCs w:val="28"/>
        </w:rPr>
      </w:pPr>
      <w:r>
        <w:rPr>
          <w:rFonts w:hint="eastAsia" w:ascii="宋体" w:hAnsi="宋体" w:eastAsia="宋体" w:cs="宋体"/>
          <w:b/>
          <w:bCs/>
          <w:kern w:val="0"/>
          <w:sz w:val="24"/>
          <w:szCs w:val="22"/>
        </w:rPr>
        <w:t>课程代码：0705028</w:t>
      </w:r>
    </w:p>
    <w:p w14:paraId="45BC7E86">
      <w:pPr>
        <w:spacing w:line="360" w:lineRule="auto"/>
        <w:ind w:firstLine="482" w:firstLineChars="200"/>
        <w:rPr>
          <w:rFonts w:hint="eastAsia" w:ascii="宋体" w:hAnsi="宋体" w:eastAsia="宋体" w:cs="宋体"/>
          <w:b/>
          <w:bCs/>
          <w:kern w:val="0"/>
          <w:sz w:val="24"/>
          <w:szCs w:val="22"/>
        </w:rPr>
      </w:pPr>
      <w:r>
        <w:rPr>
          <w:rFonts w:hint="eastAsia" w:ascii="宋体" w:hAnsi="宋体" w:eastAsia="宋体" w:cs="宋体"/>
          <w:b/>
          <w:bCs/>
          <w:kern w:val="0"/>
          <w:sz w:val="24"/>
          <w:szCs w:val="22"/>
        </w:rPr>
        <w:t>学    分：3</w:t>
      </w:r>
    </w:p>
    <w:p w14:paraId="6B4EC24E">
      <w:pPr>
        <w:spacing w:line="360" w:lineRule="auto"/>
        <w:ind w:firstLine="482" w:firstLineChars="200"/>
        <w:rPr>
          <w:rFonts w:hint="eastAsia" w:ascii="宋体" w:hAnsi="宋体" w:eastAsia="宋体" w:cs="宋体"/>
          <w:b/>
          <w:bCs/>
          <w:kern w:val="0"/>
          <w:sz w:val="24"/>
          <w:szCs w:val="22"/>
        </w:rPr>
      </w:pPr>
      <w:r>
        <w:rPr>
          <w:rFonts w:hint="eastAsia" w:ascii="宋体" w:hAnsi="宋体" w:eastAsia="宋体" w:cs="宋体"/>
          <w:b/>
          <w:bCs/>
          <w:kern w:val="0"/>
          <w:sz w:val="24"/>
          <w:szCs w:val="22"/>
        </w:rPr>
        <w:t>学    时：48</w:t>
      </w:r>
    </w:p>
    <w:p w14:paraId="47810C31">
      <w:pPr>
        <w:spacing w:line="360" w:lineRule="auto"/>
        <w:ind w:firstLine="482" w:firstLineChars="200"/>
        <w:rPr>
          <w:rFonts w:hint="eastAsia" w:ascii="宋体" w:hAnsi="宋体" w:eastAsia="宋体" w:cs="宋体"/>
          <w:b/>
          <w:bCs/>
          <w:kern w:val="0"/>
          <w:sz w:val="24"/>
          <w:szCs w:val="22"/>
        </w:rPr>
      </w:pPr>
      <w:r>
        <w:rPr>
          <w:rFonts w:hint="eastAsia" w:ascii="宋体" w:hAnsi="宋体" w:eastAsia="宋体" w:cs="宋体"/>
          <w:b/>
          <w:bCs/>
          <w:kern w:val="0"/>
          <w:sz w:val="24"/>
          <w:szCs w:val="22"/>
        </w:rPr>
        <w:t>先修课程：</w:t>
      </w:r>
      <w:r>
        <w:rPr>
          <w:rFonts w:hint="eastAsia" w:ascii="宋体" w:hAnsi="宋体" w:eastAsia="宋体" w:cs="宋体"/>
          <w:b/>
          <w:bCs/>
          <w:sz w:val="24"/>
          <w:szCs w:val="22"/>
        </w:rPr>
        <w:t>中国古代文学I、中国古代文学II、中国现当代文学、现代汉语、古代汉语等。</w:t>
      </w:r>
    </w:p>
    <w:p w14:paraId="3CBD9655">
      <w:pPr>
        <w:spacing w:line="360" w:lineRule="auto"/>
        <w:ind w:firstLine="482" w:firstLineChars="200"/>
        <w:rPr>
          <w:rFonts w:hint="eastAsia" w:ascii="宋体" w:hAnsi="宋体" w:eastAsia="宋体" w:cs="宋体"/>
          <w:sz w:val="24"/>
          <w:szCs w:val="22"/>
        </w:rPr>
      </w:pPr>
      <w:r>
        <w:rPr>
          <w:rFonts w:hint="eastAsia" w:ascii="宋体" w:hAnsi="宋体" w:eastAsia="宋体" w:cs="宋体"/>
          <w:b/>
          <w:bCs/>
          <w:kern w:val="0"/>
          <w:sz w:val="24"/>
          <w:szCs w:val="22"/>
        </w:rPr>
        <w:t>适用专业：</w:t>
      </w:r>
      <w:r>
        <w:rPr>
          <w:rFonts w:hint="eastAsia" w:ascii="宋体" w:hAnsi="宋体" w:eastAsia="宋体" w:cs="宋体"/>
          <w:b/>
          <w:bCs/>
          <w:sz w:val="24"/>
          <w:szCs w:val="22"/>
        </w:rPr>
        <w:t>小学教育（文）</w:t>
      </w:r>
    </w:p>
    <w:p w14:paraId="503D0F3F">
      <w:pPr>
        <w:spacing w:before="62" w:beforeLines="20" w:after="62" w:afterLines="20" w:line="360" w:lineRule="auto"/>
        <w:jc w:val="left"/>
        <w:rPr>
          <w:rFonts w:hint="eastAsia" w:ascii="宋体" w:hAnsi="宋体" w:eastAsia="宋体" w:cs="宋体"/>
          <w:b/>
          <w:sz w:val="24"/>
        </w:rPr>
      </w:pPr>
      <w:r>
        <w:rPr>
          <w:rFonts w:hint="eastAsia" w:ascii="宋体" w:hAnsi="宋体" w:eastAsia="宋体" w:cs="宋体"/>
          <w:b/>
          <w:sz w:val="24"/>
        </w:rPr>
        <w:t>一、</w:t>
      </w:r>
      <w:bookmarkStart w:id="1150" w:name="_Toc32421"/>
      <w:bookmarkStart w:id="1151" w:name="_Toc20267"/>
      <w:bookmarkStart w:id="1152" w:name="_Toc29129"/>
      <w:bookmarkStart w:id="1153" w:name="_Toc26777"/>
      <w:bookmarkStart w:id="1154" w:name="_Toc29312"/>
      <w:bookmarkStart w:id="1155" w:name="_Toc16346"/>
      <w:bookmarkStart w:id="1156" w:name="_Toc24544"/>
      <w:r>
        <w:rPr>
          <w:rFonts w:hint="eastAsia" w:ascii="宋体" w:hAnsi="宋体" w:eastAsia="宋体" w:cs="宋体"/>
          <w:b/>
          <w:sz w:val="24"/>
        </w:rPr>
        <w:t>课程简介</w:t>
      </w:r>
      <w:bookmarkEnd w:id="1150"/>
      <w:bookmarkEnd w:id="1151"/>
      <w:bookmarkEnd w:id="1152"/>
      <w:bookmarkEnd w:id="1153"/>
      <w:bookmarkEnd w:id="1154"/>
      <w:bookmarkEnd w:id="1155"/>
      <w:bookmarkEnd w:id="1156"/>
    </w:p>
    <w:p w14:paraId="517ED1F5">
      <w:pPr>
        <w:spacing w:line="360" w:lineRule="auto"/>
        <w:ind w:firstLine="420" w:firstLineChars="200"/>
        <w:rPr>
          <w:rFonts w:hint="eastAsia" w:ascii="宋体" w:hAnsi="宋体" w:eastAsia="宋体" w:cs="宋体"/>
          <w:bCs/>
          <w:kern w:val="0"/>
          <w:szCs w:val="20"/>
        </w:rPr>
      </w:pPr>
      <w:r>
        <w:rPr>
          <w:rFonts w:hint="eastAsia" w:ascii="宋体" w:hAnsi="宋体" w:eastAsia="宋体" w:cs="宋体"/>
          <w:bCs/>
          <w:kern w:val="0"/>
          <w:szCs w:val="20"/>
        </w:rPr>
        <w:t>本课程是小学教育专业的专业基础必修课。通过本课程的学习，首先，使学生系统地学习和掌握文学的基础知识和基本理论，帮助学生树立马克思主义的科学文艺观；其次，进一步提高学生阅读、鉴赏、分析、评论文学作品和辨析文艺思潮、文艺现象的能力；最后，为提升审美意识打下必要的理论基础，将所学理论知识和文学阅读结合起来，增强分析和解决实际问题的能力。</w:t>
      </w:r>
    </w:p>
    <w:p w14:paraId="09497754">
      <w:pPr>
        <w:spacing w:before="62" w:beforeLines="20" w:after="62" w:afterLines="20" w:line="360" w:lineRule="auto"/>
        <w:jc w:val="left"/>
        <w:rPr>
          <w:rFonts w:hint="eastAsia" w:ascii="宋体" w:hAnsi="宋体" w:eastAsia="宋体" w:cs="宋体"/>
          <w:b/>
          <w:sz w:val="24"/>
        </w:rPr>
      </w:pPr>
      <w:bookmarkStart w:id="1157" w:name="_Toc5723"/>
      <w:bookmarkStart w:id="1158" w:name="_Toc13975"/>
      <w:bookmarkStart w:id="1159" w:name="_Toc6945"/>
      <w:bookmarkStart w:id="1160" w:name="_Toc690"/>
      <w:bookmarkStart w:id="1161" w:name="_Toc21368"/>
      <w:bookmarkStart w:id="1162" w:name="_Toc6641"/>
      <w:bookmarkStart w:id="1163" w:name="_Toc7826"/>
      <w:r>
        <w:rPr>
          <w:rFonts w:hint="eastAsia" w:ascii="宋体" w:hAnsi="宋体" w:eastAsia="宋体" w:cs="宋体"/>
          <w:b/>
          <w:sz w:val="24"/>
        </w:rPr>
        <w:t>二、课程目标</w:t>
      </w:r>
      <w:bookmarkEnd w:id="1157"/>
      <w:bookmarkEnd w:id="1158"/>
      <w:bookmarkEnd w:id="1159"/>
      <w:bookmarkEnd w:id="1160"/>
      <w:bookmarkEnd w:id="1161"/>
      <w:bookmarkEnd w:id="1162"/>
      <w:bookmarkEnd w:id="1163"/>
    </w:p>
    <w:p w14:paraId="62738464">
      <w:pPr>
        <w:spacing w:line="360" w:lineRule="auto"/>
        <w:ind w:left="500"/>
        <w:outlineLvl w:val="1"/>
        <w:rPr>
          <w:rFonts w:hint="eastAsia" w:ascii="宋体" w:hAnsi="宋体" w:eastAsia="宋体" w:cs="宋体"/>
          <w:b/>
          <w:szCs w:val="21"/>
        </w:rPr>
      </w:pPr>
      <w:bookmarkStart w:id="1164" w:name="_Toc22261"/>
      <w:r>
        <w:rPr>
          <w:rFonts w:hint="eastAsia" w:ascii="宋体" w:hAnsi="宋体" w:eastAsia="宋体" w:cs="宋体"/>
          <w:b/>
          <w:szCs w:val="21"/>
        </w:rPr>
        <w:t>（一）课程具体目标</w:t>
      </w:r>
      <w:bookmarkEnd w:id="1164"/>
    </w:p>
    <w:p w14:paraId="04AAD6FC">
      <w:pPr>
        <w:spacing w:line="360" w:lineRule="auto"/>
        <w:ind w:firstLine="422" w:firstLineChars="200"/>
        <w:jc w:val="left"/>
        <w:rPr>
          <w:rFonts w:hint="eastAsia" w:ascii="宋体" w:hAnsi="宋体" w:eastAsia="宋体" w:cs="宋体"/>
          <w:szCs w:val="21"/>
        </w:rPr>
      </w:pPr>
      <w:r>
        <w:rPr>
          <w:rFonts w:hint="eastAsia" w:ascii="宋体" w:hAnsi="宋体" w:eastAsia="宋体" w:cs="宋体"/>
          <w:b/>
          <w:bCs/>
          <w:szCs w:val="21"/>
        </w:rPr>
        <w:t>目标1.</w:t>
      </w:r>
      <w:r>
        <w:rPr>
          <w:rFonts w:hint="eastAsia" w:ascii="宋体" w:hAnsi="宋体" w:eastAsia="宋体" w:cs="宋体"/>
          <w:szCs w:val="21"/>
        </w:rPr>
        <w:t xml:space="preserve"> 系统学习和理解马克思主义文学理论产生的历史条件和思想来源，培养良好的学科专业能力，把握文学作为一种审美意识形态的基本性质，理解文学的审美意识形态性的具体表现。</w:t>
      </w:r>
    </w:p>
    <w:p w14:paraId="29062F2E">
      <w:pPr>
        <w:spacing w:line="360" w:lineRule="auto"/>
        <w:ind w:firstLine="422" w:firstLineChars="200"/>
        <w:jc w:val="left"/>
        <w:rPr>
          <w:rFonts w:hint="eastAsia" w:ascii="宋体" w:hAnsi="宋体" w:eastAsia="宋体" w:cs="宋体"/>
          <w:szCs w:val="21"/>
        </w:rPr>
      </w:pPr>
      <w:r>
        <w:rPr>
          <w:rFonts w:hint="eastAsia" w:ascii="宋体" w:hAnsi="宋体" w:eastAsia="宋体" w:cs="宋体"/>
          <w:b/>
          <w:bCs/>
          <w:szCs w:val="21"/>
        </w:rPr>
        <w:t>目标2.</w:t>
      </w:r>
      <w:r>
        <w:rPr>
          <w:rFonts w:hint="eastAsia" w:ascii="宋体" w:hAnsi="宋体" w:eastAsia="宋体" w:cs="宋体"/>
          <w:szCs w:val="21"/>
        </w:rPr>
        <w:t xml:space="preserve"> 提高阅读、鉴赏、分析文学作品与文学现象的能力，掌握各种文学体裁的特征和发展过程，实践文学理论对具体作品的批评指导。具有较好的人文素养与艺术底蕴，人格健全，心理健康，情感丰富，为人师表。</w:t>
      </w:r>
    </w:p>
    <w:p w14:paraId="6D4CC2F0">
      <w:pPr>
        <w:adjustRightInd w:val="0"/>
        <w:snapToGrid w:val="0"/>
        <w:spacing w:line="360" w:lineRule="auto"/>
        <w:ind w:firstLine="422" w:firstLineChars="200"/>
        <w:outlineLvl w:val="1"/>
        <w:rPr>
          <w:rFonts w:hint="eastAsia" w:ascii="宋体" w:hAnsi="宋体" w:eastAsia="宋体" w:cs="宋体"/>
          <w:b/>
          <w:szCs w:val="21"/>
        </w:rPr>
      </w:pPr>
      <w:bookmarkStart w:id="1165" w:name="_Toc30335"/>
      <w:r>
        <w:rPr>
          <w:rFonts w:hint="eastAsia" w:ascii="宋体" w:hAnsi="宋体" w:eastAsia="宋体" w:cs="宋体"/>
          <w:b/>
          <w:szCs w:val="21"/>
        </w:rPr>
        <w:t>（二）课程目标与专业毕业要求的关系</w:t>
      </w:r>
      <w:bookmarkEnd w:id="1165"/>
    </w:p>
    <w:tbl>
      <w:tblPr>
        <w:tblStyle w:val="11"/>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63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4DF591D">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w:t>
            </w:r>
          </w:p>
        </w:tc>
        <w:tc>
          <w:tcPr>
            <w:tcW w:w="5688" w:type="dxa"/>
            <w:vAlign w:val="center"/>
          </w:tcPr>
          <w:p w14:paraId="776A84F9">
            <w:pPr>
              <w:spacing w:line="360" w:lineRule="auto"/>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191" w:type="dxa"/>
            <w:vAlign w:val="center"/>
          </w:tcPr>
          <w:p w14:paraId="4C7C43AF">
            <w:pPr>
              <w:spacing w:line="360" w:lineRule="auto"/>
              <w:jc w:val="center"/>
              <w:rPr>
                <w:rFonts w:hint="eastAsia" w:ascii="宋体" w:hAnsi="宋体" w:eastAsia="宋体" w:cs="宋体"/>
                <w:b/>
                <w:bCs/>
                <w:szCs w:val="21"/>
              </w:rPr>
            </w:pPr>
            <w:r>
              <w:rPr>
                <w:rFonts w:hint="eastAsia" w:ascii="宋体" w:hAnsi="宋体" w:eastAsia="宋体" w:cs="宋体"/>
                <w:b/>
                <w:bCs/>
                <w:szCs w:val="21"/>
              </w:rPr>
              <w:t>课程目标</w:t>
            </w:r>
          </w:p>
        </w:tc>
      </w:tr>
      <w:tr w14:paraId="62C1E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FA099BB">
            <w:pPr>
              <w:spacing w:line="276" w:lineRule="auto"/>
              <w:jc w:val="left"/>
              <w:rPr>
                <w:rFonts w:hint="eastAsia" w:ascii="宋体" w:hAnsi="宋体" w:eastAsia="宋体" w:cs="宋体"/>
                <w:sz w:val="20"/>
                <w:szCs w:val="20"/>
              </w:rPr>
            </w:pPr>
            <w:r>
              <w:rPr>
                <w:rFonts w:hint="eastAsia" w:ascii="宋体" w:hAnsi="宋体" w:eastAsia="宋体" w:cs="宋体"/>
                <w:sz w:val="20"/>
                <w:szCs w:val="20"/>
              </w:rPr>
              <w:t>毕业要求1师德规范</w:t>
            </w:r>
          </w:p>
        </w:tc>
        <w:tc>
          <w:tcPr>
            <w:tcW w:w="5688" w:type="dxa"/>
            <w:vAlign w:val="center"/>
          </w:tcPr>
          <w:p w14:paraId="1F365C0C">
            <w:pPr>
              <w:spacing w:line="276" w:lineRule="auto"/>
              <w:jc w:val="left"/>
              <w:rPr>
                <w:rFonts w:hint="eastAsia" w:ascii="宋体" w:hAnsi="宋体" w:eastAsia="宋体" w:cs="宋体"/>
                <w:sz w:val="20"/>
                <w:szCs w:val="20"/>
              </w:rPr>
            </w:pPr>
            <w:r>
              <w:rPr>
                <w:rFonts w:hint="eastAsia" w:ascii="宋体" w:hAnsi="宋体" w:eastAsia="宋体" w:cs="宋体"/>
                <w:b/>
                <w:sz w:val="20"/>
                <w:szCs w:val="20"/>
              </w:rPr>
              <w:t>指标点1-1</w:t>
            </w:r>
            <w:r>
              <w:rPr>
                <w:rFonts w:hint="eastAsia" w:ascii="宋体" w:hAnsi="宋体" w:eastAsia="宋体" w:cs="宋体"/>
                <w:sz w:val="20"/>
                <w:szCs w:val="20"/>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03760C48">
            <w:pPr>
              <w:spacing w:line="276" w:lineRule="auto"/>
              <w:jc w:val="left"/>
              <w:rPr>
                <w:rFonts w:hint="eastAsia" w:ascii="宋体" w:hAnsi="宋体" w:eastAsia="宋体" w:cs="宋体"/>
                <w:sz w:val="20"/>
                <w:szCs w:val="20"/>
              </w:rPr>
            </w:pPr>
            <w:r>
              <w:rPr>
                <w:rFonts w:hint="eastAsia" w:ascii="宋体" w:hAnsi="宋体" w:eastAsia="宋体" w:cs="宋体"/>
                <w:sz w:val="20"/>
                <w:szCs w:val="20"/>
              </w:rPr>
              <w:t>课程目标2</w:t>
            </w:r>
          </w:p>
        </w:tc>
      </w:tr>
      <w:tr w14:paraId="4123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44AD08E">
            <w:pPr>
              <w:spacing w:line="276" w:lineRule="auto"/>
              <w:jc w:val="left"/>
              <w:rPr>
                <w:rFonts w:hint="eastAsia" w:ascii="宋体" w:hAnsi="宋体" w:eastAsia="宋体" w:cs="宋体"/>
                <w:sz w:val="20"/>
                <w:szCs w:val="20"/>
              </w:rPr>
            </w:pPr>
            <w:bookmarkStart w:id="1166" w:name="_Toc594"/>
            <w:r>
              <w:rPr>
                <w:rFonts w:hint="eastAsia" w:ascii="宋体" w:hAnsi="宋体" w:eastAsia="宋体" w:cs="宋体"/>
                <w:sz w:val="20"/>
                <w:szCs w:val="20"/>
              </w:rPr>
              <w:t>毕业要求2教育情怀</w:t>
            </w:r>
          </w:p>
        </w:tc>
        <w:tc>
          <w:tcPr>
            <w:tcW w:w="5688" w:type="dxa"/>
            <w:vAlign w:val="center"/>
          </w:tcPr>
          <w:p w14:paraId="052FAE95">
            <w:pPr>
              <w:spacing w:line="276" w:lineRule="auto"/>
              <w:jc w:val="left"/>
              <w:rPr>
                <w:rFonts w:hint="eastAsia" w:ascii="宋体" w:hAnsi="宋体" w:eastAsia="宋体" w:cs="宋体"/>
                <w:kern w:val="0"/>
                <w:sz w:val="20"/>
                <w:szCs w:val="20"/>
              </w:rPr>
            </w:pPr>
            <w:r>
              <w:rPr>
                <w:rFonts w:hint="eastAsia" w:ascii="宋体" w:hAnsi="宋体" w:eastAsia="宋体" w:cs="宋体"/>
                <w:b/>
                <w:kern w:val="0"/>
                <w:sz w:val="20"/>
                <w:szCs w:val="20"/>
              </w:rPr>
              <w:t>指标点2-3</w:t>
            </w:r>
            <w:r>
              <w:rPr>
                <w:rFonts w:hint="eastAsia" w:ascii="宋体" w:hAnsi="宋体" w:eastAsia="宋体" w:cs="宋体"/>
                <w:sz w:val="20"/>
                <w:szCs w:val="20"/>
              </w:rPr>
              <w:t>：【自身修养良好】具有较好的人文艺术底蕴与科学精神，言行举止符合教师职业标准，情感积极，人格健全，身心健康。</w:t>
            </w:r>
          </w:p>
        </w:tc>
        <w:tc>
          <w:tcPr>
            <w:tcW w:w="1191" w:type="dxa"/>
            <w:vAlign w:val="center"/>
          </w:tcPr>
          <w:p w14:paraId="11493930">
            <w:pPr>
              <w:spacing w:line="276" w:lineRule="auto"/>
              <w:jc w:val="left"/>
              <w:rPr>
                <w:rFonts w:hint="eastAsia" w:ascii="宋体" w:hAnsi="宋体" w:eastAsia="宋体" w:cs="宋体"/>
                <w:sz w:val="20"/>
                <w:szCs w:val="20"/>
              </w:rPr>
            </w:pPr>
            <w:r>
              <w:rPr>
                <w:rFonts w:hint="eastAsia" w:ascii="宋体" w:hAnsi="宋体" w:eastAsia="宋体" w:cs="宋体"/>
                <w:sz w:val="20"/>
                <w:szCs w:val="20"/>
              </w:rPr>
              <w:t>课程目标2</w:t>
            </w:r>
          </w:p>
        </w:tc>
      </w:tr>
      <w:tr w14:paraId="05C6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E3BF307">
            <w:pPr>
              <w:spacing w:line="276" w:lineRule="auto"/>
              <w:jc w:val="left"/>
              <w:rPr>
                <w:rFonts w:hint="eastAsia" w:ascii="宋体" w:hAnsi="宋体" w:eastAsia="宋体" w:cs="宋体"/>
                <w:sz w:val="20"/>
                <w:szCs w:val="20"/>
              </w:rPr>
            </w:pPr>
            <w:r>
              <w:rPr>
                <w:rFonts w:hint="eastAsia" w:ascii="宋体" w:hAnsi="宋体" w:eastAsia="宋体" w:cs="宋体"/>
                <w:sz w:val="20"/>
                <w:szCs w:val="20"/>
              </w:rPr>
              <w:t>毕业要求3学科素养</w:t>
            </w:r>
          </w:p>
        </w:tc>
        <w:tc>
          <w:tcPr>
            <w:tcW w:w="5688" w:type="dxa"/>
            <w:vAlign w:val="center"/>
          </w:tcPr>
          <w:p w14:paraId="2CE70BAA">
            <w:pPr>
              <w:spacing w:line="276" w:lineRule="auto"/>
              <w:jc w:val="left"/>
              <w:rPr>
                <w:rFonts w:hint="eastAsia" w:ascii="宋体" w:hAnsi="宋体" w:eastAsia="宋体" w:cs="宋体"/>
                <w:spacing w:val="2"/>
                <w:kern w:val="0"/>
                <w:sz w:val="20"/>
                <w:szCs w:val="20"/>
              </w:rPr>
            </w:pPr>
            <w:r>
              <w:rPr>
                <w:rFonts w:hint="eastAsia" w:ascii="宋体" w:hAnsi="宋体" w:eastAsia="宋体" w:cs="宋体"/>
                <w:b/>
                <w:kern w:val="0"/>
                <w:sz w:val="20"/>
                <w:szCs w:val="20"/>
              </w:rPr>
              <w:t>指标点3-2</w:t>
            </w:r>
            <w:r>
              <w:rPr>
                <w:rFonts w:hint="eastAsia" w:ascii="宋体" w:hAnsi="宋体" w:eastAsia="宋体" w:cs="宋体"/>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p w14:paraId="36B75479">
            <w:pPr>
              <w:spacing w:line="276" w:lineRule="auto"/>
              <w:jc w:val="left"/>
              <w:rPr>
                <w:rFonts w:hint="eastAsia" w:ascii="宋体" w:hAnsi="宋体" w:eastAsia="宋体" w:cs="宋体"/>
                <w:b/>
                <w:kern w:val="0"/>
                <w:sz w:val="20"/>
                <w:szCs w:val="20"/>
              </w:rPr>
            </w:pPr>
            <w:r>
              <w:rPr>
                <w:rFonts w:hint="eastAsia" w:ascii="宋体" w:hAnsi="宋体" w:eastAsia="宋体" w:cs="宋体"/>
                <w:b/>
                <w:kern w:val="0"/>
                <w:sz w:val="20"/>
                <w:szCs w:val="20"/>
              </w:rPr>
              <w:t>指标点3-3</w:t>
            </w:r>
            <w:r>
              <w:rPr>
                <w:rFonts w:hint="eastAsia" w:ascii="宋体" w:hAnsi="宋体" w:eastAsia="宋体" w:cs="宋体"/>
                <w:sz w:val="20"/>
                <w:szCs w:val="20"/>
              </w:rPr>
              <w:t>：【注重知识整合】了解所教学科与小学其他学科及与社会实践、小学生生活实践之间的联系，了解学科整合在小学教育中的价值，具有跨学科解决问题的意识和能力，能指导综合性学科教学活动。</w:t>
            </w:r>
          </w:p>
        </w:tc>
        <w:tc>
          <w:tcPr>
            <w:tcW w:w="1191" w:type="dxa"/>
            <w:vAlign w:val="center"/>
          </w:tcPr>
          <w:p w14:paraId="32306606">
            <w:pPr>
              <w:spacing w:line="276" w:lineRule="auto"/>
              <w:jc w:val="left"/>
              <w:rPr>
                <w:rFonts w:hint="eastAsia" w:ascii="宋体" w:hAnsi="宋体" w:eastAsia="宋体" w:cs="宋体"/>
                <w:sz w:val="20"/>
                <w:szCs w:val="20"/>
              </w:rPr>
            </w:pPr>
            <w:r>
              <w:rPr>
                <w:rFonts w:hint="eastAsia" w:ascii="宋体" w:hAnsi="宋体" w:eastAsia="宋体" w:cs="宋体"/>
                <w:sz w:val="20"/>
                <w:szCs w:val="20"/>
              </w:rPr>
              <w:t>课程目标1</w:t>
            </w:r>
          </w:p>
        </w:tc>
      </w:tr>
      <w:tr w14:paraId="515A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2D835A9">
            <w:pPr>
              <w:spacing w:line="276" w:lineRule="auto"/>
              <w:jc w:val="left"/>
              <w:rPr>
                <w:rFonts w:hint="eastAsia" w:ascii="宋体" w:hAnsi="宋体" w:eastAsia="宋体" w:cs="宋体"/>
                <w:sz w:val="20"/>
                <w:szCs w:val="20"/>
              </w:rPr>
            </w:pPr>
            <w:r>
              <w:rPr>
                <w:rFonts w:hint="eastAsia" w:ascii="宋体" w:hAnsi="宋体" w:eastAsia="宋体" w:cs="宋体"/>
                <w:sz w:val="20"/>
                <w:szCs w:val="20"/>
              </w:rPr>
              <w:t>毕业要求4教学能力</w:t>
            </w:r>
          </w:p>
        </w:tc>
        <w:tc>
          <w:tcPr>
            <w:tcW w:w="5688" w:type="dxa"/>
            <w:vAlign w:val="center"/>
          </w:tcPr>
          <w:p w14:paraId="2B8F54D6">
            <w:pPr>
              <w:spacing w:line="276" w:lineRule="auto"/>
              <w:jc w:val="left"/>
              <w:rPr>
                <w:rFonts w:hint="eastAsia" w:ascii="宋体" w:hAnsi="宋体" w:eastAsia="宋体" w:cs="宋体"/>
                <w:kern w:val="0"/>
                <w:sz w:val="20"/>
                <w:szCs w:val="20"/>
              </w:rPr>
            </w:pPr>
            <w:r>
              <w:rPr>
                <w:rFonts w:hint="eastAsia" w:ascii="宋体" w:hAnsi="宋体" w:eastAsia="宋体" w:cs="宋体"/>
                <w:b/>
                <w:kern w:val="0"/>
                <w:sz w:val="20"/>
                <w:szCs w:val="20"/>
              </w:rPr>
              <w:t>指标点4-1</w:t>
            </w:r>
            <w:r>
              <w:rPr>
                <w:rFonts w:hint="eastAsia" w:ascii="宋体" w:hAnsi="宋体" w:eastAsia="宋体" w:cs="宋体"/>
                <w:kern w:val="0"/>
                <w:sz w:val="20"/>
                <w:szCs w:val="20"/>
              </w:rPr>
              <w:t>：</w:t>
            </w:r>
            <w:r>
              <w:rPr>
                <w:rFonts w:hint="eastAsia" w:ascii="宋体" w:hAnsi="宋体" w:eastAsia="宋体" w:cs="宋体"/>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34B65150">
            <w:pPr>
              <w:spacing w:line="276" w:lineRule="auto"/>
              <w:jc w:val="left"/>
              <w:rPr>
                <w:rFonts w:hint="eastAsia" w:ascii="宋体" w:hAnsi="宋体" w:eastAsia="宋体" w:cs="宋体"/>
                <w:sz w:val="20"/>
                <w:szCs w:val="20"/>
              </w:rPr>
            </w:pPr>
            <w:r>
              <w:rPr>
                <w:rFonts w:hint="eastAsia" w:ascii="宋体" w:hAnsi="宋体" w:eastAsia="宋体" w:cs="宋体"/>
                <w:sz w:val="20"/>
                <w:szCs w:val="20"/>
              </w:rPr>
              <w:t>课程目标1</w:t>
            </w:r>
          </w:p>
        </w:tc>
      </w:tr>
      <w:tr w14:paraId="0F17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B7F0E0A">
            <w:pPr>
              <w:spacing w:line="276" w:lineRule="auto"/>
              <w:jc w:val="left"/>
              <w:rPr>
                <w:rFonts w:hint="eastAsia" w:ascii="宋体" w:hAnsi="宋体" w:eastAsia="宋体" w:cs="宋体"/>
                <w:sz w:val="20"/>
                <w:szCs w:val="20"/>
              </w:rPr>
            </w:pPr>
            <w:r>
              <w:rPr>
                <w:rFonts w:hint="eastAsia" w:ascii="宋体" w:hAnsi="宋体" w:eastAsia="宋体" w:cs="宋体"/>
                <w:sz w:val="20"/>
                <w:szCs w:val="20"/>
              </w:rPr>
              <w:t>毕业要求7学会反思</w:t>
            </w:r>
          </w:p>
        </w:tc>
        <w:tc>
          <w:tcPr>
            <w:tcW w:w="5688" w:type="dxa"/>
            <w:vAlign w:val="center"/>
          </w:tcPr>
          <w:p w14:paraId="244A3F98">
            <w:pPr>
              <w:spacing w:line="276" w:lineRule="auto"/>
              <w:jc w:val="left"/>
              <w:rPr>
                <w:rFonts w:hint="eastAsia" w:ascii="宋体" w:hAnsi="宋体" w:eastAsia="宋体" w:cs="宋体"/>
                <w:b/>
                <w:kern w:val="0"/>
                <w:sz w:val="20"/>
                <w:szCs w:val="20"/>
              </w:rPr>
            </w:pPr>
            <w:r>
              <w:rPr>
                <w:rFonts w:hint="eastAsia" w:ascii="宋体" w:hAnsi="宋体" w:eastAsia="宋体" w:cs="宋体"/>
                <w:b/>
                <w:kern w:val="0"/>
                <w:szCs w:val="21"/>
              </w:rPr>
              <w:t>指标点7-3</w:t>
            </w:r>
            <w:r>
              <w:rPr>
                <w:rFonts w:hint="eastAsia" w:ascii="宋体" w:hAnsi="宋体" w:eastAsia="宋体" w:cs="宋体"/>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191" w:type="dxa"/>
            <w:vAlign w:val="center"/>
          </w:tcPr>
          <w:p w14:paraId="4F767944">
            <w:pPr>
              <w:spacing w:line="276" w:lineRule="auto"/>
              <w:jc w:val="left"/>
              <w:rPr>
                <w:rFonts w:hint="eastAsia" w:ascii="宋体" w:hAnsi="宋体" w:eastAsia="宋体" w:cs="宋体"/>
                <w:sz w:val="20"/>
                <w:szCs w:val="20"/>
              </w:rPr>
            </w:pPr>
            <w:r>
              <w:rPr>
                <w:rFonts w:hint="eastAsia" w:ascii="宋体" w:hAnsi="宋体" w:eastAsia="宋体" w:cs="宋体"/>
                <w:sz w:val="20"/>
                <w:szCs w:val="20"/>
              </w:rPr>
              <w:t>课程目标2</w:t>
            </w:r>
          </w:p>
        </w:tc>
      </w:tr>
    </w:tbl>
    <w:p w14:paraId="03F6BF66">
      <w:pPr>
        <w:spacing w:before="156" w:beforeLines="50" w:line="360" w:lineRule="auto"/>
        <w:ind w:firstLine="422" w:firstLineChars="200"/>
        <w:jc w:val="left"/>
        <w:outlineLvl w:val="1"/>
        <w:rPr>
          <w:rFonts w:hint="eastAsia" w:ascii="宋体" w:hAnsi="宋体" w:eastAsia="宋体" w:cs="宋体"/>
          <w:b/>
          <w:szCs w:val="21"/>
        </w:rPr>
      </w:pPr>
      <w:r>
        <w:rPr>
          <w:rFonts w:hint="eastAsia" w:ascii="宋体" w:hAnsi="宋体" w:eastAsia="宋体" w:cs="宋体"/>
          <w:b/>
          <w:szCs w:val="21"/>
        </w:rPr>
        <w:t>（三）课程思政目标</w:t>
      </w:r>
      <w:bookmarkEnd w:id="1166"/>
    </w:p>
    <w:p w14:paraId="2C196AB2">
      <w:pPr>
        <w:spacing w:line="360" w:lineRule="auto"/>
        <w:ind w:firstLine="411" w:firstLineChars="196"/>
        <w:jc w:val="left"/>
        <w:rPr>
          <w:rFonts w:hint="eastAsia" w:ascii="宋体" w:hAnsi="宋体" w:eastAsia="宋体" w:cs="宋体"/>
          <w:szCs w:val="21"/>
        </w:rPr>
      </w:pPr>
      <w:r>
        <w:rPr>
          <w:rFonts w:hint="eastAsia" w:ascii="宋体" w:hAnsi="宋体" w:eastAsia="宋体" w:cs="宋体"/>
          <w:szCs w:val="21"/>
        </w:rPr>
        <w:t>促使学生在扎实掌握学科知识体系、思想与方法的基础上，践行社会主义核心价值观，认同中国特色社会主义，贯彻党的教育方针，以立德树人为己任，遵守小学教师职业道德规范。具有良好的学科专业能力，具有较好的人文素养与艺术底蕴，人格健全，心理健康，情感丰富，为人师表。立志成为有理想信念、有道德情操、有扎实学习、有仁爱之心的新时代大国良师。</w:t>
      </w:r>
    </w:p>
    <w:p w14:paraId="661F02CE">
      <w:pPr>
        <w:spacing w:before="62" w:beforeLines="20" w:after="62" w:afterLines="20" w:line="360" w:lineRule="auto"/>
        <w:jc w:val="left"/>
        <w:rPr>
          <w:rFonts w:hint="eastAsia" w:ascii="宋体" w:hAnsi="宋体" w:eastAsia="宋体" w:cs="宋体"/>
          <w:b/>
          <w:sz w:val="24"/>
        </w:rPr>
      </w:pPr>
      <w:bookmarkStart w:id="1167" w:name="_Toc18317"/>
      <w:bookmarkStart w:id="1168" w:name="_Toc30354"/>
      <w:bookmarkStart w:id="1169" w:name="_Toc6617"/>
      <w:bookmarkStart w:id="1170" w:name="_Toc9779"/>
      <w:bookmarkStart w:id="1171" w:name="_Toc8290"/>
      <w:bookmarkStart w:id="1172" w:name="_Toc18419"/>
      <w:bookmarkStart w:id="1173" w:name="_Toc29659"/>
      <w:r>
        <w:rPr>
          <w:rFonts w:hint="eastAsia" w:ascii="宋体" w:hAnsi="宋体" w:eastAsia="宋体" w:cs="宋体"/>
          <w:b/>
          <w:sz w:val="24"/>
        </w:rPr>
        <w:t>三、教学内容与预期学习成效</w:t>
      </w:r>
      <w:bookmarkEnd w:id="1167"/>
      <w:bookmarkEnd w:id="1168"/>
      <w:bookmarkEnd w:id="1169"/>
      <w:bookmarkEnd w:id="1170"/>
      <w:bookmarkEnd w:id="1171"/>
      <w:bookmarkEnd w:id="1172"/>
      <w:bookmarkEnd w:id="1173"/>
    </w:p>
    <w:tbl>
      <w:tblPr>
        <w:tblStyle w:val="11"/>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433"/>
        <w:gridCol w:w="1387"/>
        <w:gridCol w:w="438"/>
      </w:tblGrid>
      <w:tr w14:paraId="50F5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EBB985D">
            <w:pPr>
              <w:jc w:val="center"/>
              <w:rPr>
                <w:rFonts w:hint="eastAsia" w:ascii="宋体" w:hAnsi="宋体" w:eastAsia="宋体" w:cs="宋体"/>
                <w:b/>
                <w:szCs w:val="21"/>
              </w:rPr>
            </w:pPr>
            <w:r>
              <w:rPr>
                <w:rFonts w:hint="eastAsia" w:ascii="宋体" w:hAnsi="宋体" w:eastAsia="宋体" w:cs="宋体"/>
                <w:b/>
                <w:szCs w:val="21"/>
              </w:rPr>
              <w:t>知识</w:t>
            </w:r>
          </w:p>
          <w:p w14:paraId="0DD10779">
            <w:pPr>
              <w:jc w:val="center"/>
              <w:rPr>
                <w:rFonts w:hint="eastAsia" w:ascii="宋体" w:hAnsi="宋体" w:eastAsia="宋体" w:cs="宋体"/>
                <w:b/>
                <w:szCs w:val="21"/>
              </w:rPr>
            </w:pPr>
            <w:r>
              <w:rPr>
                <w:rFonts w:hint="eastAsia" w:ascii="宋体" w:hAnsi="宋体" w:eastAsia="宋体" w:cs="宋体"/>
                <w:b/>
                <w:szCs w:val="21"/>
              </w:rPr>
              <w:t>单元</w:t>
            </w:r>
          </w:p>
        </w:tc>
        <w:tc>
          <w:tcPr>
            <w:tcW w:w="1701" w:type="dxa"/>
            <w:vAlign w:val="center"/>
          </w:tcPr>
          <w:p w14:paraId="27185EB6">
            <w:pPr>
              <w:jc w:val="center"/>
              <w:rPr>
                <w:rFonts w:hint="eastAsia" w:ascii="宋体" w:hAnsi="宋体" w:eastAsia="宋体" w:cs="宋体"/>
                <w:b/>
                <w:szCs w:val="21"/>
              </w:rPr>
            </w:pPr>
            <w:r>
              <w:rPr>
                <w:rFonts w:hint="eastAsia" w:ascii="宋体" w:hAnsi="宋体" w:eastAsia="宋体" w:cs="宋体"/>
                <w:b/>
                <w:szCs w:val="21"/>
              </w:rPr>
              <w:t>知识点</w:t>
            </w:r>
          </w:p>
        </w:tc>
        <w:tc>
          <w:tcPr>
            <w:tcW w:w="1134" w:type="dxa"/>
            <w:vAlign w:val="center"/>
          </w:tcPr>
          <w:p w14:paraId="6CF636F8">
            <w:pPr>
              <w:jc w:val="center"/>
              <w:rPr>
                <w:rFonts w:hint="eastAsia" w:ascii="宋体" w:hAnsi="宋体" w:eastAsia="宋体" w:cs="宋体"/>
                <w:b/>
                <w:szCs w:val="21"/>
              </w:rPr>
            </w:pPr>
            <w:r>
              <w:rPr>
                <w:rFonts w:hint="eastAsia" w:ascii="宋体" w:hAnsi="宋体" w:eastAsia="宋体" w:cs="宋体"/>
                <w:b/>
                <w:szCs w:val="21"/>
              </w:rPr>
              <w:t>对应</w:t>
            </w:r>
          </w:p>
          <w:p w14:paraId="3CA7B38B">
            <w:pPr>
              <w:jc w:val="center"/>
              <w:rPr>
                <w:rFonts w:hint="eastAsia" w:ascii="宋体" w:hAnsi="宋体" w:eastAsia="宋体" w:cs="宋体"/>
                <w:b/>
                <w:szCs w:val="21"/>
              </w:rPr>
            </w:pPr>
            <w:r>
              <w:rPr>
                <w:rFonts w:hint="eastAsia" w:ascii="宋体" w:hAnsi="宋体" w:eastAsia="宋体" w:cs="宋体"/>
                <w:b/>
                <w:szCs w:val="21"/>
              </w:rPr>
              <w:t>课程目标</w:t>
            </w:r>
          </w:p>
        </w:tc>
        <w:tc>
          <w:tcPr>
            <w:tcW w:w="3433" w:type="dxa"/>
            <w:vAlign w:val="center"/>
          </w:tcPr>
          <w:p w14:paraId="089FA142">
            <w:pPr>
              <w:jc w:val="center"/>
              <w:rPr>
                <w:rFonts w:hint="eastAsia" w:ascii="宋体" w:hAnsi="宋体" w:eastAsia="宋体" w:cs="宋体"/>
                <w:b/>
                <w:szCs w:val="21"/>
              </w:rPr>
            </w:pPr>
            <w:r>
              <w:rPr>
                <w:rFonts w:hint="eastAsia" w:ascii="宋体" w:hAnsi="宋体" w:eastAsia="宋体" w:cs="宋体"/>
                <w:b/>
                <w:szCs w:val="21"/>
              </w:rPr>
              <w:t>预期学习成效</w:t>
            </w:r>
          </w:p>
        </w:tc>
        <w:tc>
          <w:tcPr>
            <w:tcW w:w="1387" w:type="dxa"/>
            <w:vAlign w:val="center"/>
          </w:tcPr>
          <w:p w14:paraId="6EFA1892">
            <w:pPr>
              <w:jc w:val="center"/>
              <w:rPr>
                <w:rFonts w:hint="eastAsia" w:ascii="宋体" w:hAnsi="宋体" w:eastAsia="宋体" w:cs="宋体"/>
                <w:b/>
                <w:szCs w:val="21"/>
              </w:rPr>
            </w:pPr>
            <w:r>
              <w:rPr>
                <w:rFonts w:hint="eastAsia" w:ascii="宋体" w:hAnsi="宋体" w:eastAsia="宋体" w:cs="宋体"/>
                <w:b/>
                <w:szCs w:val="21"/>
              </w:rPr>
              <w:t>实现环节</w:t>
            </w:r>
          </w:p>
        </w:tc>
        <w:tc>
          <w:tcPr>
            <w:tcW w:w="438" w:type="dxa"/>
            <w:vAlign w:val="center"/>
          </w:tcPr>
          <w:p w14:paraId="0B8D90B4">
            <w:pPr>
              <w:jc w:val="center"/>
              <w:rPr>
                <w:rFonts w:hint="eastAsia" w:ascii="宋体" w:hAnsi="宋体" w:eastAsia="宋体" w:cs="宋体"/>
                <w:b/>
                <w:szCs w:val="21"/>
              </w:rPr>
            </w:pPr>
            <w:r>
              <w:rPr>
                <w:rFonts w:hint="eastAsia" w:ascii="宋体" w:hAnsi="宋体" w:eastAsia="宋体" w:cs="宋体"/>
                <w:b/>
                <w:szCs w:val="21"/>
              </w:rPr>
              <w:t>学时</w:t>
            </w:r>
          </w:p>
        </w:tc>
      </w:tr>
      <w:tr w14:paraId="06544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20E5CE3">
            <w:pPr>
              <w:jc w:val="center"/>
              <w:rPr>
                <w:rFonts w:hint="eastAsia" w:ascii="宋体" w:hAnsi="宋体" w:eastAsia="宋体" w:cs="宋体"/>
                <w:szCs w:val="21"/>
              </w:rPr>
            </w:pPr>
            <w:r>
              <w:rPr>
                <w:rFonts w:hint="eastAsia" w:ascii="宋体" w:hAnsi="宋体" w:eastAsia="宋体" w:cs="宋体"/>
                <w:szCs w:val="21"/>
              </w:rPr>
              <w:t>1.马克思主义与文学理论</w:t>
            </w:r>
          </w:p>
        </w:tc>
        <w:tc>
          <w:tcPr>
            <w:tcW w:w="1701" w:type="dxa"/>
            <w:vAlign w:val="center"/>
          </w:tcPr>
          <w:p w14:paraId="5C0E5C96">
            <w:pPr>
              <w:jc w:val="left"/>
              <w:rPr>
                <w:rFonts w:hint="eastAsia" w:ascii="宋体" w:hAnsi="宋体" w:eastAsia="宋体" w:cs="宋体"/>
                <w:szCs w:val="21"/>
              </w:rPr>
            </w:pPr>
            <w:r>
              <w:rPr>
                <w:rFonts w:hint="eastAsia" w:ascii="宋体" w:hAnsi="宋体" w:eastAsia="宋体" w:cs="宋体"/>
                <w:szCs w:val="21"/>
              </w:rPr>
              <w:t>（1）文学概论内涵及其研究对象</w:t>
            </w:r>
          </w:p>
          <w:p w14:paraId="2E02C474">
            <w:pPr>
              <w:jc w:val="left"/>
              <w:rPr>
                <w:rFonts w:hint="eastAsia" w:ascii="宋体" w:hAnsi="宋体" w:eastAsia="宋体" w:cs="宋体"/>
                <w:szCs w:val="21"/>
              </w:rPr>
            </w:pPr>
            <w:r>
              <w:rPr>
                <w:rFonts w:hint="eastAsia" w:ascii="宋体" w:hAnsi="宋体" w:eastAsia="宋体" w:cs="宋体"/>
                <w:szCs w:val="21"/>
              </w:rPr>
              <w:t>（2）马克思文学理论的性质、任务和形态。</w:t>
            </w:r>
          </w:p>
          <w:p w14:paraId="3B376770">
            <w:pPr>
              <w:jc w:val="left"/>
              <w:rPr>
                <w:rFonts w:hint="eastAsia" w:ascii="宋体" w:hAnsi="宋体" w:eastAsia="宋体" w:cs="宋体"/>
                <w:szCs w:val="21"/>
              </w:rPr>
            </w:pPr>
            <w:r>
              <w:rPr>
                <w:rFonts w:hint="eastAsia" w:ascii="宋体" w:hAnsi="宋体" w:eastAsia="宋体" w:cs="宋体"/>
                <w:szCs w:val="21"/>
              </w:rPr>
              <w:t>（3）完整认识马克思恩格斯对文学理论的发展作出的划时代贡献。</w:t>
            </w:r>
          </w:p>
          <w:p w14:paraId="57881099">
            <w:pPr>
              <w:jc w:val="left"/>
              <w:rPr>
                <w:rFonts w:hint="eastAsia" w:ascii="宋体" w:hAnsi="宋体" w:eastAsia="宋体" w:cs="宋体"/>
                <w:szCs w:val="21"/>
              </w:rPr>
            </w:pPr>
            <w:r>
              <w:rPr>
                <w:rFonts w:hint="eastAsia" w:ascii="宋体" w:hAnsi="宋体" w:eastAsia="宋体" w:cs="宋体"/>
                <w:szCs w:val="21"/>
              </w:rPr>
              <w:t>（4）马克思主义文学理论在中国的发展与建设。</w:t>
            </w:r>
          </w:p>
        </w:tc>
        <w:tc>
          <w:tcPr>
            <w:tcW w:w="1134" w:type="dxa"/>
            <w:vAlign w:val="center"/>
          </w:tcPr>
          <w:p w14:paraId="19F1A06A">
            <w:pPr>
              <w:jc w:val="center"/>
              <w:rPr>
                <w:rFonts w:hint="eastAsia" w:ascii="宋体" w:hAnsi="宋体" w:eastAsia="宋体" w:cs="宋体"/>
                <w:szCs w:val="21"/>
              </w:rPr>
            </w:pPr>
            <w:r>
              <w:rPr>
                <w:rFonts w:hint="eastAsia" w:ascii="宋体" w:hAnsi="宋体" w:eastAsia="宋体" w:cs="宋体"/>
                <w:szCs w:val="21"/>
              </w:rPr>
              <w:t>课程目标1</w:t>
            </w:r>
          </w:p>
        </w:tc>
        <w:tc>
          <w:tcPr>
            <w:tcW w:w="3433" w:type="dxa"/>
            <w:vAlign w:val="center"/>
          </w:tcPr>
          <w:p w14:paraId="65A3CC63">
            <w:pPr>
              <w:jc w:val="left"/>
              <w:rPr>
                <w:rFonts w:hint="eastAsia" w:ascii="宋体" w:hAnsi="宋体" w:eastAsia="宋体" w:cs="宋体"/>
                <w:szCs w:val="21"/>
              </w:rPr>
            </w:pPr>
            <w:r>
              <w:rPr>
                <w:rFonts w:hint="eastAsia" w:ascii="宋体" w:hAnsi="宋体" w:eastAsia="宋体" w:cs="宋体"/>
                <w:szCs w:val="21"/>
              </w:rPr>
              <w:t>1.了解文学理论的性质、形态；理解文学理论的任务与意义。</w:t>
            </w:r>
          </w:p>
          <w:p w14:paraId="57E4CF8D">
            <w:pPr>
              <w:jc w:val="left"/>
              <w:rPr>
                <w:rFonts w:hint="eastAsia" w:ascii="宋体" w:hAnsi="宋体" w:eastAsia="宋体" w:cs="宋体"/>
                <w:szCs w:val="21"/>
              </w:rPr>
            </w:pPr>
            <w:r>
              <w:rPr>
                <w:rFonts w:hint="eastAsia" w:ascii="宋体" w:hAnsi="宋体" w:eastAsia="宋体" w:cs="宋体"/>
                <w:szCs w:val="21"/>
              </w:rPr>
              <w:t>2．理解文学理论研究方法与研究分支。</w:t>
            </w:r>
          </w:p>
          <w:p w14:paraId="7FFB290A">
            <w:pPr>
              <w:jc w:val="left"/>
              <w:rPr>
                <w:rFonts w:hint="eastAsia" w:ascii="宋体" w:hAnsi="宋体" w:eastAsia="宋体" w:cs="宋体"/>
                <w:szCs w:val="21"/>
              </w:rPr>
            </w:pPr>
            <w:r>
              <w:rPr>
                <w:rFonts w:hint="eastAsia" w:ascii="宋体" w:hAnsi="宋体" w:eastAsia="宋体" w:cs="宋体"/>
                <w:szCs w:val="21"/>
              </w:rPr>
              <w:t>3．理解马克思主义理论与中国当代文学理论的关系。</w:t>
            </w:r>
          </w:p>
          <w:p w14:paraId="61625626">
            <w:pPr>
              <w:jc w:val="left"/>
              <w:rPr>
                <w:rFonts w:hint="eastAsia" w:ascii="宋体" w:hAnsi="宋体" w:eastAsia="宋体" w:cs="宋体"/>
                <w:szCs w:val="21"/>
              </w:rPr>
            </w:pPr>
            <w:r>
              <w:rPr>
                <w:rFonts w:hint="eastAsia" w:ascii="宋体" w:hAnsi="宋体" w:eastAsia="宋体" w:cs="宋体"/>
                <w:szCs w:val="21"/>
              </w:rPr>
              <w:t>4．初步学习中国特色社会主义理论体系中的文艺思想</w:t>
            </w:r>
          </w:p>
          <w:p w14:paraId="148FD0D7">
            <w:pPr>
              <w:jc w:val="left"/>
              <w:rPr>
                <w:rFonts w:hint="eastAsia" w:ascii="宋体" w:hAnsi="宋体" w:eastAsia="宋体" w:cs="宋体"/>
                <w:szCs w:val="21"/>
              </w:rPr>
            </w:pPr>
            <w:r>
              <w:rPr>
                <w:rFonts w:hint="eastAsia" w:ascii="宋体" w:hAnsi="宋体" w:eastAsia="宋体" w:cs="宋体"/>
                <w:szCs w:val="21"/>
              </w:rPr>
              <w:t>5.认识教材的基本逻辑框架</w:t>
            </w:r>
          </w:p>
        </w:tc>
        <w:tc>
          <w:tcPr>
            <w:tcW w:w="1387" w:type="dxa"/>
            <w:vAlign w:val="center"/>
          </w:tcPr>
          <w:p w14:paraId="6C4B8432">
            <w:pPr>
              <w:jc w:val="left"/>
              <w:rPr>
                <w:rFonts w:hint="eastAsia" w:ascii="宋体" w:hAnsi="宋体" w:eastAsia="宋体" w:cs="宋体"/>
                <w:szCs w:val="21"/>
              </w:rPr>
            </w:pPr>
            <w:r>
              <w:rPr>
                <w:rFonts w:hint="eastAsia" w:ascii="宋体" w:hAnsi="宋体" w:eastAsia="宋体" w:cs="宋体"/>
                <w:szCs w:val="21"/>
              </w:rPr>
              <w:t>1.线上学习</w:t>
            </w:r>
          </w:p>
          <w:p w14:paraId="281B65EE">
            <w:pPr>
              <w:jc w:val="left"/>
              <w:rPr>
                <w:rFonts w:hint="eastAsia" w:ascii="宋体" w:hAnsi="宋体" w:eastAsia="宋体" w:cs="宋体"/>
                <w:szCs w:val="21"/>
              </w:rPr>
            </w:pPr>
            <w:r>
              <w:rPr>
                <w:rFonts w:hint="eastAsia" w:ascii="宋体" w:hAnsi="宋体" w:eastAsia="宋体" w:cs="宋体"/>
                <w:szCs w:val="21"/>
              </w:rPr>
              <w:t>2.多媒体教学</w:t>
            </w:r>
          </w:p>
          <w:p w14:paraId="3E22275D">
            <w:pPr>
              <w:jc w:val="left"/>
              <w:rPr>
                <w:rFonts w:hint="eastAsia" w:ascii="宋体" w:hAnsi="宋体" w:eastAsia="宋体" w:cs="宋体"/>
                <w:szCs w:val="21"/>
              </w:rPr>
            </w:pPr>
            <w:r>
              <w:rPr>
                <w:rFonts w:hint="eastAsia" w:ascii="宋体" w:hAnsi="宋体" w:eastAsia="宋体" w:cs="宋体"/>
                <w:szCs w:val="21"/>
              </w:rPr>
              <w:t>3.课堂讨论</w:t>
            </w:r>
          </w:p>
        </w:tc>
        <w:tc>
          <w:tcPr>
            <w:tcW w:w="438" w:type="dxa"/>
            <w:vAlign w:val="center"/>
          </w:tcPr>
          <w:p w14:paraId="3F4CF4B3">
            <w:pPr>
              <w:jc w:val="center"/>
              <w:rPr>
                <w:rFonts w:hint="eastAsia" w:ascii="宋体" w:hAnsi="宋体" w:eastAsia="宋体" w:cs="宋体"/>
                <w:szCs w:val="21"/>
              </w:rPr>
            </w:pPr>
            <w:r>
              <w:rPr>
                <w:rFonts w:hint="eastAsia" w:ascii="宋体" w:hAnsi="宋体" w:eastAsia="宋体" w:cs="宋体"/>
                <w:szCs w:val="21"/>
              </w:rPr>
              <w:t>6</w:t>
            </w:r>
          </w:p>
        </w:tc>
      </w:tr>
      <w:tr w14:paraId="2F35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B812863">
            <w:pPr>
              <w:jc w:val="center"/>
              <w:rPr>
                <w:rFonts w:hint="eastAsia" w:ascii="宋体" w:hAnsi="宋体" w:eastAsia="宋体" w:cs="宋体"/>
                <w:szCs w:val="21"/>
              </w:rPr>
            </w:pPr>
          </w:p>
        </w:tc>
        <w:tc>
          <w:tcPr>
            <w:tcW w:w="8093" w:type="dxa"/>
            <w:gridSpan w:val="5"/>
            <w:vAlign w:val="center"/>
          </w:tcPr>
          <w:p w14:paraId="54F752ED">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 xml:space="preserve">在马克思主义思想指导下学习和研究文学性质与规律，运用辩证唯物主义和历史唯物主义的思想方法，结合中国文学发展的具体实践，与时俱进，开拓创新，培养学生坚定的马克思主义信仰，读懂、读透马克思主义文学的基本原理，做到真学、真懂、真信。真正夯实、树牢“四个意识”，坚定“四个自信”，坚决做到“两个维护”。 </w:t>
            </w:r>
          </w:p>
        </w:tc>
      </w:tr>
      <w:tr w14:paraId="0062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8690FE9">
            <w:pPr>
              <w:jc w:val="center"/>
              <w:rPr>
                <w:rFonts w:hint="eastAsia" w:ascii="宋体" w:hAnsi="宋体" w:eastAsia="宋体" w:cs="宋体"/>
                <w:szCs w:val="21"/>
              </w:rPr>
            </w:pPr>
            <w:r>
              <w:rPr>
                <w:rFonts w:hint="eastAsia" w:ascii="宋体" w:hAnsi="宋体" w:eastAsia="宋体" w:cs="宋体"/>
                <w:szCs w:val="21"/>
              </w:rPr>
              <w:t>2.文学活动</w:t>
            </w:r>
          </w:p>
        </w:tc>
        <w:tc>
          <w:tcPr>
            <w:tcW w:w="1701" w:type="dxa"/>
            <w:vAlign w:val="center"/>
          </w:tcPr>
          <w:p w14:paraId="619415EA">
            <w:pPr>
              <w:jc w:val="left"/>
              <w:rPr>
                <w:rFonts w:hint="eastAsia" w:ascii="宋体" w:hAnsi="宋体" w:eastAsia="宋体" w:cs="宋体"/>
                <w:szCs w:val="21"/>
              </w:rPr>
            </w:pPr>
            <w:r>
              <w:rPr>
                <w:rFonts w:hint="eastAsia" w:ascii="宋体" w:hAnsi="宋体" w:eastAsia="宋体" w:cs="宋体"/>
                <w:szCs w:val="21"/>
              </w:rPr>
              <w:t>（1）文学活动的产生与发展。</w:t>
            </w:r>
          </w:p>
          <w:p w14:paraId="09199BA9">
            <w:pPr>
              <w:jc w:val="left"/>
              <w:rPr>
                <w:rFonts w:hint="eastAsia" w:ascii="宋体" w:hAnsi="宋体" w:eastAsia="宋体" w:cs="宋体"/>
                <w:szCs w:val="21"/>
              </w:rPr>
            </w:pPr>
            <w:r>
              <w:rPr>
                <w:rFonts w:hint="eastAsia" w:ascii="宋体" w:hAnsi="宋体" w:eastAsia="宋体" w:cs="宋体"/>
                <w:szCs w:val="21"/>
              </w:rPr>
              <w:t>（2）文学活动的四要素及其相互关系</w:t>
            </w:r>
          </w:p>
          <w:p w14:paraId="36755A38">
            <w:pPr>
              <w:jc w:val="left"/>
              <w:rPr>
                <w:rFonts w:hint="eastAsia" w:ascii="宋体" w:hAnsi="宋体" w:eastAsia="宋体" w:cs="宋体"/>
                <w:szCs w:val="21"/>
              </w:rPr>
            </w:pPr>
            <w:r>
              <w:rPr>
                <w:rFonts w:hint="eastAsia" w:ascii="宋体" w:hAnsi="宋体" w:eastAsia="宋体" w:cs="宋体"/>
                <w:szCs w:val="21"/>
              </w:rPr>
              <w:t>（3）文学活动的审美意识形态性质。</w:t>
            </w:r>
          </w:p>
          <w:p w14:paraId="4F12D62F">
            <w:pPr>
              <w:jc w:val="left"/>
              <w:rPr>
                <w:rFonts w:hint="eastAsia" w:ascii="宋体" w:hAnsi="宋体" w:eastAsia="宋体" w:cs="宋体"/>
                <w:szCs w:val="21"/>
              </w:rPr>
            </w:pPr>
            <w:r>
              <w:rPr>
                <w:rFonts w:hint="eastAsia" w:ascii="宋体" w:hAnsi="宋体" w:eastAsia="宋体" w:cs="宋体"/>
                <w:szCs w:val="21"/>
              </w:rPr>
              <w:t>（4）文学活动的当代新趋势。</w:t>
            </w:r>
          </w:p>
          <w:p w14:paraId="20AF99A0">
            <w:pPr>
              <w:jc w:val="left"/>
              <w:rPr>
                <w:rFonts w:hint="eastAsia" w:ascii="宋体" w:hAnsi="宋体" w:eastAsia="宋体" w:cs="宋体"/>
                <w:szCs w:val="21"/>
              </w:rPr>
            </w:pPr>
            <w:r>
              <w:rPr>
                <w:rFonts w:hint="eastAsia" w:ascii="宋体" w:hAnsi="宋体" w:eastAsia="宋体" w:cs="宋体"/>
                <w:szCs w:val="21"/>
              </w:rPr>
              <w:t>（5）文学活动的价值与功能</w:t>
            </w:r>
          </w:p>
        </w:tc>
        <w:tc>
          <w:tcPr>
            <w:tcW w:w="1134" w:type="dxa"/>
            <w:vAlign w:val="center"/>
          </w:tcPr>
          <w:p w14:paraId="0BA54CB8">
            <w:pPr>
              <w:jc w:val="center"/>
              <w:rPr>
                <w:rFonts w:hint="eastAsia" w:ascii="宋体" w:hAnsi="宋体" w:eastAsia="宋体" w:cs="宋体"/>
                <w:szCs w:val="21"/>
              </w:rPr>
            </w:pPr>
            <w:r>
              <w:rPr>
                <w:rFonts w:hint="eastAsia" w:ascii="宋体" w:hAnsi="宋体" w:eastAsia="宋体" w:cs="宋体"/>
                <w:szCs w:val="21"/>
              </w:rPr>
              <w:t>课程目标1、2</w:t>
            </w:r>
          </w:p>
        </w:tc>
        <w:tc>
          <w:tcPr>
            <w:tcW w:w="3433" w:type="dxa"/>
            <w:vAlign w:val="center"/>
          </w:tcPr>
          <w:p w14:paraId="5F7CEE28">
            <w:pPr>
              <w:jc w:val="left"/>
              <w:rPr>
                <w:rFonts w:hint="eastAsia" w:ascii="宋体" w:hAnsi="宋体" w:eastAsia="宋体" w:cs="宋体"/>
                <w:szCs w:val="21"/>
              </w:rPr>
            </w:pPr>
            <w:r>
              <w:rPr>
                <w:rFonts w:hint="eastAsia" w:ascii="宋体" w:hAnsi="宋体" w:eastAsia="宋体" w:cs="宋体"/>
                <w:szCs w:val="21"/>
              </w:rPr>
              <w:t>1．理解和掌握文学活动的构成、美学意义及其发生、发展；</w:t>
            </w:r>
          </w:p>
          <w:p w14:paraId="56C96107">
            <w:pPr>
              <w:jc w:val="left"/>
              <w:rPr>
                <w:rFonts w:hint="eastAsia" w:ascii="宋体" w:hAnsi="宋体" w:eastAsia="宋体" w:cs="宋体"/>
                <w:szCs w:val="21"/>
              </w:rPr>
            </w:pPr>
            <w:r>
              <w:rPr>
                <w:rFonts w:hint="eastAsia" w:ascii="宋体" w:hAnsi="宋体" w:eastAsia="宋体" w:cs="宋体"/>
                <w:szCs w:val="21"/>
              </w:rPr>
              <w:t>2.了解文学活动发展的基本环节及每个环节的内涵、特点，在文学体系中的占有的位置与作用。</w:t>
            </w:r>
          </w:p>
          <w:p w14:paraId="069C23FC">
            <w:pPr>
              <w:jc w:val="left"/>
              <w:rPr>
                <w:rFonts w:hint="eastAsia" w:ascii="宋体" w:hAnsi="宋体" w:eastAsia="宋体" w:cs="宋体"/>
                <w:szCs w:val="21"/>
              </w:rPr>
            </w:pPr>
            <w:r>
              <w:rPr>
                <w:rFonts w:hint="eastAsia" w:ascii="宋体" w:hAnsi="宋体" w:eastAsia="宋体" w:cs="宋体"/>
                <w:szCs w:val="21"/>
              </w:rPr>
              <w:t>3.理解文学是审美的艺术又是一种社会意识形态</w:t>
            </w:r>
          </w:p>
          <w:p w14:paraId="2F1D373D">
            <w:pPr>
              <w:jc w:val="left"/>
              <w:rPr>
                <w:rFonts w:hint="eastAsia" w:ascii="宋体" w:hAnsi="宋体" w:eastAsia="宋体" w:cs="宋体"/>
                <w:szCs w:val="21"/>
              </w:rPr>
            </w:pPr>
            <w:r>
              <w:rPr>
                <w:rFonts w:hint="eastAsia" w:ascii="宋体" w:hAnsi="宋体" w:eastAsia="宋体" w:cs="宋体"/>
                <w:szCs w:val="21"/>
              </w:rPr>
              <w:t>4.了解现代传媒、全球化语境下的文学活动。</w:t>
            </w:r>
          </w:p>
        </w:tc>
        <w:tc>
          <w:tcPr>
            <w:tcW w:w="1387" w:type="dxa"/>
            <w:vAlign w:val="center"/>
          </w:tcPr>
          <w:p w14:paraId="0EDCFDF3">
            <w:pPr>
              <w:jc w:val="left"/>
              <w:rPr>
                <w:rFonts w:hint="eastAsia" w:ascii="宋体" w:hAnsi="宋体" w:eastAsia="宋体" w:cs="宋体"/>
                <w:szCs w:val="21"/>
              </w:rPr>
            </w:pPr>
            <w:r>
              <w:rPr>
                <w:rFonts w:hint="eastAsia" w:ascii="宋体" w:hAnsi="宋体" w:eastAsia="宋体" w:cs="宋体"/>
                <w:szCs w:val="21"/>
              </w:rPr>
              <w:t>1.线上学习</w:t>
            </w:r>
          </w:p>
          <w:p w14:paraId="4F06FE23">
            <w:pPr>
              <w:jc w:val="left"/>
              <w:rPr>
                <w:rFonts w:hint="eastAsia" w:ascii="宋体" w:hAnsi="宋体" w:eastAsia="宋体" w:cs="宋体"/>
                <w:szCs w:val="21"/>
              </w:rPr>
            </w:pPr>
            <w:r>
              <w:rPr>
                <w:rFonts w:hint="eastAsia" w:ascii="宋体" w:hAnsi="宋体" w:eastAsia="宋体" w:cs="宋体"/>
                <w:szCs w:val="21"/>
              </w:rPr>
              <w:t>2.多媒体教学3.课堂讨论</w:t>
            </w:r>
          </w:p>
          <w:p w14:paraId="5A505AA8">
            <w:pPr>
              <w:jc w:val="left"/>
              <w:rPr>
                <w:rFonts w:hint="eastAsia" w:ascii="宋体" w:hAnsi="宋体" w:eastAsia="宋体" w:cs="宋体"/>
                <w:szCs w:val="21"/>
              </w:rPr>
            </w:pPr>
          </w:p>
        </w:tc>
        <w:tc>
          <w:tcPr>
            <w:tcW w:w="438" w:type="dxa"/>
            <w:vAlign w:val="center"/>
          </w:tcPr>
          <w:p w14:paraId="57B2C5FB">
            <w:pPr>
              <w:jc w:val="center"/>
              <w:rPr>
                <w:rFonts w:hint="eastAsia" w:ascii="宋体" w:hAnsi="宋体" w:eastAsia="宋体" w:cs="宋体"/>
                <w:szCs w:val="21"/>
              </w:rPr>
            </w:pPr>
            <w:r>
              <w:rPr>
                <w:rFonts w:hint="eastAsia" w:ascii="宋体" w:hAnsi="宋体" w:eastAsia="宋体" w:cs="宋体"/>
                <w:szCs w:val="21"/>
              </w:rPr>
              <w:t>6</w:t>
            </w:r>
          </w:p>
        </w:tc>
      </w:tr>
      <w:tr w14:paraId="1CF2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F27B9D4">
            <w:pPr>
              <w:jc w:val="center"/>
              <w:rPr>
                <w:rFonts w:hint="eastAsia" w:ascii="宋体" w:hAnsi="宋体" w:eastAsia="宋体" w:cs="宋体"/>
                <w:szCs w:val="21"/>
              </w:rPr>
            </w:pPr>
          </w:p>
        </w:tc>
        <w:tc>
          <w:tcPr>
            <w:tcW w:w="8093" w:type="dxa"/>
            <w:gridSpan w:val="5"/>
            <w:vAlign w:val="center"/>
          </w:tcPr>
          <w:p w14:paraId="4210E371">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使学生形成对文学活动与社会意识形态关系的正确认知，明确文学活动的本质。理解文学活动的意识形态性，即其立场和倾向性。培养学生把握时代发展的主流，积极践行中国特色的社会主义文学活动。</w:t>
            </w:r>
          </w:p>
        </w:tc>
      </w:tr>
      <w:tr w14:paraId="697F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4368341">
            <w:pPr>
              <w:jc w:val="center"/>
              <w:rPr>
                <w:rFonts w:hint="eastAsia" w:ascii="宋体" w:hAnsi="宋体" w:eastAsia="宋体" w:cs="宋体"/>
                <w:szCs w:val="21"/>
              </w:rPr>
            </w:pPr>
            <w:r>
              <w:rPr>
                <w:rFonts w:hint="eastAsia" w:ascii="宋体" w:hAnsi="宋体" w:eastAsia="宋体" w:cs="宋体"/>
                <w:szCs w:val="21"/>
              </w:rPr>
              <w:t>3.文学创作</w:t>
            </w:r>
          </w:p>
        </w:tc>
        <w:tc>
          <w:tcPr>
            <w:tcW w:w="1701" w:type="dxa"/>
            <w:vAlign w:val="center"/>
          </w:tcPr>
          <w:p w14:paraId="0A560C10">
            <w:pPr>
              <w:jc w:val="left"/>
              <w:rPr>
                <w:rFonts w:hint="eastAsia" w:ascii="宋体" w:hAnsi="宋体" w:eastAsia="宋体" w:cs="宋体"/>
                <w:szCs w:val="21"/>
              </w:rPr>
            </w:pPr>
            <w:r>
              <w:rPr>
                <w:rFonts w:hint="eastAsia" w:ascii="宋体" w:hAnsi="宋体" w:eastAsia="宋体" w:cs="宋体"/>
                <w:szCs w:val="21"/>
              </w:rPr>
              <w:t>（1）文学创造作为特殊的精神生产。</w:t>
            </w:r>
          </w:p>
          <w:p w14:paraId="2219852D">
            <w:pPr>
              <w:jc w:val="left"/>
              <w:rPr>
                <w:rFonts w:hint="eastAsia" w:ascii="宋体" w:hAnsi="宋体" w:eastAsia="宋体" w:cs="宋体"/>
                <w:szCs w:val="21"/>
              </w:rPr>
            </w:pPr>
            <w:r>
              <w:rPr>
                <w:rFonts w:hint="eastAsia" w:ascii="宋体" w:hAnsi="宋体" w:eastAsia="宋体" w:cs="宋体"/>
                <w:szCs w:val="21"/>
              </w:rPr>
              <w:t>（2）文学创作过程。</w:t>
            </w:r>
          </w:p>
          <w:p w14:paraId="4816CE23">
            <w:pPr>
              <w:jc w:val="left"/>
              <w:rPr>
                <w:rFonts w:hint="eastAsia" w:ascii="宋体" w:hAnsi="宋体" w:eastAsia="宋体" w:cs="宋体"/>
                <w:szCs w:val="21"/>
              </w:rPr>
            </w:pPr>
            <w:r>
              <w:rPr>
                <w:rFonts w:hint="eastAsia" w:ascii="宋体" w:hAnsi="宋体" w:eastAsia="宋体" w:cs="宋体"/>
                <w:szCs w:val="21"/>
              </w:rPr>
              <w:t>（3）文学创造原则。</w:t>
            </w:r>
          </w:p>
          <w:p w14:paraId="2DEEF6CC">
            <w:pPr>
              <w:jc w:val="left"/>
              <w:rPr>
                <w:rFonts w:hint="eastAsia" w:ascii="宋体" w:hAnsi="宋体" w:eastAsia="宋体" w:cs="宋体"/>
                <w:szCs w:val="21"/>
              </w:rPr>
            </w:pPr>
            <w:r>
              <w:rPr>
                <w:rFonts w:hint="eastAsia" w:ascii="宋体" w:hAnsi="宋体" w:eastAsia="宋体" w:cs="宋体"/>
                <w:szCs w:val="21"/>
              </w:rPr>
              <w:t>（4）文学创作的审美心理机制</w:t>
            </w:r>
          </w:p>
          <w:p w14:paraId="437EC108">
            <w:pPr>
              <w:jc w:val="left"/>
              <w:rPr>
                <w:rFonts w:hint="eastAsia" w:ascii="宋体" w:hAnsi="宋体" w:eastAsia="宋体" w:cs="宋体"/>
                <w:szCs w:val="21"/>
              </w:rPr>
            </w:pPr>
            <w:r>
              <w:rPr>
                <w:rFonts w:hint="eastAsia" w:ascii="宋体" w:hAnsi="宋体" w:eastAsia="宋体" w:cs="宋体"/>
                <w:szCs w:val="21"/>
              </w:rPr>
              <w:t>（5）文学创作的主体条件与追求</w:t>
            </w:r>
          </w:p>
        </w:tc>
        <w:tc>
          <w:tcPr>
            <w:tcW w:w="1134" w:type="dxa"/>
            <w:vAlign w:val="center"/>
          </w:tcPr>
          <w:p w14:paraId="70C03056">
            <w:pPr>
              <w:jc w:val="center"/>
              <w:rPr>
                <w:rFonts w:hint="eastAsia" w:ascii="宋体" w:hAnsi="宋体" w:eastAsia="宋体" w:cs="宋体"/>
                <w:szCs w:val="21"/>
              </w:rPr>
            </w:pPr>
            <w:r>
              <w:rPr>
                <w:rFonts w:hint="eastAsia" w:ascii="宋体" w:hAnsi="宋体" w:eastAsia="宋体" w:cs="宋体"/>
                <w:szCs w:val="21"/>
              </w:rPr>
              <w:t>课程目标1、2</w:t>
            </w:r>
          </w:p>
        </w:tc>
        <w:tc>
          <w:tcPr>
            <w:tcW w:w="3433" w:type="dxa"/>
            <w:vAlign w:val="center"/>
          </w:tcPr>
          <w:p w14:paraId="180B4AAE">
            <w:pPr>
              <w:jc w:val="left"/>
              <w:rPr>
                <w:rFonts w:hint="eastAsia" w:ascii="宋体" w:hAnsi="宋体" w:eastAsia="宋体" w:cs="宋体"/>
                <w:szCs w:val="21"/>
              </w:rPr>
            </w:pPr>
            <w:r>
              <w:rPr>
                <w:rFonts w:hint="eastAsia" w:ascii="宋体" w:hAnsi="宋体" w:eastAsia="宋体" w:cs="宋体"/>
                <w:szCs w:val="21"/>
              </w:rPr>
              <w:t>1.理解文学作为特殊的精神生产与物质生产的区别及与其他精神生产的区别。</w:t>
            </w:r>
          </w:p>
          <w:p w14:paraId="043CBD5F">
            <w:pPr>
              <w:jc w:val="left"/>
              <w:rPr>
                <w:rFonts w:hint="eastAsia" w:ascii="宋体" w:hAnsi="宋体" w:eastAsia="宋体" w:cs="宋体"/>
                <w:szCs w:val="21"/>
              </w:rPr>
            </w:pPr>
            <w:r>
              <w:rPr>
                <w:rFonts w:hint="eastAsia" w:ascii="宋体" w:hAnsi="宋体" w:eastAsia="宋体" w:cs="宋体"/>
                <w:szCs w:val="21"/>
              </w:rPr>
              <w:t>2.把握文学创作的三个阶段：发生阶段、构思阶段、物化阶段。</w:t>
            </w:r>
          </w:p>
          <w:p w14:paraId="293995EB">
            <w:pPr>
              <w:jc w:val="left"/>
              <w:rPr>
                <w:rFonts w:hint="eastAsia" w:ascii="宋体" w:hAnsi="宋体" w:eastAsia="宋体" w:cs="宋体"/>
                <w:szCs w:val="21"/>
              </w:rPr>
            </w:pPr>
            <w:r>
              <w:rPr>
                <w:rFonts w:hint="eastAsia" w:ascii="宋体" w:hAnsi="宋体" w:eastAsia="宋体" w:cs="宋体"/>
                <w:szCs w:val="21"/>
              </w:rPr>
              <w:t>3.了解文学创作的基本过程</w:t>
            </w:r>
          </w:p>
          <w:p w14:paraId="213918E3">
            <w:pPr>
              <w:jc w:val="left"/>
              <w:rPr>
                <w:rFonts w:hint="eastAsia" w:ascii="宋体" w:hAnsi="宋体" w:eastAsia="宋体" w:cs="宋体"/>
                <w:szCs w:val="21"/>
              </w:rPr>
            </w:pPr>
            <w:r>
              <w:rPr>
                <w:rFonts w:hint="eastAsia" w:ascii="宋体" w:hAnsi="宋体" w:eastAsia="宋体" w:cs="宋体"/>
                <w:szCs w:val="21"/>
              </w:rPr>
              <w:t>4.理解文学创作中的审美心理活动</w:t>
            </w:r>
          </w:p>
          <w:p w14:paraId="267C7F01">
            <w:pPr>
              <w:jc w:val="left"/>
              <w:rPr>
                <w:rFonts w:hint="eastAsia" w:ascii="宋体" w:hAnsi="宋体" w:eastAsia="宋体" w:cs="宋体"/>
                <w:szCs w:val="21"/>
              </w:rPr>
            </w:pPr>
            <w:r>
              <w:rPr>
                <w:rFonts w:hint="eastAsia" w:ascii="宋体" w:hAnsi="宋体" w:eastAsia="宋体" w:cs="宋体"/>
                <w:szCs w:val="21"/>
              </w:rPr>
              <w:t>5.重点体会文学想象与文学情感在创作中重要作用。</w:t>
            </w:r>
          </w:p>
          <w:p w14:paraId="1121083B">
            <w:pPr>
              <w:jc w:val="left"/>
              <w:rPr>
                <w:rFonts w:hint="eastAsia" w:ascii="宋体" w:hAnsi="宋体" w:eastAsia="宋体" w:cs="宋体"/>
                <w:szCs w:val="21"/>
              </w:rPr>
            </w:pPr>
            <w:r>
              <w:rPr>
                <w:rFonts w:hint="eastAsia" w:ascii="宋体" w:hAnsi="宋体" w:eastAsia="宋体" w:cs="宋体"/>
                <w:szCs w:val="21"/>
              </w:rPr>
              <w:t>6.了解文学创作中作家的移情能力</w:t>
            </w:r>
          </w:p>
          <w:p w14:paraId="3B45821F">
            <w:pPr>
              <w:jc w:val="left"/>
              <w:rPr>
                <w:rFonts w:hint="eastAsia" w:ascii="宋体" w:hAnsi="宋体" w:eastAsia="宋体" w:cs="宋体"/>
                <w:szCs w:val="21"/>
              </w:rPr>
            </w:pPr>
            <w:r>
              <w:rPr>
                <w:rFonts w:hint="eastAsia" w:ascii="宋体" w:hAnsi="宋体" w:eastAsia="宋体" w:cs="宋体"/>
                <w:szCs w:val="21"/>
              </w:rPr>
              <w:t>7.正确认识文学创作中的灵感问题</w:t>
            </w:r>
          </w:p>
        </w:tc>
        <w:tc>
          <w:tcPr>
            <w:tcW w:w="1387" w:type="dxa"/>
            <w:vAlign w:val="center"/>
          </w:tcPr>
          <w:p w14:paraId="749DAC0F">
            <w:pPr>
              <w:jc w:val="left"/>
              <w:rPr>
                <w:rFonts w:hint="eastAsia" w:ascii="宋体" w:hAnsi="宋体" w:eastAsia="宋体" w:cs="宋体"/>
                <w:szCs w:val="21"/>
              </w:rPr>
            </w:pPr>
            <w:r>
              <w:rPr>
                <w:rFonts w:hint="eastAsia" w:ascii="宋体" w:hAnsi="宋体" w:eastAsia="宋体" w:cs="宋体"/>
                <w:szCs w:val="21"/>
              </w:rPr>
              <w:t>1.线上学习</w:t>
            </w:r>
          </w:p>
          <w:p w14:paraId="5FDEC29E">
            <w:pPr>
              <w:jc w:val="left"/>
              <w:rPr>
                <w:rFonts w:hint="eastAsia" w:ascii="宋体" w:hAnsi="宋体" w:eastAsia="宋体" w:cs="宋体"/>
                <w:szCs w:val="21"/>
              </w:rPr>
            </w:pPr>
            <w:r>
              <w:rPr>
                <w:rFonts w:hint="eastAsia" w:ascii="宋体" w:hAnsi="宋体" w:eastAsia="宋体" w:cs="宋体"/>
                <w:szCs w:val="21"/>
              </w:rPr>
              <w:t>2.多媒体教学3.课堂讨论</w:t>
            </w:r>
          </w:p>
          <w:p w14:paraId="7FDD1B4F">
            <w:pPr>
              <w:jc w:val="left"/>
              <w:rPr>
                <w:rFonts w:hint="eastAsia" w:ascii="宋体" w:hAnsi="宋体" w:eastAsia="宋体" w:cs="宋体"/>
                <w:szCs w:val="21"/>
              </w:rPr>
            </w:pPr>
          </w:p>
        </w:tc>
        <w:tc>
          <w:tcPr>
            <w:tcW w:w="438" w:type="dxa"/>
            <w:vAlign w:val="center"/>
          </w:tcPr>
          <w:p w14:paraId="606DA5D3">
            <w:pPr>
              <w:jc w:val="center"/>
              <w:rPr>
                <w:rFonts w:hint="eastAsia" w:ascii="宋体" w:hAnsi="宋体" w:eastAsia="宋体" w:cs="宋体"/>
                <w:szCs w:val="21"/>
              </w:rPr>
            </w:pPr>
            <w:r>
              <w:rPr>
                <w:rFonts w:hint="eastAsia" w:ascii="宋体" w:hAnsi="宋体" w:eastAsia="宋体" w:cs="宋体"/>
                <w:szCs w:val="21"/>
              </w:rPr>
              <w:t>9</w:t>
            </w:r>
          </w:p>
        </w:tc>
      </w:tr>
      <w:tr w14:paraId="4FF0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B7FB018">
            <w:pPr>
              <w:jc w:val="center"/>
              <w:rPr>
                <w:rFonts w:hint="eastAsia" w:ascii="宋体" w:hAnsi="宋体" w:eastAsia="宋体" w:cs="宋体"/>
                <w:szCs w:val="21"/>
              </w:rPr>
            </w:pPr>
          </w:p>
        </w:tc>
        <w:tc>
          <w:tcPr>
            <w:tcW w:w="8093" w:type="dxa"/>
            <w:gridSpan w:val="5"/>
            <w:vAlign w:val="center"/>
          </w:tcPr>
          <w:p w14:paraId="4C9374B1">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bCs/>
                <w:szCs w:val="21"/>
              </w:rPr>
              <w:t>理解文学创作的特殊精神性生产，与社会现实的复杂紧密联系，而不仅仅是个人的需要和才能。从辩证思维的角度掌握文学与社会政治、经济等的关系，树立以人民为中心的创作导向，创作出有正能量、有感染力、无愧于时代的优秀作品。</w:t>
            </w:r>
            <w:r>
              <w:rPr>
                <w:rFonts w:hint="eastAsia" w:ascii="宋体" w:hAnsi="宋体" w:eastAsia="宋体" w:cs="宋体"/>
                <w:szCs w:val="21"/>
              </w:rPr>
              <w:t>树立制度自信和文化自信。</w:t>
            </w:r>
          </w:p>
        </w:tc>
      </w:tr>
      <w:tr w14:paraId="64F5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7919BB1">
            <w:pPr>
              <w:jc w:val="center"/>
              <w:rPr>
                <w:rFonts w:hint="eastAsia" w:ascii="宋体" w:hAnsi="宋体" w:eastAsia="宋体" w:cs="宋体"/>
                <w:szCs w:val="21"/>
              </w:rPr>
            </w:pPr>
            <w:r>
              <w:rPr>
                <w:rFonts w:hint="eastAsia" w:ascii="宋体" w:hAnsi="宋体" w:eastAsia="宋体" w:cs="宋体"/>
                <w:szCs w:val="21"/>
              </w:rPr>
              <w:t>4.文学作品</w:t>
            </w:r>
          </w:p>
        </w:tc>
        <w:tc>
          <w:tcPr>
            <w:tcW w:w="1701" w:type="dxa"/>
            <w:vAlign w:val="center"/>
          </w:tcPr>
          <w:p w14:paraId="080EB177">
            <w:pPr>
              <w:jc w:val="left"/>
              <w:rPr>
                <w:rFonts w:hint="eastAsia" w:ascii="宋体" w:hAnsi="宋体" w:eastAsia="宋体" w:cs="宋体"/>
                <w:szCs w:val="21"/>
              </w:rPr>
            </w:pPr>
            <w:r>
              <w:rPr>
                <w:rFonts w:hint="eastAsia" w:ascii="宋体" w:hAnsi="宋体" w:eastAsia="宋体" w:cs="宋体"/>
                <w:szCs w:val="21"/>
              </w:rPr>
              <w:t>（1）文学作品体裁的发展与分类。</w:t>
            </w:r>
          </w:p>
          <w:p w14:paraId="36BAE5BE">
            <w:pPr>
              <w:jc w:val="left"/>
              <w:rPr>
                <w:rFonts w:hint="eastAsia" w:ascii="宋体" w:hAnsi="宋体" w:eastAsia="宋体" w:cs="宋体"/>
                <w:szCs w:val="21"/>
              </w:rPr>
            </w:pPr>
            <w:r>
              <w:rPr>
                <w:rFonts w:hint="eastAsia" w:ascii="宋体" w:hAnsi="宋体" w:eastAsia="宋体" w:cs="宋体"/>
                <w:szCs w:val="21"/>
              </w:rPr>
              <w:t>（2）文学体裁的融合与新变</w:t>
            </w:r>
          </w:p>
          <w:p w14:paraId="3B0C76C0">
            <w:pPr>
              <w:jc w:val="left"/>
              <w:rPr>
                <w:rFonts w:hint="eastAsia" w:ascii="宋体" w:hAnsi="宋体" w:eastAsia="宋体" w:cs="宋体"/>
                <w:szCs w:val="21"/>
              </w:rPr>
            </w:pPr>
            <w:r>
              <w:rPr>
                <w:rFonts w:hint="eastAsia" w:ascii="宋体" w:hAnsi="宋体" w:eastAsia="宋体" w:cs="宋体"/>
                <w:szCs w:val="21"/>
              </w:rPr>
              <w:t>（3）文学作品的语言特点，及其与日常语言之间的联系与区别</w:t>
            </w:r>
          </w:p>
          <w:p w14:paraId="68347D96">
            <w:pPr>
              <w:jc w:val="left"/>
              <w:rPr>
                <w:rFonts w:hint="eastAsia" w:ascii="宋体" w:hAnsi="宋体" w:eastAsia="宋体" w:cs="宋体"/>
                <w:szCs w:val="21"/>
              </w:rPr>
            </w:pPr>
            <w:r>
              <w:rPr>
                <w:rFonts w:hint="eastAsia" w:ascii="宋体" w:hAnsi="宋体" w:eastAsia="宋体" w:cs="宋体"/>
                <w:szCs w:val="21"/>
              </w:rPr>
              <w:t>（4）文学形象的一般形态特征与理想形态。</w:t>
            </w:r>
          </w:p>
          <w:p w14:paraId="40C2DB87">
            <w:pPr>
              <w:jc w:val="left"/>
              <w:rPr>
                <w:rFonts w:hint="eastAsia" w:ascii="宋体" w:hAnsi="宋体" w:eastAsia="宋体" w:cs="宋体"/>
                <w:szCs w:val="21"/>
              </w:rPr>
            </w:pPr>
            <w:r>
              <w:rPr>
                <w:rFonts w:hint="eastAsia" w:ascii="宋体" w:hAnsi="宋体" w:eastAsia="宋体" w:cs="宋体"/>
                <w:szCs w:val="21"/>
              </w:rPr>
              <w:t>（5）文学作品的深层意蕴</w:t>
            </w:r>
          </w:p>
          <w:p w14:paraId="0E6CA370">
            <w:pPr>
              <w:jc w:val="left"/>
              <w:rPr>
                <w:rFonts w:hint="eastAsia" w:ascii="宋体" w:hAnsi="宋体" w:eastAsia="宋体" w:cs="宋体"/>
                <w:szCs w:val="21"/>
              </w:rPr>
            </w:pPr>
            <w:r>
              <w:rPr>
                <w:rFonts w:hint="eastAsia" w:ascii="宋体" w:hAnsi="宋体" w:eastAsia="宋体" w:cs="宋体"/>
                <w:szCs w:val="21"/>
              </w:rPr>
              <w:t>（6）文学作品的风格、流派与思潮</w:t>
            </w:r>
          </w:p>
        </w:tc>
        <w:tc>
          <w:tcPr>
            <w:tcW w:w="1134" w:type="dxa"/>
            <w:vAlign w:val="center"/>
          </w:tcPr>
          <w:p w14:paraId="78C6A78C">
            <w:pPr>
              <w:jc w:val="center"/>
              <w:rPr>
                <w:rFonts w:hint="eastAsia" w:ascii="宋体" w:hAnsi="宋体" w:eastAsia="宋体" w:cs="宋体"/>
                <w:szCs w:val="21"/>
              </w:rPr>
            </w:pPr>
            <w:r>
              <w:rPr>
                <w:rFonts w:hint="eastAsia" w:ascii="宋体" w:hAnsi="宋体" w:eastAsia="宋体" w:cs="宋体"/>
                <w:szCs w:val="21"/>
              </w:rPr>
              <w:t>课程目标1、2</w:t>
            </w:r>
          </w:p>
        </w:tc>
        <w:tc>
          <w:tcPr>
            <w:tcW w:w="3433" w:type="dxa"/>
            <w:vAlign w:val="center"/>
          </w:tcPr>
          <w:p w14:paraId="781697F9">
            <w:pPr>
              <w:jc w:val="left"/>
              <w:rPr>
                <w:rFonts w:hint="eastAsia" w:ascii="宋体" w:hAnsi="宋体" w:eastAsia="宋体" w:cs="宋体"/>
                <w:szCs w:val="21"/>
              </w:rPr>
            </w:pPr>
            <w:r>
              <w:rPr>
                <w:rFonts w:hint="eastAsia" w:ascii="宋体" w:hAnsi="宋体" w:eastAsia="宋体" w:cs="宋体"/>
                <w:szCs w:val="21"/>
              </w:rPr>
              <w:t>1.掌握文学作品的类型和体裁，理解文学作品的各个类型、各种体裁的特点。</w:t>
            </w:r>
          </w:p>
          <w:p w14:paraId="15D11DE0">
            <w:pPr>
              <w:jc w:val="left"/>
              <w:rPr>
                <w:rFonts w:hint="eastAsia" w:ascii="宋体" w:hAnsi="宋体" w:eastAsia="宋体" w:cs="宋体"/>
                <w:szCs w:val="21"/>
              </w:rPr>
            </w:pPr>
            <w:r>
              <w:rPr>
                <w:rFonts w:hint="eastAsia" w:ascii="宋体" w:hAnsi="宋体" w:eastAsia="宋体" w:cs="宋体"/>
                <w:szCs w:val="21"/>
              </w:rPr>
              <w:t>2.重点理解小说、诗歌、剧本的艺术特点</w:t>
            </w:r>
          </w:p>
          <w:p w14:paraId="1273DBF1">
            <w:pPr>
              <w:jc w:val="left"/>
              <w:rPr>
                <w:rFonts w:hint="eastAsia" w:ascii="宋体" w:hAnsi="宋体" w:eastAsia="宋体" w:cs="宋体"/>
                <w:szCs w:val="21"/>
              </w:rPr>
            </w:pPr>
            <w:r>
              <w:rPr>
                <w:rFonts w:hint="eastAsia" w:ascii="宋体" w:hAnsi="宋体" w:eastAsia="宋体" w:cs="宋体"/>
                <w:szCs w:val="21"/>
              </w:rPr>
              <w:t>3.了解当前文学创作的新趋势，带来文体文类的跨界融合。比如小说的情节淡化、诗化散文化的小说，及其非虚构写作等。</w:t>
            </w:r>
          </w:p>
          <w:p w14:paraId="01C95D8F">
            <w:pPr>
              <w:jc w:val="left"/>
              <w:rPr>
                <w:rFonts w:hint="eastAsia" w:ascii="宋体" w:hAnsi="宋体" w:eastAsia="宋体" w:cs="宋体"/>
                <w:szCs w:val="21"/>
              </w:rPr>
            </w:pPr>
            <w:r>
              <w:rPr>
                <w:rFonts w:hint="eastAsia" w:ascii="宋体" w:hAnsi="宋体" w:eastAsia="宋体" w:cs="宋体"/>
                <w:szCs w:val="21"/>
              </w:rPr>
              <w:t>4.理解文学语言的基本性质与特征，与日常语言的区别与联系。</w:t>
            </w:r>
          </w:p>
          <w:p w14:paraId="2516E27C">
            <w:pPr>
              <w:jc w:val="left"/>
              <w:rPr>
                <w:rFonts w:hint="eastAsia" w:ascii="宋体" w:hAnsi="宋体" w:eastAsia="宋体" w:cs="宋体"/>
                <w:szCs w:val="21"/>
              </w:rPr>
            </w:pPr>
            <w:r>
              <w:rPr>
                <w:rFonts w:hint="eastAsia" w:ascii="宋体" w:hAnsi="宋体" w:eastAsia="宋体" w:cs="宋体"/>
                <w:szCs w:val="21"/>
              </w:rPr>
              <w:t>5.了解结构主义语言学的基本理论观念，对于解读文学语言带来的创新认识。</w:t>
            </w:r>
          </w:p>
          <w:p w14:paraId="79FB76FA">
            <w:pPr>
              <w:jc w:val="left"/>
              <w:rPr>
                <w:rFonts w:hint="eastAsia" w:ascii="宋体" w:hAnsi="宋体" w:eastAsia="宋体" w:cs="宋体"/>
                <w:szCs w:val="21"/>
              </w:rPr>
            </w:pPr>
            <w:r>
              <w:rPr>
                <w:rFonts w:hint="eastAsia" w:ascii="宋体" w:hAnsi="宋体" w:eastAsia="宋体" w:cs="宋体"/>
                <w:szCs w:val="21"/>
              </w:rPr>
              <w:t>6.理解文学风格的形态、理解风格的时代性、民族性、地域性。</w:t>
            </w:r>
          </w:p>
          <w:p w14:paraId="3F10540D">
            <w:pPr>
              <w:jc w:val="left"/>
              <w:rPr>
                <w:rFonts w:hint="eastAsia" w:ascii="宋体" w:hAnsi="宋体" w:eastAsia="宋体" w:cs="宋体"/>
                <w:szCs w:val="21"/>
              </w:rPr>
            </w:pPr>
            <w:r>
              <w:rPr>
                <w:rFonts w:hint="eastAsia" w:ascii="宋体" w:hAnsi="宋体" w:eastAsia="宋体" w:cs="宋体"/>
                <w:szCs w:val="21"/>
              </w:rPr>
              <w:t>7.理解文学作品形象的基本特点与主要文学形象，包括文学象征、文学典型、文学意境的内涵。</w:t>
            </w:r>
          </w:p>
          <w:p w14:paraId="70753AAE">
            <w:pPr>
              <w:jc w:val="left"/>
              <w:rPr>
                <w:rFonts w:hint="eastAsia" w:ascii="宋体" w:hAnsi="宋体" w:eastAsia="宋体" w:cs="宋体"/>
                <w:szCs w:val="21"/>
              </w:rPr>
            </w:pPr>
            <w:r>
              <w:rPr>
                <w:rFonts w:hint="eastAsia" w:ascii="宋体" w:hAnsi="宋体" w:eastAsia="宋体" w:cs="宋体"/>
                <w:szCs w:val="21"/>
              </w:rPr>
              <w:t>8.认识作品意蕴的层次，包括审美、历史与哲理等层面。</w:t>
            </w:r>
          </w:p>
        </w:tc>
        <w:tc>
          <w:tcPr>
            <w:tcW w:w="1387" w:type="dxa"/>
            <w:vAlign w:val="center"/>
          </w:tcPr>
          <w:p w14:paraId="5C591BBF">
            <w:pPr>
              <w:jc w:val="left"/>
              <w:rPr>
                <w:rFonts w:hint="eastAsia" w:ascii="宋体" w:hAnsi="宋体" w:eastAsia="宋体" w:cs="宋体"/>
                <w:szCs w:val="21"/>
              </w:rPr>
            </w:pPr>
            <w:r>
              <w:rPr>
                <w:rFonts w:hint="eastAsia" w:ascii="宋体" w:hAnsi="宋体" w:eastAsia="宋体" w:cs="宋体"/>
                <w:szCs w:val="21"/>
              </w:rPr>
              <w:t>1.线上学习</w:t>
            </w:r>
          </w:p>
          <w:p w14:paraId="618A5603">
            <w:pPr>
              <w:jc w:val="left"/>
              <w:rPr>
                <w:rFonts w:hint="eastAsia" w:ascii="宋体" w:hAnsi="宋体" w:eastAsia="宋体" w:cs="宋体"/>
                <w:szCs w:val="21"/>
              </w:rPr>
            </w:pPr>
            <w:r>
              <w:rPr>
                <w:rFonts w:hint="eastAsia" w:ascii="宋体" w:hAnsi="宋体" w:eastAsia="宋体" w:cs="宋体"/>
                <w:szCs w:val="21"/>
              </w:rPr>
              <w:t>2.多媒体教学3.课堂讨论</w:t>
            </w:r>
          </w:p>
          <w:p w14:paraId="131292F3">
            <w:pPr>
              <w:jc w:val="left"/>
              <w:rPr>
                <w:rFonts w:hint="eastAsia" w:ascii="宋体" w:hAnsi="宋体" w:eastAsia="宋体" w:cs="宋体"/>
                <w:szCs w:val="21"/>
              </w:rPr>
            </w:pPr>
          </w:p>
        </w:tc>
        <w:tc>
          <w:tcPr>
            <w:tcW w:w="438" w:type="dxa"/>
            <w:vAlign w:val="center"/>
          </w:tcPr>
          <w:p w14:paraId="4A9C304B">
            <w:pPr>
              <w:jc w:val="center"/>
              <w:rPr>
                <w:rFonts w:hint="eastAsia" w:ascii="宋体" w:hAnsi="宋体" w:eastAsia="宋体" w:cs="宋体"/>
                <w:szCs w:val="21"/>
              </w:rPr>
            </w:pPr>
            <w:r>
              <w:rPr>
                <w:rFonts w:hint="eastAsia" w:ascii="宋体" w:hAnsi="宋体" w:eastAsia="宋体" w:cs="宋体"/>
                <w:szCs w:val="21"/>
              </w:rPr>
              <w:t>13</w:t>
            </w:r>
          </w:p>
        </w:tc>
      </w:tr>
      <w:tr w14:paraId="420F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D2367F2">
            <w:pPr>
              <w:jc w:val="center"/>
              <w:rPr>
                <w:rFonts w:hint="eastAsia" w:ascii="宋体" w:hAnsi="宋体" w:eastAsia="宋体" w:cs="宋体"/>
                <w:szCs w:val="21"/>
              </w:rPr>
            </w:pPr>
          </w:p>
        </w:tc>
        <w:tc>
          <w:tcPr>
            <w:tcW w:w="8093" w:type="dxa"/>
            <w:gridSpan w:val="5"/>
            <w:vAlign w:val="center"/>
          </w:tcPr>
          <w:p w14:paraId="1257817D">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通过了解文学作品的各方面问题，提升对作品复杂性的认识与体会，增强对于具体文学作品的分析鉴赏能力。培养学生理解领悟文艺作品的一切创新归根到底都来源于生活和实践。文学作品要扎根人民、扎根生活，紧跟时代潮流，讴歌奋斗，刻画最美人物，讲好中国故事。</w:t>
            </w:r>
          </w:p>
        </w:tc>
      </w:tr>
      <w:tr w14:paraId="23FA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0D64A03">
            <w:pPr>
              <w:jc w:val="center"/>
              <w:rPr>
                <w:rFonts w:hint="eastAsia" w:ascii="宋体" w:hAnsi="宋体" w:eastAsia="宋体" w:cs="宋体"/>
                <w:szCs w:val="21"/>
              </w:rPr>
            </w:pPr>
            <w:r>
              <w:rPr>
                <w:rFonts w:hint="eastAsia" w:ascii="宋体" w:hAnsi="宋体" w:eastAsia="宋体" w:cs="宋体"/>
                <w:szCs w:val="21"/>
              </w:rPr>
              <w:t>5.文学接受与批评</w:t>
            </w:r>
          </w:p>
        </w:tc>
        <w:tc>
          <w:tcPr>
            <w:tcW w:w="1701" w:type="dxa"/>
            <w:vAlign w:val="center"/>
          </w:tcPr>
          <w:p w14:paraId="17E24BB4">
            <w:pPr>
              <w:jc w:val="left"/>
              <w:rPr>
                <w:rFonts w:hint="eastAsia" w:ascii="宋体" w:hAnsi="宋体" w:eastAsia="宋体" w:cs="宋体"/>
                <w:szCs w:val="21"/>
              </w:rPr>
            </w:pPr>
            <w:r>
              <w:rPr>
                <w:rFonts w:hint="eastAsia" w:ascii="宋体" w:hAnsi="宋体" w:eastAsia="宋体" w:cs="宋体"/>
                <w:szCs w:val="21"/>
              </w:rPr>
              <w:t>（1）文学接受的构成与作用</w:t>
            </w:r>
          </w:p>
          <w:p w14:paraId="5F7F0078">
            <w:pPr>
              <w:jc w:val="left"/>
              <w:rPr>
                <w:rFonts w:hint="eastAsia" w:ascii="宋体" w:hAnsi="宋体" w:eastAsia="宋体" w:cs="宋体"/>
                <w:szCs w:val="21"/>
              </w:rPr>
            </w:pPr>
            <w:r>
              <w:rPr>
                <w:rFonts w:hint="eastAsia" w:ascii="宋体" w:hAnsi="宋体" w:eastAsia="宋体" w:cs="宋体"/>
                <w:szCs w:val="21"/>
              </w:rPr>
              <w:t>（2）文学接受的过程</w:t>
            </w:r>
          </w:p>
          <w:p w14:paraId="2641F1C2">
            <w:pPr>
              <w:jc w:val="left"/>
              <w:rPr>
                <w:rFonts w:hint="eastAsia" w:ascii="宋体" w:hAnsi="宋体" w:eastAsia="宋体" w:cs="宋体"/>
                <w:szCs w:val="21"/>
              </w:rPr>
            </w:pPr>
            <w:r>
              <w:rPr>
                <w:rFonts w:hint="eastAsia" w:ascii="宋体" w:hAnsi="宋体" w:eastAsia="宋体" w:cs="宋体"/>
                <w:szCs w:val="21"/>
              </w:rPr>
              <w:t>（3）文学接受的创造性与文学经典</w:t>
            </w:r>
          </w:p>
          <w:p w14:paraId="4AE4641C">
            <w:pPr>
              <w:jc w:val="left"/>
              <w:rPr>
                <w:rFonts w:hint="eastAsia" w:ascii="宋体" w:hAnsi="宋体" w:eastAsia="宋体" w:cs="宋体"/>
                <w:szCs w:val="21"/>
              </w:rPr>
            </w:pPr>
            <w:r>
              <w:rPr>
                <w:rFonts w:hint="eastAsia" w:ascii="宋体" w:hAnsi="宋体" w:eastAsia="宋体" w:cs="宋体"/>
                <w:szCs w:val="21"/>
              </w:rPr>
              <w:t>（4）文学批评的性质、原则与功能</w:t>
            </w:r>
          </w:p>
          <w:p w14:paraId="36E16EB3">
            <w:pPr>
              <w:jc w:val="left"/>
              <w:rPr>
                <w:rFonts w:hint="eastAsia" w:ascii="宋体" w:hAnsi="宋体" w:eastAsia="宋体" w:cs="宋体"/>
                <w:szCs w:val="21"/>
              </w:rPr>
            </w:pPr>
            <w:r>
              <w:rPr>
                <w:rFonts w:hint="eastAsia" w:ascii="宋体" w:hAnsi="宋体" w:eastAsia="宋体" w:cs="宋体"/>
                <w:szCs w:val="21"/>
              </w:rPr>
              <w:t>（5）文学批评的类型与方法</w:t>
            </w:r>
          </w:p>
          <w:p w14:paraId="01608B6B">
            <w:pPr>
              <w:jc w:val="left"/>
              <w:rPr>
                <w:rFonts w:hint="eastAsia" w:ascii="宋体" w:hAnsi="宋体" w:eastAsia="宋体" w:cs="宋体"/>
                <w:szCs w:val="21"/>
              </w:rPr>
            </w:pPr>
            <w:r>
              <w:rPr>
                <w:rFonts w:hint="eastAsia" w:ascii="宋体" w:hAnsi="宋体" w:eastAsia="宋体" w:cs="宋体"/>
                <w:szCs w:val="21"/>
              </w:rPr>
              <w:t>（6）文学批评的主体条件与追求</w:t>
            </w:r>
          </w:p>
          <w:p w14:paraId="6FD138CC">
            <w:pPr>
              <w:jc w:val="left"/>
              <w:rPr>
                <w:rFonts w:hint="eastAsia" w:ascii="宋体" w:hAnsi="宋体" w:eastAsia="宋体" w:cs="宋体"/>
                <w:szCs w:val="21"/>
              </w:rPr>
            </w:pPr>
            <w:r>
              <w:rPr>
                <w:rFonts w:hint="eastAsia" w:ascii="宋体" w:hAnsi="宋体" w:eastAsia="宋体" w:cs="宋体"/>
                <w:szCs w:val="21"/>
              </w:rPr>
              <w:t>（7）文学批评写作的基本规范</w:t>
            </w:r>
          </w:p>
        </w:tc>
        <w:tc>
          <w:tcPr>
            <w:tcW w:w="1134" w:type="dxa"/>
            <w:vAlign w:val="center"/>
          </w:tcPr>
          <w:p w14:paraId="487CDB67">
            <w:pPr>
              <w:jc w:val="center"/>
              <w:rPr>
                <w:rFonts w:hint="eastAsia" w:ascii="宋体" w:hAnsi="宋体" w:eastAsia="宋体" w:cs="宋体"/>
                <w:szCs w:val="21"/>
              </w:rPr>
            </w:pPr>
            <w:r>
              <w:rPr>
                <w:rFonts w:hint="eastAsia" w:ascii="宋体" w:hAnsi="宋体" w:eastAsia="宋体" w:cs="宋体"/>
                <w:szCs w:val="21"/>
              </w:rPr>
              <w:t>课程目标1、2</w:t>
            </w:r>
          </w:p>
        </w:tc>
        <w:tc>
          <w:tcPr>
            <w:tcW w:w="3433" w:type="dxa"/>
            <w:vAlign w:val="center"/>
          </w:tcPr>
          <w:p w14:paraId="78F9D602">
            <w:pPr>
              <w:jc w:val="left"/>
              <w:rPr>
                <w:rFonts w:hint="eastAsia" w:ascii="宋体" w:hAnsi="宋体" w:eastAsia="宋体" w:cs="宋体"/>
                <w:szCs w:val="21"/>
              </w:rPr>
            </w:pPr>
            <w:r>
              <w:rPr>
                <w:rFonts w:hint="eastAsia" w:ascii="宋体" w:hAnsi="宋体" w:eastAsia="宋体" w:cs="宋体"/>
                <w:szCs w:val="21"/>
              </w:rPr>
              <w:t>1.了解文学生产、传播与消费的形态。</w:t>
            </w:r>
          </w:p>
          <w:p w14:paraId="2393F188">
            <w:pPr>
              <w:jc w:val="left"/>
              <w:rPr>
                <w:rFonts w:hint="eastAsia" w:ascii="宋体" w:hAnsi="宋体" w:eastAsia="宋体" w:cs="宋体"/>
                <w:szCs w:val="21"/>
              </w:rPr>
            </w:pPr>
            <w:r>
              <w:rPr>
                <w:rFonts w:hint="eastAsia" w:ascii="宋体" w:hAnsi="宋体" w:eastAsia="宋体" w:cs="宋体"/>
                <w:szCs w:val="21"/>
              </w:rPr>
              <w:t>2.理解和掌握文学接受的发生、发展与接受的过程。</w:t>
            </w:r>
          </w:p>
          <w:p w14:paraId="7DA5A9F9">
            <w:pPr>
              <w:jc w:val="left"/>
              <w:rPr>
                <w:rFonts w:hint="eastAsia" w:ascii="宋体" w:hAnsi="宋体" w:eastAsia="宋体" w:cs="宋体"/>
                <w:szCs w:val="21"/>
              </w:rPr>
            </w:pPr>
            <w:r>
              <w:rPr>
                <w:rFonts w:hint="eastAsia" w:ascii="宋体" w:hAnsi="宋体" w:eastAsia="宋体" w:cs="宋体"/>
                <w:szCs w:val="21"/>
              </w:rPr>
              <w:t>3.认识文学经典的形成与二度创作。</w:t>
            </w:r>
          </w:p>
          <w:p w14:paraId="57769ECE">
            <w:pPr>
              <w:jc w:val="left"/>
              <w:rPr>
                <w:rFonts w:hint="eastAsia" w:ascii="宋体" w:hAnsi="宋体" w:eastAsia="宋体" w:cs="宋体"/>
                <w:szCs w:val="21"/>
              </w:rPr>
            </w:pPr>
            <w:r>
              <w:rPr>
                <w:rFonts w:hint="eastAsia" w:ascii="宋体" w:hAnsi="宋体" w:eastAsia="宋体" w:cs="宋体"/>
                <w:szCs w:val="21"/>
              </w:rPr>
              <w:t>4.理解文学批评的多样性和文学批评的标准。</w:t>
            </w:r>
          </w:p>
          <w:p w14:paraId="7CB72DA8">
            <w:pPr>
              <w:jc w:val="left"/>
              <w:rPr>
                <w:rFonts w:hint="eastAsia" w:ascii="宋体" w:hAnsi="宋体" w:eastAsia="宋体" w:cs="宋体"/>
                <w:szCs w:val="21"/>
              </w:rPr>
            </w:pPr>
            <w:r>
              <w:rPr>
                <w:rFonts w:hint="eastAsia" w:ascii="宋体" w:hAnsi="宋体" w:eastAsia="宋体" w:cs="宋体"/>
                <w:szCs w:val="21"/>
              </w:rPr>
              <w:t>5.重点把握当前文学批评主要方法，如结构主义、后结构主义、精神分析、文化意识形态批评、后殖民主义、女性主义批评等的基本观念与不足之处。</w:t>
            </w:r>
          </w:p>
          <w:p w14:paraId="1A5F8AA8">
            <w:pPr>
              <w:jc w:val="left"/>
              <w:rPr>
                <w:rFonts w:hint="eastAsia" w:ascii="宋体" w:hAnsi="宋体" w:eastAsia="宋体" w:cs="宋体"/>
                <w:szCs w:val="21"/>
              </w:rPr>
            </w:pPr>
            <w:r>
              <w:rPr>
                <w:rFonts w:hint="eastAsia" w:ascii="宋体" w:hAnsi="宋体" w:eastAsia="宋体" w:cs="宋体"/>
                <w:szCs w:val="21"/>
              </w:rPr>
              <w:t>6.把握论文式批评写作的基本要求与学术规范。</w:t>
            </w:r>
          </w:p>
        </w:tc>
        <w:tc>
          <w:tcPr>
            <w:tcW w:w="1387" w:type="dxa"/>
            <w:vAlign w:val="center"/>
          </w:tcPr>
          <w:p w14:paraId="5E5715FD">
            <w:pPr>
              <w:jc w:val="left"/>
              <w:rPr>
                <w:rFonts w:hint="eastAsia" w:ascii="宋体" w:hAnsi="宋体" w:eastAsia="宋体" w:cs="宋体"/>
                <w:szCs w:val="21"/>
              </w:rPr>
            </w:pPr>
            <w:r>
              <w:rPr>
                <w:rFonts w:hint="eastAsia" w:ascii="宋体" w:hAnsi="宋体" w:eastAsia="宋体" w:cs="宋体"/>
                <w:szCs w:val="21"/>
              </w:rPr>
              <w:t>1.线上学习</w:t>
            </w:r>
          </w:p>
          <w:p w14:paraId="4DF36546">
            <w:pPr>
              <w:jc w:val="left"/>
              <w:rPr>
                <w:rFonts w:hint="eastAsia" w:ascii="宋体" w:hAnsi="宋体" w:eastAsia="宋体" w:cs="宋体"/>
                <w:szCs w:val="21"/>
              </w:rPr>
            </w:pPr>
            <w:r>
              <w:rPr>
                <w:rFonts w:hint="eastAsia" w:ascii="宋体" w:hAnsi="宋体" w:eastAsia="宋体" w:cs="宋体"/>
                <w:szCs w:val="21"/>
              </w:rPr>
              <w:t>2.多媒体教学3.课堂讨论</w:t>
            </w:r>
          </w:p>
          <w:p w14:paraId="0D810A85">
            <w:pPr>
              <w:jc w:val="left"/>
              <w:rPr>
                <w:rFonts w:hint="eastAsia" w:ascii="宋体" w:hAnsi="宋体" w:eastAsia="宋体" w:cs="宋体"/>
                <w:szCs w:val="21"/>
              </w:rPr>
            </w:pPr>
          </w:p>
        </w:tc>
        <w:tc>
          <w:tcPr>
            <w:tcW w:w="438" w:type="dxa"/>
            <w:vAlign w:val="center"/>
          </w:tcPr>
          <w:p w14:paraId="2A7D4CDC">
            <w:pPr>
              <w:jc w:val="center"/>
              <w:rPr>
                <w:rFonts w:hint="eastAsia" w:ascii="宋体" w:hAnsi="宋体" w:eastAsia="宋体" w:cs="宋体"/>
                <w:szCs w:val="21"/>
              </w:rPr>
            </w:pPr>
            <w:r>
              <w:rPr>
                <w:rFonts w:hint="eastAsia" w:ascii="宋体" w:hAnsi="宋体" w:eastAsia="宋体" w:cs="宋体"/>
                <w:szCs w:val="21"/>
              </w:rPr>
              <w:t>14</w:t>
            </w:r>
          </w:p>
        </w:tc>
      </w:tr>
      <w:tr w14:paraId="3FC5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7F8B308">
            <w:pPr>
              <w:jc w:val="center"/>
              <w:rPr>
                <w:rFonts w:hint="eastAsia" w:ascii="宋体" w:hAnsi="宋体" w:eastAsia="宋体" w:cs="宋体"/>
                <w:szCs w:val="21"/>
              </w:rPr>
            </w:pPr>
          </w:p>
        </w:tc>
        <w:tc>
          <w:tcPr>
            <w:tcW w:w="8093" w:type="dxa"/>
            <w:gridSpan w:val="5"/>
            <w:vAlign w:val="center"/>
          </w:tcPr>
          <w:p w14:paraId="7AF90F19">
            <w:pPr>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通过对我国教育目的的认识和理解，能够具有社会责任感、创新精神和实践能力，主动践行社会主义核心价值观，文学批评活动要与社会生活实际与社会关怀紧密联系在一起，培养学生运用马克思主义基本原理分析解读文学文本及相关现象的能力，树立中国精神是社会主义文艺的灵魂的批评立场与原则。。</w:t>
            </w:r>
          </w:p>
        </w:tc>
      </w:tr>
    </w:tbl>
    <w:p w14:paraId="086C6B9F">
      <w:pPr>
        <w:spacing w:before="62" w:beforeLines="20" w:after="62" w:afterLines="20" w:line="360" w:lineRule="auto"/>
        <w:jc w:val="left"/>
        <w:rPr>
          <w:rFonts w:hint="eastAsia" w:ascii="宋体" w:hAnsi="宋体" w:eastAsia="宋体" w:cs="宋体"/>
          <w:b/>
          <w:sz w:val="24"/>
        </w:rPr>
      </w:pPr>
      <w:bookmarkStart w:id="1174" w:name="_Toc17167"/>
      <w:bookmarkStart w:id="1175" w:name="_Toc18748"/>
      <w:bookmarkStart w:id="1176" w:name="_Toc7363"/>
      <w:bookmarkStart w:id="1177" w:name="_Toc4210"/>
      <w:bookmarkStart w:id="1178" w:name="_Toc31611"/>
      <w:bookmarkStart w:id="1179" w:name="_Toc7331"/>
      <w:bookmarkStart w:id="1180" w:name="_Toc28629"/>
      <w:r>
        <w:rPr>
          <w:rFonts w:hint="eastAsia" w:ascii="宋体" w:hAnsi="宋体" w:eastAsia="宋体" w:cs="宋体"/>
          <w:b/>
          <w:sz w:val="24"/>
        </w:rPr>
        <w:t>四、目标评价与成绩评定</w:t>
      </w:r>
      <w:bookmarkEnd w:id="1174"/>
      <w:bookmarkEnd w:id="1175"/>
      <w:bookmarkEnd w:id="1176"/>
      <w:bookmarkEnd w:id="1177"/>
      <w:bookmarkEnd w:id="1178"/>
      <w:bookmarkEnd w:id="1179"/>
      <w:bookmarkEnd w:id="1180"/>
    </w:p>
    <w:p w14:paraId="426969C2">
      <w:pPr>
        <w:spacing w:line="360" w:lineRule="auto"/>
        <w:ind w:firstLine="422" w:firstLineChars="200"/>
        <w:jc w:val="left"/>
        <w:outlineLvl w:val="1"/>
        <w:rPr>
          <w:rFonts w:hint="eastAsia" w:ascii="宋体" w:hAnsi="宋体" w:eastAsia="宋体" w:cs="宋体"/>
          <w:b/>
          <w:szCs w:val="21"/>
        </w:rPr>
      </w:pPr>
      <w:bookmarkStart w:id="1181" w:name="_Toc3136"/>
      <w:r>
        <w:rPr>
          <w:rFonts w:hint="eastAsia" w:ascii="宋体" w:hAnsi="宋体" w:eastAsia="宋体" w:cs="宋体"/>
          <w:b/>
          <w:szCs w:val="21"/>
        </w:rPr>
        <w:t>（一）课程目标评价方式</w:t>
      </w:r>
      <w:bookmarkEnd w:id="1181"/>
    </w:p>
    <w:p w14:paraId="610B1DC1">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根据总体设计，用于评价各课程目标的评价方式如下表所示。</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0540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vAlign w:val="center"/>
          </w:tcPr>
          <w:p w14:paraId="02814CA2">
            <w:pPr>
              <w:spacing w:line="360" w:lineRule="auto"/>
              <w:jc w:val="center"/>
              <w:rPr>
                <w:rFonts w:hint="eastAsia" w:ascii="宋体" w:hAnsi="宋体" w:eastAsia="宋体" w:cs="宋体"/>
                <w:szCs w:val="21"/>
              </w:rPr>
            </w:pPr>
            <w:r>
              <w:rPr>
                <w:rFonts w:hint="eastAsia" w:ascii="宋体" w:hAnsi="宋体" w:eastAsia="宋体" w:cs="宋体"/>
                <w:szCs w:val="21"/>
              </w:rPr>
              <w:t>课程目标</w:t>
            </w:r>
          </w:p>
        </w:tc>
        <w:tc>
          <w:tcPr>
            <w:tcW w:w="0" w:type="auto"/>
            <w:gridSpan w:val="6"/>
            <w:vAlign w:val="center"/>
          </w:tcPr>
          <w:p w14:paraId="35659C53">
            <w:pPr>
              <w:spacing w:line="360" w:lineRule="auto"/>
              <w:jc w:val="center"/>
              <w:rPr>
                <w:rFonts w:hint="eastAsia" w:ascii="宋体" w:hAnsi="宋体" w:eastAsia="宋体" w:cs="宋体"/>
                <w:szCs w:val="21"/>
              </w:rPr>
            </w:pPr>
            <w:r>
              <w:rPr>
                <w:rFonts w:hint="eastAsia" w:ascii="宋体" w:hAnsi="宋体" w:eastAsia="宋体" w:cs="宋体"/>
                <w:szCs w:val="21"/>
              </w:rPr>
              <w:t>评价与成绩评定方法</w:t>
            </w:r>
          </w:p>
        </w:tc>
        <w:tc>
          <w:tcPr>
            <w:tcW w:w="0" w:type="auto"/>
            <w:vMerge w:val="restart"/>
            <w:vAlign w:val="center"/>
          </w:tcPr>
          <w:p w14:paraId="162ADBD9">
            <w:pPr>
              <w:spacing w:line="360" w:lineRule="auto"/>
              <w:jc w:val="center"/>
              <w:rPr>
                <w:rFonts w:hint="eastAsia" w:ascii="宋体" w:hAnsi="宋体" w:eastAsia="宋体" w:cs="宋体"/>
                <w:szCs w:val="21"/>
              </w:rPr>
            </w:pPr>
            <w:r>
              <w:rPr>
                <w:rFonts w:hint="eastAsia" w:ascii="宋体" w:hAnsi="宋体" w:eastAsia="宋体" w:cs="宋体"/>
                <w:szCs w:val="21"/>
              </w:rPr>
              <w:t>分值</w:t>
            </w:r>
          </w:p>
        </w:tc>
      </w:tr>
      <w:tr w14:paraId="48B4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12253C3">
            <w:pPr>
              <w:spacing w:line="360" w:lineRule="auto"/>
              <w:jc w:val="center"/>
              <w:rPr>
                <w:rFonts w:hint="eastAsia" w:ascii="宋体" w:hAnsi="宋体" w:eastAsia="宋体" w:cs="宋体"/>
                <w:szCs w:val="21"/>
              </w:rPr>
            </w:pPr>
          </w:p>
        </w:tc>
        <w:tc>
          <w:tcPr>
            <w:tcW w:w="0" w:type="auto"/>
            <w:vAlign w:val="center"/>
          </w:tcPr>
          <w:p w14:paraId="3CF41F3B">
            <w:pPr>
              <w:spacing w:line="360" w:lineRule="auto"/>
              <w:jc w:val="center"/>
              <w:rPr>
                <w:rFonts w:hint="eastAsia" w:ascii="宋体" w:hAnsi="宋体" w:eastAsia="宋体" w:cs="宋体"/>
                <w:szCs w:val="21"/>
              </w:rPr>
            </w:pPr>
            <w:r>
              <w:rPr>
                <w:rFonts w:hint="eastAsia" w:ascii="宋体" w:hAnsi="宋体" w:eastAsia="宋体" w:cs="宋体"/>
                <w:szCs w:val="21"/>
              </w:rPr>
              <w:t>平时作业</w:t>
            </w:r>
          </w:p>
        </w:tc>
        <w:tc>
          <w:tcPr>
            <w:tcW w:w="0" w:type="auto"/>
            <w:vAlign w:val="center"/>
          </w:tcPr>
          <w:p w14:paraId="7C5EE788">
            <w:pPr>
              <w:spacing w:line="360" w:lineRule="auto"/>
              <w:jc w:val="center"/>
              <w:rPr>
                <w:rFonts w:hint="eastAsia" w:ascii="宋体" w:hAnsi="宋体" w:eastAsia="宋体" w:cs="宋体"/>
                <w:szCs w:val="21"/>
              </w:rPr>
            </w:pPr>
            <w:r>
              <w:rPr>
                <w:rFonts w:hint="eastAsia" w:ascii="宋体" w:hAnsi="宋体" w:eastAsia="宋体" w:cs="宋体"/>
                <w:szCs w:val="21"/>
              </w:rPr>
              <w:t>课堂表现</w:t>
            </w:r>
          </w:p>
        </w:tc>
        <w:tc>
          <w:tcPr>
            <w:tcW w:w="0" w:type="auto"/>
            <w:vAlign w:val="center"/>
          </w:tcPr>
          <w:p w14:paraId="5FE54916">
            <w:pPr>
              <w:spacing w:line="360" w:lineRule="auto"/>
              <w:jc w:val="center"/>
              <w:rPr>
                <w:rFonts w:hint="eastAsia" w:ascii="宋体" w:hAnsi="宋体" w:eastAsia="宋体" w:cs="宋体"/>
                <w:szCs w:val="21"/>
              </w:rPr>
            </w:pPr>
            <w:r>
              <w:rPr>
                <w:rFonts w:hint="eastAsia" w:ascii="宋体" w:hAnsi="宋体" w:eastAsia="宋体" w:cs="宋体"/>
                <w:szCs w:val="21"/>
              </w:rPr>
              <w:t>单元测验</w:t>
            </w:r>
          </w:p>
        </w:tc>
        <w:tc>
          <w:tcPr>
            <w:tcW w:w="0" w:type="auto"/>
            <w:vAlign w:val="center"/>
          </w:tcPr>
          <w:p w14:paraId="7A31B46B">
            <w:pPr>
              <w:spacing w:line="360" w:lineRule="auto"/>
              <w:jc w:val="center"/>
              <w:rPr>
                <w:rFonts w:hint="eastAsia" w:ascii="宋体" w:hAnsi="宋体" w:eastAsia="宋体" w:cs="宋体"/>
                <w:szCs w:val="21"/>
              </w:rPr>
            </w:pPr>
            <w:r>
              <w:rPr>
                <w:rFonts w:hint="eastAsia" w:ascii="宋体" w:hAnsi="宋体" w:eastAsia="宋体" w:cs="宋体"/>
                <w:szCs w:val="21"/>
              </w:rPr>
              <w:t>个人展示</w:t>
            </w:r>
          </w:p>
        </w:tc>
        <w:tc>
          <w:tcPr>
            <w:tcW w:w="0" w:type="auto"/>
            <w:vAlign w:val="center"/>
          </w:tcPr>
          <w:p w14:paraId="5FE36E7F">
            <w:pPr>
              <w:spacing w:line="360" w:lineRule="auto"/>
              <w:jc w:val="center"/>
              <w:rPr>
                <w:rFonts w:hint="eastAsia" w:ascii="宋体" w:hAnsi="宋体" w:eastAsia="宋体" w:cs="宋体"/>
                <w:szCs w:val="21"/>
              </w:rPr>
            </w:pPr>
            <w:r>
              <w:rPr>
                <w:rFonts w:hint="eastAsia" w:ascii="宋体" w:hAnsi="宋体" w:eastAsia="宋体" w:cs="宋体"/>
                <w:szCs w:val="21"/>
              </w:rPr>
              <w:t>期末考试</w:t>
            </w:r>
          </w:p>
        </w:tc>
        <w:tc>
          <w:tcPr>
            <w:tcW w:w="0" w:type="auto"/>
          </w:tcPr>
          <w:p w14:paraId="3312E145">
            <w:pPr>
              <w:spacing w:line="360" w:lineRule="auto"/>
              <w:jc w:val="center"/>
              <w:rPr>
                <w:rFonts w:hint="eastAsia" w:ascii="宋体" w:hAnsi="宋体" w:eastAsia="宋体" w:cs="宋体"/>
                <w:szCs w:val="21"/>
              </w:rPr>
            </w:pPr>
            <w:r>
              <w:rPr>
                <w:rFonts w:hint="eastAsia" w:ascii="宋体" w:hAnsi="宋体" w:eastAsia="宋体" w:cs="宋体"/>
                <w:szCs w:val="21"/>
              </w:rPr>
              <w:t>自主学习</w:t>
            </w:r>
          </w:p>
        </w:tc>
        <w:tc>
          <w:tcPr>
            <w:tcW w:w="0" w:type="auto"/>
            <w:vMerge w:val="continue"/>
            <w:vAlign w:val="center"/>
          </w:tcPr>
          <w:p w14:paraId="7658D374">
            <w:pPr>
              <w:spacing w:line="360" w:lineRule="auto"/>
              <w:jc w:val="center"/>
              <w:rPr>
                <w:rFonts w:hint="eastAsia" w:ascii="宋体" w:hAnsi="宋体" w:eastAsia="宋体" w:cs="宋体"/>
                <w:szCs w:val="21"/>
              </w:rPr>
            </w:pPr>
          </w:p>
        </w:tc>
      </w:tr>
      <w:tr w14:paraId="753F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24B9CB3">
            <w:pPr>
              <w:spacing w:line="360" w:lineRule="auto"/>
              <w:jc w:val="center"/>
              <w:rPr>
                <w:rFonts w:hint="eastAsia" w:ascii="宋体" w:hAnsi="宋体" w:eastAsia="宋体" w:cs="宋体"/>
                <w:szCs w:val="21"/>
              </w:rPr>
            </w:pPr>
            <w:r>
              <w:rPr>
                <w:rFonts w:hint="eastAsia" w:ascii="宋体" w:hAnsi="宋体" w:eastAsia="宋体" w:cs="宋体"/>
                <w:szCs w:val="21"/>
              </w:rPr>
              <w:t>课程目标1</w:t>
            </w:r>
          </w:p>
        </w:tc>
        <w:tc>
          <w:tcPr>
            <w:tcW w:w="0" w:type="auto"/>
            <w:vAlign w:val="center"/>
          </w:tcPr>
          <w:p w14:paraId="09C7696E">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422451BD">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0660A305">
            <w:pPr>
              <w:spacing w:line="360" w:lineRule="auto"/>
              <w:jc w:val="center"/>
              <w:rPr>
                <w:rFonts w:hint="eastAsia" w:ascii="宋体" w:hAnsi="宋体" w:eastAsia="宋体" w:cs="宋体"/>
                <w:szCs w:val="21"/>
              </w:rPr>
            </w:pPr>
          </w:p>
        </w:tc>
        <w:tc>
          <w:tcPr>
            <w:tcW w:w="0" w:type="auto"/>
            <w:vAlign w:val="center"/>
          </w:tcPr>
          <w:p w14:paraId="445AA4BF">
            <w:pPr>
              <w:spacing w:line="360" w:lineRule="auto"/>
              <w:jc w:val="center"/>
              <w:rPr>
                <w:rFonts w:hint="eastAsia" w:ascii="宋体" w:hAnsi="宋体" w:eastAsia="宋体" w:cs="宋体"/>
                <w:szCs w:val="21"/>
              </w:rPr>
            </w:pPr>
          </w:p>
        </w:tc>
        <w:tc>
          <w:tcPr>
            <w:tcW w:w="0" w:type="auto"/>
            <w:vAlign w:val="center"/>
          </w:tcPr>
          <w:p w14:paraId="646F1A7C">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155804DB">
            <w:pPr>
              <w:spacing w:line="360" w:lineRule="auto"/>
              <w:jc w:val="center"/>
              <w:rPr>
                <w:rFonts w:hint="eastAsia" w:ascii="宋体" w:hAnsi="宋体" w:eastAsia="宋体" w:cs="宋体"/>
                <w:szCs w:val="21"/>
              </w:rPr>
            </w:pPr>
          </w:p>
        </w:tc>
        <w:tc>
          <w:tcPr>
            <w:tcW w:w="0" w:type="auto"/>
            <w:vAlign w:val="center"/>
          </w:tcPr>
          <w:p w14:paraId="6CBEF80F">
            <w:pPr>
              <w:spacing w:line="360" w:lineRule="auto"/>
              <w:jc w:val="center"/>
              <w:rPr>
                <w:rFonts w:hint="eastAsia" w:ascii="宋体" w:hAnsi="宋体" w:eastAsia="宋体" w:cs="宋体"/>
                <w:szCs w:val="21"/>
              </w:rPr>
            </w:pPr>
            <w:r>
              <w:rPr>
                <w:rFonts w:hint="eastAsia" w:ascii="宋体" w:hAnsi="宋体" w:eastAsia="宋体" w:cs="宋体"/>
                <w:szCs w:val="21"/>
              </w:rPr>
              <w:t>40</w:t>
            </w:r>
          </w:p>
        </w:tc>
      </w:tr>
      <w:tr w14:paraId="6F84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6C55970">
            <w:pPr>
              <w:spacing w:line="360" w:lineRule="auto"/>
              <w:jc w:val="center"/>
              <w:rPr>
                <w:rFonts w:hint="eastAsia" w:ascii="宋体" w:hAnsi="宋体" w:eastAsia="宋体" w:cs="宋体"/>
                <w:szCs w:val="21"/>
              </w:rPr>
            </w:pPr>
            <w:r>
              <w:rPr>
                <w:rFonts w:hint="eastAsia" w:ascii="宋体" w:hAnsi="宋体" w:eastAsia="宋体" w:cs="宋体"/>
                <w:szCs w:val="21"/>
              </w:rPr>
              <w:t>课程目标2</w:t>
            </w:r>
          </w:p>
        </w:tc>
        <w:tc>
          <w:tcPr>
            <w:tcW w:w="0" w:type="auto"/>
            <w:vAlign w:val="center"/>
          </w:tcPr>
          <w:p w14:paraId="2C04EE16">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542E9802">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1A8A72A6">
            <w:pPr>
              <w:spacing w:line="360" w:lineRule="auto"/>
              <w:jc w:val="center"/>
              <w:rPr>
                <w:rFonts w:hint="eastAsia" w:ascii="宋体" w:hAnsi="宋体" w:eastAsia="宋体" w:cs="宋体"/>
                <w:szCs w:val="21"/>
              </w:rPr>
            </w:pPr>
          </w:p>
        </w:tc>
        <w:tc>
          <w:tcPr>
            <w:tcW w:w="0" w:type="auto"/>
            <w:vAlign w:val="center"/>
          </w:tcPr>
          <w:p w14:paraId="4C5D0FB0">
            <w:pPr>
              <w:spacing w:line="360" w:lineRule="auto"/>
              <w:jc w:val="center"/>
              <w:rPr>
                <w:rFonts w:hint="eastAsia" w:ascii="宋体" w:hAnsi="宋体" w:eastAsia="宋体" w:cs="宋体"/>
                <w:szCs w:val="21"/>
              </w:rPr>
            </w:pPr>
          </w:p>
        </w:tc>
        <w:tc>
          <w:tcPr>
            <w:tcW w:w="0" w:type="auto"/>
            <w:vAlign w:val="center"/>
          </w:tcPr>
          <w:p w14:paraId="292FB46C">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262952C7">
            <w:pPr>
              <w:spacing w:line="360" w:lineRule="auto"/>
              <w:jc w:val="center"/>
              <w:rPr>
                <w:rFonts w:hint="eastAsia" w:ascii="宋体" w:hAnsi="宋体" w:eastAsia="宋体" w:cs="宋体"/>
                <w:szCs w:val="21"/>
              </w:rPr>
            </w:pPr>
          </w:p>
        </w:tc>
        <w:tc>
          <w:tcPr>
            <w:tcW w:w="0" w:type="auto"/>
            <w:vAlign w:val="center"/>
          </w:tcPr>
          <w:p w14:paraId="1A5950F8">
            <w:pPr>
              <w:spacing w:line="360" w:lineRule="auto"/>
              <w:jc w:val="center"/>
              <w:rPr>
                <w:rFonts w:hint="eastAsia" w:ascii="宋体" w:hAnsi="宋体" w:eastAsia="宋体" w:cs="宋体"/>
                <w:szCs w:val="21"/>
              </w:rPr>
            </w:pPr>
            <w:r>
              <w:rPr>
                <w:rFonts w:hint="eastAsia" w:ascii="宋体" w:hAnsi="宋体" w:eastAsia="宋体" w:cs="宋体"/>
                <w:szCs w:val="21"/>
              </w:rPr>
              <w:t>60</w:t>
            </w:r>
          </w:p>
        </w:tc>
      </w:tr>
      <w:tr w14:paraId="4E80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3A3DCD">
            <w:pPr>
              <w:spacing w:line="360" w:lineRule="auto"/>
              <w:jc w:val="center"/>
              <w:rPr>
                <w:rFonts w:hint="eastAsia" w:ascii="宋体" w:hAnsi="宋体" w:eastAsia="宋体" w:cs="宋体"/>
                <w:szCs w:val="21"/>
              </w:rPr>
            </w:pPr>
            <w:r>
              <w:rPr>
                <w:rFonts w:hint="eastAsia" w:ascii="宋体" w:hAnsi="宋体" w:eastAsia="宋体" w:cs="宋体"/>
                <w:szCs w:val="21"/>
              </w:rPr>
              <w:t>合计</w:t>
            </w:r>
          </w:p>
        </w:tc>
        <w:tc>
          <w:tcPr>
            <w:tcW w:w="0" w:type="auto"/>
            <w:vAlign w:val="center"/>
          </w:tcPr>
          <w:p w14:paraId="5061B5C4">
            <w:pPr>
              <w:spacing w:line="360" w:lineRule="auto"/>
              <w:jc w:val="center"/>
              <w:rPr>
                <w:rFonts w:hint="eastAsia" w:ascii="宋体" w:hAnsi="宋体" w:eastAsia="宋体" w:cs="宋体"/>
                <w:szCs w:val="21"/>
              </w:rPr>
            </w:pPr>
          </w:p>
        </w:tc>
        <w:tc>
          <w:tcPr>
            <w:tcW w:w="0" w:type="auto"/>
            <w:vAlign w:val="center"/>
          </w:tcPr>
          <w:p w14:paraId="4F87074E">
            <w:pPr>
              <w:spacing w:line="360" w:lineRule="auto"/>
              <w:jc w:val="center"/>
              <w:rPr>
                <w:rFonts w:hint="eastAsia" w:ascii="宋体" w:hAnsi="宋体" w:eastAsia="宋体" w:cs="宋体"/>
                <w:szCs w:val="21"/>
              </w:rPr>
            </w:pPr>
          </w:p>
        </w:tc>
        <w:tc>
          <w:tcPr>
            <w:tcW w:w="0" w:type="auto"/>
            <w:vAlign w:val="center"/>
          </w:tcPr>
          <w:p w14:paraId="0A3012C8">
            <w:pPr>
              <w:spacing w:line="360" w:lineRule="auto"/>
              <w:jc w:val="center"/>
              <w:rPr>
                <w:rFonts w:hint="eastAsia" w:ascii="宋体" w:hAnsi="宋体" w:eastAsia="宋体" w:cs="宋体"/>
                <w:szCs w:val="21"/>
              </w:rPr>
            </w:pPr>
          </w:p>
        </w:tc>
        <w:tc>
          <w:tcPr>
            <w:tcW w:w="0" w:type="auto"/>
            <w:vAlign w:val="center"/>
          </w:tcPr>
          <w:p w14:paraId="714D3528">
            <w:pPr>
              <w:spacing w:line="360" w:lineRule="auto"/>
              <w:jc w:val="center"/>
              <w:rPr>
                <w:rFonts w:hint="eastAsia" w:ascii="宋体" w:hAnsi="宋体" w:eastAsia="宋体" w:cs="宋体"/>
                <w:szCs w:val="21"/>
              </w:rPr>
            </w:pPr>
          </w:p>
        </w:tc>
        <w:tc>
          <w:tcPr>
            <w:tcW w:w="0" w:type="auto"/>
            <w:vAlign w:val="center"/>
          </w:tcPr>
          <w:p w14:paraId="39FD29B5">
            <w:pPr>
              <w:spacing w:line="360" w:lineRule="auto"/>
              <w:jc w:val="center"/>
              <w:rPr>
                <w:rFonts w:hint="eastAsia" w:ascii="宋体" w:hAnsi="宋体" w:eastAsia="宋体" w:cs="宋体"/>
                <w:szCs w:val="21"/>
              </w:rPr>
            </w:pPr>
          </w:p>
        </w:tc>
        <w:tc>
          <w:tcPr>
            <w:tcW w:w="0" w:type="auto"/>
          </w:tcPr>
          <w:p w14:paraId="4035C711">
            <w:pPr>
              <w:spacing w:line="360" w:lineRule="auto"/>
              <w:jc w:val="center"/>
              <w:rPr>
                <w:rFonts w:hint="eastAsia" w:ascii="宋体" w:hAnsi="宋体" w:eastAsia="宋体" w:cs="宋体"/>
                <w:szCs w:val="21"/>
              </w:rPr>
            </w:pPr>
          </w:p>
        </w:tc>
        <w:tc>
          <w:tcPr>
            <w:tcW w:w="0" w:type="auto"/>
            <w:vAlign w:val="center"/>
          </w:tcPr>
          <w:p w14:paraId="6A22A77F">
            <w:pPr>
              <w:spacing w:line="360" w:lineRule="auto"/>
              <w:jc w:val="center"/>
              <w:rPr>
                <w:rFonts w:hint="eastAsia" w:ascii="宋体" w:hAnsi="宋体" w:eastAsia="宋体" w:cs="宋体"/>
                <w:szCs w:val="21"/>
              </w:rPr>
            </w:pPr>
            <w:r>
              <w:rPr>
                <w:rFonts w:hint="eastAsia" w:ascii="宋体" w:hAnsi="宋体" w:eastAsia="宋体" w:cs="宋体"/>
                <w:szCs w:val="21"/>
              </w:rPr>
              <w:t>100</w:t>
            </w:r>
          </w:p>
        </w:tc>
      </w:tr>
    </w:tbl>
    <w:p w14:paraId="38CEF4E7">
      <w:pPr>
        <w:spacing w:before="156" w:beforeLines="50" w:line="360" w:lineRule="auto"/>
        <w:ind w:firstLine="422" w:firstLineChars="200"/>
        <w:jc w:val="left"/>
        <w:outlineLvl w:val="1"/>
        <w:rPr>
          <w:rFonts w:hint="eastAsia" w:ascii="宋体" w:hAnsi="宋体" w:eastAsia="宋体" w:cs="宋体"/>
          <w:b/>
          <w:szCs w:val="21"/>
        </w:rPr>
      </w:pPr>
      <w:bookmarkStart w:id="1182" w:name="_Toc29860"/>
      <w:r>
        <w:rPr>
          <w:rFonts w:hint="eastAsia" w:ascii="宋体" w:hAnsi="宋体" w:eastAsia="宋体" w:cs="宋体"/>
          <w:b/>
          <w:szCs w:val="21"/>
        </w:rPr>
        <w:t>（二）成绩评定细则</w:t>
      </w:r>
      <w:bookmarkEnd w:id="1182"/>
    </w:p>
    <w:p w14:paraId="769606ED">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各部分的评价方式和成绩评定的细则如下表所示。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38"/>
      </w:tblGrid>
      <w:tr w14:paraId="2CA5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4949719">
            <w:pPr>
              <w:jc w:val="center"/>
              <w:rPr>
                <w:rFonts w:hint="eastAsia" w:ascii="宋体" w:hAnsi="宋体" w:eastAsia="宋体" w:cs="宋体"/>
                <w:b/>
                <w:bCs/>
                <w:szCs w:val="21"/>
              </w:rPr>
            </w:pPr>
            <w:r>
              <w:rPr>
                <w:rFonts w:hint="eastAsia" w:ascii="宋体" w:hAnsi="宋体" w:eastAsia="宋体" w:cs="宋体"/>
                <w:b/>
                <w:bCs/>
                <w:szCs w:val="21"/>
              </w:rPr>
              <w:t>评价方式</w:t>
            </w:r>
          </w:p>
        </w:tc>
        <w:tc>
          <w:tcPr>
            <w:tcW w:w="7141" w:type="dxa"/>
            <w:vAlign w:val="center"/>
          </w:tcPr>
          <w:p w14:paraId="03759498">
            <w:pPr>
              <w:jc w:val="center"/>
              <w:rPr>
                <w:rFonts w:hint="eastAsia" w:ascii="宋体" w:hAnsi="宋体" w:eastAsia="宋体" w:cs="宋体"/>
                <w:b/>
                <w:bCs/>
                <w:szCs w:val="21"/>
              </w:rPr>
            </w:pPr>
            <w:r>
              <w:rPr>
                <w:rFonts w:hint="eastAsia" w:ascii="宋体" w:hAnsi="宋体" w:eastAsia="宋体" w:cs="宋体"/>
                <w:b/>
                <w:bCs/>
                <w:szCs w:val="21"/>
              </w:rPr>
              <w:t>评定细则</w:t>
            </w:r>
          </w:p>
        </w:tc>
        <w:tc>
          <w:tcPr>
            <w:tcW w:w="0" w:type="auto"/>
            <w:vAlign w:val="center"/>
          </w:tcPr>
          <w:p w14:paraId="50D23E18">
            <w:pPr>
              <w:jc w:val="center"/>
              <w:rPr>
                <w:rFonts w:hint="eastAsia" w:ascii="宋体" w:hAnsi="宋体" w:eastAsia="宋体" w:cs="宋体"/>
                <w:b/>
                <w:bCs/>
                <w:szCs w:val="21"/>
              </w:rPr>
            </w:pPr>
            <w:r>
              <w:rPr>
                <w:rFonts w:hint="eastAsia" w:ascii="宋体" w:hAnsi="宋体" w:eastAsia="宋体" w:cs="宋体"/>
                <w:b/>
                <w:bCs/>
                <w:szCs w:val="21"/>
              </w:rPr>
              <w:t>占比</w:t>
            </w:r>
          </w:p>
        </w:tc>
      </w:tr>
      <w:tr w14:paraId="21D4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1CBE181">
            <w:pPr>
              <w:rPr>
                <w:rFonts w:hint="eastAsia" w:ascii="宋体" w:hAnsi="宋体" w:eastAsia="宋体" w:cs="宋体"/>
                <w:szCs w:val="21"/>
              </w:rPr>
            </w:pPr>
            <w:r>
              <w:rPr>
                <w:rFonts w:hint="eastAsia" w:ascii="宋体" w:hAnsi="宋体" w:eastAsia="宋体" w:cs="宋体"/>
                <w:szCs w:val="21"/>
              </w:rPr>
              <w:t>平时作业</w:t>
            </w:r>
          </w:p>
        </w:tc>
        <w:tc>
          <w:tcPr>
            <w:tcW w:w="7141" w:type="dxa"/>
            <w:vAlign w:val="center"/>
          </w:tcPr>
          <w:p w14:paraId="15970375">
            <w:pPr>
              <w:spacing w:line="264" w:lineRule="auto"/>
              <w:jc w:val="left"/>
              <w:rPr>
                <w:rFonts w:hint="eastAsia" w:ascii="宋体" w:hAnsi="宋体" w:eastAsia="宋体" w:cs="宋体"/>
                <w:szCs w:val="21"/>
              </w:rPr>
            </w:pPr>
            <w:r>
              <w:rPr>
                <w:rFonts w:hint="eastAsia" w:ascii="宋体" w:hAnsi="宋体" w:eastAsia="宋体" w:cs="宋体"/>
                <w:szCs w:val="21"/>
              </w:rPr>
              <w:t>平时作业共5次，一为三次论述题，以对话题阐述的规范性、逻辑性、创新性及整洁性为评分的主要依据。二为小组汇报，以汇报内容的充实具体，汇报者现场展示的效果为主要依据。三为思维导图，系统梳理本课程相关知识点与结构关系。</w:t>
            </w:r>
          </w:p>
        </w:tc>
        <w:tc>
          <w:tcPr>
            <w:tcW w:w="0" w:type="auto"/>
            <w:vAlign w:val="center"/>
          </w:tcPr>
          <w:p w14:paraId="5D6C6111">
            <w:pPr>
              <w:jc w:val="center"/>
              <w:rPr>
                <w:rFonts w:hint="eastAsia" w:ascii="宋体" w:hAnsi="宋体" w:eastAsia="宋体" w:cs="宋体"/>
                <w:szCs w:val="21"/>
              </w:rPr>
            </w:pPr>
            <w:r>
              <w:rPr>
                <w:rFonts w:hint="eastAsia" w:ascii="宋体" w:hAnsi="宋体" w:eastAsia="宋体" w:cs="宋体"/>
                <w:szCs w:val="21"/>
              </w:rPr>
              <w:t>40%</w:t>
            </w:r>
          </w:p>
        </w:tc>
      </w:tr>
      <w:tr w14:paraId="5277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1FC664">
            <w:pPr>
              <w:rPr>
                <w:rFonts w:hint="eastAsia" w:ascii="宋体" w:hAnsi="宋体" w:eastAsia="宋体" w:cs="宋体"/>
                <w:szCs w:val="21"/>
              </w:rPr>
            </w:pPr>
            <w:r>
              <w:rPr>
                <w:rFonts w:hint="eastAsia" w:ascii="宋体" w:hAnsi="宋体" w:eastAsia="宋体" w:cs="宋体"/>
                <w:szCs w:val="21"/>
              </w:rPr>
              <w:t>课堂表现</w:t>
            </w:r>
          </w:p>
        </w:tc>
        <w:tc>
          <w:tcPr>
            <w:tcW w:w="7141" w:type="dxa"/>
            <w:vAlign w:val="center"/>
          </w:tcPr>
          <w:p w14:paraId="5F0AD89F">
            <w:pPr>
              <w:widowControl/>
              <w:spacing w:line="264" w:lineRule="auto"/>
              <w:jc w:val="left"/>
              <w:rPr>
                <w:rFonts w:hint="eastAsia" w:ascii="宋体" w:hAnsi="宋体" w:eastAsia="宋体" w:cs="宋体"/>
                <w:szCs w:val="21"/>
              </w:rPr>
            </w:pPr>
            <w:r>
              <w:rPr>
                <w:rFonts w:hint="eastAsia" w:ascii="宋体" w:hAnsi="宋体" w:eastAsia="宋体" w:cs="宋体"/>
                <w:kern w:val="0"/>
                <w:szCs w:val="21"/>
                <w:lang w:bidi="ar"/>
              </w:rPr>
              <w:t>一是课题考勤情况。</w:t>
            </w:r>
            <w:r>
              <w:rPr>
                <w:rFonts w:hint="eastAsia" w:ascii="宋体" w:hAnsi="宋体" w:eastAsia="宋体" w:cs="宋体"/>
                <w:szCs w:val="21"/>
              </w:rPr>
              <w:t>迟到一次扣2分，无故缺席一次扣5分，累计达3次以上（不含3次）取消课程成绩。</w:t>
            </w:r>
          </w:p>
          <w:p w14:paraId="3E2533FD">
            <w:pPr>
              <w:widowControl/>
              <w:spacing w:line="264" w:lineRule="auto"/>
              <w:jc w:val="left"/>
              <w:rPr>
                <w:rFonts w:hint="eastAsia" w:ascii="宋体" w:hAnsi="宋体" w:eastAsia="宋体" w:cs="宋体"/>
                <w:szCs w:val="21"/>
              </w:rPr>
            </w:pPr>
            <w:r>
              <w:rPr>
                <w:rFonts w:hint="eastAsia" w:ascii="宋体" w:hAnsi="宋体" w:eastAsia="宋体" w:cs="宋体"/>
                <w:szCs w:val="21"/>
              </w:rPr>
              <w:t>二是</w:t>
            </w:r>
            <w:r>
              <w:rPr>
                <w:rFonts w:hint="eastAsia" w:ascii="宋体" w:hAnsi="宋体" w:eastAsia="宋体" w:cs="宋体"/>
                <w:kern w:val="0"/>
                <w:szCs w:val="21"/>
                <w:lang w:bidi="ar"/>
              </w:rPr>
              <w:t>课堂参与情况。主要指课上教师随机提问、组织课堂讨论等，观察学生参与程度，表现良好，按照对应的课程目标及权重给予评定。</w:t>
            </w:r>
          </w:p>
        </w:tc>
        <w:tc>
          <w:tcPr>
            <w:tcW w:w="0" w:type="auto"/>
            <w:vAlign w:val="center"/>
          </w:tcPr>
          <w:p w14:paraId="34483DCA">
            <w:pPr>
              <w:jc w:val="center"/>
              <w:rPr>
                <w:rFonts w:hint="eastAsia" w:ascii="宋体" w:hAnsi="宋体" w:eastAsia="宋体" w:cs="宋体"/>
                <w:szCs w:val="21"/>
              </w:rPr>
            </w:pPr>
            <w:r>
              <w:rPr>
                <w:rFonts w:hint="eastAsia" w:ascii="宋体" w:hAnsi="宋体" w:eastAsia="宋体" w:cs="宋体"/>
                <w:szCs w:val="21"/>
              </w:rPr>
              <w:t>10%</w:t>
            </w:r>
          </w:p>
        </w:tc>
      </w:tr>
      <w:tr w14:paraId="7C92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716E8A">
            <w:pPr>
              <w:rPr>
                <w:rFonts w:hint="eastAsia" w:ascii="宋体" w:hAnsi="宋体" w:eastAsia="宋体" w:cs="宋体"/>
                <w:szCs w:val="21"/>
              </w:rPr>
            </w:pPr>
            <w:r>
              <w:rPr>
                <w:rFonts w:hint="eastAsia" w:ascii="宋体" w:hAnsi="宋体" w:eastAsia="宋体" w:cs="宋体"/>
                <w:szCs w:val="21"/>
              </w:rPr>
              <w:t>期末考试</w:t>
            </w:r>
          </w:p>
        </w:tc>
        <w:tc>
          <w:tcPr>
            <w:tcW w:w="7141" w:type="dxa"/>
            <w:vAlign w:val="center"/>
          </w:tcPr>
          <w:p w14:paraId="37AA7E46">
            <w:pPr>
              <w:spacing w:line="264" w:lineRule="auto"/>
              <w:jc w:val="left"/>
              <w:rPr>
                <w:rFonts w:hint="eastAsia" w:ascii="宋体" w:hAnsi="宋体" w:eastAsia="宋体" w:cs="宋体"/>
                <w:szCs w:val="21"/>
              </w:rPr>
            </w:pPr>
            <w:r>
              <w:rPr>
                <w:rFonts w:hint="eastAsia" w:ascii="宋体" w:hAnsi="宋体" w:eastAsia="宋体" w:cs="宋体"/>
                <w:szCs w:val="21"/>
              </w:rPr>
              <w:t>试卷题型包括填空题、选择题、简答题、论述题等，以卷面成绩的50%计入课程总成绩。其中考核文学基本理论和知识型题目占50%；考核学生运用基本理论知识进行分析能力的题型占40%；考核学生初步研究能力的题型占10%。</w:t>
            </w:r>
          </w:p>
        </w:tc>
        <w:tc>
          <w:tcPr>
            <w:tcW w:w="0" w:type="auto"/>
            <w:vAlign w:val="center"/>
          </w:tcPr>
          <w:p w14:paraId="22BB0A9D">
            <w:pPr>
              <w:jc w:val="center"/>
              <w:rPr>
                <w:rFonts w:hint="eastAsia" w:ascii="宋体" w:hAnsi="宋体" w:eastAsia="宋体" w:cs="宋体"/>
                <w:szCs w:val="21"/>
              </w:rPr>
            </w:pPr>
            <w:r>
              <w:rPr>
                <w:rFonts w:hint="eastAsia" w:ascii="宋体" w:hAnsi="宋体" w:eastAsia="宋体" w:cs="宋体"/>
                <w:szCs w:val="21"/>
              </w:rPr>
              <w:t>50%</w:t>
            </w:r>
          </w:p>
        </w:tc>
      </w:tr>
      <w:tr w14:paraId="6C83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C587A47">
            <w:pPr>
              <w:jc w:val="center"/>
              <w:rPr>
                <w:rFonts w:hint="eastAsia" w:ascii="宋体" w:hAnsi="宋体" w:eastAsia="宋体" w:cs="宋体"/>
                <w:b/>
                <w:bCs/>
                <w:szCs w:val="21"/>
              </w:rPr>
            </w:pPr>
            <w:r>
              <w:rPr>
                <w:rFonts w:hint="eastAsia" w:ascii="宋体" w:hAnsi="宋体" w:eastAsia="宋体" w:cs="宋体"/>
                <w:b/>
                <w:bCs/>
                <w:szCs w:val="21"/>
              </w:rPr>
              <w:t>合计</w:t>
            </w:r>
          </w:p>
        </w:tc>
        <w:tc>
          <w:tcPr>
            <w:tcW w:w="0" w:type="auto"/>
            <w:vAlign w:val="center"/>
          </w:tcPr>
          <w:p w14:paraId="5957B375">
            <w:pPr>
              <w:jc w:val="left"/>
              <w:rPr>
                <w:rFonts w:hint="eastAsia" w:ascii="宋体" w:hAnsi="宋体" w:eastAsia="宋体" w:cs="宋体"/>
                <w:szCs w:val="21"/>
              </w:rPr>
            </w:pPr>
          </w:p>
        </w:tc>
        <w:tc>
          <w:tcPr>
            <w:tcW w:w="0" w:type="auto"/>
            <w:vAlign w:val="center"/>
          </w:tcPr>
          <w:p w14:paraId="148C7C27">
            <w:pPr>
              <w:jc w:val="center"/>
              <w:rPr>
                <w:rFonts w:hint="eastAsia" w:ascii="宋体" w:hAnsi="宋体" w:eastAsia="宋体" w:cs="宋体"/>
                <w:szCs w:val="21"/>
              </w:rPr>
            </w:pPr>
            <w:r>
              <w:rPr>
                <w:rFonts w:hint="eastAsia" w:ascii="宋体" w:hAnsi="宋体" w:eastAsia="宋体" w:cs="宋体"/>
                <w:szCs w:val="21"/>
              </w:rPr>
              <w:t>100%</w:t>
            </w:r>
          </w:p>
        </w:tc>
      </w:tr>
    </w:tbl>
    <w:p w14:paraId="118B0D87">
      <w:pPr>
        <w:spacing w:line="360" w:lineRule="auto"/>
        <w:ind w:firstLine="422" w:firstLineChars="200"/>
        <w:jc w:val="left"/>
        <w:outlineLvl w:val="1"/>
        <w:rPr>
          <w:rFonts w:hint="eastAsia" w:ascii="宋体" w:hAnsi="宋体" w:eastAsia="宋体" w:cs="宋体"/>
          <w:b/>
          <w:szCs w:val="21"/>
        </w:rPr>
      </w:pPr>
      <w:bookmarkStart w:id="1183" w:name="_Toc17861"/>
      <w:r>
        <w:rPr>
          <w:rFonts w:hint="eastAsia" w:ascii="宋体" w:hAnsi="宋体" w:eastAsia="宋体" w:cs="宋体"/>
          <w:b/>
          <w:szCs w:val="21"/>
        </w:rPr>
        <w:t>（三）课程目标达成度计算方法</w:t>
      </w:r>
      <w:bookmarkEnd w:id="1183"/>
    </w:p>
    <w:p w14:paraId="1E92AD37">
      <w:pPr>
        <w:spacing w:line="360" w:lineRule="auto"/>
        <w:ind w:firstLine="411" w:firstLineChars="196"/>
        <w:jc w:val="left"/>
        <w:rPr>
          <w:rFonts w:hint="eastAsia" w:ascii="宋体" w:hAnsi="宋体" w:eastAsia="宋体" w:cs="宋体"/>
          <w:szCs w:val="21"/>
        </w:rPr>
      </w:pPr>
      <w:r>
        <w:rPr>
          <w:rFonts w:hint="eastAsia" w:ascii="宋体" w:hAnsi="宋体" w:eastAsia="宋体" w:cs="宋体"/>
          <w:szCs w:val="21"/>
        </w:rPr>
        <w:t>所有课程目标均需大于等于0.6，否则总评成绩不及格，需要补考或重修。每门课程目标总体达成度计算方法如下：</w:t>
      </w:r>
    </w:p>
    <w:p w14:paraId="7C0BE128">
      <w:pPr>
        <w:adjustRightInd w:val="0"/>
        <w:snapToGrid w:val="0"/>
        <w:spacing w:line="360" w:lineRule="auto"/>
        <w:ind w:firstLine="420" w:firstLineChars="200"/>
        <w:rPr>
          <w:rFonts w:hint="eastAsia" w:ascii="宋体" w:hAnsi="宋体" w:eastAsia="宋体" w:cs="宋体"/>
          <w:b/>
          <w:szCs w:val="21"/>
        </w:rPr>
      </w:pPr>
      <w:r>
        <w:rPr>
          <w:rFonts w:hint="eastAsia" w:ascii="宋体" w:hAnsi="宋体" w:eastAsia="宋体" w:cs="宋体"/>
          <w:szCs w:val="21"/>
        </w:rPr>
        <w:object>
          <v:shape id="_x0000_i1059" o:spt="75" type="#_x0000_t75" style="height:24.75pt;width:405pt;" o:ole="t" filled="f" o:preferrelative="t" stroked="f" coordsize="21600,21600">
            <v:path/>
            <v:fill on="f" focussize="0,0"/>
            <v:stroke on="f" joinstyle="miter"/>
            <v:imagedata r:id="rId12" o:title=""/>
            <o:lock v:ext="edit" aspectratio="t"/>
            <w10:wrap type="none"/>
            <w10:anchorlock/>
          </v:shape>
          <o:OLEObject Type="Embed" ProgID="Equation.3" ShapeID="_x0000_i1059" DrawAspect="Content" ObjectID="_1468075759" r:id="rId47">
            <o:LockedField>false</o:LockedField>
          </o:OLEObject>
        </w:object>
      </w:r>
    </w:p>
    <w:p w14:paraId="6EC9B4FD">
      <w:pPr>
        <w:spacing w:before="62" w:beforeLines="20" w:after="62" w:afterLines="20" w:line="360" w:lineRule="auto"/>
        <w:jc w:val="left"/>
        <w:rPr>
          <w:rFonts w:hint="eastAsia" w:ascii="宋体" w:hAnsi="宋体" w:eastAsia="宋体" w:cs="宋体"/>
          <w:b/>
          <w:sz w:val="24"/>
        </w:rPr>
      </w:pPr>
      <w:bookmarkStart w:id="1184" w:name="_Toc6762"/>
      <w:bookmarkStart w:id="1185" w:name="_Toc21509"/>
      <w:bookmarkStart w:id="1186" w:name="_Toc4318"/>
      <w:bookmarkStart w:id="1187" w:name="_Toc2773"/>
      <w:bookmarkStart w:id="1188" w:name="_Toc4878"/>
      <w:bookmarkStart w:id="1189" w:name="_Toc20066"/>
      <w:bookmarkStart w:id="1190" w:name="_Toc31042"/>
    </w:p>
    <w:p w14:paraId="4B3138AF">
      <w:pPr>
        <w:spacing w:before="62" w:beforeLines="20" w:after="62" w:afterLines="20" w:line="360" w:lineRule="auto"/>
        <w:jc w:val="left"/>
        <w:rPr>
          <w:rFonts w:hint="eastAsia" w:ascii="宋体" w:hAnsi="宋体" w:eastAsia="宋体" w:cs="宋体"/>
          <w:b/>
          <w:sz w:val="24"/>
        </w:rPr>
      </w:pPr>
      <w:r>
        <w:rPr>
          <w:rFonts w:hint="eastAsia" w:ascii="宋体" w:hAnsi="宋体" w:eastAsia="宋体" w:cs="宋体"/>
          <w:b/>
          <w:sz w:val="24"/>
        </w:rPr>
        <w:t>五、有关说明</w:t>
      </w:r>
      <w:bookmarkEnd w:id="1184"/>
      <w:bookmarkEnd w:id="1185"/>
      <w:bookmarkEnd w:id="1186"/>
      <w:bookmarkEnd w:id="1187"/>
      <w:bookmarkEnd w:id="1188"/>
      <w:bookmarkEnd w:id="1189"/>
      <w:bookmarkEnd w:id="1190"/>
    </w:p>
    <w:p w14:paraId="3A586545">
      <w:pPr>
        <w:spacing w:line="360" w:lineRule="auto"/>
        <w:ind w:firstLine="422" w:firstLineChars="200"/>
        <w:jc w:val="left"/>
        <w:outlineLvl w:val="1"/>
        <w:rPr>
          <w:rFonts w:hint="eastAsia" w:ascii="宋体" w:hAnsi="宋体" w:eastAsia="宋体" w:cs="宋体"/>
          <w:b/>
          <w:szCs w:val="21"/>
        </w:rPr>
      </w:pPr>
      <w:bookmarkStart w:id="1191" w:name="_Toc20369"/>
      <w:r>
        <w:rPr>
          <w:rFonts w:hint="eastAsia" w:ascii="宋体" w:hAnsi="宋体" w:eastAsia="宋体" w:cs="宋体"/>
          <w:b/>
          <w:szCs w:val="21"/>
        </w:rPr>
        <w:t>（一）持续改进</w:t>
      </w:r>
      <w:bookmarkEnd w:id="1191"/>
    </w:p>
    <w:p w14:paraId="6C31DDC8">
      <w:pPr>
        <w:adjustRightInd w:val="0"/>
        <w:snapToGrid w:val="0"/>
        <w:spacing w:line="360" w:lineRule="auto"/>
        <w:ind w:firstLine="420" w:firstLineChars="200"/>
        <w:rPr>
          <w:rFonts w:hint="eastAsia" w:ascii="宋体" w:hAnsi="宋体" w:eastAsia="宋体" w:cs="宋体"/>
          <w:bCs/>
          <w:szCs w:val="21"/>
        </w:rPr>
      </w:pPr>
      <w:r>
        <w:rPr>
          <w:rFonts w:hint="eastAsia" w:ascii="宋体" w:hAnsi="宋体" w:eastAsia="宋体" w:cs="宋体"/>
          <w:szCs w:val="21"/>
        </w:rPr>
        <w:t>根据学生课堂教学中的反应、课后反馈、作业质量、答卷情况，以及领导、督导、教师同行等的听课情况，及时发现和改进教学中的不足之处，确保相应毕业要求指标点达成。</w:t>
      </w:r>
    </w:p>
    <w:p w14:paraId="50163A11">
      <w:pPr>
        <w:adjustRightInd w:val="0"/>
        <w:snapToGrid w:val="0"/>
        <w:spacing w:line="360" w:lineRule="auto"/>
        <w:ind w:firstLine="420" w:firstLineChars="200"/>
        <w:rPr>
          <w:rFonts w:hint="eastAsia" w:ascii="宋体" w:hAnsi="宋体" w:eastAsia="宋体" w:cs="宋体"/>
          <w:bCs/>
          <w:szCs w:val="21"/>
        </w:rPr>
      </w:pPr>
      <w:r>
        <w:rPr>
          <w:rFonts w:hint="eastAsia" w:ascii="宋体" w:hAnsi="宋体" w:eastAsia="宋体" w:cs="宋体"/>
          <w:bCs/>
          <w:szCs w:val="21"/>
        </w:rPr>
        <w:t>1.以马克思主义的世界观与方法论为指导，继承我国优秀的文学理论传统，吸取世界上其他民族文艺学的养分，通过本课程的教学与研究实践，逐步建立并完善适合中国国情的文艺学教学体系。</w:t>
      </w:r>
    </w:p>
    <w:p w14:paraId="7FBE741D">
      <w:pPr>
        <w:adjustRightInd w:val="0"/>
        <w:snapToGrid w:val="0"/>
        <w:spacing w:line="360" w:lineRule="auto"/>
        <w:ind w:firstLine="420" w:firstLineChars="200"/>
        <w:rPr>
          <w:rFonts w:hint="eastAsia" w:ascii="宋体" w:hAnsi="宋体" w:eastAsia="宋体" w:cs="宋体"/>
          <w:bCs/>
          <w:szCs w:val="21"/>
        </w:rPr>
      </w:pPr>
      <w:r>
        <w:rPr>
          <w:rFonts w:hint="eastAsia" w:ascii="宋体" w:hAnsi="宋体" w:eastAsia="宋体" w:cs="宋体"/>
          <w:bCs/>
          <w:szCs w:val="21"/>
        </w:rPr>
        <w:t>2.贯彻理论联系实际的原则，在系统讲述基础理论的同时，及时联系文学创作与鉴赏的实际，引导学生关注我国文艺现状，广泛涉猎文学作品和文学理论文章，独立思考，大胆探索。</w:t>
      </w:r>
    </w:p>
    <w:p w14:paraId="487989DA">
      <w:pPr>
        <w:adjustRightInd w:val="0"/>
        <w:snapToGrid w:val="0"/>
        <w:spacing w:line="360" w:lineRule="auto"/>
        <w:ind w:firstLine="420" w:firstLineChars="200"/>
        <w:rPr>
          <w:rFonts w:hint="eastAsia" w:ascii="宋体" w:hAnsi="宋体" w:eastAsia="宋体" w:cs="宋体"/>
          <w:bCs/>
          <w:szCs w:val="21"/>
        </w:rPr>
      </w:pPr>
      <w:r>
        <w:rPr>
          <w:rFonts w:hint="eastAsia" w:ascii="宋体" w:hAnsi="宋体" w:eastAsia="宋体" w:cs="宋体"/>
          <w:bCs/>
          <w:szCs w:val="21"/>
        </w:rPr>
        <w:t>3.面向学生实际，注重教学方法适当压缩教师讲课时数，多调动学生的积极性，开展专题讨论，进行研究性学习，可运用影视录像、幻灯等电化教学手段辅助教学。加强课外指导，可邀请作家和文艺理论家来校作报告，指导学生的文学社团活动。</w:t>
      </w:r>
    </w:p>
    <w:p w14:paraId="79AA39D9">
      <w:pPr>
        <w:spacing w:line="360" w:lineRule="auto"/>
        <w:ind w:firstLine="422" w:firstLineChars="200"/>
        <w:jc w:val="left"/>
        <w:outlineLvl w:val="1"/>
        <w:rPr>
          <w:rFonts w:hint="eastAsia" w:ascii="宋体" w:hAnsi="宋体" w:eastAsia="宋体" w:cs="宋体"/>
          <w:b/>
          <w:szCs w:val="21"/>
        </w:rPr>
      </w:pPr>
      <w:bookmarkStart w:id="1192" w:name="_Toc13645"/>
      <w:r>
        <w:rPr>
          <w:rFonts w:hint="eastAsia" w:ascii="宋体" w:hAnsi="宋体" w:eastAsia="宋体" w:cs="宋体"/>
          <w:b/>
          <w:szCs w:val="21"/>
        </w:rPr>
        <w:t>（二）建议教材</w:t>
      </w:r>
      <w:bookmarkEnd w:id="1192"/>
    </w:p>
    <w:p w14:paraId="127A28E1">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《文学理论》，《文学理论》编写组，高等教育出版社，2015.12.</w:t>
      </w:r>
      <w:r>
        <w:rPr>
          <w:rFonts w:hint="eastAsia" w:ascii="宋体" w:hAnsi="宋体" w:eastAsia="宋体" w:cs="宋体"/>
          <w:bCs/>
          <w:szCs w:val="21"/>
        </w:rPr>
        <w:t>（马克思主义理论研究和建设工程重点教材）</w:t>
      </w:r>
    </w:p>
    <w:p w14:paraId="737EFAB4">
      <w:pPr>
        <w:spacing w:line="360" w:lineRule="auto"/>
        <w:ind w:firstLine="422" w:firstLineChars="200"/>
        <w:jc w:val="left"/>
        <w:outlineLvl w:val="1"/>
        <w:rPr>
          <w:rFonts w:hint="eastAsia" w:ascii="宋体" w:hAnsi="宋体" w:eastAsia="宋体" w:cs="宋体"/>
          <w:b/>
          <w:szCs w:val="21"/>
        </w:rPr>
      </w:pPr>
      <w:bookmarkStart w:id="1193" w:name="_Toc22835"/>
      <w:r>
        <w:rPr>
          <w:rFonts w:hint="eastAsia" w:ascii="宋体" w:hAnsi="宋体" w:eastAsia="宋体" w:cs="宋体"/>
          <w:b/>
          <w:szCs w:val="21"/>
        </w:rPr>
        <w:t>（三）参考书目</w:t>
      </w:r>
      <w:bookmarkEnd w:id="1193"/>
    </w:p>
    <w:p w14:paraId="6964C9B8">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[1]马克思：《1844年经济学－哲学手稿》，人民出版社1979年（《马恩全集》第42卷）。</w:t>
      </w:r>
    </w:p>
    <w:p w14:paraId="5A9B7B46">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 柏拉图：《文艺对话集》，人民文学出版社2009年。</w:t>
      </w:r>
    </w:p>
    <w:p w14:paraId="19D507B2">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 亚里士多德、贺拉斯：《诗学•诗艺》，人民文学出版社2005年。</w:t>
      </w:r>
    </w:p>
    <w:p w14:paraId="1C94F449">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[4] 刘勰：《文心雕龙》，上海古籍出版社2008年。</w:t>
      </w:r>
    </w:p>
    <w:p w14:paraId="196C45FA">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[5]［英］威廉斯：《文化与社会》，北京大学出版社1991年</w:t>
      </w:r>
    </w:p>
    <w:p w14:paraId="69C536CC">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[6]［美］詹姆逊：《政治无意识》，中国社会科学出版社1999年。</w:t>
      </w:r>
    </w:p>
    <w:p w14:paraId="4DD42C0A">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[7]［美］马尔赫恩编：《当代马克思主义文学批评》，北京大学出版社2002年。</w:t>
      </w:r>
    </w:p>
    <w:p w14:paraId="5FAA661B">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[8]张少康《中国文学理论批评史》，北京：北京大学出版社2005年。</w:t>
      </w:r>
    </w:p>
    <w:p w14:paraId="271BF7EC">
      <w:pPr>
        <w:adjustRightInd w:val="0"/>
        <w:snapToGrid w:val="0"/>
        <w:spacing w:line="360" w:lineRule="auto"/>
        <w:ind w:firstLine="420" w:firstLineChars="200"/>
        <w:rPr>
          <w:rFonts w:hint="eastAsia" w:ascii="宋体" w:hAnsi="宋体" w:eastAsia="宋体" w:cs="宋体"/>
          <w:szCs w:val="21"/>
        </w:rPr>
      </w:pPr>
    </w:p>
    <w:p w14:paraId="7702D19A">
      <w:pPr>
        <w:autoSpaceDE w:val="0"/>
        <w:autoSpaceDN w:val="0"/>
        <w:adjustRightInd w:val="0"/>
        <w:spacing w:line="360" w:lineRule="auto"/>
        <w:ind w:firstLine="5040" w:firstLineChars="2400"/>
        <w:jc w:val="right"/>
        <w:rPr>
          <w:rFonts w:hint="eastAsia" w:ascii="宋体" w:hAnsi="宋体" w:eastAsia="宋体" w:cs="宋体"/>
          <w:kern w:val="0"/>
          <w:szCs w:val="21"/>
        </w:rPr>
      </w:pPr>
      <w:r>
        <w:rPr>
          <w:rFonts w:hint="eastAsia" w:ascii="宋体" w:hAnsi="宋体" w:eastAsia="宋体" w:cs="宋体"/>
          <w:kern w:val="0"/>
          <w:szCs w:val="21"/>
        </w:rPr>
        <w:t>执笔人： 张晓婉</w:t>
      </w:r>
    </w:p>
    <w:p w14:paraId="422FFBFA">
      <w:pPr>
        <w:autoSpaceDE w:val="0"/>
        <w:autoSpaceDN w:val="0"/>
        <w:adjustRightInd w:val="0"/>
        <w:spacing w:line="360" w:lineRule="auto"/>
        <w:ind w:firstLine="5040" w:firstLineChars="2400"/>
        <w:jc w:val="right"/>
        <w:rPr>
          <w:rFonts w:hint="eastAsia" w:ascii="宋体" w:hAnsi="宋体" w:eastAsia="宋体" w:cs="宋体"/>
          <w:kern w:val="0"/>
          <w:szCs w:val="21"/>
        </w:rPr>
      </w:pPr>
      <w:r>
        <w:rPr>
          <w:rFonts w:hint="eastAsia" w:ascii="宋体" w:hAnsi="宋体" w:eastAsia="宋体" w:cs="宋体"/>
          <w:kern w:val="0"/>
          <w:szCs w:val="21"/>
        </w:rPr>
        <w:t>审定人： 王  健</w:t>
      </w:r>
    </w:p>
    <w:p w14:paraId="45E2898D">
      <w:pPr>
        <w:spacing w:line="312" w:lineRule="auto"/>
        <w:ind w:firstLine="5040" w:firstLineChars="2400"/>
        <w:jc w:val="right"/>
        <w:rPr>
          <w:rFonts w:hint="eastAsia" w:ascii="宋体" w:hAnsi="宋体" w:eastAsia="宋体" w:cs="宋体"/>
          <w:kern w:val="0"/>
          <w:szCs w:val="21"/>
        </w:rPr>
      </w:pPr>
      <w:r>
        <w:rPr>
          <w:rFonts w:hint="eastAsia" w:ascii="宋体" w:hAnsi="宋体" w:eastAsia="宋体" w:cs="宋体"/>
          <w:kern w:val="0"/>
          <w:szCs w:val="21"/>
        </w:rPr>
        <w:t>审批人： 张志欣</w:t>
      </w:r>
    </w:p>
    <w:p w14:paraId="1EC3B6FF">
      <w:pPr>
        <w:spacing w:line="360" w:lineRule="auto"/>
        <w:ind w:right="240"/>
        <w:jc w:val="right"/>
        <w:rPr>
          <w:rFonts w:hint="eastAsia" w:ascii="宋体" w:hAnsi="宋体" w:eastAsia="宋体" w:cs="宋体"/>
          <w:szCs w:val="21"/>
        </w:rPr>
      </w:pPr>
      <w:r>
        <w:rPr>
          <w:rFonts w:hint="eastAsia" w:ascii="宋体" w:hAnsi="宋体" w:eastAsia="宋体" w:cs="宋体"/>
          <w:szCs w:val="21"/>
        </w:rPr>
        <w:t xml:space="preserve"> 批准时间：2025年7月1日</w:t>
      </w:r>
    </w:p>
    <w:p w14:paraId="55502722">
      <w:pPr>
        <w:rPr>
          <w:rFonts w:ascii="Times New Roman" w:hAnsi="Times New Roman" w:eastAsia="宋体" w:cs="Times New Roman"/>
          <w:smallCaps/>
          <w:kern w:val="44"/>
          <w:sz w:val="24"/>
        </w:rPr>
      </w:pPr>
      <w:r>
        <w:rPr>
          <w:rFonts w:hint="eastAsia" w:ascii="Times New Roman" w:hAnsi="Times New Roman" w:eastAsia="宋体" w:cs="Times New Roman"/>
          <w:smallCaps/>
          <w:kern w:val="44"/>
          <w:sz w:val="24"/>
        </w:rPr>
        <w:br w:type="page"/>
      </w:r>
    </w:p>
    <w:p w14:paraId="7EFA1CAA">
      <w:pPr>
        <w:spacing w:line="360" w:lineRule="auto"/>
        <w:jc w:val="center"/>
        <w:outlineLvl w:val="0"/>
        <w:rPr>
          <w:rFonts w:ascii="Times New Roman" w:hAnsi="Times New Roman" w:eastAsia="宋体" w:cs="Times New Roman"/>
          <w:b/>
          <w:sz w:val="44"/>
          <w:szCs w:val="44"/>
        </w:rPr>
      </w:pPr>
      <w:bookmarkStart w:id="1194" w:name="_Toc2394"/>
      <w:bookmarkStart w:id="1195" w:name="_Toc1025"/>
      <w:bookmarkStart w:id="1196" w:name="_Toc399584725"/>
      <w:bookmarkStart w:id="1197" w:name="_Toc16469"/>
      <w:bookmarkStart w:id="1198" w:name="_Toc29101"/>
      <w:bookmarkStart w:id="1199" w:name="_Toc28757"/>
      <w:r>
        <w:rPr>
          <w:rFonts w:hint="eastAsia" w:ascii="Times New Roman" w:hAnsi="Times New Roman" w:eastAsia="宋体" w:cs="Times New Roman"/>
          <w:b/>
          <w:sz w:val="44"/>
          <w:szCs w:val="44"/>
        </w:rPr>
        <w:t>《儿童文学》课程教学大纲</w:t>
      </w:r>
      <w:bookmarkEnd w:id="1194"/>
      <w:bookmarkEnd w:id="1195"/>
      <w:bookmarkEnd w:id="1196"/>
      <w:bookmarkEnd w:id="1197"/>
      <w:bookmarkEnd w:id="1198"/>
      <w:bookmarkEnd w:id="1199"/>
    </w:p>
    <w:p w14:paraId="5C2A9360">
      <w:pPr>
        <w:spacing w:line="360" w:lineRule="auto"/>
        <w:jc w:val="center"/>
        <w:rPr>
          <w:rFonts w:ascii="Times New Roman" w:hAnsi="Times New Roman" w:eastAsia="宋体" w:cs="Times New Roman"/>
          <w:b/>
          <w:bCs/>
          <w:sz w:val="28"/>
          <w:szCs w:val="28"/>
        </w:rPr>
      </w:pPr>
      <w:bookmarkStart w:id="1200" w:name="_Toc18114"/>
      <w:bookmarkStart w:id="1201" w:name="_Toc3211"/>
      <w:bookmarkStart w:id="1202" w:name="_Toc9594"/>
      <w:bookmarkStart w:id="1203" w:name="_Toc19736"/>
      <w:bookmarkStart w:id="1204" w:name="_Toc19464"/>
      <w:bookmarkStart w:id="1205" w:name="_Toc11859"/>
      <w:bookmarkStart w:id="1206" w:name="_Toc16213"/>
      <w:r>
        <w:rPr>
          <w:rFonts w:hint="eastAsia" w:ascii="Times New Roman" w:hAnsi="Times New Roman" w:eastAsia="宋体" w:cs="Times New Roman"/>
          <w:b/>
          <w:bCs/>
          <w:sz w:val="28"/>
          <w:szCs w:val="28"/>
        </w:rPr>
        <w:t>（Child literature）</w:t>
      </w:r>
      <w:bookmarkEnd w:id="1200"/>
      <w:bookmarkEnd w:id="1201"/>
      <w:bookmarkEnd w:id="1202"/>
      <w:bookmarkEnd w:id="1203"/>
      <w:bookmarkEnd w:id="1204"/>
      <w:bookmarkEnd w:id="1205"/>
      <w:bookmarkEnd w:id="1206"/>
    </w:p>
    <w:p w14:paraId="6864C02F">
      <w:pPr>
        <w:adjustRightInd w:val="0"/>
        <w:snapToGrid w:val="0"/>
        <w:spacing w:line="360" w:lineRule="auto"/>
        <w:ind w:firstLine="422" w:firstLineChars="200"/>
        <w:rPr>
          <w:rFonts w:hint="eastAsia" w:ascii="宋体" w:hAnsi="宋体" w:eastAsia="宋体" w:cs="宋体"/>
          <w:b/>
          <w:kern w:val="0"/>
          <w:szCs w:val="21"/>
        </w:rPr>
      </w:pPr>
      <w:r>
        <w:rPr>
          <w:rFonts w:hint="eastAsia" w:ascii="宋体" w:hAnsi="宋体" w:eastAsia="宋体" w:cs="宋体"/>
          <w:b/>
          <w:kern w:val="0"/>
          <w:szCs w:val="21"/>
        </w:rPr>
        <w:t>课程名称：儿童文学</w:t>
      </w:r>
    </w:p>
    <w:p w14:paraId="7C2DC401">
      <w:pPr>
        <w:adjustRightInd w:val="0"/>
        <w:snapToGrid w:val="0"/>
        <w:spacing w:line="360" w:lineRule="auto"/>
        <w:ind w:firstLine="422" w:firstLineChars="200"/>
        <w:rPr>
          <w:rFonts w:hint="eastAsia" w:ascii="宋体" w:hAnsi="宋体" w:eastAsia="宋体" w:cs="宋体"/>
          <w:b/>
          <w:kern w:val="0"/>
          <w:szCs w:val="21"/>
        </w:rPr>
      </w:pPr>
      <w:r>
        <w:rPr>
          <w:rFonts w:hint="eastAsia" w:ascii="宋体" w:hAnsi="宋体" w:eastAsia="宋体" w:cs="宋体"/>
          <w:b/>
          <w:kern w:val="0"/>
          <w:szCs w:val="21"/>
        </w:rPr>
        <w:t xml:space="preserve">课程代码：0701011   </w:t>
      </w:r>
    </w:p>
    <w:p w14:paraId="02C56103">
      <w:pPr>
        <w:adjustRightInd w:val="0"/>
        <w:snapToGrid w:val="0"/>
        <w:spacing w:line="360" w:lineRule="auto"/>
        <w:ind w:firstLine="422" w:firstLineChars="200"/>
        <w:rPr>
          <w:rFonts w:hint="eastAsia" w:ascii="宋体" w:hAnsi="宋体" w:eastAsia="宋体" w:cs="宋体"/>
          <w:b/>
          <w:kern w:val="0"/>
          <w:szCs w:val="21"/>
        </w:rPr>
      </w:pPr>
      <w:r>
        <w:rPr>
          <w:rFonts w:hint="eastAsia" w:ascii="宋体" w:hAnsi="宋体" w:eastAsia="宋体" w:cs="宋体"/>
          <w:b/>
          <w:kern w:val="0"/>
          <w:szCs w:val="21"/>
        </w:rPr>
        <w:t>学    分：3</w:t>
      </w:r>
    </w:p>
    <w:p w14:paraId="6927734C">
      <w:pPr>
        <w:adjustRightInd w:val="0"/>
        <w:snapToGrid w:val="0"/>
        <w:spacing w:line="360" w:lineRule="auto"/>
        <w:ind w:firstLine="422" w:firstLineChars="200"/>
        <w:rPr>
          <w:rFonts w:hint="eastAsia" w:ascii="宋体" w:hAnsi="宋体" w:eastAsia="宋体" w:cs="宋体"/>
          <w:b/>
          <w:kern w:val="0"/>
          <w:szCs w:val="21"/>
        </w:rPr>
      </w:pPr>
      <w:r>
        <w:rPr>
          <w:rFonts w:hint="eastAsia" w:ascii="宋体" w:hAnsi="宋体" w:eastAsia="宋体" w:cs="宋体"/>
          <w:b/>
          <w:kern w:val="0"/>
          <w:szCs w:val="21"/>
        </w:rPr>
        <w:t>学    时：48 （其中：讲授学时32， 实践学时16）</w:t>
      </w:r>
    </w:p>
    <w:p w14:paraId="297F2831">
      <w:pPr>
        <w:adjustRightInd w:val="0"/>
        <w:snapToGrid w:val="0"/>
        <w:spacing w:line="360" w:lineRule="auto"/>
        <w:ind w:firstLine="422" w:firstLineChars="200"/>
        <w:rPr>
          <w:rFonts w:hint="eastAsia" w:ascii="宋体" w:hAnsi="宋体" w:eastAsia="宋体" w:cs="宋体"/>
          <w:b/>
          <w:bCs/>
          <w:kern w:val="0"/>
          <w:szCs w:val="21"/>
        </w:rPr>
      </w:pPr>
      <w:r>
        <w:rPr>
          <w:rFonts w:hint="eastAsia" w:ascii="宋体" w:hAnsi="宋体" w:eastAsia="宋体" w:cs="宋体"/>
          <w:b/>
          <w:kern w:val="0"/>
          <w:szCs w:val="21"/>
        </w:rPr>
        <w:t>先修课程：无</w:t>
      </w:r>
    </w:p>
    <w:p w14:paraId="0E35BAC4">
      <w:pPr>
        <w:adjustRightInd w:val="0"/>
        <w:snapToGrid w:val="0"/>
        <w:spacing w:line="360" w:lineRule="auto"/>
        <w:ind w:firstLine="422" w:firstLineChars="200"/>
        <w:rPr>
          <w:rFonts w:hint="eastAsia" w:ascii="宋体" w:hAnsi="宋体" w:eastAsia="宋体" w:cs="宋体"/>
          <w:b/>
          <w:kern w:val="0"/>
          <w:szCs w:val="21"/>
        </w:rPr>
      </w:pPr>
      <w:r>
        <w:rPr>
          <w:rFonts w:hint="eastAsia" w:ascii="宋体" w:hAnsi="宋体" w:eastAsia="宋体" w:cs="宋体"/>
          <w:b/>
          <w:kern w:val="0"/>
          <w:szCs w:val="21"/>
        </w:rPr>
        <w:t>适用专业：小学教育（文）</w:t>
      </w:r>
    </w:p>
    <w:p w14:paraId="3E4AB84F">
      <w:pPr>
        <w:spacing w:before="62" w:beforeLines="20" w:after="62" w:afterLines="20" w:line="360" w:lineRule="auto"/>
        <w:jc w:val="left"/>
        <w:rPr>
          <w:rFonts w:hint="eastAsia" w:ascii="宋体" w:hAnsi="宋体" w:eastAsia="宋体" w:cs="宋体"/>
          <w:b/>
          <w:sz w:val="24"/>
        </w:rPr>
      </w:pPr>
      <w:bookmarkStart w:id="1207" w:name="_Toc16938"/>
      <w:bookmarkStart w:id="1208" w:name="_Toc25694"/>
      <w:bookmarkStart w:id="1209" w:name="_Toc23667"/>
      <w:bookmarkStart w:id="1210" w:name="_Toc31584"/>
      <w:bookmarkStart w:id="1211" w:name="_Toc12124"/>
      <w:bookmarkStart w:id="1212" w:name="_Toc7431"/>
      <w:bookmarkStart w:id="1213" w:name="_Toc5606"/>
      <w:r>
        <w:rPr>
          <w:rFonts w:hint="eastAsia" w:ascii="宋体" w:hAnsi="宋体" w:eastAsia="宋体" w:cs="宋体"/>
          <w:b/>
          <w:sz w:val="24"/>
        </w:rPr>
        <w:t>一、课程简介</w:t>
      </w:r>
      <w:bookmarkEnd w:id="1207"/>
      <w:bookmarkEnd w:id="1208"/>
      <w:bookmarkEnd w:id="1209"/>
      <w:bookmarkEnd w:id="1210"/>
      <w:bookmarkEnd w:id="1211"/>
      <w:bookmarkEnd w:id="1212"/>
      <w:bookmarkEnd w:id="1213"/>
    </w:p>
    <w:p w14:paraId="538D9700">
      <w:pPr>
        <w:adjustRightInd w:val="0"/>
        <w:snapToGrid w:val="0"/>
        <w:spacing w:line="360" w:lineRule="auto"/>
        <w:ind w:firstLine="420" w:firstLineChars="200"/>
        <w:rPr>
          <w:rFonts w:hint="eastAsia" w:ascii="宋体" w:hAnsi="宋体" w:eastAsia="宋体" w:cs="宋体"/>
          <w:kern w:val="0"/>
          <w:szCs w:val="21"/>
        </w:rPr>
      </w:pPr>
      <w:r>
        <w:rPr>
          <w:rFonts w:hint="eastAsia" w:ascii="宋体" w:hAnsi="宋体" w:eastAsia="宋体" w:cs="宋体"/>
          <w:kern w:val="0"/>
          <w:szCs w:val="21"/>
        </w:rPr>
        <w:t>本课程是小学教育专业的专业基础必修课程，主要阐述有关儿童文学的一些基本原理，着眼于提高学生分析儿童文学作品的能力，并训练学生学习创编一般的儿童读物。通过学习，了解儿童文学的基本特点，扩大儿童文学的知识面和阅读面，提高儿童文学修养，进而更加热爱儿童，关注生命；重点培养分析和鉴赏当代中外儿童文学作品的能力，掌握独立分析中短篇作品（儿童诗、故事、小说、童话、寓言、散文等）的思想内容和艺术特色的基本方法，能针对作品内容形式的特点，撰写简单的儿童文学评论；初步学会创编儿歌、儿童诗、儿童故事和童话等。</w:t>
      </w:r>
    </w:p>
    <w:p w14:paraId="79E6AED7">
      <w:pPr>
        <w:spacing w:before="62" w:beforeLines="20" w:after="62" w:afterLines="20" w:line="360" w:lineRule="auto"/>
        <w:jc w:val="left"/>
        <w:rPr>
          <w:rFonts w:hint="eastAsia" w:ascii="宋体" w:hAnsi="宋体" w:eastAsia="宋体" w:cs="宋体"/>
          <w:b/>
          <w:szCs w:val="21"/>
        </w:rPr>
      </w:pPr>
      <w:bookmarkStart w:id="1214" w:name="_Toc22673"/>
      <w:bookmarkStart w:id="1215" w:name="_Toc4229"/>
      <w:bookmarkStart w:id="1216" w:name="_Toc21034"/>
      <w:bookmarkStart w:id="1217" w:name="_Toc6761"/>
      <w:bookmarkStart w:id="1218" w:name="_Toc7377"/>
      <w:bookmarkStart w:id="1219" w:name="_Toc2657"/>
      <w:bookmarkStart w:id="1220" w:name="_Toc25671"/>
      <w:r>
        <w:rPr>
          <w:rFonts w:hint="eastAsia" w:ascii="宋体" w:hAnsi="宋体" w:eastAsia="宋体" w:cs="宋体"/>
          <w:b/>
          <w:sz w:val="24"/>
        </w:rPr>
        <w:t>二、课程目标</w:t>
      </w:r>
      <w:bookmarkEnd w:id="1214"/>
      <w:bookmarkEnd w:id="1215"/>
      <w:bookmarkEnd w:id="1216"/>
      <w:bookmarkEnd w:id="1217"/>
      <w:bookmarkEnd w:id="1218"/>
      <w:bookmarkEnd w:id="1219"/>
      <w:bookmarkEnd w:id="1220"/>
    </w:p>
    <w:p w14:paraId="21CE7820">
      <w:pPr>
        <w:spacing w:line="360" w:lineRule="auto"/>
        <w:ind w:firstLine="417" w:firstLineChars="198"/>
        <w:outlineLvl w:val="1"/>
        <w:rPr>
          <w:rFonts w:hint="eastAsia" w:ascii="宋体" w:hAnsi="宋体" w:eastAsia="宋体" w:cs="宋体"/>
          <w:b/>
          <w:szCs w:val="21"/>
        </w:rPr>
      </w:pPr>
      <w:bookmarkStart w:id="1221" w:name="_Toc372"/>
      <w:r>
        <w:rPr>
          <w:rFonts w:hint="eastAsia" w:ascii="宋体" w:hAnsi="宋体" w:eastAsia="宋体" w:cs="宋体"/>
          <w:b/>
          <w:szCs w:val="21"/>
        </w:rPr>
        <w:t>（一）课程具体目标</w:t>
      </w:r>
      <w:bookmarkEnd w:id="1221"/>
    </w:p>
    <w:p w14:paraId="08E32D95">
      <w:pPr>
        <w:autoSpaceDE w:val="0"/>
        <w:autoSpaceDN w:val="0"/>
        <w:adjustRightInd w:val="0"/>
        <w:snapToGrid w:val="0"/>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目标1.了解儿童文学的基本原理，掌握儿童文学各体裁的含义、艺术特征及种类。</w:t>
      </w:r>
    </w:p>
    <w:p w14:paraId="0E586B53">
      <w:pPr>
        <w:autoSpaceDE w:val="0"/>
        <w:autoSpaceDN w:val="0"/>
        <w:adjustRightInd w:val="0"/>
        <w:snapToGrid w:val="0"/>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目标2. 能够根据儿童文学各体裁的特点，独立分析和鉴赏中外儿童文学作品的思想内容和艺术特色；能结合儿童文学的基础知识和基本理论，尝试创编儿歌、儿童诗、儿童故事和童话等作品。</w:t>
      </w:r>
    </w:p>
    <w:p w14:paraId="7119F97C">
      <w:pPr>
        <w:autoSpaceDE w:val="0"/>
        <w:autoSpaceDN w:val="0"/>
        <w:adjustRightInd w:val="0"/>
        <w:snapToGrid w:val="0"/>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目标3. 能站在未来民族复兴的高度来关注儿童和儿童文学事业，形成准确的儿童观，热爱儿童，理解儿童的精神哲学，关注儿童生命的成长过程，养成较高的儿童文学素养。</w:t>
      </w:r>
    </w:p>
    <w:p w14:paraId="0C84FBF1">
      <w:pPr>
        <w:autoSpaceDE w:val="0"/>
        <w:autoSpaceDN w:val="0"/>
        <w:adjustRightInd w:val="0"/>
        <w:snapToGrid w:val="0"/>
        <w:spacing w:line="360" w:lineRule="auto"/>
        <w:ind w:left="420" w:leftChars="200"/>
        <w:jc w:val="left"/>
        <w:outlineLvl w:val="1"/>
        <w:rPr>
          <w:rFonts w:hint="eastAsia" w:ascii="宋体" w:hAnsi="宋体" w:eastAsia="宋体" w:cs="宋体"/>
          <w:b/>
          <w:kern w:val="0"/>
          <w:szCs w:val="21"/>
        </w:rPr>
      </w:pPr>
      <w:bookmarkStart w:id="1222" w:name="_Toc4218"/>
      <w:r>
        <w:rPr>
          <w:rFonts w:hint="eastAsia" w:ascii="宋体" w:hAnsi="宋体" w:eastAsia="宋体" w:cs="宋体"/>
          <w:b/>
          <w:kern w:val="0"/>
          <w:szCs w:val="21"/>
        </w:rPr>
        <w:t>（二）课程目标及其对毕业要求指标点的支撑</w:t>
      </w:r>
      <w:bookmarkEnd w:id="1222"/>
    </w:p>
    <w:p w14:paraId="64C2039F">
      <w:pPr>
        <w:autoSpaceDE w:val="0"/>
        <w:autoSpaceDN w:val="0"/>
        <w:adjustRightInd w:val="0"/>
        <w:snapToGrid w:val="0"/>
        <w:spacing w:line="360" w:lineRule="auto"/>
        <w:jc w:val="left"/>
        <w:outlineLvl w:val="1"/>
        <w:rPr>
          <w:rFonts w:hint="eastAsia" w:ascii="宋体" w:hAnsi="宋体" w:eastAsia="宋体" w:cs="宋体"/>
          <w:b/>
          <w:kern w:val="0"/>
          <w:szCs w:val="21"/>
        </w:rPr>
      </w:pPr>
    </w:p>
    <w:p w14:paraId="0211D803">
      <w:pPr>
        <w:autoSpaceDE w:val="0"/>
        <w:autoSpaceDN w:val="0"/>
        <w:adjustRightInd w:val="0"/>
        <w:snapToGrid w:val="0"/>
        <w:spacing w:line="360" w:lineRule="auto"/>
        <w:jc w:val="left"/>
        <w:outlineLvl w:val="1"/>
        <w:rPr>
          <w:rFonts w:hint="eastAsia" w:ascii="宋体" w:hAnsi="宋体" w:eastAsia="宋体" w:cs="宋体"/>
          <w:b/>
          <w:kern w:val="0"/>
          <w:szCs w:val="21"/>
        </w:rPr>
      </w:pPr>
    </w:p>
    <w:p w14:paraId="01989820">
      <w:pPr>
        <w:autoSpaceDE w:val="0"/>
        <w:autoSpaceDN w:val="0"/>
        <w:adjustRightInd w:val="0"/>
        <w:snapToGrid w:val="0"/>
        <w:spacing w:line="360" w:lineRule="auto"/>
        <w:jc w:val="left"/>
        <w:outlineLvl w:val="1"/>
        <w:rPr>
          <w:rFonts w:hint="eastAsia" w:ascii="宋体" w:hAnsi="宋体" w:eastAsia="宋体" w:cs="宋体"/>
          <w:b/>
          <w:kern w:val="0"/>
          <w:szCs w:val="21"/>
        </w:rPr>
      </w:pPr>
    </w:p>
    <w:p w14:paraId="5610BD79">
      <w:pPr>
        <w:autoSpaceDE w:val="0"/>
        <w:autoSpaceDN w:val="0"/>
        <w:adjustRightInd w:val="0"/>
        <w:snapToGrid w:val="0"/>
        <w:spacing w:line="360" w:lineRule="auto"/>
        <w:jc w:val="left"/>
        <w:outlineLvl w:val="1"/>
        <w:rPr>
          <w:rFonts w:hint="eastAsia" w:ascii="宋体" w:hAnsi="宋体" w:eastAsia="宋体" w:cs="宋体"/>
          <w:b/>
          <w:kern w:val="0"/>
          <w:szCs w:val="21"/>
        </w:rPr>
      </w:pPr>
    </w:p>
    <w:p w14:paraId="5B419E1F">
      <w:pPr>
        <w:autoSpaceDE w:val="0"/>
        <w:autoSpaceDN w:val="0"/>
        <w:adjustRightInd w:val="0"/>
        <w:snapToGrid w:val="0"/>
        <w:spacing w:line="360" w:lineRule="auto"/>
        <w:jc w:val="left"/>
        <w:outlineLvl w:val="1"/>
        <w:rPr>
          <w:rFonts w:hint="eastAsia" w:ascii="宋体" w:hAnsi="宋体" w:eastAsia="宋体" w:cs="宋体"/>
          <w:b/>
          <w:kern w:val="0"/>
          <w:szCs w:val="21"/>
        </w:rPr>
      </w:pPr>
    </w:p>
    <w:p w14:paraId="7F5BE9D1">
      <w:pPr>
        <w:autoSpaceDE w:val="0"/>
        <w:autoSpaceDN w:val="0"/>
        <w:adjustRightInd w:val="0"/>
        <w:snapToGrid w:val="0"/>
        <w:spacing w:line="360" w:lineRule="auto"/>
        <w:jc w:val="left"/>
        <w:outlineLvl w:val="1"/>
        <w:rPr>
          <w:rFonts w:hint="eastAsia" w:ascii="宋体" w:hAnsi="宋体" w:eastAsia="宋体" w:cs="宋体"/>
          <w:b/>
          <w:kern w:val="0"/>
          <w:szCs w:val="21"/>
        </w:rPr>
      </w:pPr>
    </w:p>
    <w:p w14:paraId="0425FFF9">
      <w:pPr>
        <w:autoSpaceDE w:val="0"/>
        <w:autoSpaceDN w:val="0"/>
        <w:adjustRightInd w:val="0"/>
        <w:snapToGrid w:val="0"/>
        <w:spacing w:line="360" w:lineRule="auto"/>
        <w:jc w:val="left"/>
        <w:outlineLvl w:val="1"/>
        <w:rPr>
          <w:rFonts w:hint="eastAsia" w:ascii="宋体" w:hAnsi="宋体" w:eastAsia="宋体" w:cs="宋体"/>
          <w:b/>
          <w:kern w:val="0"/>
          <w:szCs w:val="21"/>
        </w:rPr>
      </w:pPr>
    </w:p>
    <w:tbl>
      <w:tblPr>
        <w:tblStyle w:val="11"/>
        <w:tblpPr w:leftFromText="180" w:rightFromText="180" w:vertAnchor="page" w:horzAnchor="page" w:tblpX="1649" w:tblpY="1627"/>
        <w:tblOverlap w:val="never"/>
        <w:tblW w:w="8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5962"/>
        <w:gridCol w:w="1593"/>
      </w:tblGrid>
      <w:tr w14:paraId="67D0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34" w:type="dxa"/>
            <w:vAlign w:val="center"/>
          </w:tcPr>
          <w:p w14:paraId="40D9AF7A">
            <w:pPr>
              <w:spacing w:line="276" w:lineRule="auto"/>
              <w:jc w:val="center"/>
              <w:rPr>
                <w:rFonts w:hint="eastAsia" w:ascii="宋体" w:hAnsi="宋体" w:eastAsia="宋体" w:cs="宋体"/>
                <w:b/>
                <w:bCs/>
                <w:szCs w:val="21"/>
              </w:rPr>
            </w:pPr>
            <w:r>
              <w:rPr>
                <w:rFonts w:hint="eastAsia" w:ascii="宋体" w:hAnsi="宋体" w:eastAsia="宋体" w:cs="宋体"/>
                <w:b/>
                <w:bCs/>
                <w:szCs w:val="21"/>
              </w:rPr>
              <w:t>毕业要求</w:t>
            </w:r>
          </w:p>
        </w:tc>
        <w:tc>
          <w:tcPr>
            <w:tcW w:w="5962" w:type="dxa"/>
            <w:vAlign w:val="center"/>
          </w:tcPr>
          <w:p w14:paraId="7A2DA1C0">
            <w:pPr>
              <w:spacing w:line="276" w:lineRule="auto"/>
              <w:ind w:firstLine="422" w:firstLineChars="200"/>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593" w:type="dxa"/>
            <w:vAlign w:val="center"/>
          </w:tcPr>
          <w:p w14:paraId="43A33910">
            <w:pPr>
              <w:spacing w:line="276" w:lineRule="auto"/>
              <w:jc w:val="center"/>
              <w:rPr>
                <w:rFonts w:hint="eastAsia" w:ascii="宋体" w:hAnsi="宋体" w:eastAsia="宋体" w:cs="宋体"/>
                <w:b/>
                <w:bCs/>
                <w:szCs w:val="21"/>
              </w:rPr>
            </w:pPr>
            <w:r>
              <w:rPr>
                <w:rFonts w:hint="eastAsia" w:ascii="宋体" w:hAnsi="宋体" w:eastAsia="宋体" w:cs="宋体"/>
                <w:b/>
                <w:bCs/>
                <w:szCs w:val="21"/>
              </w:rPr>
              <w:t>课程目标</w:t>
            </w:r>
          </w:p>
        </w:tc>
      </w:tr>
      <w:tr w14:paraId="086A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234" w:type="dxa"/>
            <w:vAlign w:val="center"/>
          </w:tcPr>
          <w:p w14:paraId="553288C1">
            <w:pPr>
              <w:spacing w:line="276" w:lineRule="auto"/>
              <w:jc w:val="center"/>
              <w:rPr>
                <w:rFonts w:hint="eastAsia" w:ascii="宋体" w:hAnsi="宋体" w:eastAsia="宋体" w:cs="宋体"/>
                <w:kern w:val="0"/>
                <w:szCs w:val="21"/>
              </w:rPr>
            </w:pPr>
            <w:r>
              <w:rPr>
                <w:rFonts w:hint="eastAsia" w:ascii="宋体" w:hAnsi="宋体" w:eastAsia="宋体" w:cs="宋体"/>
                <w:kern w:val="0"/>
                <w:szCs w:val="21"/>
              </w:rPr>
              <w:t>毕业要求1师德规范</w:t>
            </w:r>
          </w:p>
        </w:tc>
        <w:tc>
          <w:tcPr>
            <w:tcW w:w="5962" w:type="dxa"/>
            <w:vAlign w:val="center"/>
          </w:tcPr>
          <w:p w14:paraId="0EB5397F">
            <w:pPr>
              <w:adjustRightInd w:val="0"/>
              <w:snapToGrid w:val="0"/>
              <w:spacing w:line="360" w:lineRule="auto"/>
              <w:rPr>
                <w:rFonts w:hint="eastAsia" w:ascii="宋体" w:hAnsi="宋体" w:eastAsia="宋体" w:cs="宋体"/>
                <w:kern w:val="0"/>
                <w:szCs w:val="21"/>
              </w:rPr>
            </w:pPr>
            <w:r>
              <w:rPr>
                <w:rFonts w:hint="eastAsia" w:ascii="宋体" w:hAnsi="宋体" w:eastAsia="宋体" w:cs="宋体"/>
                <w:b/>
                <w:kern w:val="0"/>
                <w:szCs w:val="21"/>
              </w:rPr>
              <w:t>指标点1-1</w:t>
            </w:r>
            <w:r>
              <w:rPr>
                <w:rFonts w:hint="eastAsia" w:ascii="宋体" w:hAnsi="宋体" w:eastAsia="宋体" w:cs="宋体"/>
                <w:kern w:val="0"/>
                <w:szCs w:val="21"/>
              </w:rPr>
              <w:t>: 【理想信念坚定】</w:t>
            </w:r>
            <w:r>
              <w:rPr>
                <w:rFonts w:hint="eastAsia" w:ascii="宋体" w:hAnsi="宋体" w:eastAsia="宋体" w:cs="宋体"/>
                <w:szCs w:val="21"/>
              </w:rPr>
              <w:t>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593" w:type="dxa"/>
            <w:vAlign w:val="center"/>
          </w:tcPr>
          <w:p w14:paraId="596B6765">
            <w:pPr>
              <w:spacing w:line="276" w:lineRule="auto"/>
              <w:jc w:val="center"/>
              <w:rPr>
                <w:rFonts w:hint="eastAsia" w:ascii="宋体" w:hAnsi="宋体" w:eastAsia="宋体" w:cs="宋体"/>
                <w:bCs/>
                <w:szCs w:val="21"/>
              </w:rPr>
            </w:pPr>
            <w:r>
              <w:rPr>
                <w:rFonts w:hint="eastAsia" w:ascii="宋体" w:hAnsi="宋体" w:eastAsia="宋体" w:cs="宋体"/>
                <w:bCs/>
                <w:szCs w:val="21"/>
              </w:rPr>
              <w:t>课程目标3</w:t>
            </w:r>
          </w:p>
        </w:tc>
      </w:tr>
      <w:tr w14:paraId="1BAF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234" w:type="dxa"/>
            <w:vAlign w:val="center"/>
          </w:tcPr>
          <w:p w14:paraId="77A20097">
            <w:pPr>
              <w:spacing w:line="276" w:lineRule="auto"/>
              <w:jc w:val="center"/>
              <w:rPr>
                <w:rFonts w:hint="eastAsia" w:ascii="宋体" w:hAnsi="宋体" w:eastAsia="宋体" w:cs="宋体"/>
                <w:kern w:val="0"/>
                <w:szCs w:val="21"/>
              </w:rPr>
            </w:pPr>
            <w:r>
              <w:rPr>
                <w:rFonts w:hint="eastAsia" w:ascii="宋体" w:hAnsi="宋体" w:eastAsia="宋体" w:cs="宋体"/>
                <w:kern w:val="0"/>
                <w:szCs w:val="21"/>
              </w:rPr>
              <w:t>毕业要求2教育情怀</w:t>
            </w:r>
          </w:p>
        </w:tc>
        <w:tc>
          <w:tcPr>
            <w:tcW w:w="5962" w:type="dxa"/>
            <w:vAlign w:val="center"/>
          </w:tcPr>
          <w:p w14:paraId="1CFD8DBB">
            <w:pPr>
              <w:spacing w:line="276" w:lineRule="auto"/>
              <w:jc w:val="left"/>
              <w:rPr>
                <w:rFonts w:hint="eastAsia" w:ascii="宋体" w:hAnsi="宋体" w:eastAsia="宋体" w:cs="宋体"/>
                <w:kern w:val="0"/>
                <w:szCs w:val="21"/>
              </w:rPr>
            </w:pPr>
            <w:r>
              <w:rPr>
                <w:rFonts w:hint="eastAsia" w:ascii="宋体" w:hAnsi="宋体" w:eastAsia="宋体" w:cs="宋体"/>
                <w:b/>
                <w:kern w:val="0"/>
                <w:szCs w:val="21"/>
              </w:rPr>
              <w:t>指标点2-2</w:t>
            </w:r>
            <w:r>
              <w:rPr>
                <w:rFonts w:hint="eastAsia" w:ascii="宋体" w:hAnsi="宋体" w:eastAsia="宋体" w:cs="宋体"/>
                <w:kern w:val="0"/>
                <w:szCs w:val="21"/>
              </w:rPr>
              <w:t>：【仁爱之心深厚】关心爱护学生、理解尊重学生，富有爱心、责任心、事业心，工作细心、耐心，做学生锤炼品格、学习知识、创新思维、奉献祖国的引路人。</w:t>
            </w:r>
          </w:p>
          <w:p w14:paraId="4632EF90">
            <w:pPr>
              <w:spacing w:line="276" w:lineRule="auto"/>
              <w:jc w:val="left"/>
              <w:rPr>
                <w:rFonts w:hint="eastAsia" w:ascii="宋体" w:hAnsi="宋体" w:eastAsia="宋体" w:cs="宋体"/>
                <w:kern w:val="0"/>
                <w:szCs w:val="21"/>
              </w:rPr>
            </w:pPr>
            <w:r>
              <w:rPr>
                <w:rFonts w:hint="eastAsia" w:ascii="宋体" w:hAnsi="宋体" w:eastAsia="宋体" w:cs="宋体"/>
                <w:b/>
                <w:kern w:val="0"/>
                <w:szCs w:val="21"/>
              </w:rPr>
              <w:t>指标点2-3</w:t>
            </w:r>
            <w:r>
              <w:rPr>
                <w:rFonts w:hint="eastAsia" w:ascii="宋体" w:hAnsi="宋体" w:eastAsia="宋体" w:cs="宋体"/>
                <w:szCs w:val="21"/>
              </w:rPr>
              <w:t>：【自身修养良好】具有较好的人文艺术底蕴与科学精神，言行举止符合教师职业标准，情感积极，人格健全，身心健康。</w:t>
            </w:r>
          </w:p>
        </w:tc>
        <w:tc>
          <w:tcPr>
            <w:tcW w:w="1593" w:type="dxa"/>
            <w:vAlign w:val="center"/>
          </w:tcPr>
          <w:p w14:paraId="2B1D3CBB">
            <w:pPr>
              <w:spacing w:line="276" w:lineRule="auto"/>
              <w:jc w:val="center"/>
              <w:rPr>
                <w:rFonts w:hint="eastAsia" w:ascii="宋体" w:hAnsi="宋体" w:eastAsia="宋体" w:cs="宋体"/>
                <w:szCs w:val="21"/>
              </w:rPr>
            </w:pPr>
            <w:r>
              <w:rPr>
                <w:rFonts w:hint="eastAsia" w:ascii="宋体" w:hAnsi="宋体" w:eastAsia="宋体" w:cs="宋体"/>
                <w:szCs w:val="21"/>
              </w:rPr>
              <w:t>课程目标3</w:t>
            </w:r>
          </w:p>
        </w:tc>
      </w:tr>
      <w:tr w14:paraId="3618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1234" w:type="dxa"/>
            <w:vAlign w:val="center"/>
          </w:tcPr>
          <w:p w14:paraId="3DC517F2">
            <w:pPr>
              <w:spacing w:line="276" w:lineRule="auto"/>
              <w:jc w:val="center"/>
              <w:rPr>
                <w:rFonts w:hint="eastAsia" w:ascii="宋体" w:hAnsi="宋体" w:eastAsia="宋体" w:cs="宋体"/>
                <w:spacing w:val="2"/>
                <w:kern w:val="0"/>
                <w:szCs w:val="21"/>
              </w:rPr>
            </w:pPr>
            <w:r>
              <w:rPr>
                <w:rFonts w:hint="eastAsia" w:ascii="宋体" w:hAnsi="宋体" w:eastAsia="宋体" w:cs="宋体"/>
                <w:kern w:val="0"/>
                <w:szCs w:val="21"/>
              </w:rPr>
              <w:t>毕业要求</w:t>
            </w:r>
            <w:r>
              <w:rPr>
                <w:rFonts w:hint="eastAsia" w:ascii="宋体" w:hAnsi="宋体" w:eastAsia="宋体" w:cs="宋体"/>
                <w:spacing w:val="2"/>
                <w:kern w:val="0"/>
                <w:szCs w:val="21"/>
              </w:rPr>
              <w:t>3学科素养</w:t>
            </w:r>
          </w:p>
        </w:tc>
        <w:tc>
          <w:tcPr>
            <w:tcW w:w="5962" w:type="dxa"/>
            <w:vAlign w:val="center"/>
          </w:tcPr>
          <w:p w14:paraId="4D347D66">
            <w:pPr>
              <w:spacing w:line="276" w:lineRule="auto"/>
              <w:jc w:val="left"/>
              <w:rPr>
                <w:rFonts w:hint="eastAsia" w:ascii="宋体" w:hAnsi="宋体" w:eastAsia="宋体" w:cs="宋体"/>
                <w:kern w:val="0"/>
                <w:szCs w:val="21"/>
              </w:rPr>
            </w:pPr>
            <w:r>
              <w:rPr>
                <w:rFonts w:hint="eastAsia" w:ascii="宋体" w:hAnsi="宋体" w:eastAsia="宋体" w:cs="宋体"/>
                <w:b/>
                <w:kern w:val="0"/>
                <w:szCs w:val="21"/>
              </w:rPr>
              <w:t>指标点3-2</w:t>
            </w:r>
            <w:r>
              <w:rPr>
                <w:rFonts w:hint="eastAsia" w:ascii="宋体" w:hAnsi="宋体" w:eastAsia="宋体" w:cs="宋体"/>
                <w:szCs w:val="21"/>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p w14:paraId="71BB8DC4">
            <w:pPr>
              <w:spacing w:line="276" w:lineRule="auto"/>
              <w:jc w:val="left"/>
              <w:rPr>
                <w:rFonts w:hint="eastAsia" w:ascii="宋体" w:hAnsi="宋体" w:eastAsia="宋体" w:cs="宋体"/>
                <w:kern w:val="0"/>
                <w:szCs w:val="21"/>
              </w:rPr>
            </w:pPr>
            <w:r>
              <w:rPr>
                <w:rFonts w:hint="eastAsia" w:ascii="宋体" w:hAnsi="宋体" w:eastAsia="宋体" w:cs="宋体"/>
                <w:b/>
                <w:kern w:val="0"/>
                <w:szCs w:val="21"/>
              </w:rPr>
              <w:t>指标点3-3</w:t>
            </w:r>
            <w:r>
              <w:rPr>
                <w:rFonts w:hint="eastAsia" w:ascii="宋体" w:hAnsi="宋体" w:eastAsia="宋体" w:cs="宋体"/>
                <w:szCs w:val="21"/>
              </w:rPr>
              <w:t>：【注重知识整合】了解所教学科与小学其他学科及与社会实践、小学生生活实践之间的联系，了解学科整合在小学教育中的价值，具有跨学科解决问题的意识和能力，能指导综合性学科教学活动。</w:t>
            </w:r>
          </w:p>
        </w:tc>
        <w:tc>
          <w:tcPr>
            <w:tcW w:w="1593" w:type="dxa"/>
            <w:vAlign w:val="center"/>
          </w:tcPr>
          <w:p w14:paraId="433A7EA1">
            <w:pPr>
              <w:spacing w:line="276" w:lineRule="auto"/>
              <w:jc w:val="center"/>
              <w:rPr>
                <w:rFonts w:hint="eastAsia" w:ascii="宋体" w:hAnsi="宋体" w:eastAsia="宋体" w:cs="宋体"/>
                <w:szCs w:val="21"/>
              </w:rPr>
            </w:pPr>
            <w:r>
              <w:rPr>
                <w:rFonts w:hint="eastAsia" w:ascii="宋体" w:hAnsi="宋体" w:eastAsia="宋体" w:cs="宋体"/>
                <w:szCs w:val="21"/>
              </w:rPr>
              <w:t>课程目标1、2</w:t>
            </w:r>
          </w:p>
        </w:tc>
      </w:tr>
      <w:tr w14:paraId="5E5D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1234" w:type="dxa"/>
            <w:vAlign w:val="center"/>
          </w:tcPr>
          <w:p w14:paraId="70579403">
            <w:pPr>
              <w:spacing w:line="276" w:lineRule="auto"/>
              <w:jc w:val="center"/>
              <w:rPr>
                <w:rFonts w:hint="eastAsia" w:ascii="宋体" w:hAnsi="宋体" w:eastAsia="宋体" w:cs="宋体"/>
                <w:spacing w:val="2"/>
                <w:kern w:val="0"/>
                <w:szCs w:val="21"/>
              </w:rPr>
            </w:pPr>
            <w:r>
              <w:rPr>
                <w:rFonts w:hint="eastAsia" w:ascii="宋体" w:hAnsi="宋体" w:eastAsia="宋体" w:cs="宋体"/>
                <w:kern w:val="0"/>
                <w:szCs w:val="21"/>
              </w:rPr>
              <w:t>毕业要求6综合育人</w:t>
            </w:r>
          </w:p>
        </w:tc>
        <w:tc>
          <w:tcPr>
            <w:tcW w:w="5962" w:type="dxa"/>
            <w:vAlign w:val="center"/>
          </w:tcPr>
          <w:p w14:paraId="6AD619C5">
            <w:pPr>
              <w:spacing w:line="276" w:lineRule="auto"/>
              <w:jc w:val="left"/>
              <w:rPr>
                <w:rFonts w:hint="eastAsia" w:ascii="宋体" w:hAnsi="宋体" w:eastAsia="宋体" w:cs="宋体"/>
                <w:kern w:val="0"/>
                <w:szCs w:val="21"/>
              </w:rPr>
            </w:pPr>
            <w:r>
              <w:rPr>
                <w:rFonts w:hint="eastAsia" w:ascii="宋体" w:hAnsi="宋体" w:eastAsia="宋体" w:cs="宋体"/>
                <w:b/>
                <w:kern w:val="0"/>
                <w:szCs w:val="21"/>
              </w:rPr>
              <w:t>指标点6-2</w:t>
            </w:r>
            <w:r>
              <w:rPr>
                <w:rFonts w:hint="eastAsia" w:ascii="宋体" w:hAnsi="宋体" w:eastAsia="宋体" w:cs="宋体"/>
                <w:kern w:val="0"/>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593" w:type="dxa"/>
          </w:tcPr>
          <w:p w14:paraId="32A77CF3">
            <w:pPr>
              <w:spacing w:line="276" w:lineRule="auto"/>
              <w:jc w:val="center"/>
              <w:rPr>
                <w:rFonts w:hint="eastAsia" w:ascii="宋体" w:hAnsi="宋体" w:eastAsia="宋体" w:cs="宋体"/>
                <w:szCs w:val="21"/>
              </w:rPr>
            </w:pPr>
          </w:p>
          <w:p w14:paraId="5E713CC9">
            <w:pPr>
              <w:spacing w:line="276" w:lineRule="auto"/>
              <w:jc w:val="center"/>
              <w:rPr>
                <w:rFonts w:hint="eastAsia" w:ascii="宋体" w:hAnsi="宋体" w:eastAsia="宋体" w:cs="宋体"/>
                <w:szCs w:val="21"/>
              </w:rPr>
            </w:pPr>
          </w:p>
          <w:p w14:paraId="3935C1F0">
            <w:pPr>
              <w:spacing w:line="276" w:lineRule="auto"/>
              <w:jc w:val="center"/>
              <w:rPr>
                <w:rFonts w:hint="eastAsia" w:ascii="宋体" w:hAnsi="宋体" w:eastAsia="宋体" w:cs="宋体"/>
                <w:szCs w:val="21"/>
              </w:rPr>
            </w:pPr>
            <w:r>
              <w:rPr>
                <w:rFonts w:hint="eastAsia" w:ascii="宋体" w:hAnsi="宋体" w:eastAsia="宋体" w:cs="宋体"/>
                <w:szCs w:val="21"/>
              </w:rPr>
              <w:t>课程目标 2、3</w:t>
            </w:r>
          </w:p>
        </w:tc>
      </w:tr>
      <w:tr w14:paraId="72A8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1234" w:type="dxa"/>
            <w:vAlign w:val="center"/>
          </w:tcPr>
          <w:p w14:paraId="52CC67DF">
            <w:pPr>
              <w:spacing w:line="276" w:lineRule="auto"/>
              <w:jc w:val="center"/>
              <w:rPr>
                <w:rFonts w:hint="eastAsia" w:ascii="宋体" w:hAnsi="宋体" w:eastAsia="宋体" w:cs="宋体"/>
                <w:kern w:val="0"/>
                <w:szCs w:val="21"/>
              </w:rPr>
            </w:pPr>
            <w:r>
              <w:rPr>
                <w:rFonts w:hint="eastAsia" w:ascii="宋体" w:hAnsi="宋体" w:eastAsia="宋体" w:cs="宋体"/>
                <w:kern w:val="0"/>
                <w:szCs w:val="21"/>
              </w:rPr>
              <w:t>毕业要求4 教学能力</w:t>
            </w:r>
          </w:p>
        </w:tc>
        <w:tc>
          <w:tcPr>
            <w:tcW w:w="5962" w:type="dxa"/>
            <w:vAlign w:val="center"/>
          </w:tcPr>
          <w:p w14:paraId="06B9BBFE">
            <w:pPr>
              <w:spacing w:line="276" w:lineRule="auto"/>
              <w:jc w:val="left"/>
              <w:rPr>
                <w:rFonts w:hint="eastAsia" w:ascii="宋体" w:hAnsi="宋体" w:eastAsia="宋体" w:cs="宋体"/>
                <w:kern w:val="0"/>
                <w:szCs w:val="21"/>
              </w:rPr>
            </w:pPr>
            <w:r>
              <w:rPr>
                <w:rFonts w:hint="eastAsia" w:ascii="宋体" w:hAnsi="宋体" w:eastAsia="宋体" w:cs="宋体"/>
                <w:b/>
                <w:kern w:val="0"/>
                <w:szCs w:val="21"/>
              </w:rPr>
              <w:t>指标点4-1</w:t>
            </w:r>
            <w:r>
              <w:rPr>
                <w:rFonts w:hint="eastAsia" w:ascii="宋体" w:hAnsi="宋体" w:eastAsia="宋体" w:cs="宋体"/>
                <w:kern w:val="0"/>
                <w:szCs w:val="21"/>
              </w:rPr>
              <w:t>：</w:t>
            </w:r>
            <w:r>
              <w:rPr>
                <w:rFonts w:hint="eastAsia" w:ascii="宋体" w:hAnsi="宋体" w:eastAsia="宋体" w:cs="宋体"/>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593" w:type="dxa"/>
          </w:tcPr>
          <w:p w14:paraId="1E6DBAEB">
            <w:pPr>
              <w:spacing w:line="276" w:lineRule="auto"/>
              <w:jc w:val="center"/>
              <w:rPr>
                <w:rFonts w:hint="eastAsia" w:ascii="宋体" w:hAnsi="宋体" w:eastAsia="宋体" w:cs="宋体"/>
                <w:szCs w:val="21"/>
              </w:rPr>
            </w:pPr>
          </w:p>
        </w:tc>
      </w:tr>
    </w:tbl>
    <w:p w14:paraId="4828BBB5">
      <w:pPr>
        <w:adjustRightInd w:val="0"/>
        <w:snapToGrid w:val="0"/>
        <w:spacing w:line="360" w:lineRule="auto"/>
        <w:ind w:firstLine="632" w:firstLineChars="300"/>
        <w:outlineLvl w:val="1"/>
        <w:rPr>
          <w:rFonts w:hint="eastAsia" w:ascii="宋体" w:hAnsi="宋体" w:eastAsia="宋体" w:cs="宋体"/>
          <w:b/>
          <w:bCs/>
          <w:szCs w:val="21"/>
        </w:rPr>
      </w:pPr>
      <w:bookmarkStart w:id="1223" w:name="_Toc8393"/>
      <w:r>
        <w:rPr>
          <w:rFonts w:hint="eastAsia" w:ascii="宋体" w:hAnsi="宋体" w:eastAsia="宋体" w:cs="宋体"/>
          <w:b/>
          <w:bCs/>
          <w:szCs w:val="21"/>
        </w:rPr>
        <w:t>（三）课程思政目标</w:t>
      </w:r>
      <w:bookmarkEnd w:id="1223"/>
    </w:p>
    <w:p w14:paraId="5DB5DF9A">
      <w:pPr>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引导学生关注社会主义文艺中以人民为中心的优秀儿童文艺，积极传播、导读那些思想精深、艺术精湛、制作精良的讴歌党、讴歌祖国、讴歌人民、讴歌英雄的儿童文学精品力作。做先进儿童文化的引领者，自觉倡导讲品味、讲格调、讲责任，自觉抵制低俗、庸俗、媚俗的儿童文艺，培养学生高雅的文学趣味和高尚的文学品味。引导学生准确把握儿童文学鉴赏和批评的价值标准，着力关注作品是否反映了儿童真实的社会生活，是否有利于少儿知识面的拓宽和求知欲的激发，是否有利于少儿美好道德情操的养成，是否有利于把儿童培养成为德智体美劳全面发展的社会主义建设者和接班人。</w:t>
      </w:r>
    </w:p>
    <w:p w14:paraId="254FF069">
      <w:pPr>
        <w:spacing w:before="62" w:beforeLines="20" w:after="62" w:afterLines="20" w:line="360" w:lineRule="auto"/>
        <w:jc w:val="left"/>
        <w:rPr>
          <w:rFonts w:hint="eastAsia" w:ascii="宋体" w:hAnsi="宋体" w:eastAsia="宋体" w:cs="宋体"/>
          <w:b/>
          <w:sz w:val="24"/>
        </w:rPr>
      </w:pPr>
      <w:bookmarkStart w:id="1224" w:name="_Toc25241"/>
      <w:bookmarkStart w:id="1225" w:name="_Toc2539"/>
      <w:bookmarkStart w:id="1226" w:name="_Toc30989"/>
      <w:bookmarkStart w:id="1227" w:name="_Toc12845"/>
      <w:bookmarkStart w:id="1228" w:name="_Toc6950"/>
      <w:bookmarkStart w:id="1229" w:name="_Toc22066"/>
      <w:bookmarkStart w:id="1230" w:name="_Toc1199"/>
      <w:r>
        <w:rPr>
          <w:rFonts w:hint="eastAsia" w:ascii="宋体" w:hAnsi="宋体" w:eastAsia="宋体" w:cs="宋体"/>
          <w:b/>
          <w:sz w:val="24"/>
        </w:rPr>
        <w:t>三、教学内容与预期学习成效</w:t>
      </w:r>
      <w:bookmarkEnd w:id="1224"/>
      <w:bookmarkEnd w:id="1225"/>
      <w:bookmarkEnd w:id="1226"/>
      <w:bookmarkEnd w:id="1227"/>
      <w:bookmarkEnd w:id="1228"/>
      <w:bookmarkEnd w:id="1229"/>
      <w:bookmarkEnd w:id="1230"/>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5D82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6C6C158">
            <w:pPr>
              <w:jc w:val="center"/>
              <w:rPr>
                <w:rFonts w:hint="eastAsia" w:ascii="宋体" w:hAnsi="宋体" w:eastAsia="宋体" w:cs="宋体"/>
                <w:b/>
                <w:szCs w:val="21"/>
              </w:rPr>
            </w:pPr>
            <w:r>
              <w:rPr>
                <w:rFonts w:hint="eastAsia" w:ascii="宋体" w:hAnsi="宋体" w:eastAsia="宋体" w:cs="宋体"/>
                <w:b/>
                <w:szCs w:val="21"/>
              </w:rPr>
              <w:t>知识</w:t>
            </w:r>
          </w:p>
          <w:p w14:paraId="11F3EE3D">
            <w:pPr>
              <w:jc w:val="center"/>
              <w:rPr>
                <w:rFonts w:hint="eastAsia" w:ascii="宋体" w:hAnsi="宋体" w:eastAsia="宋体" w:cs="宋体"/>
                <w:b/>
                <w:szCs w:val="21"/>
              </w:rPr>
            </w:pPr>
            <w:r>
              <w:rPr>
                <w:rFonts w:hint="eastAsia" w:ascii="宋体" w:hAnsi="宋体" w:eastAsia="宋体" w:cs="宋体"/>
                <w:b/>
                <w:szCs w:val="21"/>
              </w:rPr>
              <w:t>单元</w:t>
            </w:r>
          </w:p>
        </w:tc>
        <w:tc>
          <w:tcPr>
            <w:tcW w:w="1701" w:type="dxa"/>
            <w:vAlign w:val="center"/>
          </w:tcPr>
          <w:p w14:paraId="56076683">
            <w:pPr>
              <w:jc w:val="center"/>
              <w:rPr>
                <w:rFonts w:hint="eastAsia" w:ascii="宋体" w:hAnsi="宋体" w:eastAsia="宋体" w:cs="宋体"/>
                <w:b/>
                <w:szCs w:val="21"/>
              </w:rPr>
            </w:pPr>
            <w:r>
              <w:rPr>
                <w:rFonts w:hint="eastAsia" w:ascii="宋体" w:hAnsi="宋体" w:eastAsia="宋体" w:cs="宋体"/>
                <w:b/>
                <w:szCs w:val="21"/>
              </w:rPr>
              <w:t>知识点</w:t>
            </w:r>
          </w:p>
        </w:tc>
        <w:tc>
          <w:tcPr>
            <w:tcW w:w="1134" w:type="dxa"/>
            <w:vAlign w:val="center"/>
          </w:tcPr>
          <w:p w14:paraId="74F48CF3">
            <w:pPr>
              <w:jc w:val="center"/>
              <w:rPr>
                <w:rFonts w:hint="eastAsia" w:ascii="宋体" w:hAnsi="宋体" w:eastAsia="宋体" w:cs="宋体"/>
                <w:b/>
                <w:szCs w:val="21"/>
              </w:rPr>
            </w:pPr>
            <w:r>
              <w:rPr>
                <w:rFonts w:hint="eastAsia" w:ascii="宋体" w:hAnsi="宋体" w:eastAsia="宋体" w:cs="宋体"/>
                <w:b/>
                <w:szCs w:val="21"/>
              </w:rPr>
              <w:t>对应</w:t>
            </w:r>
          </w:p>
          <w:p w14:paraId="64D02C8D">
            <w:pPr>
              <w:jc w:val="center"/>
              <w:rPr>
                <w:rFonts w:hint="eastAsia" w:ascii="宋体" w:hAnsi="宋体" w:eastAsia="宋体" w:cs="宋体"/>
                <w:b/>
                <w:szCs w:val="21"/>
              </w:rPr>
            </w:pPr>
            <w:r>
              <w:rPr>
                <w:rFonts w:hint="eastAsia" w:ascii="宋体" w:hAnsi="宋体" w:eastAsia="宋体" w:cs="宋体"/>
                <w:b/>
                <w:szCs w:val="21"/>
              </w:rPr>
              <w:t>课程目标</w:t>
            </w:r>
          </w:p>
        </w:tc>
        <w:tc>
          <w:tcPr>
            <w:tcW w:w="3260" w:type="dxa"/>
            <w:vAlign w:val="center"/>
          </w:tcPr>
          <w:p w14:paraId="214A1B2E">
            <w:pPr>
              <w:jc w:val="center"/>
              <w:rPr>
                <w:rFonts w:hint="eastAsia" w:ascii="宋体" w:hAnsi="宋体" w:eastAsia="宋体" w:cs="宋体"/>
                <w:b/>
                <w:szCs w:val="21"/>
              </w:rPr>
            </w:pPr>
            <w:r>
              <w:rPr>
                <w:rFonts w:hint="eastAsia" w:ascii="宋体" w:hAnsi="宋体" w:eastAsia="宋体" w:cs="宋体"/>
                <w:b/>
                <w:szCs w:val="21"/>
              </w:rPr>
              <w:t>预期学习成效</w:t>
            </w:r>
          </w:p>
        </w:tc>
        <w:tc>
          <w:tcPr>
            <w:tcW w:w="1560" w:type="dxa"/>
            <w:vAlign w:val="center"/>
          </w:tcPr>
          <w:p w14:paraId="33017426">
            <w:pPr>
              <w:jc w:val="center"/>
              <w:rPr>
                <w:rFonts w:hint="eastAsia" w:ascii="宋体" w:hAnsi="宋体" w:eastAsia="宋体" w:cs="宋体"/>
                <w:b/>
                <w:szCs w:val="21"/>
              </w:rPr>
            </w:pPr>
            <w:r>
              <w:rPr>
                <w:rFonts w:hint="eastAsia" w:ascii="宋体" w:hAnsi="宋体" w:eastAsia="宋体" w:cs="宋体"/>
                <w:b/>
                <w:szCs w:val="21"/>
              </w:rPr>
              <w:t>实现环节</w:t>
            </w:r>
          </w:p>
        </w:tc>
        <w:tc>
          <w:tcPr>
            <w:tcW w:w="438" w:type="dxa"/>
            <w:vAlign w:val="center"/>
          </w:tcPr>
          <w:p w14:paraId="59D1B7BC">
            <w:pPr>
              <w:jc w:val="center"/>
              <w:rPr>
                <w:rFonts w:hint="eastAsia" w:ascii="宋体" w:hAnsi="宋体" w:eastAsia="宋体" w:cs="宋体"/>
                <w:b/>
                <w:szCs w:val="21"/>
              </w:rPr>
            </w:pPr>
            <w:r>
              <w:rPr>
                <w:rFonts w:hint="eastAsia" w:ascii="宋体" w:hAnsi="宋体" w:eastAsia="宋体" w:cs="宋体"/>
                <w:b/>
                <w:szCs w:val="21"/>
              </w:rPr>
              <w:t>学时</w:t>
            </w:r>
          </w:p>
        </w:tc>
      </w:tr>
      <w:tr w14:paraId="76C2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F3F29D">
            <w:pPr>
              <w:spacing w:line="264" w:lineRule="auto"/>
              <w:jc w:val="center"/>
              <w:rPr>
                <w:rFonts w:hint="eastAsia" w:ascii="宋体" w:hAnsi="宋体" w:eastAsia="宋体" w:cs="宋体"/>
                <w:szCs w:val="21"/>
              </w:rPr>
            </w:pPr>
            <w:r>
              <w:rPr>
                <w:rFonts w:hint="eastAsia" w:ascii="宋体" w:hAnsi="宋体" w:eastAsia="宋体" w:cs="宋体"/>
                <w:szCs w:val="21"/>
              </w:rPr>
              <w:t>1.儿童文学的概念与特征</w:t>
            </w:r>
          </w:p>
        </w:tc>
        <w:tc>
          <w:tcPr>
            <w:tcW w:w="1701" w:type="dxa"/>
            <w:vAlign w:val="center"/>
          </w:tcPr>
          <w:p w14:paraId="4DAF67B9">
            <w:pPr>
              <w:spacing w:line="269" w:lineRule="auto"/>
              <w:jc w:val="left"/>
              <w:rPr>
                <w:rFonts w:hint="eastAsia" w:ascii="宋体" w:hAnsi="宋体" w:eastAsia="宋体" w:cs="宋体"/>
                <w:szCs w:val="21"/>
              </w:rPr>
            </w:pPr>
            <w:r>
              <w:rPr>
                <w:rFonts w:hint="eastAsia" w:ascii="宋体" w:hAnsi="宋体" w:eastAsia="宋体" w:cs="宋体"/>
                <w:szCs w:val="21"/>
              </w:rPr>
              <w:t>（1）儿童文学的概念与内容构成</w:t>
            </w:r>
          </w:p>
          <w:p w14:paraId="5D2AF341">
            <w:pPr>
              <w:spacing w:line="269" w:lineRule="auto"/>
              <w:jc w:val="left"/>
              <w:rPr>
                <w:rFonts w:hint="eastAsia" w:ascii="宋体" w:hAnsi="宋体" w:eastAsia="宋体" w:cs="宋体"/>
                <w:szCs w:val="21"/>
              </w:rPr>
            </w:pPr>
            <w:r>
              <w:rPr>
                <w:rFonts w:hint="eastAsia" w:ascii="宋体" w:hAnsi="宋体" w:eastAsia="宋体" w:cs="宋体"/>
                <w:szCs w:val="21"/>
              </w:rPr>
              <w:t>（2）儿童文学的最大特征在于富有儿童情趣</w:t>
            </w:r>
          </w:p>
          <w:p w14:paraId="53C2F6A7">
            <w:pPr>
              <w:spacing w:line="269" w:lineRule="auto"/>
              <w:jc w:val="left"/>
              <w:rPr>
                <w:rFonts w:hint="eastAsia" w:ascii="宋体" w:hAnsi="宋体" w:eastAsia="宋体" w:cs="宋体"/>
                <w:szCs w:val="21"/>
              </w:rPr>
            </w:pPr>
            <w:r>
              <w:rPr>
                <w:rFonts w:hint="eastAsia" w:ascii="宋体" w:hAnsi="宋体" w:eastAsia="宋体" w:cs="宋体"/>
                <w:szCs w:val="21"/>
              </w:rPr>
              <w:t>（3）儿童文学区别于成人文学的文体特征和美学特质</w:t>
            </w:r>
          </w:p>
          <w:p w14:paraId="797D5009">
            <w:pPr>
              <w:spacing w:line="269" w:lineRule="auto"/>
              <w:jc w:val="left"/>
              <w:rPr>
                <w:rFonts w:hint="eastAsia" w:ascii="宋体" w:hAnsi="宋体" w:eastAsia="宋体" w:cs="宋体"/>
                <w:szCs w:val="21"/>
              </w:rPr>
            </w:pPr>
            <w:r>
              <w:rPr>
                <w:rFonts w:hint="eastAsia" w:ascii="宋体" w:hAnsi="宋体" w:eastAsia="宋体" w:cs="宋体"/>
                <w:szCs w:val="21"/>
              </w:rPr>
              <w:t>（4）儿童文学与小学教育</w:t>
            </w:r>
          </w:p>
        </w:tc>
        <w:tc>
          <w:tcPr>
            <w:tcW w:w="1134" w:type="dxa"/>
            <w:vAlign w:val="center"/>
          </w:tcPr>
          <w:p w14:paraId="577474A3">
            <w:pPr>
              <w:spacing w:line="269" w:lineRule="auto"/>
              <w:jc w:val="center"/>
              <w:rPr>
                <w:rFonts w:hint="eastAsia" w:ascii="宋体" w:hAnsi="宋体" w:eastAsia="宋体" w:cs="宋体"/>
                <w:szCs w:val="21"/>
              </w:rPr>
            </w:pPr>
            <w:r>
              <w:rPr>
                <w:rFonts w:hint="eastAsia" w:ascii="宋体" w:hAnsi="宋体" w:eastAsia="宋体" w:cs="宋体"/>
                <w:szCs w:val="21"/>
              </w:rPr>
              <w:t>课程目标1</w:t>
            </w:r>
          </w:p>
        </w:tc>
        <w:tc>
          <w:tcPr>
            <w:tcW w:w="3260" w:type="dxa"/>
            <w:vAlign w:val="center"/>
          </w:tcPr>
          <w:p w14:paraId="29AB655C">
            <w:pPr>
              <w:spacing w:line="269" w:lineRule="auto"/>
              <w:jc w:val="left"/>
              <w:rPr>
                <w:rFonts w:hint="eastAsia" w:ascii="宋体" w:hAnsi="宋体" w:eastAsia="宋体" w:cs="宋体"/>
                <w:szCs w:val="21"/>
              </w:rPr>
            </w:pPr>
            <w:r>
              <w:rPr>
                <w:rFonts w:hint="eastAsia" w:ascii="宋体" w:hAnsi="宋体" w:eastAsia="宋体" w:cs="宋体"/>
                <w:szCs w:val="21"/>
              </w:rPr>
              <w:t>1.理解儿童文学的概念、儿童文学的主要内容构成；</w:t>
            </w:r>
          </w:p>
          <w:p w14:paraId="2F5C5396">
            <w:pPr>
              <w:spacing w:line="269" w:lineRule="auto"/>
              <w:jc w:val="left"/>
              <w:rPr>
                <w:rFonts w:hint="eastAsia" w:ascii="宋体" w:hAnsi="宋体" w:eastAsia="宋体" w:cs="宋体"/>
                <w:szCs w:val="21"/>
              </w:rPr>
            </w:pPr>
            <w:r>
              <w:rPr>
                <w:rFonts w:hint="eastAsia" w:ascii="宋体" w:hAnsi="宋体" w:eastAsia="宋体" w:cs="宋体"/>
                <w:szCs w:val="21"/>
              </w:rPr>
              <w:t>2.了解儿童文学的学科特点和最大的特征；</w:t>
            </w:r>
          </w:p>
          <w:p w14:paraId="03FF812E">
            <w:pPr>
              <w:spacing w:line="269" w:lineRule="auto"/>
              <w:jc w:val="left"/>
              <w:rPr>
                <w:rFonts w:hint="eastAsia" w:ascii="宋体" w:hAnsi="宋体" w:eastAsia="宋体" w:cs="宋体"/>
                <w:szCs w:val="21"/>
              </w:rPr>
            </w:pPr>
            <w:r>
              <w:rPr>
                <w:rFonts w:hint="eastAsia" w:ascii="宋体" w:hAnsi="宋体" w:eastAsia="宋体" w:cs="宋体"/>
                <w:szCs w:val="21"/>
              </w:rPr>
              <w:t>3.理解儿童文学区别于成人文学的文体特征（韵文性、直观性、幻想性、叙事性）和美学特质（纯真、稚拙、欢愉、变幻、质朴）；</w:t>
            </w:r>
          </w:p>
          <w:p w14:paraId="7C0B7376">
            <w:pPr>
              <w:spacing w:line="269" w:lineRule="auto"/>
              <w:jc w:val="left"/>
              <w:rPr>
                <w:rFonts w:hint="eastAsia" w:ascii="宋体" w:hAnsi="宋体" w:eastAsia="宋体" w:cs="宋体"/>
                <w:szCs w:val="21"/>
              </w:rPr>
            </w:pPr>
            <w:r>
              <w:rPr>
                <w:rFonts w:hint="eastAsia" w:ascii="宋体" w:hAnsi="宋体" w:eastAsia="宋体" w:cs="宋体"/>
                <w:szCs w:val="21"/>
              </w:rPr>
              <w:t>4.认识儿童文学对提高小学生素养，促进其审美心理结构不断完善和心理素质全面优化的重要作用。</w:t>
            </w:r>
          </w:p>
        </w:tc>
        <w:tc>
          <w:tcPr>
            <w:tcW w:w="1560" w:type="dxa"/>
            <w:vAlign w:val="center"/>
          </w:tcPr>
          <w:p w14:paraId="5E596715">
            <w:pPr>
              <w:spacing w:line="269" w:lineRule="auto"/>
              <w:jc w:val="left"/>
              <w:rPr>
                <w:rFonts w:hint="eastAsia" w:ascii="宋体" w:hAnsi="宋体" w:eastAsia="宋体" w:cs="宋体"/>
                <w:szCs w:val="21"/>
              </w:rPr>
            </w:pPr>
            <w:r>
              <w:rPr>
                <w:rFonts w:hint="eastAsia" w:ascii="宋体" w:hAnsi="宋体" w:eastAsia="宋体" w:cs="宋体"/>
                <w:szCs w:val="21"/>
              </w:rPr>
              <w:t>1.线上学习</w:t>
            </w:r>
          </w:p>
          <w:p w14:paraId="26D47C27">
            <w:pPr>
              <w:spacing w:line="269" w:lineRule="auto"/>
              <w:jc w:val="left"/>
              <w:rPr>
                <w:rFonts w:hint="eastAsia" w:ascii="宋体" w:hAnsi="宋体" w:eastAsia="宋体" w:cs="宋体"/>
                <w:szCs w:val="21"/>
              </w:rPr>
            </w:pPr>
            <w:r>
              <w:rPr>
                <w:rFonts w:hint="eastAsia" w:ascii="宋体" w:hAnsi="宋体" w:eastAsia="宋体" w:cs="宋体"/>
                <w:szCs w:val="21"/>
              </w:rPr>
              <w:t>2.多媒体教学3.课堂讨论</w:t>
            </w:r>
          </w:p>
          <w:p w14:paraId="40ABB0BF">
            <w:pPr>
              <w:spacing w:line="269" w:lineRule="auto"/>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15A85B4B">
            <w:pPr>
              <w:spacing w:line="269" w:lineRule="auto"/>
              <w:jc w:val="center"/>
              <w:rPr>
                <w:rFonts w:hint="eastAsia" w:ascii="宋体" w:hAnsi="宋体" w:eastAsia="宋体" w:cs="宋体"/>
                <w:szCs w:val="21"/>
              </w:rPr>
            </w:pPr>
            <w:r>
              <w:rPr>
                <w:rFonts w:hint="eastAsia" w:ascii="宋体" w:hAnsi="宋体" w:eastAsia="宋体" w:cs="宋体"/>
                <w:szCs w:val="21"/>
              </w:rPr>
              <w:t>3</w:t>
            </w:r>
          </w:p>
        </w:tc>
      </w:tr>
      <w:tr w14:paraId="748E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1DC0DC0">
            <w:pPr>
              <w:spacing w:line="264" w:lineRule="auto"/>
              <w:jc w:val="center"/>
              <w:rPr>
                <w:rFonts w:hint="eastAsia" w:ascii="宋体" w:hAnsi="宋体" w:eastAsia="宋体" w:cs="宋体"/>
                <w:szCs w:val="21"/>
              </w:rPr>
            </w:pPr>
          </w:p>
        </w:tc>
        <w:tc>
          <w:tcPr>
            <w:tcW w:w="8093" w:type="dxa"/>
            <w:gridSpan w:val="5"/>
            <w:vAlign w:val="center"/>
          </w:tcPr>
          <w:p w14:paraId="62085417">
            <w:pPr>
              <w:spacing w:line="269" w:lineRule="auto"/>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引导学生热爱儿童文学，培育童心，关注社会主义文艺中以人民为中心的优秀儿童文艺，积极传播、导读那些思想精深、艺术精湛、制作精良的讴歌党、讴歌祖国、讴歌人民、讴歌英雄的儿童文学精品力作。</w:t>
            </w:r>
          </w:p>
        </w:tc>
      </w:tr>
      <w:tr w14:paraId="7D5A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AF1C4FF">
            <w:pPr>
              <w:spacing w:line="264" w:lineRule="auto"/>
              <w:jc w:val="center"/>
              <w:rPr>
                <w:rFonts w:hint="eastAsia" w:ascii="宋体" w:hAnsi="宋体" w:eastAsia="宋体" w:cs="宋体"/>
                <w:szCs w:val="21"/>
              </w:rPr>
            </w:pPr>
            <w:r>
              <w:rPr>
                <w:rFonts w:hint="eastAsia" w:ascii="宋体" w:hAnsi="宋体" w:eastAsia="宋体" w:cs="宋体"/>
                <w:szCs w:val="21"/>
              </w:rPr>
              <w:t>2.儿童文学的发生与发展</w:t>
            </w:r>
          </w:p>
        </w:tc>
        <w:tc>
          <w:tcPr>
            <w:tcW w:w="1701" w:type="dxa"/>
            <w:vAlign w:val="center"/>
          </w:tcPr>
          <w:p w14:paraId="181F2276">
            <w:pPr>
              <w:spacing w:line="269" w:lineRule="auto"/>
              <w:jc w:val="left"/>
              <w:rPr>
                <w:rFonts w:hint="eastAsia" w:ascii="宋体" w:hAnsi="宋体" w:eastAsia="宋体" w:cs="宋体"/>
                <w:szCs w:val="21"/>
              </w:rPr>
            </w:pPr>
            <w:r>
              <w:rPr>
                <w:rFonts w:hint="eastAsia" w:ascii="宋体" w:hAnsi="宋体" w:eastAsia="宋体" w:cs="宋体"/>
                <w:szCs w:val="21"/>
              </w:rPr>
              <w:t>（1）儿童文学的发生及其历史流变</w:t>
            </w:r>
          </w:p>
          <w:p w14:paraId="7D79C8B4">
            <w:pPr>
              <w:spacing w:line="269" w:lineRule="auto"/>
              <w:jc w:val="left"/>
              <w:rPr>
                <w:rFonts w:hint="eastAsia" w:ascii="宋体" w:hAnsi="宋体" w:eastAsia="宋体" w:cs="宋体"/>
                <w:szCs w:val="21"/>
              </w:rPr>
            </w:pPr>
            <w:r>
              <w:rPr>
                <w:rFonts w:hint="eastAsia" w:ascii="宋体" w:hAnsi="宋体" w:eastAsia="宋体" w:cs="宋体"/>
                <w:szCs w:val="21"/>
              </w:rPr>
              <w:t>（2）中外儿童文学发展简史</w:t>
            </w:r>
          </w:p>
          <w:p w14:paraId="4415984D">
            <w:pPr>
              <w:spacing w:line="269" w:lineRule="auto"/>
              <w:jc w:val="left"/>
              <w:rPr>
                <w:rFonts w:hint="eastAsia" w:ascii="宋体" w:hAnsi="宋体" w:eastAsia="宋体" w:cs="宋体"/>
                <w:szCs w:val="21"/>
              </w:rPr>
            </w:pPr>
            <w:r>
              <w:rPr>
                <w:rFonts w:hint="eastAsia" w:ascii="宋体" w:hAnsi="宋体" w:eastAsia="宋体" w:cs="宋体"/>
                <w:szCs w:val="21"/>
              </w:rPr>
              <w:t>（3）儿童文学发展的当代形态及语境</w:t>
            </w:r>
          </w:p>
        </w:tc>
        <w:tc>
          <w:tcPr>
            <w:tcW w:w="1134" w:type="dxa"/>
            <w:vAlign w:val="center"/>
          </w:tcPr>
          <w:p w14:paraId="0B80A601">
            <w:pPr>
              <w:spacing w:line="269" w:lineRule="auto"/>
              <w:jc w:val="center"/>
              <w:rPr>
                <w:rFonts w:hint="eastAsia" w:ascii="宋体" w:hAnsi="宋体" w:eastAsia="宋体" w:cs="宋体"/>
                <w:szCs w:val="21"/>
              </w:rPr>
            </w:pPr>
            <w:r>
              <w:rPr>
                <w:rFonts w:hint="eastAsia" w:ascii="宋体" w:hAnsi="宋体" w:eastAsia="宋体" w:cs="宋体"/>
                <w:szCs w:val="21"/>
              </w:rPr>
              <w:t>课程目标1</w:t>
            </w:r>
          </w:p>
        </w:tc>
        <w:tc>
          <w:tcPr>
            <w:tcW w:w="3260" w:type="dxa"/>
            <w:vAlign w:val="center"/>
          </w:tcPr>
          <w:p w14:paraId="616D3AA5">
            <w:pPr>
              <w:spacing w:line="269" w:lineRule="auto"/>
              <w:jc w:val="left"/>
              <w:rPr>
                <w:rFonts w:hint="eastAsia" w:ascii="宋体" w:hAnsi="宋体" w:eastAsia="宋体" w:cs="宋体"/>
                <w:szCs w:val="21"/>
              </w:rPr>
            </w:pPr>
            <w:r>
              <w:rPr>
                <w:rFonts w:hint="eastAsia" w:ascii="宋体" w:hAnsi="宋体" w:eastAsia="宋体" w:cs="宋体"/>
                <w:szCs w:val="21"/>
              </w:rPr>
              <w:t>1.了解儿童文学孕育于早期民间文学，后经历了对民间文学的记录与改编，再发展到文人的独立创作</w:t>
            </w:r>
          </w:p>
          <w:p w14:paraId="366FB451">
            <w:pPr>
              <w:spacing w:line="269" w:lineRule="auto"/>
              <w:jc w:val="left"/>
              <w:rPr>
                <w:rFonts w:hint="eastAsia" w:ascii="宋体" w:hAnsi="宋体" w:eastAsia="宋体" w:cs="宋体"/>
                <w:szCs w:val="21"/>
              </w:rPr>
            </w:pPr>
            <w:r>
              <w:rPr>
                <w:rFonts w:hint="eastAsia" w:ascii="宋体" w:hAnsi="宋体" w:eastAsia="宋体" w:cs="宋体"/>
                <w:szCs w:val="21"/>
              </w:rPr>
              <w:t>2.了解中外儿童文学发展概况及重要作家作品</w:t>
            </w:r>
          </w:p>
          <w:p w14:paraId="7665623C">
            <w:pPr>
              <w:spacing w:line="269" w:lineRule="auto"/>
              <w:jc w:val="left"/>
              <w:rPr>
                <w:rFonts w:hint="eastAsia" w:ascii="宋体" w:hAnsi="宋体" w:eastAsia="宋体" w:cs="宋体"/>
                <w:szCs w:val="21"/>
              </w:rPr>
            </w:pPr>
            <w:r>
              <w:rPr>
                <w:rFonts w:hint="eastAsia" w:ascii="宋体" w:hAnsi="宋体" w:eastAsia="宋体" w:cs="宋体"/>
                <w:szCs w:val="21"/>
              </w:rPr>
              <w:t>3.理解当代商业文化、消费文化和新媒介文化语境下儿童文学发展所面临的挑战与机遇</w:t>
            </w:r>
          </w:p>
        </w:tc>
        <w:tc>
          <w:tcPr>
            <w:tcW w:w="1560" w:type="dxa"/>
            <w:vAlign w:val="center"/>
          </w:tcPr>
          <w:p w14:paraId="2A769DB2">
            <w:pPr>
              <w:spacing w:line="269" w:lineRule="auto"/>
              <w:jc w:val="left"/>
              <w:rPr>
                <w:rFonts w:hint="eastAsia" w:ascii="宋体" w:hAnsi="宋体" w:eastAsia="宋体" w:cs="宋体"/>
                <w:szCs w:val="21"/>
              </w:rPr>
            </w:pPr>
            <w:r>
              <w:rPr>
                <w:rFonts w:hint="eastAsia" w:ascii="宋体" w:hAnsi="宋体" w:eastAsia="宋体" w:cs="宋体"/>
                <w:szCs w:val="21"/>
              </w:rPr>
              <w:t>1.线上学习</w:t>
            </w:r>
          </w:p>
          <w:p w14:paraId="238C7FEC">
            <w:pPr>
              <w:spacing w:line="269" w:lineRule="auto"/>
              <w:jc w:val="left"/>
              <w:rPr>
                <w:rFonts w:hint="eastAsia" w:ascii="宋体" w:hAnsi="宋体" w:eastAsia="宋体" w:cs="宋体"/>
                <w:szCs w:val="21"/>
              </w:rPr>
            </w:pPr>
            <w:r>
              <w:rPr>
                <w:rFonts w:hint="eastAsia" w:ascii="宋体" w:hAnsi="宋体" w:eastAsia="宋体" w:cs="宋体"/>
                <w:szCs w:val="21"/>
              </w:rPr>
              <w:t>2.多媒体教学3.课堂讨论</w:t>
            </w:r>
          </w:p>
          <w:p w14:paraId="6014346F">
            <w:pPr>
              <w:spacing w:line="269" w:lineRule="auto"/>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022C6CE8">
            <w:pPr>
              <w:spacing w:line="269" w:lineRule="auto"/>
              <w:jc w:val="center"/>
              <w:rPr>
                <w:rFonts w:hint="eastAsia" w:ascii="宋体" w:hAnsi="宋体" w:eastAsia="宋体" w:cs="宋体"/>
                <w:szCs w:val="21"/>
              </w:rPr>
            </w:pPr>
            <w:r>
              <w:rPr>
                <w:rFonts w:hint="eastAsia" w:ascii="宋体" w:hAnsi="宋体" w:eastAsia="宋体" w:cs="宋体"/>
                <w:szCs w:val="21"/>
              </w:rPr>
              <w:t>3</w:t>
            </w:r>
          </w:p>
        </w:tc>
      </w:tr>
      <w:tr w14:paraId="35C1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9C36145">
            <w:pPr>
              <w:spacing w:line="264" w:lineRule="auto"/>
              <w:jc w:val="center"/>
              <w:rPr>
                <w:rFonts w:hint="eastAsia" w:ascii="宋体" w:hAnsi="宋体" w:eastAsia="宋体" w:cs="宋体"/>
                <w:szCs w:val="21"/>
              </w:rPr>
            </w:pPr>
          </w:p>
        </w:tc>
        <w:tc>
          <w:tcPr>
            <w:tcW w:w="8093" w:type="dxa"/>
            <w:gridSpan w:val="5"/>
            <w:vAlign w:val="center"/>
          </w:tcPr>
          <w:p w14:paraId="777745E4">
            <w:pPr>
              <w:spacing w:line="269" w:lineRule="auto"/>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引导学生关心儿童文学的年龄特点，做先进儿童文化的引领者，自觉倡导讲品味、讲格调、讲责任，自觉抵制低俗、庸俗、媚俗的儿童文艺。引导学生用更宽阔的艺术视野来评估古今中外的优秀儿童文化产品，准确把握其艺术精髓。</w:t>
            </w:r>
          </w:p>
        </w:tc>
      </w:tr>
      <w:tr w14:paraId="07D7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FF53E6A">
            <w:pPr>
              <w:spacing w:line="264" w:lineRule="auto"/>
              <w:jc w:val="center"/>
              <w:rPr>
                <w:rFonts w:hint="eastAsia" w:ascii="宋体" w:hAnsi="宋体" w:eastAsia="宋体" w:cs="宋体"/>
                <w:szCs w:val="21"/>
              </w:rPr>
            </w:pPr>
            <w:r>
              <w:rPr>
                <w:rFonts w:hint="eastAsia" w:ascii="宋体" w:hAnsi="宋体" w:eastAsia="宋体" w:cs="宋体"/>
                <w:szCs w:val="21"/>
              </w:rPr>
              <w:t>3.儿童文学作家论、读者论</w:t>
            </w:r>
          </w:p>
          <w:p w14:paraId="0E6854DC">
            <w:pPr>
              <w:spacing w:line="264" w:lineRule="auto"/>
              <w:jc w:val="center"/>
              <w:rPr>
                <w:rFonts w:hint="eastAsia" w:ascii="宋体" w:hAnsi="宋体" w:eastAsia="宋体" w:cs="宋体"/>
                <w:szCs w:val="21"/>
              </w:rPr>
            </w:pPr>
          </w:p>
        </w:tc>
        <w:tc>
          <w:tcPr>
            <w:tcW w:w="1701" w:type="dxa"/>
            <w:vAlign w:val="center"/>
          </w:tcPr>
          <w:p w14:paraId="538C220F">
            <w:pPr>
              <w:spacing w:line="269" w:lineRule="auto"/>
              <w:jc w:val="left"/>
              <w:rPr>
                <w:rFonts w:hint="eastAsia" w:ascii="宋体" w:hAnsi="宋体" w:eastAsia="宋体" w:cs="宋体"/>
                <w:szCs w:val="21"/>
              </w:rPr>
            </w:pPr>
            <w:r>
              <w:rPr>
                <w:rFonts w:hint="eastAsia" w:ascii="宋体" w:hAnsi="宋体" w:eastAsia="宋体" w:cs="宋体"/>
                <w:szCs w:val="21"/>
              </w:rPr>
              <w:t>（1）儿童文学创作的特殊性</w:t>
            </w:r>
          </w:p>
          <w:p w14:paraId="420384BF">
            <w:pPr>
              <w:spacing w:line="269" w:lineRule="auto"/>
              <w:jc w:val="left"/>
              <w:rPr>
                <w:rFonts w:hint="eastAsia" w:ascii="宋体" w:hAnsi="宋体" w:eastAsia="宋体" w:cs="宋体"/>
                <w:szCs w:val="21"/>
              </w:rPr>
            </w:pPr>
            <w:r>
              <w:rPr>
                <w:rFonts w:hint="eastAsia" w:ascii="宋体" w:hAnsi="宋体" w:eastAsia="宋体" w:cs="宋体"/>
                <w:szCs w:val="21"/>
              </w:rPr>
              <w:t>（2）儿童文学的双重读者</w:t>
            </w:r>
          </w:p>
          <w:p w14:paraId="1C08716D">
            <w:pPr>
              <w:spacing w:line="269" w:lineRule="auto"/>
              <w:jc w:val="left"/>
              <w:rPr>
                <w:rFonts w:hint="eastAsia" w:ascii="宋体" w:hAnsi="宋体" w:eastAsia="宋体" w:cs="宋体"/>
                <w:szCs w:val="21"/>
              </w:rPr>
            </w:pPr>
            <w:r>
              <w:rPr>
                <w:rFonts w:hint="eastAsia" w:ascii="宋体" w:hAnsi="宋体" w:eastAsia="宋体" w:cs="宋体"/>
                <w:szCs w:val="21"/>
              </w:rPr>
              <w:t>（3）儿童的审美能力及与成人审美的区别</w:t>
            </w:r>
          </w:p>
        </w:tc>
        <w:tc>
          <w:tcPr>
            <w:tcW w:w="1134" w:type="dxa"/>
            <w:vAlign w:val="center"/>
          </w:tcPr>
          <w:p w14:paraId="0AF41481">
            <w:pPr>
              <w:spacing w:line="269" w:lineRule="auto"/>
              <w:jc w:val="center"/>
              <w:rPr>
                <w:rFonts w:hint="eastAsia" w:ascii="宋体" w:hAnsi="宋体" w:eastAsia="宋体" w:cs="宋体"/>
                <w:szCs w:val="21"/>
              </w:rPr>
            </w:pPr>
            <w:r>
              <w:rPr>
                <w:rFonts w:hint="eastAsia" w:ascii="宋体" w:hAnsi="宋体" w:eastAsia="宋体" w:cs="宋体"/>
                <w:szCs w:val="21"/>
              </w:rPr>
              <w:t>课程目标1、2</w:t>
            </w:r>
          </w:p>
        </w:tc>
        <w:tc>
          <w:tcPr>
            <w:tcW w:w="3260" w:type="dxa"/>
            <w:vAlign w:val="center"/>
          </w:tcPr>
          <w:p w14:paraId="50C34B4A">
            <w:pPr>
              <w:spacing w:line="269" w:lineRule="auto"/>
              <w:jc w:val="left"/>
              <w:rPr>
                <w:rFonts w:hint="eastAsia" w:ascii="宋体" w:hAnsi="宋体" w:eastAsia="宋体" w:cs="宋体"/>
                <w:szCs w:val="21"/>
              </w:rPr>
            </w:pPr>
            <w:r>
              <w:rPr>
                <w:rFonts w:hint="eastAsia" w:ascii="宋体" w:hAnsi="宋体" w:eastAsia="宋体" w:cs="宋体"/>
                <w:szCs w:val="21"/>
              </w:rPr>
              <w:t>1.全面认识儿童文学也是一种特殊的“自我表现”；</w:t>
            </w:r>
          </w:p>
          <w:p w14:paraId="6F2C3916">
            <w:pPr>
              <w:spacing w:line="269" w:lineRule="auto"/>
              <w:jc w:val="left"/>
              <w:rPr>
                <w:rFonts w:hint="eastAsia" w:ascii="宋体" w:hAnsi="宋体" w:eastAsia="宋体" w:cs="宋体"/>
                <w:szCs w:val="21"/>
              </w:rPr>
            </w:pPr>
            <w:r>
              <w:rPr>
                <w:rFonts w:hint="eastAsia" w:ascii="宋体" w:hAnsi="宋体" w:eastAsia="宋体" w:cs="宋体"/>
                <w:szCs w:val="21"/>
              </w:rPr>
              <w:t>2.科学地认识儿童文学作家要有儿童的心性、对儿童文学有特殊精神需求、喜好简化的艺术形式，具备面向并贴近儿童生活的感受力和表现力；</w:t>
            </w:r>
          </w:p>
          <w:p w14:paraId="0E96EDB7">
            <w:pPr>
              <w:spacing w:line="269" w:lineRule="auto"/>
              <w:jc w:val="left"/>
              <w:rPr>
                <w:rFonts w:hint="eastAsia" w:ascii="宋体" w:hAnsi="宋体" w:eastAsia="宋体" w:cs="宋体"/>
                <w:szCs w:val="21"/>
              </w:rPr>
            </w:pPr>
            <w:r>
              <w:rPr>
                <w:rFonts w:hint="eastAsia" w:ascii="宋体" w:hAnsi="宋体" w:eastAsia="宋体" w:cs="宋体"/>
                <w:szCs w:val="21"/>
              </w:rPr>
              <w:t>3.了解儿童文学读者的双重性特点及其对儿童文学创作的影响；</w:t>
            </w:r>
          </w:p>
          <w:p w14:paraId="4F2A4E89">
            <w:pPr>
              <w:spacing w:line="269" w:lineRule="auto"/>
              <w:jc w:val="left"/>
              <w:rPr>
                <w:rFonts w:hint="eastAsia" w:ascii="宋体" w:hAnsi="宋体" w:eastAsia="宋体" w:cs="宋体"/>
                <w:szCs w:val="21"/>
              </w:rPr>
            </w:pPr>
            <w:r>
              <w:rPr>
                <w:rFonts w:hint="eastAsia" w:ascii="宋体" w:hAnsi="宋体" w:eastAsia="宋体" w:cs="宋体"/>
                <w:szCs w:val="21"/>
              </w:rPr>
              <w:t>4.掌握儿童读者的年龄阶段性特点及儿童读者超理念审美、远距离审美的特性。</w:t>
            </w:r>
          </w:p>
        </w:tc>
        <w:tc>
          <w:tcPr>
            <w:tcW w:w="1560" w:type="dxa"/>
            <w:vAlign w:val="center"/>
          </w:tcPr>
          <w:p w14:paraId="2513BB6F">
            <w:pPr>
              <w:spacing w:line="269" w:lineRule="auto"/>
              <w:jc w:val="left"/>
              <w:rPr>
                <w:rFonts w:hint="eastAsia" w:ascii="宋体" w:hAnsi="宋体" w:eastAsia="宋体" w:cs="宋体"/>
                <w:szCs w:val="21"/>
              </w:rPr>
            </w:pPr>
            <w:r>
              <w:rPr>
                <w:rFonts w:hint="eastAsia" w:ascii="宋体" w:hAnsi="宋体" w:eastAsia="宋体" w:cs="宋体"/>
                <w:szCs w:val="21"/>
              </w:rPr>
              <w:t>1.线上学习</w:t>
            </w:r>
          </w:p>
          <w:p w14:paraId="010A46C1">
            <w:pPr>
              <w:spacing w:line="269" w:lineRule="auto"/>
              <w:jc w:val="left"/>
              <w:rPr>
                <w:rFonts w:hint="eastAsia" w:ascii="宋体" w:hAnsi="宋体" w:eastAsia="宋体" w:cs="宋体"/>
                <w:szCs w:val="21"/>
              </w:rPr>
            </w:pPr>
            <w:r>
              <w:rPr>
                <w:rFonts w:hint="eastAsia" w:ascii="宋体" w:hAnsi="宋体" w:eastAsia="宋体" w:cs="宋体"/>
                <w:szCs w:val="21"/>
              </w:rPr>
              <w:t>2.多媒体教学3.课堂讨论</w:t>
            </w:r>
          </w:p>
          <w:p w14:paraId="0248FAC9">
            <w:pPr>
              <w:spacing w:line="269" w:lineRule="auto"/>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44C9ABFD">
            <w:pPr>
              <w:spacing w:line="269" w:lineRule="auto"/>
              <w:jc w:val="center"/>
              <w:rPr>
                <w:rFonts w:hint="eastAsia" w:ascii="宋体" w:hAnsi="宋体" w:eastAsia="宋体" w:cs="宋体"/>
                <w:szCs w:val="21"/>
              </w:rPr>
            </w:pPr>
            <w:r>
              <w:rPr>
                <w:rFonts w:hint="eastAsia" w:ascii="宋体" w:hAnsi="宋体" w:eastAsia="宋体" w:cs="宋体"/>
                <w:szCs w:val="21"/>
              </w:rPr>
              <w:t>3</w:t>
            </w:r>
          </w:p>
        </w:tc>
      </w:tr>
      <w:tr w14:paraId="6B4B2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193F9D8">
            <w:pPr>
              <w:spacing w:line="264" w:lineRule="auto"/>
              <w:jc w:val="center"/>
              <w:rPr>
                <w:rFonts w:hint="eastAsia" w:ascii="宋体" w:hAnsi="宋体" w:eastAsia="宋体" w:cs="宋体"/>
                <w:szCs w:val="21"/>
              </w:rPr>
            </w:pPr>
          </w:p>
        </w:tc>
        <w:tc>
          <w:tcPr>
            <w:tcW w:w="8093" w:type="dxa"/>
            <w:gridSpan w:val="5"/>
            <w:vAlign w:val="center"/>
          </w:tcPr>
          <w:p w14:paraId="24E47437">
            <w:pPr>
              <w:spacing w:line="269" w:lineRule="auto"/>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引导学生关注儿童文艺创作中德艺双馨的名家大师们的作品，自觉向儿童读者推广那些深入生活、扎根人民而创作出来的无愧于时代的儿童文艺精品力作。</w:t>
            </w:r>
          </w:p>
        </w:tc>
      </w:tr>
      <w:tr w14:paraId="02CD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ADCDB8">
            <w:pPr>
              <w:spacing w:line="276" w:lineRule="auto"/>
              <w:jc w:val="center"/>
              <w:rPr>
                <w:rFonts w:hint="eastAsia" w:ascii="宋体" w:hAnsi="宋体" w:eastAsia="宋体" w:cs="宋体"/>
                <w:szCs w:val="21"/>
              </w:rPr>
            </w:pPr>
            <w:r>
              <w:rPr>
                <w:rFonts w:hint="eastAsia" w:ascii="宋体" w:hAnsi="宋体" w:eastAsia="宋体" w:cs="宋体"/>
                <w:szCs w:val="21"/>
              </w:rPr>
              <w:t>4.儿童文学与儿童文化、哲学、教育学</w:t>
            </w:r>
          </w:p>
        </w:tc>
        <w:tc>
          <w:tcPr>
            <w:tcW w:w="1701" w:type="dxa"/>
            <w:vAlign w:val="center"/>
          </w:tcPr>
          <w:p w14:paraId="72B9D7E5">
            <w:pPr>
              <w:spacing w:line="276" w:lineRule="auto"/>
              <w:jc w:val="left"/>
              <w:rPr>
                <w:rFonts w:hint="eastAsia" w:ascii="宋体" w:hAnsi="宋体" w:eastAsia="宋体" w:cs="宋体"/>
                <w:szCs w:val="21"/>
              </w:rPr>
            </w:pPr>
            <w:r>
              <w:rPr>
                <w:rFonts w:hint="eastAsia" w:ascii="宋体" w:hAnsi="宋体" w:eastAsia="宋体" w:cs="宋体"/>
                <w:szCs w:val="21"/>
              </w:rPr>
              <w:t>（1）儿童文学与儿童观、儿童文化</w:t>
            </w:r>
          </w:p>
          <w:p w14:paraId="5E9C540A">
            <w:pPr>
              <w:spacing w:line="276" w:lineRule="auto"/>
              <w:jc w:val="left"/>
              <w:rPr>
                <w:rFonts w:hint="eastAsia" w:ascii="宋体" w:hAnsi="宋体" w:eastAsia="宋体" w:cs="宋体"/>
                <w:szCs w:val="21"/>
              </w:rPr>
            </w:pPr>
            <w:r>
              <w:rPr>
                <w:rFonts w:hint="eastAsia" w:ascii="宋体" w:hAnsi="宋体" w:eastAsia="宋体" w:cs="宋体"/>
                <w:szCs w:val="21"/>
              </w:rPr>
              <w:t>（2）儿童文学与哲学、教育学</w:t>
            </w:r>
          </w:p>
        </w:tc>
        <w:tc>
          <w:tcPr>
            <w:tcW w:w="1134" w:type="dxa"/>
            <w:vAlign w:val="center"/>
          </w:tcPr>
          <w:p w14:paraId="2E50FA8C">
            <w:pPr>
              <w:spacing w:line="276" w:lineRule="auto"/>
              <w:jc w:val="center"/>
              <w:rPr>
                <w:rFonts w:hint="eastAsia" w:ascii="宋体" w:hAnsi="宋体" w:eastAsia="宋体" w:cs="宋体"/>
                <w:szCs w:val="21"/>
              </w:rPr>
            </w:pPr>
            <w:r>
              <w:rPr>
                <w:rFonts w:hint="eastAsia" w:ascii="宋体" w:hAnsi="宋体" w:eastAsia="宋体" w:cs="宋体"/>
                <w:szCs w:val="21"/>
              </w:rPr>
              <w:t>课程目标1、3</w:t>
            </w:r>
          </w:p>
        </w:tc>
        <w:tc>
          <w:tcPr>
            <w:tcW w:w="3260" w:type="dxa"/>
            <w:vAlign w:val="center"/>
          </w:tcPr>
          <w:p w14:paraId="73A88A73">
            <w:pPr>
              <w:spacing w:line="276" w:lineRule="auto"/>
              <w:jc w:val="left"/>
              <w:rPr>
                <w:rFonts w:hint="eastAsia" w:ascii="宋体" w:hAnsi="宋体" w:eastAsia="宋体" w:cs="宋体"/>
                <w:szCs w:val="21"/>
              </w:rPr>
            </w:pPr>
            <w:r>
              <w:rPr>
                <w:rFonts w:hint="eastAsia" w:ascii="宋体" w:hAnsi="宋体" w:eastAsia="宋体" w:cs="宋体"/>
                <w:szCs w:val="21"/>
              </w:rPr>
              <w:t>1.理解并掌握儿童观的发展带来的儿童文化变迁及对儿童文学书写的影响</w:t>
            </w:r>
          </w:p>
          <w:p w14:paraId="23D44375">
            <w:pPr>
              <w:spacing w:line="276" w:lineRule="auto"/>
              <w:jc w:val="left"/>
              <w:rPr>
                <w:rFonts w:hint="eastAsia" w:ascii="宋体" w:hAnsi="宋体" w:eastAsia="宋体" w:cs="宋体"/>
                <w:szCs w:val="21"/>
              </w:rPr>
            </w:pPr>
            <w:r>
              <w:rPr>
                <w:rFonts w:hint="eastAsia" w:ascii="宋体" w:hAnsi="宋体" w:eastAsia="宋体" w:cs="宋体"/>
                <w:szCs w:val="21"/>
              </w:rPr>
              <w:t>2.了解儿童文学中蕴含的哲学精神、教育性和伦理困境</w:t>
            </w:r>
          </w:p>
        </w:tc>
        <w:tc>
          <w:tcPr>
            <w:tcW w:w="1560" w:type="dxa"/>
            <w:vAlign w:val="center"/>
          </w:tcPr>
          <w:p w14:paraId="212CA5B7">
            <w:pPr>
              <w:spacing w:line="276" w:lineRule="auto"/>
              <w:jc w:val="left"/>
              <w:rPr>
                <w:rFonts w:hint="eastAsia" w:ascii="宋体" w:hAnsi="宋体" w:eastAsia="宋体" w:cs="宋体"/>
                <w:szCs w:val="21"/>
              </w:rPr>
            </w:pPr>
            <w:r>
              <w:rPr>
                <w:rFonts w:hint="eastAsia" w:ascii="宋体" w:hAnsi="宋体" w:eastAsia="宋体" w:cs="宋体"/>
                <w:szCs w:val="21"/>
              </w:rPr>
              <w:t>1.线上学习</w:t>
            </w:r>
          </w:p>
          <w:p w14:paraId="48DE1886">
            <w:pPr>
              <w:spacing w:line="276" w:lineRule="auto"/>
              <w:jc w:val="left"/>
              <w:rPr>
                <w:rFonts w:hint="eastAsia" w:ascii="宋体" w:hAnsi="宋体" w:eastAsia="宋体" w:cs="宋体"/>
                <w:szCs w:val="21"/>
              </w:rPr>
            </w:pPr>
            <w:r>
              <w:rPr>
                <w:rFonts w:hint="eastAsia" w:ascii="宋体" w:hAnsi="宋体" w:eastAsia="宋体" w:cs="宋体"/>
                <w:szCs w:val="21"/>
              </w:rPr>
              <w:t>2.多媒体教学3.课堂讨论</w:t>
            </w:r>
          </w:p>
          <w:p w14:paraId="0B5FAB9E">
            <w:pPr>
              <w:spacing w:line="276" w:lineRule="auto"/>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70478531">
            <w:pPr>
              <w:spacing w:line="276" w:lineRule="auto"/>
              <w:jc w:val="center"/>
              <w:rPr>
                <w:rFonts w:hint="eastAsia" w:ascii="宋体" w:hAnsi="宋体" w:eastAsia="宋体" w:cs="宋体"/>
                <w:szCs w:val="21"/>
              </w:rPr>
            </w:pPr>
            <w:r>
              <w:rPr>
                <w:rFonts w:hint="eastAsia" w:ascii="宋体" w:hAnsi="宋体" w:eastAsia="宋体" w:cs="宋体"/>
                <w:szCs w:val="21"/>
              </w:rPr>
              <w:t>3</w:t>
            </w:r>
          </w:p>
        </w:tc>
      </w:tr>
      <w:tr w14:paraId="4009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07B210">
            <w:pPr>
              <w:spacing w:line="276" w:lineRule="auto"/>
              <w:jc w:val="center"/>
              <w:rPr>
                <w:rFonts w:hint="eastAsia" w:ascii="宋体" w:hAnsi="宋体" w:eastAsia="宋体" w:cs="宋体"/>
                <w:szCs w:val="21"/>
              </w:rPr>
            </w:pPr>
          </w:p>
        </w:tc>
        <w:tc>
          <w:tcPr>
            <w:tcW w:w="8093" w:type="dxa"/>
            <w:gridSpan w:val="5"/>
            <w:vAlign w:val="center"/>
          </w:tcPr>
          <w:p w14:paraId="3346D93F">
            <w:pPr>
              <w:spacing w:line="276" w:lineRule="auto"/>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引导学生关注并重视儿童文学中的哲学智慧和教育功能，增强运用儿童文学悄无声息地进入孩子的精神世界，撒下智慧的种子，助力孩子身心健康成长的意识和能力。</w:t>
            </w:r>
          </w:p>
        </w:tc>
      </w:tr>
      <w:tr w14:paraId="2F2F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6D12E3D">
            <w:pPr>
              <w:spacing w:line="276" w:lineRule="auto"/>
              <w:jc w:val="center"/>
              <w:rPr>
                <w:rFonts w:hint="eastAsia" w:ascii="宋体" w:hAnsi="宋体" w:eastAsia="宋体" w:cs="宋体"/>
                <w:szCs w:val="21"/>
              </w:rPr>
            </w:pPr>
            <w:r>
              <w:rPr>
                <w:rFonts w:hint="eastAsia" w:ascii="宋体" w:hAnsi="宋体" w:eastAsia="宋体" w:cs="宋体"/>
                <w:szCs w:val="21"/>
              </w:rPr>
              <w:t>5.儿童文学的艺术：韵律、游戏、幽默、荒诞</w:t>
            </w:r>
          </w:p>
        </w:tc>
        <w:tc>
          <w:tcPr>
            <w:tcW w:w="1701" w:type="dxa"/>
            <w:vAlign w:val="center"/>
          </w:tcPr>
          <w:p w14:paraId="11E7A3E5">
            <w:pPr>
              <w:spacing w:line="276" w:lineRule="auto"/>
              <w:jc w:val="left"/>
              <w:rPr>
                <w:rFonts w:hint="eastAsia" w:ascii="宋体" w:hAnsi="宋体" w:eastAsia="宋体" w:cs="宋体"/>
                <w:szCs w:val="21"/>
              </w:rPr>
            </w:pPr>
            <w:r>
              <w:rPr>
                <w:rFonts w:hint="eastAsia" w:ascii="宋体" w:hAnsi="宋体" w:eastAsia="宋体" w:cs="宋体"/>
                <w:szCs w:val="21"/>
              </w:rPr>
              <w:t>（1）儿童文学的韵律艺术</w:t>
            </w:r>
          </w:p>
          <w:p w14:paraId="7E873179">
            <w:pPr>
              <w:spacing w:line="276" w:lineRule="auto"/>
              <w:jc w:val="left"/>
              <w:rPr>
                <w:rFonts w:hint="eastAsia" w:ascii="宋体" w:hAnsi="宋体" w:eastAsia="宋体" w:cs="宋体"/>
                <w:szCs w:val="21"/>
              </w:rPr>
            </w:pPr>
            <w:r>
              <w:rPr>
                <w:rFonts w:hint="eastAsia" w:ascii="宋体" w:hAnsi="宋体" w:eastAsia="宋体" w:cs="宋体"/>
                <w:szCs w:val="21"/>
              </w:rPr>
              <w:t>（2）儿童文学的游戏艺术</w:t>
            </w:r>
          </w:p>
          <w:p w14:paraId="2381F262">
            <w:pPr>
              <w:spacing w:line="276" w:lineRule="auto"/>
              <w:jc w:val="left"/>
              <w:rPr>
                <w:rFonts w:hint="eastAsia" w:ascii="宋体" w:hAnsi="宋体" w:eastAsia="宋体" w:cs="宋体"/>
                <w:szCs w:val="21"/>
              </w:rPr>
            </w:pPr>
            <w:r>
              <w:rPr>
                <w:rFonts w:hint="eastAsia" w:ascii="宋体" w:hAnsi="宋体" w:eastAsia="宋体" w:cs="宋体"/>
                <w:szCs w:val="21"/>
              </w:rPr>
              <w:t>（3）儿童文学的幽默艺术</w:t>
            </w:r>
          </w:p>
          <w:p w14:paraId="4B3C6428">
            <w:pPr>
              <w:spacing w:line="276" w:lineRule="auto"/>
              <w:jc w:val="left"/>
              <w:rPr>
                <w:rFonts w:hint="eastAsia" w:ascii="宋体" w:hAnsi="宋体" w:eastAsia="宋体" w:cs="宋体"/>
                <w:szCs w:val="21"/>
              </w:rPr>
            </w:pPr>
            <w:r>
              <w:rPr>
                <w:rFonts w:hint="eastAsia" w:ascii="宋体" w:hAnsi="宋体" w:eastAsia="宋体" w:cs="宋体"/>
                <w:szCs w:val="21"/>
              </w:rPr>
              <w:t>（4）儿童文学的荒诞艺术</w:t>
            </w:r>
          </w:p>
        </w:tc>
        <w:tc>
          <w:tcPr>
            <w:tcW w:w="1134" w:type="dxa"/>
            <w:vAlign w:val="center"/>
          </w:tcPr>
          <w:p w14:paraId="66DB221A">
            <w:pPr>
              <w:spacing w:line="276" w:lineRule="auto"/>
              <w:jc w:val="center"/>
              <w:rPr>
                <w:rFonts w:hint="eastAsia" w:ascii="宋体" w:hAnsi="宋体" w:eastAsia="宋体" w:cs="宋体"/>
                <w:szCs w:val="21"/>
              </w:rPr>
            </w:pPr>
            <w:r>
              <w:rPr>
                <w:rFonts w:hint="eastAsia" w:ascii="宋体" w:hAnsi="宋体" w:eastAsia="宋体" w:cs="宋体"/>
                <w:szCs w:val="21"/>
              </w:rPr>
              <w:t>课程目标1、3</w:t>
            </w:r>
          </w:p>
        </w:tc>
        <w:tc>
          <w:tcPr>
            <w:tcW w:w="3260" w:type="dxa"/>
            <w:vAlign w:val="center"/>
          </w:tcPr>
          <w:p w14:paraId="7FB83BE6">
            <w:pPr>
              <w:spacing w:line="276" w:lineRule="auto"/>
              <w:jc w:val="left"/>
              <w:rPr>
                <w:rFonts w:hint="eastAsia" w:ascii="宋体" w:hAnsi="宋体" w:eastAsia="宋体" w:cs="宋体"/>
                <w:szCs w:val="21"/>
              </w:rPr>
            </w:pPr>
            <w:r>
              <w:rPr>
                <w:rFonts w:hint="eastAsia" w:ascii="宋体" w:hAnsi="宋体" w:eastAsia="宋体" w:cs="宋体"/>
                <w:szCs w:val="21"/>
              </w:rPr>
              <w:t>1.熟悉儿童与韵律的关系，了解把握儿童文学的语言韵律与故事韵律；</w:t>
            </w:r>
          </w:p>
          <w:p w14:paraId="59DEDB71">
            <w:pPr>
              <w:spacing w:line="276" w:lineRule="auto"/>
              <w:jc w:val="left"/>
              <w:rPr>
                <w:rFonts w:hint="eastAsia" w:ascii="宋体" w:hAnsi="宋体" w:eastAsia="宋体" w:cs="宋体"/>
                <w:szCs w:val="21"/>
              </w:rPr>
            </w:pPr>
            <w:r>
              <w:rPr>
                <w:rFonts w:hint="eastAsia" w:ascii="宋体" w:hAnsi="宋体" w:eastAsia="宋体" w:cs="宋体"/>
                <w:szCs w:val="21"/>
              </w:rPr>
              <w:t>2.熟悉儿童与游戏的关系，理解儿童文学的游戏性，把握儿童文学中的游戏精神；</w:t>
            </w:r>
          </w:p>
          <w:p w14:paraId="559565AD">
            <w:pPr>
              <w:spacing w:line="276" w:lineRule="auto"/>
              <w:jc w:val="left"/>
              <w:rPr>
                <w:rFonts w:hint="eastAsia" w:ascii="宋体" w:hAnsi="宋体" w:eastAsia="宋体" w:cs="宋体"/>
                <w:szCs w:val="21"/>
              </w:rPr>
            </w:pPr>
            <w:r>
              <w:rPr>
                <w:rFonts w:hint="eastAsia" w:ascii="宋体" w:hAnsi="宋体" w:eastAsia="宋体" w:cs="宋体"/>
                <w:szCs w:val="21"/>
              </w:rPr>
              <w:t>3.了解儿童文学的幽默传统及其手法，理解儿童文学的幽默品格</w:t>
            </w:r>
          </w:p>
          <w:p w14:paraId="5F6A7FB4">
            <w:pPr>
              <w:spacing w:line="276" w:lineRule="auto"/>
              <w:jc w:val="left"/>
              <w:rPr>
                <w:rFonts w:hint="eastAsia" w:ascii="宋体" w:hAnsi="宋体" w:eastAsia="宋体" w:cs="宋体"/>
                <w:szCs w:val="21"/>
              </w:rPr>
            </w:pPr>
            <w:r>
              <w:rPr>
                <w:rFonts w:hint="eastAsia" w:ascii="宋体" w:hAnsi="宋体" w:eastAsia="宋体" w:cs="宋体"/>
                <w:szCs w:val="21"/>
              </w:rPr>
              <w:t>4.了解荒诞及其意义，理解童年荒诞艺术的特征</w:t>
            </w:r>
          </w:p>
        </w:tc>
        <w:tc>
          <w:tcPr>
            <w:tcW w:w="1560" w:type="dxa"/>
            <w:vAlign w:val="center"/>
          </w:tcPr>
          <w:p w14:paraId="13B1FEC6">
            <w:pPr>
              <w:spacing w:line="276" w:lineRule="auto"/>
              <w:jc w:val="left"/>
              <w:rPr>
                <w:rFonts w:hint="eastAsia" w:ascii="宋体" w:hAnsi="宋体" w:eastAsia="宋体" w:cs="宋体"/>
                <w:szCs w:val="21"/>
              </w:rPr>
            </w:pPr>
            <w:r>
              <w:rPr>
                <w:rFonts w:hint="eastAsia" w:ascii="宋体" w:hAnsi="宋体" w:eastAsia="宋体" w:cs="宋体"/>
                <w:szCs w:val="21"/>
              </w:rPr>
              <w:t>1.线上学习</w:t>
            </w:r>
          </w:p>
          <w:p w14:paraId="2E87B85D">
            <w:pPr>
              <w:spacing w:line="276" w:lineRule="auto"/>
              <w:jc w:val="left"/>
              <w:rPr>
                <w:rFonts w:hint="eastAsia" w:ascii="宋体" w:hAnsi="宋体" w:eastAsia="宋体" w:cs="宋体"/>
                <w:szCs w:val="21"/>
              </w:rPr>
            </w:pPr>
            <w:r>
              <w:rPr>
                <w:rFonts w:hint="eastAsia" w:ascii="宋体" w:hAnsi="宋体" w:eastAsia="宋体" w:cs="宋体"/>
                <w:szCs w:val="21"/>
              </w:rPr>
              <w:t>2.多媒体教学3.课堂讨论</w:t>
            </w:r>
          </w:p>
          <w:p w14:paraId="27B897BC">
            <w:pPr>
              <w:spacing w:line="276" w:lineRule="auto"/>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6FA1D9DE">
            <w:pPr>
              <w:spacing w:line="276" w:lineRule="auto"/>
              <w:jc w:val="center"/>
              <w:rPr>
                <w:rFonts w:hint="eastAsia" w:ascii="宋体" w:hAnsi="宋体" w:eastAsia="宋体" w:cs="宋体"/>
                <w:szCs w:val="21"/>
              </w:rPr>
            </w:pPr>
            <w:r>
              <w:rPr>
                <w:rFonts w:hint="eastAsia" w:ascii="宋体" w:hAnsi="宋体" w:eastAsia="宋体" w:cs="宋体"/>
                <w:szCs w:val="21"/>
              </w:rPr>
              <w:t>3</w:t>
            </w:r>
          </w:p>
        </w:tc>
      </w:tr>
      <w:tr w14:paraId="4E470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E940909">
            <w:pPr>
              <w:spacing w:line="276" w:lineRule="auto"/>
              <w:jc w:val="center"/>
              <w:rPr>
                <w:rFonts w:hint="eastAsia" w:ascii="宋体" w:hAnsi="宋体" w:eastAsia="宋体" w:cs="宋体"/>
                <w:szCs w:val="21"/>
              </w:rPr>
            </w:pPr>
          </w:p>
        </w:tc>
        <w:tc>
          <w:tcPr>
            <w:tcW w:w="8093" w:type="dxa"/>
            <w:gridSpan w:val="5"/>
            <w:vAlign w:val="center"/>
          </w:tcPr>
          <w:p w14:paraId="702B757C">
            <w:pPr>
              <w:spacing w:line="276" w:lineRule="auto"/>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引导学生既要尊重当代西方艺术中的各种手法，又要重视我国传统文学的价值，坚守在继承中求创新，在创新中求发展的基本方向。</w:t>
            </w:r>
          </w:p>
        </w:tc>
      </w:tr>
      <w:tr w14:paraId="2BC1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4E60CC3">
            <w:pPr>
              <w:spacing w:line="276" w:lineRule="auto"/>
              <w:jc w:val="center"/>
              <w:rPr>
                <w:rFonts w:hint="eastAsia" w:ascii="宋体" w:hAnsi="宋体" w:eastAsia="宋体" w:cs="宋体"/>
                <w:szCs w:val="21"/>
              </w:rPr>
            </w:pPr>
            <w:r>
              <w:rPr>
                <w:rFonts w:hint="eastAsia" w:ascii="宋体" w:hAnsi="宋体" w:eastAsia="宋体" w:cs="宋体"/>
                <w:szCs w:val="21"/>
              </w:rPr>
              <w:t>6.儿童文学的基本文体</w:t>
            </w:r>
          </w:p>
          <w:p w14:paraId="58845CEB">
            <w:pPr>
              <w:spacing w:line="276" w:lineRule="auto"/>
              <w:jc w:val="center"/>
              <w:rPr>
                <w:rFonts w:hint="eastAsia" w:ascii="宋体" w:hAnsi="宋体" w:eastAsia="宋体" w:cs="宋体"/>
                <w:szCs w:val="21"/>
              </w:rPr>
            </w:pPr>
          </w:p>
        </w:tc>
        <w:tc>
          <w:tcPr>
            <w:tcW w:w="1701" w:type="dxa"/>
            <w:vAlign w:val="center"/>
          </w:tcPr>
          <w:p w14:paraId="68ED9988">
            <w:pPr>
              <w:spacing w:line="276" w:lineRule="auto"/>
              <w:jc w:val="left"/>
              <w:rPr>
                <w:rFonts w:hint="eastAsia" w:ascii="宋体" w:hAnsi="宋体" w:eastAsia="宋体" w:cs="宋体"/>
                <w:szCs w:val="21"/>
              </w:rPr>
            </w:pPr>
            <w:r>
              <w:rPr>
                <w:rFonts w:hint="eastAsia" w:ascii="宋体" w:hAnsi="宋体" w:eastAsia="宋体" w:cs="宋体"/>
                <w:szCs w:val="21"/>
              </w:rPr>
              <w:t>（1）儿歌、儿童诗</w:t>
            </w:r>
          </w:p>
          <w:p w14:paraId="7E27E166">
            <w:pPr>
              <w:spacing w:line="276" w:lineRule="auto"/>
              <w:jc w:val="left"/>
              <w:rPr>
                <w:rFonts w:hint="eastAsia" w:ascii="宋体" w:hAnsi="宋体" w:eastAsia="宋体" w:cs="宋体"/>
                <w:szCs w:val="21"/>
              </w:rPr>
            </w:pPr>
            <w:r>
              <w:rPr>
                <w:rFonts w:hint="eastAsia" w:ascii="宋体" w:hAnsi="宋体" w:eastAsia="宋体" w:cs="宋体"/>
                <w:szCs w:val="21"/>
              </w:rPr>
              <w:t>（2）童话、寓言</w:t>
            </w:r>
          </w:p>
          <w:p w14:paraId="5AFF14F1">
            <w:pPr>
              <w:spacing w:line="276" w:lineRule="auto"/>
              <w:jc w:val="left"/>
              <w:rPr>
                <w:rFonts w:hint="eastAsia" w:ascii="宋体" w:hAnsi="宋体" w:eastAsia="宋体" w:cs="宋体"/>
                <w:szCs w:val="21"/>
              </w:rPr>
            </w:pPr>
            <w:r>
              <w:rPr>
                <w:rFonts w:hint="eastAsia" w:ascii="宋体" w:hAnsi="宋体" w:eastAsia="宋体" w:cs="宋体"/>
                <w:szCs w:val="21"/>
              </w:rPr>
              <w:t>（3）儿童故事、儿童小说</w:t>
            </w:r>
          </w:p>
          <w:p w14:paraId="06D34A61">
            <w:pPr>
              <w:spacing w:line="276" w:lineRule="auto"/>
              <w:jc w:val="left"/>
              <w:rPr>
                <w:rFonts w:hint="eastAsia" w:ascii="宋体" w:hAnsi="宋体" w:eastAsia="宋体" w:cs="宋体"/>
                <w:szCs w:val="21"/>
              </w:rPr>
            </w:pPr>
            <w:r>
              <w:rPr>
                <w:rFonts w:hint="eastAsia" w:ascii="宋体" w:hAnsi="宋体" w:eastAsia="宋体" w:cs="宋体"/>
                <w:szCs w:val="21"/>
              </w:rPr>
              <w:t>（4）儿童散文、儿童报告文学</w:t>
            </w:r>
          </w:p>
          <w:p w14:paraId="72D92322">
            <w:pPr>
              <w:spacing w:line="276" w:lineRule="auto"/>
              <w:jc w:val="left"/>
              <w:rPr>
                <w:rFonts w:hint="eastAsia" w:ascii="宋体" w:hAnsi="宋体" w:eastAsia="宋体" w:cs="宋体"/>
                <w:szCs w:val="21"/>
              </w:rPr>
            </w:pPr>
            <w:r>
              <w:rPr>
                <w:rFonts w:hint="eastAsia" w:ascii="宋体" w:hAnsi="宋体" w:eastAsia="宋体" w:cs="宋体"/>
                <w:szCs w:val="21"/>
              </w:rPr>
              <w:t>（5）儿童科学文艺</w:t>
            </w:r>
          </w:p>
          <w:p w14:paraId="0F25BC87">
            <w:pPr>
              <w:spacing w:line="276" w:lineRule="auto"/>
              <w:jc w:val="left"/>
              <w:rPr>
                <w:rFonts w:hint="eastAsia" w:ascii="宋体" w:hAnsi="宋体" w:eastAsia="宋体" w:cs="宋体"/>
                <w:szCs w:val="21"/>
              </w:rPr>
            </w:pPr>
            <w:r>
              <w:rPr>
                <w:rFonts w:hint="eastAsia" w:ascii="宋体" w:hAnsi="宋体" w:eastAsia="宋体" w:cs="宋体"/>
                <w:szCs w:val="21"/>
              </w:rPr>
              <w:t>（6）图画书</w:t>
            </w:r>
          </w:p>
          <w:p w14:paraId="35BE2D2F">
            <w:pPr>
              <w:spacing w:line="276" w:lineRule="auto"/>
              <w:jc w:val="left"/>
              <w:rPr>
                <w:rFonts w:hint="eastAsia" w:ascii="宋体" w:hAnsi="宋体" w:eastAsia="宋体" w:cs="宋体"/>
                <w:szCs w:val="21"/>
              </w:rPr>
            </w:pPr>
            <w:r>
              <w:rPr>
                <w:rFonts w:hint="eastAsia" w:ascii="宋体" w:hAnsi="宋体" w:eastAsia="宋体" w:cs="宋体"/>
                <w:szCs w:val="21"/>
              </w:rPr>
              <w:t>（7）儿童戏剧文学、儿童影视文学</w:t>
            </w:r>
          </w:p>
        </w:tc>
        <w:tc>
          <w:tcPr>
            <w:tcW w:w="1134" w:type="dxa"/>
            <w:vAlign w:val="center"/>
          </w:tcPr>
          <w:p w14:paraId="5BD82902">
            <w:pPr>
              <w:spacing w:line="276" w:lineRule="auto"/>
              <w:jc w:val="center"/>
              <w:rPr>
                <w:rFonts w:hint="eastAsia" w:ascii="宋体" w:hAnsi="宋体" w:eastAsia="宋体" w:cs="宋体"/>
                <w:szCs w:val="21"/>
              </w:rPr>
            </w:pPr>
            <w:r>
              <w:rPr>
                <w:rFonts w:hint="eastAsia" w:ascii="宋体" w:hAnsi="宋体" w:eastAsia="宋体" w:cs="宋体"/>
                <w:szCs w:val="21"/>
              </w:rPr>
              <w:t>课程目标1、2</w:t>
            </w:r>
          </w:p>
        </w:tc>
        <w:tc>
          <w:tcPr>
            <w:tcW w:w="3260" w:type="dxa"/>
            <w:vAlign w:val="center"/>
          </w:tcPr>
          <w:p w14:paraId="0EAA0FC4">
            <w:pPr>
              <w:spacing w:line="276" w:lineRule="auto"/>
              <w:jc w:val="left"/>
              <w:rPr>
                <w:rFonts w:hint="eastAsia" w:ascii="宋体" w:hAnsi="宋体" w:eastAsia="宋体" w:cs="宋体"/>
                <w:szCs w:val="21"/>
              </w:rPr>
            </w:pPr>
            <w:r>
              <w:rPr>
                <w:rFonts w:hint="eastAsia" w:ascii="宋体" w:hAnsi="宋体" w:eastAsia="宋体" w:cs="宋体"/>
                <w:szCs w:val="21"/>
              </w:rPr>
              <w:t>1.儿歌儿童诗的含义、艺术特征及类型；</w:t>
            </w:r>
          </w:p>
          <w:p w14:paraId="2D2B841B">
            <w:pPr>
              <w:spacing w:line="276" w:lineRule="auto"/>
              <w:jc w:val="left"/>
              <w:rPr>
                <w:rFonts w:hint="eastAsia" w:ascii="宋体" w:hAnsi="宋体" w:eastAsia="宋体" w:cs="宋体"/>
                <w:szCs w:val="21"/>
              </w:rPr>
            </w:pPr>
            <w:r>
              <w:rPr>
                <w:rFonts w:hint="eastAsia" w:ascii="宋体" w:hAnsi="宋体" w:eastAsia="宋体" w:cs="宋体"/>
                <w:szCs w:val="21"/>
              </w:rPr>
              <w:t>2.童话寓言的含义、起源与发展、特征、类型；</w:t>
            </w:r>
          </w:p>
          <w:p w14:paraId="7977D898">
            <w:pPr>
              <w:spacing w:line="276" w:lineRule="auto"/>
              <w:jc w:val="left"/>
              <w:rPr>
                <w:rFonts w:hint="eastAsia" w:ascii="宋体" w:hAnsi="宋体" w:eastAsia="宋体" w:cs="宋体"/>
                <w:szCs w:val="21"/>
              </w:rPr>
            </w:pPr>
            <w:r>
              <w:rPr>
                <w:rFonts w:hint="eastAsia" w:ascii="宋体" w:hAnsi="宋体" w:eastAsia="宋体" w:cs="宋体"/>
                <w:szCs w:val="21"/>
              </w:rPr>
              <w:t>3. 儿童故事、儿童小说的含义、特征、类型；</w:t>
            </w:r>
          </w:p>
          <w:p w14:paraId="05BD48CA">
            <w:pPr>
              <w:spacing w:line="276" w:lineRule="auto"/>
              <w:jc w:val="left"/>
              <w:rPr>
                <w:rFonts w:hint="eastAsia" w:ascii="宋体" w:hAnsi="宋体" w:eastAsia="宋体" w:cs="宋体"/>
                <w:szCs w:val="21"/>
              </w:rPr>
            </w:pPr>
            <w:r>
              <w:rPr>
                <w:rFonts w:hint="eastAsia" w:ascii="宋体" w:hAnsi="宋体" w:eastAsia="宋体" w:cs="宋体"/>
                <w:szCs w:val="21"/>
              </w:rPr>
              <w:t>4. 儿童散文、儿童报告文学的含义、特征、类型；</w:t>
            </w:r>
          </w:p>
          <w:p w14:paraId="499E33BD">
            <w:pPr>
              <w:spacing w:line="276" w:lineRule="auto"/>
              <w:jc w:val="left"/>
              <w:rPr>
                <w:rFonts w:hint="eastAsia" w:ascii="宋体" w:hAnsi="宋体" w:eastAsia="宋体" w:cs="宋体"/>
                <w:szCs w:val="21"/>
              </w:rPr>
            </w:pPr>
            <w:r>
              <w:rPr>
                <w:rFonts w:hint="eastAsia" w:ascii="宋体" w:hAnsi="宋体" w:eastAsia="宋体" w:cs="宋体"/>
                <w:szCs w:val="21"/>
              </w:rPr>
              <w:t>5. 儿童科学文艺的含义、特征、类型；</w:t>
            </w:r>
          </w:p>
          <w:p w14:paraId="5533C901">
            <w:pPr>
              <w:spacing w:line="276" w:lineRule="auto"/>
              <w:jc w:val="left"/>
              <w:rPr>
                <w:rFonts w:hint="eastAsia" w:ascii="宋体" w:hAnsi="宋体" w:eastAsia="宋体" w:cs="宋体"/>
                <w:szCs w:val="21"/>
              </w:rPr>
            </w:pPr>
            <w:r>
              <w:rPr>
                <w:rFonts w:hint="eastAsia" w:ascii="宋体" w:hAnsi="宋体" w:eastAsia="宋体" w:cs="宋体"/>
                <w:szCs w:val="21"/>
              </w:rPr>
              <w:t>6. 图画书的含义、价值、发展、结构、特征、类型；</w:t>
            </w:r>
          </w:p>
          <w:p w14:paraId="3EB3020E">
            <w:pPr>
              <w:spacing w:line="276" w:lineRule="auto"/>
              <w:jc w:val="left"/>
              <w:rPr>
                <w:rFonts w:hint="eastAsia" w:ascii="宋体" w:hAnsi="宋体" w:eastAsia="宋体" w:cs="宋体"/>
                <w:szCs w:val="21"/>
              </w:rPr>
            </w:pPr>
            <w:r>
              <w:rPr>
                <w:rFonts w:hint="eastAsia" w:ascii="宋体" w:hAnsi="宋体" w:eastAsia="宋体" w:cs="宋体"/>
                <w:szCs w:val="21"/>
              </w:rPr>
              <w:t>7. 儿童戏剧文学、儿童影视文学的含义、舞台或银屏呈现、类型及价值</w:t>
            </w:r>
          </w:p>
        </w:tc>
        <w:tc>
          <w:tcPr>
            <w:tcW w:w="1560" w:type="dxa"/>
            <w:vAlign w:val="center"/>
          </w:tcPr>
          <w:p w14:paraId="7462B2FE">
            <w:pPr>
              <w:spacing w:line="276" w:lineRule="auto"/>
              <w:jc w:val="left"/>
              <w:rPr>
                <w:rFonts w:hint="eastAsia" w:ascii="宋体" w:hAnsi="宋体" w:eastAsia="宋体" w:cs="宋体"/>
                <w:szCs w:val="21"/>
              </w:rPr>
            </w:pPr>
            <w:r>
              <w:rPr>
                <w:rFonts w:hint="eastAsia" w:ascii="宋体" w:hAnsi="宋体" w:eastAsia="宋体" w:cs="宋体"/>
                <w:szCs w:val="21"/>
              </w:rPr>
              <w:t>1.线上学习</w:t>
            </w:r>
          </w:p>
          <w:p w14:paraId="0979A74C">
            <w:pPr>
              <w:spacing w:line="276" w:lineRule="auto"/>
              <w:jc w:val="left"/>
              <w:rPr>
                <w:rFonts w:hint="eastAsia" w:ascii="宋体" w:hAnsi="宋体" w:eastAsia="宋体" w:cs="宋体"/>
                <w:szCs w:val="21"/>
              </w:rPr>
            </w:pPr>
            <w:r>
              <w:rPr>
                <w:rFonts w:hint="eastAsia" w:ascii="宋体" w:hAnsi="宋体" w:eastAsia="宋体" w:cs="宋体"/>
                <w:szCs w:val="21"/>
              </w:rPr>
              <w:t>2.多媒体教学3.课堂讨论</w:t>
            </w:r>
          </w:p>
          <w:p w14:paraId="1B13CD2D">
            <w:pPr>
              <w:spacing w:line="276" w:lineRule="auto"/>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61B30486">
            <w:pPr>
              <w:spacing w:line="276" w:lineRule="auto"/>
              <w:jc w:val="center"/>
              <w:rPr>
                <w:rFonts w:hint="eastAsia" w:ascii="宋体" w:hAnsi="宋体" w:eastAsia="宋体" w:cs="宋体"/>
                <w:szCs w:val="21"/>
              </w:rPr>
            </w:pPr>
            <w:r>
              <w:rPr>
                <w:rFonts w:hint="eastAsia" w:ascii="宋体" w:hAnsi="宋体" w:eastAsia="宋体" w:cs="宋体"/>
                <w:szCs w:val="21"/>
              </w:rPr>
              <w:t>24</w:t>
            </w:r>
          </w:p>
        </w:tc>
      </w:tr>
      <w:tr w14:paraId="4D41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71940A">
            <w:pPr>
              <w:spacing w:line="276" w:lineRule="auto"/>
              <w:jc w:val="center"/>
              <w:rPr>
                <w:rFonts w:hint="eastAsia" w:ascii="宋体" w:hAnsi="宋体" w:eastAsia="宋体" w:cs="宋体"/>
                <w:szCs w:val="21"/>
              </w:rPr>
            </w:pPr>
          </w:p>
        </w:tc>
        <w:tc>
          <w:tcPr>
            <w:tcW w:w="8093" w:type="dxa"/>
            <w:gridSpan w:val="5"/>
            <w:vAlign w:val="center"/>
          </w:tcPr>
          <w:p w14:paraId="61491F45">
            <w:pPr>
              <w:spacing w:line="276" w:lineRule="auto"/>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引导学生关注儿童文艺中的精品力作，自觉向广大儿童读者推广介绍各种体裁的中外优秀少儿文艺，培养高雅的文学趣味和高尚的文学品味。</w:t>
            </w:r>
          </w:p>
        </w:tc>
      </w:tr>
      <w:tr w14:paraId="22C4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3DFF340">
            <w:pPr>
              <w:spacing w:line="276" w:lineRule="auto"/>
              <w:jc w:val="center"/>
              <w:rPr>
                <w:rFonts w:hint="eastAsia" w:ascii="宋体" w:hAnsi="宋体" w:eastAsia="宋体" w:cs="宋体"/>
                <w:szCs w:val="21"/>
              </w:rPr>
            </w:pPr>
            <w:r>
              <w:rPr>
                <w:rFonts w:hint="eastAsia" w:ascii="宋体" w:hAnsi="宋体" w:eastAsia="宋体" w:cs="宋体"/>
                <w:szCs w:val="21"/>
              </w:rPr>
              <w:t>7.儿童文学的教学应用</w:t>
            </w:r>
          </w:p>
        </w:tc>
        <w:tc>
          <w:tcPr>
            <w:tcW w:w="1701" w:type="dxa"/>
            <w:vAlign w:val="center"/>
          </w:tcPr>
          <w:p w14:paraId="2183DBD5">
            <w:pPr>
              <w:spacing w:line="276" w:lineRule="auto"/>
              <w:jc w:val="left"/>
              <w:rPr>
                <w:rFonts w:hint="eastAsia" w:ascii="宋体" w:hAnsi="宋体" w:eastAsia="宋体" w:cs="宋体"/>
                <w:szCs w:val="21"/>
              </w:rPr>
            </w:pPr>
            <w:r>
              <w:rPr>
                <w:rFonts w:hint="eastAsia" w:ascii="宋体" w:hAnsi="宋体" w:eastAsia="宋体" w:cs="宋体"/>
                <w:szCs w:val="21"/>
              </w:rPr>
              <w:t>（1）儿童文学的改编与创作</w:t>
            </w:r>
          </w:p>
          <w:p w14:paraId="5A953E56">
            <w:pPr>
              <w:spacing w:line="276" w:lineRule="auto"/>
              <w:jc w:val="left"/>
              <w:rPr>
                <w:rFonts w:hint="eastAsia" w:ascii="宋体" w:hAnsi="宋体" w:eastAsia="宋体" w:cs="宋体"/>
                <w:szCs w:val="21"/>
              </w:rPr>
            </w:pPr>
            <w:r>
              <w:rPr>
                <w:rFonts w:hint="eastAsia" w:ascii="宋体" w:hAnsi="宋体" w:eastAsia="宋体" w:cs="宋体"/>
                <w:szCs w:val="21"/>
              </w:rPr>
              <w:t>（2）儿童文学的阅读指导</w:t>
            </w:r>
          </w:p>
          <w:p w14:paraId="2A855FC8">
            <w:pPr>
              <w:spacing w:line="276" w:lineRule="auto"/>
              <w:jc w:val="left"/>
              <w:rPr>
                <w:rFonts w:hint="eastAsia" w:ascii="宋体" w:hAnsi="宋体" w:eastAsia="宋体" w:cs="宋体"/>
                <w:szCs w:val="21"/>
              </w:rPr>
            </w:pPr>
            <w:r>
              <w:rPr>
                <w:rFonts w:hint="eastAsia" w:ascii="宋体" w:hAnsi="宋体" w:eastAsia="宋体" w:cs="宋体"/>
                <w:szCs w:val="21"/>
              </w:rPr>
              <w:t>（3）儿童文学与小学习作教学</w:t>
            </w:r>
          </w:p>
        </w:tc>
        <w:tc>
          <w:tcPr>
            <w:tcW w:w="1134" w:type="dxa"/>
            <w:vAlign w:val="center"/>
          </w:tcPr>
          <w:p w14:paraId="59B83CC5">
            <w:pPr>
              <w:spacing w:line="276" w:lineRule="auto"/>
              <w:jc w:val="center"/>
              <w:rPr>
                <w:rFonts w:hint="eastAsia" w:ascii="宋体" w:hAnsi="宋体" w:eastAsia="宋体" w:cs="宋体"/>
                <w:szCs w:val="21"/>
              </w:rPr>
            </w:pPr>
            <w:r>
              <w:rPr>
                <w:rFonts w:hint="eastAsia" w:ascii="宋体" w:hAnsi="宋体" w:eastAsia="宋体" w:cs="宋体"/>
                <w:szCs w:val="21"/>
              </w:rPr>
              <w:t xml:space="preserve">课程目标2 </w:t>
            </w:r>
          </w:p>
        </w:tc>
        <w:tc>
          <w:tcPr>
            <w:tcW w:w="3260" w:type="dxa"/>
            <w:vAlign w:val="center"/>
          </w:tcPr>
          <w:p w14:paraId="0C00257D">
            <w:pPr>
              <w:spacing w:line="276" w:lineRule="auto"/>
              <w:jc w:val="left"/>
              <w:rPr>
                <w:rFonts w:hint="eastAsia" w:ascii="宋体" w:hAnsi="宋体" w:eastAsia="宋体" w:cs="宋体"/>
                <w:szCs w:val="21"/>
              </w:rPr>
            </w:pPr>
            <w:r>
              <w:rPr>
                <w:rFonts w:hint="eastAsia" w:ascii="宋体" w:hAnsi="宋体" w:eastAsia="宋体" w:cs="宋体"/>
                <w:szCs w:val="21"/>
              </w:rPr>
              <w:t>（1）掌握儿童文学改编与创作的基本方法；</w:t>
            </w:r>
          </w:p>
          <w:p w14:paraId="7CAAF0AB">
            <w:pPr>
              <w:spacing w:line="276" w:lineRule="auto"/>
              <w:jc w:val="left"/>
              <w:rPr>
                <w:rFonts w:hint="eastAsia" w:ascii="宋体" w:hAnsi="宋体" w:eastAsia="宋体" w:cs="宋体"/>
                <w:szCs w:val="21"/>
              </w:rPr>
            </w:pPr>
            <w:r>
              <w:rPr>
                <w:rFonts w:hint="eastAsia" w:ascii="宋体" w:hAnsi="宋体" w:eastAsia="宋体" w:cs="宋体"/>
                <w:szCs w:val="21"/>
              </w:rPr>
              <w:t>（2）理解儿童文学阅读指导的要领与策略，把握阅读指导的方法；</w:t>
            </w:r>
          </w:p>
          <w:p w14:paraId="44DFBC2B">
            <w:pPr>
              <w:spacing w:line="276" w:lineRule="auto"/>
              <w:jc w:val="left"/>
              <w:rPr>
                <w:rFonts w:hint="eastAsia" w:ascii="宋体" w:hAnsi="宋体" w:eastAsia="宋体" w:cs="宋体"/>
                <w:szCs w:val="21"/>
              </w:rPr>
            </w:pPr>
            <w:r>
              <w:rPr>
                <w:rFonts w:hint="eastAsia" w:ascii="宋体" w:hAnsi="宋体" w:eastAsia="宋体" w:cs="宋体"/>
                <w:szCs w:val="21"/>
              </w:rPr>
              <w:t>（3）了解小学习作教学概况，掌握以儿童文学作品为范本的小学习作教学的基本方法。</w:t>
            </w:r>
          </w:p>
        </w:tc>
        <w:tc>
          <w:tcPr>
            <w:tcW w:w="1560" w:type="dxa"/>
            <w:vAlign w:val="center"/>
          </w:tcPr>
          <w:p w14:paraId="564294C3">
            <w:pPr>
              <w:spacing w:line="276" w:lineRule="auto"/>
              <w:jc w:val="left"/>
              <w:rPr>
                <w:rFonts w:hint="eastAsia" w:ascii="宋体" w:hAnsi="宋体" w:eastAsia="宋体" w:cs="宋体"/>
                <w:szCs w:val="21"/>
              </w:rPr>
            </w:pPr>
            <w:r>
              <w:rPr>
                <w:rFonts w:hint="eastAsia" w:ascii="宋体" w:hAnsi="宋体" w:eastAsia="宋体" w:cs="宋体"/>
                <w:szCs w:val="21"/>
              </w:rPr>
              <w:t>1.线上学习</w:t>
            </w:r>
          </w:p>
          <w:p w14:paraId="5351E032">
            <w:pPr>
              <w:spacing w:line="276" w:lineRule="auto"/>
              <w:jc w:val="left"/>
              <w:rPr>
                <w:rFonts w:hint="eastAsia" w:ascii="宋体" w:hAnsi="宋体" w:eastAsia="宋体" w:cs="宋体"/>
                <w:szCs w:val="21"/>
              </w:rPr>
            </w:pPr>
            <w:r>
              <w:rPr>
                <w:rFonts w:hint="eastAsia" w:ascii="宋体" w:hAnsi="宋体" w:eastAsia="宋体" w:cs="宋体"/>
                <w:szCs w:val="21"/>
              </w:rPr>
              <w:t>2.多媒体教学3.课堂讨论</w:t>
            </w:r>
          </w:p>
          <w:p w14:paraId="0712B276">
            <w:pPr>
              <w:spacing w:line="276" w:lineRule="auto"/>
              <w:jc w:val="left"/>
              <w:rPr>
                <w:rFonts w:hint="eastAsia" w:ascii="宋体" w:hAnsi="宋体" w:eastAsia="宋体" w:cs="宋体"/>
                <w:szCs w:val="21"/>
              </w:rPr>
            </w:pPr>
            <w:r>
              <w:rPr>
                <w:rFonts w:hint="eastAsia" w:ascii="宋体" w:hAnsi="宋体" w:eastAsia="宋体" w:cs="宋体"/>
                <w:szCs w:val="21"/>
              </w:rPr>
              <w:t>4.单元测验</w:t>
            </w:r>
          </w:p>
        </w:tc>
        <w:tc>
          <w:tcPr>
            <w:tcW w:w="438" w:type="dxa"/>
            <w:vAlign w:val="center"/>
          </w:tcPr>
          <w:p w14:paraId="7355199A">
            <w:pPr>
              <w:spacing w:line="276" w:lineRule="auto"/>
              <w:jc w:val="center"/>
              <w:rPr>
                <w:rFonts w:hint="eastAsia" w:ascii="宋体" w:hAnsi="宋体" w:eastAsia="宋体" w:cs="宋体"/>
                <w:szCs w:val="21"/>
              </w:rPr>
            </w:pPr>
            <w:r>
              <w:rPr>
                <w:rFonts w:hint="eastAsia" w:ascii="宋体" w:hAnsi="宋体" w:eastAsia="宋体" w:cs="宋体"/>
                <w:szCs w:val="21"/>
              </w:rPr>
              <w:t>9</w:t>
            </w:r>
          </w:p>
        </w:tc>
      </w:tr>
      <w:tr w14:paraId="7B36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A0F6CB0">
            <w:pPr>
              <w:spacing w:line="264" w:lineRule="auto"/>
              <w:jc w:val="center"/>
              <w:rPr>
                <w:rFonts w:hint="eastAsia" w:ascii="宋体" w:hAnsi="宋体" w:eastAsia="宋体" w:cs="宋体"/>
                <w:szCs w:val="21"/>
              </w:rPr>
            </w:pPr>
          </w:p>
        </w:tc>
        <w:tc>
          <w:tcPr>
            <w:tcW w:w="8093" w:type="dxa"/>
            <w:gridSpan w:val="5"/>
            <w:vAlign w:val="center"/>
          </w:tcPr>
          <w:p w14:paraId="1CC98D15">
            <w:pPr>
              <w:spacing w:line="264" w:lineRule="auto"/>
              <w:jc w:val="left"/>
              <w:rPr>
                <w:rFonts w:hint="eastAsia" w:ascii="宋体" w:hAnsi="宋体" w:eastAsia="宋体" w:cs="宋体"/>
                <w:szCs w:val="21"/>
              </w:rPr>
            </w:pPr>
            <w:r>
              <w:rPr>
                <w:rFonts w:hint="eastAsia" w:ascii="宋体" w:hAnsi="宋体" w:eastAsia="宋体" w:cs="宋体"/>
                <w:b/>
                <w:szCs w:val="21"/>
              </w:rPr>
              <w:t>课程思政目标：</w:t>
            </w:r>
            <w:r>
              <w:rPr>
                <w:rFonts w:hint="eastAsia" w:ascii="宋体" w:hAnsi="宋体" w:eastAsia="宋体" w:cs="宋体"/>
                <w:szCs w:val="21"/>
              </w:rPr>
              <w:t>引导学生关注国家和民族的未来，热爱祖国的儿童文学事业，永葆一颗纯真的童心，积极投身我国儿童文学的阅读推广、宣传指导等社会公益事业中去。引导学生准确把握儿童文学鉴赏和批评的价值标准，着力关注作品的思想性和艺术性。</w:t>
            </w:r>
          </w:p>
        </w:tc>
      </w:tr>
    </w:tbl>
    <w:p w14:paraId="65F9951D">
      <w:pPr>
        <w:spacing w:before="62" w:beforeLines="20" w:after="62" w:afterLines="20" w:line="360" w:lineRule="auto"/>
        <w:jc w:val="left"/>
        <w:rPr>
          <w:rFonts w:hint="eastAsia" w:ascii="宋体" w:hAnsi="宋体" w:eastAsia="宋体" w:cs="宋体"/>
          <w:b/>
          <w:sz w:val="24"/>
        </w:rPr>
      </w:pPr>
      <w:bookmarkStart w:id="1231" w:name="_Toc19512"/>
      <w:bookmarkStart w:id="1232" w:name="_Toc9341"/>
      <w:bookmarkStart w:id="1233" w:name="_Toc1465"/>
      <w:bookmarkStart w:id="1234" w:name="_Toc25736"/>
      <w:bookmarkStart w:id="1235" w:name="_Toc15199"/>
      <w:bookmarkStart w:id="1236" w:name="_Toc16355"/>
      <w:bookmarkStart w:id="1237" w:name="_Toc4394"/>
      <w:r>
        <w:rPr>
          <w:rFonts w:hint="eastAsia" w:ascii="宋体" w:hAnsi="宋体" w:eastAsia="宋体" w:cs="宋体"/>
          <w:b/>
          <w:sz w:val="24"/>
        </w:rPr>
        <w:t>四、目标评价与成绩评定</w:t>
      </w:r>
      <w:bookmarkEnd w:id="1231"/>
      <w:bookmarkEnd w:id="1232"/>
      <w:bookmarkEnd w:id="1233"/>
      <w:bookmarkEnd w:id="1234"/>
      <w:bookmarkEnd w:id="1235"/>
      <w:bookmarkEnd w:id="1236"/>
      <w:bookmarkEnd w:id="1237"/>
    </w:p>
    <w:p w14:paraId="32DA6F8C">
      <w:pPr>
        <w:spacing w:line="360" w:lineRule="auto"/>
        <w:ind w:firstLine="422" w:firstLineChars="200"/>
        <w:jc w:val="left"/>
        <w:outlineLvl w:val="1"/>
        <w:rPr>
          <w:rFonts w:hint="eastAsia" w:ascii="宋体" w:hAnsi="宋体" w:eastAsia="宋体" w:cs="宋体"/>
          <w:b/>
          <w:szCs w:val="21"/>
        </w:rPr>
      </w:pPr>
      <w:bookmarkStart w:id="1238" w:name="_Toc3633"/>
      <w:r>
        <w:rPr>
          <w:rFonts w:hint="eastAsia" w:ascii="宋体" w:hAnsi="宋体" w:eastAsia="宋体" w:cs="宋体"/>
          <w:b/>
          <w:szCs w:val="21"/>
        </w:rPr>
        <w:t>（一）课程目标评价方式</w:t>
      </w:r>
      <w:bookmarkEnd w:id="1238"/>
    </w:p>
    <w:p w14:paraId="00F62AED">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根据总体设计，用于评价各课程目标的评价方式如下表所示。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161"/>
        <w:gridCol w:w="1056"/>
        <w:gridCol w:w="1056"/>
        <w:gridCol w:w="1056"/>
        <w:gridCol w:w="1056"/>
        <w:gridCol w:w="1269"/>
      </w:tblGrid>
      <w:tr w14:paraId="29E2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vAlign w:val="center"/>
          </w:tcPr>
          <w:p w14:paraId="7ED96A22">
            <w:pPr>
              <w:spacing w:line="360" w:lineRule="auto"/>
              <w:jc w:val="center"/>
              <w:rPr>
                <w:rFonts w:hint="eastAsia" w:ascii="宋体" w:hAnsi="宋体" w:eastAsia="宋体" w:cs="宋体"/>
                <w:szCs w:val="21"/>
              </w:rPr>
            </w:pPr>
            <w:bookmarkStart w:id="1239" w:name="OLE_LINK4"/>
            <w:r>
              <w:rPr>
                <w:rFonts w:hint="eastAsia" w:ascii="宋体" w:hAnsi="宋体" w:eastAsia="宋体" w:cs="宋体"/>
                <w:szCs w:val="21"/>
              </w:rPr>
              <w:t>课程目标</w:t>
            </w:r>
          </w:p>
        </w:tc>
        <w:tc>
          <w:tcPr>
            <w:tcW w:w="5280" w:type="dxa"/>
            <w:gridSpan w:val="5"/>
            <w:vAlign w:val="center"/>
          </w:tcPr>
          <w:p w14:paraId="75C9A8B7">
            <w:pPr>
              <w:spacing w:line="360" w:lineRule="auto"/>
              <w:jc w:val="center"/>
              <w:rPr>
                <w:rFonts w:hint="eastAsia" w:ascii="宋体" w:hAnsi="宋体" w:eastAsia="宋体" w:cs="宋体"/>
                <w:szCs w:val="21"/>
              </w:rPr>
            </w:pPr>
            <w:r>
              <w:rPr>
                <w:rFonts w:hint="eastAsia" w:ascii="宋体" w:hAnsi="宋体" w:eastAsia="宋体" w:cs="宋体"/>
                <w:szCs w:val="21"/>
              </w:rPr>
              <w:t>评价与成绩评定方法</w:t>
            </w:r>
          </w:p>
        </w:tc>
        <w:tc>
          <w:tcPr>
            <w:tcW w:w="1269" w:type="dxa"/>
            <w:vAlign w:val="center"/>
          </w:tcPr>
          <w:p w14:paraId="545A5E5A">
            <w:pPr>
              <w:spacing w:line="360" w:lineRule="auto"/>
              <w:jc w:val="center"/>
              <w:rPr>
                <w:rFonts w:hint="eastAsia" w:ascii="宋体" w:hAnsi="宋体" w:eastAsia="宋体" w:cs="宋体"/>
                <w:szCs w:val="21"/>
              </w:rPr>
            </w:pPr>
            <w:r>
              <w:rPr>
                <w:rFonts w:hint="eastAsia" w:ascii="宋体" w:hAnsi="宋体" w:eastAsia="宋体" w:cs="宋体"/>
                <w:szCs w:val="21"/>
              </w:rPr>
              <w:t>分值</w:t>
            </w:r>
          </w:p>
        </w:tc>
      </w:tr>
      <w:tr w14:paraId="343D5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749BF9BA">
            <w:pPr>
              <w:spacing w:line="360" w:lineRule="auto"/>
              <w:jc w:val="center"/>
              <w:rPr>
                <w:rFonts w:hint="eastAsia" w:ascii="宋体" w:hAnsi="宋体" w:eastAsia="宋体" w:cs="宋体"/>
                <w:szCs w:val="21"/>
              </w:rPr>
            </w:pPr>
          </w:p>
        </w:tc>
        <w:tc>
          <w:tcPr>
            <w:tcW w:w="0" w:type="auto"/>
            <w:vAlign w:val="center"/>
          </w:tcPr>
          <w:p w14:paraId="1EC8487D">
            <w:pPr>
              <w:spacing w:line="360" w:lineRule="auto"/>
              <w:jc w:val="center"/>
              <w:rPr>
                <w:rFonts w:hint="eastAsia" w:ascii="宋体" w:hAnsi="宋体" w:eastAsia="宋体" w:cs="宋体"/>
                <w:szCs w:val="21"/>
              </w:rPr>
            </w:pPr>
            <w:r>
              <w:rPr>
                <w:rFonts w:hint="eastAsia" w:ascii="宋体" w:hAnsi="宋体" w:eastAsia="宋体" w:cs="宋体"/>
                <w:szCs w:val="21"/>
              </w:rPr>
              <w:t>作业+考勤</w:t>
            </w:r>
          </w:p>
        </w:tc>
        <w:tc>
          <w:tcPr>
            <w:tcW w:w="0" w:type="auto"/>
            <w:vAlign w:val="center"/>
          </w:tcPr>
          <w:p w14:paraId="049196E4">
            <w:pPr>
              <w:spacing w:line="360" w:lineRule="auto"/>
              <w:jc w:val="center"/>
              <w:rPr>
                <w:rFonts w:hint="eastAsia" w:ascii="宋体" w:hAnsi="宋体" w:eastAsia="宋体" w:cs="宋体"/>
                <w:szCs w:val="21"/>
              </w:rPr>
            </w:pPr>
            <w:r>
              <w:rPr>
                <w:rFonts w:hint="eastAsia" w:ascii="宋体" w:hAnsi="宋体" w:eastAsia="宋体" w:cs="宋体"/>
                <w:szCs w:val="21"/>
              </w:rPr>
              <w:t>课堂表现</w:t>
            </w:r>
          </w:p>
        </w:tc>
        <w:tc>
          <w:tcPr>
            <w:tcW w:w="0" w:type="auto"/>
            <w:vAlign w:val="center"/>
          </w:tcPr>
          <w:p w14:paraId="60565423">
            <w:pPr>
              <w:spacing w:line="360" w:lineRule="auto"/>
              <w:jc w:val="center"/>
              <w:rPr>
                <w:rFonts w:hint="eastAsia" w:ascii="宋体" w:hAnsi="宋体" w:eastAsia="宋体" w:cs="宋体"/>
                <w:szCs w:val="21"/>
              </w:rPr>
            </w:pPr>
            <w:r>
              <w:rPr>
                <w:rFonts w:hint="eastAsia" w:ascii="宋体" w:hAnsi="宋体" w:eastAsia="宋体" w:cs="宋体"/>
                <w:szCs w:val="21"/>
              </w:rPr>
              <w:t>个人展示</w:t>
            </w:r>
          </w:p>
        </w:tc>
        <w:tc>
          <w:tcPr>
            <w:tcW w:w="0" w:type="auto"/>
            <w:vAlign w:val="center"/>
          </w:tcPr>
          <w:p w14:paraId="6AE69C1A">
            <w:pPr>
              <w:spacing w:line="360" w:lineRule="auto"/>
              <w:jc w:val="center"/>
              <w:rPr>
                <w:rFonts w:hint="eastAsia" w:ascii="宋体" w:hAnsi="宋体" w:eastAsia="宋体" w:cs="宋体"/>
                <w:szCs w:val="21"/>
              </w:rPr>
            </w:pPr>
            <w:r>
              <w:rPr>
                <w:rFonts w:hint="eastAsia" w:ascii="宋体" w:hAnsi="宋体" w:eastAsia="宋体" w:cs="宋体"/>
                <w:szCs w:val="21"/>
              </w:rPr>
              <w:t>课内实践</w:t>
            </w:r>
          </w:p>
        </w:tc>
        <w:tc>
          <w:tcPr>
            <w:tcW w:w="0" w:type="auto"/>
          </w:tcPr>
          <w:p w14:paraId="2BFF8609">
            <w:pPr>
              <w:spacing w:line="360" w:lineRule="auto"/>
              <w:jc w:val="center"/>
              <w:rPr>
                <w:rFonts w:hint="eastAsia" w:ascii="宋体" w:hAnsi="宋体" w:eastAsia="宋体" w:cs="宋体"/>
                <w:szCs w:val="21"/>
              </w:rPr>
            </w:pPr>
            <w:r>
              <w:rPr>
                <w:rFonts w:hint="eastAsia" w:ascii="宋体" w:hAnsi="宋体" w:eastAsia="宋体" w:cs="宋体"/>
                <w:szCs w:val="21"/>
              </w:rPr>
              <w:t>期末考试</w:t>
            </w:r>
          </w:p>
        </w:tc>
        <w:tc>
          <w:tcPr>
            <w:tcW w:w="1269" w:type="dxa"/>
            <w:vAlign w:val="center"/>
          </w:tcPr>
          <w:p w14:paraId="04C5D307">
            <w:pPr>
              <w:spacing w:line="360" w:lineRule="auto"/>
              <w:jc w:val="center"/>
              <w:rPr>
                <w:rFonts w:hint="eastAsia" w:ascii="宋体" w:hAnsi="宋体" w:eastAsia="宋体" w:cs="宋体"/>
                <w:szCs w:val="21"/>
              </w:rPr>
            </w:pPr>
          </w:p>
        </w:tc>
      </w:tr>
      <w:tr w14:paraId="6ED0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092346A">
            <w:pPr>
              <w:spacing w:line="360" w:lineRule="auto"/>
              <w:jc w:val="center"/>
              <w:rPr>
                <w:rFonts w:hint="eastAsia" w:ascii="宋体" w:hAnsi="宋体" w:eastAsia="宋体" w:cs="宋体"/>
                <w:szCs w:val="21"/>
              </w:rPr>
            </w:pPr>
            <w:r>
              <w:rPr>
                <w:rFonts w:hint="eastAsia" w:ascii="宋体" w:hAnsi="宋体" w:eastAsia="宋体" w:cs="宋体"/>
                <w:szCs w:val="21"/>
              </w:rPr>
              <w:t>课程目标1</w:t>
            </w:r>
          </w:p>
        </w:tc>
        <w:tc>
          <w:tcPr>
            <w:tcW w:w="0" w:type="auto"/>
            <w:vAlign w:val="center"/>
          </w:tcPr>
          <w:p w14:paraId="73F19B06">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16D53130">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0BCCC998">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4A5E86D0">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2766B50D">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269" w:type="dxa"/>
            <w:vAlign w:val="center"/>
          </w:tcPr>
          <w:p w14:paraId="2A3C853F">
            <w:pPr>
              <w:spacing w:line="360" w:lineRule="auto"/>
              <w:jc w:val="center"/>
              <w:rPr>
                <w:rFonts w:hint="eastAsia" w:ascii="宋体" w:hAnsi="宋体" w:eastAsia="宋体" w:cs="宋体"/>
                <w:szCs w:val="21"/>
              </w:rPr>
            </w:pPr>
            <w:r>
              <w:rPr>
                <w:rFonts w:hint="eastAsia" w:ascii="宋体" w:hAnsi="宋体" w:eastAsia="宋体" w:cs="宋体"/>
                <w:szCs w:val="21"/>
              </w:rPr>
              <w:t>40</w:t>
            </w:r>
          </w:p>
        </w:tc>
      </w:tr>
      <w:tr w14:paraId="0A0D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CB1912">
            <w:pPr>
              <w:spacing w:line="360" w:lineRule="auto"/>
              <w:jc w:val="center"/>
              <w:rPr>
                <w:rFonts w:hint="eastAsia" w:ascii="宋体" w:hAnsi="宋体" w:eastAsia="宋体" w:cs="宋体"/>
                <w:szCs w:val="21"/>
              </w:rPr>
            </w:pPr>
            <w:r>
              <w:rPr>
                <w:rFonts w:hint="eastAsia" w:ascii="宋体" w:hAnsi="宋体" w:eastAsia="宋体" w:cs="宋体"/>
                <w:szCs w:val="21"/>
              </w:rPr>
              <w:t>课程目标2</w:t>
            </w:r>
          </w:p>
        </w:tc>
        <w:tc>
          <w:tcPr>
            <w:tcW w:w="0" w:type="auto"/>
            <w:vAlign w:val="center"/>
          </w:tcPr>
          <w:p w14:paraId="778DB90D">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13012F0C">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2F7694A2">
            <w:pPr>
              <w:spacing w:line="360" w:lineRule="auto"/>
              <w:jc w:val="center"/>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rPr>
              <w:sym w:font="Wingdings 2" w:char="F050"/>
            </w:r>
          </w:p>
        </w:tc>
        <w:tc>
          <w:tcPr>
            <w:tcW w:w="0" w:type="auto"/>
            <w:vAlign w:val="center"/>
          </w:tcPr>
          <w:p w14:paraId="7330EA4F">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tcPr>
          <w:p w14:paraId="3699C246">
            <w:pPr>
              <w:spacing w:line="360" w:lineRule="auto"/>
              <w:jc w:val="center"/>
              <w:rPr>
                <w:rFonts w:hint="eastAsia" w:ascii="宋体" w:hAnsi="宋体" w:eastAsia="宋体" w:cs="宋体"/>
                <w:szCs w:val="21"/>
              </w:rPr>
            </w:pPr>
            <w:r>
              <w:rPr>
                <w:rFonts w:hint="eastAsia" w:ascii="宋体" w:hAnsi="宋体" w:eastAsia="宋体" w:cs="宋体"/>
                <w:szCs w:val="21"/>
              </w:rPr>
              <w:t></w:t>
            </w:r>
            <w:r>
              <w:rPr>
                <w:rFonts w:hint="eastAsia" w:ascii="宋体" w:hAnsi="宋体" w:eastAsia="宋体" w:cs="宋体"/>
                <w:szCs w:val="21"/>
              </w:rPr>
              <w:sym w:font="Wingdings 2" w:char="F050"/>
            </w:r>
          </w:p>
        </w:tc>
        <w:tc>
          <w:tcPr>
            <w:tcW w:w="1269" w:type="dxa"/>
            <w:vAlign w:val="center"/>
          </w:tcPr>
          <w:p w14:paraId="43BECEB9">
            <w:pPr>
              <w:spacing w:line="360" w:lineRule="auto"/>
              <w:jc w:val="center"/>
              <w:rPr>
                <w:rFonts w:hint="eastAsia" w:ascii="宋体" w:hAnsi="宋体" w:eastAsia="宋体" w:cs="宋体"/>
                <w:szCs w:val="21"/>
              </w:rPr>
            </w:pPr>
            <w:r>
              <w:rPr>
                <w:rFonts w:hint="eastAsia" w:ascii="宋体" w:hAnsi="宋体" w:eastAsia="宋体" w:cs="宋体"/>
                <w:szCs w:val="21"/>
              </w:rPr>
              <w:t>40</w:t>
            </w:r>
          </w:p>
        </w:tc>
      </w:tr>
      <w:tr w14:paraId="1A11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47BCC4">
            <w:pPr>
              <w:spacing w:line="360" w:lineRule="auto"/>
              <w:jc w:val="center"/>
              <w:rPr>
                <w:rFonts w:hint="eastAsia" w:ascii="宋体" w:hAnsi="宋体" w:eastAsia="宋体" w:cs="宋体"/>
                <w:szCs w:val="21"/>
              </w:rPr>
            </w:pPr>
            <w:r>
              <w:rPr>
                <w:rFonts w:hint="eastAsia" w:ascii="宋体" w:hAnsi="宋体" w:eastAsia="宋体" w:cs="宋体"/>
                <w:szCs w:val="21"/>
              </w:rPr>
              <w:t>课程目标3</w:t>
            </w:r>
          </w:p>
        </w:tc>
        <w:tc>
          <w:tcPr>
            <w:tcW w:w="0" w:type="auto"/>
            <w:vAlign w:val="center"/>
          </w:tcPr>
          <w:p w14:paraId="0421930F">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1713507D">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5B037B10">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0" w:type="auto"/>
            <w:vAlign w:val="center"/>
          </w:tcPr>
          <w:p w14:paraId="2F9502BC">
            <w:pPr>
              <w:spacing w:line="360" w:lineRule="auto"/>
              <w:jc w:val="center"/>
              <w:rPr>
                <w:rFonts w:hint="eastAsia" w:ascii="宋体" w:hAnsi="宋体" w:eastAsia="宋体" w:cs="宋体"/>
                <w:szCs w:val="21"/>
              </w:rPr>
            </w:pPr>
          </w:p>
        </w:tc>
        <w:tc>
          <w:tcPr>
            <w:tcW w:w="0" w:type="auto"/>
          </w:tcPr>
          <w:p w14:paraId="0296ABAF">
            <w:pPr>
              <w:spacing w:line="360"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269" w:type="dxa"/>
            <w:vAlign w:val="center"/>
          </w:tcPr>
          <w:p w14:paraId="694513B1">
            <w:pPr>
              <w:spacing w:line="360" w:lineRule="auto"/>
              <w:jc w:val="center"/>
              <w:rPr>
                <w:rFonts w:hint="eastAsia" w:ascii="宋体" w:hAnsi="宋体" w:eastAsia="宋体" w:cs="宋体"/>
                <w:szCs w:val="21"/>
              </w:rPr>
            </w:pPr>
            <w:r>
              <w:rPr>
                <w:rFonts w:hint="eastAsia" w:ascii="宋体" w:hAnsi="宋体" w:eastAsia="宋体" w:cs="宋体"/>
                <w:szCs w:val="21"/>
              </w:rPr>
              <w:t>20</w:t>
            </w:r>
          </w:p>
        </w:tc>
      </w:tr>
      <w:tr w14:paraId="57F8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5B1E3EF">
            <w:pPr>
              <w:spacing w:line="360" w:lineRule="auto"/>
              <w:jc w:val="center"/>
              <w:rPr>
                <w:rFonts w:hint="eastAsia" w:ascii="宋体" w:hAnsi="宋体" w:eastAsia="宋体" w:cs="宋体"/>
                <w:szCs w:val="21"/>
              </w:rPr>
            </w:pPr>
            <w:r>
              <w:rPr>
                <w:rFonts w:hint="eastAsia" w:ascii="宋体" w:hAnsi="宋体" w:eastAsia="宋体" w:cs="宋体"/>
                <w:szCs w:val="21"/>
              </w:rPr>
              <w:t>合计</w:t>
            </w:r>
          </w:p>
        </w:tc>
        <w:tc>
          <w:tcPr>
            <w:tcW w:w="0" w:type="auto"/>
            <w:vAlign w:val="center"/>
          </w:tcPr>
          <w:p w14:paraId="34820CD6">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0" w:type="auto"/>
            <w:vAlign w:val="center"/>
          </w:tcPr>
          <w:p w14:paraId="7C332C61">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0" w:type="auto"/>
            <w:vAlign w:val="center"/>
          </w:tcPr>
          <w:p w14:paraId="523A7FBF">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0" w:type="auto"/>
            <w:vAlign w:val="center"/>
          </w:tcPr>
          <w:p w14:paraId="29439BA1">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0" w:type="auto"/>
          </w:tcPr>
          <w:p w14:paraId="21B62FC7">
            <w:pPr>
              <w:spacing w:line="360" w:lineRule="auto"/>
              <w:jc w:val="center"/>
              <w:rPr>
                <w:rFonts w:hint="eastAsia" w:ascii="宋体" w:hAnsi="宋体" w:eastAsia="宋体" w:cs="宋体"/>
                <w:szCs w:val="21"/>
              </w:rPr>
            </w:pPr>
            <w:r>
              <w:rPr>
                <w:rFonts w:hint="eastAsia" w:ascii="宋体" w:hAnsi="宋体" w:eastAsia="宋体" w:cs="宋体"/>
                <w:szCs w:val="21"/>
              </w:rPr>
              <w:t>50</w:t>
            </w:r>
          </w:p>
        </w:tc>
        <w:tc>
          <w:tcPr>
            <w:tcW w:w="1269" w:type="dxa"/>
            <w:vAlign w:val="center"/>
          </w:tcPr>
          <w:p w14:paraId="6553B949">
            <w:pPr>
              <w:spacing w:line="360" w:lineRule="auto"/>
              <w:jc w:val="center"/>
              <w:rPr>
                <w:rFonts w:hint="eastAsia" w:ascii="宋体" w:hAnsi="宋体" w:eastAsia="宋体" w:cs="宋体"/>
                <w:szCs w:val="21"/>
              </w:rPr>
            </w:pPr>
            <w:r>
              <w:rPr>
                <w:rFonts w:hint="eastAsia" w:ascii="宋体" w:hAnsi="宋体" w:eastAsia="宋体" w:cs="宋体"/>
                <w:szCs w:val="21"/>
              </w:rPr>
              <w:t>100</w:t>
            </w:r>
          </w:p>
        </w:tc>
      </w:tr>
      <w:bookmarkEnd w:id="1239"/>
    </w:tbl>
    <w:p w14:paraId="639B7518">
      <w:pPr>
        <w:spacing w:before="156" w:beforeLines="50" w:line="360" w:lineRule="auto"/>
        <w:ind w:firstLine="422" w:firstLineChars="200"/>
        <w:jc w:val="left"/>
        <w:outlineLvl w:val="1"/>
        <w:rPr>
          <w:rFonts w:hint="eastAsia" w:ascii="宋体" w:hAnsi="宋体" w:eastAsia="宋体" w:cs="宋体"/>
          <w:b/>
          <w:szCs w:val="21"/>
        </w:rPr>
      </w:pPr>
      <w:bookmarkStart w:id="1240" w:name="_Toc12051"/>
      <w:r>
        <w:rPr>
          <w:rFonts w:hint="eastAsia" w:ascii="宋体" w:hAnsi="宋体" w:eastAsia="宋体" w:cs="宋体"/>
          <w:b/>
          <w:szCs w:val="21"/>
        </w:rPr>
        <w:t>（二）成绩评定细则</w:t>
      </w:r>
      <w:bookmarkEnd w:id="1240"/>
    </w:p>
    <w:p w14:paraId="5DE81772">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各部分的评价方式和成绩评定的细则如下表所示。</w:t>
      </w:r>
    </w:p>
    <w:p w14:paraId="2BD868AD">
      <w:pPr>
        <w:spacing w:line="360" w:lineRule="auto"/>
        <w:ind w:firstLine="420" w:firstLineChars="200"/>
        <w:jc w:val="left"/>
        <w:rPr>
          <w:rFonts w:hint="eastAsia" w:ascii="宋体" w:hAnsi="宋体" w:eastAsia="宋体" w:cs="宋体"/>
          <w:szCs w:val="21"/>
        </w:rPr>
      </w:pPr>
    </w:p>
    <w:p w14:paraId="28347CC8">
      <w:pPr>
        <w:spacing w:line="360" w:lineRule="auto"/>
        <w:ind w:firstLine="420" w:firstLineChars="200"/>
        <w:jc w:val="left"/>
        <w:rPr>
          <w:rFonts w:hint="eastAsia" w:ascii="宋体" w:hAnsi="宋体" w:eastAsia="宋体" w:cs="宋体"/>
          <w:szCs w:val="21"/>
        </w:rPr>
      </w:pPr>
    </w:p>
    <w:p w14:paraId="00A3C686">
      <w:pPr>
        <w:spacing w:line="360" w:lineRule="auto"/>
        <w:ind w:firstLine="420" w:firstLineChars="200"/>
        <w:jc w:val="left"/>
        <w:rPr>
          <w:rFonts w:hint="eastAsia" w:ascii="宋体" w:hAnsi="宋体" w:eastAsia="宋体" w:cs="宋体"/>
          <w:szCs w:val="21"/>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6691"/>
        <w:gridCol w:w="638"/>
      </w:tblGrid>
      <w:tr w14:paraId="44AE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2603A932">
            <w:pPr>
              <w:jc w:val="center"/>
              <w:rPr>
                <w:rFonts w:hint="eastAsia" w:ascii="宋体" w:hAnsi="宋体" w:eastAsia="宋体" w:cs="宋体"/>
                <w:b/>
                <w:bCs/>
                <w:szCs w:val="21"/>
              </w:rPr>
            </w:pPr>
            <w:bookmarkStart w:id="1241" w:name="OLE_LINK5"/>
            <w:r>
              <w:rPr>
                <w:rFonts w:hint="eastAsia" w:ascii="宋体" w:hAnsi="宋体" w:eastAsia="宋体" w:cs="宋体"/>
                <w:b/>
                <w:bCs/>
                <w:szCs w:val="21"/>
              </w:rPr>
              <w:t>评价方式</w:t>
            </w:r>
          </w:p>
        </w:tc>
        <w:tc>
          <w:tcPr>
            <w:tcW w:w="6691" w:type="dxa"/>
            <w:vAlign w:val="center"/>
          </w:tcPr>
          <w:p w14:paraId="757EA493">
            <w:pPr>
              <w:jc w:val="center"/>
              <w:rPr>
                <w:rFonts w:hint="eastAsia" w:ascii="宋体" w:hAnsi="宋体" w:eastAsia="宋体" w:cs="宋体"/>
                <w:b/>
                <w:bCs/>
                <w:szCs w:val="21"/>
              </w:rPr>
            </w:pPr>
            <w:r>
              <w:rPr>
                <w:rFonts w:hint="eastAsia" w:ascii="宋体" w:hAnsi="宋体" w:eastAsia="宋体" w:cs="宋体"/>
                <w:b/>
                <w:bCs/>
                <w:szCs w:val="21"/>
              </w:rPr>
              <w:t>评定细则</w:t>
            </w:r>
          </w:p>
        </w:tc>
        <w:tc>
          <w:tcPr>
            <w:tcW w:w="0" w:type="auto"/>
            <w:vAlign w:val="center"/>
          </w:tcPr>
          <w:p w14:paraId="167C96B3">
            <w:pPr>
              <w:jc w:val="center"/>
              <w:rPr>
                <w:rFonts w:hint="eastAsia" w:ascii="宋体" w:hAnsi="宋体" w:eastAsia="宋体" w:cs="宋体"/>
                <w:b/>
                <w:bCs/>
                <w:szCs w:val="21"/>
              </w:rPr>
            </w:pPr>
            <w:r>
              <w:rPr>
                <w:rFonts w:hint="eastAsia" w:ascii="宋体" w:hAnsi="宋体" w:eastAsia="宋体" w:cs="宋体"/>
                <w:b/>
                <w:bCs/>
                <w:szCs w:val="21"/>
              </w:rPr>
              <w:t>占比</w:t>
            </w:r>
          </w:p>
        </w:tc>
      </w:tr>
      <w:tr w14:paraId="1E57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652E80AB">
            <w:pPr>
              <w:jc w:val="center"/>
              <w:rPr>
                <w:rFonts w:hint="eastAsia" w:ascii="宋体" w:hAnsi="宋体" w:eastAsia="宋体" w:cs="宋体"/>
                <w:szCs w:val="21"/>
              </w:rPr>
            </w:pPr>
            <w:r>
              <w:rPr>
                <w:rFonts w:hint="eastAsia" w:ascii="宋体" w:hAnsi="宋体" w:eastAsia="宋体" w:cs="宋体"/>
                <w:szCs w:val="21"/>
              </w:rPr>
              <w:t>作业+</w:t>
            </w:r>
          </w:p>
          <w:p w14:paraId="440B0D4B">
            <w:pPr>
              <w:jc w:val="center"/>
              <w:rPr>
                <w:rFonts w:hint="eastAsia" w:ascii="宋体" w:hAnsi="宋体" w:eastAsia="宋体" w:cs="宋体"/>
                <w:szCs w:val="21"/>
              </w:rPr>
            </w:pPr>
            <w:r>
              <w:rPr>
                <w:rFonts w:hint="eastAsia" w:ascii="宋体" w:hAnsi="宋体" w:eastAsia="宋体" w:cs="宋体"/>
                <w:szCs w:val="21"/>
              </w:rPr>
              <w:t>考勤</w:t>
            </w:r>
          </w:p>
        </w:tc>
        <w:tc>
          <w:tcPr>
            <w:tcW w:w="6691" w:type="dxa"/>
            <w:vAlign w:val="center"/>
          </w:tcPr>
          <w:p w14:paraId="7709C2AB">
            <w:pPr>
              <w:spacing w:line="264" w:lineRule="auto"/>
              <w:jc w:val="left"/>
              <w:rPr>
                <w:rFonts w:hint="eastAsia" w:ascii="宋体" w:hAnsi="宋体" w:eastAsia="宋体" w:cs="宋体"/>
                <w:szCs w:val="21"/>
              </w:rPr>
            </w:pPr>
            <w:r>
              <w:rPr>
                <w:rFonts w:hint="eastAsia" w:ascii="宋体" w:hAnsi="宋体" w:eastAsia="宋体" w:cs="宋体"/>
                <w:szCs w:val="21"/>
              </w:rPr>
              <w:t>平时总评=作业平均—考勤扣分，旷课1次扣5分，事假一次扣2分，迟到1次扣1分，病假不扣分（但病假次数达本学期总授课学时的1/3以上者不得参加考核）</w:t>
            </w:r>
          </w:p>
        </w:tc>
        <w:tc>
          <w:tcPr>
            <w:tcW w:w="0" w:type="auto"/>
            <w:vAlign w:val="center"/>
          </w:tcPr>
          <w:p w14:paraId="4C7E24D0">
            <w:pPr>
              <w:jc w:val="center"/>
              <w:rPr>
                <w:rFonts w:hint="eastAsia" w:ascii="宋体" w:hAnsi="宋体" w:eastAsia="宋体" w:cs="宋体"/>
                <w:szCs w:val="21"/>
              </w:rPr>
            </w:pPr>
            <w:r>
              <w:rPr>
                <w:rFonts w:hint="eastAsia" w:ascii="宋体" w:hAnsi="宋体" w:eastAsia="宋体" w:cs="宋体"/>
                <w:szCs w:val="21"/>
              </w:rPr>
              <w:t>10%</w:t>
            </w:r>
          </w:p>
        </w:tc>
      </w:tr>
      <w:tr w14:paraId="5F66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0FB8479C">
            <w:pPr>
              <w:jc w:val="center"/>
              <w:rPr>
                <w:rFonts w:hint="eastAsia" w:ascii="宋体" w:hAnsi="宋体" w:eastAsia="宋体" w:cs="宋体"/>
                <w:szCs w:val="21"/>
              </w:rPr>
            </w:pPr>
            <w:r>
              <w:rPr>
                <w:rFonts w:hint="eastAsia" w:ascii="宋体" w:hAnsi="宋体" w:eastAsia="宋体" w:cs="宋体"/>
                <w:szCs w:val="21"/>
              </w:rPr>
              <w:t>课堂表现</w:t>
            </w:r>
          </w:p>
        </w:tc>
        <w:tc>
          <w:tcPr>
            <w:tcW w:w="6691" w:type="dxa"/>
            <w:vAlign w:val="center"/>
          </w:tcPr>
          <w:p w14:paraId="2B9FDD80">
            <w:pPr>
              <w:widowControl/>
              <w:spacing w:line="264" w:lineRule="auto"/>
              <w:jc w:val="left"/>
              <w:rPr>
                <w:rFonts w:hint="eastAsia" w:ascii="宋体" w:hAnsi="宋体" w:eastAsia="宋体" w:cs="宋体"/>
                <w:szCs w:val="21"/>
              </w:rPr>
            </w:pPr>
            <w:r>
              <w:rPr>
                <w:rFonts w:hint="eastAsia" w:ascii="宋体" w:hAnsi="宋体" w:eastAsia="宋体" w:cs="宋体"/>
                <w:kern w:val="0"/>
                <w:szCs w:val="21"/>
                <w:lang w:bidi="ar"/>
              </w:rPr>
              <w:t>课堂表现主要指课上教师随机提问、组织课堂讨论等，观察学生参与程度，表现良好，按照对应的课程目标及权重给予评定。</w:t>
            </w:r>
          </w:p>
        </w:tc>
        <w:tc>
          <w:tcPr>
            <w:tcW w:w="0" w:type="auto"/>
            <w:vAlign w:val="center"/>
          </w:tcPr>
          <w:p w14:paraId="2F014953">
            <w:pPr>
              <w:jc w:val="center"/>
              <w:rPr>
                <w:rFonts w:hint="eastAsia" w:ascii="宋体" w:hAnsi="宋体" w:eastAsia="宋体" w:cs="宋体"/>
                <w:szCs w:val="21"/>
              </w:rPr>
            </w:pPr>
            <w:r>
              <w:rPr>
                <w:rFonts w:hint="eastAsia" w:ascii="宋体" w:hAnsi="宋体" w:eastAsia="宋体" w:cs="宋体"/>
                <w:szCs w:val="21"/>
              </w:rPr>
              <w:t>10%</w:t>
            </w:r>
          </w:p>
        </w:tc>
      </w:tr>
      <w:tr w14:paraId="76B4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026562E3">
            <w:pPr>
              <w:jc w:val="center"/>
              <w:rPr>
                <w:rFonts w:hint="eastAsia" w:ascii="宋体" w:hAnsi="宋体" w:eastAsia="宋体" w:cs="宋体"/>
                <w:szCs w:val="21"/>
              </w:rPr>
            </w:pPr>
            <w:r>
              <w:rPr>
                <w:rFonts w:hint="eastAsia" w:ascii="宋体" w:hAnsi="宋体" w:eastAsia="宋体" w:cs="宋体"/>
                <w:szCs w:val="21"/>
              </w:rPr>
              <w:t>课内实践</w:t>
            </w:r>
          </w:p>
        </w:tc>
        <w:tc>
          <w:tcPr>
            <w:tcW w:w="6691" w:type="dxa"/>
            <w:vAlign w:val="center"/>
          </w:tcPr>
          <w:p w14:paraId="068F449B">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认真完成4个项目的课内实践，提交相应体裁的作品创作成果，提交儿童文学作品鉴赏、评论小论文；开展儿童文学作品的教材分析和教学方案设计，开展模拟教学并进行组内互评与教师评价相结合的方式。4个项目成绩取平均分作为课内实践分。</w:t>
            </w:r>
          </w:p>
        </w:tc>
        <w:tc>
          <w:tcPr>
            <w:tcW w:w="0" w:type="auto"/>
            <w:vAlign w:val="center"/>
          </w:tcPr>
          <w:p w14:paraId="4147B33F">
            <w:pPr>
              <w:jc w:val="center"/>
              <w:rPr>
                <w:rFonts w:hint="eastAsia" w:ascii="宋体" w:hAnsi="宋体" w:eastAsia="宋体" w:cs="宋体"/>
                <w:szCs w:val="21"/>
              </w:rPr>
            </w:pPr>
            <w:r>
              <w:rPr>
                <w:rFonts w:hint="eastAsia" w:ascii="宋体" w:hAnsi="宋体" w:eastAsia="宋体" w:cs="宋体"/>
                <w:szCs w:val="21"/>
              </w:rPr>
              <w:t>20%</w:t>
            </w:r>
          </w:p>
        </w:tc>
      </w:tr>
      <w:tr w14:paraId="5B48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7D03757F">
            <w:pPr>
              <w:jc w:val="center"/>
              <w:rPr>
                <w:rFonts w:hint="eastAsia" w:ascii="宋体" w:hAnsi="宋体" w:eastAsia="宋体" w:cs="宋体"/>
                <w:szCs w:val="21"/>
              </w:rPr>
            </w:pPr>
            <w:r>
              <w:rPr>
                <w:rFonts w:hint="eastAsia" w:ascii="宋体" w:hAnsi="宋体" w:eastAsia="宋体" w:cs="宋体"/>
                <w:szCs w:val="21"/>
              </w:rPr>
              <w:t>个人展示</w:t>
            </w:r>
          </w:p>
        </w:tc>
        <w:tc>
          <w:tcPr>
            <w:tcW w:w="6691" w:type="dxa"/>
            <w:vAlign w:val="center"/>
          </w:tcPr>
          <w:p w14:paraId="08BF8718">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课前5分钟左右，每位同学评说分享自己近期阅读的儿童文学作家作品或相关儿童文学现象等，以学生表达的流程性、逻辑性和分析的深度为评分的主要依据。</w:t>
            </w:r>
          </w:p>
        </w:tc>
        <w:tc>
          <w:tcPr>
            <w:tcW w:w="0" w:type="auto"/>
            <w:vAlign w:val="center"/>
          </w:tcPr>
          <w:p w14:paraId="36AE643C">
            <w:pPr>
              <w:jc w:val="center"/>
              <w:rPr>
                <w:rFonts w:hint="eastAsia" w:ascii="宋体" w:hAnsi="宋体" w:eastAsia="宋体" w:cs="宋体"/>
                <w:szCs w:val="21"/>
              </w:rPr>
            </w:pPr>
            <w:r>
              <w:rPr>
                <w:rFonts w:hint="eastAsia" w:ascii="宋体" w:hAnsi="宋体" w:eastAsia="宋体" w:cs="宋体"/>
                <w:szCs w:val="21"/>
              </w:rPr>
              <w:t>10%</w:t>
            </w:r>
          </w:p>
        </w:tc>
      </w:tr>
      <w:tr w14:paraId="304E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vAlign w:val="center"/>
          </w:tcPr>
          <w:p w14:paraId="7740E61B">
            <w:pPr>
              <w:jc w:val="center"/>
              <w:rPr>
                <w:rFonts w:hint="eastAsia" w:ascii="宋体" w:hAnsi="宋体" w:eastAsia="宋体" w:cs="宋体"/>
                <w:szCs w:val="21"/>
              </w:rPr>
            </w:pPr>
            <w:r>
              <w:rPr>
                <w:rFonts w:hint="eastAsia" w:ascii="宋体" w:hAnsi="宋体" w:eastAsia="宋体" w:cs="宋体"/>
                <w:szCs w:val="21"/>
              </w:rPr>
              <w:t>期末考试</w:t>
            </w:r>
          </w:p>
        </w:tc>
        <w:tc>
          <w:tcPr>
            <w:tcW w:w="6691" w:type="dxa"/>
            <w:vAlign w:val="center"/>
          </w:tcPr>
          <w:p w14:paraId="0FC882DD">
            <w:pPr>
              <w:spacing w:line="264" w:lineRule="auto"/>
              <w:jc w:val="left"/>
              <w:rPr>
                <w:rFonts w:hint="eastAsia" w:ascii="宋体" w:hAnsi="宋体" w:eastAsia="宋体" w:cs="宋体"/>
                <w:szCs w:val="21"/>
              </w:rPr>
            </w:pPr>
            <w:r>
              <w:rPr>
                <w:rFonts w:hint="eastAsia" w:ascii="宋体" w:hAnsi="宋体" w:eastAsia="宋体" w:cs="宋体"/>
                <w:szCs w:val="21"/>
              </w:rPr>
              <w:t>试卷题型包括填空题、选择题、简答题、论述题、创编或鉴赏题等，以卷面成绩的50%计入课程总成绩。其中考核教育基本理论和知识型题目占30%；考核学生运用基本理论知识进行分析能力的题型占30%；考核学生运用学与教的基本理论和知识进行教学设计的题型占30%；考核学生初步研究能力的题型占10%。</w:t>
            </w:r>
          </w:p>
        </w:tc>
        <w:tc>
          <w:tcPr>
            <w:tcW w:w="0" w:type="auto"/>
            <w:vAlign w:val="center"/>
          </w:tcPr>
          <w:p w14:paraId="1A50FEE0">
            <w:pPr>
              <w:jc w:val="center"/>
              <w:rPr>
                <w:rFonts w:hint="eastAsia" w:ascii="宋体" w:hAnsi="宋体" w:eastAsia="宋体" w:cs="宋体"/>
                <w:szCs w:val="21"/>
              </w:rPr>
            </w:pPr>
            <w:r>
              <w:rPr>
                <w:rFonts w:hint="eastAsia" w:ascii="宋体" w:hAnsi="宋体" w:eastAsia="宋体" w:cs="宋体"/>
                <w:szCs w:val="21"/>
              </w:rPr>
              <w:t>50%</w:t>
            </w:r>
          </w:p>
        </w:tc>
      </w:tr>
      <w:tr w14:paraId="1BDC1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25" w:type="dxa"/>
            <w:vAlign w:val="center"/>
          </w:tcPr>
          <w:p w14:paraId="53539AC9">
            <w:pPr>
              <w:jc w:val="center"/>
              <w:rPr>
                <w:rFonts w:hint="eastAsia" w:ascii="宋体" w:hAnsi="宋体" w:eastAsia="宋体" w:cs="宋体"/>
                <w:b/>
                <w:bCs/>
                <w:szCs w:val="21"/>
              </w:rPr>
            </w:pPr>
            <w:r>
              <w:rPr>
                <w:rFonts w:hint="eastAsia" w:ascii="宋体" w:hAnsi="宋体" w:eastAsia="宋体" w:cs="宋体"/>
                <w:b/>
                <w:bCs/>
                <w:szCs w:val="21"/>
              </w:rPr>
              <w:t>合计</w:t>
            </w:r>
          </w:p>
        </w:tc>
        <w:tc>
          <w:tcPr>
            <w:tcW w:w="6691" w:type="dxa"/>
            <w:vAlign w:val="center"/>
          </w:tcPr>
          <w:p w14:paraId="4965EB88">
            <w:pPr>
              <w:jc w:val="left"/>
              <w:rPr>
                <w:rFonts w:hint="eastAsia" w:ascii="宋体" w:hAnsi="宋体" w:eastAsia="宋体" w:cs="宋体"/>
                <w:szCs w:val="21"/>
              </w:rPr>
            </w:pPr>
          </w:p>
        </w:tc>
        <w:tc>
          <w:tcPr>
            <w:tcW w:w="0" w:type="auto"/>
            <w:vAlign w:val="center"/>
          </w:tcPr>
          <w:p w14:paraId="6609AA6E">
            <w:pPr>
              <w:jc w:val="center"/>
              <w:rPr>
                <w:rFonts w:hint="eastAsia" w:ascii="宋体" w:hAnsi="宋体" w:eastAsia="宋体" w:cs="宋体"/>
                <w:szCs w:val="21"/>
              </w:rPr>
            </w:pPr>
            <w:r>
              <w:rPr>
                <w:rFonts w:hint="eastAsia" w:ascii="宋体" w:hAnsi="宋体" w:eastAsia="宋体" w:cs="宋体"/>
                <w:szCs w:val="21"/>
              </w:rPr>
              <w:t>100%</w:t>
            </w:r>
          </w:p>
        </w:tc>
      </w:tr>
      <w:bookmarkEnd w:id="1241"/>
    </w:tbl>
    <w:p w14:paraId="65A983B8">
      <w:pPr>
        <w:spacing w:line="360" w:lineRule="auto"/>
        <w:ind w:firstLine="422" w:firstLineChars="200"/>
        <w:jc w:val="left"/>
        <w:outlineLvl w:val="1"/>
        <w:rPr>
          <w:rFonts w:hint="eastAsia" w:ascii="宋体" w:hAnsi="宋体" w:eastAsia="宋体" w:cs="宋体"/>
          <w:b/>
          <w:szCs w:val="21"/>
        </w:rPr>
      </w:pPr>
      <w:bookmarkStart w:id="1242" w:name="_Toc1262"/>
      <w:r>
        <w:rPr>
          <w:rFonts w:hint="eastAsia" w:ascii="宋体" w:hAnsi="宋体" w:eastAsia="宋体" w:cs="宋体"/>
          <w:b/>
          <w:szCs w:val="21"/>
        </w:rPr>
        <w:t>（三）课程目标达成度计算方法</w:t>
      </w:r>
      <w:bookmarkEnd w:id="1242"/>
    </w:p>
    <w:p w14:paraId="332F22A1">
      <w:pPr>
        <w:spacing w:line="360" w:lineRule="auto"/>
        <w:ind w:firstLine="411" w:firstLineChars="196"/>
        <w:jc w:val="left"/>
        <w:rPr>
          <w:rFonts w:hint="eastAsia" w:ascii="宋体" w:hAnsi="宋体" w:eastAsia="宋体" w:cs="宋体"/>
          <w:szCs w:val="21"/>
        </w:rPr>
      </w:pPr>
      <w:r>
        <w:rPr>
          <w:rFonts w:hint="eastAsia" w:ascii="宋体" w:hAnsi="宋体" w:eastAsia="宋体" w:cs="宋体"/>
          <w:szCs w:val="21"/>
        </w:rPr>
        <w:t>所有课程目标均需大于等于0.6，否则总评成绩不及格，需要补考或重修。每门课程目标总体达成度计算方法如下：</w:t>
      </w:r>
    </w:p>
    <w:p w14:paraId="32504CD6">
      <w:pPr>
        <w:spacing w:before="156" w:beforeLines="50" w:line="360" w:lineRule="auto"/>
        <w:ind w:firstLine="420" w:firstLineChars="200"/>
        <w:jc w:val="left"/>
        <w:rPr>
          <w:rFonts w:hint="eastAsia" w:ascii="宋体" w:hAnsi="宋体" w:eastAsia="宋体" w:cs="宋体"/>
          <w:b/>
          <w:sz w:val="24"/>
        </w:rPr>
      </w:pPr>
      <w:r>
        <w:rPr>
          <w:rFonts w:hint="eastAsia" w:ascii="宋体" w:hAnsi="宋体" w:eastAsia="宋体" w:cs="宋体"/>
          <w:szCs w:val="21"/>
        </w:rPr>
        <w:object>
          <v:shape id="_x0000_i1060" o:spt="75" type="#_x0000_t75" style="height:24.75pt;width:404.25pt;" o:ole="t" filled="f" o:preferrelative="t" stroked="f" coordsize="21600,21600">
            <v:path/>
            <v:fill on="f" focussize="0,0"/>
            <v:stroke on="f" joinstyle="miter"/>
            <v:imagedata r:id="rId12" o:title=""/>
            <o:lock v:ext="edit" aspectratio="t"/>
            <w10:wrap type="none"/>
            <w10:anchorlock/>
          </v:shape>
          <o:OLEObject Type="Embed" ProgID="Equation.3" ShapeID="_x0000_i1060" DrawAspect="Content" ObjectID="_1468075760" r:id="rId48">
            <o:LockedField>false</o:LockedField>
          </o:OLEObject>
        </w:object>
      </w:r>
      <w:bookmarkStart w:id="1243" w:name="_Toc11499"/>
      <w:bookmarkStart w:id="1244" w:name="_Toc4723"/>
      <w:bookmarkStart w:id="1245" w:name="_Toc16074"/>
      <w:bookmarkStart w:id="1246" w:name="_Toc21683"/>
      <w:bookmarkStart w:id="1247" w:name="_Toc969"/>
      <w:bookmarkStart w:id="1248" w:name="_Toc12049"/>
      <w:bookmarkStart w:id="1249" w:name="_Toc31378"/>
      <w:r>
        <w:rPr>
          <w:rFonts w:hint="eastAsia" w:ascii="宋体" w:hAnsi="宋体" w:eastAsia="宋体" w:cs="宋体"/>
          <w:b/>
          <w:sz w:val="24"/>
        </w:rPr>
        <w:t>五、课内实践</w:t>
      </w:r>
      <w:bookmarkEnd w:id="1243"/>
      <w:bookmarkEnd w:id="1244"/>
      <w:bookmarkEnd w:id="1245"/>
      <w:bookmarkEnd w:id="1246"/>
      <w:bookmarkEnd w:id="1247"/>
      <w:bookmarkEnd w:id="1248"/>
      <w:bookmarkEnd w:id="1249"/>
      <w:r>
        <w:rPr>
          <w:rFonts w:hint="eastAsia" w:ascii="宋体" w:hAnsi="宋体" w:eastAsia="宋体" w:cs="宋体"/>
          <w:b/>
          <w:sz w:val="24"/>
        </w:rPr>
        <w:t xml:space="preserve"> </w:t>
      </w:r>
    </w:p>
    <w:p w14:paraId="4DA0791F">
      <w:pPr>
        <w:spacing w:line="276" w:lineRule="auto"/>
        <w:ind w:firstLine="420" w:firstLineChars="200"/>
        <w:jc w:val="left"/>
        <w:rPr>
          <w:rFonts w:hint="eastAsia" w:ascii="宋体" w:hAnsi="宋体" w:eastAsia="宋体" w:cs="宋体"/>
          <w:szCs w:val="21"/>
        </w:rPr>
      </w:pPr>
      <w:r>
        <w:rPr>
          <w:rFonts w:hint="eastAsia" w:ascii="宋体" w:hAnsi="宋体" w:eastAsia="宋体" w:cs="宋体"/>
          <w:szCs w:val="21"/>
        </w:rPr>
        <w:t>本课程在理论教学的基础上，安排了4个课内实践项目（共16学时），体现了理论与实践的结合，强化对学生的课程思政。</w:t>
      </w:r>
    </w:p>
    <w:p w14:paraId="205369C3">
      <w:pPr>
        <w:spacing w:line="276" w:lineRule="auto"/>
        <w:ind w:firstLine="422" w:firstLineChars="200"/>
        <w:jc w:val="center"/>
        <w:rPr>
          <w:rFonts w:hint="eastAsia" w:ascii="宋体" w:hAnsi="宋体" w:eastAsia="宋体" w:cs="宋体"/>
          <w:b/>
          <w:bCs/>
          <w:szCs w:val="21"/>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6"/>
        <w:gridCol w:w="3113"/>
        <w:gridCol w:w="740"/>
        <w:gridCol w:w="3160"/>
      </w:tblGrid>
      <w:tr w14:paraId="106D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506" w:type="dxa"/>
            <w:vAlign w:val="center"/>
          </w:tcPr>
          <w:p w14:paraId="3B0D2CF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113" w:type="dxa"/>
            <w:vAlign w:val="center"/>
          </w:tcPr>
          <w:p w14:paraId="0382D261">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CCD9420">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05B87502">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39D4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06" w:type="dxa"/>
            <w:vAlign w:val="center"/>
          </w:tcPr>
          <w:p w14:paraId="52A0E978">
            <w:pPr>
              <w:spacing w:line="276" w:lineRule="auto"/>
              <w:jc w:val="center"/>
              <w:rPr>
                <w:rFonts w:hint="eastAsia" w:ascii="宋体" w:hAnsi="宋体" w:eastAsia="宋体" w:cs="宋体"/>
                <w:szCs w:val="21"/>
              </w:rPr>
            </w:pPr>
            <w:r>
              <w:rPr>
                <w:rFonts w:hint="eastAsia" w:ascii="宋体" w:hAnsi="宋体" w:eastAsia="宋体" w:cs="宋体"/>
                <w:szCs w:val="21"/>
              </w:rPr>
              <w:t>儿歌儿童诗写作实践</w:t>
            </w:r>
          </w:p>
        </w:tc>
        <w:tc>
          <w:tcPr>
            <w:tcW w:w="3113" w:type="dxa"/>
            <w:vAlign w:val="center"/>
          </w:tcPr>
          <w:p w14:paraId="02298228">
            <w:pPr>
              <w:spacing w:line="276" w:lineRule="auto"/>
              <w:jc w:val="left"/>
              <w:rPr>
                <w:rFonts w:hint="eastAsia" w:ascii="宋体" w:hAnsi="宋体" w:eastAsia="宋体" w:cs="宋体"/>
                <w:szCs w:val="21"/>
              </w:rPr>
            </w:pPr>
            <w:r>
              <w:rPr>
                <w:rFonts w:hint="eastAsia" w:ascii="宋体" w:hAnsi="宋体" w:eastAsia="宋体" w:cs="宋体"/>
                <w:szCs w:val="21"/>
              </w:rPr>
              <w:t>确定一个主题或规定一类题材，进行课堂创作，提交作品，开展交流和讨论</w:t>
            </w:r>
          </w:p>
        </w:tc>
        <w:tc>
          <w:tcPr>
            <w:tcW w:w="740" w:type="dxa"/>
            <w:vAlign w:val="center"/>
          </w:tcPr>
          <w:p w14:paraId="0D72D8AE">
            <w:pPr>
              <w:spacing w:line="276" w:lineRule="auto"/>
              <w:jc w:val="center"/>
              <w:rPr>
                <w:rFonts w:hint="eastAsia" w:ascii="宋体" w:hAnsi="宋体" w:eastAsia="宋体" w:cs="宋体"/>
                <w:szCs w:val="21"/>
              </w:rPr>
            </w:pPr>
            <w:r>
              <w:rPr>
                <w:rFonts w:hint="eastAsia" w:ascii="宋体" w:hAnsi="宋体" w:eastAsia="宋体" w:cs="宋体"/>
                <w:szCs w:val="21"/>
              </w:rPr>
              <w:t>创编交流</w:t>
            </w:r>
          </w:p>
        </w:tc>
        <w:tc>
          <w:tcPr>
            <w:tcW w:w="3160" w:type="dxa"/>
            <w:vAlign w:val="center"/>
          </w:tcPr>
          <w:p w14:paraId="09EF3BC5">
            <w:pPr>
              <w:spacing w:line="276" w:lineRule="auto"/>
              <w:jc w:val="left"/>
              <w:rPr>
                <w:rFonts w:hint="eastAsia" w:ascii="宋体" w:hAnsi="宋体" w:eastAsia="宋体" w:cs="宋体"/>
                <w:szCs w:val="21"/>
              </w:rPr>
            </w:pPr>
            <w:r>
              <w:rPr>
                <w:rFonts w:hint="eastAsia" w:ascii="宋体" w:hAnsi="宋体" w:eastAsia="宋体" w:cs="宋体"/>
                <w:szCs w:val="21"/>
              </w:rPr>
              <w:t>体验儿童情趣，培养童心意识，爱上儿童和儿童文学事业。</w:t>
            </w:r>
          </w:p>
        </w:tc>
      </w:tr>
      <w:tr w14:paraId="6B08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06" w:type="dxa"/>
            <w:vAlign w:val="center"/>
          </w:tcPr>
          <w:p w14:paraId="2FFD0BA0">
            <w:pPr>
              <w:spacing w:line="276" w:lineRule="auto"/>
              <w:jc w:val="center"/>
              <w:rPr>
                <w:rFonts w:hint="eastAsia" w:ascii="宋体" w:hAnsi="宋体" w:eastAsia="宋体" w:cs="宋体"/>
                <w:szCs w:val="21"/>
              </w:rPr>
            </w:pPr>
            <w:r>
              <w:rPr>
                <w:rFonts w:hint="eastAsia" w:ascii="宋体" w:hAnsi="宋体" w:eastAsia="宋体" w:cs="宋体"/>
                <w:szCs w:val="21"/>
              </w:rPr>
              <w:t>童话寓言或儿童生活故事或儿童回忆散文创作</w:t>
            </w:r>
          </w:p>
        </w:tc>
        <w:tc>
          <w:tcPr>
            <w:tcW w:w="3113" w:type="dxa"/>
            <w:vAlign w:val="center"/>
          </w:tcPr>
          <w:p w14:paraId="19B3B991">
            <w:pPr>
              <w:spacing w:line="276" w:lineRule="auto"/>
              <w:jc w:val="left"/>
              <w:rPr>
                <w:rFonts w:hint="eastAsia" w:ascii="宋体" w:hAnsi="宋体" w:eastAsia="宋体" w:cs="宋体"/>
                <w:szCs w:val="21"/>
              </w:rPr>
            </w:pPr>
            <w:r>
              <w:rPr>
                <w:rFonts w:hint="eastAsia" w:ascii="宋体" w:hAnsi="宋体" w:eastAsia="宋体" w:cs="宋体"/>
                <w:szCs w:val="21"/>
              </w:rPr>
              <w:t>任选一种体裁，确定一个主题或题材，进行课堂创作，提交作品，开展交流和讨论</w:t>
            </w:r>
          </w:p>
        </w:tc>
        <w:tc>
          <w:tcPr>
            <w:tcW w:w="740" w:type="dxa"/>
            <w:vAlign w:val="center"/>
          </w:tcPr>
          <w:p w14:paraId="1EE2AB3F">
            <w:pPr>
              <w:spacing w:line="276" w:lineRule="auto"/>
              <w:jc w:val="center"/>
              <w:rPr>
                <w:rFonts w:hint="eastAsia" w:ascii="宋体" w:hAnsi="宋体" w:eastAsia="宋体" w:cs="宋体"/>
                <w:szCs w:val="21"/>
              </w:rPr>
            </w:pPr>
            <w:r>
              <w:rPr>
                <w:rFonts w:hint="eastAsia" w:ascii="宋体" w:hAnsi="宋体" w:eastAsia="宋体" w:cs="宋体"/>
                <w:szCs w:val="21"/>
              </w:rPr>
              <w:t>创编交流</w:t>
            </w:r>
          </w:p>
        </w:tc>
        <w:tc>
          <w:tcPr>
            <w:tcW w:w="3160" w:type="dxa"/>
            <w:vAlign w:val="center"/>
          </w:tcPr>
          <w:p w14:paraId="78D052DF">
            <w:pPr>
              <w:spacing w:line="276" w:lineRule="auto"/>
              <w:jc w:val="left"/>
              <w:rPr>
                <w:rFonts w:hint="eastAsia" w:ascii="宋体" w:hAnsi="宋体" w:eastAsia="宋体" w:cs="宋体"/>
                <w:szCs w:val="21"/>
              </w:rPr>
            </w:pPr>
            <w:r>
              <w:rPr>
                <w:rFonts w:hint="eastAsia" w:ascii="宋体" w:hAnsi="宋体" w:eastAsia="宋体" w:cs="宋体"/>
                <w:szCs w:val="21"/>
              </w:rPr>
              <w:t>引导学生关注儿童文艺中的精品力作，自觉向广大儿童读者推广介绍各种体裁的中外优秀少儿文艺，培养高雅的文学趣味和高尚的文学品味。</w:t>
            </w:r>
          </w:p>
        </w:tc>
      </w:tr>
      <w:tr w14:paraId="1C035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06" w:type="dxa"/>
            <w:vAlign w:val="center"/>
          </w:tcPr>
          <w:p w14:paraId="3167B956">
            <w:pPr>
              <w:spacing w:line="276" w:lineRule="auto"/>
              <w:jc w:val="center"/>
              <w:rPr>
                <w:rFonts w:hint="eastAsia" w:ascii="宋体" w:hAnsi="宋体" w:eastAsia="宋体" w:cs="宋体"/>
                <w:szCs w:val="21"/>
              </w:rPr>
            </w:pPr>
            <w:r>
              <w:rPr>
                <w:rFonts w:hint="eastAsia" w:ascii="宋体" w:hAnsi="宋体" w:eastAsia="宋体" w:cs="宋体"/>
                <w:szCs w:val="21"/>
              </w:rPr>
              <w:t>儿童文学名家名篇鉴赏与批评</w:t>
            </w:r>
          </w:p>
        </w:tc>
        <w:tc>
          <w:tcPr>
            <w:tcW w:w="3113" w:type="dxa"/>
            <w:vAlign w:val="center"/>
          </w:tcPr>
          <w:p w14:paraId="733DEE55">
            <w:pPr>
              <w:spacing w:line="276" w:lineRule="auto"/>
              <w:jc w:val="left"/>
              <w:rPr>
                <w:rFonts w:hint="eastAsia" w:ascii="宋体" w:hAnsi="宋体" w:eastAsia="宋体" w:cs="宋体"/>
                <w:szCs w:val="21"/>
              </w:rPr>
            </w:pPr>
            <w:r>
              <w:rPr>
                <w:rFonts w:hint="eastAsia" w:ascii="宋体" w:hAnsi="宋体" w:eastAsia="宋体" w:cs="宋体"/>
                <w:szCs w:val="21"/>
              </w:rPr>
              <w:t>选择一个中外儿童文学名著或由名著改变的而儿童影视片，深入研读，认真体验，撰写一篇读后感/观后感/文学评论</w:t>
            </w:r>
          </w:p>
        </w:tc>
        <w:tc>
          <w:tcPr>
            <w:tcW w:w="740" w:type="dxa"/>
            <w:vAlign w:val="center"/>
          </w:tcPr>
          <w:p w14:paraId="29ED27C5">
            <w:pPr>
              <w:spacing w:line="276" w:lineRule="auto"/>
              <w:jc w:val="center"/>
              <w:rPr>
                <w:rFonts w:hint="eastAsia" w:ascii="宋体" w:hAnsi="宋体" w:eastAsia="宋体" w:cs="宋体"/>
                <w:szCs w:val="21"/>
              </w:rPr>
            </w:pPr>
            <w:r>
              <w:rPr>
                <w:rFonts w:hint="eastAsia" w:ascii="宋体" w:hAnsi="宋体" w:eastAsia="宋体" w:cs="宋体"/>
                <w:szCs w:val="21"/>
              </w:rPr>
              <w:t>撰写</w:t>
            </w:r>
          </w:p>
          <w:p w14:paraId="0A1B71D5">
            <w:pPr>
              <w:spacing w:line="276" w:lineRule="auto"/>
              <w:jc w:val="center"/>
              <w:rPr>
                <w:rFonts w:hint="eastAsia" w:ascii="宋体" w:hAnsi="宋体" w:eastAsia="宋体" w:cs="宋体"/>
                <w:szCs w:val="21"/>
              </w:rPr>
            </w:pPr>
            <w:r>
              <w:rPr>
                <w:rFonts w:hint="eastAsia" w:ascii="宋体" w:hAnsi="宋体" w:eastAsia="宋体" w:cs="宋体"/>
                <w:szCs w:val="21"/>
              </w:rPr>
              <w:t>讨论</w:t>
            </w:r>
          </w:p>
        </w:tc>
        <w:tc>
          <w:tcPr>
            <w:tcW w:w="3160" w:type="dxa"/>
            <w:vAlign w:val="center"/>
          </w:tcPr>
          <w:p w14:paraId="59EAB3DF">
            <w:pPr>
              <w:spacing w:line="276" w:lineRule="auto"/>
              <w:jc w:val="left"/>
              <w:rPr>
                <w:rFonts w:hint="eastAsia" w:ascii="宋体" w:hAnsi="宋体" w:eastAsia="宋体" w:cs="宋体"/>
                <w:szCs w:val="21"/>
              </w:rPr>
            </w:pPr>
            <w:r>
              <w:rPr>
                <w:rFonts w:hint="eastAsia" w:ascii="宋体" w:hAnsi="宋体" w:eastAsia="宋体" w:cs="宋体"/>
                <w:szCs w:val="21"/>
              </w:rPr>
              <w:t xml:space="preserve">引导学生准确把握儿童文学鉴赏和批评的价值标准，提升文学审美品味，培养学术规范意识和创新精神。 </w:t>
            </w:r>
          </w:p>
        </w:tc>
      </w:tr>
      <w:tr w14:paraId="5DD3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506" w:type="dxa"/>
            <w:vAlign w:val="center"/>
          </w:tcPr>
          <w:p w14:paraId="46C96D20">
            <w:pPr>
              <w:spacing w:line="276" w:lineRule="auto"/>
              <w:jc w:val="center"/>
              <w:rPr>
                <w:rFonts w:hint="eastAsia" w:ascii="宋体" w:hAnsi="宋体" w:eastAsia="宋体" w:cs="宋体"/>
                <w:szCs w:val="21"/>
              </w:rPr>
            </w:pPr>
            <w:r>
              <w:rPr>
                <w:rFonts w:hint="eastAsia" w:ascii="宋体" w:hAnsi="宋体" w:eastAsia="宋体" w:cs="宋体"/>
                <w:szCs w:val="21"/>
              </w:rPr>
              <w:t>儿童文学作品教学</w:t>
            </w:r>
          </w:p>
        </w:tc>
        <w:tc>
          <w:tcPr>
            <w:tcW w:w="3113" w:type="dxa"/>
            <w:vAlign w:val="center"/>
          </w:tcPr>
          <w:p w14:paraId="386C3493">
            <w:pPr>
              <w:spacing w:line="276" w:lineRule="auto"/>
              <w:jc w:val="left"/>
              <w:rPr>
                <w:rFonts w:hint="eastAsia" w:ascii="宋体" w:hAnsi="宋体" w:eastAsia="宋体" w:cs="宋体"/>
                <w:szCs w:val="21"/>
              </w:rPr>
            </w:pPr>
            <w:r>
              <w:rPr>
                <w:rFonts w:hint="eastAsia" w:ascii="宋体" w:hAnsi="宋体" w:eastAsia="宋体" w:cs="宋体"/>
                <w:szCs w:val="21"/>
              </w:rPr>
              <w:t xml:space="preserve">选择一篇儿童文学作品，深入专研作品内容与艺术，设计一份教学方案，交流分享 </w:t>
            </w:r>
          </w:p>
        </w:tc>
        <w:tc>
          <w:tcPr>
            <w:tcW w:w="740" w:type="dxa"/>
            <w:vAlign w:val="center"/>
          </w:tcPr>
          <w:p w14:paraId="2A29BDFA">
            <w:pPr>
              <w:spacing w:line="276" w:lineRule="auto"/>
              <w:jc w:val="center"/>
              <w:rPr>
                <w:rFonts w:hint="eastAsia" w:ascii="宋体" w:hAnsi="宋体" w:eastAsia="宋体" w:cs="宋体"/>
                <w:szCs w:val="21"/>
              </w:rPr>
            </w:pPr>
            <w:r>
              <w:rPr>
                <w:rFonts w:hint="eastAsia" w:ascii="宋体" w:hAnsi="宋体" w:eastAsia="宋体" w:cs="宋体"/>
                <w:szCs w:val="21"/>
              </w:rPr>
              <w:t>设计交流</w:t>
            </w:r>
          </w:p>
        </w:tc>
        <w:tc>
          <w:tcPr>
            <w:tcW w:w="3160" w:type="dxa"/>
            <w:vAlign w:val="center"/>
          </w:tcPr>
          <w:p w14:paraId="1E69D9BE">
            <w:pPr>
              <w:spacing w:line="276" w:lineRule="auto"/>
              <w:jc w:val="left"/>
              <w:rPr>
                <w:rFonts w:hint="eastAsia" w:ascii="宋体" w:hAnsi="宋体" w:eastAsia="宋体" w:cs="宋体"/>
                <w:szCs w:val="21"/>
              </w:rPr>
            </w:pPr>
            <w:r>
              <w:rPr>
                <w:rFonts w:hint="eastAsia" w:ascii="宋体" w:hAnsi="宋体" w:eastAsia="宋体" w:cs="宋体"/>
                <w:szCs w:val="21"/>
              </w:rPr>
              <w:t>深入领悟优秀儿童文学作品中蕴含的思想意蕴和艺术成就，培养教学实践过程中的创新精神。</w:t>
            </w:r>
          </w:p>
        </w:tc>
      </w:tr>
    </w:tbl>
    <w:p w14:paraId="05462226">
      <w:pPr>
        <w:spacing w:before="62" w:beforeLines="20" w:after="62" w:afterLines="20" w:line="360" w:lineRule="auto"/>
        <w:jc w:val="left"/>
        <w:rPr>
          <w:rFonts w:hint="eastAsia" w:ascii="宋体" w:hAnsi="宋体" w:eastAsia="宋体" w:cs="宋体"/>
          <w:b/>
          <w:sz w:val="24"/>
        </w:rPr>
      </w:pPr>
      <w:bookmarkStart w:id="1250" w:name="_Toc2371"/>
      <w:bookmarkStart w:id="1251" w:name="_Toc5877"/>
      <w:bookmarkStart w:id="1252" w:name="_Toc309"/>
      <w:bookmarkStart w:id="1253" w:name="_Toc18472"/>
      <w:bookmarkStart w:id="1254" w:name="_Toc18158"/>
      <w:bookmarkStart w:id="1255" w:name="_Toc831"/>
      <w:bookmarkStart w:id="1256" w:name="_Toc24859"/>
      <w:r>
        <w:rPr>
          <w:rFonts w:hint="eastAsia" w:ascii="宋体" w:hAnsi="宋体" w:eastAsia="宋体" w:cs="宋体"/>
          <w:b/>
          <w:sz w:val="24"/>
        </w:rPr>
        <w:t>六、有关说明</w:t>
      </w:r>
      <w:bookmarkEnd w:id="1250"/>
      <w:bookmarkEnd w:id="1251"/>
      <w:bookmarkEnd w:id="1252"/>
      <w:bookmarkEnd w:id="1253"/>
      <w:bookmarkEnd w:id="1254"/>
      <w:bookmarkEnd w:id="1255"/>
      <w:bookmarkEnd w:id="1256"/>
    </w:p>
    <w:p w14:paraId="6E98AD85">
      <w:pPr>
        <w:adjustRightInd w:val="0"/>
        <w:snapToGrid w:val="0"/>
        <w:spacing w:line="360" w:lineRule="auto"/>
        <w:ind w:firstLine="422" w:firstLineChars="200"/>
        <w:outlineLvl w:val="1"/>
        <w:rPr>
          <w:rFonts w:hint="eastAsia" w:ascii="宋体" w:hAnsi="宋体" w:eastAsia="宋体" w:cs="宋体"/>
          <w:b/>
          <w:szCs w:val="21"/>
        </w:rPr>
      </w:pPr>
      <w:bookmarkStart w:id="1257" w:name="_Toc12716"/>
      <w:r>
        <w:rPr>
          <w:rFonts w:hint="eastAsia" w:ascii="宋体" w:hAnsi="宋体" w:eastAsia="宋体" w:cs="宋体"/>
          <w:b/>
          <w:szCs w:val="21"/>
        </w:rPr>
        <w:t>（一）持续改进</w:t>
      </w:r>
      <w:bookmarkEnd w:id="1257"/>
    </w:p>
    <w:p w14:paraId="7245BD7A">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根据学生课堂教学中的反应、课后反馈、作业质量、答卷情况，以及领导、督导、教师同行等的听课情况，及时发现和改进教学中的不足之处，确保相应毕业要求指标点达成。</w:t>
      </w:r>
    </w:p>
    <w:p w14:paraId="7882DC64">
      <w:pPr>
        <w:adjustRightInd w:val="0"/>
        <w:snapToGrid w:val="0"/>
        <w:spacing w:line="360" w:lineRule="auto"/>
        <w:ind w:firstLine="422" w:firstLineChars="200"/>
        <w:outlineLvl w:val="1"/>
        <w:rPr>
          <w:rFonts w:hint="eastAsia" w:ascii="宋体" w:hAnsi="宋体" w:eastAsia="宋体" w:cs="宋体"/>
          <w:b/>
          <w:bCs/>
          <w:szCs w:val="21"/>
        </w:rPr>
      </w:pPr>
      <w:bookmarkStart w:id="1258" w:name="_Toc9452"/>
      <w:r>
        <w:rPr>
          <w:rFonts w:hint="eastAsia" w:ascii="宋体" w:hAnsi="宋体" w:eastAsia="宋体" w:cs="宋体"/>
          <w:b/>
          <w:bCs/>
          <w:szCs w:val="21"/>
        </w:rPr>
        <w:t>（二）建议教材</w:t>
      </w:r>
      <w:bookmarkEnd w:id="1258"/>
    </w:p>
    <w:p w14:paraId="4F4DD7E5">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方卫平、王昆建：《儿童文学教程》（第4版），北京：高等教育出版社，2022.8</w:t>
      </w:r>
    </w:p>
    <w:p w14:paraId="786057DC">
      <w:pPr>
        <w:adjustRightInd w:val="0"/>
        <w:snapToGrid w:val="0"/>
        <w:spacing w:line="360" w:lineRule="auto"/>
        <w:ind w:firstLine="422" w:firstLineChars="200"/>
        <w:outlineLvl w:val="1"/>
        <w:rPr>
          <w:rFonts w:hint="eastAsia" w:ascii="宋体" w:hAnsi="宋体" w:eastAsia="宋体" w:cs="宋体"/>
          <w:b/>
          <w:szCs w:val="21"/>
        </w:rPr>
      </w:pPr>
      <w:bookmarkStart w:id="1259" w:name="_Toc183"/>
      <w:r>
        <w:rPr>
          <w:rFonts w:hint="eastAsia" w:ascii="宋体" w:hAnsi="宋体" w:eastAsia="宋体" w:cs="宋体"/>
          <w:b/>
          <w:szCs w:val="21"/>
        </w:rPr>
        <w:t>（三）参考书目及学习资料</w:t>
      </w:r>
      <w:bookmarkEnd w:id="1259"/>
    </w:p>
    <w:p w14:paraId="231793CD">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1.方卫平.儿童文学教程.上海：复旦大学出版社，2015.</w:t>
      </w:r>
    </w:p>
    <w:p w14:paraId="5A8DE322">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2.朱自强.儿童文学概论.北京：高等教育出版社，2009.</w:t>
      </w:r>
    </w:p>
    <w:p w14:paraId="104F6A05">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3.王泉根.儿童文学教程.北京：北京师范大学出版社，2017.</w:t>
      </w:r>
    </w:p>
    <w:p w14:paraId="51A2ED0D">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4.谭旭东.儿童文学概论.北京：中国人民大学出版社，2016.</w:t>
      </w:r>
    </w:p>
    <w:p w14:paraId="726CDE24">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5.黄云生.儿童文学教程.杭州：浙江大学出版社，2018.</w:t>
      </w:r>
    </w:p>
    <w:p w14:paraId="559303C9">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6.吴其南.儿童文学.上海：华东师范大学出版社，2013.</w:t>
      </w:r>
    </w:p>
    <w:p w14:paraId="040527D7">
      <w:pPr>
        <w:adjustRightInd w:val="0"/>
        <w:snapToGrid w:val="0"/>
        <w:spacing w:line="360" w:lineRule="auto"/>
        <w:ind w:firstLine="5040" w:firstLineChars="2400"/>
        <w:jc w:val="right"/>
        <w:rPr>
          <w:rFonts w:hint="eastAsia" w:ascii="宋体" w:hAnsi="宋体" w:eastAsia="宋体" w:cs="宋体"/>
          <w:szCs w:val="21"/>
        </w:rPr>
      </w:pPr>
      <w:r>
        <w:rPr>
          <w:rFonts w:hint="eastAsia" w:ascii="宋体" w:hAnsi="宋体" w:eastAsia="宋体" w:cs="宋体"/>
          <w:szCs w:val="21"/>
        </w:rPr>
        <w:t xml:space="preserve">  执笔人：杨建生</w:t>
      </w:r>
    </w:p>
    <w:p w14:paraId="54D61335">
      <w:pPr>
        <w:adjustRightInd w:val="0"/>
        <w:snapToGrid w:val="0"/>
        <w:spacing w:line="360" w:lineRule="auto"/>
        <w:ind w:firstLine="5670" w:firstLineChars="2700"/>
        <w:jc w:val="right"/>
        <w:rPr>
          <w:rFonts w:hint="eastAsia" w:ascii="宋体" w:hAnsi="宋体" w:eastAsia="宋体" w:cs="宋体"/>
          <w:szCs w:val="21"/>
        </w:rPr>
      </w:pPr>
      <w:r>
        <w:rPr>
          <w:rFonts w:hint="eastAsia" w:ascii="宋体" w:hAnsi="宋体" w:eastAsia="宋体" w:cs="宋体"/>
          <w:szCs w:val="21"/>
        </w:rPr>
        <w:t xml:space="preserve">  审定人：王  健</w:t>
      </w:r>
      <w:r>
        <w:rPr>
          <w:rFonts w:hint="eastAsia" w:ascii="宋体" w:hAnsi="宋体" w:eastAsia="宋体" w:cs="宋体"/>
          <w:kern w:val="0"/>
          <w:szCs w:val="21"/>
        </w:rPr>
        <w:t xml:space="preserve"> </w:t>
      </w:r>
    </w:p>
    <w:p w14:paraId="33ABC99F">
      <w:pPr>
        <w:spacing w:line="360" w:lineRule="auto"/>
        <w:ind w:firstLine="5880" w:firstLineChars="2800"/>
        <w:jc w:val="right"/>
        <w:rPr>
          <w:rFonts w:hint="eastAsia" w:ascii="宋体" w:hAnsi="宋体" w:eastAsia="宋体" w:cs="宋体"/>
          <w:kern w:val="0"/>
          <w:szCs w:val="21"/>
        </w:rPr>
      </w:pPr>
      <w:r>
        <w:rPr>
          <w:rFonts w:hint="eastAsia" w:ascii="宋体" w:hAnsi="宋体" w:eastAsia="宋体" w:cs="宋体"/>
          <w:szCs w:val="21"/>
        </w:rPr>
        <w:t>审批人：</w:t>
      </w:r>
      <w:r>
        <w:rPr>
          <w:rFonts w:hint="eastAsia" w:ascii="宋体" w:hAnsi="宋体" w:eastAsia="宋体" w:cs="宋体"/>
          <w:kern w:val="0"/>
          <w:szCs w:val="21"/>
        </w:rPr>
        <w:t>张志欣</w:t>
      </w:r>
    </w:p>
    <w:p w14:paraId="6062ABC8">
      <w:pPr>
        <w:spacing w:line="360" w:lineRule="auto"/>
        <w:ind w:firstLine="5040" w:firstLineChars="2400"/>
        <w:jc w:val="right"/>
        <w:rPr>
          <w:rFonts w:hint="eastAsia" w:ascii="宋体" w:hAnsi="宋体" w:eastAsia="宋体" w:cs="宋体"/>
          <w:kern w:val="0"/>
          <w:szCs w:val="21"/>
        </w:rPr>
      </w:pPr>
      <w:r>
        <w:rPr>
          <w:rFonts w:hint="eastAsia" w:ascii="宋体" w:hAnsi="宋体" w:eastAsia="宋体" w:cs="宋体"/>
          <w:kern w:val="0"/>
          <w:szCs w:val="21"/>
        </w:rPr>
        <w:t>批准时间：2025年7月1日</w:t>
      </w:r>
    </w:p>
    <w:p w14:paraId="4464FB63">
      <w:pPr>
        <w:rPr>
          <w:rFonts w:hint="eastAsia" w:ascii="宋体" w:hAnsi="宋体" w:eastAsia="宋体" w:cs="宋体"/>
          <w:kern w:val="0"/>
          <w:szCs w:val="21"/>
        </w:rPr>
      </w:pPr>
      <w:r>
        <w:rPr>
          <w:rFonts w:hint="eastAsia" w:ascii="宋体" w:hAnsi="宋体" w:eastAsia="宋体" w:cs="宋体"/>
          <w:kern w:val="0"/>
          <w:szCs w:val="21"/>
        </w:rPr>
        <w:br w:type="page"/>
      </w:r>
    </w:p>
    <w:p w14:paraId="710CD5BC">
      <w:pPr>
        <w:spacing w:line="360" w:lineRule="auto"/>
        <w:jc w:val="center"/>
        <w:outlineLvl w:val="0"/>
        <w:rPr>
          <w:rFonts w:ascii="Times New Roman" w:hAnsi="Times New Roman" w:eastAsia="宋体" w:cs="Times New Roman"/>
          <w:b/>
          <w:sz w:val="44"/>
          <w:szCs w:val="44"/>
        </w:rPr>
      </w:pPr>
      <w:bookmarkStart w:id="1260" w:name="_Toc24245"/>
      <w:bookmarkStart w:id="1261" w:name="_Toc11355"/>
      <w:bookmarkStart w:id="1262" w:name="_Toc278"/>
      <w:bookmarkStart w:id="1263" w:name="_Toc4253"/>
      <w:r>
        <w:rPr>
          <w:rFonts w:hint="eastAsia" w:ascii="Times New Roman" w:hAnsi="Times New Roman" w:eastAsia="宋体" w:cs="Times New Roman"/>
          <w:b/>
          <w:sz w:val="44"/>
          <w:szCs w:val="44"/>
        </w:rPr>
        <w:t>《外国文学》课程教学大纲</w:t>
      </w:r>
      <w:bookmarkEnd w:id="1260"/>
      <w:bookmarkEnd w:id="1261"/>
      <w:bookmarkEnd w:id="1262"/>
      <w:bookmarkEnd w:id="1263"/>
    </w:p>
    <w:p w14:paraId="14708629">
      <w:pPr>
        <w:spacing w:line="360" w:lineRule="auto"/>
        <w:jc w:val="center"/>
        <w:rPr>
          <w:rFonts w:ascii="Times New Roman" w:hAnsi="Times New Roman" w:eastAsia="宋体" w:cs="Times New Roman"/>
          <w:b/>
          <w:bCs/>
          <w:sz w:val="28"/>
          <w:szCs w:val="28"/>
        </w:rPr>
      </w:pPr>
      <w:bookmarkStart w:id="1264" w:name="_Toc8754"/>
      <w:bookmarkStart w:id="1265" w:name="_Toc25199"/>
      <w:bookmarkStart w:id="1266" w:name="_Toc14250"/>
      <w:bookmarkStart w:id="1267" w:name="_Toc26605"/>
      <w:bookmarkStart w:id="1268" w:name="_Toc32345"/>
      <w:bookmarkStart w:id="1269" w:name="_Toc16891"/>
      <w:bookmarkStart w:id="1270" w:name="_Toc10746"/>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Foreign Literature</w:t>
      </w:r>
      <w:r>
        <w:rPr>
          <w:rFonts w:ascii="Times New Roman" w:hAnsi="Times New Roman" w:eastAsia="宋体" w:cs="Times New Roman"/>
          <w:b/>
          <w:bCs/>
          <w:sz w:val="28"/>
          <w:szCs w:val="28"/>
        </w:rPr>
        <w:t>）</w:t>
      </w:r>
      <w:bookmarkEnd w:id="1264"/>
      <w:bookmarkEnd w:id="1265"/>
      <w:bookmarkEnd w:id="1266"/>
      <w:bookmarkEnd w:id="1267"/>
      <w:bookmarkEnd w:id="1268"/>
      <w:bookmarkEnd w:id="1269"/>
      <w:bookmarkEnd w:id="1270"/>
    </w:p>
    <w:p w14:paraId="3BD785EC">
      <w:pPr>
        <w:spacing w:line="360" w:lineRule="auto"/>
        <w:jc w:val="center"/>
        <w:rPr>
          <w:rFonts w:ascii="Times New Roman" w:hAnsi="Times New Roman" w:eastAsia="宋体" w:cs="Times New Roman"/>
          <w:bCs/>
          <w:sz w:val="30"/>
          <w:szCs w:val="30"/>
        </w:rPr>
      </w:pPr>
    </w:p>
    <w:p w14:paraId="56397CF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课程名称：外国文学</w:t>
      </w:r>
    </w:p>
    <w:p w14:paraId="767BB51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课程代码：0705073</w:t>
      </w:r>
    </w:p>
    <w:p w14:paraId="02E0323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分：3</w:t>
      </w:r>
    </w:p>
    <w:p w14:paraId="6DF42F3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w:t>
      </w:r>
    </w:p>
    <w:p w14:paraId="4BC34D4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1E77C17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w:t>
      </w:r>
    </w:p>
    <w:p w14:paraId="73456F3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49C9207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系统学习，学生能够掌握外国文学发展的基本脉络、各个时期代表性的文学思潮及代表作家作品，并能够运用马克思主义文艺观、美学观等文学理论对文学文本进行阐释分析。同时，也让学生更好地了解世界文学与文化，激发学生对人类文化的关注与思考，加深学生对世界文化的多样性、东西方文学的影响与交融现象、人类命运共同体与审美共同体的理解，并且可以潜移默化地对大学生起到情感熏陶、思想教育和道德陶冶的作用。</w:t>
      </w:r>
    </w:p>
    <w:p w14:paraId="43EE928D">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3278FC99">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667F3719">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了解外国文学发展的基本历程和脉络，掌握外国文学史上的重要文学现象、文学思潮、文学流派、代表作家作品。感受世界文学的多样性，认识东西方文学的影响与交融现象。</w:t>
      </w:r>
    </w:p>
    <w:p w14:paraId="397198CB">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能阅读、欣赏、评析外国文学作品，理解作品的思想内容和艺术特色，能辩证地认识外国文学的思想价值和伦理价值，能运用多种批评方法阅读和阐释文学作品，开展初步的学术研究。</w:t>
      </w:r>
    </w:p>
    <w:p w14:paraId="55FF6E00">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培养学生对真、善、美的追求和对知识的探索，培养和健全学生的人文精神，使学生形成正确的审美趣味和品格，让学生拥有开放的胸怀和国际化的视野，在比较视域中理解中国文化的特质，坚定文化自信。</w:t>
      </w:r>
    </w:p>
    <w:p w14:paraId="432BD010">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9FB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2D9DC6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7AE8B55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4C82336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AB0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2098" w:type="dxa"/>
            <w:vAlign w:val="center"/>
          </w:tcPr>
          <w:p w14:paraId="71548410">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毕业要求2教育情怀</w:t>
            </w:r>
          </w:p>
        </w:tc>
        <w:tc>
          <w:tcPr>
            <w:tcW w:w="5688" w:type="dxa"/>
            <w:vAlign w:val="center"/>
          </w:tcPr>
          <w:p w14:paraId="525B4123">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spacing w:val="2"/>
                <w:kern w:val="0"/>
                <w:sz w:val="20"/>
                <w:szCs w:val="20"/>
              </w:rPr>
              <w:t>指标点2-3</w:t>
            </w:r>
            <w:r>
              <w:rPr>
                <w:rFonts w:hint="eastAsia" w:asciiTheme="minorEastAsia" w:hAnsiTheme="minorEastAsia" w:cstheme="minorEastAsia"/>
                <w:spacing w:val="2"/>
                <w:kern w:val="0"/>
                <w:sz w:val="20"/>
                <w:szCs w:val="20"/>
              </w:rPr>
              <w:t>：【自身修养良好】</w:t>
            </w:r>
            <w:r>
              <w:rPr>
                <w:rFonts w:hint="eastAsia" w:ascii="宋体" w:hAnsi="宋体" w:cs="宋体"/>
                <w:sz w:val="20"/>
                <w:szCs w:val="20"/>
              </w:rPr>
              <w:t>具有较好的人文</w:t>
            </w:r>
            <w:r>
              <w:rPr>
                <w:rFonts w:hint="eastAsia" w:cs="宋体"/>
                <w:sz w:val="20"/>
                <w:szCs w:val="20"/>
              </w:rPr>
              <w:t>艺术</w:t>
            </w:r>
            <w:r>
              <w:rPr>
                <w:rFonts w:hint="eastAsia" w:ascii="宋体" w:hAnsi="宋体" w:cs="宋体"/>
                <w:sz w:val="20"/>
                <w:szCs w:val="20"/>
              </w:rPr>
              <w:t>底蕴与科学精神，言行举止符合教师职业标准，情感积极，人格健全，身心健康。</w:t>
            </w:r>
          </w:p>
        </w:tc>
        <w:tc>
          <w:tcPr>
            <w:tcW w:w="1191" w:type="dxa"/>
            <w:vAlign w:val="center"/>
          </w:tcPr>
          <w:p w14:paraId="11DEC824">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课程目标3</w:t>
            </w:r>
          </w:p>
        </w:tc>
      </w:tr>
      <w:tr w14:paraId="0D73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2098" w:type="dxa"/>
            <w:vAlign w:val="center"/>
          </w:tcPr>
          <w:p w14:paraId="58E38440">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毕业要求3学科素养</w:t>
            </w:r>
          </w:p>
        </w:tc>
        <w:tc>
          <w:tcPr>
            <w:tcW w:w="5688" w:type="dxa"/>
            <w:vAlign w:val="center"/>
          </w:tcPr>
          <w:p w14:paraId="2B5569A9">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spacing w:val="2"/>
                <w:kern w:val="0"/>
                <w:sz w:val="20"/>
                <w:szCs w:val="20"/>
              </w:rPr>
              <w:t>指标点3-2</w:t>
            </w:r>
            <w:r>
              <w:rPr>
                <w:rFonts w:hint="eastAsia" w:asciiTheme="minorEastAsia" w:hAnsiTheme="minorEastAsia" w:cstheme="minorEastAsia"/>
                <w:spacing w:val="2"/>
                <w:kern w:val="0"/>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1" w:type="dxa"/>
            <w:vAlign w:val="center"/>
          </w:tcPr>
          <w:p w14:paraId="06C34D24">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课程目标1</w:t>
            </w:r>
          </w:p>
        </w:tc>
      </w:tr>
      <w:tr w14:paraId="7631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2098" w:type="dxa"/>
            <w:vAlign w:val="center"/>
          </w:tcPr>
          <w:p w14:paraId="14F6496C">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毕业要求4教学能力</w:t>
            </w:r>
          </w:p>
        </w:tc>
        <w:tc>
          <w:tcPr>
            <w:tcW w:w="5688" w:type="dxa"/>
            <w:vAlign w:val="center"/>
          </w:tcPr>
          <w:p w14:paraId="476B68FC">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kern w:val="0"/>
                <w:sz w:val="20"/>
                <w:szCs w:val="20"/>
              </w:rPr>
              <w:t>指标点4-1</w:t>
            </w:r>
            <w:r>
              <w:rPr>
                <w:rFonts w:hint="eastAsia" w:asciiTheme="minorEastAsia" w:hAnsiTheme="minorEastAsia" w:cstheme="minorEastAsia"/>
                <w:kern w:val="0"/>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7EA76096">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课程目标2</w:t>
            </w:r>
          </w:p>
        </w:tc>
      </w:tr>
    </w:tbl>
    <w:p w14:paraId="5F5FC5C0">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7832415F">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在扎实掌握外国文学发展的基本历程和脉络，外国文学史上的重要文学现象、文学思潮、文学流派、代表作家作品基础上，能够运用马克思主义文艺观、美学观等文学理论对文学文本进行阐释分析，培养学生对真、善、美的追求和对知识的探索，培养和健全学生的人文精神，使学生形成正确的审美趣味和品格，能够借鉴和吸收外来优秀文化，拥有广阔的学术胸襟和比较视野，增强民族文化自信，促进民族文学的发展。</w:t>
      </w:r>
    </w:p>
    <w:p w14:paraId="3B02C58F">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809"/>
        <w:gridCol w:w="1251"/>
        <w:gridCol w:w="2582"/>
        <w:gridCol w:w="453"/>
        <w:gridCol w:w="1560"/>
        <w:gridCol w:w="97"/>
        <w:gridCol w:w="341"/>
      </w:tblGrid>
      <w:tr w14:paraId="0BD4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05" w:type="dxa"/>
            <w:vAlign w:val="center"/>
          </w:tcPr>
          <w:p w14:paraId="7461D617">
            <w:pPr>
              <w:jc w:val="center"/>
              <w:rPr>
                <w:rFonts w:hint="eastAsia" w:ascii="宋体" w:hAnsi="宋体" w:eastAsia="宋体" w:cs="Times New Roman"/>
                <w:b/>
                <w:szCs w:val="21"/>
              </w:rPr>
            </w:pPr>
            <w:r>
              <w:rPr>
                <w:rFonts w:hint="eastAsia" w:ascii="宋体" w:hAnsi="宋体" w:eastAsia="宋体" w:cs="Times New Roman"/>
                <w:b/>
                <w:szCs w:val="21"/>
              </w:rPr>
              <w:t>知识</w:t>
            </w:r>
          </w:p>
          <w:p w14:paraId="685F13B5">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809" w:type="dxa"/>
            <w:vAlign w:val="center"/>
          </w:tcPr>
          <w:p w14:paraId="22840190">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51" w:type="dxa"/>
            <w:vAlign w:val="center"/>
          </w:tcPr>
          <w:p w14:paraId="3D3CBFFD">
            <w:pPr>
              <w:jc w:val="center"/>
              <w:rPr>
                <w:rFonts w:hint="eastAsia" w:ascii="宋体" w:hAnsi="宋体" w:eastAsia="宋体" w:cs="Times New Roman"/>
                <w:b/>
                <w:szCs w:val="21"/>
              </w:rPr>
            </w:pPr>
            <w:r>
              <w:rPr>
                <w:rFonts w:hint="eastAsia" w:ascii="宋体" w:hAnsi="宋体" w:eastAsia="宋体" w:cs="Times New Roman"/>
                <w:b/>
                <w:szCs w:val="21"/>
              </w:rPr>
              <w:t>对应</w:t>
            </w:r>
          </w:p>
          <w:p w14:paraId="5E9E1C1C">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035" w:type="dxa"/>
            <w:gridSpan w:val="2"/>
            <w:vAlign w:val="center"/>
          </w:tcPr>
          <w:p w14:paraId="72A937C9">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60CDFD26">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gridSpan w:val="2"/>
            <w:vAlign w:val="center"/>
          </w:tcPr>
          <w:p w14:paraId="597580A2">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5723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64821ED">
            <w:pPr>
              <w:spacing w:line="264" w:lineRule="auto"/>
              <w:jc w:val="center"/>
              <w:rPr>
                <w:rFonts w:hint="eastAsia" w:ascii="宋体" w:hAnsi="宋体" w:eastAsia="宋体" w:cs="Times New Roman"/>
                <w:szCs w:val="21"/>
              </w:rPr>
            </w:pPr>
            <w:r>
              <w:rPr>
                <w:rFonts w:hint="eastAsia" w:ascii="宋体" w:hAnsi="宋体" w:eastAsia="宋体" w:cs="Times New Roman"/>
                <w:szCs w:val="21"/>
              </w:rPr>
              <w:t>1.外国文学绪论</w:t>
            </w:r>
          </w:p>
        </w:tc>
        <w:tc>
          <w:tcPr>
            <w:tcW w:w="1809" w:type="dxa"/>
            <w:vAlign w:val="center"/>
          </w:tcPr>
          <w:p w14:paraId="484A8B44">
            <w:pPr>
              <w:spacing w:line="269" w:lineRule="auto"/>
              <w:jc w:val="left"/>
              <w:rPr>
                <w:rFonts w:hint="eastAsia" w:ascii="宋体" w:hAnsi="宋体" w:eastAsia="宋体" w:cs="Times New Roman"/>
                <w:szCs w:val="21"/>
              </w:rPr>
            </w:pPr>
            <w:r>
              <w:rPr>
                <w:rFonts w:hint="eastAsia" w:ascii="宋体" w:hAnsi="宋体" w:eastAsia="宋体" w:cs="Times New Roman"/>
                <w:szCs w:val="21"/>
              </w:rPr>
              <w:t>（1）什么是外国文学</w:t>
            </w:r>
          </w:p>
          <w:p w14:paraId="6ECD8771">
            <w:pPr>
              <w:spacing w:line="269" w:lineRule="auto"/>
              <w:jc w:val="left"/>
              <w:rPr>
                <w:rFonts w:hint="eastAsia" w:ascii="宋体" w:hAnsi="宋体" w:eastAsia="宋体" w:cs="Times New Roman"/>
                <w:szCs w:val="21"/>
              </w:rPr>
            </w:pPr>
            <w:r>
              <w:rPr>
                <w:rFonts w:hint="eastAsia" w:ascii="宋体" w:hAnsi="宋体" w:eastAsia="宋体" w:cs="Times New Roman"/>
                <w:szCs w:val="21"/>
              </w:rPr>
              <w:t>（2）外国文学的历史与现实价值</w:t>
            </w:r>
          </w:p>
          <w:p w14:paraId="5DD1EECA">
            <w:pPr>
              <w:spacing w:line="269" w:lineRule="auto"/>
              <w:jc w:val="left"/>
              <w:rPr>
                <w:rFonts w:hint="eastAsia" w:ascii="宋体" w:hAnsi="宋体" w:eastAsia="宋体" w:cs="Times New Roman"/>
                <w:szCs w:val="21"/>
              </w:rPr>
            </w:pPr>
            <w:r>
              <w:rPr>
                <w:rFonts w:hint="eastAsia" w:ascii="宋体" w:hAnsi="宋体" w:eastAsia="宋体" w:cs="Times New Roman"/>
                <w:szCs w:val="21"/>
              </w:rPr>
              <w:t>（3）外国文学的特征</w:t>
            </w:r>
          </w:p>
          <w:p w14:paraId="59C29538">
            <w:pPr>
              <w:spacing w:line="269" w:lineRule="auto"/>
              <w:jc w:val="left"/>
              <w:rPr>
                <w:rFonts w:hint="eastAsia" w:ascii="宋体" w:hAnsi="宋体" w:eastAsia="宋体" w:cs="Times New Roman"/>
                <w:szCs w:val="21"/>
              </w:rPr>
            </w:pPr>
            <w:r>
              <w:rPr>
                <w:rFonts w:hint="eastAsia" w:ascii="宋体" w:hAnsi="宋体" w:eastAsia="宋体" w:cs="Times New Roman"/>
                <w:szCs w:val="21"/>
              </w:rPr>
              <w:t>（4）为什么要学习外国文学</w:t>
            </w:r>
          </w:p>
        </w:tc>
        <w:tc>
          <w:tcPr>
            <w:tcW w:w="1251" w:type="dxa"/>
            <w:vAlign w:val="center"/>
          </w:tcPr>
          <w:p w14:paraId="18E37D62">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3035" w:type="dxa"/>
            <w:gridSpan w:val="2"/>
            <w:vAlign w:val="center"/>
          </w:tcPr>
          <w:p w14:paraId="6A4DCBA0">
            <w:pPr>
              <w:spacing w:line="269" w:lineRule="auto"/>
              <w:jc w:val="left"/>
              <w:rPr>
                <w:rFonts w:hint="eastAsia" w:ascii="宋体" w:hAnsi="宋体" w:eastAsia="宋体" w:cs="Times New Roman"/>
                <w:szCs w:val="21"/>
              </w:rPr>
            </w:pPr>
            <w:r>
              <w:rPr>
                <w:rFonts w:hint="eastAsia" w:ascii="宋体" w:hAnsi="宋体" w:eastAsia="宋体" w:cs="Times New Roman"/>
                <w:szCs w:val="21"/>
              </w:rPr>
              <w:t>1.让学生初步了解外国文学的发展概况，明确学习外国文学的意义和方法</w:t>
            </w:r>
          </w:p>
          <w:p w14:paraId="4589ADB7">
            <w:pPr>
              <w:spacing w:line="269" w:lineRule="auto"/>
              <w:jc w:val="left"/>
              <w:rPr>
                <w:rFonts w:hint="eastAsia" w:ascii="宋体" w:hAnsi="宋体" w:eastAsia="宋体" w:cs="Times New Roman"/>
                <w:szCs w:val="21"/>
              </w:rPr>
            </w:pPr>
            <w:r>
              <w:rPr>
                <w:rFonts w:hint="eastAsia" w:ascii="宋体" w:hAnsi="宋体" w:eastAsia="宋体" w:cs="Times New Roman"/>
                <w:szCs w:val="21"/>
              </w:rPr>
              <w:t>2.让学生从整体上掌握外国文学发展的基本线索</w:t>
            </w:r>
          </w:p>
          <w:p w14:paraId="4DDA113C">
            <w:pPr>
              <w:spacing w:line="269" w:lineRule="auto"/>
              <w:jc w:val="left"/>
              <w:rPr>
                <w:rFonts w:hint="eastAsia" w:ascii="宋体" w:hAnsi="宋体" w:eastAsia="宋体" w:cs="Times New Roman"/>
                <w:szCs w:val="21"/>
              </w:rPr>
            </w:pPr>
            <w:r>
              <w:rPr>
                <w:rFonts w:hint="eastAsia" w:ascii="宋体" w:hAnsi="宋体" w:eastAsia="宋体" w:cs="Times New Roman"/>
                <w:szCs w:val="21"/>
              </w:rPr>
              <w:t>3.了解外国文学发展的阶段性、文学思潮产生的社会历史背景，辩证地认识与思考外国文学的历史局限性与现实意义</w:t>
            </w:r>
          </w:p>
        </w:tc>
        <w:tc>
          <w:tcPr>
            <w:tcW w:w="1560" w:type="dxa"/>
            <w:vAlign w:val="center"/>
          </w:tcPr>
          <w:p w14:paraId="41D3F6C6">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7BAEEACF">
            <w:pPr>
              <w:spacing w:line="269"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00730216">
            <w:pPr>
              <w:spacing w:line="269" w:lineRule="auto"/>
              <w:jc w:val="center"/>
              <w:rPr>
                <w:rFonts w:hint="eastAsia" w:ascii="宋体" w:hAnsi="宋体" w:eastAsia="宋体" w:cs="Times New Roman"/>
                <w:szCs w:val="21"/>
              </w:rPr>
            </w:pPr>
            <w:r>
              <w:rPr>
                <w:rFonts w:hint="eastAsia" w:ascii="宋体" w:hAnsi="宋体" w:eastAsia="宋体" w:cs="Times New Roman"/>
                <w:szCs w:val="21"/>
              </w:rPr>
              <w:t>1</w:t>
            </w:r>
          </w:p>
        </w:tc>
      </w:tr>
      <w:tr w14:paraId="39B3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EE0983">
            <w:pPr>
              <w:spacing w:line="264" w:lineRule="auto"/>
              <w:jc w:val="center"/>
              <w:rPr>
                <w:rFonts w:hint="eastAsia" w:ascii="宋体" w:hAnsi="宋体" w:eastAsia="宋体" w:cs="Times New Roman"/>
                <w:szCs w:val="21"/>
              </w:rPr>
            </w:pPr>
          </w:p>
        </w:tc>
        <w:tc>
          <w:tcPr>
            <w:tcW w:w="8093" w:type="dxa"/>
            <w:gridSpan w:val="7"/>
            <w:vAlign w:val="center"/>
          </w:tcPr>
          <w:p w14:paraId="39EFA5AE">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了解外国文学的内涵、历史与特征，引导学生认识不同国家和民族文化的多样性与独特性，增强跨文化理解能力，培养尊重和包容多元文化的意识，引导学生对比中外文学的异同，认识到中国文学的独特魅力和价值，辩证地看待外国文学的历史局限性与现实意义，学会用批判性思维分析文学作品中的思想内涵，培养理性思考的能力，树立正确的文化观和价值观。</w:t>
            </w:r>
          </w:p>
        </w:tc>
      </w:tr>
      <w:tr w14:paraId="1033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4042E46">
            <w:pPr>
              <w:spacing w:line="264" w:lineRule="auto"/>
              <w:jc w:val="center"/>
              <w:rPr>
                <w:rFonts w:hint="eastAsia" w:ascii="宋体" w:hAnsi="宋体" w:eastAsia="宋体" w:cs="Times New Roman"/>
                <w:szCs w:val="21"/>
              </w:rPr>
            </w:pPr>
            <w:r>
              <w:rPr>
                <w:rFonts w:hint="eastAsia" w:ascii="宋体" w:hAnsi="宋体" w:eastAsia="宋体" w:cs="Times New Roman"/>
                <w:szCs w:val="21"/>
              </w:rPr>
              <w:t>2.古希腊神话与《荷马史诗》</w:t>
            </w:r>
          </w:p>
        </w:tc>
        <w:tc>
          <w:tcPr>
            <w:tcW w:w="1809" w:type="dxa"/>
            <w:vAlign w:val="center"/>
          </w:tcPr>
          <w:p w14:paraId="6F70155C">
            <w:pPr>
              <w:spacing w:line="269" w:lineRule="auto"/>
              <w:jc w:val="left"/>
              <w:rPr>
                <w:rFonts w:hint="eastAsia" w:ascii="宋体" w:hAnsi="宋体" w:eastAsia="宋体" w:cs="Times New Roman"/>
                <w:szCs w:val="21"/>
              </w:rPr>
            </w:pPr>
            <w:r>
              <w:rPr>
                <w:rFonts w:hint="eastAsia" w:ascii="宋体" w:hAnsi="宋体" w:eastAsia="宋体" w:cs="Times New Roman"/>
                <w:szCs w:val="21"/>
              </w:rPr>
              <w:t>（1）古希腊文明的发展进程与文学发展概况</w:t>
            </w:r>
          </w:p>
          <w:p w14:paraId="39F053C6">
            <w:pPr>
              <w:spacing w:line="269" w:lineRule="auto"/>
              <w:jc w:val="left"/>
              <w:rPr>
                <w:rFonts w:hint="eastAsia" w:ascii="宋体" w:hAnsi="宋体" w:eastAsia="宋体" w:cs="Times New Roman"/>
                <w:szCs w:val="21"/>
              </w:rPr>
            </w:pPr>
            <w:r>
              <w:rPr>
                <w:rFonts w:hint="eastAsia" w:ascii="宋体" w:hAnsi="宋体" w:eastAsia="宋体" w:cs="Times New Roman"/>
                <w:szCs w:val="21"/>
              </w:rPr>
              <w:t>（2）古希腊神话的产生、特点及意义</w:t>
            </w:r>
          </w:p>
          <w:p w14:paraId="53CA9564">
            <w:pPr>
              <w:spacing w:line="269" w:lineRule="auto"/>
              <w:jc w:val="left"/>
              <w:rPr>
                <w:rFonts w:hint="eastAsia" w:ascii="宋体" w:hAnsi="宋体" w:eastAsia="宋体" w:cs="Times New Roman"/>
                <w:szCs w:val="21"/>
              </w:rPr>
            </w:pPr>
            <w:r>
              <w:rPr>
                <w:rFonts w:hint="eastAsia" w:ascii="宋体" w:hAnsi="宋体" w:eastAsia="宋体" w:cs="Times New Roman"/>
                <w:szCs w:val="21"/>
              </w:rPr>
              <w:t>（3）荷马史诗的形成、主要内容和文学价值</w:t>
            </w:r>
          </w:p>
          <w:p w14:paraId="1DD1FB97">
            <w:pPr>
              <w:spacing w:line="269" w:lineRule="auto"/>
              <w:jc w:val="left"/>
              <w:rPr>
                <w:rFonts w:hint="eastAsia" w:ascii="宋体" w:hAnsi="宋体" w:eastAsia="宋体" w:cs="Times New Roman"/>
                <w:szCs w:val="21"/>
              </w:rPr>
            </w:pPr>
          </w:p>
        </w:tc>
        <w:tc>
          <w:tcPr>
            <w:tcW w:w="1251" w:type="dxa"/>
            <w:vAlign w:val="center"/>
          </w:tcPr>
          <w:p w14:paraId="1BAD96AA">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5" w:type="dxa"/>
            <w:gridSpan w:val="2"/>
            <w:vAlign w:val="center"/>
          </w:tcPr>
          <w:p w14:paraId="6D79C42F">
            <w:pPr>
              <w:spacing w:line="269" w:lineRule="auto"/>
              <w:jc w:val="left"/>
              <w:rPr>
                <w:rFonts w:hint="eastAsia" w:ascii="宋体" w:hAnsi="宋体" w:eastAsia="宋体" w:cs="Times New Roman"/>
                <w:szCs w:val="21"/>
              </w:rPr>
            </w:pPr>
            <w:r>
              <w:rPr>
                <w:rFonts w:hint="eastAsia" w:ascii="宋体" w:hAnsi="宋体" w:eastAsia="宋体" w:cs="Times New Roman"/>
                <w:szCs w:val="21"/>
              </w:rPr>
              <w:t>1.了解古希腊罗马文学的主要内容</w:t>
            </w:r>
          </w:p>
          <w:p w14:paraId="73682367">
            <w:pPr>
              <w:spacing w:line="269" w:lineRule="auto"/>
              <w:jc w:val="left"/>
              <w:rPr>
                <w:rFonts w:hint="eastAsia" w:ascii="宋体" w:hAnsi="宋体" w:eastAsia="宋体" w:cs="Times New Roman"/>
                <w:szCs w:val="21"/>
              </w:rPr>
            </w:pPr>
            <w:r>
              <w:rPr>
                <w:rFonts w:hint="eastAsia" w:ascii="宋体" w:hAnsi="宋体" w:eastAsia="宋体" w:cs="Times New Roman"/>
                <w:szCs w:val="21"/>
              </w:rPr>
              <w:t>2.掌握古希腊文化的特征以及对西方文化的影响</w:t>
            </w:r>
          </w:p>
          <w:p w14:paraId="7D2308A5">
            <w:pPr>
              <w:spacing w:line="269" w:lineRule="auto"/>
              <w:jc w:val="left"/>
              <w:rPr>
                <w:rFonts w:hint="eastAsia" w:ascii="宋体" w:hAnsi="宋体" w:eastAsia="宋体" w:cs="Times New Roman"/>
                <w:szCs w:val="21"/>
              </w:rPr>
            </w:pPr>
            <w:r>
              <w:rPr>
                <w:rFonts w:hint="eastAsia" w:ascii="宋体" w:hAnsi="宋体" w:eastAsia="宋体" w:cs="Times New Roman"/>
                <w:szCs w:val="21"/>
              </w:rPr>
              <w:t>3.能用比较的视野看待中国上古神话与古希腊神话的异同</w:t>
            </w:r>
          </w:p>
        </w:tc>
        <w:tc>
          <w:tcPr>
            <w:tcW w:w="1560" w:type="dxa"/>
            <w:vAlign w:val="center"/>
          </w:tcPr>
          <w:p w14:paraId="440FA73D">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278FAE65">
            <w:pPr>
              <w:spacing w:line="269"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4E222D5C">
            <w:pPr>
              <w:spacing w:line="269"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383A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205" w:type="dxa"/>
            <w:vMerge w:val="continue"/>
            <w:vAlign w:val="center"/>
          </w:tcPr>
          <w:p w14:paraId="107A1734">
            <w:pPr>
              <w:spacing w:line="264" w:lineRule="auto"/>
              <w:jc w:val="center"/>
              <w:rPr>
                <w:rFonts w:hint="eastAsia" w:ascii="宋体" w:hAnsi="宋体" w:eastAsia="宋体" w:cs="Times New Roman"/>
                <w:szCs w:val="21"/>
              </w:rPr>
            </w:pPr>
          </w:p>
        </w:tc>
        <w:tc>
          <w:tcPr>
            <w:tcW w:w="8093" w:type="dxa"/>
            <w:gridSpan w:val="7"/>
            <w:vAlign w:val="center"/>
          </w:tcPr>
          <w:p w14:paraId="36D8DA44">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引导学生深入思考古希腊文学中人本主义思想的价值和意义，理解其对西方文学传统和人文精神的深远影响。同时，帮助学生辩证地认识西方文学和文化中个人主义思想的复杂性。</w:t>
            </w:r>
          </w:p>
        </w:tc>
      </w:tr>
      <w:tr w14:paraId="7B17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00945E">
            <w:pPr>
              <w:spacing w:line="264" w:lineRule="auto"/>
              <w:jc w:val="center"/>
              <w:rPr>
                <w:rFonts w:hint="eastAsia" w:ascii="宋体" w:hAnsi="宋体" w:eastAsia="宋体" w:cs="Times New Roman"/>
                <w:szCs w:val="21"/>
              </w:rPr>
            </w:pPr>
            <w:r>
              <w:rPr>
                <w:rFonts w:hint="eastAsia" w:ascii="宋体" w:hAnsi="宋体" w:eastAsia="宋体" w:cs="Times New Roman"/>
                <w:szCs w:val="21"/>
              </w:rPr>
              <w:t>3.古希腊悲剧与《俄狄浦斯王》</w:t>
            </w:r>
          </w:p>
        </w:tc>
        <w:tc>
          <w:tcPr>
            <w:tcW w:w="1809" w:type="dxa"/>
            <w:vAlign w:val="center"/>
          </w:tcPr>
          <w:p w14:paraId="0A48ACDF">
            <w:pPr>
              <w:spacing w:line="269" w:lineRule="auto"/>
              <w:jc w:val="left"/>
              <w:rPr>
                <w:rFonts w:hint="eastAsia" w:ascii="宋体" w:hAnsi="宋体" w:eastAsia="宋体" w:cs="Times New Roman"/>
                <w:szCs w:val="21"/>
              </w:rPr>
            </w:pPr>
            <w:r>
              <w:rPr>
                <w:rFonts w:hint="eastAsia" w:ascii="宋体" w:hAnsi="宋体" w:eastAsia="宋体" w:cs="Times New Roman"/>
                <w:szCs w:val="21"/>
              </w:rPr>
              <w:t>（1）古希腊三大悲剧作家及其代表作品</w:t>
            </w:r>
          </w:p>
          <w:p w14:paraId="211CAEDF">
            <w:pPr>
              <w:spacing w:line="269" w:lineRule="auto"/>
              <w:jc w:val="left"/>
              <w:rPr>
                <w:rFonts w:hint="eastAsia" w:ascii="宋体" w:hAnsi="宋体" w:eastAsia="宋体" w:cs="Times New Roman"/>
                <w:szCs w:val="21"/>
              </w:rPr>
            </w:pPr>
            <w:r>
              <w:rPr>
                <w:rFonts w:hint="eastAsia" w:ascii="宋体" w:hAnsi="宋体" w:eastAsia="宋体" w:cs="Times New Roman"/>
                <w:szCs w:val="21"/>
              </w:rPr>
              <w:t>（2）《俄狄浦斯王》的戏剧技巧与命运主题</w:t>
            </w:r>
          </w:p>
        </w:tc>
        <w:tc>
          <w:tcPr>
            <w:tcW w:w="1251" w:type="dxa"/>
            <w:vAlign w:val="center"/>
          </w:tcPr>
          <w:p w14:paraId="646D5BE7">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5" w:type="dxa"/>
            <w:gridSpan w:val="2"/>
            <w:vAlign w:val="center"/>
          </w:tcPr>
          <w:p w14:paraId="526BA447">
            <w:pPr>
              <w:spacing w:line="269" w:lineRule="auto"/>
              <w:jc w:val="left"/>
              <w:rPr>
                <w:rFonts w:hint="eastAsia" w:ascii="宋体" w:hAnsi="宋体" w:eastAsia="宋体" w:cs="Times New Roman"/>
                <w:szCs w:val="21"/>
              </w:rPr>
            </w:pPr>
            <w:r>
              <w:rPr>
                <w:rFonts w:hint="eastAsia" w:ascii="宋体" w:hAnsi="宋体" w:eastAsia="宋体" w:cs="Times New Roman"/>
                <w:szCs w:val="21"/>
              </w:rPr>
              <w:t>1.掌握古希腊三大悲剧作家及其代表作品</w:t>
            </w:r>
          </w:p>
          <w:p w14:paraId="068A1F33">
            <w:pPr>
              <w:spacing w:line="269" w:lineRule="auto"/>
              <w:jc w:val="left"/>
              <w:rPr>
                <w:rFonts w:hint="eastAsia" w:ascii="宋体" w:hAnsi="宋体" w:eastAsia="宋体" w:cs="Times New Roman"/>
                <w:szCs w:val="21"/>
              </w:rPr>
            </w:pPr>
            <w:r>
              <w:rPr>
                <w:rFonts w:hint="eastAsia" w:ascii="宋体" w:hAnsi="宋体" w:eastAsia="宋体" w:cs="Times New Roman"/>
                <w:szCs w:val="21"/>
              </w:rPr>
              <w:t>2.理解《俄狄浦斯王》的戏剧技巧</w:t>
            </w:r>
          </w:p>
          <w:p w14:paraId="7BDB8E1D">
            <w:pPr>
              <w:spacing w:line="269" w:lineRule="auto"/>
              <w:jc w:val="left"/>
              <w:rPr>
                <w:rFonts w:hint="eastAsia" w:ascii="宋体" w:hAnsi="宋体" w:eastAsia="宋体" w:cs="Times New Roman"/>
                <w:szCs w:val="21"/>
              </w:rPr>
            </w:pPr>
            <w:r>
              <w:rPr>
                <w:rFonts w:hint="eastAsia" w:ascii="宋体" w:hAnsi="宋体" w:eastAsia="宋体" w:cs="Times New Roman"/>
                <w:szCs w:val="21"/>
              </w:rPr>
              <w:t>3.能够分析《俄狄浦斯王》中的命运主题</w:t>
            </w:r>
          </w:p>
        </w:tc>
        <w:tc>
          <w:tcPr>
            <w:tcW w:w="1560" w:type="dxa"/>
            <w:vAlign w:val="center"/>
          </w:tcPr>
          <w:p w14:paraId="30E7DD48">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4A20D89D">
            <w:pPr>
              <w:spacing w:line="269"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6922E77C">
            <w:pPr>
              <w:spacing w:line="269"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3808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10DD6E">
            <w:pPr>
              <w:spacing w:line="264" w:lineRule="auto"/>
              <w:jc w:val="center"/>
              <w:rPr>
                <w:rFonts w:hint="eastAsia" w:ascii="宋体" w:hAnsi="宋体" w:eastAsia="宋体" w:cs="Times New Roman"/>
                <w:szCs w:val="21"/>
              </w:rPr>
            </w:pPr>
          </w:p>
        </w:tc>
        <w:tc>
          <w:tcPr>
            <w:tcW w:w="8093" w:type="dxa"/>
            <w:gridSpan w:val="7"/>
            <w:vAlign w:val="center"/>
          </w:tcPr>
          <w:p w14:paraId="610B8F83">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通过学习古希腊三大悲剧作家及其代表作品，引导学生深入了解西方古典文学的精髓，提升对经典文学作品的鉴赏能力，培养学生的人文素养和审美情趣。</w:t>
            </w:r>
          </w:p>
          <w:p w14:paraId="138D8A88">
            <w:pPr>
              <w:spacing w:line="269" w:lineRule="auto"/>
              <w:jc w:val="left"/>
              <w:rPr>
                <w:rFonts w:hint="eastAsia" w:ascii="宋体" w:hAnsi="宋体" w:eastAsia="宋体" w:cs="Times New Roman"/>
                <w:szCs w:val="21"/>
              </w:rPr>
            </w:pPr>
            <w:r>
              <w:rPr>
                <w:rFonts w:hint="eastAsia" w:ascii="宋体" w:hAnsi="宋体" w:eastAsia="宋体" w:cs="Times New Roman"/>
                <w:szCs w:val="21"/>
              </w:rPr>
              <w:t>增强辩证思维与理性分析能力。引导学生辩证地看待人与命运的关系，理解个体在命运面前的抗争精神，同时认识到命运的不可抗拒性，从而树立正确的人生观和价值观，增强面对生活挑战的勇气和韧性。</w:t>
            </w:r>
          </w:p>
        </w:tc>
      </w:tr>
      <w:tr w14:paraId="3173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D9E943E">
            <w:pPr>
              <w:spacing w:line="276" w:lineRule="auto"/>
              <w:jc w:val="center"/>
              <w:rPr>
                <w:rFonts w:hint="eastAsia" w:ascii="宋体" w:hAnsi="宋体" w:eastAsia="宋体" w:cs="Times New Roman"/>
                <w:szCs w:val="21"/>
              </w:rPr>
            </w:pPr>
            <w:r>
              <w:rPr>
                <w:rFonts w:hint="eastAsia" w:ascii="宋体" w:hAnsi="宋体" w:eastAsia="宋体" w:cs="Times New Roman"/>
                <w:szCs w:val="21"/>
              </w:rPr>
              <w:t>4.中古文学与《神曲》</w:t>
            </w:r>
          </w:p>
        </w:tc>
        <w:tc>
          <w:tcPr>
            <w:tcW w:w="1809" w:type="dxa"/>
            <w:vAlign w:val="center"/>
          </w:tcPr>
          <w:p w14:paraId="37A9CFC9">
            <w:pPr>
              <w:spacing w:line="276" w:lineRule="auto"/>
              <w:jc w:val="left"/>
              <w:rPr>
                <w:rFonts w:hint="eastAsia" w:ascii="宋体" w:hAnsi="宋体" w:eastAsia="宋体" w:cs="Times New Roman"/>
                <w:szCs w:val="21"/>
              </w:rPr>
            </w:pPr>
            <w:r>
              <w:rPr>
                <w:rFonts w:hint="eastAsia" w:ascii="宋体" w:hAnsi="宋体" w:eastAsia="宋体" w:cs="Times New Roman"/>
                <w:szCs w:val="21"/>
              </w:rPr>
              <w:t>（1）欧洲中世纪文学的主要类型和特征</w:t>
            </w:r>
          </w:p>
          <w:p w14:paraId="089533E1">
            <w:pPr>
              <w:spacing w:line="276" w:lineRule="auto"/>
              <w:jc w:val="left"/>
              <w:rPr>
                <w:rFonts w:hint="eastAsia" w:ascii="宋体" w:hAnsi="宋体" w:eastAsia="宋体" w:cs="Times New Roman"/>
                <w:szCs w:val="21"/>
              </w:rPr>
            </w:pPr>
            <w:r>
              <w:rPr>
                <w:rFonts w:hint="eastAsia" w:ascii="宋体" w:hAnsi="宋体" w:eastAsia="宋体" w:cs="Times New Roman"/>
                <w:szCs w:val="21"/>
              </w:rPr>
              <w:t>（2）《一千零一夜》的故事来源、思想内容及艺术特色</w:t>
            </w:r>
          </w:p>
          <w:p w14:paraId="5EF3FAC1">
            <w:pPr>
              <w:spacing w:line="276" w:lineRule="auto"/>
              <w:jc w:val="left"/>
              <w:rPr>
                <w:rFonts w:hint="eastAsia" w:ascii="宋体" w:hAnsi="宋体" w:eastAsia="宋体" w:cs="Times New Roman"/>
                <w:szCs w:val="21"/>
              </w:rPr>
            </w:pPr>
            <w:r>
              <w:rPr>
                <w:rFonts w:hint="eastAsia" w:ascii="宋体" w:hAnsi="宋体" w:eastAsia="宋体" w:cs="Times New Roman"/>
                <w:szCs w:val="21"/>
              </w:rPr>
              <w:t>（3）《神曲》的基本内容、思想意义和艺术特征</w:t>
            </w:r>
          </w:p>
        </w:tc>
        <w:tc>
          <w:tcPr>
            <w:tcW w:w="1251" w:type="dxa"/>
            <w:vAlign w:val="center"/>
          </w:tcPr>
          <w:p w14:paraId="50E7AAE9">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5" w:type="dxa"/>
            <w:gridSpan w:val="2"/>
            <w:vAlign w:val="center"/>
          </w:tcPr>
          <w:p w14:paraId="62947C97">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1.了解中世纪文学的基本类型，掌握欧洲民族史诗的情节和文学史意义</w:t>
            </w:r>
          </w:p>
          <w:p w14:paraId="757CA5C9">
            <w:pPr>
              <w:spacing w:line="276" w:lineRule="auto"/>
              <w:jc w:val="left"/>
              <w:rPr>
                <w:rFonts w:hint="eastAsia" w:ascii="宋体" w:hAnsi="宋体" w:eastAsia="宋体" w:cs="Times New Roman"/>
                <w:szCs w:val="21"/>
              </w:rPr>
            </w:pPr>
            <w:r>
              <w:rPr>
                <w:rFonts w:hint="eastAsia" w:ascii="宋体" w:hAnsi="宋体" w:eastAsia="宋体" w:cs="Times New Roman"/>
                <w:szCs w:val="21"/>
              </w:rPr>
              <w:t>2.体会《神曲》在中世纪和文艺复兴两个时代的承上启下的意义</w:t>
            </w:r>
          </w:p>
        </w:tc>
        <w:tc>
          <w:tcPr>
            <w:tcW w:w="1560" w:type="dxa"/>
            <w:vAlign w:val="center"/>
          </w:tcPr>
          <w:p w14:paraId="49F116AA">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40FF6155">
            <w:pPr>
              <w:spacing w:line="276"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2045D119">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3C87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1205" w:type="dxa"/>
            <w:vMerge w:val="continue"/>
            <w:vAlign w:val="center"/>
          </w:tcPr>
          <w:p w14:paraId="349E262C">
            <w:pPr>
              <w:spacing w:line="276" w:lineRule="auto"/>
              <w:jc w:val="center"/>
              <w:rPr>
                <w:rFonts w:hint="eastAsia" w:ascii="宋体" w:hAnsi="宋体" w:eastAsia="宋体" w:cs="Times New Roman"/>
                <w:szCs w:val="21"/>
              </w:rPr>
            </w:pPr>
          </w:p>
        </w:tc>
        <w:tc>
          <w:tcPr>
            <w:tcW w:w="8093" w:type="dxa"/>
            <w:gridSpan w:val="7"/>
            <w:vAlign w:val="center"/>
          </w:tcPr>
          <w:p w14:paraId="322B2719">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一千零一夜》中传达的抑恶扬善的思想观念、以善为本的世界观、凭借智慧与勇气追求财富和幸福生活的人生观、以及对劳动人民的优秀品质和美好精神的歌颂，引导学生树立正确的世界观、人生观和价值观。引导学生学习但丁的《神曲》中对真善美的追求，理解作品中体现出的作家对现实问题的关切，增强学生在现实生活中与问题共存的勇气。</w:t>
            </w:r>
          </w:p>
        </w:tc>
      </w:tr>
      <w:tr w14:paraId="4C67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90F0A0">
            <w:pPr>
              <w:spacing w:line="276" w:lineRule="auto"/>
              <w:jc w:val="center"/>
              <w:rPr>
                <w:rFonts w:hint="eastAsia" w:ascii="宋体" w:hAnsi="宋体" w:eastAsia="宋体" w:cs="Times New Roman"/>
                <w:szCs w:val="21"/>
              </w:rPr>
            </w:pPr>
            <w:r>
              <w:rPr>
                <w:rFonts w:hint="eastAsia" w:ascii="宋体" w:hAnsi="宋体" w:eastAsia="宋体" w:cs="Times New Roman"/>
                <w:szCs w:val="21"/>
              </w:rPr>
              <w:t>5.文艺复兴时期文学概述与《堂吉诃德》</w:t>
            </w:r>
          </w:p>
        </w:tc>
        <w:tc>
          <w:tcPr>
            <w:tcW w:w="1809" w:type="dxa"/>
            <w:vAlign w:val="center"/>
          </w:tcPr>
          <w:p w14:paraId="596BEFCF">
            <w:pPr>
              <w:spacing w:line="276" w:lineRule="auto"/>
              <w:jc w:val="left"/>
              <w:rPr>
                <w:rFonts w:hint="eastAsia" w:ascii="宋体" w:hAnsi="宋体" w:eastAsia="宋体" w:cs="Times New Roman"/>
                <w:szCs w:val="21"/>
              </w:rPr>
            </w:pPr>
            <w:r>
              <w:rPr>
                <w:rFonts w:hint="eastAsia" w:ascii="宋体" w:hAnsi="宋体" w:eastAsia="宋体" w:cs="Times New Roman"/>
                <w:szCs w:val="21"/>
              </w:rPr>
              <w:t>（1）文艺复兴时期文学概述</w:t>
            </w:r>
          </w:p>
          <w:p w14:paraId="1CDBAF32">
            <w:pPr>
              <w:spacing w:line="276" w:lineRule="auto"/>
              <w:jc w:val="left"/>
              <w:rPr>
                <w:rFonts w:hint="eastAsia" w:ascii="宋体" w:hAnsi="宋体" w:eastAsia="宋体" w:cs="Times New Roman"/>
                <w:szCs w:val="21"/>
              </w:rPr>
            </w:pPr>
            <w:r>
              <w:rPr>
                <w:rFonts w:hint="eastAsia" w:ascii="宋体" w:hAnsi="宋体" w:eastAsia="宋体" w:cs="Times New Roman"/>
                <w:szCs w:val="21"/>
              </w:rPr>
              <w:t>（2）各国人文主义文学的代表作家和作品</w:t>
            </w:r>
          </w:p>
          <w:p w14:paraId="32DCC038">
            <w:pPr>
              <w:spacing w:line="276" w:lineRule="auto"/>
              <w:jc w:val="left"/>
              <w:rPr>
                <w:rFonts w:hint="eastAsia" w:ascii="宋体" w:hAnsi="宋体" w:eastAsia="宋体" w:cs="Times New Roman"/>
                <w:szCs w:val="21"/>
              </w:rPr>
            </w:pPr>
            <w:r>
              <w:rPr>
                <w:rFonts w:hint="eastAsia" w:ascii="宋体" w:hAnsi="宋体" w:eastAsia="宋体" w:cs="Times New Roman"/>
                <w:szCs w:val="21"/>
              </w:rPr>
              <w:t>（3）堂吉诃德形象的矛盾性和复杂性</w:t>
            </w:r>
          </w:p>
        </w:tc>
        <w:tc>
          <w:tcPr>
            <w:tcW w:w="1251" w:type="dxa"/>
            <w:vAlign w:val="center"/>
          </w:tcPr>
          <w:p w14:paraId="59C700E1">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5" w:type="dxa"/>
            <w:gridSpan w:val="2"/>
            <w:vAlign w:val="center"/>
          </w:tcPr>
          <w:p w14:paraId="42799E17">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1.了解14-16世纪欧洲社会文化概况和文艺复兴运动</w:t>
            </w:r>
          </w:p>
          <w:p w14:paraId="4EB2B6D7">
            <w:pPr>
              <w:spacing w:line="276" w:lineRule="auto"/>
              <w:jc w:val="left"/>
              <w:rPr>
                <w:rFonts w:hint="eastAsia" w:ascii="宋体" w:hAnsi="宋体" w:eastAsia="宋体" w:cs="Times New Roman"/>
                <w:szCs w:val="21"/>
              </w:rPr>
            </w:pPr>
            <w:r>
              <w:rPr>
                <w:rFonts w:hint="eastAsia" w:ascii="宋体" w:hAnsi="宋体" w:eastAsia="宋体" w:cs="Times New Roman"/>
                <w:szCs w:val="21"/>
              </w:rPr>
              <w:t>2.理解文艺复兴运动的实质，掌握人文主义的特征</w:t>
            </w:r>
          </w:p>
          <w:p w14:paraId="391D31D2">
            <w:pPr>
              <w:spacing w:line="276" w:lineRule="auto"/>
              <w:jc w:val="left"/>
              <w:rPr>
                <w:rFonts w:hint="eastAsia" w:ascii="宋体" w:hAnsi="宋体" w:eastAsia="宋体" w:cs="Times New Roman"/>
                <w:szCs w:val="21"/>
              </w:rPr>
            </w:pPr>
            <w:r>
              <w:rPr>
                <w:rFonts w:hint="eastAsia" w:ascii="宋体" w:hAnsi="宋体" w:eastAsia="宋体" w:cs="Times New Roman"/>
                <w:szCs w:val="21"/>
              </w:rPr>
              <w:t>3.理解堂吉诃德的人物形象复杂性和作品的艺术成就</w:t>
            </w:r>
          </w:p>
        </w:tc>
        <w:tc>
          <w:tcPr>
            <w:tcW w:w="1560" w:type="dxa"/>
            <w:vAlign w:val="center"/>
          </w:tcPr>
          <w:p w14:paraId="300D055B">
            <w:pPr>
              <w:spacing w:line="276"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7E933325">
            <w:pPr>
              <w:spacing w:line="276"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701E1065">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0C3B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jc w:val="center"/>
        </w:trPr>
        <w:tc>
          <w:tcPr>
            <w:tcW w:w="1205" w:type="dxa"/>
            <w:vMerge w:val="continue"/>
            <w:vAlign w:val="center"/>
          </w:tcPr>
          <w:p w14:paraId="471278A6">
            <w:pPr>
              <w:spacing w:line="276" w:lineRule="auto"/>
              <w:jc w:val="center"/>
              <w:rPr>
                <w:rFonts w:hint="eastAsia" w:ascii="宋体" w:hAnsi="宋体" w:eastAsia="宋体" w:cs="Times New Roman"/>
                <w:szCs w:val="21"/>
              </w:rPr>
            </w:pPr>
          </w:p>
        </w:tc>
        <w:tc>
          <w:tcPr>
            <w:tcW w:w="8093" w:type="dxa"/>
            <w:gridSpan w:val="7"/>
            <w:vAlign w:val="center"/>
          </w:tcPr>
          <w:p w14:paraId="2AAB6481">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文艺复兴运动和这一时期各国代表作家作品的学习，了解文艺复兴运动产生和发展的社会历史条件，辩证地看待作品中所表现出的人文主义精神。通过堂吉诃德的人物形象的矛盾性和复杂性，让学生理解人文主义理想与现实的矛盾。</w:t>
            </w:r>
          </w:p>
        </w:tc>
      </w:tr>
      <w:tr w14:paraId="2D11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DFBB423">
            <w:pPr>
              <w:spacing w:line="276" w:lineRule="auto"/>
              <w:jc w:val="center"/>
              <w:rPr>
                <w:rFonts w:hint="eastAsia" w:ascii="宋体" w:hAnsi="宋体" w:eastAsia="宋体" w:cs="Times New Roman"/>
                <w:szCs w:val="21"/>
              </w:rPr>
            </w:pPr>
            <w:r>
              <w:rPr>
                <w:rFonts w:hint="eastAsia" w:ascii="宋体" w:hAnsi="宋体" w:eastAsia="宋体" w:cs="Times New Roman"/>
                <w:szCs w:val="21"/>
              </w:rPr>
              <w:t>6.莎士比亚</w:t>
            </w:r>
          </w:p>
        </w:tc>
        <w:tc>
          <w:tcPr>
            <w:tcW w:w="1809" w:type="dxa"/>
            <w:vAlign w:val="center"/>
          </w:tcPr>
          <w:p w14:paraId="1C3A8001">
            <w:pPr>
              <w:spacing w:line="276" w:lineRule="auto"/>
              <w:jc w:val="left"/>
              <w:rPr>
                <w:rFonts w:hint="eastAsia" w:ascii="宋体" w:hAnsi="宋体" w:eastAsia="宋体" w:cs="Times New Roman"/>
                <w:szCs w:val="21"/>
              </w:rPr>
            </w:pPr>
            <w:r>
              <w:rPr>
                <w:rFonts w:hint="eastAsia" w:ascii="宋体" w:hAnsi="宋体" w:eastAsia="宋体" w:cs="Times New Roman"/>
                <w:szCs w:val="21"/>
              </w:rPr>
              <w:t>（1）莎士比亚的生平与创作</w:t>
            </w:r>
          </w:p>
          <w:p w14:paraId="0B4D5F50">
            <w:pPr>
              <w:spacing w:line="276" w:lineRule="auto"/>
              <w:jc w:val="left"/>
              <w:rPr>
                <w:rFonts w:hint="eastAsia" w:ascii="宋体" w:hAnsi="宋体" w:eastAsia="宋体" w:cs="Times New Roman"/>
                <w:szCs w:val="21"/>
              </w:rPr>
            </w:pPr>
            <w:r>
              <w:rPr>
                <w:rFonts w:hint="eastAsia" w:ascii="宋体" w:hAnsi="宋体" w:eastAsia="宋体" w:cs="Times New Roman"/>
                <w:szCs w:val="21"/>
              </w:rPr>
              <w:t>（2）《威尼斯商人》</w:t>
            </w:r>
          </w:p>
          <w:p w14:paraId="324E3556">
            <w:pPr>
              <w:spacing w:line="276" w:lineRule="auto"/>
              <w:jc w:val="left"/>
              <w:rPr>
                <w:rFonts w:hint="eastAsia" w:ascii="宋体" w:hAnsi="宋体" w:eastAsia="宋体" w:cs="Times New Roman"/>
                <w:szCs w:val="21"/>
              </w:rPr>
            </w:pPr>
            <w:r>
              <w:rPr>
                <w:rFonts w:hint="eastAsia" w:ascii="宋体" w:hAnsi="宋体" w:eastAsia="宋体" w:cs="Times New Roman"/>
                <w:szCs w:val="21"/>
              </w:rPr>
              <w:t>（3）哈姆莱特形象的复杂性和深刻性</w:t>
            </w:r>
          </w:p>
        </w:tc>
        <w:tc>
          <w:tcPr>
            <w:tcW w:w="1251" w:type="dxa"/>
            <w:vAlign w:val="center"/>
          </w:tcPr>
          <w:p w14:paraId="7D6103B3">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5" w:type="dxa"/>
            <w:gridSpan w:val="2"/>
            <w:vAlign w:val="center"/>
          </w:tcPr>
          <w:p w14:paraId="0DD7D39B">
            <w:pPr>
              <w:spacing w:line="276"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了解</w:t>
            </w:r>
            <w:r>
              <w:rPr>
                <w:rFonts w:hint="eastAsia" w:ascii="宋体" w:hAnsi="宋体" w:eastAsia="宋体" w:cs="Times New Roman"/>
                <w:szCs w:val="21"/>
              </w:rPr>
              <w:t>莎士比亚的创作的分期及代表作品</w:t>
            </w:r>
          </w:p>
          <w:p w14:paraId="2BDD923D">
            <w:pPr>
              <w:spacing w:line="276" w:lineRule="auto"/>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w:t>
            </w:r>
            <w:r>
              <w:rPr>
                <w:rFonts w:hint="eastAsia" w:ascii="宋体" w:hAnsi="宋体" w:eastAsia="宋体" w:cs="Times New Roman"/>
                <w:szCs w:val="21"/>
              </w:rPr>
              <w:t>《威尼斯商人》的戏剧冲突及人文主义理想</w:t>
            </w:r>
          </w:p>
          <w:p w14:paraId="6E3FF916">
            <w:pPr>
              <w:spacing w:line="276" w:lineRule="auto"/>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掌握</w:t>
            </w:r>
            <w:r>
              <w:rPr>
                <w:rFonts w:hint="eastAsia" w:ascii="宋体" w:hAnsi="宋体" w:eastAsia="宋体" w:cs="Times New Roman"/>
                <w:szCs w:val="21"/>
              </w:rPr>
              <w:t>哈姆莱特探索的核心性格特征</w:t>
            </w:r>
          </w:p>
        </w:tc>
        <w:tc>
          <w:tcPr>
            <w:tcW w:w="1560" w:type="dxa"/>
            <w:vAlign w:val="center"/>
          </w:tcPr>
          <w:p w14:paraId="2743B369">
            <w:pPr>
              <w:spacing w:line="276"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6B4684B4">
            <w:pPr>
              <w:spacing w:line="276"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0B5DEB20">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1D78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576A92">
            <w:pPr>
              <w:spacing w:line="276" w:lineRule="auto"/>
              <w:jc w:val="center"/>
              <w:rPr>
                <w:rFonts w:hint="eastAsia" w:ascii="宋体" w:hAnsi="宋体" w:eastAsia="宋体" w:cs="Times New Roman"/>
                <w:szCs w:val="21"/>
              </w:rPr>
            </w:pPr>
          </w:p>
        </w:tc>
        <w:tc>
          <w:tcPr>
            <w:tcW w:w="8093" w:type="dxa"/>
            <w:gridSpan w:val="7"/>
            <w:vAlign w:val="center"/>
          </w:tcPr>
          <w:p w14:paraId="54A01CA8">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莎士比亚的生平与创作，引导学生深入了解文艺复兴时期的人文主义思想，感受莎士比亚作品中对人性、爱情、友谊和正义的深刻探讨，提升学生的人文素养和审美情趣，结合莎士比亚作品中人物形象的矛盾性和复杂性，让学生理解人文主义理想与现实的矛盾。</w:t>
            </w:r>
          </w:p>
        </w:tc>
      </w:tr>
      <w:tr w14:paraId="1483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B2F998D">
            <w:pPr>
              <w:spacing w:line="276" w:lineRule="auto"/>
              <w:jc w:val="center"/>
              <w:rPr>
                <w:rFonts w:hint="eastAsia" w:ascii="宋体" w:hAnsi="宋体" w:eastAsia="宋体" w:cs="Times New Roman"/>
                <w:szCs w:val="21"/>
              </w:rPr>
            </w:pPr>
            <w:r>
              <w:rPr>
                <w:rFonts w:hint="eastAsia" w:ascii="宋体" w:hAnsi="宋体" w:eastAsia="宋体" w:cs="Times New Roman"/>
                <w:szCs w:val="21"/>
              </w:rPr>
              <w:t>7.17世纪文学</w:t>
            </w:r>
          </w:p>
        </w:tc>
        <w:tc>
          <w:tcPr>
            <w:tcW w:w="1809" w:type="dxa"/>
            <w:vAlign w:val="center"/>
          </w:tcPr>
          <w:p w14:paraId="5C227CCE">
            <w:pPr>
              <w:spacing w:line="276" w:lineRule="auto"/>
              <w:jc w:val="left"/>
              <w:rPr>
                <w:rFonts w:hint="eastAsia" w:ascii="宋体" w:hAnsi="宋体" w:eastAsia="宋体" w:cs="Times New Roman"/>
                <w:szCs w:val="21"/>
              </w:rPr>
            </w:pPr>
            <w:r>
              <w:rPr>
                <w:rFonts w:hint="eastAsia" w:ascii="宋体" w:hAnsi="宋体" w:eastAsia="宋体" w:cs="Times New Roman"/>
                <w:szCs w:val="21"/>
              </w:rPr>
              <w:t>（1）17世纪欧洲社会历史概况与文学思潮</w:t>
            </w:r>
          </w:p>
          <w:p w14:paraId="321AC8B9">
            <w:pPr>
              <w:spacing w:line="276" w:lineRule="auto"/>
              <w:jc w:val="left"/>
              <w:rPr>
                <w:rFonts w:hint="eastAsia" w:ascii="宋体" w:hAnsi="宋体" w:eastAsia="宋体" w:cs="Times New Roman"/>
                <w:szCs w:val="21"/>
              </w:rPr>
            </w:pPr>
            <w:r>
              <w:rPr>
                <w:rFonts w:hint="eastAsia" w:ascii="宋体" w:hAnsi="宋体" w:eastAsia="宋体" w:cs="Times New Roman"/>
                <w:szCs w:val="21"/>
              </w:rPr>
              <w:t>（2）古典主义文学的代表作家及作品</w:t>
            </w:r>
          </w:p>
          <w:p w14:paraId="48932B89">
            <w:pPr>
              <w:spacing w:line="276" w:lineRule="auto"/>
              <w:jc w:val="left"/>
              <w:rPr>
                <w:rFonts w:hint="eastAsia" w:ascii="宋体" w:hAnsi="宋体" w:eastAsia="宋体" w:cs="Times New Roman"/>
                <w:szCs w:val="21"/>
              </w:rPr>
            </w:pPr>
            <w:r>
              <w:rPr>
                <w:rFonts w:hint="eastAsia" w:ascii="宋体" w:hAnsi="宋体" w:eastAsia="宋体" w:cs="Times New Roman"/>
                <w:szCs w:val="21"/>
              </w:rPr>
              <w:t>（3）莫里哀与《伪君子》</w:t>
            </w:r>
          </w:p>
        </w:tc>
        <w:tc>
          <w:tcPr>
            <w:tcW w:w="1251" w:type="dxa"/>
            <w:vAlign w:val="center"/>
          </w:tcPr>
          <w:p w14:paraId="50FA07CD">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5" w:type="dxa"/>
            <w:gridSpan w:val="2"/>
            <w:vAlign w:val="center"/>
          </w:tcPr>
          <w:p w14:paraId="230A25EE">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1.了解古典主义文学与巴洛克文学的特征</w:t>
            </w:r>
          </w:p>
          <w:p w14:paraId="575DE8DC">
            <w:pPr>
              <w:spacing w:line="276" w:lineRule="auto"/>
              <w:jc w:val="left"/>
              <w:rPr>
                <w:rFonts w:hint="eastAsia" w:ascii="宋体" w:hAnsi="宋体" w:eastAsia="宋体" w:cs="Times New Roman"/>
                <w:szCs w:val="21"/>
              </w:rPr>
            </w:pPr>
            <w:r>
              <w:rPr>
                <w:rFonts w:hint="eastAsia" w:ascii="宋体" w:hAnsi="宋体" w:eastAsia="宋体" w:cs="Times New Roman"/>
                <w:szCs w:val="21"/>
              </w:rPr>
              <w:t>2.掌握古典主义戏剧的创作原则</w:t>
            </w:r>
          </w:p>
          <w:p w14:paraId="48BB321D">
            <w:pPr>
              <w:spacing w:line="276" w:lineRule="auto"/>
              <w:jc w:val="left"/>
              <w:rPr>
                <w:rFonts w:hint="eastAsia" w:ascii="宋体" w:hAnsi="宋体" w:eastAsia="宋体" w:cs="Times New Roman"/>
                <w:szCs w:val="21"/>
              </w:rPr>
            </w:pPr>
            <w:r>
              <w:rPr>
                <w:rFonts w:hint="eastAsia" w:ascii="宋体" w:hAnsi="宋体" w:eastAsia="宋体" w:cs="Times New Roman"/>
                <w:szCs w:val="21"/>
              </w:rPr>
              <w:t>3.掌握莫里哀的代表作品及创作特色</w:t>
            </w:r>
          </w:p>
        </w:tc>
        <w:tc>
          <w:tcPr>
            <w:tcW w:w="1560" w:type="dxa"/>
            <w:vAlign w:val="center"/>
          </w:tcPr>
          <w:p w14:paraId="507E557B">
            <w:pPr>
              <w:spacing w:line="276"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19A22C73">
            <w:pPr>
              <w:spacing w:line="276"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7D8FE64E">
            <w:pPr>
              <w:spacing w:line="276"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75A2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205" w:type="dxa"/>
            <w:vMerge w:val="continue"/>
            <w:vAlign w:val="center"/>
          </w:tcPr>
          <w:p w14:paraId="08DAF321">
            <w:pPr>
              <w:spacing w:line="276" w:lineRule="auto"/>
              <w:jc w:val="center"/>
              <w:rPr>
                <w:rFonts w:hint="eastAsia" w:ascii="宋体" w:hAnsi="宋体" w:eastAsia="宋体" w:cs="Times New Roman"/>
                <w:szCs w:val="21"/>
              </w:rPr>
            </w:pPr>
          </w:p>
        </w:tc>
        <w:tc>
          <w:tcPr>
            <w:tcW w:w="8093" w:type="dxa"/>
            <w:gridSpan w:val="7"/>
            <w:vAlign w:val="center"/>
          </w:tcPr>
          <w:p w14:paraId="52ADEE7C">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了解古典主义文艺思潮产生和发展的社会历史条件，关注文学与现实生活的密切联系，同时学习西方文学中的理性精神。</w:t>
            </w:r>
          </w:p>
        </w:tc>
      </w:tr>
      <w:tr w14:paraId="29637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92D3C5C">
            <w:pPr>
              <w:spacing w:line="264" w:lineRule="auto"/>
              <w:jc w:val="center"/>
              <w:rPr>
                <w:rFonts w:hint="eastAsia" w:ascii="宋体" w:hAnsi="宋体" w:eastAsia="宋体" w:cs="Times New Roman"/>
                <w:szCs w:val="21"/>
              </w:rPr>
            </w:pPr>
            <w:r>
              <w:rPr>
                <w:rFonts w:hint="eastAsia" w:ascii="宋体" w:hAnsi="宋体" w:eastAsia="宋体" w:cs="Times New Roman"/>
                <w:szCs w:val="21"/>
              </w:rPr>
              <w:t>8.18世纪文学概述</w:t>
            </w:r>
          </w:p>
        </w:tc>
        <w:tc>
          <w:tcPr>
            <w:tcW w:w="1809" w:type="dxa"/>
            <w:vAlign w:val="center"/>
          </w:tcPr>
          <w:p w14:paraId="27714767">
            <w:pPr>
              <w:spacing w:line="264" w:lineRule="auto"/>
              <w:jc w:val="left"/>
              <w:rPr>
                <w:rFonts w:hint="eastAsia" w:ascii="宋体" w:hAnsi="宋体" w:eastAsia="宋体" w:cs="Times New Roman"/>
                <w:szCs w:val="21"/>
              </w:rPr>
            </w:pPr>
            <w:r>
              <w:rPr>
                <w:rFonts w:hint="eastAsia" w:ascii="宋体" w:hAnsi="宋体" w:eastAsia="宋体" w:cs="Times New Roman"/>
                <w:szCs w:val="21"/>
              </w:rPr>
              <w:t>（1）启蒙运动的思想核心“理性崇拜”</w:t>
            </w:r>
          </w:p>
          <w:p w14:paraId="3FCCF3D0">
            <w:pPr>
              <w:spacing w:line="264" w:lineRule="auto"/>
              <w:jc w:val="left"/>
              <w:rPr>
                <w:rFonts w:hint="eastAsia" w:ascii="宋体" w:hAnsi="宋体" w:eastAsia="宋体" w:cs="Times New Roman"/>
                <w:szCs w:val="21"/>
              </w:rPr>
            </w:pPr>
            <w:r>
              <w:rPr>
                <w:rFonts w:hint="eastAsia" w:ascii="宋体" w:hAnsi="宋体" w:eastAsia="宋体" w:cs="Times New Roman"/>
                <w:szCs w:val="21"/>
              </w:rPr>
              <w:t>（2）启蒙主义文学在欧洲各国的发展及代表作家作品</w:t>
            </w:r>
          </w:p>
          <w:p w14:paraId="34B251A6">
            <w:pPr>
              <w:spacing w:line="264" w:lineRule="auto"/>
              <w:jc w:val="left"/>
              <w:rPr>
                <w:rFonts w:hint="eastAsia" w:ascii="宋体" w:hAnsi="宋体" w:eastAsia="宋体" w:cs="Times New Roman"/>
                <w:szCs w:val="21"/>
              </w:rPr>
            </w:pPr>
            <w:r>
              <w:rPr>
                <w:rFonts w:hint="eastAsia" w:ascii="宋体" w:hAnsi="宋体" w:eastAsia="宋体" w:cs="Times New Roman"/>
                <w:szCs w:val="21"/>
              </w:rPr>
              <w:t>（3）启蒙文学的基本特征</w:t>
            </w:r>
          </w:p>
        </w:tc>
        <w:tc>
          <w:tcPr>
            <w:tcW w:w="1251" w:type="dxa"/>
            <w:vAlign w:val="center"/>
          </w:tcPr>
          <w:p w14:paraId="37F3140A">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5" w:type="dxa"/>
            <w:gridSpan w:val="2"/>
            <w:vAlign w:val="center"/>
          </w:tcPr>
          <w:p w14:paraId="03548918">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1.了解启蒙主义文学在欧洲各国的发展</w:t>
            </w:r>
          </w:p>
          <w:p w14:paraId="5D1C1FCE">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2.理解启蒙主义文学的政论性、哲理性和民主性</w:t>
            </w:r>
          </w:p>
          <w:p w14:paraId="1AFD039F">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3.掌握启蒙主义思想在各国文学作品中的体现</w:t>
            </w:r>
          </w:p>
        </w:tc>
        <w:tc>
          <w:tcPr>
            <w:tcW w:w="1560" w:type="dxa"/>
            <w:vAlign w:val="center"/>
          </w:tcPr>
          <w:p w14:paraId="7780B6D0">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1FF2316A">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295E800F">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697CE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205" w:type="dxa"/>
            <w:vMerge w:val="continue"/>
            <w:vAlign w:val="center"/>
          </w:tcPr>
          <w:p w14:paraId="68C0CE4F">
            <w:pPr>
              <w:spacing w:line="264" w:lineRule="auto"/>
              <w:jc w:val="center"/>
              <w:rPr>
                <w:rFonts w:hint="eastAsia" w:ascii="宋体" w:hAnsi="宋体" w:eastAsia="宋体" w:cs="Times New Roman"/>
                <w:szCs w:val="21"/>
              </w:rPr>
            </w:pPr>
          </w:p>
        </w:tc>
        <w:tc>
          <w:tcPr>
            <w:tcW w:w="8093" w:type="dxa"/>
            <w:gridSpan w:val="7"/>
            <w:vAlign w:val="center"/>
          </w:tcPr>
          <w:p w14:paraId="47B79932">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通过学习启蒙运动的思想核心“理性崇拜”，引导学生理解理性在推动社会进步和思想解放中的重要作用，培养学生的理性思维能力，鼓励学生用批判性的眼光审视社会现象和传统观念。</w:t>
            </w:r>
          </w:p>
        </w:tc>
      </w:tr>
      <w:tr w14:paraId="18BB8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jc w:val="center"/>
        </w:trPr>
        <w:tc>
          <w:tcPr>
            <w:tcW w:w="1205" w:type="dxa"/>
            <w:vMerge w:val="restart"/>
            <w:vAlign w:val="center"/>
          </w:tcPr>
          <w:p w14:paraId="78B40FFF">
            <w:pPr>
              <w:spacing w:line="264" w:lineRule="auto"/>
              <w:jc w:val="center"/>
              <w:rPr>
                <w:rFonts w:hint="eastAsia" w:ascii="宋体" w:hAnsi="宋体" w:eastAsia="宋体" w:cs="Times New Roman"/>
                <w:szCs w:val="21"/>
              </w:rPr>
            </w:pPr>
            <w:r>
              <w:rPr>
                <w:rFonts w:hint="eastAsia" w:ascii="宋体" w:hAnsi="宋体" w:eastAsia="宋体" w:cs="Times New Roman"/>
                <w:szCs w:val="21"/>
              </w:rPr>
              <w:t>9.歌德与《浮士德》</w:t>
            </w:r>
          </w:p>
        </w:tc>
        <w:tc>
          <w:tcPr>
            <w:tcW w:w="1809" w:type="dxa"/>
            <w:vAlign w:val="center"/>
          </w:tcPr>
          <w:p w14:paraId="2ED6AEC9">
            <w:pPr>
              <w:spacing w:line="264" w:lineRule="auto"/>
              <w:jc w:val="left"/>
              <w:rPr>
                <w:rFonts w:hint="eastAsia" w:ascii="宋体" w:hAnsi="宋体" w:eastAsia="宋体" w:cs="Times New Roman"/>
                <w:szCs w:val="21"/>
              </w:rPr>
            </w:pPr>
            <w:r>
              <w:rPr>
                <w:rFonts w:hint="eastAsia" w:ascii="宋体" w:hAnsi="宋体" w:eastAsia="宋体" w:cs="Times New Roman"/>
                <w:szCs w:val="21"/>
              </w:rPr>
              <w:t>（1）歌德的生平与创作</w:t>
            </w:r>
          </w:p>
          <w:p w14:paraId="7CFC2650">
            <w:pPr>
              <w:spacing w:line="264" w:lineRule="auto"/>
              <w:jc w:val="left"/>
              <w:rPr>
                <w:rFonts w:hint="eastAsia" w:ascii="宋体" w:hAnsi="宋体" w:eastAsia="宋体" w:cs="Times New Roman"/>
                <w:szCs w:val="21"/>
              </w:rPr>
            </w:pPr>
            <w:r>
              <w:rPr>
                <w:rFonts w:hint="eastAsia" w:ascii="宋体" w:hAnsi="宋体" w:eastAsia="宋体" w:cs="Times New Roman"/>
                <w:szCs w:val="21"/>
              </w:rPr>
              <w:t>（2）《浮士德》的题材来源与内容分析</w:t>
            </w:r>
          </w:p>
          <w:p w14:paraId="7056CE56">
            <w:pPr>
              <w:spacing w:line="264" w:lineRule="auto"/>
              <w:jc w:val="left"/>
              <w:rPr>
                <w:rFonts w:hint="eastAsia" w:ascii="宋体" w:hAnsi="宋体" w:eastAsia="宋体" w:cs="Times New Roman"/>
                <w:szCs w:val="21"/>
              </w:rPr>
            </w:pPr>
            <w:r>
              <w:rPr>
                <w:rFonts w:hint="eastAsia" w:ascii="宋体" w:hAnsi="宋体" w:eastAsia="宋体" w:cs="Times New Roman"/>
                <w:szCs w:val="21"/>
              </w:rPr>
              <w:t>（3）浮士德精神</w:t>
            </w:r>
          </w:p>
        </w:tc>
        <w:tc>
          <w:tcPr>
            <w:tcW w:w="1251" w:type="dxa"/>
            <w:vAlign w:val="center"/>
          </w:tcPr>
          <w:p w14:paraId="4D369C12">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5" w:type="dxa"/>
            <w:gridSpan w:val="2"/>
            <w:vAlign w:val="center"/>
          </w:tcPr>
          <w:p w14:paraId="430E4EDB">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1.了解歌德的生平与创作以及文学主张</w:t>
            </w:r>
          </w:p>
          <w:p w14:paraId="16F40C1D">
            <w:pPr>
              <w:spacing w:line="264" w:lineRule="auto"/>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w:t>
            </w:r>
            <w:r>
              <w:rPr>
                <w:rFonts w:hint="eastAsia" w:ascii="宋体" w:hAnsi="宋体" w:eastAsia="宋体" w:cs="Times New Roman"/>
                <w:szCs w:val="21"/>
              </w:rPr>
              <w:t>浮士德形象在不同历史时期的发展演变</w:t>
            </w:r>
          </w:p>
          <w:p w14:paraId="2B81853C">
            <w:pPr>
              <w:spacing w:line="264" w:lineRule="auto"/>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理解</w:t>
            </w:r>
            <w:r>
              <w:rPr>
                <w:rFonts w:hint="eastAsia" w:ascii="宋体" w:hAnsi="宋体" w:eastAsia="宋体" w:cs="Times New Roman"/>
                <w:szCs w:val="21"/>
              </w:rPr>
              <w:t>浮士德精神以及作品的艺术成就</w:t>
            </w:r>
          </w:p>
        </w:tc>
        <w:tc>
          <w:tcPr>
            <w:tcW w:w="1560" w:type="dxa"/>
            <w:vAlign w:val="center"/>
          </w:tcPr>
          <w:p w14:paraId="22E11A54">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30BBBF97">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2DB1CABD">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3108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1205" w:type="dxa"/>
            <w:vMerge w:val="continue"/>
            <w:vAlign w:val="center"/>
          </w:tcPr>
          <w:p w14:paraId="6D5F614B">
            <w:pPr>
              <w:spacing w:line="264" w:lineRule="auto"/>
              <w:jc w:val="center"/>
              <w:rPr>
                <w:rFonts w:hint="eastAsia" w:ascii="宋体" w:hAnsi="宋体" w:eastAsia="宋体" w:cs="Times New Roman"/>
                <w:szCs w:val="21"/>
              </w:rPr>
            </w:pPr>
          </w:p>
        </w:tc>
        <w:tc>
          <w:tcPr>
            <w:tcW w:w="8093" w:type="dxa"/>
            <w:gridSpan w:val="7"/>
            <w:vAlign w:val="center"/>
          </w:tcPr>
          <w:p w14:paraId="7F245CC6">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歌德的生平与创作，了解歌德如何将启蒙时代的理性主义与古希腊的感性主义相结合，培养学生在追求知识和真理的过程中，既能运用理性思维，又能关注感性体验。引导学生理解浮士德精神的核心不断追求、勇于探索、永不满足，激励学生在学习和生活中积极进取，勇于面对挑战。</w:t>
            </w:r>
          </w:p>
        </w:tc>
      </w:tr>
      <w:tr w14:paraId="68E4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DC3AB6A">
            <w:pPr>
              <w:spacing w:line="264" w:lineRule="auto"/>
              <w:jc w:val="center"/>
              <w:rPr>
                <w:rFonts w:hint="eastAsia" w:ascii="宋体" w:hAnsi="宋体" w:eastAsia="宋体" w:cs="Times New Roman"/>
                <w:szCs w:val="21"/>
              </w:rPr>
            </w:pPr>
            <w:r>
              <w:rPr>
                <w:rFonts w:hint="eastAsia" w:ascii="宋体" w:hAnsi="宋体" w:eastAsia="宋体" w:cs="Times New Roman"/>
                <w:szCs w:val="21"/>
              </w:rPr>
              <w:t>10.19世纪（上）文学概述</w:t>
            </w:r>
          </w:p>
        </w:tc>
        <w:tc>
          <w:tcPr>
            <w:tcW w:w="1809" w:type="dxa"/>
            <w:vAlign w:val="center"/>
          </w:tcPr>
          <w:p w14:paraId="7693B14F">
            <w:pPr>
              <w:spacing w:line="264" w:lineRule="auto"/>
              <w:jc w:val="left"/>
              <w:rPr>
                <w:rFonts w:hint="eastAsia" w:ascii="宋体" w:hAnsi="宋体" w:eastAsia="宋体" w:cs="Times New Roman"/>
                <w:szCs w:val="21"/>
              </w:rPr>
            </w:pPr>
            <w:r>
              <w:rPr>
                <w:rFonts w:hint="eastAsia" w:ascii="宋体" w:hAnsi="宋体" w:eastAsia="宋体" w:cs="Times New Roman"/>
                <w:szCs w:val="21"/>
              </w:rPr>
              <w:t>（1）19世纪早期文学的思想与艺术特征</w:t>
            </w:r>
          </w:p>
          <w:p w14:paraId="1B061F8F">
            <w:pPr>
              <w:spacing w:line="264" w:lineRule="auto"/>
              <w:jc w:val="left"/>
              <w:rPr>
                <w:rFonts w:hint="eastAsia" w:ascii="宋体" w:hAnsi="宋体" w:eastAsia="宋体" w:cs="Times New Roman"/>
                <w:szCs w:val="21"/>
              </w:rPr>
            </w:pPr>
            <w:r>
              <w:rPr>
                <w:rFonts w:hint="eastAsia" w:ascii="宋体" w:hAnsi="宋体" w:eastAsia="宋体" w:cs="Times New Roman"/>
                <w:szCs w:val="21"/>
              </w:rPr>
              <w:t>（2）各国19世纪早期文学的主要代表作家和作品</w:t>
            </w:r>
          </w:p>
          <w:p w14:paraId="54F56E2A">
            <w:pPr>
              <w:spacing w:line="264" w:lineRule="auto"/>
              <w:jc w:val="left"/>
              <w:rPr>
                <w:rFonts w:hint="eastAsia" w:ascii="宋体" w:hAnsi="宋体" w:eastAsia="宋体" w:cs="Times New Roman"/>
                <w:szCs w:val="21"/>
              </w:rPr>
            </w:pPr>
            <w:r>
              <w:rPr>
                <w:rFonts w:hint="eastAsia" w:ascii="宋体" w:hAnsi="宋体" w:eastAsia="宋体" w:cs="Times New Roman"/>
                <w:szCs w:val="21"/>
              </w:rPr>
              <w:t>（3）湖畔派三诗人</w:t>
            </w:r>
          </w:p>
        </w:tc>
        <w:tc>
          <w:tcPr>
            <w:tcW w:w="1251" w:type="dxa"/>
            <w:vAlign w:val="center"/>
          </w:tcPr>
          <w:p w14:paraId="66902A75">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p w14:paraId="43B9A53E">
            <w:pPr>
              <w:spacing w:line="264" w:lineRule="auto"/>
              <w:jc w:val="center"/>
              <w:rPr>
                <w:rFonts w:hint="eastAsia" w:ascii="宋体" w:hAnsi="宋体" w:eastAsia="宋体" w:cs="Times New Roman"/>
                <w:szCs w:val="21"/>
              </w:rPr>
            </w:pPr>
          </w:p>
        </w:tc>
        <w:tc>
          <w:tcPr>
            <w:tcW w:w="3035" w:type="dxa"/>
            <w:gridSpan w:val="2"/>
            <w:vAlign w:val="center"/>
          </w:tcPr>
          <w:p w14:paraId="44051417">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1.了解19世纪早期的社会历史文化背景及浪漫主义文学在各国的发展</w:t>
            </w:r>
          </w:p>
          <w:p w14:paraId="11E084A9">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2.理解浪漫主义文学的基本特征</w:t>
            </w:r>
          </w:p>
          <w:p w14:paraId="6D4DF3C0">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3.掌握华兹华斯诗歌的艺术特色</w:t>
            </w:r>
          </w:p>
        </w:tc>
        <w:tc>
          <w:tcPr>
            <w:tcW w:w="1560" w:type="dxa"/>
            <w:vAlign w:val="center"/>
          </w:tcPr>
          <w:p w14:paraId="628CFAF8">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5584DD6D">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652F7690">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75D5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05" w:type="dxa"/>
            <w:vMerge w:val="continue"/>
            <w:vAlign w:val="center"/>
          </w:tcPr>
          <w:p w14:paraId="1AB4758C">
            <w:pPr>
              <w:spacing w:line="264" w:lineRule="auto"/>
              <w:jc w:val="center"/>
              <w:rPr>
                <w:rFonts w:hint="eastAsia" w:ascii="宋体" w:hAnsi="宋体" w:eastAsia="宋体" w:cs="Times New Roman"/>
                <w:szCs w:val="21"/>
              </w:rPr>
            </w:pPr>
          </w:p>
        </w:tc>
        <w:tc>
          <w:tcPr>
            <w:tcW w:w="8093" w:type="dxa"/>
            <w:gridSpan w:val="7"/>
            <w:vAlign w:val="center"/>
          </w:tcPr>
          <w:p w14:paraId="180E40B9">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通过学习“湖畔派”诗人的作品，引导学生理解“人与自然是生命共同体”，体会文学与生态环境的关系，树立生态环境保护意识。</w:t>
            </w:r>
          </w:p>
        </w:tc>
      </w:tr>
      <w:tr w14:paraId="00E31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E42C09">
            <w:pPr>
              <w:spacing w:line="264" w:lineRule="auto"/>
              <w:jc w:val="center"/>
              <w:rPr>
                <w:rFonts w:hint="eastAsia" w:ascii="宋体" w:hAnsi="宋体" w:eastAsia="宋体" w:cs="Times New Roman"/>
                <w:szCs w:val="21"/>
              </w:rPr>
            </w:pPr>
            <w:r>
              <w:rPr>
                <w:rFonts w:hint="eastAsia" w:ascii="宋体" w:hAnsi="宋体" w:eastAsia="宋体" w:cs="Times New Roman"/>
                <w:szCs w:val="21"/>
              </w:rPr>
              <w:t>11.雨果与《巴黎圣母院》</w:t>
            </w:r>
          </w:p>
        </w:tc>
        <w:tc>
          <w:tcPr>
            <w:tcW w:w="1809" w:type="dxa"/>
            <w:vAlign w:val="center"/>
          </w:tcPr>
          <w:p w14:paraId="6C7A0765">
            <w:pPr>
              <w:spacing w:line="264" w:lineRule="auto"/>
              <w:jc w:val="left"/>
              <w:rPr>
                <w:rFonts w:hint="eastAsia" w:ascii="宋体" w:hAnsi="宋体" w:eastAsia="宋体" w:cs="Times New Roman"/>
                <w:szCs w:val="21"/>
              </w:rPr>
            </w:pPr>
            <w:r>
              <w:rPr>
                <w:rFonts w:hint="eastAsia" w:ascii="宋体" w:hAnsi="宋体" w:eastAsia="宋体" w:cs="Times New Roman"/>
                <w:szCs w:val="21"/>
              </w:rPr>
              <w:t>（1）雨果的生平及创作</w:t>
            </w:r>
          </w:p>
          <w:p w14:paraId="207A9B64">
            <w:pPr>
              <w:spacing w:line="264" w:lineRule="auto"/>
              <w:jc w:val="left"/>
              <w:rPr>
                <w:rFonts w:hint="eastAsia" w:ascii="宋体" w:hAnsi="宋体" w:eastAsia="宋体" w:cs="Times New Roman"/>
                <w:szCs w:val="21"/>
              </w:rPr>
            </w:pPr>
            <w:r>
              <w:rPr>
                <w:rFonts w:hint="eastAsia" w:ascii="宋体" w:hAnsi="宋体" w:eastAsia="宋体" w:cs="Times New Roman"/>
                <w:szCs w:val="21"/>
              </w:rPr>
              <w:t>（2）美丑对照原则</w:t>
            </w:r>
          </w:p>
          <w:p w14:paraId="1AA7FBCF">
            <w:pPr>
              <w:spacing w:line="264" w:lineRule="auto"/>
              <w:jc w:val="left"/>
              <w:rPr>
                <w:rFonts w:hint="eastAsia" w:ascii="宋体" w:hAnsi="宋体" w:eastAsia="宋体" w:cs="Times New Roman"/>
                <w:szCs w:val="21"/>
              </w:rPr>
            </w:pPr>
            <w:r>
              <w:rPr>
                <w:rFonts w:hint="eastAsia" w:ascii="宋体" w:hAnsi="宋体" w:eastAsia="宋体" w:cs="Times New Roman"/>
                <w:szCs w:val="21"/>
              </w:rPr>
              <w:t>（3）《巴黎圣母院》</w:t>
            </w:r>
          </w:p>
        </w:tc>
        <w:tc>
          <w:tcPr>
            <w:tcW w:w="1251" w:type="dxa"/>
            <w:vAlign w:val="center"/>
          </w:tcPr>
          <w:p w14:paraId="3973FBAE">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p w14:paraId="318B26FE">
            <w:pPr>
              <w:spacing w:line="264" w:lineRule="auto"/>
              <w:jc w:val="center"/>
              <w:rPr>
                <w:rFonts w:hint="eastAsia" w:ascii="宋体" w:hAnsi="宋体" w:eastAsia="宋体" w:cs="Times New Roman"/>
                <w:szCs w:val="21"/>
              </w:rPr>
            </w:pPr>
          </w:p>
        </w:tc>
        <w:tc>
          <w:tcPr>
            <w:tcW w:w="3035" w:type="dxa"/>
            <w:gridSpan w:val="2"/>
            <w:vAlign w:val="center"/>
          </w:tcPr>
          <w:p w14:paraId="42639D83">
            <w:pPr>
              <w:spacing w:line="264"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了解</w:t>
            </w:r>
            <w:r>
              <w:rPr>
                <w:rFonts w:hint="eastAsia" w:ascii="宋体" w:hAnsi="宋体" w:eastAsia="宋体" w:cs="Times New Roman"/>
                <w:szCs w:val="21"/>
              </w:rPr>
              <w:t>雨果的生平及代表作</w:t>
            </w:r>
          </w:p>
          <w:p w14:paraId="029E901F">
            <w:pPr>
              <w:spacing w:line="264" w:lineRule="auto"/>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理解</w:t>
            </w:r>
            <w:r>
              <w:rPr>
                <w:rFonts w:hint="eastAsia" w:ascii="宋体" w:hAnsi="宋体" w:eastAsia="宋体" w:cs="Times New Roman"/>
                <w:szCs w:val="21"/>
              </w:rPr>
              <w:t>雨果的美丑对照原则在文学作品中的运用</w:t>
            </w:r>
          </w:p>
          <w:p w14:paraId="180BAD76">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3.掌握《巴黎圣母院》思想内容与艺术特色。</w:t>
            </w:r>
          </w:p>
        </w:tc>
        <w:tc>
          <w:tcPr>
            <w:tcW w:w="1657" w:type="dxa"/>
            <w:gridSpan w:val="2"/>
            <w:vAlign w:val="center"/>
          </w:tcPr>
          <w:p w14:paraId="130A4431">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0BE6B863">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341" w:type="dxa"/>
            <w:vAlign w:val="center"/>
          </w:tcPr>
          <w:p w14:paraId="2D3C645D">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5AF5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3369D56">
            <w:pPr>
              <w:spacing w:line="264" w:lineRule="auto"/>
              <w:jc w:val="center"/>
              <w:rPr>
                <w:rFonts w:hint="eastAsia" w:ascii="宋体" w:hAnsi="宋体" w:eastAsia="宋体" w:cs="Times New Roman"/>
                <w:szCs w:val="21"/>
              </w:rPr>
            </w:pPr>
          </w:p>
        </w:tc>
        <w:tc>
          <w:tcPr>
            <w:tcW w:w="8093" w:type="dxa"/>
            <w:gridSpan w:val="7"/>
            <w:vAlign w:val="center"/>
          </w:tcPr>
          <w:p w14:paraId="013EA2B8">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雨果的生平及创作，引导学生了解雨果如何通过作品反映社会底层人民的苦难，批判社会不公，培养学生的人文关怀和社会责任感。通过对“美丑对照原则”的学习，引导学生理解美与丑的辩证关系，认识到真正的美是多元的、复杂的，培养学生对美的深刻理解和正确的审美观念。</w:t>
            </w:r>
          </w:p>
        </w:tc>
      </w:tr>
      <w:tr w14:paraId="4F15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jc w:val="center"/>
        </w:trPr>
        <w:tc>
          <w:tcPr>
            <w:tcW w:w="1205" w:type="dxa"/>
            <w:vMerge w:val="restart"/>
            <w:vAlign w:val="center"/>
          </w:tcPr>
          <w:p w14:paraId="0AEC941F">
            <w:pPr>
              <w:spacing w:line="264" w:lineRule="auto"/>
              <w:jc w:val="center"/>
              <w:rPr>
                <w:rFonts w:hint="eastAsia" w:ascii="宋体" w:hAnsi="宋体" w:eastAsia="宋体" w:cs="Times New Roman"/>
                <w:szCs w:val="21"/>
              </w:rPr>
            </w:pPr>
            <w:r>
              <w:rPr>
                <w:rFonts w:hint="eastAsia" w:ascii="宋体" w:hAnsi="宋体" w:eastAsia="宋体" w:cs="Times New Roman"/>
                <w:szCs w:val="21"/>
              </w:rPr>
              <w:t>12.19世纪（中）文学概述</w:t>
            </w:r>
          </w:p>
        </w:tc>
        <w:tc>
          <w:tcPr>
            <w:tcW w:w="1809" w:type="dxa"/>
            <w:vAlign w:val="center"/>
          </w:tcPr>
          <w:p w14:paraId="30FB2C06">
            <w:pPr>
              <w:spacing w:line="264" w:lineRule="auto"/>
              <w:jc w:val="left"/>
              <w:rPr>
                <w:rFonts w:hint="eastAsia" w:ascii="宋体" w:hAnsi="宋体" w:eastAsia="宋体" w:cs="Times New Roman"/>
                <w:szCs w:val="21"/>
              </w:rPr>
            </w:pPr>
            <w:r>
              <w:rPr>
                <w:rFonts w:hint="eastAsia" w:ascii="宋体" w:hAnsi="宋体" w:eastAsia="宋体" w:cs="Times New Roman"/>
                <w:szCs w:val="21"/>
              </w:rPr>
              <w:t>（1）19世纪中期的社会历史背景和文学思潮</w:t>
            </w:r>
          </w:p>
          <w:p w14:paraId="2ED4B5F3">
            <w:pPr>
              <w:spacing w:line="264" w:lineRule="auto"/>
              <w:jc w:val="left"/>
              <w:rPr>
                <w:rFonts w:hint="eastAsia" w:ascii="宋体" w:hAnsi="宋体" w:eastAsia="宋体" w:cs="Times New Roman"/>
                <w:szCs w:val="21"/>
              </w:rPr>
            </w:pPr>
            <w:r>
              <w:rPr>
                <w:rFonts w:hint="eastAsia" w:ascii="宋体" w:hAnsi="宋体" w:eastAsia="宋体" w:cs="Times New Roman"/>
                <w:szCs w:val="21"/>
              </w:rPr>
              <w:t>（2）法国现实主义文学</w:t>
            </w:r>
          </w:p>
          <w:p w14:paraId="315507F7">
            <w:pPr>
              <w:spacing w:line="264" w:lineRule="auto"/>
              <w:jc w:val="left"/>
              <w:rPr>
                <w:rFonts w:hint="eastAsia" w:ascii="宋体" w:hAnsi="宋体" w:eastAsia="宋体" w:cs="Times New Roman"/>
                <w:szCs w:val="21"/>
              </w:rPr>
            </w:pPr>
            <w:r>
              <w:rPr>
                <w:rFonts w:hint="eastAsia" w:ascii="宋体" w:hAnsi="宋体" w:eastAsia="宋体" w:cs="Times New Roman"/>
                <w:szCs w:val="21"/>
              </w:rPr>
              <w:t>（3）斯丹达尔与《红与黑》</w:t>
            </w:r>
          </w:p>
        </w:tc>
        <w:tc>
          <w:tcPr>
            <w:tcW w:w="1251" w:type="dxa"/>
            <w:vAlign w:val="center"/>
          </w:tcPr>
          <w:p w14:paraId="261F5CA8">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p w14:paraId="1C326F47">
            <w:pPr>
              <w:spacing w:line="264" w:lineRule="auto"/>
              <w:jc w:val="center"/>
              <w:rPr>
                <w:rFonts w:hint="eastAsia" w:ascii="宋体" w:hAnsi="宋体" w:eastAsia="宋体" w:cs="Times New Roman"/>
                <w:szCs w:val="21"/>
              </w:rPr>
            </w:pPr>
          </w:p>
        </w:tc>
        <w:tc>
          <w:tcPr>
            <w:tcW w:w="3035" w:type="dxa"/>
            <w:gridSpan w:val="2"/>
            <w:vAlign w:val="center"/>
          </w:tcPr>
          <w:p w14:paraId="55E3ACE4">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1.了解19世纪中期的社会历史文化背景及现实主义文学在各国的发展</w:t>
            </w:r>
          </w:p>
          <w:p w14:paraId="1A6C8637">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2.理解现实主义文学的基本特征</w:t>
            </w:r>
          </w:p>
          <w:p w14:paraId="5065A839">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3.掌握《红与黑》的思想内容与艺术特色</w:t>
            </w:r>
          </w:p>
        </w:tc>
        <w:tc>
          <w:tcPr>
            <w:tcW w:w="1657" w:type="dxa"/>
            <w:gridSpan w:val="2"/>
            <w:vAlign w:val="center"/>
          </w:tcPr>
          <w:p w14:paraId="66F36E0B">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23D185F2">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341" w:type="dxa"/>
            <w:vAlign w:val="center"/>
          </w:tcPr>
          <w:p w14:paraId="380C689C">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1425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205" w:type="dxa"/>
            <w:vMerge w:val="continue"/>
            <w:vAlign w:val="center"/>
          </w:tcPr>
          <w:p w14:paraId="19CD1461">
            <w:pPr>
              <w:spacing w:line="264" w:lineRule="auto"/>
              <w:jc w:val="center"/>
              <w:rPr>
                <w:rFonts w:hint="eastAsia" w:ascii="宋体" w:hAnsi="宋体" w:eastAsia="宋体" w:cs="Times New Roman"/>
                <w:szCs w:val="21"/>
              </w:rPr>
            </w:pPr>
          </w:p>
        </w:tc>
        <w:tc>
          <w:tcPr>
            <w:tcW w:w="8093" w:type="dxa"/>
            <w:gridSpan w:val="7"/>
            <w:vAlign w:val="center"/>
          </w:tcPr>
          <w:p w14:paraId="6B937CBE">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分析《红与黑》中主人公于连的奋斗历程和悲剧命运，引导学生认识到个人奋斗必须建立在正确价值观的基础上，让学生理解人性的多面性和复杂性，学会在复杂的社会环境中保持清醒的头脑，做出正确的判断。</w:t>
            </w:r>
          </w:p>
        </w:tc>
      </w:tr>
      <w:tr w14:paraId="742B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9A0CB6D">
            <w:pPr>
              <w:spacing w:line="264" w:lineRule="auto"/>
              <w:jc w:val="center"/>
              <w:rPr>
                <w:rFonts w:hint="eastAsia" w:ascii="宋体" w:hAnsi="宋体" w:eastAsia="宋体" w:cs="Times New Roman"/>
                <w:szCs w:val="21"/>
              </w:rPr>
            </w:pPr>
            <w:r>
              <w:rPr>
                <w:rFonts w:hint="eastAsia" w:ascii="宋体" w:hAnsi="宋体" w:eastAsia="宋体" w:cs="Times New Roman"/>
                <w:szCs w:val="21"/>
              </w:rPr>
              <w:t>13.巴尔扎克与狄更斯</w:t>
            </w:r>
          </w:p>
        </w:tc>
        <w:tc>
          <w:tcPr>
            <w:tcW w:w="1809" w:type="dxa"/>
            <w:vAlign w:val="center"/>
          </w:tcPr>
          <w:p w14:paraId="28A8FC4D">
            <w:pPr>
              <w:spacing w:line="264" w:lineRule="auto"/>
              <w:jc w:val="left"/>
              <w:rPr>
                <w:rFonts w:hint="eastAsia" w:ascii="宋体" w:hAnsi="宋体" w:eastAsia="宋体" w:cs="Times New Roman"/>
                <w:szCs w:val="21"/>
              </w:rPr>
            </w:pPr>
            <w:r>
              <w:rPr>
                <w:rFonts w:hint="eastAsia" w:ascii="宋体" w:hAnsi="宋体" w:eastAsia="宋体" w:cs="Times New Roman"/>
                <w:szCs w:val="21"/>
              </w:rPr>
              <w:t>（1）巴尔扎克的上平与创作</w:t>
            </w:r>
          </w:p>
          <w:p w14:paraId="75E3D86E">
            <w:pPr>
              <w:spacing w:line="264" w:lineRule="auto"/>
              <w:jc w:val="left"/>
              <w:rPr>
                <w:rFonts w:hint="eastAsia" w:ascii="宋体" w:hAnsi="宋体" w:eastAsia="宋体" w:cs="Times New Roman"/>
                <w:szCs w:val="21"/>
              </w:rPr>
            </w:pPr>
            <w:r>
              <w:rPr>
                <w:rFonts w:hint="eastAsia" w:ascii="宋体" w:hAnsi="宋体" w:eastAsia="宋体" w:cs="Times New Roman"/>
                <w:szCs w:val="21"/>
              </w:rPr>
              <w:t>（2）《人间喜剧》</w:t>
            </w:r>
          </w:p>
          <w:p w14:paraId="40F2F896">
            <w:pPr>
              <w:spacing w:line="264" w:lineRule="auto"/>
              <w:jc w:val="left"/>
              <w:rPr>
                <w:rFonts w:hint="eastAsia" w:ascii="宋体" w:hAnsi="宋体" w:eastAsia="宋体" w:cs="Times New Roman"/>
                <w:szCs w:val="21"/>
              </w:rPr>
            </w:pPr>
            <w:r>
              <w:rPr>
                <w:rFonts w:hint="eastAsia" w:ascii="宋体" w:hAnsi="宋体" w:eastAsia="宋体" w:cs="Times New Roman"/>
                <w:szCs w:val="21"/>
              </w:rPr>
              <w:t>（3）狄更斯的生平与创作</w:t>
            </w:r>
          </w:p>
          <w:p w14:paraId="44375973">
            <w:pPr>
              <w:spacing w:line="264" w:lineRule="auto"/>
              <w:jc w:val="left"/>
              <w:rPr>
                <w:rFonts w:hint="eastAsia" w:ascii="宋体" w:hAnsi="宋体" w:eastAsia="宋体" w:cs="Times New Roman"/>
                <w:szCs w:val="21"/>
              </w:rPr>
            </w:pPr>
            <w:r>
              <w:rPr>
                <w:rFonts w:hint="eastAsia" w:ascii="宋体" w:hAnsi="宋体" w:eastAsia="宋体" w:cs="Times New Roman"/>
                <w:szCs w:val="21"/>
              </w:rPr>
              <w:t>（4）代表作品鉴赏</w:t>
            </w:r>
          </w:p>
        </w:tc>
        <w:tc>
          <w:tcPr>
            <w:tcW w:w="1251" w:type="dxa"/>
            <w:vAlign w:val="center"/>
          </w:tcPr>
          <w:p w14:paraId="1A6F6B25">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p w14:paraId="3F6E202A">
            <w:pPr>
              <w:spacing w:line="264" w:lineRule="auto"/>
              <w:jc w:val="center"/>
              <w:rPr>
                <w:rFonts w:hint="eastAsia" w:ascii="宋体" w:hAnsi="宋体" w:eastAsia="宋体" w:cs="Times New Roman"/>
                <w:szCs w:val="21"/>
              </w:rPr>
            </w:pPr>
          </w:p>
        </w:tc>
        <w:tc>
          <w:tcPr>
            <w:tcW w:w="3035" w:type="dxa"/>
            <w:gridSpan w:val="2"/>
            <w:vAlign w:val="center"/>
          </w:tcPr>
          <w:p w14:paraId="7ED4CE29">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1.了解巴尔扎克和狄更斯的生平与创作</w:t>
            </w:r>
          </w:p>
          <w:p w14:paraId="44F5F21B">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2.理解《人间喜剧》的主题和艺术特色</w:t>
            </w:r>
          </w:p>
          <w:p w14:paraId="2A55CF59">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3.掌握《高老头》《艰难时世》等批判现实主义作品的鉴赏方法</w:t>
            </w:r>
          </w:p>
        </w:tc>
        <w:tc>
          <w:tcPr>
            <w:tcW w:w="1657" w:type="dxa"/>
            <w:gridSpan w:val="2"/>
            <w:vAlign w:val="center"/>
          </w:tcPr>
          <w:p w14:paraId="3900657F">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5F427CA5">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341" w:type="dxa"/>
            <w:vAlign w:val="center"/>
          </w:tcPr>
          <w:p w14:paraId="14B4B909">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0AD57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05" w:type="dxa"/>
            <w:vMerge w:val="continue"/>
            <w:vAlign w:val="center"/>
          </w:tcPr>
          <w:p w14:paraId="3A860E0F">
            <w:pPr>
              <w:spacing w:line="264" w:lineRule="auto"/>
              <w:jc w:val="center"/>
              <w:rPr>
                <w:rFonts w:hint="eastAsia" w:ascii="宋体" w:hAnsi="宋体" w:eastAsia="宋体" w:cs="Times New Roman"/>
                <w:szCs w:val="21"/>
              </w:rPr>
            </w:pPr>
          </w:p>
        </w:tc>
        <w:tc>
          <w:tcPr>
            <w:tcW w:w="8093" w:type="dxa"/>
            <w:gridSpan w:val="7"/>
            <w:vAlign w:val="center"/>
          </w:tcPr>
          <w:p w14:paraId="43D62EFD">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巴尔扎克和狄更斯的生平与创作，引导学生了解19世纪中期社会的复杂性与矛盾性。巴尔扎克和狄更斯分别代表了19世纪法国和英国的文学高峰，通过学习他们的作品，引导学生了解不同文化背景下的文学创作和社会思想，培养跨文化理解能力和全球视野。</w:t>
            </w:r>
          </w:p>
        </w:tc>
      </w:tr>
      <w:tr w14:paraId="52BC7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1" w:hRule="atLeast"/>
          <w:jc w:val="center"/>
        </w:trPr>
        <w:tc>
          <w:tcPr>
            <w:tcW w:w="1205" w:type="dxa"/>
            <w:vMerge w:val="restart"/>
            <w:vAlign w:val="center"/>
          </w:tcPr>
          <w:p w14:paraId="3B05A86A">
            <w:pPr>
              <w:spacing w:line="264" w:lineRule="auto"/>
              <w:jc w:val="center"/>
              <w:rPr>
                <w:rFonts w:hint="eastAsia" w:ascii="宋体" w:hAnsi="宋体" w:eastAsia="宋体" w:cs="Times New Roman"/>
                <w:szCs w:val="21"/>
              </w:rPr>
            </w:pPr>
            <w:r>
              <w:rPr>
                <w:rFonts w:hint="eastAsia" w:ascii="宋体" w:hAnsi="宋体" w:eastAsia="宋体" w:cs="Times New Roman"/>
                <w:szCs w:val="21"/>
              </w:rPr>
              <w:t>14.19世纪（下）文学概述</w:t>
            </w:r>
          </w:p>
        </w:tc>
        <w:tc>
          <w:tcPr>
            <w:tcW w:w="1809" w:type="dxa"/>
            <w:vAlign w:val="center"/>
          </w:tcPr>
          <w:p w14:paraId="631AB73C">
            <w:pPr>
              <w:spacing w:line="264" w:lineRule="auto"/>
              <w:jc w:val="left"/>
              <w:rPr>
                <w:rFonts w:hint="eastAsia" w:ascii="宋体" w:hAnsi="宋体" w:eastAsia="宋体" w:cs="Times New Roman"/>
                <w:szCs w:val="21"/>
              </w:rPr>
            </w:pPr>
          </w:p>
          <w:p w14:paraId="12F452A4">
            <w:pPr>
              <w:spacing w:line="264" w:lineRule="auto"/>
              <w:jc w:val="left"/>
              <w:rPr>
                <w:rFonts w:hint="eastAsia" w:ascii="宋体" w:hAnsi="宋体" w:eastAsia="宋体" w:cs="Times New Roman"/>
                <w:szCs w:val="21"/>
              </w:rPr>
            </w:pPr>
            <w:r>
              <w:rPr>
                <w:rFonts w:hint="eastAsia" w:ascii="宋体" w:hAnsi="宋体" w:eastAsia="宋体" w:cs="Times New Roman"/>
                <w:szCs w:val="21"/>
              </w:rPr>
              <w:t>（1）19世纪晚期文学的思想与艺术特征</w:t>
            </w:r>
          </w:p>
          <w:p w14:paraId="421308E3">
            <w:pPr>
              <w:spacing w:line="264" w:lineRule="auto"/>
              <w:jc w:val="left"/>
              <w:rPr>
                <w:rFonts w:hint="eastAsia" w:ascii="宋体" w:hAnsi="宋体" w:eastAsia="宋体" w:cs="Times New Roman"/>
                <w:szCs w:val="21"/>
              </w:rPr>
            </w:pPr>
            <w:r>
              <w:rPr>
                <w:rFonts w:hint="eastAsia" w:ascii="宋体" w:hAnsi="宋体" w:eastAsia="宋体" w:cs="Times New Roman"/>
                <w:szCs w:val="21"/>
              </w:rPr>
              <w:t>（2）各国19世纪晚期文学的主要代表作家和作品</w:t>
            </w:r>
          </w:p>
        </w:tc>
        <w:tc>
          <w:tcPr>
            <w:tcW w:w="1251" w:type="dxa"/>
            <w:vAlign w:val="center"/>
          </w:tcPr>
          <w:p w14:paraId="6F48C5DA">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p w14:paraId="55DB30C8">
            <w:pPr>
              <w:spacing w:line="264" w:lineRule="auto"/>
              <w:jc w:val="center"/>
              <w:rPr>
                <w:rFonts w:hint="eastAsia" w:ascii="宋体" w:hAnsi="宋体" w:eastAsia="宋体" w:cs="Times New Roman"/>
                <w:szCs w:val="21"/>
              </w:rPr>
            </w:pPr>
          </w:p>
        </w:tc>
        <w:tc>
          <w:tcPr>
            <w:tcW w:w="3035" w:type="dxa"/>
            <w:gridSpan w:val="2"/>
            <w:vAlign w:val="center"/>
          </w:tcPr>
          <w:p w14:paraId="54EB5AC5">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1.了解19世纪晚期的社会历史文化背景及在各国的发展</w:t>
            </w:r>
          </w:p>
          <w:p w14:paraId="640629E8">
            <w:pPr>
              <w:spacing w:line="264" w:lineRule="auto"/>
              <w:jc w:val="left"/>
              <w:rPr>
                <w:rFonts w:hint="eastAsia" w:ascii="宋体" w:hAnsi="宋体" w:eastAsia="宋体" w:cs="Times New Roman"/>
                <w:szCs w:val="21"/>
              </w:rPr>
            </w:pPr>
            <w:r>
              <w:rPr>
                <w:rFonts w:hint="eastAsia" w:ascii="宋体" w:hAnsi="宋体" w:eastAsia="宋体" w:cs="Times New Roman"/>
                <w:szCs w:val="21"/>
              </w:rPr>
              <w:t>2.掌握各国19世纪晚期文学的主要代表作家和作品</w:t>
            </w:r>
          </w:p>
        </w:tc>
        <w:tc>
          <w:tcPr>
            <w:tcW w:w="1657" w:type="dxa"/>
            <w:gridSpan w:val="2"/>
            <w:vAlign w:val="center"/>
          </w:tcPr>
          <w:p w14:paraId="5B828A2A">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39FB41C7">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341" w:type="dxa"/>
            <w:vAlign w:val="center"/>
          </w:tcPr>
          <w:p w14:paraId="771744EF">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0761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05" w:type="dxa"/>
            <w:vMerge w:val="continue"/>
            <w:vAlign w:val="center"/>
          </w:tcPr>
          <w:p w14:paraId="2311E8D8">
            <w:pPr>
              <w:spacing w:line="264" w:lineRule="auto"/>
              <w:jc w:val="center"/>
              <w:rPr>
                <w:rFonts w:hint="eastAsia" w:ascii="宋体" w:hAnsi="宋体" w:eastAsia="宋体" w:cs="Times New Roman"/>
                <w:szCs w:val="21"/>
              </w:rPr>
            </w:pPr>
          </w:p>
        </w:tc>
        <w:tc>
          <w:tcPr>
            <w:tcW w:w="8093" w:type="dxa"/>
            <w:gridSpan w:val="7"/>
            <w:vAlign w:val="center"/>
          </w:tcPr>
          <w:p w14:paraId="011E6DA8">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这一时期文学的学习，引导学生关注社会现实问题，培养批判精神和社会责任感，鼓励学生为社会的公平与正义发声，同时引导学生理解人性的复杂性和多样性，学会在复杂的社会环境中保持清醒的头脑，做出正确的判断。</w:t>
            </w:r>
          </w:p>
        </w:tc>
      </w:tr>
      <w:tr w14:paraId="2A716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jc w:val="center"/>
        </w:trPr>
        <w:tc>
          <w:tcPr>
            <w:tcW w:w="1205" w:type="dxa"/>
            <w:vMerge w:val="restart"/>
            <w:vAlign w:val="center"/>
          </w:tcPr>
          <w:p w14:paraId="3EF59F21">
            <w:pPr>
              <w:spacing w:line="264" w:lineRule="auto"/>
              <w:jc w:val="center"/>
              <w:rPr>
                <w:rFonts w:hint="eastAsia" w:ascii="宋体" w:hAnsi="宋体" w:eastAsia="宋体" w:cs="Times New Roman"/>
                <w:szCs w:val="21"/>
              </w:rPr>
            </w:pPr>
            <w:r>
              <w:rPr>
                <w:rFonts w:hint="eastAsia" w:ascii="宋体" w:hAnsi="宋体" w:eastAsia="宋体" w:cs="Times New Roman"/>
                <w:szCs w:val="21"/>
              </w:rPr>
              <w:t>15.哈代与列夫·托尔斯泰</w:t>
            </w:r>
          </w:p>
        </w:tc>
        <w:tc>
          <w:tcPr>
            <w:tcW w:w="1809" w:type="dxa"/>
            <w:vAlign w:val="center"/>
          </w:tcPr>
          <w:p w14:paraId="6FE67E27">
            <w:pPr>
              <w:spacing w:line="264" w:lineRule="auto"/>
              <w:jc w:val="left"/>
              <w:rPr>
                <w:rFonts w:hint="eastAsia" w:ascii="宋体" w:hAnsi="宋体" w:eastAsia="宋体" w:cs="Times New Roman"/>
                <w:szCs w:val="21"/>
              </w:rPr>
            </w:pPr>
            <w:r>
              <w:rPr>
                <w:rFonts w:hint="eastAsia" w:ascii="宋体" w:hAnsi="宋体" w:eastAsia="宋体" w:cs="Times New Roman"/>
                <w:szCs w:val="21"/>
              </w:rPr>
              <w:t>（1）哈代的生平与创作</w:t>
            </w:r>
          </w:p>
          <w:p w14:paraId="7882997F">
            <w:pPr>
              <w:spacing w:line="264" w:lineRule="auto"/>
              <w:jc w:val="left"/>
              <w:rPr>
                <w:rFonts w:hint="eastAsia" w:ascii="宋体" w:hAnsi="宋体" w:eastAsia="宋体" w:cs="Times New Roman"/>
                <w:szCs w:val="21"/>
              </w:rPr>
            </w:pPr>
            <w:r>
              <w:rPr>
                <w:rFonts w:hint="eastAsia" w:ascii="宋体" w:hAnsi="宋体" w:eastAsia="宋体" w:cs="Times New Roman"/>
                <w:szCs w:val="21"/>
              </w:rPr>
              <w:t>（2）《还乡》</w:t>
            </w:r>
          </w:p>
          <w:p w14:paraId="45479CBD">
            <w:pPr>
              <w:spacing w:line="264" w:lineRule="auto"/>
              <w:jc w:val="left"/>
              <w:rPr>
                <w:rFonts w:hint="eastAsia" w:ascii="宋体" w:hAnsi="宋体" w:eastAsia="宋体" w:cs="Times New Roman"/>
                <w:szCs w:val="21"/>
              </w:rPr>
            </w:pPr>
            <w:r>
              <w:rPr>
                <w:rFonts w:hint="eastAsia" w:ascii="宋体" w:hAnsi="宋体" w:eastAsia="宋体" w:cs="Times New Roman"/>
                <w:szCs w:val="21"/>
              </w:rPr>
              <w:t>（3）列夫·托尔斯泰的生平与创作</w:t>
            </w:r>
          </w:p>
          <w:p w14:paraId="6754E563">
            <w:pPr>
              <w:spacing w:line="264" w:lineRule="auto"/>
              <w:jc w:val="left"/>
              <w:rPr>
                <w:rFonts w:hint="eastAsia" w:ascii="宋体" w:hAnsi="宋体" w:eastAsia="宋体" w:cs="Times New Roman"/>
                <w:szCs w:val="21"/>
              </w:rPr>
            </w:pPr>
            <w:r>
              <w:rPr>
                <w:rFonts w:hint="eastAsia" w:ascii="宋体" w:hAnsi="宋体" w:eastAsia="宋体" w:cs="Times New Roman"/>
                <w:szCs w:val="21"/>
              </w:rPr>
              <w:t>（4）《安娜·卡列尼娜》</w:t>
            </w:r>
          </w:p>
        </w:tc>
        <w:tc>
          <w:tcPr>
            <w:tcW w:w="1251" w:type="dxa"/>
            <w:vAlign w:val="center"/>
          </w:tcPr>
          <w:p w14:paraId="3EF0E1EE">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p w14:paraId="3A182E92">
            <w:pPr>
              <w:spacing w:line="264" w:lineRule="auto"/>
              <w:jc w:val="center"/>
              <w:rPr>
                <w:rFonts w:hint="eastAsia" w:ascii="宋体" w:hAnsi="宋体" w:eastAsia="宋体" w:cs="Times New Roman"/>
                <w:szCs w:val="21"/>
              </w:rPr>
            </w:pPr>
          </w:p>
        </w:tc>
        <w:tc>
          <w:tcPr>
            <w:tcW w:w="2582" w:type="dxa"/>
            <w:vAlign w:val="center"/>
          </w:tcPr>
          <w:p w14:paraId="4CBF58FA">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1.了解哈代与列夫·托尔斯泰的生平及创作</w:t>
            </w:r>
          </w:p>
          <w:p w14:paraId="63C542AA">
            <w:pPr>
              <w:spacing w:line="264" w:lineRule="auto"/>
              <w:jc w:val="left"/>
              <w:rPr>
                <w:rFonts w:hint="eastAsia" w:ascii="宋体" w:hAnsi="宋体" w:eastAsia="宋体" w:cs="Times New Roman"/>
                <w:szCs w:val="21"/>
              </w:rPr>
            </w:pPr>
            <w:r>
              <w:rPr>
                <w:rFonts w:hint="eastAsia" w:ascii="宋体" w:hAnsi="宋体" w:eastAsia="宋体" w:cs="Times New Roman"/>
                <w:szCs w:val="21"/>
              </w:rPr>
              <w:t>2.能够结合19世纪晚期的社会背景分析《还乡》与</w:t>
            </w:r>
          </w:p>
          <w:p w14:paraId="219B576A">
            <w:pPr>
              <w:spacing w:line="264" w:lineRule="auto"/>
              <w:jc w:val="left"/>
              <w:rPr>
                <w:rFonts w:hint="eastAsia" w:ascii="宋体" w:hAnsi="宋体" w:eastAsia="宋体" w:cs="Times New Roman"/>
                <w:szCs w:val="21"/>
              </w:rPr>
            </w:pPr>
            <w:r>
              <w:rPr>
                <w:rFonts w:hint="eastAsia" w:ascii="宋体" w:hAnsi="宋体" w:eastAsia="宋体" w:cs="Times New Roman"/>
                <w:szCs w:val="21"/>
              </w:rPr>
              <w:t>《安娜·卡列尼娜》</w:t>
            </w:r>
          </w:p>
        </w:tc>
        <w:tc>
          <w:tcPr>
            <w:tcW w:w="2110" w:type="dxa"/>
            <w:gridSpan w:val="3"/>
            <w:vAlign w:val="center"/>
          </w:tcPr>
          <w:p w14:paraId="5F754750">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w:t>
            </w:r>
          </w:p>
          <w:p w14:paraId="313D9EAE">
            <w:pPr>
              <w:spacing w:line="264"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23FD5227">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341" w:type="dxa"/>
            <w:vAlign w:val="center"/>
          </w:tcPr>
          <w:p w14:paraId="48456CF2">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12EA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1205" w:type="dxa"/>
            <w:vMerge w:val="continue"/>
            <w:vAlign w:val="center"/>
          </w:tcPr>
          <w:p w14:paraId="5B25406B">
            <w:pPr>
              <w:spacing w:line="264" w:lineRule="auto"/>
              <w:jc w:val="center"/>
              <w:rPr>
                <w:rFonts w:hint="eastAsia" w:ascii="宋体" w:hAnsi="宋体" w:eastAsia="宋体" w:cs="Times New Roman"/>
                <w:szCs w:val="21"/>
              </w:rPr>
            </w:pPr>
          </w:p>
        </w:tc>
        <w:tc>
          <w:tcPr>
            <w:tcW w:w="8093" w:type="dxa"/>
            <w:gridSpan w:val="7"/>
            <w:vAlign w:val="center"/>
          </w:tcPr>
          <w:p w14:paraId="3F253EE2">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哈代生平与创作的了解，以及对《还乡》中人物命运的分析，引导学生关注社会底层人民的困境，培养对社会不公的批判意识和社会责任感。通过对《安娜·卡列尼娜》中人物命运的探讨，引导学生理解社会环境对个人命运的影响，培养对社会问题的敏感度和批判精神。</w:t>
            </w:r>
          </w:p>
        </w:tc>
      </w:tr>
      <w:tr w14:paraId="09A5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FD2B2A9">
            <w:pPr>
              <w:spacing w:line="264" w:lineRule="auto"/>
              <w:jc w:val="center"/>
              <w:rPr>
                <w:rFonts w:hint="eastAsia" w:ascii="宋体" w:hAnsi="宋体" w:eastAsia="宋体" w:cs="Times New Roman"/>
                <w:szCs w:val="21"/>
              </w:rPr>
            </w:pPr>
            <w:r>
              <w:rPr>
                <w:rFonts w:hint="eastAsia" w:ascii="宋体" w:hAnsi="宋体" w:eastAsia="宋体" w:cs="Times New Roman"/>
                <w:szCs w:val="21"/>
              </w:rPr>
              <w:t>16.20世纪文学（上）</w:t>
            </w:r>
          </w:p>
        </w:tc>
        <w:tc>
          <w:tcPr>
            <w:tcW w:w="1809" w:type="dxa"/>
            <w:vAlign w:val="center"/>
          </w:tcPr>
          <w:p w14:paraId="111CE566">
            <w:pPr>
              <w:spacing w:line="264" w:lineRule="auto"/>
              <w:jc w:val="left"/>
              <w:rPr>
                <w:rFonts w:hint="eastAsia" w:ascii="宋体" w:hAnsi="宋体" w:eastAsia="宋体" w:cs="Times New Roman"/>
                <w:szCs w:val="21"/>
              </w:rPr>
            </w:pPr>
            <w:r>
              <w:rPr>
                <w:rFonts w:hint="eastAsia" w:ascii="宋体" w:hAnsi="宋体" w:eastAsia="宋体" w:cs="Times New Roman"/>
                <w:szCs w:val="21"/>
              </w:rPr>
              <w:t>（1）20世纪上半期各国文学的发展概况</w:t>
            </w:r>
          </w:p>
          <w:p w14:paraId="1C993207">
            <w:pPr>
              <w:spacing w:line="264" w:lineRule="auto"/>
              <w:jc w:val="left"/>
              <w:rPr>
                <w:rFonts w:hint="eastAsia" w:ascii="宋体" w:hAnsi="宋体" w:eastAsia="宋体" w:cs="Times New Roman"/>
                <w:szCs w:val="21"/>
              </w:rPr>
            </w:pPr>
            <w:r>
              <w:rPr>
                <w:rFonts w:hint="eastAsia" w:ascii="宋体" w:hAnsi="宋体" w:eastAsia="宋体" w:cs="Times New Roman"/>
                <w:szCs w:val="21"/>
              </w:rPr>
              <w:t>（2）卡夫卡与《变形记》</w:t>
            </w:r>
          </w:p>
          <w:p w14:paraId="3C210452">
            <w:pPr>
              <w:spacing w:line="264" w:lineRule="auto"/>
              <w:jc w:val="left"/>
              <w:rPr>
                <w:rFonts w:hint="eastAsia" w:ascii="宋体" w:hAnsi="宋体" w:eastAsia="宋体" w:cs="Times New Roman"/>
                <w:szCs w:val="21"/>
              </w:rPr>
            </w:pPr>
            <w:r>
              <w:rPr>
                <w:rFonts w:hint="eastAsia" w:ascii="宋体" w:hAnsi="宋体" w:eastAsia="宋体" w:cs="Times New Roman"/>
                <w:szCs w:val="21"/>
              </w:rPr>
              <w:t>（3）海明威与《老人与海》</w:t>
            </w:r>
          </w:p>
        </w:tc>
        <w:tc>
          <w:tcPr>
            <w:tcW w:w="1251" w:type="dxa"/>
            <w:vAlign w:val="center"/>
          </w:tcPr>
          <w:p w14:paraId="59AF8618">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p w14:paraId="3DB82B6C">
            <w:pPr>
              <w:spacing w:line="264" w:lineRule="auto"/>
              <w:jc w:val="center"/>
              <w:rPr>
                <w:rFonts w:hint="eastAsia" w:ascii="宋体" w:hAnsi="宋体" w:eastAsia="宋体" w:cs="Times New Roman"/>
                <w:szCs w:val="21"/>
              </w:rPr>
            </w:pPr>
          </w:p>
        </w:tc>
        <w:tc>
          <w:tcPr>
            <w:tcW w:w="2582" w:type="dxa"/>
            <w:vAlign w:val="center"/>
          </w:tcPr>
          <w:p w14:paraId="5D66ACDE">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1.了解120世纪上半期各国文学的发展概况</w:t>
            </w:r>
          </w:p>
          <w:p w14:paraId="4702AA4C">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2.理解《变形记》的艺术特征</w:t>
            </w:r>
          </w:p>
          <w:p w14:paraId="4C4C03CB">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3.掌握《老人与海》的思想内容与艺术特色</w:t>
            </w:r>
          </w:p>
        </w:tc>
        <w:tc>
          <w:tcPr>
            <w:tcW w:w="2110" w:type="dxa"/>
            <w:gridSpan w:val="3"/>
            <w:vAlign w:val="center"/>
          </w:tcPr>
          <w:p w14:paraId="1B3A68F3">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w:t>
            </w:r>
          </w:p>
          <w:p w14:paraId="2AD902D4">
            <w:pPr>
              <w:spacing w:line="264"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624E3C9B">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341" w:type="dxa"/>
            <w:vAlign w:val="center"/>
          </w:tcPr>
          <w:p w14:paraId="6E77EBFC">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4A66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1205" w:type="dxa"/>
            <w:vMerge w:val="continue"/>
            <w:vAlign w:val="center"/>
          </w:tcPr>
          <w:p w14:paraId="1C3EF370">
            <w:pPr>
              <w:spacing w:line="264" w:lineRule="auto"/>
              <w:jc w:val="center"/>
              <w:rPr>
                <w:rFonts w:hint="eastAsia" w:ascii="宋体" w:hAnsi="宋体" w:eastAsia="宋体" w:cs="Times New Roman"/>
                <w:szCs w:val="21"/>
              </w:rPr>
            </w:pPr>
          </w:p>
        </w:tc>
        <w:tc>
          <w:tcPr>
            <w:tcW w:w="8093" w:type="dxa"/>
            <w:gridSpan w:val="7"/>
            <w:vAlign w:val="center"/>
          </w:tcPr>
          <w:p w14:paraId="360DCC61">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20世纪上半期各国文学反映了社会变革和人性困境等重大主题，通过对这一时期文学的了解，引导学生关注社会现实问题，培养批判性思维和社会责任感。</w:t>
            </w:r>
          </w:p>
        </w:tc>
      </w:tr>
      <w:tr w14:paraId="7E41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9" w:hRule="atLeast"/>
          <w:jc w:val="center"/>
        </w:trPr>
        <w:tc>
          <w:tcPr>
            <w:tcW w:w="1205" w:type="dxa"/>
            <w:vMerge w:val="restart"/>
            <w:vAlign w:val="center"/>
          </w:tcPr>
          <w:p w14:paraId="59E3AB67">
            <w:pPr>
              <w:spacing w:line="264" w:lineRule="auto"/>
              <w:jc w:val="center"/>
              <w:rPr>
                <w:rFonts w:hint="eastAsia" w:ascii="宋体" w:hAnsi="宋体" w:eastAsia="宋体" w:cs="Times New Roman"/>
                <w:szCs w:val="21"/>
              </w:rPr>
            </w:pPr>
            <w:r>
              <w:rPr>
                <w:rFonts w:hint="eastAsia" w:ascii="宋体" w:hAnsi="宋体" w:eastAsia="宋体" w:cs="Times New Roman"/>
                <w:szCs w:val="21"/>
              </w:rPr>
              <w:t>17.20世纪文学（下）</w:t>
            </w:r>
          </w:p>
        </w:tc>
        <w:tc>
          <w:tcPr>
            <w:tcW w:w="1809" w:type="dxa"/>
            <w:vAlign w:val="center"/>
          </w:tcPr>
          <w:p w14:paraId="0E33645D">
            <w:pPr>
              <w:spacing w:line="264" w:lineRule="auto"/>
              <w:jc w:val="left"/>
              <w:rPr>
                <w:rFonts w:hint="eastAsia" w:ascii="宋体" w:hAnsi="宋体" w:eastAsia="宋体" w:cs="Times New Roman"/>
                <w:szCs w:val="21"/>
              </w:rPr>
            </w:pPr>
            <w:r>
              <w:rPr>
                <w:rFonts w:hint="eastAsia" w:ascii="宋体" w:hAnsi="宋体" w:eastAsia="宋体" w:cs="Times New Roman"/>
                <w:szCs w:val="21"/>
              </w:rPr>
              <w:t>（1）20世纪下半期各国文学的发展概况</w:t>
            </w:r>
          </w:p>
          <w:p w14:paraId="649E045F">
            <w:pPr>
              <w:spacing w:line="264" w:lineRule="auto"/>
              <w:jc w:val="left"/>
              <w:rPr>
                <w:rFonts w:hint="eastAsia" w:ascii="宋体" w:hAnsi="宋体" w:eastAsia="宋体" w:cs="Times New Roman"/>
                <w:szCs w:val="21"/>
              </w:rPr>
            </w:pPr>
            <w:r>
              <w:rPr>
                <w:rFonts w:hint="eastAsia" w:ascii="宋体" w:hAnsi="宋体" w:eastAsia="宋体" w:cs="Times New Roman"/>
                <w:szCs w:val="21"/>
              </w:rPr>
              <w:t>（2）萨特的生平创作与存在主义文学</w:t>
            </w:r>
          </w:p>
          <w:p w14:paraId="1D1AA062">
            <w:pPr>
              <w:spacing w:line="264" w:lineRule="auto"/>
              <w:jc w:val="left"/>
              <w:rPr>
                <w:rFonts w:hint="eastAsia" w:ascii="宋体" w:hAnsi="宋体" w:eastAsia="宋体" w:cs="Times New Roman"/>
                <w:szCs w:val="21"/>
              </w:rPr>
            </w:pPr>
            <w:r>
              <w:rPr>
                <w:rFonts w:hint="eastAsia" w:ascii="宋体" w:hAnsi="宋体" w:eastAsia="宋体" w:cs="Times New Roman"/>
                <w:szCs w:val="21"/>
              </w:rPr>
              <w:t>（3）贝克特与《等待戈多》</w:t>
            </w:r>
          </w:p>
          <w:p w14:paraId="21878A59">
            <w:pPr>
              <w:spacing w:line="264" w:lineRule="auto"/>
              <w:jc w:val="left"/>
              <w:rPr>
                <w:rFonts w:hint="eastAsia" w:ascii="宋体" w:hAnsi="宋体" w:eastAsia="宋体" w:cs="Times New Roman"/>
                <w:szCs w:val="21"/>
              </w:rPr>
            </w:pPr>
            <w:r>
              <w:rPr>
                <w:rFonts w:hint="eastAsia" w:ascii="宋体" w:hAnsi="宋体" w:eastAsia="宋体" w:cs="Times New Roman"/>
                <w:szCs w:val="21"/>
              </w:rPr>
              <w:t>（4）马尔克斯与《百年孤独》</w:t>
            </w:r>
          </w:p>
        </w:tc>
        <w:tc>
          <w:tcPr>
            <w:tcW w:w="1251" w:type="dxa"/>
            <w:vAlign w:val="center"/>
          </w:tcPr>
          <w:p w14:paraId="67D33B64">
            <w:pPr>
              <w:spacing w:line="264" w:lineRule="auto"/>
              <w:jc w:val="center"/>
              <w:rPr>
                <w:rFonts w:hint="eastAsia" w:ascii="宋体" w:hAnsi="宋体" w:eastAsia="宋体" w:cs="Times New Roman"/>
                <w:szCs w:val="21"/>
              </w:rPr>
            </w:pPr>
            <w:r>
              <w:rPr>
                <w:rFonts w:hint="eastAsia" w:ascii="宋体" w:hAnsi="宋体" w:eastAsia="宋体" w:cs="Times New Roman"/>
                <w:szCs w:val="21"/>
              </w:rPr>
              <w:t>课程目标1、2、3</w:t>
            </w:r>
          </w:p>
          <w:p w14:paraId="2D9A5AF9">
            <w:pPr>
              <w:spacing w:line="264" w:lineRule="auto"/>
              <w:jc w:val="center"/>
              <w:rPr>
                <w:rFonts w:hint="eastAsia" w:ascii="宋体" w:hAnsi="宋体" w:eastAsia="宋体" w:cs="Times New Roman"/>
                <w:szCs w:val="21"/>
              </w:rPr>
            </w:pPr>
          </w:p>
        </w:tc>
        <w:tc>
          <w:tcPr>
            <w:tcW w:w="3035" w:type="dxa"/>
            <w:gridSpan w:val="2"/>
            <w:vAlign w:val="center"/>
          </w:tcPr>
          <w:p w14:paraId="15A0CEA9">
            <w:pPr>
              <w:spacing w:line="264" w:lineRule="auto"/>
              <w:jc w:val="left"/>
              <w:rPr>
                <w:rFonts w:hint="eastAsia" w:ascii="宋体" w:hAnsi="宋体" w:eastAsia="宋体" w:cs="Times New Roman"/>
                <w:szCs w:val="21"/>
              </w:rPr>
            </w:pPr>
            <w:r>
              <w:rPr>
                <w:rFonts w:hint="eastAsia" w:ascii="宋体" w:hAnsi="宋体" w:eastAsia="宋体" w:cs="Times New Roman"/>
                <w:szCs w:val="21"/>
              </w:rPr>
              <w:t>1.了解20世纪下半期各国文学的发展概况</w:t>
            </w:r>
          </w:p>
          <w:p w14:paraId="5524F8D1">
            <w:pPr>
              <w:spacing w:line="264" w:lineRule="auto"/>
              <w:jc w:val="left"/>
              <w:rPr>
                <w:rFonts w:hint="eastAsia" w:ascii="宋体" w:hAnsi="宋体" w:eastAsia="宋体" w:cs="Times New Roman"/>
                <w:szCs w:val="21"/>
              </w:rPr>
            </w:pPr>
            <w:r>
              <w:rPr>
                <w:rFonts w:hint="eastAsia" w:ascii="宋体" w:hAnsi="宋体" w:eastAsia="宋体" w:cs="Times New Roman"/>
                <w:szCs w:val="21"/>
              </w:rPr>
              <w:t>2.理解存在主义文学的基本特征</w:t>
            </w:r>
          </w:p>
          <w:p w14:paraId="066A5873">
            <w:pPr>
              <w:spacing w:line="264" w:lineRule="auto"/>
              <w:jc w:val="left"/>
              <w:rPr>
                <w:rFonts w:hint="eastAsia" w:ascii="宋体" w:hAnsi="宋体" w:eastAsia="宋体" w:cs="Times New Roman"/>
                <w:szCs w:val="21"/>
              </w:rPr>
            </w:pPr>
            <w:r>
              <w:rPr>
                <w:rFonts w:hint="eastAsia" w:ascii="宋体" w:hAnsi="宋体" w:eastAsia="宋体" w:cs="Times New Roman"/>
                <w:szCs w:val="21"/>
              </w:rPr>
              <w:t>3.掌握《等待戈多》《百年孤独》的的思想内容与艺术特色</w:t>
            </w:r>
          </w:p>
        </w:tc>
        <w:tc>
          <w:tcPr>
            <w:tcW w:w="1657" w:type="dxa"/>
            <w:gridSpan w:val="2"/>
            <w:vAlign w:val="center"/>
          </w:tcPr>
          <w:p w14:paraId="38CFE42F">
            <w:pPr>
              <w:spacing w:line="264" w:lineRule="auto"/>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1A719F97">
            <w:pPr>
              <w:spacing w:line="264" w:lineRule="auto"/>
              <w:jc w:val="left"/>
              <w:rPr>
                <w:rFonts w:hint="eastAsia" w:ascii="宋体" w:hAnsi="宋体" w:eastAsia="宋体" w:cs="Times New Roman"/>
                <w:szCs w:val="21"/>
              </w:rPr>
            </w:pPr>
            <w:r>
              <w:rPr>
                <w:rFonts w:hint="eastAsia" w:ascii="宋体" w:hAnsi="宋体" w:eastAsia="宋体" w:cs="Times New Roman"/>
                <w:szCs w:val="21"/>
              </w:rPr>
              <w:t>3.课后作业</w:t>
            </w:r>
          </w:p>
        </w:tc>
        <w:tc>
          <w:tcPr>
            <w:tcW w:w="341" w:type="dxa"/>
            <w:vAlign w:val="center"/>
          </w:tcPr>
          <w:p w14:paraId="14042665">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p>
        </w:tc>
      </w:tr>
      <w:tr w14:paraId="5E7D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1205" w:type="dxa"/>
            <w:vMerge w:val="continue"/>
            <w:vAlign w:val="center"/>
          </w:tcPr>
          <w:p w14:paraId="38F8C3A3">
            <w:pPr>
              <w:spacing w:line="264" w:lineRule="auto"/>
              <w:jc w:val="center"/>
              <w:rPr>
                <w:rFonts w:hint="eastAsia" w:ascii="宋体" w:hAnsi="宋体" w:eastAsia="宋体" w:cs="Times New Roman"/>
                <w:szCs w:val="21"/>
              </w:rPr>
            </w:pPr>
          </w:p>
        </w:tc>
        <w:tc>
          <w:tcPr>
            <w:tcW w:w="8093" w:type="dxa"/>
            <w:gridSpan w:val="7"/>
            <w:vAlign w:val="center"/>
          </w:tcPr>
          <w:p w14:paraId="3A76112B">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20世纪下半期文学呈现出多元化的特征，涵盖了存在主义、荒诞派戏剧、魔幻现实主义等多种流派。通过对不同国家文学作品的学习，引导学生了解不同文化背景下的文学创作和社会思想，理解不同文学流派的艺术特点和价值，提升审美能力和文学素养，培养跨文化理解能力和全球视野。</w:t>
            </w:r>
          </w:p>
        </w:tc>
      </w:tr>
    </w:tbl>
    <w:p w14:paraId="0BE556AD">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783ADEF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589C6A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1549"/>
        <w:gridCol w:w="1495"/>
        <w:gridCol w:w="1269"/>
        <w:gridCol w:w="1809"/>
      </w:tblGrid>
      <w:tr w14:paraId="256F6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2" w:type="dxa"/>
            <w:vMerge w:val="restart"/>
            <w:vAlign w:val="center"/>
          </w:tcPr>
          <w:p w14:paraId="11971C2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589" w:type="dxa"/>
            <w:gridSpan w:val="3"/>
            <w:vAlign w:val="center"/>
          </w:tcPr>
          <w:p w14:paraId="6D1F1CEA">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504" w:type="dxa"/>
            <w:vMerge w:val="restart"/>
            <w:vAlign w:val="center"/>
          </w:tcPr>
          <w:p w14:paraId="5DA531AB">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B08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Merge w:val="continue"/>
            <w:vAlign w:val="center"/>
          </w:tcPr>
          <w:p w14:paraId="3DB3A6FB">
            <w:pPr>
              <w:spacing w:line="360" w:lineRule="auto"/>
              <w:jc w:val="center"/>
              <w:rPr>
                <w:rFonts w:hint="eastAsia" w:ascii="宋体" w:hAnsi="宋体" w:eastAsia="宋体" w:cs="Times New Roman"/>
                <w:szCs w:val="21"/>
              </w:rPr>
            </w:pPr>
          </w:p>
        </w:tc>
        <w:tc>
          <w:tcPr>
            <w:tcW w:w="1289" w:type="dxa"/>
            <w:vAlign w:val="center"/>
          </w:tcPr>
          <w:p w14:paraId="3019C852">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244" w:type="dxa"/>
            <w:vAlign w:val="center"/>
          </w:tcPr>
          <w:p w14:paraId="6826C329">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3219DFC6">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期末论文</w:t>
            </w:r>
          </w:p>
        </w:tc>
        <w:tc>
          <w:tcPr>
            <w:tcW w:w="1504" w:type="dxa"/>
            <w:vMerge w:val="continue"/>
            <w:vAlign w:val="center"/>
          </w:tcPr>
          <w:p w14:paraId="25AA8DA4">
            <w:pPr>
              <w:spacing w:line="360" w:lineRule="auto"/>
              <w:jc w:val="center"/>
              <w:rPr>
                <w:rFonts w:hint="eastAsia" w:ascii="宋体" w:hAnsi="宋体" w:eastAsia="宋体" w:cs="Times New Roman"/>
                <w:szCs w:val="21"/>
              </w:rPr>
            </w:pPr>
          </w:p>
        </w:tc>
      </w:tr>
      <w:tr w14:paraId="0F9D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Align w:val="center"/>
          </w:tcPr>
          <w:p w14:paraId="338F437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289" w:type="dxa"/>
            <w:vAlign w:val="center"/>
          </w:tcPr>
          <w:p w14:paraId="1A1B2CA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4" w:type="dxa"/>
            <w:vAlign w:val="center"/>
          </w:tcPr>
          <w:p w14:paraId="1F8BE98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558A3C4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04" w:type="dxa"/>
            <w:vAlign w:val="center"/>
          </w:tcPr>
          <w:p w14:paraId="33383D86">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4481E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Align w:val="center"/>
          </w:tcPr>
          <w:p w14:paraId="18C4592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289" w:type="dxa"/>
            <w:vAlign w:val="center"/>
          </w:tcPr>
          <w:p w14:paraId="3F9DFFC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4" w:type="dxa"/>
            <w:vAlign w:val="center"/>
          </w:tcPr>
          <w:p w14:paraId="2B69FC0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1BF6CC7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04" w:type="dxa"/>
            <w:vAlign w:val="center"/>
          </w:tcPr>
          <w:p w14:paraId="660E0FD2">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ACC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Align w:val="center"/>
          </w:tcPr>
          <w:p w14:paraId="46709B3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289" w:type="dxa"/>
            <w:vAlign w:val="center"/>
          </w:tcPr>
          <w:p w14:paraId="6900583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4" w:type="dxa"/>
            <w:vAlign w:val="center"/>
          </w:tcPr>
          <w:p w14:paraId="4D45F74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102C0D7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04" w:type="dxa"/>
            <w:vAlign w:val="center"/>
          </w:tcPr>
          <w:p w14:paraId="050DBB05">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66F0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2" w:type="dxa"/>
            <w:vAlign w:val="center"/>
          </w:tcPr>
          <w:p w14:paraId="0D1A71F9">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289" w:type="dxa"/>
            <w:vAlign w:val="center"/>
          </w:tcPr>
          <w:p w14:paraId="4A93246A">
            <w:pPr>
              <w:spacing w:line="360" w:lineRule="auto"/>
              <w:jc w:val="center"/>
              <w:rPr>
                <w:rFonts w:hint="eastAsia" w:ascii="宋体" w:hAnsi="宋体" w:eastAsia="宋体" w:cs="Times New Roman"/>
                <w:szCs w:val="21"/>
              </w:rPr>
            </w:pPr>
          </w:p>
        </w:tc>
        <w:tc>
          <w:tcPr>
            <w:tcW w:w="1244" w:type="dxa"/>
            <w:vAlign w:val="center"/>
          </w:tcPr>
          <w:p w14:paraId="09E8D0E0">
            <w:pPr>
              <w:spacing w:line="360" w:lineRule="auto"/>
              <w:jc w:val="center"/>
              <w:rPr>
                <w:rFonts w:hint="eastAsia" w:ascii="宋体" w:hAnsi="宋体" w:eastAsia="宋体" w:cs="Times New Roman"/>
                <w:szCs w:val="21"/>
              </w:rPr>
            </w:pPr>
          </w:p>
        </w:tc>
        <w:tc>
          <w:tcPr>
            <w:tcW w:w="1056" w:type="dxa"/>
            <w:vAlign w:val="center"/>
          </w:tcPr>
          <w:p w14:paraId="43A1D719">
            <w:pPr>
              <w:spacing w:line="360" w:lineRule="auto"/>
              <w:jc w:val="center"/>
              <w:rPr>
                <w:rFonts w:hint="eastAsia" w:ascii="宋体" w:hAnsi="宋体" w:eastAsia="宋体" w:cs="Times New Roman"/>
                <w:szCs w:val="21"/>
              </w:rPr>
            </w:pPr>
          </w:p>
        </w:tc>
        <w:tc>
          <w:tcPr>
            <w:tcW w:w="1504" w:type="dxa"/>
            <w:vAlign w:val="center"/>
          </w:tcPr>
          <w:p w14:paraId="32C5BCFD">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14019F1">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33007B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316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75" w:type="dxa"/>
            <w:vAlign w:val="center"/>
          </w:tcPr>
          <w:p w14:paraId="54A5F20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D42762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9BC2CF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E89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675" w:type="dxa"/>
            <w:vAlign w:val="center"/>
          </w:tcPr>
          <w:p w14:paraId="512A693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312A81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或者读后感，需选择外国文学经典书目，要求每位学生完成一篇，需有自己的阅读感悟。二为文献综述，要求学生以文学作品中具体的问题为核心，展开文献综述的撰写，为期末的结课论文做准备。三为结合读后感和文献综述的课堂展示，要求展示内容有明确的问题意识，思路清晰，课件美观，语言流畅。</w:t>
            </w:r>
          </w:p>
        </w:tc>
        <w:tc>
          <w:tcPr>
            <w:tcW w:w="0" w:type="auto"/>
            <w:vAlign w:val="center"/>
          </w:tcPr>
          <w:p w14:paraId="5DC736AC">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0F52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675" w:type="dxa"/>
            <w:vAlign w:val="center"/>
          </w:tcPr>
          <w:p w14:paraId="336D9936">
            <w:pPr>
              <w:rPr>
                <w:rFonts w:ascii="Times New Roman" w:hAnsi="Times New Roman" w:eastAsia="宋体" w:cs="Times New Roman"/>
                <w:szCs w:val="21"/>
              </w:rPr>
            </w:pPr>
            <w:r>
              <w:rPr>
                <w:rFonts w:hint="eastAsia" w:ascii="Times New Roman" w:hAnsi="Times New Roman" w:eastAsia="宋体" w:cs="Times New Roman"/>
                <w:szCs w:val="21"/>
              </w:rPr>
              <w:t>课堂考勤</w:t>
            </w:r>
          </w:p>
        </w:tc>
        <w:tc>
          <w:tcPr>
            <w:tcW w:w="7141" w:type="dxa"/>
            <w:vAlign w:val="center"/>
          </w:tcPr>
          <w:p w14:paraId="0E9B80B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迟到一次扣2分，事假扣2分，病假扣1分。无故缺席一次扣5分，累计达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tc>
        <w:tc>
          <w:tcPr>
            <w:tcW w:w="0" w:type="auto"/>
            <w:vAlign w:val="center"/>
          </w:tcPr>
          <w:p w14:paraId="7EA4B22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7D3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675" w:type="dxa"/>
            <w:vAlign w:val="center"/>
          </w:tcPr>
          <w:p w14:paraId="70BD2445">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23255FCF">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6BD93BA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079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675" w:type="dxa"/>
            <w:vAlign w:val="center"/>
          </w:tcPr>
          <w:p w14:paraId="4B8620DB">
            <w:pPr>
              <w:rPr>
                <w:rFonts w:ascii="Times New Roman" w:hAnsi="Times New Roman" w:eastAsia="宋体" w:cs="Times New Roman"/>
                <w:szCs w:val="21"/>
              </w:rPr>
            </w:pPr>
            <w:r>
              <w:rPr>
                <w:rFonts w:hint="eastAsia" w:ascii="Times New Roman" w:hAnsi="Times New Roman" w:eastAsia="宋体" w:cs="Times New Roman"/>
                <w:szCs w:val="21"/>
              </w:rPr>
              <w:t>期末论文</w:t>
            </w:r>
          </w:p>
        </w:tc>
        <w:tc>
          <w:tcPr>
            <w:tcW w:w="7141" w:type="dxa"/>
            <w:vAlign w:val="center"/>
          </w:tcPr>
          <w:p w14:paraId="73A74DB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论文选题应与本学期所学的外国文学内容紧密相关，能够体现对课程知识的理解和运用，主题需聚焦于外国文学领域，涵盖某一作家、作品、文学流派、文学思潮或文学现象等，具有一定的创新性和研究价值，避免过于宽泛或陈旧。在具体的行文过程中，需按照学术论文的标准格式撰写，要有原文的引用以及阐释，逻辑清晰，语言流畅，应体现批判性思维，能够辩证地看待文学作品或文学现象，避免片面或绝对化的观点。</w:t>
            </w:r>
          </w:p>
        </w:tc>
        <w:tc>
          <w:tcPr>
            <w:tcW w:w="0" w:type="auto"/>
            <w:vAlign w:val="center"/>
          </w:tcPr>
          <w:p w14:paraId="745D75B7">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9DA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EABFAD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6C2452C">
            <w:pPr>
              <w:jc w:val="left"/>
              <w:rPr>
                <w:rFonts w:ascii="Times New Roman" w:hAnsi="Times New Roman" w:eastAsia="宋体" w:cs="Times New Roman"/>
                <w:szCs w:val="21"/>
              </w:rPr>
            </w:pPr>
          </w:p>
        </w:tc>
        <w:tc>
          <w:tcPr>
            <w:tcW w:w="0" w:type="auto"/>
            <w:vAlign w:val="center"/>
          </w:tcPr>
          <w:p w14:paraId="25E47EA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5DAE1AA">
      <w:pPr>
        <w:spacing w:line="360" w:lineRule="auto"/>
        <w:jc w:val="left"/>
        <w:rPr>
          <w:rFonts w:hint="eastAsia" w:ascii="宋体" w:hAnsi="宋体" w:eastAsia="宋体" w:cs="Times New Roman"/>
          <w:b/>
          <w:szCs w:val="21"/>
        </w:rPr>
      </w:pPr>
    </w:p>
    <w:p w14:paraId="1910165E">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1936E54C">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A076395">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61"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61" DrawAspect="Content" ObjectID="_1468075761" r:id="rId49">
            <o:LockedField>false</o:LockedField>
          </o:OLEObject>
        </w:object>
      </w:r>
    </w:p>
    <w:p w14:paraId="38843634">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五</w:t>
      </w:r>
      <w:r>
        <w:rPr>
          <w:rFonts w:hint="eastAsia" w:ascii="Times New Roman" w:hAnsi="Times New Roman" w:eastAsia="宋体" w:cs="Times New Roman"/>
          <w:b/>
          <w:sz w:val="24"/>
        </w:rPr>
        <w:t>、有关说明</w:t>
      </w:r>
    </w:p>
    <w:p w14:paraId="43203205">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52BCE72">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3C9BC315">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E97C409">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《外国文学史》编写组.</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外国文学史（上下），高等教育出版社，2</w:t>
      </w:r>
      <w:r>
        <w:rPr>
          <w:rFonts w:ascii="Times New Roman" w:hAnsi="Times New Roman" w:eastAsia="宋体" w:cs="Times New Roman"/>
          <w:bCs/>
          <w:szCs w:val="21"/>
        </w:rPr>
        <w:t>0</w:t>
      </w:r>
      <w:r>
        <w:rPr>
          <w:rFonts w:hint="eastAsia" w:ascii="Times New Roman" w:hAnsi="Times New Roman" w:eastAsia="宋体" w:cs="Times New Roman"/>
          <w:bCs/>
          <w:szCs w:val="21"/>
        </w:rPr>
        <w:t>23.（马克思主义理论研究和建设工程重点教材）</w:t>
      </w:r>
    </w:p>
    <w:p w14:paraId="5F486B14">
      <w:pPr>
        <w:spacing w:line="360" w:lineRule="auto"/>
        <w:ind w:firstLine="422" w:firstLineChars="200"/>
        <w:jc w:val="left"/>
        <w:rPr>
          <w:rFonts w:hint="eastAsia" w:ascii="等线" w:hAnsi="等线" w:eastAsia="等线" w:cs="Times New Roman"/>
          <w:szCs w:val="22"/>
        </w:rPr>
      </w:pPr>
      <w:r>
        <w:rPr>
          <w:rFonts w:hint="eastAsia" w:ascii="Times New Roman" w:hAnsi="Times New Roman" w:eastAsia="宋体" w:cs="Times New Roman"/>
          <w:b/>
          <w:szCs w:val="21"/>
        </w:rPr>
        <w:t>（三）参考书目</w:t>
      </w:r>
    </w:p>
    <w:p w14:paraId="7840C7FD">
      <w:pPr>
        <w:adjustRightInd w:val="0"/>
        <w:snapToGrid w:val="0"/>
        <w:spacing w:line="360" w:lineRule="auto"/>
        <w:ind w:firstLine="420" w:firstLineChars="200"/>
        <w:rPr>
          <w:rFonts w:ascii="Times New Roman" w:hAnsi="Times New Roman" w:eastAsia="宋体" w:cs="Times New Roman"/>
          <w:smallCaps/>
          <w:kern w:val="44"/>
          <w:szCs w:val="21"/>
        </w:rPr>
      </w:pPr>
      <w:r>
        <w:rPr>
          <w:rFonts w:ascii="Times New Roman" w:hAnsi="Times New Roman" w:eastAsia="宋体" w:cs="Times New Roman"/>
          <w:smallCaps/>
          <w:kern w:val="44"/>
          <w:szCs w:val="21"/>
        </w:rPr>
        <w:t>1.</w:t>
      </w:r>
      <w:r>
        <w:rPr>
          <w:rFonts w:hint="eastAsia" w:ascii="Times New Roman" w:hAnsi="Times New Roman" w:eastAsia="宋体" w:cs="Times New Roman"/>
          <w:smallCaps/>
          <w:kern w:val="44"/>
          <w:szCs w:val="21"/>
        </w:rPr>
        <w:t>聂珍钊等:</w:t>
      </w:r>
      <w:r>
        <w:rPr>
          <w:rFonts w:ascii="Times New Roman" w:hAnsi="Times New Roman" w:eastAsia="宋体" w:cs="Times New Roman"/>
          <w:smallCaps/>
          <w:kern w:val="44"/>
          <w:szCs w:val="21"/>
        </w:rPr>
        <w:t>《外国文学作品选》</w:t>
      </w:r>
      <w:r>
        <w:rPr>
          <w:rFonts w:hint="eastAsia" w:ascii="Times New Roman" w:hAnsi="Times New Roman" w:eastAsia="宋体" w:cs="Times New Roman"/>
          <w:smallCaps/>
          <w:kern w:val="44"/>
          <w:szCs w:val="21"/>
        </w:rPr>
        <w:t>（</w:t>
      </w:r>
      <w:r>
        <w:rPr>
          <w:rFonts w:ascii="Times New Roman" w:hAnsi="Times New Roman" w:eastAsia="宋体" w:cs="Times New Roman"/>
          <w:smallCaps/>
          <w:kern w:val="44"/>
          <w:szCs w:val="21"/>
        </w:rPr>
        <w:t>上下</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高等教育出版社</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20</w:t>
      </w:r>
      <w:r>
        <w:rPr>
          <w:rFonts w:hint="eastAsia" w:ascii="Times New Roman" w:hAnsi="Times New Roman" w:eastAsia="宋体" w:cs="Times New Roman"/>
          <w:smallCaps/>
          <w:kern w:val="44"/>
          <w:szCs w:val="21"/>
        </w:rPr>
        <w:t>17</w:t>
      </w:r>
      <w:r>
        <w:rPr>
          <w:rFonts w:ascii="Times New Roman" w:hAnsi="Times New Roman" w:eastAsia="宋体" w:cs="Times New Roman"/>
          <w:smallCaps/>
          <w:kern w:val="44"/>
          <w:szCs w:val="21"/>
        </w:rPr>
        <w:t>.</w:t>
      </w:r>
      <w:r>
        <w:rPr>
          <w:rFonts w:hint="eastAsia" w:ascii="Times New Roman" w:hAnsi="Times New Roman" w:eastAsia="宋体" w:cs="Times New Roman"/>
          <w:smallCaps/>
          <w:kern w:val="44"/>
          <w:szCs w:val="21"/>
        </w:rPr>
        <w:t>9.</w:t>
      </w:r>
      <w:r>
        <w:rPr>
          <w:rFonts w:ascii="Times New Roman" w:hAnsi="Times New Roman" w:eastAsia="宋体" w:cs="Times New Roman"/>
          <w:smallCaps/>
          <w:kern w:val="44"/>
          <w:szCs w:val="21"/>
        </w:rPr>
        <w:t xml:space="preserve"> </w:t>
      </w:r>
    </w:p>
    <w:p w14:paraId="68451A10">
      <w:pPr>
        <w:adjustRightInd w:val="0"/>
        <w:snapToGrid w:val="0"/>
        <w:spacing w:line="360" w:lineRule="auto"/>
        <w:ind w:firstLine="420" w:firstLineChars="200"/>
        <w:rPr>
          <w:rFonts w:ascii="Times New Roman" w:hAnsi="Times New Roman" w:eastAsia="宋体" w:cs="Times New Roman"/>
          <w:smallCaps/>
          <w:kern w:val="44"/>
          <w:szCs w:val="21"/>
        </w:rPr>
      </w:pPr>
      <w:r>
        <w:rPr>
          <w:rFonts w:ascii="Times New Roman" w:hAnsi="Times New Roman" w:eastAsia="宋体" w:cs="Times New Roman"/>
          <w:smallCaps/>
          <w:kern w:val="44"/>
          <w:szCs w:val="21"/>
        </w:rPr>
        <w:t>2.徐葆耕</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西方文学十五讲</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北京大学出版社</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2012.7</w:t>
      </w:r>
      <w:r>
        <w:rPr>
          <w:rFonts w:hint="eastAsia" w:ascii="Times New Roman" w:hAnsi="Times New Roman" w:eastAsia="宋体" w:cs="Times New Roman"/>
          <w:smallCaps/>
          <w:kern w:val="44"/>
          <w:szCs w:val="21"/>
        </w:rPr>
        <w:t>.</w:t>
      </w:r>
    </w:p>
    <w:p w14:paraId="3E05BA0B">
      <w:pPr>
        <w:adjustRightInd w:val="0"/>
        <w:snapToGrid w:val="0"/>
        <w:spacing w:line="360" w:lineRule="auto"/>
        <w:ind w:firstLine="420" w:firstLineChars="200"/>
        <w:rPr>
          <w:rFonts w:ascii="Times New Roman" w:hAnsi="Times New Roman" w:eastAsia="宋体" w:cs="Times New Roman"/>
          <w:smallCaps/>
          <w:kern w:val="44"/>
          <w:szCs w:val="21"/>
        </w:rPr>
      </w:pPr>
      <w:r>
        <w:rPr>
          <w:rFonts w:ascii="Times New Roman" w:hAnsi="Times New Roman" w:eastAsia="宋体" w:cs="Times New Roman"/>
          <w:smallCaps/>
          <w:kern w:val="44"/>
          <w:szCs w:val="21"/>
        </w:rPr>
        <w:t>3.郑克鲁</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《二十世纪欧美文学史》</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北京大学出版社</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2014.1</w:t>
      </w:r>
      <w:r>
        <w:rPr>
          <w:rFonts w:hint="eastAsia" w:ascii="Times New Roman" w:hAnsi="Times New Roman" w:eastAsia="宋体" w:cs="Times New Roman"/>
          <w:smallCaps/>
          <w:kern w:val="44"/>
          <w:szCs w:val="21"/>
        </w:rPr>
        <w:t>.</w:t>
      </w:r>
    </w:p>
    <w:p w14:paraId="7CBF16DA">
      <w:pPr>
        <w:adjustRightInd w:val="0"/>
        <w:snapToGrid w:val="0"/>
        <w:spacing w:line="360" w:lineRule="auto"/>
        <w:ind w:firstLine="420" w:firstLineChars="200"/>
        <w:rPr>
          <w:rFonts w:ascii="Times New Roman" w:hAnsi="Times New Roman" w:eastAsia="宋体" w:cs="Times New Roman"/>
          <w:smallCaps/>
          <w:kern w:val="44"/>
          <w:szCs w:val="21"/>
        </w:rPr>
      </w:pPr>
      <w:r>
        <w:rPr>
          <w:rFonts w:ascii="Times New Roman" w:hAnsi="Times New Roman" w:eastAsia="宋体" w:cs="Times New Roman"/>
          <w:smallCaps/>
          <w:kern w:val="44"/>
          <w:szCs w:val="21"/>
        </w:rPr>
        <w:t>4</w:t>
      </w:r>
      <w:r>
        <w:rPr>
          <w:rFonts w:hint="eastAsia" w:ascii="Times New Roman" w:hAnsi="Times New Roman" w:eastAsia="宋体" w:cs="Times New Roman"/>
          <w:smallCaps/>
          <w:kern w:val="44"/>
          <w:szCs w:val="21"/>
        </w:rPr>
        <w:t>.</w:t>
      </w:r>
      <w:r>
        <w:rPr>
          <w:rFonts w:ascii="Times New Roman" w:hAnsi="Times New Roman" w:eastAsia="宋体" w:cs="Times New Roman"/>
          <w:smallCaps/>
          <w:kern w:val="44"/>
          <w:szCs w:val="21"/>
        </w:rPr>
        <w:t>朱维之等</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《外国文学史》</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天津</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南开大学出版社</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2015.1</w:t>
      </w:r>
      <w:r>
        <w:rPr>
          <w:rFonts w:hint="eastAsia" w:ascii="Times New Roman" w:hAnsi="Times New Roman" w:eastAsia="宋体" w:cs="Times New Roman"/>
          <w:smallCaps/>
          <w:kern w:val="44"/>
          <w:szCs w:val="21"/>
        </w:rPr>
        <w:t>.</w:t>
      </w:r>
    </w:p>
    <w:p w14:paraId="49DCA7C0">
      <w:pPr>
        <w:adjustRightInd w:val="0"/>
        <w:snapToGrid w:val="0"/>
        <w:spacing w:line="360" w:lineRule="auto"/>
        <w:ind w:firstLine="420" w:firstLineChars="200"/>
        <w:rPr>
          <w:rFonts w:ascii="Times New Roman" w:hAnsi="Times New Roman" w:eastAsia="宋体" w:cs="Times New Roman"/>
          <w:smallCaps/>
          <w:kern w:val="44"/>
          <w:szCs w:val="21"/>
        </w:rPr>
      </w:pPr>
      <w:r>
        <w:rPr>
          <w:rFonts w:ascii="Times New Roman" w:hAnsi="Times New Roman" w:eastAsia="宋体" w:cs="Times New Roman"/>
          <w:smallCaps/>
          <w:kern w:val="44"/>
          <w:szCs w:val="21"/>
        </w:rPr>
        <w:t>5.郑克鲁等</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《外国文学史》</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高等教育出版社</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2015.5</w:t>
      </w:r>
      <w:r>
        <w:rPr>
          <w:rFonts w:hint="eastAsia" w:ascii="Times New Roman" w:hAnsi="Times New Roman" w:eastAsia="宋体" w:cs="Times New Roman"/>
          <w:smallCaps/>
          <w:kern w:val="44"/>
          <w:szCs w:val="21"/>
        </w:rPr>
        <w:t>.</w:t>
      </w:r>
    </w:p>
    <w:p w14:paraId="311C42A6">
      <w:pPr>
        <w:adjustRightInd w:val="0"/>
        <w:snapToGrid w:val="0"/>
        <w:spacing w:line="360" w:lineRule="auto"/>
        <w:ind w:firstLine="420" w:firstLineChars="200"/>
        <w:rPr>
          <w:rFonts w:ascii="Times New Roman" w:hAnsi="Times New Roman" w:eastAsia="宋体" w:cs="Times New Roman"/>
          <w:smallCaps/>
          <w:kern w:val="44"/>
          <w:szCs w:val="21"/>
        </w:rPr>
      </w:pPr>
      <w:r>
        <w:rPr>
          <w:rFonts w:ascii="Times New Roman" w:hAnsi="Times New Roman" w:eastAsia="宋体" w:cs="Times New Roman"/>
          <w:smallCaps/>
          <w:kern w:val="44"/>
          <w:szCs w:val="21"/>
        </w:rPr>
        <w:t>6.</w:t>
      </w:r>
      <w:r>
        <w:fldChar w:fldCharType="begin"/>
      </w:r>
      <w:r>
        <w:instrText xml:space="preserve"> HYPERLINK "https://book.jd.com/writer/%E9%83%81%E9%BE%99%E4%BD%99_1.html" \t "https://item.jd.com/_blank" </w:instrText>
      </w:r>
      <w:r>
        <w:fldChar w:fldCharType="separate"/>
      </w:r>
      <w:r>
        <w:rPr>
          <w:rFonts w:ascii="Times New Roman" w:hAnsi="Times New Roman" w:eastAsia="宋体" w:cs="Times New Roman"/>
          <w:smallCaps/>
          <w:kern w:val="44"/>
          <w:szCs w:val="21"/>
        </w:rPr>
        <w:t>郁龙余</w:t>
      </w:r>
      <w:r>
        <w:rPr>
          <w:rFonts w:ascii="Times New Roman" w:hAnsi="Times New Roman" w:eastAsia="宋体" w:cs="Times New Roman"/>
          <w:smallCaps/>
          <w:kern w:val="44"/>
          <w:szCs w:val="21"/>
        </w:rPr>
        <w:fldChar w:fldCharType="end"/>
      </w:r>
      <w:r>
        <w:rPr>
          <w:rFonts w:hint="eastAsia" w:ascii="Times New Roman" w:hAnsi="Times New Roman" w:eastAsia="宋体" w:cs="Times New Roman"/>
          <w:smallCaps/>
          <w:kern w:val="44"/>
          <w:szCs w:val="21"/>
        </w:rPr>
        <w:t>:</w:t>
      </w:r>
      <w:r>
        <w:rPr>
          <w:rFonts w:ascii="Times New Roman" w:hAnsi="Times New Roman" w:eastAsia="宋体" w:cs="Times New Roman"/>
          <w:smallCaps/>
          <w:kern w:val="44"/>
          <w:szCs w:val="21"/>
        </w:rPr>
        <w:t>《东方文学</w:t>
      </w:r>
      <w:r>
        <w:rPr>
          <w:rFonts w:hint="eastAsia" w:ascii="Times New Roman" w:hAnsi="Times New Roman" w:eastAsia="宋体" w:cs="Times New Roman"/>
          <w:smallCaps/>
          <w:kern w:val="44"/>
          <w:szCs w:val="21"/>
        </w:rPr>
        <w:t>史</w:t>
      </w:r>
      <w:r>
        <w:rPr>
          <w:rFonts w:ascii="Times New Roman" w:hAnsi="Times New Roman" w:eastAsia="宋体" w:cs="Times New Roman"/>
          <w:smallCaps/>
          <w:kern w:val="44"/>
          <w:szCs w:val="21"/>
        </w:rPr>
        <w:t>》（第二版）</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北京大学出版社</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2015.7</w:t>
      </w:r>
      <w:r>
        <w:rPr>
          <w:rFonts w:hint="eastAsia" w:ascii="Times New Roman" w:hAnsi="Times New Roman" w:eastAsia="宋体" w:cs="Times New Roman"/>
          <w:smallCaps/>
          <w:kern w:val="44"/>
          <w:szCs w:val="21"/>
        </w:rPr>
        <w:t>.</w:t>
      </w:r>
    </w:p>
    <w:p w14:paraId="2435A23D">
      <w:pPr>
        <w:adjustRightInd w:val="0"/>
        <w:snapToGrid w:val="0"/>
        <w:spacing w:line="360" w:lineRule="auto"/>
        <w:ind w:firstLine="420" w:firstLineChars="200"/>
        <w:rPr>
          <w:rFonts w:ascii="Times New Roman" w:hAnsi="Times New Roman" w:eastAsia="宋体" w:cs="Times New Roman"/>
          <w:smallCaps/>
          <w:kern w:val="44"/>
          <w:szCs w:val="21"/>
        </w:rPr>
      </w:pPr>
      <w:r>
        <w:rPr>
          <w:rFonts w:hint="eastAsia" w:ascii="Times New Roman" w:hAnsi="Times New Roman" w:eastAsia="宋体" w:cs="Times New Roman"/>
          <w:smallCaps/>
          <w:kern w:val="44"/>
          <w:szCs w:val="21"/>
        </w:rPr>
        <w:t>7</w:t>
      </w:r>
      <w:r>
        <w:rPr>
          <w:rFonts w:ascii="Times New Roman" w:hAnsi="Times New Roman" w:eastAsia="宋体" w:cs="Times New Roman"/>
          <w:smallCaps/>
          <w:kern w:val="44"/>
          <w:szCs w:val="21"/>
        </w:rPr>
        <w:t>.</w:t>
      </w:r>
      <w:r>
        <w:fldChar w:fldCharType="begin"/>
      </w:r>
      <w:r>
        <w:instrText xml:space="preserve"> HYPERLINK "https://book.jd.com/writer/%E5%8B%83%E5%85%B0%E5%85%91%E6%96%AF_1.html" \t "https://item.jd.com/_blank" </w:instrText>
      </w:r>
      <w:r>
        <w:fldChar w:fldCharType="separate"/>
      </w:r>
      <w:r>
        <w:rPr>
          <w:rFonts w:ascii="Times New Roman" w:hAnsi="Times New Roman" w:eastAsia="宋体" w:cs="Times New Roman"/>
          <w:smallCaps/>
          <w:kern w:val="44"/>
          <w:szCs w:val="21"/>
        </w:rPr>
        <w:t>勃兰兑斯</w:t>
      </w:r>
      <w:r>
        <w:rPr>
          <w:rFonts w:ascii="Times New Roman" w:hAnsi="Times New Roman" w:eastAsia="宋体" w:cs="Times New Roman"/>
          <w:smallCaps/>
          <w:kern w:val="44"/>
          <w:szCs w:val="21"/>
        </w:rPr>
        <w:fldChar w:fldCharType="end"/>
      </w:r>
      <w:r>
        <w:rPr>
          <w:rFonts w:hint="eastAsia" w:ascii="Times New Roman" w:hAnsi="Times New Roman" w:eastAsia="宋体" w:cs="Times New Roman"/>
          <w:smallCaps/>
          <w:kern w:val="44"/>
          <w:szCs w:val="21"/>
        </w:rPr>
        <w:t xml:space="preserve">: </w:t>
      </w:r>
      <w:r>
        <w:fldChar w:fldCharType="begin"/>
      </w:r>
      <w:r>
        <w:instrText xml:space="preserve"> HYPERLINK "https://book.jd.com/writer/%E5%BC%A0%E9%81%93%E7%9C%9F_1.html" \t "https://item.jd.com/_blank" </w:instrText>
      </w:r>
      <w:r>
        <w:fldChar w:fldCharType="separate"/>
      </w:r>
      <w:r>
        <w:rPr>
          <w:rFonts w:ascii="Times New Roman" w:hAnsi="Times New Roman" w:eastAsia="宋体" w:cs="Times New Roman"/>
          <w:smallCaps/>
          <w:kern w:val="44"/>
          <w:szCs w:val="21"/>
        </w:rPr>
        <w:t>张道真</w:t>
      </w:r>
      <w:r>
        <w:rPr>
          <w:rFonts w:ascii="Times New Roman" w:hAnsi="Times New Roman" w:eastAsia="宋体" w:cs="Times New Roman"/>
          <w:smallCaps/>
          <w:kern w:val="44"/>
          <w:szCs w:val="21"/>
        </w:rPr>
        <w:fldChar w:fldCharType="end"/>
      </w:r>
      <w:r>
        <w:rPr>
          <w:rFonts w:ascii="Times New Roman" w:hAnsi="Times New Roman" w:eastAsia="宋体" w:cs="Times New Roman"/>
          <w:smallCaps/>
          <w:kern w:val="44"/>
          <w:szCs w:val="21"/>
        </w:rPr>
        <w:t>等译</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《十九世纪文学主流》</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人民文学出版社</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2018.2</w:t>
      </w:r>
      <w:r>
        <w:rPr>
          <w:rFonts w:hint="eastAsia" w:ascii="Times New Roman" w:hAnsi="Times New Roman" w:eastAsia="宋体" w:cs="Times New Roman"/>
          <w:smallCaps/>
          <w:kern w:val="44"/>
          <w:szCs w:val="21"/>
        </w:rPr>
        <w:t>.</w:t>
      </w:r>
    </w:p>
    <w:p w14:paraId="389DC006">
      <w:pPr>
        <w:adjustRightInd w:val="0"/>
        <w:snapToGrid w:val="0"/>
        <w:spacing w:line="360" w:lineRule="auto"/>
        <w:ind w:firstLine="420" w:firstLineChars="200"/>
        <w:rPr>
          <w:rFonts w:ascii="Times New Roman" w:hAnsi="Times New Roman" w:eastAsia="宋体" w:cs="Times New Roman"/>
          <w:smallCaps/>
          <w:kern w:val="44"/>
          <w:szCs w:val="21"/>
        </w:rPr>
      </w:pPr>
      <w:r>
        <w:rPr>
          <w:rFonts w:hint="eastAsia" w:ascii="Times New Roman" w:hAnsi="Times New Roman" w:eastAsia="宋体" w:cs="Times New Roman"/>
          <w:smallCaps/>
          <w:kern w:val="44"/>
          <w:szCs w:val="21"/>
        </w:rPr>
        <w:t>8</w:t>
      </w:r>
      <w:r>
        <w:rPr>
          <w:rFonts w:ascii="Times New Roman" w:hAnsi="Times New Roman" w:eastAsia="宋体" w:cs="Times New Roman"/>
          <w:smallCaps/>
          <w:kern w:val="44"/>
          <w:szCs w:val="21"/>
        </w:rPr>
        <w:t>.吴晓东</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《废墟的忧伤：西方现代文学漫读》</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北京大学出版社</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2018.5</w:t>
      </w:r>
      <w:r>
        <w:rPr>
          <w:rFonts w:hint="eastAsia" w:ascii="Times New Roman" w:hAnsi="Times New Roman" w:eastAsia="宋体" w:cs="Times New Roman"/>
          <w:smallCaps/>
          <w:kern w:val="44"/>
          <w:szCs w:val="21"/>
        </w:rPr>
        <w:t>.</w:t>
      </w:r>
    </w:p>
    <w:p w14:paraId="16DC730F">
      <w:pPr>
        <w:adjustRightInd w:val="0"/>
        <w:snapToGrid w:val="0"/>
        <w:spacing w:line="360" w:lineRule="auto"/>
        <w:ind w:firstLine="420" w:firstLineChars="200"/>
        <w:rPr>
          <w:rFonts w:hint="eastAsia" w:ascii="等线" w:hAnsi="等线" w:eastAsia="等线" w:cs="Times New Roman"/>
          <w:szCs w:val="22"/>
        </w:rPr>
      </w:pPr>
      <w:r>
        <w:rPr>
          <w:rFonts w:hint="eastAsia" w:ascii="Times New Roman" w:hAnsi="Times New Roman" w:eastAsia="宋体" w:cs="Times New Roman"/>
          <w:smallCaps/>
          <w:kern w:val="44"/>
          <w:szCs w:val="21"/>
        </w:rPr>
        <w:t>9</w:t>
      </w:r>
      <w:r>
        <w:rPr>
          <w:rFonts w:ascii="Times New Roman" w:hAnsi="Times New Roman" w:eastAsia="宋体" w:cs="Times New Roman"/>
          <w:smallCaps/>
          <w:kern w:val="44"/>
          <w:szCs w:val="21"/>
        </w:rPr>
        <w:t>.张德明</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《世界文学史》</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北京大学出版社</w:t>
      </w:r>
      <w:r>
        <w:rPr>
          <w:rFonts w:hint="eastAsia" w:ascii="Times New Roman" w:hAnsi="Times New Roman" w:eastAsia="宋体" w:cs="Times New Roman"/>
          <w:smallCaps/>
          <w:kern w:val="44"/>
          <w:szCs w:val="21"/>
        </w:rPr>
        <w:t xml:space="preserve">, </w:t>
      </w:r>
      <w:r>
        <w:rPr>
          <w:rFonts w:ascii="Times New Roman" w:hAnsi="Times New Roman" w:eastAsia="宋体" w:cs="Times New Roman"/>
          <w:smallCaps/>
          <w:kern w:val="44"/>
          <w:szCs w:val="21"/>
        </w:rPr>
        <w:t>2018.5</w:t>
      </w:r>
      <w:r>
        <w:rPr>
          <w:rFonts w:hint="eastAsia" w:ascii="Times New Roman" w:hAnsi="Times New Roman" w:eastAsia="宋体" w:cs="Times New Roman"/>
          <w:smallCaps/>
          <w:kern w:val="44"/>
          <w:szCs w:val="21"/>
        </w:rPr>
        <w:t>.</w:t>
      </w:r>
    </w:p>
    <w:p w14:paraId="2236C7DD">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 xml:space="preserve"> 执笔人：李  玲</w:t>
      </w:r>
      <w:r>
        <w:rPr>
          <w:rFonts w:ascii="Times New Roman" w:hAnsi="Times New Roman" w:eastAsia="宋体" w:cs="Times New Roman"/>
          <w:szCs w:val="21"/>
        </w:rPr>
        <w:t xml:space="preserve"> </w:t>
      </w:r>
    </w:p>
    <w:p w14:paraId="2A9E32B7">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 xml:space="preserve">                                       审定人：王  健</w:t>
      </w:r>
      <w:r>
        <w:rPr>
          <w:rFonts w:ascii="Times New Roman" w:hAnsi="Times New Roman" w:eastAsia="宋体" w:cs="Times New Roman"/>
          <w:szCs w:val="21"/>
        </w:rPr>
        <w:t xml:space="preserve"> </w:t>
      </w:r>
    </w:p>
    <w:p w14:paraId="120C709F">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 xml:space="preserve">                                       审批人：张志欣</w:t>
      </w:r>
      <w:r>
        <w:rPr>
          <w:rFonts w:ascii="Times New Roman" w:hAnsi="Times New Roman" w:eastAsia="宋体" w:cs="Times New Roman"/>
          <w:szCs w:val="21"/>
        </w:rPr>
        <w:t xml:space="preserve"> </w:t>
      </w:r>
    </w:p>
    <w:p w14:paraId="02494AF3">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 xml:space="preserve">                                             批准时间：2025年7月1日</w:t>
      </w:r>
    </w:p>
    <w:p w14:paraId="50CCEED2">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60F2BE03">
      <w:pPr>
        <w:spacing w:line="360" w:lineRule="auto"/>
        <w:jc w:val="center"/>
        <w:outlineLvl w:val="0"/>
        <w:rPr>
          <w:rFonts w:ascii="Times New Roman" w:hAnsi="Times New Roman" w:eastAsia="宋体" w:cs="Times New Roman"/>
          <w:b/>
          <w:sz w:val="44"/>
          <w:szCs w:val="44"/>
        </w:rPr>
      </w:pPr>
      <w:bookmarkStart w:id="1271" w:name="_Toc12256"/>
      <w:bookmarkStart w:id="1272" w:name="_Toc1252"/>
      <w:bookmarkStart w:id="1273" w:name="_Toc18126"/>
      <w:bookmarkStart w:id="1274" w:name="_Toc22592"/>
      <w:r>
        <w:rPr>
          <w:rFonts w:hint="eastAsia" w:ascii="Times New Roman" w:hAnsi="Times New Roman" w:eastAsia="宋体" w:cs="Times New Roman"/>
          <w:b/>
          <w:sz w:val="44"/>
          <w:szCs w:val="44"/>
        </w:rPr>
        <w:t>《写作》课程教学大纲</w:t>
      </w:r>
      <w:bookmarkEnd w:id="1271"/>
      <w:bookmarkEnd w:id="1272"/>
      <w:bookmarkEnd w:id="1273"/>
      <w:bookmarkEnd w:id="1274"/>
    </w:p>
    <w:p w14:paraId="5B70741F">
      <w:pPr>
        <w:spacing w:line="360" w:lineRule="auto"/>
        <w:jc w:val="center"/>
        <w:rPr>
          <w:rFonts w:ascii="Times New Roman" w:hAnsi="Times New Roman" w:eastAsia="宋体" w:cs="Times New Roman"/>
          <w:b/>
          <w:bCs/>
          <w:sz w:val="28"/>
          <w:szCs w:val="28"/>
        </w:rPr>
      </w:pPr>
      <w:bookmarkStart w:id="1275" w:name="_Toc27054"/>
      <w:bookmarkStart w:id="1276" w:name="_Toc31162"/>
      <w:bookmarkStart w:id="1277" w:name="_Toc27366"/>
      <w:bookmarkStart w:id="1278" w:name="_Toc9374"/>
      <w:bookmarkStart w:id="1279" w:name="_Toc13824"/>
      <w:bookmarkStart w:id="1280" w:name="_Toc7322"/>
      <w:bookmarkStart w:id="1281" w:name="_Toc20071"/>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Writing</w:t>
      </w:r>
      <w:r>
        <w:rPr>
          <w:rFonts w:ascii="Times New Roman" w:hAnsi="Times New Roman" w:eastAsia="宋体" w:cs="Times New Roman"/>
          <w:b/>
          <w:bCs/>
          <w:sz w:val="28"/>
          <w:szCs w:val="28"/>
        </w:rPr>
        <w:t>）</w:t>
      </w:r>
      <w:bookmarkEnd w:id="1275"/>
      <w:bookmarkEnd w:id="1276"/>
      <w:bookmarkEnd w:id="1277"/>
      <w:bookmarkEnd w:id="1278"/>
      <w:bookmarkEnd w:id="1279"/>
      <w:bookmarkEnd w:id="1280"/>
      <w:bookmarkEnd w:id="1281"/>
    </w:p>
    <w:p w14:paraId="0423ACD8">
      <w:pPr>
        <w:spacing w:line="360" w:lineRule="auto"/>
        <w:jc w:val="center"/>
        <w:rPr>
          <w:rFonts w:ascii="Times New Roman" w:hAnsi="Times New Roman" w:eastAsia="宋体" w:cs="Times New Roman"/>
          <w:bCs/>
          <w:szCs w:val="21"/>
        </w:rPr>
      </w:pPr>
    </w:p>
    <w:p w14:paraId="67AA9D4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课程名称：写作</w:t>
      </w:r>
    </w:p>
    <w:p w14:paraId="1761941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课程代码：0701012</w:t>
      </w:r>
    </w:p>
    <w:p w14:paraId="157A757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分：3</w:t>
      </w:r>
    </w:p>
    <w:p w14:paraId="15F94AE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w:t>
      </w:r>
    </w:p>
    <w:p w14:paraId="17BB05E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7CDEA9D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w:t>
      </w:r>
    </w:p>
    <w:p w14:paraId="0527648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5348F9A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课程。通过本课程的系统学习，学生能够掌握写作学相关的基础理论和知识，同时培养出扎实的写作技能和良好的语言表达能力。在课程学习过程中，学生不仅能够深入理解写作的基本规律和方法，还能通过大量的写作实践，提升逻辑思维能力、语言组织能力和创新表达能力。此外，写作课程还注重对学生思辨能力的培养，引导学生学会从多角度分析问题，提出独到的见解。通过系统的写作训练，学生能够在不同类型的写作任务中灵活运用所学知识，无论是学术论文、应用文写作，还是文学创作，都能展现出较高的写作水平。同时，写作课程还融入了课程思政元素，帮助学生在写作中树立正确的价值观和文化观，增强社会责任感和文化自信，为学生未来的学习、工作和生活奠定坚实的基础。</w:t>
      </w:r>
    </w:p>
    <w:p w14:paraId="319DFDE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1522E515">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76BB1FC2">
      <w:pPr>
        <w:spacing w:line="360" w:lineRule="auto"/>
        <w:ind w:firstLine="482"/>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Times New Roman" w:hAnsi="Times New Roman" w:eastAsia="宋体" w:cs="Times New Roman"/>
          <w:szCs w:val="21"/>
        </w:rPr>
        <w:t>学生通过对写作课程的学习，能够掌握写作学相关的基础理论和知识，深入理解写作的基本规律和方法。在课程学习过程中，学生将系统学习不同类型写作的特点和技巧，包括文学创作和各种评论文，为应对多样化的写作任务奠定坚实的理论基础。</w:t>
      </w:r>
    </w:p>
    <w:p w14:paraId="03BE3A1C">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 xml:space="preserve">. </w:t>
      </w:r>
      <w:r>
        <w:rPr>
          <w:rFonts w:hint="eastAsia" w:ascii="Times New Roman" w:hAnsi="Times New Roman" w:eastAsia="宋体" w:cs="Times New Roman"/>
          <w:szCs w:val="21"/>
        </w:rPr>
        <w:t>通过写作理论的学习和大量的写作实践，学生将不断提升逻辑思维能力、语言组织能力和创新表达能力，学会从多角度分析问题，提出独到的见解，并能够在不同类型的写作任务中灵活运用所学知识，展现出较高的写作水平。</w:t>
      </w:r>
    </w:p>
    <w:p w14:paraId="33C7F58D">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w:t>
      </w:r>
      <w:r>
        <w:rPr>
          <w:rFonts w:hint="eastAsia" w:ascii="Times New Roman" w:hAnsi="Times New Roman" w:eastAsia="宋体" w:cs="Times New Roman"/>
          <w:szCs w:val="21"/>
        </w:rPr>
        <w:t>通过写作实践，帮助学生在写作中树立正确的价值观和文化观，学生能够更好地理解国家发展和社会进步，关注社会热点问题，并在写作中表达对社会现象的思考和见解。这不仅有助于提升学生的写作能力，还能引导学生在思想上与国家和社会的发展同频共振，为学生未来的学习、工作和生活奠定坚实的思想基础。</w:t>
      </w:r>
    </w:p>
    <w:p w14:paraId="1923F09A">
      <w:pPr>
        <w:spacing w:before="156" w:beforeLines="50" w:after="156" w:afterLines="50"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4FE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2D1F74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1C07FC2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961B8E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2FD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0" w:hRule="atLeast"/>
          <w:jc w:val="center"/>
        </w:trPr>
        <w:tc>
          <w:tcPr>
            <w:tcW w:w="2098" w:type="dxa"/>
            <w:vAlign w:val="center"/>
          </w:tcPr>
          <w:p w14:paraId="2E8A1348">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毕业要求2教育情怀</w:t>
            </w:r>
          </w:p>
        </w:tc>
        <w:tc>
          <w:tcPr>
            <w:tcW w:w="5688" w:type="dxa"/>
            <w:vAlign w:val="center"/>
          </w:tcPr>
          <w:p w14:paraId="02128DEC">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spacing w:val="2"/>
                <w:kern w:val="0"/>
                <w:sz w:val="20"/>
                <w:szCs w:val="20"/>
              </w:rPr>
              <w:t>指标点2-3</w:t>
            </w:r>
            <w:r>
              <w:rPr>
                <w:rFonts w:hint="eastAsia" w:asciiTheme="minorEastAsia" w:hAnsiTheme="minorEastAsia" w:cstheme="minorEastAsia"/>
                <w:spacing w:val="2"/>
                <w:kern w:val="0"/>
                <w:sz w:val="20"/>
                <w:szCs w:val="20"/>
              </w:rPr>
              <w:t>：【自身修养良好】具有较好的人文艺术底蕴与科学精神，言行举止符合教师职业标准，情感积极，人格健全，身心健康。</w:t>
            </w:r>
          </w:p>
        </w:tc>
        <w:tc>
          <w:tcPr>
            <w:tcW w:w="1191" w:type="dxa"/>
            <w:vAlign w:val="center"/>
          </w:tcPr>
          <w:p w14:paraId="1CDB4544">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课程目标3</w:t>
            </w:r>
          </w:p>
        </w:tc>
      </w:tr>
      <w:tr w14:paraId="0FBA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2098" w:type="dxa"/>
            <w:vAlign w:val="center"/>
          </w:tcPr>
          <w:p w14:paraId="61EE797D">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毕业要求3学科素养</w:t>
            </w:r>
          </w:p>
        </w:tc>
        <w:tc>
          <w:tcPr>
            <w:tcW w:w="5688" w:type="dxa"/>
            <w:vAlign w:val="center"/>
          </w:tcPr>
          <w:p w14:paraId="14B7A992">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spacing w:val="2"/>
                <w:kern w:val="0"/>
                <w:sz w:val="20"/>
                <w:szCs w:val="20"/>
              </w:rPr>
              <w:t>指标点3-2</w:t>
            </w:r>
            <w:r>
              <w:rPr>
                <w:rFonts w:hint="eastAsia" w:asciiTheme="minorEastAsia" w:hAnsiTheme="minorEastAsia" w:cstheme="minorEastAsia"/>
                <w:spacing w:val="2"/>
                <w:kern w:val="0"/>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1" w:type="dxa"/>
            <w:vAlign w:val="center"/>
          </w:tcPr>
          <w:p w14:paraId="64F114DD">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课程目标1</w:t>
            </w:r>
          </w:p>
        </w:tc>
      </w:tr>
      <w:tr w14:paraId="1D382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2098" w:type="dxa"/>
            <w:vAlign w:val="center"/>
          </w:tcPr>
          <w:p w14:paraId="771FE39A">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毕业要求4教学能力</w:t>
            </w:r>
          </w:p>
        </w:tc>
        <w:tc>
          <w:tcPr>
            <w:tcW w:w="5688" w:type="dxa"/>
            <w:vAlign w:val="center"/>
          </w:tcPr>
          <w:p w14:paraId="1D6B9531">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kern w:val="0"/>
                <w:sz w:val="20"/>
                <w:szCs w:val="20"/>
              </w:rPr>
              <w:t>指标点4-1</w:t>
            </w:r>
            <w:r>
              <w:rPr>
                <w:rFonts w:hint="eastAsia" w:asciiTheme="minorEastAsia" w:hAnsiTheme="minorEastAsia" w:cstheme="minorEastAsia"/>
                <w:kern w:val="0"/>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43473139">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课程目标2</w:t>
            </w:r>
          </w:p>
        </w:tc>
      </w:tr>
    </w:tbl>
    <w:p w14:paraId="0E870868">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6D5A3E5E">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通过写作实践，学生能够深入关注社会发展的热点与难点问题，帮助学生在写作中树立正确的价值观和文化观，引导学生在文本中体现家国情怀，让他们学会从个人的成长经历出发，思考个人与国家、社会的关系，表达对国家发展的自豪感、对民族未来的使命感以及对社会和谐的追求。学生能够更好地理解国家发展和社会进步，关注社会热点问题，并在写作中表达对社会现象的思考和见解，成为具有社会责任感和使命感的优秀人才。</w:t>
      </w:r>
    </w:p>
    <w:p w14:paraId="3A178C04">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2285"/>
        <w:gridCol w:w="1275"/>
        <w:gridCol w:w="2535"/>
        <w:gridCol w:w="1560"/>
        <w:gridCol w:w="97"/>
        <w:gridCol w:w="341"/>
      </w:tblGrid>
      <w:tr w14:paraId="250C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46356A3">
            <w:pPr>
              <w:jc w:val="center"/>
              <w:rPr>
                <w:rFonts w:hint="eastAsia" w:ascii="宋体" w:hAnsi="宋体" w:eastAsia="宋体" w:cs="Times New Roman"/>
                <w:b/>
                <w:szCs w:val="21"/>
              </w:rPr>
            </w:pPr>
            <w:r>
              <w:rPr>
                <w:rFonts w:hint="eastAsia" w:ascii="宋体" w:hAnsi="宋体" w:eastAsia="宋体" w:cs="Times New Roman"/>
                <w:b/>
                <w:szCs w:val="21"/>
              </w:rPr>
              <w:t>知识</w:t>
            </w:r>
          </w:p>
          <w:p w14:paraId="61FF753E">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285" w:type="dxa"/>
            <w:vAlign w:val="center"/>
          </w:tcPr>
          <w:p w14:paraId="2041B70C">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75" w:type="dxa"/>
            <w:vAlign w:val="center"/>
          </w:tcPr>
          <w:p w14:paraId="141813F0">
            <w:pPr>
              <w:jc w:val="center"/>
              <w:rPr>
                <w:rFonts w:hint="eastAsia" w:ascii="宋体" w:hAnsi="宋体" w:eastAsia="宋体" w:cs="Times New Roman"/>
                <w:b/>
                <w:szCs w:val="21"/>
              </w:rPr>
            </w:pPr>
            <w:r>
              <w:rPr>
                <w:rFonts w:hint="eastAsia" w:ascii="宋体" w:hAnsi="宋体" w:eastAsia="宋体" w:cs="Times New Roman"/>
                <w:b/>
                <w:szCs w:val="21"/>
              </w:rPr>
              <w:t>对应</w:t>
            </w:r>
          </w:p>
          <w:p w14:paraId="7AC1AA16">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535" w:type="dxa"/>
            <w:vAlign w:val="center"/>
          </w:tcPr>
          <w:p w14:paraId="72A70E44">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0DDB45B6">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gridSpan w:val="2"/>
            <w:vAlign w:val="center"/>
          </w:tcPr>
          <w:p w14:paraId="300E0619">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22D2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59444C6">
            <w:pPr>
              <w:rPr>
                <w:rFonts w:hint="eastAsia" w:ascii="宋体" w:hAnsi="宋体" w:eastAsia="宋体" w:cs="Times New Roman"/>
                <w:szCs w:val="21"/>
              </w:rPr>
            </w:pPr>
            <w:r>
              <w:rPr>
                <w:rFonts w:hint="eastAsia" w:ascii="宋体" w:hAnsi="宋体" w:eastAsia="宋体" w:cs="Times New Roman"/>
                <w:szCs w:val="21"/>
              </w:rPr>
              <w:t>1.写作绪论</w:t>
            </w:r>
          </w:p>
        </w:tc>
        <w:tc>
          <w:tcPr>
            <w:tcW w:w="2285" w:type="dxa"/>
            <w:vAlign w:val="center"/>
          </w:tcPr>
          <w:p w14:paraId="541F6467">
            <w:pPr>
              <w:jc w:val="left"/>
              <w:rPr>
                <w:rFonts w:hint="eastAsia" w:ascii="宋体" w:hAnsi="宋体" w:eastAsia="宋体" w:cs="Times New Roman"/>
                <w:szCs w:val="21"/>
              </w:rPr>
            </w:pPr>
            <w:r>
              <w:rPr>
                <w:rFonts w:hint="eastAsia" w:ascii="宋体" w:hAnsi="宋体" w:eastAsia="宋体" w:cs="Times New Roman"/>
                <w:szCs w:val="21"/>
              </w:rPr>
              <w:t>（1）写作内涵辨析</w:t>
            </w:r>
          </w:p>
          <w:p w14:paraId="535BA2A7">
            <w:pPr>
              <w:jc w:val="left"/>
              <w:rPr>
                <w:rFonts w:hint="eastAsia" w:ascii="宋体" w:hAnsi="宋体" w:eastAsia="宋体" w:cs="Times New Roman"/>
                <w:szCs w:val="21"/>
              </w:rPr>
            </w:pPr>
            <w:r>
              <w:rPr>
                <w:rFonts w:hint="eastAsia" w:ascii="宋体" w:hAnsi="宋体" w:eastAsia="宋体" w:cs="Times New Roman"/>
                <w:szCs w:val="21"/>
              </w:rPr>
              <w:t>（2）写作活动的特点</w:t>
            </w:r>
          </w:p>
          <w:p w14:paraId="7D7BB555">
            <w:pPr>
              <w:jc w:val="left"/>
              <w:rPr>
                <w:rFonts w:hint="eastAsia" w:ascii="宋体" w:hAnsi="宋体" w:eastAsia="宋体" w:cs="Times New Roman"/>
                <w:szCs w:val="21"/>
              </w:rPr>
            </w:pPr>
            <w:r>
              <w:rPr>
                <w:rFonts w:hint="eastAsia" w:ascii="宋体" w:hAnsi="宋体" w:eastAsia="宋体" w:cs="Times New Roman"/>
                <w:szCs w:val="21"/>
              </w:rPr>
              <w:t>（3）写作在高科技时代的价值</w:t>
            </w:r>
          </w:p>
          <w:p w14:paraId="0DE887D3">
            <w:pPr>
              <w:jc w:val="left"/>
              <w:rPr>
                <w:rFonts w:hint="eastAsia" w:ascii="宋体" w:hAnsi="宋体" w:eastAsia="宋体" w:cs="Times New Roman"/>
                <w:szCs w:val="21"/>
              </w:rPr>
            </w:pPr>
            <w:r>
              <w:rPr>
                <w:rFonts w:hint="eastAsia" w:ascii="宋体" w:hAnsi="宋体" w:eastAsia="宋体" w:cs="Times New Roman"/>
                <w:szCs w:val="21"/>
              </w:rPr>
              <w:t>（4）自由写作练习</w:t>
            </w:r>
          </w:p>
        </w:tc>
        <w:tc>
          <w:tcPr>
            <w:tcW w:w="1275" w:type="dxa"/>
            <w:vAlign w:val="center"/>
          </w:tcPr>
          <w:p w14:paraId="2CAF6C91">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535" w:type="dxa"/>
            <w:vAlign w:val="center"/>
          </w:tcPr>
          <w:p w14:paraId="60E4B204">
            <w:pPr>
              <w:jc w:val="left"/>
              <w:rPr>
                <w:rFonts w:hint="eastAsia" w:ascii="宋体" w:hAnsi="宋体" w:eastAsia="宋体" w:cs="Times New Roman"/>
                <w:szCs w:val="21"/>
              </w:rPr>
            </w:pPr>
            <w:r>
              <w:rPr>
                <w:rFonts w:hint="eastAsia" w:ascii="宋体" w:hAnsi="宋体" w:eastAsia="宋体" w:cs="Times New Roman"/>
                <w:szCs w:val="21"/>
              </w:rPr>
              <w:t>1.了解写作的内涵和特点</w:t>
            </w:r>
          </w:p>
          <w:p w14:paraId="408E3E43">
            <w:pPr>
              <w:jc w:val="left"/>
              <w:rPr>
                <w:rFonts w:hint="eastAsia" w:ascii="宋体" w:hAnsi="宋体" w:eastAsia="宋体" w:cs="Times New Roman"/>
                <w:szCs w:val="21"/>
              </w:rPr>
            </w:pPr>
            <w:r>
              <w:rPr>
                <w:rFonts w:hint="eastAsia" w:ascii="宋体" w:hAnsi="宋体" w:eastAsia="宋体" w:cs="Times New Roman"/>
                <w:szCs w:val="21"/>
              </w:rPr>
              <w:t>2.明确写作在高科技时代的价值</w:t>
            </w:r>
          </w:p>
          <w:p w14:paraId="2BF75F04">
            <w:pPr>
              <w:jc w:val="left"/>
              <w:rPr>
                <w:rFonts w:hint="eastAsia" w:ascii="宋体" w:hAnsi="宋体" w:eastAsia="宋体" w:cs="Times New Roman"/>
                <w:szCs w:val="21"/>
              </w:rPr>
            </w:pPr>
            <w:r>
              <w:rPr>
                <w:rFonts w:hint="eastAsia" w:ascii="宋体" w:hAnsi="宋体" w:eastAsia="宋体" w:cs="Times New Roman"/>
                <w:szCs w:val="21"/>
              </w:rPr>
              <w:t>3.通过自由写作练习，充分释放学生的想象力和创造力，自由表达内心的想法与情感，激发他们对语言文字的热爱和探索欲望。</w:t>
            </w:r>
          </w:p>
        </w:tc>
        <w:tc>
          <w:tcPr>
            <w:tcW w:w="1560" w:type="dxa"/>
            <w:vAlign w:val="center"/>
          </w:tcPr>
          <w:p w14:paraId="4C04EBA7">
            <w:pPr>
              <w:jc w:val="left"/>
              <w:rPr>
                <w:rFonts w:hint="eastAsia" w:ascii="宋体" w:hAnsi="宋体" w:eastAsia="宋体" w:cs="Times New Roman"/>
                <w:szCs w:val="21"/>
              </w:rPr>
            </w:pPr>
            <w:r>
              <w:rPr>
                <w:rFonts w:hint="eastAsia" w:ascii="宋体" w:hAnsi="宋体" w:eastAsia="宋体" w:cs="Times New Roman"/>
                <w:szCs w:val="21"/>
              </w:rPr>
              <w:t>1.多媒体教学2.课堂讨论</w:t>
            </w:r>
          </w:p>
          <w:p w14:paraId="73D13F48">
            <w:pPr>
              <w:jc w:val="left"/>
              <w:rPr>
                <w:rFonts w:hint="eastAsia" w:ascii="宋体" w:hAnsi="宋体" w:eastAsia="宋体" w:cs="Times New Roman"/>
                <w:szCs w:val="21"/>
              </w:rPr>
            </w:pPr>
            <w:r>
              <w:rPr>
                <w:rFonts w:hint="eastAsia" w:ascii="宋体" w:hAnsi="宋体" w:eastAsia="宋体" w:cs="Times New Roman"/>
                <w:szCs w:val="21"/>
              </w:rPr>
              <w:t>3.课堂自由写作练习</w:t>
            </w:r>
          </w:p>
        </w:tc>
        <w:tc>
          <w:tcPr>
            <w:tcW w:w="438" w:type="dxa"/>
            <w:gridSpan w:val="2"/>
            <w:vAlign w:val="center"/>
          </w:tcPr>
          <w:p w14:paraId="3D759049">
            <w:pPr>
              <w:jc w:val="center"/>
              <w:rPr>
                <w:rFonts w:hint="eastAsia" w:ascii="宋体" w:hAnsi="宋体" w:eastAsia="宋体" w:cs="Times New Roman"/>
                <w:szCs w:val="21"/>
              </w:rPr>
            </w:pPr>
            <w:r>
              <w:rPr>
                <w:rFonts w:hint="eastAsia" w:ascii="宋体" w:hAnsi="宋体" w:eastAsia="宋体" w:cs="Times New Roman"/>
                <w:szCs w:val="21"/>
              </w:rPr>
              <w:t>3</w:t>
            </w:r>
          </w:p>
        </w:tc>
      </w:tr>
      <w:tr w14:paraId="172C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9" w:hRule="atLeast"/>
          <w:jc w:val="center"/>
        </w:trPr>
        <w:tc>
          <w:tcPr>
            <w:tcW w:w="1205" w:type="dxa"/>
            <w:vMerge w:val="continue"/>
            <w:vAlign w:val="center"/>
          </w:tcPr>
          <w:p w14:paraId="7924F866">
            <w:pPr>
              <w:jc w:val="center"/>
              <w:rPr>
                <w:rFonts w:hint="eastAsia" w:ascii="宋体" w:hAnsi="宋体" w:eastAsia="宋体" w:cs="Times New Roman"/>
                <w:szCs w:val="21"/>
              </w:rPr>
            </w:pPr>
          </w:p>
        </w:tc>
        <w:tc>
          <w:tcPr>
            <w:tcW w:w="8093" w:type="dxa"/>
            <w:gridSpan w:val="6"/>
            <w:vAlign w:val="center"/>
          </w:tcPr>
          <w:p w14:paraId="1A5A599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写作内涵的辨析、写作在高科技时代的价值以及自由写作的练习，引导学生理解写作不仅是文字的表达，更是思想和价值观的传递。帮助学生树立正确的世界观、人生观和价值观，增强对国家和社会的责任感。培养学生敢于质疑、勇于表达自己观点的批判精神，引导学生从多角度思考问题，提升思辨能力。</w:t>
            </w:r>
          </w:p>
        </w:tc>
      </w:tr>
      <w:tr w14:paraId="4D49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ACB52B8">
            <w:pPr>
              <w:jc w:val="center"/>
              <w:rPr>
                <w:rFonts w:hint="eastAsia" w:ascii="宋体" w:hAnsi="宋体" w:eastAsia="宋体" w:cs="Times New Roman"/>
                <w:szCs w:val="21"/>
              </w:rPr>
            </w:pPr>
            <w:r>
              <w:rPr>
                <w:rFonts w:hint="eastAsia" w:ascii="宋体" w:hAnsi="宋体" w:eastAsia="宋体" w:cs="Times New Roman"/>
                <w:szCs w:val="21"/>
              </w:rPr>
              <w:t>2.写作活动中的主体因素</w:t>
            </w:r>
          </w:p>
        </w:tc>
        <w:tc>
          <w:tcPr>
            <w:tcW w:w="2285" w:type="dxa"/>
            <w:vAlign w:val="center"/>
          </w:tcPr>
          <w:p w14:paraId="55312719">
            <w:pPr>
              <w:jc w:val="left"/>
              <w:rPr>
                <w:rFonts w:hint="eastAsia" w:ascii="宋体" w:hAnsi="宋体" w:eastAsia="宋体" w:cs="Times New Roman"/>
                <w:szCs w:val="21"/>
              </w:rPr>
            </w:pPr>
            <w:r>
              <w:rPr>
                <w:rFonts w:hint="eastAsia" w:ascii="宋体" w:hAnsi="宋体" w:eastAsia="宋体" w:cs="Times New Roman"/>
                <w:szCs w:val="21"/>
              </w:rPr>
              <w:t>（1）写作活动的缘起</w:t>
            </w:r>
          </w:p>
          <w:p w14:paraId="59B5C425">
            <w:pPr>
              <w:jc w:val="left"/>
              <w:rPr>
                <w:rFonts w:hint="eastAsia" w:ascii="宋体" w:hAnsi="宋体" w:eastAsia="宋体" w:cs="Times New Roman"/>
                <w:szCs w:val="21"/>
              </w:rPr>
            </w:pPr>
            <w:r>
              <w:rPr>
                <w:rFonts w:hint="eastAsia" w:ascii="宋体" w:hAnsi="宋体" w:eastAsia="宋体" w:cs="Times New Roman"/>
                <w:szCs w:val="21"/>
              </w:rPr>
              <w:t>（2）写作主体需要的素质和能力</w:t>
            </w:r>
          </w:p>
          <w:p w14:paraId="2D32A605">
            <w:pPr>
              <w:jc w:val="left"/>
              <w:rPr>
                <w:rFonts w:hint="eastAsia" w:ascii="宋体" w:hAnsi="宋体" w:eastAsia="宋体" w:cs="Times New Roman"/>
                <w:szCs w:val="21"/>
              </w:rPr>
            </w:pPr>
            <w:r>
              <w:rPr>
                <w:rFonts w:hint="eastAsia" w:ascii="宋体" w:hAnsi="宋体" w:eastAsia="宋体" w:cs="Times New Roman"/>
                <w:szCs w:val="21"/>
              </w:rPr>
              <w:t>（3）影响写作活动的重要主体因素</w:t>
            </w:r>
          </w:p>
          <w:p w14:paraId="0B17DAD9">
            <w:pPr>
              <w:jc w:val="left"/>
              <w:rPr>
                <w:rFonts w:hint="eastAsia" w:ascii="宋体" w:hAnsi="宋体" w:eastAsia="宋体" w:cs="Times New Roman"/>
                <w:szCs w:val="21"/>
              </w:rPr>
            </w:pPr>
            <w:r>
              <w:rPr>
                <w:rFonts w:hint="eastAsia" w:ascii="宋体" w:hAnsi="宋体" w:eastAsia="宋体" w:cs="Times New Roman"/>
                <w:szCs w:val="21"/>
              </w:rPr>
              <w:t>（4）写一篇短文，描述你眼中的自己作为写作主体的优势和不足</w:t>
            </w:r>
          </w:p>
        </w:tc>
        <w:tc>
          <w:tcPr>
            <w:tcW w:w="1275" w:type="dxa"/>
            <w:vAlign w:val="center"/>
          </w:tcPr>
          <w:p w14:paraId="2D335FD2">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535" w:type="dxa"/>
            <w:vAlign w:val="center"/>
          </w:tcPr>
          <w:p w14:paraId="26EFBC7B">
            <w:pPr>
              <w:jc w:val="left"/>
              <w:rPr>
                <w:rFonts w:hint="eastAsia" w:ascii="宋体" w:hAnsi="宋体" w:eastAsia="宋体" w:cs="Times New Roman"/>
                <w:szCs w:val="21"/>
              </w:rPr>
            </w:pPr>
            <w:r>
              <w:rPr>
                <w:rFonts w:hint="eastAsia" w:ascii="宋体" w:hAnsi="宋体" w:eastAsia="宋体" w:cs="Times New Roman"/>
                <w:szCs w:val="21"/>
              </w:rPr>
              <w:t>1.了解写作活动的缘起</w:t>
            </w:r>
          </w:p>
          <w:p w14:paraId="561E6F35">
            <w:pPr>
              <w:jc w:val="left"/>
              <w:rPr>
                <w:rFonts w:hint="eastAsia" w:ascii="宋体" w:hAnsi="宋体" w:eastAsia="宋体" w:cs="Times New Roman"/>
                <w:szCs w:val="21"/>
              </w:rPr>
            </w:pPr>
            <w:r>
              <w:rPr>
                <w:rFonts w:hint="eastAsia" w:ascii="宋体" w:hAnsi="宋体" w:eastAsia="宋体" w:cs="Times New Roman"/>
                <w:szCs w:val="21"/>
              </w:rPr>
              <w:t>2.掌握写作主体所需要的素质和能力</w:t>
            </w:r>
          </w:p>
          <w:p w14:paraId="689D2AC1">
            <w:pPr>
              <w:jc w:val="left"/>
              <w:rPr>
                <w:rFonts w:hint="eastAsia" w:ascii="宋体" w:hAnsi="宋体" w:eastAsia="宋体" w:cs="Times New Roman"/>
                <w:szCs w:val="21"/>
              </w:rPr>
            </w:pPr>
            <w:r>
              <w:rPr>
                <w:rFonts w:hint="eastAsia" w:ascii="宋体" w:hAnsi="宋体" w:eastAsia="宋体" w:cs="Times New Roman"/>
                <w:szCs w:val="21"/>
              </w:rPr>
              <w:t>3.理解影响写作活动的重要主体因素</w:t>
            </w:r>
          </w:p>
          <w:p w14:paraId="707E1A88">
            <w:pPr>
              <w:jc w:val="left"/>
              <w:rPr>
                <w:rFonts w:hint="eastAsia" w:ascii="宋体" w:hAnsi="宋体" w:eastAsia="宋体" w:cs="Times New Roman"/>
                <w:szCs w:val="21"/>
              </w:rPr>
            </w:pPr>
            <w:r>
              <w:rPr>
                <w:rFonts w:hint="eastAsia" w:ascii="宋体" w:hAnsi="宋体" w:eastAsia="宋体" w:cs="Times New Roman"/>
                <w:szCs w:val="21"/>
              </w:rPr>
              <w:t>4.对写作主体有较强的自我认知</w:t>
            </w:r>
          </w:p>
        </w:tc>
        <w:tc>
          <w:tcPr>
            <w:tcW w:w="1560" w:type="dxa"/>
            <w:vAlign w:val="center"/>
          </w:tcPr>
          <w:p w14:paraId="30CCCD3E">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3BEA847D">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2EE97565">
            <w:pPr>
              <w:jc w:val="center"/>
              <w:rPr>
                <w:rFonts w:hint="eastAsia" w:ascii="宋体" w:hAnsi="宋体" w:eastAsia="宋体" w:cs="Times New Roman"/>
                <w:szCs w:val="21"/>
              </w:rPr>
            </w:pPr>
            <w:r>
              <w:rPr>
                <w:rFonts w:hint="eastAsia" w:ascii="宋体" w:hAnsi="宋体" w:eastAsia="宋体" w:cs="Times New Roman"/>
                <w:szCs w:val="21"/>
              </w:rPr>
              <w:t>6</w:t>
            </w:r>
          </w:p>
        </w:tc>
      </w:tr>
      <w:tr w14:paraId="4EB7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205" w:type="dxa"/>
            <w:vMerge w:val="continue"/>
            <w:vAlign w:val="center"/>
          </w:tcPr>
          <w:p w14:paraId="1561F31A">
            <w:pPr>
              <w:jc w:val="center"/>
              <w:rPr>
                <w:rFonts w:hint="eastAsia" w:ascii="宋体" w:hAnsi="宋体" w:eastAsia="宋体" w:cs="Times New Roman"/>
                <w:szCs w:val="21"/>
              </w:rPr>
            </w:pPr>
          </w:p>
        </w:tc>
        <w:tc>
          <w:tcPr>
            <w:tcW w:w="8093" w:type="dxa"/>
            <w:gridSpan w:val="6"/>
            <w:vAlign w:val="center"/>
          </w:tcPr>
          <w:p w14:paraId="69B7E41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在探讨影响写作活动的重要主体因素时，培养学生敢于质疑、勇于表达自己观点的批判精神，引导学生从多角度思考问题，提升思辨能力。</w:t>
            </w:r>
          </w:p>
        </w:tc>
      </w:tr>
      <w:tr w14:paraId="2EA2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7" w:hRule="atLeast"/>
          <w:jc w:val="center"/>
        </w:trPr>
        <w:tc>
          <w:tcPr>
            <w:tcW w:w="1205" w:type="dxa"/>
            <w:vMerge w:val="restart"/>
            <w:vAlign w:val="center"/>
          </w:tcPr>
          <w:p w14:paraId="63FFC30C">
            <w:pPr>
              <w:jc w:val="center"/>
              <w:rPr>
                <w:rFonts w:hint="eastAsia" w:ascii="宋体" w:hAnsi="宋体" w:eastAsia="宋体" w:cs="Times New Roman"/>
                <w:szCs w:val="21"/>
              </w:rPr>
            </w:pPr>
            <w:r>
              <w:rPr>
                <w:rFonts w:hint="eastAsia" w:ascii="宋体" w:hAnsi="宋体" w:eastAsia="宋体" w:cs="Times New Roman"/>
                <w:szCs w:val="21"/>
              </w:rPr>
              <w:t>3.写作活动中的客体因素</w:t>
            </w:r>
          </w:p>
        </w:tc>
        <w:tc>
          <w:tcPr>
            <w:tcW w:w="2285" w:type="dxa"/>
            <w:vAlign w:val="center"/>
          </w:tcPr>
          <w:p w14:paraId="65EA8690">
            <w:pPr>
              <w:jc w:val="left"/>
              <w:rPr>
                <w:rFonts w:hint="eastAsia" w:ascii="宋体" w:hAnsi="宋体" w:eastAsia="宋体" w:cs="Times New Roman"/>
                <w:szCs w:val="21"/>
              </w:rPr>
            </w:pPr>
            <w:r>
              <w:rPr>
                <w:rFonts w:hint="eastAsia" w:ascii="宋体" w:hAnsi="宋体" w:eastAsia="宋体" w:cs="Times New Roman"/>
                <w:szCs w:val="21"/>
              </w:rPr>
              <w:t>（1）写作客体的含义与作用</w:t>
            </w:r>
          </w:p>
          <w:p w14:paraId="71392F08">
            <w:pPr>
              <w:jc w:val="left"/>
              <w:rPr>
                <w:rFonts w:hint="eastAsia" w:ascii="宋体" w:hAnsi="宋体" w:eastAsia="宋体" w:cs="Times New Roman"/>
                <w:szCs w:val="21"/>
              </w:rPr>
            </w:pPr>
            <w:r>
              <w:rPr>
                <w:rFonts w:hint="eastAsia" w:ascii="宋体" w:hAnsi="宋体" w:eastAsia="宋体" w:cs="Times New Roman"/>
                <w:szCs w:val="21"/>
              </w:rPr>
              <w:t>（2）对象化、多样化的写作客体</w:t>
            </w:r>
          </w:p>
          <w:p w14:paraId="39CE3540">
            <w:pPr>
              <w:jc w:val="left"/>
              <w:rPr>
                <w:rFonts w:hint="eastAsia" w:ascii="宋体" w:hAnsi="宋体" w:eastAsia="宋体" w:cs="Times New Roman"/>
                <w:szCs w:val="21"/>
              </w:rPr>
            </w:pPr>
            <w:r>
              <w:rPr>
                <w:rFonts w:hint="eastAsia" w:ascii="宋体" w:hAnsi="宋体" w:eastAsia="宋体" w:cs="Times New Roman"/>
                <w:szCs w:val="21"/>
              </w:rPr>
              <w:t>（3）对写作客体的选择与开掘</w:t>
            </w:r>
          </w:p>
          <w:p w14:paraId="36DDAF18">
            <w:pPr>
              <w:jc w:val="left"/>
              <w:rPr>
                <w:rFonts w:hint="eastAsia" w:ascii="宋体" w:hAnsi="宋体" w:eastAsia="宋体" w:cs="Times New Roman"/>
                <w:szCs w:val="21"/>
              </w:rPr>
            </w:pPr>
            <w:r>
              <w:rPr>
                <w:rFonts w:hint="eastAsia" w:ascii="宋体" w:hAnsi="宋体" w:eastAsia="宋体" w:cs="Times New Roman"/>
                <w:szCs w:val="21"/>
              </w:rPr>
              <w:t>（4）选择一个你经历过或观察到的感人事件，写篇短文，表达你的情感和思考。</w:t>
            </w:r>
          </w:p>
        </w:tc>
        <w:tc>
          <w:tcPr>
            <w:tcW w:w="1275" w:type="dxa"/>
            <w:vAlign w:val="center"/>
          </w:tcPr>
          <w:p w14:paraId="7192F33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535" w:type="dxa"/>
            <w:vAlign w:val="center"/>
          </w:tcPr>
          <w:p w14:paraId="2D88D04F">
            <w:pPr>
              <w:jc w:val="left"/>
              <w:rPr>
                <w:rFonts w:hint="eastAsia" w:ascii="宋体" w:hAnsi="宋体" w:eastAsia="宋体" w:cs="Times New Roman"/>
                <w:szCs w:val="21"/>
              </w:rPr>
            </w:pPr>
            <w:r>
              <w:rPr>
                <w:rFonts w:hint="eastAsia" w:ascii="宋体" w:hAnsi="宋体" w:eastAsia="宋体" w:cs="Times New Roman"/>
                <w:szCs w:val="21"/>
              </w:rPr>
              <w:t>1.掌握写作客体的含义与作用</w:t>
            </w:r>
          </w:p>
          <w:p w14:paraId="74AC2603">
            <w:pPr>
              <w:jc w:val="left"/>
              <w:rPr>
                <w:rFonts w:hint="eastAsia" w:ascii="宋体" w:hAnsi="宋体" w:eastAsia="宋体" w:cs="Times New Roman"/>
                <w:szCs w:val="21"/>
              </w:rPr>
            </w:pPr>
            <w:r>
              <w:rPr>
                <w:rFonts w:hint="eastAsia" w:ascii="宋体" w:hAnsi="宋体" w:eastAsia="宋体" w:cs="Times New Roman"/>
                <w:szCs w:val="21"/>
              </w:rPr>
              <w:t>2.能够多方位认识写作客体</w:t>
            </w:r>
          </w:p>
          <w:p w14:paraId="0B3B2D97">
            <w:pPr>
              <w:jc w:val="left"/>
              <w:rPr>
                <w:rFonts w:hint="eastAsia" w:ascii="宋体" w:hAnsi="宋体" w:eastAsia="宋体" w:cs="Times New Roman"/>
                <w:szCs w:val="21"/>
              </w:rPr>
            </w:pPr>
            <w:r>
              <w:rPr>
                <w:rFonts w:hint="eastAsia" w:ascii="宋体" w:hAnsi="宋体" w:eastAsia="宋体" w:cs="Times New Roman"/>
                <w:szCs w:val="21"/>
              </w:rPr>
              <w:t>3.掌握对写作客体的选择与开掘的方法</w:t>
            </w:r>
          </w:p>
          <w:p w14:paraId="7850ADED">
            <w:pPr>
              <w:jc w:val="left"/>
              <w:rPr>
                <w:rFonts w:hint="eastAsia" w:ascii="宋体" w:hAnsi="宋体" w:eastAsia="宋体" w:cs="Times New Roman"/>
                <w:szCs w:val="21"/>
              </w:rPr>
            </w:pPr>
            <w:r>
              <w:rPr>
                <w:rFonts w:hint="eastAsia" w:ascii="宋体" w:hAnsi="宋体" w:eastAsia="宋体" w:cs="Times New Roman"/>
                <w:szCs w:val="21"/>
              </w:rPr>
              <w:t>4.掌握对写作客体的情感表达</w:t>
            </w:r>
          </w:p>
        </w:tc>
        <w:tc>
          <w:tcPr>
            <w:tcW w:w="1560" w:type="dxa"/>
            <w:vAlign w:val="center"/>
          </w:tcPr>
          <w:p w14:paraId="4A2D6684">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4AC2B4E3">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2AA247A0">
            <w:pPr>
              <w:jc w:val="center"/>
              <w:rPr>
                <w:rFonts w:hint="eastAsia" w:ascii="宋体" w:hAnsi="宋体" w:eastAsia="宋体" w:cs="Times New Roman"/>
                <w:szCs w:val="21"/>
              </w:rPr>
            </w:pPr>
            <w:r>
              <w:rPr>
                <w:rFonts w:hint="eastAsia" w:ascii="宋体" w:hAnsi="宋体" w:eastAsia="宋体" w:cs="Times New Roman"/>
                <w:szCs w:val="21"/>
              </w:rPr>
              <w:t>6</w:t>
            </w:r>
          </w:p>
        </w:tc>
      </w:tr>
      <w:tr w14:paraId="4ED58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1205" w:type="dxa"/>
            <w:vMerge w:val="continue"/>
            <w:vAlign w:val="center"/>
          </w:tcPr>
          <w:p w14:paraId="2DE7905B">
            <w:pPr>
              <w:jc w:val="center"/>
              <w:rPr>
                <w:rFonts w:hint="eastAsia" w:ascii="宋体" w:hAnsi="宋体" w:eastAsia="宋体" w:cs="Times New Roman"/>
                <w:szCs w:val="21"/>
              </w:rPr>
            </w:pPr>
          </w:p>
        </w:tc>
        <w:tc>
          <w:tcPr>
            <w:tcW w:w="8093" w:type="dxa"/>
            <w:gridSpan w:val="6"/>
            <w:vAlign w:val="center"/>
          </w:tcPr>
          <w:p w14:paraId="2799B58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写作客体的含义与作用、对象化与多样化的写作客体，以及对写作客体的选择与开掘，学生能够提升对写作内容的深度理解和表达能力，同时培养敏锐的观察力和批判性思维。在此基础上，通过写作练习表达对感人事件的情感和思考，进一步增强学生的社会责任感、人文关怀精神以及对社会现实的关注度，引导学生在写作中传递正能量，弘扬社会主义核心价值观。</w:t>
            </w:r>
          </w:p>
        </w:tc>
      </w:tr>
      <w:tr w14:paraId="0DEF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atLeast"/>
          <w:jc w:val="center"/>
        </w:trPr>
        <w:tc>
          <w:tcPr>
            <w:tcW w:w="1205" w:type="dxa"/>
            <w:vMerge w:val="restart"/>
            <w:vAlign w:val="center"/>
          </w:tcPr>
          <w:p w14:paraId="71A52D92">
            <w:pPr>
              <w:jc w:val="center"/>
              <w:rPr>
                <w:rFonts w:hint="eastAsia" w:ascii="宋体" w:hAnsi="宋体" w:eastAsia="宋体" w:cs="Times New Roman"/>
                <w:szCs w:val="21"/>
              </w:rPr>
            </w:pPr>
            <w:r>
              <w:rPr>
                <w:rFonts w:hint="eastAsia" w:ascii="宋体" w:hAnsi="宋体" w:eastAsia="宋体" w:cs="Times New Roman"/>
                <w:szCs w:val="21"/>
              </w:rPr>
              <w:t>4.写作活动中的受体因素</w:t>
            </w:r>
          </w:p>
        </w:tc>
        <w:tc>
          <w:tcPr>
            <w:tcW w:w="2285" w:type="dxa"/>
            <w:vAlign w:val="center"/>
          </w:tcPr>
          <w:p w14:paraId="68D22CD4">
            <w:pPr>
              <w:jc w:val="left"/>
              <w:rPr>
                <w:rFonts w:hint="eastAsia" w:ascii="宋体" w:hAnsi="宋体" w:eastAsia="宋体" w:cs="Times New Roman"/>
                <w:szCs w:val="21"/>
              </w:rPr>
            </w:pPr>
            <w:r>
              <w:rPr>
                <w:rFonts w:hint="eastAsia" w:ascii="宋体" w:hAnsi="宋体" w:eastAsia="宋体" w:cs="Times New Roman"/>
                <w:szCs w:val="21"/>
              </w:rPr>
              <w:t>（1）写作主体的受体意识</w:t>
            </w:r>
          </w:p>
          <w:p w14:paraId="620EA558">
            <w:pPr>
              <w:jc w:val="left"/>
              <w:rPr>
                <w:rFonts w:hint="eastAsia" w:ascii="宋体" w:hAnsi="宋体" w:eastAsia="宋体" w:cs="Times New Roman"/>
                <w:szCs w:val="21"/>
              </w:rPr>
            </w:pPr>
            <w:r>
              <w:rPr>
                <w:rFonts w:hint="eastAsia" w:ascii="宋体" w:hAnsi="宋体" w:eastAsia="宋体" w:cs="Times New Roman"/>
                <w:szCs w:val="21"/>
              </w:rPr>
              <w:t>（2）受体的心理特征</w:t>
            </w:r>
          </w:p>
          <w:p w14:paraId="66EA031F">
            <w:pPr>
              <w:jc w:val="left"/>
              <w:rPr>
                <w:rFonts w:hint="eastAsia" w:ascii="宋体" w:hAnsi="宋体" w:eastAsia="宋体" w:cs="Times New Roman"/>
                <w:szCs w:val="21"/>
              </w:rPr>
            </w:pPr>
            <w:r>
              <w:rPr>
                <w:rFonts w:hint="eastAsia" w:ascii="宋体" w:hAnsi="宋体" w:eastAsia="宋体" w:cs="Times New Roman"/>
                <w:szCs w:val="21"/>
              </w:rPr>
              <w:t>（3）受体对写作活动的影响</w:t>
            </w:r>
          </w:p>
          <w:p w14:paraId="3A86BA84">
            <w:pPr>
              <w:jc w:val="left"/>
              <w:rPr>
                <w:rFonts w:hint="eastAsia" w:ascii="宋体" w:hAnsi="宋体" w:eastAsia="宋体" w:cs="Times New Roman"/>
                <w:szCs w:val="21"/>
              </w:rPr>
            </w:pPr>
            <w:r>
              <w:rPr>
                <w:rFonts w:hint="eastAsia" w:ascii="宋体" w:hAnsi="宋体" w:eastAsia="宋体" w:cs="Times New Roman"/>
                <w:szCs w:val="21"/>
              </w:rPr>
              <w:t>（4）假设你写了一篇关于环保的文章，写一篇短文，描述你如何根据不同受体的反馈进行改进。</w:t>
            </w:r>
          </w:p>
        </w:tc>
        <w:tc>
          <w:tcPr>
            <w:tcW w:w="1275" w:type="dxa"/>
            <w:vAlign w:val="center"/>
          </w:tcPr>
          <w:p w14:paraId="5DAE364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535" w:type="dxa"/>
            <w:vAlign w:val="center"/>
          </w:tcPr>
          <w:p w14:paraId="7F64A026">
            <w:pPr>
              <w:jc w:val="left"/>
              <w:rPr>
                <w:rFonts w:hint="eastAsia" w:ascii="宋体" w:hAnsi="宋体" w:eastAsia="宋体" w:cs="Times New Roman"/>
                <w:szCs w:val="21"/>
              </w:rPr>
            </w:pPr>
            <w:r>
              <w:rPr>
                <w:rFonts w:hint="eastAsia" w:ascii="宋体" w:hAnsi="宋体" w:eastAsia="宋体" w:cs="Times New Roman"/>
                <w:szCs w:val="21"/>
              </w:rPr>
              <w:t>1.了解写作主体的受体意识</w:t>
            </w:r>
          </w:p>
          <w:p w14:paraId="5260BCA7">
            <w:pPr>
              <w:jc w:val="left"/>
              <w:rPr>
                <w:rFonts w:hint="eastAsia" w:ascii="宋体" w:hAnsi="宋体" w:eastAsia="宋体" w:cs="Times New Roman"/>
                <w:szCs w:val="21"/>
              </w:rPr>
            </w:pPr>
            <w:r>
              <w:rPr>
                <w:rFonts w:hint="eastAsia" w:ascii="宋体" w:hAnsi="宋体" w:eastAsia="宋体" w:cs="Times New Roman"/>
                <w:szCs w:val="21"/>
              </w:rPr>
              <w:t>2.掌握受体的心理特征</w:t>
            </w:r>
          </w:p>
          <w:p w14:paraId="64322D67">
            <w:pPr>
              <w:jc w:val="left"/>
              <w:rPr>
                <w:rFonts w:hint="eastAsia" w:ascii="宋体" w:hAnsi="宋体" w:eastAsia="宋体" w:cs="Times New Roman"/>
                <w:szCs w:val="21"/>
              </w:rPr>
            </w:pPr>
            <w:r>
              <w:rPr>
                <w:rFonts w:hint="eastAsia" w:ascii="宋体" w:hAnsi="宋体" w:eastAsia="宋体" w:cs="Times New Roman"/>
                <w:szCs w:val="21"/>
              </w:rPr>
              <w:t>3.理解受体对写作活动的影响</w:t>
            </w:r>
          </w:p>
          <w:p w14:paraId="7404C758">
            <w:pPr>
              <w:jc w:val="left"/>
              <w:rPr>
                <w:rFonts w:hint="eastAsia" w:ascii="宋体" w:hAnsi="宋体" w:eastAsia="宋体" w:cs="Times New Roman"/>
                <w:szCs w:val="21"/>
              </w:rPr>
            </w:pPr>
            <w:r>
              <w:rPr>
                <w:rFonts w:hint="eastAsia" w:ascii="宋体" w:hAnsi="宋体" w:eastAsia="宋体" w:cs="Times New Roman"/>
                <w:szCs w:val="21"/>
              </w:rPr>
              <w:t>4.掌握写作受体的反馈与改进</w:t>
            </w:r>
          </w:p>
        </w:tc>
        <w:tc>
          <w:tcPr>
            <w:tcW w:w="1560" w:type="dxa"/>
            <w:vAlign w:val="center"/>
          </w:tcPr>
          <w:p w14:paraId="76606FA1">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6CA76CA5">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6DFFEB34">
            <w:pPr>
              <w:jc w:val="center"/>
              <w:rPr>
                <w:rFonts w:hint="eastAsia" w:ascii="宋体" w:hAnsi="宋体" w:eastAsia="宋体" w:cs="Times New Roman"/>
                <w:szCs w:val="21"/>
              </w:rPr>
            </w:pPr>
            <w:r>
              <w:rPr>
                <w:rFonts w:hint="eastAsia" w:ascii="宋体" w:hAnsi="宋体" w:eastAsia="宋体" w:cs="Times New Roman"/>
                <w:szCs w:val="21"/>
              </w:rPr>
              <w:t>6</w:t>
            </w:r>
          </w:p>
        </w:tc>
      </w:tr>
      <w:tr w14:paraId="634D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1205" w:type="dxa"/>
            <w:vMerge w:val="continue"/>
            <w:vAlign w:val="center"/>
          </w:tcPr>
          <w:p w14:paraId="26FB9CD6">
            <w:pPr>
              <w:jc w:val="center"/>
              <w:rPr>
                <w:rFonts w:hint="eastAsia" w:ascii="宋体" w:hAnsi="宋体" w:eastAsia="宋体" w:cs="Times New Roman"/>
                <w:szCs w:val="21"/>
              </w:rPr>
            </w:pPr>
          </w:p>
        </w:tc>
        <w:tc>
          <w:tcPr>
            <w:tcW w:w="8093" w:type="dxa"/>
            <w:gridSpan w:val="6"/>
            <w:vAlign w:val="center"/>
          </w:tcPr>
          <w:p w14:paraId="1DBC7E7C">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学生能够增强社会责任感与服务意识，培养对不同群体的包容与同理心，树立正确的写作价值观，提升沟通能力与社会参与度，为成为有担当的公民奠定基础。同时，引导学生关注社会需求，弘扬社会主义核心价值观，促进社会和谐发展，推动个人成长与社会进步的有机结合。</w:t>
            </w:r>
          </w:p>
        </w:tc>
      </w:tr>
      <w:tr w14:paraId="4128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1205" w:type="dxa"/>
            <w:vMerge w:val="restart"/>
            <w:vAlign w:val="center"/>
          </w:tcPr>
          <w:p w14:paraId="1DD7007E">
            <w:pPr>
              <w:jc w:val="center"/>
              <w:rPr>
                <w:rFonts w:hint="eastAsia" w:ascii="宋体" w:hAnsi="宋体" w:eastAsia="宋体" w:cs="Times New Roman"/>
                <w:szCs w:val="21"/>
              </w:rPr>
            </w:pPr>
            <w:r>
              <w:rPr>
                <w:rFonts w:hint="eastAsia" w:ascii="宋体" w:hAnsi="宋体" w:eastAsia="宋体" w:cs="Times New Roman"/>
                <w:szCs w:val="21"/>
              </w:rPr>
              <w:t>5.写作活动中的载体因素</w:t>
            </w:r>
          </w:p>
        </w:tc>
        <w:tc>
          <w:tcPr>
            <w:tcW w:w="2285" w:type="dxa"/>
            <w:vAlign w:val="center"/>
          </w:tcPr>
          <w:p w14:paraId="5C3AA595">
            <w:pPr>
              <w:jc w:val="left"/>
              <w:rPr>
                <w:rFonts w:hint="eastAsia" w:ascii="宋体" w:hAnsi="宋体" w:eastAsia="宋体" w:cs="Times New Roman"/>
                <w:szCs w:val="21"/>
              </w:rPr>
            </w:pPr>
            <w:r>
              <w:rPr>
                <w:rFonts w:hint="eastAsia" w:ascii="宋体" w:hAnsi="宋体" w:eastAsia="宋体" w:cs="Times New Roman"/>
                <w:szCs w:val="21"/>
              </w:rPr>
              <w:t>（1）文章体式</w:t>
            </w:r>
          </w:p>
          <w:p w14:paraId="50EF2DBA">
            <w:pPr>
              <w:jc w:val="left"/>
              <w:rPr>
                <w:rFonts w:hint="eastAsia" w:ascii="宋体" w:hAnsi="宋体" w:eastAsia="宋体" w:cs="Times New Roman"/>
                <w:szCs w:val="21"/>
              </w:rPr>
            </w:pPr>
            <w:r>
              <w:rPr>
                <w:rFonts w:hint="eastAsia" w:ascii="宋体" w:hAnsi="宋体" w:eastAsia="宋体" w:cs="Times New Roman"/>
                <w:szCs w:val="21"/>
              </w:rPr>
              <w:t>（2）表达方式</w:t>
            </w:r>
          </w:p>
          <w:p w14:paraId="02BA284B">
            <w:pPr>
              <w:jc w:val="left"/>
              <w:rPr>
                <w:rFonts w:hint="eastAsia" w:ascii="宋体" w:hAnsi="宋体" w:eastAsia="宋体" w:cs="Times New Roman"/>
                <w:szCs w:val="21"/>
              </w:rPr>
            </w:pPr>
            <w:r>
              <w:rPr>
                <w:rFonts w:hint="eastAsia" w:ascii="宋体" w:hAnsi="宋体" w:eastAsia="宋体" w:cs="Times New Roman"/>
                <w:szCs w:val="21"/>
              </w:rPr>
              <w:t>（3）语体特征</w:t>
            </w:r>
          </w:p>
          <w:p w14:paraId="3AA8720E">
            <w:pPr>
              <w:jc w:val="left"/>
              <w:rPr>
                <w:rFonts w:hint="eastAsia" w:ascii="宋体" w:hAnsi="宋体" w:eastAsia="宋体" w:cs="Times New Roman"/>
                <w:szCs w:val="21"/>
              </w:rPr>
            </w:pPr>
            <w:r>
              <w:rPr>
                <w:rFonts w:hint="eastAsia" w:ascii="宋体" w:hAnsi="宋体" w:eastAsia="宋体" w:cs="Times New Roman"/>
                <w:szCs w:val="21"/>
              </w:rPr>
              <w:t>（4）选择一个你熟悉的汉字或词语，写一篇短文，探讨其在写作中的意义和作用。</w:t>
            </w:r>
          </w:p>
        </w:tc>
        <w:tc>
          <w:tcPr>
            <w:tcW w:w="1275" w:type="dxa"/>
            <w:vAlign w:val="center"/>
          </w:tcPr>
          <w:p w14:paraId="6B2C4E64">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535" w:type="dxa"/>
            <w:vAlign w:val="center"/>
          </w:tcPr>
          <w:p w14:paraId="1DC831DD">
            <w:pPr>
              <w:jc w:val="left"/>
              <w:rPr>
                <w:rFonts w:hint="eastAsia" w:ascii="宋体" w:hAnsi="宋体" w:eastAsia="宋体" w:cs="Times New Roman"/>
                <w:szCs w:val="21"/>
              </w:rPr>
            </w:pPr>
            <w:r>
              <w:rPr>
                <w:rFonts w:hint="eastAsia" w:ascii="宋体" w:hAnsi="宋体" w:eastAsia="宋体" w:cs="Times New Roman"/>
                <w:szCs w:val="21"/>
              </w:rPr>
              <w:t>1.掌握常见文章体式</w:t>
            </w:r>
          </w:p>
          <w:p w14:paraId="242DB58B">
            <w:pPr>
              <w:jc w:val="left"/>
              <w:rPr>
                <w:rFonts w:hint="eastAsia" w:ascii="宋体" w:hAnsi="宋体" w:eastAsia="宋体" w:cs="Times New Roman"/>
                <w:szCs w:val="21"/>
              </w:rPr>
            </w:pPr>
            <w:r>
              <w:rPr>
                <w:rFonts w:hint="eastAsia" w:ascii="宋体" w:hAnsi="宋体" w:eastAsia="宋体" w:cs="Times New Roman"/>
                <w:szCs w:val="21"/>
              </w:rPr>
              <w:t>2.理解表达方式的综合运用</w:t>
            </w:r>
          </w:p>
          <w:p w14:paraId="089A4933">
            <w:pPr>
              <w:jc w:val="left"/>
              <w:rPr>
                <w:rFonts w:hint="eastAsia" w:ascii="宋体" w:hAnsi="宋体" w:eastAsia="宋体" w:cs="Times New Roman"/>
                <w:szCs w:val="21"/>
              </w:rPr>
            </w:pPr>
            <w:r>
              <w:rPr>
                <w:rFonts w:hint="eastAsia" w:ascii="宋体" w:hAnsi="宋体" w:eastAsia="宋体" w:cs="Times New Roman"/>
                <w:szCs w:val="21"/>
              </w:rPr>
              <w:t>3.掌握常见语体特征并能够分析经典语体作品</w:t>
            </w:r>
          </w:p>
        </w:tc>
        <w:tc>
          <w:tcPr>
            <w:tcW w:w="1560" w:type="dxa"/>
            <w:vAlign w:val="center"/>
          </w:tcPr>
          <w:p w14:paraId="21F6E9BE">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1871EB0D">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65532112">
            <w:pPr>
              <w:jc w:val="center"/>
              <w:rPr>
                <w:rFonts w:hint="eastAsia" w:ascii="宋体" w:hAnsi="宋体" w:eastAsia="宋体" w:cs="Times New Roman"/>
                <w:szCs w:val="21"/>
              </w:rPr>
            </w:pPr>
            <w:r>
              <w:rPr>
                <w:rFonts w:hint="eastAsia" w:ascii="宋体" w:hAnsi="宋体" w:eastAsia="宋体" w:cs="Times New Roman"/>
                <w:szCs w:val="21"/>
              </w:rPr>
              <w:t>6</w:t>
            </w:r>
          </w:p>
        </w:tc>
      </w:tr>
      <w:tr w14:paraId="69CC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5" w:type="dxa"/>
            <w:vMerge w:val="continue"/>
            <w:vAlign w:val="center"/>
          </w:tcPr>
          <w:p w14:paraId="4D39283E">
            <w:pPr>
              <w:jc w:val="center"/>
              <w:rPr>
                <w:rFonts w:hint="eastAsia" w:ascii="宋体" w:hAnsi="宋体" w:eastAsia="宋体" w:cs="Times New Roman"/>
                <w:szCs w:val="21"/>
              </w:rPr>
            </w:pPr>
          </w:p>
        </w:tc>
        <w:tc>
          <w:tcPr>
            <w:tcW w:w="8093" w:type="dxa"/>
            <w:gridSpan w:val="6"/>
            <w:vAlign w:val="center"/>
          </w:tcPr>
          <w:p w14:paraId="24C9B90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学生能够系统掌握写作的基本规范与技巧，提升语言表达能力和文化素养，同时增强对中华优秀传统文化的认同感和自豪感。结合汉字或词语的写作练习，培养学生对语言文字的敬畏之心，引导他们在写作中传递正能量，弘扬社会主义核心价值观，增强文化自信和社会责任感。</w:t>
            </w:r>
          </w:p>
        </w:tc>
      </w:tr>
      <w:tr w14:paraId="7985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34C726A">
            <w:pPr>
              <w:jc w:val="center"/>
              <w:rPr>
                <w:rFonts w:hint="eastAsia" w:ascii="宋体" w:hAnsi="宋体" w:eastAsia="宋体" w:cs="Times New Roman"/>
                <w:szCs w:val="21"/>
              </w:rPr>
            </w:pPr>
            <w:r>
              <w:rPr>
                <w:rFonts w:hint="eastAsia" w:ascii="宋体" w:hAnsi="宋体" w:eastAsia="宋体" w:cs="Times New Roman"/>
                <w:szCs w:val="21"/>
              </w:rPr>
              <w:t>6.写作过程</w:t>
            </w:r>
          </w:p>
        </w:tc>
        <w:tc>
          <w:tcPr>
            <w:tcW w:w="2285" w:type="dxa"/>
            <w:vAlign w:val="center"/>
          </w:tcPr>
          <w:p w14:paraId="36CE33AF">
            <w:pPr>
              <w:jc w:val="left"/>
              <w:rPr>
                <w:rFonts w:hint="eastAsia" w:ascii="宋体" w:hAnsi="宋体" w:eastAsia="宋体" w:cs="Times New Roman"/>
                <w:szCs w:val="21"/>
              </w:rPr>
            </w:pPr>
            <w:r>
              <w:rPr>
                <w:rFonts w:hint="eastAsia" w:ascii="宋体" w:hAnsi="宋体" w:eastAsia="宋体" w:cs="Times New Roman"/>
                <w:szCs w:val="21"/>
              </w:rPr>
              <w:t>（1）采撷、积累</w:t>
            </w:r>
          </w:p>
          <w:p w14:paraId="1FA19EFC">
            <w:pPr>
              <w:jc w:val="left"/>
              <w:rPr>
                <w:rFonts w:hint="eastAsia" w:ascii="宋体" w:hAnsi="宋体" w:eastAsia="宋体" w:cs="Times New Roman"/>
                <w:szCs w:val="21"/>
              </w:rPr>
            </w:pPr>
            <w:r>
              <w:rPr>
                <w:rFonts w:hint="eastAsia" w:ascii="宋体" w:hAnsi="宋体" w:eastAsia="宋体" w:cs="Times New Roman"/>
                <w:szCs w:val="21"/>
              </w:rPr>
              <w:t>（2）回忆、体验</w:t>
            </w:r>
          </w:p>
          <w:p w14:paraId="165CFE4B">
            <w:pPr>
              <w:jc w:val="left"/>
              <w:rPr>
                <w:rFonts w:hint="eastAsia" w:ascii="宋体" w:hAnsi="宋体" w:eastAsia="宋体" w:cs="Times New Roman"/>
                <w:szCs w:val="21"/>
              </w:rPr>
            </w:pPr>
            <w:r>
              <w:rPr>
                <w:rFonts w:hint="eastAsia" w:ascii="宋体" w:hAnsi="宋体" w:eastAsia="宋体" w:cs="Times New Roman"/>
                <w:szCs w:val="21"/>
              </w:rPr>
              <w:t>（3）想象、整合</w:t>
            </w:r>
          </w:p>
          <w:p w14:paraId="0894476F">
            <w:pPr>
              <w:jc w:val="left"/>
              <w:rPr>
                <w:rFonts w:hint="eastAsia" w:ascii="宋体" w:hAnsi="宋体" w:eastAsia="宋体" w:cs="Times New Roman"/>
                <w:szCs w:val="21"/>
              </w:rPr>
            </w:pPr>
            <w:r>
              <w:rPr>
                <w:rFonts w:hint="eastAsia" w:ascii="宋体" w:hAnsi="宋体" w:eastAsia="宋体" w:cs="Times New Roman"/>
                <w:szCs w:val="21"/>
              </w:rPr>
              <w:t>（4）立意、选材</w:t>
            </w:r>
          </w:p>
          <w:p w14:paraId="3B852C0A">
            <w:pPr>
              <w:jc w:val="left"/>
              <w:rPr>
                <w:rFonts w:hint="eastAsia" w:ascii="宋体" w:hAnsi="宋体" w:eastAsia="宋体" w:cs="Times New Roman"/>
                <w:szCs w:val="21"/>
              </w:rPr>
            </w:pPr>
            <w:r>
              <w:rPr>
                <w:rFonts w:hint="eastAsia" w:ascii="宋体" w:hAnsi="宋体" w:eastAsia="宋体" w:cs="Times New Roman"/>
                <w:szCs w:val="21"/>
              </w:rPr>
              <w:t>（5）构思、赋形</w:t>
            </w:r>
          </w:p>
          <w:p w14:paraId="7EF756BE">
            <w:pPr>
              <w:jc w:val="left"/>
              <w:rPr>
                <w:rFonts w:hint="eastAsia" w:ascii="宋体" w:hAnsi="宋体" w:eastAsia="宋体" w:cs="Times New Roman"/>
                <w:szCs w:val="21"/>
              </w:rPr>
            </w:pPr>
            <w:r>
              <w:rPr>
                <w:rFonts w:hint="eastAsia" w:ascii="宋体" w:hAnsi="宋体" w:eastAsia="宋体" w:cs="Times New Roman"/>
                <w:szCs w:val="21"/>
              </w:rPr>
              <w:t>（6）表达、修改</w:t>
            </w:r>
          </w:p>
          <w:p w14:paraId="71C7B26D">
            <w:pPr>
              <w:jc w:val="left"/>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记录你本周观察到的校园中的一个有趣场景或事件，写一篇观察笔记。</w:t>
            </w:r>
          </w:p>
        </w:tc>
        <w:tc>
          <w:tcPr>
            <w:tcW w:w="1275" w:type="dxa"/>
            <w:vAlign w:val="center"/>
          </w:tcPr>
          <w:p w14:paraId="15150619">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535" w:type="dxa"/>
            <w:vAlign w:val="center"/>
          </w:tcPr>
          <w:p w14:paraId="6297A25B">
            <w:pPr>
              <w:jc w:val="left"/>
              <w:rPr>
                <w:rFonts w:hint="eastAsia" w:ascii="宋体" w:hAnsi="宋体" w:eastAsia="宋体" w:cs="Times New Roman"/>
                <w:szCs w:val="21"/>
              </w:rPr>
            </w:pPr>
            <w:r>
              <w:rPr>
                <w:rFonts w:hint="eastAsia" w:ascii="宋体" w:hAnsi="宋体" w:eastAsia="宋体" w:cs="Times New Roman"/>
                <w:szCs w:val="21"/>
              </w:rPr>
              <w:t>1.掌握素材的获取与整理方法</w:t>
            </w:r>
          </w:p>
          <w:p w14:paraId="6E3C5C84">
            <w:pPr>
              <w:jc w:val="left"/>
              <w:rPr>
                <w:rFonts w:hint="eastAsia" w:ascii="宋体" w:hAnsi="宋体" w:eastAsia="宋体" w:cs="Times New Roman"/>
                <w:szCs w:val="21"/>
              </w:rPr>
            </w:pPr>
            <w:r>
              <w:rPr>
                <w:rFonts w:hint="eastAsia" w:ascii="宋体" w:hAnsi="宋体" w:eastAsia="宋体" w:cs="Times New Roman"/>
                <w:szCs w:val="21"/>
              </w:rPr>
              <w:t>2.学会内容的构思与组织</w:t>
            </w:r>
          </w:p>
          <w:p w14:paraId="1CB61D88">
            <w:pPr>
              <w:jc w:val="left"/>
              <w:rPr>
                <w:rFonts w:hint="eastAsia" w:ascii="宋体" w:hAnsi="宋体" w:eastAsia="宋体" w:cs="Times New Roman"/>
                <w:szCs w:val="21"/>
              </w:rPr>
            </w:pPr>
            <w:r>
              <w:rPr>
                <w:rFonts w:hint="eastAsia" w:ascii="宋体" w:hAnsi="宋体" w:eastAsia="宋体" w:cs="Times New Roman"/>
                <w:szCs w:val="21"/>
              </w:rPr>
              <w:t>3.理解写作的表达与完善</w:t>
            </w:r>
          </w:p>
          <w:p w14:paraId="11979B56">
            <w:pPr>
              <w:jc w:val="left"/>
              <w:rPr>
                <w:rFonts w:hint="eastAsia" w:ascii="宋体" w:hAnsi="宋体" w:eastAsia="宋体" w:cs="Times New Roman"/>
                <w:szCs w:val="21"/>
              </w:rPr>
            </w:pPr>
            <w:r>
              <w:rPr>
                <w:rFonts w:hint="eastAsia" w:ascii="宋体" w:hAnsi="宋体" w:eastAsia="宋体" w:cs="Times New Roman"/>
                <w:szCs w:val="21"/>
              </w:rPr>
              <w:t>4.学会详细描述场景或事件，注意细节描写</w:t>
            </w:r>
          </w:p>
        </w:tc>
        <w:tc>
          <w:tcPr>
            <w:tcW w:w="1560" w:type="dxa"/>
            <w:vAlign w:val="center"/>
          </w:tcPr>
          <w:p w14:paraId="002EFD2D">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25B34D0A">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6A9F3A1F">
            <w:pPr>
              <w:jc w:val="center"/>
              <w:rPr>
                <w:rFonts w:hint="eastAsia" w:ascii="宋体" w:hAnsi="宋体" w:eastAsia="宋体" w:cs="Times New Roman"/>
                <w:szCs w:val="21"/>
              </w:rPr>
            </w:pPr>
            <w:r>
              <w:rPr>
                <w:rFonts w:hint="eastAsia" w:ascii="宋体" w:hAnsi="宋体" w:eastAsia="宋体" w:cs="Times New Roman"/>
                <w:szCs w:val="21"/>
              </w:rPr>
              <w:t>6</w:t>
            </w:r>
          </w:p>
        </w:tc>
      </w:tr>
      <w:tr w14:paraId="3940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4DA1B96">
            <w:pPr>
              <w:jc w:val="center"/>
              <w:rPr>
                <w:rFonts w:hint="eastAsia" w:ascii="宋体" w:hAnsi="宋体" w:eastAsia="宋体" w:cs="Times New Roman"/>
                <w:szCs w:val="21"/>
              </w:rPr>
            </w:pPr>
          </w:p>
        </w:tc>
        <w:tc>
          <w:tcPr>
            <w:tcW w:w="8093" w:type="dxa"/>
            <w:gridSpan w:val="6"/>
            <w:vAlign w:val="center"/>
          </w:tcPr>
          <w:p w14:paraId="0E60F91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掌握素材获取与整理、内容构思与组织、写作表达与完善以及详细描述场景或事件的方法，学生形成严谨的治学态度、批判性思维、社会责任感和人文关怀精神。这些写作技能的提升过程，有助于引导学生树立正确的价值观、世界观和人生观，增强其信息素养、沟通能力和团队协作意识，使其成为具有社会责任感和创新精神的高素质人才。</w:t>
            </w:r>
          </w:p>
        </w:tc>
      </w:tr>
      <w:tr w14:paraId="29C66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978C147">
            <w:pPr>
              <w:jc w:val="center"/>
              <w:rPr>
                <w:rFonts w:hint="eastAsia" w:ascii="宋体" w:hAnsi="宋体" w:eastAsia="宋体" w:cs="Times New Roman"/>
                <w:szCs w:val="21"/>
              </w:rPr>
            </w:pPr>
            <w:r>
              <w:rPr>
                <w:rFonts w:hint="eastAsia" w:ascii="宋体" w:hAnsi="宋体" w:eastAsia="宋体" w:cs="Times New Roman"/>
                <w:szCs w:val="21"/>
              </w:rPr>
              <w:t>7.散文</w:t>
            </w:r>
          </w:p>
        </w:tc>
        <w:tc>
          <w:tcPr>
            <w:tcW w:w="2285" w:type="dxa"/>
            <w:vAlign w:val="center"/>
          </w:tcPr>
          <w:p w14:paraId="589BA1E6">
            <w:pPr>
              <w:jc w:val="left"/>
              <w:rPr>
                <w:rFonts w:hint="eastAsia" w:ascii="宋体" w:hAnsi="宋体" w:eastAsia="宋体" w:cs="Times New Roman"/>
                <w:szCs w:val="21"/>
              </w:rPr>
            </w:pPr>
            <w:r>
              <w:rPr>
                <w:rFonts w:hint="eastAsia" w:ascii="宋体" w:hAnsi="宋体" w:eastAsia="宋体" w:cs="Times New Roman"/>
                <w:szCs w:val="21"/>
              </w:rPr>
              <w:t>（1）散文的概念</w:t>
            </w:r>
          </w:p>
          <w:p w14:paraId="659EDDFA">
            <w:pPr>
              <w:jc w:val="left"/>
              <w:rPr>
                <w:rFonts w:hint="eastAsia" w:ascii="宋体" w:hAnsi="宋体" w:eastAsia="宋体" w:cs="Times New Roman"/>
                <w:szCs w:val="21"/>
              </w:rPr>
            </w:pPr>
            <w:r>
              <w:rPr>
                <w:rFonts w:hint="eastAsia" w:ascii="宋体" w:hAnsi="宋体" w:eastAsia="宋体" w:cs="Times New Roman"/>
                <w:szCs w:val="21"/>
              </w:rPr>
              <w:t>（2）散文的特点</w:t>
            </w:r>
          </w:p>
          <w:p w14:paraId="1AB6AF77">
            <w:pPr>
              <w:jc w:val="left"/>
              <w:rPr>
                <w:rFonts w:hint="eastAsia" w:ascii="宋体" w:hAnsi="宋体" w:eastAsia="宋体" w:cs="Times New Roman"/>
                <w:szCs w:val="21"/>
              </w:rPr>
            </w:pPr>
            <w:r>
              <w:rPr>
                <w:rFonts w:hint="eastAsia" w:ascii="宋体" w:hAnsi="宋体" w:eastAsia="宋体" w:cs="Times New Roman"/>
                <w:szCs w:val="21"/>
              </w:rPr>
              <w:t>（3）散文的写作方法和技巧</w:t>
            </w:r>
          </w:p>
          <w:p w14:paraId="6D76346E">
            <w:pPr>
              <w:jc w:val="left"/>
              <w:rPr>
                <w:rFonts w:hint="eastAsia" w:ascii="宋体" w:hAnsi="宋体" w:eastAsia="宋体" w:cs="Times New Roman"/>
                <w:szCs w:val="21"/>
              </w:rPr>
            </w:pPr>
            <w:r>
              <w:rPr>
                <w:rFonts w:hint="eastAsia" w:ascii="宋体" w:hAnsi="宋体" w:eastAsia="宋体" w:cs="Times New Roman"/>
                <w:szCs w:val="21"/>
              </w:rPr>
              <w:t>（4）写一段文字，讲述时光给你带来的礼物。可以是一件物品、一段经历或者一种感悟，通过叙事和抒情相结合的方式，表达你对时光的感激和珍惜。</w:t>
            </w:r>
          </w:p>
        </w:tc>
        <w:tc>
          <w:tcPr>
            <w:tcW w:w="1275" w:type="dxa"/>
            <w:vAlign w:val="center"/>
          </w:tcPr>
          <w:p w14:paraId="6AC655BF">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535" w:type="dxa"/>
            <w:vAlign w:val="center"/>
          </w:tcPr>
          <w:p w14:paraId="55D46EE8">
            <w:pPr>
              <w:jc w:val="left"/>
              <w:rPr>
                <w:rFonts w:hint="eastAsia" w:ascii="宋体" w:hAnsi="宋体" w:eastAsia="宋体" w:cs="Times New Roman"/>
                <w:szCs w:val="21"/>
              </w:rPr>
            </w:pPr>
            <w:r>
              <w:rPr>
                <w:rFonts w:hint="eastAsia" w:ascii="宋体" w:hAnsi="宋体" w:eastAsia="宋体" w:cs="Times New Roman"/>
                <w:szCs w:val="21"/>
              </w:rPr>
              <w:t>1.掌握散文的概念与特点</w:t>
            </w:r>
          </w:p>
          <w:p w14:paraId="51AF911F">
            <w:pPr>
              <w:jc w:val="left"/>
              <w:rPr>
                <w:rFonts w:hint="eastAsia" w:ascii="宋体" w:hAnsi="宋体" w:eastAsia="宋体" w:cs="Times New Roman"/>
                <w:szCs w:val="21"/>
              </w:rPr>
            </w:pPr>
            <w:r>
              <w:rPr>
                <w:rFonts w:hint="eastAsia" w:ascii="宋体" w:hAnsi="宋体" w:eastAsia="宋体" w:cs="Times New Roman"/>
                <w:szCs w:val="21"/>
              </w:rPr>
              <w:t>2.学会散文的写作方法与技巧</w:t>
            </w:r>
          </w:p>
          <w:p w14:paraId="575F401B">
            <w:pPr>
              <w:jc w:val="left"/>
              <w:rPr>
                <w:rFonts w:hint="eastAsia" w:ascii="宋体" w:hAnsi="宋体" w:eastAsia="宋体" w:cs="Times New Roman"/>
                <w:szCs w:val="21"/>
              </w:rPr>
            </w:pPr>
            <w:r>
              <w:rPr>
                <w:rFonts w:hint="eastAsia" w:ascii="宋体" w:hAnsi="宋体" w:eastAsia="宋体" w:cs="Times New Roman"/>
                <w:szCs w:val="21"/>
              </w:rPr>
              <w:t>3.提升叙事能力和细节描写能力</w:t>
            </w:r>
          </w:p>
        </w:tc>
        <w:tc>
          <w:tcPr>
            <w:tcW w:w="1560" w:type="dxa"/>
            <w:vAlign w:val="center"/>
          </w:tcPr>
          <w:p w14:paraId="7C2B3095">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1FF3D019">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67830E3F">
            <w:pPr>
              <w:jc w:val="center"/>
              <w:rPr>
                <w:rFonts w:hint="eastAsia" w:ascii="宋体" w:hAnsi="宋体" w:eastAsia="宋体" w:cs="Times New Roman"/>
                <w:szCs w:val="21"/>
              </w:rPr>
            </w:pPr>
            <w:r>
              <w:rPr>
                <w:rFonts w:hint="eastAsia" w:ascii="宋体" w:hAnsi="宋体" w:eastAsia="宋体" w:cs="Times New Roman"/>
                <w:szCs w:val="21"/>
              </w:rPr>
              <w:t>3</w:t>
            </w:r>
          </w:p>
        </w:tc>
      </w:tr>
      <w:tr w14:paraId="63B4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05" w:type="dxa"/>
            <w:vMerge w:val="continue"/>
            <w:vAlign w:val="center"/>
          </w:tcPr>
          <w:p w14:paraId="3B2EA918">
            <w:pPr>
              <w:jc w:val="center"/>
              <w:rPr>
                <w:rFonts w:hint="eastAsia" w:ascii="宋体" w:hAnsi="宋体" w:eastAsia="宋体" w:cs="Times New Roman"/>
                <w:szCs w:val="21"/>
              </w:rPr>
            </w:pPr>
          </w:p>
        </w:tc>
        <w:tc>
          <w:tcPr>
            <w:tcW w:w="8093" w:type="dxa"/>
            <w:gridSpan w:val="6"/>
            <w:vAlign w:val="center"/>
          </w:tcPr>
          <w:p w14:paraId="0819E00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通过学习散文的概念、特点、写作方法和技巧，学生发展对文学的热爱与审美能力，引导学生在写作中感悟生活、表达情感，提升人文素养和语言表达能力。</w:t>
            </w:r>
          </w:p>
        </w:tc>
      </w:tr>
      <w:tr w14:paraId="78D8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2091CCD">
            <w:pPr>
              <w:jc w:val="center"/>
              <w:rPr>
                <w:rFonts w:hint="eastAsia" w:ascii="宋体" w:hAnsi="宋体" w:eastAsia="宋体" w:cs="Times New Roman"/>
                <w:szCs w:val="21"/>
              </w:rPr>
            </w:pPr>
            <w:r>
              <w:rPr>
                <w:rFonts w:hint="eastAsia" w:ascii="宋体" w:hAnsi="宋体" w:eastAsia="宋体" w:cs="Times New Roman"/>
                <w:szCs w:val="21"/>
              </w:rPr>
              <w:t>8.小说</w:t>
            </w:r>
          </w:p>
        </w:tc>
        <w:tc>
          <w:tcPr>
            <w:tcW w:w="2285" w:type="dxa"/>
            <w:vAlign w:val="center"/>
          </w:tcPr>
          <w:p w14:paraId="02A2904F">
            <w:pPr>
              <w:jc w:val="left"/>
              <w:rPr>
                <w:rFonts w:hint="eastAsia" w:ascii="宋体" w:hAnsi="宋体" w:eastAsia="宋体" w:cs="Times New Roman"/>
                <w:szCs w:val="21"/>
              </w:rPr>
            </w:pPr>
            <w:r>
              <w:rPr>
                <w:rFonts w:hint="eastAsia" w:ascii="宋体" w:hAnsi="宋体" w:eastAsia="宋体" w:cs="Times New Roman"/>
                <w:szCs w:val="21"/>
              </w:rPr>
              <w:t>（1）小说的基本结构</w:t>
            </w:r>
          </w:p>
          <w:p w14:paraId="3186E424">
            <w:pPr>
              <w:jc w:val="left"/>
              <w:rPr>
                <w:rFonts w:hint="eastAsia" w:ascii="宋体" w:hAnsi="宋体" w:eastAsia="宋体" w:cs="Times New Roman"/>
                <w:szCs w:val="21"/>
              </w:rPr>
            </w:pPr>
            <w:r>
              <w:rPr>
                <w:rFonts w:hint="eastAsia" w:ascii="宋体" w:hAnsi="宋体" w:eastAsia="宋体" w:cs="Times New Roman"/>
                <w:szCs w:val="21"/>
              </w:rPr>
              <w:t>（2）小说的开篇与结尾</w:t>
            </w:r>
          </w:p>
          <w:p w14:paraId="1EEB10D3">
            <w:pPr>
              <w:jc w:val="left"/>
              <w:rPr>
                <w:rFonts w:hint="eastAsia" w:ascii="宋体" w:hAnsi="宋体" w:eastAsia="宋体" w:cs="Times New Roman"/>
                <w:szCs w:val="21"/>
              </w:rPr>
            </w:pPr>
            <w:r>
              <w:rPr>
                <w:rFonts w:hint="eastAsia" w:ascii="宋体" w:hAnsi="宋体" w:eastAsia="宋体" w:cs="Times New Roman"/>
                <w:szCs w:val="21"/>
              </w:rPr>
              <w:t>（3）小说的人物形象与场景</w:t>
            </w:r>
          </w:p>
          <w:p w14:paraId="3AF12DAB">
            <w:pPr>
              <w:jc w:val="left"/>
              <w:rPr>
                <w:rFonts w:hint="eastAsia" w:ascii="宋体" w:hAnsi="宋体" w:eastAsia="宋体" w:cs="Times New Roman"/>
                <w:szCs w:val="21"/>
              </w:rPr>
            </w:pPr>
            <w:r>
              <w:rPr>
                <w:rFonts w:hint="eastAsia" w:ascii="宋体" w:hAnsi="宋体" w:eastAsia="宋体" w:cs="Times New Roman"/>
                <w:szCs w:val="21"/>
              </w:rPr>
              <w:t>（4）片段练习：主角在搬家时，发现了一把旧钥匙，这把钥匙似乎与他/她过去的某个重要事件有关。</w:t>
            </w:r>
          </w:p>
        </w:tc>
        <w:tc>
          <w:tcPr>
            <w:tcW w:w="1275" w:type="dxa"/>
            <w:vAlign w:val="center"/>
          </w:tcPr>
          <w:p w14:paraId="5171C9BE">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535" w:type="dxa"/>
            <w:vAlign w:val="center"/>
          </w:tcPr>
          <w:p w14:paraId="155568F3">
            <w:pPr>
              <w:jc w:val="left"/>
              <w:rPr>
                <w:rFonts w:hint="eastAsia" w:ascii="宋体" w:hAnsi="宋体" w:eastAsia="宋体" w:cs="Times New Roman"/>
                <w:szCs w:val="21"/>
              </w:rPr>
            </w:pPr>
            <w:r>
              <w:rPr>
                <w:rFonts w:hint="eastAsia" w:ascii="宋体" w:hAnsi="宋体" w:eastAsia="宋体" w:cs="Times New Roman"/>
                <w:szCs w:val="21"/>
              </w:rPr>
              <w:t>1.掌握小说的基本结构</w:t>
            </w:r>
          </w:p>
          <w:p w14:paraId="08A7ED79">
            <w:pPr>
              <w:jc w:val="left"/>
              <w:rPr>
                <w:rFonts w:hint="eastAsia" w:ascii="宋体" w:hAnsi="宋体" w:eastAsia="宋体" w:cs="Times New Roman"/>
                <w:szCs w:val="21"/>
              </w:rPr>
            </w:pPr>
            <w:r>
              <w:rPr>
                <w:rFonts w:hint="eastAsia" w:ascii="宋体" w:hAnsi="宋体" w:eastAsia="宋体" w:cs="Times New Roman"/>
                <w:szCs w:val="21"/>
              </w:rPr>
              <w:t>2.理解小说的开篇与结尾的写作特点及重要性</w:t>
            </w:r>
          </w:p>
          <w:p w14:paraId="2D4E0177">
            <w:pPr>
              <w:jc w:val="left"/>
              <w:rPr>
                <w:rFonts w:hint="eastAsia" w:ascii="宋体" w:hAnsi="宋体" w:eastAsia="宋体" w:cs="Times New Roman"/>
                <w:szCs w:val="21"/>
              </w:rPr>
            </w:pPr>
            <w:r>
              <w:rPr>
                <w:rFonts w:hint="eastAsia" w:ascii="宋体" w:hAnsi="宋体" w:eastAsia="宋体" w:cs="Times New Roman"/>
                <w:szCs w:val="21"/>
              </w:rPr>
              <w:t>3.掌握人物形象塑造和场景营造的基本方法</w:t>
            </w:r>
          </w:p>
        </w:tc>
        <w:tc>
          <w:tcPr>
            <w:tcW w:w="1560" w:type="dxa"/>
            <w:vAlign w:val="center"/>
          </w:tcPr>
          <w:p w14:paraId="249B0926">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6ABAC541">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1A2E2F46">
            <w:pPr>
              <w:jc w:val="center"/>
              <w:rPr>
                <w:rFonts w:hint="eastAsia" w:ascii="宋体" w:hAnsi="宋体" w:eastAsia="宋体" w:cs="Times New Roman"/>
                <w:szCs w:val="21"/>
              </w:rPr>
            </w:pPr>
            <w:r>
              <w:rPr>
                <w:rFonts w:hint="eastAsia" w:ascii="宋体" w:hAnsi="宋体" w:eastAsia="宋体" w:cs="Times New Roman"/>
                <w:szCs w:val="21"/>
              </w:rPr>
              <w:t>3</w:t>
            </w:r>
          </w:p>
        </w:tc>
      </w:tr>
      <w:tr w14:paraId="15F68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205" w:type="dxa"/>
            <w:vMerge w:val="continue"/>
            <w:vAlign w:val="center"/>
          </w:tcPr>
          <w:p w14:paraId="1D839801">
            <w:pPr>
              <w:jc w:val="center"/>
              <w:rPr>
                <w:rFonts w:hint="eastAsia" w:ascii="宋体" w:hAnsi="宋体" w:eastAsia="宋体" w:cs="Times New Roman"/>
                <w:szCs w:val="21"/>
              </w:rPr>
            </w:pPr>
          </w:p>
        </w:tc>
        <w:tc>
          <w:tcPr>
            <w:tcW w:w="8093" w:type="dxa"/>
            <w:gridSpan w:val="6"/>
            <w:vAlign w:val="center"/>
          </w:tcPr>
          <w:p w14:paraId="5C6B285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通过学习小说的基本结构、开篇与结尾的技巧，以及人物形象与场景的塑造，培养学生严谨的逻辑思维能力、丰富的想象力和扎实的写作能力，引导学生在创作中体会生活、感悟人性，提升文学素养和审美情趣。</w:t>
            </w:r>
          </w:p>
        </w:tc>
      </w:tr>
      <w:tr w14:paraId="3D28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1205" w:type="dxa"/>
            <w:vMerge w:val="restart"/>
            <w:vAlign w:val="center"/>
          </w:tcPr>
          <w:p w14:paraId="2EFE60E2">
            <w:pPr>
              <w:jc w:val="center"/>
              <w:rPr>
                <w:rFonts w:hint="eastAsia" w:ascii="宋体" w:hAnsi="宋体" w:eastAsia="宋体" w:cs="Times New Roman"/>
                <w:szCs w:val="21"/>
              </w:rPr>
            </w:pPr>
            <w:r>
              <w:rPr>
                <w:rFonts w:hint="eastAsia" w:ascii="宋体" w:hAnsi="宋体" w:eastAsia="宋体" w:cs="Times New Roman"/>
                <w:szCs w:val="21"/>
              </w:rPr>
              <w:t>9.戏剧</w:t>
            </w:r>
          </w:p>
        </w:tc>
        <w:tc>
          <w:tcPr>
            <w:tcW w:w="2285" w:type="dxa"/>
            <w:vAlign w:val="center"/>
          </w:tcPr>
          <w:p w14:paraId="6FD789A0">
            <w:pPr>
              <w:jc w:val="left"/>
              <w:rPr>
                <w:rFonts w:hint="eastAsia" w:ascii="宋体" w:hAnsi="宋体" w:eastAsia="宋体" w:cs="Times New Roman"/>
                <w:szCs w:val="21"/>
              </w:rPr>
            </w:pPr>
            <w:r>
              <w:rPr>
                <w:rFonts w:hint="eastAsia" w:ascii="宋体" w:hAnsi="宋体" w:eastAsia="宋体" w:cs="Times New Roman"/>
                <w:szCs w:val="21"/>
              </w:rPr>
              <w:t>（1）戏剧的基本结构</w:t>
            </w:r>
          </w:p>
          <w:p w14:paraId="3AC7C2ED">
            <w:pPr>
              <w:jc w:val="left"/>
              <w:rPr>
                <w:rFonts w:hint="eastAsia" w:ascii="宋体" w:hAnsi="宋体" w:eastAsia="宋体" w:cs="Times New Roman"/>
                <w:szCs w:val="21"/>
              </w:rPr>
            </w:pPr>
            <w:r>
              <w:rPr>
                <w:rFonts w:hint="eastAsia" w:ascii="宋体" w:hAnsi="宋体" w:eastAsia="宋体" w:cs="Times New Roman"/>
                <w:szCs w:val="21"/>
              </w:rPr>
              <w:t>（2）戏剧的语言与人物形象</w:t>
            </w:r>
          </w:p>
          <w:p w14:paraId="1C8DC50F">
            <w:pPr>
              <w:jc w:val="left"/>
              <w:rPr>
                <w:rFonts w:hint="eastAsia" w:ascii="宋体" w:hAnsi="宋体" w:eastAsia="宋体" w:cs="Times New Roman"/>
                <w:szCs w:val="21"/>
              </w:rPr>
            </w:pPr>
            <w:r>
              <w:rPr>
                <w:rFonts w:hint="eastAsia" w:ascii="宋体" w:hAnsi="宋体" w:eastAsia="宋体" w:cs="Times New Roman"/>
                <w:szCs w:val="21"/>
              </w:rPr>
              <w:t>（3）戏剧冲突与场景</w:t>
            </w:r>
          </w:p>
          <w:p w14:paraId="05CD8474">
            <w:pPr>
              <w:jc w:val="left"/>
              <w:rPr>
                <w:rFonts w:hint="eastAsia" w:ascii="宋体" w:hAnsi="宋体" w:eastAsia="宋体" w:cs="Times New Roman"/>
                <w:szCs w:val="21"/>
              </w:rPr>
            </w:pPr>
            <w:r>
              <w:rPr>
                <w:rFonts w:hint="eastAsia" w:ascii="宋体" w:hAnsi="宋体" w:eastAsia="宋体" w:cs="Times New Roman"/>
                <w:szCs w:val="21"/>
              </w:rPr>
              <w:t>（4）对话与冲突的写作练习</w:t>
            </w:r>
          </w:p>
        </w:tc>
        <w:tc>
          <w:tcPr>
            <w:tcW w:w="1275" w:type="dxa"/>
            <w:vAlign w:val="center"/>
          </w:tcPr>
          <w:p w14:paraId="385F0BDD">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535" w:type="dxa"/>
            <w:vAlign w:val="center"/>
          </w:tcPr>
          <w:p w14:paraId="31570031">
            <w:pPr>
              <w:jc w:val="left"/>
              <w:rPr>
                <w:rFonts w:hint="eastAsia" w:ascii="宋体" w:hAnsi="宋体" w:eastAsia="宋体" w:cs="Times New Roman"/>
                <w:szCs w:val="21"/>
              </w:rPr>
            </w:pPr>
            <w:r>
              <w:rPr>
                <w:rFonts w:hint="eastAsia" w:ascii="宋体" w:hAnsi="宋体" w:eastAsia="宋体" w:cs="Times New Roman"/>
                <w:szCs w:val="21"/>
              </w:rPr>
              <w:t>1.了解戏剧的基本结构</w:t>
            </w:r>
          </w:p>
          <w:p w14:paraId="71AF28A5">
            <w:pPr>
              <w:jc w:val="left"/>
              <w:rPr>
                <w:rFonts w:hint="eastAsia" w:ascii="宋体" w:hAnsi="宋体" w:eastAsia="宋体" w:cs="Times New Roman"/>
                <w:szCs w:val="21"/>
              </w:rPr>
            </w:pPr>
            <w:r>
              <w:rPr>
                <w:rFonts w:hint="eastAsia" w:ascii="宋体" w:hAnsi="宋体" w:eastAsia="宋体" w:cs="Times New Roman"/>
                <w:szCs w:val="21"/>
              </w:rPr>
              <w:t>2.掌握戏剧的语言特色与人物塑造方法</w:t>
            </w:r>
          </w:p>
          <w:p w14:paraId="67B741C4">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理解</w:t>
            </w:r>
            <w:r>
              <w:rPr>
                <w:rFonts w:hint="eastAsia" w:ascii="宋体" w:hAnsi="宋体" w:eastAsia="宋体" w:cs="Times New Roman"/>
                <w:szCs w:val="21"/>
              </w:rPr>
              <w:t>戏剧冲突的重要性</w:t>
            </w:r>
          </w:p>
        </w:tc>
        <w:tc>
          <w:tcPr>
            <w:tcW w:w="1560" w:type="dxa"/>
            <w:vAlign w:val="center"/>
          </w:tcPr>
          <w:p w14:paraId="7C62F7E8">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7BCD7B36">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14FCB13E">
            <w:pPr>
              <w:jc w:val="center"/>
              <w:rPr>
                <w:rFonts w:hint="eastAsia" w:ascii="宋体" w:hAnsi="宋体" w:eastAsia="宋体" w:cs="Times New Roman"/>
                <w:szCs w:val="21"/>
              </w:rPr>
            </w:pPr>
            <w:r>
              <w:rPr>
                <w:rFonts w:hint="eastAsia" w:ascii="宋体" w:hAnsi="宋体" w:eastAsia="宋体" w:cs="Times New Roman"/>
                <w:szCs w:val="21"/>
              </w:rPr>
              <w:t>3</w:t>
            </w:r>
          </w:p>
        </w:tc>
      </w:tr>
      <w:tr w14:paraId="784B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1205" w:type="dxa"/>
            <w:vMerge w:val="continue"/>
            <w:vAlign w:val="center"/>
          </w:tcPr>
          <w:p w14:paraId="508F711E">
            <w:pPr>
              <w:jc w:val="center"/>
              <w:rPr>
                <w:rFonts w:hint="eastAsia" w:ascii="宋体" w:hAnsi="宋体" w:eastAsia="宋体" w:cs="Times New Roman"/>
                <w:szCs w:val="21"/>
              </w:rPr>
            </w:pPr>
          </w:p>
        </w:tc>
        <w:tc>
          <w:tcPr>
            <w:tcW w:w="8093" w:type="dxa"/>
            <w:gridSpan w:val="6"/>
            <w:vAlign w:val="center"/>
          </w:tcPr>
          <w:p w14:paraId="29F35D3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戏剧的基本结构、语言与人物形象塑造、冲突与场景设计，培养学生严谨的逻辑思维、丰富的想象力和扎实的写作能力，引导学生在创作中感悟人性、理解社会关系，提升文学素养和审美情趣，培养学生的社会责任感和人文关怀。</w:t>
            </w:r>
          </w:p>
        </w:tc>
      </w:tr>
      <w:tr w14:paraId="7F5B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5B3CFBB">
            <w:pPr>
              <w:jc w:val="center"/>
              <w:rPr>
                <w:rFonts w:hint="eastAsia" w:ascii="宋体" w:hAnsi="宋体" w:eastAsia="宋体" w:cs="Times New Roman"/>
                <w:szCs w:val="21"/>
              </w:rPr>
            </w:pPr>
            <w:r>
              <w:rPr>
                <w:rFonts w:hint="eastAsia" w:ascii="宋体" w:hAnsi="宋体" w:eastAsia="宋体" w:cs="Times New Roman"/>
                <w:szCs w:val="21"/>
              </w:rPr>
              <w:t>10.科普文</w:t>
            </w:r>
          </w:p>
        </w:tc>
        <w:tc>
          <w:tcPr>
            <w:tcW w:w="2285" w:type="dxa"/>
            <w:vAlign w:val="center"/>
          </w:tcPr>
          <w:p w14:paraId="0E352941">
            <w:pPr>
              <w:jc w:val="left"/>
              <w:rPr>
                <w:rFonts w:hint="eastAsia" w:ascii="宋体" w:hAnsi="宋体" w:eastAsia="宋体" w:cs="Times New Roman"/>
                <w:szCs w:val="21"/>
              </w:rPr>
            </w:pPr>
            <w:r>
              <w:rPr>
                <w:rFonts w:hint="eastAsia" w:ascii="宋体" w:hAnsi="宋体" w:eastAsia="宋体" w:cs="Times New Roman"/>
                <w:szCs w:val="21"/>
              </w:rPr>
              <w:t>（1）科普文的含义与作用</w:t>
            </w:r>
          </w:p>
          <w:p w14:paraId="287C60E1">
            <w:pPr>
              <w:jc w:val="left"/>
              <w:rPr>
                <w:rFonts w:hint="eastAsia" w:ascii="宋体" w:hAnsi="宋体" w:eastAsia="宋体" w:cs="Times New Roman"/>
                <w:szCs w:val="21"/>
              </w:rPr>
            </w:pPr>
            <w:r>
              <w:rPr>
                <w:rFonts w:hint="eastAsia" w:ascii="宋体" w:hAnsi="宋体" w:eastAsia="宋体" w:cs="Times New Roman"/>
                <w:szCs w:val="21"/>
              </w:rPr>
              <w:t>（2）科普文写作的主要特点与不同境界</w:t>
            </w:r>
          </w:p>
          <w:p w14:paraId="469D6F68">
            <w:pPr>
              <w:jc w:val="left"/>
              <w:rPr>
                <w:rFonts w:hint="eastAsia" w:ascii="宋体" w:hAnsi="宋体" w:eastAsia="宋体" w:cs="Times New Roman"/>
                <w:szCs w:val="21"/>
              </w:rPr>
            </w:pPr>
            <w:r>
              <w:rPr>
                <w:rFonts w:hint="eastAsia" w:ascii="宋体" w:hAnsi="宋体" w:eastAsia="宋体" w:cs="Times New Roman"/>
                <w:szCs w:val="21"/>
              </w:rPr>
              <w:t>（3）科普文写作的基本要求与语言特点</w:t>
            </w:r>
          </w:p>
          <w:p w14:paraId="20C7B031">
            <w:pPr>
              <w:jc w:val="left"/>
              <w:rPr>
                <w:rFonts w:hint="eastAsia" w:ascii="宋体" w:hAnsi="宋体" w:eastAsia="宋体" w:cs="Times New Roman"/>
                <w:szCs w:val="21"/>
              </w:rPr>
            </w:pPr>
            <w:r>
              <w:rPr>
                <w:rFonts w:hint="eastAsia" w:ascii="宋体" w:hAnsi="宋体" w:eastAsia="宋体" w:cs="Times New Roman"/>
                <w:szCs w:val="21"/>
              </w:rPr>
              <w:t>（4）人工智能已深入人们的日常生活，但很多人并不清楚它具体是如何工作的。请你写一段科普文，向读者介绍人工智能在日常生活中的应用。</w:t>
            </w:r>
          </w:p>
        </w:tc>
        <w:tc>
          <w:tcPr>
            <w:tcW w:w="1275" w:type="dxa"/>
            <w:vAlign w:val="center"/>
          </w:tcPr>
          <w:p w14:paraId="27BEFF40">
            <w:pPr>
              <w:jc w:val="center"/>
              <w:rPr>
                <w:rFonts w:hint="eastAsia" w:ascii="宋体" w:hAnsi="宋体" w:eastAsia="宋体" w:cs="Times New Roman"/>
                <w:szCs w:val="21"/>
              </w:rPr>
            </w:pPr>
            <w:r>
              <w:rPr>
                <w:rFonts w:hint="eastAsia" w:ascii="宋体" w:hAnsi="宋体" w:eastAsia="宋体" w:cs="Times New Roman"/>
                <w:szCs w:val="21"/>
              </w:rPr>
              <w:t>课程目标1、2、3</w:t>
            </w:r>
          </w:p>
          <w:p w14:paraId="6552FD9C">
            <w:pPr>
              <w:jc w:val="center"/>
              <w:rPr>
                <w:rFonts w:hint="eastAsia" w:ascii="宋体" w:hAnsi="宋体" w:eastAsia="宋体" w:cs="Times New Roman"/>
                <w:szCs w:val="21"/>
              </w:rPr>
            </w:pPr>
          </w:p>
        </w:tc>
        <w:tc>
          <w:tcPr>
            <w:tcW w:w="2535" w:type="dxa"/>
            <w:vAlign w:val="center"/>
          </w:tcPr>
          <w:p w14:paraId="3BD82ED3">
            <w:pPr>
              <w:jc w:val="left"/>
              <w:rPr>
                <w:rFonts w:hint="eastAsia" w:ascii="宋体" w:hAnsi="宋体" w:eastAsia="宋体" w:cs="Times New Roman"/>
                <w:szCs w:val="21"/>
              </w:rPr>
            </w:pPr>
            <w:r>
              <w:rPr>
                <w:rFonts w:hint="eastAsia" w:ascii="宋体" w:hAnsi="宋体" w:eastAsia="宋体" w:cs="Times New Roman"/>
                <w:szCs w:val="21"/>
              </w:rPr>
              <w:t>1.掌握科普文的含义及特征</w:t>
            </w:r>
          </w:p>
          <w:p w14:paraId="6F8936BB">
            <w:pPr>
              <w:jc w:val="left"/>
              <w:rPr>
                <w:rFonts w:hint="eastAsia" w:ascii="宋体" w:hAnsi="宋体" w:eastAsia="宋体" w:cs="Times New Roman"/>
                <w:szCs w:val="21"/>
              </w:rPr>
            </w:pPr>
            <w:r>
              <w:rPr>
                <w:rFonts w:hint="eastAsia" w:ascii="宋体" w:hAnsi="宋体" w:eastAsia="宋体" w:cs="Times New Roman"/>
                <w:szCs w:val="21"/>
              </w:rPr>
              <w:t>2.理解科普文写作的基本要求</w:t>
            </w:r>
          </w:p>
          <w:p w14:paraId="7E059B37">
            <w:pPr>
              <w:jc w:val="left"/>
              <w:rPr>
                <w:rFonts w:hint="eastAsia" w:ascii="宋体" w:hAnsi="宋体" w:eastAsia="宋体" w:cs="Times New Roman"/>
                <w:szCs w:val="21"/>
              </w:rPr>
            </w:pPr>
            <w:r>
              <w:rPr>
                <w:rFonts w:hint="eastAsia" w:ascii="宋体" w:hAnsi="宋体" w:eastAsia="宋体" w:cs="Times New Roman"/>
                <w:szCs w:val="21"/>
              </w:rPr>
              <w:t>3.掌握科普文的语言规范</w:t>
            </w:r>
          </w:p>
        </w:tc>
        <w:tc>
          <w:tcPr>
            <w:tcW w:w="1560" w:type="dxa"/>
            <w:vAlign w:val="center"/>
          </w:tcPr>
          <w:p w14:paraId="382093C7">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54D20A70">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438" w:type="dxa"/>
            <w:gridSpan w:val="2"/>
            <w:vAlign w:val="center"/>
          </w:tcPr>
          <w:p w14:paraId="18E76007">
            <w:pPr>
              <w:jc w:val="center"/>
              <w:rPr>
                <w:rFonts w:hint="eastAsia" w:ascii="宋体" w:hAnsi="宋体" w:eastAsia="宋体" w:cs="Times New Roman"/>
                <w:szCs w:val="21"/>
              </w:rPr>
            </w:pPr>
            <w:r>
              <w:rPr>
                <w:rFonts w:hint="eastAsia" w:ascii="宋体" w:hAnsi="宋体" w:eastAsia="宋体" w:cs="Times New Roman"/>
                <w:szCs w:val="21"/>
              </w:rPr>
              <w:t>3</w:t>
            </w:r>
          </w:p>
        </w:tc>
      </w:tr>
      <w:tr w14:paraId="7EAA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205" w:type="dxa"/>
            <w:vMerge w:val="continue"/>
            <w:vAlign w:val="center"/>
          </w:tcPr>
          <w:p w14:paraId="7BABD3BD">
            <w:pPr>
              <w:jc w:val="center"/>
              <w:rPr>
                <w:rFonts w:hint="eastAsia" w:ascii="宋体" w:hAnsi="宋体" w:eastAsia="宋体" w:cs="Times New Roman"/>
                <w:szCs w:val="21"/>
              </w:rPr>
            </w:pPr>
          </w:p>
        </w:tc>
        <w:tc>
          <w:tcPr>
            <w:tcW w:w="8093" w:type="dxa"/>
            <w:gridSpan w:val="6"/>
            <w:vAlign w:val="center"/>
          </w:tcPr>
          <w:p w14:paraId="09E704A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科普文的含义、作用、写作特点及基本要求，培养学生严谨的科学态度和扎实的写作能力，树立正确的科技观和价值观，激发学生对科技创新的兴趣和责任感，培养其科学精神与社会责任感，促进学生全面发展。</w:t>
            </w:r>
          </w:p>
        </w:tc>
      </w:tr>
      <w:tr w14:paraId="283A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jc w:val="center"/>
        </w:trPr>
        <w:tc>
          <w:tcPr>
            <w:tcW w:w="1205" w:type="dxa"/>
            <w:vMerge w:val="restart"/>
            <w:vAlign w:val="center"/>
          </w:tcPr>
          <w:p w14:paraId="67285484">
            <w:pPr>
              <w:jc w:val="center"/>
              <w:rPr>
                <w:rFonts w:hint="eastAsia" w:ascii="宋体" w:hAnsi="宋体" w:eastAsia="宋体" w:cs="Times New Roman"/>
                <w:szCs w:val="21"/>
              </w:rPr>
            </w:pPr>
            <w:r>
              <w:rPr>
                <w:rFonts w:hint="eastAsia" w:ascii="宋体" w:hAnsi="宋体" w:eastAsia="宋体" w:cs="Times New Roman"/>
                <w:szCs w:val="21"/>
              </w:rPr>
              <w:t>11.评论文</w:t>
            </w:r>
          </w:p>
        </w:tc>
        <w:tc>
          <w:tcPr>
            <w:tcW w:w="2285" w:type="dxa"/>
            <w:vAlign w:val="center"/>
          </w:tcPr>
          <w:p w14:paraId="113F4C29">
            <w:pPr>
              <w:jc w:val="left"/>
              <w:rPr>
                <w:rFonts w:hint="eastAsia" w:ascii="宋体" w:hAnsi="宋体" w:eastAsia="宋体" w:cs="Times New Roman"/>
                <w:szCs w:val="21"/>
              </w:rPr>
            </w:pPr>
            <w:r>
              <w:rPr>
                <w:rFonts w:hint="eastAsia" w:ascii="宋体" w:hAnsi="宋体" w:eastAsia="宋体" w:cs="Times New Roman"/>
                <w:szCs w:val="21"/>
              </w:rPr>
              <w:t>（1）社会短评</w:t>
            </w:r>
          </w:p>
          <w:p w14:paraId="44596C34">
            <w:pPr>
              <w:jc w:val="left"/>
              <w:rPr>
                <w:rFonts w:hint="eastAsia" w:ascii="宋体" w:hAnsi="宋体" w:eastAsia="宋体" w:cs="Times New Roman"/>
                <w:szCs w:val="21"/>
              </w:rPr>
            </w:pPr>
            <w:r>
              <w:rPr>
                <w:rFonts w:hint="eastAsia" w:ascii="宋体" w:hAnsi="宋体" w:eastAsia="宋体" w:cs="Times New Roman"/>
                <w:szCs w:val="21"/>
              </w:rPr>
              <w:t>（2）文艺短评</w:t>
            </w:r>
          </w:p>
          <w:p w14:paraId="3598E048">
            <w:pPr>
              <w:jc w:val="left"/>
              <w:rPr>
                <w:rFonts w:hint="eastAsia" w:ascii="宋体" w:hAnsi="宋体" w:eastAsia="宋体" w:cs="Times New Roman"/>
                <w:szCs w:val="21"/>
              </w:rPr>
            </w:pPr>
            <w:r>
              <w:rPr>
                <w:rFonts w:hint="eastAsia" w:ascii="宋体" w:hAnsi="宋体" w:eastAsia="宋体" w:cs="Times New Roman"/>
                <w:szCs w:val="21"/>
              </w:rPr>
              <w:t>（3）学术短评</w:t>
            </w:r>
          </w:p>
          <w:p w14:paraId="44E0F862">
            <w:pPr>
              <w:jc w:val="left"/>
              <w:rPr>
                <w:rFonts w:hint="eastAsia" w:ascii="宋体" w:hAnsi="宋体" w:eastAsia="宋体" w:cs="Times New Roman"/>
                <w:szCs w:val="21"/>
              </w:rPr>
            </w:pPr>
            <w:r>
              <w:rPr>
                <w:rFonts w:hint="eastAsia" w:ascii="宋体" w:hAnsi="宋体" w:eastAsia="宋体" w:cs="Times New Roman"/>
                <w:szCs w:val="21"/>
              </w:rPr>
              <w:t>（4）选择一个当前的社会现象，写一则短评。</w:t>
            </w:r>
          </w:p>
        </w:tc>
        <w:tc>
          <w:tcPr>
            <w:tcW w:w="1275" w:type="dxa"/>
            <w:vAlign w:val="center"/>
          </w:tcPr>
          <w:p w14:paraId="05A5935C">
            <w:pPr>
              <w:jc w:val="center"/>
              <w:rPr>
                <w:rFonts w:hint="eastAsia" w:ascii="宋体" w:hAnsi="宋体" w:eastAsia="宋体" w:cs="Times New Roman"/>
                <w:szCs w:val="21"/>
              </w:rPr>
            </w:pPr>
            <w:r>
              <w:rPr>
                <w:rFonts w:hint="eastAsia" w:ascii="宋体" w:hAnsi="宋体" w:eastAsia="宋体" w:cs="Times New Roman"/>
                <w:szCs w:val="21"/>
              </w:rPr>
              <w:t>课程目标1、2、3</w:t>
            </w:r>
          </w:p>
          <w:p w14:paraId="3C12D609">
            <w:pPr>
              <w:jc w:val="center"/>
              <w:rPr>
                <w:rFonts w:hint="eastAsia" w:ascii="宋体" w:hAnsi="宋体" w:eastAsia="宋体" w:cs="Times New Roman"/>
                <w:szCs w:val="21"/>
              </w:rPr>
            </w:pPr>
          </w:p>
        </w:tc>
        <w:tc>
          <w:tcPr>
            <w:tcW w:w="2535" w:type="dxa"/>
            <w:vAlign w:val="center"/>
          </w:tcPr>
          <w:p w14:paraId="39A9F827">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了解</w:t>
            </w:r>
            <w:r>
              <w:rPr>
                <w:rFonts w:hint="eastAsia" w:ascii="宋体" w:hAnsi="宋体" w:eastAsia="宋体" w:cs="Times New Roman"/>
                <w:szCs w:val="21"/>
              </w:rPr>
              <w:t>不同评论文体的性质特点</w:t>
            </w:r>
          </w:p>
          <w:p w14:paraId="48A1C4B0">
            <w:pPr>
              <w:jc w:val="left"/>
              <w:rPr>
                <w:rFonts w:hint="eastAsia" w:ascii="宋体" w:hAnsi="宋体" w:eastAsia="宋体" w:cs="Times New Roman"/>
                <w:szCs w:val="21"/>
              </w:rPr>
            </w:pPr>
            <w:r>
              <w:rPr>
                <w:rFonts w:hint="eastAsia" w:ascii="宋体" w:hAnsi="宋体" w:eastAsia="宋体" w:cs="Times New Roman"/>
                <w:szCs w:val="21"/>
              </w:rPr>
              <w:t>2.理解获取评论对象的一般途径</w:t>
            </w:r>
          </w:p>
          <w:p w14:paraId="01036996">
            <w:pPr>
              <w:jc w:val="left"/>
              <w:rPr>
                <w:rFonts w:hint="eastAsia" w:ascii="宋体" w:hAnsi="宋体" w:eastAsia="宋体" w:cs="Times New Roman"/>
                <w:szCs w:val="21"/>
              </w:rPr>
            </w:pPr>
            <w:r>
              <w:rPr>
                <w:rFonts w:hint="eastAsia" w:ascii="宋体" w:hAnsi="宋体" w:eastAsia="宋体" w:cs="Times New Roman"/>
                <w:szCs w:val="21"/>
              </w:rPr>
              <w:t>3.掌握评论文的主要写作方法</w:t>
            </w:r>
          </w:p>
        </w:tc>
        <w:tc>
          <w:tcPr>
            <w:tcW w:w="1657" w:type="dxa"/>
            <w:gridSpan w:val="2"/>
            <w:vAlign w:val="center"/>
          </w:tcPr>
          <w:p w14:paraId="7AF64434">
            <w:pPr>
              <w:jc w:val="left"/>
              <w:rPr>
                <w:rFonts w:hint="eastAsia" w:ascii="宋体" w:hAnsi="宋体" w:eastAsia="宋体" w:cs="Times New Roman"/>
                <w:szCs w:val="21"/>
              </w:rPr>
            </w:pPr>
            <w:r>
              <w:rPr>
                <w:rFonts w:hint="eastAsia" w:ascii="宋体" w:hAnsi="宋体" w:eastAsia="宋体" w:cs="Times New Roman"/>
                <w:szCs w:val="21"/>
              </w:rPr>
              <w:t>1.多媒体教学2.课堂讨论与练习</w:t>
            </w:r>
          </w:p>
          <w:p w14:paraId="54A37F3E">
            <w:pPr>
              <w:jc w:val="left"/>
              <w:rPr>
                <w:rFonts w:hint="eastAsia" w:ascii="宋体" w:hAnsi="宋体" w:eastAsia="宋体" w:cs="Times New Roman"/>
                <w:szCs w:val="21"/>
              </w:rPr>
            </w:pPr>
            <w:r>
              <w:rPr>
                <w:rFonts w:hint="eastAsia" w:ascii="宋体" w:hAnsi="宋体" w:eastAsia="宋体" w:cs="Times New Roman"/>
                <w:szCs w:val="21"/>
              </w:rPr>
              <w:t>3.课后作业</w:t>
            </w:r>
          </w:p>
        </w:tc>
        <w:tc>
          <w:tcPr>
            <w:tcW w:w="341" w:type="dxa"/>
            <w:vAlign w:val="center"/>
          </w:tcPr>
          <w:p w14:paraId="1F5558C0">
            <w:pPr>
              <w:jc w:val="center"/>
              <w:rPr>
                <w:rFonts w:hint="eastAsia" w:ascii="宋体" w:hAnsi="宋体" w:eastAsia="宋体" w:cs="Times New Roman"/>
                <w:szCs w:val="21"/>
              </w:rPr>
            </w:pPr>
            <w:r>
              <w:rPr>
                <w:rFonts w:hint="eastAsia" w:ascii="宋体" w:hAnsi="宋体" w:eastAsia="宋体" w:cs="Times New Roman"/>
                <w:szCs w:val="21"/>
              </w:rPr>
              <w:t>3</w:t>
            </w:r>
          </w:p>
        </w:tc>
      </w:tr>
      <w:tr w14:paraId="588D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205" w:type="dxa"/>
            <w:vMerge w:val="continue"/>
            <w:vAlign w:val="center"/>
          </w:tcPr>
          <w:p w14:paraId="64AC3486">
            <w:pPr>
              <w:jc w:val="center"/>
              <w:rPr>
                <w:rFonts w:hint="eastAsia" w:ascii="宋体" w:hAnsi="宋体" w:eastAsia="宋体" w:cs="Times New Roman"/>
                <w:szCs w:val="21"/>
              </w:rPr>
            </w:pPr>
          </w:p>
        </w:tc>
        <w:tc>
          <w:tcPr>
            <w:tcW w:w="8093" w:type="dxa"/>
            <w:gridSpan w:val="6"/>
            <w:vAlign w:val="center"/>
          </w:tcPr>
          <w:p w14:paraId="3D67F77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学习社会短评、文艺短评和学术短评的写作方法，培养学生敏锐的社会观察力、批判性思维和理性表达能力，引导学生在评论写作中树立正确的价值观，增强社会责任感和时代使命感，促进学生在思想和行动上的全面发展。</w:t>
            </w:r>
          </w:p>
        </w:tc>
      </w:tr>
    </w:tbl>
    <w:p w14:paraId="3A99F46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3F41B429">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6A9713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4"/>
        <w:gridCol w:w="1909"/>
        <w:gridCol w:w="1909"/>
        <w:gridCol w:w="1909"/>
        <w:gridCol w:w="1150"/>
      </w:tblGrid>
      <w:tr w14:paraId="5C19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3D685F0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3"/>
            <w:vAlign w:val="center"/>
          </w:tcPr>
          <w:p w14:paraId="6811B361">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0A1B8069">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22B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98EDDFE">
            <w:pPr>
              <w:spacing w:line="360" w:lineRule="auto"/>
              <w:jc w:val="center"/>
              <w:rPr>
                <w:rFonts w:hint="eastAsia" w:ascii="宋体" w:hAnsi="宋体" w:eastAsia="宋体" w:cs="Times New Roman"/>
                <w:szCs w:val="21"/>
              </w:rPr>
            </w:pPr>
          </w:p>
        </w:tc>
        <w:tc>
          <w:tcPr>
            <w:tcW w:w="0" w:type="auto"/>
            <w:vAlign w:val="center"/>
          </w:tcPr>
          <w:p w14:paraId="28E74A6B">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4C1EA8FC">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4F45BBA4">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413C523A">
            <w:pPr>
              <w:spacing w:line="360" w:lineRule="auto"/>
              <w:jc w:val="center"/>
              <w:rPr>
                <w:rFonts w:hint="eastAsia" w:ascii="宋体" w:hAnsi="宋体" w:eastAsia="宋体" w:cs="Times New Roman"/>
                <w:szCs w:val="21"/>
              </w:rPr>
            </w:pPr>
          </w:p>
        </w:tc>
      </w:tr>
      <w:tr w14:paraId="4C9A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3E0DAC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435061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13864D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B828CC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A5FE9D6">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8B4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460EB2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7529BC6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D2DFD6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85F62F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E644B97">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722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3766AB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70E7BA6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4E7D54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CEE751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30EBAD6">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5725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2DC3BFF">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75F66BC4">
            <w:pPr>
              <w:spacing w:line="360" w:lineRule="auto"/>
              <w:jc w:val="center"/>
              <w:rPr>
                <w:rFonts w:hint="eastAsia" w:ascii="宋体" w:hAnsi="宋体" w:eastAsia="宋体" w:cs="Times New Roman"/>
                <w:szCs w:val="21"/>
              </w:rPr>
            </w:pPr>
          </w:p>
        </w:tc>
        <w:tc>
          <w:tcPr>
            <w:tcW w:w="0" w:type="auto"/>
            <w:vAlign w:val="center"/>
          </w:tcPr>
          <w:p w14:paraId="09913F02">
            <w:pPr>
              <w:spacing w:line="360" w:lineRule="auto"/>
              <w:jc w:val="center"/>
              <w:rPr>
                <w:rFonts w:hint="eastAsia" w:ascii="宋体" w:hAnsi="宋体" w:eastAsia="宋体" w:cs="Times New Roman"/>
                <w:szCs w:val="21"/>
              </w:rPr>
            </w:pPr>
          </w:p>
        </w:tc>
        <w:tc>
          <w:tcPr>
            <w:tcW w:w="0" w:type="auto"/>
            <w:vAlign w:val="center"/>
          </w:tcPr>
          <w:p w14:paraId="242AEC7F">
            <w:pPr>
              <w:spacing w:line="360" w:lineRule="auto"/>
              <w:jc w:val="center"/>
              <w:rPr>
                <w:rFonts w:hint="eastAsia" w:ascii="宋体" w:hAnsi="宋体" w:eastAsia="宋体" w:cs="Times New Roman"/>
                <w:szCs w:val="21"/>
              </w:rPr>
            </w:pPr>
          </w:p>
        </w:tc>
        <w:tc>
          <w:tcPr>
            <w:tcW w:w="0" w:type="auto"/>
            <w:vAlign w:val="center"/>
          </w:tcPr>
          <w:p w14:paraId="1DBF8387">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95724C2">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F2A09E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F57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75" w:type="dxa"/>
            <w:vAlign w:val="center"/>
          </w:tcPr>
          <w:p w14:paraId="0ACAE48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4AE8BA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72F5EE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781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trPr>
        <w:tc>
          <w:tcPr>
            <w:tcW w:w="675" w:type="dxa"/>
            <w:vAlign w:val="center"/>
          </w:tcPr>
          <w:p w14:paraId="7141D06C">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4E5A2A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自由写作练习以及对关键词句的扩展，考查学生在无写作提示限制下的写作能力以及对细节的把握和情感的表达能力。二为写作提示训练，要求文章内容表达真实感受，通过具体的细节描写增强文章的生动性和感染力。三为情感与细节的深化训练，要求更加注重情感的表达、细节的描写以及写作手法的综合运用。通过深化情感、丰富细节和运用多种写作技巧，使文章更具感染力和表现力。</w:t>
            </w:r>
          </w:p>
        </w:tc>
        <w:tc>
          <w:tcPr>
            <w:tcW w:w="0" w:type="auto"/>
            <w:vAlign w:val="center"/>
          </w:tcPr>
          <w:p w14:paraId="789E2F18">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36E2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675" w:type="dxa"/>
            <w:vAlign w:val="center"/>
          </w:tcPr>
          <w:p w14:paraId="715794F7">
            <w:pPr>
              <w:rPr>
                <w:rFonts w:ascii="Times New Roman" w:hAnsi="Times New Roman" w:eastAsia="宋体" w:cs="Times New Roman"/>
                <w:szCs w:val="21"/>
              </w:rPr>
            </w:pPr>
            <w:r>
              <w:rPr>
                <w:rFonts w:hint="eastAsia" w:ascii="Times New Roman" w:hAnsi="Times New Roman" w:eastAsia="宋体" w:cs="Times New Roman"/>
                <w:szCs w:val="21"/>
              </w:rPr>
              <w:t>课堂考勤</w:t>
            </w:r>
          </w:p>
        </w:tc>
        <w:tc>
          <w:tcPr>
            <w:tcW w:w="7141" w:type="dxa"/>
            <w:vAlign w:val="center"/>
          </w:tcPr>
          <w:p w14:paraId="47FAAB63">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迟到一次扣2分，事假扣2分，病假扣1分。无故缺席一次扣5分，累计达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tc>
        <w:tc>
          <w:tcPr>
            <w:tcW w:w="0" w:type="auto"/>
            <w:vAlign w:val="center"/>
          </w:tcPr>
          <w:p w14:paraId="768DBEEB">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270E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675" w:type="dxa"/>
            <w:vAlign w:val="center"/>
          </w:tcPr>
          <w:p w14:paraId="1C3C51F3">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51208A61">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6869806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39A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trPr>
        <w:tc>
          <w:tcPr>
            <w:tcW w:w="675" w:type="dxa"/>
            <w:vAlign w:val="center"/>
          </w:tcPr>
          <w:p w14:paraId="30CC285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335086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试卷题型包括填空、判断、简答和写作，重点考察学生对写作基本理论的掌握，深入考察学生对具体文本写作技巧的分析能力、创意写作能力以及综合写作能力。这种多元的考核能有效促进学生系统学习写作知识，提升写作实践能力，培养创新思维，为学生今后的写作学习和实际应用奠定坚实基础。</w:t>
            </w:r>
          </w:p>
        </w:tc>
        <w:tc>
          <w:tcPr>
            <w:tcW w:w="0" w:type="auto"/>
            <w:vAlign w:val="center"/>
          </w:tcPr>
          <w:p w14:paraId="4490D726">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1C48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E9EBD9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ADD62D1">
            <w:pPr>
              <w:jc w:val="left"/>
              <w:rPr>
                <w:rFonts w:ascii="Times New Roman" w:hAnsi="Times New Roman" w:eastAsia="宋体" w:cs="Times New Roman"/>
                <w:szCs w:val="21"/>
              </w:rPr>
            </w:pPr>
          </w:p>
        </w:tc>
        <w:tc>
          <w:tcPr>
            <w:tcW w:w="0" w:type="auto"/>
            <w:vAlign w:val="center"/>
          </w:tcPr>
          <w:p w14:paraId="6A24AE8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AAD4DA9">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55891992">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07A6D354">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62"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62" DrawAspect="Content" ObjectID="_1468075762" r:id="rId50">
            <o:LockedField>false</o:LockedField>
          </o:OLEObject>
        </w:object>
      </w:r>
      <w:r>
        <w:rPr>
          <w:rFonts w:ascii="Times New Roman" w:hAnsi="Times New Roman" w:eastAsia="宋体" w:cs="Times New Roman"/>
          <w:b/>
          <w:sz w:val="24"/>
        </w:rPr>
        <w:t>五、</w:t>
      </w:r>
      <w:r>
        <w:rPr>
          <w:rFonts w:hint="eastAsia" w:ascii="Times New Roman" w:hAnsi="Times New Roman" w:eastAsia="宋体" w:cs="Times New Roman"/>
          <w:b/>
          <w:sz w:val="24"/>
        </w:rPr>
        <w:t>有关说明</w:t>
      </w:r>
    </w:p>
    <w:p w14:paraId="2605F677">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DCCE881">
      <w:pPr>
        <w:spacing w:line="360" w:lineRule="auto"/>
        <w:ind w:firstLine="420" w:firstLineChars="200"/>
        <w:jc w:val="left"/>
        <w:rPr>
          <w:rFonts w:ascii="Times New Roman" w:hAnsi="Times New Roman" w:eastAsia="宋体" w:cs="Times New Roman"/>
          <w:b/>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49007C52">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32AE3F5D">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柳宏主编.</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文本写作教程</w:t>
      </w:r>
      <w:r>
        <w:rPr>
          <w:rFonts w:hint="eastAsia" w:ascii="Times New Roman" w:hAnsi="Times New Roman" w:eastAsia="宋体" w:cs="Times New Roman"/>
          <w:smallCaps/>
          <w:kern w:val="44"/>
          <w:szCs w:val="21"/>
        </w:rPr>
        <w:t xml:space="preserve">, </w:t>
      </w:r>
      <w:r>
        <w:rPr>
          <w:rFonts w:hint="eastAsia" w:ascii="Times New Roman" w:hAnsi="Times New Roman" w:eastAsia="宋体" w:cs="Times New Roman"/>
          <w:bCs/>
          <w:szCs w:val="21"/>
        </w:rPr>
        <w:t>北京: 高等教育出版社，2</w:t>
      </w:r>
      <w:r>
        <w:rPr>
          <w:rFonts w:ascii="Times New Roman" w:hAnsi="Times New Roman" w:eastAsia="宋体" w:cs="Times New Roman"/>
          <w:bCs/>
          <w:szCs w:val="21"/>
        </w:rPr>
        <w:t>0</w:t>
      </w:r>
      <w:r>
        <w:rPr>
          <w:rFonts w:hint="eastAsia" w:ascii="Times New Roman" w:hAnsi="Times New Roman" w:eastAsia="宋体" w:cs="Times New Roman"/>
          <w:bCs/>
          <w:szCs w:val="21"/>
        </w:rPr>
        <w:t>21.</w:t>
      </w:r>
    </w:p>
    <w:p w14:paraId="61C1AA00">
      <w:pPr>
        <w:spacing w:line="360" w:lineRule="auto"/>
        <w:ind w:firstLine="422" w:firstLineChars="200"/>
        <w:jc w:val="left"/>
        <w:rPr>
          <w:rFonts w:hint="eastAsia" w:ascii="等线" w:hAnsi="等线" w:eastAsia="等线" w:cs="Times New Roman"/>
          <w:szCs w:val="22"/>
        </w:rPr>
      </w:pPr>
      <w:r>
        <w:rPr>
          <w:rFonts w:hint="eastAsia" w:ascii="Times New Roman" w:hAnsi="Times New Roman" w:eastAsia="宋体" w:cs="Times New Roman"/>
          <w:b/>
          <w:szCs w:val="21"/>
        </w:rPr>
        <w:t>（三）参考书目</w:t>
      </w:r>
    </w:p>
    <w:p w14:paraId="5DA3AC52">
      <w:pPr>
        <w:spacing w:line="336" w:lineRule="auto"/>
        <w:ind w:firstLine="420" w:firstLineChars="200"/>
        <w:rPr>
          <w:rFonts w:ascii="Times New Roman" w:hAnsi="Times New Roman" w:eastAsia="宋体" w:cs="Times New Roman"/>
          <w:szCs w:val="21"/>
        </w:rPr>
      </w:pPr>
      <w:r>
        <w:rPr>
          <w:rFonts w:ascii="Times New Roman" w:hAnsi="Times New Roman" w:eastAsia="宋体" w:cs="Times New Roman"/>
          <w:smallCaps/>
          <w:kern w:val="44"/>
          <w:szCs w:val="21"/>
        </w:rPr>
        <w:t>1.</w:t>
      </w:r>
      <w:r>
        <w:rPr>
          <w:rFonts w:hint="eastAsia" w:ascii="Times New Roman" w:hAnsi="Times New Roman" w:eastAsia="宋体" w:cs="Times New Roman"/>
          <w:bCs/>
          <w:szCs w:val="21"/>
        </w:rPr>
        <w:t>尉天骄主编.</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基础写作教程（第三版）</w:t>
      </w:r>
      <w:r>
        <w:rPr>
          <w:rFonts w:hint="eastAsia" w:ascii="Times New Roman" w:hAnsi="Times New Roman" w:eastAsia="宋体" w:cs="Times New Roman"/>
          <w:smallCaps/>
          <w:kern w:val="44"/>
          <w:szCs w:val="21"/>
        </w:rPr>
        <w:t xml:space="preserve">, </w:t>
      </w:r>
      <w:r>
        <w:rPr>
          <w:rFonts w:hint="eastAsia" w:ascii="Times New Roman" w:hAnsi="Times New Roman" w:eastAsia="宋体" w:cs="Times New Roman"/>
          <w:bCs/>
          <w:szCs w:val="21"/>
        </w:rPr>
        <w:t>北京: 高等教育出版社，2</w:t>
      </w:r>
      <w:r>
        <w:rPr>
          <w:rFonts w:ascii="Times New Roman" w:hAnsi="Times New Roman" w:eastAsia="宋体" w:cs="Times New Roman"/>
          <w:bCs/>
          <w:szCs w:val="21"/>
        </w:rPr>
        <w:t>0</w:t>
      </w:r>
      <w:r>
        <w:rPr>
          <w:rFonts w:hint="eastAsia" w:ascii="Times New Roman" w:hAnsi="Times New Roman" w:eastAsia="宋体" w:cs="Times New Roman"/>
          <w:bCs/>
          <w:szCs w:val="21"/>
        </w:rPr>
        <w:t>20.</w:t>
      </w:r>
    </w:p>
    <w:p w14:paraId="6B16BC53">
      <w:pPr>
        <w:adjustRightInd w:val="0"/>
        <w:snapToGrid w:val="0"/>
        <w:spacing w:line="360" w:lineRule="auto"/>
        <w:ind w:firstLine="420" w:firstLineChars="200"/>
        <w:rPr>
          <w:rFonts w:ascii="Times New Roman" w:hAnsi="Times New Roman" w:eastAsia="宋体" w:cs="Times New Roman"/>
          <w:smallCaps/>
          <w:kern w:val="44"/>
          <w:szCs w:val="21"/>
        </w:rPr>
      </w:pPr>
      <w:r>
        <w:rPr>
          <w:rFonts w:hint="eastAsia" w:ascii="Times New Roman" w:hAnsi="Times New Roman" w:eastAsia="宋体" w:cs="Times New Roman"/>
          <w:smallCaps/>
          <w:kern w:val="44"/>
          <w:szCs w:val="21"/>
        </w:rPr>
        <w:t>2.马正平主编</w:t>
      </w:r>
      <w:r>
        <w:rPr>
          <w:rFonts w:hint="eastAsia" w:ascii="Times New Roman" w:hAnsi="Times New Roman" w:eastAsia="宋体" w:cs="Times New Roman"/>
          <w:bCs/>
          <w:szCs w:val="21"/>
        </w:rPr>
        <w:t>.</w:t>
      </w:r>
      <w:r>
        <w:rPr>
          <w:rFonts w:ascii="Times New Roman" w:hAnsi="Times New Roman" w:eastAsia="宋体" w:cs="Times New Roman"/>
          <w:bCs/>
          <w:szCs w:val="21"/>
        </w:rPr>
        <w:t xml:space="preserve"> </w:t>
      </w:r>
      <w:r>
        <w:rPr>
          <w:rFonts w:hint="eastAsia" w:ascii="Times New Roman" w:hAnsi="Times New Roman" w:eastAsia="宋体" w:cs="Times New Roman"/>
          <w:smallCaps/>
          <w:kern w:val="44"/>
          <w:szCs w:val="21"/>
        </w:rPr>
        <w:t xml:space="preserve">《高等写作学导论》, </w:t>
      </w:r>
      <w:r>
        <w:rPr>
          <w:rFonts w:hint="eastAsia" w:ascii="Times New Roman" w:hAnsi="Times New Roman" w:eastAsia="宋体" w:cs="Times New Roman"/>
          <w:bCs/>
          <w:szCs w:val="21"/>
        </w:rPr>
        <w:t xml:space="preserve">北京: </w:t>
      </w:r>
      <w:r>
        <w:rPr>
          <w:rFonts w:hint="eastAsia" w:ascii="Times New Roman" w:hAnsi="Times New Roman" w:eastAsia="宋体" w:cs="Times New Roman"/>
          <w:smallCaps/>
          <w:kern w:val="44"/>
          <w:szCs w:val="21"/>
        </w:rPr>
        <w:t>中国人民大学出版社，2002.</w:t>
      </w:r>
    </w:p>
    <w:p w14:paraId="6243A3A0">
      <w:pPr>
        <w:adjustRightInd w:val="0"/>
        <w:snapToGrid w:val="0"/>
        <w:spacing w:line="360" w:lineRule="auto"/>
        <w:ind w:firstLine="420" w:firstLineChars="200"/>
        <w:rPr>
          <w:rFonts w:ascii="Times New Roman" w:hAnsi="Times New Roman" w:eastAsia="宋体" w:cs="Times New Roman"/>
          <w:smallCaps/>
          <w:kern w:val="44"/>
          <w:szCs w:val="21"/>
        </w:rPr>
      </w:pPr>
      <w:r>
        <w:rPr>
          <w:rFonts w:hint="eastAsia" w:ascii="Times New Roman" w:hAnsi="Times New Roman" w:eastAsia="宋体" w:cs="Times New Roman"/>
          <w:smallCaps/>
          <w:kern w:val="44"/>
          <w:szCs w:val="21"/>
        </w:rPr>
        <w:t>3.马正平主编</w:t>
      </w:r>
      <w:r>
        <w:rPr>
          <w:rFonts w:hint="eastAsia" w:ascii="Times New Roman" w:hAnsi="Times New Roman" w:eastAsia="宋体" w:cs="Times New Roman"/>
          <w:bCs/>
          <w:szCs w:val="21"/>
        </w:rPr>
        <w:t>.</w:t>
      </w:r>
      <w:r>
        <w:rPr>
          <w:rFonts w:ascii="Times New Roman" w:hAnsi="Times New Roman" w:eastAsia="宋体" w:cs="Times New Roman"/>
          <w:bCs/>
          <w:szCs w:val="21"/>
        </w:rPr>
        <w:t xml:space="preserve"> </w:t>
      </w:r>
      <w:r>
        <w:rPr>
          <w:rFonts w:hint="eastAsia" w:ascii="Times New Roman" w:hAnsi="Times New Roman" w:eastAsia="宋体" w:cs="Times New Roman"/>
          <w:smallCaps/>
          <w:kern w:val="44"/>
          <w:szCs w:val="21"/>
        </w:rPr>
        <w:t xml:space="preserve">《高等写作思维训练教程》, </w:t>
      </w:r>
      <w:r>
        <w:rPr>
          <w:rFonts w:hint="eastAsia" w:ascii="Times New Roman" w:hAnsi="Times New Roman" w:eastAsia="宋体" w:cs="Times New Roman"/>
          <w:bCs/>
          <w:szCs w:val="21"/>
        </w:rPr>
        <w:t xml:space="preserve">北京: </w:t>
      </w:r>
      <w:r>
        <w:rPr>
          <w:rFonts w:hint="eastAsia" w:ascii="Times New Roman" w:hAnsi="Times New Roman" w:eastAsia="宋体" w:cs="Times New Roman"/>
          <w:smallCaps/>
          <w:kern w:val="44"/>
          <w:szCs w:val="21"/>
        </w:rPr>
        <w:t>中国人民大学出版社，2002.</w:t>
      </w:r>
    </w:p>
    <w:p w14:paraId="57E92B7B">
      <w:pPr>
        <w:adjustRightInd w:val="0"/>
        <w:snapToGrid w:val="0"/>
        <w:spacing w:line="360" w:lineRule="auto"/>
        <w:ind w:firstLine="420" w:firstLineChars="200"/>
        <w:rPr>
          <w:rFonts w:ascii="Times New Roman" w:hAnsi="Times New Roman" w:eastAsia="宋体" w:cs="Times New Roman"/>
          <w:smallCaps/>
          <w:kern w:val="44"/>
          <w:szCs w:val="21"/>
        </w:rPr>
      </w:pPr>
      <w:r>
        <w:rPr>
          <w:rFonts w:hint="eastAsia" w:ascii="Times New Roman" w:hAnsi="Times New Roman" w:eastAsia="宋体" w:cs="Times New Roman"/>
          <w:smallCaps/>
          <w:kern w:val="44"/>
          <w:szCs w:val="21"/>
        </w:rPr>
        <w:t>4.马正平主编</w:t>
      </w:r>
      <w:r>
        <w:rPr>
          <w:rFonts w:hint="eastAsia" w:ascii="Times New Roman" w:hAnsi="Times New Roman" w:eastAsia="宋体" w:cs="Times New Roman"/>
          <w:bCs/>
          <w:szCs w:val="21"/>
        </w:rPr>
        <w:t>.</w:t>
      </w:r>
      <w:r>
        <w:rPr>
          <w:rFonts w:ascii="Times New Roman" w:hAnsi="Times New Roman" w:eastAsia="宋体" w:cs="Times New Roman"/>
          <w:bCs/>
          <w:szCs w:val="21"/>
        </w:rPr>
        <w:t xml:space="preserve"> </w:t>
      </w:r>
      <w:r>
        <w:rPr>
          <w:rFonts w:hint="eastAsia" w:ascii="Times New Roman" w:hAnsi="Times New Roman" w:eastAsia="宋体" w:cs="Times New Roman"/>
          <w:smallCaps/>
          <w:kern w:val="44"/>
          <w:szCs w:val="21"/>
        </w:rPr>
        <w:t xml:space="preserve">《高等文体写作训练教程》, </w:t>
      </w:r>
      <w:r>
        <w:rPr>
          <w:rFonts w:hint="eastAsia" w:ascii="Times New Roman" w:hAnsi="Times New Roman" w:eastAsia="宋体" w:cs="Times New Roman"/>
          <w:bCs/>
          <w:szCs w:val="21"/>
        </w:rPr>
        <w:t xml:space="preserve">北京: </w:t>
      </w:r>
      <w:r>
        <w:rPr>
          <w:rFonts w:hint="eastAsia" w:ascii="Times New Roman" w:hAnsi="Times New Roman" w:eastAsia="宋体" w:cs="Times New Roman"/>
          <w:smallCaps/>
          <w:kern w:val="44"/>
          <w:szCs w:val="21"/>
        </w:rPr>
        <w:t>中国人民大学出版社，2002.</w:t>
      </w:r>
    </w:p>
    <w:p w14:paraId="2735FF47">
      <w:pPr>
        <w:adjustRightInd w:val="0"/>
        <w:snapToGrid w:val="0"/>
        <w:spacing w:line="360" w:lineRule="auto"/>
        <w:ind w:firstLine="420" w:firstLineChars="200"/>
        <w:rPr>
          <w:rFonts w:ascii="Times New Roman" w:hAnsi="Times New Roman" w:eastAsia="宋体" w:cs="Times New Roman"/>
          <w:smallCaps/>
          <w:kern w:val="44"/>
          <w:szCs w:val="21"/>
        </w:rPr>
      </w:pPr>
      <w:r>
        <w:rPr>
          <w:rFonts w:hint="eastAsia" w:ascii="Times New Roman" w:hAnsi="Times New Roman" w:eastAsia="宋体" w:cs="Times New Roman"/>
          <w:smallCaps/>
          <w:kern w:val="44"/>
          <w:szCs w:val="21"/>
        </w:rPr>
        <w:t>5.董小玉主编</w:t>
      </w:r>
      <w:r>
        <w:rPr>
          <w:rFonts w:hint="eastAsia" w:ascii="Times New Roman" w:hAnsi="Times New Roman" w:eastAsia="宋体" w:cs="Times New Roman"/>
          <w:bCs/>
          <w:szCs w:val="21"/>
        </w:rPr>
        <w:t>.</w:t>
      </w:r>
      <w:r>
        <w:rPr>
          <w:rFonts w:ascii="Times New Roman" w:hAnsi="Times New Roman" w:eastAsia="宋体" w:cs="Times New Roman"/>
          <w:bCs/>
          <w:szCs w:val="21"/>
        </w:rPr>
        <w:t xml:space="preserve"> </w:t>
      </w:r>
      <w:r>
        <w:rPr>
          <w:rFonts w:hint="eastAsia" w:ascii="Times New Roman" w:hAnsi="Times New Roman" w:eastAsia="宋体" w:cs="Times New Roman"/>
          <w:smallCaps/>
          <w:kern w:val="44"/>
          <w:szCs w:val="21"/>
        </w:rPr>
        <w:t xml:space="preserve">《现代写作教程》, </w:t>
      </w:r>
      <w:r>
        <w:rPr>
          <w:rFonts w:hint="eastAsia" w:ascii="Times New Roman" w:hAnsi="Times New Roman" w:eastAsia="宋体" w:cs="Times New Roman"/>
          <w:bCs/>
          <w:szCs w:val="21"/>
        </w:rPr>
        <w:t xml:space="preserve">北京: </w:t>
      </w:r>
      <w:r>
        <w:rPr>
          <w:rFonts w:hint="eastAsia" w:ascii="Times New Roman" w:hAnsi="Times New Roman" w:eastAsia="宋体" w:cs="Times New Roman"/>
          <w:smallCaps/>
          <w:kern w:val="44"/>
          <w:szCs w:val="21"/>
        </w:rPr>
        <w:t>高等教育出版社, 2002.</w:t>
      </w:r>
    </w:p>
    <w:p w14:paraId="5D8F085B">
      <w:pPr>
        <w:adjustRightInd w:val="0"/>
        <w:snapToGrid w:val="0"/>
        <w:spacing w:line="360" w:lineRule="auto"/>
        <w:ind w:firstLine="420" w:firstLineChars="200"/>
        <w:rPr>
          <w:rFonts w:ascii="Times New Roman" w:hAnsi="Times New Roman" w:eastAsia="宋体" w:cs="Times New Roman"/>
          <w:smallCaps/>
          <w:kern w:val="44"/>
          <w:szCs w:val="21"/>
        </w:rPr>
      </w:pPr>
      <w:r>
        <w:rPr>
          <w:rFonts w:hint="eastAsia" w:ascii="Times New Roman" w:hAnsi="Times New Roman" w:eastAsia="宋体" w:cs="Times New Roman"/>
          <w:smallCaps/>
          <w:kern w:val="44"/>
          <w:szCs w:val="21"/>
        </w:rPr>
        <w:t xml:space="preserve">6.叶圣陶, 夏丏尊. 《文心：写作的诀窍与练习》,  </w:t>
      </w:r>
      <w:r>
        <w:rPr>
          <w:rFonts w:hint="eastAsia" w:ascii="Times New Roman" w:hAnsi="Times New Roman" w:eastAsia="宋体" w:cs="Times New Roman"/>
          <w:bCs/>
          <w:szCs w:val="21"/>
        </w:rPr>
        <w:t xml:space="preserve">北京: </w:t>
      </w:r>
      <w:r>
        <w:rPr>
          <w:rFonts w:hint="eastAsia" w:ascii="Times New Roman" w:hAnsi="Times New Roman" w:eastAsia="宋体" w:cs="Times New Roman"/>
          <w:smallCaps/>
          <w:kern w:val="44"/>
          <w:szCs w:val="21"/>
        </w:rPr>
        <w:t>生活·读书·新知三联书店, 2019.</w:t>
      </w:r>
    </w:p>
    <w:p w14:paraId="5340626D">
      <w:pPr>
        <w:adjustRightInd w:val="0"/>
        <w:snapToGrid w:val="0"/>
        <w:spacing w:line="360" w:lineRule="auto"/>
        <w:ind w:firstLine="420" w:firstLineChars="200"/>
        <w:rPr>
          <w:rFonts w:ascii="Times New Roman" w:hAnsi="Times New Roman" w:eastAsia="宋体" w:cs="Times New Roman"/>
          <w:smallCaps/>
          <w:kern w:val="44"/>
          <w:szCs w:val="21"/>
        </w:rPr>
      </w:pPr>
      <w:r>
        <w:rPr>
          <w:rFonts w:hint="eastAsia" w:ascii="Times New Roman" w:hAnsi="Times New Roman" w:eastAsia="宋体" w:cs="Times New Roman"/>
          <w:smallCaps/>
          <w:kern w:val="44"/>
          <w:szCs w:val="21"/>
        </w:rPr>
        <w:t xml:space="preserve">7.汪曾祺. 《汪曾祺谈写作：小说创作十二讲》, </w:t>
      </w:r>
      <w:r>
        <w:rPr>
          <w:rFonts w:hint="eastAsia" w:ascii="Times New Roman" w:hAnsi="Times New Roman" w:eastAsia="宋体" w:cs="Times New Roman"/>
          <w:bCs/>
          <w:szCs w:val="21"/>
        </w:rPr>
        <w:t xml:space="preserve">北京: </w:t>
      </w:r>
      <w:r>
        <w:rPr>
          <w:rFonts w:hint="eastAsia" w:ascii="Times New Roman" w:hAnsi="Times New Roman" w:eastAsia="宋体" w:cs="Times New Roman"/>
          <w:smallCaps/>
          <w:kern w:val="44"/>
          <w:szCs w:val="21"/>
        </w:rPr>
        <w:t>作家出版社, 2021.</w:t>
      </w:r>
    </w:p>
    <w:p w14:paraId="680CC17E">
      <w:pPr>
        <w:spacing w:line="360" w:lineRule="auto"/>
        <w:ind w:right="1920"/>
        <w:jc w:val="left"/>
        <w:rPr>
          <w:rFonts w:ascii="Times New Roman" w:hAnsi="Times New Roman" w:eastAsia="宋体" w:cs="Times New Roman"/>
          <w:sz w:val="24"/>
        </w:rPr>
      </w:pPr>
    </w:p>
    <w:p w14:paraId="4C67ED11">
      <w:pPr>
        <w:spacing w:line="360" w:lineRule="auto"/>
        <w:jc w:val="right"/>
        <w:rPr>
          <w:rFonts w:hint="eastAsia" w:ascii="宋体" w:hAnsi="宋体" w:eastAsia="宋体" w:cs="Times New Roman"/>
          <w:sz w:val="24"/>
        </w:rPr>
      </w:pPr>
      <w:r>
        <w:rPr>
          <w:rFonts w:hint="eastAsia" w:ascii="宋体" w:hAnsi="宋体" w:eastAsia="宋体" w:cs="Times New Roman"/>
          <w:sz w:val="24"/>
        </w:rPr>
        <w:t>执笔人：</w:t>
      </w:r>
      <w:r>
        <w:rPr>
          <w:rFonts w:hint="eastAsia" w:ascii="Times New Roman" w:hAnsi="Times New Roman" w:eastAsia="宋体" w:cs="Times New Roman"/>
          <w:sz w:val="24"/>
        </w:rPr>
        <w:t>李  玲</w:t>
      </w:r>
    </w:p>
    <w:p w14:paraId="49FE8D67">
      <w:pPr>
        <w:wordWrap w:val="0"/>
        <w:spacing w:line="360" w:lineRule="auto"/>
        <w:jc w:val="right"/>
        <w:rPr>
          <w:rFonts w:hint="eastAsia" w:ascii="宋体" w:hAnsi="宋体" w:eastAsia="宋体" w:cs="Times New Roman"/>
          <w:sz w:val="24"/>
        </w:rPr>
      </w:pPr>
      <w:r>
        <w:rPr>
          <w:rFonts w:hint="eastAsia" w:ascii="宋体" w:hAnsi="宋体" w:eastAsia="宋体" w:cs="Times New Roman"/>
          <w:sz w:val="24"/>
        </w:rPr>
        <w:t xml:space="preserve">                                           审核人：王  健</w:t>
      </w:r>
    </w:p>
    <w:p w14:paraId="4583754B">
      <w:pPr>
        <w:spacing w:line="360" w:lineRule="auto"/>
        <w:jc w:val="right"/>
        <w:rPr>
          <w:rFonts w:hint="eastAsia" w:ascii="宋体" w:hAnsi="宋体" w:eastAsia="宋体" w:cs="Times New Roman"/>
          <w:sz w:val="24"/>
        </w:rPr>
      </w:pPr>
      <w:r>
        <w:rPr>
          <w:rFonts w:hint="eastAsia" w:ascii="宋体" w:hAnsi="宋体" w:eastAsia="宋体" w:cs="Times New Roman"/>
          <w:sz w:val="24"/>
        </w:rPr>
        <w:t xml:space="preserve">                                              批准人：张志欣</w:t>
      </w:r>
    </w:p>
    <w:p w14:paraId="5F37A605">
      <w:pPr>
        <w:spacing w:line="360" w:lineRule="auto"/>
        <w:jc w:val="right"/>
        <w:rPr>
          <w:rFonts w:hint="eastAsia" w:ascii="宋体" w:hAnsi="宋体" w:eastAsia="宋体" w:cs="Times New Roman"/>
          <w:sz w:val="24"/>
        </w:rPr>
      </w:pPr>
      <w:r>
        <w:rPr>
          <w:rFonts w:hint="eastAsia" w:ascii="宋体" w:hAnsi="宋体" w:eastAsia="宋体" w:cs="Times New Roman"/>
          <w:sz w:val="24"/>
        </w:rPr>
        <w:t>批准时间：2025年7月1日</w:t>
      </w:r>
    </w:p>
    <w:p w14:paraId="74E8FD9B">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295623D0">
      <w:pPr>
        <w:spacing w:line="360" w:lineRule="auto"/>
        <w:jc w:val="center"/>
        <w:outlineLvl w:val="0"/>
        <w:rPr>
          <w:rFonts w:ascii="Times New Roman" w:hAnsi="Times New Roman" w:eastAsia="宋体" w:cs="Times New Roman"/>
          <w:b/>
          <w:sz w:val="44"/>
          <w:szCs w:val="44"/>
        </w:rPr>
      </w:pPr>
      <w:bookmarkStart w:id="1282" w:name="_Toc19730872"/>
      <w:bookmarkStart w:id="1283" w:name="_Toc57017193"/>
      <w:bookmarkStart w:id="1284" w:name="_Toc24418"/>
      <w:bookmarkStart w:id="1285" w:name="_Toc19729669"/>
      <w:bookmarkStart w:id="1286" w:name="_Toc4755"/>
      <w:bookmarkStart w:id="1287" w:name="_Toc15985"/>
      <w:bookmarkStart w:id="1288" w:name="_Toc19957"/>
      <w:r>
        <w:rPr>
          <w:rFonts w:hint="eastAsia" w:ascii="Times New Roman" w:hAnsi="Times New Roman" w:eastAsia="宋体" w:cs="Times New Roman"/>
          <w:b/>
          <w:sz w:val="40"/>
          <w:szCs w:val="40"/>
        </w:rPr>
        <w:t>《小学语文课程标准与教材分析》课程教学大纲</w:t>
      </w:r>
      <w:bookmarkEnd w:id="1282"/>
      <w:bookmarkEnd w:id="1283"/>
      <w:bookmarkEnd w:id="1284"/>
      <w:bookmarkEnd w:id="1285"/>
      <w:bookmarkEnd w:id="1286"/>
      <w:bookmarkEnd w:id="1287"/>
      <w:bookmarkEnd w:id="1288"/>
    </w:p>
    <w:p w14:paraId="68A8A9D1">
      <w:pPr>
        <w:spacing w:line="360" w:lineRule="auto"/>
        <w:jc w:val="center"/>
        <w:rPr>
          <w:rFonts w:ascii="Times New Roman" w:hAnsi="Times New Roman" w:eastAsia="宋体" w:cs="Times New Roman"/>
          <w:b/>
          <w:bCs/>
          <w:sz w:val="28"/>
          <w:szCs w:val="28"/>
        </w:rPr>
      </w:pPr>
      <w:bookmarkStart w:id="1289" w:name="_Toc21840"/>
      <w:bookmarkStart w:id="1290" w:name="_Toc8617"/>
      <w:bookmarkStart w:id="1291" w:name="_Toc11066"/>
      <w:bookmarkStart w:id="1292" w:name="_Toc32525"/>
      <w:bookmarkStart w:id="1293" w:name="_Toc8855"/>
      <w:bookmarkStart w:id="1294" w:name="_Toc20679"/>
      <w:bookmarkStart w:id="1295" w:name="_Toc10764"/>
      <w:r>
        <w:rPr>
          <w:rFonts w:hint="eastAsia" w:ascii="Times New Roman" w:hAnsi="Times New Roman" w:eastAsia="宋体" w:cs="Times New Roman"/>
          <w:b/>
          <w:bCs/>
          <w:sz w:val="28"/>
          <w:szCs w:val="28"/>
        </w:rPr>
        <w:t>（Analysis on Chinese Curriculum Standard and Textbook in Primary School）</w:t>
      </w:r>
      <w:bookmarkEnd w:id="1289"/>
      <w:bookmarkEnd w:id="1290"/>
      <w:bookmarkEnd w:id="1291"/>
      <w:bookmarkEnd w:id="1292"/>
      <w:bookmarkEnd w:id="1293"/>
      <w:bookmarkEnd w:id="1294"/>
      <w:bookmarkEnd w:id="1295"/>
    </w:p>
    <w:p w14:paraId="2987AD2A">
      <w:pPr>
        <w:spacing w:line="360" w:lineRule="auto"/>
        <w:ind w:firstLine="422" w:firstLineChars="200"/>
        <w:jc w:val="left"/>
        <w:rPr>
          <w:rFonts w:ascii="Times New Roman" w:hAnsi="Times New Roman" w:eastAsia="宋体" w:cs="Times New Roman"/>
          <w:b/>
          <w:szCs w:val="21"/>
        </w:rPr>
      </w:pPr>
    </w:p>
    <w:p w14:paraId="550AEFDC">
      <w:pPr>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课程名称：</w:t>
      </w:r>
      <w:r>
        <w:rPr>
          <w:rFonts w:hint="eastAsia" w:ascii="宋体" w:hAnsi="宋体" w:eastAsia="宋体" w:cs="宋体"/>
          <w:b/>
          <w:kern w:val="0"/>
          <w:sz w:val="24"/>
          <w:szCs w:val="22"/>
        </w:rPr>
        <w:t>小学语文课程标准与教材分析</w:t>
      </w:r>
    </w:p>
    <w:p w14:paraId="1FA0AF54">
      <w:pPr>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课程代码：</w:t>
      </w:r>
      <w:r>
        <w:rPr>
          <w:rFonts w:hint="eastAsia" w:ascii="宋体" w:hAnsi="宋体" w:eastAsia="宋体" w:cs="宋体"/>
          <w:b/>
          <w:kern w:val="0"/>
          <w:sz w:val="24"/>
          <w:szCs w:val="22"/>
        </w:rPr>
        <w:t>2401028</w:t>
      </w:r>
    </w:p>
    <w:p w14:paraId="7272EC46">
      <w:pPr>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学    分：</w:t>
      </w:r>
      <w:r>
        <w:rPr>
          <w:rFonts w:hint="eastAsia" w:ascii="宋体" w:hAnsi="宋体" w:eastAsia="宋体" w:cs="宋体"/>
          <w:b/>
          <w:kern w:val="0"/>
          <w:sz w:val="24"/>
          <w:szCs w:val="22"/>
        </w:rPr>
        <w:t>2</w:t>
      </w:r>
    </w:p>
    <w:p w14:paraId="3DDF3390">
      <w:pPr>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学    时：</w:t>
      </w:r>
      <w:r>
        <w:rPr>
          <w:rFonts w:hint="eastAsia" w:ascii="宋体" w:hAnsi="宋体" w:eastAsia="宋体" w:cs="宋体"/>
          <w:b/>
          <w:kern w:val="0"/>
          <w:sz w:val="24"/>
        </w:rPr>
        <w:t>32 （其中：讲授学时24， 实践学时8）</w:t>
      </w:r>
    </w:p>
    <w:p w14:paraId="36C9F826">
      <w:pPr>
        <w:spacing w:line="360" w:lineRule="auto"/>
        <w:ind w:firstLine="482" w:firstLineChars="200"/>
        <w:jc w:val="left"/>
        <w:rPr>
          <w:rFonts w:hint="eastAsia" w:ascii="宋体" w:hAnsi="宋体" w:eastAsia="宋体" w:cs="宋体"/>
          <w:b/>
          <w:sz w:val="24"/>
        </w:rPr>
      </w:pPr>
      <w:r>
        <w:rPr>
          <w:rFonts w:hint="eastAsia" w:ascii="宋体" w:hAnsi="宋体" w:eastAsia="宋体" w:cs="宋体"/>
          <w:b/>
          <w:sz w:val="24"/>
        </w:rPr>
        <w:t>先修课程：</w:t>
      </w:r>
      <w:r>
        <w:rPr>
          <w:rFonts w:hint="eastAsia" w:ascii="宋体" w:hAnsi="宋体" w:eastAsia="宋体" w:cs="宋体"/>
          <w:b/>
          <w:kern w:val="0"/>
          <w:sz w:val="24"/>
          <w:szCs w:val="21"/>
        </w:rPr>
        <w:t>教育原理、中国教育史、外国教育史、课程与教学论、教育心理学、现代教育技术、古代汉语、现代汉语、文学概论、中国古代文学、中国现当代文学、儿童文学</w:t>
      </w:r>
    </w:p>
    <w:p w14:paraId="7D41A5AA">
      <w:pPr>
        <w:spacing w:line="360" w:lineRule="auto"/>
        <w:ind w:firstLine="482" w:firstLineChars="200"/>
        <w:jc w:val="left"/>
        <w:rPr>
          <w:rFonts w:hint="eastAsia" w:ascii="宋体" w:hAnsi="宋体" w:eastAsia="宋体" w:cs="宋体"/>
          <w:sz w:val="24"/>
        </w:rPr>
      </w:pPr>
      <w:r>
        <w:rPr>
          <w:rFonts w:hint="eastAsia" w:ascii="宋体" w:hAnsi="宋体" w:eastAsia="宋体" w:cs="宋体"/>
          <w:b/>
          <w:sz w:val="24"/>
        </w:rPr>
        <w:t>适用专业：小学教育（文）</w:t>
      </w:r>
    </w:p>
    <w:p w14:paraId="5A7D5F1F">
      <w:pPr>
        <w:spacing w:before="62" w:beforeLines="20" w:after="62" w:afterLines="20" w:line="360" w:lineRule="auto"/>
        <w:jc w:val="left"/>
        <w:rPr>
          <w:rFonts w:ascii="Times New Roman" w:hAnsi="Times New Roman" w:eastAsia="宋体" w:cs="Times New Roman"/>
          <w:b/>
          <w:sz w:val="24"/>
        </w:rPr>
      </w:pPr>
      <w:bookmarkStart w:id="1296" w:name="_Toc16106"/>
      <w:bookmarkStart w:id="1297" w:name="_Toc6246"/>
      <w:bookmarkStart w:id="1298" w:name="_Toc10508"/>
      <w:bookmarkStart w:id="1299" w:name="_Toc30333"/>
      <w:bookmarkStart w:id="1300" w:name="_Toc11104"/>
      <w:bookmarkStart w:id="1301" w:name="_Toc4021"/>
      <w:bookmarkStart w:id="1302" w:name="_Toc5447"/>
      <w:r>
        <w:rPr>
          <w:rFonts w:hint="eastAsia" w:ascii="Times New Roman" w:hAnsi="Times New Roman" w:eastAsia="宋体" w:cs="Times New Roman"/>
          <w:b/>
          <w:sz w:val="24"/>
        </w:rPr>
        <w:t>一、课程简介</w:t>
      </w:r>
      <w:bookmarkEnd w:id="1296"/>
      <w:bookmarkEnd w:id="1297"/>
      <w:bookmarkEnd w:id="1298"/>
      <w:bookmarkEnd w:id="1299"/>
      <w:bookmarkEnd w:id="1300"/>
      <w:bookmarkEnd w:id="1301"/>
      <w:bookmarkEnd w:id="1302"/>
    </w:p>
    <w:p w14:paraId="16B7058D">
      <w:pPr>
        <w:autoSpaceDE w:val="0"/>
        <w:autoSpaceDN w:val="0"/>
        <w:adjustRightInd w:val="0"/>
        <w:spacing w:line="360" w:lineRule="auto"/>
        <w:ind w:firstLine="420" w:firstLineChars="200"/>
        <w:jc w:val="left"/>
        <w:rPr>
          <w:rFonts w:hint="eastAsia" w:ascii="宋体" w:hAnsi="宋体" w:eastAsia="宋体" w:cs="宋体"/>
          <w:kern w:val="0"/>
          <w:szCs w:val="20"/>
        </w:rPr>
      </w:pPr>
      <w:r>
        <w:rPr>
          <w:rFonts w:hint="eastAsia" w:ascii="宋体" w:hAnsi="宋体" w:eastAsia="宋体" w:cs="宋体"/>
          <w:kern w:val="0"/>
          <w:szCs w:val="20"/>
        </w:rPr>
        <w:t>本课程作为小学教育专业的核心必修课程，旨在培养学生解读小学语文课程标准的能力，并能深入分析小学语文教材。学生将学会如何依据小学语文课程标准的要求，结合教材的内在结构和关键要素，进行理论阐述和案例分析。通过这些学习活动，学生将为未来的语文教学设计、实施、模拟教学以及教育实习等环节打下坚实的基础。</w:t>
      </w:r>
    </w:p>
    <w:p w14:paraId="065CAB2C">
      <w:pPr>
        <w:spacing w:before="62" w:beforeLines="20" w:after="62" w:afterLines="20" w:line="360" w:lineRule="auto"/>
        <w:jc w:val="left"/>
        <w:rPr>
          <w:rFonts w:ascii="Times New Roman" w:hAnsi="Times New Roman" w:eastAsia="宋体" w:cs="Times New Roman"/>
          <w:b/>
          <w:sz w:val="24"/>
        </w:rPr>
      </w:pPr>
      <w:bookmarkStart w:id="1303" w:name="_Toc18042"/>
      <w:bookmarkStart w:id="1304" w:name="_Toc5548"/>
      <w:bookmarkStart w:id="1305" w:name="_Toc29328"/>
      <w:bookmarkStart w:id="1306" w:name="_Toc22709"/>
      <w:bookmarkStart w:id="1307" w:name="_Toc31515"/>
      <w:bookmarkStart w:id="1308" w:name="_Toc5056"/>
      <w:bookmarkStart w:id="1309" w:name="_Toc22098"/>
      <w:bookmarkStart w:id="1310" w:name="_Toc19729671"/>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1303"/>
      <w:bookmarkEnd w:id="1304"/>
      <w:bookmarkEnd w:id="1305"/>
      <w:bookmarkEnd w:id="1306"/>
      <w:bookmarkEnd w:id="1307"/>
      <w:bookmarkEnd w:id="1308"/>
      <w:bookmarkEnd w:id="1309"/>
    </w:p>
    <w:p w14:paraId="2C1F6C43">
      <w:pPr>
        <w:spacing w:line="360" w:lineRule="auto"/>
        <w:ind w:firstLine="422" w:firstLineChars="200"/>
        <w:outlineLvl w:val="1"/>
        <w:rPr>
          <w:rFonts w:hint="eastAsia" w:asciiTheme="minorEastAsia" w:hAnsiTheme="minorEastAsia" w:cstheme="minorEastAsia"/>
          <w:b/>
          <w:szCs w:val="22"/>
        </w:rPr>
      </w:pPr>
      <w:bookmarkStart w:id="1311" w:name="_Toc26784"/>
      <w:r>
        <w:rPr>
          <w:rFonts w:hint="eastAsia" w:asciiTheme="minorEastAsia" w:hAnsiTheme="minorEastAsia" w:cstheme="minorEastAsia"/>
          <w:b/>
          <w:szCs w:val="22"/>
        </w:rPr>
        <w:t>（一）课程具体目标</w:t>
      </w:r>
      <w:bookmarkEnd w:id="1311"/>
    </w:p>
    <w:p w14:paraId="4C88FF6F">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目标1.确定小学语文课程标准的核心特征与结构体系，阐释语文课程的核心理念，并掌握分析小学语文课程总体目标与各阶段目标的方法。明确小学语文课程标准与教材研究之间的联系，自觉地以课程标准为指导进行小学语文教材的研究工作，确立正确的课程观、教材观、学生观和教学观。</w:t>
      </w:r>
    </w:p>
    <w:p w14:paraId="3EBC2EE6">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目标2.深入理解小学语文教材的功能与价值，掌握我国小学语文教材的发展历程及其各个阶段的主要特征；熟悉现行统编小学语文教材的核心特点和教学内容体系结构，探索教材研究的基础理论和普遍规律。</w:t>
      </w:r>
    </w:p>
    <w:p w14:paraId="546004C5">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目标3.掌握识字与写字、阅读、写话与习作、口语交际、跨学科学习五大领域的教学总目标和分学段目标，深入分析各学段目标的重点及其相互关联；详细阐释统编版教材在识字与写字教学、阅读教学、写话与习作教学、口语交际教学、跨学科学习五大内容板块的编排特色和教学建议，初步掌握五大领域教材教学解读的策略和方法，提升研究教材的能力。</w:t>
      </w:r>
    </w:p>
    <w:p w14:paraId="02A3E3E5">
      <w:pPr>
        <w:spacing w:line="360" w:lineRule="auto"/>
        <w:ind w:firstLine="422" w:firstLineChars="200"/>
        <w:jc w:val="left"/>
        <w:outlineLvl w:val="1"/>
        <w:rPr>
          <w:rFonts w:ascii="Times New Roman" w:hAnsi="Times New Roman" w:eastAsia="宋体" w:cs="Times New Roman"/>
          <w:b/>
          <w:bCs/>
          <w:szCs w:val="21"/>
        </w:rPr>
      </w:pPr>
      <w:bookmarkStart w:id="1312" w:name="_Toc23351"/>
      <w:r>
        <w:rPr>
          <w:rFonts w:hint="eastAsia" w:ascii="宋体" w:hAnsi="宋体" w:eastAsia="宋体" w:cs="Times New Roman"/>
          <w:b/>
          <w:szCs w:val="21"/>
        </w:rPr>
        <w:t>（二）课程目标及其对毕业要求指标点的支撑</w:t>
      </w:r>
      <w:bookmarkEnd w:id="1312"/>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6352"/>
        <w:gridCol w:w="1191"/>
      </w:tblGrid>
      <w:tr w14:paraId="48CE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646A720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352" w:type="dxa"/>
            <w:vAlign w:val="center"/>
          </w:tcPr>
          <w:p w14:paraId="62A4517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4D6A03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3732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2D498823">
            <w:pPr>
              <w:spacing w:line="276" w:lineRule="auto"/>
              <w:jc w:val="center"/>
              <w:rPr>
                <w:rFonts w:hint="eastAsia" w:asciiTheme="minorEastAsia" w:hAnsiTheme="minorEastAsia" w:cstheme="minorEastAsia"/>
                <w:kern w:val="0"/>
                <w:sz w:val="20"/>
                <w:szCs w:val="20"/>
              </w:rPr>
            </w:pPr>
            <w:r>
              <w:rPr>
                <w:rFonts w:hint="eastAsia" w:asciiTheme="minorEastAsia" w:hAnsiTheme="minorEastAsia" w:cstheme="minorEastAsia"/>
                <w:kern w:val="0"/>
                <w:sz w:val="20"/>
                <w:szCs w:val="20"/>
              </w:rPr>
              <w:t>毕业要求4.</w:t>
            </w:r>
          </w:p>
          <w:p w14:paraId="78F87DA1">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kern w:val="0"/>
                <w:sz w:val="20"/>
                <w:szCs w:val="20"/>
              </w:rPr>
              <w:t>教学能力</w:t>
            </w:r>
          </w:p>
        </w:tc>
        <w:tc>
          <w:tcPr>
            <w:tcW w:w="6352" w:type="dxa"/>
            <w:vAlign w:val="center"/>
          </w:tcPr>
          <w:p w14:paraId="6FF87E4D">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kern w:val="0"/>
                <w:sz w:val="20"/>
                <w:szCs w:val="20"/>
              </w:rPr>
              <w:t>指标点4-1</w:t>
            </w:r>
            <w:r>
              <w:rPr>
                <w:rFonts w:hint="eastAsia" w:asciiTheme="minorEastAsia" w:hAnsiTheme="minorEastAsia" w:cstheme="minorEastAsia"/>
                <w:kern w:val="0"/>
                <w:sz w:val="20"/>
                <w:szCs w:val="20"/>
              </w:rPr>
              <w:t>：</w:t>
            </w:r>
            <w:r>
              <w:rPr>
                <w:rFonts w:hint="eastAsia" w:asciiTheme="minorEastAsia" w:hAnsiTheme="minorEastAsia" w:cstheme="minorEastAsia"/>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p w14:paraId="2B1230B5">
            <w:pPr>
              <w:spacing w:line="276" w:lineRule="auto"/>
              <w:jc w:val="left"/>
              <w:rPr>
                <w:sz w:val="20"/>
                <w:szCs w:val="20"/>
              </w:rPr>
            </w:pPr>
            <w:r>
              <w:rPr>
                <w:rFonts w:hint="eastAsia" w:ascii="宋体" w:hAnsi="宋体" w:cs="宋体"/>
                <w:b/>
                <w:sz w:val="20"/>
                <w:szCs w:val="20"/>
              </w:rPr>
              <w:t>指标点4-2</w:t>
            </w:r>
            <w:r>
              <w:rPr>
                <w:rFonts w:hint="eastAsia" w:ascii="宋体" w:hAnsi="宋体" w:cs="宋体"/>
                <w:sz w:val="20"/>
                <w:szCs w:val="20"/>
              </w:rPr>
              <w:t>：</w:t>
            </w:r>
            <w:r>
              <w:rPr>
                <w:rFonts w:hint="eastAsia"/>
                <w:sz w:val="20"/>
                <w:szCs w:val="20"/>
              </w:rPr>
              <w:t>【教学设计恰当】</w:t>
            </w:r>
            <w:r>
              <w:rPr>
                <w:rFonts w:hint="eastAsia" w:ascii="宋体" w:hAnsi="宋体" w:cs="宋体"/>
                <w:sz w:val="20"/>
                <w:szCs w:val="20"/>
              </w:rPr>
              <w:t>能针对小学生已有的知识水平、学习经验和兴趣特点，依据课标确定恰当的学习目标和学习重点，设计学习活动。</w:t>
            </w:r>
            <w:r>
              <w:rPr>
                <w:rFonts w:hint="eastAsia"/>
                <w:sz w:val="20"/>
                <w:szCs w:val="20"/>
              </w:rPr>
              <w:t>能依据单元内容进行整体设计，科学合理地依据教学目标及内容设计作业。</w:t>
            </w:r>
          </w:p>
          <w:p w14:paraId="73E35669">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sz w:val="20"/>
                <w:szCs w:val="20"/>
              </w:rPr>
              <w:t>指标点4-3</w:t>
            </w:r>
            <w:r>
              <w:rPr>
                <w:rFonts w:hint="eastAsia" w:asciiTheme="minorEastAsia" w:hAnsiTheme="minorEastAsia" w:cstheme="minorEastAsia"/>
                <w:sz w:val="20"/>
                <w:szCs w:val="20"/>
              </w:rPr>
              <w:t>：【教学实施与评价科学】掌握小学教师基本功技能，包括书写技能、沟通与表达技能、信息技术运用技能等。获得全面的小学教学体验，掌握学科教学的基本方法与策略，能独立进行教学实施和评价。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7376DEFF">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课程目标1</w:t>
            </w:r>
          </w:p>
          <w:p w14:paraId="3255C95C">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课程目标2</w:t>
            </w:r>
          </w:p>
          <w:p w14:paraId="201A977B">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课程目标3</w:t>
            </w:r>
          </w:p>
        </w:tc>
      </w:tr>
      <w:tr w14:paraId="67C9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145C78F9">
            <w:pPr>
              <w:spacing w:line="276" w:lineRule="auto"/>
              <w:jc w:val="center"/>
              <w:rPr>
                <w:rFonts w:hint="eastAsia" w:asciiTheme="minorEastAsia" w:hAnsiTheme="minorEastAsia" w:cstheme="minorEastAsia"/>
                <w:kern w:val="0"/>
                <w:sz w:val="20"/>
                <w:szCs w:val="20"/>
              </w:rPr>
            </w:pPr>
            <w:r>
              <w:rPr>
                <w:rFonts w:hint="eastAsia" w:asciiTheme="minorEastAsia" w:hAnsiTheme="minorEastAsia" w:cstheme="minorEastAsia"/>
                <w:kern w:val="0"/>
                <w:sz w:val="20"/>
                <w:szCs w:val="20"/>
              </w:rPr>
              <w:t>毕业要求6.</w:t>
            </w:r>
          </w:p>
          <w:p w14:paraId="3A99AF7D">
            <w:pPr>
              <w:spacing w:line="276" w:lineRule="auto"/>
              <w:jc w:val="center"/>
              <w:rPr>
                <w:rFonts w:hint="eastAsia" w:asciiTheme="minorEastAsia" w:hAnsiTheme="minorEastAsia" w:cstheme="minorEastAsia"/>
                <w:sz w:val="20"/>
                <w:szCs w:val="20"/>
              </w:rPr>
            </w:pPr>
            <w:r>
              <w:rPr>
                <w:rFonts w:hint="eastAsia" w:asciiTheme="minorEastAsia" w:hAnsiTheme="minorEastAsia" w:cstheme="minorEastAsia"/>
                <w:kern w:val="0"/>
                <w:sz w:val="20"/>
                <w:szCs w:val="20"/>
              </w:rPr>
              <w:t>综合育人</w:t>
            </w:r>
          </w:p>
        </w:tc>
        <w:tc>
          <w:tcPr>
            <w:tcW w:w="6352" w:type="dxa"/>
            <w:vAlign w:val="center"/>
          </w:tcPr>
          <w:p w14:paraId="34EE2FBE">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kern w:val="0"/>
                <w:sz w:val="20"/>
                <w:szCs w:val="20"/>
              </w:rPr>
              <w:t>指标点6-2</w:t>
            </w:r>
            <w:r>
              <w:rPr>
                <w:rFonts w:hint="eastAsia" w:asciiTheme="minorEastAsia" w:hAnsiTheme="minorEastAsia" w:cstheme="minorEastAsia"/>
                <w:sz w:val="20"/>
                <w:szCs w:val="20"/>
              </w:rPr>
              <w:t>：【胜任学科育人】具有教书育人的意识，理解学科核心素养和拟任教学科课程独特的育人功能，在教育教学实践中，能够</w:t>
            </w:r>
            <w:r>
              <w:rPr>
                <w:rFonts w:hint="eastAsia" w:asciiTheme="minorEastAsia" w:hAnsiTheme="minorEastAsia" w:cstheme="minorEastAsia"/>
                <w:bCs/>
                <w:kern w:val="0"/>
                <w:sz w:val="20"/>
                <w:szCs w:val="20"/>
              </w:rPr>
              <w:t>结合课程内容与特点，挖掘课程的育人要素与资源，合理设计育人目标、主题、内容和活动，将知识学习、能力发展与品德养成有机结合。</w:t>
            </w:r>
          </w:p>
        </w:tc>
        <w:tc>
          <w:tcPr>
            <w:tcW w:w="1191" w:type="dxa"/>
            <w:vAlign w:val="center"/>
          </w:tcPr>
          <w:p w14:paraId="30AA63FE">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课程目标1</w:t>
            </w:r>
          </w:p>
          <w:p w14:paraId="13CAC431">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课程目标2</w:t>
            </w:r>
          </w:p>
          <w:p w14:paraId="64D55920">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课程目标3</w:t>
            </w:r>
          </w:p>
        </w:tc>
      </w:tr>
    </w:tbl>
    <w:p w14:paraId="26D85AE7">
      <w:pPr>
        <w:spacing w:line="360" w:lineRule="auto"/>
        <w:ind w:firstLine="422" w:firstLineChars="200"/>
        <w:jc w:val="left"/>
        <w:outlineLvl w:val="1"/>
        <w:rPr>
          <w:rFonts w:hint="eastAsia" w:ascii="宋体" w:hAnsi="宋体" w:eastAsia="宋体" w:cs="Times New Roman"/>
          <w:b/>
          <w:szCs w:val="22"/>
        </w:rPr>
      </w:pPr>
      <w:bookmarkStart w:id="1313" w:name="_Toc24398"/>
      <w:r>
        <w:rPr>
          <w:rFonts w:hint="eastAsia" w:ascii="宋体" w:hAnsi="宋体" w:eastAsia="宋体" w:cs="Times New Roman"/>
          <w:b/>
          <w:szCs w:val="22"/>
        </w:rPr>
        <w:t>（三）课程思政目标</w:t>
      </w:r>
      <w:bookmarkEnd w:id="1313"/>
    </w:p>
    <w:p w14:paraId="552405F1">
      <w:pPr>
        <w:spacing w:line="360" w:lineRule="auto"/>
        <w:ind w:firstLine="420" w:firstLineChars="200"/>
        <w:rPr>
          <w:rFonts w:hint="eastAsia" w:ascii="宋体" w:hAnsi="宋体" w:eastAsia="宋体" w:cs="Times New Roman"/>
          <w:kern w:val="0"/>
          <w:szCs w:val="20"/>
        </w:rPr>
      </w:pPr>
      <w:r>
        <w:rPr>
          <w:rFonts w:hint="eastAsia" w:ascii="宋体" w:hAnsi="宋体" w:eastAsia="宋体" w:cs="Times New Roman"/>
          <w:kern w:val="0"/>
          <w:szCs w:val="20"/>
        </w:rPr>
        <w:t>《小学语文教学课程标准与教材分析》课程旨在通过识字与写字、阅读、写话与习作、口语交际、跨学科学习等内容课标与教材的深入分析，引导学生深刻理解和认同中华优秀传统文化，掌握语文课程标准与教材分析的知识与技能，树立正确的世界观、人生观和价值观；通过教育家精神的引领，树立立德树人的意识，提升社会责任感、家国情怀和道德修养，尝试在课程标准和教材分析的过程中，挖掘育人元素。</w:t>
      </w:r>
    </w:p>
    <w:p w14:paraId="6204C6F7">
      <w:pPr>
        <w:spacing w:before="62" w:beforeLines="20" w:after="62" w:afterLines="20" w:line="360" w:lineRule="auto"/>
        <w:jc w:val="left"/>
        <w:rPr>
          <w:rFonts w:ascii="Times New Roman" w:hAnsi="Times New Roman" w:eastAsia="宋体" w:cs="Times New Roman"/>
          <w:b/>
          <w:sz w:val="24"/>
        </w:rPr>
      </w:pPr>
      <w:bookmarkStart w:id="1314" w:name="_Toc14776"/>
      <w:bookmarkStart w:id="1315" w:name="_Toc24751"/>
      <w:bookmarkStart w:id="1316" w:name="_Toc31795"/>
      <w:bookmarkStart w:id="1317" w:name="_Toc28735"/>
      <w:bookmarkStart w:id="1318" w:name="_Toc9141"/>
      <w:bookmarkStart w:id="1319" w:name="_Toc7486"/>
      <w:bookmarkStart w:id="1320" w:name="_Toc9449"/>
      <w:r>
        <w:rPr>
          <w:rFonts w:hint="eastAsia" w:ascii="Times New Roman" w:hAnsi="Times New Roman" w:eastAsia="宋体" w:cs="Times New Roman"/>
          <w:b/>
          <w:sz w:val="24"/>
        </w:rPr>
        <w:t>三、教学内容与预期学习成效</w:t>
      </w:r>
      <w:bookmarkEnd w:id="1314"/>
      <w:bookmarkEnd w:id="1315"/>
      <w:bookmarkEnd w:id="1316"/>
      <w:bookmarkEnd w:id="1317"/>
      <w:bookmarkEnd w:id="1318"/>
      <w:bookmarkEnd w:id="1319"/>
      <w:bookmarkEnd w:id="1320"/>
    </w:p>
    <w:tbl>
      <w:tblPr>
        <w:tblStyle w:val="12"/>
        <w:tblW w:w="9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2273"/>
        <w:gridCol w:w="1119"/>
        <w:gridCol w:w="3110"/>
        <w:gridCol w:w="1277"/>
        <w:gridCol w:w="700"/>
      </w:tblGrid>
      <w:tr w14:paraId="5994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Align w:val="center"/>
          </w:tcPr>
          <w:p w14:paraId="6C51D874">
            <w:pPr>
              <w:jc w:val="center"/>
              <w:rPr>
                <w:rFonts w:hint="eastAsia" w:ascii="宋体" w:hAnsi="宋体" w:eastAsia="宋体" w:cs="Times New Roman"/>
                <w:b/>
                <w:szCs w:val="21"/>
              </w:rPr>
            </w:pPr>
            <w:r>
              <w:rPr>
                <w:rFonts w:hint="eastAsia" w:ascii="宋体" w:hAnsi="宋体" w:eastAsia="宋体" w:cs="Times New Roman"/>
                <w:b/>
                <w:szCs w:val="21"/>
              </w:rPr>
              <w:t>知识</w:t>
            </w:r>
          </w:p>
          <w:p w14:paraId="1AE9DB78">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273" w:type="dxa"/>
            <w:vAlign w:val="center"/>
          </w:tcPr>
          <w:p w14:paraId="189551DA">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19" w:type="dxa"/>
            <w:vAlign w:val="center"/>
          </w:tcPr>
          <w:p w14:paraId="3371E812">
            <w:pPr>
              <w:jc w:val="center"/>
              <w:rPr>
                <w:rFonts w:hint="eastAsia" w:ascii="宋体" w:hAnsi="宋体" w:eastAsia="宋体" w:cs="Times New Roman"/>
                <w:b/>
                <w:szCs w:val="21"/>
              </w:rPr>
            </w:pPr>
            <w:r>
              <w:rPr>
                <w:rFonts w:hint="eastAsia" w:ascii="宋体" w:hAnsi="宋体" w:eastAsia="宋体" w:cs="Times New Roman"/>
                <w:b/>
                <w:szCs w:val="21"/>
              </w:rPr>
              <w:t>对应</w:t>
            </w:r>
          </w:p>
          <w:p w14:paraId="33E0C625">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110" w:type="dxa"/>
            <w:vAlign w:val="center"/>
          </w:tcPr>
          <w:p w14:paraId="511E377B">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277" w:type="dxa"/>
            <w:vAlign w:val="center"/>
          </w:tcPr>
          <w:p w14:paraId="0F4352D0">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700" w:type="dxa"/>
            <w:vAlign w:val="center"/>
          </w:tcPr>
          <w:p w14:paraId="24CCA2F9">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4BE4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14:paraId="3F802695">
            <w:pPr>
              <w:jc w:val="center"/>
              <w:rPr>
                <w:rFonts w:hint="eastAsia" w:ascii="宋体" w:hAnsi="宋体" w:eastAsia="宋体" w:cs="Times New Roman"/>
                <w:szCs w:val="21"/>
              </w:rPr>
            </w:pPr>
          </w:p>
          <w:p w14:paraId="3254F85F">
            <w:pPr>
              <w:jc w:val="center"/>
              <w:rPr>
                <w:rFonts w:hint="eastAsia" w:ascii="宋体" w:hAnsi="宋体" w:eastAsia="宋体" w:cs="Times New Roman"/>
                <w:szCs w:val="21"/>
              </w:rPr>
            </w:pPr>
            <w:r>
              <w:rPr>
                <w:rFonts w:hint="eastAsia" w:ascii="宋体" w:hAnsi="宋体" w:eastAsia="宋体" w:cs="Times New Roman"/>
                <w:kern w:val="0"/>
                <w:szCs w:val="21"/>
              </w:rPr>
              <w:t>第一章 语文课程标准研究</w:t>
            </w:r>
          </w:p>
        </w:tc>
        <w:tc>
          <w:tcPr>
            <w:tcW w:w="2273" w:type="dxa"/>
            <w:vAlign w:val="center"/>
          </w:tcPr>
          <w:p w14:paraId="00C930FA">
            <w:pPr>
              <w:jc w:val="center"/>
              <w:rPr>
                <w:rFonts w:hint="eastAsia" w:ascii="宋体" w:hAnsi="宋体" w:eastAsia="宋体" w:cs="Times New Roman"/>
                <w:kern w:val="0"/>
                <w:szCs w:val="21"/>
              </w:rPr>
            </w:pPr>
            <w:r>
              <w:rPr>
                <w:rFonts w:hint="eastAsia" w:ascii="宋体" w:hAnsi="宋体" w:eastAsia="宋体" w:cs="Times New Roman"/>
                <w:kern w:val="0"/>
                <w:szCs w:val="21"/>
              </w:rPr>
              <w:t>1.语文课程课程标</w:t>
            </w:r>
          </w:p>
          <w:p w14:paraId="41689FD7">
            <w:pPr>
              <w:rPr>
                <w:rFonts w:hint="eastAsia" w:ascii="宋体" w:hAnsi="宋体" w:eastAsia="宋体" w:cs="Times New Roman"/>
                <w:kern w:val="0"/>
                <w:szCs w:val="21"/>
              </w:rPr>
            </w:pPr>
            <w:r>
              <w:rPr>
                <w:rFonts w:hint="eastAsia" w:ascii="宋体" w:hAnsi="宋体" w:eastAsia="宋体" w:cs="Times New Roman"/>
                <w:kern w:val="0"/>
                <w:szCs w:val="21"/>
              </w:rPr>
              <w:t>准的历史嬗变</w:t>
            </w:r>
          </w:p>
          <w:p w14:paraId="65C8DDB6">
            <w:pPr>
              <w:jc w:val="center"/>
              <w:rPr>
                <w:rFonts w:hint="eastAsia" w:ascii="宋体" w:hAnsi="宋体" w:eastAsia="宋体" w:cs="Times New Roman"/>
                <w:kern w:val="0"/>
                <w:szCs w:val="21"/>
              </w:rPr>
            </w:pPr>
            <w:r>
              <w:rPr>
                <w:rFonts w:hint="eastAsia" w:ascii="宋体" w:hAnsi="宋体" w:eastAsia="宋体" w:cs="Times New Roman"/>
                <w:kern w:val="0"/>
                <w:szCs w:val="21"/>
              </w:rPr>
              <w:t>2.语文课程的性质、</w:t>
            </w:r>
          </w:p>
          <w:p w14:paraId="65EE75EB">
            <w:pPr>
              <w:rPr>
                <w:rFonts w:hint="eastAsia" w:ascii="宋体" w:hAnsi="宋体" w:eastAsia="宋体" w:cs="Times New Roman"/>
                <w:kern w:val="0"/>
                <w:szCs w:val="21"/>
              </w:rPr>
            </w:pPr>
            <w:r>
              <w:rPr>
                <w:rFonts w:hint="eastAsia" w:ascii="宋体" w:hAnsi="宋体" w:eastAsia="宋体" w:cs="Times New Roman"/>
                <w:kern w:val="0"/>
                <w:szCs w:val="21"/>
              </w:rPr>
              <w:t>基本特点、理念</w:t>
            </w:r>
          </w:p>
          <w:p w14:paraId="082E9A4E">
            <w:pPr>
              <w:rPr>
                <w:rFonts w:hint="eastAsia" w:ascii="宋体" w:hAnsi="宋体" w:eastAsia="宋体" w:cs="Times New Roman"/>
                <w:kern w:val="0"/>
                <w:szCs w:val="21"/>
              </w:rPr>
            </w:pPr>
            <w:r>
              <w:rPr>
                <w:rFonts w:hint="eastAsia" w:ascii="宋体" w:hAnsi="宋体" w:eastAsia="宋体" w:cs="Times New Roman"/>
                <w:kern w:val="0"/>
                <w:szCs w:val="21"/>
              </w:rPr>
              <w:t>3.现行小学语文课程的目标和内容</w:t>
            </w:r>
          </w:p>
          <w:p w14:paraId="7EE26551">
            <w:pPr>
              <w:rPr>
                <w:rFonts w:hint="eastAsia" w:ascii="宋体" w:hAnsi="宋体" w:eastAsia="宋体" w:cs="Times New Roman"/>
                <w:szCs w:val="21"/>
              </w:rPr>
            </w:pPr>
            <w:r>
              <w:rPr>
                <w:rFonts w:hint="eastAsia" w:ascii="宋体" w:hAnsi="宋体" w:eastAsia="宋体" w:cs="Times New Roman"/>
                <w:kern w:val="0"/>
                <w:szCs w:val="21"/>
              </w:rPr>
              <w:t>4.语文课程的实施建议</w:t>
            </w:r>
          </w:p>
        </w:tc>
        <w:tc>
          <w:tcPr>
            <w:tcW w:w="1119" w:type="dxa"/>
            <w:vAlign w:val="center"/>
          </w:tcPr>
          <w:p w14:paraId="4E55E377">
            <w:pPr>
              <w:jc w:val="center"/>
              <w:rPr>
                <w:rFonts w:hint="eastAsia" w:ascii="宋体" w:hAnsi="宋体" w:eastAsia="宋体" w:cs="Times New Roman"/>
                <w:szCs w:val="21"/>
              </w:rPr>
            </w:pPr>
          </w:p>
          <w:p w14:paraId="50041CA1">
            <w:pPr>
              <w:rPr>
                <w:rFonts w:hint="eastAsia" w:ascii="宋体" w:hAnsi="宋体" w:eastAsia="宋体" w:cs="Times New Roman"/>
                <w:szCs w:val="21"/>
              </w:rPr>
            </w:pPr>
          </w:p>
          <w:p w14:paraId="48CB2281">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110" w:type="dxa"/>
            <w:vAlign w:val="center"/>
          </w:tcPr>
          <w:p w14:paraId="33F79CC9">
            <w:pPr>
              <w:jc w:val="left"/>
              <w:rPr>
                <w:rFonts w:hint="eastAsia" w:ascii="宋体" w:hAnsi="宋体" w:eastAsia="宋体" w:cs="Times New Roman"/>
                <w:szCs w:val="21"/>
              </w:rPr>
            </w:pPr>
            <w:r>
              <w:rPr>
                <w:rFonts w:hint="eastAsia" w:ascii="宋体" w:hAnsi="宋体" w:eastAsia="宋体" w:cs="Times New Roman"/>
                <w:szCs w:val="21"/>
              </w:rPr>
              <w:t>通过本课程的学习，学生将能够准确阐述小学语文课程标准的历史演变；理解语文课程的性质、基本特点和基本理念；应用对现行小学语文课程目标和内容的理解，制作学习任务群思维导图；分析并评价语文课程的实施建议。</w:t>
            </w:r>
          </w:p>
        </w:tc>
        <w:tc>
          <w:tcPr>
            <w:tcW w:w="1277" w:type="dxa"/>
            <w:vAlign w:val="center"/>
          </w:tcPr>
          <w:p w14:paraId="3D469067">
            <w:pPr>
              <w:jc w:val="left"/>
              <w:rPr>
                <w:rFonts w:hint="eastAsia" w:ascii="宋体" w:hAnsi="宋体" w:eastAsia="宋体" w:cs="Times New Roman"/>
                <w:szCs w:val="21"/>
              </w:rPr>
            </w:pPr>
            <w:r>
              <w:rPr>
                <w:rFonts w:hint="eastAsia" w:ascii="宋体" w:hAnsi="宋体" w:eastAsia="宋体" w:cs="Times New Roman"/>
                <w:szCs w:val="21"/>
              </w:rPr>
              <w:t>1.多媒体教学</w:t>
            </w:r>
          </w:p>
          <w:p w14:paraId="571EA0E6">
            <w:pPr>
              <w:jc w:val="left"/>
              <w:rPr>
                <w:rFonts w:hint="eastAsia" w:ascii="宋体" w:hAnsi="宋体" w:eastAsia="宋体" w:cs="Times New Roman"/>
                <w:szCs w:val="21"/>
              </w:rPr>
            </w:pPr>
            <w:r>
              <w:rPr>
                <w:rFonts w:hint="eastAsia" w:ascii="宋体" w:hAnsi="宋体" w:eastAsia="宋体" w:cs="Times New Roman"/>
                <w:szCs w:val="21"/>
              </w:rPr>
              <w:t>2.小组学习</w:t>
            </w:r>
          </w:p>
          <w:p w14:paraId="4D0F7D75">
            <w:pPr>
              <w:jc w:val="left"/>
              <w:rPr>
                <w:rFonts w:hint="eastAsia" w:ascii="宋体" w:hAnsi="宋体" w:eastAsia="宋体" w:cs="Times New Roman"/>
                <w:szCs w:val="21"/>
              </w:rPr>
            </w:pPr>
            <w:r>
              <w:rPr>
                <w:rFonts w:hint="eastAsia" w:ascii="宋体" w:hAnsi="宋体" w:eastAsia="宋体" w:cs="Times New Roman"/>
                <w:szCs w:val="21"/>
              </w:rPr>
              <w:t>3.课内实践</w:t>
            </w:r>
          </w:p>
        </w:tc>
        <w:tc>
          <w:tcPr>
            <w:tcW w:w="700" w:type="dxa"/>
            <w:vAlign w:val="center"/>
          </w:tcPr>
          <w:p w14:paraId="664CCC8A">
            <w:pPr>
              <w:jc w:val="center"/>
              <w:rPr>
                <w:rFonts w:hint="eastAsia" w:ascii="宋体" w:hAnsi="宋体" w:eastAsia="宋体" w:cs="Times New Roman"/>
                <w:szCs w:val="21"/>
              </w:rPr>
            </w:pPr>
          </w:p>
          <w:p w14:paraId="2B4FBE93">
            <w:pPr>
              <w:jc w:val="center"/>
              <w:rPr>
                <w:rFonts w:hint="eastAsia" w:ascii="宋体" w:hAnsi="宋体" w:eastAsia="宋体" w:cs="Times New Roman"/>
                <w:szCs w:val="21"/>
              </w:rPr>
            </w:pPr>
          </w:p>
          <w:p w14:paraId="2D4ECB38">
            <w:pPr>
              <w:jc w:val="center"/>
              <w:rPr>
                <w:rFonts w:hint="eastAsia" w:ascii="宋体" w:hAnsi="宋体" w:eastAsia="宋体" w:cs="Times New Roman"/>
                <w:szCs w:val="21"/>
              </w:rPr>
            </w:pPr>
          </w:p>
          <w:p w14:paraId="42D6F790">
            <w:pPr>
              <w:jc w:val="center"/>
              <w:rPr>
                <w:rFonts w:hint="eastAsia" w:ascii="宋体" w:hAnsi="宋体" w:eastAsia="宋体" w:cs="Times New Roman"/>
                <w:szCs w:val="21"/>
              </w:rPr>
            </w:pPr>
            <w:r>
              <w:rPr>
                <w:rFonts w:hint="eastAsia" w:ascii="宋体" w:hAnsi="宋体" w:eastAsia="宋体" w:cs="Times New Roman"/>
                <w:szCs w:val="21"/>
              </w:rPr>
              <w:t>6</w:t>
            </w:r>
          </w:p>
        </w:tc>
      </w:tr>
      <w:tr w14:paraId="65F7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0BFD03FB">
            <w:pPr>
              <w:jc w:val="center"/>
              <w:rPr>
                <w:rFonts w:hint="eastAsia" w:ascii="宋体" w:hAnsi="宋体" w:eastAsia="宋体" w:cs="Times New Roman"/>
                <w:szCs w:val="21"/>
              </w:rPr>
            </w:pPr>
          </w:p>
        </w:tc>
        <w:tc>
          <w:tcPr>
            <w:tcW w:w="8479" w:type="dxa"/>
            <w:gridSpan w:val="5"/>
            <w:vAlign w:val="center"/>
          </w:tcPr>
          <w:p w14:paraId="048E665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kern w:val="0"/>
                <w:szCs w:val="21"/>
              </w:rPr>
              <w:t>形成对中华优秀传统文化的深厚感情和文化自信，同时增强学生的国家意识和社会责任感。通过对小学语文教材的历史演变和统编版教材的编写背景及特点的分析，形成正确的价值观和育人意识，提升批判性思维和独立思考能力。</w:t>
            </w:r>
          </w:p>
        </w:tc>
      </w:tr>
      <w:tr w14:paraId="061E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14:paraId="6F4F4388">
            <w:pPr>
              <w:jc w:val="center"/>
              <w:rPr>
                <w:rFonts w:hint="eastAsia" w:ascii="宋体" w:hAnsi="宋体" w:eastAsia="宋体" w:cs="Times New Roman"/>
                <w:szCs w:val="21"/>
              </w:rPr>
            </w:pPr>
          </w:p>
          <w:p w14:paraId="4EDEA640">
            <w:pPr>
              <w:jc w:val="center"/>
              <w:rPr>
                <w:rFonts w:hint="eastAsia" w:ascii="宋体" w:hAnsi="宋体" w:eastAsia="宋体" w:cs="Times New Roman"/>
                <w:szCs w:val="21"/>
              </w:rPr>
            </w:pPr>
            <w:r>
              <w:rPr>
                <w:rFonts w:hint="eastAsia" w:ascii="宋体" w:hAnsi="宋体" w:eastAsia="宋体" w:cs="Times New Roman"/>
                <w:szCs w:val="21"/>
              </w:rPr>
              <w:t>第二章</w:t>
            </w:r>
          </w:p>
          <w:p w14:paraId="4E9CCA2E">
            <w:pPr>
              <w:jc w:val="center"/>
              <w:rPr>
                <w:rFonts w:hint="eastAsia" w:ascii="宋体" w:hAnsi="宋体" w:eastAsia="宋体" w:cs="Times New Roman"/>
                <w:szCs w:val="21"/>
              </w:rPr>
            </w:pPr>
            <w:r>
              <w:rPr>
                <w:rFonts w:hint="eastAsia" w:ascii="宋体" w:hAnsi="宋体" w:eastAsia="宋体" w:cs="Times New Roman"/>
                <w:szCs w:val="21"/>
              </w:rPr>
              <w:t>小学语文教材研究</w:t>
            </w:r>
          </w:p>
        </w:tc>
        <w:tc>
          <w:tcPr>
            <w:tcW w:w="2273" w:type="dxa"/>
            <w:vAlign w:val="center"/>
          </w:tcPr>
          <w:p w14:paraId="700513E2">
            <w:pPr>
              <w:jc w:val="left"/>
              <w:rPr>
                <w:rFonts w:hint="eastAsia" w:ascii="宋体" w:hAnsi="宋体" w:eastAsia="宋体" w:cs="Times New Roman"/>
                <w:szCs w:val="21"/>
              </w:rPr>
            </w:pPr>
            <w:r>
              <w:rPr>
                <w:rFonts w:hint="eastAsia" w:ascii="宋体" w:hAnsi="宋体" w:eastAsia="宋体" w:cs="Times New Roman"/>
                <w:szCs w:val="21"/>
              </w:rPr>
              <w:t>1.小学语文教材的历史回顾</w:t>
            </w:r>
          </w:p>
          <w:p w14:paraId="0DD8C8C1">
            <w:pPr>
              <w:jc w:val="left"/>
              <w:rPr>
                <w:rFonts w:hint="eastAsia" w:ascii="宋体" w:hAnsi="宋体" w:eastAsia="宋体" w:cs="Times New Roman"/>
                <w:szCs w:val="21"/>
              </w:rPr>
            </w:pPr>
            <w:r>
              <w:rPr>
                <w:rFonts w:hint="eastAsia" w:ascii="宋体" w:hAnsi="宋体" w:eastAsia="宋体" w:cs="Times New Roman"/>
                <w:szCs w:val="21"/>
              </w:rPr>
              <w:t>2.统编本小学语文教材的主要特点</w:t>
            </w:r>
          </w:p>
          <w:p w14:paraId="509A4D22">
            <w:pPr>
              <w:jc w:val="left"/>
              <w:rPr>
                <w:rFonts w:hint="eastAsia" w:ascii="宋体" w:hAnsi="宋体" w:eastAsia="宋体" w:cs="Times New Roman"/>
                <w:szCs w:val="21"/>
              </w:rPr>
            </w:pPr>
            <w:r>
              <w:rPr>
                <w:rFonts w:hint="eastAsia" w:ascii="宋体" w:hAnsi="宋体" w:eastAsia="宋体" w:cs="Times New Roman"/>
                <w:szCs w:val="21"/>
              </w:rPr>
              <w:t>3.统编本小学语文教材的教学内容</w:t>
            </w:r>
          </w:p>
          <w:p w14:paraId="4A8DF3F5">
            <w:pPr>
              <w:jc w:val="left"/>
              <w:rPr>
                <w:rFonts w:hint="eastAsia" w:ascii="宋体" w:hAnsi="宋体" w:eastAsia="宋体" w:cs="Times New Roman"/>
                <w:szCs w:val="21"/>
              </w:rPr>
            </w:pPr>
            <w:r>
              <w:rPr>
                <w:rFonts w:hint="eastAsia" w:ascii="宋体" w:hAnsi="宋体" w:eastAsia="宋体" w:cs="Times New Roman"/>
                <w:szCs w:val="21"/>
              </w:rPr>
              <w:t>4.小学语文教材的习题设计</w:t>
            </w:r>
          </w:p>
        </w:tc>
        <w:tc>
          <w:tcPr>
            <w:tcW w:w="1119" w:type="dxa"/>
            <w:vAlign w:val="center"/>
          </w:tcPr>
          <w:p w14:paraId="42D4D957">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3110" w:type="dxa"/>
            <w:vAlign w:val="center"/>
          </w:tcPr>
          <w:p w14:paraId="7AA2C88D">
            <w:pPr>
              <w:jc w:val="left"/>
              <w:rPr>
                <w:rFonts w:hint="eastAsia" w:ascii="宋体" w:hAnsi="宋体" w:eastAsia="宋体" w:cs="Times New Roman"/>
                <w:szCs w:val="21"/>
              </w:rPr>
            </w:pPr>
            <w:r>
              <w:rPr>
                <w:rFonts w:hint="eastAsia" w:ascii="宋体" w:hAnsi="宋体" w:eastAsia="宋体" w:cs="Times New Roman"/>
                <w:szCs w:val="21"/>
              </w:rPr>
              <w:t>通过深入学习小学语文教材的历史、统编本教材的特点、内容及习题设计，全面了解教材的演变历程，掌握教材的编排理念和主要特点，并概括统编版教材习题设计的特点。</w:t>
            </w:r>
          </w:p>
        </w:tc>
        <w:tc>
          <w:tcPr>
            <w:tcW w:w="1277" w:type="dxa"/>
            <w:vAlign w:val="center"/>
          </w:tcPr>
          <w:p w14:paraId="51F4C348">
            <w:pPr>
              <w:jc w:val="left"/>
              <w:rPr>
                <w:rFonts w:hint="eastAsia" w:ascii="宋体" w:hAnsi="宋体" w:eastAsia="宋体" w:cs="Times New Roman"/>
                <w:szCs w:val="21"/>
              </w:rPr>
            </w:pPr>
            <w:r>
              <w:rPr>
                <w:rFonts w:hint="eastAsia" w:ascii="宋体" w:hAnsi="宋体" w:eastAsia="宋体" w:cs="Times New Roman"/>
                <w:szCs w:val="21"/>
              </w:rPr>
              <w:t>1.多媒体教学</w:t>
            </w:r>
          </w:p>
          <w:p w14:paraId="35F476F3">
            <w:pPr>
              <w:jc w:val="left"/>
              <w:rPr>
                <w:rFonts w:hint="eastAsia" w:ascii="宋体" w:hAnsi="宋体" w:eastAsia="宋体" w:cs="Times New Roman"/>
                <w:szCs w:val="21"/>
              </w:rPr>
            </w:pPr>
            <w:r>
              <w:rPr>
                <w:rFonts w:hint="eastAsia" w:ascii="宋体" w:hAnsi="宋体" w:eastAsia="宋体" w:cs="Times New Roman"/>
                <w:szCs w:val="21"/>
              </w:rPr>
              <w:t>2.课堂讨论</w:t>
            </w:r>
          </w:p>
          <w:p w14:paraId="7E84214A">
            <w:pPr>
              <w:jc w:val="left"/>
              <w:rPr>
                <w:rFonts w:hint="eastAsia" w:ascii="宋体" w:hAnsi="宋体" w:eastAsia="宋体" w:cs="Times New Roman"/>
                <w:szCs w:val="21"/>
              </w:rPr>
            </w:pPr>
            <w:r>
              <w:rPr>
                <w:rFonts w:hint="eastAsia" w:ascii="宋体" w:hAnsi="宋体" w:eastAsia="宋体" w:cs="Times New Roman"/>
                <w:szCs w:val="21"/>
              </w:rPr>
              <w:t>3.案例教学</w:t>
            </w:r>
          </w:p>
        </w:tc>
        <w:tc>
          <w:tcPr>
            <w:tcW w:w="700" w:type="dxa"/>
            <w:vAlign w:val="center"/>
          </w:tcPr>
          <w:p w14:paraId="2DFE0BFF">
            <w:pPr>
              <w:jc w:val="center"/>
              <w:rPr>
                <w:rFonts w:hint="eastAsia" w:ascii="宋体" w:hAnsi="宋体" w:eastAsia="宋体" w:cs="Times New Roman"/>
                <w:szCs w:val="21"/>
              </w:rPr>
            </w:pPr>
            <w:r>
              <w:rPr>
                <w:rFonts w:hint="eastAsia" w:ascii="宋体" w:hAnsi="宋体" w:eastAsia="宋体" w:cs="Times New Roman"/>
                <w:szCs w:val="21"/>
              </w:rPr>
              <w:t>4</w:t>
            </w:r>
          </w:p>
        </w:tc>
      </w:tr>
      <w:tr w14:paraId="3C09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6BDEC3D3">
            <w:pPr>
              <w:jc w:val="center"/>
              <w:rPr>
                <w:rFonts w:hint="eastAsia" w:ascii="宋体" w:hAnsi="宋体" w:eastAsia="宋体" w:cs="Times New Roman"/>
                <w:szCs w:val="21"/>
              </w:rPr>
            </w:pPr>
          </w:p>
        </w:tc>
        <w:tc>
          <w:tcPr>
            <w:tcW w:w="8479" w:type="dxa"/>
            <w:gridSpan w:val="5"/>
            <w:vAlign w:val="center"/>
          </w:tcPr>
          <w:p w14:paraId="5C0B640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形成对中华优秀传统文化的深厚感情和文化自信，同时增强国家意识和社会责任感。通过对小学语文教材的历史演变和统编版教材的编写背景及特点的分析，形成正确的价值观和育人意识，提升批判性思维和独立思考能力。</w:t>
            </w:r>
          </w:p>
        </w:tc>
      </w:tr>
      <w:tr w14:paraId="1D14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1" w:hRule="atLeast"/>
          <w:jc w:val="center"/>
        </w:trPr>
        <w:tc>
          <w:tcPr>
            <w:tcW w:w="1006" w:type="dxa"/>
            <w:vMerge w:val="restart"/>
            <w:vAlign w:val="center"/>
          </w:tcPr>
          <w:p w14:paraId="40C832B7">
            <w:pPr>
              <w:jc w:val="center"/>
              <w:rPr>
                <w:rFonts w:hint="eastAsia" w:ascii="宋体" w:hAnsi="宋体" w:eastAsia="宋体" w:cs="Times New Roman"/>
                <w:szCs w:val="21"/>
              </w:rPr>
            </w:pPr>
            <w:r>
              <w:rPr>
                <w:rFonts w:hint="eastAsia" w:ascii="宋体" w:hAnsi="宋体" w:eastAsia="宋体" w:cs="Times New Roman"/>
                <w:szCs w:val="21"/>
              </w:rPr>
              <w:t>第三章</w:t>
            </w:r>
          </w:p>
          <w:p w14:paraId="5B4E7A82">
            <w:pPr>
              <w:jc w:val="center"/>
              <w:rPr>
                <w:rFonts w:hint="eastAsia" w:ascii="宋体" w:hAnsi="宋体" w:eastAsia="宋体" w:cs="Times New Roman"/>
                <w:szCs w:val="21"/>
              </w:rPr>
            </w:pPr>
            <w:r>
              <w:rPr>
                <w:rFonts w:hint="eastAsia" w:ascii="宋体" w:hAnsi="宋体" w:eastAsia="宋体" w:cs="Times New Roman"/>
                <w:szCs w:val="21"/>
              </w:rPr>
              <w:t>汉语拼音、识字、写字教学目标与教材研究</w:t>
            </w:r>
          </w:p>
          <w:p w14:paraId="6CBEB9DF">
            <w:pPr>
              <w:jc w:val="center"/>
              <w:rPr>
                <w:rFonts w:hint="eastAsia" w:ascii="宋体" w:hAnsi="宋体" w:eastAsia="宋体" w:cs="Times New Roman"/>
                <w:szCs w:val="21"/>
              </w:rPr>
            </w:pPr>
          </w:p>
          <w:p w14:paraId="6BED8862">
            <w:pPr>
              <w:jc w:val="center"/>
              <w:rPr>
                <w:rFonts w:hint="eastAsia" w:ascii="宋体" w:hAnsi="宋体" w:eastAsia="宋体" w:cs="Times New Roman"/>
                <w:szCs w:val="21"/>
              </w:rPr>
            </w:pPr>
          </w:p>
          <w:p w14:paraId="129618DB">
            <w:pPr>
              <w:jc w:val="center"/>
              <w:rPr>
                <w:rFonts w:hint="eastAsia" w:ascii="宋体" w:hAnsi="宋体" w:eastAsia="宋体" w:cs="Times New Roman"/>
                <w:szCs w:val="21"/>
              </w:rPr>
            </w:pPr>
          </w:p>
        </w:tc>
        <w:tc>
          <w:tcPr>
            <w:tcW w:w="2273" w:type="dxa"/>
            <w:vAlign w:val="center"/>
          </w:tcPr>
          <w:p w14:paraId="234449C6">
            <w:pPr>
              <w:jc w:val="left"/>
              <w:rPr>
                <w:rFonts w:hint="eastAsia" w:ascii="宋体" w:hAnsi="宋体" w:eastAsia="宋体" w:cs="Times New Roman"/>
                <w:szCs w:val="21"/>
              </w:rPr>
            </w:pPr>
            <w:r>
              <w:rPr>
                <w:rFonts w:hint="eastAsia" w:ascii="宋体" w:hAnsi="宋体" w:eastAsia="宋体" w:cs="Times New Roman"/>
                <w:szCs w:val="21"/>
              </w:rPr>
              <w:t>1.汉语拼音、识字、写字各学段课程目标与内容</w:t>
            </w:r>
          </w:p>
          <w:p w14:paraId="0DCEFDF6">
            <w:pPr>
              <w:jc w:val="left"/>
              <w:rPr>
                <w:rFonts w:hint="eastAsia" w:ascii="宋体" w:hAnsi="宋体" w:eastAsia="宋体" w:cs="Times New Roman"/>
                <w:szCs w:val="21"/>
              </w:rPr>
            </w:pPr>
            <w:r>
              <w:rPr>
                <w:rFonts w:hint="eastAsia" w:ascii="宋体" w:hAnsi="宋体" w:eastAsia="宋体" w:cs="Times New Roman"/>
                <w:szCs w:val="21"/>
              </w:rPr>
              <w:t>2.汉语拼音教材的教学解读</w:t>
            </w:r>
          </w:p>
          <w:p w14:paraId="58F16F5A">
            <w:pPr>
              <w:jc w:val="left"/>
              <w:rPr>
                <w:rFonts w:hint="eastAsia" w:ascii="宋体" w:hAnsi="宋体" w:eastAsia="宋体" w:cs="Times New Roman"/>
                <w:szCs w:val="21"/>
              </w:rPr>
            </w:pPr>
            <w:r>
              <w:rPr>
                <w:rFonts w:hint="eastAsia" w:ascii="宋体" w:hAnsi="宋体" w:eastAsia="宋体" w:cs="Times New Roman"/>
                <w:szCs w:val="21"/>
              </w:rPr>
              <w:t>3.识字教材的教学解读</w:t>
            </w:r>
          </w:p>
          <w:p w14:paraId="4149B73F">
            <w:pPr>
              <w:jc w:val="left"/>
              <w:rPr>
                <w:rFonts w:hint="eastAsia" w:ascii="宋体" w:hAnsi="宋体" w:eastAsia="宋体" w:cs="Times New Roman"/>
                <w:szCs w:val="21"/>
              </w:rPr>
            </w:pPr>
            <w:r>
              <w:rPr>
                <w:rFonts w:hint="eastAsia" w:ascii="宋体" w:hAnsi="宋体" w:eastAsia="宋体" w:cs="Times New Roman"/>
                <w:szCs w:val="21"/>
              </w:rPr>
              <w:t>4.写字教材的教学解读</w:t>
            </w:r>
          </w:p>
          <w:p w14:paraId="4407C6C6">
            <w:pPr>
              <w:jc w:val="left"/>
              <w:rPr>
                <w:rFonts w:hint="eastAsia" w:ascii="宋体" w:hAnsi="宋体" w:eastAsia="宋体" w:cs="Times New Roman"/>
                <w:szCs w:val="21"/>
              </w:rPr>
            </w:pPr>
            <w:r>
              <w:rPr>
                <w:rFonts w:hint="eastAsia" w:ascii="宋体" w:hAnsi="宋体" w:eastAsia="宋体" w:cs="Times New Roman"/>
                <w:szCs w:val="21"/>
              </w:rPr>
              <w:t>5.汉语拼音、识字、写字教材教学解读案例研究</w:t>
            </w:r>
          </w:p>
        </w:tc>
        <w:tc>
          <w:tcPr>
            <w:tcW w:w="1119" w:type="dxa"/>
            <w:vAlign w:val="center"/>
          </w:tcPr>
          <w:p w14:paraId="7961806E">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110" w:type="dxa"/>
            <w:vAlign w:val="center"/>
          </w:tcPr>
          <w:p w14:paraId="2C88E862">
            <w:pPr>
              <w:jc w:val="left"/>
              <w:rPr>
                <w:rFonts w:hint="eastAsia" w:ascii="宋体" w:hAnsi="宋体" w:eastAsia="宋体" w:cs="Times New Roman"/>
                <w:szCs w:val="21"/>
              </w:rPr>
            </w:pPr>
            <w:r>
              <w:rPr>
                <w:rFonts w:hint="eastAsia" w:ascii="宋体" w:hAnsi="宋体" w:eastAsia="宋体" w:cs="Times New Roman"/>
                <w:szCs w:val="21"/>
              </w:rPr>
              <w:t>通过学习汉语拼音、识字、写字的课程目标与内容，学习者将掌握拼音基础知识，理解识字与写字教学目标，设计有效教学活动。学习教材解读，学习者能分析教材编排特点，运用多样教学方法提高识字写字能力。通过案例研究，学习者能分析教学策略，提升教学效果。预期成效是学习者能全面提高学生的语文素养和书写技能。</w:t>
            </w:r>
          </w:p>
        </w:tc>
        <w:tc>
          <w:tcPr>
            <w:tcW w:w="1277" w:type="dxa"/>
            <w:vAlign w:val="center"/>
          </w:tcPr>
          <w:p w14:paraId="1B47CB26">
            <w:pPr>
              <w:jc w:val="left"/>
              <w:rPr>
                <w:rFonts w:hint="eastAsia" w:ascii="宋体" w:hAnsi="宋体" w:eastAsia="宋体" w:cs="Times New Roman"/>
                <w:szCs w:val="21"/>
              </w:rPr>
            </w:pPr>
            <w:r>
              <w:rPr>
                <w:rFonts w:hint="eastAsia" w:ascii="宋体" w:hAnsi="宋体" w:eastAsia="宋体" w:cs="Times New Roman"/>
                <w:szCs w:val="21"/>
              </w:rPr>
              <w:t>1.多媒体教学</w:t>
            </w:r>
          </w:p>
          <w:p w14:paraId="2C493896">
            <w:pPr>
              <w:jc w:val="left"/>
              <w:rPr>
                <w:rFonts w:hint="eastAsia" w:ascii="宋体" w:hAnsi="宋体" w:eastAsia="宋体" w:cs="Times New Roman"/>
                <w:szCs w:val="21"/>
              </w:rPr>
            </w:pPr>
            <w:r>
              <w:rPr>
                <w:rFonts w:hint="eastAsia" w:ascii="宋体" w:hAnsi="宋体" w:eastAsia="宋体" w:cs="Times New Roman"/>
                <w:szCs w:val="21"/>
              </w:rPr>
              <w:t>2.课内实践</w:t>
            </w:r>
          </w:p>
          <w:p w14:paraId="100CACC9">
            <w:pPr>
              <w:jc w:val="left"/>
              <w:rPr>
                <w:rFonts w:hint="eastAsia" w:ascii="宋体" w:hAnsi="宋体" w:eastAsia="宋体" w:cs="Times New Roman"/>
                <w:szCs w:val="21"/>
              </w:rPr>
            </w:pPr>
            <w:r>
              <w:rPr>
                <w:rFonts w:hint="eastAsia" w:ascii="宋体" w:hAnsi="宋体" w:eastAsia="宋体" w:cs="Times New Roman"/>
                <w:szCs w:val="21"/>
              </w:rPr>
              <w:t>3.案例教学</w:t>
            </w:r>
          </w:p>
        </w:tc>
        <w:tc>
          <w:tcPr>
            <w:tcW w:w="700" w:type="dxa"/>
            <w:vAlign w:val="center"/>
          </w:tcPr>
          <w:p w14:paraId="514D49C6">
            <w:pPr>
              <w:jc w:val="center"/>
              <w:rPr>
                <w:rFonts w:hint="eastAsia" w:ascii="宋体" w:hAnsi="宋体" w:eastAsia="宋体" w:cs="Times New Roman"/>
                <w:szCs w:val="21"/>
              </w:rPr>
            </w:pPr>
            <w:r>
              <w:rPr>
                <w:rFonts w:hint="eastAsia" w:ascii="宋体" w:hAnsi="宋体" w:eastAsia="宋体" w:cs="Times New Roman"/>
                <w:szCs w:val="21"/>
              </w:rPr>
              <w:t>4</w:t>
            </w:r>
          </w:p>
        </w:tc>
      </w:tr>
      <w:tr w14:paraId="70D1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1006" w:type="dxa"/>
            <w:vMerge w:val="continue"/>
            <w:vAlign w:val="center"/>
          </w:tcPr>
          <w:p w14:paraId="26E7E27B">
            <w:pPr>
              <w:jc w:val="center"/>
              <w:rPr>
                <w:rFonts w:hint="eastAsia" w:ascii="宋体" w:hAnsi="宋体" w:eastAsia="宋体" w:cs="Times New Roman"/>
                <w:szCs w:val="21"/>
              </w:rPr>
            </w:pPr>
          </w:p>
        </w:tc>
        <w:tc>
          <w:tcPr>
            <w:tcW w:w="8479" w:type="dxa"/>
            <w:gridSpan w:val="5"/>
            <w:vAlign w:val="center"/>
          </w:tcPr>
          <w:p w14:paraId="28E83F4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通过汉语拼音、识字、写字的教材分析，培养学生对国家通用语言文字的热爱和尊重，增强学生的文化自信和民族自豪感。</w:t>
            </w:r>
          </w:p>
        </w:tc>
      </w:tr>
      <w:tr w14:paraId="7F8C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14:paraId="2FBA6D79">
            <w:pPr>
              <w:jc w:val="center"/>
              <w:rPr>
                <w:rFonts w:hint="eastAsia" w:ascii="宋体" w:hAnsi="宋体" w:eastAsia="宋体" w:cs="Times New Roman"/>
                <w:szCs w:val="21"/>
              </w:rPr>
            </w:pPr>
            <w:r>
              <w:rPr>
                <w:rFonts w:hint="eastAsia" w:ascii="宋体" w:hAnsi="宋体" w:eastAsia="宋体" w:cs="Times New Roman"/>
                <w:szCs w:val="21"/>
              </w:rPr>
              <w:t>第四章阅读教学目标与教材研究</w:t>
            </w:r>
          </w:p>
        </w:tc>
        <w:tc>
          <w:tcPr>
            <w:tcW w:w="2273" w:type="dxa"/>
            <w:vAlign w:val="center"/>
          </w:tcPr>
          <w:p w14:paraId="1E0698FF">
            <w:pPr>
              <w:jc w:val="left"/>
              <w:rPr>
                <w:rFonts w:hint="eastAsia" w:ascii="宋体" w:hAnsi="宋体" w:eastAsia="宋体" w:cs="Times New Roman"/>
                <w:szCs w:val="21"/>
              </w:rPr>
            </w:pPr>
            <w:r>
              <w:rPr>
                <w:rFonts w:hint="eastAsia" w:ascii="宋体" w:hAnsi="宋体" w:eastAsia="宋体" w:cs="Times New Roman"/>
                <w:szCs w:val="21"/>
              </w:rPr>
              <w:t>1.各学段阅读教学目标</w:t>
            </w:r>
          </w:p>
          <w:p w14:paraId="7E282089">
            <w:pPr>
              <w:jc w:val="left"/>
              <w:rPr>
                <w:rFonts w:hint="eastAsia" w:ascii="宋体" w:hAnsi="宋体" w:eastAsia="宋体" w:cs="Times New Roman"/>
                <w:szCs w:val="21"/>
              </w:rPr>
            </w:pPr>
            <w:r>
              <w:rPr>
                <w:rFonts w:hint="eastAsia" w:ascii="宋体" w:hAnsi="宋体" w:eastAsia="宋体" w:cs="Times New Roman"/>
                <w:szCs w:val="21"/>
              </w:rPr>
              <w:t>2.单元语文要素研究</w:t>
            </w:r>
          </w:p>
          <w:p w14:paraId="647526EC">
            <w:pPr>
              <w:jc w:val="left"/>
              <w:rPr>
                <w:rFonts w:hint="eastAsia" w:ascii="宋体" w:hAnsi="宋体" w:eastAsia="宋体" w:cs="Times New Roman"/>
                <w:szCs w:val="21"/>
              </w:rPr>
            </w:pPr>
            <w:r>
              <w:rPr>
                <w:rFonts w:hint="eastAsia" w:ascii="宋体" w:hAnsi="宋体" w:eastAsia="宋体" w:cs="Times New Roman"/>
                <w:szCs w:val="21"/>
              </w:rPr>
              <w:t>3.阅读策略单元的教学解读</w:t>
            </w:r>
          </w:p>
          <w:p w14:paraId="7D630F03">
            <w:pPr>
              <w:jc w:val="left"/>
              <w:rPr>
                <w:rFonts w:hint="eastAsia" w:ascii="宋体" w:hAnsi="宋体" w:eastAsia="宋体" w:cs="Times New Roman"/>
                <w:szCs w:val="21"/>
              </w:rPr>
            </w:pPr>
            <w:r>
              <w:rPr>
                <w:rFonts w:hint="eastAsia" w:ascii="宋体" w:hAnsi="宋体" w:eastAsia="宋体" w:cs="Times New Roman"/>
                <w:szCs w:val="21"/>
              </w:rPr>
              <w:t>4.阅读教材的教学解读</w:t>
            </w:r>
          </w:p>
          <w:p w14:paraId="5C43D9C7">
            <w:pPr>
              <w:jc w:val="left"/>
              <w:rPr>
                <w:rFonts w:hint="eastAsia" w:ascii="宋体" w:hAnsi="宋体" w:eastAsia="宋体" w:cs="Times New Roman"/>
                <w:szCs w:val="21"/>
              </w:rPr>
            </w:pPr>
            <w:r>
              <w:rPr>
                <w:rFonts w:hint="eastAsia" w:ascii="宋体" w:hAnsi="宋体" w:eastAsia="宋体" w:cs="Times New Roman"/>
                <w:szCs w:val="21"/>
              </w:rPr>
              <w:t>5.“整本书阅读”教材研究</w:t>
            </w:r>
          </w:p>
          <w:p w14:paraId="32069284">
            <w:pPr>
              <w:jc w:val="left"/>
              <w:rPr>
                <w:rFonts w:hint="eastAsia" w:ascii="宋体" w:hAnsi="宋体" w:eastAsia="宋体" w:cs="Times New Roman"/>
                <w:szCs w:val="21"/>
              </w:rPr>
            </w:pPr>
            <w:r>
              <w:rPr>
                <w:rFonts w:hint="eastAsia" w:ascii="宋体" w:hAnsi="宋体" w:eastAsia="宋体" w:cs="Times New Roman"/>
                <w:szCs w:val="21"/>
              </w:rPr>
              <w:t>6.阅读教材解读案例研究</w:t>
            </w:r>
          </w:p>
        </w:tc>
        <w:tc>
          <w:tcPr>
            <w:tcW w:w="1119" w:type="dxa"/>
            <w:vAlign w:val="center"/>
          </w:tcPr>
          <w:p w14:paraId="412FA905">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110" w:type="dxa"/>
            <w:vAlign w:val="center"/>
          </w:tcPr>
          <w:p w14:paraId="5C740134">
            <w:pPr>
              <w:ind w:firstLine="420" w:firstLineChars="200"/>
              <w:jc w:val="left"/>
              <w:rPr>
                <w:rFonts w:hint="eastAsia" w:ascii="宋体" w:hAnsi="宋体" w:eastAsia="宋体" w:cs="Times New Roman"/>
                <w:szCs w:val="21"/>
              </w:rPr>
            </w:pPr>
            <w:r>
              <w:rPr>
                <w:rFonts w:hint="eastAsia" w:ascii="宋体" w:hAnsi="宋体" w:eastAsia="宋体" w:cs="Times New Roman"/>
                <w:szCs w:val="21"/>
              </w:rPr>
              <w:t>通过深入学习汉语拼音、识字、写字的课程目标与内容，学习者将能够熟练掌握拼音规则，理解并应用识字与写字的教学策略。对教材的细致解读将使学习者能够设计出符合学生认知发展的教学活动，有效提升学生的语文基础能力。案例研究将进一步增强学习者分析和应用教学方法的能力，使其能够在实际教学中灵活运用，提高教学效果。</w:t>
            </w:r>
          </w:p>
        </w:tc>
        <w:tc>
          <w:tcPr>
            <w:tcW w:w="1277" w:type="dxa"/>
            <w:vAlign w:val="center"/>
          </w:tcPr>
          <w:p w14:paraId="695F004E">
            <w:pPr>
              <w:jc w:val="left"/>
              <w:rPr>
                <w:rFonts w:hint="eastAsia" w:ascii="宋体" w:hAnsi="宋体" w:eastAsia="宋体" w:cs="Times New Roman"/>
                <w:szCs w:val="21"/>
              </w:rPr>
            </w:pPr>
            <w:r>
              <w:rPr>
                <w:rFonts w:hint="eastAsia" w:ascii="宋体" w:hAnsi="宋体" w:eastAsia="宋体" w:cs="Times New Roman"/>
                <w:szCs w:val="21"/>
              </w:rPr>
              <w:t>1.多媒体教学</w:t>
            </w:r>
          </w:p>
          <w:p w14:paraId="7C9B970F">
            <w:pPr>
              <w:jc w:val="left"/>
              <w:rPr>
                <w:rFonts w:hint="eastAsia" w:ascii="宋体" w:hAnsi="宋体" w:eastAsia="宋体" w:cs="Times New Roman"/>
                <w:szCs w:val="21"/>
              </w:rPr>
            </w:pPr>
            <w:r>
              <w:rPr>
                <w:rFonts w:hint="eastAsia" w:ascii="宋体" w:hAnsi="宋体" w:eastAsia="宋体" w:cs="Times New Roman"/>
                <w:szCs w:val="21"/>
              </w:rPr>
              <w:t>2.课内实践</w:t>
            </w:r>
          </w:p>
          <w:p w14:paraId="77FF1BC6">
            <w:pPr>
              <w:jc w:val="left"/>
              <w:rPr>
                <w:rFonts w:hint="eastAsia" w:ascii="宋体" w:hAnsi="宋体" w:eastAsia="宋体" w:cs="Times New Roman"/>
                <w:szCs w:val="21"/>
              </w:rPr>
            </w:pPr>
            <w:r>
              <w:rPr>
                <w:rFonts w:hint="eastAsia" w:ascii="宋体" w:hAnsi="宋体" w:eastAsia="宋体" w:cs="Times New Roman"/>
                <w:szCs w:val="21"/>
              </w:rPr>
              <w:t>3.案例教学</w:t>
            </w:r>
          </w:p>
        </w:tc>
        <w:tc>
          <w:tcPr>
            <w:tcW w:w="700" w:type="dxa"/>
            <w:vAlign w:val="center"/>
          </w:tcPr>
          <w:p w14:paraId="10D9688E">
            <w:pPr>
              <w:jc w:val="center"/>
              <w:rPr>
                <w:rFonts w:hint="eastAsia" w:ascii="宋体" w:hAnsi="宋体" w:eastAsia="宋体" w:cs="Times New Roman"/>
                <w:szCs w:val="21"/>
              </w:rPr>
            </w:pPr>
            <w:r>
              <w:rPr>
                <w:rFonts w:hint="eastAsia" w:ascii="宋体" w:hAnsi="宋体" w:eastAsia="宋体" w:cs="Times New Roman"/>
                <w:szCs w:val="21"/>
              </w:rPr>
              <w:t>8</w:t>
            </w:r>
          </w:p>
        </w:tc>
      </w:tr>
      <w:tr w14:paraId="1F2DE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54A89F8E">
            <w:pPr>
              <w:jc w:val="center"/>
              <w:rPr>
                <w:rFonts w:hint="eastAsia" w:ascii="宋体" w:hAnsi="宋体" w:eastAsia="宋体" w:cs="Times New Roman"/>
                <w:szCs w:val="21"/>
              </w:rPr>
            </w:pPr>
          </w:p>
        </w:tc>
        <w:tc>
          <w:tcPr>
            <w:tcW w:w="8479" w:type="dxa"/>
            <w:gridSpan w:val="5"/>
            <w:vAlign w:val="center"/>
          </w:tcPr>
          <w:p w14:paraId="63FDEB0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引导学生深入挖掘单元语文要素，通过阅读策略单元的教学解读，培养批判性思维和创新能力，使其能够在未来的教育实践中，有效地将语文知识与思政教育相结合。</w:t>
            </w:r>
          </w:p>
        </w:tc>
      </w:tr>
      <w:tr w14:paraId="0803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1006" w:type="dxa"/>
            <w:vMerge w:val="restart"/>
            <w:vAlign w:val="center"/>
          </w:tcPr>
          <w:p w14:paraId="4058C5D6">
            <w:pPr>
              <w:jc w:val="center"/>
              <w:rPr>
                <w:rFonts w:hint="eastAsia" w:ascii="宋体" w:hAnsi="宋体" w:eastAsia="宋体" w:cs="Times New Roman"/>
                <w:szCs w:val="21"/>
              </w:rPr>
            </w:pPr>
            <w:r>
              <w:rPr>
                <w:rFonts w:hint="eastAsia" w:ascii="宋体" w:hAnsi="宋体" w:eastAsia="宋体" w:cs="Times New Roman"/>
                <w:szCs w:val="21"/>
              </w:rPr>
              <w:t>第五章</w:t>
            </w:r>
          </w:p>
          <w:p w14:paraId="28AA6B93">
            <w:pPr>
              <w:jc w:val="center"/>
              <w:rPr>
                <w:rFonts w:hint="eastAsia" w:ascii="宋体" w:hAnsi="宋体" w:eastAsia="宋体" w:cs="Times New Roman"/>
                <w:szCs w:val="21"/>
              </w:rPr>
            </w:pPr>
            <w:r>
              <w:rPr>
                <w:rFonts w:hint="eastAsia" w:ascii="宋体" w:hAnsi="宋体" w:eastAsia="宋体" w:cs="Times New Roman"/>
                <w:szCs w:val="21"/>
              </w:rPr>
              <w:t>写话、习作教学目标与教材研究</w:t>
            </w:r>
          </w:p>
        </w:tc>
        <w:tc>
          <w:tcPr>
            <w:tcW w:w="2273" w:type="dxa"/>
            <w:vAlign w:val="center"/>
          </w:tcPr>
          <w:p w14:paraId="2CEDAF29">
            <w:pPr>
              <w:jc w:val="left"/>
              <w:rPr>
                <w:rFonts w:hint="eastAsia" w:ascii="宋体" w:hAnsi="宋体" w:eastAsia="宋体" w:cs="Times New Roman"/>
                <w:szCs w:val="21"/>
              </w:rPr>
            </w:pPr>
            <w:r>
              <w:rPr>
                <w:rFonts w:hint="eastAsia" w:ascii="宋体" w:hAnsi="宋体" w:eastAsia="宋体" w:cs="Times New Roman"/>
                <w:szCs w:val="21"/>
              </w:rPr>
              <w:t>1.写话、习作教学目标</w:t>
            </w:r>
          </w:p>
          <w:p w14:paraId="356579AF">
            <w:pPr>
              <w:jc w:val="left"/>
              <w:rPr>
                <w:rFonts w:hint="eastAsia" w:ascii="宋体" w:hAnsi="宋体" w:eastAsia="宋体" w:cs="Times New Roman"/>
                <w:szCs w:val="21"/>
              </w:rPr>
            </w:pPr>
            <w:r>
              <w:rPr>
                <w:rFonts w:hint="eastAsia" w:ascii="宋体" w:hAnsi="宋体" w:eastAsia="宋体" w:cs="Times New Roman"/>
                <w:szCs w:val="21"/>
              </w:rPr>
              <w:t>2.统编本写话、习作教材分析</w:t>
            </w:r>
          </w:p>
          <w:p w14:paraId="10F9F47C">
            <w:pPr>
              <w:jc w:val="left"/>
              <w:rPr>
                <w:rFonts w:hint="eastAsia" w:ascii="宋体" w:hAnsi="宋体" w:eastAsia="宋体" w:cs="Times New Roman"/>
                <w:szCs w:val="21"/>
              </w:rPr>
            </w:pPr>
            <w:r>
              <w:rPr>
                <w:rFonts w:hint="eastAsia" w:ascii="宋体" w:hAnsi="宋体" w:eastAsia="宋体" w:cs="Times New Roman"/>
                <w:szCs w:val="21"/>
              </w:rPr>
              <w:t>3.写话、习作教材解读</w:t>
            </w:r>
          </w:p>
          <w:p w14:paraId="6024FE94">
            <w:pPr>
              <w:jc w:val="left"/>
              <w:rPr>
                <w:rFonts w:hint="eastAsia" w:ascii="宋体" w:hAnsi="宋体" w:eastAsia="宋体" w:cs="Times New Roman"/>
                <w:szCs w:val="21"/>
              </w:rPr>
            </w:pPr>
            <w:r>
              <w:rPr>
                <w:rFonts w:hint="eastAsia" w:ascii="宋体" w:hAnsi="宋体" w:eastAsia="宋体" w:cs="Times New Roman"/>
                <w:szCs w:val="21"/>
              </w:rPr>
              <w:t>4.习作教材教学解读案例研究</w:t>
            </w:r>
          </w:p>
        </w:tc>
        <w:tc>
          <w:tcPr>
            <w:tcW w:w="1119" w:type="dxa"/>
            <w:vAlign w:val="center"/>
          </w:tcPr>
          <w:p w14:paraId="06476330">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110" w:type="dxa"/>
            <w:vAlign w:val="center"/>
          </w:tcPr>
          <w:p w14:paraId="7BB4DFBB">
            <w:pPr>
              <w:ind w:firstLine="420" w:firstLineChars="200"/>
              <w:jc w:val="left"/>
              <w:rPr>
                <w:rFonts w:hint="eastAsia" w:ascii="宋体" w:hAnsi="宋体" w:eastAsia="宋体" w:cs="Times New Roman"/>
                <w:szCs w:val="21"/>
              </w:rPr>
            </w:pPr>
            <w:r>
              <w:rPr>
                <w:rFonts w:hint="eastAsia" w:ascii="宋体" w:hAnsi="宋体" w:eastAsia="宋体" w:cs="Times New Roman"/>
                <w:szCs w:val="21"/>
              </w:rPr>
              <w:t>通过系统学习汉语拼音、识字、写字的课程目标与内容，学习者将深入理解各学段教学要求，掌握拼音、识字、写字的教学方法。教材解读能力将得到提升，能够准确把握教材编排逻辑，设计适宜教学活动。案例研究将增强学习者分析教学实践、提炼有效策略的能力。最终，学习者能针对不同学生特点，灵活运用教学技巧，有效提升学生的汉语拼音、识字、写字能力，为语文学习奠定坚实基础。</w:t>
            </w:r>
          </w:p>
        </w:tc>
        <w:tc>
          <w:tcPr>
            <w:tcW w:w="1277" w:type="dxa"/>
            <w:vAlign w:val="center"/>
          </w:tcPr>
          <w:p w14:paraId="64F80B15">
            <w:pPr>
              <w:jc w:val="left"/>
              <w:rPr>
                <w:rFonts w:hint="eastAsia" w:ascii="宋体" w:hAnsi="宋体" w:eastAsia="宋体" w:cs="Times New Roman"/>
                <w:szCs w:val="21"/>
              </w:rPr>
            </w:pPr>
            <w:r>
              <w:rPr>
                <w:rFonts w:hint="eastAsia" w:ascii="宋体" w:hAnsi="宋体" w:eastAsia="宋体" w:cs="Times New Roman"/>
                <w:szCs w:val="21"/>
              </w:rPr>
              <w:t>1.多媒体教学</w:t>
            </w:r>
          </w:p>
          <w:p w14:paraId="1ACE121A">
            <w:pPr>
              <w:jc w:val="left"/>
              <w:rPr>
                <w:rFonts w:hint="eastAsia" w:ascii="宋体" w:hAnsi="宋体" w:eastAsia="宋体" w:cs="Times New Roman"/>
                <w:szCs w:val="21"/>
              </w:rPr>
            </w:pPr>
            <w:r>
              <w:rPr>
                <w:rFonts w:hint="eastAsia" w:ascii="宋体" w:hAnsi="宋体" w:eastAsia="宋体" w:cs="Times New Roman"/>
                <w:szCs w:val="21"/>
              </w:rPr>
              <w:t>2.课内实践</w:t>
            </w:r>
          </w:p>
          <w:p w14:paraId="6E993161">
            <w:pPr>
              <w:jc w:val="left"/>
              <w:rPr>
                <w:rFonts w:hint="eastAsia" w:ascii="宋体" w:hAnsi="宋体" w:eastAsia="宋体" w:cs="Times New Roman"/>
                <w:szCs w:val="21"/>
              </w:rPr>
            </w:pPr>
            <w:r>
              <w:rPr>
                <w:rFonts w:hint="eastAsia" w:ascii="宋体" w:hAnsi="宋体" w:eastAsia="宋体" w:cs="Times New Roman"/>
                <w:szCs w:val="21"/>
              </w:rPr>
              <w:t>3.案例教学</w:t>
            </w:r>
          </w:p>
        </w:tc>
        <w:tc>
          <w:tcPr>
            <w:tcW w:w="700" w:type="dxa"/>
            <w:vAlign w:val="center"/>
          </w:tcPr>
          <w:p w14:paraId="06085073">
            <w:pPr>
              <w:jc w:val="center"/>
              <w:rPr>
                <w:rFonts w:hint="eastAsia" w:ascii="宋体" w:hAnsi="宋体" w:eastAsia="宋体" w:cs="Times New Roman"/>
                <w:szCs w:val="21"/>
              </w:rPr>
            </w:pPr>
            <w:r>
              <w:rPr>
                <w:rFonts w:hint="eastAsia" w:ascii="宋体" w:hAnsi="宋体" w:eastAsia="宋体" w:cs="Times New Roman"/>
                <w:szCs w:val="21"/>
              </w:rPr>
              <w:t>6</w:t>
            </w:r>
          </w:p>
        </w:tc>
      </w:tr>
      <w:tr w14:paraId="7793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7782A136">
            <w:pPr>
              <w:jc w:val="center"/>
              <w:rPr>
                <w:rFonts w:hint="eastAsia" w:ascii="宋体" w:hAnsi="宋体" w:eastAsia="宋体" w:cs="Times New Roman"/>
                <w:szCs w:val="21"/>
              </w:rPr>
            </w:pPr>
          </w:p>
        </w:tc>
        <w:tc>
          <w:tcPr>
            <w:tcW w:w="8479" w:type="dxa"/>
            <w:gridSpan w:val="5"/>
            <w:vAlign w:val="center"/>
          </w:tcPr>
          <w:p w14:paraId="696F8D7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通过对各学段写话与习作教学课标和教材的深入分析，提升写话与习作教材分析能力，树立正确的价值观和人生观。挖掘写话与习作教材的育人元素。</w:t>
            </w:r>
          </w:p>
        </w:tc>
      </w:tr>
      <w:tr w14:paraId="7844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1006" w:type="dxa"/>
            <w:vMerge w:val="restart"/>
            <w:vAlign w:val="center"/>
          </w:tcPr>
          <w:p w14:paraId="6B0BC657">
            <w:pPr>
              <w:jc w:val="center"/>
              <w:rPr>
                <w:rFonts w:hint="eastAsia" w:ascii="宋体" w:hAnsi="宋体" w:eastAsia="宋体" w:cs="Times New Roman"/>
                <w:szCs w:val="21"/>
              </w:rPr>
            </w:pPr>
            <w:r>
              <w:rPr>
                <w:rFonts w:hint="eastAsia" w:ascii="宋体" w:hAnsi="宋体" w:eastAsia="宋体" w:cs="Times New Roman"/>
                <w:szCs w:val="21"/>
              </w:rPr>
              <w:t>第六章</w:t>
            </w:r>
          </w:p>
          <w:p w14:paraId="3DC4E9B9">
            <w:pPr>
              <w:jc w:val="center"/>
              <w:rPr>
                <w:rFonts w:hint="eastAsia" w:ascii="宋体" w:hAnsi="宋体" w:eastAsia="宋体" w:cs="Times New Roman"/>
                <w:szCs w:val="21"/>
              </w:rPr>
            </w:pPr>
            <w:r>
              <w:rPr>
                <w:rFonts w:hint="eastAsia" w:ascii="宋体" w:hAnsi="宋体" w:eastAsia="宋体" w:cs="Times New Roman"/>
                <w:szCs w:val="21"/>
              </w:rPr>
              <w:t>口语交际教学目标与教材研究</w:t>
            </w:r>
          </w:p>
        </w:tc>
        <w:tc>
          <w:tcPr>
            <w:tcW w:w="2273" w:type="dxa"/>
            <w:vAlign w:val="center"/>
          </w:tcPr>
          <w:p w14:paraId="46472A42">
            <w:pPr>
              <w:jc w:val="left"/>
              <w:rPr>
                <w:rFonts w:hint="eastAsia" w:ascii="宋体" w:hAnsi="宋体" w:eastAsia="宋体" w:cs="Times New Roman"/>
                <w:szCs w:val="21"/>
              </w:rPr>
            </w:pPr>
            <w:r>
              <w:rPr>
                <w:rFonts w:hint="eastAsia" w:ascii="宋体" w:hAnsi="宋体" w:eastAsia="宋体" w:cs="Times New Roman"/>
                <w:szCs w:val="21"/>
              </w:rPr>
              <w:t>1.口语交际教学的课程目标</w:t>
            </w:r>
          </w:p>
          <w:p w14:paraId="332D0DD4">
            <w:pPr>
              <w:jc w:val="left"/>
              <w:rPr>
                <w:rFonts w:hint="eastAsia" w:ascii="宋体" w:hAnsi="宋体" w:eastAsia="宋体" w:cs="Times New Roman"/>
                <w:szCs w:val="21"/>
              </w:rPr>
            </w:pPr>
            <w:r>
              <w:rPr>
                <w:rFonts w:hint="eastAsia" w:ascii="宋体" w:hAnsi="宋体" w:eastAsia="宋体" w:cs="Times New Roman"/>
                <w:szCs w:val="21"/>
              </w:rPr>
              <w:t>2.口语交际教材的教学内容</w:t>
            </w:r>
          </w:p>
          <w:p w14:paraId="62784E69">
            <w:pPr>
              <w:jc w:val="left"/>
              <w:rPr>
                <w:rFonts w:hint="eastAsia" w:ascii="宋体" w:hAnsi="宋体" w:eastAsia="宋体" w:cs="Times New Roman"/>
                <w:szCs w:val="21"/>
              </w:rPr>
            </w:pPr>
            <w:r>
              <w:rPr>
                <w:rFonts w:hint="eastAsia" w:ascii="宋体" w:hAnsi="宋体" w:eastAsia="宋体" w:cs="Times New Roman"/>
                <w:szCs w:val="21"/>
              </w:rPr>
              <w:t>3.口语交际教材的教学解读</w:t>
            </w:r>
          </w:p>
          <w:p w14:paraId="3C650E87">
            <w:pPr>
              <w:jc w:val="left"/>
              <w:rPr>
                <w:rFonts w:hint="eastAsia" w:ascii="宋体" w:hAnsi="宋体" w:eastAsia="宋体" w:cs="Times New Roman"/>
                <w:szCs w:val="21"/>
              </w:rPr>
            </w:pPr>
            <w:r>
              <w:rPr>
                <w:rFonts w:hint="eastAsia" w:ascii="宋体" w:hAnsi="宋体" w:eastAsia="宋体" w:cs="Times New Roman"/>
                <w:szCs w:val="21"/>
              </w:rPr>
              <w:t>4.口语交际教学解读案例研究</w:t>
            </w:r>
          </w:p>
        </w:tc>
        <w:tc>
          <w:tcPr>
            <w:tcW w:w="1119" w:type="dxa"/>
            <w:vAlign w:val="center"/>
          </w:tcPr>
          <w:p w14:paraId="0BEB189A">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110" w:type="dxa"/>
            <w:vAlign w:val="center"/>
          </w:tcPr>
          <w:p w14:paraId="551B9154">
            <w:pPr>
              <w:ind w:firstLine="420" w:firstLineChars="200"/>
              <w:jc w:val="left"/>
              <w:rPr>
                <w:rFonts w:hint="eastAsia" w:ascii="宋体" w:hAnsi="宋体" w:eastAsia="宋体" w:cs="Times New Roman"/>
                <w:szCs w:val="21"/>
              </w:rPr>
            </w:pPr>
            <w:r>
              <w:rPr>
                <w:rFonts w:hint="eastAsia" w:ascii="宋体" w:hAnsi="宋体" w:eastAsia="宋体" w:cs="Times New Roman"/>
                <w:szCs w:val="21"/>
              </w:rPr>
              <w:t>通过深入学习口语交际教学的课程目标、教材内容、教学解读以及课程资源的开发与利用，学习者将能够明确各阶段教学目标，掌握并分析教材内容，能通过案例研究提炼出有效的教学策略，全面提升口语交际教学的实践能力，有效促进学生交际能力的发展。</w:t>
            </w:r>
          </w:p>
        </w:tc>
        <w:tc>
          <w:tcPr>
            <w:tcW w:w="1277" w:type="dxa"/>
            <w:vAlign w:val="center"/>
          </w:tcPr>
          <w:p w14:paraId="1DA32500">
            <w:pPr>
              <w:jc w:val="left"/>
              <w:rPr>
                <w:rFonts w:hint="eastAsia" w:ascii="宋体" w:hAnsi="宋体" w:eastAsia="宋体" w:cs="Times New Roman"/>
                <w:szCs w:val="21"/>
              </w:rPr>
            </w:pPr>
            <w:r>
              <w:rPr>
                <w:rFonts w:hint="eastAsia" w:ascii="宋体" w:hAnsi="宋体" w:eastAsia="宋体" w:cs="Times New Roman"/>
                <w:szCs w:val="21"/>
              </w:rPr>
              <w:t>1.多媒体教学</w:t>
            </w:r>
          </w:p>
          <w:p w14:paraId="16CF308B">
            <w:pPr>
              <w:jc w:val="left"/>
              <w:rPr>
                <w:rFonts w:hint="eastAsia" w:ascii="宋体" w:hAnsi="宋体" w:eastAsia="宋体" w:cs="Times New Roman"/>
                <w:szCs w:val="21"/>
              </w:rPr>
            </w:pPr>
            <w:r>
              <w:rPr>
                <w:rFonts w:hint="eastAsia" w:ascii="宋体" w:hAnsi="宋体" w:eastAsia="宋体" w:cs="Times New Roman"/>
                <w:szCs w:val="21"/>
              </w:rPr>
              <w:t>2.课内实践</w:t>
            </w:r>
          </w:p>
          <w:p w14:paraId="2585F92C">
            <w:pPr>
              <w:jc w:val="left"/>
              <w:rPr>
                <w:rFonts w:hint="eastAsia" w:ascii="宋体" w:hAnsi="宋体" w:eastAsia="宋体" w:cs="Times New Roman"/>
                <w:szCs w:val="21"/>
              </w:rPr>
            </w:pPr>
            <w:r>
              <w:rPr>
                <w:rFonts w:hint="eastAsia" w:ascii="宋体" w:hAnsi="宋体" w:eastAsia="宋体" w:cs="Times New Roman"/>
                <w:szCs w:val="21"/>
              </w:rPr>
              <w:t>3.案例教学</w:t>
            </w:r>
          </w:p>
        </w:tc>
        <w:tc>
          <w:tcPr>
            <w:tcW w:w="700" w:type="dxa"/>
            <w:vAlign w:val="center"/>
          </w:tcPr>
          <w:p w14:paraId="1FB4DB10">
            <w:pPr>
              <w:jc w:val="center"/>
              <w:rPr>
                <w:rFonts w:hint="eastAsia" w:ascii="宋体" w:hAnsi="宋体" w:eastAsia="宋体" w:cs="Times New Roman"/>
                <w:szCs w:val="21"/>
              </w:rPr>
            </w:pPr>
            <w:r>
              <w:rPr>
                <w:rFonts w:hint="eastAsia" w:ascii="宋体" w:hAnsi="宋体" w:eastAsia="宋体" w:cs="Times New Roman"/>
                <w:szCs w:val="21"/>
              </w:rPr>
              <w:t>2</w:t>
            </w:r>
          </w:p>
        </w:tc>
      </w:tr>
      <w:tr w14:paraId="471F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7E859EB4">
            <w:pPr>
              <w:jc w:val="center"/>
              <w:rPr>
                <w:rFonts w:hint="eastAsia" w:ascii="宋体" w:hAnsi="宋体" w:eastAsia="宋体" w:cs="Times New Roman"/>
                <w:szCs w:val="21"/>
              </w:rPr>
            </w:pPr>
          </w:p>
        </w:tc>
        <w:tc>
          <w:tcPr>
            <w:tcW w:w="8479" w:type="dxa"/>
            <w:gridSpan w:val="5"/>
            <w:vAlign w:val="center"/>
          </w:tcPr>
          <w:p w14:paraId="672665E3">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融入教育家精神强化口语交际教学中的理想信念教育，能够理解口语交际中教材中蕴含对国家和民族的深厚情感，以及对社会主义核心价值观的坚定认同</w:t>
            </w:r>
            <w:r>
              <w:rPr>
                <w:rFonts w:ascii="宋体" w:hAnsi="宋体" w:eastAsia="宋体" w:cs="Times New Roman"/>
                <w:szCs w:val="21"/>
              </w:rPr>
              <w:t>。在口语交际中更好地理解和尊重多元文化，培养开放包容的心态和国际视野。在口语交际中积极弘扬中华优秀传统文化，</w:t>
            </w:r>
            <w:r>
              <w:rPr>
                <w:rFonts w:hint="eastAsia" w:ascii="宋体" w:hAnsi="宋体" w:eastAsia="宋体" w:cs="Times New Roman"/>
                <w:szCs w:val="21"/>
              </w:rPr>
              <w:t>知晓</w:t>
            </w:r>
            <w:r>
              <w:rPr>
                <w:rFonts w:ascii="宋体" w:hAnsi="宋体" w:eastAsia="宋体" w:cs="Times New Roman"/>
                <w:szCs w:val="21"/>
              </w:rPr>
              <w:t>通过言语交流</w:t>
            </w:r>
            <w:r>
              <w:rPr>
                <w:rFonts w:hint="eastAsia" w:ascii="宋体" w:hAnsi="宋体" w:eastAsia="宋体" w:cs="Times New Roman"/>
                <w:szCs w:val="21"/>
              </w:rPr>
              <w:t>能够</w:t>
            </w:r>
            <w:r>
              <w:rPr>
                <w:rFonts w:ascii="宋体" w:hAnsi="宋体" w:eastAsia="宋体" w:cs="Times New Roman"/>
                <w:szCs w:val="21"/>
              </w:rPr>
              <w:t>传递正能量</w:t>
            </w:r>
            <w:r>
              <w:rPr>
                <w:rFonts w:hint="eastAsia" w:ascii="宋体" w:hAnsi="宋体" w:eastAsia="宋体" w:cs="Times New Roman"/>
                <w:szCs w:val="21"/>
              </w:rPr>
              <w:t>形成</w:t>
            </w:r>
            <w:r>
              <w:rPr>
                <w:rFonts w:ascii="宋体" w:hAnsi="宋体" w:eastAsia="宋体" w:cs="Times New Roman"/>
                <w:szCs w:val="21"/>
              </w:rPr>
              <w:t>社会责任感和历史使命感，从而在口语交际教学中实现立德树人的根本任务。</w:t>
            </w:r>
          </w:p>
        </w:tc>
      </w:tr>
      <w:tr w14:paraId="0FA2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1" w:hRule="atLeast"/>
          <w:jc w:val="center"/>
        </w:trPr>
        <w:tc>
          <w:tcPr>
            <w:tcW w:w="1006" w:type="dxa"/>
            <w:vMerge w:val="restart"/>
            <w:vAlign w:val="center"/>
          </w:tcPr>
          <w:p w14:paraId="210E71E8">
            <w:pPr>
              <w:jc w:val="center"/>
              <w:rPr>
                <w:rFonts w:hint="eastAsia" w:ascii="宋体" w:hAnsi="宋体" w:eastAsia="宋体" w:cs="Times New Roman"/>
                <w:szCs w:val="21"/>
              </w:rPr>
            </w:pPr>
            <w:r>
              <w:rPr>
                <w:rFonts w:hint="eastAsia" w:ascii="宋体" w:hAnsi="宋体" w:eastAsia="宋体" w:cs="Times New Roman"/>
                <w:szCs w:val="21"/>
              </w:rPr>
              <w:t>第七章综合性学习教学目标与教材研究</w:t>
            </w:r>
          </w:p>
        </w:tc>
        <w:tc>
          <w:tcPr>
            <w:tcW w:w="2273" w:type="dxa"/>
            <w:vAlign w:val="center"/>
          </w:tcPr>
          <w:p w14:paraId="4234947E">
            <w:pPr>
              <w:rPr>
                <w:rFonts w:hint="eastAsia" w:ascii="宋体" w:hAnsi="宋体" w:eastAsia="宋体" w:cs="Times New Roman"/>
                <w:szCs w:val="21"/>
              </w:rPr>
            </w:pPr>
            <w:r>
              <w:rPr>
                <w:rFonts w:hint="eastAsia" w:ascii="宋体" w:hAnsi="宋体" w:eastAsia="宋体" w:cs="Times New Roman"/>
                <w:szCs w:val="21"/>
              </w:rPr>
              <w:t>1.综合性学习的意义与分学段目标</w:t>
            </w:r>
          </w:p>
          <w:p w14:paraId="76317CFD">
            <w:pPr>
              <w:rPr>
                <w:rFonts w:hint="eastAsia" w:ascii="宋体" w:hAnsi="宋体" w:eastAsia="宋体" w:cs="Times New Roman"/>
                <w:szCs w:val="21"/>
              </w:rPr>
            </w:pPr>
            <w:r>
              <w:rPr>
                <w:rFonts w:hint="eastAsia" w:ascii="宋体" w:hAnsi="宋体" w:eastAsia="宋体" w:cs="Times New Roman"/>
                <w:szCs w:val="21"/>
              </w:rPr>
              <w:t>2.综合性学习的特点、类型、过程和评价</w:t>
            </w:r>
          </w:p>
          <w:p w14:paraId="6394E03B">
            <w:pPr>
              <w:rPr>
                <w:rFonts w:hint="eastAsia" w:ascii="宋体" w:hAnsi="宋体" w:eastAsia="宋体" w:cs="Times New Roman"/>
                <w:szCs w:val="21"/>
              </w:rPr>
            </w:pPr>
            <w:r>
              <w:rPr>
                <w:rFonts w:hint="eastAsia" w:ascii="宋体" w:hAnsi="宋体" w:eastAsia="宋体" w:cs="Times New Roman"/>
                <w:szCs w:val="21"/>
              </w:rPr>
              <w:t>3.综合性学习教材内容分析</w:t>
            </w:r>
          </w:p>
          <w:p w14:paraId="616B2E0B">
            <w:pPr>
              <w:rPr>
                <w:rFonts w:hint="eastAsia" w:ascii="宋体" w:hAnsi="宋体" w:eastAsia="宋体" w:cs="Times New Roman"/>
                <w:szCs w:val="21"/>
              </w:rPr>
            </w:pPr>
            <w:r>
              <w:rPr>
                <w:rFonts w:hint="eastAsia" w:ascii="宋体" w:hAnsi="宋体" w:eastAsia="宋体" w:cs="Times New Roman"/>
                <w:szCs w:val="21"/>
              </w:rPr>
              <w:t>4.综合性学习教学建议</w:t>
            </w:r>
          </w:p>
          <w:p w14:paraId="67D24A70">
            <w:pPr>
              <w:rPr>
                <w:rFonts w:hint="eastAsia" w:ascii="宋体" w:hAnsi="宋体" w:eastAsia="宋体" w:cs="Times New Roman"/>
                <w:szCs w:val="21"/>
              </w:rPr>
            </w:pPr>
            <w:r>
              <w:rPr>
                <w:rFonts w:hint="eastAsia" w:ascii="宋体" w:hAnsi="宋体" w:eastAsia="宋体" w:cs="Times New Roman"/>
                <w:szCs w:val="21"/>
              </w:rPr>
              <w:t>5.综合性学习教材教学解读案例研究</w:t>
            </w:r>
          </w:p>
        </w:tc>
        <w:tc>
          <w:tcPr>
            <w:tcW w:w="1119" w:type="dxa"/>
            <w:vAlign w:val="center"/>
          </w:tcPr>
          <w:p w14:paraId="097EA0DA">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110" w:type="dxa"/>
            <w:vAlign w:val="center"/>
          </w:tcPr>
          <w:p w14:paraId="59ED8FD4">
            <w:pPr>
              <w:ind w:firstLine="420" w:firstLineChars="200"/>
              <w:jc w:val="left"/>
              <w:rPr>
                <w:rFonts w:hint="eastAsia" w:ascii="宋体" w:hAnsi="宋体" w:eastAsia="宋体" w:cs="Times New Roman"/>
                <w:szCs w:val="21"/>
              </w:rPr>
            </w:pPr>
            <w:r>
              <w:rPr>
                <w:rFonts w:hint="eastAsia" w:ascii="宋体" w:hAnsi="宋体" w:eastAsia="宋体" w:cs="Times New Roman"/>
                <w:szCs w:val="21"/>
              </w:rPr>
              <w:t>通过学习综合性学习的意义与分学段目标，学习者将能够“理解”综合性学习在促进学生全面发展中的作用，并“设定”适宜的阶段性学习目标。掌握综合性学习的特点、类型、过程和评价方法，使学习者能“识别”不同学习活动类型，有效“规划”和“实施”教学过程，并“评价”学习成效。教材内容分析能力的提升，将使学习者能“分析”教材结构，挖掘教学资源。教学建议的掌握，将帮助学习者“设计”创新教学活动，提高教学效果。案例研究将使学习者“提炼”有效教学策略，增强教学实践的适应性和创新性。</w:t>
            </w:r>
          </w:p>
        </w:tc>
        <w:tc>
          <w:tcPr>
            <w:tcW w:w="1277" w:type="dxa"/>
            <w:vAlign w:val="center"/>
          </w:tcPr>
          <w:p w14:paraId="09B3A08B">
            <w:pPr>
              <w:jc w:val="left"/>
              <w:rPr>
                <w:rFonts w:hint="eastAsia" w:ascii="宋体" w:hAnsi="宋体" w:eastAsia="宋体" w:cs="Times New Roman"/>
                <w:szCs w:val="21"/>
              </w:rPr>
            </w:pPr>
            <w:r>
              <w:rPr>
                <w:rFonts w:hint="eastAsia" w:ascii="宋体" w:hAnsi="宋体" w:eastAsia="宋体" w:cs="Times New Roman"/>
                <w:szCs w:val="21"/>
              </w:rPr>
              <w:t>1.多媒体教学</w:t>
            </w:r>
          </w:p>
          <w:p w14:paraId="4B22B6E2">
            <w:pPr>
              <w:jc w:val="left"/>
              <w:rPr>
                <w:rFonts w:hint="eastAsia" w:ascii="宋体" w:hAnsi="宋体" w:eastAsia="宋体" w:cs="Times New Roman"/>
                <w:szCs w:val="21"/>
              </w:rPr>
            </w:pPr>
            <w:r>
              <w:rPr>
                <w:rFonts w:hint="eastAsia" w:ascii="宋体" w:hAnsi="宋体" w:eastAsia="宋体" w:cs="Times New Roman"/>
                <w:szCs w:val="21"/>
              </w:rPr>
              <w:t>2.课内实践</w:t>
            </w:r>
          </w:p>
          <w:p w14:paraId="0DCED365">
            <w:pPr>
              <w:jc w:val="left"/>
              <w:rPr>
                <w:rFonts w:hint="eastAsia" w:ascii="宋体" w:hAnsi="宋体" w:eastAsia="宋体" w:cs="Times New Roman"/>
                <w:szCs w:val="21"/>
              </w:rPr>
            </w:pPr>
            <w:r>
              <w:rPr>
                <w:rFonts w:hint="eastAsia" w:ascii="宋体" w:hAnsi="宋体" w:eastAsia="宋体" w:cs="Times New Roman"/>
                <w:szCs w:val="21"/>
              </w:rPr>
              <w:t>3.案例教学</w:t>
            </w:r>
          </w:p>
        </w:tc>
        <w:tc>
          <w:tcPr>
            <w:tcW w:w="700" w:type="dxa"/>
            <w:vAlign w:val="center"/>
          </w:tcPr>
          <w:p w14:paraId="5290949E">
            <w:pPr>
              <w:jc w:val="center"/>
              <w:rPr>
                <w:rFonts w:hint="eastAsia" w:ascii="宋体" w:hAnsi="宋体" w:eastAsia="宋体" w:cs="Times New Roman"/>
                <w:szCs w:val="21"/>
              </w:rPr>
            </w:pPr>
            <w:r>
              <w:rPr>
                <w:rFonts w:hint="eastAsia" w:ascii="宋体" w:hAnsi="宋体" w:eastAsia="宋体" w:cs="Times New Roman"/>
                <w:szCs w:val="21"/>
              </w:rPr>
              <w:t>2</w:t>
            </w:r>
          </w:p>
        </w:tc>
      </w:tr>
      <w:tr w14:paraId="082E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14:paraId="63DC0A69">
            <w:pPr>
              <w:jc w:val="center"/>
              <w:rPr>
                <w:rFonts w:hint="eastAsia" w:ascii="宋体" w:hAnsi="宋体" w:eastAsia="宋体" w:cs="Times New Roman"/>
                <w:szCs w:val="21"/>
              </w:rPr>
            </w:pPr>
          </w:p>
        </w:tc>
        <w:tc>
          <w:tcPr>
            <w:tcW w:w="8479" w:type="dxa"/>
            <w:gridSpan w:val="5"/>
            <w:vAlign w:val="center"/>
          </w:tcPr>
          <w:p w14:paraId="0B8854E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分析综合性学习的育人元素，形成学科综合育人的意识。</w:t>
            </w:r>
          </w:p>
        </w:tc>
      </w:tr>
      <w:bookmarkEnd w:id="1310"/>
    </w:tbl>
    <w:p w14:paraId="6C4D3787">
      <w:pPr>
        <w:spacing w:before="62" w:beforeLines="20" w:after="62" w:afterLines="20" w:line="360" w:lineRule="auto"/>
        <w:jc w:val="left"/>
        <w:rPr>
          <w:rFonts w:ascii="Times New Roman" w:hAnsi="Times New Roman" w:eastAsia="宋体" w:cs="Times New Roman"/>
          <w:b/>
          <w:sz w:val="24"/>
        </w:rPr>
      </w:pPr>
      <w:bookmarkStart w:id="1321" w:name="_Toc17563"/>
      <w:bookmarkStart w:id="1322" w:name="_Toc6929"/>
      <w:bookmarkStart w:id="1323" w:name="_Toc15510"/>
      <w:bookmarkStart w:id="1324" w:name="_Toc25043"/>
      <w:bookmarkStart w:id="1325" w:name="_Toc28197"/>
      <w:bookmarkStart w:id="1326" w:name="_Toc21209"/>
      <w:bookmarkStart w:id="1327" w:name="_Toc5531"/>
      <w:r>
        <w:rPr>
          <w:rFonts w:hint="eastAsia" w:ascii="Times New Roman" w:hAnsi="Times New Roman" w:eastAsia="宋体" w:cs="Times New Roman"/>
          <w:b/>
          <w:sz w:val="24"/>
        </w:rPr>
        <w:t>四、目标评价与成绩评定</w:t>
      </w:r>
      <w:bookmarkEnd w:id="1321"/>
      <w:bookmarkEnd w:id="1322"/>
      <w:bookmarkEnd w:id="1323"/>
      <w:bookmarkEnd w:id="1324"/>
      <w:bookmarkEnd w:id="1325"/>
      <w:bookmarkEnd w:id="1326"/>
      <w:bookmarkEnd w:id="1327"/>
    </w:p>
    <w:p w14:paraId="695821CA">
      <w:pPr>
        <w:spacing w:line="360" w:lineRule="auto"/>
        <w:ind w:firstLine="422" w:firstLineChars="200"/>
        <w:jc w:val="left"/>
        <w:outlineLvl w:val="1"/>
        <w:rPr>
          <w:rFonts w:ascii="Times New Roman" w:hAnsi="Times New Roman" w:eastAsia="宋体" w:cs="Times New Roman"/>
          <w:b/>
          <w:szCs w:val="21"/>
        </w:rPr>
      </w:pPr>
      <w:bookmarkStart w:id="1328" w:name="_Toc21811"/>
      <w:r>
        <w:rPr>
          <w:rFonts w:hint="eastAsia" w:ascii="Times New Roman" w:hAnsi="Times New Roman" w:eastAsia="宋体" w:cs="Times New Roman"/>
          <w:b/>
          <w:szCs w:val="21"/>
        </w:rPr>
        <w:t>（一）课程目标评价方式</w:t>
      </w:r>
      <w:bookmarkEnd w:id="1328"/>
    </w:p>
    <w:p w14:paraId="7515240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275"/>
        <w:gridCol w:w="1363"/>
        <w:gridCol w:w="1568"/>
        <w:gridCol w:w="1967"/>
        <w:gridCol w:w="1363"/>
      </w:tblGrid>
      <w:tr w14:paraId="3E6F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restart"/>
            <w:vAlign w:val="center"/>
          </w:tcPr>
          <w:p w14:paraId="47137AE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173" w:type="dxa"/>
            <w:gridSpan w:val="4"/>
            <w:vAlign w:val="center"/>
          </w:tcPr>
          <w:p w14:paraId="515FCF68">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363" w:type="dxa"/>
            <w:vMerge w:val="restart"/>
            <w:vAlign w:val="center"/>
          </w:tcPr>
          <w:p w14:paraId="63A4A58A">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239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Merge w:val="continue"/>
            <w:vAlign w:val="center"/>
          </w:tcPr>
          <w:p w14:paraId="5A82C073">
            <w:pPr>
              <w:spacing w:line="360" w:lineRule="auto"/>
              <w:jc w:val="center"/>
              <w:rPr>
                <w:rFonts w:hint="eastAsia" w:ascii="宋体" w:hAnsi="宋体" w:eastAsia="宋体" w:cs="Times New Roman"/>
                <w:szCs w:val="21"/>
              </w:rPr>
            </w:pPr>
          </w:p>
        </w:tc>
        <w:tc>
          <w:tcPr>
            <w:tcW w:w="1275" w:type="dxa"/>
            <w:vAlign w:val="center"/>
          </w:tcPr>
          <w:p w14:paraId="651DD89D">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363" w:type="dxa"/>
            <w:vAlign w:val="center"/>
          </w:tcPr>
          <w:p w14:paraId="450BDAE6">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568" w:type="dxa"/>
            <w:vAlign w:val="center"/>
          </w:tcPr>
          <w:p w14:paraId="72D9778D">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1967" w:type="dxa"/>
            <w:vAlign w:val="center"/>
          </w:tcPr>
          <w:p w14:paraId="1BCC5FCD">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363" w:type="dxa"/>
            <w:vMerge w:val="continue"/>
            <w:vAlign w:val="center"/>
          </w:tcPr>
          <w:p w14:paraId="0A83ED74">
            <w:pPr>
              <w:spacing w:line="360" w:lineRule="auto"/>
              <w:jc w:val="center"/>
              <w:rPr>
                <w:rFonts w:hint="eastAsia" w:ascii="宋体" w:hAnsi="宋体" w:eastAsia="宋体" w:cs="Times New Roman"/>
                <w:szCs w:val="21"/>
              </w:rPr>
            </w:pPr>
          </w:p>
        </w:tc>
      </w:tr>
      <w:tr w14:paraId="67BC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14:paraId="67A14AD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275" w:type="dxa"/>
            <w:vAlign w:val="center"/>
          </w:tcPr>
          <w:p w14:paraId="31C17A4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667D6BB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8" w:type="dxa"/>
            <w:vAlign w:val="center"/>
          </w:tcPr>
          <w:p w14:paraId="7499DE2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67" w:type="dxa"/>
            <w:vAlign w:val="center"/>
          </w:tcPr>
          <w:p w14:paraId="4DEBC75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694A702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4F6D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14:paraId="41918C1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275" w:type="dxa"/>
            <w:vAlign w:val="center"/>
          </w:tcPr>
          <w:p w14:paraId="07B870C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49CC3A8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8" w:type="dxa"/>
            <w:vAlign w:val="center"/>
          </w:tcPr>
          <w:p w14:paraId="3AEDD62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67" w:type="dxa"/>
            <w:vAlign w:val="center"/>
          </w:tcPr>
          <w:p w14:paraId="513EA90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6BE87213">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4B79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320" w:type="dxa"/>
            <w:vAlign w:val="center"/>
          </w:tcPr>
          <w:p w14:paraId="28FCEAE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275" w:type="dxa"/>
            <w:vAlign w:val="center"/>
          </w:tcPr>
          <w:p w14:paraId="09CB51D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581077D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68" w:type="dxa"/>
            <w:vAlign w:val="center"/>
          </w:tcPr>
          <w:p w14:paraId="0AD2EDF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967" w:type="dxa"/>
            <w:vAlign w:val="center"/>
          </w:tcPr>
          <w:p w14:paraId="58FFFBA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63" w:type="dxa"/>
            <w:vAlign w:val="center"/>
          </w:tcPr>
          <w:p w14:paraId="6F6687EA">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26C05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0" w:type="dxa"/>
            <w:vAlign w:val="center"/>
          </w:tcPr>
          <w:p w14:paraId="7E6A6A50">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275" w:type="dxa"/>
            <w:vAlign w:val="center"/>
          </w:tcPr>
          <w:p w14:paraId="537D6EDB">
            <w:pPr>
              <w:spacing w:line="360" w:lineRule="auto"/>
              <w:jc w:val="center"/>
              <w:rPr>
                <w:rFonts w:hint="eastAsia" w:ascii="宋体" w:hAnsi="宋体" w:eastAsia="宋体" w:cs="Times New Roman"/>
                <w:szCs w:val="21"/>
              </w:rPr>
            </w:pPr>
          </w:p>
        </w:tc>
        <w:tc>
          <w:tcPr>
            <w:tcW w:w="1363" w:type="dxa"/>
            <w:vAlign w:val="center"/>
          </w:tcPr>
          <w:p w14:paraId="0E12A1B3">
            <w:pPr>
              <w:spacing w:line="360" w:lineRule="auto"/>
              <w:jc w:val="center"/>
              <w:rPr>
                <w:rFonts w:hint="eastAsia" w:ascii="宋体" w:hAnsi="宋体" w:eastAsia="宋体" w:cs="Times New Roman"/>
                <w:szCs w:val="21"/>
              </w:rPr>
            </w:pPr>
          </w:p>
        </w:tc>
        <w:tc>
          <w:tcPr>
            <w:tcW w:w="1568" w:type="dxa"/>
            <w:vAlign w:val="center"/>
          </w:tcPr>
          <w:p w14:paraId="7BD21735">
            <w:pPr>
              <w:spacing w:line="360" w:lineRule="auto"/>
              <w:jc w:val="center"/>
              <w:rPr>
                <w:rFonts w:hint="eastAsia" w:ascii="宋体" w:hAnsi="宋体" w:eastAsia="宋体" w:cs="Times New Roman"/>
                <w:szCs w:val="21"/>
              </w:rPr>
            </w:pPr>
          </w:p>
        </w:tc>
        <w:tc>
          <w:tcPr>
            <w:tcW w:w="1967" w:type="dxa"/>
            <w:vAlign w:val="center"/>
          </w:tcPr>
          <w:p w14:paraId="45D13B86">
            <w:pPr>
              <w:spacing w:line="360" w:lineRule="auto"/>
              <w:jc w:val="center"/>
              <w:rPr>
                <w:rFonts w:hint="eastAsia" w:ascii="宋体" w:hAnsi="宋体" w:eastAsia="宋体" w:cs="Times New Roman"/>
                <w:szCs w:val="21"/>
              </w:rPr>
            </w:pPr>
          </w:p>
        </w:tc>
        <w:tc>
          <w:tcPr>
            <w:tcW w:w="1363" w:type="dxa"/>
            <w:vAlign w:val="center"/>
          </w:tcPr>
          <w:p w14:paraId="06E5537B">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C55BDF4">
      <w:pPr>
        <w:spacing w:before="156" w:beforeLines="50" w:line="360" w:lineRule="auto"/>
        <w:ind w:firstLine="632" w:firstLineChars="300"/>
        <w:jc w:val="left"/>
        <w:outlineLvl w:val="1"/>
        <w:rPr>
          <w:rFonts w:ascii="Times New Roman" w:hAnsi="Times New Roman" w:eastAsia="宋体" w:cs="Times New Roman"/>
          <w:b/>
          <w:szCs w:val="21"/>
        </w:rPr>
      </w:pPr>
      <w:bookmarkStart w:id="1329" w:name="_Toc25844"/>
      <w:r>
        <w:rPr>
          <w:rFonts w:hint="eastAsia" w:ascii="Times New Roman" w:hAnsi="Times New Roman" w:eastAsia="宋体" w:cs="Times New Roman"/>
          <w:b/>
          <w:szCs w:val="21"/>
        </w:rPr>
        <w:t>（二）成绩评定细则</w:t>
      </w:r>
      <w:bookmarkEnd w:id="1329"/>
    </w:p>
    <w:p w14:paraId="4064FC0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7E8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256FD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0402FA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971A58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C8E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8CF8429">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C0DEEF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平时作业共3次，包括《义务教育语文课程标准（2022）》中学习任务群概念解释和思维导图1个，识字与写字教材分析1篇，阅读教材分析1篇。</w:t>
            </w:r>
          </w:p>
          <w:p w14:paraId="7D962E6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评分细则：</w:t>
            </w:r>
          </w:p>
          <w:p w14:paraId="05803FF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1.学习任务群概念解释和思维导图</w:t>
            </w:r>
            <w:r>
              <w:rPr>
                <w:rFonts w:ascii="Times New Roman" w:hAnsi="Times New Roman" w:eastAsia="宋体" w:cs="Times New Roman"/>
                <w:szCs w:val="21"/>
              </w:rPr>
              <w:t>：作业需准确解释学习任务群的概念，</w:t>
            </w:r>
            <w:r>
              <w:rPr>
                <w:rFonts w:hint="eastAsia" w:ascii="Times New Roman" w:hAnsi="Times New Roman" w:eastAsia="宋体" w:cs="Times New Roman"/>
                <w:szCs w:val="21"/>
              </w:rPr>
              <w:t>并结合实际解释</w:t>
            </w:r>
            <w:r>
              <w:rPr>
                <w:rFonts w:ascii="Times New Roman" w:hAnsi="Times New Roman" w:eastAsia="宋体" w:cs="Times New Roman"/>
                <w:szCs w:val="21"/>
              </w:rPr>
              <w:t>情境性、实践性、综合性</w:t>
            </w:r>
            <w:r>
              <w:rPr>
                <w:rFonts w:hint="eastAsia" w:ascii="Times New Roman" w:hAnsi="Times New Roman" w:eastAsia="宋体" w:cs="Times New Roman"/>
                <w:szCs w:val="21"/>
              </w:rPr>
              <w:t>的内涵</w:t>
            </w:r>
            <w:r>
              <w:rPr>
                <w:rFonts w:ascii="Times New Roman" w:hAnsi="Times New Roman" w:eastAsia="宋体" w:cs="Times New Roman"/>
                <w:szCs w:val="21"/>
              </w:rPr>
              <w:t>。思维导图应清晰展示</w:t>
            </w:r>
            <w:r>
              <w:rPr>
                <w:rFonts w:hint="eastAsia" w:ascii="Times New Roman" w:hAnsi="Times New Roman" w:eastAsia="宋体" w:cs="Times New Roman"/>
                <w:szCs w:val="21"/>
              </w:rPr>
              <w:t>学习任务群的三个层次六大任务群</w:t>
            </w:r>
            <w:r>
              <w:rPr>
                <w:rFonts w:ascii="Times New Roman" w:hAnsi="Times New Roman" w:eastAsia="宋体" w:cs="Times New Roman"/>
                <w:szCs w:val="21"/>
              </w:rPr>
              <w:t>的结构</w:t>
            </w:r>
            <w:r>
              <w:rPr>
                <w:rFonts w:hint="eastAsia" w:ascii="Times New Roman" w:hAnsi="Times New Roman" w:eastAsia="宋体" w:cs="Times New Roman"/>
                <w:szCs w:val="21"/>
              </w:rPr>
              <w:t>及核心内容</w:t>
            </w:r>
            <w:r>
              <w:rPr>
                <w:rFonts w:ascii="Times New Roman" w:hAnsi="Times New Roman" w:eastAsia="宋体" w:cs="Times New Roman"/>
                <w:szCs w:val="21"/>
              </w:rPr>
              <w:t>。</w:t>
            </w:r>
          </w:p>
          <w:p w14:paraId="24222F3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识字与写字教材分析：作业应深入分析识字与写字教材内容，</w:t>
            </w:r>
            <w:r>
              <w:rPr>
                <w:rFonts w:hint="eastAsia" w:ascii="Times New Roman" w:hAnsi="Times New Roman" w:eastAsia="宋体" w:cs="Times New Roman"/>
                <w:szCs w:val="21"/>
              </w:rPr>
              <w:t>清晰、准确阐述识字单元和随课文识字的教材分析结构、内容和方法。</w:t>
            </w:r>
          </w:p>
          <w:p w14:paraId="4E79ED9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阅读教材分析：作业需对阅读教材进行细致分析，</w:t>
            </w:r>
            <w:r>
              <w:rPr>
                <w:rFonts w:hint="eastAsia" w:ascii="Times New Roman" w:hAnsi="Times New Roman" w:eastAsia="宋体" w:cs="Times New Roman"/>
                <w:szCs w:val="21"/>
              </w:rPr>
              <w:t>包括立足单元、立足文本、立足学情的分析。能够清晰、准确阐述阅读教材的文学性解读和教学性解读的内容和方法。</w:t>
            </w:r>
          </w:p>
          <w:p w14:paraId="369D159F">
            <w:pPr>
              <w:spacing w:line="264"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结合</w:t>
            </w:r>
            <w:r>
              <w:rPr>
                <w:rFonts w:ascii="Times New Roman" w:hAnsi="Times New Roman" w:eastAsia="宋体" w:cs="Times New Roman"/>
                <w:szCs w:val="21"/>
              </w:rPr>
              <w:t>作业的完成度、知识掌握的深度、创造性思考以及与实际教学的结合度</w:t>
            </w:r>
            <w:r>
              <w:rPr>
                <w:rFonts w:hint="eastAsia" w:ascii="Times New Roman" w:hAnsi="Times New Roman" w:eastAsia="宋体" w:cs="Times New Roman"/>
                <w:szCs w:val="21"/>
              </w:rPr>
              <w:t>，</w:t>
            </w:r>
            <w:r>
              <w:rPr>
                <w:rFonts w:ascii="Times New Roman" w:hAnsi="Times New Roman" w:eastAsia="宋体" w:cs="Times New Roman"/>
                <w:szCs w:val="21"/>
              </w:rPr>
              <w:t>优秀作业应全面反映知识点，逻辑清晰，有创造性思考。良好作业应较好地反映所学知识点，陈述较清晰。中等作业应基本反映知识点，陈述基本清楚。及格作业应与所学知识点有一些关系。不及格作业则不能按时完成，或与知识点没有关系，观点错误</w:t>
            </w:r>
            <w:r>
              <w:rPr>
                <w:rFonts w:hint="eastAsia" w:ascii="Times New Roman" w:hAnsi="Times New Roman" w:eastAsia="宋体" w:cs="Times New Roman"/>
                <w:szCs w:val="21"/>
              </w:rPr>
              <w:t>。</w:t>
            </w:r>
          </w:p>
        </w:tc>
        <w:tc>
          <w:tcPr>
            <w:tcW w:w="0" w:type="auto"/>
            <w:vAlign w:val="center"/>
          </w:tcPr>
          <w:p w14:paraId="43534516">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41CF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3C6DAD">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1A484B02">
            <w:pPr>
              <w:widowControl/>
              <w:numPr>
                <w:ilvl w:val="0"/>
                <w:numId w:val="38"/>
              </w:num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出勤与准时（20分）</w:t>
            </w:r>
          </w:p>
          <w:p w14:paraId="6272584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（1）出勤率（10分）按时上课，无迟到、早退现象，缺勤次数。</w:t>
            </w:r>
          </w:p>
          <w:p w14:paraId="57B2743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（2）准时性（10分）能够准时到达教室，准备上课。</w:t>
            </w:r>
          </w:p>
          <w:p w14:paraId="7422221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2.课堂参与（30分）</w:t>
            </w:r>
          </w:p>
          <w:p w14:paraId="5C820B8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（1）积极参与（10分）主动参与课堂讨论，积极回答问题。</w:t>
            </w:r>
          </w:p>
          <w:p w14:paraId="0401A8D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（2）互动交流（10分）与同学和教师有效互动，包括提问、讨论和反馈。</w:t>
            </w:r>
          </w:p>
          <w:p w14:paraId="4EB715AC">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（3）学习态度（10分）在课堂上专注，认真听讲和做笔记。</w:t>
            </w:r>
          </w:p>
          <w:p w14:paraId="60C751F5">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3.理解与应用（20分）</w:t>
            </w:r>
          </w:p>
          <w:p w14:paraId="59A0021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（1）理解深度（10分）准确理解教学内容，对复杂概念有深刻见解。</w:t>
            </w:r>
          </w:p>
          <w:p w14:paraId="6A7DF1C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（2）应用能力（10分）能够将所学知识应用到实际教学设计中，解决实际问题。</w:t>
            </w:r>
          </w:p>
          <w:p w14:paraId="7CB0E73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4.反思与创新（30分）</w:t>
            </w:r>
          </w:p>
          <w:p w14:paraId="29A3CC6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（1）能够对自己的学习过程和结果进行反思，提出改进意见。（15分）</w:t>
            </w:r>
          </w:p>
          <w:p w14:paraId="0BE46827">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（2）能够提出创新的教学设计想法，对现有教学方法进行批判性思考。（15分）</w:t>
            </w:r>
          </w:p>
        </w:tc>
        <w:tc>
          <w:tcPr>
            <w:tcW w:w="0" w:type="auto"/>
            <w:vAlign w:val="center"/>
          </w:tcPr>
          <w:p w14:paraId="547C5B8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23D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12F78F2">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7141" w:type="dxa"/>
            <w:vAlign w:val="center"/>
          </w:tcPr>
          <w:p w14:paraId="253FAB1D">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2次课内实践：课标分析1次，识字教材分析1次、阅读教材分析1次。</w:t>
            </w:r>
          </w:p>
          <w:p w14:paraId="16945127">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评分细则：</w:t>
            </w:r>
          </w:p>
          <w:p w14:paraId="52FA01EF">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1.《义务教育语文课程标准（2022）》小组研读</w:t>
            </w:r>
            <w:r>
              <w:rPr>
                <w:rFonts w:ascii="Times New Roman" w:hAnsi="Times New Roman" w:eastAsia="宋体" w:cs="Times New Roman"/>
                <w:szCs w:val="21"/>
              </w:rPr>
              <w:t>：</w:t>
            </w:r>
          </w:p>
          <w:p w14:paraId="5C291393">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理解与掌握：小组成员需准确理解“学习任务群”的概念，包括其情境性、实践性、综合性，并能在讨论中清晰表达。（20分）</w:t>
            </w:r>
          </w:p>
          <w:p w14:paraId="2EE0E1DE">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分析与应用：成员应能分析识字与写字、阅读、写话与习作等教材内容如何支持学习任务群的实施，并提出具体的教学应用建议。（20分）</w:t>
            </w:r>
          </w:p>
          <w:p w14:paraId="0445D7F8">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创新与实践：鼓励小组提出创新的教学方法或活动，以促进学生核心素养的发展，如跨学科项目、真实情境模拟等。（20分）</w:t>
            </w:r>
          </w:p>
          <w:p w14:paraId="067B022A">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合作与交流：小组成员在研读过程中应展现良好的合作精神，有效沟通，共同完成分析报告，并在汇报中清晰表达小组观点。（20分）</w:t>
            </w:r>
          </w:p>
          <w:p w14:paraId="380EBA2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批判性思维：小组能够批判性地分析教材内容与课程标准之间的关联，提出建设性的改进建议，体现深度思考。（20分）</w:t>
            </w:r>
          </w:p>
          <w:p w14:paraId="28087383">
            <w:pPr>
              <w:widowControl/>
              <w:spacing w:line="264"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每个关键点的评分将基于小组成员在讨论、分析、报告撰写和汇报中的表现。优秀的表现将获得该项满分，良好表现获得一半以上分数，而表现不佳则分数较低。最终得分将综合所有小组成员的个人贡献和小组整体表现。</w:t>
            </w:r>
          </w:p>
          <w:p w14:paraId="67444067">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识字与写字教材分析：</w:t>
            </w:r>
          </w:p>
          <w:p w14:paraId="4067AB2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（1）准确性（40分）：评估学生对汉字笔画、笔顺和偏旁部首的正确掌握程度。每个错误扣除5分，直到该项分数扣完。</w:t>
            </w:r>
          </w:p>
          <w:p w14:paraId="641CC03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（2）完整性（30分）：评价学生分析教材时是否全面覆盖了识字教学的关键点，包括教材内容的组织、教学方法的应用以及对学生识字能力提升的效果。</w:t>
            </w:r>
          </w:p>
          <w:p w14:paraId="3E060246">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（3）逻辑性（20分）：考察学生在分析教材时逻辑是否清晰，是否能够条理清楚地阐述教材分析的各个部分，以及它们之间的联系。</w:t>
            </w:r>
          </w:p>
          <w:p w14:paraId="0792158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（4）创新性（10分）：鼓励学生在教材分析中提出创新的教学方法或对现有教材内容的改进建议，体现学生的创造性思考。</w:t>
            </w:r>
          </w:p>
          <w:p w14:paraId="0A512E5F">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阅读教材分析：</w:t>
            </w:r>
          </w:p>
          <w:p w14:paraId="676CA0D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结构分析（20分）：能够清晰地分析课文的结构布局，包括篇章构造、段落安排以及句子间的逻辑关系。要求学生展现出对课文组织逻辑的深刻理解。</w:t>
            </w:r>
          </w:p>
          <w:p w14:paraId="4D62558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文学性解读（30分）：考察学生对课文文学价值的把握，包括主题思想、艺术特色、语言风格等。学生需要展现出对作者创作意图和文本审美特点的深入分析。</w:t>
            </w:r>
          </w:p>
          <w:p w14:paraId="50771F1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教学性解读（30分）：</w:t>
            </w:r>
            <w:r>
              <w:rPr>
                <w:rFonts w:hint="eastAsia" w:ascii="Times New Roman" w:hAnsi="Times New Roman" w:eastAsia="宋体" w:cs="Times New Roman"/>
                <w:szCs w:val="21"/>
              </w:rPr>
              <w:t>准确解读教辅文本，</w:t>
            </w:r>
            <w:r>
              <w:rPr>
                <w:rFonts w:ascii="Times New Roman" w:hAnsi="Times New Roman" w:eastAsia="宋体" w:cs="Times New Roman"/>
                <w:szCs w:val="21"/>
              </w:rPr>
              <w:t>转化为教学实践，包括教学目标的设定、教学方法的选择以及学生学习活动的规划。</w:t>
            </w:r>
          </w:p>
          <w:p w14:paraId="04EF838E">
            <w:pPr>
              <w:widowControl/>
              <w:spacing w:line="264" w:lineRule="auto"/>
              <w:jc w:val="left"/>
              <w:rPr>
                <w:rFonts w:hint="eastAsia" w:ascii="宋体" w:hAnsi="宋体" w:eastAsia="宋体" w:cs="宋体"/>
                <w:kern w:val="0"/>
                <w:szCs w:val="21"/>
                <w:lang w:bidi="ar"/>
              </w:rPr>
            </w:pPr>
            <w:r>
              <w:rPr>
                <w:rFonts w:hint="eastAsia" w:ascii="Times New Roman" w:hAnsi="Times New Roman" w:eastAsia="宋体" w:cs="Times New Roman"/>
                <w:szCs w:val="21"/>
              </w:rPr>
              <w:t>（4）</w:t>
            </w:r>
            <w:r>
              <w:rPr>
                <w:rFonts w:ascii="Times New Roman" w:hAnsi="Times New Roman" w:eastAsia="宋体" w:cs="Times New Roman"/>
                <w:szCs w:val="21"/>
              </w:rPr>
              <w:t>方法</w:t>
            </w:r>
            <w:r>
              <w:rPr>
                <w:rFonts w:hint="eastAsia" w:ascii="Times New Roman" w:hAnsi="Times New Roman" w:eastAsia="宋体" w:cs="Times New Roman"/>
                <w:szCs w:val="21"/>
              </w:rPr>
              <w:t>适当</w:t>
            </w:r>
            <w:r>
              <w:rPr>
                <w:rFonts w:ascii="Times New Roman" w:hAnsi="Times New Roman" w:eastAsia="宋体" w:cs="Times New Roman"/>
                <w:szCs w:val="21"/>
              </w:rPr>
              <w:t>（20分）：</w:t>
            </w:r>
            <w:r>
              <w:rPr>
                <w:rFonts w:hint="eastAsia" w:ascii="Times New Roman" w:hAnsi="Times New Roman" w:eastAsia="宋体" w:cs="Times New Roman"/>
                <w:szCs w:val="21"/>
              </w:rPr>
              <w:t>恰当运用分析方法，准确解读阅读文本。</w:t>
            </w:r>
          </w:p>
        </w:tc>
        <w:tc>
          <w:tcPr>
            <w:tcW w:w="0" w:type="auto"/>
            <w:vAlign w:val="center"/>
          </w:tcPr>
          <w:p w14:paraId="739690C9">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05D7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26035F">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55C226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期末考试为笔试，包括四种题型：填空题、简答题、论述题、文本解读。以下为试卷评分标准。（具体见每学期试卷评分标准）</w:t>
            </w:r>
          </w:p>
          <w:p w14:paraId="5AA0FA3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1.内容准确性：</w:t>
            </w:r>
            <w:r>
              <w:rPr>
                <w:rFonts w:ascii="宋体" w:hAnsi="宋体" w:eastAsia="宋体" w:cs="宋体"/>
                <w:kern w:val="0"/>
                <w:szCs w:val="21"/>
                <w:lang w:bidi="ar"/>
              </w:rPr>
              <w:t>（</w:t>
            </w:r>
            <w:r>
              <w:rPr>
                <w:rFonts w:hint="eastAsia" w:ascii="宋体" w:hAnsi="宋体" w:eastAsia="宋体" w:cs="宋体"/>
                <w:kern w:val="0"/>
                <w:szCs w:val="21"/>
                <w:lang w:bidi="ar"/>
              </w:rPr>
              <w:t>2</w:t>
            </w:r>
            <w:r>
              <w:rPr>
                <w:rFonts w:ascii="宋体" w:hAnsi="宋体" w:eastAsia="宋体" w:cs="宋体"/>
                <w:kern w:val="0"/>
                <w:szCs w:val="21"/>
                <w:lang w:bidi="ar"/>
              </w:rPr>
              <w:t>0分）</w:t>
            </w:r>
          </w:p>
          <w:p w14:paraId="6CAD368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2.逻辑性和条理性：（20分）</w:t>
            </w:r>
          </w:p>
          <w:p w14:paraId="4C10B0C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3.深度和广度：（10分）</w:t>
            </w:r>
          </w:p>
          <w:p w14:paraId="3759B77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创新性和创造性：</w:t>
            </w:r>
            <w:r>
              <w:rPr>
                <w:rFonts w:hint="eastAsia" w:ascii="Times New Roman" w:hAnsi="Times New Roman" w:eastAsia="宋体" w:cs="Times New Roman"/>
                <w:szCs w:val="21"/>
              </w:rPr>
              <w:t>（10分）</w:t>
            </w:r>
          </w:p>
          <w:p w14:paraId="07DFA0B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5.语言</w:t>
            </w:r>
            <w:r>
              <w:rPr>
                <w:rFonts w:ascii="Times New Roman" w:hAnsi="Times New Roman" w:eastAsia="宋体" w:cs="Times New Roman"/>
                <w:szCs w:val="21"/>
              </w:rPr>
              <w:t>表达：</w:t>
            </w:r>
            <w:r>
              <w:rPr>
                <w:rFonts w:hint="eastAsia" w:ascii="Times New Roman" w:hAnsi="Times New Roman" w:eastAsia="宋体" w:cs="Times New Roman"/>
                <w:szCs w:val="21"/>
              </w:rPr>
              <w:t>（10分）</w:t>
            </w:r>
          </w:p>
          <w:p w14:paraId="2925D344">
            <w:pPr>
              <w:widowControl/>
              <w:spacing w:line="264" w:lineRule="auto"/>
              <w:jc w:val="left"/>
              <w:rPr>
                <w:rFonts w:hint="eastAsia" w:ascii="宋体" w:hAnsi="宋体" w:eastAsia="宋体" w:cs="宋体"/>
                <w:kern w:val="0"/>
                <w:szCs w:val="21"/>
                <w:lang w:bidi="ar"/>
              </w:rPr>
            </w:pPr>
            <w:r>
              <w:rPr>
                <w:rFonts w:hint="eastAsia" w:ascii="Times New Roman" w:hAnsi="Times New Roman" w:eastAsia="宋体" w:cs="Times New Roman"/>
                <w:szCs w:val="21"/>
              </w:rPr>
              <w:t>6.文本解读（因课文具体篇目不同，详见试卷评分标准）（30分）</w:t>
            </w:r>
          </w:p>
        </w:tc>
        <w:tc>
          <w:tcPr>
            <w:tcW w:w="0" w:type="auto"/>
            <w:vAlign w:val="center"/>
          </w:tcPr>
          <w:p w14:paraId="2B26AD6C">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2412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4DDD20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CCF102B">
            <w:pPr>
              <w:jc w:val="left"/>
              <w:rPr>
                <w:rFonts w:ascii="Times New Roman" w:hAnsi="Times New Roman" w:eastAsia="宋体" w:cs="Times New Roman"/>
                <w:szCs w:val="21"/>
              </w:rPr>
            </w:pPr>
          </w:p>
        </w:tc>
        <w:tc>
          <w:tcPr>
            <w:tcW w:w="0" w:type="auto"/>
            <w:vAlign w:val="center"/>
          </w:tcPr>
          <w:p w14:paraId="7EABE8E1">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29D0666">
      <w:pPr>
        <w:spacing w:line="360" w:lineRule="auto"/>
        <w:ind w:firstLine="632" w:firstLineChars="300"/>
        <w:jc w:val="left"/>
        <w:outlineLvl w:val="1"/>
        <w:rPr>
          <w:rFonts w:hint="eastAsia" w:ascii="宋体" w:hAnsi="宋体" w:eastAsia="宋体" w:cs="Times New Roman"/>
          <w:b/>
          <w:szCs w:val="21"/>
        </w:rPr>
      </w:pPr>
      <w:bookmarkStart w:id="1330" w:name="_Toc32608"/>
      <w:r>
        <w:rPr>
          <w:rFonts w:hint="eastAsia" w:ascii="宋体" w:hAnsi="宋体" w:eastAsia="宋体" w:cs="Times New Roman"/>
          <w:b/>
          <w:szCs w:val="21"/>
        </w:rPr>
        <w:t>（三）课程目标达成度计算方法</w:t>
      </w:r>
      <w:bookmarkEnd w:id="1330"/>
    </w:p>
    <w:p w14:paraId="3D0B5BE9">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77D1BFD9">
      <w:pPr>
        <w:spacing w:line="360" w:lineRule="auto"/>
        <w:rPr>
          <w:rFonts w:hint="eastAsia" w:ascii="宋体" w:hAnsi="宋体" w:eastAsia="宋体" w:cs="Times New Roman"/>
          <w:szCs w:val="21"/>
        </w:rPr>
      </w:pPr>
      <w:r>
        <w:rPr>
          <w:rFonts w:ascii="宋体" w:hAnsi="宋体" w:eastAsia="宋体" w:cs="Times New Roman"/>
          <w:szCs w:val="21"/>
        </w:rPr>
        <w:object>
          <v:shape id="_x0000_i1063"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63" DrawAspect="Content" ObjectID="_1468075763" r:id="rId51">
            <o:LockedField>false</o:LockedField>
          </o:OLEObject>
        </w:object>
      </w:r>
    </w:p>
    <w:p w14:paraId="44B9EF9A">
      <w:pPr>
        <w:spacing w:before="62" w:beforeLines="20" w:after="62" w:afterLines="20" w:line="360" w:lineRule="auto"/>
        <w:jc w:val="left"/>
        <w:rPr>
          <w:rFonts w:ascii="Times New Roman" w:hAnsi="Times New Roman" w:eastAsia="宋体" w:cs="Times New Roman"/>
          <w:b/>
          <w:sz w:val="24"/>
        </w:rPr>
      </w:pPr>
      <w:bookmarkStart w:id="1331" w:name="_Toc19218"/>
      <w:bookmarkStart w:id="1332" w:name="_Toc20828"/>
      <w:bookmarkStart w:id="1333" w:name="_Toc16037"/>
      <w:bookmarkStart w:id="1334" w:name="_Toc2914"/>
      <w:bookmarkStart w:id="1335" w:name="_Toc18884"/>
      <w:bookmarkStart w:id="1336" w:name="_Toc7021"/>
      <w:bookmarkStart w:id="1337" w:name="_Toc27572"/>
      <w:r>
        <w:rPr>
          <w:rFonts w:hint="eastAsia" w:ascii="Times New Roman" w:hAnsi="Times New Roman" w:eastAsia="宋体" w:cs="Times New Roman"/>
          <w:b/>
          <w:sz w:val="24"/>
        </w:rPr>
        <w:t>五、课程实践</w:t>
      </w:r>
      <w:bookmarkEnd w:id="1331"/>
      <w:bookmarkEnd w:id="1332"/>
      <w:bookmarkEnd w:id="1333"/>
      <w:bookmarkEnd w:id="1334"/>
      <w:bookmarkEnd w:id="1335"/>
      <w:bookmarkEnd w:id="1336"/>
      <w:bookmarkEnd w:id="1337"/>
    </w:p>
    <w:p w14:paraId="2C29C5E2">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tbl>
      <w:tblPr>
        <w:tblStyle w:val="16"/>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637"/>
        <w:gridCol w:w="1167"/>
        <w:gridCol w:w="4325"/>
      </w:tblGrid>
      <w:tr w14:paraId="365E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525" w:type="dxa"/>
            <w:vAlign w:val="center"/>
          </w:tcPr>
          <w:p w14:paraId="599927E5">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1637" w:type="dxa"/>
            <w:vAlign w:val="center"/>
          </w:tcPr>
          <w:p w14:paraId="639C7041">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1167" w:type="dxa"/>
            <w:vAlign w:val="center"/>
          </w:tcPr>
          <w:p w14:paraId="038B5551">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4325" w:type="dxa"/>
            <w:vAlign w:val="center"/>
          </w:tcPr>
          <w:p w14:paraId="1354C6E4">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2BBD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25" w:type="dxa"/>
            <w:vAlign w:val="center"/>
          </w:tcPr>
          <w:p w14:paraId="6E7A3660">
            <w:pPr>
              <w:spacing w:line="276" w:lineRule="auto"/>
              <w:jc w:val="center"/>
              <w:rPr>
                <w:rFonts w:hint="eastAsia" w:ascii="宋体" w:hAnsi="宋体" w:eastAsia="宋体" w:cs="宋体"/>
                <w:szCs w:val="21"/>
              </w:rPr>
            </w:pPr>
            <w:r>
              <w:rPr>
                <w:rFonts w:hint="eastAsia" w:ascii="宋体" w:hAnsi="宋体" w:eastAsia="宋体" w:cs="宋体"/>
                <w:szCs w:val="21"/>
              </w:rPr>
              <w:t>课标研读</w:t>
            </w:r>
          </w:p>
        </w:tc>
        <w:tc>
          <w:tcPr>
            <w:tcW w:w="1637" w:type="dxa"/>
            <w:vAlign w:val="center"/>
          </w:tcPr>
          <w:p w14:paraId="6184F3AA">
            <w:pPr>
              <w:spacing w:line="276" w:lineRule="auto"/>
              <w:rPr>
                <w:rFonts w:hint="eastAsia" w:ascii="宋体" w:hAnsi="宋体" w:eastAsia="宋体" w:cs="宋体"/>
                <w:szCs w:val="21"/>
              </w:rPr>
            </w:pPr>
            <w:r>
              <w:rPr>
                <w:rFonts w:hint="eastAsia" w:ascii="宋体" w:hAnsi="宋体" w:eastAsia="宋体" w:cs="宋体"/>
                <w:szCs w:val="21"/>
              </w:rPr>
              <w:t>小组分工合作研读《义务教育语文课程标准（2022）》</w:t>
            </w:r>
          </w:p>
        </w:tc>
        <w:tc>
          <w:tcPr>
            <w:tcW w:w="1167" w:type="dxa"/>
            <w:vAlign w:val="center"/>
          </w:tcPr>
          <w:p w14:paraId="4484A516">
            <w:pPr>
              <w:spacing w:line="276" w:lineRule="auto"/>
              <w:jc w:val="center"/>
              <w:rPr>
                <w:rFonts w:hint="eastAsia" w:ascii="宋体" w:hAnsi="宋体" w:eastAsia="宋体" w:cs="宋体"/>
                <w:szCs w:val="21"/>
              </w:rPr>
            </w:pPr>
            <w:r>
              <w:rPr>
                <w:rFonts w:hint="eastAsia" w:ascii="宋体" w:hAnsi="宋体" w:eastAsia="宋体" w:cs="宋体"/>
                <w:szCs w:val="21"/>
              </w:rPr>
              <w:t>小组汇报</w:t>
            </w:r>
          </w:p>
        </w:tc>
        <w:tc>
          <w:tcPr>
            <w:tcW w:w="4325" w:type="dxa"/>
            <w:vAlign w:val="center"/>
          </w:tcPr>
          <w:p w14:paraId="2FBE1F26">
            <w:pPr>
              <w:spacing w:line="276" w:lineRule="auto"/>
              <w:jc w:val="left"/>
              <w:rPr>
                <w:rFonts w:hint="eastAsia" w:ascii="宋体" w:hAnsi="宋体" w:eastAsia="宋体" w:cs="宋体"/>
                <w:szCs w:val="21"/>
              </w:rPr>
            </w:pPr>
            <w:r>
              <w:rPr>
                <w:rFonts w:hint="eastAsia" w:ascii="宋体" w:hAnsi="宋体" w:eastAsia="宋体" w:cs="宋体"/>
                <w:szCs w:val="21"/>
              </w:rPr>
              <w:t>准确把握小学语文课程性质、理念，理解语文课程在立德树人过程中的独特作用；熟悉核心素养的具体内涵及在课程目标、课程内容、学业质量标准、课程实施等内容中的具体表现，初步形成以文化人的责任感。</w:t>
            </w:r>
          </w:p>
        </w:tc>
      </w:tr>
      <w:tr w14:paraId="3E98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525" w:type="dxa"/>
            <w:vAlign w:val="center"/>
          </w:tcPr>
          <w:p w14:paraId="2B62A4FA">
            <w:pPr>
              <w:spacing w:line="276" w:lineRule="auto"/>
              <w:jc w:val="center"/>
              <w:rPr>
                <w:rFonts w:hint="eastAsia" w:ascii="宋体" w:hAnsi="宋体" w:eastAsia="宋体" w:cs="宋体"/>
                <w:szCs w:val="21"/>
              </w:rPr>
            </w:pPr>
            <w:r>
              <w:rPr>
                <w:rFonts w:hint="eastAsia" w:ascii="宋体" w:hAnsi="宋体" w:eastAsia="宋体" w:cs="宋体"/>
                <w:szCs w:val="21"/>
              </w:rPr>
              <w:t>识字教材分析（选做）</w:t>
            </w:r>
          </w:p>
        </w:tc>
        <w:tc>
          <w:tcPr>
            <w:tcW w:w="1637" w:type="dxa"/>
            <w:vAlign w:val="center"/>
          </w:tcPr>
          <w:p w14:paraId="025FDC45">
            <w:pPr>
              <w:spacing w:line="276" w:lineRule="auto"/>
              <w:rPr>
                <w:rFonts w:hint="eastAsia" w:ascii="宋体" w:hAnsi="宋体" w:eastAsia="宋体" w:cs="宋体"/>
                <w:szCs w:val="21"/>
              </w:rPr>
            </w:pPr>
            <w:r>
              <w:rPr>
                <w:rFonts w:hint="eastAsia" w:ascii="宋体" w:hAnsi="宋体" w:eastAsia="宋体" w:cs="宋体"/>
                <w:szCs w:val="21"/>
              </w:rPr>
              <w:t>识字单元和阅读单元的文本解读</w:t>
            </w:r>
          </w:p>
        </w:tc>
        <w:tc>
          <w:tcPr>
            <w:tcW w:w="1167" w:type="dxa"/>
            <w:vAlign w:val="center"/>
          </w:tcPr>
          <w:p w14:paraId="3292078D">
            <w:pPr>
              <w:spacing w:line="276" w:lineRule="auto"/>
              <w:jc w:val="center"/>
              <w:rPr>
                <w:rFonts w:hint="eastAsia" w:ascii="宋体" w:hAnsi="宋体" w:eastAsia="宋体" w:cs="宋体"/>
                <w:szCs w:val="21"/>
              </w:rPr>
            </w:pPr>
            <w:r>
              <w:rPr>
                <w:rFonts w:hint="eastAsia" w:ascii="宋体" w:hAnsi="宋体" w:eastAsia="宋体" w:cs="宋体"/>
                <w:szCs w:val="21"/>
              </w:rPr>
              <w:t>小组讨论</w:t>
            </w:r>
          </w:p>
        </w:tc>
        <w:tc>
          <w:tcPr>
            <w:tcW w:w="4325" w:type="dxa"/>
            <w:vAlign w:val="center"/>
          </w:tcPr>
          <w:p w14:paraId="273886D1">
            <w:pPr>
              <w:spacing w:line="276" w:lineRule="auto"/>
              <w:jc w:val="left"/>
              <w:rPr>
                <w:rFonts w:hint="eastAsia" w:ascii="宋体" w:hAnsi="宋体" w:eastAsia="宋体" w:cs="宋体"/>
                <w:szCs w:val="21"/>
              </w:rPr>
            </w:pPr>
            <w:r>
              <w:rPr>
                <w:rFonts w:hint="eastAsia" w:ascii="宋体" w:hAnsi="宋体" w:eastAsia="宋体" w:cs="宋体"/>
                <w:szCs w:val="21"/>
              </w:rPr>
              <w:t>通过识字教材解读案例，了解识字与写字教学中蕴含的中华优秀传统文化，形成文化自信。</w:t>
            </w:r>
          </w:p>
        </w:tc>
      </w:tr>
      <w:tr w14:paraId="7506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25" w:type="dxa"/>
            <w:vAlign w:val="center"/>
          </w:tcPr>
          <w:p w14:paraId="04523AA5">
            <w:pPr>
              <w:spacing w:line="276" w:lineRule="auto"/>
              <w:jc w:val="center"/>
              <w:rPr>
                <w:rFonts w:hint="eastAsia" w:ascii="宋体" w:hAnsi="宋体" w:eastAsia="宋体" w:cs="宋体"/>
                <w:szCs w:val="21"/>
              </w:rPr>
            </w:pPr>
            <w:r>
              <w:rPr>
                <w:rFonts w:hint="eastAsia" w:ascii="宋体" w:hAnsi="宋体" w:eastAsia="宋体" w:cs="宋体"/>
                <w:szCs w:val="21"/>
              </w:rPr>
              <w:t>阅读教材分析</w:t>
            </w:r>
          </w:p>
        </w:tc>
        <w:tc>
          <w:tcPr>
            <w:tcW w:w="1637" w:type="dxa"/>
            <w:vAlign w:val="center"/>
          </w:tcPr>
          <w:p w14:paraId="61A0785F">
            <w:pPr>
              <w:adjustRightInd w:val="0"/>
              <w:snapToGrid w:val="0"/>
              <w:spacing w:line="276" w:lineRule="auto"/>
              <w:rPr>
                <w:rFonts w:hint="eastAsia" w:ascii="宋体" w:hAnsi="宋体" w:eastAsia="宋体" w:cs="宋体"/>
                <w:szCs w:val="21"/>
              </w:rPr>
            </w:pPr>
            <w:r>
              <w:rPr>
                <w:rFonts w:hint="eastAsia" w:ascii="宋体" w:hAnsi="宋体" w:eastAsia="宋体" w:cs="宋体"/>
                <w:szCs w:val="21"/>
              </w:rPr>
              <w:t>低中高段阅读教材文本解读</w:t>
            </w:r>
          </w:p>
        </w:tc>
        <w:tc>
          <w:tcPr>
            <w:tcW w:w="1167" w:type="dxa"/>
            <w:vAlign w:val="center"/>
          </w:tcPr>
          <w:p w14:paraId="6436C9B3">
            <w:pPr>
              <w:spacing w:line="276" w:lineRule="auto"/>
              <w:jc w:val="center"/>
              <w:rPr>
                <w:rFonts w:hint="eastAsia" w:ascii="宋体" w:hAnsi="宋体" w:eastAsia="宋体" w:cs="宋体"/>
                <w:szCs w:val="21"/>
              </w:rPr>
            </w:pPr>
            <w:r>
              <w:rPr>
                <w:rFonts w:hint="eastAsia" w:ascii="宋体" w:hAnsi="宋体" w:eastAsia="宋体" w:cs="宋体"/>
                <w:szCs w:val="21"/>
              </w:rPr>
              <w:t>案例分析</w:t>
            </w:r>
          </w:p>
        </w:tc>
        <w:tc>
          <w:tcPr>
            <w:tcW w:w="4325" w:type="dxa"/>
            <w:vAlign w:val="center"/>
          </w:tcPr>
          <w:p w14:paraId="24E4B52A">
            <w:pPr>
              <w:spacing w:line="276" w:lineRule="auto"/>
              <w:jc w:val="left"/>
              <w:rPr>
                <w:rFonts w:hint="eastAsia" w:ascii="宋体" w:hAnsi="宋体" w:eastAsia="宋体" w:cs="宋体"/>
                <w:szCs w:val="21"/>
              </w:rPr>
            </w:pPr>
            <w:r>
              <w:rPr>
                <w:rFonts w:hint="eastAsia" w:ascii="宋体" w:hAnsi="宋体" w:eastAsia="宋体" w:cs="宋体"/>
                <w:szCs w:val="21"/>
              </w:rPr>
              <w:t>通过不同学段的阅读教材分析，了解和欣赏中华文化的多样性和丰富性，增强对民族文化的自信和传承意识。</w:t>
            </w:r>
          </w:p>
        </w:tc>
      </w:tr>
      <w:tr w14:paraId="11E0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25" w:type="dxa"/>
            <w:vAlign w:val="center"/>
          </w:tcPr>
          <w:p w14:paraId="23714D5F">
            <w:pPr>
              <w:spacing w:line="276" w:lineRule="auto"/>
              <w:jc w:val="center"/>
              <w:rPr>
                <w:rFonts w:hint="eastAsia" w:ascii="宋体" w:hAnsi="宋体" w:eastAsia="宋体" w:cs="宋体"/>
                <w:szCs w:val="21"/>
              </w:rPr>
            </w:pPr>
            <w:r>
              <w:rPr>
                <w:rFonts w:hint="eastAsia" w:ascii="宋体" w:hAnsi="宋体" w:eastAsia="宋体" w:cs="宋体"/>
                <w:szCs w:val="21"/>
              </w:rPr>
              <w:t>写话与习作教材分析（选做）</w:t>
            </w:r>
          </w:p>
        </w:tc>
        <w:tc>
          <w:tcPr>
            <w:tcW w:w="1637" w:type="dxa"/>
            <w:vAlign w:val="center"/>
          </w:tcPr>
          <w:p w14:paraId="4CB1EDEF">
            <w:pPr>
              <w:spacing w:line="276" w:lineRule="auto"/>
              <w:rPr>
                <w:rFonts w:hint="eastAsia" w:ascii="宋体" w:hAnsi="宋体" w:eastAsia="宋体" w:cs="宋体"/>
                <w:szCs w:val="21"/>
              </w:rPr>
            </w:pPr>
            <w:r>
              <w:rPr>
                <w:rFonts w:hint="eastAsia" w:ascii="宋体" w:hAnsi="宋体" w:eastAsia="宋体" w:cs="宋体"/>
                <w:szCs w:val="21"/>
              </w:rPr>
              <w:t>写话、习作文本解读</w:t>
            </w:r>
          </w:p>
        </w:tc>
        <w:tc>
          <w:tcPr>
            <w:tcW w:w="1167" w:type="dxa"/>
            <w:vAlign w:val="center"/>
          </w:tcPr>
          <w:p w14:paraId="6101BB0B">
            <w:pPr>
              <w:spacing w:line="276" w:lineRule="auto"/>
              <w:jc w:val="center"/>
              <w:rPr>
                <w:rFonts w:hint="eastAsia" w:ascii="宋体" w:hAnsi="宋体" w:eastAsia="宋体" w:cs="宋体"/>
                <w:szCs w:val="21"/>
              </w:rPr>
            </w:pPr>
            <w:r>
              <w:rPr>
                <w:rFonts w:hint="eastAsia" w:ascii="宋体" w:hAnsi="宋体" w:eastAsia="宋体" w:cs="宋体"/>
                <w:szCs w:val="21"/>
              </w:rPr>
              <w:t>案例分析</w:t>
            </w:r>
          </w:p>
        </w:tc>
        <w:tc>
          <w:tcPr>
            <w:tcW w:w="4325" w:type="dxa"/>
            <w:vAlign w:val="center"/>
          </w:tcPr>
          <w:p w14:paraId="1A71914E">
            <w:pPr>
              <w:spacing w:line="276" w:lineRule="auto"/>
              <w:jc w:val="left"/>
              <w:rPr>
                <w:rFonts w:hint="eastAsia" w:ascii="宋体" w:hAnsi="宋体" w:eastAsia="宋体" w:cs="宋体"/>
                <w:szCs w:val="21"/>
              </w:rPr>
            </w:pPr>
            <w:r>
              <w:rPr>
                <w:rFonts w:hint="eastAsia" w:ascii="宋体" w:hAnsi="宋体" w:eastAsia="宋体" w:cs="宋体"/>
                <w:szCs w:val="21"/>
              </w:rPr>
              <w:t>通过写话与习作教材育人元素的分析，形成立德树人意识。</w:t>
            </w:r>
          </w:p>
        </w:tc>
      </w:tr>
    </w:tbl>
    <w:p w14:paraId="5DE8D69A">
      <w:pPr>
        <w:spacing w:before="62" w:beforeLines="20" w:after="62" w:afterLines="20" w:line="360" w:lineRule="auto"/>
        <w:jc w:val="left"/>
        <w:rPr>
          <w:rFonts w:ascii="Times New Roman" w:hAnsi="Times New Roman" w:eastAsia="宋体" w:cs="Times New Roman"/>
          <w:b/>
          <w:sz w:val="24"/>
        </w:rPr>
      </w:pPr>
      <w:bookmarkStart w:id="1338" w:name="_Toc13576"/>
      <w:bookmarkStart w:id="1339" w:name="_Toc27947"/>
      <w:bookmarkStart w:id="1340" w:name="_Toc11274"/>
      <w:bookmarkStart w:id="1341" w:name="_Toc40"/>
      <w:bookmarkStart w:id="1342" w:name="_Toc31125"/>
      <w:bookmarkStart w:id="1343" w:name="_Toc32594"/>
      <w:bookmarkStart w:id="1344" w:name="_Toc7118"/>
      <w:r>
        <w:rPr>
          <w:rFonts w:hint="eastAsia" w:ascii="Times New Roman" w:hAnsi="Times New Roman" w:eastAsia="宋体" w:cs="Times New Roman"/>
          <w:b/>
          <w:sz w:val="24"/>
        </w:rPr>
        <w:t>六、有关说明</w:t>
      </w:r>
      <w:bookmarkEnd w:id="1338"/>
      <w:bookmarkEnd w:id="1339"/>
      <w:bookmarkEnd w:id="1340"/>
      <w:bookmarkEnd w:id="1341"/>
      <w:bookmarkEnd w:id="1342"/>
      <w:bookmarkEnd w:id="1343"/>
      <w:bookmarkEnd w:id="1344"/>
    </w:p>
    <w:p w14:paraId="487DB30D">
      <w:pPr>
        <w:spacing w:line="360" w:lineRule="auto"/>
        <w:ind w:firstLine="422" w:firstLineChars="200"/>
        <w:jc w:val="left"/>
        <w:outlineLvl w:val="1"/>
        <w:rPr>
          <w:rFonts w:ascii="Times New Roman" w:hAnsi="Times New Roman" w:eastAsia="宋体" w:cs="Times New Roman"/>
          <w:b/>
          <w:szCs w:val="21"/>
        </w:rPr>
      </w:pPr>
      <w:bookmarkStart w:id="1345" w:name="_Toc26970"/>
      <w:r>
        <w:rPr>
          <w:rFonts w:hint="eastAsia" w:ascii="Times New Roman" w:hAnsi="Times New Roman" w:eastAsia="宋体" w:cs="Times New Roman"/>
          <w:b/>
          <w:szCs w:val="21"/>
        </w:rPr>
        <w:t>（一）持续改进</w:t>
      </w:r>
      <w:bookmarkEnd w:id="1345"/>
    </w:p>
    <w:p w14:paraId="194AE326">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本课程根据学生作业、课堂讨论、模拟教学、说课、平时考核情况和学生、教学督导等的反馈，及时对教学中的不足之处进行改进，并在下一轮课程教学中整改完善，确保相应毕业要求指标点达成。</w:t>
      </w:r>
    </w:p>
    <w:p w14:paraId="68F8F215">
      <w:pPr>
        <w:spacing w:line="360" w:lineRule="auto"/>
        <w:ind w:firstLine="422" w:firstLineChars="200"/>
        <w:jc w:val="left"/>
        <w:outlineLvl w:val="1"/>
        <w:rPr>
          <w:rFonts w:ascii="Times New Roman" w:hAnsi="Times New Roman" w:eastAsia="宋体" w:cs="Times New Roman"/>
          <w:b/>
          <w:szCs w:val="21"/>
        </w:rPr>
      </w:pPr>
      <w:bookmarkStart w:id="1346" w:name="_Toc22481"/>
      <w:r>
        <w:rPr>
          <w:rFonts w:hint="eastAsia" w:ascii="Times New Roman" w:hAnsi="Times New Roman" w:eastAsia="宋体" w:cs="Times New Roman"/>
          <w:b/>
          <w:szCs w:val="21"/>
        </w:rPr>
        <w:t>（二）建议教材</w:t>
      </w:r>
      <w:bookmarkEnd w:id="1346"/>
    </w:p>
    <w:p w14:paraId="316C0232">
      <w:pPr>
        <w:spacing w:line="360" w:lineRule="auto"/>
        <w:ind w:firstLine="420" w:firstLineChars="200"/>
        <w:jc w:val="left"/>
        <w:rPr>
          <w:rFonts w:hint="eastAsia" w:ascii="宋体" w:hAnsi="宋体" w:eastAsia="宋体" w:cs="宋体"/>
          <w:szCs w:val="21"/>
        </w:rPr>
      </w:pPr>
      <w:r>
        <w:rPr>
          <w:rFonts w:hint="eastAsia" w:ascii="Times New Roman" w:hAnsi="Times New Roman" w:eastAsia="宋体" w:cs="Times New Roman"/>
          <w:bCs/>
          <w:szCs w:val="21"/>
        </w:rPr>
        <w:t>1.</w:t>
      </w:r>
      <w:r>
        <w:rPr>
          <w:rFonts w:hint="eastAsia" w:ascii="宋体" w:hAnsi="宋体" w:eastAsia="宋体" w:cs="宋体"/>
          <w:szCs w:val="21"/>
        </w:rPr>
        <w:t>吴忠豪.小学语文课程标准与教材研究.中国人民大学出版社，2023.</w:t>
      </w:r>
    </w:p>
    <w:p w14:paraId="179D0797">
      <w:pPr>
        <w:spacing w:line="360" w:lineRule="auto"/>
        <w:ind w:firstLine="422" w:firstLineChars="200"/>
        <w:jc w:val="left"/>
        <w:outlineLvl w:val="1"/>
        <w:rPr>
          <w:rFonts w:ascii="Times New Roman" w:hAnsi="Times New Roman" w:eastAsia="宋体" w:cs="Times New Roman"/>
          <w:b/>
          <w:szCs w:val="21"/>
        </w:rPr>
      </w:pPr>
      <w:bookmarkStart w:id="1347" w:name="_Toc24773"/>
      <w:r>
        <w:rPr>
          <w:rFonts w:hint="eastAsia" w:ascii="Times New Roman" w:hAnsi="Times New Roman" w:eastAsia="宋体" w:cs="Times New Roman"/>
          <w:b/>
          <w:szCs w:val="21"/>
        </w:rPr>
        <w:t>（三）参考书目</w:t>
      </w:r>
      <w:bookmarkEnd w:id="1347"/>
    </w:p>
    <w:p w14:paraId="7E38F402">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1.夏家发.小学语文教学设计与案例研究.北京：科学出版社，2018.</w:t>
      </w:r>
    </w:p>
    <w:p w14:paraId="69F5EDDB">
      <w:pPr>
        <w:spacing w:line="360" w:lineRule="auto"/>
        <w:ind w:firstLine="420" w:firstLineChars="200"/>
        <w:rPr>
          <w:rFonts w:hint="eastAsia" w:ascii="等线" w:hAnsi="等线" w:eastAsia="等线" w:cs="Times New Roman"/>
          <w:szCs w:val="22"/>
        </w:rPr>
      </w:pPr>
      <w:r>
        <w:rPr>
          <w:rFonts w:hint="eastAsia" w:ascii="Times New Roman" w:hAnsi="Times New Roman" w:eastAsia="宋体" w:cs="Times New Roman"/>
          <w:bCs/>
          <w:szCs w:val="21"/>
        </w:rPr>
        <w:t>2.汪潮.小学语文部编版教材文本解读及学习设计.福山：福建教育出版社，2017.</w:t>
      </w:r>
    </w:p>
    <w:p w14:paraId="1AB2D196">
      <w:pPr>
        <w:spacing w:line="360" w:lineRule="auto"/>
        <w:jc w:val="right"/>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 xml:space="preserve">  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周冬梅</w:t>
      </w:r>
    </w:p>
    <w:p w14:paraId="591F37F7">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王  健</w:t>
      </w:r>
    </w:p>
    <w:p w14:paraId="1DB2DBB8">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71A3E547">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批准时间：2025年7月1日</w:t>
      </w:r>
    </w:p>
    <w:p w14:paraId="379FC0EA">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06B8AF0C">
      <w:pPr>
        <w:spacing w:line="360" w:lineRule="auto"/>
        <w:jc w:val="center"/>
        <w:outlineLvl w:val="0"/>
        <w:rPr>
          <w:rFonts w:ascii="Times New Roman" w:hAnsi="Times New Roman" w:eastAsia="宋体" w:cs="Times New Roman"/>
          <w:b/>
          <w:sz w:val="40"/>
          <w:szCs w:val="40"/>
        </w:rPr>
      </w:pPr>
      <w:bookmarkStart w:id="1348" w:name="_Toc32227"/>
      <w:bookmarkStart w:id="1349" w:name="_Toc5820"/>
      <w:bookmarkStart w:id="1350" w:name="_Toc312156114"/>
      <w:bookmarkStart w:id="1351" w:name="_Toc31883"/>
      <w:bookmarkStart w:id="1352" w:name="_Toc11750"/>
      <w:r>
        <w:rPr>
          <w:rFonts w:hint="eastAsia" w:ascii="Times New Roman" w:hAnsi="Times New Roman" w:eastAsia="宋体" w:cs="Times New Roman"/>
          <w:b/>
          <w:sz w:val="40"/>
          <w:szCs w:val="40"/>
        </w:rPr>
        <w:t>《小学道德与法治课程与教学论》课程教学大纲</w:t>
      </w:r>
      <w:bookmarkEnd w:id="1348"/>
      <w:bookmarkEnd w:id="1349"/>
      <w:bookmarkEnd w:id="1350"/>
      <w:bookmarkEnd w:id="1351"/>
      <w:bookmarkEnd w:id="1352"/>
    </w:p>
    <w:p w14:paraId="76201142">
      <w:pPr>
        <w:spacing w:line="360" w:lineRule="auto"/>
        <w:jc w:val="center"/>
        <w:rPr>
          <w:rFonts w:ascii="Times New Roman" w:hAnsi="Times New Roman" w:eastAsia="宋体" w:cs="Times New Roman"/>
          <w:b/>
          <w:bCs/>
          <w:sz w:val="28"/>
          <w:szCs w:val="28"/>
        </w:rPr>
      </w:pPr>
      <w:bookmarkStart w:id="1353" w:name="_Toc32672"/>
      <w:bookmarkStart w:id="1354" w:name="_Toc16735"/>
      <w:bookmarkStart w:id="1355" w:name="_Toc6839"/>
      <w:bookmarkStart w:id="1356" w:name="_Toc8134"/>
      <w:bookmarkStart w:id="1357" w:name="_Toc10281"/>
      <w:bookmarkStart w:id="1358" w:name="_Toc30053"/>
      <w:bookmarkStart w:id="1359" w:name="_Toc20018"/>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The Theory of Curriculum and Instruction in Primary School Morality and Law</w:t>
      </w:r>
      <w:r>
        <w:rPr>
          <w:rFonts w:hint="eastAsia" w:ascii="Times New Roman" w:hAnsi="Times New Roman" w:eastAsia="宋体" w:cs="Times New Roman"/>
          <w:b/>
          <w:bCs/>
          <w:sz w:val="28"/>
          <w:szCs w:val="28"/>
        </w:rPr>
        <w:t>）</w:t>
      </w:r>
      <w:bookmarkEnd w:id="1353"/>
      <w:bookmarkEnd w:id="1354"/>
      <w:bookmarkEnd w:id="1355"/>
      <w:bookmarkEnd w:id="1356"/>
      <w:bookmarkEnd w:id="1357"/>
      <w:bookmarkEnd w:id="1358"/>
      <w:bookmarkEnd w:id="1359"/>
    </w:p>
    <w:p w14:paraId="47431021">
      <w:pPr>
        <w:spacing w:line="360" w:lineRule="auto"/>
        <w:ind w:firstLine="422" w:firstLineChars="200"/>
        <w:rPr>
          <w:rFonts w:ascii="Times New Roman" w:hAnsi="Times New Roman" w:eastAsia="宋体" w:cs="Times New Roman"/>
          <w:b/>
          <w:bCs/>
          <w:kern w:val="0"/>
          <w:szCs w:val="20"/>
        </w:rPr>
      </w:pPr>
    </w:p>
    <w:p w14:paraId="72CEA544">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课程名称：小学道德与法治课程</w:t>
      </w:r>
      <w:r>
        <w:rPr>
          <w:rFonts w:hint="eastAsia" w:ascii="Cambria" w:hAnsi="Cambria" w:eastAsia="宋体" w:cs="Cambria"/>
          <w:b/>
          <w:bCs/>
          <w:kern w:val="0"/>
          <w:sz w:val="24"/>
          <w:szCs w:val="22"/>
        </w:rPr>
        <w:t>与</w:t>
      </w:r>
      <w:r>
        <w:rPr>
          <w:rFonts w:hint="eastAsia" w:ascii="Times New Roman" w:hAnsi="Times New Roman" w:eastAsia="宋体" w:cs="Times New Roman"/>
          <w:b/>
          <w:bCs/>
          <w:kern w:val="0"/>
          <w:sz w:val="24"/>
          <w:szCs w:val="22"/>
        </w:rPr>
        <w:t>教学论</w:t>
      </w:r>
    </w:p>
    <w:p w14:paraId="7CA71564">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课程代码：</w:t>
      </w:r>
      <w:r>
        <w:rPr>
          <w:rFonts w:ascii="Times New Roman" w:hAnsi="Times New Roman" w:eastAsia="宋体" w:cs="Times New Roman"/>
          <w:b/>
          <w:bCs/>
          <w:kern w:val="0"/>
          <w:sz w:val="24"/>
          <w:szCs w:val="22"/>
        </w:rPr>
        <w:t>2401040</w:t>
      </w:r>
    </w:p>
    <w:p w14:paraId="30EC888D">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学  分：2</w:t>
      </w:r>
    </w:p>
    <w:p w14:paraId="7D3F605C">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学  时：32（其中：讲授学时1</w:t>
      </w:r>
      <w:r>
        <w:rPr>
          <w:rFonts w:ascii="Times New Roman" w:hAnsi="Times New Roman" w:eastAsia="宋体" w:cs="Times New Roman"/>
          <w:b/>
          <w:bCs/>
          <w:kern w:val="0"/>
          <w:sz w:val="24"/>
          <w:szCs w:val="22"/>
        </w:rPr>
        <w:t>6</w:t>
      </w:r>
      <w:r>
        <w:rPr>
          <w:rFonts w:hint="eastAsia" w:ascii="Times New Roman" w:hAnsi="Times New Roman" w:eastAsia="宋体" w:cs="Times New Roman"/>
          <w:b/>
          <w:bCs/>
          <w:kern w:val="0"/>
          <w:sz w:val="24"/>
          <w:szCs w:val="22"/>
        </w:rPr>
        <w:t>，课内实践1</w:t>
      </w:r>
      <w:r>
        <w:rPr>
          <w:rFonts w:ascii="Times New Roman" w:hAnsi="Times New Roman" w:eastAsia="宋体" w:cs="Times New Roman"/>
          <w:b/>
          <w:bCs/>
          <w:kern w:val="0"/>
          <w:sz w:val="24"/>
          <w:szCs w:val="22"/>
        </w:rPr>
        <w:t>6</w:t>
      </w:r>
      <w:r>
        <w:rPr>
          <w:rFonts w:hint="eastAsia" w:ascii="Times New Roman" w:hAnsi="Times New Roman" w:eastAsia="宋体" w:cs="Times New Roman"/>
          <w:b/>
          <w:bCs/>
          <w:kern w:val="0"/>
          <w:sz w:val="24"/>
          <w:szCs w:val="22"/>
        </w:rPr>
        <w:t>）</w:t>
      </w:r>
    </w:p>
    <w:p w14:paraId="0360B325">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先修课程：课程与教学论、教育原理、小学心理学</w:t>
      </w:r>
    </w:p>
    <w:p w14:paraId="2FC54086">
      <w:pPr>
        <w:spacing w:line="360" w:lineRule="auto"/>
        <w:ind w:firstLine="482" w:firstLineChars="200"/>
        <w:rPr>
          <w:rFonts w:ascii="Times New Roman" w:hAnsi="Times New Roman" w:eastAsia="宋体" w:cs="Times New Roman"/>
          <w:b/>
          <w:bCs/>
          <w:kern w:val="0"/>
          <w:sz w:val="24"/>
          <w:szCs w:val="22"/>
        </w:rPr>
      </w:pPr>
      <w:r>
        <w:rPr>
          <w:rFonts w:hint="eastAsia" w:ascii="Times New Roman" w:hAnsi="Times New Roman" w:eastAsia="宋体" w:cs="Times New Roman"/>
          <w:b/>
          <w:bCs/>
          <w:kern w:val="0"/>
          <w:sz w:val="24"/>
          <w:szCs w:val="22"/>
        </w:rPr>
        <w:t>适用专业：小学教育（文）</w:t>
      </w:r>
    </w:p>
    <w:p w14:paraId="3D49235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39DE2942">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小学道德与法治课程与教学论是小学教育专业的必修课程。该课程是以研究小学道德与法治课程的发展、教学目标、课程结构与教材、教学过程与常用方法以及课程评价等为主要内容，旨在培养师范生的道德与法治教育教学能力，实现培养专业化的小学道德与法治课程教师为教育目标。</w:t>
      </w:r>
    </w:p>
    <w:p w14:paraId="1AE1A298">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5D275DFC">
      <w:pPr>
        <w:spacing w:line="360" w:lineRule="auto"/>
        <w:ind w:firstLine="422" w:firstLineChars="200"/>
        <w:rPr>
          <w:rFonts w:hint="eastAsia" w:ascii="宋体" w:hAnsi="宋体" w:eastAsia="宋体" w:cs="宋体"/>
          <w:b/>
          <w:kern w:val="0"/>
          <w:szCs w:val="20"/>
        </w:rPr>
      </w:pPr>
      <w:r>
        <w:rPr>
          <w:rFonts w:hint="eastAsia" w:ascii="宋体" w:hAnsi="宋体" w:eastAsia="宋体" w:cs="宋体"/>
          <w:b/>
          <w:kern w:val="0"/>
          <w:szCs w:val="20"/>
        </w:rPr>
        <w:t>（一）课程具体目标</w:t>
      </w:r>
    </w:p>
    <w:p w14:paraId="4A4D724D">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目标1.了解道德与法治课程的综合性，理解当前道德与法治课程的最新教育理念，对道德与法治教学理念的变迁有较好的理解。</w:t>
      </w:r>
    </w:p>
    <w:p w14:paraId="1826C114">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目标2.熟悉小学道德与法治的课程标准、教材体系、教学内容，掌握小学道德与法治课程设计的基本原理、模式和设计原则，能进行运用。</w:t>
      </w:r>
    </w:p>
    <w:p w14:paraId="21C9CC39">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目标3.能反思学生学习方式与道德与法治课程的适洽性，将学生的品德学习与社会生活紧密相连，主动探索合作学习、探究学习等多样化的道德学习方式，探索开发丰富的教学资源。</w:t>
      </w:r>
    </w:p>
    <w:p w14:paraId="55AC63C6">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目标4.能综合采用多种评价方式测量学生的品德发展状况，认同“以评价促发展”的教育观念。</w:t>
      </w:r>
    </w:p>
    <w:p w14:paraId="517C7E31">
      <w:pPr>
        <w:spacing w:line="360" w:lineRule="auto"/>
        <w:ind w:firstLine="420" w:firstLineChars="200"/>
        <w:rPr>
          <w:rFonts w:hint="eastAsia" w:ascii="宋体" w:hAnsi="宋体" w:eastAsia="宋体" w:cs="宋体"/>
          <w:kern w:val="0"/>
          <w:szCs w:val="20"/>
        </w:rPr>
      </w:pPr>
      <w:r>
        <w:rPr>
          <w:rFonts w:hint="eastAsia" w:ascii="宋体" w:hAnsi="宋体" w:eastAsia="宋体" w:cs="宋体"/>
          <w:kern w:val="0"/>
          <w:szCs w:val="20"/>
        </w:rPr>
        <w:t>目标5.认识小学道德与法治课教师的专业化发展趋势，掌握小学道德与法治教师必备的专业素养与教学技能。</w:t>
      </w:r>
    </w:p>
    <w:p w14:paraId="300200C8">
      <w:pPr>
        <w:spacing w:line="360" w:lineRule="auto"/>
        <w:ind w:firstLine="422" w:firstLineChars="200"/>
        <w:rPr>
          <w:rFonts w:hint="eastAsia" w:ascii="宋体" w:hAnsi="宋体" w:eastAsia="宋体" w:cs="宋体"/>
          <w:b/>
          <w:kern w:val="0"/>
          <w:szCs w:val="20"/>
        </w:rPr>
      </w:pPr>
      <w:r>
        <w:rPr>
          <w:rFonts w:hint="eastAsia" w:ascii="宋体" w:hAnsi="宋体" w:eastAsia="宋体" w:cs="宋体"/>
          <w:b/>
          <w:kern w:val="0"/>
          <w:szCs w:val="20"/>
        </w:rPr>
        <w:t>（二）课程目标与专业毕业要求的关系</w:t>
      </w:r>
    </w:p>
    <w:tbl>
      <w:tblPr>
        <w:tblStyle w:val="12"/>
        <w:tblW w:w="8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5721"/>
        <w:gridCol w:w="1520"/>
      </w:tblGrid>
      <w:tr w14:paraId="6BB9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362" w:type="dxa"/>
            <w:vAlign w:val="center"/>
          </w:tcPr>
          <w:p w14:paraId="57E4D079">
            <w:pPr>
              <w:adjustRightInd w:val="0"/>
              <w:snapToGrid w:val="0"/>
              <w:jc w:val="center"/>
              <w:rPr>
                <w:rFonts w:hint="eastAsia" w:ascii="宋体" w:hAnsi="宋体" w:eastAsia="宋体" w:cs="宋体"/>
                <w:b/>
                <w:kern w:val="0"/>
                <w:szCs w:val="21"/>
              </w:rPr>
            </w:pPr>
            <w:r>
              <w:rPr>
                <w:rFonts w:hint="eastAsia" w:ascii="宋体" w:hAnsi="宋体" w:eastAsia="宋体" w:cs="宋体"/>
                <w:b/>
                <w:kern w:val="0"/>
                <w:szCs w:val="21"/>
              </w:rPr>
              <w:t>毕业要求</w:t>
            </w:r>
          </w:p>
        </w:tc>
        <w:tc>
          <w:tcPr>
            <w:tcW w:w="5721" w:type="dxa"/>
            <w:vAlign w:val="center"/>
          </w:tcPr>
          <w:p w14:paraId="001E874E">
            <w:pPr>
              <w:adjustRightInd w:val="0"/>
              <w:snapToGrid w:val="0"/>
              <w:jc w:val="center"/>
              <w:rPr>
                <w:rFonts w:hint="eastAsia" w:ascii="宋体" w:hAnsi="宋体" w:eastAsia="宋体" w:cs="宋体"/>
                <w:b/>
                <w:kern w:val="0"/>
                <w:szCs w:val="21"/>
              </w:rPr>
            </w:pPr>
            <w:r>
              <w:rPr>
                <w:rFonts w:hint="eastAsia" w:ascii="宋体" w:hAnsi="宋体" w:eastAsia="宋体" w:cs="宋体"/>
                <w:b/>
                <w:kern w:val="0"/>
                <w:szCs w:val="21"/>
              </w:rPr>
              <w:t>毕业要求指标点</w:t>
            </w:r>
          </w:p>
        </w:tc>
        <w:tc>
          <w:tcPr>
            <w:tcW w:w="1520" w:type="dxa"/>
            <w:vAlign w:val="center"/>
          </w:tcPr>
          <w:p w14:paraId="2E396A8B">
            <w:pPr>
              <w:adjustRightInd w:val="0"/>
              <w:snapToGrid w:val="0"/>
              <w:jc w:val="center"/>
              <w:rPr>
                <w:rFonts w:hint="eastAsia" w:ascii="宋体" w:hAnsi="宋体" w:eastAsia="宋体" w:cs="宋体"/>
                <w:b/>
                <w:kern w:val="0"/>
                <w:szCs w:val="21"/>
              </w:rPr>
            </w:pPr>
            <w:r>
              <w:rPr>
                <w:rFonts w:hint="eastAsia" w:ascii="宋体" w:hAnsi="宋体" w:eastAsia="宋体" w:cs="宋体"/>
                <w:b/>
                <w:kern w:val="0"/>
                <w:szCs w:val="21"/>
              </w:rPr>
              <w:t>课程目标</w:t>
            </w:r>
          </w:p>
        </w:tc>
      </w:tr>
      <w:tr w14:paraId="089C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362" w:type="dxa"/>
            <w:vMerge w:val="restart"/>
            <w:vAlign w:val="center"/>
          </w:tcPr>
          <w:p w14:paraId="373E98CE">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毕业要求4:</w:t>
            </w:r>
          </w:p>
          <w:p w14:paraId="7778F145">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教学能力</w:t>
            </w:r>
          </w:p>
        </w:tc>
        <w:tc>
          <w:tcPr>
            <w:tcW w:w="5721" w:type="dxa"/>
            <w:vAlign w:val="center"/>
          </w:tcPr>
          <w:p w14:paraId="75CCED7B">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kern w:val="0"/>
                <w:szCs w:val="21"/>
              </w:rPr>
              <w:t>指标点4-1</w:t>
            </w:r>
            <w:r>
              <w:rPr>
                <w:rFonts w:hint="eastAsia" w:ascii="宋体" w:hAnsi="宋体" w:eastAsia="宋体" w:cs="宋体"/>
                <w:kern w:val="0"/>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520" w:type="dxa"/>
            <w:vAlign w:val="center"/>
          </w:tcPr>
          <w:p w14:paraId="51BF8CFB">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课程目标1</w:t>
            </w:r>
          </w:p>
          <w:p w14:paraId="3C90586B">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课程目标2</w:t>
            </w:r>
          </w:p>
        </w:tc>
      </w:tr>
      <w:tr w14:paraId="6154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1362" w:type="dxa"/>
            <w:vMerge w:val="continue"/>
            <w:vAlign w:val="center"/>
          </w:tcPr>
          <w:p w14:paraId="03B8F2B7">
            <w:pPr>
              <w:adjustRightInd w:val="0"/>
              <w:snapToGrid w:val="0"/>
              <w:jc w:val="center"/>
              <w:rPr>
                <w:rFonts w:hint="eastAsia" w:ascii="宋体" w:hAnsi="宋体" w:eastAsia="宋体" w:cs="宋体"/>
                <w:kern w:val="0"/>
                <w:szCs w:val="21"/>
              </w:rPr>
            </w:pPr>
          </w:p>
        </w:tc>
        <w:tc>
          <w:tcPr>
            <w:tcW w:w="5721" w:type="dxa"/>
            <w:vAlign w:val="center"/>
          </w:tcPr>
          <w:p w14:paraId="69441950">
            <w:pPr>
              <w:adjustRightInd w:val="0"/>
              <w:snapToGrid w:val="0"/>
              <w:jc w:val="left"/>
              <w:rPr>
                <w:rFonts w:hint="eastAsia" w:ascii="宋体" w:hAnsi="宋体" w:eastAsia="宋体" w:cs="宋体"/>
                <w:kern w:val="0"/>
                <w:szCs w:val="21"/>
              </w:rPr>
            </w:pPr>
            <w:r>
              <w:rPr>
                <w:rFonts w:hint="eastAsia" w:ascii="宋体" w:hAnsi="宋体" w:eastAsia="宋体" w:cs="宋体"/>
                <w:b/>
                <w:kern w:val="0"/>
                <w:szCs w:val="21"/>
              </w:rPr>
              <w:t>指标点4-3</w:t>
            </w:r>
            <w:r>
              <w:rPr>
                <w:rFonts w:hint="eastAsia" w:ascii="宋体" w:hAnsi="宋体" w:eastAsia="宋体" w:cs="宋体"/>
                <w:kern w:val="0"/>
                <w:szCs w:val="21"/>
              </w:rPr>
              <w:t>：【教学实施与评价科学】掌握小学教师基本功技能，包括书写技能、沟通与表达技能、信息技术运用技能等。获得全 面的小学教学体验，掌握学科教学的基本方法与策略，能独立进 行教学实施和评价。</w:t>
            </w:r>
          </w:p>
        </w:tc>
        <w:tc>
          <w:tcPr>
            <w:tcW w:w="1520" w:type="dxa"/>
            <w:vAlign w:val="center"/>
          </w:tcPr>
          <w:p w14:paraId="748C1329">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课程目标2</w:t>
            </w:r>
          </w:p>
          <w:p w14:paraId="3CC80AD3">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课程目标3</w:t>
            </w:r>
          </w:p>
        </w:tc>
      </w:tr>
      <w:tr w14:paraId="1D00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trPr>
        <w:tc>
          <w:tcPr>
            <w:tcW w:w="1362" w:type="dxa"/>
            <w:vAlign w:val="center"/>
          </w:tcPr>
          <w:p w14:paraId="70D4391A">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毕业要求6:</w:t>
            </w:r>
          </w:p>
          <w:p w14:paraId="189F806D">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综合育人</w:t>
            </w:r>
          </w:p>
        </w:tc>
        <w:tc>
          <w:tcPr>
            <w:tcW w:w="5721" w:type="dxa"/>
            <w:vAlign w:val="center"/>
          </w:tcPr>
          <w:p w14:paraId="3A0E9151">
            <w:pPr>
              <w:adjustRightInd w:val="0"/>
              <w:snapToGrid w:val="0"/>
              <w:jc w:val="left"/>
              <w:rPr>
                <w:rFonts w:hint="eastAsia" w:ascii="宋体" w:hAnsi="宋体" w:eastAsia="宋体" w:cs="宋体"/>
                <w:kern w:val="0"/>
                <w:szCs w:val="21"/>
              </w:rPr>
            </w:pPr>
            <w:r>
              <w:rPr>
                <w:rFonts w:hint="eastAsia" w:ascii="宋体" w:hAnsi="宋体" w:eastAsia="宋体" w:cs="宋体"/>
                <w:b/>
                <w:kern w:val="0"/>
                <w:szCs w:val="21"/>
              </w:rPr>
              <w:t>指标点6-2</w:t>
            </w:r>
            <w:r>
              <w:rPr>
                <w:rFonts w:hint="eastAsia" w:ascii="宋体" w:hAnsi="宋体" w:eastAsia="宋体" w:cs="宋体"/>
                <w:kern w:val="0"/>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520" w:type="dxa"/>
            <w:vAlign w:val="center"/>
          </w:tcPr>
          <w:p w14:paraId="5BE9A159">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课程目标4</w:t>
            </w:r>
          </w:p>
          <w:p w14:paraId="2CDFB3C4">
            <w:pPr>
              <w:adjustRightInd w:val="0"/>
              <w:snapToGrid w:val="0"/>
              <w:jc w:val="center"/>
              <w:rPr>
                <w:rFonts w:hint="eastAsia" w:ascii="宋体" w:hAnsi="宋体" w:eastAsia="宋体" w:cs="宋体"/>
                <w:kern w:val="0"/>
                <w:szCs w:val="21"/>
              </w:rPr>
            </w:pPr>
            <w:r>
              <w:rPr>
                <w:rFonts w:hint="eastAsia" w:ascii="宋体" w:hAnsi="宋体" w:eastAsia="宋体" w:cs="宋体"/>
                <w:kern w:val="0"/>
                <w:szCs w:val="21"/>
              </w:rPr>
              <w:t>课程目标5</w:t>
            </w:r>
          </w:p>
        </w:tc>
      </w:tr>
    </w:tbl>
    <w:p w14:paraId="2C5566CD">
      <w:pPr>
        <w:spacing w:line="360" w:lineRule="auto"/>
        <w:ind w:firstLine="422" w:firstLineChars="200"/>
        <w:rPr>
          <w:rFonts w:hint="eastAsia" w:ascii="宋体" w:hAnsi="宋体" w:eastAsia="宋体" w:cs="宋体"/>
          <w:b/>
          <w:szCs w:val="20"/>
        </w:rPr>
      </w:pPr>
      <w:r>
        <w:rPr>
          <w:rFonts w:hint="eastAsia" w:ascii="宋体" w:hAnsi="宋体" w:eastAsia="宋体" w:cs="宋体"/>
          <w:b/>
          <w:szCs w:val="20"/>
        </w:rPr>
        <w:t>（三）课程思政目标</w:t>
      </w:r>
    </w:p>
    <w:p w14:paraId="63558F4D">
      <w:pPr>
        <w:adjustRightInd w:val="0"/>
        <w:snapToGrid w:val="0"/>
        <w:spacing w:line="360" w:lineRule="auto"/>
        <w:ind w:firstLine="420" w:firstLineChars="200"/>
        <w:rPr>
          <w:rFonts w:hint="eastAsia" w:ascii="宋体" w:hAnsi="宋体" w:eastAsia="宋体" w:cs="宋体"/>
          <w:bCs/>
          <w:szCs w:val="20"/>
        </w:rPr>
      </w:pPr>
      <w:r>
        <w:rPr>
          <w:rFonts w:hint="eastAsia" w:ascii="宋体" w:hAnsi="宋体" w:eastAsia="宋体" w:cs="宋体"/>
          <w:bCs/>
          <w:szCs w:val="20"/>
        </w:rPr>
        <w:t>加深对儿童道德发展规律的认识，学会科学开展教育教学工作，巩固专业思想，增强社会责任感和教育情怀，在更高的知识层面上理解教育的本质。</w:t>
      </w:r>
    </w:p>
    <w:p w14:paraId="64676C17">
      <w:pPr>
        <w:adjustRightInd w:val="0"/>
        <w:snapToGrid w:val="0"/>
        <w:spacing w:line="360" w:lineRule="auto"/>
        <w:ind w:firstLine="482" w:firstLineChars="200"/>
        <w:rPr>
          <w:rFonts w:hint="eastAsia" w:ascii="宋体" w:hAnsi="宋体" w:eastAsia="宋体" w:cs="宋体"/>
          <w:b/>
          <w:sz w:val="24"/>
          <w:szCs w:val="22"/>
        </w:rPr>
      </w:pPr>
      <w:r>
        <w:rPr>
          <w:rFonts w:hint="eastAsia" w:ascii="宋体" w:hAnsi="宋体" w:eastAsia="宋体" w:cs="宋体"/>
          <w:b/>
          <w:sz w:val="24"/>
          <w:szCs w:val="22"/>
        </w:rPr>
        <w:t>三、教学内容与预期学习成效</w:t>
      </w:r>
    </w:p>
    <w:tbl>
      <w:tblPr>
        <w:tblStyle w:val="1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2126"/>
        <w:gridCol w:w="1221"/>
        <w:gridCol w:w="2323"/>
        <w:gridCol w:w="1559"/>
        <w:gridCol w:w="709"/>
      </w:tblGrid>
      <w:tr w14:paraId="7E39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413" w:type="dxa"/>
            <w:vAlign w:val="center"/>
          </w:tcPr>
          <w:p w14:paraId="6EAA9681">
            <w:pPr>
              <w:adjustRightInd w:val="0"/>
              <w:snapToGrid w:val="0"/>
              <w:spacing w:line="276" w:lineRule="auto"/>
              <w:jc w:val="center"/>
              <w:rPr>
                <w:rFonts w:hint="eastAsia" w:ascii="宋体" w:hAnsi="宋体" w:eastAsia="宋体" w:cs="宋体"/>
                <w:b/>
                <w:szCs w:val="21"/>
              </w:rPr>
            </w:pPr>
            <w:r>
              <w:rPr>
                <w:rFonts w:hint="eastAsia" w:ascii="宋体" w:hAnsi="宋体" w:eastAsia="宋体" w:cs="宋体"/>
                <w:b/>
                <w:szCs w:val="21"/>
              </w:rPr>
              <w:t>知识单元</w:t>
            </w:r>
          </w:p>
        </w:tc>
        <w:tc>
          <w:tcPr>
            <w:tcW w:w="2126" w:type="dxa"/>
            <w:vAlign w:val="center"/>
          </w:tcPr>
          <w:p w14:paraId="215CBF23">
            <w:pPr>
              <w:adjustRightInd w:val="0"/>
              <w:snapToGrid w:val="0"/>
              <w:spacing w:line="276" w:lineRule="auto"/>
              <w:jc w:val="center"/>
              <w:rPr>
                <w:rFonts w:hint="eastAsia" w:ascii="宋体" w:hAnsi="宋体" w:eastAsia="宋体" w:cs="宋体"/>
                <w:b/>
                <w:szCs w:val="21"/>
              </w:rPr>
            </w:pPr>
            <w:r>
              <w:rPr>
                <w:rFonts w:hint="eastAsia" w:ascii="宋体" w:hAnsi="宋体" w:eastAsia="宋体" w:cs="宋体"/>
                <w:b/>
                <w:szCs w:val="21"/>
              </w:rPr>
              <w:t>知识点</w:t>
            </w:r>
          </w:p>
        </w:tc>
        <w:tc>
          <w:tcPr>
            <w:tcW w:w="1221" w:type="dxa"/>
            <w:vAlign w:val="center"/>
          </w:tcPr>
          <w:p w14:paraId="7E1D6752">
            <w:pPr>
              <w:adjustRightInd w:val="0"/>
              <w:snapToGrid w:val="0"/>
              <w:spacing w:line="276" w:lineRule="auto"/>
              <w:jc w:val="center"/>
              <w:rPr>
                <w:rFonts w:hint="eastAsia" w:ascii="宋体" w:hAnsi="宋体" w:eastAsia="宋体" w:cs="宋体"/>
                <w:b/>
                <w:szCs w:val="21"/>
              </w:rPr>
            </w:pPr>
            <w:r>
              <w:rPr>
                <w:rFonts w:hint="eastAsia" w:ascii="宋体" w:hAnsi="宋体" w:eastAsia="宋体" w:cs="宋体"/>
                <w:b/>
                <w:szCs w:val="21"/>
              </w:rPr>
              <w:t>对应课程目标</w:t>
            </w:r>
          </w:p>
        </w:tc>
        <w:tc>
          <w:tcPr>
            <w:tcW w:w="2323" w:type="dxa"/>
            <w:vAlign w:val="center"/>
          </w:tcPr>
          <w:p w14:paraId="4911AB2D">
            <w:pPr>
              <w:adjustRightInd w:val="0"/>
              <w:snapToGrid w:val="0"/>
              <w:spacing w:line="276" w:lineRule="auto"/>
              <w:jc w:val="center"/>
              <w:rPr>
                <w:rFonts w:hint="eastAsia" w:ascii="宋体" w:hAnsi="宋体" w:eastAsia="宋体" w:cs="宋体"/>
                <w:b/>
                <w:szCs w:val="21"/>
              </w:rPr>
            </w:pPr>
            <w:r>
              <w:rPr>
                <w:rFonts w:hint="eastAsia" w:ascii="宋体" w:hAnsi="宋体" w:eastAsia="宋体" w:cs="宋体"/>
                <w:b/>
                <w:szCs w:val="21"/>
              </w:rPr>
              <w:t>预期学习成效</w:t>
            </w:r>
          </w:p>
        </w:tc>
        <w:tc>
          <w:tcPr>
            <w:tcW w:w="1559" w:type="dxa"/>
            <w:vAlign w:val="center"/>
          </w:tcPr>
          <w:p w14:paraId="45E0B6E3">
            <w:pPr>
              <w:adjustRightInd w:val="0"/>
              <w:snapToGrid w:val="0"/>
              <w:spacing w:line="276" w:lineRule="auto"/>
              <w:jc w:val="center"/>
              <w:rPr>
                <w:rFonts w:hint="eastAsia" w:ascii="宋体" w:hAnsi="宋体" w:eastAsia="宋体" w:cs="宋体"/>
                <w:b/>
                <w:szCs w:val="21"/>
              </w:rPr>
            </w:pPr>
            <w:r>
              <w:rPr>
                <w:rFonts w:hint="eastAsia" w:ascii="宋体" w:hAnsi="宋体" w:eastAsia="宋体" w:cs="宋体"/>
                <w:b/>
                <w:szCs w:val="21"/>
              </w:rPr>
              <w:t>实现环节</w:t>
            </w:r>
          </w:p>
        </w:tc>
        <w:tc>
          <w:tcPr>
            <w:tcW w:w="709" w:type="dxa"/>
            <w:vAlign w:val="center"/>
          </w:tcPr>
          <w:p w14:paraId="58D4FEA0">
            <w:pPr>
              <w:adjustRightInd w:val="0"/>
              <w:snapToGrid w:val="0"/>
              <w:spacing w:line="276" w:lineRule="auto"/>
              <w:jc w:val="center"/>
              <w:rPr>
                <w:rFonts w:hint="eastAsia" w:ascii="宋体" w:hAnsi="宋体" w:eastAsia="宋体" w:cs="宋体"/>
                <w:b/>
                <w:szCs w:val="21"/>
              </w:rPr>
            </w:pPr>
            <w:r>
              <w:rPr>
                <w:rFonts w:hint="eastAsia" w:ascii="宋体" w:hAnsi="宋体" w:eastAsia="宋体" w:cs="宋体"/>
                <w:b/>
                <w:szCs w:val="21"/>
              </w:rPr>
              <w:t>学时</w:t>
            </w:r>
          </w:p>
        </w:tc>
      </w:tr>
      <w:tr w14:paraId="315F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vAlign w:val="center"/>
          </w:tcPr>
          <w:p w14:paraId="720D0EB9">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第一章</w:t>
            </w:r>
          </w:p>
          <w:p w14:paraId="79FACF68">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小学道德与法治课程概述</w:t>
            </w:r>
          </w:p>
        </w:tc>
        <w:tc>
          <w:tcPr>
            <w:tcW w:w="2126" w:type="dxa"/>
            <w:vAlign w:val="center"/>
          </w:tcPr>
          <w:p w14:paraId="25F3C0E5">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1.</w:t>
            </w:r>
            <w:r>
              <w:rPr>
                <w:rFonts w:hint="eastAsia" w:ascii="宋体" w:hAnsi="宋体" w:eastAsia="宋体" w:cs="宋体"/>
                <w:szCs w:val="22"/>
              </w:rPr>
              <w:t xml:space="preserve"> </w:t>
            </w:r>
            <w:r>
              <w:rPr>
                <w:rFonts w:hint="eastAsia" w:ascii="宋体" w:hAnsi="宋体" w:eastAsia="宋体" w:cs="宋体"/>
                <w:bCs/>
                <w:szCs w:val="21"/>
              </w:rPr>
              <w:t>我国小学德育课程的发展史</w:t>
            </w:r>
          </w:p>
          <w:p w14:paraId="133BCB44">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2.小学道德与法治课程的性质与基本理念</w:t>
            </w:r>
          </w:p>
          <w:p w14:paraId="77F19A69">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3.小学道德与法治课程的教学设计要求</w:t>
            </w:r>
          </w:p>
        </w:tc>
        <w:tc>
          <w:tcPr>
            <w:tcW w:w="1221" w:type="dxa"/>
            <w:vAlign w:val="center"/>
          </w:tcPr>
          <w:p w14:paraId="0ABD9C84">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课程目标1</w:t>
            </w:r>
          </w:p>
        </w:tc>
        <w:tc>
          <w:tcPr>
            <w:tcW w:w="2323" w:type="dxa"/>
            <w:vAlign w:val="center"/>
          </w:tcPr>
          <w:p w14:paraId="272A3CDC">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了解道德与法治课程的发展历史，理解道德与法治课程性质与基本理念，初步掌握道德与法治课教学设计的要素。</w:t>
            </w:r>
          </w:p>
        </w:tc>
        <w:tc>
          <w:tcPr>
            <w:tcW w:w="1559" w:type="dxa"/>
            <w:vAlign w:val="center"/>
          </w:tcPr>
          <w:p w14:paraId="1A6D93A6">
            <w:pPr>
              <w:spacing w:line="276" w:lineRule="auto"/>
              <w:jc w:val="center"/>
              <w:rPr>
                <w:rFonts w:hint="eastAsia" w:ascii="宋体" w:hAnsi="宋体" w:eastAsia="宋体" w:cs="宋体"/>
                <w:szCs w:val="21"/>
              </w:rPr>
            </w:pPr>
            <w:r>
              <w:rPr>
                <w:rFonts w:hint="eastAsia" w:ascii="宋体" w:hAnsi="宋体" w:eastAsia="宋体" w:cs="宋体"/>
                <w:szCs w:val="21"/>
              </w:rPr>
              <w:t>1.多媒体教学</w:t>
            </w:r>
          </w:p>
          <w:p w14:paraId="78C604F8">
            <w:pPr>
              <w:spacing w:line="276" w:lineRule="auto"/>
              <w:jc w:val="center"/>
              <w:rPr>
                <w:rFonts w:hint="eastAsia" w:ascii="宋体" w:hAnsi="宋体" w:eastAsia="宋体" w:cs="宋体"/>
                <w:szCs w:val="21"/>
              </w:rPr>
            </w:pPr>
            <w:r>
              <w:rPr>
                <w:rFonts w:hint="eastAsia" w:ascii="宋体" w:hAnsi="宋体" w:eastAsia="宋体" w:cs="宋体"/>
                <w:szCs w:val="21"/>
              </w:rPr>
              <w:t>2.课堂讨论</w:t>
            </w:r>
          </w:p>
          <w:p w14:paraId="5FB98ABD">
            <w:pPr>
              <w:spacing w:line="276" w:lineRule="auto"/>
              <w:jc w:val="center"/>
              <w:rPr>
                <w:rFonts w:hint="eastAsia" w:ascii="宋体" w:hAnsi="宋体" w:eastAsia="宋体" w:cs="宋体"/>
                <w:szCs w:val="21"/>
              </w:rPr>
            </w:pPr>
            <w:r>
              <w:rPr>
                <w:rFonts w:hint="eastAsia" w:ascii="宋体" w:hAnsi="宋体" w:eastAsia="宋体" w:cs="宋体"/>
                <w:szCs w:val="21"/>
              </w:rPr>
              <w:t>3.案例分析</w:t>
            </w:r>
          </w:p>
        </w:tc>
        <w:tc>
          <w:tcPr>
            <w:tcW w:w="709" w:type="dxa"/>
            <w:vAlign w:val="center"/>
          </w:tcPr>
          <w:p w14:paraId="6C0C5D2F">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rPr>
              <w:t>2</w:t>
            </w:r>
          </w:p>
        </w:tc>
      </w:tr>
      <w:tr w14:paraId="49A79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vAlign w:val="center"/>
          </w:tcPr>
          <w:p w14:paraId="40DBC218">
            <w:pPr>
              <w:adjustRightInd w:val="0"/>
              <w:snapToGrid w:val="0"/>
              <w:spacing w:line="276" w:lineRule="auto"/>
              <w:jc w:val="center"/>
              <w:rPr>
                <w:rFonts w:hint="eastAsia" w:ascii="宋体" w:hAnsi="宋体" w:eastAsia="宋体" w:cs="宋体"/>
                <w:bCs/>
                <w:szCs w:val="21"/>
              </w:rPr>
            </w:pPr>
          </w:p>
        </w:tc>
        <w:tc>
          <w:tcPr>
            <w:tcW w:w="7938" w:type="dxa"/>
            <w:gridSpan w:val="5"/>
            <w:vAlign w:val="center"/>
          </w:tcPr>
          <w:p w14:paraId="49B1EB95">
            <w:pPr>
              <w:adjustRightInd w:val="0"/>
              <w:snapToGrid w:val="0"/>
              <w:spacing w:line="276" w:lineRule="auto"/>
              <w:rPr>
                <w:rFonts w:hint="eastAsia" w:ascii="宋体" w:hAnsi="宋体" w:eastAsia="宋体" w:cs="宋体"/>
                <w:b/>
                <w:kern w:val="0"/>
                <w:szCs w:val="21"/>
              </w:rPr>
            </w:pPr>
            <w:r>
              <w:rPr>
                <w:rFonts w:hint="eastAsia" w:ascii="宋体" w:hAnsi="宋体" w:eastAsia="宋体" w:cs="宋体"/>
                <w:b/>
                <w:kern w:val="0"/>
                <w:szCs w:val="21"/>
              </w:rPr>
              <w:t>课程思政目标：</w:t>
            </w:r>
            <w:r>
              <w:rPr>
                <w:rFonts w:hint="eastAsia" w:ascii="宋体" w:hAnsi="宋体" w:eastAsia="宋体" w:cs="宋体"/>
                <w:kern w:val="0"/>
                <w:szCs w:val="21"/>
              </w:rPr>
              <w:t>认识道德与法治课对于学生思想教育的意义，把马克思主义经典理论和习近平新时代中国特色社会主义思想等马克思主义中国化的最新理论成果融入课程内容，将培育和践行社会主义核心价值观贯穿课程教学始终。</w:t>
            </w:r>
          </w:p>
        </w:tc>
      </w:tr>
      <w:tr w14:paraId="5EA3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vAlign w:val="center"/>
          </w:tcPr>
          <w:p w14:paraId="3E4A7B93">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第二章</w:t>
            </w:r>
          </w:p>
          <w:p w14:paraId="4A737FC2">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小学道德与法治课程结构的分析</w:t>
            </w:r>
          </w:p>
        </w:tc>
        <w:tc>
          <w:tcPr>
            <w:tcW w:w="2126" w:type="dxa"/>
            <w:vAlign w:val="center"/>
          </w:tcPr>
          <w:p w14:paraId="4BF908A6">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（1）道德与法治课程设置的理念与思路</w:t>
            </w:r>
          </w:p>
          <w:p w14:paraId="2BCD939C">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（2）道德与法治低年段课程基本架构解析</w:t>
            </w:r>
          </w:p>
          <w:p w14:paraId="08A49035">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（3）道德与法治中高年段课程基本架构解析</w:t>
            </w:r>
          </w:p>
        </w:tc>
        <w:tc>
          <w:tcPr>
            <w:tcW w:w="1221" w:type="dxa"/>
            <w:vAlign w:val="center"/>
          </w:tcPr>
          <w:p w14:paraId="2C3CEE23">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课程目标2</w:t>
            </w:r>
          </w:p>
        </w:tc>
        <w:tc>
          <w:tcPr>
            <w:tcW w:w="2323" w:type="dxa"/>
            <w:vAlign w:val="center"/>
          </w:tcPr>
          <w:p w14:paraId="388886FD">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了解我国小学道德与法治课程设置的基本理念与总体逻辑，认识并掌握我国小学道德与法治课程的总体框架结构，熟悉不同年段道德与法治课程的基本架构。</w:t>
            </w:r>
          </w:p>
        </w:tc>
        <w:tc>
          <w:tcPr>
            <w:tcW w:w="1559" w:type="dxa"/>
            <w:vAlign w:val="center"/>
          </w:tcPr>
          <w:p w14:paraId="68AF5C51">
            <w:pPr>
              <w:spacing w:line="276" w:lineRule="auto"/>
              <w:jc w:val="center"/>
              <w:rPr>
                <w:rFonts w:hint="eastAsia" w:ascii="宋体" w:hAnsi="宋体" w:eastAsia="宋体" w:cs="宋体"/>
                <w:szCs w:val="21"/>
              </w:rPr>
            </w:pPr>
            <w:r>
              <w:rPr>
                <w:rFonts w:hint="eastAsia" w:ascii="宋体" w:hAnsi="宋体" w:eastAsia="宋体" w:cs="宋体"/>
                <w:szCs w:val="21"/>
              </w:rPr>
              <w:t>1.多媒体教学</w:t>
            </w:r>
          </w:p>
          <w:p w14:paraId="2A758969">
            <w:pPr>
              <w:spacing w:line="276" w:lineRule="auto"/>
              <w:jc w:val="center"/>
              <w:rPr>
                <w:rFonts w:hint="eastAsia" w:ascii="宋体" w:hAnsi="宋体" w:eastAsia="宋体" w:cs="宋体"/>
                <w:szCs w:val="21"/>
              </w:rPr>
            </w:pPr>
            <w:r>
              <w:rPr>
                <w:rFonts w:hint="eastAsia" w:ascii="宋体" w:hAnsi="宋体" w:eastAsia="宋体" w:cs="宋体"/>
                <w:szCs w:val="21"/>
              </w:rPr>
              <w:t>2.课堂讨论</w:t>
            </w:r>
          </w:p>
          <w:p w14:paraId="7A254FE4">
            <w:pPr>
              <w:spacing w:line="276" w:lineRule="auto"/>
              <w:jc w:val="center"/>
              <w:rPr>
                <w:rFonts w:hint="eastAsia" w:ascii="宋体" w:hAnsi="宋体" w:eastAsia="宋体" w:cs="宋体"/>
                <w:szCs w:val="21"/>
              </w:rPr>
            </w:pPr>
            <w:r>
              <w:rPr>
                <w:rFonts w:hint="eastAsia" w:ascii="宋体" w:hAnsi="宋体" w:eastAsia="宋体" w:cs="宋体"/>
                <w:szCs w:val="21"/>
              </w:rPr>
              <w:t>3.课例研究</w:t>
            </w:r>
          </w:p>
        </w:tc>
        <w:tc>
          <w:tcPr>
            <w:tcW w:w="709" w:type="dxa"/>
            <w:vAlign w:val="center"/>
          </w:tcPr>
          <w:p w14:paraId="0476DA5D">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rPr>
              <w:t>2</w:t>
            </w:r>
          </w:p>
        </w:tc>
      </w:tr>
      <w:tr w14:paraId="5F84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vAlign w:val="center"/>
          </w:tcPr>
          <w:p w14:paraId="4D984441">
            <w:pPr>
              <w:adjustRightInd w:val="0"/>
              <w:snapToGrid w:val="0"/>
              <w:spacing w:line="276" w:lineRule="auto"/>
              <w:jc w:val="center"/>
              <w:rPr>
                <w:rFonts w:hint="eastAsia" w:ascii="宋体" w:hAnsi="宋体" w:eastAsia="宋体" w:cs="宋体"/>
                <w:bCs/>
                <w:szCs w:val="21"/>
              </w:rPr>
            </w:pPr>
          </w:p>
        </w:tc>
        <w:tc>
          <w:tcPr>
            <w:tcW w:w="7938" w:type="dxa"/>
            <w:gridSpan w:val="5"/>
            <w:vAlign w:val="center"/>
          </w:tcPr>
          <w:p w14:paraId="657F4B9A">
            <w:pPr>
              <w:adjustRightInd w:val="0"/>
              <w:snapToGrid w:val="0"/>
              <w:spacing w:line="276" w:lineRule="auto"/>
              <w:rPr>
                <w:rFonts w:hint="eastAsia" w:ascii="宋体" w:hAnsi="宋体" w:eastAsia="宋体" w:cs="宋体"/>
                <w:bCs/>
                <w:szCs w:val="21"/>
              </w:rPr>
            </w:pPr>
            <w:r>
              <w:rPr>
                <w:rFonts w:hint="eastAsia" w:ascii="宋体" w:hAnsi="宋体" w:eastAsia="宋体" w:cs="宋体"/>
                <w:b/>
                <w:bCs/>
                <w:szCs w:val="21"/>
              </w:rPr>
              <w:t>课程思政目标：</w:t>
            </w:r>
            <w:r>
              <w:rPr>
                <w:rFonts w:hint="eastAsia" w:ascii="宋体" w:hAnsi="宋体" w:eastAsia="宋体" w:cs="宋体"/>
                <w:bCs/>
                <w:szCs w:val="21"/>
              </w:rPr>
              <w:t>辩证认识不同年段课程目标的差异，把马克思主义经典理论和习近平新时代中国特色社会主义思想等马克思主义中国化的最新理论成果融入课程内容。</w:t>
            </w:r>
          </w:p>
        </w:tc>
      </w:tr>
      <w:tr w14:paraId="65DE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vAlign w:val="center"/>
          </w:tcPr>
          <w:p w14:paraId="6D9442BB">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第三章</w:t>
            </w:r>
          </w:p>
          <w:p w14:paraId="6BD0F545">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小学道德与法治教学目标的制定</w:t>
            </w:r>
          </w:p>
        </w:tc>
        <w:tc>
          <w:tcPr>
            <w:tcW w:w="2126" w:type="dxa"/>
            <w:vAlign w:val="center"/>
          </w:tcPr>
          <w:p w14:paraId="4A5E434A">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1.道德与法治课程的教育总任务</w:t>
            </w:r>
          </w:p>
          <w:p w14:paraId="1D484507">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2.道德与法治课程分年段教育目标</w:t>
            </w:r>
          </w:p>
          <w:p w14:paraId="788CDA88">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3.道德与法治课程教学目标制定的原则与方法</w:t>
            </w:r>
          </w:p>
        </w:tc>
        <w:tc>
          <w:tcPr>
            <w:tcW w:w="1221" w:type="dxa"/>
            <w:vAlign w:val="center"/>
          </w:tcPr>
          <w:p w14:paraId="4EA88E10">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课程目标2</w:t>
            </w:r>
          </w:p>
          <w:p w14:paraId="335EE2FD">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课程目标3</w:t>
            </w:r>
          </w:p>
        </w:tc>
        <w:tc>
          <w:tcPr>
            <w:tcW w:w="2323" w:type="dxa"/>
            <w:vAlign w:val="center"/>
          </w:tcPr>
          <w:p w14:paraId="5A36E252">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了解道德与法治课程的教育教学目标，掌握制定道德与法治课程的三维目标原则与方法。</w:t>
            </w:r>
          </w:p>
        </w:tc>
        <w:tc>
          <w:tcPr>
            <w:tcW w:w="1559" w:type="dxa"/>
            <w:vAlign w:val="center"/>
          </w:tcPr>
          <w:p w14:paraId="06953889">
            <w:pPr>
              <w:spacing w:line="276" w:lineRule="auto"/>
              <w:jc w:val="center"/>
              <w:rPr>
                <w:rFonts w:hint="eastAsia" w:ascii="宋体" w:hAnsi="宋体" w:eastAsia="宋体" w:cs="宋体"/>
                <w:szCs w:val="21"/>
              </w:rPr>
            </w:pPr>
            <w:r>
              <w:rPr>
                <w:rFonts w:hint="eastAsia" w:ascii="宋体" w:hAnsi="宋体" w:eastAsia="宋体" w:cs="宋体"/>
                <w:szCs w:val="21"/>
              </w:rPr>
              <w:t>1.多媒体教学</w:t>
            </w:r>
          </w:p>
          <w:p w14:paraId="25A6A3F5">
            <w:pPr>
              <w:spacing w:line="276" w:lineRule="auto"/>
              <w:jc w:val="center"/>
              <w:rPr>
                <w:rFonts w:hint="eastAsia" w:ascii="宋体" w:hAnsi="宋体" w:eastAsia="宋体" w:cs="宋体"/>
                <w:szCs w:val="21"/>
              </w:rPr>
            </w:pPr>
            <w:r>
              <w:rPr>
                <w:rFonts w:hint="eastAsia" w:ascii="宋体" w:hAnsi="宋体" w:eastAsia="宋体" w:cs="宋体"/>
                <w:szCs w:val="21"/>
              </w:rPr>
              <w:t>2.课堂讨论</w:t>
            </w:r>
          </w:p>
          <w:p w14:paraId="04ECACB9">
            <w:pPr>
              <w:spacing w:line="276" w:lineRule="auto"/>
              <w:jc w:val="center"/>
              <w:rPr>
                <w:rFonts w:hint="eastAsia" w:ascii="宋体" w:hAnsi="宋体" w:eastAsia="宋体" w:cs="宋体"/>
                <w:szCs w:val="21"/>
              </w:rPr>
            </w:pPr>
            <w:r>
              <w:rPr>
                <w:rFonts w:hint="eastAsia" w:ascii="宋体" w:hAnsi="宋体" w:eastAsia="宋体" w:cs="宋体"/>
                <w:szCs w:val="21"/>
              </w:rPr>
              <w:t>3.课例研究</w:t>
            </w:r>
          </w:p>
        </w:tc>
        <w:tc>
          <w:tcPr>
            <w:tcW w:w="709" w:type="dxa"/>
            <w:vAlign w:val="center"/>
          </w:tcPr>
          <w:p w14:paraId="06AAE9F6">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rPr>
              <w:t>6</w:t>
            </w:r>
          </w:p>
        </w:tc>
      </w:tr>
      <w:tr w14:paraId="1B88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vAlign w:val="center"/>
          </w:tcPr>
          <w:p w14:paraId="180C796C">
            <w:pPr>
              <w:adjustRightInd w:val="0"/>
              <w:snapToGrid w:val="0"/>
              <w:spacing w:line="276" w:lineRule="auto"/>
              <w:jc w:val="center"/>
              <w:rPr>
                <w:rFonts w:hint="eastAsia" w:ascii="宋体" w:hAnsi="宋体" w:eastAsia="宋体" w:cs="宋体"/>
                <w:bCs/>
                <w:szCs w:val="21"/>
              </w:rPr>
            </w:pPr>
          </w:p>
        </w:tc>
        <w:tc>
          <w:tcPr>
            <w:tcW w:w="7938" w:type="dxa"/>
            <w:gridSpan w:val="5"/>
            <w:vAlign w:val="center"/>
          </w:tcPr>
          <w:p w14:paraId="319AD277">
            <w:pPr>
              <w:adjustRightInd w:val="0"/>
              <w:snapToGrid w:val="0"/>
              <w:spacing w:line="276" w:lineRule="auto"/>
              <w:rPr>
                <w:rFonts w:hint="eastAsia" w:ascii="宋体" w:hAnsi="宋体" w:eastAsia="宋体" w:cs="宋体"/>
                <w:bCs/>
                <w:szCs w:val="21"/>
              </w:rPr>
            </w:pPr>
            <w:r>
              <w:rPr>
                <w:rFonts w:hint="eastAsia" w:ascii="宋体" w:hAnsi="宋体" w:eastAsia="宋体" w:cs="宋体"/>
                <w:b/>
                <w:kern w:val="0"/>
                <w:szCs w:val="21"/>
              </w:rPr>
              <w:t>课程思政目标：</w:t>
            </w:r>
            <w:r>
              <w:rPr>
                <w:rFonts w:hint="eastAsia" w:ascii="宋体" w:hAnsi="宋体" w:eastAsia="宋体" w:cs="宋体"/>
                <w:kern w:val="0"/>
                <w:szCs w:val="21"/>
              </w:rPr>
              <w:t>充分认识教书育人与社会发展之间的紧密联系，对学生加强课程思政目标的教育，把习近平总书记倡导的“中国共产党是为中国人民谋幸福的党，也是为人类进步事业而奋斗的党”理念融入课堂教学，培养学生树立正确的世界观、价值观和人生观。</w:t>
            </w:r>
          </w:p>
        </w:tc>
      </w:tr>
      <w:tr w14:paraId="5FAF8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vAlign w:val="center"/>
          </w:tcPr>
          <w:p w14:paraId="7132546C">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第四章</w:t>
            </w:r>
          </w:p>
          <w:p w14:paraId="32DDB3F6">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小学道德与法治教学内容的解读</w:t>
            </w:r>
          </w:p>
        </w:tc>
        <w:tc>
          <w:tcPr>
            <w:tcW w:w="2126" w:type="dxa"/>
            <w:vAlign w:val="center"/>
          </w:tcPr>
          <w:p w14:paraId="7E4DC09A">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1.</w:t>
            </w:r>
            <w:r>
              <w:rPr>
                <w:rFonts w:hint="eastAsia" w:ascii="宋体" w:hAnsi="宋体" w:eastAsia="宋体" w:cs="宋体"/>
                <w:szCs w:val="22"/>
              </w:rPr>
              <w:t xml:space="preserve"> </w:t>
            </w:r>
            <w:r>
              <w:rPr>
                <w:rFonts w:hint="eastAsia" w:ascii="宋体" w:hAnsi="宋体" w:eastAsia="宋体" w:cs="宋体"/>
                <w:bCs/>
                <w:szCs w:val="21"/>
              </w:rPr>
              <w:t>德育教材解读的基本理论</w:t>
            </w:r>
          </w:p>
          <w:p w14:paraId="07E2C4CB">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2.小学道德与法治教材解读的思路与方式</w:t>
            </w:r>
          </w:p>
          <w:p w14:paraId="21A44224">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3.绘本教学元素的解读策略</w:t>
            </w:r>
          </w:p>
        </w:tc>
        <w:tc>
          <w:tcPr>
            <w:tcW w:w="1221" w:type="dxa"/>
            <w:vAlign w:val="center"/>
          </w:tcPr>
          <w:p w14:paraId="358A20DE">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课程目标2</w:t>
            </w:r>
          </w:p>
          <w:p w14:paraId="0F1BAA8F">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课程目标3</w:t>
            </w:r>
          </w:p>
        </w:tc>
        <w:tc>
          <w:tcPr>
            <w:tcW w:w="2323" w:type="dxa"/>
            <w:vAlign w:val="center"/>
          </w:tcPr>
          <w:p w14:paraId="336AF57C">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了解我国小学道德与法治教科书的编写及各版本特点，认识道德与法治教材的内容体系和结构形式，熟悉并掌握部编版《道德与法治》教材分年段具体内容。</w:t>
            </w:r>
          </w:p>
        </w:tc>
        <w:tc>
          <w:tcPr>
            <w:tcW w:w="1559" w:type="dxa"/>
            <w:vAlign w:val="center"/>
          </w:tcPr>
          <w:p w14:paraId="29585F1B">
            <w:pPr>
              <w:spacing w:line="276" w:lineRule="auto"/>
              <w:jc w:val="center"/>
              <w:rPr>
                <w:rFonts w:hint="eastAsia" w:ascii="宋体" w:hAnsi="宋体" w:eastAsia="宋体" w:cs="宋体"/>
                <w:szCs w:val="21"/>
              </w:rPr>
            </w:pPr>
            <w:r>
              <w:rPr>
                <w:rFonts w:hint="eastAsia" w:ascii="宋体" w:hAnsi="宋体" w:eastAsia="宋体" w:cs="宋体"/>
                <w:szCs w:val="21"/>
              </w:rPr>
              <w:t>1.多媒体教学</w:t>
            </w:r>
          </w:p>
          <w:p w14:paraId="3E45461B">
            <w:pPr>
              <w:spacing w:line="276" w:lineRule="auto"/>
              <w:jc w:val="center"/>
              <w:rPr>
                <w:rFonts w:hint="eastAsia" w:ascii="宋体" w:hAnsi="宋体" w:eastAsia="宋体" w:cs="宋体"/>
                <w:szCs w:val="21"/>
              </w:rPr>
            </w:pPr>
            <w:r>
              <w:rPr>
                <w:rFonts w:hint="eastAsia" w:ascii="宋体" w:hAnsi="宋体" w:eastAsia="宋体" w:cs="宋体"/>
                <w:szCs w:val="21"/>
              </w:rPr>
              <w:t>2.课堂讨论</w:t>
            </w:r>
          </w:p>
          <w:p w14:paraId="029F559A">
            <w:pPr>
              <w:spacing w:line="276" w:lineRule="auto"/>
              <w:jc w:val="center"/>
              <w:rPr>
                <w:rFonts w:hint="eastAsia" w:ascii="宋体" w:hAnsi="宋体" w:eastAsia="宋体" w:cs="宋体"/>
                <w:szCs w:val="21"/>
              </w:rPr>
            </w:pPr>
            <w:r>
              <w:rPr>
                <w:rFonts w:hint="eastAsia" w:ascii="宋体" w:hAnsi="宋体" w:eastAsia="宋体" w:cs="宋体"/>
                <w:szCs w:val="21"/>
              </w:rPr>
              <w:t>3.课例研究</w:t>
            </w:r>
          </w:p>
        </w:tc>
        <w:tc>
          <w:tcPr>
            <w:tcW w:w="709" w:type="dxa"/>
            <w:vAlign w:val="center"/>
          </w:tcPr>
          <w:p w14:paraId="35A3959D">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rPr>
              <w:t>6</w:t>
            </w:r>
          </w:p>
        </w:tc>
      </w:tr>
      <w:tr w14:paraId="65F2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vAlign w:val="center"/>
          </w:tcPr>
          <w:p w14:paraId="6C35CA1D">
            <w:pPr>
              <w:adjustRightInd w:val="0"/>
              <w:snapToGrid w:val="0"/>
              <w:spacing w:line="276" w:lineRule="auto"/>
              <w:jc w:val="center"/>
              <w:rPr>
                <w:rFonts w:hint="eastAsia" w:ascii="宋体" w:hAnsi="宋体" w:eastAsia="宋体" w:cs="宋体"/>
                <w:bCs/>
                <w:szCs w:val="21"/>
              </w:rPr>
            </w:pPr>
          </w:p>
        </w:tc>
        <w:tc>
          <w:tcPr>
            <w:tcW w:w="7938" w:type="dxa"/>
            <w:gridSpan w:val="5"/>
            <w:vAlign w:val="center"/>
          </w:tcPr>
          <w:p w14:paraId="6697BB1C">
            <w:pPr>
              <w:adjustRightInd w:val="0"/>
              <w:snapToGrid w:val="0"/>
              <w:spacing w:line="276" w:lineRule="auto"/>
              <w:rPr>
                <w:rFonts w:hint="eastAsia" w:ascii="宋体" w:hAnsi="宋体" w:eastAsia="宋体" w:cs="宋体"/>
                <w:bCs/>
                <w:szCs w:val="21"/>
              </w:rPr>
            </w:pPr>
            <w:r>
              <w:rPr>
                <w:rFonts w:hint="eastAsia" w:ascii="宋体" w:hAnsi="宋体" w:eastAsia="宋体" w:cs="宋体"/>
                <w:b/>
                <w:szCs w:val="21"/>
              </w:rPr>
              <w:t>课程思政目标：</w:t>
            </w:r>
            <w:r>
              <w:rPr>
                <w:rFonts w:hint="eastAsia" w:ascii="宋体" w:hAnsi="宋体" w:eastAsia="宋体" w:cs="宋体"/>
                <w:bCs/>
                <w:szCs w:val="21"/>
              </w:rPr>
              <w:t>辩证认识教材解读与思政教育之间的紧密联系，把马克思主义经典理论和习近平新时代中国特色社会主义思想等马克思主义中国化的最新理论成果融入教材解读过程中，有意识地培育学生正确的课程观与教材观。</w:t>
            </w:r>
          </w:p>
        </w:tc>
      </w:tr>
      <w:tr w14:paraId="2042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vAlign w:val="center"/>
          </w:tcPr>
          <w:p w14:paraId="1336C5BA">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第五章</w:t>
            </w:r>
          </w:p>
          <w:p w14:paraId="374C1A4E">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小学道德与法治课的教学设计</w:t>
            </w:r>
          </w:p>
        </w:tc>
        <w:tc>
          <w:tcPr>
            <w:tcW w:w="2126" w:type="dxa"/>
            <w:vAlign w:val="center"/>
          </w:tcPr>
          <w:p w14:paraId="7D9A02D7">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1.小学道德与法治的一般教学过程</w:t>
            </w:r>
          </w:p>
          <w:p w14:paraId="186BF083">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2.小学道德与法治教学内容的选择</w:t>
            </w:r>
          </w:p>
          <w:p w14:paraId="7FF6958C">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3.主题式教学设计指导</w:t>
            </w:r>
          </w:p>
        </w:tc>
        <w:tc>
          <w:tcPr>
            <w:tcW w:w="1221" w:type="dxa"/>
            <w:vAlign w:val="center"/>
          </w:tcPr>
          <w:p w14:paraId="31D41266">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课程目标2</w:t>
            </w:r>
          </w:p>
          <w:p w14:paraId="2FD29452">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课程目标3</w:t>
            </w:r>
          </w:p>
        </w:tc>
        <w:tc>
          <w:tcPr>
            <w:tcW w:w="2323" w:type="dxa"/>
            <w:vAlign w:val="center"/>
          </w:tcPr>
          <w:p w14:paraId="3C90C948">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了解小学道德与法治课程教学的过程，理解道德与法治教学的基本要素与内容选择，掌握并能灵活运用探究式教学、体验式教学和接受式教学过程。</w:t>
            </w:r>
          </w:p>
        </w:tc>
        <w:tc>
          <w:tcPr>
            <w:tcW w:w="1559" w:type="dxa"/>
            <w:vAlign w:val="center"/>
          </w:tcPr>
          <w:p w14:paraId="1986B18A">
            <w:pPr>
              <w:spacing w:line="276" w:lineRule="auto"/>
              <w:jc w:val="center"/>
              <w:rPr>
                <w:rFonts w:hint="eastAsia" w:ascii="宋体" w:hAnsi="宋体" w:eastAsia="宋体" w:cs="宋体"/>
                <w:szCs w:val="21"/>
              </w:rPr>
            </w:pPr>
            <w:r>
              <w:rPr>
                <w:rFonts w:hint="eastAsia" w:ascii="宋体" w:hAnsi="宋体" w:eastAsia="宋体" w:cs="宋体"/>
                <w:szCs w:val="21"/>
              </w:rPr>
              <w:t>1.多媒体教学</w:t>
            </w:r>
          </w:p>
          <w:p w14:paraId="5F55C190">
            <w:pPr>
              <w:spacing w:line="276" w:lineRule="auto"/>
              <w:jc w:val="center"/>
              <w:rPr>
                <w:rFonts w:hint="eastAsia" w:ascii="宋体" w:hAnsi="宋体" w:eastAsia="宋体" w:cs="宋体"/>
                <w:szCs w:val="21"/>
              </w:rPr>
            </w:pPr>
            <w:r>
              <w:rPr>
                <w:rFonts w:hint="eastAsia" w:ascii="宋体" w:hAnsi="宋体" w:eastAsia="宋体" w:cs="宋体"/>
                <w:szCs w:val="21"/>
              </w:rPr>
              <w:t>2.课堂讨论</w:t>
            </w:r>
          </w:p>
          <w:p w14:paraId="77EFA79F">
            <w:pPr>
              <w:spacing w:line="276" w:lineRule="auto"/>
              <w:jc w:val="center"/>
              <w:rPr>
                <w:rFonts w:hint="eastAsia" w:ascii="宋体" w:hAnsi="宋体" w:eastAsia="宋体" w:cs="宋体"/>
                <w:szCs w:val="21"/>
              </w:rPr>
            </w:pPr>
            <w:r>
              <w:rPr>
                <w:rFonts w:hint="eastAsia" w:ascii="宋体" w:hAnsi="宋体" w:eastAsia="宋体" w:cs="宋体"/>
                <w:szCs w:val="21"/>
              </w:rPr>
              <w:t>3.教学观摩</w:t>
            </w:r>
          </w:p>
        </w:tc>
        <w:tc>
          <w:tcPr>
            <w:tcW w:w="709" w:type="dxa"/>
            <w:vAlign w:val="center"/>
          </w:tcPr>
          <w:p w14:paraId="3FFE77B2">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rPr>
              <w:t>6</w:t>
            </w:r>
          </w:p>
        </w:tc>
      </w:tr>
      <w:tr w14:paraId="4A36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vAlign w:val="center"/>
          </w:tcPr>
          <w:p w14:paraId="3D033828">
            <w:pPr>
              <w:adjustRightInd w:val="0"/>
              <w:snapToGrid w:val="0"/>
              <w:spacing w:line="276" w:lineRule="auto"/>
              <w:jc w:val="center"/>
              <w:rPr>
                <w:rFonts w:hint="eastAsia" w:ascii="宋体" w:hAnsi="宋体" w:eastAsia="宋体" w:cs="宋体"/>
                <w:bCs/>
                <w:szCs w:val="21"/>
              </w:rPr>
            </w:pPr>
          </w:p>
        </w:tc>
        <w:tc>
          <w:tcPr>
            <w:tcW w:w="7938" w:type="dxa"/>
            <w:gridSpan w:val="5"/>
            <w:vAlign w:val="center"/>
          </w:tcPr>
          <w:p w14:paraId="3F8E1E8A">
            <w:pPr>
              <w:adjustRightInd w:val="0"/>
              <w:snapToGrid w:val="0"/>
              <w:spacing w:line="276" w:lineRule="auto"/>
              <w:rPr>
                <w:rFonts w:hint="eastAsia" w:ascii="宋体" w:hAnsi="宋体" w:eastAsia="宋体" w:cs="宋体"/>
                <w:bCs/>
                <w:szCs w:val="21"/>
              </w:rPr>
            </w:pPr>
            <w:r>
              <w:rPr>
                <w:rFonts w:hint="eastAsia" w:ascii="宋体" w:hAnsi="宋体" w:eastAsia="宋体" w:cs="宋体"/>
                <w:b/>
                <w:szCs w:val="21"/>
              </w:rPr>
              <w:t>课程思政目标</w:t>
            </w:r>
            <w:r>
              <w:rPr>
                <w:rFonts w:hint="eastAsia" w:ascii="宋体" w:hAnsi="宋体" w:eastAsia="宋体" w:cs="宋体"/>
                <w:bCs/>
                <w:szCs w:val="21"/>
              </w:rPr>
              <w:t>：辩证认识课程教学的原则与阶段，把马克思主义经典理论和习近平新时代中国特色社会主义思想等马克思主义中国化的最新理论成果融入教学设计过程中，有意识地培育学生正确的教学观，锻炼学生设计教学能力。</w:t>
            </w:r>
          </w:p>
        </w:tc>
      </w:tr>
      <w:tr w14:paraId="0F4C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vAlign w:val="center"/>
          </w:tcPr>
          <w:p w14:paraId="2299387D">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第六章</w:t>
            </w:r>
          </w:p>
          <w:p w14:paraId="6B18D532">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小学道德与法治教学的基本方法</w:t>
            </w:r>
          </w:p>
        </w:tc>
        <w:tc>
          <w:tcPr>
            <w:tcW w:w="2126" w:type="dxa"/>
            <w:vAlign w:val="center"/>
          </w:tcPr>
          <w:p w14:paraId="32B7CB70">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1.道德与法治教学的常用方法</w:t>
            </w:r>
          </w:p>
          <w:p w14:paraId="50044D4C">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2.道德与法治教学的常用模式</w:t>
            </w:r>
          </w:p>
          <w:p w14:paraId="50162CA2">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3.几种典型的道德与法治教学类型</w:t>
            </w:r>
          </w:p>
        </w:tc>
        <w:tc>
          <w:tcPr>
            <w:tcW w:w="1221" w:type="dxa"/>
            <w:vAlign w:val="center"/>
          </w:tcPr>
          <w:p w14:paraId="7DBB1C63">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课程目标3</w:t>
            </w:r>
          </w:p>
        </w:tc>
        <w:tc>
          <w:tcPr>
            <w:tcW w:w="2323" w:type="dxa"/>
            <w:vAlign w:val="center"/>
          </w:tcPr>
          <w:p w14:paraId="0E3D047E">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了解道德与法治课程教学的几种常用方法，理解接受教学模式和探究教学模式，掌握模拟游戏、角色扮演、情感体验、合作学习等几种教学类型</w:t>
            </w:r>
          </w:p>
        </w:tc>
        <w:tc>
          <w:tcPr>
            <w:tcW w:w="1559" w:type="dxa"/>
            <w:vAlign w:val="center"/>
          </w:tcPr>
          <w:p w14:paraId="55E2196F">
            <w:pPr>
              <w:spacing w:line="276" w:lineRule="auto"/>
              <w:jc w:val="center"/>
              <w:rPr>
                <w:rFonts w:hint="eastAsia" w:ascii="宋体" w:hAnsi="宋体" w:eastAsia="宋体" w:cs="宋体"/>
                <w:szCs w:val="21"/>
              </w:rPr>
            </w:pPr>
            <w:r>
              <w:rPr>
                <w:rFonts w:hint="eastAsia" w:ascii="宋体" w:hAnsi="宋体" w:eastAsia="宋体" w:cs="宋体"/>
                <w:szCs w:val="21"/>
              </w:rPr>
              <w:t>1.多媒体教学</w:t>
            </w:r>
          </w:p>
          <w:p w14:paraId="5DF691FC">
            <w:pPr>
              <w:spacing w:line="276" w:lineRule="auto"/>
              <w:jc w:val="center"/>
              <w:rPr>
                <w:rFonts w:hint="eastAsia" w:ascii="宋体" w:hAnsi="宋体" w:eastAsia="宋体" w:cs="宋体"/>
                <w:szCs w:val="21"/>
              </w:rPr>
            </w:pPr>
            <w:r>
              <w:rPr>
                <w:rFonts w:hint="eastAsia" w:ascii="宋体" w:hAnsi="宋体" w:eastAsia="宋体" w:cs="宋体"/>
                <w:szCs w:val="21"/>
              </w:rPr>
              <w:t>2.课堂讨论</w:t>
            </w:r>
          </w:p>
          <w:p w14:paraId="574B6882">
            <w:pPr>
              <w:spacing w:line="276" w:lineRule="auto"/>
              <w:jc w:val="center"/>
              <w:rPr>
                <w:rFonts w:hint="eastAsia" w:ascii="宋体" w:hAnsi="宋体" w:eastAsia="宋体" w:cs="宋体"/>
                <w:szCs w:val="21"/>
              </w:rPr>
            </w:pPr>
            <w:r>
              <w:rPr>
                <w:rFonts w:hint="eastAsia" w:ascii="宋体" w:hAnsi="宋体" w:eastAsia="宋体" w:cs="宋体"/>
                <w:szCs w:val="21"/>
              </w:rPr>
              <w:t>3.教学观摩</w:t>
            </w:r>
          </w:p>
        </w:tc>
        <w:tc>
          <w:tcPr>
            <w:tcW w:w="709" w:type="dxa"/>
            <w:vAlign w:val="center"/>
          </w:tcPr>
          <w:p w14:paraId="02F515A7">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rPr>
              <w:t>2</w:t>
            </w:r>
          </w:p>
        </w:tc>
      </w:tr>
      <w:tr w14:paraId="5F02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7E31F90B">
            <w:pPr>
              <w:adjustRightInd w:val="0"/>
              <w:snapToGrid w:val="0"/>
              <w:spacing w:line="276" w:lineRule="auto"/>
              <w:rPr>
                <w:rFonts w:hint="eastAsia" w:ascii="宋体" w:hAnsi="宋体" w:eastAsia="宋体" w:cs="宋体"/>
                <w:bCs/>
                <w:szCs w:val="21"/>
              </w:rPr>
            </w:pPr>
          </w:p>
        </w:tc>
        <w:tc>
          <w:tcPr>
            <w:tcW w:w="7938" w:type="dxa"/>
            <w:gridSpan w:val="5"/>
            <w:vAlign w:val="center"/>
          </w:tcPr>
          <w:p w14:paraId="5E2C27DC">
            <w:pPr>
              <w:adjustRightInd w:val="0"/>
              <w:snapToGrid w:val="0"/>
              <w:spacing w:line="276" w:lineRule="auto"/>
              <w:rPr>
                <w:rFonts w:hint="eastAsia" w:ascii="宋体" w:hAnsi="宋体" w:eastAsia="宋体" w:cs="宋体"/>
                <w:bCs/>
                <w:szCs w:val="21"/>
              </w:rPr>
            </w:pPr>
            <w:r>
              <w:rPr>
                <w:rFonts w:hint="eastAsia" w:ascii="宋体" w:hAnsi="宋体" w:eastAsia="宋体" w:cs="宋体"/>
                <w:b/>
                <w:kern w:val="0"/>
                <w:szCs w:val="21"/>
              </w:rPr>
              <w:t>课程思政目标：</w:t>
            </w:r>
            <w:r>
              <w:rPr>
                <w:rFonts w:hint="eastAsia" w:ascii="宋体" w:hAnsi="宋体" w:eastAsia="宋体" w:cs="宋体"/>
                <w:kern w:val="0"/>
                <w:szCs w:val="21"/>
              </w:rPr>
              <w:t>辩证认识方法的工具性与人文性，把马克思主义经典理论和习近平新时代中国特色社会主义思想等马克思主义中国化的最新理论成果融入教学设计过程中，通过多样的方法，有效的进行思政教育。</w:t>
            </w:r>
          </w:p>
        </w:tc>
      </w:tr>
      <w:tr w14:paraId="0DFA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vAlign w:val="center"/>
          </w:tcPr>
          <w:p w14:paraId="6D137670">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第七章</w:t>
            </w:r>
          </w:p>
          <w:p w14:paraId="1EB38DDE">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小学道德与法治课程的评价原则与方式</w:t>
            </w:r>
          </w:p>
        </w:tc>
        <w:tc>
          <w:tcPr>
            <w:tcW w:w="2126" w:type="dxa"/>
            <w:vAlign w:val="center"/>
          </w:tcPr>
          <w:p w14:paraId="695635C4">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1.儿童道德评价的教育理念</w:t>
            </w:r>
          </w:p>
          <w:p w14:paraId="2B59A248">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2.道德与法治课程中教学评价的基本原则与方法</w:t>
            </w:r>
          </w:p>
          <w:p w14:paraId="28B36439">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3.道德与法治课程中学习评价的原则与方法</w:t>
            </w:r>
          </w:p>
        </w:tc>
        <w:tc>
          <w:tcPr>
            <w:tcW w:w="1221" w:type="dxa"/>
            <w:vAlign w:val="center"/>
          </w:tcPr>
          <w:p w14:paraId="05189DCD">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课程目标4</w:t>
            </w:r>
          </w:p>
        </w:tc>
        <w:tc>
          <w:tcPr>
            <w:tcW w:w="2323" w:type="dxa"/>
            <w:vAlign w:val="center"/>
          </w:tcPr>
          <w:p w14:paraId="1C6A72B4">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了解小学道德与法治课程标准中课程评价的要求，理解在道德与法治课程中进行评价的教育目的，掌握道德与法治课程中教学评价和学习评价的基本原则和方法。</w:t>
            </w:r>
          </w:p>
        </w:tc>
        <w:tc>
          <w:tcPr>
            <w:tcW w:w="1559" w:type="dxa"/>
            <w:vAlign w:val="center"/>
          </w:tcPr>
          <w:p w14:paraId="3ABF23D4">
            <w:pPr>
              <w:spacing w:line="276" w:lineRule="auto"/>
              <w:jc w:val="center"/>
              <w:rPr>
                <w:rFonts w:hint="eastAsia" w:ascii="宋体" w:hAnsi="宋体" w:eastAsia="宋体" w:cs="宋体"/>
                <w:szCs w:val="21"/>
              </w:rPr>
            </w:pPr>
            <w:r>
              <w:rPr>
                <w:rFonts w:hint="eastAsia" w:ascii="宋体" w:hAnsi="宋体" w:eastAsia="宋体" w:cs="宋体"/>
                <w:szCs w:val="21"/>
              </w:rPr>
              <w:t>1.多媒体教学</w:t>
            </w:r>
          </w:p>
          <w:p w14:paraId="51CE5DF2">
            <w:pPr>
              <w:spacing w:line="276" w:lineRule="auto"/>
              <w:jc w:val="center"/>
              <w:rPr>
                <w:rFonts w:hint="eastAsia" w:ascii="宋体" w:hAnsi="宋体" w:eastAsia="宋体" w:cs="宋体"/>
                <w:szCs w:val="21"/>
              </w:rPr>
            </w:pPr>
            <w:r>
              <w:rPr>
                <w:rFonts w:hint="eastAsia" w:ascii="宋体" w:hAnsi="宋体" w:eastAsia="宋体" w:cs="宋体"/>
                <w:szCs w:val="21"/>
              </w:rPr>
              <w:t>2.课堂讨论</w:t>
            </w:r>
          </w:p>
          <w:p w14:paraId="74F6F643">
            <w:pPr>
              <w:spacing w:line="276" w:lineRule="auto"/>
              <w:jc w:val="center"/>
              <w:rPr>
                <w:rFonts w:hint="eastAsia" w:ascii="宋体" w:hAnsi="宋体" w:eastAsia="宋体" w:cs="宋体"/>
                <w:szCs w:val="21"/>
              </w:rPr>
            </w:pPr>
            <w:r>
              <w:rPr>
                <w:rFonts w:hint="eastAsia" w:ascii="宋体" w:hAnsi="宋体" w:eastAsia="宋体" w:cs="宋体"/>
                <w:szCs w:val="21"/>
              </w:rPr>
              <w:t>3.教学观摩</w:t>
            </w:r>
          </w:p>
        </w:tc>
        <w:tc>
          <w:tcPr>
            <w:tcW w:w="709" w:type="dxa"/>
            <w:vAlign w:val="center"/>
          </w:tcPr>
          <w:p w14:paraId="41525104">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rPr>
              <w:t>6</w:t>
            </w:r>
          </w:p>
        </w:tc>
      </w:tr>
      <w:tr w14:paraId="5D8FB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vAlign w:val="center"/>
          </w:tcPr>
          <w:p w14:paraId="6B113F36">
            <w:pPr>
              <w:adjustRightInd w:val="0"/>
              <w:snapToGrid w:val="0"/>
              <w:spacing w:line="276" w:lineRule="auto"/>
              <w:jc w:val="center"/>
              <w:rPr>
                <w:rFonts w:hint="eastAsia" w:ascii="宋体" w:hAnsi="宋体" w:eastAsia="宋体" w:cs="宋体"/>
                <w:bCs/>
                <w:szCs w:val="21"/>
              </w:rPr>
            </w:pPr>
          </w:p>
        </w:tc>
        <w:tc>
          <w:tcPr>
            <w:tcW w:w="7938" w:type="dxa"/>
            <w:gridSpan w:val="5"/>
            <w:vAlign w:val="center"/>
          </w:tcPr>
          <w:p w14:paraId="0FB2E88A">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
                <w:szCs w:val="21"/>
              </w:rPr>
              <w:t>课程思政目标：</w:t>
            </w:r>
            <w:r>
              <w:rPr>
                <w:rFonts w:hint="eastAsia" w:ascii="宋体" w:hAnsi="宋体" w:eastAsia="宋体" w:cs="宋体"/>
                <w:bCs/>
                <w:szCs w:val="21"/>
              </w:rPr>
              <w:t>辩证认识教育评价的工具性与人文性，把马克思主义经典理论和习近平新时代中国特色社会主义思想等马克思主义中国化的最新理论成果融入教学评价过程中，通过评价促进教学。</w:t>
            </w:r>
          </w:p>
        </w:tc>
      </w:tr>
      <w:tr w14:paraId="72CB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restart"/>
            <w:vAlign w:val="center"/>
          </w:tcPr>
          <w:p w14:paraId="6E1C784E">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第八章</w:t>
            </w:r>
          </w:p>
          <w:p w14:paraId="55402A1E">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小学德育教师专业发展</w:t>
            </w:r>
          </w:p>
        </w:tc>
        <w:tc>
          <w:tcPr>
            <w:tcW w:w="2126" w:type="dxa"/>
            <w:vAlign w:val="center"/>
          </w:tcPr>
          <w:p w14:paraId="199C9C63">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1.道德与法治课教师的角色和行为</w:t>
            </w:r>
          </w:p>
          <w:p w14:paraId="2828537D">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2.道德与法治课教师的基本素质和专业化发展路径</w:t>
            </w:r>
          </w:p>
        </w:tc>
        <w:tc>
          <w:tcPr>
            <w:tcW w:w="1221" w:type="dxa"/>
            <w:vAlign w:val="center"/>
          </w:tcPr>
          <w:p w14:paraId="2E17ADDD">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课程目标5</w:t>
            </w:r>
          </w:p>
        </w:tc>
        <w:tc>
          <w:tcPr>
            <w:tcW w:w="2323" w:type="dxa"/>
          </w:tcPr>
          <w:p w14:paraId="5D75CDC0">
            <w:pPr>
              <w:adjustRightInd w:val="0"/>
              <w:snapToGrid w:val="0"/>
              <w:spacing w:line="276" w:lineRule="auto"/>
              <w:jc w:val="left"/>
              <w:rPr>
                <w:rFonts w:hint="eastAsia" w:ascii="宋体" w:hAnsi="宋体" w:eastAsia="宋体" w:cs="宋体"/>
                <w:bCs/>
                <w:szCs w:val="21"/>
              </w:rPr>
            </w:pPr>
            <w:r>
              <w:rPr>
                <w:rFonts w:hint="eastAsia" w:ascii="宋体" w:hAnsi="宋体" w:eastAsia="宋体" w:cs="宋体"/>
                <w:bCs/>
                <w:szCs w:val="21"/>
              </w:rPr>
              <w:t>了解小学道德与法治教师的专业发展趋势，掌握道德与法治教师的专业角色与基本素养要求。</w:t>
            </w:r>
          </w:p>
        </w:tc>
        <w:tc>
          <w:tcPr>
            <w:tcW w:w="1559" w:type="dxa"/>
          </w:tcPr>
          <w:p w14:paraId="0B63301F">
            <w:pPr>
              <w:spacing w:line="276" w:lineRule="auto"/>
              <w:jc w:val="left"/>
              <w:rPr>
                <w:rFonts w:hint="eastAsia" w:ascii="宋体" w:hAnsi="宋体" w:eastAsia="宋体" w:cs="宋体"/>
                <w:szCs w:val="21"/>
              </w:rPr>
            </w:pPr>
            <w:r>
              <w:rPr>
                <w:rFonts w:hint="eastAsia" w:ascii="宋体" w:hAnsi="宋体" w:eastAsia="宋体" w:cs="宋体"/>
                <w:szCs w:val="21"/>
              </w:rPr>
              <w:t>1.多媒体教学</w:t>
            </w:r>
          </w:p>
          <w:p w14:paraId="7739C1EA">
            <w:pPr>
              <w:spacing w:line="276" w:lineRule="auto"/>
              <w:jc w:val="left"/>
              <w:rPr>
                <w:rFonts w:hint="eastAsia" w:ascii="宋体" w:hAnsi="宋体" w:eastAsia="宋体" w:cs="宋体"/>
                <w:szCs w:val="21"/>
              </w:rPr>
            </w:pPr>
            <w:r>
              <w:rPr>
                <w:rFonts w:hint="eastAsia" w:ascii="宋体" w:hAnsi="宋体" w:eastAsia="宋体" w:cs="宋体"/>
                <w:szCs w:val="21"/>
              </w:rPr>
              <w:t>2.课堂讨论</w:t>
            </w:r>
          </w:p>
          <w:p w14:paraId="7DD13819">
            <w:pPr>
              <w:spacing w:line="276" w:lineRule="auto"/>
              <w:jc w:val="left"/>
              <w:rPr>
                <w:rFonts w:hint="eastAsia" w:ascii="宋体" w:hAnsi="宋体" w:eastAsia="宋体" w:cs="宋体"/>
                <w:szCs w:val="21"/>
              </w:rPr>
            </w:pPr>
            <w:r>
              <w:rPr>
                <w:rFonts w:hint="eastAsia" w:ascii="宋体" w:hAnsi="宋体" w:eastAsia="宋体" w:cs="宋体"/>
                <w:szCs w:val="21"/>
              </w:rPr>
              <w:t>3.案例分析</w:t>
            </w:r>
          </w:p>
        </w:tc>
        <w:tc>
          <w:tcPr>
            <w:tcW w:w="709" w:type="dxa"/>
            <w:vAlign w:val="center"/>
          </w:tcPr>
          <w:p w14:paraId="5E620E4B">
            <w:pPr>
              <w:adjustRightInd w:val="0"/>
              <w:snapToGrid w:val="0"/>
              <w:spacing w:line="360" w:lineRule="auto"/>
              <w:jc w:val="center"/>
              <w:rPr>
                <w:rFonts w:hint="eastAsia" w:ascii="宋体" w:hAnsi="宋体" w:eastAsia="宋体" w:cs="宋体"/>
                <w:bCs/>
                <w:szCs w:val="21"/>
              </w:rPr>
            </w:pPr>
            <w:r>
              <w:rPr>
                <w:rFonts w:hint="eastAsia" w:ascii="宋体" w:hAnsi="宋体" w:eastAsia="宋体" w:cs="宋体"/>
                <w:bCs/>
                <w:szCs w:val="21"/>
              </w:rPr>
              <w:t>2</w:t>
            </w:r>
          </w:p>
        </w:tc>
      </w:tr>
      <w:tr w14:paraId="7354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413" w:type="dxa"/>
            <w:vMerge w:val="continue"/>
          </w:tcPr>
          <w:p w14:paraId="7781F72E">
            <w:pPr>
              <w:adjustRightInd w:val="0"/>
              <w:snapToGrid w:val="0"/>
              <w:spacing w:line="276" w:lineRule="auto"/>
              <w:rPr>
                <w:rFonts w:hint="eastAsia" w:ascii="宋体" w:hAnsi="宋体" w:eastAsia="宋体" w:cs="宋体"/>
                <w:bCs/>
                <w:szCs w:val="21"/>
              </w:rPr>
            </w:pPr>
          </w:p>
        </w:tc>
        <w:tc>
          <w:tcPr>
            <w:tcW w:w="7938" w:type="dxa"/>
            <w:gridSpan w:val="5"/>
            <w:vAlign w:val="center"/>
          </w:tcPr>
          <w:p w14:paraId="4FF489BC">
            <w:pPr>
              <w:adjustRightInd w:val="0"/>
              <w:snapToGrid w:val="0"/>
              <w:spacing w:line="276" w:lineRule="auto"/>
              <w:rPr>
                <w:rFonts w:hint="eastAsia" w:ascii="宋体" w:hAnsi="宋体" w:eastAsia="宋体" w:cs="宋体"/>
                <w:bCs/>
                <w:szCs w:val="21"/>
              </w:rPr>
            </w:pPr>
            <w:r>
              <w:rPr>
                <w:rFonts w:hint="eastAsia" w:ascii="宋体" w:hAnsi="宋体" w:eastAsia="宋体" w:cs="宋体"/>
                <w:b/>
                <w:szCs w:val="21"/>
              </w:rPr>
              <w:t>课程思政目标：</w:t>
            </w:r>
            <w:r>
              <w:rPr>
                <w:rFonts w:hint="eastAsia" w:ascii="宋体" w:hAnsi="宋体" w:eastAsia="宋体" w:cs="宋体"/>
                <w:bCs/>
                <w:szCs w:val="21"/>
              </w:rPr>
              <w:t>辩证认识德育教师的角色与行为，把马克思主义经典理论和习近平新时代中国特色社会主义思想等马克思主义中国化的最新理论成果融入对德育工作的分析中，自觉促进专业发展。</w:t>
            </w:r>
          </w:p>
        </w:tc>
      </w:tr>
    </w:tbl>
    <w:p w14:paraId="17244DD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66CAD931">
      <w:pPr>
        <w:adjustRightInd w:val="0"/>
        <w:snapToGrid w:val="0"/>
        <w:spacing w:line="360" w:lineRule="auto"/>
        <w:ind w:firstLine="422" w:firstLineChars="200"/>
        <w:jc w:val="left"/>
        <w:rPr>
          <w:rFonts w:hint="eastAsia" w:ascii="宋体" w:hAnsi="宋体" w:eastAsia="宋体" w:cs="宋体"/>
          <w:b/>
          <w:szCs w:val="21"/>
        </w:rPr>
      </w:pPr>
      <w:r>
        <w:rPr>
          <w:rFonts w:hint="eastAsia" w:ascii="宋体" w:hAnsi="宋体" w:eastAsia="宋体" w:cs="宋体"/>
          <w:b/>
          <w:szCs w:val="21"/>
        </w:rPr>
        <w:t>（一）课程目标评价方式</w:t>
      </w:r>
    </w:p>
    <w:p w14:paraId="0EFB0D76">
      <w:pPr>
        <w:adjustRightInd w:val="0"/>
        <w:snapToGrid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根据总体设计，用于评价各课程目标的评价方式如下表所示。</w:t>
      </w:r>
    </w:p>
    <w:tbl>
      <w:tblPr>
        <w:tblStyle w:val="18"/>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1601"/>
        <w:gridCol w:w="1456"/>
        <w:gridCol w:w="1311"/>
        <w:gridCol w:w="1455"/>
        <w:gridCol w:w="1393"/>
      </w:tblGrid>
      <w:tr w14:paraId="3C9D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271" w:type="dxa"/>
            <w:vMerge w:val="restart"/>
            <w:vAlign w:val="center"/>
          </w:tcPr>
          <w:p w14:paraId="5040277B">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课程目标</w:t>
            </w:r>
          </w:p>
        </w:tc>
        <w:tc>
          <w:tcPr>
            <w:tcW w:w="5670" w:type="dxa"/>
            <w:gridSpan w:val="4"/>
          </w:tcPr>
          <w:p w14:paraId="48377BB1">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评价与成绩评定方法</w:t>
            </w:r>
          </w:p>
        </w:tc>
        <w:tc>
          <w:tcPr>
            <w:tcW w:w="1355" w:type="dxa"/>
            <w:vMerge w:val="restart"/>
            <w:vAlign w:val="center"/>
          </w:tcPr>
          <w:p w14:paraId="1390FF42">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分值</w:t>
            </w:r>
          </w:p>
        </w:tc>
      </w:tr>
      <w:tr w14:paraId="16F3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271" w:type="dxa"/>
            <w:vMerge w:val="continue"/>
            <w:vAlign w:val="center"/>
          </w:tcPr>
          <w:p w14:paraId="78735351">
            <w:pPr>
              <w:adjustRightInd w:val="0"/>
              <w:snapToGrid w:val="0"/>
              <w:spacing w:line="276" w:lineRule="auto"/>
              <w:jc w:val="center"/>
              <w:rPr>
                <w:rFonts w:hint="eastAsia" w:ascii="宋体" w:hAnsi="宋体" w:eastAsia="宋体" w:cs="宋体"/>
                <w:szCs w:val="21"/>
              </w:rPr>
            </w:pPr>
          </w:p>
        </w:tc>
        <w:tc>
          <w:tcPr>
            <w:tcW w:w="1559" w:type="dxa"/>
            <w:vAlign w:val="center"/>
          </w:tcPr>
          <w:p w14:paraId="7B503C50">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课堂发言</w:t>
            </w:r>
          </w:p>
        </w:tc>
        <w:tc>
          <w:tcPr>
            <w:tcW w:w="1418" w:type="dxa"/>
            <w:vAlign w:val="center"/>
          </w:tcPr>
          <w:p w14:paraId="5026CCDC">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平时作业</w:t>
            </w:r>
          </w:p>
        </w:tc>
        <w:tc>
          <w:tcPr>
            <w:tcW w:w="1276" w:type="dxa"/>
            <w:vAlign w:val="center"/>
          </w:tcPr>
          <w:p w14:paraId="7B8E013D">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课内实践</w:t>
            </w:r>
          </w:p>
        </w:tc>
        <w:tc>
          <w:tcPr>
            <w:tcW w:w="1417" w:type="dxa"/>
            <w:vAlign w:val="center"/>
          </w:tcPr>
          <w:p w14:paraId="11D281E4">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期末考试</w:t>
            </w:r>
          </w:p>
        </w:tc>
        <w:tc>
          <w:tcPr>
            <w:tcW w:w="1355" w:type="dxa"/>
            <w:vMerge w:val="continue"/>
            <w:vAlign w:val="center"/>
          </w:tcPr>
          <w:p w14:paraId="53CDBDB3">
            <w:pPr>
              <w:adjustRightInd w:val="0"/>
              <w:snapToGrid w:val="0"/>
              <w:spacing w:line="276" w:lineRule="auto"/>
              <w:jc w:val="center"/>
              <w:rPr>
                <w:rFonts w:hint="eastAsia" w:ascii="宋体" w:hAnsi="宋体" w:eastAsia="宋体" w:cs="宋体"/>
                <w:szCs w:val="21"/>
              </w:rPr>
            </w:pPr>
          </w:p>
        </w:tc>
      </w:tr>
      <w:tr w14:paraId="5432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271" w:type="dxa"/>
            <w:vAlign w:val="center"/>
          </w:tcPr>
          <w:p w14:paraId="13A46F9F">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课程目标1</w:t>
            </w:r>
          </w:p>
        </w:tc>
        <w:tc>
          <w:tcPr>
            <w:tcW w:w="1559" w:type="dxa"/>
            <w:vAlign w:val="center"/>
          </w:tcPr>
          <w:p w14:paraId="265ADA9D">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18" w:type="dxa"/>
            <w:vAlign w:val="center"/>
          </w:tcPr>
          <w:p w14:paraId="06818730">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276" w:type="dxa"/>
            <w:vAlign w:val="center"/>
          </w:tcPr>
          <w:p w14:paraId="322C0139">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17" w:type="dxa"/>
            <w:vAlign w:val="center"/>
          </w:tcPr>
          <w:p w14:paraId="5D37B7CE">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355" w:type="dxa"/>
            <w:vAlign w:val="center"/>
          </w:tcPr>
          <w:p w14:paraId="3D933A58">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20</w:t>
            </w:r>
          </w:p>
        </w:tc>
      </w:tr>
      <w:tr w14:paraId="2BEF8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71" w:type="dxa"/>
            <w:vAlign w:val="center"/>
          </w:tcPr>
          <w:p w14:paraId="211CA8FA">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课程目标2</w:t>
            </w:r>
          </w:p>
        </w:tc>
        <w:tc>
          <w:tcPr>
            <w:tcW w:w="1559" w:type="dxa"/>
            <w:vAlign w:val="center"/>
          </w:tcPr>
          <w:p w14:paraId="638B4806">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18" w:type="dxa"/>
            <w:vAlign w:val="center"/>
          </w:tcPr>
          <w:p w14:paraId="7156F9C6">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276" w:type="dxa"/>
            <w:vAlign w:val="center"/>
          </w:tcPr>
          <w:p w14:paraId="30B91AD7">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17" w:type="dxa"/>
            <w:vAlign w:val="center"/>
          </w:tcPr>
          <w:p w14:paraId="484771F6">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355" w:type="dxa"/>
            <w:vAlign w:val="center"/>
          </w:tcPr>
          <w:p w14:paraId="77EBCB9F">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30</w:t>
            </w:r>
          </w:p>
        </w:tc>
      </w:tr>
      <w:tr w14:paraId="2BD9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71" w:type="dxa"/>
            <w:vAlign w:val="center"/>
          </w:tcPr>
          <w:p w14:paraId="1F92AEBD">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课程目标3</w:t>
            </w:r>
          </w:p>
        </w:tc>
        <w:tc>
          <w:tcPr>
            <w:tcW w:w="1559" w:type="dxa"/>
            <w:vAlign w:val="center"/>
          </w:tcPr>
          <w:p w14:paraId="59465C94">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18" w:type="dxa"/>
            <w:vAlign w:val="center"/>
          </w:tcPr>
          <w:p w14:paraId="7B5A8463">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276" w:type="dxa"/>
            <w:vAlign w:val="center"/>
          </w:tcPr>
          <w:p w14:paraId="5A95B603">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17" w:type="dxa"/>
            <w:vAlign w:val="center"/>
          </w:tcPr>
          <w:p w14:paraId="3C74683B">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355" w:type="dxa"/>
            <w:vAlign w:val="center"/>
          </w:tcPr>
          <w:p w14:paraId="58CF82CA">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30</w:t>
            </w:r>
          </w:p>
        </w:tc>
      </w:tr>
      <w:tr w14:paraId="1045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71" w:type="dxa"/>
            <w:vAlign w:val="center"/>
          </w:tcPr>
          <w:p w14:paraId="4B6BFAF3">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课程目标4</w:t>
            </w:r>
          </w:p>
        </w:tc>
        <w:tc>
          <w:tcPr>
            <w:tcW w:w="1559" w:type="dxa"/>
          </w:tcPr>
          <w:p w14:paraId="088713B9">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18" w:type="dxa"/>
          </w:tcPr>
          <w:p w14:paraId="410C52B5">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276" w:type="dxa"/>
          </w:tcPr>
          <w:p w14:paraId="10CDD3EE">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417" w:type="dxa"/>
          </w:tcPr>
          <w:p w14:paraId="434813B3">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sym w:font="Wingdings 2" w:char="F050"/>
            </w:r>
          </w:p>
        </w:tc>
        <w:tc>
          <w:tcPr>
            <w:tcW w:w="1355" w:type="dxa"/>
            <w:vAlign w:val="center"/>
          </w:tcPr>
          <w:p w14:paraId="3F288362">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20</w:t>
            </w:r>
          </w:p>
        </w:tc>
      </w:tr>
      <w:tr w14:paraId="3DAB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271" w:type="dxa"/>
            <w:vAlign w:val="center"/>
          </w:tcPr>
          <w:p w14:paraId="45FA8C3C">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合计</w:t>
            </w:r>
          </w:p>
        </w:tc>
        <w:tc>
          <w:tcPr>
            <w:tcW w:w="1559" w:type="dxa"/>
            <w:vAlign w:val="center"/>
          </w:tcPr>
          <w:p w14:paraId="37E2A254">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10</w:t>
            </w:r>
          </w:p>
        </w:tc>
        <w:tc>
          <w:tcPr>
            <w:tcW w:w="1418" w:type="dxa"/>
            <w:vAlign w:val="center"/>
          </w:tcPr>
          <w:p w14:paraId="0C7A43C4">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20</w:t>
            </w:r>
          </w:p>
        </w:tc>
        <w:tc>
          <w:tcPr>
            <w:tcW w:w="1276" w:type="dxa"/>
            <w:vAlign w:val="center"/>
          </w:tcPr>
          <w:p w14:paraId="4986621C">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20</w:t>
            </w:r>
          </w:p>
        </w:tc>
        <w:tc>
          <w:tcPr>
            <w:tcW w:w="1417" w:type="dxa"/>
            <w:vAlign w:val="center"/>
          </w:tcPr>
          <w:p w14:paraId="436EB6F2">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50</w:t>
            </w:r>
          </w:p>
        </w:tc>
        <w:tc>
          <w:tcPr>
            <w:tcW w:w="1355" w:type="dxa"/>
            <w:vAlign w:val="center"/>
          </w:tcPr>
          <w:p w14:paraId="096D358A">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100</w:t>
            </w:r>
          </w:p>
        </w:tc>
      </w:tr>
    </w:tbl>
    <w:p w14:paraId="7AE09F7B">
      <w:pPr>
        <w:spacing w:before="156" w:beforeLines="50" w:line="360" w:lineRule="auto"/>
        <w:ind w:firstLine="422" w:firstLineChars="200"/>
        <w:jc w:val="left"/>
        <w:rPr>
          <w:rFonts w:hint="eastAsia" w:ascii="宋体" w:hAnsi="宋体" w:eastAsia="宋体" w:cs="宋体"/>
          <w:b/>
          <w:szCs w:val="21"/>
        </w:rPr>
      </w:pPr>
      <w:r>
        <w:rPr>
          <w:rFonts w:hint="eastAsia" w:ascii="宋体" w:hAnsi="宋体" w:eastAsia="宋体" w:cs="宋体"/>
          <w:b/>
          <w:szCs w:val="22"/>
        </w:rPr>
        <w:t>（二）</w:t>
      </w:r>
      <w:r>
        <w:rPr>
          <w:rFonts w:hint="eastAsia" w:ascii="宋体" w:hAnsi="宋体" w:eastAsia="宋体" w:cs="宋体"/>
          <w:b/>
          <w:szCs w:val="21"/>
        </w:rPr>
        <w:t>成绩评定细则</w:t>
      </w:r>
    </w:p>
    <w:p w14:paraId="16532D8B">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各部分的评价方式和成绩评定的细则如下表所示。</w:t>
      </w:r>
    </w:p>
    <w:tbl>
      <w:tblPr>
        <w:tblStyle w:val="12"/>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4C0D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2" w:type="dxa"/>
            <w:vAlign w:val="center"/>
          </w:tcPr>
          <w:p w14:paraId="1006EAB7">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评价方式</w:t>
            </w:r>
          </w:p>
        </w:tc>
        <w:tc>
          <w:tcPr>
            <w:tcW w:w="7509" w:type="dxa"/>
            <w:vAlign w:val="center"/>
          </w:tcPr>
          <w:p w14:paraId="74673150">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评定细则</w:t>
            </w:r>
          </w:p>
        </w:tc>
        <w:tc>
          <w:tcPr>
            <w:tcW w:w="0" w:type="auto"/>
            <w:vAlign w:val="center"/>
          </w:tcPr>
          <w:p w14:paraId="35DBCB2A">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占比</w:t>
            </w:r>
          </w:p>
        </w:tc>
      </w:tr>
      <w:tr w14:paraId="4C04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22" w:type="dxa"/>
            <w:tcBorders>
              <w:top w:val="single" w:color="auto" w:sz="4" w:space="0"/>
              <w:left w:val="single" w:color="auto" w:sz="4" w:space="0"/>
              <w:bottom w:val="single" w:color="auto" w:sz="4" w:space="0"/>
              <w:right w:val="single" w:color="auto" w:sz="4" w:space="0"/>
            </w:tcBorders>
            <w:vAlign w:val="center"/>
          </w:tcPr>
          <w:p w14:paraId="4BC666D3">
            <w:pPr>
              <w:snapToGrid w:val="0"/>
              <w:spacing w:line="276" w:lineRule="auto"/>
              <w:rPr>
                <w:rFonts w:hint="eastAsia" w:ascii="宋体" w:hAnsi="宋体" w:eastAsia="宋体" w:cs="宋体"/>
                <w:szCs w:val="21"/>
              </w:rPr>
            </w:pPr>
            <w:r>
              <w:rPr>
                <w:rFonts w:hint="eastAsia" w:ascii="宋体" w:hAnsi="宋体" w:eastAsia="宋体" w:cs="宋体"/>
                <w:szCs w:val="21"/>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15637B41">
            <w:pPr>
              <w:snapToGrid w:val="0"/>
              <w:spacing w:line="276" w:lineRule="auto"/>
              <w:rPr>
                <w:rFonts w:hint="eastAsia" w:ascii="宋体" w:hAnsi="宋体" w:eastAsia="宋体" w:cs="宋体"/>
                <w:szCs w:val="21"/>
              </w:rPr>
            </w:pPr>
            <w:r>
              <w:rPr>
                <w:rFonts w:hint="eastAsia" w:ascii="宋体" w:hAnsi="宋体" w:eastAsia="宋体" w:cs="宋体"/>
                <w:szCs w:val="21"/>
              </w:rPr>
              <w:t>根据学生课堂发言情况、学习态度、回答质量进行评分，考察学生课堂听讲效果、课后预习和复习的效果，以及对基础知识的掌握情况。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247C34D9">
            <w:pPr>
              <w:snapToGrid w:val="0"/>
              <w:spacing w:line="276" w:lineRule="auto"/>
              <w:rPr>
                <w:rFonts w:hint="eastAsia" w:ascii="宋体" w:hAnsi="宋体" w:eastAsia="宋体" w:cs="宋体"/>
                <w:szCs w:val="21"/>
              </w:rPr>
            </w:pPr>
            <w:r>
              <w:rPr>
                <w:rFonts w:hint="eastAsia" w:ascii="宋体" w:hAnsi="宋体" w:eastAsia="宋体" w:cs="宋体"/>
                <w:szCs w:val="21"/>
              </w:rPr>
              <w:t>10%</w:t>
            </w:r>
          </w:p>
        </w:tc>
      </w:tr>
      <w:tr w14:paraId="491E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2" w:type="dxa"/>
            <w:tcBorders>
              <w:top w:val="single" w:color="auto" w:sz="4" w:space="0"/>
              <w:left w:val="single" w:color="auto" w:sz="4" w:space="0"/>
              <w:bottom w:val="single" w:color="auto" w:sz="4" w:space="0"/>
              <w:right w:val="single" w:color="auto" w:sz="4" w:space="0"/>
            </w:tcBorders>
            <w:vAlign w:val="center"/>
          </w:tcPr>
          <w:p w14:paraId="55544DA5">
            <w:pPr>
              <w:snapToGrid w:val="0"/>
              <w:spacing w:line="276" w:lineRule="auto"/>
              <w:rPr>
                <w:rFonts w:hint="eastAsia" w:ascii="宋体" w:hAnsi="宋体" w:eastAsia="宋体" w:cs="宋体"/>
                <w:szCs w:val="21"/>
              </w:rPr>
            </w:pPr>
            <w:r>
              <w:rPr>
                <w:rFonts w:hint="eastAsia" w:ascii="宋体" w:hAnsi="宋体" w:eastAsia="宋体" w:cs="宋体"/>
                <w:szCs w:val="21"/>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1E339C38">
            <w:pPr>
              <w:snapToGrid w:val="0"/>
              <w:spacing w:line="276" w:lineRule="auto"/>
              <w:rPr>
                <w:rFonts w:hint="eastAsia" w:ascii="宋体" w:hAnsi="宋体" w:eastAsia="宋体" w:cs="宋体"/>
                <w:szCs w:val="21"/>
              </w:rPr>
            </w:pPr>
            <w:r>
              <w:rPr>
                <w:rFonts w:hint="eastAsia" w:ascii="宋体" w:hAnsi="宋体" w:eastAsia="宋体" w:cs="宋体"/>
                <w:szCs w:val="22"/>
              </w:rPr>
              <w:t>考核学生对各章节重要知识点的理解和掌握情况，作业次数不少于3次，安排在课后，教师批改反馈并进行讲解。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3CFCCBB0">
            <w:pPr>
              <w:snapToGrid w:val="0"/>
              <w:spacing w:line="276" w:lineRule="auto"/>
              <w:rPr>
                <w:rFonts w:hint="eastAsia" w:ascii="宋体" w:hAnsi="宋体" w:eastAsia="宋体" w:cs="宋体"/>
                <w:szCs w:val="21"/>
              </w:rPr>
            </w:pPr>
            <w:r>
              <w:rPr>
                <w:rFonts w:hint="eastAsia" w:ascii="宋体" w:hAnsi="宋体" w:eastAsia="宋体" w:cs="宋体"/>
                <w:szCs w:val="21"/>
              </w:rPr>
              <w:t>20%</w:t>
            </w:r>
          </w:p>
        </w:tc>
      </w:tr>
      <w:tr w14:paraId="0FD8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22" w:type="dxa"/>
            <w:tcBorders>
              <w:top w:val="single" w:color="auto" w:sz="4" w:space="0"/>
              <w:left w:val="single" w:color="auto" w:sz="4" w:space="0"/>
              <w:bottom w:val="single" w:color="auto" w:sz="4" w:space="0"/>
              <w:right w:val="single" w:color="auto" w:sz="4" w:space="0"/>
            </w:tcBorders>
            <w:vAlign w:val="center"/>
          </w:tcPr>
          <w:p w14:paraId="436BC547">
            <w:pPr>
              <w:snapToGrid w:val="0"/>
              <w:spacing w:line="276" w:lineRule="auto"/>
              <w:rPr>
                <w:rFonts w:hint="eastAsia" w:ascii="宋体" w:hAnsi="宋体" w:eastAsia="宋体" w:cs="宋体"/>
                <w:szCs w:val="21"/>
              </w:rPr>
            </w:pPr>
            <w:r>
              <w:rPr>
                <w:rFonts w:hint="eastAsia" w:ascii="宋体" w:hAnsi="宋体" w:eastAsia="宋体" w:cs="宋体"/>
                <w:szCs w:val="21"/>
              </w:rPr>
              <w:t>课内实践</w:t>
            </w:r>
          </w:p>
        </w:tc>
        <w:tc>
          <w:tcPr>
            <w:tcW w:w="7509" w:type="dxa"/>
            <w:tcBorders>
              <w:top w:val="single" w:color="auto" w:sz="4" w:space="0"/>
              <w:left w:val="single" w:color="auto" w:sz="4" w:space="0"/>
              <w:bottom w:val="single" w:color="auto" w:sz="4" w:space="0"/>
              <w:right w:val="single" w:color="auto" w:sz="4" w:space="0"/>
            </w:tcBorders>
            <w:vAlign w:val="center"/>
          </w:tcPr>
          <w:p w14:paraId="187C03FF">
            <w:pPr>
              <w:snapToGrid w:val="0"/>
              <w:spacing w:line="276" w:lineRule="auto"/>
              <w:rPr>
                <w:rFonts w:hint="eastAsia" w:ascii="宋体" w:hAnsi="宋体" w:eastAsia="宋体" w:cs="宋体"/>
                <w:szCs w:val="21"/>
              </w:rPr>
            </w:pPr>
            <w:r>
              <w:rPr>
                <w:rFonts w:hint="eastAsia" w:ascii="宋体" w:hAnsi="宋体" w:eastAsia="宋体" w:cs="宋体"/>
                <w:szCs w:val="22"/>
              </w:rPr>
              <w:t>按照实践主题要求，准备相应的实践内容，并进行汇报。部分主题需要小组合作。</w:t>
            </w:r>
            <w:r>
              <w:rPr>
                <w:rFonts w:hint="eastAsia" w:ascii="宋体" w:hAnsi="宋体" w:eastAsia="宋体" w:cs="宋体"/>
                <w:kern w:val="0"/>
                <w:szCs w:val="21"/>
              </w:rPr>
              <w:t>主要考核学生应用小学道德与法治教学理论进行课程分析、设计与评价的能力。</w:t>
            </w:r>
          </w:p>
        </w:tc>
        <w:tc>
          <w:tcPr>
            <w:tcW w:w="0" w:type="auto"/>
            <w:tcBorders>
              <w:top w:val="single" w:color="auto" w:sz="4" w:space="0"/>
              <w:left w:val="single" w:color="auto" w:sz="4" w:space="0"/>
              <w:bottom w:val="single" w:color="auto" w:sz="4" w:space="0"/>
              <w:right w:val="single" w:color="auto" w:sz="4" w:space="0"/>
            </w:tcBorders>
            <w:vAlign w:val="center"/>
          </w:tcPr>
          <w:p w14:paraId="68B200E3">
            <w:pPr>
              <w:snapToGrid w:val="0"/>
              <w:spacing w:line="276" w:lineRule="auto"/>
              <w:rPr>
                <w:rFonts w:hint="eastAsia" w:ascii="宋体" w:hAnsi="宋体" w:eastAsia="宋体" w:cs="宋体"/>
                <w:szCs w:val="21"/>
              </w:rPr>
            </w:pPr>
            <w:r>
              <w:rPr>
                <w:rFonts w:hint="eastAsia" w:ascii="宋体" w:hAnsi="宋体" w:eastAsia="宋体" w:cs="宋体"/>
                <w:szCs w:val="21"/>
              </w:rPr>
              <w:t>20%</w:t>
            </w:r>
          </w:p>
        </w:tc>
      </w:tr>
      <w:tr w14:paraId="487B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722" w:type="dxa"/>
            <w:tcBorders>
              <w:top w:val="single" w:color="auto" w:sz="4" w:space="0"/>
              <w:left w:val="single" w:color="auto" w:sz="4" w:space="0"/>
              <w:bottom w:val="single" w:color="auto" w:sz="4" w:space="0"/>
              <w:right w:val="single" w:color="auto" w:sz="4" w:space="0"/>
            </w:tcBorders>
            <w:vAlign w:val="center"/>
          </w:tcPr>
          <w:p w14:paraId="0F3997FA">
            <w:pPr>
              <w:snapToGrid w:val="0"/>
              <w:spacing w:line="276" w:lineRule="auto"/>
              <w:rPr>
                <w:rFonts w:hint="eastAsia" w:ascii="宋体" w:hAnsi="宋体" w:eastAsia="宋体" w:cs="宋体"/>
                <w:szCs w:val="21"/>
              </w:rPr>
            </w:pPr>
            <w:r>
              <w:rPr>
                <w:rFonts w:hint="eastAsia" w:ascii="宋体" w:hAnsi="宋体" w:eastAsia="宋体" w:cs="宋体"/>
                <w:szCs w:val="21"/>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2F87F88F">
            <w:pPr>
              <w:snapToGrid w:val="0"/>
              <w:spacing w:line="276" w:lineRule="auto"/>
              <w:rPr>
                <w:rFonts w:hint="eastAsia" w:ascii="宋体" w:hAnsi="宋体" w:eastAsia="宋体" w:cs="宋体"/>
                <w:szCs w:val="21"/>
              </w:rPr>
            </w:pPr>
            <w:r>
              <w:rPr>
                <w:rFonts w:hint="eastAsia" w:ascii="宋体" w:hAnsi="宋体" w:eastAsia="宋体" w:cs="宋体"/>
                <w:szCs w:val="21"/>
              </w:rPr>
              <w:t>考试形式由教师确定，试卷题型包括填空题、简答题、论述题和教学设计题等。其中：考核基本概念知识型题目占30%；考核道德与法治学习方式占30%；考核教材分析与教学设计占40%。</w:t>
            </w:r>
          </w:p>
        </w:tc>
        <w:tc>
          <w:tcPr>
            <w:tcW w:w="0" w:type="auto"/>
            <w:tcBorders>
              <w:top w:val="single" w:color="auto" w:sz="4" w:space="0"/>
              <w:left w:val="single" w:color="auto" w:sz="4" w:space="0"/>
              <w:bottom w:val="single" w:color="auto" w:sz="4" w:space="0"/>
              <w:right w:val="single" w:color="auto" w:sz="4" w:space="0"/>
            </w:tcBorders>
            <w:vAlign w:val="center"/>
          </w:tcPr>
          <w:p w14:paraId="0E575C45">
            <w:pPr>
              <w:snapToGrid w:val="0"/>
              <w:spacing w:line="276" w:lineRule="auto"/>
              <w:rPr>
                <w:rFonts w:hint="eastAsia" w:ascii="宋体" w:hAnsi="宋体" w:eastAsia="宋体" w:cs="宋体"/>
                <w:szCs w:val="21"/>
              </w:rPr>
            </w:pPr>
            <w:r>
              <w:rPr>
                <w:rFonts w:hint="eastAsia" w:ascii="宋体" w:hAnsi="宋体" w:eastAsia="宋体" w:cs="宋体"/>
                <w:szCs w:val="21"/>
              </w:rPr>
              <w:t>50%</w:t>
            </w:r>
          </w:p>
        </w:tc>
      </w:tr>
      <w:tr w14:paraId="13EC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8231" w:type="dxa"/>
            <w:gridSpan w:val="2"/>
            <w:tcBorders>
              <w:top w:val="single" w:color="auto" w:sz="4" w:space="0"/>
              <w:left w:val="single" w:color="auto" w:sz="4" w:space="0"/>
              <w:bottom w:val="single" w:color="auto" w:sz="4" w:space="0"/>
              <w:right w:val="single" w:color="auto" w:sz="4" w:space="0"/>
            </w:tcBorders>
            <w:vAlign w:val="center"/>
          </w:tcPr>
          <w:p w14:paraId="44EF739D">
            <w:pPr>
              <w:snapToGrid w:val="0"/>
              <w:spacing w:line="276" w:lineRule="auto"/>
              <w:jc w:val="center"/>
              <w:rPr>
                <w:rFonts w:hint="eastAsia" w:ascii="宋体" w:hAnsi="宋体" w:eastAsia="宋体" w:cs="宋体"/>
                <w:szCs w:val="21"/>
              </w:rPr>
            </w:pPr>
            <w:r>
              <w:rPr>
                <w:rFonts w:hint="eastAsia" w:ascii="宋体" w:hAnsi="宋体" w:eastAsia="宋体" w:cs="宋体"/>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31333104">
            <w:pPr>
              <w:snapToGrid w:val="0"/>
              <w:spacing w:line="276" w:lineRule="auto"/>
              <w:rPr>
                <w:rFonts w:hint="eastAsia" w:ascii="宋体" w:hAnsi="宋体" w:eastAsia="宋体" w:cs="宋体"/>
                <w:szCs w:val="21"/>
              </w:rPr>
            </w:pPr>
            <w:r>
              <w:rPr>
                <w:rFonts w:hint="eastAsia" w:ascii="宋体" w:hAnsi="宋体" w:eastAsia="宋体" w:cs="宋体"/>
                <w:szCs w:val="21"/>
              </w:rPr>
              <w:t>100%</w:t>
            </w:r>
          </w:p>
        </w:tc>
      </w:tr>
    </w:tbl>
    <w:p w14:paraId="691DB268">
      <w:pPr>
        <w:spacing w:line="276" w:lineRule="auto"/>
        <w:ind w:firstLine="527" w:firstLineChars="250"/>
        <w:rPr>
          <w:rFonts w:hint="eastAsia" w:ascii="宋体" w:hAnsi="宋体" w:eastAsia="宋体" w:cs="宋体"/>
          <w:b/>
          <w:szCs w:val="22"/>
        </w:rPr>
      </w:pPr>
      <w:r>
        <w:rPr>
          <w:rFonts w:hint="eastAsia" w:ascii="宋体" w:hAnsi="宋体" w:eastAsia="宋体" w:cs="宋体"/>
          <w:b/>
          <w:szCs w:val="22"/>
        </w:rPr>
        <w:t>（三）</w:t>
      </w:r>
      <w:r>
        <w:rPr>
          <w:rFonts w:hint="eastAsia" w:ascii="宋体" w:hAnsi="宋体" w:eastAsia="宋体" w:cs="宋体"/>
          <w:b/>
          <w:bCs/>
          <w:szCs w:val="22"/>
        </w:rPr>
        <w:t>课程目标达成度计算方法</w:t>
      </w:r>
    </w:p>
    <w:p w14:paraId="33523BB7">
      <w:pPr>
        <w:spacing w:line="276" w:lineRule="auto"/>
        <w:ind w:firstLine="420" w:firstLineChars="200"/>
        <w:rPr>
          <w:rFonts w:hint="eastAsia" w:ascii="宋体" w:hAnsi="宋体" w:eastAsia="宋体" w:cs="宋体"/>
          <w:szCs w:val="22"/>
        </w:rPr>
      </w:pPr>
      <w:r>
        <w:rPr>
          <w:rFonts w:hint="eastAsia" w:ascii="宋体" w:hAnsi="宋体" w:eastAsia="宋体" w:cs="宋体"/>
          <w:szCs w:val="22"/>
        </w:rPr>
        <w:t>所有课程目标均需大于等于</w:t>
      </w:r>
      <w:r>
        <w:rPr>
          <w:rFonts w:hint="eastAsia" w:ascii="宋体" w:hAnsi="宋体" w:eastAsia="宋体" w:cs="宋体"/>
          <w:szCs w:val="21"/>
        </w:rPr>
        <w:t>0.6</w:t>
      </w:r>
      <w:r>
        <w:rPr>
          <w:rFonts w:hint="eastAsia" w:ascii="宋体" w:hAnsi="宋体" w:eastAsia="宋体" w:cs="宋体"/>
          <w:szCs w:val="22"/>
        </w:rPr>
        <w:t>，否则总评成绩不及格，需要补考或重修。每门课程目标总体达成度计算方法如下：</w:t>
      </w:r>
    </w:p>
    <w:p w14:paraId="74C99F96">
      <w:pPr>
        <w:spacing w:line="276" w:lineRule="auto"/>
        <w:rPr>
          <w:rFonts w:hint="eastAsia" w:ascii="宋体" w:hAnsi="宋体" w:eastAsia="宋体" w:cs="宋体"/>
          <w:szCs w:val="21"/>
        </w:rPr>
      </w:pPr>
      <w:r>
        <w:rPr>
          <w:rFonts w:ascii="宋体" w:hAnsi="宋体" w:eastAsia="宋体" w:cs="Times New Roman"/>
          <w:color w:val="000000"/>
          <w:szCs w:val="21"/>
        </w:rPr>
        <w:object>
          <v:shape id="_x0000_i1064" o:spt="75" type="#_x0000_t75" style="height:25.05pt;width:404.45pt;" o:ole="t" filled="f" o:preferrelative="t" stroked="f" coordsize="21600,21600">
            <v:path/>
            <v:fill on="f" focussize="0,0"/>
            <v:stroke on="f" joinstyle="miter"/>
            <v:imagedata r:id="rId12" o:title=""/>
            <o:lock v:ext="edit" aspectratio="t"/>
            <w10:wrap type="none"/>
            <w10:anchorlock/>
          </v:shape>
          <o:OLEObject Type="Embed" ProgID="Equation.3" ShapeID="_x0000_i1064" DrawAspect="Content" ObjectID="_1468075764" r:id="rId52">
            <o:LockedField>false</o:LockedField>
          </o:OLEObject>
        </w:object>
      </w:r>
    </w:p>
    <w:p w14:paraId="75FC41F6">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五、课内实践</w:t>
      </w:r>
    </w:p>
    <w:p w14:paraId="697B7FF6">
      <w:pPr>
        <w:spacing w:line="276" w:lineRule="auto"/>
        <w:ind w:firstLine="420" w:firstLineChars="200"/>
        <w:rPr>
          <w:rFonts w:hint="eastAsia" w:ascii="宋体" w:hAnsi="宋体" w:eastAsia="宋体" w:cs="宋体"/>
          <w:bCs/>
          <w:szCs w:val="22"/>
        </w:rPr>
      </w:pPr>
      <w:r>
        <w:rPr>
          <w:rFonts w:hint="eastAsia" w:ascii="宋体" w:hAnsi="宋体" w:eastAsia="宋体" w:cs="宋体"/>
          <w:bCs/>
          <w:szCs w:val="22"/>
        </w:rPr>
        <w:t>本课程共有16课时的课内实践学时，根据教学内容的安排，分别进行四次实践项目。具体项目内容及要求如下。</w:t>
      </w:r>
    </w:p>
    <w:tbl>
      <w:tblPr>
        <w:tblStyle w:val="11"/>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73"/>
        <w:gridCol w:w="3947"/>
        <w:gridCol w:w="777"/>
        <w:gridCol w:w="1399"/>
      </w:tblGrid>
      <w:tr w14:paraId="388E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90" w:type="dxa"/>
            <w:shd w:val="clear" w:color="auto" w:fill="FFFFFF"/>
            <w:vAlign w:val="center"/>
          </w:tcPr>
          <w:p w14:paraId="41E8FB79">
            <w:pPr>
              <w:adjustRightInd w:val="0"/>
              <w:snapToGrid w:val="0"/>
              <w:jc w:val="center"/>
              <w:rPr>
                <w:rFonts w:hint="eastAsia" w:ascii="宋体" w:hAnsi="宋体" w:eastAsia="宋体" w:cs="宋体"/>
                <w:b/>
                <w:bCs/>
                <w:spacing w:val="-20"/>
                <w:szCs w:val="21"/>
              </w:rPr>
            </w:pPr>
            <w:r>
              <w:rPr>
                <w:rFonts w:hint="eastAsia" w:ascii="宋体" w:hAnsi="宋体" w:eastAsia="宋体" w:cs="宋体"/>
                <w:b/>
                <w:bCs/>
                <w:spacing w:val="-20"/>
                <w:szCs w:val="21"/>
              </w:rPr>
              <w:t>序号</w:t>
            </w:r>
          </w:p>
        </w:tc>
        <w:tc>
          <w:tcPr>
            <w:tcW w:w="1573" w:type="dxa"/>
            <w:shd w:val="clear" w:color="auto" w:fill="FFFFFF"/>
            <w:vAlign w:val="center"/>
          </w:tcPr>
          <w:p w14:paraId="22043B8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实践项目名称</w:t>
            </w:r>
          </w:p>
        </w:tc>
        <w:tc>
          <w:tcPr>
            <w:tcW w:w="3947" w:type="dxa"/>
            <w:shd w:val="clear" w:color="auto" w:fill="FFFFFF"/>
            <w:vAlign w:val="center"/>
          </w:tcPr>
          <w:p w14:paraId="176BA8F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实践内容及要求</w:t>
            </w:r>
          </w:p>
        </w:tc>
        <w:tc>
          <w:tcPr>
            <w:tcW w:w="777" w:type="dxa"/>
            <w:shd w:val="clear" w:color="auto" w:fill="FFFFFF"/>
            <w:vAlign w:val="center"/>
          </w:tcPr>
          <w:p w14:paraId="183D00AB">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学时</w:t>
            </w:r>
          </w:p>
        </w:tc>
        <w:tc>
          <w:tcPr>
            <w:tcW w:w="1399" w:type="dxa"/>
            <w:shd w:val="clear" w:color="auto" w:fill="FFFFFF"/>
            <w:vAlign w:val="center"/>
          </w:tcPr>
          <w:p w14:paraId="774F4ECC">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对应课程目标</w:t>
            </w:r>
          </w:p>
        </w:tc>
      </w:tr>
      <w:tr w14:paraId="7E42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690" w:type="dxa"/>
            <w:vAlign w:val="center"/>
          </w:tcPr>
          <w:p w14:paraId="5E61AC26">
            <w:pPr>
              <w:adjustRightInd w:val="0"/>
              <w:snapToGrid w:val="0"/>
              <w:jc w:val="center"/>
              <w:rPr>
                <w:rFonts w:hint="eastAsia" w:ascii="宋体" w:hAnsi="宋体" w:eastAsia="宋体" w:cs="宋体"/>
                <w:bCs/>
                <w:szCs w:val="21"/>
              </w:rPr>
            </w:pPr>
            <w:r>
              <w:rPr>
                <w:rFonts w:hint="eastAsia" w:ascii="宋体" w:hAnsi="宋体" w:eastAsia="宋体" w:cs="宋体"/>
                <w:bCs/>
                <w:szCs w:val="21"/>
              </w:rPr>
              <w:t>1</w:t>
            </w:r>
          </w:p>
        </w:tc>
        <w:tc>
          <w:tcPr>
            <w:tcW w:w="1573" w:type="dxa"/>
            <w:vAlign w:val="center"/>
          </w:tcPr>
          <w:p w14:paraId="6416185A">
            <w:pPr>
              <w:adjustRightInd w:val="0"/>
              <w:snapToGrid w:val="0"/>
              <w:rPr>
                <w:rFonts w:hint="eastAsia" w:ascii="宋体" w:hAnsi="宋体" w:eastAsia="宋体" w:cs="宋体"/>
                <w:kern w:val="0"/>
                <w:szCs w:val="21"/>
              </w:rPr>
            </w:pPr>
            <w:r>
              <w:rPr>
                <w:rFonts w:hint="eastAsia" w:ascii="宋体" w:hAnsi="宋体" w:eastAsia="宋体" w:cs="宋体"/>
                <w:kern w:val="0"/>
                <w:szCs w:val="21"/>
              </w:rPr>
              <w:t>小学道德与法治教学目标设计</w:t>
            </w:r>
          </w:p>
        </w:tc>
        <w:tc>
          <w:tcPr>
            <w:tcW w:w="3947" w:type="dxa"/>
            <w:vAlign w:val="center"/>
          </w:tcPr>
          <w:p w14:paraId="3EB119C6">
            <w:pPr>
              <w:adjustRightInd w:val="0"/>
              <w:snapToGrid w:val="0"/>
              <w:rPr>
                <w:rFonts w:hint="eastAsia" w:ascii="宋体" w:hAnsi="宋体" w:eastAsia="宋体" w:cs="宋体"/>
                <w:b/>
                <w:bCs/>
                <w:szCs w:val="21"/>
              </w:rPr>
            </w:pPr>
            <w:r>
              <w:rPr>
                <w:rFonts w:hint="eastAsia" w:ascii="宋体" w:hAnsi="宋体" w:eastAsia="宋体" w:cs="宋体"/>
                <w:b/>
                <w:bCs/>
                <w:szCs w:val="21"/>
              </w:rPr>
              <w:t>实践内容：</w:t>
            </w:r>
            <w:r>
              <w:rPr>
                <w:rFonts w:hint="eastAsia" w:ascii="宋体" w:hAnsi="宋体" w:eastAsia="宋体" w:cs="宋体"/>
                <w:szCs w:val="21"/>
              </w:rPr>
              <w:t>对照课标，选定课例，每人设计一课时的教学目标，书写设计理由。</w:t>
            </w:r>
          </w:p>
          <w:p w14:paraId="2B369C0B">
            <w:pPr>
              <w:adjustRightInd w:val="0"/>
              <w:snapToGrid w:val="0"/>
              <w:rPr>
                <w:rFonts w:hint="eastAsia" w:ascii="宋体" w:hAnsi="宋体" w:eastAsia="宋体" w:cs="宋体"/>
                <w:b/>
                <w:bCs/>
                <w:szCs w:val="21"/>
              </w:rPr>
            </w:pPr>
            <w:r>
              <w:rPr>
                <w:rFonts w:hint="eastAsia" w:ascii="宋体" w:hAnsi="宋体" w:eastAsia="宋体" w:cs="宋体"/>
                <w:b/>
                <w:bCs/>
                <w:szCs w:val="21"/>
              </w:rPr>
              <w:t>实践要求：</w:t>
            </w:r>
            <w:r>
              <w:rPr>
                <w:rFonts w:hint="eastAsia" w:ascii="宋体" w:hAnsi="宋体" w:eastAsia="宋体" w:cs="宋体"/>
                <w:bCs/>
                <w:szCs w:val="21"/>
              </w:rPr>
              <w:t>小组内对组员设计的教学目标进行评价、修订</w:t>
            </w:r>
            <w:r>
              <w:rPr>
                <w:rFonts w:hint="eastAsia" w:ascii="宋体" w:hAnsi="宋体" w:eastAsia="宋体" w:cs="宋体"/>
                <w:szCs w:val="21"/>
              </w:rPr>
              <w:t>，形成教学目标定稿。</w:t>
            </w:r>
          </w:p>
        </w:tc>
        <w:tc>
          <w:tcPr>
            <w:tcW w:w="777" w:type="dxa"/>
            <w:vAlign w:val="center"/>
          </w:tcPr>
          <w:p w14:paraId="690D270A">
            <w:pPr>
              <w:adjustRightInd w:val="0"/>
              <w:snapToGrid w:val="0"/>
              <w:jc w:val="center"/>
              <w:rPr>
                <w:rFonts w:hint="eastAsia" w:ascii="宋体" w:hAnsi="宋体" w:eastAsia="宋体" w:cs="宋体"/>
                <w:bCs/>
                <w:szCs w:val="21"/>
              </w:rPr>
            </w:pPr>
            <w:r>
              <w:rPr>
                <w:rFonts w:hint="eastAsia" w:ascii="宋体" w:hAnsi="宋体" w:eastAsia="宋体" w:cs="宋体"/>
                <w:bCs/>
                <w:szCs w:val="21"/>
              </w:rPr>
              <w:t>4</w:t>
            </w:r>
          </w:p>
        </w:tc>
        <w:tc>
          <w:tcPr>
            <w:tcW w:w="1399" w:type="dxa"/>
            <w:vAlign w:val="center"/>
          </w:tcPr>
          <w:p w14:paraId="389F8AB1">
            <w:pPr>
              <w:adjustRightInd w:val="0"/>
              <w:snapToGrid w:val="0"/>
              <w:jc w:val="center"/>
              <w:rPr>
                <w:rFonts w:hint="eastAsia" w:ascii="宋体" w:hAnsi="宋体" w:eastAsia="宋体" w:cs="宋体"/>
                <w:bCs/>
                <w:szCs w:val="21"/>
              </w:rPr>
            </w:pPr>
            <w:r>
              <w:rPr>
                <w:rFonts w:hint="eastAsia" w:ascii="宋体" w:hAnsi="宋体" w:eastAsia="宋体" w:cs="宋体"/>
                <w:bCs/>
                <w:szCs w:val="21"/>
              </w:rPr>
              <w:t>课程目标2</w:t>
            </w:r>
          </w:p>
          <w:p w14:paraId="5B987CE5">
            <w:pPr>
              <w:adjustRightInd w:val="0"/>
              <w:snapToGrid w:val="0"/>
              <w:jc w:val="center"/>
              <w:rPr>
                <w:rFonts w:hint="eastAsia" w:ascii="宋体" w:hAnsi="宋体" w:eastAsia="宋体" w:cs="宋体"/>
                <w:bCs/>
                <w:szCs w:val="21"/>
              </w:rPr>
            </w:pPr>
            <w:r>
              <w:rPr>
                <w:rFonts w:hint="eastAsia" w:ascii="宋体" w:hAnsi="宋体" w:eastAsia="宋体" w:cs="宋体"/>
                <w:bCs/>
                <w:szCs w:val="21"/>
              </w:rPr>
              <w:t>课程目标3</w:t>
            </w:r>
          </w:p>
          <w:p w14:paraId="03FC39CF">
            <w:pPr>
              <w:adjustRightInd w:val="0"/>
              <w:snapToGrid w:val="0"/>
              <w:jc w:val="center"/>
              <w:rPr>
                <w:rFonts w:hint="eastAsia" w:ascii="宋体" w:hAnsi="宋体" w:eastAsia="宋体" w:cs="宋体"/>
                <w:bCs/>
                <w:szCs w:val="21"/>
              </w:rPr>
            </w:pPr>
            <w:r>
              <w:rPr>
                <w:rFonts w:hint="eastAsia" w:ascii="宋体" w:hAnsi="宋体" w:eastAsia="宋体" w:cs="宋体"/>
                <w:bCs/>
                <w:szCs w:val="21"/>
              </w:rPr>
              <w:t>课程目标4</w:t>
            </w:r>
          </w:p>
        </w:tc>
      </w:tr>
      <w:tr w14:paraId="133E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690" w:type="dxa"/>
            <w:vAlign w:val="center"/>
          </w:tcPr>
          <w:p w14:paraId="52A1F81C">
            <w:pPr>
              <w:adjustRightInd w:val="0"/>
              <w:snapToGrid w:val="0"/>
              <w:jc w:val="center"/>
              <w:rPr>
                <w:rFonts w:hint="eastAsia" w:ascii="宋体" w:hAnsi="宋体" w:eastAsia="宋体" w:cs="宋体"/>
                <w:bCs/>
                <w:szCs w:val="21"/>
              </w:rPr>
            </w:pPr>
            <w:r>
              <w:rPr>
                <w:rFonts w:hint="eastAsia" w:ascii="宋体" w:hAnsi="宋体" w:eastAsia="宋体" w:cs="宋体"/>
                <w:bCs/>
                <w:szCs w:val="21"/>
              </w:rPr>
              <w:t>2</w:t>
            </w:r>
          </w:p>
        </w:tc>
        <w:tc>
          <w:tcPr>
            <w:tcW w:w="1573" w:type="dxa"/>
            <w:vAlign w:val="center"/>
          </w:tcPr>
          <w:p w14:paraId="2AB82669">
            <w:pPr>
              <w:adjustRightInd w:val="0"/>
              <w:snapToGrid w:val="0"/>
              <w:rPr>
                <w:rFonts w:hint="eastAsia" w:ascii="宋体" w:hAnsi="宋体" w:eastAsia="宋体" w:cs="宋体"/>
                <w:kern w:val="0"/>
                <w:szCs w:val="21"/>
              </w:rPr>
            </w:pPr>
            <w:r>
              <w:rPr>
                <w:rFonts w:hint="eastAsia" w:ascii="宋体" w:hAnsi="宋体" w:eastAsia="宋体" w:cs="宋体"/>
                <w:kern w:val="0"/>
                <w:szCs w:val="21"/>
              </w:rPr>
              <w:t>小学道德与法治教材解读</w:t>
            </w:r>
          </w:p>
        </w:tc>
        <w:tc>
          <w:tcPr>
            <w:tcW w:w="3947" w:type="dxa"/>
            <w:vAlign w:val="center"/>
          </w:tcPr>
          <w:p w14:paraId="75A6549F">
            <w:pPr>
              <w:adjustRightInd w:val="0"/>
              <w:snapToGrid w:val="0"/>
              <w:rPr>
                <w:rFonts w:hint="eastAsia" w:ascii="宋体" w:hAnsi="宋体" w:eastAsia="宋体" w:cs="宋体"/>
                <w:szCs w:val="21"/>
              </w:rPr>
            </w:pPr>
            <w:r>
              <w:rPr>
                <w:rFonts w:hint="eastAsia" w:ascii="宋体" w:hAnsi="宋体" w:eastAsia="宋体" w:cs="宋体"/>
                <w:b/>
                <w:bCs/>
                <w:szCs w:val="21"/>
              </w:rPr>
              <w:t>实践内容：</w:t>
            </w:r>
            <w:r>
              <w:rPr>
                <w:rFonts w:hint="eastAsia" w:ascii="宋体" w:hAnsi="宋体" w:eastAsia="宋体" w:cs="宋体"/>
                <w:bCs/>
                <w:szCs w:val="21"/>
              </w:rPr>
              <w:t>观看道德与法治新教材网络培训视频，</w:t>
            </w:r>
            <w:r>
              <w:rPr>
                <w:rFonts w:hint="eastAsia" w:ascii="宋体" w:hAnsi="宋体" w:eastAsia="宋体" w:cs="宋体"/>
                <w:szCs w:val="21"/>
              </w:rPr>
              <w:t>小组选择一个模块或单元，进行教材内容解读报告。</w:t>
            </w:r>
          </w:p>
          <w:p w14:paraId="090946BC">
            <w:pPr>
              <w:adjustRightInd w:val="0"/>
              <w:snapToGrid w:val="0"/>
              <w:rPr>
                <w:rFonts w:hint="eastAsia" w:ascii="宋体" w:hAnsi="宋体" w:eastAsia="宋体" w:cs="宋体"/>
                <w:kern w:val="0"/>
                <w:szCs w:val="21"/>
              </w:rPr>
            </w:pPr>
            <w:r>
              <w:rPr>
                <w:rFonts w:hint="eastAsia" w:ascii="宋体" w:hAnsi="宋体" w:eastAsia="宋体" w:cs="宋体"/>
                <w:b/>
                <w:bCs/>
                <w:szCs w:val="21"/>
              </w:rPr>
              <w:t>实践要求：</w:t>
            </w:r>
            <w:r>
              <w:rPr>
                <w:rFonts w:hint="eastAsia" w:ascii="宋体" w:hAnsi="宋体" w:eastAsia="宋体" w:cs="宋体"/>
                <w:szCs w:val="21"/>
              </w:rPr>
              <w:t>小组合作，完成教材研读报告，并汇报交流</w:t>
            </w:r>
            <w:r>
              <w:rPr>
                <w:rFonts w:hint="eastAsia" w:ascii="宋体" w:hAnsi="宋体" w:eastAsia="宋体" w:cs="宋体"/>
                <w:kern w:val="0"/>
                <w:szCs w:val="21"/>
              </w:rPr>
              <w:t>。</w:t>
            </w:r>
          </w:p>
        </w:tc>
        <w:tc>
          <w:tcPr>
            <w:tcW w:w="777" w:type="dxa"/>
            <w:vAlign w:val="center"/>
          </w:tcPr>
          <w:p w14:paraId="43EB4E39">
            <w:pPr>
              <w:adjustRightInd w:val="0"/>
              <w:snapToGrid w:val="0"/>
              <w:jc w:val="center"/>
              <w:rPr>
                <w:rFonts w:hint="eastAsia" w:ascii="宋体" w:hAnsi="宋体" w:eastAsia="宋体" w:cs="宋体"/>
                <w:bCs/>
                <w:szCs w:val="21"/>
              </w:rPr>
            </w:pPr>
            <w:r>
              <w:rPr>
                <w:rFonts w:hint="eastAsia" w:ascii="宋体" w:hAnsi="宋体" w:eastAsia="宋体" w:cs="宋体"/>
                <w:bCs/>
                <w:szCs w:val="21"/>
              </w:rPr>
              <w:t>4</w:t>
            </w:r>
          </w:p>
        </w:tc>
        <w:tc>
          <w:tcPr>
            <w:tcW w:w="1399" w:type="dxa"/>
            <w:vAlign w:val="center"/>
          </w:tcPr>
          <w:p w14:paraId="3524B5D4">
            <w:pPr>
              <w:adjustRightInd w:val="0"/>
              <w:snapToGrid w:val="0"/>
              <w:jc w:val="center"/>
              <w:rPr>
                <w:rFonts w:hint="eastAsia" w:ascii="宋体" w:hAnsi="宋体" w:eastAsia="宋体" w:cs="宋体"/>
                <w:bCs/>
                <w:szCs w:val="21"/>
              </w:rPr>
            </w:pPr>
            <w:r>
              <w:rPr>
                <w:rFonts w:hint="eastAsia" w:ascii="宋体" w:hAnsi="宋体" w:eastAsia="宋体" w:cs="宋体"/>
                <w:bCs/>
                <w:szCs w:val="21"/>
              </w:rPr>
              <w:t>课程目标2</w:t>
            </w:r>
          </w:p>
          <w:p w14:paraId="5C6046AD">
            <w:pPr>
              <w:adjustRightInd w:val="0"/>
              <w:snapToGrid w:val="0"/>
              <w:jc w:val="center"/>
              <w:rPr>
                <w:rFonts w:hint="eastAsia" w:ascii="宋体" w:hAnsi="宋体" w:eastAsia="宋体" w:cs="宋体"/>
                <w:bCs/>
                <w:szCs w:val="21"/>
              </w:rPr>
            </w:pPr>
            <w:r>
              <w:rPr>
                <w:rFonts w:hint="eastAsia" w:ascii="宋体" w:hAnsi="宋体" w:eastAsia="宋体" w:cs="宋体"/>
                <w:bCs/>
                <w:szCs w:val="21"/>
              </w:rPr>
              <w:t>课程目标3</w:t>
            </w:r>
          </w:p>
          <w:p w14:paraId="748451AE">
            <w:pPr>
              <w:adjustRightInd w:val="0"/>
              <w:snapToGrid w:val="0"/>
              <w:jc w:val="center"/>
              <w:rPr>
                <w:rFonts w:hint="eastAsia" w:ascii="宋体" w:hAnsi="宋体" w:eastAsia="宋体" w:cs="宋体"/>
                <w:bCs/>
                <w:szCs w:val="21"/>
              </w:rPr>
            </w:pPr>
            <w:r>
              <w:rPr>
                <w:rFonts w:hint="eastAsia" w:ascii="宋体" w:hAnsi="宋体" w:eastAsia="宋体" w:cs="宋体"/>
                <w:bCs/>
                <w:szCs w:val="21"/>
              </w:rPr>
              <w:t>课程目标4</w:t>
            </w:r>
          </w:p>
        </w:tc>
      </w:tr>
      <w:tr w14:paraId="185F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690" w:type="dxa"/>
            <w:vAlign w:val="center"/>
          </w:tcPr>
          <w:p w14:paraId="6049EED2">
            <w:pPr>
              <w:adjustRightInd w:val="0"/>
              <w:snapToGrid w:val="0"/>
              <w:jc w:val="center"/>
              <w:rPr>
                <w:rFonts w:hint="eastAsia" w:ascii="宋体" w:hAnsi="宋体" w:eastAsia="宋体" w:cs="宋体"/>
                <w:bCs/>
                <w:szCs w:val="21"/>
              </w:rPr>
            </w:pPr>
            <w:r>
              <w:rPr>
                <w:rFonts w:hint="eastAsia" w:ascii="宋体" w:hAnsi="宋体" w:eastAsia="宋体" w:cs="宋体"/>
                <w:bCs/>
                <w:szCs w:val="21"/>
              </w:rPr>
              <w:t>3</w:t>
            </w:r>
          </w:p>
        </w:tc>
        <w:tc>
          <w:tcPr>
            <w:tcW w:w="1573" w:type="dxa"/>
            <w:vAlign w:val="center"/>
          </w:tcPr>
          <w:p w14:paraId="0F5BE162">
            <w:pPr>
              <w:adjustRightInd w:val="0"/>
              <w:snapToGrid w:val="0"/>
              <w:rPr>
                <w:rFonts w:hint="eastAsia" w:ascii="宋体" w:hAnsi="宋体" w:eastAsia="宋体" w:cs="宋体"/>
                <w:kern w:val="0"/>
                <w:szCs w:val="21"/>
              </w:rPr>
            </w:pPr>
            <w:r>
              <w:rPr>
                <w:rFonts w:hint="eastAsia" w:ascii="宋体" w:hAnsi="宋体" w:eastAsia="宋体" w:cs="宋体"/>
                <w:kern w:val="0"/>
                <w:szCs w:val="21"/>
              </w:rPr>
              <w:t>小学道德与法治教案设计</w:t>
            </w:r>
          </w:p>
        </w:tc>
        <w:tc>
          <w:tcPr>
            <w:tcW w:w="3947" w:type="dxa"/>
            <w:vAlign w:val="center"/>
          </w:tcPr>
          <w:p w14:paraId="52E22014">
            <w:pPr>
              <w:adjustRightInd w:val="0"/>
              <w:snapToGrid w:val="0"/>
              <w:rPr>
                <w:rFonts w:hint="eastAsia" w:ascii="宋体" w:hAnsi="宋体" w:eastAsia="宋体" w:cs="宋体"/>
                <w:szCs w:val="21"/>
              </w:rPr>
            </w:pPr>
            <w:r>
              <w:rPr>
                <w:rFonts w:hint="eastAsia" w:ascii="宋体" w:hAnsi="宋体" w:eastAsia="宋体" w:cs="宋体"/>
                <w:b/>
                <w:bCs/>
                <w:szCs w:val="21"/>
              </w:rPr>
              <w:t>实践内容：</w:t>
            </w:r>
            <w:r>
              <w:rPr>
                <w:rFonts w:hint="eastAsia" w:ascii="宋体" w:hAnsi="宋体" w:eastAsia="宋体" w:cs="宋体"/>
                <w:kern w:val="0"/>
                <w:szCs w:val="21"/>
              </w:rPr>
              <w:t>观看全国优质课视频，分析教学流程与教学特色。</w:t>
            </w:r>
            <w:r>
              <w:rPr>
                <w:rFonts w:hint="eastAsia" w:ascii="宋体" w:hAnsi="宋体" w:eastAsia="宋体" w:cs="宋体"/>
                <w:szCs w:val="21"/>
              </w:rPr>
              <w:t>每个同学选择一课时的内容，撰写教学设计初步方案。</w:t>
            </w:r>
          </w:p>
          <w:p w14:paraId="47F570F0">
            <w:pPr>
              <w:adjustRightInd w:val="0"/>
              <w:snapToGrid w:val="0"/>
              <w:rPr>
                <w:rFonts w:hint="eastAsia" w:ascii="宋体" w:hAnsi="宋体" w:eastAsia="宋体" w:cs="宋体"/>
                <w:kern w:val="0"/>
                <w:szCs w:val="21"/>
              </w:rPr>
            </w:pPr>
            <w:r>
              <w:rPr>
                <w:rFonts w:hint="eastAsia" w:ascii="宋体" w:hAnsi="宋体" w:eastAsia="宋体" w:cs="宋体"/>
                <w:b/>
                <w:bCs/>
                <w:szCs w:val="21"/>
              </w:rPr>
              <w:t>实践要求：</w:t>
            </w:r>
            <w:r>
              <w:rPr>
                <w:rFonts w:hint="eastAsia" w:ascii="宋体" w:hAnsi="宋体" w:eastAsia="宋体" w:cs="宋体"/>
                <w:szCs w:val="21"/>
              </w:rPr>
              <w:t>小组内对教案进行相互评价，总结教案书写中的共性问题，课堂交流，在此基础上，完善教案，形成教案定稿。</w:t>
            </w:r>
          </w:p>
        </w:tc>
        <w:tc>
          <w:tcPr>
            <w:tcW w:w="777" w:type="dxa"/>
            <w:vAlign w:val="center"/>
          </w:tcPr>
          <w:p w14:paraId="2DFA8094">
            <w:pPr>
              <w:adjustRightInd w:val="0"/>
              <w:snapToGrid w:val="0"/>
              <w:jc w:val="center"/>
              <w:rPr>
                <w:rFonts w:hint="eastAsia" w:ascii="宋体" w:hAnsi="宋体" w:eastAsia="宋体" w:cs="宋体"/>
                <w:bCs/>
                <w:szCs w:val="21"/>
              </w:rPr>
            </w:pPr>
            <w:r>
              <w:rPr>
                <w:rFonts w:hint="eastAsia" w:ascii="宋体" w:hAnsi="宋体" w:eastAsia="宋体" w:cs="宋体"/>
                <w:bCs/>
                <w:szCs w:val="21"/>
              </w:rPr>
              <w:t>4</w:t>
            </w:r>
          </w:p>
        </w:tc>
        <w:tc>
          <w:tcPr>
            <w:tcW w:w="1399" w:type="dxa"/>
            <w:vAlign w:val="center"/>
          </w:tcPr>
          <w:p w14:paraId="7E237BFD">
            <w:pPr>
              <w:adjustRightInd w:val="0"/>
              <w:snapToGrid w:val="0"/>
              <w:jc w:val="center"/>
              <w:rPr>
                <w:rFonts w:hint="eastAsia" w:ascii="宋体" w:hAnsi="宋体" w:eastAsia="宋体" w:cs="宋体"/>
                <w:bCs/>
                <w:szCs w:val="21"/>
              </w:rPr>
            </w:pPr>
            <w:r>
              <w:rPr>
                <w:rFonts w:hint="eastAsia" w:ascii="宋体" w:hAnsi="宋体" w:eastAsia="宋体" w:cs="宋体"/>
                <w:bCs/>
                <w:szCs w:val="21"/>
              </w:rPr>
              <w:t>程目标2</w:t>
            </w:r>
          </w:p>
          <w:p w14:paraId="32588B07">
            <w:pPr>
              <w:adjustRightInd w:val="0"/>
              <w:snapToGrid w:val="0"/>
              <w:jc w:val="center"/>
              <w:rPr>
                <w:rFonts w:hint="eastAsia" w:ascii="宋体" w:hAnsi="宋体" w:eastAsia="宋体" w:cs="宋体"/>
                <w:bCs/>
                <w:szCs w:val="21"/>
              </w:rPr>
            </w:pPr>
            <w:r>
              <w:rPr>
                <w:rFonts w:hint="eastAsia" w:ascii="宋体" w:hAnsi="宋体" w:eastAsia="宋体" w:cs="宋体"/>
                <w:bCs/>
                <w:szCs w:val="21"/>
              </w:rPr>
              <w:t>课程目标3</w:t>
            </w:r>
          </w:p>
          <w:p w14:paraId="09DA5799">
            <w:pPr>
              <w:adjustRightInd w:val="0"/>
              <w:snapToGrid w:val="0"/>
              <w:jc w:val="center"/>
              <w:rPr>
                <w:rFonts w:hint="eastAsia" w:ascii="宋体" w:hAnsi="宋体" w:eastAsia="宋体" w:cs="宋体"/>
                <w:bCs/>
                <w:szCs w:val="21"/>
              </w:rPr>
            </w:pPr>
            <w:r>
              <w:rPr>
                <w:rFonts w:hint="eastAsia" w:ascii="宋体" w:hAnsi="宋体" w:eastAsia="宋体" w:cs="宋体"/>
                <w:bCs/>
                <w:szCs w:val="21"/>
              </w:rPr>
              <w:t>课程目标4</w:t>
            </w:r>
          </w:p>
        </w:tc>
      </w:tr>
      <w:tr w14:paraId="03885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trPr>
        <w:tc>
          <w:tcPr>
            <w:tcW w:w="690" w:type="dxa"/>
            <w:vAlign w:val="center"/>
          </w:tcPr>
          <w:p w14:paraId="1AA964F1">
            <w:pPr>
              <w:adjustRightInd w:val="0"/>
              <w:snapToGrid w:val="0"/>
              <w:jc w:val="center"/>
              <w:rPr>
                <w:rFonts w:hint="eastAsia" w:ascii="宋体" w:hAnsi="宋体" w:eastAsia="宋体" w:cs="宋体"/>
                <w:bCs/>
                <w:szCs w:val="21"/>
              </w:rPr>
            </w:pPr>
            <w:r>
              <w:rPr>
                <w:rFonts w:hint="eastAsia" w:ascii="宋体" w:hAnsi="宋体" w:eastAsia="宋体" w:cs="宋体"/>
                <w:bCs/>
                <w:szCs w:val="21"/>
              </w:rPr>
              <w:t>4</w:t>
            </w:r>
          </w:p>
        </w:tc>
        <w:tc>
          <w:tcPr>
            <w:tcW w:w="1573" w:type="dxa"/>
            <w:vAlign w:val="center"/>
          </w:tcPr>
          <w:p w14:paraId="6F922134">
            <w:pPr>
              <w:adjustRightInd w:val="0"/>
              <w:snapToGrid w:val="0"/>
              <w:rPr>
                <w:rFonts w:hint="eastAsia" w:ascii="宋体" w:hAnsi="宋体" w:eastAsia="宋体" w:cs="宋体"/>
                <w:kern w:val="0"/>
                <w:szCs w:val="21"/>
              </w:rPr>
            </w:pPr>
            <w:r>
              <w:rPr>
                <w:rFonts w:hint="eastAsia" w:ascii="宋体" w:hAnsi="宋体" w:eastAsia="宋体" w:cs="宋体"/>
                <w:kern w:val="0"/>
                <w:szCs w:val="21"/>
              </w:rPr>
              <w:t>小学道德与法治课堂教学评价</w:t>
            </w:r>
          </w:p>
        </w:tc>
        <w:tc>
          <w:tcPr>
            <w:tcW w:w="3947" w:type="dxa"/>
            <w:vAlign w:val="center"/>
          </w:tcPr>
          <w:p w14:paraId="5410B5CF">
            <w:pPr>
              <w:adjustRightInd w:val="0"/>
              <w:snapToGrid w:val="0"/>
              <w:ind w:firstLine="422" w:firstLineChars="200"/>
              <w:rPr>
                <w:rFonts w:hint="eastAsia" w:ascii="宋体" w:hAnsi="宋体" w:eastAsia="宋体" w:cs="宋体"/>
                <w:b/>
                <w:bCs/>
                <w:szCs w:val="21"/>
              </w:rPr>
            </w:pPr>
            <w:r>
              <w:rPr>
                <w:rFonts w:hint="eastAsia" w:ascii="宋体" w:hAnsi="宋体" w:eastAsia="宋体" w:cs="宋体"/>
                <w:b/>
                <w:bCs/>
                <w:szCs w:val="21"/>
              </w:rPr>
              <w:t>实践内容：</w:t>
            </w:r>
            <w:r>
              <w:rPr>
                <w:rFonts w:hint="eastAsia" w:ascii="宋体" w:hAnsi="宋体" w:eastAsia="宋体" w:cs="宋体"/>
                <w:szCs w:val="21"/>
              </w:rPr>
              <w:t>课堂上观摩小学道德与法治课教学视频，借助所学评价理论进行教学评价。</w:t>
            </w:r>
          </w:p>
          <w:p w14:paraId="201BB206">
            <w:pPr>
              <w:adjustRightInd w:val="0"/>
              <w:snapToGrid w:val="0"/>
              <w:ind w:firstLine="422" w:firstLineChars="200"/>
              <w:rPr>
                <w:rFonts w:hint="eastAsia" w:ascii="宋体" w:hAnsi="宋体" w:eastAsia="宋体" w:cs="宋体"/>
                <w:kern w:val="0"/>
                <w:szCs w:val="21"/>
              </w:rPr>
            </w:pPr>
            <w:r>
              <w:rPr>
                <w:rFonts w:hint="eastAsia" w:ascii="宋体" w:hAnsi="宋体" w:eastAsia="宋体" w:cs="宋体"/>
                <w:b/>
                <w:bCs/>
                <w:szCs w:val="21"/>
              </w:rPr>
              <w:t>实践要求：</w:t>
            </w:r>
            <w:r>
              <w:rPr>
                <w:rFonts w:hint="eastAsia" w:ascii="宋体" w:hAnsi="宋体" w:eastAsia="宋体" w:cs="宋体"/>
                <w:bCs/>
                <w:szCs w:val="21"/>
              </w:rPr>
              <w:t>组内合作，形成点评思路和点评内容，进行课堂交流。</w:t>
            </w:r>
          </w:p>
        </w:tc>
        <w:tc>
          <w:tcPr>
            <w:tcW w:w="777" w:type="dxa"/>
            <w:vAlign w:val="center"/>
          </w:tcPr>
          <w:p w14:paraId="61895244">
            <w:pPr>
              <w:adjustRightInd w:val="0"/>
              <w:snapToGrid w:val="0"/>
              <w:jc w:val="center"/>
              <w:rPr>
                <w:rFonts w:hint="eastAsia" w:ascii="宋体" w:hAnsi="宋体" w:eastAsia="宋体" w:cs="宋体"/>
                <w:bCs/>
                <w:szCs w:val="21"/>
              </w:rPr>
            </w:pPr>
            <w:r>
              <w:rPr>
                <w:rFonts w:hint="eastAsia" w:ascii="宋体" w:hAnsi="宋体" w:eastAsia="宋体" w:cs="宋体"/>
                <w:bCs/>
                <w:szCs w:val="21"/>
              </w:rPr>
              <w:t>4</w:t>
            </w:r>
          </w:p>
        </w:tc>
        <w:tc>
          <w:tcPr>
            <w:tcW w:w="1399" w:type="dxa"/>
            <w:vAlign w:val="center"/>
          </w:tcPr>
          <w:p w14:paraId="6C25DC7B">
            <w:pPr>
              <w:adjustRightInd w:val="0"/>
              <w:snapToGrid w:val="0"/>
              <w:jc w:val="center"/>
              <w:rPr>
                <w:rFonts w:hint="eastAsia" w:ascii="宋体" w:hAnsi="宋体" w:eastAsia="宋体" w:cs="宋体"/>
                <w:bCs/>
                <w:szCs w:val="21"/>
              </w:rPr>
            </w:pPr>
          </w:p>
        </w:tc>
      </w:tr>
    </w:tbl>
    <w:p w14:paraId="214FE56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11212FD0">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（一）持续改进</w:t>
      </w:r>
    </w:p>
    <w:p w14:paraId="4133EE4B">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本课程根据学生作业、课堂讨论、教学环节、平时考核情况和学生、教学督导等的反馈，及时对教学中的不足之处进行改进，并在下一轮课程教学中整改完善，确保相应毕业要求指标点达成。</w:t>
      </w:r>
    </w:p>
    <w:p w14:paraId="004981C6">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（二）建议教材</w:t>
      </w:r>
    </w:p>
    <w:p w14:paraId="1F044A32">
      <w:pPr>
        <w:spacing w:line="360" w:lineRule="auto"/>
        <w:ind w:firstLine="420" w:firstLineChars="200"/>
        <w:rPr>
          <w:rFonts w:hint="eastAsia" w:ascii="宋体" w:hAnsi="宋体" w:eastAsia="宋体" w:cs="宋体"/>
          <w:szCs w:val="21"/>
        </w:rPr>
      </w:pPr>
      <w:r>
        <w:rPr>
          <w:rFonts w:hint="eastAsia" w:ascii="宋体" w:hAnsi="宋体" w:eastAsia="宋体" w:cs="宋体"/>
          <w:kern w:val="0"/>
          <w:szCs w:val="21"/>
        </w:rPr>
        <w:t>刘慧.《小学道德与法治课程与教学》，西南师范大学出版社.2021.</w:t>
      </w:r>
    </w:p>
    <w:p w14:paraId="029F1BAA">
      <w:pPr>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rPr>
        <w:t>（三）参考书目</w:t>
      </w:r>
    </w:p>
    <w:p w14:paraId="2CF4ECCD">
      <w:pPr>
        <w:spacing w:line="360" w:lineRule="auto"/>
        <w:ind w:firstLine="420" w:firstLineChars="200"/>
        <w:rPr>
          <w:rFonts w:hint="eastAsia" w:ascii="宋体" w:hAnsi="宋体" w:eastAsia="宋体" w:cs="宋体"/>
          <w:kern w:val="0"/>
          <w:szCs w:val="21"/>
        </w:rPr>
      </w:pPr>
      <w:r>
        <w:rPr>
          <w:rFonts w:hint="eastAsia" w:ascii="宋体" w:hAnsi="宋体" w:eastAsia="宋体" w:cs="宋体"/>
          <w:szCs w:val="21"/>
        </w:rPr>
        <w:t>1.教育部编.义务教育小学品德与生活、品德与社会课程标准.2011.</w:t>
      </w:r>
    </w:p>
    <w:p w14:paraId="4B2D361D">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2.张茂聪.儿童品德发展与道德教育.济南：山东人民出版社.2012.</w:t>
      </w:r>
    </w:p>
    <w:p w14:paraId="2081C58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3.沈晓敏.小学品德与社会（生活）课程研究.上海：华东师范大学出版社.2016.</w:t>
      </w:r>
    </w:p>
    <w:p w14:paraId="2D82F74D">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4.中小学德育工作指南，2017年版。</w:t>
      </w:r>
    </w:p>
    <w:p w14:paraId="14560E1B">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5.刘慧.小学道德与法治课程标准与教材研究.北京：中国人民大学出版社，2024年。</w:t>
      </w:r>
    </w:p>
    <w:p w14:paraId="4467E013">
      <w:pPr>
        <w:autoSpaceDE w:val="0"/>
        <w:autoSpaceDN w:val="0"/>
        <w:adjustRightInd w:val="0"/>
        <w:spacing w:line="360" w:lineRule="auto"/>
        <w:jc w:val="left"/>
        <w:rPr>
          <w:rFonts w:hint="eastAsia" w:ascii="宋体" w:hAnsi="宋体" w:eastAsia="宋体" w:cs="宋体"/>
          <w:kern w:val="0"/>
          <w:sz w:val="24"/>
          <w:szCs w:val="21"/>
        </w:rPr>
      </w:pPr>
    </w:p>
    <w:p w14:paraId="600C1091">
      <w:pPr>
        <w:autoSpaceDE w:val="0"/>
        <w:autoSpaceDN w:val="0"/>
        <w:adjustRightInd w:val="0"/>
        <w:spacing w:line="360" w:lineRule="auto"/>
        <w:ind w:firstLine="5250" w:firstLineChars="2500"/>
        <w:jc w:val="right"/>
        <w:rPr>
          <w:rFonts w:hint="eastAsia" w:ascii="宋体" w:hAnsi="宋体" w:eastAsia="宋体" w:cs="宋体"/>
          <w:kern w:val="0"/>
          <w:szCs w:val="18"/>
        </w:rPr>
      </w:pPr>
      <w:r>
        <w:rPr>
          <w:rFonts w:hint="eastAsia" w:ascii="宋体" w:hAnsi="宋体" w:eastAsia="宋体" w:cs="宋体"/>
          <w:kern w:val="0"/>
          <w:szCs w:val="18"/>
        </w:rPr>
        <w:t xml:space="preserve">执笔人：王雅丽 </w:t>
      </w:r>
    </w:p>
    <w:p w14:paraId="49E47872">
      <w:pPr>
        <w:autoSpaceDE w:val="0"/>
        <w:autoSpaceDN w:val="0"/>
        <w:adjustRightInd w:val="0"/>
        <w:spacing w:line="360" w:lineRule="auto"/>
        <w:ind w:firstLine="5250" w:firstLineChars="2500"/>
        <w:jc w:val="right"/>
        <w:rPr>
          <w:rFonts w:hint="eastAsia" w:ascii="宋体" w:hAnsi="宋体" w:eastAsia="宋体" w:cs="宋体"/>
          <w:kern w:val="0"/>
          <w:szCs w:val="18"/>
        </w:rPr>
      </w:pPr>
      <w:r>
        <w:rPr>
          <w:rFonts w:hint="eastAsia" w:ascii="宋体" w:hAnsi="宋体" w:eastAsia="宋体" w:cs="宋体"/>
          <w:kern w:val="0"/>
          <w:szCs w:val="18"/>
        </w:rPr>
        <w:t>审定人：王  健</w:t>
      </w:r>
    </w:p>
    <w:p w14:paraId="5CED8B39">
      <w:pPr>
        <w:autoSpaceDE w:val="0"/>
        <w:autoSpaceDN w:val="0"/>
        <w:adjustRightInd w:val="0"/>
        <w:spacing w:line="360" w:lineRule="auto"/>
        <w:ind w:firstLine="5250" w:firstLineChars="2500"/>
        <w:jc w:val="right"/>
        <w:rPr>
          <w:rFonts w:hint="eastAsia" w:ascii="宋体" w:hAnsi="宋体" w:eastAsia="宋体" w:cs="宋体"/>
          <w:kern w:val="0"/>
          <w:szCs w:val="18"/>
        </w:rPr>
      </w:pPr>
      <w:r>
        <w:rPr>
          <w:rFonts w:hint="eastAsia" w:ascii="宋体" w:hAnsi="宋体" w:eastAsia="宋体" w:cs="宋体"/>
          <w:kern w:val="0"/>
          <w:szCs w:val="18"/>
        </w:rPr>
        <w:t>审批人：张志欣</w:t>
      </w:r>
    </w:p>
    <w:p w14:paraId="2002F36F">
      <w:pPr>
        <w:ind w:firstLine="5250" w:firstLineChars="2500"/>
        <w:jc w:val="right"/>
        <w:rPr>
          <w:rFonts w:hint="eastAsia" w:ascii="宋体" w:hAnsi="宋体" w:eastAsia="宋体" w:cs="Times New Roman"/>
          <w:kern w:val="0"/>
          <w:szCs w:val="18"/>
        </w:rPr>
      </w:pPr>
      <w:r>
        <w:rPr>
          <w:rFonts w:hint="eastAsia" w:ascii="宋体" w:hAnsi="宋体" w:eastAsia="宋体" w:cs="宋体"/>
          <w:kern w:val="0"/>
          <w:szCs w:val="18"/>
        </w:rPr>
        <w:t>批准时间：2025年7月1日</w:t>
      </w:r>
    </w:p>
    <w:p w14:paraId="2C41A81E">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6DDB429D">
      <w:pPr>
        <w:ind w:right="480"/>
        <w:jc w:val="right"/>
        <w:rPr>
          <w:rFonts w:hint="eastAsia" w:ascii="宋体" w:hAnsi="宋体" w:eastAsia="宋体" w:cs="Times New Roman"/>
          <w:kern w:val="0"/>
          <w:sz w:val="24"/>
          <w:szCs w:val="21"/>
        </w:rPr>
      </w:pPr>
    </w:p>
    <w:p w14:paraId="0F977853">
      <w:pPr>
        <w:spacing w:line="360" w:lineRule="auto"/>
        <w:jc w:val="center"/>
        <w:outlineLvl w:val="0"/>
        <w:rPr>
          <w:rFonts w:ascii="Times New Roman" w:hAnsi="Times New Roman" w:eastAsia="宋体" w:cs="Times New Roman"/>
          <w:b/>
          <w:sz w:val="44"/>
          <w:szCs w:val="44"/>
        </w:rPr>
      </w:pPr>
      <w:bookmarkStart w:id="1360" w:name="_Toc24526"/>
      <w:bookmarkStart w:id="1361" w:name="_Toc32192"/>
      <w:bookmarkStart w:id="1362" w:name="_Toc26454"/>
      <w:bookmarkStart w:id="1363" w:name="_Toc12261"/>
      <w:r>
        <w:rPr>
          <w:rFonts w:hint="eastAsia" w:ascii="Times New Roman" w:hAnsi="Times New Roman" w:eastAsia="宋体" w:cs="Times New Roman"/>
          <w:b/>
          <w:sz w:val="44"/>
          <w:szCs w:val="44"/>
        </w:rPr>
        <w:t>《小学语文教学设计与实施》课程教学大纲</w:t>
      </w:r>
      <w:bookmarkEnd w:id="1360"/>
      <w:bookmarkEnd w:id="1361"/>
      <w:bookmarkEnd w:id="1362"/>
      <w:bookmarkEnd w:id="1363"/>
    </w:p>
    <w:p w14:paraId="40EFC239">
      <w:pPr>
        <w:spacing w:line="360" w:lineRule="auto"/>
        <w:jc w:val="center"/>
      </w:pPr>
      <w:bookmarkStart w:id="1364" w:name="_Toc7599"/>
      <w:bookmarkStart w:id="1365" w:name="_Toc22373"/>
      <w:bookmarkStart w:id="1366" w:name="_Toc29340"/>
      <w:bookmarkStart w:id="1367" w:name="_Toc18809"/>
      <w:bookmarkStart w:id="1368" w:name="_Toc4150"/>
      <w:bookmarkStart w:id="1369" w:name="_Toc15723"/>
      <w:bookmarkStart w:id="1370" w:name="_Toc32205"/>
      <w:r>
        <w:rPr>
          <w:rFonts w:ascii="Times New Roman" w:hAnsi="Times New Roman" w:eastAsia="宋体" w:cs="Times New Roman"/>
          <w:b/>
          <w:bCs/>
          <w:sz w:val="24"/>
        </w:rPr>
        <w:t>（Design and Implementation of Chinese Teaching in Primary School）</w:t>
      </w:r>
      <w:bookmarkEnd w:id="1364"/>
      <w:bookmarkEnd w:id="1365"/>
      <w:bookmarkEnd w:id="1366"/>
      <w:bookmarkEnd w:id="1367"/>
      <w:bookmarkEnd w:id="1368"/>
      <w:bookmarkEnd w:id="1369"/>
      <w:bookmarkEnd w:id="1370"/>
    </w:p>
    <w:p w14:paraId="48FAD5C7">
      <w:pPr>
        <w:spacing w:line="360" w:lineRule="auto"/>
        <w:ind w:firstLine="422" w:firstLineChars="200"/>
        <w:jc w:val="left"/>
        <w:rPr>
          <w:rFonts w:ascii="Times New Roman" w:hAnsi="Times New Roman" w:eastAsia="宋体" w:cs="Times New Roman"/>
          <w:b/>
          <w:szCs w:val="21"/>
        </w:rPr>
      </w:pPr>
    </w:p>
    <w:p w14:paraId="59E821A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课程名称：小学语文教学设计与实施</w:t>
      </w:r>
      <w:r>
        <w:rPr>
          <w:rFonts w:ascii="Times New Roman" w:hAnsi="Times New Roman" w:eastAsia="宋体" w:cs="Times New Roman"/>
          <w:b/>
          <w:sz w:val="24"/>
        </w:rPr>
        <w:t xml:space="preserve"> </w:t>
      </w:r>
    </w:p>
    <w:p w14:paraId="39603F9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宋体" w:hAnsi="宋体" w:eastAsia="宋体" w:cs="Times New Roman"/>
          <w:b/>
          <w:kern w:val="0"/>
          <w:sz w:val="24"/>
          <w:szCs w:val="22"/>
        </w:rPr>
        <w:t>2401029</w:t>
      </w:r>
    </w:p>
    <w:p w14:paraId="3C744C9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hint="eastAsia" w:ascii="宋体" w:hAnsi="宋体" w:eastAsia="宋体" w:cs="Times New Roman"/>
          <w:b/>
          <w:kern w:val="0"/>
          <w:sz w:val="24"/>
          <w:szCs w:val="22"/>
        </w:rPr>
        <w:t>3</w:t>
      </w:r>
    </w:p>
    <w:p w14:paraId="54ABE4D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宋体" w:hAnsi="宋体" w:eastAsia="宋体" w:cs="Times New Roman"/>
          <w:b/>
          <w:kern w:val="0"/>
          <w:sz w:val="24"/>
        </w:rPr>
        <w:t>48</w:t>
      </w:r>
      <w:r>
        <w:rPr>
          <w:rFonts w:ascii="宋体" w:hAnsi="宋体" w:eastAsia="宋体" w:cs="Times New Roman"/>
          <w:b/>
          <w:kern w:val="0"/>
          <w:sz w:val="24"/>
        </w:rPr>
        <w:t xml:space="preserve"> （其中：讲授学时</w:t>
      </w:r>
      <w:r>
        <w:rPr>
          <w:rFonts w:hint="eastAsia" w:ascii="宋体" w:hAnsi="宋体" w:eastAsia="宋体" w:cs="Times New Roman"/>
          <w:b/>
          <w:kern w:val="0"/>
          <w:sz w:val="24"/>
        </w:rPr>
        <w:t>32，</w:t>
      </w:r>
      <w:r>
        <w:rPr>
          <w:rFonts w:ascii="宋体" w:hAnsi="宋体" w:eastAsia="宋体" w:cs="Times New Roman"/>
          <w:b/>
          <w:kern w:val="0"/>
          <w:sz w:val="24"/>
        </w:rPr>
        <w:t xml:space="preserve"> 实践学时</w:t>
      </w:r>
      <w:r>
        <w:rPr>
          <w:rFonts w:hint="eastAsia" w:ascii="宋体" w:hAnsi="宋体" w:eastAsia="宋体" w:cs="Times New Roman"/>
          <w:b/>
          <w:kern w:val="0"/>
          <w:sz w:val="24"/>
        </w:rPr>
        <w:t>16</w:t>
      </w:r>
      <w:r>
        <w:rPr>
          <w:rFonts w:ascii="宋体" w:hAnsi="宋体" w:eastAsia="宋体" w:cs="Times New Roman"/>
          <w:b/>
          <w:kern w:val="0"/>
          <w:sz w:val="24"/>
        </w:rPr>
        <w:t>）</w:t>
      </w:r>
    </w:p>
    <w:p w14:paraId="6176388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w:t>
      </w:r>
      <w:r>
        <w:rPr>
          <w:rFonts w:ascii="宋体" w:hAnsi="宋体" w:eastAsia="宋体" w:cs="Calibri"/>
          <w:b/>
          <w:kern w:val="0"/>
          <w:sz w:val="24"/>
          <w:szCs w:val="21"/>
        </w:rPr>
        <w:t>课程与教学论</w:t>
      </w:r>
      <w:r>
        <w:rPr>
          <w:rFonts w:hint="eastAsia" w:ascii="宋体" w:hAnsi="宋体" w:eastAsia="宋体" w:cs="Calibri"/>
          <w:b/>
          <w:kern w:val="0"/>
          <w:sz w:val="24"/>
          <w:szCs w:val="21"/>
        </w:rPr>
        <w:t>、教育心理学、现代教育技术、古代汉语、现代汉语、文学概论、中国古代文学、中国现当代文学、儿童文学、小学语文课程标准与教材分析</w:t>
      </w:r>
    </w:p>
    <w:p w14:paraId="0F64B1D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适用专业：小学教育（文）</w:t>
      </w:r>
    </w:p>
    <w:p w14:paraId="25079AE4">
      <w:pPr>
        <w:spacing w:before="62" w:beforeLines="20" w:after="62" w:afterLines="20" w:line="360" w:lineRule="auto"/>
        <w:jc w:val="left"/>
        <w:rPr>
          <w:rFonts w:ascii="Times New Roman" w:hAnsi="Times New Roman" w:eastAsia="宋体" w:cs="Times New Roman"/>
          <w:b/>
          <w:sz w:val="24"/>
        </w:rPr>
      </w:pPr>
      <w:bookmarkStart w:id="1371" w:name="_Toc9498"/>
      <w:bookmarkStart w:id="1372" w:name="_Toc17643"/>
      <w:bookmarkStart w:id="1373" w:name="_Toc7655"/>
      <w:bookmarkStart w:id="1374" w:name="_Toc16655"/>
      <w:bookmarkStart w:id="1375" w:name="_Toc25626"/>
      <w:bookmarkStart w:id="1376" w:name="_Toc17279"/>
      <w:bookmarkStart w:id="1377" w:name="_Toc17014"/>
      <w:r>
        <w:rPr>
          <w:rFonts w:hint="eastAsia" w:ascii="Times New Roman" w:hAnsi="Times New Roman" w:eastAsia="宋体" w:cs="Times New Roman"/>
          <w:b/>
          <w:sz w:val="24"/>
        </w:rPr>
        <w:t>一、课程简介</w:t>
      </w:r>
      <w:bookmarkEnd w:id="1371"/>
      <w:bookmarkEnd w:id="1372"/>
      <w:bookmarkEnd w:id="1373"/>
      <w:bookmarkEnd w:id="1374"/>
      <w:bookmarkEnd w:id="1375"/>
      <w:bookmarkEnd w:id="1376"/>
      <w:bookmarkEnd w:id="1377"/>
    </w:p>
    <w:p w14:paraId="2FCDD420">
      <w:pPr>
        <w:spacing w:line="360" w:lineRule="auto"/>
        <w:ind w:firstLine="420" w:firstLineChars="200"/>
        <w:jc w:val="left"/>
        <w:rPr>
          <w:rFonts w:ascii="Times New Roman" w:hAnsi="Times New Roman" w:eastAsia="宋体" w:cs="Times New Roman"/>
          <w:szCs w:val="21"/>
        </w:rPr>
      </w:pPr>
      <w:r>
        <w:rPr>
          <w:rFonts w:hint="eastAsia" w:ascii="宋体" w:hAnsi="宋体" w:eastAsia="宋体" w:cs="Times New Roman"/>
          <w:kern w:val="0"/>
          <w:szCs w:val="21"/>
        </w:rPr>
        <w:t>本课程</w:t>
      </w:r>
      <w:r>
        <w:rPr>
          <w:rFonts w:ascii="宋体" w:hAnsi="宋体" w:eastAsia="宋体" w:cs="Times New Roman"/>
          <w:kern w:val="0"/>
          <w:szCs w:val="21"/>
        </w:rPr>
        <w:t>是</w:t>
      </w:r>
      <w:r>
        <w:rPr>
          <w:rFonts w:hint="eastAsia" w:ascii="宋体" w:hAnsi="宋体" w:eastAsia="宋体" w:cs="Times New Roman"/>
          <w:bCs/>
          <w:kern w:val="0"/>
          <w:szCs w:val="21"/>
        </w:rPr>
        <w:t>小学教育</w:t>
      </w:r>
      <w:r>
        <w:rPr>
          <w:rFonts w:ascii="宋体" w:hAnsi="宋体" w:eastAsia="宋体" w:cs="Times New Roman"/>
          <w:kern w:val="0"/>
          <w:szCs w:val="21"/>
        </w:rPr>
        <w:t>专业的一门</w:t>
      </w:r>
      <w:r>
        <w:rPr>
          <w:rFonts w:hint="eastAsia" w:ascii="宋体" w:hAnsi="宋体" w:eastAsia="宋体" w:cs="Times New Roman"/>
          <w:kern w:val="0"/>
          <w:szCs w:val="21"/>
        </w:rPr>
        <w:t>专业必修</w:t>
      </w:r>
      <w:r>
        <w:rPr>
          <w:rFonts w:ascii="宋体" w:hAnsi="宋体" w:eastAsia="宋体" w:cs="Times New Roman"/>
          <w:kern w:val="0"/>
          <w:szCs w:val="21"/>
        </w:rPr>
        <w:t>课程</w:t>
      </w:r>
      <w:r>
        <w:rPr>
          <w:rFonts w:hint="eastAsia" w:ascii="宋体" w:hAnsi="宋体" w:eastAsia="宋体" w:cs="Times New Roman"/>
          <w:kern w:val="0"/>
          <w:szCs w:val="21"/>
        </w:rPr>
        <w:t>。通过本课程的学习，学生能够全面了解小学语文教学设计与实施的先进理念和技术，能够掌握小学语文教学</w:t>
      </w:r>
      <w:r>
        <w:rPr>
          <w:rFonts w:ascii="宋体" w:hAnsi="宋体" w:eastAsia="宋体" w:cs="Times New Roman"/>
          <w:szCs w:val="21"/>
        </w:rPr>
        <w:t>微观知识与技能</w:t>
      </w:r>
      <w:r>
        <w:rPr>
          <w:rFonts w:hint="eastAsia" w:ascii="宋体" w:hAnsi="宋体" w:eastAsia="宋体" w:cs="Times New Roman"/>
          <w:szCs w:val="21"/>
        </w:rPr>
        <w:t>，形成</w:t>
      </w:r>
      <w:r>
        <w:rPr>
          <w:rFonts w:ascii="宋体" w:hAnsi="宋体" w:eastAsia="宋体" w:cs="Times New Roman"/>
          <w:szCs w:val="21"/>
        </w:rPr>
        <w:t>单篇课文</w:t>
      </w:r>
      <w:r>
        <w:rPr>
          <w:rFonts w:hint="eastAsia" w:ascii="宋体" w:hAnsi="宋体" w:eastAsia="宋体" w:cs="Times New Roman"/>
          <w:szCs w:val="21"/>
        </w:rPr>
        <w:t>和</w:t>
      </w:r>
      <w:r>
        <w:rPr>
          <w:rFonts w:ascii="宋体" w:hAnsi="宋体" w:eastAsia="宋体" w:cs="Times New Roman"/>
          <w:szCs w:val="21"/>
        </w:rPr>
        <w:t>单元整组课文（含综合能力）的教学设计、实施与评价技能</w:t>
      </w:r>
      <w:r>
        <w:rPr>
          <w:rFonts w:hint="eastAsia" w:ascii="宋体" w:hAnsi="宋体" w:eastAsia="宋体" w:cs="Times New Roman"/>
          <w:kern w:val="0"/>
          <w:szCs w:val="21"/>
        </w:rPr>
        <w:t>，为后续的教育实习及就业奠定基础。</w:t>
      </w:r>
    </w:p>
    <w:p w14:paraId="064FAB6A">
      <w:pPr>
        <w:spacing w:before="62" w:beforeLines="20" w:after="62" w:afterLines="20" w:line="360" w:lineRule="auto"/>
        <w:jc w:val="left"/>
        <w:rPr>
          <w:rFonts w:ascii="Times New Roman" w:hAnsi="Times New Roman" w:eastAsia="宋体" w:cs="Times New Roman"/>
          <w:b/>
          <w:sz w:val="24"/>
        </w:rPr>
      </w:pPr>
      <w:bookmarkStart w:id="1378" w:name="_Toc13285"/>
      <w:bookmarkStart w:id="1379" w:name="_Toc24851"/>
      <w:bookmarkStart w:id="1380" w:name="_Toc21756"/>
      <w:bookmarkStart w:id="1381" w:name="_Toc10861"/>
      <w:bookmarkStart w:id="1382" w:name="_Toc10674"/>
      <w:bookmarkStart w:id="1383" w:name="_Toc5864"/>
      <w:bookmarkStart w:id="1384" w:name="_Toc30386"/>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1378"/>
      <w:bookmarkEnd w:id="1379"/>
      <w:bookmarkEnd w:id="1380"/>
      <w:bookmarkEnd w:id="1381"/>
      <w:bookmarkEnd w:id="1382"/>
      <w:bookmarkEnd w:id="1383"/>
      <w:bookmarkEnd w:id="1384"/>
    </w:p>
    <w:p w14:paraId="396FC88A">
      <w:pPr>
        <w:spacing w:line="360" w:lineRule="auto"/>
        <w:ind w:firstLine="422" w:firstLineChars="200"/>
        <w:outlineLvl w:val="1"/>
        <w:rPr>
          <w:rFonts w:hint="eastAsia" w:ascii="宋体" w:hAnsi="宋体" w:eastAsia="宋体" w:cs="Times New Roman"/>
          <w:b/>
          <w:szCs w:val="21"/>
        </w:rPr>
      </w:pPr>
      <w:bookmarkStart w:id="1385" w:name="_Toc13463"/>
      <w:r>
        <w:rPr>
          <w:rFonts w:hint="eastAsia" w:ascii="宋体" w:hAnsi="宋体" w:eastAsia="宋体" w:cs="Times New Roman"/>
          <w:b/>
          <w:szCs w:val="21"/>
        </w:rPr>
        <w:t>（一）课程具体目标</w:t>
      </w:r>
      <w:bookmarkEnd w:id="1385"/>
    </w:p>
    <w:p w14:paraId="106D3778">
      <w:pPr>
        <w:spacing w:line="360" w:lineRule="auto"/>
        <w:ind w:firstLine="482"/>
        <w:jc w:val="left"/>
        <w:rPr>
          <w:rFonts w:hint="eastAsia" w:ascii="宋体" w:hAnsi="宋体" w:eastAsia="宋体" w:cs="Times New Roman"/>
          <w:kern w:val="0"/>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宋体" w:hAnsi="宋体" w:eastAsia="宋体" w:cs="Times New Roman"/>
          <w:kern w:val="0"/>
          <w:szCs w:val="21"/>
        </w:rPr>
        <w:t>在透彻理解《义务教育语文课程标准（2022版）》和解读小学语文教材的基础上设计教学，树立“基于标准的语文教学”信念，能自觉贯彻《义务教育语文课程标准（2022版）》的课程理念、教学理念和教学评价的理念；</w:t>
      </w:r>
    </w:p>
    <w:p w14:paraId="48F5A832">
      <w:pPr>
        <w:spacing w:line="360" w:lineRule="auto"/>
        <w:ind w:firstLine="482"/>
        <w:jc w:val="left"/>
        <w:rPr>
          <w:rFonts w:hint="eastAsia" w:ascii="宋体" w:hAnsi="宋体" w:eastAsia="宋体" w:cs="Times New Roman"/>
          <w:kern w:val="0"/>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hint="eastAsia" w:ascii="宋体" w:hAnsi="宋体" w:eastAsia="宋体" w:cs="Times New Roman"/>
          <w:kern w:val="0"/>
          <w:szCs w:val="21"/>
        </w:rPr>
        <w:t>掌握小学语文教学设计的基本知识、原理与方法，并转化为自己的语文教学能力；能依据语文课程标准和小学生的需要，确定恰当的教学目标，选择合宜的教学内容和教学方法，完成不同学习领域的教学设计并实施教学；能运用特定的教学评估工具反思教学设计情况，并据此改进教学设计。</w:t>
      </w:r>
    </w:p>
    <w:p w14:paraId="13426972">
      <w:pPr>
        <w:spacing w:line="360" w:lineRule="auto"/>
        <w:ind w:firstLine="482"/>
        <w:jc w:val="left"/>
        <w:rPr>
          <w:rFonts w:hint="eastAsia" w:ascii="宋体" w:hAnsi="宋体" w:eastAsia="宋体" w:cs="Times New Roman"/>
          <w:kern w:val="0"/>
          <w:szCs w:val="21"/>
        </w:rPr>
      </w:pPr>
      <w:r>
        <w:rPr>
          <w:rFonts w:hint="eastAsia" w:ascii="Times New Roman" w:hAnsi="Times New Roman" w:eastAsia="宋体" w:cs="Times New Roman"/>
          <w:b/>
          <w:szCs w:val="21"/>
        </w:rPr>
        <w:t>目标3.</w:t>
      </w:r>
      <w:r>
        <w:rPr>
          <w:rFonts w:hint="eastAsia" w:ascii="宋体" w:hAnsi="宋体" w:eastAsia="宋体" w:cs="Times New Roman"/>
          <w:kern w:val="0"/>
          <w:szCs w:val="21"/>
        </w:rPr>
        <w:t>能够深入挖掘小学语文课程的育人价值，设计并实施促进学生全面发展的教学活动，以实现语文教学工具性与人文性的有机统一。</w:t>
      </w:r>
    </w:p>
    <w:p w14:paraId="75D407BD">
      <w:pPr>
        <w:spacing w:line="360" w:lineRule="auto"/>
        <w:ind w:firstLine="422" w:firstLineChars="200"/>
        <w:jc w:val="left"/>
        <w:outlineLvl w:val="1"/>
        <w:rPr>
          <w:rFonts w:ascii="Times New Roman" w:hAnsi="Times New Roman" w:eastAsia="宋体" w:cs="Times New Roman"/>
          <w:b/>
          <w:bCs/>
          <w:szCs w:val="21"/>
        </w:rPr>
      </w:pPr>
      <w:bookmarkStart w:id="1386" w:name="_Toc25197"/>
      <w:r>
        <w:rPr>
          <w:rFonts w:hint="eastAsia" w:ascii="Times New Roman" w:hAnsi="Times New Roman" w:eastAsia="宋体" w:cs="Times New Roman"/>
          <w:b/>
          <w:bCs/>
          <w:szCs w:val="21"/>
        </w:rPr>
        <w:t>（二）课程目标及其对毕业要求指标点的支撑</w:t>
      </w:r>
      <w:bookmarkEnd w:id="1386"/>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8"/>
        <w:gridCol w:w="5458"/>
        <w:gridCol w:w="1191"/>
      </w:tblGrid>
      <w:tr w14:paraId="0298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vAlign w:val="center"/>
          </w:tcPr>
          <w:p w14:paraId="6239C8E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458" w:type="dxa"/>
            <w:vAlign w:val="center"/>
          </w:tcPr>
          <w:p w14:paraId="5DDC5D3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9F1F6E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7D08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vMerge w:val="restart"/>
            <w:vAlign w:val="center"/>
          </w:tcPr>
          <w:p w14:paraId="3F571C02">
            <w:pPr>
              <w:spacing w:line="276" w:lineRule="auto"/>
              <w:rPr>
                <w:rFonts w:hint="eastAsia" w:ascii="宋体" w:hAnsi="宋体" w:eastAsia="宋体" w:cs="Times New Roman"/>
                <w:kern w:val="0"/>
                <w:szCs w:val="21"/>
              </w:rPr>
            </w:pPr>
            <w:r>
              <w:rPr>
                <w:rFonts w:hint="eastAsia" w:ascii="宋体" w:hAnsi="宋体" w:eastAsia="宋体" w:cs="Times New Roman"/>
                <w:kern w:val="0"/>
                <w:szCs w:val="21"/>
              </w:rPr>
              <w:t>毕业要求</w:t>
            </w:r>
            <w:r>
              <w:rPr>
                <w:rFonts w:ascii="宋体" w:hAnsi="宋体" w:eastAsia="宋体" w:cs="Times New Roman"/>
                <w:kern w:val="0"/>
                <w:szCs w:val="21"/>
              </w:rPr>
              <w:t>4.教学能力</w:t>
            </w:r>
          </w:p>
        </w:tc>
        <w:tc>
          <w:tcPr>
            <w:tcW w:w="5458" w:type="dxa"/>
            <w:vAlign w:val="center"/>
          </w:tcPr>
          <w:p w14:paraId="0BDA502C">
            <w:pPr>
              <w:spacing w:line="276" w:lineRule="auto"/>
              <w:jc w:val="left"/>
              <w:rPr>
                <w:rFonts w:ascii="Times New Roman" w:hAnsi="Times New Roman" w:eastAsia="宋体" w:cs="Times New Roman"/>
                <w:szCs w:val="21"/>
              </w:rPr>
            </w:pPr>
            <w:r>
              <w:rPr>
                <w:rFonts w:hint="eastAsia" w:ascii="宋体" w:hAnsi="宋体" w:eastAsia="宋体" w:cs="Times New Roman"/>
                <w:b/>
                <w:kern w:val="0"/>
                <w:szCs w:val="21"/>
              </w:rPr>
              <w:t>指标点4-2</w:t>
            </w:r>
            <w:r>
              <w:rPr>
                <w:rFonts w:hint="eastAsia" w:ascii="宋体" w:hAnsi="宋体" w:eastAsia="宋体" w:cs="Times New Roman"/>
                <w:kern w:val="0"/>
                <w:szCs w:val="21"/>
              </w:rPr>
              <w:t>：【教学设计恰当】能针对小学生已有的知识水平、学习经验和兴趣特点，依据课标确定恰当的学习目标和学习重点，设计学习活动。能依据单元内容进行整体设计，科学合理地依据教学目标及内容设计作业。</w:t>
            </w:r>
          </w:p>
        </w:tc>
        <w:tc>
          <w:tcPr>
            <w:tcW w:w="1191" w:type="dxa"/>
            <w:vAlign w:val="center"/>
          </w:tcPr>
          <w:p w14:paraId="5142717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06E08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vMerge w:val="continue"/>
            <w:vAlign w:val="center"/>
          </w:tcPr>
          <w:p w14:paraId="505C1660">
            <w:pPr>
              <w:spacing w:line="276" w:lineRule="auto"/>
              <w:rPr>
                <w:rFonts w:hint="eastAsia" w:ascii="宋体" w:hAnsi="宋体" w:eastAsia="宋体" w:cs="Times New Roman"/>
                <w:kern w:val="0"/>
                <w:sz w:val="18"/>
                <w:szCs w:val="18"/>
              </w:rPr>
            </w:pPr>
          </w:p>
        </w:tc>
        <w:tc>
          <w:tcPr>
            <w:tcW w:w="5458" w:type="dxa"/>
            <w:vAlign w:val="center"/>
          </w:tcPr>
          <w:p w14:paraId="77D35097">
            <w:pPr>
              <w:spacing w:line="276" w:lineRule="auto"/>
              <w:jc w:val="left"/>
              <w:rPr>
                <w:rFonts w:ascii="Times New Roman" w:hAnsi="Times New Roman" w:eastAsia="宋体" w:cs="Times New Roman"/>
                <w:szCs w:val="21"/>
              </w:rPr>
            </w:pPr>
            <w:r>
              <w:rPr>
                <w:rFonts w:hint="eastAsia" w:ascii="宋体" w:hAnsi="宋体" w:eastAsia="宋体" w:cs="Times New Roman"/>
                <w:b/>
                <w:kern w:val="0"/>
                <w:szCs w:val="21"/>
              </w:rPr>
              <w:t>指标点4-3</w:t>
            </w:r>
            <w:r>
              <w:rPr>
                <w:rFonts w:hint="eastAsia" w:ascii="宋体" w:hAnsi="宋体" w:eastAsia="宋体" w:cs="Times New Roman"/>
                <w:kern w:val="0"/>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00C7AA6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6465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vAlign w:val="center"/>
          </w:tcPr>
          <w:p w14:paraId="6F12941F">
            <w:pPr>
              <w:spacing w:line="276" w:lineRule="auto"/>
              <w:rPr>
                <w:rFonts w:hint="eastAsia" w:ascii="宋体" w:hAnsi="宋体" w:eastAsia="宋体" w:cs="Times New Roman"/>
                <w:spacing w:val="2"/>
                <w:kern w:val="0"/>
                <w:szCs w:val="21"/>
              </w:rPr>
            </w:pPr>
            <w:r>
              <w:rPr>
                <w:rFonts w:hint="eastAsia" w:ascii="宋体" w:hAnsi="宋体" w:eastAsia="宋体" w:cs="Times New Roman"/>
                <w:spacing w:val="2"/>
                <w:kern w:val="0"/>
                <w:szCs w:val="21"/>
              </w:rPr>
              <w:t>毕业要求6.综合育人</w:t>
            </w:r>
          </w:p>
        </w:tc>
        <w:tc>
          <w:tcPr>
            <w:tcW w:w="5458" w:type="dxa"/>
            <w:vAlign w:val="center"/>
          </w:tcPr>
          <w:p w14:paraId="36C96621">
            <w:pPr>
              <w:spacing w:line="276" w:lineRule="auto"/>
              <w:jc w:val="left"/>
              <w:rPr>
                <w:rFonts w:ascii="Times New Roman" w:hAnsi="Times New Roman" w:eastAsia="宋体" w:cs="Times New Roman"/>
                <w:szCs w:val="21"/>
              </w:rPr>
            </w:pPr>
            <w:r>
              <w:rPr>
                <w:rFonts w:hint="eastAsia" w:ascii="宋体" w:hAnsi="宋体" w:eastAsia="宋体" w:cs="Times New Roman"/>
                <w:b/>
                <w:kern w:val="0"/>
                <w:szCs w:val="21"/>
              </w:rPr>
              <w:t>指标点6-2</w:t>
            </w:r>
            <w:r>
              <w:rPr>
                <w:rFonts w:hint="eastAsia" w:ascii="宋体" w:hAnsi="宋体" w:eastAsia="宋体" w:cs="Times New Roman"/>
                <w:kern w:val="0"/>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191" w:type="dxa"/>
            <w:vAlign w:val="center"/>
          </w:tcPr>
          <w:p w14:paraId="675FE1C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163BF0BD">
      <w:pPr>
        <w:spacing w:before="156" w:beforeLines="50" w:line="360" w:lineRule="auto"/>
        <w:ind w:firstLine="422" w:firstLineChars="200"/>
        <w:jc w:val="left"/>
        <w:outlineLvl w:val="1"/>
        <w:rPr>
          <w:rFonts w:hint="eastAsia" w:ascii="宋体" w:hAnsi="宋体" w:eastAsia="宋体" w:cs="Times New Roman"/>
          <w:b/>
          <w:szCs w:val="21"/>
        </w:rPr>
      </w:pPr>
      <w:bookmarkStart w:id="1387" w:name="_Toc16075"/>
      <w:r>
        <w:rPr>
          <w:rFonts w:hint="eastAsia" w:ascii="宋体" w:hAnsi="宋体" w:eastAsia="宋体" w:cs="Times New Roman"/>
          <w:b/>
          <w:szCs w:val="21"/>
        </w:rPr>
        <w:t>（三）课程思政目标</w:t>
      </w:r>
      <w:bookmarkEnd w:id="1387"/>
    </w:p>
    <w:p w14:paraId="148F523D">
      <w:pPr>
        <w:spacing w:line="360" w:lineRule="auto"/>
        <w:ind w:firstLine="482"/>
        <w:jc w:val="left"/>
        <w:rPr>
          <w:rFonts w:hint="eastAsia" w:ascii="宋体" w:hAnsi="宋体" w:eastAsia="宋体" w:cs="Times New Roman"/>
          <w:kern w:val="0"/>
          <w:szCs w:val="20"/>
        </w:rPr>
      </w:pPr>
      <w:r>
        <w:rPr>
          <w:rFonts w:hint="eastAsia" w:ascii="宋体" w:hAnsi="宋体" w:eastAsia="宋体" w:cs="Times New Roman"/>
          <w:kern w:val="0"/>
          <w:szCs w:val="20"/>
        </w:rPr>
        <w:t>1.培养学生的社会责任感和奉献精神，使学生能够理解和践行教育家精神中的“心有大我、至诚报国”的理想信念，以及“言为士则、行为世范”的道德情操，从而在语文教学实践中践行立德树人的根本任务。</w:t>
      </w:r>
    </w:p>
    <w:p w14:paraId="59529DE3">
      <w:pPr>
        <w:spacing w:line="360" w:lineRule="auto"/>
        <w:ind w:firstLine="482"/>
        <w:jc w:val="left"/>
        <w:rPr>
          <w:rFonts w:hint="eastAsia" w:ascii="宋体" w:hAnsi="宋体" w:eastAsia="宋体" w:cs="Times New Roman"/>
          <w:kern w:val="0"/>
          <w:szCs w:val="20"/>
        </w:rPr>
      </w:pPr>
      <w:r>
        <w:rPr>
          <w:rFonts w:hint="eastAsia" w:ascii="宋体" w:hAnsi="宋体" w:eastAsia="宋体" w:cs="Times New Roman"/>
          <w:kern w:val="0"/>
          <w:szCs w:val="20"/>
        </w:rPr>
        <w:t>2.通过对小学语文教学设计深化对中华优秀传统文化、革命文化和社会主义先进文化的认识，通过对小学语文教材中的文学作品和文化经典的分析和解读，培育学生的文化自信和民族自豪感。</w:t>
      </w:r>
    </w:p>
    <w:p w14:paraId="5180025A">
      <w:pPr>
        <w:spacing w:line="360" w:lineRule="auto"/>
        <w:ind w:firstLine="482"/>
        <w:jc w:val="left"/>
        <w:rPr>
          <w:rFonts w:hint="eastAsia" w:ascii="宋体" w:hAnsi="宋体" w:eastAsia="宋体" w:cs="Times New Roman"/>
          <w:kern w:val="0"/>
          <w:szCs w:val="20"/>
        </w:rPr>
      </w:pPr>
      <w:r>
        <w:rPr>
          <w:rFonts w:hint="eastAsia" w:ascii="宋体" w:hAnsi="宋体" w:eastAsia="宋体" w:cs="Times New Roman"/>
          <w:kern w:val="0"/>
          <w:szCs w:val="20"/>
        </w:rPr>
        <w:t>3.激发学生的职业情怀和教育理想，鼓励他们以教育家为榜样，树立终身学习、不断探索和创新的教育理念，为将来成为一名有理想信念、有道德情操、有扎实学识、有仁爱之心的优秀教师打下坚实的基础。</w:t>
      </w:r>
    </w:p>
    <w:p w14:paraId="36E71E52">
      <w:pPr>
        <w:spacing w:before="62" w:beforeLines="20" w:after="62" w:afterLines="20" w:line="360" w:lineRule="auto"/>
        <w:jc w:val="left"/>
        <w:rPr>
          <w:rFonts w:ascii="Times New Roman" w:hAnsi="Times New Roman" w:eastAsia="宋体" w:cs="Times New Roman"/>
          <w:b/>
          <w:sz w:val="24"/>
        </w:rPr>
      </w:pPr>
      <w:bookmarkStart w:id="1388" w:name="_Toc17579"/>
      <w:bookmarkStart w:id="1389" w:name="_Toc29655"/>
      <w:bookmarkStart w:id="1390" w:name="_Toc13345"/>
      <w:bookmarkStart w:id="1391" w:name="_Toc1336"/>
      <w:bookmarkStart w:id="1392" w:name="_Toc17023"/>
      <w:bookmarkStart w:id="1393" w:name="_Toc17347"/>
      <w:bookmarkStart w:id="1394" w:name="_Toc18504"/>
      <w:r>
        <w:rPr>
          <w:rFonts w:hint="eastAsia" w:ascii="Times New Roman" w:hAnsi="Times New Roman" w:eastAsia="宋体" w:cs="Times New Roman"/>
          <w:b/>
          <w:sz w:val="24"/>
        </w:rPr>
        <w:t>三、教学内容与预期学习成效</w:t>
      </w:r>
      <w:bookmarkEnd w:id="1388"/>
      <w:bookmarkEnd w:id="1389"/>
      <w:bookmarkEnd w:id="1390"/>
      <w:bookmarkEnd w:id="1391"/>
      <w:bookmarkEnd w:id="1392"/>
      <w:bookmarkEnd w:id="1393"/>
      <w:bookmarkEnd w:id="1394"/>
    </w:p>
    <w:tbl>
      <w:tblPr>
        <w:tblStyle w:val="12"/>
        <w:tblW w:w="9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210"/>
        <w:gridCol w:w="1148"/>
        <w:gridCol w:w="2988"/>
        <w:gridCol w:w="1506"/>
        <w:gridCol w:w="519"/>
      </w:tblGrid>
      <w:tr w14:paraId="00AA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Align w:val="center"/>
          </w:tcPr>
          <w:p w14:paraId="5B8311A5">
            <w:pPr>
              <w:jc w:val="center"/>
              <w:rPr>
                <w:rFonts w:hint="eastAsia" w:ascii="宋体" w:hAnsi="宋体" w:eastAsia="宋体" w:cs="Times New Roman"/>
                <w:b/>
                <w:szCs w:val="21"/>
              </w:rPr>
            </w:pPr>
            <w:r>
              <w:rPr>
                <w:rFonts w:hint="eastAsia" w:ascii="宋体" w:hAnsi="宋体" w:eastAsia="宋体" w:cs="Times New Roman"/>
                <w:b/>
                <w:szCs w:val="21"/>
              </w:rPr>
              <w:t>知识</w:t>
            </w:r>
          </w:p>
          <w:p w14:paraId="4E48C952">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210" w:type="dxa"/>
            <w:vAlign w:val="center"/>
          </w:tcPr>
          <w:p w14:paraId="59603B95">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48" w:type="dxa"/>
            <w:vAlign w:val="center"/>
          </w:tcPr>
          <w:p w14:paraId="5BDAB970">
            <w:pPr>
              <w:jc w:val="center"/>
              <w:rPr>
                <w:rFonts w:hint="eastAsia" w:ascii="宋体" w:hAnsi="宋体" w:eastAsia="宋体" w:cs="Times New Roman"/>
                <w:b/>
                <w:szCs w:val="21"/>
              </w:rPr>
            </w:pPr>
            <w:r>
              <w:rPr>
                <w:rFonts w:hint="eastAsia" w:ascii="宋体" w:hAnsi="宋体" w:eastAsia="宋体" w:cs="Times New Roman"/>
                <w:b/>
                <w:szCs w:val="21"/>
              </w:rPr>
              <w:t>对应</w:t>
            </w:r>
          </w:p>
          <w:p w14:paraId="7108F69E">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988" w:type="dxa"/>
            <w:vAlign w:val="center"/>
          </w:tcPr>
          <w:p w14:paraId="7FEA120A">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06" w:type="dxa"/>
            <w:vAlign w:val="center"/>
          </w:tcPr>
          <w:p w14:paraId="51C31992">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519" w:type="dxa"/>
            <w:vAlign w:val="center"/>
          </w:tcPr>
          <w:p w14:paraId="44B8CD55">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4075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14EDD141">
            <w:pPr>
              <w:jc w:val="center"/>
              <w:rPr>
                <w:rFonts w:hint="eastAsia" w:ascii="宋体" w:hAnsi="宋体" w:eastAsia="宋体" w:cs="Times New Roman"/>
                <w:szCs w:val="21"/>
              </w:rPr>
            </w:pPr>
          </w:p>
          <w:p w14:paraId="02816C1B">
            <w:pPr>
              <w:jc w:val="center"/>
              <w:rPr>
                <w:rFonts w:hint="eastAsia" w:ascii="宋体" w:hAnsi="宋体" w:eastAsia="宋体" w:cs="Times New Roman"/>
                <w:szCs w:val="21"/>
              </w:rPr>
            </w:pPr>
            <w:r>
              <w:rPr>
                <w:rFonts w:hint="eastAsia" w:ascii="宋体" w:hAnsi="宋体" w:eastAsia="宋体" w:cs="Times New Roman"/>
                <w:szCs w:val="21"/>
              </w:rPr>
              <w:t>1.小学语文教学设计概述</w:t>
            </w:r>
          </w:p>
        </w:tc>
        <w:tc>
          <w:tcPr>
            <w:tcW w:w="2210" w:type="dxa"/>
            <w:vAlign w:val="center"/>
          </w:tcPr>
          <w:p w14:paraId="3A1CFD58">
            <w:pPr>
              <w:jc w:val="left"/>
              <w:rPr>
                <w:rFonts w:hint="eastAsia" w:ascii="宋体" w:hAnsi="宋体" w:eastAsia="宋体" w:cs="Times New Roman"/>
                <w:szCs w:val="21"/>
              </w:rPr>
            </w:pPr>
            <w:r>
              <w:rPr>
                <w:rFonts w:hint="eastAsia" w:ascii="宋体" w:hAnsi="宋体" w:eastAsia="宋体" w:cs="Times New Roman"/>
                <w:szCs w:val="21"/>
              </w:rPr>
              <w:t>（1）小学语文教学设计的关键问题</w:t>
            </w:r>
          </w:p>
          <w:p w14:paraId="052FFDA4">
            <w:pPr>
              <w:jc w:val="left"/>
              <w:rPr>
                <w:rFonts w:hint="eastAsia" w:ascii="宋体" w:hAnsi="宋体" w:eastAsia="宋体" w:cs="Times New Roman"/>
                <w:szCs w:val="21"/>
              </w:rPr>
            </w:pPr>
            <w:r>
              <w:rPr>
                <w:rFonts w:hint="eastAsia" w:ascii="宋体" w:hAnsi="宋体" w:eastAsia="宋体" w:cs="Times New Roman"/>
                <w:szCs w:val="21"/>
              </w:rPr>
              <w:t>（2）小学语文教学目标设计</w:t>
            </w:r>
          </w:p>
          <w:p w14:paraId="1D223527">
            <w:pPr>
              <w:jc w:val="left"/>
              <w:rPr>
                <w:rFonts w:hint="eastAsia" w:ascii="宋体" w:hAnsi="宋体" w:eastAsia="宋体" w:cs="Times New Roman"/>
                <w:szCs w:val="21"/>
              </w:rPr>
            </w:pPr>
            <w:r>
              <w:rPr>
                <w:rFonts w:hint="eastAsia" w:ascii="宋体" w:hAnsi="宋体" w:eastAsia="宋体" w:cs="Times New Roman"/>
                <w:szCs w:val="21"/>
              </w:rPr>
              <w:t>（3）小学语文教学过程设计</w:t>
            </w:r>
          </w:p>
          <w:p w14:paraId="445DD1F7">
            <w:pPr>
              <w:jc w:val="left"/>
              <w:rPr>
                <w:rFonts w:hint="eastAsia" w:ascii="宋体" w:hAnsi="宋体" w:eastAsia="宋体" w:cs="Times New Roman"/>
                <w:szCs w:val="21"/>
              </w:rPr>
            </w:pPr>
            <w:r>
              <w:rPr>
                <w:rFonts w:hint="eastAsia" w:ascii="宋体" w:hAnsi="宋体" w:eastAsia="宋体" w:cs="Times New Roman"/>
                <w:szCs w:val="21"/>
              </w:rPr>
              <w:t>（4）小学语文教学方法设计</w:t>
            </w:r>
          </w:p>
          <w:p w14:paraId="5E4CBE6E">
            <w:pPr>
              <w:jc w:val="left"/>
              <w:rPr>
                <w:rFonts w:hint="eastAsia" w:ascii="宋体" w:hAnsi="宋体" w:eastAsia="宋体" w:cs="Times New Roman"/>
                <w:szCs w:val="21"/>
              </w:rPr>
            </w:pPr>
            <w:r>
              <w:rPr>
                <w:rFonts w:hint="eastAsia" w:ascii="宋体" w:hAnsi="宋体" w:eastAsia="宋体" w:cs="Times New Roman"/>
                <w:szCs w:val="21"/>
              </w:rPr>
              <w:t>（5）小学语文教学媒体设计</w:t>
            </w:r>
          </w:p>
        </w:tc>
        <w:tc>
          <w:tcPr>
            <w:tcW w:w="1148" w:type="dxa"/>
            <w:vAlign w:val="center"/>
          </w:tcPr>
          <w:p w14:paraId="413269A9">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988" w:type="dxa"/>
            <w:vAlign w:val="center"/>
          </w:tcPr>
          <w:p w14:paraId="460C6138">
            <w:pPr>
              <w:jc w:val="left"/>
              <w:rPr>
                <w:rFonts w:hint="eastAsia" w:ascii="宋体" w:hAnsi="宋体" w:eastAsia="宋体" w:cs="Times New Roman"/>
                <w:szCs w:val="21"/>
              </w:rPr>
            </w:pPr>
            <w:r>
              <w:rPr>
                <w:rFonts w:hint="eastAsia" w:ascii="宋体" w:hAnsi="宋体" w:eastAsia="宋体" w:cs="Times New Roman"/>
                <w:szCs w:val="21"/>
              </w:rPr>
              <w:t>1.识别并解决教学设计中的关键问题，提升问题解决能力。</w:t>
            </w:r>
          </w:p>
          <w:p w14:paraId="63FA7F9A">
            <w:pPr>
              <w:jc w:val="left"/>
              <w:rPr>
                <w:rFonts w:hint="eastAsia" w:ascii="宋体" w:hAnsi="宋体" w:eastAsia="宋体" w:cs="Times New Roman"/>
                <w:szCs w:val="21"/>
              </w:rPr>
            </w:pPr>
            <w:r>
              <w:rPr>
                <w:rFonts w:hint="eastAsia" w:ascii="宋体" w:hAnsi="宋体" w:eastAsia="宋体" w:cs="Times New Roman"/>
                <w:szCs w:val="21"/>
              </w:rPr>
              <w:t>2.设计符合学生实际的教学目标，确保教学的有效性。</w:t>
            </w:r>
          </w:p>
          <w:p w14:paraId="1BFE241E">
            <w:pPr>
              <w:jc w:val="left"/>
              <w:rPr>
                <w:rFonts w:hint="eastAsia" w:ascii="宋体" w:hAnsi="宋体" w:eastAsia="宋体" w:cs="Times New Roman"/>
                <w:szCs w:val="21"/>
              </w:rPr>
            </w:pPr>
            <w:r>
              <w:rPr>
                <w:rFonts w:hint="eastAsia" w:ascii="宋体" w:hAnsi="宋体" w:eastAsia="宋体" w:cs="Times New Roman"/>
                <w:szCs w:val="21"/>
              </w:rPr>
              <w:t>3.制定合理的教学流程，增强教学的连贯性和实效性。</w:t>
            </w:r>
          </w:p>
          <w:p w14:paraId="7FBC5F52">
            <w:pPr>
              <w:jc w:val="left"/>
              <w:rPr>
                <w:rFonts w:hint="eastAsia" w:ascii="宋体" w:hAnsi="宋体" w:eastAsia="宋体" w:cs="Times New Roman"/>
                <w:szCs w:val="21"/>
              </w:rPr>
            </w:pPr>
            <w:r>
              <w:rPr>
                <w:rFonts w:hint="eastAsia" w:ascii="宋体" w:hAnsi="宋体" w:eastAsia="宋体" w:cs="Times New Roman"/>
                <w:szCs w:val="21"/>
              </w:rPr>
              <w:t>4.灵活运用多种教学方法，满足不同教学场景和学生需求。</w:t>
            </w:r>
          </w:p>
          <w:p w14:paraId="78A1D77A">
            <w:pPr>
              <w:jc w:val="left"/>
              <w:rPr>
                <w:rFonts w:hint="eastAsia" w:ascii="宋体" w:hAnsi="宋体" w:eastAsia="宋体" w:cs="Times New Roman"/>
                <w:szCs w:val="21"/>
              </w:rPr>
            </w:pPr>
            <w:r>
              <w:rPr>
                <w:rFonts w:hint="eastAsia" w:ascii="宋体" w:hAnsi="宋体" w:eastAsia="宋体" w:cs="Times New Roman"/>
                <w:szCs w:val="21"/>
              </w:rPr>
              <w:t>5.合理利用教学媒体，提高教学互动性和学生的学习兴趣。</w:t>
            </w:r>
          </w:p>
        </w:tc>
        <w:tc>
          <w:tcPr>
            <w:tcW w:w="1506" w:type="dxa"/>
            <w:vAlign w:val="center"/>
          </w:tcPr>
          <w:p w14:paraId="73D46BE9">
            <w:pPr>
              <w:jc w:val="left"/>
              <w:rPr>
                <w:rFonts w:hint="eastAsia" w:ascii="宋体" w:hAnsi="宋体" w:eastAsia="宋体" w:cs="Times New Roman"/>
                <w:szCs w:val="21"/>
              </w:rPr>
            </w:pPr>
            <w:r>
              <w:rPr>
                <w:rFonts w:hint="eastAsia" w:ascii="宋体" w:hAnsi="宋体" w:eastAsia="宋体" w:cs="Times New Roman"/>
                <w:szCs w:val="21"/>
              </w:rPr>
              <w:t>1.多媒体教学</w:t>
            </w:r>
          </w:p>
          <w:p w14:paraId="373CCEF1">
            <w:pPr>
              <w:jc w:val="left"/>
              <w:rPr>
                <w:rFonts w:hint="eastAsia" w:ascii="宋体" w:hAnsi="宋体" w:eastAsia="宋体" w:cs="Times New Roman"/>
                <w:szCs w:val="21"/>
              </w:rPr>
            </w:pPr>
            <w:r>
              <w:rPr>
                <w:rFonts w:hint="eastAsia" w:ascii="宋体" w:hAnsi="宋体" w:eastAsia="宋体" w:cs="Times New Roman"/>
                <w:szCs w:val="21"/>
              </w:rPr>
              <w:t>2.课堂讨论</w:t>
            </w:r>
          </w:p>
          <w:p w14:paraId="32DBD2C9">
            <w:pPr>
              <w:jc w:val="left"/>
              <w:rPr>
                <w:rFonts w:hint="eastAsia" w:ascii="宋体" w:hAnsi="宋体" w:eastAsia="宋体" w:cs="Times New Roman"/>
                <w:szCs w:val="21"/>
              </w:rPr>
            </w:pPr>
            <w:r>
              <w:rPr>
                <w:rFonts w:hint="eastAsia" w:ascii="宋体" w:hAnsi="宋体" w:eastAsia="宋体" w:cs="Times New Roman"/>
                <w:szCs w:val="21"/>
              </w:rPr>
              <w:t>3.案例教学</w:t>
            </w:r>
          </w:p>
        </w:tc>
        <w:tc>
          <w:tcPr>
            <w:tcW w:w="519" w:type="dxa"/>
            <w:vAlign w:val="center"/>
          </w:tcPr>
          <w:p w14:paraId="36323DB0">
            <w:pPr>
              <w:jc w:val="center"/>
              <w:rPr>
                <w:rFonts w:hint="eastAsia" w:ascii="宋体" w:hAnsi="宋体" w:eastAsia="宋体" w:cs="Times New Roman"/>
                <w:szCs w:val="21"/>
              </w:rPr>
            </w:pPr>
            <w:r>
              <w:rPr>
                <w:rFonts w:hint="eastAsia" w:ascii="宋体" w:hAnsi="宋体" w:eastAsia="宋体" w:cs="Times New Roman"/>
                <w:szCs w:val="21"/>
              </w:rPr>
              <w:t>3</w:t>
            </w:r>
          </w:p>
        </w:tc>
      </w:tr>
      <w:tr w14:paraId="3869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73D0ED26">
            <w:pPr>
              <w:jc w:val="center"/>
              <w:rPr>
                <w:rFonts w:hint="eastAsia" w:ascii="宋体" w:hAnsi="宋体" w:eastAsia="宋体" w:cs="Times New Roman"/>
                <w:szCs w:val="21"/>
              </w:rPr>
            </w:pPr>
          </w:p>
        </w:tc>
        <w:tc>
          <w:tcPr>
            <w:tcW w:w="8371" w:type="dxa"/>
            <w:gridSpan w:val="5"/>
            <w:vAlign w:val="center"/>
          </w:tcPr>
          <w:p w14:paraId="3126CBE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初步形成对教育事业的责任感和使命感，在教学设计的关键问题、目标设定、过程规划、方法选择和媒体运用中，始终坚持立德树人的根本任务，弘扬社会主义核心价值观，增强文化自信，提升道德修养，激发创新思维。</w:t>
            </w:r>
          </w:p>
        </w:tc>
      </w:tr>
      <w:tr w14:paraId="759F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3CF84201">
            <w:pPr>
              <w:jc w:val="center"/>
              <w:rPr>
                <w:rFonts w:hint="eastAsia" w:ascii="宋体" w:hAnsi="宋体" w:eastAsia="宋体" w:cs="Times New Roman"/>
                <w:szCs w:val="21"/>
              </w:rPr>
            </w:pPr>
          </w:p>
          <w:p w14:paraId="1B08EEF7">
            <w:pPr>
              <w:jc w:val="left"/>
              <w:rPr>
                <w:rFonts w:hint="eastAsia" w:ascii="宋体" w:hAnsi="宋体" w:eastAsia="宋体" w:cs="Times New Roman"/>
                <w:szCs w:val="21"/>
              </w:rPr>
            </w:pPr>
            <w:r>
              <w:rPr>
                <w:rFonts w:hint="eastAsia" w:ascii="宋体" w:hAnsi="宋体" w:eastAsia="宋体" w:cs="Times New Roman"/>
                <w:szCs w:val="21"/>
              </w:rPr>
              <w:t>2.识字、写字教学设计与实施</w:t>
            </w:r>
          </w:p>
        </w:tc>
        <w:tc>
          <w:tcPr>
            <w:tcW w:w="2210" w:type="dxa"/>
            <w:vAlign w:val="center"/>
          </w:tcPr>
          <w:p w14:paraId="40C441F6">
            <w:pPr>
              <w:jc w:val="left"/>
              <w:rPr>
                <w:rFonts w:hint="eastAsia" w:ascii="宋体" w:hAnsi="宋体" w:eastAsia="宋体" w:cs="Times New Roman"/>
                <w:szCs w:val="21"/>
              </w:rPr>
            </w:pPr>
            <w:r>
              <w:rPr>
                <w:rFonts w:hint="eastAsia" w:ascii="宋体" w:hAnsi="宋体" w:eastAsia="宋体" w:cs="Times New Roman"/>
                <w:szCs w:val="21"/>
              </w:rPr>
              <w:t>（1）识字写字教学设计的关键问题</w:t>
            </w:r>
          </w:p>
          <w:p w14:paraId="4423581A">
            <w:pPr>
              <w:jc w:val="left"/>
              <w:rPr>
                <w:rFonts w:hint="eastAsia" w:ascii="宋体" w:hAnsi="宋体" w:eastAsia="宋体" w:cs="Times New Roman"/>
                <w:szCs w:val="21"/>
              </w:rPr>
            </w:pPr>
            <w:r>
              <w:rPr>
                <w:rFonts w:hint="eastAsia" w:ascii="宋体" w:hAnsi="宋体" w:eastAsia="宋体" w:cs="Times New Roman"/>
                <w:szCs w:val="21"/>
              </w:rPr>
              <w:t>（2）汉语拼音教学设计</w:t>
            </w:r>
          </w:p>
          <w:p w14:paraId="1AF7C034">
            <w:pPr>
              <w:jc w:val="left"/>
              <w:rPr>
                <w:rFonts w:hint="eastAsia" w:ascii="宋体" w:hAnsi="宋体" w:eastAsia="宋体" w:cs="Times New Roman"/>
                <w:szCs w:val="21"/>
              </w:rPr>
            </w:pPr>
            <w:r>
              <w:rPr>
                <w:rFonts w:hint="eastAsia" w:ascii="宋体" w:hAnsi="宋体" w:eastAsia="宋体" w:cs="Times New Roman"/>
                <w:szCs w:val="21"/>
              </w:rPr>
              <w:t>（3）识字写字教学设计</w:t>
            </w:r>
          </w:p>
          <w:p w14:paraId="2D954DCE">
            <w:pPr>
              <w:jc w:val="left"/>
              <w:rPr>
                <w:rFonts w:hint="eastAsia" w:ascii="宋体" w:hAnsi="宋体" w:eastAsia="宋体" w:cs="Times New Roman"/>
                <w:szCs w:val="21"/>
              </w:rPr>
            </w:pPr>
            <w:r>
              <w:rPr>
                <w:rFonts w:hint="eastAsia" w:ascii="宋体" w:hAnsi="宋体" w:eastAsia="宋体" w:cs="Times New Roman"/>
                <w:szCs w:val="21"/>
              </w:rPr>
              <w:t>（4）拼音、识字、写字教学设计实践</w:t>
            </w:r>
          </w:p>
        </w:tc>
        <w:tc>
          <w:tcPr>
            <w:tcW w:w="1148" w:type="dxa"/>
            <w:vAlign w:val="center"/>
          </w:tcPr>
          <w:p w14:paraId="53D6932E">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988" w:type="dxa"/>
            <w:vAlign w:val="center"/>
          </w:tcPr>
          <w:p w14:paraId="69D92027">
            <w:pPr>
              <w:jc w:val="left"/>
              <w:rPr>
                <w:rFonts w:hint="eastAsia" w:ascii="宋体" w:hAnsi="宋体" w:eastAsia="宋体" w:cs="Times New Roman"/>
                <w:szCs w:val="21"/>
              </w:rPr>
            </w:pPr>
            <w:r>
              <w:rPr>
                <w:rFonts w:hint="eastAsia" w:ascii="宋体" w:hAnsi="宋体" w:eastAsia="宋体" w:cs="Times New Roman"/>
                <w:szCs w:val="21"/>
              </w:rPr>
              <w:t>1.能够识别并分析识字写字教学中的关键问题，如学生的认知特点、教学资源的合理利用等，并提出创新的解决方案。</w:t>
            </w:r>
          </w:p>
          <w:p w14:paraId="49B36D35">
            <w:pPr>
              <w:jc w:val="left"/>
              <w:rPr>
                <w:rFonts w:hint="eastAsia" w:ascii="宋体" w:hAnsi="宋体" w:eastAsia="宋体" w:cs="Times New Roman"/>
                <w:szCs w:val="21"/>
              </w:rPr>
            </w:pPr>
            <w:r>
              <w:rPr>
                <w:rFonts w:hint="eastAsia" w:ascii="宋体" w:hAnsi="宋体" w:eastAsia="宋体" w:cs="Times New Roman"/>
                <w:szCs w:val="21"/>
              </w:rPr>
              <w:t>2.能够根据小学生的年龄特征和学习需求，设计科学合理的汉语拼音、识字、写字教学方案。</w:t>
            </w:r>
          </w:p>
          <w:p w14:paraId="03715975">
            <w:pPr>
              <w:jc w:val="left"/>
              <w:rPr>
                <w:rFonts w:hint="eastAsia" w:ascii="宋体" w:hAnsi="宋体" w:eastAsia="宋体" w:cs="Times New Roman"/>
                <w:szCs w:val="21"/>
              </w:rPr>
            </w:pPr>
            <w:r>
              <w:rPr>
                <w:rFonts w:hint="eastAsia" w:ascii="宋体" w:hAnsi="宋体" w:eastAsia="宋体" w:cs="Times New Roman"/>
                <w:szCs w:val="21"/>
              </w:rPr>
              <w:t>3.能够将理论知识应用于实际教学中，通过实践活动掌握拼音、识字、写字教学的组织和实施技巧，提高教学的互动性和实效性。</w:t>
            </w:r>
          </w:p>
        </w:tc>
        <w:tc>
          <w:tcPr>
            <w:tcW w:w="1506" w:type="dxa"/>
            <w:vAlign w:val="center"/>
          </w:tcPr>
          <w:p w14:paraId="2E8190C2">
            <w:pPr>
              <w:jc w:val="left"/>
              <w:rPr>
                <w:rFonts w:hint="eastAsia" w:ascii="宋体" w:hAnsi="宋体" w:eastAsia="宋体" w:cs="Times New Roman"/>
                <w:szCs w:val="21"/>
              </w:rPr>
            </w:pPr>
            <w:r>
              <w:rPr>
                <w:rFonts w:hint="eastAsia" w:ascii="宋体" w:hAnsi="宋体" w:eastAsia="宋体" w:cs="Times New Roman"/>
                <w:szCs w:val="21"/>
              </w:rPr>
              <w:t>1.案例分析</w:t>
            </w:r>
          </w:p>
          <w:p w14:paraId="3B9B1F3E">
            <w:pPr>
              <w:jc w:val="left"/>
              <w:rPr>
                <w:rFonts w:hint="eastAsia" w:ascii="宋体" w:hAnsi="宋体" w:eastAsia="宋体" w:cs="Times New Roman"/>
                <w:szCs w:val="21"/>
              </w:rPr>
            </w:pPr>
            <w:r>
              <w:rPr>
                <w:rFonts w:hint="eastAsia" w:ascii="宋体" w:hAnsi="宋体" w:eastAsia="宋体" w:cs="Times New Roman"/>
                <w:szCs w:val="21"/>
              </w:rPr>
              <w:t>2.实践训练</w:t>
            </w:r>
          </w:p>
          <w:p w14:paraId="490A7347">
            <w:pPr>
              <w:jc w:val="left"/>
              <w:rPr>
                <w:rFonts w:hint="eastAsia" w:ascii="宋体" w:hAnsi="宋体" w:eastAsia="宋体" w:cs="Times New Roman"/>
                <w:szCs w:val="21"/>
              </w:rPr>
            </w:pPr>
            <w:r>
              <w:rPr>
                <w:rFonts w:hint="eastAsia" w:ascii="宋体" w:hAnsi="宋体" w:eastAsia="宋体" w:cs="Times New Roman"/>
                <w:szCs w:val="21"/>
              </w:rPr>
              <w:t>3.研究性学习</w:t>
            </w:r>
          </w:p>
          <w:p w14:paraId="30F537E5">
            <w:pPr>
              <w:jc w:val="left"/>
              <w:rPr>
                <w:rFonts w:hint="eastAsia" w:ascii="宋体" w:hAnsi="宋体" w:eastAsia="宋体" w:cs="Times New Roman"/>
                <w:szCs w:val="21"/>
              </w:rPr>
            </w:pPr>
            <w:r>
              <w:rPr>
                <w:rFonts w:hint="eastAsia" w:ascii="宋体" w:hAnsi="宋体" w:eastAsia="宋体" w:cs="Times New Roman"/>
                <w:szCs w:val="21"/>
              </w:rPr>
              <w:t>4.观摩体验</w:t>
            </w:r>
          </w:p>
          <w:p w14:paraId="4A6E2282">
            <w:pPr>
              <w:jc w:val="left"/>
              <w:rPr>
                <w:rFonts w:hint="eastAsia" w:ascii="宋体" w:hAnsi="宋体" w:eastAsia="宋体" w:cs="Times New Roman"/>
                <w:szCs w:val="21"/>
              </w:rPr>
            </w:pPr>
            <w:r>
              <w:rPr>
                <w:rFonts w:hint="eastAsia" w:ascii="宋体" w:hAnsi="宋体" w:eastAsia="宋体" w:cs="Times New Roman"/>
                <w:szCs w:val="21"/>
              </w:rPr>
              <w:t>5.多媒体教学</w:t>
            </w:r>
          </w:p>
          <w:p w14:paraId="7E2EB8A7">
            <w:pPr>
              <w:jc w:val="left"/>
              <w:rPr>
                <w:rFonts w:hint="eastAsia" w:ascii="宋体" w:hAnsi="宋体" w:eastAsia="宋体" w:cs="Times New Roman"/>
                <w:szCs w:val="21"/>
              </w:rPr>
            </w:pPr>
          </w:p>
        </w:tc>
        <w:tc>
          <w:tcPr>
            <w:tcW w:w="519" w:type="dxa"/>
            <w:vAlign w:val="center"/>
          </w:tcPr>
          <w:p w14:paraId="616EE04B">
            <w:pPr>
              <w:jc w:val="center"/>
              <w:rPr>
                <w:rFonts w:hint="eastAsia" w:ascii="宋体" w:hAnsi="宋体" w:eastAsia="宋体" w:cs="Times New Roman"/>
                <w:szCs w:val="21"/>
              </w:rPr>
            </w:pPr>
            <w:r>
              <w:rPr>
                <w:rFonts w:hint="eastAsia" w:ascii="宋体" w:hAnsi="宋体" w:eastAsia="宋体" w:cs="Times New Roman"/>
                <w:szCs w:val="21"/>
              </w:rPr>
              <w:t>6</w:t>
            </w:r>
          </w:p>
        </w:tc>
      </w:tr>
      <w:tr w14:paraId="7F72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030CC8A2">
            <w:pPr>
              <w:jc w:val="center"/>
              <w:rPr>
                <w:rFonts w:hint="eastAsia" w:ascii="宋体" w:hAnsi="宋体" w:eastAsia="宋体" w:cs="Times New Roman"/>
                <w:szCs w:val="21"/>
              </w:rPr>
            </w:pPr>
          </w:p>
        </w:tc>
        <w:tc>
          <w:tcPr>
            <w:tcW w:w="8371" w:type="dxa"/>
            <w:gridSpan w:val="5"/>
            <w:vAlign w:val="center"/>
          </w:tcPr>
          <w:p w14:paraId="1C7995B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通过对识字与写字教学目标、内容与方法设计分析，提升师范生文化认同和文化自信，增强从事小学语文教育的责任感和使命感。</w:t>
            </w:r>
          </w:p>
        </w:tc>
      </w:tr>
      <w:tr w14:paraId="52A1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60A39E32">
            <w:pPr>
              <w:jc w:val="center"/>
              <w:rPr>
                <w:rFonts w:hint="eastAsia" w:ascii="宋体" w:hAnsi="宋体" w:eastAsia="宋体" w:cs="Times New Roman"/>
                <w:szCs w:val="21"/>
              </w:rPr>
            </w:pPr>
          </w:p>
          <w:p w14:paraId="7FF8DD78">
            <w:pPr>
              <w:jc w:val="center"/>
              <w:rPr>
                <w:rFonts w:hint="eastAsia" w:ascii="宋体" w:hAnsi="宋体" w:eastAsia="宋体" w:cs="Times New Roman"/>
                <w:szCs w:val="21"/>
              </w:rPr>
            </w:pPr>
            <w:r>
              <w:rPr>
                <w:rFonts w:hint="eastAsia" w:ascii="宋体" w:hAnsi="宋体" w:eastAsia="宋体" w:cs="Times New Roman"/>
                <w:szCs w:val="21"/>
              </w:rPr>
              <w:t>3.阅读教学设计与实施</w:t>
            </w:r>
          </w:p>
        </w:tc>
        <w:tc>
          <w:tcPr>
            <w:tcW w:w="2210" w:type="dxa"/>
            <w:vAlign w:val="center"/>
          </w:tcPr>
          <w:p w14:paraId="095547B9">
            <w:pPr>
              <w:jc w:val="left"/>
              <w:rPr>
                <w:rFonts w:hint="eastAsia" w:ascii="宋体" w:hAnsi="宋体" w:eastAsia="宋体" w:cs="Times New Roman"/>
                <w:szCs w:val="21"/>
              </w:rPr>
            </w:pPr>
            <w:r>
              <w:rPr>
                <w:rFonts w:hint="eastAsia" w:ascii="宋体" w:hAnsi="宋体" w:eastAsia="宋体" w:cs="Times New Roman"/>
                <w:szCs w:val="21"/>
              </w:rPr>
              <w:t>（1）阅读教学的关键问题</w:t>
            </w:r>
          </w:p>
          <w:p w14:paraId="27AD32E4">
            <w:pPr>
              <w:jc w:val="left"/>
              <w:rPr>
                <w:rFonts w:hint="eastAsia" w:ascii="宋体" w:hAnsi="宋体" w:eastAsia="宋体" w:cs="Times New Roman"/>
                <w:szCs w:val="21"/>
              </w:rPr>
            </w:pPr>
            <w:r>
              <w:rPr>
                <w:rFonts w:hint="eastAsia" w:ascii="宋体" w:hAnsi="宋体" w:eastAsia="宋体" w:cs="Times New Roman"/>
                <w:szCs w:val="21"/>
              </w:rPr>
              <w:t>（2）阅读教学设计评述</w:t>
            </w:r>
          </w:p>
          <w:p w14:paraId="3A860E86">
            <w:pPr>
              <w:jc w:val="left"/>
              <w:rPr>
                <w:rFonts w:hint="eastAsia" w:ascii="宋体" w:hAnsi="宋体" w:eastAsia="宋体" w:cs="Times New Roman"/>
                <w:szCs w:val="21"/>
              </w:rPr>
            </w:pPr>
            <w:r>
              <w:rPr>
                <w:rFonts w:hint="eastAsia" w:ascii="宋体" w:hAnsi="宋体" w:eastAsia="宋体" w:cs="Times New Roman"/>
                <w:szCs w:val="21"/>
              </w:rPr>
              <w:t>（3）不同年段阅读教学设计</w:t>
            </w:r>
          </w:p>
          <w:p w14:paraId="43E7FF46">
            <w:pPr>
              <w:jc w:val="left"/>
              <w:rPr>
                <w:rFonts w:hint="eastAsia" w:ascii="宋体" w:hAnsi="宋体" w:eastAsia="宋体" w:cs="Times New Roman"/>
                <w:szCs w:val="21"/>
              </w:rPr>
            </w:pPr>
            <w:r>
              <w:rPr>
                <w:rFonts w:hint="eastAsia" w:ascii="宋体" w:hAnsi="宋体" w:eastAsia="宋体" w:cs="Times New Roman"/>
                <w:szCs w:val="21"/>
              </w:rPr>
              <w:t>（4）不同文体阅读教学设计</w:t>
            </w:r>
          </w:p>
          <w:p w14:paraId="3638FD0B">
            <w:pPr>
              <w:jc w:val="left"/>
              <w:rPr>
                <w:rFonts w:hint="eastAsia" w:ascii="宋体" w:hAnsi="宋体" w:eastAsia="宋体" w:cs="Times New Roman"/>
                <w:szCs w:val="21"/>
              </w:rPr>
            </w:pPr>
            <w:r>
              <w:rPr>
                <w:rFonts w:hint="eastAsia" w:ascii="宋体" w:hAnsi="宋体" w:eastAsia="宋体" w:cs="Times New Roman"/>
                <w:szCs w:val="21"/>
              </w:rPr>
              <w:t>（5）阅读策略单元教学设计</w:t>
            </w:r>
          </w:p>
          <w:p w14:paraId="435055F4">
            <w:pPr>
              <w:jc w:val="left"/>
              <w:rPr>
                <w:rFonts w:hint="eastAsia" w:ascii="宋体" w:hAnsi="宋体" w:eastAsia="宋体" w:cs="Times New Roman"/>
                <w:szCs w:val="21"/>
              </w:rPr>
            </w:pPr>
            <w:r>
              <w:rPr>
                <w:rFonts w:hint="eastAsia" w:ascii="宋体" w:hAnsi="宋体" w:eastAsia="宋体" w:cs="Times New Roman"/>
                <w:szCs w:val="21"/>
              </w:rPr>
              <w:t>（6）阅读教学设计的实践</w:t>
            </w:r>
          </w:p>
          <w:p w14:paraId="7BFE4C00">
            <w:pPr>
              <w:jc w:val="left"/>
              <w:rPr>
                <w:rFonts w:hint="eastAsia" w:ascii="宋体" w:hAnsi="宋体" w:eastAsia="宋体" w:cs="Times New Roman"/>
                <w:szCs w:val="21"/>
              </w:rPr>
            </w:pPr>
          </w:p>
          <w:p w14:paraId="65B69E73">
            <w:pPr>
              <w:jc w:val="left"/>
              <w:rPr>
                <w:rFonts w:hint="eastAsia" w:ascii="宋体" w:hAnsi="宋体" w:eastAsia="宋体" w:cs="Times New Roman"/>
                <w:szCs w:val="21"/>
              </w:rPr>
            </w:pPr>
          </w:p>
        </w:tc>
        <w:tc>
          <w:tcPr>
            <w:tcW w:w="1148" w:type="dxa"/>
            <w:vAlign w:val="center"/>
          </w:tcPr>
          <w:p w14:paraId="29E984C2">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988" w:type="dxa"/>
            <w:vAlign w:val="center"/>
          </w:tcPr>
          <w:p w14:paraId="7E96DE4A">
            <w:pPr>
              <w:jc w:val="left"/>
              <w:rPr>
                <w:rFonts w:hint="eastAsia" w:ascii="宋体" w:hAnsi="宋体" w:eastAsia="宋体" w:cs="Times New Roman"/>
                <w:szCs w:val="21"/>
              </w:rPr>
            </w:pPr>
            <w:r>
              <w:rPr>
                <w:rFonts w:hint="eastAsia" w:ascii="宋体" w:hAnsi="宋体" w:eastAsia="宋体" w:cs="Times New Roman"/>
                <w:szCs w:val="21"/>
              </w:rPr>
              <w:t>1.能够识别并分析阅读教学中的关键问题，包括学生阅读兴趣的激发、阅读习惯的培养等。</w:t>
            </w:r>
          </w:p>
          <w:p w14:paraId="7CDAB896">
            <w:pPr>
              <w:jc w:val="left"/>
              <w:rPr>
                <w:rFonts w:hint="eastAsia" w:ascii="宋体" w:hAnsi="宋体" w:eastAsia="宋体" w:cs="Times New Roman"/>
                <w:szCs w:val="21"/>
              </w:rPr>
            </w:pPr>
            <w:r>
              <w:rPr>
                <w:rFonts w:hint="eastAsia" w:ascii="宋体" w:hAnsi="宋体" w:eastAsia="宋体" w:cs="Times New Roman"/>
                <w:szCs w:val="21"/>
              </w:rPr>
              <w:t>2.能够评述不同阅读教学设计的理论基础和实践效果，理解各种教学设计的优劣和适用场景。</w:t>
            </w:r>
          </w:p>
          <w:p w14:paraId="6DE84E7F">
            <w:pPr>
              <w:jc w:val="left"/>
              <w:rPr>
                <w:rFonts w:hint="eastAsia" w:ascii="宋体" w:hAnsi="宋体" w:eastAsia="宋体" w:cs="Times New Roman"/>
                <w:szCs w:val="21"/>
              </w:rPr>
            </w:pPr>
            <w:r>
              <w:rPr>
                <w:rFonts w:hint="eastAsia" w:ascii="宋体" w:hAnsi="宋体" w:eastAsia="宋体" w:cs="Times New Roman"/>
                <w:szCs w:val="21"/>
              </w:rPr>
              <w:t>3.掌握针对不同年段学生的阅读教学设计方法；能够根据不同文体（如叙事、说明、诗歌等）设计有效的阅读教学活动。</w:t>
            </w:r>
          </w:p>
          <w:p w14:paraId="04184FA8">
            <w:pPr>
              <w:jc w:val="left"/>
              <w:rPr>
                <w:rFonts w:hint="eastAsia" w:ascii="宋体" w:hAnsi="宋体" w:eastAsia="宋体" w:cs="Times New Roman"/>
                <w:szCs w:val="21"/>
              </w:rPr>
            </w:pPr>
            <w:r>
              <w:rPr>
                <w:rFonts w:hint="eastAsia" w:ascii="宋体" w:hAnsi="宋体" w:eastAsia="宋体" w:cs="Times New Roman"/>
                <w:szCs w:val="21"/>
              </w:rPr>
              <w:t>4.能够设计以阅读策略为核心的单元教学，掌握预测、提问等阅读策略教学设计技巧。</w:t>
            </w:r>
          </w:p>
        </w:tc>
        <w:tc>
          <w:tcPr>
            <w:tcW w:w="1506" w:type="dxa"/>
            <w:vAlign w:val="center"/>
          </w:tcPr>
          <w:p w14:paraId="33B49AB4">
            <w:pPr>
              <w:jc w:val="left"/>
              <w:rPr>
                <w:rFonts w:hint="eastAsia" w:ascii="宋体" w:hAnsi="宋体" w:eastAsia="宋体" w:cs="Times New Roman"/>
                <w:szCs w:val="21"/>
              </w:rPr>
            </w:pPr>
            <w:r>
              <w:rPr>
                <w:rFonts w:hint="eastAsia" w:ascii="宋体" w:hAnsi="宋体" w:eastAsia="宋体" w:cs="Times New Roman"/>
                <w:szCs w:val="21"/>
              </w:rPr>
              <w:t>1.案例分析</w:t>
            </w:r>
          </w:p>
          <w:p w14:paraId="329FA77C">
            <w:pPr>
              <w:jc w:val="left"/>
              <w:rPr>
                <w:rFonts w:hint="eastAsia" w:ascii="宋体" w:hAnsi="宋体" w:eastAsia="宋体" w:cs="Times New Roman"/>
                <w:szCs w:val="21"/>
              </w:rPr>
            </w:pPr>
            <w:r>
              <w:rPr>
                <w:rFonts w:hint="eastAsia" w:ascii="宋体" w:hAnsi="宋体" w:eastAsia="宋体" w:cs="Times New Roman"/>
                <w:szCs w:val="21"/>
              </w:rPr>
              <w:t>2.实践训练</w:t>
            </w:r>
          </w:p>
          <w:p w14:paraId="31E90D73">
            <w:pPr>
              <w:jc w:val="left"/>
              <w:rPr>
                <w:rFonts w:hint="eastAsia" w:ascii="宋体" w:hAnsi="宋体" w:eastAsia="宋体" w:cs="Times New Roman"/>
                <w:szCs w:val="21"/>
              </w:rPr>
            </w:pPr>
            <w:r>
              <w:rPr>
                <w:rFonts w:hint="eastAsia" w:ascii="宋体" w:hAnsi="宋体" w:eastAsia="宋体" w:cs="Times New Roman"/>
                <w:szCs w:val="21"/>
              </w:rPr>
              <w:t>3.研究性学习</w:t>
            </w:r>
          </w:p>
          <w:p w14:paraId="54B5C09B">
            <w:pPr>
              <w:jc w:val="left"/>
              <w:rPr>
                <w:rFonts w:hint="eastAsia" w:ascii="宋体" w:hAnsi="宋体" w:eastAsia="宋体" w:cs="Times New Roman"/>
                <w:szCs w:val="21"/>
              </w:rPr>
            </w:pPr>
            <w:r>
              <w:rPr>
                <w:rFonts w:hint="eastAsia" w:ascii="宋体" w:hAnsi="宋体" w:eastAsia="宋体" w:cs="Times New Roman"/>
                <w:szCs w:val="21"/>
              </w:rPr>
              <w:t>4.观摩体验</w:t>
            </w:r>
          </w:p>
          <w:p w14:paraId="5BAACD41">
            <w:pPr>
              <w:jc w:val="left"/>
              <w:rPr>
                <w:rFonts w:hint="eastAsia" w:ascii="宋体" w:hAnsi="宋体" w:eastAsia="宋体" w:cs="Times New Roman"/>
                <w:szCs w:val="21"/>
              </w:rPr>
            </w:pPr>
            <w:r>
              <w:rPr>
                <w:rFonts w:hint="eastAsia" w:ascii="宋体" w:hAnsi="宋体" w:eastAsia="宋体" w:cs="Times New Roman"/>
                <w:szCs w:val="21"/>
              </w:rPr>
              <w:t>5.多媒体教学</w:t>
            </w:r>
          </w:p>
        </w:tc>
        <w:tc>
          <w:tcPr>
            <w:tcW w:w="519" w:type="dxa"/>
            <w:vAlign w:val="center"/>
          </w:tcPr>
          <w:p w14:paraId="42911360">
            <w:pPr>
              <w:jc w:val="center"/>
              <w:rPr>
                <w:rFonts w:hint="eastAsia" w:ascii="宋体" w:hAnsi="宋体" w:eastAsia="宋体" w:cs="Times New Roman"/>
                <w:szCs w:val="21"/>
              </w:rPr>
            </w:pPr>
            <w:r>
              <w:rPr>
                <w:rFonts w:hint="eastAsia" w:ascii="宋体" w:hAnsi="宋体" w:eastAsia="宋体" w:cs="Times New Roman"/>
                <w:szCs w:val="21"/>
              </w:rPr>
              <w:t>12</w:t>
            </w:r>
          </w:p>
        </w:tc>
      </w:tr>
      <w:tr w14:paraId="0162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0A263DB1">
            <w:pPr>
              <w:jc w:val="center"/>
              <w:rPr>
                <w:rFonts w:hint="eastAsia" w:ascii="宋体" w:hAnsi="宋体" w:eastAsia="宋体" w:cs="Times New Roman"/>
                <w:szCs w:val="21"/>
              </w:rPr>
            </w:pPr>
          </w:p>
        </w:tc>
        <w:tc>
          <w:tcPr>
            <w:tcW w:w="8371" w:type="dxa"/>
            <w:gridSpan w:val="5"/>
            <w:vAlign w:val="center"/>
          </w:tcPr>
          <w:p w14:paraId="781965C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认识统编本教材中阅读教学的育人价值和丰富的思政元素。将思政目标融入阅读教学设计，传承和创新中华优秀传统文化，培养学生的文化自信和社会责任感。</w:t>
            </w:r>
          </w:p>
        </w:tc>
      </w:tr>
      <w:tr w14:paraId="54DE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302991E6">
            <w:pPr>
              <w:jc w:val="center"/>
              <w:rPr>
                <w:rFonts w:hint="eastAsia" w:ascii="宋体" w:hAnsi="宋体" w:eastAsia="宋体" w:cs="Times New Roman"/>
                <w:szCs w:val="21"/>
              </w:rPr>
            </w:pPr>
            <w:r>
              <w:rPr>
                <w:rFonts w:hint="eastAsia" w:ascii="宋体" w:hAnsi="宋体" w:eastAsia="宋体" w:cs="Times New Roman"/>
                <w:szCs w:val="21"/>
              </w:rPr>
              <w:t>4.整本书阅读教学设计</w:t>
            </w:r>
          </w:p>
        </w:tc>
        <w:tc>
          <w:tcPr>
            <w:tcW w:w="2210" w:type="dxa"/>
            <w:vAlign w:val="center"/>
          </w:tcPr>
          <w:p w14:paraId="45CEE957">
            <w:pPr>
              <w:jc w:val="left"/>
              <w:rPr>
                <w:rFonts w:hint="eastAsia" w:ascii="宋体" w:hAnsi="宋体" w:eastAsia="宋体" w:cs="Times New Roman"/>
                <w:szCs w:val="21"/>
              </w:rPr>
            </w:pPr>
            <w:r>
              <w:rPr>
                <w:rFonts w:hint="eastAsia" w:ascii="宋体" w:hAnsi="宋体" w:eastAsia="宋体" w:cs="Times New Roman"/>
                <w:szCs w:val="21"/>
              </w:rPr>
              <w:t>（1）整本书阅读教学设计的关键问题</w:t>
            </w:r>
          </w:p>
          <w:p w14:paraId="2DDA8A35">
            <w:pPr>
              <w:jc w:val="left"/>
              <w:rPr>
                <w:rFonts w:hint="eastAsia" w:ascii="宋体" w:hAnsi="宋体" w:eastAsia="宋体" w:cs="Times New Roman"/>
                <w:szCs w:val="21"/>
              </w:rPr>
            </w:pPr>
            <w:r>
              <w:rPr>
                <w:rFonts w:hint="eastAsia" w:ascii="宋体" w:hAnsi="宋体" w:eastAsia="宋体" w:cs="Times New Roman"/>
                <w:szCs w:val="21"/>
              </w:rPr>
              <w:t>（2）整本书阅读教学设计述评</w:t>
            </w:r>
          </w:p>
          <w:p w14:paraId="33F4DC16">
            <w:pPr>
              <w:jc w:val="left"/>
              <w:rPr>
                <w:rFonts w:hint="eastAsia" w:ascii="宋体" w:hAnsi="宋体" w:eastAsia="宋体" w:cs="Times New Roman"/>
                <w:szCs w:val="21"/>
              </w:rPr>
            </w:pPr>
            <w:r>
              <w:rPr>
                <w:rFonts w:hint="eastAsia" w:ascii="宋体" w:hAnsi="宋体" w:eastAsia="宋体" w:cs="Times New Roman"/>
                <w:szCs w:val="21"/>
              </w:rPr>
              <w:t>（3）整本书阅读教学设计实践</w:t>
            </w:r>
          </w:p>
        </w:tc>
        <w:tc>
          <w:tcPr>
            <w:tcW w:w="1148" w:type="dxa"/>
            <w:vAlign w:val="center"/>
          </w:tcPr>
          <w:p w14:paraId="53AC00BF">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988" w:type="dxa"/>
            <w:vAlign w:val="center"/>
          </w:tcPr>
          <w:p w14:paraId="08A5878A">
            <w:pPr>
              <w:jc w:val="left"/>
              <w:rPr>
                <w:rFonts w:hint="eastAsia" w:ascii="宋体" w:hAnsi="宋体" w:eastAsia="宋体" w:cs="Times New Roman"/>
                <w:szCs w:val="21"/>
              </w:rPr>
            </w:pPr>
            <w:r>
              <w:rPr>
                <w:rFonts w:hint="eastAsia" w:ascii="宋体" w:hAnsi="宋体" w:eastAsia="宋体" w:cs="Times New Roman"/>
                <w:szCs w:val="21"/>
              </w:rPr>
              <w:t>1.能够识别并分析整本书阅读教学设计中的关键问题。</w:t>
            </w:r>
          </w:p>
          <w:p w14:paraId="514D7F0A">
            <w:pPr>
              <w:jc w:val="left"/>
              <w:rPr>
                <w:rFonts w:hint="eastAsia" w:ascii="宋体" w:hAnsi="宋体" w:eastAsia="宋体" w:cs="Times New Roman"/>
                <w:szCs w:val="21"/>
              </w:rPr>
            </w:pPr>
            <w:r>
              <w:rPr>
                <w:rFonts w:hint="eastAsia" w:ascii="宋体" w:hAnsi="宋体" w:eastAsia="宋体" w:cs="Times New Roman"/>
                <w:szCs w:val="21"/>
              </w:rPr>
              <w:t>2.对现有的整本书阅读教学设计进行述评，包括评价其教学理念、方法和实施效果，并提出改进建议。</w:t>
            </w:r>
          </w:p>
          <w:p w14:paraId="250F8E88">
            <w:pPr>
              <w:jc w:val="left"/>
              <w:rPr>
                <w:rFonts w:hint="eastAsia" w:ascii="宋体" w:hAnsi="宋体" w:eastAsia="宋体" w:cs="Times New Roman"/>
                <w:szCs w:val="21"/>
              </w:rPr>
            </w:pPr>
            <w:r>
              <w:rPr>
                <w:rFonts w:hint="eastAsia" w:ascii="宋体" w:hAnsi="宋体" w:eastAsia="宋体" w:cs="Times New Roman"/>
                <w:szCs w:val="21"/>
              </w:rPr>
              <w:t>3.通过实践掌握整本书阅读教学设计的技巧，能够独立设计并实施整本书阅读教学活动，促进学生的深度阅读和批判性思维能力的发展。</w:t>
            </w:r>
          </w:p>
        </w:tc>
        <w:tc>
          <w:tcPr>
            <w:tcW w:w="1506" w:type="dxa"/>
            <w:vAlign w:val="center"/>
          </w:tcPr>
          <w:p w14:paraId="60DBC076">
            <w:pPr>
              <w:jc w:val="left"/>
              <w:rPr>
                <w:rFonts w:hint="eastAsia" w:ascii="宋体" w:hAnsi="宋体" w:eastAsia="宋体" w:cs="Times New Roman"/>
                <w:szCs w:val="21"/>
              </w:rPr>
            </w:pPr>
            <w:r>
              <w:rPr>
                <w:rFonts w:hint="eastAsia" w:ascii="宋体" w:hAnsi="宋体" w:eastAsia="宋体" w:cs="Times New Roman"/>
                <w:szCs w:val="21"/>
              </w:rPr>
              <w:t>1.案例分析</w:t>
            </w:r>
          </w:p>
          <w:p w14:paraId="69734C86">
            <w:pPr>
              <w:jc w:val="left"/>
              <w:rPr>
                <w:rFonts w:hint="eastAsia" w:ascii="宋体" w:hAnsi="宋体" w:eastAsia="宋体" w:cs="Times New Roman"/>
                <w:szCs w:val="21"/>
              </w:rPr>
            </w:pPr>
            <w:r>
              <w:rPr>
                <w:rFonts w:hint="eastAsia" w:ascii="宋体" w:hAnsi="宋体" w:eastAsia="宋体" w:cs="Times New Roman"/>
                <w:szCs w:val="21"/>
              </w:rPr>
              <w:t>2.实践训练</w:t>
            </w:r>
          </w:p>
          <w:p w14:paraId="074BB2D5">
            <w:pPr>
              <w:jc w:val="left"/>
              <w:rPr>
                <w:rFonts w:hint="eastAsia" w:ascii="宋体" w:hAnsi="宋体" w:eastAsia="宋体" w:cs="Times New Roman"/>
                <w:szCs w:val="21"/>
              </w:rPr>
            </w:pPr>
            <w:r>
              <w:rPr>
                <w:rFonts w:hint="eastAsia" w:ascii="宋体" w:hAnsi="宋体" w:eastAsia="宋体" w:cs="Times New Roman"/>
                <w:szCs w:val="21"/>
              </w:rPr>
              <w:t>3.观摩体验</w:t>
            </w:r>
          </w:p>
          <w:p w14:paraId="7E185C68">
            <w:pPr>
              <w:jc w:val="left"/>
              <w:rPr>
                <w:rFonts w:hint="eastAsia" w:ascii="宋体" w:hAnsi="宋体" w:eastAsia="宋体" w:cs="Times New Roman"/>
                <w:szCs w:val="21"/>
              </w:rPr>
            </w:pPr>
            <w:r>
              <w:rPr>
                <w:rFonts w:hint="eastAsia" w:ascii="宋体" w:hAnsi="宋体" w:eastAsia="宋体" w:cs="Times New Roman"/>
                <w:szCs w:val="21"/>
              </w:rPr>
              <w:t>4.多媒体教学</w:t>
            </w:r>
          </w:p>
        </w:tc>
        <w:tc>
          <w:tcPr>
            <w:tcW w:w="519" w:type="dxa"/>
            <w:vAlign w:val="center"/>
          </w:tcPr>
          <w:p w14:paraId="079E097B">
            <w:pPr>
              <w:jc w:val="center"/>
              <w:rPr>
                <w:rFonts w:hint="eastAsia" w:ascii="宋体" w:hAnsi="宋体" w:eastAsia="宋体" w:cs="Times New Roman"/>
                <w:szCs w:val="21"/>
              </w:rPr>
            </w:pPr>
            <w:r>
              <w:rPr>
                <w:rFonts w:hint="eastAsia" w:ascii="宋体" w:hAnsi="宋体" w:eastAsia="宋体" w:cs="Times New Roman"/>
                <w:szCs w:val="21"/>
              </w:rPr>
              <w:t>3</w:t>
            </w:r>
          </w:p>
        </w:tc>
      </w:tr>
      <w:tr w14:paraId="62C0C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72E364AB">
            <w:pPr>
              <w:jc w:val="center"/>
              <w:rPr>
                <w:rFonts w:hint="eastAsia" w:ascii="宋体" w:hAnsi="宋体" w:eastAsia="宋体" w:cs="Times New Roman"/>
                <w:szCs w:val="21"/>
              </w:rPr>
            </w:pPr>
          </w:p>
        </w:tc>
        <w:tc>
          <w:tcPr>
            <w:tcW w:w="8371" w:type="dxa"/>
            <w:gridSpan w:val="5"/>
            <w:vAlign w:val="center"/>
          </w:tcPr>
          <w:p w14:paraId="1899E3B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挖掘统编本教材中阅读教学的育人价值和丰富的思政元素；将思政目标融入阅读教学设计，传承和创新中华优秀传统文化，坚定文化自信；在阅读教学中涵养“启智润心、因材施教”的育人智慧。</w:t>
            </w:r>
          </w:p>
        </w:tc>
      </w:tr>
      <w:tr w14:paraId="3A93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17F6B530">
            <w:pPr>
              <w:jc w:val="center"/>
              <w:rPr>
                <w:rFonts w:hint="eastAsia" w:ascii="宋体" w:hAnsi="宋体" w:eastAsia="宋体" w:cs="Times New Roman"/>
                <w:szCs w:val="21"/>
              </w:rPr>
            </w:pPr>
            <w:r>
              <w:rPr>
                <w:rFonts w:hint="eastAsia" w:ascii="宋体" w:hAnsi="宋体" w:eastAsia="宋体" w:cs="Times New Roman"/>
                <w:szCs w:val="21"/>
              </w:rPr>
              <w:t>5.写话和习作教学设计与实施</w:t>
            </w:r>
          </w:p>
        </w:tc>
        <w:tc>
          <w:tcPr>
            <w:tcW w:w="2210" w:type="dxa"/>
            <w:vAlign w:val="center"/>
          </w:tcPr>
          <w:p w14:paraId="6E91B618">
            <w:pPr>
              <w:jc w:val="left"/>
              <w:rPr>
                <w:rFonts w:hint="eastAsia" w:ascii="宋体" w:hAnsi="宋体" w:eastAsia="宋体" w:cs="Times New Roman"/>
                <w:szCs w:val="21"/>
              </w:rPr>
            </w:pPr>
            <w:r>
              <w:rPr>
                <w:rFonts w:hint="eastAsia" w:ascii="宋体" w:hAnsi="宋体" w:eastAsia="宋体" w:cs="Times New Roman"/>
                <w:szCs w:val="21"/>
              </w:rPr>
              <w:t>（1）写话与习作教学的关键问题</w:t>
            </w:r>
          </w:p>
          <w:p w14:paraId="6703B7BE">
            <w:pPr>
              <w:jc w:val="left"/>
              <w:rPr>
                <w:rFonts w:hint="eastAsia" w:ascii="宋体" w:hAnsi="宋体" w:eastAsia="宋体" w:cs="Times New Roman"/>
                <w:szCs w:val="21"/>
              </w:rPr>
            </w:pPr>
            <w:r>
              <w:rPr>
                <w:rFonts w:hint="eastAsia" w:ascii="宋体" w:hAnsi="宋体" w:eastAsia="宋体" w:cs="Times New Roman"/>
                <w:szCs w:val="21"/>
              </w:rPr>
              <w:t>（2）写话与习作教学设计的策略</w:t>
            </w:r>
          </w:p>
          <w:p w14:paraId="14ACEC23">
            <w:pPr>
              <w:jc w:val="left"/>
              <w:rPr>
                <w:rFonts w:hint="eastAsia" w:ascii="宋体" w:hAnsi="宋体" w:eastAsia="宋体" w:cs="Times New Roman"/>
                <w:szCs w:val="21"/>
              </w:rPr>
            </w:pPr>
            <w:r>
              <w:rPr>
                <w:rFonts w:hint="eastAsia" w:ascii="宋体" w:hAnsi="宋体" w:eastAsia="宋体" w:cs="Times New Roman"/>
                <w:szCs w:val="21"/>
              </w:rPr>
              <w:t>（3）写话与习作教学设计</w:t>
            </w:r>
          </w:p>
        </w:tc>
        <w:tc>
          <w:tcPr>
            <w:tcW w:w="1148" w:type="dxa"/>
            <w:vAlign w:val="center"/>
          </w:tcPr>
          <w:p w14:paraId="48EBB4B6">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988" w:type="dxa"/>
            <w:vAlign w:val="center"/>
          </w:tcPr>
          <w:p w14:paraId="15807439">
            <w:pPr>
              <w:jc w:val="left"/>
              <w:rPr>
                <w:rFonts w:hint="eastAsia" w:ascii="宋体" w:hAnsi="宋体" w:eastAsia="宋体" w:cs="Times New Roman"/>
                <w:szCs w:val="21"/>
              </w:rPr>
            </w:pPr>
            <w:r>
              <w:rPr>
                <w:rFonts w:hint="eastAsia" w:ascii="宋体" w:hAnsi="宋体" w:eastAsia="宋体" w:cs="Times New Roman"/>
                <w:szCs w:val="21"/>
              </w:rPr>
              <w:t>1.能够识别写话与习作教学中的关键问题，包括写作兴趣的激发、写作技能的提升以及创造性思维的培养。</w:t>
            </w:r>
          </w:p>
          <w:p w14:paraId="7BF77AD5">
            <w:pPr>
              <w:jc w:val="left"/>
              <w:rPr>
                <w:rFonts w:hint="eastAsia" w:ascii="宋体" w:hAnsi="宋体" w:eastAsia="宋体" w:cs="Times New Roman"/>
                <w:szCs w:val="21"/>
              </w:rPr>
            </w:pPr>
            <w:r>
              <w:rPr>
                <w:rFonts w:hint="eastAsia" w:ascii="宋体" w:hAnsi="宋体" w:eastAsia="宋体" w:cs="Times New Roman"/>
                <w:szCs w:val="21"/>
              </w:rPr>
              <w:t>2.掌握写话与习作教学设计的策略，能够根据不同教学目标和学生特点选择合适的教学方法和活动。</w:t>
            </w:r>
          </w:p>
          <w:p w14:paraId="60302C32">
            <w:pPr>
              <w:jc w:val="left"/>
              <w:rPr>
                <w:rFonts w:hint="eastAsia" w:ascii="宋体" w:hAnsi="宋体" w:eastAsia="宋体" w:cs="Times New Roman"/>
                <w:szCs w:val="21"/>
              </w:rPr>
            </w:pPr>
            <w:r>
              <w:rPr>
                <w:rFonts w:hint="eastAsia" w:ascii="宋体" w:hAnsi="宋体" w:eastAsia="宋体" w:cs="Times New Roman"/>
                <w:szCs w:val="21"/>
              </w:rPr>
              <w:t>3.独立设计并实施写话与习作教学活动。</w:t>
            </w:r>
          </w:p>
        </w:tc>
        <w:tc>
          <w:tcPr>
            <w:tcW w:w="1506" w:type="dxa"/>
            <w:vAlign w:val="center"/>
          </w:tcPr>
          <w:p w14:paraId="331C6CE1">
            <w:pPr>
              <w:jc w:val="left"/>
              <w:rPr>
                <w:rFonts w:hint="eastAsia" w:ascii="宋体" w:hAnsi="宋体" w:eastAsia="宋体" w:cs="Times New Roman"/>
                <w:szCs w:val="21"/>
              </w:rPr>
            </w:pPr>
            <w:r>
              <w:rPr>
                <w:rFonts w:hint="eastAsia" w:ascii="宋体" w:hAnsi="宋体" w:eastAsia="宋体" w:cs="Times New Roman"/>
                <w:szCs w:val="21"/>
              </w:rPr>
              <w:t>1.案例分析</w:t>
            </w:r>
          </w:p>
          <w:p w14:paraId="6489D119">
            <w:pPr>
              <w:jc w:val="left"/>
              <w:rPr>
                <w:rFonts w:hint="eastAsia" w:ascii="宋体" w:hAnsi="宋体" w:eastAsia="宋体" w:cs="Times New Roman"/>
                <w:szCs w:val="21"/>
              </w:rPr>
            </w:pPr>
            <w:r>
              <w:rPr>
                <w:rFonts w:hint="eastAsia" w:ascii="宋体" w:hAnsi="宋体" w:eastAsia="宋体" w:cs="Times New Roman"/>
                <w:szCs w:val="21"/>
              </w:rPr>
              <w:t>2.实践训练</w:t>
            </w:r>
          </w:p>
          <w:p w14:paraId="1627925D">
            <w:pPr>
              <w:jc w:val="left"/>
              <w:rPr>
                <w:rFonts w:hint="eastAsia" w:ascii="宋体" w:hAnsi="宋体" w:eastAsia="宋体" w:cs="Times New Roman"/>
                <w:szCs w:val="21"/>
              </w:rPr>
            </w:pPr>
            <w:r>
              <w:rPr>
                <w:rFonts w:hint="eastAsia" w:ascii="宋体" w:hAnsi="宋体" w:eastAsia="宋体" w:cs="Times New Roman"/>
                <w:szCs w:val="21"/>
              </w:rPr>
              <w:t>3.观摩体验</w:t>
            </w:r>
          </w:p>
          <w:p w14:paraId="0726AAF1">
            <w:pPr>
              <w:jc w:val="left"/>
              <w:rPr>
                <w:rFonts w:hint="eastAsia" w:ascii="宋体" w:hAnsi="宋体" w:eastAsia="宋体" w:cs="Times New Roman"/>
                <w:szCs w:val="21"/>
              </w:rPr>
            </w:pPr>
            <w:r>
              <w:rPr>
                <w:rFonts w:hint="eastAsia" w:ascii="宋体" w:hAnsi="宋体" w:eastAsia="宋体" w:cs="Times New Roman"/>
                <w:szCs w:val="21"/>
              </w:rPr>
              <w:t>4.多媒体教学</w:t>
            </w:r>
          </w:p>
        </w:tc>
        <w:tc>
          <w:tcPr>
            <w:tcW w:w="519" w:type="dxa"/>
            <w:vAlign w:val="center"/>
          </w:tcPr>
          <w:p w14:paraId="71789905">
            <w:pPr>
              <w:jc w:val="center"/>
              <w:rPr>
                <w:rFonts w:hint="eastAsia" w:ascii="宋体" w:hAnsi="宋体" w:eastAsia="宋体" w:cs="Times New Roman"/>
                <w:szCs w:val="21"/>
              </w:rPr>
            </w:pPr>
          </w:p>
        </w:tc>
      </w:tr>
      <w:tr w14:paraId="326FC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3D463FC6">
            <w:pPr>
              <w:jc w:val="center"/>
              <w:rPr>
                <w:rFonts w:hint="eastAsia" w:ascii="宋体" w:hAnsi="宋体" w:eastAsia="宋体" w:cs="Times New Roman"/>
                <w:szCs w:val="21"/>
              </w:rPr>
            </w:pPr>
          </w:p>
        </w:tc>
        <w:tc>
          <w:tcPr>
            <w:tcW w:w="8371" w:type="dxa"/>
            <w:gridSpan w:val="5"/>
            <w:vAlign w:val="center"/>
          </w:tcPr>
          <w:p w14:paraId="4B0962B3">
            <w:pPr>
              <w:jc w:val="left"/>
              <w:rPr>
                <w:rFonts w:hint="eastAsia" w:ascii="宋体" w:hAnsi="宋体" w:eastAsia="宋体" w:cs="Times New Roman"/>
                <w:szCs w:val="21"/>
              </w:rPr>
            </w:pPr>
            <w:r>
              <w:rPr>
                <w:rFonts w:hint="eastAsia" w:ascii="宋体" w:hAnsi="宋体" w:eastAsia="宋体" w:cs="Times New Roman"/>
                <w:b/>
                <w:szCs w:val="21"/>
              </w:rPr>
              <w:t>课程思政目标：1.</w:t>
            </w:r>
            <w:r>
              <w:rPr>
                <w:rFonts w:hint="eastAsia" w:ascii="宋体" w:hAnsi="宋体" w:eastAsia="宋体" w:cs="Times New Roman"/>
                <w:szCs w:val="21"/>
              </w:rPr>
              <w:t>通过写话与习作教学设计，培养社会责任感和集体荣誉感，鼓励学生关注社会热点问题，表达个人见解和主张。</w:t>
            </w:r>
          </w:p>
          <w:p w14:paraId="421C49B7">
            <w:pPr>
              <w:ind w:firstLine="420" w:firstLineChars="200"/>
              <w:jc w:val="left"/>
              <w:rPr>
                <w:rFonts w:hint="eastAsia" w:ascii="宋体" w:hAnsi="宋体" w:eastAsia="宋体" w:cs="Times New Roman"/>
                <w:szCs w:val="21"/>
              </w:rPr>
            </w:pPr>
            <w:r>
              <w:rPr>
                <w:rFonts w:hint="eastAsia" w:ascii="宋体" w:hAnsi="宋体" w:eastAsia="宋体" w:cs="Times New Roman"/>
                <w:szCs w:val="21"/>
              </w:rPr>
              <w:t>2.学会在写话与习作教学设计中传承和弘扬中华优秀传统文化，提升文化自信，增强对民族文化的认同和尊重。</w:t>
            </w:r>
          </w:p>
          <w:p w14:paraId="5244BF68">
            <w:pPr>
              <w:ind w:firstLine="420" w:firstLineChars="200"/>
              <w:jc w:val="left"/>
              <w:rPr>
                <w:rFonts w:hint="eastAsia" w:ascii="宋体" w:hAnsi="宋体" w:eastAsia="宋体" w:cs="Times New Roman"/>
                <w:szCs w:val="21"/>
              </w:rPr>
            </w:pPr>
            <w:r>
              <w:rPr>
                <w:rFonts w:hint="eastAsia" w:ascii="宋体" w:hAnsi="宋体" w:eastAsia="宋体" w:cs="Times New Roman"/>
                <w:szCs w:val="21"/>
              </w:rPr>
              <w:t>3.形成批判性思维和创新意识，将思政目标融入教学实践，以文化人。</w:t>
            </w:r>
          </w:p>
        </w:tc>
      </w:tr>
      <w:tr w14:paraId="7223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0665F5A5">
            <w:pPr>
              <w:jc w:val="center"/>
              <w:rPr>
                <w:rFonts w:hint="eastAsia" w:ascii="宋体" w:hAnsi="宋体" w:eastAsia="宋体" w:cs="Times New Roman"/>
                <w:szCs w:val="21"/>
              </w:rPr>
            </w:pPr>
            <w:r>
              <w:rPr>
                <w:rFonts w:hint="eastAsia" w:ascii="宋体" w:hAnsi="宋体" w:eastAsia="宋体" w:cs="Times New Roman"/>
                <w:szCs w:val="21"/>
              </w:rPr>
              <w:t>6.口语交际教学设计与实施</w:t>
            </w:r>
          </w:p>
        </w:tc>
        <w:tc>
          <w:tcPr>
            <w:tcW w:w="2210" w:type="dxa"/>
            <w:vAlign w:val="center"/>
          </w:tcPr>
          <w:p w14:paraId="108D73F7">
            <w:pPr>
              <w:jc w:val="left"/>
              <w:rPr>
                <w:rFonts w:hint="eastAsia" w:ascii="宋体" w:hAnsi="宋体" w:eastAsia="宋体" w:cs="Times New Roman"/>
                <w:szCs w:val="21"/>
              </w:rPr>
            </w:pPr>
            <w:r>
              <w:rPr>
                <w:rFonts w:hint="eastAsia" w:ascii="宋体" w:hAnsi="宋体" w:eastAsia="宋体" w:cs="Times New Roman"/>
                <w:szCs w:val="21"/>
              </w:rPr>
              <w:t>（1）口语交际教学概述</w:t>
            </w:r>
          </w:p>
          <w:p w14:paraId="1DA686FA">
            <w:pPr>
              <w:jc w:val="left"/>
              <w:rPr>
                <w:rFonts w:hint="eastAsia" w:ascii="宋体" w:hAnsi="宋体" w:eastAsia="宋体" w:cs="Times New Roman"/>
                <w:szCs w:val="21"/>
              </w:rPr>
            </w:pPr>
            <w:r>
              <w:rPr>
                <w:rFonts w:hint="eastAsia" w:ascii="宋体" w:hAnsi="宋体" w:eastAsia="宋体" w:cs="Times New Roman"/>
                <w:szCs w:val="21"/>
              </w:rPr>
              <w:t>（2）口语交际教学的目标与理念</w:t>
            </w:r>
          </w:p>
          <w:p w14:paraId="1894D9CC">
            <w:pPr>
              <w:jc w:val="left"/>
              <w:rPr>
                <w:rFonts w:hint="eastAsia" w:ascii="宋体" w:hAnsi="宋体" w:eastAsia="宋体" w:cs="Times New Roman"/>
                <w:szCs w:val="21"/>
              </w:rPr>
            </w:pPr>
            <w:r>
              <w:rPr>
                <w:rFonts w:hint="eastAsia" w:ascii="宋体" w:hAnsi="宋体" w:eastAsia="宋体" w:cs="Times New Roman"/>
                <w:szCs w:val="21"/>
              </w:rPr>
              <w:t>（3）口语交际教学的内容与方法设计</w:t>
            </w:r>
          </w:p>
        </w:tc>
        <w:tc>
          <w:tcPr>
            <w:tcW w:w="1148" w:type="dxa"/>
            <w:vAlign w:val="center"/>
          </w:tcPr>
          <w:p w14:paraId="21742AB2">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988" w:type="dxa"/>
            <w:vAlign w:val="center"/>
          </w:tcPr>
          <w:p w14:paraId="0096C25D">
            <w:pPr>
              <w:jc w:val="left"/>
              <w:rPr>
                <w:rFonts w:hint="eastAsia" w:ascii="宋体" w:hAnsi="宋体" w:eastAsia="宋体" w:cs="Times New Roman"/>
                <w:szCs w:val="21"/>
              </w:rPr>
            </w:pPr>
            <w:r>
              <w:rPr>
                <w:rFonts w:hint="eastAsia" w:ascii="宋体" w:hAnsi="宋体" w:eastAsia="宋体" w:cs="Times New Roman"/>
                <w:szCs w:val="21"/>
              </w:rPr>
              <w:t>（1）理解口语交际教学的重要性，并掌握其基本概念和教学流程。</w:t>
            </w:r>
          </w:p>
          <w:p w14:paraId="32AB1924">
            <w:pPr>
              <w:jc w:val="left"/>
              <w:rPr>
                <w:rFonts w:hint="eastAsia" w:ascii="宋体" w:hAnsi="宋体" w:eastAsia="宋体" w:cs="Times New Roman"/>
                <w:szCs w:val="21"/>
              </w:rPr>
            </w:pPr>
            <w:r>
              <w:rPr>
                <w:rFonts w:hint="eastAsia" w:ascii="宋体" w:hAnsi="宋体" w:eastAsia="宋体" w:cs="Times New Roman"/>
                <w:szCs w:val="21"/>
              </w:rPr>
              <w:t>（2）根据新课标的要求，明确口语交际教学的目标，并能够设计符合学生发展需求的教学理念。</w:t>
            </w:r>
          </w:p>
          <w:p w14:paraId="68F04C20">
            <w:pPr>
              <w:jc w:val="left"/>
              <w:rPr>
                <w:rFonts w:hint="eastAsia" w:ascii="宋体" w:hAnsi="宋体" w:eastAsia="宋体" w:cs="Times New Roman"/>
                <w:szCs w:val="21"/>
              </w:rPr>
            </w:pPr>
            <w:r>
              <w:rPr>
                <w:rFonts w:hint="eastAsia" w:ascii="宋体" w:hAnsi="宋体" w:eastAsia="宋体" w:cs="Times New Roman"/>
                <w:szCs w:val="21"/>
              </w:rPr>
              <w:t>（3）能够设计出多样化的口语交际教学内容和方法，包括讨论、辩论、角色扮演等。</w:t>
            </w:r>
          </w:p>
        </w:tc>
        <w:tc>
          <w:tcPr>
            <w:tcW w:w="1506" w:type="dxa"/>
            <w:vAlign w:val="center"/>
          </w:tcPr>
          <w:p w14:paraId="65A548FE">
            <w:pPr>
              <w:jc w:val="left"/>
              <w:rPr>
                <w:rFonts w:hint="eastAsia" w:ascii="宋体" w:hAnsi="宋体" w:eastAsia="宋体" w:cs="Times New Roman"/>
                <w:szCs w:val="21"/>
              </w:rPr>
            </w:pPr>
            <w:r>
              <w:rPr>
                <w:rFonts w:hint="eastAsia" w:ascii="宋体" w:hAnsi="宋体" w:eastAsia="宋体" w:cs="Times New Roman"/>
                <w:szCs w:val="21"/>
              </w:rPr>
              <w:t>1.案例分析</w:t>
            </w:r>
          </w:p>
          <w:p w14:paraId="10EE26DF">
            <w:pPr>
              <w:jc w:val="left"/>
              <w:rPr>
                <w:rFonts w:hint="eastAsia" w:ascii="宋体" w:hAnsi="宋体" w:eastAsia="宋体" w:cs="Times New Roman"/>
                <w:szCs w:val="21"/>
              </w:rPr>
            </w:pPr>
            <w:r>
              <w:rPr>
                <w:rFonts w:hint="eastAsia" w:ascii="宋体" w:hAnsi="宋体" w:eastAsia="宋体" w:cs="Times New Roman"/>
                <w:szCs w:val="21"/>
              </w:rPr>
              <w:t>2.实践训练</w:t>
            </w:r>
          </w:p>
          <w:p w14:paraId="1B55F063">
            <w:pPr>
              <w:jc w:val="left"/>
              <w:rPr>
                <w:rFonts w:hint="eastAsia" w:ascii="宋体" w:hAnsi="宋体" w:eastAsia="宋体" w:cs="Times New Roman"/>
                <w:szCs w:val="21"/>
              </w:rPr>
            </w:pPr>
            <w:r>
              <w:rPr>
                <w:rFonts w:hint="eastAsia" w:ascii="宋体" w:hAnsi="宋体" w:eastAsia="宋体" w:cs="Times New Roman"/>
                <w:szCs w:val="21"/>
              </w:rPr>
              <w:t>3.观摩体验</w:t>
            </w:r>
          </w:p>
          <w:p w14:paraId="4AF3C25B">
            <w:pPr>
              <w:jc w:val="left"/>
              <w:rPr>
                <w:rFonts w:hint="eastAsia" w:ascii="宋体" w:hAnsi="宋体" w:eastAsia="宋体" w:cs="Times New Roman"/>
                <w:szCs w:val="21"/>
              </w:rPr>
            </w:pPr>
            <w:r>
              <w:rPr>
                <w:rFonts w:hint="eastAsia" w:ascii="宋体" w:hAnsi="宋体" w:eastAsia="宋体" w:cs="Times New Roman"/>
                <w:szCs w:val="21"/>
              </w:rPr>
              <w:t>4.多媒体教学</w:t>
            </w:r>
          </w:p>
        </w:tc>
        <w:tc>
          <w:tcPr>
            <w:tcW w:w="519" w:type="dxa"/>
            <w:vAlign w:val="center"/>
          </w:tcPr>
          <w:p w14:paraId="04740656">
            <w:pPr>
              <w:jc w:val="center"/>
              <w:rPr>
                <w:rFonts w:hint="eastAsia" w:ascii="宋体" w:hAnsi="宋体" w:eastAsia="宋体" w:cs="Times New Roman"/>
                <w:szCs w:val="21"/>
              </w:rPr>
            </w:pPr>
          </w:p>
        </w:tc>
      </w:tr>
      <w:tr w14:paraId="2087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626C6AEF">
            <w:pPr>
              <w:jc w:val="center"/>
              <w:rPr>
                <w:rFonts w:hint="eastAsia" w:ascii="宋体" w:hAnsi="宋体" w:eastAsia="宋体" w:cs="Times New Roman"/>
                <w:szCs w:val="21"/>
              </w:rPr>
            </w:pPr>
          </w:p>
        </w:tc>
        <w:tc>
          <w:tcPr>
            <w:tcW w:w="8371" w:type="dxa"/>
            <w:gridSpan w:val="5"/>
            <w:vAlign w:val="center"/>
          </w:tcPr>
          <w:p w14:paraId="744F47E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依据语文课标理念和统编教材的编写特色，设计口语交际、交流与讨论活动，深刻理解和传承倾听与表达中蕴含的中华优秀传统文化，进而强化民族自豪感与文化认同感。</w:t>
            </w:r>
          </w:p>
        </w:tc>
      </w:tr>
      <w:tr w14:paraId="75D7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restart"/>
            <w:vAlign w:val="center"/>
          </w:tcPr>
          <w:p w14:paraId="0CECB0B4">
            <w:pPr>
              <w:jc w:val="center"/>
              <w:rPr>
                <w:rFonts w:hint="eastAsia" w:ascii="宋体" w:hAnsi="宋体" w:eastAsia="宋体" w:cs="Times New Roman"/>
                <w:szCs w:val="21"/>
              </w:rPr>
            </w:pPr>
            <w:r>
              <w:rPr>
                <w:rFonts w:hint="eastAsia" w:ascii="宋体" w:hAnsi="宋体" w:eastAsia="宋体" w:cs="Times New Roman"/>
                <w:szCs w:val="21"/>
              </w:rPr>
              <w:t>7.单元学习任务设计</w:t>
            </w:r>
          </w:p>
        </w:tc>
        <w:tc>
          <w:tcPr>
            <w:tcW w:w="2210" w:type="dxa"/>
            <w:vAlign w:val="center"/>
          </w:tcPr>
          <w:p w14:paraId="6F43B477">
            <w:pPr>
              <w:jc w:val="left"/>
              <w:rPr>
                <w:rFonts w:hint="eastAsia" w:ascii="宋体" w:hAnsi="宋体" w:eastAsia="宋体" w:cs="Times New Roman"/>
                <w:szCs w:val="21"/>
              </w:rPr>
            </w:pPr>
            <w:r>
              <w:rPr>
                <w:rFonts w:hint="eastAsia" w:ascii="宋体" w:hAnsi="宋体" w:eastAsia="宋体" w:cs="Times New Roman"/>
                <w:szCs w:val="21"/>
              </w:rPr>
              <w:t>（1）单元学习任务设计的关键问题</w:t>
            </w:r>
          </w:p>
          <w:p w14:paraId="136F3996">
            <w:pPr>
              <w:jc w:val="left"/>
              <w:rPr>
                <w:rFonts w:hint="eastAsia" w:ascii="宋体" w:hAnsi="宋体" w:eastAsia="宋体" w:cs="Times New Roman"/>
                <w:szCs w:val="21"/>
              </w:rPr>
            </w:pPr>
            <w:r>
              <w:rPr>
                <w:rFonts w:hint="eastAsia" w:ascii="宋体" w:hAnsi="宋体" w:eastAsia="宋体" w:cs="Times New Roman"/>
                <w:szCs w:val="21"/>
              </w:rPr>
              <w:t>（2）单元学习任务设计评述</w:t>
            </w:r>
          </w:p>
          <w:p w14:paraId="2D00E8D0">
            <w:pPr>
              <w:jc w:val="left"/>
              <w:rPr>
                <w:rFonts w:hint="eastAsia" w:ascii="宋体" w:hAnsi="宋体" w:eastAsia="宋体" w:cs="Times New Roman"/>
                <w:szCs w:val="21"/>
              </w:rPr>
            </w:pPr>
            <w:r>
              <w:rPr>
                <w:rFonts w:hint="eastAsia" w:ascii="宋体" w:hAnsi="宋体" w:eastAsia="宋体" w:cs="Times New Roman"/>
                <w:szCs w:val="21"/>
              </w:rPr>
              <w:t>（3）单元学习任务设计实践</w:t>
            </w:r>
          </w:p>
        </w:tc>
        <w:tc>
          <w:tcPr>
            <w:tcW w:w="1148" w:type="dxa"/>
            <w:vAlign w:val="center"/>
          </w:tcPr>
          <w:p w14:paraId="16F04BAE">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988" w:type="dxa"/>
            <w:vAlign w:val="center"/>
          </w:tcPr>
          <w:p w14:paraId="1B941D11">
            <w:pPr>
              <w:jc w:val="left"/>
              <w:rPr>
                <w:rFonts w:hint="eastAsia" w:ascii="宋体" w:hAnsi="宋体" w:eastAsia="宋体" w:cs="Times New Roman"/>
                <w:szCs w:val="21"/>
              </w:rPr>
            </w:pPr>
            <w:r>
              <w:rPr>
                <w:rFonts w:hint="eastAsia" w:ascii="宋体" w:hAnsi="宋体" w:eastAsia="宋体" w:cs="Times New Roman"/>
                <w:szCs w:val="21"/>
              </w:rPr>
              <w:t>（1）了解学习任务群和单元学习任务之间的关系，理解学习任务设计的整合性要求。</w:t>
            </w:r>
          </w:p>
          <w:p w14:paraId="1C2BDA43">
            <w:pPr>
              <w:jc w:val="left"/>
              <w:rPr>
                <w:rFonts w:hint="eastAsia" w:ascii="宋体" w:hAnsi="宋体" w:eastAsia="宋体" w:cs="Times New Roman"/>
                <w:szCs w:val="21"/>
              </w:rPr>
            </w:pPr>
            <w:r>
              <w:rPr>
                <w:rFonts w:hint="eastAsia" w:ascii="宋体" w:hAnsi="宋体" w:eastAsia="宋体" w:cs="Times New Roman"/>
                <w:szCs w:val="21"/>
              </w:rPr>
              <w:t>（2）能够进行为单元学习任务设计赋能的单元整体解读。</w:t>
            </w:r>
          </w:p>
          <w:p w14:paraId="596101F2">
            <w:pPr>
              <w:jc w:val="left"/>
              <w:rPr>
                <w:rFonts w:hint="eastAsia" w:ascii="宋体" w:hAnsi="宋体" w:eastAsia="宋体" w:cs="Times New Roman"/>
                <w:szCs w:val="21"/>
              </w:rPr>
            </w:pPr>
            <w:r>
              <w:rPr>
                <w:rFonts w:hint="eastAsia" w:ascii="宋体" w:hAnsi="宋体" w:eastAsia="宋体" w:cs="Times New Roman"/>
                <w:szCs w:val="21"/>
              </w:rPr>
              <w:t>（3）能够依据单元教学目标创设学习情境任务。</w:t>
            </w:r>
          </w:p>
          <w:p w14:paraId="7994974C">
            <w:pPr>
              <w:jc w:val="left"/>
              <w:rPr>
                <w:rFonts w:hint="eastAsia" w:ascii="宋体" w:hAnsi="宋体" w:eastAsia="宋体" w:cs="Times New Roman"/>
                <w:szCs w:val="21"/>
              </w:rPr>
            </w:pPr>
            <w:r>
              <w:rPr>
                <w:rFonts w:hint="eastAsia" w:ascii="宋体" w:hAnsi="宋体" w:eastAsia="宋体" w:cs="Times New Roman"/>
                <w:szCs w:val="21"/>
              </w:rPr>
              <w:t>（4）依据单元学习任务设计基本原则和步骤，设计单元学习任务和评价标准</w:t>
            </w:r>
          </w:p>
        </w:tc>
        <w:tc>
          <w:tcPr>
            <w:tcW w:w="1506" w:type="dxa"/>
            <w:vAlign w:val="center"/>
          </w:tcPr>
          <w:p w14:paraId="547D3E83">
            <w:pPr>
              <w:jc w:val="left"/>
              <w:rPr>
                <w:rFonts w:hint="eastAsia" w:ascii="宋体" w:hAnsi="宋体" w:eastAsia="宋体" w:cs="Times New Roman"/>
                <w:szCs w:val="21"/>
              </w:rPr>
            </w:pPr>
            <w:r>
              <w:rPr>
                <w:rFonts w:hint="eastAsia" w:ascii="宋体" w:hAnsi="宋体" w:eastAsia="宋体" w:cs="Times New Roman"/>
                <w:szCs w:val="21"/>
              </w:rPr>
              <w:t>1.案例分析</w:t>
            </w:r>
          </w:p>
          <w:p w14:paraId="63D403D3">
            <w:pPr>
              <w:jc w:val="left"/>
              <w:rPr>
                <w:rFonts w:hint="eastAsia" w:ascii="宋体" w:hAnsi="宋体" w:eastAsia="宋体" w:cs="Times New Roman"/>
                <w:szCs w:val="21"/>
              </w:rPr>
            </w:pPr>
            <w:r>
              <w:rPr>
                <w:rFonts w:hint="eastAsia" w:ascii="宋体" w:hAnsi="宋体" w:eastAsia="宋体" w:cs="Times New Roman"/>
                <w:szCs w:val="21"/>
              </w:rPr>
              <w:t>2.实践训练</w:t>
            </w:r>
          </w:p>
          <w:p w14:paraId="57A3A67E">
            <w:pPr>
              <w:jc w:val="left"/>
              <w:rPr>
                <w:rFonts w:hint="eastAsia" w:ascii="宋体" w:hAnsi="宋体" w:eastAsia="宋体" w:cs="Times New Roman"/>
                <w:szCs w:val="21"/>
              </w:rPr>
            </w:pPr>
            <w:r>
              <w:rPr>
                <w:rFonts w:hint="eastAsia" w:ascii="宋体" w:hAnsi="宋体" w:eastAsia="宋体" w:cs="Times New Roman"/>
                <w:szCs w:val="21"/>
              </w:rPr>
              <w:t>3.观摩体验</w:t>
            </w:r>
          </w:p>
          <w:p w14:paraId="3C371EBE">
            <w:pPr>
              <w:jc w:val="left"/>
              <w:rPr>
                <w:rFonts w:hint="eastAsia" w:ascii="宋体" w:hAnsi="宋体" w:eastAsia="宋体" w:cs="Times New Roman"/>
                <w:szCs w:val="21"/>
              </w:rPr>
            </w:pPr>
            <w:r>
              <w:rPr>
                <w:rFonts w:hint="eastAsia" w:ascii="宋体" w:hAnsi="宋体" w:eastAsia="宋体" w:cs="Times New Roman"/>
                <w:szCs w:val="21"/>
              </w:rPr>
              <w:t>4.多媒体教学</w:t>
            </w:r>
          </w:p>
        </w:tc>
        <w:tc>
          <w:tcPr>
            <w:tcW w:w="519" w:type="dxa"/>
            <w:vAlign w:val="center"/>
          </w:tcPr>
          <w:p w14:paraId="29A3393D">
            <w:pPr>
              <w:jc w:val="center"/>
              <w:rPr>
                <w:rFonts w:hint="eastAsia" w:ascii="宋体" w:hAnsi="宋体" w:eastAsia="宋体" w:cs="Times New Roman"/>
                <w:szCs w:val="21"/>
              </w:rPr>
            </w:pPr>
          </w:p>
        </w:tc>
      </w:tr>
      <w:tr w14:paraId="2DC0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3" w:type="dxa"/>
            <w:vMerge w:val="continue"/>
            <w:vAlign w:val="center"/>
          </w:tcPr>
          <w:p w14:paraId="6D3A6CD8">
            <w:pPr>
              <w:jc w:val="center"/>
              <w:rPr>
                <w:rFonts w:hint="eastAsia" w:ascii="宋体" w:hAnsi="宋体" w:eastAsia="宋体" w:cs="Times New Roman"/>
                <w:szCs w:val="21"/>
              </w:rPr>
            </w:pPr>
          </w:p>
        </w:tc>
        <w:tc>
          <w:tcPr>
            <w:tcW w:w="8371" w:type="dxa"/>
            <w:gridSpan w:val="5"/>
            <w:vAlign w:val="center"/>
          </w:tcPr>
          <w:p w14:paraId="756E911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引导师范生深刻认识单元整体教学在培养小学生基本道德观念和价值观中的作用，领悟语文核心素养所蕴含的育人价值；形成传承中华优秀传统文化、革命文化、社会主义先进文化的责任意识；立志肩负起民族复兴的时代重任。</w:t>
            </w:r>
          </w:p>
        </w:tc>
      </w:tr>
    </w:tbl>
    <w:p w14:paraId="50FEE7DC">
      <w:pPr>
        <w:spacing w:before="62" w:beforeLines="20" w:after="62" w:afterLines="20" w:line="360" w:lineRule="auto"/>
        <w:jc w:val="left"/>
        <w:rPr>
          <w:rFonts w:ascii="Times New Roman" w:hAnsi="Times New Roman" w:eastAsia="宋体" w:cs="Times New Roman"/>
          <w:b/>
          <w:sz w:val="24"/>
        </w:rPr>
      </w:pPr>
      <w:bookmarkStart w:id="1395" w:name="_Toc18587"/>
      <w:bookmarkStart w:id="1396" w:name="_Toc13012"/>
      <w:bookmarkStart w:id="1397" w:name="_Toc17299"/>
      <w:bookmarkStart w:id="1398" w:name="_Toc21557"/>
      <w:bookmarkStart w:id="1399" w:name="_Toc13400"/>
      <w:bookmarkStart w:id="1400" w:name="_Toc4197"/>
      <w:bookmarkStart w:id="1401" w:name="_Toc31996"/>
      <w:r>
        <w:rPr>
          <w:rFonts w:hint="eastAsia" w:ascii="Times New Roman" w:hAnsi="Times New Roman" w:eastAsia="宋体" w:cs="Times New Roman"/>
          <w:b/>
          <w:sz w:val="24"/>
        </w:rPr>
        <w:t>四、目标评价与成绩评定</w:t>
      </w:r>
      <w:bookmarkEnd w:id="1395"/>
      <w:bookmarkEnd w:id="1396"/>
      <w:bookmarkEnd w:id="1397"/>
      <w:bookmarkEnd w:id="1398"/>
      <w:bookmarkEnd w:id="1399"/>
      <w:bookmarkEnd w:id="1400"/>
      <w:bookmarkEnd w:id="1401"/>
    </w:p>
    <w:p w14:paraId="5E11D0C4">
      <w:pPr>
        <w:spacing w:line="360" w:lineRule="auto"/>
        <w:ind w:firstLine="422" w:firstLineChars="200"/>
        <w:jc w:val="left"/>
        <w:outlineLvl w:val="1"/>
        <w:rPr>
          <w:rFonts w:ascii="Times New Roman" w:hAnsi="Times New Roman" w:eastAsia="宋体" w:cs="Times New Roman"/>
          <w:b/>
          <w:szCs w:val="21"/>
        </w:rPr>
      </w:pPr>
      <w:bookmarkStart w:id="1402" w:name="_Toc16683"/>
      <w:r>
        <w:rPr>
          <w:rFonts w:hint="eastAsia" w:ascii="Times New Roman" w:hAnsi="Times New Roman" w:eastAsia="宋体" w:cs="Times New Roman"/>
          <w:b/>
          <w:szCs w:val="21"/>
        </w:rPr>
        <w:t>（一）课程目标评价方式</w:t>
      </w:r>
      <w:bookmarkEnd w:id="1402"/>
    </w:p>
    <w:p w14:paraId="6C82D3F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290"/>
        <w:gridCol w:w="1379"/>
        <w:gridCol w:w="1333"/>
        <w:gridCol w:w="1500"/>
        <w:gridCol w:w="1615"/>
      </w:tblGrid>
      <w:tr w14:paraId="4C9B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Merge w:val="restart"/>
            <w:vAlign w:val="center"/>
          </w:tcPr>
          <w:p w14:paraId="720B29C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502" w:type="dxa"/>
            <w:gridSpan w:val="4"/>
            <w:vAlign w:val="center"/>
          </w:tcPr>
          <w:p w14:paraId="314EE98C">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615" w:type="dxa"/>
            <w:vMerge w:val="restart"/>
            <w:vAlign w:val="center"/>
          </w:tcPr>
          <w:p w14:paraId="3B627E7F">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46E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Merge w:val="continue"/>
            <w:vAlign w:val="center"/>
          </w:tcPr>
          <w:p w14:paraId="0726BA6C">
            <w:pPr>
              <w:spacing w:line="360" w:lineRule="auto"/>
              <w:jc w:val="center"/>
              <w:rPr>
                <w:rFonts w:hint="eastAsia" w:ascii="宋体" w:hAnsi="宋体" w:eastAsia="宋体" w:cs="Times New Roman"/>
                <w:szCs w:val="21"/>
              </w:rPr>
            </w:pPr>
          </w:p>
        </w:tc>
        <w:tc>
          <w:tcPr>
            <w:tcW w:w="1290" w:type="dxa"/>
            <w:vAlign w:val="center"/>
          </w:tcPr>
          <w:p w14:paraId="73CA8112">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379" w:type="dxa"/>
            <w:vAlign w:val="center"/>
          </w:tcPr>
          <w:p w14:paraId="3AC68673">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333" w:type="dxa"/>
            <w:vAlign w:val="center"/>
          </w:tcPr>
          <w:p w14:paraId="6D20CDCE">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1500" w:type="dxa"/>
            <w:vAlign w:val="center"/>
          </w:tcPr>
          <w:p w14:paraId="1E84447C">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615" w:type="dxa"/>
            <w:vMerge w:val="continue"/>
            <w:vAlign w:val="center"/>
          </w:tcPr>
          <w:p w14:paraId="53440B35">
            <w:pPr>
              <w:spacing w:line="360" w:lineRule="auto"/>
              <w:jc w:val="center"/>
              <w:rPr>
                <w:rFonts w:hint="eastAsia" w:ascii="宋体" w:hAnsi="宋体" w:eastAsia="宋体" w:cs="Times New Roman"/>
                <w:szCs w:val="21"/>
              </w:rPr>
            </w:pPr>
          </w:p>
        </w:tc>
      </w:tr>
      <w:tr w14:paraId="0B40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Align w:val="center"/>
          </w:tcPr>
          <w:p w14:paraId="5B87D2A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290" w:type="dxa"/>
            <w:vAlign w:val="center"/>
          </w:tcPr>
          <w:p w14:paraId="04A9420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79" w:type="dxa"/>
            <w:vAlign w:val="center"/>
          </w:tcPr>
          <w:p w14:paraId="6C57264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3" w:type="dxa"/>
            <w:vAlign w:val="center"/>
          </w:tcPr>
          <w:p w14:paraId="6664C89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00" w:type="dxa"/>
            <w:vAlign w:val="center"/>
          </w:tcPr>
          <w:p w14:paraId="4370FFE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61155A9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42C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Align w:val="center"/>
          </w:tcPr>
          <w:p w14:paraId="3B2BCFA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290" w:type="dxa"/>
            <w:vAlign w:val="center"/>
          </w:tcPr>
          <w:p w14:paraId="1AC9B94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79" w:type="dxa"/>
            <w:vAlign w:val="center"/>
          </w:tcPr>
          <w:p w14:paraId="47D64F9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3" w:type="dxa"/>
            <w:vAlign w:val="center"/>
          </w:tcPr>
          <w:p w14:paraId="03B8D39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00" w:type="dxa"/>
            <w:vAlign w:val="center"/>
          </w:tcPr>
          <w:p w14:paraId="6499F90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01F2A190">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758C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0" w:type="auto"/>
            <w:vAlign w:val="center"/>
          </w:tcPr>
          <w:p w14:paraId="565AD5F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290" w:type="dxa"/>
            <w:vAlign w:val="center"/>
          </w:tcPr>
          <w:p w14:paraId="75CFB4A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79" w:type="dxa"/>
            <w:vAlign w:val="center"/>
          </w:tcPr>
          <w:p w14:paraId="3C526CE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333" w:type="dxa"/>
            <w:vAlign w:val="center"/>
          </w:tcPr>
          <w:p w14:paraId="41285B5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00" w:type="dxa"/>
            <w:vAlign w:val="center"/>
          </w:tcPr>
          <w:p w14:paraId="444503C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15" w:type="dxa"/>
            <w:vAlign w:val="center"/>
          </w:tcPr>
          <w:p w14:paraId="26ADD337">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9DE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0" w:type="auto"/>
            <w:vAlign w:val="center"/>
          </w:tcPr>
          <w:p w14:paraId="2EC166AB">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290" w:type="dxa"/>
            <w:vAlign w:val="center"/>
          </w:tcPr>
          <w:p w14:paraId="4C8C7215">
            <w:pPr>
              <w:spacing w:line="360" w:lineRule="auto"/>
              <w:jc w:val="center"/>
              <w:rPr>
                <w:rFonts w:hint="eastAsia" w:ascii="宋体" w:hAnsi="宋体" w:eastAsia="宋体" w:cs="Times New Roman"/>
                <w:szCs w:val="21"/>
              </w:rPr>
            </w:pPr>
          </w:p>
        </w:tc>
        <w:tc>
          <w:tcPr>
            <w:tcW w:w="1379" w:type="dxa"/>
            <w:vAlign w:val="center"/>
          </w:tcPr>
          <w:p w14:paraId="43015FCD">
            <w:pPr>
              <w:spacing w:line="360" w:lineRule="auto"/>
              <w:jc w:val="center"/>
              <w:rPr>
                <w:rFonts w:hint="eastAsia" w:ascii="宋体" w:hAnsi="宋体" w:eastAsia="宋体" w:cs="Times New Roman"/>
                <w:szCs w:val="21"/>
              </w:rPr>
            </w:pPr>
          </w:p>
        </w:tc>
        <w:tc>
          <w:tcPr>
            <w:tcW w:w="1333" w:type="dxa"/>
            <w:vAlign w:val="center"/>
          </w:tcPr>
          <w:p w14:paraId="26C522F3">
            <w:pPr>
              <w:spacing w:line="360" w:lineRule="auto"/>
              <w:jc w:val="center"/>
              <w:rPr>
                <w:rFonts w:hint="eastAsia" w:ascii="宋体" w:hAnsi="宋体" w:eastAsia="宋体" w:cs="Times New Roman"/>
                <w:szCs w:val="21"/>
              </w:rPr>
            </w:pPr>
          </w:p>
        </w:tc>
        <w:tc>
          <w:tcPr>
            <w:tcW w:w="1500" w:type="dxa"/>
            <w:vAlign w:val="center"/>
          </w:tcPr>
          <w:p w14:paraId="73DA9832">
            <w:pPr>
              <w:spacing w:line="360" w:lineRule="auto"/>
              <w:jc w:val="center"/>
              <w:rPr>
                <w:rFonts w:hint="eastAsia" w:ascii="宋体" w:hAnsi="宋体" w:eastAsia="宋体" w:cs="Times New Roman"/>
                <w:szCs w:val="21"/>
              </w:rPr>
            </w:pPr>
          </w:p>
        </w:tc>
        <w:tc>
          <w:tcPr>
            <w:tcW w:w="1615" w:type="dxa"/>
            <w:vAlign w:val="center"/>
          </w:tcPr>
          <w:p w14:paraId="240DA0CA">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B29E20A">
      <w:pPr>
        <w:spacing w:before="156" w:beforeLines="50" w:line="360" w:lineRule="auto"/>
        <w:ind w:firstLine="422" w:firstLineChars="200"/>
        <w:jc w:val="left"/>
        <w:outlineLvl w:val="1"/>
        <w:rPr>
          <w:rFonts w:ascii="Times New Roman" w:hAnsi="Times New Roman" w:eastAsia="宋体" w:cs="Times New Roman"/>
          <w:b/>
          <w:szCs w:val="21"/>
        </w:rPr>
      </w:pPr>
      <w:bookmarkStart w:id="1403" w:name="_Toc5568"/>
      <w:r>
        <w:rPr>
          <w:rFonts w:hint="eastAsia" w:ascii="Times New Roman" w:hAnsi="Times New Roman" w:eastAsia="宋体" w:cs="Times New Roman"/>
          <w:b/>
          <w:szCs w:val="21"/>
        </w:rPr>
        <w:t>（二）成绩评定细则</w:t>
      </w:r>
      <w:bookmarkEnd w:id="1403"/>
    </w:p>
    <w:p w14:paraId="30D16AE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0CC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D00095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574645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D3A4DE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C55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0B5695">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C055DA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平时作业共5次，包括识字与写字教学设计1篇，阅读教学设计2篇，写话与习作教学设计1篇，单元统整教学设计1篇。</w:t>
            </w:r>
          </w:p>
          <w:p w14:paraId="34E6D37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评分细则：</w:t>
            </w:r>
          </w:p>
          <w:p w14:paraId="164B697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1.教学目标（10分）</w:t>
            </w:r>
          </w:p>
          <w:p w14:paraId="661A40B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（1）明确性（3分）：教学目标明确、具体，符合小学生的实际水平。</w:t>
            </w:r>
          </w:p>
          <w:p w14:paraId="18318CB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（2）全面性（3分）：教学目标指向核心素养的各方面。</w:t>
            </w:r>
          </w:p>
          <w:p w14:paraId="3FEF1E7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（3）可达成性（2分）：教学目标具有可操作性和可测量性，学生能够通过教学活动达成目标。</w:t>
            </w:r>
          </w:p>
          <w:p w14:paraId="5370B5F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（4）相关性（2分）：教学目标与课程标准和教学内容紧密相关。</w:t>
            </w:r>
          </w:p>
          <w:p w14:paraId="26018C7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2.教学方法（20分）</w:t>
            </w:r>
          </w:p>
          <w:p w14:paraId="2475780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创新性（5分）：教学方法新颖，激发学生的学习兴趣。</w:t>
            </w:r>
          </w:p>
          <w:p w14:paraId="4989BDF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多样性（5分）：采用了多种教学方法，如讲授、讨论、合作学习等。</w:t>
            </w:r>
          </w:p>
          <w:p w14:paraId="4449936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适应性（5分）：教学方法适合学生的学习风格和需求。</w:t>
            </w:r>
          </w:p>
          <w:p w14:paraId="55A7EA9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互动性（5分）：教学过程中师生、生生之间有有效的互动。</w:t>
            </w:r>
          </w:p>
          <w:p w14:paraId="25DFBAD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3.教学过程（40分）</w:t>
            </w:r>
          </w:p>
          <w:p w14:paraId="130E7F2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（1）导入（5分）：导入环节是否能够吸引学生注意力，为后续学习做好铺垫。</w:t>
            </w:r>
          </w:p>
          <w:p w14:paraId="2E2FC5F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（2）呈现（10分）：教学内容的呈现清晰、有序，有助于学生理解。</w:t>
            </w:r>
          </w:p>
          <w:p w14:paraId="79CB732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（3）作业（10分）：设计了有效的练习活动，帮助学生巩固和应用所学知识。</w:t>
            </w:r>
          </w:p>
          <w:p w14:paraId="0D0E26E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（4）总结（5分）：课堂总结是否能够概括重点，强化学生的记忆。</w:t>
            </w:r>
          </w:p>
          <w:p w14:paraId="72F7C73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（5）过渡（5分）：教学环节之间的过渡自然流畅，有助于学生思维的连贯性。</w:t>
            </w:r>
          </w:p>
          <w:p w14:paraId="26A315A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（6）时间管理（5分）：教学时间分配合理，确保了每个环节都有足够的时间。</w:t>
            </w:r>
          </w:p>
          <w:p w14:paraId="59834F6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教学评价</w:t>
            </w:r>
            <w:r>
              <w:rPr>
                <w:rFonts w:hint="eastAsia" w:ascii="Times New Roman" w:hAnsi="Times New Roman" w:eastAsia="宋体" w:cs="Times New Roman"/>
                <w:szCs w:val="21"/>
              </w:rPr>
              <w:t>与反思</w:t>
            </w:r>
            <w:r>
              <w:rPr>
                <w:rFonts w:ascii="Times New Roman" w:hAnsi="Times New Roman" w:eastAsia="宋体" w:cs="Times New Roman"/>
                <w:szCs w:val="21"/>
              </w:rPr>
              <w:t>（</w:t>
            </w:r>
            <w:r>
              <w:rPr>
                <w:rFonts w:hint="eastAsia" w:ascii="Times New Roman" w:hAnsi="Times New Roman" w:eastAsia="宋体" w:cs="Times New Roman"/>
                <w:szCs w:val="21"/>
              </w:rPr>
              <w:t>3</w:t>
            </w:r>
            <w:r>
              <w:rPr>
                <w:rFonts w:ascii="Times New Roman" w:hAnsi="Times New Roman" w:eastAsia="宋体" w:cs="Times New Roman"/>
                <w:szCs w:val="21"/>
              </w:rPr>
              <w:t>0分）</w:t>
            </w:r>
          </w:p>
          <w:p w14:paraId="1D8A468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评价方式（5分）：评价方式多样，包括了形成性评价和总结性评价。</w:t>
            </w:r>
          </w:p>
          <w:p w14:paraId="5CBFE17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评价标准（5分）：评价标准明确、公正，能够全面反映学生的学习情况。</w:t>
            </w:r>
          </w:p>
          <w:p w14:paraId="483A405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反馈及时性（5分）：能够及时给予学生反馈，帮助他们了解自己的学习进度和存在的问题。</w:t>
            </w:r>
          </w:p>
          <w:p w14:paraId="7DC331D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评价效果（5分）：评价能够促进学生的学习，有助于学生自我反思和自我改进。</w:t>
            </w:r>
          </w:p>
          <w:p w14:paraId="445B854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反思深度（5分）：能够深入反思教学过程中的得与失。</w:t>
            </w:r>
          </w:p>
          <w:p w14:paraId="0613F68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改进措施（5分）：提出了具体的改进措施，以优化未来的教学。</w:t>
            </w:r>
          </w:p>
        </w:tc>
        <w:tc>
          <w:tcPr>
            <w:tcW w:w="0" w:type="auto"/>
            <w:vAlign w:val="center"/>
          </w:tcPr>
          <w:p w14:paraId="46E5E380">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268C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D24BFC">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1FB9EAC6">
            <w:pPr>
              <w:widowControl/>
              <w:numPr>
                <w:ilvl w:val="0"/>
                <w:numId w:val="38"/>
              </w:num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出勤与准时（20分）</w:t>
            </w:r>
          </w:p>
          <w:p w14:paraId="3A707AE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（1）出勤率（10分）按时上课，无迟到、早退现象，缺勤次数。</w:t>
            </w:r>
          </w:p>
          <w:p w14:paraId="0826F87C">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（2）准时性（10分）能够准时到达教室，准备上课。</w:t>
            </w:r>
          </w:p>
          <w:p w14:paraId="5A17725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2.课堂参与（30分）</w:t>
            </w:r>
          </w:p>
          <w:p w14:paraId="508AE79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（1）积极参与（10分）主动参与课堂讨论，积极回答问题。</w:t>
            </w:r>
          </w:p>
          <w:p w14:paraId="7BE2B60F">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（2）互动交流（10分）与同学和教师有效互动，包括提问、讨论和反馈。</w:t>
            </w:r>
          </w:p>
          <w:p w14:paraId="436F5E7A">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（3）学习态度（10分）在课堂上专注，认真听讲和做笔记。</w:t>
            </w:r>
          </w:p>
          <w:p w14:paraId="2288401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3.理解与应用（20分）</w:t>
            </w:r>
          </w:p>
          <w:p w14:paraId="600EAC8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（1）理解深度（10分）准确理解教学内容，对复杂概念有深刻见解。</w:t>
            </w:r>
          </w:p>
          <w:p w14:paraId="2DFDCDE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（2）应用能力（10分）能够将所学知识应用到实际教学设计中，解决实际问题。</w:t>
            </w:r>
          </w:p>
          <w:p w14:paraId="7CCFD68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4.反思与创新（30分）</w:t>
            </w:r>
          </w:p>
          <w:p w14:paraId="4C64DB5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（1）能够对自己的学习过程和结果进行反思，提出改进意见。（15分）</w:t>
            </w:r>
          </w:p>
          <w:p w14:paraId="543EA52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（2）能够提出创新的教学设计想法，对现有教学方法进行批判性思考。（15分）</w:t>
            </w:r>
          </w:p>
        </w:tc>
        <w:tc>
          <w:tcPr>
            <w:tcW w:w="0" w:type="auto"/>
            <w:vAlign w:val="center"/>
          </w:tcPr>
          <w:p w14:paraId="0252337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294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FF1C3F">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7141" w:type="dxa"/>
            <w:vAlign w:val="center"/>
          </w:tcPr>
          <w:p w14:paraId="34EB93B9">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1.小组研讨教学设计（50分）</w:t>
            </w:r>
          </w:p>
          <w:p w14:paraId="4C8EFD58">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（1）参与度（10分）：在研讨中的积极程度和主动性，包括发言次数和质量、合作与协调能力。</w:t>
            </w:r>
          </w:p>
          <w:p w14:paraId="2499EA58">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（2）问题分析与解决能力（10分）：对问题的理解和分析能力，包括问题理解、论证能力和创新思维。</w:t>
            </w:r>
          </w:p>
          <w:p w14:paraId="3FBFEF7C">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（3）团队合作（10分）：在小组中的角色分工、沟通与协调能力。</w:t>
            </w:r>
          </w:p>
          <w:p w14:paraId="415346C2">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（4）总结与反思（10分）：考察学生对研讨过程的总结和反思能力。</w:t>
            </w:r>
          </w:p>
          <w:p w14:paraId="32CE4ABB">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（5）教学设计创意与实用性（10分）：评价教学设计方案的创新性和在实际教学中的可行性。</w:t>
            </w:r>
          </w:p>
          <w:p w14:paraId="2F15C200">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2.教学设计与实施（50分）</w:t>
            </w:r>
          </w:p>
          <w:p w14:paraId="70C03A36">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（1）</w:t>
            </w:r>
            <w:r>
              <w:rPr>
                <w:rFonts w:ascii="宋体" w:hAnsi="宋体" w:eastAsia="宋体" w:cs="宋体"/>
                <w:kern w:val="0"/>
                <w:szCs w:val="21"/>
                <w:lang w:bidi="ar"/>
              </w:rPr>
              <w:t>根据《义务教育语文课程标准》和小学生</w:t>
            </w:r>
            <w:r>
              <w:rPr>
                <w:rFonts w:hint="eastAsia" w:ascii="宋体" w:hAnsi="宋体" w:eastAsia="宋体" w:cs="宋体"/>
                <w:kern w:val="0"/>
                <w:szCs w:val="21"/>
                <w:lang w:bidi="ar"/>
              </w:rPr>
              <w:t>学情</w:t>
            </w:r>
            <w:r>
              <w:rPr>
                <w:rFonts w:ascii="宋体" w:hAnsi="宋体" w:eastAsia="宋体" w:cs="宋体"/>
                <w:kern w:val="0"/>
                <w:szCs w:val="21"/>
                <w:lang w:bidi="ar"/>
              </w:rPr>
              <w:t>，确定恰当的教学目标（10分）</w:t>
            </w:r>
          </w:p>
          <w:p w14:paraId="19861D02">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（2）</w:t>
            </w:r>
            <w:r>
              <w:rPr>
                <w:rFonts w:ascii="宋体" w:hAnsi="宋体" w:eastAsia="宋体" w:cs="宋体"/>
                <w:kern w:val="0"/>
                <w:szCs w:val="21"/>
                <w:lang w:bidi="ar"/>
              </w:rPr>
              <w:t>选择合适的教学内容和方法，完成教学设计。（10分）</w:t>
            </w:r>
          </w:p>
          <w:p w14:paraId="4913A513">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（3）</w:t>
            </w:r>
            <w:r>
              <w:rPr>
                <w:rFonts w:ascii="宋体" w:hAnsi="宋体" w:eastAsia="宋体" w:cs="宋体"/>
                <w:kern w:val="0"/>
                <w:szCs w:val="21"/>
                <w:lang w:bidi="ar"/>
              </w:rPr>
              <w:t>能够将设计的教学方案有效地实施在课堂上，包括课堂管理、学生互动、教学资源的运用等。（</w:t>
            </w:r>
            <w:r>
              <w:rPr>
                <w:rFonts w:hint="eastAsia" w:ascii="宋体" w:hAnsi="宋体" w:eastAsia="宋体" w:cs="宋体"/>
                <w:kern w:val="0"/>
                <w:szCs w:val="21"/>
                <w:lang w:bidi="ar"/>
              </w:rPr>
              <w:t>3</w:t>
            </w:r>
            <w:r>
              <w:rPr>
                <w:rFonts w:ascii="宋体" w:hAnsi="宋体" w:eastAsia="宋体" w:cs="宋体"/>
                <w:kern w:val="0"/>
                <w:szCs w:val="21"/>
                <w:lang w:bidi="ar"/>
              </w:rPr>
              <w:t>0分）</w:t>
            </w:r>
          </w:p>
        </w:tc>
        <w:tc>
          <w:tcPr>
            <w:tcW w:w="0" w:type="auto"/>
            <w:vAlign w:val="center"/>
          </w:tcPr>
          <w:p w14:paraId="11B0B175">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1B06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80150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7B4336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期末考试为笔试，包括四种题型：简答题、案例分析、论述题、教学设计。以下为试卷评分标准。（具体见每学期试卷评分标准）</w:t>
            </w:r>
          </w:p>
          <w:p w14:paraId="0725635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1.内容准确性：</w:t>
            </w:r>
            <w:r>
              <w:rPr>
                <w:rFonts w:ascii="宋体" w:hAnsi="宋体" w:eastAsia="宋体" w:cs="宋体"/>
                <w:kern w:val="0"/>
                <w:szCs w:val="21"/>
                <w:lang w:bidi="ar"/>
              </w:rPr>
              <w:t>（</w:t>
            </w:r>
            <w:r>
              <w:rPr>
                <w:rFonts w:hint="eastAsia" w:ascii="宋体" w:hAnsi="宋体" w:eastAsia="宋体" w:cs="宋体"/>
                <w:kern w:val="0"/>
                <w:szCs w:val="21"/>
                <w:lang w:bidi="ar"/>
              </w:rPr>
              <w:t>2</w:t>
            </w:r>
            <w:r>
              <w:rPr>
                <w:rFonts w:ascii="宋体" w:hAnsi="宋体" w:eastAsia="宋体" w:cs="宋体"/>
                <w:kern w:val="0"/>
                <w:szCs w:val="21"/>
                <w:lang w:bidi="ar"/>
              </w:rPr>
              <w:t>0分）</w:t>
            </w:r>
          </w:p>
          <w:p w14:paraId="4060E7C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简答题：回答是否准确无误，是否涵盖了问题的关键点。</w:t>
            </w:r>
          </w:p>
          <w:p w14:paraId="60A8C21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案例分析：分析是否准确，是否正确识别和应用相关理论或概念。</w:t>
            </w:r>
          </w:p>
          <w:p w14:paraId="4529DAE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论述题：论点是否准确，论据是否充分且相关。</w:t>
            </w:r>
          </w:p>
          <w:p w14:paraId="71C053E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教学设计：设计是否符合教学理论，是否适合教学目标和学生需求。</w:t>
            </w:r>
          </w:p>
          <w:p w14:paraId="7A60437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2.逻辑性和条理性：（20分）</w:t>
            </w:r>
          </w:p>
          <w:p w14:paraId="5A086DF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简答题：回答是否有逻辑，条理是否清晰。</w:t>
            </w:r>
          </w:p>
          <w:p w14:paraId="106F78D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案例分析：分析是否有条理，论证是否逻辑严密。</w:t>
            </w:r>
          </w:p>
          <w:p w14:paraId="1F7ACCD5">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论述题：论述是否条理清晰，逻辑性强，是否有良好的组织结构。</w:t>
            </w:r>
          </w:p>
          <w:p w14:paraId="4510D83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教学设计：设计是否有逻辑性，步骤是否清晰有序。</w:t>
            </w:r>
          </w:p>
          <w:p w14:paraId="3244028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3.深度和广度：（10分）</w:t>
            </w:r>
          </w:p>
          <w:p w14:paraId="762216F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简答题：是否展现了对问题的深入理解。</w:t>
            </w:r>
          </w:p>
          <w:p w14:paraId="14D7C95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案例分析：是否深入分析案例，是否考虑了多角度或多层次的因素。</w:t>
            </w:r>
          </w:p>
          <w:p w14:paraId="3554C12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论述题：论述是否深入，是否有广度，是否涉及了相关问题的多个方面。</w:t>
            </w:r>
          </w:p>
          <w:p w14:paraId="0F82391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教学设计：设计是否全面，是否考虑了教学的各个方面。</w:t>
            </w:r>
          </w:p>
          <w:p w14:paraId="11D4742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创新性和创造性：</w:t>
            </w:r>
            <w:r>
              <w:rPr>
                <w:rFonts w:hint="eastAsia" w:ascii="Times New Roman" w:hAnsi="Times New Roman" w:eastAsia="宋体" w:cs="Times New Roman"/>
                <w:szCs w:val="21"/>
              </w:rPr>
              <w:t>（10分）</w:t>
            </w:r>
          </w:p>
          <w:p w14:paraId="1E79E03B">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论述题：是否有独到的见解或创新的观点。</w:t>
            </w:r>
          </w:p>
          <w:p w14:paraId="449BF0E7">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教学设计：是否有创新的教学方法或活动设计。</w:t>
            </w:r>
          </w:p>
          <w:p w14:paraId="2D75B3F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5.语言</w:t>
            </w:r>
            <w:r>
              <w:rPr>
                <w:rFonts w:ascii="Times New Roman" w:hAnsi="Times New Roman" w:eastAsia="宋体" w:cs="Times New Roman"/>
                <w:szCs w:val="21"/>
              </w:rPr>
              <w:t>表达：</w:t>
            </w:r>
            <w:r>
              <w:rPr>
                <w:rFonts w:hint="eastAsia" w:ascii="Times New Roman" w:hAnsi="Times New Roman" w:eastAsia="宋体" w:cs="Times New Roman"/>
                <w:szCs w:val="21"/>
              </w:rPr>
              <w:t>（10分）</w:t>
            </w:r>
            <w:r>
              <w:rPr>
                <w:rFonts w:ascii="Times New Roman" w:hAnsi="Times New Roman" w:eastAsia="宋体" w:cs="Times New Roman"/>
                <w:szCs w:val="21"/>
              </w:rPr>
              <w:t>语言是否清晰、准确，是否具有良好的书面表达能力。</w:t>
            </w:r>
          </w:p>
          <w:p w14:paraId="17861A1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教学设计的特定标准</w:t>
            </w:r>
            <w:r>
              <w:rPr>
                <w:rFonts w:hint="eastAsia" w:ascii="Times New Roman" w:hAnsi="Times New Roman" w:eastAsia="宋体" w:cs="Times New Roman"/>
                <w:szCs w:val="21"/>
              </w:rPr>
              <w:t>（因课文具体篇目不同，详见试卷评分标准）（30分）</w:t>
            </w:r>
          </w:p>
        </w:tc>
        <w:tc>
          <w:tcPr>
            <w:tcW w:w="0" w:type="auto"/>
            <w:vAlign w:val="center"/>
          </w:tcPr>
          <w:p w14:paraId="0EA2EA60">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2156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58A733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B73555B">
            <w:pPr>
              <w:jc w:val="left"/>
              <w:rPr>
                <w:rFonts w:ascii="Times New Roman" w:hAnsi="Times New Roman" w:eastAsia="宋体" w:cs="Times New Roman"/>
                <w:szCs w:val="21"/>
              </w:rPr>
            </w:pPr>
          </w:p>
        </w:tc>
        <w:tc>
          <w:tcPr>
            <w:tcW w:w="0" w:type="auto"/>
            <w:vAlign w:val="center"/>
          </w:tcPr>
          <w:p w14:paraId="529E635E">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E2D467B">
      <w:pPr>
        <w:spacing w:line="360" w:lineRule="auto"/>
        <w:ind w:firstLine="422" w:firstLineChars="200"/>
        <w:jc w:val="left"/>
        <w:outlineLvl w:val="1"/>
        <w:rPr>
          <w:rFonts w:hint="eastAsia" w:ascii="宋体" w:hAnsi="宋体" w:eastAsia="宋体" w:cs="Times New Roman"/>
          <w:b/>
          <w:szCs w:val="21"/>
        </w:rPr>
      </w:pPr>
      <w:bookmarkStart w:id="1404" w:name="_Toc8858"/>
      <w:r>
        <w:rPr>
          <w:rFonts w:hint="eastAsia" w:ascii="宋体" w:hAnsi="宋体" w:eastAsia="宋体" w:cs="Times New Roman"/>
          <w:b/>
          <w:szCs w:val="21"/>
        </w:rPr>
        <w:t>（三）课程目标达成度计算方法</w:t>
      </w:r>
      <w:bookmarkEnd w:id="1404"/>
    </w:p>
    <w:p w14:paraId="49F59FE5">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F03EB68">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65" o:spt="75" type="#_x0000_t75" style="height:24.75pt;width:404.65pt;" o:ole="t" filled="f" o:preferrelative="t" stroked="f" coordsize="21600,21600">
            <v:path/>
            <v:fill on="f" focussize="0,0"/>
            <v:stroke on="f" joinstyle="miter"/>
            <v:imagedata r:id="rId12" o:title=""/>
            <o:lock v:ext="edit" aspectratio="t"/>
            <w10:wrap type="none"/>
            <w10:anchorlock/>
          </v:shape>
          <o:OLEObject Type="Embed" ProgID="Equation.3" ShapeID="_x0000_i1065" DrawAspect="Content" ObjectID="_1468075765" r:id="rId53">
            <o:LockedField>false</o:LockedField>
          </o:OLEObject>
        </w:object>
      </w:r>
      <w:bookmarkStart w:id="1405" w:name="_Toc17455"/>
      <w:bookmarkStart w:id="1406" w:name="_Toc11164"/>
      <w:bookmarkStart w:id="1407" w:name="_Toc17070"/>
      <w:bookmarkStart w:id="1408" w:name="_Toc25362"/>
      <w:bookmarkStart w:id="1409" w:name="_Toc22533"/>
      <w:bookmarkStart w:id="1410" w:name="_Toc6023"/>
      <w:bookmarkStart w:id="1411" w:name="_Toc4705"/>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bookmarkEnd w:id="1405"/>
      <w:bookmarkEnd w:id="1406"/>
      <w:bookmarkEnd w:id="1407"/>
      <w:bookmarkEnd w:id="1408"/>
      <w:bookmarkEnd w:id="1409"/>
      <w:bookmarkEnd w:id="1410"/>
      <w:bookmarkEnd w:id="1411"/>
    </w:p>
    <w:p w14:paraId="046ADF1C">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12FDDF0F">
      <w:pPr>
        <w:spacing w:line="276" w:lineRule="auto"/>
        <w:ind w:firstLine="422" w:firstLineChars="200"/>
        <w:jc w:val="center"/>
        <w:rPr>
          <w:rFonts w:hint="eastAsia" w:ascii="宋体" w:hAnsi="宋体" w:eastAsia="宋体" w:cs="宋体"/>
          <w:b/>
          <w:bCs/>
          <w:szCs w:val="21"/>
        </w:rPr>
      </w:pPr>
    </w:p>
    <w:tbl>
      <w:tblPr>
        <w:tblStyle w:val="16"/>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3197"/>
        <w:gridCol w:w="772"/>
        <w:gridCol w:w="3160"/>
      </w:tblGrid>
      <w:tr w14:paraId="7CF8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525" w:type="dxa"/>
            <w:vAlign w:val="center"/>
          </w:tcPr>
          <w:p w14:paraId="30630A88">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197" w:type="dxa"/>
            <w:vAlign w:val="center"/>
          </w:tcPr>
          <w:p w14:paraId="6297D334">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72" w:type="dxa"/>
            <w:vAlign w:val="center"/>
          </w:tcPr>
          <w:p w14:paraId="758E5CE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718E58FD">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7DF2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525" w:type="dxa"/>
            <w:vAlign w:val="center"/>
          </w:tcPr>
          <w:p w14:paraId="6F866CA1">
            <w:pPr>
              <w:spacing w:line="276" w:lineRule="auto"/>
              <w:jc w:val="left"/>
              <w:rPr>
                <w:rFonts w:hint="eastAsia" w:ascii="宋体" w:hAnsi="宋体" w:eastAsia="宋体" w:cs="宋体"/>
                <w:szCs w:val="21"/>
              </w:rPr>
            </w:pPr>
            <w:r>
              <w:rPr>
                <w:rFonts w:hint="eastAsia" w:ascii="宋体" w:hAnsi="宋体" w:eastAsia="宋体" w:cs="宋体"/>
                <w:szCs w:val="21"/>
              </w:rPr>
              <w:t>汉字启蒙：</w:t>
            </w:r>
          </w:p>
          <w:p w14:paraId="130250B5">
            <w:pPr>
              <w:spacing w:line="276" w:lineRule="auto"/>
              <w:jc w:val="left"/>
              <w:rPr>
                <w:rFonts w:hint="eastAsia" w:ascii="宋体" w:hAnsi="宋体" w:eastAsia="宋体" w:cs="宋体"/>
                <w:szCs w:val="21"/>
              </w:rPr>
            </w:pPr>
            <w:r>
              <w:rPr>
                <w:rFonts w:hint="eastAsia" w:ascii="宋体" w:hAnsi="宋体" w:eastAsia="宋体" w:cs="宋体"/>
                <w:szCs w:val="21"/>
              </w:rPr>
              <w:t>名师识字课堂观摩与研讨</w:t>
            </w:r>
          </w:p>
        </w:tc>
        <w:tc>
          <w:tcPr>
            <w:tcW w:w="3197" w:type="dxa"/>
            <w:vAlign w:val="center"/>
          </w:tcPr>
          <w:p w14:paraId="5ADED8BD">
            <w:pPr>
              <w:spacing w:line="276" w:lineRule="auto"/>
              <w:jc w:val="left"/>
              <w:rPr>
                <w:rFonts w:hint="eastAsia" w:ascii="宋体" w:hAnsi="宋体" w:eastAsia="宋体" w:cs="宋体"/>
                <w:szCs w:val="21"/>
              </w:rPr>
            </w:pPr>
            <w:r>
              <w:rPr>
                <w:rFonts w:hint="eastAsia" w:ascii="宋体" w:hAnsi="宋体" w:eastAsia="宋体" w:cs="宋体"/>
                <w:szCs w:val="21"/>
              </w:rPr>
              <w:t>通过课余时间观摩小学语文名师低年段识字课。（推荐许嫣娜、史春妍等名师教学视频）</w:t>
            </w:r>
          </w:p>
        </w:tc>
        <w:tc>
          <w:tcPr>
            <w:tcW w:w="772" w:type="dxa"/>
            <w:vAlign w:val="center"/>
          </w:tcPr>
          <w:p w14:paraId="322DB236">
            <w:pPr>
              <w:spacing w:line="276" w:lineRule="auto"/>
              <w:jc w:val="center"/>
              <w:rPr>
                <w:rFonts w:hint="eastAsia" w:ascii="宋体" w:hAnsi="宋体" w:eastAsia="宋体" w:cs="宋体"/>
                <w:szCs w:val="21"/>
              </w:rPr>
            </w:pPr>
            <w:r>
              <w:rPr>
                <w:rFonts w:hint="eastAsia" w:ascii="宋体" w:hAnsi="宋体" w:eastAsia="宋体" w:cs="宋体"/>
                <w:szCs w:val="21"/>
              </w:rPr>
              <w:t>观摩报告</w:t>
            </w:r>
          </w:p>
        </w:tc>
        <w:tc>
          <w:tcPr>
            <w:tcW w:w="3160" w:type="dxa"/>
            <w:vAlign w:val="center"/>
          </w:tcPr>
          <w:p w14:paraId="1E1A9C82">
            <w:pPr>
              <w:spacing w:line="276" w:lineRule="auto"/>
              <w:jc w:val="left"/>
              <w:rPr>
                <w:rFonts w:hint="eastAsia" w:ascii="宋体" w:hAnsi="宋体" w:eastAsia="宋体" w:cs="宋体"/>
                <w:szCs w:val="21"/>
              </w:rPr>
            </w:pPr>
            <w:r>
              <w:rPr>
                <w:rFonts w:hint="eastAsia" w:ascii="宋体" w:hAnsi="宋体" w:eastAsia="宋体" w:cs="宋体"/>
                <w:szCs w:val="21"/>
              </w:rPr>
              <w:t>通过识字教学案例，了解汉字的演变历程，感受汉字的审美特征，从而培养学生对中华文化的认同感和自豪感。将立德树人自然融入小学语文低年段的识字课堂，提高语文教学素养，播下教育家精神的种子。</w:t>
            </w:r>
          </w:p>
        </w:tc>
      </w:tr>
      <w:tr w14:paraId="2486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25" w:type="dxa"/>
            <w:vAlign w:val="center"/>
          </w:tcPr>
          <w:p w14:paraId="6AA2C734">
            <w:pPr>
              <w:spacing w:line="276" w:lineRule="auto"/>
              <w:jc w:val="left"/>
              <w:rPr>
                <w:rFonts w:hint="eastAsia" w:ascii="宋体" w:hAnsi="宋体" w:eastAsia="宋体" w:cs="Times New Roman"/>
                <w:szCs w:val="21"/>
              </w:rPr>
            </w:pPr>
            <w:r>
              <w:rPr>
                <w:rFonts w:hint="eastAsia" w:ascii="宋体" w:hAnsi="宋体" w:eastAsia="宋体" w:cs="Times New Roman"/>
                <w:szCs w:val="21"/>
              </w:rPr>
              <w:t>文海泛舟：</w:t>
            </w:r>
          </w:p>
          <w:p w14:paraId="01C10FCE">
            <w:pPr>
              <w:spacing w:line="276" w:lineRule="auto"/>
              <w:jc w:val="left"/>
              <w:rPr>
                <w:rFonts w:hint="eastAsia" w:ascii="宋体" w:hAnsi="宋体" w:eastAsia="宋体" w:cs="宋体"/>
                <w:szCs w:val="21"/>
              </w:rPr>
            </w:pPr>
            <w:r>
              <w:rPr>
                <w:rFonts w:hint="eastAsia" w:ascii="宋体" w:hAnsi="宋体" w:eastAsia="宋体" w:cs="Times New Roman"/>
                <w:szCs w:val="21"/>
              </w:rPr>
              <w:t>名师引领下的文体探索之旅</w:t>
            </w:r>
          </w:p>
        </w:tc>
        <w:tc>
          <w:tcPr>
            <w:tcW w:w="3197" w:type="dxa"/>
            <w:vAlign w:val="center"/>
          </w:tcPr>
          <w:p w14:paraId="6687F340">
            <w:pPr>
              <w:adjustRightInd w:val="0"/>
              <w:snapToGrid w:val="0"/>
              <w:spacing w:line="276" w:lineRule="auto"/>
              <w:rPr>
                <w:rFonts w:hint="eastAsia" w:ascii="宋体" w:hAnsi="宋体" w:eastAsia="宋体" w:cs="宋体"/>
                <w:szCs w:val="21"/>
              </w:rPr>
            </w:pPr>
            <w:r>
              <w:rPr>
                <w:rFonts w:hint="eastAsia" w:ascii="宋体" w:hAnsi="宋体" w:eastAsia="宋体" w:cs="宋体"/>
                <w:szCs w:val="21"/>
              </w:rPr>
              <w:t>通过课内实践和课余时间</w:t>
            </w:r>
            <w:r>
              <w:rPr>
                <w:rFonts w:ascii="宋体" w:hAnsi="宋体" w:eastAsia="宋体" w:cs="Times New Roman"/>
                <w:szCs w:val="21"/>
              </w:rPr>
              <w:t>观摩</w:t>
            </w:r>
            <w:r>
              <w:rPr>
                <w:rFonts w:hint="eastAsia" w:ascii="宋体" w:hAnsi="宋体" w:eastAsia="宋体" w:cs="Times New Roman"/>
                <w:szCs w:val="21"/>
              </w:rPr>
              <w:t>名师阅读课，分析叙事文、说明文、诗歌等不同文体教学案例。选择一个文体一篇课文进行课前十分钟模拟教学。</w:t>
            </w:r>
          </w:p>
        </w:tc>
        <w:tc>
          <w:tcPr>
            <w:tcW w:w="772" w:type="dxa"/>
            <w:vAlign w:val="center"/>
          </w:tcPr>
          <w:p w14:paraId="088BDEE8">
            <w:pPr>
              <w:spacing w:line="276" w:lineRule="auto"/>
              <w:jc w:val="center"/>
              <w:rPr>
                <w:rFonts w:hint="eastAsia" w:ascii="宋体" w:hAnsi="宋体" w:eastAsia="宋体" w:cs="宋体"/>
                <w:szCs w:val="21"/>
              </w:rPr>
            </w:pPr>
            <w:r>
              <w:rPr>
                <w:rFonts w:hint="eastAsia" w:ascii="宋体" w:hAnsi="宋体" w:eastAsia="宋体" w:cs="宋体"/>
                <w:szCs w:val="21"/>
              </w:rPr>
              <w:t>模拟教学</w:t>
            </w:r>
          </w:p>
        </w:tc>
        <w:tc>
          <w:tcPr>
            <w:tcW w:w="3160" w:type="dxa"/>
            <w:vAlign w:val="center"/>
          </w:tcPr>
          <w:p w14:paraId="78F33009">
            <w:pPr>
              <w:spacing w:line="276" w:lineRule="auto"/>
              <w:jc w:val="left"/>
              <w:rPr>
                <w:rFonts w:hint="eastAsia" w:ascii="宋体" w:hAnsi="宋体" w:eastAsia="宋体" w:cs="宋体"/>
                <w:szCs w:val="21"/>
              </w:rPr>
            </w:pPr>
            <w:r>
              <w:rPr>
                <w:rFonts w:hint="eastAsia" w:ascii="宋体" w:hAnsi="宋体" w:eastAsia="宋体" w:cs="宋体"/>
                <w:szCs w:val="21"/>
              </w:rPr>
              <w:t>通过不同文体的教学案例，让学生了解和欣赏中华文化的多样性和丰富性，增强对民族文化的自信和传承意识。</w:t>
            </w:r>
          </w:p>
        </w:tc>
      </w:tr>
      <w:tr w14:paraId="5ACD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25" w:type="dxa"/>
            <w:vAlign w:val="center"/>
          </w:tcPr>
          <w:p w14:paraId="628A11AA">
            <w:pPr>
              <w:spacing w:line="276" w:lineRule="auto"/>
              <w:jc w:val="left"/>
              <w:rPr>
                <w:rFonts w:hint="eastAsia" w:ascii="宋体" w:hAnsi="宋体" w:eastAsia="宋体" w:cs="Times New Roman"/>
                <w:szCs w:val="21"/>
              </w:rPr>
            </w:pPr>
            <w:r>
              <w:rPr>
                <w:rFonts w:hint="eastAsia" w:ascii="宋体" w:hAnsi="宋体" w:eastAsia="宋体" w:cs="Times New Roman"/>
                <w:szCs w:val="21"/>
              </w:rPr>
              <w:t>文思泉涌：</w:t>
            </w:r>
          </w:p>
          <w:p w14:paraId="65D4919B">
            <w:pPr>
              <w:spacing w:line="276" w:lineRule="auto"/>
              <w:jc w:val="left"/>
              <w:rPr>
                <w:rFonts w:hint="eastAsia" w:ascii="宋体" w:hAnsi="宋体" w:eastAsia="宋体" w:cs="宋体"/>
                <w:szCs w:val="21"/>
              </w:rPr>
            </w:pPr>
            <w:r>
              <w:rPr>
                <w:rFonts w:hint="eastAsia" w:ascii="宋体" w:hAnsi="宋体" w:eastAsia="宋体" w:cs="Times New Roman"/>
                <w:szCs w:val="21"/>
              </w:rPr>
              <w:t>小学习作教学策略</w:t>
            </w:r>
          </w:p>
        </w:tc>
        <w:tc>
          <w:tcPr>
            <w:tcW w:w="3197" w:type="dxa"/>
            <w:vAlign w:val="center"/>
          </w:tcPr>
          <w:p w14:paraId="26E2C1E6">
            <w:pPr>
              <w:spacing w:line="276" w:lineRule="auto"/>
              <w:jc w:val="left"/>
              <w:rPr>
                <w:rFonts w:hint="eastAsia" w:ascii="宋体" w:hAnsi="宋体" w:eastAsia="宋体" w:cs="宋体"/>
                <w:szCs w:val="21"/>
              </w:rPr>
            </w:pPr>
            <w:r>
              <w:rPr>
                <w:rFonts w:hint="eastAsia" w:ascii="宋体" w:hAnsi="宋体" w:eastAsia="宋体" w:cs="宋体"/>
                <w:szCs w:val="21"/>
              </w:rPr>
              <w:t>通过课内实践和课余时间观摩和研讨写话与习作教学案例，讨论小学写话与习作教学策略。</w:t>
            </w:r>
          </w:p>
        </w:tc>
        <w:tc>
          <w:tcPr>
            <w:tcW w:w="772" w:type="dxa"/>
            <w:vAlign w:val="center"/>
          </w:tcPr>
          <w:p w14:paraId="64355F2E">
            <w:pPr>
              <w:spacing w:line="276" w:lineRule="auto"/>
              <w:jc w:val="center"/>
              <w:rPr>
                <w:rFonts w:hint="eastAsia" w:ascii="宋体" w:hAnsi="宋体" w:eastAsia="宋体" w:cs="宋体"/>
                <w:szCs w:val="21"/>
              </w:rPr>
            </w:pPr>
            <w:r>
              <w:rPr>
                <w:rFonts w:hint="eastAsia" w:ascii="宋体" w:hAnsi="宋体" w:eastAsia="宋体" w:cs="宋体"/>
                <w:szCs w:val="21"/>
              </w:rPr>
              <w:t>案例分析</w:t>
            </w:r>
          </w:p>
        </w:tc>
        <w:tc>
          <w:tcPr>
            <w:tcW w:w="3160" w:type="dxa"/>
            <w:vAlign w:val="center"/>
          </w:tcPr>
          <w:p w14:paraId="6E91649D">
            <w:pPr>
              <w:spacing w:line="276" w:lineRule="auto"/>
              <w:jc w:val="left"/>
              <w:rPr>
                <w:rFonts w:hint="eastAsia" w:ascii="宋体" w:hAnsi="宋体" w:eastAsia="宋体" w:cs="宋体"/>
                <w:szCs w:val="21"/>
              </w:rPr>
            </w:pPr>
            <w:r>
              <w:rPr>
                <w:rFonts w:hint="eastAsia" w:ascii="宋体" w:hAnsi="宋体" w:eastAsia="宋体" w:cs="宋体"/>
                <w:szCs w:val="21"/>
              </w:rPr>
              <w:t>通过写话与习作教学视频观摩，体会表达与交流中表情达意的重要性，以及将正确价值观融入习作教学设计的方法。</w:t>
            </w:r>
          </w:p>
        </w:tc>
      </w:tr>
      <w:tr w14:paraId="6409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525" w:type="dxa"/>
            <w:vAlign w:val="center"/>
          </w:tcPr>
          <w:p w14:paraId="2532B290">
            <w:pPr>
              <w:spacing w:line="276" w:lineRule="auto"/>
              <w:jc w:val="left"/>
              <w:rPr>
                <w:rFonts w:hint="eastAsia" w:ascii="宋体" w:hAnsi="宋体" w:eastAsia="宋体" w:cs="Times New Roman"/>
                <w:szCs w:val="21"/>
              </w:rPr>
            </w:pPr>
            <w:r>
              <w:rPr>
                <w:rFonts w:hint="eastAsia" w:ascii="宋体" w:hAnsi="宋体" w:eastAsia="宋体" w:cs="Times New Roman"/>
                <w:szCs w:val="21"/>
              </w:rPr>
              <w:t>单元统整：</w:t>
            </w:r>
          </w:p>
          <w:p w14:paraId="24F909FE">
            <w:pPr>
              <w:spacing w:line="276" w:lineRule="auto"/>
              <w:jc w:val="left"/>
              <w:rPr>
                <w:rFonts w:hint="eastAsia" w:ascii="宋体" w:hAnsi="宋体" w:eastAsia="宋体" w:cs="Times New Roman"/>
                <w:szCs w:val="21"/>
              </w:rPr>
            </w:pPr>
            <w:r>
              <w:rPr>
                <w:rFonts w:hint="eastAsia" w:ascii="宋体" w:hAnsi="宋体" w:eastAsia="宋体" w:cs="Times New Roman"/>
                <w:szCs w:val="21"/>
              </w:rPr>
              <w:t>学习任务设计</w:t>
            </w:r>
          </w:p>
        </w:tc>
        <w:tc>
          <w:tcPr>
            <w:tcW w:w="3197" w:type="dxa"/>
            <w:vAlign w:val="center"/>
          </w:tcPr>
          <w:p w14:paraId="01011A49">
            <w:pPr>
              <w:spacing w:line="276" w:lineRule="auto"/>
              <w:jc w:val="left"/>
              <w:rPr>
                <w:rFonts w:hint="eastAsia" w:ascii="宋体" w:hAnsi="宋体" w:eastAsia="宋体" w:cs="宋体"/>
                <w:szCs w:val="21"/>
              </w:rPr>
            </w:pPr>
            <w:r>
              <w:rPr>
                <w:rFonts w:hint="eastAsia" w:ascii="宋体" w:hAnsi="宋体" w:eastAsia="宋体" w:cs="宋体"/>
                <w:szCs w:val="21"/>
              </w:rPr>
              <w:t>通过单元统整案例，分析单元教学目标、情景任务、评价标准等的设计方法。</w:t>
            </w:r>
          </w:p>
        </w:tc>
        <w:tc>
          <w:tcPr>
            <w:tcW w:w="772" w:type="dxa"/>
            <w:vAlign w:val="center"/>
          </w:tcPr>
          <w:p w14:paraId="225A2129">
            <w:pPr>
              <w:spacing w:line="276" w:lineRule="auto"/>
              <w:jc w:val="center"/>
              <w:rPr>
                <w:rFonts w:hint="eastAsia" w:ascii="宋体" w:hAnsi="宋体" w:eastAsia="宋体" w:cs="宋体"/>
                <w:szCs w:val="21"/>
              </w:rPr>
            </w:pPr>
            <w:r>
              <w:rPr>
                <w:rFonts w:hint="eastAsia" w:ascii="宋体" w:hAnsi="宋体" w:eastAsia="宋体" w:cs="宋体"/>
                <w:szCs w:val="21"/>
              </w:rPr>
              <w:t>案例分析</w:t>
            </w:r>
          </w:p>
        </w:tc>
        <w:tc>
          <w:tcPr>
            <w:tcW w:w="3160" w:type="dxa"/>
            <w:vAlign w:val="center"/>
          </w:tcPr>
          <w:p w14:paraId="76B6F60A">
            <w:pPr>
              <w:spacing w:line="276" w:lineRule="auto"/>
              <w:jc w:val="left"/>
              <w:rPr>
                <w:rFonts w:hint="eastAsia" w:ascii="宋体" w:hAnsi="宋体" w:eastAsia="宋体" w:cs="宋体"/>
                <w:szCs w:val="21"/>
              </w:rPr>
            </w:pPr>
            <w:r>
              <w:rPr>
                <w:rFonts w:hint="eastAsia" w:ascii="宋体" w:hAnsi="宋体" w:eastAsia="宋体" w:cs="宋体"/>
                <w:szCs w:val="21"/>
              </w:rPr>
              <w:t>明确单元统整教学设计对小学生核心素养培养的作用，初步学习单元育人资源统整的方法。</w:t>
            </w:r>
          </w:p>
        </w:tc>
      </w:tr>
    </w:tbl>
    <w:p w14:paraId="656FCBFA">
      <w:pPr>
        <w:spacing w:before="62" w:beforeLines="20" w:after="62" w:afterLines="20" w:line="360" w:lineRule="auto"/>
        <w:jc w:val="left"/>
        <w:rPr>
          <w:rFonts w:ascii="Times New Roman" w:hAnsi="Times New Roman" w:eastAsia="宋体" w:cs="Times New Roman"/>
          <w:b/>
          <w:sz w:val="24"/>
        </w:rPr>
      </w:pPr>
      <w:bookmarkStart w:id="1412" w:name="_Toc18874"/>
      <w:bookmarkStart w:id="1413" w:name="_Toc19152"/>
      <w:bookmarkStart w:id="1414" w:name="_Toc9340"/>
      <w:bookmarkStart w:id="1415" w:name="_Toc1601"/>
      <w:bookmarkStart w:id="1416" w:name="_Toc2806"/>
      <w:bookmarkStart w:id="1417" w:name="_Toc3890"/>
      <w:bookmarkStart w:id="1418" w:name="_Toc17103"/>
      <w:r>
        <w:rPr>
          <w:rFonts w:hint="eastAsia" w:ascii="Times New Roman" w:hAnsi="Times New Roman" w:eastAsia="宋体" w:cs="Times New Roman"/>
          <w:b/>
          <w:sz w:val="24"/>
        </w:rPr>
        <w:t>六、有关说明</w:t>
      </w:r>
      <w:bookmarkEnd w:id="1412"/>
      <w:bookmarkEnd w:id="1413"/>
      <w:bookmarkEnd w:id="1414"/>
      <w:bookmarkEnd w:id="1415"/>
      <w:bookmarkEnd w:id="1416"/>
      <w:bookmarkEnd w:id="1417"/>
      <w:bookmarkEnd w:id="1418"/>
    </w:p>
    <w:p w14:paraId="0CF12504">
      <w:pPr>
        <w:spacing w:line="312" w:lineRule="auto"/>
        <w:ind w:firstLine="422" w:firstLineChars="200"/>
        <w:jc w:val="left"/>
        <w:outlineLvl w:val="1"/>
        <w:rPr>
          <w:rFonts w:ascii="Times New Roman" w:hAnsi="Times New Roman" w:eastAsia="宋体" w:cs="Times New Roman"/>
          <w:b/>
          <w:szCs w:val="21"/>
        </w:rPr>
      </w:pPr>
      <w:bookmarkStart w:id="1419" w:name="_Toc18001"/>
      <w:r>
        <w:rPr>
          <w:rFonts w:hint="eastAsia" w:ascii="Times New Roman" w:hAnsi="Times New Roman" w:eastAsia="宋体" w:cs="Times New Roman"/>
          <w:b/>
          <w:szCs w:val="21"/>
        </w:rPr>
        <w:t>（一）持续改进</w:t>
      </w:r>
      <w:bookmarkEnd w:id="1419"/>
    </w:p>
    <w:p w14:paraId="1A25D336">
      <w:pPr>
        <w:spacing w:line="312" w:lineRule="auto"/>
        <w:ind w:firstLine="420" w:firstLineChars="200"/>
        <w:jc w:val="left"/>
        <w:rPr>
          <w:rFonts w:hint="eastAsia" w:ascii="宋体" w:hAnsi="宋体" w:eastAsia="宋体" w:cs="宋体"/>
          <w:szCs w:val="21"/>
        </w:rPr>
      </w:pPr>
      <w:r>
        <w:rPr>
          <w:rFonts w:hint="eastAsia" w:ascii="宋体" w:hAnsi="宋体" w:eastAsia="宋体" w:cs="宋体"/>
          <w:szCs w:val="21"/>
        </w:rPr>
        <w:t>本课程根据学生作业、课堂讨论、模拟教学、说课、平时考核情况和学生、教学督导等的反馈，及时对教学中的不足之处进行改进，并在下一轮课程教学中整改完善，确保相应毕业要求指标点达成。</w:t>
      </w:r>
    </w:p>
    <w:p w14:paraId="38248068">
      <w:pPr>
        <w:spacing w:line="312" w:lineRule="auto"/>
        <w:ind w:firstLine="422" w:firstLineChars="200"/>
        <w:jc w:val="left"/>
        <w:outlineLvl w:val="1"/>
        <w:rPr>
          <w:rFonts w:ascii="Times New Roman" w:hAnsi="Times New Roman" w:eastAsia="宋体" w:cs="Times New Roman"/>
          <w:b/>
          <w:szCs w:val="21"/>
        </w:rPr>
      </w:pPr>
      <w:bookmarkStart w:id="1420" w:name="_Toc8752"/>
      <w:r>
        <w:rPr>
          <w:rFonts w:hint="eastAsia" w:ascii="Times New Roman" w:hAnsi="Times New Roman" w:eastAsia="宋体" w:cs="Times New Roman"/>
          <w:b/>
          <w:szCs w:val="21"/>
        </w:rPr>
        <w:t>（二）建议教材</w:t>
      </w:r>
      <w:bookmarkEnd w:id="1420"/>
    </w:p>
    <w:p w14:paraId="6B5EDBB0">
      <w:pPr>
        <w:spacing w:line="312"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1.吴忠豪、丁炜主编.小学语文教学设计.中国人民大学出版社，2023.</w:t>
      </w:r>
    </w:p>
    <w:p w14:paraId="311EDAD6">
      <w:pPr>
        <w:spacing w:line="312" w:lineRule="auto"/>
        <w:ind w:firstLine="422" w:firstLineChars="200"/>
        <w:jc w:val="left"/>
        <w:outlineLvl w:val="1"/>
        <w:rPr>
          <w:rFonts w:ascii="Times New Roman" w:hAnsi="Times New Roman" w:eastAsia="宋体" w:cs="Times New Roman"/>
          <w:b/>
          <w:szCs w:val="21"/>
        </w:rPr>
      </w:pPr>
      <w:bookmarkStart w:id="1421" w:name="_Toc28110"/>
      <w:r>
        <w:rPr>
          <w:rFonts w:hint="eastAsia" w:ascii="Times New Roman" w:hAnsi="Times New Roman" w:eastAsia="宋体" w:cs="Times New Roman"/>
          <w:b/>
          <w:szCs w:val="21"/>
        </w:rPr>
        <w:t>（三）参考书目</w:t>
      </w:r>
      <w:bookmarkEnd w:id="1421"/>
    </w:p>
    <w:p w14:paraId="07BE0CCD">
      <w:pPr>
        <w:spacing w:line="312"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1.夏家发.小学语文教学设计与案例研究.北京：科学出版社，2018.</w:t>
      </w:r>
    </w:p>
    <w:p w14:paraId="20FDCBC6">
      <w:pPr>
        <w:spacing w:line="312" w:lineRule="auto"/>
        <w:ind w:firstLine="420" w:firstLineChars="200"/>
        <w:rPr>
          <w:rFonts w:hint="eastAsia" w:ascii="等线" w:hAnsi="等线" w:eastAsia="等线" w:cs="Times New Roman"/>
          <w:szCs w:val="22"/>
        </w:rPr>
      </w:pPr>
      <w:r>
        <w:rPr>
          <w:rFonts w:hint="eastAsia" w:ascii="Times New Roman" w:hAnsi="Times New Roman" w:eastAsia="宋体" w:cs="Times New Roman"/>
          <w:bCs/>
          <w:szCs w:val="21"/>
        </w:rPr>
        <w:t>2.汪潮.小学语文部编版教材文本解读及学习设计.福山：福建教育出版社，2017.</w:t>
      </w:r>
    </w:p>
    <w:p w14:paraId="437F205B">
      <w:pPr>
        <w:spacing w:line="312" w:lineRule="auto"/>
        <w:ind w:left="5460" w:firstLine="420"/>
        <w:jc w:val="right"/>
        <w:rPr>
          <w:rFonts w:ascii="Times New Roman" w:hAnsi="Times New Roman" w:eastAsia="宋体" w:cs="Times New Roman"/>
          <w:bCs/>
          <w:szCs w:val="21"/>
        </w:rPr>
      </w:pPr>
      <w:r>
        <w:rPr>
          <w:rFonts w:hint="eastAsia" w:ascii="Times New Roman" w:hAnsi="Times New Roman" w:eastAsia="宋体" w:cs="Times New Roman"/>
          <w:bCs/>
          <w:szCs w:val="21"/>
        </w:rPr>
        <w:t>执 笔 人： 周冬梅</w:t>
      </w:r>
    </w:p>
    <w:p w14:paraId="7F090A16">
      <w:pPr>
        <w:spacing w:line="312" w:lineRule="auto"/>
        <w:ind w:left="5460" w:firstLine="420"/>
        <w:jc w:val="right"/>
        <w:rPr>
          <w:rFonts w:ascii="Times New Roman" w:hAnsi="Times New Roman" w:eastAsia="宋体" w:cs="Times New Roman"/>
          <w:bCs/>
          <w:szCs w:val="21"/>
        </w:rPr>
      </w:pPr>
      <w:r>
        <w:rPr>
          <w:rFonts w:hint="eastAsia" w:ascii="Times New Roman" w:hAnsi="Times New Roman" w:eastAsia="宋体" w:cs="Times New Roman"/>
          <w:bCs/>
          <w:szCs w:val="21"/>
        </w:rPr>
        <w:t>审 定 人： 王  健</w:t>
      </w:r>
    </w:p>
    <w:p w14:paraId="18D4F5B1">
      <w:pPr>
        <w:spacing w:line="312" w:lineRule="auto"/>
        <w:ind w:left="5460" w:firstLine="420"/>
        <w:jc w:val="right"/>
        <w:rPr>
          <w:rFonts w:ascii="Times New Roman" w:hAnsi="Times New Roman" w:eastAsia="宋体" w:cs="Times New Roman"/>
          <w:bCs/>
          <w:szCs w:val="21"/>
        </w:rPr>
      </w:pPr>
      <w:r>
        <w:rPr>
          <w:rFonts w:hint="eastAsia" w:ascii="Times New Roman" w:hAnsi="Times New Roman" w:eastAsia="宋体" w:cs="Times New Roman"/>
          <w:bCs/>
          <w:szCs w:val="21"/>
        </w:rPr>
        <w:t>审 批 人： 张志欣</w:t>
      </w:r>
    </w:p>
    <w:p w14:paraId="3CE238FB">
      <w:pPr>
        <w:spacing w:line="312" w:lineRule="auto"/>
        <w:jc w:val="right"/>
        <w:rPr>
          <w:rFonts w:ascii="Times New Roman" w:hAnsi="Times New Roman" w:eastAsia="宋体" w:cs="Times New Roman"/>
          <w:bCs/>
          <w:szCs w:val="21"/>
        </w:rPr>
      </w:pPr>
      <w:r>
        <w:rPr>
          <w:rFonts w:hint="eastAsia" w:ascii="Times New Roman" w:hAnsi="Times New Roman" w:eastAsia="宋体" w:cs="Times New Roman"/>
          <w:bCs/>
          <w:szCs w:val="21"/>
        </w:rPr>
        <w:t>批准时间：2025年7月1日</w:t>
      </w:r>
    </w:p>
    <w:p w14:paraId="4DB0B911">
      <w:pPr>
        <w:spacing w:line="312" w:lineRule="auto"/>
      </w:pPr>
      <w:r>
        <w:rPr>
          <w:rFonts w:hint="eastAsia"/>
        </w:rPr>
        <w:br w:type="page"/>
      </w:r>
    </w:p>
    <w:p w14:paraId="0FB8B0BF">
      <w:pPr>
        <w:spacing w:line="360" w:lineRule="auto"/>
        <w:jc w:val="center"/>
        <w:outlineLvl w:val="0"/>
        <w:rPr>
          <w:rFonts w:ascii="Times New Roman" w:hAnsi="Times New Roman" w:eastAsia="宋体" w:cs="Times New Roman"/>
          <w:b/>
          <w:sz w:val="44"/>
          <w:szCs w:val="44"/>
        </w:rPr>
      </w:pPr>
      <w:bookmarkStart w:id="1422" w:name="_Toc4690"/>
      <w:r>
        <w:rPr>
          <w:rFonts w:hint="eastAsia" w:ascii="Times New Roman" w:hAnsi="Times New Roman" w:eastAsia="宋体" w:cs="Times New Roman"/>
          <w:b/>
          <w:sz w:val="44"/>
          <w:szCs w:val="44"/>
        </w:rPr>
        <w:t>《教师口语与礼仪》课程教学大纲</w:t>
      </w:r>
      <w:bookmarkEnd w:id="1422"/>
    </w:p>
    <w:p w14:paraId="3B61549F">
      <w:pPr>
        <w:spacing w:line="360" w:lineRule="auto"/>
        <w:jc w:val="center"/>
      </w:pPr>
      <w:bookmarkStart w:id="1423" w:name="_Toc14225"/>
      <w:r>
        <w:rPr>
          <w:rFonts w:hint="eastAsia" w:ascii="Times New Roman" w:hAnsi="Times New Roman" w:eastAsia="宋体" w:cs="Times New Roman"/>
          <w:b/>
          <w:bCs/>
          <w:sz w:val="28"/>
          <w:szCs w:val="28"/>
        </w:rPr>
        <w:t>（Teachers' Spoken Language and Etiquette）</w:t>
      </w:r>
      <w:bookmarkEnd w:id="1423"/>
    </w:p>
    <w:p w14:paraId="1FF82B4F">
      <w:pPr>
        <w:spacing w:line="360" w:lineRule="auto"/>
        <w:ind w:firstLine="422" w:firstLineChars="200"/>
        <w:jc w:val="left"/>
        <w:rPr>
          <w:rFonts w:ascii="Times New Roman" w:hAnsi="Times New Roman" w:eastAsia="宋体" w:cs="Times New Roman"/>
          <w:b/>
          <w:szCs w:val="21"/>
        </w:rPr>
      </w:pPr>
    </w:p>
    <w:p w14:paraId="0EA23D7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课程名称：教师口语与礼仪</w:t>
      </w:r>
    </w:p>
    <w:p w14:paraId="011D71FA">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课程代码：2401060</w:t>
      </w:r>
    </w:p>
    <w:p w14:paraId="61AA3293">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分：1</w:t>
      </w:r>
    </w:p>
    <w:p w14:paraId="5963186E">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hint="eastAsia" w:ascii="Times New Roman" w:hAnsi="Times New Roman" w:eastAsia="宋体" w:cs="Times New Roman"/>
          <w:b/>
          <w:kern w:val="0"/>
          <w:sz w:val="24"/>
        </w:rPr>
        <w:t>16</w:t>
      </w:r>
    </w:p>
    <w:p w14:paraId="49AD0FE6">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先修课程：教师职业道德、普通话训练</w:t>
      </w:r>
    </w:p>
    <w:p w14:paraId="0F47BF8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4E8B50C5">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51A66E48">
      <w:pPr>
        <w:autoSpaceDE w:val="0"/>
        <w:autoSpaceDN w:val="0"/>
        <w:adjustRightInd w:val="0"/>
        <w:spacing w:line="360" w:lineRule="auto"/>
        <w:ind w:firstLine="420" w:firstLineChars="200"/>
        <w:jc w:val="left"/>
        <w:rPr>
          <w:rFonts w:ascii="Times New Roman" w:hAnsi="Times New Roman" w:eastAsia="宋体" w:cs="Times New Roman"/>
          <w:szCs w:val="21"/>
        </w:rPr>
      </w:pPr>
      <w:r>
        <w:rPr>
          <w:rFonts w:ascii="宋体" w:hAnsi="宋体" w:eastAsia="宋体" w:cs="宋体"/>
          <w:szCs w:val="21"/>
        </w:rPr>
        <w:t>本课程旨在培养师范生及在职教师的口语表达能力和职业礼仪素养，助力提升教学效果与职业形象。课程内容涵盖教师口语艺术（如普通话训练、课堂语言设计、演讲技巧）和职业礼仪规范（如仪态举止、着装礼仪、师生沟通礼仪等），结合教育心理学与真实教学场景，强化语言感染力与互动能力。通过理论讲解、案例分析、情境模拟及实践训练，学生将掌握清晰、得体、富有魅力的表达方式，塑造专业、亲切的教师形象，为未来教育教学工作奠定坚实基础</w:t>
      </w:r>
      <w:r>
        <w:rPr>
          <w:rFonts w:ascii="宋体" w:hAnsi="宋体" w:eastAsia="宋体" w:cs="宋体"/>
          <w:sz w:val="24"/>
        </w:rPr>
        <w:t>。</w:t>
      </w:r>
    </w:p>
    <w:p w14:paraId="78E19C64">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0239992D">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76B5F5BD">
      <w:pPr>
        <w:spacing w:line="312"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目标1.掌握普通话中的语流音变现象，掌握各种文体的朗读技巧，提高学生的普通话水平、礼仪标准和实际应用能力。</w:t>
      </w:r>
    </w:p>
    <w:p w14:paraId="3DA13BD0">
      <w:pPr>
        <w:spacing w:line="312"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目标2.掌握教师教学口语、礼仪的特点，在课堂练习中正确使用各类教学语言和礼仪标准。</w:t>
      </w:r>
    </w:p>
    <w:p w14:paraId="6D80778C">
      <w:pPr>
        <w:spacing w:line="312"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目标3.熟知教师教育口语和礼仪的基本特点，能针对不同环境、不同对象使用教育语言和行为标准。</w:t>
      </w:r>
    </w:p>
    <w:p w14:paraId="74771FA8">
      <w:pPr>
        <w:spacing w:line="312"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目标4.熟悉教师职业口语、礼仪的特点和类型，提高应变能力。</w:t>
      </w:r>
    </w:p>
    <w:p w14:paraId="19065C28">
      <w:pPr>
        <w:spacing w:before="156" w:beforeLines="50" w:after="156" w:afterLines="50"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3"/>
        <w:gridCol w:w="5373"/>
        <w:gridCol w:w="1191"/>
      </w:tblGrid>
      <w:tr w14:paraId="7E28E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vAlign w:val="center"/>
          </w:tcPr>
          <w:p w14:paraId="240A223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373" w:type="dxa"/>
            <w:vAlign w:val="center"/>
          </w:tcPr>
          <w:p w14:paraId="33CEFD2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6D2C05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ABB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vAlign w:val="center"/>
          </w:tcPr>
          <w:p w14:paraId="0318B900">
            <w:pPr>
              <w:autoSpaceDE w:val="0"/>
              <w:autoSpaceDN w:val="0"/>
              <w:rPr>
                <w:rFonts w:ascii="Times New Roman" w:hAnsi="Times New Roman" w:eastAsia="宋体" w:cs="Times New Roman"/>
                <w:szCs w:val="21"/>
              </w:rPr>
            </w:pPr>
            <w:r>
              <w:rPr>
                <w:rFonts w:hint="eastAsia" w:ascii="宋体" w:hAnsi="宋体" w:cs="宋体"/>
                <w:b/>
                <w:bCs/>
                <w:kern w:val="0"/>
                <w:szCs w:val="21"/>
              </w:rPr>
              <w:t>毕业要求2：</w:t>
            </w:r>
            <w:r>
              <w:rPr>
                <w:rFonts w:hint="eastAsia" w:ascii="宋体" w:hAnsi="宋体" w:cs="宋体"/>
                <w:b/>
                <w:bCs/>
                <w:szCs w:val="21"/>
              </w:rPr>
              <w:t>教育情怀</w:t>
            </w:r>
          </w:p>
        </w:tc>
        <w:tc>
          <w:tcPr>
            <w:tcW w:w="5373" w:type="dxa"/>
            <w:vAlign w:val="center"/>
          </w:tcPr>
          <w:p w14:paraId="667DD7B1">
            <w:pPr>
              <w:spacing w:line="276" w:lineRule="auto"/>
              <w:jc w:val="left"/>
              <w:rPr>
                <w:rFonts w:hint="eastAsia" w:ascii="宋体" w:hAnsi="宋体" w:cs="宋体"/>
                <w:szCs w:val="21"/>
              </w:rPr>
            </w:pPr>
            <w:r>
              <w:rPr>
                <w:rFonts w:hint="eastAsia" w:ascii="宋体" w:hAnsi="宋体" w:cs="宋体"/>
                <w:b/>
                <w:szCs w:val="21"/>
              </w:rPr>
              <w:t>指标点2-3</w:t>
            </w:r>
            <w:r>
              <w:rPr>
                <w:rFonts w:hint="eastAsia" w:ascii="宋体" w:hAnsi="宋体" w:cs="宋体"/>
                <w:szCs w:val="21"/>
              </w:rPr>
              <w:t>：【自身修养良好】具有较好的人文艺术底蕴与科学精神，言行举止符合教师职业标准，情感积极，人格健全，身心健康。</w:t>
            </w:r>
          </w:p>
        </w:tc>
        <w:tc>
          <w:tcPr>
            <w:tcW w:w="1191" w:type="dxa"/>
            <w:vAlign w:val="center"/>
          </w:tcPr>
          <w:p w14:paraId="04C87EF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课程目标1、2、3</w:t>
            </w:r>
          </w:p>
        </w:tc>
      </w:tr>
      <w:tr w14:paraId="3B1D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vAlign w:val="center"/>
          </w:tcPr>
          <w:p w14:paraId="297C60DD">
            <w:pPr>
              <w:autoSpaceDE w:val="0"/>
              <w:autoSpaceDN w:val="0"/>
              <w:rPr>
                <w:rFonts w:hint="eastAsia" w:ascii="宋体" w:hAnsi="宋体" w:cs="宋体"/>
                <w:b/>
                <w:bCs/>
                <w:kern w:val="0"/>
                <w:szCs w:val="21"/>
              </w:rPr>
            </w:pPr>
            <w:r>
              <w:rPr>
                <w:rFonts w:hint="eastAsia" w:ascii="宋体" w:hAnsi="宋体" w:cs="宋体"/>
                <w:b/>
                <w:bCs/>
                <w:szCs w:val="21"/>
              </w:rPr>
              <w:t>毕业要求4：教学能力</w:t>
            </w:r>
          </w:p>
        </w:tc>
        <w:tc>
          <w:tcPr>
            <w:tcW w:w="5373" w:type="dxa"/>
            <w:vAlign w:val="center"/>
          </w:tcPr>
          <w:p w14:paraId="239CBA14">
            <w:pPr>
              <w:spacing w:line="276" w:lineRule="auto"/>
              <w:jc w:val="left"/>
              <w:rPr>
                <w:rFonts w:hint="eastAsia" w:ascii="宋体" w:hAnsi="宋体" w:cs="宋体"/>
                <w:szCs w:val="21"/>
              </w:rPr>
            </w:pPr>
            <w:r>
              <w:rPr>
                <w:rFonts w:hint="eastAsia" w:ascii="宋体" w:hAnsi="宋体" w:cs="宋体"/>
                <w:b/>
                <w:szCs w:val="21"/>
              </w:rPr>
              <w:t>指标点4-3</w:t>
            </w:r>
            <w:r>
              <w:rPr>
                <w:rFonts w:hint="eastAsia" w:ascii="宋体" w:hAnsi="宋体" w:cs="宋体"/>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4E9B692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课程目标2、3、4</w:t>
            </w:r>
          </w:p>
        </w:tc>
      </w:tr>
      <w:tr w14:paraId="12DD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13" w:type="dxa"/>
            <w:vAlign w:val="center"/>
          </w:tcPr>
          <w:p w14:paraId="08ECD2EB">
            <w:pPr>
              <w:autoSpaceDE w:val="0"/>
              <w:autoSpaceDN w:val="0"/>
              <w:rPr>
                <w:rFonts w:hint="eastAsia" w:ascii="宋体" w:hAnsi="宋体" w:cs="宋体"/>
                <w:b/>
                <w:bCs/>
                <w:szCs w:val="21"/>
              </w:rPr>
            </w:pPr>
            <w:r>
              <w:rPr>
                <w:rFonts w:hint="eastAsia" w:ascii="宋体" w:hAnsi="宋体" w:cs="宋体"/>
                <w:b/>
                <w:bCs/>
                <w:kern w:val="0"/>
                <w:szCs w:val="21"/>
              </w:rPr>
              <w:t>毕业要求8：</w:t>
            </w:r>
            <w:r>
              <w:rPr>
                <w:rFonts w:hint="eastAsia" w:ascii="宋体" w:hAnsi="宋体" w:cs="宋体"/>
                <w:b/>
                <w:bCs/>
                <w:szCs w:val="21"/>
              </w:rPr>
              <w:t>沟通合作</w:t>
            </w:r>
          </w:p>
        </w:tc>
        <w:tc>
          <w:tcPr>
            <w:tcW w:w="5373" w:type="dxa"/>
            <w:vAlign w:val="center"/>
          </w:tcPr>
          <w:p w14:paraId="006445DC">
            <w:pPr>
              <w:spacing w:line="276" w:lineRule="auto"/>
              <w:jc w:val="left"/>
              <w:rPr>
                <w:rFonts w:hint="eastAsia" w:ascii="宋体" w:hAnsi="宋体" w:cs="宋体"/>
                <w:szCs w:val="21"/>
              </w:rPr>
            </w:pPr>
            <w:r>
              <w:rPr>
                <w:rFonts w:hint="eastAsia" w:ascii="宋体" w:hAnsi="宋体" w:cs="宋体"/>
                <w:b/>
                <w:szCs w:val="21"/>
              </w:rPr>
              <w:t>指标点8-2</w:t>
            </w:r>
            <w:r>
              <w:rPr>
                <w:rFonts w:hint="eastAsia" w:ascii="宋体" w:hAnsi="宋体" w:cs="宋体"/>
                <w:szCs w:val="21"/>
              </w:rPr>
              <w:t>：【学会沟通交流】掌握人际沟通合作技能与方法，在教育教学实践中，能与学生和家长以及同行、同事、专家进行有效沟通与合作，实现共同发展。</w:t>
            </w:r>
          </w:p>
        </w:tc>
        <w:tc>
          <w:tcPr>
            <w:tcW w:w="1191" w:type="dxa"/>
            <w:vAlign w:val="center"/>
          </w:tcPr>
          <w:p w14:paraId="21D8BD2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课程目标1、2、4</w:t>
            </w:r>
          </w:p>
        </w:tc>
      </w:tr>
    </w:tbl>
    <w:p w14:paraId="48F1F841">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05CDA2CB">
      <w:pPr>
        <w:spacing w:line="360" w:lineRule="auto"/>
        <w:ind w:firstLine="420" w:firstLineChars="200"/>
        <w:jc w:val="left"/>
        <w:rPr>
          <w:rFonts w:hint="eastAsia" w:ascii="宋体" w:hAnsi="宋体" w:eastAsia="宋体" w:cs="Times New Roman"/>
          <w:b/>
          <w:sz w:val="28"/>
          <w:szCs w:val="28"/>
        </w:rPr>
      </w:pPr>
      <w:r>
        <w:rPr>
          <w:rFonts w:ascii="宋体" w:hAnsi="宋体" w:eastAsia="宋体" w:cs="宋体"/>
          <w:szCs w:val="21"/>
        </w:rPr>
        <w:t>课程坚持以立德树人为根本，将思想政治教育贯穿教学全过程，着力培养具有坚定政治立场、高尚师德修养和强烈社会责任感的未来教师。通过规范语言表达和职业礼仪训练，引导学生深刻理解国家通用语言文字的政治意义和文化价值，增强文化自信与民族认同；注重在语言艺术和礼仪规范中渗透"学高为师、身正为范"的师德传统，培养爱岗敬业、关爱学生的职业精神；在沟通技巧训练中强化诚信、尊重、平等的核心价值观，帮助学生树立正确的教育理念；结合真实教学情境的模拟实践，激发学生教育报国的使命担当，培养服务基层、奉献教育的家国情怀。课程致力于实现专业知识传授、教学能力培养与思想政治教育同向同行，为新时代基础教育培养德才兼备的合格师资</w:t>
      </w:r>
      <w:r>
        <w:rPr>
          <w:rFonts w:ascii="宋体" w:hAnsi="宋体" w:eastAsia="宋体" w:cs="宋体"/>
          <w:sz w:val="24"/>
        </w:rPr>
        <w:t>。</w:t>
      </w:r>
    </w:p>
    <w:p w14:paraId="3CEAFCA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2713"/>
        <w:gridCol w:w="1259"/>
        <w:gridCol w:w="2020"/>
        <w:gridCol w:w="1517"/>
        <w:gridCol w:w="438"/>
      </w:tblGrid>
      <w:tr w14:paraId="3385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Align w:val="center"/>
          </w:tcPr>
          <w:p w14:paraId="1DEC0B6F">
            <w:pPr>
              <w:jc w:val="center"/>
              <w:rPr>
                <w:rFonts w:hint="eastAsia" w:ascii="宋体" w:hAnsi="宋体" w:eastAsia="宋体" w:cs="Times New Roman"/>
                <w:b/>
                <w:szCs w:val="21"/>
              </w:rPr>
            </w:pPr>
            <w:r>
              <w:rPr>
                <w:rFonts w:hint="eastAsia" w:ascii="宋体" w:hAnsi="宋体" w:eastAsia="宋体" w:cs="Times New Roman"/>
                <w:b/>
                <w:szCs w:val="21"/>
              </w:rPr>
              <w:t>知识</w:t>
            </w:r>
          </w:p>
          <w:p w14:paraId="037F569A">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713" w:type="dxa"/>
            <w:vAlign w:val="center"/>
          </w:tcPr>
          <w:p w14:paraId="472A0B0A">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59" w:type="dxa"/>
            <w:vAlign w:val="center"/>
          </w:tcPr>
          <w:p w14:paraId="32F66835">
            <w:pPr>
              <w:jc w:val="center"/>
              <w:rPr>
                <w:rFonts w:hint="eastAsia" w:ascii="宋体" w:hAnsi="宋体" w:eastAsia="宋体" w:cs="Times New Roman"/>
                <w:b/>
                <w:szCs w:val="21"/>
              </w:rPr>
            </w:pPr>
            <w:r>
              <w:rPr>
                <w:rFonts w:hint="eastAsia" w:ascii="宋体" w:hAnsi="宋体" w:eastAsia="宋体" w:cs="Times New Roman"/>
                <w:b/>
                <w:szCs w:val="21"/>
              </w:rPr>
              <w:t>对应</w:t>
            </w:r>
          </w:p>
          <w:p w14:paraId="32089079">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020" w:type="dxa"/>
            <w:vAlign w:val="center"/>
          </w:tcPr>
          <w:p w14:paraId="0D9B35EC">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17" w:type="dxa"/>
            <w:vAlign w:val="center"/>
          </w:tcPr>
          <w:p w14:paraId="1670488C">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6C9BE3F8">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7093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27A69C80">
            <w:pPr>
              <w:jc w:val="center"/>
              <w:rPr>
                <w:rFonts w:hint="eastAsia" w:ascii="宋体" w:hAnsi="宋体" w:eastAsia="宋体" w:cs="Times New Roman"/>
                <w:szCs w:val="21"/>
              </w:rPr>
            </w:pPr>
            <w:r>
              <w:rPr>
                <w:rFonts w:hint="eastAsia" w:ascii="Times New Roman" w:hAnsi="Times New Roman" w:eastAsia="宋体" w:cs="Times New Roman"/>
                <w:bCs/>
                <w:szCs w:val="21"/>
              </w:rPr>
              <w:t>1</w:t>
            </w:r>
            <w:r>
              <w:rPr>
                <w:rFonts w:ascii="宋体" w:hAnsi="宋体" w:eastAsia="宋体" w:cs="宋体"/>
                <w:szCs w:val="21"/>
              </w:rPr>
              <w:t>教师口语基础与职业定位</w:t>
            </w:r>
          </w:p>
        </w:tc>
        <w:tc>
          <w:tcPr>
            <w:tcW w:w="2713" w:type="dxa"/>
            <w:vAlign w:val="center"/>
          </w:tcPr>
          <w:p w14:paraId="3DCEA02F">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教师口语的基本特征（教育性、规范性、艺术性）</w:t>
            </w:r>
            <w:r>
              <w:rPr>
                <w:rFonts w:ascii="宋体" w:hAnsi="宋体" w:eastAsia="宋体" w:cs="Times New Roman"/>
                <w:szCs w:val="21"/>
              </w:rPr>
              <w:br w:type="textWrapping"/>
            </w:r>
            <w:r>
              <w:rPr>
                <w:rFonts w:hint="eastAsia" w:ascii="宋体" w:hAnsi="宋体" w:eastAsia="宋体" w:cs="Times New Roman"/>
                <w:szCs w:val="21"/>
              </w:rPr>
              <w:t>（2）</w:t>
            </w:r>
            <w:r>
              <w:rPr>
                <w:rFonts w:ascii="宋体" w:hAnsi="宋体" w:eastAsia="宋体" w:cs="Times New Roman"/>
                <w:szCs w:val="21"/>
              </w:rPr>
              <w:t>普通话正音训练（声韵调难点突破）</w:t>
            </w:r>
            <w:r>
              <w:rPr>
                <w:rFonts w:ascii="宋体" w:hAnsi="宋体" w:eastAsia="宋体" w:cs="Times New Roman"/>
                <w:szCs w:val="21"/>
              </w:rPr>
              <w:br w:type="textWrapping"/>
            </w:r>
            <w:r>
              <w:rPr>
                <w:rFonts w:hint="eastAsia" w:ascii="宋体" w:hAnsi="宋体" w:eastAsia="宋体" w:cs="Times New Roman"/>
                <w:szCs w:val="21"/>
              </w:rPr>
              <w:t>（3）</w:t>
            </w:r>
            <w:r>
              <w:rPr>
                <w:rFonts w:ascii="宋体" w:hAnsi="宋体" w:eastAsia="宋体" w:cs="Times New Roman"/>
                <w:szCs w:val="21"/>
              </w:rPr>
              <w:t>师职业语言的社会责任与思政要求</w:t>
            </w:r>
          </w:p>
        </w:tc>
        <w:tc>
          <w:tcPr>
            <w:tcW w:w="1259" w:type="dxa"/>
            <w:vAlign w:val="center"/>
          </w:tcPr>
          <w:p w14:paraId="3AE40211">
            <w:pPr>
              <w:jc w:val="center"/>
              <w:rPr>
                <w:rFonts w:hint="eastAsia" w:ascii="宋体" w:hAnsi="宋体" w:eastAsia="宋体" w:cs="Times New Roman"/>
                <w:szCs w:val="21"/>
              </w:rPr>
            </w:pPr>
            <w:r>
              <w:rPr>
                <w:rFonts w:ascii="Times New Roman" w:hAnsi="Times New Roman" w:eastAsia="宋体" w:cs="Times New Roman"/>
                <w:szCs w:val="21"/>
              </w:rPr>
              <w:t>课程目标1</w:t>
            </w:r>
            <w:r>
              <w:rPr>
                <w:rFonts w:hint="eastAsia" w:ascii="Times New Roman" w:hAnsi="Times New Roman" w:eastAsia="宋体" w:cs="Times New Roman"/>
                <w:szCs w:val="21"/>
              </w:rPr>
              <w:t>、2、</w:t>
            </w:r>
            <w:r>
              <w:rPr>
                <w:rFonts w:ascii="Times New Roman" w:hAnsi="Times New Roman" w:eastAsia="宋体" w:cs="Times New Roman"/>
                <w:szCs w:val="21"/>
              </w:rPr>
              <w:t>3</w:t>
            </w:r>
          </w:p>
        </w:tc>
        <w:tc>
          <w:tcPr>
            <w:tcW w:w="2020" w:type="dxa"/>
            <w:vAlign w:val="center"/>
          </w:tcPr>
          <w:p w14:paraId="58301B98">
            <w:pPr>
              <w:jc w:val="left"/>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能准确辨析并纠正常见语音错误</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理解教师语言对学生价值观的塑造作用</w:t>
            </w:r>
          </w:p>
        </w:tc>
        <w:tc>
          <w:tcPr>
            <w:tcW w:w="1517" w:type="dxa"/>
            <w:vAlign w:val="center"/>
          </w:tcPr>
          <w:p w14:paraId="489F72C1">
            <w:pPr>
              <w:jc w:val="left"/>
              <w:rPr>
                <w:rFonts w:hint="eastAsia" w:ascii="宋体" w:hAnsi="宋体" w:eastAsia="宋体" w:cs="Times New Roman"/>
                <w:szCs w:val="21"/>
              </w:rPr>
            </w:pPr>
            <w:r>
              <w:rPr>
                <w:rFonts w:hint="eastAsia" w:ascii="宋体" w:hAnsi="宋体" w:eastAsia="宋体" w:cs="Times New Roman"/>
                <w:szCs w:val="21"/>
              </w:rPr>
              <w:t>1.线上学习</w:t>
            </w:r>
          </w:p>
          <w:p w14:paraId="28023C78">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78D67FB6">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57EE6B31">
            <w:pPr>
              <w:jc w:val="center"/>
              <w:rPr>
                <w:rFonts w:hint="eastAsia" w:ascii="宋体" w:hAnsi="宋体" w:eastAsia="宋体" w:cs="Times New Roman"/>
                <w:szCs w:val="21"/>
              </w:rPr>
            </w:pPr>
            <w:r>
              <w:rPr>
                <w:rFonts w:hint="eastAsia" w:ascii="宋体" w:hAnsi="宋体" w:eastAsia="宋体" w:cs="Times New Roman"/>
                <w:szCs w:val="21"/>
              </w:rPr>
              <w:t>2</w:t>
            </w:r>
          </w:p>
        </w:tc>
      </w:tr>
      <w:tr w14:paraId="7F53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56D51F86">
            <w:pPr>
              <w:jc w:val="center"/>
              <w:rPr>
                <w:rFonts w:hint="eastAsia" w:ascii="宋体" w:hAnsi="宋体" w:eastAsia="宋体" w:cs="Times New Roman"/>
                <w:szCs w:val="21"/>
              </w:rPr>
            </w:pPr>
          </w:p>
        </w:tc>
        <w:tc>
          <w:tcPr>
            <w:tcW w:w="7947" w:type="dxa"/>
            <w:gridSpan w:val="5"/>
            <w:vAlign w:val="center"/>
          </w:tcPr>
          <w:p w14:paraId="49272F6C">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532B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30B10A5D">
            <w:pP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宋体" w:hAnsi="宋体" w:eastAsia="宋体" w:cs="宋体"/>
                <w:szCs w:val="21"/>
              </w:rPr>
              <w:t>课堂语言设计与教学感染力</w:t>
            </w:r>
          </w:p>
          <w:p w14:paraId="12E75599">
            <w:pPr>
              <w:jc w:val="center"/>
              <w:rPr>
                <w:rFonts w:hint="eastAsia" w:ascii="宋体" w:hAnsi="宋体" w:eastAsia="宋体" w:cs="Times New Roman"/>
                <w:szCs w:val="21"/>
              </w:rPr>
            </w:pPr>
          </w:p>
        </w:tc>
        <w:tc>
          <w:tcPr>
            <w:tcW w:w="2713" w:type="dxa"/>
            <w:vAlign w:val="center"/>
          </w:tcPr>
          <w:p w14:paraId="4FCB90D1">
            <w:pP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宋体"/>
                <w:szCs w:val="21"/>
              </w:rPr>
              <w:t>教学语言的逻辑结构（导入、讲解、提问、反馈）</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语气、节奏、重音的感染力训练</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课程思政元素的自然融入技巧</w:t>
            </w:r>
          </w:p>
          <w:p w14:paraId="4F7F91A5">
            <w:pPr>
              <w:jc w:val="left"/>
              <w:rPr>
                <w:rFonts w:hint="eastAsia" w:ascii="宋体" w:hAnsi="宋体" w:eastAsia="宋体" w:cs="Times New Roman"/>
                <w:szCs w:val="21"/>
              </w:rPr>
            </w:pPr>
          </w:p>
        </w:tc>
        <w:tc>
          <w:tcPr>
            <w:tcW w:w="1259" w:type="dxa"/>
            <w:vAlign w:val="center"/>
          </w:tcPr>
          <w:p w14:paraId="6C033A1C">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020" w:type="dxa"/>
            <w:vAlign w:val="center"/>
          </w:tcPr>
          <w:p w14:paraId="52D935D6">
            <w:pP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宋体"/>
                <w:szCs w:val="21"/>
              </w:rPr>
              <w:t>能设计符合学段特点的教学语言片段</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掌握通过语言传递正向价值观的方法</w:t>
            </w:r>
          </w:p>
          <w:p w14:paraId="71F341B5">
            <w:pPr>
              <w:jc w:val="left"/>
              <w:rPr>
                <w:rFonts w:hint="eastAsia" w:ascii="宋体" w:hAnsi="宋体" w:eastAsia="宋体" w:cs="Times New Roman"/>
                <w:szCs w:val="21"/>
              </w:rPr>
            </w:pPr>
          </w:p>
        </w:tc>
        <w:tc>
          <w:tcPr>
            <w:tcW w:w="1517" w:type="dxa"/>
            <w:vAlign w:val="center"/>
          </w:tcPr>
          <w:p w14:paraId="1C2CBD55">
            <w:pPr>
              <w:jc w:val="left"/>
              <w:rPr>
                <w:rFonts w:hint="eastAsia" w:ascii="宋体" w:hAnsi="宋体" w:eastAsia="宋体" w:cs="Times New Roman"/>
                <w:szCs w:val="21"/>
              </w:rPr>
            </w:pPr>
            <w:r>
              <w:rPr>
                <w:rFonts w:hint="eastAsia" w:ascii="宋体" w:hAnsi="宋体" w:eastAsia="宋体" w:cs="Times New Roman"/>
                <w:szCs w:val="21"/>
              </w:rPr>
              <w:t>1.线上学习</w:t>
            </w:r>
          </w:p>
          <w:p w14:paraId="7B683407">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67A0DBB0">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2118E58D">
            <w:pPr>
              <w:jc w:val="center"/>
              <w:rPr>
                <w:rFonts w:hint="eastAsia" w:ascii="宋体" w:hAnsi="宋体" w:eastAsia="宋体" w:cs="Times New Roman"/>
                <w:szCs w:val="21"/>
              </w:rPr>
            </w:pPr>
            <w:r>
              <w:rPr>
                <w:rFonts w:hint="eastAsia" w:ascii="宋体" w:hAnsi="宋体" w:eastAsia="宋体" w:cs="Times New Roman"/>
                <w:szCs w:val="21"/>
              </w:rPr>
              <w:t>2</w:t>
            </w:r>
          </w:p>
        </w:tc>
      </w:tr>
      <w:tr w14:paraId="33FB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379CF223">
            <w:pPr>
              <w:jc w:val="center"/>
              <w:rPr>
                <w:rFonts w:hint="eastAsia" w:ascii="宋体" w:hAnsi="宋体" w:eastAsia="宋体" w:cs="Times New Roman"/>
                <w:szCs w:val="21"/>
              </w:rPr>
            </w:pPr>
          </w:p>
        </w:tc>
        <w:tc>
          <w:tcPr>
            <w:tcW w:w="7947" w:type="dxa"/>
            <w:gridSpan w:val="5"/>
            <w:vAlign w:val="center"/>
          </w:tcPr>
          <w:p w14:paraId="1B01ED5A">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1E99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4C66554F">
            <w:pPr>
              <w:rPr>
                <w:rFonts w:ascii="Times New Roman" w:hAnsi="Times New Roman" w:eastAsia="宋体" w:cs="Times New Roman"/>
                <w:b/>
                <w:szCs w:val="21"/>
              </w:rPr>
            </w:pPr>
            <w:r>
              <w:rPr>
                <w:rFonts w:hint="eastAsia" w:ascii="Times New Roman" w:hAnsi="Times New Roman" w:eastAsia="宋体" w:cs="Times New Roman"/>
                <w:bCs/>
                <w:szCs w:val="21"/>
              </w:rPr>
              <w:t>3.</w:t>
            </w:r>
            <w:r>
              <w:rPr>
                <w:rFonts w:ascii="宋体" w:hAnsi="宋体" w:eastAsia="宋体" w:cs="宋体"/>
                <w:szCs w:val="21"/>
              </w:rPr>
              <w:t>师生沟通艺术与教育伦理</w:t>
            </w:r>
          </w:p>
          <w:p w14:paraId="0CE38EFE">
            <w:pPr>
              <w:jc w:val="center"/>
              <w:rPr>
                <w:rFonts w:hint="eastAsia" w:ascii="宋体" w:hAnsi="宋体" w:eastAsia="宋体" w:cs="Times New Roman"/>
                <w:szCs w:val="21"/>
              </w:rPr>
            </w:pPr>
          </w:p>
        </w:tc>
        <w:tc>
          <w:tcPr>
            <w:tcW w:w="2713" w:type="dxa"/>
            <w:vAlign w:val="center"/>
          </w:tcPr>
          <w:p w14:paraId="10F17134">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教育场景下的非暴力沟通（观察-感受-需求-请求）</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批评与表扬的语言策略</w:t>
            </w:r>
            <w:r>
              <w:rPr>
                <w:rFonts w:hint="eastAsia" w:ascii="宋体" w:hAnsi="宋体" w:eastAsia="宋体" w:cs="宋体"/>
                <w:szCs w:val="21"/>
              </w:rPr>
              <w:t>。</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特殊学生群体的沟通禁忌（如留守儿童、特殊儿童）</w:t>
            </w:r>
          </w:p>
        </w:tc>
        <w:tc>
          <w:tcPr>
            <w:tcW w:w="1259" w:type="dxa"/>
            <w:vAlign w:val="center"/>
          </w:tcPr>
          <w:p w14:paraId="1990A3F2">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020" w:type="dxa"/>
            <w:vAlign w:val="center"/>
          </w:tcPr>
          <w:p w14:paraId="5CEE3C66">
            <w:pPr>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能运用尊重、平等的语言解决师生矛盾案例</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形成保护学生心理健康的沟通意识</w:t>
            </w:r>
          </w:p>
        </w:tc>
        <w:tc>
          <w:tcPr>
            <w:tcW w:w="1517" w:type="dxa"/>
            <w:vAlign w:val="center"/>
          </w:tcPr>
          <w:p w14:paraId="3A900BD1">
            <w:pPr>
              <w:jc w:val="left"/>
              <w:rPr>
                <w:rFonts w:hint="eastAsia" w:ascii="宋体" w:hAnsi="宋体" w:eastAsia="宋体" w:cs="Times New Roman"/>
                <w:szCs w:val="21"/>
              </w:rPr>
            </w:pPr>
            <w:r>
              <w:rPr>
                <w:rFonts w:ascii="宋体" w:hAnsi="宋体" w:eastAsia="宋体" w:cs="Times New Roman"/>
                <w:szCs w:val="21"/>
              </w:rPr>
              <w:t>1.线上学习</w:t>
            </w:r>
          </w:p>
          <w:p w14:paraId="432226F2">
            <w:pPr>
              <w:jc w:val="left"/>
              <w:rPr>
                <w:rFonts w:hint="eastAsia" w:ascii="宋体" w:hAnsi="宋体" w:eastAsia="宋体" w:cs="Times New Roman"/>
                <w:szCs w:val="21"/>
              </w:rPr>
            </w:pPr>
            <w:r>
              <w:rPr>
                <w:rFonts w:ascii="宋体" w:hAnsi="宋体" w:eastAsia="宋体" w:cs="Times New Roman"/>
                <w:szCs w:val="21"/>
              </w:rPr>
              <w:t>2.多媒体教学3.课堂讨论</w:t>
            </w:r>
          </w:p>
          <w:p w14:paraId="103CD979">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096FBC58">
            <w:pPr>
              <w:jc w:val="center"/>
              <w:rPr>
                <w:rFonts w:hint="eastAsia" w:ascii="宋体" w:hAnsi="宋体" w:eastAsia="宋体" w:cs="Times New Roman"/>
                <w:szCs w:val="21"/>
              </w:rPr>
            </w:pPr>
            <w:r>
              <w:rPr>
                <w:rFonts w:hint="eastAsia" w:ascii="宋体" w:hAnsi="宋体" w:eastAsia="宋体" w:cs="Times New Roman"/>
                <w:szCs w:val="21"/>
              </w:rPr>
              <w:t>2</w:t>
            </w:r>
          </w:p>
        </w:tc>
      </w:tr>
      <w:tr w14:paraId="5F9A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76E32CE4">
            <w:pPr>
              <w:jc w:val="center"/>
              <w:rPr>
                <w:rFonts w:hint="eastAsia" w:ascii="宋体" w:hAnsi="宋体" w:eastAsia="宋体" w:cs="Times New Roman"/>
                <w:szCs w:val="21"/>
              </w:rPr>
            </w:pPr>
          </w:p>
        </w:tc>
        <w:tc>
          <w:tcPr>
            <w:tcW w:w="7947" w:type="dxa"/>
            <w:gridSpan w:val="5"/>
            <w:vAlign w:val="center"/>
          </w:tcPr>
          <w:p w14:paraId="043E283C">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1F87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38D39847">
            <w:pPr>
              <w:rPr>
                <w:rFonts w:ascii="Times New Roman" w:hAnsi="Times New Roman" w:eastAsia="宋体" w:cs="Times New Roman"/>
                <w:bCs/>
                <w:szCs w:val="21"/>
              </w:rPr>
            </w:pPr>
            <w:r>
              <w:rPr>
                <w:rFonts w:hint="eastAsia" w:ascii="Times New Roman" w:hAnsi="Times New Roman" w:eastAsia="宋体" w:cs="Times New Roman"/>
                <w:bCs/>
                <w:szCs w:val="21"/>
              </w:rPr>
              <w:t>4.</w:t>
            </w:r>
            <w:r>
              <w:rPr>
                <w:rFonts w:ascii="宋体" w:hAnsi="宋体" w:eastAsia="宋体" w:cs="宋体"/>
                <w:szCs w:val="21"/>
              </w:rPr>
              <w:t>教师仪态礼仪与职业形象</w:t>
            </w:r>
          </w:p>
          <w:p w14:paraId="2885ABE5">
            <w:pPr>
              <w:jc w:val="center"/>
              <w:rPr>
                <w:rFonts w:hint="eastAsia" w:ascii="宋体" w:hAnsi="宋体" w:eastAsia="宋体" w:cs="Times New Roman"/>
                <w:szCs w:val="21"/>
              </w:rPr>
            </w:pPr>
          </w:p>
        </w:tc>
        <w:tc>
          <w:tcPr>
            <w:tcW w:w="2713" w:type="dxa"/>
            <w:vAlign w:val="center"/>
          </w:tcPr>
          <w:p w14:paraId="2B202A56">
            <w:pPr>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教师着装TPO原则（时间、场合、身份）</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站姿、手势、眼神的得体运用</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线上线下教学场景的仪态差异</w:t>
            </w:r>
          </w:p>
        </w:tc>
        <w:tc>
          <w:tcPr>
            <w:tcW w:w="1259" w:type="dxa"/>
            <w:vAlign w:val="center"/>
          </w:tcPr>
          <w:p w14:paraId="0C04FD49">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020" w:type="dxa"/>
            <w:vAlign w:val="center"/>
          </w:tcPr>
          <w:p w14:paraId="36759D68">
            <w:pPr>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能根据教学场景选择恰当的着装与仪态</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通过微格教学视频完成仪态自评与改进</w:t>
            </w:r>
          </w:p>
        </w:tc>
        <w:tc>
          <w:tcPr>
            <w:tcW w:w="1517" w:type="dxa"/>
            <w:vAlign w:val="center"/>
          </w:tcPr>
          <w:p w14:paraId="592467FC">
            <w:pPr>
              <w:jc w:val="left"/>
              <w:rPr>
                <w:rFonts w:hint="eastAsia" w:ascii="宋体" w:hAnsi="宋体" w:eastAsia="宋体" w:cs="Times New Roman"/>
                <w:szCs w:val="21"/>
              </w:rPr>
            </w:pPr>
            <w:r>
              <w:rPr>
                <w:rFonts w:ascii="宋体" w:hAnsi="宋体" w:eastAsia="宋体" w:cs="Times New Roman"/>
                <w:szCs w:val="21"/>
              </w:rPr>
              <w:t>1.线上学习</w:t>
            </w:r>
          </w:p>
          <w:p w14:paraId="64B61A24">
            <w:pPr>
              <w:jc w:val="left"/>
              <w:rPr>
                <w:rFonts w:hint="eastAsia" w:ascii="宋体" w:hAnsi="宋体" w:eastAsia="宋体" w:cs="Times New Roman"/>
                <w:szCs w:val="21"/>
              </w:rPr>
            </w:pPr>
            <w:r>
              <w:rPr>
                <w:rFonts w:ascii="宋体" w:hAnsi="宋体" w:eastAsia="宋体" w:cs="Times New Roman"/>
                <w:szCs w:val="21"/>
              </w:rPr>
              <w:t>2.多媒体教学3.课堂讨论</w:t>
            </w:r>
          </w:p>
          <w:p w14:paraId="3915D0FD">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14FF41B2">
            <w:pPr>
              <w:jc w:val="center"/>
              <w:rPr>
                <w:rFonts w:hint="eastAsia" w:ascii="宋体" w:hAnsi="宋体" w:eastAsia="宋体" w:cs="Times New Roman"/>
                <w:szCs w:val="21"/>
              </w:rPr>
            </w:pPr>
            <w:r>
              <w:rPr>
                <w:rFonts w:hint="eastAsia" w:ascii="宋体" w:hAnsi="宋体" w:eastAsia="宋体" w:cs="Times New Roman"/>
                <w:szCs w:val="21"/>
              </w:rPr>
              <w:t>2</w:t>
            </w:r>
          </w:p>
        </w:tc>
      </w:tr>
      <w:tr w14:paraId="1A0F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3F185EF9">
            <w:pPr>
              <w:jc w:val="center"/>
              <w:rPr>
                <w:rFonts w:hint="eastAsia" w:ascii="宋体" w:hAnsi="宋体" w:eastAsia="宋体" w:cs="Times New Roman"/>
                <w:szCs w:val="21"/>
              </w:rPr>
            </w:pPr>
          </w:p>
        </w:tc>
        <w:tc>
          <w:tcPr>
            <w:tcW w:w="7947" w:type="dxa"/>
            <w:gridSpan w:val="5"/>
            <w:vAlign w:val="center"/>
          </w:tcPr>
          <w:p w14:paraId="25005D7C">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3602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5378814D">
            <w:pPr>
              <w:rPr>
                <w:rFonts w:ascii="Times New Roman" w:hAnsi="Times New Roman" w:eastAsia="宋体" w:cs="Times New Roman"/>
                <w:bCs/>
                <w:szCs w:val="21"/>
              </w:rPr>
            </w:pPr>
            <w:r>
              <w:rPr>
                <w:rFonts w:hint="eastAsia" w:ascii="Times New Roman" w:hAnsi="Times New Roman" w:eastAsia="宋体" w:cs="Times New Roman"/>
                <w:bCs/>
                <w:szCs w:val="21"/>
              </w:rPr>
              <w:t>5.</w:t>
            </w:r>
            <w:r>
              <w:rPr>
                <w:rFonts w:ascii="宋体" w:hAnsi="宋体" w:eastAsia="宋体" w:cs="宋体"/>
                <w:szCs w:val="21"/>
              </w:rPr>
              <w:t>校园礼仪与师德践行</w:t>
            </w:r>
          </w:p>
          <w:p w14:paraId="510550C5">
            <w:pPr>
              <w:jc w:val="center"/>
              <w:rPr>
                <w:rFonts w:hint="eastAsia" w:ascii="宋体" w:hAnsi="宋体" w:eastAsia="宋体" w:cs="Times New Roman"/>
                <w:szCs w:val="21"/>
              </w:rPr>
            </w:pPr>
          </w:p>
        </w:tc>
        <w:tc>
          <w:tcPr>
            <w:tcW w:w="2713" w:type="dxa"/>
            <w:vAlign w:val="center"/>
          </w:tcPr>
          <w:p w14:paraId="53F881B0">
            <w:pPr>
              <w:jc w:val="left"/>
              <w:rPr>
                <w:rFonts w:hint="eastAsia" w:ascii="宋体" w:hAnsi="宋体" w:eastAsia="宋体" w:cs="Times New Roman"/>
                <w:szCs w:val="21"/>
              </w:rPr>
            </w:pPr>
            <w:r>
              <w:rPr>
                <w:rFonts w:hint="eastAsia" w:ascii="宋体" w:hAnsi="宋体" w:eastAsia="宋体" w:cs="宋体"/>
                <w:szCs w:val="21"/>
              </w:rPr>
              <w:t>（1）</w:t>
            </w:r>
            <w:r>
              <w:rPr>
                <w:rFonts w:ascii="宋体" w:hAnsi="宋体" w:eastAsia="宋体" w:cs="宋体"/>
                <w:szCs w:val="21"/>
              </w:rPr>
              <w:t>师生/同事/家长交往礼仪（称呼、握手、座位等）</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教研活动、家长会等场景的礼仪规范</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礼仪背后的师德内涵（尊重、包容、专业性）</w:t>
            </w:r>
          </w:p>
        </w:tc>
        <w:tc>
          <w:tcPr>
            <w:tcW w:w="1259" w:type="dxa"/>
            <w:vAlign w:val="center"/>
          </w:tcPr>
          <w:p w14:paraId="7F941AE5">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020" w:type="dxa"/>
            <w:vAlign w:val="center"/>
          </w:tcPr>
          <w:p w14:paraId="6FD8BAD9">
            <w:pP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宋体"/>
                <w:szCs w:val="21"/>
              </w:rPr>
              <w:t>能规范完成校园常见礼仪流程演示</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理解礼仪行为对教育关系的促进作用 </w:t>
            </w:r>
          </w:p>
          <w:p w14:paraId="68851A2E">
            <w:pPr>
              <w:jc w:val="left"/>
              <w:rPr>
                <w:rFonts w:hint="eastAsia" w:ascii="宋体" w:hAnsi="宋体" w:eastAsia="宋体" w:cs="Times New Roman"/>
                <w:szCs w:val="21"/>
              </w:rPr>
            </w:pPr>
          </w:p>
        </w:tc>
        <w:tc>
          <w:tcPr>
            <w:tcW w:w="1517" w:type="dxa"/>
            <w:vAlign w:val="center"/>
          </w:tcPr>
          <w:p w14:paraId="554A4095">
            <w:pPr>
              <w:jc w:val="left"/>
              <w:rPr>
                <w:rFonts w:hint="eastAsia" w:ascii="宋体" w:hAnsi="宋体" w:eastAsia="宋体" w:cs="Times New Roman"/>
                <w:szCs w:val="21"/>
              </w:rPr>
            </w:pPr>
            <w:r>
              <w:rPr>
                <w:rFonts w:ascii="宋体" w:hAnsi="宋体" w:eastAsia="宋体" w:cs="Times New Roman"/>
                <w:szCs w:val="21"/>
              </w:rPr>
              <w:t>1.线上学习</w:t>
            </w:r>
          </w:p>
          <w:p w14:paraId="1C9C8739">
            <w:pPr>
              <w:jc w:val="left"/>
              <w:rPr>
                <w:rFonts w:hint="eastAsia" w:ascii="宋体" w:hAnsi="宋体" w:eastAsia="宋体" w:cs="Times New Roman"/>
                <w:szCs w:val="21"/>
              </w:rPr>
            </w:pPr>
            <w:r>
              <w:rPr>
                <w:rFonts w:ascii="宋体" w:hAnsi="宋体" w:eastAsia="宋体" w:cs="Times New Roman"/>
                <w:szCs w:val="21"/>
              </w:rPr>
              <w:t>2.多媒体教学3.课堂讨论</w:t>
            </w:r>
          </w:p>
          <w:p w14:paraId="3BFC492F">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589061BF">
            <w:pPr>
              <w:jc w:val="center"/>
              <w:rPr>
                <w:rFonts w:hint="eastAsia" w:ascii="宋体" w:hAnsi="宋体" w:eastAsia="宋体" w:cs="Times New Roman"/>
                <w:szCs w:val="21"/>
              </w:rPr>
            </w:pPr>
            <w:r>
              <w:rPr>
                <w:rFonts w:hint="eastAsia" w:ascii="宋体" w:hAnsi="宋体" w:eastAsia="宋体" w:cs="Times New Roman"/>
                <w:szCs w:val="21"/>
              </w:rPr>
              <w:t>2</w:t>
            </w:r>
          </w:p>
        </w:tc>
      </w:tr>
      <w:tr w14:paraId="589C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21046185">
            <w:pPr>
              <w:jc w:val="center"/>
              <w:rPr>
                <w:rFonts w:hint="eastAsia" w:ascii="宋体" w:hAnsi="宋体" w:eastAsia="宋体" w:cs="Times New Roman"/>
                <w:szCs w:val="21"/>
              </w:rPr>
            </w:pPr>
          </w:p>
        </w:tc>
        <w:tc>
          <w:tcPr>
            <w:tcW w:w="7947" w:type="dxa"/>
            <w:gridSpan w:val="5"/>
            <w:vAlign w:val="center"/>
          </w:tcPr>
          <w:p w14:paraId="401DF712">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40E6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7C575DD5">
            <w:pPr>
              <w:rPr>
                <w:rFonts w:ascii="Times New Roman" w:hAnsi="Times New Roman" w:eastAsia="宋体" w:cs="Times New Roman"/>
                <w:bCs/>
                <w:szCs w:val="21"/>
              </w:rPr>
            </w:pPr>
            <w:r>
              <w:rPr>
                <w:rFonts w:hint="eastAsia" w:ascii="Times New Roman" w:hAnsi="Times New Roman" w:eastAsia="宋体" w:cs="Times New Roman"/>
                <w:bCs/>
                <w:szCs w:val="21"/>
              </w:rPr>
              <w:t>6.</w:t>
            </w:r>
            <w:r>
              <w:rPr>
                <w:rFonts w:ascii="宋体" w:hAnsi="宋体" w:eastAsia="宋体" w:cs="宋体"/>
                <w:szCs w:val="21"/>
              </w:rPr>
              <w:t>演讲表达与思政宣讲能力</w:t>
            </w:r>
          </w:p>
          <w:p w14:paraId="3EB7AF43">
            <w:pPr>
              <w:jc w:val="center"/>
              <w:rPr>
                <w:rFonts w:hint="eastAsia" w:ascii="宋体" w:hAnsi="宋体" w:eastAsia="宋体" w:cs="Times New Roman"/>
                <w:szCs w:val="21"/>
              </w:rPr>
            </w:pPr>
          </w:p>
        </w:tc>
        <w:tc>
          <w:tcPr>
            <w:tcW w:w="2713" w:type="dxa"/>
            <w:vAlign w:val="center"/>
          </w:tcPr>
          <w:p w14:paraId="27CB72FC">
            <w:pPr>
              <w:rPr>
                <w:rFonts w:ascii="Times New Roman" w:hAnsi="Times New Roman" w:eastAsia="宋体" w:cs="Times New Roman"/>
                <w:szCs w:val="21"/>
              </w:rPr>
            </w:pPr>
            <w:r>
              <w:rPr>
                <w:rFonts w:hint="eastAsia" w:ascii="宋体" w:hAnsi="宋体" w:eastAsia="宋体" w:cs="宋体"/>
                <w:szCs w:val="21"/>
              </w:rPr>
              <w:t>(1)</w:t>
            </w:r>
            <w:r>
              <w:rPr>
                <w:rFonts w:ascii="宋体" w:hAnsi="宋体" w:eastAsia="宋体" w:cs="宋体"/>
                <w:szCs w:val="21"/>
              </w:rPr>
              <w:t>教育主题演讲结构设计（故事化、数据化、共鸣点）</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国旗下的讲话、主题班会等场景演练</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将政策语言转化为学生易懂的表达</w:t>
            </w:r>
          </w:p>
          <w:p w14:paraId="4306F8A0">
            <w:pPr>
              <w:jc w:val="left"/>
              <w:rPr>
                <w:rFonts w:hint="eastAsia" w:ascii="宋体" w:hAnsi="宋体" w:eastAsia="宋体" w:cs="Times New Roman"/>
                <w:szCs w:val="21"/>
              </w:rPr>
            </w:pPr>
          </w:p>
        </w:tc>
        <w:tc>
          <w:tcPr>
            <w:tcW w:w="1259" w:type="dxa"/>
            <w:vAlign w:val="center"/>
          </w:tcPr>
          <w:p w14:paraId="7D7CEC1C">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020" w:type="dxa"/>
            <w:vAlign w:val="center"/>
          </w:tcPr>
          <w:p w14:paraId="3C7AF425">
            <w:pPr>
              <w:rPr>
                <w:rFonts w:ascii="Times New Roman" w:hAnsi="Times New Roman" w:eastAsia="宋体" w:cs="Times New Roman"/>
                <w:szCs w:val="21"/>
              </w:rPr>
            </w:pPr>
            <w:r>
              <w:rPr>
                <w:rFonts w:ascii="Times New Roman" w:hAnsi="Times New Roman" w:eastAsia="宋体" w:cs="Times New Roman"/>
                <w:szCs w:val="21"/>
              </w:rPr>
              <w:t>（1）</w:t>
            </w:r>
            <w:r>
              <w:rPr>
                <w:rFonts w:ascii="宋体" w:hAnsi="宋体" w:eastAsia="宋体" w:cs="宋体"/>
                <w:szCs w:val="21"/>
              </w:rPr>
              <w:t>能完成5分钟具有思政教育意义的即兴演讲</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掌握面向青少年的政治话语转化技巧  </w:t>
            </w:r>
          </w:p>
          <w:p w14:paraId="53F50096">
            <w:pPr>
              <w:jc w:val="left"/>
              <w:rPr>
                <w:rFonts w:hint="eastAsia" w:ascii="宋体" w:hAnsi="宋体" w:eastAsia="宋体" w:cs="Times New Roman"/>
                <w:szCs w:val="21"/>
              </w:rPr>
            </w:pPr>
          </w:p>
        </w:tc>
        <w:tc>
          <w:tcPr>
            <w:tcW w:w="1517" w:type="dxa"/>
            <w:vAlign w:val="center"/>
          </w:tcPr>
          <w:p w14:paraId="79246FD4">
            <w:pPr>
              <w:jc w:val="left"/>
              <w:rPr>
                <w:rFonts w:hint="eastAsia" w:ascii="宋体" w:hAnsi="宋体" w:eastAsia="宋体" w:cs="Times New Roman"/>
                <w:szCs w:val="21"/>
              </w:rPr>
            </w:pPr>
            <w:r>
              <w:rPr>
                <w:rFonts w:ascii="宋体" w:hAnsi="宋体" w:eastAsia="宋体" w:cs="Times New Roman"/>
                <w:szCs w:val="21"/>
              </w:rPr>
              <w:t>1.线上学习</w:t>
            </w:r>
          </w:p>
          <w:p w14:paraId="05E30318">
            <w:pPr>
              <w:jc w:val="left"/>
              <w:rPr>
                <w:rFonts w:hint="eastAsia" w:ascii="宋体" w:hAnsi="宋体" w:eastAsia="宋体" w:cs="Times New Roman"/>
                <w:szCs w:val="21"/>
              </w:rPr>
            </w:pPr>
            <w:r>
              <w:rPr>
                <w:rFonts w:ascii="宋体" w:hAnsi="宋体" w:eastAsia="宋体" w:cs="Times New Roman"/>
                <w:szCs w:val="21"/>
              </w:rPr>
              <w:t>2.多媒体教学3.课堂讨论</w:t>
            </w:r>
          </w:p>
          <w:p w14:paraId="70FA528F">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4E3E238C">
            <w:pPr>
              <w:jc w:val="center"/>
              <w:rPr>
                <w:rFonts w:hint="eastAsia" w:ascii="宋体" w:hAnsi="宋体" w:eastAsia="宋体" w:cs="Times New Roman"/>
                <w:szCs w:val="21"/>
              </w:rPr>
            </w:pPr>
            <w:r>
              <w:rPr>
                <w:rFonts w:hint="eastAsia" w:ascii="宋体" w:hAnsi="宋体" w:eastAsia="宋体" w:cs="Times New Roman"/>
                <w:szCs w:val="21"/>
              </w:rPr>
              <w:t>2</w:t>
            </w:r>
          </w:p>
        </w:tc>
      </w:tr>
      <w:tr w14:paraId="2B50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6698AE8F">
            <w:pPr>
              <w:jc w:val="center"/>
              <w:rPr>
                <w:rFonts w:hint="eastAsia" w:ascii="宋体" w:hAnsi="宋体" w:eastAsia="宋体" w:cs="Times New Roman"/>
                <w:szCs w:val="21"/>
              </w:rPr>
            </w:pPr>
          </w:p>
        </w:tc>
        <w:tc>
          <w:tcPr>
            <w:tcW w:w="7947" w:type="dxa"/>
            <w:gridSpan w:val="5"/>
            <w:vAlign w:val="center"/>
          </w:tcPr>
          <w:p w14:paraId="0A6DA49B">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248F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49DAB5D7">
            <w:pPr>
              <w:rPr>
                <w:rFonts w:ascii="Times New Roman" w:hAnsi="Times New Roman" w:eastAsia="宋体" w:cs="Times New Roman"/>
                <w:bCs/>
                <w:szCs w:val="21"/>
              </w:rPr>
            </w:pPr>
            <w:r>
              <w:rPr>
                <w:rFonts w:hint="eastAsia" w:ascii="Times New Roman" w:hAnsi="Times New Roman" w:eastAsia="宋体" w:cs="Times New Roman"/>
                <w:bCs/>
                <w:szCs w:val="21"/>
              </w:rPr>
              <w:t>7.</w:t>
            </w:r>
            <w:r>
              <w:rPr>
                <w:rFonts w:ascii="宋体" w:hAnsi="宋体" w:eastAsia="宋体" w:cs="宋体"/>
                <w:szCs w:val="21"/>
              </w:rPr>
              <w:t>求职面试语言与职业发展</w:t>
            </w:r>
          </w:p>
          <w:p w14:paraId="667EC994">
            <w:pPr>
              <w:jc w:val="center"/>
              <w:rPr>
                <w:rFonts w:hint="eastAsia" w:ascii="宋体" w:hAnsi="宋体" w:eastAsia="宋体" w:cs="Times New Roman"/>
                <w:szCs w:val="21"/>
              </w:rPr>
            </w:pPr>
          </w:p>
        </w:tc>
        <w:tc>
          <w:tcPr>
            <w:tcW w:w="2713" w:type="dxa"/>
            <w:vAlign w:val="center"/>
          </w:tcPr>
          <w:p w14:paraId="29080FC1">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教师招聘面试常见题型解析</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结构化回答技巧（STAR法则运用）</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职业发展规划的语言表达 </w:t>
            </w:r>
          </w:p>
        </w:tc>
        <w:tc>
          <w:tcPr>
            <w:tcW w:w="1259" w:type="dxa"/>
            <w:vAlign w:val="center"/>
          </w:tcPr>
          <w:p w14:paraId="3551228D">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020" w:type="dxa"/>
            <w:vAlign w:val="center"/>
          </w:tcPr>
          <w:p w14:paraId="04A740FC">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能流畅应对模拟教师招聘面试</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清晰表达个人教育理念与职业追求 </w:t>
            </w:r>
          </w:p>
        </w:tc>
        <w:tc>
          <w:tcPr>
            <w:tcW w:w="1517" w:type="dxa"/>
            <w:vAlign w:val="center"/>
          </w:tcPr>
          <w:p w14:paraId="1F74BB25">
            <w:pPr>
              <w:jc w:val="left"/>
              <w:rPr>
                <w:rFonts w:hint="eastAsia" w:ascii="宋体" w:hAnsi="宋体" w:eastAsia="宋体" w:cs="Times New Roman"/>
                <w:szCs w:val="21"/>
              </w:rPr>
            </w:pPr>
            <w:r>
              <w:rPr>
                <w:rFonts w:ascii="宋体" w:hAnsi="宋体" w:eastAsia="宋体" w:cs="Times New Roman"/>
                <w:szCs w:val="21"/>
              </w:rPr>
              <w:t>1.线上学习</w:t>
            </w:r>
          </w:p>
          <w:p w14:paraId="5C3C4BBD">
            <w:pPr>
              <w:jc w:val="left"/>
              <w:rPr>
                <w:rFonts w:hint="eastAsia" w:ascii="宋体" w:hAnsi="宋体" w:eastAsia="宋体" w:cs="Times New Roman"/>
                <w:szCs w:val="21"/>
              </w:rPr>
            </w:pPr>
            <w:r>
              <w:rPr>
                <w:rFonts w:ascii="宋体" w:hAnsi="宋体" w:eastAsia="宋体" w:cs="Times New Roman"/>
                <w:szCs w:val="21"/>
              </w:rPr>
              <w:t>2.多媒体教学3.课堂讨论</w:t>
            </w:r>
          </w:p>
          <w:p w14:paraId="10326E93">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79C8B9DE">
            <w:pPr>
              <w:jc w:val="center"/>
              <w:rPr>
                <w:rFonts w:hint="eastAsia" w:ascii="宋体" w:hAnsi="宋体" w:eastAsia="宋体" w:cs="Times New Roman"/>
                <w:szCs w:val="21"/>
              </w:rPr>
            </w:pPr>
            <w:r>
              <w:rPr>
                <w:rFonts w:hint="eastAsia" w:ascii="宋体" w:hAnsi="宋体" w:eastAsia="宋体" w:cs="Times New Roman"/>
                <w:szCs w:val="21"/>
              </w:rPr>
              <w:t>2</w:t>
            </w:r>
          </w:p>
        </w:tc>
      </w:tr>
      <w:tr w14:paraId="68E9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2CDE2D91">
            <w:pPr>
              <w:jc w:val="center"/>
              <w:rPr>
                <w:rFonts w:hint="eastAsia" w:ascii="宋体" w:hAnsi="宋体" w:eastAsia="宋体" w:cs="Times New Roman"/>
                <w:szCs w:val="21"/>
              </w:rPr>
            </w:pPr>
          </w:p>
        </w:tc>
        <w:tc>
          <w:tcPr>
            <w:tcW w:w="7947" w:type="dxa"/>
            <w:gridSpan w:val="5"/>
            <w:vAlign w:val="center"/>
          </w:tcPr>
          <w:p w14:paraId="6286D011">
            <w:pPr>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38AB4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restart"/>
            <w:vAlign w:val="center"/>
          </w:tcPr>
          <w:p w14:paraId="4E82EE7C">
            <w:pPr>
              <w:rPr>
                <w:rFonts w:ascii="Times New Roman" w:hAnsi="Times New Roman" w:eastAsia="宋体" w:cs="Times New Roman"/>
                <w:b/>
                <w:szCs w:val="21"/>
              </w:rPr>
            </w:pPr>
            <w:r>
              <w:rPr>
                <w:rFonts w:hint="eastAsia" w:ascii="Times New Roman" w:hAnsi="Times New Roman" w:eastAsia="宋体" w:cs="Times New Roman"/>
                <w:bCs/>
                <w:szCs w:val="21"/>
              </w:rPr>
              <w:t>8.</w:t>
            </w:r>
            <w:r>
              <w:rPr>
                <w:rFonts w:ascii="宋体" w:hAnsi="宋体" w:eastAsia="宋体" w:cs="宋体"/>
                <w:szCs w:val="21"/>
              </w:rPr>
              <w:t>综合实训与课程思政总结</w:t>
            </w:r>
          </w:p>
          <w:p w14:paraId="1003DF7F">
            <w:pPr>
              <w:jc w:val="center"/>
              <w:rPr>
                <w:rFonts w:hint="eastAsia" w:ascii="宋体" w:hAnsi="宋体" w:eastAsia="宋体" w:cs="Times New Roman"/>
                <w:szCs w:val="21"/>
              </w:rPr>
            </w:pPr>
          </w:p>
        </w:tc>
        <w:tc>
          <w:tcPr>
            <w:tcW w:w="2713" w:type="dxa"/>
            <w:vAlign w:val="center"/>
          </w:tcPr>
          <w:p w14:paraId="7FA1B372">
            <w:pPr>
              <w:rPr>
                <w:rFonts w:ascii="Times New Roman" w:hAnsi="Times New Roman" w:eastAsia="宋体" w:cs="Times New Roman"/>
                <w:szCs w:val="21"/>
              </w:rPr>
            </w:pPr>
            <w:r>
              <w:rPr>
                <w:rFonts w:ascii="Times New Roman" w:hAnsi="Times New Roman" w:eastAsia="宋体" w:cs="Times New Roman"/>
                <w:szCs w:val="21"/>
              </w:rPr>
              <w:t>（1）能够简单使用Lingo</w:t>
            </w:r>
          </w:p>
          <w:p w14:paraId="796E11F9">
            <w:pPr>
              <w:rPr>
                <w:rFonts w:ascii="Times New Roman" w:hAnsi="Times New Roman" w:eastAsia="宋体" w:cs="Times New Roman"/>
                <w:szCs w:val="21"/>
              </w:rPr>
            </w:pPr>
            <w:r>
              <w:rPr>
                <w:rFonts w:ascii="Times New Roman" w:hAnsi="Times New Roman" w:eastAsia="宋体" w:cs="Times New Roman"/>
                <w:szCs w:val="21"/>
              </w:rPr>
              <w:t>（2）能够简单使用Mathematica</w:t>
            </w:r>
          </w:p>
          <w:p w14:paraId="0EB47D83">
            <w:pPr>
              <w:rPr>
                <w:rFonts w:ascii="Times New Roman" w:hAnsi="Times New Roman" w:eastAsia="宋体" w:cs="Times New Roman"/>
                <w:szCs w:val="21"/>
              </w:rPr>
            </w:pPr>
            <w:r>
              <w:rPr>
                <w:rFonts w:ascii="Times New Roman" w:hAnsi="Times New Roman" w:eastAsia="宋体" w:cs="Times New Roman"/>
                <w:szCs w:val="21"/>
              </w:rPr>
              <w:t>（3）能够简单使用Matlab</w:t>
            </w:r>
          </w:p>
          <w:p w14:paraId="3D3FCE67">
            <w:pPr>
              <w:jc w:val="left"/>
              <w:rPr>
                <w:rFonts w:hint="eastAsia" w:ascii="宋体" w:hAnsi="宋体" w:eastAsia="宋体" w:cs="Times New Roman"/>
                <w:szCs w:val="21"/>
              </w:rPr>
            </w:pPr>
          </w:p>
        </w:tc>
        <w:tc>
          <w:tcPr>
            <w:tcW w:w="1259" w:type="dxa"/>
            <w:vAlign w:val="center"/>
          </w:tcPr>
          <w:p w14:paraId="53DE07A7">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020" w:type="dxa"/>
            <w:vAlign w:val="center"/>
          </w:tcPr>
          <w:p w14:paraId="07D88164">
            <w:pPr>
              <w:rPr>
                <w:rFonts w:hint="eastAsia" w:ascii="宋体" w:hAnsi="宋体" w:eastAsia="宋体" w:cs="Times New Roman"/>
                <w:szCs w:val="21"/>
              </w:rPr>
            </w:pPr>
            <w:r>
              <w:rPr>
                <w:rFonts w:ascii="Times New Roman" w:hAnsi="Times New Roman" w:eastAsia="宋体" w:cs="Times New Roman"/>
                <w:szCs w:val="21"/>
              </w:rPr>
              <w:t>（1）</w:t>
            </w:r>
            <w:r>
              <w:rPr>
                <w:rFonts w:ascii="宋体" w:hAnsi="宋体" w:eastAsia="宋体" w:cs="宋体"/>
                <w:szCs w:val="21"/>
              </w:rPr>
              <w:t>微课展示（融合语言表达、礼仪、思政元素）</w:t>
            </w:r>
            <w:r>
              <w:rPr>
                <w:rFonts w:ascii="宋体" w:hAnsi="宋体" w:eastAsia="宋体" w:cs="宋体"/>
                <w:szCs w:val="21"/>
              </w:rPr>
              <w:br w:type="textWrapping"/>
            </w:r>
            <w:r>
              <w:rPr>
                <w:rFonts w:hint="eastAsia" w:ascii="宋体" w:hAnsi="宋体" w:eastAsia="宋体" w:cs="宋体"/>
                <w:szCs w:val="21"/>
              </w:rPr>
              <w:t>（2）</w:t>
            </w:r>
            <w:r>
              <w:rPr>
                <w:rFonts w:ascii="宋体" w:hAnsi="宋体" w:eastAsia="宋体" w:cs="宋体"/>
                <w:szCs w:val="21"/>
              </w:rPr>
              <w:t>教育热点事件中的语言与礼仪案例分析</w:t>
            </w:r>
            <w:r>
              <w:rPr>
                <w:rFonts w:ascii="宋体" w:hAnsi="宋体" w:eastAsia="宋体" w:cs="宋体"/>
                <w:szCs w:val="21"/>
              </w:rPr>
              <w:br w:type="textWrapping"/>
            </w:r>
            <w:r>
              <w:rPr>
                <w:rFonts w:hint="eastAsia" w:ascii="宋体" w:hAnsi="宋体" w:eastAsia="宋体" w:cs="宋体"/>
                <w:szCs w:val="21"/>
              </w:rPr>
              <w:t>（3）</w:t>
            </w:r>
            <w:r>
              <w:rPr>
                <w:rFonts w:ascii="宋体" w:hAnsi="宋体" w:eastAsia="宋体" w:cs="宋体"/>
                <w:szCs w:val="21"/>
              </w:rPr>
              <w:t>教师职业认同感提升研讨</w:t>
            </w:r>
          </w:p>
        </w:tc>
        <w:tc>
          <w:tcPr>
            <w:tcW w:w="1517" w:type="dxa"/>
            <w:vAlign w:val="center"/>
          </w:tcPr>
          <w:p w14:paraId="17E88623">
            <w:pPr>
              <w:jc w:val="left"/>
              <w:rPr>
                <w:rFonts w:hint="eastAsia" w:ascii="宋体" w:hAnsi="宋体" w:eastAsia="宋体" w:cs="Times New Roman"/>
                <w:szCs w:val="21"/>
              </w:rPr>
            </w:pPr>
            <w:r>
              <w:rPr>
                <w:rFonts w:ascii="宋体" w:hAnsi="宋体" w:eastAsia="宋体" w:cs="Times New Roman"/>
                <w:szCs w:val="21"/>
              </w:rPr>
              <w:t>1.线上学习</w:t>
            </w:r>
          </w:p>
          <w:p w14:paraId="4E6EB804">
            <w:pPr>
              <w:jc w:val="left"/>
              <w:rPr>
                <w:rFonts w:hint="eastAsia" w:ascii="宋体" w:hAnsi="宋体" w:eastAsia="宋体" w:cs="Times New Roman"/>
                <w:szCs w:val="21"/>
              </w:rPr>
            </w:pPr>
            <w:r>
              <w:rPr>
                <w:rFonts w:ascii="宋体" w:hAnsi="宋体" w:eastAsia="宋体" w:cs="Times New Roman"/>
                <w:szCs w:val="21"/>
              </w:rPr>
              <w:t>2.多媒体教学3.课堂讨论</w:t>
            </w:r>
          </w:p>
          <w:p w14:paraId="0896605A">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0BFB0995">
            <w:pPr>
              <w:jc w:val="center"/>
              <w:rPr>
                <w:rFonts w:hint="eastAsia" w:ascii="宋体" w:hAnsi="宋体" w:eastAsia="宋体" w:cs="Times New Roman"/>
                <w:szCs w:val="21"/>
              </w:rPr>
            </w:pPr>
            <w:r>
              <w:rPr>
                <w:rFonts w:hint="eastAsia" w:ascii="宋体" w:hAnsi="宋体" w:eastAsia="宋体" w:cs="Times New Roman"/>
                <w:szCs w:val="21"/>
              </w:rPr>
              <w:t>2</w:t>
            </w:r>
          </w:p>
        </w:tc>
      </w:tr>
      <w:tr w14:paraId="6004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1" w:type="dxa"/>
            <w:vMerge w:val="continue"/>
            <w:vAlign w:val="center"/>
          </w:tcPr>
          <w:p w14:paraId="1D84550B">
            <w:pPr>
              <w:jc w:val="center"/>
              <w:rPr>
                <w:rFonts w:hint="eastAsia" w:ascii="宋体" w:hAnsi="宋体" w:eastAsia="宋体" w:cs="Times New Roman"/>
                <w:szCs w:val="21"/>
              </w:rPr>
            </w:pPr>
          </w:p>
        </w:tc>
        <w:tc>
          <w:tcPr>
            <w:tcW w:w="7947" w:type="dxa"/>
            <w:gridSpan w:val="5"/>
            <w:vAlign w:val="center"/>
          </w:tcPr>
          <w:p w14:paraId="78BF5A9D">
            <w:pPr>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bl>
    <w:p w14:paraId="1B6B3E0D">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7C382ED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2690DA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2894"/>
        <w:gridCol w:w="2435"/>
        <w:gridCol w:w="1907"/>
      </w:tblGrid>
      <w:tr w14:paraId="04C3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restart"/>
            <w:vAlign w:val="center"/>
          </w:tcPr>
          <w:p w14:paraId="633E622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108" w:type="dxa"/>
            <w:gridSpan w:val="2"/>
            <w:vAlign w:val="center"/>
          </w:tcPr>
          <w:p w14:paraId="6B48C790">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828" w:type="dxa"/>
            <w:vMerge w:val="restart"/>
            <w:vAlign w:val="center"/>
          </w:tcPr>
          <w:p w14:paraId="621CC523">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1B2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continue"/>
            <w:vAlign w:val="center"/>
          </w:tcPr>
          <w:p w14:paraId="6631C5DF">
            <w:pPr>
              <w:spacing w:line="360" w:lineRule="auto"/>
              <w:jc w:val="center"/>
              <w:rPr>
                <w:rFonts w:hint="eastAsia" w:ascii="宋体" w:hAnsi="宋体" w:eastAsia="宋体" w:cs="Times New Roman"/>
                <w:szCs w:val="21"/>
              </w:rPr>
            </w:pPr>
          </w:p>
        </w:tc>
        <w:tc>
          <w:tcPr>
            <w:tcW w:w="2774" w:type="dxa"/>
            <w:vAlign w:val="center"/>
          </w:tcPr>
          <w:p w14:paraId="1E80DBB3">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2334" w:type="dxa"/>
            <w:vAlign w:val="center"/>
          </w:tcPr>
          <w:p w14:paraId="507913C7">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828" w:type="dxa"/>
            <w:vMerge w:val="continue"/>
            <w:vAlign w:val="center"/>
          </w:tcPr>
          <w:p w14:paraId="4FF8AA82">
            <w:pPr>
              <w:spacing w:line="360" w:lineRule="auto"/>
              <w:jc w:val="center"/>
              <w:rPr>
                <w:rFonts w:hint="eastAsia" w:ascii="宋体" w:hAnsi="宋体" w:eastAsia="宋体" w:cs="Times New Roman"/>
                <w:szCs w:val="21"/>
              </w:rPr>
            </w:pPr>
          </w:p>
        </w:tc>
      </w:tr>
      <w:tr w14:paraId="7C9C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7ACF3A7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774" w:type="dxa"/>
            <w:vAlign w:val="center"/>
          </w:tcPr>
          <w:p w14:paraId="7B026A86">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2334" w:type="dxa"/>
            <w:vAlign w:val="center"/>
          </w:tcPr>
          <w:p w14:paraId="26BD9696">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828" w:type="dxa"/>
            <w:vAlign w:val="center"/>
          </w:tcPr>
          <w:p w14:paraId="5246AE5D">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7E2F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0B1CE71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2774" w:type="dxa"/>
            <w:vAlign w:val="center"/>
          </w:tcPr>
          <w:p w14:paraId="6EDA5E01">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2334" w:type="dxa"/>
            <w:vAlign w:val="center"/>
          </w:tcPr>
          <w:p w14:paraId="4A5547D8">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c>
          <w:tcPr>
            <w:tcW w:w="1828" w:type="dxa"/>
            <w:vAlign w:val="center"/>
          </w:tcPr>
          <w:p w14:paraId="44B2107F">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5180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056445A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2774" w:type="dxa"/>
            <w:vAlign w:val="center"/>
          </w:tcPr>
          <w:p w14:paraId="72D127E7">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334" w:type="dxa"/>
            <w:vAlign w:val="center"/>
          </w:tcPr>
          <w:p w14:paraId="5CF4BC02">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828" w:type="dxa"/>
            <w:vAlign w:val="center"/>
          </w:tcPr>
          <w:p w14:paraId="33DD7291">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3ADE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5B778DB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2774" w:type="dxa"/>
            <w:vAlign w:val="center"/>
          </w:tcPr>
          <w:p w14:paraId="1484C06F">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p>
        </w:tc>
        <w:tc>
          <w:tcPr>
            <w:tcW w:w="2334" w:type="dxa"/>
            <w:vAlign w:val="center"/>
          </w:tcPr>
          <w:p w14:paraId="43D72E14">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c>
          <w:tcPr>
            <w:tcW w:w="1828" w:type="dxa"/>
            <w:vAlign w:val="center"/>
          </w:tcPr>
          <w:p w14:paraId="310F813F">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3EC7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72F5524C">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2774" w:type="dxa"/>
            <w:vAlign w:val="center"/>
          </w:tcPr>
          <w:p w14:paraId="4863299E">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2334" w:type="dxa"/>
            <w:vAlign w:val="center"/>
          </w:tcPr>
          <w:p w14:paraId="1F405D8E">
            <w:pPr>
              <w:spacing w:line="360" w:lineRule="auto"/>
              <w:jc w:val="center"/>
              <w:rPr>
                <w:rFonts w:hint="eastAsia" w:ascii="宋体" w:hAnsi="宋体" w:eastAsia="宋体" w:cs="Times New Roman"/>
                <w:szCs w:val="21"/>
              </w:rPr>
            </w:pPr>
            <w:r>
              <w:rPr>
                <w:rFonts w:hint="eastAsia" w:ascii="宋体" w:hAnsi="宋体" w:eastAsia="宋体" w:cs="Times New Roman"/>
                <w:szCs w:val="21"/>
              </w:rPr>
              <w:t>70</w:t>
            </w:r>
          </w:p>
        </w:tc>
        <w:tc>
          <w:tcPr>
            <w:tcW w:w="1828" w:type="dxa"/>
            <w:vAlign w:val="center"/>
          </w:tcPr>
          <w:p w14:paraId="0351CB2F">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2D8990D">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A746A4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77A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1D13F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5994724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06" w:type="dxa"/>
            <w:vAlign w:val="center"/>
          </w:tcPr>
          <w:p w14:paraId="2EEFFAE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FBF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0F65877">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45ACA13A">
            <w:pPr>
              <w:spacing w:line="276" w:lineRule="auto"/>
              <w:rPr>
                <w:rFonts w:hint="eastAsia" w:ascii="宋体" w:hAnsi="宋体" w:eastAsia="宋体" w:cs="宋体"/>
                <w:szCs w:val="21"/>
              </w:rPr>
            </w:pPr>
            <w:r>
              <w:rPr>
                <w:rFonts w:hint="eastAsia" w:ascii="宋体" w:hAnsi="宋体" w:eastAsia="宋体" w:cs="宋体"/>
                <w:szCs w:val="21"/>
              </w:rPr>
              <w:t>其中课堂考勤占20%，平时作业占80%。</w:t>
            </w:r>
          </w:p>
          <w:p w14:paraId="0AB1F94D">
            <w:pPr>
              <w:spacing w:line="276" w:lineRule="auto"/>
              <w:jc w:val="left"/>
              <w:rPr>
                <w:rFonts w:hint="eastAsia" w:ascii="宋体" w:hAnsi="宋体" w:eastAsia="宋体" w:cs="宋体"/>
                <w:szCs w:val="21"/>
              </w:rPr>
            </w:pPr>
            <w:r>
              <w:rPr>
                <w:rFonts w:hint="eastAsia" w:ascii="宋体" w:hAnsi="宋体" w:eastAsia="宋体" w:cs="宋体"/>
                <w:szCs w:val="21"/>
              </w:rPr>
              <w:t>课堂考勤：病假和事假一次扣5分，无故缺席一次扣10分，无故缺席累积达5次以上（不含5次）取消课程成绩。</w:t>
            </w:r>
          </w:p>
          <w:p w14:paraId="68B5C088">
            <w:pPr>
              <w:spacing w:line="264" w:lineRule="auto"/>
              <w:jc w:val="left"/>
              <w:rPr>
                <w:rFonts w:ascii="Times New Roman" w:hAnsi="Times New Roman" w:eastAsia="宋体" w:cs="Times New Roman"/>
                <w:szCs w:val="21"/>
              </w:rPr>
            </w:pPr>
            <w:r>
              <w:rPr>
                <w:rFonts w:hint="eastAsia" w:ascii="宋体" w:hAnsi="宋体" w:eastAsia="宋体" w:cs="宋体"/>
                <w:szCs w:val="21"/>
              </w:rPr>
              <w:t>平时作业：课后完成3次作业，主要考核学生对每节课知识点的复习、理解和掌握程度，计算全部作业的平均成绩。</w:t>
            </w:r>
          </w:p>
        </w:tc>
        <w:tc>
          <w:tcPr>
            <w:tcW w:w="706" w:type="dxa"/>
            <w:vAlign w:val="center"/>
          </w:tcPr>
          <w:p w14:paraId="1FA81F23">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438B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F775F8">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5756CF4">
            <w:pPr>
              <w:spacing w:line="264" w:lineRule="auto"/>
              <w:jc w:val="left"/>
              <w:rPr>
                <w:rFonts w:ascii="Times New Roman" w:hAnsi="Times New Roman" w:eastAsia="宋体" w:cs="Times New Roman"/>
                <w:szCs w:val="21"/>
              </w:rPr>
            </w:pPr>
            <w:r>
              <w:rPr>
                <w:rFonts w:hint="eastAsia" w:ascii="宋体" w:hAnsi="宋体" w:eastAsia="宋体" w:cs="宋体"/>
                <w:szCs w:val="21"/>
              </w:rPr>
              <w:t>主要考核学生对本课程知识的掌握，并考核其实际运用教师口语的能力。</w:t>
            </w:r>
          </w:p>
        </w:tc>
        <w:tc>
          <w:tcPr>
            <w:tcW w:w="706" w:type="dxa"/>
            <w:vAlign w:val="center"/>
          </w:tcPr>
          <w:p w14:paraId="64E1BFE1">
            <w:pPr>
              <w:jc w:val="center"/>
              <w:rPr>
                <w:rFonts w:ascii="Times New Roman" w:hAnsi="Times New Roman" w:eastAsia="宋体" w:cs="Times New Roman"/>
                <w:szCs w:val="21"/>
              </w:rPr>
            </w:pPr>
            <w:r>
              <w:rPr>
                <w:rFonts w:hint="eastAsia" w:ascii="Times New Roman" w:hAnsi="Times New Roman" w:eastAsia="宋体" w:cs="Times New Roman"/>
                <w:szCs w:val="21"/>
              </w:rPr>
              <w:t>70%</w:t>
            </w:r>
          </w:p>
        </w:tc>
      </w:tr>
      <w:tr w14:paraId="3A8A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46EC4B6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7214C8BD">
            <w:pPr>
              <w:jc w:val="left"/>
              <w:rPr>
                <w:rFonts w:ascii="Times New Roman" w:hAnsi="Times New Roman" w:eastAsia="宋体" w:cs="Times New Roman"/>
                <w:szCs w:val="21"/>
              </w:rPr>
            </w:pPr>
          </w:p>
        </w:tc>
        <w:tc>
          <w:tcPr>
            <w:tcW w:w="706" w:type="dxa"/>
            <w:vAlign w:val="center"/>
          </w:tcPr>
          <w:p w14:paraId="2265E83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B876E5C">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75A19B35">
      <w:pPr>
        <w:spacing w:line="360" w:lineRule="auto"/>
        <w:ind w:firstLine="480"/>
        <w:rPr>
          <w:rFonts w:hint="eastAsia" w:ascii="宋体" w:hAnsi="宋体" w:eastAsia="宋体" w:cs="Times New Roman"/>
          <w:sz w:val="24"/>
        </w:rPr>
      </w:pPr>
      <w:r>
        <w:rPr>
          <w:rFonts w:ascii="宋体" w:hAnsi="宋体" w:eastAsia="宋体" w:cs="Times New Roman"/>
          <w:sz w:val="24"/>
        </w:rPr>
        <w:t>所有课程目标均</w:t>
      </w:r>
      <w:r>
        <w:rPr>
          <w:rFonts w:hint="eastAsia" w:ascii="宋体" w:hAnsi="宋体" w:eastAsia="宋体" w:cs="Times New Roman"/>
          <w:sz w:val="24"/>
        </w:rPr>
        <w:t>需</w:t>
      </w:r>
      <w:r>
        <w:rPr>
          <w:rFonts w:ascii="宋体" w:hAnsi="宋体" w:eastAsia="宋体" w:cs="Times New Roman"/>
          <w:sz w:val="24"/>
        </w:rPr>
        <w:t>大于等于0.6，否则总评成绩不及格，需要补考或重</w:t>
      </w:r>
      <w:r>
        <w:rPr>
          <w:rFonts w:hint="eastAsia" w:ascii="宋体" w:hAnsi="宋体" w:eastAsia="宋体" w:cs="Times New Roman"/>
          <w:sz w:val="24"/>
        </w:rPr>
        <w:t>修。</w:t>
      </w:r>
      <w:r>
        <w:rPr>
          <w:rFonts w:ascii="宋体" w:hAnsi="宋体" w:eastAsia="宋体" w:cs="Times New Roman"/>
          <w:sz w:val="24"/>
        </w:rPr>
        <w:t>每</w:t>
      </w:r>
      <w:r>
        <w:rPr>
          <w:rFonts w:hint="eastAsia" w:ascii="宋体" w:hAnsi="宋体" w:eastAsia="宋体" w:cs="Times New Roman"/>
          <w:sz w:val="24"/>
        </w:rPr>
        <w:t>门</w:t>
      </w:r>
      <w:r>
        <w:rPr>
          <w:rFonts w:ascii="宋体" w:hAnsi="宋体" w:eastAsia="宋体" w:cs="Times New Roman"/>
          <w:sz w:val="24"/>
        </w:rPr>
        <w:t>课程目标</w:t>
      </w:r>
      <w:r>
        <w:rPr>
          <w:rFonts w:hint="eastAsia" w:ascii="宋体" w:hAnsi="宋体" w:eastAsia="宋体" w:cs="Times New Roman"/>
          <w:sz w:val="24"/>
        </w:rPr>
        <w:t>总体</w:t>
      </w:r>
      <w:r>
        <w:rPr>
          <w:rFonts w:ascii="宋体" w:hAnsi="宋体" w:eastAsia="宋体" w:cs="Times New Roman"/>
          <w:sz w:val="24"/>
        </w:rPr>
        <w:t>达成度计算方法如下：</w:t>
      </w:r>
    </w:p>
    <w:p w14:paraId="53CC2DA6">
      <w:pPr>
        <w:spacing w:line="360" w:lineRule="auto"/>
        <w:rPr>
          <w:rFonts w:ascii="Book Antiqua" w:hAnsi="Book Antiqua" w:eastAsia="宋体" w:cs="Times New Roman"/>
          <w:b/>
          <w:sz w:val="24"/>
        </w:rPr>
      </w:pPr>
      <w:r>
        <w:rPr>
          <w:rFonts w:ascii="宋体" w:hAnsi="宋体" w:eastAsia="宋体" w:cs="Times New Roman"/>
          <w:sz w:val="24"/>
        </w:rPr>
        <w:drawing>
          <wp:inline distT="0" distB="0" distL="0" distR="0">
            <wp:extent cx="5104765" cy="280035"/>
            <wp:effectExtent l="0" t="0" r="635" b="571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
                      <a:extLst>
                        <a:ext uri="{28A0092B-C50C-407E-A947-70E740481C1C}">
                          <a14:useLocalDpi xmlns:a14="http://schemas.microsoft.com/office/drawing/2010/main" val="0"/>
                        </a:ext>
                      </a:extLst>
                    </a:blip>
                    <a:srcRect/>
                    <a:stretch>
                      <a:fillRect/>
                    </a:stretch>
                  </pic:blipFill>
                  <pic:spPr>
                    <a:xfrm>
                      <a:off x="0" y="0"/>
                      <a:ext cx="5260978" cy="289238"/>
                    </a:xfrm>
                    <a:prstGeom prst="rect">
                      <a:avLst/>
                    </a:prstGeom>
                    <a:noFill/>
                    <a:ln>
                      <a:noFill/>
                    </a:ln>
                  </pic:spPr>
                </pic:pic>
              </a:graphicData>
            </a:graphic>
          </wp:inline>
        </w:drawing>
      </w:r>
    </w:p>
    <w:p w14:paraId="5B001AA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五、课程实践</w:t>
      </w:r>
    </w:p>
    <w:p w14:paraId="2E0AB72F">
      <w:pPr>
        <w:spacing w:after="156" w:afterLines="50" w:line="360" w:lineRule="auto"/>
        <w:ind w:firstLine="420" w:firstLineChars="200"/>
        <w:rPr>
          <w:rFonts w:hint="eastAsia" w:ascii="宋体" w:hAnsi="宋体" w:eastAsia="宋体" w:cs="宋体"/>
          <w:b/>
          <w:bCs/>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20B9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6C2242FD">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7970D79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790BF3CD">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5A94FCFA">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3E78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trPr>
        <w:tc>
          <w:tcPr>
            <w:tcW w:w="1212" w:type="dxa"/>
            <w:vAlign w:val="center"/>
          </w:tcPr>
          <w:p w14:paraId="16C30084">
            <w:pPr>
              <w:adjustRightInd w:val="0"/>
              <w:jc w:val="center"/>
              <w:rPr>
                <w:rFonts w:hint="eastAsia" w:ascii="宋体" w:hAnsi="宋体" w:eastAsia="宋体" w:cs="宋体"/>
                <w:szCs w:val="21"/>
              </w:rPr>
            </w:pPr>
            <w:r>
              <w:rPr>
                <w:rFonts w:hint="eastAsia" w:ascii="宋体" w:hAnsi="宋体" w:eastAsia="宋体" w:cs="宋体"/>
                <w:bCs/>
                <w:szCs w:val="21"/>
              </w:rPr>
              <w:t>普通话语音</w:t>
            </w:r>
            <w:r>
              <w:rPr>
                <w:rFonts w:hint="eastAsia" w:ascii="宋体" w:hAnsi="宋体" w:eastAsia="宋体" w:cs="宋体"/>
                <w:kern w:val="0"/>
                <w:szCs w:val="21"/>
              </w:rPr>
              <w:t>训练</w:t>
            </w:r>
          </w:p>
        </w:tc>
        <w:tc>
          <w:tcPr>
            <w:tcW w:w="3407" w:type="dxa"/>
            <w:vAlign w:val="center"/>
          </w:tcPr>
          <w:p w14:paraId="51F78492">
            <w:pPr>
              <w:spacing w:line="276" w:lineRule="auto"/>
              <w:ind w:firstLine="210" w:firstLineChars="100"/>
              <w:rPr>
                <w:rFonts w:hint="eastAsia" w:ascii="宋体" w:hAnsi="宋体" w:eastAsia="宋体" w:cs="宋体"/>
                <w:szCs w:val="21"/>
              </w:rPr>
            </w:pPr>
            <w:r>
              <w:rPr>
                <w:rFonts w:hint="eastAsia" w:ascii="宋体" w:hAnsi="宋体" w:eastAsia="宋体" w:cs="Times New Roman"/>
                <w:bCs/>
                <w:szCs w:val="21"/>
              </w:rPr>
              <w:t>声母、韵母、声调、吐字归音、语流音变等普通话语音基础知识训练。逐步认识和纠正发音、发声中存在的问题，掌握和运用科学的发音、发声方法。</w:t>
            </w:r>
          </w:p>
        </w:tc>
        <w:tc>
          <w:tcPr>
            <w:tcW w:w="740" w:type="dxa"/>
            <w:vAlign w:val="center"/>
          </w:tcPr>
          <w:p w14:paraId="1FA5ACDB">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31E522E7">
            <w:pPr>
              <w:spacing w:line="276" w:lineRule="auto"/>
              <w:jc w:val="left"/>
              <w:rPr>
                <w:rFonts w:hint="eastAsia" w:ascii="宋体" w:hAnsi="宋体" w:eastAsia="宋体" w:cs="宋体"/>
                <w:szCs w:val="21"/>
              </w:rPr>
            </w:pP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2257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B6FF885">
            <w:pPr>
              <w:adjustRightInd w:val="0"/>
              <w:jc w:val="center"/>
              <w:rPr>
                <w:rFonts w:hint="eastAsia" w:ascii="宋体" w:hAnsi="宋体" w:eastAsia="宋体" w:cs="宋体"/>
                <w:szCs w:val="21"/>
              </w:rPr>
            </w:pPr>
            <w:r>
              <w:rPr>
                <w:rFonts w:hint="eastAsia" w:ascii="宋体" w:hAnsi="宋体" w:eastAsia="宋体" w:cs="宋体"/>
                <w:szCs w:val="21"/>
              </w:rPr>
              <w:t>教师基本礼仪技能的要求</w:t>
            </w:r>
            <w:r>
              <w:rPr>
                <w:rFonts w:hint="eastAsia" w:ascii="宋体" w:hAnsi="宋体" w:eastAsia="宋体" w:cs="宋体"/>
                <w:kern w:val="0"/>
                <w:szCs w:val="21"/>
              </w:rPr>
              <w:t>训练</w:t>
            </w:r>
          </w:p>
        </w:tc>
        <w:tc>
          <w:tcPr>
            <w:tcW w:w="3407" w:type="dxa"/>
            <w:vAlign w:val="center"/>
          </w:tcPr>
          <w:p w14:paraId="519DE46D">
            <w:pPr>
              <w:widowControl/>
              <w:spacing w:line="276" w:lineRule="auto"/>
              <w:ind w:firstLine="420" w:firstLineChars="200"/>
              <w:jc w:val="left"/>
              <w:rPr>
                <w:rFonts w:hint="eastAsia" w:ascii="宋体" w:hAnsi="宋体" w:eastAsia="宋体" w:cs="宋体"/>
                <w:szCs w:val="21"/>
              </w:rPr>
            </w:pPr>
            <w:r>
              <w:rPr>
                <w:rFonts w:hint="eastAsia" w:ascii="宋体" w:hAnsi="宋体" w:eastAsia="宋体" w:cs="Times New Roman"/>
                <w:bCs/>
                <w:szCs w:val="21"/>
              </w:rPr>
              <w:t>掌握复述、描述、评述、讲故事、态势语等一些基本技能的要求。通过训练，掌握各种技能、技巧。</w:t>
            </w:r>
            <w:r>
              <w:rPr>
                <w:rFonts w:hint="eastAsia" w:ascii="宋体" w:hAnsi="宋体" w:eastAsia="宋体" w:cs="宋体"/>
                <w:szCs w:val="21"/>
              </w:rPr>
              <w:t>能够熟练自如的运用各种技能。</w:t>
            </w:r>
          </w:p>
        </w:tc>
        <w:tc>
          <w:tcPr>
            <w:tcW w:w="740" w:type="dxa"/>
            <w:vAlign w:val="center"/>
          </w:tcPr>
          <w:p w14:paraId="315108D5">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0CCCA80D">
            <w:pPr>
              <w:spacing w:line="276" w:lineRule="auto"/>
              <w:jc w:val="left"/>
              <w:rPr>
                <w:rFonts w:hint="eastAsia" w:ascii="宋体" w:hAnsi="宋体" w:eastAsia="宋体" w:cs="宋体"/>
                <w:szCs w:val="21"/>
              </w:rPr>
            </w:pP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2A13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A385B64">
            <w:pPr>
              <w:adjustRightInd w:val="0"/>
              <w:jc w:val="center"/>
              <w:rPr>
                <w:rFonts w:hint="eastAsia" w:ascii="宋体" w:hAnsi="宋体" w:eastAsia="宋体" w:cs="宋体"/>
                <w:szCs w:val="21"/>
              </w:rPr>
            </w:pPr>
            <w:r>
              <w:rPr>
                <w:rFonts w:hint="eastAsia" w:ascii="宋体" w:hAnsi="宋体" w:eastAsia="宋体" w:cs="宋体"/>
                <w:bCs/>
                <w:szCs w:val="21"/>
              </w:rPr>
              <w:t>教师教学口语训练</w:t>
            </w:r>
          </w:p>
        </w:tc>
        <w:tc>
          <w:tcPr>
            <w:tcW w:w="3407" w:type="dxa"/>
            <w:vAlign w:val="center"/>
          </w:tcPr>
          <w:p w14:paraId="7F16BFB3">
            <w:pPr>
              <w:spacing w:line="276" w:lineRule="auto"/>
              <w:ind w:firstLine="420" w:firstLineChars="200"/>
              <w:rPr>
                <w:rFonts w:hint="eastAsia" w:ascii="宋体" w:hAnsi="宋体" w:eastAsia="宋体" w:cs="宋体"/>
                <w:szCs w:val="21"/>
              </w:rPr>
            </w:pPr>
            <w:r>
              <w:rPr>
                <w:rFonts w:hint="eastAsia" w:ascii="宋体" w:hAnsi="宋体" w:eastAsia="宋体" w:cs="宋体"/>
                <w:szCs w:val="21"/>
              </w:rPr>
              <w:t>导入语、提问语、过渡语、讲解语、评价语、应变语、小结语等各教学环节的用语技巧。能掌握幼儿教师教学语言的特点，在课堂模拟教学中正确使用各类教学语言。</w:t>
            </w:r>
          </w:p>
        </w:tc>
        <w:tc>
          <w:tcPr>
            <w:tcW w:w="740" w:type="dxa"/>
            <w:vAlign w:val="center"/>
          </w:tcPr>
          <w:p w14:paraId="26C534F5">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768D6973">
            <w:pPr>
              <w:spacing w:line="276" w:lineRule="auto"/>
              <w:jc w:val="left"/>
              <w:rPr>
                <w:rFonts w:hint="eastAsia" w:ascii="宋体" w:hAnsi="宋体" w:eastAsia="宋体" w:cs="宋体"/>
                <w:b/>
                <w:bCs/>
                <w:szCs w:val="21"/>
              </w:rPr>
            </w:pP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r w14:paraId="7BBA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4581E33D">
            <w:pPr>
              <w:adjustRightInd w:val="0"/>
              <w:jc w:val="center"/>
              <w:rPr>
                <w:rFonts w:hint="eastAsia" w:ascii="宋体" w:hAnsi="宋体" w:eastAsia="宋体" w:cs="宋体"/>
                <w:szCs w:val="21"/>
              </w:rPr>
            </w:pPr>
            <w:r>
              <w:rPr>
                <w:rFonts w:hint="eastAsia" w:ascii="宋体" w:hAnsi="宋体" w:eastAsia="宋体" w:cs="宋体"/>
                <w:bCs/>
                <w:szCs w:val="21"/>
              </w:rPr>
              <w:t>教师教育口语训练</w:t>
            </w:r>
          </w:p>
        </w:tc>
        <w:tc>
          <w:tcPr>
            <w:tcW w:w="3407" w:type="dxa"/>
            <w:vAlign w:val="center"/>
          </w:tcPr>
          <w:p w14:paraId="22F764BE">
            <w:pPr>
              <w:spacing w:line="276" w:lineRule="auto"/>
              <w:ind w:firstLine="420" w:firstLineChars="200"/>
              <w:rPr>
                <w:rFonts w:hint="eastAsia" w:ascii="宋体" w:hAnsi="宋体" w:eastAsia="宋体" w:cs="宋体"/>
                <w:szCs w:val="21"/>
              </w:rPr>
            </w:pPr>
            <w:r>
              <w:rPr>
                <w:rFonts w:hint="eastAsia" w:ascii="宋体" w:hAnsi="宋体" w:eastAsia="宋体" w:cs="Times New Roman"/>
                <w:bCs/>
                <w:szCs w:val="21"/>
              </w:rPr>
              <w:t>掌握幼儿教育口语的特点、原则和要求。能根据不同教育情境准确、恰当地运用教育口语。</w:t>
            </w:r>
          </w:p>
        </w:tc>
        <w:tc>
          <w:tcPr>
            <w:tcW w:w="740" w:type="dxa"/>
            <w:vAlign w:val="center"/>
          </w:tcPr>
          <w:p w14:paraId="07E08EBD">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4CD0A799">
            <w:pPr>
              <w:spacing w:line="276" w:lineRule="auto"/>
              <w:jc w:val="left"/>
              <w:rPr>
                <w:rFonts w:hint="eastAsia" w:ascii="宋体" w:hAnsi="宋体" w:eastAsia="宋体" w:cs="宋体"/>
                <w:szCs w:val="21"/>
              </w:rPr>
            </w:pPr>
            <w:r>
              <w:rPr>
                <w:rFonts w:ascii="宋体" w:hAnsi="宋体" w:eastAsia="宋体" w:cs="宋体"/>
                <w:szCs w:val="21"/>
              </w:rPr>
              <w:t>理论讲解、案例分析、情境模拟及实践训练，学生将掌握清晰、得体、富有魅力的表达方式，塑造专业、亲切的教师形象，为未来教育教学工作奠定坚实基础。</w:t>
            </w:r>
          </w:p>
        </w:tc>
      </w:tr>
    </w:tbl>
    <w:p w14:paraId="3E1744A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1DB08F76">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（一）持续改进</w:t>
      </w:r>
    </w:p>
    <w:p w14:paraId="197C5379">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本课程根据学生作业、课堂讨论情况和学生、教学督导等方面</w:t>
      </w:r>
      <w:r>
        <w:rPr>
          <w:rFonts w:hint="eastAsia" w:ascii="宋体" w:hAnsi="宋体" w:eastAsia="宋体" w:cs="Times New Roman"/>
          <w:sz w:val="24"/>
        </w:rPr>
        <w:t>的</w:t>
      </w:r>
      <w:r>
        <w:rPr>
          <w:rFonts w:ascii="宋体" w:hAnsi="宋体" w:eastAsia="宋体" w:cs="Times New Roman"/>
          <w:sz w:val="24"/>
        </w:rPr>
        <w:t>反馈意见及时对教学中</w:t>
      </w:r>
      <w:r>
        <w:rPr>
          <w:rFonts w:hint="eastAsia" w:ascii="宋体" w:hAnsi="宋体" w:eastAsia="宋体" w:cs="Times New Roman"/>
          <w:sz w:val="24"/>
        </w:rPr>
        <w:t>的</w:t>
      </w:r>
      <w:r>
        <w:rPr>
          <w:rFonts w:ascii="宋体" w:hAnsi="宋体" w:eastAsia="宋体" w:cs="Times New Roman"/>
          <w:sz w:val="24"/>
        </w:rPr>
        <w:t>不足之处进行改进，并在下一轮课程教学中</w:t>
      </w:r>
      <w:r>
        <w:rPr>
          <w:rFonts w:hint="eastAsia" w:ascii="宋体" w:hAnsi="宋体" w:eastAsia="宋体" w:cs="Times New Roman"/>
          <w:sz w:val="24"/>
        </w:rPr>
        <w:t>整改完善</w:t>
      </w:r>
      <w:r>
        <w:rPr>
          <w:rFonts w:ascii="宋体" w:hAnsi="宋体" w:eastAsia="宋体" w:cs="Times New Roman"/>
          <w:sz w:val="24"/>
        </w:rPr>
        <w:t>，确保相应毕业要求指标点达成。</w:t>
      </w:r>
    </w:p>
    <w:p w14:paraId="519B05DF">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（二）参考书目及学习资料</w:t>
      </w:r>
    </w:p>
    <w:p w14:paraId="433D2FB3">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1.教材</w:t>
      </w:r>
    </w:p>
    <w:p w14:paraId="1D5BD141">
      <w:pPr>
        <w:spacing w:line="360" w:lineRule="auto"/>
        <w:ind w:firstLine="480" w:firstLineChars="200"/>
        <w:rPr>
          <w:rFonts w:hint="eastAsia" w:ascii="宋体" w:hAnsi="宋体" w:eastAsia="宋体" w:cs="Times New Roman"/>
          <w:kern w:val="0"/>
          <w:sz w:val="24"/>
        </w:rPr>
      </w:pPr>
      <w:r>
        <w:rPr>
          <w:rFonts w:hint="eastAsia" w:ascii="宋体" w:hAnsi="宋体" w:eastAsia="宋体" w:cs="Times New Roman"/>
          <w:kern w:val="0"/>
          <w:sz w:val="24"/>
        </w:rPr>
        <w:t>高林广.教师口语实训教程.北京：高等教育出版社，2016.</w:t>
      </w:r>
    </w:p>
    <w:p w14:paraId="66775B51">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2.教学参考书</w:t>
      </w:r>
    </w:p>
    <w:p w14:paraId="0BF70ED1">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陈国安、王海燕.新编教师口语——表达与训练.上海：华东师范大学出版社，</w:t>
      </w:r>
      <w:r>
        <w:rPr>
          <w:rFonts w:ascii="宋体" w:hAnsi="宋体" w:eastAsia="宋体" w:cs="Times New Roman"/>
          <w:sz w:val="24"/>
        </w:rPr>
        <w:t>2007</w:t>
      </w:r>
      <w:r>
        <w:rPr>
          <w:rFonts w:hint="eastAsia" w:ascii="宋体" w:hAnsi="宋体" w:eastAsia="宋体" w:cs="Times New Roman"/>
          <w:sz w:val="24"/>
        </w:rPr>
        <w:t>.</w:t>
      </w:r>
    </w:p>
    <w:p w14:paraId="200019FB">
      <w:pPr>
        <w:spacing w:line="360" w:lineRule="auto"/>
        <w:ind w:firstLine="480" w:firstLineChars="200"/>
        <w:rPr>
          <w:rFonts w:ascii="Book Antiqua" w:hAnsi="Book Antiqua" w:eastAsia="宋体" w:cs="Times New Roman"/>
          <w:sz w:val="24"/>
        </w:rPr>
      </w:pPr>
      <w:r>
        <w:rPr>
          <w:rFonts w:hint="eastAsia" w:ascii="Book Antiqua" w:hAnsi="Book Antiqua" w:eastAsia="宋体" w:cs="Times New Roman"/>
          <w:sz w:val="24"/>
        </w:rPr>
        <w:t>江苏省普通话水平测试研究组.普通话水平测试指导用书(最新版）.北京：中国和平音像电子出版社，2013.</w:t>
      </w:r>
    </w:p>
    <w:p w14:paraId="3EF1728C">
      <w:pPr>
        <w:autoSpaceDE w:val="0"/>
        <w:autoSpaceDN w:val="0"/>
        <w:adjustRightInd w:val="0"/>
        <w:spacing w:line="360" w:lineRule="auto"/>
        <w:ind w:firstLine="480" w:firstLineChars="200"/>
        <w:jc w:val="left"/>
        <w:rPr>
          <w:rFonts w:hint="eastAsia" w:ascii="宋体" w:hAnsi="宋体" w:eastAsia="宋体" w:cs="Times New Roman"/>
          <w:kern w:val="0"/>
          <w:sz w:val="24"/>
          <w:szCs w:val="21"/>
        </w:rPr>
      </w:pPr>
    </w:p>
    <w:p w14:paraId="4FC43FD2">
      <w:pPr>
        <w:wordWrap w:val="0"/>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w:t>
      </w:r>
      <w:r>
        <w:rPr>
          <w:rFonts w:ascii="宋体" w:hAnsi="宋体" w:eastAsia="宋体" w:cs="Times New Roman"/>
          <w:kern w:val="0"/>
          <w:sz w:val="24"/>
          <w:szCs w:val="21"/>
        </w:rPr>
        <w:t>执笔人：</w:t>
      </w:r>
      <w:r>
        <w:rPr>
          <w:rFonts w:hint="eastAsia" w:ascii="宋体" w:hAnsi="宋体" w:eastAsia="宋体" w:cs="Times New Roman"/>
          <w:kern w:val="0"/>
          <w:sz w:val="24"/>
          <w:szCs w:val="21"/>
        </w:rPr>
        <w:t xml:space="preserve">李森  </w:t>
      </w:r>
    </w:p>
    <w:p w14:paraId="36D148C3">
      <w:pPr>
        <w:wordWrap w:val="0"/>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审定人：钱峰  </w:t>
      </w:r>
    </w:p>
    <w:p w14:paraId="15E122C8">
      <w:pPr>
        <w:wordWrap w:val="0"/>
        <w:autoSpaceDE w:val="0"/>
        <w:autoSpaceDN w:val="0"/>
        <w:adjustRightInd w:val="0"/>
        <w:spacing w:line="360" w:lineRule="auto"/>
        <w:jc w:val="center"/>
        <w:rPr>
          <w:rFonts w:hint="eastAsia" w:ascii="宋体" w:hAnsi="宋体" w:eastAsia="宋体" w:cs="Times New Roman"/>
          <w:kern w:val="0"/>
          <w:sz w:val="24"/>
          <w:szCs w:val="21"/>
        </w:rPr>
      </w:pPr>
      <w:r>
        <w:rPr>
          <w:rFonts w:hint="eastAsia" w:ascii="宋体" w:hAnsi="宋体" w:eastAsia="宋体" w:cs="Times New Roman"/>
          <w:kern w:val="0"/>
          <w:sz w:val="24"/>
          <w:szCs w:val="21"/>
        </w:rPr>
        <w:t xml:space="preserve">                                       审批人：王献东  </w:t>
      </w:r>
    </w:p>
    <w:p w14:paraId="79000022">
      <w:pPr>
        <w:autoSpaceDE w:val="0"/>
        <w:autoSpaceDN w:val="0"/>
        <w:adjustRightInd w:val="0"/>
        <w:spacing w:line="360" w:lineRule="auto"/>
        <w:jc w:val="right"/>
        <w:rPr>
          <w:rFonts w:ascii="Calibri" w:hAnsi="Calibri" w:eastAsia="宋体" w:cs="Times New Roman"/>
          <w:kern w:val="0"/>
          <w:sz w:val="24"/>
          <w:szCs w:val="21"/>
        </w:rPr>
      </w:pPr>
      <w:r>
        <w:rPr>
          <w:rFonts w:hint="eastAsia" w:ascii="Calibri" w:hAnsi="Calibri" w:eastAsia="宋体" w:cs="Times New Roman"/>
          <w:kern w:val="0"/>
          <w:sz w:val="24"/>
          <w:szCs w:val="21"/>
        </w:rPr>
        <w:t>批准时间：2025年7月1日</w:t>
      </w:r>
      <w:r>
        <w:rPr>
          <w:rFonts w:ascii="Calibri" w:hAnsi="Calibri" w:eastAsia="宋体" w:cs="Times New Roman"/>
          <w:kern w:val="0"/>
          <w:sz w:val="24"/>
          <w:szCs w:val="21"/>
        </w:rPr>
        <w:t xml:space="preserve"> </w:t>
      </w:r>
    </w:p>
    <w:p w14:paraId="1012225F"/>
    <w:p w14:paraId="22BD6078">
      <w:pPr>
        <w:spacing w:line="360" w:lineRule="auto"/>
        <w:ind w:left="5460" w:firstLine="420"/>
        <w:rPr>
          <w:rFonts w:ascii="Times New Roman" w:hAnsi="Times New Roman" w:eastAsia="宋体" w:cs="Times New Roman"/>
          <w:bCs/>
          <w:szCs w:val="21"/>
        </w:rPr>
      </w:pPr>
    </w:p>
    <w:p w14:paraId="562A99C9">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3B5A84B8">
      <w:pPr>
        <w:spacing w:line="360" w:lineRule="auto"/>
        <w:jc w:val="center"/>
        <w:outlineLvl w:val="0"/>
      </w:pPr>
      <w:bookmarkStart w:id="1424" w:name="_Toc30907"/>
      <w:bookmarkStart w:id="1425" w:name="_Toc25800"/>
      <w:bookmarkStart w:id="1426" w:name="_Toc4703"/>
      <w:bookmarkStart w:id="1427" w:name="_Toc57017197"/>
      <w:bookmarkStart w:id="1428" w:name="_Toc32084"/>
      <w:r>
        <w:rPr>
          <w:rFonts w:hint="eastAsia" w:ascii="Times New Roman" w:hAnsi="Times New Roman" w:eastAsia="宋体" w:cs="Times New Roman"/>
          <w:b/>
          <w:sz w:val="44"/>
          <w:szCs w:val="44"/>
        </w:rPr>
        <w:t>《社会学概论》课程与教学大纲</w:t>
      </w:r>
      <w:bookmarkEnd w:id="1424"/>
      <w:bookmarkEnd w:id="1425"/>
      <w:bookmarkEnd w:id="1426"/>
      <w:bookmarkEnd w:id="1427"/>
      <w:bookmarkEnd w:id="1428"/>
    </w:p>
    <w:p w14:paraId="1AA25260">
      <w:pPr>
        <w:spacing w:line="360" w:lineRule="auto"/>
        <w:jc w:val="center"/>
        <w:rPr>
          <w:rFonts w:ascii="Times New Roman" w:hAnsi="Times New Roman" w:eastAsia="宋体" w:cs="Times New Roman"/>
          <w:b/>
          <w:bCs/>
          <w:sz w:val="28"/>
          <w:szCs w:val="28"/>
        </w:rPr>
      </w:pPr>
      <w:bookmarkStart w:id="1429" w:name="_Toc3367"/>
      <w:bookmarkStart w:id="1430" w:name="_Toc25558"/>
      <w:bookmarkStart w:id="1431" w:name="_Toc4871"/>
      <w:bookmarkStart w:id="1432" w:name="_Toc15739"/>
      <w:bookmarkStart w:id="1433" w:name="_Toc28768"/>
      <w:bookmarkStart w:id="1434" w:name="_Toc18783"/>
      <w:bookmarkStart w:id="1435" w:name="_Toc20297"/>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Introduction to Sociology</w:t>
      </w:r>
      <w:r>
        <w:rPr>
          <w:rFonts w:hint="eastAsia" w:ascii="Times New Roman" w:hAnsi="Times New Roman" w:eastAsia="宋体" w:cs="Times New Roman"/>
          <w:b/>
          <w:bCs/>
          <w:sz w:val="28"/>
          <w:szCs w:val="28"/>
        </w:rPr>
        <w:t>）</w:t>
      </w:r>
      <w:bookmarkEnd w:id="1429"/>
      <w:bookmarkEnd w:id="1430"/>
      <w:bookmarkEnd w:id="1431"/>
      <w:bookmarkEnd w:id="1432"/>
      <w:bookmarkEnd w:id="1433"/>
      <w:bookmarkEnd w:id="1434"/>
      <w:bookmarkEnd w:id="1435"/>
    </w:p>
    <w:p w14:paraId="603EE3F2">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课程名称：社会学概论</w:t>
      </w:r>
    </w:p>
    <w:p w14:paraId="67BBA828">
      <w:pPr>
        <w:spacing w:line="360" w:lineRule="auto"/>
        <w:ind w:firstLine="482" w:firstLineChars="200"/>
        <w:rPr>
          <w:rFonts w:hint="eastAsia" w:ascii="宋体" w:hAnsi="等线" w:eastAsia="宋体" w:cs="Times New Roman"/>
          <w:b/>
          <w:kern w:val="0"/>
          <w:sz w:val="24"/>
          <w:szCs w:val="22"/>
        </w:rPr>
      </w:pPr>
      <w:r>
        <w:rPr>
          <w:rFonts w:hint="eastAsia" w:ascii="宋体" w:hAnsi="宋体" w:eastAsia="宋体" w:cs="Times New Roman"/>
          <w:b/>
          <w:kern w:val="0"/>
          <w:sz w:val="24"/>
        </w:rPr>
        <w:t>课程代码：</w:t>
      </w:r>
      <w:r>
        <w:rPr>
          <w:rFonts w:ascii="宋体" w:hAnsi="宋体" w:eastAsia="宋体" w:cs="Times New Roman"/>
          <w:b/>
          <w:kern w:val="0"/>
          <w:sz w:val="24"/>
          <w:szCs w:val="22"/>
        </w:rPr>
        <w:t>2401071</w:t>
      </w:r>
    </w:p>
    <w:p w14:paraId="252F004B">
      <w:pPr>
        <w:spacing w:line="360" w:lineRule="auto"/>
        <w:ind w:firstLine="482" w:firstLineChars="200"/>
        <w:rPr>
          <w:rFonts w:hint="eastAsia" w:ascii="宋体" w:hAnsi="等线" w:eastAsia="宋体" w:cs="Times New Roman"/>
          <w:b/>
          <w:kern w:val="0"/>
          <w:sz w:val="24"/>
        </w:rPr>
      </w:pPr>
      <w:r>
        <w:rPr>
          <w:rFonts w:hint="eastAsia" w:ascii="宋体" w:hAnsi="宋体" w:eastAsia="宋体" w:cs="Times New Roman"/>
          <w:b/>
          <w:kern w:val="0"/>
          <w:sz w:val="24"/>
        </w:rPr>
        <w:t>学</w:t>
      </w:r>
      <w:r>
        <w:rPr>
          <w:rFonts w:ascii="宋体" w:hAnsi="宋体" w:eastAsia="宋体" w:cs="Times New Roman"/>
          <w:b/>
          <w:kern w:val="0"/>
          <w:sz w:val="24"/>
        </w:rPr>
        <w:t xml:space="preserve">    </w:t>
      </w:r>
      <w:r>
        <w:rPr>
          <w:rFonts w:hint="eastAsia" w:ascii="宋体" w:hAnsi="宋体" w:eastAsia="宋体" w:cs="Times New Roman"/>
          <w:b/>
          <w:kern w:val="0"/>
          <w:sz w:val="24"/>
        </w:rPr>
        <w:t>分：</w:t>
      </w:r>
      <w:r>
        <w:rPr>
          <w:rFonts w:ascii="宋体" w:hAnsi="宋体" w:eastAsia="宋体" w:cs="Times New Roman"/>
          <w:b/>
          <w:kern w:val="0"/>
          <w:sz w:val="24"/>
          <w:szCs w:val="22"/>
        </w:rPr>
        <w:t>3</w:t>
      </w:r>
    </w:p>
    <w:p w14:paraId="172AF718">
      <w:pPr>
        <w:spacing w:line="360" w:lineRule="auto"/>
        <w:ind w:firstLine="482" w:firstLineChars="200"/>
        <w:rPr>
          <w:rFonts w:hint="eastAsia" w:ascii="宋体" w:hAnsi="宋体" w:eastAsia="宋体" w:cs="Times New Roman"/>
          <w:b/>
          <w:kern w:val="0"/>
          <w:sz w:val="24"/>
        </w:rPr>
      </w:pPr>
      <w:r>
        <w:rPr>
          <w:rFonts w:hint="eastAsia" w:ascii="宋体" w:hAnsi="宋体" w:eastAsia="宋体" w:cs="Times New Roman"/>
          <w:b/>
          <w:kern w:val="0"/>
          <w:sz w:val="24"/>
        </w:rPr>
        <w:t>学</w:t>
      </w:r>
      <w:r>
        <w:rPr>
          <w:rFonts w:ascii="宋体" w:hAnsi="宋体" w:eastAsia="宋体" w:cs="Times New Roman"/>
          <w:b/>
          <w:kern w:val="0"/>
          <w:sz w:val="24"/>
        </w:rPr>
        <w:t xml:space="preserve">    </w:t>
      </w:r>
      <w:r>
        <w:rPr>
          <w:rFonts w:hint="eastAsia" w:ascii="宋体" w:hAnsi="宋体" w:eastAsia="宋体" w:cs="Times New Roman"/>
          <w:b/>
          <w:kern w:val="0"/>
          <w:sz w:val="24"/>
        </w:rPr>
        <w:t>时：4</w:t>
      </w:r>
      <w:r>
        <w:rPr>
          <w:rFonts w:ascii="宋体" w:hAnsi="宋体" w:eastAsia="宋体" w:cs="Times New Roman"/>
          <w:b/>
          <w:kern w:val="0"/>
          <w:sz w:val="24"/>
        </w:rPr>
        <w:t>8</w:t>
      </w:r>
    </w:p>
    <w:p w14:paraId="66560FE2">
      <w:pPr>
        <w:spacing w:line="360" w:lineRule="auto"/>
        <w:ind w:firstLine="482" w:firstLineChars="200"/>
        <w:jc w:val="left"/>
        <w:rPr>
          <w:rFonts w:hint="eastAsia" w:ascii="宋体" w:hAnsi="等线" w:eastAsia="宋体" w:cs="Times New Roman"/>
          <w:b/>
          <w:sz w:val="24"/>
          <w:szCs w:val="22"/>
        </w:rPr>
      </w:pPr>
      <w:r>
        <w:rPr>
          <w:rFonts w:hint="eastAsia" w:ascii="宋体" w:hAnsi="宋体" w:eastAsia="宋体" w:cs="Times New Roman"/>
          <w:b/>
          <w:kern w:val="0"/>
          <w:sz w:val="24"/>
        </w:rPr>
        <w:t>先修课程：中外基础教育改革热点、中国文化概论</w:t>
      </w:r>
    </w:p>
    <w:p w14:paraId="0EAC4BD6">
      <w:pPr>
        <w:spacing w:line="360" w:lineRule="auto"/>
        <w:ind w:firstLine="482" w:firstLineChars="200"/>
        <w:rPr>
          <w:rFonts w:hint="eastAsia" w:ascii="宋体" w:hAnsi="等线" w:eastAsia="宋体" w:cs="Times New Roman"/>
          <w:b/>
          <w:kern w:val="0"/>
          <w:sz w:val="24"/>
        </w:rPr>
      </w:pPr>
      <w:r>
        <w:rPr>
          <w:rFonts w:hint="eastAsia" w:ascii="宋体" w:hAnsi="宋体" w:eastAsia="宋体" w:cs="Times New Roman"/>
          <w:b/>
          <w:kern w:val="0"/>
          <w:sz w:val="24"/>
        </w:rPr>
        <w:t>适用专业：小学教育（文）</w:t>
      </w:r>
    </w:p>
    <w:p w14:paraId="02E61874">
      <w:pPr>
        <w:spacing w:before="62" w:beforeLines="20" w:after="62" w:afterLines="20" w:line="360" w:lineRule="auto"/>
        <w:jc w:val="left"/>
        <w:rPr>
          <w:rFonts w:ascii="Times New Roman" w:hAnsi="Times New Roman" w:eastAsia="宋体" w:cs="Times New Roman"/>
          <w:b/>
          <w:sz w:val="24"/>
        </w:rPr>
      </w:pPr>
      <w:bookmarkStart w:id="1436" w:name="_Toc4525"/>
      <w:bookmarkStart w:id="1437" w:name="_Toc15001"/>
      <w:bookmarkStart w:id="1438" w:name="_Toc17668"/>
      <w:bookmarkStart w:id="1439" w:name="_Toc9856"/>
      <w:bookmarkStart w:id="1440" w:name="_Toc3897"/>
      <w:bookmarkStart w:id="1441" w:name="_Toc17944"/>
      <w:bookmarkStart w:id="1442" w:name="_Toc23724"/>
      <w:r>
        <w:rPr>
          <w:rFonts w:hint="eastAsia" w:ascii="Times New Roman" w:hAnsi="Times New Roman" w:eastAsia="宋体" w:cs="Times New Roman"/>
          <w:b/>
          <w:sz w:val="24"/>
        </w:rPr>
        <w:t>一、课程简介</w:t>
      </w:r>
      <w:bookmarkEnd w:id="1436"/>
      <w:bookmarkEnd w:id="1437"/>
      <w:bookmarkEnd w:id="1438"/>
      <w:bookmarkEnd w:id="1439"/>
      <w:bookmarkEnd w:id="1440"/>
      <w:bookmarkEnd w:id="1441"/>
      <w:bookmarkEnd w:id="1442"/>
    </w:p>
    <w:p w14:paraId="5044C719">
      <w:pPr>
        <w:spacing w:line="360" w:lineRule="auto"/>
        <w:ind w:firstLine="420" w:firstLineChars="200"/>
        <w:rPr>
          <w:rFonts w:hint="eastAsia" w:ascii="宋体" w:hAnsi="等线" w:eastAsia="宋体" w:cs="Times New Roman"/>
          <w:szCs w:val="20"/>
        </w:rPr>
      </w:pPr>
      <w:r>
        <w:rPr>
          <w:rFonts w:hint="eastAsia" w:ascii="宋体" w:hAnsi="宋体" w:eastAsia="宋体" w:cs="Times New Roman"/>
          <w:szCs w:val="20"/>
        </w:rPr>
        <w:t>本课程是小学教育专业必修课程。课程的主要任务是通过学习社会学的独特研究视角与相关理论知识、方法工具，培养学生分析社会问题和社会现象的科学意识，提高学生理解和思考教育问题的深度，以及形成作为教师的综合人文社科素养。</w:t>
      </w:r>
    </w:p>
    <w:p w14:paraId="7996E352">
      <w:pPr>
        <w:spacing w:before="62" w:beforeLines="20" w:after="62" w:afterLines="20" w:line="360" w:lineRule="auto"/>
        <w:jc w:val="left"/>
        <w:rPr>
          <w:rFonts w:ascii="Times New Roman" w:hAnsi="Times New Roman" w:eastAsia="宋体" w:cs="Times New Roman"/>
          <w:b/>
          <w:sz w:val="24"/>
        </w:rPr>
      </w:pPr>
      <w:bookmarkStart w:id="1443" w:name="_Toc6431"/>
      <w:bookmarkStart w:id="1444" w:name="_Toc596"/>
      <w:bookmarkStart w:id="1445" w:name="_Toc15029"/>
      <w:bookmarkStart w:id="1446" w:name="_Toc10268"/>
      <w:bookmarkStart w:id="1447" w:name="_Toc7678"/>
      <w:bookmarkStart w:id="1448" w:name="_Toc4719"/>
      <w:bookmarkStart w:id="1449" w:name="_Toc15797"/>
      <w:r>
        <w:rPr>
          <w:rFonts w:hint="eastAsia" w:ascii="Times New Roman" w:hAnsi="Times New Roman" w:eastAsia="宋体" w:cs="Times New Roman"/>
          <w:b/>
          <w:sz w:val="24"/>
        </w:rPr>
        <w:t>二、课程目标</w:t>
      </w:r>
      <w:bookmarkEnd w:id="1443"/>
      <w:bookmarkEnd w:id="1444"/>
      <w:bookmarkEnd w:id="1445"/>
      <w:bookmarkEnd w:id="1446"/>
      <w:bookmarkEnd w:id="1447"/>
      <w:bookmarkEnd w:id="1448"/>
      <w:bookmarkEnd w:id="1449"/>
    </w:p>
    <w:p w14:paraId="2C9BBE72">
      <w:pPr>
        <w:spacing w:line="360" w:lineRule="auto"/>
        <w:ind w:firstLine="422" w:firstLineChars="200"/>
        <w:outlineLvl w:val="1"/>
        <w:rPr>
          <w:rFonts w:hint="eastAsia" w:ascii="宋体" w:hAnsi="等线" w:eastAsia="宋体" w:cs="Times New Roman"/>
          <w:b/>
          <w:szCs w:val="20"/>
        </w:rPr>
      </w:pPr>
      <w:bookmarkStart w:id="1450" w:name="_Toc21667"/>
      <w:r>
        <w:rPr>
          <w:rFonts w:hint="eastAsia" w:ascii="宋体" w:hAnsi="宋体" w:eastAsia="宋体" w:cs="Times New Roman"/>
          <w:b/>
          <w:szCs w:val="20"/>
        </w:rPr>
        <w:t>（一）课程具体目标</w:t>
      </w:r>
      <w:bookmarkEnd w:id="1450"/>
    </w:p>
    <w:p w14:paraId="6DE5E66A">
      <w:pPr>
        <w:spacing w:line="360" w:lineRule="auto"/>
        <w:ind w:firstLine="420" w:firstLineChars="200"/>
        <w:rPr>
          <w:rFonts w:hint="eastAsia" w:ascii="宋体" w:hAnsi="等线" w:eastAsia="宋体" w:cs="Times New Roman"/>
          <w:szCs w:val="20"/>
        </w:rPr>
      </w:pPr>
      <w:r>
        <w:rPr>
          <w:rFonts w:hint="eastAsia" w:ascii="宋体" w:hAnsi="宋体" w:eastAsia="宋体" w:cs="Times New Roman"/>
          <w:szCs w:val="20"/>
        </w:rPr>
        <w:t>目标</w:t>
      </w:r>
      <w:r>
        <w:rPr>
          <w:rFonts w:ascii="宋体" w:hAnsi="宋体" w:eastAsia="宋体" w:cs="Times New Roman"/>
          <w:szCs w:val="20"/>
        </w:rPr>
        <w:t>1.了解社会学的研究对象和任务、社会学的学科特点和社会作用、社会学的历史发展和研究方法。</w:t>
      </w:r>
    </w:p>
    <w:p w14:paraId="27C569E5">
      <w:pPr>
        <w:spacing w:line="360" w:lineRule="auto"/>
        <w:ind w:firstLine="420" w:firstLineChars="200"/>
        <w:rPr>
          <w:rFonts w:hint="eastAsia" w:ascii="宋体" w:hAnsi="宋体" w:eastAsia="宋体" w:cs="Times New Roman"/>
          <w:szCs w:val="20"/>
        </w:rPr>
      </w:pPr>
      <w:r>
        <w:rPr>
          <w:rFonts w:hint="eastAsia" w:ascii="宋体" w:hAnsi="宋体" w:eastAsia="宋体" w:cs="Times New Roman"/>
          <w:szCs w:val="20"/>
        </w:rPr>
        <w:t>目标</w:t>
      </w:r>
      <w:r>
        <w:rPr>
          <w:rFonts w:ascii="宋体" w:hAnsi="宋体" w:eastAsia="宋体" w:cs="Times New Roman"/>
          <w:szCs w:val="20"/>
        </w:rPr>
        <w:t>2.掌握社会有机整体的基本构成要素及其相互关系、社会运行的动态过程、变迁及规律、社会良性运行及协调发展的条件与机制。</w:t>
      </w:r>
    </w:p>
    <w:p w14:paraId="5B7C338E">
      <w:pPr>
        <w:spacing w:line="360" w:lineRule="auto"/>
        <w:ind w:firstLine="420" w:firstLineChars="200"/>
        <w:rPr>
          <w:rFonts w:hint="eastAsia" w:ascii="宋体" w:hAnsi="等线" w:eastAsia="宋体" w:cs="Times New Roman"/>
          <w:szCs w:val="20"/>
        </w:rPr>
      </w:pPr>
      <w:r>
        <w:rPr>
          <w:rFonts w:hint="eastAsia" w:ascii="宋体" w:hAnsi="宋体" w:eastAsia="宋体" w:cs="Times New Roman"/>
          <w:szCs w:val="20"/>
        </w:rPr>
        <w:t>目标</w:t>
      </w:r>
      <w:r>
        <w:rPr>
          <w:rFonts w:ascii="宋体" w:hAnsi="宋体" w:eastAsia="宋体" w:cs="Times New Roman"/>
          <w:szCs w:val="20"/>
        </w:rPr>
        <w:t>3.熟练掌握社会构成、社会化、社会互动、社会群体、社会组织、社会分层、社会流动、社会制度、社会变迁、社会现代化等内容。</w:t>
      </w:r>
    </w:p>
    <w:p w14:paraId="46D2C5B9">
      <w:pPr>
        <w:spacing w:line="360" w:lineRule="auto"/>
        <w:ind w:firstLine="420" w:firstLineChars="200"/>
        <w:rPr>
          <w:rFonts w:hint="eastAsia" w:ascii="宋体" w:hAnsi="宋体" w:eastAsia="宋体" w:cs="Times New Roman"/>
          <w:szCs w:val="20"/>
        </w:rPr>
      </w:pPr>
      <w:r>
        <w:rPr>
          <w:rFonts w:hint="eastAsia" w:ascii="宋体" w:hAnsi="宋体" w:eastAsia="宋体" w:cs="Times New Roman"/>
          <w:szCs w:val="20"/>
        </w:rPr>
        <w:t>目标</w:t>
      </w:r>
      <w:r>
        <w:rPr>
          <w:rFonts w:ascii="宋体" w:hAnsi="宋体" w:eastAsia="宋体" w:cs="Times New Roman"/>
          <w:szCs w:val="20"/>
        </w:rPr>
        <w:t>4.</w:t>
      </w:r>
      <w:r>
        <w:rPr>
          <w:rFonts w:hint="eastAsia" w:ascii="宋体" w:hAnsi="宋体" w:eastAsia="宋体" w:cs="Times New Roman"/>
          <w:szCs w:val="20"/>
        </w:rPr>
        <w:t>运用</w:t>
      </w:r>
      <w:r>
        <w:rPr>
          <w:rFonts w:ascii="宋体" w:hAnsi="宋体" w:eastAsia="宋体" w:cs="Times New Roman"/>
          <w:szCs w:val="20"/>
        </w:rPr>
        <w:t>社会学的理论和方法观察社会现实、分析社会现象、解决社会问题，形成科学地认识社会和驾驭社会的能力。</w:t>
      </w:r>
    </w:p>
    <w:p w14:paraId="1EF81CB5">
      <w:pPr>
        <w:spacing w:line="360" w:lineRule="auto"/>
        <w:ind w:firstLine="422" w:firstLineChars="200"/>
        <w:outlineLvl w:val="1"/>
        <w:rPr>
          <w:rFonts w:hint="eastAsia" w:ascii="宋体" w:hAnsi="宋体" w:eastAsia="宋体" w:cs="Times New Roman"/>
          <w:b/>
          <w:szCs w:val="20"/>
        </w:rPr>
      </w:pPr>
      <w:bookmarkStart w:id="1451" w:name="_Toc17914"/>
      <w:r>
        <w:rPr>
          <w:rFonts w:hint="eastAsia" w:ascii="宋体" w:hAnsi="宋体" w:eastAsia="宋体" w:cs="Times New Roman"/>
          <w:b/>
          <w:szCs w:val="20"/>
        </w:rPr>
        <w:t>（二）课程目标与专业毕业要求的关系</w:t>
      </w:r>
      <w:bookmarkEnd w:id="1451"/>
    </w:p>
    <w:tbl>
      <w:tblPr>
        <w:tblStyle w:val="12"/>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5742"/>
        <w:gridCol w:w="1298"/>
      </w:tblGrid>
      <w:tr w14:paraId="5D58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624" w:type="dxa"/>
            <w:vAlign w:val="center"/>
          </w:tcPr>
          <w:p w14:paraId="2F71FEB5">
            <w:pPr>
              <w:spacing w:line="276" w:lineRule="auto"/>
              <w:jc w:val="center"/>
              <w:rPr>
                <w:rFonts w:hint="eastAsia" w:ascii="宋体" w:hAnsi="等线" w:eastAsia="宋体" w:cs="Times New Roman"/>
                <w:b/>
                <w:szCs w:val="21"/>
              </w:rPr>
            </w:pPr>
            <w:r>
              <w:rPr>
                <w:rFonts w:hint="eastAsia" w:ascii="宋体" w:hAnsi="等线" w:eastAsia="宋体" w:cs="Times New Roman"/>
                <w:b/>
                <w:szCs w:val="21"/>
              </w:rPr>
              <w:t>毕业要求</w:t>
            </w:r>
          </w:p>
        </w:tc>
        <w:tc>
          <w:tcPr>
            <w:tcW w:w="5742" w:type="dxa"/>
          </w:tcPr>
          <w:p w14:paraId="43452D03">
            <w:pPr>
              <w:spacing w:line="276" w:lineRule="auto"/>
              <w:rPr>
                <w:rFonts w:hint="eastAsia" w:ascii="宋体" w:hAnsi="等线" w:eastAsia="宋体" w:cs="Times New Roman"/>
                <w:b/>
                <w:szCs w:val="21"/>
              </w:rPr>
            </w:pPr>
            <w:r>
              <w:rPr>
                <w:rFonts w:hint="eastAsia" w:ascii="宋体" w:hAnsi="等线" w:eastAsia="宋体" w:cs="Times New Roman"/>
                <w:b/>
                <w:szCs w:val="21"/>
              </w:rPr>
              <w:t>毕业要求指标点</w:t>
            </w:r>
          </w:p>
        </w:tc>
        <w:tc>
          <w:tcPr>
            <w:tcW w:w="1298" w:type="dxa"/>
            <w:vAlign w:val="center"/>
          </w:tcPr>
          <w:p w14:paraId="4FDC9BF6">
            <w:pPr>
              <w:spacing w:line="276" w:lineRule="auto"/>
              <w:jc w:val="center"/>
              <w:rPr>
                <w:rFonts w:hint="eastAsia" w:ascii="宋体" w:hAnsi="等线" w:eastAsia="宋体" w:cs="Times New Roman"/>
                <w:b/>
                <w:szCs w:val="21"/>
              </w:rPr>
            </w:pPr>
            <w:r>
              <w:rPr>
                <w:rFonts w:hint="eastAsia" w:ascii="宋体" w:hAnsi="等线" w:eastAsia="宋体" w:cs="Times New Roman"/>
                <w:b/>
                <w:szCs w:val="21"/>
              </w:rPr>
              <w:t>课程目标</w:t>
            </w:r>
          </w:p>
        </w:tc>
      </w:tr>
      <w:tr w14:paraId="2A148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1624" w:type="dxa"/>
            <w:vAlign w:val="center"/>
          </w:tcPr>
          <w:p w14:paraId="18908749">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毕业要求1</w:t>
            </w:r>
            <w:r>
              <w:rPr>
                <w:rFonts w:ascii="宋体" w:hAnsi="等线" w:eastAsia="宋体" w:cs="Times New Roman"/>
                <w:bCs/>
                <w:sz w:val="20"/>
                <w:szCs w:val="20"/>
              </w:rPr>
              <w:t>:</w:t>
            </w:r>
          </w:p>
          <w:p w14:paraId="7BA2BE47">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师德规范</w:t>
            </w:r>
          </w:p>
        </w:tc>
        <w:tc>
          <w:tcPr>
            <w:tcW w:w="5742" w:type="dxa"/>
          </w:tcPr>
          <w:p w14:paraId="2D6AA3ED">
            <w:pPr>
              <w:widowControl/>
              <w:spacing w:line="276" w:lineRule="auto"/>
              <w:rPr>
                <w:rFonts w:hint="eastAsia" w:ascii="宋体" w:hAnsi="宋体" w:eastAsia="宋体" w:cs="宋体"/>
                <w:bCs/>
                <w:kern w:val="0"/>
                <w:sz w:val="20"/>
                <w:szCs w:val="20"/>
              </w:rPr>
            </w:pPr>
            <w:r>
              <w:rPr>
                <w:rFonts w:hint="eastAsia" w:ascii="宋体" w:hAnsi="宋体" w:eastAsia="宋体" w:cs="宋体"/>
                <w:b/>
                <w:bCs/>
                <w:kern w:val="0"/>
                <w:sz w:val="20"/>
                <w:szCs w:val="20"/>
              </w:rPr>
              <w:t>指标点1-1</w:t>
            </w:r>
            <w:r>
              <w:rPr>
                <w:rFonts w:hint="eastAsia" w:ascii="宋体" w:hAnsi="宋体" w:eastAsia="宋体" w:cs="宋体"/>
                <w:bCs/>
                <w:kern w:val="0"/>
                <w:sz w:val="20"/>
                <w:szCs w:val="20"/>
              </w:rPr>
              <w:t>:【理想信念坚定】了解我国国情及国际局势，深刻 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298" w:type="dxa"/>
            <w:vAlign w:val="center"/>
          </w:tcPr>
          <w:p w14:paraId="6F1F97EE">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课程目标1</w:t>
            </w:r>
          </w:p>
        </w:tc>
      </w:tr>
      <w:tr w14:paraId="7055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624" w:type="dxa"/>
            <w:vAlign w:val="center"/>
          </w:tcPr>
          <w:p w14:paraId="70A63916">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毕业要求3</w:t>
            </w:r>
            <w:r>
              <w:rPr>
                <w:rFonts w:ascii="宋体" w:hAnsi="等线" w:eastAsia="宋体" w:cs="Times New Roman"/>
                <w:bCs/>
                <w:sz w:val="20"/>
                <w:szCs w:val="20"/>
              </w:rPr>
              <w:t>:</w:t>
            </w:r>
          </w:p>
          <w:p w14:paraId="33E8EC24">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学科素养</w:t>
            </w:r>
          </w:p>
        </w:tc>
        <w:tc>
          <w:tcPr>
            <w:tcW w:w="5742" w:type="dxa"/>
          </w:tcPr>
          <w:p w14:paraId="09B7F154">
            <w:pPr>
              <w:widowControl/>
              <w:spacing w:line="276" w:lineRule="auto"/>
              <w:rPr>
                <w:rFonts w:hint="eastAsia" w:ascii="宋体" w:hAnsi="宋体" w:eastAsia="宋体" w:cs="宋体"/>
                <w:bCs/>
                <w:kern w:val="0"/>
                <w:sz w:val="20"/>
                <w:szCs w:val="20"/>
              </w:rPr>
            </w:pPr>
            <w:r>
              <w:rPr>
                <w:rFonts w:hint="eastAsia" w:ascii="宋体" w:hAnsi="宋体" w:eastAsia="宋体" w:cs="宋体"/>
                <w:b/>
                <w:bCs/>
                <w:kern w:val="0"/>
                <w:sz w:val="20"/>
                <w:szCs w:val="20"/>
              </w:rPr>
              <w:t>指标点3-1</w:t>
            </w:r>
            <w:r>
              <w:rPr>
                <w:rFonts w:hint="eastAsia" w:ascii="宋体" w:hAnsi="宋体" w:eastAsia="宋体" w:cs="宋体"/>
                <w:bCs/>
                <w:kern w:val="0"/>
                <w:sz w:val="20"/>
                <w:szCs w:val="20"/>
              </w:rPr>
              <w:t xml:space="preserve">：【通识知识广博】具有小学教育本科专业相应的自然科学和人文社会科学知识素养。 </w:t>
            </w:r>
          </w:p>
        </w:tc>
        <w:tc>
          <w:tcPr>
            <w:tcW w:w="1298" w:type="dxa"/>
            <w:vAlign w:val="center"/>
          </w:tcPr>
          <w:p w14:paraId="70B1EB98">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课程目标2</w:t>
            </w:r>
          </w:p>
          <w:p w14:paraId="74A81C61">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课程目标3</w:t>
            </w:r>
          </w:p>
        </w:tc>
      </w:tr>
      <w:tr w14:paraId="1B09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trPr>
        <w:tc>
          <w:tcPr>
            <w:tcW w:w="1624" w:type="dxa"/>
            <w:vAlign w:val="center"/>
          </w:tcPr>
          <w:p w14:paraId="1FF3E645">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毕业要求7</w:t>
            </w:r>
            <w:r>
              <w:rPr>
                <w:rFonts w:ascii="宋体" w:hAnsi="等线" w:eastAsia="宋体" w:cs="Times New Roman"/>
                <w:bCs/>
                <w:sz w:val="20"/>
                <w:szCs w:val="20"/>
              </w:rPr>
              <w:t>:</w:t>
            </w:r>
          </w:p>
          <w:p w14:paraId="6AD5AA5F">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学会反思</w:t>
            </w:r>
          </w:p>
        </w:tc>
        <w:tc>
          <w:tcPr>
            <w:tcW w:w="5742" w:type="dxa"/>
          </w:tcPr>
          <w:p w14:paraId="21F5FF64">
            <w:pPr>
              <w:widowControl/>
              <w:spacing w:line="276" w:lineRule="auto"/>
              <w:rPr>
                <w:rFonts w:hint="eastAsia" w:ascii="宋体" w:hAnsi="宋体" w:eastAsia="宋体" w:cs="宋体"/>
                <w:bCs/>
                <w:kern w:val="0"/>
                <w:sz w:val="20"/>
                <w:szCs w:val="20"/>
              </w:rPr>
            </w:pPr>
            <w:r>
              <w:rPr>
                <w:rFonts w:hint="eastAsia" w:ascii="宋体" w:hAnsi="宋体" w:eastAsia="宋体" w:cs="宋体"/>
                <w:b/>
                <w:bCs/>
                <w:kern w:val="0"/>
                <w:sz w:val="20"/>
                <w:szCs w:val="20"/>
              </w:rPr>
              <w:t>指标点7-3</w:t>
            </w:r>
            <w:r>
              <w:rPr>
                <w:rFonts w:hint="eastAsia" w:ascii="宋体" w:hAnsi="宋体" w:eastAsia="宋体" w:cs="宋体"/>
                <w:bCs/>
                <w:kern w:val="0"/>
                <w:sz w:val="20"/>
                <w:szCs w:val="20"/>
              </w:rPr>
              <w:t xml:space="preserve">：【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 </w:t>
            </w:r>
          </w:p>
        </w:tc>
        <w:tc>
          <w:tcPr>
            <w:tcW w:w="1298" w:type="dxa"/>
            <w:vAlign w:val="center"/>
          </w:tcPr>
          <w:p w14:paraId="755362FC">
            <w:pPr>
              <w:spacing w:line="276" w:lineRule="auto"/>
              <w:jc w:val="center"/>
              <w:rPr>
                <w:rFonts w:hint="eastAsia" w:ascii="宋体" w:hAnsi="等线" w:eastAsia="宋体" w:cs="Times New Roman"/>
                <w:bCs/>
                <w:sz w:val="20"/>
                <w:szCs w:val="20"/>
              </w:rPr>
            </w:pPr>
            <w:r>
              <w:rPr>
                <w:rFonts w:hint="eastAsia" w:ascii="宋体" w:hAnsi="等线" w:eastAsia="宋体" w:cs="Times New Roman"/>
                <w:bCs/>
                <w:sz w:val="20"/>
                <w:szCs w:val="20"/>
              </w:rPr>
              <w:t>课程目标4</w:t>
            </w:r>
          </w:p>
        </w:tc>
      </w:tr>
    </w:tbl>
    <w:p w14:paraId="517DFF26">
      <w:pPr>
        <w:spacing w:line="360" w:lineRule="auto"/>
        <w:ind w:firstLine="482" w:firstLineChars="200"/>
        <w:outlineLvl w:val="1"/>
        <w:rPr>
          <w:rFonts w:hint="eastAsia" w:ascii="宋体" w:hAnsi="等线" w:eastAsia="宋体" w:cs="Times New Roman"/>
          <w:b/>
          <w:sz w:val="24"/>
          <w:szCs w:val="22"/>
        </w:rPr>
      </w:pPr>
      <w:bookmarkStart w:id="1452" w:name="_Toc323"/>
      <w:r>
        <w:rPr>
          <w:rFonts w:hint="eastAsia" w:ascii="宋体" w:hAnsi="等线" w:eastAsia="宋体" w:cs="Times New Roman"/>
          <w:b/>
          <w:sz w:val="24"/>
          <w:szCs w:val="22"/>
        </w:rPr>
        <w:t>（三）课程思政目标</w:t>
      </w:r>
      <w:bookmarkEnd w:id="1452"/>
    </w:p>
    <w:p w14:paraId="69B23529">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巩固专业思想，树立正确</w:t>
      </w:r>
      <w:r>
        <w:rPr>
          <w:rFonts w:hint="eastAsia" w:ascii="宋体" w:hAnsi="宋体" w:eastAsia="宋体" w:cs="Times New Roman"/>
          <w:szCs w:val="21"/>
        </w:rPr>
        <w:t>的</w:t>
      </w:r>
      <w:r>
        <w:rPr>
          <w:rFonts w:ascii="宋体" w:hAnsi="宋体" w:eastAsia="宋体" w:cs="Times New Roman"/>
          <w:szCs w:val="21"/>
        </w:rPr>
        <w:t>教育</w:t>
      </w:r>
      <w:r>
        <w:rPr>
          <w:rFonts w:hint="eastAsia" w:ascii="宋体" w:hAnsi="宋体" w:eastAsia="宋体" w:cs="Times New Roman"/>
          <w:szCs w:val="21"/>
        </w:rPr>
        <w:t>理</w:t>
      </w:r>
      <w:r>
        <w:rPr>
          <w:rFonts w:ascii="宋体" w:hAnsi="宋体" w:eastAsia="宋体" w:cs="Times New Roman"/>
          <w:szCs w:val="21"/>
        </w:rPr>
        <w:t>念</w:t>
      </w:r>
      <w:r>
        <w:rPr>
          <w:rFonts w:hint="eastAsia" w:ascii="宋体" w:hAnsi="宋体" w:eastAsia="宋体" w:cs="Times New Roman"/>
          <w:szCs w:val="21"/>
        </w:rPr>
        <w:t>；建立科学客观的分析观念，掌握社会学分析问题的视角和方法，全面的了解教育实际，辩证认识教育领域中的问题，建立科学的教育观。</w:t>
      </w:r>
    </w:p>
    <w:p w14:paraId="74AE565C">
      <w:pPr>
        <w:spacing w:before="62" w:beforeLines="20" w:after="62" w:afterLines="20" w:line="360" w:lineRule="auto"/>
        <w:jc w:val="left"/>
        <w:rPr>
          <w:rFonts w:ascii="Times New Roman" w:hAnsi="Times New Roman" w:eastAsia="宋体" w:cs="Times New Roman"/>
          <w:b/>
          <w:sz w:val="24"/>
        </w:rPr>
      </w:pPr>
      <w:bookmarkStart w:id="1453" w:name="_Toc31067"/>
      <w:bookmarkStart w:id="1454" w:name="_Toc28598"/>
      <w:bookmarkStart w:id="1455" w:name="_Toc714"/>
      <w:bookmarkStart w:id="1456" w:name="_Toc13531"/>
      <w:bookmarkStart w:id="1457" w:name="_Toc21315"/>
      <w:bookmarkStart w:id="1458" w:name="_Toc17916"/>
      <w:bookmarkStart w:id="1459" w:name="_Toc19567"/>
      <w:r>
        <w:rPr>
          <w:rFonts w:hint="eastAsia" w:ascii="Times New Roman" w:hAnsi="Times New Roman" w:eastAsia="宋体" w:cs="Times New Roman"/>
          <w:b/>
          <w:sz w:val="24"/>
        </w:rPr>
        <w:t>三、教学内容与预期学习成效</w:t>
      </w:r>
      <w:bookmarkEnd w:id="1453"/>
      <w:bookmarkEnd w:id="1454"/>
      <w:bookmarkEnd w:id="1455"/>
      <w:bookmarkEnd w:id="1456"/>
      <w:bookmarkEnd w:id="1457"/>
      <w:bookmarkEnd w:id="1458"/>
      <w:bookmarkEnd w:id="1459"/>
    </w:p>
    <w:tbl>
      <w:tblPr>
        <w:tblStyle w:val="1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843"/>
        <w:gridCol w:w="1276"/>
        <w:gridCol w:w="2551"/>
        <w:gridCol w:w="1559"/>
        <w:gridCol w:w="567"/>
      </w:tblGrid>
      <w:tr w14:paraId="02A6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71" w:type="dxa"/>
            <w:vAlign w:val="center"/>
          </w:tcPr>
          <w:p w14:paraId="5F33F9E9">
            <w:pPr>
              <w:adjustRightInd w:val="0"/>
              <w:snapToGrid w:val="0"/>
              <w:spacing w:line="276" w:lineRule="auto"/>
              <w:jc w:val="center"/>
              <w:rPr>
                <w:rFonts w:hint="eastAsia" w:ascii="宋体" w:hAnsi="等线" w:eastAsia="宋体" w:cs="Times New Roman"/>
                <w:b/>
                <w:sz w:val="24"/>
              </w:rPr>
            </w:pPr>
            <w:r>
              <w:rPr>
                <w:rFonts w:hint="eastAsia" w:ascii="宋体" w:hAnsi="等线" w:eastAsia="宋体" w:cs="Times New Roman"/>
                <w:b/>
                <w:sz w:val="24"/>
              </w:rPr>
              <w:t>知识单元</w:t>
            </w:r>
          </w:p>
        </w:tc>
        <w:tc>
          <w:tcPr>
            <w:tcW w:w="1843" w:type="dxa"/>
            <w:vAlign w:val="center"/>
          </w:tcPr>
          <w:p w14:paraId="68074E76">
            <w:pPr>
              <w:adjustRightInd w:val="0"/>
              <w:snapToGrid w:val="0"/>
              <w:spacing w:line="276" w:lineRule="auto"/>
              <w:jc w:val="center"/>
              <w:rPr>
                <w:rFonts w:hint="eastAsia" w:ascii="宋体" w:hAnsi="等线" w:eastAsia="宋体" w:cs="Times New Roman"/>
                <w:b/>
                <w:sz w:val="24"/>
              </w:rPr>
            </w:pPr>
            <w:r>
              <w:rPr>
                <w:rFonts w:hint="eastAsia" w:ascii="宋体" w:hAnsi="等线" w:eastAsia="宋体" w:cs="Times New Roman"/>
                <w:b/>
                <w:sz w:val="24"/>
              </w:rPr>
              <w:t>知识点</w:t>
            </w:r>
          </w:p>
        </w:tc>
        <w:tc>
          <w:tcPr>
            <w:tcW w:w="1276" w:type="dxa"/>
            <w:vAlign w:val="center"/>
          </w:tcPr>
          <w:p w14:paraId="7B59F781">
            <w:pPr>
              <w:adjustRightInd w:val="0"/>
              <w:snapToGrid w:val="0"/>
              <w:spacing w:line="276" w:lineRule="auto"/>
              <w:jc w:val="center"/>
              <w:rPr>
                <w:rFonts w:hint="eastAsia" w:ascii="宋体" w:hAnsi="等线" w:eastAsia="宋体" w:cs="Times New Roman"/>
                <w:b/>
                <w:sz w:val="24"/>
              </w:rPr>
            </w:pPr>
            <w:r>
              <w:rPr>
                <w:rFonts w:hint="eastAsia" w:ascii="宋体" w:hAnsi="等线" w:eastAsia="宋体" w:cs="Times New Roman"/>
                <w:b/>
                <w:sz w:val="24"/>
              </w:rPr>
              <w:t>对应</w:t>
            </w:r>
          </w:p>
          <w:p w14:paraId="45790C9E">
            <w:pPr>
              <w:adjustRightInd w:val="0"/>
              <w:snapToGrid w:val="0"/>
              <w:spacing w:line="276" w:lineRule="auto"/>
              <w:jc w:val="center"/>
              <w:rPr>
                <w:rFonts w:hint="eastAsia" w:ascii="宋体" w:hAnsi="等线" w:eastAsia="宋体" w:cs="Times New Roman"/>
                <w:b/>
                <w:sz w:val="24"/>
              </w:rPr>
            </w:pPr>
            <w:r>
              <w:rPr>
                <w:rFonts w:hint="eastAsia" w:ascii="宋体" w:hAnsi="等线" w:eastAsia="宋体" w:cs="Times New Roman"/>
                <w:b/>
                <w:sz w:val="24"/>
              </w:rPr>
              <w:t>课程目标</w:t>
            </w:r>
          </w:p>
        </w:tc>
        <w:tc>
          <w:tcPr>
            <w:tcW w:w="2551" w:type="dxa"/>
            <w:vAlign w:val="center"/>
          </w:tcPr>
          <w:p w14:paraId="4FE5F3DF">
            <w:pPr>
              <w:adjustRightInd w:val="0"/>
              <w:snapToGrid w:val="0"/>
              <w:spacing w:line="276" w:lineRule="auto"/>
              <w:jc w:val="center"/>
              <w:rPr>
                <w:rFonts w:hint="eastAsia" w:ascii="宋体" w:hAnsi="等线" w:eastAsia="宋体" w:cs="Times New Roman"/>
                <w:b/>
                <w:sz w:val="24"/>
              </w:rPr>
            </w:pPr>
            <w:r>
              <w:rPr>
                <w:rFonts w:hint="eastAsia" w:ascii="宋体" w:hAnsi="等线" w:eastAsia="宋体" w:cs="Times New Roman"/>
                <w:b/>
                <w:sz w:val="24"/>
              </w:rPr>
              <w:t>预期学习成效</w:t>
            </w:r>
          </w:p>
        </w:tc>
        <w:tc>
          <w:tcPr>
            <w:tcW w:w="1559" w:type="dxa"/>
            <w:vAlign w:val="center"/>
          </w:tcPr>
          <w:p w14:paraId="43C9901F">
            <w:pPr>
              <w:adjustRightInd w:val="0"/>
              <w:snapToGrid w:val="0"/>
              <w:spacing w:line="276" w:lineRule="auto"/>
              <w:jc w:val="center"/>
              <w:rPr>
                <w:rFonts w:hint="eastAsia" w:ascii="宋体" w:hAnsi="等线" w:eastAsia="宋体" w:cs="Times New Roman"/>
                <w:b/>
                <w:sz w:val="24"/>
              </w:rPr>
            </w:pPr>
            <w:r>
              <w:rPr>
                <w:rFonts w:hint="eastAsia" w:ascii="宋体" w:hAnsi="等线" w:eastAsia="宋体" w:cs="Times New Roman"/>
                <w:b/>
                <w:sz w:val="24"/>
              </w:rPr>
              <w:t>实现环节</w:t>
            </w:r>
          </w:p>
        </w:tc>
        <w:tc>
          <w:tcPr>
            <w:tcW w:w="567" w:type="dxa"/>
            <w:vAlign w:val="center"/>
          </w:tcPr>
          <w:p w14:paraId="26AAD47F">
            <w:pPr>
              <w:adjustRightInd w:val="0"/>
              <w:snapToGrid w:val="0"/>
              <w:spacing w:line="276" w:lineRule="auto"/>
              <w:jc w:val="center"/>
              <w:rPr>
                <w:rFonts w:hint="eastAsia" w:ascii="宋体" w:hAnsi="等线" w:eastAsia="宋体" w:cs="Times New Roman"/>
                <w:b/>
                <w:sz w:val="24"/>
              </w:rPr>
            </w:pPr>
            <w:r>
              <w:rPr>
                <w:rFonts w:hint="eastAsia" w:ascii="宋体" w:hAnsi="等线" w:eastAsia="宋体" w:cs="Times New Roman"/>
                <w:b/>
                <w:sz w:val="24"/>
              </w:rPr>
              <w:t>学时</w:t>
            </w:r>
          </w:p>
        </w:tc>
      </w:tr>
      <w:tr w14:paraId="0B8A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1271" w:type="dxa"/>
            <w:vMerge w:val="restart"/>
            <w:vAlign w:val="center"/>
          </w:tcPr>
          <w:p w14:paraId="570B226A">
            <w:pPr>
              <w:adjustRightInd w:val="0"/>
              <w:snapToGrid w:val="0"/>
              <w:spacing w:line="276" w:lineRule="auto"/>
              <w:jc w:val="center"/>
              <w:rPr>
                <w:rFonts w:hint="eastAsia" w:ascii="宋体" w:hAnsi="等线" w:eastAsia="宋体" w:cs="Times New Roman"/>
                <w:bCs/>
                <w:szCs w:val="21"/>
              </w:rPr>
            </w:pPr>
            <w:r>
              <w:rPr>
                <w:rFonts w:hint="eastAsia" w:ascii="宋体" w:hAnsi="等线" w:eastAsia="宋体" w:cs="Times New Roman"/>
                <w:bCs/>
                <w:szCs w:val="21"/>
              </w:rPr>
              <w:t>第一章</w:t>
            </w:r>
          </w:p>
          <w:p w14:paraId="613425B5">
            <w:pPr>
              <w:adjustRightInd w:val="0"/>
              <w:snapToGrid w:val="0"/>
              <w:spacing w:line="276" w:lineRule="auto"/>
              <w:jc w:val="center"/>
              <w:rPr>
                <w:rFonts w:hint="eastAsia" w:ascii="宋体" w:hAnsi="等线" w:eastAsia="宋体" w:cs="Times New Roman"/>
                <w:bCs/>
                <w:szCs w:val="21"/>
              </w:rPr>
            </w:pPr>
            <w:r>
              <w:rPr>
                <w:rFonts w:hint="eastAsia" w:ascii="宋体" w:hAnsi="等线" w:eastAsia="宋体" w:cs="Times New Roman"/>
                <w:bCs/>
                <w:szCs w:val="21"/>
              </w:rPr>
              <w:t>认识社会学</w:t>
            </w:r>
          </w:p>
        </w:tc>
        <w:tc>
          <w:tcPr>
            <w:tcW w:w="1843" w:type="dxa"/>
            <w:vAlign w:val="center"/>
          </w:tcPr>
          <w:p w14:paraId="2897827F">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1</w:t>
            </w:r>
            <w:r>
              <w:rPr>
                <w:rFonts w:ascii="宋体" w:hAnsi="等线" w:eastAsia="宋体" w:cs="Times New Roman"/>
                <w:bCs/>
                <w:szCs w:val="21"/>
              </w:rPr>
              <w:t>.什么是社会学</w:t>
            </w:r>
          </w:p>
          <w:p w14:paraId="577611A2">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2</w:t>
            </w:r>
            <w:r>
              <w:rPr>
                <w:rFonts w:ascii="宋体" w:hAnsi="等线" w:eastAsia="宋体" w:cs="Times New Roman"/>
                <w:bCs/>
                <w:szCs w:val="21"/>
              </w:rPr>
              <w:t>.社会学研究对象和研究领域</w:t>
            </w:r>
          </w:p>
          <w:p w14:paraId="678F6956">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3</w:t>
            </w:r>
            <w:r>
              <w:rPr>
                <w:rFonts w:ascii="宋体" w:hAnsi="等线" w:eastAsia="宋体" w:cs="Times New Roman"/>
                <w:bCs/>
                <w:szCs w:val="21"/>
              </w:rPr>
              <w:t>.</w:t>
            </w:r>
            <w:r>
              <w:rPr>
                <w:rFonts w:hint="eastAsia" w:ascii="宋体" w:hAnsi="等线" w:eastAsia="宋体" w:cs="Times New Roman"/>
                <w:bCs/>
                <w:szCs w:val="21"/>
              </w:rPr>
              <w:t>社会学发展的历史</w:t>
            </w:r>
          </w:p>
          <w:p w14:paraId="03C90141">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4</w:t>
            </w:r>
            <w:r>
              <w:rPr>
                <w:rFonts w:ascii="宋体" w:hAnsi="等线" w:eastAsia="宋体" w:cs="Times New Roman"/>
                <w:bCs/>
                <w:szCs w:val="21"/>
              </w:rPr>
              <w:t>.学习社会学的价值</w:t>
            </w:r>
          </w:p>
        </w:tc>
        <w:tc>
          <w:tcPr>
            <w:tcW w:w="1276" w:type="dxa"/>
            <w:vAlign w:val="center"/>
          </w:tcPr>
          <w:p w14:paraId="5141DB80">
            <w:pPr>
              <w:adjustRightInd w:val="0"/>
              <w:snapToGrid w:val="0"/>
              <w:spacing w:line="276" w:lineRule="auto"/>
              <w:rPr>
                <w:rFonts w:hint="eastAsia" w:ascii="宋体" w:hAnsi="等线" w:eastAsia="宋体" w:cs="Times New Roman"/>
                <w:bCs/>
                <w:szCs w:val="21"/>
              </w:rPr>
            </w:pPr>
            <w:r>
              <w:rPr>
                <w:rFonts w:hint="eastAsia" w:ascii="宋体" w:hAnsi="宋体" w:eastAsia="宋体" w:cs="Times New Roman"/>
                <w:bCs/>
                <w:sz w:val="22"/>
                <w:szCs w:val="22"/>
              </w:rPr>
              <w:t>课程目标</w:t>
            </w:r>
            <w:r>
              <w:rPr>
                <w:rFonts w:ascii="宋体" w:hAnsi="宋体" w:eastAsia="宋体" w:cs="Times New Roman"/>
                <w:bCs/>
                <w:sz w:val="22"/>
                <w:szCs w:val="22"/>
              </w:rPr>
              <w:t>1</w:t>
            </w:r>
          </w:p>
        </w:tc>
        <w:tc>
          <w:tcPr>
            <w:tcW w:w="2551" w:type="dxa"/>
            <w:vAlign w:val="center"/>
          </w:tcPr>
          <w:p w14:paraId="668EA2E0">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1</w:t>
            </w:r>
            <w:r>
              <w:rPr>
                <w:rFonts w:ascii="宋体" w:hAnsi="等线" w:eastAsia="宋体" w:cs="Times New Roman"/>
                <w:bCs/>
                <w:szCs w:val="21"/>
              </w:rPr>
              <w:t>.了解社会学的学科性质、研究对象</w:t>
            </w:r>
          </w:p>
          <w:p w14:paraId="090B625D">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2</w:t>
            </w:r>
            <w:r>
              <w:rPr>
                <w:rFonts w:ascii="宋体" w:hAnsi="等线" w:eastAsia="宋体" w:cs="Times New Roman"/>
                <w:bCs/>
                <w:szCs w:val="21"/>
              </w:rPr>
              <w:t>.理解社会学的与其他社会科学的关系</w:t>
            </w:r>
          </w:p>
          <w:p w14:paraId="14C94E59">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3</w:t>
            </w:r>
            <w:r>
              <w:rPr>
                <w:rFonts w:ascii="宋体" w:hAnsi="等线" w:eastAsia="宋体" w:cs="Times New Roman"/>
                <w:bCs/>
                <w:szCs w:val="21"/>
              </w:rPr>
              <w:t>.掌握社会学考查社会系统的基本角度</w:t>
            </w:r>
          </w:p>
          <w:p w14:paraId="09CF6787">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4</w:t>
            </w:r>
            <w:r>
              <w:rPr>
                <w:rFonts w:ascii="宋体" w:hAnsi="等线" w:eastAsia="宋体" w:cs="Times New Roman"/>
                <w:bCs/>
                <w:szCs w:val="21"/>
              </w:rPr>
              <w:t>.</w:t>
            </w:r>
            <w:r>
              <w:rPr>
                <w:rFonts w:hint="eastAsia" w:ascii="宋体" w:hAnsi="等线" w:eastAsia="宋体" w:cs="Times New Roman"/>
                <w:bCs/>
                <w:szCs w:val="21"/>
              </w:rPr>
              <w:t>熟悉社会学代表人物及其思想</w:t>
            </w:r>
          </w:p>
        </w:tc>
        <w:tc>
          <w:tcPr>
            <w:tcW w:w="1559" w:type="dxa"/>
            <w:vAlign w:val="center"/>
          </w:tcPr>
          <w:p w14:paraId="74C36C8C">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1</w:t>
            </w:r>
            <w:r>
              <w:rPr>
                <w:rFonts w:ascii="宋体" w:hAnsi="等线" w:eastAsia="宋体" w:cs="Times New Roman"/>
                <w:bCs/>
                <w:szCs w:val="21"/>
              </w:rPr>
              <w:t>.</w:t>
            </w:r>
            <w:r>
              <w:rPr>
                <w:rFonts w:hint="eastAsia" w:ascii="宋体" w:hAnsi="等线" w:eastAsia="宋体" w:cs="Times New Roman"/>
                <w:bCs/>
                <w:szCs w:val="21"/>
              </w:rPr>
              <w:t>多媒体教学</w:t>
            </w:r>
          </w:p>
          <w:p w14:paraId="08283425">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2</w:t>
            </w:r>
            <w:r>
              <w:rPr>
                <w:rFonts w:ascii="宋体" w:hAnsi="等线" w:eastAsia="宋体" w:cs="Times New Roman"/>
                <w:bCs/>
                <w:szCs w:val="21"/>
              </w:rPr>
              <w:t>.</w:t>
            </w:r>
            <w:r>
              <w:rPr>
                <w:rFonts w:hint="eastAsia" w:ascii="宋体" w:hAnsi="等线" w:eastAsia="宋体" w:cs="Times New Roman"/>
                <w:bCs/>
                <w:szCs w:val="21"/>
              </w:rPr>
              <w:t>文献研究</w:t>
            </w:r>
          </w:p>
          <w:p w14:paraId="09651788">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3</w:t>
            </w:r>
            <w:r>
              <w:rPr>
                <w:rFonts w:ascii="宋体" w:hAnsi="等线" w:eastAsia="宋体" w:cs="Times New Roman"/>
                <w:bCs/>
                <w:szCs w:val="21"/>
              </w:rPr>
              <w:t>.</w:t>
            </w:r>
            <w:r>
              <w:rPr>
                <w:rFonts w:hint="eastAsia" w:ascii="宋体" w:hAnsi="等线" w:eastAsia="宋体" w:cs="Times New Roman"/>
                <w:bCs/>
                <w:szCs w:val="21"/>
              </w:rPr>
              <w:t>课堂讨论</w:t>
            </w:r>
          </w:p>
        </w:tc>
        <w:tc>
          <w:tcPr>
            <w:tcW w:w="567" w:type="dxa"/>
            <w:vAlign w:val="center"/>
          </w:tcPr>
          <w:p w14:paraId="064476B4">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6</w:t>
            </w:r>
          </w:p>
        </w:tc>
      </w:tr>
      <w:tr w14:paraId="3FA4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271" w:type="dxa"/>
            <w:vMerge w:val="continue"/>
            <w:vAlign w:val="center"/>
          </w:tcPr>
          <w:p w14:paraId="5ECFE35E">
            <w:pPr>
              <w:adjustRightInd w:val="0"/>
              <w:snapToGrid w:val="0"/>
              <w:spacing w:line="276" w:lineRule="auto"/>
              <w:jc w:val="center"/>
              <w:rPr>
                <w:rFonts w:hint="eastAsia" w:ascii="宋体" w:hAnsi="等线" w:eastAsia="宋体" w:cs="Times New Roman"/>
                <w:b/>
                <w:sz w:val="24"/>
              </w:rPr>
            </w:pPr>
          </w:p>
        </w:tc>
        <w:tc>
          <w:tcPr>
            <w:tcW w:w="7796" w:type="dxa"/>
            <w:gridSpan w:val="5"/>
          </w:tcPr>
          <w:p w14:paraId="68527D77">
            <w:pPr>
              <w:widowControl/>
              <w:adjustRightInd w:val="0"/>
              <w:snapToGrid w:val="0"/>
              <w:spacing w:line="276" w:lineRule="auto"/>
              <w:jc w:val="left"/>
              <w:rPr>
                <w:rFonts w:hint="eastAsia" w:ascii="宋体" w:hAnsi="宋体" w:eastAsia="宋体" w:cs="宋体"/>
                <w:kern w:val="0"/>
                <w:sz w:val="24"/>
              </w:rPr>
            </w:pPr>
            <w:r>
              <w:rPr>
                <w:rFonts w:hint="eastAsia" w:ascii="宋体" w:hAnsi="宋体" w:eastAsia="宋体" w:cs="宋体"/>
                <w:b/>
                <w:bCs/>
                <w:kern w:val="0"/>
                <w:szCs w:val="21"/>
              </w:rPr>
              <w:t>课程思政目标</w:t>
            </w:r>
            <w:r>
              <w:rPr>
                <w:rFonts w:hint="eastAsia" w:ascii="宋体" w:hAnsi="宋体" w:eastAsia="宋体" w:cs="宋体"/>
                <w:kern w:val="0"/>
                <w:szCs w:val="21"/>
              </w:rPr>
              <w:t>：理解社会学在教育活动中的作用，逐步加深对教育学与社会学之间关系的认识，帮助学生能够在更高的知识层面上理解教育的本质。</w:t>
            </w:r>
          </w:p>
        </w:tc>
      </w:tr>
      <w:tr w14:paraId="62BC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16D749B8">
            <w:pPr>
              <w:adjustRightInd w:val="0"/>
              <w:snapToGrid w:val="0"/>
              <w:spacing w:line="276" w:lineRule="auto"/>
              <w:jc w:val="center"/>
              <w:rPr>
                <w:rFonts w:hint="eastAsia" w:ascii="宋体" w:hAnsi="等线" w:eastAsia="宋体" w:cs="Times New Roman"/>
                <w:bCs/>
                <w:szCs w:val="21"/>
              </w:rPr>
            </w:pPr>
            <w:r>
              <w:rPr>
                <w:rFonts w:hint="eastAsia" w:ascii="宋体" w:hAnsi="等线" w:eastAsia="宋体" w:cs="Times New Roman"/>
                <w:bCs/>
                <w:szCs w:val="21"/>
              </w:rPr>
              <w:t>第二章</w:t>
            </w:r>
          </w:p>
          <w:p w14:paraId="5C33E35F">
            <w:pPr>
              <w:adjustRightInd w:val="0"/>
              <w:snapToGrid w:val="0"/>
              <w:spacing w:line="276" w:lineRule="auto"/>
              <w:jc w:val="center"/>
              <w:rPr>
                <w:rFonts w:hint="eastAsia" w:ascii="宋体" w:hAnsi="等线" w:eastAsia="宋体" w:cs="Times New Roman"/>
                <w:bCs/>
                <w:szCs w:val="21"/>
              </w:rPr>
            </w:pPr>
            <w:r>
              <w:rPr>
                <w:rFonts w:hint="eastAsia" w:ascii="宋体" w:hAnsi="宋体" w:eastAsia="宋体" w:cs="Times New Roman"/>
                <w:bCs/>
                <w:szCs w:val="21"/>
              </w:rPr>
              <w:t>个人与社会</w:t>
            </w:r>
          </w:p>
        </w:tc>
        <w:tc>
          <w:tcPr>
            <w:tcW w:w="1843" w:type="dxa"/>
            <w:vAlign w:val="center"/>
          </w:tcPr>
          <w:p w14:paraId="4DA690F2">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1</w:t>
            </w:r>
            <w:r>
              <w:rPr>
                <w:rFonts w:ascii="宋体" w:hAnsi="等线" w:eastAsia="宋体" w:cs="Times New Roman"/>
                <w:bCs/>
                <w:szCs w:val="21"/>
              </w:rPr>
              <w:t>.人的属性和社会本质</w:t>
            </w:r>
          </w:p>
          <w:p w14:paraId="0A13812A">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2</w:t>
            </w:r>
            <w:r>
              <w:rPr>
                <w:rFonts w:ascii="宋体" w:hAnsi="等线" w:eastAsia="宋体" w:cs="Times New Roman"/>
                <w:bCs/>
                <w:szCs w:val="21"/>
              </w:rPr>
              <w:t>.社会结构与社会交往</w:t>
            </w:r>
          </w:p>
          <w:p w14:paraId="294ED54B">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3</w:t>
            </w:r>
            <w:r>
              <w:rPr>
                <w:rFonts w:ascii="宋体" w:hAnsi="等线" w:eastAsia="宋体" w:cs="Times New Roman"/>
                <w:bCs/>
                <w:szCs w:val="21"/>
              </w:rPr>
              <w:t>.人的社会化与个体化</w:t>
            </w:r>
          </w:p>
        </w:tc>
        <w:tc>
          <w:tcPr>
            <w:tcW w:w="1276" w:type="dxa"/>
            <w:vAlign w:val="center"/>
          </w:tcPr>
          <w:p w14:paraId="50595817">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0E954CE4">
            <w:pPr>
              <w:adjustRightInd w:val="0"/>
              <w:snapToGrid w:val="0"/>
              <w:spacing w:line="276" w:lineRule="auto"/>
              <w:jc w:val="center"/>
              <w:rPr>
                <w:rFonts w:hint="eastAsia" w:ascii="宋体" w:hAnsi="等线" w:eastAsia="宋体" w:cs="Times New Roman"/>
                <w:bCs/>
                <w:szCs w:val="21"/>
              </w:rPr>
            </w:pPr>
            <w:r>
              <w:rPr>
                <w:rFonts w:hint="eastAsia" w:ascii="宋体" w:hAnsi="宋体" w:eastAsia="宋体" w:cs="Times New Roman"/>
                <w:bCs/>
                <w:szCs w:val="21"/>
              </w:rPr>
              <w:t>课程目标3</w:t>
            </w:r>
          </w:p>
        </w:tc>
        <w:tc>
          <w:tcPr>
            <w:tcW w:w="2551" w:type="dxa"/>
          </w:tcPr>
          <w:p w14:paraId="10B374D6">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1</w:t>
            </w:r>
            <w:r>
              <w:rPr>
                <w:rFonts w:ascii="宋体" w:hAnsi="等线" w:eastAsia="宋体" w:cs="Times New Roman"/>
                <w:bCs/>
                <w:szCs w:val="21"/>
              </w:rPr>
              <w:t>.了解社会的内涵、本质和运行过程</w:t>
            </w:r>
          </w:p>
          <w:p w14:paraId="4F95FD73">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2</w:t>
            </w:r>
            <w:r>
              <w:rPr>
                <w:rFonts w:ascii="宋体" w:hAnsi="等线" w:eastAsia="宋体" w:cs="Times New Roman"/>
                <w:bCs/>
                <w:szCs w:val="21"/>
              </w:rPr>
              <w:t>.了解社会结构、类型、交往方式</w:t>
            </w:r>
          </w:p>
          <w:p w14:paraId="4828F819">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3</w:t>
            </w:r>
            <w:r>
              <w:rPr>
                <w:rFonts w:ascii="宋体" w:hAnsi="等线" w:eastAsia="宋体" w:cs="Times New Roman"/>
                <w:bCs/>
                <w:szCs w:val="21"/>
              </w:rPr>
              <w:t>.掌握社会化的内涵，人的社会化过程</w:t>
            </w:r>
          </w:p>
          <w:p w14:paraId="66C2B052">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4</w:t>
            </w:r>
            <w:r>
              <w:rPr>
                <w:rFonts w:ascii="宋体" w:hAnsi="等线" w:eastAsia="宋体" w:cs="Times New Roman"/>
                <w:bCs/>
                <w:szCs w:val="21"/>
              </w:rPr>
              <w:t>.理解教育在人的社会化过程中的作用</w:t>
            </w:r>
          </w:p>
        </w:tc>
        <w:tc>
          <w:tcPr>
            <w:tcW w:w="1559" w:type="dxa"/>
            <w:vAlign w:val="center"/>
          </w:tcPr>
          <w:p w14:paraId="55F32071">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1</w:t>
            </w:r>
            <w:r>
              <w:rPr>
                <w:rFonts w:ascii="宋体" w:hAnsi="等线" w:eastAsia="宋体" w:cs="Times New Roman"/>
                <w:bCs/>
                <w:szCs w:val="21"/>
              </w:rPr>
              <w:t>.</w:t>
            </w:r>
            <w:r>
              <w:rPr>
                <w:rFonts w:hint="eastAsia" w:ascii="宋体" w:hAnsi="等线" w:eastAsia="宋体" w:cs="Times New Roman"/>
                <w:bCs/>
                <w:szCs w:val="21"/>
              </w:rPr>
              <w:t>多媒体教学</w:t>
            </w:r>
          </w:p>
          <w:p w14:paraId="6B30630B">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2</w:t>
            </w:r>
            <w:r>
              <w:rPr>
                <w:rFonts w:ascii="宋体" w:hAnsi="等线" w:eastAsia="宋体" w:cs="Times New Roman"/>
                <w:bCs/>
                <w:szCs w:val="21"/>
              </w:rPr>
              <w:t>.</w:t>
            </w:r>
            <w:r>
              <w:rPr>
                <w:rFonts w:hint="eastAsia" w:ascii="宋体" w:hAnsi="等线" w:eastAsia="宋体" w:cs="Times New Roman"/>
                <w:bCs/>
                <w:szCs w:val="21"/>
              </w:rPr>
              <w:t>案例分析</w:t>
            </w:r>
          </w:p>
          <w:p w14:paraId="3A548E97">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3</w:t>
            </w:r>
            <w:r>
              <w:rPr>
                <w:rFonts w:ascii="宋体" w:hAnsi="等线" w:eastAsia="宋体" w:cs="Times New Roman"/>
                <w:bCs/>
                <w:szCs w:val="21"/>
              </w:rPr>
              <w:t>.</w:t>
            </w:r>
            <w:r>
              <w:rPr>
                <w:rFonts w:hint="eastAsia" w:ascii="宋体" w:hAnsi="等线" w:eastAsia="宋体" w:cs="Times New Roman"/>
                <w:bCs/>
                <w:szCs w:val="21"/>
              </w:rPr>
              <w:t>课堂讨论</w:t>
            </w:r>
          </w:p>
        </w:tc>
        <w:tc>
          <w:tcPr>
            <w:tcW w:w="567" w:type="dxa"/>
          </w:tcPr>
          <w:p w14:paraId="58EEF86B">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Cs/>
                <w:szCs w:val="21"/>
              </w:rPr>
              <w:t>6</w:t>
            </w:r>
          </w:p>
        </w:tc>
      </w:tr>
      <w:tr w14:paraId="26E7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271" w:type="dxa"/>
            <w:vMerge w:val="continue"/>
            <w:vAlign w:val="center"/>
          </w:tcPr>
          <w:p w14:paraId="068C0E10">
            <w:pPr>
              <w:adjustRightInd w:val="0"/>
              <w:snapToGrid w:val="0"/>
              <w:spacing w:line="276" w:lineRule="auto"/>
              <w:jc w:val="center"/>
              <w:rPr>
                <w:rFonts w:hint="eastAsia" w:ascii="宋体" w:hAnsi="等线" w:eastAsia="宋体" w:cs="Times New Roman"/>
                <w:bCs/>
                <w:szCs w:val="21"/>
              </w:rPr>
            </w:pPr>
          </w:p>
        </w:tc>
        <w:tc>
          <w:tcPr>
            <w:tcW w:w="7796" w:type="dxa"/>
            <w:gridSpan w:val="5"/>
          </w:tcPr>
          <w:p w14:paraId="46041D61">
            <w:pPr>
              <w:adjustRightInd w:val="0"/>
              <w:snapToGrid w:val="0"/>
              <w:spacing w:line="276" w:lineRule="auto"/>
              <w:rPr>
                <w:rFonts w:hint="eastAsia" w:ascii="宋体" w:hAnsi="等线" w:eastAsia="宋体" w:cs="Times New Roman"/>
                <w:bCs/>
                <w:szCs w:val="21"/>
              </w:rPr>
            </w:pPr>
            <w:r>
              <w:rPr>
                <w:rFonts w:hint="eastAsia" w:ascii="宋体" w:hAnsi="等线" w:eastAsia="宋体" w:cs="Times New Roman"/>
                <w:b/>
                <w:szCs w:val="21"/>
              </w:rPr>
              <w:t>课程思政目标：</w:t>
            </w:r>
            <w:r>
              <w:rPr>
                <w:rFonts w:ascii="宋体" w:hAnsi="等线" w:eastAsia="宋体" w:cs="Times New Roman"/>
                <w:bCs/>
                <w:szCs w:val="21"/>
              </w:rPr>
              <w:t>深入理解马克思主义人学的基本内容，从自身实际出发不断加强对教育社会功能的认识。</w:t>
            </w:r>
          </w:p>
        </w:tc>
      </w:tr>
      <w:tr w14:paraId="0DC46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2C80741C">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第三章</w:t>
            </w:r>
          </w:p>
          <w:p w14:paraId="56F31795">
            <w:pPr>
              <w:adjustRightInd w:val="0"/>
              <w:snapToGrid w:val="0"/>
              <w:spacing w:line="276" w:lineRule="auto"/>
              <w:jc w:val="center"/>
              <w:rPr>
                <w:rFonts w:hint="eastAsia" w:ascii="宋体" w:hAnsi="等线" w:eastAsia="宋体" w:cs="Times New Roman"/>
                <w:bCs/>
                <w:szCs w:val="21"/>
              </w:rPr>
            </w:pPr>
            <w:r>
              <w:rPr>
                <w:rFonts w:hint="eastAsia" w:ascii="宋体" w:hAnsi="宋体" w:eastAsia="宋体" w:cs="Times New Roman"/>
                <w:bCs/>
                <w:szCs w:val="21"/>
              </w:rPr>
              <w:t>社会群体与社会网络</w:t>
            </w:r>
          </w:p>
        </w:tc>
        <w:tc>
          <w:tcPr>
            <w:tcW w:w="1843" w:type="dxa"/>
            <w:vAlign w:val="center"/>
          </w:tcPr>
          <w:p w14:paraId="46DC9EEC">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.社会网络</w:t>
            </w:r>
          </w:p>
          <w:p w14:paraId="18C99DE0">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.社会群体</w:t>
            </w:r>
          </w:p>
          <w:p w14:paraId="09BA618F">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.班级的社会学分析</w:t>
            </w:r>
          </w:p>
        </w:tc>
        <w:tc>
          <w:tcPr>
            <w:tcW w:w="1276" w:type="dxa"/>
            <w:vAlign w:val="center"/>
          </w:tcPr>
          <w:p w14:paraId="4E3D73DB">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26926849">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课程目标3</w:t>
            </w:r>
          </w:p>
        </w:tc>
        <w:tc>
          <w:tcPr>
            <w:tcW w:w="2551" w:type="dxa"/>
          </w:tcPr>
          <w:p w14:paraId="59B7762F">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.了解社会网络的类型与功能，理解社会网络分析理论</w:t>
            </w:r>
          </w:p>
          <w:p w14:paraId="6E3DD5B8">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.认识社会群体的类型，掌握初级、次级群体等</w:t>
            </w:r>
          </w:p>
          <w:p w14:paraId="553CDC38">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.理解班级的社会功能</w:t>
            </w:r>
          </w:p>
        </w:tc>
        <w:tc>
          <w:tcPr>
            <w:tcW w:w="1559" w:type="dxa"/>
            <w:vAlign w:val="center"/>
          </w:tcPr>
          <w:p w14:paraId="1AD92B3C">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w:t>
            </w:r>
            <w:r>
              <w:rPr>
                <w:rFonts w:hint="eastAsia" w:ascii="宋体" w:hAnsi="宋体" w:eastAsia="宋体" w:cs="Times New Roman"/>
                <w:bCs/>
                <w:szCs w:val="21"/>
              </w:rPr>
              <w:t>多媒体教学</w:t>
            </w:r>
          </w:p>
          <w:p w14:paraId="185C5CF0">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案例分析</w:t>
            </w:r>
          </w:p>
          <w:p w14:paraId="2A66293F">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w:t>
            </w:r>
            <w:r>
              <w:rPr>
                <w:rFonts w:hint="eastAsia" w:ascii="宋体" w:hAnsi="宋体" w:eastAsia="宋体" w:cs="Times New Roman"/>
                <w:bCs/>
                <w:szCs w:val="21"/>
              </w:rPr>
              <w:t>课堂讨论</w:t>
            </w:r>
          </w:p>
        </w:tc>
        <w:tc>
          <w:tcPr>
            <w:tcW w:w="567" w:type="dxa"/>
          </w:tcPr>
          <w:p w14:paraId="2C49295C">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6</w:t>
            </w:r>
          </w:p>
        </w:tc>
      </w:tr>
      <w:tr w14:paraId="4B20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43EC2F35">
            <w:pPr>
              <w:adjustRightInd w:val="0"/>
              <w:snapToGrid w:val="0"/>
              <w:spacing w:line="360" w:lineRule="auto"/>
              <w:jc w:val="center"/>
              <w:rPr>
                <w:rFonts w:hint="eastAsia" w:ascii="宋体" w:hAnsi="等线" w:eastAsia="宋体" w:cs="Times New Roman"/>
                <w:b/>
                <w:sz w:val="24"/>
              </w:rPr>
            </w:pPr>
          </w:p>
        </w:tc>
        <w:tc>
          <w:tcPr>
            <w:tcW w:w="7796" w:type="dxa"/>
            <w:gridSpan w:val="5"/>
          </w:tcPr>
          <w:p w14:paraId="56DBD8FF">
            <w:pPr>
              <w:adjustRightInd w:val="0"/>
              <w:snapToGrid w:val="0"/>
              <w:spacing w:line="276" w:lineRule="auto"/>
              <w:rPr>
                <w:rFonts w:hint="eastAsia" w:ascii="宋体" w:hAnsi="宋体" w:eastAsia="宋体" w:cs="Times New Roman"/>
                <w:bCs/>
                <w:szCs w:val="21"/>
              </w:rPr>
            </w:pPr>
            <w:r>
              <w:rPr>
                <w:rFonts w:hint="eastAsia" w:ascii="宋体" w:hAnsi="等线" w:eastAsia="宋体" w:cs="Times New Roman"/>
                <w:b/>
                <w:szCs w:val="21"/>
              </w:rPr>
              <w:t>课程思政目标：</w:t>
            </w:r>
            <w:r>
              <w:rPr>
                <w:rFonts w:ascii="宋体" w:hAnsi="宋体" w:eastAsia="宋体" w:cs="Times New Roman"/>
                <w:bCs/>
                <w:szCs w:val="21"/>
              </w:rPr>
              <w:t>加强对教师群体在社会中的价值认识，理解教师职业角色的特殊意义，深刻领会习近平总书记以人民为中心的治国理政思想。</w:t>
            </w:r>
          </w:p>
        </w:tc>
      </w:tr>
      <w:tr w14:paraId="7229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3CA18527">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第四章</w:t>
            </w:r>
          </w:p>
          <w:p w14:paraId="1B7E0449">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社会组织</w:t>
            </w:r>
          </w:p>
        </w:tc>
        <w:tc>
          <w:tcPr>
            <w:tcW w:w="1843" w:type="dxa"/>
            <w:vAlign w:val="center"/>
          </w:tcPr>
          <w:p w14:paraId="4C771333">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.社会组织概述</w:t>
            </w:r>
          </w:p>
          <w:p w14:paraId="0F286B97">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.组织结构与组织体系</w:t>
            </w:r>
          </w:p>
          <w:p w14:paraId="1CB42E17">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.组织管理</w:t>
            </w:r>
          </w:p>
        </w:tc>
        <w:tc>
          <w:tcPr>
            <w:tcW w:w="1276" w:type="dxa"/>
            <w:vAlign w:val="center"/>
          </w:tcPr>
          <w:p w14:paraId="4758DE9A">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3760A744">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课程目标3</w:t>
            </w:r>
          </w:p>
        </w:tc>
        <w:tc>
          <w:tcPr>
            <w:tcW w:w="2551" w:type="dxa"/>
          </w:tcPr>
          <w:p w14:paraId="11FDB612">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.了解社会组织的含义与构成要素，掌握社会组织的目标与结构。</w:t>
            </w:r>
          </w:p>
          <w:p w14:paraId="4D3E8643">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.认识科层制，能联系学校实际思考科层制的利弊</w:t>
            </w:r>
          </w:p>
        </w:tc>
        <w:tc>
          <w:tcPr>
            <w:tcW w:w="1559" w:type="dxa"/>
            <w:vAlign w:val="center"/>
          </w:tcPr>
          <w:p w14:paraId="72B19B3E">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w:t>
            </w:r>
            <w:r>
              <w:rPr>
                <w:rFonts w:hint="eastAsia" w:ascii="宋体" w:hAnsi="宋体" w:eastAsia="宋体" w:cs="Times New Roman"/>
                <w:bCs/>
                <w:szCs w:val="21"/>
              </w:rPr>
              <w:t>多媒体教学</w:t>
            </w:r>
          </w:p>
          <w:p w14:paraId="229D90BD">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案例分析</w:t>
            </w:r>
          </w:p>
          <w:p w14:paraId="11C655D7">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w:t>
            </w:r>
            <w:r>
              <w:rPr>
                <w:rFonts w:hint="eastAsia" w:ascii="宋体" w:hAnsi="宋体" w:eastAsia="宋体" w:cs="Times New Roman"/>
                <w:bCs/>
                <w:szCs w:val="21"/>
              </w:rPr>
              <w:t>课堂讨论</w:t>
            </w:r>
          </w:p>
        </w:tc>
        <w:tc>
          <w:tcPr>
            <w:tcW w:w="567" w:type="dxa"/>
          </w:tcPr>
          <w:p w14:paraId="00D7CEE8">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6</w:t>
            </w:r>
          </w:p>
        </w:tc>
      </w:tr>
      <w:tr w14:paraId="4827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3800017A">
            <w:pPr>
              <w:adjustRightInd w:val="0"/>
              <w:snapToGrid w:val="0"/>
              <w:spacing w:line="360" w:lineRule="auto"/>
              <w:jc w:val="center"/>
              <w:rPr>
                <w:rFonts w:hint="eastAsia" w:ascii="宋体" w:hAnsi="宋体" w:eastAsia="宋体" w:cs="Times New Roman"/>
                <w:bCs/>
                <w:szCs w:val="21"/>
              </w:rPr>
            </w:pPr>
          </w:p>
        </w:tc>
        <w:tc>
          <w:tcPr>
            <w:tcW w:w="7796" w:type="dxa"/>
            <w:gridSpan w:val="5"/>
          </w:tcPr>
          <w:p w14:paraId="73456455">
            <w:pPr>
              <w:adjustRightInd w:val="0"/>
              <w:snapToGrid w:val="0"/>
              <w:spacing w:line="360" w:lineRule="auto"/>
              <w:rPr>
                <w:rFonts w:hint="eastAsia" w:ascii="宋体" w:hAnsi="宋体" w:eastAsia="宋体" w:cs="Times New Roman"/>
                <w:bCs/>
                <w:szCs w:val="21"/>
              </w:rPr>
            </w:pPr>
            <w:r>
              <w:rPr>
                <w:rFonts w:hint="eastAsia" w:ascii="宋体" w:hAnsi="等线" w:eastAsia="宋体" w:cs="Times New Roman"/>
                <w:b/>
                <w:szCs w:val="21"/>
              </w:rPr>
              <w:t>课程思政目标：</w:t>
            </w:r>
            <w:r>
              <w:rPr>
                <w:rFonts w:hint="eastAsia" w:ascii="宋体" w:hAnsi="宋体" w:eastAsia="宋体" w:cs="Times New Roman"/>
                <w:bCs/>
                <w:szCs w:val="21"/>
              </w:rPr>
              <w:t>针对学校组织特点思考教师工作的特殊性，加深对学校管理的认识。</w:t>
            </w:r>
          </w:p>
        </w:tc>
      </w:tr>
      <w:tr w14:paraId="71C0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1C659436">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第五章</w:t>
            </w:r>
          </w:p>
          <w:p w14:paraId="7FF396CF">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社会制度</w:t>
            </w:r>
          </w:p>
        </w:tc>
        <w:tc>
          <w:tcPr>
            <w:tcW w:w="1843" w:type="dxa"/>
          </w:tcPr>
          <w:p w14:paraId="3EED7012">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.社会制度的内涵与类型</w:t>
            </w:r>
          </w:p>
          <w:p w14:paraId="35F13988">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.社会制度存在的价值</w:t>
            </w:r>
          </w:p>
          <w:p w14:paraId="0238EBD4">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.社会越轨及其思考</w:t>
            </w:r>
          </w:p>
        </w:tc>
        <w:tc>
          <w:tcPr>
            <w:tcW w:w="1276" w:type="dxa"/>
            <w:vAlign w:val="center"/>
          </w:tcPr>
          <w:p w14:paraId="5CBBDA30">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2DAE49CB">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课程目标3</w:t>
            </w:r>
          </w:p>
        </w:tc>
        <w:tc>
          <w:tcPr>
            <w:tcW w:w="2551" w:type="dxa"/>
            <w:vAlign w:val="center"/>
          </w:tcPr>
          <w:p w14:paraId="1251BFE0">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.了解社会制度的内涵、类型、价值</w:t>
            </w:r>
          </w:p>
          <w:p w14:paraId="653AA0A8">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.了解社会越轨行为，从多个角度理解越轨行为发生的原因</w:t>
            </w:r>
          </w:p>
        </w:tc>
        <w:tc>
          <w:tcPr>
            <w:tcW w:w="1559" w:type="dxa"/>
            <w:vAlign w:val="center"/>
          </w:tcPr>
          <w:p w14:paraId="15323449">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w:t>
            </w:r>
            <w:r>
              <w:rPr>
                <w:rFonts w:hint="eastAsia" w:ascii="宋体" w:hAnsi="宋体" w:eastAsia="宋体" w:cs="Times New Roman"/>
                <w:bCs/>
                <w:szCs w:val="21"/>
              </w:rPr>
              <w:t>多媒体教学</w:t>
            </w:r>
          </w:p>
          <w:p w14:paraId="420C9389">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案例分析</w:t>
            </w:r>
          </w:p>
          <w:p w14:paraId="7784BF64">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w:t>
            </w:r>
            <w:r>
              <w:rPr>
                <w:rFonts w:hint="eastAsia" w:ascii="宋体" w:hAnsi="宋体" w:eastAsia="宋体" w:cs="Times New Roman"/>
                <w:bCs/>
                <w:szCs w:val="21"/>
              </w:rPr>
              <w:t>课堂讨论</w:t>
            </w:r>
          </w:p>
        </w:tc>
        <w:tc>
          <w:tcPr>
            <w:tcW w:w="567" w:type="dxa"/>
          </w:tcPr>
          <w:p w14:paraId="3AAF4A40">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6</w:t>
            </w:r>
          </w:p>
        </w:tc>
      </w:tr>
      <w:tr w14:paraId="36D4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7B6B5D93">
            <w:pPr>
              <w:adjustRightInd w:val="0"/>
              <w:snapToGrid w:val="0"/>
              <w:spacing w:line="360" w:lineRule="auto"/>
              <w:jc w:val="center"/>
              <w:rPr>
                <w:rFonts w:hint="eastAsia" w:ascii="宋体" w:hAnsi="宋体" w:eastAsia="宋体" w:cs="Times New Roman"/>
                <w:bCs/>
                <w:szCs w:val="21"/>
              </w:rPr>
            </w:pPr>
          </w:p>
        </w:tc>
        <w:tc>
          <w:tcPr>
            <w:tcW w:w="7796" w:type="dxa"/>
            <w:gridSpan w:val="5"/>
          </w:tcPr>
          <w:p w14:paraId="60F1C9B6">
            <w:pPr>
              <w:widowControl/>
              <w:adjustRightInd w:val="0"/>
              <w:snapToGrid w:val="0"/>
              <w:spacing w:line="360" w:lineRule="auto"/>
              <w:jc w:val="left"/>
              <w:rPr>
                <w:rFonts w:hint="eastAsia" w:ascii="宋体" w:hAnsi="宋体" w:eastAsia="宋体" w:cs="Times New Roman"/>
                <w:bCs/>
                <w:szCs w:val="21"/>
              </w:rPr>
            </w:pPr>
            <w:r>
              <w:rPr>
                <w:rFonts w:hint="eastAsia" w:ascii="宋体" w:hAnsi="等线" w:eastAsia="宋体" w:cs="Times New Roman"/>
                <w:b/>
                <w:szCs w:val="21"/>
              </w:rPr>
              <w:t>课程思政目标：</w:t>
            </w:r>
            <w:r>
              <w:rPr>
                <w:rFonts w:hint="eastAsia" w:ascii="宋体" w:hAnsi="宋体" w:eastAsia="宋体" w:cs="Times New Roman"/>
                <w:bCs/>
                <w:szCs w:val="21"/>
              </w:rPr>
              <w:t>认识到制度在组织正式管理中的积极意义，增强责任感和自律意识。</w:t>
            </w:r>
          </w:p>
        </w:tc>
      </w:tr>
      <w:tr w14:paraId="263F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040D9782">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第六章</w:t>
            </w:r>
          </w:p>
          <w:p w14:paraId="1879FDDE">
            <w:pPr>
              <w:adjustRightInd w:val="0"/>
              <w:snapToGrid w:val="0"/>
              <w:spacing w:line="276" w:lineRule="auto"/>
              <w:jc w:val="center"/>
              <w:rPr>
                <w:rFonts w:hint="eastAsia" w:ascii="宋体" w:hAnsi="宋体" w:eastAsia="宋体" w:cs="Times New Roman"/>
                <w:bCs/>
                <w:szCs w:val="21"/>
              </w:rPr>
            </w:pPr>
            <w:r>
              <w:rPr>
                <w:rFonts w:ascii="宋体" w:hAnsi="宋体" w:eastAsia="宋体" w:cs="Times New Roman"/>
                <w:bCs/>
                <w:szCs w:val="21"/>
              </w:rPr>
              <w:t>社会分层与社会流动</w:t>
            </w:r>
          </w:p>
        </w:tc>
        <w:tc>
          <w:tcPr>
            <w:tcW w:w="1843" w:type="dxa"/>
            <w:vAlign w:val="center"/>
          </w:tcPr>
          <w:p w14:paraId="1B0CE480">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.社会分层</w:t>
            </w:r>
          </w:p>
          <w:p w14:paraId="58A6B47A">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.社会流动</w:t>
            </w:r>
          </w:p>
        </w:tc>
        <w:tc>
          <w:tcPr>
            <w:tcW w:w="1276" w:type="dxa"/>
            <w:vAlign w:val="center"/>
          </w:tcPr>
          <w:p w14:paraId="0E668C15">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0F18BA5A">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课程目标3</w:t>
            </w:r>
          </w:p>
        </w:tc>
        <w:tc>
          <w:tcPr>
            <w:tcW w:w="2551" w:type="dxa"/>
          </w:tcPr>
          <w:p w14:paraId="42B1D56E">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.了解社会分层的内涵</w:t>
            </w:r>
          </w:p>
          <w:p w14:paraId="3B55A26C">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.理解造成社会分层的原因及其后果</w:t>
            </w:r>
          </w:p>
          <w:p w14:paraId="5F44CB52">
            <w:pPr>
              <w:adjustRightInd w:val="0"/>
              <w:snapToGrid w:val="0"/>
              <w:spacing w:line="276" w:lineRule="auto"/>
              <w:rPr>
                <w:rFonts w:hint="eastAsia" w:ascii="宋体" w:hAnsi="宋体" w:eastAsia="宋体" w:cs="Times New Roman"/>
                <w:bCs/>
                <w:szCs w:val="21"/>
              </w:rPr>
            </w:pPr>
            <w:r>
              <w:rPr>
                <w:rFonts w:ascii="宋体" w:hAnsi="宋体" w:eastAsia="宋体" w:cs="Times New Roman"/>
                <w:bCs/>
                <w:szCs w:val="21"/>
              </w:rPr>
              <w:t>3.认识社会流动的类型和影响因素</w:t>
            </w:r>
          </w:p>
          <w:p w14:paraId="6D38EA91">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.掌握合理社会流动的机制和意义</w:t>
            </w:r>
          </w:p>
        </w:tc>
        <w:tc>
          <w:tcPr>
            <w:tcW w:w="1559" w:type="dxa"/>
            <w:vAlign w:val="center"/>
          </w:tcPr>
          <w:p w14:paraId="3B8BBE74">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w:t>
            </w:r>
            <w:r>
              <w:rPr>
                <w:rFonts w:hint="eastAsia" w:ascii="宋体" w:hAnsi="宋体" w:eastAsia="宋体" w:cs="Times New Roman"/>
                <w:bCs/>
                <w:szCs w:val="21"/>
              </w:rPr>
              <w:t>多媒体教学</w:t>
            </w:r>
          </w:p>
          <w:p w14:paraId="7B1632B1">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案例分析</w:t>
            </w:r>
          </w:p>
          <w:p w14:paraId="1DA3A63E">
            <w:pPr>
              <w:adjustRightInd w:val="0"/>
              <w:snapToGrid w:val="0"/>
              <w:spacing w:line="360" w:lineRule="auto"/>
              <w:rPr>
                <w:rFonts w:hint="eastAsia" w:ascii="宋体" w:hAnsi="等线" w:eastAsia="宋体" w:cs="Times New Roman"/>
                <w:b/>
                <w:sz w:val="24"/>
              </w:rPr>
            </w:pPr>
            <w:r>
              <w:rPr>
                <w:rFonts w:hint="eastAsia" w:ascii="宋体" w:hAnsi="宋体" w:eastAsia="宋体" w:cs="Times New Roman"/>
                <w:bCs/>
                <w:szCs w:val="21"/>
              </w:rPr>
              <w:t>3</w:t>
            </w:r>
            <w:r>
              <w:rPr>
                <w:rFonts w:ascii="宋体" w:hAnsi="宋体" w:eastAsia="宋体" w:cs="Times New Roman"/>
                <w:bCs/>
                <w:szCs w:val="21"/>
              </w:rPr>
              <w:t>.</w:t>
            </w:r>
            <w:r>
              <w:rPr>
                <w:rFonts w:hint="eastAsia" w:ascii="宋体" w:hAnsi="宋体" w:eastAsia="宋体" w:cs="Times New Roman"/>
                <w:bCs/>
                <w:szCs w:val="21"/>
              </w:rPr>
              <w:t>课堂讨论</w:t>
            </w:r>
          </w:p>
        </w:tc>
        <w:tc>
          <w:tcPr>
            <w:tcW w:w="567" w:type="dxa"/>
          </w:tcPr>
          <w:p w14:paraId="2A2D4867">
            <w:pPr>
              <w:adjustRightInd w:val="0"/>
              <w:snapToGrid w:val="0"/>
              <w:spacing w:line="360" w:lineRule="auto"/>
              <w:rPr>
                <w:rFonts w:hint="eastAsia" w:ascii="宋体" w:hAnsi="等线" w:eastAsia="宋体" w:cs="Times New Roman"/>
                <w:b/>
                <w:sz w:val="24"/>
              </w:rPr>
            </w:pPr>
            <w:r>
              <w:rPr>
                <w:rFonts w:hint="eastAsia" w:ascii="宋体" w:hAnsi="等线" w:eastAsia="宋体" w:cs="Times New Roman"/>
                <w:b/>
                <w:sz w:val="24"/>
              </w:rPr>
              <w:t>6</w:t>
            </w:r>
          </w:p>
        </w:tc>
      </w:tr>
      <w:tr w14:paraId="0ABA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6B4D5E1F">
            <w:pPr>
              <w:adjustRightInd w:val="0"/>
              <w:snapToGrid w:val="0"/>
              <w:spacing w:line="276" w:lineRule="auto"/>
              <w:jc w:val="center"/>
              <w:rPr>
                <w:rFonts w:hint="eastAsia" w:ascii="宋体" w:hAnsi="宋体" w:eastAsia="宋体" w:cs="Times New Roman"/>
                <w:bCs/>
                <w:szCs w:val="21"/>
              </w:rPr>
            </w:pPr>
          </w:p>
        </w:tc>
        <w:tc>
          <w:tcPr>
            <w:tcW w:w="7796" w:type="dxa"/>
            <w:gridSpan w:val="5"/>
          </w:tcPr>
          <w:p w14:paraId="1220ADDF">
            <w:pPr>
              <w:adjustRightInd w:val="0"/>
              <w:snapToGrid w:val="0"/>
              <w:spacing w:line="276" w:lineRule="auto"/>
              <w:rPr>
                <w:rFonts w:hint="eastAsia" w:ascii="宋体" w:hAnsi="宋体" w:eastAsia="宋体" w:cs="Times New Roman"/>
                <w:bCs/>
                <w:szCs w:val="21"/>
              </w:rPr>
            </w:pPr>
            <w:r>
              <w:rPr>
                <w:rFonts w:hint="eastAsia" w:ascii="宋体" w:hAnsi="等线" w:eastAsia="宋体" w:cs="Times New Roman"/>
                <w:b/>
                <w:szCs w:val="21"/>
              </w:rPr>
              <w:t>课程思政目标：</w:t>
            </w:r>
            <w:r>
              <w:rPr>
                <w:rFonts w:hint="eastAsia" w:ascii="宋体" w:hAnsi="宋体" w:eastAsia="宋体" w:cs="Times New Roman"/>
                <w:bCs/>
                <w:szCs w:val="21"/>
              </w:rPr>
              <w:t>增强对我国农民工子女学生的教育感情，理解社会底层人群的疾苦，进而能够在未来的工作中做到对待学生一视同仁。</w:t>
            </w:r>
          </w:p>
        </w:tc>
      </w:tr>
      <w:tr w14:paraId="5C23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41EEC57F">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第七章</w:t>
            </w:r>
          </w:p>
          <w:p w14:paraId="001B6CD6">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社会变迁与社会现代化</w:t>
            </w:r>
          </w:p>
        </w:tc>
        <w:tc>
          <w:tcPr>
            <w:tcW w:w="1843" w:type="dxa"/>
          </w:tcPr>
          <w:p w14:paraId="372AFD19">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.社会变迁的内容、类型和特点</w:t>
            </w:r>
          </w:p>
          <w:p w14:paraId="073C7A22">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.社会现代化的内涵和基本特征</w:t>
            </w:r>
          </w:p>
          <w:p w14:paraId="3626283E">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.我国的社会现代化</w:t>
            </w:r>
          </w:p>
        </w:tc>
        <w:tc>
          <w:tcPr>
            <w:tcW w:w="1276" w:type="dxa"/>
            <w:vAlign w:val="center"/>
          </w:tcPr>
          <w:p w14:paraId="70E2ADB5">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课程目标2</w:t>
            </w:r>
          </w:p>
          <w:p w14:paraId="432EFB21">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课程目标3</w:t>
            </w:r>
          </w:p>
        </w:tc>
        <w:tc>
          <w:tcPr>
            <w:tcW w:w="2551" w:type="dxa"/>
          </w:tcPr>
          <w:p w14:paraId="7C64FCEC">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.了解社会变迁的内容和根源</w:t>
            </w:r>
          </w:p>
          <w:p w14:paraId="4947E511">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.理解社会现代化的基本规律和制约因素</w:t>
            </w:r>
          </w:p>
          <w:p w14:paraId="662B966A">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.掌握我国的社会主义现代化与社会改革</w:t>
            </w:r>
          </w:p>
        </w:tc>
        <w:tc>
          <w:tcPr>
            <w:tcW w:w="1559" w:type="dxa"/>
            <w:vAlign w:val="center"/>
          </w:tcPr>
          <w:p w14:paraId="31364729">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w:t>
            </w:r>
            <w:r>
              <w:rPr>
                <w:rFonts w:hint="eastAsia" w:ascii="宋体" w:hAnsi="宋体" w:eastAsia="宋体" w:cs="Times New Roman"/>
                <w:bCs/>
                <w:szCs w:val="21"/>
              </w:rPr>
              <w:t>多媒体教学</w:t>
            </w:r>
          </w:p>
          <w:p w14:paraId="0A54C3E5">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案例分析</w:t>
            </w:r>
          </w:p>
          <w:p w14:paraId="70EBCD0E">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w:t>
            </w:r>
            <w:r>
              <w:rPr>
                <w:rFonts w:hint="eastAsia" w:ascii="宋体" w:hAnsi="宋体" w:eastAsia="宋体" w:cs="Times New Roman"/>
                <w:bCs/>
                <w:szCs w:val="21"/>
              </w:rPr>
              <w:t>课堂讨论</w:t>
            </w:r>
          </w:p>
        </w:tc>
        <w:tc>
          <w:tcPr>
            <w:tcW w:w="567" w:type="dxa"/>
          </w:tcPr>
          <w:p w14:paraId="21267A04">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6</w:t>
            </w:r>
          </w:p>
        </w:tc>
      </w:tr>
      <w:tr w14:paraId="33A9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5D38E645">
            <w:pPr>
              <w:adjustRightInd w:val="0"/>
              <w:snapToGrid w:val="0"/>
              <w:spacing w:line="276" w:lineRule="auto"/>
              <w:jc w:val="center"/>
              <w:rPr>
                <w:rFonts w:hint="eastAsia" w:ascii="宋体" w:hAnsi="宋体" w:eastAsia="宋体" w:cs="Times New Roman"/>
                <w:bCs/>
                <w:szCs w:val="21"/>
              </w:rPr>
            </w:pPr>
          </w:p>
        </w:tc>
        <w:tc>
          <w:tcPr>
            <w:tcW w:w="7796" w:type="dxa"/>
            <w:gridSpan w:val="5"/>
          </w:tcPr>
          <w:p w14:paraId="6AE6CF3D">
            <w:pPr>
              <w:adjustRightInd w:val="0"/>
              <w:snapToGrid w:val="0"/>
              <w:spacing w:line="276" w:lineRule="auto"/>
              <w:rPr>
                <w:rFonts w:hint="eastAsia" w:ascii="宋体" w:hAnsi="宋体" w:eastAsia="宋体" w:cs="Times New Roman"/>
                <w:bCs/>
                <w:szCs w:val="21"/>
              </w:rPr>
            </w:pPr>
            <w:r>
              <w:rPr>
                <w:rFonts w:hint="eastAsia" w:ascii="宋体" w:hAnsi="等线" w:eastAsia="宋体" w:cs="Times New Roman"/>
                <w:b/>
                <w:szCs w:val="21"/>
              </w:rPr>
              <w:t>课程思政目标：</w:t>
            </w:r>
            <w:r>
              <w:rPr>
                <w:rFonts w:hint="eastAsia" w:ascii="宋体" w:hAnsi="宋体" w:eastAsia="宋体" w:cs="Times New Roman"/>
                <w:bCs/>
                <w:szCs w:val="21"/>
              </w:rPr>
              <w:t>增强我国全面建设小康社会和实现中华民族伟大复兴的政治自觉和行动自觉，努力在未来的教育工作中为国家教育现代化贡献力量。</w:t>
            </w:r>
          </w:p>
        </w:tc>
      </w:tr>
      <w:tr w14:paraId="2C2E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restart"/>
            <w:vAlign w:val="center"/>
          </w:tcPr>
          <w:p w14:paraId="7EFFE531">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第八章</w:t>
            </w:r>
          </w:p>
          <w:p w14:paraId="3A088256">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社会学研究方法</w:t>
            </w:r>
          </w:p>
        </w:tc>
        <w:tc>
          <w:tcPr>
            <w:tcW w:w="1843" w:type="dxa"/>
          </w:tcPr>
          <w:p w14:paraId="737CE8B1">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.社会学调查研究的意义</w:t>
            </w:r>
          </w:p>
          <w:p w14:paraId="19F7CB22">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.社会学调查研究的组织与实施</w:t>
            </w:r>
          </w:p>
          <w:p w14:paraId="5238A281">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.常用的社会学调查方法</w:t>
            </w:r>
          </w:p>
          <w:p w14:paraId="61BF0FD2">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.社会指标体系的建立</w:t>
            </w:r>
          </w:p>
        </w:tc>
        <w:tc>
          <w:tcPr>
            <w:tcW w:w="1276" w:type="dxa"/>
            <w:vAlign w:val="center"/>
          </w:tcPr>
          <w:p w14:paraId="79CEC6C6">
            <w:pPr>
              <w:adjustRightInd w:val="0"/>
              <w:snapToGrid w:val="0"/>
              <w:spacing w:line="276" w:lineRule="auto"/>
              <w:jc w:val="center"/>
              <w:rPr>
                <w:rFonts w:hint="eastAsia" w:ascii="宋体" w:hAnsi="宋体" w:eastAsia="宋体" w:cs="Times New Roman"/>
                <w:bCs/>
                <w:szCs w:val="21"/>
              </w:rPr>
            </w:pPr>
            <w:r>
              <w:rPr>
                <w:rFonts w:hint="eastAsia" w:ascii="宋体" w:hAnsi="宋体" w:eastAsia="宋体" w:cs="Times New Roman"/>
                <w:bCs/>
                <w:szCs w:val="21"/>
              </w:rPr>
              <w:t>课程目标4</w:t>
            </w:r>
          </w:p>
        </w:tc>
        <w:tc>
          <w:tcPr>
            <w:tcW w:w="2551" w:type="dxa"/>
          </w:tcPr>
          <w:p w14:paraId="0CAC91D2">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.了解社会学调查研究的目的和意义</w:t>
            </w:r>
          </w:p>
          <w:p w14:paraId="5362CA61">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.理解社会学调查研究的组织和实施</w:t>
            </w:r>
          </w:p>
          <w:p w14:paraId="0FFAC1B5">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.掌握问卷的设计与应用</w:t>
            </w:r>
          </w:p>
          <w:p w14:paraId="21E607C2">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4</w:t>
            </w:r>
            <w:r>
              <w:rPr>
                <w:rFonts w:ascii="宋体" w:hAnsi="宋体" w:eastAsia="宋体" w:cs="Times New Roman"/>
                <w:bCs/>
                <w:szCs w:val="21"/>
              </w:rPr>
              <w:t>.了解社会指标及其体系</w:t>
            </w:r>
          </w:p>
        </w:tc>
        <w:tc>
          <w:tcPr>
            <w:tcW w:w="1559" w:type="dxa"/>
            <w:vAlign w:val="center"/>
          </w:tcPr>
          <w:p w14:paraId="10C47080">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1</w:t>
            </w:r>
            <w:r>
              <w:rPr>
                <w:rFonts w:ascii="宋体" w:hAnsi="宋体" w:eastAsia="宋体" w:cs="Times New Roman"/>
                <w:bCs/>
                <w:szCs w:val="21"/>
              </w:rPr>
              <w:t>.</w:t>
            </w:r>
            <w:r>
              <w:rPr>
                <w:rFonts w:hint="eastAsia" w:ascii="宋体" w:hAnsi="宋体" w:eastAsia="宋体" w:cs="Times New Roman"/>
                <w:bCs/>
                <w:szCs w:val="21"/>
              </w:rPr>
              <w:t>多媒体教学</w:t>
            </w:r>
          </w:p>
          <w:p w14:paraId="5B1C9BDD">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2</w:t>
            </w:r>
            <w:r>
              <w:rPr>
                <w:rFonts w:ascii="宋体" w:hAnsi="宋体" w:eastAsia="宋体" w:cs="Times New Roman"/>
                <w:bCs/>
                <w:szCs w:val="21"/>
              </w:rPr>
              <w:t>.</w:t>
            </w:r>
            <w:r>
              <w:rPr>
                <w:rFonts w:hint="eastAsia" w:ascii="宋体" w:hAnsi="宋体" w:eastAsia="宋体" w:cs="Times New Roman"/>
                <w:bCs/>
                <w:szCs w:val="21"/>
              </w:rPr>
              <w:t>案例分析</w:t>
            </w:r>
          </w:p>
          <w:p w14:paraId="7394646B">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3</w:t>
            </w:r>
            <w:r>
              <w:rPr>
                <w:rFonts w:ascii="宋体" w:hAnsi="宋体" w:eastAsia="宋体" w:cs="Times New Roman"/>
                <w:bCs/>
                <w:szCs w:val="21"/>
              </w:rPr>
              <w:t>.</w:t>
            </w:r>
            <w:r>
              <w:rPr>
                <w:rFonts w:hint="eastAsia" w:ascii="宋体" w:hAnsi="宋体" w:eastAsia="宋体" w:cs="Times New Roman"/>
                <w:bCs/>
                <w:szCs w:val="21"/>
              </w:rPr>
              <w:t>课堂讨论</w:t>
            </w:r>
          </w:p>
        </w:tc>
        <w:tc>
          <w:tcPr>
            <w:tcW w:w="567" w:type="dxa"/>
          </w:tcPr>
          <w:p w14:paraId="1EDD55BC">
            <w:pPr>
              <w:adjustRightInd w:val="0"/>
              <w:snapToGrid w:val="0"/>
              <w:spacing w:line="276" w:lineRule="auto"/>
              <w:rPr>
                <w:rFonts w:hint="eastAsia" w:ascii="宋体" w:hAnsi="宋体" w:eastAsia="宋体" w:cs="Times New Roman"/>
                <w:bCs/>
                <w:szCs w:val="21"/>
              </w:rPr>
            </w:pPr>
            <w:r>
              <w:rPr>
                <w:rFonts w:hint="eastAsia" w:ascii="宋体" w:hAnsi="宋体" w:eastAsia="宋体" w:cs="Times New Roman"/>
                <w:bCs/>
                <w:szCs w:val="21"/>
              </w:rPr>
              <w:t>6</w:t>
            </w:r>
          </w:p>
        </w:tc>
      </w:tr>
      <w:tr w14:paraId="5119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71" w:type="dxa"/>
            <w:vMerge w:val="continue"/>
            <w:vAlign w:val="center"/>
          </w:tcPr>
          <w:p w14:paraId="1894FE61">
            <w:pPr>
              <w:adjustRightInd w:val="0"/>
              <w:snapToGrid w:val="0"/>
              <w:spacing w:line="276" w:lineRule="auto"/>
              <w:jc w:val="center"/>
              <w:rPr>
                <w:rFonts w:hint="eastAsia" w:ascii="宋体" w:hAnsi="宋体" w:eastAsia="宋体" w:cs="Times New Roman"/>
                <w:bCs/>
                <w:szCs w:val="21"/>
              </w:rPr>
            </w:pPr>
          </w:p>
        </w:tc>
        <w:tc>
          <w:tcPr>
            <w:tcW w:w="7796" w:type="dxa"/>
            <w:gridSpan w:val="5"/>
          </w:tcPr>
          <w:p w14:paraId="26EF9AFE">
            <w:pPr>
              <w:adjustRightInd w:val="0"/>
              <w:snapToGrid w:val="0"/>
              <w:spacing w:line="276" w:lineRule="auto"/>
              <w:rPr>
                <w:rFonts w:hint="eastAsia" w:ascii="宋体" w:hAnsi="宋体" w:eastAsia="宋体" w:cs="Times New Roman"/>
                <w:bCs/>
                <w:szCs w:val="21"/>
              </w:rPr>
            </w:pPr>
            <w:r>
              <w:rPr>
                <w:rFonts w:hint="eastAsia" w:ascii="宋体" w:hAnsi="等线" w:eastAsia="宋体" w:cs="Times New Roman"/>
                <w:b/>
                <w:szCs w:val="21"/>
              </w:rPr>
              <w:t>课程思政目标：</w:t>
            </w:r>
            <w:r>
              <w:rPr>
                <w:rFonts w:hint="eastAsia" w:ascii="宋体" w:hAnsi="宋体" w:eastAsia="宋体" w:cs="Times New Roman"/>
                <w:bCs/>
                <w:szCs w:val="21"/>
              </w:rPr>
              <w:t>不断增强对社会学学习和研究的兴趣，客观理性看待当前所存在的社会问题。</w:t>
            </w:r>
          </w:p>
        </w:tc>
      </w:tr>
    </w:tbl>
    <w:p w14:paraId="660A4E21">
      <w:pPr>
        <w:spacing w:before="62" w:beforeLines="20" w:after="62" w:afterLines="20" w:line="360" w:lineRule="auto"/>
        <w:jc w:val="left"/>
        <w:rPr>
          <w:rFonts w:ascii="Times New Roman" w:hAnsi="Times New Roman" w:eastAsia="宋体" w:cs="Times New Roman"/>
          <w:b/>
          <w:sz w:val="24"/>
        </w:rPr>
      </w:pPr>
      <w:bookmarkStart w:id="1460" w:name="_Toc13064"/>
      <w:bookmarkStart w:id="1461" w:name="_Toc21486"/>
      <w:bookmarkStart w:id="1462" w:name="_Toc18782"/>
      <w:bookmarkStart w:id="1463" w:name="_Toc3498"/>
      <w:bookmarkStart w:id="1464" w:name="_Toc6211"/>
      <w:bookmarkStart w:id="1465" w:name="_Toc24355"/>
      <w:bookmarkStart w:id="1466" w:name="_Toc3464"/>
      <w:r>
        <w:rPr>
          <w:rFonts w:hint="eastAsia" w:ascii="Times New Roman" w:hAnsi="Times New Roman" w:eastAsia="宋体" w:cs="Times New Roman"/>
          <w:b/>
          <w:sz w:val="24"/>
        </w:rPr>
        <w:t>四、目标评价与成绩评定</w:t>
      </w:r>
      <w:bookmarkEnd w:id="1460"/>
      <w:bookmarkEnd w:id="1461"/>
      <w:bookmarkEnd w:id="1462"/>
      <w:bookmarkEnd w:id="1463"/>
      <w:bookmarkEnd w:id="1464"/>
      <w:bookmarkEnd w:id="1465"/>
      <w:bookmarkEnd w:id="1466"/>
    </w:p>
    <w:p w14:paraId="346442DF">
      <w:pPr>
        <w:spacing w:line="360" w:lineRule="auto"/>
        <w:ind w:firstLine="422" w:firstLineChars="200"/>
        <w:jc w:val="left"/>
        <w:outlineLvl w:val="1"/>
        <w:rPr>
          <w:rFonts w:ascii="Times New Roman" w:hAnsi="Times New Roman" w:eastAsia="宋体" w:cs="Times New Roman"/>
          <w:b/>
          <w:szCs w:val="21"/>
        </w:rPr>
      </w:pPr>
      <w:bookmarkStart w:id="1467" w:name="_Toc10580"/>
      <w:r>
        <w:rPr>
          <w:rFonts w:hint="eastAsia" w:ascii="Times New Roman" w:hAnsi="Times New Roman" w:eastAsia="宋体" w:cs="Times New Roman"/>
          <w:b/>
          <w:szCs w:val="21"/>
        </w:rPr>
        <w:t>（一）课程目标评价方式</w:t>
      </w:r>
      <w:bookmarkEnd w:id="1467"/>
    </w:p>
    <w:p w14:paraId="05663AA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559"/>
        <w:gridCol w:w="1418"/>
        <w:gridCol w:w="1276"/>
        <w:gridCol w:w="1417"/>
        <w:gridCol w:w="1355"/>
      </w:tblGrid>
      <w:tr w14:paraId="7128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71" w:type="dxa"/>
            <w:vMerge w:val="restart"/>
            <w:vAlign w:val="center"/>
          </w:tcPr>
          <w:p w14:paraId="3DE50A1C">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w:t>
            </w:r>
          </w:p>
        </w:tc>
        <w:tc>
          <w:tcPr>
            <w:tcW w:w="5670" w:type="dxa"/>
            <w:gridSpan w:val="4"/>
          </w:tcPr>
          <w:p w14:paraId="16C1AE2A">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评价与成绩评定方法</w:t>
            </w:r>
          </w:p>
        </w:tc>
        <w:tc>
          <w:tcPr>
            <w:tcW w:w="1355" w:type="dxa"/>
            <w:vMerge w:val="restart"/>
            <w:vAlign w:val="center"/>
          </w:tcPr>
          <w:p w14:paraId="1F433A81">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分值</w:t>
            </w:r>
          </w:p>
        </w:tc>
      </w:tr>
      <w:tr w14:paraId="49E7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271" w:type="dxa"/>
            <w:vMerge w:val="continue"/>
            <w:vAlign w:val="center"/>
          </w:tcPr>
          <w:p w14:paraId="2EF99A11">
            <w:pPr>
              <w:adjustRightInd w:val="0"/>
              <w:snapToGrid w:val="0"/>
              <w:spacing w:line="276" w:lineRule="auto"/>
              <w:jc w:val="center"/>
              <w:rPr>
                <w:rFonts w:hint="eastAsia" w:ascii="宋体" w:hAnsi="宋体" w:eastAsia="宋体" w:cs="Times New Roman"/>
                <w:kern w:val="0"/>
                <w:szCs w:val="21"/>
              </w:rPr>
            </w:pPr>
          </w:p>
        </w:tc>
        <w:tc>
          <w:tcPr>
            <w:tcW w:w="1559" w:type="dxa"/>
            <w:vAlign w:val="center"/>
          </w:tcPr>
          <w:p w14:paraId="38984309">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课堂发言</w:t>
            </w:r>
          </w:p>
        </w:tc>
        <w:tc>
          <w:tcPr>
            <w:tcW w:w="1418" w:type="dxa"/>
            <w:vAlign w:val="center"/>
          </w:tcPr>
          <w:p w14:paraId="44508756">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平时作业</w:t>
            </w:r>
          </w:p>
        </w:tc>
        <w:tc>
          <w:tcPr>
            <w:tcW w:w="1276" w:type="dxa"/>
            <w:vAlign w:val="center"/>
          </w:tcPr>
          <w:p w14:paraId="6064CAA1">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读书汇报</w:t>
            </w:r>
          </w:p>
        </w:tc>
        <w:tc>
          <w:tcPr>
            <w:tcW w:w="1417" w:type="dxa"/>
            <w:vAlign w:val="center"/>
          </w:tcPr>
          <w:p w14:paraId="15BE5AE8">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1355" w:type="dxa"/>
            <w:vMerge w:val="continue"/>
            <w:vAlign w:val="center"/>
          </w:tcPr>
          <w:p w14:paraId="42B236A5">
            <w:pPr>
              <w:adjustRightInd w:val="0"/>
              <w:snapToGrid w:val="0"/>
              <w:spacing w:line="276" w:lineRule="auto"/>
              <w:jc w:val="center"/>
              <w:rPr>
                <w:rFonts w:hint="eastAsia" w:ascii="宋体" w:hAnsi="宋体" w:eastAsia="宋体" w:cs="Times New Roman"/>
                <w:kern w:val="0"/>
                <w:szCs w:val="21"/>
              </w:rPr>
            </w:pPr>
          </w:p>
        </w:tc>
      </w:tr>
      <w:tr w14:paraId="70BB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4598B563">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课程目标1</w:t>
            </w:r>
          </w:p>
        </w:tc>
        <w:tc>
          <w:tcPr>
            <w:tcW w:w="1559" w:type="dxa"/>
            <w:vAlign w:val="center"/>
          </w:tcPr>
          <w:p w14:paraId="0E737F45">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7FE6278B">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3B880984">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6CE1D6E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2EFE66D6">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r>
      <w:tr w14:paraId="2AF4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7509AA51">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课程目标2</w:t>
            </w:r>
          </w:p>
        </w:tc>
        <w:tc>
          <w:tcPr>
            <w:tcW w:w="1559" w:type="dxa"/>
            <w:vAlign w:val="center"/>
          </w:tcPr>
          <w:p w14:paraId="0ED7E123">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0AE4AB00">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0180C3B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43E11D7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2E346434">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30</w:t>
            </w:r>
          </w:p>
        </w:tc>
      </w:tr>
      <w:tr w14:paraId="228E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13614AD3">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课程目标3</w:t>
            </w:r>
          </w:p>
        </w:tc>
        <w:tc>
          <w:tcPr>
            <w:tcW w:w="1559" w:type="dxa"/>
            <w:vAlign w:val="center"/>
          </w:tcPr>
          <w:p w14:paraId="168034A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vAlign w:val="center"/>
          </w:tcPr>
          <w:p w14:paraId="4F70C6C1">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vAlign w:val="center"/>
          </w:tcPr>
          <w:p w14:paraId="3485BD05">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vAlign w:val="center"/>
          </w:tcPr>
          <w:p w14:paraId="09B139AB">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6EFE0838">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30</w:t>
            </w:r>
          </w:p>
        </w:tc>
      </w:tr>
      <w:tr w14:paraId="7514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71" w:type="dxa"/>
            <w:vAlign w:val="center"/>
          </w:tcPr>
          <w:p w14:paraId="476930A0">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课程目标4</w:t>
            </w:r>
          </w:p>
        </w:tc>
        <w:tc>
          <w:tcPr>
            <w:tcW w:w="1559" w:type="dxa"/>
          </w:tcPr>
          <w:p w14:paraId="297B3D72">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8" w:type="dxa"/>
          </w:tcPr>
          <w:p w14:paraId="77F117A7">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276" w:type="dxa"/>
          </w:tcPr>
          <w:p w14:paraId="77254851">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417" w:type="dxa"/>
          </w:tcPr>
          <w:p w14:paraId="6C5445EE">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sym w:font="Wingdings 2" w:char="F050"/>
            </w:r>
          </w:p>
        </w:tc>
        <w:tc>
          <w:tcPr>
            <w:tcW w:w="1355" w:type="dxa"/>
            <w:vAlign w:val="center"/>
          </w:tcPr>
          <w:p w14:paraId="780BBB10">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r>
      <w:tr w14:paraId="7380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243CF82C">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合计</w:t>
            </w:r>
          </w:p>
        </w:tc>
        <w:tc>
          <w:tcPr>
            <w:tcW w:w="1559" w:type="dxa"/>
            <w:vAlign w:val="center"/>
          </w:tcPr>
          <w:p w14:paraId="52097E22">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c>
          <w:tcPr>
            <w:tcW w:w="1418" w:type="dxa"/>
            <w:vAlign w:val="center"/>
          </w:tcPr>
          <w:p w14:paraId="5138C980">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20</w:t>
            </w:r>
          </w:p>
        </w:tc>
        <w:tc>
          <w:tcPr>
            <w:tcW w:w="1276" w:type="dxa"/>
            <w:vAlign w:val="center"/>
          </w:tcPr>
          <w:p w14:paraId="0A97039A">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0</w:t>
            </w:r>
          </w:p>
        </w:tc>
        <w:tc>
          <w:tcPr>
            <w:tcW w:w="1417" w:type="dxa"/>
            <w:vAlign w:val="center"/>
          </w:tcPr>
          <w:p w14:paraId="5E71E517">
            <w:pPr>
              <w:adjustRightInd w:val="0"/>
              <w:snapToGrid w:val="0"/>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50</w:t>
            </w:r>
          </w:p>
        </w:tc>
        <w:tc>
          <w:tcPr>
            <w:tcW w:w="1355" w:type="dxa"/>
            <w:vAlign w:val="center"/>
          </w:tcPr>
          <w:p w14:paraId="526E7B65">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100</w:t>
            </w:r>
          </w:p>
        </w:tc>
      </w:tr>
    </w:tbl>
    <w:p w14:paraId="2CB6D5C2">
      <w:pPr>
        <w:spacing w:before="156" w:beforeLines="50" w:line="360" w:lineRule="auto"/>
        <w:ind w:firstLine="422" w:firstLineChars="200"/>
        <w:jc w:val="left"/>
        <w:outlineLvl w:val="1"/>
        <w:rPr>
          <w:rFonts w:ascii="Times New Roman" w:hAnsi="Times New Roman" w:eastAsia="宋体" w:cs="Times New Roman"/>
          <w:b/>
          <w:szCs w:val="21"/>
        </w:rPr>
      </w:pPr>
      <w:bookmarkStart w:id="1468" w:name="_Toc221"/>
      <w:r>
        <w:rPr>
          <w:rFonts w:hint="eastAsia" w:ascii="Times New Roman" w:hAnsi="Times New Roman" w:eastAsia="宋体" w:cs="Times New Roman"/>
          <w:b/>
          <w:bCs/>
          <w:szCs w:val="21"/>
        </w:rPr>
        <w:t>（二）</w:t>
      </w:r>
      <w:r>
        <w:rPr>
          <w:rFonts w:hint="eastAsia" w:ascii="Times New Roman" w:hAnsi="Times New Roman" w:eastAsia="宋体" w:cs="Times New Roman"/>
          <w:b/>
          <w:szCs w:val="21"/>
        </w:rPr>
        <w:t>成绩评定细则</w:t>
      </w:r>
      <w:bookmarkEnd w:id="1468"/>
    </w:p>
    <w:p w14:paraId="7D3338C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509"/>
        <w:gridCol w:w="757"/>
      </w:tblGrid>
      <w:tr w14:paraId="4DCB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2" w:type="dxa"/>
            <w:vAlign w:val="center"/>
          </w:tcPr>
          <w:p w14:paraId="31165189">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509" w:type="dxa"/>
            <w:vAlign w:val="center"/>
          </w:tcPr>
          <w:p w14:paraId="4042B86E">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AAA2E9F">
            <w:pPr>
              <w:adjustRightInd w:val="0"/>
              <w:snapToGrid w:val="0"/>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145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133C68A2">
            <w:pPr>
              <w:snapToGrid w:val="0"/>
              <w:spacing w:line="276" w:lineRule="auto"/>
              <w:rPr>
                <w:rFonts w:hint="eastAsia" w:ascii="宋体" w:hAnsi="宋体" w:eastAsia="宋体" w:cs="Times New Roman"/>
                <w:szCs w:val="21"/>
              </w:rPr>
            </w:pPr>
            <w:r>
              <w:rPr>
                <w:rFonts w:hint="eastAsia" w:ascii="宋体" w:hAnsi="宋体" w:eastAsia="宋体" w:cs="Times New Roman"/>
                <w:szCs w:val="21"/>
              </w:rPr>
              <w:t>课堂发言</w:t>
            </w:r>
          </w:p>
        </w:tc>
        <w:tc>
          <w:tcPr>
            <w:tcW w:w="7509" w:type="dxa"/>
            <w:tcBorders>
              <w:top w:val="single" w:color="auto" w:sz="4" w:space="0"/>
              <w:left w:val="single" w:color="auto" w:sz="4" w:space="0"/>
              <w:bottom w:val="single" w:color="auto" w:sz="4" w:space="0"/>
              <w:right w:val="single" w:color="auto" w:sz="4" w:space="0"/>
            </w:tcBorders>
            <w:vAlign w:val="center"/>
          </w:tcPr>
          <w:p w14:paraId="0F86BAD6">
            <w:pPr>
              <w:snapToGrid w:val="0"/>
              <w:spacing w:line="276" w:lineRule="auto"/>
              <w:rPr>
                <w:rFonts w:hint="eastAsia" w:ascii="宋体" w:hAnsi="宋体" w:eastAsia="宋体" w:cs="Times New Roman"/>
                <w:szCs w:val="21"/>
              </w:rPr>
            </w:pPr>
            <w:r>
              <w:rPr>
                <w:rFonts w:hint="eastAsia" w:ascii="宋体" w:hAnsi="宋体" w:eastAsia="宋体" w:cs="Times New Roman"/>
                <w:szCs w:val="21"/>
              </w:rPr>
              <w:t>根据学生课堂发言情况、学习</w:t>
            </w:r>
            <w:r>
              <w:rPr>
                <w:rFonts w:ascii="宋体" w:hAnsi="宋体" w:eastAsia="宋体" w:cs="Times New Roman"/>
                <w:szCs w:val="21"/>
              </w:rPr>
              <w:t>态度</w:t>
            </w:r>
            <w:r>
              <w:rPr>
                <w:rFonts w:hint="eastAsia" w:ascii="宋体" w:hAnsi="宋体" w:eastAsia="宋体" w:cs="Times New Roman"/>
                <w:szCs w:val="21"/>
              </w:rPr>
              <w:t>、回答质量进行评分，考察学生课堂听讲效果、课后预习和复习的效果，以及对基础知识的掌握情况。</w:t>
            </w:r>
          </w:p>
        </w:tc>
        <w:tc>
          <w:tcPr>
            <w:tcW w:w="0" w:type="auto"/>
            <w:tcBorders>
              <w:top w:val="single" w:color="auto" w:sz="4" w:space="0"/>
              <w:left w:val="single" w:color="auto" w:sz="4" w:space="0"/>
              <w:bottom w:val="single" w:color="auto" w:sz="4" w:space="0"/>
              <w:right w:val="single" w:color="auto" w:sz="4" w:space="0"/>
            </w:tcBorders>
            <w:vAlign w:val="center"/>
          </w:tcPr>
          <w:p w14:paraId="3EBA6F1F">
            <w:pPr>
              <w:snapToGrid w:val="0"/>
              <w:spacing w:line="276" w:lineRule="auto"/>
              <w:rPr>
                <w:rFonts w:hint="eastAsia" w:ascii="宋体" w:hAnsi="宋体" w:eastAsia="宋体" w:cs="Times New Roman"/>
                <w:szCs w:val="21"/>
              </w:rPr>
            </w:pPr>
            <w:r>
              <w:rPr>
                <w:rFonts w:ascii="宋体" w:hAnsi="宋体" w:eastAsia="宋体" w:cs="Times New Roman"/>
                <w:szCs w:val="21"/>
              </w:rPr>
              <w:t>10%</w:t>
            </w:r>
          </w:p>
        </w:tc>
      </w:tr>
      <w:tr w14:paraId="7F69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3D0D52F7">
            <w:pPr>
              <w:snapToGrid w:val="0"/>
              <w:spacing w:line="276" w:lineRule="auto"/>
              <w:rPr>
                <w:rFonts w:hint="eastAsia" w:ascii="宋体" w:hAnsi="宋体" w:eastAsia="宋体" w:cs="Times New Roman"/>
                <w:szCs w:val="21"/>
              </w:rPr>
            </w:pPr>
            <w:r>
              <w:rPr>
                <w:rFonts w:hint="eastAsia" w:ascii="宋体" w:hAnsi="宋体" w:eastAsia="宋体" w:cs="Times New Roman"/>
                <w:szCs w:val="21"/>
              </w:rPr>
              <w:t>平时作业</w:t>
            </w:r>
          </w:p>
        </w:tc>
        <w:tc>
          <w:tcPr>
            <w:tcW w:w="7509" w:type="dxa"/>
            <w:tcBorders>
              <w:top w:val="single" w:color="auto" w:sz="4" w:space="0"/>
              <w:left w:val="single" w:color="auto" w:sz="4" w:space="0"/>
              <w:bottom w:val="single" w:color="auto" w:sz="4" w:space="0"/>
              <w:right w:val="single" w:color="auto" w:sz="4" w:space="0"/>
            </w:tcBorders>
            <w:vAlign w:val="center"/>
          </w:tcPr>
          <w:p w14:paraId="4334A060">
            <w:pPr>
              <w:snapToGrid w:val="0"/>
              <w:spacing w:line="276" w:lineRule="auto"/>
              <w:rPr>
                <w:rFonts w:hint="eastAsia" w:ascii="宋体" w:hAnsi="宋体" w:eastAsia="宋体" w:cs="Times New Roman"/>
                <w:szCs w:val="21"/>
              </w:rPr>
            </w:pPr>
            <w:r>
              <w:rPr>
                <w:rFonts w:ascii="宋体" w:hAnsi="宋体" w:eastAsia="宋体" w:cs="Times New Roman"/>
                <w:szCs w:val="22"/>
              </w:rPr>
              <w:t>考核学生对</w:t>
            </w:r>
            <w:r>
              <w:rPr>
                <w:rFonts w:hint="eastAsia" w:ascii="宋体" w:hAnsi="宋体" w:eastAsia="宋体" w:cs="Times New Roman"/>
                <w:szCs w:val="22"/>
              </w:rPr>
              <w:t>各章节重要</w:t>
            </w:r>
            <w:r>
              <w:rPr>
                <w:rFonts w:ascii="宋体" w:hAnsi="宋体" w:eastAsia="宋体" w:cs="Times New Roman"/>
                <w:szCs w:val="22"/>
              </w:rPr>
              <w:t>知识点的理解和掌握</w:t>
            </w:r>
            <w:r>
              <w:rPr>
                <w:rFonts w:hint="eastAsia" w:ascii="宋体" w:hAnsi="宋体" w:eastAsia="宋体" w:cs="Times New Roman"/>
                <w:szCs w:val="22"/>
              </w:rPr>
              <w:t>情况</w:t>
            </w:r>
            <w:r>
              <w:rPr>
                <w:rFonts w:ascii="宋体" w:hAnsi="宋体" w:eastAsia="宋体" w:cs="Times New Roman"/>
                <w:szCs w:val="22"/>
              </w:rPr>
              <w:t>，</w:t>
            </w:r>
            <w:r>
              <w:rPr>
                <w:rFonts w:hint="eastAsia" w:ascii="宋体" w:hAnsi="宋体" w:eastAsia="宋体" w:cs="Times New Roman"/>
                <w:szCs w:val="22"/>
              </w:rPr>
              <w:t>作业次数不少于3次，安排在课后，教师批改反馈并进行讲解。</w:t>
            </w:r>
          </w:p>
        </w:tc>
        <w:tc>
          <w:tcPr>
            <w:tcW w:w="0" w:type="auto"/>
            <w:tcBorders>
              <w:top w:val="single" w:color="auto" w:sz="4" w:space="0"/>
              <w:left w:val="single" w:color="auto" w:sz="4" w:space="0"/>
              <w:bottom w:val="single" w:color="auto" w:sz="4" w:space="0"/>
              <w:right w:val="single" w:color="auto" w:sz="4" w:space="0"/>
            </w:tcBorders>
            <w:vAlign w:val="center"/>
          </w:tcPr>
          <w:p w14:paraId="54F96A20">
            <w:pPr>
              <w:snapToGrid w:val="0"/>
              <w:spacing w:line="276" w:lineRule="auto"/>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4330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01D67DFE">
            <w:pPr>
              <w:snapToGrid w:val="0"/>
              <w:spacing w:line="276" w:lineRule="auto"/>
              <w:rPr>
                <w:rFonts w:hint="eastAsia" w:ascii="宋体" w:hAnsi="宋体" w:eastAsia="宋体" w:cs="Times New Roman"/>
                <w:szCs w:val="21"/>
              </w:rPr>
            </w:pPr>
            <w:r>
              <w:rPr>
                <w:rFonts w:hint="eastAsia" w:ascii="宋体" w:hAnsi="宋体" w:eastAsia="宋体" w:cs="Times New Roman"/>
                <w:szCs w:val="21"/>
              </w:rPr>
              <w:t>读书汇报</w:t>
            </w:r>
          </w:p>
        </w:tc>
        <w:tc>
          <w:tcPr>
            <w:tcW w:w="7509" w:type="dxa"/>
            <w:tcBorders>
              <w:top w:val="single" w:color="auto" w:sz="4" w:space="0"/>
              <w:left w:val="single" w:color="auto" w:sz="4" w:space="0"/>
              <w:bottom w:val="single" w:color="auto" w:sz="4" w:space="0"/>
              <w:right w:val="single" w:color="auto" w:sz="4" w:space="0"/>
            </w:tcBorders>
            <w:vAlign w:val="center"/>
          </w:tcPr>
          <w:p w14:paraId="1CAC1779">
            <w:pPr>
              <w:snapToGrid w:val="0"/>
              <w:spacing w:line="276" w:lineRule="auto"/>
              <w:rPr>
                <w:rFonts w:hint="eastAsia" w:ascii="宋体" w:hAnsi="宋体" w:eastAsia="宋体" w:cs="Times New Roman"/>
                <w:szCs w:val="21"/>
              </w:rPr>
            </w:pPr>
            <w:r>
              <w:rPr>
                <w:rFonts w:hint="eastAsia" w:ascii="宋体" w:hAnsi="宋体" w:eastAsia="宋体" w:cs="宋体"/>
                <w:kern w:val="0"/>
                <w:szCs w:val="21"/>
              </w:rPr>
              <w:t>精读两本社会学著作，开展读书报告和交流活动。考核学生社会学分析视角的掌握程度。</w:t>
            </w:r>
          </w:p>
        </w:tc>
        <w:tc>
          <w:tcPr>
            <w:tcW w:w="0" w:type="auto"/>
            <w:tcBorders>
              <w:top w:val="single" w:color="auto" w:sz="4" w:space="0"/>
              <w:left w:val="single" w:color="auto" w:sz="4" w:space="0"/>
              <w:bottom w:val="single" w:color="auto" w:sz="4" w:space="0"/>
              <w:right w:val="single" w:color="auto" w:sz="4" w:space="0"/>
            </w:tcBorders>
            <w:vAlign w:val="center"/>
          </w:tcPr>
          <w:p w14:paraId="110D3828">
            <w:pPr>
              <w:snapToGrid w:val="0"/>
              <w:spacing w:line="276" w:lineRule="auto"/>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031D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14:paraId="25899A10">
            <w:pPr>
              <w:snapToGrid w:val="0"/>
              <w:spacing w:line="276" w:lineRule="auto"/>
              <w:rPr>
                <w:rFonts w:hint="eastAsia" w:ascii="宋体" w:hAnsi="宋体" w:eastAsia="宋体" w:cs="Times New Roman"/>
                <w:szCs w:val="21"/>
              </w:rPr>
            </w:pPr>
            <w:r>
              <w:rPr>
                <w:rFonts w:hint="eastAsia" w:ascii="宋体" w:hAnsi="宋体" w:eastAsia="宋体" w:cs="Times New Roman"/>
                <w:szCs w:val="21"/>
              </w:rPr>
              <w:t>期末考试</w:t>
            </w:r>
          </w:p>
        </w:tc>
        <w:tc>
          <w:tcPr>
            <w:tcW w:w="7509" w:type="dxa"/>
            <w:tcBorders>
              <w:top w:val="single" w:color="auto" w:sz="4" w:space="0"/>
              <w:left w:val="single" w:color="auto" w:sz="4" w:space="0"/>
              <w:bottom w:val="single" w:color="auto" w:sz="4" w:space="0"/>
              <w:right w:val="single" w:color="auto" w:sz="4" w:space="0"/>
            </w:tcBorders>
            <w:vAlign w:val="center"/>
          </w:tcPr>
          <w:p w14:paraId="2AE82717">
            <w:pPr>
              <w:snapToGrid w:val="0"/>
              <w:spacing w:line="276" w:lineRule="auto"/>
              <w:rPr>
                <w:rFonts w:hint="eastAsia" w:ascii="宋体" w:hAnsi="宋体" w:eastAsia="宋体" w:cs="Times New Roman"/>
                <w:szCs w:val="21"/>
              </w:rPr>
            </w:pPr>
            <w:r>
              <w:rPr>
                <w:rFonts w:hint="eastAsia" w:ascii="宋体" w:hAnsi="宋体" w:eastAsia="宋体" w:cs="Times New Roman"/>
                <w:szCs w:val="21"/>
              </w:rPr>
              <w:t>考试形式由教师确定，</w:t>
            </w:r>
            <w:r>
              <w:rPr>
                <w:rFonts w:ascii="宋体" w:hAnsi="宋体" w:eastAsia="宋体" w:cs="Times New Roman"/>
                <w:szCs w:val="21"/>
              </w:rPr>
              <w:t>题型包括选择题、简答题、材料分析题、论述题，</w:t>
            </w:r>
            <w:r>
              <w:rPr>
                <w:rFonts w:hint="eastAsia" w:ascii="宋体" w:hAnsi="宋体" w:eastAsia="宋体" w:cs="Times New Roman"/>
                <w:szCs w:val="21"/>
              </w:rPr>
              <w:t>其中：</w:t>
            </w:r>
          </w:p>
          <w:p w14:paraId="27305794">
            <w:pPr>
              <w:snapToGrid w:val="0"/>
              <w:spacing w:line="276" w:lineRule="auto"/>
              <w:rPr>
                <w:rFonts w:hint="eastAsia" w:ascii="宋体" w:hAnsi="宋体" w:eastAsia="宋体" w:cs="Times New Roman"/>
                <w:szCs w:val="21"/>
              </w:rPr>
            </w:pPr>
            <w:r>
              <w:rPr>
                <w:rFonts w:hint="eastAsia" w:ascii="宋体" w:hAnsi="宋体" w:eastAsia="宋体" w:cs="Times New Roman"/>
                <w:szCs w:val="21"/>
              </w:rPr>
              <w:t>基本</w:t>
            </w:r>
            <w:r>
              <w:rPr>
                <w:rFonts w:ascii="宋体" w:hAnsi="宋体" w:eastAsia="宋体" w:cs="Times New Roman"/>
                <w:szCs w:val="21"/>
              </w:rPr>
              <w:t>知识型题目</w:t>
            </w:r>
            <w:r>
              <w:rPr>
                <w:rFonts w:hint="eastAsia" w:ascii="宋体" w:hAnsi="宋体" w:eastAsia="宋体" w:cs="Times New Roman"/>
                <w:szCs w:val="21"/>
              </w:rPr>
              <w:t>不少于3</w:t>
            </w:r>
            <w:r>
              <w:rPr>
                <w:rFonts w:ascii="宋体" w:hAnsi="宋体" w:eastAsia="宋体" w:cs="Times New Roman"/>
                <w:szCs w:val="21"/>
              </w:rPr>
              <w:t>0%</w:t>
            </w:r>
            <w:r>
              <w:rPr>
                <w:rFonts w:hint="eastAsia" w:ascii="宋体" w:hAnsi="宋体" w:eastAsia="宋体" w:cs="Times New Roman"/>
                <w:szCs w:val="21"/>
              </w:rPr>
              <w:t>，知识理解和分析题不少于3</w:t>
            </w:r>
            <w:r>
              <w:rPr>
                <w:rFonts w:ascii="宋体" w:hAnsi="宋体" w:eastAsia="宋体" w:cs="Times New Roman"/>
                <w:szCs w:val="21"/>
              </w:rPr>
              <w:t>0%</w:t>
            </w:r>
            <w:r>
              <w:rPr>
                <w:rFonts w:hint="eastAsia" w:ascii="宋体" w:hAnsi="宋体" w:eastAsia="宋体" w:cs="Times New Roman"/>
                <w:szCs w:val="21"/>
              </w:rPr>
              <w:t>，综合运用能力题不少于4</w:t>
            </w:r>
            <w:r>
              <w:rPr>
                <w:rFonts w:ascii="宋体" w:hAnsi="宋体" w:eastAsia="宋体" w:cs="Times New Roman"/>
                <w:szCs w:val="21"/>
              </w:rPr>
              <w:t>0%</w:t>
            </w:r>
            <w:r>
              <w:rPr>
                <w:rFonts w:hint="eastAsia" w:ascii="宋体" w:hAnsi="宋体" w:eastAsia="宋体" w:cs="Times New Roman"/>
                <w:szCs w:val="21"/>
              </w:rPr>
              <w:t>。</w:t>
            </w:r>
          </w:p>
        </w:tc>
        <w:tc>
          <w:tcPr>
            <w:tcW w:w="0" w:type="auto"/>
            <w:tcBorders>
              <w:top w:val="single" w:color="auto" w:sz="4" w:space="0"/>
              <w:left w:val="single" w:color="auto" w:sz="4" w:space="0"/>
              <w:bottom w:val="single" w:color="auto" w:sz="4" w:space="0"/>
              <w:right w:val="single" w:color="auto" w:sz="4" w:space="0"/>
            </w:tcBorders>
            <w:vAlign w:val="center"/>
          </w:tcPr>
          <w:p w14:paraId="049C816A">
            <w:pPr>
              <w:snapToGrid w:val="0"/>
              <w:spacing w:line="276" w:lineRule="auto"/>
              <w:rPr>
                <w:rFonts w:hint="eastAsia" w:ascii="宋体" w:hAnsi="宋体" w:eastAsia="宋体" w:cs="Times New Roman"/>
                <w:szCs w:val="21"/>
              </w:rPr>
            </w:pPr>
            <w:r>
              <w:rPr>
                <w:rFonts w:ascii="宋体" w:hAnsi="宋体" w:eastAsia="宋体" w:cs="Times New Roman"/>
                <w:szCs w:val="21"/>
              </w:rPr>
              <w:t>50%</w:t>
            </w:r>
          </w:p>
        </w:tc>
      </w:tr>
      <w:tr w14:paraId="1A2C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231" w:type="dxa"/>
            <w:gridSpan w:val="2"/>
            <w:tcBorders>
              <w:top w:val="single" w:color="auto" w:sz="4" w:space="0"/>
              <w:left w:val="single" w:color="auto" w:sz="4" w:space="0"/>
              <w:bottom w:val="single" w:color="auto" w:sz="4" w:space="0"/>
              <w:right w:val="single" w:color="auto" w:sz="4" w:space="0"/>
            </w:tcBorders>
            <w:vAlign w:val="center"/>
          </w:tcPr>
          <w:p w14:paraId="1DA86A03">
            <w:pPr>
              <w:snapToGrid w:val="0"/>
              <w:spacing w:line="276"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60F7B6CD">
            <w:pPr>
              <w:snapToGrid w:val="0"/>
              <w:spacing w:line="276" w:lineRule="auto"/>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00%</w:t>
            </w:r>
          </w:p>
        </w:tc>
      </w:tr>
    </w:tbl>
    <w:p w14:paraId="449F033F">
      <w:pPr>
        <w:spacing w:line="360" w:lineRule="auto"/>
        <w:ind w:firstLine="422" w:firstLineChars="200"/>
        <w:outlineLvl w:val="1"/>
        <w:rPr>
          <w:rFonts w:ascii="Calibri" w:hAnsi="Calibri" w:eastAsia="宋体" w:cs="Times New Roman"/>
          <w:b/>
          <w:bCs/>
          <w:szCs w:val="21"/>
        </w:rPr>
      </w:pPr>
      <w:bookmarkStart w:id="1469" w:name="_Toc24811"/>
      <w:r>
        <w:rPr>
          <w:rFonts w:hint="eastAsia" w:ascii="Calibri" w:hAnsi="Calibri" w:eastAsia="宋体" w:cs="Times New Roman"/>
          <w:b/>
          <w:bCs/>
          <w:szCs w:val="21"/>
        </w:rPr>
        <w:t>（三）课程目标达成度计算方法</w:t>
      </w:r>
      <w:bookmarkEnd w:id="1469"/>
    </w:p>
    <w:p w14:paraId="234C5165">
      <w:pPr>
        <w:adjustRightInd w:val="0"/>
        <w:snapToGrid w:val="0"/>
        <w:spacing w:line="360" w:lineRule="auto"/>
        <w:ind w:firstLine="420" w:firstLineChars="200"/>
        <w:rPr>
          <w:rFonts w:ascii="Calibri" w:hAnsi="Calibri" w:eastAsia="宋体" w:cs="Times New Roman"/>
          <w:szCs w:val="21"/>
        </w:rPr>
      </w:pPr>
      <w:r>
        <w:rPr>
          <w:rFonts w:hint="eastAsia" w:ascii="Calibri" w:hAnsi="Calibri" w:eastAsia="宋体" w:cs="Times New Roman"/>
          <w:szCs w:val="21"/>
        </w:rPr>
        <w:t>所有课程目标均需大于等</w:t>
      </w:r>
      <w:r>
        <w:rPr>
          <w:rFonts w:hint="eastAsia" w:ascii="宋体" w:hAnsi="宋体" w:eastAsia="宋体" w:cs="Times New Roman"/>
          <w:szCs w:val="21"/>
        </w:rPr>
        <w:t>于</w:t>
      </w:r>
      <w:r>
        <w:rPr>
          <w:rFonts w:ascii="宋体" w:hAnsi="宋体" w:eastAsia="宋体" w:cs="Times New Roman"/>
          <w:szCs w:val="21"/>
        </w:rPr>
        <w:t>0.6</w:t>
      </w:r>
      <w:r>
        <w:rPr>
          <w:rFonts w:hint="eastAsia" w:ascii="Calibri" w:hAnsi="Calibri" w:eastAsia="宋体" w:cs="Times New Roman"/>
          <w:szCs w:val="21"/>
        </w:rPr>
        <w:t>，否则总评成绩不及格，需要补考或重修。每门课程目标总体达成度计算方法如下：</w:t>
      </w:r>
    </w:p>
    <w:p w14:paraId="41DB4A6F">
      <w:pPr>
        <w:spacing w:line="360" w:lineRule="auto"/>
        <w:rPr>
          <w:rFonts w:ascii="Calibri" w:hAnsi="Calibri" w:eastAsia="宋体" w:cs="Times New Roman"/>
          <w:szCs w:val="21"/>
        </w:rPr>
      </w:pPr>
      <w:r>
        <w:rPr>
          <w:rFonts w:hint="eastAsia" w:ascii="Calibri" w:hAnsi="Calibri" w:eastAsia="宋体" w:cs="Times New Roman"/>
          <w:szCs w:val="21"/>
        </w:rPr>
        <w:t>课程目标达成度=</w:t>
      </w:r>
      <m:oMath>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课程子目标的权重值（</m:t>
        </m:r>
        <m:r>
          <m:rPr/>
          <w:rPr>
            <w:rFonts w:ascii="Cambria Math" w:hAnsi="Cambria Math" w:eastAsia="宋体" w:cs="Times New Roman"/>
            <w:szCs w:val="21"/>
          </w:rPr>
          <m:t>a</m:t>
        </m:r>
        <m:r>
          <m:rPr>
            <m:sty m:val="p"/>
          </m:rPr>
          <w:rPr>
            <w:rFonts w:hint="eastAsia" w:ascii="Cambria Math" w:hAnsi="Cambria Math" w:eastAsia="宋体" w:cs="Times New Roman"/>
            <w:szCs w:val="21"/>
          </w:rPr>
          <m:t>）</m:t>
        </m:r>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课程考核目标的权重值（</m:t>
        </m:r>
        <m:r>
          <m:rPr/>
          <w:rPr>
            <w:rFonts w:ascii="Cambria Math" w:hAnsi="Cambria Math" w:eastAsia="宋体" w:cs="Times New Roman"/>
            <w:szCs w:val="21"/>
          </w:rPr>
          <m:t>b</m:t>
        </m:r>
        <m:r>
          <m:rPr>
            <m:sty m:val="p"/>
          </m:rPr>
          <w:rPr>
            <w:rFonts w:hint="eastAsia" w:ascii="Cambria Math" w:hAnsi="Cambria Math" w:eastAsia="宋体" w:cs="Times New Roman"/>
            <w:szCs w:val="21"/>
          </w:rPr>
          <m:t>）</m:t>
        </m:r>
        <m:f>
          <m:fPr>
            <m:ctrlPr>
              <w:rPr>
                <w:rFonts w:ascii="Cambria Math" w:hAnsi="Cambria Math" w:eastAsia="宋体" w:cs="Times New Roman"/>
                <w:szCs w:val="21"/>
              </w:rPr>
            </m:ctrlPr>
          </m:fPr>
          <m:num>
            <m:r>
              <m:rPr/>
              <w:rPr>
                <w:rFonts w:hint="eastAsia" w:ascii="Cambria Math" w:hAnsi="Cambria Math" w:eastAsia="宋体" w:cs="Times New Roman"/>
                <w:szCs w:val="21"/>
              </w:rPr>
              <m:t>考核项目平均分</m:t>
            </m:r>
            <m:ctrlPr>
              <w:rPr>
                <w:rFonts w:ascii="Cambria Math" w:hAnsi="Cambria Math" w:eastAsia="宋体" w:cs="Times New Roman"/>
                <w:szCs w:val="21"/>
              </w:rPr>
            </m:ctrlPr>
          </m:num>
          <m:den>
            <m:r>
              <m:rPr/>
              <w:rPr>
                <w:rFonts w:hint="eastAsia" w:ascii="Cambria Math" w:hAnsi="Cambria Math" w:eastAsia="宋体" w:cs="Times New Roman"/>
                <w:szCs w:val="21"/>
              </w:rPr>
              <m:t>考核项目总分</m:t>
            </m:r>
            <m:ctrlPr>
              <w:rPr>
                <w:rFonts w:ascii="Cambria Math" w:hAnsi="Cambria Math" w:eastAsia="宋体" w:cs="Times New Roman"/>
                <w:szCs w:val="21"/>
              </w:rPr>
            </m:ctrlPr>
          </m:den>
        </m:f>
      </m:oMath>
    </w:p>
    <w:p w14:paraId="14C36DC0">
      <w:pPr>
        <w:spacing w:before="62" w:beforeLines="20" w:after="62" w:afterLines="20" w:line="360" w:lineRule="auto"/>
        <w:jc w:val="left"/>
        <w:rPr>
          <w:rFonts w:ascii="Times New Roman" w:hAnsi="Times New Roman" w:eastAsia="宋体" w:cs="Times New Roman"/>
          <w:b/>
          <w:sz w:val="24"/>
        </w:rPr>
      </w:pPr>
      <w:bookmarkStart w:id="1470" w:name="_Toc19764"/>
      <w:bookmarkStart w:id="1471" w:name="_Toc1834"/>
      <w:bookmarkStart w:id="1472" w:name="_Toc28517"/>
      <w:bookmarkStart w:id="1473" w:name="_Toc15838"/>
      <w:bookmarkStart w:id="1474" w:name="_Toc10754"/>
      <w:bookmarkStart w:id="1475" w:name="_Toc2803"/>
      <w:bookmarkStart w:id="1476" w:name="_Toc30823"/>
      <w:r>
        <w:rPr>
          <w:rFonts w:hint="eastAsia" w:ascii="Times New Roman" w:hAnsi="Times New Roman" w:eastAsia="宋体" w:cs="Times New Roman"/>
          <w:b/>
          <w:sz w:val="24"/>
        </w:rPr>
        <w:t>五、课内实践</w:t>
      </w:r>
      <w:bookmarkEnd w:id="1470"/>
      <w:bookmarkEnd w:id="1471"/>
      <w:bookmarkEnd w:id="1472"/>
      <w:bookmarkEnd w:id="1473"/>
      <w:bookmarkEnd w:id="1474"/>
      <w:bookmarkEnd w:id="1475"/>
      <w:bookmarkEnd w:id="1476"/>
    </w:p>
    <w:p w14:paraId="28562808">
      <w:pPr>
        <w:adjustRightInd w:val="0"/>
        <w:snapToGrid w:val="0"/>
        <w:spacing w:line="360" w:lineRule="auto"/>
        <w:ind w:firstLine="480" w:firstLineChars="200"/>
        <w:rPr>
          <w:rFonts w:hint="eastAsia" w:ascii="宋体" w:hAnsi="等线" w:eastAsia="宋体" w:cs="Times New Roman"/>
          <w:sz w:val="24"/>
          <w:szCs w:val="22"/>
        </w:rPr>
      </w:pPr>
      <w:r>
        <w:rPr>
          <w:rFonts w:hint="eastAsia" w:ascii="宋体" w:hAnsi="等线" w:eastAsia="宋体" w:cs="Times New Roman"/>
          <w:sz w:val="24"/>
          <w:szCs w:val="22"/>
        </w:rPr>
        <w:t>无</w:t>
      </w:r>
    </w:p>
    <w:p w14:paraId="0C4A871D">
      <w:pPr>
        <w:spacing w:before="62" w:beforeLines="20" w:after="62" w:afterLines="20" w:line="360" w:lineRule="auto"/>
        <w:jc w:val="left"/>
        <w:rPr>
          <w:rFonts w:ascii="Times New Roman" w:hAnsi="Times New Roman" w:eastAsia="宋体" w:cs="Times New Roman"/>
          <w:b/>
          <w:sz w:val="24"/>
        </w:rPr>
      </w:pPr>
      <w:bookmarkStart w:id="1477" w:name="_Toc19213"/>
      <w:bookmarkStart w:id="1478" w:name="_Toc11553"/>
      <w:bookmarkStart w:id="1479" w:name="_Toc5157"/>
      <w:bookmarkStart w:id="1480" w:name="_Toc29620"/>
      <w:bookmarkStart w:id="1481" w:name="_Toc24181"/>
      <w:bookmarkStart w:id="1482" w:name="_Toc5395"/>
      <w:bookmarkStart w:id="1483" w:name="_Toc8065"/>
      <w:r>
        <w:rPr>
          <w:rFonts w:hint="eastAsia" w:ascii="Times New Roman" w:hAnsi="Times New Roman" w:eastAsia="宋体" w:cs="Times New Roman"/>
          <w:b/>
          <w:sz w:val="24"/>
        </w:rPr>
        <w:t>六、有关说明</w:t>
      </w:r>
      <w:bookmarkEnd w:id="1477"/>
      <w:bookmarkEnd w:id="1478"/>
      <w:bookmarkEnd w:id="1479"/>
      <w:bookmarkEnd w:id="1480"/>
      <w:bookmarkEnd w:id="1481"/>
      <w:bookmarkEnd w:id="1482"/>
      <w:bookmarkEnd w:id="1483"/>
    </w:p>
    <w:p w14:paraId="222E0C99">
      <w:pPr>
        <w:adjustRightInd w:val="0"/>
        <w:snapToGrid w:val="0"/>
        <w:spacing w:line="360" w:lineRule="auto"/>
        <w:ind w:firstLine="422" w:firstLineChars="200"/>
        <w:outlineLvl w:val="1"/>
        <w:rPr>
          <w:rFonts w:ascii="Calibri" w:hAnsi="Calibri" w:eastAsia="宋体" w:cs="Times New Roman"/>
          <w:b/>
          <w:szCs w:val="21"/>
        </w:rPr>
      </w:pPr>
      <w:bookmarkStart w:id="1484" w:name="_Toc29848"/>
      <w:r>
        <w:rPr>
          <w:rFonts w:hint="eastAsia" w:ascii="Calibri" w:hAnsi="Calibri" w:eastAsia="宋体" w:cs="Times New Roman"/>
          <w:b/>
          <w:szCs w:val="21"/>
        </w:rPr>
        <w:t>（一）持续改进</w:t>
      </w:r>
      <w:bookmarkEnd w:id="1484"/>
    </w:p>
    <w:p w14:paraId="5BA611BD">
      <w:pPr>
        <w:adjustRightInd w:val="0"/>
        <w:snapToGrid w:val="0"/>
        <w:spacing w:line="360" w:lineRule="auto"/>
        <w:ind w:firstLine="420" w:firstLineChars="200"/>
        <w:rPr>
          <w:rFonts w:ascii="Calibri" w:hAnsi="Calibri" w:eastAsia="宋体" w:cs="Times New Roman"/>
          <w:szCs w:val="20"/>
        </w:rPr>
      </w:pPr>
      <w:r>
        <w:rPr>
          <w:rFonts w:hint="eastAsia" w:ascii="Calibri" w:hAnsi="Calibri" w:eastAsia="宋体" w:cs="Times New Roman"/>
          <w:szCs w:val="20"/>
        </w:rPr>
        <w:t>本课程根据学生作业、课堂讨论、教学环节、平时考核情况和学生、教学督导等的反馈，及时对教学中的不足之处进行改进，并在下一轮课程教学中整改完善，确保相应毕业要求指标点达成。</w:t>
      </w:r>
    </w:p>
    <w:p w14:paraId="0D03566E">
      <w:pPr>
        <w:adjustRightInd w:val="0"/>
        <w:snapToGrid w:val="0"/>
        <w:spacing w:line="360" w:lineRule="auto"/>
        <w:ind w:firstLine="422" w:firstLineChars="200"/>
        <w:outlineLvl w:val="1"/>
        <w:rPr>
          <w:rFonts w:ascii="Calibri" w:hAnsi="Calibri" w:eastAsia="宋体" w:cs="Times New Roman"/>
          <w:b/>
          <w:szCs w:val="21"/>
        </w:rPr>
      </w:pPr>
      <w:bookmarkStart w:id="1485" w:name="_Toc12646"/>
      <w:r>
        <w:rPr>
          <w:rFonts w:hint="eastAsia" w:ascii="Calibri" w:hAnsi="Calibri" w:eastAsia="宋体" w:cs="Times New Roman"/>
          <w:b/>
          <w:szCs w:val="21"/>
        </w:rPr>
        <w:t>（二）建议教材</w:t>
      </w:r>
      <w:bookmarkEnd w:id="1485"/>
    </w:p>
    <w:p w14:paraId="54177A79">
      <w:pPr>
        <w:spacing w:line="360" w:lineRule="auto"/>
        <w:ind w:firstLine="420" w:firstLineChars="200"/>
        <w:rPr>
          <w:rFonts w:hint="eastAsia" w:ascii="宋体" w:hAnsi="等线" w:eastAsia="宋体" w:cs="Times New Roman"/>
          <w:kern w:val="0"/>
          <w:szCs w:val="21"/>
        </w:rPr>
      </w:pPr>
      <w:r>
        <w:rPr>
          <w:rFonts w:hint="eastAsia" w:ascii="宋体" w:hAnsi="宋体" w:eastAsia="宋体" w:cs="Times New Roman"/>
          <w:bCs/>
          <w:kern w:val="0"/>
          <w:szCs w:val="21"/>
        </w:rPr>
        <w:t>马工程教材</w:t>
      </w:r>
      <w:r>
        <w:rPr>
          <w:rFonts w:hint="eastAsia" w:ascii="宋体" w:hAnsi="宋体" w:eastAsia="宋体" w:cs="Times New Roman"/>
          <w:kern w:val="0"/>
          <w:szCs w:val="21"/>
        </w:rPr>
        <w:t>《社会学概论</w:t>
      </w:r>
      <w:r>
        <w:rPr>
          <w:rFonts w:hint="eastAsia" w:ascii="宋体" w:hAnsi="宋体" w:eastAsia="宋体" w:cs="Times New Roman"/>
          <w:szCs w:val="20"/>
        </w:rPr>
        <w:t>》（第二版），人民出版社，</w:t>
      </w:r>
      <w:r>
        <w:rPr>
          <w:rFonts w:ascii="宋体" w:hAnsi="宋体" w:eastAsia="宋体" w:cs="Times New Roman"/>
          <w:kern w:val="0"/>
          <w:szCs w:val="21"/>
        </w:rPr>
        <w:t>2021</w:t>
      </w:r>
      <w:r>
        <w:rPr>
          <w:rFonts w:ascii="宋体" w:hAnsi="等线" w:eastAsia="宋体" w:cs="Times New Roman"/>
          <w:kern w:val="0"/>
          <w:szCs w:val="21"/>
        </w:rPr>
        <w:t>.</w:t>
      </w:r>
    </w:p>
    <w:p w14:paraId="23C25CDC">
      <w:pPr>
        <w:spacing w:line="360" w:lineRule="auto"/>
        <w:ind w:firstLine="420" w:firstLineChars="200"/>
        <w:outlineLvl w:val="1"/>
        <w:rPr>
          <w:rFonts w:hint="eastAsia" w:ascii="宋体" w:hAnsi="等线" w:eastAsia="宋体" w:cs="Times New Roman"/>
          <w:szCs w:val="20"/>
        </w:rPr>
      </w:pPr>
      <w:bookmarkStart w:id="1486" w:name="_Toc10685"/>
      <w:r>
        <w:rPr>
          <w:rFonts w:hint="eastAsia" w:ascii="宋体" w:hAnsi="宋体" w:eastAsia="宋体" w:cs="Times New Roman"/>
          <w:szCs w:val="20"/>
        </w:rPr>
        <w:t>（三）参考书目</w:t>
      </w:r>
      <w:bookmarkEnd w:id="1486"/>
    </w:p>
    <w:p w14:paraId="727122C9">
      <w:pPr>
        <w:spacing w:line="360" w:lineRule="auto"/>
        <w:ind w:firstLine="420" w:firstLineChars="200"/>
        <w:rPr>
          <w:rFonts w:hint="eastAsia" w:ascii="宋体" w:hAnsi="宋体" w:eastAsia="宋体" w:cs="Times New Roman"/>
          <w:szCs w:val="20"/>
        </w:rPr>
      </w:pPr>
      <w:r>
        <w:rPr>
          <w:rFonts w:hint="eastAsia" w:ascii="宋体" w:hAnsi="宋体" w:eastAsia="宋体" w:cs="Times New Roman"/>
          <w:szCs w:val="20"/>
        </w:rPr>
        <w:t>1</w:t>
      </w:r>
      <w:r>
        <w:rPr>
          <w:rFonts w:ascii="宋体" w:hAnsi="宋体" w:eastAsia="宋体" w:cs="Times New Roman"/>
          <w:szCs w:val="20"/>
        </w:rPr>
        <w:t>.</w:t>
      </w:r>
      <w:r>
        <w:rPr>
          <w:rFonts w:hint="eastAsia" w:ascii="宋体" w:hAnsi="宋体" w:eastAsia="宋体" w:cs="Times New Roman"/>
          <w:szCs w:val="20"/>
        </w:rPr>
        <w:t>戴维·波普诺</w:t>
      </w:r>
      <w:r>
        <w:rPr>
          <w:rFonts w:ascii="宋体" w:hAnsi="等线" w:eastAsia="宋体" w:cs="Times New Roman"/>
          <w:szCs w:val="20"/>
        </w:rPr>
        <w:t>.</w:t>
      </w:r>
      <w:r>
        <w:rPr>
          <w:rFonts w:hint="eastAsia" w:ascii="宋体" w:hAnsi="宋体" w:eastAsia="宋体" w:cs="Times New Roman"/>
          <w:szCs w:val="20"/>
        </w:rPr>
        <w:t>社会学（第十一版）</w:t>
      </w:r>
      <w:r>
        <w:rPr>
          <w:rFonts w:ascii="宋体" w:hAnsi="宋体" w:eastAsia="宋体" w:cs="Times New Roman"/>
          <w:szCs w:val="20"/>
        </w:rPr>
        <w:t xml:space="preserve"> [M].</w:t>
      </w:r>
      <w:r>
        <w:rPr>
          <w:rFonts w:hint="eastAsia" w:ascii="宋体" w:hAnsi="宋体" w:eastAsia="宋体" w:cs="Times New Roman"/>
          <w:szCs w:val="20"/>
        </w:rPr>
        <w:t>李强等译，北京：中国人民大学出版社，</w:t>
      </w:r>
      <w:r>
        <w:rPr>
          <w:rFonts w:ascii="宋体" w:hAnsi="宋体" w:eastAsia="宋体" w:cs="Times New Roman"/>
          <w:szCs w:val="20"/>
        </w:rPr>
        <w:t>2007.</w:t>
      </w:r>
    </w:p>
    <w:p w14:paraId="79506211">
      <w:pPr>
        <w:spacing w:line="360" w:lineRule="auto"/>
        <w:ind w:firstLine="420" w:firstLineChars="200"/>
        <w:rPr>
          <w:rFonts w:hint="eastAsia" w:ascii="宋体" w:hAnsi="宋体" w:eastAsia="宋体" w:cs="Times New Roman"/>
          <w:szCs w:val="20"/>
        </w:rPr>
      </w:pPr>
      <w:r>
        <w:rPr>
          <w:rFonts w:hint="eastAsia" w:ascii="宋体" w:hAnsi="宋体" w:eastAsia="宋体" w:cs="Times New Roman"/>
          <w:szCs w:val="20"/>
        </w:rPr>
        <w:t>2</w:t>
      </w:r>
      <w:r>
        <w:rPr>
          <w:rFonts w:ascii="宋体" w:hAnsi="宋体" w:eastAsia="宋体" w:cs="Times New Roman"/>
          <w:szCs w:val="20"/>
        </w:rPr>
        <w:t>.</w:t>
      </w:r>
      <w:r>
        <w:rPr>
          <w:rFonts w:hint="eastAsia" w:ascii="宋体" w:hAnsi="宋体" w:eastAsia="宋体" w:cs="Times New Roman"/>
          <w:szCs w:val="20"/>
        </w:rPr>
        <w:t>费孝通</w:t>
      </w:r>
      <w:r>
        <w:rPr>
          <w:rFonts w:ascii="宋体" w:hAnsi="宋体" w:eastAsia="宋体" w:cs="Times New Roman"/>
          <w:szCs w:val="20"/>
        </w:rPr>
        <w:t>.</w:t>
      </w:r>
      <w:r>
        <w:rPr>
          <w:rFonts w:hint="eastAsia" w:ascii="宋体" w:hAnsi="宋体" w:eastAsia="宋体" w:cs="Times New Roman"/>
          <w:szCs w:val="20"/>
        </w:rPr>
        <w:t>社会学讲义.上海：华东师范大学出版社，2</w:t>
      </w:r>
      <w:r>
        <w:rPr>
          <w:rFonts w:ascii="宋体" w:hAnsi="宋体" w:eastAsia="宋体" w:cs="Times New Roman"/>
          <w:szCs w:val="20"/>
        </w:rPr>
        <w:t>019.</w:t>
      </w:r>
    </w:p>
    <w:p w14:paraId="1BCF197E">
      <w:pPr>
        <w:spacing w:line="360" w:lineRule="auto"/>
        <w:ind w:firstLine="420" w:firstLineChars="200"/>
        <w:rPr>
          <w:rFonts w:hint="eastAsia" w:ascii="宋体" w:hAnsi="宋体" w:eastAsia="宋体" w:cs="Times New Roman"/>
          <w:szCs w:val="20"/>
        </w:rPr>
      </w:pPr>
      <w:r>
        <w:rPr>
          <w:rFonts w:hint="eastAsia" w:ascii="宋体" w:hAnsi="宋体" w:eastAsia="宋体" w:cs="Times New Roman"/>
          <w:szCs w:val="20"/>
        </w:rPr>
        <w:t>3</w:t>
      </w:r>
      <w:r>
        <w:rPr>
          <w:rFonts w:ascii="宋体" w:hAnsi="宋体" w:eastAsia="宋体" w:cs="Times New Roman"/>
          <w:szCs w:val="20"/>
        </w:rPr>
        <w:t>.</w:t>
      </w:r>
      <w:r>
        <w:rPr>
          <w:rFonts w:hint="eastAsia" w:ascii="宋体" w:hAnsi="宋体" w:eastAsia="宋体" w:cs="Times New Roman"/>
          <w:szCs w:val="20"/>
        </w:rPr>
        <w:t>赖特·米尔斯.社会学的想象力</w:t>
      </w:r>
      <w:r>
        <w:rPr>
          <w:rFonts w:ascii="宋体" w:hAnsi="宋体" w:eastAsia="宋体" w:cs="Times New Roman"/>
          <w:szCs w:val="20"/>
        </w:rPr>
        <w:t>.</w:t>
      </w:r>
      <w:r>
        <w:rPr>
          <w:rFonts w:hint="eastAsia" w:ascii="宋体" w:hAnsi="宋体" w:eastAsia="宋体" w:cs="Times New Roman"/>
          <w:szCs w:val="20"/>
        </w:rPr>
        <w:t>北京：北京师范大学出版社，2</w:t>
      </w:r>
      <w:r>
        <w:rPr>
          <w:rFonts w:ascii="宋体" w:hAnsi="宋体" w:eastAsia="宋体" w:cs="Times New Roman"/>
          <w:szCs w:val="20"/>
        </w:rPr>
        <w:t>017.</w:t>
      </w:r>
    </w:p>
    <w:p w14:paraId="7311BF3A">
      <w:pPr>
        <w:spacing w:line="360" w:lineRule="auto"/>
        <w:ind w:firstLine="420" w:firstLineChars="200"/>
        <w:rPr>
          <w:rFonts w:hint="eastAsia" w:ascii="宋体" w:hAnsi="宋体" w:eastAsia="宋体" w:cs="Times New Roman"/>
          <w:szCs w:val="20"/>
        </w:rPr>
      </w:pPr>
      <w:r>
        <w:rPr>
          <w:rFonts w:hint="eastAsia" w:ascii="宋体" w:hAnsi="宋体" w:eastAsia="宋体" w:cs="Times New Roman"/>
          <w:szCs w:val="20"/>
        </w:rPr>
        <w:t>4</w:t>
      </w:r>
      <w:r>
        <w:rPr>
          <w:rFonts w:ascii="宋体" w:hAnsi="宋体" w:eastAsia="宋体" w:cs="Times New Roman"/>
          <w:szCs w:val="20"/>
        </w:rPr>
        <w:t>.</w:t>
      </w:r>
      <w:r>
        <w:rPr>
          <w:rFonts w:hint="eastAsia" w:ascii="宋体" w:hAnsi="宋体" w:eastAsia="宋体" w:cs="Times New Roman"/>
          <w:szCs w:val="20"/>
        </w:rPr>
        <w:t>乔恩·威特</w:t>
      </w:r>
      <w:r>
        <w:rPr>
          <w:rFonts w:ascii="宋体" w:hAnsi="宋体" w:eastAsia="宋体" w:cs="Times New Roman"/>
          <w:szCs w:val="20"/>
        </w:rPr>
        <w:t>.</w:t>
      </w:r>
      <w:r>
        <w:rPr>
          <w:rFonts w:hint="eastAsia" w:ascii="宋体" w:hAnsi="宋体" w:eastAsia="宋体" w:cs="Times New Roman"/>
          <w:szCs w:val="20"/>
        </w:rPr>
        <w:t>社会学入门</w:t>
      </w:r>
      <w:r>
        <w:rPr>
          <w:rFonts w:ascii="宋体" w:hAnsi="宋体" w:eastAsia="宋体" w:cs="Times New Roman"/>
          <w:szCs w:val="20"/>
        </w:rPr>
        <w:t>.</w:t>
      </w:r>
      <w:r>
        <w:rPr>
          <w:rFonts w:hint="eastAsia" w:ascii="宋体" w:hAnsi="宋体" w:eastAsia="宋体" w:cs="Times New Roman"/>
          <w:szCs w:val="20"/>
        </w:rPr>
        <w:t>北京：人民邮电出版社,</w:t>
      </w:r>
      <w:r>
        <w:rPr>
          <w:rFonts w:ascii="宋体" w:hAnsi="宋体" w:eastAsia="宋体" w:cs="Times New Roman"/>
          <w:szCs w:val="20"/>
        </w:rPr>
        <w:t>2016.</w:t>
      </w:r>
    </w:p>
    <w:p w14:paraId="0AE206B7">
      <w:pPr>
        <w:spacing w:line="360" w:lineRule="auto"/>
        <w:ind w:firstLine="480" w:firstLineChars="200"/>
        <w:rPr>
          <w:rFonts w:hint="eastAsia" w:ascii="宋体" w:hAnsi="等线" w:eastAsia="宋体" w:cs="Times New Roman"/>
          <w:sz w:val="24"/>
          <w:szCs w:val="22"/>
        </w:rPr>
      </w:pPr>
    </w:p>
    <w:p w14:paraId="1C284AA9">
      <w:pPr>
        <w:autoSpaceDE w:val="0"/>
        <w:autoSpaceDN w:val="0"/>
        <w:adjustRightInd w:val="0"/>
        <w:snapToGrid w:val="0"/>
        <w:spacing w:line="360" w:lineRule="auto"/>
        <w:ind w:firstLine="5250" w:firstLineChars="2500"/>
        <w:jc w:val="right"/>
        <w:rPr>
          <w:rFonts w:ascii="Calibri" w:hAnsi="Calibri" w:eastAsia="宋体" w:cs="Times New Roman"/>
          <w:kern w:val="0"/>
          <w:szCs w:val="21"/>
        </w:rPr>
      </w:pPr>
      <w:r>
        <w:rPr>
          <w:rFonts w:hint="eastAsia" w:ascii="Calibri" w:hAnsi="Calibri" w:eastAsia="宋体" w:cs="Times New Roman"/>
          <w:kern w:val="0"/>
          <w:szCs w:val="21"/>
        </w:rPr>
        <w:t>执笔人：王雅丽</w:t>
      </w:r>
    </w:p>
    <w:p w14:paraId="50C5075E">
      <w:pPr>
        <w:autoSpaceDE w:val="0"/>
        <w:autoSpaceDN w:val="0"/>
        <w:adjustRightInd w:val="0"/>
        <w:snapToGrid w:val="0"/>
        <w:spacing w:line="360" w:lineRule="auto"/>
        <w:ind w:firstLine="5250" w:firstLineChars="2500"/>
        <w:jc w:val="right"/>
        <w:rPr>
          <w:rFonts w:ascii="Calibri" w:hAnsi="Calibri" w:eastAsia="宋体" w:cs="Times New Roman"/>
          <w:kern w:val="0"/>
          <w:szCs w:val="21"/>
        </w:rPr>
      </w:pPr>
      <w:r>
        <w:rPr>
          <w:rFonts w:hint="eastAsia" w:ascii="Calibri" w:hAnsi="Calibri" w:eastAsia="宋体" w:cs="Times New Roman"/>
          <w:kern w:val="0"/>
          <w:szCs w:val="21"/>
        </w:rPr>
        <w:t>审定人：王  健</w:t>
      </w:r>
    </w:p>
    <w:p w14:paraId="31B8700D">
      <w:pPr>
        <w:autoSpaceDE w:val="0"/>
        <w:autoSpaceDN w:val="0"/>
        <w:adjustRightInd w:val="0"/>
        <w:snapToGrid w:val="0"/>
        <w:spacing w:line="360" w:lineRule="auto"/>
        <w:ind w:firstLine="5250" w:firstLineChars="2500"/>
        <w:jc w:val="right"/>
        <w:rPr>
          <w:rFonts w:ascii="Calibri" w:hAnsi="Calibri" w:eastAsia="宋体" w:cs="Times New Roman"/>
          <w:kern w:val="0"/>
          <w:szCs w:val="21"/>
        </w:rPr>
      </w:pPr>
      <w:r>
        <w:rPr>
          <w:rFonts w:hint="eastAsia" w:ascii="Calibri" w:hAnsi="Calibri" w:eastAsia="宋体" w:cs="Times New Roman"/>
          <w:kern w:val="0"/>
          <w:szCs w:val="21"/>
        </w:rPr>
        <w:t>审批人：张志欣</w:t>
      </w:r>
    </w:p>
    <w:p w14:paraId="0BAF6078">
      <w:pPr>
        <w:adjustRightInd w:val="0"/>
        <w:snapToGrid w:val="0"/>
        <w:spacing w:line="360" w:lineRule="auto"/>
        <w:ind w:firstLine="5250" w:firstLineChars="2500"/>
        <w:jc w:val="right"/>
        <w:rPr>
          <w:rFonts w:hint="eastAsia" w:ascii="宋体" w:hAnsi="等线" w:eastAsia="宋体" w:cs="Times New Roman"/>
          <w:szCs w:val="21"/>
        </w:rPr>
      </w:pPr>
      <w:r>
        <w:rPr>
          <w:rFonts w:hint="eastAsia" w:ascii="宋体" w:hAnsi="宋体" w:eastAsia="宋体" w:cs="Times New Roman"/>
          <w:kern w:val="0"/>
          <w:szCs w:val="21"/>
        </w:rPr>
        <w:t>批准时间：2025年7月1日</w:t>
      </w:r>
    </w:p>
    <w:p w14:paraId="6214827B">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47DE8CF0">
      <w:pPr>
        <w:spacing w:line="360" w:lineRule="auto"/>
        <w:jc w:val="center"/>
        <w:outlineLvl w:val="0"/>
        <w:rPr>
          <w:rFonts w:ascii="Times New Roman" w:hAnsi="Times New Roman" w:eastAsia="宋体" w:cs="Times New Roman"/>
          <w:b/>
          <w:sz w:val="44"/>
          <w:szCs w:val="44"/>
        </w:rPr>
      </w:pPr>
      <w:bookmarkStart w:id="1487" w:name="_Toc25021"/>
      <w:bookmarkStart w:id="1488" w:name="_Toc21272"/>
      <w:bookmarkStart w:id="1489" w:name="_Toc3586"/>
      <w:bookmarkStart w:id="1490" w:name="_Toc24201"/>
      <w:r>
        <w:rPr>
          <w:rFonts w:hint="eastAsia" w:ascii="Times New Roman" w:hAnsi="Times New Roman" w:eastAsia="宋体" w:cs="Times New Roman"/>
          <w:b/>
          <w:sz w:val="44"/>
          <w:szCs w:val="44"/>
        </w:rPr>
        <w:t>《美术基础》课程与教学大纲</w:t>
      </w:r>
      <w:bookmarkEnd w:id="1487"/>
      <w:bookmarkEnd w:id="1488"/>
      <w:bookmarkEnd w:id="1489"/>
      <w:bookmarkEnd w:id="1490"/>
    </w:p>
    <w:p w14:paraId="3FD1AE60">
      <w:pPr>
        <w:spacing w:line="360" w:lineRule="auto"/>
        <w:jc w:val="center"/>
        <w:rPr>
          <w:rFonts w:ascii="Times New Roman" w:hAnsi="Times New Roman" w:eastAsia="宋体" w:cs="Times New Roman"/>
          <w:b/>
          <w:bCs/>
          <w:sz w:val="28"/>
          <w:szCs w:val="28"/>
        </w:rPr>
      </w:pPr>
      <w:bookmarkStart w:id="1491" w:name="_Toc19426"/>
      <w:bookmarkStart w:id="1492" w:name="_Toc26449"/>
      <w:bookmarkStart w:id="1493" w:name="_Toc215"/>
      <w:bookmarkStart w:id="1494" w:name="_Toc11189"/>
      <w:bookmarkStart w:id="1495" w:name="_Toc22786"/>
      <w:bookmarkStart w:id="1496" w:name="_Toc12897"/>
      <w:bookmarkStart w:id="1497" w:name="_Toc31496"/>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Basis</w:t>
      </w:r>
      <w:r>
        <w:rPr>
          <w:rFonts w:ascii="Times New Roman" w:hAnsi="Times New Roman" w:eastAsia="宋体" w:cs="Times New Roman"/>
          <w:b/>
          <w:bCs/>
          <w:sz w:val="28"/>
          <w:szCs w:val="28"/>
        </w:rPr>
        <w:t xml:space="preserve"> </w:t>
      </w:r>
      <w:r>
        <w:rPr>
          <w:rFonts w:hint="eastAsia" w:ascii="Times New Roman" w:hAnsi="Times New Roman" w:eastAsia="宋体" w:cs="Times New Roman"/>
          <w:b/>
          <w:bCs/>
          <w:sz w:val="28"/>
          <w:szCs w:val="28"/>
        </w:rPr>
        <w:t>of Painting</w:t>
      </w:r>
      <w:r>
        <w:rPr>
          <w:rFonts w:ascii="Times New Roman" w:hAnsi="Times New Roman" w:eastAsia="宋体" w:cs="Times New Roman"/>
          <w:b/>
          <w:bCs/>
          <w:sz w:val="28"/>
          <w:szCs w:val="28"/>
        </w:rPr>
        <w:t>）</w:t>
      </w:r>
      <w:bookmarkEnd w:id="1491"/>
      <w:bookmarkEnd w:id="1492"/>
      <w:bookmarkEnd w:id="1493"/>
      <w:bookmarkEnd w:id="1494"/>
      <w:bookmarkEnd w:id="1495"/>
      <w:bookmarkEnd w:id="1496"/>
      <w:bookmarkEnd w:id="1497"/>
    </w:p>
    <w:p w14:paraId="6A1B74E2">
      <w:pPr>
        <w:spacing w:line="312" w:lineRule="auto"/>
        <w:jc w:val="center"/>
        <w:rPr>
          <w:rFonts w:ascii="Times New Roman" w:hAnsi="Times New Roman" w:eastAsia="黑体" w:cs="Times New Roman"/>
          <w:bCs/>
          <w:szCs w:val="18"/>
        </w:rPr>
      </w:pPr>
    </w:p>
    <w:p w14:paraId="3A60046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课程名称：美术基础</w:t>
      </w:r>
    </w:p>
    <w:p w14:paraId="1095B86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课程代码：2401005</w:t>
      </w:r>
    </w:p>
    <w:p w14:paraId="5ACF870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分：3</w:t>
      </w:r>
    </w:p>
    <w:p w14:paraId="667CFCC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w:t>
      </w:r>
    </w:p>
    <w:p w14:paraId="63FB20B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先修课程：素描画技法、创意绘画</w:t>
      </w:r>
    </w:p>
    <w:p w14:paraId="3422B09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31DDA63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1F3D59A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学习，不仅可以提升学生的审美，而且在提升学生审美能力、创造力和想象力方面能够带来很大帮助。首先，使学生从现有的绘画基础之上提升更高的台阶，并能够通过绘画提升学生的综合素养。在学习素描的基础之上再进行拓展训练，了解更多关于美术方面的绘画分类，包括色彩、卡通画、漫画的绘画技法。在此基础上，形成学生美术正确地教育意识和观念；其次，让学生了解我国美术的发展及美术教育现状，提高学生在其美术方面的教育理论素养，为今后的工作实践奠定坚实的理论基础；最后，引导学生运用所学的基本理论进行一定数量不同风格的绘画练习实践，将所学理论知识和实践结合起来，增强分析和解决实际问题的能力。</w:t>
      </w:r>
    </w:p>
    <w:p w14:paraId="0FA529D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4E422213">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5A220300">
      <w:pPr>
        <w:spacing w:line="360" w:lineRule="auto"/>
        <w:ind w:firstLine="482"/>
        <w:jc w:val="left"/>
        <w:rPr>
          <w:rFonts w:ascii="Times New Roman" w:hAnsi="Times New Roman" w:eastAsia="宋体" w:cs="Times New Roman"/>
          <w:b/>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培养审美意识：</w:t>
      </w:r>
      <w:r>
        <w:rPr>
          <w:rFonts w:hint="eastAsia" w:ascii="Times New Roman" w:hAnsi="Times New Roman" w:eastAsia="宋体" w:cs="Times New Roman"/>
          <w:bCs/>
          <w:szCs w:val="21"/>
        </w:rPr>
        <w:t>使学生能够欣赏和理解不同风格的艺术作品。通过观察、体验与 创作，提升学生的审美意识和艺术鉴赏能力。</w:t>
      </w:r>
    </w:p>
    <w:p w14:paraId="65D9F78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hint="eastAsia" w:ascii="Times New Roman" w:hAnsi="Times New Roman" w:eastAsia="宋体" w:cs="Times New Roman"/>
          <w:b/>
          <w:szCs w:val="21"/>
        </w:rPr>
        <w:t xml:space="preserve"> 提升绘画技能：</w:t>
      </w:r>
      <w:r>
        <w:rPr>
          <w:rFonts w:hint="eastAsia" w:ascii="Times New Roman" w:hAnsi="Times New Roman" w:eastAsia="宋体" w:cs="Times New Roman"/>
          <w:bCs/>
          <w:szCs w:val="21"/>
        </w:rPr>
        <w:t>通过实践掌握线条、色彩、光影等绘画要素的运用。通过不同的美术活动，使学生掌握基础的漫画、插画等技巧。</w:t>
      </w:r>
    </w:p>
    <w:p w14:paraId="75F90E44">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
          <w:kern w:val="0"/>
          <w:szCs w:val="21"/>
        </w:rPr>
        <w:t>．技法创造力：</w:t>
      </w:r>
      <w:r>
        <w:rPr>
          <w:rFonts w:hint="eastAsia" w:ascii="Times New Roman" w:hAnsi="Times New Roman" w:eastAsia="宋体" w:cs="Times New Roman"/>
          <w:bCs/>
          <w:kern w:val="0"/>
          <w:szCs w:val="21"/>
        </w:rPr>
        <w:t>鼓励学生运用丰富的思维和创意，表达自己的想法和感受。培养他们的想象力和创造性思维。</w:t>
      </w:r>
    </w:p>
    <w:p w14:paraId="6EA530F3">
      <w:pPr>
        <w:spacing w:line="360" w:lineRule="auto"/>
        <w:ind w:firstLine="422" w:firstLineChars="200"/>
        <w:jc w:val="left"/>
        <w:rPr>
          <w:rFonts w:ascii="Times New Roman" w:hAnsi="Times New Roman" w:eastAsia="宋体" w:cs="Times New Roman"/>
          <w:bCs/>
          <w:kern w:val="0"/>
          <w:szCs w:val="21"/>
        </w:rPr>
      </w:pPr>
      <w:r>
        <w:rPr>
          <w:rFonts w:hint="eastAsia" w:ascii="Times New Roman" w:hAnsi="Times New Roman" w:eastAsia="宋体" w:cs="Times New Roman"/>
          <w:b/>
          <w:szCs w:val="21"/>
        </w:rPr>
        <w:t>目标4</w:t>
      </w:r>
      <w:r>
        <w:rPr>
          <w:rFonts w:hint="eastAsia" w:ascii="Times New Roman" w:hAnsi="Times New Roman" w:eastAsia="宋体" w:cs="Times New Roman"/>
          <w:b/>
          <w:kern w:val="0"/>
          <w:szCs w:val="21"/>
        </w:rPr>
        <w:t>．增强艺术表达能力：</w:t>
      </w:r>
      <w:r>
        <w:rPr>
          <w:rFonts w:hint="eastAsia" w:ascii="Times New Roman" w:hAnsi="Times New Roman" w:eastAsia="宋体" w:cs="Times New Roman"/>
          <w:bCs/>
          <w:kern w:val="0"/>
          <w:szCs w:val="21"/>
        </w:rPr>
        <w:t>通过团队合作与项目实践，培养学生的沟通能力、协作精神和社会责任感。通过作品展示和交流，提升学生的自信心和艺术表达能力。</w:t>
      </w:r>
    </w:p>
    <w:p w14:paraId="5253C9FF">
      <w:pPr>
        <w:spacing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0"/>
        <w:gridCol w:w="5426"/>
        <w:gridCol w:w="1191"/>
      </w:tblGrid>
      <w:tr w14:paraId="79AA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0" w:type="dxa"/>
            <w:vAlign w:val="center"/>
          </w:tcPr>
          <w:p w14:paraId="73790EE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426" w:type="dxa"/>
            <w:vAlign w:val="center"/>
          </w:tcPr>
          <w:p w14:paraId="063CC66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6493156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E41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0" w:type="dxa"/>
            <w:vAlign w:val="center"/>
          </w:tcPr>
          <w:p w14:paraId="0F55B89D">
            <w:pPr>
              <w:spacing w:line="276" w:lineRule="auto"/>
              <w:jc w:val="left"/>
              <w:rPr>
                <w:rFonts w:ascii="Times New Roman" w:hAnsi="Times New Roman" w:eastAsia="宋体" w:cs="Times New Roman"/>
                <w:szCs w:val="21"/>
              </w:rPr>
            </w:pPr>
            <w:r>
              <w:rPr>
                <w:rFonts w:hint="eastAsia" w:ascii="宋体" w:hAnsi="宋体" w:cs="宋体"/>
                <w:b/>
                <w:bCs/>
                <w:kern w:val="0"/>
                <w:szCs w:val="21"/>
              </w:rPr>
              <w:t>毕业要求2：</w:t>
            </w:r>
            <w:r>
              <w:rPr>
                <w:rFonts w:hint="eastAsia" w:ascii="宋体" w:hAnsi="宋体" w:cs="宋体"/>
                <w:b/>
                <w:bCs/>
                <w:szCs w:val="21"/>
              </w:rPr>
              <w:t>教育情怀</w:t>
            </w:r>
          </w:p>
        </w:tc>
        <w:tc>
          <w:tcPr>
            <w:tcW w:w="5426" w:type="dxa"/>
            <w:vAlign w:val="center"/>
          </w:tcPr>
          <w:p w14:paraId="66980FA9">
            <w:pPr>
              <w:spacing w:line="276" w:lineRule="auto"/>
              <w:jc w:val="left"/>
              <w:rPr>
                <w:rFonts w:ascii="Times New Roman" w:hAnsi="Times New Roman" w:eastAsia="宋体" w:cs="Times New Roman"/>
                <w:szCs w:val="21"/>
              </w:rPr>
            </w:pPr>
            <w:r>
              <w:rPr>
                <w:rFonts w:hint="eastAsia" w:ascii="宋体" w:hAnsi="宋体" w:cs="宋体"/>
                <w:b/>
                <w:kern w:val="0"/>
                <w:sz w:val="20"/>
                <w:szCs w:val="20"/>
              </w:rPr>
              <w:t>指标点2-3</w:t>
            </w:r>
            <w:r>
              <w:rPr>
                <w:rFonts w:hint="eastAsia" w:ascii="宋体" w:hAnsi="宋体" w:cs="宋体"/>
                <w:sz w:val="20"/>
                <w:szCs w:val="20"/>
              </w:rPr>
              <w:t>：【自身修养良好】具有较好的人文</w:t>
            </w:r>
            <w:r>
              <w:rPr>
                <w:rFonts w:hint="eastAsia" w:cs="宋体"/>
                <w:sz w:val="20"/>
                <w:szCs w:val="20"/>
              </w:rPr>
              <w:t>艺术</w:t>
            </w:r>
            <w:r>
              <w:rPr>
                <w:rFonts w:hint="eastAsia" w:ascii="宋体" w:hAnsi="宋体" w:cs="宋体"/>
                <w:sz w:val="20"/>
                <w:szCs w:val="20"/>
              </w:rPr>
              <w:t>底蕴与科学精神，言行举止符合教师职业标准，情感积极，人格健全，身心健康。</w:t>
            </w:r>
          </w:p>
        </w:tc>
        <w:tc>
          <w:tcPr>
            <w:tcW w:w="1191" w:type="dxa"/>
            <w:vAlign w:val="center"/>
          </w:tcPr>
          <w:p w14:paraId="729DC22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292F14E3">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1、2、3</w:t>
            </w:r>
          </w:p>
        </w:tc>
      </w:tr>
      <w:tr w14:paraId="28BA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0" w:type="dxa"/>
            <w:vAlign w:val="center"/>
          </w:tcPr>
          <w:p w14:paraId="6FF1087E">
            <w:pPr>
              <w:autoSpaceDE w:val="0"/>
              <w:autoSpaceDN w:val="0"/>
              <w:rPr>
                <w:rFonts w:ascii="Times New Roman" w:hAnsi="Times New Roman" w:eastAsia="宋体" w:cs="Times New Roman"/>
                <w:szCs w:val="21"/>
              </w:rPr>
            </w:pPr>
            <w:r>
              <w:rPr>
                <w:rFonts w:hint="eastAsia" w:ascii="宋体" w:hAnsi="宋体" w:cs="宋体"/>
                <w:b/>
                <w:bCs/>
                <w:kern w:val="0"/>
                <w:szCs w:val="21"/>
              </w:rPr>
              <w:t>毕业要求3：学科</w:t>
            </w:r>
            <w:r>
              <w:rPr>
                <w:rFonts w:hint="eastAsia" w:ascii="宋体" w:hAnsi="宋体" w:cs="宋体"/>
                <w:b/>
                <w:bCs/>
                <w:szCs w:val="21"/>
              </w:rPr>
              <w:t>素养</w:t>
            </w:r>
          </w:p>
        </w:tc>
        <w:tc>
          <w:tcPr>
            <w:tcW w:w="5426" w:type="dxa"/>
            <w:vAlign w:val="center"/>
          </w:tcPr>
          <w:p w14:paraId="0CDFC7BB">
            <w:pPr>
              <w:spacing w:line="276" w:lineRule="auto"/>
              <w:jc w:val="left"/>
              <w:rPr>
                <w:rFonts w:ascii="Times New Roman" w:hAnsi="Times New Roman" w:eastAsia="宋体" w:cs="Times New Roman"/>
                <w:szCs w:val="21"/>
              </w:rPr>
            </w:pPr>
            <w:r>
              <w:rPr>
                <w:rFonts w:hint="eastAsia" w:ascii="宋体" w:hAnsi="宋体" w:cs="宋体"/>
                <w:b/>
                <w:kern w:val="0"/>
                <w:szCs w:val="21"/>
              </w:rPr>
              <w:t>指标点3-1</w:t>
            </w:r>
            <w:r>
              <w:rPr>
                <w:rFonts w:hint="eastAsia" w:ascii="宋体" w:hAnsi="宋体" w:cs="宋体"/>
                <w:szCs w:val="21"/>
              </w:rPr>
              <w:t>：【通识知识广博】具有小学教育本科专业相应的自然科学和人文社会科学知识素养。</w:t>
            </w:r>
          </w:p>
        </w:tc>
        <w:tc>
          <w:tcPr>
            <w:tcW w:w="1191" w:type="dxa"/>
            <w:vAlign w:val="center"/>
          </w:tcPr>
          <w:p w14:paraId="7FFE1171">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50F02B5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2、3、4</w:t>
            </w:r>
          </w:p>
        </w:tc>
      </w:tr>
      <w:tr w14:paraId="474A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0" w:type="dxa"/>
            <w:vAlign w:val="center"/>
          </w:tcPr>
          <w:p w14:paraId="15FEDCEF">
            <w:pPr>
              <w:autoSpaceDE w:val="0"/>
              <w:autoSpaceDN w:val="0"/>
              <w:rPr>
                <w:rFonts w:ascii="Times New Roman" w:hAnsi="Times New Roman" w:eastAsia="宋体" w:cs="Times New Roman"/>
                <w:szCs w:val="21"/>
              </w:rPr>
            </w:pPr>
            <w:r>
              <w:rPr>
                <w:rFonts w:hint="eastAsia" w:ascii="宋体" w:hAnsi="宋体" w:cs="宋体"/>
                <w:b/>
                <w:bCs/>
                <w:kern w:val="0"/>
                <w:szCs w:val="21"/>
              </w:rPr>
              <w:t>毕业要求6：</w:t>
            </w:r>
            <w:r>
              <w:rPr>
                <w:rFonts w:hint="eastAsia" w:ascii="宋体" w:hAnsi="宋体" w:cs="宋体"/>
                <w:b/>
                <w:bCs/>
                <w:szCs w:val="21"/>
              </w:rPr>
              <w:t>综合育人</w:t>
            </w:r>
          </w:p>
        </w:tc>
        <w:tc>
          <w:tcPr>
            <w:tcW w:w="5426" w:type="dxa"/>
            <w:vAlign w:val="center"/>
          </w:tcPr>
          <w:p w14:paraId="6D6E89A0">
            <w:pPr>
              <w:spacing w:line="276" w:lineRule="auto"/>
              <w:jc w:val="left"/>
              <w:rPr>
                <w:rFonts w:ascii="Times New Roman" w:hAnsi="Times New Roman" w:eastAsia="宋体" w:cs="Times New Roman"/>
                <w:szCs w:val="21"/>
              </w:rPr>
            </w:pPr>
            <w:r>
              <w:rPr>
                <w:rFonts w:hint="eastAsia" w:ascii="宋体" w:hAnsi="宋体" w:cs="宋体"/>
                <w:b/>
                <w:kern w:val="0"/>
                <w:sz w:val="20"/>
                <w:szCs w:val="20"/>
              </w:rPr>
              <w:t>指标点6-3</w:t>
            </w:r>
            <w:r>
              <w:rPr>
                <w:rFonts w:hint="eastAsia" w:ascii="宋体" w:hAnsi="宋体" w:cs="宋体"/>
                <w:sz w:val="20"/>
                <w:szCs w:val="20"/>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44A29FEF">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2DDE616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1、2、4</w:t>
            </w:r>
          </w:p>
        </w:tc>
      </w:tr>
    </w:tbl>
    <w:p w14:paraId="0F295349">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3F6CCEAB">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4C4143F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39A9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ED976BA">
            <w:pPr>
              <w:jc w:val="center"/>
              <w:rPr>
                <w:rFonts w:hint="eastAsia" w:ascii="宋体" w:hAnsi="宋体" w:eastAsia="宋体" w:cs="Times New Roman"/>
                <w:b/>
                <w:szCs w:val="21"/>
              </w:rPr>
            </w:pPr>
            <w:r>
              <w:rPr>
                <w:rFonts w:hint="eastAsia" w:ascii="宋体" w:hAnsi="宋体" w:eastAsia="宋体" w:cs="Times New Roman"/>
                <w:b/>
                <w:szCs w:val="21"/>
              </w:rPr>
              <w:t>知识</w:t>
            </w:r>
          </w:p>
          <w:p w14:paraId="77ACC483">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39FBDB0A">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0E0ED572">
            <w:pPr>
              <w:jc w:val="center"/>
              <w:rPr>
                <w:rFonts w:hint="eastAsia" w:ascii="宋体" w:hAnsi="宋体" w:eastAsia="宋体" w:cs="Times New Roman"/>
                <w:b/>
                <w:szCs w:val="21"/>
              </w:rPr>
            </w:pPr>
            <w:r>
              <w:rPr>
                <w:rFonts w:hint="eastAsia" w:ascii="宋体" w:hAnsi="宋体" w:eastAsia="宋体" w:cs="Times New Roman"/>
                <w:b/>
                <w:szCs w:val="21"/>
              </w:rPr>
              <w:t>对应</w:t>
            </w:r>
          </w:p>
          <w:p w14:paraId="6A1F1C7A">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469458A6">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4419BA76">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2A1318C2">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4B78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7064D5">
            <w:pPr>
              <w:jc w:val="center"/>
              <w:rPr>
                <w:rFonts w:hint="eastAsia" w:ascii="宋体" w:hAnsi="宋体" w:eastAsia="宋体" w:cs="Times New Roman"/>
                <w:szCs w:val="21"/>
              </w:rPr>
            </w:pPr>
            <w:r>
              <w:rPr>
                <w:rFonts w:hint="eastAsia" w:ascii="宋体" w:hAnsi="宋体" w:eastAsia="宋体" w:cs="Times New Roman"/>
                <w:szCs w:val="21"/>
              </w:rPr>
              <w:t>1.创意造型</w:t>
            </w:r>
          </w:p>
        </w:tc>
        <w:tc>
          <w:tcPr>
            <w:tcW w:w="1701" w:type="dxa"/>
            <w:vAlign w:val="center"/>
          </w:tcPr>
          <w:p w14:paraId="3ED903DD">
            <w:pPr>
              <w:jc w:val="left"/>
              <w:rPr>
                <w:rFonts w:hint="eastAsia" w:ascii="宋体" w:hAnsi="宋体" w:eastAsia="宋体" w:cs="Times New Roman"/>
                <w:szCs w:val="21"/>
              </w:rPr>
            </w:pPr>
            <w:r>
              <w:rPr>
                <w:rFonts w:hint="eastAsia" w:ascii="宋体" w:hAnsi="宋体" w:eastAsia="宋体" w:cs="Times New Roman"/>
                <w:szCs w:val="21"/>
              </w:rPr>
              <w:t>（1）美术发展概括</w:t>
            </w:r>
          </w:p>
          <w:p w14:paraId="26760FE0">
            <w:pPr>
              <w:jc w:val="left"/>
              <w:rPr>
                <w:rFonts w:hint="eastAsia" w:ascii="宋体" w:hAnsi="宋体" w:eastAsia="宋体" w:cs="Times New Roman"/>
                <w:szCs w:val="21"/>
              </w:rPr>
            </w:pPr>
            <w:r>
              <w:rPr>
                <w:rFonts w:hint="eastAsia" w:ascii="宋体" w:hAnsi="宋体" w:eastAsia="宋体" w:cs="Times New Roman"/>
                <w:szCs w:val="21"/>
              </w:rPr>
              <w:t>（2）创意素描</w:t>
            </w:r>
          </w:p>
          <w:p w14:paraId="1A4BCF02">
            <w:pPr>
              <w:jc w:val="left"/>
              <w:rPr>
                <w:rFonts w:hint="eastAsia" w:ascii="宋体" w:hAnsi="宋体" w:eastAsia="宋体" w:cs="Times New Roman"/>
                <w:szCs w:val="21"/>
              </w:rPr>
            </w:pPr>
            <w:r>
              <w:rPr>
                <w:rFonts w:hint="eastAsia" w:ascii="宋体" w:hAnsi="宋体" w:eastAsia="宋体" w:cs="Times New Roman"/>
                <w:szCs w:val="21"/>
              </w:rPr>
              <w:t>（3）素描的构图</w:t>
            </w:r>
          </w:p>
          <w:p w14:paraId="69512FE7">
            <w:pPr>
              <w:jc w:val="left"/>
              <w:rPr>
                <w:rFonts w:hint="eastAsia" w:ascii="宋体" w:hAnsi="宋体" w:eastAsia="宋体" w:cs="Times New Roman"/>
                <w:szCs w:val="21"/>
              </w:rPr>
            </w:pPr>
            <w:r>
              <w:rPr>
                <w:rFonts w:hint="eastAsia" w:ascii="宋体" w:hAnsi="宋体" w:eastAsia="宋体" w:cs="Times New Roman"/>
                <w:szCs w:val="21"/>
              </w:rPr>
              <w:t>（4）素描的透视</w:t>
            </w:r>
          </w:p>
          <w:p w14:paraId="6AA7A940">
            <w:pPr>
              <w:jc w:val="left"/>
              <w:rPr>
                <w:rFonts w:hint="eastAsia" w:ascii="宋体" w:hAnsi="宋体" w:eastAsia="宋体" w:cs="Times New Roman"/>
                <w:szCs w:val="21"/>
              </w:rPr>
            </w:pPr>
          </w:p>
        </w:tc>
        <w:tc>
          <w:tcPr>
            <w:tcW w:w="1134" w:type="dxa"/>
            <w:vAlign w:val="center"/>
          </w:tcPr>
          <w:p w14:paraId="3D14F183">
            <w:pPr>
              <w:jc w:val="center"/>
              <w:rPr>
                <w:rFonts w:hint="eastAsia" w:ascii="宋体" w:hAnsi="宋体" w:eastAsia="宋体" w:cs="Times New Roman"/>
                <w:szCs w:val="21"/>
              </w:rPr>
            </w:pPr>
            <w:r>
              <w:rPr>
                <w:rFonts w:hint="eastAsia" w:ascii="宋体" w:hAnsi="宋体" w:eastAsia="宋体" w:cs="Times New Roman"/>
                <w:szCs w:val="21"/>
              </w:rPr>
              <w:t>课程目标</w:t>
            </w:r>
          </w:p>
          <w:p w14:paraId="678212B1">
            <w:pPr>
              <w:jc w:val="center"/>
              <w:rPr>
                <w:rFonts w:hint="eastAsia" w:ascii="宋体" w:hAnsi="宋体" w:eastAsia="宋体" w:cs="Times New Roman"/>
                <w:szCs w:val="21"/>
              </w:rPr>
            </w:pPr>
            <w:r>
              <w:rPr>
                <w:rFonts w:hint="eastAsia" w:ascii="宋体" w:hAnsi="宋体" w:eastAsia="宋体" w:cs="Times New Roman"/>
                <w:szCs w:val="21"/>
              </w:rPr>
              <w:t>1、2</w:t>
            </w:r>
          </w:p>
        </w:tc>
        <w:tc>
          <w:tcPr>
            <w:tcW w:w="3260" w:type="dxa"/>
            <w:vAlign w:val="center"/>
          </w:tcPr>
          <w:p w14:paraId="041403EB">
            <w:pPr>
              <w:jc w:val="left"/>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了解美术发展的概括，提升修养；</w:t>
            </w:r>
          </w:p>
          <w:p w14:paraId="0EE70C44">
            <w:pPr>
              <w:jc w:val="left"/>
              <w:rPr>
                <w:rFonts w:hint="eastAsia" w:ascii="宋体" w:hAnsi="宋体" w:eastAsia="宋体" w:cs="Times New Roman"/>
                <w:szCs w:val="21"/>
              </w:rPr>
            </w:pPr>
            <w:r>
              <w:rPr>
                <w:rFonts w:ascii="宋体" w:hAnsi="宋体" w:eastAsia="宋体" w:cs="Times New Roman"/>
                <w:szCs w:val="21"/>
              </w:rPr>
              <w:t>2.了解</w:t>
            </w:r>
            <w:r>
              <w:rPr>
                <w:rFonts w:hint="eastAsia" w:ascii="宋体" w:hAnsi="宋体" w:eastAsia="宋体" w:cs="Times New Roman"/>
                <w:szCs w:val="21"/>
              </w:rPr>
              <w:t>素描的绘画工具、绘画技法；</w:t>
            </w:r>
          </w:p>
          <w:p w14:paraId="50CE4187">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学会使用铅笔排线；</w:t>
            </w:r>
          </w:p>
          <w:p w14:paraId="13B4B40F">
            <w:pPr>
              <w:jc w:val="left"/>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理解物体的块面关系。</w:t>
            </w:r>
          </w:p>
        </w:tc>
        <w:tc>
          <w:tcPr>
            <w:tcW w:w="1560" w:type="dxa"/>
            <w:vAlign w:val="center"/>
          </w:tcPr>
          <w:p w14:paraId="166C5907">
            <w:pPr>
              <w:jc w:val="left"/>
              <w:rPr>
                <w:rFonts w:hint="eastAsia" w:ascii="宋体" w:hAnsi="宋体" w:eastAsia="宋体" w:cs="Times New Roman"/>
                <w:szCs w:val="21"/>
              </w:rPr>
            </w:pPr>
            <w:r>
              <w:rPr>
                <w:rFonts w:hint="eastAsia" w:ascii="宋体" w:hAnsi="宋体" w:eastAsia="宋体" w:cs="Times New Roman"/>
                <w:szCs w:val="21"/>
              </w:rPr>
              <w:t>1.线下学习</w:t>
            </w:r>
          </w:p>
          <w:p w14:paraId="55A01026">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78985AE4">
            <w:pPr>
              <w:jc w:val="left"/>
              <w:rPr>
                <w:rFonts w:hint="eastAsia" w:ascii="宋体" w:hAnsi="宋体" w:eastAsia="宋体" w:cs="Times New Roman"/>
                <w:szCs w:val="21"/>
              </w:rPr>
            </w:pPr>
            <w:r>
              <w:rPr>
                <w:rFonts w:hint="eastAsia" w:ascii="宋体" w:hAnsi="宋体" w:eastAsia="宋体" w:cs="Times New Roman"/>
                <w:szCs w:val="21"/>
              </w:rPr>
              <w:t>4.实践</w:t>
            </w:r>
          </w:p>
        </w:tc>
        <w:tc>
          <w:tcPr>
            <w:tcW w:w="438" w:type="dxa"/>
            <w:vAlign w:val="center"/>
          </w:tcPr>
          <w:p w14:paraId="07E3DBE9">
            <w:pPr>
              <w:jc w:val="center"/>
              <w:rPr>
                <w:rFonts w:hint="eastAsia" w:ascii="宋体" w:hAnsi="宋体" w:eastAsia="宋体" w:cs="Times New Roman"/>
                <w:szCs w:val="21"/>
              </w:rPr>
            </w:pPr>
            <w:r>
              <w:rPr>
                <w:rFonts w:hint="eastAsia" w:ascii="宋体" w:hAnsi="宋体" w:eastAsia="宋体" w:cs="Times New Roman"/>
                <w:szCs w:val="21"/>
              </w:rPr>
              <w:t>8</w:t>
            </w:r>
          </w:p>
        </w:tc>
      </w:tr>
      <w:tr w14:paraId="40DD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CC3CBCB">
            <w:pPr>
              <w:jc w:val="center"/>
              <w:rPr>
                <w:rFonts w:hint="eastAsia" w:ascii="宋体" w:hAnsi="宋体" w:eastAsia="宋体" w:cs="Times New Roman"/>
                <w:szCs w:val="21"/>
              </w:rPr>
            </w:pPr>
          </w:p>
        </w:tc>
        <w:tc>
          <w:tcPr>
            <w:tcW w:w="8093" w:type="dxa"/>
            <w:gridSpan w:val="5"/>
            <w:vAlign w:val="center"/>
          </w:tcPr>
          <w:p w14:paraId="5E6E19B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通过对美术发展中美术教育家的了解，增强爱国情怀及热爱教育事业，学习他们刻苦专研，不怕困难的精神。</w:t>
            </w:r>
          </w:p>
        </w:tc>
      </w:tr>
      <w:tr w14:paraId="36C5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1389D1">
            <w:pPr>
              <w:jc w:val="center"/>
              <w:rPr>
                <w:rFonts w:hint="eastAsia" w:ascii="宋体" w:hAnsi="宋体" w:eastAsia="宋体" w:cs="Times New Roman"/>
                <w:szCs w:val="21"/>
              </w:rPr>
            </w:pPr>
            <w:r>
              <w:rPr>
                <w:rFonts w:hint="eastAsia" w:ascii="宋体" w:hAnsi="宋体" w:eastAsia="宋体" w:cs="Times New Roman"/>
                <w:szCs w:val="21"/>
              </w:rPr>
              <w:t>2.素描创作实践</w:t>
            </w:r>
          </w:p>
        </w:tc>
        <w:tc>
          <w:tcPr>
            <w:tcW w:w="1701" w:type="dxa"/>
            <w:vAlign w:val="center"/>
          </w:tcPr>
          <w:p w14:paraId="139ADBB7">
            <w:pPr>
              <w:jc w:val="left"/>
              <w:rPr>
                <w:rFonts w:hint="eastAsia" w:ascii="宋体" w:hAnsi="宋体" w:eastAsia="宋体" w:cs="Times New Roman"/>
                <w:szCs w:val="21"/>
              </w:rPr>
            </w:pPr>
            <w:r>
              <w:rPr>
                <w:rFonts w:hint="eastAsia" w:ascii="宋体" w:hAnsi="宋体" w:eastAsia="宋体" w:cs="Times New Roman"/>
                <w:szCs w:val="21"/>
              </w:rPr>
              <w:t>（1）结构素描</w:t>
            </w:r>
          </w:p>
          <w:p w14:paraId="36EBA537">
            <w:pPr>
              <w:jc w:val="left"/>
              <w:rPr>
                <w:rFonts w:hint="eastAsia" w:ascii="宋体" w:hAnsi="宋体" w:eastAsia="宋体" w:cs="Times New Roman"/>
                <w:szCs w:val="21"/>
              </w:rPr>
            </w:pPr>
            <w:r>
              <w:rPr>
                <w:rFonts w:hint="eastAsia" w:ascii="宋体" w:hAnsi="宋体" w:eastAsia="宋体" w:cs="Times New Roman"/>
                <w:szCs w:val="21"/>
              </w:rPr>
              <w:t>（2）明暗素描</w:t>
            </w:r>
          </w:p>
          <w:p w14:paraId="092E0F7E">
            <w:pPr>
              <w:jc w:val="left"/>
              <w:rPr>
                <w:rFonts w:hint="eastAsia" w:ascii="宋体" w:hAnsi="宋体" w:eastAsia="宋体" w:cs="Times New Roman"/>
                <w:szCs w:val="21"/>
              </w:rPr>
            </w:pPr>
            <w:r>
              <w:rPr>
                <w:rFonts w:hint="eastAsia" w:ascii="宋体" w:hAnsi="宋体" w:eastAsia="宋体" w:cs="Times New Roman"/>
                <w:szCs w:val="21"/>
              </w:rPr>
              <w:t>（3）意象素描</w:t>
            </w:r>
          </w:p>
        </w:tc>
        <w:tc>
          <w:tcPr>
            <w:tcW w:w="1134" w:type="dxa"/>
            <w:vAlign w:val="center"/>
          </w:tcPr>
          <w:p w14:paraId="47150673">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3260" w:type="dxa"/>
            <w:vAlign w:val="center"/>
          </w:tcPr>
          <w:p w14:paraId="0CA55407">
            <w:pPr>
              <w:jc w:val="left"/>
              <w:rPr>
                <w:rFonts w:hint="eastAsia" w:ascii="宋体" w:hAnsi="宋体" w:eastAsia="宋体" w:cs="Times New Roman"/>
                <w:szCs w:val="21"/>
              </w:rPr>
            </w:pPr>
            <w:r>
              <w:rPr>
                <w:rFonts w:hint="eastAsia" w:ascii="宋体" w:hAnsi="宋体" w:eastAsia="宋体" w:cs="Times New Roman"/>
                <w:szCs w:val="21"/>
              </w:rPr>
              <w:t>1.掌握结构素描的绘画方法；</w:t>
            </w:r>
          </w:p>
          <w:p w14:paraId="3D9559C0">
            <w:pPr>
              <w:jc w:val="left"/>
              <w:rPr>
                <w:rFonts w:hint="eastAsia" w:ascii="宋体" w:hAnsi="宋体" w:eastAsia="宋体" w:cs="Times New Roman"/>
                <w:szCs w:val="21"/>
              </w:rPr>
            </w:pPr>
            <w:r>
              <w:rPr>
                <w:rFonts w:hint="eastAsia" w:ascii="宋体" w:hAnsi="宋体" w:eastAsia="宋体" w:cs="Times New Roman"/>
                <w:szCs w:val="21"/>
              </w:rPr>
              <w:t>2.学会结构线描的布线；</w:t>
            </w:r>
          </w:p>
          <w:p w14:paraId="25A0DFFC">
            <w:pPr>
              <w:jc w:val="left"/>
              <w:rPr>
                <w:rFonts w:hint="eastAsia" w:ascii="宋体" w:hAnsi="宋体" w:eastAsia="宋体" w:cs="Times New Roman"/>
                <w:szCs w:val="21"/>
              </w:rPr>
            </w:pPr>
            <w:r>
              <w:rPr>
                <w:rFonts w:hint="eastAsia" w:ascii="宋体" w:hAnsi="宋体" w:eastAsia="宋体" w:cs="Times New Roman"/>
                <w:szCs w:val="21"/>
              </w:rPr>
              <w:t>3.掌握结构素描的联想拓展</w:t>
            </w:r>
            <w:r>
              <w:rPr>
                <w:rFonts w:ascii="宋体" w:hAnsi="宋体" w:eastAsia="宋体" w:cs="Times New Roman"/>
                <w:szCs w:val="21"/>
              </w:rPr>
              <w:t>。</w:t>
            </w:r>
          </w:p>
        </w:tc>
        <w:tc>
          <w:tcPr>
            <w:tcW w:w="1560" w:type="dxa"/>
            <w:vAlign w:val="center"/>
          </w:tcPr>
          <w:p w14:paraId="27BD9A18">
            <w:pPr>
              <w:jc w:val="left"/>
              <w:rPr>
                <w:rFonts w:hint="eastAsia" w:ascii="宋体" w:hAnsi="宋体" w:eastAsia="宋体" w:cs="Times New Roman"/>
                <w:szCs w:val="21"/>
              </w:rPr>
            </w:pPr>
            <w:r>
              <w:rPr>
                <w:rFonts w:hint="eastAsia" w:ascii="宋体" w:hAnsi="宋体" w:eastAsia="宋体" w:cs="Times New Roman"/>
                <w:szCs w:val="21"/>
              </w:rPr>
              <w:t>1.线下学习</w:t>
            </w:r>
          </w:p>
          <w:p w14:paraId="2FCD5280">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72E2D2C9">
            <w:pPr>
              <w:jc w:val="left"/>
              <w:rPr>
                <w:rFonts w:hint="eastAsia" w:ascii="宋体" w:hAnsi="宋体" w:eastAsia="宋体" w:cs="Times New Roman"/>
                <w:szCs w:val="21"/>
              </w:rPr>
            </w:pPr>
            <w:r>
              <w:rPr>
                <w:rFonts w:hint="eastAsia" w:ascii="宋体" w:hAnsi="宋体" w:eastAsia="宋体" w:cs="Times New Roman"/>
                <w:szCs w:val="21"/>
              </w:rPr>
              <w:t>4.实践</w:t>
            </w:r>
          </w:p>
        </w:tc>
        <w:tc>
          <w:tcPr>
            <w:tcW w:w="438" w:type="dxa"/>
            <w:vAlign w:val="center"/>
          </w:tcPr>
          <w:p w14:paraId="02BD6481">
            <w:pPr>
              <w:jc w:val="center"/>
              <w:rPr>
                <w:rFonts w:hint="eastAsia" w:ascii="宋体" w:hAnsi="宋体" w:eastAsia="宋体" w:cs="Times New Roman"/>
                <w:szCs w:val="21"/>
              </w:rPr>
            </w:pPr>
            <w:r>
              <w:rPr>
                <w:rFonts w:hint="eastAsia" w:ascii="宋体" w:hAnsi="宋体" w:eastAsia="宋体" w:cs="Times New Roman"/>
                <w:szCs w:val="21"/>
              </w:rPr>
              <w:t>12</w:t>
            </w:r>
          </w:p>
        </w:tc>
      </w:tr>
      <w:tr w14:paraId="0FCA9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E6E3085">
            <w:pPr>
              <w:jc w:val="center"/>
              <w:rPr>
                <w:rFonts w:hint="eastAsia" w:ascii="宋体" w:hAnsi="宋体" w:eastAsia="宋体" w:cs="Times New Roman"/>
                <w:szCs w:val="21"/>
              </w:rPr>
            </w:pPr>
          </w:p>
        </w:tc>
        <w:tc>
          <w:tcPr>
            <w:tcW w:w="8093" w:type="dxa"/>
            <w:gridSpan w:val="5"/>
            <w:vAlign w:val="center"/>
          </w:tcPr>
          <w:p w14:paraId="74482BF0">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通过结构素描的绘画过程学习做事情要有条理，要从整体到局部，循序渐进的进行，不能心急及急于出效果，错误百出。</w:t>
            </w:r>
          </w:p>
        </w:tc>
      </w:tr>
      <w:tr w14:paraId="6BEE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B00C02D">
            <w:pPr>
              <w:jc w:val="center"/>
              <w:rPr>
                <w:rFonts w:hint="eastAsia" w:ascii="宋体" w:hAnsi="宋体" w:eastAsia="宋体" w:cs="Times New Roman"/>
                <w:szCs w:val="21"/>
              </w:rPr>
            </w:pPr>
            <w:r>
              <w:rPr>
                <w:rFonts w:hint="eastAsia" w:ascii="宋体" w:hAnsi="宋体" w:eastAsia="宋体" w:cs="Times New Roman"/>
                <w:szCs w:val="21"/>
              </w:rPr>
              <w:t>3.儿童画创编</w:t>
            </w:r>
          </w:p>
        </w:tc>
        <w:tc>
          <w:tcPr>
            <w:tcW w:w="1701" w:type="dxa"/>
            <w:vAlign w:val="center"/>
          </w:tcPr>
          <w:p w14:paraId="16D96334">
            <w:pPr>
              <w:jc w:val="left"/>
              <w:rPr>
                <w:rFonts w:hint="eastAsia" w:ascii="宋体" w:hAnsi="宋体" w:eastAsia="宋体" w:cs="Times New Roman"/>
                <w:szCs w:val="21"/>
              </w:rPr>
            </w:pPr>
            <w:r>
              <w:rPr>
                <w:rFonts w:hint="eastAsia" w:ascii="宋体" w:hAnsi="宋体" w:eastAsia="宋体" w:cs="Times New Roman"/>
                <w:szCs w:val="21"/>
              </w:rPr>
              <w:t>（1）学习儿童画的意义</w:t>
            </w:r>
          </w:p>
          <w:p w14:paraId="2CBF8840">
            <w:pPr>
              <w:jc w:val="left"/>
              <w:rPr>
                <w:rFonts w:hint="eastAsia" w:ascii="宋体" w:hAnsi="宋体" w:eastAsia="宋体" w:cs="Times New Roman"/>
                <w:szCs w:val="21"/>
              </w:rPr>
            </w:pPr>
            <w:r>
              <w:rPr>
                <w:rFonts w:hint="eastAsia" w:ascii="宋体" w:hAnsi="宋体" w:eastAsia="宋体" w:cs="Times New Roman"/>
                <w:szCs w:val="21"/>
              </w:rPr>
              <w:t>（2）儿童画的创作方法及不同工具的使用</w:t>
            </w:r>
          </w:p>
          <w:p w14:paraId="4ADAC83B">
            <w:pPr>
              <w:jc w:val="left"/>
              <w:rPr>
                <w:rFonts w:hint="eastAsia" w:ascii="宋体" w:hAnsi="宋体" w:eastAsia="宋体" w:cs="Times New Roman"/>
                <w:szCs w:val="21"/>
              </w:rPr>
            </w:pPr>
            <w:r>
              <w:rPr>
                <w:rFonts w:hint="eastAsia" w:ascii="宋体" w:hAnsi="宋体" w:eastAsia="宋体" w:cs="Times New Roman"/>
                <w:szCs w:val="21"/>
              </w:rPr>
              <w:t>（3）儿童画的创意表现</w:t>
            </w:r>
          </w:p>
        </w:tc>
        <w:tc>
          <w:tcPr>
            <w:tcW w:w="1134" w:type="dxa"/>
            <w:vAlign w:val="center"/>
          </w:tcPr>
          <w:p w14:paraId="46405620">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3260" w:type="dxa"/>
            <w:vAlign w:val="center"/>
          </w:tcPr>
          <w:p w14:paraId="2D34E989">
            <w:pPr>
              <w:jc w:val="left"/>
              <w:rPr>
                <w:rFonts w:hint="eastAsia" w:ascii="宋体" w:hAnsi="宋体" w:eastAsia="宋体" w:cs="Times New Roman"/>
                <w:szCs w:val="21"/>
              </w:rPr>
            </w:pPr>
            <w:r>
              <w:rPr>
                <w:rFonts w:hint="eastAsia" w:ascii="宋体" w:hAnsi="宋体" w:eastAsia="宋体" w:cs="Times New Roman"/>
                <w:szCs w:val="21"/>
              </w:rPr>
              <w:t>1.了解儿童画对少儿教育的意义；</w:t>
            </w:r>
          </w:p>
          <w:p w14:paraId="61EFF36D">
            <w:pPr>
              <w:jc w:val="left"/>
              <w:rPr>
                <w:rFonts w:hint="eastAsia" w:ascii="宋体" w:hAnsi="宋体" w:eastAsia="宋体" w:cs="Times New Roman"/>
                <w:szCs w:val="21"/>
              </w:rPr>
            </w:pPr>
            <w:r>
              <w:rPr>
                <w:rFonts w:hint="eastAsia" w:ascii="宋体" w:hAnsi="宋体" w:eastAsia="宋体" w:cs="Times New Roman"/>
                <w:szCs w:val="21"/>
              </w:rPr>
              <w:t>2.掌握儿童画的绘画技法；</w:t>
            </w:r>
          </w:p>
          <w:p w14:paraId="4D5A8173">
            <w:pPr>
              <w:jc w:val="left"/>
              <w:rPr>
                <w:rFonts w:hint="eastAsia" w:ascii="宋体" w:hAnsi="宋体" w:eastAsia="宋体" w:cs="Times New Roman"/>
                <w:szCs w:val="21"/>
              </w:rPr>
            </w:pPr>
            <w:r>
              <w:rPr>
                <w:rFonts w:hint="eastAsia" w:ascii="宋体" w:hAnsi="宋体" w:eastAsia="宋体" w:cs="Times New Roman"/>
                <w:szCs w:val="21"/>
              </w:rPr>
              <w:t>3. 掌握创意技巧</w:t>
            </w:r>
          </w:p>
        </w:tc>
        <w:tc>
          <w:tcPr>
            <w:tcW w:w="1560" w:type="dxa"/>
            <w:vAlign w:val="center"/>
          </w:tcPr>
          <w:p w14:paraId="2425055A">
            <w:pPr>
              <w:jc w:val="left"/>
              <w:rPr>
                <w:rFonts w:hint="eastAsia" w:ascii="宋体" w:hAnsi="宋体" w:eastAsia="宋体" w:cs="Times New Roman"/>
                <w:szCs w:val="21"/>
              </w:rPr>
            </w:pPr>
            <w:r>
              <w:rPr>
                <w:rFonts w:ascii="宋体" w:hAnsi="宋体" w:eastAsia="宋体" w:cs="Times New Roman"/>
                <w:szCs w:val="21"/>
              </w:rPr>
              <w:t>1.线</w:t>
            </w:r>
            <w:r>
              <w:rPr>
                <w:rFonts w:hint="eastAsia" w:ascii="宋体" w:hAnsi="宋体" w:eastAsia="宋体" w:cs="Times New Roman"/>
                <w:szCs w:val="21"/>
              </w:rPr>
              <w:t>下</w:t>
            </w:r>
            <w:r>
              <w:rPr>
                <w:rFonts w:ascii="宋体" w:hAnsi="宋体" w:eastAsia="宋体" w:cs="Times New Roman"/>
                <w:szCs w:val="21"/>
              </w:rPr>
              <w:t>学习</w:t>
            </w:r>
          </w:p>
          <w:p w14:paraId="3B4B08BD">
            <w:pPr>
              <w:jc w:val="left"/>
              <w:rPr>
                <w:rFonts w:hint="eastAsia" w:ascii="宋体" w:hAnsi="宋体" w:eastAsia="宋体" w:cs="Times New Roman"/>
                <w:szCs w:val="21"/>
              </w:rPr>
            </w:pPr>
            <w:r>
              <w:rPr>
                <w:rFonts w:ascii="宋体" w:hAnsi="宋体" w:eastAsia="宋体" w:cs="Times New Roman"/>
                <w:szCs w:val="21"/>
              </w:rPr>
              <w:t>2.多媒体教学3.课堂讨论</w:t>
            </w:r>
          </w:p>
          <w:p w14:paraId="489B1998">
            <w:pPr>
              <w:jc w:val="left"/>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实践</w:t>
            </w:r>
          </w:p>
        </w:tc>
        <w:tc>
          <w:tcPr>
            <w:tcW w:w="438" w:type="dxa"/>
            <w:vAlign w:val="center"/>
          </w:tcPr>
          <w:p w14:paraId="0131BB62">
            <w:pPr>
              <w:jc w:val="center"/>
              <w:rPr>
                <w:rFonts w:hint="eastAsia" w:ascii="宋体" w:hAnsi="宋体" w:eastAsia="宋体" w:cs="Times New Roman"/>
                <w:szCs w:val="21"/>
              </w:rPr>
            </w:pPr>
            <w:r>
              <w:rPr>
                <w:rFonts w:hint="eastAsia" w:ascii="宋体" w:hAnsi="宋体" w:eastAsia="宋体" w:cs="Times New Roman"/>
                <w:szCs w:val="21"/>
              </w:rPr>
              <w:t>8</w:t>
            </w:r>
          </w:p>
        </w:tc>
      </w:tr>
      <w:tr w14:paraId="23E0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FDEFE4">
            <w:pPr>
              <w:jc w:val="center"/>
              <w:rPr>
                <w:rFonts w:hint="eastAsia" w:ascii="宋体" w:hAnsi="宋体" w:eastAsia="宋体" w:cs="Times New Roman"/>
                <w:szCs w:val="21"/>
              </w:rPr>
            </w:pPr>
          </w:p>
        </w:tc>
        <w:tc>
          <w:tcPr>
            <w:tcW w:w="8093" w:type="dxa"/>
            <w:gridSpan w:val="5"/>
            <w:vAlign w:val="center"/>
          </w:tcPr>
          <w:p w14:paraId="5EE8CBD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从辩证思维的角度掌握对不同事情的正确看法和处理方式。</w:t>
            </w:r>
          </w:p>
        </w:tc>
      </w:tr>
      <w:tr w14:paraId="520F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1FEC668">
            <w:pPr>
              <w:jc w:val="center"/>
              <w:rPr>
                <w:rFonts w:hint="eastAsia" w:ascii="宋体" w:hAnsi="宋体" w:eastAsia="宋体" w:cs="Times New Roman"/>
                <w:szCs w:val="21"/>
              </w:rPr>
            </w:pPr>
            <w:r>
              <w:rPr>
                <w:rFonts w:hint="eastAsia" w:ascii="宋体" w:hAnsi="宋体" w:eastAsia="宋体" w:cs="Times New Roman"/>
                <w:szCs w:val="21"/>
              </w:rPr>
              <w:t>4.创意色彩</w:t>
            </w:r>
          </w:p>
        </w:tc>
        <w:tc>
          <w:tcPr>
            <w:tcW w:w="1701" w:type="dxa"/>
            <w:vAlign w:val="center"/>
          </w:tcPr>
          <w:p w14:paraId="560E89E7">
            <w:pPr>
              <w:jc w:val="left"/>
              <w:rPr>
                <w:rFonts w:hint="eastAsia" w:ascii="宋体" w:hAnsi="宋体" w:eastAsia="宋体" w:cs="Times New Roman"/>
                <w:szCs w:val="21"/>
              </w:rPr>
            </w:pPr>
            <w:r>
              <w:rPr>
                <w:rFonts w:hint="eastAsia" w:ascii="宋体" w:hAnsi="宋体" w:eastAsia="宋体" w:cs="Times New Roman"/>
                <w:szCs w:val="21"/>
              </w:rPr>
              <w:t>（1）色彩形成原理</w:t>
            </w:r>
          </w:p>
          <w:p w14:paraId="06CD4228">
            <w:pPr>
              <w:jc w:val="left"/>
              <w:rPr>
                <w:rFonts w:hint="eastAsia" w:ascii="宋体" w:hAnsi="宋体" w:eastAsia="宋体" w:cs="Times New Roman"/>
                <w:szCs w:val="21"/>
              </w:rPr>
            </w:pPr>
            <w:r>
              <w:rPr>
                <w:rFonts w:hint="eastAsia" w:ascii="宋体" w:hAnsi="宋体" w:eastAsia="宋体" w:cs="Times New Roman"/>
                <w:szCs w:val="21"/>
              </w:rPr>
              <w:t>（2）印象派绘画分析</w:t>
            </w:r>
          </w:p>
          <w:p w14:paraId="0B6FA6D7">
            <w:pPr>
              <w:jc w:val="left"/>
              <w:rPr>
                <w:rFonts w:hint="eastAsia" w:ascii="宋体" w:hAnsi="宋体" w:eastAsia="宋体" w:cs="Times New Roman"/>
                <w:szCs w:val="21"/>
              </w:rPr>
            </w:pPr>
            <w:r>
              <w:rPr>
                <w:rFonts w:hint="eastAsia" w:ascii="宋体" w:hAnsi="宋体" w:eastAsia="宋体" w:cs="Times New Roman"/>
                <w:szCs w:val="21"/>
              </w:rPr>
              <w:t>（3）色彩的调色和关系</w:t>
            </w:r>
          </w:p>
        </w:tc>
        <w:tc>
          <w:tcPr>
            <w:tcW w:w="1134" w:type="dxa"/>
            <w:vAlign w:val="center"/>
          </w:tcPr>
          <w:p w14:paraId="55604352">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690389FC">
            <w:pPr>
              <w:jc w:val="left"/>
              <w:rPr>
                <w:rFonts w:hint="eastAsia" w:ascii="宋体" w:hAnsi="宋体" w:eastAsia="宋体" w:cs="Times New Roman"/>
                <w:szCs w:val="21"/>
              </w:rPr>
            </w:pPr>
            <w:r>
              <w:rPr>
                <w:rFonts w:hint="eastAsia" w:ascii="宋体" w:hAnsi="宋体" w:eastAsia="宋体" w:cs="Times New Roman"/>
                <w:szCs w:val="21"/>
              </w:rPr>
              <w:t>1.掌握色彩的形成原理；</w:t>
            </w:r>
          </w:p>
          <w:p w14:paraId="47D189A6">
            <w:pPr>
              <w:jc w:val="left"/>
              <w:rPr>
                <w:rFonts w:hint="eastAsia" w:ascii="宋体" w:hAnsi="宋体" w:eastAsia="宋体" w:cs="Times New Roman"/>
                <w:szCs w:val="21"/>
              </w:rPr>
            </w:pPr>
            <w:r>
              <w:rPr>
                <w:rFonts w:hint="eastAsia" w:ascii="宋体" w:hAnsi="宋体" w:eastAsia="宋体" w:cs="Times New Roman"/>
                <w:szCs w:val="21"/>
              </w:rPr>
              <w:t>2.学会色彩的调色技巧和色彩关系的表达。</w:t>
            </w:r>
          </w:p>
        </w:tc>
        <w:tc>
          <w:tcPr>
            <w:tcW w:w="1560" w:type="dxa"/>
            <w:vAlign w:val="center"/>
          </w:tcPr>
          <w:p w14:paraId="4C9A7DDF">
            <w:pPr>
              <w:jc w:val="left"/>
              <w:rPr>
                <w:rFonts w:hint="eastAsia" w:ascii="宋体" w:hAnsi="宋体" w:eastAsia="宋体" w:cs="Times New Roman"/>
                <w:szCs w:val="21"/>
              </w:rPr>
            </w:pPr>
            <w:r>
              <w:rPr>
                <w:rFonts w:ascii="宋体" w:hAnsi="宋体" w:eastAsia="宋体" w:cs="Times New Roman"/>
                <w:szCs w:val="21"/>
              </w:rPr>
              <w:t>1.线</w:t>
            </w:r>
            <w:r>
              <w:rPr>
                <w:rFonts w:hint="eastAsia" w:ascii="宋体" w:hAnsi="宋体" w:eastAsia="宋体" w:cs="Times New Roman"/>
                <w:szCs w:val="21"/>
              </w:rPr>
              <w:t>下</w:t>
            </w:r>
            <w:r>
              <w:rPr>
                <w:rFonts w:ascii="宋体" w:hAnsi="宋体" w:eastAsia="宋体" w:cs="Times New Roman"/>
                <w:szCs w:val="21"/>
              </w:rPr>
              <w:t>学习</w:t>
            </w:r>
          </w:p>
          <w:p w14:paraId="5DDBA24F">
            <w:pPr>
              <w:jc w:val="left"/>
              <w:rPr>
                <w:rFonts w:hint="eastAsia" w:ascii="宋体" w:hAnsi="宋体" w:eastAsia="宋体" w:cs="Times New Roman"/>
                <w:szCs w:val="21"/>
              </w:rPr>
            </w:pPr>
            <w:r>
              <w:rPr>
                <w:rFonts w:ascii="宋体" w:hAnsi="宋体" w:eastAsia="宋体" w:cs="Times New Roman"/>
                <w:szCs w:val="21"/>
              </w:rPr>
              <w:t>2.多媒体教学3.课堂讨论</w:t>
            </w:r>
          </w:p>
          <w:p w14:paraId="4DEEA9C8">
            <w:pPr>
              <w:jc w:val="left"/>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实践</w:t>
            </w:r>
          </w:p>
        </w:tc>
        <w:tc>
          <w:tcPr>
            <w:tcW w:w="438" w:type="dxa"/>
            <w:vAlign w:val="center"/>
          </w:tcPr>
          <w:p w14:paraId="57F44BE0">
            <w:pPr>
              <w:jc w:val="center"/>
              <w:rPr>
                <w:rFonts w:hint="eastAsia" w:ascii="宋体" w:hAnsi="宋体" w:eastAsia="宋体" w:cs="Times New Roman"/>
                <w:szCs w:val="21"/>
              </w:rPr>
            </w:pPr>
            <w:r>
              <w:rPr>
                <w:rFonts w:hint="eastAsia" w:ascii="宋体" w:hAnsi="宋体" w:eastAsia="宋体" w:cs="Times New Roman"/>
                <w:szCs w:val="21"/>
              </w:rPr>
              <w:t>4</w:t>
            </w:r>
          </w:p>
        </w:tc>
      </w:tr>
      <w:tr w14:paraId="534E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1E64D9">
            <w:pPr>
              <w:jc w:val="center"/>
              <w:rPr>
                <w:rFonts w:hint="eastAsia" w:ascii="宋体" w:hAnsi="宋体" w:eastAsia="宋体" w:cs="Times New Roman"/>
                <w:szCs w:val="21"/>
              </w:rPr>
            </w:pPr>
          </w:p>
        </w:tc>
        <w:tc>
          <w:tcPr>
            <w:tcW w:w="8093" w:type="dxa"/>
            <w:gridSpan w:val="5"/>
            <w:vAlign w:val="center"/>
          </w:tcPr>
          <w:p w14:paraId="0C0FC03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通过对色彩的学习使学生学会观察周围的人和事，从中学会找联系</w:t>
            </w:r>
            <w:r>
              <w:rPr>
                <w:rFonts w:hint="eastAsia" w:ascii="宋体" w:hAnsi="宋体" w:eastAsia="宋体" w:cs="Times New Roman"/>
                <w:szCs w:val="21"/>
              </w:rPr>
              <w:t>。</w:t>
            </w:r>
          </w:p>
        </w:tc>
      </w:tr>
      <w:tr w14:paraId="7D8E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2DB022">
            <w:pPr>
              <w:jc w:val="center"/>
              <w:rPr>
                <w:rFonts w:hint="eastAsia" w:ascii="宋体" w:hAnsi="宋体" w:eastAsia="宋体" w:cs="Times New Roman"/>
                <w:szCs w:val="21"/>
              </w:rPr>
            </w:pPr>
            <w:r>
              <w:rPr>
                <w:rFonts w:hint="eastAsia" w:ascii="宋体" w:hAnsi="宋体" w:eastAsia="宋体" w:cs="Times New Roman"/>
                <w:szCs w:val="21"/>
              </w:rPr>
              <w:t>5.色彩表达</w:t>
            </w:r>
          </w:p>
        </w:tc>
        <w:tc>
          <w:tcPr>
            <w:tcW w:w="1701" w:type="dxa"/>
            <w:vAlign w:val="center"/>
          </w:tcPr>
          <w:p w14:paraId="7ECACDA8">
            <w:pPr>
              <w:jc w:val="left"/>
              <w:rPr>
                <w:rFonts w:hint="eastAsia" w:ascii="宋体" w:hAnsi="宋体" w:eastAsia="宋体" w:cs="Times New Roman"/>
                <w:szCs w:val="21"/>
              </w:rPr>
            </w:pPr>
            <w:r>
              <w:rPr>
                <w:rFonts w:hint="eastAsia" w:ascii="宋体" w:hAnsi="宋体" w:eastAsia="宋体" w:cs="Times New Roman"/>
                <w:szCs w:val="21"/>
              </w:rPr>
              <w:t>（1）色彩肌理表达</w:t>
            </w:r>
          </w:p>
          <w:p w14:paraId="4540A6E8">
            <w:pPr>
              <w:jc w:val="left"/>
              <w:rPr>
                <w:rFonts w:hint="eastAsia" w:ascii="宋体" w:hAnsi="宋体" w:eastAsia="宋体" w:cs="Times New Roman"/>
                <w:szCs w:val="21"/>
              </w:rPr>
            </w:pPr>
            <w:r>
              <w:rPr>
                <w:rFonts w:hint="eastAsia" w:ascii="宋体" w:hAnsi="宋体" w:eastAsia="宋体" w:cs="Times New Roman"/>
                <w:szCs w:val="21"/>
              </w:rPr>
              <w:t>（2）色彩的构成形式</w:t>
            </w:r>
          </w:p>
          <w:p w14:paraId="5C4FFC4E">
            <w:pPr>
              <w:jc w:val="left"/>
              <w:rPr>
                <w:rFonts w:hint="eastAsia" w:ascii="宋体" w:hAnsi="宋体" w:eastAsia="宋体" w:cs="Times New Roman"/>
                <w:szCs w:val="21"/>
              </w:rPr>
            </w:pPr>
            <w:r>
              <w:rPr>
                <w:rFonts w:hint="eastAsia" w:ascii="宋体" w:hAnsi="宋体" w:eastAsia="宋体" w:cs="Times New Roman"/>
                <w:szCs w:val="21"/>
              </w:rPr>
              <w:t>（3）色彩创作原理</w:t>
            </w:r>
          </w:p>
        </w:tc>
        <w:tc>
          <w:tcPr>
            <w:tcW w:w="1134" w:type="dxa"/>
            <w:vAlign w:val="center"/>
          </w:tcPr>
          <w:p w14:paraId="038F1701">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23722C99">
            <w:pPr>
              <w:jc w:val="left"/>
              <w:rPr>
                <w:rFonts w:hint="eastAsia" w:ascii="宋体" w:hAnsi="宋体" w:eastAsia="宋体" w:cs="Times New Roman"/>
                <w:szCs w:val="21"/>
              </w:rPr>
            </w:pPr>
            <w:r>
              <w:rPr>
                <w:rFonts w:hint="eastAsia" w:ascii="宋体" w:hAnsi="宋体" w:eastAsia="宋体" w:cs="Times New Roman"/>
                <w:szCs w:val="21"/>
              </w:rPr>
              <w:t>1.掌握各种材料对色彩肌理表达的实践方法；</w:t>
            </w:r>
          </w:p>
          <w:p w14:paraId="6E25BC00">
            <w:pPr>
              <w:jc w:val="left"/>
              <w:rPr>
                <w:rFonts w:hint="eastAsia" w:ascii="宋体" w:hAnsi="宋体" w:eastAsia="宋体" w:cs="Times New Roman"/>
                <w:szCs w:val="21"/>
              </w:rPr>
            </w:pPr>
            <w:r>
              <w:rPr>
                <w:rFonts w:hint="eastAsia" w:ascii="宋体" w:hAnsi="宋体" w:eastAsia="宋体" w:cs="Times New Roman"/>
                <w:szCs w:val="21"/>
              </w:rPr>
              <w:t>2.掌握色彩构成方法；</w:t>
            </w:r>
          </w:p>
          <w:p w14:paraId="38AA44B6">
            <w:pPr>
              <w:jc w:val="left"/>
              <w:rPr>
                <w:rFonts w:hint="eastAsia" w:ascii="宋体" w:hAnsi="宋体" w:eastAsia="宋体" w:cs="Times New Roman"/>
                <w:szCs w:val="21"/>
              </w:rPr>
            </w:pPr>
            <w:r>
              <w:rPr>
                <w:rFonts w:hint="eastAsia" w:ascii="宋体" w:hAnsi="宋体" w:eastAsia="宋体" w:cs="Times New Roman"/>
                <w:szCs w:val="21"/>
              </w:rPr>
              <w:t>3.色彩创意实践</w:t>
            </w:r>
            <w:r>
              <w:rPr>
                <w:rFonts w:ascii="宋体" w:hAnsi="宋体" w:eastAsia="宋体" w:cs="Times New Roman"/>
                <w:szCs w:val="21"/>
              </w:rPr>
              <w:t>。</w:t>
            </w:r>
          </w:p>
        </w:tc>
        <w:tc>
          <w:tcPr>
            <w:tcW w:w="1560" w:type="dxa"/>
            <w:vAlign w:val="center"/>
          </w:tcPr>
          <w:p w14:paraId="771AC591">
            <w:pPr>
              <w:jc w:val="left"/>
              <w:rPr>
                <w:rFonts w:hint="eastAsia" w:ascii="宋体" w:hAnsi="宋体" w:eastAsia="宋体" w:cs="Times New Roman"/>
                <w:szCs w:val="21"/>
              </w:rPr>
            </w:pPr>
            <w:r>
              <w:rPr>
                <w:rFonts w:ascii="宋体" w:hAnsi="宋体" w:eastAsia="宋体" w:cs="Times New Roman"/>
                <w:szCs w:val="21"/>
              </w:rPr>
              <w:t>1.线</w:t>
            </w:r>
            <w:r>
              <w:rPr>
                <w:rFonts w:hint="eastAsia" w:ascii="宋体" w:hAnsi="宋体" w:eastAsia="宋体" w:cs="Times New Roman"/>
                <w:szCs w:val="21"/>
              </w:rPr>
              <w:t>下</w:t>
            </w:r>
            <w:r>
              <w:rPr>
                <w:rFonts w:ascii="宋体" w:hAnsi="宋体" w:eastAsia="宋体" w:cs="Times New Roman"/>
                <w:szCs w:val="21"/>
              </w:rPr>
              <w:t>学习</w:t>
            </w:r>
          </w:p>
          <w:p w14:paraId="591A4881">
            <w:pPr>
              <w:jc w:val="left"/>
              <w:rPr>
                <w:rFonts w:hint="eastAsia" w:ascii="宋体" w:hAnsi="宋体" w:eastAsia="宋体" w:cs="Times New Roman"/>
                <w:szCs w:val="21"/>
              </w:rPr>
            </w:pPr>
            <w:r>
              <w:rPr>
                <w:rFonts w:ascii="宋体" w:hAnsi="宋体" w:eastAsia="宋体" w:cs="Times New Roman"/>
                <w:szCs w:val="21"/>
              </w:rPr>
              <w:t>2.多媒体教学3.课堂讨论</w:t>
            </w:r>
          </w:p>
          <w:p w14:paraId="605C6E61">
            <w:pPr>
              <w:jc w:val="left"/>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实践</w:t>
            </w:r>
          </w:p>
        </w:tc>
        <w:tc>
          <w:tcPr>
            <w:tcW w:w="438" w:type="dxa"/>
            <w:vAlign w:val="center"/>
          </w:tcPr>
          <w:p w14:paraId="55036032">
            <w:pPr>
              <w:jc w:val="center"/>
              <w:rPr>
                <w:rFonts w:hint="eastAsia" w:ascii="宋体" w:hAnsi="宋体" w:eastAsia="宋体" w:cs="Times New Roman"/>
                <w:szCs w:val="21"/>
              </w:rPr>
            </w:pPr>
            <w:r>
              <w:rPr>
                <w:rFonts w:hint="eastAsia" w:ascii="宋体" w:hAnsi="宋体" w:eastAsia="宋体" w:cs="Times New Roman"/>
                <w:szCs w:val="21"/>
              </w:rPr>
              <w:t>8</w:t>
            </w:r>
          </w:p>
        </w:tc>
      </w:tr>
      <w:tr w14:paraId="63170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4468D30">
            <w:pPr>
              <w:jc w:val="center"/>
              <w:rPr>
                <w:rFonts w:hint="eastAsia" w:ascii="宋体" w:hAnsi="宋体" w:eastAsia="宋体" w:cs="Times New Roman"/>
                <w:szCs w:val="21"/>
              </w:rPr>
            </w:pPr>
          </w:p>
        </w:tc>
        <w:tc>
          <w:tcPr>
            <w:tcW w:w="8093" w:type="dxa"/>
            <w:gridSpan w:val="5"/>
            <w:vAlign w:val="center"/>
          </w:tcPr>
          <w:p w14:paraId="31A35C4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通过对色彩的表达学习，可以拓展思维，用科学的思维处理问题，理解创造力的重要性。</w:t>
            </w:r>
          </w:p>
        </w:tc>
      </w:tr>
      <w:tr w14:paraId="495A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46AF0A3">
            <w:pPr>
              <w:jc w:val="center"/>
              <w:rPr>
                <w:rFonts w:hint="eastAsia" w:ascii="宋体" w:hAnsi="宋体" w:eastAsia="宋体" w:cs="Times New Roman"/>
                <w:szCs w:val="21"/>
              </w:rPr>
            </w:pPr>
            <w:r>
              <w:rPr>
                <w:rFonts w:hint="eastAsia" w:ascii="宋体" w:hAnsi="宋体" w:eastAsia="宋体" w:cs="Times New Roman"/>
                <w:szCs w:val="21"/>
              </w:rPr>
              <w:t>6.色彩探索</w:t>
            </w:r>
          </w:p>
        </w:tc>
        <w:tc>
          <w:tcPr>
            <w:tcW w:w="1701" w:type="dxa"/>
            <w:vAlign w:val="center"/>
          </w:tcPr>
          <w:p w14:paraId="159E49E0">
            <w:pPr>
              <w:jc w:val="left"/>
              <w:rPr>
                <w:rFonts w:hint="eastAsia" w:ascii="宋体" w:hAnsi="宋体" w:eastAsia="宋体" w:cs="Times New Roman"/>
                <w:szCs w:val="21"/>
              </w:rPr>
            </w:pPr>
            <w:r>
              <w:rPr>
                <w:rFonts w:hint="eastAsia" w:ascii="宋体" w:hAnsi="宋体" w:eastAsia="宋体" w:cs="Times New Roman"/>
                <w:szCs w:val="21"/>
              </w:rPr>
              <w:t>（1）物料的创作特性及实验</w:t>
            </w:r>
          </w:p>
          <w:p w14:paraId="7484D3BD">
            <w:pPr>
              <w:jc w:val="left"/>
              <w:rPr>
                <w:rFonts w:hint="eastAsia" w:ascii="宋体" w:hAnsi="宋体" w:eastAsia="宋体" w:cs="Times New Roman"/>
                <w:szCs w:val="21"/>
              </w:rPr>
            </w:pPr>
            <w:r>
              <w:rPr>
                <w:rFonts w:hint="eastAsia" w:ascii="宋体" w:hAnsi="宋体" w:eastAsia="宋体" w:cs="Times New Roman"/>
                <w:szCs w:val="21"/>
              </w:rPr>
              <w:t>（2）不同绘画语言的绘画技法掌握</w:t>
            </w:r>
          </w:p>
          <w:p w14:paraId="26BBF0CC">
            <w:pPr>
              <w:jc w:val="left"/>
              <w:rPr>
                <w:rFonts w:hint="eastAsia" w:ascii="宋体" w:hAnsi="宋体" w:eastAsia="宋体" w:cs="Times New Roman"/>
                <w:szCs w:val="21"/>
              </w:rPr>
            </w:pPr>
            <w:r>
              <w:rPr>
                <w:rFonts w:hint="eastAsia" w:ascii="宋体" w:hAnsi="宋体" w:eastAsia="宋体" w:cs="Times New Roman"/>
                <w:szCs w:val="21"/>
              </w:rPr>
              <w:t>（3）对艺术与科学的理解</w:t>
            </w:r>
          </w:p>
        </w:tc>
        <w:tc>
          <w:tcPr>
            <w:tcW w:w="1134" w:type="dxa"/>
            <w:vAlign w:val="center"/>
          </w:tcPr>
          <w:p w14:paraId="131194C2">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3260" w:type="dxa"/>
            <w:vAlign w:val="center"/>
          </w:tcPr>
          <w:p w14:paraId="2484975E">
            <w:pPr>
              <w:jc w:val="left"/>
              <w:rPr>
                <w:rFonts w:hint="eastAsia" w:ascii="宋体" w:hAnsi="宋体" w:eastAsia="宋体" w:cs="Times New Roman"/>
                <w:szCs w:val="21"/>
              </w:rPr>
            </w:pPr>
            <w:r>
              <w:rPr>
                <w:rFonts w:hint="eastAsia" w:ascii="宋体" w:hAnsi="宋体" w:eastAsia="宋体" w:cs="Times New Roman"/>
                <w:szCs w:val="21"/>
              </w:rPr>
              <w:t>1.了解不同物料的创作特性及效果表现；</w:t>
            </w:r>
          </w:p>
          <w:p w14:paraId="0DAFB02B">
            <w:pPr>
              <w:jc w:val="left"/>
              <w:rPr>
                <w:rFonts w:hint="eastAsia" w:ascii="宋体" w:hAnsi="宋体" w:eastAsia="宋体" w:cs="Times New Roman"/>
                <w:szCs w:val="21"/>
              </w:rPr>
            </w:pPr>
            <w:r>
              <w:rPr>
                <w:rFonts w:hint="eastAsia" w:ascii="宋体" w:hAnsi="宋体" w:eastAsia="宋体" w:cs="Times New Roman"/>
                <w:szCs w:val="21"/>
              </w:rPr>
              <w:t>2.各种绘画颜料的使用及技法掌握；</w:t>
            </w:r>
          </w:p>
          <w:p w14:paraId="28060BE2">
            <w:pPr>
              <w:jc w:val="left"/>
              <w:rPr>
                <w:rFonts w:hint="eastAsia" w:ascii="宋体" w:hAnsi="宋体" w:eastAsia="宋体" w:cs="Times New Roman"/>
                <w:szCs w:val="21"/>
              </w:rPr>
            </w:pPr>
            <w:r>
              <w:rPr>
                <w:rFonts w:hint="eastAsia" w:ascii="宋体" w:hAnsi="宋体" w:eastAsia="宋体" w:cs="Times New Roman"/>
                <w:szCs w:val="21"/>
              </w:rPr>
              <w:t>3.了解艺术与科技的关系。</w:t>
            </w:r>
          </w:p>
        </w:tc>
        <w:tc>
          <w:tcPr>
            <w:tcW w:w="1560" w:type="dxa"/>
            <w:vAlign w:val="center"/>
          </w:tcPr>
          <w:p w14:paraId="0B02A1AA">
            <w:pPr>
              <w:jc w:val="left"/>
              <w:rPr>
                <w:rFonts w:hint="eastAsia" w:ascii="宋体" w:hAnsi="宋体" w:eastAsia="宋体" w:cs="Times New Roman"/>
                <w:szCs w:val="21"/>
              </w:rPr>
            </w:pPr>
            <w:r>
              <w:rPr>
                <w:rFonts w:ascii="宋体" w:hAnsi="宋体" w:eastAsia="宋体" w:cs="Times New Roman"/>
                <w:szCs w:val="21"/>
              </w:rPr>
              <w:t>1.线</w:t>
            </w:r>
            <w:r>
              <w:rPr>
                <w:rFonts w:hint="eastAsia" w:ascii="宋体" w:hAnsi="宋体" w:eastAsia="宋体" w:cs="Times New Roman"/>
                <w:szCs w:val="21"/>
              </w:rPr>
              <w:t>下</w:t>
            </w:r>
            <w:r>
              <w:rPr>
                <w:rFonts w:ascii="宋体" w:hAnsi="宋体" w:eastAsia="宋体" w:cs="Times New Roman"/>
                <w:szCs w:val="21"/>
              </w:rPr>
              <w:t>学习</w:t>
            </w:r>
          </w:p>
          <w:p w14:paraId="7F00B1F3">
            <w:pPr>
              <w:jc w:val="left"/>
              <w:rPr>
                <w:rFonts w:hint="eastAsia" w:ascii="宋体" w:hAnsi="宋体" w:eastAsia="宋体" w:cs="Times New Roman"/>
                <w:szCs w:val="21"/>
              </w:rPr>
            </w:pPr>
            <w:r>
              <w:rPr>
                <w:rFonts w:ascii="宋体" w:hAnsi="宋体" w:eastAsia="宋体" w:cs="Times New Roman"/>
                <w:szCs w:val="21"/>
              </w:rPr>
              <w:t>2.多媒体教学3.课堂讨论</w:t>
            </w:r>
          </w:p>
          <w:p w14:paraId="58B7A426">
            <w:pPr>
              <w:jc w:val="left"/>
              <w:rPr>
                <w:rFonts w:hint="eastAsia" w:ascii="宋体" w:hAnsi="宋体" w:eastAsia="宋体" w:cs="Times New Roman"/>
                <w:szCs w:val="21"/>
              </w:rPr>
            </w:pPr>
            <w:r>
              <w:rPr>
                <w:rFonts w:ascii="宋体" w:hAnsi="宋体" w:eastAsia="宋体" w:cs="Times New Roman"/>
                <w:szCs w:val="21"/>
              </w:rPr>
              <w:t>4.</w:t>
            </w:r>
            <w:r>
              <w:rPr>
                <w:rFonts w:hint="eastAsia" w:ascii="宋体" w:hAnsi="宋体" w:eastAsia="宋体" w:cs="Times New Roman"/>
                <w:szCs w:val="21"/>
              </w:rPr>
              <w:t>实践</w:t>
            </w:r>
          </w:p>
        </w:tc>
        <w:tc>
          <w:tcPr>
            <w:tcW w:w="438" w:type="dxa"/>
            <w:vAlign w:val="center"/>
          </w:tcPr>
          <w:p w14:paraId="18211CCD">
            <w:pPr>
              <w:jc w:val="center"/>
              <w:rPr>
                <w:rFonts w:hint="eastAsia" w:ascii="宋体" w:hAnsi="宋体" w:eastAsia="宋体" w:cs="Times New Roman"/>
                <w:szCs w:val="21"/>
              </w:rPr>
            </w:pPr>
            <w:r>
              <w:rPr>
                <w:rFonts w:hint="eastAsia" w:ascii="宋体" w:hAnsi="宋体" w:eastAsia="宋体" w:cs="Times New Roman"/>
                <w:szCs w:val="21"/>
              </w:rPr>
              <w:t>8</w:t>
            </w:r>
          </w:p>
        </w:tc>
      </w:tr>
      <w:tr w14:paraId="6A5A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2DA7E95">
            <w:pPr>
              <w:jc w:val="center"/>
              <w:rPr>
                <w:rFonts w:hint="eastAsia" w:ascii="宋体" w:hAnsi="宋体" w:eastAsia="宋体" w:cs="Times New Roman"/>
                <w:szCs w:val="21"/>
              </w:rPr>
            </w:pPr>
          </w:p>
        </w:tc>
        <w:tc>
          <w:tcPr>
            <w:tcW w:w="8093" w:type="dxa"/>
            <w:gridSpan w:val="5"/>
            <w:vAlign w:val="center"/>
          </w:tcPr>
          <w:p w14:paraId="0336DA1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通过对色彩的探索学习，学会在不同实践中找联系，以跨界融合的思维进行学习。</w:t>
            </w:r>
          </w:p>
        </w:tc>
      </w:tr>
    </w:tbl>
    <w:p w14:paraId="2F3B7E5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1869C07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2C0A7E2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281B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2996C35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17CF946E">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117DF490">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DE1A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5522942C">
            <w:pPr>
              <w:spacing w:line="360" w:lineRule="auto"/>
              <w:jc w:val="center"/>
              <w:rPr>
                <w:rFonts w:hint="eastAsia" w:ascii="宋体" w:hAnsi="宋体" w:eastAsia="宋体" w:cs="Times New Roman"/>
                <w:szCs w:val="21"/>
              </w:rPr>
            </w:pPr>
          </w:p>
        </w:tc>
        <w:tc>
          <w:tcPr>
            <w:tcW w:w="0" w:type="auto"/>
            <w:vAlign w:val="center"/>
          </w:tcPr>
          <w:p w14:paraId="2A9B2FD5">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1E86BBAC">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1DA7F4A">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26521080">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354FD771">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5308D4D4">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14D9AD7F">
            <w:pPr>
              <w:spacing w:line="360" w:lineRule="auto"/>
              <w:jc w:val="center"/>
              <w:rPr>
                <w:rFonts w:hint="eastAsia" w:ascii="宋体" w:hAnsi="宋体" w:eastAsia="宋体" w:cs="Times New Roman"/>
                <w:szCs w:val="21"/>
              </w:rPr>
            </w:pPr>
          </w:p>
        </w:tc>
      </w:tr>
      <w:tr w14:paraId="3656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64D64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187DFEB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4A2B6C3">
            <w:pPr>
              <w:spacing w:line="360" w:lineRule="auto"/>
              <w:jc w:val="center"/>
              <w:rPr>
                <w:rFonts w:hint="eastAsia" w:ascii="宋体" w:hAnsi="宋体" w:eastAsia="宋体" w:cs="Times New Roman"/>
                <w:szCs w:val="21"/>
              </w:rPr>
            </w:pPr>
          </w:p>
        </w:tc>
        <w:tc>
          <w:tcPr>
            <w:tcW w:w="0" w:type="auto"/>
            <w:vAlign w:val="center"/>
          </w:tcPr>
          <w:p w14:paraId="614A145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1FBC5C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2DEE0D2">
            <w:pPr>
              <w:spacing w:line="360" w:lineRule="auto"/>
              <w:jc w:val="center"/>
              <w:rPr>
                <w:rFonts w:hint="eastAsia" w:ascii="宋体" w:hAnsi="宋体" w:eastAsia="宋体" w:cs="Times New Roman"/>
                <w:szCs w:val="21"/>
              </w:rPr>
            </w:pPr>
          </w:p>
        </w:tc>
        <w:tc>
          <w:tcPr>
            <w:tcW w:w="0" w:type="auto"/>
          </w:tcPr>
          <w:p w14:paraId="1B63B26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AC0ED24">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1462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CADBF0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2087601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47F252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CC23E1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2D4ACC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3F63A5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682A18B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2021166">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r>
      <w:tr w14:paraId="25BC1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766DAF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5FEBA20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DB4C8E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B8B38C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70D15D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C0C794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5595894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4BF9B77">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C71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B33A60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0" w:type="auto"/>
            <w:vAlign w:val="center"/>
          </w:tcPr>
          <w:p w14:paraId="4774246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DA4FAB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D3388B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D10917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FA9A341">
            <w:pPr>
              <w:spacing w:line="360" w:lineRule="auto"/>
              <w:jc w:val="center"/>
              <w:rPr>
                <w:rFonts w:hint="eastAsia" w:ascii="宋体" w:hAnsi="宋体" w:eastAsia="宋体" w:cs="Times New Roman"/>
                <w:szCs w:val="21"/>
              </w:rPr>
            </w:pPr>
          </w:p>
        </w:tc>
        <w:tc>
          <w:tcPr>
            <w:tcW w:w="0" w:type="auto"/>
          </w:tcPr>
          <w:p w14:paraId="79E8B559">
            <w:pPr>
              <w:spacing w:line="360" w:lineRule="auto"/>
              <w:jc w:val="center"/>
              <w:rPr>
                <w:rFonts w:hint="eastAsia" w:ascii="宋体" w:hAnsi="宋体" w:eastAsia="宋体" w:cs="Times New Roman"/>
                <w:szCs w:val="21"/>
              </w:rPr>
            </w:pPr>
          </w:p>
        </w:tc>
        <w:tc>
          <w:tcPr>
            <w:tcW w:w="0" w:type="auto"/>
            <w:vAlign w:val="center"/>
          </w:tcPr>
          <w:p w14:paraId="6F821522">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F57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1C5CFE2">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7CC4FC9F">
            <w:pPr>
              <w:spacing w:line="360" w:lineRule="auto"/>
              <w:jc w:val="center"/>
              <w:rPr>
                <w:rFonts w:hint="eastAsia" w:ascii="宋体" w:hAnsi="宋体" w:eastAsia="宋体" w:cs="Times New Roman"/>
                <w:szCs w:val="21"/>
              </w:rPr>
            </w:pPr>
          </w:p>
        </w:tc>
        <w:tc>
          <w:tcPr>
            <w:tcW w:w="0" w:type="auto"/>
            <w:vAlign w:val="center"/>
          </w:tcPr>
          <w:p w14:paraId="2C1C52B4">
            <w:pPr>
              <w:spacing w:line="360" w:lineRule="auto"/>
              <w:jc w:val="center"/>
              <w:rPr>
                <w:rFonts w:hint="eastAsia" w:ascii="宋体" w:hAnsi="宋体" w:eastAsia="宋体" w:cs="Times New Roman"/>
                <w:szCs w:val="21"/>
              </w:rPr>
            </w:pPr>
          </w:p>
        </w:tc>
        <w:tc>
          <w:tcPr>
            <w:tcW w:w="0" w:type="auto"/>
            <w:vAlign w:val="center"/>
          </w:tcPr>
          <w:p w14:paraId="559D8F71">
            <w:pPr>
              <w:spacing w:line="360" w:lineRule="auto"/>
              <w:jc w:val="center"/>
              <w:rPr>
                <w:rFonts w:hint="eastAsia" w:ascii="宋体" w:hAnsi="宋体" w:eastAsia="宋体" w:cs="Times New Roman"/>
                <w:szCs w:val="21"/>
              </w:rPr>
            </w:pPr>
          </w:p>
        </w:tc>
        <w:tc>
          <w:tcPr>
            <w:tcW w:w="0" w:type="auto"/>
            <w:vAlign w:val="center"/>
          </w:tcPr>
          <w:p w14:paraId="1894C9E7">
            <w:pPr>
              <w:spacing w:line="360" w:lineRule="auto"/>
              <w:jc w:val="center"/>
              <w:rPr>
                <w:rFonts w:hint="eastAsia" w:ascii="宋体" w:hAnsi="宋体" w:eastAsia="宋体" w:cs="Times New Roman"/>
                <w:szCs w:val="21"/>
              </w:rPr>
            </w:pPr>
          </w:p>
        </w:tc>
        <w:tc>
          <w:tcPr>
            <w:tcW w:w="0" w:type="auto"/>
            <w:vAlign w:val="center"/>
          </w:tcPr>
          <w:p w14:paraId="1F127352">
            <w:pPr>
              <w:spacing w:line="360" w:lineRule="auto"/>
              <w:jc w:val="center"/>
              <w:rPr>
                <w:rFonts w:hint="eastAsia" w:ascii="宋体" w:hAnsi="宋体" w:eastAsia="宋体" w:cs="Times New Roman"/>
                <w:szCs w:val="21"/>
              </w:rPr>
            </w:pPr>
          </w:p>
        </w:tc>
        <w:tc>
          <w:tcPr>
            <w:tcW w:w="0" w:type="auto"/>
          </w:tcPr>
          <w:p w14:paraId="21DEC072">
            <w:pPr>
              <w:spacing w:line="360" w:lineRule="auto"/>
              <w:jc w:val="center"/>
              <w:rPr>
                <w:rFonts w:hint="eastAsia" w:ascii="宋体" w:hAnsi="宋体" w:eastAsia="宋体" w:cs="Times New Roman"/>
                <w:szCs w:val="21"/>
              </w:rPr>
            </w:pPr>
          </w:p>
        </w:tc>
        <w:tc>
          <w:tcPr>
            <w:tcW w:w="0" w:type="auto"/>
            <w:vAlign w:val="center"/>
          </w:tcPr>
          <w:p w14:paraId="79899CF8">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4B436BC">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0A4BE2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EAC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B1F178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2D5CB6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EE97EA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9C2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3B84E18">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098B50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4次，一是素描静物，以静物素描中的造型、明暗、整体关系来作为评分的主要依据。二是结构素描，以结构静物中造型、线条、结构透视作为评分的主要依据。三是插画线稿绘制，以插画中的线条、造型、构图作为评分的主要依据。四是色彩插画绘制，以色彩表现、构图、造型、整体性作为评分的主要依据。</w:t>
            </w:r>
          </w:p>
        </w:tc>
        <w:tc>
          <w:tcPr>
            <w:tcW w:w="0" w:type="auto"/>
            <w:vAlign w:val="center"/>
          </w:tcPr>
          <w:p w14:paraId="1D64A96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06E4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AE81978">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35260123">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0E066EF7">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27DBA5A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59B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F2E589">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2E5C6128">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每一章节进行课上实践</w:t>
            </w:r>
          </w:p>
        </w:tc>
        <w:tc>
          <w:tcPr>
            <w:tcW w:w="0" w:type="auto"/>
            <w:vAlign w:val="center"/>
          </w:tcPr>
          <w:p w14:paraId="290811B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388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5B32D2">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63B98485">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课前5分钟左右，学生互相点评作业，以学生表达的流程性、逻辑性和分析的深度为评分的主要依据。</w:t>
            </w:r>
          </w:p>
        </w:tc>
        <w:tc>
          <w:tcPr>
            <w:tcW w:w="0" w:type="auto"/>
            <w:vAlign w:val="center"/>
          </w:tcPr>
          <w:p w14:paraId="5F1DC12D">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r>
      <w:tr w14:paraId="4006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E5C86F3">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3EB225F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53676127">
            <w:pPr>
              <w:jc w:val="center"/>
              <w:rPr>
                <w:rFonts w:ascii="Times New Roman" w:hAnsi="Times New Roman" w:eastAsia="宋体" w:cs="Times New Roman"/>
                <w:szCs w:val="21"/>
              </w:rPr>
            </w:pPr>
            <w:r>
              <w:rPr>
                <w:rFonts w:hint="eastAsia" w:ascii="Times New Roman" w:hAnsi="Times New Roman" w:eastAsia="宋体" w:cs="Times New Roman"/>
                <w:szCs w:val="21"/>
              </w:rPr>
              <w:t>5%</w:t>
            </w:r>
          </w:p>
        </w:tc>
      </w:tr>
      <w:tr w14:paraId="0DFFB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179C64">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8D786BC">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w:t>
            </w:r>
            <w:r>
              <w:rPr>
                <w:rFonts w:hint="eastAsia" w:ascii="Times New Roman" w:hAnsi="Times New Roman" w:eastAsia="宋体" w:cs="Times New Roman"/>
                <w:szCs w:val="21"/>
              </w:rPr>
              <w:t>为插画作品创作</w:t>
            </w:r>
            <w:r>
              <w:rPr>
                <w:rFonts w:ascii="Times New Roman" w:hAnsi="Times New Roman" w:eastAsia="宋体" w:cs="Times New Roman"/>
                <w:szCs w:val="21"/>
              </w:rPr>
              <w:t>，以</w:t>
            </w:r>
            <w:r>
              <w:rPr>
                <w:rFonts w:hint="eastAsia" w:ascii="Times New Roman" w:hAnsi="Times New Roman" w:eastAsia="宋体" w:cs="Times New Roman"/>
                <w:szCs w:val="21"/>
              </w:rPr>
              <w:t>作品成绩</w:t>
            </w:r>
            <w:r>
              <w:rPr>
                <w:rFonts w:ascii="Times New Roman" w:hAnsi="Times New Roman" w:eastAsia="宋体" w:cs="Times New Roman"/>
                <w:szCs w:val="21"/>
              </w:rPr>
              <w:t>的</w:t>
            </w:r>
            <w:r>
              <w:rPr>
                <w:rFonts w:hint="eastAsia" w:ascii="Times New Roman" w:hAnsi="Times New Roman" w:eastAsia="宋体" w:cs="Times New Roman"/>
                <w:szCs w:val="21"/>
              </w:rPr>
              <w:t>60</w:t>
            </w:r>
            <w:r>
              <w:rPr>
                <w:rFonts w:ascii="Times New Roman" w:hAnsi="Times New Roman" w:eastAsia="宋体" w:cs="Times New Roman"/>
                <w:szCs w:val="21"/>
              </w:rPr>
              <w:t>%计入课程总成绩。其中</w:t>
            </w:r>
            <w:r>
              <w:rPr>
                <w:rFonts w:hint="eastAsia" w:ascii="Times New Roman" w:hAnsi="Times New Roman" w:eastAsia="宋体" w:cs="Times New Roman"/>
                <w:szCs w:val="21"/>
              </w:rPr>
              <w:t>绘画技法掌握占20%；造型能力占30%；构图及整体关系处理20%；色彩运用30%。</w:t>
            </w:r>
          </w:p>
        </w:tc>
        <w:tc>
          <w:tcPr>
            <w:tcW w:w="0" w:type="auto"/>
            <w:vAlign w:val="center"/>
          </w:tcPr>
          <w:p w14:paraId="7F58D567">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54D7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6B75AC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3217C12">
            <w:pPr>
              <w:jc w:val="left"/>
              <w:rPr>
                <w:rFonts w:ascii="Times New Roman" w:hAnsi="Times New Roman" w:eastAsia="宋体" w:cs="Times New Roman"/>
                <w:szCs w:val="21"/>
              </w:rPr>
            </w:pPr>
          </w:p>
        </w:tc>
        <w:tc>
          <w:tcPr>
            <w:tcW w:w="0" w:type="auto"/>
            <w:vAlign w:val="center"/>
          </w:tcPr>
          <w:p w14:paraId="16A1B634">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F0C6E84">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4AF8AE32">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413F91E6">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66"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66" DrawAspect="Content" ObjectID="_1468075766" r:id="rId54">
            <o:LockedField>false</o:LockedField>
          </o:OLEObject>
        </w:object>
      </w:r>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p>
    <w:p w14:paraId="3ECD0750">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5A9E4AF9">
      <w:pPr>
        <w:spacing w:after="156" w:afterLines="50" w:line="360" w:lineRule="auto"/>
        <w:ind w:firstLine="420" w:firstLineChars="200"/>
        <w:jc w:val="center"/>
        <w:rPr>
          <w:rFonts w:hint="eastAsia" w:ascii="宋体" w:hAnsi="宋体" w:eastAsia="宋体"/>
          <w:szCs w:val="21"/>
        </w:rPr>
      </w:pPr>
    </w:p>
    <w:p w14:paraId="05AF142B">
      <w:pPr>
        <w:spacing w:after="156" w:afterLines="50" w:line="360" w:lineRule="auto"/>
        <w:ind w:firstLine="420" w:firstLineChars="200"/>
        <w:jc w:val="center"/>
        <w:rPr>
          <w:rFonts w:hint="eastAsia" w:ascii="宋体" w:hAnsi="宋体" w:eastAsia="宋体"/>
          <w:szCs w:val="21"/>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883"/>
        <w:gridCol w:w="1217"/>
        <w:gridCol w:w="2874"/>
      </w:tblGrid>
      <w:tr w14:paraId="070E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545" w:type="dxa"/>
            <w:vAlign w:val="center"/>
          </w:tcPr>
          <w:p w14:paraId="28A563B4">
            <w:pPr>
              <w:jc w:val="center"/>
              <w:rPr>
                <w:rFonts w:hint="eastAsia" w:ascii="宋体" w:hAnsi="宋体" w:eastAsia="宋体" w:cs="宋体"/>
                <w:b/>
                <w:bCs/>
                <w:szCs w:val="21"/>
              </w:rPr>
            </w:pPr>
            <w:r>
              <w:rPr>
                <w:rFonts w:hint="eastAsia" w:ascii="宋体" w:hAnsi="宋体" w:eastAsia="宋体" w:cs="宋体"/>
                <w:b/>
                <w:bCs/>
                <w:szCs w:val="21"/>
              </w:rPr>
              <w:t>活动主题</w:t>
            </w:r>
          </w:p>
        </w:tc>
        <w:tc>
          <w:tcPr>
            <w:tcW w:w="2883" w:type="dxa"/>
            <w:vAlign w:val="center"/>
          </w:tcPr>
          <w:p w14:paraId="6BEEBF10">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1217" w:type="dxa"/>
            <w:vAlign w:val="center"/>
          </w:tcPr>
          <w:p w14:paraId="4124BE60">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2874" w:type="dxa"/>
            <w:vAlign w:val="center"/>
          </w:tcPr>
          <w:p w14:paraId="39A84291">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0A62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545" w:type="dxa"/>
            <w:vAlign w:val="center"/>
          </w:tcPr>
          <w:p w14:paraId="512E35C6">
            <w:pPr>
              <w:spacing w:line="276" w:lineRule="auto"/>
              <w:jc w:val="center"/>
              <w:rPr>
                <w:rFonts w:hint="eastAsia" w:ascii="宋体" w:hAnsi="宋体" w:eastAsia="宋体" w:cs="宋体"/>
                <w:szCs w:val="21"/>
              </w:rPr>
            </w:pPr>
            <w:r>
              <w:rPr>
                <w:rFonts w:hint="eastAsia" w:ascii="宋体" w:hAnsi="宋体" w:eastAsia="宋体" w:cs="宋体"/>
                <w:szCs w:val="21"/>
              </w:rPr>
              <w:t>美术家精神</w:t>
            </w:r>
          </w:p>
        </w:tc>
        <w:tc>
          <w:tcPr>
            <w:tcW w:w="2883" w:type="dxa"/>
            <w:vAlign w:val="center"/>
          </w:tcPr>
          <w:p w14:paraId="74D1E0C4">
            <w:pPr>
              <w:spacing w:line="276" w:lineRule="auto"/>
              <w:jc w:val="left"/>
              <w:rPr>
                <w:rFonts w:hint="eastAsia" w:ascii="宋体" w:hAnsi="宋体" w:eastAsia="宋体" w:cs="宋体"/>
                <w:szCs w:val="21"/>
              </w:rPr>
            </w:pPr>
            <w:r>
              <w:rPr>
                <w:rFonts w:hint="eastAsia" w:ascii="宋体" w:hAnsi="宋体" w:eastAsia="宋体" w:cs="宋体"/>
                <w:szCs w:val="21"/>
              </w:rPr>
              <w:t>通过阅读相关书籍或讲述中国美术教育家的故事，进行课堂主题讨论，让学生领会美术教育家精神</w:t>
            </w:r>
          </w:p>
        </w:tc>
        <w:tc>
          <w:tcPr>
            <w:tcW w:w="1217" w:type="dxa"/>
            <w:vAlign w:val="center"/>
          </w:tcPr>
          <w:p w14:paraId="32A8B85D">
            <w:pPr>
              <w:spacing w:line="276" w:lineRule="auto"/>
              <w:jc w:val="center"/>
              <w:rPr>
                <w:rFonts w:hint="eastAsia" w:ascii="宋体" w:hAnsi="宋体" w:eastAsia="宋体" w:cs="宋体"/>
                <w:szCs w:val="21"/>
              </w:rPr>
            </w:pPr>
            <w:r>
              <w:rPr>
                <w:rFonts w:hint="eastAsia" w:ascii="宋体" w:hAnsi="宋体" w:eastAsia="宋体" w:cs="宋体"/>
                <w:szCs w:val="21"/>
              </w:rPr>
              <w:t>读书笔记</w:t>
            </w:r>
          </w:p>
        </w:tc>
        <w:tc>
          <w:tcPr>
            <w:tcW w:w="2874" w:type="dxa"/>
            <w:vAlign w:val="center"/>
          </w:tcPr>
          <w:p w14:paraId="0DB596B0">
            <w:pPr>
              <w:spacing w:line="276" w:lineRule="auto"/>
              <w:jc w:val="left"/>
              <w:rPr>
                <w:rFonts w:hint="eastAsia" w:ascii="宋体" w:hAnsi="宋体" w:eastAsia="宋体" w:cs="宋体"/>
                <w:szCs w:val="21"/>
              </w:rPr>
            </w:pPr>
            <w:r>
              <w:rPr>
                <w:rFonts w:hint="eastAsia" w:ascii="宋体" w:hAnsi="宋体" w:eastAsia="宋体" w:cs="宋体"/>
                <w:szCs w:val="21"/>
              </w:rPr>
              <w:t>通过对美术教育家精神的领会，使学立志成为有理想信念、有道德情操、有扎实学识、有仁爱之心的“四有”好老师。</w:t>
            </w:r>
          </w:p>
        </w:tc>
      </w:tr>
      <w:tr w14:paraId="5C2C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545" w:type="dxa"/>
            <w:vAlign w:val="center"/>
          </w:tcPr>
          <w:p w14:paraId="03FB2F77">
            <w:pPr>
              <w:spacing w:line="276" w:lineRule="auto"/>
              <w:jc w:val="center"/>
              <w:rPr>
                <w:rFonts w:hint="eastAsia" w:ascii="宋体" w:hAnsi="宋体" w:eastAsia="宋体" w:cs="宋体"/>
                <w:szCs w:val="21"/>
              </w:rPr>
            </w:pPr>
            <w:r>
              <w:rPr>
                <w:rFonts w:hint="eastAsia" w:ascii="宋体" w:hAnsi="宋体" w:eastAsia="宋体" w:cs="宋体"/>
                <w:szCs w:val="21"/>
              </w:rPr>
              <w:t>趣味美术史</w:t>
            </w:r>
          </w:p>
        </w:tc>
        <w:tc>
          <w:tcPr>
            <w:tcW w:w="2883" w:type="dxa"/>
            <w:vAlign w:val="center"/>
          </w:tcPr>
          <w:p w14:paraId="5658A61F">
            <w:pPr>
              <w:spacing w:line="276" w:lineRule="auto"/>
              <w:jc w:val="left"/>
              <w:rPr>
                <w:rFonts w:hint="eastAsia" w:ascii="宋体" w:hAnsi="宋体" w:eastAsia="宋体" w:cs="宋体"/>
                <w:szCs w:val="21"/>
              </w:rPr>
            </w:pPr>
            <w:r>
              <w:rPr>
                <w:rFonts w:hint="eastAsia" w:ascii="宋体" w:hAnsi="宋体" w:eastAsia="宋体" w:cs="宋体"/>
                <w:szCs w:val="21"/>
              </w:rPr>
              <w:t>了解美术史经典故事和促进美术史发展、改革的人物。</w:t>
            </w:r>
          </w:p>
        </w:tc>
        <w:tc>
          <w:tcPr>
            <w:tcW w:w="1217" w:type="dxa"/>
            <w:vAlign w:val="center"/>
          </w:tcPr>
          <w:p w14:paraId="21E9CE74">
            <w:pPr>
              <w:spacing w:line="276" w:lineRule="auto"/>
              <w:jc w:val="center"/>
              <w:rPr>
                <w:rFonts w:hint="eastAsia" w:ascii="宋体" w:hAnsi="宋体" w:eastAsia="宋体" w:cs="宋体"/>
                <w:szCs w:val="21"/>
              </w:rPr>
            </w:pPr>
            <w:r>
              <w:rPr>
                <w:rFonts w:hint="eastAsia" w:ascii="宋体" w:hAnsi="宋体" w:eastAsia="宋体" w:cs="宋体"/>
                <w:szCs w:val="21"/>
              </w:rPr>
              <w:t>专题报告</w:t>
            </w:r>
          </w:p>
        </w:tc>
        <w:tc>
          <w:tcPr>
            <w:tcW w:w="2874" w:type="dxa"/>
            <w:vAlign w:val="center"/>
          </w:tcPr>
          <w:p w14:paraId="21A1EDCB">
            <w:pPr>
              <w:spacing w:line="276" w:lineRule="auto"/>
              <w:jc w:val="left"/>
              <w:rPr>
                <w:rFonts w:hint="eastAsia" w:ascii="宋体" w:hAnsi="宋体" w:eastAsia="宋体" w:cs="宋体"/>
                <w:szCs w:val="21"/>
              </w:rPr>
            </w:pPr>
            <w:r>
              <w:rPr>
                <w:rFonts w:hint="eastAsia" w:ascii="宋体" w:hAnsi="宋体" w:eastAsia="宋体" w:cs="宋体"/>
                <w:szCs w:val="21"/>
              </w:rPr>
              <w:t>培养民族团结意识，回顾优良传统道德、树立正确的理想与奋斗目标。</w:t>
            </w:r>
          </w:p>
        </w:tc>
      </w:tr>
      <w:tr w14:paraId="31B4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545" w:type="dxa"/>
            <w:vAlign w:val="center"/>
          </w:tcPr>
          <w:p w14:paraId="27C630C2">
            <w:pPr>
              <w:spacing w:line="276" w:lineRule="auto"/>
              <w:jc w:val="center"/>
              <w:rPr>
                <w:rFonts w:hint="eastAsia" w:ascii="宋体" w:hAnsi="宋体" w:eastAsia="宋体" w:cs="宋体"/>
                <w:szCs w:val="21"/>
              </w:rPr>
            </w:pPr>
            <w:r>
              <w:rPr>
                <w:rFonts w:hint="eastAsia" w:ascii="宋体" w:hAnsi="宋体" w:eastAsia="宋体" w:cs="宋体"/>
                <w:szCs w:val="21"/>
              </w:rPr>
              <w:t>非物质文化</w:t>
            </w:r>
          </w:p>
          <w:p w14:paraId="79495B90">
            <w:pPr>
              <w:spacing w:line="276" w:lineRule="auto"/>
              <w:jc w:val="center"/>
              <w:rPr>
                <w:rFonts w:hint="eastAsia" w:ascii="宋体" w:hAnsi="宋体" w:eastAsia="宋体" w:cs="宋体"/>
                <w:szCs w:val="21"/>
              </w:rPr>
            </w:pPr>
            <w:r>
              <w:rPr>
                <w:rFonts w:hint="eastAsia" w:ascii="宋体" w:hAnsi="宋体" w:eastAsia="宋体" w:cs="宋体"/>
                <w:szCs w:val="21"/>
              </w:rPr>
              <w:t>遗产</w:t>
            </w:r>
          </w:p>
        </w:tc>
        <w:tc>
          <w:tcPr>
            <w:tcW w:w="2883" w:type="dxa"/>
            <w:vAlign w:val="center"/>
          </w:tcPr>
          <w:p w14:paraId="0E4AA265">
            <w:pPr>
              <w:spacing w:line="276" w:lineRule="auto"/>
              <w:jc w:val="left"/>
              <w:rPr>
                <w:rFonts w:hint="eastAsia" w:ascii="宋体" w:hAnsi="宋体" w:eastAsia="宋体" w:cs="宋体"/>
                <w:szCs w:val="21"/>
              </w:rPr>
            </w:pPr>
            <w:r>
              <w:rPr>
                <w:rFonts w:hint="eastAsia" w:ascii="宋体" w:hAnsi="宋体" w:eastAsia="宋体" w:cs="宋体"/>
                <w:szCs w:val="21"/>
              </w:rPr>
              <w:t>了解传统造纸材料和造纸的工艺流程。</w:t>
            </w:r>
          </w:p>
        </w:tc>
        <w:tc>
          <w:tcPr>
            <w:tcW w:w="1217" w:type="dxa"/>
            <w:vAlign w:val="center"/>
          </w:tcPr>
          <w:p w14:paraId="6044B290">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2874" w:type="dxa"/>
            <w:vAlign w:val="center"/>
          </w:tcPr>
          <w:p w14:paraId="46832F28">
            <w:pPr>
              <w:spacing w:line="276" w:lineRule="auto"/>
              <w:jc w:val="left"/>
              <w:rPr>
                <w:rFonts w:hint="eastAsia" w:ascii="宋体" w:hAnsi="宋体" w:eastAsia="宋体" w:cs="宋体"/>
                <w:szCs w:val="21"/>
              </w:rPr>
            </w:pPr>
            <w:r>
              <w:rPr>
                <w:rFonts w:hint="eastAsia" w:ascii="宋体" w:hAnsi="宋体" w:eastAsia="宋体" w:cs="宋体"/>
                <w:szCs w:val="21"/>
              </w:rPr>
              <w:t>弘扬中华文化，传承优秀民族魁宝；在实践中培养学生吃苦耐劳、持之以恒、团队协作的精神。</w:t>
            </w:r>
          </w:p>
        </w:tc>
      </w:tr>
      <w:tr w14:paraId="4FD7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1545" w:type="dxa"/>
            <w:vAlign w:val="center"/>
          </w:tcPr>
          <w:p w14:paraId="02214AEF">
            <w:pPr>
              <w:spacing w:line="276" w:lineRule="auto"/>
              <w:jc w:val="center"/>
              <w:rPr>
                <w:rFonts w:hint="eastAsia" w:ascii="宋体" w:hAnsi="宋体" w:eastAsia="宋体" w:cs="宋体"/>
                <w:szCs w:val="21"/>
              </w:rPr>
            </w:pPr>
            <w:r>
              <w:rPr>
                <w:rFonts w:hint="eastAsia" w:ascii="宋体" w:hAnsi="宋体" w:eastAsia="宋体" w:cs="宋体"/>
                <w:szCs w:val="21"/>
              </w:rPr>
              <w:t>速写故乡</w:t>
            </w:r>
          </w:p>
        </w:tc>
        <w:tc>
          <w:tcPr>
            <w:tcW w:w="2883" w:type="dxa"/>
            <w:vAlign w:val="center"/>
          </w:tcPr>
          <w:p w14:paraId="52445A9C">
            <w:pPr>
              <w:spacing w:line="276" w:lineRule="auto"/>
              <w:jc w:val="left"/>
              <w:rPr>
                <w:rFonts w:hint="eastAsia" w:ascii="宋体" w:hAnsi="宋体" w:eastAsia="宋体" w:cs="宋体"/>
                <w:szCs w:val="21"/>
              </w:rPr>
            </w:pPr>
            <w:r>
              <w:rPr>
                <w:rFonts w:hint="eastAsia" w:ascii="宋体" w:hAnsi="宋体" w:eastAsia="宋体" w:cs="宋体"/>
                <w:szCs w:val="21"/>
              </w:rPr>
              <w:t>了解速写常用材料及特性、了解速写的内涵及标准。</w:t>
            </w:r>
          </w:p>
        </w:tc>
        <w:tc>
          <w:tcPr>
            <w:tcW w:w="1217" w:type="dxa"/>
            <w:vAlign w:val="center"/>
          </w:tcPr>
          <w:p w14:paraId="2354FDD3">
            <w:pPr>
              <w:spacing w:line="276" w:lineRule="auto"/>
              <w:jc w:val="center"/>
              <w:rPr>
                <w:rFonts w:hint="eastAsia" w:ascii="宋体" w:hAnsi="宋体" w:eastAsia="宋体" w:cs="宋体"/>
                <w:szCs w:val="21"/>
              </w:rPr>
            </w:pPr>
            <w:r>
              <w:rPr>
                <w:rFonts w:hint="eastAsia" w:ascii="宋体" w:hAnsi="宋体" w:eastAsia="宋体" w:cs="宋体"/>
                <w:szCs w:val="21"/>
              </w:rPr>
              <w:t>第二课堂</w:t>
            </w:r>
          </w:p>
        </w:tc>
        <w:tc>
          <w:tcPr>
            <w:tcW w:w="2874" w:type="dxa"/>
            <w:vAlign w:val="center"/>
          </w:tcPr>
          <w:p w14:paraId="0E9A4865">
            <w:pPr>
              <w:spacing w:line="276" w:lineRule="auto"/>
              <w:jc w:val="left"/>
              <w:rPr>
                <w:rFonts w:hint="eastAsia" w:ascii="宋体" w:hAnsi="宋体" w:eastAsia="宋体" w:cs="宋体"/>
                <w:szCs w:val="21"/>
              </w:rPr>
            </w:pPr>
            <w:r>
              <w:rPr>
                <w:rFonts w:hint="eastAsia" w:ascii="宋体" w:hAnsi="宋体" w:eastAsia="宋体" w:cs="宋体"/>
                <w:szCs w:val="21"/>
              </w:rPr>
              <w:t>描绘故乡风景，激发热爱祖国大好河山、家乡和大自然、自觉保护环境的精神。</w:t>
            </w:r>
          </w:p>
        </w:tc>
      </w:tr>
    </w:tbl>
    <w:p w14:paraId="2BE28D6F">
      <w:pPr>
        <w:spacing w:line="276" w:lineRule="auto"/>
        <w:ind w:firstLine="422" w:firstLineChars="200"/>
        <w:jc w:val="center"/>
        <w:rPr>
          <w:rFonts w:hint="eastAsia" w:ascii="宋体" w:hAnsi="宋体" w:eastAsia="宋体" w:cs="宋体"/>
          <w:b/>
          <w:bCs/>
          <w:szCs w:val="21"/>
        </w:rPr>
      </w:pPr>
    </w:p>
    <w:p w14:paraId="2D589F2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3BDDC3F4">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5B330F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根据学生课堂教学中的反应、课后反馈、作业质量，以及领导、督导、教师同行等的听课情况，及时发现和改进教学中的不足之处，确保相应毕业要求指标点达成。</w:t>
      </w:r>
    </w:p>
    <w:p w14:paraId="066B79D0">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642CC580">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《美术基础》编写组.</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美术基础，西南大学出版社，2023.（全国小学教育专业艺术类规划教材）</w:t>
      </w:r>
    </w:p>
    <w:p w14:paraId="24A1AE65">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9AC2BEF">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1.代秀芳</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图案装饰与应用</w:t>
      </w:r>
      <w:r>
        <w:rPr>
          <w:rFonts w:hint="eastAsia" w:ascii="宋体" w:hAnsi="宋体" w:eastAsia="宋体" w:cs="宋体"/>
          <w:bCs/>
          <w:szCs w:val="21"/>
        </w:rPr>
        <w:t>[M]</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天津</w:t>
      </w:r>
      <w:r>
        <w:rPr>
          <w:rFonts w:ascii="Times New Roman" w:hAnsi="Times New Roman" w:eastAsia="宋体" w:cs="Times New Roman"/>
          <w:bCs/>
          <w:szCs w:val="21"/>
        </w:rPr>
        <w:t>：</w:t>
      </w:r>
      <w:r>
        <w:rPr>
          <w:rFonts w:hint="eastAsia" w:ascii="Times New Roman" w:hAnsi="Times New Roman" w:eastAsia="宋体" w:cs="Times New Roman"/>
          <w:bCs/>
          <w:szCs w:val="21"/>
        </w:rPr>
        <w:t>天津人民</w:t>
      </w:r>
      <w:r>
        <w:rPr>
          <w:rFonts w:ascii="Times New Roman" w:hAnsi="Times New Roman" w:eastAsia="宋体" w:cs="Times New Roman"/>
          <w:bCs/>
          <w:szCs w:val="21"/>
        </w:rPr>
        <w:t>出版社，20</w:t>
      </w:r>
      <w:r>
        <w:rPr>
          <w:rFonts w:hint="eastAsia" w:ascii="Times New Roman" w:hAnsi="Times New Roman" w:eastAsia="宋体" w:cs="Times New Roman"/>
          <w:bCs/>
          <w:szCs w:val="21"/>
        </w:rPr>
        <w:t>11</w:t>
      </w:r>
      <w:r>
        <w:rPr>
          <w:rFonts w:ascii="Times New Roman" w:hAnsi="Times New Roman" w:eastAsia="宋体" w:cs="Times New Roman"/>
          <w:bCs/>
          <w:szCs w:val="21"/>
        </w:rPr>
        <w:t>.</w:t>
      </w:r>
    </w:p>
    <w:p w14:paraId="0D1E6876">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2.徐戈，徐楠，柳润红</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美术基础</w:t>
      </w:r>
      <w:r>
        <w:rPr>
          <w:rFonts w:hint="eastAsia" w:ascii="宋体" w:hAnsi="宋体" w:eastAsia="宋体" w:cs="宋体"/>
          <w:bCs/>
          <w:szCs w:val="21"/>
        </w:rPr>
        <w:t>[M]</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石家庄</w:t>
      </w:r>
      <w:r>
        <w:rPr>
          <w:rFonts w:ascii="Times New Roman" w:hAnsi="Times New Roman" w:eastAsia="宋体" w:cs="Times New Roman"/>
          <w:bCs/>
          <w:szCs w:val="21"/>
        </w:rPr>
        <w:t>：</w:t>
      </w:r>
      <w:r>
        <w:rPr>
          <w:rFonts w:hint="eastAsia" w:ascii="Times New Roman" w:hAnsi="Times New Roman" w:eastAsia="宋体" w:cs="Times New Roman"/>
          <w:bCs/>
          <w:szCs w:val="21"/>
        </w:rPr>
        <w:t>河北美术</w:t>
      </w:r>
      <w:r>
        <w:rPr>
          <w:rFonts w:ascii="Times New Roman" w:hAnsi="Times New Roman" w:eastAsia="宋体" w:cs="Times New Roman"/>
          <w:bCs/>
          <w:szCs w:val="21"/>
        </w:rPr>
        <w:t>出版社，20</w:t>
      </w:r>
      <w:r>
        <w:rPr>
          <w:rFonts w:hint="eastAsia" w:ascii="Times New Roman" w:hAnsi="Times New Roman" w:eastAsia="宋体" w:cs="Times New Roman"/>
          <w:bCs/>
          <w:szCs w:val="21"/>
        </w:rPr>
        <w:t>17</w:t>
      </w:r>
      <w:r>
        <w:rPr>
          <w:rFonts w:ascii="Times New Roman" w:hAnsi="Times New Roman" w:eastAsia="宋体" w:cs="Times New Roman"/>
          <w:bCs/>
          <w:szCs w:val="21"/>
        </w:rPr>
        <w:t>.</w:t>
      </w:r>
    </w:p>
    <w:p w14:paraId="629A3B46">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3.黄兵</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素描基础教程</w:t>
      </w:r>
      <w:r>
        <w:rPr>
          <w:rFonts w:hint="eastAsia" w:ascii="宋体" w:hAnsi="宋体" w:eastAsia="宋体" w:cs="宋体"/>
          <w:bCs/>
          <w:szCs w:val="21"/>
        </w:rPr>
        <w:t>[M].</w:t>
      </w:r>
      <w:r>
        <w:rPr>
          <w:rFonts w:ascii="Times New Roman" w:hAnsi="Times New Roman" w:eastAsia="宋体" w:cs="Times New Roman"/>
          <w:bCs/>
          <w:szCs w:val="21"/>
        </w:rPr>
        <w:t>北京：</w:t>
      </w:r>
      <w:r>
        <w:rPr>
          <w:rFonts w:hint="eastAsia" w:ascii="Times New Roman" w:hAnsi="Times New Roman" w:eastAsia="宋体" w:cs="Times New Roman"/>
          <w:bCs/>
          <w:szCs w:val="21"/>
        </w:rPr>
        <w:t>清华大学</w:t>
      </w:r>
      <w:r>
        <w:rPr>
          <w:rFonts w:ascii="Times New Roman" w:hAnsi="Times New Roman" w:eastAsia="宋体" w:cs="Times New Roman"/>
          <w:bCs/>
          <w:szCs w:val="21"/>
        </w:rPr>
        <w:t>出版社，</w:t>
      </w:r>
      <w:r>
        <w:rPr>
          <w:rFonts w:hint="eastAsia" w:ascii="Times New Roman" w:hAnsi="Times New Roman" w:eastAsia="宋体" w:cs="Times New Roman"/>
          <w:bCs/>
          <w:szCs w:val="21"/>
        </w:rPr>
        <w:t>2017</w:t>
      </w:r>
      <w:r>
        <w:rPr>
          <w:rFonts w:ascii="Times New Roman" w:hAnsi="Times New Roman" w:eastAsia="宋体" w:cs="Times New Roman"/>
          <w:bCs/>
          <w:szCs w:val="21"/>
        </w:rPr>
        <w:t>.</w:t>
      </w:r>
    </w:p>
    <w:p w14:paraId="51E0E66A">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4.于国瑞</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色彩构成</w:t>
      </w:r>
      <w:r>
        <w:rPr>
          <w:rFonts w:hint="eastAsia" w:ascii="宋体" w:hAnsi="宋体" w:eastAsia="宋体" w:cs="宋体"/>
          <w:bCs/>
          <w:szCs w:val="21"/>
        </w:rPr>
        <w:t>[M]</w:t>
      </w:r>
      <w:r>
        <w:rPr>
          <w:rFonts w:ascii="Times New Roman" w:hAnsi="Times New Roman" w:eastAsia="宋体" w:cs="Times New Roman"/>
          <w:bCs/>
          <w:szCs w:val="21"/>
        </w:rPr>
        <w:t>. 北京</w:t>
      </w:r>
      <w:r>
        <w:rPr>
          <w:rFonts w:hint="eastAsia" w:ascii="Times New Roman" w:hAnsi="Times New Roman" w:eastAsia="宋体" w:cs="Times New Roman"/>
          <w:bCs/>
          <w:szCs w:val="21"/>
        </w:rPr>
        <w:t>：清华大学</w:t>
      </w:r>
      <w:r>
        <w:rPr>
          <w:rFonts w:ascii="Times New Roman" w:hAnsi="Times New Roman" w:eastAsia="宋体" w:cs="Times New Roman"/>
          <w:bCs/>
          <w:szCs w:val="21"/>
        </w:rPr>
        <w:t>出版社，20</w:t>
      </w:r>
      <w:r>
        <w:rPr>
          <w:rFonts w:hint="eastAsia" w:ascii="Times New Roman" w:hAnsi="Times New Roman" w:eastAsia="宋体" w:cs="Times New Roman"/>
          <w:bCs/>
          <w:szCs w:val="21"/>
        </w:rPr>
        <w:t>19</w:t>
      </w:r>
      <w:r>
        <w:rPr>
          <w:rFonts w:ascii="Times New Roman" w:hAnsi="Times New Roman" w:eastAsia="宋体" w:cs="Times New Roman"/>
          <w:bCs/>
          <w:szCs w:val="21"/>
        </w:rPr>
        <w:t>.</w:t>
      </w:r>
    </w:p>
    <w:p w14:paraId="3BF43F42">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5.黄喆</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色彩</w:t>
      </w:r>
      <w:r>
        <w:rPr>
          <w:rFonts w:hint="eastAsia" w:ascii="宋体" w:hAnsi="宋体" w:eastAsia="宋体" w:cs="宋体"/>
          <w:bCs/>
          <w:szCs w:val="21"/>
        </w:rPr>
        <w:t>[M]</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镇江</w:t>
      </w:r>
      <w:r>
        <w:rPr>
          <w:rFonts w:ascii="Times New Roman" w:hAnsi="Times New Roman" w:eastAsia="宋体" w:cs="Times New Roman"/>
          <w:bCs/>
          <w:szCs w:val="21"/>
        </w:rPr>
        <w:t>：</w:t>
      </w:r>
      <w:r>
        <w:rPr>
          <w:rFonts w:hint="eastAsia" w:ascii="Times New Roman" w:hAnsi="Times New Roman" w:eastAsia="宋体" w:cs="Times New Roman"/>
          <w:bCs/>
          <w:szCs w:val="21"/>
        </w:rPr>
        <w:t>江苏</w:t>
      </w:r>
      <w:r>
        <w:rPr>
          <w:rFonts w:ascii="Times New Roman" w:hAnsi="Times New Roman" w:eastAsia="宋体" w:cs="Times New Roman"/>
          <w:bCs/>
          <w:szCs w:val="21"/>
        </w:rPr>
        <w:t>大学出版社，20</w:t>
      </w:r>
      <w:r>
        <w:rPr>
          <w:rFonts w:hint="eastAsia" w:ascii="Times New Roman" w:hAnsi="Times New Roman" w:eastAsia="宋体" w:cs="Times New Roman"/>
          <w:bCs/>
          <w:szCs w:val="21"/>
        </w:rPr>
        <w:t>20</w:t>
      </w:r>
      <w:r>
        <w:rPr>
          <w:rFonts w:ascii="Times New Roman" w:hAnsi="Times New Roman" w:eastAsia="宋体" w:cs="Times New Roman"/>
          <w:bCs/>
          <w:szCs w:val="21"/>
        </w:rPr>
        <w:t>.</w:t>
      </w:r>
    </w:p>
    <w:p w14:paraId="242B9D25">
      <w:pPr>
        <w:spacing w:line="360" w:lineRule="auto"/>
        <w:jc w:val="right"/>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赵千千</w:t>
      </w:r>
    </w:p>
    <w:p w14:paraId="383869EF">
      <w:pPr>
        <w:wordWrap w:val="0"/>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王  健</w:t>
      </w:r>
    </w:p>
    <w:p w14:paraId="6744D954">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57524DBF">
      <w:pPr>
        <w:spacing w:line="360" w:lineRule="auto"/>
        <w:jc w:val="right"/>
        <w:rPr>
          <w:rFonts w:ascii="Times New Roman" w:hAnsi="Times New Roman" w:eastAsia="宋体" w:cs="Times New Roman"/>
          <w:b/>
          <w:sz w:val="44"/>
          <w:szCs w:val="44"/>
        </w:rPr>
      </w:pPr>
      <w:r>
        <w:rPr>
          <w:rFonts w:hint="eastAsia" w:ascii="Times New Roman" w:hAnsi="Times New Roman" w:eastAsia="宋体" w:cs="Times New Roman"/>
          <w:szCs w:val="21"/>
        </w:rPr>
        <w:t>批准时间：2025年7月1日</w:t>
      </w:r>
    </w:p>
    <w:p w14:paraId="0B7D7740">
      <w:pPr>
        <w:spacing w:line="360" w:lineRule="auto"/>
        <w:rPr>
          <w:rFonts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67548413">
      <w:pPr>
        <w:spacing w:line="360" w:lineRule="auto"/>
        <w:jc w:val="center"/>
        <w:outlineLvl w:val="0"/>
        <w:rPr>
          <w:rFonts w:ascii="Times New Roman" w:hAnsi="Times New Roman" w:eastAsia="宋体" w:cs="Times New Roman"/>
          <w:b/>
          <w:sz w:val="44"/>
          <w:szCs w:val="44"/>
        </w:rPr>
      </w:pPr>
      <w:bookmarkStart w:id="1498" w:name="_Toc4136"/>
      <w:r>
        <w:rPr>
          <w:rFonts w:hint="eastAsia" w:ascii="Times New Roman" w:hAnsi="Times New Roman" w:eastAsia="宋体" w:cs="Times New Roman"/>
          <w:b/>
          <w:sz w:val="44"/>
          <w:szCs w:val="44"/>
        </w:rPr>
        <w:t>《音乐基础》课程教学大纲</w:t>
      </w:r>
      <w:bookmarkEnd w:id="1498"/>
    </w:p>
    <w:p w14:paraId="305BC517">
      <w:pPr>
        <w:spacing w:line="360" w:lineRule="auto"/>
        <w:jc w:val="center"/>
        <w:rPr>
          <w:rFonts w:ascii="Times New Roman" w:hAnsi="Times New Roman" w:eastAsia="宋体" w:cs="Times New Roman"/>
          <w:b/>
          <w:bCs/>
          <w:sz w:val="28"/>
          <w:szCs w:val="28"/>
        </w:rPr>
      </w:pPr>
      <w:bookmarkStart w:id="1499" w:name="_Toc8433"/>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Basic Music Theory</w:t>
      </w:r>
      <w:r>
        <w:rPr>
          <w:rFonts w:ascii="Times New Roman" w:hAnsi="Times New Roman" w:eastAsia="宋体" w:cs="Times New Roman"/>
          <w:b/>
          <w:bCs/>
          <w:sz w:val="28"/>
          <w:szCs w:val="28"/>
        </w:rPr>
        <w:t>）</w:t>
      </w:r>
      <w:bookmarkEnd w:id="1499"/>
    </w:p>
    <w:p w14:paraId="4BA4C45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课程名称：音乐基础</w:t>
      </w:r>
    </w:p>
    <w:p w14:paraId="0B0C43C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课程代码：2401032</w:t>
      </w:r>
    </w:p>
    <w:p w14:paraId="7090CF6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分：3</w:t>
      </w:r>
    </w:p>
    <w:p w14:paraId="7E729A4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w:t>
      </w:r>
    </w:p>
    <w:p w14:paraId="0D94B40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先修课程：小学心理学、专业导论</w:t>
      </w:r>
    </w:p>
    <w:p w14:paraId="1CCAAF6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26B8EEB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1FAAE7EE">
      <w:pPr>
        <w:spacing w:line="360" w:lineRule="auto"/>
        <w:ind w:firstLine="420" w:firstLineChars="200"/>
        <w:rPr>
          <w:rFonts w:hint="eastAsia" w:ascii="宋体" w:hAnsi="宋体" w:eastAsia="宋体"/>
          <w:kern w:val="0"/>
          <w:sz w:val="24"/>
        </w:rPr>
      </w:pPr>
      <w:r>
        <w:rPr>
          <w:rFonts w:hint="eastAsia" w:ascii="宋体" w:hAnsi="宋体" w:eastAsia="宋体"/>
          <w:kern w:val="0"/>
          <w:szCs w:val="21"/>
        </w:rPr>
        <w:t>本课程</w:t>
      </w:r>
      <w:r>
        <w:rPr>
          <w:rFonts w:ascii="宋体" w:hAnsi="宋体" w:eastAsia="宋体"/>
          <w:kern w:val="0"/>
          <w:szCs w:val="21"/>
        </w:rPr>
        <w:t>是</w:t>
      </w:r>
      <w:r>
        <w:rPr>
          <w:rFonts w:hint="eastAsia" w:ascii="宋体" w:hAnsi="宋体" w:eastAsia="宋体"/>
          <w:kern w:val="0"/>
          <w:szCs w:val="21"/>
        </w:rPr>
        <w:t>小学教育</w:t>
      </w:r>
      <w:r>
        <w:rPr>
          <w:rFonts w:ascii="宋体" w:hAnsi="宋体" w:eastAsia="宋体"/>
          <w:kern w:val="0"/>
          <w:szCs w:val="21"/>
        </w:rPr>
        <w:t>专业</w:t>
      </w:r>
      <w:r>
        <w:rPr>
          <w:rFonts w:hint="eastAsia" w:ascii="宋体" w:hAnsi="宋体" w:eastAsia="宋体"/>
          <w:kern w:val="0"/>
          <w:szCs w:val="21"/>
        </w:rPr>
        <w:t>的</w:t>
      </w:r>
      <w:r>
        <w:rPr>
          <w:rFonts w:ascii="宋体" w:hAnsi="宋体" w:eastAsia="宋体"/>
          <w:kern w:val="0"/>
          <w:szCs w:val="21"/>
        </w:rPr>
        <w:t>专业基础必修课，也可作为</w:t>
      </w:r>
      <w:r>
        <w:rPr>
          <w:rFonts w:hint="eastAsia" w:ascii="宋体" w:hAnsi="宋体" w:eastAsia="宋体"/>
          <w:kern w:val="0"/>
          <w:szCs w:val="21"/>
        </w:rPr>
        <w:t>学前教育</w:t>
      </w:r>
      <w:r>
        <w:rPr>
          <w:rFonts w:ascii="宋体" w:hAnsi="宋体" w:eastAsia="宋体"/>
          <w:kern w:val="0"/>
          <w:szCs w:val="21"/>
        </w:rPr>
        <w:t>专业和其它有关专业的必修课或选修课。通过本课程的学习，培养学</w:t>
      </w:r>
      <w:r>
        <w:rPr>
          <w:rFonts w:hint="eastAsia" w:ascii="宋体" w:hAnsi="宋体" w:eastAsia="宋体"/>
          <w:kern w:val="0"/>
          <w:szCs w:val="21"/>
        </w:rPr>
        <w:t>生</w:t>
      </w:r>
      <w:r>
        <w:rPr>
          <w:rFonts w:ascii="宋体" w:hAnsi="宋体" w:eastAsia="宋体"/>
          <w:kern w:val="0"/>
          <w:szCs w:val="21"/>
        </w:rPr>
        <w:t>扎实的音乐专业知识和运用知识的能力</w:t>
      </w:r>
      <w:r>
        <w:rPr>
          <w:rFonts w:hint="eastAsia" w:ascii="宋体" w:hAnsi="宋体" w:eastAsia="宋体"/>
          <w:kern w:val="0"/>
          <w:szCs w:val="21"/>
        </w:rPr>
        <w:t>，</w:t>
      </w:r>
      <w:r>
        <w:rPr>
          <w:rFonts w:ascii="宋体" w:hAnsi="宋体" w:eastAsia="宋体"/>
          <w:kern w:val="0"/>
          <w:szCs w:val="21"/>
        </w:rPr>
        <w:t>掌握基本的中</w:t>
      </w:r>
      <w:r>
        <w:rPr>
          <w:rFonts w:hint="eastAsia" w:ascii="宋体" w:hAnsi="宋体" w:eastAsia="宋体"/>
          <w:kern w:val="0"/>
          <w:szCs w:val="21"/>
        </w:rPr>
        <w:t>外</w:t>
      </w:r>
      <w:r>
        <w:rPr>
          <w:rFonts w:ascii="宋体" w:hAnsi="宋体" w:eastAsia="宋体"/>
          <w:kern w:val="0"/>
          <w:szCs w:val="21"/>
        </w:rPr>
        <w:t>音乐历史知识</w:t>
      </w:r>
      <w:r>
        <w:rPr>
          <w:rFonts w:hint="eastAsia" w:ascii="宋体" w:hAnsi="宋体" w:eastAsia="宋体"/>
          <w:kern w:val="0"/>
          <w:szCs w:val="21"/>
        </w:rPr>
        <w:t>，熟悉</w:t>
      </w:r>
      <w:r>
        <w:rPr>
          <w:rFonts w:ascii="宋体" w:hAnsi="宋体" w:eastAsia="宋体"/>
          <w:kern w:val="0"/>
          <w:szCs w:val="21"/>
        </w:rPr>
        <w:t>一定数量的</w:t>
      </w:r>
      <w:r>
        <w:rPr>
          <w:rFonts w:hint="eastAsia" w:ascii="宋体" w:hAnsi="宋体" w:eastAsia="宋体"/>
          <w:kern w:val="0"/>
          <w:szCs w:val="21"/>
        </w:rPr>
        <w:t>各个历史时期</w:t>
      </w:r>
      <w:r>
        <w:rPr>
          <w:rFonts w:ascii="宋体" w:hAnsi="宋体" w:eastAsia="宋体"/>
          <w:kern w:val="0"/>
          <w:szCs w:val="21"/>
        </w:rPr>
        <w:t>优秀音乐作品</w:t>
      </w:r>
      <w:r>
        <w:rPr>
          <w:rFonts w:hint="eastAsia" w:ascii="宋体" w:hAnsi="宋体" w:eastAsia="宋体"/>
          <w:kern w:val="0"/>
          <w:szCs w:val="21"/>
        </w:rPr>
        <w:t>。</w:t>
      </w:r>
    </w:p>
    <w:p w14:paraId="7A905C3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0F2DAFA0">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66B74F49">
      <w:pPr>
        <w:spacing w:line="360" w:lineRule="auto"/>
        <w:ind w:firstLine="482"/>
        <w:jc w:val="left"/>
        <w:rPr>
          <w:rFonts w:hint="eastAsia" w:ascii="宋体" w:hAnsi="宋体" w:eastAsia="宋体"/>
          <w:szCs w:val="21"/>
        </w:rPr>
      </w:pPr>
      <w:r>
        <w:rPr>
          <w:rFonts w:hint="eastAsia" w:ascii="宋体" w:hAnsi="宋体" w:eastAsia="宋体"/>
          <w:szCs w:val="21"/>
        </w:rPr>
        <w:t>目标1.了解基础的音乐理论知识（音符、节奏型组合、速度力度术语等）、能让学生能够读懂简单的五线谱。</w:t>
      </w:r>
    </w:p>
    <w:p w14:paraId="21698C45">
      <w:pPr>
        <w:spacing w:line="360" w:lineRule="auto"/>
        <w:ind w:firstLine="482"/>
        <w:jc w:val="left"/>
        <w:rPr>
          <w:rFonts w:hint="eastAsia" w:ascii="宋体" w:hAnsi="宋体" w:eastAsia="宋体"/>
          <w:szCs w:val="21"/>
        </w:rPr>
      </w:pPr>
      <w:r>
        <w:rPr>
          <w:rFonts w:hint="eastAsia" w:ascii="宋体" w:hAnsi="宋体" w:eastAsia="宋体"/>
          <w:szCs w:val="21"/>
        </w:rPr>
        <w:t>目标</w:t>
      </w:r>
      <w:r>
        <w:rPr>
          <w:rFonts w:ascii="宋体" w:hAnsi="宋体" w:eastAsia="宋体"/>
          <w:szCs w:val="21"/>
        </w:rPr>
        <w:t>2</w:t>
      </w:r>
      <w:r>
        <w:rPr>
          <w:rFonts w:hint="eastAsia" w:ascii="宋体" w:hAnsi="宋体" w:eastAsia="宋体"/>
          <w:szCs w:val="21"/>
        </w:rPr>
        <w:t>.能够运用音乐形态学和音乐史学相结合的方法对各历史时期的重要音乐家和音乐作品进行分析与解读。能够运用中外音乐史的理论与方法分析问题，在分析问题是具备基本的音乐史学表达能力。</w:t>
      </w:r>
    </w:p>
    <w:p w14:paraId="69370A5B">
      <w:pPr>
        <w:spacing w:line="360" w:lineRule="auto"/>
        <w:ind w:firstLine="482"/>
        <w:jc w:val="left"/>
        <w:rPr>
          <w:rFonts w:hint="eastAsia" w:ascii="宋体" w:hAnsi="宋体" w:eastAsia="宋体"/>
          <w:szCs w:val="21"/>
        </w:rPr>
      </w:pPr>
      <w:r>
        <w:rPr>
          <w:rFonts w:hint="eastAsia" w:ascii="宋体" w:hAnsi="宋体" w:eastAsia="宋体"/>
          <w:szCs w:val="21"/>
        </w:rPr>
        <w:t>目标</w:t>
      </w:r>
      <w:r>
        <w:rPr>
          <w:rFonts w:ascii="宋体" w:hAnsi="宋体" w:eastAsia="宋体"/>
          <w:szCs w:val="21"/>
        </w:rPr>
        <w:t>3</w:t>
      </w:r>
      <w:r>
        <w:rPr>
          <w:rFonts w:hint="eastAsia" w:ascii="宋体" w:hAnsi="宋体" w:eastAsia="宋体"/>
          <w:szCs w:val="21"/>
        </w:rPr>
        <w:t>.通过对音乐基础的学习，让学生具备一定的人文素养和美学意识，达成人才培养的这一高校基础职能。</w:t>
      </w:r>
    </w:p>
    <w:p w14:paraId="7F953659">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6551"/>
        <w:gridCol w:w="1191"/>
      </w:tblGrid>
      <w:tr w14:paraId="312E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Align w:val="center"/>
          </w:tcPr>
          <w:p w14:paraId="1A52E6C0">
            <w:pPr>
              <w:spacing w:line="360"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551" w:type="dxa"/>
            <w:vAlign w:val="center"/>
          </w:tcPr>
          <w:p w14:paraId="796B154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1C1D756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C8B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Align w:val="center"/>
          </w:tcPr>
          <w:p w14:paraId="6BC85598">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毕业要求2</w:t>
            </w:r>
          </w:p>
          <w:p w14:paraId="7F888833">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教育情怀</w:t>
            </w:r>
          </w:p>
        </w:tc>
        <w:tc>
          <w:tcPr>
            <w:tcW w:w="6551" w:type="dxa"/>
            <w:vAlign w:val="center"/>
          </w:tcPr>
          <w:p w14:paraId="33DE0098">
            <w:pPr>
              <w:spacing w:line="276" w:lineRule="auto"/>
              <w:jc w:val="left"/>
              <w:rPr>
                <w:rFonts w:hint="eastAsia" w:ascii="宋体" w:hAnsi="宋体" w:eastAsia="宋体" w:cs="宋体"/>
                <w:szCs w:val="21"/>
              </w:rPr>
            </w:pPr>
            <w:r>
              <w:rPr>
                <w:rFonts w:hint="eastAsia" w:ascii="宋体" w:hAnsi="宋体" w:eastAsia="宋体" w:cs="宋体"/>
                <w:b/>
                <w:spacing w:val="2"/>
                <w:kern w:val="0"/>
                <w:szCs w:val="21"/>
              </w:rPr>
              <w:t>指标点2-2</w:t>
            </w:r>
            <w:r>
              <w:rPr>
                <w:rFonts w:hint="eastAsia" w:ascii="宋体" w:hAnsi="宋体" w:eastAsia="宋体" w:cs="宋体"/>
                <w:spacing w:val="2"/>
                <w:kern w:val="0"/>
                <w:szCs w:val="21"/>
              </w:rPr>
              <w:t>：【仁爱之心深厚】关爱学生，用心从教。具有正确的儿童观，理解、尊重、关爱、保护学生，以儿童发展为教育的中心。爱岗敬业，在教育实践中能认真履行教育教学职责与班主任工作职责，富有爱心、责任心、工作细心、耐心，立志成为学生学习的促进者、道德品质和创新思维的培养者，奉献祖国的引路人。</w:t>
            </w:r>
          </w:p>
        </w:tc>
        <w:tc>
          <w:tcPr>
            <w:tcW w:w="1191" w:type="dxa"/>
            <w:vAlign w:val="center"/>
          </w:tcPr>
          <w:p w14:paraId="66C988A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494B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Align w:val="center"/>
          </w:tcPr>
          <w:p w14:paraId="6D923C4B">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毕业要求3</w:t>
            </w:r>
          </w:p>
          <w:p w14:paraId="1E1FF6CB">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学科素养</w:t>
            </w:r>
          </w:p>
        </w:tc>
        <w:tc>
          <w:tcPr>
            <w:tcW w:w="6551" w:type="dxa"/>
            <w:vAlign w:val="center"/>
          </w:tcPr>
          <w:p w14:paraId="4B4B92CD">
            <w:pPr>
              <w:spacing w:line="276" w:lineRule="auto"/>
              <w:jc w:val="left"/>
              <w:rPr>
                <w:rFonts w:hint="eastAsia" w:ascii="宋体" w:hAnsi="宋体" w:eastAsia="宋体" w:cs="宋体"/>
                <w:szCs w:val="21"/>
              </w:rPr>
            </w:pPr>
            <w:r>
              <w:rPr>
                <w:rFonts w:hint="eastAsia" w:ascii="宋体" w:hAnsi="宋体" w:eastAsia="宋体" w:cs="宋体"/>
                <w:b/>
                <w:spacing w:val="2"/>
                <w:kern w:val="0"/>
                <w:szCs w:val="21"/>
              </w:rPr>
              <w:t>指标点3-3</w:t>
            </w:r>
            <w:r>
              <w:rPr>
                <w:rFonts w:hint="eastAsia" w:ascii="宋体" w:hAnsi="宋体" w:eastAsia="宋体" w:cs="宋体"/>
                <w:spacing w:val="2"/>
                <w:kern w:val="0"/>
                <w:szCs w:val="21"/>
              </w:rPr>
              <w:t>：【教育教学知识牢固】掌握教育教学基本理论知识，熟悉所教学科课程标准和教材、教学内容。在教育教学实践中，具有一定的教材解读能力，具有依据课标进行教学的意识和习惯。</w:t>
            </w:r>
          </w:p>
        </w:tc>
        <w:tc>
          <w:tcPr>
            <w:tcW w:w="1191" w:type="dxa"/>
            <w:vAlign w:val="center"/>
          </w:tcPr>
          <w:p w14:paraId="2D4BA02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01E8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5" w:type="dxa"/>
            <w:vAlign w:val="center"/>
          </w:tcPr>
          <w:p w14:paraId="6050701C">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毕业要求6</w:t>
            </w:r>
          </w:p>
          <w:p w14:paraId="08E9C382">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学会反思</w:t>
            </w:r>
          </w:p>
        </w:tc>
        <w:tc>
          <w:tcPr>
            <w:tcW w:w="6551" w:type="dxa"/>
            <w:vAlign w:val="center"/>
          </w:tcPr>
          <w:p w14:paraId="0AFE03D5">
            <w:pPr>
              <w:spacing w:line="276" w:lineRule="auto"/>
              <w:jc w:val="left"/>
              <w:rPr>
                <w:rFonts w:hint="eastAsia" w:ascii="宋体" w:hAnsi="宋体" w:eastAsia="宋体" w:cs="宋体"/>
                <w:szCs w:val="21"/>
              </w:rPr>
            </w:pPr>
            <w:r>
              <w:rPr>
                <w:rFonts w:hint="eastAsia" w:ascii="宋体" w:hAnsi="宋体" w:eastAsia="宋体" w:cs="宋体"/>
                <w:b/>
                <w:kern w:val="0"/>
                <w:sz w:val="20"/>
                <w:szCs w:val="20"/>
              </w:rPr>
              <w:t>指标点6-3</w:t>
            </w:r>
            <w:r>
              <w:rPr>
                <w:rFonts w:hint="eastAsia" w:ascii="宋体" w:hAnsi="宋体" w:eastAsia="宋体" w:cs="宋体"/>
                <w:sz w:val="20"/>
                <w:szCs w:val="20"/>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4DE5BF4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课程目标2、3</w:t>
            </w:r>
          </w:p>
        </w:tc>
      </w:tr>
    </w:tbl>
    <w:p w14:paraId="5280230C">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18CD5A6E">
      <w:pPr>
        <w:spacing w:line="360" w:lineRule="auto"/>
        <w:ind w:firstLine="420" w:firstLineChars="200"/>
        <w:rPr>
          <w:rFonts w:hint="eastAsia" w:ascii="宋体" w:hAnsi="宋体" w:eastAsia="宋体"/>
          <w:szCs w:val="21"/>
        </w:rPr>
      </w:pPr>
      <w:r>
        <w:rPr>
          <w:rFonts w:hint="eastAsia" w:ascii="宋体" w:hAnsi="宋体" w:eastAsia="宋体"/>
          <w:szCs w:val="21"/>
        </w:rPr>
        <w:t>以习近平总书记提出的“培育时代新人是教育的重要使命和根本任务”为指导思想，围绕正确育人的整体目标和价值方向，扎实推进课程思政的育人大格局。课程将思想政治工作贯穿于中国音乐历史和鉴赏中国音乐作品的教学内容中，在传授课程知识的基础上引导学生将所学到的知识和技能转化为内在的德行和素养，注重将学生的个人发展与社会发展、国家发展结合起来，激发其为国家学习、为民族学习的热情和动力。</w:t>
      </w:r>
    </w:p>
    <w:p w14:paraId="1912FAFD">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1D14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08338B43">
            <w:pPr>
              <w:jc w:val="center"/>
              <w:rPr>
                <w:rFonts w:hint="eastAsia" w:ascii="宋体" w:hAnsi="宋体" w:eastAsia="宋体" w:cs="Times New Roman"/>
                <w:b/>
                <w:szCs w:val="21"/>
              </w:rPr>
            </w:pPr>
            <w:r>
              <w:rPr>
                <w:rFonts w:hint="eastAsia" w:ascii="宋体" w:hAnsi="宋体" w:eastAsia="宋体" w:cs="Times New Roman"/>
                <w:b/>
                <w:szCs w:val="21"/>
              </w:rPr>
              <w:t>知识</w:t>
            </w:r>
          </w:p>
          <w:p w14:paraId="3C724A87">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07A1F7EF">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6BB14BF6">
            <w:pPr>
              <w:jc w:val="center"/>
              <w:rPr>
                <w:rFonts w:hint="eastAsia" w:ascii="宋体" w:hAnsi="宋体" w:eastAsia="宋体" w:cs="Times New Roman"/>
                <w:b/>
                <w:szCs w:val="21"/>
              </w:rPr>
            </w:pPr>
            <w:r>
              <w:rPr>
                <w:rFonts w:hint="eastAsia" w:ascii="宋体" w:hAnsi="宋体" w:eastAsia="宋体" w:cs="Times New Roman"/>
                <w:b/>
                <w:szCs w:val="21"/>
              </w:rPr>
              <w:t>对应</w:t>
            </w:r>
          </w:p>
          <w:p w14:paraId="0BBC08CB">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47AA00ED">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5FF2723E">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73158ECF">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0348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9E5783D">
            <w:pPr>
              <w:jc w:val="center"/>
              <w:rPr>
                <w:rFonts w:hint="eastAsia" w:ascii="宋体" w:hAnsi="宋体" w:eastAsia="宋体" w:cs="Times New Roman"/>
                <w:szCs w:val="21"/>
              </w:rPr>
            </w:pPr>
            <w:r>
              <w:rPr>
                <w:rFonts w:hint="eastAsia" w:ascii="宋体" w:hAnsi="宋体" w:eastAsia="宋体" w:cs="Times New Roman"/>
                <w:szCs w:val="21"/>
              </w:rPr>
              <w:t>1.音乐学绪论</w:t>
            </w:r>
          </w:p>
        </w:tc>
        <w:tc>
          <w:tcPr>
            <w:tcW w:w="1701" w:type="dxa"/>
            <w:vAlign w:val="center"/>
          </w:tcPr>
          <w:p w14:paraId="33428CA2">
            <w:pPr>
              <w:rPr>
                <w:rFonts w:hint="eastAsia" w:ascii="宋体" w:hAnsi="宋体" w:eastAsia="宋体"/>
                <w:szCs w:val="21"/>
              </w:rPr>
            </w:pPr>
            <w:r>
              <w:rPr>
                <w:rFonts w:ascii="宋体" w:hAnsi="宋体" w:eastAsia="宋体"/>
                <w:szCs w:val="21"/>
              </w:rPr>
              <w:t>（1）</w:t>
            </w:r>
            <w:r>
              <w:rPr>
                <w:rFonts w:hint="eastAsia" w:ascii="宋体" w:hAnsi="宋体" w:eastAsia="宋体"/>
                <w:szCs w:val="21"/>
              </w:rPr>
              <w:t>乐音的基本特征与构成要素</w:t>
            </w:r>
          </w:p>
          <w:p w14:paraId="1B19FFD7">
            <w:pPr>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简要的中外音乐发展和历史沿革</w:t>
            </w:r>
          </w:p>
        </w:tc>
        <w:tc>
          <w:tcPr>
            <w:tcW w:w="1134" w:type="dxa"/>
            <w:vAlign w:val="center"/>
          </w:tcPr>
          <w:p w14:paraId="4F789E8A">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61670041">
            <w:pPr>
              <w:jc w:val="left"/>
              <w:rPr>
                <w:rFonts w:hint="eastAsia" w:ascii="宋体" w:hAnsi="宋体" w:eastAsia="宋体"/>
                <w:szCs w:val="21"/>
              </w:rPr>
            </w:pPr>
            <w:r>
              <w:rPr>
                <w:rFonts w:ascii="宋体" w:hAnsi="宋体" w:eastAsia="宋体"/>
                <w:szCs w:val="21"/>
              </w:rPr>
              <w:t>（1）了解并掌握</w:t>
            </w:r>
            <w:r>
              <w:rPr>
                <w:rFonts w:hint="eastAsia" w:ascii="宋体" w:hAnsi="宋体" w:eastAsia="宋体"/>
                <w:szCs w:val="21"/>
              </w:rPr>
              <w:t>基础的乐理知识</w:t>
            </w:r>
          </w:p>
          <w:p w14:paraId="47819B93">
            <w:pPr>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能简单地阅读和应用五线谱和简谱</w:t>
            </w:r>
          </w:p>
          <w:p w14:paraId="523A27B3">
            <w:pPr>
              <w:jc w:val="left"/>
              <w:rPr>
                <w:rFonts w:hint="eastAsia" w:ascii="宋体" w:hAnsi="宋体" w:eastAsia="宋体" w:cs="Times New Roman"/>
                <w:b/>
                <w:szCs w:val="21"/>
              </w:rPr>
            </w:pPr>
            <w:r>
              <w:rPr>
                <w:rFonts w:ascii="宋体" w:hAnsi="宋体" w:eastAsia="宋体"/>
                <w:szCs w:val="21"/>
              </w:rPr>
              <w:t>（3）</w:t>
            </w:r>
            <w:r>
              <w:rPr>
                <w:rFonts w:hint="eastAsia" w:ascii="宋体" w:hAnsi="宋体" w:eastAsia="宋体"/>
                <w:szCs w:val="21"/>
              </w:rPr>
              <w:t>了解中外音乐的发展与沿革</w:t>
            </w:r>
          </w:p>
        </w:tc>
        <w:tc>
          <w:tcPr>
            <w:tcW w:w="1560" w:type="dxa"/>
            <w:vAlign w:val="center"/>
          </w:tcPr>
          <w:p w14:paraId="1C11DAF1">
            <w:pPr>
              <w:jc w:val="left"/>
              <w:rPr>
                <w:rFonts w:hint="eastAsia" w:ascii="宋体" w:hAnsi="宋体" w:eastAsia="宋体" w:cs="Times New Roman"/>
                <w:szCs w:val="21"/>
              </w:rPr>
            </w:pPr>
            <w:r>
              <w:rPr>
                <w:rFonts w:hint="eastAsia" w:ascii="宋体" w:hAnsi="宋体" w:eastAsia="宋体" w:cs="Times New Roman"/>
                <w:szCs w:val="21"/>
              </w:rPr>
              <w:t>1.线上学习</w:t>
            </w:r>
          </w:p>
          <w:p w14:paraId="74090C04">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1A1EE5B3">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2E5EBB67">
            <w:pPr>
              <w:jc w:val="center"/>
              <w:rPr>
                <w:rFonts w:hint="eastAsia" w:ascii="宋体" w:hAnsi="宋体" w:eastAsia="宋体" w:cs="Times New Roman"/>
                <w:szCs w:val="21"/>
              </w:rPr>
            </w:pPr>
            <w:r>
              <w:rPr>
                <w:rFonts w:hint="eastAsia" w:ascii="宋体" w:hAnsi="宋体" w:eastAsia="宋体" w:cs="Times New Roman"/>
                <w:szCs w:val="21"/>
              </w:rPr>
              <w:t>3</w:t>
            </w:r>
          </w:p>
        </w:tc>
      </w:tr>
      <w:tr w14:paraId="0CB4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039607A">
            <w:pPr>
              <w:jc w:val="center"/>
              <w:rPr>
                <w:rFonts w:hint="eastAsia" w:ascii="宋体" w:hAnsi="宋体" w:eastAsia="宋体" w:cs="Times New Roman"/>
                <w:szCs w:val="21"/>
              </w:rPr>
            </w:pPr>
          </w:p>
        </w:tc>
        <w:tc>
          <w:tcPr>
            <w:tcW w:w="8093" w:type="dxa"/>
            <w:gridSpan w:val="5"/>
            <w:vAlign w:val="center"/>
          </w:tcPr>
          <w:p w14:paraId="3436E3AB">
            <w:pPr>
              <w:ind w:firstLine="422" w:firstLineChars="200"/>
              <w:rPr>
                <w:rFonts w:hint="eastAsia" w:ascii="宋体" w:hAnsi="宋体" w:eastAsia="宋体" w:cs="宋体"/>
                <w:kern w:val="0"/>
                <w:szCs w:val="21"/>
              </w:rPr>
            </w:pPr>
            <w:r>
              <w:rPr>
                <w:rFonts w:hint="eastAsia" w:ascii="宋体" w:hAnsi="宋体" w:eastAsia="宋体" w:cs="Times New Roman"/>
                <w:b/>
                <w:szCs w:val="21"/>
              </w:rPr>
              <w:t>课程思政目标：</w:t>
            </w:r>
            <w:r>
              <w:rPr>
                <w:rFonts w:ascii="宋体" w:hAnsi="宋体" w:eastAsia="宋体" w:cs="Times New Roman"/>
                <w:szCs w:val="21"/>
              </w:rPr>
              <w:t>依法履行教师职责权利</w:t>
            </w:r>
            <w:r>
              <w:rPr>
                <w:rFonts w:hint="eastAsia" w:ascii="宋体" w:hAnsi="宋体" w:eastAsia="宋体" w:cs="Times New Roman"/>
                <w:szCs w:val="21"/>
              </w:rPr>
              <w:t>，将社会主义核心价值观内化为精神追求，具有优良的爱国主义情怀和以爱为魂的高尚师德，</w:t>
            </w:r>
            <w:r>
              <w:rPr>
                <w:rFonts w:hint="eastAsia" w:ascii="宋体" w:hAnsi="宋体" w:eastAsia="宋体" w:cs="宋体"/>
                <w:kern w:val="0"/>
                <w:szCs w:val="21"/>
              </w:rPr>
              <w:t>能够根据大学生身心发展特点，提出适宜的教育活动目标，做美育教育的启蒙者和引路人。</w:t>
            </w:r>
          </w:p>
          <w:p w14:paraId="38C8DC33">
            <w:pPr>
              <w:jc w:val="left"/>
              <w:rPr>
                <w:rFonts w:hint="eastAsia" w:ascii="宋体" w:hAnsi="宋体" w:eastAsia="宋体" w:cs="Times New Roman"/>
                <w:szCs w:val="21"/>
              </w:rPr>
            </w:pPr>
          </w:p>
        </w:tc>
      </w:tr>
      <w:tr w14:paraId="6AF5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0A94697">
            <w:pPr>
              <w:jc w:val="center"/>
              <w:rPr>
                <w:rFonts w:hint="eastAsia" w:ascii="宋体" w:hAnsi="宋体" w:eastAsia="宋体" w:cs="Times New Roman"/>
                <w:szCs w:val="21"/>
              </w:rPr>
            </w:pPr>
            <w:r>
              <w:rPr>
                <w:rFonts w:hint="eastAsia" w:ascii="宋体" w:hAnsi="宋体" w:eastAsia="宋体" w:cs="Times New Roman"/>
                <w:szCs w:val="21"/>
              </w:rPr>
              <w:t>2. 基础乐理知识（音值节奏）</w:t>
            </w:r>
          </w:p>
        </w:tc>
        <w:tc>
          <w:tcPr>
            <w:tcW w:w="1701" w:type="dxa"/>
            <w:vAlign w:val="center"/>
          </w:tcPr>
          <w:p w14:paraId="7905CDF1">
            <w:pPr>
              <w:rPr>
                <w:rFonts w:hint="eastAsia" w:ascii="宋体" w:hAnsi="宋体" w:eastAsia="宋体"/>
                <w:szCs w:val="21"/>
              </w:rPr>
            </w:pPr>
            <w:r>
              <w:rPr>
                <w:rFonts w:ascii="宋体" w:hAnsi="宋体" w:eastAsia="宋体"/>
                <w:szCs w:val="21"/>
              </w:rPr>
              <w:t>（1）</w:t>
            </w:r>
            <w:r>
              <w:rPr>
                <w:rFonts w:hint="eastAsia" w:ascii="宋体" w:hAnsi="宋体" w:eastAsia="宋体"/>
                <w:szCs w:val="21"/>
              </w:rPr>
              <w:t>基础音符与简易节奏型组合</w:t>
            </w:r>
          </w:p>
          <w:p w14:paraId="6EBA9481">
            <w:pPr>
              <w:rPr>
                <w:rFonts w:hint="eastAsia" w:ascii="宋体" w:hAnsi="宋体" w:eastAsia="宋体"/>
                <w:szCs w:val="21"/>
              </w:rPr>
            </w:pPr>
            <w:r>
              <w:rPr>
                <w:rFonts w:ascii="宋体" w:hAnsi="宋体" w:eastAsia="宋体"/>
                <w:szCs w:val="21"/>
              </w:rPr>
              <w:t>（2）</w:t>
            </w:r>
            <w:r>
              <w:rPr>
                <w:rFonts w:hint="eastAsia" w:ascii="宋体" w:hAnsi="宋体" w:eastAsia="宋体"/>
                <w:szCs w:val="21"/>
              </w:rPr>
              <w:t>附点与休止符</w:t>
            </w:r>
          </w:p>
          <w:p w14:paraId="06E00B48">
            <w:pPr>
              <w:rPr>
                <w:rFonts w:hint="eastAsia" w:ascii="宋体" w:hAnsi="宋体" w:eastAsia="宋体"/>
                <w:szCs w:val="21"/>
              </w:rPr>
            </w:pPr>
            <w:r>
              <w:rPr>
                <w:rFonts w:hint="eastAsia" w:ascii="宋体" w:hAnsi="宋体" w:eastAsia="宋体"/>
                <w:szCs w:val="21"/>
              </w:rPr>
              <w:t>（3）谱号与拍号</w:t>
            </w:r>
          </w:p>
        </w:tc>
        <w:tc>
          <w:tcPr>
            <w:tcW w:w="1134" w:type="dxa"/>
            <w:vAlign w:val="center"/>
          </w:tcPr>
          <w:p w14:paraId="5C1D8AB8">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745F8C35">
            <w:pPr>
              <w:rPr>
                <w:rFonts w:hint="eastAsia" w:ascii="宋体" w:hAnsi="宋体" w:eastAsia="宋体"/>
                <w:szCs w:val="21"/>
              </w:rPr>
            </w:pPr>
            <w:r>
              <w:rPr>
                <w:rFonts w:ascii="宋体" w:hAnsi="宋体" w:eastAsia="宋体"/>
                <w:szCs w:val="21"/>
              </w:rPr>
              <w:t>（1）了解</w:t>
            </w:r>
            <w:r>
              <w:rPr>
                <w:rFonts w:hint="eastAsia" w:ascii="宋体" w:hAnsi="宋体" w:eastAsia="宋体"/>
                <w:szCs w:val="21"/>
              </w:rPr>
              <w:t>乐音的基础属性之——音值（节奏）的有关知识</w:t>
            </w:r>
          </w:p>
          <w:p w14:paraId="1092C584">
            <w:pPr>
              <w:rPr>
                <w:rFonts w:hint="eastAsia" w:ascii="宋体" w:hAnsi="宋体" w:eastAsia="宋体" w:cs="Times New Roman"/>
                <w:szCs w:val="21"/>
              </w:rPr>
            </w:pPr>
            <w:r>
              <w:rPr>
                <w:rFonts w:ascii="宋体" w:hAnsi="宋体" w:eastAsia="宋体"/>
                <w:szCs w:val="21"/>
              </w:rPr>
              <w:t>（2）</w:t>
            </w:r>
            <w:r>
              <w:rPr>
                <w:rFonts w:hint="eastAsia" w:ascii="宋体" w:hAnsi="宋体" w:eastAsia="宋体"/>
                <w:szCs w:val="21"/>
              </w:rPr>
              <w:t>了解五线谱记谱法中的法则和书写规范</w:t>
            </w:r>
          </w:p>
        </w:tc>
        <w:tc>
          <w:tcPr>
            <w:tcW w:w="1560" w:type="dxa"/>
            <w:vAlign w:val="center"/>
          </w:tcPr>
          <w:p w14:paraId="69B020F5">
            <w:pPr>
              <w:jc w:val="left"/>
              <w:rPr>
                <w:rFonts w:hint="eastAsia" w:ascii="宋体" w:hAnsi="宋体" w:eastAsia="宋体" w:cs="Times New Roman"/>
                <w:szCs w:val="21"/>
              </w:rPr>
            </w:pPr>
            <w:r>
              <w:rPr>
                <w:rFonts w:hint="eastAsia" w:ascii="宋体" w:hAnsi="宋体" w:eastAsia="宋体" w:cs="Times New Roman"/>
                <w:szCs w:val="21"/>
              </w:rPr>
              <w:t>1.线上学习</w:t>
            </w:r>
          </w:p>
          <w:p w14:paraId="24ED4633">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3DAADB48">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5EAB414E">
            <w:pPr>
              <w:jc w:val="center"/>
              <w:rPr>
                <w:rFonts w:hint="eastAsia" w:ascii="宋体" w:hAnsi="宋体" w:eastAsia="宋体" w:cs="Times New Roman"/>
                <w:szCs w:val="21"/>
              </w:rPr>
            </w:pPr>
            <w:r>
              <w:rPr>
                <w:rFonts w:hint="eastAsia" w:ascii="宋体" w:hAnsi="宋体" w:eastAsia="宋体" w:cs="Times New Roman"/>
                <w:szCs w:val="21"/>
              </w:rPr>
              <w:t>9</w:t>
            </w:r>
          </w:p>
        </w:tc>
      </w:tr>
      <w:tr w14:paraId="04FE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CAFDB34">
            <w:pPr>
              <w:jc w:val="center"/>
              <w:rPr>
                <w:rFonts w:hint="eastAsia" w:ascii="宋体" w:hAnsi="宋体" w:eastAsia="宋体" w:cs="Times New Roman"/>
                <w:szCs w:val="21"/>
              </w:rPr>
            </w:pPr>
          </w:p>
        </w:tc>
        <w:tc>
          <w:tcPr>
            <w:tcW w:w="8093" w:type="dxa"/>
            <w:gridSpan w:val="5"/>
            <w:vAlign w:val="center"/>
          </w:tcPr>
          <w:p w14:paraId="6179494F">
            <w:pPr>
              <w:autoSpaceDE w:val="0"/>
              <w:autoSpaceDN w:val="0"/>
              <w:adjustRightInd w:val="0"/>
              <w:ind w:firstLine="422" w:firstLineChars="200"/>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结合中外优秀传统音乐文化，树立学生产生强烈的文化认同感和民族自豪感，培养具有为中华民族复兴培养全面发展的社会主义建设者和接班人的职业理想。</w:t>
            </w:r>
          </w:p>
        </w:tc>
      </w:tr>
      <w:tr w14:paraId="6259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7EB5A36">
            <w:pPr>
              <w:jc w:val="center"/>
              <w:rPr>
                <w:rFonts w:hint="eastAsia" w:ascii="宋体" w:hAnsi="宋体" w:eastAsia="宋体" w:cs="Times New Roman"/>
                <w:szCs w:val="21"/>
              </w:rPr>
            </w:pPr>
            <w:r>
              <w:rPr>
                <w:rFonts w:hint="eastAsia" w:ascii="宋体" w:hAnsi="宋体" w:eastAsia="宋体" w:cs="Times New Roman"/>
                <w:szCs w:val="21"/>
              </w:rPr>
              <w:t>3.基础乐理知识（音调音高）</w:t>
            </w:r>
          </w:p>
        </w:tc>
        <w:tc>
          <w:tcPr>
            <w:tcW w:w="1701" w:type="dxa"/>
            <w:vAlign w:val="center"/>
          </w:tcPr>
          <w:p w14:paraId="0AF090A7">
            <w:pPr>
              <w:rPr>
                <w:rFonts w:hint="eastAsia" w:ascii="宋体" w:hAnsi="宋体" w:eastAsia="宋体"/>
                <w:bCs/>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w:t>
            </w:r>
            <w:r>
              <w:rPr>
                <w:rFonts w:hint="eastAsia" w:ascii="宋体" w:hAnsi="宋体" w:eastAsia="宋体"/>
                <w:szCs w:val="21"/>
              </w:rPr>
              <w:t>简谱记谱法和唱名</w:t>
            </w:r>
          </w:p>
          <w:p w14:paraId="49EA11A3">
            <w:pPr>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五线谱记谱法和音名</w:t>
            </w:r>
          </w:p>
          <w:p w14:paraId="33B3722F">
            <w:pPr>
              <w:rPr>
                <w:rFonts w:hint="eastAsia" w:ascii="宋体" w:hAnsi="宋体" w:eastAsia="宋体" w:cs="Times New Roman"/>
                <w:szCs w:val="21"/>
              </w:rPr>
            </w:pPr>
            <w:r>
              <w:rPr>
                <w:rFonts w:hint="eastAsia" w:ascii="宋体" w:hAnsi="宋体" w:eastAsia="宋体"/>
                <w:szCs w:val="21"/>
              </w:rPr>
              <w:t>（3）简易调式</w:t>
            </w:r>
          </w:p>
        </w:tc>
        <w:tc>
          <w:tcPr>
            <w:tcW w:w="1134" w:type="dxa"/>
            <w:vAlign w:val="center"/>
          </w:tcPr>
          <w:p w14:paraId="063031FF">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01FAAA9B">
            <w:pPr>
              <w:rPr>
                <w:rFonts w:hint="eastAsia" w:ascii="宋体" w:hAnsi="宋体" w:eastAsia="宋体"/>
                <w:szCs w:val="21"/>
              </w:rPr>
            </w:pPr>
            <w:r>
              <w:rPr>
                <w:rFonts w:ascii="宋体" w:hAnsi="宋体" w:eastAsia="宋体"/>
                <w:szCs w:val="21"/>
              </w:rPr>
              <w:t>（1）了解</w:t>
            </w:r>
            <w:r>
              <w:rPr>
                <w:rFonts w:hint="eastAsia" w:ascii="宋体" w:hAnsi="宋体" w:eastAsia="宋体"/>
                <w:szCs w:val="21"/>
              </w:rPr>
              <w:t>乐音的基础属性之——音调（音高）的有关知识</w:t>
            </w:r>
          </w:p>
          <w:p w14:paraId="086F9ACF">
            <w:pPr>
              <w:rPr>
                <w:rFonts w:hint="eastAsia" w:ascii="宋体" w:hAnsi="宋体" w:eastAsia="宋体"/>
                <w:szCs w:val="21"/>
              </w:rPr>
            </w:pPr>
            <w:r>
              <w:rPr>
                <w:rFonts w:ascii="宋体" w:hAnsi="宋体" w:eastAsia="宋体"/>
                <w:szCs w:val="21"/>
              </w:rPr>
              <w:t>（2）</w:t>
            </w:r>
            <w:r>
              <w:rPr>
                <w:rFonts w:hint="eastAsia" w:ascii="宋体" w:hAnsi="宋体" w:eastAsia="宋体"/>
                <w:szCs w:val="21"/>
              </w:rPr>
              <w:t>能简单地阅读和应用五线谱和简谱</w:t>
            </w:r>
          </w:p>
          <w:p w14:paraId="3C92A7E8">
            <w:pPr>
              <w:rPr>
                <w:rFonts w:hint="eastAsia" w:ascii="宋体" w:hAnsi="宋体" w:eastAsia="宋体" w:cs="Times New Roman"/>
                <w:b/>
                <w:szCs w:val="21"/>
              </w:rPr>
            </w:pPr>
            <w:r>
              <w:rPr>
                <w:rFonts w:ascii="宋体" w:hAnsi="宋体" w:eastAsia="宋体"/>
                <w:szCs w:val="21"/>
              </w:rPr>
              <w:t>（3）</w:t>
            </w:r>
            <w:r>
              <w:rPr>
                <w:rFonts w:hint="eastAsia" w:ascii="宋体" w:hAnsi="宋体" w:eastAsia="宋体"/>
                <w:szCs w:val="21"/>
              </w:rPr>
              <w:t>了解中外音乐在不同的文化背景下，所演变出的不同调式。</w:t>
            </w:r>
          </w:p>
          <w:p w14:paraId="61403C4C">
            <w:pPr>
              <w:jc w:val="left"/>
              <w:rPr>
                <w:rFonts w:hint="eastAsia" w:ascii="宋体" w:hAnsi="宋体" w:eastAsia="宋体" w:cs="Times New Roman"/>
                <w:szCs w:val="21"/>
              </w:rPr>
            </w:pPr>
          </w:p>
        </w:tc>
        <w:tc>
          <w:tcPr>
            <w:tcW w:w="1560" w:type="dxa"/>
            <w:vAlign w:val="center"/>
          </w:tcPr>
          <w:p w14:paraId="78561609">
            <w:pPr>
              <w:jc w:val="left"/>
              <w:rPr>
                <w:rFonts w:hint="eastAsia" w:ascii="宋体" w:hAnsi="宋体" w:eastAsia="宋体" w:cs="Times New Roman"/>
                <w:szCs w:val="21"/>
              </w:rPr>
            </w:pPr>
            <w:r>
              <w:rPr>
                <w:rFonts w:ascii="宋体" w:hAnsi="宋体" w:eastAsia="宋体" w:cs="Times New Roman"/>
                <w:szCs w:val="21"/>
              </w:rPr>
              <w:t>1.线上学习</w:t>
            </w:r>
          </w:p>
          <w:p w14:paraId="19983CBA">
            <w:pPr>
              <w:jc w:val="left"/>
              <w:rPr>
                <w:rFonts w:hint="eastAsia" w:ascii="宋体" w:hAnsi="宋体" w:eastAsia="宋体" w:cs="Times New Roman"/>
                <w:szCs w:val="21"/>
              </w:rPr>
            </w:pPr>
            <w:r>
              <w:rPr>
                <w:rFonts w:ascii="宋体" w:hAnsi="宋体" w:eastAsia="宋体" w:cs="Times New Roman"/>
                <w:szCs w:val="21"/>
              </w:rPr>
              <w:t>2.多媒体教学3.课堂讨论</w:t>
            </w:r>
          </w:p>
          <w:p w14:paraId="005E5CF4">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3F20A4A7">
            <w:pPr>
              <w:jc w:val="center"/>
              <w:rPr>
                <w:rFonts w:hint="eastAsia" w:ascii="宋体" w:hAnsi="宋体" w:eastAsia="宋体" w:cs="Times New Roman"/>
                <w:szCs w:val="21"/>
              </w:rPr>
            </w:pPr>
            <w:r>
              <w:rPr>
                <w:rFonts w:hint="eastAsia" w:ascii="宋体" w:hAnsi="宋体" w:eastAsia="宋体" w:cs="Times New Roman"/>
                <w:szCs w:val="21"/>
              </w:rPr>
              <w:t>9</w:t>
            </w:r>
          </w:p>
        </w:tc>
      </w:tr>
      <w:tr w14:paraId="724E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CD1BF8C">
            <w:pPr>
              <w:jc w:val="center"/>
              <w:rPr>
                <w:rFonts w:hint="eastAsia" w:ascii="宋体" w:hAnsi="宋体" w:eastAsia="宋体" w:cs="Times New Roman"/>
                <w:szCs w:val="21"/>
              </w:rPr>
            </w:pPr>
          </w:p>
        </w:tc>
        <w:tc>
          <w:tcPr>
            <w:tcW w:w="8093" w:type="dxa"/>
            <w:gridSpan w:val="5"/>
            <w:vAlign w:val="center"/>
          </w:tcPr>
          <w:p w14:paraId="35AE1455">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依法履行教师职责权利</w:t>
            </w:r>
            <w:r>
              <w:rPr>
                <w:rFonts w:hint="eastAsia" w:ascii="宋体" w:hAnsi="宋体" w:eastAsia="宋体" w:cs="Times New Roman"/>
                <w:szCs w:val="21"/>
              </w:rPr>
              <w:t>，将社会主义核心价值观内化为精神追求，具有优良的爱国主义情怀和以爱为魂的高尚师德，</w:t>
            </w:r>
            <w:r>
              <w:rPr>
                <w:rFonts w:hint="eastAsia" w:ascii="宋体" w:hAnsi="宋体" w:eastAsia="宋体" w:cs="宋体"/>
                <w:kern w:val="0"/>
                <w:szCs w:val="21"/>
              </w:rPr>
              <w:t>能够根据大学生身心发展特点，提出适宜的教育活动目标，做美育教育的启蒙者和引路人。</w:t>
            </w:r>
          </w:p>
        </w:tc>
      </w:tr>
    </w:tbl>
    <w:p w14:paraId="56773306">
      <w:pPr>
        <w:jc w:val="left"/>
        <w:rPr>
          <w:rFonts w:ascii="Times New Roman" w:hAnsi="Times New Roman" w:eastAsia="宋体" w:cs="Times New Roman"/>
          <w:szCs w:val="21"/>
        </w:rPr>
      </w:pP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
        <w:gridCol w:w="1181"/>
        <w:gridCol w:w="1701"/>
        <w:gridCol w:w="1134"/>
        <w:gridCol w:w="3260"/>
        <w:gridCol w:w="1560"/>
        <w:gridCol w:w="438"/>
      </w:tblGrid>
      <w:tr w14:paraId="18CF0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gridSpan w:val="2"/>
            <w:vMerge w:val="restart"/>
            <w:vAlign w:val="center"/>
          </w:tcPr>
          <w:p w14:paraId="35ED4A77">
            <w:pPr>
              <w:jc w:val="center"/>
              <w:rPr>
                <w:rFonts w:hint="eastAsia" w:ascii="宋体" w:hAnsi="宋体" w:eastAsia="宋体" w:cs="Times New Roman"/>
                <w:szCs w:val="21"/>
              </w:rPr>
            </w:pPr>
            <w:r>
              <w:rPr>
                <w:rFonts w:hint="eastAsia" w:ascii="宋体" w:hAnsi="宋体" w:eastAsia="宋体" w:cs="Times New Roman"/>
                <w:szCs w:val="21"/>
              </w:rPr>
              <w:t xml:space="preserve">4.基础乐理知识（音强和音色） </w:t>
            </w:r>
          </w:p>
        </w:tc>
        <w:tc>
          <w:tcPr>
            <w:tcW w:w="1701" w:type="dxa"/>
            <w:vAlign w:val="center"/>
          </w:tcPr>
          <w:p w14:paraId="6B4E9689">
            <w:pPr>
              <w:rPr>
                <w:rFonts w:hint="eastAsia" w:ascii="宋体" w:hAnsi="宋体" w:eastAsia="宋体"/>
                <w:bCs/>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w:t>
            </w:r>
            <w:r>
              <w:rPr>
                <w:rFonts w:hint="eastAsia" w:ascii="宋体" w:hAnsi="宋体" w:eastAsia="宋体"/>
                <w:szCs w:val="21"/>
              </w:rPr>
              <w:t>与音强有关的力度术语</w:t>
            </w:r>
          </w:p>
          <w:p w14:paraId="40F207C5">
            <w:pPr>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与速度有关的力度术语</w:t>
            </w:r>
          </w:p>
          <w:p w14:paraId="2020F01A">
            <w:pPr>
              <w:rPr>
                <w:rFonts w:hint="eastAsia" w:ascii="宋体" w:hAnsi="宋体" w:eastAsia="宋体" w:cs="Times New Roman"/>
                <w:szCs w:val="21"/>
              </w:rPr>
            </w:pPr>
            <w:r>
              <w:rPr>
                <w:rFonts w:hint="eastAsia" w:ascii="宋体" w:hAnsi="宋体" w:eastAsia="宋体"/>
                <w:szCs w:val="21"/>
              </w:rPr>
              <w:t>（3）了解不同的乐器音色</w:t>
            </w:r>
          </w:p>
        </w:tc>
        <w:tc>
          <w:tcPr>
            <w:tcW w:w="1134" w:type="dxa"/>
            <w:vAlign w:val="center"/>
          </w:tcPr>
          <w:p w14:paraId="2AA7DFA0">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053AD039">
            <w:pPr>
              <w:rPr>
                <w:rFonts w:hint="eastAsia" w:ascii="宋体" w:hAnsi="宋体" w:eastAsia="宋体"/>
                <w:szCs w:val="21"/>
              </w:rPr>
            </w:pPr>
            <w:r>
              <w:rPr>
                <w:rFonts w:ascii="宋体" w:hAnsi="宋体" w:eastAsia="宋体"/>
                <w:szCs w:val="21"/>
              </w:rPr>
              <w:t>（1）了解</w:t>
            </w:r>
            <w:r>
              <w:rPr>
                <w:rFonts w:hint="eastAsia" w:ascii="宋体" w:hAnsi="宋体" w:eastAsia="宋体"/>
                <w:szCs w:val="21"/>
              </w:rPr>
              <w:t>乐谱谱面上出现的各种音乐术语（力度和速度术语）</w:t>
            </w:r>
          </w:p>
          <w:p w14:paraId="3C52DF0B">
            <w:pPr>
              <w:rPr>
                <w:rFonts w:hint="eastAsia" w:ascii="宋体" w:hAnsi="宋体" w:eastAsia="宋体"/>
                <w:szCs w:val="21"/>
              </w:rPr>
            </w:pPr>
            <w:r>
              <w:rPr>
                <w:rFonts w:ascii="宋体" w:hAnsi="宋体" w:eastAsia="宋体"/>
                <w:szCs w:val="21"/>
              </w:rPr>
              <w:t>（2）</w:t>
            </w:r>
            <w:r>
              <w:rPr>
                <w:rFonts w:hint="eastAsia" w:ascii="宋体" w:hAnsi="宋体" w:eastAsia="宋体"/>
                <w:szCs w:val="21"/>
              </w:rPr>
              <w:t>简单了解交响乐团的配器法</w:t>
            </w:r>
          </w:p>
          <w:p w14:paraId="524375A6">
            <w:r>
              <w:rPr>
                <w:rFonts w:ascii="宋体" w:hAnsi="宋体" w:eastAsia="宋体"/>
                <w:szCs w:val="21"/>
              </w:rPr>
              <w:t>（3）</w:t>
            </w:r>
            <w:r>
              <w:rPr>
                <w:rFonts w:hint="eastAsia" w:ascii="宋体" w:hAnsi="宋体" w:eastAsia="宋体"/>
                <w:szCs w:val="21"/>
              </w:rPr>
              <w:t>简单了解中外不同的乐器构造与音色</w:t>
            </w:r>
          </w:p>
        </w:tc>
        <w:tc>
          <w:tcPr>
            <w:tcW w:w="1560" w:type="dxa"/>
            <w:vAlign w:val="center"/>
          </w:tcPr>
          <w:p w14:paraId="0105342E">
            <w:pPr>
              <w:jc w:val="left"/>
              <w:rPr>
                <w:rFonts w:hint="eastAsia" w:ascii="宋体" w:hAnsi="宋体" w:eastAsia="宋体" w:cs="Times New Roman"/>
                <w:szCs w:val="21"/>
              </w:rPr>
            </w:pPr>
            <w:r>
              <w:rPr>
                <w:rFonts w:ascii="宋体" w:hAnsi="宋体" w:eastAsia="宋体" w:cs="Times New Roman"/>
                <w:szCs w:val="21"/>
              </w:rPr>
              <w:t>1.线上学习</w:t>
            </w:r>
          </w:p>
          <w:p w14:paraId="3FAF7824">
            <w:pPr>
              <w:jc w:val="left"/>
              <w:rPr>
                <w:rFonts w:hint="eastAsia" w:ascii="宋体" w:hAnsi="宋体" w:eastAsia="宋体" w:cs="Times New Roman"/>
                <w:szCs w:val="21"/>
              </w:rPr>
            </w:pPr>
            <w:r>
              <w:rPr>
                <w:rFonts w:ascii="宋体" w:hAnsi="宋体" w:eastAsia="宋体" w:cs="Times New Roman"/>
                <w:szCs w:val="21"/>
              </w:rPr>
              <w:t>2.多媒体教学3.课堂讨论</w:t>
            </w:r>
          </w:p>
          <w:p w14:paraId="49A0D618">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3A4233EE">
            <w:pPr>
              <w:jc w:val="center"/>
              <w:rPr>
                <w:rFonts w:hint="eastAsia" w:ascii="宋体" w:hAnsi="宋体" w:eastAsia="宋体" w:cs="Times New Roman"/>
                <w:szCs w:val="21"/>
              </w:rPr>
            </w:pPr>
            <w:r>
              <w:rPr>
                <w:rFonts w:hint="eastAsia" w:ascii="宋体" w:hAnsi="宋体" w:eastAsia="宋体" w:cs="Times New Roman"/>
                <w:szCs w:val="21"/>
              </w:rPr>
              <w:t>9</w:t>
            </w:r>
          </w:p>
        </w:tc>
      </w:tr>
      <w:tr w14:paraId="3D8D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gridSpan w:val="2"/>
            <w:vMerge w:val="continue"/>
            <w:vAlign w:val="center"/>
          </w:tcPr>
          <w:p w14:paraId="59B7DD3B">
            <w:pPr>
              <w:jc w:val="center"/>
              <w:rPr>
                <w:rFonts w:hint="eastAsia" w:ascii="宋体" w:hAnsi="宋体" w:eastAsia="宋体" w:cs="Times New Roman"/>
                <w:szCs w:val="21"/>
              </w:rPr>
            </w:pPr>
          </w:p>
        </w:tc>
        <w:tc>
          <w:tcPr>
            <w:tcW w:w="8093" w:type="dxa"/>
            <w:gridSpan w:val="5"/>
            <w:vAlign w:val="center"/>
          </w:tcPr>
          <w:p w14:paraId="7DAEFF84">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依法履行教师职责权利</w:t>
            </w:r>
            <w:r>
              <w:rPr>
                <w:rFonts w:hint="eastAsia" w:ascii="宋体" w:hAnsi="宋体" w:eastAsia="宋体" w:cs="Times New Roman"/>
                <w:szCs w:val="21"/>
              </w:rPr>
              <w:t>，将社会主义核心价值观内化为精神追求，具有优良的爱国主义情怀和以爱为魂的高尚师德，</w:t>
            </w:r>
            <w:r>
              <w:rPr>
                <w:rFonts w:hint="eastAsia" w:ascii="宋体" w:hAnsi="宋体" w:eastAsia="宋体" w:cs="宋体"/>
                <w:kern w:val="0"/>
                <w:szCs w:val="21"/>
              </w:rPr>
              <w:t>能够根据大学生身心发展特点，提出适宜的教育活动目标，做美育教育的启蒙者和引路人。</w:t>
            </w:r>
          </w:p>
        </w:tc>
      </w:tr>
      <w:tr w14:paraId="690A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restart"/>
            <w:vAlign w:val="center"/>
          </w:tcPr>
          <w:p w14:paraId="7277B02E">
            <w:pPr>
              <w:jc w:val="center"/>
              <w:rPr>
                <w:rFonts w:hint="eastAsia" w:ascii="宋体" w:hAnsi="宋体" w:eastAsia="宋体" w:cs="Times New Roman"/>
                <w:szCs w:val="21"/>
              </w:rPr>
            </w:pPr>
            <w:r>
              <w:rPr>
                <w:rFonts w:hint="eastAsia" w:ascii="宋体" w:hAnsi="宋体" w:eastAsia="宋体" w:cs="Times New Roman"/>
                <w:szCs w:val="21"/>
              </w:rPr>
              <w:t>5.音乐风格鉴赏</w:t>
            </w:r>
          </w:p>
        </w:tc>
        <w:tc>
          <w:tcPr>
            <w:tcW w:w="1701" w:type="dxa"/>
            <w:vAlign w:val="center"/>
          </w:tcPr>
          <w:p w14:paraId="74AEBD28">
            <w:pPr>
              <w:rPr>
                <w:rFonts w:hint="eastAsia" w:ascii="宋体" w:hAnsi="宋体" w:eastAsia="宋体"/>
                <w:bCs/>
                <w:szCs w:val="21"/>
              </w:rPr>
            </w:pPr>
            <w:r>
              <w:rPr>
                <w:rFonts w:ascii="宋体" w:hAnsi="宋体" w:eastAsia="宋体"/>
                <w:szCs w:val="21"/>
              </w:rPr>
              <w:t>（</w:t>
            </w:r>
            <w:r>
              <w:rPr>
                <w:rFonts w:hint="eastAsia" w:ascii="宋体" w:hAnsi="宋体" w:eastAsia="宋体"/>
                <w:szCs w:val="21"/>
              </w:rPr>
              <w:t>1</w:t>
            </w:r>
            <w:r>
              <w:rPr>
                <w:rFonts w:ascii="宋体" w:hAnsi="宋体" w:eastAsia="宋体"/>
                <w:szCs w:val="21"/>
              </w:rPr>
              <w:t>）</w:t>
            </w:r>
            <w:r>
              <w:rPr>
                <w:rFonts w:hint="eastAsia" w:ascii="宋体" w:hAnsi="宋体" w:eastAsia="宋体"/>
                <w:szCs w:val="21"/>
              </w:rPr>
              <w:t>巴洛克时期音乐鉴赏（3课时）</w:t>
            </w:r>
          </w:p>
          <w:p w14:paraId="6E9BAFD3">
            <w:pPr>
              <w:rPr>
                <w:rFonts w:hint="eastAsia" w:ascii="宋体" w:hAnsi="宋体" w:eastAsia="宋体"/>
                <w:szCs w:val="21"/>
              </w:rPr>
            </w:pPr>
            <w:r>
              <w:rPr>
                <w:rFonts w:ascii="宋体" w:hAnsi="宋体" w:eastAsia="宋体"/>
                <w:szCs w:val="21"/>
              </w:rPr>
              <w:t>（3）</w:t>
            </w:r>
            <w:r>
              <w:rPr>
                <w:rFonts w:hint="eastAsia" w:ascii="宋体" w:hAnsi="宋体" w:eastAsia="宋体"/>
                <w:szCs w:val="21"/>
              </w:rPr>
              <w:t>古典主义时期音乐鉴赏（6课时）</w:t>
            </w:r>
          </w:p>
          <w:p w14:paraId="65B51B13">
            <w:pPr>
              <w:rPr>
                <w:rFonts w:hint="eastAsia" w:ascii="宋体" w:hAnsi="宋体" w:eastAsia="宋体" w:cs="Times New Roman"/>
                <w:szCs w:val="21"/>
              </w:rPr>
            </w:pPr>
            <w:r>
              <w:rPr>
                <w:rFonts w:hint="eastAsia" w:ascii="宋体" w:hAnsi="宋体" w:eastAsia="宋体"/>
                <w:szCs w:val="21"/>
              </w:rPr>
              <w:t>（4）浪漫主义时期音乐鉴赏（3课时）</w:t>
            </w:r>
          </w:p>
        </w:tc>
        <w:tc>
          <w:tcPr>
            <w:tcW w:w="1134" w:type="dxa"/>
            <w:vAlign w:val="center"/>
          </w:tcPr>
          <w:p w14:paraId="6FDC979E">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260" w:type="dxa"/>
            <w:vAlign w:val="center"/>
          </w:tcPr>
          <w:p w14:paraId="7CB181EE">
            <w:pPr>
              <w:rPr>
                <w:rFonts w:hint="eastAsia" w:ascii="宋体" w:hAnsi="宋体" w:eastAsia="宋体"/>
                <w:szCs w:val="21"/>
              </w:rPr>
            </w:pPr>
            <w:r>
              <w:rPr>
                <w:rFonts w:ascii="宋体" w:hAnsi="宋体" w:eastAsia="宋体"/>
                <w:szCs w:val="21"/>
              </w:rPr>
              <w:t>（1）了解</w:t>
            </w:r>
            <w:r>
              <w:rPr>
                <w:rFonts w:hint="eastAsia" w:ascii="宋体" w:hAnsi="宋体" w:eastAsia="宋体"/>
                <w:szCs w:val="21"/>
              </w:rPr>
              <w:t>乐音的基础属性之——音调（音高）的有关知识</w:t>
            </w:r>
          </w:p>
          <w:p w14:paraId="40D27947">
            <w:pPr>
              <w:rPr>
                <w:rFonts w:hint="eastAsia" w:ascii="宋体" w:hAnsi="宋体" w:eastAsia="宋体"/>
                <w:szCs w:val="21"/>
              </w:rPr>
            </w:pPr>
            <w:r>
              <w:rPr>
                <w:rFonts w:ascii="宋体" w:hAnsi="宋体" w:eastAsia="宋体"/>
                <w:szCs w:val="21"/>
              </w:rPr>
              <w:t>（2）</w:t>
            </w:r>
            <w:r>
              <w:rPr>
                <w:rFonts w:hint="eastAsia" w:ascii="宋体" w:hAnsi="宋体" w:eastAsia="宋体"/>
                <w:szCs w:val="21"/>
              </w:rPr>
              <w:t>能简单地阅读和应用五线谱和简谱</w:t>
            </w:r>
          </w:p>
          <w:p w14:paraId="65836F55">
            <w:pPr>
              <w:rPr>
                <w:rFonts w:hint="eastAsia" w:ascii="宋体" w:hAnsi="宋体" w:eastAsia="宋体" w:cs="Times New Roman"/>
                <w:szCs w:val="21"/>
              </w:rPr>
            </w:pPr>
            <w:r>
              <w:rPr>
                <w:rFonts w:ascii="宋体" w:hAnsi="宋体" w:eastAsia="宋体"/>
                <w:szCs w:val="21"/>
              </w:rPr>
              <w:t>（3）</w:t>
            </w:r>
            <w:r>
              <w:rPr>
                <w:rFonts w:hint="eastAsia" w:ascii="宋体" w:hAnsi="宋体" w:eastAsia="宋体"/>
                <w:szCs w:val="21"/>
              </w:rPr>
              <w:t>了解中外音乐在不同的文化背景下，所演变出的不同调式。</w:t>
            </w:r>
          </w:p>
        </w:tc>
        <w:tc>
          <w:tcPr>
            <w:tcW w:w="1560" w:type="dxa"/>
            <w:vAlign w:val="center"/>
          </w:tcPr>
          <w:p w14:paraId="7E530836">
            <w:pPr>
              <w:jc w:val="left"/>
              <w:rPr>
                <w:rFonts w:hint="eastAsia" w:ascii="宋体" w:hAnsi="宋体" w:eastAsia="宋体" w:cs="Times New Roman"/>
                <w:szCs w:val="21"/>
              </w:rPr>
            </w:pPr>
            <w:r>
              <w:rPr>
                <w:rFonts w:ascii="宋体" w:hAnsi="宋体" w:eastAsia="宋体" w:cs="Times New Roman"/>
                <w:szCs w:val="21"/>
              </w:rPr>
              <w:t>1.线上学习</w:t>
            </w:r>
          </w:p>
          <w:p w14:paraId="526EF4E1">
            <w:pPr>
              <w:jc w:val="left"/>
              <w:rPr>
                <w:rFonts w:hint="eastAsia" w:ascii="宋体" w:hAnsi="宋体" w:eastAsia="宋体" w:cs="Times New Roman"/>
                <w:szCs w:val="21"/>
              </w:rPr>
            </w:pPr>
            <w:r>
              <w:rPr>
                <w:rFonts w:ascii="宋体" w:hAnsi="宋体" w:eastAsia="宋体" w:cs="Times New Roman"/>
                <w:szCs w:val="21"/>
              </w:rPr>
              <w:t>2.多媒体教学3.课堂讨论</w:t>
            </w:r>
          </w:p>
          <w:p w14:paraId="05B53FEC">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1561EE98">
            <w:pPr>
              <w:jc w:val="center"/>
              <w:rPr>
                <w:rFonts w:hint="eastAsia" w:ascii="宋体" w:hAnsi="宋体" w:eastAsia="宋体" w:cs="Times New Roman"/>
                <w:szCs w:val="21"/>
              </w:rPr>
            </w:pPr>
            <w:r>
              <w:rPr>
                <w:rFonts w:hint="eastAsia" w:ascii="宋体" w:hAnsi="宋体" w:eastAsia="宋体" w:cs="Times New Roman"/>
                <w:szCs w:val="21"/>
              </w:rPr>
              <w:t>12</w:t>
            </w:r>
          </w:p>
        </w:tc>
      </w:tr>
      <w:tr w14:paraId="3F2F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continue"/>
            <w:vAlign w:val="center"/>
          </w:tcPr>
          <w:p w14:paraId="64B22378">
            <w:pPr>
              <w:jc w:val="center"/>
              <w:rPr>
                <w:rFonts w:hint="eastAsia" w:ascii="宋体" w:hAnsi="宋体" w:eastAsia="宋体" w:cs="Times New Roman"/>
                <w:szCs w:val="21"/>
              </w:rPr>
            </w:pPr>
          </w:p>
        </w:tc>
        <w:tc>
          <w:tcPr>
            <w:tcW w:w="8093" w:type="dxa"/>
            <w:gridSpan w:val="5"/>
            <w:vAlign w:val="center"/>
          </w:tcPr>
          <w:p w14:paraId="2107B173">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依法履行教师职责权利</w:t>
            </w:r>
            <w:r>
              <w:rPr>
                <w:rFonts w:hint="eastAsia" w:ascii="宋体" w:hAnsi="宋体" w:eastAsia="宋体" w:cs="Times New Roman"/>
                <w:szCs w:val="21"/>
              </w:rPr>
              <w:t>，将社会主义核心价值观内化为精神追求，具有优良的爱国主义情怀和以爱为魂的高尚师德，</w:t>
            </w:r>
            <w:r>
              <w:rPr>
                <w:rFonts w:hint="eastAsia" w:ascii="宋体" w:hAnsi="宋体" w:eastAsia="宋体" w:cs="宋体"/>
                <w:kern w:val="0"/>
                <w:szCs w:val="21"/>
              </w:rPr>
              <w:t>能够根据大学生身心发展特点，提出适宜的教育活动目标，做美育教育的启蒙者和引路人。</w:t>
            </w:r>
          </w:p>
        </w:tc>
      </w:tr>
      <w:tr w14:paraId="6070C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restart"/>
            <w:vAlign w:val="center"/>
          </w:tcPr>
          <w:p w14:paraId="15211904">
            <w:pPr>
              <w:jc w:val="center"/>
              <w:rPr>
                <w:rFonts w:hint="eastAsia" w:ascii="宋体" w:hAnsi="宋体" w:eastAsia="宋体" w:cs="Times New Roman"/>
                <w:szCs w:val="21"/>
              </w:rPr>
            </w:pPr>
            <w:r>
              <w:rPr>
                <w:rFonts w:hint="eastAsia" w:ascii="宋体" w:hAnsi="宋体" w:eastAsia="宋体" w:cs="Times New Roman"/>
                <w:szCs w:val="21"/>
              </w:rPr>
              <w:t>6.中国音乐鉴赏</w:t>
            </w:r>
          </w:p>
        </w:tc>
        <w:tc>
          <w:tcPr>
            <w:tcW w:w="1701" w:type="dxa"/>
            <w:vAlign w:val="center"/>
          </w:tcPr>
          <w:p w14:paraId="31C975F0">
            <w:pPr>
              <w:rPr>
                <w:rFonts w:hint="eastAsia" w:ascii="宋体" w:hAnsi="宋体" w:eastAsia="宋体"/>
                <w:szCs w:val="21"/>
              </w:rPr>
            </w:pPr>
            <w:r>
              <w:rPr>
                <w:rFonts w:ascii="宋体" w:hAnsi="宋体" w:eastAsia="宋体"/>
                <w:szCs w:val="21"/>
              </w:rPr>
              <w:t>（1）</w:t>
            </w:r>
            <w:r>
              <w:rPr>
                <w:rFonts w:hint="eastAsia" w:ascii="宋体" w:hAnsi="宋体" w:eastAsia="宋体"/>
                <w:szCs w:val="21"/>
              </w:rPr>
              <w:t>中国音乐的传统调式</w:t>
            </w:r>
          </w:p>
          <w:p w14:paraId="18BE369B">
            <w:pPr>
              <w:rPr>
                <w:rFonts w:hint="eastAsia" w:ascii="宋体" w:hAnsi="宋体" w:eastAsia="宋体"/>
                <w:szCs w:val="21"/>
              </w:rPr>
            </w:pPr>
            <w:r>
              <w:rPr>
                <w:rFonts w:ascii="宋体" w:hAnsi="宋体" w:eastAsia="宋体"/>
                <w:szCs w:val="21"/>
              </w:rPr>
              <w:t>（</w:t>
            </w:r>
            <w:r>
              <w:rPr>
                <w:rFonts w:hint="eastAsia" w:ascii="宋体" w:hAnsi="宋体" w:eastAsia="宋体"/>
                <w:szCs w:val="21"/>
              </w:rPr>
              <w:t>2</w:t>
            </w:r>
            <w:r>
              <w:rPr>
                <w:rFonts w:ascii="宋体" w:hAnsi="宋体" w:eastAsia="宋体"/>
                <w:szCs w:val="21"/>
              </w:rPr>
              <w:t>）</w:t>
            </w:r>
            <w:r>
              <w:rPr>
                <w:rFonts w:hint="eastAsia" w:ascii="宋体" w:hAnsi="宋体" w:eastAsia="宋体"/>
                <w:szCs w:val="21"/>
              </w:rPr>
              <w:t>民乐的当今发展现状</w:t>
            </w:r>
          </w:p>
          <w:p w14:paraId="5441978C">
            <w:pPr>
              <w:rPr>
                <w:rFonts w:hint="eastAsia" w:ascii="宋体" w:hAnsi="宋体" w:eastAsia="宋体"/>
                <w:szCs w:val="21"/>
              </w:rPr>
            </w:pPr>
            <w:r>
              <w:rPr>
                <w:rFonts w:hint="eastAsia" w:ascii="宋体" w:hAnsi="宋体" w:eastAsia="宋体"/>
                <w:szCs w:val="21"/>
              </w:rPr>
              <w:t>（3）民乐中的经典作品</w:t>
            </w:r>
          </w:p>
          <w:p w14:paraId="735FBB62">
            <w:pPr>
              <w:rPr>
                <w:rFonts w:hint="eastAsia" w:ascii="宋体" w:hAnsi="宋体" w:eastAsia="宋体"/>
                <w:szCs w:val="21"/>
              </w:rPr>
            </w:pPr>
            <w:r>
              <w:rPr>
                <w:rFonts w:hint="eastAsia" w:ascii="宋体" w:hAnsi="宋体" w:eastAsia="宋体"/>
                <w:szCs w:val="21"/>
              </w:rPr>
              <w:t>（4）非遗民间音乐艺术形式</w:t>
            </w:r>
          </w:p>
        </w:tc>
        <w:tc>
          <w:tcPr>
            <w:tcW w:w="1134" w:type="dxa"/>
            <w:vAlign w:val="center"/>
          </w:tcPr>
          <w:p w14:paraId="3AA4A386">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3260" w:type="dxa"/>
            <w:vAlign w:val="center"/>
          </w:tcPr>
          <w:p w14:paraId="59222E82">
            <w:pPr>
              <w:jc w:val="left"/>
              <w:rPr>
                <w:rFonts w:hint="eastAsia" w:ascii="宋体" w:hAnsi="宋体" w:eastAsia="宋体"/>
                <w:szCs w:val="21"/>
              </w:rPr>
            </w:pPr>
            <w:r>
              <w:rPr>
                <w:rFonts w:ascii="宋体" w:hAnsi="宋体" w:eastAsia="宋体"/>
                <w:szCs w:val="21"/>
              </w:rPr>
              <w:t>（1）了解</w:t>
            </w:r>
            <w:r>
              <w:rPr>
                <w:rFonts w:hint="eastAsia" w:ascii="宋体" w:hAnsi="宋体" w:eastAsia="宋体"/>
                <w:szCs w:val="21"/>
              </w:rPr>
              <w:t>我国音乐的传统调式</w:t>
            </w:r>
          </w:p>
          <w:p w14:paraId="0F5F2179">
            <w:pPr>
              <w:jc w:val="left"/>
              <w:rPr>
                <w:rFonts w:hint="eastAsia" w:ascii="宋体" w:hAnsi="宋体" w:eastAsia="宋体"/>
                <w:szCs w:val="21"/>
              </w:rPr>
            </w:pPr>
            <w:r>
              <w:rPr>
                <w:rFonts w:ascii="宋体" w:hAnsi="宋体" w:eastAsia="宋体"/>
                <w:szCs w:val="21"/>
              </w:rPr>
              <w:t>（2）</w:t>
            </w:r>
            <w:r>
              <w:rPr>
                <w:rFonts w:hint="eastAsia" w:ascii="宋体" w:hAnsi="宋体" w:eastAsia="宋体"/>
                <w:szCs w:val="21"/>
              </w:rPr>
              <w:t>能简单阅读民乐经典选段的乐谱</w:t>
            </w:r>
          </w:p>
          <w:p w14:paraId="4F93D62E">
            <w:pPr>
              <w:jc w:val="left"/>
              <w:rPr>
                <w:rFonts w:hint="eastAsia" w:ascii="宋体" w:hAnsi="宋体" w:eastAsia="宋体" w:cs="Times New Roman"/>
                <w:b/>
                <w:szCs w:val="21"/>
              </w:rPr>
            </w:pPr>
            <w:r>
              <w:rPr>
                <w:rFonts w:ascii="宋体" w:hAnsi="宋体" w:eastAsia="宋体"/>
                <w:szCs w:val="21"/>
              </w:rPr>
              <w:t>（3）</w:t>
            </w:r>
            <w:r>
              <w:rPr>
                <w:rFonts w:hint="eastAsia" w:ascii="宋体" w:hAnsi="宋体" w:eastAsia="宋体"/>
                <w:szCs w:val="21"/>
              </w:rPr>
              <w:t>了解民乐中最为璀璨辉煌，并被联合国教科文列为为物质文化遗产的民间音乐艺术形式。</w:t>
            </w:r>
          </w:p>
        </w:tc>
        <w:tc>
          <w:tcPr>
            <w:tcW w:w="1560" w:type="dxa"/>
            <w:vAlign w:val="center"/>
          </w:tcPr>
          <w:p w14:paraId="758C7787">
            <w:pPr>
              <w:jc w:val="left"/>
              <w:rPr>
                <w:rFonts w:hint="eastAsia" w:ascii="宋体" w:hAnsi="宋体" w:eastAsia="宋体" w:cs="Times New Roman"/>
                <w:szCs w:val="21"/>
              </w:rPr>
            </w:pPr>
            <w:r>
              <w:rPr>
                <w:rFonts w:hint="eastAsia" w:ascii="宋体" w:hAnsi="宋体" w:eastAsia="宋体" w:cs="Times New Roman"/>
                <w:szCs w:val="21"/>
              </w:rPr>
              <w:t>1.线上学习</w:t>
            </w:r>
          </w:p>
          <w:p w14:paraId="28D26790">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2ADBB9FC">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4A7AB4A4">
            <w:pPr>
              <w:jc w:val="center"/>
              <w:rPr>
                <w:rFonts w:hint="eastAsia" w:ascii="宋体" w:hAnsi="宋体" w:eastAsia="宋体" w:cs="Times New Roman"/>
                <w:szCs w:val="21"/>
              </w:rPr>
            </w:pPr>
            <w:r>
              <w:rPr>
                <w:rFonts w:hint="eastAsia" w:ascii="宋体" w:hAnsi="宋体" w:eastAsia="宋体" w:cs="Times New Roman"/>
                <w:szCs w:val="21"/>
              </w:rPr>
              <w:t>5</w:t>
            </w:r>
          </w:p>
        </w:tc>
      </w:tr>
      <w:tr w14:paraId="57B1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4" w:type="dxa"/>
          <w:jc w:val="center"/>
        </w:trPr>
        <w:tc>
          <w:tcPr>
            <w:tcW w:w="1181" w:type="dxa"/>
            <w:vMerge w:val="continue"/>
            <w:vAlign w:val="center"/>
          </w:tcPr>
          <w:p w14:paraId="61419D02">
            <w:pPr>
              <w:jc w:val="center"/>
              <w:rPr>
                <w:rFonts w:hint="eastAsia" w:ascii="宋体" w:hAnsi="宋体" w:eastAsia="宋体" w:cs="Times New Roman"/>
                <w:szCs w:val="21"/>
              </w:rPr>
            </w:pPr>
          </w:p>
        </w:tc>
        <w:tc>
          <w:tcPr>
            <w:tcW w:w="8093" w:type="dxa"/>
            <w:gridSpan w:val="5"/>
            <w:vAlign w:val="center"/>
          </w:tcPr>
          <w:p w14:paraId="2D314F09">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依法履行教师职责权利</w:t>
            </w:r>
            <w:r>
              <w:rPr>
                <w:rFonts w:hint="eastAsia" w:ascii="宋体" w:hAnsi="宋体" w:eastAsia="宋体" w:cs="Times New Roman"/>
                <w:szCs w:val="21"/>
              </w:rPr>
              <w:t>，将社会主义核心价值观内化为精神追求，具有优良的爱国主义情怀和以爱为魂的高尚师德，</w:t>
            </w:r>
            <w:r>
              <w:rPr>
                <w:rFonts w:hint="eastAsia" w:ascii="宋体" w:hAnsi="宋体" w:eastAsia="宋体" w:cs="宋体"/>
                <w:kern w:val="0"/>
                <w:szCs w:val="21"/>
              </w:rPr>
              <w:t>能够根据大学生身心发展特点，提出适宜的教育活动目标，做美育教育的启蒙者和引路人。</w:t>
            </w:r>
          </w:p>
        </w:tc>
      </w:tr>
    </w:tbl>
    <w:p w14:paraId="5F45ACC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0F030699">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220D20F">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1056"/>
        <w:gridCol w:w="636"/>
      </w:tblGrid>
      <w:tr w14:paraId="6E60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40273EF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6"/>
            <w:vAlign w:val="center"/>
          </w:tcPr>
          <w:p w14:paraId="3CA6BE48">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63DE9E01">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FFA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7681A96">
            <w:pPr>
              <w:spacing w:line="360" w:lineRule="auto"/>
              <w:jc w:val="center"/>
              <w:rPr>
                <w:rFonts w:hint="eastAsia" w:ascii="宋体" w:hAnsi="宋体" w:eastAsia="宋体" w:cs="Times New Roman"/>
                <w:szCs w:val="21"/>
              </w:rPr>
            </w:pPr>
          </w:p>
        </w:tc>
        <w:tc>
          <w:tcPr>
            <w:tcW w:w="0" w:type="auto"/>
            <w:vAlign w:val="center"/>
          </w:tcPr>
          <w:p w14:paraId="3FD0A537">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425EF5B7">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500532F0">
            <w:pPr>
              <w:spacing w:line="360" w:lineRule="auto"/>
              <w:jc w:val="center"/>
              <w:rPr>
                <w:rFonts w:hint="eastAsia" w:ascii="宋体" w:hAnsi="宋体" w:eastAsia="宋体" w:cs="Times New Roman"/>
                <w:szCs w:val="21"/>
              </w:rPr>
            </w:pPr>
            <w:r>
              <w:rPr>
                <w:rFonts w:hint="eastAsia" w:ascii="宋体" w:hAnsi="宋体" w:eastAsia="宋体" w:cs="Times New Roman"/>
                <w:szCs w:val="21"/>
              </w:rPr>
              <w:t>单元测验</w:t>
            </w:r>
          </w:p>
        </w:tc>
        <w:tc>
          <w:tcPr>
            <w:tcW w:w="0" w:type="auto"/>
            <w:vAlign w:val="center"/>
          </w:tcPr>
          <w:p w14:paraId="728009A3">
            <w:pPr>
              <w:spacing w:line="360" w:lineRule="auto"/>
              <w:jc w:val="center"/>
              <w:rPr>
                <w:rFonts w:hint="eastAsia" w:ascii="宋体" w:hAnsi="宋体" w:eastAsia="宋体" w:cs="Times New Roman"/>
                <w:szCs w:val="21"/>
              </w:rPr>
            </w:pPr>
            <w:r>
              <w:rPr>
                <w:rFonts w:hint="eastAsia" w:ascii="宋体" w:hAnsi="宋体" w:eastAsia="宋体" w:cs="Times New Roman"/>
                <w:szCs w:val="21"/>
              </w:rPr>
              <w:t>个人展示</w:t>
            </w:r>
          </w:p>
        </w:tc>
        <w:tc>
          <w:tcPr>
            <w:tcW w:w="0" w:type="auto"/>
            <w:vAlign w:val="center"/>
          </w:tcPr>
          <w:p w14:paraId="34FE93FF">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tcPr>
          <w:p w14:paraId="25807920">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0" w:type="auto"/>
            <w:vMerge w:val="continue"/>
            <w:vAlign w:val="center"/>
          </w:tcPr>
          <w:p w14:paraId="4CB39226">
            <w:pPr>
              <w:spacing w:line="360" w:lineRule="auto"/>
              <w:jc w:val="center"/>
              <w:rPr>
                <w:rFonts w:hint="eastAsia" w:ascii="宋体" w:hAnsi="宋体" w:eastAsia="宋体" w:cs="Times New Roman"/>
                <w:szCs w:val="21"/>
              </w:rPr>
            </w:pPr>
          </w:p>
        </w:tc>
      </w:tr>
      <w:tr w14:paraId="1651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923C57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1C5A716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4BDE8E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49C569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CB17CB9">
            <w:pPr>
              <w:spacing w:line="360" w:lineRule="auto"/>
              <w:jc w:val="center"/>
              <w:rPr>
                <w:rFonts w:hint="eastAsia" w:ascii="宋体" w:hAnsi="宋体" w:eastAsia="宋体" w:cs="Times New Roman"/>
                <w:szCs w:val="21"/>
              </w:rPr>
            </w:pPr>
          </w:p>
        </w:tc>
        <w:tc>
          <w:tcPr>
            <w:tcW w:w="0" w:type="auto"/>
            <w:vAlign w:val="center"/>
          </w:tcPr>
          <w:p w14:paraId="500A97B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416AADB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496C003">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0E7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CEB895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3300664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160C14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7E3BAED">
            <w:pPr>
              <w:spacing w:line="360" w:lineRule="auto"/>
              <w:jc w:val="center"/>
              <w:rPr>
                <w:rFonts w:hint="eastAsia" w:ascii="宋体" w:hAnsi="宋体" w:eastAsia="宋体" w:cs="Times New Roman"/>
                <w:szCs w:val="21"/>
              </w:rPr>
            </w:pPr>
          </w:p>
        </w:tc>
        <w:tc>
          <w:tcPr>
            <w:tcW w:w="0" w:type="auto"/>
            <w:vAlign w:val="center"/>
          </w:tcPr>
          <w:p w14:paraId="2686F2C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21CD6F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476ED828">
            <w:pPr>
              <w:spacing w:line="360" w:lineRule="auto"/>
              <w:jc w:val="center"/>
              <w:rPr>
                <w:rFonts w:hint="eastAsia" w:ascii="宋体" w:hAnsi="宋体" w:eastAsia="宋体" w:cs="Times New Roman"/>
                <w:szCs w:val="21"/>
              </w:rPr>
            </w:pPr>
          </w:p>
        </w:tc>
        <w:tc>
          <w:tcPr>
            <w:tcW w:w="0" w:type="auto"/>
            <w:vAlign w:val="center"/>
          </w:tcPr>
          <w:p w14:paraId="026752FF">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6B86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4CA44A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3EB8138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6D30F78">
            <w:pPr>
              <w:spacing w:line="360" w:lineRule="auto"/>
              <w:jc w:val="center"/>
              <w:rPr>
                <w:rFonts w:hint="eastAsia" w:ascii="宋体" w:hAnsi="宋体" w:eastAsia="宋体" w:cs="Times New Roman"/>
                <w:szCs w:val="21"/>
              </w:rPr>
            </w:pPr>
          </w:p>
        </w:tc>
        <w:tc>
          <w:tcPr>
            <w:tcW w:w="0" w:type="auto"/>
            <w:vAlign w:val="center"/>
          </w:tcPr>
          <w:p w14:paraId="5A05431D">
            <w:pPr>
              <w:spacing w:line="360" w:lineRule="auto"/>
              <w:jc w:val="center"/>
              <w:rPr>
                <w:rFonts w:hint="eastAsia" w:ascii="宋体" w:hAnsi="宋体" w:eastAsia="宋体" w:cs="Times New Roman"/>
                <w:szCs w:val="21"/>
              </w:rPr>
            </w:pPr>
          </w:p>
        </w:tc>
        <w:tc>
          <w:tcPr>
            <w:tcW w:w="0" w:type="auto"/>
            <w:vAlign w:val="center"/>
          </w:tcPr>
          <w:p w14:paraId="16EC852E">
            <w:pPr>
              <w:spacing w:line="360" w:lineRule="auto"/>
              <w:jc w:val="center"/>
              <w:rPr>
                <w:rFonts w:hint="eastAsia" w:ascii="宋体" w:hAnsi="宋体" w:eastAsia="宋体" w:cs="Times New Roman"/>
                <w:szCs w:val="21"/>
              </w:rPr>
            </w:pPr>
          </w:p>
        </w:tc>
        <w:tc>
          <w:tcPr>
            <w:tcW w:w="0" w:type="auto"/>
            <w:vAlign w:val="center"/>
          </w:tcPr>
          <w:p w14:paraId="0ABE00C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tcPr>
          <w:p w14:paraId="36311F5F">
            <w:pPr>
              <w:spacing w:line="360" w:lineRule="auto"/>
              <w:jc w:val="center"/>
              <w:rPr>
                <w:rFonts w:hint="eastAsia" w:ascii="宋体" w:hAnsi="宋体" w:eastAsia="宋体" w:cs="Times New Roman"/>
                <w:szCs w:val="21"/>
              </w:rPr>
            </w:pPr>
          </w:p>
        </w:tc>
        <w:tc>
          <w:tcPr>
            <w:tcW w:w="0" w:type="auto"/>
            <w:vAlign w:val="center"/>
          </w:tcPr>
          <w:p w14:paraId="158D5F2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2374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41B001F">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0AE06A20">
            <w:pPr>
              <w:spacing w:line="360" w:lineRule="auto"/>
              <w:jc w:val="center"/>
              <w:rPr>
                <w:rFonts w:hint="eastAsia" w:ascii="宋体" w:hAnsi="宋体" w:eastAsia="宋体" w:cs="Times New Roman"/>
                <w:szCs w:val="21"/>
              </w:rPr>
            </w:pPr>
          </w:p>
        </w:tc>
        <w:tc>
          <w:tcPr>
            <w:tcW w:w="0" w:type="auto"/>
            <w:vAlign w:val="center"/>
          </w:tcPr>
          <w:p w14:paraId="5E53FE54">
            <w:pPr>
              <w:spacing w:line="360" w:lineRule="auto"/>
              <w:jc w:val="center"/>
              <w:rPr>
                <w:rFonts w:hint="eastAsia" w:ascii="宋体" w:hAnsi="宋体" w:eastAsia="宋体" w:cs="Times New Roman"/>
                <w:szCs w:val="21"/>
              </w:rPr>
            </w:pPr>
          </w:p>
        </w:tc>
        <w:tc>
          <w:tcPr>
            <w:tcW w:w="0" w:type="auto"/>
            <w:vAlign w:val="center"/>
          </w:tcPr>
          <w:p w14:paraId="5750B8E7">
            <w:pPr>
              <w:spacing w:line="360" w:lineRule="auto"/>
              <w:jc w:val="center"/>
              <w:rPr>
                <w:rFonts w:hint="eastAsia" w:ascii="宋体" w:hAnsi="宋体" w:eastAsia="宋体" w:cs="Times New Roman"/>
                <w:szCs w:val="21"/>
              </w:rPr>
            </w:pPr>
          </w:p>
        </w:tc>
        <w:tc>
          <w:tcPr>
            <w:tcW w:w="0" w:type="auto"/>
            <w:vAlign w:val="center"/>
          </w:tcPr>
          <w:p w14:paraId="4ED24E55">
            <w:pPr>
              <w:spacing w:line="360" w:lineRule="auto"/>
              <w:jc w:val="center"/>
              <w:rPr>
                <w:rFonts w:hint="eastAsia" w:ascii="宋体" w:hAnsi="宋体" w:eastAsia="宋体" w:cs="Times New Roman"/>
                <w:szCs w:val="21"/>
              </w:rPr>
            </w:pPr>
          </w:p>
        </w:tc>
        <w:tc>
          <w:tcPr>
            <w:tcW w:w="0" w:type="auto"/>
            <w:vAlign w:val="center"/>
          </w:tcPr>
          <w:p w14:paraId="7513F99A">
            <w:pPr>
              <w:spacing w:line="360" w:lineRule="auto"/>
              <w:jc w:val="center"/>
              <w:rPr>
                <w:rFonts w:hint="eastAsia" w:ascii="宋体" w:hAnsi="宋体" w:eastAsia="宋体" w:cs="Times New Roman"/>
                <w:szCs w:val="21"/>
              </w:rPr>
            </w:pPr>
          </w:p>
        </w:tc>
        <w:tc>
          <w:tcPr>
            <w:tcW w:w="0" w:type="auto"/>
          </w:tcPr>
          <w:p w14:paraId="1A5B8A46">
            <w:pPr>
              <w:spacing w:line="360" w:lineRule="auto"/>
              <w:jc w:val="center"/>
              <w:rPr>
                <w:rFonts w:hint="eastAsia" w:ascii="宋体" w:hAnsi="宋体" w:eastAsia="宋体" w:cs="Times New Roman"/>
                <w:szCs w:val="21"/>
              </w:rPr>
            </w:pPr>
          </w:p>
        </w:tc>
        <w:tc>
          <w:tcPr>
            <w:tcW w:w="0" w:type="auto"/>
            <w:vAlign w:val="center"/>
          </w:tcPr>
          <w:p w14:paraId="44D466B0">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D74202A">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B02CFA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091A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vAlign w:val="center"/>
          </w:tcPr>
          <w:p w14:paraId="25E56F8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6DF4151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7D9C9A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4F923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7FE82D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29EDD75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5次，一为读书笔记，学期初即提供阅读书目，要求每位学生至少选择一本认真阅读并作读书笔记，读书笔记完成情况将作为评分的主要依据。二为四次整理提纲，全面认真梳理课上所学内容（基础乐理知识、鉴赏部分的相关知识点）</w:t>
            </w:r>
          </w:p>
        </w:tc>
        <w:tc>
          <w:tcPr>
            <w:tcW w:w="0" w:type="auto"/>
            <w:vAlign w:val="center"/>
          </w:tcPr>
          <w:p w14:paraId="246B9DD2">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3A5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7C84BD3">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1A11A31D">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31AB51A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1467228C">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162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79FA32">
            <w:pPr>
              <w:rPr>
                <w:rFonts w:ascii="Times New Roman" w:hAnsi="Times New Roman" w:eastAsia="宋体" w:cs="Times New Roman"/>
                <w:szCs w:val="21"/>
              </w:rPr>
            </w:pPr>
            <w:r>
              <w:rPr>
                <w:rFonts w:hint="eastAsia" w:ascii="Times New Roman" w:hAnsi="Times New Roman" w:eastAsia="宋体" w:cs="Times New Roman"/>
                <w:szCs w:val="21"/>
              </w:rPr>
              <w:t>单元测验</w:t>
            </w:r>
          </w:p>
        </w:tc>
        <w:tc>
          <w:tcPr>
            <w:tcW w:w="7141" w:type="dxa"/>
            <w:vAlign w:val="center"/>
          </w:tcPr>
          <w:p w14:paraId="4B80461A">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每单元在线下进行测验（课内实践），主要考查基础知识和基本理论的掌握，以题目的正确率为得分依据。</w:t>
            </w:r>
          </w:p>
        </w:tc>
        <w:tc>
          <w:tcPr>
            <w:tcW w:w="0" w:type="auto"/>
            <w:vAlign w:val="center"/>
          </w:tcPr>
          <w:p w14:paraId="130E29B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82E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A82570">
            <w:pPr>
              <w:rPr>
                <w:rFonts w:ascii="Times New Roman" w:hAnsi="Times New Roman" w:eastAsia="宋体" w:cs="Times New Roman"/>
                <w:szCs w:val="21"/>
              </w:rPr>
            </w:pPr>
            <w:r>
              <w:rPr>
                <w:rFonts w:hint="eastAsia" w:ascii="Times New Roman" w:hAnsi="Times New Roman" w:eastAsia="宋体" w:cs="Times New Roman"/>
                <w:szCs w:val="21"/>
              </w:rPr>
              <w:t>个人展示</w:t>
            </w:r>
          </w:p>
        </w:tc>
        <w:tc>
          <w:tcPr>
            <w:tcW w:w="7141" w:type="dxa"/>
            <w:vAlign w:val="center"/>
          </w:tcPr>
          <w:p w14:paraId="69B11C4A">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课前5分钟左右，每位同学评说音乐时事、音乐史中的重大事件或音乐教育现象等，以学生表达的流程性、逻辑性和分析的深度为评分的主要依据。</w:t>
            </w:r>
          </w:p>
        </w:tc>
        <w:tc>
          <w:tcPr>
            <w:tcW w:w="0" w:type="auto"/>
            <w:vAlign w:val="center"/>
          </w:tcPr>
          <w:p w14:paraId="4A974495">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579A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C09BCF6">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0CA2FF1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6420C109">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4F6D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27787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445FAAD">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教育基本理论和知识型题目占3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%；考核学生运用基本理论知识进行分析能力的题型占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%；考核学生运用学与教的基本理论和知识进行教学设计的题型占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%；考核学生初步研究能力的题型占1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5BAE7937">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25FA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86EA4F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7BC21E0">
            <w:pPr>
              <w:jc w:val="left"/>
              <w:rPr>
                <w:rFonts w:ascii="Times New Roman" w:hAnsi="Times New Roman" w:eastAsia="宋体" w:cs="Times New Roman"/>
                <w:szCs w:val="21"/>
              </w:rPr>
            </w:pPr>
          </w:p>
        </w:tc>
        <w:tc>
          <w:tcPr>
            <w:tcW w:w="0" w:type="auto"/>
            <w:vAlign w:val="center"/>
          </w:tcPr>
          <w:p w14:paraId="476C6F6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2153B090">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22A95024">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54744806">
      <w:pPr>
        <w:spacing w:before="156" w:beforeLines="50"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drawing>
          <wp:inline distT="0" distB="0" distL="0" distR="0">
            <wp:extent cx="5138420" cy="320040"/>
            <wp:effectExtent l="0" t="0" r="0" b="3175"/>
            <wp:docPr id="1" name="_x0000_i1025"/>
            <wp:cNvGraphicFramePr/>
            <a:graphic xmlns:a="http://schemas.openxmlformats.org/drawingml/2006/main">
              <a:graphicData uri="http://schemas.openxmlformats.org/drawingml/2006/picture">
                <pic:pic xmlns:pic="http://schemas.openxmlformats.org/drawingml/2006/picture">
                  <pic:nvPicPr>
                    <pic:cNvPr id="1" name="_x0000_i1025"/>
                    <pic:cNvPicPr/>
                  </pic:nvPicPr>
                  <pic:blipFill>
                    <a:blip r:embed="rId12"/>
                    <a:stretch>
                      <a:fillRect/>
                    </a:stretch>
                  </pic:blipFill>
                  <pic:spPr>
                    <a:xfrm>
                      <a:off x="0" y="0"/>
                      <a:ext cx="5138420" cy="320040"/>
                    </a:xfrm>
                    <a:prstGeom prst="rect">
                      <a:avLst/>
                    </a:prstGeom>
                  </pic:spPr>
                </pic:pic>
              </a:graphicData>
            </a:graphic>
          </wp:inline>
        </w:drawing>
      </w:r>
    </w:p>
    <w:p w14:paraId="0BFBEAF2">
      <w:pPr>
        <w:spacing w:before="62" w:beforeLines="20" w:after="62" w:afterLines="20" w:line="360" w:lineRule="auto"/>
        <w:jc w:val="left"/>
        <w:rPr>
          <w:rFonts w:ascii="Times New Roman" w:hAnsi="Times New Roman" w:eastAsia="宋体" w:cs="Times New Roman"/>
          <w:bCs/>
          <w:sz w:val="24"/>
        </w:rPr>
      </w:pPr>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p>
    <w:p w14:paraId="5A70F471">
      <w:pPr>
        <w:spacing w:after="156" w:afterLines="50" w:line="360" w:lineRule="auto"/>
        <w:ind w:firstLine="420" w:firstLineChars="200"/>
        <w:rPr>
          <w:rFonts w:hint="eastAsia" w:ascii="宋体" w:hAnsi="宋体" w:eastAsia="宋体" w:cs="宋体"/>
          <w:b/>
          <w:bCs/>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4AB3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3A5E8B8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581BE39B">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0F78D2C">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73EF9EFB">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25D96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11718D1">
            <w:pPr>
              <w:spacing w:line="276" w:lineRule="auto"/>
              <w:jc w:val="center"/>
              <w:rPr>
                <w:rFonts w:hint="eastAsia" w:ascii="宋体" w:hAnsi="宋体" w:eastAsia="宋体" w:cs="宋体"/>
                <w:szCs w:val="21"/>
              </w:rPr>
            </w:pPr>
            <w:r>
              <w:rPr>
                <w:rFonts w:hint="eastAsia" w:ascii="宋体" w:hAnsi="宋体" w:eastAsia="宋体" w:cs="宋体"/>
                <w:szCs w:val="21"/>
              </w:rPr>
              <w:t>音乐匠人精神</w:t>
            </w:r>
          </w:p>
        </w:tc>
        <w:tc>
          <w:tcPr>
            <w:tcW w:w="3407" w:type="dxa"/>
            <w:vAlign w:val="center"/>
          </w:tcPr>
          <w:p w14:paraId="7E1FE9AE">
            <w:pPr>
              <w:spacing w:line="276" w:lineRule="auto"/>
              <w:jc w:val="left"/>
              <w:rPr>
                <w:rFonts w:hint="eastAsia" w:ascii="宋体" w:hAnsi="宋体" w:eastAsia="宋体" w:cs="宋体"/>
                <w:szCs w:val="21"/>
              </w:rPr>
            </w:pPr>
            <w:r>
              <w:rPr>
                <w:rFonts w:hint="eastAsia" w:ascii="宋体" w:hAnsi="宋体" w:eastAsia="宋体" w:cs="宋体"/>
                <w:szCs w:val="21"/>
              </w:rPr>
              <w:t>通过阅读相关书籍或讲述国内外音乐家、音乐教育家的故事，进行课堂主题讨论，让学生领会艺术以及艺术教育中所展现的匠人精神</w:t>
            </w:r>
          </w:p>
        </w:tc>
        <w:tc>
          <w:tcPr>
            <w:tcW w:w="740" w:type="dxa"/>
            <w:vAlign w:val="center"/>
          </w:tcPr>
          <w:p w14:paraId="2954BDA9">
            <w:pPr>
              <w:spacing w:line="276" w:lineRule="auto"/>
              <w:jc w:val="center"/>
              <w:rPr>
                <w:rFonts w:hint="eastAsia" w:ascii="宋体" w:hAnsi="宋体" w:eastAsia="宋体" w:cs="宋体"/>
                <w:szCs w:val="21"/>
              </w:rPr>
            </w:pPr>
            <w:r>
              <w:rPr>
                <w:rFonts w:hint="eastAsia" w:ascii="宋体" w:hAnsi="宋体" w:eastAsia="宋体" w:cs="宋体"/>
                <w:szCs w:val="21"/>
              </w:rPr>
              <w:t>读书笔记</w:t>
            </w:r>
          </w:p>
        </w:tc>
        <w:tc>
          <w:tcPr>
            <w:tcW w:w="3160" w:type="dxa"/>
            <w:vAlign w:val="center"/>
          </w:tcPr>
          <w:p w14:paraId="32FCC334">
            <w:pPr>
              <w:spacing w:line="276" w:lineRule="auto"/>
              <w:jc w:val="left"/>
              <w:rPr>
                <w:rFonts w:hint="eastAsia" w:ascii="宋体" w:hAnsi="宋体" w:eastAsia="宋体" w:cs="宋体"/>
                <w:szCs w:val="21"/>
              </w:rPr>
            </w:pPr>
            <w:r>
              <w:rPr>
                <w:rFonts w:hint="eastAsia" w:ascii="宋体" w:hAnsi="宋体" w:eastAsia="宋体" w:cs="宋体"/>
                <w:szCs w:val="21"/>
              </w:rPr>
              <w:t>通过对教育家精神的领会，使学立志成为有理想信念、有道德情操、有扎实学识、有仁爱之心的“四有”好老师。</w:t>
            </w:r>
          </w:p>
        </w:tc>
      </w:tr>
      <w:tr w14:paraId="132C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169FDC2">
            <w:pPr>
              <w:spacing w:line="276" w:lineRule="auto"/>
              <w:jc w:val="center"/>
              <w:rPr>
                <w:rFonts w:hint="eastAsia" w:ascii="宋体" w:hAnsi="宋体" w:eastAsia="宋体" w:cs="宋体"/>
                <w:szCs w:val="21"/>
              </w:rPr>
            </w:pPr>
            <w:r>
              <w:rPr>
                <w:rFonts w:hint="eastAsia" w:ascii="宋体" w:hAnsi="宋体" w:eastAsia="宋体" w:cs="宋体"/>
                <w:szCs w:val="21"/>
              </w:rPr>
              <w:t>最美教师或师德模范进课堂</w:t>
            </w:r>
          </w:p>
        </w:tc>
        <w:tc>
          <w:tcPr>
            <w:tcW w:w="3407" w:type="dxa"/>
            <w:vAlign w:val="center"/>
          </w:tcPr>
          <w:p w14:paraId="7A38B744">
            <w:pPr>
              <w:spacing w:line="276" w:lineRule="auto"/>
              <w:jc w:val="left"/>
              <w:rPr>
                <w:rFonts w:hint="eastAsia" w:ascii="宋体" w:hAnsi="宋体" w:eastAsia="宋体" w:cs="宋体"/>
                <w:szCs w:val="21"/>
              </w:rPr>
            </w:pPr>
            <w:r>
              <w:rPr>
                <w:rFonts w:hint="eastAsia" w:ascii="宋体" w:hAnsi="宋体" w:eastAsia="宋体" w:cs="宋体"/>
                <w:szCs w:val="21"/>
              </w:rPr>
              <w:t>邀请当地获得最美教师、师德模范等荣誉称号的教师做报告，让学生进一步认识基础一线优秀教师的优秀事迹并向他们学习。</w:t>
            </w:r>
          </w:p>
        </w:tc>
        <w:tc>
          <w:tcPr>
            <w:tcW w:w="740" w:type="dxa"/>
            <w:vAlign w:val="center"/>
          </w:tcPr>
          <w:p w14:paraId="6CDBA9F4">
            <w:pPr>
              <w:spacing w:line="276" w:lineRule="auto"/>
              <w:jc w:val="center"/>
              <w:rPr>
                <w:rFonts w:hint="eastAsia" w:ascii="宋体" w:hAnsi="宋体" w:eastAsia="宋体" w:cs="宋体"/>
                <w:szCs w:val="21"/>
              </w:rPr>
            </w:pPr>
            <w:r>
              <w:rPr>
                <w:rFonts w:hint="eastAsia" w:ascii="宋体" w:hAnsi="宋体" w:eastAsia="宋体" w:cs="宋体"/>
                <w:szCs w:val="21"/>
              </w:rPr>
              <w:t>专题报告</w:t>
            </w:r>
          </w:p>
        </w:tc>
        <w:tc>
          <w:tcPr>
            <w:tcW w:w="3160" w:type="dxa"/>
            <w:vAlign w:val="center"/>
          </w:tcPr>
          <w:p w14:paraId="4213F864">
            <w:pPr>
              <w:spacing w:line="276" w:lineRule="auto"/>
              <w:jc w:val="left"/>
              <w:rPr>
                <w:rFonts w:hint="eastAsia" w:ascii="宋体" w:hAnsi="宋体" w:eastAsia="宋体" w:cs="宋体"/>
                <w:szCs w:val="21"/>
              </w:rPr>
            </w:pPr>
            <w:r>
              <w:rPr>
                <w:rFonts w:hint="eastAsia" w:ascii="宋体" w:hAnsi="宋体" w:eastAsia="宋体" w:cs="宋体"/>
                <w:szCs w:val="21"/>
              </w:rPr>
              <w:t>用榜样的力量激发学生爱岗敬业、立志成为卓越教师，为党和国家的发展做出贡献。</w:t>
            </w:r>
          </w:p>
        </w:tc>
      </w:tr>
      <w:tr w14:paraId="51E5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3D85FB9F">
            <w:pPr>
              <w:spacing w:line="276" w:lineRule="auto"/>
              <w:jc w:val="center"/>
              <w:rPr>
                <w:rFonts w:hint="eastAsia" w:ascii="宋体" w:hAnsi="宋体" w:eastAsia="宋体" w:cs="宋体"/>
                <w:szCs w:val="21"/>
              </w:rPr>
            </w:pPr>
            <w:r>
              <w:rPr>
                <w:rFonts w:hint="eastAsia" w:ascii="宋体" w:hAnsi="宋体" w:eastAsia="宋体" w:cs="宋体"/>
                <w:szCs w:val="21"/>
              </w:rPr>
              <w:t>寻找最感动我的音乐作品</w:t>
            </w:r>
          </w:p>
        </w:tc>
        <w:tc>
          <w:tcPr>
            <w:tcW w:w="3407" w:type="dxa"/>
            <w:vAlign w:val="center"/>
          </w:tcPr>
          <w:p w14:paraId="5812D99A">
            <w:pPr>
              <w:spacing w:line="276" w:lineRule="auto"/>
              <w:jc w:val="left"/>
              <w:rPr>
                <w:rFonts w:hint="eastAsia" w:ascii="宋体" w:hAnsi="宋体" w:eastAsia="宋体" w:cs="宋体"/>
                <w:szCs w:val="21"/>
              </w:rPr>
            </w:pPr>
            <w:r>
              <w:rPr>
                <w:rFonts w:hint="eastAsia" w:ascii="宋体" w:hAnsi="宋体" w:eastAsia="宋体" w:cs="宋体"/>
                <w:szCs w:val="21"/>
              </w:rPr>
              <w:t>利用假期，让学生访谈自己听后最感动自己的音乐作品，在调查中加强对艺术所具备的美育教育属性、人文素养属性的任职</w:t>
            </w:r>
          </w:p>
        </w:tc>
        <w:tc>
          <w:tcPr>
            <w:tcW w:w="740" w:type="dxa"/>
            <w:vAlign w:val="center"/>
          </w:tcPr>
          <w:p w14:paraId="6632D6CA">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4766E829">
            <w:pPr>
              <w:spacing w:line="276" w:lineRule="auto"/>
              <w:jc w:val="left"/>
              <w:rPr>
                <w:rFonts w:hint="eastAsia" w:ascii="宋体" w:hAnsi="宋体" w:eastAsia="宋体" w:cs="宋体"/>
                <w:szCs w:val="21"/>
              </w:rPr>
            </w:pPr>
            <w:r>
              <w:rPr>
                <w:rFonts w:hint="eastAsia" w:ascii="宋体" w:hAnsi="宋体" w:eastAsia="宋体" w:cs="宋体"/>
                <w:szCs w:val="21"/>
              </w:rPr>
              <w:t>提高学生对教师职业特性的认识，增强学生从教意愿、责任感、使命感和职业荣耀感， 愿意为党和国家的教育事业奉献终身。</w:t>
            </w:r>
          </w:p>
        </w:tc>
      </w:tr>
      <w:tr w14:paraId="4512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659AB7AA">
            <w:pPr>
              <w:spacing w:line="276" w:lineRule="auto"/>
              <w:jc w:val="center"/>
              <w:rPr>
                <w:rFonts w:hint="eastAsia" w:ascii="宋体" w:hAnsi="宋体" w:eastAsia="宋体" w:cs="宋体"/>
                <w:szCs w:val="21"/>
              </w:rPr>
            </w:pPr>
            <w:r>
              <w:rPr>
                <w:rFonts w:hint="eastAsia" w:ascii="宋体" w:hAnsi="宋体" w:eastAsia="宋体" w:cs="宋体"/>
                <w:szCs w:val="21"/>
              </w:rPr>
              <w:t>师范生从教宣誓</w:t>
            </w:r>
          </w:p>
        </w:tc>
        <w:tc>
          <w:tcPr>
            <w:tcW w:w="3407" w:type="dxa"/>
            <w:vAlign w:val="center"/>
          </w:tcPr>
          <w:p w14:paraId="7B84D350">
            <w:pPr>
              <w:spacing w:line="276" w:lineRule="auto"/>
              <w:jc w:val="left"/>
              <w:rPr>
                <w:rFonts w:hint="eastAsia" w:ascii="宋体" w:hAnsi="宋体" w:eastAsia="宋体" w:cs="宋体"/>
                <w:szCs w:val="21"/>
              </w:rPr>
            </w:pPr>
            <w:r>
              <w:rPr>
                <w:rFonts w:hint="eastAsia" w:ascii="宋体" w:hAnsi="宋体" w:eastAsia="宋体" w:cs="宋体"/>
                <w:szCs w:val="21"/>
              </w:rPr>
              <w:t>学期末，结合课程中的所思、所感、和所得 ，以活动展示的新式进行从教宣誓活动。</w:t>
            </w:r>
          </w:p>
        </w:tc>
        <w:tc>
          <w:tcPr>
            <w:tcW w:w="740" w:type="dxa"/>
            <w:vAlign w:val="center"/>
          </w:tcPr>
          <w:p w14:paraId="31ABAD1C">
            <w:pPr>
              <w:spacing w:line="276" w:lineRule="auto"/>
              <w:jc w:val="center"/>
              <w:rPr>
                <w:rFonts w:hint="eastAsia" w:ascii="宋体" w:hAnsi="宋体" w:eastAsia="宋体" w:cs="宋体"/>
                <w:szCs w:val="21"/>
              </w:rPr>
            </w:pPr>
            <w:r>
              <w:rPr>
                <w:rFonts w:hint="eastAsia" w:ascii="宋体" w:hAnsi="宋体" w:eastAsia="宋体" w:cs="宋体"/>
                <w:szCs w:val="21"/>
              </w:rPr>
              <w:t>第二课堂</w:t>
            </w:r>
          </w:p>
        </w:tc>
        <w:tc>
          <w:tcPr>
            <w:tcW w:w="3160" w:type="dxa"/>
            <w:vAlign w:val="center"/>
          </w:tcPr>
          <w:p w14:paraId="221CC731">
            <w:pPr>
              <w:spacing w:line="276" w:lineRule="auto"/>
              <w:jc w:val="left"/>
              <w:rPr>
                <w:rFonts w:hint="eastAsia" w:ascii="宋体" w:hAnsi="宋体" w:eastAsia="宋体" w:cs="宋体"/>
                <w:szCs w:val="21"/>
              </w:rPr>
            </w:pPr>
            <w:r>
              <w:rPr>
                <w:rFonts w:hint="eastAsia" w:ascii="宋体" w:hAnsi="宋体" w:eastAsia="宋体" w:cs="宋体"/>
                <w:szCs w:val="21"/>
              </w:rPr>
              <w:t>用庄严的意识，增强学生从教的意愿，以及成为人民教师的荣耀感、责任感和使命感。</w:t>
            </w:r>
          </w:p>
        </w:tc>
      </w:tr>
    </w:tbl>
    <w:p w14:paraId="6E5BF2B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587C5BF5">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35E0A670">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065DE7C4">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5B90EBD8">
      <w:pPr>
        <w:spacing w:line="312" w:lineRule="auto"/>
        <w:jc w:val="left"/>
        <w:rPr>
          <w:rFonts w:hint="eastAsia" w:ascii="宋体" w:hAnsi="宋体" w:eastAsia="宋体"/>
          <w:szCs w:val="21"/>
        </w:rPr>
      </w:pPr>
      <w:r>
        <w:rPr>
          <w:rFonts w:ascii="宋体" w:hAnsi="宋体" w:eastAsia="宋体"/>
          <w:szCs w:val="21"/>
        </w:rPr>
        <w:t>《</w:t>
      </w:r>
      <w:r>
        <w:rPr>
          <w:rFonts w:hint="eastAsia" w:ascii="宋体" w:hAnsi="宋体" w:eastAsia="宋体"/>
          <w:szCs w:val="21"/>
        </w:rPr>
        <w:t>音乐基础理论与欣赏</w:t>
      </w:r>
      <w:r>
        <w:rPr>
          <w:rFonts w:ascii="宋体" w:hAnsi="宋体" w:eastAsia="宋体"/>
          <w:szCs w:val="21"/>
        </w:rPr>
        <w:t>》，</w:t>
      </w:r>
      <w:r>
        <w:rPr>
          <w:rFonts w:hint="eastAsia" w:ascii="宋体" w:hAnsi="宋体" w:eastAsia="宋体"/>
          <w:szCs w:val="21"/>
        </w:rPr>
        <w:t>于芳、蔡霞著</w:t>
      </w:r>
      <w:r>
        <w:rPr>
          <w:rFonts w:ascii="宋体" w:hAnsi="宋体" w:eastAsia="宋体"/>
          <w:szCs w:val="21"/>
        </w:rPr>
        <w:t>，</w:t>
      </w:r>
      <w:r>
        <w:rPr>
          <w:rFonts w:hint="eastAsia" w:ascii="宋体" w:hAnsi="宋体" w:eastAsia="宋体"/>
          <w:szCs w:val="21"/>
        </w:rPr>
        <w:t>北京师范大学</w:t>
      </w:r>
      <w:r>
        <w:rPr>
          <w:rFonts w:ascii="宋体" w:hAnsi="宋体" w:eastAsia="宋体"/>
          <w:szCs w:val="21"/>
        </w:rPr>
        <w:t>出版社</w:t>
      </w:r>
      <w:r>
        <w:rPr>
          <w:rFonts w:hint="eastAsia" w:ascii="宋体" w:hAnsi="宋体" w:eastAsia="宋体"/>
          <w:szCs w:val="21"/>
        </w:rPr>
        <w:t>。</w:t>
      </w:r>
    </w:p>
    <w:p w14:paraId="61B4ACA9">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B50BE83">
      <w:pPr>
        <w:spacing w:line="312"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1.王道俊、王汉澜</w:t>
      </w:r>
      <w:r>
        <w:rPr>
          <w:rFonts w:ascii="Times New Roman" w:hAnsi="Times New Roman" w:eastAsia="宋体" w:cs="Times New Roman"/>
          <w:bCs/>
          <w:szCs w:val="21"/>
        </w:rPr>
        <w:t>. 教育学. 北京：人民教育出版社，1989.</w:t>
      </w:r>
    </w:p>
    <w:p w14:paraId="13A98FBE">
      <w:pPr>
        <w:spacing w:line="312"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2.黄济、王策三</w:t>
      </w:r>
      <w:r>
        <w:rPr>
          <w:rFonts w:ascii="Times New Roman" w:hAnsi="Times New Roman" w:eastAsia="宋体" w:cs="Times New Roman"/>
          <w:bCs/>
          <w:szCs w:val="21"/>
        </w:rPr>
        <w:t>. 现代教育论. 北京人民教育出版社，2004.</w:t>
      </w:r>
    </w:p>
    <w:p w14:paraId="6AFC3214">
      <w:pPr>
        <w:spacing w:line="312"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3.贾馥茗. 教育的本质：什么是真正的教育</w:t>
      </w:r>
      <w:r>
        <w:rPr>
          <w:rFonts w:ascii="Times New Roman" w:hAnsi="Times New Roman" w:eastAsia="宋体" w:cs="Times New Roman"/>
          <w:bCs/>
          <w:szCs w:val="21"/>
        </w:rPr>
        <w:t>. 北京：世界图书出版公司北京公司，2006</w:t>
      </w:r>
      <w:r>
        <w:rPr>
          <w:rFonts w:hint="eastAsia" w:ascii="Times New Roman" w:hAnsi="Times New Roman" w:eastAsia="宋体" w:cs="Times New Roman"/>
          <w:bCs/>
          <w:szCs w:val="21"/>
        </w:rPr>
        <w:t>.</w:t>
      </w:r>
    </w:p>
    <w:p w14:paraId="681A2319">
      <w:pPr>
        <w:spacing w:line="312" w:lineRule="auto"/>
        <w:ind w:firstLine="420" w:firstLineChars="200"/>
      </w:pPr>
      <w:r>
        <w:rPr>
          <w:rFonts w:hint="eastAsia" w:ascii="Times New Roman" w:hAnsi="Times New Roman" w:eastAsia="宋体" w:cs="Times New Roman"/>
          <w:bCs/>
          <w:szCs w:val="21"/>
        </w:rPr>
        <w:t>4.胡郁青、赵玲. 中国音乐史</w:t>
      </w:r>
      <w:r>
        <w:rPr>
          <w:rFonts w:ascii="Times New Roman" w:hAnsi="Times New Roman" w:eastAsia="宋体" w:cs="Times New Roman"/>
          <w:bCs/>
          <w:szCs w:val="21"/>
        </w:rPr>
        <w:t xml:space="preserve"> </w:t>
      </w:r>
      <w:r>
        <w:rPr>
          <w:rFonts w:hint="eastAsia" w:ascii="Times New Roman" w:hAnsi="Times New Roman" w:eastAsia="宋体" w:cs="Times New Roman"/>
          <w:bCs/>
          <w:szCs w:val="21"/>
        </w:rPr>
        <w:t>西南大学出版社，2022年.</w:t>
      </w:r>
    </w:p>
    <w:p w14:paraId="4DC15D68">
      <w:pPr>
        <w:spacing w:line="312" w:lineRule="auto"/>
        <w:jc w:val="right"/>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 xml:space="preserve"> 执 笔 人：姚雨豪</w:t>
      </w:r>
    </w:p>
    <w:p w14:paraId="0E294B22">
      <w:pPr>
        <w:wordWrap w:val="0"/>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定 人：王  健</w:t>
      </w:r>
    </w:p>
    <w:p w14:paraId="6133FD7D">
      <w:pPr>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22908FB6">
      <w:pPr>
        <w:spacing w:line="312"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批准时间：2025年7月1日</w:t>
      </w:r>
    </w:p>
    <w:p w14:paraId="1EE5F0CB">
      <w:pPr>
        <w:rPr>
          <w:rFonts w:hint="eastAsia" w:ascii="宋体" w:hAnsi="宋体" w:eastAsia="等线" w:cs="Times New Roman"/>
          <w:kern w:val="0"/>
          <w:sz w:val="24"/>
          <w:szCs w:val="21"/>
        </w:rPr>
      </w:pPr>
      <w:r>
        <w:rPr>
          <w:rFonts w:hint="eastAsia" w:ascii="宋体" w:hAnsi="宋体" w:eastAsia="等线" w:cs="Times New Roman"/>
          <w:kern w:val="0"/>
          <w:sz w:val="24"/>
          <w:szCs w:val="21"/>
        </w:rPr>
        <w:br w:type="page"/>
      </w:r>
    </w:p>
    <w:p w14:paraId="76534DA5">
      <w:pPr>
        <w:spacing w:line="360" w:lineRule="auto"/>
        <w:jc w:val="center"/>
        <w:outlineLvl w:val="0"/>
        <w:rPr>
          <w:rFonts w:ascii="Times New Roman" w:hAnsi="Times New Roman" w:eastAsia="宋体" w:cs="Times New Roman"/>
          <w:b/>
          <w:sz w:val="44"/>
          <w:szCs w:val="44"/>
        </w:rPr>
      </w:pPr>
      <w:bookmarkStart w:id="1500" w:name="_Toc11513"/>
      <w:bookmarkStart w:id="1501" w:name="_Toc28940"/>
      <w:bookmarkStart w:id="1502" w:name="_Toc21940"/>
      <w:bookmarkStart w:id="1503" w:name="_Toc10091"/>
      <w:r>
        <w:rPr>
          <w:rFonts w:hint="eastAsia" w:ascii="Times New Roman" w:hAnsi="Times New Roman" w:eastAsia="宋体" w:cs="Times New Roman"/>
          <w:b/>
          <w:sz w:val="44"/>
          <w:szCs w:val="44"/>
        </w:rPr>
        <w:t>《儿童戏剧》课程与教学大纲</w:t>
      </w:r>
      <w:bookmarkEnd w:id="1500"/>
      <w:bookmarkEnd w:id="1501"/>
      <w:bookmarkEnd w:id="1502"/>
      <w:bookmarkEnd w:id="1503"/>
    </w:p>
    <w:p w14:paraId="74D6B218">
      <w:pPr>
        <w:spacing w:line="360" w:lineRule="auto"/>
        <w:jc w:val="center"/>
        <w:rPr>
          <w:rFonts w:ascii="Times New Roman" w:hAnsi="Times New Roman" w:eastAsia="宋体" w:cs="Times New Roman"/>
          <w:b/>
          <w:bCs/>
          <w:sz w:val="28"/>
          <w:szCs w:val="28"/>
        </w:rPr>
      </w:pPr>
      <w:bookmarkStart w:id="1504" w:name="_Toc26258"/>
      <w:bookmarkStart w:id="1505" w:name="_Toc13310"/>
      <w:bookmarkStart w:id="1506" w:name="_Toc28856"/>
      <w:bookmarkStart w:id="1507" w:name="_Toc5340"/>
      <w:bookmarkStart w:id="1508" w:name="_Toc29238"/>
      <w:bookmarkStart w:id="1509" w:name="_Toc7199"/>
      <w:bookmarkStart w:id="1510" w:name="_Toc22923"/>
      <w:r>
        <w:rPr>
          <w:rFonts w:hint="eastAsia" w:ascii="Times New Roman" w:hAnsi="Times New Roman" w:eastAsia="宋体" w:cs="Times New Roman"/>
          <w:b/>
          <w:bCs/>
          <w:sz w:val="28"/>
          <w:szCs w:val="28"/>
        </w:rPr>
        <w:t>（Children's Drama）</w:t>
      </w:r>
      <w:bookmarkEnd w:id="1504"/>
      <w:bookmarkEnd w:id="1505"/>
      <w:bookmarkEnd w:id="1506"/>
      <w:bookmarkEnd w:id="1507"/>
      <w:bookmarkEnd w:id="1508"/>
      <w:bookmarkEnd w:id="1509"/>
      <w:bookmarkEnd w:id="1510"/>
    </w:p>
    <w:p w14:paraId="6B7B25FF">
      <w:pPr>
        <w:spacing w:line="360" w:lineRule="auto"/>
        <w:jc w:val="center"/>
        <w:rPr>
          <w:rFonts w:ascii="Times New Roman" w:hAnsi="Times New Roman" w:eastAsia="宋体" w:cs="Times New Roman"/>
          <w:bCs/>
          <w:szCs w:val="21"/>
        </w:rPr>
      </w:pPr>
    </w:p>
    <w:p w14:paraId="6E6D9B6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课程名称：儿童戏剧</w:t>
      </w:r>
      <w:r>
        <w:rPr>
          <w:rFonts w:ascii="Times New Roman" w:hAnsi="Times New Roman" w:eastAsia="宋体" w:cs="Times New Roman"/>
          <w:b/>
          <w:sz w:val="24"/>
        </w:rPr>
        <w:t xml:space="preserve"> </w:t>
      </w:r>
    </w:p>
    <w:p w14:paraId="7DEF8A5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课程代码：0705067</w:t>
      </w:r>
    </w:p>
    <w:p w14:paraId="699A45C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w:t>
      </w:r>
      <w:r>
        <w:rPr>
          <w:rFonts w:ascii="宋体" w:hAnsi="宋体" w:eastAsia="宋体" w:cs="宋体"/>
          <w:kern w:val="0"/>
          <w:sz w:val="24"/>
        </w:rPr>
        <w:t>3</w:t>
      </w:r>
    </w:p>
    <w:p w14:paraId="5E73C2F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w:t>
      </w:r>
      <w:r>
        <w:rPr>
          <w:rFonts w:ascii="宋体" w:hAnsi="宋体" w:eastAsia="宋体" w:cs="宋体"/>
          <w:kern w:val="0"/>
          <w:sz w:val="24"/>
        </w:rPr>
        <w:t>48</w:t>
      </w:r>
      <w:r>
        <w:rPr>
          <w:rFonts w:hint="eastAsia" w:ascii="宋体" w:hAnsi="宋体" w:eastAsia="宋体" w:cs="宋体"/>
          <w:kern w:val="0"/>
          <w:sz w:val="24"/>
        </w:rPr>
        <w:t>（其中，讲授16学时，课内实践</w:t>
      </w:r>
      <w:r>
        <w:rPr>
          <w:rFonts w:ascii="宋体" w:hAnsi="宋体" w:eastAsia="宋体" w:cs="宋体"/>
          <w:kern w:val="0"/>
          <w:sz w:val="24"/>
        </w:rPr>
        <w:t>32</w:t>
      </w:r>
      <w:r>
        <w:rPr>
          <w:rFonts w:hint="eastAsia" w:ascii="宋体" w:hAnsi="宋体" w:eastAsia="宋体" w:cs="宋体"/>
          <w:kern w:val="0"/>
          <w:sz w:val="24"/>
        </w:rPr>
        <w:t>学时）</w:t>
      </w:r>
    </w:p>
    <w:p w14:paraId="1A0BC8F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w:t>
      </w:r>
      <w:r>
        <w:rPr>
          <w:rFonts w:hint="eastAsia" w:ascii="宋体" w:hAnsi="宋体" w:eastAsia="宋体" w:cs="宋体"/>
          <w:bCs/>
          <w:kern w:val="0"/>
          <w:sz w:val="24"/>
        </w:rPr>
        <w:t>儿童文学</w:t>
      </w:r>
    </w:p>
    <w:p w14:paraId="51286A0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1678ED15">
      <w:pPr>
        <w:spacing w:before="62" w:beforeLines="20" w:after="62" w:afterLines="20" w:line="360" w:lineRule="auto"/>
        <w:jc w:val="left"/>
        <w:rPr>
          <w:rFonts w:ascii="Times New Roman" w:hAnsi="Times New Roman" w:eastAsia="宋体" w:cs="Times New Roman"/>
          <w:b/>
          <w:sz w:val="24"/>
        </w:rPr>
      </w:pPr>
      <w:bookmarkStart w:id="1511" w:name="_Toc7454"/>
      <w:bookmarkStart w:id="1512" w:name="_Toc9519"/>
      <w:bookmarkStart w:id="1513" w:name="_Toc8139"/>
      <w:bookmarkStart w:id="1514" w:name="_Toc3767"/>
      <w:bookmarkStart w:id="1515" w:name="_Toc32032"/>
      <w:bookmarkStart w:id="1516" w:name="_Toc21420"/>
      <w:bookmarkStart w:id="1517" w:name="_Toc13436"/>
      <w:r>
        <w:rPr>
          <w:rFonts w:hint="eastAsia" w:ascii="Times New Roman" w:hAnsi="Times New Roman" w:eastAsia="宋体" w:cs="Times New Roman"/>
          <w:b/>
          <w:sz w:val="24"/>
        </w:rPr>
        <w:t>一、课程简介</w:t>
      </w:r>
      <w:bookmarkEnd w:id="1511"/>
      <w:bookmarkEnd w:id="1512"/>
      <w:bookmarkEnd w:id="1513"/>
      <w:bookmarkEnd w:id="1514"/>
      <w:bookmarkEnd w:id="1515"/>
      <w:bookmarkEnd w:id="1516"/>
      <w:bookmarkEnd w:id="1517"/>
    </w:p>
    <w:p w14:paraId="382C043D">
      <w:pPr>
        <w:spacing w:line="360" w:lineRule="auto"/>
        <w:ind w:firstLine="480" w:firstLineChars="200"/>
        <w:jc w:val="left"/>
        <w:rPr>
          <w:rFonts w:hint="eastAsia" w:ascii="宋体" w:hAnsi="宋体" w:eastAsia="宋体" w:cs="Times New Roman"/>
          <w:b/>
          <w:szCs w:val="21"/>
        </w:rPr>
      </w:pPr>
      <w:r>
        <w:rPr>
          <w:rFonts w:hint="eastAsia" w:ascii="Times New Roman" w:hAnsi="Times New Roman" w:eastAsia="宋体" w:cs="Times New Roman"/>
          <w:sz w:val="24"/>
        </w:rPr>
        <w:t>本课程是为小学教育专业（文）开设专业必修课。该课程主要使学生充分认识儿童剧在儿童成长中的重要作用，提高文学素养；了解和掌握儿童剧创编与表演的基本理论，掌握儿童剧、情景剧创编和排演的一般方法和技能；提高艺术想象力与创造力。</w:t>
      </w:r>
    </w:p>
    <w:p w14:paraId="0BAB6830">
      <w:pPr>
        <w:spacing w:before="62" w:beforeLines="20" w:after="62" w:afterLines="20" w:line="360" w:lineRule="auto"/>
        <w:jc w:val="left"/>
        <w:rPr>
          <w:rFonts w:ascii="Times New Roman" w:hAnsi="Times New Roman" w:eastAsia="宋体" w:cs="Times New Roman"/>
          <w:b/>
          <w:sz w:val="24"/>
        </w:rPr>
      </w:pPr>
      <w:bookmarkStart w:id="1518" w:name="_Toc9406"/>
      <w:bookmarkStart w:id="1519" w:name="_Toc4838"/>
      <w:bookmarkStart w:id="1520" w:name="_Toc32334"/>
      <w:bookmarkStart w:id="1521" w:name="_Toc13133"/>
      <w:bookmarkStart w:id="1522" w:name="_Toc22364"/>
      <w:bookmarkStart w:id="1523" w:name="_Toc10595"/>
      <w:bookmarkStart w:id="1524" w:name="_Toc124"/>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1518"/>
      <w:bookmarkEnd w:id="1519"/>
      <w:bookmarkEnd w:id="1520"/>
      <w:bookmarkEnd w:id="1521"/>
      <w:bookmarkEnd w:id="1522"/>
      <w:bookmarkEnd w:id="1523"/>
      <w:bookmarkEnd w:id="1524"/>
    </w:p>
    <w:p w14:paraId="49C8AC9D">
      <w:pPr>
        <w:spacing w:line="360" w:lineRule="auto"/>
        <w:ind w:firstLine="422" w:firstLineChars="200"/>
        <w:outlineLvl w:val="1"/>
        <w:rPr>
          <w:rFonts w:hint="eastAsia" w:ascii="宋体" w:hAnsi="宋体" w:eastAsia="宋体" w:cs="Times New Roman"/>
          <w:b/>
          <w:szCs w:val="21"/>
        </w:rPr>
      </w:pPr>
      <w:bookmarkStart w:id="1525" w:name="_Toc3903"/>
      <w:r>
        <w:rPr>
          <w:rFonts w:hint="eastAsia" w:ascii="宋体" w:hAnsi="宋体" w:eastAsia="宋体" w:cs="Times New Roman"/>
          <w:b/>
          <w:szCs w:val="21"/>
        </w:rPr>
        <w:t>（一）课程具体目标</w:t>
      </w:r>
      <w:bookmarkEnd w:id="1525"/>
    </w:p>
    <w:p w14:paraId="3292DF33">
      <w:pPr>
        <w:adjustRightInd w:val="0"/>
        <w:snapToGrid w:val="0"/>
        <w:spacing w:line="360" w:lineRule="auto"/>
        <w:ind w:firstLine="420" w:firstLineChars="200"/>
        <w:jc w:val="left"/>
        <w:rPr>
          <w:rFonts w:hint="eastAsia" w:ascii="宋体" w:hAnsi="宋体" w:eastAsia="宋体" w:cs="宋体"/>
          <w:szCs w:val="21"/>
        </w:rPr>
      </w:pPr>
      <w:bookmarkStart w:id="1526" w:name="OLE_LINK22"/>
      <w:r>
        <w:rPr>
          <w:rFonts w:hint="eastAsia" w:ascii="宋体" w:hAnsi="宋体" w:eastAsia="宋体" w:cs="宋体"/>
          <w:szCs w:val="21"/>
        </w:rPr>
        <w:t>目标1. 了解国内外儿童戏剧教育的先进理念;掌握3-12岁儿童戏剧教育教学过程中需要的戏剧元素、戏剧基础知识以及组织戏剧活动的基本原则与方式方法。</w:t>
      </w:r>
    </w:p>
    <w:p w14:paraId="47896B0A">
      <w:pPr>
        <w:adjustRightInd w:val="0"/>
        <w:snapToGrid w:val="0"/>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目标2. 具备良好的自我表现能力和审美创造能力，能够独立编、导、演儿童戏剧；能正确将戏剧教育习式运用到儿童戏剧教育活动中，能自主设计戏剧教育活动。</w:t>
      </w:r>
    </w:p>
    <w:p w14:paraId="7DDC2B5B">
      <w:pPr>
        <w:spacing w:line="360" w:lineRule="auto"/>
        <w:ind w:firstLine="420" w:firstLineChars="200"/>
        <w:jc w:val="left"/>
        <w:rPr>
          <w:rFonts w:hint="eastAsia" w:ascii="宋体" w:hAnsi="宋体" w:eastAsia="宋体" w:cs="宋体"/>
          <w:szCs w:val="21"/>
        </w:rPr>
      </w:pPr>
      <w:r>
        <w:rPr>
          <w:rFonts w:hint="eastAsia" w:ascii="宋体" w:hAnsi="宋体" w:eastAsia="宋体" w:cs="宋体"/>
          <w:szCs w:val="21"/>
        </w:rPr>
        <w:t>目标3. 具有团队协作精神，掌握沟通合作技能，具有小组互助和合作学习的意识与能力。积累儿童剧相关的排练与表演经验，以小组为单位，排演相关的儿童剧，在大学、小学等实践基地进行汇报演出。</w:t>
      </w:r>
    </w:p>
    <w:bookmarkEnd w:id="1526"/>
    <w:p w14:paraId="02784244">
      <w:pPr>
        <w:spacing w:line="360" w:lineRule="auto"/>
        <w:ind w:firstLine="422" w:firstLineChars="200"/>
        <w:jc w:val="left"/>
        <w:outlineLvl w:val="1"/>
        <w:rPr>
          <w:rFonts w:hint="eastAsia" w:ascii="楷体" w:hAnsi="楷体" w:eastAsia="楷体" w:cs="楷体"/>
          <w:b/>
          <w:bCs/>
          <w:szCs w:val="21"/>
        </w:rPr>
      </w:pPr>
      <w:bookmarkStart w:id="1527" w:name="_Toc4913"/>
      <w:r>
        <w:rPr>
          <w:rFonts w:hint="eastAsia" w:ascii="Times New Roman" w:hAnsi="Times New Roman" w:eastAsia="宋体" w:cs="Times New Roman"/>
          <w:b/>
          <w:bCs/>
          <w:szCs w:val="21"/>
        </w:rPr>
        <w:t>（二）课程目标及其对毕业要求指标点的支撑</w:t>
      </w:r>
      <w:bookmarkEnd w:id="1527"/>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FCA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A92D616">
            <w:pPr>
              <w:spacing w:line="360" w:lineRule="auto"/>
              <w:jc w:val="center"/>
              <w:rPr>
                <w:rFonts w:ascii="Times New Roman" w:hAnsi="Times New Roman" w:eastAsia="宋体" w:cs="Times New Roman"/>
                <w:b/>
                <w:bCs/>
                <w:szCs w:val="21"/>
              </w:rPr>
            </w:pPr>
            <w:bookmarkStart w:id="1528" w:name="OLE_LINK21"/>
            <w:r>
              <w:rPr>
                <w:rFonts w:hint="eastAsia" w:ascii="Times New Roman" w:hAnsi="Times New Roman" w:eastAsia="宋体" w:cs="Times New Roman"/>
                <w:b/>
                <w:bCs/>
                <w:szCs w:val="21"/>
              </w:rPr>
              <w:t>毕业要求</w:t>
            </w:r>
          </w:p>
        </w:tc>
        <w:tc>
          <w:tcPr>
            <w:tcW w:w="5688" w:type="dxa"/>
            <w:vAlign w:val="center"/>
          </w:tcPr>
          <w:p w14:paraId="4E2BEA5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5CA5FC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B4F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8F654D6">
            <w:pPr>
              <w:autoSpaceDE w:val="0"/>
              <w:autoSpaceDN w:val="0"/>
              <w:rPr>
                <w:rFonts w:hint="eastAsia" w:asciiTheme="minorEastAsia" w:hAnsiTheme="minorEastAsia" w:cstheme="minorEastAsia"/>
                <w:sz w:val="20"/>
                <w:szCs w:val="20"/>
              </w:rPr>
            </w:pPr>
            <w:r>
              <w:rPr>
                <w:rFonts w:hint="eastAsia" w:asciiTheme="minorEastAsia" w:hAnsiTheme="minorEastAsia" w:cstheme="minorEastAsia"/>
                <w:b/>
                <w:bCs/>
                <w:kern w:val="0"/>
                <w:sz w:val="20"/>
                <w:szCs w:val="20"/>
              </w:rPr>
              <w:t>毕业要求6：</w:t>
            </w:r>
            <w:r>
              <w:rPr>
                <w:rFonts w:hint="eastAsia" w:asciiTheme="minorEastAsia" w:hAnsiTheme="minorEastAsia" w:cstheme="minorEastAsia"/>
                <w:b/>
                <w:bCs/>
                <w:sz w:val="20"/>
                <w:szCs w:val="20"/>
              </w:rPr>
              <w:t>综合育人</w:t>
            </w:r>
          </w:p>
        </w:tc>
        <w:tc>
          <w:tcPr>
            <w:tcW w:w="5688" w:type="dxa"/>
            <w:vAlign w:val="center"/>
          </w:tcPr>
          <w:p w14:paraId="2D2161F2">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sz w:val="20"/>
                <w:szCs w:val="20"/>
              </w:rPr>
              <w:t>指标点6-1</w:t>
            </w:r>
            <w:r>
              <w:rPr>
                <w:rFonts w:hint="eastAsia" w:asciiTheme="minorEastAsia" w:hAnsiTheme="minorEastAsia" w:cstheme="minorEastAsia"/>
                <w:sz w:val="20"/>
                <w:szCs w:val="20"/>
              </w:rPr>
              <w:t>：【遵循身心规律】了解不同年龄以及有特殊需要的小学生的身心发展特点和规律、不同年龄小学生学习的特点，掌握小学生良好行为习惯养成的知识。</w:t>
            </w:r>
          </w:p>
          <w:p w14:paraId="74B75056">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sz w:val="20"/>
                <w:szCs w:val="20"/>
              </w:rPr>
              <w:t>指标点6-3</w:t>
            </w:r>
            <w:r>
              <w:rPr>
                <w:rFonts w:hint="eastAsia" w:asciiTheme="minorEastAsia" w:hAnsiTheme="minorEastAsia" w:cstheme="minorEastAsia"/>
                <w:sz w:val="20"/>
                <w:szCs w:val="20"/>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3791E1C3">
            <w:pPr>
              <w:spacing w:line="276" w:lineRule="auto"/>
              <w:jc w:val="left"/>
              <w:rPr>
                <w:rFonts w:hint="eastAsia" w:asciiTheme="minorEastAsia" w:hAnsiTheme="minorEastAsia" w:cstheme="minorEastAsia"/>
                <w:bCs/>
                <w:sz w:val="20"/>
                <w:szCs w:val="20"/>
              </w:rPr>
            </w:pPr>
            <w:r>
              <w:rPr>
                <w:rFonts w:hint="eastAsia" w:asciiTheme="minorEastAsia" w:hAnsiTheme="minorEastAsia" w:cstheme="minorEastAsia"/>
                <w:bCs/>
                <w:sz w:val="20"/>
                <w:szCs w:val="20"/>
              </w:rPr>
              <w:t>课程目标1</w:t>
            </w:r>
          </w:p>
          <w:p w14:paraId="728ECCAE">
            <w:pPr>
              <w:spacing w:line="276" w:lineRule="auto"/>
              <w:jc w:val="left"/>
              <w:rPr>
                <w:rFonts w:hint="eastAsia" w:asciiTheme="minorEastAsia" w:hAnsiTheme="minorEastAsia" w:cstheme="minorEastAsia"/>
                <w:bCs/>
                <w:sz w:val="20"/>
                <w:szCs w:val="20"/>
              </w:rPr>
            </w:pPr>
            <w:r>
              <w:rPr>
                <w:rFonts w:hint="eastAsia" w:asciiTheme="minorEastAsia" w:hAnsiTheme="minorEastAsia" w:cstheme="minorEastAsia"/>
                <w:bCs/>
                <w:sz w:val="20"/>
                <w:szCs w:val="20"/>
              </w:rPr>
              <w:t>课程目标2</w:t>
            </w:r>
          </w:p>
        </w:tc>
      </w:tr>
      <w:tr w14:paraId="473E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51A8703">
            <w:pPr>
              <w:autoSpaceDE w:val="0"/>
              <w:autoSpaceDN w:val="0"/>
              <w:rPr>
                <w:rFonts w:hint="eastAsia" w:asciiTheme="minorEastAsia" w:hAnsiTheme="minorEastAsia" w:cstheme="minorEastAsia"/>
                <w:sz w:val="20"/>
                <w:szCs w:val="20"/>
              </w:rPr>
            </w:pPr>
            <w:r>
              <w:rPr>
                <w:rFonts w:hint="eastAsia" w:asciiTheme="minorEastAsia" w:hAnsiTheme="minorEastAsia" w:cstheme="minorEastAsia"/>
                <w:b/>
                <w:bCs/>
                <w:kern w:val="0"/>
                <w:sz w:val="20"/>
                <w:szCs w:val="20"/>
              </w:rPr>
              <w:t>毕业要求8：</w:t>
            </w:r>
            <w:r>
              <w:rPr>
                <w:rFonts w:hint="eastAsia" w:asciiTheme="minorEastAsia" w:hAnsiTheme="minorEastAsia" w:cstheme="minorEastAsia"/>
                <w:b/>
                <w:bCs/>
                <w:sz w:val="20"/>
                <w:szCs w:val="20"/>
              </w:rPr>
              <w:t>沟通合作</w:t>
            </w:r>
          </w:p>
        </w:tc>
        <w:tc>
          <w:tcPr>
            <w:tcW w:w="5688" w:type="dxa"/>
            <w:vAlign w:val="center"/>
          </w:tcPr>
          <w:p w14:paraId="75BA71B4">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b/>
                <w:kern w:val="0"/>
                <w:sz w:val="20"/>
                <w:szCs w:val="20"/>
              </w:rPr>
              <w:t>指标点8-1</w:t>
            </w:r>
            <w:r>
              <w:rPr>
                <w:rFonts w:hint="eastAsia" w:asciiTheme="minorEastAsia" w:hAnsiTheme="minorEastAsia" w:cstheme="minorEastAsia"/>
                <w:sz w:val="20"/>
                <w:szCs w:val="20"/>
              </w:rPr>
              <w:t>：【善于团队合作】理解学习共同体的本质和价值，掌握团队协作的基本策略，在课堂学习与教育实践中获得合作学习体验，形成团队协作精神。</w:t>
            </w:r>
          </w:p>
        </w:tc>
        <w:tc>
          <w:tcPr>
            <w:tcW w:w="1191" w:type="dxa"/>
            <w:vAlign w:val="center"/>
          </w:tcPr>
          <w:p w14:paraId="0CA8EAA6">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课程目标3</w:t>
            </w:r>
          </w:p>
        </w:tc>
      </w:tr>
      <w:bookmarkEnd w:id="1528"/>
    </w:tbl>
    <w:p w14:paraId="473E68BE">
      <w:pPr>
        <w:spacing w:before="156" w:beforeLines="50" w:line="360" w:lineRule="auto"/>
        <w:ind w:firstLine="482" w:firstLineChars="200"/>
        <w:jc w:val="left"/>
        <w:outlineLvl w:val="1"/>
        <w:rPr>
          <w:rFonts w:hint="eastAsia" w:ascii="宋体" w:hAnsi="宋体" w:eastAsia="宋体" w:cs="Times New Roman"/>
          <w:b/>
          <w:sz w:val="24"/>
        </w:rPr>
      </w:pPr>
      <w:bookmarkStart w:id="1529" w:name="_Toc26432"/>
      <w:r>
        <w:rPr>
          <w:rFonts w:hint="eastAsia" w:ascii="宋体" w:hAnsi="宋体" w:eastAsia="宋体" w:cs="Times New Roman"/>
          <w:b/>
          <w:sz w:val="24"/>
        </w:rPr>
        <w:t>（三）课程思政目标</w:t>
      </w:r>
      <w:bookmarkEnd w:id="1529"/>
    </w:p>
    <w:p w14:paraId="404514B8">
      <w:pPr>
        <w:spacing w:line="360" w:lineRule="auto"/>
        <w:ind w:firstLine="420" w:firstLineChars="200"/>
        <w:jc w:val="left"/>
        <w:outlineLvl w:val="2"/>
        <w:rPr>
          <w:rFonts w:hint="eastAsia" w:ascii="宋体" w:hAnsi="宋体" w:eastAsia="宋体" w:cs="Times New Roman"/>
          <w:szCs w:val="21"/>
        </w:rPr>
      </w:pPr>
      <w:bookmarkStart w:id="1530" w:name="_Toc25426"/>
      <w:r>
        <w:rPr>
          <w:rFonts w:hint="eastAsia" w:ascii="宋体" w:hAnsi="宋体" w:eastAsia="宋体" w:cs="Times New Roman"/>
          <w:szCs w:val="21"/>
        </w:rPr>
        <w:t>1.树立正确的价值观，增强国家意识和民族认同感</w:t>
      </w:r>
      <w:bookmarkEnd w:id="1530"/>
    </w:p>
    <w:p w14:paraId="3538AC90">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通过儿童戏剧课程中的故事、角色和情节，引导学生认识和理解社会现象，形成积极向上的生活态度和价值观念；在戏剧课程中融入爱国主义教育元素，如历史故事、英雄人物等，让学生感受中华民族的伟大精神和优秀传统，增强对国家的热爱和归属感。</w:t>
      </w:r>
    </w:p>
    <w:p w14:paraId="5A40E25C">
      <w:pPr>
        <w:spacing w:line="360" w:lineRule="auto"/>
        <w:ind w:left="420" w:leftChars="200"/>
        <w:jc w:val="left"/>
        <w:outlineLvl w:val="2"/>
        <w:rPr>
          <w:rFonts w:hint="eastAsia" w:ascii="宋体" w:hAnsi="宋体" w:eastAsia="宋体" w:cs="Times New Roman"/>
          <w:szCs w:val="21"/>
        </w:rPr>
      </w:pPr>
      <w:bookmarkStart w:id="1531" w:name="_Toc32396"/>
      <w:r>
        <w:rPr>
          <w:rFonts w:hint="eastAsia" w:ascii="宋体" w:hAnsi="宋体" w:eastAsia="宋体" w:cs="Times New Roman"/>
          <w:szCs w:val="21"/>
        </w:rPr>
        <w:t>2.培养道德品质，提升道德判断力，增强社会责任感</w:t>
      </w:r>
      <w:bookmarkEnd w:id="1531"/>
    </w:p>
    <w:p w14:paraId="0638B94B">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通过戏剧中的道德故事和角色塑造，引导学生学习并践行诚信、友善、勤劳、勇敢等道德品质；在戏剧课程中设置与现实生活相关的情境和任务，让学生体验并理解社会责任的重要性，学会关心他人、服务社会。</w:t>
      </w:r>
    </w:p>
    <w:p w14:paraId="49292BDE">
      <w:pPr>
        <w:spacing w:line="360" w:lineRule="auto"/>
        <w:ind w:left="420" w:leftChars="200"/>
        <w:jc w:val="left"/>
        <w:outlineLvl w:val="2"/>
        <w:rPr>
          <w:rFonts w:hint="eastAsia" w:ascii="宋体" w:hAnsi="宋体" w:eastAsia="宋体" w:cs="Times New Roman"/>
          <w:szCs w:val="21"/>
        </w:rPr>
      </w:pPr>
      <w:bookmarkStart w:id="1532" w:name="_Toc22015"/>
      <w:r>
        <w:rPr>
          <w:rFonts w:hint="eastAsia" w:ascii="宋体" w:hAnsi="宋体" w:eastAsia="宋体" w:cs="Times New Roman"/>
          <w:szCs w:val="21"/>
        </w:rPr>
        <w:t>3.培养创新思维和实践能力，提升文学素养和审美能力</w:t>
      </w:r>
      <w:bookmarkEnd w:id="1532"/>
    </w:p>
    <w:p w14:paraId="4B84B146">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儿童戏剧课程鼓励学生参与剧本创作、角色扮演等活动，激发他们的创造力和想象力，同时锻炼他们的实践能力；戏剧作为一种文学艺术形式，能够提升学生的文学素养和审美能力，让他们学会欣赏和创造美。</w:t>
      </w:r>
    </w:p>
    <w:p w14:paraId="3C91AB2A">
      <w:pPr>
        <w:spacing w:before="62" w:beforeLines="20" w:after="62" w:afterLines="20" w:line="360" w:lineRule="auto"/>
        <w:jc w:val="left"/>
        <w:rPr>
          <w:rFonts w:ascii="Times New Roman" w:hAnsi="Times New Roman" w:eastAsia="宋体" w:cs="Times New Roman"/>
          <w:b/>
          <w:sz w:val="24"/>
        </w:rPr>
      </w:pPr>
      <w:bookmarkStart w:id="1533" w:name="_Toc18"/>
      <w:bookmarkStart w:id="1534" w:name="_Toc20109"/>
      <w:bookmarkStart w:id="1535" w:name="_Toc29301"/>
      <w:bookmarkStart w:id="1536" w:name="_Toc3567"/>
      <w:bookmarkStart w:id="1537" w:name="_Toc32375"/>
      <w:bookmarkStart w:id="1538" w:name="_Toc23320"/>
      <w:bookmarkStart w:id="1539" w:name="_Toc30225"/>
      <w:r>
        <w:rPr>
          <w:rFonts w:hint="eastAsia" w:ascii="Times New Roman" w:hAnsi="Times New Roman" w:eastAsia="宋体" w:cs="Times New Roman"/>
          <w:b/>
          <w:sz w:val="24"/>
        </w:rPr>
        <w:t>三、教学内容与预期学习成效</w:t>
      </w:r>
      <w:bookmarkEnd w:id="1533"/>
      <w:bookmarkEnd w:id="1534"/>
      <w:bookmarkEnd w:id="1535"/>
      <w:bookmarkEnd w:id="1536"/>
      <w:bookmarkEnd w:id="1537"/>
      <w:bookmarkEnd w:id="1538"/>
      <w:bookmarkEnd w:id="1539"/>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925"/>
        <w:gridCol w:w="1182"/>
        <w:gridCol w:w="3359"/>
        <w:gridCol w:w="1281"/>
        <w:gridCol w:w="438"/>
      </w:tblGrid>
      <w:tr w14:paraId="3D78F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Align w:val="center"/>
          </w:tcPr>
          <w:p w14:paraId="3B6030D7">
            <w:pPr>
              <w:jc w:val="center"/>
              <w:rPr>
                <w:rFonts w:hint="eastAsia" w:ascii="宋体" w:hAnsi="宋体" w:eastAsia="宋体" w:cs="Times New Roman"/>
                <w:b/>
                <w:szCs w:val="21"/>
              </w:rPr>
            </w:pPr>
            <w:r>
              <w:rPr>
                <w:rFonts w:hint="eastAsia" w:ascii="宋体" w:hAnsi="宋体" w:eastAsia="宋体" w:cs="Times New Roman"/>
                <w:b/>
                <w:szCs w:val="21"/>
              </w:rPr>
              <w:t>知识</w:t>
            </w:r>
          </w:p>
          <w:p w14:paraId="743E85FD">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925" w:type="dxa"/>
            <w:vAlign w:val="center"/>
          </w:tcPr>
          <w:p w14:paraId="1DA72B9B">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82" w:type="dxa"/>
            <w:vAlign w:val="center"/>
          </w:tcPr>
          <w:p w14:paraId="314093FB">
            <w:pPr>
              <w:jc w:val="center"/>
              <w:rPr>
                <w:rFonts w:hint="eastAsia" w:ascii="宋体" w:hAnsi="宋体" w:eastAsia="宋体" w:cs="Times New Roman"/>
                <w:b/>
                <w:szCs w:val="21"/>
              </w:rPr>
            </w:pPr>
            <w:r>
              <w:rPr>
                <w:rFonts w:hint="eastAsia" w:ascii="宋体" w:hAnsi="宋体" w:eastAsia="宋体" w:cs="Times New Roman"/>
                <w:b/>
                <w:szCs w:val="21"/>
              </w:rPr>
              <w:t>对应</w:t>
            </w:r>
          </w:p>
          <w:p w14:paraId="1579C047">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359" w:type="dxa"/>
            <w:vAlign w:val="center"/>
          </w:tcPr>
          <w:p w14:paraId="7AD23131">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281" w:type="dxa"/>
            <w:vAlign w:val="center"/>
          </w:tcPr>
          <w:p w14:paraId="6CB616FD">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209CE139">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1D84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65BC0692">
            <w:pPr>
              <w:jc w:val="center"/>
              <w:rPr>
                <w:rFonts w:hint="eastAsia" w:ascii="宋体" w:hAnsi="宋体" w:eastAsia="宋体" w:cs="Times New Roman"/>
                <w:szCs w:val="21"/>
              </w:rPr>
            </w:pPr>
            <w:r>
              <w:rPr>
                <w:rFonts w:hint="eastAsia" w:ascii="宋体" w:hAnsi="宋体" w:eastAsia="宋体" w:cs="Times New Roman"/>
                <w:szCs w:val="21"/>
              </w:rPr>
              <w:t>（一）</w:t>
            </w:r>
          </w:p>
          <w:p w14:paraId="79550366">
            <w:pPr>
              <w:jc w:val="center"/>
              <w:rPr>
                <w:rFonts w:hint="eastAsia" w:ascii="宋体" w:hAnsi="宋体" w:eastAsia="宋体" w:cs="Times New Roman"/>
                <w:szCs w:val="21"/>
              </w:rPr>
            </w:pPr>
            <w:r>
              <w:rPr>
                <w:rFonts w:hint="eastAsia" w:ascii="宋体" w:hAnsi="宋体" w:eastAsia="宋体" w:cs="Times New Roman"/>
                <w:szCs w:val="21"/>
              </w:rPr>
              <w:t>儿童戏剧概述</w:t>
            </w:r>
          </w:p>
          <w:p w14:paraId="4D7063A1">
            <w:pPr>
              <w:jc w:val="center"/>
              <w:rPr>
                <w:rFonts w:hint="eastAsia" w:ascii="宋体" w:hAnsi="宋体" w:eastAsia="宋体" w:cs="Times New Roman"/>
                <w:szCs w:val="21"/>
              </w:rPr>
            </w:pPr>
          </w:p>
        </w:tc>
        <w:tc>
          <w:tcPr>
            <w:tcW w:w="1925" w:type="dxa"/>
            <w:vAlign w:val="center"/>
          </w:tcPr>
          <w:p w14:paraId="6BAAEFD4">
            <w:pPr>
              <w:jc w:val="left"/>
              <w:rPr>
                <w:rFonts w:hint="eastAsia" w:ascii="宋体" w:hAnsi="宋体" w:eastAsia="宋体" w:cs="Times New Roman"/>
                <w:szCs w:val="21"/>
              </w:rPr>
            </w:pPr>
            <w:r>
              <w:rPr>
                <w:rFonts w:hint="eastAsia" w:ascii="宋体" w:hAnsi="宋体" w:eastAsia="宋体" w:cs="Times New Roman"/>
                <w:szCs w:val="21"/>
              </w:rPr>
              <w:t>1．儿童戏剧的定义与特征</w:t>
            </w:r>
          </w:p>
          <w:p w14:paraId="17BF77C7">
            <w:pPr>
              <w:jc w:val="left"/>
              <w:rPr>
                <w:rFonts w:hint="eastAsia" w:ascii="宋体" w:hAnsi="宋体" w:eastAsia="宋体" w:cs="Times New Roman"/>
                <w:szCs w:val="21"/>
              </w:rPr>
            </w:pPr>
            <w:r>
              <w:rPr>
                <w:rFonts w:hint="eastAsia" w:ascii="宋体" w:hAnsi="宋体" w:eastAsia="宋体" w:cs="Times New Roman"/>
                <w:szCs w:val="21"/>
              </w:rPr>
              <w:t>2．儿童戏剧的分类</w:t>
            </w:r>
          </w:p>
          <w:p w14:paraId="2762C62A">
            <w:pPr>
              <w:jc w:val="left"/>
              <w:rPr>
                <w:rFonts w:hint="eastAsia" w:ascii="宋体" w:hAnsi="宋体" w:eastAsia="宋体" w:cs="Times New Roman"/>
                <w:szCs w:val="21"/>
              </w:rPr>
            </w:pPr>
            <w:r>
              <w:rPr>
                <w:rFonts w:hint="eastAsia" w:ascii="宋体" w:hAnsi="宋体" w:eastAsia="宋体" w:cs="Times New Roman"/>
                <w:szCs w:val="21"/>
              </w:rPr>
              <w:t>3．儿童戏剧教学的理论基础</w:t>
            </w:r>
          </w:p>
          <w:p w14:paraId="13590DEE">
            <w:pPr>
              <w:jc w:val="left"/>
              <w:rPr>
                <w:rFonts w:hint="eastAsia" w:ascii="宋体" w:hAnsi="宋体" w:eastAsia="宋体" w:cs="Times New Roman"/>
                <w:szCs w:val="21"/>
              </w:rPr>
            </w:pPr>
            <w:r>
              <w:rPr>
                <w:rFonts w:hint="eastAsia" w:ascii="宋体" w:hAnsi="宋体" w:eastAsia="宋体" w:cs="Times New Roman"/>
                <w:szCs w:val="21"/>
              </w:rPr>
              <w:t>4. 儿童戏剧的教育意义</w:t>
            </w:r>
          </w:p>
        </w:tc>
        <w:tc>
          <w:tcPr>
            <w:tcW w:w="1182" w:type="dxa"/>
            <w:vAlign w:val="center"/>
          </w:tcPr>
          <w:p w14:paraId="5A7820AD">
            <w:pPr>
              <w:jc w:val="center"/>
              <w:rPr>
                <w:rFonts w:hint="eastAsia" w:ascii="宋体" w:hAnsi="宋体" w:eastAsia="宋体" w:cs="Times New Roman"/>
                <w:szCs w:val="21"/>
              </w:rPr>
            </w:pPr>
            <w:r>
              <w:rPr>
                <w:rFonts w:hint="eastAsia" w:ascii="宋体" w:hAnsi="宋体" w:eastAsia="宋体" w:cs="Times New Roman"/>
                <w:szCs w:val="21"/>
              </w:rPr>
              <w:t>目标1</w:t>
            </w:r>
          </w:p>
        </w:tc>
        <w:tc>
          <w:tcPr>
            <w:tcW w:w="3359" w:type="dxa"/>
            <w:vAlign w:val="center"/>
          </w:tcPr>
          <w:p w14:paraId="4D8A760C">
            <w:pPr>
              <w:jc w:val="left"/>
              <w:rPr>
                <w:rFonts w:hint="eastAsia" w:ascii="宋体" w:hAnsi="宋体" w:eastAsia="宋体" w:cs="Times New Roman"/>
                <w:szCs w:val="21"/>
              </w:rPr>
            </w:pPr>
            <w:r>
              <w:rPr>
                <w:rFonts w:hint="eastAsia" w:ascii="宋体" w:hAnsi="宋体" w:eastAsia="宋体" w:cs="Times New Roman"/>
                <w:szCs w:val="21"/>
              </w:rPr>
              <w:t>1.掌握儿童戏剧的概念、特征与分类</w:t>
            </w:r>
          </w:p>
          <w:p w14:paraId="53DF8519">
            <w:pPr>
              <w:jc w:val="left"/>
              <w:rPr>
                <w:rFonts w:hint="eastAsia" w:ascii="宋体" w:hAnsi="宋体" w:eastAsia="宋体" w:cs="Times New Roman"/>
                <w:szCs w:val="21"/>
              </w:rPr>
            </w:pPr>
            <w:r>
              <w:rPr>
                <w:rFonts w:hint="eastAsia" w:ascii="宋体" w:hAnsi="宋体" w:eastAsia="宋体" w:cs="Times New Roman"/>
                <w:szCs w:val="21"/>
              </w:rPr>
              <w:t>2.了解不同发展时期的儿童戏剧教学的形式、内容与特点</w:t>
            </w:r>
          </w:p>
          <w:p w14:paraId="4101E8A6">
            <w:pPr>
              <w:jc w:val="left"/>
              <w:rPr>
                <w:rFonts w:hint="eastAsia" w:ascii="宋体" w:hAnsi="宋体" w:eastAsia="宋体" w:cs="Times New Roman"/>
                <w:szCs w:val="21"/>
              </w:rPr>
            </w:pPr>
            <w:r>
              <w:rPr>
                <w:rFonts w:hint="eastAsia" w:ascii="宋体" w:hAnsi="宋体" w:eastAsia="宋体" w:cs="Times New Roman"/>
                <w:szCs w:val="21"/>
              </w:rPr>
              <w:t>3.了解儿童戏剧教学的基本理论基础</w:t>
            </w:r>
          </w:p>
          <w:p w14:paraId="0146F69C">
            <w:pPr>
              <w:jc w:val="left"/>
              <w:rPr>
                <w:rFonts w:hint="eastAsia" w:ascii="宋体" w:hAnsi="宋体" w:eastAsia="宋体" w:cs="Times New Roman"/>
                <w:szCs w:val="21"/>
              </w:rPr>
            </w:pPr>
            <w:r>
              <w:rPr>
                <w:rFonts w:hint="eastAsia" w:ascii="宋体" w:hAnsi="宋体" w:eastAsia="宋体" w:cs="Times New Roman"/>
                <w:szCs w:val="21"/>
              </w:rPr>
              <w:t>4.理解儿童戏剧的教育意义</w:t>
            </w:r>
          </w:p>
        </w:tc>
        <w:tc>
          <w:tcPr>
            <w:tcW w:w="1281" w:type="dxa"/>
            <w:vAlign w:val="center"/>
          </w:tcPr>
          <w:p w14:paraId="1A6F6B08">
            <w:pPr>
              <w:jc w:val="left"/>
              <w:rPr>
                <w:rFonts w:hint="eastAsia" w:ascii="宋体" w:hAnsi="宋体" w:eastAsia="宋体" w:cs="Times New Roman"/>
                <w:szCs w:val="21"/>
              </w:rPr>
            </w:pPr>
            <w:r>
              <w:rPr>
                <w:rFonts w:hint="eastAsia" w:ascii="宋体" w:hAnsi="宋体" w:eastAsia="宋体" w:cs="Times New Roman"/>
                <w:szCs w:val="21"/>
              </w:rPr>
              <w:t>多媒体教学</w:t>
            </w:r>
          </w:p>
          <w:p w14:paraId="3F69D9C4">
            <w:pPr>
              <w:jc w:val="left"/>
              <w:rPr>
                <w:rFonts w:hint="eastAsia" w:ascii="宋体" w:hAnsi="宋体" w:eastAsia="宋体" w:cs="Times New Roman"/>
                <w:szCs w:val="21"/>
              </w:rPr>
            </w:pPr>
            <w:r>
              <w:rPr>
                <w:rFonts w:hint="eastAsia" w:ascii="宋体" w:hAnsi="宋体" w:eastAsia="宋体" w:cs="Times New Roman"/>
                <w:szCs w:val="21"/>
              </w:rPr>
              <w:t>课堂讨论</w:t>
            </w:r>
          </w:p>
          <w:p w14:paraId="5AD3FA99">
            <w:pPr>
              <w:jc w:val="left"/>
              <w:rPr>
                <w:rFonts w:hint="eastAsia" w:ascii="宋体" w:hAnsi="宋体" w:eastAsia="宋体" w:cs="Times New Roman"/>
                <w:szCs w:val="21"/>
              </w:rPr>
            </w:pPr>
            <w:r>
              <w:rPr>
                <w:rFonts w:hint="eastAsia" w:ascii="宋体" w:hAnsi="宋体" w:eastAsia="宋体" w:cs="Times New Roman"/>
                <w:szCs w:val="21"/>
              </w:rPr>
              <w:t>小组实践</w:t>
            </w:r>
          </w:p>
        </w:tc>
        <w:tc>
          <w:tcPr>
            <w:tcW w:w="438" w:type="dxa"/>
            <w:vAlign w:val="center"/>
          </w:tcPr>
          <w:p w14:paraId="11419F32">
            <w:pPr>
              <w:jc w:val="center"/>
              <w:rPr>
                <w:rFonts w:hint="eastAsia" w:ascii="宋体" w:hAnsi="宋体" w:eastAsia="宋体" w:cs="Times New Roman"/>
                <w:szCs w:val="21"/>
              </w:rPr>
            </w:pPr>
            <w:r>
              <w:rPr>
                <w:rFonts w:hint="eastAsia" w:ascii="宋体" w:hAnsi="宋体" w:eastAsia="宋体" w:cs="Times New Roman"/>
                <w:szCs w:val="21"/>
              </w:rPr>
              <w:t>3</w:t>
            </w:r>
          </w:p>
        </w:tc>
      </w:tr>
      <w:tr w14:paraId="1D7D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0F5C9841">
            <w:pPr>
              <w:jc w:val="center"/>
              <w:rPr>
                <w:rFonts w:hint="eastAsia" w:ascii="宋体" w:hAnsi="宋体" w:eastAsia="宋体" w:cs="Times New Roman"/>
                <w:szCs w:val="21"/>
              </w:rPr>
            </w:pPr>
          </w:p>
        </w:tc>
        <w:tc>
          <w:tcPr>
            <w:tcW w:w="8185" w:type="dxa"/>
            <w:gridSpan w:val="5"/>
            <w:vAlign w:val="center"/>
          </w:tcPr>
          <w:p w14:paraId="6E49BA5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提升学生的文学素养和审美能力，让学生学会欣赏和创造美。</w:t>
            </w:r>
          </w:p>
        </w:tc>
      </w:tr>
      <w:tr w14:paraId="0291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7DEC6DC8">
            <w:pPr>
              <w:jc w:val="center"/>
              <w:rPr>
                <w:rFonts w:hint="eastAsia" w:ascii="宋体" w:hAnsi="宋体" w:eastAsia="宋体" w:cs="Times New Roman"/>
                <w:szCs w:val="21"/>
              </w:rPr>
            </w:pPr>
            <w:r>
              <w:rPr>
                <w:rFonts w:hint="eastAsia" w:ascii="宋体" w:hAnsi="宋体" w:eastAsia="宋体" w:cs="Times New Roman"/>
                <w:szCs w:val="21"/>
              </w:rPr>
              <w:t>（二）</w:t>
            </w:r>
          </w:p>
          <w:p w14:paraId="723C8FAF">
            <w:pPr>
              <w:jc w:val="center"/>
              <w:rPr>
                <w:rFonts w:hint="eastAsia" w:ascii="宋体" w:hAnsi="宋体" w:eastAsia="宋体" w:cs="Times New Roman"/>
                <w:szCs w:val="21"/>
              </w:rPr>
            </w:pPr>
            <w:bookmarkStart w:id="1540" w:name="OLE_LINK17"/>
            <w:r>
              <w:rPr>
                <w:rFonts w:hint="eastAsia" w:ascii="宋体" w:hAnsi="宋体" w:eastAsia="宋体" w:cs="Times New Roman"/>
                <w:szCs w:val="21"/>
              </w:rPr>
              <w:t>儿童戏剧的创编</w:t>
            </w:r>
          </w:p>
          <w:bookmarkEnd w:id="1540"/>
          <w:p w14:paraId="18611A7F">
            <w:pPr>
              <w:jc w:val="center"/>
              <w:rPr>
                <w:rFonts w:hint="eastAsia" w:ascii="宋体" w:hAnsi="宋体" w:eastAsia="宋体" w:cs="Times New Roman"/>
                <w:szCs w:val="21"/>
              </w:rPr>
            </w:pPr>
          </w:p>
          <w:p w14:paraId="60423F98">
            <w:pPr>
              <w:jc w:val="center"/>
              <w:rPr>
                <w:rFonts w:hint="eastAsia" w:ascii="宋体" w:hAnsi="宋体" w:eastAsia="宋体" w:cs="Times New Roman"/>
                <w:szCs w:val="21"/>
              </w:rPr>
            </w:pPr>
          </w:p>
        </w:tc>
        <w:tc>
          <w:tcPr>
            <w:tcW w:w="1925" w:type="dxa"/>
            <w:vAlign w:val="center"/>
          </w:tcPr>
          <w:p w14:paraId="688E92AB">
            <w:pPr>
              <w:jc w:val="left"/>
              <w:rPr>
                <w:rFonts w:hint="eastAsia" w:ascii="宋体" w:hAnsi="宋体" w:eastAsia="宋体" w:cs="Times New Roman"/>
                <w:szCs w:val="21"/>
              </w:rPr>
            </w:pPr>
          </w:p>
          <w:p w14:paraId="409D8BE7">
            <w:pPr>
              <w:numPr>
                <w:ilvl w:val="0"/>
                <w:numId w:val="39"/>
              </w:numPr>
              <w:jc w:val="left"/>
              <w:rPr>
                <w:rFonts w:hint="eastAsia" w:ascii="宋体" w:hAnsi="宋体" w:eastAsia="宋体" w:cs="Times New Roman"/>
                <w:szCs w:val="21"/>
              </w:rPr>
            </w:pPr>
            <w:r>
              <w:rPr>
                <w:rFonts w:hint="eastAsia" w:ascii="宋体" w:hAnsi="宋体" w:eastAsia="宋体" w:cs="Times New Roman"/>
                <w:szCs w:val="21"/>
              </w:rPr>
              <w:t>儿童戏剧的改编与创作</w:t>
            </w:r>
          </w:p>
          <w:p w14:paraId="770CF854">
            <w:pPr>
              <w:numPr>
                <w:ilvl w:val="0"/>
                <w:numId w:val="39"/>
              </w:numPr>
              <w:jc w:val="left"/>
              <w:rPr>
                <w:rFonts w:hint="eastAsia" w:ascii="宋体" w:hAnsi="宋体" w:eastAsia="宋体" w:cs="Times New Roman"/>
                <w:szCs w:val="21"/>
              </w:rPr>
            </w:pPr>
            <w:r>
              <w:rPr>
                <w:rFonts w:hint="eastAsia" w:ascii="宋体" w:hAnsi="宋体" w:eastAsia="宋体" w:cs="Times New Roman"/>
                <w:szCs w:val="21"/>
              </w:rPr>
              <w:t>儿童戏剧的基本写作格式</w:t>
            </w:r>
          </w:p>
          <w:p w14:paraId="479F9F6F">
            <w:pPr>
              <w:numPr>
                <w:ilvl w:val="0"/>
                <w:numId w:val="39"/>
              </w:numPr>
              <w:jc w:val="left"/>
              <w:rPr>
                <w:rFonts w:hint="eastAsia" w:ascii="宋体" w:hAnsi="宋体" w:eastAsia="宋体" w:cs="Times New Roman"/>
                <w:szCs w:val="21"/>
              </w:rPr>
            </w:pPr>
            <w:r>
              <w:rPr>
                <w:rFonts w:hint="eastAsia" w:ascii="宋体" w:hAnsi="宋体" w:eastAsia="宋体" w:cs="Times New Roman"/>
                <w:szCs w:val="21"/>
              </w:rPr>
              <w:t>剧本的主旨呈现</w:t>
            </w:r>
          </w:p>
          <w:p w14:paraId="51B434F9">
            <w:pPr>
              <w:numPr>
                <w:ilvl w:val="0"/>
                <w:numId w:val="39"/>
              </w:numPr>
              <w:jc w:val="left"/>
              <w:rPr>
                <w:rFonts w:hint="eastAsia" w:ascii="宋体" w:hAnsi="宋体" w:eastAsia="宋体" w:cs="Times New Roman"/>
                <w:szCs w:val="21"/>
              </w:rPr>
            </w:pPr>
            <w:r>
              <w:rPr>
                <w:rFonts w:hint="eastAsia" w:ascii="宋体" w:hAnsi="宋体" w:eastAsia="宋体" w:cs="Times New Roman"/>
                <w:szCs w:val="21"/>
              </w:rPr>
              <w:t>剧本的人物形象设计</w:t>
            </w:r>
          </w:p>
          <w:p w14:paraId="09611186">
            <w:pPr>
              <w:numPr>
                <w:ilvl w:val="0"/>
                <w:numId w:val="39"/>
              </w:numPr>
              <w:jc w:val="left"/>
              <w:rPr>
                <w:rFonts w:hint="eastAsia" w:ascii="宋体" w:hAnsi="宋体" w:eastAsia="宋体" w:cs="Times New Roman"/>
                <w:szCs w:val="21"/>
              </w:rPr>
            </w:pPr>
            <w:r>
              <w:rPr>
                <w:rFonts w:hint="eastAsia" w:ascii="宋体" w:hAnsi="宋体" w:eastAsia="宋体" w:cs="Times New Roman"/>
                <w:szCs w:val="21"/>
              </w:rPr>
              <w:t>戏剧冲突</w:t>
            </w:r>
          </w:p>
          <w:p w14:paraId="6BE9E5B8">
            <w:pPr>
              <w:numPr>
                <w:ilvl w:val="0"/>
                <w:numId w:val="39"/>
              </w:numPr>
              <w:jc w:val="left"/>
              <w:rPr>
                <w:rFonts w:hint="eastAsia" w:ascii="宋体" w:hAnsi="宋体" w:eastAsia="宋体" w:cs="Times New Roman"/>
                <w:szCs w:val="21"/>
              </w:rPr>
            </w:pPr>
            <w:r>
              <w:rPr>
                <w:rFonts w:hint="eastAsia" w:ascii="宋体" w:hAnsi="宋体" w:eastAsia="宋体" w:cs="Times New Roman"/>
                <w:szCs w:val="21"/>
              </w:rPr>
              <w:t>剧本中的游戏元素</w:t>
            </w:r>
          </w:p>
        </w:tc>
        <w:tc>
          <w:tcPr>
            <w:tcW w:w="1182" w:type="dxa"/>
            <w:vAlign w:val="center"/>
          </w:tcPr>
          <w:p w14:paraId="071EABD9">
            <w:pPr>
              <w:jc w:val="center"/>
              <w:rPr>
                <w:rFonts w:hint="eastAsia" w:ascii="宋体" w:hAnsi="宋体" w:eastAsia="宋体" w:cs="宋体"/>
                <w:szCs w:val="21"/>
              </w:rPr>
            </w:pPr>
            <w:r>
              <w:rPr>
                <w:rFonts w:hint="eastAsia" w:ascii="宋体" w:hAnsi="宋体" w:eastAsia="宋体" w:cs="宋体"/>
                <w:szCs w:val="21"/>
              </w:rPr>
              <w:t>目标1</w:t>
            </w:r>
          </w:p>
          <w:p w14:paraId="3EB35BCE">
            <w:pPr>
              <w:jc w:val="center"/>
              <w:rPr>
                <w:rFonts w:hint="eastAsia" w:ascii="宋体" w:hAnsi="宋体" w:eastAsia="宋体" w:cs="Times New Roman"/>
                <w:szCs w:val="21"/>
              </w:rPr>
            </w:pPr>
            <w:r>
              <w:rPr>
                <w:rFonts w:hint="eastAsia" w:ascii="宋体" w:hAnsi="宋体" w:eastAsia="宋体" w:cs="宋体"/>
                <w:szCs w:val="21"/>
              </w:rPr>
              <w:t>目标2</w:t>
            </w:r>
          </w:p>
        </w:tc>
        <w:tc>
          <w:tcPr>
            <w:tcW w:w="3359" w:type="dxa"/>
            <w:vAlign w:val="center"/>
          </w:tcPr>
          <w:p w14:paraId="01D5BB9E">
            <w:pPr>
              <w:jc w:val="left"/>
              <w:rPr>
                <w:rFonts w:hint="eastAsia" w:ascii="宋体" w:hAnsi="宋体" w:eastAsia="宋体" w:cs="Times New Roman"/>
                <w:szCs w:val="21"/>
              </w:rPr>
            </w:pPr>
            <w:r>
              <w:rPr>
                <w:rFonts w:hint="eastAsia" w:ascii="宋体" w:hAnsi="宋体" w:eastAsia="宋体" w:cs="Times New Roman"/>
                <w:szCs w:val="21"/>
              </w:rPr>
              <w:t>1.掌握儿童戏剧剧本创作的基本格式，戏剧人物创作的三个维度，能够独立创作富有创意、寓教于乐的儿童戏剧剧本；</w:t>
            </w:r>
          </w:p>
          <w:p w14:paraId="7F8B3E56">
            <w:pPr>
              <w:jc w:val="left"/>
              <w:rPr>
                <w:rFonts w:hint="eastAsia" w:ascii="宋体" w:hAnsi="宋体" w:eastAsia="宋体" w:cs="Times New Roman"/>
                <w:szCs w:val="21"/>
              </w:rPr>
            </w:pPr>
            <w:r>
              <w:rPr>
                <w:rFonts w:hint="eastAsia" w:ascii="宋体" w:hAnsi="宋体" w:eastAsia="宋体" w:cs="Times New Roman"/>
                <w:szCs w:val="21"/>
              </w:rPr>
              <w:t>2.能通过情节设计、角色对话和舞台行动等多种手段，巧妙而自然地传达剧本主旨，使观众在享受戏剧的同时受到启发和教育；</w:t>
            </w:r>
          </w:p>
          <w:p w14:paraId="1BE37450">
            <w:pPr>
              <w:jc w:val="left"/>
              <w:rPr>
                <w:rFonts w:hint="eastAsia" w:ascii="宋体" w:hAnsi="宋体" w:eastAsia="宋体" w:cs="Times New Roman"/>
                <w:szCs w:val="21"/>
              </w:rPr>
            </w:pPr>
            <w:r>
              <w:rPr>
                <w:rFonts w:hint="eastAsia" w:ascii="宋体" w:hAnsi="宋体" w:eastAsia="宋体" w:cs="Times New Roman"/>
                <w:szCs w:val="21"/>
              </w:rPr>
              <w:t>3.理解戏剧冲突的意义，理解戏剧冲突在推动剧情发展中的重要作用，学会构建合理、紧凑且富有张力的戏剧冲突；</w:t>
            </w:r>
          </w:p>
          <w:p w14:paraId="7FF1F068">
            <w:pPr>
              <w:jc w:val="left"/>
              <w:rPr>
                <w:rFonts w:hint="eastAsia" w:ascii="宋体" w:hAnsi="宋体" w:eastAsia="宋体" w:cs="Times New Roman"/>
                <w:szCs w:val="21"/>
              </w:rPr>
            </w:pPr>
            <w:r>
              <w:rPr>
                <w:rFonts w:hint="eastAsia" w:ascii="宋体" w:hAnsi="宋体" w:eastAsia="宋体" w:cs="Times New Roman"/>
                <w:szCs w:val="21"/>
              </w:rPr>
              <w:t>4.掌握在剧本中融入互动游戏、角色扮演、趣味问答等游戏元素的方法，增加戏剧的参与性和趣味性。</w:t>
            </w:r>
          </w:p>
          <w:p w14:paraId="7FA0D3B1">
            <w:pPr>
              <w:jc w:val="left"/>
              <w:rPr>
                <w:rFonts w:hint="eastAsia" w:ascii="宋体" w:hAnsi="宋体" w:eastAsia="宋体" w:cs="Times New Roman"/>
                <w:szCs w:val="21"/>
              </w:rPr>
            </w:pPr>
          </w:p>
        </w:tc>
        <w:tc>
          <w:tcPr>
            <w:tcW w:w="1281" w:type="dxa"/>
            <w:vAlign w:val="center"/>
          </w:tcPr>
          <w:p w14:paraId="57E62EB3">
            <w:pPr>
              <w:jc w:val="left"/>
              <w:rPr>
                <w:rFonts w:hint="eastAsia" w:ascii="宋体" w:hAnsi="宋体" w:eastAsia="宋体" w:cs="Times New Roman"/>
                <w:szCs w:val="21"/>
              </w:rPr>
            </w:pPr>
            <w:r>
              <w:rPr>
                <w:rFonts w:hint="eastAsia" w:ascii="宋体" w:hAnsi="宋体" w:eastAsia="宋体" w:cs="Times New Roman"/>
                <w:szCs w:val="21"/>
              </w:rPr>
              <w:t>多媒体教学</w:t>
            </w:r>
          </w:p>
          <w:p w14:paraId="349A7D8B">
            <w:pPr>
              <w:jc w:val="left"/>
              <w:rPr>
                <w:rFonts w:hint="eastAsia" w:ascii="宋体" w:hAnsi="宋体" w:eastAsia="宋体" w:cs="Times New Roman"/>
                <w:szCs w:val="21"/>
              </w:rPr>
            </w:pPr>
            <w:r>
              <w:rPr>
                <w:rFonts w:hint="eastAsia" w:ascii="宋体" w:hAnsi="宋体" w:eastAsia="宋体" w:cs="Times New Roman"/>
                <w:szCs w:val="21"/>
              </w:rPr>
              <w:t>案例分析</w:t>
            </w:r>
          </w:p>
          <w:p w14:paraId="25CF0248">
            <w:pPr>
              <w:jc w:val="left"/>
              <w:rPr>
                <w:rFonts w:hint="eastAsia" w:ascii="宋体" w:hAnsi="宋体" w:eastAsia="宋体" w:cs="Times New Roman"/>
                <w:szCs w:val="21"/>
              </w:rPr>
            </w:pPr>
            <w:r>
              <w:rPr>
                <w:rFonts w:hint="eastAsia" w:ascii="宋体" w:hAnsi="宋体" w:eastAsia="宋体" w:cs="Times New Roman"/>
                <w:szCs w:val="21"/>
              </w:rPr>
              <w:t>小组讨论</w:t>
            </w:r>
          </w:p>
          <w:p w14:paraId="11975442">
            <w:pPr>
              <w:jc w:val="left"/>
              <w:rPr>
                <w:rFonts w:hint="eastAsia" w:ascii="宋体" w:hAnsi="宋体" w:eastAsia="宋体" w:cs="Times New Roman"/>
                <w:szCs w:val="21"/>
              </w:rPr>
            </w:pPr>
            <w:r>
              <w:rPr>
                <w:rFonts w:hint="eastAsia" w:ascii="宋体" w:hAnsi="宋体" w:eastAsia="宋体" w:cs="Times New Roman"/>
                <w:szCs w:val="21"/>
              </w:rPr>
              <w:t>小组实践</w:t>
            </w:r>
          </w:p>
        </w:tc>
        <w:tc>
          <w:tcPr>
            <w:tcW w:w="438" w:type="dxa"/>
            <w:vAlign w:val="center"/>
          </w:tcPr>
          <w:p w14:paraId="7588221E">
            <w:pPr>
              <w:jc w:val="center"/>
              <w:rPr>
                <w:rFonts w:hint="eastAsia" w:ascii="宋体" w:hAnsi="宋体" w:eastAsia="宋体" w:cs="Times New Roman"/>
                <w:szCs w:val="21"/>
              </w:rPr>
            </w:pPr>
            <w:r>
              <w:rPr>
                <w:rFonts w:hint="eastAsia" w:ascii="宋体" w:hAnsi="宋体" w:eastAsia="宋体" w:cs="Times New Roman"/>
                <w:szCs w:val="21"/>
              </w:rPr>
              <w:t>9</w:t>
            </w:r>
          </w:p>
        </w:tc>
      </w:tr>
      <w:tr w14:paraId="1C2F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2FFD8F4C">
            <w:pPr>
              <w:jc w:val="center"/>
              <w:rPr>
                <w:rFonts w:hint="eastAsia" w:ascii="宋体" w:hAnsi="宋体" w:eastAsia="宋体" w:cs="Times New Roman"/>
                <w:szCs w:val="21"/>
              </w:rPr>
            </w:pPr>
          </w:p>
        </w:tc>
        <w:tc>
          <w:tcPr>
            <w:tcW w:w="8185" w:type="dxa"/>
            <w:gridSpan w:val="5"/>
            <w:vAlign w:val="center"/>
          </w:tcPr>
          <w:p w14:paraId="2D6F26C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提升学生的文学素养和审美能力，让他们学会欣赏和创造美；通过对人物形象的多维分析，增强对角色的理解，增强对正面人物的共情能力。</w:t>
            </w:r>
          </w:p>
        </w:tc>
      </w:tr>
      <w:tr w14:paraId="557D1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6FAA9A91">
            <w:pPr>
              <w:jc w:val="center"/>
              <w:rPr>
                <w:rFonts w:hint="eastAsia" w:ascii="宋体" w:hAnsi="宋体" w:eastAsia="宋体" w:cs="Times New Roman"/>
                <w:szCs w:val="21"/>
              </w:rPr>
            </w:pPr>
            <w:r>
              <w:rPr>
                <w:rFonts w:hint="eastAsia" w:ascii="宋体" w:hAnsi="宋体" w:eastAsia="宋体" w:cs="Times New Roman"/>
                <w:szCs w:val="21"/>
              </w:rPr>
              <w:t>（三）</w:t>
            </w:r>
          </w:p>
          <w:p w14:paraId="7EF8981F">
            <w:pPr>
              <w:jc w:val="center"/>
              <w:rPr>
                <w:rFonts w:hint="eastAsia" w:ascii="宋体" w:hAnsi="宋体" w:eastAsia="宋体" w:cs="Times New Roman"/>
                <w:szCs w:val="21"/>
              </w:rPr>
            </w:pPr>
            <w:bookmarkStart w:id="1541" w:name="OLE_LINK18"/>
            <w:r>
              <w:rPr>
                <w:rFonts w:hint="eastAsia" w:ascii="宋体" w:hAnsi="宋体" w:eastAsia="宋体" w:cs="Times New Roman"/>
                <w:szCs w:val="21"/>
              </w:rPr>
              <w:t>儿童戏剧的导演</w:t>
            </w:r>
          </w:p>
          <w:bookmarkEnd w:id="1541"/>
          <w:p w14:paraId="21F0C963">
            <w:pPr>
              <w:jc w:val="center"/>
              <w:rPr>
                <w:rFonts w:hint="eastAsia" w:ascii="宋体" w:hAnsi="宋体" w:eastAsia="宋体" w:cs="Times New Roman"/>
                <w:szCs w:val="21"/>
              </w:rPr>
            </w:pPr>
          </w:p>
          <w:p w14:paraId="2D6A92A3">
            <w:pPr>
              <w:jc w:val="center"/>
              <w:rPr>
                <w:rFonts w:hint="eastAsia" w:ascii="宋体" w:hAnsi="宋体" w:eastAsia="宋体" w:cs="Times New Roman"/>
                <w:szCs w:val="21"/>
              </w:rPr>
            </w:pPr>
          </w:p>
        </w:tc>
        <w:tc>
          <w:tcPr>
            <w:tcW w:w="1925" w:type="dxa"/>
            <w:vAlign w:val="center"/>
          </w:tcPr>
          <w:p w14:paraId="6C884F7A">
            <w:pPr>
              <w:jc w:val="left"/>
              <w:rPr>
                <w:rFonts w:hint="eastAsia" w:ascii="宋体" w:hAnsi="宋体" w:eastAsia="宋体" w:cs="Times New Roman"/>
                <w:szCs w:val="21"/>
              </w:rPr>
            </w:pPr>
          </w:p>
          <w:p w14:paraId="445DFA79">
            <w:pPr>
              <w:numPr>
                <w:ilvl w:val="0"/>
                <w:numId w:val="40"/>
              </w:numPr>
              <w:jc w:val="left"/>
              <w:rPr>
                <w:rFonts w:hint="eastAsia" w:ascii="宋体" w:hAnsi="宋体" w:eastAsia="宋体" w:cs="Times New Roman"/>
                <w:szCs w:val="21"/>
              </w:rPr>
            </w:pPr>
            <w:r>
              <w:rPr>
                <w:rFonts w:hint="eastAsia" w:ascii="宋体" w:hAnsi="宋体" w:eastAsia="宋体" w:cs="Times New Roman"/>
                <w:szCs w:val="21"/>
              </w:rPr>
              <w:t>舞台调度</w:t>
            </w:r>
          </w:p>
          <w:p w14:paraId="645ED73C">
            <w:pPr>
              <w:numPr>
                <w:ilvl w:val="0"/>
                <w:numId w:val="40"/>
              </w:numPr>
              <w:jc w:val="left"/>
              <w:rPr>
                <w:rFonts w:hint="eastAsia" w:ascii="宋体" w:hAnsi="宋体" w:eastAsia="宋体" w:cs="Times New Roman"/>
                <w:szCs w:val="21"/>
              </w:rPr>
            </w:pPr>
            <w:r>
              <w:rPr>
                <w:rFonts w:hint="eastAsia" w:ascii="宋体" w:hAnsi="宋体" w:eastAsia="宋体" w:cs="Times New Roman"/>
                <w:szCs w:val="21"/>
              </w:rPr>
              <w:t>舞台节奏的把握</w:t>
            </w:r>
          </w:p>
          <w:p w14:paraId="25740C7D">
            <w:pPr>
              <w:numPr>
                <w:ilvl w:val="0"/>
                <w:numId w:val="40"/>
              </w:numPr>
              <w:jc w:val="left"/>
              <w:rPr>
                <w:rFonts w:hint="eastAsia" w:ascii="宋体" w:hAnsi="宋体" w:eastAsia="宋体" w:cs="Times New Roman"/>
                <w:szCs w:val="21"/>
              </w:rPr>
            </w:pPr>
            <w:r>
              <w:rPr>
                <w:rFonts w:hint="eastAsia" w:ascii="宋体" w:hAnsi="宋体" w:eastAsia="宋体" w:cs="Times New Roman"/>
                <w:szCs w:val="21"/>
              </w:rPr>
              <w:t>舞台的静止与流变</w:t>
            </w:r>
          </w:p>
          <w:p w14:paraId="700FDC44">
            <w:pPr>
              <w:numPr>
                <w:ilvl w:val="0"/>
                <w:numId w:val="40"/>
              </w:numPr>
              <w:jc w:val="left"/>
              <w:rPr>
                <w:rFonts w:hint="eastAsia" w:ascii="宋体" w:hAnsi="宋体" w:eastAsia="宋体" w:cs="Times New Roman"/>
                <w:szCs w:val="21"/>
              </w:rPr>
            </w:pPr>
            <w:r>
              <w:rPr>
                <w:rFonts w:hint="eastAsia" w:ascii="宋体" w:hAnsi="宋体" w:eastAsia="宋体" w:cs="Times New Roman"/>
                <w:szCs w:val="21"/>
              </w:rPr>
              <w:t>合作排演</w:t>
            </w:r>
          </w:p>
          <w:p w14:paraId="2B821A22">
            <w:pPr>
              <w:jc w:val="left"/>
              <w:rPr>
                <w:rFonts w:hint="eastAsia" w:ascii="宋体" w:hAnsi="宋体" w:eastAsia="宋体" w:cs="Times New Roman"/>
                <w:szCs w:val="21"/>
              </w:rPr>
            </w:pPr>
          </w:p>
        </w:tc>
        <w:tc>
          <w:tcPr>
            <w:tcW w:w="1182" w:type="dxa"/>
            <w:vAlign w:val="center"/>
          </w:tcPr>
          <w:p w14:paraId="393166E4">
            <w:pPr>
              <w:jc w:val="center"/>
              <w:rPr>
                <w:rFonts w:hint="eastAsia" w:ascii="宋体" w:hAnsi="宋体" w:eastAsia="宋体" w:cs="Times New Roman"/>
                <w:szCs w:val="21"/>
              </w:rPr>
            </w:pPr>
            <w:r>
              <w:rPr>
                <w:rFonts w:hint="eastAsia" w:ascii="宋体" w:hAnsi="宋体" w:eastAsia="宋体" w:cs="Times New Roman"/>
                <w:szCs w:val="21"/>
              </w:rPr>
              <w:t>目标2</w:t>
            </w:r>
          </w:p>
          <w:p w14:paraId="3744F8D1">
            <w:pPr>
              <w:jc w:val="center"/>
              <w:rPr>
                <w:rFonts w:hint="eastAsia" w:ascii="宋体" w:hAnsi="宋体" w:eastAsia="宋体" w:cs="Times New Roman"/>
                <w:szCs w:val="21"/>
              </w:rPr>
            </w:pPr>
            <w:r>
              <w:rPr>
                <w:rFonts w:hint="eastAsia" w:ascii="宋体" w:hAnsi="宋体" w:eastAsia="宋体" w:cs="Times New Roman"/>
                <w:szCs w:val="21"/>
              </w:rPr>
              <w:t>目标3</w:t>
            </w:r>
          </w:p>
        </w:tc>
        <w:tc>
          <w:tcPr>
            <w:tcW w:w="3359" w:type="dxa"/>
            <w:vAlign w:val="center"/>
          </w:tcPr>
          <w:p w14:paraId="6C0A4868">
            <w:pPr>
              <w:jc w:val="left"/>
              <w:rPr>
                <w:rFonts w:hint="eastAsia" w:ascii="宋体" w:hAnsi="宋体" w:eastAsia="宋体" w:cs="Times New Roman"/>
                <w:szCs w:val="21"/>
              </w:rPr>
            </w:pPr>
            <w:r>
              <w:rPr>
                <w:rFonts w:hint="eastAsia" w:ascii="宋体" w:hAnsi="宋体" w:eastAsia="宋体" w:cs="Times New Roman"/>
                <w:szCs w:val="21"/>
              </w:rPr>
              <w:t>1.深入理解舞台调度的概念及其在戏剧表演中的重要性，包括演员的位置移动、动作路径、群体场景的组织等；</w:t>
            </w:r>
          </w:p>
          <w:p w14:paraId="6188BFDB">
            <w:pPr>
              <w:jc w:val="left"/>
              <w:rPr>
                <w:rFonts w:hint="eastAsia" w:ascii="宋体" w:hAnsi="宋体" w:eastAsia="宋体" w:cs="Times New Roman"/>
                <w:szCs w:val="21"/>
              </w:rPr>
            </w:pPr>
            <w:r>
              <w:rPr>
                <w:rFonts w:hint="eastAsia" w:ascii="宋体" w:hAnsi="宋体" w:eastAsia="宋体" w:cs="Times New Roman"/>
                <w:szCs w:val="21"/>
              </w:rPr>
              <w:t>2.掌握舞台节奏的基本概念，包括快慢、强弱、紧张与舒缓等变化，以及如何通过对话、动作、音乐等元素来调控节奏；</w:t>
            </w:r>
          </w:p>
          <w:p w14:paraId="56351AFC">
            <w:pPr>
              <w:jc w:val="left"/>
              <w:rPr>
                <w:rFonts w:hint="eastAsia" w:ascii="宋体" w:hAnsi="宋体" w:eastAsia="宋体" w:cs="Times New Roman"/>
                <w:szCs w:val="21"/>
              </w:rPr>
            </w:pPr>
            <w:r>
              <w:rPr>
                <w:rFonts w:hint="eastAsia" w:ascii="宋体" w:hAnsi="宋体" w:eastAsia="宋体" w:cs="Times New Roman"/>
                <w:szCs w:val="21"/>
              </w:rPr>
              <w:t>3.理解舞台静止（如定格、静默等）与流变（如动作、场景转换等）在戏剧表演中的艺术价值，以及它们如何共同构建戏剧的视觉动态</w:t>
            </w:r>
          </w:p>
        </w:tc>
        <w:tc>
          <w:tcPr>
            <w:tcW w:w="1281" w:type="dxa"/>
            <w:vAlign w:val="center"/>
          </w:tcPr>
          <w:p w14:paraId="4E591B00">
            <w:pPr>
              <w:jc w:val="left"/>
              <w:rPr>
                <w:rFonts w:hint="eastAsia" w:ascii="宋体" w:hAnsi="宋体" w:eastAsia="宋体" w:cs="Times New Roman"/>
                <w:szCs w:val="21"/>
              </w:rPr>
            </w:pPr>
            <w:r>
              <w:rPr>
                <w:rFonts w:hint="eastAsia" w:ascii="宋体" w:hAnsi="宋体" w:eastAsia="宋体" w:cs="Times New Roman"/>
                <w:szCs w:val="21"/>
              </w:rPr>
              <w:t>多媒体教学案例分析</w:t>
            </w:r>
          </w:p>
          <w:p w14:paraId="4B6DA697">
            <w:pPr>
              <w:jc w:val="left"/>
              <w:rPr>
                <w:rFonts w:hint="eastAsia" w:ascii="宋体" w:hAnsi="宋体" w:eastAsia="宋体" w:cs="Times New Roman"/>
                <w:szCs w:val="21"/>
              </w:rPr>
            </w:pPr>
            <w:r>
              <w:rPr>
                <w:rFonts w:hint="eastAsia" w:ascii="宋体" w:hAnsi="宋体" w:eastAsia="宋体" w:cs="Times New Roman"/>
                <w:szCs w:val="21"/>
              </w:rPr>
              <w:t>小组讨论</w:t>
            </w:r>
          </w:p>
          <w:p w14:paraId="489CD5A8">
            <w:pPr>
              <w:jc w:val="left"/>
              <w:rPr>
                <w:rFonts w:hint="eastAsia" w:ascii="宋体" w:hAnsi="宋体" w:eastAsia="宋体" w:cs="Times New Roman"/>
                <w:szCs w:val="21"/>
              </w:rPr>
            </w:pPr>
            <w:r>
              <w:rPr>
                <w:rFonts w:hint="eastAsia" w:ascii="宋体" w:hAnsi="宋体" w:eastAsia="宋体" w:cs="Times New Roman"/>
                <w:szCs w:val="21"/>
              </w:rPr>
              <w:t>小组实践</w:t>
            </w:r>
          </w:p>
        </w:tc>
        <w:tc>
          <w:tcPr>
            <w:tcW w:w="438" w:type="dxa"/>
            <w:vAlign w:val="center"/>
          </w:tcPr>
          <w:p w14:paraId="43BD6FF6">
            <w:pPr>
              <w:jc w:val="center"/>
              <w:rPr>
                <w:rFonts w:hint="eastAsia" w:ascii="宋体" w:hAnsi="宋体" w:eastAsia="宋体" w:cs="Times New Roman"/>
                <w:szCs w:val="21"/>
              </w:rPr>
            </w:pPr>
            <w:r>
              <w:rPr>
                <w:rFonts w:hint="eastAsia" w:ascii="宋体" w:hAnsi="宋体" w:eastAsia="宋体" w:cs="Times New Roman"/>
                <w:szCs w:val="21"/>
              </w:rPr>
              <w:t>3</w:t>
            </w:r>
          </w:p>
        </w:tc>
      </w:tr>
      <w:tr w14:paraId="41FB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3B506A28">
            <w:pPr>
              <w:jc w:val="center"/>
              <w:rPr>
                <w:rFonts w:hint="eastAsia" w:ascii="宋体" w:hAnsi="宋体" w:eastAsia="宋体" w:cs="Times New Roman"/>
                <w:szCs w:val="21"/>
              </w:rPr>
            </w:pPr>
          </w:p>
        </w:tc>
        <w:tc>
          <w:tcPr>
            <w:tcW w:w="8185" w:type="dxa"/>
            <w:gridSpan w:val="5"/>
            <w:vAlign w:val="center"/>
          </w:tcPr>
          <w:p w14:paraId="170550DB">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提升学生的文学素养和审美能力，让他们学会欣赏和创造美。</w:t>
            </w:r>
          </w:p>
        </w:tc>
      </w:tr>
      <w:tr w14:paraId="367C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6FB31C59">
            <w:pPr>
              <w:jc w:val="center"/>
              <w:rPr>
                <w:rFonts w:hint="eastAsia" w:ascii="宋体" w:hAnsi="宋体" w:eastAsia="宋体" w:cs="Times New Roman"/>
                <w:szCs w:val="21"/>
              </w:rPr>
            </w:pPr>
            <w:r>
              <w:rPr>
                <w:rFonts w:hint="eastAsia" w:ascii="宋体" w:hAnsi="宋体" w:eastAsia="宋体" w:cs="Times New Roman"/>
                <w:szCs w:val="21"/>
              </w:rPr>
              <w:t>（四）</w:t>
            </w:r>
          </w:p>
          <w:p w14:paraId="45536DB4">
            <w:pPr>
              <w:jc w:val="center"/>
              <w:rPr>
                <w:rFonts w:hint="eastAsia" w:ascii="宋体" w:hAnsi="宋体" w:eastAsia="宋体" w:cs="Times New Roman"/>
                <w:szCs w:val="21"/>
              </w:rPr>
            </w:pPr>
            <w:r>
              <w:rPr>
                <w:rFonts w:hint="eastAsia" w:ascii="宋体" w:hAnsi="宋体" w:eastAsia="宋体" w:cs="Times New Roman"/>
                <w:szCs w:val="21"/>
              </w:rPr>
              <w:t>儿童戏剧的表演</w:t>
            </w:r>
          </w:p>
        </w:tc>
        <w:tc>
          <w:tcPr>
            <w:tcW w:w="1925" w:type="dxa"/>
            <w:vAlign w:val="center"/>
          </w:tcPr>
          <w:p w14:paraId="2CA47778">
            <w:pPr>
              <w:numPr>
                <w:ilvl w:val="0"/>
                <w:numId w:val="41"/>
              </w:numPr>
              <w:jc w:val="left"/>
              <w:rPr>
                <w:rFonts w:hint="eastAsia" w:ascii="宋体" w:hAnsi="宋体" w:eastAsia="宋体" w:cs="Times New Roman"/>
                <w:szCs w:val="21"/>
              </w:rPr>
            </w:pPr>
            <w:r>
              <w:rPr>
                <w:rFonts w:hint="eastAsia" w:ascii="宋体" w:hAnsi="宋体" w:eastAsia="宋体" w:cs="Times New Roman"/>
                <w:szCs w:val="21"/>
              </w:rPr>
              <w:t>儿童戏剧演员的创作素质；</w:t>
            </w:r>
          </w:p>
          <w:p w14:paraId="3C8811B5">
            <w:pPr>
              <w:numPr>
                <w:ilvl w:val="0"/>
                <w:numId w:val="41"/>
              </w:numPr>
              <w:jc w:val="left"/>
              <w:rPr>
                <w:rFonts w:hint="eastAsia" w:ascii="宋体" w:hAnsi="宋体" w:eastAsia="宋体" w:cs="Times New Roman"/>
                <w:szCs w:val="21"/>
              </w:rPr>
            </w:pPr>
            <w:r>
              <w:rPr>
                <w:rFonts w:hint="eastAsia" w:ascii="宋体" w:hAnsi="宋体" w:eastAsia="宋体" w:cs="Times New Roman"/>
                <w:szCs w:val="21"/>
              </w:rPr>
              <w:t>台词及其表达的技巧训练；</w:t>
            </w:r>
          </w:p>
          <w:p w14:paraId="4B1C21CC">
            <w:pPr>
              <w:numPr>
                <w:ilvl w:val="0"/>
                <w:numId w:val="41"/>
              </w:numPr>
              <w:jc w:val="left"/>
              <w:rPr>
                <w:rFonts w:hint="eastAsia" w:ascii="宋体" w:hAnsi="宋体" w:eastAsia="宋体" w:cs="Times New Roman"/>
                <w:szCs w:val="21"/>
              </w:rPr>
            </w:pPr>
            <w:r>
              <w:rPr>
                <w:rFonts w:hint="eastAsia" w:ascii="宋体" w:hAnsi="宋体" w:eastAsia="宋体" w:cs="Times New Roman"/>
                <w:szCs w:val="21"/>
              </w:rPr>
              <w:t>话剧表演中语言的应用；</w:t>
            </w:r>
          </w:p>
          <w:p w14:paraId="11496F2C">
            <w:pPr>
              <w:numPr>
                <w:ilvl w:val="0"/>
                <w:numId w:val="41"/>
              </w:numPr>
              <w:jc w:val="left"/>
              <w:rPr>
                <w:rFonts w:hint="eastAsia" w:ascii="宋体" w:hAnsi="宋体" w:eastAsia="宋体" w:cs="Times New Roman"/>
                <w:szCs w:val="21"/>
              </w:rPr>
            </w:pPr>
            <w:r>
              <w:rPr>
                <w:rFonts w:hint="eastAsia" w:ascii="宋体" w:hAnsi="宋体" w:eastAsia="宋体" w:cs="Times New Roman"/>
                <w:szCs w:val="21"/>
              </w:rPr>
              <w:t>演员创作中的自我定位</w:t>
            </w:r>
          </w:p>
        </w:tc>
        <w:tc>
          <w:tcPr>
            <w:tcW w:w="1182" w:type="dxa"/>
            <w:vAlign w:val="center"/>
          </w:tcPr>
          <w:p w14:paraId="493A9937">
            <w:pPr>
              <w:jc w:val="center"/>
              <w:rPr>
                <w:rFonts w:hint="eastAsia" w:ascii="宋体" w:hAnsi="宋体" w:eastAsia="宋体" w:cs="Times New Roman"/>
                <w:szCs w:val="21"/>
              </w:rPr>
            </w:pPr>
            <w:r>
              <w:rPr>
                <w:rFonts w:hint="eastAsia" w:ascii="宋体" w:hAnsi="宋体" w:eastAsia="宋体" w:cs="Times New Roman"/>
                <w:szCs w:val="21"/>
              </w:rPr>
              <w:t>目标2</w:t>
            </w:r>
          </w:p>
          <w:p w14:paraId="6814AF97">
            <w:pPr>
              <w:jc w:val="center"/>
              <w:rPr>
                <w:rFonts w:hint="eastAsia" w:ascii="宋体" w:hAnsi="宋体" w:eastAsia="宋体" w:cs="Times New Roman"/>
                <w:szCs w:val="21"/>
              </w:rPr>
            </w:pPr>
            <w:r>
              <w:rPr>
                <w:rFonts w:hint="eastAsia" w:ascii="宋体" w:hAnsi="宋体" w:eastAsia="宋体" w:cs="Times New Roman"/>
                <w:szCs w:val="21"/>
              </w:rPr>
              <w:t>目标3</w:t>
            </w:r>
          </w:p>
        </w:tc>
        <w:tc>
          <w:tcPr>
            <w:tcW w:w="3359" w:type="dxa"/>
            <w:vAlign w:val="center"/>
          </w:tcPr>
          <w:p w14:paraId="7CA1212C">
            <w:pPr>
              <w:numPr>
                <w:ilvl w:val="0"/>
                <w:numId w:val="42"/>
              </w:numPr>
              <w:jc w:val="left"/>
              <w:rPr>
                <w:rFonts w:hint="eastAsia" w:ascii="宋体" w:hAnsi="宋体" w:eastAsia="宋体" w:cs="Times New Roman"/>
                <w:szCs w:val="21"/>
              </w:rPr>
            </w:pPr>
            <w:r>
              <w:rPr>
                <w:rFonts w:hint="eastAsia" w:ascii="宋体" w:hAnsi="宋体" w:eastAsia="宋体" w:cs="Times New Roman"/>
                <w:szCs w:val="21"/>
              </w:rPr>
              <w:t>理解儿童戏剧演员所需具备的创作素质，包括想象力、创造力、情感表达能力、角色塑造能力等；</w:t>
            </w:r>
          </w:p>
          <w:p w14:paraId="4C8295B6">
            <w:pPr>
              <w:numPr>
                <w:ilvl w:val="0"/>
                <w:numId w:val="42"/>
              </w:numPr>
              <w:jc w:val="left"/>
              <w:rPr>
                <w:rFonts w:hint="eastAsia" w:ascii="宋体" w:hAnsi="宋体" w:eastAsia="宋体" w:cs="Times New Roman"/>
                <w:szCs w:val="21"/>
              </w:rPr>
            </w:pPr>
            <w:r>
              <w:rPr>
                <w:rFonts w:hint="eastAsia" w:ascii="宋体" w:hAnsi="宋体" w:eastAsia="宋体" w:cs="Times New Roman"/>
                <w:szCs w:val="21"/>
              </w:rPr>
              <w:t>掌握台词朗读与表达中的语音语调、语速节奏、发音清晰度等方面的技巧，在实际表演中，能够灵活运用台词表达技巧，增强表演的感染力和说服力，使角色形象更加鲜明立体；</w:t>
            </w:r>
          </w:p>
          <w:p w14:paraId="48B6435B">
            <w:pPr>
              <w:numPr>
                <w:ilvl w:val="0"/>
                <w:numId w:val="42"/>
              </w:numPr>
              <w:jc w:val="left"/>
              <w:rPr>
                <w:rFonts w:hint="eastAsia" w:ascii="宋体" w:hAnsi="宋体" w:eastAsia="宋体" w:cs="Times New Roman"/>
                <w:szCs w:val="21"/>
              </w:rPr>
            </w:pPr>
            <w:r>
              <w:rPr>
                <w:rFonts w:ascii="宋体" w:hAnsi="宋体" w:eastAsia="宋体" w:cs="Times New Roman"/>
                <w:szCs w:val="21"/>
              </w:rPr>
              <w:t>能够根据自身的特点和优势，合理规划表演风格和角色选择</w:t>
            </w:r>
            <w:r>
              <w:rPr>
                <w:rFonts w:hint="eastAsia" w:ascii="宋体" w:hAnsi="宋体" w:eastAsia="宋体" w:cs="Times New Roman"/>
                <w:szCs w:val="21"/>
              </w:rPr>
              <w:t>，</w:t>
            </w:r>
            <w:r>
              <w:rPr>
                <w:rFonts w:ascii="宋体" w:hAnsi="宋体" w:eastAsia="宋体" w:cs="Times New Roman"/>
                <w:szCs w:val="21"/>
              </w:rPr>
              <w:t>学会在创作过程中明确自己的定位与角色，理解个人在表演团队中的价值和作用</w:t>
            </w:r>
          </w:p>
        </w:tc>
        <w:tc>
          <w:tcPr>
            <w:tcW w:w="1281" w:type="dxa"/>
            <w:vAlign w:val="center"/>
          </w:tcPr>
          <w:p w14:paraId="1342C48A">
            <w:pPr>
              <w:jc w:val="left"/>
              <w:rPr>
                <w:rFonts w:hint="eastAsia" w:ascii="宋体" w:hAnsi="宋体" w:eastAsia="宋体" w:cs="Times New Roman"/>
                <w:szCs w:val="21"/>
              </w:rPr>
            </w:pPr>
            <w:r>
              <w:rPr>
                <w:rFonts w:hint="eastAsia" w:ascii="宋体" w:hAnsi="宋体" w:eastAsia="宋体" w:cs="Times New Roman"/>
                <w:szCs w:val="21"/>
              </w:rPr>
              <w:t>多媒体教学案例分析</w:t>
            </w:r>
          </w:p>
          <w:p w14:paraId="037AAABE">
            <w:pPr>
              <w:jc w:val="left"/>
              <w:rPr>
                <w:rFonts w:hint="eastAsia" w:ascii="宋体" w:hAnsi="宋体" w:eastAsia="宋体" w:cs="Times New Roman"/>
                <w:szCs w:val="21"/>
              </w:rPr>
            </w:pPr>
            <w:r>
              <w:rPr>
                <w:rFonts w:hint="eastAsia" w:ascii="宋体" w:hAnsi="宋体" w:eastAsia="宋体" w:cs="Times New Roman"/>
                <w:szCs w:val="21"/>
              </w:rPr>
              <w:t>小组实践</w:t>
            </w:r>
          </w:p>
        </w:tc>
        <w:tc>
          <w:tcPr>
            <w:tcW w:w="438" w:type="dxa"/>
            <w:vAlign w:val="center"/>
          </w:tcPr>
          <w:p w14:paraId="13F4EEE0">
            <w:pPr>
              <w:jc w:val="center"/>
              <w:rPr>
                <w:rFonts w:hint="eastAsia" w:ascii="宋体" w:hAnsi="宋体" w:eastAsia="宋体" w:cs="Times New Roman"/>
                <w:szCs w:val="21"/>
              </w:rPr>
            </w:pPr>
            <w:r>
              <w:rPr>
                <w:rFonts w:hint="eastAsia" w:ascii="宋体" w:hAnsi="宋体" w:eastAsia="宋体" w:cs="Times New Roman"/>
                <w:szCs w:val="21"/>
              </w:rPr>
              <w:t>9</w:t>
            </w:r>
          </w:p>
        </w:tc>
      </w:tr>
      <w:tr w14:paraId="2864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6E1860D3">
            <w:pPr>
              <w:jc w:val="center"/>
              <w:rPr>
                <w:rFonts w:hint="eastAsia" w:ascii="宋体" w:hAnsi="宋体" w:eastAsia="宋体" w:cs="Times New Roman"/>
                <w:szCs w:val="21"/>
              </w:rPr>
            </w:pPr>
          </w:p>
        </w:tc>
        <w:tc>
          <w:tcPr>
            <w:tcW w:w="8185" w:type="dxa"/>
            <w:gridSpan w:val="5"/>
            <w:vAlign w:val="center"/>
          </w:tcPr>
          <w:p w14:paraId="3847751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通过戏剧中的道德故事和角色塑造，引导学生学习并践行诚信、友善、勤劳、勇敢等道德品质；鼓励学生参与剧本创作、角色扮演等活动，激发他们的创造力和想象力，同时锻炼他们的实践能力。</w:t>
            </w:r>
          </w:p>
        </w:tc>
      </w:tr>
      <w:tr w14:paraId="1494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3B44EFE8">
            <w:pPr>
              <w:jc w:val="center"/>
              <w:rPr>
                <w:rFonts w:hint="eastAsia" w:ascii="宋体" w:hAnsi="宋体" w:eastAsia="宋体" w:cs="Times New Roman"/>
                <w:szCs w:val="21"/>
              </w:rPr>
            </w:pPr>
            <w:r>
              <w:rPr>
                <w:rFonts w:hint="eastAsia" w:ascii="宋体" w:hAnsi="宋体" w:eastAsia="宋体" w:cs="Times New Roman"/>
                <w:szCs w:val="21"/>
              </w:rPr>
              <w:t>（五）</w:t>
            </w:r>
          </w:p>
          <w:p w14:paraId="5EB47D68">
            <w:pPr>
              <w:jc w:val="center"/>
              <w:rPr>
                <w:rFonts w:hint="eastAsia" w:ascii="宋体" w:hAnsi="宋体" w:eastAsia="宋体" w:cs="Times New Roman"/>
                <w:szCs w:val="21"/>
              </w:rPr>
            </w:pPr>
            <w:bookmarkStart w:id="1542" w:name="OLE_LINK19"/>
            <w:r>
              <w:rPr>
                <w:rFonts w:hint="eastAsia" w:ascii="宋体" w:hAnsi="宋体" w:eastAsia="宋体" w:cs="Times New Roman"/>
                <w:szCs w:val="21"/>
              </w:rPr>
              <w:t>舞台美术</w:t>
            </w:r>
            <w:bookmarkEnd w:id="1542"/>
          </w:p>
        </w:tc>
        <w:tc>
          <w:tcPr>
            <w:tcW w:w="1925" w:type="dxa"/>
            <w:vAlign w:val="center"/>
          </w:tcPr>
          <w:p w14:paraId="4D3BEEB9">
            <w:pPr>
              <w:numPr>
                <w:ilvl w:val="0"/>
                <w:numId w:val="43"/>
              </w:numPr>
              <w:jc w:val="left"/>
              <w:rPr>
                <w:rFonts w:hint="eastAsia" w:ascii="宋体" w:hAnsi="宋体" w:eastAsia="宋体" w:cs="Times New Roman"/>
                <w:szCs w:val="21"/>
              </w:rPr>
            </w:pPr>
            <w:r>
              <w:rPr>
                <w:rFonts w:hint="eastAsia" w:ascii="宋体" w:hAnsi="宋体" w:eastAsia="宋体" w:cs="Times New Roman"/>
                <w:szCs w:val="21"/>
              </w:rPr>
              <w:t>舞台美术设计</w:t>
            </w:r>
          </w:p>
          <w:p w14:paraId="0F421749">
            <w:pPr>
              <w:numPr>
                <w:ilvl w:val="0"/>
                <w:numId w:val="43"/>
              </w:numPr>
              <w:jc w:val="left"/>
              <w:rPr>
                <w:rFonts w:hint="eastAsia" w:ascii="宋体" w:hAnsi="宋体" w:eastAsia="宋体" w:cs="Times New Roman"/>
                <w:szCs w:val="21"/>
              </w:rPr>
            </w:pPr>
            <w:r>
              <w:rPr>
                <w:rFonts w:hint="eastAsia" w:ascii="宋体" w:hAnsi="宋体" w:eastAsia="宋体" w:cs="Times New Roman"/>
                <w:szCs w:val="21"/>
              </w:rPr>
              <w:t>道具设计制作</w:t>
            </w:r>
          </w:p>
          <w:p w14:paraId="75840A75">
            <w:pPr>
              <w:numPr>
                <w:ilvl w:val="0"/>
                <w:numId w:val="43"/>
              </w:numPr>
              <w:jc w:val="left"/>
              <w:rPr>
                <w:rFonts w:hint="eastAsia" w:ascii="宋体" w:hAnsi="宋体" w:eastAsia="宋体" w:cs="Times New Roman"/>
                <w:szCs w:val="21"/>
              </w:rPr>
            </w:pPr>
            <w:r>
              <w:rPr>
                <w:rFonts w:hint="eastAsia" w:ascii="宋体" w:hAnsi="宋体" w:eastAsia="宋体" w:cs="Times New Roman"/>
                <w:szCs w:val="21"/>
              </w:rPr>
              <w:t>演员化妆造型</w:t>
            </w:r>
          </w:p>
          <w:p w14:paraId="65921A85">
            <w:pPr>
              <w:numPr>
                <w:ilvl w:val="0"/>
                <w:numId w:val="43"/>
              </w:numPr>
              <w:jc w:val="left"/>
              <w:rPr>
                <w:rFonts w:hint="eastAsia" w:ascii="宋体" w:hAnsi="宋体" w:eastAsia="宋体" w:cs="Times New Roman"/>
                <w:szCs w:val="21"/>
              </w:rPr>
            </w:pPr>
            <w:r>
              <w:rPr>
                <w:rFonts w:hint="eastAsia" w:ascii="宋体" w:hAnsi="宋体" w:eastAsia="宋体" w:cs="Times New Roman"/>
                <w:szCs w:val="21"/>
              </w:rPr>
              <w:t>服装服饰设计</w:t>
            </w:r>
          </w:p>
        </w:tc>
        <w:tc>
          <w:tcPr>
            <w:tcW w:w="1182" w:type="dxa"/>
            <w:vAlign w:val="center"/>
          </w:tcPr>
          <w:p w14:paraId="31104F70">
            <w:pPr>
              <w:jc w:val="center"/>
              <w:rPr>
                <w:rFonts w:hint="eastAsia" w:ascii="宋体" w:hAnsi="宋体" w:eastAsia="宋体" w:cs="Times New Roman"/>
                <w:szCs w:val="21"/>
              </w:rPr>
            </w:pPr>
            <w:r>
              <w:rPr>
                <w:rFonts w:hint="eastAsia" w:ascii="宋体" w:hAnsi="宋体" w:eastAsia="宋体" w:cs="Times New Roman"/>
                <w:szCs w:val="21"/>
              </w:rPr>
              <w:t>目标2</w:t>
            </w:r>
          </w:p>
          <w:p w14:paraId="59C43D79">
            <w:pPr>
              <w:jc w:val="center"/>
              <w:rPr>
                <w:rFonts w:hint="eastAsia" w:ascii="宋体" w:hAnsi="宋体" w:eastAsia="宋体" w:cs="Times New Roman"/>
                <w:szCs w:val="21"/>
              </w:rPr>
            </w:pPr>
            <w:r>
              <w:rPr>
                <w:rFonts w:hint="eastAsia" w:ascii="宋体" w:hAnsi="宋体" w:eastAsia="宋体" w:cs="Times New Roman"/>
                <w:szCs w:val="21"/>
              </w:rPr>
              <w:t>目标3</w:t>
            </w:r>
          </w:p>
        </w:tc>
        <w:tc>
          <w:tcPr>
            <w:tcW w:w="3359" w:type="dxa"/>
            <w:vAlign w:val="center"/>
          </w:tcPr>
          <w:p w14:paraId="5877373A">
            <w:pPr>
              <w:numPr>
                <w:ilvl w:val="0"/>
                <w:numId w:val="44"/>
              </w:numPr>
              <w:jc w:val="left"/>
              <w:rPr>
                <w:rFonts w:hint="eastAsia" w:ascii="宋体" w:hAnsi="宋体" w:eastAsia="宋体" w:cs="Times New Roman"/>
                <w:szCs w:val="21"/>
              </w:rPr>
            </w:pPr>
            <w:r>
              <w:rPr>
                <w:rFonts w:hint="eastAsia" w:ascii="宋体" w:hAnsi="宋体" w:eastAsia="宋体" w:cs="Times New Roman"/>
                <w:szCs w:val="21"/>
              </w:rPr>
              <w:t>能够根据剧情需要，设计并制作出符合角色设定和场景氛围的道具，包括其材质选择、尺寸比例、细节处理等；</w:t>
            </w:r>
          </w:p>
          <w:p w14:paraId="708E97F7">
            <w:pPr>
              <w:numPr>
                <w:ilvl w:val="0"/>
                <w:numId w:val="44"/>
              </w:numPr>
              <w:jc w:val="left"/>
              <w:rPr>
                <w:rFonts w:hint="eastAsia" w:ascii="宋体" w:hAnsi="宋体" w:eastAsia="宋体" w:cs="Times New Roman"/>
                <w:szCs w:val="21"/>
              </w:rPr>
            </w:pPr>
            <w:r>
              <w:rPr>
                <w:rFonts w:hint="eastAsia" w:ascii="宋体" w:hAnsi="宋体" w:eastAsia="宋体" w:cs="Times New Roman"/>
                <w:szCs w:val="21"/>
              </w:rPr>
              <w:t>能够根据剧本角色设定和时代背景，选择符合角色性格、身份和剧情发展的服装服饰；</w:t>
            </w:r>
          </w:p>
          <w:p w14:paraId="2968CE27">
            <w:pPr>
              <w:jc w:val="left"/>
              <w:rPr>
                <w:rFonts w:hint="eastAsia" w:ascii="宋体" w:hAnsi="宋体" w:eastAsia="宋体" w:cs="Times New Roman"/>
                <w:szCs w:val="21"/>
              </w:rPr>
            </w:pPr>
            <w:r>
              <w:rPr>
                <w:rFonts w:hint="eastAsia" w:ascii="宋体" w:hAnsi="宋体" w:eastAsia="宋体" w:cs="Times New Roman"/>
                <w:szCs w:val="21"/>
              </w:rPr>
              <w:t>3.在团队项目中，能够有效沟通设计理念，与导演、演员及其他舞台工作人员协作，共同实现舞台艺术效果。</w:t>
            </w:r>
          </w:p>
        </w:tc>
        <w:tc>
          <w:tcPr>
            <w:tcW w:w="1281" w:type="dxa"/>
            <w:vAlign w:val="center"/>
          </w:tcPr>
          <w:p w14:paraId="34B9658A">
            <w:pPr>
              <w:jc w:val="left"/>
              <w:rPr>
                <w:rFonts w:hint="eastAsia" w:ascii="宋体" w:hAnsi="宋体" w:eastAsia="宋体" w:cs="Times New Roman"/>
                <w:szCs w:val="21"/>
              </w:rPr>
            </w:pPr>
            <w:r>
              <w:rPr>
                <w:rFonts w:hint="eastAsia" w:ascii="宋体" w:hAnsi="宋体" w:eastAsia="宋体" w:cs="Times New Roman"/>
                <w:szCs w:val="21"/>
              </w:rPr>
              <w:t>多媒体教学案例分析</w:t>
            </w:r>
          </w:p>
          <w:p w14:paraId="477941E3">
            <w:pPr>
              <w:jc w:val="left"/>
              <w:rPr>
                <w:rFonts w:hint="eastAsia" w:ascii="宋体" w:hAnsi="宋体" w:eastAsia="宋体" w:cs="Times New Roman"/>
                <w:szCs w:val="21"/>
              </w:rPr>
            </w:pPr>
            <w:r>
              <w:rPr>
                <w:rFonts w:hint="eastAsia" w:ascii="宋体" w:hAnsi="宋体" w:eastAsia="宋体" w:cs="Times New Roman"/>
                <w:szCs w:val="21"/>
              </w:rPr>
              <w:t>小组实践</w:t>
            </w:r>
          </w:p>
        </w:tc>
        <w:tc>
          <w:tcPr>
            <w:tcW w:w="438" w:type="dxa"/>
            <w:vAlign w:val="center"/>
          </w:tcPr>
          <w:p w14:paraId="11E18ABE">
            <w:pPr>
              <w:jc w:val="center"/>
              <w:rPr>
                <w:rFonts w:hint="eastAsia" w:ascii="宋体" w:hAnsi="宋体" w:eastAsia="宋体" w:cs="Times New Roman"/>
                <w:szCs w:val="21"/>
              </w:rPr>
            </w:pPr>
            <w:r>
              <w:rPr>
                <w:rFonts w:hint="eastAsia" w:ascii="宋体" w:hAnsi="宋体" w:eastAsia="宋体" w:cs="Times New Roman"/>
                <w:szCs w:val="21"/>
              </w:rPr>
              <w:t>3</w:t>
            </w:r>
          </w:p>
        </w:tc>
      </w:tr>
      <w:tr w14:paraId="2833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19C22898">
            <w:pPr>
              <w:jc w:val="center"/>
              <w:rPr>
                <w:rFonts w:hint="eastAsia" w:ascii="宋体" w:hAnsi="宋体" w:eastAsia="宋体" w:cs="Times New Roman"/>
                <w:szCs w:val="21"/>
              </w:rPr>
            </w:pPr>
          </w:p>
        </w:tc>
        <w:tc>
          <w:tcPr>
            <w:tcW w:w="8185" w:type="dxa"/>
            <w:gridSpan w:val="5"/>
            <w:vAlign w:val="center"/>
          </w:tcPr>
          <w:p w14:paraId="489C1DE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提升学生感知美、欣赏美、创造美的能力，实现多方面美育浸润。</w:t>
            </w:r>
          </w:p>
        </w:tc>
      </w:tr>
      <w:tr w14:paraId="0F5D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60F63AF1">
            <w:pPr>
              <w:jc w:val="center"/>
              <w:rPr>
                <w:rFonts w:hint="eastAsia" w:ascii="宋体" w:hAnsi="宋体" w:eastAsia="宋体" w:cs="Times New Roman"/>
                <w:szCs w:val="21"/>
              </w:rPr>
            </w:pPr>
            <w:r>
              <w:rPr>
                <w:rFonts w:hint="eastAsia" w:ascii="宋体" w:hAnsi="宋体" w:eastAsia="宋体" w:cs="Times New Roman"/>
                <w:szCs w:val="21"/>
              </w:rPr>
              <w:t>（六）</w:t>
            </w:r>
          </w:p>
          <w:p w14:paraId="614012AE">
            <w:pPr>
              <w:jc w:val="center"/>
              <w:rPr>
                <w:rFonts w:hint="eastAsia" w:ascii="宋体" w:hAnsi="宋体" w:eastAsia="宋体" w:cs="Times New Roman"/>
                <w:szCs w:val="21"/>
              </w:rPr>
            </w:pPr>
            <w:bookmarkStart w:id="1543" w:name="OLE_LINK9"/>
            <w:r>
              <w:rPr>
                <w:rFonts w:hint="eastAsia" w:ascii="宋体" w:hAnsi="宋体" w:eastAsia="宋体" w:cs="Times New Roman"/>
                <w:szCs w:val="21"/>
              </w:rPr>
              <w:t>儿童戏剧教育活动设计</w:t>
            </w:r>
            <w:bookmarkEnd w:id="1543"/>
          </w:p>
        </w:tc>
        <w:tc>
          <w:tcPr>
            <w:tcW w:w="1925" w:type="dxa"/>
            <w:vAlign w:val="center"/>
          </w:tcPr>
          <w:p w14:paraId="721982F6">
            <w:pPr>
              <w:numPr>
                <w:ilvl w:val="0"/>
                <w:numId w:val="45"/>
              </w:numPr>
              <w:jc w:val="left"/>
              <w:rPr>
                <w:rFonts w:hint="eastAsia" w:ascii="宋体" w:hAnsi="宋体" w:eastAsia="宋体" w:cs="Times New Roman"/>
                <w:szCs w:val="21"/>
              </w:rPr>
            </w:pPr>
            <w:r>
              <w:rPr>
                <w:rFonts w:hint="eastAsia" w:ascii="宋体" w:hAnsi="宋体" w:eastAsia="宋体" w:cs="Times New Roman"/>
                <w:szCs w:val="21"/>
              </w:rPr>
              <w:t>戏剧游戏与戏剧习式种类介绍</w:t>
            </w:r>
          </w:p>
          <w:p w14:paraId="57C20AD5">
            <w:pPr>
              <w:numPr>
                <w:ilvl w:val="0"/>
                <w:numId w:val="45"/>
              </w:numPr>
              <w:jc w:val="left"/>
              <w:rPr>
                <w:rFonts w:hint="eastAsia" w:ascii="宋体" w:hAnsi="宋体" w:eastAsia="宋体" w:cs="Times New Roman"/>
                <w:szCs w:val="21"/>
              </w:rPr>
            </w:pPr>
            <w:r>
              <w:rPr>
                <w:rFonts w:hint="eastAsia" w:ascii="宋体" w:hAnsi="宋体" w:eastAsia="宋体" w:cs="Times New Roman"/>
                <w:szCs w:val="21"/>
              </w:rPr>
              <w:t>以《精忠报国》为例的小学戏剧教育活动设计；</w:t>
            </w:r>
          </w:p>
          <w:p w14:paraId="4A2663C5">
            <w:pPr>
              <w:numPr>
                <w:ilvl w:val="0"/>
                <w:numId w:val="45"/>
              </w:numPr>
              <w:jc w:val="left"/>
              <w:rPr>
                <w:rFonts w:hint="eastAsia" w:ascii="宋体" w:hAnsi="宋体" w:eastAsia="宋体" w:cs="Times New Roman"/>
                <w:szCs w:val="21"/>
              </w:rPr>
            </w:pPr>
            <w:r>
              <w:rPr>
                <w:rFonts w:hint="eastAsia" w:ascii="宋体" w:hAnsi="宋体" w:eastAsia="宋体" w:cs="Times New Roman"/>
                <w:szCs w:val="21"/>
              </w:rPr>
              <w:t>以《森林里的孩子》为例的小学戏剧教育活动设计</w:t>
            </w:r>
          </w:p>
          <w:p w14:paraId="3DCE66F7">
            <w:pPr>
              <w:jc w:val="left"/>
              <w:rPr>
                <w:rFonts w:hint="eastAsia" w:ascii="宋体" w:hAnsi="宋体" w:eastAsia="宋体" w:cs="Times New Roman"/>
                <w:szCs w:val="21"/>
              </w:rPr>
            </w:pPr>
          </w:p>
        </w:tc>
        <w:tc>
          <w:tcPr>
            <w:tcW w:w="1182" w:type="dxa"/>
            <w:vAlign w:val="center"/>
          </w:tcPr>
          <w:p w14:paraId="3250E8E0">
            <w:pPr>
              <w:jc w:val="center"/>
              <w:rPr>
                <w:rFonts w:hint="eastAsia" w:ascii="宋体" w:hAnsi="宋体" w:eastAsia="宋体" w:cs="宋体"/>
                <w:szCs w:val="21"/>
              </w:rPr>
            </w:pPr>
            <w:bookmarkStart w:id="1544" w:name="OLE_LINK23"/>
            <w:r>
              <w:rPr>
                <w:rFonts w:hint="eastAsia" w:ascii="宋体" w:hAnsi="宋体" w:eastAsia="宋体" w:cs="宋体"/>
                <w:szCs w:val="21"/>
              </w:rPr>
              <w:t>目标1</w:t>
            </w:r>
          </w:p>
          <w:p w14:paraId="6502965D">
            <w:pPr>
              <w:jc w:val="center"/>
              <w:rPr>
                <w:rFonts w:hint="eastAsia" w:ascii="宋体" w:hAnsi="宋体" w:eastAsia="宋体" w:cs="Times New Roman"/>
                <w:szCs w:val="21"/>
              </w:rPr>
            </w:pPr>
            <w:r>
              <w:rPr>
                <w:rFonts w:hint="eastAsia" w:ascii="宋体" w:hAnsi="宋体" w:eastAsia="宋体" w:cs="宋体"/>
                <w:szCs w:val="21"/>
              </w:rPr>
              <w:t>目标2</w:t>
            </w:r>
            <w:bookmarkEnd w:id="1544"/>
          </w:p>
        </w:tc>
        <w:tc>
          <w:tcPr>
            <w:tcW w:w="3359" w:type="dxa"/>
            <w:vAlign w:val="center"/>
          </w:tcPr>
          <w:p w14:paraId="2F4F6872">
            <w:pPr>
              <w:numPr>
                <w:ilvl w:val="0"/>
                <w:numId w:val="46"/>
              </w:numPr>
              <w:jc w:val="left"/>
              <w:rPr>
                <w:rFonts w:hint="eastAsia" w:ascii="宋体" w:hAnsi="宋体" w:eastAsia="宋体" w:cs="Times New Roman"/>
                <w:szCs w:val="21"/>
              </w:rPr>
            </w:pPr>
            <w:bookmarkStart w:id="1545" w:name="OLE_LINK10"/>
            <w:r>
              <w:rPr>
                <w:rFonts w:hint="eastAsia" w:ascii="宋体" w:hAnsi="宋体" w:eastAsia="宋体" w:cs="Times New Roman"/>
                <w:szCs w:val="21"/>
              </w:rPr>
              <w:t>能够识别并理解戏剧游戏的四大类——暖身游戏、感官和想象游戏、肢体动作游戏以及音乐游戏，以及每种游戏的具体形式和目的；</w:t>
            </w:r>
          </w:p>
          <w:p w14:paraId="14669E28">
            <w:pPr>
              <w:numPr>
                <w:ilvl w:val="0"/>
                <w:numId w:val="46"/>
              </w:numPr>
              <w:jc w:val="left"/>
              <w:rPr>
                <w:rFonts w:hint="eastAsia" w:ascii="宋体" w:hAnsi="宋体" w:eastAsia="宋体" w:cs="Times New Roman"/>
                <w:szCs w:val="21"/>
              </w:rPr>
            </w:pPr>
            <w:r>
              <w:rPr>
                <w:rFonts w:ascii="宋体" w:hAnsi="宋体" w:eastAsia="宋体" w:cs="Times New Roman"/>
                <w:szCs w:val="21"/>
              </w:rPr>
              <w:t>在戏剧习式的训练中，学会如何与他人合作，共同完成任务，提升团队协作能力和沟通能力</w:t>
            </w:r>
            <w:r>
              <w:rPr>
                <w:rFonts w:hint="eastAsia" w:ascii="宋体" w:hAnsi="宋体" w:eastAsia="宋体" w:cs="Times New Roman"/>
                <w:szCs w:val="21"/>
              </w:rPr>
              <w:t>；</w:t>
            </w:r>
          </w:p>
          <w:p w14:paraId="3FCE159C">
            <w:pPr>
              <w:numPr>
                <w:ilvl w:val="0"/>
                <w:numId w:val="46"/>
              </w:numPr>
              <w:jc w:val="left"/>
              <w:rPr>
                <w:rFonts w:hint="eastAsia" w:ascii="宋体" w:hAnsi="宋体" w:eastAsia="宋体" w:cs="Times New Roman"/>
                <w:szCs w:val="21"/>
              </w:rPr>
            </w:pPr>
            <w:r>
              <w:rPr>
                <w:rFonts w:hint="eastAsia" w:ascii="宋体" w:hAnsi="宋体" w:eastAsia="宋体" w:cs="Times New Roman"/>
                <w:szCs w:val="21"/>
              </w:rPr>
              <w:t>能根据小学教学目标，合理应用戏剧游戏和戏剧习式，有效设计与实施小学戏剧教育活动。</w:t>
            </w:r>
            <w:bookmarkEnd w:id="1545"/>
          </w:p>
        </w:tc>
        <w:tc>
          <w:tcPr>
            <w:tcW w:w="1281" w:type="dxa"/>
            <w:vAlign w:val="center"/>
          </w:tcPr>
          <w:p w14:paraId="601FDA89">
            <w:pPr>
              <w:jc w:val="left"/>
              <w:rPr>
                <w:rFonts w:hint="eastAsia" w:ascii="宋体" w:hAnsi="宋体" w:eastAsia="宋体" w:cs="Times New Roman"/>
                <w:szCs w:val="21"/>
              </w:rPr>
            </w:pPr>
            <w:r>
              <w:rPr>
                <w:rFonts w:hint="eastAsia" w:ascii="宋体" w:hAnsi="宋体" w:eastAsia="宋体" w:cs="Times New Roman"/>
                <w:szCs w:val="21"/>
              </w:rPr>
              <w:t>多媒体教学案例分析</w:t>
            </w:r>
          </w:p>
          <w:p w14:paraId="410FA3F1">
            <w:pPr>
              <w:jc w:val="left"/>
              <w:rPr>
                <w:rFonts w:hint="eastAsia" w:ascii="宋体" w:hAnsi="宋体" w:eastAsia="宋体" w:cs="Times New Roman"/>
                <w:szCs w:val="21"/>
              </w:rPr>
            </w:pPr>
            <w:r>
              <w:rPr>
                <w:rFonts w:hint="eastAsia" w:ascii="宋体" w:hAnsi="宋体" w:eastAsia="宋体" w:cs="Times New Roman"/>
                <w:szCs w:val="21"/>
              </w:rPr>
              <w:t>小组实践</w:t>
            </w:r>
          </w:p>
          <w:p w14:paraId="10113D27">
            <w:pPr>
              <w:jc w:val="left"/>
              <w:rPr>
                <w:rFonts w:hint="eastAsia" w:ascii="宋体" w:hAnsi="宋体" w:eastAsia="宋体" w:cs="Times New Roman"/>
                <w:szCs w:val="21"/>
              </w:rPr>
            </w:pPr>
          </w:p>
        </w:tc>
        <w:tc>
          <w:tcPr>
            <w:tcW w:w="438" w:type="dxa"/>
            <w:vAlign w:val="center"/>
          </w:tcPr>
          <w:p w14:paraId="0063CA87">
            <w:pPr>
              <w:jc w:val="center"/>
              <w:rPr>
                <w:rFonts w:hint="eastAsia" w:ascii="宋体" w:hAnsi="宋体" w:eastAsia="宋体" w:cs="Times New Roman"/>
                <w:szCs w:val="21"/>
              </w:rPr>
            </w:pPr>
            <w:r>
              <w:rPr>
                <w:rFonts w:hint="eastAsia" w:ascii="宋体" w:hAnsi="宋体" w:eastAsia="宋体" w:cs="Times New Roman"/>
                <w:szCs w:val="21"/>
              </w:rPr>
              <w:t>9</w:t>
            </w:r>
          </w:p>
        </w:tc>
      </w:tr>
      <w:tr w14:paraId="0026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08E6FB81">
            <w:pPr>
              <w:jc w:val="center"/>
              <w:rPr>
                <w:rFonts w:hint="eastAsia" w:ascii="宋体" w:hAnsi="宋体" w:eastAsia="宋体" w:cs="Times New Roman"/>
                <w:szCs w:val="21"/>
              </w:rPr>
            </w:pPr>
          </w:p>
        </w:tc>
        <w:tc>
          <w:tcPr>
            <w:tcW w:w="8185" w:type="dxa"/>
            <w:gridSpan w:val="5"/>
            <w:vAlign w:val="center"/>
          </w:tcPr>
          <w:p w14:paraId="204B346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在戏剧课程中设置与现实生活相关的情境和任务，让学生体验并理解社会责任的重要性，学会关心他人、服务社会；鼓励学生参与剧本创作、角色扮演等活动，激发他们的创造力和想象力，同时锻炼他们的实践能力。</w:t>
            </w:r>
          </w:p>
        </w:tc>
      </w:tr>
      <w:tr w14:paraId="1A21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4D5B7EFE">
            <w:pPr>
              <w:jc w:val="center"/>
              <w:rPr>
                <w:rFonts w:hint="eastAsia" w:ascii="宋体" w:hAnsi="宋体" w:eastAsia="宋体" w:cs="Times New Roman"/>
                <w:szCs w:val="21"/>
              </w:rPr>
            </w:pPr>
            <w:bookmarkStart w:id="1546" w:name="OLE_LINK11"/>
            <w:r>
              <w:rPr>
                <w:rFonts w:hint="eastAsia" w:ascii="宋体" w:hAnsi="宋体" w:eastAsia="宋体" w:cs="Times New Roman"/>
                <w:szCs w:val="21"/>
              </w:rPr>
              <w:t>（七）</w:t>
            </w:r>
          </w:p>
          <w:p w14:paraId="4A23B44F">
            <w:pPr>
              <w:jc w:val="center"/>
              <w:rPr>
                <w:rFonts w:hint="eastAsia" w:ascii="宋体" w:hAnsi="宋体" w:eastAsia="宋体" w:cs="Times New Roman"/>
                <w:szCs w:val="21"/>
              </w:rPr>
            </w:pPr>
            <w:bookmarkStart w:id="1547" w:name="OLE_LINK20"/>
            <w:r>
              <w:rPr>
                <w:rFonts w:hint="eastAsia" w:ascii="宋体" w:hAnsi="宋体" w:eastAsia="宋体" w:cs="Times New Roman"/>
                <w:szCs w:val="21"/>
              </w:rPr>
              <w:t>经典儿童戏剧剧目赏析</w:t>
            </w:r>
            <w:bookmarkEnd w:id="1546"/>
            <w:bookmarkEnd w:id="1547"/>
          </w:p>
        </w:tc>
        <w:tc>
          <w:tcPr>
            <w:tcW w:w="1925" w:type="dxa"/>
            <w:vAlign w:val="center"/>
          </w:tcPr>
          <w:p w14:paraId="56C9215A">
            <w:pPr>
              <w:jc w:val="left"/>
              <w:rPr>
                <w:rFonts w:hint="eastAsia" w:ascii="宋体" w:hAnsi="宋体" w:eastAsia="宋体" w:cs="Times New Roman"/>
                <w:szCs w:val="21"/>
              </w:rPr>
            </w:pPr>
            <w:bookmarkStart w:id="1548" w:name="OLE_LINK12"/>
            <w:r>
              <w:rPr>
                <w:rFonts w:hint="eastAsia" w:ascii="宋体" w:hAnsi="宋体" w:eastAsia="宋体" w:cs="Times New Roman"/>
                <w:szCs w:val="21"/>
              </w:rPr>
              <w:t>1.儿童话剧《皇帝的新装》赏析；</w:t>
            </w:r>
          </w:p>
          <w:p w14:paraId="7D114DB0">
            <w:pPr>
              <w:jc w:val="left"/>
              <w:rPr>
                <w:rFonts w:hint="eastAsia" w:ascii="宋体" w:hAnsi="宋体" w:eastAsia="宋体" w:cs="Times New Roman"/>
                <w:szCs w:val="21"/>
              </w:rPr>
            </w:pPr>
            <w:r>
              <w:rPr>
                <w:rFonts w:hint="eastAsia" w:ascii="宋体" w:hAnsi="宋体" w:eastAsia="宋体" w:cs="Times New Roman"/>
                <w:szCs w:val="21"/>
              </w:rPr>
              <w:t>2.小学课本剧《猎人海力布》赏析；</w:t>
            </w:r>
          </w:p>
          <w:p w14:paraId="1BDE4A88">
            <w:pPr>
              <w:jc w:val="left"/>
              <w:rPr>
                <w:rFonts w:hint="eastAsia" w:ascii="宋体" w:hAnsi="宋体" w:eastAsia="宋体" w:cs="Times New Roman"/>
                <w:szCs w:val="21"/>
              </w:rPr>
            </w:pPr>
            <w:r>
              <w:rPr>
                <w:rFonts w:hint="eastAsia" w:ascii="宋体" w:hAnsi="宋体" w:eastAsia="宋体" w:cs="Times New Roman"/>
                <w:szCs w:val="21"/>
              </w:rPr>
              <w:t>3.现代少儿话剧《三气周瑜》赏析；</w:t>
            </w:r>
          </w:p>
          <w:p w14:paraId="39DE04F8">
            <w:pPr>
              <w:jc w:val="left"/>
              <w:rPr>
                <w:rFonts w:hint="eastAsia" w:ascii="宋体" w:hAnsi="宋体" w:eastAsia="宋体" w:cs="Times New Roman"/>
                <w:szCs w:val="21"/>
              </w:rPr>
            </w:pPr>
            <w:r>
              <w:rPr>
                <w:rFonts w:hint="eastAsia" w:ascii="宋体" w:hAnsi="宋体" w:eastAsia="宋体" w:cs="Times New Roman"/>
                <w:szCs w:val="21"/>
              </w:rPr>
              <w:t>4.绘本剧《森林审判会》赏析；</w:t>
            </w:r>
          </w:p>
          <w:p w14:paraId="15717577">
            <w:pPr>
              <w:jc w:val="left"/>
              <w:rPr>
                <w:rFonts w:hint="eastAsia" w:ascii="宋体" w:hAnsi="宋体" w:eastAsia="宋体" w:cs="Times New Roman"/>
                <w:szCs w:val="21"/>
              </w:rPr>
            </w:pPr>
            <w:r>
              <w:rPr>
                <w:rFonts w:hint="eastAsia" w:ascii="宋体" w:hAnsi="宋体" w:eastAsia="宋体" w:cs="Times New Roman"/>
                <w:szCs w:val="21"/>
              </w:rPr>
              <w:t>5.小学课本剧《陶罐和铁罐》赏析；</w:t>
            </w:r>
          </w:p>
          <w:p w14:paraId="3CB401C4">
            <w:pPr>
              <w:jc w:val="left"/>
              <w:rPr>
                <w:rFonts w:hint="eastAsia" w:ascii="宋体" w:hAnsi="宋体" w:eastAsia="宋体" w:cs="Times New Roman"/>
                <w:szCs w:val="21"/>
              </w:rPr>
            </w:pPr>
            <w:r>
              <w:rPr>
                <w:rFonts w:hint="eastAsia" w:ascii="宋体" w:hAnsi="宋体" w:eastAsia="宋体" w:cs="Times New Roman"/>
                <w:szCs w:val="21"/>
              </w:rPr>
              <w:t>6.小学课本剧《小狗学叫》赏析</w:t>
            </w:r>
          </w:p>
          <w:bookmarkEnd w:id="1548"/>
          <w:p w14:paraId="60B48422">
            <w:pPr>
              <w:jc w:val="left"/>
              <w:rPr>
                <w:rFonts w:hint="eastAsia" w:ascii="宋体" w:hAnsi="宋体" w:eastAsia="宋体" w:cs="Times New Roman"/>
                <w:szCs w:val="21"/>
              </w:rPr>
            </w:pPr>
          </w:p>
        </w:tc>
        <w:tc>
          <w:tcPr>
            <w:tcW w:w="1182" w:type="dxa"/>
            <w:vAlign w:val="center"/>
          </w:tcPr>
          <w:p w14:paraId="083DF495">
            <w:pPr>
              <w:jc w:val="center"/>
              <w:rPr>
                <w:rFonts w:hint="eastAsia" w:ascii="宋体" w:hAnsi="宋体" w:eastAsia="宋体" w:cs="Times New Roman"/>
                <w:szCs w:val="21"/>
              </w:rPr>
            </w:pPr>
            <w:bookmarkStart w:id="1549" w:name="OLE_LINK24"/>
            <w:r>
              <w:rPr>
                <w:rFonts w:hint="eastAsia" w:ascii="宋体" w:hAnsi="宋体" w:eastAsia="宋体" w:cs="Times New Roman"/>
                <w:szCs w:val="21"/>
              </w:rPr>
              <w:t>目标1</w:t>
            </w:r>
          </w:p>
          <w:p w14:paraId="4BDC9EA4">
            <w:pPr>
              <w:jc w:val="center"/>
              <w:rPr>
                <w:rFonts w:hint="eastAsia" w:ascii="宋体" w:hAnsi="宋体" w:eastAsia="宋体" w:cs="Times New Roman"/>
                <w:szCs w:val="21"/>
              </w:rPr>
            </w:pPr>
            <w:r>
              <w:rPr>
                <w:rFonts w:hint="eastAsia" w:ascii="宋体" w:hAnsi="宋体" w:eastAsia="宋体" w:cs="Times New Roman"/>
                <w:szCs w:val="21"/>
              </w:rPr>
              <w:t>目标2</w:t>
            </w:r>
            <w:bookmarkEnd w:id="1549"/>
          </w:p>
        </w:tc>
        <w:tc>
          <w:tcPr>
            <w:tcW w:w="3359" w:type="dxa"/>
            <w:vAlign w:val="center"/>
          </w:tcPr>
          <w:p w14:paraId="69BEE15A">
            <w:pPr>
              <w:numPr>
                <w:ilvl w:val="0"/>
                <w:numId w:val="47"/>
              </w:numPr>
              <w:jc w:val="left"/>
              <w:rPr>
                <w:rFonts w:hint="eastAsia" w:ascii="宋体" w:hAnsi="宋体" w:eastAsia="宋体" w:cs="Times New Roman"/>
                <w:szCs w:val="21"/>
              </w:rPr>
            </w:pPr>
            <w:bookmarkStart w:id="1550" w:name="OLE_LINK13"/>
            <w:r>
              <w:rPr>
                <w:rFonts w:hint="eastAsia" w:ascii="宋体" w:hAnsi="宋体" w:eastAsia="宋体" w:cs="Times New Roman"/>
                <w:szCs w:val="21"/>
              </w:rPr>
              <w:t>清晰理解剧本的基本结构，深入分析剧本中的主要角色，以及角色之间的关系，识别剧本中的主题思想，解读剧本中的象征元素和隐喻。</w:t>
            </w:r>
          </w:p>
          <w:p w14:paraId="5AD8297D">
            <w:pPr>
              <w:numPr>
                <w:ilvl w:val="0"/>
                <w:numId w:val="47"/>
              </w:numPr>
              <w:jc w:val="left"/>
              <w:rPr>
                <w:rFonts w:hint="eastAsia" w:ascii="宋体" w:hAnsi="宋体" w:eastAsia="宋体" w:cs="Times New Roman"/>
                <w:szCs w:val="21"/>
              </w:rPr>
            </w:pPr>
            <w:r>
              <w:rPr>
                <w:rFonts w:hint="eastAsia" w:ascii="宋体" w:hAnsi="宋体" w:eastAsia="宋体" w:cs="Times New Roman"/>
                <w:szCs w:val="21"/>
              </w:rPr>
              <w:t>提升文学与艺术鉴赏能力、批判性思维与文学评论，增强个人情感体验；理解剧本在舞台上的呈现方式，包括灯光、布景、服装、音效等。</w:t>
            </w:r>
          </w:p>
          <w:p w14:paraId="31BC7A8D">
            <w:pPr>
              <w:numPr>
                <w:ilvl w:val="0"/>
                <w:numId w:val="47"/>
              </w:numPr>
              <w:jc w:val="left"/>
              <w:rPr>
                <w:rFonts w:hint="eastAsia" w:ascii="宋体" w:hAnsi="宋体" w:eastAsia="宋体" w:cs="Times New Roman"/>
                <w:szCs w:val="21"/>
              </w:rPr>
            </w:pPr>
            <w:r>
              <w:rPr>
                <w:rFonts w:hint="eastAsia" w:ascii="宋体" w:hAnsi="宋体" w:eastAsia="宋体" w:cs="Times New Roman"/>
                <w:szCs w:val="21"/>
              </w:rPr>
              <w:t>能够分析剧本如何通过文字描述来引导观众的视觉想象，以及这些描述如何增强剧本的艺术效果</w:t>
            </w:r>
          </w:p>
          <w:p w14:paraId="26B63A68">
            <w:pPr>
              <w:numPr>
                <w:ilvl w:val="0"/>
                <w:numId w:val="47"/>
              </w:numPr>
              <w:jc w:val="left"/>
              <w:rPr>
                <w:rFonts w:hint="eastAsia" w:ascii="宋体" w:hAnsi="宋体" w:eastAsia="宋体" w:cs="Times New Roman"/>
                <w:szCs w:val="21"/>
              </w:rPr>
            </w:pPr>
            <w:r>
              <w:rPr>
                <w:rFonts w:hint="eastAsia" w:ascii="宋体" w:hAnsi="宋体" w:eastAsia="宋体" w:cs="Times New Roman"/>
                <w:szCs w:val="21"/>
              </w:rPr>
              <w:t>能够通过剧本中的人物和情节，产生情感共鸣，体验剧本所带来的情感冲击和审美愉悦；学会欣赏和评价剧本的美学价值，包括剧情的紧凑性、角色的鲜明性、主题的深刻性等。</w:t>
            </w:r>
          </w:p>
          <w:p w14:paraId="37EB70B0">
            <w:pPr>
              <w:numPr>
                <w:ilvl w:val="0"/>
                <w:numId w:val="47"/>
              </w:numPr>
              <w:jc w:val="left"/>
              <w:rPr>
                <w:rFonts w:hint="eastAsia" w:ascii="宋体" w:hAnsi="宋体" w:eastAsia="宋体" w:cs="Times New Roman"/>
                <w:szCs w:val="21"/>
              </w:rPr>
            </w:pPr>
            <w:r>
              <w:rPr>
                <w:rFonts w:ascii="宋体" w:hAnsi="宋体" w:eastAsia="宋体" w:cs="Times New Roman"/>
                <w:szCs w:val="21"/>
              </w:rPr>
              <w:t>激发创新思维，尝试从不同的角度来解读和演绎剧本</w:t>
            </w:r>
            <w:r>
              <w:rPr>
                <w:rFonts w:hint="eastAsia" w:ascii="宋体" w:hAnsi="宋体" w:eastAsia="宋体" w:cs="Times New Roman"/>
                <w:szCs w:val="21"/>
              </w:rPr>
              <w:t>；能</w:t>
            </w:r>
            <w:r>
              <w:rPr>
                <w:rFonts w:ascii="宋体" w:hAnsi="宋体" w:eastAsia="宋体" w:cs="Times New Roman"/>
                <w:szCs w:val="21"/>
              </w:rPr>
              <w:t>提出对剧本的看法和评价，包括优点和不足，以及可能的改进建议</w:t>
            </w:r>
            <w:r>
              <w:rPr>
                <w:rFonts w:hint="eastAsia" w:ascii="宋体" w:hAnsi="宋体" w:eastAsia="宋体" w:cs="Times New Roman"/>
                <w:szCs w:val="21"/>
              </w:rPr>
              <w:t>。</w:t>
            </w:r>
            <w:bookmarkEnd w:id="1550"/>
          </w:p>
        </w:tc>
        <w:tc>
          <w:tcPr>
            <w:tcW w:w="1281" w:type="dxa"/>
            <w:vAlign w:val="center"/>
          </w:tcPr>
          <w:p w14:paraId="5E4EDFA9">
            <w:pPr>
              <w:jc w:val="left"/>
              <w:rPr>
                <w:rFonts w:hint="eastAsia" w:ascii="宋体" w:hAnsi="宋体" w:eastAsia="宋体" w:cs="Times New Roman"/>
                <w:szCs w:val="21"/>
              </w:rPr>
            </w:pPr>
            <w:r>
              <w:rPr>
                <w:rFonts w:hint="eastAsia" w:ascii="宋体" w:hAnsi="宋体" w:eastAsia="宋体" w:cs="Times New Roman"/>
                <w:szCs w:val="21"/>
              </w:rPr>
              <w:t>案例分析</w:t>
            </w:r>
          </w:p>
          <w:p w14:paraId="12E73A6D">
            <w:pPr>
              <w:jc w:val="left"/>
              <w:rPr>
                <w:rFonts w:hint="eastAsia" w:ascii="宋体" w:hAnsi="宋体" w:eastAsia="宋体" w:cs="Times New Roman"/>
                <w:szCs w:val="21"/>
              </w:rPr>
            </w:pPr>
            <w:r>
              <w:rPr>
                <w:rFonts w:hint="eastAsia" w:ascii="宋体" w:hAnsi="宋体" w:eastAsia="宋体" w:cs="Times New Roman"/>
                <w:szCs w:val="21"/>
              </w:rPr>
              <w:t>小组讨论</w:t>
            </w:r>
          </w:p>
        </w:tc>
        <w:tc>
          <w:tcPr>
            <w:tcW w:w="438" w:type="dxa"/>
            <w:vAlign w:val="center"/>
          </w:tcPr>
          <w:p w14:paraId="4BB92DE1">
            <w:pPr>
              <w:jc w:val="center"/>
              <w:rPr>
                <w:rFonts w:hint="eastAsia" w:ascii="宋体" w:hAnsi="宋体" w:eastAsia="宋体" w:cs="Times New Roman"/>
                <w:szCs w:val="21"/>
              </w:rPr>
            </w:pPr>
            <w:r>
              <w:rPr>
                <w:rFonts w:hint="eastAsia" w:ascii="宋体" w:hAnsi="宋体" w:eastAsia="宋体" w:cs="Times New Roman"/>
                <w:szCs w:val="21"/>
              </w:rPr>
              <w:t>3</w:t>
            </w:r>
          </w:p>
        </w:tc>
      </w:tr>
      <w:tr w14:paraId="1FEB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245EA85A">
            <w:pPr>
              <w:jc w:val="center"/>
              <w:rPr>
                <w:rFonts w:hint="eastAsia" w:ascii="宋体" w:hAnsi="宋体" w:eastAsia="宋体" w:cs="Times New Roman"/>
                <w:szCs w:val="21"/>
              </w:rPr>
            </w:pPr>
          </w:p>
        </w:tc>
        <w:tc>
          <w:tcPr>
            <w:tcW w:w="8185" w:type="dxa"/>
            <w:gridSpan w:val="5"/>
            <w:vAlign w:val="center"/>
          </w:tcPr>
          <w:p w14:paraId="5E6D3DD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儿童戏剧课程中的故事、角色和情节，引导学生认识和理解社会现象，形成积极向上的生活态度和价值观念；具有历史故事、英雄人物等主题的戏剧赏析，让学生感受中华民族的伟大精神和优秀传统，增强对国家的热爱和民族的归属感</w:t>
            </w:r>
          </w:p>
        </w:tc>
      </w:tr>
      <w:tr w14:paraId="0A72D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restart"/>
            <w:vAlign w:val="center"/>
          </w:tcPr>
          <w:p w14:paraId="1DC9931D">
            <w:pPr>
              <w:jc w:val="center"/>
              <w:rPr>
                <w:rFonts w:hint="eastAsia" w:ascii="宋体" w:hAnsi="宋体" w:eastAsia="宋体" w:cs="Times New Roman"/>
                <w:szCs w:val="21"/>
              </w:rPr>
            </w:pPr>
            <w:r>
              <w:rPr>
                <w:rFonts w:hint="eastAsia" w:ascii="宋体" w:hAnsi="宋体" w:eastAsia="宋体" w:cs="Times New Roman"/>
                <w:szCs w:val="21"/>
              </w:rPr>
              <w:t>（八）</w:t>
            </w:r>
          </w:p>
          <w:p w14:paraId="591D83DE">
            <w:pPr>
              <w:jc w:val="center"/>
              <w:rPr>
                <w:rFonts w:hint="eastAsia" w:ascii="宋体" w:hAnsi="宋体" w:eastAsia="宋体" w:cs="Times New Roman"/>
                <w:szCs w:val="21"/>
              </w:rPr>
            </w:pPr>
            <w:bookmarkStart w:id="1551" w:name="OLE_LINK14"/>
            <w:r>
              <w:rPr>
                <w:rFonts w:hint="eastAsia" w:ascii="宋体" w:hAnsi="宋体" w:eastAsia="宋体" w:cs="Times New Roman"/>
                <w:szCs w:val="21"/>
              </w:rPr>
              <w:t>小组儿童戏剧创作与展演</w:t>
            </w:r>
            <w:bookmarkEnd w:id="1551"/>
          </w:p>
        </w:tc>
        <w:tc>
          <w:tcPr>
            <w:tcW w:w="1925" w:type="dxa"/>
            <w:vAlign w:val="center"/>
          </w:tcPr>
          <w:p w14:paraId="5C58CEA9">
            <w:pPr>
              <w:numPr>
                <w:ilvl w:val="0"/>
                <w:numId w:val="48"/>
              </w:numPr>
              <w:jc w:val="left"/>
              <w:rPr>
                <w:rFonts w:hint="eastAsia" w:ascii="宋体" w:hAnsi="宋体" w:eastAsia="宋体" w:cs="Times New Roman"/>
                <w:szCs w:val="21"/>
              </w:rPr>
            </w:pPr>
            <w:bookmarkStart w:id="1552" w:name="OLE_LINK15"/>
            <w:r>
              <w:rPr>
                <w:rFonts w:hint="eastAsia" w:ascii="宋体" w:hAnsi="宋体" w:eastAsia="宋体" w:cs="Times New Roman"/>
                <w:szCs w:val="21"/>
              </w:rPr>
              <w:t>小组合作完成一个剧本主题的确定以及一个完整剧本的创编；</w:t>
            </w:r>
          </w:p>
          <w:p w14:paraId="55FD22A1">
            <w:pPr>
              <w:numPr>
                <w:ilvl w:val="0"/>
                <w:numId w:val="48"/>
              </w:numPr>
              <w:jc w:val="left"/>
              <w:rPr>
                <w:rFonts w:hint="eastAsia" w:ascii="宋体" w:hAnsi="宋体" w:eastAsia="宋体" w:cs="Times New Roman"/>
                <w:szCs w:val="21"/>
              </w:rPr>
            </w:pPr>
            <w:r>
              <w:rPr>
                <w:rFonts w:hint="eastAsia" w:ascii="宋体" w:hAnsi="宋体" w:eastAsia="宋体" w:cs="Times New Roman"/>
                <w:szCs w:val="21"/>
              </w:rPr>
              <w:t>围绕小组剧本进行人物形象的三个维度的设计；</w:t>
            </w:r>
          </w:p>
          <w:p w14:paraId="6B265047">
            <w:pPr>
              <w:numPr>
                <w:ilvl w:val="0"/>
                <w:numId w:val="48"/>
              </w:numPr>
              <w:jc w:val="left"/>
              <w:rPr>
                <w:rFonts w:hint="eastAsia" w:ascii="宋体" w:hAnsi="宋体" w:eastAsia="宋体" w:cs="Times New Roman"/>
                <w:szCs w:val="21"/>
              </w:rPr>
            </w:pPr>
            <w:r>
              <w:rPr>
                <w:rFonts w:hint="eastAsia" w:ascii="宋体" w:hAnsi="宋体" w:eastAsia="宋体" w:cs="Times New Roman"/>
                <w:szCs w:val="21"/>
              </w:rPr>
              <w:t>围绕小组剧本进行服化道的设计</w:t>
            </w:r>
          </w:p>
          <w:p w14:paraId="37E2B32C">
            <w:pPr>
              <w:numPr>
                <w:ilvl w:val="0"/>
                <w:numId w:val="48"/>
              </w:numPr>
              <w:jc w:val="left"/>
              <w:rPr>
                <w:rFonts w:hint="eastAsia" w:ascii="宋体" w:hAnsi="宋体" w:eastAsia="宋体" w:cs="Times New Roman"/>
                <w:szCs w:val="21"/>
              </w:rPr>
            </w:pPr>
            <w:r>
              <w:rPr>
                <w:rFonts w:hint="eastAsia" w:ascii="宋体" w:hAnsi="宋体" w:eastAsia="宋体" w:cs="Times New Roman"/>
                <w:szCs w:val="21"/>
              </w:rPr>
              <w:t>各小组剧目的联合展演</w:t>
            </w:r>
            <w:bookmarkEnd w:id="1552"/>
          </w:p>
        </w:tc>
        <w:tc>
          <w:tcPr>
            <w:tcW w:w="1182" w:type="dxa"/>
            <w:vAlign w:val="center"/>
          </w:tcPr>
          <w:p w14:paraId="0F0070BC">
            <w:pPr>
              <w:jc w:val="center"/>
              <w:rPr>
                <w:rFonts w:hint="eastAsia" w:ascii="宋体" w:hAnsi="宋体" w:eastAsia="宋体" w:cs="宋体"/>
                <w:szCs w:val="21"/>
              </w:rPr>
            </w:pPr>
            <w:bookmarkStart w:id="1553" w:name="OLE_LINK25"/>
            <w:r>
              <w:rPr>
                <w:rFonts w:hint="eastAsia" w:ascii="宋体" w:hAnsi="宋体" w:eastAsia="宋体" w:cs="宋体"/>
                <w:szCs w:val="21"/>
              </w:rPr>
              <w:t>目标1</w:t>
            </w:r>
          </w:p>
          <w:p w14:paraId="1EF1964B">
            <w:pPr>
              <w:jc w:val="center"/>
              <w:rPr>
                <w:rFonts w:hint="eastAsia" w:ascii="宋体" w:hAnsi="宋体" w:eastAsia="宋体" w:cs="宋体"/>
                <w:szCs w:val="21"/>
              </w:rPr>
            </w:pPr>
            <w:r>
              <w:rPr>
                <w:rFonts w:hint="eastAsia" w:ascii="宋体" w:hAnsi="宋体" w:eastAsia="宋体" w:cs="宋体"/>
                <w:szCs w:val="21"/>
              </w:rPr>
              <w:t>目标2</w:t>
            </w:r>
          </w:p>
          <w:p w14:paraId="351F855A">
            <w:pPr>
              <w:jc w:val="center"/>
              <w:rPr>
                <w:rFonts w:hint="eastAsia" w:ascii="宋体" w:hAnsi="宋体" w:eastAsia="宋体" w:cs="Times New Roman"/>
                <w:szCs w:val="21"/>
              </w:rPr>
            </w:pPr>
            <w:r>
              <w:rPr>
                <w:rFonts w:hint="eastAsia" w:ascii="宋体" w:hAnsi="宋体" w:eastAsia="宋体" w:cs="宋体"/>
                <w:szCs w:val="21"/>
              </w:rPr>
              <w:t>目标3</w:t>
            </w:r>
            <w:bookmarkEnd w:id="1553"/>
          </w:p>
        </w:tc>
        <w:tc>
          <w:tcPr>
            <w:tcW w:w="3359" w:type="dxa"/>
            <w:vAlign w:val="center"/>
          </w:tcPr>
          <w:p w14:paraId="154B99D3">
            <w:pPr>
              <w:numPr>
                <w:ilvl w:val="0"/>
                <w:numId w:val="49"/>
              </w:numPr>
              <w:jc w:val="left"/>
              <w:rPr>
                <w:rFonts w:hint="eastAsia" w:ascii="宋体" w:hAnsi="宋体" w:eastAsia="宋体" w:cs="Times New Roman"/>
                <w:szCs w:val="21"/>
              </w:rPr>
            </w:pPr>
            <w:bookmarkStart w:id="1554" w:name="OLE_LINK16"/>
            <w:r>
              <w:rPr>
                <w:rFonts w:hint="eastAsia" w:ascii="宋体" w:hAnsi="宋体" w:eastAsia="宋体" w:cs="Times New Roman"/>
                <w:szCs w:val="21"/>
              </w:rPr>
              <w:t>强化剧本创作、服化道设计、台词表达等综合能力，锻炼</w:t>
            </w:r>
            <w:r>
              <w:rPr>
                <w:rFonts w:ascii="宋体" w:hAnsi="宋体" w:eastAsia="宋体" w:cs="Times New Roman"/>
                <w:szCs w:val="21"/>
              </w:rPr>
              <w:t>表演与表达能力</w:t>
            </w:r>
            <w:r>
              <w:rPr>
                <w:rFonts w:hint="eastAsia" w:ascii="宋体" w:hAnsi="宋体" w:eastAsia="宋体" w:cs="Times New Roman"/>
                <w:szCs w:val="21"/>
              </w:rPr>
              <w:t>；</w:t>
            </w:r>
          </w:p>
          <w:p w14:paraId="1058FC1C">
            <w:pPr>
              <w:numPr>
                <w:ilvl w:val="0"/>
                <w:numId w:val="49"/>
              </w:numPr>
              <w:jc w:val="left"/>
              <w:rPr>
                <w:rFonts w:hint="eastAsia" w:ascii="宋体" w:hAnsi="宋体" w:eastAsia="宋体" w:cs="Times New Roman"/>
                <w:szCs w:val="21"/>
              </w:rPr>
            </w:pPr>
            <w:r>
              <w:rPr>
                <w:rFonts w:hint="eastAsia" w:ascii="宋体" w:hAnsi="宋体" w:eastAsia="宋体" w:cs="Times New Roman"/>
                <w:szCs w:val="21"/>
              </w:rPr>
              <w:t>提升团队沟通、协作能力，促进不同小组之间的文化交流和理解，增进彼此之间的友谊和合作；</w:t>
            </w:r>
          </w:p>
          <w:p w14:paraId="40CC8A73">
            <w:pPr>
              <w:numPr>
                <w:ilvl w:val="0"/>
                <w:numId w:val="49"/>
              </w:numPr>
              <w:jc w:val="left"/>
              <w:rPr>
                <w:rFonts w:hint="eastAsia" w:ascii="宋体" w:hAnsi="宋体" w:eastAsia="宋体" w:cs="Times New Roman"/>
                <w:szCs w:val="21"/>
              </w:rPr>
            </w:pPr>
            <w:r>
              <w:rPr>
                <w:rFonts w:hint="eastAsia" w:ascii="宋体" w:hAnsi="宋体" w:eastAsia="宋体" w:cs="Times New Roman"/>
                <w:szCs w:val="21"/>
              </w:rPr>
              <w:t>学会</w:t>
            </w:r>
            <w:r>
              <w:rPr>
                <w:rFonts w:ascii="宋体" w:hAnsi="宋体" w:eastAsia="宋体" w:cs="Times New Roman"/>
                <w:szCs w:val="21"/>
              </w:rPr>
              <w:t>通过戏剧表演来表达自己的情感，同时也能够更好地理解和感受他人的情感。</w:t>
            </w:r>
            <w:bookmarkEnd w:id="1554"/>
          </w:p>
        </w:tc>
        <w:tc>
          <w:tcPr>
            <w:tcW w:w="1281" w:type="dxa"/>
            <w:vAlign w:val="center"/>
          </w:tcPr>
          <w:p w14:paraId="01E8342C">
            <w:pPr>
              <w:jc w:val="left"/>
              <w:rPr>
                <w:rFonts w:hint="eastAsia" w:ascii="宋体" w:hAnsi="宋体" w:eastAsia="宋体" w:cs="Times New Roman"/>
                <w:szCs w:val="21"/>
              </w:rPr>
            </w:pPr>
            <w:r>
              <w:rPr>
                <w:rFonts w:hint="eastAsia" w:ascii="宋体" w:hAnsi="宋体" w:eastAsia="宋体" w:cs="Times New Roman"/>
                <w:szCs w:val="21"/>
              </w:rPr>
              <w:t>小组实践</w:t>
            </w:r>
          </w:p>
        </w:tc>
        <w:tc>
          <w:tcPr>
            <w:tcW w:w="438" w:type="dxa"/>
            <w:vAlign w:val="center"/>
          </w:tcPr>
          <w:p w14:paraId="44264005">
            <w:pPr>
              <w:jc w:val="center"/>
              <w:rPr>
                <w:rFonts w:hint="eastAsia" w:ascii="宋体" w:hAnsi="宋体" w:eastAsia="宋体" w:cs="Times New Roman"/>
                <w:szCs w:val="21"/>
              </w:rPr>
            </w:pPr>
            <w:r>
              <w:rPr>
                <w:rFonts w:hint="eastAsia" w:ascii="宋体" w:hAnsi="宋体" w:eastAsia="宋体" w:cs="Times New Roman"/>
                <w:szCs w:val="21"/>
              </w:rPr>
              <w:t>9</w:t>
            </w:r>
          </w:p>
        </w:tc>
      </w:tr>
      <w:tr w14:paraId="51A4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vMerge w:val="continue"/>
            <w:vAlign w:val="center"/>
          </w:tcPr>
          <w:p w14:paraId="72AD6F5C">
            <w:pPr>
              <w:jc w:val="center"/>
              <w:rPr>
                <w:rFonts w:hint="eastAsia" w:ascii="宋体" w:hAnsi="宋体" w:eastAsia="宋体" w:cs="Times New Roman"/>
                <w:szCs w:val="21"/>
              </w:rPr>
            </w:pPr>
          </w:p>
        </w:tc>
        <w:tc>
          <w:tcPr>
            <w:tcW w:w="8185" w:type="dxa"/>
            <w:gridSpan w:val="5"/>
            <w:vAlign w:val="center"/>
          </w:tcPr>
          <w:p w14:paraId="02960E0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鼓励学生参与剧本创作、角色扮演等活动，激发他们的创造力和想象力，同时锻炼他们的实践能力；戏剧主题设定中融入历史故事、英雄人物等爱国主义元素，让学生感受中华民族的伟大精神和优秀传统，增强对国家的热爱和归属感。</w:t>
            </w:r>
          </w:p>
        </w:tc>
      </w:tr>
    </w:tbl>
    <w:p w14:paraId="2C907DD3">
      <w:pPr>
        <w:spacing w:before="62" w:beforeLines="20" w:after="62" w:afterLines="20" w:line="360" w:lineRule="auto"/>
        <w:jc w:val="left"/>
        <w:rPr>
          <w:rFonts w:ascii="Times New Roman" w:hAnsi="Times New Roman" w:eastAsia="宋体" w:cs="Times New Roman"/>
          <w:b/>
          <w:sz w:val="24"/>
        </w:rPr>
      </w:pPr>
      <w:bookmarkStart w:id="1555" w:name="_Toc15927"/>
      <w:bookmarkStart w:id="1556" w:name="_Toc11584"/>
      <w:bookmarkStart w:id="1557" w:name="_Toc20703"/>
      <w:bookmarkStart w:id="1558" w:name="_Toc23021"/>
      <w:bookmarkStart w:id="1559" w:name="_Toc10510"/>
      <w:bookmarkStart w:id="1560" w:name="_Toc10069"/>
      <w:bookmarkStart w:id="1561" w:name="_Toc22318"/>
      <w:r>
        <w:rPr>
          <w:rFonts w:hint="eastAsia" w:ascii="Times New Roman" w:hAnsi="Times New Roman" w:eastAsia="宋体" w:cs="Times New Roman"/>
          <w:b/>
          <w:sz w:val="24"/>
        </w:rPr>
        <w:t>四、目标评价与成绩评定</w:t>
      </w:r>
      <w:bookmarkEnd w:id="1555"/>
      <w:bookmarkEnd w:id="1556"/>
      <w:bookmarkEnd w:id="1557"/>
      <w:bookmarkEnd w:id="1558"/>
      <w:bookmarkEnd w:id="1559"/>
      <w:bookmarkEnd w:id="1560"/>
      <w:bookmarkEnd w:id="1561"/>
    </w:p>
    <w:p w14:paraId="3E37CA30">
      <w:pPr>
        <w:spacing w:line="360" w:lineRule="auto"/>
        <w:ind w:firstLine="422" w:firstLineChars="200"/>
        <w:jc w:val="left"/>
        <w:outlineLvl w:val="1"/>
        <w:rPr>
          <w:rFonts w:ascii="Times New Roman" w:hAnsi="Times New Roman" w:eastAsia="宋体" w:cs="Times New Roman"/>
          <w:b/>
          <w:szCs w:val="21"/>
        </w:rPr>
      </w:pPr>
      <w:bookmarkStart w:id="1562" w:name="_Toc11336"/>
      <w:r>
        <w:rPr>
          <w:rFonts w:hint="eastAsia" w:ascii="Times New Roman" w:hAnsi="Times New Roman" w:eastAsia="宋体" w:cs="Times New Roman"/>
          <w:b/>
          <w:szCs w:val="21"/>
        </w:rPr>
        <w:t>（一）课程目标评价方式</w:t>
      </w:r>
      <w:bookmarkEnd w:id="1562"/>
    </w:p>
    <w:p w14:paraId="7D5478A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1427"/>
        <w:gridCol w:w="1427"/>
        <w:gridCol w:w="1427"/>
        <w:gridCol w:w="1427"/>
        <w:gridCol w:w="791"/>
      </w:tblGrid>
      <w:tr w14:paraId="2AA5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Merge w:val="restart"/>
            <w:vAlign w:val="center"/>
          </w:tcPr>
          <w:p w14:paraId="2CA5FAC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7693A426">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791" w:type="dxa"/>
            <w:vMerge w:val="restart"/>
            <w:vAlign w:val="center"/>
          </w:tcPr>
          <w:p w14:paraId="190D348D">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0B9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Merge w:val="continue"/>
            <w:vAlign w:val="center"/>
          </w:tcPr>
          <w:p w14:paraId="355D5DA9">
            <w:pPr>
              <w:spacing w:line="360" w:lineRule="auto"/>
              <w:jc w:val="center"/>
              <w:rPr>
                <w:rFonts w:hint="eastAsia" w:ascii="宋体" w:hAnsi="宋体" w:eastAsia="宋体" w:cs="Times New Roman"/>
                <w:szCs w:val="21"/>
              </w:rPr>
            </w:pPr>
          </w:p>
        </w:tc>
        <w:tc>
          <w:tcPr>
            <w:tcW w:w="1427" w:type="dxa"/>
            <w:vAlign w:val="center"/>
          </w:tcPr>
          <w:p w14:paraId="59DEFE2D">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427" w:type="dxa"/>
            <w:vAlign w:val="center"/>
          </w:tcPr>
          <w:p w14:paraId="5AC9DFC2">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1427" w:type="dxa"/>
            <w:vAlign w:val="center"/>
          </w:tcPr>
          <w:p w14:paraId="0D9A0666">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期末展演</w:t>
            </w:r>
          </w:p>
        </w:tc>
        <w:tc>
          <w:tcPr>
            <w:tcW w:w="1427" w:type="dxa"/>
            <w:vAlign w:val="center"/>
          </w:tcPr>
          <w:p w14:paraId="68F42043">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791" w:type="dxa"/>
            <w:vMerge w:val="continue"/>
            <w:vAlign w:val="center"/>
          </w:tcPr>
          <w:p w14:paraId="7886A6CB">
            <w:pPr>
              <w:spacing w:line="360" w:lineRule="auto"/>
              <w:jc w:val="center"/>
              <w:rPr>
                <w:rFonts w:hint="eastAsia" w:ascii="宋体" w:hAnsi="宋体" w:eastAsia="宋体" w:cs="Times New Roman"/>
                <w:szCs w:val="21"/>
              </w:rPr>
            </w:pPr>
          </w:p>
        </w:tc>
      </w:tr>
      <w:tr w14:paraId="37CF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Align w:val="center"/>
          </w:tcPr>
          <w:p w14:paraId="4E6D647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27" w:type="dxa"/>
            <w:vAlign w:val="center"/>
          </w:tcPr>
          <w:p w14:paraId="55B47E2D">
            <w:pPr>
              <w:spacing w:line="360" w:lineRule="auto"/>
              <w:jc w:val="center"/>
              <w:rPr>
                <w:rFonts w:hint="eastAsia" w:ascii="宋体" w:hAnsi="宋体" w:eastAsia="宋体" w:cs="宋体"/>
                <w:szCs w:val="21"/>
              </w:rPr>
            </w:pPr>
            <w:r>
              <w:rPr>
                <w:rFonts w:hint="eastAsia" w:ascii="宋体" w:hAnsi="宋体" w:eastAsia="宋体" w:cs="宋体"/>
                <w:sz w:val="24"/>
              </w:rPr>
              <w:sym w:font="Wingdings 2" w:char="F050"/>
            </w:r>
          </w:p>
        </w:tc>
        <w:tc>
          <w:tcPr>
            <w:tcW w:w="1427" w:type="dxa"/>
            <w:vAlign w:val="center"/>
          </w:tcPr>
          <w:p w14:paraId="085966BB">
            <w:pPr>
              <w:spacing w:line="360" w:lineRule="auto"/>
              <w:jc w:val="center"/>
              <w:rPr>
                <w:rFonts w:hint="eastAsia" w:ascii="宋体" w:hAnsi="宋体" w:eastAsia="宋体" w:cs="宋体"/>
                <w:szCs w:val="21"/>
              </w:rPr>
            </w:pPr>
          </w:p>
        </w:tc>
        <w:tc>
          <w:tcPr>
            <w:tcW w:w="1427" w:type="dxa"/>
            <w:vAlign w:val="center"/>
          </w:tcPr>
          <w:p w14:paraId="68C6DA5D">
            <w:pPr>
              <w:spacing w:line="360" w:lineRule="auto"/>
              <w:jc w:val="center"/>
              <w:rPr>
                <w:rFonts w:hint="eastAsia" w:ascii="宋体" w:hAnsi="宋体" w:eastAsia="宋体" w:cs="宋体"/>
                <w:szCs w:val="21"/>
              </w:rPr>
            </w:pPr>
            <w:r>
              <w:rPr>
                <w:rFonts w:hint="eastAsia" w:ascii="宋体" w:hAnsi="宋体" w:eastAsia="宋体" w:cs="宋体"/>
                <w:sz w:val="24"/>
              </w:rPr>
              <w:sym w:font="Wingdings 2" w:char="F050"/>
            </w:r>
          </w:p>
        </w:tc>
        <w:tc>
          <w:tcPr>
            <w:tcW w:w="1427" w:type="dxa"/>
            <w:vAlign w:val="center"/>
          </w:tcPr>
          <w:p w14:paraId="2FB41819">
            <w:pPr>
              <w:spacing w:line="360" w:lineRule="auto"/>
              <w:jc w:val="center"/>
              <w:rPr>
                <w:rFonts w:hint="eastAsia" w:ascii="宋体" w:hAnsi="宋体" w:eastAsia="宋体" w:cs="宋体"/>
                <w:szCs w:val="21"/>
              </w:rPr>
            </w:pPr>
            <w:r>
              <w:rPr>
                <w:rFonts w:hint="eastAsia" w:ascii="宋体" w:hAnsi="宋体" w:eastAsia="宋体" w:cs="宋体"/>
                <w:sz w:val="24"/>
              </w:rPr>
              <w:sym w:font="Wingdings 2" w:char="F050"/>
            </w:r>
          </w:p>
        </w:tc>
        <w:tc>
          <w:tcPr>
            <w:tcW w:w="791" w:type="dxa"/>
            <w:vAlign w:val="center"/>
          </w:tcPr>
          <w:p w14:paraId="2B0D49A8">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88A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Align w:val="center"/>
          </w:tcPr>
          <w:p w14:paraId="2B6D32C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27" w:type="dxa"/>
            <w:vAlign w:val="center"/>
          </w:tcPr>
          <w:p w14:paraId="1741CC8B">
            <w:pPr>
              <w:spacing w:line="360" w:lineRule="auto"/>
              <w:jc w:val="center"/>
              <w:rPr>
                <w:rFonts w:hint="eastAsia" w:ascii="宋体" w:hAnsi="宋体" w:eastAsia="宋体" w:cs="宋体"/>
                <w:szCs w:val="21"/>
              </w:rPr>
            </w:pPr>
            <w:r>
              <w:rPr>
                <w:rFonts w:hint="eastAsia" w:ascii="宋体" w:hAnsi="宋体" w:eastAsia="宋体" w:cs="宋体"/>
                <w:sz w:val="24"/>
              </w:rPr>
              <w:sym w:font="Wingdings 2" w:char="F050"/>
            </w:r>
          </w:p>
        </w:tc>
        <w:tc>
          <w:tcPr>
            <w:tcW w:w="1427" w:type="dxa"/>
            <w:vAlign w:val="center"/>
          </w:tcPr>
          <w:p w14:paraId="5250B894">
            <w:pPr>
              <w:spacing w:line="360" w:lineRule="auto"/>
              <w:jc w:val="center"/>
              <w:rPr>
                <w:rFonts w:hint="eastAsia" w:ascii="宋体" w:hAnsi="宋体" w:eastAsia="宋体" w:cs="宋体"/>
                <w:szCs w:val="21"/>
              </w:rPr>
            </w:pPr>
            <w:r>
              <w:rPr>
                <w:rFonts w:hint="eastAsia" w:ascii="宋体" w:hAnsi="宋体" w:eastAsia="宋体" w:cs="宋体"/>
                <w:sz w:val="24"/>
              </w:rPr>
              <w:sym w:font="Wingdings 2" w:char="F050"/>
            </w:r>
          </w:p>
        </w:tc>
        <w:tc>
          <w:tcPr>
            <w:tcW w:w="1427" w:type="dxa"/>
            <w:vAlign w:val="center"/>
          </w:tcPr>
          <w:p w14:paraId="7DC5D590">
            <w:pPr>
              <w:spacing w:line="360" w:lineRule="auto"/>
              <w:jc w:val="center"/>
              <w:rPr>
                <w:rFonts w:hint="eastAsia" w:ascii="宋体" w:hAnsi="宋体" w:eastAsia="宋体" w:cs="宋体"/>
                <w:szCs w:val="21"/>
              </w:rPr>
            </w:pPr>
            <w:r>
              <w:rPr>
                <w:rFonts w:hint="eastAsia" w:ascii="宋体" w:hAnsi="宋体" w:eastAsia="宋体" w:cs="宋体"/>
                <w:sz w:val="24"/>
              </w:rPr>
              <w:sym w:font="Wingdings 2" w:char="F050"/>
            </w:r>
          </w:p>
        </w:tc>
        <w:tc>
          <w:tcPr>
            <w:tcW w:w="1427" w:type="dxa"/>
            <w:vAlign w:val="center"/>
          </w:tcPr>
          <w:p w14:paraId="299EE050">
            <w:pPr>
              <w:spacing w:line="360" w:lineRule="auto"/>
              <w:jc w:val="center"/>
              <w:rPr>
                <w:rFonts w:hint="eastAsia" w:ascii="宋体" w:hAnsi="宋体" w:eastAsia="宋体" w:cs="宋体"/>
                <w:szCs w:val="21"/>
              </w:rPr>
            </w:pPr>
            <w:r>
              <w:rPr>
                <w:rFonts w:hint="eastAsia" w:ascii="宋体" w:hAnsi="宋体" w:eastAsia="宋体" w:cs="宋体"/>
                <w:sz w:val="24"/>
              </w:rPr>
              <w:sym w:font="Wingdings 2" w:char="F050"/>
            </w:r>
          </w:p>
        </w:tc>
        <w:tc>
          <w:tcPr>
            <w:tcW w:w="791" w:type="dxa"/>
            <w:vAlign w:val="center"/>
          </w:tcPr>
          <w:p w14:paraId="4F101F39">
            <w:pPr>
              <w:spacing w:line="360" w:lineRule="auto"/>
              <w:jc w:val="center"/>
              <w:rPr>
                <w:rFonts w:hint="eastAsia" w:ascii="宋体" w:hAnsi="宋体" w:eastAsia="宋体" w:cs="Times New Roman"/>
                <w:szCs w:val="21"/>
              </w:rPr>
            </w:pPr>
            <w:r>
              <w:rPr>
                <w:rFonts w:hint="eastAsia" w:ascii="宋体" w:hAnsi="宋体" w:eastAsia="宋体" w:cs="Times New Roman"/>
                <w:szCs w:val="21"/>
              </w:rPr>
              <w:t>35</w:t>
            </w:r>
          </w:p>
        </w:tc>
      </w:tr>
      <w:tr w14:paraId="2EC0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0" w:type="auto"/>
            <w:vAlign w:val="center"/>
          </w:tcPr>
          <w:p w14:paraId="3C867DC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427" w:type="dxa"/>
            <w:vAlign w:val="center"/>
          </w:tcPr>
          <w:p w14:paraId="0E94C60A">
            <w:pPr>
              <w:spacing w:line="360" w:lineRule="auto"/>
              <w:jc w:val="center"/>
              <w:rPr>
                <w:rFonts w:hint="eastAsia" w:ascii="宋体" w:hAnsi="宋体" w:eastAsia="宋体" w:cs="宋体"/>
                <w:szCs w:val="21"/>
              </w:rPr>
            </w:pPr>
          </w:p>
        </w:tc>
        <w:tc>
          <w:tcPr>
            <w:tcW w:w="1427" w:type="dxa"/>
            <w:vAlign w:val="center"/>
          </w:tcPr>
          <w:p w14:paraId="7C7E39AF">
            <w:pPr>
              <w:spacing w:line="360" w:lineRule="auto"/>
              <w:jc w:val="center"/>
              <w:rPr>
                <w:rFonts w:hint="eastAsia" w:ascii="宋体" w:hAnsi="宋体" w:eastAsia="宋体" w:cs="宋体"/>
                <w:szCs w:val="21"/>
              </w:rPr>
            </w:pPr>
            <w:r>
              <w:rPr>
                <w:rFonts w:hint="eastAsia" w:ascii="宋体" w:hAnsi="宋体" w:eastAsia="宋体" w:cs="宋体"/>
                <w:sz w:val="24"/>
              </w:rPr>
              <w:sym w:font="Wingdings 2" w:char="F050"/>
            </w:r>
          </w:p>
        </w:tc>
        <w:tc>
          <w:tcPr>
            <w:tcW w:w="1427" w:type="dxa"/>
            <w:vAlign w:val="center"/>
          </w:tcPr>
          <w:p w14:paraId="1177D66E">
            <w:pPr>
              <w:spacing w:line="360" w:lineRule="auto"/>
              <w:jc w:val="center"/>
              <w:rPr>
                <w:rFonts w:hint="eastAsia" w:ascii="宋体" w:hAnsi="宋体" w:eastAsia="宋体" w:cs="宋体"/>
                <w:szCs w:val="21"/>
              </w:rPr>
            </w:pPr>
            <w:r>
              <w:rPr>
                <w:rFonts w:hint="eastAsia" w:ascii="宋体" w:hAnsi="宋体" w:eastAsia="宋体" w:cs="宋体"/>
                <w:sz w:val="24"/>
              </w:rPr>
              <w:sym w:font="Wingdings 2" w:char="F050"/>
            </w:r>
          </w:p>
        </w:tc>
        <w:tc>
          <w:tcPr>
            <w:tcW w:w="1427" w:type="dxa"/>
            <w:vAlign w:val="center"/>
          </w:tcPr>
          <w:p w14:paraId="3D69E425">
            <w:pPr>
              <w:spacing w:line="360" w:lineRule="auto"/>
              <w:jc w:val="center"/>
              <w:rPr>
                <w:rFonts w:hint="eastAsia" w:ascii="宋体" w:hAnsi="宋体" w:eastAsia="宋体" w:cs="宋体"/>
                <w:szCs w:val="21"/>
              </w:rPr>
            </w:pPr>
          </w:p>
        </w:tc>
        <w:tc>
          <w:tcPr>
            <w:tcW w:w="791" w:type="dxa"/>
            <w:vAlign w:val="center"/>
          </w:tcPr>
          <w:p w14:paraId="22624366">
            <w:pPr>
              <w:spacing w:line="360" w:lineRule="auto"/>
              <w:jc w:val="center"/>
              <w:rPr>
                <w:rFonts w:hint="eastAsia" w:ascii="宋体" w:hAnsi="宋体" w:eastAsia="宋体" w:cs="Times New Roman"/>
                <w:szCs w:val="21"/>
              </w:rPr>
            </w:pPr>
            <w:r>
              <w:rPr>
                <w:rFonts w:hint="eastAsia" w:ascii="宋体" w:hAnsi="宋体" w:eastAsia="宋体" w:cs="Times New Roman"/>
                <w:szCs w:val="21"/>
              </w:rPr>
              <w:t>35</w:t>
            </w:r>
          </w:p>
        </w:tc>
      </w:tr>
      <w:tr w14:paraId="692AB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0" w:type="auto"/>
            <w:vAlign w:val="center"/>
          </w:tcPr>
          <w:p w14:paraId="251785A6">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27" w:type="dxa"/>
            <w:vAlign w:val="center"/>
          </w:tcPr>
          <w:p w14:paraId="126EE562">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c>
          <w:tcPr>
            <w:tcW w:w="1427" w:type="dxa"/>
            <w:vAlign w:val="center"/>
          </w:tcPr>
          <w:p w14:paraId="43629D4B">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c>
          <w:tcPr>
            <w:tcW w:w="1427" w:type="dxa"/>
            <w:vAlign w:val="center"/>
          </w:tcPr>
          <w:p w14:paraId="39392508">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c>
          <w:tcPr>
            <w:tcW w:w="1427" w:type="dxa"/>
            <w:vAlign w:val="center"/>
          </w:tcPr>
          <w:p w14:paraId="604E7520">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c>
          <w:tcPr>
            <w:tcW w:w="791" w:type="dxa"/>
            <w:vAlign w:val="center"/>
          </w:tcPr>
          <w:p w14:paraId="3CF048EE">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2717E104">
      <w:pPr>
        <w:spacing w:before="156" w:beforeLines="50" w:line="360" w:lineRule="auto"/>
        <w:ind w:firstLine="422" w:firstLineChars="200"/>
        <w:jc w:val="left"/>
        <w:outlineLvl w:val="1"/>
        <w:rPr>
          <w:rFonts w:ascii="Times New Roman" w:hAnsi="Times New Roman" w:eastAsia="宋体" w:cs="Times New Roman"/>
          <w:b/>
          <w:szCs w:val="21"/>
        </w:rPr>
      </w:pPr>
      <w:bookmarkStart w:id="1563" w:name="_Toc4044"/>
      <w:r>
        <w:rPr>
          <w:rFonts w:hint="eastAsia" w:ascii="Times New Roman" w:hAnsi="Times New Roman" w:eastAsia="宋体" w:cs="Times New Roman"/>
          <w:b/>
          <w:szCs w:val="21"/>
        </w:rPr>
        <w:t>（二）成绩评定细则</w:t>
      </w:r>
      <w:bookmarkEnd w:id="1563"/>
    </w:p>
    <w:p w14:paraId="5A20113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02C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B40949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7912E2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06" w:type="dxa"/>
            <w:vAlign w:val="center"/>
          </w:tcPr>
          <w:p w14:paraId="37A3C0E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238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70D3484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74882F7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1.内容质量（30分）：主题相关、兼具深度与广度、论据充分性；</w:t>
            </w:r>
          </w:p>
          <w:p w14:paraId="2791F59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2.结构安排（30分）：逻辑清晰、层次分明、结论明确；</w:t>
            </w:r>
          </w:p>
          <w:p w14:paraId="2588A55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3.语言表达（25分）：准确性、流畅性、逻辑性；</w:t>
            </w:r>
          </w:p>
          <w:p w14:paraId="063AABA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4.卷面与书写（15分）：格式规范、书写规范、整洁度；</w:t>
            </w:r>
          </w:p>
        </w:tc>
        <w:tc>
          <w:tcPr>
            <w:tcW w:w="706" w:type="dxa"/>
            <w:vAlign w:val="center"/>
          </w:tcPr>
          <w:p w14:paraId="13D80B59">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14:paraId="378D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D827EAC">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7141" w:type="dxa"/>
            <w:vAlign w:val="center"/>
          </w:tcPr>
          <w:p w14:paraId="3242492D">
            <w:pPr>
              <w:widowControl/>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实践类型一</w:t>
            </w:r>
          </w:p>
          <w:p w14:paraId="33FE222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1.剧本大纲（20分）</w:t>
            </w:r>
          </w:p>
          <w:p w14:paraId="37704393">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清晰性：剧本大纲清晰明了，能够完整呈现剧情的发展脉络。</w:t>
            </w:r>
          </w:p>
          <w:p w14:paraId="68DD345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逻辑性：大纲中的情节安排合理，前后连贯，符合儿童的认知特点。</w:t>
            </w:r>
          </w:p>
          <w:p w14:paraId="092DFAE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创新性：大纲能展现出新颖的故事构思，吸引儿童的兴趣。</w:t>
            </w:r>
          </w:p>
          <w:p w14:paraId="43FFF93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2.剧本主旨（20分）</w:t>
            </w:r>
          </w:p>
          <w:p w14:paraId="4E097A4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主题鲜明：剧本有一个明确的主题，能够引导儿童思考和感悟。</w:t>
            </w:r>
          </w:p>
          <w:p w14:paraId="5CA46C2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教育意义：剧本主旨具有教育意义，能够传递正能量和价值观。</w:t>
            </w:r>
          </w:p>
          <w:p w14:paraId="2AD4F745">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适龄性：主旨适合儿童的年龄阶段，符合他们的心理发展特点。</w:t>
            </w:r>
          </w:p>
          <w:p w14:paraId="471EDE45">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3.戏剧冲突（20分）</w:t>
            </w:r>
          </w:p>
          <w:p w14:paraId="0641CC7F">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冲突设置：剧本中设置合适的戏剧冲突，推动剧情发展。</w:t>
            </w:r>
          </w:p>
          <w:p w14:paraId="254EC5EE">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冲突解决：冲突解决方式合理，能够给儿童留下深刻印象。</w:t>
            </w:r>
          </w:p>
          <w:p w14:paraId="5A0C123A">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紧张感：剧本能够营造出紧张的氛围，激发儿童的兴趣和好奇心。</w:t>
            </w:r>
          </w:p>
          <w:p w14:paraId="1C2421F3">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4.人物形象分析（20分）</w:t>
            </w:r>
          </w:p>
          <w:p w14:paraId="313729D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角色设定：角色设定丰富多样，各具特色，能够吸引儿童的关注。</w:t>
            </w:r>
          </w:p>
          <w:p w14:paraId="2C4BF5C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角色发展：角色在剧情中有成长和变化，展现出人性的复杂性。</w:t>
            </w:r>
          </w:p>
          <w:p w14:paraId="79212F6E">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角色与主旨：角色与剧本主旨紧密相关，能够体现主旨的内涵。</w:t>
            </w:r>
          </w:p>
          <w:p w14:paraId="0925822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5.展示者现场表现（20分）</w:t>
            </w:r>
          </w:p>
          <w:p w14:paraId="7EFDE68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语言表达：展示者使用生动、形象的语言，使剧本更具表现力。</w:t>
            </w:r>
          </w:p>
          <w:p w14:paraId="6D80DDBE">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肢体动作：展示者在表演过程中运用恰当的肢体动作，增强角色的表现力。</w:t>
            </w:r>
          </w:p>
          <w:p w14:paraId="03C7BE09">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情感表达：展示者能够准确地传达角色的情感，使观众产生共鸣。</w:t>
            </w:r>
          </w:p>
          <w:p w14:paraId="20D2041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时间控制：在规定时间内完成赏析交流。</w:t>
            </w:r>
          </w:p>
          <w:p w14:paraId="33F29468">
            <w:pPr>
              <w:widowControl/>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实践类型二</w:t>
            </w:r>
          </w:p>
          <w:p w14:paraId="7C34354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内容选择与表现（20分）</w:t>
            </w:r>
            <w:r>
              <w:rPr>
                <w:rFonts w:hint="eastAsia" w:ascii="Times New Roman" w:hAnsi="Times New Roman" w:eastAsia="宋体" w:cs="Times New Roman"/>
                <w:szCs w:val="21"/>
              </w:rPr>
              <w:t>：</w:t>
            </w:r>
            <w:r>
              <w:rPr>
                <w:rFonts w:ascii="Times New Roman" w:hAnsi="Times New Roman" w:eastAsia="宋体" w:cs="Times New Roman"/>
                <w:szCs w:val="21"/>
              </w:rPr>
              <w:t>相关性：游戏和习式与儿童戏剧课程紧密相关，能有效展示学生在课程中的学习和进步。</w:t>
            </w:r>
          </w:p>
          <w:p w14:paraId="79EC6996">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多样性：游戏和习式的种类丰富多样，能充分展示学生的多元技能。</w:t>
            </w:r>
          </w:p>
          <w:p w14:paraId="7D9B914E">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技术运用与制作质量（20分）</w:t>
            </w:r>
          </w:p>
          <w:p w14:paraId="54225A3E">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视频剪辑：剪辑流畅，过渡自然，能将游戏和习式有序地串联起来。</w:t>
            </w:r>
          </w:p>
          <w:p w14:paraId="44ECCE92">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画面质量：视频画面清晰稳定，色彩自然，无抖动或模糊现象。</w:t>
            </w:r>
          </w:p>
          <w:p w14:paraId="4BBD8CE8">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声音处理：声音清晰可辨，音量适中，无噪音干扰。</w:t>
            </w:r>
          </w:p>
          <w:p w14:paraId="41D3804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创意与趣味性（20分）</w:t>
            </w:r>
          </w:p>
          <w:p w14:paraId="69EC7E54">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创意性：视频剪辑具有创意，能在基本内容的基础上有所创新。</w:t>
            </w:r>
          </w:p>
          <w:p w14:paraId="30B73D40">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趣味性：游戏和习式有趣，能吸引观众的注意力。</w:t>
            </w:r>
          </w:p>
          <w:p w14:paraId="00B586D6">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文字说明与标注（20分）</w:t>
            </w:r>
          </w:p>
          <w:p w14:paraId="4F027743">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准确性：文字说明准确，无错别字或语病，能清晰传达游戏和习式的名称及内容。</w:t>
            </w:r>
          </w:p>
          <w:p w14:paraId="2CA63609">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规范性：文字标注否规范，字体、字号、颜色等与画面协调。</w:t>
            </w:r>
          </w:p>
          <w:p w14:paraId="7F73BD66">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团队协作与表现力（20分）</w:t>
            </w:r>
          </w:p>
          <w:p w14:paraId="1635F2DC">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团队协作：团队成员配合默契，协作完成视频剪辑任务。</w:t>
            </w:r>
          </w:p>
          <w:p w14:paraId="2EB29EB1">
            <w:pPr>
              <w:widowControl/>
              <w:spacing w:line="264" w:lineRule="auto"/>
              <w:jc w:val="left"/>
              <w:rPr>
                <w:rFonts w:ascii="Times New Roman" w:hAnsi="Times New Roman" w:eastAsia="宋体" w:cs="Times New Roman"/>
                <w:szCs w:val="21"/>
              </w:rPr>
            </w:pPr>
            <w:r>
              <w:rPr>
                <w:rFonts w:ascii="Times New Roman" w:hAnsi="Times New Roman" w:eastAsia="宋体" w:cs="Times New Roman"/>
                <w:szCs w:val="21"/>
              </w:rPr>
              <w:t>表现力：学生在游戏和习式中的表现积极，能展现自己的才能和技能。</w:t>
            </w:r>
          </w:p>
        </w:tc>
        <w:tc>
          <w:tcPr>
            <w:tcW w:w="706" w:type="dxa"/>
            <w:vAlign w:val="center"/>
          </w:tcPr>
          <w:p w14:paraId="157EABB1">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2321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486AAFBC">
            <w:pPr>
              <w:rPr>
                <w:rFonts w:ascii="Times New Roman" w:hAnsi="Times New Roman" w:eastAsia="宋体" w:cs="Times New Roman"/>
                <w:szCs w:val="21"/>
              </w:rPr>
            </w:pPr>
            <w:r>
              <w:rPr>
                <w:rFonts w:hint="eastAsia" w:ascii="Times New Roman" w:hAnsi="Times New Roman" w:eastAsia="宋体" w:cs="Times New Roman"/>
                <w:szCs w:val="21"/>
              </w:rPr>
              <w:t>期末展演</w:t>
            </w:r>
          </w:p>
        </w:tc>
        <w:tc>
          <w:tcPr>
            <w:tcW w:w="7141" w:type="dxa"/>
            <w:vAlign w:val="center"/>
          </w:tcPr>
          <w:p w14:paraId="3FE4A2BA">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1.剧本（20分）：思想健康，主题鲜明；贴近儿童的生活；结构完整，无知识性和常识性错误；情节流畅，且设计紧凑合理；寓教于演，引人入胜。</w:t>
            </w:r>
          </w:p>
          <w:p w14:paraId="414394D5">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2.演员（45分）：语言清晰流畅，具有表现力和感染力；声音、声调符合角色性格特征和年龄特征；角色投入充分，表演自然到位，能照顾到观众；表情、动作均符合角色性格特征和年龄特征；小组成员全员参与；彼此配合默契；表演过程中没有冷场或相互提醒。</w:t>
            </w:r>
          </w:p>
          <w:p w14:paraId="58B1925C">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3.舞台艺术（20分）：有道具，且道具选择恰当；服装设计符合人物角色；选择的音乐符合故事内容；能恰当运用美术、音乐、灯光等烘托环境；能综合歌舞、音乐等艺术手法。</w:t>
            </w:r>
          </w:p>
          <w:p w14:paraId="2F48AB3D">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4.特色或创新性（10分）：有一定的创编情节；或舞台表演形式独特；或其他让人耳目一新的表现手法。</w:t>
            </w:r>
          </w:p>
          <w:p w14:paraId="11DE1882">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5.时间（5分）：用时10分钟左右</w:t>
            </w:r>
          </w:p>
        </w:tc>
        <w:tc>
          <w:tcPr>
            <w:tcW w:w="706" w:type="dxa"/>
            <w:vAlign w:val="center"/>
          </w:tcPr>
          <w:p w14:paraId="105EE26F">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4A45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749006F">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6A2818F">
            <w:pPr>
              <w:numPr>
                <w:ilvl w:val="0"/>
                <w:numId w:val="50"/>
              </w:numPr>
              <w:adjustRightInd w:val="0"/>
              <w:snapToGrid w:val="0"/>
              <w:spacing w:line="360" w:lineRule="auto"/>
              <w:rPr>
                <w:rFonts w:hint="eastAsia" w:ascii="宋体" w:hAnsi="宋体" w:eastAsia="宋体" w:cs="宋体"/>
                <w:szCs w:val="22"/>
              </w:rPr>
            </w:pPr>
            <w:r>
              <w:rPr>
                <w:rFonts w:hint="eastAsia" w:ascii="宋体" w:hAnsi="宋体" w:eastAsia="宋体" w:cs="宋体"/>
                <w:szCs w:val="22"/>
              </w:rPr>
              <w:t>教学目标（10分）：教学目标明确、具体，与儿童戏剧教育的总体目标紧密相关，能够清晰地指导整个活动的设计与实施；目标应涵盖知识、技能、情感态度等多个维度，且符合儿童的年龄特点和认知水平。</w:t>
            </w:r>
          </w:p>
          <w:p w14:paraId="43511F9E">
            <w:pPr>
              <w:numPr>
                <w:ilvl w:val="0"/>
                <w:numId w:val="50"/>
              </w:numPr>
              <w:adjustRightInd w:val="0"/>
              <w:snapToGrid w:val="0"/>
              <w:spacing w:line="360" w:lineRule="auto"/>
              <w:rPr>
                <w:rFonts w:hint="eastAsia" w:ascii="宋体" w:hAnsi="宋体" w:eastAsia="宋体" w:cs="宋体"/>
                <w:szCs w:val="22"/>
              </w:rPr>
            </w:pPr>
            <w:r>
              <w:rPr>
                <w:rFonts w:hint="eastAsia" w:ascii="宋体" w:hAnsi="宋体" w:eastAsia="宋体" w:cs="宋体"/>
                <w:szCs w:val="22"/>
              </w:rPr>
              <w:t>教学准备（10分）：活动内容丰富、有趣，与教学目标紧密相关，且适合儿童的年龄和兴趣；素材选择恰当，能够辅助活动的顺利进行。</w:t>
            </w:r>
          </w:p>
          <w:p w14:paraId="1A36D3FB">
            <w:pPr>
              <w:numPr>
                <w:ilvl w:val="0"/>
                <w:numId w:val="50"/>
              </w:numPr>
              <w:adjustRightInd w:val="0"/>
              <w:snapToGrid w:val="0"/>
              <w:spacing w:line="360" w:lineRule="auto"/>
              <w:rPr>
                <w:rFonts w:hint="eastAsia" w:ascii="宋体" w:hAnsi="宋体" w:eastAsia="宋体" w:cs="宋体"/>
                <w:szCs w:val="22"/>
              </w:rPr>
            </w:pPr>
            <w:r>
              <w:rPr>
                <w:rFonts w:hint="eastAsia" w:ascii="宋体" w:hAnsi="宋体" w:eastAsia="宋体" w:cs="宋体"/>
                <w:szCs w:val="22"/>
              </w:rPr>
              <w:t>活动/游戏名称（10分）：活动/游戏名称清晰、吸引人，能够立即传达活动主题或核心要素，激发儿童的兴趣和好奇心。</w:t>
            </w:r>
          </w:p>
          <w:p w14:paraId="446F0705">
            <w:pPr>
              <w:adjustRightInd w:val="0"/>
              <w:snapToGrid w:val="0"/>
              <w:spacing w:line="360" w:lineRule="auto"/>
              <w:rPr>
                <w:rFonts w:hint="eastAsia" w:ascii="宋体" w:hAnsi="宋体" w:eastAsia="宋体" w:cs="宋体"/>
                <w:szCs w:val="22"/>
              </w:rPr>
            </w:pPr>
            <w:r>
              <w:rPr>
                <w:rFonts w:hint="eastAsia" w:ascii="宋体" w:hAnsi="宋体" w:eastAsia="宋体" w:cs="宋体"/>
                <w:szCs w:val="22"/>
              </w:rPr>
              <w:t>4.戏剧习式/游戏类型（20分）：明确指出戏剧习式或游戏类型（如角色扮演、即兴表演、情景模拟等），并且该类型适合儿童的年龄和发展阶段，有助于实现教育目；</w:t>
            </w:r>
          </w:p>
          <w:p w14:paraId="726D258D">
            <w:pPr>
              <w:adjustRightInd w:val="0"/>
              <w:snapToGrid w:val="0"/>
              <w:spacing w:line="360" w:lineRule="auto"/>
              <w:rPr>
                <w:rFonts w:hint="eastAsia" w:ascii="宋体" w:hAnsi="宋体" w:eastAsia="宋体" w:cs="宋体"/>
                <w:szCs w:val="22"/>
              </w:rPr>
            </w:pPr>
            <w:r>
              <w:rPr>
                <w:rFonts w:hint="eastAsia" w:ascii="宋体" w:hAnsi="宋体" w:eastAsia="宋体" w:cs="宋体"/>
                <w:szCs w:val="22"/>
              </w:rPr>
              <w:t>5.活动/游戏目标（10分）：目标清晰、具体、可衡量，且符合儿童戏剧教育的总体目标。</w:t>
            </w:r>
          </w:p>
          <w:p w14:paraId="60469126">
            <w:pPr>
              <w:adjustRightInd w:val="0"/>
              <w:snapToGrid w:val="0"/>
              <w:spacing w:line="360" w:lineRule="auto"/>
              <w:rPr>
                <w:rFonts w:hint="eastAsia" w:ascii="宋体" w:hAnsi="宋体" w:eastAsia="宋体" w:cs="宋体"/>
                <w:szCs w:val="22"/>
              </w:rPr>
            </w:pPr>
            <w:r>
              <w:rPr>
                <w:rFonts w:hint="eastAsia" w:ascii="宋体" w:hAnsi="宋体" w:eastAsia="宋体" w:cs="宋体"/>
                <w:szCs w:val="22"/>
              </w:rPr>
              <w:t>6.活动/游戏过程（30分）：过程设计合理、流畅，能够充分激发儿童的参与热情，有效实现活动目标。包括热身、导入、主体活动、高潮和结束等环节，每个环节都有明确的目的和步骤。</w:t>
            </w:r>
          </w:p>
          <w:p w14:paraId="0E3B539F">
            <w:pPr>
              <w:adjustRightInd w:val="0"/>
              <w:snapToGrid w:val="0"/>
              <w:spacing w:line="360" w:lineRule="auto"/>
              <w:rPr>
                <w:rFonts w:hint="eastAsia" w:ascii="宋体" w:hAnsi="宋体" w:eastAsia="宋体" w:cs="宋体"/>
                <w:kern w:val="0"/>
                <w:szCs w:val="21"/>
                <w:lang w:bidi="ar"/>
              </w:rPr>
            </w:pPr>
            <w:r>
              <w:rPr>
                <w:rFonts w:hint="eastAsia" w:ascii="宋体" w:hAnsi="宋体" w:eastAsia="宋体" w:cs="宋体"/>
                <w:szCs w:val="22"/>
              </w:rPr>
              <w:t>7.创新加分（10分）：活动设计具有高度的创新性，如采用新颖的戏剧习式、融合现代科技元素、结合社会热点等，为儿童提供独特的戏剧体验。</w:t>
            </w:r>
          </w:p>
        </w:tc>
        <w:tc>
          <w:tcPr>
            <w:tcW w:w="706" w:type="dxa"/>
            <w:vAlign w:val="center"/>
          </w:tcPr>
          <w:p w14:paraId="1503B50F">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14:paraId="2C8B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5" w:type="dxa"/>
            <w:vAlign w:val="center"/>
          </w:tcPr>
          <w:p w14:paraId="70E607D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43C6CD3E">
            <w:pPr>
              <w:jc w:val="left"/>
              <w:rPr>
                <w:rFonts w:ascii="Times New Roman" w:hAnsi="Times New Roman" w:eastAsia="宋体" w:cs="Times New Roman"/>
                <w:szCs w:val="21"/>
              </w:rPr>
            </w:pPr>
          </w:p>
        </w:tc>
        <w:tc>
          <w:tcPr>
            <w:tcW w:w="706" w:type="dxa"/>
            <w:vAlign w:val="center"/>
          </w:tcPr>
          <w:p w14:paraId="3CBCA82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7185427">
      <w:pPr>
        <w:spacing w:line="360" w:lineRule="auto"/>
        <w:ind w:firstLine="422" w:firstLineChars="200"/>
        <w:jc w:val="left"/>
        <w:outlineLvl w:val="1"/>
        <w:rPr>
          <w:rFonts w:hint="eastAsia" w:ascii="宋体" w:hAnsi="宋体" w:eastAsia="宋体" w:cs="Times New Roman"/>
          <w:b/>
          <w:szCs w:val="21"/>
        </w:rPr>
      </w:pPr>
      <w:bookmarkStart w:id="1564" w:name="_Toc7366"/>
      <w:r>
        <w:rPr>
          <w:rFonts w:hint="eastAsia" w:ascii="宋体" w:hAnsi="宋体" w:eastAsia="宋体" w:cs="Times New Roman"/>
          <w:b/>
          <w:szCs w:val="21"/>
        </w:rPr>
        <w:t>（三）课程目标达成度计算方法</w:t>
      </w:r>
      <w:bookmarkEnd w:id="1564"/>
    </w:p>
    <w:p w14:paraId="4B61139D">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63A57C2">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67"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67" DrawAspect="Content" ObjectID="_1468075767" r:id="rId55">
            <o:LockedField>false</o:LockedField>
          </o:OLEObject>
        </w:object>
      </w:r>
      <w:bookmarkStart w:id="1565" w:name="_Toc5542"/>
      <w:bookmarkStart w:id="1566" w:name="_Toc10238"/>
      <w:bookmarkStart w:id="1567" w:name="_Toc15147"/>
      <w:bookmarkStart w:id="1568" w:name="_Toc23832"/>
      <w:bookmarkStart w:id="1569" w:name="_Toc10960"/>
      <w:bookmarkStart w:id="1570" w:name="_Toc19765"/>
      <w:bookmarkStart w:id="1571" w:name="_Toc1547"/>
      <w:r>
        <w:rPr>
          <w:rFonts w:hint="eastAsia" w:ascii="Times New Roman" w:hAnsi="Times New Roman" w:eastAsia="宋体" w:cs="Times New Roman"/>
          <w:b/>
          <w:sz w:val="24"/>
        </w:rPr>
        <w:t>五、有关说明</w:t>
      </w:r>
      <w:bookmarkEnd w:id="1565"/>
      <w:bookmarkEnd w:id="1566"/>
      <w:bookmarkEnd w:id="1567"/>
      <w:bookmarkEnd w:id="1568"/>
      <w:bookmarkEnd w:id="1569"/>
      <w:bookmarkEnd w:id="1570"/>
      <w:bookmarkEnd w:id="1571"/>
    </w:p>
    <w:p w14:paraId="674592A1">
      <w:pPr>
        <w:spacing w:line="360" w:lineRule="auto"/>
        <w:ind w:firstLine="422" w:firstLineChars="200"/>
        <w:jc w:val="left"/>
        <w:outlineLvl w:val="1"/>
        <w:rPr>
          <w:rFonts w:ascii="Times New Roman" w:hAnsi="Times New Roman" w:eastAsia="宋体" w:cs="Times New Roman"/>
          <w:b/>
          <w:szCs w:val="21"/>
        </w:rPr>
      </w:pPr>
      <w:bookmarkStart w:id="1572" w:name="_Toc31749"/>
      <w:r>
        <w:rPr>
          <w:rFonts w:hint="eastAsia" w:ascii="Times New Roman" w:hAnsi="Times New Roman" w:eastAsia="宋体" w:cs="Times New Roman"/>
          <w:b/>
          <w:szCs w:val="21"/>
        </w:rPr>
        <w:t>（一）持续改进</w:t>
      </w:r>
      <w:bookmarkEnd w:id="1572"/>
    </w:p>
    <w:p w14:paraId="73170C91">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本课程根据学生作业、课堂讨论、实验环节、平时考核情况和学生、教学督导等的反馈，及时对教学中的不足之处进行改进，并在下一轮课程教学中整改完善，确保相应毕业要求指标点达成。</w:t>
      </w:r>
    </w:p>
    <w:p w14:paraId="564A0DF6">
      <w:pPr>
        <w:spacing w:line="360" w:lineRule="auto"/>
        <w:ind w:firstLine="422" w:firstLineChars="200"/>
        <w:jc w:val="left"/>
        <w:outlineLvl w:val="1"/>
        <w:rPr>
          <w:rFonts w:ascii="Times New Roman" w:hAnsi="Times New Roman" w:eastAsia="宋体" w:cs="Times New Roman"/>
          <w:b/>
          <w:szCs w:val="21"/>
        </w:rPr>
      </w:pPr>
      <w:bookmarkStart w:id="1573" w:name="_Toc7342"/>
      <w:r>
        <w:rPr>
          <w:rFonts w:hint="eastAsia" w:ascii="Times New Roman" w:hAnsi="Times New Roman" w:eastAsia="宋体" w:cs="Times New Roman"/>
          <w:b/>
          <w:szCs w:val="21"/>
        </w:rPr>
        <w:t>（二）建议教材</w:t>
      </w:r>
      <w:bookmarkEnd w:id="1573"/>
    </w:p>
    <w:p w14:paraId="720676CC">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方先义.儿童戏剧（第二版）.中国人民大学出版社.2024年3月</w:t>
      </w:r>
    </w:p>
    <w:p w14:paraId="7D08678B">
      <w:pPr>
        <w:spacing w:line="360" w:lineRule="auto"/>
        <w:ind w:firstLine="422" w:firstLineChars="200"/>
        <w:jc w:val="left"/>
        <w:outlineLvl w:val="1"/>
        <w:rPr>
          <w:rFonts w:ascii="Times New Roman" w:hAnsi="Times New Roman" w:eastAsia="宋体" w:cs="Times New Roman"/>
          <w:b/>
          <w:szCs w:val="21"/>
        </w:rPr>
      </w:pPr>
      <w:bookmarkStart w:id="1574" w:name="_Toc11028"/>
      <w:r>
        <w:rPr>
          <w:rFonts w:hint="eastAsia" w:ascii="Times New Roman" w:hAnsi="Times New Roman" w:eastAsia="宋体" w:cs="Times New Roman"/>
          <w:b/>
          <w:szCs w:val="21"/>
        </w:rPr>
        <w:t>（三）参考书目</w:t>
      </w:r>
      <w:bookmarkEnd w:id="1574"/>
    </w:p>
    <w:p w14:paraId="46792E04">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方先义.儿童戏剧创编与表演(第二版)，南京大学出版社2019年1月出版</w:t>
      </w:r>
    </w:p>
    <w:p w14:paraId="31E7264C">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郑薏苡.儿童戏剧与学前教育.杭州：浙江工商大学出版社.2012</w:t>
      </w:r>
    </w:p>
    <w:p w14:paraId="0BB4F918">
      <w:pPr>
        <w:spacing w:line="360" w:lineRule="auto"/>
        <w:ind w:firstLine="411" w:firstLineChars="196"/>
        <w:jc w:val="left"/>
        <w:rPr>
          <w:rFonts w:hint="eastAsia" w:ascii="等线" w:hAnsi="等线" w:eastAsia="等线" w:cs="Times New Roman"/>
          <w:szCs w:val="22"/>
        </w:rPr>
      </w:pPr>
      <w:r>
        <w:rPr>
          <w:rFonts w:hint="eastAsia" w:ascii="宋体" w:hAnsi="宋体" w:eastAsia="宋体" w:cs="Times New Roman"/>
          <w:szCs w:val="21"/>
        </w:rPr>
        <w:t>张小媛.儿童剧表演.南京：南京师范大学出版社.2011</w:t>
      </w:r>
    </w:p>
    <w:p w14:paraId="38C4CC23">
      <w:pPr>
        <w:spacing w:line="360" w:lineRule="auto"/>
        <w:ind w:right="1920"/>
        <w:jc w:val="center"/>
        <w:rPr>
          <w:rFonts w:ascii="Times New Roman" w:hAnsi="Times New Roman" w:eastAsia="宋体" w:cs="Times New Roman"/>
          <w:sz w:val="24"/>
        </w:rPr>
      </w:pPr>
      <w:r>
        <w:rPr>
          <w:rFonts w:hint="eastAsia" w:ascii="Times New Roman" w:hAnsi="Times New Roman" w:eastAsia="宋体" w:cs="Times New Roman"/>
          <w:sz w:val="24"/>
        </w:rPr>
        <w:t xml:space="preserve">                                     执 笔 人：</w:t>
      </w:r>
      <w:r>
        <w:rPr>
          <w:rFonts w:ascii="Times New Roman" w:hAnsi="Times New Roman" w:eastAsia="宋体" w:cs="Times New Roman"/>
          <w:sz w:val="24"/>
        </w:rPr>
        <w:t xml:space="preserve"> </w:t>
      </w:r>
      <w:r>
        <w:rPr>
          <w:rFonts w:hint="eastAsia" w:ascii="Times New Roman" w:hAnsi="Times New Roman" w:eastAsia="宋体" w:cs="Times New Roman"/>
          <w:sz w:val="24"/>
        </w:rPr>
        <w:t>章  燕</w:t>
      </w:r>
    </w:p>
    <w:p w14:paraId="70D819F4">
      <w:pPr>
        <w:spacing w:line="360" w:lineRule="auto"/>
        <w:ind w:right="1920"/>
        <w:jc w:val="center"/>
        <w:rPr>
          <w:rFonts w:ascii="Times New Roman" w:hAnsi="Times New Roman" w:eastAsia="宋体" w:cs="Times New Roman"/>
          <w:sz w:val="24"/>
        </w:rPr>
      </w:pPr>
      <w:r>
        <w:rPr>
          <w:rFonts w:hint="eastAsia" w:ascii="Times New Roman" w:hAnsi="Times New Roman" w:eastAsia="宋体" w:cs="Times New Roman"/>
          <w:sz w:val="24"/>
        </w:rPr>
        <w:t xml:space="preserve">                                     审 定 人：</w:t>
      </w:r>
      <w:r>
        <w:rPr>
          <w:rFonts w:ascii="Times New Roman" w:hAnsi="Times New Roman" w:eastAsia="宋体" w:cs="Times New Roman"/>
          <w:sz w:val="24"/>
        </w:rPr>
        <w:t xml:space="preserve"> </w:t>
      </w:r>
      <w:r>
        <w:rPr>
          <w:rFonts w:hint="eastAsia" w:ascii="Times New Roman" w:hAnsi="Times New Roman" w:eastAsia="宋体" w:cs="Times New Roman"/>
          <w:sz w:val="24"/>
        </w:rPr>
        <w:t>王  健</w:t>
      </w:r>
    </w:p>
    <w:p w14:paraId="2D688B2C">
      <w:pPr>
        <w:spacing w:line="360" w:lineRule="auto"/>
        <w:ind w:right="1920"/>
        <w:jc w:val="center"/>
        <w:rPr>
          <w:rFonts w:ascii="Times New Roman" w:hAnsi="Times New Roman" w:eastAsia="宋体" w:cs="Times New Roman"/>
          <w:sz w:val="24"/>
        </w:rPr>
      </w:pPr>
      <w:r>
        <w:rPr>
          <w:rFonts w:hint="eastAsia" w:ascii="Times New Roman" w:hAnsi="Times New Roman" w:eastAsia="宋体" w:cs="Times New Roman"/>
          <w:sz w:val="24"/>
        </w:rPr>
        <w:t xml:space="preserve">                                     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1EAFCF42">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 xml:space="preserve">                              批准时间：2025年7月1日</w:t>
      </w:r>
    </w:p>
    <w:p w14:paraId="59AEDA43">
      <w:pPr>
        <w:rPr>
          <w:rFonts w:hint="eastAsia" w:ascii="等线" w:hAnsi="等线" w:eastAsia="等线" w:cs="Times New Roman"/>
          <w:szCs w:val="22"/>
        </w:rPr>
      </w:pPr>
    </w:p>
    <w:p w14:paraId="23F81A87">
      <w:pPr>
        <w:widowControl/>
        <w:jc w:val="left"/>
        <w:rPr>
          <w:rFonts w:hint="eastAsia" w:ascii="宋体" w:hAnsi="宋体" w:eastAsia="宋体" w:cs="宋体"/>
          <w:kern w:val="0"/>
          <w:sz w:val="20"/>
          <w:szCs w:val="20"/>
          <w:lang w:val="eu-ES"/>
        </w:rPr>
      </w:pPr>
      <w:r>
        <w:rPr>
          <w:rFonts w:ascii="宋体" w:hAnsi="宋体" w:eastAsia="宋体" w:cs="宋体"/>
          <w:kern w:val="0"/>
          <w:sz w:val="20"/>
          <w:szCs w:val="20"/>
          <w:lang w:val="eu-ES"/>
        </w:rPr>
        <w:br w:type="page"/>
      </w:r>
    </w:p>
    <w:p w14:paraId="001E6CE3">
      <w:pPr>
        <w:spacing w:line="360" w:lineRule="auto"/>
        <w:jc w:val="center"/>
        <w:outlineLvl w:val="0"/>
        <w:rPr>
          <w:rFonts w:ascii="Times New Roman" w:hAnsi="Times New Roman" w:eastAsia="宋体" w:cs="Times New Roman"/>
          <w:b/>
          <w:sz w:val="44"/>
          <w:szCs w:val="44"/>
        </w:rPr>
      </w:pPr>
      <w:bookmarkStart w:id="1575" w:name="_Toc17812"/>
      <w:bookmarkStart w:id="1576" w:name="_Toc6198"/>
      <w:bookmarkStart w:id="1577" w:name="_Toc11081"/>
      <w:bookmarkStart w:id="1578" w:name="_Toc24486"/>
      <w:r>
        <w:rPr>
          <w:rFonts w:hint="eastAsia" w:ascii="Times New Roman" w:hAnsi="Times New Roman" w:eastAsia="宋体" w:cs="Times New Roman"/>
          <w:b/>
          <w:sz w:val="44"/>
          <w:szCs w:val="44"/>
        </w:rPr>
        <w:t>《社会统计软件》课程教学大纲</w:t>
      </w:r>
      <w:bookmarkEnd w:id="1575"/>
      <w:bookmarkEnd w:id="1576"/>
      <w:bookmarkEnd w:id="1577"/>
      <w:bookmarkEnd w:id="1578"/>
    </w:p>
    <w:p w14:paraId="2A43EAA7">
      <w:pPr>
        <w:spacing w:line="360" w:lineRule="auto"/>
        <w:jc w:val="center"/>
        <w:rPr>
          <w:rFonts w:ascii="Times New Roman" w:hAnsi="Times New Roman" w:eastAsia="宋体" w:cs="Times New Roman"/>
          <w:b/>
          <w:bCs/>
          <w:sz w:val="28"/>
          <w:szCs w:val="28"/>
        </w:rPr>
      </w:pPr>
      <w:bookmarkStart w:id="1579" w:name="_Toc5483"/>
      <w:bookmarkStart w:id="1580" w:name="_Toc23644"/>
      <w:bookmarkStart w:id="1581" w:name="_Toc11398"/>
      <w:bookmarkStart w:id="1582" w:name="_Toc1261"/>
      <w:bookmarkStart w:id="1583" w:name="_Toc18720"/>
      <w:bookmarkStart w:id="1584" w:name="_Toc22293"/>
      <w:bookmarkStart w:id="1585" w:name="_Toc17934"/>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Social Statistics Software</w:t>
      </w:r>
      <w:r>
        <w:rPr>
          <w:rFonts w:ascii="Times New Roman" w:hAnsi="Times New Roman" w:eastAsia="宋体" w:cs="Times New Roman"/>
          <w:b/>
          <w:bCs/>
          <w:sz w:val="28"/>
          <w:szCs w:val="28"/>
        </w:rPr>
        <w:t>）</w:t>
      </w:r>
      <w:bookmarkEnd w:id="1579"/>
      <w:bookmarkEnd w:id="1580"/>
      <w:bookmarkEnd w:id="1581"/>
      <w:bookmarkEnd w:id="1582"/>
      <w:bookmarkEnd w:id="1583"/>
      <w:bookmarkEnd w:id="1584"/>
      <w:bookmarkEnd w:id="1585"/>
    </w:p>
    <w:p w14:paraId="0A8DC644">
      <w:pPr>
        <w:spacing w:line="360" w:lineRule="auto"/>
        <w:jc w:val="center"/>
        <w:rPr>
          <w:rFonts w:ascii="Times New Roman" w:hAnsi="Times New Roman" w:eastAsia="宋体" w:cs="Times New Roman"/>
          <w:bCs/>
          <w:szCs w:val="21"/>
        </w:rPr>
      </w:pPr>
    </w:p>
    <w:p w14:paraId="7BFBC60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课程名称：社会统计软件</w:t>
      </w:r>
    </w:p>
    <w:p w14:paraId="04E9555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课程代码：2401030</w:t>
      </w:r>
    </w:p>
    <w:p w14:paraId="067B86B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分：3</w:t>
      </w:r>
    </w:p>
    <w:p w14:paraId="4BEB85A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时：48</w:t>
      </w:r>
    </w:p>
    <w:p w14:paraId="25731E7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先修课程：概率与统计、教育统计与测量</w:t>
      </w:r>
    </w:p>
    <w:p w14:paraId="4C64FAB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58F455B7">
      <w:pPr>
        <w:spacing w:before="62" w:beforeLines="20" w:after="62" w:afterLines="20" w:line="360" w:lineRule="auto"/>
        <w:jc w:val="left"/>
        <w:rPr>
          <w:rFonts w:ascii="Times New Roman" w:hAnsi="Times New Roman" w:eastAsia="宋体" w:cs="Times New Roman"/>
          <w:b/>
          <w:sz w:val="24"/>
        </w:rPr>
      </w:pPr>
      <w:bookmarkStart w:id="1586" w:name="_Toc7619"/>
      <w:bookmarkStart w:id="1587" w:name="_Toc2154"/>
      <w:bookmarkStart w:id="1588" w:name="_Toc2288"/>
      <w:bookmarkStart w:id="1589" w:name="_Toc12492"/>
      <w:bookmarkStart w:id="1590" w:name="_Toc28117"/>
      <w:bookmarkStart w:id="1591" w:name="_Toc11450"/>
      <w:bookmarkStart w:id="1592" w:name="_Toc30311"/>
      <w:r>
        <w:rPr>
          <w:rFonts w:hint="eastAsia" w:ascii="Times New Roman" w:hAnsi="Times New Roman" w:eastAsia="宋体" w:cs="Times New Roman"/>
          <w:b/>
          <w:sz w:val="24"/>
        </w:rPr>
        <w:t>一、课程简介</w:t>
      </w:r>
      <w:bookmarkEnd w:id="1586"/>
      <w:bookmarkEnd w:id="1587"/>
      <w:bookmarkEnd w:id="1588"/>
      <w:bookmarkEnd w:id="1589"/>
      <w:bookmarkEnd w:id="1590"/>
      <w:bookmarkEnd w:id="1591"/>
      <w:bookmarkEnd w:id="1592"/>
    </w:p>
    <w:p w14:paraId="30892FA3">
      <w:pPr>
        <w:spacing w:line="360" w:lineRule="auto"/>
        <w:ind w:firstLine="411" w:firstLineChars="196"/>
        <w:rPr>
          <w:rFonts w:ascii="Times New Roman" w:hAnsi="Times New Roman" w:eastAsia="宋体" w:cs="Times New Roman"/>
          <w:szCs w:val="21"/>
        </w:rPr>
      </w:pPr>
      <w:r>
        <w:rPr>
          <w:rFonts w:hint="eastAsia" w:ascii="Times New Roman" w:hAnsi="Times New Roman" w:eastAsia="宋体" w:cs="Times New Roman"/>
          <w:szCs w:val="21"/>
        </w:rPr>
        <w:t>本课程是小学教育专业的专业基础必修课。通过本课程的学习，加强学生对教育统计理论的认识；培养学生解决各种教育统计问题的能力，掌握各种统计分析方法在SPSS软件中的实现，并且能够正确解释SPSS软件的运行结果；提高学生教育科研的基本能力；培养学生创新精神和实践能力，为后续《教育科学研究方法》等课程和毕业论文等实践环节以及未来分析与解决教育实际问题奠定基础。</w:t>
      </w:r>
    </w:p>
    <w:p w14:paraId="19F5581C">
      <w:pPr>
        <w:spacing w:before="62" w:beforeLines="20" w:after="62" w:afterLines="20" w:line="360" w:lineRule="auto"/>
        <w:jc w:val="left"/>
        <w:rPr>
          <w:rFonts w:ascii="Times New Roman" w:hAnsi="Times New Roman" w:eastAsia="宋体" w:cs="Times New Roman"/>
          <w:b/>
          <w:sz w:val="24"/>
        </w:rPr>
      </w:pPr>
      <w:bookmarkStart w:id="1593" w:name="_Toc6235"/>
      <w:bookmarkStart w:id="1594" w:name="_Toc11958"/>
      <w:bookmarkStart w:id="1595" w:name="_Toc22563"/>
      <w:bookmarkStart w:id="1596" w:name="_Toc1471"/>
      <w:bookmarkStart w:id="1597" w:name="_Toc8296"/>
      <w:bookmarkStart w:id="1598" w:name="_Toc26231"/>
      <w:bookmarkStart w:id="1599" w:name="_Toc4547"/>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1593"/>
      <w:bookmarkEnd w:id="1594"/>
      <w:bookmarkEnd w:id="1595"/>
      <w:bookmarkEnd w:id="1596"/>
      <w:bookmarkEnd w:id="1597"/>
      <w:bookmarkEnd w:id="1598"/>
      <w:bookmarkEnd w:id="1599"/>
    </w:p>
    <w:p w14:paraId="7441E01E">
      <w:pPr>
        <w:spacing w:line="360" w:lineRule="auto"/>
        <w:ind w:firstLine="442" w:firstLineChars="200"/>
        <w:outlineLvl w:val="1"/>
        <w:rPr>
          <w:rFonts w:hint="eastAsia" w:ascii="宋体" w:hAnsi="宋体" w:eastAsia="宋体" w:cs="Times New Roman"/>
          <w:b/>
          <w:sz w:val="22"/>
          <w:szCs w:val="22"/>
        </w:rPr>
      </w:pPr>
      <w:bookmarkStart w:id="1600" w:name="_Toc13429"/>
      <w:r>
        <w:rPr>
          <w:rFonts w:hint="eastAsia" w:ascii="宋体" w:hAnsi="宋体" w:eastAsia="宋体" w:cs="Times New Roman"/>
          <w:b/>
          <w:sz w:val="22"/>
          <w:szCs w:val="22"/>
        </w:rPr>
        <w:t>（一）课程具体目标</w:t>
      </w:r>
      <w:bookmarkEnd w:id="1600"/>
    </w:p>
    <w:p w14:paraId="1E3FD6B6">
      <w:pPr>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kern w:val="0"/>
          <w:szCs w:val="20"/>
        </w:rPr>
        <w:t>掌握数据的录入、整理、分析与可视化处理方法，掌握教育统计与测量的原理；</w:t>
      </w:r>
    </w:p>
    <w:p w14:paraId="121CC8AE">
      <w:pPr>
        <w:spacing w:line="360" w:lineRule="auto"/>
        <w:ind w:firstLine="422" w:firstLineChars="200"/>
        <w:rPr>
          <w:rFonts w:hint="eastAsia" w:ascii="宋体" w:hAnsi="宋体" w:eastAsia="宋体" w:cs="Times New Roman"/>
          <w:kern w:val="0"/>
          <w:szCs w:val="20"/>
        </w:rPr>
      </w:pPr>
      <w:r>
        <w:rPr>
          <w:rFonts w:hint="eastAsia" w:ascii="Times New Roman" w:hAnsi="Times New Roman" w:eastAsia="宋体" w:cs="Times New Roman"/>
          <w:b/>
          <w:szCs w:val="21"/>
        </w:rPr>
        <w:t xml:space="preserve">目标2. </w:t>
      </w:r>
      <w:r>
        <w:rPr>
          <w:rFonts w:hint="eastAsia" w:ascii="宋体" w:hAnsi="宋体" w:eastAsia="宋体" w:cs="Times New Roman"/>
          <w:kern w:val="0"/>
          <w:szCs w:val="20"/>
        </w:rPr>
        <w:t>能运用社会统计软件分析和解决小学教育实践中的问题，形成一定的教学研究能力。</w:t>
      </w:r>
    </w:p>
    <w:p w14:paraId="754B7667">
      <w:pPr>
        <w:spacing w:line="360" w:lineRule="auto"/>
        <w:ind w:firstLine="482" w:firstLineChars="200"/>
        <w:outlineLvl w:val="1"/>
        <w:rPr>
          <w:rFonts w:hint="eastAsia" w:ascii="宋体" w:hAnsi="宋体" w:eastAsia="宋体" w:cs="Times New Roman"/>
          <w:b/>
          <w:sz w:val="24"/>
        </w:rPr>
      </w:pPr>
      <w:bookmarkStart w:id="1601" w:name="_Toc6700"/>
      <w:r>
        <w:rPr>
          <w:rFonts w:hint="eastAsia" w:ascii="宋体" w:hAnsi="宋体" w:eastAsia="宋体" w:cs="Times New Roman"/>
          <w:b/>
          <w:sz w:val="24"/>
        </w:rPr>
        <w:t>（二）课程目标与专业毕业要求的关系</w:t>
      </w:r>
      <w:bookmarkEnd w:id="1601"/>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03726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B0A3A4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026AFFE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5DE709D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86F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8" w:type="dxa"/>
            <w:vAlign w:val="center"/>
          </w:tcPr>
          <w:p w14:paraId="57D26A67">
            <w:pPr>
              <w:spacing w:line="360" w:lineRule="auto"/>
              <w:jc w:val="left"/>
              <w:rPr>
                <w:rFonts w:hint="eastAsia" w:asciiTheme="minorEastAsia" w:hAnsiTheme="minorEastAsia" w:cstheme="minorEastAsia"/>
                <w:sz w:val="20"/>
                <w:szCs w:val="20"/>
              </w:rPr>
            </w:pPr>
            <w:r>
              <w:rPr>
                <w:rFonts w:hint="eastAsia" w:asciiTheme="minorEastAsia" w:hAnsiTheme="minorEastAsia" w:cstheme="minorEastAsia"/>
                <w:spacing w:val="-6"/>
                <w:sz w:val="20"/>
                <w:szCs w:val="20"/>
              </w:rPr>
              <w:t>毕业要求4 教学能力</w:t>
            </w:r>
          </w:p>
        </w:tc>
        <w:tc>
          <w:tcPr>
            <w:tcW w:w="5688" w:type="dxa"/>
            <w:vAlign w:val="center"/>
          </w:tcPr>
          <w:p w14:paraId="3E48C736">
            <w:pPr>
              <w:spacing w:line="360" w:lineRule="auto"/>
              <w:jc w:val="left"/>
              <w:rPr>
                <w:rFonts w:hint="eastAsia" w:asciiTheme="minorEastAsia" w:hAnsiTheme="minorEastAsia" w:cstheme="minorEastAsia"/>
                <w:sz w:val="20"/>
                <w:szCs w:val="20"/>
              </w:rPr>
            </w:pPr>
            <w:r>
              <w:rPr>
                <w:rFonts w:hint="eastAsia" w:asciiTheme="minorEastAsia" w:hAnsiTheme="minorEastAsia" w:cstheme="minorEastAsia"/>
                <w:b/>
                <w:sz w:val="20"/>
                <w:szCs w:val="20"/>
              </w:rPr>
              <w:t>指标点4-4</w:t>
            </w:r>
            <w:r>
              <w:rPr>
                <w:rFonts w:hint="eastAsia" w:asciiTheme="minorEastAsia" w:hAnsiTheme="minorEastAsia" w:cstheme="minorEastAsia"/>
                <w:sz w:val="20"/>
                <w:szCs w:val="20"/>
              </w:rPr>
              <w:t>：【具备教学研究能力】掌握教育研究的基本方法，在教育教学实践中，结合小学教育教学实践进行研究，具有一定的教学研究能力。</w:t>
            </w:r>
          </w:p>
        </w:tc>
        <w:tc>
          <w:tcPr>
            <w:tcW w:w="1191" w:type="dxa"/>
            <w:vAlign w:val="center"/>
          </w:tcPr>
          <w:p w14:paraId="090F3BA3">
            <w:pPr>
              <w:spacing w:line="360"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课程目标1</w:t>
            </w:r>
          </w:p>
        </w:tc>
      </w:tr>
      <w:tr w14:paraId="20FD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9B1D8F0">
            <w:pPr>
              <w:spacing w:line="360" w:lineRule="auto"/>
              <w:jc w:val="left"/>
              <w:rPr>
                <w:rFonts w:hint="eastAsia" w:asciiTheme="minorEastAsia" w:hAnsiTheme="minorEastAsia" w:cstheme="minorEastAsia"/>
                <w:sz w:val="20"/>
                <w:szCs w:val="20"/>
              </w:rPr>
            </w:pPr>
            <w:r>
              <w:rPr>
                <w:rFonts w:hint="eastAsia" w:asciiTheme="minorEastAsia" w:hAnsiTheme="minorEastAsia" w:cstheme="minorEastAsia"/>
                <w:spacing w:val="-6"/>
                <w:sz w:val="20"/>
                <w:szCs w:val="20"/>
              </w:rPr>
              <w:t>毕业要求7学会反思</w:t>
            </w:r>
          </w:p>
        </w:tc>
        <w:tc>
          <w:tcPr>
            <w:tcW w:w="5688" w:type="dxa"/>
            <w:vAlign w:val="center"/>
          </w:tcPr>
          <w:p w14:paraId="16DC5FA8">
            <w:pPr>
              <w:autoSpaceDE w:val="0"/>
              <w:autoSpaceDN w:val="0"/>
              <w:rPr>
                <w:rFonts w:hint="eastAsia" w:asciiTheme="minorEastAsia" w:hAnsiTheme="minorEastAsia" w:cstheme="minorEastAsia"/>
                <w:kern w:val="0"/>
                <w:sz w:val="20"/>
                <w:szCs w:val="20"/>
              </w:rPr>
            </w:pPr>
            <w:r>
              <w:rPr>
                <w:rFonts w:hint="eastAsia" w:asciiTheme="minorEastAsia" w:hAnsiTheme="minorEastAsia" w:cstheme="minorEastAsia"/>
                <w:b/>
                <w:kern w:val="0"/>
                <w:sz w:val="20"/>
                <w:szCs w:val="20"/>
              </w:rPr>
              <w:t>指标点7-3</w:t>
            </w:r>
            <w:r>
              <w:rPr>
                <w:rFonts w:hint="eastAsia" w:asciiTheme="minorEastAsia" w:hAnsiTheme="minorEastAsia" w:cstheme="minorEastAsia"/>
                <w:sz w:val="20"/>
                <w:szCs w:val="20"/>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191" w:type="dxa"/>
            <w:vAlign w:val="center"/>
          </w:tcPr>
          <w:p w14:paraId="1F4E7C29">
            <w:pPr>
              <w:spacing w:line="360"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课程目标2</w:t>
            </w:r>
          </w:p>
        </w:tc>
      </w:tr>
    </w:tbl>
    <w:p w14:paraId="4A53BDF9">
      <w:pPr>
        <w:spacing w:before="156" w:beforeLines="50" w:line="360" w:lineRule="auto"/>
        <w:jc w:val="left"/>
        <w:outlineLvl w:val="1"/>
        <w:rPr>
          <w:rFonts w:hint="eastAsia" w:ascii="宋体" w:hAnsi="宋体" w:eastAsia="宋体" w:cs="Times New Roman"/>
          <w:b/>
          <w:szCs w:val="21"/>
        </w:rPr>
      </w:pPr>
      <w:bookmarkStart w:id="1602" w:name="_Toc25571"/>
      <w:r>
        <w:rPr>
          <w:rFonts w:hint="eastAsia" w:ascii="宋体" w:hAnsi="宋体" w:eastAsia="宋体" w:cs="Times New Roman"/>
          <w:b/>
          <w:szCs w:val="21"/>
        </w:rPr>
        <w:t>（三）课程思政目标</w:t>
      </w:r>
      <w:bookmarkEnd w:id="1602"/>
    </w:p>
    <w:p w14:paraId="09ABCFDA">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促使学生在扎实掌握社会统计软件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1F51A23C">
      <w:pPr>
        <w:spacing w:before="62" w:beforeLines="20" w:after="62" w:afterLines="20" w:line="360" w:lineRule="auto"/>
        <w:jc w:val="left"/>
        <w:rPr>
          <w:rFonts w:ascii="Times New Roman" w:hAnsi="Times New Roman" w:eastAsia="宋体" w:cs="Times New Roman"/>
          <w:b/>
          <w:sz w:val="24"/>
        </w:rPr>
      </w:pPr>
      <w:bookmarkStart w:id="1603" w:name="_Toc7859"/>
      <w:bookmarkStart w:id="1604" w:name="_Toc24448"/>
      <w:bookmarkStart w:id="1605" w:name="_Toc6237"/>
      <w:bookmarkStart w:id="1606" w:name="_Toc29547"/>
      <w:bookmarkStart w:id="1607" w:name="_Toc31642"/>
      <w:bookmarkStart w:id="1608" w:name="_Toc28823"/>
      <w:bookmarkStart w:id="1609" w:name="_Toc28884"/>
      <w:r>
        <w:rPr>
          <w:rFonts w:hint="eastAsia" w:ascii="Times New Roman" w:hAnsi="Times New Roman" w:eastAsia="宋体" w:cs="Times New Roman"/>
          <w:b/>
          <w:sz w:val="24"/>
        </w:rPr>
        <w:t>三、教学内容与预期学习成效</w:t>
      </w:r>
      <w:bookmarkEnd w:id="1603"/>
      <w:bookmarkEnd w:id="1604"/>
      <w:bookmarkEnd w:id="1605"/>
      <w:bookmarkEnd w:id="1606"/>
      <w:bookmarkEnd w:id="1607"/>
      <w:bookmarkEnd w:id="1608"/>
      <w:bookmarkEnd w:id="1609"/>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0820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9C98894">
            <w:pPr>
              <w:jc w:val="center"/>
              <w:rPr>
                <w:rFonts w:hint="eastAsia" w:ascii="宋体" w:hAnsi="宋体" w:eastAsia="宋体" w:cs="Times New Roman"/>
                <w:b/>
                <w:szCs w:val="21"/>
              </w:rPr>
            </w:pPr>
            <w:r>
              <w:rPr>
                <w:rFonts w:hint="eastAsia" w:ascii="宋体" w:hAnsi="宋体" w:eastAsia="宋体" w:cs="Times New Roman"/>
                <w:b/>
                <w:szCs w:val="21"/>
              </w:rPr>
              <w:t>知识</w:t>
            </w:r>
          </w:p>
          <w:p w14:paraId="638952C1">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2638B0C6">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67E25CAA">
            <w:pPr>
              <w:jc w:val="center"/>
              <w:rPr>
                <w:rFonts w:hint="eastAsia" w:ascii="宋体" w:hAnsi="宋体" w:eastAsia="宋体" w:cs="Times New Roman"/>
                <w:b/>
                <w:szCs w:val="21"/>
              </w:rPr>
            </w:pPr>
            <w:r>
              <w:rPr>
                <w:rFonts w:hint="eastAsia" w:ascii="宋体" w:hAnsi="宋体" w:eastAsia="宋体" w:cs="Times New Roman"/>
                <w:b/>
                <w:szCs w:val="21"/>
              </w:rPr>
              <w:t>对应</w:t>
            </w:r>
          </w:p>
          <w:p w14:paraId="7209E38F">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006BE42F">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461D7CAC">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7444A2A8">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5262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4229182">
            <w:pPr>
              <w:jc w:val="center"/>
              <w:rPr>
                <w:rFonts w:hint="eastAsia" w:ascii="宋体" w:hAnsi="宋体" w:eastAsia="宋体" w:cs="Times New Roman"/>
                <w:szCs w:val="21"/>
              </w:rPr>
            </w:pPr>
            <w:r>
              <w:rPr>
                <w:rFonts w:hint="eastAsia" w:ascii="宋体" w:hAnsi="宋体" w:eastAsia="宋体" w:cs="Times New Roman"/>
                <w:szCs w:val="21"/>
              </w:rPr>
              <w:t>1.SPSS操作基础</w:t>
            </w:r>
          </w:p>
        </w:tc>
        <w:tc>
          <w:tcPr>
            <w:tcW w:w="1701" w:type="dxa"/>
            <w:vAlign w:val="center"/>
          </w:tcPr>
          <w:p w14:paraId="6D351013">
            <w:pPr>
              <w:jc w:val="left"/>
              <w:rPr>
                <w:rFonts w:hint="eastAsia" w:ascii="宋体" w:hAnsi="宋体" w:eastAsia="宋体" w:cs="Times New Roman"/>
                <w:szCs w:val="21"/>
              </w:rPr>
            </w:pPr>
            <w:r>
              <w:rPr>
                <w:rFonts w:hint="eastAsia" w:ascii="宋体" w:hAnsi="宋体" w:eastAsia="宋体" w:cs="Times New Roman"/>
                <w:szCs w:val="21"/>
              </w:rPr>
              <w:t>（1）数据/变量的类型</w:t>
            </w:r>
          </w:p>
          <w:p w14:paraId="27B69FD1">
            <w:pPr>
              <w:jc w:val="left"/>
              <w:rPr>
                <w:rFonts w:hint="eastAsia" w:ascii="宋体" w:hAnsi="宋体" w:eastAsia="宋体" w:cs="Times New Roman"/>
                <w:szCs w:val="21"/>
              </w:rPr>
            </w:pPr>
            <w:r>
              <w:rPr>
                <w:rFonts w:hint="eastAsia" w:ascii="宋体" w:hAnsi="宋体" w:eastAsia="宋体" w:cs="Times New Roman"/>
                <w:szCs w:val="21"/>
              </w:rPr>
              <w:t>（2）数据的编码与录入</w:t>
            </w:r>
          </w:p>
          <w:p w14:paraId="241DD298">
            <w:pPr>
              <w:jc w:val="left"/>
              <w:rPr>
                <w:rFonts w:hint="eastAsia" w:ascii="宋体" w:hAnsi="宋体" w:eastAsia="宋体" w:cs="Times New Roman"/>
                <w:szCs w:val="21"/>
              </w:rPr>
            </w:pPr>
            <w:r>
              <w:rPr>
                <w:rFonts w:hint="eastAsia" w:ascii="宋体" w:hAnsi="宋体" w:eastAsia="宋体" w:cs="Times New Roman"/>
                <w:szCs w:val="21"/>
              </w:rPr>
              <w:t>（3）数据文件的导入</w:t>
            </w:r>
          </w:p>
          <w:p w14:paraId="2724D781">
            <w:pPr>
              <w:jc w:val="left"/>
              <w:rPr>
                <w:rFonts w:hint="eastAsia" w:ascii="宋体" w:hAnsi="宋体" w:eastAsia="宋体" w:cs="Times New Roman"/>
                <w:szCs w:val="21"/>
              </w:rPr>
            </w:pPr>
            <w:r>
              <w:rPr>
                <w:rFonts w:hint="eastAsia" w:ascii="宋体" w:hAnsi="宋体" w:eastAsia="宋体" w:cs="Times New Roman"/>
                <w:szCs w:val="21"/>
              </w:rPr>
              <w:t>（4）数据文件的管理</w:t>
            </w:r>
          </w:p>
        </w:tc>
        <w:tc>
          <w:tcPr>
            <w:tcW w:w="1134" w:type="dxa"/>
            <w:vAlign w:val="center"/>
          </w:tcPr>
          <w:p w14:paraId="4B6C31E0">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260" w:type="dxa"/>
            <w:vAlign w:val="center"/>
          </w:tcPr>
          <w:p w14:paraId="10C23931">
            <w:pPr>
              <w:jc w:val="left"/>
              <w:rPr>
                <w:rFonts w:hint="eastAsia" w:ascii="宋体" w:hAnsi="宋体" w:eastAsia="宋体" w:cs="Times New Roman"/>
                <w:szCs w:val="21"/>
              </w:rPr>
            </w:pPr>
            <w:r>
              <w:rPr>
                <w:rFonts w:hint="eastAsia" w:ascii="宋体" w:hAnsi="宋体" w:eastAsia="宋体" w:cs="Times New Roman"/>
                <w:szCs w:val="21"/>
              </w:rPr>
              <w:t>（1）了解数据/变量的分类；</w:t>
            </w:r>
          </w:p>
          <w:p w14:paraId="0618C5FA">
            <w:pPr>
              <w:jc w:val="left"/>
              <w:rPr>
                <w:rFonts w:hint="eastAsia" w:ascii="宋体" w:hAnsi="宋体" w:eastAsia="宋体" w:cs="Times New Roman"/>
                <w:szCs w:val="21"/>
              </w:rPr>
            </w:pPr>
            <w:r>
              <w:rPr>
                <w:rFonts w:hint="eastAsia" w:ascii="宋体" w:hAnsi="宋体" w:eastAsia="宋体" w:cs="Times New Roman"/>
                <w:szCs w:val="21"/>
              </w:rPr>
              <w:t>（2）能根据数据的类型进行编码与录入；</w:t>
            </w:r>
          </w:p>
          <w:p w14:paraId="7F6FABA2">
            <w:pPr>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掌握</w:t>
            </w:r>
            <w:r>
              <w:rPr>
                <w:rFonts w:hint="eastAsia" w:ascii="宋体" w:hAnsi="宋体" w:eastAsia="宋体" w:cs="Times New Roman"/>
                <w:szCs w:val="21"/>
              </w:rPr>
              <w:t>数据文件的导入方式；</w:t>
            </w:r>
          </w:p>
          <w:p w14:paraId="7A185F4F">
            <w:pPr>
              <w:jc w:val="left"/>
              <w:rPr>
                <w:rFonts w:hint="eastAsia" w:ascii="宋体" w:hAnsi="宋体" w:eastAsia="宋体" w:cs="Times New Roman"/>
                <w:szCs w:val="21"/>
              </w:rPr>
            </w:pPr>
            <w:r>
              <w:rPr>
                <w:rFonts w:hint="eastAsia" w:ascii="宋体" w:hAnsi="宋体" w:eastAsia="宋体" w:cs="Times New Roman"/>
                <w:szCs w:val="21"/>
              </w:rPr>
              <w:t>（4）能对数据文件进行初步整理（排序、合并、筛选、编码、转换、计算、拆分与分类汇总等）。</w:t>
            </w:r>
          </w:p>
        </w:tc>
        <w:tc>
          <w:tcPr>
            <w:tcW w:w="1560" w:type="dxa"/>
            <w:vAlign w:val="center"/>
          </w:tcPr>
          <w:p w14:paraId="140D447A">
            <w:pPr>
              <w:jc w:val="left"/>
              <w:rPr>
                <w:rFonts w:hint="eastAsia" w:ascii="宋体" w:hAnsi="宋体" w:eastAsia="宋体" w:cs="Times New Roman"/>
                <w:szCs w:val="21"/>
              </w:rPr>
            </w:pPr>
            <w:r>
              <w:rPr>
                <w:rFonts w:hint="eastAsia" w:ascii="宋体" w:hAnsi="宋体" w:eastAsia="宋体" w:cs="Times New Roman"/>
                <w:szCs w:val="21"/>
              </w:rPr>
              <w:t>1.线上学习</w:t>
            </w:r>
          </w:p>
          <w:p w14:paraId="5C08A9A7">
            <w:pPr>
              <w:jc w:val="left"/>
              <w:rPr>
                <w:rFonts w:hint="eastAsia" w:ascii="宋体" w:hAnsi="宋体" w:eastAsia="宋体" w:cs="Times New Roman"/>
                <w:szCs w:val="21"/>
              </w:rPr>
            </w:pPr>
            <w:r>
              <w:rPr>
                <w:rFonts w:hint="eastAsia" w:ascii="宋体" w:hAnsi="宋体" w:eastAsia="宋体" w:cs="Times New Roman"/>
                <w:szCs w:val="21"/>
              </w:rPr>
              <w:t>2.多媒体教学3.课堂练习</w:t>
            </w:r>
          </w:p>
          <w:p w14:paraId="53614163">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55164503">
            <w:pPr>
              <w:jc w:val="center"/>
              <w:rPr>
                <w:rFonts w:hint="eastAsia" w:ascii="宋体" w:hAnsi="宋体" w:eastAsia="宋体" w:cs="Times New Roman"/>
                <w:szCs w:val="21"/>
              </w:rPr>
            </w:pPr>
            <w:r>
              <w:rPr>
                <w:rFonts w:hint="eastAsia" w:ascii="宋体" w:hAnsi="宋体" w:eastAsia="宋体" w:cs="Times New Roman"/>
                <w:szCs w:val="21"/>
              </w:rPr>
              <w:t>3</w:t>
            </w:r>
          </w:p>
        </w:tc>
      </w:tr>
      <w:tr w14:paraId="2FD8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21EBFD">
            <w:pPr>
              <w:jc w:val="center"/>
              <w:rPr>
                <w:rFonts w:hint="eastAsia" w:ascii="宋体" w:hAnsi="宋体" w:eastAsia="宋体" w:cs="Times New Roman"/>
                <w:szCs w:val="21"/>
              </w:rPr>
            </w:pPr>
          </w:p>
        </w:tc>
        <w:tc>
          <w:tcPr>
            <w:tcW w:w="8093" w:type="dxa"/>
            <w:gridSpan w:val="5"/>
            <w:vAlign w:val="center"/>
          </w:tcPr>
          <w:p w14:paraId="0A67168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了解社会科学软件对数据知识的处理能力；尊重科学技术，形成初步的科学技术应用思想。</w:t>
            </w:r>
          </w:p>
        </w:tc>
      </w:tr>
      <w:tr w14:paraId="67DC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BE12973">
            <w:pPr>
              <w:jc w:val="center"/>
              <w:rPr>
                <w:rFonts w:hint="eastAsia" w:ascii="宋体" w:hAnsi="宋体" w:eastAsia="宋体" w:cs="Times New Roman"/>
                <w:szCs w:val="21"/>
              </w:rPr>
            </w:pPr>
            <w:r>
              <w:rPr>
                <w:rFonts w:hint="eastAsia" w:ascii="宋体" w:hAnsi="宋体" w:eastAsia="宋体" w:cs="Times New Roman"/>
                <w:szCs w:val="21"/>
              </w:rPr>
              <w:t>2.描述性分析</w:t>
            </w:r>
          </w:p>
        </w:tc>
        <w:tc>
          <w:tcPr>
            <w:tcW w:w="1701" w:type="dxa"/>
            <w:vAlign w:val="center"/>
          </w:tcPr>
          <w:p w14:paraId="27FFD84D">
            <w:pPr>
              <w:jc w:val="left"/>
              <w:rPr>
                <w:rFonts w:hint="eastAsia" w:ascii="宋体" w:hAnsi="宋体" w:eastAsia="宋体" w:cs="Times New Roman"/>
                <w:szCs w:val="21"/>
              </w:rPr>
            </w:pPr>
            <w:r>
              <w:rPr>
                <w:rFonts w:hint="eastAsia" w:ascii="宋体" w:hAnsi="宋体" w:eastAsia="宋体" w:cs="Times New Roman"/>
                <w:szCs w:val="21"/>
              </w:rPr>
              <w:t>（1）频数统计（2）描述统计</w:t>
            </w:r>
          </w:p>
        </w:tc>
        <w:tc>
          <w:tcPr>
            <w:tcW w:w="1134" w:type="dxa"/>
            <w:vAlign w:val="center"/>
          </w:tcPr>
          <w:p w14:paraId="1D19CC4E">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260" w:type="dxa"/>
            <w:vAlign w:val="center"/>
          </w:tcPr>
          <w:p w14:paraId="01BF8702">
            <w:pPr>
              <w:jc w:val="left"/>
              <w:rPr>
                <w:rFonts w:hint="eastAsia" w:ascii="宋体" w:hAnsi="宋体" w:eastAsia="宋体" w:cs="Times New Roman"/>
                <w:szCs w:val="21"/>
              </w:rPr>
            </w:pPr>
            <w:r>
              <w:rPr>
                <w:rFonts w:hint="eastAsia" w:ascii="宋体" w:hAnsi="宋体" w:eastAsia="宋体" w:cs="Times New Roman"/>
                <w:szCs w:val="21"/>
              </w:rPr>
              <w:t>（1）能运用SPSS对单变量与多变量数据的分布频次进行分析，并进行可视化操作；</w:t>
            </w:r>
          </w:p>
          <w:p w14:paraId="2BAB13D2">
            <w:pPr>
              <w:jc w:val="left"/>
              <w:rPr>
                <w:rFonts w:hint="eastAsia" w:ascii="宋体" w:hAnsi="宋体" w:eastAsia="宋体" w:cs="Times New Roman"/>
                <w:szCs w:val="21"/>
              </w:rPr>
            </w:pPr>
            <w:r>
              <w:rPr>
                <w:rFonts w:hint="eastAsia" w:ascii="宋体" w:hAnsi="宋体" w:eastAsia="宋体" w:cs="Times New Roman"/>
                <w:szCs w:val="21"/>
              </w:rPr>
              <w:t>（2）能运用SPSS对数据的集中趋势与离散趋势进行分析，并进行可视化操作；</w:t>
            </w:r>
          </w:p>
          <w:p w14:paraId="5D242CB1">
            <w:pPr>
              <w:jc w:val="left"/>
              <w:rPr>
                <w:rFonts w:hint="eastAsia" w:ascii="宋体" w:hAnsi="宋体" w:eastAsia="宋体" w:cs="Times New Roman"/>
                <w:szCs w:val="21"/>
              </w:rPr>
            </w:pPr>
            <w:r>
              <w:rPr>
                <w:rFonts w:hint="eastAsia" w:ascii="宋体" w:hAnsi="宋体" w:eastAsia="宋体" w:cs="Times New Roman"/>
                <w:szCs w:val="21"/>
              </w:rPr>
              <w:t>（3）能运用SPSS对数据的分布形态进行分析，并进行可视化操作。</w:t>
            </w:r>
          </w:p>
        </w:tc>
        <w:tc>
          <w:tcPr>
            <w:tcW w:w="1560" w:type="dxa"/>
            <w:vAlign w:val="center"/>
          </w:tcPr>
          <w:p w14:paraId="4FD36521">
            <w:pPr>
              <w:jc w:val="left"/>
              <w:rPr>
                <w:rFonts w:hint="eastAsia" w:ascii="宋体" w:hAnsi="宋体" w:eastAsia="宋体" w:cs="Times New Roman"/>
                <w:szCs w:val="21"/>
              </w:rPr>
            </w:pPr>
            <w:r>
              <w:rPr>
                <w:rFonts w:hint="eastAsia" w:ascii="宋体" w:hAnsi="宋体" w:eastAsia="宋体" w:cs="Times New Roman"/>
                <w:szCs w:val="21"/>
              </w:rPr>
              <w:t>1.线上学习</w:t>
            </w:r>
          </w:p>
          <w:p w14:paraId="7BDB933A">
            <w:pPr>
              <w:jc w:val="left"/>
              <w:rPr>
                <w:rFonts w:hint="eastAsia" w:ascii="宋体" w:hAnsi="宋体" w:eastAsia="宋体" w:cs="Times New Roman"/>
                <w:szCs w:val="21"/>
              </w:rPr>
            </w:pPr>
            <w:r>
              <w:rPr>
                <w:rFonts w:hint="eastAsia" w:ascii="宋体" w:hAnsi="宋体" w:eastAsia="宋体" w:cs="Times New Roman"/>
                <w:szCs w:val="21"/>
              </w:rPr>
              <w:t>2.多媒体教学3.课堂练习</w:t>
            </w:r>
          </w:p>
          <w:p w14:paraId="31AC1C05">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32BBC0B6">
            <w:pPr>
              <w:jc w:val="center"/>
              <w:rPr>
                <w:rFonts w:hint="eastAsia" w:ascii="宋体" w:hAnsi="宋体" w:eastAsia="宋体" w:cs="Times New Roman"/>
                <w:szCs w:val="21"/>
              </w:rPr>
            </w:pPr>
            <w:r>
              <w:rPr>
                <w:rFonts w:hint="eastAsia" w:ascii="宋体" w:hAnsi="宋体" w:eastAsia="宋体" w:cs="Times New Roman"/>
                <w:szCs w:val="21"/>
              </w:rPr>
              <w:t>6</w:t>
            </w:r>
          </w:p>
        </w:tc>
      </w:tr>
      <w:tr w14:paraId="2BAF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E607900">
            <w:pPr>
              <w:jc w:val="center"/>
              <w:rPr>
                <w:rFonts w:hint="eastAsia" w:ascii="宋体" w:hAnsi="宋体" w:eastAsia="宋体" w:cs="Times New Roman"/>
                <w:szCs w:val="21"/>
              </w:rPr>
            </w:pPr>
          </w:p>
        </w:tc>
        <w:tc>
          <w:tcPr>
            <w:tcW w:w="8093" w:type="dxa"/>
            <w:gridSpan w:val="5"/>
            <w:vAlign w:val="center"/>
          </w:tcPr>
          <w:p w14:paraId="760EAA7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认识到人类社会中的不同类型的数据有不同的分布特点；掌握大千世界中一些看似杂乱的数据背后的规律。</w:t>
            </w:r>
          </w:p>
        </w:tc>
      </w:tr>
      <w:tr w14:paraId="3589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02C11CA">
            <w:pPr>
              <w:jc w:val="center"/>
              <w:rPr>
                <w:rFonts w:hint="eastAsia" w:ascii="宋体" w:hAnsi="宋体" w:eastAsia="宋体" w:cs="Times New Roman"/>
                <w:szCs w:val="21"/>
              </w:rPr>
            </w:pPr>
            <w:r>
              <w:rPr>
                <w:rFonts w:hint="eastAsia" w:ascii="宋体" w:hAnsi="宋体" w:eastAsia="宋体" w:cs="Times New Roman"/>
                <w:szCs w:val="21"/>
              </w:rPr>
              <w:t>3.参数</w:t>
            </w:r>
          </w:p>
          <w:p w14:paraId="05B32B55">
            <w:pPr>
              <w:jc w:val="center"/>
              <w:rPr>
                <w:rFonts w:hint="eastAsia" w:ascii="宋体" w:hAnsi="宋体" w:eastAsia="宋体" w:cs="Times New Roman"/>
                <w:szCs w:val="21"/>
              </w:rPr>
            </w:pPr>
            <w:r>
              <w:rPr>
                <w:rFonts w:hint="eastAsia" w:ascii="宋体" w:hAnsi="宋体" w:eastAsia="宋体" w:cs="Times New Roman"/>
                <w:szCs w:val="21"/>
              </w:rPr>
              <w:t>检验</w:t>
            </w:r>
          </w:p>
        </w:tc>
        <w:tc>
          <w:tcPr>
            <w:tcW w:w="1701" w:type="dxa"/>
            <w:vAlign w:val="center"/>
          </w:tcPr>
          <w:p w14:paraId="45921127">
            <w:pPr>
              <w:jc w:val="left"/>
              <w:rPr>
                <w:rFonts w:hint="eastAsia" w:ascii="宋体" w:hAnsi="宋体" w:eastAsia="宋体" w:cs="Times New Roman"/>
                <w:szCs w:val="21"/>
              </w:rPr>
            </w:pPr>
            <w:r>
              <w:rPr>
                <w:rFonts w:hint="eastAsia" w:ascii="宋体" w:hAnsi="宋体" w:eastAsia="宋体" w:cs="Times New Roman"/>
                <w:szCs w:val="21"/>
              </w:rPr>
              <w:t>（1）单样本t检验</w:t>
            </w:r>
          </w:p>
          <w:p w14:paraId="0FA8E4A1">
            <w:pPr>
              <w:jc w:val="left"/>
              <w:rPr>
                <w:rFonts w:hint="eastAsia" w:ascii="宋体" w:hAnsi="宋体" w:eastAsia="宋体" w:cs="Times New Roman"/>
                <w:szCs w:val="21"/>
              </w:rPr>
            </w:pPr>
            <w:r>
              <w:rPr>
                <w:rFonts w:hint="eastAsia" w:ascii="宋体" w:hAnsi="宋体" w:eastAsia="宋体" w:cs="Times New Roman"/>
                <w:szCs w:val="21"/>
              </w:rPr>
              <w:t>（2）独立样本t检验</w:t>
            </w:r>
          </w:p>
          <w:p w14:paraId="5D57B7B3">
            <w:pPr>
              <w:jc w:val="left"/>
              <w:rPr>
                <w:rFonts w:hint="eastAsia" w:ascii="宋体" w:hAnsi="宋体" w:eastAsia="宋体" w:cs="Times New Roman"/>
                <w:szCs w:val="21"/>
              </w:rPr>
            </w:pPr>
            <w:r>
              <w:rPr>
                <w:rFonts w:hint="eastAsia" w:ascii="宋体" w:hAnsi="宋体" w:eastAsia="宋体" w:cs="Times New Roman"/>
                <w:szCs w:val="21"/>
              </w:rPr>
              <w:t>（3）相关样本t检验</w:t>
            </w:r>
          </w:p>
        </w:tc>
        <w:tc>
          <w:tcPr>
            <w:tcW w:w="1134" w:type="dxa"/>
            <w:vAlign w:val="center"/>
          </w:tcPr>
          <w:p w14:paraId="092F253F">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260" w:type="dxa"/>
            <w:vAlign w:val="center"/>
          </w:tcPr>
          <w:p w14:paraId="70B4A5D8">
            <w:pPr>
              <w:jc w:val="left"/>
              <w:rPr>
                <w:rFonts w:hint="eastAsia" w:ascii="宋体" w:hAnsi="宋体" w:eastAsia="宋体" w:cs="Times New Roman"/>
                <w:szCs w:val="21"/>
              </w:rPr>
            </w:pPr>
            <w:r>
              <w:rPr>
                <w:rFonts w:hint="eastAsia" w:ascii="宋体" w:hAnsi="宋体" w:eastAsia="宋体" w:cs="Times New Roman"/>
                <w:szCs w:val="21"/>
              </w:rPr>
              <w:t>（1）把握单样本t检验的适用条件、SPSS的操作过程、数据的可视化处理及结果解释；</w:t>
            </w:r>
          </w:p>
          <w:p w14:paraId="5D4B4601">
            <w:pPr>
              <w:jc w:val="left"/>
              <w:rPr>
                <w:rFonts w:hint="eastAsia" w:ascii="宋体" w:hAnsi="宋体" w:eastAsia="宋体" w:cs="Times New Roman"/>
                <w:szCs w:val="21"/>
              </w:rPr>
            </w:pPr>
          </w:p>
          <w:p w14:paraId="2BC97BFE">
            <w:pPr>
              <w:jc w:val="left"/>
              <w:rPr>
                <w:rFonts w:hint="eastAsia" w:ascii="宋体" w:hAnsi="宋体" w:eastAsia="宋体" w:cs="Times New Roman"/>
                <w:szCs w:val="21"/>
              </w:rPr>
            </w:pPr>
            <w:r>
              <w:rPr>
                <w:rFonts w:hint="eastAsia" w:ascii="宋体" w:hAnsi="宋体" w:eastAsia="宋体" w:cs="Times New Roman"/>
                <w:szCs w:val="21"/>
              </w:rPr>
              <w:t>（2）把握独立样本t检验的适用条件、SPSS的操作过程、数据的可视化输出及结果解释；</w:t>
            </w:r>
          </w:p>
          <w:p w14:paraId="6BA67AC4">
            <w:pPr>
              <w:jc w:val="left"/>
              <w:rPr>
                <w:rFonts w:hint="eastAsia" w:ascii="宋体" w:hAnsi="宋体" w:eastAsia="宋体" w:cs="Times New Roman"/>
                <w:szCs w:val="21"/>
              </w:rPr>
            </w:pPr>
            <w:r>
              <w:rPr>
                <w:rFonts w:hint="eastAsia" w:ascii="宋体" w:hAnsi="宋体" w:eastAsia="宋体" w:cs="Times New Roman"/>
                <w:szCs w:val="21"/>
              </w:rPr>
              <w:t>（3）把握相关样本t检验的适用条件、SPSS的操作过程、数据的可视化处理及结果解释</w:t>
            </w:r>
            <w:r>
              <w:rPr>
                <w:rFonts w:ascii="宋体" w:hAnsi="宋体" w:eastAsia="宋体" w:cs="Times New Roman"/>
                <w:szCs w:val="21"/>
              </w:rPr>
              <w:t>。</w:t>
            </w:r>
          </w:p>
        </w:tc>
        <w:tc>
          <w:tcPr>
            <w:tcW w:w="1560" w:type="dxa"/>
            <w:vAlign w:val="center"/>
          </w:tcPr>
          <w:p w14:paraId="6CC09395">
            <w:pPr>
              <w:jc w:val="left"/>
              <w:rPr>
                <w:rFonts w:hint="eastAsia" w:ascii="宋体" w:hAnsi="宋体" w:eastAsia="宋体" w:cs="Times New Roman"/>
                <w:szCs w:val="21"/>
              </w:rPr>
            </w:pPr>
            <w:r>
              <w:rPr>
                <w:rFonts w:ascii="宋体" w:hAnsi="宋体" w:eastAsia="宋体" w:cs="Times New Roman"/>
                <w:szCs w:val="21"/>
              </w:rPr>
              <w:t>1.线上学习</w:t>
            </w:r>
          </w:p>
          <w:p w14:paraId="32EAA800">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6F3BDEFD">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66E68BB1">
            <w:pPr>
              <w:jc w:val="center"/>
              <w:rPr>
                <w:rFonts w:hint="eastAsia" w:ascii="宋体" w:hAnsi="宋体" w:eastAsia="宋体" w:cs="Times New Roman"/>
                <w:szCs w:val="21"/>
              </w:rPr>
            </w:pPr>
            <w:r>
              <w:rPr>
                <w:rFonts w:hint="eastAsia" w:ascii="宋体" w:hAnsi="宋体" w:eastAsia="宋体" w:cs="Times New Roman"/>
                <w:szCs w:val="21"/>
              </w:rPr>
              <w:t>9</w:t>
            </w:r>
          </w:p>
        </w:tc>
      </w:tr>
      <w:tr w14:paraId="2999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A9B519">
            <w:pPr>
              <w:jc w:val="center"/>
              <w:rPr>
                <w:rFonts w:hint="eastAsia" w:ascii="宋体" w:hAnsi="宋体" w:eastAsia="宋体" w:cs="Times New Roman"/>
                <w:szCs w:val="21"/>
              </w:rPr>
            </w:pPr>
          </w:p>
        </w:tc>
        <w:tc>
          <w:tcPr>
            <w:tcW w:w="8093" w:type="dxa"/>
            <w:gridSpan w:val="5"/>
            <w:vAlign w:val="center"/>
          </w:tcPr>
          <w:p w14:paraId="5A95383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了解人类社会同一群体所简化为数据背后的内在关联；学会用科学的检验方法去认识教育现象与社会现象。</w:t>
            </w:r>
          </w:p>
        </w:tc>
      </w:tr>
      <w:tr w14:paraId="4B87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3C94060">
            <w:pPr>
              <w:numPr>
                <w:ilvl w:val="0"/>
                <w:numId w:val="50"/>
              </w:numPr>
              <w:jc w:val="center"/>
              <w:rPr>
                <w:rFonts w:hint="eastAsia" w:ascii="宋体" w:hAnsi="宋体" w:eastAsia="宋体" w:cs="Times New Roman"/>
                <w:szCs w:val="21"/>
              </w:rPr>
            </w:pPr>
            <w:r>
              <w:rPr>
                <w:rFonts w:hint="eastAsia" w:ascii="宋体" w:hAnsi="宋体" w:eastAsia="宋体" w:cs="Times New Roman"/>
                <w:szCs w:val="21"/>
              </w:rPr>
              <w:t>方差</w:t>
            </w:r>
          </w:p>
          <w:p w14:paraId="2AB761F7">
            <w:pPr>
              <w:jc w:val="center"/>
              <w:rPr>
                <w:rFonts w:hint="eastAsia" w:ascii="宋体" w:hAnsi="宋体" w:eastAsia="宋体" w:cs="Times New Roman"/>
                <w:szCs w:val="21"/>
              </w:rPr>
            </w:pPr>
            <w:r>
              <w:rPr>
                <w:rFonts w:hint="eastAsia" w:ascii="宋体" w:hAnsi="宋体" w:eastAsia="宋体" w:cs="Times New Roman"/>
                <w:szCs w:val="21"/>
              </w:rPr>
              <w:t>分析</w:t>
            </w:r>
          </w:p>
        </w:tc>
        <w:tc>
          <w:tcPr>
            <w:tcW w:w="1701" w:type="dxa"/>
            <w:vAlign w:val="center"/>
          </w:tcPr>
          <w:p w14:paraId="58361852">
            <w:pPr>
              <w:jc w:val="left"/>
              <w:rPr>
                <w:rFonts w:hint="eastAsia" w:ascii="宋体" w:hAnsi="宋体" w:eastAsia="宋体" w:cs="Times New Roman"/>
                <w:szCs w:val="21"/>
              </w:rPr>
            </w:pPr>
            <w:r>
              <w:rPr>
                <w:rFonts w:hint="eastAsia" w:ascii="宋体" w:hAnsi="宋体" w:eastAsia="宋体" w:cs="Times New Roman"/>
                <w:szCs w:val="21"/>
              </w:rPr>
              <w:t>（1）实验设计方式</w:t>
            </w:r>
          </w:p>
          <w:p w14:paraId="2E4FE898">
            <w:pPr>
              <w:jc w:val="left"/>
              <w:rPr>
                <w:rFonts w:hint="eastAsia" w:ascii="宋体" w:hAnsi="宋体" w:eastAsia="宋体" w:cs="Times New Roman"/>
                <w:szCs w:val="21"/>
              </w:rPr>
            </w:pPr>
            <w:r>
              <w:rPr>
                <w:rFonts w:hint="eastAsia" w:ascii="宋体" w:hAnsi="宋体" w:eastAsia="宋体" w:cs="Times New Roman"/>
                <w:szCs w:val="21"/>
              </w:rPr>
              <w:t>（2）单因素完全随机设计的方差分析</w:t>
            </w:r>
          </w:p>
          <w:p w14:paraId="4A9ACAC9">
            <w:pPr>
              <w:jc w:val="left"/>
              <w:rPr>
                <w:rFonts w:hint="eastAsia" w:ascii="宋体" w:hAnsi="宋体" w:eastAsia="宋体" w:cs="Times New Roman"/>
                <w:szCs w:val="21"/>
              </w:rPr>
            </w:pPr>
            <w:r>
              <w:rPr>
                <w:rFonts w:hint="eastAsia" w:ascii="宋体" w:hAnsi="宋体" w:eastAsia="宋体" w:cs="Times New Roman"/>
                <w:szCs w:val="21"/>
              </w:rPr>
              <w:t>（3）单因素重复测量设计的方差分析</w:t>
            </w:r>
          </w:p>
          <w:p w14:paraId="2F626A5F">
            <w:pPr>
              <w:jc w:val="left"/>
              <w:rPr>
                <w:rFonts w:hint="eastAsia" w:ascii="宋体" w:hAnsi="宋体" w:eastAsia="宋体" w:cs="Times New Roman"/>
                <w:szCs w:val="21"/>
              </w:rPr>
            </w:pPr>
            <w:r>
              <w:rPr>
                <w:rFonts w:hint="eastAsia" w:ascii="宋体" w:hAnsi="宋体" w:eastAsia="宋体" w:cs="Times New Roman"/>
                <w:szCs w:val="21"/>
              </w:rPr>
              <w:t>（4）两因素完全随机设计的方差分析</w:t>
            </w:r>
          </w:p>
          <w:p w14:paraId="6D9780D2">
            <w:pPr>
              <w:jc w:val="left"/>
              <w:rPr>
                <w:rFonts w:hint="eastAsia" w:ascii="宋体" w:hAnsi="宋体" w:eastAsia="宋体" w:cs="Times New Roman"/>
                <w:szCs w:val="21"/>
              </w:rPr>
            </w:pPr>
            <w:r>
              <w:rPr>
                <w:rFonts w:hint="eastAsia" w:ascii="宋体" w:hAnsi="宋体" w:eastAsia="宋体" w:cs="Times New Roman"/>
                <w:szCs w:val="21"/>
              </w:rPr>
              <w:t>（5）两因素混合设计的方差分析</w:t>
            </w:r>
          </w:p>
        </w:tc>
        <w:tc>
          <w:tcPr>
            <w:tcW w:w="1134" w:type="dxa"/>
            <w:vAlign w:val="center"/>
          </w:tcPr>
          <w:p w14:paraId="6835EEF9">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260" w:type="dxa"/>
            <w:vAlign w:val="center"/>
          </w:tcPr>
          <w:p w14:paraId="781DBBDE">
            <w:pPr>
              <w:jc w:val="left"/>
              <w:rPr>
                <w:rFonts w:hint="eastAsia" w:ascii="宋体" w:hAnsi="宋体" w:eastAsia="宋体" w:cs="Times New Roman"/>
                <w:szCs w:val="21"/>
              </w:rPr>
            </w:pPr>
            <w:r>
              <w:rPr>
                <w:rFonts w:hint="eastAsia" w:ascii="宋体" w:hAnsi="宋体" w:eastAsia="宋体" w:cs="Times New Roman"/>
                <w:szCs w:val="21"/>
              </w:rPr>
              <w:t>（1）理解并掌握各种实验设计方式；</w:t>
            </w:r>
          </w:p>
          <w:p w14:paraId="27BD25B1">
            <w:pPr>
              <w:jc w:val="left"/>
              <w:rPr>
                <w:rFonts w:hint="eastAsia" w:ascii="宋体" w:hAnsi="宋体" w:eastAsia="宋体" w:cs="Times New Roman"/>
                <w:szCs w:val="21"/>
              </w:rPr>
            </w:pPr>
            <w:r>
              <w:rPr>
                <w:rFonts w:hint="eastAsia" w:ascii="宋体" w:hAnsi="宋体" w:eastAsia="宋体" w:cs="Times New Roman"/>
                <w:szCs w:val="21"/>
              </w:rPr>
              <w:t>（2）把</w:t>
            </w:r>
            <w:r>
              <w:rPr>
                <w:rFonts w:ascii="宋体" w:hAnsi="宋体" w:eastAsia="宋体" w:cs="Times New Roman"/>
                <w:szCs w:val="21"/>
              </w:rPr>
              <w:t>解</w:t>
            </w:r>
            <w:r>
              <w:rPr>
                <w:rFonts w:hint="eastAsia" w:ascii="宋体" w:hAnsi="宋体" w:eastAsia="宋体" w:cs="Times New Roman"/>
                <w:szCs w:val="21"/>
              </w:rPr>
              <w:t>各类实验设计的适用条件、SPSS的操作过程、数据的可视化处理及结果解释。</w:t>
            </w:r>
          </w:p>
        </w:tc>
        <w:tc>
          <w:tcPr>
            <w:tcW w:w="1560" w:type="dxa"/>
            <w:vAlign w:val="center"/>
          </w:tcPr>
          <w:p w14:paraId="1E5BBC76">
            <w:pPr>
              <w:jc w:val="left"/>
              <w:rPr>
                <w:rFonts w:hint="eastAsia" w:ascii="宋体" w:hAnsi="宋体" w:eastAsia="宋体" w:cs="Times New Roman"/>
                <w:szCs w:val="21"/>
              </w:rPr>
            </w:pPr>
            <w:r>
              <w:rPr>
                <w:rFonts w:ascii="宋体" w:hAnsi="宋体" w:eastAsia="宋体" w:cs="Times New Roman"/>
                <w:szCs w:val="21"/>
              </w:rPr>
              <w:t>1.线上学习</w:t>
            </w:r>
          </w:p>
          <w:p w14:paraId="4059C772">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4F452C51">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2BC1F957">
            <w:pPr>
              <w:jc w:val="center"/>
              <w:rPr>
                <w:rFonts w:hint="eastAsia" w:ascii="宋体" w:hAnsi="宋体" w:eastAsia="宋体" w:cs="Times New Roman"/>
                <w:szCs w:val="21"/>
              </w:rPr>
            </w:pPr>
            <w:r>
              <w:rPr>
                <w:rFonts w:hint="eastAsia" w:ascii="宋体" w:hAnsi="宋体" w:eastAsia="宋体" w:cs="Times New Roman"/>
                <w:szCs w:val="21"/>
              </w:rPr>
              <w:t>9</w:t>
            </w:r>
          </w:p>
        </w:tc>
      </w:tr>
      <w:tr w14:paraId="161C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22AE128">
            <w:pPr>
              <w:jc w:val="center"/>
              <w:rPr>
                <w:rFonts w:hint="eastAsia" w:ascii="宋体" w:hAnsi="宋体" w:eastAsia="宋体" w:cs="Times New Roman"/>
                <w:szCs w:val="21"/>
              </w:rPr>
            </w:pPr>
          </w:p>
        </w:tc>
        <w:tc>
          <w:tcPr>
            <w:tcW w:w="8093" w:type="dxa"/>
            <w:gridSpan w:val="5"/>
            <w:vAlign w:val="center"/>
          </w:tcPr>
          <w:p w14:paraId="620C8A2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认识到任何一种教育结果的发生之前，有众多不同的因素的影响；能用统计学的语言描述教育现象。</w:t>
            </w:r>
          </w:p>
        </w:tc>
      </w:tr>
      <w:tr w14:paraId="3565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B9BEBDD">
            <w:pPr>
              <w:numPr>
                <w:ilvl w:val="0"/>
                <w:numId w:val="50"/>
              </w:numPr>
              <w:jc w:val="center"/>
              <w:rPr>
                <w:rFonts w:hint="eastAsia" w:ascii="宋体" w:hAnsi="宋体" w:eastAsia="宋体" w:cs="Times New Roman"/>
                <w:szCs w:val="21"/>
              </w:rPr>
            </w:pPr>
            <w:r>
              <w:rPr>
                <w:rFonts w:hint="eastAsia" w:ascii="宋体" w:hAnsi="宋体" w:eastAsia="宋体" w:cs="Times New Roman"/>
                <w:szCs w:val="21"/>
              </w:rPr>
              <w:t>相关</w:t>
            </w:r>
          </w:p>
          <w:p w14:paraId="37B4600B">
            <w:pPr>
              <w:jc w:val="center"/>
              <w:rPr>
                <w:rFonts w:hint="eastAsia" w:ascii="宋体" w:hAnsi="宋体" w:eastAsia="宋体" w:cs="Times New Roman"/>
                <w:szCs w:val="21"/>
              </w:rPr>
            </w:pPr>
            <w:r>
              <w:rPr>
                <w:rFonts w:hint="eastAsia" w:ascii="宋体" w:hAnsi="宋体" w:eastAsia="宋体" w:cs="Times New Roman"/>
                <w:szCs w:val="21"/>
              </w:rPr>
              <w:t>分析</w:t>
            </w:r>
          </w:p>
        </w:tc>
        <w:tc>
          <w:tcPr>
            <w:tcW w:w="1701" w:type="dxa"/>
            <w:vAlign w:val="center"/>
          </w:tcPr>
          <w:p w14:paraId="1DD548E9">
            <w:pPr>
              <w:jc w:val="left"/>
              <w:rPr>
                <w:rFonts w:hint="eastAsia" w:ascii="宋体" w:hAnsi="宋体" w:eastAsia="宋体" w:cs="Times New Roman"/>
                <w:szCs w:val="21"/>
              </w:rPr>
            </w:pPr>
            <w:r>
              <w:rPr>
                <w:rFonts w:hint="eastAsia" w:ascii="宋体" w:hAnsi="宋体" w:eastAsia="宋体" w:cs="Times New Roman"/>
                <w:szCs w:val="21"/>
              </w:rPr>
              <w:t>（1）积差相关（2）等级相关</w:t>
            </w:r>
          </w:p>
          <w:p w14:paraId="1A5ACDFE">
            <w:pPr>
              <w:jc w:val="left"/>
              <w:rPr>
                <w:rFonts w:hint="eastAsia" w:ascii="宋体" w:hAnsi="宋体" w:eastAsia="宋体" w:cs="Times New Roman"/>
                <w:szCs w:val="21"/>
              </w:rPr>
            </w:pPr>
            <w:r>
              <w:rPr>
                <w:rFonts w:hint="eastAsia" w:ascii="宋体" w:hAnsi="宋体" w:eastAsia="宋体" w:cs="Times New Roman"/>
                <w:szCs w:val="21"/>
              </w:rPr>
              <w:t>（3）品质相关</w:t>
            </w:r>
          </w:p>
          <w:p w14:paraId="289D375B">
            <w:pPr>
              <w:jc w:val="left"/>
              <w:rPr>
                <w:rFonts w:hint="eastAsia" w:ascii="宋体" w:hAnsi="宋体" w:eastAsia="宋体" w:cs="Times New Roman"/>
                <w:szCs w:val="21"/>
              </w:rPr>
            </w:pPr>
            <w:r>
              <w:rPr>
                <w:rFonts w:hint="eastAsia" w:ascii="宋体" w:hAnsi="宋体" w:eastAsia="宋体" w:cs="Times New Roman"/>
                <w:szCs w:val="21"/>
              </w:rPr>
              <w:t>（4）质与量相关</w:t>
            </w:r>
          </w:p>
          <w:p w14:paraId="32616CBC">
            <w:pPr>
              <w:jc w:val="left"/>
              <w:rPr>
                <w:rFonts w:hint="eastAsia" w:ascii="宋体" w:hAnsi="宋体" w:eastAsia="宋体" w:cs="Times New Roman"/>
                <w:szCs w:val="21"/>
              </w:rPr>
            </w:pPr>
            <w:r>
              <w:rPr>
                <w:rFonts w:hint="eastAsia" w:ascii="宋体" w:hAnsi="宋体" w:eastAsia="宋体" w:cs="Times New Roman"/>
                <w:szCs w:val="21"/>
              </w:rPr>
              <w:t>（5）偏相关</w:t>
            </w:r>
          </w:p>
        </w:tc>
        <w:tc>
          <w:tcPr>
            <w:tcW w:w="1134" w:type="dxa"/>
            <w:vAlign w:val="center"/>
          </w:tcPr>
          <w:p w14:paraId="5E95377F">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260" w:type="dxa"/>
            <w:vAlign w:val="center"/>
          </w:tcPr>
          <w:p w14:paraId="1D7EDCC1">
            <w:pPr>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掌握</w:t>
            </w:r>
            <w:r>
              <w:rPr>
                <w:rFonts w:hint="eastAsia" w:ascii="宋体" w:hAnsi="宋体" w:eastAsia="宋体" w:cs="Times New Roman"/>
                <w:szCs w:val="21"/>
              </w:rPr>
              <w:t>相关的</w:t>
            </w:r>
            <w:r>
              <w:rPr>
                <w:rFonts w:ascii="宋体" w:hAnsi="宋体" w:eastAsia="宋体" w:cs="Times New Roman"/>
                <w:szCs w:val="21"/>
              </w:rPr>
              <w:t>基本概念</w:t>
            </w:r>
            <w:r>
              <w:rPr>
                <w:rFonts w:hint="eastAsia" w:ascii="宋体" w:hAnsi="宋体" w:eastAsia="宋体" w:cs="Times New Roman"/>
                <w:szCs w:val="21"/>
              </w:rPr>
              <w:t>和类型；</w:t>
            </w:r>
          </w:p>
          <w:p w14:paraId="26E794E2">
            <w:pPr>
              <w:jc w:val="left"/>
              <w:rPr>
                <w:rFonts w:hint="eastAsia" w:ascii="宋体" w:hAnsi="宋体" w:eastAsia="宋体" w:cs="Times New Roman"/>
                <w:szCs w:val="21"/>
              </w:rPr>
            </w:pPr>
            <w:r>
              <w:rPr>
                <w:rFonts w:hint="eastAsia" w:ascii="宋体" w:hAnsi="宋体" w:eastAsia="宋体" w:cs="Times New Roman"/>
                <w:szCs w:val="21"/>
              </w:rPr>
              <w:t>（2）把</w:t>
            </w:r>
            <w:r>
              <w:rPr>
                <w:rFonts w:ascii="宋体" w:hAnsi="宋体" w:eastAsia="宋体" w:cs="Times New Roman"/>
                <w:szCs w:val="21"/>
              </w:rPr>
              <w:t>解</w:t>
            </w:r>
            <w:r>
              <w:rPr>
                <w:rFonts w:hint="eastAsia" w:ascii="宋体" w:hAnsi="宋体" w:eastAsia="宋体" w:cs="Times New Roman"/>
                <w:szCs w:val="21"/>
              </w:rPr>
              <w:t>各类相关的适用条件、SPSS的操作过程、数据的可视化处理及结果解释。</w:t>
            </w:r>
          </w:p>
        </w:tc>
        <w:tc>
          <w:tcPr>
            <w:tcW w:w="1560" w:type="dxa"/>
            <w:vAlign w:val="center"/>
          </w:tcPr>
          <w:p w14:paraId="1D47617E">
            <w:pPr>
              <w:jc w:val="left"/>
              <w:rPr>
                <w:rFonts w:hint="eastAsia" w:ascii="宋体" w:hAnsi="宋体" w:eastAsia="宋体" w:cs="Times New Roman"/>
                <w:szCs w:val="21"/>
              </w:rPr>
            </w:pPr>
            <w:r>
              <w:rPr>
                <w:rFonts w:ascii="宋体" w:hAnsi="宋体" w:eastAsia="宋体" w:cs="Times New Roman"/>
                <w:szCs w:val="21"/>
              </w:rPr>
              <w:t>1.线上学习</w:t>
            </w:r>
          </w:p>
          <w:p w14:paraId="5673EBE0">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382CC6B1">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28CF57BB">
            <w:pPr>
              <w:jc w:val="center"/>
              <w:rPr>
                <w:rFonts w:hint="eastAsia" w:ascii="宋体" w:hAnsi="宋体" w:eastAsia="宋体" w:cs="Times New Roman"/>
                <w:szCs w:val="21"/>
              </w:rPr>
            </w:pPr>
            <w:r>
              <w:rPr>
                <w:rFonts w:hint="eastAsia" w:ascii="宋体" w:hAnsi="宋体" w:eastAsia="宋体" w:cs="Times New Roman"/>
                <w:szCs w:val="21"/>
              </w:rPr>
              <w:t>3</w:t>
            </w:r>
          </w:p>
        </w:tc>
      </w:tr>
      <w:tr w14:paraId="60EF4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15A6D26">
            <w:pPr>
              <w:jc w:val="center"/>
              <w:rPr>
                <w:rFonts w:hint="eastAsia" w:ascii="宋体" w:hAnsi="宋体" w:eastAsia="宋体" w:cs="Times New Roman"/>
                <w:szCs w:val="21"/>
              </w:rPr>
            </w:pPr>
          </w:p>
        </w:tc>
        <w:tc>
          <w:tcPr>
            <w:tcW w:w="8093" w:type="dxa"/>
            <w:gridSpan w:val="5"/>
            <w:vAlign w:val="center"/>
          </w:tcPr>
          <w:p w14:paraId="5519FC4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了解并学习历史上的统计学家对认识世界的那种孜孜以求的精神；掌握主要的相关分析手段背后所反映的社会现象之间的关系。</w:t>
            </w:r>
          </w:p>
        </w:tc>
      </w:tr>
      <w:tr w14:paraId="54B8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643305B">
            <w:pPr>
              <w:numPr>
                <w:ilvl w:val="0"/>
                <w:numId w:val="48"/>
              </w:numPr>
              <w:jc w:val="center"/>
              <w:rPr>
                <w:rFonts w:hint="eastAsia" w:ascii="宋体" w:hAnsi="宋体" w:eastAsia="宋体" w:cs="Times New Roman"/>
                <w:szCs w:val="21"/>
              </w:rPr>
            </w:pPr>
            <w:r>
              <w:rPr>
                <w:rFonts w:hint="eastAsia" w:ascii="宋体" w:hAnsi="宋体" w:eastAsia="宋体" w:cs="Times New Roman"/>
                <w:szCs w:val="21"/>
              </w:rPr>
              <w:t>回归</w:t>
            </w:r>
          </w:p>
          <w:p w14:paraId="6AA2FD88">
            <w:pPr>
              <w:jc w:val="center"/>
              <w:rPr>
                <w:rFonts w:hint="eastAsia" w:ascii="宋体" w:hAnsi="宋体" w:eastAsia="宋体" w:cs="Times New Roman"/>
                <w:szCs w:val="21"/>
              </w:rPr>
            </w:pPr>
            <w:r>
              <w:rPr>
                <w:rFonts w:hint="eastAsia" w:ascii="宋体" w:hAnsi="宋体" w:eastAsia="宋体" w:cs="Times New Roman"/>
                <w:szCs w:val="21"/>
              </w:rPr>
              <w:t>分析</w:t>
            </w:r>
          </w:p>
        </w:tc>
        <w:tc>
          <w:tcPr>
            <w:tcW w:w="1701" w:type="dxa"/>
            <w:vAlign w:val="center"/>
          </w:tcPr>
          <w:p w14:paraId="09E52885">
            <w:pPr>
              <w:jc w:val="left"/>
              <w:rPr>
                <w:rFonts w:hint="eastAsia" w:ascii="宋体" w:hAnsi="宋体" w:eastAsia="宋体" w:cs="Times New Roman"/>
                <w:szCs w:val="21"/>
              </w:rPr>
            </w:pPr>
            <w:r>
              <w:rPr>
                <w:rFonts w:hint="eastAsia" w:ascii="宋体" w:hAnsi="宋体" w:eastAsia="宋体" w:cs="Times New Roman"/>
                <w:szCs w:val="21"/>
              </w:rPr>
              <w:t>（1）影响因素的回归分析</w:t>
            </w:r>
          </w:p>
          <w:p w14:paraId="37502F30">
            <w:pPr>
              <w:jc w:val="left"/>
              <w:rPr>
                <w:rFonts w:hint="eastAsia" w:ascii="宋体" w:hAnsi="宋体" w:eastAsia="宋体" w:cs="Times New Roman"/>
                <w:szCs w:val="21"/>
              </w:rPr>
            </w:pPr>
            <w:r>
              <w:rPr>
                <w:rFonts w:hint="eastAsia" w:ascii="宋体" w:hAnsi="宋体" w:eastAsia="宋体" w:cs="Times New Roman"/>
                <w:szCs w:val="21"/>
              </w:rPr>
              <w:t>（2）作用机制的中介与调节效应模型</w:t>
            </w:r>
          </w:p>
        </w:tc>
        <w:tc>
          <w:tcPr>
            <w:tcW w:w="1134" w:type="dxa"/>
            <w:vAlign w:val="center"/>
          </w:tcPr>
          <w:p w14:paraId="1A2F191C">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260" w:type="dxa"/>
            <w:vAlign w:val="center"/>
          </w:tcPr>
          <w:p w14:paraId="1BE30464">
            <w:pPr>
              <w:jc w:val="left"/>
              <w:rPr>
                <w:rFonts w:hint="eastAsia" w:ascii="宋体" w:hAnsi="宋体" w:eastAsia="宋体" w:cs="Times New Roman"/>
                <w:szCs w:val="21"/>
              </w:rPr>
            </w:pPr>
            <w:r>
              <w:rPr>
                <w:rFonts w:hint="eastAsia" w:ascii="宋体" w:hAnsi="宋体" w:eastAsia="宋体" w:cs="Times New Roman"/>
                <w:szCs w:val="21"/>
              </w:rPr>
              <w:t>（1）掌握各类回归分析的适用条件、SPSS的操作过程、数据的可视化处理及结果解释；</w:t>
            </w:r>
          </w:p>
          <w:p w14:paraId="6F2C3329">
            <w:pPr>
              <w:jc w:val="left"/>
              <w:rPr>
                <w:rFonts w:hint="eastAsia" w:ascii="宋体" w:hAnsi="宋体" w:eastAsia="宋体" w:cs="Times New Roman"/>
                <w:szCs w:val="21"/>
              </w:rPr>
            </w:pPr>
            <w:r>
              <w:rPr>
                <w:rFonts w:hint="eastAsia" w:ascii="宋体" w:hAnsi="宋体" w:eastAsia="宋体" w:cs="Times New Roman"/>
                <w:szCs w:val="21"/>
              </w:rPr>
              <w:t>（2）掌握各类中介效应调节效应模型的适用条件、SPSS的操作过程、数据的可视化处理及结果解释。</w:t>
            </w:r>
          </w:p>
        </w:tc>
        <w:tc>
          <w:tcPr>
            <w:tcW w:w="1560" w:type="dxa"/>
            <w:vAlign w:val="center"/>
          </w:tcPr>
          <w:p w14:paraId="0DB3AD00">
            <w:pPr>
              <w:jc w:val="left"/>
              <w:rPr>
                <w:rFonts w:hint="eastAsia" w:ascii="宋体" w:hAnsi="宋体" w:eastAsia="宋体" w:cs="Times New Roman"/>
                <w:szCs w:val="21"/>
              </w:rPr>
            </w:pPr>
            <w:r>
              <w:rPr>
                <w:rFonts w:ascii="宋体" w:hAnsi="宋体" w:eastAsia="宋体" w:cs="Times New Roman"/>
                <w:szCs w:val="21"/>
              </w:rPr>
              <w:t>1.线上学习</w:t>
            </w:r>
          </w:p>
          <w:p w14:paraId="41008B47">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4CEBF810">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13984C6A">
            <w:pPr>
              <w:jc w:val="center"/>
              <w:rPr>
                <w:rFonts w:hint="eastAsia" w:ascii="宋体" w:hAnsi="宋体" w:eastAsia="宋体" w:cs="Times New Roman"/>
                <w:szCs w:val="21"/>
              </w:rPr>
            </w:pPr>
            <w:r>
              <w:rPr>
                <w:rFonts w:hint="eastAsia" w:ascii="宋体" w:hAnsi="宋体" w:eastAsia="宋体" w:cs="Times New Roman"/>
                <w:szCs w:val="21"/>
              </w:rPr>
              <w:t>12</w:t>
            </w:r>
          </w:p>
        </w:tc>
      </w:tr>
      <w:tr w14:paraId="7919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C7E9E65">
            <w:pPr>
              <w:jc w:val="center"/>
              <w:rPr>
                <w:rFonts w:hint="eastAsia" w:ascii="宋体" w:hAnsi="宋体" w:eastAsia="宋体" w:cs="Times New Roman"/>
                <w:szCs w:val="21"/>
              </w:rPr>
            </w:pPr>
          </w:p>
        </w:tc>
        <w:tc>
          <w:tcPr>
            <w:tcW w:w="8093" w:type="dxa"/>
            <w:gridSpan w:val="5"/>
            <w:vAlign w:val="center"/>
          </w:tcPr>
          <w:p w14:paraId="608F6B7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认识到教育和社会中的现象之间联系的复杂性，树立认识事物的联系观、发展观，形成建模思想。</w:t>
            </w:r>
          </w:p>
        </w:tc>
      </w:tr>
      <w:tr w14:paraId="448E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05A8AA4">
            <w:pPr>
              <w:jc w:val="center"/>
              <w:rPr>
                <w:rFonts w:hint="eastAsia" w:ascii="宋体" w:hAnsi="宋体" w:eastAsia="宋体" w:cs="Times New Roman"/>
                <w:szCs w:val="21"/>
              </w:rPr>
            </w:pPr>
            <w:r>
              <w:rPr>
                <w:rFonts w:hint="eastAsia" w:ascii="宋体" w:hAnsi="宋体" w:eastAsia="宋体" w:cs="Times New Roman"/>
                <w:szCs w:val="21"/>
              </w:rPr>
              <w:t>7.非参数检验</w:t>
            </w:r>
          </w:p>
        </w:tc>
        <w:tc>
          <w:tcPr>
            <w:tcW w:w="1701" w:type="dxa"/>
            <w:vAlign w:val="center"/>
          </w:tcPr>
          <w:p w14:paraId="5C85B062">
            <w:pPr>
              <w:jc w:val="left"/>
              <w:rPr>
                <w:rFonts w:hint="eastAsia" w:ascii="宋体" w:hAnsi="宋体" w:eastAsia="宋体" w:cs="Times New Roman"/>
                <w:szCs w:val="21"/>
              </w:rPr>
            </w:pPr>
            <w:r>
              <w:rPr>
                <w:rFonts w:hint="eastAsia" w:ascii="宋体" w:hAnsi="宋体" w:eastAsia="宋体" w:cs="Times New Roman"/>
                <w:szCs w:val="21"/>
              </w:rPr>
              <w:t>（1）计数数据的卡方分析</w:t>
            </w:r>
          </w:p>
          <w:p w14:paraId="0FCC94B8">
            <w:pPr>
              <w:jc w:val="left"/>
              <w:rPr>
                <w:rFonts w:hint="eastAsia" w:ascii="宋体" w:hAnsi="宋体" w:eastAsia="宋体" w:cs="Times New Roman"/>
                <w:szCs w:val="21"/>
              </w:rPr>
            </w:pPr>
            <w:r>
              <w:rPr>
                <w:rFonts w:hint="eastAsia" w:ascii="宋体" w:hAnsi="宋体" w:eastAsia="宋体" w:cs="Times New Roman"/>
                <w:szCs w:val="21"/>
              </w:rPr>
              <w:t>（2）连续数据的独立样本非参数检验</w:t>
            </w:r>
          </w:p>
          <w:p w14:paraId="367206A6">
            <w:pPr>
              <w:jc w:val="left"/>
              <w:rPr>
                <w:rFonts w:hint="eastAsia" w:ascii="宋体" w:hAnsi="宋体" w:eastAsia="宋体" w:cs="Times New Roman"/>
                <w:szCs w:val="21"/>
              </w:rPr>
            </w:pPr>
            <w:r>
              <w:rPr>
                <w:rFonts w:hint="eastAsia" w:ascii="宋体" w:hAnsi="宋体" w:eastAsia="宋体" w:cs="Times New Roman"/>
                <w:szCs w:val="21"/>
              </w:rPr>
              <w:t>（3）连续数据的相关样本非参数检验</w:t>
            </w:r>
          </w:p>
        </w:tc>
        <w:tc>
          <w:tcPr>
            <w:tcW w:w="1134" w:type="dxa"/>
            <w:vAlign w:val="center"/>
          </w:tcPr>
          <w:p w14:paraId="4F75E3CC">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260" w:type="dxa"/>
            <w:vAlign w:val="center"/>
          </w:tcPr>
          <w:p w14:paraId="78B0EC9C">
            <w:pPr>
              <w:numPr>
                <w:ilvl w:val="0"/>
                <w:numId w:val="22"/>
              </w:numPr>
              <w:jc w:val="left"/>
              <w:rPr>
                <w:rFonts w:hint="eastAsia" w:ascii="宋体" w:hAnsi="宋体" w:eastAsia="宋体" w:cs="Times New Roman"/>
                <w:szCs w:val="21"/>
              </w:rPr>
            </w:pPr>
            <w:r>
              <w:rPr>
                <w:rFonts w:hint="eastAsia" w:ascii="宋体" w:hAnsi="宋体" w:eastAsia="宋体" w:cs="Times New Roman"/>
                <w:szCs w:val="21"/>
              </w:rPr>
              <w:t>掌握卡方分析的适用条件、SPSS的操作过程、数据的可视化处理及结果解释；</w:t>
            </w:r>
          </w:p>
          <w:p w14:paraId="36722544">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掌握独立样本非参数检验的适用条件、SPSS的操作过程、数据的可视化处理及结果解释；</w:t>
            </w:r>
          </w:p>
          <w:p w14:paraId="540C80A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掌握相关样本非参数检验的适用条件、SPSS的操作过程、数据的可视化处理及结果解释。</w:t>
            </w:r>
          </w:p>
        </w:tc>
        <w:tc>
          <w:tcPr>
            <w:tcW w:w="1560" w:type="dxa"/>
            <w:vAlign w:val="center"/>
          </w:tcPr>
          <w:p w14:paraId="7EAFCC5F">
            <w:pPr>
              <w:jc w:val="left"/>
              <w:rPr>
                <w:rFonts w:hint="eastAsia" w:ascii="宋体" w:hAnsi="宋体" w:eastAsia="宋体" w:cs="Times New Roman"/>
                <w:szCs w:val="21"/>
              </w:rPr>
            </w:pPr>
            <w:r>
              <w:rPr>
                <w:rFonts w:ascii="宋体" w:hAnsi="宋体" w:eastAsia="宋体" w:cs="Times New Roman"/>
                <w:szCs w:val="21"/>
              </w:rPr>
              <w:t>1.线上学习</w:t>
            </w:r>
          </w:p>
          <w:p w14:paraId="39404C94">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72C68B2D">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45D62D24">
            <w:pPr>
              <w:jc w:val="center"/>
              <w:rPr>
                <w:rFonts w:hint="eastAsia" w:ascii="宋体" w:hAnsi="宋体" w:eastAsia="宋体" w:cs="Times New Roman"/>
                <w:szCs w:val="21"/>
              </w:rPr>
            </w:pPr>
            <w:r>
              <w:rPr>
                <w:rFonts w:hint="eastAsia" w:ascii="宋体" w:hAnsi="宋体" w:eastAsia="宋体" w:cs="Times New Roman"/>
                <w:szCs w:val="21"/>
              </w:rPr>
              <w:t>3</w:t>
            </w:r>
          </w:p>
        </w:tc>
      </w:tr>
      <w:tr w14:paraId="5B88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D726387">
            <w:pPr>
              <w:jc w:val="center"/>
              <w:rPr>
                <w:rFonts w:hint="eastAsia" w:ascii="宋体" w:hAnsi="宋体" w:eastAsia="宋体" w:cs="Times New Roman"/>
                <w:szCs w:val="21"/>
              </w:rPr>
            </w:pPr>
          </w:p>
        </w:tc>
        <w:tc>
          <w:tcPr>
            <w:tcW w:w="8093" w:type="dxa"/>
            <w:gridSpan w:val="5"/>
            <w:vAlign w:val="center"/>
          </w:tcPr>
          <w:p w14:paraId="1860FAF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了解人类社会同一群体所简化为数据背后的内在关联；学会用科学的检验方法去认识教育现象与社会现象。</w:t>
            </w:r>
          </w:p>
        </w:tc>
      </w:tr>
      <w:tr w14:paraId="22F0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D414008">
            <w:pPr>
              <w:jc w:val="center"/>
              <w:rPr>
                <w:rFonts w:hint="eastAsia" w:ascii="宋体" w:hAnsi="宋体" w:eastAsia="宋体" w:cs="Times New Roman"/>
                <w:szCs w:val="21"/>
              </w:rPr>
            </w:pPr>
            <w:r>
              <w:rPr>
                <w:rFonts w:hint="eastAsia" w:ascii="宋体" w:hAnsi="宋体" w:eastAsia="宋体" w:cs="Times New Roman"/>
                <w:szCs w:val="21"/>
              </w:rPr>
              <w:t>8.测验信度分析</w:t>
            </w:r>
          </w:p>
        </w:tc>
        <w:tc>
          <w:tcPr>
            <w:tcW w:w="1701" w:type="dxa"/>
            <w:vAlign w:val="center"/>
          </w:tcPr>
          <w:p w14:paraId="1B423931">
            <w:pPr>
              <w:jc w:val="left"/>
              <w:rPr>
                <w:rFonts w:hint="eastAsia" w:ascii="宋体" w:hAnsi="宋体" w:eastAsia="宋体" w:cs="Times New Roman"/>
                <w:szCs w:val="21"/>
              </w:rPr>
            </w:pPr>
            <w:r>
              <w:rPr>
                <w:rFonts w:hint="eastAsia" w:ascii="宋体" w:hAnsi="宋体" w:eastAsia="宋体" w:cs="Times New Roman"/>
                <w:szCs w:val="21"/>
              </w:rPr>
              <w:t>（1）</w:t>
            </w:r>
            <w:r>
              <w:rPr>
                <w:rFonts w:ascii="Arial" w:hAnsi="Arial" w:eastAsia="宋体" w:cs="Arial"/>
                <w:szCs w:val="21"/>
              </w:rPr>
              <w:t>α</w:t>
            </w:r>
            <w:r>
              <w:rPr>
                <w:rFonts w:hint="eastAsia" w:ascii="宋体" w:hAnsi="宋体" w:eastAsia="宋体" w:cs="Times New Roman"/>
                <w:szCs w:val="21"/>
              </w:rPr>
              <w:t>系数与分半信度</w:t>
            </w:r>
          </w:p>
          <w:p w14:paraId="5698CED0">
            <w:pPr>
              <w:jc w:val="left"/>
              <w:rPr>
                <w:rFonts w:hint="eastAsia" w:ascii="宋体" w:hAnsi="宋体" w:eastAsia="宋体" w:cs="Times New Roman"/>
                <w:szCs w:val="21"/>
              </w:rPr>
            </w:pPr>
            <w:r>
              <w:rPr>
                <w:rFonts w:hint="eastAsia" w:ascii="宋体" w:hAnsi="宋体" w:eastAsia="宋体" w:cs="Times New Roman"/>
                <w:szCs w:val="21"/>
              </w:rPr>
              <w:t>（2）评分者一致性系数</w:t>
            </w:r>
          </w:p>
        </w:tc>
        <w:tc>
          <w:tcPr>
            <w:tcW w:w="1134" w:type="dxa"/>
            <w:vAlign w:val="center"/>
          </w:tcPr>
          <w:p w14:paraId="3F42DC60">
            <w:pPr>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3260" w:type="dxa"/>
            <w:vAlign w:val="center"/>
          </w:tcPr>
          <w:p w14:paraId="030D2E6A">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把握测量的信度与效度等测量学指标概念与类别；</w:t>
            </w:r>
          </w:p>
          <w:p w14:paraId="2BBA3C53">
            <w:pPr>
              <w:jc w:val="left"/>
              <w:rPr>
                <w:rFonts w:hint="eastAsia"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2）</w:t>
            </w:r>
            <w:r>
              <w:rPr>
                <w:rFonts w:hint="eastAsia" w:ascii="宋体" w:hAnsi="宋体" w:eastAsia="宋体" w:cs="Times New Roman"/>
                <w:szCs w:val="21"/>
              </w:rPr>
              <w:t>掌握测量的各类信度检验的适用条件、SPSS的操作过程、数据的可视化处理及结果解释。</w:t>
            </w:r>
          </w:p>
        </w:tc>
        <w:tc>
          <w:tcPr>
            <w:tcW w:w="1560" w:type="dxa"/>
            <w:vAlign w:val="center"/>
          </w:tcPr>
          <w:p w14:paraId="22A90F41">
            <w:pPr>
              <w:jc w:val="left"/>
              <w:rPr>
                <w:rFonts w:hint="eastAsia" w:ascii="宋体" w:hAnsi="宋体" w:eastAsia="宋体" w:cs="Times New Roman"/>
                <w:szCs w:val="21"/>
              </w:rPr>
            </w:pPr>
            <w:r>
              <w:rPr>
                <w:rFonts w:ascii="宋体" w:hAnsi="宋体" w:eastAsia="宋体" w:cs="Times New Roman"/>
                <w:szCs w:val="21"/>
              </w:rPr>
              <w:t>1.线上学习</w:t>
            </w:r>
          </w:p>
          <w:p w14:paraId="4ABAE596">
            <w:pPr>
              <w:jc w:val="left"/>
              <w:rPr>
                <w:rFonts w:hint="eastAsia" w:ascii="宋体" w:hAnsi="宋体" w:eastAsia="宋体" w:cs="Times New Roman"/>
                <w:szCs w:val="21"/>
              </w:rPr>
            </w:pPr>
            <w:r>
              <w:rPr>
                <w:rFonts w:ascii="宋体" w:hAnsi="宋体" w:eastAsia="宋体" w:cs="Times New Roman"/>
                <w:szCs w:val="21"/>
              </w:rPr>
              <w:t>2.多媒体教学</w:t>
            </w:r>
            <w:r>
              <w:rPr>
                <w:rFonts w:hint="eastAsia" w:ascii="宋体" w:hAnsi="宋体" w:eastAsia="宋体" w:cs="Times New Roman"/>
                <w:szCs w:val="21"/>
              </w:rPr>
              <w:t>3.课堂练习</w:t>
            </w:r>
          </w:p>
          <w:p w14:paraId="7F069570">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3A9FE3BF">
            <w:pPr>
              <w:jc w:val="center"/>
              <w:rPr>
                <w:rFonts w:hint="eastAsia" w:ascii="宋体" w:hAnsi="宋体" w:eastAsia="宋体" w:cs="Times New Roman"/>
                <w:szCs w:val="21"/>
              </w:rPr>
            </w:pPr>
            <w:r>
              <w:rPr>
                <w:rFonts w:hint="eastAsia" w:ascii="宋体" w:hAnsi="宋体" w:eastAsia="宋体" w:cs="Times New Roman"/>
                <w:szCs w:val="21"/>
              </w:rPr>
              <w:t>3</w:t>
            </w:r>
          </w:p>
        </w:tc>
      </w:tr>
      <w:tr w14:paraId="4644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FA179BB">
            <w:pPr>
              <w:jc w:val="center"/>
              <w:rPr>
                <w:rFonts w:hint="eastAsia" w:ascii="宋体" w:hAnsi="宋体" w:eastAsia="宋体" w:cs="Times New Roman"/>
                <w:szCs w:val="21"/>
              </w:rPr>
            </w:pPr>
          </w:p>
        </w:tc>
        <w:tc>
          <w:tcPr>
            <w:tcW w:w="8093" w:type="dxa"/>
            <w:gridSpan w:val="5"/>
            <w:vAlign w:val="center"/>
          </w:tcPr>
          <w:p w14:paraId="40C7A651">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理解认识事物的规律需要依靠可靠的工具，了解判别可靠性的客观化标准。</w:t>
            </w:r>
          </w:p>
        </w:tc>
      </w:tr>
    </w:tbl>
    <w:p w14:paraId="46025620">
      <w:pPr>
        <w:spacing w:before="62" w:beforeLines="20" w:after="62" w:afterLines="20" w:line="360" w:lineRule="auto"/>
        <w:jc w:val="left"/>
        <w:rPr>
          <w:rFonts w:ascii="Times New Roman" w:hAnsi="Times New Roman" w:eastAsia="宋体" w:cs="Times New Roman"/>
          <w:b/>
          <w:sz w:val="24"/>
        </w:rPr>
      </w:pPr>
      <w:bookmarkStart w:id="1610" w:name="_Toc24726"/>
      <w:bookmarkStart w:id="1611" w:name="_Toc18718"/>
      <w:bookmarkStart w:id="1612" w:name="_Toc32596"/>
      <w:bookmarkStart w:id="1613" w:name="_Toc12420"/>
      <w:bookmarkStart w:id="1614" w:name="_Toc5765"/>
      <w:bookmarkStart w:id="1615" w:name="_Toc32641"/>
      <w:bookmarkStart w:id="1616" w:name="_Toc16665"/>
      <w:r>
        <w:rPr>
          <w:rFonts w:hint="eastAsia" w:ascii="Times New Roman" w:hAnsi="Times New Roman" w:eastAsia="宋体" w:cs="Times New Roman"/>
          <w:b/>
          <w:sz w:val="24"/>
        </w:rPr>
        <w:t>四、目标评价与成绩评定</w:t>
      </w:r>
      <w:bookmarkEnd w:id="1610"/>
      <w:bookmarkEnd w:id="1611"/>
      <w:bookmarkEnd w:id="1612"/>
      <w:bookmarkEnd w:id="1613"/>
      <w:bookmarkEnd w:id="1614"/>
      <w:bookmarkEnd w:id="1615"/>
      <w:bookmarkEnd w:id="1616"/>
    </w:p>
    <w:p w14:paraId="62AED5C0">
      <w:pPr>
        <w:spacing w:line="360" w:lineRule="auto"/>
        <w:jc w:val="left"/>
        <w:outlineLvl w:val="1"/>
        <w:rPr>
          <w:rFonts w:ascii="Times New Roman" w:hAnsi="Times New Roman" w:eastAsia="宋体" w:cs="Times New Roman"/>
          <w:b/>
          <w:szCs w:val="21"/>
        </w:rPr>
      </w:pPr>
      <w:bookmarkStart w:id="1617" w:name="_Toc20497"/>
      <w:r>
        <w:rPr>
          <w:rFonts w:hint="eastAsia" w:ascii="Times New Roman" w:hAnsi="Times New Roman" w:eastAsia="宋体" w:cs="Times New Roman"/>
          <w:b/>
          <w:szCs w:val="21"/>
        </w:rPr>
        <w:t>（一）课程目标评价方式</w:t>
      </w:r>
      <w:bookmarkEnd w:id="1617"/>
    </w:p>
    <w:p w14:paraId="684B159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481"/>
        <w:gridCol w:w="1481"/>
        <w:gridCol w:w="1481"/>
        <w:gridCol w:w="1483"/>
        <w:gridCol w:w="891"/>
      </w:tblGrid>
      <w:tr w14:paraId="39181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restart"/>
            <w:vAlign w:val="center"/>
          </w:tcPr>
          <w:p w14:paraId="23874E5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477" w:type="pct"/>
            <w:gridSpan w:val="4"/>
            <w:vAlign w:val="center"/>
          </w:tcPr>
          <w:p w14:paraId="18D44FD2">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523" w:type="pct"/>
            <w:vMerge w:val="restart"/>
            <w:vAlign w:val="center"/>
          </w:tcPr>
          <w:p w14:paraId="2406EF53">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F4C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Merge w:val="continue"/>
            <w:vAlign w:val="center"/>
          </w:tcPr>
          <w:p w14:paraId="6CB59299">
            <w:pPr>
              <w:spacing w:line="360" w:lineRule="auto"/>
              <w:jc w:val="center"/>
              <w:rPr>
                <w:rFonts w:hint="eastAsia" w:ascii="宋体" w:hAnsi="宋体" w:eastAsia="宋体" w:cs="Times New Roman"/>
                <w:szCs w:val="21"/>
              </w:rPr>
            </w:pPr>
          </w:p>
        </w:tc>
        <w:tc>
          <w:tcPr>
            <w:tcW w:w="869" w:type="pct"/>
            <w:vAlign w:val="center"/>
          </w:tcPr>
          <w:p w14:paraId="0CC5F23E">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869" w:type="pct"/>
            <w:vAlign w:val="center"/>
          </w:tcPr>
          <w:p w14:paraId="20EAF557">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869" w:type="pct"/>
            <w:vAlign w:val="center"/>
          </w:tcPr>
          <w:p w14:paraId="70D2C2A6">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870" w:type="pct"/>
          </w:tcPr>
          <w:p w14:paraId="60825569">
            <w:pPr>
              <w:spacing w:line="360" w:lineRule="auto"/>
              <w:jc w:val="center"/>
              <w:rPr>
                <w:rFonts w:hint="eastAsia" w:ascii="宋体" w:hAnsi="宋体" w:eastAsia="宋体" w:cs="Times New Roman"/>
                <w:szCs w:val="21"/>
              </w:rPr>
            </w:pPr>
            <w:r>
              <w:rPr>
                <w:rFonts w:hint="eastAsia" w:ascii="宋体" w:hAnsi="宋体" w:eastAsia="宋体" w:cs="Times New Roman"/>
                <w:szCs w:val="21"/>
              </w:rPr>
              <w:t>自主学习</w:t>
            </w:r>
          </w:p>
        </w:tc>
        <w:tc>
          <w:tcPr>
            <w:tcW w:w="523" w:type="pct"/>
            <w:vMerge w:val="continue"/>
            <w:vAlign w:val="center"/>
          </w:tcPr>
          <w:p w14:paraId="031387C6">
            <w:pPr>
              <w:spacing w:line="360" w:lineRule="auto"/>
              <w:jc w:val="center"/>
              <w:rPr>
                <w:rFonts w:hint="eastAsia" w:ascii="宋体" w:hAnsi="宋体" w:eastAsia="宋体" w:cs="Times New Roman"/>
                <w:szCs w:val="21"/>
              </w:rPr>
            </w:pPr>
          </w:p>
        </w:tc>
      </w:tr>
      <w:tr w14:paraId="4F348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4E95AC3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869" w:type="pct"/>
            <w:vAlign w:val="center"/>
          </w:tcPr>
          <w:p w14:paraId="5EFDB2F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45C6C162">
            <w:pPr>
              <w:spacing w:line="360" w:lineRule="auto"/>
              <w:jc w:val="center"/>
              <w:rPr>
                <w:rFonts w:hint="eastAsia" w:ascii="宋体" w:hAnsi="宋体" w:eastAsia="宋体" w:cs="Times New Roman"/>
                <w:szCs w:val="21"/>
              </w:rPr>
            </w:pPr>
            <w:r>
              <w:rPr>
                <w:rFonts w:hint="eastAsia" w:ascii="宋体" w:hAnsi="宋体" w:eastAsia="宋体" w:cs="Times New Roman"/>
                <w:szCs w:val="21"/>
              </w:rPr>
              <w:sym w:font="Wingdings 2" w:char="F050"/>
            </w:r>
          </w:p>
        </w:tc>
        <w:tc>
          <w:tcPr>
            <w:tcW w:w="869" w:type="pct"/>
            <w:vAlign w:val="center"/>
          </w:tcPr>
          <w:p w14:paraId="74F5B3C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tcPr>
          <w:p w14:paraId="10FEB7B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3" w:type="pct"/>
            <w:vAlign w:val="center"/>
          </w:tcPr>
          <w:p w14:paraId="16DA4923">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5E2D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2D4E67A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869" w:type="pct"/>
            <w:vAlign w:val="center"/>
          </w:tcPr>
          <w:p w14:paraId="33EA8CF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482EB4C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69" w:type="pct"/>
            <w:vAlign w:val="center"/>
          </w:tcPr>
          <w:p w14:paraId="42D9EFF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870" w:type="pct"/>
          </w:tcPr>
          <w:p w14:paraId="3DD8918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523" w:type="pct"/>
            <w:vAlign w:val="center"/>
          </w:tcPr>
          <w:p w14:paraId="3852DE7A">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r>
      <w:tr w14:paraId="7688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14:paraId="1A903F29">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869" w:type="pct"/>
            <w:vAlign w:val="center"/>
          </w:tcPr>
          <w:p w14:paraId="2AD3BD9F">
            <w:pPr>
              <w:spacing w:line="360" w:lineRule="auto"/>
              <w:jc w:val="center"/>
              <w:rPr>
                <w:rFonts w:hint="eastAsia" w:ascii="宋体" w:hAnsi="宋体" w:eastAsia="宋体" w:cs="Times New Roman"/>
                <w:szCs w:val="21"/>
              </w:rPr>
            </w:pPr>
          </w:p>
        </w:tc>
        <w:tc>
          <w:tcPr>
            <w:tcW w:w="869" w:type="pct"/>
            <w:vAlign w:val="center"/>
          </w:tcPr>
          <w:p w14:paraId="181E394E">
            <w:pPr>
              <w:spacing w:line="360" w:lineRule="auto"/>
              <w:jc w:val="center"/>
              <w:rPr>
                <w:rFonts w:hint="eastAsia" w:ascii="宋体" w:hAnsi="宋体" w:eastAsia="宋体" w:cs="Times New Roman"/>
                <w:szCs w:val="21"/>
              </w:rPr>
            </w:pPr>
          </w:p>
        </w:tc>
        <w:tc>
          <w:tcPr>
            <w:tcW w:w="869" w:type="pct"/>
            <w:vAlign w:val="center"/>
          </w:tcPr>
          <w:p w14:paraId="5A89362F">
            <w:pPr>
              <w:spacing w:line="360" w:lineRule="auto"/>
              <w:jc w:val="center"/>
              <w:rPr>
                <w:rFonts w:hint="eastAsia" w:ascii="宋体" w:hAnsi="宋体" w:eastAsia="宋体" w:cs="Times New Roman"/>
                <w:szCs w:val="21"/>
              </w:rPr>
            </w:pPr>
          </w:p>
        </w:tc>
        <w:tc>
          <w:tcPr>
            <w:tcW w:w="870" w:type="pct"/>
          </w:tcPr>
          <w:p w14:paraId="5CF0828A">
            <w:pPr>
              <w:spacing w:line="360" w:lineRule="auto"/>
              <w:jc w:val="center"/>
              <w:rPr>
                <w:rFonts w:hint="eastAsia" w:ascii="宋体" w:hAnsi="宋体" w:eastAsia="宋体" w:cs="Times New Roman"/>
                <w:szCs w:val="21"/>
              </w:rPr>
            </w:pPr>
          </w:p>
        </w:tc>
        <w:tc>
          <w:tcPr>
            <w:tcW w:w="523" w:type="pct"/>
            <w:vAlign w:val="center"/>
          </w:tcPr>
          <w:p w14:paraId="11CCBD54">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B870928">
      <w:pPr>
        <w:spacing w:before="156" w:beforeLines="50" w:line="360" w:lineRule="auto"/>
        <w:jc w:val="left"/>
        <w:outlineLvl w:val="1"/>
        <w:rPr>
          <w:rFonts w:ascii="Times New Roman" w:hAnsi="Times New Roman" w:eastAsia="宋体" w:cs="Times New Roman"/>
          <w:b/>
          <w:szCs w:val="21"/>
        </w:rPr>
      </w:pPr>
      <w:bookmarkStart w:id="1618" w:name="_Toc9664"/>
      <w:r>
        <w:rPr>
          <w:rFonts w:hint="eastAsia" w:ascii="Times New Roman" w:hAnsi="Times New Roman" w:eastAsia="宋体" w:cs="Times New Roman"/>
          <w:b/>
          <w:szCs w:val="21"/>
        </w:rPr>
        <w:t>（二）成绩评定细则</w:t>
      </w:r>
      <w:bookmarkEnd w:id="1618"/>
    </w:p>
    <w:p w14:paraId="667720F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35EC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3890FB">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C1E9A3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2D0F103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B10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64EDC2">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E021A5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平时作业共5次，包括SPSS操作的规范性、数据输出的准确性、结果解释的合理性。</w:t>
            </w:r>
          </w:p>
        </w:tc>
        <w:tc>
          <w:tcPr>
            <w:tcW w:w="0" w:type="auto"/>
            <w:vAlign w:val="center"/>
          </w:tcPr>
          <w:p w14:paraId="71BA81C1">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7F41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CE5A74F">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1506342">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43FCA1A2">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4DD1A8B4">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A3F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F52D7C7">
            <w:pPr>
              <w:rPr>
                <w:rFonts w:ascii="Times New Roman" w:hAnsi="Times New Roman" w:eastAsia="宋体" w:cs="Times New Roman"/>
                <w:szCs w:val="21"/>
              </w:rPr>
            </w:pPr>
            <w:r>
              <w:rPr>
                <w:rFonts w:hint="eastAsia" w:ascii="Times New Roman" w:hAnsi="Times New Roman" w:eastAsia="宋体" w:cs="Times New Roman"/>
                <w:szCs w:val="21"/>
              </w:rPr>
              <w:t>自主学习</w:t>
            </w:r>
          </w:p>
        </w:tc>
        <w:tc>
          <w:tcPr>
            <w:tcW w:w="7141" w:type="dxa"/>
            <w:vAlign w:val="center"/>
          </w:tcPr>
          <w:p w14:paraId="482CA5D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学生在在线开放课程中完成课前自主学习，系统记录其学习经历，主要包括观看视频、参与讨论等行为。期末收集所有学生的学习数据，以完成所有要求的学习项目为满分，按比例折算出学生的得分。</w:t>
            </w:r>
          </w:p>
        </w:tc>
        <w:tc>
          <w:tcPr>
            <w:tcW w:w="0" w:type="auto"/>
            <w:vAlign w:val="center"/>
          </w:tcPr>
          <w:p w14:paraId="73E3EE7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31F7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B4A9550">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74EE77E">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操作题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统计基本理论和知识型题目占2</w:t>
            </w:r>
            <w:r>
              <w:rPr>
                <w:rFonts w:ascii="Times New Roman" w:hAnsi="Times New Roman" w:eastAsia="宋体" w:cs="Times New Roman"/>
                <w:szCs w:val="21"/>
              </w:rPr>
              <w:t>0</w:t>
            </w:r>
            <w:r>
              <w:rPr>
                <w:rFonts w:hint="eastAsia" w:ascii="Times New Roman" w:hAnsi="Times New Roman" w:eastAsia="宋体" w:cs="Times New Roman"/>
                <w:szCs w:val="21"/>
              </w:rPr>
              <w:t>%；考核学生的统计操作题（输出可视化与结果解释）占8</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6913A6E9">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50378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180EEB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A526579">
            <w:pPr>
              <w:jc w:val="left"/>
              <w:rPr>
                <w:rFonts w:ascii="Times New Roman" w:hAnsi="Times New Roman" w:eastAsia="宋体" w:cs="Times New Roman"/>
                <w:szCs w:val="21"/>
              </w:rPr>
            </w:pPr>
          </w:p>
        </w:tc>
        <w:tc>
          <w:tcPr>
            <w:tcW w:w="0" w:type="auto"/>
            <w:vAlign w:val="center"/>
          </w:tcPr>
          <w:p w14:paraId="460BDD59">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E04BE10">
      <w:pPr>
        <w:spacing w:line="360" w:lineRule="auto"/>
        <w:jc w:val="left"/>
        <w:outlineLvl w:val="1"/>
        <w:rPr>
          <w:rFonts w:hint="eastAsia" w:ascii="宋体" w:hAnsi="宋体" w:eastAsia="宋体" w:cs="Times New Roman"/>
          <w:b/>
          <w:szCs w:val="21"/>
        </w:rPr>
      </w:pPr>
      <w:bookmarkStart w:id="1619" w:name="_Toc19518"/>
      <w:r>
        <w:rPr>
          <w:rFonts w:hint="eastAsia" w:ascii="宋体" w:hAnsi="宋体" w:eastAsia="宋体" w:cs="Times New Roman"/>
          <w:b/>
          <w:szCs w:val="21"/>
        </w:rPr>
        <w:t>（三）课程目标达成度计算方法</w:t>
      </w:r>
      <w:bookmarkEnd w:id="1619"/>
    </w:p>
    <w:p w14:paraId="16FC68DF">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C4FECA1">
      <w:pPr>
        <w:spacing w:before="156" w:beforeLines="50"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object>
          <v:shape id="_x0000_i1068"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68" DrawAspect="Content" ObjectID="_1468075768" r:id="rId56">
            <o:LockedField>false</o:LockedField>
          </o:OLEObject>
        </w:object>
      </w:r>
    </w:p>
    <w:p w14:paraId="5135D07A">
      <w:pPr>
        <w:spacing w:before="62" w:beforeLines="20" w:after="62" w:afterLines="20" w:line="360" w:lineRule="auto"/>
        <w:jc w:val="left"/>
        <w:rPr>
          <w:rFonts w:ascii="Times New Roman" w:hAnsi="Times New Roman" w:eastAsia="宋体" w:cs="Times New Roman"/>
          <w:b/>
          <w:sz w:val="24"/>
        </w:rPr>
      </w:pPr>
      <w:bookmarkStart w:id="1620" w:name="_Toc2626"/>
      <w:bookmarkStart w:id="1621" w:name="_Toc14374"/>
      <w:bookmarkStart w:id="1622" w:name="_Toc13843"/>
      <w:bookmarkStart w:id="1623" w:name="_Toc13281"/>
      <w:bookmarkStart w:id="1624" w:name="_Toc32761"/>
      <w:bookmarkStart w:id="1625" w:name="_Toc10341"/>
      <w:bookmarkStart w:id="1626" w:name="_Toc13257"/>
      <w:r>
        <w:rPr>
          <w:rFonts w:hint="eastAsia" w:ascii="Times New Roman" w:hAnsi="Times New Roman" w:eastAsia="宋体" w:cs="Times New Roman"/>
          <w:b/>
          <w:sz w:val="24"/>
        </w:rPr>
        <w:t>五、有关说明</w:t>
      </w:r>
      <w:bookmarkEnd w:id="1620"/>
      <w:bookmarkEnd w:id="1621"/>
      <w:bookmarkEnd w:id="1622"/>
      <w:bookmarkEnd w:id="1623"/>
      <w:bookmarkEnd w:id="1624"/>
      <w:bookmarkEnd w:id="1625"/>
      <w:bookmarkEnd w:id="1626"/>
    </w:p>
    <w:p w14:paraId="188BB90E">
      <w:pPr>
        <w:spacing w:line="360" w:lineRule="auto"/>
        <w:jc w:val="left"/>
        <w:outlineLvl w:val="1"/>
        <w:rPr>
          <w:rFonts w:ascii="Times New Roman" w:hAnsi="Times New Roman" w:eastAsia="宋体" w:cs="Times New Roman"/>
          <w:b/>
          <w:szCs w:val="21"/>
        </w:rPr>
      </w:pPr>
      <w:bookmarkStart w:id="1627" w:name="_Toc13558"/>
      <w:r>
        <w:rPr>
          <w:rFonts w:hint="eastAsia" w:ascii="Times New Roman" w:hAnsi="Times New Roman" w:eastAsia="宋体" w:cs="Times New Roman"/>
          <w:b/>
          <w:szCs w:val="21"/>
        </w:rPr>
        <w:t>（一）持续改进</w:t>
      </w:r>
      <w:bookmarkEnd w:id="1627"/>
    </w:p>
    <w:p w14:paraId="434714A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根据学生课堂教学中的反应、课后反馈、作业质量、答卷情况，以及领导、督导、教师同行等的听课情况，及时发现和改进教学中的不足之处，确保相应毕业要求指标点达成。</w:t>
      </w:r>
    </w:p>
    <w:p w14:paraId="18F0C202">
      <w:pPr>
        <w:spacing w:line="360" w:lineRule="auto"/>
        <w:jc w:val="left"/>
        <w:outlineLvl w:val="1"/>
        <w:rPr>
          <w:rFonts w:ascii="Times New Roman" w:hAnsi="Times New Roman" w:eastAsia="宋体" w:cs="Times New Roman"/>
          <w:b/>
          <w:szCs w:val="21"/>
        </w:rPr>
      </w:pPr>
      <w:bookmarkStart w:id="1628" w:name="_Toc15456"/>
      <w:r>
        <w:rPr>
          <w:rFonts w:hint="eastAsia" w:ascii="Times New Roman" w:hAnsi="Times New Roman" w:eastAsia="宋体" w:cs="Times New Roman"/>
          <w:b/>
          <w:szCs w:val="21"/>
        </w:rPr>
        <w:t>（二）建议教材</w:t>
      </w:r>
      <w:bookmarkEnd w:id="1628"/>
    </w:p>
    <w:p w14:paraId="674F910E">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刘红云编著.SPSS基础与应用.北京：中国人民出版社，2</w:t>
      </w:r>
      <w:r>
        <w:rPr>
          <w:rFonts w:ascii="Times New Roman" w:hAnsi="Times New Roman" w:eastAsia="宋体" w:cs="Times New Roman"/>
          <w:bCs/>
          <w:szCs w:val="21"/>
        </w:rPr>
        <w:t>0</w:t>
      </w:r>
      <w:r>
        <w:rPr>
          <w:rFonts w:hint="eastAsia" w:ascii="Times New Roman" w:hAnsi="Times New Roman" w:eastAsia="宋体" w:cs="Times New Roman"/>
          <w:bCs/>
          <w:szCs w:val="21"/>
        </w:rPr>
        <w:t>22.</w:t>
      </w:r>
    </w:p>
    <w:p w14:paraId="727CA71E">
      <w:pPr>
        <w:spacing w:line="360" w:lineRule="auto"/>
        <w:jc w:val="left"/>
        <w:outlineLvl w:val="1"/>
        <w:rPr>
          <w:rFonts w:ascii="Times New Roman" w:hAnsi="Times New Roman" w:eastAsia="宋体" w:cs="Times New Roman"/>
          <w:b/>
          <w:szCs w:val="21"/>
        </w:rPr>
      </w:pPr>
      <w:bookmarkStart w:id="1629" w:name="_Toc11835"/>
      <w:r>
        <w:rPr>
          <w:rFonts w:hint="eastAsia" w:ascii="Times New Roman" w:hAnsi="Times New Roman" w:eastAsia="宋体" w:cs="Times New Roman"/>
          <w:b/>
          <w:szCs w:val="21"/>
        </w:rPr>
        <w:t>（三）参考书目</w:t>
      </w:r>
      <w:bookmarkEnd w:id="1629"/>
    </w:p>
    <w:p w14:paraId="33240C5B">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1.张厚粲、徐建平主编.现代心理与教育统计学（第5版）.北京：北京师范大学出版社，2020.</w:t>
      </w:r>
    </w:p>
    <w:p w14:paraId="08FACC9D">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2.戴海琦，张峰主编.心理与教育测量（第4版）.广州：暨南大学出版社，2018</w:t>
      </w:r>
      <w:r>
        <w:rPr>
          <w:rFonts w:ascii="Times New Roman" w:hAnsi="Times New Roman" w:eastAsia="宋体" w:cs="Times New Roman"/>
          <w:bCs/>
          <w:szCs w:val="21"/>
        </w:rPr>
        <w:t>.</w:t>
      </w:r>
    </w:p>
    <w:p w14:paraId="18885670">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3.张屹，周平红.教育研究中定量数据的统计与分析：基于SPSS的应用案例解析.北京：北京大学出版社，2015.</w:t>
      </w:r>
    </w:p>
    <w:p w14:paraId="4168D164">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执笔人：巫文胜</w:t>
      </w:r>
    </w:p>
    <w:p w14:paraId="6D35C6D6">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审定人：王  健</w:t>
      </w:r>
    </w:p>
    <w:p w14:paraId="4319F3F5">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审批人：张志欣</w:t>
      </w:r>
    </w:p>
    <w:p w14:paraId="55B0CD5A">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7AC2DD3E">
      <w:pPr>
        <w:rPr>
          <w:rFonts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20AE94C7">
      <w:pPr>
        <w:spacing w:line="360" w:lineRule="auto"/>
        <w:jc w:val="center"/>
        <w:outlineLvl w:val="0"/>
        <w:rPr>
          <w:rFonts w:ascii="Times New Roman" w:hAnsi="Times New Roman" w:eastAsia="宋体" w:cs="Times New Roman"/>
          <w:b/>
          <w:sz w:val="44"/>
          <w:szCs w:val="44"/>
        </w:rPr>
      </w:pPr>
      <w:bookmarkStart w:id="1630" w:name="_Toc8841"/>
      <w:r>
        <w:rPr>
          <w:rFonts w:hint="eastAsia" w:ascii="Times New Roman" w:hAnsi="Times New Roman" w:eastAsia="宋体" w:cs="Times New Roman"/>
          <w:b/>
          <w:sz w:val="44"/>
          <w:szCs w:val="44"/>
        </w:rPr>
        <w:t>《习近平总书记关于教育的重要论述研究》</w:t>
      </w:r>
      <w:bookmarkEnd w:id="1630"/>
    </w:p>
    <w:p w14:paraId="648E5681">
      <w:pPr>
        <w:spacing w:line="360" w:lineRule="auto"/>
        <w:jc w:val="center"/>
        <w:outlineLvl w:val="0"/>
        <w:rPr>
          <w:rFonts w:ascii="Times New Roman" w:hAnsi="Times New Roman" w:eastAsia="宋体" w:cs="Times New Roman"/>
          <w:b/>
          <w:sz w:val="44"/>
          <w:szCs w:val="44"/>
        </w:rPr>
      </w:pPr>
      <w:bookmarkStart w:id="1631" w:name="_Toc2463"/>
      <w:bookmarkStart w:id="1632" w:name="_Toc15074"/>
      <w:bookmarkStart w:id="1633" w:name="_Toc21692"/>
      <w:bookmarkStart w:id="1634" w:name="_Toc12296"/>
      <w:r>
        <w:rPr>
          <w:rFonts w:hint="eastAsia" w:ascii="Times New Roman" w:hAnsi="Times New Roman" w:eastAsia="宋体" w:cs="Times New Roman"/>
          <w:b/>
          <w:sz w:val="44"/>
          <w:szCs w:val="44"/>
        </w:rPr>
        <w:t>课程教学大纲</w:t>
      </w:r>
      <w:bookmarkEnd w:id="1631"/>
      <w:bookmarkEnd w:id="1632"/>
      <w:bookmarkEnd w:id="1633"/>
      <w:bookmarkEnd w:id="1634"/>
    </w:p>
    <w:p w14:paraId="43998641">
      <w:pPr>
        <w:spacing w:line="360" w:lineRule="auto"/>
        <w:jc w:val="center"/>
        <w:rPr>
          <w:rFonts w:ascii="Times New Roman" w:hAnsi="Times New Roman" w:eastAsia="宋体" w:cs="Times New Roman"/>
          <w:b/>
          <w:bCs/>
          <w:sz w:val="28"/>
          <w:szCs w:val="28"/>
        </w:rPr>
      </w:pPr>
      <w:bookmarkStart w:id="1635" w:name="_Toc23560"/>
      <w:r>
        <w:rPr>
          <w:rFonts w:hint="eastAsia" w:ascii="Times New Roman" w:hAnsi="Times New Roman" w:eastAsia="宋体" w:cs="Times New Roman"/>
          <w:b/>
          <w:bCs/>
          <w:sz w:val="28"/>
          <w:szCs w:val="28"/>
        </w:rPr>
        <w:t>（General Secretary Xi Jinping's Important Exposition on Education）</w:t>
      </w:r>
      <w:bookmarkEnd w:id="1635"/>
    </w:p>
    <w:p w14:paraId="73C03AF6">
      <w:pPr>
        <w:spacing w:line="360" w:lineRule="auto"/>
        <w:ind w:firstLine="482" w:firstLineChars="200"/>
        <w:jc w:val="left"/>
        <w:rPr>
          <w:rFonts w:ascii="Times New Roman" w:hAnsi="Times New Roman" w:eastAsia="宋体" w:cs="Times New Roman"/>
          <w:b/>
          <w:sz w:val="24"/>
        </w:rPr>
      </w:pPr>
    </w:p>
    <w:p w14:paraId="30A2D6E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课程名称：习近平总书记关于教育的重要论述研究</w:t>
      </w:r>
    </w:p>
    <w:p w14:paraId="721BD06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课程代码：2400002</w:t>
      </w:r>
    </w:p>
    <w:p w14:paraId="30171A3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分：1</w:t>
      </w:r>
    </w:p>
    <w:p w14:paraId="0155BAA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时：8</w:t>
      </w:r>
    </w:p>
    <w:p w14:paraId="50E73AA4">
      <w:pPr>
        <w:spacing w:line="360" w:lineRule="auto"/>
        <w:ind w:firstLine="482" w:firstLineChars="200"/>
        <w:jc w:val="left"/>
        <w:rPr>
          <w:rFonts w:ascii="Times New Roman" w:hAnsi="Times New Roman" w:cs="Times New Roman"/>
          <w:sz w:val="24"/>
        </w:rPr>
      </w:pPr>
      <w:r>
        <w:rPr>
          <w:rFonts w:hint="eastAsia" w:ascii="Times New Roman" w:hAnsi="Times New Roman" w:eastAsia="宋体" w:cs="Times New Roman"/>
          <w:b/>
          <w:sz w:val="24"/>
        </w:rPr>
        <w:t>先修课程：中国近现代史纲要</w:t>
      </w:r>
    </w:p>
    <w:p w14:paraId="51C17D78">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06F74C60">
      <w:pPr>
        <w:spacing w:line="360" w:lineRule="auto"/>
        <w:jc w:val="left"/>
        <w:rPr>
          <w:rFonts w:ascii="Times New Roman" w:hAnsi="Times New Roman" w:eastAsia="宋体" w:cs="Times New Roman"/>
          <w:b/>
          <w:sz w:val="24"/>
        </w:rPr>
      </w:pPr>
    </w:p>
    <w:p w14:paraId="5839A1F1">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360674B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专业教师教育类公共必修课程。为推动教育系统广大干部师生深入学贯彻学习总书记关于教育的重要论述，教育部组织编写了《习近平总书记教育重要论述讲义》。党的十八大以来，习近平总书记就教育改革发展作出了一系列重要讲话、指示批示，提出了一系列新理念新思想新观点，形成了习近平总书记关于教育的重要论述。习近平总书记关于教育的重要论述从根本上阐明了新时代中国特色社会主义教育发展方向、道路、方针、原则等一系列方向性根本性战略性问题，以全新的视野深化了对社会主义建设规律、教育发展规律、人才培养规律的认识，开拓了马克思主义教育思想的新境界，标志着中国特色社会主义教育理论发展达到了新高度，为加快推进教育现代化、建设教育强国、办好人民满意的教育提供了根本遵循和行动指南。</w:t>
      </w:r>
    </w:p>
    <w:p w14:paraId="30B7717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08896AF5">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1AD8E25E">
      <w:pPr>
        <w:spacing w:before="156" w:beforeLines="50" w:after="156" w:after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目标1：</w:t>
      </w:r>
      <w:r>
        <w:rPr>
          <w:rFonts w:hint="eastAsia" w:ascii="Times New Roman" w:hAnsi="Times New Roman" w:eastAsia="宋体" w:cs="Times New Roman"/>
          <w:bCs/>
          <w:szCs w:val="21"/>
        </w:rPr>
        <w:t>真学真用。总书记关于教育的重要论述为新时代中国特色社会主义教育指明了方向指明了道路、揭示了本质揭示了规律、给出了要求给出了方法，教育战线要紧密联系工作实际，真学真用，把总书记关于教育的重要论述落实下去、落实到位。</w:t>
      </w:r>
    </w:p>
    <w:p w14:paraId="0D70EDD1">
      <w:pPr>
        <w:spacing w:before="156" w:beforeLines="50" w:after="156" w:afterLines="50"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目标2：</w:t>
      </w:r>
      <w:r>
        <w:rPr>
          <w:rFonts w:hint="eastAsia" w:ascii="Times New Roman" w:hAnsi="Times New Roman" w:eastAsia="宋体" w:cs="Times New Roman"/>
          <w:bCs/>
          <w:szCs w:val="21"/>
        </w:rPr>
        <w:t>学深学透。要深刻领会总书记关于教育地位作用和目标的重要论述、总书记关于立德树人这一根本任务的重要论述、总书记关于教师队伍建设的重要论述、总书记关于教育改革的重要论述、总书记关于党对教育工作全面领导的重要论述，掌握全面、把握重点、理解难点。</w:t>
      </w:r>
    </w:p>
    <w:p w14:paraId="40603135">
      <w:pPr>
        <w:spacing w:before="156" w:beforeLines="50" w:after="156" w:afterLines="50" w:line="360" w:lineRule="auto"/>
        <w:ind w:firstLine="422" w:firstLineChars="200"/>
        <w:jc w:val="left"/>
        <w:rPr>
          <w:rFonts w:ascii="Times New Roman" w:hAnsi="Times New Roman" w:eastAsia="宋体" w:cs="Times New Roman"/>
          <w:bCs/>
          <w:szCs w:val="21"/>
        </w:rPr>
      </w:pPr>
      <w:r>
        <w:rPr>
          <w:rFonts w:hint="eastAsia" w:ascii="Times New Roman" w:hAnsi="Times New Roman" w:eastAsia="宋体" w:cs="Times New Roman"/>
          <w:b/>
          <w:szCs w:val="21"/>
        </w:rPr>
        <w:t>目标3：</w:t>
      </w:r>
      <w:r>
        <w:rPr>
          <w:rFonts w:hint="eastAsia" w:ascii="Times New Roman" w:hAnsi="Times New Roman" w:eastAsia="宋体" w:cs="Times New Roman"/>
          <w:bCs/>
          <w:szCs w:val="21"/>
        </w:rPr>
        <w:t>会学善学。要坚持融入思想学、形成体系学、带着问题学、提升本领学，学习好宣传好落实好总书记关于教育的重要论述，提高政治站位、提升理论自觉、树立问题导向，坚持真学、真懂、真信、真用，推动学习往深里走、往实里走、往心里走。</w:t>
      </w:r>
    </w:p>
    <w:p w14:paraId="454CA6A1">
      <w:pPr>
        <w:spacing w:before="156" w:beforeLines="50" w:after="156" w:afterLines="50"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9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590"/>
      </w:tblGrid>
      <w:tr w14:paraId="59F1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28A1494E">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E85EE8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590" w:type="dxa"/>
            <w:vAlign w:val="center"/>
          </w:tcPr>
          <w:p w14:paraId="031BBB6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2EF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AC51714">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1613178F">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指标点1-1</w:t>
            </w:r>
            <w:r>
              <w:rPr>
                <w:rFonts w:hint="eastAsia" w:ascii="宋体" w:hAnsi="宋体" w:eastAsia="宋体" w:cs="Times New Roman"/>
                <w:spacing w:val="2"/>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590" w:type="dxa"/>
            <w:vAlign w:val="center"/>
          </w:tcPr>
          <w:p w14:paraId="757B92C0">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20B9CCBC">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1、2、3</w:t>
            </w:r>
          </w:p>
        </w:tc>
      </w:tr>
      <w:tr w14:paraId="2436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B782E2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6C8F72A5">
            <w:pPr>
              <w:spacing w:line="276" w:lineRule="auto"/>
              <w:jc w:val="left"/>
              <w:rPr>
                <w:rFonts w:hint="eastAsia" w:ascii="宋体" w:hAnsi="宋体" w:eastAsia="宋体" w:cs="Times New Roman"/>
                <w:spacing w:val="2"/>
                <w:kern w:val="0"/>
                <w:szCs w:val="21"/>
              </w:rPr>
            </w:pPr>
            <w:r>
              <w:rPr>
                <w:rFonts w:hint="eastAsia" w:ascii="宋体" w:hAnsi="宋体" w:eastAsia="宋体" w:cs="Times New Roman"/>
                <w:b/>
                <w:spacing w:val="2"/>
                <w:kern w:val="0"/>
                <w:szCs w:val="21"/>
              </w:rPr>
              <w:t>指标点2-1</w:t>
            </w:r>
            <w:r>
              <w:rPr>
                <w:rFonts w:hint="eastAsia" w:ascii="宋体" w:hAnsi="宋体" w:eastAsia="宋体" w:cs="Times New Roman"/>
                <w:spacing w:val="2"/>
                <w:kern w:val="0"/>
                <w:szCs w:val="21"/>
              </w:rPr>
              <w:t>：【职业认同感强】具有家国情怀，热爱教育事业，秉持“坚忍诚勇，立己达人”的师范精神，践行教育家精神，乐于从教，热爱教育事业，具有较高的教师职业认同感，认同教师职业的意义、价值与专业性。</w:t>
            </w:r>
          </w:p>
        </w:tc>
        <w:tc>
          <w:tcPr>
            <w:tcW w:w="1590" w:type="dxa"/>
            <w:vAlign w:val="center"/>
          </w:tcPr>
          <w:p w14:paraId="562E1408">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40C36CEB">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1、2、3</w:t>
            </w:r>
          </w:p>
        </w:tc>
      </w:tr>
    </w:tbl>
    <w:p w14:paraId="52B87CBA">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0A95D393">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深刻领会、认真践行习总书记关于教育的重要论述，贯彻“九个坚持”。</w:t>
      </w:r>
    </w:p>
    <w:p w14:paraId="30E2666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2859"/>
        <w:gridCol w:w="1064"/>
        <w:gridCol w:w="2394"/>
        <w:gridCol w:w="1594"/>
        <w:gridCol w:w="489"/>
      </w:tblGrid>
      <w:tr w14:paraId="015C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Align w:val="center"/>
          </w:tcPr>
          <w:p w14:paraId="787E3EA6">
            <w:pPr>
              <w:jc w:val="center"/>
              <w:rPr>
                <w:rFonts w:hint="eastAsia" w:ascii="宋体" w:hAnsi="宋体" w:eastAsia="宋体" w:cs="Times New Roman"/>
                <w:b/>
                <w:szCs w:val="21"/>
              </w:rPr>
            </w:pPr>
            <w:r>
              <w:rPr>
                <w:rFonts w:hint="eastAsia" w:ascii="宋体" w:hAnsi="宋体" w:eastAsia="宋体" w:cs="Times New Roman"/>
                <w:b/>
                <w:szCs w:val="21"/>
              </w:rPr>
              <w:t>知识</w:t>
            </w:r>
          </w:p>
          <w:p w14:paraId="1E3654FA">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859" w:type="dxa"/>
            <w:vAlign w:val="center"/>
          </w:tcPr>
          <w:p w14:paraId="2566B93D">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064" w:type="dxa"/>
            <w:vAlign w:val="center"/>
          </w:tcPr>
          <w:p w14:paraId="70DD1866">
            <w:pPr>
              <w:jc w:val="center"/>
              <w:rPr>
                <w:rFonts w:hint="eastAsia" w:ascii="宋体" w:hAnsi="宋体" w:eastAsia="宋体" w:cs="Times New Roman"/>
                <w:b/>
                <w:szCs w:val="21"/>
              </w:rPr>
            </w:pPr>
            <w:r>
              <w:rPr>
                <w:rFonts w:hint="eastAsia" w:ascii="宋体" w:hAnsi="宋体" w:eastAsia="宋体" w:cs="Times New Roman"/>
                <w:b/>
                <w:szCs w:val="21"/>
              </w:rPr>
              <w:t>对应</w:t>
            </w:r>
          </w:p>
          <w:p w14:paraId="6CFDE695">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394" w:type="dxa"/>
            <w:vAlign w:val="center"/>
          </w:tcPr>
          <w:p w14:paraId="6383C0C3">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94" w:type="dxa"/>
            <w:vAlign w:val="center"/>
          </w:tcPr>
          <w:p w14:paraId="5086E290">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89" w:type="dxa"/>
            <w:vAlign w:val="center"/>
          </w:tcPr>
          <w:p w14:paraId="61AE9377">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1DA0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4603B3FC">
            <w:pPr>
              <w:jc w:val="center"/>
              <w:rPr>
                <w:rFonts w:hint="eastAsia" w:ascii="宋体" w:hAnsi="宋体" w:eastAsia="宋体" w:cs="Times New Roman"/>
                <w:szCs w:val="21"/>
              </w:rPr>
            </w:pPr>
            <w:r>
              <w:rPr>
                <w:rFonts w:hint="eastAsia" w:ascii="宋体" w:hAnsi="宋体" w:eastAsia="宋体" w:cs="Times New Roman"/>
                <w:szCs w:val="21"/>
              </w:rPr>
              <w:t>1.中国特色社会主义教育事业的发展方向（教育宏观发展方向）</w:t>
            </w:r>
          </w:p>
        </w:tc>
        <w:tc>
          <w:tcPr>
            <w:tcW w:w="2859" w:type="dxa"/>
            <w:vAlign w:val="center"/>
          </w:tcPr>
          <w:p w14:paraId="171CAAFC">
            <w:pPr>
              <w:jc w:val="left"/>
              <w:rPr>
                <w:rFonts w:hint="eastAsia" w:ascii="宋体" w:hAnsi="宋体" w:eastAsia="宋体" w:cs="Times New Roman"/>
                <w:szCs w:val="21"/>
              </w:rPr>
            </w:pPr>
            <w:r>
              <w:rPr>
                <w:rFonts w:hint="eastAsia" w:ascii="宋体" w:hAnsi="宋体" w:eastAsia="宋体" w:cs="Times New Roman"/>
                <w:szCs w:val="21"/>
              </w:rPr>
              <w:t>1.建设教育强国的根本遵循；</w:t>
            </w:r>
          </w:p>
          <w:p w14:paraId="41D83BB8">
            <w:pPr>
              <w:jc w:val="left"/>
              <w:rPr>
                <w:rFonts w:hint="eastAsia" w:ascii="宋体" w:hAnsi="宋体" w:eastAsia="宋体" w:cs="Times New Roman"/>
                <w:szCs w:val="21"/>
              </w:rPr>
            </w:pPr>
            <w:r>
              <w:rPr>
                <w:rFonts w:hint="eastAsia" w:ascii="宋体" w:hAnsi="宋体" w:eastAsia="宋体" w:cs="Times New Roman"/>
                <w:szCs w:val="21"/>
              </w:rPr>
              <w:t>2.坚持党对教育事业的全面领导；</w:t>
            </w:r>
          </w:p>
          <w:p w14:paraId="1F77E833">
            <w:pPr>
              <w:jc w:val="left"/>
              <w:rPr>
                <w:rFonts w:hint="eastAsia" w:ascii="宋体" w:hAnsi="宋体" w:eastAsia="宋体" w:cs="Times New Roman"/>
                <w:szCs w:val="21"/>
              </w:rPr>
            </w:pPr>
            <w:r>
              <w:rPr>
                <w:rFonts w:hint="eastAsia" w:ascii="宋体" w:hAnsi="宋体" w:eastAsia="宋体" w:cs="Times New Roman"/>
                <w:szCs w:val="21"/>
              </w:rPr>
              <w:t>3.社会主义的发展方向；</w:t>
            </w:r>
          </w:p>
          <w:p w14:paraId="5613A4A6">
            <w:pPr>
              <w:jc w:val="left"/>
              <w:rPr>
                <w:rFonts w:hint="eastAsia" w:ascii="宋体" w:hAnsi="宋体" w:eastAsia="宋体" w:cs="Times New Roman"/>
                <w:szCs w:val="21"/>
              </w:rPr>
            </w:pPr>
            <w:r>
              <w:rPr>
                <w:rFonts w:hint="eastAsia" w:ascii="宋体" w:hAnsi="宋体" w:eastAsia="宋体" w:cs="Times New Roman"/>
                <w:szCs w:val="21"/>
              </w:rPr>
              <w:t>4.优先发展教育</w:t>
            </w:r>
          </w:p>
        </w:tc>
        <w:tc>
          <w:tcPr>
            <w:tcW w:w="1064" w:type="dxa"/>
            <w:vAlign w:val="center"/>
          </w:tcPr>
          <w:p w14:paraId="4AA05004">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94" w:type="dxa"/>
            <w:vAlign w:val="center"/>
          </w:tcPr>
          <w:p w14:paraId="032A8FE2">
            <w:pPr>
              <w:numPr>
                <w:ilvl w:val="0"/>
                <w:numId w:val="51"/>
              </w:numPr>
              <w:jc w:val="left"/>
              <w:rPr>
                <w:rFonts w:hint="eastAsia" w:ascii="宋体" w:hAnsi="宋体" w:eastAsia="宋体" w:cs="Times New Roman"/>
                <w:szCs w:val="21"/>
              </w:rPr>
            </w:pPr>
            <w:r>
              <w:rPr>
                <w:rFonts w:hint="eastAsia" w:ascii="宋体" w:hAnsi="宋体" w:eastAsia="宋体" w:cs="Times New Roman"/>
                <w:szCs w:val="21"/>
              </w:rPr>
              <w:t>理解习近平总书记教育重要论述的时代背景、科学内涵、重大意义；</w:t>
            </w:r>
          </w:p>
          <w:p w14:paraId="12DE9032">
            <w:pPr>
              <w:numPr>
                <w:ilvl w:val="0"/>
                <w:numId w:val="51"/>
              </w:numPr>
              <w:jc w:val="left"/>
              <w:rPr>
                <w:rFonts w:hint="eastAsia" w:ascii="宋体" w:hAnsi="宋体" w:eastAsia="宋体" w:cs="Times New Roman"/>
                <w:szCs w:val="21"/>
              </w:rPr>
            </w:pPr>
            <w:r>
              <w:rPr>
                <w:rFonts w:hint="eastAsia" w:ascii="宋体" w:hAnsi="宋体" w:eastAsia="宋体" w:cs="Times New Roman"/>
                <w:szCs w:val="21"/>
              </w:rPr>
              <w:t>理解课程思政的理念；</w:t>
            </w:r>
          </w:p>
          <w:p w14:paraId="7F4E7F64">
            <w:pPr>
              <w:jc w:val="left"/>
              <w:rPr>
                <w:rFonts w:hint="eastAsia" w:ascii="宋体" w:hAnsi="宋体" w:eastAsia="宋体" w:cs="Times New Roman"/>
                <w:szCs w:val="21"/>
              </w:rPr>
            </w:pPr>
            <w:r>
              <w:rPr>
                <w:rFonts w:hint="eastAsia" w:ascii="宋体" w:hAnsi="宋体" w:eastAsia="宋体" w:cs="Times New Roman"/>
                <w:szCs w:val="21"/>
              </w:rPr>
              <w:t>3.运用课程思政理念理解教育发展的方向并践行教育教学活动。</w:t>
            </w:r>
          </w:p>
        </w:tc>
        <w:tc>
          <w:tcPr>
            <w:tcW w:w="1594" w:type="dxa"/>
            <w:vAlign w:val="center"/>
          </w:tcPr>
          <w:p w14:paraId="017A1D23">
            <w:pPr>
              <w:jc w:val="left"/>
              <w:rPr>
                <w:rFonts w:hint="eastAsia" w:ascii="宋体" w:hAnsi="宋体" w:eastAsia="宋体" w:cs="Times New Roman"/>
                <w:szCs w:val="21"/>
              </w:rPr>
            </w:pPr>
            <w:r>
              <w:rPr>
                <w:rFonts w:hint="eastAsia" w:ascii="宋体" w:hAnsi="宋体" w:eastAsia="宋体" w:cs="Times New Roman"/>
                <w:szCs w:val="21"/>
              </w:rPr>
              <w:t>1.多媒体教学</w:t>
            </w:r>
          </w:p>
          <w:p w14:paraId="44BC7A4B">
            <w:pPr>
              <w:jc w:val="left"/>
              <w:rPr>
                <w:rFonts w:hint="eastAsia" w:ascii="宋体" w:hAnsi="宋体" w:eastAsia="宋体" w:cs="Times New Roman"/>
                <w:szCs w:val="21"/>
              </w:rPr>
            </w:pPr>
            <w:r>
              <w:rPr>
                <w:rFonts w:hint="eastAsia" w:ascii="宋体" w:hAnsi="宋体" w:eastAsia="宋体" w:cs="Times New Roman"/>
                <w:szCs w:val="21"/>
              </w:rPr>
              <w:t>2.课堂讨论</w:t>
            </w:r>
          </w:p>
          <w:p w14:paraId="0DAC5A07">
            <w:pPr>
              <w:jc w:val="left"/>
              <w:rPr>
                <w:rFonts w:hint="eastAsia" w:ascii="宋体" w:hAnsi="宋体" w:eastAsia="宋体" w:cs="Times New Roman"/>
                <w:szCs w:val="21"/>
              </w:rPr>
            </w:pPr>
          </w:p>
        </w:tc>
        <w:tc>
          <w:tcPr>
            <w:tcW w:w="489" w:type="dxa"/>
            <w:vAlign w:val="center"/>
          </w:tcPr>
          <w:p w14:paraId="28068820">
            <w:pPr>
              <w:jc w:val="center"/>
              <w:rPr>
                <w:rFonts w:hint="eastAsia" w:ascii="宋体" w:hAnsi="宋体" w:eastAsia="宋体" w:cs="Times New Roman"/>
                <w:szCs w:val="21"/>
              </w:rPr>
            </w:pPr>
            <w:r>
              <w:rPr>
                <w:rFonts w:hint="eastAsia" w:ascii="宋体" w:hAnsi="宋体" w:eastAsia="宋体" w:cs="Times New Roman"/>
                <w:szCs w:val="21"/>
              </w:rPr>
              <w:t>2</w:t>
            </w:r>
          </w:p>
        </w:tc>
      </w:tr>
      <w:tr w14:paraId="43EF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42F0C98C">
            <w:pPr>
              <w:jc w:val="center"/>
              <w:rPr>
                <w:rFonts w:hint="eastAsia" w:ascii="宋体" w:hAnsi="宋体" w:eastAsia="宋体" w:cs="Times New Roman"/>
                <w:szCs w:val="21"/>
              </w:rPr>
            </w:pPr>
          </w:p>
        </w:tc>
        <w:tc>
          <w:tcPr>
            <w:tcW w:w="8400" w:type="dxa"/>
            <w:gridSpan w:val="5"/>
            <w:vAlign w:val="center"/>
          </w:tcPr>
          <w:p w14:paraId="2A70C98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探讨建设教育强国和坚持党对教育事业的全面领导时，鼓励学生深入思考如何在实际教学中贯彻党的教育方针，把握教育发展的正确政治方向。结合社会主义核心价值观，探讨如何通过教育教学活动培养学生的爱国主义精神和社会责任感，确保教育不仅关注知识的传授，更注重思想道德的引导，为中国特色社会主义事业培养德才兼备的建设者和接班人。</w:t>
            </w:r>
          </w:p>
        </w:tc>
      </w:tr>
      <w:tr w14:paraId="60E8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594C4908">
            <w:pPr>
              <w:jc w:val="center"/>
              <w:rPr>
                <w:rFonts w:hint="eastAsia" w:ascii="宋体" w:hAnsi="宋体" w:eastAsia="宋体" w:cs="Times New Roman"/>
                <w:szCs w:val="21"/>
              </w:rPr>
            </w:pPr>
            <w:r>
              <w:rPr>
                <w:rFonts w:hint="eastAsia" w:ascii="宋体" w:hAnsi="宋体" w:eastAsia="宋体" w:cs="Times New Roman"/>
                <w:szCs w:val="21"/>
              </w:rPr>
              <w:t>2.立德树人（育人的方式）</w:t>
            </w:r>
          </w:p>
        </w:tc>
        <w:tc>
          <w:tcPr>
            <w:tcW w:w="2859" w:type="dxa"/>
            <w:vAlign w:val="center"/>
          </w:tcPr>
          <w:p w14:paraId="5E9AA84C">
            <w:pPr>
              <w:jc w:val="left"/>
              <w:rPr>
                <w:rFonts w:hint="eastAsia" w:ascii="宋体" w:hAnsi="宋体" w:eastAsia="宋体" w:cs="Times New Roman"/>
                <w:szCs w:val="21"/>
              </w:rPr>
            </w:pPr>
            <w:r>
              <w:rPr>
                <w:rFonts w:hint="eastAsia" w:ascii="宋体" w:hAnsi="宋体" w:eastAsia="宋体" w:cs="Times New Roman"/>
                <w:szCs w:val="21"/>
              </w:rPr>
              <w:t>1.扎根中国大地办教育，以人民为中心，并坚持立德树人的教育目的；</w:t>
            </w:r>
          </w:p>
          <w:p w14:paraId="6E375721">
            <w:pPr>
              <w:jc w:val="left"/>
              <w:rPr>
                <w:rFonts w:hint="eastAsia" w:ascii="宋体" w:hAnsi="宋体" w:eastAsia="宋体" w:cs="Times New Roman"/>
                <w:szCs w:val="21"/>
              </w:rPr>
            </w:pPr>
            <w:r>
              <w:rPr>
                <w:rFonts w:hint="eastAsia" w:ascii="宋体" w:hAnsi="宋体" w:eastAsia="宋体" w:cs="Times New Roman"/>
                <w:szCs w:val="21"/>
              </w:rPr>
              <w:t>2.教育优先发展的战略地位。</w:t>
            </w:r>
          </w:p>
        </w:tc>
        <w:tc>
          <w:tcPr>
            <w:tcW w:w="1064" w:type="dxa"/>
            <w:vAlign w:val="center"/>
          </w:tcPr>
          <w:p w14:paraId="5C167FED">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94" w:type="dxa"/>
            <w:vAlign w:val="center"/>
          </w:tcPr>
          <w:p w14:paraId="66369983">
            <w:pPr>
              <w:numPr>
                <w:ilvl w:val="0"/>
                <w:numId w:val="52"/>
              </w:numPr>
              <w:jc w:val="left"/>
              <w:rPr>
                <w:rFonts w:hint="eastAsia" w:ascii="宋体" w:hAnsi="宋体" w:eastAsia="宋体" w:cs="Times New Roman"/>
                <w:szCs w:val="21"/>
              </w:rPr>
            </w:pPr>
            <w:r>
              <w:rPr>
                <w:rFonts w:hint="eastAsia" w:ascii="宋体" w:hAnsi="宋体" w:eastAsia="宋体" w:cs="Times New Roman"/>
                <w:szCs w:val="21"/>
              </w:rPr>
              <w:t>将以人民为重，扎根中国大地办教育；</w:t>
            </w:r>
          </w:p>
          <w:p w14:paraId="57AC1E70">
            <w:pPr>
              <w:numPr>
                <w:ilvl w:val="0"/>
                <w:numId w:val="52"/>
              </w:numPr>
              <w:jc w:val="left"/>
              <w:rPr>
                <w:rFonts w:hint="eastAsia" w:ascii="宋体" w:hAnsi="宋体" w:eastAsia="宋体" w:cs="Times New Roman"/>
                <w:szCs w:val="21"/>
              </w:rPr>
            </w:pPr>
            <w:r>
              <w:rPr>
                <w:rFonts w:hint="eastAsia" w:ascii="宋体" w:hAnsi="宋体" w:eastAsia="宋体" w:cs="Times New Roman"/>
                <w:szCs w:val="21"/>
              </w:rPr>
              <w:t>坚持把立德树人贯彻学生学习的过程。</w:t>
            </w:r>
          </w:p>
        </w:tc>
        <w:tc>
          <w:tcPr>
            <w:tcW w:w="1594" w:type="dxa"/>
            <w:vAlign w:val="center"/>
          </w:tcPr>
          <w:p w14:paraId="0118A574">
            <w:pPr>
              <w:jc w:val="left"/>
              <w:rPr>
                <w:rFonts w:hint="eastAsia" w:ascii="宋体" w:hAnsi="宋体" w:eastAsia="宋体" w:cs="Times New Roman"/>
                <w:szCs w:val="21"/>
              </w:rPr>
            </w:pPr>
            <w:r>
              <w:rPr>
                <w:rFonts w:hint="eastAsia" w:ascii="宋体" w:hAnsi="宋体" w:eastAsia="宋体" w:cs="Times New Roman"/>
                <w:szCs w:val="21"/>
              </w:rPr>
              <w:t>1.多媒体教学</w:t>
            </w:r>
          </w:p>
          <w:p w14:paraId="299002CC">
            <w:pPr>
              <w:jc w:val="left"/>
              <w:rPr>
                <w:rFonts w:hint="eastAsia" w:ascii="宋体" w:hAnsi="宋体" w:eastAsia="宋体" w:cs="Times New Roman"/>
                <w:szCs w:val="21"/>
              </w:rPr>
            </w:pPr>
            <w:r>
              <w:rPr>
                <w:rFonts w:hint="eastAsia" w:ascii="宋体" w:hAnsi="宋体" w:eastAsia="宋体" w:cs="Times New Roman"/>
                <w:szCs w:val="21"/>
              </w:rPr>
              <w:t>2.课堂讨论</w:t>
            </w:r>
          </w:p>
          <w:p w14:paraId="14C813AC">
            <w:pPr>
              <w:jc w:val="left"/>
              <w:rPr>
                <w:rFonts w:hint="eastAsia" w:ascii="宋体" w:hAnsi="宋体" w:eastAsia="宋体" w:cs="Times New Roman"/>
                <w:szCs w:val="21"/>
              </w:rPr>
            </w:pPr>
            <w:r>
              <w:rPr>
                <w:rFonts w:hint="eastAsia" w:ascii="宋体" w:hAnsi="宋体" w:eastAsia="宋体" w:cs="Times New Roman"/>
                <w:szCs w:val="21"/>
              </w:rPr>
              <w:t>3.平时作业</w:t>
            </w:r>
          </w:p>
        </w:tc>
        <w:tc>
          <w:tcPr>
            <w:tcW w:w="489" w:type="dxa"/>
            <w:vAlign w:val="center"/>
          </w:tcPr>
          <w:p w14:paraId="5AA75801">
            <w:pPr>
              <w:jc w:val="center"/>
              <w:rPr>
                <w:rFonts w:hint="eastAsia" w:ascii="宋体" w:hAnsi="宋体" w:eastAsia="宋体" w:cs="Times New Roman"/>
                <w:szCs w:val="21"/>
              </w:rPr>
            </w:pPr>
            <w:r>
              <w:rPr>
                <w:rFonts w:hint="eastAsia" w:ascii="宋体" w:hAnsi="宋体" w:eastAsia="宋体" w:cs="Times New Roman"/>
                <w:szCs w:val="21"/>
              </w:rPr>
              <w:t>2</w:t>
            </w:r>
          </w:p>
        </w:tc>
      </w:tr>
      <w:tr w14:paraId="43CC1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4180DE20">
            <w:pPr>
              <w:jc w:val="center"/>
              <w:rPr>
                <w:rFonts w:hint="eastAsia" w:ascii="宋体" w:hAnsi="宋体" w:eastAsia="宋体" w:cs="Times New Roman"/>
                <w:szCs w:val="21"/>
              </w:rPr>
            </w:pPr>
          </w:p>
        </w:tc>
        <w:tc>
          <w:tcPr>
            <w:tcW w:w="8400" w:type="dxa"/>
            <w:gridSpan w:val="5"/>
            <w:vAlign w:val="center"/>
          </w:tcPr>
          <w:p w14:paraId="07D6501D">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探讨立德树人的教育目的时，引导学生思考如何在教育实践中将德育与智育有机结合，把培养学生的道德品质放在首位。通过扎根中国大地办教育的实际案例，强调坚持以人民为中心的重要性，讨论如何在教学过程中融入社会主义核心价值观，培养学生的社会责任感和使命感，使他们成为有理想、有本领、有担当的新时代建设者。</w:t>
            </w:r>
          </w:p>
        </w:tc>
      </w:tr>
      <w:tr w14:paraId="1E7D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08A34D88">
            <w:pPr>
              <w:jc w:val="center"/>
              <w:rPr>
                <w:rFonts w:hint="eastAsia" w:ascii="宋体" w:hAnsi="宋体" w:eastAsia="宋体" w:cs="Times New Roman"/>
                <w:szCs w:val="21"/>
              </w:rPr>
            </w:pPr>
            <w:r>
              <w:rPr>
                <w:rFonts w:hint="eastAsia" w:ascii="宋体" w:hAnsi="宋体" w:eastAsia="宋体" w:cs="Times New Roman"/>
                <w:szCs w:val="21"/>
              </w:rPr>
              <w:t>3.深化教育改革促进民族伟大复兴（教育的途径与使命）</w:t>
            </w:r>
          </w:p>
        </w:tc>
        <w:tc>
          <w:tcPr>
            <w:tcW w:w="2859" w:type="dxa"/>
            <w:vAlign w:val="center"/>
          </w:tcPr>
          <w:p w14:paraId="7BE2197E">
            <w:pPr>
              <w:jc w:val="left"/>
              <w:rPr>
                <w:rFonts w:hint="eastAsia" w:ascii="宋体" w:hAnsi="宋体" w:eastAsia="宋体" w:cs="Times New Roman"/>
                <w:szCs w:val="21"/>
              </w:rPr>
            </w:pPr>
            <w:r>
              <w:rPr>
                <w:rFonts w:hint="eastAsia" w:ascii="宋体" w:hAnsi="宋体" w:eastAsia="宋体" w:cs="Times New Roman"/>
                <w:szCs w:val="21"/>
              </w:rPr>
              <w:t>1.探讨改革如何推动中国教育系统的现代化和国际化，以及改革对教育质量和效率的正面影响。</w:t>
            </w:r>
          </w:p>
          <w:p w14:paraId="2BF8F4BB">
            <w:pPr>
              <w:jc w:val="left"/>
              <w:rPr>
                <w:rFonts w:hint="eastAsia" w:ascii="宋体" w:hAnsi="宋体" w:eastAsia="宋体" w:cs="Times New Roman"/>
                <w:szCs w:val="21"/>
              </w:rPr>
            </w:pPr>
            <w:r>
              <w:rPr>
                <w:rFonts w:hint="eastAsia" w:ascii="宋体" w:hAnsi="宋体" w:eastAsia="宋体" w:cs="Times New Roman"/>
                <w:szCs w:val="21"/>
              </w:rPr>
              <w:t>分析当前教育系统中存在的主要问题，讨论包括课程、评估、教师发展在内的综合改革策略。</w:t>
            </w:r>
          </w:p>
          <w:p w14:paraId="08D16A73">
            <w:pPr>
              <w:jc w:val="left"/>
              <w:rPr>
                <w:rFonts w:hint="eastAsia" w:ascii="宋体" w:hAnsi="宋体" w:eastAsia="宋体" w:cs="Times New Roman"/>
                <w:szCs w:val="21"/>
              </w:rPr>
            </w:pPr>
            <w:r>
              <w:rPr>
                <w:rFonts w:hint="eastAsia" w:ascii="宋体" w:hAnsi="宋体" w:eastAsia="宋体" w:cs="Times New Roman"/>
                <w:szCs w:val="21"/>
              </w:rPr>
              <w:t>2.探讨教育强国的战略意义和实现路径，包括教育的普及率提高、质量提升和创新能力加强。</w:t>
            </w:r>
          </w:p>
        </w:tc>
        <w:tc>
          <w:tcPr>
            <w:tcW w:w="1064" w:type="dxa"/>
            <w:vAlign w:val="center"/>
          </w:tcPr>
          <w:p w14:paraId="64ED8050">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94" w:type="dxa"/>
            <w:vAlign w:val="center"/>
          </w:tcPr>
          <w:p w14:paraId="0660624B">
            <w:pPr>
              <w:jc w:val="left"/>
              <w:rPr>
                <w:rFonts w:hint="eastAsia" w:ascii="宋体" w:hAnsi="宋体" w:eastAsia="宋体" w:cs="Times New Roman"/>
                <w:szCs w:val="21"/>
              </w:rPr>
            </w:pPr>
            <w:r>
              <w:rPr>
                <w:rFonts w:hint="eastAsia" w:ascii="宋体" w:hAnsi="宋体" w:eastAsia="宋体" w:cs="Times New Roman"/>
                <w:szCs w:val="21"/>
              </w:rPr>
              <w:t>1.能够详细描述教育改革的必要性和历史进程；</w:t>
            </w:r>
          </w:p>
          <w:p w14:paraId="3AA799EF">
            <w:pPr>
              <w:jc w:val="left"/>
              <w:rPr>
                <w:rFonts w:hint="eastAsia" w:ascii="宋体" w:hAnsi="宋体" w:eastAsia="宋体" w:cs="Times New Roman"/>
                <w:szCs w:val="21"/>
              </w:rPr>
            </w:pPr>
            <w:r>
              <w:rPr>
                <w:rFonts w:hint="eastAsia" w:ascii="宋体" w:hAnsi="宋体" w:eastAsia="宋体" w:cs="Times New Roman"/>
                <w:szCs w:val="21"/>
              </w:rPr>
              <w:t>2、理解全球教育开放的趋势及其对我国教育影响；</w:t>
            </w:r>
          </w:p>
          <w:p w14:paraId="4AC932A0">
            <w:pPr>
              <w:jc w:val="left"/>
              <w:rPr>
                <w:rFonts w:hint="eastAsia" w:ascii="宋体" w:hAnsi="宋体" w:eastAsia="宋体" w:cs="Times New Roman"/>
                <w:szCs w:val="21"/>
              </w:rPr>
            </w:pPr>
            <w:r>
              <w:rPr>
                <w:rFonts w:hint="eastAsia" w:ascii="宋体" w:hAnsi="宋体" w:eastAsia="宋体" w:cs="Times New Roman"/>
                <w:szCs w:val="21"/>
              </w:rPr>
              <w:t>3.能够阐述建设教育强国的具体措施和预期效果；</w:t>
            </w:r>
          </w:p>
          <w:p w14:paraId="23A804EF">
            <w:pPr>
              <w:jc w:val="left"/>
              <w:rPr>
                <w:rFonts w:hint="eastAsia" w:ascii="宋体" w:hAnsi="宋体" w:eastAsia="宋体" w:cs="Times New Roman"/>
                <w:szCs w:val="21"/>
              </w:rPr>
            </w:pPr>
            <w:r>
              <w:rPr>
                <w:rFonts w:hint="eastAsia" w:ascii="宋体" w:hAnsi="宋体" w:eastAsia="宋体" w:cs="Times New Roman"/>
                <w:szCs w:val="21"/>
              </w:rPr>
              <w:t>4.理解教育如何服务于国家的社会经济发展战略。</w:t>
            </w:r>
          </w:p>
        </w:tc>
        <w:tc>
          <w:tcPr>
            <w:tcW w:w="1594" w:type="dxa"/>
            <w:vAlign w:val="center"/>
          </w:tcPr>
          <w:p w14:paraId="7FD2125F">
            <w:pPr>
              <w:jc w:val="left"/>
              <w:rPr>
                <w:rFonts w:hint="eastAsia" w:ascii="宋体" w:hAnsi="宋体" w:eastAsia="宋体" w:cs="Times New Roman"/>
                <w:szCs w:val="21"/>
              </w:rPr>
            </w:pPr>
            <w:r>
              <w:rPr>
                <w:rFonts w:hint="eastAsia" w:ascii="宋体" w:hAnsi="宋体" w:eastAsia="宋体" w:cs="Times New Roman"/>
                <w:szCs w:val="21"/>
              </w:rPr>
              <w:t>1.多媒体教学</w:t>
            </w:r>
          </w:p>
          <w:p w14:paraId="3917C6A4">
            <w:pPr>
              <w:jc w:val="left"/>
              <w:rPr>
                <w:rFonts w:hint="eastAsia" w:ascii="宋体" w:hAnsi="宋体" w:eastAsia="宋体" w:cs="Times New Roman"/>
                <w:szCs w:val="21"/>
              </w:rPr>
            </w:pPr>
            <w:r>
              <w:rPr>
                <w:rFonts w:hint="eastAsia" w:ascii="宋体" w:hAnsi="宋体" w:eastAsia="宋体" w:cs="Times New Roman"/>
                <w:szCs w:val="21"/>
              </w:rPr>
              <w:t>2.课堂讨论</w:t>
            </w:r>
          </w:p>
        </w:tc>
        <w:tc>
          <w:tcPr>
            <w:tcW w:w="489" w:type="dxa"/>
            <w:vAlign w:val="center"/>
          </w:tcPr>
          <w:p w14:paraId="602C4C6E">
            <w:pPr>
              <w:jc w:val="center"/>
              <w:rPr>
                <w:rFonts w:hint="eastAsia" w:ascii="宋体" w:hAnsi="宋体" w:eastAsia="宋体" w:cs="Times New Roman"/>
                <w:szCs w:val="21"/>
              </w:rPr>
            </w:pPr>
            <w:r>
              <w:rPr>
                <w:rFonts w:hint="eastAsia" w:ascii="宋体" w:hAnsi="宋体" w:eastAsia="宋体" w:cs="Times New Roman"/>
                <w:szCs w:val="21"/>
              </w:rPr>
              <w:t>2</w:t>
            </w:r>
          </w:p>
        </w:tc>
      </w:tr>
      <w:tr w14:paraId="7A8AB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3CF898C1">
            <w:pPr>
              <w:jc w:val="center"/>
              <w:rPr>
                <w:rFonts w:hint="eastAsia" w:ascii="宋体" w:hAnsi="宋体" w:eastAsia="宋体" w:cs="Times New Roman"/>
                <w:szCs w:val="21"/>
              </w:rPr>
            </w:pPr>
          </w:p>
        </w:tc>
        <w:tc>
          <w:tcPr>
            <w:tcW w:w="8400" w:type="dxa"/>
            <w:gridSpan w:val="5"/>
            <w:vAlign w:val="center"/>
          </w:tcPr>
          <w:p w14:paraId="2808F423">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探讨教育改革的过程中，引导学生理解教育改革如何服务于民族伟大复兴的战略目标，强调教育对实现中华民族伟大复兴的关键作用。结合社会主义核心价值观，讨论如何在教育改革中体现公平、公正的原则，推动教育系统的现代化与国际化，同时关注教育资源的优化配置和全民教育的均衡发展。通过批判性思维和策略规划，培养学生的领导力和社会责任感，使他们能够积极参与教育改革，促进国家的社会经济发展。</w:t>
            </w:r>
          </w:p>
        </w:tc>
      </w:tr>
      <w:tr w14:paraId="7E91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restart"/>
            <w:vAlign w:val="center"/>
          </w:tcPr>
          <w:p w14:paraId="3764E5C7">
            <w:pPr>
              <w:jc w:val="center"/>
              <w:rPr>
                <w:rFonts w:hint="eastAsia" w:ascii="宋体" w:hAnsi="宋体" w:eastAsia="宋体" w:cs="Times New Roman"/>
                <w:szCs w:val="21"/>
              </w:rPr>
            </w:pPr>
            <w:r>
              <w:rPr>
                <w:rFonts w:hint="eastAsia" w:ascii="宋体" w:hAnsi="宋体" w:eastAsia="宋体" w:cs="Times New Roman"/>
                <w:szCs w:val="21"/>
              </w:rPr>
              <w:t>4.把教师队伍建设作为基础工作（教师队伍建设）</w:t>
            </w:r>
          </w:p>
        </w:tc>
        <w:tc>
          <w:tcPr>
            <w:tcW w:w="2859" w:type="dxa"/>
            <w:vAlign w:val="center"/>
          </w:tcPr>
          <w:p w14:paraId="34CFC6F4">
            <w:pPr>
              <w:jc w:val="left"/>
              <w:rPr>
                <w:rFonts w:hint="eastAsia" w:ascii="宋体" w:hAnsi="宋体" w:eastAsia="宋体" w:cs="Times New Roman"/>
                <w:szCs w:val="21"/>
              </w:rPr>
            </w:pPr>
            <w:r>
              <w:rPr>
                <w:rFonts w:hint="eastAsia" w:ascii="宋体" w:hAnsi="宋体" w:eastAsia="宋体" w:cs="Times New Roman"/>
                <w:szCs w:val="21"/>
              </w:rPr>
              <w:t>1.理解教师在教育系统中的核心地位及其对教育质量的影响，探索教师角色的历史和现代转变；</w:t>
            </w:r>
          </w:p>
          <w:p w14:paraId="2210594E">
            <w:pPr>
              <w:jc w:val="left"/>
              <w:rPr>
                <w:rFonts w:hint="eastAsia" w:ascii="宋体" w:hAnsi="宋体" w:eastAsia="宋体" w:cs="Times New Roman"/>
                <w:szCs w:val="21"/>
              </w:rPr>
            </w:pPr>
            <w:r>
              <w:rPr>
                <w:rFonts w:hint="eastAsia" w:ascii="宋体" w:hAnsi="宋体" w:eastAsia="宋体" w:cs="Times New Roman"/>
                <w:szCs w:val="21"/>
              </w:rPr>
              <w:t>2.分析公众对优秀教师的期望和标准，以及如何通过道德操守、教学技能和持续学习来满足这些期望；</w:t>
            </w:r>
          </w:p>
          <w:p w14:paraId="683ED6EE">
            <w:pPr>
              <w:jc w:val="left"/>
              <w:rPr>
                <w:rFonts w:hint="eastAsia" w:ascii="宋体" w:hAnsi="宋体" w:eastAsia="宋体" w:cs="Times New Roman"/>
                <w:szCs w:val="21"/>
              </w:rPr>
            </w:pPr>
            <w:r>
              <w:rPr>
                <w:rFonts w:hint="eastAsia" w:ascii="宋体" w:hAnsi="宋体" w:eastAsia="宋体" w:cs="Times New Roman"/>
                <w:szCs w:val="21"/>
              </w:rPr>
              <w:t>3.探讨教师专业发展的策略，包括教育政策、持续培训和职业发展路径的设计。</w:t>
            </w:r>
          </w:p>
        </w:tc>
        <w:tc>
          <w:tcPr>
            <w:tcW w:w="1064" w:type="dxa"/>
            <w:vAlign w:val="center"/>
          </w:tcPr>
          <w:p w14:paraId="4DC8613F">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94" w:type="dxa"/>
            <w:vAlign w:val="center"/>
          </w:tcPr>
          <w:p w14:paraId="1B47803C">
            <w:pPr>
              <w:jc w:val="left"/>
              <w:rPr>
                <w:rFonts w:hint="eastAsia" w:ascii="宋体" w:hAnsi="宋体" w:eastAsia="宋体" w:cs="Times New Roman"/>
                <w:szCs w:val="21"/>
              </w:rPr>
            </w:pPr>
            <w:r>
              <w:rPr>
                <w:rFonts w:hint="eastAsia" w:ascii="宋体" w:hAnsi="宋体" w:eastAsia="宋体" w:cs="Times New Roman"/>
                <w:szCs w:val="21"/>
              </w:rPr>
              <w:t>1.能够描述优秀教师的特质和行为，理解教师专业道德的重要性；</w:t>
            </w:r>
          </w:p>
          <w:p w14:paraId="210F492D">
            <w:pPr>
              <w:jc w:val="left"/>
              <w:rPr>
                <w:rFonts w:hint="eastAsia" w:ascii="宋体" w:hAnsi="宋体" w:eastAsia="宋体" w:cs="Times New Roman"/>
                <w:szCs w:val="21"/>
              </w:rPr>
            </w:pPr>
            <w:r>
              <w:rPr>
                <w:rFonts w:hint="eastAsia" w:ascii="宋体" w:hAnsi="宋体" w:eastAsia="宋体" w:cs="Times New Roman"/>
                <w:szCs w:val="21"/>
              </w:rPr>
              <w:t>2.理解教师专业化发展的国内外模式和趋势，包括教师评估和激励机制；</w:t>
            </w:r>
          </w:p>
          <w:p w14:paraId="627712D8">
            <w:pPr>
              <w:jc w:val="left"/>
              <w:rPr>
                <w:rFonts w:hint="eastAsia" w:ascii="宋体" w:hAnsi="宋体" w:eastAsia="宋体" w:cs="Times New Roman"/>
                <w:szCs w:val="21"/>
              </w:rPr>
            </w:pPr>
            <w:r>
              <w:rPr>
                <w:rFonts w:hint="eastAsia" w:ascii="宋体" w:hAnsi="宋体" w:eastAsia="宋体" w:cs="Times New Roman"/>
                <w:szCs w:val="21"/>
              </w:rPr>
              <w:t>3.形成批判性思维能力，能评估和提出改进教师教育和培训系统的建议；</w:t>
            </w:r>
          </w:p>
          <w:p w14:paraId="0D1ADDF6">
            <w:pPr>
              <w:jc w:val="left"/>
              <w:rPr>
                <w:rFonts w:hint="eastAsia" w:ascii="宋体" w:hAnsi="宋体" w:eastAsia="宋体" w:cs="Times New Roman"/>
                <w:szCs w:val="21"/>
              </w:rPr>
            </w:pPr>
            <w:r>
              <w:rPr>
                <w:rFonts w:hint="eastAsia" w:ascii="宋体" w:hAnsi="宋体" w:eastAsia="宋体" w:cs="Times New Roman"/>
                <w:szCs w:val="21"/>
              </w:rPr>
              <w:t>4.提升领导力和沟通技能，能在未来的教育环境中有效地支持和提升教师队伍的职业发展。</w:t>
            </w:r>
          </w:p>
        </w:tc>
        <w:tc>
          <w:tcPr>
            <w:tcW w:w="1594" w:type="dxa"/>
            <w:vAlign w:val="center"/>
          </w:tcPr>
          <w:p w14:paraId="5AC1D2A6">
            <w:pPr>
              <w:jc w:val="left"/>
              <w:rPr>
                <w:rFonts w:hint="eastAsia" w:ascii="宋体" w:hAnsi="宋体" w:eastAsia="宋体" w:cs="Times New Roman"/>
                <w:szCs w:val="21"/>
              </w:rPr>
            </w:pPr>
            <w:r>
              <w:rPr>
                <w:rFonts w:hint="eastAsia" w:ascii="宋体" w:hAnsi="宋体" w:eastAsia="宋体" w:cs="Times New Roman"/>
                <w:szCs w:val="21"/>
              </w:rPr>
              <w:t>1.多媒体教学</w:t>
            </w:r>
          </w:p>
          <w:p w14:paraId="58BB118E">
            <w:pPr>
              <w:jc w:val="left"/>
              <w:rPr>
                <w:rFonts w:hint="eastAsia" w:ascii="宋体" w:hAnsi="宋体" w:eastAsia="宋体" w:cs="Times New Roman"/>
                <w:szCs w:val="21"/>
              </w:rPr>
            </w:pPr>
            <w:r>
              <w:rPr>
                <w:rFonts w:hint="eastAsia" w:ascii="宋体" w:hAnsi="宋体" w:eastAsia="宋体" w:cs="Times New Roman"/>
                <w:szCs w:val="21"/>
              </w:rPr>
              <w:t>2.课堂讨论</w:t>
            </w:r>
          </w:p>
        </w:tc>
        <w:tc>
          <w:tcPr>
            <w:tcW w:w="489" w:type="dxa"/>
            <w:vAlign w:val="center"/>
          </w:tcPr>
          <w:p w14:paraId="1B9D59F7">
            <w:pPr>
              <w:jc w:val="center"/>
              <w:rPr>
                <w:rFonts w:hint="eastAsia" w:ascii="宋体" w:hAnsi="宋体" w:eastAsia="宋体" w:cs="Times New Roman"/>
                <w:szCs w:val="21"/>
              </w:rPr>
            </w:pPr>
            <w:r>
              <w:rPr>
                <w:rFonts w:hint="eastAsia" w:ascii="宋体" w:hAnsi="宋体" w:eastAsia="宋体" w:cs="Times New Roman"/>
                <w:szCs w:val="21"/>
              </w:rPr>
              <w:t>2</w:t>
            </w:r>
          </w:p>
        </w:tc>
      </w:tr>
      <w:tr w14:paraId="2F33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0" w:type="dxa"/>
            <w:vMerge w:val="continue"/>
            <w:vAlign w:val="center"/>
          </w:tcPr>
          <w:p w14:paraId="21EC4C9F">
            <w:pPr>
              <w:jc w:val="center"/>
              <w:rPr>
                <w:rFonts w:hint="eastAsia" w:ascii="宋体" w:hAnsi="宋体" w:eastAsia="宋体" w:cs="Times New Roman"/>
                <w:szCs w:val="21"/>
              </w:rPr>
            </w:pPr>
          </w:p>
        </w:tc>
        <w:tc>
          <w:tcPr>
            <w:tcW w:w="8400" w:type="dxa"/>
            <w:gridSpan w:val="5"/>
            <w:vAlign w:val="center"/>
          </w:tcPr>
          <w:p w14:paraId="01442B09">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讨论教师队伍建设时，引导学生认识到教师在教育系统中的核心作用，以及如何通过提升教师的职业道德和专业素养，推动教育质量的整体提升。结合社会主义核心价值观，探讨如何在教师培训和职业发展中融入思想政治教育，培养教师的社会责任感和职业使命感。同时，讨论如何通过政策支持和资源优化，平衡教师的工作压力，提升教师的职业满意度，使他们能够更好地服务于国家的教育事业和社会发展。</w:t>
            </w:r>
          </w:p>
        </w:tc>
      </w:tr>
    </w:tbl>
    <w:p w14:paraId="6A764565">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5651346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45358F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pPr w:leftFromText="180" w:rightFromText="180" w:vertAnchor="text" w:horzAnchor="page" w:tblpX="1697" w:tblpY="626"/>
        <w:tblOverlap w:val="never"/>
        <w:tblW w:w="90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839"/>
        <w:gridCol w:w="1850"/>
        <w:gridCol w:w="2000"/>
        <w:gridCol w:w="2192"/>
      </w:tblGrid>
      <w:tr w14:paraId="2693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0C899D08">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689" w:type="dxa"/>
            <w:gridSpan w:val="3"/>
            <w:vAlign w:val="center"/>
          </w:tcPr>
          <w:p w14:paraId="1659FB73">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2192" w:type="dxa"/>
            <w:vMerge w:val="restart"/>
            <w:vAlign w:val="center"/>
          </w:tcPr>
          <w:p w14:paraId="15101F74">
            <w:pPr>
              <w:jc w:val="center"/>
              <w:rPr>
                <w:rFonts w:hint="eastAsia" w:ascii="宋体" w:hAnsi="宋体" w:eastAsia="宋体" w:cs="Times New Roman"/>
                <w:szCs w:val="21"/>
              </w:rPr>
            </w:pPr>
            <w:r>
              <w:rPr>
                <w:rFonts w:hint="eastAsia" w:ascii="宋体" w:hAnsi="宋体" w:eastAsia="宋体" w:cs="Times New Roman"/>
                <w:szCs w:val="21"/>
              </w:rPr>
              <w:t>分值</w:t>
            </w:r>
          </w:p>
        </w:tc>
      </w:tr>
      <w:tr w14:paraId="78BA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vAlign w:val="center"/>
          </w:tcPr>
          <w:p w14:paraId="01B7E92A">
            <w:pPr>
              <w:jc w:val="center"/>
              <w:rPr>
                <w:rFonts w:hint="eastAsia" w:ascii="宋体" w:hAnsi="宋体" w:eastAsia="宋体" w:cs="Times New Roman"/>
                <w:szCs w:val="21"/>
              </w:rPr>
            </w:pPr>
          </w:p>
        </w:tc>
        <w:tc>
          <w:tcPr>
            <w:tcW w:w="1839" w:type="dxa"/>
            <w:vAlign w:val="center"/>
          </w:tcPr>
          <w:p w14:paraId="07789E1E">
            <w:pPr>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850" w:type="dxa"/>
            <w:vAlign w:val="center"/>
          </w:tcPr>
          <w:p w14:paraId="39569EAC">
            <w:pPr>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2000" w:type="dxa"/>
            <w:vAlign w:val="center"/>
          </w:tcPr>
          <w:p w14:paraId="4B11F8AD">
            <w:pPr>
              <w:jc w:val="center"/>
              <w:rPr>
                <w:rFonts w:hint="eastAsia" w:ascii="宋体" w:hAnsi="宋体" w:eastAsia="宋体" w:cs="Times New Roman"/>
                <w:szCs w:val="21"/>
              </w:rPr>
            </w:pPr>
            <w:r>
              <w:rPr>
                <w:rFonts w:hint="eastAsia" w:ascii="宋体" w:hAnsi="宋体" w:eastAsia="宋体" w:cs="Times New Roman"/>
                <w:szCs w:val="21"/>
              </w:rPr>
              <w:t>期末考查</w:t>
            </w:r>
          </w:p>
        </w:tc>
        <w:tc>
          <w:tcPr>
            <w:tcW w:w="2192" w:type="dxa"/>
            <w:vMerge w:val="continue"/>
            <w:vAlign w:val="center"/>
          </w:tcPr>
          <w:p w14:paraId="0B7DEB5A">
            <w:pPr>
              <w:jc w:val="center"/>
              <w:rPr>
                <w:rFonts w:hint="eastAsia" w:ascii="宋体" w:hAnsi="宋体" w:eastAsia="宋体" w:cs="Times New Roman"/>
                <w:szCs w:val="21"/>
              </w:rPr>
            </w:pPr>
          </w:p>
        </w:tc>
      </w:tr>
      <w:tr w14:paraId="4596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ADC3C96">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839" w:type="dxa"/>
            <w:vAlign w:val="center"/>
          </w:tcPr>
          <w:p w14:paraId="5E0D077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50" w:type="dxa"/>
            <w:vAlign w:val="center"/>
          </w:tcPr>
          <w:p w14:paraId="34E3D97D">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000" w:type="dxa"/>
            <w:vAlign w:val="center"/>
          </w:tcPr>
          <w:p w14:paraId="241B5CEA">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2" w:type="dxa"/>
            <w:vAlign w:val="center"/>
          </w:tcPr>
          <w:p w14:paraId="48C841F1">
            <w:pPr>
              <w:jc w:val="center"/>
              <w:rPr>
                <w:rFonts w:hint="eastAsia" w:ascii="宋体" w:hAnsi="宋体" w:eastAsia="宋体" w:cs="Times New Roman"/>
                <w:szCs w:val="21"/>
              </w:rPr>
            </w:pPr>
            <w:r>
              <w:rPr>
                <w:rFonts w:hint="eastAsia" w:ascii="宋体" w:hAnsi="宋体" w:eastAsia="宋体" w:cs="Times New Roman"/>
                <w:szCs w:val="21"/>
              </w:rPr>
              <w:t>30</w:t>
            </w:r>
          </w:p>
        </w:tc>
      </w:tr>
      <w:tr w14:paraId="0496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3D688AC2">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839" w:type="dxa"/>
            <w:vAlign w:val="center"/>
          </w:tcPr>
          <w:p w14:paraId="6EA00D4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50" w:type="dxa"/>
            <w:vAlign w:val="center"/>
          </w:tcPr>
          <w:p w14:paraId="0D29CCE9">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000" w:type="dxa"/>
            <w:vAlign w:val="center"/>
          </w:tcPr>
          <w:p w14:paraId="17A6CD01">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2" w:type="dxa"/>
            <w:vAlign w:val="center"/>
          </w:tcPr>
          <w:p w14:paraId="75136857">
            <w:pPr>
              <w:jc w:val="center"/>
              <w:rPr>
                <w:rFonts w:hint="eastAsia" w:ascii="宋体" w:hAnsi="宋体" w:eastAsia="宋体" w:cs="Times New Roman"/>
                <w:szCs w:val="21"/>
              </w:rPr>
            </w:pPr>
            <w:r>
              <w:rPr>
                <w:rFonts w:hint="eastAsia" w:ascii="宋体" w:hAnsi="宋体" w:eastAsia="宋体" w:cs="Times New Roman"/>
                <w:szCs w:val="21"/>
              </w:rPr>
              <w:t>30</w:t>
            </w:r>
          </w:p>
        </w:tc>
      </w:tr>
      <w:tr w14:paraId="348F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28830961">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839" w:type="dxa"/>
            <w:vAlign w:val="center"/>
          </w:tcPr>
          <w:p w14:paraId="460B9BDD">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50" w:type="dxa"/>
            <w:vAlign w:val="center"/>
          </w:tcPr>
          <w:p w14:paraId="46674E0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000" w:type="dxa"/>
            <w:vAlign w:val="center"/>
          </w:tcPr>
          <w:p w14:paraId="0428DC67">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2" w:type="dxa"/>
            <w:vAlign w:val="center"/>
          </w:tcPr>
          <w:p w14:paraId="2E9C12F1">
            <w:pPr>
              <w:jc w:val="center"/>
              <w:rPr>
                <w:rFonts w:hint="eastAsia" w:ascii="宋体" w:hAnsi="宋体" w:eastAsia="宋体" w:cs="Times New Roman"/>
                <w:szCs w:val="21"/>
              </w:rPr>
            </w:pPr>
            <w:r>
              <w:rPr>
                <w:rFonts w:hint="eastAsia" w:ascii="宋体" w:hAnsi="宋体" w:eastAsia="宋体" w:cs="Times New Roman"/>
                <w:szCs w:val="21"/>
              </w:rPr>
              <w:t>40</w:t>
            </w:r>
          </w:p>
        </w:tc>
      </w:tr>
      <w:tr w14:paraId="50BD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7E10A5C4">
            <w:pPr>
              <w:jc w:val="center"/>
              <w:rPr>
                <w:rFonts w:hint="eastAsia" w:ascii="宋体" w:hAnsi="宋体" w:eastAsia="宋体" w:cs="Times New Roman"/>
                <w:szCs w:val="21"/>
              </w:rPr>
            </w:pPr>
            <w:r>
              <w:rPr>
                <w:rFonts w:hint="eastAsia" w:ascii="宋体" w:hAnsi="宋体" w:eastAsia="宋体" w:cs="Times New Roman"/>
                <w:szCs w:val="21"/>
              </w:rPr>
              <w:t>合计</w:t>
            </w:r>
          </w:p>
        </w:tc>
        <w:tc>
          <w:tcPr>
            <w:tcW w:w="1839" w:type="dxa"/>
            <w:vAlign w:val="center"/>
          </w:tcPr>
          <w:p w14:paraId="5FB45905">
            <w:pPr>
              <w:jc w:val="center"/>
              <w:rPr>
                <w:rFonts w:hint="eastAsia" w:ascii="宋体" w:hAnsi="宋体" w:eastAsia="宋体" w:cs="Times New Roman"/>
                <w:szCs w:val="21"/>
              </w:rPr>
            </w:pPr>
          </w:p>
        </w:tc>
        <w:tc>
          <w:tcPr>
            <w:tcW w:w="1850" w:type="dxa"/>
            <w:vAlign w:val="center"/>
          </w:tcPr>
          <w:p w14:paraId="24C808BC">
            <w:pPr>
              <w:jc w:val="center"/>
              <w:rPr>
                <w:rFonts w:hint="eastAsia" w:ascii="宋体" w:hAnsi="宋体" w:eastAsia="宋体" w:cs="Times New Roman"/>
                <w:szCs w:val="21"/>
              </w:rPr>
            </w:pPr>
          </w:p>
        </w:tc>
        <w:tc>
          <w:tcPr>
            <w:tcW w:w="2000" w:type="dxa"/>
            <w:vAlign w:val="center"/>
          </w:tcPr>
          <w:p w14:paraId="2903C7B3">
            <w:pPr>
              <w:jc w:val="center"/>
              <w:rPr>
                <w:rFonts w:hint="eastAsia" w:ascii="宋体" w:hAnsi="宋体" w:eastAsia="宋体" w:cs="Times New Roman"/>
                <w:szCs w:val="21"/>
              </w:rPr>
            </w:pPr>
          </w:p>
        </w:tc>
        <w:tc>
          <w:tcPr>
            <w:tcW w:w="2192" w:type="dxa"/>
            <w:vAlign w:val="center"/>
          </w:tcPr>
          <w:p w14:paraId="1110E8BC">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04388245">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6EA39F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90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249"/>
        <w:gridCol w:w="1092"/>
      </w:tblGrid>
      <w:tr w14:paraId="3F73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2BF0C6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249" w:type="dxa"/>
            <w:vAlign w:val="center"/>
          </w:tcPr>
          <w:p w14:paraId="564BAA6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092" w:type="dxa"/>
            <w:vAlign w:val="center"/>
          </w:tcPr>
          <w:p w14:paraId="2FD5FDB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F5D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BAA3E1">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249" w:type="dxa"/>
            <w:vAlign w:val="center"/>
          </w:tcPr>
          <w:p w14:paraId="462DD40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平时作业共1次，为小论文或讨论题，论述的逻辑性、充分性及深刻性为评分的主要依据。</w:t>
            </w:r>
          </w:p>
        </w:tc>
        <w:tc>
          <w:tcPr>
            <w:tcW w:w="1092" w:type="dxa"/>
            <w:vAlign w:val="center"/>
          </w:tcPr>
          <w:p w14:paraId="672C73A6">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16F5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45DB584">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249" w:type="dxa"/>
            <w:vAlign w:val="center"/>
          </w:tcPr>
          <w:p w14:paraId="0A0952FC">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迟到一次扣2分，无故缺席一次扣5分，累计达2次及以上取消课程成绩。</w:t>
            </w:r>
          </w:p>
          <w:p w14:paraId="22C152B5">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1092" w:type="dxa"/>
            <w:vAlign w:val="center"/>
          </w:tcPr>
          <w:p w14:paraId="6D8EB654">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2012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90C20A5">
            <w:pPr>
              <w:rPr>
                <w:rFonts w:ascii="Times New Roman" w:hAnsi="Times New Roman" w:eastAsia="宋体" w:cs="Times New Roman"/>
                <w:szCs w:val="21"/>
              </w:rPr>
            </w:pPr>
            <w:r>
              <w:rPr>
                <w:rFonts w:hint="eastAsia" w:ascii="Times New Roman" w:hAnsi="Times New Roman" w:eastAsia="宋体" w:cs="Times New Roman"/>
                <w:szCs w:val="21"/>
              </w:rPr>
              <w:t>期末考查</w:t>
            </w:r>
          </w:p>
        </w:tc>
        <w:tc>
          <w:tcPr>
            <w:tcW w:w="7249" w:type="dxa"/>
            <w:vAlign w:val="center"/>
          </w:tcPr>
          <w:p w14:paraId="114D398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完成课程论文，考查学生对所学内容的认识、理解和应用情况</w:t>
            </w:r>
          </w:p>
        </w:tc>
        <w:tc>
          <w:tcPr>
            <w:tcW w:w="1092" w:type="dxa"/>
            <w:vAlign w:val="center"/>
          </w:tcPr>
          <w:p w14:paraId="5AA5A75E">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6295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75" w:type="dxa"/>
            <w:vAlign w:val="center"/>
          </w:tcPr>
          <w:p w14:paraId="08EF9E2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249" w:type="dxa"/>
            <w:vAlign w:val="center"/>
          </w:tcPr>
          <w:p w14:paraId="6B91D464">
            <w:pPr>
              <w:jc w:val="left"/>
              <w:rPr>
                <w:rFonts w:ascii="Times New Roman" w:hAnsi="Times New Roman" w:eastAsia="宋体" w:cs="Times New Roman"/>
                <w:szCs w:val="21"/>
              </w:rPr>
            </w:pPr>
          </w:p>
        </w:tc>
        <w:tc>
          <w:tcPr>
            <w:tcW w:w="1092" w:type="dxa"/>
            <w:vAlign w:val="center"/>
          </w:tcPr>
          <w:p w14:paraId="548DE4F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17FA07C4">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6E089D87">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5B902E24">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69"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69" DrawAspect="Content" ObjectID="_1468075769" r:id="rId57">
            <o:LockedField>false</o:LockedField>
          </o:OLEObject>
        </w:object>
      </w:r>
      <w:r>
        <w:rPr>
          <w:rFonts w:hint="eastAsia" w:ascii="Times New Roman" w:hAnsi="Times New Roman" w:eastAsia="宋体" w:cs="Times New Roman"/>
          <w:b/>
          <w:sz w:val="24"/>
        </w:rPr>
        <w:t>五、有关说明</w:t>
      </w:r>
    </w:p>
    <w:p w14:paraId="4546FCB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F599F9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根据学生课堂教学中的反应、课后反馈、作业质量，以及领导、督导、教师同行等的听课情况，及时发现和改进教学中的不足之处，确保相应毕业要求指标点达成。</w:t>
      </w:r>
    </w:p>
    <w:p w14:paraId="3C4C5D04">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58993147">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编写组.习近平总书记教育重要论述讲义[M].北京：高等教育出版社，2020.</w:t>
      </w:r>
    </w:p>
    <w:p w14:paraId="08044DE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282E74D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1. 习近平.论教育[M].北京：中央文献出版社，2024.</w:t>
      </w:r>
    </w:p>
    <w:p w14:paraId="1944F34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2.胡金平.学校教育发展[M].上海：华东师范大学出版社，2016.</w:t>
      </w:r>
    </w:p>
    <w:p w14:paraId="053509B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3.教育学原理编写组. 教育学原理[M]. 北京: 高等教育出版社, 2019.</w:t>
      </w:r>
    </w:p>
    <w:p w14:paraId="5EC16F31"/>
    <w:p w14:paraId="3DD384DD"/>
    <w:p w14:paraId="769CF8DC">
      <w:pPr>
        <w:wordWrap w:val="0"/>
        <w:spacing w:line="360" w:lineRule="auto"/>
        <w:ind w:right="1440"/>
        <w:jc w:val="center"/>
        <w:rPr>
          <w:rFonts w:ascii="Times New Roman" w:hAnsi="Times New Roman" w:eastAsia="宋体" w:cs="Times New Roman"/>
          <w:sz w:val="24"/>
        </w:rPr>
      </w:pPr>
      <w:r>
        <w:rPr>
          <w:rFonts w:hint="eastAsia" w:ascii="Times New Roman" w:hAnsi="Times New Roman" w:eastAsia="宋体" w:cs="Times New Roman"/>
          <w:sz w:val="24"/>
        </w:rPr>
        <w:t xml:space="preserve">                                       执 笔 人： 姚玉香</w:t>
      </w:r>
    </w:p>
    <w:p w14:paraId="7F04034F">
      <w:pPr>
        <w:wordWrap w:val="0"/>
        <w:spacing w:line="360" w:lineRule="auto"/>
        <w:ind w:right="1440"/>
        <w:jc w:val="center"/>
        <w:rPr>
          <w:rFonts w:ascii="Times New Roman" w:hAnsi="Times New Roman" w:eastAsia="宋体" w:cs="Times New Roman"/>
          <w:sz w:val="24"/>
        </w:rPr>
      </w:pPr>
      <w:r>
        <w:rPr>
          <w:rFonts w:hint="eastAsia" w:ascii="Times New Roman" w:hAnsi="Times New Roman" w:eastAsia="宋体" w:cs="Times New Roman"/>
          <w:sz w:val="24"/>
        </w:rPr>
        <w:t xml:space="preserve">                                       审 定 人： 王  健</w:t>
      </w:r>
    </w:p>
    <w:p w14:paraId="57FFE369">
      <w:pPr>
        <w:spacing w:line="360" w:lineRule="auto"/>
        <w:ind w:right="1440"/>
        <w:jc w:val="center"/>
        <w:rPr>
          <w:rFonts w:ascii="Times New Roman" w:hAnsi="Times New Roman" w:eastAsia="宋体" w:cs="Times New Roman"/>
          <w:sz w:val="24"/>
        </w:rPr>
      </w:pPr>
      <w:r>
        <w:rPr>
          <w:rFonts w:hint="eastAsia" w:ascii="Times New Roman" w:hAnsi="Times New Roman" w:eastAsia="宋体" w:cs="Times New Roman"/>
          <w:sz w:val="24"/>
        </w:rPr>
        <w:t xml:space="preserve">                                       审 批 人：</w:t>
      </w:r>
      <w:r>
        <w:rPr>
          <w:rFonts w:ascii="Times New Roman" w:hAnsi="Times New Roman" w:eastAsia="宋体" w:cs="Times New Roman"/>
          <w:sz w:val="24"/>
        </w:rPr>
        <w:t xml:space="preserve"> </w:t>
      </w:r>
      <w:r>
        <w:rPr>
          <w:rFonts w:hint="eastAsia" w:ascii="Times New Roman" w:hAnsi="Times New Roman" w:eastAsia="宋体" w:cs="Times New Roman"/>
          <w:sz w:val="24"/>
        </w:rPr>
        <w:t>张志欣</w:t>
      </w:r>
    </w:p>
    <w:p w14:paraId="0EC41AC6">
      <w:pPr>
        <w:spacing w:line="360" w:lineRule="auto"/>
        <w:ind w:right="240" w:firstLine="4800" w:firstLineChars="2000"/>
        <w:jc w:val="left"/>
        <w:rPr>
          <w:rFonts w:ascii="Times New Roman" w:hAnsi="Times New Roman" w:eastAsia="宋体" w:cs="Times New Roman"/>
          <w:sz w:val="24"/>
        </w:rPr>
      </w:pPr>
      <w:r>
        <w:rPr>
          <w:rFonts w:hint="eastAsia" w:ascii="Times New Roman" w:hAnsi="Times New Roman" w:eastAsia="宋体" w:cs="Times New Roman"/>
          <w:sz w:val="24"/>
        </w:rPr>
        <w:t>批准时间： 2025</w:t>
      </w:r>
      <w:r>
        <w:rPr>
          <w:rFonts w:ascii="Times New Roman" w:hAnsi="Times New Roman" w:eastAsia="宋体" w:cs="Times New Roman"/>
          <w:sz w:val="24"/>
        </w:rPr>
        <w:t>年</w:t>
      </w:r>
      <w:r>
        <w:rPr>
          <w:rFonts w:hint="eastAsia" w:ascii="Times New Roman" w:hAnsi="Times New Roman" w:eastAsia="宋体" w:cs="Times New Roman"/>
          <w:sz w:val="24"/>
        </w:rPr>
        <w:t xml:space="preserve"> 7 </w:t>
      </w:r>
      <w:r>
        <w:rPr>
          <w:rFonts w:ascii="Times New Roman" w:hAnsi="Times New Roman" w:eastAsia="宋体" w:cs="Times New Roman"/>
          <w:sz w:val="24"/>
        </w:rPr>
        <w:t>月</w:t>
      </w:r>
      <w:r>
        <w:rPr>
          <w:rFonts w:hint="eastAsia" w:ascii="Times New Roman" w:hAnsi="Times New Roman" w:eastAsia="宋体" w:cs="Times New Roman"/>
          <w:sz w:val="24"/>
        </w:rPr>
        <w:t xml:space="preserve">1 </w:t>
      </w:r>
      <w:r>
        <w:rPr>
          <w:rFonts w:ascii="Times New Roman" w:hAnsi="Times New Roman" w:eastAsia="宋体" w:cs="Times New Roman"/>
          <w:sz w:val="24"/>
        </w:rPr>
        <w:t>日</w:t>
      </w:r>
    </w:p>
    <w:p w14:paraId="1443D96D"/>
    <w:p w14:paraId="09F8E69E">
      <w:pPr>
        <w:rPr>
          <w:rFonts w:ascii="Times New Roman" w:hAnsi="Times New Roman" w:eastAsia="宋体" w:cs="Times New Roman"/>
          <w:b/>
          <w:sz w:val="44"/>
          <w:szCs w:val="44"/>
        </w:rPr>
      </w:pPr>
      <w:r>
        <w:rPr>
          <w:rFonts w:hint="eastAsia" w:ascii="Times New Roman" w:hAnsi="Times New Roman" w:eastAsia="宋体" w:cs="Times New Roman"/>
          <w:b/>
          <w:sz w:val="44"/>
          <w:szCs w:val="44"/>
        </w:rPr>
        <w:br w:type="page"/>
      </w:r>
    </w:p>
    <w:p w14:paraId="2CB401D5">
      <w:pPr>
        <w:spacing w:line="360" w:lineRule="auto"/>
        <w:jc w:val="center"/>
        <w:outlineLvl w:val="0"/>
      </w:pPr>
      <w:bookmarkStart w:id="1636" w:name="_Toc13949"/>
      <w:r>
        <w:rPr>
          <w:rFonts w:hint="eastAsia" w:ascii="Times New Roman" w:hAnsi="Times New Roman" w:eastAsia="宋体" w:cs="Times New Roman"/>
          <w:b/>
          <w:sz w:val="44"/>
          <w:szCs w:val="44"/>
        </w:rPr>
        <w:t>《汉语修辞学》课程教学大纲</w:t>
      </w:r>
      <w:bookmarkEnd w:id="1636"/>
    </w:p>
    <w:p w14:paraId="10B71855">
      <w:pPr>
        <w:spacing w:line="360" w:lineRule="auto"/>
        <w:jc w:val="center"/>
        <w:rPr>
          <w:rFonts w:ascii="Times New Roman" w:hAnsi="Times New Roman" w:eastAsia="宋体" w:cs="Times New Roman"/>
          <w:b/>
          <w:bCs/>
          <w:sz w:val="28"/>
          <w:szCs w:val="28"/>
        </w:rPr>
      </w:pPr>
      <w:bookmarkStart w:id="1637" w:name="_Toc25647"/>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Syllabus of Chinese Rhetoric</w:t>
      </w:r>
      <w:r>
        <w:rPr>
          <w:rFonts w:ascii="Times New Roman" w:hAnsi="Times New Roman" w:eastAsia="宋体" w:cs="Times New Roman"/>
          <w:b/>
          <w:bCs/>
          <w:sz w:val="28"/>
          <w:szCs w:val="28"/>
        </w:rPr>
        <w:t>）</w:t>
      </w:r>
      <w:bookmarkEnd w:id="1637"/>
    </w:p>
    <w:p w14:paraId="5B2D2116">
      <w:pPr>
        <w:spacing w:line="360" w:lineRule="auto"/>
        <w:jc w:val="center"/>
        <w:rPr>
          <w:rFonts w:ascii="Times New Roman" w:hAnsi="Times New Roman" w:eastAsia="宋体" w:cs="Times New Roman"/>
          <w:bCs/>
          <w:sz w:val="30"/>
          <w:szCs w:val="30"/>
        </w:rPr>
      </w:pPr>
    </w:p>
    <w:p w14:paraId="6D5B294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课程名称：汉语修辞学</w:t>
      </w:r>
    </w:p>
    <w:p w14:paraId="5D4B4BE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课程代码：0705036</w:t>
      </w:r>
    </w:p>
    <w:p w14:paraId="2CACB9B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795D433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时：32（其中：讲授学时22，实践学时10 ）</w:t>
      </w:r>
    </w:p>
    <w:p w14:paraId="09E7CB54">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1C701A3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w:t>
      </w:r>
    </w:p>
    <w:p w14:paraId="13AAEC34">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1F34452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为小学教育（文）专业的选修课程，旨在使学生了解和掌握修辞学的基本理论、修辞技巧和汉语修辞学研究概况，使学生在初步具备现代汉语修辞知识和能力的基础上进一步加深对修辞学基本知识和基础理论的理解，掌握基本的修辞技巧，从而提高实际应用语言的水平，提高学生对修辞的鉴赏能力和言语交际素养。</w:t>
      </w:r>
    </w:p>
    <w:p w14:paraId="334DE73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4EAB56EF">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1E32ECA3">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目标1.了解汉语修辞的基本特点，了解中国语言文化的发展历程，树立正确的民族语言观。</w:t>
      </w:r>
    </w:p>
    <w:p w14:paraId="22ACEC94">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目标2.掌握基本的汉语修辞方法，学会敏锐地体察不同语言的特点。</w:t>
      </w:r>
    </w:p>
    <w:p w14:paraId="5EFCA88E">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目标3.了解现代汉语的语音结构、词汇结构与构词方式。</w:t>
      </w:r>
    </w:p>
    <w:p w14:paraId="1DDB31AB">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目标4.了解现代汉语的修辞类型与特点，领略语言的魅力，学习语言表达的技巧和艺术，为文科的教学工作奠定专业基础。</w:t>
      </w:r>
    </w:p>
    <w:p w14:paraId="7D0D3E0A">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2FA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0120C6F">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4F73A91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32B6626">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1B0B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1C5AD8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479FA35C">
            <w:pPr>
              <w:spacing w:line="276" w:lineRule="auto"/>
              <w:jc w:val="left"/>
              <w:rPr>
                <w:rFonts w:ascii="Times New Roman" w:hAnsi="Times New Roman" w:eastAsia="宋体" w:cs="Times New Roman"/>
                <w:szCs w:val="21"/>
              </w:rPr>
            </w:pPr>
            <w:r>
              <w:rPr>
                <w:rFonts w:hint="eastAsia" w:ascii="Times New Roman" w:hAnsi="Times New Roman" w:eastAsia="宋体" w:cs="Times New Roman"/>
                <w:b/>
                <w:szCs w:val="21"/>
              </w:rPr>
              <w:t>指标点2-3</w:t>
            </w:r>
            <w:r>
              <w:rPr>
                <w:rFonts w:hint="eastAsia" w:ascii="Times New Roman" w:hAnsi="Times New Roman" w:eastAsia="宋体" w:cs="Times New Roman"/>
                <w:szCs w:val="21"/>
              </w:rPr>
              <w:t>：【自身修养良好】具有较好的人文艺术底蕴与科学精神，言行举止符合教师职业标准，情感积极，人格健全，身心健康。</w:t>
            </w:r>
          </w:p>
        </w:tc>
        <w:tc>
          <w:tcPr>
            <w:tcW w:w="1191" w:type="dxa"/>
            <w:vAlign w:val="center"/>
          </w:tcPr>
          <w:p w14:paraId="524ACF9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38C21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1ABA60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毕业要求3综合素养</w:t>
            </w:r>
          </w:p>
        </w:tc>
        <w:tc>
          <w:tcPr>
            <w:tcW w:w="5688" w:type="dxa"/>
            <w:vAlign w:val="center"/>
          </w:tcPr>
          <w:p w14:paraId="210C5A1E">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指标点3-1</w:t>
            </w:r>
            <w:r>
              <w:rPr>
                <w:rFonts w:hint="eastAsia" w:ascii="宋体" w:hAnsi="宋体" w:eastAsia="宋体" w:cs="Times New Roman"/>
                <w:spacing w:val="2"/>
                <w:kern w:val="0"/>
                <w:szCs w:val="21"/>
              </w:rPr>
              <w:t>：【通识知识广博】具有小学教育本科专业相应的自然科学和人文社会科学知识素养。</w:t>
            </w:r>
          </w:p>
        </w:tc>
        <w:tc>
          <w:tcPr>
            <w:tcW w:w="1191" w:type="dxa"/>
            <w:vAlign w:val="center"/>
          </w:tcPr>
          <w:p w14:paraId="71E9FDFF">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6878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9C532D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毕业要求3综合素养</w:t>
            </w:r>
          </w:p>
        </w:tc>
        <w:tc>
          <w:tcPr>
            <w:tcW w:w="5688" w:type="dxa"/>
            <w:vAlign w:val="center"/>
          </w:tcPr>
          <w:p w14:paraId="6D3CD6D2">
            <w:pPr>
              <w:spacing w:line="276" w:lineRule="auto"/>
              <w:jc w:val="left"/>
              <w:rPr>
                <w:rFonts w:ascii="Times New Roman" w:hAnsi="Times New Roman" w:eastAsia="宋体" w:cs="Times New Roman"/>
                <w:szCs w:val="21"/>
              </w:rPr>
            </w:pPr>
            <w:r>
              <w:rPr>
                <w:rFonts w:hint="eastAsia" w:ascii="宋体" w:hAnsi="宋体" w:cs="宋体"/>
                <w:b/>
                <w:kern w:val="0"/>
                <w:sz w:val="20"/>
                <w:szCs w:val="20"/>
              </w:rPr>
              <w:t>指标点3-2</w:t>
            </w:r>
            <w:r>
              <w:rPr>
                <w:rFonts w:hint="eastAsia" w:ascii="宋体" w:hAnsi="宋体" w:cs="宋体"/>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1" w:type="dxa"/>
            <w:vAlign w:val="center"/>
          </w:tcPr>
          <w:p w14:paraId="520A194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134F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8D3EA50">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毕业要求4教学能力</w:t>
            </w:r>
          </w:p>
        </w:tc>
        <w:tc>
          <w:tcPr>
            <w:tcW w:w="5688" w:type="dxa"/>
            <w:vAlign w:val="center"/>
          </w:tcPr>
          <w:p w14:paraId="24D0F6E0">
            <w:pPr>
              <w:spacing w:line="276" w:lineRule="auto"/>
              <w:jc w:val="left"/>
              <w:rPr>
                <w:rFonts w:ascii="Times New Roman" w:hAnsi="Times New Roman" w:eastAsia="宋体" w:cs="Times New Roman"/>
                <w:szCs w:val="21"/>
              </w:rPr>
            </w:pPr>
            <w:r>
              <w:rPr>
                <w:rFonts w:hint="eastAsia" w:ascii="宋体" w:hAnsi="宋体" w:eastAsia="宋体" w:cs="Times New Roman"/>
                <w:b/>
                <w:kern w:val="0"/>
                <w:szCs w:val="21"/>
              </w:rPr>
              <w:t>指标点4-1</w:t>
            </w:r>
            <w:r>
              <w:rPr>
                <w:rFonts w:hint="eastAsia" w:ascii="宋体" w:hAnsi="宋体" w:eastAsia="宋体" w:cs="Times New Roman"/>
                <w:kern w:val="0"/>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7F9BB3D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bl>
    <w:p w14:paraId="7958414A">
      <w:pPr>
        <w:spacing w:before="156" w:beforeLines="50" w:line="360" w:lineRule="auto"/>
        <w:ind w:firstLine="422" w:firstLineChars="200"/>
        <w:jc w:val="left"/>
        <w:rPr>
          <w:rFonts w:hint="eastAsia" w:ascii="宋体" w:hAnsi="宋体" w:eastAsia="宋体" w:cs="Times New Roman"/>
          <w:szCs w:val="21"/>
        </w:rPr>
      </w:pPr>
      <w:r>
        <w:rPr>
          <w:rFonts w:hint="eastAsia" w:ascii="宋体" w:hAnsi="宋体" w:eastAsia="宋体" w:cs="Times New Roman"/>
          <w:b/>
          <w:szCs w:val="21"/>
        </w:rPr>
        <w:t>（三）课程思政目标</w:t>
      </w:r>
    </w:p>
    <w:p w14:paraId="49CDB7C2">
      <w:pPr>
        <w:spacing w:line="360" w:lineRule="auto"/>
        <w:ind w:firstLine="420" w:firstLineChars="200"/>
        <w:jc w:val="left"/>
        <w:rPr>
          <w:rFonts w:hint="eastAsia" w:ascii="宋体" w:hAnsi="宋体" w:eastAsia="宋体" w:cs="Times New Roman"/>
          <w:b/>
          <w:sz w:val="28"/>
          <w:szCs w:val="28"/>
        </w:rPr>
      </w:pPr>
      <w:r>
        <w:rPr>
          <w:rFonts w:hint="eastAsia" w:ascii="宋体" w:hAnsi="宋体" w:eastAsia="宋体" w:cs="Times New Roman"/>
          <w:szCs w:val="21"/>
        </w:rPr>
        <w:t>本课程旨在通过汉语修辞学的教学，引导学生掌握基本的修辞手法和语言表达技巧，同时融入思想政治教育元素。旨在培养学生的语言美感和审美能力，增强他们对中华优秀传统文化的认同感和自豪感。通过修辞实践，锻炼学生的思维能力和创造力，培养他们的爱国情怀和社会责任感。使学生在提高语言表达能力的同时，树立正确的世界观、人生观和价值观，为成为德智体美劳全面发展的社会主义建设者和接班人打下坚实基础。</w:t>
      </w:r>
    </w:p>
    <w:p w14:paraId="740F5B5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1888"/>
        <w:gridCol w:w="1134"/>
        <w:gridCol w:w="3260"/>
        <w:gridCol w:w="1560"/>
        <w:gridCol w:w="438"/>
      </w:tblGrid>
      <w:tr w14:paraId="21F6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0C2F74CB">
            <w:pPr>
              <w:jc w:val="center"/>
              <w:rPr>
                <w:rFonts w:hint="eastAsia" w:ascii="宋体" w:hAnsi="宋体" w:eastAsia="宋体" w:cs="Times New Roman"/>
                <w:b/>
                <w:szCs w:val="21"/>
              </w:rPr>
            </w:pPr>
            <w:r>
              <w:rPr>
                <w:rFonts w:hint="eastAsia" w:ascii="宋体" w:hAnsi="宋体" w:eastAsia="宋体" w:cs="Times New Roman"/>
                <w:b/>
                <w:szCs w:val="21"/>
              </w:rPr>
              <w:t>知识</w:t>
            </w:r>
          </w:p>
          <w:p w14:paraId="13A04A1E">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888" w:type="dxa"/>
            <w:vAlign w:val="center"/>
          </w:tcPr>
          <w:p w14:paraId="0748277C">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761F7791">
            <w:pPr>
              <w:jc w:val="center"/>
              <w:rPr>
                <w:rFonts w:hint="eastAsia" w:ascii="宋体" w:hAnsi="宋体" w:eastAsia="宋体" w:cs="Times New Roman"/>
                <w:b/>
                <w:szCs w:val="21"/>
              </w:rPr>
            </w:pPr>
            <w:r>
              <w:rPr>
                <w:rFonts w:hint="eastAsia" w:ascii="宋体" w:hAnsi="宋体" w:eastAsia="宋体" w:cs="Times New Roman"/>
                <w:b/>
                <w:szCs w:val="21"/>
              </w:rPr>
              <w:t>对应</w:t>
            </w:r>
          </w:p>
          <w:p w14:paraId="303AE65F">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0" w:type="dxa"/>
            <w:vAlign w:val="center"/>
          </w:tcPr>
          <w:p w14:paraId="5EA4852E">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6896182A">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6129F705">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7FE95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vAlign w:val="center"/>
          </w:tcPr>
          <w:p w14:paraId="05C0B8AD">
            <w:pPr>
              <w:numPr>
                <w:ilvl w:val="0"/>
                <w:numId w:val="53"/>
              </w:numPr>
              <w:jc w:val="center"/>
              <w:rPr>
                <w:rFonts w:hint="eastAsia" w:ascii="宋体" w:hAnsi="宋体" w:eastAsia="宋体" w:cs="Times New Roman"/>
                <w:szCs w:val="21"/>
              </w:rPr>
            </w:pPr>
            <w:r>
              <w:rPr>
                <w:rFonts w:hint="eastAsia" w:ascii="宋体" w:hAnsi="宋体" w:eastAsia="宋体" w:cs="Times New Roman"/>
                <w:szCs w:val="21"/>
              </w:rPr>
              <w:t>修辞</w:t>
            </w:r>
          </w:p>
          <w:p w14:paraId="4D797B3F">
            <w:pPr>
              <w:jc w:val="center"/>
              <w:rPr>
                <w:rFonts w:hint="eastAsia" w:ascii="宋体" w:hAnsi="宋体" w:eastAsia="宋体" w:cs="Times New Roman"/>
                <w:szCs w:val="21"/>
              </w:rPr>
            </w:pPr>
            <w:r>
              <w:rPr>
                <w:rFonts w:hint="eastAsia" w:ascii="宋体" w:hAnsi="宋体" w:eastAsia="宋体" w:cs="Times New Roman"/>
                <w:szCs w:val="21"/>
              </w:rPr>
              <w:t>概说</w:t>
            </w:r>
          </w:p>
        </w:tc>
        <w:tc>
          <w:tcPr>
            <w:tcW w:w="1888" w:type="dxa"/>
            <w:vAlign w:val="center"/>
          </w:tcPr>
          <w:p w14:paraId="4879F4C8">
            <w:pPr>
              <w:jc w:val="left"/>
              <w:rPr>
                <w:rFonts w:hint="eastAsia" w:ascii="宋体" w:hAnsi="宋体" w:eastAsia="宋体" w:cs="Times New Roman"/>
                <w:szCs w:val="21"/>
              </w:rPr>
            </w:pPr>
            <w:r>
              <w:rPr>
                <w:rFonts w:hint="eastAsia" w:ascii="宋体" w:hAnsi="宋体" w:eastAsia="宋体" w:cs="Times New Roman"/>
                <w:szCs w:val="21"/>
              </w:rPr>
              <w:t>（（1）什么是修辞、修辞学</w:t>
            </w:r>
          </w:p>
          <w:p w14:paraId="09B06EC8">
            <w:pPr>
              <w:jc w:val="left"/>
              <w:rPr>
                <w:rFonts w:hint="eastAsia" w:ascii="宋体" w:hAnsi="宋体" w:eastAsia="宋体" w:cs="Times New Roman"/>
                <w:szCs w:val="21"/>
              </w:rPr>
            </w:pPr>
            <w:r>
              <w:rPr>
                <w:rFonts w:hint="eastAsia" w:ascii="宋体" w:hAnsi="宋体" w:eastAsia="宋体" w:cs="Times New Roman"/>
                <w:szCs w:val="21"/>
              </w:rPr>
              <w:t>（2）修辞的作用和性质</w:t>
            </w:r>
          </w:p>
        </w:tc>
        <w:tc>
          <w:tcPr>
            <w:tcW w:w="1134" w:type="dxa"/>
            <w:vAlign w:val="center"/>
          </w:tcPr>
          <w:p w14:paraId="5096A521">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3260" w:type="dxa"/>
            <w:vAlign w:val="center"/>
          </w:tcPr>
          <w:p w14:paraId="3E49BEDA">
            <w:pPr>
              <w:jc w:val="left"/>
              <w:rPr>
                <w:rFonts w:hint="eastAsia" w:ascii="宋体" w:hAnsi="宋体" w:eastAsia="宋体" w:cs="Times New Roman"/>
                <w:szCs w:val="21"/>
              </w:rPr>
            </w:pPr>
            <w:r>
              <w:rPr>
                <w:rFonts w:hint="eastAsia" w:ascii="宋体" w:hAnsi="宋体" w:eastAsia="宋体" w:cs="Times New Roman"/>
                <w:szCs w:val="21"/>
              </w:rPr>
              <w:t>1。掌握修辞、修辞学的概念。</w:t>
            </w:r>
          </w:p>
          <w:p w14:paraId="2E2B7F32">
            <w:pPr>
              <w:jc w:val="left"/>
              <w:rPr>
                <w:rFonts w:hint="eastAsia" w:ascii="宋体" w:hAnsi="宋体" w:eastAsia="宋体" w:cs="Times New Roman"/>
                <w:szCs w:val="21"/>
              </w:rPr>
            </w:pPr>
            <w:r>
              <w:rPr>
                <w:rFonts w:hint="eastAsia" w:ascii="宋体" w:hAnsi="宋体" w:eastAsia="宋体" w:cs="Times New Roman"/>
                <w:szCs w:val="21"/>
              </w:rPr>
              <w:t>2.了解对修辞认识的偏颇，修辞的作用。</w:t>
            </w:r>
          </w:p>
          <w:p w14:paraId="55BB7E60">
            <w:pPr>
              <w:jc w:val="left"/>
              <w:rPr>
                <w:rFonts w:hint="eastAsia" w:ascii="宋体" w:hAnsi="宋体" w:eastAsia="宋体" w:cs="Times New Roman"/>
                <w:szCs w:val="21"/>
              </w:rPr>
            </w:pPr>
            <w:r>
              <w:rPr>
                <w:rFonts w:hint="eastAsia" w:ascii="宋体" w:hAnsi="宋体" w:eastAsia="宋体" w:cs="Times New Roman"/>
                <w:szCs w:val="21"/>
              </w:rPr>
              <w:t>3。理解修辞是一种创造性的活动。</w:t>
            </w:r>
          </w:p>
        </w:tc>
        <w:tc>
          <w:tcPr>
            <w:tcW w:w="1560" w:type="dxa"/>
            <w:vAlign w:val="center"/>
          </w:tcPr>
          <w:p w14:paraId="14EC0138">
            <w:pPr>
              <w:jc w:val="left"/>
              <w:rPr>
                <w:rFonts w:hint="eastAsia" w:ascii="宋体" w:hAnsi="宋体" w:eastAsia="宋体" w:cs="Times New Roman"/>
                <w:szCs w:val="21"/>
              </w:rPr>
            </w:pPr>
            <w:r>
              <w:rPr>
                <w:rFonts w:hint="eastAsia" w:ascii="宋体" w:hAnsi="宋体" w:eastAsia="宋体" w:cs="Times New Roman"/>
                <w:szCs w:val="21"/>
              </w:rPr>
              <w:t>1.线下学习</w:t>
            </w:r>
          </w:p>
          <w:p w14:paraId="3CF77ABD">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7D2C83BE">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2FC6FD1F">
            <w:pPr>
              <w:jc w:val="center"/>
              <w:rPr>
                <w:rFonts w:hint="eastAsia" w:ascii="宋体" w:hAnsi="宋体" w:eastAsia="宋体" w:cs="Times New Roman"/>
                <w:szCs w:val="21"/>
              </w:rPr>
            </w:pPr>
            <w:r>
              <w:rPr>
                <w:rFonts w:hint="eastAsia" w:ascii="宋体" w:hAnsi="宋体" w:eastAsia="宋体" w:cs="Times New Roman"/>
                <w:szCs w:val="21"/>
              </w:rPr>
              <w:t>2</w:t>
            </w:r>
          </w:p>
        </w:tc>
      </w:tr>
      <w:tr w14:paraId="336F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vAlign w:val="center"/>
          </w:tcPr>
          <w:p w14:paraId="353DA24B">
            <w:pPr>
              <w:jc w:val="center"/>
              <w:rPr>
                <w:rFonts w:hint="eastAsia" w:ascii="宋体" w:hAnsi="宋体" w:eastAsia="宋体" w:cs="Times New Roman"/>
                <w:szCs w:val="21"/>
              </w:rPr>
            </w:pPr>
          </w:p>
        </w:tc>
        <w:tc>
          <w:tcPr>
            <w:tcW w:w="8280" w:type="dxa"/>
            <w:gridSpan w:val="5"/>
            <w:vAlign w:val="center"/>
          </w:tcPr>
          <w:p w14:paraId="1887F92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教学，使学生掌握修辞与修辞学的基本概念，明确修辞在语言表达中的作用和性质。要求学生准确理解修辞概念，纠正对修辞的偏颇认识，深刻体会修辞的积极作用。重点强调修辞的创造性，鼓励学生发挥想象力，培养创新思维。教学聚焦修辞概念与原则，难点在于激发学生的修辞创造意识。</w:t>
            </w:r>
          </w:p>
        </w:tc>
      </w:tr>
      <w:tr w14:paraId="06FA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vAlign w:val="center"/>
          </w:tcPr>
          <w:p w14:paraId="48ACC157">
            <w:pPr>
              <w:numPr>
                <w:ilvl w:val="0"/>
                <w:numId w:val="53"/>
              </w:numPr>
              <w:jc w:val="center"/>
              <w:rPr>
                <w:rFonts w:hint="eastAsia" w:ascii="宋体" w:hAnsi="宋体" w:eastAsia="宋体" w:cs="Times New Roman"/>
                <w:szCs w:val="21"/>
              </w:rPr>
            </w:pPr>
            <w:r>
              <w:rPr>
                <w:rFonts w:hint="eastAsia" w:ascii="宋体" w:hAnsi="宋体" w:eastAsia="宋体" w:cs="Times New Roman"/>
                <w:szCs w:val="21"/>
              </w:rPr>
              <w:t>修辞</w:t>
            </w:r>
          </w:p>
          <w:p w14:paraId="2681F6EE">
            <w:pPr>
              <w:jc w:val="center"/>
              <w:rPr>
                <w:rFonts w:hint="eastAsia" w:ascii="宋体" w:hAnsi="宋体" w:eastAsia="宋体" w:cs="Times New Roman"/>
                <w:szCs w:val="21"/>
              </w:rPr>
            </w:pPr>
            <w:r>
              <w:rPr>
                <w:rFonts w:hint="eastAsia" w:ascii="宋体" w:hAnsi="宋体" w:eastAsia="宋体" w:cs="Times New Roman"/>
                <w:szCs w:val="21"/>
              </w:rPr>
              <w:t>手段</w:t>
            </w:r>
          </w:p>
        </w:tc>
        <w:tc>
          <w:tcPr>
            <w:tcW w:w="1888" w:type="dxa"/>
            <w:vAlign w:val="center"/>
          </w:tcPr>
          <w:p w14:paraId="62EAD782">
            <w:pPr>
              <w:jc w:val="left"/>
              <w:rPr>
                <w:rFonts w:hint="eastAsia" w:ascii="宋体" w:hAnsi="宋体" w:eastAsia="宋体" w:cs="Times New Roman"/>
                <w:szCs w:val="21"/>
              </w:rPr>
            </w:pPr>
            <w:r>
              <w:rPr>
                <w:rFonts w:hint="eastAsia" w:ascii="宋体" w:hAnsi="宋体" w:eastAsia="宋体" w:cs="Times New Roman"/>
                <w:szCs w:val="21"/>
              </w:rPr>
              <w:t>（1）语音及其调整</w:t>
            </w:r>
          </w:p>
          <w:p w14:paraId="665A8844">
            <w:pPr>
              <w:jc w:val="left"/>
              <w:rPr>
                <w:rFonts w:hint="eastAsia" w:ascii="宋体" w:hAnsi="宋体" w:eastAsia="宋体" w:cs="Times New Roman"/>
                <w:szCs w:val="21"/>
              </w:rPr>
            </w:pPr>
            <w:r>
              <w:rPr>
                <w:rFonts w:hint="eastAsia" w:ascii="宋体" w:hAnsi="宋体" w:eastAsia="宋体" w:cs="Times New Roman"/>
                <w:szCs w:val="21"/>
              </w:rPr>
              <w:t>（2）词语及其锤炼</w:t>
            </w:r>
          </w:p>
          <w:p w14:paraId="3A2A8413">
            <w:pPr>
              <w:jc w:val="left"/>
              <w:rPr>
                <w:rFonts w:hint="eastAsia" w:ascii="宋体" w:hAnsi="宋体" w:eastAsia="宋体" w:cs="Times New Roman"/>
                <w:szCs w:val="21"/>
              </w:rPr>
            </w:pPr>
            <w:r>
              <w:rPr>
                <w:rFonts w:hint="eastAsia" w:ascii="宋体" w:hAnsi="宋体" w:eastAsia="宋体" w:cs="Times New Roman"/>
                <w:szCs w:val="21"/>
              </w:rPr>
              <w:t>（3）句子及其选择</w:t>
            </w:r>
          </w:p>
        </w:tc>
        <w:tc>
          <w:tcPr>
            <w:tcW w:w="1134" w:type="dxa"/>
            <w:vAlign w:val="center"/>
          </w:tcPr>
          <w:p w14:paraId="0C19B1E9">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3260" w:type="dxa"/>
            <w:vAlign w:val="center"/>
          </w:tcPr>
          <w:p w14:paraId="50CAE56D">
            <w:pPr>
              <w:jc w:val="left"/>
              <w:rPr>
                <w:rFonts w:hint="eastAsia" w:ascii="宋体" w:hAnsi="宋体" w:eastAsia="宋体" w:cs="Times New Roman"/>
                <w:szCs w:val="21"/>
              </w:rPr>
            </w:pPr>
            <w:r>
              <w:rPr>
                <w:rFonts w:hint="eastAsia" w:ascii="宋体" w:hAnsi="宋体" w:eastAsia="宋体" w:cs="Times New Roman"/>
                <w:szCs w:val="21"/>
              </w:rPr>
              <w:t>1.修辞手段概念及其分类</w:t>
            </w:r>
          </w:p>
          <w:p w14:paraId="12D05FC4">
            <w:pPr>
              <w:jc w:val="left"/>
              <w:rPr>
                <w:rFonts w:hint="eastAsia" w:ascii="宋体" w:hAnsi="宋体" w:eastAsia="宋体" w:cs="Times New Roman"/>
                <w:szCs w:val="21"/>
              </w:rPr>
            </w:pPr>
            <w:r>
              <w:rPr>
                <w:rFonts w:hint="eastAsia" w:ascii="宋体" w:hAnsi="宋体" w:eastAsia="宋体" w:cs="Times New Roman"/>
                <w:szCs w:val="21"/>
              </w:rPr>
              <w:t>2.语音调整应注意问题</w:t>
            </w:r>
          </w:p>
          <w:p w14:paraId="5EF69B86">
            <w:pPr>
              <w:jc w:val="left"/>
              <w:rPr>
                <w:rFonts w:hint="eastAsia" w:ascii="宋体" w:hAnsi="宋体" w:eastAsia="宋体" w:cs="Times New Roman"/>
                <w:szCs w:val="21"/>
              </w:rPr>
            </w:pPr>
            <w:r>
              <w:rPr>
                <w:rFonts w:hint="eastAsia" w:ascii="宋体" w:hAnsi="宋体" w:eastAsia="宋体" w:cs="Times New Roman"/>
                <w:szCs w:val="21"/>
              </w:rPr>
              <w:t>3.词语锤炼的要求</w:t>
            </w:r>
          </w:p>
          <w:p w14:paraId="35B93BCC">
            <w:pPr>
              <w:jc w:val="left"/>
              <w:rPr>
                <w:rFonts w:hint="eastAsia" w:ascii="宋体" w:hAnsi="宋体" w:eastAsia="宋体" w:cs="Times New Roman"/>
                <w:szCs w:val="21"/>
              </w:rPr>
            </w:pPr>
            <w:r>
              <w:rPr>
                <w:rFonts w:hint="eastAsia" w:ascii="宋体" w:hAnsi="宋体" w:eastAsia="宋体" w:cs="Times New Roman"/>
                <w:szCs w:val="21"/>
              </w:rPr>
              <w:t>4.词语锤炼的内容</w:t>
            </w:r>
          </w:p>
          <w:p w14:paraId="1E37CBF7">
            <w:pPr>
              <w:jc w:val="left"/>
              <w:rPr>
                <w:rFonts w:hint="eastAsia" w:ascii="宋体" w:hAnsi="宋体" w:eastAsia="宋体" w:cs="Times New Roman"/>
                <w:szCs w:val="21"/>
              </w:rPr>
            </w:pPr>
            <w:r>
              <w:rPr>
                <w:rFonts w:hint="eastAsia" w:ascii="宋体" w:hAnsi="宋体" w:eastAsia="宋体" w:cs="Times New Roman"/>
                <w:szCs w:val="21"/>
              </w:rPr>
              <w:t>5.词语锤炼与运用的方法</w:t>
            </w:r>
          </w:p>
          <w:p w14:paraId="5D9887D0">
            <w:pPr>
              <w:jc w:val="left"/>
              <w:rPr>
                <w:rFonts w:hint="eastAsia" w:ascii="宋体" w:hAnsi="宋体" w:eastAsia="宋体" w:cs="Times New Roman"/>
                <w:szCs w:val="21"/>
              </w:rPr>
            </w:pPr>
            <w:r>
              <w:rPr>
                <w:rFonts w:hint="eastAsia" w:ascii="宋体" w:hAnsi="宋体" w:eastAsia="宋体" w:cs="Times New Roman"/>
                <w:szCs w:val="21"/>
              </w:rPr>
              <w:t>6.长句和短句选择</w:t>
            </w:r>
          </w:p>
          <w:p w14:paraId="3F9F2289">
            <w:pPr>
              <w:jc w:val="left"/>
              <w:rPr>
                <w:rFonts w:hint="eastAsia" w:ascii="宋体" w:hAnsi="宋体" w:eastAsia="宋体" w:cs="Times New Roman"/>
                <w:szCs w:val="21"/>
              </w:rPr>
            </w:pPr>
            <w:r>
              <w:rPr>
                <w:rFonts w:hint="eastAsia" w:ascii="宋体" w:hAnsi="宋体" w:eastAsia="宋体" w:cs="Times New Roman"/>
                <w:szCs w:val="21"/>
              </w:rPr>
              <w:t>7.整句和散句选择</w:t>
            </w:r>
          </w:p>
          <w:p w14:paraId="56FCB1CB">
            <w:pPr>
              <w:jc w:val="left"/>
              <w:rPr>
                <w:rFonts w:hint="eastAsia" w:ascii="宋体" w:hAnsi="宋体" w:eastAsia="宋体" w:cs="Times New Roman"/>
                <w:szCs w:val="21"/>
              </w:rPr>
            </w:pPr>
            <w:r>
              <w:rPr>
                <w:rFonts w:hint="eastAsia" w:ascii="宋体" w:hAnsi="宋体" w:eastAsia="宋体" w:cs="Times New Roman"/>
                <w:szCs w:val="21"/>
              </w:rPr>
              <w:t>8.肯定句和否定句选择</w:t>
            </w:r>
          </w:p>
          <w:p w14:paraId="373D9249">
            <w:pPr>
              <w:jc w:val="left"/>
              <w:rPr>
                <w:rFonts w:hint="eastAsia" w:ascii="宋体" w:hAnsi="宋体" w:eastAsia="宋体" w:cs="Times New Roman"/>
                <w:szCs w:val="21"/>
              </w:rPr>
            </w:pPr>
            <w:r>
              <w:rPr>
                <w:rFonts w:hint="eastAsia" w:ascii="宋体" w:hAnsi="宋体" w:eastAsia="宋体" w:cs="Times New Roman"/>
                <w:szCs w:val="21"/>
              </w:rPr>
              <w:t>9.主动句和被动句选择</w:t>
            </w:r>
          </w:p>
          <w:p w14:paraId="5021D6AE">
            <w:pPr>
              <w:jc w:val="left"/>
              <w:rPr>
                <w:rFonts w:hint="eastAsia" w:ascii="宋体" w:hAnsi="宋体" w:eastAsia="宋体" w:cs="Times New Roman"/>
                <w:szCs w:val="21"/>
              </w:rPr>
            </w:pPr>
            <w:r>
              <w:rPr>
                <w:rFonts w:hint="eastAsia" w:ascii="宋体" w:hAnsi="宋体" w:eastAsia="宋体" w:cs="Times New Roman"/>
                <w:szCs w:val="21"/>
              </w:rPr>
              <w:t>10.设问句和否定句选择</w:t>
            </w:r>
          </w:p>
          <w:p w14:paraId="3D35BB16">
            <w:pPr>
              <w:jc w:val="left"/>
              <w:rPr>
                <w:rFonts w:hint="eastAsia" w:ascii="宋体" w:hAnsi="宋体" w:eastAsia="宋体" w:cs="Times New Roman"/>
                <w:szCs w:val="21"/>
              </w:rPr>
            </w:pPr>
            <w:r>
              <w:rPr>
                <w:rFonts w:hint="eastAsia" w:ascii="宋体" w:hAnsi="宋体" w:eastAsia="宋体" w:cs="Times New Roman"/>
                <w:szCs w:val="21"/>
              </w:rPr>
              <w:t>11.常式句和变式句</w:t>
            </w:r>
          </w:p>
        </w:tc>
        <w:tc>
          <w:tcPr>
            <w:tcW w:w="1560" w:type="dxa"/>
            <w:vAlign w:val="center"/>
          </w:tcPr>
          <w:p w14:paraId="515707B8">
            <w:pPr>
              <w:jc w:val="left"/>
              <w:rPr>
                <w:rFonts w:hint="eastAsia" w:ascii="宋体" w:hAnsi="宋体" w:eastAsia="宋体" w:cs="Times New Roman"/>
                <w:szCs w:val="21"/>
              </w:rPr>
            </w:pPr>
            <w:r>
              <w:rPr>
                <w:rFonts w:hint="eastAsia" w:ascii="宋体" w:hAnsi="宋体" w:eastAsia="宋体" w:cs="Times New Roman"/>
                <w:szCs w:val="21"/>
              </w:rPr>
              <w:t>1.线下学习</w:t>
            </w:r>
          </w:p>
          <w:p w14:paraId="12CFF7B0">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4F5DC63F">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5B8B3846">
            <w:pPr>
              <w:jc w:val="center"/>
              <w:rPr>
                <w:rFonts w:hint="eastAsia" w:ascii="宋体" w:hAnsi="宋体" w:eastAsia="宋体" w:cs="Times New Roman"/>
                <w:szCs w:val="21"/>
              </w:rPr>
            </w:pPr>
            <w:r>
              <w:rPr>
                <w:rFonts w:hint="eastAsia" w:ascii="宋体" w:hAnsi="宋体" w:eastAsia="宋体" w:cs="Times New Roman"/>
                <w:szCs w:val="21"/>
              </w:rPr>
              <w:t>8</w:t>
            </w:r>
          </w:p>
        </w:tc>
      </w:tr>
      <w:tr w14:paraId="1D4B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vAlign w:val="center"/>
          </w:tcPr>
          <w:p w14:paraId="5E24ED91">
            <w:pPr>
              <w:jc w:val="center"/>
              <w:rPr>
                <w:rFonts w:hint="eastAsia" w:ascii="宋体" w:hAnsi="宋体" w:eastAsia="宋体" w:cs="Times New Roman"/>
                <w:szCs w:val="21"/>
              </w:rPr>
            </w:pPr>
          </w:p>
        </w:tc>
        <w:tc>
          <w:tcPr>
            <w:tcW w:w="8280" w:type="dxa"/>
            <w:gridSpan w:val="5"/>
            <w:vAlign w:val="center"/>
          </w:tcPr>
          <w:p w14:paraId="49BAC60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通过教学，使学生掌握修辞手段的概念及分类，理解语音调整、词语锤炼、句子选择的重要性。重点讲授音节匀称、平仄安排、韵脚和谐等语音技巧，词语锤炼的要求与内容，以及12种句式的特点与修辞效果。难点在于引导学生正确运用这些修辞手段，培养语言美感和创造力，为成为具有高超语言艺术修养的人才打下基础。</w:t>
            </w:r>
          </w:p>
        </w:tc>
      </w:tr>
      <w:tr w14:paraId="39D6D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vAlign w:val="center"/>
          </w:tcPr>
          <w:p w14:paraId="70EE7FC2">
            <w:pPr>
              <w:numPr>
                <w:ilvl w:val="0"/>
                <w:numId w:val="53"/>
              </w:numPr>
              <w:jc w:val="center"/>
              <w:rPr>
                <w:rFonts w:hint="eastAsia" w:ascii="宋体" w:hAnsi="宋体" w:eastAsia="宋体" w:cs="Times New Roman"/>
                <w:szCs w:val="21"/>
              </w:rPr>
            </w:pPr>
            <w:r>
              <w:rPr>
                <w:rFonts w:hint="eastAsia" w:ascii="宋体" w:hAnsi="宋体" w:eastAsia="宋体" w:cs="Times New Roman"/>
                <w:szCs w:val="21"/>
              </w:rPr>
              <w:t>修辞</w:t>
            </w:r>
          </w:p>
          <w:p w14:paraId="08A8317D">
            <w:pPr>
              <w:jc w:val="center"/>
              <w:rPr>
                <w:rFonts w:hint="eastAsia" w:ascii="宋体" w:hAnsi="宋体" w:eastAsia="宋体" w:cs="Times New Roman"/>
                <w:szCs w:val="21"/>
              </w:rPr>
            </w:pPr>
            <w:r>
              <w:rPr>
                <w:rFonts w:hint="eastAsia" w:ascii="宋体" w:hAnsi="宋体" w:eastAsia="宋体" w:cs="Times New Roman"/>
                <w:szCs w:val="21"/>
              </w:rPr>
              <w:t>方法</w:t>
            </w:r>
          </w:p>
        </w:tc>
        <w:tc>
          <w:tcPr>
            <w:tcW w:w="1888" w:type="dxa"/>
            <w:vAlign w:val="center"/>
          </w:tcPr>
          <w:p w14:paraId="377F2D33">
            <w:pPr>
              <w:jc w:val="left"/>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形式化修辞方法</w:t>
            </w:r>
          </w:p>
          <w:p w14:paraId="24F5DE7D">
            <w:pPr>
              <w:jc w:val="left"/>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意义化修辞方法</w:t>
            </w:r>
          </w:p>
        </w:tc>
        <w:tc>
          <w:tcPr>
            <w:tcW w:w="1134" w:type="dxa"/>
            <w:vAlign w:val="center"/>
          </w:tcPr>
          <w:p w14:paraId="0765168A">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3260" w:type="dxa"/>
            <w:vAlign w:val="center"/>
          </w:tcPr>
          <w:p w14:paraId="4C1E574B">
            <w:pPr>
              <w:jc w:val="left"/>
              <w:rPr>
                <w:rFonts w:hint="eastAsia" w:ascii="宋体" w:hAnsi="宋体" w:eastAsia="宋体" w:cs="Times New Roman"/>
                <w:szCs w:val="21"/>
              </w:rPr>
            </w:pPr>
            <w:r>
              <w:rPr>
                <w:rFonts w:hint="eastAsia" w:ascii="宋体" w:hAnsi="宋体" w:eastAsia="宋体" w:cs="Times New Roman"/>
                <w:szCs w:val="21"/>
              </w:rPr>
              <w:t>1.对偶、排比、反复、顶真和回环的概念内涵</w:t>
            </w:r>
          </w:p>
          <w:p w14:paraId="4307A3B3">
            <w:pPr>
              <w:jc w:val="left"/>
              <w:rPr>
                <w:rFonts w:hint="eastAsia" w:ascii="宋体" w:hAnsi="宋体" w:eastAsia="宋体" w:cs="Times New Roman"/>
                <w:szCs w:val="21"/>
              </w:rPr>
            </w:pPr>
            <w:r>
              <w:rPr>
                <w:rFonts w:hint="eastAsia" w:ascii="宋体" w:hAnsi="宋体" w:eastAsia="宋体" w:cs="Times New Roman"/>
                <w:szCs w:val="21"/>
              </w:rPr>
              <w:t>2.对偶、排比、反复、顶真和回环的类型</w:t>
            </w:r>
          </w:p>
          <w:p w14:paraId="171FE07F">
            <w:pPr>
              <w:jc w:val="left"/>
              <w:rPr>
                <w:rFonts w:hint="eastAsia" w:ascii="宋体" w:hAnsi="宋体" w:eastAsia="宋体" w:cs="Times New Roman"/>
                <w:szCs w:val="21"/>
              </w:rPr>
            </w:pPr>
            <w:r>
              <w:rPr>
                <w:rFonts w:hint="eastAsia" w:ascii="宋体" w:hAnsi="宋体" w:eastAsia="宋体" w:cs="Times New Roman"/>
                <w:szCs w:val="21"/>
              </w:rPr>
              <w:t>3.对偶、排比、反复、顶真和回环的修辞效果</w:t>
            </w:r>
          </w:p>
          <w:p w14:paraId="3CF43324">
            <w:pPr>
              <w:jc w:val="left"/>
              <w:rPr>
                <w:rFonts w:hint="eastAsia" w:ascii="宋体" w:hAnsi="宋体" w:eastAsia="宋体" w:cs="Times New Roman"/>
                <w:szCs w:val="21"/>
              </w:rPr>
            </w:pPr>
            <w:r>
              <w:rPr>
                <w:rFonts w:hint="eastAsia" w:ascii="宋体" w:hAnsi="宋体" w:eastAsia="宋体" w:cs="Times New Roman"/>
                <w:szCs w:val="21"/>
              </w:rPr>
              <w:t>4.比喻、借代、夸张、双关、移就和拈连的概念内涵</w:t>
            </w:r>
          </w:p>
          <w:p w14:paraId="7F5ABF18">
            <w:pPr>
              <w:jc w:val="left"/>
              <w:rPr>
                <w:rFonts w:hint="eastAsia" w:ascii="宋体" w:hAnsi="宋体" w:eastAsia="宋体" w:cs="Times New Roman"/>
                <w:szCs w:val="21"/>
              </w:rPr>
            </w:pPr>
            <w:r>
              <w:rPr>
                <w:rFonts w:hint="eastAsia" w:ascii="宋体" w:hAnsi="宋体" w:eastAsia="宋体" w:cs="Times New Roman"/>
                <w:szCs w:val="21"/>
              </w:rPr>
              <w:t>5.比喻、借代、夸张、双关、移就和拈连的类型</w:t>
            </w:r>
          </w:p>
          <w:p w14:paraId="576205CF">
            <w:pPr>
              <w:jc w:val="left"/>
              <w:rPr>
                <w:rFonts w:hint="eastAsia" w:ascii="宋体" w:hAnsi="宋体" w:eastAsia="宋体" w:cs="Times New Roman"/>
                <w:szCs w:val="21"/>
              </w:rPr>
            </w:pPr>
            <w:r>
              <w:rPr>
                <w:rFonts w:hint="eastAsia" w:ascii="宋体" w:hAnsi="宋体" w:eastAsia="宋体" w:cs="Times New Roman"/>
                <w:szCs w:val="21"/>
              </w:rPr>
              <w:t>6.比喻、借代、夸张、双关、移就和拈连的修辞效果</w:t>
            </w:r>
          </w:p>
        </w:tc>
        <w:tc>
          <w:tcPr>
            <w:tcW w:w="1560" w:type="dxa"/>
            <w:vAlign w:val="center"/>
          </w:tcPr>
          <w:p w14:paraId="6685CD68">
            <w:pPr>
              <w:jc w:val="left"/>
              <w:rPr>
                <w:rFonts w:hint="eastAsia" w:ascii="宋体" w:hAnsi="宋体" w:eastAsia="宋体" w:cs="Times New Roman"/>
                <w:szCs w:val="21"/>
              </w:rPr>
            </w:pPr>
            <w:r>
              <w:rPr>
                <w:rFonts w:ascii="宋体" w:hAnsi="宋体" w:eastAsia="宋体" w:cs="Times New Roman"/>
                <w:szCs w:val="21"/>
              </w:rPr>
              <w:t>1.线</w:t>
            </w:r>
            <w:r>
              <w:rPr>
                <w:rFonts w:hint="eastAsia" w:ascii="宋体" w:hAnsi="宋体" w:eastAsia="宋体" w:cs="Times New Roman"/>
                <w:szCs w:val="21"/>
              </w:rPr>
              <w:t>下</w:t>
            </w:r>
            <w:r>
              <w:rPr>
                <w:rFonts w:ascii="宋体" w:hAnsi="宋体" w:eastAsia="宋体" w:cs="Times New Roman"/>
                <w:szCs w:val="21"/>
              </w:rPr>
              <w:t>学习</w:t>
            </w:r>
          </w:p>
          <w:p w14:paraId="36260E9C">
            <w:pPr>
              <w:jc w:val="left"/>
              <w:rPr>
                <w:rFonts w:hint="eastAsia" w:ascii="宋体" w:hAnsi="宋体" w:eastAsia="宋体" w:cs="Times New Roman"/>
                <w:szCs w:val="21"/>
              </w:rPr>
            </w:pPr>
            <w:r>
              <w:rPr>
                <w:rFonts w:ascii="宋体" w:hAnsi="宋体" w:eastAsia="宋体" w:cs="Times New Roman"/>
                <w:szCs w:val="21"/>
              </w:rPr>
              <w:t>2.多媒体教学3.课堂讨论</w:t>
            </w:r>
          </w:p>
          <w:p w14:paraId="6D0B4BDD">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656A4B47">
            <w:pPr>
              <w:jc w:val="center"/>
              <w:rPr>
                <w:rFonts w:hint="eastAsia" w:ascii="宋体" w:hAnsi="宋体" w:eastAsia="宋体" w:cs="Times New Roman"/>
                <w:szCs w:val="21"/>
              </w:rPr>
            </w:pPr>
            <w:r>
              <w:rPr>
                <w:rFonts w:hint="eastAsia" w:ascii="宋体" w:hAnsi="宋体" w:eastAsia="宋体" w:cs="Times New Roman"/>
                <w:szCs w:val="21"/>
              </w:rPr>
              <w:t>12</w:t>
            </w:r>
          </w:p>
        </w:tc>
      </w:tr>
      <w:tr w14:paraId="133B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vAlign w:val="center"/>
          </w:tcPr>
          <w:p w14:paraId="01C9B997">
            <w:pPr>
              <w:jc w:val="center"/>
              <w:rPr>
                <w:rFonts w:hint="eastAsia" w:ascii="宋体" w:hAnsi="宋体" w:eastAsia="宋体" w:cs="Times New Roman"/>
                <w:szCs w:val="21"/>
              </w:rPr>
            </w:pPr>
          </w:p>
        </w:tc>
        <w:tc>
          <w:tcPr>
            <w:tcW w:w="8280" w:type="dxa"/>
            <w:gridSpan w:val="5"/>
            <w:vAlign w:val="center"/>
          </w:tcPr>
          <w:p w14:paraId="32E195C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教学，使学生掌握形式化修辞方法（对偶、排比、反复、顶真、回环）与意义化修辞方法（比喻、借代、夸张、双关、移就、拈连）的概念、类型及修辞效果。教学重点在于深入理解这十种修辞格，教学难点则在于引导学生正确运用这些修辞格，增强语言表达的生动性与感染力，培养高尚的语言审美情操。</w:t>
            </w:r>
          </w:p>
        </w:tc>
      </w:tr>
      <w:tr w14:paraId="47A9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vAlign w:val="center"/>
          </w:tcPr>
          <w:p w14:paraId="6C60E276">
            <w:pPr>
              <w:numPr>
                <w:ilvl w:val="0"/>
                <w:numId w:val="53"/>
              </w:numPr>
              <w:jc w:val="center"/>
              <w:rPr>
                <w:rFonts w:hint="eastAsia" w:ascii="宋体" w:hAnsi="宋体" w:eastAsia="宋体" w:cs="Times New Roman"/>
                <w:szCs w:val="21"/>
              </w:rPr>
            </w:pPr>
            <w:r>
              <w:rPr>
                <w:rFonts w:hint="eastAsia" w:ascii="宋体" w:hAnsi="宋体" w:eastAsia="宋体" w:cs="Times New Roman"/>
                <w:szCs w:val="21"/>
              </w:rPr>
              <w:t>修辞</w:t>
            </w:r>
          </w:p>
          <w:p w14:paraId="5BDCCC37">
            <w:pPr>
              <w:jc w:val="center"/>
              <w:rPr>
                <w:rFonts w:hint="eastAsia" w:ascii="宋体" w:hAnsi="宋体" w:eastAsia="宋体" w:cs="Times New Roman"/>
                <w:szCs w:val="21"/>
              </w:rPr>
            </w:pPr>
            <w:r>
              <w:rPr>
                <w:rFonts w:hint="eastAsia" w:ascii="宋体" w:hAnsi="宋体" w:eastAsia="宋体" w:cs="Times New Roman"/>
                <w:szCs w:val="21"/>
              </w:rPr>
              <w:t>规律</w:t>
            </w:r>
          </w:p>
        </w:tc>
        <w:tc>
          <w:tcPr>
            <w:tcW w:w="1888" w:type="dxa"/>
            <w:vAlign w:val="center"/>
          </w:tcPr>
          <w:p w14:paraId="409343DB">
            <w:pPr>
              <w:jc w:val="left"/>
              <w:rPr>
                <w:rFonts w:hint="eastAsia" w:ascii="宋体" w:hAnsi="宋体" w:eastAsia="宋体" w:cs="Times New Roman"/>
                <w:szCs w:val="21"/>
              </w:rPr>
            </w:pPr>
            <w:r>
              <w:rPr>
                <w:rFonts w:hint="eastAsia" w:ascii="宋体" w:hAnsi="宋体" w:eastAsia="宋体" w:cs="Times New Roman"/>
                <w:szCs w:val="21"/>
              </w:rPr>
              <w:t>（1）修辞应切合言语动机</w:t>
            </w:r>
          </w:p>
          <w:p w14:paraId="6C9EF548">
            <w:pPr>
              <w:jc w:val="left"/>
              <w:rPr>
                <w:rFonts w:hint="eastAsia" w:ascii="宋体" w:hAnsi="宋体" w:eastAsia="宋体" w:cs="Times New Roman"/>
                <w:szCs w:val="21"/>
              </w:rPr>
            </w:pPr>
            <w:r>
              <w:rPr>
                <w:rFonts w:hint="eastAsia" w:ascii="宋体" w:hAnsi="宋体" w:eastAsia="宋体" w:cs="Times New Roman"/>
                <w:szCs w:val="21"/>
              </w:rPr>
              <w:t>（2）修辞应符合汉语的结构规律</w:t>
            </w:r>
          </w:p>
          <w:p w14:paraId="2934CB5C">
            <w:pPr>
              <w:jc w:val="left"/>
              <w:rPr>
                <w:rFonts w:hint="eastAsia" w:ascii="宋体" w:hAnsi="宋体" w:eastAsia="宋体" w:cs="Times New Roman"/>
                <w:szCs w:val="21"/>
              </w:rPr>
            </w:pPr>
            <w:r>
              <w:rPr>
                <w:rFonts w:hint="eastAsia" w:ascii="宋体" w:hAnsi="宋体" w:eastAsia="宋体" w:cs="Times New Roman"/>
                <w:szCs w:val="21"/>
              </w:rPr>
              <w:t>（3）修辞应切合语境</w:t>
            </w:r>
          </w:p>
          <w:p w14:paraId="696A5A2B">
            <w:pPr>
              <w:jc w:val="left"/>
              <w:rPr>
                <w:rFonts w:hint="eastAsia" w:ascii="宋体" w:hAnsi="宋体" w:eastAsia="宋体" w:cs="Times New Roman"/>
                <w:szCs w:val="21"/>
              </w:rPr>
            </w:pPr>
            <w:r>
              <w:rPr>
                <w:rFonts w:hint="eastAsia" w:ascii="宋体" w:hAnsi="宋体" w:eastAsia="宋体" w:cs="Times New Roman"/>
                <w:szCs w:val="21"/>
              </w:rPr>
              <w:t>（4）修辞应符合语体规范</w:t>
            </w:r>
          </w:p>
          <w:p w14:paraId="301203FB">
            <w:pPr>
              <w:jc w:val="left"/>
              <w:rPr>
                <w:rFonts w:hint="eastAsia" w:ascii="宋体" w:hAnsi="宋体" w:eastAsia="宋体" w:cs="Times New Roman"/>
                <w:szCs w:val="21"/>
              </w:rPr>
            </w:pPr>
            <w:r>
              <w:rPr>
                <w:rFonts w:hint="eastAsia" w:ascii="宋体" w:hAnsi="宋体" w:eastAsia="宋体" w:cs="Times New Roman"/>
                <w:szCs w:val="21"/>
              </w:rPr>
              <w:t>（5）修辞应切合风格要求</w:t>
            </w:r>
          </w:p>
        </w:tc>
        <w:tc>
          <w:tcPr>
            <w:tcW w:w="1134" w:type="dxa"/>
            <w:vAlign w:val="center"/>
          </w:tcPr>
          <w:p w14:paraId="3E2F7E4A">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3260" w:type="dxa"/>
            <w:vAlign w:val="center"/>
          </w:tcPr>
          <w:p w14:paraId="3F0CA903">
            <w:pPr>
              <w:jc w:val="left"/>
              <w:rPr>
                <w:rFonts w:hint="eastAsia" w:ascii="宋体" w:hAnsi="宋体" w:eastAsia="宋体" w:cs="Times New Roman"/>
                <w:szCs w:val="21"/>
              </w:rPr>
            </w:pPr>
            <w:r>
              <w:rPr>
                <w:rFonts w:hint="eastAsia" w:ascii="宋体" w:hAnsi="宋体" w:eastAsia="宋体" w:cs="Times New Roman"/>
                <w:szCs w:val="21"/>
              </w:rPr>
              <w:t>1.修辞应符合语体规范</w:t>
            </w:r>
          </w:p>
          <w:p w14:paraId="63BCA08B">
            <w:pPr>
              <w:jc w:val="left"/>
              <w:rPr>
                <w:rFonts w:hint="eastAsia" w:ascii="宋体" w:hAnsi="宋体" w:eastAsia="宋体" w:cs="Times New Roman"/>
                <w:szCs w:val="21"/>
              </w:rPr>
            </w:pPr>
            <w:r>
              <w:rPr>
                <w:rFonts w:hint="eastAsia" w:ascii="宋体" w:hAnsi="宋体" w:eastAsia="宋体" w:cs="Times New Roman"/>
                <w:szCs w:val="21"/>
              </w:rPr>
              <w:t>2.修辞应切合风格要求</w:t>
            </w:r>
          </w:p>
          <w:p w14:paraId="5667E723">
            <w:pPr>
              <w:jc w:val="left"/>
              <w:rPr>
                <w:rFonts w:hint="eastAsia" w:ascii="宋体" w:hAnsi="宋体" w:eastAsia="宋体" w:cs="Times New Roman"/>
                <w:szCs w:val="21"/>
              </w:rPr>
            </w:pPr>
            <w:r>
              <w:rPr>
                <w:rFonts w:hint="eastAsia" w:ascii="宋体" w:hAnsi="宋体" w:eastAsia="宋体" w:cs="Times New Roman"/>
                <w:szCs w:val="21"/>
              </w:rPr>
              <w:t>3.修辞应切合语境</w:t>
            </w:r>
          </w:p>
        </w:tc>
        <w:tc>
          <w:tcPr>
            <w:tcW w:w="1560" w:type="dxa"/>
            <w:vAlign w:val="center"/>
          </w:tcPr>
          <w:p w14:paraId="6B1B001B">
            <w:pPr>
              <w:jc w:val="left"/>
              <w:rPr>
                <w:rFonts w:hint="eastAsia" w:ascii="宋体" w:hAnsi="宋体" w:eastAsia="宋体" w:cs="Times New Roman"/>
                <w:szCs w:val="21"/>
              </w:rPr>
            </w:pPr>
            <w:r>
              <w:rPr>
                <w:rFonts w:ascii="宋体" w:hAnsi="宋体" w:eastAsia="宋体" w:cs="Times New Roman"/>
                <w:szCs w:val="21"/>
              </w:rPr>
              <w:t>1.线</w:t>
            </w:r>
            <w:r>
              <w:rPr>
                <w:rFonts w:hint="eastAsia" w:ascii="宋体" w:hAnsi="宋体" w:eastAsia="宋体" w:cs="Times New Roman"/>
                <w:szCs w:val="21"/>
              </w:rPr>
              <w:t>下</w:t>
            </w:r>
            <w:r>
              <w:rPr>
                <w:rFonts w:ascii="宋体" w:hAnsi="宋体" w:eastAsia="宋体" w:cs="Times New Roman"/>
                <w:szCs w:val="21"/>
              </w:rPr>
              <w:t>学习</w:t>
            </w:r>
          </w:p>
          <w:p w14:paraId="05DFF636">
            <w:pPr>
              <w:jc w:val="left"/>
              <w:rPr>
                <w:rFonts w:hint="eastAsia" w:ascii="宋体" w:hAnsi="宋体" w:eastAsia="宋体" w:cs="Times New Roman"/>
                <w:szCs w:val="21"/>
              </w:rPr>
            </w:pPr>
            <w:r>
              <w:rPr>
                <w:rFonts w:ascii="宋体" w:hAnsi="宋体" w:eastAsia="宋体" w:cs="Times New Roman"/>
                <w:szCs w:val="21"/>
              </w:rPr>
              <w:t>2.多媒体教学3.课堂讨论</w:t>
            </w:r>
          </w:p>
          <w:p w14:paraId="7BF52664">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06CED40D">
            <w:pPr>
              <w:jc w:val="center"/>
              <w:rPr>
                <w:rFonts w:hint="eastAsia" w:ascii="宋体" w:hAnsi="宋体" w:eastAsia="宋体" w:cs="Times New Roman"/>
                <w:szCs w:val="21"/>
              </w:rPr>
            </w:pPr>
            <w:r>
              <w:rPr>
                <w:rFonts w:hint="eastAsia" w:ascii="宋体" w:hAnsi="宋体" w:eastAsia="宋体" w:cs="Times New Roman"/>
                <w:szCs w:val="21"/>
              </w:rPr>
              <w:t>6</w:t>
            </w:r>
          </w:p>
        </w:tc>
      </w:tr>
      <w:tr w14:paraId="0807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vAlign w:val="center"/>
          </w:tcPr>
          <w:p w14:paraId="52244183">
            <w:pPr>
              <w:jc w:val="center"/>
              <w:rPr>
                <w:rFonts w:hint="eastAsia" w:ascii="宋体" w:hAnsi="宋体" w:eastAsia="宋体" w:cs="Times New Roman"/>
                <w:szCs w:val="21"/>
              </w:rPr>
            </w:pPr>
          </w:p>
        </w:tc>
        <w:tc>
          <w:tcPr>
            <w:tcW w:w="8280" w:type="dxa"/>
            <w:gridSpan w:val="5"/>
            <w:vAlign w:val="center"/>
          </w:tcPr>
          <w:p w14:paraId="53F20DCA">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旨在使学生理解修辞需切合言语动机、符合汉语结构、切合语境、符合语体规范及风格要求的重要性。教学重点在于修辞的语体规范与风格要求，以及语境的切合性。教学难点在于引导学生实践中准确把握语境，遵循语体规范，形成独特修辞风格，提升语言表达的得体性与艺术性。</w:t>
            </w:r>
          </w:p>
        </w:tc>
      </w:tr>
      <w:tr w14:paraId="1B021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restart"/>
            <w:vAlign w:val="center"/>
          </w:tcPr>
          <w:p w14:paraId="2FF634C5">
            <w:pPr>
              <w:numPr>
                <w:ilvl w:val="0"/>
                <w:numId w:val="53"/>
              </w:numPr>
              <w:jc w:val="center"/>
              <w:rPr>
                <w:rFonts w:hint="eastAsia" w:ascii="宋体" w:hAnsi="宋体" w:eastAsia="宋体" w:cs="Times New Roman"/>
                <w:szCs w:val="21"/>
              </w:rPr>
            </w:pPr>
            <w:r>
              <w:rPr>
                <w:rFonts w:hint="eastAsia" w:ascii="宋体" w:hAnsi="宋体" w:eastAsia="宋体" w:cs="Times New Roman"/>
                <w:szCs w:val="21"/>
              </w:rPr>
              <w:t>修辞</w:t>
            </w:r>
          </w:p>
          <w:p w14:paraId="135328F5">
            <w:pPr>
              <w:jc w:val="center"/>
              <w:rPr>
                <w:rFonts w:hint="eastAsia" w:ascii="宋体" w:hAnsi="宋体" w:eastAsia="宋体" w:cs="Times New Roman"/>
                <w:szCs w:val="21"/>
              </w:rPr>
            </w:pPr>
            <w:r>
              <w:rPr>
                <w:rFonts w:hint="eastAsia" w:ascii="宋体" w:hAnsi="宋体" w:eastAsia="宋体" w:cs="Times New Roman"/>
                <w:szCs w:val="21"/>
              </w:rPr>
              <w:t>学史</w:t>
            </w:r>
          </w:p>
        </w:tc>
        <w:tc>
          <w:tcPr>
            <w:tcW w:w="1888" w:type="dxa"/>
            <w:vAlign w:val="center"/>
          </w:tcPr>
          <w:p w14:paraId="78570C1A">
            <w:pPr>
              <w:jc w:val="left"/>
              <w:rPr>
                <w:rFonts w:hint="eastAsia" w:ascii="宋体" w:hAnsi="宋体" w:eastAsia="宋体" w:cs="Times New Roman"/>
                <w:szCs w:val="21"/>
              </w:rPr>
            </w:pPr>
            <w:r>
              <w:rPr>
                <w:rFonts w:hint="eastAsia" w:ascii="宋体" w:hAnsi="宋体" w:eastAsia="宋体" w:cs="Times New Roman"/>
                <w:szCs w:val="21"/>
              </w:rPr>
              <w:t>（1）现代修辞学发展的历程</w:t>
            </w:r>
          </w:p>
          <w:p w14:paraId="3E783E20">
            <w:pPr>
              <w:jc w:val="left"/>
              <w:rPr>
                <w:rFonts w:hint="eastAsia" w:ascii="宋体" w:hAnsi="宋体" w:eastAsia="宋体" w:cs="Times New Roman"/>
                <w:szCs w:val="21"/>
              </w:rPr>
            </w:pPr>
            <w:r>
              <w:rPr>
                <w:rFonts w:hint="eastAsia" w:ascii="宋体" w:hAnsi="宋体" w:eastAsia="宋体" w:cs="Times New Roman"/>
                <w:szCs w:val="21"/>
              </w:rPr>
              <w:t>（2）现代修辞学的现状</w:t>
            </w:r>
          </w:p>
          <w:p w14:paraId="25F4350F">
            <w:pPr>
              <w:jc w:val="left"/>
              <w:rPr>
                <w:rFonts w:hint="eastAsia" w:ascii="宋体" w:hAnsi="宋体" w:eastAsia="宋体" w:cs="Times New Roman"/>
                <w:szCs w:val="21"/>
              </w:rPr>
            </w:pPr>
            <w:r>
              <w:rPr>
                <w:rFonts w:hint="eastAsia" w:ascii="宋体" w:hAnsi="宋体" w:eastAsia="宋体" w:cs="Times New Roman"/>
                <w:szCs w:val="21"/>
              </w:rPr>
              <w:t>（3）现代修辞学发展趋势</w:t>
            </w:r>
          </w:p>
          <w:p w14:paraId="24A4355A">
            <w:pPr>
              <w:jc w:val="left"/>
              <w:rPr>
                <w:rFonts w:hint="eastAsia" w:ascii="宋体" w:hAnsi="宋体" w:eastAsia="宋体" w:cs="Times New Roman"/>
                <w:szCs w:val="21"/>
              </w:rPr>
            </w:pPr>
          </w:p>
        </w:tc>
        <w:tc>
          <w:tcPr>
            <w:tcW w:w="1134" w:type="dxa"/>
            <w:vAlign w:val="center"/>
          </w:tcPr>
          <w:p w14:paraId="4A9F7A50">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0" w:type="dxa"/>
            <w:vAlign w:val="center"/>
          </w:tcPr>
          <w:p w14:paraId="632426E0">
            <w:pPr>
              <w:numPr>
                <w:ilvl w:val="0"/>
                <w:numId w:val="54"/>
              </w:numPr>
              <w:jc w:val="left"/>
              <w:rPr>
                <w:rFonts w:hint="eastAsia" w:ascii="宋体" w:hAnsi="宋体" w:eastAsia="宋体" w:cs="Times New Roman"/>
                <w:szCs w:val="21"/>
              </w:rPr>
            </w:pPr>
            <w:r>
              <w:rPr>
                <w:rFonts w:hint="eastAsia" w:ascii="宋体" w:hAnsi="宋体" w:eastAsia="宋体" w:cs="Times New Roman"/>
                <w:szCs w:val="21"/>
              </w:rPr>
              <w:t>现代修辞学的现状</w:t>
            </w:r>
          </w:p>
          <w:p w14:paraId="7CF45B14">
            <w:pPr>
              <w:numPr>
                <w:ilvl w:val="0"/>
                <w:numId w:val="54"/>
              </w:numPr>
              <w:jc w:val="left"/>
              <w:rPr>
                <w:rFonts w:hint="eastAsia" w:ascii="宋体" w:hAnsi="宋体" w:eastAsia="宋体" w:cs="Times New Roman"/>
                <w:szCs w:val="21"/>
              </w:rPr>
            </w:pPr>
            <w:r>
              <w:rPr>
                <w:rFonts w:hint="eastAsia" w:ascii="宋体" w:hAnsi="宋体" w:eastAsia="宋体" w:cs="Times New Roman"/>
                <w:szCs w:val="21"/>
              </w:rPr>
              <w:t>现代修辞学发展趋势</w:t>
            </w:r>
          </w:p>
        </w:tc>
        <w:tc>
          <w:tcPr>
            <w:tcW w:w="1560" w:type="dxa"/>
            <w:vAlign w:val="center"/>
          </w:tcPr>
          <w:p w14:paraId="45570A32">
            <w:pPr>
              <w:jc w:val="left"/>
              <w:rPr>
                <w:rFonts w:hint="eastAsia" w:ascii="宋体" w:hAnsi="宋体" w:eastAsia="宋体" w:cs="Times New Roman"/>
                <w:szCs w:val="21"/>
              </w:rPr>
            </w:pPr>
            <w:r>
              <w:rPr>
                <w:rFonts w:ascii="宋体" w:hAnsi="宋体" w:eastAsia="宋体" w:cs="Times New Roman"/>
                <w:szCs w:val="21"/>
              </w:rPr>
              <w:t>1.线</w:t>
            </w:r>
            <w:r>
              <w:rPr>
                <w:rFonts w:hint="eastAsia" w:ascii="宋体" w:hAnsi="宋体" w:eastAsia="宋体" w:cs="Times New Roman"/>
                <w:szCs w:val="21"/>
              </w:rPr>
              <w:t>下</w:t>
            </w:r>
            <w:r>
              <w:rPr>
                <w:rFonts w:ascii="宋体" w:hAnsi="宋体" w:eastAsia="宋体" w:cs="Times New Roman"/>
                <w:szCs w:val="21"/>
              </w:rPr>
              <w:t>学习</w:t>
            </w:r>
          </w:p>
          <w:p w14:paraId="372F0ACA">
            <w:pPr>
              <w:jc w:val="left"/>
              <w:rPr>
                <w:rFonts w:hint="eastAsia" w:ascii="宋体" w:hAnsi="宋体" w:eastAsia="宋体" w:cs="Times New Roman"/>
                <w:szCs w:val="21"/>
              </w:rPr>
            </w:pPr>
            <w:r>
              <w:rPr>
                <w:rFonts w:ascii="宋体" w:hAnsi="宋体" w:eastAsia="宋体" w:cs="Times New Roman"/>
                <w:szCs w:val="21"/>
              </w:rPr>
              <w:t>2.多媒体教学3.课堂讨论</w:t>
            </w:r>
          </w:p>
          <w:p w14:paraId="22BDAD11">
            <w:pPr>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61A53C2A">
            <w:pPr>
              <w:jc w:val="center"/>
              <w:rPr>
                <w:rFonts w:hint="eastAsia" w:ascii="宋体" w:hAnsi="宋体" w:eastAsia="宋体" w:cs="Times New Roman"/>
                <w:szCs w:val="21"/>
              </w:rPr>
            </w:pPr>
            <w:r>
              <w:rPr>
                <w:rFonts w:hint="eastAsia" w:ascii="宋体" w:hAnsi="宋体" w:eastAsia="宋体" w:cs="Times New Roman"/>
                <w:szCs w:val="21"/>
              </w:rPr>
              <w:t>4</w:t>
            </w:r>
          </w:p>
        </w:tc>
      </w:tr>
      <w:tr w14:paraId="1B376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Merge w:val="continue"/>
            <w:vAlign w:val="center"/>
          </w:tcPr>
          <w:p w14:paraId="39A1432C">
            <w:pPr>
              <w:jc w:val="center"/>
              <w:rPr>
                <w:rFonts w:hint="eastAsia" w:ascii="宋体" w:hAnsi="宋体" w:eastAsia="宋体" w:cs="Times New Roman"/>
                <w:szCs w:val="21"/>
              </w:rPr>
            </w:pPr>
          </w:p>
        </w:tc>
        <w:tc>
          <w:tcPr>
            <w:tcW w:w="8280" w:type="dxa"/>
            <w:gridSpan w:val="5"/>
            <w:vAlign w:val="center"/>
          </w:tcPr>
          <w:p w14:paraId="7A9AAEF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教学，使学生了解现代修辞学的发展历程，认识其当前现状，并探讨未来发展趋势。教学重点在于让学生掌握现代修辞学的现状与发展趋势，教学难点在于引导学生深入理解并思考修辞学在现代社会中的应用与前景，培养前瞻性的语言修辞观念。</w:t>
            </w:r>
          </w:p>
        </w:tc>
      </w:tr>
    </w:tbl>
    <w:p w14:paraId="37284D5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202BC9A4">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4AE3538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6"/>
        <w:gridCol w:w="1773"/>
        <w:gridCol w:w="2101"/>
        <w:gridCol w:w="2274"/>
      </w:tblGrid>
      <w:tr w14:paraId="27132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vMerge w:val="restart"/>
            <w:vAlign w:val="center"/>
          </w:tcPr>
          <w:p w14:paraId="0E08F9D4">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046" w:type="dxa"/>
            <w:gridSpan w:val="2"/>
            <w:vAlign w:val="center"/>
          </w:tcPr>
          <w:p w14:paraId="0964F6F0">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788" w:type="dxa"/>
            <w:vMerge w:val="restart"/>
            <w:vAlign w:val="center"/>
          </w:tcPr>
          <w:p w14:paraId="0161FC28">
            <w:pPr>
              <w:jc w:val="center"/>
              <w:rPr>
                <w:rFonts w:hint="eastAsia" w:ascii="宋体" w:hAnsi="宋体" w:eastAsia="宋体" w:cs="Times New Roman"/>
                <w:szCs w:val="21"/>
              </w:rPr>
            </w:pPr>
            <w:r>
              <w:rPr>
                <w:rFonts w:hint="eastAsia" w:ascii="宋体" w:hAnsi="宋体" w:eastAsia="宋体" w:cs="Times New Roman"/>
                <w:szCs w:val="21"/>
              </w:rPr>
              <w:t>分值</w:t>
            </w:r>
          </w:p>
        </w:tc>
      </w:tr>
      <w:tr w14:paraId="5D79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852" w:type="dxa"/>
            <w:vMerge w:val="continue"/>
            <w:vAlign w:val="center"/>
          </w:tcPr>
          <w:p w14:paraId="2519C89D">
            <w:pPr>
              <w:jc w:val="center"/>
              <w:rPr>
                <w:rFonts w:hint="eastAsia" w:ascii="宋体" w:hAnsi="宋体" w:eastAsia="宋体" w:cs="Times New Roman"/>
                <w:szCs w:val="21"/>
              </w:rPr>
            </w:pPr>
          </w:p>
        </w:tc>
        <w:tc>
          <w:tcPr>
            <w:tcW w:w="1394" w:type="dxa"/>
            <w:vAlign w:val="center"/>
          </w:tcPr>
          <w:p w14:paraId="6931F08F">
            <w:pPr>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652" w:type="dxa"/>
          </w:tcPr>
          <w:p w14:paraId="3BE68503">
            <w:pPr>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1788" w:type="dxa"/>
            <w:vMerge w:val="continue"/>
            <w:vAlign w:val="center"/>
          </w:tcPr>
          <w:p w14:paraId="1589AB32">
            <w:pPr>
              <w:jc w:val="center"/>
              <w:rPr>
                <w:rFonts w:hint="eastAsia" w:ascii="宋体" w:hAnsi="宋体" w:eastAsia="宋体" w:cs="Times New Roman"/>
                <w:szCs w:val="21"/>
              </w:rPr>
            </w:pPr>
          </w:p>
        </w:tc>
      </w:tr>
      <w:tr w14:paraId="6493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vAlign w:val="center"/>
          </w:tcPr>
          <w:p w14:paraId="11BB7964">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394" w:type="dxa"/>
            <w:vAlign w:val="center"/>
          </w:tcPr>
          <w:p w14:paraId="602CB523">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52" w:type="dxa"/>
            <w:vAlign w:val="center"/>
          </w:tcPr>
          <w:p w14:paraId="2E2DE851">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88" w:type="dxa"/>
            <w:vAlign w:val="center"/>
          </w:tcPr>
          <w:p w14:paraId="323634C8">
            <w:pPr>
              <w:jc w:val="center"/>
              <w:rPr>
                <w:rFonts w:hint="eastAsia" w:ascii="宋体" w:hAnsi="宋体" w:eastAsia="宋体" w:cs="Times New Roman"/>
                <w:szCs w:val="21"/>
              </w:rPr>
            </w:pPr>
            <w:r>
              <w:rPr>
                <w:rFonts w:hint="eastAsia" w:ascii="宋体" w:hAnsi="宋体" w:eastAsia="宋体" w:cs="Times New Roman"/>
                <w:szCs w:val="21"/>
              </w:rPr>
              <w:t>20</w:t>
            </w:r>
          </w:p>
        </w:tc>
      </w:tr>
      <w:tr w14:paraId="11E5E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852" w:type="dxa"/>
            <w:vAlign w:val="center"/>
          </w:tcPr>
          <w:p w14:paraId="10CD2352">
            <w:pPr>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394" w:type="dxa"/>
            <w:vAlign w:val="center"/>
          </w:tcPr>
          <w:p w14:paraId="28D0C952">
            <w:pPr>
              <w:jc w:val="center"/>
              <w:rPr>
                <w:szCs w:val="22"/>
              </w:rPr>
            </w:pPr>
            <w:r>
              <w:rPr>
                <w:rFonts w:ascii="宋体" w:hAnsi="宋体" w:eastAsia="宋体" w:cs="Times New Roman"/>
                <w:szCs w:val="21"/>
              </w:rPr>
              <w:sym w:font="Wingdings 2" w:char="F050"/>
            </w:r>
          </w:p>
        </w:tc>
        <w:tc>
          <w:tcPr>
            <w:tcW w:w="1652" w:type="dxa"/>
            <w:vAlign w:val="center"/>
          </w:tcPr>
          <w:p w14:paraId="6CC82208">
            <w:pPr>
              <w:jc w:val="center"/>
            </w:pPr>
            <w:r>
              <w:rPr>
                <w:rFonts w:ascii="宋体" w:hAnsi="宋体" w:eastAsia="宋体" w:cs="Times New Roman"/>
                <w:szCs w:val="21"/>
              </w:rPr>
              <w:sym w:font="Wingdings 2" w:char="F050"/>
            </w:r>
          </w:p>
        </w:tc>
        <w:tc>
          <w:tcPr>
            <w:tcW w:w="1788" w:type="dxa"/>
            <w:vAlign w:val="center"/>
          </w:tcPr>
          <w:p w14:paraId="54CE858A">
            <w:pPr>
              <w:jc w:val="center"/>
              <w:rPr>
                <w:rFonts w:hint="eastAsia" w:ascii="宋体" w:hAnsi="宋体" w:eastAsia="宋体" w:cs="Times New Roman"/>
                <w:szCs w:val="21"/>
              </w:rPr>
            </w:pPr>
            <w:r>
              <w:rPr>
                <w:rFonts w:hint="eastAsia" w:ascii="宋体" w:hAnsi="宋体" w:eastAsia="宋体" w:cs="Times New Roman"/>
                <w:szCs w:val="21"/>
              </w:rPr>
              <w:t>35</w:t>
            </w:r>
          </w:p>
        </w:tc>
      </w:tr>
      <w:tr w14:paraId="67CE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52" w:type="dxa"/>
            <w:vAlign w:val="center"/>
          </w:tcPr>
          <w:p w14:paraId="3C50FCA5">
            <w:pPr>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394" w:type="dxa"/>
            <w:vAlign w:val="center"/>
          </w:tcPr>
          <w:p w14:paraId="09F90C74">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52" w:type="dxa"/>
            <w:vAlign w:val="center"/>
          </w:tcPr>
          <w:p w14:paraId="325F6EB2">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88" w:type="dxa"/>
            <w:vAlign w:val="center"/>
          </w:tcPr>
          <w:p w14:paraId="1226711E">
            <w:pPr>
              <w:jc w:val="center"/>
              <w:rPr>
                <w:rFonts w:hint="eastAsia" w:ascii="宋体" w:hAnsi="宋体" w:eastAsia="宋体" w:cs="Times New Roman"/>
                <w:szCs w:val="21"/>
              </w:rPr>
            </w:pPr>
            <w:r>
              <w:rPr>
                <w:rFonts w:hint="eastAsia" w:ascii="宋体" w:hAnsi="宋体" w:eastAsia="宋体" w:cs="Times New Roman"/>
                <w:szCs w:val="21"/>
              </w:rPr>
              <w:t>25</w:t>
            </w:r>
          </w:p>
        </w:tc>
      </w:tr>
      <w:tr w14:paraId="1D73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vAlign w:val="center"/>
          </w:tcPr>
          <w:p w14:paraId="6F67ABC7">
            <w:pPr>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394" w:type="dxa"/>
            <w:vAlign w:val="center"/>
          </w:tcPr>
          <w:p w14:paraId="7735D34C">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52" w:type="dxa"/>
            <w:vAlign w:val="center"/>
          </w:tcPr>
          <w:p w14:paraId="66F7FAED">
            <w:pPr>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88" w:type="dxa"/>
            <w:vAlign w:val="center"/>
          </w:tcPr>
          <w:p w14:paraId="52623ABA">
            <w:pPr>
              <w:jc w:val="center"/>
              <w:rPr>
                <w:rFonts w:hint="eastAsia" w:ascii="宋体" w:hAnsi="宋体" w:eastAsia="宋体" w:cs="Times New Roman"/>
                <w:szCs w:val="21"/>
              </w:rPr>
            </w:pPr>
            <w:r>
              <w:rPr>
                <w:rFonts w:hint="eastAsia" w:ascii="宋体" w:hAnsi="宋体" w:eastAsia="宋体" w:cs="Times New Roman"/>
                <w:szCs w:val="21"/>
              </w:rPr>
              <w:t>20</w:t>
            </w:r>
          </w:p>
        </w:tc>
      </w:tr>
      <w:tr w14:paraId="61B8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2" w:type="dxa"/>
            <w:vAlign w:val="center"/>
          </w:tcPr>
          <w:p w14:paraId="7DFBF090">
            <w:pPr>
              <w:jc w:val="center"/>
              <w:rPr>
                <w:rFonts w:hint="eastAsia" w:ascii="宋体" w:hAnsi="宋体" w:eastAsia="宋体" w:cs="Times New Roman"/>
                <w:szCs w:val="21"/>
              </w:rPr>
            </w:pPr>
            <w:r>
              <w:rPr>
                <w:rFonts w:hint="eastAsia" w:ascii="宋体" w:hAnsi="宋体" w:eastAsia="宋体" w:cs="Times New Roman"/>
                <w:szCs w:val="21"/>
              </w:rPr>
              <w:t>合计</w:t>
            </w:r>
          </w:p>
        </w:tc>
        <w:tc>
          <w:tcPr>
            <w:tcW w:w="1394" w:type="dxa"/>
            <w:vAlign w:val="center"/>
          </w:tcPr>
          <w:p w14:paraId="4548C87C">
            <w:pPr>
              <w:jc w:val="center"/>
              <w:rPr>
                <w:rFonts w:hint="eastAsia" w:ascii="宋体" w:hAnsi="宋体" w:eastAsia="宋体" w:cs="Times New Roman"/>
                <w:szCs w:val="21"/>
              </w:rPr>
            </w:pPr>
            <w:r>
              <w:rPr>
                <w:rFonts w:hint="eastAsia" w:ascii="宋体" w:hAnsi="宋体" w:eastAsia="宋体" w:cs="Times New Roman"/>
                <w:szCs w:val="21"/>
              </w:rPr>
              <w:t>30</w:t>
            </w:r>
          </w:p>
        </w:tc>
        <w:tc>
          <w:tcPr>
            <w:tcW w:w="1652" w:type="dxa"/>
            <w:vAlign w:val="center"/>
          </w:tcPr>
          <w:p w14:paraId="144026C6">
            <w:pPr>
              <w:jc w:val="center"/>
              <w:rPr>
                <w:rFonts w:hint="eastAsia" w:ascii="宋体" w:hAnsi="宋体" w:eastAsia="宋体" w:cs="Times New Roman"/>
                <w:szCs w:val="21"/>
              </w:rPr>
            </w:pPr>
            <w:r>
              <w:rPr>
                <w:rFonts w:hint="eastAsia" w:ascii="宋体" w:hAnsi="宋体" w:eastAsia="宋体" w:cs="Times New Roman"/>
                <w:szCs w:val="21"/>
              </w:rPr>
              <w:t>70</w:t>
            </w:r>
          </w:p>
        </w:tc>
        <w:tc>
          <w:tcPr>
            <w:tcW w:w="1788" w:type="dxa"/>
            <w:vAlign w:val="center"/>
          </w:tcPr>
          <w:p w14:paraId="7C1C38B7">
            <w:pPr>
              <w:jc w:val="center"/>
              <w:rPr>
                <w:rFonts w:hint="eastAsia" w:ascii="宋体" w:hAnsi="宋体" w:eastAsia="宋体" w:cs="Times New Roman"/>
                <w:szCs w:val="21"/>
              </w:rPr>
            </w:pPr>
            <w:r>
              <w:rPr>
                <w:rFonts w:hint="eastAsia" w:ascii="宋体" w:hAnsi="宋体" w:eastAsia="宋体" w:cs="Times New Roman"/>
                <w:szCs w:val="21"/>
              </w:rPr>
              <w:t>100</w:t>
            </w:r>
          </w:p>
        </w:tc>
      </w:tr>
    </w:tbl>
    <w:p w14:paraId="099A7119">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04F18D2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4E8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1BFAB3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118255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465E261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0A3F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1E3E53">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0C49F31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课堂考勤（20%）：病假和事假一次扣5分，无故缺席一次扣10分，累积达5次以上（含5次）取消课程成绩。</w:t>
            </w:r>
          </w:p>
          <w:p w14:paraId="0BFE588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平时作业（80%）：课后完成3次作业，主要考核学生对每节课知识点的复习、理解和掌握程度，计算全部作业的平均成绩。</w:t>
            </w:r>
          </w:p>
        </w:tc>
        <w:tc>
          <w:tcPr>
            <w:tcW w:w="0" w:type="auto"/>
            <w:vAlign w:val="center"/>
          </w:tcPr>
          <w:p w14:paraId="3795D601">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03EA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B5C57F5">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30A732BD">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教育基本理论和知识型题目占3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%；考核学生运用基本理论知识进行分析能力的题型占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%；考核学生运用学与教的基本理论和知识进行教学设计的题型占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%；考核学生初步研究能力的题型占1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1952433F">
            <w:pPr>
              <w:jc w:val="center"/>
              <w:rPr>
                <w:rFonts w:ascii="Times New Roman" w:hAnsi="Times New Roman" w:eastAsia="宋体" w:cs="Times New Roman"/>
                <w:szCs w:val="21"/>
              </w:rPr>
            </w:pPr>
            <w:r>
              <w:rPr>
                <w:rFonts w:hint="eastAsia" w:ascii="Times New Roman" w:hAnsi="Times New Roman" w:eastAsia="宋体" w:cs="Times New Roman"/>
                <w:szCs w:val="21"/>
              </w:rPr>
              <w:t>70%</w:t>
            </w:r>
          </w:p>
        </w:tc>
      </w:tr>
      <w:tr w14:paraId="6272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626A97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44067FE">
            <w:pPr>
              <w:jc w:val="left"/>
              <w:rPr>
                <w:rFonts w:ascii="Times New Roman" w:hAnsi="Times New Roman" w:eastAsia="宋体" w:cs="Times New Roman"/>
                <w:szCs w:val="21"/>
              </w:rPr>
            </w:pPr>
          </w:p>
        </w:tc>
        <w:tc>
          <w:tcPr>
            <w:tcW w:w="0" w:type="auto"/>
            <w:vAlign w:val="center"/>
          </w:tcPr>
          <w:p w14:paraId="55E2375D">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BD0930C">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3BA62CAB">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710C78F4">
      <w:pPr>
        <w:spacing w:before="156" w:beforeLines="50" w:line="360" w:lineRule="auto"/>
        <w:ind w:firstLine="420" w:firstLineChars="200"/>
        <w:jc w:val="left"/>
        <w:rPr>
          <w:rFonts w:ascii="Times New Roman" w:hAnsi="Times New Roman" w:eastAsia="宋体" w:cs="Times New Roman"/>
          <w:bCs/>
          <w:sz w:val="24"/>
        </w:rPr>
      </w:pPr>
      <w:r>
        <w:rPr>
          <w:rFonts w:ascii="宋体" w:hAnsi="宋体" w:eastAsia="宋体" w:cs="Times New Roman"/>
          <w:szCs w:val="21"/>
        </w:rPr>
        <w:object>
          <v:shape id="_x0000_i1070"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70" DrawAspect="Content" ObjectID="_1468075770" r:id="rId58">
            <o:LockedField>false</o:LockedField>
          </o:OLEObject>
        </w:object>
      </w:r>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p>
    <w:p w14:paraId="06892ADF">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135"/>
        <w:gridCol w:w="1172"/>
        <w:gridCol w:w="4000"/>
      </w:tblGrid>
      <w:tr w14:paraId="6F30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573E54CC">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2135" w:type="dxa"/>
            <w:vAlign w:val="center"/>
          </w:tcPr>
          <w:p w14:paraId="0D48014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1172" w:type="dxa"/>
            <w:vAlign w:val="center"/>
          </w:tcPr>
          <w:p w14:paraId="1E651114">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4000" w:type="dxa"/>
            <w:vAlign w:val="center"/>
          </w:tcPr>
          <w:p w14:paraId="264CE669">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29FEF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49C4F53">
            <w:pPr>
              <w:spacing w:line="276" w:lineRule="auto"/>
              <w:jc w:val="center"/>
              <w:rPr>
                <w:rFonts w:hint="eastAsia" w:ascii="宋体" w:hAnsi="宋体" w:eastAsia="宋体" w:cs="宋体"/>
                <w:szCs w:val="21"/>
              </w:rPr>
            </w:pPr>
            <w:r>
              <w:rPr>
                <w:rFonts w:hint="eastAsia" w:ascii="宋体" w:hAnsi="宋体" w:eastAsia="宋体" w:cs="宋体"/>
                <w:szCs w:val="21"/>
              </w:rPr>
              <w:t>修辞手段</w:t>
            </w:r>
          </w:p>
        </w:tc>
        <w:tc>
          <w:tcPr>
            <w:tcW w:w="2135" w:type="dxa"/>
            <w:vAlign w:val="center"/>
          </w:tcPr>
          <w:p w14:paraId="1B9BEC82">
            <w:pPr>
              <w:spacing w:line="276" w:lineRule="auto"/>
              <w:jc w:val="left"/>
              <w:rPr>
                <w:rFonts w:hint="eastAsia" w:ascii="宋体" w:hAnsi="宋体" w:eastAsia="宋体" w:cs="宋体"/>
                <w:szCs w:val="21"/>
              </w:rPr>
            </w:pPr>
            <w:r>
              <w:rPr>
                <w:rFonts w:hint="eastAsia" w:ascii="宋体" w:hAnsi="宋体" w:eastAsia="宋体" w:cs="宋体"/>
                <w:szCs w:val="21"/>
              </w:rPr>
              <w:t>实践内容：结合案例，小组合作分析案例中的修辞手段，赏析并模仿写作。</w:t>
            </w:r>
          </w:p>
          <w:p w14:paraId="47CD0A66">
            <w:pPr>
              <w:spacing w:line="276" w:lineRule="auto"/>
              <w:jc w:val="left"/>
              <w:rPr>
                <w:rFonts w:hint="eastAsia" w:ascii="宋体" w:hAnsi="宋体" w:eastAsia="宋体" w:cs="宋体"/>
                <w:szCs w:val="21"/>
              </w:rPr>
            </w:pPr>
            <w:r>
              <w:rPr>
                <w:rFonts w:hint="eastAsia" w:ascii="宋体" w:hAnsi="宋体" w:eastAsia="宋体" w:cs="宋体"/>
                <w:szCs w:val="21"/>
              </w:rPr>
              <w:t>实践要求：小组提交一份分析报告，每人提交一份模拟写作作业。</w:t>
            </w:r>
          </w:p>
        </w:tc>
        <w:tc>
          <w:tcPr>
            <w:tcW w:w="1172" w:type="dxa"/>
            <w:vAlign w:val="center"/>
          </w:tcPr>
          <w:p w14:paraId="2014B65C">
            <w:pPr>
              <w:spacing w:line="276" w:lineRule="auto"/>
              <w:jc w:val="center"/>
              <w:rPr>
                <w:rFonts w:hint="eastAsia" w:ascii="宋体" w:hAnsi="宋体" w:eastAsia="宋体" w:cs="宋体"/>
                <w:szCs w:val="21"/>
              </w:rPr>
            </w:pPr>
            <w:r>
              <w:rPr>
                <w:rFonts w:hint="eastAsia" w:ascii="宋体" w:hAnsi="宋体" w:eastAsia="宋体" w:cs="宋体"/>
                <w:szCs w:val="21"/>
              </w:rPr>
              <w:t>案例分析</w:t>
            </w:r>
          </w:p>
        </w:tc>
        <w:tc>
          <w:tcPr>
            <w:tcW w:w="4000" w:type="dxa"/>
            <w:vAlign w:val="center"/>
          </w:tcPr>
          <w:p w14:paraId="55A4AFF4">
            <w:pPr>
              <w:spacing w:line="276" w:lineRule="auto"/>
              <w:jc w:val="left"/>
              <w:rPr>
                <w:rFonts w:hint="eastAsia" w:ascii="宋体" w:hAnsi="宋体" w:eastAsia="宋体" w:cs="宋体"/>
                <w:szCs w:val="21"/>
              </w:rPr>
            </w:pPr>
            <w:r>
              <w:rPr>
                <w:rFonts w:hint="eastAsia" w:ascii="宋体" w:hAnsi="宋体" w:eastAsia="宋体" w:cs="宋体"/>
                <w:szCs w:val="21"/>
              </w:rPr>
              <w:t>通过实践内容，引导学生结合具体案例，小组合作分析并赏析其中的修辞手段，增强学生的语言敏感度和修辞鉴赏能力。要求小组提交分析报告，促进团队协作与沟通能力；每人提交模拟写作作业，鼓励将所学修辞知识运用于实际写作中，培养创新思维和语言表达能力，同时在实践中树立正确的语言观和审美观。</w:t>
            </w:r>
          </w:p>
        </w:tc>
      </w:tr>
      <w:tr w14:paraId="5975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355234BD">
            <w:pPr>
              <w:spacing w:line="276" w:lineRule="auto"/>
              <w:jc w:val="center"/>
              <w:rPr>
                <w:rFonts w:hint="eastAsia" w:ascii="宋体" w:hAnsi="宋体" w:eastAsia="宋体" w:cs="宋体"/>
                <w:szCs w:val="21"/>
              </w:rPr>
            </w:pPr>
            <w:r>
              <w:rPr>
                <w:rFonts w:hint="eastAsia" w:ascii="宋体" w:hAnsi="宋体" w:eastAsia="宋体" w:cs="宋体"/>
                <w:szCs w:val="21"/>
              </w:rPr>
              <w:t>形式化修辞方法</w:t>
            </w:r>
          </w:p>
        </w:tc>
        <w:tc>
          <w:tcPr>
            <w:tcW w:w="2135" w:type="dxa"/>
            <w:vAlign w:val="center"/>
          </w:tcPr>
          <w:p w14:paraId="2DBDFB12">
            <w:pPr>
              <w:spacing w:line="276" w:lineRule="auto"/>
              <w:jc w:val="left"/>
              <w:rPr>
                <w:rFonts w:hint="eastAsia" w:ascii="宋体" w:hAnsi="宋体" w:eastAsia="宋体" w:cs="宋体"/>
                <w:szCs w:val="21"/>
              </w:rPr>
            </w:pPr>
            <w:r>
              <w:rPr>
                <w:rFonts w:hint="eastAsia" w:ascii="宋体" w:hAnsi="宋体" w:eastAsia="宋体" w:cs="宋体"/>
                <w:szCs w:val="21"/>
              </w:rPr>
              <w:t>实践内容：结合案例，小组合作分析案例中的形式化修辞方法，赏析并模仿写作。</w:t>
            </w:r>
          </w:p>
          <w:p w14:paraId="6C55B528">
            <w:pPr>
              <w:spacing w:line="276" w:lineRule="auto"/>
              <w:jc w:val="left"/>
              <w:rPr>
                <w:rFonts w:hint="eastAsia" w:ascii="宋体" w:hAnsi="宋体" w:eastAsia="宋体" w:cs="宋体"/>
                <w:szCs w:val="21"/>
              </w:rPr>
            </w:pPr>
            <w:r>
              <w:rPr>
                <w:rFonts w:hint="eastAsia" w:ascii="宋体" w:hAnsi="宋体" w:eastAsia="宋体" w:cs="宋体"/>
                <w:szCs w:val="21"/>
              </w:rPr>
              <w:t>实践要求：小组提交一份分析报告，每人提交一份模拟写作作业。</w:t>
            </w:r>
          </w:p>
        </w:tc>
        <w:tc>
          <w:tcPr>
            <w:tcW w:w="1172" w:type="dxa"/>
            <w:vAlign w:val="center"/>
          </w:tcPr>
          <w:p w14:paraId="2F13B4A5">
            <w:pPr>
              <w:spacing w:line="276" w:lineRule="auto"/>
              <w:jc w:val="center"/>
              <w:rPr>
                <w:rFonts w:hint="eastAsia" w:ascii="宋体" w:hAnsi="宋体" w:eastAsia="宋体" w:cs="宋体"/>
                <w:szCs w:val="21"/>
              </w:rPr>
            </w:pPr>
            <w:r>
              <w:rPr>
                <w:rFonts w:hint="eastAsia" w:ascii="宋体" w:hAnsi="宋体" w:eastAsia="宋体" w:cs="宋体"/>
                <w:szCs w:val="21"/>
              </w:rPr>
              <w:t>分析报告</w:t>
            </w:r>
          </w:p>
        </w:tc>
        <w:tc>
          <w:tcPr>
            <w:tcW w:w="4000" w:type="dxa"/>
            <w:vAlign w:val="center"/>
          </w:tcPr>
          <w:p w14:paraId="2205F430">
            <w:pPr>
              <w:spacing w:line="276" w:lineRule="auto"/>
              <w:jc w:val="left"/>
              <w:rPr>
                <w:rFonts w:hint="eastAsia" w:ascii="宋体" w:hAnsi="宋体" w:eastAsia="宋体" w:cs="宋体"/>
                <w:szCs w:val="21"/>
              </w:rPr>
            </w:pPr>
            <w:r>
              <w:rPr>
                <w:rFonts w:hint="eastAsia" w:ascii="宋体" w:hAnsi="宋体" w:eastAsia="宋体" w:cs="宋体"/>
                <w:szCs w:val="21"/>
              </w:rPr>
              <w:t>通过小组合作实践，引导学生深入分析案例中的形式化修辞方法，提升其对语言艺术的鉴赏能力和审美水平。要求小组共同提交分析报告，增强团队协作意识和沟通能力；同时，每人需提交一份模拟写作作业，将所学修辞技巧运用于实际创作中，培养创新思维和实践能力，树立正确的语言表达观念。</w:t>
            </w:r>
          </w:p>
        </w:tc>
      </w:tr>
      <w:tr w14:paraId="54F3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12" w:type="dxa"/>
            <w:vAlign w:val="center"/>
          </w:tcPr>
          <w:p w14:paraId="0D76E628">
            <w:pPr>
              <w:spacing w:line="276" w:lineRule="auto"/>
              <w:jc w:val="center"/>
              <w:rPr>
                <w:rFonts w:hint="eastAsia" w:ascii="宋体" w:hAnsi="宋体" w:eastAsia="宋体" w:cs="宋体"/>
                <w:szCs w:val="21"/>
              </w:rPr>
            </w:pPr>
            <w:r>
              <w:rPr>
                <w:rFonts w:hint="eastAsia" w:ascii="宋体" w:hAnsi="宋体" w:eastAsia="宋体" w:cs="宋体"/>
                <w:szCs w:val="21"/>
              </w:rPr>
              <w:t>意义化修辞方法</w:t>
            </w:r>
          </w:p>
        </w:tc>
        <w:tc>
          <w:tcPr>
            <w:tcW w:w="2135" w:type="dxa"/>
            <w:vAlign w:val="center"/>
          </w:tcPr>
          <w:p w14:paraId="256848C7">
            <w:pPr>
              <w:spacing w:line="276" w:lineRule="auto"/>
              <w:jc w:val="left"/>
              <w:rPr>
                <w:rFonts w:hint="eastAsia" w:ascii="宋体" w:hAnsi="宋体" w:eastAsia="宋体" w:cs="宋体"/>
                <w:szCs w:val="21"/>
              </w:rPr>
            </w:pPr>
            <w:r>
              <w:rPr>
                <w:rFonts w:hint="eastAsia" w:ascii="宋体" w:hAnsi="宋体" w:eastAsia="宋体" w:cs="宋体"/>
                <w:szCs w:val="21"/>
              </w:rPr>
              <w:t>实践内容：结合案例，小组合作分析案例中的意义化修辞方法，赏析并模仿写作。</w:t>
            </w:r>
          </w:p>
          <w:p w14:paraId="2CBCAF45">
            <w:pPr>
              <w:spacing w:line="276" w:lineRule="auto"/>
              <w:jc w:val="left"/>
              <w:rPr>
                <w:rFonts w:hint="eastAsia" w:ascii="宋体" w:hAnsi="宋体" w:eastAsia="宋体" w:cs="宋体"/>
                <w:szCs w:val="21"/>
              </w:rPr>
            </w:pPr>
            <w:r>
              <w:rPr>
                <w:rFonts w:hint="eastAsia" w:ascii="宋体" w:hAnsi="宋体" w:eastAsia="宋体" w:cs="宋体"/>
                <w:szCs w:val="21"/>
              </w:rPr>
              <w:t>实践要求：小组提交一份分析报告，每人提交一份模拟写作作业。</w:t>
            </w:r>
          </w:p>
        </w:tc>
        <w:tc>
          <w:tcPr>
            <w:tcW w:w="1172" w:type="dxa"/>
            <w:vAlign w:val="center"/>
          </w:tcPr>
          <w:p w14:paraId="5D9CADA6">
            <w:pPr>
              <w:spacing w:line="276" w:lineRule="auto"/>
              <w:jc w:val="center"/>
              <w:rPr>
                <w:rFonts w:hint="eastAsia" w:ascii="宋体" w:hAnsi="宋体" w:eastAsia="宋体" w:cs="宋体"/>
                <w:szCs w:val="21"/>
              </w:rPr>
            </w:pPr>
            <w:r>
              <w:rPr>
                <w:rFonts w:hint="eastAsia" w:ascii="宋体" w:hAnsi="宋体" w:eastAsia="宋体" w:cs="宋体"/>
                <w:szCs w:val="21"/>
              </w:rPr>
              <w:t>分析报告</w:t>
            </w:r>
          </w:p>
        </w:tc>
        <w:tc>
          <w:tcPr>
            <w:tcW w:w="4000" w:type="dxa"/>
            <w:vAlign w:val="center"/>
          </w:tcPr>
          <w:p w14:paraId="5EBEB35C">
            <w:pPr>
              <w:spacing w:line="276" w:lineRule="auto"/>
              <w:jc w:val="left"/>
              <w:rPr>
                <w:rFonts w:hint="eastAsia" w:ascii="宋体" w:hAnsi="宋体" w:eastAsia="宋体" w:cs="宋体"/>
                <w:szCs w:val="21"/>
              </w:rPr>
            </w:pPr>
            <w:r>
              <w:rPr>
                <w:rFonts w:hint="eastAsia" w:ascii="宋体" w:hAnsi="宋体" w:eastAsia="宋体" w:cs="宋体"/>
                <w:szCs w:val="21"/>
              </w:rPr>
              <w:t>通过小组合作实践活动，深入引导学生分析案例中的形式化修辞方法，提升其语言艺术的鉴赏力与审美素养。要求小组协作完成分析报告，强化团队合作意识与沟通协调能力。同时，要求每位学生提交模拟写作作业，将课堂所学的修辞技巧灵活运用于实际写作中，以此培养学生的创新思维和实践操作能力，并树立正确的语言表达和价值观念。</w:t>
            </w:r>
          </w:p>
        </w:tc>
      </w:tr>
      <w:tr w14:paraId="02CF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27F942E9">
            <w:pPr>
              <w:spacing w:line="276" w:lineRule="auto"/>
              <w:jc w:val="center"/>
              <w:rPr>
                <w:rFonts w:hint="eastAsia" w:ascii="宋体" w:hAnsi="宋体" w:eastAsia="宋体" w:cs="宋体"/>
                <w:szCs w:val="21"/>
              </w:rPr>
            </w:pPr>
            <w:r>
              <w:rPr>
                <w:rFonts w:hint="eastAsia" w:ascii="宋体" w:hAnsi="宋体" w:eastAsia="宋体" w:cs="宋体"/>
                <w:szCs w:val="21"/>
              </w:rPr>
              <w:t>修辞学史</w:t>
            </w:r>
          </w:p>
        </w:tc>
        <w:tc>
          <w:tcPr>
            <w:tcW w:w="2135" w:type="dxa"/>
            <w:vAlign w:val="center"/>
          </w:tcPr>
          <w:p w14:paraId="2088BA84">
            <w:pPr>
              <w:spacing w:line="276" w:lineRule="auto"/>
              <w:jc w:val="left"/>
              <w:rPr>
                <w:rFonts w:hint="eastAsia" w:ascii="宋体" w:hAnsi="宋体" w:eastAsia="宋体" w:cs="宋体"/>
                <w:szCs w:val="21"/>
              </w:rPr>
            </w:pPr>
            <w:r>
              <w:rPr>
                <w:rFonts w:hint="eastAsia" w:ascii="宋体" w:hAnsi="宋体" w:eastAsia="宋体" w:cs="宋体"/>
                <w:szCs w:val="21"/>
              </w:rPr>
              <w:t>实践内容：阅读相关文献，从不同角度梳理修辞学史，形成思维导图</w:t>
            </w:r>
          </w:p>
          <w:p w14:paraId="38681393">
            <w:pPr>
              <w:spacing w:line="276" w:lineRule="auto"/>
              <w:jc w:val="left"/>
              <w:rPr>
                <w:rFonts w:hint="eastAsia" w:ascii="宋体" w:hAnsi="宋体" w:eastAsia="宋体" w:cs="宋体"/>
                <w:szCs w:val="21"/>
              </w:rPr>
            </w:pPr>
            <w:r>
              <w:rPr>
                <w:rFonts w:hint="eastAsia" w:ascii="宋体" w:hAnsi="宋体" w:eastAsia="宋体" w:cs="宋体"/>
                <w:szCs w:val="21"/>
              </w:rPr>
              <w:t>实践要求：小组汇报，并提交修辞学史梳理报告。</w:t>
            </w:r>
          </w:p>
        </w:tc>
        <w:tc>
          <w:tcPr>
            <w:tcW w:w="1172" w:type="dxa"/>
            <w:vAlign w:val="center"/>
          </w:tcPr>
          <w:p w14:paraId="0BC3BC08">
            <w:pPr>
              <w:spacing w:line="276" w:lineRule="auto"/>
              <w:jc w:val="center"/>
              <w:rPr>
                <w:rFonts w:hint="eastAsia" w:ascii="宋体" w:hAnsi="宋体" w:eastAsia="宋体" w:cs="宋体"/>
                <w:szCs w:val="21"/>
              </w:rPr>
            </w:pPr>
            <w:r>
              <w:rPr>
                <w:rFonts w:hint="eastAsia" w:ascii="宋体" w:hAnsi="宋体" w:eastAsia="宋体" w:cs="宋体"/>
                <w:szCs w:val="21"/>
              </w:rPr>
              <w:t>小组汇报</w:t>
            </w:r>
          </w:p>
        </w:tc>
        <w:tc>
          <w:tcPr>
            <w:tcW w:w="4000" w:type="dxa"/>
            <w:vAlign w:val="center"/>
          </w:tcPr>
          <w:p w14:paraId="6F113946">
            <w:pPr>
              <w:spacing w:line="276" w:lineRule="auto"/>
              <w:jc w:val="left"/>
              <w:rPr>
                <w:rFonts w:hint="eastAsia" w:ascii="宋体" w:hAnsi="宋体" w:eastAsia="宋体" w:cs="宋体"/>
                <w:szCs w:val="21"/>
              </w:rPr>
            </w:pPr>
            <w:r>
              <w:rPr>
                <w:rFonts w:hint="eastAsia" w:ascii="宋体" w:hAnsi="宋体" w:eastAsia="宋体" w:cs="宋体"/>
                <w:szCs w:val="21"/>
              </w:rPr>
              <w:t>通过阅读文献梳理修辞学史，形成思维导图，培养团队协作与汇报能力。要求小组提交梳理报告，增强历史脉络感，树立文化自信，提升学术素养与思维能力。</w:t>
            </w:r>
          </w:p>
        </w:tc>
      </w:tr>
    </w:tbl>
    <w:p w14:paraId="5EF383E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3F1859EA">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43E2F7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本课程根据学生作业、课堂讨论、教学环节、平时考核情况和学生、教学督导等的反馈，及时对教学中的不足之处进行改进，并在下一轮课程教学中整改完善，确保相应毕业要求指标点达成。</w:t>
      </w:r>
    </w:p>
    <w:p w14:paraId="00AEB5D5">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9824D32">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黎运汉，盛永生《汉语修辞学》，广东教育出版社，2010年.</w:t>
      </w:r>
    </w:p>
    <w:p w14:paraId="26D86670">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56DE8B83">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1.陈汝东.《当代汉语修辞学》.北京大学出版社.2005.</w:t>
      </w:r>
    </w:p>
    <w:p w14:paraId="329AFC9A">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2.王德春、陈晨.《现代修辞学》.上海外语教育出版社.1998.</w:t>
      </w:r>
    </w:p>
    <w:p w14:paraId="7ED97BE1">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3.王德春.《大学修辞学》.福建人民出版社.2004.</w:t>
      </w:r>
    </w:p>
    <w:p w14:paraId="78726211">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4.王希杰.《修辞学通论》.南京大学出版社.1996.</w:t>
      </w:r>
    </w:p>
    <w:p w14:paraId="572925C7">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5.苏新春.《文化语言学教程》.外语教学与研究出版社.2006.</w:t>
      </w:r>
    </w:p>
    <w:p w14:paraId="609B2A05">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6.陈望道.《修辞学发凡》.复旦大学出版社.2008.</w:t>
      </w:r>
    </w:p>
    <w:p w14:paraId="3BA7DCC8"/>
    <w:p w14:paraId="31CDABC4"/>
    <w:p w14:paraId="3A434024">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执 笔 人：郭立萍</w:t>
      </w:r>
    </w:p>
    <w:p w14:paraId="410078EC">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 定 人：王  健</w:t>
      </w:r>
    </w:p>
    <w:p w14:paraId="4A2BD964">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0F3F9B23">
      <w:pPr>
        <w:spacing w:line="360" w:lineRule="auto"/>
        <w:ind w:firstLine="3990" w:firstLineChars="1900"/>
        <w:jc w:val="righ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162F3DF9">
      <w:pPr>
        <w:widowControl/>
        <w:jc w:val="left"/>
        <w:rPr>
          <w:rFonts w:hint="eastAsia" w:ascii="宋体" w:hAnsi="宋体" w:eastAsia="宋体" w:cs="宋体"/>
          <w:sz w:val="24"/>
          <w:szCs w:val="22"/>
        </w:rPr>
      </w:pPr>
      <w:r>
        <w:rPr>
          <w:rFonts w:ascii="宋体" w:hAnsi="宋体" w:eastAsia="宋体" w:cs="宋体"/>
          <w:sz w:val="24"/>
          <w:szCs w:val="22"/>
        </w:rPr>
        <w:br w:type="page"/>
      </w:r>
    </w:p>
    <w:p w14:paraId="2D692C09">
      <w:pPr>
        <w:spacing w:line="360" w:lineRule="auto"/>
        <w:jc w:val="center"/>
        <w:outlineLvl w:val="0"/>
        <w:rPr>
          <w:rFonts w:ascii="Times New Roman" w:hAnsi="Times New Roman" w:eastAsia="宋体" w:cs="Times New Roman"/>
          <w:b/>
          <w:sz w:val="44"/>
          <w:szCs w:val="44"/>
        </w:rPr>
      </w:pPr>
      <w:bookmarkStart w:id="1638" w:name="_Toc10142"/>
      <w:bookmarkStart w:id="1639" w:name="_Toc12550"/>
      <w:bookmarkStart w:id="1640" w:name="_Toc3091"/>
      <w:bookmarkStart w:id="1641" w:name="_Toc1967"/>
      <w:r>
        <w:rPr>
          <w:rFonts w:hint="eastAsia" w:ascii="Times New Roman" w:hAnsi="Times New Roman" w:eastAsia="宋体" w:cs="Times New Roman"/>
          <w:b/>
          <w:sz w:val="44"/>
          <w:szCs w:val="44"/>
        </w:rPr>
        <w:t>《逻辑学》课程教学大纲</w:t>
      </w:r>
      <w:bookmarkEnd w:id="1638"/>
      <w:bookmarkEnd w:id="1639"/>
      <w:bookmarkEnd w:id="1640"/>
      <w:bookmarkEnd w:id="1641"/>
    </w:p>
    <w:p w14:paraId="36CB200D">
      <w:pPr>
        <w:spacing w:line="360" w:lineRule="auto"/>
        <w:jc w:val="center"/>
        <w:rPr>
          <w:rFonts w:ascii="Times New Roman" w:hAnsi="Times New Roman" w:eastAsia="宋体" w:cs="Times New Roman"/>
          <w:b/>
          <w:bCs/>
          <w:sz w:val="28"/>
          <w:szCs w:val="28"/>
        </w:rPr>
      </w:pPr>
      <w:bookmarkStart w:id="1642" w:name="_Toc4011"/>
      <w:bookmarkStart w:id="1643" w:name="_Toc19834"/>
      <w:bookmarkStart w:id="1644" w:name="_Toc30807"/>
      <w:bookmarkStart w:id="1645" w:name="_Toc15590"/>
      <w:bookmarkStart w:id="1646" w:name="_Toc23868"/>
      <w:bookmarkStart w:id="1647" w:name="_Toc24087"/>
      <w:bookmarkStart w:id="1648" w:name="_Toc887"/>
      <w:r>
        <w:rPr>
          <w:rFonts w:ascii="Times New Roman" w:hAnsi="Times New Roman" w:eastAsia="宋体" w:cs="Times New Roman"/>
          <w:b/>
          <w:bCs/>
          <w:sz w:val="28"/>
          <w:szCs w:val="28"/>
        </w:rPr>
        <w:t>（Logic）</w:t>
      </w:r>
      <w:bookmarkEnd w:id="1642"/>
      <w:bookmarkEnd w:id="1643"/>
      <w:bookmarkEnd w:id="1644"/>
      <w:bookmarkEnd w:id="1645"/>
      <w:bookmarkEnd w:id="1646"/>
      <w:bookmarkEnd w:id="1647"/>
      <w:bookmarkEnd w:id="1648"/>
    </w:p>
    <w:p w14:paraId="299950D7">
      <w:pPr>
        <w:spacing w:line="360" w:lineRule="auto"/>
        <w:ind w:firstLine="422" w:firstLineChars="200"/>
        <w:jc w:val="left"/>
        <w:rPr>
          <w:b/>
          <w:szCs w:val="21"/>
        </w:rPr>
      </w:pPr>
    </w:p>
    <w:p w14:paraId="79BF11D5">
      <w:pPr>
        <w:spacing w:line="360" w:lineRule="auto"/>
        <w:ind w:firstLine="482" w:firstLineChars="200"/>
        <w:jc w:val="left"/>
        <w:rPr>
          <w:b/>
          <w:sz w:val="24"/>
        </w:rPr>
      </w:pPr>
      <w:r>
        <w:rPr>
          <w:rFonts w:hint="eastAsia"/>
          <w:b/>
          <w:sz w:val="24"/>
        </w:rPr>
        <w:t>课程名称：逻辑学</w:t>
      </w:r>
    </w:p>
    <w:p w14:paraId="321C0E64">
      <w:pPr>
        <w:spacing w:line="360" w:lineRule="auto"/>
        <w:ind w:firstLine="482" w:firstLineChars="200"/>
        <w:jc w:val="left"/>
        <w:rPr>
          <w:b/>
          <w:sz w:val="24"/>
        </w:rPr>
      </w:pPr>
      <w:r>
        <w:rPr>
          <w:rFonts w:hint="eastAsia"/>
          <w:b/>
          <w:sz w:val="24"/>
        </w:rPr>
        <w:t>课程代码：2401033</w:t>
      </w:r>
    </w:p>
    <w:p w14:paraId="7960EF76">
      <w:pPr>
        <w:spacing w:line="360" w:lineRule="auto"/>
        <w:ind w:firstLine="482" w:firstLineChars="200"/>
        <w:jc w:val="left"/>
        <w:rPr>
          <w:sz w:val="24"/>
        </w:rPr>
      </w:pPr>
      <w:r>
        <w:rPr>
          <w:rFonts w:hint="eastAsia"/>
          <w:b/>
          <w:sz w:val="24"/>
        </w:rPr>
        <w:t xml:space="preserve">学 </w:t>
      </w:r>
      <w:r>
        <w:rPr>
          <w:b/>
          <w:sz w:val="24"/>
        </w:rPr>
        <w:t xml:space="preserve">   </w:t>
      </w:r>
      <w:r>
        <w:rPr>
          <w:rFonts w:hint="eastAsia"/>
          <w:b/>
          <w:sz w:val="24"/>
        </w:rPr>
        <w:t>分：2</w:t>
      </w:r>
    </w:p>
    <w:p w14:paraId="16CF799B">
      <w:pPr>
        <w:spacing w:line="360" w:lineRule="auto"/>
        <w:ind w:firstLine="482" w:firstLineChars="200"/>
        <w:jc w:val="left"/>
        <w:rPr>
          <w:sz w:val="24"/>
        </w:rPr>
      </w:pPr>
      <w:r>
        <w:rPr>
          <w:rFonts w:hint="eastAsia"/>
          <w:b/>
          <w:sz w:val="24"/>
        </w:rPr>
        <w:t xml:space="preserve">学 </w:t>
      </w:r>
      <w:r>
        <w:rPr>
          <w:b/>
          <w:sz w:val="24"/>
        </w:rPr>
        <w:t xml:space="preserve">   </w:t>
      </w:r>
      <w:r>
        <w:rPr>
          <w:rFonts w:hint="eastAsia"/>
          <w:b/>
          <w:sz w:val="24"/>
        </w:rPr>
        <w:t>时：32（理论学时16，实践学时16）</w:t>
      </w:r>
    </w:p>
    <w:p w14:paraId="3078ECFA">
      <w:pPr>
        <w:spacing w:line="360" w:lineRule="auto"/>
        <w:ind w:firstLine="482" w:firstLineChars="200"/>
        <w:jc w:val="left"/>
        <w:rPr>
          <w:sz w:val="24"/>
        </w:rPr>
      </w:pPr>
      <w:r>
        <w:rPr>
          <w:rFonts w:hint="eastAsia"/>
          <w:b/>
          <w:sz w:val="24"/>
        </w:rPr>
        <w:t>先修课程：无</w:t>
      </w:r>
    </w:p>
    <w:p w14:paraId="2A27F91B">
      <w:pPr>
        <w:spacing w:line="360" w:lineRule="auto"/>
        <w:ind w:firstLine="482" w:firstLineChars="200"/>
        <w:jc w:val="left"/>
        <w:rPr>
          <w:b/>
          <w:sz w:val="24"/>
        </w:rPr>
      </w:pPr>
      <w:r>
        <w:rPr>
          <w:rFonts w:hint="eastAsia"/>
          <w:b/>
          <w:sz w:val="24"/>
        </w:rPr>
        <w:t>适用专业：小学教育</w:t>
      </w:r>
    </w:p>
    <w:p w14:paraId="5A8C42D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51EC4D1A">
      <w:pPr>
        <w:spacing w:line="360" w:lineRule="auto"/>
        <w:ind w:firstLine="420" w:firstLineChars="200"/>
        <w:jc w:val="left"/>
        <w:rPr>
          <w:szCs w:val="21"/>
        </w:rPr>
      </w:pPr>
      <w:r>
        <w:rPr>
          <w:rFonts w:hint="eastAsia"/>
          <w:szCs w:val="21"/>
        </w:rPr>
        <w:t>逻辑学是以思维形式及其规律和某些简单的逻辑方法为研究对象的一门工具性学科，是高等院校文科专业学生必修的基础课程。本课程通过对概念、命题及推理等基本思维形式等的概念和规律等逻辑的基本内容的讲授，也对定义、划分、限制、概括、论证等基本逻辑方法进行介绍，通过练习，学生能在日常生活中进行运用，学会基本的辩论和论述。</w:t>
      </w:r>
    </w:p>
    <w:p w14:paraId="7156BDFA">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27C3105D">
      <w:pPr>
        <w:spacing w:line="360" w:lineRule="auto"/>
        <w:ind w:firstLine="422" w:firstLineChars="200"/>
        <w:rPr>
          <w:rFonts w:hint="eastAsia" w:ascii="宋体" w:hAnsi="宋体"/>
          <w:b/>
          <w:szCs w:val="21"/>
        </w:rPr>
      </w:pPr>
      <w:r>
        <w:rPr>
          <w:rFonts w:hint="eastAsia" w:ascii="宋体" w:hAnsi="宋体"/>
          <w:b/>
          <w:szCs w:val="21"/>
        </w:rPr>
        <w:t>（一）课程具体目标</w:t>
      </w:r>
    </w:p>
    <w:p w14:paraId="01579309">
      <w:pPr>
        <w:spacing w:line="360" w:lineRule="auto"/>
        <w:ind w:firstLine="482"/>
        <w:jc w:val="left"/>
        <w:rPr>
          <w:szCs w:val="21"/>
        </w:rPr>
      </w:pPr>
      <w:r>
        <w:rPr>
          <w:rFonts w:hint="eastAsia"/>
          <w:b/>
          <w:szCs w:val="21"/>
        </w:rPr>
        <w:t>目标</w:t>
      </w:r>
      <w:r>
        <w:rPr>
          <w:b/>
          <w:szCs w:val="21"/>
        </w:rPr>
        <w:t>1.</w:t>
      </w:r>
      <w:r>
        <w:rPr>
          <w:rFonts w:hint="eastAsia"/>
          <w:szCs w:val="21"/>
        </w:rPr>
        <w:t>了解逻辑学的学科特点，知道逻辑学与其他学科的关系，掌握逻辑学的研究对象及研究方法。</w:t>
      </w:r>
    </w:p>
    <w:p w14:paraId="17B06C2E">
      <w:pPr>
        <w:spacing w:line="360" w:lineRule="auto"/>
        <w:ind w:firstLine="482"/>
        <w:jc w:val="left"/>
        <w:rPr>
          <w:bCs/>
          <w:szCs w:val="21"/>
        </w:rPr>
      </w:pPr>
      <w:r>
        <w:rPr>
          <w:rFonts w:hint="eastAsia"/>
          <w:b/>
          <w:szCs w:val="21"/>
        </w:rPr>
        <w:t>目标2</w:t>
      </w:r>
      <w:r>
        <w:rPr>
          <w:b/>
          <w:szCs w:val="21"/>
        </w:rPr>
        <w:t>.</w:t>
      </w:r>
      <w:r>
        <w:rPr>
          <w:rFonts w:hint="eastAsia"/>
        </w:rPr>
        <w:t xml:space="preserve"> </w:t>
      </w:r>
      <w:r>
        <w:rPr>
          <w:rFonts w:hint="eastAsia"/>
          <w:bCs/>
          <w:szCs w:val="21"/>
        </w:rPr>
        <w:t>了解判断、推理的逻辑特征和类型；理解概念的特征、种类、概念间的关系，三段论推理的规则，定义、划分的方法与规则；能正确地对概念进行概括与限制；会用欧拉图解表示概念间的关系、分析三段论的构成，掌握复合判断的逻辑特征、逻辑结构式及其逻辑简式、真值表、归纳推理与演绎推理，能在生活中的运用二难推理，会用推理解决问题。</w:t>
      </w:r>
    </w:p>
    <w:p w14:paraId="6632E51F">
      <w:pPr>
        <w:spacing w:line="360" w:lineRule="auto"/>
        <w:ind w:firstLine="422" w:firstLineChars="200"/>
        <w:jc w:val="left"/>
        <w:rPr>
          <w:szCs w:val="21"/>
        </w:rPr>
      </w:pPr>
      <w:r>
        <w:rPr>
          <w:rFonts w:hint="eastAsia"/>
          <w:b/>
          <w:szCs w:val="21"/>
        </w:rPr>
        <w:t>目标3</w:t>
      </w:r>
      <w:r>
        <w:rPr>
          <w:rFonts w:hint="eastAsia"/>
          <w:b/>
          <w:kern w:val="0"/>
          <w:szCs w:val="21"/>
        </w:rPr>
        <w:t>．</w:t>
      </w:r>
      <w:r>
        <w:rPr>
          <w:rFonts w:hint="eastAsia"/>
          <w:szCs w:val="21"/>
        </w:rPr>
        <w:t>熟练掌握形式逻辑基本规律和论证的主要方法；能正确运用这些规律和方法解决现实问题。</w:t>
      </w:r>
    </w:p>
    <w:p w14:paraId="498CB562">
      <w:pPr>
        <w:spacing w:line="360" w:lineRule="auto"/>
        <w:ind w:firstLine="422" w:firstLineChars="200"/>
        <w:jc w:val="left"/>
        <w:rPr>
          <w:b/>
          <w:bCs/>
          <w:szCs w:val="21"/>
        </w:rPr>
      </w:pPr>
      <w:r>
        <w:rPr>
          <w:rFonts w:hint="eastAsia"/>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8EFB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8" w:type="dxa"/>
            <w:vAlign w:val="center"/>
          </w:tcPr>
          <w:p w14:paraId="36174DF7">
            <w:pPr>
              <w:spacing w:line="360" w:lineRule="auto"/>
              <w:jc w:val="center"/>
              <w:rPr>
                <w:b/>
                <w:bCs/>
                <w:szCs w:val="21"/>
              </w:rPr>
            </w:pPr>
            <w:r>
              <w:rPr>
                <w:rFonts w:hint="eastAsia"/>
                <w:b/>
                <w:bCs/>
                <w:szCs w:val="21"/>
              </w:rPr>
              <w:t>毕业要求</w:t>
            </w:r>
          </w:p>
        </w:tc>
        <w:tc>
          <w:tcPr>
            <w:tcW w:w="5688" w:type="dxa"/>
            <w:vAlign w:val="center"/>
          </w:tcPr>
          <w:p w14:paraId="3716BCA5">
            <w:pPr>
              <w:spacing w:line="360" w:lineRule="auto"/>
              <w:jc w:val="center"/>
              <w:rPr>
                <w:b/>
                <w:bCs/>
                <w:szCs w:val="21"/>
              </w:rPr>
            </w:pPr>
            <w:r>
              <w:rPr>
                <w:rFonts w:hint="eastAsia"/>
                <w:b/>
                <w:bCs/>
                <w:szCs w:val="21"/>
              </w:rPr>
              <w:t>毕业要求指标点</w:t>
            </w:r>
          </w:p>
        </w:tc>
        <w:tc>
          <w:tcPr>
            <w:tcW w:w="1191" w:type="dxa"/>
            <w:vAlign w:val="center"/>
          </w:tcPr>
          <w:p w14:paraId="7E4FDD74">
            <w:pPr>
              <w:spacing w:line="360" w:lineRule="auto"/>
              <w:jc w:val="center"/>
              <w:rPr>
                <w:b/>
                <w:bCs/>
                <w:szCs w:val="21"/>
              </w:rPr>
            </w:pPr>
            <w:r>
              <w:rPr>
                <w:rFonts w:hint="eastAsia"/>
                <w:b/>
                <w:bCs/>
                <w:szCs w:val="21"/>
              </w:rPr>
              <w:t>课程目标</w:t>
            </w:r>
          </w:p>
        </w:tc>
      </w:tr>
      <w:tr w14:paraId="0604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E73165E">
            <w:pPr>
              <w:spacing w:line="276" w:lineRule="auto"/>
              <w:jc w:val="left"/>
              <w:rPr>
                <w:b/>
                <w:bCs/>
                <w:szCs w:val="21"/>
              </w:rPr>
            </w:pPr>
            <w:r>
              <w:rPr>
                <w:rFonts w:hint="eastAsia"/>
                <w:b/>
                <w:bCs/>
                <w:szCs w:val="21"/>
              </w:rPr>
              <w:t>毕业要求3学科素养</w:t>
            </w:r>
          </w:p>
        </w:tc>
        <w:tc>
          <w:tcPr>
            <w:tcW w:w="5688" w:type="dxa"/>
            <w:vAlign w:val="center"/>
          </w:tcPr>
          <w:p w14:paraId="202E0418">
            <w:pPr>
              <w:spacing w:line="276" w:lineRule="auto"/>
              <w:jc w:val="left"/>
              <w:rPr>
                <w:szCs w:val="21"/>
              </w:rPr>
            </w:pPr>
            <w:r>
              <w:rPr>
                <w:rFonts w:hint="eastAsia" w:ascii="宋体" w:hAnsi="宋体"/>
                <w:b/>
                <w:spacing w:val="2"/>
                <w:kern w:val="0"/>
                <w:szCs w:val="21"/>
              </w:rPr>
              <w:t>指标点3-1</w:t>
            </w:r>
            <w:r>
              <w:rPr>
                <w:rFonts w:hint="eastAsia" w:ascii="宋体" w:hAnsi="宋体"/>
                <w:spacing w:val="2"/>
                <w:kern w:val="0"/>
                <w:szCs w:val="21"/>
              </w:rPr>
              <w:t>：【通识知识广博】具有小学教育本科专业相应的自然科学和人文社会科学知识素养。</w:t>
            </w:r>
          </w:p>
        </w:tc>
        <w:tc>
          <w:tcPr>
            <w:tcW w:w="1191" w:type="dxa"/>
            <w:vAlign w:val="center"/>
          </w:tcPr>
          <w:p w14:paraId="205FCE95">
            <w:pPr>
              <w:spacing w:line="276" w:lineRule="auto"/>
              <w:jc w:val="left"/>
              <w:rPr>
                <w:szCs w:val="21"/>
              </w:rPr>
            </w:pPr>
            <w:r>
              <w:rPr>
                <w:rFonts w:hint="eastAsia"/>
                <w:szCs w:val="21"/>
              </w:rPr>
              <w:t>课程目标1</w:t>
            </w:r>
          </w:p>
          <w:p w14:paraId="1684F702">
            <w:pPr>
              <w:spacing w:line="276" w:lineRule="auto"/>
              <w:jc w:val="left"/>
              <w:rPr>
                <w:szCs w:val="21"/>
              </w:rPr>
            </w:pPr>
            <w:r>
              <w:rPr>
                <w:rFonts w:hint="eastAsia"/>
                <w:szCs w:val="21"/>
              </w:rPr>
              <w:t>课程目标2</w:t>
            </w:r>
          </w:p>
        </w:tc>
      </w:tr>
      <w:tr w14:paraId="22DF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0A53383">
            <w:pPr>
              <w:spacing w:line="276" w:lineRule="auto"/>
              <w:jc w:val="left"/>
              <w:rPr>
                <w:b/>
                <w:bCs/>
                <w:szCs w:val="21"/>
              </w:rPr>
            </w:pPr>
            <w:r>
              <w:rPr>
                <w:rFonts w:hint="eastAsia"/>
                <w:b/>
                <w:bCs/>
                <w:szCs w:val="21"/>
              </w:rPr>
              <w:t>毕业要求8沟通合作</w:t>
            </w:r>
          </w:p>
        </w:tc>
        <w:tc>
          <w:tcPr>
            <w:tcW w:w="5688" w:type="dxa"/>
            <w:vAlign w:val="center"/>
          </w:tcPr>
          <w:p w14:paraId="5CB5DC5D">
            <w:pPr>
              <w:spacing w:line="276" w:lineRule="auto"/>
              <w:jc w:val="left"/>
              <w:rPr>
                <w:szCs w:val="21"/>
              </w:rPr>
            </w:pPr>
            <w:r>
              <w:rPr>
                <w:rFonts w:hint="eastAsia"/>
                <w:b/>
                <w:szCs w:val="21"/>
              </w:rPr>
              <w:t>指标点8-2</w:t>
            </w:r>
            <w:r>
              <w:rPr>
                <w:rFonts w:hint="eastAsia"/>
                <w:szCs w:val="21"/>
              </w:rPr>
              <w:t>：【学会沟通交流】掌握人际沟通合作技能与方法，在教育教学实践中，能与学生和家长以及同行、同事、专家进行有效沟通与合作，实现共同发展。</w:t>
            </w:r>
          </w:p>
        </w:tc>
        <w:tc>
          <w:tcPr>
            <w:tcW w:w="1191" w:type="dxa"/>
            <w:vAlign w:val="center"/>
          </w:tcPr>
          <w:p w14:paraId="47D3C955">
            <w:pPr>
              <w:spacing w:line="276" w:lineRule="auto"/>
              <w:jc w:val="left"/>
              <w:rPr>
                <w:szCs w:val="21"/>
              </w:rPr>
            </w:pPr>
            <w:r>
              <w:rPr>
                <w:rFonts w:hint="eastAsia"/>
                <w:szCs w:val="21"/>
              </w:rPr>
              <w:t>课程目标3</w:t>
            </w:r>
          </w:p>
        </w:tc>
      </w:tr>
    </w:tbl>
    <w:p w14:paraId="7693DCF4">
      <w:pPr>
        <w:spacing w:before="156" w:beforeLines="50" w:line="360" w:lineRule="auto"/>
        <w:ind w:firstLine="422" w:firstLineChars="200"/>
        <w:jc w:val="left"/>
        <w:rPr>
          <w:rFonts w:hint="eastAsia" w:ascii="宋体" w:hAnsi="宋体"/>
          <w:b/>
          <w:szCs w:val="21"/>
        </w:rPr>
      </w:pPr>
      <w:r>
        <w:rPr>
          <w:rFonts w:hint="eastAsia" w:ascii="宋体" w:hAnsi="宋体"/>
          <w:b/>
          <w:szCs w:val="21"/>
        </w:rPr>
        <w:t>（三）课程思政目标</w:t>
      </w:r>
    </w:p>
    <w:p w14:paraId="21907654">
      <w:pPr>
        <w:spacing w:line="360" w:lineRule="auto"/>
        <w:ind w:firstLine="420" w:firstLineChars="200"/>
        <w:jc w:val="left"/>
        <w:rPr>
          <w:rFonts w:hint="eastAsia" w:ascii="宋体" w:hAnsi="宋体"/>
          <w:szCs w:val="21"/>
        </w:rPr>
      </w:pPr>
      <w:r>
        <w:rPr>
          <w:rFonts w:hint="eastAsia" w:ascii="宋体" w:hAnsi="宋体"/>
          <w:szCs w:val="21"/>
        </w:rPr>
        <w:t>促使学生基本养成科学思维的意识，提高学生对我国传统的逻辑学等传统文化的兴趣；通过例证渗透爱国主义思想，社会主义核心价值观，分析不当言论的逻辑错误，提高学生的判断能力，并通过辩论等形式提高学生解决问题的能力，学习理性思维，关注社会现象，提高批判思维能力。</w:t>
      </w:r>
    </w:p>
    <w:p w14:paraId="3E182764">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560"/>
        <w:gridCol w:w="438"/>
      </w:tblGrid>
      <w:tr w14:paraId="7EED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3FAC0DFB">
            <w:pPr>
              <w:jc w:val="center"/>
              <w:rPr>
                <w:rFonts w:hint="eastAsia" w:ascii="宋体" w:hAnsi="宋体"/>
                <w:b/>
                <w:szCs w:val="21"/>
              </w:rPr>
            </w:pPr>
            <w:r>
              <w:rPr>
                <w:rFonts w:hint="eastAsia" w:ascii="宋体" w:hAnsi="宋体"/>
                <w:b/>
                <w:szCs w:val="21"/>
              </w:rPr>
              <w:t>知识</w:t>
            </w:r>
          </w:p>
          <w:p w14:paraId="46A12A2E">
            <w:pPr>
              <w:jc w:val="center"/>
              <w:rPr>
                <w:rFonts w:hint="eastAsia" w:ascii="宋体" w:hAnsi="宋体"/>
                <w:b/>
                <w:szCs w:val="21"/>
              </w:rPr>
            </w:pPr>
            <w:r>
              <w:rPr>
                <w:rFonts w:hint="eastAsia" w:ascii="宋体" w:hAnsi="宋体"/>
                <w:b/>
                <w:szCs w:val="21"/>
              </w:rPr>
              <w:t>单元</w:t>
            </w:r>
          </w:p>
        </w:tc>
        <w:tc>
          <w:tcPr>
            <w:tcW w:w="1701" w:type="dxa"/>
            <w:vAlign w:val="center"/>
          </w:tcPr>
          <w:p w14:paraId="2FDBF1F1">
            <w:pPr>
              <w:jc w:val="center"/>
              <w:rPr>
                <w:rFonts w:hint="eastAsia" w:ascii="宋体" w:hAnsi="宋体"/>
                <w:b/>
                <w:szCs w:val="21"/>
              </w:rPr>
            </w:pPr>
            <w:r>
              <w:rPr>
                <w:rFonts w:hint="eastAsia" w:ascii="宋体" w:hAnsi="宋体"/>
                <w:b/>
                <w:szCs w:val="21"/>
              </w:rPr>
              <w:t>知识点</w:t>
            </w:r>
          </w:p>
        </w:tc>
        <w:tc>
          <w:tcPr>
            <w:tcW w:w="1134" w:type="dxa"/>
            <w:vAlign w:val="center"/>
          </w:tcPr>
          <w:p w14:paraId="23DD6C1D">
            <w:pPr>
              <w:jc w:val="center"/>
              <w:rPr>
                <w:rFonts w:hint="eastAsia" w:ascii="宋体" w:hAnsi="宋体"/>
                <w:b/>
                <w:szCs w:val="21"/>
              </w:rPr>
            </w:pPr>
            <w:r>
              <w:rPr>
                <w:rFonts w:hint="eastAsia" w:ascii="宋体" w:hAnsi="宋体"/>
                <w:b/>
                <w:szCs w:val="21"/>
              </w:rPr>
              <w:t>对应</w:t>
            </w:r>
          </w:p>
          <w:p w14:paraId="00896BE8">
            <w:pPr>
              <w:jc w:val="center"/>
              <w:rPr>
                <w:rFonts w:hint="eastAsia" w:ascii="宋体" w:hAnsi="宋体"/>
                <w:b/>
                <w:szCs w:val="21"/>
              </w:rPr>
            </w:pPr>
            <w:r>
              <w:rPr>
                <w:rFonts w:hint="eastAsia" w:ascii="宋体" w:hAnsi="宋体"/>
                <w:b/>
                <w:szCs w:val="21"/>
              </w:rPr>
              <w:t>课程目标</w:t>
            </w:r>
          </w:p>
        </w:tc>
        <w:tc>
          <w:tcPr>
            <w:tcW w:w="3260" w:type="dxa"/>
            <w:vAlign w:val="center"/>
          </w:tcPr>
          <w:p w14:paraId="32FD4ED1">
            <w:pPr>
              <w:jc w:val="center"/>
              <w:rPr>
                <w:rFonts w:hint="eastAsia" w:ascii="宋体" w:hAnsi="宋体"/>
                <w:b/>
                <w:szCs w:val="21"/>
              </w:rPr>
            </w:pPr>
            <w:r>
              <w:rPr>
                <w:rFonts w:hint="eastAsia" w:ascii="宋体" w:hAnsi="宋体"/>
                <w:b/>
                <w:szCs w:val="21"/>
              </w:rPr>
              <w:t>预期学习成效</w:t>
            </w:r>
          </w:p>
        </w:tc>
        <w:tc>
          <w:tcPr>
            <w:tcW w:w="1560" w:type="dxa"/>
            <w:vAlign w:val="center"/>
          </w:tcPr>
          <w:p w14:paraId="3AC56FDC">
            <w:pPr>
              <w:jc w:val="center"/>
              <w:rPr>
                <w:rFonts w:hint="eastAsia" w:ascii="宋体" w:hAnsi="宋体"/>
                <w:b/>
                <w:szCs w:val="21"/>
              </w:rPr>
            </w:pPr>
            <w:r>
              <w:rPr>
                <w:rFonts w:hint="eastAsia" w:ascii="宋体" w:hAnsi="宋体"/>
                <w:b/>
                <w:szCs w:val="21"/>
              </w:rPr>
              <w:t>实现环节</w:t>
            </w:r>
          </w:p>
        </w:tc>
        <w:tc>
          <w:tcPr>
            <w:tcW w:w="438" w:type="dxa"/>
            <w:vAlign w:val="center"/>
          </w:tcPr>
          <w:p w14:paraId="43611849">
            <w:pPr>
              <w:jc w:val="center"/>
              <w:rPr>
                <w:rFonts w:hint="eastAsia" w:ascii="宋体" w:hAnsi="宋体"/>
                <w:b/>
                <w:szCs w:val="21"/>
              </w:rPr>
            </w:pPr>
            <w:r>
              <w:rPr>
                <w:rFonts w:hint="eastAsia" w:ascii="宋体" w:hAnsi="宋体"/>
                <w:b/>
                <w:szCs w:val="21"/>
              </w:rPr>
              <w:t>学时</w:t>
            </w:r>
          </w:p>
        </w:tc>
      </w:tr>
      <w:tr w14:paraId="48D4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8F0F21E">
            <w:pPr>
              <w:jc w:val="center"/>
              <w:rPr>
                <w:rFonts w:hint="eastAsia" w:ascii="宋体" w:hAnsi="宋体"/>
                <w:szCs w:val="21"/>
              </w:rPr>
            </w:pPr>
            <w:r>
              <w:rPr>
                <w:rFonts w:hint="eastAsia" w:ascii="宋体" w:hAnsi="宋体"/>
                <w:szCs w:val="21"/>
              </w:rPr>
              <w:t>1. 绪论</w:t>
            </w:r>
          </w:p>
        </w:tc>
        <w:tc>
          <w:tcPr>
            <w:tcW w:w="1701" w:type="dxa"/>
            <w:vAlign w:val="center"/>
          </w:tcPr>
          <w:p w14:paraId="4E8556AB">
            <w:pPr>
              <w:jc w:val="left"/>
              <w:rPr>
                <w:rFonts w:hint="eastAsia" w:ascii="宋体" w:hAnsi="宋体"/>
                <w:szCs w:val="21"/>
              </w:rPr>
            </w:pPr>
            <w:r>
              <w:rPr>
                <w:rFonts w:hint="eastAsia" w:ascii="宋体" w:hAnsi="宋体"/>
                <w:szCs w:val="21"/>
              </w:rPr>
              <w:t>1.形式逻辑的研究对象、性质和作用</w:t>
            </w:r>
          </w:p>
          <w:p w14:paraId="6C5ABC01">
            <w:pPr>
              <w:jc w:val="left"/>
              <w:rPr>
                <w:rFonts w:hint="eastAsia" w:ascii="宋体" w:hAnsi="宋体"/>
                <w:szCs w:val="21"/>
              </w:rPr>
            </w:pPr>
            <w:r>
              <w:rPr>
                <w:rFonts w:hint="eastAsia" w:ascii="宋体" w:hAnsi="宋体"/>
                <w:szCs w:val="21"/>
              </w:rPr>
              <w:t>2.形式逻辑、数理逻辑和辩证逻辑三者间的关系</w:t>
            </w:r>
          </w:p>
        </w:tc>
        <w:tc>
          <w:tcPr>
            <w:tcW w:w="1134" w:type="dxa"/>
            <w:vAlign w:val="center"/>
          </w:tcPr>
          <w:p w14:paraId="6FEB630E">
            <w:pPr>
              <w:jc w:val="center"/>
              <w:rPr>
                <w:rFonts w:hint="eastAsia" w:ascii="宋体" w:hAnsi="宋体"/>
                <w:szCs w:val="21"/>
              </w:rPr>
            </w:pPr>
            <w:r>
              <w:rPr>
                <w:rFonts w:hint="eastAsia" w:ascii="宋体" w:hAnsi="宋体"/>
                <w:szCs w:val="21"/>
              </w:rPr>
              <w:t>课程目标1</w:t>
            </w:r>
          </w:p>
        </w:tc>
        <w:tc>
          <w:tcPr>
            <w:tcW w:w="3260" w:type="dxa"/>
            <w:vAlign w:val="center"/>
          </w:tcPr>
          <w:p w14:paraId="3443F11E">
            <w:pPr>
              <w:pStyle w:val="31"/>
              <w:ind w:firstLine="0" w:firstLineChars="0"/>
              <w:jc w:val="left"/>
              <w:rPr>
                <w:rFonts w:hint="eastAsia" w:ascii="宋体" w:hAnsi="宋体"/>
                <w:szCs w:val="21"/>
              </w:rPr>
            </w:pPr>
            <w:r>
              <w:rPr>
                <w:rFonts w:hint="eastAsia" w:ascii="宋体" w:hAnsi="宋体"/>
                <w:szCs w:val="21"/>
              </w:rPr>
              <w:t>1.掌握形式逻辑的研究对象</w:t>
            </w:r>
          </w:p>
          <w:p w14:paraId="2D85EE6E">
            <w:pPr>
              <w:pStyle w:val="31"/>
              <w:ind w:firstLine="0" w:firstLineChars="0"/>
              <w:jc w:val="left"/>
              <w:rPr>
                <w:rFonts w:hint="eastAsia" w:ascii="宋体" w:hAnsi="宋体"/>
                <w:szCs w:val="21"/>
              </w:rPr>
            </w:pPr>
            <w:r>
              <w:rPr>
                <w:rFonts w:hint="eastAsia" w:ascii="宋体" w:hAnsi="宋体"/>
                <w:szCs w:val="21"/>
              </w:rPr>
              <w:t>2.了解形式逻辑的性质、作用及其和数理逻辑、辩证逻辑的关系。</w:t>
            </w:r>
          </w:p>
        </w:tc>
        <w:tc>
          <w:tcPr>
            <w:tcW w:w="1560" w:type="dxa"/>
            <w:vAlign w:val="center"/>
          </w:tcPr>
          <w:p w14:paraId="0618C656">
            <w:pPr>
              <w:jc w:val="left"/>
              <w:rPr>
                <w:rFonts w:hint="eastAsia" w:ascii="宋体" w:hAnsi="宋体"/>
                <w:szCs w:val="21"/>
              </w:rPr>
            </w:pPr>
            <w:r>
              <w:rPr>
                <w:rFonts w:hint="eastAsia" w:ascii="宋体" w:hAnsi="宋体"/>
                <w:szCs w:val="21"/>
              </w:rPr>
              <w:t>1.线上学习</w:t>
            </w:r>
          </w:p>
          <w:p w14:paraId="7F7D7295">
            <w:pPr>
              <w:jc w:val="left"/>
              <w:rPr>
                <w:rFonts w:hint="eastAsia" w:ascii="宋体" w:hAnsi="宋体"/>
                <w:szCs w:val="21"/>
              </w:rPr>
            </w:pPr>
            <w:r>
              <w:rPr>
                <w:rFonts w:hint="eastAsia" w:ascii="宋体" w:hAnsi="宋体"/>
                <w:szCs w:val="21"/>
              </w:rPr>
              <w:t>2.多媒体教学3.课堂讨论</w:t>
            </w:r>
          </w:p>
          <w:p w14:paraId="0AA1B7D1">
            <w:pPr>
              <w:jc w:val="left"/>
              <w:rPr>
                <w:rFonts w:hint="eastAsia" w:ascii="宋体" w:hAnsi="宋体"/>
                <w:szCs w:val="21"/>
              </w:rPr>
            </w:pPr>
            <w:r>
              <w:rPr>
                <w:rFonts w:hint="eastAsia" w:ascii="宋体" w:hAnsi="宋体"/>
                <w:szCs w:val="21"/>
              </w:rPr>
              <w:t>4.课内实践</w:t>
            </w:r>
          </w:p>
        </w:tc>
        <w:tc>
          <w:tcPr>
            <w:tcW w:w="438" w:type="dxa"/>
            <w:vAlign w:val="center"/>
          </w:tcPr>
          <w:p w14:paraId="79157FCD">
            <w:pPr>
              <w:jc w:val="center"/>
              <w:rPr>
                <w:rFonts w:hint="eastAsia" w:ascii="宋体" w:hAnsi="宋体"/>
                <w:szCs w:val="21"/>
              </w:rPr>
            </w:pPr>
            <w:r>
              <w:rPr>
                <w:rFonts w:hint="eastAsia" w:ascii="宋体" w:hAnsi="宋体"/>
                <w:szCs w:val="21"/>
              </w:rPr>
              <w:t>2</w:t>
            </w:r>
          </w:p>
        </w:tc>
      </w:tr>
      <w:tr w14:paraId="3171A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52819C5">
            <w:pPr>
              <w:jc w:val="center"/>
              <w:rPr>
                <w:rFonts w:hint="eastAsia" w:ascii="宋体" w:hAnsi="宋体"/>
                <w:szCs w:val="21"/>
              </w:rPr>
            </w:pPr>
          </w:p>
        </w:tc>
        <w:tc>
          <w:tcPr>
            <w:tcW w:w="8093" w:type="dxa"/>
            <w:gridSpan w:val="5"/>
            <w:vAlign w:val="center"/>
          </w:tcPr>
          <w:p w14:paraId="0E7173BC">
            <w:pPr>
              <w:jc w:val="left"/>
              <w:rPr>
                <w:rFonts w:hint="eastAsia" w:ascii="宋体" w:hAnsi="宋体"/>
                <w:szCs w:val="21"/>
              </w:rPr>
            </w:pPr>
            <w:r>
              <w:rPr>
                <w:rFonts w:hint="eastAsia" w:ascii="宋体" w:hAnsi="宋体"/>
                <w:b/>
                <w:szCs w:val="21"/>
              </w:rPr>
              <w:t>课程思政目标：</w:t>
            </w:r>
            <w:r>
              <w:rPr>
                <w:rFonts w:hint="eastAsia" w:ascii="宋体" w:hAnsi="宋体"/>
                <w:szCs w:val="21"/>
              </w:rPr>
              <w:t>养成科学思维的意识，提高学生对我国传统的逻辑学等传统文化的兴趣</w:t>
            </w:r>
          </w:p>
        </w:tc>
      </w:tr>
      <w:tr w14:paraId="748D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0F80183">
            <w:pPr>
              <w:jc w:val="center"/>
              <w:rPr>
                <w:rFonts w:hint="eastAsia" w:ascii="宋体" w:hAnsi="宋体"/>
                <w:szCs w:val="21"/>
              </w:rPr>
            </w:pPr>
            <w:r>
              <w:rPr>
                <w:rFonts w:hint="eastAsia" w:ascii="宋体" w:hAnsi="宋体"/>
                <w:szCs w:val="21"/>
              </w:rPr>
              <w:t>2．概念</w:t>
            </w:r>
          </w:p>
        </w:tc>
        <w:tc>
          <w:tcPr>
            <w:tcW w:w="1701" w:type="dxa"/>
            <w:vAlign w:val="center"/>
          </w:tcPr>
          <w:p w14:paraId="755EEFCE">
            <w:pPr>
              <w:jc w:val="left"/>
              <w:rPr>
                <w:rFonts w:hint="eastAsia" w:ascii="宋体" w:hAnsi="宋体"/>
                <w:szCs w:val="21"/>
              </w:rPr>
            </w:pPr>
            <w:r>
              <w:rPr>
                <w:rFonts w:hint="eastAsia" w:ascii="宋体" w:hAnsi="宋体"/>
                <w:szCs w:val="21"/>
              </w:rPr>
              <w:t>1.概念的内涵与外延</w:t>
            </w:r>
          </w:p>
          <w:p w14:paraId="56229D5B">
            <w:pPr>
              <w:jc w:val="left"/>
              <w:rPr>
                <w:rFonts w:hint="eastAsia" w:ascii="宋体" w:hAnsi="宋体"/>
                <w:szCs w:val="21"/>
              </w:rPr>
            </w:pPr>
            <w:r>
              <w:rPr>
                <w:rFonts w:hint="eastAsia" w:ascii="宋体" w:hAnsi="宋体"/>
                <w:szCs w:val="21"/>
              </w:rPr>
              <w:t>2.概念的种类</w:t>
            </w:r>
          </w:p>
          <w:p w14:paraId="08FB9F14">
            <w:pPr>
              <w:jc w:val="left"/>
              <w:rPr>
                <w:rFonts w:hint="eastAsia" w:ascii="宋体" w:hAnsi="宋体"/>
                <w:szCs w:val="21"/>
              </w:rPr>
            </w:pPr>
            <w:r>
              <w:rPr>
                <w:rFonts w:hint="eastAsia" w:ascii="宋体" w:hAnsi="宋体"/>
                <w:szCs w:val="21"/>
              </w:rPr>
              <w:t>3.概念间的关系</w:t>
            </w:r>
          </w:p>
          <w:p w14:paraId="38126EC6">
            <w:pPr>
              <w:jc w:val="left"/>
              <w:rPr>
                <w:rFonts w:hint="eastAsia" w:ascii="宋体" w:hAnsi="宋体"/>
                <w:szCs w:val="21"/>
              </w:rPr>
            </w:pPr>
            <w:r>
              <w:rPr>
                <w:rFonts w:hint="eastAsia" w:ascii="宋体" w:hAnsi="宋体"/>
                <w:szCs w:val="21"/>
              </w:rPr>
              <w:t>4.定义</w:t>
            </w:r>
          </w:p>
          <w:p w14:paraId="363077B9">
            <w:pPr>
              <w:jc w:val="left"/>
              <w:rPr>
                <w:rFonts w:hint="eastAsia" w:ascii="宋体" w:hAnsi="宋体"/>
                <w:szCs w:val="21"/>
              </w:rPr>
            </w:pPr>
            <w:r>
              <w:rPr>
                <w:rFonts w:hint="eastAsia" w:ascii="宋体" w:hAnsi="宋体"/>
                <w:szCs w:val="21"/>
              </w:rPr>
              <w:t>5.划分</w:t>
            </w:r>
          </w:p>
          <w:p w14:paraId="7C6DCD38">
            <w:pPr>
              <w:jc w:val="left"/>
              <w:rPr>
                <w:rFonts w:hint="eastAsia" w:ascii="宋体" w:hAnsi="宋体"/>
                <w:szCs w:val="21"/>
              </w:rPr>
            </w:pPr>
            <w:r>
              <w:rPr>
                <w:rFonts w:hint="eastAsia" w:ascii="宋体" w:hAnsi="宋体"/>
                <w:szCs w:val="21"/>
              </w:rPr>
              <w:t>6.概括与限制</w:t>
            </w:r>
          </w:p>
        </w:tc>
        <w:tc>
          <w:tcPr>
            <w:tcW w:w="1134" w:type="dxa"/>
            <w:vAlign w:val="center"/>
          </w:tcPr>
          <w:p w14:paraId="1B66D575">
            <w:pPr>
              <w:jc w:val="center"/>
              <w:rPr>
                <w:rFonts w:hint="eastAsia" w:ascii="宋体" w:hAnsi="宋体"/>
                <w:szCs w:val="21"/>
              </w:rPr>
            </w:pPr>
            <w:r>
              <w:rPr>
                <w:rFonts w:hint="eastAsia" w:ascii="宋体" w:hAnsi="宋体"/>
                <w:szCs w:val="21"/>
              </w:rPr>
              <w:t>课程目标2</w:t>
            </w:r>
          </w:p>
        </w:tc>
        <w:tc>
          <w:tcPr>
            <w:tcW w:w="3260" w:type="dxa"/>
            <w:vAlign w:val="center"/>
          </w:tcPr>
          <w:p w14:paraId="5317A393">
            <w:pPr>
              <w:jc w:val="left"/>
              <w:rPr>
                <w:rFonts w:hint="eastAsia" w:ascii="宋体" w:hAnsi="宋体"/>
                <w:szCs w:val="21"/>
              </w:rPr>
            </w:pPr>
            <w:r>
              <w:rPr>
                <w:rFonts w:hint="eastAsia" w:ascii="宋体" w:hAnsi="宋体"/>
                <w:szCs w:val="21"/>
              </w:rPr>
              <w:t>1.理解概念的特征、种类、概念间的关系；</w:t>
            </w:r>
          </w:p>
          <w:p w14:paraId="4CEB0F79">
            <w:pPr>
              <w:jc w:val="left"/>
              <w:rPr>
                <w:rFonts w:hint="eastAsia" w:ascii="宋体" w:hAnsi="宋体"/>
                <w:szCs w:val="21"/>
              </w:rPr>
            </w:pPr>
            <w:r>
              <w:rPr>
                <w:rFonts w:hint="eastAsia" w:ascii="宋体" w:hAnsi="宋体"/>
                <w:szCs w:val="21"/>
              </w:rPr>
              <w:t>2.掌握定义、划分的方法与规则；</w:t>
            </w:r>
          </w:p>
          <w:p w14:paraId="70BD8353">
            <w:pPr>
              <w:jc w:val="left"/>
              <w:rPr>
                <w:rFonts w:hint="eastAsia" w:ascii="宋体" w:hAnsi="宋体"/>
                <w:szCs w:val="21"/>
              </w:rPr>
            </w:pPr>
            <w:r>
              <w:rPr>
                <w:rFonts w:hint="eastAsia" w:ascii="宋体" w:hAnsi="宋体"/>
                <w:szCs w:val="21"/>
              </w:rPr>
              <w:t>3.能正确地对概念进行概括与限制；会用欧拉图解表示概念间的关系。</w:t>
            </w:r>
          </w:p>
        </w:tc>
        <w:tc>
          <w:tcPr>
            <w:tcW w:w="1560" w:type="dxa"/>
            <w:vAlign w:val="center"/>
          </w:tcPr>
          <w:p w14:paraId="3163F659">
            <w:pPr>
              <w:jc w:val="left"/>
              <w:rPr>
                <w:rFonts w:hint="eastAsia" w:ascii="宋体" w:hAnsi="宋体"/>
                <w:szCs w:val="21"/>
              </w:rPr>
            </w:pPr>
            <w:r>
              <w:rPr>
                <w:rFonts w:hint="eastAsia" w:ascii="宋体" w:hAnsi="宋体"/>
                <w:szCs w:val="21"/>
              </w:rPr>
              <w:t>1.线上学习</w:t>
            </w:r>
          </w:p>
          <w:p w14:paraId="62EE7D16">
            <w:pPr>
              <w:jc w:val="left"/>
              <w:rPr>
                <w:rFonts w:hint="eastAsia" w:ascii="宋体" w:hAnsi="宋体"/>
                <w:szCs w:val="21"/>
              </w:rPr>
            </w:pPr>
            <w:r>
              <w:rPr>
                <w:rFonts w:hint="eastAsia" w:ascii="宋体" w:hAnsi="宋体"/>
                <w:szCs w:val="21"/>
              </w:rPr>
              <w:t>2.多媒体教学3.课堂讨论</w:t>
            </w:r>
          </w:p>
          <w:p w14:paraId="72419D24">
            <w:pPr>
              <w:jc w:val="left"/>
              <w:rPr>
                <w:rFonts w:hint="eastAsia" w:ascii="宋体" w:hAnsi="宋体"/>
                <w:szCs w:val="21"/>
              </w:rPr>
            </w:pPr>
            <w:r>
              <w:rPr>
                <w:rFonts w:hint="eastAsia" w:ascii="宋体" w:hAnsi="宋体"/>
                <w:szCs w:val="21"/>
              </w:rPr>
              <w:t>4.单元测验</w:t>
            </w:r>
          </w:p>
          <w:p w14:paraId="5A365A59">
            <w:pPr>
              <w:jc w:val="left"/>
              <w:rPr>
                <w:rFonts w:hint="eastAsia" w:ascii="宋体" w:hAnsi="宋体"/>
                <w:szCs w:val="21"/>
              </w:rPr>
            </w:pPr>
            <w:r>
              <w:rPr>
                <w:rFonts w:hint="eastAsia" w:ascii="宋体" w:hAnsi="宋体"/>
                <w:szCs w:val="21"/>
              </w:rPr>
              <w:t>5.课内实践</w:t>
            </w:r>
          </w:p>
        </w:tc>
        <w:tc>
          <w:tcPr>
            <w:tcW w:w="438" w:type="dxa"/>
            <w:vAlign w:val="center"/>
          </w:tcPr>
          <w:p w14:paraId="7234F44D">
            <w:pPr>
              <w:jc w:val="center"/>
              <w:rPr>
                <w:rFonts w:hint="eastAsia" w:ascii="宋体" w:hAnsi="宋体"/>
                <w:szCs w:val="21"/>
              </w:rPr>
            </w:pPr>
            <w:r>
              <w:rPr>
                <w:rFonts w:hint="eastAsia" w:ascii="宋体" w:hAnsi="宋体"/>
                <w:szCs w:val="21"/>
              </w:rPr>
              <w:t>6</w:t>
            </w:r>
          </w:p>
        </w:tc>
      </w:tr>
      <w:tr w14:paraId="640F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5B8B6F6">
            <w:pPr>
              <w:jc w:val="center"/>
              <w:rPr>
                <w:rFonts w:hint="eastAsia" w:ascii="宋体" w:hAnsi="宋体"/>
                <w:szCs w:val="21"/>
              </w:rPr>
            </w:pPr>
          </w:p>
        </w:tc>
        <w:tc>
          <w:tcPr>
            <w:tcW w:w="8093" w:type="dxa"/>
            <w:gridSpan w:val="5"/>
            <w:vAlign w:val="center"/>
          </w:tcPr>
          <w:p w14:paraId="7A4FD79A">
            <w:pPr>
              <w:jc w:val="left"/>
              <w:rPr>
                <w:rFonts w:hint="eastAsia" w:ascii="宋体" w:hAnsi="宋体"/>
                <w:szCs w:val="21"/>
              </w:rPr>
            </w:pPr>
            <w:r>
              <w:rPr>
                <w:rFonts w:hint="eastAsia" w:ascii="宋体" w:hAnsi="宋体"/>
                <w:b/>
                <w:szCs w:val="21"/>
              </w:rPr>
              <w:t>课程思政目标：</w:t>
            </w:r>
            <w:r>
              <w:rPr>
                <w:rFonts w:hint="eastAsia" w:ascii="宋体" w:hAnsi="宋体"/>
                <w:szCs w:val="21"/>
              </w:rPr>
              <w:t>通过例证渗透爱国主义思想，社会主义核心价值观，分析不当言论的逻辑错误，提高学生的判断能力。</w:t>
            </w:r>
          </w:p>
        </w:tc>
      </w:tr>
      <w:tr w14:paraId="46FB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3435124">
            <w:pPr>
              <w:jc w:val="center"/>
              <w:rPr>
                <w:rFonts w:hint="eastAsia" w:ascii="宋体" w:hAnsi="宋体"/>
                <w:szCs w:val="21"/>
              </w:rPr>
            </w:pPr>
            <w:r>
              <w:rPr>
                <w:rFonts w:hint="eastAsia" w:ascii="宋体" w:hAnsi="宋体"/>
                <w:szCs w:val="21"/>
              </w:rPr>
              <w:t>3.直言命题及其推理</w:t>
            </w:r>
          </w:p>
        </w:tc>
        <w:tc>
          <w:tcPr>
            <w:tcW w:w="1701" w:type="dxa"/>
            <w:vAlign w:val="center"/>
          </w:tcPr>
          <w:p w14:paraId="388C93DE">
            <w:pPr>
              <w:jc w:val="left"/>
              <w:rPr>
                <w:rFonts w:hint="eastAsia" w:ascii="宋体" w:hAnsi="宋体"/>
                <w:szCs w:val="21"/>
              </w:rPr>
            </w:pPr>
            <w:r>
              <w:rPr>
                <w:rFonts w:hint="eastAsia" w:ascii="宋体" w:hAnsi="宋体"/>
                <w:szCs w:val="21"/>
              </w:rPr>
              <w:t>1.命题的定义、表达与种类</w:t>
            </w:r>
          </w:p>
          <w:p w14:paraId="0411718F">
            <w:pPr>
              <w:jc w:val="left"/>
              <w:rPr>
                <w:rFonts w:hint="eastAsia" w:ascii="宋体" w:hAnsi="宋体"/>
                <w:szCs w:val="21"/>
              </w:rPr>
            </w:pPr>
            <w:r>
              <w:rPr>
                <w:rFonts w:hint="eastAsia" w:ascii="宋体" w:hAnsi="宋体"/>
                <w:szCs w:val="21"/>
              </w:rPr>
              <w:t>2.直言命题</w:t>
            </w:r>
          </w:p>
          <w:p w14:paraId="2C3E407C">
            <w:pPr>
              <w:jc w:val="left"/>
              <w:rPr>
                <w:rFonts w:hint="eastAsia" w:ascii="宋体" w:hAnsi="宋体"/>
                <w:szCs w:val="21"/>
              </w:rPr>
            </w:pPr>
            <w:r>
              <w:rPr>
                <w:rFonts w:hint="eastAsia" w:ascii="宋体" w:hAnsi="宋体"/>
                <w:szCs w:val="21"/>
              </w:rPr>
              <w:t xml:space="preserve">3.推理的定义、表达与种类 </w:t>
            </w:r>
          </w:p>
          <w:p w14:paraId="6B3C9E1A">
            <w:pPr>
              <w:jc w:val="left"/>
              <w:rPr>
                <w:rFonts w:hint="eastAsia" w:ascii="宋体" w:hAnsi="宋体"/>
                <w:szCs w:val="21"/>
              </w:rPr>
            </w:pPr>
            <w:r>
              <w:rPr>
                <w:rFonts w:hint="eastAsia" w:ascii="宋体" w:hAnsi="宋体"/>
                <w:szCs w:val="21"/>
              </w:rPr>
              <w:t>4.直接推理</w:t>
            </w:r>
          </w:p>
          <w:p w14:paraId="0F8A291C">
            <w:pPr>
              <w:jc w:val="left"/>
              <w:rPr>
                <w:rFonts w:hint="eastAsia" w:ascii="宋体" w:hAnsi="宋体"/>
                <w:szCs w:val="21"/>
              </w:rPr>
            </w:pPr>
            <w:r>
              <w:rPr>
                <w:rFonts w:hint="eastAsia" w:ascii="宋体" w:hAnsi="宋体"/>
                <w:szCs w:val="21"/>
              </w:rPr>
              <w:t>5.三段论</w:t>
            </w:r>
          </w:p>
        </w:tc>
        <w:tc>
          <w:tcPr>
            <w:tcW w:w="1134" w:type="dxa"/>
            <w:vAlign w:val="center"/>
          </w:tcPr>
          <w:p w14:paraId="4257CCBF">
            <w:pPr>
              <w:jc w:val="center"/>
              <w:rPr>
                <w:rFonts w:hint="eastAsia" w:ascii="宋体" w:hAnsi="宋体"/>
                <w:szCs w:val="21"/>
              </w:rPr>
            </w:pPr>
            <w:r>
              <w:rPr>
                <w:rFonts w:hint="eastAsia" w:ascii="宋体" w:hAnsi="宋体"/>
                <w:szCs w:val="21"/>
              </w:rPr>
              <w:t>课程目标2、3</w:t>
            </w:r>
          </w:p>
        </w:tc>
        <w:tc>
          <w:tcPr>
            <w:tcW w:w="3260" w:type="dxa"/>
            <w:vAlign w:val="center"/>
          </w:tcPr>
          <w:p w14:paraId="3D56905B">
            <w:pPr>
              <w:jc w:val="left"/>
              <w:rPr>
                <w:rFonts w:hint="eastAsia" w:ascii="宋体" w:hAnsi="宋体"/>
                <w:szCs w:val="21"/>
              </w:rPr>
            </w:pPr>
            <w:r>
              <w:rPr>
                <w:rFonts w:hint="eastAsia" w:ascii="宋体" w:hAnsi="宋体"/>
                <w:szCs w:val="21"/>
              </w:rPr>
              <w:t>1.了解判断、推理的逻辑特征和类型，常见直言命题及其推理；</w:t>
            </w:r>
          </w:p>
          <w:p w14:paraId="3CECCC26">
            <w:pPr>
              <w:jc w:val="left"/>
              <w:rPr>
                <w:rFonts w:hint="eastAsia" w:ascii="宋体" w:hAnsi="宋体"/>
                <w:szCs w:val="21"/>
              </w:rPr>
            </w:pPr>
            <w:r>
              <w:rPr>
                <w:rFonts w:hint="eastAsia" w:ascii="宋体" w:hAnsi="宋体"/>
                <w:szCs w:val="21"/>
              </w:rPr>
              <w:t>2.掌握直言命题的种类，性质相同的A、E、I、O四种直言命题间的对当关系，直言命题构成的直接推理。</w:t>
            </w:r>
          </w:p>
          <w:p w14:paraId="6360A685">
            <w:pPr>
              <w:jc w:val="left"/>
              <w:rPr>
                <w:rFonts w:hint="eastAsia" w:ascii="宋体" w:hAnsi="宋体"/>
                <w:szCs w:val="21"/>
              </w:rPr>
            </w:pPr>
            <w:r>
              <w:rPr>
                <w:rFonts w:hint="eastAsia" w:ascii="宋体" w:hAnsi="宋体"/>
                <w:szCs w:val="21"/>
              </w:rPr>
              <w:t>3.掌握三段论推理的规则及省略三段论的补充；会分析三段论的构成。</w:t>
            </w:r>
          </w:p>
        </w:tc>
        <w:tc>
          <w:tcPr>
            <w:tcW w:w="1560" w:type="dxa"/>
            <w:vAlign w:val="center"/>
          </w:tcPr>
          <w:p w14:paraId="0DE1188E">
            <w:pPr>
              <w:jc w:val="left"/>
              <w:rPr>
                <w:rFonts w:hint="eastAsia" w:ascii="宋体" w:hAnsi="宋体"/>
                <w:szCs w:val="21"/>
              </w:rPr>
            </w:pPr>
            <w:r>
              <w:rPr>
                <w:rFonts w:ascii="宋体" w:hAnsi="宋体"/>
                <w:szCs w:val="21"/>
              </w:rPr>
              <w:t>1.线上学习</w:t>
            </w:r>
          </w:p>
          <w:p w14:paraId="0F77CA11">
            <w:pPr>
              <w:jc w:val="left"/>
              <w:rPr>
                <w:rFonts w:hint="eastAsia" w:ascii="宋体" w:hAnsi="宋体"/>
                <w:szCs w:val="21"/>
              </w:rPr>
            </w:pPr>
            <w:r>
              <w:rPr>
                <w:rFonts w:ascii="宋体" w:hAnsi="宋体"/>
                <w:szCs w:val="21"/>
              </w:rPr>
              <w:t>2.多媒体教学3.课堂讨论</w:t>
            </w:r>
          </w:p>
          <w:p w14:paraId="018FB6C9">
            <w:pPr>
              <w:jc w:val="left"/>
              <w:rPr>
                <w:rFonts w:hint="eastAsia" w:ascii="宋体" w:hAnsi="宋体"/>
                <w:szCs w:val="21"/>
              </w:rPr>
            </w:pPr>
            <w:r>
              <w:rPr>
                <w:rFonts w:ascii="宋体" w:hAnsi="宋体"/>
                <w:szCs w:val="21"/>
              </w:rPr>
              <w:t>4.单元测验</w:t>
            </w:r>
          </w:p>
          <w:p w14:paraId="0163F0E0">
            <w:pPr>
              <w:jc w:val="left"/>
              <w:rPr>
                <w:rFonts w:hint="eastAsia" w:ascii="宋体" w:hAnsi="宋体"/>
                <w:szCs w:val="21"/>
              </w:rPr>
            </w:pPr>
            <w:r>
              <w:rPr>
                <w:rFonts w:hint="eastAsia" w:ascii="宋体" w:hAnsi="宋体"/>
                <w:szCs w:val="21"/>
              </w:rPr>
              <w:t>5.课内实践</w:t>
            </w:r>
          </w:p>
        </w:tc>
        <w:tc>
          <w:tcPr>
            <w:tcW w:w="438" w:type="dxa"/>
            <w:vAlign w:val="center"/>
          </w:tcPr>
          <w:p w14:paraId="721C6929">
            <w:pPr>
              <w:jc w:val="center"/>
              <w:rPr>
                <w:rFonts w:hint="eastAsia" w:ascii="宋体" w:hAnsi="宋体"/>
                <w:szCs w:val="21"/>
              </w:rPr>
            </w:pPr>
            <w:r>
              <w:rPr>
                <w:rFonts w:hint="eastAsia" w:ascii="宋体" w:hAnsi="宋体"/>
                <w:szCs w:val="21"/>
              </w:rPr>
              <w:t>4</w:t>
            </w:r>
          </w:p>
        </w:tc>
      </w:tr>
      <w:tr w14:paraId="4C0A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FE7DC5B">
            <w:pPr>
              <w:jc w:val="center"/>
              <w:rPr>
                <w:rFonts w:hint="eastAsia" w:ascii="宋体" w:hAnsi="宋体"/>
                <w:szCs w:val="21"/>
              </w:rPr>
            </w:pPr>
          </w:p>
        </w:tc>
        <w:tc>
          <w:tcPr>
            <w:tcW w:w="8093" w:type="dxa"/>
            <w:gridSpan w:val="5"/>
            <w:vAlign w:val="center"/>
          </w:tcPr>
          <w:p w14:paraId="6CFD49F3">
            <w:pPr>
              <w:jc w:val="left"/>
              <w:rPr>
                <w:rFonts w:hint="eastAsia" w:ascii="宋体" w:hAnsi="宋体"/>
                <w:szCs w:val="21"/>
              </w:rPr>
            </w:pPr>
            <w:r>
              <w:rPr>
                <w:rFonts w:hint="eastAsia" w:ascii="宋体" w:hAnsi="宋体"/>
                <w:b/>
                <w:szCs w:val="21"/>
              </w:rPr>
              <w:t>课程思政目标：</w:t>
            </w:r>
            <w:r>
              <w:rPr>
                <w:rFonts w:hint="eastAsia" w:ascii="宋体" w:hAnsi="宋体"/>
                <w:szCs w:val="21"/>
              </w:rPr>
              <w:t>通过例证渗透爱国主义思想，社会主义核心价值观，分析不当言论的逻辑错误，提高学生的判断能力，并通过辩论等形式提高学生解决问题的能力，学习理性思维，关注社会现象，提高批判思维能力。</w:t>
            </w:r>
          </w:p>
        </w:tc>
      </w:tr>
      <w:tr w14:paraId="5E82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93EE2B1">
            <w:pPr>
              <w:jc w:val="center"/>
              <w:rPr>
                <w:rFonts w:hint="eastAsia" w:ascii="宋体" w:hAnsi="宋体"/>
                <w:szCs w:val="21"/>
              </w:rPr>
            </w:pPr>
            <w:r>
              <w:rPr>
                <w:rFonts w:hint="eastAsia" w:ascii="宋体" w:hAnsi="宋体"/>
                <w:szCs w:val="21"/>
              </w:rPr>
              <w:t>4. 复合命题及其推理</w:t>
            </w:r>
          </w:p>
        </w:tc>
        <w:tc>
          <w:tcPr>
            <w:tcW w:w="1701" w:type="dxa"/>
            <w:vAlign w:val="center"/>
          </w:tcPr>
          <w:p w14:paraId="5C8B7438">
            <w:pPr>
              <w:jc w:val="left"/>
              <w:rPr>
                <w:rFonts w:hint="eastAsia" w:ascii="宋体" w:hAnsi="宋体"/>
                <w:szCs w:val="21"/>
              </w:rPr>
            </w:pPr>
            <w:r>
              <w:rPr>
                <w:rFonts w:hint="eastAsia" w:ascii="宋体" w:hAnsi="宋体"/>
                <w:szCs w:val="21"/>
              </w:rPr>
              <w:t>1.联言判断及其推理</w:t>
            </w:r>
          </w:p>
          <w:p w14:paraId="6CF672F7">
            <w:pPr>
              <w:jc w:val="left"/>
              <w:rPr>
                <w:rFonts w:hint="eastAsia" w:ascii="宋体" w:hAnsi="宋体"/>
                <w:szCs w:val="21"/>
              </w:rPr>
            </w:pPr>
            <w:r>
              <w:rPr>
                <w:rFonts w:hint="eastAsia" w:ascii="宋体" w:hAnsi="宋体"/>
                <w:szCs w:val="21"/>
              </w:rPr>
              <w:t>2.选言判断及其推理</w:t>
            </w:r>
          </w:p>
          <w:p w14:paraId="45A559C7">
            <w:pPr>
              <w:jc w:val="left"/>
              <w:rPr>
                <w:rFonts w:hint="eastAsia" w:ascii="宋体" w:hAnsi="宋体"/>
                <w:szCs w:val="21"/>
              </w:rPr>
            </w:pPr>
            <w:r>
              <w:rPr>
                <w:rFonts w:hint="eastAsia" w:ascii="宋体" w:hAnsi="宋体"/>
                <w:szCs w:val="21"/>
              </w:rPr>
              <w:t>3.假言判断及其推理</w:t>
            </w:r>
          </w:p>
          <w:p w14:paraId="7371FE6F">
            <w:pPr>
              <w:jc w:val="left"/>
              <w:rPr>
                <w:rFonts w:hint="eastAsia" w:ascii="宋体" w:hAnsi="宋体"/>
                <w:szCs w:val="21"/>
              </w:rPr>
            </w:pPr>
            <w:r>
              <w:rPr>
                <w:rFonts w:hint="eastAsia" w:ascii="宋体" w:hAnsi="宋体"/>
                <w:szCs w:val="21"/>
              </w:rPr>
              <w:t>4.负判断及其推理</w:t>
            </w:r>
          </w:p>
          <w:p w14:paraId="773ACBAD">
            <w:pPr>
              <w:jc w:val="left"/>
              <w:rPr>
                <w:rFonts w:hint="eastAsia" w:ascii="宋体" w:hAnsi="宋体"/>
                <w:szCs w:val="21"/>
              </w:rPr>
            </w:pPr>
            <w:r>
              <w:rPr>
                <w:rFonts w:hint="eastAsia" w:ascii="宋体" w:hAnsi="宋体"/>
                <w:szCs w:val="21"/>
              </w:rPr>
              <w:t>5.真值表的判定作用</w:t>
            </w:r>
          </w:p>
          <w:p w14:paraId="25A4A6A8">
            <w:pPr>
              <w:jc w:val="left"/>
              <w:rPr>
                <w:rFonts w:hint="eastAsia" w:ascii="宋体" w:hAnsi="宋体"/>
                <w:szCs w:val="21"/>
              </w:rPr>
            </w:pPr>
            <w:r>
              <w:rPr>
                <w:rFonts w:hint="eastAsia" w:ascii="宋体" w:hAnsi="宋体"/>
                <w:szCs w:val="21"/>
              </w:rPr>
              <w:t>6.二难推理</w:t>
            </w:r>
          </w:p>
        </w:tc>
        <w:tc>
          <w:tcPr>
            <w:tcW w:w="1134" w:type="dxa"/>
            <w:vAlign w:val="center"/>
          </w:tcPr>
          <w:p w14:paraId="389A49C8">
            <w:pPr>
              <w:jc w:val="center"/>
              <w:rPr>
                <w:rFonts w:hint="eastAsia" w:ascii="宋体" w:hAnsi="宋体"/>
                <w:szCs w:val="21"/>
              </w:rPr>
            </w:pPr>
            <w:r>
              <w:rPr>
                <w:rFonts w:hint="eastAsia" w:ascii="宋体" w:hAnsi="宋体"/>
                <w:szCs w:val="21"/>
              </w:rPr>
              <w:t>课程目标1、2、3</w:t>
            </w:r>
          </w:p>
        </w:tc>
        <w:tc>
          <w:tcPr>
            <w:tcW w:w="3260" w:type="dxa"/>
            <w:vAlign w:val="center"/>
          </w:tcPr>
          <w:p w14:paraId="120D53D4">
            <w:pPr>
              <w:jc w:val="left"/>
              <w:rPr>
                <w:rFonts w:hint="eastAsia" w:ascii="宋体" w:hAnsi="宋体"/>
                <w:szCs w:val="21"/>
              </w:rPr>
            </w:pPr>
            <w:r>
              <w:rPr>
                <w:rFonts w:hint="eastAsia" w:ascii="宋体" w:hAnsi="宋体"/>
                <w:szCs w:val="21"/>
              </w:rPr>
              <w:t>1.了解负命题及其等值命题；掌握三种复合命题的逻辑特征、逻辑结构式及其逻辑简式、真值表。</w:t>
            </w:r>
          </w:p>
          <w:p w14:paraId="24559B26">
            <w:pPr>
              <w:jc w:val="left"/>
              <w:rPr>
                <w:rFonts w:hint="eastAsia" w:ascii="宋体" w:hAnsi="宋体"/>
                <w:szCs w:val="21"/>
              </w:rPr>
            </w:pPr>
            <w:r>
              <w:rPr>
                <w:rFonts w:hint="eastAsia" w:ascii="宋体" w:hAnsi="宋体"/>
                <w:szCs w:val="21"/>
              </w:rPr>
              <w:t>2.学会运用三种复合推理的方法。</w:t>
            </w:r>
          </w:p>
          <w:p w14:paraId="032DBDF3">
            <w:pPr>
              <w:jc w:val="left"/>
              <w:rPr>
                <w:rFonts w:hint="eastAsia" w:ascii="宋体" w:hAnsi="宋体"/>
                <w:szCs w:val="21"/>
              </w:rPr>
            </w:pPr>
            <w:r>
              <w:rPr>
                <w:rFonts w:hint="eastAsia" w:ascii="宋体" w:hAnsi="宋体"/>
                <w:szCs w:val="21"/>
              </w:rPr>
              <w:t>3.把握真值表的两种判定作用；能在生活中的运用二难推理。</w:t>
            </w:r>
          </w:p>
        </w:tc>
        <w:tc>
          <w:tcPr>
            <w:tcW w:w="1560" w:type="dxa"/>
            <w:vAlign w:val="center"/>
          </w:tcPr>
          <w:p w14:paraId="0CDCCF26">
            <w:pPr>
              <w:jc w:val="left"/>
              <w:rPr>
                <w:rFonts w:hint="eastAsia" w:ascii="宋体" w:hAnsi="宋体"/>
                <w:szCs w:val="21"/>
              </w:rPr>
            </w:pPr>
            <w:r>
              <w:rPr>
                <w:rFonts w:ascii="宋体" w:hAnsi="宋体"/>
                <w:szCs w:val="21"/>
              </w:rPr>
              <w:t>1.线上学习</w:t>
            </w:r>
          </w:p>
          <w:p w14:paraId="0E039D4E">
            <w:pPr>
              <w:jc w:val="left"/>
              <w:rPr>
                <w:rFonts w:hint="eastAsia" w:ascii="宋体" w:hAnsi="宋体"/>
                <w:szCs w:val="21"/>
              </w:rPr>
            </w:pPr>
            <w:r>
              <w:rPr>
                <w:rFonts w:ascii="宋体" w:hAnsi="宋体"/>
                <w:szCs w:val="21"/>
              </w:rPr>
              <w:t>2.多媒体教学3.课堂讨论</w:t>
            </w:r>
          </w:p>
          <w:p w14:paraId="3BB68228">
            <w:pPr>
              <w:jc w:val="left"/>
              <w:rPr>
                <w:rFonts w:hint="eastAsia" w:ascii="宋体" w:hAnsi="宋体"/>
                <w:szCs w:val="21"/>
              </w:rPr>
            </w:pPr>
            <w:r>
              <w:rPr>
                <w:rFonts w:ascii="宋体" w:hAnsi="宋体"/>
                <w:szCs w:val="21"/>
              </w:rPr>
              <w:t>4.单元测验</w:t>
            </w:r>
          </w:p>
          <w:p w14:paraId="63AC1866">
            <w:pPr>
              <w:jc w:val="left"/>
              <w:rPr>
                <w:rFonts w:hint="eastAsia" w:ascii="宋体" w:hAnsi="宋体"/>
                <w:szCs w:val="21"/>
              </w:rPr>
            </w:pPr>
            <w:r>
              <w:rPr>
                <w:rFonts w:hint="eastAsia" w:ascii="宋体" w:hAnsi="宋体"/>
                <w:szCs w:val="21"/>
              </w:rPr>
              <w:t>5.课内实践</w:t>
            </w:r>
          </w:p>
        </w:tc>
        <w:tc>
          <w:tcPr>
            <w:tcW w:w="438" w:type="dxa"/>
            <w:vAlign w:val="center"/>
          </w:tcPr>
          <w:p w14:paraId="5C30FDBC">
            <w:pPr>
              <w:jc w:val="center"/>
              <w:rPr>
                <w:rFonts w:hint="eastAsia" w:ascii="宋体" w:hAnsi="宋体"/>
                <w:szCs w:val="21"/>
              </w:rPr>
            </w:pPr>
            <w:r>
              <w:rPr>
                <w:rFonts w:hint="eastAsia" w:ascii="宋体" w:hAnsi="宋体"/>
                <w:szCs w:val="21"/>
              </w:rPr>
              <w:t>4</w:t>
            </w:r>
          </w:p>
        </w:tc>
      </w:tr>
      <w:tr w14:paraId="5D90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18CD2D5">
            <w:pPr>
              <w:jc w:val="center"/>
              <w:rPr>
                <w:rFonts w:hint="eastAsia" w:ascii="宋体" w:hAnsi="宋体"/>
                <w:szCs w:val="21"/>
              </w:rPr>
            </w:pPr>
          </w:p>
        </w:tc>
        <w:tc>
          <w:tcPr>
            <w:tcW w:w="8093" w:type="dxa"/>
            <w:gridSpan w:val="5"/>
            <w:vAlign w:val="center"/>
          </w:tcPr>
          <w:p w14:paraId="7281185B">
            <w:pPr>
              <w:jc w:val="left"/>
              <w:rPr>
                <w:rFonts w:hint="eastAsia" w:ascii="宋体" w:hAnsi="宋体"/>
                <w:szCs w:val="21"/>
              </w:rPr>
            </w:pPr>
            <w:r>
              <w:rPr>
                <w:rFonts w:hint="eastAsia" w:ascii="宋体" w:hAnsi="宋体"/>
                <w:b/>
                <w:szCs w:val="21"/>
              </w:rPr>
              <w:t>课程思政目标：</w:t>
            </w:r>
            <w:r>
              <w:rPr>
                <w:rFonts w:hint="eastAsia" w:ascii="宋体" w:hAnsi="宋体"/>
                <w:szCs w:val="21"/>
              </w:rPr>
              <w:t>通过例证渗透爱国主义思想，社会主义核心价值观，分析不当言论的逻辑错误，提高学生的判断能力，学习理性思维，关注社会现象，提高批判思维能力。</w:t>
            </w:r>
          </w:p>
        </w:tc>
      </w:tr>
      <w:tr w14:paraId="14ED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5BC4E82">
            <w:pPr>
              <w:jc w:val="center"/>
              <w:rPr>
                <w:rFonts w:hint="eastAsia" w:ascii="宋体" w:hAnsi="宋体"/>
                <w:szCs w:val="21"/>
              </w:rPr>
            </w:pPr>
            <w:r>
              <w:rPr>
                <w:rFonts w:hint="eastAsia" w:ascii="宋体" w:hAnsi="宋体"/>
                <w:szCs w:val="21"/>
              </w:rPr>
              <w:t>5. 模态命题其推理</w:t>
            </w:r>
          </w:p>
        </w:tc>
        <w:tc>
          <w:tcPr>
            <w:tcW w:w="1701" w:type="dxa"/>
            <w:vAlign w:val="center"/>
          </w:tcPr>
          <w:p w14:paraId="241C806F">
            <w:pPr>
              <w:jc w:val="left"/>
              <w:rPr>
                <w:rFonts w:hint="eastAsia" w:ascii="宋体" w:hAnsi="宋体"/>
                <w:szCs w:val="21"/>
              </w:rPr>
            </w:pPr>
            <w:r>
              <w:rPr>
                <w:rFonts w:hint="eastAsia" w:ascii="宋体" w:hAnsi="宋体"/>
                <w:szCs w:val="21"/>
              </w:rPr>
              <w:t>1.模态判断</w:t>
            </w:r>
          </w:p>
          <w:p w14:paraId="7477E66E">
            <w:pPr>
              <w:jc w:val="left"/>
              <w:rPr>
                <w:rFonts w:hint="eastAsia" w:ascii="宋体" w:hAnsi="宋体"/>
                <w:szCs w:val="21"/>
              </w:rPr>
            </w:pPr>
            <w:r>
              <w:rPr>
                <w:rFonts w:hint="eastAsia" w:ascii="宋体" w:hAnsi="宋体"/>
                <w:szCs w:val="21"/>
              </w:rPr>
              <w:t>2.模态推理</w:t>
            </w:r>
          </w:p>
        </w:tc>
        <w:tc>
          <w:tcPr>
            <w:tcW w:w="1134" w:type="dxa"/>
            <w:vAlign w:val="center"/>
          </w:tcPr>
          <w:p w14:paraId="36D00E6F">
            <w:pPr>
              <w:jc w:val="center"/>
              <w:rPr>
                <w:rFonts w:hint="eastAsia" w:ascii="宋体" w:hAnsi="宋体"/>
                <w:szCs w:val="21"/>
              </w:rPr>
            </w:pPr>
            <w:r>
              <w:rPr>
                <w:rFonts w:hint="eastAsia" w:ascii="宋体" w:hAnsi="宋体"/>
                <w:szCs w:val="21"/>
              </w:rPr>
              <w:t>课程目标2</w:t>
            </w:r>
          </w:p>
        </w:tc>
        <w:tc>
          <w:tcPr>
            <w:tcW w:w="3260" w:type="dxa"/>
            <w:vAlign w:val="center"/>
          </w:tcPr>
          <w:p w14:paraId="66C6978E">
            <w:pPr>
              <w:jc w:val="left"/>
              <w:rPr>
                <w:rFonts w:hint="eastAsia" w:ascii="宋体" w:hAnsi="宋体"/>
                <w:szCs w:val="21"/>
              </w:rPr>
            </w:pPr>
            <w:r>
              <w:rPr>
                <w:rFonts w:hint="eastAsia" w:ascii="宋体" w:hAnsi="宋体"/>
                <w:szCs w:val="21"/>
              </w:rPr>
              <w:t>了解常见模态判断、模态推理的种类与方法，能简单运用模态推理。</w:t>
            </w:r>
          </w:p>
        </w:tc>
        <w:tc>
          <w:tcPr>
            <w:tcW w:w="1560" w:type="dxa"/>
            <w:vAlign w:val="center"/>
          </w:tcPr>
          <w:p w14:paraId="6BB11D9E">
            <w:pPr>
              <w:jc w:val="left"/>
              <w:rPr>
                <w:rFonts w:hint="eastAsia" w:ascii="宋体" w:hAnsi="宋体"/>
                <w:szCs w:val="21"/>
              </w:rPr>
            </w:pPr>
            <w:r>
              <w:rPr>
                <w:rFonts w:ascii="宋体" w:hAnsi="宋体"/>
                <w:szCs w:val="21"/>
              </w:rPr>
              <w:t>1.线上学习</w:t>
            </w:r>
          </w:p>
          <w:p w14:paraId="04CA19FB">
            <w:pPr>
              <w:jc w:val="left"/>
              <w:rPr>
                <w:rFonts w:hint="eastAsia" w:ascii="宋体" w:hAnsi="宋体"/>
                <w:szCs w:val="21"/>
              </w:rPr>
            </w:pPr>
            <w:r>
              <w:rPr>
                <w:rFonts w:ascii="宋体" w:hAnsi="宋体"/>
                <w:szCs w:val="21"/>
              </w:rPr>
              <w:t>2.多媒体教学3.课堂讨论</w:t>
            </w:r>
          </w:p>
          <w:p w14:paraId="58537518">
            <w:pPr>
              <w:jc w:val="left"/>
              <w:rPr>
                <w:rFonts w:hint="eastAsia" w:ascii="宋体" w:hAnsi="宋体"/>
                <w:szCs w:val="21"/>
              </w:rPr>
            </w:pPr>
            <w:r>
              <w:rPr>
                <w:rFonts w:ascii="宋体" w:hAnsi="宋体"/>
                <w:szCs w:val="21"/>
              </w:rPr>
              <w:t>4.单元测验</w:t>
            </w:r>
          </w:p>
          <w:p w14:paraId="14BFFB6E">
            <w:pPr>
              <w:jc w:val="left"/>
              <w:rPr>
                <w:rFonts w:hint="eastAsia" w:ascii="宋体" w:hAnsi="宋体"/>
                <w:szCs w:val="21"/>
              </w:rPr>
            </w:pPr>
            <w:r>
              <w:rPr>
                <w:rFonts w:hint="eastAsia" w:ascii="宋体" w:hAnsi="宋体"/>
                <w:szCs w:val="21"/>
              </w:rPr>
              <w:t>5.课内实践</w:t>
            </w:r>
          </w:p>
        </w:tc>
        <w:tc>
          <w:tcPr>
            <w:tcW w:w="438" w:type="dxa"/>
            <w:vAlign w:val="center"/>
          </w:tcPr>
          <w:p w14:paraId="241D590B">
            <w:pPr>
              <w:jc w:val="center"/>
              <w:rPr>
                <w:rFonts w:hint="eastAsia" w:ascii="宋体" w:hAnsi="宋体"/>
                <w:szCs w:val="21"/>
              </w:rPr>
            </w:pPr>
            <w:r>
              <w:rPr>
                <w:rFonts w:hint="eastAsia" w:ascii="宋体" w:hAnsi="宋体"/>
                <w:szCs w:val="21"/>
              </w:rPr>
              <w:t>2</w:t>
            </w:r>
          </w:p>
        </w:tc>
      </w:tr>
      <w:tr w14:paraId="1610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15E9AB0">
            <w:pPr>
              <w:jc w:val="center"/>
              <w:rPr>
                <w:rFonts w:hint="eastAsia" w:ascii="宋体" w:hAnsi="宋体"/>
                <w:szCs w:val="21"/>
              </w:rPr>
            </w:pPr>
          </w:p>
        </w:tc>
        <w:tc>
          <w:tcPr>
            <w:tcW w:w="8093" w:type="dxa"/>
            <w:gridSpan w:val="5"/>
            <w:vAlign w:val="center"/>
          </w:tcPr>
          <w:p w14:paraId="25610531">
            <w:pPr>
              <w:jc w:val="left"/>
              <w:rPr>
                <w:rFonts w:hint="eastAsia" w:ascii="宋体" w:hAnsi="宋体"/>
                <w:szCs w:val="21"/>
              </w:rPr>
            </w:pPr>
            <w:r>
              <w:rPr>
                <w:rFonts w:hint="eastAsia" w:ascii="宋体" w:hAnsi="宋体"/>
                <w:b/>
                <w:szCs w:val="21"/>
              </w:rPr>
              <w:t>课程思政目标：</w:t>
            </w:r>
            <w:r>
              <w:rPr>
                <w:rFonts w:hint="eastAsia" w:ascii="宋体" w:hAnsi="宋体"/>
                <w:szCs w:val="21"/>
              </w:rPr>
              <w:t>通过例证渗透爱国主义思想，社会主义核心价值观，分析不当言论的逻辑错误，提高学生的判断能力。</w:t>
            </w:r>
          </w:p>
        </w:tc>
      </w:tr>
      <w:tr w14:paraId="042CA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143DCEF">
            <w:pPr>
              <w:jc w:val="center"/>
              <w:rPr>
                <w:rFonts w:hint="eastAsia" w:ascii="宋体" w:hAnsi="宋体"/>
                <w:szCs w:val="21"/>
              </w:rPr>
            </w:pPr>
            <w:r>
              <w:rPr>
                <w:rFonts w:hint="eastAsia" w:ascii="宋体" w:hAnsi="宋体"/>
                <w:szCs w:val="21"/>
              </w:rPr>
              <w:t>6. 归纳推理</w:t>
            </w:r>
          </w:p>
        </w:tc>
        <w:tc>
          <w:tcPr>
            <w:tcW w:w="1701" w:type="dxa"/>
            <w:vAlign w:val="center"/>
          </w:tcPr>
          <w:p w14:paraId="437F7236">
            <w:pPr>
              <w:jc w:val="left"/>
              <w:rPr>
                <w:rFonts w:hint="eastAsia" w:ascii="宋体" w:hAnsi="宋体"/>
                <w:szCs w:val="21"/>
              </w:rPr>
            </w:pPr>
            <w:r>
              <w:rPr>
                <w:rFonts w:hint="eastAsia" w:ascii="宋体" w:hAnsi="宋体"/>
                <w:szCs w:val="21"/>
              </w:rPr>
              <w:t>1.完全归纳推理</w:t>
            </w:r>
          </w:p>
          <w:p w14:paraId="0B4D585A">
            <w:pPr>
              <w:jc w:val="left"/>
              <w:rPr>
                <w:rFonts w:hint="eastAsia" w:ascii="宋体" w:hAnsi="宋体"/>
                <w:szCs w:val="21"/>
              </w:rPr>
            </w:pPr>
            <w:r>
              <w:rPr>
                <w:rFonts w:hint="eastAsia" w:ascii="宋体" w:hAnsi="宋体"/>
                <w:szCs w:val="21"/>
              </w:rPr>
              <w:t>2.简单枚举归纳推理</w:t>
            </w:r>
          </w:p>
          <w:p w14:paraId="31431E82">
            <w:pPr>
              <w:jc w:val="left"/>
              <w:rPr>
                <w:rFonts w:hint="eastAsia" w:ascii="宋体" w:hAnsi="宋体"/>
                <w:szCs w:val="21"/>
              </w:rPr>
            </w:pPr>
            <w:r>
              <w:rPr>
                <w:rFonts w:hint="eastAsia" w:ascii="宋体" w:hAnsi="宋体"/>
                <w:szCs w:val="21"/>
              </w:rPr>
              <w:t>3.科学归纳推理</w:t>
            </w:r>
          </w:p>
          <w:p w14:paraId="76F62256">
            <w:pPr>
              <w:jc w:val="left"/>
              <w:rPr>
                <w:rFonts w:hint="eastAsia" w:ascii="宋体" w:hAnsi="宋体"/>
                <w:szCs w:val="21"/>
              </w:rPr>
            </w:pPr>
            <w:r>
              <w:rPr>
                <w:rFonts w:hint="eastAsia" w:ascii="宋体" w:hAnsi="宋体"/>
                <w:szCs w:val="21"/>
              </w:rPr>
              <w:t>4.归纳推理与演绎推理的异同</w:t>
            </w:r>
          </w:p>
          <w:p w14:paraId="5B903786">
            <w:pPr>
              <w:jc w:val="left"/>
              <w:rPr>
                <w:rFonts w:hint="eastAsia" w:ascii="宋体" w:hAnsi="宋体"/>
                <w:szCs w:val="21"/>
              </w:rPr>
            </w:pPr>
            <w:r>
              <w:rPr>
                <w:rFonts w:hint="eastAsia" w:ascii="宋体" w:hAnsi="宋体"/>
                <w:szCs w:val="21"/>
              </w:rPr>
              <w:t>5.探求现象间因果联系的方法</w:t>
            </w:r>
          </w:p>
        </w:tc>
        <w:tc>
          <w:tcPr>
            <w:tcW w:w="1134" w:type="dxa"/>
            <w:vAlign w:val="center"/>
          </w:tcPr>
          <w:p w14:paraId="46AEFA4D">
            <w:pPr>
              <w:jc w:val="center"/>
              <w:rPr>
                <w:rFonts w:hint="eastAsia" w:ascii="宋体" w:hAnsi="宋体"/>
                <w:szCs w:val="21"/>
              </w:rPr>
            </w:pPr>
            <w:r>
              <w:rPr>
                <w:rFonts w:hint="eastAsia" w:ascii="宋体" w:hAnsi="宋体"/>
                <w:szCs w:val="21"/>
              </w:rPr>
              <w:t>课程目标2、3</w:t>
            </w:r>
          </w:p>
        </w:tc>
        <w:tc>
          <w:tcPr>
            <w:tcW w:w="3260" w:type="dxa"/>
            <w:vAlign w:val="center"/>
          </w:tcPr>
          <w:p w14:paraId="41C54805">
            <w:pPr>
              <w:jc w:val="left"/>
              <w:rPr>
                <w:rFonts w:hint="eastAsia" w:ascii="宋体" w:hAnsi="宋体"/>
                <w:szCs w:val="21"/>
              </w:rPr>
            </w:pPr>
            <w:r>
              <w:rPr>
                <w:rFonts w:hint="eastAsia" w:ascii="宋体" w:hAnsi="宋体"/>
                <w:szCs w:val="21"/>
              </w:rPr>
              <w:t>1.了解归纳推理的三种方法的概念；掌握归纳推理与演绎推理的异同</w:t>
            </w:r>
          </w:p>
          <w:p w14:paraId="4868BECF">
            <w:pPr>
              <w:jc w:val="left"/>
              <w:rPr>
                <w:rFonts w:hint="eastAsia" w:ascii="宋体" w:hAnsi="宋体"/>
                <w:szCs w:val="21"/>
              </w:rPr>
            </w:pPr>
            <w:r>
              <w:rPr>
                <w:rFonts w:hint="eastAsia" w:ascii="宋体" w:hAnsi="宋体"/>
                <w:szCs w:val="21"/>
              </w:rPr>
              <w:t>3.学会探求现象间因果联系的方法，能找出生活中的三种推理的事例</w:t>
            </w:r>
          </w:p>
        </w:tc>
        <w:tc>
          <w:tcPr>
            <w:tcW w:w="1560" w:type="dxa"/>
            <w:vAlign w:val="center"/>
          </w:tcPr>
          <w:p w14:paraId="756CE09D">
            <w:pPr>
              <w:jc w:val="left"/>
              <w:rPr>
                <w:rFonts w:hint="eastAsia" w:ascii="宋体" w:hAnsi="宋体"/>
                <w:szCs w:val="21"/>
              </w:rPr>
            </w:pPr>
            <w:r>
              <w:rPr>
                <w:rFonts w:ascii="宋体" w:hAnsi="宋体"/>
                <w:szCs w:val="21"/>
              </w:rPr>
              <w:t>1.线上学习</w:t>
            </w:r>
          </w:p>
          <w:p w14:paraId="6CF1E9EF">
            <w:pPr>
              <w:jc w:val="left"/>
              <w:rPr>
                <w:rFonts w:hint="eastAsia" w:ascii="宋体" w:hAnsi="宋体"/>
                <w:szCs w:val="21"/>
              </w:rPr>
            </w:pPr>
            <w:r>
              <w:rPr>
                <w:rFonts w:ascii="宋体" w:hAnsi="宋体"/>
                <w:szCs w:val="21"/>
              </w:rPr>
              <w:t>2.多媒体教学3.课堂</w:t>
            </w:r>
            <w:r>
              <w:rPr>
                <w:rFonts w:hint="eastAsia" w:ascii="宋体" w:hAnsi="宋体"/>
                <w:szCs w:val="21"/>
              </w:rPr>
              <w:t>辩论</w:t>
            </w:r>
          </w:p>
          <w:p w14:paraId="17A85C41">
            <w:pPr>
              <w:jc w:val="left"/>
              <w:rPr>
                <w:rFonts w:hint="eastAsia" w:ascii="宋体" w:hAnsi="宋体"/>
                <w:szCs w:val="21"/>
              </w:rPr>
            </w:pPr>
            <w:r>
              <w:rPr>
                <w:rFonts w:ascii="宋体" w:hAnsi="宋体"/>
                <w:szCs w:val="21"/>
              </w:rPr>
              <w:t>4.单元测验</w:t>
            </w:r>
          </w:p>
          <w:p w14:paraId="30E7E8C7">
            <w:pPr>
              <w:jc w:val="left"/>
              <w:rPr>
                <w:rFonts w:hint="eastAsia" w:ascii="宋体" w:hAnsi="宋体"/>
                <w:szCs w:val="21"/>
              </w:rPr>
            </w:pPr>
            <w:r>
              <w:rPr>
                <w:rFonts w:hint="eastAsia" w:ascii="宋体" w:hAnsi="宋体"/>
                <w:szCs w:val="21"/>
              </w:rPr>
              <w:t>5.课内实践</w:t>
            </w:r>
          </w:p>
        </w:tc>
        <w:tc>
          <w:tcPr>
            <w:tcW w:w="438" w:type="dxa"/>
            <w:vAlign w:val="center"/>
          </w:tcPr>
          <w:p w14:paraId="4BD9F8DA">
            <w:pPr>
              <w:jc w:val="center"/>
              <w:rPr>
                <w:rFonts w:hint="eastAsia" w:ascii="宋体" w:hAnsi="宋体"/>
                <w:szCs w:val="21"/>
              </w:rPr>
            </w:pPr>
            <w:r>
              <w:rPr>
                <w:rFonts w:hint="eastAsia" w:ascii="宋体" w:hAnsi="宋体"/>
                <w:szCs w:val="21"/>
              </w:rPr>
              <w:t>4</w:t>
            </w:r>
          </w:p>
        </w:tc>
      </w:tr>
      <w:tr w14:paraId="2553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E464AE">
            <w:pPr>
              <w:jc w:val="center"/>
              <w:rPr>
                <w:rFonts w:hint="eastAsia" w:ascii="宋体" w:hAnsi="宋体"/>
                <w:szCs w:val="21"/>
              </w:rPr>
            </w:pPr>
          </w:p>
        </w:tc>
        <w:tc>
          <w:tcPr>
            <w:tcW w:w="8093" w:type="dxa"/>
            <w:gridSpan w:val="5"/>
            <w:vAlign w:val="center"/>
          </w:tcPr>
          <w:p w14:paraId="37F74D0A">
            <w:pPr>
              <w:jc w:val="left"/>
              <w:rPr>
                <w:rFonts w:hint="eastAsia" w:ascii="宋体" w:hAnsi="宋体"/>
                <w:szCs w:val="21"/>
              </w:rPr>
            </w:pPr>
            <w:r>
              <w:rPr>
                <w:rFonts w:hint="eastAsia" w:ascii="宋体" w:hAnsi="宋体"/>
                <w:b/>
                <w:szCs w:val="21"/>
              </w:rPr>
              <w:t>课程思政目标：</w:t>
            </w:r>
            <w:r>
              <w:rPr>
                <w:rFonts w:hint="eastAsia" w:ascii="宋体" w:hAnsi="宋体"/>
                <w:szCs w:val="21"/>
              </w:rPr>
              <w:t>通过例证渗透爱国主义思想，社会主义核心价值观，分析不当言论的逻辑错误，提高学生的判断能力，并通过辩论等形式提高学生解决问题的能力，学习理性思维，关注社会现象，提高批判思维能力。</w:t>
            </w:r>
          </w:p>
        </w:tc>
      </w:tr>
      <w:tr w14:paraId="7DFA7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7B26797">
            <w:pPr>
              <w:jc w:val="center"/>
              <w:rPr>
                <w:rFonts w:hint="eastAsia" w:ascii="宋体" w:hAnsi="宋体"/>
                <w:szCs w:val="21"/>
              </w:rPr>
            </w:pPr>
            <w:r>
              <w:rPr>
                <w:rFonts w:hint="eastAsia" w:ascii="宋体" w:hAnsi="宋体"/>
                <w:szCs w:val="21"/>
              </w:rPr>
              <w:t>7. 类比推理与假说</w:t>
            </w:r>
          </w:p>
        </w:tc>
        <w:tc>
          <w:tcPr>
            <w:tcW w:w="1701" w:type="dxa"/>
            <w:vAlign w:val="center"/>
          </w:tcPr>
          <w:p w14:paraId="623CC94B">
            <w:pPr>
              <w:jc w:val="left"/>
              <w:rPr>
                <w:rFonts w:hint="eastAsia" w:ascii="宋体" w:hAnsi="宋体"/>
                <w:szCs w:val="21"/>
              </w:rPr>
            </w:pPr>
            <w:r>
              <w:rPr>
                <w:rFonts w:hint="eastAsia" w:ascii="宋体" w:hAnsi="宋体"/>
                <w:szCs w:val="21"/>
              </w:rPr>
              <w:t>1.类比推理</w:t>
            </w:r>
          </w:p>
          <w:p w14:paraId="5103405A">
            <w:pPr>
              <w:jc w:val="left"/>
              <w:rPr>
                <w:rFonts w:hint="eastAsia" w:ascii="宋体" w:hAnsi="宋体"/>
                <w:szCs w:val="21"/>
              </w:rPr>
            </w:pPr>
            <w:r>
              <w:rPr>
                <w:rFonts w:hint="eastAsia" w:ascii="宋体" w:hAnsi="宋体"/>
                <w:szCs w:val="21"/>
              </w:rPr>
              <w:t>2.假说</w:t>
            </w:r>
          </w:p>
        </w:tc>
        <w:tc>
          <w:tcPr>
            <w:tcW w:w="1134" w:type="dxa"/>
            <w:vAlign w:val="center"/>
          </w:tcPr>
          <w:p w14:paraId="04C88B13">
            <w:pPr>
              <w:jc w:val="center"/>
              <w:rPr>
                <w:rFonts w:hint="eastAsia" w:ascii="宋体" w:hAnsi="宋体"/>
                <w:szCs w:val="21"/>
              </w:rPr>
            </w:pPr>
            <w:r>
              <w:rPr>
                <w:rFonts w:hint="eastAsia" w:ascii="宋体" w:hAnsi="宋体"/>
                <w:szCs w:val="21"/>
              </w:rPr>
              <w:t>课程目标1、3</w:t>
            </w:r>
          </w:p>
        </w:tc>
        <w:tc>
          <w:tcPr>
            <w:tcW w:w="3260" w:type="dxa"/>
            <w:vAlign w:val="center"/>
          </w:tcPr>
          <w:p w14:paraId="1C8C0B3B">
            <w:pPr>
              <w:jc w:val="left"/>
              <w:rPr>
                <w:rFonts w:hint="eastAsia" w:ascii="宋体" w:hAnsi="宋体"/>
                <w:szCs w:val="21"/>
              </w:rPr>
            </w:pPr>
            <w:r>
              <w:rPr>
                <w:rFonts w:hint="eastAsia" w:ascii="宋体" w:hAnsi="宋体"/>
                <w:szCs w:val="21"/>
              </w:rPr>
              <w:t>把握类比推理与归纳推理、演绎推理的区别；了解假说的构成与步骤</w:t>
            </w:r>
          </w:p>
        </w:tc>
        <w:tc>
          <w:tcPr>
            <w:tcW w:w="1560" w:type="dxa"/>
            <w:vAlign w:val="center"/>
          </w:tcPr>
          <w:p w14:paraId="43979A2B">
            <w:pPr>
              <w:jc w:val="left"/>
              <w:rPr>
                <w:rFonts w:hint="eastAsia" w:ascii="宋体" w:hAnsi="宋体"/>
                <w:szCs w:val="21"/>
              </w:rPr>
            </w:pPr>
            <w:r>
              <w:rPr>
                <w:rFonts w:ascii="宋体" w:hAnsi="宋体"/>
                <w:szCs w:val="21"/>
              </w:rPr>
              <w:t>1.线上学习</w:t>
            </w:r>
          </w:p>
          <w:p w14:paraId="2A024541">
            <w:pPr>
              <w:jc w:val="left"/>
              <w:rPr>
                <w:rFonts w:hint="eastAsia" w:ascii="宋体" w:hAnsi="宋体"/>
                <w:szCs w:val="21"/>
              </w:rPr>
            </w:pPr>
            <w:r>
              <w:rPr>
                <w:rFonts w:ascii="宋体" w:hAnsi="宋体"/>
                <w:szCs w:val="21"/>
              </w:rPr>
              <w:t>2.多媒体教学3.课堂讨论</w:t>
            </w:r>
          </w:p>
          <w:p w14:paraId="34279C17">
            <w:pPr>
              <w:jc w:val="left"/>
              <w:rPr>
                <w:rFonts w:hint="eastAsia" w:ascii="宋体" w:hAnsi="宋体"/>
                <w:szCs w:val="21"/>
              </w:rPr>
            </w:pPr>
            <w:r>
              <w:rPr>
                <w:rFonts w:ascii="宋体" w:hAnsi="宋体"/>
                <w:szCs w:val="21"/>
              </w:rPr>
              <w:t>4.单元测验</w:t>
            </w:r>
          </w:p>
          <w:p w14:paraId="6E9BF126">
            <w:pPr>
              <w:jc w:val="left"/>
              <w:rPr>
                <w:rFonts w:hint="eastAsia" w:ascii="宋体" w:hAnsi="宋体"/>
                <w:szCs w:val="21"/>
              </w:rPr>
            </w:pPr>
            <w:r>
              <w:rPr>
                <w:rFonts w:hint="eastAsia" w:ascii="宋体" w:hAnsi="宋体"/>
                <w:szCs w:val="21"/>
              </w:rPr>
              <w:t>5.课内实践</w:t>
            </w:r>
          </w:p>
        </w:tc>
        <w:tc>
          <w:tcPr>
            <w:tcW w:w="438" w:type="dxa"/>
            <w:vAlign w:val="center"/>
          </w:tcPr>
          <w:p w14:paraId="6F7F33FD">
            <w:pPr>
              <w:jc w:val="center"/>
              <w:rPr>
                <w:rFonts w:hint="eastAsia" w:ascii="宋体" w:hAnsi="宋体"/>
                <w:szCs w:val="21"/>
              </w:rPr>
            </w:pPr>
            <w:r>
              <w:rPr>
                <w:rFonts w:hint="eastAsia" w:ascii="宋体" w:hAnsi="宋体"/>
                <w:szCs w:val="21"/>
              </w:rPr>
              <w:t>2</w:t>
            </w:r>
          </w:p>
        </w:tc>
      </w:tr>
      <w:tr w14:paraId="0ABE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C50B198">
            <w:pPr>
              <w:jc w:val="center"/>
              <w:rPr>
                <w:rFonts w:hint="eastAsia" w:ascii="宋体" w:hAnsi="宋体"/>
                <w:szCs w:val="21"/>
              </w:rPr>
            </w:pPr>
          </w:p>
        </w:tc>
        <w:tc>
          <w:tcPr>
            <w:tcW w:w="8093" w:type="dxa"/>
            <w:gridSpan w:val="5"/>
            <w:vAlign w:val="center"/>
          </w:tcPr>
          <w:p w14:paraId="0EB9D8C8">
            <w:pPr>
              <w:jc w:val="left"/>
              <w:rPr>
                <w:rFonts w:hint="eastAsia" w:ascii="宋体" w:hAnsi="宋体"/>
                <w:szCs w:val="21"/>
              </w:rPr>
            </w:pPr>
            <w:r>
              <w:rPr>
                <w:rFonts w:hint="eastAsia" w:ascii="宋体" w:hAnsi="宋体"/>
                <w:b/>
                <w:szCs w:val="21"/>
              </w:rPr>
              <w:t>课程思政目标：</w:t>
            </w:r>
            <w:r>
              <w:rPr>
                <w:rFonts w:hint="eastAsia" w:ascii="宋体" w:hAnsi="宋体"/>
                <w:szCs w:val="21"/>
              </w:rPr>
              <w:t>学习理性思维，关注社会现象，提高批判思维能力。</w:t>
            </w:r>
          </w:p>
        </w:tc>
      </w:tr>
      <w:tr w14:paraId="58A8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A510B4">
            <w:pPr>
              <w:jc w:val="center"/>
              <w:rPr>
                <w:rFonts w:hint="eastAsia" w:ascii="宋体" w:hAnsi="宋体"/>
                <w:szCs w:val="21"/>
              </w:rPr>
            </w:pPr>
            <w:r>
              <w:rPr>
                <w:rFonts w:hint="eastAsia" w:ascii="宋体" w:hAnsi="宋体"/>
                <w:szCs w:val="21"/>
              </w:rPr>
              <w:t>8. 普通逻辑的基本规律</w:t>
            </w:r>
          </w:p>
        </w:tc>
        <w:tc>
          <w:tcPr>
            <w:tcW w:w="1701" w:type="dxa"/>
            <w:vAlign w:val="center"/>
          </w:tcPr>
          <w:p w14:paraId="237EA04F">
            <w:pPr>
              <w:jc w:val="left"/>
              <w:rPr>
                <w:rFonts w:hint="eastAsia" w:ascii="宋体" w:hAnsi="宋体"/>
                <w:szCs w:val="21"/>
              </w:rPr>
            </w:pPr>
            <w:r>
              <w:rPr>
                <w:rFonts w:hint="eastAsia" w:ascii="宋体" w:hAnsi="宋体"/>
                <w:szCs w:val="21"/>
              </w:rPr>
              <w:t>1.同一律</w:t>
            </w:r>
          </w:p>
          <w:p w14:paraId="4BD8C526">
            <w:pPr>
              <w:jc w:val="left"/>
              <w:rPr>
                <w:rFonts w:hint="eastAsia" w:ascii="宋体" w:hAnsi="宋体"/>
                <w:szCs w:val="21"/>
              </w:rPr>
            </w:pPr>
            <w:r>
              <w:rPr>
                <w:rFonts w:hint="eastAsia" w:ascii="宋体" w:hAnsi="宋体"/>
                <w:szCs w:val="21"/>
              </w:rPr>
              <w:t>2.矛盾律</w:t>
            </w:r>
          </w:p>
          <w:p w14:paraId="56102376">
            <w:pPr>
              <w:jc w:val="left"/>
              <w:rPr>
                <w:rFonts w:hint="eastAsia" w:ascii="宋体" w:hAnsi="宋体"/>
                <w:szCs w:val="21"/>
              </w:rPr>
            </w:pPr>
            <w:r>
              <w:rPr>
                <w:rFonts w:hint="eastAsia" w:ascii="宋体" w:hAnsi="宋体"/>
                <w:szCs w:val="21"/>
              </w:rPr>
              <w:t>3.排中律</w:t>
            </w:r>
          </w:p>
          <w:p w14:paraId="442D4BD8">
            <w:pPr>
              <w:jc w:val="left"/>
              <w:rPr>
                <w:rFonts w:hint="eastAsia" w:ascii="宋体" w:hAnsi="宋体"/>
                <w:szCs w:val="21"/>
              </w:rPr>
            </w:pPr>
            <w:r>
              <w:rPr>
                <w:rFonts w:hint="eastAsia" w:ascii="宋体" w:hAnsi="宋体"/>
                <w:szCs w:val="21"/>
              </w:rPr>
              <w:t>4.充足理由律</w:t>
            </w:r>
          </w:p>
        </w:tc>
        <w:tc>
          <w:tcPr>
            <w:tcW w:w="1134" w:type="dxa"/>
            <w:vAlign w:val="center"/>
          </w:tcPr>
          <w:p w14:paraId="18C37F7A">
            <w:pPr>
              <w:jc w:val="center"/>
              <w:rPr>
                <w:rFonts w:hint="eastAsia" w:ascii="宋体" w:hAnsi="宋体"/>
                <w:szCs w:val="21"/>
              </w:rPr>
            </w:pPr>
            <w:r>
              <w:rPr>
                <w:rFonts w:hint="eastAsia" w:ascii="宋体" w:hAnsi="宋体"/>
                <w:szCs w:val="21"/>
              </w:rPr>
              <w:t>课程目标3</w:t>
            </w:r>
          </w:p>
        </w:tc>
        <w:tc>
          <w:tcPr>
            <w:tcW w:w="3260" w:type="dxa"/>
            <w:vAlign w:val="center"/>
          </w:tcPr>
          <w:p w14:paraId="1EFE3547">
            <w:pPr>
              <w:jc w:val="left"/>
              <w:rPr>
                <w:rFonts w:hint="eastAsia" w:ascii="宋体" w:hAnsi="宋体"/>
                <w:szCs w:val="21"/>
              </w:rPr>
            </w:pPr>
            <w:r>
              <w:rPr>
                <w:rFonts w:hint="eastAsia" w:ascii="宋体" w:hAnsi="宋体"/>
                <w:szCs w:val="21"/>
              </w:rPr>
              <w:t>1.熟练掌握各条基本规律的基本内容、基本要求、作用以及违反该条规律所犯的逻辑错误；</w:t>
            </w:r>
          </w:p>
          <w:p w14:paraId="194EA2FC">
            <w:pPr>
              <w:jc w:val="left"/>
              <w:rPr>
                <w:rFonts w:hint="eastAsia" w:ascii="宋体" w:hAnsi="宋体"/>
                <w:szCs w:val="21"/>
              </w:rPr>
            </w:pPr>
            <w:r>
              <w:rPr>
                <w:rFonts w:hint="eastAsia" w:ascii="宋体" w:hAnsi="宋体"/>
                <w:szCs w:val="21"/>
              </w:rPr>
              <w:t>2.能正确运用这些规律分析现实中遇到的问题。掌握普通逻辑的研究对象；了解普通逻辑的性质、作用及其和数理逻辑、辩证逻辑的关系。</w:t>
            </w:r>
          </w:p>
        </w:tc>
        <w:tc>
          <w:tcPr>
            <w:tcW w:w="1560" w:type="dxa"/>
            <w:vAlign w:val="center"/>
          </w:tcPr>
          <w:p w14:paraId="78CF6E3E">
            <w:pPr>
              <w:jc w:val="left"/>
              <w:rPr>
                <w:rFonts w:hint="eastAsia" w:ascii="宋体" w:hAnsi="宋体"/>
                <w:szCs w:val="21"/>
              </w:rPr>
            </w:pPr>
            <w:r>
              <w:rPr>
                <w:rFonts w:ascii="宋体" w:hAnsi="宋体"/>
                <w:szCs w:val="21"/>
              </w:rPr>
              <w:t>1.线上学习</w:t>
            </w:r>
          </w:p>
          <w:p w14:paraId="48C5326A">
            <w:pPr>
              <w:jc w:val="left"/>
              <w:rPr>
                <w:rFonts w:hint="eastAsia" w:ascii="宋体" w:hAnsi="宋体"/>
                <w:szCs w:val="21"/>
              </w:rPr>
            </w:pPr>
            <w:r>
              <w:rPr>
                <w:rFonts w:ascii="宋体" w:hAnsi="宋体"/>
                <w:szCs w:val="21"/>
              </w:rPr>
              <w:t>2.多媒体教学3.课堂讨论</w:t>
            </w:r>
          </w:p>
          <w:p w14:paraId="502BE9F1">
            <w:pPr>
              <w:jc w:val="left"/>
              <w:rPr>
                <w:rFonts w:hint="eastAsia" w:ascii="宋体" w:hAnsi="宋体"/>
                <w:szCs w:val="21"/>
              </w:rPr>
            </w:pPr>
            <w:r>
              <w:rPr>
                <w:rFonts w:ascii="宋体" w:hAnsi="宋体"/>
                <w:szCs w:val="21"/>
              </w:rPr>
              <w:t>4.单元测验</w:t>
            </w:r>
          </w:p>
          <w:p w14:paraId="3FBAAFCC">
            <w:pPr>
              <w:jc w:val="left"/>
              <w:rPr>
                <w:rFonts w:hint="eastAsia" w:ascii="宋体" w:hAnsi="宋体"/>
                <w:szCs w:val="21"/>
              </w:rPr>
            </w:pPr>
            <w:r>
              <w:rPr>
                <w:rFonts w:hint="eastAsia" w:ascii="宋体" w:hAnsi="宋体"/>
                <w:szCs w:val="21"/>
              </w:rPr>
              <w:t>5.课内实践</w:t>
            </w:r>
          </w:p>
        </w:tc>
        <w:tc>
          <w:tcPr>
            <w:tcW w:w="438" w:type="dxa"/>
            <w:vAlign w:val="center"/>
          </w:tcPr>
          <w:p w14:paraId="77F6F880">
            <w:pPr>
              <w:jc w:val="center"/>
              <w:rPr>
                <w:rFonts w:hint="eastAsia" w:ascii="宋体" w:hAnsi="宋体"/>
                <w:szCs w:val="21"/>
              </w:rPr>
            </w:pPr>
            <w:r>
              <w:rPr>
                <w:rFonts w:hint="eastAsia" w:ascii="宋体" w:hAnsi="宋体"/>
                <w:szCs w:val="21"/>
              </w:rPr>
              <w:t>4</w:t>
            </w:r>
          </w:p>
        </w:tc>
      </w:tr>
      <w:tr w14:paraId="5765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A18E12">
            <w:pPr>
              <w:jc w:val="center"/>
              <w:rPr>
                <w:rFonts w:hint="eastAsia" w:ascii="宋体" w:hAnsi="宋体"/>
                <w:szCs w:val="21"/>
              </w:rPr>
            </w:pPr>
          </w:p>
        </w:tc>
        <w:tc>
          <w:tcPr>
            <w:tcW w:w="8093" w:type="dxa"/>
            <w:gridSpan w:val="5"/>
            <w:vAlign w:val="center"/>
          </w:tcPr>
          <w:p w14:paraId="0FD41CE9">
            <w:pPr>
              <w:jc w:val="left"/>
              <w:rPr>
                <w:rFonts w:hint="eastAsia" w:ascii="宋体" w:hAnsi="宋体"/>
                <w:szCs w:val="21"/>
              </w:rPr>
            </w:pPr>
            <w:r>
              <w:rPr>
                <w:rFonts w:hint="eastAsia" w:ascii="宋体" w:hAnsi="宋体"/>
                <w:b/>
                <w:szCs w:val="21"/>
              </w:rPr>
              <w:t>课程思政目标：</w:t>
            </w:r>
            <w:r>
              <w:rPr>
                <w:rFonts w:hint="eastAsia" w:ascii="宋体" w:hAnsi="宋体"/>
                <w:szCs w:val="21"/>
              </w:rPr>
              <w:t>通过辩论等形式提高学生解决问题的能力，学习理性思维，关注社会现象，提高批判思维能力。</w:t>
            </w:r>
          </w:p>
        </w:tc>
      </w:tr>
      <w:tr w14:paraId="4375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7A0FF603">
            <w:pPr>
              <w:jc w:val="center"/>
              <w:rPr>
                <w:rFonts w:hint="eastAsia" w:ascii="宋体" w:hAnsi="宋体"/>
                <w:szCs w:val="21"/>
              </w:rPr>
            </w:pPr>
            <w:r>
              <w:rPr>
                <w:rFonts w:hint="eastAsia" w:ascii="宋体" w:hAnsi="宋体"/>
                <w:szCs w:val="21"/>
              </w:rPr>
              <w:t>9. 论证</w:t>
            </w:r>
          </w:p>
        </w:tc>
        <w:tc>
          <w:tcPr>
            <w:tcW w:w="1701" w:type="dxa"/>
            <w:vAlign w:val="center"/>
          </w:tcPr>
          <w:p w14:paraId="515DD0B1">
            <w:pPr>
              <w:jc w:val="left"/>
              <w:rPr>
                <w:rFonts w:hint="eastAsia" w:ascii="宋体" w:hAnsi="宋体"/>
                <w:szCs w:val="21"/>
              </w:rPr>
            </w:pPr>
            <w:r>
              <w:rPr>
                <w:rFonts w:hint="eastAsia" w:ascii="宋体" w:hAnsi="宋体"/>
                <w:szCs w:val="21"/>
              </w:rPr>
              <w:t>1.证明的种类与规则</w:t>
            </w:r>
          </w:p>
          <w:p w14:paraId="171BFD08">
            <w:pPr>
              <w:jc w:val="left"/>
              <w:rPr>
                <w:rFonts w:hint="eastAsia" w:ascii="宋体" w:hAnsi="宋体"/>
                <w:szCs w:val="21"/>
              </w:rPr>
            </w:pPr>
            <w:r>
              <w:rPr>
                <w:rFonts w:hint="eastAsia" w:ascii="宋体" w:hAnsi="宋体"/>
                <w:szCs w:val="21"/>
              </w:rPr>
              <w:t>2.反驳的种类与规则</w:t>
            </w:r>
          </w:p>
        </w:tc>
        <w:tc>
          <w:tcPr>
            <w:tcW w:w="1134" w:type="dxa"/>
            <w:vAlign w:val="center"/>
          </w:tcPr>
          <w:p w14:paraId="27C6D082">
            <w:pPr>
              <w:jc w:val="center"/>
              <w:rPr>
                <w:rFonts w:hint="eastAsia" w:ascii="宋体" w:hAnsi="宋体"/>
                <w:szCs w:val="21"/>
              </w:rPr>
            </w:pPr>
            <w:r>
              <w:rPr>
                <w:rFonts w:hint="eastAsia" w:ascii="宋体" w:hAnsi="宋体"/>
                <w:szCs w:val="21"/>
              </w:rPr>
              <w:t>课程目标3</w:t>
            </w:r>
          </w:p>
        </w:tc>
        <w:tc>
          <w:tcPr>
            <w:tcW w:w="3260" w:type="dxa"/>
            <w:vAlign w:val="center"/>
          </w:tcPr>
          <w:p w14:paraId="1139D256">
            <w:pPr>
              <w:jc w:val="left"/>
              <w:rPr>
                <w:rFonts w:hint="eastAsia" w:ascii="宋体" w:hAnsi="宋体"/>
                <w:szCs w:val="21"/>
              </w:rPr>
            </w:pPr>
            <w:r>
              <w:rPr>
                <w:rFonts w:hint="eastAsia" w:ascii="宋体" w:hAnsi="宋体"/>
                <w:szCs w:val="21"/>
              </w:rPr>
              <w:t>掌握论证的主要方法，能运用论证的方法解决一些基本的现实问题。</w:t>
            </w:r>
          </w:p>
        </w:tc>
        <w:tc>
          <w:tcPr>
            <w:tcW w:w="1560" w:type="dxa"/>
            <w:vAlign w:val="center"/>
          </w:tcPr>
          <w:p w14:paraId="7246EF2D">
            <w:pPr>
              <w:jc w:val="left"/>
              <w:rPr>
                <w:rFonts w:hint="eastAsia" w:ascii="宋体" w:hAnsi="宋体"/>
                <w:szCs w:val="21"/>
              </w:rPr>
            </w:pPr>
            <w:r>
              <w:rPr>
                <w:rFonts w:ascii="宋体" w:hAnsi="宋体"/>
                <w:szCs w:val="21"/>
              </w:rPr>
              <w:t>1.线上学习</w:t>
            </w:r>
          </w:p>
          <w:p w14:paraId="26528B8F">
            <w:pPr>
              <w:jc w:val="left"/>
              <w:rPr>
                <w:rFonts w:hint="eastAsia" w:ascii="宋体" w:hAnsi="宋体"/>
                <w:szCs w:val="21"/>
              </w:rPr>
            </w:pPr>
            <w:r>
              <w:rPr>
                <w:rFonts w:ascii="宋体" w:hAnsi="宋体"/>
                <w:szCs w:val="21"/>
              </w:rPr>
              <w:t>2.多媒体教学3.课堂讨论</w:t>
            </w:r>
          </w:p>
          <w:p w14:paraId="47C0AA51">
            <w:pPr>
              <w:jc w:val="left"/>
              <w:rPr>
                <w:rFonts w:hint="eastAsia" w:ascii="宋体" w:hAnsi="宋体"/>
                <w:szCs w:val="21"/>
              </w:rPr>
            </w:pPr>
            <w:r>
              <w:rPr>
                <w:rFonts w:ascii="宋体" w:hAnsi="宋体"/>
                <w:szCs w:val="21"/>
              </w:rPr>
              <w:t>4.单元测验</w:t>
            </w:r>
          </w:p>
          <w:p w14:paraId="4552B633">
            <w:pPr>
              <w:jc w:val="left"/>
              <w:rPr>
                <w:rFonts w:hint="eastAsia" w:ascii="宋体" w:hAnsi="宋体"/>
                <w:szCs w:val="21"/>
              </w:rPr>
            </w:pPr>
            <w:r>
              <w:rPr>
                <w:rFonts w:hint="eastAsia" w:ascii="宋体" w:hAnsi="宋体"/>
                <w:szCs w:val="21"/>
              </w:rPr>
              <w:t>5.课内实践</w:t>
            </w:r>
          </w:p>
        </w:tc>
        <w:tc>
          <w:tcPr>
            <w:tcW w:w="438" w:type="dxa"/>
            <w:vAlign w:val="center"/>
          </w:tcPr>
          <w:p w14:paraId="11249507">
            <w:pPr>
              <w:jc w:val="center"/>
              <w:rPr>
                <w:rFonts w:hint="eastAsia" w:ascii="宋体" w:hAnsi="宋体"/>
                <w:szCs w:val="21"/>
              </w:rPr>
            </w:pPr>
            <w:r>
              <w:rPr>
                <w:rFonts w:hint="eastAsia" w:ascii="宋体" w:hAnsi="宋体"/>
                <w:szCs w:val="21"/>
              </w:rPr>
              <w:t>4</w:t>
            </w:r>
          </w:p>
        </w:tc>
      </w:tr>
      <w:tr w14:paraId="5B4F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1C322F65">
            <w:pPr>
              <w:jc w:val="center"/>
              <w:rPr>
                <w:rFonts w:hint="eastAsia" w:ascii="宋体" w:hAnsi="宋体"/>
                <w:szCs w:val="21"/>
              </w:rPr>
            </w:pPr>
          </w:p>
        </w:tc>
        <w:tc>
          <w:tcPr>
            <w:tcW w:w="8093" w:type="dxa"/>
            <w:gridSpan w:val="5"/>
            <w:vAlign w:val="center"/>
          </w:tcPr>
          <w:p w14:paraId="4C510591">
            <w:pPr>
              <w:jc w:val="left"/>
              <w:rPr>
                <w:rFonts w:hint="eastAsia" w:ascii="宋体" w:hAnsi="宋体"/>
                <w:szCs w:val="21"/>
              </w:rPr>
            </w:pPr>
            <w:r>
              <w:rPr>
                <w:rFonts w:hint="eastAsia" w:ascii="宋体" w:hAnsi="宋体"/>
                <w:b/>
                <w:szCs w:val="21"/>
              </w:rPr>
              <w:t>课程思政目标：</w:t>
            </w:r>
            <w:r>
              <w:rPr>
                <w:rFonts w:hint="eastAsia" w:ascii="宋体" w:hAnsi="宋体"/>
                <w:szCs w:val="21"/>
              </w:rPr>
              <w:t>通过例证渗透爱国主义思想，社会主义核心价值观，分析不当言论的逻辑错误，通过辩论等形式提高学生解决问题的能力，学习理性思维，关注社会现象，提高批判思维能力。</w:t>
            </w:r>
          </w:p>
        </w:tc>
      </w:tr>
    </w:tbl>
    <w:p w14:paraId="0DD4233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四、课内实践</w:t>
      </w:r>
    </w:p>
    <w:tbl>
      <w:tblPr>
        <w:tblStyle w:val="1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1076"/>
        <w:gridCol w:w="6222"/>
        <w:gridCol w:w="869"/>
      </w:tblGrid>
      <w:tr w14:paraId="2D3C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8" w:type="dxa"/>
            <w:shd w:val="clear" w:color="auto" w:fill="FFFFFF"/>
            <w:vAlign w:val="center"/>
          </w:tcPr>
          <w:p w14:paraId="1E571E4A">
            <w:pPr>
              <w:jc w:val="center"/>
              <w:rPr>
                <w:bCs/>
                <w:spacing w:val="-20"/>
                <w:szCs w:val="21"/>
              </w:rPr>
            </w:pPr>
            <w:r>
              <w:rPr>
                <w:bCs/>
                <w:spacing w:val="-20"/>
                <w:szCs w:val="21"/>
              </w:rPr>
              <w:t>序号</w:t>
            </w:r>
          </w:p>
        </w:tc>
        <w:tc>
          <w:tcPr>
            <w:tcW w:w="1009" w:type="dxa"/>
            <w:shd w:val="clear" w:color="auto" w:fill="FFFFFF"/>
            <w:vAlign w:val="center"/>
          </w:tcPr>
          <w:p w14:paraId="0F31D0A8">
            <w:pPr>
              <w:jc w:val="center"/>
              <w:rPr>
                <w:bCs/>
                <w:szCs w:val="21"/>
              </w:rPr>
            </w:pPr>
            <w:r>
              <w:rPr>
                <w:bCs/>
                <w:szCs w:val="21"/>
              </w:rPr>
              <w:t>项目名称</w:t>
            </w:r>
          </w:p>
        </w:tc>
        <w:tc>
          <w:tcPr>
            <w:tcW w:w="5834" w:type="dxa"/>
            <w:shd w:val="clear" w:color="auto" w:fill="FFFFFF"/>
            <w:vAlign w:val="center"/>
          </w:tcPr>
          <w:p w14:paraId="051E735C">
            <w:pPr>
              <w:jc w:val="center"/>
              <w:rPr>
                <w:bCs/>
                <w:szCs w:val="21"/>
              </w:rPr>
            </w:pPr>
            <w:r>
              <w:rPr>
                <w:rFonts w:hint="eastAsia"/>
                <w:bCs/>
                <w:szCs w:val="21"/>
              </w:rPr>
              <w:t>实践</w:t>
            </w:r>
            <w:r>
              <w:rPr>
                <w:bCs/>
                <w:szCs w:val="21"/>
              </w:rPr>
              <w:t>内容及要求</w:t>
            </w:r>
          </w:p>
        </w:tc>
        <w:tc>
          <w:tcPr>
            <w:tcW w:w="815" w:type="dxa"/>
            <w:shd w:val="clear" w:color="auto" w:fill="FFFFFF"/>
            <w:vAlign w:val="center"/>
          </w:tcPr>
          <w:p w14:paraId="7C3C37FB">
            <w:pPr>
              <w:jc w:val="center"/>
              <w:rPr>
                <w:bCs/>
                <w:szCs w:val="21"/>
              </w:rPr>
            </w:pPr>
            <w:r>
              <w:rPr>
                <w:bCs/>
                <w:szCs w:val="21"/>
              </w:rPr>
              <w:t>学时</w:t>
            </w:r>
          </w:p>
        </w:tc>
      </w:tr>
      <w:tr w14:paraId="32C9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8" w:type="dxa"/>
            <w:tcBorders>
              <w:top w:val="single" w:color="auto" w:sz="4" w:space="0"/>
              <w:bottom w:val="single" w:color="auto" w:sz="4" w:space="0"/>
              <w:right w:val="single" w:color="auto" w:sz="4" w:space="0"/>
            </w:tcBorders>
            <w:vAlign w:val="center"/>
          </w:tcPr>
          <w:p w14:paraId="0824E5EC">
            <w:pPr>
              <w:ind w:firstLine="200"/>
              <w:jc w:val="center"/>
              <w:rPr>
                <w:rFonts w:hint="eastAsia" w:ascii="新宋体" w:hAnsi="新宋体" w:eastAsia="新宋体"/>
                <w:szCs w:val="21"/>
              </w:rPr>
            </w:pPr>
            <w:r>
              <w:rPr>
                <w:rFonts w:hint="eastAsia" w:ascii="新宋体" w:hAnsi="新宋体" w:eastAsia="新宋体"/>
                <w:szCs w:val="21"/>
              </w:rPr>
              <w:t>1</w:t>
            </w:r>
          </w:p>
        </w:tc>
        <w:tc>
          <w:tcPr>
            <w:tcW w:w="1009" w:type="dxa"/>
            <w:tcBorders>
              <w:top w:val="single" w:color="auto" w:sz="4" w:space="0"/>
              <w:left w:val="single" w:color="auto" w:sz="4" w:space="0"/>
              <w:bottom w:val="single" w:color="auto" w:sz="4" w:space="0"/>
              <w:right w:val="single" w:color="auto" w:sz="4" w:space="0"/>
            </w:tcBorders>
            <w:vAlign w:val="center"/>
          </w:tcPr>
          <w:p w14:paraId="0A954EBA">
            <w:pPr>
              <w:adjustRightInd w:val="0"/>
              <w:jc w:val="center"/>
              <w:rPr>
                <w:rFonts w:hint="eastAsia" w:ascii="新宋体" w:hAnsi="新宋体" w:eastAsia="新宋体"/>
                <w:bCs/>
                <w:szCs w:val="21"/>
              </w:rPr>
            </w:pPr>
            <w:r>
              <w:rPr>
                <w:rFonts w:hint="eastAsia" w:ascii="新宋体" w:hAnsi="新宋体" w:eastAsia="新宋体"/>
                <w:szCs w:val="21"/>
              </w:rPr>
              <w:t>观摩辩论赛</w:t>
            </w:r>
          </w:p>
        </w:tc>
        <w:tc>
          <w:tcPr>
            <w:tcW w:w="5834" w:type="dxa"/>
            <w:tcBorders>
              <w:top w:val="single" w:color="auto" w:sz="4" w:space="0"/>
              <w:left w:val="single" w:color="auto" w:sz="4" w:space="0"/>
              <w:bottom w:val="single" w:color="auto" w:sz="4" w:space="0"/>
              <w:right w:val="single" w:color="auto" w:sz="4" w:space="0"/>
            </w:tcBorders>
            <w:vAlign w:val="center"/>
          </w:tcPr>
          <w:p w14:paraId="1CF9EDB2">
            <w:pPr>
              <w:rPr>
                <w:rFonts w:hint="eastAsia" w:ascii="新宋体" w:hAnsi="新宋体" w:eastAsia="新宋体"/>
                <w:szCs w:val="21"/>
              </w:rPr>
            </w:pPr>
            <w:r>
              <w:rPr>
                <w:rFonts w:hint="eastAsia" w:ascii="新宋体" w:hAnsi="新宋体" w:eastAsia="新宋体"/>
                <w:szCs w:val="21"/>
              </w:rPr>
              <w:t>实践内容：观看世界大学生辩论赛的一场比赛录像</w:t>
            </w:r>
          </w:p>
          <w:p w14:paraId="3B207B03">
            <w:pPr>
              <w:rPr>
                <w:rFonts w:hint="eastAsia" w:ascii="新宋体" w:hAnsi="新宋体" w:eastAsia="新宋体"/>
                <w:szCs w:val="21"/>
              </w:rPr>
            </w:pPr>
            <w:r>
              <w:rPr>
                <w:rFonts w:hint="eastAsia" w:ascii="新宋体" w:hAnsi="新宋体" w:eastAsia="新宋体"/>
                <w:szCs w:val="21"/>
              </w:rPr>
              <w:t>实践要求：（1）知道辩论赛流程</w:t>
            </w:r>
          </w:p>
          <w:p w14:paraId="681C0884">
            <w:pPr>
              <w:rPr>
                <w:rFonts w:hint="eastAsia" w:ascii="新宋体" w:hAnsi="新宋体" w:eastAsia="新宋体"/>
                <w:szCs w:val="21"/>
              </w:rPr>
            </w:pPr>
            <w:r>
              <w:rPr>
                <w:rFonts w:hint="eastAsia" w:ascii="新宋体" w:hAnsi="新宋体" w:eastAsia="新宋体"/>
                <w:szCs w:val="21"/>
              </w:rPr>
              <w:t>（2）讨论辩论赛中双方的论点和论据，并能做出相应的评论</w:t>
            </w:r>
          </w:p>
          <w:p w14:paraId="167F9569">
            <w:pPr>
              <w:rPr>
                <w:rFonts w:hint="eastAsia" w:ascii="新宋体" w:hAnsi="新宋体" w:eastAsia="新宋体"/>
                <w:szCs w:val="21"/>
              </w:rPr>
            </w:pPr>
            <w:r>
              <w:rPr>
                <w:rFonts w:hint="eastAsia" w:ascii="新宋体" w:hAnsi="新宋体" w:eastAsia="新宋体"/>
                <w:szCs w:val="21"/>
              </w:rPr>
              <w:t>（3）选一个辩手角色模拟练习</w:t>
            </w:r>
          </w:p>
        </w:tc>
        <w:tc>
          <w:tcPr>
            <w:tcW w:w="815" w:type="dxa"/>
            <w:vAlign w:val="center"/>
          </w:tcPr>
          <w:p w14:paraId="37938E60">
            <w:pPr>
              <w:jc w:val="center"/>
              <w:rPr>
                <w:bCs/>
                <w:szCs w:val="21"/>
              </w:rPr>
            </w:pPr>
            <w:r>
              <w:rPr>
                <w:rFonts w:hint="eastAsia"/>
                <w:bCs/>
                <w:szCs w:val="21"/>
              </w:rPr>
              <w:t>4</w:t>
            </w:r>
          </w:p>
        </w:tc>
      </w:tr>
      <w:tr w14:paraId="6863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8" w:type="dxa"/>
            <w:tcBorders>
              <w:top w:val="single" w:color="auto" w:sz="4" w:space="0"/>
              <w:bottom w:val="single" w:color="auto" w:sz="4" w:space="0"/>
              <w:right w:val="single" w:color="auto" w:sz="4" w:space="0"/>
            </w:tcBorders>
            <w:vAlign w:val="center"/>
          </w:tcPr>
          <w:p w14:paraId="7FD713FD">
            <w:pPr>
              <w:ind w:firstLine="200"/>
              <w:jc w:val="center"/>
              <w:rPr>
                <w:rFonts w:hint="eastAsia" w:ascii="新宋体" w:hAnsi="新宋体" w:eastAsia="新宋体"/>
                <w:szCs w:val="21"/>
              </w:rPr>
            </w:pPr>
            <w:r>
              <w:rPr>
                <w:rFonts w:hint="eastAsia" w:ascii="新宋体" w:hAnsi="新宋体" w:eastAsia="新宋体"/>
                <w:szCs w:val="21"/>
              </w:rPr>
              <w:t>2</w:t>
            </w:r>
          </w:p>
        </w:tc>
        <w:tc>
          <w:tcPr>
            <w:tcW w:w="1009" w:type="dxa"/>
            <w:tcBorders>
              <w:top w:val="single" w:color="auto" w:sz="4" w:space="0"/>
              <w:left w:val="single" w:color="auto" w:sz="4" w:space="0"/>
              <w:bottom w:val="single" w:color="auto" w:sz="4" w:space="0"/>
              <w:right w:val="single" w:color="auto" w:sz="4" w:space="0"/>
            </w:tcBorders>
            <w:vAlign w:val="center"/>
          </w:tcPr>
          <w:p w14:paraId="7926E09F">
            <w:pPr>
              <w:adjustRightInd w:val="0"/>
              <w:jc w:val="center"/>
              <w:rPr>
                <w:rFonts w:hint="eastAsia" w:ascii="宋体" w:hAnsi="宋体"/>
                <w:bCs/>
                <w:szCs w:val="21"/>
              </w:rPr>
            </w:pPr>
            <w:r>
              <w:rPr>
                <w:rFonts w:hint="eastAsia" w:ascii="宋体" w:hAnsi="宋体"/>
                <w:bCs/>
                <w:szCs w:val="21"/>
              </w:rPr>
              <w:t>辩题</w:t>
            </w:r>
          </w:p>
          <w:p w14:paraId="63841C96">
            <w:pPr>
              <w:adjustRightInd w:val="0"/>
              <w:jc w:val="center"/>
              <w:rPr>
                <w:rFonts w:hint="eastAsia" w:ascii="宋体" w:hAnsi="宋体"/>
                <w:bCs/>
                <w:szCs w:val="21"/>
              </w:rPr>
            </w:pPr>
            <w:r>
              <w:rPr>
                <w:rFonts w:hint="eastAsia" w:ascii="宋体" w:hAnsi="宋体"/>
                <w:bCs/>
                <w:szCs w:val="21"/>
              </w:rPr>
              <w:t>设计</w:t>
            </w:r>
          </w:p>
        </w:tc>
        <w:tc>
          <w:tcPr>
            <w:tcW w:w="5834" w:type="dxa"/>
            <w:tcBorders>
              <w:top w:val="single" w:color="auto" w:sz="4" w:space="0"/>
              <w:left w:val="single" w:color="auto" w:sz="4" w:space="0"/>
              <w:bottom w:val="single" w:color="auto" w:sz="4" w:space="0"/>
              <w:right w:val="single" w:color="auto" w:sz="4" w:space="0"/>
            </w:tcBorders>
            <w:vAlign w:val="center"/>
          </w:tcPr>
          <w:p w14:paraId="5E4984D3">
            <w:pPr>
              <w:rPr>
                <w:rFonts w:hint="eastAsia" w:ascii="宋体" w:hAnsi="宋体"/>
                <w:szCs w:val="21"/>
              </w:rPr>
            </w:pPr>
            <w:r>
              <w:rPr>
                <w:rFonts w:hint="eastAsia" w:ascii="宋体" w:hAnsi="宋体"/>
                <w:szCs w:val="21"/>
              </w:rPr>
              <w:t>实践内容：分小组查找相关资料，结合专业特点，提出两个以上的辩题，并对正反双方的辩题进行讨论</w:t>
            </w:r>
          </w:p>
          <w:p w14:paraId="457986CB">
            <w:pPr>
              <w:rPr>
                <w:rFonts w:hint="eastAsia" w:ascii="宋体" w:hAnsi="宋体"/>
                <w:szCs w:val="21"/>
              </w:rPr>
            </w:pPr>
            <w:r>
              <w:rPr>
                <w:rFonts w:hint="eastAsia" w:ascii="宋体" w:hAnsi="宋体"/>
                <w:szCs w:val="21"/>
              </w:rPr>
              <w:t>实践要求：（1）辩题结合专业特点，无方向性错误</w:t>
            </w:r>
          </w:p>
          <w:p w14:paraId="6234E20D">
            <w:pPr>
              <w:rPr>
                <w:rFonts w:hint="eastAsia" w:ascii="宋体" w:hAnsi="宋体"/>
                <w:szCs w:val="21"/>
              </w:rPr>
            </w:pPr>
            <w:r>
              <w:rPr>
                <w:rFonts w:hint="eastAsia" w:ascii="宋体" w:hAnsi="宋体"/>
                <w:szCs w:val="21"/>
              </w:rPr>
              <w:t>（2）小组合作分工合理</w:t>
            </w:r>
          </w:p>
          <w:p w14:paraId="21D0F16E">
            <w:pPr>
              <w:rPr>
                <w:rFonts w:hint="eastAsia" w:ascii="宋体" w:hAnsi="宋体"/>
                <w:szCs w:val="21"/>
              </w:rPr>
            </w:pPr>
            <w:r>
              <w:rPr>
                <w:rFonts w:hint="eastAsia" w:ascii="宋体" w:hAnsi="宋体"/>
                <w:szCs w:val="21"/>
              </w:rPr>
              <w:t>（3）辩题具有逻辑性</w:t>
            </w:r>
          </w:p>
        </w:tc>
        <w:tc>
          <w:tcPr>
            <w:tcW w:w="815" w:type="dxa"/>
            <w:vAlign w:val="center"/>
          </w:tcPr>
          <w:p w14:paraId="67CAC13B">
            <w:pPr>
              <w:jc w:val="center"/>
              <w:rPr>
                <w:bCs/>
                <w:szCs w:val="21"/>
              </w:rPr>
            </w:pPr>
            <w:r>
              <w:rPr>
                <w:rFonts w:hint="eastAsia"/>
                <w:bCs/>
                <w:szCs w:val="21"/>
              </w:rPr>
              <w:t>3</w:t>
            </w:r>
          </w:p>
        </w:tc>
      </w:tr>
      <w:tr w14:paraId="6DB6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8" w:type="dxa"/>
            <w:tcBorders>
              <w:top w:val="single" w:color="auto" w:sz="4" w:space="0"/>
              <w:bottom w:val="single" w:color="auto" w:sz="4" w:space="0"/>
              <w:right w:val="single" w:color="auto" w:sz="4" w:space="0"/>
            </w:tcBorders>
            <w:vAlign w:val="center"/>
          </w:tcPr>
          <w:p w14:paraId="5A4BA9D0">
            <w:pPr>
              <w:ind w:firstLine="200"/>
              <w:jc w:val="center"/>
              <w:rPr>
                <w:rFonts w:hint="eastAsia" w:ascii="宋体" w:hAnsi="宋体"/>
                <w:szCs w:val="21"/>
              </w:rPr>
            </w:pPr>
            <w:r>
              <w:rPr>
                <w:rFonts w:hint="eastAsia" w:ascii="宋体" w:hAnsi="宋体"/>
                <w:szCs w:val="21"/>
              </w:rPr>
              <w:t>3</w:t>
            </w:r>
          </w:p>
        </w:tc>
        <w:tc>
          <w:tcPr>
            <w:tcW w:w="1009" w:type="dxa"/>
            <w:tcBorders>
              <w:top w:val="single" w:color="auto" w:sz="4" w:space="0"/>
              <w:left w:val="single" w:color="auto" w:sz="4" w:space="0"/>
              <w:bottom w:val="single" w:color="auto" w:sz="4" w:space="0"/>
              <w:right w:val="single" w:color="auto" w:sz="4" w:space="0"/>
            </w:tcBorders>
            <w:vAlign w:val="center"/>
          </w:tcPr>
          <w:p w14:paraId="23BE76C4">
            <w:pPr>
              <w:adjustRightInd w:val="0"/>
              <w:jc w:val="center"/>
              <w:rPr>
                <w:rFonts w:hint="eastAsia" w:ascii="宋体" w:hAnsi="宋体"/>
                <w:bCs/>
                <w:szCs w:val="21"/>
              </w:rPr>
            </w:pPr>
            <w:r>
              <w:rPr>
                <w:rFonts w:hint="eastAsia" w:ascii="宋体" w:hAnsi="宋体"/>
                <w:bCs/>
                <w:szCs w:val="21"/>
              </w:rPr>
              <w:t>辩论赛</w:t>
            </w:r>
          </w:p>
        </w:tc>
        <w:tc>
          <w:tcPr>
            <w:tcW w:w="5834" w:type="dxa"/>
            <w:tcBorders>
              <w:top w:val="single" w:color="auto" w:sz="4" w:space="0"/>
              <w:left w:val="single" w:color="auto" w:sz="4" w:space="0"/>
              <w:bottom w:val="single" w:color="auto" w:sz="4" w:space="0"/>
              <w:right w:val="single" w:color="auto" w:sz="4" w:space="0"/>
            </w:tcBorders>
            <w:vAlign w:val="center"/>
          </w:tcPr>
          <w:p w14:paraId="5CDF0DC0">
            <w:pPr>
              <w:rPr>
                <w:rFonts w:hint="eastAsia" w:ascii="宋体" w:hAnsi="宋体"/>
                <w:szCs w:val="21"/>
              </w:rPr>
            </w:pPr>
            <w:r>
              <w:rPr>
                <w:rFonts w:hint="eastAsia" w:ascii="宋体" w:hAnsi="宋体"/>
                <w:szCs w:val="21"/>
              </w:rPr>
              <w:t>实践内容：以小组为单位，在班内开展辩论赛活动</w:t>
            </w:r>
          </w:p>
          <w:p w14:paraId="741F62B4">
            <w:pPr>
              <w:rPr>
                <w:rFonts w:hint="eastAsia" w:ascii="宋体" w:hAnsi="宋体"/>
                <w:szCs w:val="21"/>
              </w:rPr>
            </w:pPr>
            <w:r>
              <w:rPr>
                <w:rFonts w:hint="eastAsia" w:ascii="宋体" w:hAnsi="宋体"/>
                <w:szCs w:val="21"/>
              </w:rPr>
              <w:t>实践要求：（1）活动安排组织流程清楚，能顺利进行比赛</w:t>
            </w:r>
          </w:p>
          <w:p w14:paraId="731A7911">
            <w:pPr>
              <w:rPr>
                <w:rFonts w:hint="eastAsia" w:ascii="宋体" w:hAnsi="宋体"/>
                <w:szCs w:val="21"/>
              </w:rPr>
            </w:pPr>
            <w:r>
              <w:rPr>
                <w:rFonts w:hint="eastAsia" w:ascii="宋体" w:hAnsi="宋体"/>
                <w:szCs w:val="21"/>
              </w:rPr>
              <w:t>（2）比赛准备充分，学生参与度高</w:t>
            </w:r>
          </w:p>
        </w:tc>
        <w:tc>
          <w:tcPr>
            <w:tcW w:w="815" w:type="dxa"/>
            <w:vAlign w:val="center"/>
          </w:tcPr>
          <w:p w14:paraId="59A36DBF">
            <w:pPr>
              <w:jc w:val="center"/>
              <w:rPr>
                <w:rFonts w:hint="eastAsia" w:ascii="宋体" w:hAnsi="宋体"/>
                <w:bCs/>
                <w:szCs w:val="21"/>
              </w:rPr>
            </w:pPr>
            <w:r>
              <w:rPr>
                <w:rFonts w:hint="eastAsia" w:ascii="宋体" w:hAnsi="宋体"/>
                <w:bCs/>
                <w:szCs w:val="21"/>
              </w:rPr>
              <w:t>3</w:t>
            </w:r>
          </w:p>
        </w:tc>
      </w:tr>
      <w:tr w14:paraId="6BA7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57" w:type="dxa"/>
            <w:gridSpan w:val="2"/>
            <w:tcBorders>
              <w:top w:val="single" w:color="auto" w:sz="4" w:space="0"/>
              <w:bottom w:val="single" w:color="auto" w:sz="4" w:space="0"/>
              <w:right w:val="single" w:color="auto" w:sz="4" w:space="0"/>
            </w:tcBorders>
            <w:vAlign w:val="center"/>
          </w:tcPr>
          <w:p w14:paraId="7E0B3F8C">
            <w:pPr>
              <w:adjustRightInd w:val="0"/>
              <w:ind w:firstLine="198"/>
              <w:rPr>
                <w:rFonts w:hint="eastAsia" w:ascii="新宋体" w:hAnsi="新宋体" w:eastAsia="新宋体"/>
                <w:bCs/>
                <w:szCs w:val="21"/>
              </w:rPr>
            </w:pPr>
            <w:r>
              <w:rPr>
                <w:rFonts w:hint="eastAsia" w:ascii="新宋体" w:hAnsi="新宋体" w:eastAsia="新宋体"/>
                <w:bCs/>
                <w:szCs w:val="21"/>
              </w:rPr>
              <w:t>合计</w:t>
            </w:r>
          </w:p>
        </w:tc>
        <w:tc>
          <w:tcPr>
            <w:tcW w:w="5834" w:type="dxa"/>
            <w:tcBorders>
              <w:top w:val="single" w:color="auto" w:sz="4" w:space="0"/>
              <w:left w:val="single" w:color="auto" w:sz="4" w:space="0"/>
              <w:bottom w:val="single" w:color="auto" w:sz="4" w:space="0"/>
              <w:right w:val="single" w:color="auto" w:sz="4" w:space="0"/>
            </w:tcBorders>
            <w:vAlign w:val="center"/>
          </w:tcPr>
          <w:p w14:paraId="1091DF44">
            <w:pPr>
              <w:ind w:firstLine="200"/>
              <w:rPr>
                <w:rFonts w:hint="eastAsia" w:ascii="新宋体" w:hAnsi="新宋体" w:eastAsia="新宋体"/>
                <w:szCs w:val="21"/>
              </w:rPr>
            </w:pPr>
          </w:p>
        </w:tc>
        <w:tc>
          <w:tcPr>
            <w:tcW w:w="815" w:type="dxa"/>
            <w:vAlign w:val="center"/>
          </w:tcPr>
          <w:p w14:paraId="472EDB7D">
            <w:pPr>
              <w:jc w:val="center"/>
              <w:rPr>
                <w:bCs/>
                <w:szCs w:val="21"/>
              </w:rPr>
            </w:pPr>
            <w:r>
              <w:rPr>
                <w:rFonts w:hint="eastAsia"/>
                <w:bCs/>
                <w:szCs w:val="21"/>
              </w:rPr>
              <w:t>10</w:t>
            </w:r>
          </w:p>
        </w:tc>
      </w:tr>
    </w:tbl>
    <w:p w14:paraId="08BE7F0D">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五、目标评价与成绩评定</w:t>
      </w:r>
    </w:p>
    <w:p w14:paraId="0F1CCFF2">
      <w:pPr>
        <w:spacing w:line="360" w:lineRule="auto"/>
        <w:ind w:firstLine="422" w:firstLineChars="200"/>
        <w:jc w:val="left"/>
        <w:rPr>
          <w:b/>
          <w:szCs w:val="21"/>
        </w:rPr>
      </w:pPr>
      <w:r>
        <w:rPr>
          <w:rFonts w:hint="eastAsia"/>
          <w:b/>
          <w:szCs w:val="21"/>
        </w:rPr>
        <w:t>（一）课程目标评价方式</w:t>
      </w:r>
    </w:p>
    <w:p w14:paraId="5F622F8F">
      <w:pPr>
        <w:spacing w:line="360" w:lineRule="auto"/>
        <w:ind w:firstLine="420" w:firstLineChars="200"/>
        <w:jc w:val="left"/>
        <w:rPr>
          <w:szCs w:val="21"/>
        </w:rPr>
      </w:pPr>
      <w:r>
        <w:rPr>
          <w:rFonts w:hint="eastAsia"/>
          <w:szCs w:val="21"/>
        </w:rPr>
        <w:t>根据总体设计，用于评价各课程目标的评价方式如下表所示</w:t>
      </w:r>
      <w:r>
        <w:rPr>
          <w:szCs w:val="21"/>
        </w:rPr>
        <w:t>。</w:t>
      </w:r>
    </w:p>
    <w:tbl>
      <w:tblPr>
        <w:tblStyle w:val="12"/>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447"/>
        <w:gridCol w:w="1448"/>
        <w:gridCol w:w="1448"/>
        <w:gridCol w:w="1448"/>
        <w:gridCol w:w="872"/>
      </w:tblGrid>
      <w:tr w14:paraId="2661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0" w:type="auto"/>
            <w:vMerge w:val="restart"/>
            <w:vAlign w:val="center"/>
          </w:tcPr>
          <w:p w14:paraId="54C76713">
            <w:pPr>
              <w:spacing w:line="360" w:lineRule="auto"/>
              <w:jc w:val="center"/>
              <w:rPr>
                <w:rFonts w:hint="eastAsia" w:ascii="宋体" w:hAnsi="宋体"/>
                <w:szCs w:val="21"/>
              </w:rPr>
            </w:pPr>
            <w:r>
              <w:rPr>
                <w:rFonts w:hint="eastAsia" w:ascii="宋体" w:hAnsi="宋体"/>
                <w:szCs w:val="21"/>
              </w:rPr>
              <w:t>课程目标</w:t>
            </w:r>
          </w:p>
        </w:tc>
        <w:tc>
          <w:tcPr>
            <w:tcW w:w="0" w:type="auto"/>
            <w:gridSpan w:val="4"/>
            <w:vAlign w:val="center"/>
          </w:tcPr>
          <w:p w14:paraId="00CA33D9">
            <w:pPr>
              <w:spacing w:line="360" w:lineRule="auto"/>
              <w:jc w:val="center"/>
              <w:rPr>
                <w:rFonts w:hint="eastAsia" w:ascii="宋体" w:hAnsi="宋体"/>
                <w:szCs w:val="21"/>
              </w:rPr>
            </w:pPr>
            <w:r>
              <w:rPr>
                <w:rFonts w:hint="eastAsia" w:ascii="宋体" w:hAnsi="宋体"/>
                <w:szCs w:val="21"/>
              </w:rPr>
              <w:t>评价与成绩评定方法</w:t>
            </w:r>
          </w:p>
        </w:tc>
        <w:tc>
          <w:tcPr>
            <w:tcW w:w="0" w:type="auto"/>
            <w:vMerge w:val="restart"/>
            <w:vAlign w:val="center"/>
          </w:tcPr>
          <w:p w14:paraId="6833CD8B">
            <w:pPr>
              <w:spacing w:line="360" w:lineRule="auto"/>
              <w:jc w:val="center"/>
              <w:rPr>
                <w:rFonts w:hint="eastAsia" w:ascii="宋体" w:hAnsi="宋体"/>
                <w:szCs w:val="21"/>
              </w:rPr>
            </w:pPr>
            <w:r>
              <w:rPr>
                <w:rFonts w:hint="eastAsia" w:ascii="宋体" w:hAnsi="宋体"/>
                <w:szCs w:val="21"/>
              </w:rPr>
              <w:t>分值</w:t>
            </w:r>
          </w:p>
        </w:tc>
      </w:tr>
      <w:tr w14:paraId="5E71F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0" w:type="auto"/>
            <w:vMerge w:val="continue"/>
            <w:vAlign w:val="center"/>
          </w:tcPr>
          <w:p w14:paraId="79E6B797">
            <w:pPr>
              <w:spacing w:line="360" w:lineRule="auto"/>
              <w:jc w:val="center"/>
              <w:rPr>
                <w:rFonts w:hint="eastAsia" w:ascii="宋体" w:hAnsi="宋体"/>
                <w:szCs w:val="21"/>
              </w:rPr>
            </w:pPr>
          </w:p>
        </w:tc>
        <w:tc>
          <w:tcPr>
            <w:tcW w:w="0" w:type="auto"/>
            <w:vAlign w:val="center"/>
          </w:tcPr>
          <w:p w14:paraId="231E02E2">
            <w:pPr>
              <w:spacing w:line="360" w:lineRule="auto"/>
              <w:jc w:val="center"/>
              <w:rPr>
                <w:rFonts w:hint="eastAsia" w:ascii="宋体" w:hAnsi="宋体"/>
                <w:szCs w:val="21"/>
              </w:rPr>
            </w:pPr>
            <w:r>
              <w:rPr>
                <w:rFonts w:hint="eastAsia" w:ascii="宋体" w:hAnsi="宋体"/>
                <w:szCs w:val="21"/>
              </w:rPr>
              <w:t>平时作业</w:t>
            </w:r>
          </w:p>
        </w:tc>
        <w:tc>
          <w:tcPr>
            <w:tcW w:w="0" w:type="auto"/>
            <w:vAlign w:val="center"/>
          </w:tcPr>
          <w:p w14:paraId="516168A6">
            <w:pPr>
              <w:spacing w:line="360" w:lineRule="auto"/>
              <w:jc w:val="center"/>
              <w:rPr>
                <w:rFonts w:hint="eastAsia" w:ascii="宋体" w:hAnsi="宋体"/>
                <w:szCs w:val="21"/>
              </w:rPr>
            </w:pPr>
            <w:r>
              <w:rPr>
                <w:rFonts w:hint="eastAsia" w:ascii="宋体" w:hAnsi="宋体"/>
                <w:szCs w:val="21"/>
              </w:rPr>
              <w:t>课堂表现</w:t>
            </w:r>
          </w:p>
        </w:tc>
        <w:tc>
          <w:tcPr>
            <w:tcW w:w="0" w:type="auto"/>
            <w:vAlign w:val="center"/>
          </w:tcPr>
          <w:p w14:paraId="20F88C43">
            <w:pPr>
              <w:spacing w:line="360" w:lineRule="auto"/>
              <w:jc w:val="center"/>
              <w:rPr>
                <w:rFonts w:hint="eastAsia" w:ascii="宋体" w:hAnsi="宋体"/>
                <w:szCs w:val="21"/>
              </w:rPr>
            </w:pPr>
            <w:r>
              <w:rPr>
                <w:rFonts w:hint="eastAsia" w:ascii="宋体" w:hAnsi="宋体"/>
                <w:szCs w:val="21"/>
              </w:rPr>
              <w:t>课内实践</w:t>
            </w:r>
          </w:p>
        </w:tc>
        <w:tc>
          <w:tcPr>
            <w:tcW w:w="0" w:type="auto"/>
            <w:vAlign w:val="center"/>
          </w:tcPr>
          <w:p w14:paraId="7A29A5A7">
            <w:pPr>
              <w:spacing w:line="360" w:lineRule="auto"/>
              <w:jc w:val="center"/>
              <w:rPr>
                <w:rFonts w:hint="eastAsia" w:ascii="宋体" w:hAnsi="宋体"/>
                <w:szCs w:val="21"/>
              </w:rPr>
            </w:pPr>
            <w:r>
              <w:rPr>
                <w:rFonts w:hint="eastAsia" w:ascii="宋体" w:hAnsi="宋体"/>
                <w:szCs w:val="21"/>
              </w:rPr>
              <w:t>期末考试</w:t>
            </w:r>
          </w:p>
        </w:tc>
        <w:tc>
          <w:tcPr>
            <w:tcW w:w="0" w:type="auto"/>
            <w:vMerge w:val="continue"/>
            <w:vAlign w:val="center"/>
          </w:tcPr>
          <w:p w14:paraId="2AC4E42A">
            <w:pPr>
              <w:spacing w:line="360" w:lineRule="auto"/>
              <w:jc w:val="center"/>
              <w:rPr>
                <w:rFonts w:hint="eastAsia" w:ascii="宋体" w:hAnsi="宋体"/>
                <w:szCs w:val="21"/>
              </w:rPr>
            </w:pPr>
          </w:p>
        </w:tc>
      </w:tr>
      <w:tr w14:paraId="2B25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0" w:type="auto"/>
            <w:vAlign w:val="center"/>
          </w:tcPr>
          <w:p w14:paraId="558504B8">
            <w:pPr>
              <w:spacing w:line="360" w:lineRule="auto"/>
              <w:jc w:val="center"/>
              <w:rPr>
                <w:rFonts w:hint="eastAsia" w:ascii="宋体" w:hAnsi="宋体"/>
                <w:szCs w:val="21"/>
              </w:rPr>
            </w:pPr>
            <w:r>
              <w:rPr>
                <w:rFonts w:hint="eastAsia" w:ascii="宋体" w:hAnsi="宋体"/>
                <w:szCs w:val="21"/>
              </w:rPr>
              <w:t>课程目标1</w:t>
            </w:r>
          </w:p>
        </w:tc>
        <w:tc>
          <w:tcPr>
            <w:tcW w:w="0" w:type="auto"/>
            <w:vAlign w:val="center"/>
          </w:tcPr>
          <w:p w14:paraId="6B12E5A0">
            <w:pPr>
              <w:spacing w:line="360" w:lineRule="auto"/>
              <w:jc w:val="center"/>
              <w:rPr>
                <w:rFonts w:hint="eastAsia" w:ascii="宋体" w:hAnsi="宋体"/>
                <w:szCs w:val="21"/>
              </w:rPr>
            </w:pPr>
          </w:p>
        </w:tc>
        <w:tc>
          <w:tcPr>
            <w:tcW w:w="0" w:type="auto"/>
            <w:vAlign w:val="center"/>
          </w:tcPr>
          <w:p w14:paraId="4F0022B6">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5340760F">
            <w:pPr>
              <w:spacing w:line="360" w:lineRule="auto"/>
              <w:jc w:val="center"/>
              <w:rPr>
                <w:rFonts w:hint="eastAsia" w:ascii="宋体" w:hAnsi="宋体"/>
                <w:szCs w:val="21"/>
              </w:rPr>
            </w:pPr>
          </w:p>
        </w:tc>
        <w:tc>
          <w:tcPr>
            <w:tcW w:w="0" w:type="auto"/>
            <w:vAlign w:val="center"/>
          </w:tcPr>
          <w:p w14:paraId="6AFE0466">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2DFBACED">
            <w:pPr>
              <w:spacing w:line="360" w:lineRule="auto"/>
              <w:jc w:val="center"/>
              <w:rPr>
                <w:rFonts w:hint="eastAsia" w:ascii="宋体" w:hAnsi="宋体"/>
                <w:szCs w:val="21"/>
              </w:rPr>
            </w:pPr>
            <w:r>
              <w:rPr>
                <w:rFonts w:hint="eastAsia" w:ascii="宋体" w:hAnsi="宋体"/>
                <w:szCs w:val="21"/>
              </w:rPr>
              <w:t>20</w:t>
            </w:r>
          </w:p>
        </w:tc>
      </w:tr>
      <w:tr w14:paraId="16F27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0" w:type="auto"/>
            <w:vAlign w:val="center"/>
          </w:tcPr>
          <w:p w14:paraId="61809366">
            <w:pPr>
              <w:spacing w:line="360" w:lineRule="auto"/>
              <w:jc w:val="center"/>
              <w:rPr>
                <w:rFonts w:hint="eastAsia" w:ascii="宋体" w:hAnsi="宋体"/>
                <w:szCs w:val="21"/>
              </w:rPr>
            </w:pPr>
            <w:r>
              <w:rPr>
                <w:rFonts w:hint="eastAsia" w:ascii="宋体" w:hAnsi="宋体"/>
                <w:szCs w:val="21"/>
              </w:rPr>
              <w:t>课程目标2</w:t>
            </w:r>
          </w:p>
        </w:tc>
        <w:tc>
          <w:tcPr>
            <w:tcW w:w="0" w:type="auto"/>
            <w:vAlign w:val="center"/>
          </w:tcPr>
          <w:p w14:paraId="1CA39B94">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4B944958">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12CE80E0">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1732C4EE">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11B990BE">
            <w:pPr>
              <w:spacing w:line="360" w:lineRule="auto"/>
              <w:jc w:val="center"/>
              <w:rPr>
                <w:rFonts w:hint="eastAsia" w:ascii="宋体" w:hAnsi="宋体"/>
                <w:szCs w:val="21"/>
              </w:rPr>
            </w:pPr>
            <w:r>
              <w:rPr>
                <w:rFonts w:hint="eastAsia" w:ascii="宋体" w:hAnsi="宋体"/>
                <w:szCs w:val="21"/>
              </w:rPr>
              <w:t>40</w:t>
            </w:r>
          </w:p>
        </w:tc>
      </w:tr>
      <w:tr w14:paraId="70CF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0" w:type="auto"/>
            <w:vAlign w:val="center"/>
          </w:tcPr>
          <w:p w14:paraId="6EEFB40F">
            <w:pPr>
              <w:spacing w:line="360" w:lineRule="auto"/>
              <w:jc w:val="center"/>
              <w:rPr>
                <w:rFonts w:hint="eastAsia" w:ascii="宋体" w:hAnsi="宋体"/>
                <w:szCs w:val="21"/>
              </w:rPr>
            </w:pPr>
            <w:r>
              <w:rPr>
                <w:rFonts w:hint="eastAsia" w:ascii="宋体" w:hAnsi="宋体"/>
                <w:szCs w:val="21"/>
              </w:rPr>
              <w:t>课程目标3</w:t>
            </w:r>
          </w:p>
        </w:tc>
        <w:tc>
          <w:tcPr>
            <w:tcW w:w="0" w:type="auto"/>
            <w:vAlign w:val="center"/>
          </w:tcPr>
          <w:p w14:paraId="7CDB920A">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0E7E8DBC">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281021C4">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0DEC2616">
            <w:pPr>
              <w:spacing w:line="360" w:lineRule="auto"/>
              <w:jc w:val="center"/>
              <w:rPr>
                <w:rFonts w:hint="eastAsia" w:ascii="宋体" w:hAnsi="宋体"/>
                <w:szCs w:val="21"/>
              </w:rPr>
            </w:pPr>
            <w:r>
              <w:rPr>
                <w:rFonts w:ascii="宋体" w:hAnsi="宋体"/>
                <w:szCs w:val="21"/>
              </w:rPr>
              <w:sym w:font="Wingdings 2" w:char="F050"/>
            </w:r>
          </w:p>
        </w:tc>
        <w:tc>
          <w:tcPr>
            <w:tcW w:w="0" w:type="auto"/>
            <w:vAlign w:val="center"/>
          </w:tcPr>
          <w:p w14:paraId="377DD137">
            <w:pPr>
              <w:spacing w:line="360" w:lineRule="auto"/>
              <w:jc w:val="center"/>
              <w:rPr>
                <w:rFonts w:hint="eastAsia" w:ascii="宋体" w:hAnsi="宋体"/>
                <w:szCs w:val="21"/>
              </w:rPr>
            </w:pPr>
            <w:r>
              <w:rPr>
                <w:rFonts w:hint="eastAsia" w:ascii="宋体" w:hAnsi="宋体"/>
                <w:szCs w:val="21"/>
              </w:rPr>
              <w:t>40</w:t>
            </w:r>
          </w:p>
        </w:tc>
      </w:tr>
      <w:tr w14:paraId="04DC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0" w:type="auto"/>
            <w:vAlign w:val="center"/>
          </w:tcPr>
          <w:p w14:paraId="7695269F">
            <w:pPr>
              <w:spacing w:line="360" w:lineRule="auto"/>
              <w:jc w:val="center"/>
              <w:rPr>
                <w:rFonts w:hint="eastAsia" w:ascii="宋体" w:hAnsi="宋体"/>
                <w:szCs w:val="21"/>
              </w:rPr>
            </w:pPr>
            <w:r>
              <w:rPr>
                <w:rFonts w:hint="eastAsia" w:ascii="宋体" w:hAnsi="宋体"/>
                <w:szCs w:val="21"/>
              </w:rPr>
              <w:t>合计</w:t>
            </w:r>
          </w:p>
        </w:tc>
        <w:tc>
          <w:tcPr>
            <w:tcW w:w="0" w:type="auto"/>
            <w:vAlign w:val="center"/>
          </w:tcPr>
          <w:p w14:paraId="52F7A928">
            <w:pPr>
              <w:spacing w:line="360" w:lineRule="auto"/>
              <w:jc w:val="center"/>
              <w:rPr>
                <w:rFonts w:hint="eastAsia" w:ascii="宋体" w:hAnsi="宋体"/>
                <w:szCs w:val="21"/>
              </w:rPr>
            </w:pPr>
          </w:p>
        </w:tc>
        <w:tc>
          <w:tcPr>
            <w:tcW w:w="0" w:type="auto"/>
            <w:vAlign w:val="center"/>
          </w:tcPr>
          <w:p w14:paraId="02214611">
            <w:pPr>
              <w:spacing w:line="360" w:lineRule="auto"/>
              <w:jc w:val="center"/>
              <w:rPr>
                <w:rFonts w:hint="eastAsia" w:ascii="宋体" w:hAnsi="宋体"/>
                <w:szCs w:val="21"/>
              </w:rPr>
            </w:pPr>
          </w:p>
        </w:tc>
        <w:tc>
          <w:tcPr>
            <w:tcW w:w="0" w:type="auto"/>
            <w:vAlign w:val="center"/>
          </w:tcPr>
          <w:p w14:paraId="5189A82E">
            <w:pPr>
              <w:spacing w:line="360" w:lineRule="auto"/>
              <w:jc w:val="center"/>
              <w:rPr>
                <w:rFonts w:hint="eastAsia" w:ascii="宋体" w:hAnsi="宋体"/>
                <w:szCs w:val="21"/>
              </w:rPr>
            </w:pPr>
          </w:p>
        </w:tc>
        <w:tc>
          <w:tcPr>
            <w:tcW w:w="0" w:type="auto"/>
            <w:vAlign w:val="center"/>
          </w:tcPr>
          <w:p w14:paraId="2905DAC9">
            <w:pPr>
              <w:spacing w:line="360" w:lineRule="auto"/>
              <w:jc w:val="center"/>
              <w:rPr>
                <w:rFonts w:hint="eastAsia" w:ascii="宋体" w:hAnsi="宋体"/>
                <w:szCs w:val="21"/>
              </w:rPr>
            </w:pPr>
          </w:p>
        </w:tc>
        <w:tc>
          <w:tcPr>
            <w:tcW w:w="0" w:type="auto"/>
            <w:vAlign w:val="center"/>
          </w:tcPr>
          <w:p w14:paraId="60A714FA">
            <w:pPr>
              <w:spacing w:line="360" w:lineRule="auto"/>
              <w:jc w:val="center"/>
              <w:rPr>
                <w:rFonts w:hint="eastAsia" w:ascii="宋体" w:hAnsi="宋体"/>
                <w:szCs w:val="21"/>
              </w:rPr>
            </w:pPr>
            <w:r>
              <w:rPr>
                <w:rFonts w:hint="eastAsia" w:ascii="宋体" w:hAnsi="宋体"/>
                <w:szCs w:val="21"/>
              </w:rPr>
              <w:t>100</w:t>
            </w:r>
          </w:p>
        </w:tc>
      </w:tr>
    </w:tbl>
    <w:p w14:paraId="218CD789">
      <w:pPr>
        <w:spacing w:before="156" w:beforeLines="50" w:line="360" w:lineRule="auto"/>
        <w:ind w:firstLine="422" w:firstLineChars="200"/>
        <w:jc w:val="left"/>
        <w:rPr>
          <w:b/>
          <w:szCs w:val="21"/>
        </w:rPr>
      </w:pPr>
      <w:r>
        <w:rPr>
          <w:rFonts w:hint="eastAsia"/>
          <w:b/>
          <w:szCs w:val="21"/>
        </w:rPr>
        <w:t>（二）成绩评定细则</w:t>
      </w:r>
    </w:p>
    <w:p w14:paraId="333576B1">
      <w:pPr>
        <w:spacing w:line="360" w:lineRule="auto"/>
        <w:ind w:firstLine="420" w:firstLineChars="200"/>
        <w:jc w:val="left"/>
        <w:rPr>
          <w:szCs w:val="21"/>
        </w:rPr>
      </w:pPr>
      <w:r>
        <w:rPr>
          <w:rFonts w:hint="eastAsia"/>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686"/>
      </w:tblGrid>
      <w:tr w14:paraId="69FF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5172890">
            <w:pPr>
              <w:jc w:val="center"/>
              <w:rPr>
                <w:b/>
                <w:bCs/>
                <w:szCs w:val="21"/>
              </w:rPr>
            </w:pPr>
            <w:r>
              <w:rPr>
                <w:rFonts w:hint="eastAsia"/>
                <w:b/>
                <w:bCs/>
                <w:szCs w:val="21"/>
              </w:rPr>
              <w:t>评价方式</w:t>
            </w:r>
          </w:p>
        </w:tc>
        <w:tc>
          <w:tcPr>
            <w:tcW w:w="7141" w:type="dxa"/>
            <w:vAlign w:val="center"/>
          </w:tcPr>
          <w:p w14:paraId="047BE200">
            <w:pPr>
              <w:jc w:val="center"/>
              <w:rPr>
                <w:b/>
                <w:bCs/>
                <w:szCs w:val="21"/>
              </w:rPr>
            </w:pPr>
            <w:r>
              <w:rPr>
                <w:rFonts w:hint="eastAsia"/>
                <w:b/>
                <w:bCs/>
                <w:szCs w:val="21"/>
              </w:rPr>
              <w:t>评定细则</w:t>
            </w:r>
          </w:p>
        </w:tc>
        <w:tc>
          <w:tcPr>
            <w:tcW w:w="0" w:type="auto"/>
            <w:vAlign w:val="center"/>
          </w:tcPr>
          <w:p w14:paraId="1F99CAA1">
            <w:pPr>
              <w:jc w:val="center"/>
              <w:rPr>
                <w:b/>
                <w:bCs/>
                <w:szCs w:val="21"/>
              </w:rPr>
            </w:pPr>
            <w:r>
              <w:rPr>
                <w:rFonts w:hint="eastAsia"/>
                <w:b/>
                <w:bCs/>
                <w:szCs w:val="21"/>
              </w:rPr>
              <w:t>占比</w:t>
            </w:r>
          </w:p>
        </w:tc>
      </w:tr>
      <w:tr w14:paraId="7562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DC3BD2">
            <w:pPr>
              <w:rPr>
                <w:szCs w:val="21"/>
              </w:rPr>
            </w:pPr>
            <w:r>
              <w:rPr>
                <w:rFonts w:hint="eastAsia"/>
                <w:szCs w:val="21"/>
              </w:rPr>
              <w:t>平时作业</w:t>
            </w:r>
          </w:p>
        </w:tc>
        <w:tc>
          <w:tcPr>
            <w:tcW w:w="7141" w:type="dxa"/>
            <w:vAlign w:val="center"/>
          </w:tcPr>
          <w:p w14:paraId="32EFA747">
            <w:pPr>
              <w:spacing w:line="264" w:lineRule="auto"/>
              <w:jc w:val="left"/>
              <w:rPr>
                <w:szCs w:val="21"/>
              </w:rPr>
            </w:pPr>
            <w:r>
              <w:rPr>
                <w:rFonts w:hint="eastAsia"/>
                <w:szCs w:val="21"/>
              </w:rPr>
              <w:t>课后完成练习题，主要考核学生对每节课知识点的复习、理解和掌握程度，计算全部作业的平均成绩。</w:t>
            </w:r>
          </w:p>
        </w:tc>
        <w:tc>
          <w:tcPr>
            <w:tcW w:w="0" w:type="auto"/>
            <w:vAlign w:val="center"/>
          </w:tcPr>
          <w:p w14:paraId="2EF12D47">
            <w:pPr>
              <w:jc w:val="center"/>
              <w:rPr>
                <w:szCs w:val="21"/>
              </w:rPr>
            </w:pPr>
            <w:r>
              <w:rPr>
                <w:rFonts w:hint="eastAsia"/>
                <w:szCs w:val="21"/>
              </w:rPr>
              <w:t>10%</w:t>
            </w:r>
          </w:p>
        </w:tc>
      </w:tr>
      <w:tr w14:paraId="239F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C18B34A">
            <w:pPr>
              <w:rPr>
                <w:szCs w:val="21"/>
              </w:rPr>
            </w:pPr>
            <w:r>
              <w:rPr>
                <w:rFonts w:hint="eastAsia"/>
                <w:szCs w:val="21"/>
              </w:rPr>
              <w:t>课堂表现</w:t>
            </w:r>
          </w:p>
        </w:tc>
        <w:tc>
          <w:tcPr>
            <w:tcW w:w="7141" w:type="dxa"/>
            <w:vAlign w:val="center"/>
          </w:tcPr>
          <w:p w14:paraId="0AA3036A">
            <w:pPr>
              <w:widowControl/>
              <w:spacing w:line="264" w:lineRule="auto"/>
              <w:jc w:val="left"/>
              <w:rPr>
                <w:szCs w:val="21"/>
              </w:rPr>
            </w:pPr>
            <w:r>
              <w:rPr>
                <w:rFonts w:hint="eastAsia" w:ascii="宋体" w:hAnsi="宋体" w:cs="宋体"/>
                <w:kern w:val="0"/>
                <w:szCs w:val="21"/>
                <w:lang w:bidi="ar"/>
              </w:rPr>
              <w:t>课堂考勤，全勤不扣分，迟到每3次扣1分，病假和事假扣2分，旷课扣5分，超过三分之一取消考试资格；以随机的形式，在课堂上根据讨论的参与度，问题回答的表现，主要考核学生课堂的听课效果和课后及时复习情况。</w:t>
            </w:r>
          </w:p>
        </w:tc>
        <w:tc>
          <w:tcPr>
            <w:tcW w:w="0" w:type="auto"/>
            <w:vAlign w:val="center"/>
          </w:tcPr>
          <w:p w14:paraId="2AC6B1C8">
            <w:pPr>
              <w:jc w:val="center"/>
              <w:rPr>
                <w:szCs w:val="21"/>
              </w:rPr>
            </w:pPr>
            <w:r>
              <w:rPr>
                <w:rFonts w:hint="eastAsia"/>
                <w:szCs w:val="21"/>
              </w:rPr>
              <w:t>20%</w:t>
            </w:r>
          </w:p>
        </w:tc>
      </w:tr>
      <w:tr w14:paraId="072B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26E3BD">
            <w:pPr>
              <w:rPr>
                <w:szCs w:val="21"/>
              </w:rPr>
            </w:pPr>
            <w:r>
              <w:rPr>
                <w:rFonts w:hint="eastAsia"/>
                <w:szCs w:val="21"/>
              </w:rPr>
              <w:t>课内实践</w:t>
            </w:r>
          </w:p>
        </w:tc>
        <w:tc>
          <w:tcPr>
            <w:tcW w:w="7141" w:type="dxa"/>
            <w:vAlign w:val="center"/>
          </w:tcPr>
          <w:p w14:paraId="19FB8980">
            <w:pPr>
              <w:widowControl/>
              <w:spacing w:line="264" w:lineRule="auto"/>
              <w:jc w:val="left"/>
              <w:rPr>
                <w:rFonts w:hint="eastAsia" w:ascii="宋体" w:hAnsi="宋体" w:cs="宋体"/>
                <w:kern w:val="0"/>
                <w:szCs w:val="21"/>
                <w:lang w:bidi="ar"/>
              </w:rPr>
            </w:pPr>
            <w:r>
              <w:rPr>
                <w:rFonts w:hint="eastAsia" w:ascii="宋体" w:hAnsi="宋体" w:cs="宋体"/>
                <w:kern w:val="0"/>
                <w:szCs w:val="21"/>
                <w:lang w:bidi="ar"/>
              </w:rPr>
              <w:t>一是观摩辩论赛推荐、辩题设计，这两项根据发言稿和课堂表现由教师打分，辩论赛则分组进行，由自评、组内互评、组件互评和教师评分，三次活动的平均分作为得分</w:t>
            </w:r>
          </w:p>
        </w:tc>
        <w:tc>
          <w:tcPr>
            <w:tcW w:w="0" w:type="auto"/>
            <w:vAlign w:val="center"/>
          </w:tcPr>
          <w:p w14:paraId="61D6C40C">
            <w:pPr>
              <w:jc w:val="center"/>
              <w:rPr>
                <w:szCs w:val="21"/>
              </w:rPr>
            </w:pPr>
            <w:r>
              <w:rPr>
                <w:rFonts w:hint="eastAsia"/>
                <w:szCs w:val="21"/>
              </w:rPr>
              <w:t>30%</w:t>
            </w:r>
          </w:p>
        </w:tc>
      </w:tr>
      <w:tr w14:paraId="469D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E2B6BE">
            <w:pPr>
              <w:rPr>
                <w:szCs w:val="21"/>
              </w:rPr>
            </w:pPr>
            <w:r>
              <w:rPr>
                <w:rFonts w:hint="eastAsia"/>
                <w:szCs w:val="21"/>
              </w:rPr>
              <w:t>期末考试</w:t>
            </w:r>
          </w:p>
        </w:tc>
        <w:tc>
          <w:tcPr>
            <w:tcW w:w="7141" w:type="dxa"/>
            <w:vAlign w:val="center"/>
          </w:tcPr>
          <w:p w14:paraId="49895D28">
            <w:pPr>
              <w:spacing w:line="264" w:lineRule="auto"/>
              <w:jc w:val="left"/>
              <w:rPr>
                <w:szCs w:val="21"/>
              </w:rPr>
            </w:pPr>
            <w:r>
              <w:rPr>
                <w:szCs w:val="21"/>
              </w:rPr>
              <w:t>试卷</w:t>
            </w:r>
            <w:r>
              <w:rPr>
                <w:rFonts w:hint="eastAsia"/>
                <w:szCs w:val="21"/>
              </w:rPr>
              <w:t>为开卷考，</w:t>
            </w:r>
            <w:r>
              <w:rPr>
                <w:szCs w:val="21"/>
              </w:rPr>
              <w:t>题型包括</w:t>
            </w:r>
            <w:r>
              <w:rPr>
                <w:rFonts w:hint="eastAsia"/>
                <w:szCs w:val="21"/>
              </w:rPr>
              <w:t>选择题</w:t>
            </w:r>
            <w:r>
              <w:rPr>
                <w:szCs w:val="21"/>
              </w:rPr>
              <w:t>、</w:t>
            </w:r>
            <w:r>
              <w:rPr>
                <w:rFonts w:hint="eastAsia"/>
                <w:szCs w:val="21"/>
              </w:rPr>
              <w:t>简答题、论述题</w:t>
            </w:r>
            <w:r>
              <w:rPr>
                <w:szCs w:val="21"/>
              </w:rPr>
              <w:t>等。其中考核</w:t>
            </w:r>
            <w:r>
              <w:rPr>
                <w:rFonts w:hint="eastAsia"/>
                <w:szCs w:val="21"/>
              </w:rPr>
              <w:t>逻辑学基础知识的客观题占3</w:t>
            </w:r>
            <w:r>
              <w:rPr>
                <w:szCs w:val="21"/>
              </w:rPr>
              <w:t>0</w:t>
            </w:r>
            <w:r>
              <w:rPr>
                <w:rFonts w:hint="eastAsia"/>
                <w:szCs w:val="21"/>
              </w:rPr>
              <w:t>%；考核学生运用逻辑学知识进行分析能力的题型占6</w:t>
            </w:r>
            <w:r>
              <w:rPr>
                <w:szCs w:val="21"/>
              </w:rPr>
              <w:t>0</w:t>
            </w:r>
            <w:r>
              <w:rPr>
                <w:rFonts w:hint="eastAsia"/>
                <w:szCs w:val="21"/>
              </w:rPr>
              <w:t>%；考核学生运用逻辑学能力解决问题能力的题型占2</w:t>
            </w:r>
            <w:r>
              <w:rPr>
                <w:szCs w:val="21"/>
              </w:rPr>
              <w:t>0</w:t>
            </w:r>
            <w:r>
              <w:rPr>
                <w:rFonts w:hint="eastAsia"/>
                <w:szCs w:val="21"/>
              </w:rPr>
              <w:t>%。</w:t>
            </w:r>
          </w:p>
        </w:tc>
        <w:tc>
          <w:tcPr>
            <w:tcW w:w="0" w:type="auto"/>
            <w:vAlign w:val="center"/>
          </w:tcPr>
          <w:p w14:paraId="35C7A1F8">
            <w:pPr>
              <w:jc w:val="center"/>
              <w:rPr>
                <w:szCs w:val="21"/>
              </w:rPr>
            </w:pPr>
            <w:r>
              <w:rPr>
                <w:rFonts w:hint="eastAsia"/>
                <w:szCs w:val="21"/>
              </w:rPr>
              <w:t>40%</w:t>
            </w:r>
          </w:p>
        </w:tc>
      </w:tr>
      <w:tr w14:paraId="5272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4C9B297">
            <w:pPr>
              <w:jc w:val="center"/>
              <w:rPr>
                <w:b/>
                <w:bCs/>
                <w:szCs w:val="21"/>
              </w:rPr>
            </w:pPr>
            <w:r>
              <w:rPr>
                <w:rFonts w:hint="eastAsia"/>
                <w:b/>
                <w:bCs/>
                <w:szCs w:val="21"/>
              </w:rPr>
              <w:t>合计</w:t>
            </w:r>
          </w:p>
        </w:tc>
        <w:tc>
          <w:tcPr>
            <w:tcW w:w="0" w:type="auto"/>
            <w:vAlign w:val="center"/>
          </w:tcPr>
          <w:p w14:paraId="68D51C13">
            <w:pPr>
              <w:jc w:val="left"/>
              <w:rPr>
                <w:szCs w:val="21"/>
              </w:rPr>
            </w:pPr>
          </w:p>
        </w:tc>
        <w:tc>
          <w:tcPr>
            <w:tcW w:w="0" w:type="auto"/>
            <w:vAlign w:val="center"/>
          </w:tcPr>
          <w:p w14:paraId="52A30135">
            <w:pPr>
              <w:jc w:val="center"/>
              <w:rPr>
                <w:szCs w:val="21"/>
              </w:rPr>
            </w:pPr>
            <w:r>
              <w:rPr>
                <w:rFonts w:hint="eastAsia"/>
                <w:szCs w:val="21"/>
              </w:rPr>
              <w:t>100%</w:t>
            </w:r>
          </w:p>
        </w:tc>
      </w:tr>
    </w:tbl>
    <w:p w14:paraId="026FFBC3">
      <w:pPr>
        <w:spacing w:line="360" w:lineRule="auto"/>
        <w:ind w:firstLine="422" w:firstLineChars="200"/>
        <w:jc w:val="left"/>
        <w:rPr>
          <w:rFonts w:hint="eastAsia" w:ascii="宋体" w:hAnsi="宋体"/>
          <w:b/>
          <w:szCs w:val="21"/>
        </w:rPr>
      </w:pPr>
      <w:r>
        <w:rPr>
          <w:rFonts w:hint="eastAsia" w:ascii="宋体" w:hAnsi="宋体"/>
          <w:b/>
          <w:szCs w:val="21"/>
        </w:rPr>
        <w:t>（三）课程目标达成度计算方法</w:t>
      </w:r>
    </w:p>
    <w:p w14:paraId="1D1A2296">
      <w:pPr>
        <w:spacing w:line="360" w:lineRule="auto"/>
        <w:ind w:firstLine="411" w:firstLineChars="196"/>
        <w:jc w:val="left"/>
        <w:rPr>
          <w:rFonts w:hint="eastAsia" w:ascii="宋体" w:hAnsi="宋体"/>
          <w:szCs w:val="21"/>
        </w:rPr>
      </w:pPr>
      <w:r>
        <w:rPr>
          <w:rFonts w:hint="eastAsia" w:ascii="宋体" w:hAnsi="宋体"/>
          <w:szCs w:val="21"/>
        </w:rPr>
        <w:t>所有课程目标均需大于等于</w:t>
      </w:r>
      <w:r>
        <w:rPr>
          <w:rFonts w:ascii="宋体" w:hAnsi="宋体"/>
          <w:szCs w:val="21"/>
        </w:rPr>
        <w:t>0.6，否则总评成绩不及格，需要补考或重修。每门课程目标总体达成度计算方法如下：</w:t>
      </w:r>
    </w:p>
    <w:p w14:paraId="0EAD978F">
      <w:pPr>
        <w:spacing w:line="360" w:lineRule="auto"/>
        <w:ind w:firstLine="420" w:firstLineChars="200"/>
        <w:rPr>
          <w:rFonts w:ascii="Times New Roman" w:hAnsi="Times New Roman" w:eastAsia="宋体" w:cs="Times New Roman"/>
          <w:b/>
          <w:sz w:val="24"/>
        </w:rPr>
      </w:pPr>
      <w:r>
        <w:rPr>
          <w:rFonts w:ascii="宋体" w:hAnsi="宋体"/>
          <w:szCs w:val="21"/>
        </w:rPr>
        <w:object>
          <v:shape id="_x0000_i1071"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71" DrawAspect="Content" ObjectID="_1468075771" r:id="rId59">
            <o:LockedField>false</o:LockedField>
          </o:OLEObject>
        </w:object>
      </w:r>
      <w:r>
        <w:rPr>
          <w:rFonts w:hint="eastAsia" w:ascii="Times New Roman" w:hAnsi="Times New Roman" w:eastAsia="宋体" w:cs="Times New Roman"/>
          <w:b/>
          <w:sz w:val="24"/>
        </w:rPr>
        <w:t>六、有关说明</w:t>
      </w:r>
    </w:p>
    <w:p w14:paraId="349C02DF">
      <w:pPr>
        <w:spacing w:line="360" w:lineRule="auto"/>
        <w:ind w:firstLine="422" w:firstLineChars="200"/>
        <w:rPr>
          <w:b/>
          <w:szCs w:val="21"/>
        </w:rPr>
      </w:pPr>
      <w:r>
        <w:rPr>
          <w:rFonts w:hint="eastAsia"/>
          <w:b/>
          <w:szCs w:val="21"/>
        </w:rPr>
        <w:t>（一）持续改进</w:t>
      </w:r>
    </w:p>
    <w:p w14:paraId="6026E825">
      <w:pPr>
        <w:spacing w:line="360" w:lineRule="auto"/>
        <w:ind w:firstLine="420" w:firstLineChars="200"/>
        <w:rPr>
          <w:szCs w:val="21"/>
        </w:rPr>
      </w:pPr>
      <w:r>
        <w:rPr>
          <w:szCs w:val="21"/>
        </w:rPr>
        <w:t>本课程根据学生作业、课堂讨论、实验环节、平时考核情况和学生、教学督导等</w:t>
      </w:r>
      <w:r>
        <w:rPr>
          <w:rFonts w:hint="eastAsia"/>
          <w:szCs w:val="21"/>
        </w:rPr>
        <w:t>的</w:t>
      </w:r>
      <w:r>
        <w:rPr>
          <w:szCs w:val="21"/>
        </w:rPr>
        <w:t>反馈，及时对教学中</w:t>
      </w:r>
      <w:r>
        <w:rPr>
          <w:rFonts w:hint="eastAsia"/>
          <w:szCs w:val="21"/>
        </w:rPr>
        <w:t>的</w:t>
      </w:r>
      <w:r>
        <w:rPr>
          <w:szCs w:val="21"/>
        </w:rPr>
        <w:t>不足之处进行改进，并在下一轮课程教学中</w:t>
      </w:r>
      <w:r>
        <w:rPr>
          <w:rFonts w:hint="eastAsia"/>
          <w:szCs w:val="21"/>
        </w:rPr>
        <w:t>整改完善</w:t>
      </w:r>
      <w:r>
        <w:rPr>
          <w:szCs w:val="21"/>
        </w:rPr>
        <w:t>，确保相应毕业要求指标点达成。</w:t>
      </w:r>
    </w:p>
    <w:p w14:paraId="4FA4CA0D">
      <w:pPr>
        <w:spacing w:line="360" w:lineRule="auto"/>
        <w:ind w:firstLine="422" w:firstLineChars="200"/>
        <w:rPr>
          <w:b/>
          <w:bCs/>
          <w:szCs w:val="21"/>
        </w:rPr>
      </w:pPr>
      <w:r>
        <w:rPr>
          <w:rFonts w:hint="eastAsia"/>
          <w:b/>
          <w:bCs/>
          <w:szCs w:val="21"/>
        </w:rPr>
        <w:t>（二）建议教材</w:t>
      </w:r>
    </w:p>
    <w:p w14:paraId="7FE8432A">
      <w:pPr>
        <w:spacing w:line="360" w:lineRule="auto"/>
        <w:ind w:firstLine="422" w:firstLineChars="200"/>
        <w:rPr>
          <w:b/>
          <w:kern w:val="0"/>
          <w:szCs w:val="21"/>
        </w:rPr>
      </w:pPr>
      <w:r>
        <w:rPr>
          <w:rFonts w:hint="eastAsia"/>
          <w:b/>
          <w:bCs/>
          <w:kern w:val="0"/>
          <w:szCs w:val="21"/>
        </w:rPr>
        <w:t>1.</w:t>
      </w:r>
      <w:r>
        <w:rPr>
          <w:rFonts w:hint="eastAsia"/>
          <w:bCs/>
          <w:kern w:val="0"/>
          <w:szCs w:val="21"/>
        </w:rPr>
        <w:t>何向东主编，《逻辑学》，高等教育出版社，2019</w:t>
      </w:r>
    </w:p>
    <w:p w14:paraId="0C65986C">
      <w:pPr>
        <w:spacing w:line="360" w:lineRule="auto"/>
        <w:ind w:firstLine="422" w:firstLineChars="200"/>
        <w:rPr>
          <w:szCs w:val="21"/>
        </w:rPr>
      </w:pPr>
      <w:r>
        <w:rPr>
          <w:rFonts w:hint="eastAsia"/>
          <w:b/>
          <w:kern w:val="0"/>
          <w:szCs w:val="21"/>
        </w:rPr>
        <w:t>2.</w:t>
      </w:r>
      <w:r>
        <w:rPr>
          <w:rFonts w:hint="eastAsia"/>
          <w:kern w:val="0"/>
          <w:szCs w:val="21"/>
        </w:rPr>
        <w:t>华东师范大学哲学系逻辑学教研室，《形式逻辑》（第五版），华东师范大学出版社，2</w:t>
      </w:r>
      <w:r>
        <w:rPr>
          <w:kern w:val="0"/>
          <w:szCs w:val="21"/>
        </w:rPr>
        <w:t>016</w:t>
      </w:r>
    </w:p>
    <w:p w14:paraId="30952BF2">
      <w:pPr>
        <w:spacing w:line="360" w:lineRule="auto"/>
        <w:ind w:firstLine="422" w:firstLineChars="200"/>
        <w:rPr>
          <w:b/>
          <w:szCs w:val="21"/>
        </w:rPr>
      </w:pPr>
      <w:r>
        <w:rPr>
          <w:rFonts w:hint="eastAsia"/>
          <w:b/>
          <w:szCs w:val="21"/>
        </w:rPr>
        <w:t>（三）</w:t>
      </w:r>
      <w:r>
        <w:rPr>
          <w:b/>
          <w:szCs w:val="21"/>
        </w:rPr>
        <w:t>参考书目</w:t>
      </w:r>
    </w:p>
    <w:p w14:paraId="65C3AC0B">
      <w:pPr>
        <w:autoSpaceDE w:val="0"/>
        <w:autoSpaceDN w:val="0"/>
        <w:adjustRightInd w:val="0"/>
        <w:spacing w:line="360" w:lineRule="auto"/>
        <w:ind w:firstLine="420" w:firstLineChars="200"/>
        <w:jc w:val="left"/>
        <w:rPr>
          <w:kern w:val="0"/>
          <w:szCs w:val="21"/>
        </w:rPr>
      </w:pPr>
      <w:r>
        <w:rPr>
          <w:rFonts w:hint="eastAsia"/>
          <w:kern w:val="0"/>
          <w:szCs w:val="21"/>
        </w:rPr>
        <w:t>1．蔡贤浩，宋荣主编，形式逻辑，华中师范大学出版社，2015</w:t>
      </w:r>
    </w:p>
    <w:p w14:paraId="1EAC06A1">
      <w:pPr>
        <w:autoSpaceDE w:val="0"/>
        <w:autoSpaceDN w:val="0"/>
        <w:adjustRightInd w:val="0"/>
        <w:spacing w:line="360" w:lineRule="auto"/>
        <w:ind w:firstLine="420" w:firstLineChars="200"/>
        <w:jc w:val="left"/>
        <w:rPr>
          <w:kern w:val="0"/>
          <w:szCs w:val="21"/>
        </w:rPr>
      </w:pPr>
      <w:r>
        <w:rPr>
          <w:kern w:val="0"/>
          <w:szCs w:val="21"/>
        </w:rPr>
        <w:t>2</w:t>
      </w:r>
      <w:r>
        <w:rPr>
          <w:rFonts w:hint="eastAsia"/>
          <w:kern w:val="0"/>
          <w:szCs w:val="21"/>
        </w:rPr>
        <w:t>．[美]欧文·M·柯匹 卡尔·科恩，逻辑学导论（第13版），中国人民大学出版社 ，20</w:t>
      </w:r>
      <w:r>
        <w:rPr>
          <w:kern w:val="0"/>
          <w:szCs w:val="21"/>
        </w:rPr>
        <w:t>21</w:t>
      </w:r>
    </w:p>
    <w:p w14:paraId="4886FFCA">
      <w:pPr>
        <w:autoSpaceDE w:val="0"/>
        <w:autoSpaceDN w:val="0"/>
        <w:adjustRightInd w:val="0"/>
        <w:spacing w:line="360" w:lineRule="auto"/>
        <w:ind w:firstLine="420" w:firstLineChars="200"/>
        <w:jc w:val="left"/>
        <w:rPr>
          <w:kern w:val="0"/>
          <w:szCs w:val="21"/>
        </w:rPr>
      </w:pPr>
      <w:r>
        <w:rPr>
          <w:kern w:val="0"/>
          <w:szCs w:val="21"/>
        </w:rPr>
        <w:t>3</w:t>
      </w:r>
      <w:r>
        <w:rPr>
          <w:rFonts w:hint="eastAsia"/>
          <w:kern w:val="0"/>
          <w:szCs w:val="21"/>
        </w:rPr>
        <w:t>．陈波著，逻辑学十五讲（第二版），北京大学出版社，2016</w:t>
      </w:r>
    </w:p>
    <w:p w14:paraId="7E0FD626">
      <w:pPr>
        <w:autoSpaceDE w:val="0"/>
        <w:autoSpaceDN w:val="0"/>
        <w:adjustRightInd w:val="0"/>
        <w:spacing w:line="360" w:lineRule="auto"/>
        <w:ind w:firstLine="420" w:firstLineChars="200"/>
        <w:jc w:val="left"/>
        <w:rPr>
          <w:kern w:val="0"/>
          <w:szCs w:val="21"/>
        </w:rPr>
      </w:pPr>
      <w:r>
        <w:rPr>
          <w:kern w:val="0"/>
          <w:szCs w:val="21"/>
        </w:rPr>
        <w:t>4</w:t>
      </w:r>
      <w:r>
        <w:rPr>
          <w:rFonts w:hint="eastAsia"/>
          <w:kern w:val="0"/>
          <w:szCs w:val="21"/>
        </w:rPr>
        <w:t>．丁毓峰编著，逻辑学原来如此有趣，化学工业出版社，2015</w:t>
      </w:r>
      <w:r>
        <w:rPr>
          <w:kern w:val="0"/>
          <w:szCs w:val="21"/>
        </w:rPr>
        <w:t xml:space="preserve"> </w:t>
      </w:r>
    </w:p>
    <w:p w14:paraId="409773FA">
      <w:pPr>
        <w:autoSpaceDE w:val="0"/>
        <w:autoSpaceDN w:val="0"/>
        <w:adjustRightInd w:val="0"/>
        <w:spacing w:line="360" w:lineRule="auto"/>
        <w:ind w:firstLine="420" w:firstLineChars="200"/>
        <w:jc w:val="left"/>
        <w:rPr>
          <w:kern w:val="0"/>
          <w:szCs w:val="21"/>
        </w:rPr>
      </w:pPr>
      <w:r>
        <w:rPr>
          <w:kern w:val="0"/>
          <w:szCs w:val="21"/>
        </w:rPr>
        <w:t>5</w:t>
      </w:r>
      <w:r>
        <w:rPr>
          <w:rFonts w:hint="eastAsia"/>
          <w:kern w:val="0"/>
          <w:szCs w:val="21"/>
        </w:rPr>
        <w:t>．董桂萍著，逻辑学原来这么有趣，化学工业出版社，2016</w:t>
      </w:r>
    </w:p>
    <w:p w14:paraId="0D49278C">
      <w:pPr>
        <w:autoSpaceDE w:val="0"/>
        <w:autoSpaceDN w:val="0"/>
        <w:adjustRightInd w:val="0"/>
        <w:spacing w:line="360" w:lineRule="auto"/>
        <w:ind w:firstLine="420" w:firstLineChars="200"/>
        <w:jc w:val="left"/>
        <w:rPr>
          <w:kern w:val="0"/>
          <w:szCs w:val="21"/>
        </w:rPr>
      </w:pPr>
      <w:r>
        <w:rPr>
          <w:kern w:val="0"/>
          <w:szCs w:val="21"/>
        </w:rPr>
        <w:t>6</w:t>
      </w:r>
      <w:r>
        <w:rPr>
          <w:rFonts w:hint="eastAsia"/>
          <w:kern w:val="0"/>
          <w:szCs w:val="21"/>
        </w:rPr>
        <w:t>．兰晓华著，逻辑学入门很简单，人民邮电出版社，2017</w:t>
      </w:r>
      <w:r>
        <w:rPr>
          <w:kern w:val="0"/>
          <w:szCs w:val="21"/>
        </w:rPr>
        <w:t xml:space="preserve"> </w:t>
      </w:r>
    </w:p>
    <w:p w14:paraId="4A7EE4A6">
      <w:pPr>
        <w:autoSpaceDE w:val="0"/>
        <w:autoSpaceDN w:val="0"/>
        <w:adjustRightInd w:val="0"/>
        <w:spacing w:line="360" w:lineRule="auto"/>
        <w:ind w:firstLine="6405" w:firstLineChars="3050"/>
        <w:jc w:val="left"/>
        <w:rPr>
          <w:kern w:val="0"/>
          <w:szCs w:val="21"/>
        </w:rPr>
      </w:pPr>
      <w:r>
        <w:rPr>
          <w:kern w:val="0"/>
          <w:szCs w:val="21"/>
        </w:rPr>
        <w:t>执笔人：</w:t>
      </w:r>
      <w:r>
        <w:rPr>
          <w:rFonts w:hint="eastAsia"/>
          <w:kern w:val="0"/>
          <w:szCs w:val="21"/>
        </w:rPr>
        <w:t>缪周芬</w:t>
      </w:r>
    </w:p>
    <w:p w14:paraId="01169664">
      <w:pPr>
        <w:autoSpaceDE w:val="0"/>
        <w:autoSpaceDN w:val="0"/>
        <w:adjustRightInd w:val="0"/>
        <w:spacing w:line="360" w:lineRule="auto"/>
        <w:ind w:firstLine="6405" w:firstLineChars="3050"/>
        <w:jc w:val="left"/>
        <w:rPr>
          <w:kern w:val="0"/>
          <w:szCs w:val="21"/>
        </w:rPr>
      </w:pPr>
      <w:r>
        <w:rPr>
          <w:kern w:val="0"/>
          <w:szCs w:val="21"/>
        </w:rPr>
        <w:t>审定人：</w:t>
      </w:r>
      <w:r>
        <w:rPr>
          <w:rFonts w:hint="eastAsia"/>
          <w:kern w:val="0"/>
          <w:szCs w:val="21"/>
        </w:rPr>
        <w:t>王  健</w:t>
      </w:r>
    </w:p>
    <w:p w14:paraId="5A9424E3">
      <w:pPr>
        <w:autoSpaceDE w:val="0"/>
        <w:autoSpaceDN w:val="0"/>
        <w:adjustRightInd w:val="0"/>
        <w:spacing w:line="360" w:lineRule="auto"/>
        <w:ind w:firstLine="6405" w:firstLineChars="3050"/>
        <w:jc w:val="left"/>
        <w:rPr>
          <w:kern w:val="0"/>
          <w:szCs w:val="21"/>
        </w:rPr>
      </w:pPr>
      <w:r>
        <w:rPr>
          <w:rFonts w:hint="eastAsia"/>
          <w:kern w:val="0"/>
          <w:szCs w:val="21"/>
        </w:rPr>
        <w:t>审批</w:t>
      </w:r>
      <w:r>
        <w:rPr>
          <w:kern w:val="0"/>
          <w:szCs w:val="21"/>
        </w:rPr>
        <w:t>人：</w:t>
      </w:r>
      <w:r>
        <w:rPr>
          <w:rFonts w:hint="eastAsia"/>
          <w:kern w:val="0"/>
          <w:szCs w:val="21"/>
        </w:rPr>
        <w:t>张志欣</w:t>
      </w:r>
    </w:p>
    <w:p w14:paraId="0057F8E7">
      <w:pPr>
        <w:autoSpaceDE w:val="0"/>
        <w:autoSpaceDN w:val="0"/>
        <w:adjustRightInd w:val="0"/>
        <w:spacing w:line="360" w:lineRule="auto"/>
        <w:ind w:right="210"/>
        <w:jc w:val="right"/>
        <w:rPr>
          <w:kern w:val="0"/>
          <w:szCs w:val="21"/>
        </w:rPr>
      </w:pPr>
      <w:r>
        <w:rPr>
          <w:rFonts w:hint="eastAsia"/>
          <w:kern w:val="0"/>
          <w:szCs w:val="21"/>
        </w:rPr>
        <w:t>批准时间：2025年7月1日</w:t>
      </w:r>
    </w:p>
    <w:p w14:paraId="49F46C17">
      <w:pPr>
        <w:rPr>
          <w:rFonts w:hint="eastAsia" w:ascii="等线" w:hAnsi="等线" w:eastAsia="等线" w:cs="Times New Roman"/>
          <w:kern w:val="0"/>
          <w:szCs w:val="21"/>
        </w:rPr>
      </w:pPr>
    </w:p>
    <w:p w14:paraId="40E394B6">
      <w:pPr>
        <w:rPr>
          <w:rFonts w:hint="eastAsia" w:ascii="等线" w:hAnsi="等线" w:eastAsia="等线" w:cs="Times New Roman"/>
          <w:kern w:val="0"/>
          <w:szCs w:val="21"/>
        </w:rPr>
      </w:pPr>
    </w:p>
    <w:p w14:paraId="75CCD09F">
      <w:pPr>
        <w:rPr>
          <w:rFonts w:hint="eastAsia" w:ascii="等线" w:hAnsi="等线" w:eastAsia="等线" w:cs="Times New Roman"/>
          <w:kern w:val="0"/>
          <w:szCs w:val="21"/>
        </w:rPr>
      </w:pPr>
      <w:r>
        <w:rPr>
          <w:rFonts w:hint="eastAsia" w:ascii="等线" w:hAnsi="等线" w:eastAsia="等线" w:cs="Times New Roman"/>
          <w:kern w:val="0"/>
          <w:szCs w:val="21"/>
        </w:rPr>
        <w:br w:type="page"/>
      </w:r>
    </w:p>
    <w:p w14:paraId="4D6C610B">
      <w:pPr>
        <w:spacing w:line="360" w:lineRule="auto"/>
        <w:jc w:val="center"/>
        <w:outlineLvl w:val="0"/>
        <w:rPr>
          <w:rFonts w:ascii="Times New Roman" w:hAnsi="Times New Roman" w:eastAsia="宋体" w:cs="Times New Roman"/>
          <w:b/>
          <w:sz w:val="44"/>
          <w:szCs w:val="44"/>
        </w:rPr>
      </w:pPr>
      <w:bookmarkStart w:id="1649" w:name="_Toc19644"/>
      <w:bookmarkStart w:id="1650" w:name="_Toc21180"/>
      <w:bookmarkStart w:id="1651" w:name="_Toc26666"/>
      <w:bookmarkStart w:id="1652" w:name="_Toc17480"/>
      <w:r>
        <w:rPr>
          <w:rFonts w:hint="eastAsia" w:ascii="Times New Roman" w:hAnsi="Times New Roman" w:eastAsia="宋体" w:cs="Times New Roman"/>
          <w:b/>
          <w:sz w:val="44"/>
          <w:szCs w:val="44"/>
        </w:rPr>
        <w:t>《中国文化概论》课程教学大纲</w:t>
      </w:r>
      <w:bookmarkEnd w:id="1649"/>
      <w:bookmarkEnd w:id="1650"/>
      <w:bookmarkEnd w:id="1651"/>
      <w:bookmarkEnd w:id="1652"/>
    </w:p>
    <w:p w14:paraId="51D3B172">
      <w:pPr>
        <w:spacing w:line="360" w:lineRule="auto"/>
        <w:jc w:val="center"/>
        <w:rPr>
          <w:rFonts w:ascii="Times New Roman" w:hAnsi="Times New Roman" w:eastAsia="宋体" w:cs="Times New Roman"/>
          <w:b/>
          <w:bCs/>
          <w:sz w:val="28"/>
          <w:szCs w:val="28"/>
        </w:rPr>
      </w:pPr>
      <w:bookmarkStart w:id="1653" w:name="_Toc17784"/>
      <w:bookmarkStart w:id="1654" w:name="_Toc27127"/>
      <w:bookmarkStart w:id="1655" w:name="_Toc2905"/>
      <w:bookmarkStart w:id="1656" w:name="_Toc17879"/>
      <w:bookmarkStart w:id="1657" w:name="_Toc31212"/>
      <w:bookmarkStart w:id="1658" w:name="_Toc31255"/>
      <w:bookmarkStart w:id="1659" w:name="_Toc17484"/>
      <w:r>
        <w:rPr>
          <w:rFonts w:hint="eastAsia" w:ascii="Times New Roman" w:hAnsi="Times New Roman" w:eastAsia="宋体" w:cs="Times New Roman"/>
          <w:b/>
          <w:bCs/>
          <w:sz w:val="28"/>
          <w:szCs w:val="28"/>
        </w:rPr>
        <w:t>（Introduction of Chinese Culture）</w:t>
      </w:r>
      <w:bookmarkEnd w:id="1653"/>
      <w:bookmarkEnd w:id="1654"/>
      <w:bookmarkEnd w:id="1655"/>
      <w:bookmarkEnd w:id="1656"/>
      <w:bookmarkEnd w:id="1657"/>
      <w:bookmarkEnd w:id="1658"/>
      <w:bookmarkEnd w:id="1659"/>
    </w:p>
    <w:p w14:paraId="414B4312">
      <w:pPr>
        <w:spacing w:line="360" w:lineRule="auto"/>
        <w:jc w:val="center"/>
        <w:rPr>
          <w:rFonts w:ascii="Times New Roman" w:hAnsi="Times New Roman" w:eastAsia="宋体" w:cs="Times New Roman"/>
          <w:b/>
          <w:bCs/>
          <w:szCs w:val="21"/>
        </w:rPr>
      </w:pPr>
    </w:p>
    <w:p w14:paraId="7F58EF83">
      <w:pPr>
        <w:spacing w:line="360" w:lineRule="auto"/>
        <w:ind w:firstLine="482" w:firstLineChars="200"/>
        <w:rPr>
          <w:rFonts w:hint="eastAsia" w:ascii="宋体" w:hAnsi="宋体" w:eastAsia="宋体" w:cs="宋体"/>
          <w:kern w:val="0"/>
          <w:sz w:val="24"/>
        </w:rPr>
      </w:pPr>
      <w:r>
        <w:rPr>
          <w:rFonts w:hint="eastAsia" w:ascii="宋体" w:hAnsi="宋体" w:eastAsia="宋体" w:cs="宋体"/>
          <w:b/>
          <w:bCs/>
          <w:kern w:val="0"/>
          <w:sz w:val="24"/>
        </w:rPr>
        <w:t>课程代码</w:t>
      </w:r>
      <w:r>
        <w:rPr>
          <w:rFonts w:hint="eastAsia" w:ascii="宋体" w:hAnsi="宋体" w:eastAsia="宋体" w:cs="宋体"/>
          <w:b/>
          <w:kern w:val="0"/>
          <w:sz w:val="24"/>
        </w:rPr>
        <w:t>：</w:t>
      </w:r>
      <w:r>
        <w:rPr>
          <w:rFonts w:hint="eastAsia" w:ascii="宋体" w:hAnsi="宋体" w:cs="宋体"/>
          <w:b/>
          <w:kern w:val="0"/>
          <w:sz w:val="24"/>
        </w:rPr>
        <w:t>2401072</w:t>
      </w:r>
    </w:p>
    <w:p w14:paraId="11E97CF6">
      <w:pPr>
        <w:spacing w:line="360" w:lineRule="auto"/>
        <w:ind w:firstLine="482" w:firstLineChars="200"/>
        <w:rPr>
          <w:rFonts w:hint="eastAsia" w:ascii="宋体" w:hAnsi="宋体" w:eastAsia="宋体" w:cs="宋体"/>
          <w:b/>
          <w:kern w:val="0"/>
          <w:sz w:val="24"/>
        </w:rPr>
      </w:pPr>
      <w:r>
        <w:rPr>
          <w:rFonts w:hint="eastAsia" w:ascii="宋体" w:hAnsi="宋体" w:eastAsia="宋体" w:cs="宋体"/>
          <w:b/>
          <w:bCs/>
          <w:kern w:val="0"/>
          <w:sz w:val="24"/>
        </w:rPr>
        <w:t>学    分</w:t>
      </w:r>
      <w:r>
        <w:rPr>
          <w:rFonts w:hint="eastAsia" w:ascii="宋体" w:hAnsi="宋体" w:eastAsia="宋体" w:cs="宋体"/>
          <w:b/>
          <w:kern w:val="0"/>
          <w:sz w:val="24"/>
        </w:rPr>
        <w:t>：</w:t>
      </w:r>
      <w:r>
        <w:rPr>
          <w:rFonts w:hint="eastAsia" w:ascii="宋体" w:hAnsi="宋体" w:eastAsia="宋体" w:cs="宋体"/>
          <w:kern w:val="0"/>
          <w:sz w:val="24"/>
        </w:rPr>
        <w:t>2</w:t>
      </w:r>
    </w:p>
    <w:p w14:paraId="456BB352">
      <w:pPr>
        <w:spacing w:line="360" w:lineRule="auto"/>
        <w:ind w:firstLine="482" w:firstLineChars="200"/>
        <w:rPr>
          <w:rFonts w:hint="eastAsia" w:ascii="宋体" w:hAnsi="宋体" w:eastAsia="宋体" w:cs="宋体"/>
          <w:kern w:val="0"/>
          <w:sz w:val="24"/>
        </w:rPr>
      </w:pPr>
      <w:r>
        <w:rPr>
          <w:rFonts w:hint="eastAsia" w:ascii="宋体" w:hAnsi="宋体" w:eastAsia="宋体" w:cs="宋体"/>
          <w:b/>
          <w:bCs/>
          <w:kern w:val="0"/>
          <w:sz w:val="24"/>
        </w:rPr>
        <w:t>学    时</w:t>
      </w:r>
      <w:r>
        <w:rPr>
          <w:rFonts w:hint="eastAsia" w:ascii="宋体" w:hAnsi="宋体" w:eastAsia="宋体" w:cs="宋体"/>
          <w:b/>
          <w:kern w:val="0"/>
          <w:sz w:val="24"/>
        </w:rPr>
        <w:t>：</w:t>
      </w:r>
      <w:r>
        <w:rPr>
          <w:rFonts w:hint="eastAsia" w:ascii="宋体" w:hAnsi="宋体" w:eastAsia="宋体" w:cs="宋体"/>
          <w:kern w:val="0"/>
          <w:sz w:val="24"/>
        </w:rPr>
        <w:t xml:space="preserve">32 </w:t>
      </w:r>
    </w:p>
    <w:p w14:paraId="4FCB3558">
      <w:pPr>
        <w:pStyle w:val="9"/>
        <w:spacing w:line="360" w:lineRule="auto"/>
        <w:ind w:firstLine="482"/>
        <w:jc w:val="left"/>
        <w:rPr>
          <w:rFonts w:hint="eastAsia" w:ascii="宋体" w:hAnsi="宋体" w:eastAsia="宋体" w:cs="宋体"/>
          <w:sz w:val="24"/>
        </w:rPr>
      </w:pPr>
      <w:r>
        <w:rPr>
          <w:rFonts w:hint="eastAsia" w:ascii="宋体" w:hAnsi="宋体" w:eastAsia="宋体" w:cs="宋体"/>
          <w:b/>
          <w:bCs/>
          <w:kern w:val="0"/>
          <w:sz w:val="24"/>
        </w:rPr>
        <w:t>先修课程</w:t>
      </w:r>
      <w:r>
        <w:rPr>
          <w:rFonts w:hint="eastAsia" w:ascii="宋体" w:hAnsi="宋体" w:eastAsia="宋体" w:cs="宋体"/>
          <w:b/>
          <w:kern w:val="0"/>
          <w:sz w:val="24"/>
        </w:rPr>
        <w:t>：中国古代文学、中国现当代文学</w:t>
      </w:r>
    </w:p>
    <w:p w14:paraId="41CA41AB">
      <w:pPr>
        <w:spacing w:line="360" w:lineRule="auto"/>
        <w:ind w:firstLine="482" w:firstLineChars="200"/>
        <w:rPr>
          <w:rFonts w:ascii="Times New Roman" w:hAnsi="Times New Roman" w:eastAsia="宋体" w:cs="Times New Roman"/>
          <w:b/>
          <w:szCs w:val="21"/>
        </w:rPr>
      </w:pPr>
      <w:r>
        <w:rPr>
          <w:rFonts w:hint="eastAsia" w:ascii="宋体" w:hAnsi="宋体" w:eastAsia="宋体" w:cs="宋体"/>
          <w:b/>
          <w:bCs/>
          <w:kern w:val="0"/>
          <w:sz w:val="24"/>
        </w:rPr>
        <w:t>适用专业</w:t>
      </w:r>
      <w:r>
        <w:rPr>
          <w:rFonts w:hint="eastAsia" w:ascii="宋体" w:hAnsi="宋体" w:eastAsia="宋体" w:cs="宋体"/>
          <w:b/>
          <w:kern w:val="0"/>
          <w:sz w:val="24"/>
        </w:rPr>
        <w:t>：</w:t>
      </w:r>
      <w:r>
        <w:rPr>
          <w:rFonts w:hint="eastAsia" w:ascii="宋体" w:hAnsi="宋体" w:cs="宋体"/>
          <w:kern w:val="0"/>
          <w:sz w:val="24"/>
        </w:rPr>
        <w:t>小学</w:t>
      </w:r>
      <w:r>
        <w:rPr>
          <w:rFonts w:hint="eastAsia" w:ascii="宋体" w:hAnsi="宋体" w:eastAsia="宋体" w:cs="宋体"/>
          <w:kern w:val="0"/>
          <w:sz w:val="24"/>
        </w:rPr>
        <w:t>教育</w:t>
      </w:r>
      <w:r>
        <w:rPr>
          <w:rFonts w:hint="eastAsia" w:ascii="宋体" w:hAnsi="宋体" w:cs="宋体"/>
          <w:kern w:val="0"/>
          <w:sz w:val="24"/>
        </w:rPr>
        <w:t>（文）</w:t>
      </w:r>
      <w:r>
        <w:rPr>
          <w:rFonts w:hint="eastAsia" w:ascii="宋体" w:hAnsi="宋体" w:eastAsia="宋体" w:cs="宋体"/>
          <w:kern w:val="0"/>
          <w:sz w:val="24"/>
        </w:rPr>
        <w:t xml:space="preserve">                      </w:t>
      </w:r>
      <w:r>
        <w:rPr>
          <w:rFonts w:hint="eastAsia" w:ascii="宋体" w:hAnsi="宋体" w:eastAsia="宋体" w:cs="宋体"/>
          <w:kern w:val="0"/>
          <w:szCs w:val="21"/>
        </w:rPr>
        <w:t xml:space="preserve">   </w:t>
      </w:r>
    </w:p>
    <w:p w14:paraId="074608A7">
      <w:pPr>
        <w:spacing w:before="62" w:beforeLines="20" w:after="62" w:afterLines="20" w:line="360" w:lineRule="auto"/>
        <w:jc w:val="left"/>
        <w:rPr>
          <w:rFonts w:hint="eastAsia" w:ascii="宋体" w:hAnsi="宋体" w:eastAsia="宋体" w:cs="宋体"/>
          <w:b/>
          <w:bCs/>
          <w:kern w:val="0"/>
          <w:sz w:val="24"/>
        </w:rPr>
      </w:pPr>
      <w:r>
        <w:rPr>
          <w:rFonts w:hint="eastAsia" w:ascii="Times New Roman" w:hAnsi="Times New Roman" w:eastAsia="宋体" w:cs="Times New Roman"/>
          <w:b/>
          <w:sz w:val="24"/>
        </w:rPr>
        <w:t>一、课程简介</w:t>
      </w:r>
    </w:p>
    <w:p w14:paraId="24C6A5BE">
      <w:pPr>
        <w:autoSpaceDE w:val="0"/>
        <w:autoSpaceDN w:val="0"/>
        <w:adjustRightInd w:val="0"/>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本课程是</w:t>
      </w:r>
      <w:r>
        <w:rPr>
          <w:rFonts w:hint="eastAsia" w:ascii="宋体" w:hAnsi="宋体" w:cs="宋体"/>
          <w:kern w:val="0"/>
          <w:szCs w:val="21"/>
        </w:rPr>
        <w:t>小学</w:t>
      </w:r>
      <w:r>
        <w:rPr>
          <w:rFonts w:hint="eastAsia" w:ascii="宋体" w:hAnsi="宋体" w:eastAsia="宋体" w:cs="宋体"/>
          <w:kern w:val="0"/>
          <w:szCs w:val="21"/>
        </w:rPr>
        <w:t>教育</w:t>
      </w:r>
      <w:r>
        <w:rPr>
          <w:rFonts w:hint="eastAsia" w:ascii="宋体" w:hAnsi="宋体" w:cs="宋体"/>
          <w:kern w:val="0"/>
          <w:szCs w:val="21"/>
        </w:rPr>
        <w:t>（文）</w:t>
      </w:r>
      <w:r>
        <w:rPr>
          <w:rFonts w:hint="eastAsia" w:ascii="宋体" w:hAnsi="宋体" w:eastAsia="宋体" w:cs="宋体"/>
          <w:kern w:val="0"/>
          <w:szCs w:val="21"/>
        </w:rPr>
        <w:t>专业的专业</w:t>
      </w:r>
      <w:r>
        <w:rPr>
          <w:rFonts w:hint="eastAsia" w:ascii="宋体" w:hAnsi="宋体" w:cs="宋体"/>
          <w:kern w:val="0"/>
          <w:szCs w:val="21"/>
        </w:rPr>
        <w:t>选修</w:t>
      </w:r>
      <w:r>
        <w:rPr>
          <w:rFonts w:hint="eastAsia" w:ascii="宋体" w:hAnsi="宋体" w:eastAsia="宋体" w:cs="宋体"/>
          <w:kern w:val="0"/>
          <w:szCs w:val="21"/>
        </w:rPr>
        <w:t>课。通过本课程的学习，</w:t>
      </w:r>
      <w:r>
        <w:rPr>
          <w:rFonts w:hint="eastAsia" w:ascii="宋体" w:hAnsi="宋体" w:cs="宋体"/>
          <w:kern w:val="0"/>
          <w:szCs w:val="21"/>
        </w:rPr>
        <w:t>学生能深入</w:t>
      </w:r>
      <w:r>
        <w:rPr>
          <w:rFonts w:hint="eastAsia" w:ascii="宋体" w:hAnsi="宋体" w:eastAsia="宋体" w:cs="宋体"/>
          <w:kern w:val="0"/>
          <w:szCs w:val="21"/>
        </w:rPr>
        <w:t>了解中国传统文化</w:t>
      </w:r>
      <w:r>
        <w:rPr>
          <w:rFonts w:hint="eastAsia" w:ascii="宋体" w:hAnsi="宋体" w:cs="宋体"/>
          <w:kern w:val="0"/>
          <w:szCs w:val="21"/>
        </w:rPr>
        <w:t>，为中华文化感到自豪，成为自觉的文化传承者</w:t>
      </w:r>
      <w:r>
        <w:rPr>
          <w:rFonts w:hint="eastAsia" w:ascii="宋体" w:hAnsi="宋体" w:eastAsia="宋体" w:cs="宋体"/>
          <w:kern w:val="0"/>
          <w:szCs w:val="21"/>
        </w:rPr>
        <w:t>。该课程的研究对象主要包括中国传统文化的各个基本层面，如中国</w:t>
      </w:r>
      <w:r>
        <w:rPr>
          <w:rFonts w:hint="eastAsia" w:ascii="宋体" w:hAnsi="宋体" w:cs="宋体"/>
          <w:kern w:val="0"/>
          <w:szCs w:val="21"/>
        </w:rPr>
        <w:t>历史、教育、政治、伦理道德、哲学宗教、文学艺术、婚丧习俗、穿着饮食、科技</w:t>
      </w:r>
      <w:r>
        <w:rPr>
          <w:rFonts w:hint="eastAsia" w:ascii="宋体" w:hAnsi="宋体" w:eastAsia="宋体" w:cs="宋体"/>
          <w:kern w:val="0"/>
          <w:szCs w:val="21"/>
        </w:rPr>
        <w:t>等。通过本课程的教学，要求学生能够基本掌握中国传统文化知识，比较系统地了解中华先民在各类文明创建上广博而精湛的建树，正确理解和分析传统文化与现代化文明的渊源，提高文化创新的信心和本领。在此基础上，进一步提高学生的专业知识储备和素养，形成强烈的专业学习愿望和兴趣，自觉的专业研究态度和学术热情。</w:t>
      </w:r>
    </w:p>
    <w:p w14:paraId="73D130E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3B4E07AD">
      <w:pPr>
        <w:spacing w:line="360" w:lineRule="auto"/>
        <w:ind w:firstLine="422" w:firstLineChars="200"/>
        <w:outlineLvl w:val="2"/>
        <w:rPr>
          <w:rFonts w:hint="eastAsia" w:ascii="宋体" w:hAnsi="宋体" w:eastAsia="宋体" w:cs="宋体"/>
          <w:b/>
          <w:szCs w:val="21"/>
        </w:rPr>
      </w:pPr>
      <w:r>
        <w:rPr>
          <w:rFonts w:hint="eastAsia" w:ascii="宋体" w:hAnsi="宋体" w:eastAsia="宋体" w:cs="宋体"/>
          <w:b/>
          <w:szCs w:val="21"/>
        </w:rPr>
        <w:t>（一）课程具体目标</w:t>
      </w:r>
    </w:p>
    <w:p w14:paraId="3B895822">
      <w:pPr>
        <w:autoSpaceDE w:val="0"/>
        <w:autoSpaceDN w:val="0"/>
        <w:adjustRightInd w:val="0"/>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通过本课程的学习，学生应达成以下目标：</w:t>
      </w:r>
    </w:p>
    <w:p w14:paraId="1F06D37D">
      <w:pPr>
        <w:autoSpaceDE w:val="0"/>
        <w:autoSpaceDN w:val="0"/>
        <w:adjustRightInd w:val="0"/>
        <w:spacing w:line="360" w:lineRule="auto"/>
        <w:ind w:firstLine="422" w:firstLineChars="200"/>
        <w:jc w:val="left"/>
        <w:rPr>
          <w:rFonts w:hint="eastAsia" w:ascii="宋体" w:hAnsi="宋体" w:cs="宋体"/>
          <w:kern w:val="0"/>
          <w:szCs w:val="21"/>
        </w:rPr>
      </w:pPr>
      <w:r>
        <w:rPr>
          <w:rFonts w:hint="eastAsia" w:ascii="宋体" w:hAnsi="宋体" w:cs="宋体"/>
          <w:b/>
          <w:bCs/>
          <w:kern w:val="0"/>
          <w:szCs w:val="21"/>
        </w:rPr>
        <w:t>目标</w:t>
      </w:r>
      <w:r>
        <w:rPr>
          <w:rFonts w:hint="eastAsia" w:ascii="宋体" w:hAnsi="宋体" w:eastAsia="宋体" w:cs="宋体"/>
          <w:b/>
          <w:bCs/>
          <w:kern w:val="0"/>
          <w:szCs w:val="21"/>
        </w:rPr>
        <w:t>1.</w:t>
      </w:r>
      <w:r>
        <w:rPr>
          <w:rFonts w:hint="eastAsia" w:ascii="宋体" w:hAnsi="宋体" w:cs="宋体"/>
          <w:kern w:val="0"/>
          <w:szCs w:val="21"/>
        </w:rPr>
        <w:t>多维度了解传统文化内容，包括哲学宗教、伦理道德、艺术形式、科技成就、天文历法、民俗生活等，掌握中国传统文化的核心概念、历史脉络及多元表现形式，培养学生的人文底蕴、文化认同感，对优秀传统文化的自信心。</w:t>
      </w:r>
    </w:p>
    <w:p w14:paraId="63EC32A8">
      <w:pPr>
        <w:autoSpaceDE w:val="0"/>
        <w:autoSpaceDN w:val="0"/>
        <w:adjustRightInd w:val="0"/>
        <w:spacing w:line="360" w:lineRule="auto"/>
        <w:ind w:firstLine="422" w:firstLineChars="200"/>
        <w:jc w:val="left"/>
        <w:rPr>
          <w:rFonts w:hint="eastAsia" w:ascii="宋体" w:hAnsi="宋体" w:eastAsia="宋体" w:cs="宋体"/>
          <w:b/>
          <w:szCs w:val="21"/>
        </w:rPr>
      </w:pPr>
      <w:r>
        <w:rPr>
          <w:rFonts w:hint="eastAsia" w:ascii="宋体" w:hAnsi="宋体" w:cs="宋体"/>
          <w:b/>
          <w:bCs/>
          <w:kern w:val="0"/>
          <w:szCs w:val="21"/>
        </w:rPr>
        <w:t>目标2.</w:t>
      </w:r>
      <w:r>
        <w:rPr>
          <w:rFonts w:hint="eastAsia" w:ascii="宋体" w:hAnsi="宋体" w:cs="宋体"/>
          <w:kern w:val="0"/>
          <w:szCs w:val="21"/>
        </w:rPr>
        <w:t>运用历史学、哲学、社会学等多学科视角，分析文化的独特现象，</w:t>
      </w:r>
      <w:r>
        <w:rPr>
          <w:rFonts w:hint="eastAsia" w:ascii="宋体" w:hAnsi="宋体" w:eastAsia="宋体" w:cs="宋体"/>
          <w:kern w:val="0"/>
          <w:szCs w:val="21"/>
        </w:rPr>
        <w:t>推动传统文化与现代社会的融合，探索其在当代的实践价值</w:t>
      </w:r>
      <w:r>
        <w:rPr>
          <w:rFonts w:hint="eastAsia" w:ascii="宋体" w:hAnsi="宋体" w:cs="宋体"/>
          <w:kern w:val="0"/>
          <w:szCs w:val="21"/>
        </w:rPr>
        <w:t>；积累</w:t>
      </w:r>
      <w:r>
        <w:rPr>
          <w:rFonts w:hint="eastAsia" w:ascii="宋体" w:hAnsi="宋体" w:eastAsia="宋体" w:cs="宋体"/>
          <w:kern w:val="0"/>
          <w:szCs w:val="21"/>
        </w:rPr>
        <w:t>爱国主义传统教育和思想道德教育、文化教育</w:t>
      </w:r>
      <w:r>
        <w:rPr>
          <w:rFonts w:hint="eastAsia" w:ascii="宋体" w:hAnsi="宋体" w:cs="宋体"/>
          <w:kern w:val="0"/>
          <w:szCs w:val="21"/>
        </w:rPr>
        <w:t>的</w:t>
      </w:r>
      <w:r>
        <w:rPr>
          <w:rFonts w:hint="eastAsia" w:ascii="宋体" w:hAnsi="宋体" w:eastAsia="宋体" w:cs="宋体"/>
          <w:kern w:val="0"/>
          <w:szCs w:val="21"/>
        </w:rPr>
        <w:t>历史经验和素材</w:t>
      </w:r>
      <w:r>
        <w:rPr>
          <w:rFonts w:hint="eastAsia" w:ascii="宋体" w:hAnsi="宋体" w:cs="宋体"/>
          <w:kern w:val="0"/>
          <w:szCs w:val="21"/>
        </w:rPr>
        <w:t>，将传统文化知识转化为适宜的小学课堂教学资源。</w:t>
      </w:r>
    </w:p>
    <w:p w14:paraId="77604579">
      <w:pPr>
        <w:numPr>
          <w:ilvl w:val="0"/>
          <w:numId w:val="55"/>
        </w:numPr>
        <w:ind w:firstLine="422" w:firstLineChars="200"/>
        <w:jc w:val="left"/>
        <w:rPr>
          <w:rFonts w:hint="eastAsia" w:ascii="宋体" w:hAnsi="宋体" w:eastAsia="宋体" w:cs="宋体"/>
          <w:b/>
          <w:szCs w:val="21"/>
        </w:rPr>
      </w:pPr>
      <w:r>
        <w:rPr>
          <w:rFonts w:hint="eastAsia" w:ascii="宋体" w:hAnsi="宋体" w:eastAsia="宋体" w:cs="宋体"/>
          <w:b/>
          <w:szCs w:val="21"/>
        </w:rPr>
        <w:t>课程目标及其对毕业要求指标点的支撑</w:t>
      </w:r>
    </w:p>
    <w:p w14:paraId="4356291E">
      <w:pPr>
        <w:jc w:val="left"/>
        <w:rPr>
          <w:rFonts w:hint="eastAsia" w:ascii="宋体" w:hAnsi="宋体" w:eastAsia="宋体" w:cs="宋体"/>
          <w:b/>
          <w:szCs w:val="21"/>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5580"/>
        <w:gridCol w:w="1474"/>
      </w:tblGrid>
      <w:tr w14:paraId="2505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453" w:type="dxa"/>
            <w:tcBorders>
              <w:top w:val="single" w:color="auto" w:sz="4" w:space="0"/>
              <w:left w:val="single" w:color="auto" w:sz="4" w:space="0"/>
              <w:bottom w:val="single" w:color="auto" w:sz="4" w:space="0"/>
              <w:right w:val="single" w:color="auto" w:sz="4" w:space="0"/>
            </w:tcBorders>
            <w:vAlign w:val="center"/>
          </w:tcPr>
          <w:p w14:paraId="5B744EF8">
            <w:pPr>
              <w:jc w:val="center"/>
              <w:rPr>
                <w:rFonts w:hint="eastAsia" w:ascii="宋体" w:hAnsi="宋体" w:eastAsia="宋体" w:cs="Times New Roman"/>
                <w:b/>
                <w:bCs/>
                <w:szCs w:val="21"/>
              </w:rPr>
            </w:pPr>
            <w:r>
              <w:rPr>
                <w:rFonts w:hint="eastAsia" w:ascii="宋体" w:hAnsi="宋体" w:cs="Times New Roman"/>
                <w:b/>
                <w:bCs/>
                <w:szCs w:val="21"/>
              </w:rPr>
              <w:t>毕业要求</w:t>
            </w:r>
          </w:p>
        </w:tc>
        <w:tc>
          <w:tcPr>
            <w:tcW w:w="5580" w:type="dxa"/>
            <w:tcBorders>
              <w:top w:val="single" w:color="auto" w:sz="4" w:space="0"/>
              <w:left w:val="single" w:color="auto" w:sz="4" w:space="0"/>
              <w:bottom w:val="single" w:color="auto" w:sz="4" w:space="0"/>
              <w:right w:val="single" w:color="auto" w:sz="4" w:space="0"/>
            </w:tcBorders>
            <w:vAlign w:val="center"/>
          </w:tcPr>
          <w:p w14:paraId="18066F97">
            <w:pPr>
              <w:jc w:val="center"/>
              <w:rPr>
                <w:rFonts w:hint="eastAsia" w:ascii="宋体" w:hAnsi="宋体" w:eastAsia="宋体" w:cs="Times New Roman"/>
                <w:b/>
                <w:bCs/>
                <w:szCs w:val="21"/>
              </w:rPr>
            </w:pPr>
            <w:r>
              <w:rPr>
                <w:rFonts w:hint="eastAsia" w:ascii="宋体" w:hAnsi="宋体" w:cs="Times New Roman"/>
                <w:b/>
                <w:bCs/>
                <w:szCs w:val="21"/>
              </w:rPr>
              <w:t>毕业要求指标点</w:t>
            </w:r>
          </w:p>
        </w:tc>
        <w:tc>
          <w:tcPr>
            <w:tcW w:w="1474" w:type="dxa"/>
            <w:tcBorders>
              <w:top w:val="single" w:color="auto" w:sz="4" w:space="0"/>
              <w:left w:val="single" w:color="auto" w:sz="4" w:space="0"/>
              <w:bottom w:val="single" w:color="auto" w:sz="4" w:space="0"/>
              <w:right w:val="single" w:color="auto" w:sz="4" w:space="0"/>
            </w:tcBorders>
            <w:vAlign w:val="center"/>
          </w:tcPr>
          <w:p w14:paraId="49F3B21F">
            <w:pPr>
              <w:jc w:val="center"/>
              <w:rPr>
                <w:rFonts w:hint="eastAsia" w:ascii="黑体" w:hAnsi="黑体" w:eastAsia="黑体" w:cs="宋体"/>
                <w:szCs w:val="21"/>
              </w:rPr>
            </w:pPr>
            <w:r>
              <w:rPr>
                <w:rFonts w:hint="eastAsia" w:ascii="宋体" w:hAnsi="宋体" w:cs="Times New Roman"/>
                <w:b/>
                <w:bCs/>
                <w:szCs w:val="21"/>
              </w:rPr>
              <w:t>课程目标</w:t>
            </w:r>
          </w:p>
        </w:tc>
      </w:tr>
      <w:tr w14:paraId="4368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453" w:type="dxa"/>
            <w:vMerge w:val="restart"/>
            <w:tcBorders>
              <w:top w:val="single" w:color="auto" w:sz="4" w:space="0"/>
              <w:left w:val="single" w:color="auto" w:sz="4" w:space="0"/>
              <w:right w:val="single" w:color="auto" w:sz="4" w:space="0"/>
            </w:tcBorders>
            <w:vAlign w:val="center"/>
          </w:tcPr>
          <w:p w14:paraId="51B33FDE">
            <w:pPr>
              <w:jc w:val="center"/>
              <w:rPr>
                <w:szCs w:val="21"/>
              </w:rPr>
            </w:pPr>
            <w:r>
              <w:rPr>
                <w:rFonts w:hint="eastAsia"/>
                <w:szCs w:val="21"/>
              </w:rPr>
              <w:t>毕业要求3</w:t>
            </w:r>
          </w:p>
          <w:p w14:paraId="64A60575">
            <w:pPr>
              <w:jc w:val="center"/>
              <w:rPr>
                <w:szCs w:val="21"/>
              </w:rPr>
            </w:pPr>
            <w:r>
              <w:rPr>
                <w:rFonts w:hint="eastAsia"/>
                <w:szCs w:val="21"/>
              </w:rPr>
              <w:t>学科素养</w:t>
            </w:r>
          </w:p>
        </w:tc>
        <w:tc>
          <w:tcPr>
            <w:tcW w:w="5580" w:type="dxa"/>
            <w:tcBorders>
              <w:top w:val="single" w:color="auto" w:sz="4" w:space="0"/>
              <w:left w:val="single" w:color="auto" w:sz="4" w:space="0"/>
              <w:bottom w:val="single" w:color="auto" w:sz="4" w:space="0"/>
              <w:right w:val="single" w:color="auto" w:sz="4" w:space="0"/>
            </w:tcBorders>
            <w:vAlign w:val="center"/>
          </w:tcPr>
          <w:p w14:paraId="502C433A">
            <w:pPr>
              <w:widowControl/>
              <w:jc w:val="left"/>
              <w:rPr>
                <w:szCs w:val="21"/>
              </w:rPr>
            </w:pPr>
            <w:r>
              <w:rPr>
                <w:rFonts w:hint="eastAsia" w:eastAsia="宋体"/>
                <w:b/>
                <w:kern w:val="0"/>
                <w:szCs w:val="21"/>
              </w:rPr>
              <w:t>指标点3-1</w:t>
            </w:r>
            <w:r>
              <w:rPr>
                <w:rFonts w:hint="eastAsia" w:ascii="宋体" w:hAnsi="宋体" w:eastAsia="宋体" w:cs="宋体"/>
                <w:kern w:val="0"/>
                <w:szCs w:val="21"/>
                <w:lang w:bidi="ar"/>
              </w:rPr>
              <w:t xml:space="preserve">：【通识知识广博】具有小学教育本科专业相应的自然科学和人文社会科学知识素养。 </w:t>
            </w:r>
          </w:p>
        </w:tc>
        <w:tc>
          <w:tcPr>
            <w:tcW w:w="1474" w:type="dxa"/>
            <w:tcBorders>
              <w:top w:val="single" w:color="auto" w:sz="4" w:space="0"/>
              <w:left w:val="single" w:color="auto" w:sz="4" w:space="0"/>
              <w:bottom w:val="single" w:color="auto" w:sz="4" w:space="0"/>
              <w:right w:val="single" w:color="auto" w:sz="4" w:space="0"/>
            </w:tcBorders>
            <w:vAlign w:val="center"/>
          </w:tcPr>
          <w:p w14:paraId="4D1BED39">
            <w:pPr>
              <w:widowControl/>
              <w:jc w:val="center"/>
              <w:rPr>
                <w:szCs w:val="21"/>
              </w:rPr>
            </w:pPr>
            <w:r>
              <w:rPr>
                <w:rFonts w:hint="eastAsia"/>
                <w:szCs w:val="21"/>
              </w:rPr>
              <w:t>课程目标1</w:t>
            </w:r>
          </w:p>
        </w:tc>
      </w:tr>
      <w:tr w14:paraId="23C2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453" w:type="dxa"/>
            <w:vMerge w:val="continue"/>
            <w:tcBorders>
              <w:left w:val="single" w:color="auto" w:sz="4" w:space="0"/>
              <w:bottom w:val="single" w:color="auto" w:sz="4" w:space="0"/>
              <w:right w:val="single" w:color="auto" w:sz="4" w:space="0"/>
            </w:tcBorders>
            <w:vAlign w:val="center"/>
          </w:tcPr>
          <w:p w14:paraId="1BE1674F">
            <w:pPr>
              <w:rPr>
                <w:szCs w:val="21"/>
              </w:rPr>
            </w:pPr>
            <w:bookmarkStart w:id="1660" w:name="_Toc27847276"/>
            <w:bookmarkStart w:id="1661" w:name="_Toc27846258"/>
          </w:p>
        </w:tc>
        <w:tc>
          <w:tcPr>
            <w:tcW w:w="5580" w:type="dxa"/>
            <w:tcBorders>
              <w:top w:val="single" w:color="auto" w:sz="4" w:space="0"/>
              <w:left w:val="single" w:color="auto" w:sz="4" w:space="0"/>
              <w:bottom w:val="single" w:color="auto" w:sz="4" w:space="0"/>
              <w:right w:val="single" w:color="auto" w:sz="4" w:space="0"/>
            </w:tcBorders>
            <w:vAlign w:val="center"/>
          </w:tcPr>
          <w:p w14:paraId="3144FBC5">
            <w:pPr>
              <w:rPr>
                <w:szCs w:val="21"/>
              </w:rPr>
            </w:pPr>
            <w:r>
              <w:rPr>
                <w:rFonts w:hint="eastAsia"/>
                <w:b/>
                <w:kern w:val="0"/>
                <w:szCs w:val="21"/>
              </w:rPr>
              <w:t>指标点3-2</w:t>
            </w:r>
            <w:r>
              <w:rPr>
                <w:rFonts w:hint="eastAsia"/>
                <w:kern w:val="0"/>
                <w:szCs w:val="21"/>
              </w:rPr>
              <w:t>：</w:t>
            </w:r>
            <w:r>
              <w:rPr>
                <w:rFonts w:hint="eastAsia" w:ascii="宋体" w:hAnsi="宋体" w:eastAsia="宋体" w:cs="宋体"/>
                <w:kern w:val="0"/>
                <w:szCs w:val="21"/>
                <w:lang w:bidi="ar"/>
              </w:rPr>
              <w:t>【学科知识扎实】具有学科专业能力，牢固掌握小学语文学科的基本知识、原理和技能。熟悉小学道德与法治学科的知识体系，掌握小学道德与法治学科的基本</w:t>
            </w:r>
            <w:r>
              <w:rPr>
                <w:rFonts w:hint="eastAsia" w:ascii="宋体" w:hAnsi="宋体" w:cs="宋体"/>
                <w:kern w:val="0"/>
                <w:szCs w:val="21"/>
                <w:lang w:bidi="ar"/>
              </w:rPr>
              <w:t>知</w:t>
            </w:r>
            <w:r>
              <w:rPr>
                <w:rFonts w:hint="eastAsia" w:ascii="宋体" w:hAnsi="宋体" w:eastAsia="宋体" w:cs="宋体"/>
                <w:kern w:val="0"/>
                <w:szCs w:val="21"/>
                <w:lang w:bidi="ar"/>
              </w:rPr>
              <w:t xml:space="preserve">识、原理和技能。并具备一定的文学学科基本知识，对学习社会科学相关知识有一定的了解。 </w:t>
            </w:r>
          </w:p>
        </w:tc>
        <w:tc>
          <w:tcPr>
            <w:tcW w:w="1474" w:type="dxa"/>
            <w:tcBorders>
              <w:top w:val="single" w:color="auto" w:sz="4" w:space="0"/>
              <w:left w:val="single" w:color="auto" w:sz="4" w:space="0"/>
              <w:bottom w:val="single" w:color="auto" w:sz="4" w:space="0"/>
              <w:right w:val="single" w:color="auto" w:sz="4" w:space="0"/>
            </w:tcBorders>
            <w:vAlign w:val="center"/>
          </w:tcPr>
          <w:p w14:paraId="3E7B85A4">
            <w:pPr>
              <w:widowControl/>
              <w:jc w:val="center"/>
              <w:rPr>
                <w:kern w:val="0"/>
                <w:szCs w:val="21"/>
              </w:rPr>
            </w:pPr>
            <w:r>
              <w:rPr>
                <w:rFonts w:hint="eastAsia"/>
                <w:szCs w:val="21"/>
              </w:rPr>
              <w:t>课程目标2</w:t>
            </w:r>
          </w:p>
        </w:tc>
      </w:tr>
      <w:bookmarkEnd w:id="1660"/>
      <w:bookmarkEnd w:id="1661"/>
    </w:tbl>
    <w:p w14:paraId="7E63BF52">
      <w:pPr>
        <w:numPr>
          <w:ilvl w:val="0"/>
          <w:numId w:val="55"/>
        </w:num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课程思政目标</w:t>
      </w:r>
    </w:p>
    <w:p w14:paraId="53AF9BE8">
      <w:pPr>
        <w:spacing w:line="360" w:lineRule="auto"/>
        <w:ind w:firstLine="420" w:firstLineChars="200"/>
        <w:jc w:val="left"/>
        <w:rPr>
          <w:rFonts w:hint="eastAsia" w:ascii="宋体" w:hAnsi="宋体" w:eastAsia="宋体" w:cs="宋体"/>
          <w:bCs/>
          <w:szCs w:val="21"/>
        </w:rPr>
      </w:pPr>
      <w:r>
        <w:rPr>
          <w:rFonts w:hint="eastAsia" w:ascii="宋体" w:hAnsi="宋体" w:cs="宋体"/>
          <w:bCs/>
          <w:szCs w:val="21"/>
        </w:rPr>
        <w:t>通过系统传授中华优秀传统文化的基础知识与核心精神，引导学生深刻认识中华文化的源远流长与当代价值，培养文化自觉与文化自信，</w:t>
      </w:r>
      <w:r>
        <w:rPr>
          <w:rFonts w:hint="eastAsia" w:ascii="宋体" w:hAnsi="宋体" w:eastAsia="宋体" w:cs="宋体"/>
          <w:bCs/>
          <w:szCs w:val="21"/>
        </w:rPr>
        <w:t>增强对民族文化的认同感，树立正确的世界观、人生观和价值观。通过展示中华文明的延续性与包容性，帮助学生理解传统文化与社会主义核心价值观的契合性，增强民族自豪感和文化传承使命感。</w:t>
      </w:r>
    </w:p>
    <w:p w14:paraId="12FCFB8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198"/>
        <w:gridCol w:w="1117"/>
        <w:gridCol w:w="3104"/>
        <w:gridCol w:w="324"/>
        <w:gridCol w:w="1308"/>
        <w:gridCol w:w="12"/>
        <w:gridCol w:w="415"/>
      </w:tblGrid>
      <w:tr w14:paraId="7A6F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0E49771B">
            <w:pPr>
              <w:jc w:val="center"/>
              <w:rPr>
                <w:rFonts w:hint="eastAsia" w:ascii="宋体" w:hAnsi="宋体" w:eastAsia="宋体" w:cs="Times New Roman"/>
                <w:b/>
                <w:szCs w:val="21"/>
              </w:rPr>
            </w:pPr>
            <w:r>
              <w:rPr>
                <w:rFonts w:hint="eastAsia" w:ascii="宋体" w:hAnsi="宋体" w:eastAsia="宋体" w:cs="Times New Roman"/>
                <w:b/>
                <w:szCs w:val="21"/>
              </w:rPr>
              <w:t>知识</w:t>
            </w:r>
          </w:p>
          <w:p w14:paraId="336B0839">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198" w:type="dxa"/>
            <w:vAlign w:val="center"/>
          </w:tcPr>
          <w:p w14:paraId="2C273C23">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17" w:type="dxa"/>
            <w:vAlign w:val="center"/>
          </w:tcPr>
          <w:p w14:paraId="783AE4DA">
            <w:pPr>
              <w:jc w:val="center"/>
              <w:rPr>
                <w:rFonts w:hint="eastAsia" w:ascii="宋体" w:hAnsi="宋体" w:eastAsia="宋体" w:cs="Times New Roman"/>
                <w:b/>
                <w:szCs w:val="21"/>
              </w:rPr>
            </w:pPr>
            <w:r>
              <w:rPr>
                <w:rFonts w:hint="eastAsia" w:ascii="宋体" w:hAnsi="宋体" w:eastAsia="宋体" w:cs="Times New Roman"/>
                <w:b/>
                <w:szCs w:val="21"/>
              </w:rPr>
              <w:t>对应</w:t>
            </w:r>
          </w:p>
          <w:p w14:paraId="066A6CBF">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428" w:type="dxa"/>
            <w:gridSpan w:val="2"/>
            <w:vAlign w:val="center"/>
          </w:tcPr>
          <w:p w14:paraId="3BDA7E14">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320" w:type="dxa"/>
            <w:gridSpan w:val="2"/>
            <w:vAlign w:val="center"/>
          </w:tcPr>
          <w:p w14:paraId="4823A2ED">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15" w:type="dxa"/>
            <w:vAlign w:val="center"/>
          </w:tcPr>
          <w:p w14:paraId="1A2E39E3">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1F5E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restart"/>
            <w:vAlign w:val="center"/>
          </w:tcPr>
          <w:p w14:paraId="22A16978">
            <w:pPr>
              <w:spacing w:line="264" w:lineRule="auto"/>
              <w:jc w:val="center"/>
              <w:rPr>
                <w:rFonts w:hint="eastAsia" w:ascii="宋体" w:hAnsi="宋体" w:eastAsia="宋体" w:cs="Times New Roman"/>
                <w:szCs w:val="21"/>
              </w:rPr>
            </w:pPr>
            <w:r>
              <w:rPr>
                <w:rFonts w:hint="eastAsia" w:ascii="宋体" w:hAnsi="宋体" w:eastAsia="宋体" w:cs="Times New Roman"/>
                <w:szCs w:val="21"/>
              </w:rPr>
              <w:t>1.文化的认识</w:t>
            </w:r>
          </w:p>
        </w:tc>
        <w:tc>
          <w:tcPr>
            <w:tcW w:w="2198" w:type="dxa"/>
            <w:vAlign w:val="center"/>
          </w:tcPr>
          <w:p w14:paraId="2557F8A3">
            <w:pPr>
              <w:spacing w:line="269" w:lineRule="auto"/>
              <w:jc w:val="left"/>
              <w:rPr>
                <w:rFonts w:hint="eastAsia" w:ascii="宋体" w:hAnsi="宋体" w:eastAsia="宋体" w:cs="Times New Roman"/>
                <w:szCs w:val="21"/>
              </w:rPr>
            </w:pPr>
            <w:r>
              <w:rPr>
                <w:rFonts w:hint="eastAsia" w:ascii="宋体" w:hAnsi="宋体" w:cs="Times New Roman"/>
                <w:szCs w:val="21"/>
              </w:rPr>
              <w:t>（1）</w:t>
            </w:r>
            <w:r>
              <w:rPr>
                <w:rFonts w:hint="eastAsia" w:ascii="宋体" w:hAnsi="宋体" w:eastAsia="宋体" w:cs="Times New Roman"/>
                <w:szCs w:val="21"/>
              </w:rPr>
              <w:t>文化的界定与定义</w:t>
            </w:r>
          </w:p>
          <w:p w14:paraId="3AEA491A">
            <w:pPr>
              <w:spacing w:line="269" w:lineRule="auto"/>
              <w:jc w:val="left"/>
              <w:rPr>
                <w:rFonts w:hint="eastAsia" w:ascii="宋体" w:hAnsi="宋体" w:eastAsia="宋体" w:cs="Times New Roman"/>
                <w:szCs w:val="21"/>
              </w:rPr>
            </w:pPr>
            <w:r>
              <w:rPr>
                <w:rFonts w:hint="eastAsia" w:ascii="宋体" w:hAnsi="宋体" w:cs="Times New Roman"/>
                <w:szCs w:val="21"/>
              </w:rPr>
              <w:t>（2）</w:t>
            </w:r>
            <w:r>
              <w:rPr>
                <w:rFonts w:hint="eastAsia" w:ascii="宋体" w:hAnsi="宋体" w:eastAsia="宋体" w:cs="Times New Roman"/>
                <w:szCs w:val="21"/>
              </w:rPr>
              <w:t>文化的结构</w:t>
            </w:r>
          </w:p>
          <w:p w14:paraId="490333A6">
            <w:pPr>
              <w:spacing w:line="269" w:lineRule="auto"/>
              <w:jc w:val="left"/>
              <w:rPr>
                <w:rFonts w:hint="eastAsia" w:ascii="宋体" w:hAnsi="宋体" w:eastAsia="宋体" w:cs="Times New Roman"/>
                <w:szCs w:val="21"/>
              </w:rPr>
            </w:pPr>
            <w:r>
              <w:rPr>
                <w:rFonts w:hint="eastAsia" w:ascii="宋体" w:hAnsi="宋体" w:cs="Times New Roman"/>
                <w:szCs w:val="21"/>
              </w:rPr>
              <w:t>（3）</w:t>
            </w:r>
            <w:r>
              <w:rPr>
                <w:rFonts w:hint="eastAsia" w:ascii="宋体" w:hAnsi="宋体" w:eastAsia="宋体" w:cs="Times New Roman"/>
                <w:szCs w:val="21"/>
              </w:rPr>
              <w:t>中国文化的民族特点</w:t>
            </w:r>
          </w:p>
          <w:p w14:paraId="1AE152E8">
            <w:pPr>
              <w:spacing w:line="269" w:lineRule="auto"/>
              <w:jc w:val="left"/>
              <w:rPr>
                <w:rFonts w:hint="eastAsia" w:ascii="宋体" w:hAnsi="宋体" w:eastAsia="宋体" w:cs="Times New Roman"/>
                <w:szCs w:val="21"/>
              </w:rPr>
            </w:pPr>
            <w:r>
              <w:rPr>
                <w:rFonts w:hint="eastAsia" w:ascii="宋体" w:hAnsi="宋体" w:cs="Times New Roman"/>
                <w:szCs w:val="21"/>
              </w:rPr>
              <w:t>（4）文化学习的必要性</w:t>
            </w:r>
          </w:p>
        </w:tc>
        <w:tc>
          <w:tcPr>
            <w:tcW w:w="1117" w:type="dxa"/>
            <w:vAlign w:val="center"/>
          </w:tcPr>
          <w:p w14:paraId="51363B76">
            <w:pPr>
              <w:spacing w:line="269" w:lineRule="auto"/>
              <w:jc w:val="center"/>
              <w:rPr>
                <w:rFonts w:hint="eastAsia" w:ascii="宋体" w:hAnsi="宋体" w:eastAsia="宋体" w:cs="Times New Roman"/>
                <w:szCs w:val="21"/>
              </w:rPr>
            </w:pPr>
            <w:r>
              <w:rPr>
                <w:rFonts w:hint="eastAsia" w:ascii="宋体" w:hAnsi="宋体" w:cs="Times New Roman"/>
                <w:szCs w:val="21"/>
              </w:rPr>
              <w:t>课程目标1</w:t>
            </w:r>
          </w:p>
        </w:tc>
        <w:tc>
          <w:tcPr>
            <w:tcW w:w="3428" w:type="dxa"/>
            <w:gridSpan w:val="2"/>
            <w:vAlign w:val="center"/>
          </w:tcPr>
          <w:p w14:paraId="28940C03">
            <w:pPr>
              <w:spacing w:line="269" w:lineRule="auto"/>
              <w:jc w:val="left"/>
              <w:rPr>
                <w:rFonts w:hint="eastAsia" w:ascii="宋体" w:hAnsi="宋体" w:eastAsia="宋体" w:cs="Times New Roman"/>
                <w:szCs w:val="21"/>
              </w:rPr>
            </w:pPr>
            <w:r>
              <w:rPr>
                <w:rFonts w:hint="eastAsia" w:ascii="宋体" w:hAnsi="宋体" w:cs="Times New Roman"/>
                <w:szCs w:val="21"/>
              </w:rPr>
              <w:t>1.</w:t>
            </w:r>
            <w:r>
              <w:rPr>
                <w:rFonts w:hint="eastAsia" w:ascii="宋体" w:hAnsi="宋体" w:eastAsia="宋体" w:cs="Times New Roman"/>
                <w:szCs w:val="21"/>
              </w:rPr>
              <w:t>掌握文化内涵的多维性，辩证分析文化现象与政治经济的内在关联</w:t>
            </w:r>
            <w:r>
              <w:rPr>
                <w:rFonts w:hint="eastAsia" w:ascii="宋体" w:hAnsi="宋体" w:cs="Times New Roman"/>
                <w:szCs w:val="21"/>
              </w:rPr>
              <w:t>；</w:t>
            </w:r>
          </w:p>
          <w:p w14:paraId="529DA961">
            <w:pPr>
              <w:spacing w:line="269" w:lineRule="auto"/>
              <w:jc w:val="left"/>
              <w:rPr>
                <w:rFonts w:hint="eastAsia" w:ascii="宋体" w:hAnsi="宋体" w:eastAsia="宋体" w:cs="Times New Roman"/>
                <w:szCs w:val="21"/>
              </w:rPr>
            </w:pPr>
            <w:r>
              <w:rPr>
                <w:rFonts w:hint="eastAsia" w:ascii="宋体" w:hAnsi="宋体" w:cs="Times New Roman"/>
                <w:szCs w:val="21"/>
              </w:rPr>
              <w:t>2.</w:t>
            </w:r>
            <w:r>
              <w:rPr>
                <w:rFonts w:hint="eastAsia" w:ascii="宋体" w:hAnsi="宋体" w:eastAsia="宋体" w:cs="Times New Roman"/>
                <w:szCs w:val="21"/>
              </w:rPr>
              <w:t>构建系统性文化分析框架，提升文化遗产批判性继承能力。</w:t>
            </w:r>
          </w:p>
          <w:p w14:paraId="0577C35C">
            <w:pPr>
              <w:spacing w:line="269" w:lineRule="auto"/>
              <w:jc w:val="left"/>
              <w:rPr>
                <w:rFonts w:hint="eastAsia" w:ascii="宋体" w:hAnsi="宋体" w:eastAsia="宋体" w:cs="Times New Roman"/>
                <w:szCs w:val="21"/>
              </w:rPr>
            </w:pPr>
            <w:r>
              <w:rPr>
                <w:rFonts w:hint="eastAsia" w:ascii="宋体" w:hAnsi="宋体" w:cs="Times New Roman"/>
                <w:szCs w:val="21"/>
              </w:rPr>
              <w:t>3.</w:t>
            </w:r>
            <w:r>
              <w:rPr>
                <w:rFonts w:hint="eastAsia" w:ascii="宋体" w:hAnsi="宋体" w:eastAsia="宋体" w:cs="Times New Roman"/>
                <w:szCs w:val="21"/>
              </w:rPr>
              <w:t>增强民族文化认同，自觉维护中华文化主体性与多样性统一。</w:t>
            </w:r>
          </w:p>
        </w:tc>
        <w:tc>
          <w:tcPr>
            <w:tcW w:w="1320" w:type="dxa"/>
            <w:gridSpan w:val="2"/>
            <w:vAlign w:val="center"/>
          </w:tcPr>
          <w:p w14:paraId="5E8E6115">
            <w:pPr>
              <w:spacing w:line="269" w:lineRule="auto"/>
              <w:jc w:val="left"/>
              <w:rPr>
                <w:rFonts w:hint="eastAsia" w:ascii="宋体" w:hAnsi="宋体" w:eastAsia="宋体" w:cs="Times New Roman"/>
                <w:szCs w:val="21"/>
              </w:rPr>
            </w:pPr>
            <w:r>
              <w:rPr>
                <w:rFonts w:hint="eastAsia" w:ascii="宋体" w:hAnsi="宋体" w:eastAsia="宋体" w:cs="Times New Roman"/>
                <w:szCs w:val="21"/>
              </w:rPr>
              <w:t>1.</w:t>
            </w:r>
            <w:r>
              <w:rPr>
                <w:rFonts w:hint="eastAsia" w:ascii="宋体" w:hAnsi="宋体" w:cs="Times New Roman"/>
                <w:szCs w:val="21"/>
              </w:rPr>
              <w:t>课堂讲授</w:t>
            </w:r>
          </w:p>
          <w:p w14:paraId="172F5978">
            <w:pPr>
              <w:spacing w:line="269" w:lineRule="auto"/>
              <w:jc w:val="left"/>
              <w:rPr>
                <w:rFonts w:hint="eastAsia" w:ascii="宋体" w:hAnsi="宋体" w:cs="Times New Roman"/>
                <w:szCs w:val="21"/>
              </w:rPr>
            </w:pPr>
            <w:r>
              <w:rPr>
                <w:rFonts w:hint="eastAsia" w:ascii="宋体" w:hAnsi="宋体" w:eastAsia="宋体" w:cs="Times New Roman"/>
                <w:szCs w:val="21"/>
              </w:rPr>
              <w:t>2.多媒体</w:t>
            </w:r>
            <w:r>
              <w:rPr>
                <w:rFonts w:hint="eastAsia" w:ascii="宋体" w:hAnsi="宋体" w:cs="Times New Roman"/>
                <w:szCs w:val="21"/>
              </w:rPr>
              <w:t>演示</w:t>
            </w:r>
          </w:p>
          <w:p w14:paraId="0E880738">
            <w:pPr>
              <w:spacing w:line="269"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1389B2C8">
            <w:pPr>
              <w:spacing w:line="269"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15" w:type="dxa"/>
            <w:vAlign w:val="center"/>
          </w:tcPr>
          <w:p w14:paraId="249C686B">
            <w:pPr>
              <w:spacing w:line="269"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412B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vAlign w:val="center"/>
          </w:tcPr>
          <w:p w14:paraId="08A634E5">
            <w:pPr>
              <w:spacing w:line="264" w:lineRule="auto"/>
              <w:jc w:val="center"/>
              <w:rPr>
                <w:rFonts w:hint="eastAsia" w:ascii="宋体" w:hAnsi="宋体" w:eastAsia="宋体" w:cs="Times New Roman"/>
                <w:szCs w:val="21"/>
              </w:rPr>
            </w:pPr>
          </w:p>
        </w:tc>
        <w:tc>
          <w:tcPr>
            <w:tcW w:w="8478" w:type="dxa"/>
            <w:gridSpan w:val="7"/>
            <w:vAlign w:val="center"/>
          </w:tcPr>
          <w:p w14:paraId="6B47EBBD">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聚焦“多元一体”格局下“崇德向善、家国同构、天人合一”的民族精神内核‌，结合中华文明连续性与包容性特质，深化中华民族共同体意识与民族团结教育。强调文化传承对社会主义核心价值观培育的关键作用，激发学生立足本土实践参与文化创新转化的使命感。</w:t>
            </w:r>
          </w:p>
        </w:tc>
      </w:tr>
      <w:tr w14:paraId="2F7D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restart"/>
            <w:vAlign w:val="center"/>
          </w:tcPr>
          <w:p w14:paraId="3FEC6FBA">
            <w:pPr>
              <w:spacing w:line="264" w:lineRule="auto"/>
              <w:jc w:val="center"/>
              <w:rPr>
                <w:rFonts w:hint="eastAsia" w:ascii="宋体" w:hAnsi="宋体" w:eastAsia="宋体" w:cs="Times New Roman"/>
                <w:szCs w:val="21"/>
              </w:rPr>
            </w:pPr>
            <w:r>
              <w:rPr>
                <w:rFonts w:hint="eastAsia" w:ascii="宋体" w:hAnsi="宋体" w:eastAsia="宋体" w:cs="Times New Roman"/>
                <w:szCs w:val="21"/>
              </w:rPr>
              <w:t>2.文化的产生</w:t>
            </w:r>
            <w:r>
              <w:rPr>
                <w:rFonts w:hint="eastAsia" w:ascii="宋体" w:hAnsi="宋体" w:cs="Times New Roman"/>
                <w:szCs w:val="21"/>
              </w:rPr>
              <w:t>：地理概括</w:t>
            </w:r>
          </w:p>
        </w:tc>
        <w:tc>
          <w:tcPr>
            <w:tcW w:w="2198" w:type="dxa"/>
            <w:vAlign w:val="center"/>
          </w:tcPr>
          <w:p w14:paraId="6C87171F">
            <w:pPr>
              <w:spacing w:line="269" w:lineRule="auto"/>
              <w:jc w:val="left"/>
              <w:rPr>
                <w:rFonts w:hint="eastAsia" w:ascii="宋体" w:hAnsi="宋体" w:cs="Times New Roman"/>
                <w:szCs w:val="21"/>
              </w:rPr>
            </w:pPr>
            <w:r>
              <w:rPr>
                <w:rFonts w:hint="eastAsia" w:ascii="宋体" w:hAnsi="宋体" w:cs="Times New Roman"/>
                <w:szCs w:val="21"/>
              </w:rPr>
              <w:t>（1）</w:t>
            </w:r>
            <w:r>
              <w:rPr>
                <w:rFonts w:hint="eastAsia" w:ascii="宋体" w:hAnsi="宋体" w:eastAsia="宋体" w:cs="Times New Roman"/>
                <w:szCs w:val="21"/>
              </w:rPr>
              <w:t>中国文化所处的地域环境特点</w:t>
            </w:r>
            <w:r>
              <w:rPr>
                <w:rFonts w:hint="eastAsia" w:ascii="宋体" w:hAnsi="宋体" w:cs="Times New Roman"/>
                <w:szCs w:val="21"/>
              </w:rPr>
              <w:t>；</w:t>
            </w:r>
          </w:p>
          <w:p w14:paraId="158EF753">
            <w:pPr>
              <w:spacing w:line="269" w:lineRule="auto"/>
              <w:jc w:val="left"/>
              <w:rPr>
                <w:rFonts w:hint="eastAsia" w:ascii="宋体" w:hAnsi="宋体" w:cs="Times New Roman"/>
                <w:szCs w:val="21"/>
              </w:rPr>
            </w:pPr>
            <w:r>
              <w:rPr>
                <w:rFonts w:hint="eastAsia" w:ascii="宋体" w:hAnsi="宋体" w:cs="Times New Roman"/>
                <w:szCs w:val="21"/>
              </w:rPr>
              <w:t>（2）长江与黄河；</w:t>
            </w:r>
          </w:p>
          <w:p w14:paraId="28B2F6C2">
            <w:pPr>
              <w:spacing w:line="269" w:lineRule="auto"/>
              <w:jc w:val="left"/>
              <w:rPr>
                <w:rFonts w:hint="eastAsia" w:ascii="宋体" w:hAnsi="宋体" w:cs="Times New Roman"/>
                <w:szCs w:val="21"/>
              </w:rPr>
            </w:pPr>
            <w:r>
              <w:rPr>
                <w:rFonts w:hint="eastAsia" w:ascii="宋体" w:hAnsi="宋体" w:cs="Times New Roman"/>
                <w:szCs w:val="21"/>
              </w:rPr>
              <w:t>（3）中国古代行政区划沿革；</w:t>
            </w:r>
          </w:p>
          <w:p w14:paraId="74B12E84">
            <w:pPr>
              <w:spacing w:line="269" w:lineRule="auto"/>
              <w:jc w:val="left"/>
              <w:rPr>
                <w:rFonts w:hint="eastAsia" w:ascii="宋体" w:hAnsi="宋体" w:cs="Times New Roman"/>
                <w:szCs w:val="21"/>
              </w:rPr>
            </w:pPr>
            <w:r>
              <w:rPr>
                <w:rFonts w:hint="eastAsia" w:ascii="宋体" w:hAnsi="宋体" w:cs="Times New Roman"/>
                <w:szCs w:val="21"/>
              </w:rPr>
              <w:t>（4）现行省、市、自治区名称由来</w:t>
            </w:r>
          </w:p>
        </w:tc>
        <w:tc>
          <w:tcPr>
            <w:tcW w:w="1117" w:type="dxa"/>
            <w:vAlign w:val="center"/>
          </w:tcPr>
          <w:p w14:paraId="4C526714">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428" w:type="dxa"/>
            <w:gridSpan w:val="2"/>
            <w:vAlign w:val="center"/>
          </w:tcPr>
          <w:p w14:paraId="10493E1D">
            <w:pPr>
              <w:numPr>
                <w:ilvl w:val="0"/>
                <w:numId w:val="56"/>
              </w:numPr>
              <w:spacing w:line="269" w:lineRule="auto"/>
              <w:jc w:val="left"/>
              <w:rPr>
                <w:rFonts w:hint="eastAsia" w:ascii="宋体" w:hAnsi="宋体" w:cs="Times New Roman"/>
                <w:szCs w:val="21"/>
              </w:rPr>
            </w:pPr>
            <w:r>
              <w:rPr>
                <w:rFonts w:hint="eastAsia" w:ascii="宋体" w:hAnsi="宋体" w:eastAsia="宋体" w:cs="Times New Roman"/>
                <w:szCs w:val="21"/>
              </w:rPr>
              <w:t>掌握中国"西高东低三级阶梯"地理格局对农耕文明扩散的影响，理解长江"水道通商"催生的稻作文化圈与黄河"黄土沉积"塑造的粟作文明带之间的生态分异</w:t>
            </w:r>
            <w:r>
              <w:rPr>
                <w:rFonts w:hint="eastAsia" w:ascii="宋体" w:hAnsi="宋体" w:cs="Times New Roman"/>
                <w:szCs w:val="21"/>
              </w:rPr>
              <w:t>；</w:t>
            </w:r>
          </w:p>
          <w:p w14:paraId="64E09BD3">
            <w:pPr>
              <w:spacing w:line="269" w:lineRule="auto"/>
              <w:jc w:val="left"/>
              <w:rPr>
                <w:rFonts w:hint="eastAsia" w:ascii="宋体" w:hAnsi="宋体" w:cs="Times New Roman"/>
                <w:szCs w:val="21"/>
              </w:rPr>
            </w:pPr>
            <w:r>
              <w:rPr>
                <w:rFonts w:hint="eastAsia" w:ascii="宋体" w:hAnsi="宋体" w:eastAsia="宋体" w:cs="Times New Roman"/>
                <w:szCs w:val="21"/>
              </w:rPr>
              <w:t xml:space="preserve"> </w:t>
            </w:r>
            <w:r>
              <w:rPr>
                <w:rFonts w:hint="eastAsia" w:ascii="宋体" w:hAnsi="宋体" w:cs="Times New Roman"/>
                <w:szCs w:val="21"/>
              </w:rPr>
              <w:t>2.了解</w:t>
            </w:r>
            <w:r>
              <w:rPr>
                <w:rFonts w:hint="eastAsia" w:ascii="宋体" w:hAnsi="宋体" w:eastAsia="宋体" w:cs="Times New Roman"/>
                <w:szCs w:val="21"/>
              </w:rPr>
              <w:t>从秦代郡县制到元代行省制的行政层级演变脉络</w:t>
            </w:r>
            <w:r>
              <w:rPr>
                <w:rFonts w:hint="eastAsia" w:ascii="宋体" w:hAnsi="宋体" w:cs="Times New Roman"/>
                <w:szCs w:val="21"/>
              </w:rPr>
              <w:t>；</w:t>
            </w:r>
          </w:p>
          <w:p w14:paraId="17C6DDD3">
            <w:pPr>
              <w:spacing w:line="269" w:lineRule="auto"/>
              <w:jc w:val="left"/>
              <w:rPr>
                <w:rFonts w:hint="eastAsia" w:ascii="宋体" w:hAnsi="宋体" w:eastAsia="宋体" w:cs="Times New Roman"/>
                <w:szCs w:val="21"/>
              </w:rPr>
            </w:pPr>
            <w:r>
              <w:rPr>
                <w:rFonts w:hint="eastAsia" w:ascii="宋体" w:hAnsi="宋体" w:eastAsia="宋体" w:cs="Times New Roman"/>
                <w:szCs w:val="21"/>
              </w:rPr>
              <w:t>3. 对比长江中下游"白墙黛瓦"水乡聚落与黄河流域"四合窑洞"居住形态的空间适应性</w:t>
            </w:r>
            <w:r>
              <w:rPr>
                <w:rFonts w:hint="eastAsia" w:ascii="宋体" w:hAnsi="宋体" w:cs="Times New Roman"/>
                <w:szCs w:val="21"/>
              </w:rPr>
              <w:t>。</w:t>
            </w:r>
          </w:p>
        </w:tc>
        <w:tc>
          <w:tcPr>
            <w:tcW w:w="1320" w:type="dxa"/>
            <w:gridSpan w:val="2"/>
            <w:vAlign w:val="center"/>
          </w:tcPr>
          <w:p w14:paraId="433897E8">
            <w:pPr>
              <w:spacing w:line="269" w:lineRule="auto"/>
              <w:jc w:val="left"/>
              <w:rPr>
                <w:rFonts w:hint="eastAsia" w:ascii="宋体" w:hAnsi="宋体" w:eastAsia="宋体" w:cs="Times New Roman"/>
                <w:szCs w:val="21"/>
              </w:rPr>
            </w:pPr>
            <w:r>
              <w:rPr>
                <w:rFonts w:hint="eastAsia" w:ascii="宋体" w:hAnsi="宋体" w:eastAsia="宋体" w:cs="Times New Roman"/>
                <w:szCs w:val="21"/>
              </w:rPr>
              <w:t>1.</w:t>
            </w:r>
            <w:r>
              <w:rPr>
                <w:rFonts w:hint="eastAsia" w:ascii="宋体" w:hAnsi="宋体" w:cs="Times New Roman"/>
                <w:szCs w:val="21"/>
              </w:rPr>
              <w:t>课前自学</w:t>
            </w:r>
          </w:p>
          <w:p w14:paraId="6D287838">
            <w:pPr>
              <w:spacing w:line="269" w:lineRule="auto"/>
              <w:jc w:val="left"/>
              <w:rPr>
                <w:rFonts w:hint="eastAsia" w:ascii="宋体" w:hAnsi="宋体" w:cs="Times New Roman"/>
                <w:szCs w:val="21"/>
              </w:rPr>
            </w:pPr>
            <w:r>
              <w:rPr>
                <w:rFonts w:hint="eastAsia" w:ascii="宋体" w:hAnsi="宋体" w:eastAsia="宋体" w:cs="Times New Roman"/>
                <w:szCs w:val="21"/>
              </w:rPr>
              <w:t>2.多媒体</w:t>
            </w:r>
            <w:r>
              <w:rPr>
                <w:rFonts w:hint="eastAsia" w:ascii="宋体" w:hAnsi="宋体" w:cs="Times New Roman"/>
                <w:szCs w:val="21"/>
              </w:rPr>
              <w:t>教学</w:t>
            </w:r>
          </w:p>
          <w:p w14:paraId="4498ED7C">
            <w:pPr>
              <w:spacing w:line="269"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39DB92AD">
            <w:pPr>
              <w:spacing w:line="269"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15" w:type="dxa"/>
            <w:vAlign w:val="center"/>
          </w:tcPr>
          <w:p w14:paraId="3796CE84">
            <w:pPr>
              <w:spacing w:line="269" w:lineRule="auto"/>
              <w:jc w:val="center"/>
              <w:rPr>
                <w:rFonts w:hint="eastAsia" w:ascii="宋体" w:hAnsi="宋体" w:eastAsia="宋体" w:cs="Times New Roman"/>
                <w:szCs w:val="21"/>
              </w:rPr>
            </w:pPr>
            <w:r>
              <w:rPr>
                <w:rFonts w:hint="eastAsia" w:ascii="宋体" w:hAnsi="宋体" w:cs="Times New Roman"/>
                <w:szCs w:val="21"/>
              </w:rPr>
              <w:t>2</w:t>
            </w:r>
          </w:p>
        </w:tc>
      </w:tr>
      <w:tr w14:paraId="5E331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vAlign w:val="center"/>
          </w:tcPr>
          <w:p w14:paraId="78A6583B">
            <w:pPr>
              <w:spacing w:line="264" w:lineRule="auto"/>
              <w:jc w:val="center"/>
              <w:rPr>
                <w:rFonts w:hint="eastAsia" w:ascii="宋体" w:hAnsi="宋体" w:eastAsia="宋体" w:cs="Times New Roman"/>
                <w:szCs w:val="21"/>
              </w:rPr>
            </w:pPr>
          </w:p>
        </w:tc>
        <w:tc>
          <w:tcPr>
            <w:tcW w:w="8478" w:type="dxa"/>
            <w:gridSpan w:val="7"/>
            <w:vAlign w:val="center"/>
          </w:tcPr>
          <w:p w14:paraId="2093B929">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以中国“辽阔内陆空间与复杂地形气候”孕育的独立文明基因，阐释地理环境对“多元一体”文化格局的塑造作用，培育“天人合一”生态文明观与民族文化自信</w:t>
            </w:r>
            <w:r>
              <w:rPr>
                <w:rFonts w:hint="eastAsia" w:ascii="宋体" w:hAnsi="宋体" w:cs="Times New Roman"/>
                <w:szCs w:val="21"/>
              </w:rPr>
              <w:t>；</w:t>
            </w:r>
            <w:r>
              <w:rPr>
                <w:rFonts w:hint="eastAsia" w:ascii="宋体" w:hAnsi="宋体" w:eastAsia="宋体" w:cs="Times New Roman"/>
                <w:szCs w:val="21"/>
              </w:rPr>
              <w:t>以“郡县制—行省制”演变揭示中央集权制度对多民族国家治理的支撑作用，对比古代“大一统”理念与现代“一国两制”制度优势，筑牢国家治理体系认同</w:t>
            </w:r>
            <w:r>
              <w:rPr>
                <w:rFonts w:hint="eastAsia" w:ascii="宋体" w:hAnsi="宋体" w:cs="Times New Roman"/>
                <w:szCs w:val="21"/>
              </w:rPr>
              <w:t>；</w:t>
            </w:r>
            <w:r>
              <w:rPr>
                <w:rFonts w:hint="eastAsia" w:ascii="宋体" w:hAnsi="宋体" w:eastAsia="宋体" w:cs="Times New Roman"/>
                <w:szCs w:val="21"/>
              </w:rPr>
              <w:t>结合省域命名中“山川形便”原则与民族文化符号，深化行政区划承载的“历史记忆—共同体意识”双重属性，增强国土空间文化认同‌</w:t>
            </w:r>
            <w:r>
              <w:rPr>
                <w:rFonts w:hint="eastAsia" w:ascii="宋体" w:hAnsi="宋体" w:cs="Times New Roman"/>
                <w:szCs w:val="21"/>
              </w:rPr>
              <w:t>。</w:t>
            </w:r>
          </w:p>
        </w:tc>
      </w:tr>
      <w:tr w14:paraId="3D3FA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3" w:hRule="atLeast"/>
          <w:jc w:val="center"/>
        </w:trPr>
        <w:tc>
          <w:tcPr>
            <w:tcW w:w="820" w:type="dxa"/>
            <w:vMerge w:val="restart"/>
            <w:vAlign w:val="center"/>
          </w:tcPr>
          <w:p w14:paraId="6949B386">
            <w:pPr>
              <w:spacing w:line="264" w:lineRule="auto"/>
              <w:jc w:val="center"/>
              <w:rPr>
                <w:rFonts w:hint="eastAsia" w:ascii="宋体" w:hAnsi="宋体" w:eastAsia="宋体" w:cs="Times New Roman"/>
                <w:szCs w:val="21"/>
              </w:rPr>
            </w:pPr>
            <w:r>
              <w:rPr>
                <w:rFonts w:hint="eastAsia" w:ascii="宋体" w:hAnsi="宋体" w:eastAsia="宋体" w:cs="Times New Roman"/>
                <w:szCs w:val="21"/>
              </w:rPr>
              <w:t>3.文化的发展</w:t>
            </w:r>
            <w:r>
              <w:rPr>
                <w:rFonts w:hint="eastAsia" w:ascii="宋体" w:hAnsi="宋体" w:cs="Times New Roman"/>
                <w:szCs w:val="21"/>
              </w:rPr>
              <w:t>：历史纵横</w:t>
            </w:r>
          </w:p>
        </w:tc>
        <w:tc>
          <w:tcPr>
            <w:tcW w:w="2198" w:type="dxa"/>
            <w:vAlign w:val="center"/>
          </w:tcPr>
          <w:p w14:paraId="4B790ED8">
            <w:pPr>
              <w:spacing w:line="269" w:lineRule="auto"/>
              <w:jc w:val="left"/>
              <w:rPr>
                <w:rFonts w:hint="eastAsia" w:ascii="宋体" w:hAnsi="宋体" w:cs="Times New Roman"/>
                <w:szCs w:val="21"/>
              </w:rPr>
            </w:pPr>
            <w:r>
              <w:rPr>
                <w:rFonts w:hint="eastAsia" w:ascii="宋体" w:hAnsi="宋体" w:eastAsia="宋体" w:cs="Times New Roman"/>
                <w:szCs w:val="21"/>
              </w:rPr>
              <w:t>文化的起源</w:t>
            </w:r>
            <w:r>
              <w:rPr>
                <w:rFonts w:hint="eastAsia" w:ascii="宋体" w:hAnsi="宋体" w:cs="Times New Roman"/>
                <w:szCs w:val="21"/>
              </w:rPr>
              <w:t>；</w:t>
            </w:r>
          </w:p>
          <w:p w14:paraId="7E3B5546">
            <w:pPr>
              <w:spacing w:line="269" w:lineRule="auto"/>
              <w:jc w:val="left"/>
              <w:rPr>
                <w:rFonts w:hint="eastAsia" w:ascii="宋体" w:hAnsi="宋体" w:cs="Times New Roman"/>
                <w:szCs w:val="21"/>
              </w:rPr>
            </w:pPr>
            <w:r>
              <w:rPr>
                <w:rFonts w:hint="eastAsia" w:ascii="宋体" w:hAnsi="宋体" w:cs="Times New Roman"/>
                <w:szCs w:val="21"/>
              </w:rPr>
              <w:t>三皇五帝；</w:t>
            </w:r>
          </w:p>
          <w:p w14:paraId="45435258">
            <w:pPr>
              <w:spacing w:line="269" w:lineRule="auto"/>
              <w:jc w:val="left"/>
              <w:rPr>
                <w:rFonts w:hint="eastAsia" w:ascii="宋体" w:hAnsi="宋体" w:cs="Times New Roman"/>
                <w:szCs w:val="21"/>
              </w:rPr>
            </w:pPr>
            <w:r>
              <w:rPr>
                <w:rFonts w:hint="eastAsia" w:ascii="宋体" w:hAnsi="宋体" w:cs="Times New Roman"/>
                <w:szCs w:val="21"/>
              </w:rPr>
              <w:t>中华民族远祖三大部落</w:t>
            </w:r>
          </w:p>
        </w:tc>
        <w:tc>
          <w:tcPr>
            <w:tcW w:w="1117" w:type="dxa"/>
            <w:vAlign w:val="center"/>
          </w:tcPr>
          <w:p w14:paraId="42BAD3CF">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r>
              <w:rPr>
                <w:rFonts w:hint="eastAsia" w:ascii="宋体" w:hAnsi="宋体" w:cs="Times New Roman"/>
                <w:szCs w:val="21"/>
              </w:rPr>
              <w:t>、2</w:t>
            </w:r>
          </w:p>
        </w:tc>
        <w:tc>
          <w:tcPr>
            <w:tcW w:w="3428" w:type="dxa"/>
            <w:gridSpan w:val="2"/>
            <w:vAlign w:val="center"/>
          </w:tcPr>
          <w:p w14:paraId="145C7DE0">
            <w:pPr>
              <w:numPr>
                <w:ilvl w:val="0"/>
                <w:numId w:val="57"/>
              </w:numPr>
              <w:spacing w:line="269" w:lineRule="auto"/>
              <w:jc w:val="left"/>
              <w:rPr>
                <w:rFonts w:hint="eastAsia" w:ascii="宋体" w:hAnsi="宋体" w:cs="Times New Roman"/>
                <w:szCs w:val="21"/>
              </w:rPr>
            </w:pPr>
            <w:r>
              <w:rPr>
                <w:rFonts w:hint="eastAsia" w:ascii="宋体" w:hAnsi="宋体" w:cs="Times New Roman"/>
                <w:szCs w:val="21"/>
              </w:rPr>
              <w:t>掌握中国“辽阔内陆空间与复杂地形气候”的立体格局，理解“大陆整体性”与“多元区域文化”的辩证关系‌；</w:t>
            </w:r>
          </w:p>
          <w:p w14:paraId="3B55AD67">
            <w:pPr>
              <w:numPr>
                <w:ilvl w:val="0"/>
                <w:numId w:val="57"/>
              </w:numPr>
              <w:spacing w:line="269" w:lineRule="auto"/>
              <w:jc w:val="left"/>
              <w:rPr>
                <w:rFonts w:hint="eastAsia" w:ascii="宋体" w:hAnsi="宋体" w:cs="Times New Roman"/>
                <w:szCs w:val="21"/>
              </w:rPr>
            </w:pPr>
            <w:r>
              <w:rPr>
                <w:rFonts w:ascii="宋体" w:hAnsi="宋体" w:cs="Times New Roman"/>
                <w:szCs w:val="21"/>
              </w:rPr>
              <w:t>形成“天人合一”的生态文明观，理解“山河”“江山”等文化符号对民族心理的深层影响</w:t>
            </w:r>
            <w:r>
              <w:rPr>
                <w:rFonts w:hint="eastAsia" w:ascii="宋体" w:hAnsi="宋体" w:cs="Times New Roman"/>
                <w:szCs w:val="21"/>
              </w:rPr>
              <w:t>；</w:t>
            </w:r>
          </w:p>
          <w:p w14:paraId="60EA16A4">
            <w:pPr>
              <w:numPr>
                <w:ilvl w:val="0"/>
                <w:numId w:val="57"/>
              </w:numPr>
              <w:spacing w:line="269" w:lineRule="auto"/>
              <w:jc w:val="left"/>
              <w:rPr>
                <w:rFonts w:hint="eastAsia" w:ascii="宋体" w:hAnsi="宋体" w:cs="Times New Roman"/>
                <w:szCs w:val="21"/>
              </w:rPr>
            </w:pPr>
            <w:r>
              <w:rPr>
                <w:rFonts w:ascii="宋体" w:hAnsi="宋体" w:cs="Times New Roman"/>
                <w:szCs w:val="21"/>
              </w:rPr>
              <w:t>梳理从“郡县制（秦汉）—州制（魏晋）—道/路制（唐宋）—行省制（元明清）”的演变逻辑，理解中央集权与地方治理的平衡机制‌</w:t>
            </w:r>
            <w:r>
              <w:rPr>
                <w:rFonts w:hint="eastAsia" w:ascii="宋体" w:hAnsi="宋体" w:cs="Times New Roman"/>
                <w:szCs w:val="21"/>
              </w:rPr>
              <w:t>。</w:t>
            </w:r>
          </w:p>
        </w:tc>
        <w:tc>
          <w:tcPr>
            <w:tcW w:w="1320" w:type="dxa"/>
            <w:gridSpan w:val="2"/>
            <w:vAlign w:val="center"/>
          </w:tcPr>
          <w:p w14:paraId="0F7383B2">
            <w:pPr>
              <w:spacing w:line="269" w:lineRule="auto"/>
              <w:jc w:val="left"/>
              <w:rPr>
                <w:rFonts w:hint="eastAsia" w:ascii="宋体" w:hAnsi="宋体" w:eastAsia="宋体" w:cs="Times New Roman"/>
                <w:szCs w:val="21"/>
              </w:rPr>
            </w:pPr>
            <w:r>
              <w:rPr>
                <w:rFonts w:hint="eastAsia" w:ascii="宋体" w:hAnsi="宋体" w:eastAsia="宋体" w:cs="Times New Roman"/>
                <w:szCs w:val="21"/>
              </w:rPr>
              <w:t>1.课堂讲授</w:t>
            </w:r>
          </w:p>
          <w:p w14:paraId="5D900FA4">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2.多媒体演示</w:t>
            </w:r>
          </w:p>
          <w:p w14:paraId="7AB4E775">
            <w:pPr>
              <w:spacing w:line="269"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09206E64">
            <w:pPr>
              <w:spacing w:line="269"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15" w:type="dxa"/>
            <w:vAlign w:val="center"/>
          </w:tcPr>
          <w:p w14:paraId="3C37A19C">
            <w:pPr>
              <w:spacing w:line="269" w:lineRule="auto"/>
              <w:jc w:val="center"/>
              <w:rPr>
                <w:rFonts w:hint="eastAsia" w:ascii="宋体" w:hAnsi="宋体" w:eastAsia="宋体" w:cs="Times New Roman"/>
                <w:szCs w:val="21"/>
              </w:rPr>
            </w:pPr>
            <w:r>
              <w:rPr>
                <w:rFonts w:hint="eastAsia" w:ascii="宋体" w:hAnsi="宋体" w:cs="Times New Roman"/>
                <w:szCs w:val="21"/>
              </w:rPr>
              <w:t>2</w:t>
            </w:r>
          </w:p>
        </w:tc>
      </w:tr>
      <w:tr w14:paraId="2B09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vAlign w:val="center"/>
          </w:tcPr>
          <w:p w14:paraId="4E39A7BD">
            <w:pPr>
              <w:spacing w:line="264" w:lineRule="auto"/>
              <w:jc w:val="center"/>
              <w:rPr>
                <w:rFonts w:hint="eastAsia" w:ascii="宋体" w:hAnsi="宋体" w:eastAsia="宋体" w:cs="Times New Roman"/>
                <w:szCs w:val="21"/>
              </w:rPr>
            </w:pPr>
          </w:p>
        </w:tc>
        <w:tc>
          <w:tcPr>
            <w:tcW w:w="8478" w:type="dxa"/>
            <w:gridSpan w:val="7"/>
            <w:vAlign w:val="center"/>
          </w:tcPr>
          <w:p w14:paraId="14E4DD46">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了解中国历史的发展规律和各个王朝的兴衰原因，有助于学生树立正确的人生观和历史观，认识到国家兴亡、民族盛衰是历史必然性，从而培养正确的价值观和社会责任感，更加珍惜当下的和平繁荣</w:t>
            </w:r>
            <w:r>
              <w:rPr>
                <w:rFonts w:hint="eastAsia" w:ascii="宋体" w:hAnsi="宋体" w:cs="Times New Roman"/>
                <w:szCs w:val="21"/>
              </w:rPr>
              <w:t>；强</w:t>
            </w:r>
            <w:r>
              <w:rPr>
                <w:rFonts w:hint="eastAsia" w:ascii="宋体" w:hAnsi="宋体" w:eastAsia="宋体" w:cs="Times New Roman"/>
                <w:szCs w:val="21"/>
              </w:rPr>
              <w:t>化学生对“文明根脉”的理论自信与文化归属感‌</w:t>
            </w:r>
            <w:r>
              <w:rPr>
                <w:rFonts w:hint="eastAsia" w:ascii="宋体" w:hAnsi="宋体" w:cs="Times New Roman"/>
                <w:szCs w:val="21"/>
              </w:rPr>
              <w:t>，</w:t>
            </w:r>
            <w:r>
              <w:rPr>
                <w:rFonts w:ascii="Arial" w:hAnsi="Arial" w:eastAsia="Arial" w:cs="Arial"/>
                <w:szCs w:val="21"/>
                <w:shd w:val="clear" w:color="auto" w:fill="FFFFFF"/>
              </w:rPr>
              <w:t>弘扬“创新进取”“厚德载物”的民族精神，激发学生对中华先民智慧的自豪感‌</w:t>
            </w:r>
            <w:r>
              <w:rPr>
                <w:rFonts w:hint="eastAsia" w:ascii="Arial" w:hAnsi="Arial" w:cs="Arial"/>
                <w:szCs w:val="21"/>
                <w:shd w:val="clear" w:color="auto" w:fill="FFFFFF"/>
              </w:rPr>
              <w:t>，</w:t>
            </w:r>
            <w:r>
              <w:rPr>
                <w:rFonts w:ascii="Arial" w:hAnsi="Arial" w:eastAsia="Arial" w:cs="Arial"/>
                <w:szCs w:val="21"/>
                <w:shd w:val="clear" w:color="auto" w:fill="FFFFFF"/>
              </w:rPr>
              <w:t>倡导以包容性思维看待当代民族关系</w:t>
            </w:r>
            <w:r>
              <w:rPr>
                <w:rFonts w:hint="eastAsia" w:ascii="Arial" w:hAnsi="Arial" w:cs="Arial"/>
                <w:szCs w:val="21"/>
                <w:shd w:val="clear" w:color="auto" w:fill="FFFFFF"/>
              </w:rPr>
              <w:t>。</w:t>
            </w:r>
            <w:r>
              <w:rPr>
                <w:rFonts w:ascii="Arial" w:hAnsi="Arial" w:eastAsia="Arial" w:cs="Arial"/>
                <w:szCs w:val="21"/>
                <w:shd w:val="clear" w:color="auto" w:fill="FFFFFF"/>
              </w:rPr>
              <w:t>‌</w:t>
            </w:r>
          </w:p>
        </w:tc>
      </w:tr>
      <w:tr w14:paraId="5A53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restart"/>
            <w:vAlign w:val="center"/>
          </w:tcPr>
          <w:p w14:paraId="244919F5">
            <w:pPr>
              <w:spacing w:line="276" w:lineRule="auto"/>
              <w:jc w:val="center"/>
              <w:rPr>
                <w:rFonts w:hint="eastAsia" w:ascii="宋体" w:hAnsi="宋体" w:eastAsia="宋体" w:cs="Times New Roman"/>
                <w:szCs w:val="21"/>
              </w:rPr>
            </w:pPr>
            <w:r>
              <w:rPr>
                <w:rFonts w:hint="eastAsia" w:ascii="宋体" w:hAnsi="宋体" w:cs="Times New Roman"/>
                <w:szCs w:val="21"/>
              </w:rPr>
              <w:t>4</w:t>
            </w:r>
            <w:r>
              <w:rPr>
                <w:rFonts w:hint="eastAsia" w:ascii="宋体" w:hAnsi="宋体" w:eastAsia="宋体" w:cs="Times New Roman"/>
                <w:szCs w:val="21"/>
              </w:rPr>
              <w:t>.</w:t>
            </w:r>
            <w:r>
              <w:rPr>
                <w:rFonts w:hint="eastAsia" w:ascii="宋体" w:hAnsi="宋体" w:cs="Times New Roman"/>
                <w:szCs w:val="21"/>
              </w:rPr>
              <w:t>汉字</w:t>
            </w:r>
          </w:p>
        </w:tc>
        <w:tc>
          <w:tcPr>
            <w:tcW w:w="2198" w:type="dxa"/>
            <w:vAlign w:val="center"/>
          </w:tcPr>
          <w:p w14:paraId="237590B7">
            <w:pPr>
              <w:spacing w:line="276" w:lineRule="auto"/>
              <w:jc w:val="left"/>
              <w:rPr>
                <w:rFonts w:hint="eastAsia" w:ascii="宋体" w:hAnsi="宋体" w:eastAsia="宋体" w:cs="Times New Roman"/>
                <w:szCs w:val="21"/>
              </w:rPr>
            </w:pPr>
            <w:r>
              <w:rPr>
                <w:rFonts w:hint="eastAsia" w:ascii="宋体" w:hAnsi="宋体" w:eastAsia="宋体" w:cs="Times New Roman"/>
                <w:szCs w:val="21"/>
              </w:rPr>
              <w:t>汉字的产生</w:t>
            </w:r>
          </w:p>
          <w:p w14:paraId="703D859C">
            <w:pPr>
              <w:spacing w:line="276" w:lineRule="auto"/>
              <w:jc w:val="left"/>
              <w:rPr>
                <w:rFonts w:hint="eastAsia" w:ascii="宋体" w:hAnsi="宋体" w:eastAsia="宋体" w:cs="Times New Roman"/>
                <w:szCs w:val="21"/>
              </w:rPr>
            </w:pPr>
            <w:r>
              <w:rPr>
                <w:rFonts w:hint="eastAsia" w:ascii="宋体" w:hAnsi="宋体" w:eastAsia="宋体" w:cs="Times New Roman"/>
                <w:szCs w:val="21"/>
              </w:rPr>
              <w:t>汉字的发展</w:t>
            </w:r>
          </w:p>
          <w:p w14:paraId="033B964E">
            <w:pPr>
              <w:spacing w:line="276" w:lineRule="auto"/>
              <w:jc w:val="left"/>
              <w:rPr>
                <w:szCs w:val="21"/>
              </w:rPr>
            </w:pPr>
            <w:r>
              <w:rPr>
                <w:rFonts w:hint="eastAsia"/>
                <w:szCs w:val="21"/>
              </w:rPr>
              <w:t>汉字结构——六书</w:t>
            </w:r>
          </w:p>
          <w:p w14:paraId="2001DFB7">
            <w:pPr>
              <w:spacing w:line="276" w:lineRule="auto"/>
              <w:jc w:val="left"/>
              <w:rPr>
                <w:szCs w:val="21"/>
              </w:rPr>
            </w:pPr>
            <w:r>
              <w:rPr>
                <w:rFonts w:hint="eastAsia"/>
                <w:szCs w:val="21"/>
              </w:rPr>
              <w:t>汉字结构的基本精神</w:t>
            </w:r>
          </w:p>
        </w:tc>
        <w:tc>
          <w:tcPr>
            <w:tcW w:w="1117" w:type="dxa"/>
            <w:vAlign w:val="center"/>
          </w:tcPr>
          <w:p w14:paraId="02F03DDD">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r>
              <w:rPr>
                <w:rFonts w:hint="eastAsia" w:ascii="宋体" w:hAnsi="宋体" w:cs="Times New Roman"/>
                <w:szCs w:val="21"/>
              </w:rPr>
              <w:t>、2</w:t>
            </w:r>
          </w:p>
        </w:tc>
        <w:tc>
          <w:tcPr>
            <w:tcW w:w="3428" w:type="dxa"/>
            <w:gridSpan w:val="2"/>
            <w:vAlign w:val="center"/>
          </w:tcPr>
          <w:p w14:paraId="5581EB40">
            <w:pPr>
              <w:numPr>
                <w:ilvl w:val="0"/>
                <w:numId w:val="58"/>
              </w:numPr>
              <w:spacing w:line="276" w:lineRule="auto"/>
              <w:jc w:val="left"/>
              <w:rPr>
                <w:rFonts w:hint="eastAsia" w:ascii="宋体" w:hAnsi="宋体" w:cs="Times New Roman"/>
                <w:szCs w:val="21"/>
              </w:rPr>
            </w:pPr>
            <w:r>
              <w:rPr>
                <w:rFonts w:hint="eastAsia" w:ascii="宋体" w:hAnsi="宋体" w:cs="Times New Roman"/>
                <w:szCs w:val="21"/>
              </w:rPr>
              <w:t>掌握汉字从原始图画符号到系统文字的生成逻辑，理解隶书“变曲为直”的转折意义及楷书定型对文化传承的基石作用‌；</w:t>
            </w:r>
          </w:p>
          <w:p w14:paraId="742AD748">
            <w:pPr>
              <w:spacing w:line="276" w:lineRule="auto"/>
              <w:jc w:val="left"/>
              <w:rPr>
                <w:rFonts w:hint="eastAsia" w:ascii="宋体" w:hAnsi="宋体" w:eastAsia="宋体" w:cs="Times New Roman"/>
                <w:szCs w:val="21"/>
              </w:rPr>
            </w:pPr>
            <w:r>
              <w:rPr>
                <w:rFonts w:hint="eastAsia" w:ascii="宋体" w:hAnsi="宋体" w:cs="Times New Roman"/>
                <w:szCs w:val="21"/>
              </w:rPr>
              <w:t>2.通过“六书”理论掌握汉字形音义关联规律，重点认知形声字占80%的构字优势及其对汉字扩容的驱动价值；</w:t>
            </w:r>
          </w:p>
          <w:p w14:paraId="2A91DE9E">
            <w:pPr>
              <w:spacing w:line="276" w:lineRule="auto"/>
              <w:jc w:val="left"/>
              <w:rPr>
                <w:rFonts w:hint="eastAsia" w:ascii="宋体" w:hAnsi="宋体" w:eastAsia="宋体" w:cs="Times New Roman"/>
                <w:szCs w:val="21"/>
              </w:rPr>
            </w:pPr>
            <w:r>
              <w:rPr>
                <w:rFonts w:hint="eastAsia" w:ascii="宋体" w:hAnsi="宋体" w:cs="Times New Roman"/>
                <w:szCs w:val="21"/>
              </w:rPr>
              <w:t>3.从“书画同源”的审美基因到“由繁趋简”的实用理性，领悟汉字“形意共生”的思维特质及其对中华文明连续性、统一性的深层支撑‌‌</w:t>
            </w:r>
          </w:p>
        </w:tc>
        <w:tc>
          <w:tcPr>
            <w:tcW w:w="1320" w:type="dxa"/>
            <w:gridSpan w:val="2"/>
            <w:vAlign w:val="center"/>
          </w:tcPr>
          <w:p w14:paraId="391617CF">
            <w:pPr>
              <w:spacing w:line="276" w:lineRule="auto"/>
              <w:jc w:val="left"/>
              <w:rPr>
                <w:rFonts w:hint="eastAsia" w:ascii="宋体" w:hAnsi="宋体" w:eastAsia="宋体" w:cs="Times New Roman"/>
                <w:szCs w:val="21"/>
              </w:rPr>
            </w:pPr>
            <w:r>
              <w:rPr>
                <w:rFonts w:hint="eastAsia" w:ascii="宋体" w:hAnsi="宋体" w:eastAsia="宋体" w:cs="Times New Roman"/>
                <w:szCs w:val="21"/>
              </w:rPr>
              <w:t>1.课堂讲授</w:t>
            </w:r>
          </w:p>
          <w:p w14:paraId="1F9C33D2">
            <w:pPr>
              <w:spacing w:line="276" w:lineRule="auto"/>
              <w:jc w:val="left"/>
              <w:rPr>
                <w:rFonts w:hint="eastAsia" w:ascii="宋体" w:hAnsi="宋体" w:eastAsia="宋体" w:cs="Times New Roman"/>
                <w:szCs w:val="21"/>
              </w:rPr>
            </w:pPr>
            <w:r>
              <w:rPr>
                <w:rFonts w:hint="eastAsia" w:ascii="宋体" w:hAnsi="宋体" w:eastAsia="宋体" w:cs="Times New Roman"/>
                <w:szCs w:val="21"/>
              </w:rPr>
              <w:t>2.多媒体演示</w:t>
            </w:r>
          </w:p>
          <w:p w14:paraId="467CCE0A">
            <w:pPr>
              <w:spacing w:line="276"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3CF92BCD">
            <w:pPr>
              <w:spacing w:line="276"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15" w:type="dxa"/>
            <w:vAlign w:val="center"/>
          </w:tcPr>
          <w:p w14:paraId="3E122CF7">
            <w:pPr>
              <w:spacing w:line="276" w:lineRule="auto"/>
              <w:jc w:val="center"/>
              <w:rPr>
                <w:rFonts w:hint="eastAsia" w:ascii="宋体" w:hAnsi="宋体" w:eastAsia="宋体" w:cs="Times New Roman"/>
                <w:szCs w:val="21"/>
              </w:rPr>
            </w:pPr>
            <w:r>
              <w:rPr>
                <w:rFonts w:hint="eastAsia" w:ascii="宋体" w:hAnsi="宋体" w:cs="Times New Roman"/>
                <w:szCs w:val="21"/>
              </w:rPr>
              <w:t>2</w:t>
            </w:r>
          </w:p>
        </w:tc>
      </w:tr>
      <w:tr w14:paraId="7094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vAlign w:val="center"/>
          </w:tcPr>
          <w:p w14:paraId="5F415707">
            <w:pPr>
              <w:spacing w:line="276" w:lineRule="auto"/>
              <w:jc w:val="center"/>
              <w:rPr>
                <w:rFonts w:hint="eastAsia" w:ascii="宋体" w:hAnsi="宋体" w:eastAsia="宋体" w:cs="Times New Roman"/>
                <w:szCs w:val="21"/>
              </w:rPr>
            </w:pPr>
          </w:p>
        </w:tc>
        <w:tc>
          <w:tcPr>
            <w:tcW w:w="8478" w:type="dxa"/>
            <w:gridSpan w:val="7"/>
            <w:vAlign w:val="center"/>
          </w:tcPr>
          <w:p w14:paraId="68B48666">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Arial" w:hAnsi="Arial" w:eastAsia="Arial" w:cs="Arial"/>
                <w:szCs w:val="21"/>
                <w:shd w:val="clear" w:color="auto" w:fill="FFFFFF"/>
              </w:rPr>
              <w:t>揭示中华文明“未曾中断”的独特性，增强学生对民族文化根基的自信与归属感‌</w:t>
            </w:r>
            <w:r>
              <w:rPr>
                <w:rFonts w:hint="eastAsia" w:ascii="Arial" w:hAnsi="Arial" w:cs="Arial"/>
                <w:szCs w:val="21"/>
                <w:shd w:val="clear" w:color="auto" w:fill="FFFFFF"/>
              </w:rPr>
              <w:t>；通过汉字演变（甲骨文→金文→篆书→隶书→楷书）展现中国古代社会治理能力的提升，引导学生理解统一文字对多民族国家形成的推动作用，强化对中国特色社会主义制度历史根基的认同。分析汉字在东亚文化圈（如日本、韩国汉字使用）的传播史，揭示中华文明“和而不同”的辐射力，增强文明互鉴意识‌。</w:t>
            </w:r>
          </w:p>
        </w:tc>
      </w:tr>
      <w:tr w14:paraId="3CFC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820" w:type="dxa"/>
            <w:vMerge w:val="restart"/>
            <w:vAlign w:val="center"/>
          </w:tcPr>
          <w:p w14:paraId="1D9F337F">
            <w:pPr>
              <w:spacing w:line="276" w:lineRule="auto"/>
              <w:jc w:val="center"/>
              <w:rPr>
                <w:rFonts w:hint="eastAsia" w:ascii="宋体" w:hAnsi="宋体" w:eastAsia="宋体" w:cs="Times New Roman"/>
                <w:szCs w:val="21"/>
              </w:rPr>
            </w:pPr>
            <w:r>
              <w:rPr>
                <w:rFonts w:hint="eastAsia" w:ascii="宋体" w:hAnsi="宋体" w:cs="Times New Roman"/>
                <w:szCs w:val="21"/>
              </w:rPr>
              <w:t>5</w:t>
            </w:r>
            <w:r>
              <w:rPr>
                <w:rFonts w:hint="eastAsia" w:ascii="宋体" w:hAnsi="宋体" w:eastAsia="宋体" w:cs="Times New Roman"/>
                <w:szCs w:val="21"/>
              </w:rPr>
              <w:t>.姓氏与名、字、号</w:t>
            </w:r>
          </w:p>
          <w:p w14:paraId="7F875019">
            <w:pPr>
              <w:spacing w:line="276" w:lineRule="auto"/>
              <w:jc w:val="center"/>
              <w:rPr>
                <w:rFonts w:hint="eastAsia" w:ascii="宋体" w:hAnsi="宋体" w:eastAsia="宋体" w:cs="Times New Roman"/>
                <w:szCs w:val="21"/>
              </w:rPr>
            </w:pPr>
          </w:p>
        </w:tc>
        <w:tc>
          <w:tcPr>
            <w:tcW w:w="2198" w:type="dxa"/>
            <w:vAlign w:val="center"/>
          </w:tcPr>
          <w:p w14:paraId="0518BB6F">
            <w:pPr>
              <w:spacing w:line="276" w:lineRule="auto"/>
              <w:jc w:val="left"/>
              <w:rPr>
                <w:rFonts w:hint="eastAsia" w:ascii="宋体" w:hAnsi="宋体" w:cs="Times New Roman"/>
                <w:szCs w:val="21"/>
              </w:rPr>
            </w:pPr>
            <w:r>
              <w:rPr>
                <w:rFonts w:hint="eastAsia" w:ascii="宋体" w:hAnsi="宋体" w:cs="Times New Roman"/>
                <w:szCs w:val="21"/>
              </w:rPr>
              <w:t>姓氏的产生与发展</w:t>
            </w:r>
          </w:p>
          <w:p w14:paraId="20DB379D">
            <w:pPr>
              <w:spacing w:line="276" w:lineRule="auto"/>
              <w:jc w:val="left"/>
              <w:rPr>
                <w:rFonts w:hint="eastAsia" w:ascii="宋体" w:hAnsi="宋体" w:cs="Times New Roman"/>
                <w:szCs w:val="21"/>
              </w:rPr>
            </w:pPr>
            <w:r>
              <w:rPr>
                <w:rFonts w:ascii="宋体" w:hAnsi="宋体" w:cs="Times New Roman"/>
                <w:szCs w:val="21"/>
              </w:rPr>
              <w:t>姓氏的主要来源</w:t>
            </w:r>
          </w:p>
          <w:p w14:paraId="14F154E9">
            <w:pPr>
              <w:spacing w:line="276" w:lineRule="auto"/>
              <w:jc w:val="left"/>
              <w:rPr>
                <w:szCs w:val="21"/>
              </w:rPr>
            </w:pPr>
            <w:r>
              <w:rPr>
                <w:rFonts w:hint="eastAsia"/>
                <w:szCs w:val="21"/>
              </w:rPr>
              <w:t>古代望族和大姓</w:t>
            </w:r>
          </w:p>
          <w:p w14:paraId="09531E14">
            <w:pPr>
              <w:spacing w:line="276" w:lineRule="auto"/>
              <w:jc w:val="left"/>
              <w:rPr>
                <w:szCs w:val="21"/>
              </w:rPr>
            </w:pPr>
            <w:r>
              <w:rPr>
                <w:rFonts w:hint="eastAsia"/>
                <w:szCs w:val="21"/>
              </w:rPr>
              <w:t>混杂的姓氏以及数量</w:t>
            </w:r>
          </w:p>
          <w:p w14:paraId="54B597EB">
            <w:pPr>
              <w:spacing w:line="276" w:lineRule="auto"/>
              <w:jc w:val="left"/>
              <w:rPr>
                <w:rFonts w:hint="eastAsia" w:ascii="宋体" w:hAnsi="宋体" w:eastAsia="宋体" w:cs="Times New Roman"/>
                <w:b/>
                <w:szCs w:val="21"/>
              </w:rPr>
            </w:pPr>
            <w:r>
              <w:rPr>
                <w:rFonts w:hint="eastAsia"/>
                <w:szCs w:val="21"/>
              </w:rPr>
              <w:t>中国人的名、字与号</w:t>
            </w:r>
          </w:p>
        </w:tc>
        <w:tc>
          <w:tcPr>
            <w:tcW w:w="1117" w:type="dxa"/>
            <w:vAlign w:val="center"/>
          </w:tcPr>
          <w:p w14:paraId="5591E41E">
            <w:pPr>
              <w:spacing w:line="269" w:lineRule="auto"/>
              <w:jc w:val="center"/>
              <w:rPr>
                <w:rFonts w:hint="eastAsia" w:ascii="宋体" w:hAnsi="宋体" w:eastAsia="宋体" w:cs="Times New Roman"/>
                <w:b/>
                <w:szCs w:val="21"/>
              </w:rPr>
            </w:pPr>
            <w:r>
              <w:rPr>
                <w:rFonts w:hint="eastAsia" w:ascii="宋体" w:hAnsi="宋体" w:eastAsia="宋体" w:cs="Times New Roman"/>
                <w:szCs w:val="21"/>
              </w:rPr>
              <w:t>课程目标1</w:t>
            </w:r>
            <w:r>
              <w:rPr>
                <w:rFonts w:hint="eastAsia" w:ascii="宋体" w:hAnsi="宋体" w:cs="Times New Roman"/>
                <w:szCs w:val="21"/>
              </w:rPr>
              <w:t>、2</w:t>
            </w:r>
          </w:p>
        </w:tc>
        <w:tc>
          <w:tcPr>
            <w:tcW w:w="3428" w:type="dxa"/>
            <w:gridSpan w:val="2"/>
            <w:vAlign w:val="center"/>
          </w:tcPr>
          <w:p w14:paraId="58E93341">
            <w:pPr>
              <w:spacing w:line="276" w:lineRule="auto"/>
              <w:jc w:val="left"/>
              <w:rPr>
                <w:rFonts w:hint="eastAsia" w:ascii="宋体" w:hAnsi="宋体" w:cs="Times New Roman"/>
                <w:szCs w:val="21"/>
              </w:rPr>
            </w:pPr>
            <w:r>
              <w:rPr>
                <w:rFonts w:hint="eastAsia" w:ascii="宋体" w:hAnsi="宋体" w:cs="Times New Roman"/>
                <w:szCs w:val="21"/>
              </w:rPr>
              <w:t>1.</w:t>
            </w:r>
            <w:r>
              <w:rPr>
                <w:rFonts w:hint="eastAsia" w:ascii="宋体" w:hAnsi="宋体" w:eastAsia="宋体" w:cs="Times New Roman"/>
                <w:szCs w:val="21"/>
              </w:rPr>
              <w:t>理解姓氏从母系氏族“姬”“姜”符号到周代“姓别婚姻、氏分贵贱”的演变脉络，掌握封地</w:t>
            </w:r>
            <w:r>
              <w:rPr>
                <w:rFonts w:hint="eastAsia" w:ascii="宋体" w:hAnsi="宋体" w:cs="Times New Roman"/>
                <w:szCs w:val="21"/>
              </w:rPr>
              <w:t>、</w:t>
            </w:r>
            <w:r>
              <w:rPr>
                <w:rFonts w:hint="eastAsia" w:ascii="宋体" w:hAnsi="宋体" w:eastAsia="宋体" w:cs="Times New Roman"/>
                <w:szCs w:val="21"/>
              </w:rPr>
              <w:t>职业、民族融合等姓氏来源的核心逻辑</w:t>
            </w:r>
            <w:r>
              <w:rPr>
                <w:rFonts w:hint="eastAsia" w:ascii="宋体" w:hAnsi="宋体" w:cs="Times New Roman"/>
                <w:szCs w:val="21"/>
              </w:rPr>
              <w:t>；</w:t>
            </w:r>
          </w:p>
          <w:p w14:paraId="05603516">
            <w:pPr>
              <w:spacing w:line="276" w:lineRule="auto"/>
              <w:jc w:val="left"/>
              <w:rPr>
                <w:rFonts w:hint="eastAsia" w:ascii="宋体" w:hAnsi="宋体" w:eastAsia="宋体" w:cs="Times New Roman"/>
                <w:szCs w:val="21"/>
              </w:rPr>
            </w:pPr>
            <w:r>
              <w:rPr>
                <w:rFonts w:hint="eastAsia" w:ascii="宋体" w:hAnsi="宋体" w:cs="Times New Roman"/>
                <w:szCs w:val="21"/>
              </w:rPr>
              <w:t>2.熟悉</w:t>
            </w:r>
            <w:r>
              <w:rPr>
                <w:rFonts w:hint="eastAsia" w:ascii="宋体" w:hAnsi="宋体" w:eastAsia="宋体" w:cs="Times New Roman"/>
                <w:szCs w:val="21"/>
              </w:rPr>
              <w:t>魏晋门阀“王谢袁萧”与唐代大姓“李王张”背后的社会等级制度，辨析古代姓氏数量剧增与复姓、生僻姓的文化承载功能‌</w:t>
            </w:r>
            <w:r>
              <w:rPr>
                <w:rFonts w:hint="eastAsia" w:ascii="宋体" w:hAnsi="宋体" w:cs="Times New Roman"/>
                <w:szCs w:val="21"/>
              </w:rPr>
              <w:t>；</w:t>
            </w:r>
          </w:p>
          <w:p w14:paraId="56E132C1">
            <w:pPr>
              <w:spacing w:line="276" w:lineRule="auto"/>
              <w:jc w:val="left"/>
              <w:rPr>
                <w:rFonts w:hint="eastAsia" w:ascii="宋体" w:hAnsi="宋体" w:eastAsia="宋体" w:cs="Times New Roman"/>
                <w:b/>
                <w:szCs w:val="21"/>
              </w:rPr>
            </w:pPr>
            <w:r>
              <w:rPr>
                <w:rFonts w:hint="eastAsia" w:ascii="宋体" w:hAnsi="宋体" w:cs="Times New Roman"/>
                <w:szCs w:val="21"/>
              </w:rPr>
              <w:t>3.</w:t>
            </w:r>
            <w:r>
              <w:rPr>
                <w:rFonts w:hint="eastAsia" w:ascii="宋体" w:hAnsi="宋体" w:eastAsia="宋体" w:cs="Times New Roman"/>
                <w:szCs w:val="21"/>
              </w:rPr>
              <w:t>通过“名定家族期许”“字显社交礼仪”“号寓精神追求”的实践分析，构建对中华文化伦理观、审美观及身份认同的深层理解</w:t>
            </w:r>
            <w:r>
              <w:rPr>
                <w:rFonts w:hint="eastAsia" w:ascii="宋体" w:hAnsi="宋体" w:cs="Times New Roman"/>
                <w:szCs w:val="21"/>
              </w:rPr>
              <w:t>。</w:t>
            </w:r>
          </w:p>
        </w:tc>
        <w:tc>
          <w:tcPr>
            <w:tcW w:w="1320" w:type="dxa"/>
            <w:gridSpan w:val="2"/>
            <w:vAlign w:val="center"/>
          </w:tcPr>
          <w:p w14:paraId="186504EF">
            <w:pPr>
              <w:spacing w:line="276" w:lineRule="auto"/>
              <w:jc w:val="left"/>
              <w:rPr>
                <w:rFonts w:hint="eastAsia" w:ascii="宋体" w:hAnsi="宋体" w:eastAsia="宋体" w:cs="Times New Roman"/>
                <w:szCs w:val="21"/>
              </w:rPr>
            </w:pPr>
            <w:r>
              <w:rPr>
                <w:rFonts w:hint="eastAsia" w:ascii="宋体" w:hAnsi="宋体" w:eastAsia="宋体" w:cs="Times New Roman"/>
                <w:szCs w:val="21"/>
              </w:rPr>
              <w:t>1.课堂讲授</w:t>
            </w:r>
          </w:p>
          <w:p w14:paraId="767B1119">
            <w:pPr>
              <w:spacing w:line="276" w:lineRule="auto"/>
              <w:jc w:val="left"/>
              <w:rPr>
                <w:rFonts w:hint="eastAsia" w:ascii="宋体" w:hAnsi="宋体" w:eastAsia="宋体" w:cs="Times New Roman"/>
                <w:szCs w:val="21"/>
              </w:rPr>
            </w:pPr>
            <w:r>
              <w:rPr>
                <w:rFonts w:hint="eastAsia" w:ascii="宋体" w:hAnsi="宋体" w:eastAsia="宋体" w:cs="Times New Roman"/>
                <w:szCs w:val="21"/>
              </w:rPr>
              <w:t>2.多媒体演示</w:t>
            </w:r>
          </w:p>
          <w:p w14:paraId="6A4BE8D6">
            <w:pPr>
              <w:spacing w:line="276"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7D304436">
            <w:pPr>
              <w:spacing w:line="276" w:lineRule="auto"/>
              <w:jc w:val="left"/>
              <w:rPr>
                <w:rFonts w:hint="eastAsia" w:ascii="宋体" w:hAnsi="宋体" w:eastAsia="宋体" w:cs="Times New Roman"/>
                <w:b/>
                <w:szCs w:val="21"/>
              </w:rPr>
            </w:pPr>
            <w:r>
              <w:rPr>
                <w:rFonts w:hint="eastAsia" w:ascii="宋体" w:hAnsi="宋体" w:eastAsia="宋体" w:cs="Times New Roman"/>
                <w:szCs w:val="21"/>
              </w:rPr>
              <w:t>4.单元测验</w:t>
            </w:r>
          </w:p>
        </w:tc>
        <w:tc>
          <w:tcPr>
            <w:tcW w:w="415" w:type="dxa"/>
            <w:vAlign w:val="center"/>
          </w:tcPr>
          <w:p w14:paraId="3FB5D017">
            <w:pPr>
              <w:spacing w:line="276" w:lineRule="auto"/>
              <w:jc w:val="left"/>
              <w:rPr>
                <w:rFonts w:hint="eastAsia" w:ascii="宋体" w:hAnsi="宋体" w:eastAsia="宋体" w:cs="Times New Roman"/>
                <w:szCs w:val="21"/>
              </w:rPr>
            </w:pPr>
            <w:r>
              <w:rPr>
                <w:rFonts w:hint="eastAsia" w:ascii="宋体" w:hAnsi="宋体" w:cs="Times New Roman"/>
                <w:szCs w:val="21"/>
              </w:rPr>
              <w:t>2</w:t>
            </w:r>
          </w:p>
        </w:tc>
      </w:tr>
      <w:tr w14:paraId="55D1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20" w:type="dxa"/>
            <w:vMerge w:val="continue"/>
            <w:vAlign w:val="center"/>
          </w:tcPr>
          <w:p w14:paraId="4C673286">
            <w:pPr>
              <w:spacing w:line="276" w:lineRule="auto"/>
              <w:jc w:val="center"/>
              <w:rPr>
                <w:rFonts w:hint="eastAsia" w:ascii="宋体" w:hAnsi="宋体" w:eastAsia="宋体" w:cs="Times New Roman"/>
                <w:szCs w:val="21"/>
              </w:rPr>
            </w:pPr>
          </w:p>
        </w:tc>
        <w:tc>
          <w:tcPr>
            <w:tcW w:w="8478" w:type="dxa"/>
            <w:gridSpan w:val="7"/>
            <w:vAlign w:val="center"/>
          </w:tcPr>
          <w:p w14:paraId="2E0A2243">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强化历史连续性认知与文化认同</w:t>
            </w:r>
            <w:r>
              <w:rPr>
                <w:rFonts w:hint="eastAsia" w:ascii="宋体" w:hAnsi="宋体" w:cs="Times New Roman"/>
                <w:bCs/>
                <w:szCs w:val="21"/>
              </w:rPr>
              <w:t>，</w:t>
            </w:r>
            <w:r>
              <w:rPr>
                <w:rStyle w:val="14"/>
                <w:rFonts w:ascii="Arial" w:hAnsi="Arial" w:eastAsia="Arial" w:cs="Arial"/>
                <w:b w:val="0"/>
                <w:szCs w:val="21"/>
                <w:shd w:val="clear" w:color="auto" w:fill="FFFFFF"/>
              </w:rPr>
              <w:t>深化多元一体的民族观</w:t>
            </w:r>
            <w:r>
              <w:rPr>
                <w:rStyle w:val="14"/>
                <w:rFonts w:hint="eastAsia" w:ascii="Arial" w:hAnsi="Arial" w:cs="Arial"/>
                <w:b w:val="0"/>
                <w:szCs w:val="21"/>
                <w:shd w:val="clear" w:color="auto" w:fill="FFFFFF"/>
              </w:rPr>
              <w:t>，</w:t>
            </w:r>
            <w:r>
              <w:rPr>
                <w:rStyle w:val="14"/>
                <w:rFonts w:ascii="Arial" w:hAnsi="Arial" w:eastAsia="Arial" w:cs="Arial"/>
                <w:b w:val="0"/>
                <w:szCs w:val="21"/>
                <w:shd w:val="clear" w:color="auto" w:fill="FFFFFF"/>
              </w:rPr>
              <w:t>传承历史名人的精神遗产</w:t>
            </w:r>
            <w:r>
              <w:rPr>
                <w:rStyle w:val="14"/>
                <w:rFonts w:hint="eastAsia" w:ascii="Arial" w:hAnsi="Arial" w:cs="Arial"/>
                <w:b w:val="0"/>
                <w:szCs w:val="21"/>
                <w:shd w:val="clear" w:color="auto" w:fill="FFFFFF"/>
              </w:rPr>
              <w:t>，</w:t>
            </w:r>
            <w:r>
              <w:rPr>
                <w:rStyle w:val="14"/>
                <w:rFonts w:ascii="Arial" w:hAnsi="Arial" w:eastAsia="Arial" w:cs="Arial"/>
                <w:b w:val="0"/>
                <w:szCs w:val="21"/>
                <w:shd w:val="clear" w:color="auto" w:fill="FFFFFF"/>
              </w:rPr>
              <w:t>培育开放包容的文明观</w:t>
            </w:r>
            <w:r>
              <w:rPr>
                <w:rStyle w:val="14"/>
                <w:rFonts w:hint="eastAsia" w:ascii="Arial" w:hAnsi="Arial" w:cs="Arial"/>
                <w:b w:val="0"/>
                <w:szCs w:val="21"/>
                <w:shd w:val="clear" w:color="auto" w:fill="FFFFFF"/>
              </w:rPr>
              <w:t>。</w:t>
            </w:r>
            <w:r>
              <w:rPr>
                <w:rFonts w:ascii="Arial" w:hAnsi="Arial" w:eastAsia="Arial" w:cs="Arial"/>
                <w:bCs/>
                <w:szCs w:val="21"/>
                <w:shd w:val="clear" w:color="auto" w:fill="FFFFFF"/>
              </w:rPr>
              <w:t>通过姓氏文化的多维解析，实现知识传授与</w:t>
            </w:r>
            <w:r>
              <w:rPr>
                <w:rFonts w:ascii="宋体" w:hAnsi="宋体" w:eastAsia="宋体" w:cs="宋体"/>
                <w:bCs/>
                <w:szCs w:val="21"/>
              </w:rPr>
              <w:t>‌</w:t>
            </w:r>
            <w:r>
              <w:rPr>
                <w:rStyle w:val="14"/>
                <w:rFonts w:ascii="Arial" w:hAnsi="Arial" w:eastAsia="Arial" w:cs="Arial"/>
                <w:b w:val="0"/>
                <w:szCs w:val="21"/>
              </w:rPr>
              <w:t>家国情怀、文化自信、社会责任</w:t>
            </w:r>
            <w:r>
              <w:rPr>
                <w:rFonts w:ascii="宋体" w:hAnsi="宋体" w:eastAsia="宋体" w:cs="宋体"/>
                <w:bCs/>
                <w:szCs w:val="21"/>
              </w:rPr>
              <w:t>‌</w:t>
            </w:r>
            <w:r>
              <w:rPr>
                <w:rFonts w:ascii="Arial" w:hAnsi="Arial" w:eastAsia="Arial" w:cs="Arial"/>
                <w:bCs/>
                <w:szCs w:val="21"/>
                <w:shd w:val="clear" w:color="auto" w:fill="FFFFFF"/>
              </w:rPr>
              <w:t>的有机统一</w:t>
            </w:r>
            <w:r>
              <w:rPr>
                <w:rFonts w:hint="eastAsia" w:ascii="Arial" w:hAnsi="Arial" w:cs="Arial"/>
                <w:bCs/>
                <w:szCs w:val="21"/>
                <w:shd w:val="clear" w:color="auto" w:fill="FFFFFF"/>
              </w:rPr>
              <w:t>。</w:t>
            </w:r>
            <w:r>
              <w:rPr>
                <w:rFonts w:ascii="Arial" w:hAnsi="Arial" w:eastAsia="Arial" w:cs="Arial"/>
                <w:szCs w:val="21"/>
                <w:shd w:val="clear" w:color="auto" w:fill="FFFFFF"/>
              </w:rPr>
              <w:t>‌</w:t>
            </w:r>
          </w:p>
        </w:tc>
      </w:tr>
      <w:tr w14:paraId="0ACD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restart"/>
            <w:vAlign w:val="center"/>
          </w:tcPr>
          <w:p w14:paraId="53D8C416">
            <w:pPr>
              <w:spacing w:line="276" w:lineRule="auto"/>
              <w:jc w:val="center"/>
              <w:rPr>
                <w:rFonts w:hint="eastAsia" w:ascii="宋体" w:hAnsi="宋体" w:eastAsia="宋体" w:cs="Times New Roman"/>
                <w:szCs w:val="21"/>
              </w:rPr>
            </w:pPr>
            <w:r>
              <w:rPr>
                <w:rFonts w:hint="eastAsia" w:ascii="宋体" w:hAnsi="宋体" w:eastAsia="宋体" w:cs="Times New Roman"/>
                <w:szCs w:val="21"/>
              </w:rPr>
              <w:t>6.</w:t>
            </w:r>
            <w:r>
              <w:rPr>
                <w:rFonts w:hint="eastAsia" w:ascii="宋体" w:hAnsi="宋体" w:cs="Times New Roman"/>
                <w:szCs w:val="21"/>
              </w:rPr>
              <w:t>学术思想</w:t>
            </w:r>
          </w:p>
        </w:tc>
        <w:tc>
          <w:tcPr>
            <w:tcW w:w="2198" w:type="dxa"/>
            <w:vAlign w:val="center"/>
          </w:tcPr>
          <w:p w14:paraId="3DE7588F">
            <w:pPr>
              <w:spacing w:line="276" w:lineRule="auto"/>
              <w:jc w:val="left"/>
              <w:rPr>
                <w:rFonts w:hint="eastAsia" w:ascii="宋体" w:hAnsi="宋体" w:cs="Times New Roman"/>
                <w:szCs w:val="21"/>
              </w:rPr>
            </w:pPr>
            <w:r>
              <w:rPr>
                <w:rFonts w:hint="eastAsia" w:ascii="宋体" w:hAnsi="宋体" w:cs="Times New Roman"/>
                <w:szCs w:val="21"/>
              </w:rPr>
              <w:t>春秋战国思想</w:t>
            </w:r>
          </w:p>
          <w:p w14:paraId="6F3D343F">
            <w:pPr>
              <w:spacing w:line="276" w:lineRule="auto"/>
              <w:jc w:val="left"/>
              <w:rPr>
                <w:rFonts w:hint="eastAsia" w:ascii="宋体" w:hAnsi="宋体" w:eastAsia="宋体" w:cs="Times New Roman"/>
                <w:szCs w:val="21"/>
              </w:rPr>
            </w:pPr>
            <w:r>
              <w:rPr>
                <w:rFonts w:hint="eastAsia" w:ascii="宋体" w:hAnsi="宋体" w:eastAsia="宋体" w:cs="Times New Roman"/>
                <w:szCs w:val="21"/>
              </w:rPr>
              <w:t>汉代经学</w:t>
            </w:r>
          </w:p>
          <w:p w14:paraId="1A0A4DF9">
            <w:pPr>
              <w:spacing w:line="276" w:lineRule="auto"/>
              <w:jc w:val="left"/>
              <w:rPr>
                <w:rFonts w:hint="eastAsia" w:ascii="宋体" w:hAnsi="宋体" w:eastAsia="宋体" w:cs="Times New Roman"/>
                <w:szCs w:val="21"/>
              </w:rPr>
            </w:pPr>
            <w:r>
              <w:rPr>
                <w:rFonts w:hint="eastAsia" w:ascii="宋体" w:hAnsi="宋体" w:eastAsia="宋体" w:cs="Times New Roman"/>
                <w:szCs w:val="21"/>
              </w:rPr>
              <w:t>魏晋玄学</w:t>
            </w:r>
          </w:p>
          <w:p w14:paraId="185E1151">
            <w:pPr>
              <w:spacing w:line="276" w:lineRule="auto"/>
              <w:jc w:val="left"/>
              <w:rPr>
                <w:rFonts w:hint="eastAsia" w:ascii="宋体" w:hAnsi="宋体" w:eastAsia="宋体" w:cs="Times New Roman"/>
                <w:szCs w:val="21"/>
              </w:rPr>
            </w:pPr>
            <w:r>
              <w:rPr>
                <w:rFonts w:hint="eastAsia" w:ascii="宋体" w:hAnsi="宋体" w:eastAsia="宋体" w:cs="Times New Roman"/>
                <w:szCs w:val="21"/>
              </w:rPr>
              <w:t>宋明理学</w:t>
            </w:r>
          </w:p>
          <w:p w14:paraId="6BCB0B51">
            <w:pPr>
              <w:spacing w:line="276" w:lineRule="auto"/>
              <w:jc w:val="left"/>
              <w:rPr>
                <w:rFonts w:hint="eastAsia" w:ascii="宋体" w:hAnsi="宋体" w:eastAsia="宋体" w:cs="Times New Roman"/>
                <w:szCs w:val="21"/>
              </w:rPr>
            </w:pPr>
            <w:r>
              <w:rPr>
                <w:rFonts w:hint="eastAsia" w:ascii="宋体" w:hAnsi="宋体" w:eastAsia="宋体" w:cs="Times New Roman"/>
                <w:szCs w:val="21"/>
              </w:rPr>
              <w:t>清代朴学</w:t>
            </w:r>
          </w:p>
        </w:tc>
        <w:tc>
          <w:tcPr>
            <w:tcW w:w="1117" w:type="dxa"/>
            <w:vAlign w:val="center"/>
          </w:tcPr>
          <w:p w14:paraId="677E19C9">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r>
              <w:rPr>
                <w:rFonts w:hint="eastAsia" w:ascii="宋体" w:hAnsi="宋体" w:cs="Times New Roman"/>
                <w:szCs w:val="21"/>
              </w:rPr>
              <w:t>、2</w:t>
            </w:r>
          </w:p>
        </w:tc>
        <w:tc>
          <w:tcPr>
            <w:tcW w:w="3428" w:type="dxa"/>
            <w:gridSpan w:val="2"/>
            <w:vAlign w:val="center"/>
          </w:tcPr>
          <w:p w14:paraId="6BB01B7E">
            <w:pPr>
              <w:numPr>
                <w:ilvl w:val="0"/>
                <w:numId w:val="59"/>
              </w:numPr>
              <w:spacing w:line="276" w:lineRule="auto"/>
              <w:jc w:val="left"/>
              <w:rPr>
                <w:rFonts w:hint="eastAsia" w:ascii="宋体" w:hAnsi="宋体" w:cs="Times New Roman"/>
                <w:szCs w:val="21"/>
              </w:rPr>
            </w:pPr>
            <w:r>
              <w:rPr>
                <w:rFonts w:hint="eastAsia" w:ascii="宋体" w:hAnsi="宋体" w:eastAsia="宋体" w:cs="Times New Roman"/>
                <w:szCs w:val="21"/>
              </w:rPr>
              <w:t>掌握春秋战国“百家争鸣”格局下儒、道、法等学派的核心命题，理解诸子思想对中国文化基因的奠基作用</w:t>
            </w:r>
            <w:r>
              <w:rPr>
                <w:rFonts w:hint="eastAsia" w:ascii="宋体" w:hAnsi="宋体" w:cs="Times New Roman"/>
                <w:szCs w:val="21"/>
              </w:rPr>
              <w:t>；</w:t>
            </w:r>
          </w:p>
          <w:p w14:paraId="5E1BAB0E">
            <w:pPr>
              <w:numPr>
                <w:ilvl w:val="0"/>
                <w:numId w:val="59"/>
              </w:numPr>
              <w:spacing w:line="276" w:lineRule="auto"/>
              <w:jc w:val="left"/>
              <w:rPr>
                <w:rFonts w:hint="eastAsia" w:ascii="宋体" w:hAnsi="宋体" w:eastAsia="宋体" w:cs="Times New Roman"/>
                <w:szCs w:val="21"/>
              </w:rPr>
            </w:pPr>
            <w:r>
              <w:rPr>
                <w:rFonts w:hint="eastAsia" w:ascii="宋体" w:hAnsi="宋体" w:eastAsia="宋体" w:cs="Times New Roman"/>
                <w:szCs w:val="21"/>
              </w:rPr>
              <w:t>辨析汉代经学“注经释典”、魏晋玄学“儒道会通”、宋明理学“心性论”的思想转型逻辑，把握儒学在不同历史阶段的创造性转化‌</w:t>
            </w:r>
            <w:r>
              <w:rPr>
                <w:rFonts w:hint="eastAsia" w:ascii="宋体" w:hAnsi="宋体" w:cs="Times New Roman"/>
                <w:szCs w:val="21"/>
              </w:rPr>
              <w:t>；</w:t>
            </w:r>
            <w:r>
              <w:rPr>
                <w:rFonts w:hint="eastAsia" w:ascii="宋体" w:hAnsi="宋体" w:eastAsia="宋体" w:cs="Times New Roman"/>
                <w:szCs w:val="21"/>
              </w:rPr>
              <w:t>‌</w:t>
            </w:r>
          </w:p>
        </w:tc>
        <w:tc>
          <w:tcPr>
            <w:tcW w:w="1320" w:type="dxa"/>
            <w:gridSpan w:val="2"/>
            <w:vAlign w:val="center"/>
          </w:tcPr>
          <w:p w14:paraId="667E22B5">
            <w:pPr>
              <w:spacing w:line="276" w:lineRule="auto"/>
              <w:jc w:val="left"/>
              <w:rPr>
                <w:rFonts w:hint="eastAsia" w:ascii="宋体" w:hAnsi="宋体" w:eastAsia="宋体" w:cs="Times New Roman"/>
                <w:szCs w:val="21"/>
              </w:rPr>
            </w:pPr>
            <w:r>
              <w:rPr>
                <w:rFonts w:hint="eastAsia" w:ascii="宋体" w:hAnsi="宋体" w:eastAsia="宋体" w:cs="Times New Roman"/>
                <w:szCs w:val="21"/>
              </w:rPr>
              <w:t>1.课堂讲授</w:t>
            </w:r>
          </w:p>
          <w:p w14:paraId="100665CE">
            <w:pPr>
              <w:spacing w:line="276" w:lineRule="auto"/>
              <w:jc w:val="left"/>
              <w:rPr>
                <w:rFonts w:hint="eastAsia" w:ascii="宋体" w:hAnsi="宋体" w:eastAsia="宋体" w:cs="Times New Roman"/>
                <w:szCs w:val="21"/>
              </w:rPr>
            </w:pPr>
            <w:r>
              <w:rPr>
                <w:rFonts w:hint="eastAsia" w:ascii="宋体" w:hAnsi="宋体" w:eastAsia="宋体" w:cs="Times New Roman"/>
                <w:szCs w:val="21"/>
              </w:rPr>
              <w:t>2.多媒体演示</w:t>
            </w:r>
          </w:p>
          <w:p w14:paraId="607C4076">
            <w:pPr>
              <w:spacing w:line="276"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19C1EAA7">
            <w:pPr>
              <w:spacing w:line="276"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15" w:type="dxa"/>
            <w:vAlign w:val="center"/>
          </w:tcPr>
          <w:p w14:paraId="3F53BED7">
            <w:pPr>
              <w:spacing w:line="276" w:lineRule="auto"/>
              <w:jc w:val="center"/>
              <w:rPr>
                <w:rFonts w:hint="eastAsia" w:ascii="宋体" w:hAnsi="宋体" w:eastAsia="宋体" w:cs="Times New Roman"/>
                <w:szCs w:val="21"/>
              </w:rPr>
            </w:pPr>
            <w:r>
              <w:rPr>
                <w:rFonts w:hint="eastAsia" w:ascii="宋体" w:hAnsi="宋体" w:cs="Times New Roman"/>
                <w:szCs w:val="21"/>
              </w:rPr>
              <w:t>4</w:t>
            </w:r>
          </w:p>
        </w:tc>
      </w:tr>
      <w:tr w14:paraId="0222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vAlign w:val="center"/>
          </w:tcPr>
          <w:p w14:paraId="7AFC7AFC">
            <w:pPr>
              <w:spacing w:line="276" w:lineRule="auto"/>
              <w:jc w:val="center"/>
              <w:rPr>
                <w:rFonts w:hint="eastAsia" w:ascii="宋体" w:hAnsi="宋体" w:eastAsia="宋体" w:cs="Times New Roman"/>
                <w:szCs w:val="21"/>
              </w:rPr>
            </w:pPr>
          </w:p>
        </w:tc>
        <w:tc>
          <w:tcPr>
            <w:tcW w:w="8478" w:type="dxa"/>
            <w:gridSpan w:val="7"/>
            <w:vAlign w:val="center"/>
          </w:tcPr>
          <w:p w14:paraId="4307179F">
            <w:pPr>
              <w:spacing w:line="276" w:lineRule="auto"/>
              <w:jc w:val="left"/>
              <w:rPr>
                <w:rFonts w:hint="eastAsia" w:ascii="宋体" w:hAnsi="宋体" w:eastAsia="宋体" w:cs="Times New Roman"/>
                <w:bCs/>
                <w:szCs w:val="21"/>
              </w:rPr>
            </w:pPr>
            <w:r>
              <w:rPr>
                <w:rFonts w:hint="eastAsia" w:ascii="宋体" w:hAnsi="宋体" w:eastAsia="宋体" w:cs="Times New Roman"/>
                <w:b/>
                <w:szCs w:val="21"/>
              </w:rPr>
              <w:t>课程思政目标</w:t>
            </w:r>
            <w:r>
              <w:rPr>
                <w:rFonts w:hint="eastAsia" w:ascii="宋体" w:hAnsi="宋体" w:eastAsia="宋体" w:cs="Times New Roman"/>
                <w:bCs/>
                <w:szCs w:val="21"/>
              </w:rPr>
              <w:t>：以“百家争鸣”展现中华文明多元共生的思想格局，通过儒家“仁政”、墨家“兼爱”等学说培育文化自信与社会责任意识，强化“和而不同”的文明发展观</w:t>
            </w:r>
            <w:r>
              <w:rPr>
                <w:rFonts w:hint="eastAsia" w:ascii="宋体" w:hAnsi="宋体" w:cs="Times New Roman"/>
                <w:bCs/>
                <w:szCs w:val="21"/>
              </w:rPr>
              <w:t>；</w:t>
            </w:r>
            <w:r>
              <w:rPr>
                <w:rFonts w:hint="eastAsia" w:ascii="宋体" w:hAnsi="宋体" w:eastAsia="宋体" w:cs="Times New Roman"/>
                <w:bCs/>
                <w:szCs w:val="21"/>
              </w:rPr>
              <w:t>以董仲舒“天人感应”与儒学正统化阐释国家意识形态构建逻辑，筑牢制度自信与中华民族共同体意识</w:t>
            </w:r>
            <w:r>
              <w:rPr>
                <w:rFonts w:hint="eastAsia" w:ascii="宋体" w:hAnsi="宋体" w:cs="Times New Roman"/>
                <w:bCs/>
                <w:szCs w:val="21"/>
              </w:rPr>
              <w:t>；</w:t>
            </w:r>
            <w:r>
              <w:rPr>
                <w:rFonts w:hint="eastAsia" w:ascii="宋体" w:hAnsi="宋体" w:eastAsia="宋体" w:cs="Times New Roman"/>
                <w:bCs/>
                <w:szCs w:val="21"/>
              </w:rPr>
              <w:t>通过朱熹“存天理灭人欲”、王阳明“知行合一”等伦理重构，对接社会主义核心价值观中的“敬业”“诚信”要求，深化道德实践自觉与传统文化现代转化能力</w:t>
            </w:r>
            <w:r>
              <w:rPr>
                <w:rFonts w:hint="eastAsia" w:ascii="宋体" w:hAnsi="宋体" w:cs="Times New Roman"/>
                <w:bCs/>
                <w:szCs w:val="21"/>
              </w:rPr>
              <w:t>。</w:t>
            </w:r>
            <w:r>
              <w:rPr>
                <w:rFonts w:hint="eastAsia" w:ascii="宋体" w:hAnsi="宋体" w:eastAsia="宋体" w:cs="Times New Roman"/>
                <w:bCs/>
                <w:szCs w:val="21"/>
              </w:rPr>
              <w:t>‌</w:t>
            </w:r>
          </w:p>
        </w:tc>
      </w:tr>
      <w:tr w14:paraId="69FC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restart"/>
            <w:vAlign w:val="center"/>
          </w:tcPr>
          <w:p w14:paraId="7093B7E3">
            <w:pPr>
              <w:spacing w:line="276" w:lineRule="auto"/>
              <w:jc w:val="center"/>
              <w:rPr>
                <w:rFonts w:hint="eastAsia" w:ascii="宋体" w:hAnsi="宋体" w:eastAsia="宋体" w:cs="Times New Roman"/>
                <w:szCs w:val="21"/>
              </w:rPr>
            </w:pPr>
            <w:r>
              <w:rPr>
                <w:rFonts w:hint="eastAsia" w:ascii="宋体" w:hAnsi="宋体" w:eastAsia="宋体" w:cs="Times New Roman"/>
                <w:szCs w:val="21"/>
              </w:rPr>
              <w:t>7.</w:t>
            </w:r>
            <w:r>
              <w:rPr>
                <w:rFonts w:hint="eastAsia" w:ascii="宋体" w:hAnsi="宋体" w:cs="Times New Roman"/>
                <w:szCs w:val="21"/>
              </w:rPr>
              <w:t>宗教信仰</w:t>
            </w:r>
          </w:p>
        </w:tc>
        <w:tc>
          <w:tcPr>
            <w:tcW w:w="2198" w:type="dxa"/>
            <w:vAlign w:val="center"/>
          </w:tcPr>
          <w:p w14:paraId="6E027D6B">
            <w:pPr>
              <w:spacing w:line="276" w:lineRule="auto"/>
              <w:jc w:val="left"/>
              <w:rPr>
                <w:rFonts w:hint="eastAsia" w:ascii="宋体" w:hAnsi="宋体" w:cs="Times New Roman"/>
                <w:szCs w:val="21"/>
              </w:rPr>
            </w:pPr>
            <w:r>
              <w:rPr>
                <w:rFonts w:hint="eastAsia" w:ascii="宋体" w:hAnsi="宋体" w:eastAsia="宋体" w:cs="Times New Roman"/>
                <w:szCs w:val="21"/>
              </w:rPr>
              <w:t>多神信仰和三大崇拜</w:t>
            </w:r>
            <w:r>
              <w:rPr>
                <w:rFonts w:hint="eastAsia" w:ascii="宋体" w:hAnsi="宋体" w:cs="Times New Roman"/>
                <w:szCs w:val="21"/>
              </w:rPr>
              <w:t>；</w:t>
            </w:r>
          </w:p>
          <w:p w14:paraId="70926FAC">
            <w:pPr>
              <w:spacing w:line="276" w:lineRule="auto"/>
              <w:jc w:val="left"/>
              <w:rPr>
                <w:rFonts w:hint="eastAsia" w:ascii="宋体" w:hAnsi="宋体" w:cs="Times New Roman"/>
                <w:szCs w:val="21"/>
              </w:rPr>
            </w:pPr>
            <w:r>
              <w:rPr>
                <w:rFonts w:hint="eastAsia" w:ascii="宋体" w:hAnsi="宋体" w:cs="Times New Roman"/>
                <w:szCs w:val="21"/>
              </w:rPr>
              <w:t>佛教</w:t>
            </w:r>
          </w:p>
          <w:p w14:paraId="3CD318CA">
            <w:pPr>
              <w:spacing w:line="276" w:lineRule="auto"/>
              <w:jc w:val="left"/>
              <w:rPr>
                <w:rFonts w:hint="eastAsia" w:ascii="宋体" w:hAnsi="宋体" w:cs="Times New Roman"/>
                <w:szCs w:val="21"/>
              </w:rPr>
            </w:pPr>
            <w:r>
              <w:rPr>
                <w:rFonts w:hint="eastAsia" w:ascii="宋体" w:hAnsi="宋体" w:cs="Times New Roman"/>
                <w:szCs w:val="21"/>
              </w:rPr>
              <w:t>道教</w:t>
            </w:r>
          </w:p>
          <w:p w14:paraId="096AC83D">
            <w:pPr>
              <w:spacing w:line="276" w:lineRule="auto"/>
              <w:jc w:val="left"/>
              <w:rPr>
                <w:rFonts w:hint="eastAsia" w:ascii="宋体" w:hAnsi="宋体" w:cs="Times New Roman"/>
                <w:szCs w:val="21"/>
              </w:rPr>
            </w:pPr>
            <w:r>
              <w:rPr>
                <w:rFonts w:hint="eastAsia" w:ascii="宋体" w:hAnsi="宋体" w:cs="Times New Roman"/>
                <w:szCs w:val="21"/>
              </w:rPr>
              <w:t>伊斯兰教</w:t>
            </w:r>
          </w:p>
          <w:p w14:paraId="6090913E">
            <w:pPr>
              <w:spacing w:line="276" w:lineRule="auto"/>
              <w:jc w:val="left"/>
              <w:rPr>
                <w:rFonts w:hint="eastAsia" w:ascii="宋体" w:hAnsi="宋体" w:cs="Times New Roman"/>
                <w:szCs w:val="21"/>
              </w:rPr>
            </w:pPr>
            <w:r>
              <w:rPr>
                <w:rFonts w:hint="eastAsia" w:ascii="宋体" w:hAnsi="宋体" w:cs="Times New Roman"/>
                <w:szCs w:val="21"/>
              </w:rPr>
              <w:t>基督教</w:t>
            </w:r>
          </w:p>
        </w:tc>
        <w:tc>
          <w:tcPr>
            <w:tcW w:w="1117" w:type="dxa"/>
            <w:vAlign w:val="center"/>
          </w:tcPr>
          <w:p w14:paraId="2520E37F">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w:t>
            </w:r>
          </w:p>
          <w:p w14:paraId="79C44F28">
            <w:pPr>
              <w:spacing w:line="269" w:lineRule="auto"/>
              <w:jc w:val="center"/>
              <w:rPr>
                <w:rFonts w:hint="eastAsia" w:ascii="宋体" w:hAnsi="宋体" w:eastAsia="宋体" w:cs="Times New Roman"/>
                <w:szCs w:val="21"/>
              </w:rPr>
            </w:pPr>
            <w:r>
              <w:rPr>
                <w:rFonts w:hint="eastAsia" w:ascii="宋体" w:hAnsi="宋体" w:eastAsia="宋体" w:cs="Times New Roman"/>
                <w:szCs w:val="21"/>
              </w:rPr>
              <w:t>目标1</w:t>
            </w:r>
          </w:p>
        </w:tc>
        <w:tc>
          <w:tcPr>
            <w:tcW w:w="3428" w:type="dxa"/>
            <w:gridSpan w:val="2"/>
            <w:vAlign w:val="center"/>
          </w:tcPr>
          <w:p w14:paraId="7B1DB16E">
            <w:pPr>
              <w:numPr>
                <w:ilvl w:val="0"/>
                <w:numId w:val="60"/>
              </w:numPr>
              <w:spacing w:line="276" w:lineRule="auto"/>
              <w:jc w:val="left"/>
              <w:rPr>
                <w:rFonts w:hint="eastAsia" w:ascii="宋体" w:hAnsi="宋体" w:cs="Times New Roman"/>
                <w:szCs w:val="21"/>
              </w:rPr>
            </w:pPr>
            <w:r>
              <w:rPr>
                <w:rFonts w:hint="eastAsia" w:ascii="宋体" w:hAnsi="宋体" w:eastAsia="宋体" w:cs="Times New Roman"/>
                <w:szCs w:val="21"/>
              </w:rPr>
              <w:t>掌握中国多神信仰“物物有神”的农业文明根基与小农经济现实诉求，理解“天地崇拜、祖先崇拜、君师崇拜”三大核心崇拜对传统社会伦理秩序的建构作用</w:t>
            </w:r>
            <w:r>
              <w:rPr>
                <w:rFonts w:hint="eastAsia" w:ascii="宋体" w:hAnsi="宋体" w:cs="Times New Roman"/>
                <w:szCs w:val="21"/>
              </w:rPr>
              <w:t>；</w:t>
            </w:r>
          </w:p>
          <w:p w14:paraId="3D2CCB90">
            <w:pPr>
              <w:numPr>
                <w:ilvl w:val="0"/>
                <w:numId w:val="60"/>
              </w:numPr>
              <w:spacing w:line="276" w:lineRule="auto"/>
              <w:jc w:val="left"/>
              <w:rPr>
                <w:rFonts w:hint="eastAsia" w:ascii="宋体" w:hAnsi="宋体" w:eastAsia="宋体" w:cs="Times New Roman"/>
                <w:szCs w:val="21"/>
              </w:rPr>
            </w:pPr>
            <w:r>
              <w:rPr>
                <w:rFonts w:hint="eastAsia" w:ascii="宋体" w:hAnsi="宋体" w:cs="Times New Roman"/>
                <w:szCs w:val="21"/>
              </w:rPr>
              <w:t>熟悉</w:t>
            </w:r>
            <w:r>
              <w:rPr>
                <w:rFonts w:hint="eastAsia" w:ascii="宋体" w:hAnsi="宋体" w:eastAsia="宋体" w:cs="Times New Roman"/>
                <w:szCs w:val="21"/>
              </w:rPr>
              <w:t>道教“道法自然”的哲学内核</w:t>
            </w:r>
            <w:r>
              <w:rPr>
                <w:rFonts w:hint="eastAsia" w:ascii="宋体" w:hAnsi="宋体" w:cs="Times New Roman"/>
                <w:szCs w:val="21"/>
              </w:rPr>
              <w:t>，了解</w:t>
            </w:r>
            <w:r>
              <w:rPr>
                <w:rFonts w:hint="eastAsia" w:ascii="宋体" w:hAnsi="宋体" w:eastAsia="宋体" w:cs="Times New Roman"/>
                <w:szCs w:val="21"/>
              </w:rPr>
              <w:t>佛教“因果轮回”教义与中国孝道文化融合形成的汉传佛教本土化特征</w:t>
            </w:r>
            <w:r>
              <w:rPr>
                <w:rFonts w:hint="eastAsia" w:ascii="宋体" w:hAnsi="宋体" w:cs="Times New Roman"/>
                <w:szCs w:val="21"/>
              </w:rPr>
              <w:t>；</w:t>
            </w:r>
          </w:p>
          <w:p w14:paraId="7A8A1DDD">
            <w:pPr>
              <w:numPr>
                <w:ilvl w:val="0"/>
                <w:numId w:val="60"/>
              </w:numPr>
              <w:spacing w:line="276" w:lineRule="auto"/>
              <w:jc w:val="left"/>
              <w:rPr>
                <w:rFonts w:hint="eastAsia" w:ascii="宋体" w:hAnsi="宋体" w:eastAsia="宋体" w:cs="Times New Roman"/>
                <w:szCs w:val="21"/>
              </w:rPr>
            </w:pPr>
            <w:r>
              <w:rPr>
                <w:rFonts w:hint="eastAsia" w:ascii="宋体" w:hAnsi="宋体" w:cs="Times New Roman"/>
                <w:szCs w:val="21"/>
              </w:rPr>
              <w:t>了解</w:t>
            </w:r>
            <w:r>
              <w:rPr>
                <w:rFonts w:hint="eastAsia" w:ascii="宋体" w:hAnsi="宋体" w:eastAsia="宋体" w:cs="Times New Roman"/>
                <w:szCs w:val="21"/>
              </w:rPr>
              <w:t>伊斯兰教“五功六信”在中国回族等民族中的习俗化表现，基督教“三位一体”教义在明清“礼仪之争”后的在地化传播策略‌‌‌</w:t>
            </w:r>
          </w:p>
        </w:tc>
        <w:tc>
          <w:tcPr>
            <w:tcW w:w="1320" w:type="dxa"/>
            <w:gridSpan w:val="2"/>
            <w:vAlign w:val="center"/>
          </w:tcPr>
          <w:p w14:paraId="1FA89D39">
            <w:pPr>
              <w:spacing w:line="276" w:lineRule="auto"/>
              <w:jc w:val="left"/>
              <w:rPr>
                <w:rFonts w:hint="eastAsia" w:ascii="宋体" w:hAnsi="宋体" w:eastAsia="宋体" w:cs="Times New Roman"/>
                <w:szCs w:val="21"/>
              </w:rPr>
            </w:pPr>
            <w:r>
              <w:rPr>
                <w:rFonts w:hint="eastAsia" w:ascii="宋体" w:hAnsi="宋体" w:eastAsia="宋体" w:cs="Times New Roman"/>
                <w:szCs w:val="21"/>
              </w:rPr>
              <w:t>1.课堂讲授</w:t>
            </w:r>
          </w:p>
          <w:p w14:paraId="22A469F4">
            <w:pPr>
              <w:spacing w:line="276" w:lineRule="auto"/>
              <w:jc w:val="left"/>
              <w:rPr>
                <w:rFonts w:hint="eastAsia" w:ascii="宋体" w:hAnsi="宋体" w:eastAsia="宋体" w:cs="Times New Roman"/>
                <w:szCs w:val="21"/>
              </w:rPr>
            </w:pPr>
            <w:r>
              <w:rPr>
                <w:rFonts w:hint="eastAsia" w:ascii="宋体" w:hAnsi="宋体" w:eastAsia="宋体" w:cs="Times New Roman"/>
                <w:szCs w:val="21"/>
              </w:rPr>
              <w:t>2.多媒体演示</w:t>
            </w:r>
          </w:p>
          <w:p w14:paraId="18816BBE">
            <w:pPr>
              <w:spacing w:line="276"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380F110B">
            <w:pPr>
              <w:spacing w:line="276"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15" w:type="dxa"/>
            <w:vAlign w:val="center"/>
          </w:tcPr>
          <w:p w14:paraId="350DB59A">
            <w:pPr>
              <w:spacing w:line="276" w:lineRule="auto"/>
              <w:jc w:val="center"/>
              <w:rPr>
                <w:rFonts w:hint="eastAsia" w:ascii="宋体" w:hAnsi="宋体" w:eastAsia="宋体" w:cs="Times New Roman"/>
                <w:szCs w:val="21"/>
              </w:rPr>
            </w:pPr>
            <w:r>
              <w:rPr>
                <w:rFonts w:hint="eastAsia" w:ascii="宋体" w:hAnsi="宋体" w:cs="Times New Roman"/>
                <w:szCs w:val="21"/>
              </w:rPr>
              <w:t>4</w:t>
            </w:r>
          </w:p>
        </w:tc>
      </w:tr>
      <w:tr w14:paraId="0E4A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vAlign w:val="center"/>
          </w:tcPr>
          <w:p w14:paraId="1E03A41B">
            <w:pPr>
              <w:spacing w:line="276" w:lineRule="auto"/>
              <w:jc w:val="center"/>
              <w:rPr>
                <w:rFonts w:hint="eastAsia" w:ascii="宋体" w:hAnsi="宋体" w:eastAsia="宋体" w:cs="Times New Roman"/>
                <w:szCs w:val="21"/>
              </w:rPr>
            </w:pPr>
          </w:p>
        </w:tc>
        <w:tc>
          <w:tcPr>
            <w:tcW w:w="8478" w:type="dxa"/>
            <w:gridSpan w:val="7"/>
            <w:vAlign w:val="center"/>
          </w:tcPr>
          <w:p w14:paraId="0CBB7382">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强化中华文明包容性与实践智慧认同</w:t>
            </w:r>
            <w:r>
              <w:rPr>
                <w:rFonts w:hint="eastAsia" w:ascii="宋体" w:hAnsi="宋体" w:cs="Times New Roman"/>
                <w:szCs w:val="21"/>
              </w:rPr>
              <w:t>，辩证看待宗教文化的历史作用；以“道法自然”“天人合一”思想为切入点，联系马克思主义自然观，阐释道教生态智慧对当代可持续发展战略的启示，树立绿色发展理念‌；明确宗教信仰自由与维护国家统一的辩证关系，培养法治素养‌。</w:t>
            </w:r>
          </w:p>
        </w:tc>
      </w:tr>
      <w:tr w14:paraId="3C38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restart"/>
            <w:vAlign w:val="center"/>
          </w:tcPr>
          <w:p w14:paraId="6C22B32C">
            <w:pPr>
              <w:spacing w:line="264" w:lineRule="auto"/>
              <w:jc w:val="center"/>
              <w:rPr>
                <w:rFonts w:hint="eastAsia" w:ascii="宋体" w:hAnsi="宋体" w:eastAsia="宋体" w:cs="Times New Roman"/>
                <w:szCs w:val="21"/>
              </w:rPr>
            </w:pPr>
            <w:r>
              <w:rPr>
                <w:rFonts w:hint="eastAsia" w:ascii="宋体" w:hAnsi="宋体" w:eastAsia="宋体" w:cs="Times New Roman"/>
                <w:szCs w:val="21"/>
              </w:rPr>
              <w:t>8.</w:t>
            </w:r>
            <w:r>
              <w:rPr>
                <w:rFonts w:hint="eastAsia" w:ascii="宋体" w:hAnsi="宋体" w:cs="Times New Roman"/>
                <w:szCs w:val="21"/>
              </w:rPr>
              <w:t>古代教育与科举制度</w:t>
            </w:r>
          </w:p>
        </w:tc>
        <w:tc>
          <w:tcPr>
            <w:tcW w:w="2198" w:type="dxa"/>
            <w:vAlign w:val="center"/>
          </w:tcPr>
          <w:p w14:paraId="0A409B38">
            <w:pPr>
              <w:spacing w:line="264" w:lineRule="auto"/>
              <w:jc w:val="left"/>
              <w:rPr>
                <w:rFonts w:hint="eastAsia" w:ascii="宋体" w:hAnsi="宋体" w:cs="Times New Roman"/>
                <w:szCs w:val="21"/>
              </w:rPr>
            </w:pPr>
            <w:r>
              <w:rPr>
                <w:rFonts w:hint="eastAsia" w:ascii="宋体" w:hAnsi="宋体" w:cs="Times New Roman"/>
                <w:szCs w:val="21"/>
              </w:rPr>
              <w:t>古代教育</w:t>
            </w:r>
          </w:p>
          <w:p w14:paraId="6B8F6D1C">
            <w:pPr>
              <w:spacing w:line="264" w:lineRule="auto"/>
              <w:jc w:val="left"/>
              <w:rPr>
                <w:rFonts w:hint="eastAsia" w:ascii="宋体" w:hAnsi="宋体" w:cs="Times New Roman"/>
                <w:szCs w:val="21"/>
              </w:rPr>
            </w:pPr>
            <w:r>
              <w:rPr>
                <w:rFonts w:hint="eastAsia" w:ascii="宋体" w:hAnsi="宋体" w:cs="Times New Roman"/>
                <w:szCs w:val="21"/>
              </w:rPr>
              <w:t>科举制度</w:t>
            </w:r>
          </w:p>
        </w:tc>
        <w:tc>
          <w:tcPr>
            <w:tcW w:w="1117" w:type="dxa"/>
            <w:vAlign w:val="center"/>
          </w:tcPr>
          <w:p w14:paraId="7859CD18">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w:t>
            </w:r>
          </w:p>
          <w:p w14:paraId="281E10B9">
            <w:pPr>
              <w:spacing w:line="269" w:lineRule="auto"/>
              <w:jc w:val="center"/>
              <w:rPr>
                <w:rFonts w:hint="eastAsia" w:ascii="宋体" w:hAnsi="宋体" w:eastAsia="宋体" w:cs="Times New Roman"/>
                <w:szCs w:val="21"/>
              </w:rPr>
            </w:pPr>
            <w:r>
              <w:rPr>
                <w:rFonts w:hint="eastAsia" w:ascii="宋体" w:hAnsi="宋体" w:eastAsia="宋体" w:cs="Times New Roman"/>
                <w:szCs w:val="21"/>
              </w:rPr>
              <w:t>目标1</w:t>
            </w:r>
          </w:p>
        </w:tc>
        <w:tc>
          <w:tcPr>
            <w:tcW w:w="3428" w:type="dxa"/>
            <w:gridSpan w:val="2"/>
            <w:vAlign w:val="center"/>
          </w:tcPr>
          <w:p w14:paraId="24745E8D">
            <w:pPr>
              <w:numPr>
                <w:ilvl w:val="0"/>
                <w:numId w:val="61"/>
              </w:numPr>
              <w:spacing w:line="264" w:lineRule="auto"/>
              <w:jc w:val="left"/>
              <w:rPr>
                <w:rFonts w:hint="eastAsia" w:ascii="宋体" w:hAnsi="宋体" w:cs="Times New Roman"/>
                <w:szCs w:val="21"/>
              </w:rPr>
            </w:pPr>
            <w:r>
              <w:rPr>
                <w:rFonts w:hint="eastAsia" w:ascii="宋体" w:hAnsi="宋体" w:cs="Times New Roman"/>
                <w:szCs w:val="21"/>
              </w:rPr>
              <w:t>掌握古代“官学与私学互补”的教育架构，理解科举制“分科取士、逐级筛选”的运作逻辑，认知儒家经典作为教育核心内容对文化价值观的塑造作用；</w:t>
            </w:r>
          </w:p>
          <w:p w14:paraId="1F5C1CCB">
            <w:pPr>
              <w:numPr>
                <w:ilvl w:val="0"/>
                <w:numId w:val="61"/>
              </w:numPr>
              <w:spacing w:line="264" w:lineRule="auto"/>
              <w:jc w:val="left"/>
              <w:rPr>
                <w:rFonts w:hint="eastAsia" w:ascii="宋体" w:hAnsi="宋体" w:eastAsia="宋体" w:cs="Times New Roman"/>
                <w:szCs w:val="21"/>
              </w:rPr>
            </w:pPr>
            <w:r>
              <w:rPr>
                <w:rFonts w:hint="eastAsia" w:ascii="宋体" w:hAnsi="宋体" w:cs="Times New Roman"/>
                <w:szCs w:val="21"/>
              </w:rPr>
              <w:t>了解科举从隋唐初创、宋代扩招、明清八股化的演进脉络，重点明确乡试、会试、殿试三级考试流程及其对知识精英阶层的筛选功能；</w:t>
            </w:r>
          </w:p>
          <w:p w14:paraId="2BC95BDC">
            <w:pPr>
              <w:numPr>
                <w:ilvl w:val="0"/>
                <w:numId w:val="61"/>
              </w:numPr>
              <w:spacing w:line="264" w:lineRule="auto"/>
              <w:jc w:val="left"/>
              <w:rPr>
                <w:rFonts w:hint="eastAsia" w:ascii="宋体" w:hAnsi="宋体" w:eastAsia="宋体" w:cs="Times New Roman"/>
                <w:szCs w:val="21"/>
              </w:rPr>
            </w:pPr>
            <w:r>
              <w:rPr>
                <w:rFonts w:hint="eastAsia" w:ascii="宋体" w:hAnsi="宋体" w:cs="Times New Roman"/>
                <w:szCs w:val="21"/>
              </w:rPr>
              <w:t>辩证分析科举“打破门阀垄断→促进阶层流动”的进步性，及其后期“八股禁锢思想→阻碍科技创新”的局限性。‌‌‌</w:t>
            </w:r>
          </w:p>
        </w:tc>
        <w:tc>
          <w:tcPr>
            <w:tcW w:w="1320" w:type="dxa"/>
            <w:gridSpan w:val="2"/>
            <w:vAlign w:val="center"/>
          </w:tcPr>
          <w:p w14:paraId="66D5BEAB">
            <w:pPr>
              <w:spacing w:line="264" w:lineRule="auto"/>
              <w:jc w:val="left"/>
              <w:rPr>
                <w:rFonts w:hint="eastAsia" w:ascii="宋体" w:hAnsi="宋体" w:eastAsia="宋体" w:cs="Times New Roman"/>
                <w:szCs w:val="21"/>
              </w:rPr>
            </w:pPr>
            <w:r>
              <w:rPr>
                <w:rFonts w:hint="eastAsia" w:ascii="宋体" w:hAnsi="宋体" w:eastAsia="宋体" w:cs="Times New Roman"/>
                <w:szCs w:val="21"/>
              </w:rPr>
              <w:t>1.课堂讲授</w:t>
            </w:r>
          </w:p>
          <w:p w14:paraId="3100855B">
            <w:pPr>
              <w:spacing w:line="264" w:lineRule="auto"/>
              <w:jc w:val="left"/>
              <w:rPr>
                <w:rFonts w:hint="eastAsia" w:ascii="宋体" w:hAnsi="宋体" w:eastAsia="宋体" w:cs="Times New Roman"/>
                <w:szCs w:val="21"/>
              </w:rPr>
            </w:pPr>
            <w:r>
              <w:rPr>
                <w:rFonts w:hint="eastAsia" w:ascii="宋体" w:hAnsi="宋体" w:eastAsia="宋体" w:cs="Times New Roman"/>
                <w:szCs w:val="21"/>
              </w:rPr>
              <w:t>2.多媒体演示</w:t>
            </w:r>
          </w:p>
          <w:p w14:paraId="7C08C8B9">
            <w:pPr>
              <w:spacing w:line="264"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78096B26">
            <w:pPr>
              <w:spacing w:line="264"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15" w:type="dxa"/>
            <w:vAlign w:val="center"/>
          </w:tcPr>
          <w:p w14:paraId="1C607A15">
            <w:pPr>
              <w:spacing w:line="264"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0DCD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vAlign w:val="center"/>
          </w:tcPr>
          <w:p w14:paraId="530B2EC5">
            <w:pPr>
              <w:spacing w:line="264" w:lineRule="auto"/>
              <w:jc w:val="center"/>
              <w:rPr>
                <w:rFonts w:hint="eastAsia" w:ascii="宋体" w:hAnsi="宋体" w:eastAsia="宋体" w:cs="Times New Roman"/>
                <w:szCs w:val="21"/>
              </w:rPr>
            </w:pPr>
          </w:p>
        </w:tc>
        <w:tc>
          <w:tcPr>
            <w:tcW w:w="8478" w:type="dxa"/>
            <w:gridSpan w:val="7"/>
            <w:vAlign w:val="center"/>
          </w:tcPr>
          <w:p w14:paraId="6F0E2C7B">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通过解析科举制度从隋唐创立到宋明完善的历史脉络，展现中国古代政治制度的实践智慧，引导学生理解制度创新对国家治理和社会进步的重要意义</w:t>
            </w:r>
            <w:r>
              <w:rPr>
                <w:rFonts w:hint="eastAsia" w:ascii="宋体" w:hAnsi="宋体" w:cs="Times New Roman"/>
                <w:szCs w:val="21"/>
              </w:rPr>
              <w:t>；结合科举制度后期阻碍科技发展的教训（如忽视自然科学），引导学生理解“守正创新”对当代教育改革的重要性，强化对中国特色社会主义教育体系优越性的认同‌。</w:t>
            </w:r>
            <w:r>
              <w:rPr>
                <w:rFonts w:hint="eastAsia" w:ascii="宋体" w:hAnsi="宋体" w:eastAsia="宋体" w:cs="Times New Roman"/>
                <w:szCs w:val="21"/>
              </w:rPr>
              <w:t>‌</w:t>
            </w:r>
          </w:p>
        </w:tc>
      </w:tr>
      <w:tr w14:paraId="26B3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restart"/>
            <w:vAlign w:val="center"/>
          </w:tcPr>
          <w:p w14:paraId="1B008A02">
            <w:pPr>
              <w:spacing w:line="264" w:lineRule="auto"/>
              <w:jc w:val="center"/>
              <w:rPr>
                <w:rFonts w:hint="eastAsia" w:ascii="宋体" w:hAnsi="宋体" w:eastAsia="宋体" w:cs="Times New Roman"/>
                <w:szCs w:val="21"/>
              </w:rPr>
            </w:pPr>
            <w:r>
              <w:rPr>
                <w:rFonts w:hint="eastAsia" w:ascii="宋体" w:hAnsi="宋体" w:cs="Times New Roman"/>
                <w:szCs w:val="21"/>
              </w:rPr>
              <w:t>9.古代科技文化</w:t>
            </w:r>
          </w:p>
        </w:tc>
        <w:tc>
          <w:tcPr>
            <w:tcW w:w="2198" w:type="dxa"/>
            <w:vAlign w:val="center"/>
          </w:tcPr>
          <w:p w14:paraId="7EBB24D2">
            <w:pPr>
              <w:spacing w:line="264" w:lineRule="auto"/>
              <w:jc w:val="left"/>
              <w:rPr>
                <w:rFonts w:hint="eastAsia" w:ascii="宋体" w:hAnsi="宋体" w:eastAsia="宋体" w:cs="Times New Roman"/>
                <w:szCs w:val="21"/>
              </w:rPr>
            </w:pPr>
            <w:r>
              <w:rPr>
                <w:rFonts w:hint="eastAsia" w:ascii="宋体" w:hAnsi="宋体" w:eastAsia="宋体" w:cs="Times New Roman"/>
                <w:szCs w:val="21"/>
              </w:rPr>
              <w:t>天文与历法</w:t>
            </w:r>
          </w:p>
          <w:p w14:paraId="6C809209">
            <w:pPr>
              <w:spacing w:line="264" w:lineRule="auto"/>
              <w:jc w:val="left"/>
              <w:rPr>
                <w:rFonts w:hint="eastAsia" w:ascii="宋体" w:hAnsi="宋体" w:eastAsia="宋体" w:cs="Times New Roman"/>
                <w:szCs w:val="21"/>
              </w:rPr>
            </w:pPr>
            <w:r>
              <w:rPr>
                <w:rFonts w:hint="eastAsia" w:ascii="宋体" w:hAnsi="宋体" w:eastAsia="宋体" w:cs="Times New Roman"/>
                <w:szCs w:val="21"/>
              </w:rPr>
              <w:t>农学</w:t>
            </w:r>
          </w:p>
          <w:p w14:paraId="1B6F45F4">
            <w:pPr>
              <w:spacing w:line="264" w:lineRule="auto"/>
              <w:jc w:val="left"/>
              <w:rPr>
                <w:rFonts w:hint="eastAsia" w:ascii="宋体" w:hAnsi="宋体" w:eastAsia="宋体" w:cs="Times New Roman"/>
                <w:szCs w:val="21"/>
              </w:rPr>
            </w:pPr>
            <w:r>
              <w:rPr>
                <w:rFonts w:hint="eastAsia" w:ascii="宋体" w:hAnsi="宋体" w:eastAsia="宋体" w:cs="Times New Roman"/>
                <w:szCs w:val="21"/>
              </w:rPr>
              <w:t>算学</w:t>
            </w:r>
          </w:p>
          <w:p w14:paraId="16DB5DA9">
            <w:pPr>
              <w:spacing w:line="264" w:lineRule="auto"/>
              <w:jc w:val="left"/>
              <w:rPr>
                <w:rFonts w:hint="eastAsia" w:ascii="宋体" w:hAnsi="宋体" w:eastAsia="宋体" w:cs="Times New Roman"/>
                <w:szCs w:val="21"/>
              </w:rPr>
            </w:pPr>
            <w:r>
              <w:rPr>
                <w:rFonts w:hint="eastAsia" w:ascii="宋体" w:hAnsi="宋体" w:eastAsia="宋体" w:cs="Times New Roman"/>
                <w:szCs w:val="21"/>
              </w:rPr>
              <w:t>医学</w:t>
            </w:r>
          </w:p>
          <w:p w14:paraId="78A4E2D3">
            <w:pPr>
              <w:spacing w:line="264" w:lineRule="auto"/>
              <w:jc w:val="left"/>
              <w:rPr>
                <w:rFonts w:hint="eastAsia" w:ascii="宋体" w:hAnsi="宋体" w:eastAsia="宋体" w:cs="Times New Roman"/>
                <w:szCs w:val="21"/>
              </w:rPr>
            </w:pPr>
            <w:r>
              <w:rPr>
                <w:rFonts w:hint="eastAsia" w:ascii="宋体" w:hAnsi="宋体" w:eastAsia="宋体" w:cs="Times New Roman"/>
                <w:szCs w:val="21"/>
              </w:rPr>
              <w:t>地学</w:t>
            </w:r>
          </w:p>
          <w:p w14:paraId="689EAEF6">
            <w:pPr>
              <w:spacing w:line="264" w:lineRule="auto"/>
              <w:jc w:val="left"/>
              <w:rPr>
                <w:rFonts w:hint="eastAsia" w:ascii="宋体" w:hAnsi="宋体" w:eastAsia="宋体" w:cs="Times New Roman"/>
                <w:szCs w:val="21"/>
              </w:rPr>
            </w:pPr>
            <w:r>
              <w:rPr>
                <w:rFonts w:hint="eastAsia"/>
                <w:szCs w:val="21"/>
              </w:rPr>
              <w:t>四大发明</w:t>
            </w:r>
          </w:p>
        </w:tc>
        <w:tc>
          <w:tcPr>
            <w:tcW w:w="1117" w:type="dxa"/>
            <w:vAlign w:val="center"/>
          </w:tcPr>
          <w:p w14:paraId="2AAB0C61">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r>
              <w:rPr>
                <w:rFonts w:hint="eastAsia" w:ascii="宋体" w:hAnsi="宋体" w:cs="Times New Roman"/>
                <w:szCs w:val="21"/>
              </w:rPr>
              <w:t>、2</w:t>
            </w:r>
          </w:p>
        </w:tc>
        <w:tc>
          <w:tcPr>
            <w:tcW w:w="3428" w:type="dxa"/>
            <w:gridSpan w:val="2"/>
            <w:vAlign w:val="center"/>
          </w:tcPr>
          <w:p w14:paraId="7F06A61F">
            <w:pPr>
              <w:numPr>
                <w:ilvl w:val="0"/>
                <w:numId w:val="62"/>
              </w:numPr>
              <w:spacing w:line="264" w:lineRule="auto"/>
              <w:jc w:val="left"/>
              <w:rPr>
                <w:rFonts w:hint="eastAsia" w:ascii="宋体" w:hAnsi="宋体" w:cs="Times New Roman"/>
                <w:szCs w:val="21"/>
              </w:rPr>
            </w:pPr>
            <w:r>
              <w:rPr>
                <w:rFonts w:hint="eastAsia" w:ascii="宋体" w:hAnsi="宋体" w:eastAsia="宋体" w:cs="Times New Roman"/>
                <w:szCs w:val="21"/>
              </w:rPr>
              <w:t>掌握天文历法“观象授时”与农学“顺天应时”的实践逻辑，理解算学《九章算术》算法体系、医学《黄帝内经》阴阳五行理论及地学《水经注》地理认知形成的系统性科技思维</w:t>
            </w:r>
            <w:r>
              <w:rPr>
                <w:rFonts w:hint="eastAsia" w:ascii="宋体" w:hAnsi="宋体" w:cs="Times New Roman"/>
                <w:szCs w:val="21"/>
              </w:rPr>
              <w:t>；</w:t>
            </w:r>
          </w:p>
          <w:p w14:paraId="3D1FFF01">
            <w:pPr>
              <w:numPr>
                <w:ilvl w:val="0"/>
                <w:numId w:val="62"/>
              </w:numPr>
              <w:spacing w:line="264" w:lineRule="auto"/>
              <w:jc w:val="left"/>
              <w:rPr>
                <w:rFonts w:hint="eastAsia" w:ascii="宋体" w:hAnsi="宋体" w:cs="Times New Roman"/>
                <w:szCs w:val="21"/>
              </w:rPr>
            </w:pPr>
            <w:r>
              <w:rPr>
                <w:rFonts w:hint="eastAsia" w:ascii="宋体" w:hAnsi="宋体" w:cs="Times New Roman"/>
                <w:szCs w:val="21"/>
              </w:rPr>
              <w:t>认识</w:t>
            </w:r>
            <w:r>
              <w:rPr>
                <w:rFonts w:hint="eastAsia" w:ascii="宋体" w:hAnsi="宋体" w:eastAsia="宋体" w:cs="Times New Roman"/>
                <w:szCs w:val="21"/>
              </w:rPr>
              <w:t>四大发明中造纸术（与活字印刷术对知识传播的革新意义，分析火药与指南针推动世界文明进程的技术辐射力</w:t>
            </w:r>
            <w:r>
              <w:rPr>
                <w:rFonts w:hint="eastAsia" w:ascii="宋体" w:hAnsi="宋体" w:cs="Times New Roman"/>
                <w:szCs w:val="21"/>
              </w:rPr>
              <w:t>；</w:t>
            </w:r>
          </w:p>
          <w:p w14:paraId="0F869A10">
            <w:pPr>
              <w:numPr>
                <w:ilvl w:val="0"/>
                <w:numId w:val="62"/>
              </w:numPr>
              <w:spacing w:line="264" w:lineRule="auto"/>
              <w:jc w:val="left"/>
              <w:rPr>
                <w:rFonts w:hint="eastAsia" w:ascii="宋体" w:hAnsi="宋体" w:eastAsia="宋体" w:cs="Times New Roman"/>
                <w:szCs w:val="21"/>
              </w:rPr>
            </w:pPr>
            <w:r>
              <w:rPr>
                <w:rFonts w:hint="eastAsia" w:ascii="宋体" w:hAnsi="宋体" w:cs="Times New Roman"/>
                <w:szCs w:val="21"/>
              </w:rPr>
              <w:t>了解</w:t>
            </w:r>
            <w:r>
              <w:rPr>
                <w:rFonts w:hint="eastAsia" w:ascii="宋体" w:hAnsi="宋体" w:eastAsia="宋体" w:cs="Times New Roman"/>
                <w:szCs w:val="21"/>
              </w:rPr>
              <w:t>医学“天人合一”理念与儒道思想的交融，辨析</w:t>
            </w:r>
            <w:r>
              <w:rPr>
                <w:rFonts w:hint="eastAsia" w:ascii="宋体" w:hAnsi="宋体" w:cs="Times New Roman"/>
                <w:szCs w:val="21"/>
              </w:rPr>
              <w:t>看待</w:t>
            </w:r>
            <w:r>
              <w:rPr>
                <w:rFonts w:hint="eastAsia" w:ascii="宋体" w:hAnsi="宋体" w:eastAsia="宋体" w:cs="Times New Roman"/>
                <w:szCs w:val="21"/>
              </w:rPr>
              <w:t>四大发明通过丝绸之路对欧洲文艺复兴的技术催化作用‌</w:t>
            </w:r>
          </w:p>
        </w:tc>
        <w:tc>
          <w:tcPr>
            <w:tcW w:w="1320" w:type="dxa"/>
            <w:gridSpan w:val="2"/>
            <w:vAlign w:val="center"/>
          </w:tcPr>
          <w:p w14:paraId="39D12357">
            <w:pPr>
              <w:spacing w:line="264" w:lineRule="auto"/>
              <w:jc w:val="left"/>
              <w:rPr>
                <w:rFonts w:hint="eastAsia" w:ascii="宋体" w:hAnsi="宋体" w:eastAsia="宋体" w:cs="Times New Roman"/>
                <w:szCs w:val="21"/>
              </w:rPr>
            </w:pPr>
            <w:r>
              <w:rPr>
                <w:rFonts w:hint="eastAsia" w:ascii="宋体" w:hAnsi="宋体" w:eastAsia="宋体" w:cs="Times New Roman"/>
                <w:szCs w:val="21"/>
              </w:rPr>
              <w:t>1.课堂讲授</w:t>
            </w:r>
          </w:p>
          <w:p w14:paraId="27459E0B">
            <w:pPr>
              <w:spacing w:line="264" w:lineRule="auto"/>
              <w:jc w:val="left"/>
              <w:rPr>
                <w:rFonts w:hint="eastAsia" w:ascii="宋体" w:hAnsi="宋体" w:eastAsia="宋体" w:cs="Times New Roman"/>
                <w:szCs w:val="21"/>
              </w:rPr>
            </w:pPr>
            <w:r>
              <w:rPr>
                <w:rFonts w:hint="eastAsia" w:ascii="宋体" w:hAnsi="宋体" w:eastAsia="宋体" w:cs="Times New Roman"/>
                <w:szCs w:val="21"/>
              </w:rPr>
              <w:t>2.多媒体演示</w:t>
            </w:r>
          </w:p>
          <w:p w14:paraId="34CCD2E1">
            <w:pPr>
              <w:spacing w:line="264"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30C2D522">
            <w:pPr>
              <w:spacing w:line="264"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15" w:type="dxa"/>
            <w:vAlign w:val="center"/>
          </w:tcPr>
          <w:p w14:paraId="3D77598F">
            <w:pPr>
              <w:spacing w:line="264" w:lineRule="auto"/>
              <w:jc w:val="center"/>
              <w:rPr>
                <w:rFonts w:hint="eastAsia" w:ascii="宋体" w:hAnsi="宋体" w:eastAsia="宋体" w:cs="Times New Roman"/>
                <w:szCs w:val="21"/>
              </w:rPr>
            </w:pPr>
            <w:r>
              <w:rPr>
                <w:rFonts w:hint="eastAsia" w:ascii="宋体" w:hAnsi="宋体" w:cs="Times New Roman"/>
                <w:szCs w:val="21"/>
              </w:rPr>
              <w:t>3</w:t>
            </w:r>
          </w:p>
        </w:tc>
      </w:tr>
      <w:tr w14:paraId="1B3F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vAlign w:val="center"/>
          </w:tcPr>
          <w:p w14:paraId="54E0340D">
            <w:pPr>
              <w:spacing w:line="264" w:lineRule="auto"/>
              <w:jc w:val="center"/>
              <w:rPr>
                <w:rFonts w:hint="eastAsia" w:ascii="宋体" w:hAnsi="宋体" w:eastAsia="宋体" w:cs="Times New Roman"/>
                <w:szCs w:val="21"/>
              </w:rPr>
            </w:pPr>
          </w:p>
        </w:tc>
        <w:tc>
          <w:tcPr>
            <w:tcW w:w="8478" w:type="dxa"/>
            <w:gridSpan w:val="7"/>
            <w:vAlign w:val="center"/>
          </w:tcPr>
          <w:p w14:paraId="3839C4CB">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Arial" w:hAnsi="Arial" w:eastAsia="Arial" w:cs="Arial"/>
                <w:szCs w:val="21"/>
                <w:shd w:val="clear" w:color="auto" w:fill="FFFFFF"/>
              </w:rPr>
              <w:t>通过解析</w:t>
            </w:r>
            <w:r>
              <w:rPr>
                <w:rFonts w:hint="eastAsia" w:ascii="Arial" w:hAnsi="Arial" w:cs="Arial"/>
                <w:szCs w:val="21"/>
                <w:shd w:val="clear" w:color="auto" w:fill="FFFFFF"/>
              </w:rPr>
              <w:t>阴阳合历</w:t>
            </w:r>
            <w:r>
              <w:rPr>
                <w:rFonts w:ascii="Arial" w:hAnsi="Arial" w:eastAsia="Arial" w:cs="Arial"/>
                <w:szCs w:val="21"/>
                <w:shd w:val="clear" w:color="auto" w:fill="FFFFFF"/>
              </w:rPr>
              <w:t>、二十四节气等成就，展现中国古代天文学对自然规律的探索智慧，引导学生理解“观象授时”中蕴含的实践理性精神，增强对中华文明科学基因的认同</w:t>
            </w:r>
            <w:r>
              <w:rPr>
                <w:rFonts w:hint="eastAsia" w:ascii="Arial" w:hAnsi="Arial" w:cs="Arial"/>
                <w:szCs w:val="21"/>
                <w:shd w:val="clear" w:color="auto" w:fill="FFFFFF"/>
              </w:rPr>
              <w:t>；挖掘中医“天人相应”“整体观”的哲学思想，培养对中华医学文化价值的认同‌；通过丝绸之路上的印刷术西传、指南针助力大航海等史实，揭示中华科技对世界文明的贡献，反对“西方中心论”，增强文明对话能力‌。</w:t>
            </w:r>
            <w:r>
              <w:rPr>
                <w:rFonts w:ascii="Arial" w:hAnsi="Arial" w:eastAsia="Arial" w:cs="Arial"/>
                <w:szCs w:val="21"/>
                <w:shd w:val="clear" w:color="auto" w:fill="FFFFFF"/>
              </w:rPr>
              <w:t>‌</w:t>
            </w:r>
          </w:p>
        </w:tc>
      </w:tr>
      <w:tr w14:paraId="725B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6C2E2C6A">
            <w:pPr>
              <w:spacing w:line="264" w:lineRule="auto"/>
              <w:jc w:val="center"/>
              <w:rPr>
                <w:rFonts w:hint="eastAsia" w:ascii="宋体" w:hAnsi="宋体" w:eastAsia="宋体" w:cs="Times New Roman"/>
                <w:szCs w:val="21"/>
              </w:rPr>
            </w:pPr>
            <w:r>
              <w:rPr>
                <w:rFonts w:hint="eastAsia" w:ascii="宋体" w:hAnsi="宋体" w:cs="Times New Roman"/>
                <w:szCs w:val="21"/>
              </w:rPr>
              <w:t>10</w:t>
            </w:r>
            <w:r>
              <w:rPr>
                <w:rFonts w:hint="eastAsia" w:ascii="宋体" w:hAnsi="宋体" w:eastAsia="宋体" w:cs="Times New Roman"/>
                <w:szCs w:val="21"/>
              </w:rPr>
              <w:t>.</w:t>
            </w:r>
            <w:r>
              <w:rPr>
                <w:rFonts w:hint="eastAsia" w:ascii="宋体" w:hAnsi="宋体" w:cs="Times New Roman"/>
                <w:szCs w:val="21"/>
              </w:rPr>
              <w:t>传统建筑</w:t>
            </w:r>
          </w:p>
        </w:tc>
        <w:tc>
          <w:tcPr>
            <w:tcW w:w="2198" w:type="dxa"/>
            <w:vAlign w:val="center"/>
          </w:tcPr>
          <w:p w14:paraId="426AC529">
            <w:pPr>
              <w:spacing w:line="264" w:lineRule="auto"/>
              <w:jc w:val="left"/>
              <w:rPr>
                <w:rFonts w:hint="eastAsia" w:ascii="宋体" w:hAnsi="宋体" w:eastAsia="宋体" w:cs="Times New Roman"/>
                <w:szCs w:val="21"/>
              </w:rPr>
            </w:pPr>
            <w:r>
              <w:rPr>
                <w:rFonts w:hint="eastAsia" w:ascii="宋体" w:hAnsi="宋体" w:eastAsia="宋体" w:cs="Times New Roman"/>
                <w:szCs w:val="21"/>
              </w:rPr>
              <w:t>古代建筑概况</w:t>
            </w:r>
          </w:p>
          <w:p w14:paraId="151A8A0B">
            <w:pPr>
              <w:spacing w:line="264" w:lineRule="auto"/>
              <w:jc w:val="left"/>
              <w:rPr>
                <w:rFonts w:hint="eastAsia" w:ascii="宋体" w:hAnsi="宋体" w:eastAsia="宋体" w:cs="Times New Roman"/>
                <w:szCs w:val="21"/>
              </w:rPr>
            </w:pPr>
            <w:r>
              <w:rPr>
                <w:rFonts w:ascii="宋体" w:hAnsi="宋体" w:eastAsia="宋体" w:cs="Times New Roman"/>
                <w:szCs w:val="21"/>
              </w:rPr>
              <w:t>古代城池</w:t>
            </w:r>
          </w:p>
          <w:p w14:paraId="362E7ACC">
            <w:pPr>
              <w:spacing w:line="264" w:lineRule="auto"/>
              <w:jc w:val="left"/>
              <w:rPr>
                <w:rFonts w:hint="eastAsia" w:ascii="宋体" w:hAnsi="宋体" w:eastAsia="宋体" w:cs="Times New Roman"/>
                <w:szCs w:val="21"/>
              </w:rPr>
            </w:pPr>
            <w:r>
              <w:rPr>
                <w:rFonts w:ascii="宋体" w:hAnsi="宋体" w:eastAsia="宋体" w:cs="Times New Roman"/>
                <w:szCs w:val="21"/>
              </w:rPr>
              <w:t>宫殿建筑</w:t>
            </w:r>
          </w:p>
          <w:p w14:paraId="3029C3CB">
            <w:pPr>
              <w:spacing w:line="264" w:lineRule="auto"/>
              <w:jc w:val="left"/>
              <w:rPr>
                <w:rFonts w:hint="eastAsia" w:ascii="宋体" w:hAnsi="宋体" w:eastAsia="宋体" w:cs="Times New Roman"/>
                <w:szCs w:val="21"/>
              </w:rPr>
            </w:pPr>
            <w:r>
              <w:rPr>
                <w:rFonts w:ascii="宋体" w:hAnsi="宋体" w:eastAsia="宋体" w:cs="Times New Roman"/>
                <w:szCs w:val="21"/>
              </w:rPr>
              <w:t>帝王陵寝</w:t>
            </w:r>
          </w:p>
          <w:p w14:paraId="4D491ADC">
            <w:pPr>
              <w:spacing w:line="264" w:lineRule="auto"/>
              <w:jc w:val="left"/>
              <w:rPr>
                <w:rFonts w:hint="eastAsia" w:ascii="宋体" w:hAnsi="宋体" w:eastAsia="宋体" w:cs="Times New Roman"/>
                <w:szCs w:val="21"/>
              </w:rPr>
            </w:pPr>
            <w:r>
              <w:rPr>
                <w:rFonts w:ascii="宋体" w:hAnsi="宋体" w:eastAsia="宋体" w:cs="Times New Roman"/>
                <w:szCs w:val="21"/>
              </w:rPr>
              <w:t>万里长城和关隘</w:t>
            </w:r>
          </w:p>
          <w:p w14:paraId="08985B24">
            <w:pPr>
              <w:spacing w:line="264" w:lineRule="auto"/>
              <w:jc w:val="left"/>
              <w:rPr>
                <w:rFonts w:hint="eastAsia" w:ascii="宋体" w:hAnsi="宋体" w:eastAsia="宋体" w:cs="Times New Roman"/>
                <w:szCs w:val="21"/>
              </w:rPr>
            </w:pPr>
            <w:r>
              <w:rPr>
                <w:rFonts w:ascii="宋体" w:hAnsi="宋体" w:eastAsia="宋体" w:cs="Times New Roman"/>
                <w:szCs w:val="21"/>
              </w:rPr>
              <w:t>古代桥梁</w:t>
            </w:r>
          </w:p>
          <w:p w14:paraId="57ED3929">
            <w:pPr>
              <w:spacing w:line="264" w:lineRule="auto"/>
              <w:jc w:val="left"/>
              <w:rPr>
                <w:rFonts w:hint="eastAsia" w:ascii="宋体" w:hAnsi="宋体" w:eastAsia="宋体" w:cs="Times New Roman"/>
                <w:szCs w:val="21"/>
              </w:rPr>
            </w:pPr>
            <w:r>
              <w:rPr>
                <w:rFonts w:ascii="宋体" w:hAnsi="宋体" w:eastAsia="宋体" w:cs="Times New Roman"/>
                <w:szCs w:val="21"/>
              </w:rPr>
              <w:t>古代园林与亭台楼阁</w:t>
            </w:r>
          </w:p>
          <w:p w14:paraId="42B6C5DE">
            <w:pPr>
              <w:spacing w:line="264" w:lineRule="auto"/>
              <w:jc w:val="left"/>
              <w:rPr>
                <w:rFonts w:hint="eastAsia" w:ascii="宋体" w:hAnsi="宋体" w:eastAsia="宋体" w:cs="Times New Roman"/>
                <w:szCs w:val="21"/>
              </w:rPr>
            </w:pPr>
            <w:r>
              <w:rPr>
                <w:rFonts w:ascii="宋体" w:hAnsi="宋体" w:eastAsia="宋体" w:cs="Times New Roman"/>
                <w:szCs w:val="21"/>
              </w:rPr>
              <w:t>宗教祭祀建筑</w:t>
            </w:r>
          </w:p>
          <w:p w14:paraId="78D1A5AB">
            <w:pPr>
              <w:spacing w:line="264" w:lineRule="auto"/>
              <w:jc w:val="left"/>
              <w:rPr>
                <w:rFonts w:hint="eastAsia" w:ascii="宋体" w:hAnsi="宋体" w:eastAsia="宋体" w:cs="Times New Roman"/>
                <w:szCs w:val="21"/>
              </w:rPr>
            </w:pPr>
            <w:r>
              <w:rPr>
                <w:rFonts w:ascii="宋体" w:hAnsi="宋体" w:eastAsia="宋体" w:cs="Times New Roman"/>
                <w:szCs w:val="21"/>
              </w:rPr>
              <w:t>装饰性建筑</w:t>
            </w:r>
          </w:p>
          <w:p w14:paraId="1DCD9107">
            <w:pPr>
              <w:spacing w:line="264" w:lineRule="auto"/>
              <w:jc w:val="left"/>
              <w:rPr>
                <w:rFonts w:hint="eastAsia" w:ascii="宋体" w:hAnsi="宋体" w:cs="Times New Roman"/>
                <w:szCs w:val="21"/>
              </w:rPr>
            </w:pPr>
            <w:r>
              <w:rPr>
                <w:rFonts w:ascii="宋体" w:hAnsi="宋体" w:cs="Times New Roman"/>
                <w:szCs w:val="21"/>
              </w:rPr>
              <w:t>‌</w:t>
            </w:r>
          </w:p>
        </w:tc>
        <w:tc>
          <w:tcPr>
            <w:tcW w:w="1117" w:type="dxa"/>
            <w:vAlign w:val="center"/>
          </w:tcPr>
          <w:p w14:paraId="72416F6A">
            <w:pPr>
              <w:spacing w:line="269" w:lineRule="auto"/>
              <w:jc w:val="center"/>
              <w:rPr>
                <w:rFonts w:hint="eastAsia" w:ascii="宋体" w:hAnsi="宋体" w:cs="Times New Roman"/>
                <w:szCs w:val="21"/>
              </w:rPr>
            </w:pPr>
            <w:r>
              <w:rPr>
                <w:rFonts w:hint="eastAsia" w:ascii="宋体" w:hAnsi="宋体" w:eastAsia="宋体" w:cs="Times New Roman"/>
                <w:szCs w:val="21"/>
              </w:rPr>
              <w:t>课程目标1</w:t>
            </w:r>
          </w:p>
        </w:tc>
        <w:tc>
          <w:tcPr>
            <w:tcW w:w="3104" w:type="dxa"/>
            <w:vAlign w:val="center"/>
          </w:tcPr>
          <w:p w14:paraId="535C2659">
            <w:pPr>
              <w:numPr>
                <w:ilvl w:val="0"/>
                <w:numId w:val="63"/>
              </w:numPr>
              <w:spacing w:line="264" w:lineRule="auto"/>
              <w:jc w:val="left"/>
              <w:rPr>
                <w:rFonts w:hint="eastAsia" w:ascii="宋体" w:hAnsi="宋体" w:cs="Times New Roman"/>
                <w:szCs w:val="21"/>
              </w:rPr>
            </w:pPr>
            <w:r>
              <w:rPr>
                <w:rFonts w:ascii="宋体" w:hAnsi="宋体" w:eastAsia="宋体" w:cs="Times New Roman"/>
                <w:szCs w:val="21"/>
              </w:rPr>
              <w:t>掌握城池“城郭护河”防御体系及宫殿“前朝后寝”布局范式，理解园林“移步换景”造园理念</w:t>
            </w:r>
            <w:r>
              <w:rPr>
                <w:rFonts w:hint="eastAsia" w:ascii="宋体" w:hAnsi="宋体" w:cs="Times New Roman"/>
                <w:szCs w:val="21"/>
              </w:rPr>
              <w:t>；</w:t>
            </w:r>
          </w:p>
          <w:p w14:paraId="11381374">
            <w:pPr>
              <w:numPr>
                <w:ilvl w:val="0"/>
                <w:numId w:val="63"/>
              </w:numPr>
              <w:spacing w:line="264" w:lineRule="auto"/>
              <w:jc w:val="left"/>
              <w:rPr>
                <w:rFonts w:hint="eastAsia" w:ascii="宋体" w:hAnsi="宋体" w:cs="Times New Roman"/>
                <w:szCs w:val="21"/>
              </w:rPr>
            </w:pPr>
            <w:r>
              <w:rPr>
                <w:rFonts w:hint="eastAsia" w:ascii="宋体" w:hAnsi="宋体" w:cs="Times New Roman"/>
                <w:szCs w:val="21"/>
              </w:rPr>
              <w:t>了解</w:t>
            </w:r>
            <w:r>
              <w:rPr>
                <w:rFonts w:ascii="宋体" w:hAnsi="宋体" w:cs="Times New Roman"/>
                <w:szCs w:val="21"/>
              </w:rPr>
              <w:t>木构建筑“斗拱承重”技术智慧，认知长城关隘“连点成线”军事价值</w:t>
            </w:r>
            <w:r>
              <w:rPr>
                <w:rFonts w:hint="eastAsia" w:ascii="宋体" w:hAnsi="宋体" w:cs="Times New Roman"/>
                <w:szCs w:val="21"/>
              </w:rPr>
              <w:t>以及</w:t>
            </w:r>
            <w:r>
              <w:rPr>
                <w:rFonts w:ascii="宋体" w:hAnsi="宋体" w:cs="Times New Roman"/>
                <w:szCs w:val="21"/>
              </w:rPr>
              <w:t>陵寝建筑“天人合一”宇宙观表达</w:t>
            </w:r>
            <w:r>
              <w:rPr>
                <w:rFonts w:hint="eastAsia" w:ascii="宋体" w:hAnsi="宋体" w:cs="Times New Roman"/>
                <w:szCs w:val="21"/>
              </w:rPr>
              <w:t>；</w:t>
            </w:r>
          </w:p>
          <w:p w14:paraId="2F4F0AEE">
            <w:pPr>
              <w:spacing w:line="264" w:lineRule="auto"/>
              <w:jc w:val="left"/>
              <w:rPr>
                <w:rFonts w:hint="eastAsia" w:ascii="宋体" w:hAnsi="宋体" w:cs="Times New Roman"/>
                <w:szCs w:val="21"/>
              </w:rPr>
            </w:pPr>
            <w:r>
              <w:rPr>
                <w:rFonts w:hint="eastAsia" w:ascii="宋体" w:hAnsi="宋体" w:cs="Times New Roman"/>
                <w:szCs w:val="21"/>
              </w:rPr>
              <w:t>3.熟悉</w:t>
            </w:r>
            <w:r>
              <w:rPr>
                <w:rFonts w:ascii="宋体" w:hAnsi="宋体" w:cs="Times New Roman"/>
                <w:szCs w:val="21"/>
              </w:rPr>
              <w:t>桥梁“廊桥亭榭”多元形制，辨析亭台楼阁“观景抒怀”文人意趣</w:t>
            </w:r>
          </w:p>
        </w:tc>
        <w:tc>
          <w:tcPr>
            <w:tcW w:w="1644" w:type="dxa"/>
            <w:gridSpan w:val="3"/>
            <w:vAlign w:val="center"/>
          </w:tcPr>
          <w:p w14:paraId="0663125F">
            <w:pPr>
              <w:spacing w:line="264" w:lineRule="auto"/>
              <w:jc w:val="left"/>
              <w:rPr>
                <w:rFonts w:hint="eastAsia" w:ascii="宋体" w:hAnsi="宋体" w:cs="Times New Roman"/>
                <w:szCs w:val="21"/>
              </w:rPr>
            </w:pPr>
            <w:r>
              <w:rPr>
                <w:rFonts w:hint="eastAsia" w:ascii="宋体" w:hAnsi="宋体" w:cs="Times New Roman"/>
                <w:szCs w:val="21"/>
              </w:rPr>
              <w:t>1.课堂讲授</w:t>
            </w:r>
          </w:p>
          <w:p w14:paraId="21C48C0C">
            <w:pPr>
              <w:spacing w:line="264" w:lineRule="auto"/>
              <w:jc w:val="left"/>
              <w:rPr>
                <w:rFonts w:hint="eastAsia" w:ascii="宋体" w:hAnsi="宋体" w:cs="Times New Roman"/>
                <w:szCs w:val="21"/>
              </w:rPr>
            </w:pPr>
            <w:r>
              <w:rPr>
                <w:rFonts w:hint="eastAsia" w:ascii="宋体" w:hAnsi="宋体" w:cs="Times New Roman"/>
                <w:szCs w:val="21"/>
              </w:rPr>
              <w:t>2.多媒体演示</w:t>
            </w:r>
          </w:p>
          <w:p w14:paraId="0C3D716B">
            <w:pPr>
              <w:spacing w:line="264" w:lineRule="auto"/>
              <w:jc w:val="left"/>
              <w:rPr>
                <w:rFonts w:hint="eastAsia" w:ascii="宋体" w:hAnsi="宋体" w:cs="Times New Roman"/>
                <w:szCs w:val="21"/>
              </w:rPr>
            </w:pPr>
            <w:r>
              <w:rPr>
                <w:rFonts w:hint="eastAsia" w:ascii="宋体" w:hAnsi="宋体" w:cs="Times New Roman"/>
                <w:szCs w:val="21"/>
              </w:rPr>
              <w:t>3.课堂讨论</w:t>
            </w:r>
          </w:p>
          <w:p w14:paraId="2C34CD2B">
            <w:pPr>
              <w:spacing w:line="264" w:lineRule="auto"/>
              <w:jc w:val="left"/>
              <w:rPr>
                <w:rFonts w:hint="eastAsia" w:ascii="宋体" w:hAnsi="宋体" w:cs="Times New Roman"/>
                <w:szCs w:val="21"/>
              </w:rPr>
            </w:pPr>
            <w:r>
              <w:rPr>
                <w:rFonts w:hint="eastAsia" w:ascii="宋体" w:hAnsi="宋体" w:cs="Times New Roman"/>
                <w:szCs w:val="21"/>
              </w:rPr>
              <w:t>4.单元测验</w:t>
            </w:r>
          </w:p>
        </w:tc>
        <w:tc>
          <w:tcPr>
            <w:tcW w:w="415" w:type="dxa"/>
            <w:vAlign w:val="center"/>
          </w:tcPr>
          <w:p w14:paraId="00AFC66A">
            <w:pPr>
              <w:spacing w:line="264" w:lineRule="auto"/>
              <w:jc w:val="left"/>
              <w:rPr>
                <w:rFonts w:hint="eastAsia" w:ascii="宋体" w:hAnsi="宋体" w:cs="Times New Roman"/>
                <w:szCs w:val="21"/>
              </w:rPr>
            </w:pPr>
            <w:r>
              <w:rPr>
                <w:rFonts w:hint="eastAsia" w:ascii="宋体" w:hAnsi="宋体" w:cs="Times New Roman"/>
                <w:szCs w:val="21"/>
              </w:rPr>
              <w:t>4</w:t>
            </w:r>
          </w:p>
        </w:tc>
      </w:tr>
      <w:tr w14:paraId="6FB2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Align w:val="center"/>
          </w:tcPr>
          <w:p w14:paraId="3911ACAE">
            <w:pPr>
              <w:spacing w:line="264" w:lineRule="auto"/>
              <w:jc w:val="center"/>
              <w:rPr>
                <w:rFonts w:hint="eastAsia" w:ascii="宋体" w:hAnsi="宋体" w:eastAsia="宋体" w:cs="Times New Roman"/>
                <w:szCs w:val="21"/>
              </w:rPr>
            </w:pPr>
          </w:p>
        </w:tc>
        <w:tc>
          <w:tcPr>
            <w:tcW w:w="8478" w:type="dxa"/>
            <w:gridSpan w:val="7"/>
            <w:vAlign w:val="center"/>
          </w:tcPr>
          <w:p w14:paraId="761A72CA">
            <w:pPr>
              <w:spacing w:line="264" w:lineRule="auto"/>
              <w:jc w:val="left"/>
              <w:rPr>
                <w:rFonts w:hint="eastAsia" w:ascii="宋体" w:hAnsi="宋体" w:eastAsia="宋体" w:cs="Times New Roman"/>
                <w:szCs w:val="21"/>
              </w:rPr>
            </w:pPr>
            <w:r>
              <w:rPr>
                <w:rFonts w:ascii="宋体" w:hAnsi="宋体" w:eastAsia="宋体" w:cs="Times New Roman"/>
                <w:szCs w:val="21"/>
              </w:rPr>
              <w:t>解析中国古建筑“墙倒屋不塌”的框架式结构特征，展现古代工匠对材料力学与功能美学的统一，呼应“守正创新”的当代科技精神</w:t>
            </w:r>
            <w:r>
              <w:rPr>
                <w:rFonts w:hint="eastAsia" w:ascii="宋体" w:hAnsi="宋体" w:cs="Times New Roman"/>
                <w:szCs w:val="21"/>
              </w:rPr>
              <w:t>；</w:t>
            </w:r>
            <w:r>
              <w:rPr>
                <w:rFonts w:ascii="宋体" w:hAnsi="宋体" w:eastAsia="宋体" w:cs="Times New Roman"/>
                <w:szCs w:val="21"/>
              </w:rPr>
              <w:t>通过建筑形制演变，揭示中华文明“多元一体”的发展逻辑，增强民族认同感</w:t>
            </w:r>
            <w:r>
              <w:rPr>
                <w:rFonts w:hint="eastAsia" w:ascii="宋体" w:hAnsi="宋体" w:cs="Times New Roman"/>
                <w:szCs w:val="21"/>
              </w:rPr>
              <w:t>；解析长城“因地形用险制塞”的军事智慧（如山海关、嘉峪关），联系新时代总体国家安全观，强化领土主权意识‌；通过赵州桥“敞肩拱”技术、卢沟桥“数理美学”石狮雕刻，展现古代“技艺载道”的实践智慧，呼应“大国工匠”精神‌。以苏州园林“咫尺山林”造园理念、岳阳楼“先忧后乐”文化意象为核心，阐释“天人合一”生态观与士人精神追求的统一‌。</w:t>
            </w:r>
            <w:r>
              <w:rPr>
                <w:rFonts w:ascii="宋体" w:hAnsi="宋体" w:eastAsia="宋体" w:cs="Times New Roman"/>
                <w:szCs w:val="21"/>
              </w:rPr>
              <w:t>‌</w:t>
            </w:r>
          </w:p>
        </w:tc>
      </w:tr>
      <w:tr w14:paraId="4D1C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restart"/>
            <w:vAlign w:val="center"/>
          </w:tcPr>
          <w:p w14:paraId="319466DE">
            <w:pPr>
              <w:spacing w:line="264" w:lineRule="auto"/>
              <w:jc w:val="center"/>
              <w:rPr>
                <w:rFonts w:hint="eastAsia" w:ascii="宋体" w:hAnsi="宋体" w:eastAsia="宋体" w:cs="Times New Roman"/>
                <w:szCs w:val="21"/>
              </w:rPr>
            </w:pPr>
            <w:r>
              <w:rPr>
                <w:rFonts w:hint="eastAsia" w:ascii="宋体" w:hAnsi="宋体" w:eastAsia="宋体" w:cs="Times New Roman"/>
                <w:szCs w:val="21"/>
              </w:rPr>
              <w:t>1</w:t>
            </w:r>
            <w:r>
              <w:rPr>
                <w:rFonts w:hint="eastAsia" w:ascii="宋体" w:hAnsi="宋体" w:cs="Times New Roman"/>
                <w:szCs w:val="21"/>
              </w:rPr>
              <w:t>1</w:t>
            </w:r>
            <w:r>
              <w:rPr>
                <w:rFonts w:hint="eastAsia" w:ascii="宋体" w:hAnsi="宋体" w:eastAsia="宋体" w:cs="Times New Roman"/>
                <w:szCs w:val="21"/>
              </w:rPr>
              <w:t>.</w:t>
            </w:r>
            <w:r>
              <w:rPr>
                <w:rFonts w:hint="eastAsia" w:ascii="宋体" w:hAnsi="宋体" w:cs="Times New Roman"/>
                <w:szCs w:val="21"/>
              </w:rPr>
              <w:t>各类艺术</w:t>
            </w:r>
          </w:p>
        </w:tc>
        <w:tc>
          <w:tcPr>
            <w:tcW w:w="2198" w:type="dxa"/>
            <w:vAlign w:val="center"/>
          </w:tcPr>
          <w:p w14:paraId="253B2B4A">
            <w:pPr>
              <w:spacing w:line="264" w:lineRule="auto"/>
              <w:jc w:val="left"/>
              <w:rPr>
                <w:rFonts w:hint="eastAsia" w:ascii="宋体" w:hAnsi="宋体" w:eastAsia="宋体" w:cs="Times New Roman"/>
                <w:szCs w:val="21"/>
              </w:rPr>
            </w:pPr>
            <w:r>
              <w:rPr>
                <w:rFonts w:hint="eastAsia" w:ascii="宋体" w:hAnsi="宋体" w:eastAsia="宋体" w:cs="Times New Roman"/>
                <w:szCs w:val="21"/>
              </w:rPr>
              <w:t>书法艺术</w:t>
            </w:r>
            <w:r>
              <w:rPr>
                <w:rFonts w:hint="eastAsia" w:ascii="宋体" w:hAnsi="宋体" w:eastAsia="宋体" w:cs="Times New Roman"/>
                <w:szCs w:val="21"/>
              </w:rPr>
              <w:tab/>
            </w:r>
          </w:p>
          <w:p w14:paraId="69F88B26">
            <w:pPr>
              <w:spacing w:line="264" w:lineRule="auto"/>
              <w:jc w:val="left"/>
              <w:rPr>
                <w:rFonts w:hint="eastAsia" w:ascii="宋体" w:hAnsi="宋体" w:eastAsia="宋体" w:cs="Times New Roman"/>
                <w:szCs w:val="21"/>
              </w:rPr>
            </w:pPr>
            <w:r>
              <w:rPr>
                <w:rFonts w:hint="eastAsia" w:ascii="宋体" w:hAnsi="宋体" w:eastAsia="宋体" w:cs="Times New Roman"/>
                <w:szCs w:val="21"/>
              </w:rPr>
              <w:t>雕塑艺术</w:t>
            </w:r>
          </w:p>
          <w:p w14:paraId="7EFF25C4">
            <w:pPr>
              <w:spacing w:line="264" w:lineRule="auto"/>
              <w:jc w:val="left"/>
              <w:rPr>
                <w:rFonts w:hint="eastAsia" w:ascii="宋体" w:hAnsi="宋体" w:eastAsia="宋体" w:cs="Times New Roman"/>
                <w:szCs w:val="21"/>
              </w:rPr>
            </w:pPr>
            <w:r>
              <w:rPr>
                <w:rFonts w:hint="eastAsia" w:ascii="宋体" w:hAnsi="宋体" w:eastAsia="宋体" w:cs="Times New Roman"/>
                <w:szCs w:val="21"/>
              </w:rPr>
              <w:t>戏曲艺术</w:t>
            </w:r>
          </w:p>
          <w:p w14:paraId="1D58BECD">
            <w:pPr>
              <w:spacing w:line="264" w:lineRule="auto"/>
              <w:jc w:val="left"/>
              <w:rPr>
                <w:rFonts w:hint="eastAsia" w:ascii="宋体" w:hAnsi="宋体" w:eastAsia="宋体" w:cs="Times New Roman"/>
                <w:szCs w:val="21"/>
              </w:rPr>
            </w:pPr>
            <w:r>
              <w:rPr>
                <w:rFonts w:hint="eastAsia" w:ascii="宋体" w:hAnsi="宋体" w:eastAsia="宋体" w:cs="Times New Roman"/>
                <w:szCs w:val="21"/>
              </w:rPr>
              <w:t>绘画艺术</w:t>
            </w:r>
          </w:p>
          <w:p w14:paraId="709C75D8">
            <w:pPr>
              <w:spacing w:line="264" w:lineRule="auto"/>
              <w:jc w:val="left"/>
              <w:rPr>
                <w:rFonts w:hint="eastAsia" w:ascii="宋体" w:hAnsi="宋体" w:eastAsia="宋体" w:cs="Times New Roman"/>
                <w:szCs w:val="21"/>
              </w:rPr>
            </w:pPr>
            <w:r>
              <w:rPr>
                <w:rFonts w:hint="eastAsia" w:ascii="宋体" w:hAnsi="宋体" w:eastAsia="宋体" w:cs="Times New Roman"/>
                <w:szCs w:val="21"/>
              </w:rPr>
              <w:t>民族音乐艺术</w:t>
            </w:r>
          </w:p>
          <w:p w14:paraId="3D61C23A">
            <w:pPr>
              <w:spacing w:line="264" w:lineRule="auto"/>
              <w:jc w:val="left"/>
              <w:rPr>
                <w:rFonts w:hint="eastAsia" w:ascii="宋体" w:hAnsi="宋体" w:eastAsia="宋体" w:cs="Times New Roman"/>
                <w:szCs w:val="21"/>
              </w:rPr>
            </w:pPr>
            <w:r>
              <w:rPr>
                <w:rFonts w:hint="eastAsia" w:ascii="宋体" w:hAnsi="宋体" w:eastAsia="宋体" w:cs="Times New Roman"/>
                <w:szCs w:val="21"/>
              </w:rPr>
              <w:t>楹联艺术</w:t>
            </w:r>
          </w:p>
        </w:tc>
        <w:tc>
          <w:tcPr>
            <w:tcW w:w="1117" w:type="dxa"/>
            <w:vAlign w:val="center"/>
          </w:tcPr>
          <w:p w14:paraId="6A64EE21">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428" w:type="dxa"/>
            <w:gridSpan w:val="2"/>
            <w:vAlign w:val="center"/>
          </w:tcPr>
          <w:p w14:paraId="3D1057A2">
            <w:pPr>
              <w:spacing w:line="264" w:lineRule="auto"/>
              <w:jc w:val="left"/>
              <w:rPr>
                <w:rFonts w:hint="eastAsia" w:ascii="宋体" w:hAnsi="宋体" w:cs="Times New Roman"/>
                <w:szCs w:val="21"/>
              </w:rPr>
            </w:pPr>
            <w:r>
              <w:rPr>
                <w:rFonts w:hint="eastAsia" w:ascii="宋体" w:hAnsi="宋体" w:cs="Times New Roman"/>
                <w:szCs w:val="21"/>
              </w:rPr>
              <w:t>1.</w:t>
            </w:r>
            <w:r>
              <w:rPr>
                <w:rFonts w:hint="eastAsia" w:ascii="宋体" w:hAnsi="宋体" w:eastAsia="宋体" w:cs="Times New Roman"/>
                <w:szCs w:val="21"/>
              </w:rPr>
              <w:t>掌握书法艺术“笔法、墨法”的书写规律及楹联艺术平仄对仗的创作规则</w:t>
            </w:r>
            <w:r>
              <w:rPr>
                <w:rFonts w:hint="eastAsia" w:ascii="宋体" w:hAnsi="宋体" w:cs="Times New Roman"/>
                <w:szCs w:val="21"/>
              </w:rPr>
              <w:t>；</w:t>
            </w:r>
          </w:p>
          <w:p w14:paraId="36FEAE0E">
            <w:pPr>
              <w:spacing w:line="264" w:lineRule="auto"/>
              <w:jc w:val="left"/>
              <w:rPr>
                <w:rFonts w:hint="eastAsia" w:ascii="宋体" w:hAnsi="宋体" w:eastAsia="宋体" w:cs="Times New Roman"/>
                <w:szCs w:val="21"/>
              </w:rPr>
            </w:pPr>
            <w:r>
              <w:rPr>
                <w:rFonts w:hint="eastAsia" w:ascii="宋体" w:hAnsi="宋体" w:cs="Times New Roman"/>
                <w:szCs w:val="21"/>
              </w:rPr>
              <w:t>2.</w:t>
            </w:r>
            <w:r>
              <w:rPr>
                <w:rFonts w:hint="eastAsia" w:ascii="宋体" w:hAnsi="宋体" w:eastAsia="宋体" w:cs="Times New Roman"/>
                <w:szCs w:val="21"/>
              </w:rPr>
              <w:t>理解戏曲艺术“唱念做打”程式化表演背后的历史叙事</w:t>
            </w:r>
            <w:r>
              <w:rPr>
                <w:rFonts w:hint="eastAsia" w:ascii="宋体" w:hAnsi="宋体" w:cs="Times New Roman"/>
                <w:szCs w:val="21"/>
              </w:rPr>
              <w:t>；</w:t>
            </w:r>
          </w:p>
          <w:p w14:paraId="63681E82">
            <w:pPr>
              <w:spacing w:line="264" w:lineRule="auto"/>
              <w:jc w:val="left"/>
              <w:rPr>
                <w:rFonts w:hint="eastAsia" w:ascii="宋体" w:hAnsi="宋体" w:eastAsia="宋体" w:cs="Times New Roman"/>
                <w:szCs w:val="21"/>
              </w:rPr>
            </w:pPr>
            <w:r>
              <w:rPr>
                <w:rFonts w:hint="eastAsia" w:ascii="宋体" w:hAnsi="宋体" w:cs="Times New Roman"/>
                <w:szCs w:val="21"/>
              </w:rPr>
              <w:t>3.</w:t>
            </w:r>
            <w:r>
              <w:rPr>
                <w:rFonts w:hint="eastAsia" w:ascii="宋体" w:hAnsi="宋体" w:eastAsia="宋体" w:cs="Times New Roman"/>
                <w:szCs w:val="21"/>
              </w:rPr>
              <w:t>认知楹联艺术“联律六要素”承载的中华语言智慧‌</w:t>
            </w:r>
            <w:r>
              <w:rPr>
                <w:rFonts w:hint="eastAsia" w:ascii="宋体" w:hAnsi="宋体" w:cs="Times New Roman"/>
                <w:szCs w:val="21"/>
              </w:rPr>
              <w:t>。</w:t>
            </w:r>
          </w:p>
        </w:tc>
        <w:tc>
          <w:tcPr>
            <w:tcW w:w="1308" w:type="dxa"/>
            <w:vAlign w:val="center"/>
          </w:tcPr>
          <w:p w14:paraId="2C674FBF">
            <w:pPr>
              <w:spacing w:line="264" w:lineRule="auto"/>
              <w:jc w:val="left"/>
              <w:rPr>
                <w:rFonts w:hint="eastAsia" w:ascii="宋体" w:hAnsi="宋体" w:eastAsia="宋体" w:cs="Times New Roman"/>
                <w:szCs w:val="21"/>
              </w:rPr>
            </w:pPr>
            <w:r>
              <w:rPr>
                <w:rFonts w:hint="eastAsia" w:ascii="宋体" w:hAnsi="宋体" w:eastAsia="宋体" w:cs="Times New Roman"/>
                <w:szCs w:val="21"/>
              </w:rPr>
              <w:t>1.课堂讲授</w:t>
            </w:r>
          </w:p>
          <w:p w14:paraId="126B2928">
            <w:pPr>
              <w:spacing w:line="264" w:lineRule="auto"/>
              <w:jc w:val="left"/>
              <w:rPr>
                <w:rFonts w:hint="eastAsia" w:ascii="宋体" w:hAnsi="宋体" w:eastAsia="宋体" w:cs="Times New Roman"/>
                <w:szCs w:val="21"/>
              </w:rPr>
            </w:pPr>
            <w:r>
              <w:rPr>
                <w:rFonts w:hint="eastAsia" w:ascii="宋体" w:hAnsi="宋体" w:eastAsia="宋体" w:cs="Times New Roman"/>
                <w:szCs w:val="21"/>
              </w:rPr>
              <w:t>2.多媒体演示</w:t>
            </w:r>
          </w:p>
          <w:p w14:paraId="3416A40C">
            <w:pPr>
              <w:spacing w:line="264" w:lineRule="auto"/>
              <w:jc w:val="left"/>
              <w:rPr>
                <w:rFonts w:hint="eastAsia" w:ascii="宋体" w:hAnsi="宋体" w:eastAsia="宋体" w:cs="Times New Roman"/>
                <w:szCs w:val="21"/>
              </w:rPr>
            </w:pPr>
            <w:r>
              <w:rPr>
                <w:rFonts w:hint="eastAsia" w:ascii="宋体" w:hAnsi="宋体" w:eastAsia="宋体" w:cs="Times New Roman"/>
                <w:szCs w:val="21"/>
              </w:rPr>
              <w:t>3.课堂讨论</w:t>
            </w:r>
          </w:p>
          <w:p w14:paraId="63A022E5">
            <w:pPr>
              <w:spacing w:line="264"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27" w:type="dxa"/>
            <w:gridSpan w:val="2"/>
            <w:vAlign w:val="center"/>
          </w:tcPr>
          <w:p w14:paraId="1167906C">
            <w:pPr>
              <w:spacing w:line="264" w:lineRule="auto"/>
              <w:jc w:val="left"/>
              <w:rPr>
                <w:rFonts w:hint="eastAsia" w:ascii="宋体" w:hAnsi="宋体" w:eastAsia="宋体" w:cs="Times New Roman"/>
                <w:szCs w:val="21"/>
              </w:rPr>
            </w:pPr>
            <w:r>
              <w:rPr>
                <w:rFonts w:hint="eastAsia" w:ascii="宋体" w:hAnsi="宋体" w:cs="Times New Roman"/>
                <w:szCs w:val="21"/>
              </w:rPr>
              <w:t>3</w:t>
            </w:r>
          </w:p>
        </w:tc>
      </w:tr>
      <w:tr w14:paraId="50DE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0" w:type="dxa"/>
            <w:vMerge w:val="continue"/>
            <w:vAlign w:val="center"/>
          </w:tcPr>
          <w:p w14:paraId="5019C789">
            <w:pPr>
              <w:spacing w:line="264" w:lineRule="auto"/>
              <w:jc w:val="center"/>
              <w:rPr>
                <w:rFonts w:hint="eastAsia" w:ascii="宋体" w:hAnsi="宋体" w:eastAsia="宋体" w:cs="Times New Roman"/>
                <w:szCs w:val="21"/>
              </w:rPr>
            </w:pPr>
          </w:p>
        </w:tc>
        <w:tc>
          <w:tcPr>
            <w:tcW w:w="8478" w:type="dxa"/>
            <w:gridSpan w:val="7"/>
            <w:vAlign w:val="center"/>
          </w:tcPr>
          <w:p w14:paraId="0808B395">
            <w:pPr>
              <w:spacing w:line="264"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通过书法艺术“中正和谐”的笔墨规范和戏曲艺术“忠孝节义”的家国叙事，引导学生树立中华美学精神的价值认同</w:t>
            </w:r>
            <w:r>
              <w:rPr>
                <w:rFonts w:hint="eastAsia" w:ascii="宋体" w:hAnsi="宋体" w:cs="Times New Roman"/>
                <w:szCs w:val="21"/>
              </w:rPr>
              <w:t>；依托楹联艺术“联墨双修”的思政载体和绘画艺术“以艺载道”的创作导向，强化艺术服务社会的责任担当。‌</w:t>
            </w:r>
            <w:r>
              <w:rPr>
                <w:rFonts w:hint="eastAsia" w:ascii="宋体" w:hAnsi="宋体" w:eastAsia="宋体" w:cs="Times New Roman"/>
                <w:szCs w:val="21"/>
              </w:rPr>
              <w:t>‌</w:t>
            </w:r>
          </w:p>
        </w:tc>
      </w:tr>
    </w:tbl>
    <w:p w14:paraId="700BB73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0C7F9D82">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6CA3B7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w:t>
      </w:r>
      <w:r>
        <w:rPr>
          <w:rFonts w:hint="eastAsia" w:cs="Times New Roman"/>
          <w:szCs w:val="21"/>
        </w:rPr>
        <w:t>下表</w:t>
      </w:r>
      <w:r>
        <w:rPr>
          <w:rFonts w:ascii="Times New Roman" w:hAnsi="Times New Roman" w:eastAsia="宋体" w:cs="Times New Roman"/>
          <w:szCs w:val="21"/>
        </w:rPr>
        <w:t>所示。</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556"/>
        <w:gridCol w:w="1592"/>
        <w:gridCol w:w="1313"/>
        <w:gridCol w:w="1705"/>
        <w:gridCol w:w="1007"/>
      </w:tblGrid>
      <w:tr w14:paraId="13BF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96" w:type="dxa"/>
            <w:vMerge w:val="restart"/>
            <w:vAlign w:val="center"/>
          </w:tcPr>
          <w:p w14:paraId="67577F9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5547" w:type="dxa"/>
            <w:gridSpan w:val="4"/>
            <w:vAlign w:val="center"/>
          </w:tcPr>
          <w:p w14:paraId="22C6DBBD">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906" w:type="dxa"/>
            <w:vMerge w:val="restart"/>
            <w:vAlign w:val="center"/>
          </w:tcPr>
          <w:p w14:paraId="41E89C41">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E10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Merge w:val="continue"/>
            <w:vAlign w:val="center"/>
          </w:tcPr>
          <w:p w14:paraId="2BCAC7F8">
            <w:pPr>
              <w:spacing w:line="360" w:lineRule="auto"/>
              <w:jc w:val="center"/>
              <w:rPr>
                <w:rFonts w:hint="eastAsia" w:ascii="宋体" w:hAnsi="宋体" w:eastAsia="宋体" w:cs="Times New Roman"/>
                <w:szCs w:val="21"/>
              </w:rPr>
            </w:pPr>
          </w:p>
        </w:tc>
        <w:tc>
          <w:tcPr>
            <w:tcW w:w="1400" w:type="dxa"/>
            <w:vAlign w:val="center"/>
          </w:tcPr>
          <w:p w14:paraId="1D66408D">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432" w:type="dxa"/>
            <w:vAlign w:val="center"/>
          </w:tcPr>
          <w:p w14:paraId="76C71153">
            <w:pPr>
              <w:spacing w:line="360" w:lineRule="auto"/>
              <w:jc w:val="center"/>
              <w:rPr>
                <w:rFonts w:hint="eastAsia" w:ascii="宋体" w:hAnsi="宋体" w:eastAsia="宋体" w:cs="Times New Roman"/>
                <w:szCs w:val="21"/>
              </w:rPr>
            </w:pPr>
            <w:r>
              <w:rPr>
                <w:rFonts w:hint="eastAsia" w:ascii="宋体" w:hAnsi="宋体" w:cs="Times New Roman"/>
                <w:szCs w:val="21"/>
              </w:rPr>
              <w:t>平时作业</w:t>
            </w:r>
          </w:p>
        </w:tc>
        <w:tc>
          <w:tcPr>
            <w:tcW w:w="1181" w:type="dxa"/>
            <w:vAlign w:val="center"/>
          </w:tcPr>
          <w:p w14:paraId="4DF08E85">
            <w:pPr>
              <w:spacing w:line="360" w:lineRule="auto"/>
              <w:jc w:val="center"/>
              <w:rPr>
                <w:rFonts w:hint="eastAsia" w:ascii="宋体" w:hAnsi="宋体" w:cs="Times New Roman"/>
                <w:szCs w:val="21"/>
              </w:rPr>
            </w:pPr>
            <w:r>
              <w:rPr>
                <w:rFonts w:hint="eastAsia" w:ascii="宋体" w:hAnsi="宋体" w:cs="Times New Roman"/>
                <w:szCs w:val="21"/>
              </w:rPr>
              <w:t>小组汇报</w:t>
            </w:r>
          </w:p>
        </w:tc>
        <w:tc>
          <w:tcPr>
            <w:tcW w:w="1534" w:type="dxa"/>
            <w:vAlign w:val="center"/>
          </w:tcPr>
          <w:p w14:paraId="2098576A">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906" w:type="dxa"/>
            <w:vMerge w:val="continue"/>
            <w:vAlign w:val="center"/>
          </w:tcPr>
          <w:p w14:paraId="0F5E41D9">
            <w:pPr>
              <w:spacing w:line="360" w:lineRule="auto"/>
              <w:jc w:val="center"/>
              <w:rPr>
                <w:rFonts w:hint="eastAsia" w:ascii="宋体" w:hAnsi="宋体" w:eastAsia="宋体" w:cs="Times New Roman"/>
                <w:szCs w:val="21"/>
              </w:rPr>
            </w:pPr>
          </w:p>
        </w:tc>
      </w:tr>
      <w:tr w14:paraId="06DE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Align w:val="center"/>
          </w:tcPr>
          <w:p w14:paraId="54DA202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400" w:type="dxa"/>
            <w:vAlign w:val="center"/>
          </w:tcPr>
          <w:p w14:paraId="4F0F8E2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32" w:type="dxa"/>
            <w:vAlign w:val="center"/>
          </w:tcPr>
          <w:p w14:paraId="22CCFA7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81" w:type="dxa"/>
            <w:vAlign w:val="center"/>
          </w:tcPr>
          <w:p w14:paraId="2CB12C41">
            <w:pPr>
              <w:spacing w:line="360" w:lineRule="auto"/>
              <w:jc w:val="center"/>
              <w:rPr>
                <w:rFonts w:hint="eastAsia" w:ascii="宋体" w:hAnsi="宋体" w:eastAsia="宋体" w:cs="Times New Roman"/>
                <w:szCs w:val="21"/>
              </w:rPr>
            </w:pPr>
            <w:r>
              <w:rPr>
                <w:rFonts w:hint="eastAsia" w:ascii="宋体" w:hAnsi="宋体" w:cs="Times New Roman"/>
                <w:szCs w:val="21"/>
              </w:rPr>
              <w:t>√</w:t>
            </w:r>
          </w:p>
        </w:tc>
        <w:tc>
          <w:tcPr>
            <w:tcW w:w="1534" w:type="dxa"/>
            <w:vAlign w:val="center"/>
          </w:tcPr>
          <w:p w14:paraId="23FB739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06" w:type="dxa"/>
            <w:vAlign w:val="center"/>
          </w:tcPr>
          <w:p w14:paraId="008EF1C8">
            <w:pPr>
              <w:spacing w:line="360" w:lineRule="auto"/>
              <w:jc w:val="center"/>
              <w:rPr>
                <w:rFonts w:hint="eastAsia" w:ascii="宋体" w:hAnsi="宋体" w:eastAsia="宋体" w:cs="Times New Roman"/>
                <w:szCs w:val="21"/>
              </w:rPr>
            </w:pPr>
            <w:r>
              <w:rPr>
                <w:rFonts w:hint="eastAsia" w:ascii="宋体" w:hAnsi="宋体" w:cs="Times New Roman"/>
                <w:szCs w:val="21"/>
              </w:rPr>
              <w:t>5</w:t>
            </w:r>
            <w:r>
              <w:rPr>
                <w:rFonts w:hint="eastAsia" w:ascii="宋体" w:hAnsi="宋体" w:eastAsia="宋体" w:cs="Times New Roman"/>
                <w:szCs w:val="21"/>
              </w:rPr>
              <w:t>0</w:t>
            </w:r>
          </w:p>
        </w:tc>
      </w:tr>
      <w:tr w14:paraId="0391E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Align w:val="center"/>
          </w:tcPr>
          <w:p w14:paraId="143496B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400" w:type="dxa"/>
            <w:vAlign w:val="center"/>
          </w:tcPr>
          <w:p w14:paraId="4085DC14">
            <w:pPr>
              <w:spacing w:line="360" w:lineRule="auto"/>
              <w:jc w:val="center"/>
              <w:rPr>
                <w:rFonts w:hint="eastAsia" w:ascii="宋体" w:hAnsi="宋体" w:eastAsia="宋体" w:cs="Times New Roman"/>
                <w:szCs w:val="21"/>
              </w:rPr>
            </w:pPr>
          </w:p>
        </w:tc>
        <w:tc>
          <w:tcPr>
            <w:tcW w:w="1432" w:type="dxa"/>
            <w:vAlign w:val="center"/>
          </w:tcPr>
          <w:p w14:paraId="6A58D04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81" w:type="dxa"/>
            <w:vAlign w:val="center"/>
          </w:tcPr>
          <w:p w14:paraId="6C3C2B2E">
            <w:pPr>
              <w:spacing w:line="360" w:lineRule="auto"/>
              <w:jc w:val="center"/>
              <w:rPr>
                <w:rFonts w:hint="eastAsia" w:ascii="宋体" w:hAnsi="宋体" w:eastAsia="宋体" w:cs="Times New Roman"/>
                <w:szCs w:val="21"/>
              </w:rPr>
            </w:pPr>
            <w:r>
              <w:rPr>
                <w:rFonts w:hint="eastAsia" w:ascii="宋体" w:hAnsi="宋体" w:cs="Times New Roman"/>
                <w:szCs w:val="21"/>
              </w:rPr>
              <w:t>√</w:t>
            </w:r>
          </w:p>
        </w:tc>
        <w:tc>
          <w:tcPr>
            <w:tcW w:w="1534" w:type="dxa"/>
            <w:vAlign w:val="center"/>
          </w:tcPr>
          <w:p w14:paraId="5B5184A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906" w:type="dxa"/>
            <w:vAlign w:val="center"/>
          </w:tcPr>
          <w:p w14:paraId="615B3876">
            <w:pPr>
              <w:spacing w:line="360" w:lineRule="auto"/>
              <w:jc w:val="center"/>
              <w:rPr>
                <w:rFonts w:hint="eastAsia" w:ascii="宋体" w:hAnsi="宋体" w:eastAsia="宋体" w:cs="Times New Roman"/>
                <w:szCs w:val="21"/>
              </w:rPr>
            </w:pPr>
            <w:r>
              <w:rPr>
                <w:rFonts w:hint="eastAsia" w:ascii="宋体" w:hAnsi="宋体" w:cs="Times New Roman"/>
                <w:szCs w:val="21"/>
              </w:rPr>
              <w:t>5</w:t>
            </w:r>
            <w:r>
              <w:rPr>
                <w:rFonts w:hint="eastAsia" w:ascii="宋体" w:hAnsi="宋体" w:eastAsia="宋体" w:cs="Times New Roman"/>
                <w:szCs w:val="21"/>
              </w:rPr>
              <w:t>0</w:t>
            </w:r>
          </w:p>
        </w:tc>
      </w:tr>
      <w:tr w14:paraId="5EBF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6" w:type="dxa"/>
            <w:vAlign w:val="center"/>
          </w:tcPr>
          <w:p w14:paraId="0EF32B18">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400" w:type="dxa"/>
            <w:vAlign w:val="center"/>
          </w:tcPr>
          <w:p w14:paraId="21C8E0A2">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c>
          <w:tcPr>
            <w:tcW w:w="1432" w:type="dxa"/>
            <w:vAlign w:val="center"/>
          </w:tcPr>
          <w:p w14:paraId="325E6112">
            <w:pPr>
              <w:spacing w:line="360" w:lineRule="auto"/>
              <w:jc w:val="center"/>
              <w:rPr>
                <w:rFonts w:hint="eastAsia" w:ascii="宋体" w:hAnsi="宋体" w:eastAsia="宋体" w:cs="Times New Roman"/>
                <w:szCs w:val="21"/>
              </w:rPr>
            </w:pPr>
            <w:r>
              <w:rPr>
                <w:rFonts w:hint="eastAsia" w:ascii="宋体" w:hAnsi="宋体" w:eastAsia="宋体" w:cs="Times New Roman"/>
                <w:szCs w:val="21"/>
              </w:rPr>
              <w:t>25</w:t>
            </w:r>
          </w:p>
        </w:tc>
        <w:tc>
          <w:tcPr>
            <w:tcW w:w="1181" w:type="dxa"/>
            <w:vAlign w:val="center"/>
          </w:tcPr>
          <w:p w14:paraId="69BECE8C">
            <w:pPr>
              <w:spacing w:line="360" w:lineRule="auto"/>
              <w:jc w:val="center"/>
              <w:rPr>
                <w:rFonts w:hint="eastAsia" w:ascii="宋体" w:hAnsi="宋体" w:eastAsia="宋体" w:cs="Times New Roman"/>
                <w:szCs w:val="21"/>
              </w:rPr>
            </w:pPr>
            <w:r>
              <w:rPr>
                <w:rFonts w:hint="eastAsia" w:ascii="宋体" w:hAnsi="宋体" w:eastAsia="宋体" w:cs="Times New Roman"/>
                <w:szCs w:val="21"/>
              </w:rPr>
              <w:t>10</w:t>
            </w:r>
          </w:p>
        </w:tc>
        <w:tc>
          <w:tcPr>
            <w:tcW w:w="1534" w:type="dxa"/>
            <w:vAlign w:val="center"/>
          </w:tcPr>
          <w:p w14:paraId="5806B6FC">
            <w:pPr>
              <w:spacing w:line="360" w:lineRule="auto"/>
              <w:jc w:val="center"/>
              <w:rPr>
                <w:rFonts w:hint="eastAsia" w:ascii="宋体" w:hAnsi="宋体" w:eastAsia="宋体" w:cs="Times New Roman"/>
                <w:szCs w:val="21"/>
              </w:rPr>
            </w:pPr>
            <w:r>
              <w:rPr>
                <w:rFonts w:hint="eastAsia" w:ascii="宋体" w:hAnsi="宋体" w:eastAsia="宋体" w:cs="Times New Roman"/>
                <w:szCs w:val="21"/>
              </w:rPr>
              <w:t>50</w:t>
            </w:r>
          </w:p>
        </w:tc>
        <w:tc>
          <w:tcPr>
            <w:tcW w:w="906" w:type="dxa"/>
            <w:vAlign w:val="center"/>
          </w:tcPr>
          <w:p w14:paraId="14A6D17E">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616CA59">
      <w:pPr>
        <w:spacing w:line="360" w:lineRule="auto"/>
        <w:jc w:val="left"/>
        <w:rPr>
          <w:rFonts w:ascii="Times New Roman" w:hAnsi="Times New Roman" w:eastAsia="宋体" w:cs="Times New Roman"/>
          <w:szCs w:val="21"/>
        </w:rPr>
      </w:pPr>
    </w:p>
    <w:p w14:paraId="635DA859">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B104D74">
      <w:pPr>
        <w:tabs>
          <w:tab w:val="left" w:pos="-386"/>
          <w:tab w:val="left" w:pos="-193"/>
          <w:tab w:val="left" w:pos="8492"/>
          <w:tab w:val="left" w:pos="9160"/>
          <w:tab w:val="left" w:pos="10076"/>
          <w:tab w:val="left" w:pos="10992"/>
          <w:tab w:val="left" w:pos="11908"/>
          <w:tab w:val="left" w:pos="12824"/>
          <w:tab w:val="left" w:pos="13740"/>
          <w:tab w:val="left" w:pos="14656"/>
        </w:tabs>
        <w:spacing w:line="360" w:lineRule="auto"/>
        <w:ind w:firstLine="420" w:firstLineChars="200"/>
        <w:rPr>
          <w:rFonts w:hint="eastAsia" w:ascii="宋体" w:hAnsi="宋体" w:cs="宋体"/>
          <w:szCs w:val="21"/>
        </w:rPr>
      </w:pPr>
      <w:r>
        <w:rPr>
          <w:rFonts w:hint="eastAsia" w:ascii="宋体" w:hAnsi="宋体" w:cs="宋体"/>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51A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B781CE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29FA9C5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E4DAE0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1365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FFA7F2A">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7ED7068">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w:t>
            </w:r>
            <w:r>
              <w:rPr>
                <w:rFonts w:hint="eastAsia" w:ascii="宋体" w:hAnsi="宋体" w:cs="宋体"/>
                <w:kern w:val="0"/>
                <w:szCs w:val="21"/>
                <w:lang w:bidi="ar"/>
              </w:rPr>
              <w:t>堂</w:t>
            </w:r>
            <w:r>
              <w:rPr>
                <w:rFonts w:hint="eastAsia" w:ascii="宋体" w:hAnsi="宋体" w:eastAsia="宋体" w:cs="宋体"/>
                <w:kern w:val="0"/>
                <w:szCs w:val="21"/>
                <w:lang w:bidi="ar"/>
              </w:rPr>
              <w:t>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7AFE3340">
            <w:pPr>
              <w:spacing w:line="264" w:lineRule="auto"/>
              <w:jc w:val="left"/>
              <w:rPr>
                <w:rFonts w:hint="eastAsia" w:ascii="宋体" w:hAnsi="宋体" w:eastAsia="宋体" w:cs="宋体"/>
                <w:kern w:val="0"/>
                <w:szCs w:val="21"/>
                <w:lang w:bidi="ar"/>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0501068E">
            <w:pPr>
              <w:jc w:val="center"/>
              <w:rPr>
                <w:rFonts w:ascii="Times New Roman" w:hAnsi="Times New Roman" w:eastAsia="宋体" w:cs="Times New Roman"/>
                <w:szCs w:val="21"/>
              </w:rPr>
            </w:pPr>
            <w:r>
              <w:rPr>
                <w:rFonts w:hint="eastAsia" w:cs="Times New Roman"/>
                <w:szCs w:val="21"/>
              </w:rPr>
              <w:t>15</w:t>
            </w:r>
            <w:r>
              <w:rPr>
                <w:rFonts w:hint="eastAsia" w:ascii="Times New Roman" w:hAnsi="Times New Roman" w:eastAsia="宋体" w:cs="Times New Roman"/>
                <w:szCs w:val="21"/>
              </w:rPr>
              <w:t>%</w:t>
            </w:r>
          </w:p>
        </w:tc>
      </w:tr>
      <w:tr w14:paraId="412C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9FF26D5">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C81832F">
            <w:pPr>
              <w:widowControl/>
              <w:spacing w:line="264" w:lineRule="auto"/>
              <w:jc w:val="left"/>
              <w:rPr>
                <w:rFonts w:cs="Times New Roman"/>
                <w:szCs w:val="21"/>
              </w:rPr>
            </w:pPr>
            <w:r>
              <w:rPr>
                <w:rFonts w:hint="eastAsia" w:ascii="Times New Roman" w:hAnsi="Times New Roman" w:eastAsia="宋体" w:cs="Times New Roman"/>
                <w:szCs w:val="21"/>
              </w:rPr>
              <w:t>平时作业共3次，</w:t>
            </w:r>
            <w:r>
              <w:rPr>
                <w:rFonts w:hint="eastAsia" w:cs="Times New Roman"/>
                <w:szCs w:val="21"/>
              </w:rPr>
              <w:t>均为线上单元测试题目，以客观题为主，主要考查基础知识和基本理论的掌握。设定及格线，提交还可以重做两次，以题目的最高正确率为得分依据。</w:t>
            </w:r>
          </w:p>
        </w:tc>
        <w:tc>
          <w:tcPr>
            <w:tcW w:w="0" w:type="auto"/>
            <w:vAlign w:val="center"/>
          </w:tcPr>
          <w:p w14:paraId="4F9278B1">
            <w:pPr>
              <w:jc w:val="center"/>
              <w:rPr>
                <w:rFonts w:ascii="Times New Roman" w:hAnsi="Times New Roman" w:eastAsia="宋体" w:cs="Times New Roman"/>
                <w:szCs w:val="21"/>
              </w:rPr>
            </w:pPr>
            <w:r>
              <w:rPr>
                <w:rFonts w:hint="eastAsia" w:cs="Times New Roman"/>
                <w:szCs w:val="21"/>
              </w:rPr>
              <w:t>25</w:t>
            </w:r>
            <w:r>
              <w:rPr>
                <w:rFonts w:hint="eastAsia" w:ascii="Times New Roman" w:hAnsi="Times New Roman" w:eastAsia="宋体" w:cs="Times New Roman"/>
                <w:szCs w:val="21"/>
              </w:rPr>
              <w:t>%</w:t>
            </w:r>
          </w:p>
        </w:tc>
      </w:tr>
      <w:tr w14:paraId="14DA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515D04D">
            <w:pPr>
              <w:rPr>
                <w:rFonts w:ascii="Times New Roman" w:hAnsi="Times New Roman" w:eastAsia="宋体" w:cs="Times New Roman"/>
                <w:szCs w:val="21"/>
              </w:rPr>
            </w:pPr>
            <w:r>
              <w:rPr>
                <w:rFonts w:hint="eastAsia" w:cs="Times New Roman"/>
                <w:szCs w:val="21"/>
              </w:rPr>
              <w:t>小组汇报</w:t>
            </w:r>
          </w:p>
        </w:tc>
        <w:tc>
          <w:tcPr>
            <w:tcW w:w="7141" w:type="dxa"/>
            <w:vAlign w:val="center"/>
          </w:tcPr>
          <w:p w14:paraId="60E4FE73">
            <w:pPr>
              <w:widowControl/>
              <w:spacing w:line="264" w:lineRule="auto"/>
              <w:jc w:val="left"/>
              <w:rPr>
                <w:rFonts w:ascii="Times New Roman" w:hAnsi="Times New Roman" w:eastAsia="宋体" w:cs="Times New Roman"/>
                <w:szCs w:val="21"/>
              </w:rPr>
            </w:pPr>
            <w:r>
              <w:rPr>
                <w:rFonts w:hint="eastAsia" w:cs="Times New Roman"/>
                <w:szCs w:val="21"/>
              </w:rPr>
              <w:t>以小组为单位，进行课内主题汇报，根据课前准备、现场展示的情况，以教师打分+组内互评+小组自评的方式进行计分。</w:t>
            </w:r>
          </w:p>
        </w:tc>
        <w:tc>
          <w:tcPr>
            <w:tcW w:w="0" w:type="auto"/>
            <w:vAlign w:val="center"/>
          </w:tcPr>
          <w:p w14:paraId="4C0271F2">
            <w:pPr>
              <w:jc w:val="center"/>
              <w:rPr>
                <w:rFonts w:cs="Times New Roman"/>
                <w:szCs w:val="21"/>
              </w:rPr>
            </w:pPr>
            <w:r>
              <w:rPr>
                <w:rFonts w:hint="eastAsia" w:cs="Times New Roman"/>
                <w:szCs w:val="21"/>
              </w:rPr>
              <w:t>10%</w:t>
            </w:r>
          </w:p>
        </w:tc>
      </w:tr>
      <w:tr w14:paraId="2140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2B6559">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BDBD21C">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w:t>
            </w:r>
            <w:r>
              <w:rPr>
                <w:rFonts w:hint="eastAsia" w:cs="Times New Roman"/>
                <w:szCs w:val="21"/>
              </w:rPr>
              <w:t>为主观题为主，主要包括简答和论述/材料分析。</w:t>
            </w:r>
            <w:r>
              <w:rPr>
                <w:rFonts w:ascii="Times New Roman" w:hAnsi="Times New Roman" w:eastAsia="宋体" w:cs="Times New Roman"/>
                <w:szCs w:val="21"/>
              </w:rPr>
              <w:t>以卷面成绩的50%计入课程总成绩。</w:t>
            </w:r>
          </w:p>
        </w:tc>
        <w:tc>
          <w:tcPr>
            <w:tcW w:w="0" w:type="auto"/>
            <w:vAlign w:val="center"/>
          </w:tcPr>
          <w:p w14:paraId="6B1860A6">
            <w:pPr>
              <w:jc w:val="center"/>
              <w:rPr>
                <w:rFonts w:ascii="Times New Roman" w:hAnsi="Times New Roman" w:eastAsia="宋体" w:cs="Times New Roman"/>
                <w:szCs w:val="21"/>
              </w:rPr>
            </w:pPr>
            <w:r>
              <w:rPr>
                <w:rFonts w:hint="eastAsia" w:cs="Times New Roman"/>
                <w:szCs w:val="21"/>
              </w:rPr>
              <w:t>5</w:t>
            </w:r>
            <w:r>
              <w:rPr>
                <w:rFonts w:hint="eastAsia" w:ascii="Times New Roman" w:hAnsi="Times New Roman" w:eastAsia="宋体" w:cs="Times New Roman"/>
                <w:szCs w:val="21"/>
              </w:rPr>
              <w:t>0%</w:t>
            </w:r>
          </w:p>
        </w:tc>
      </w:tr>
      <w:tr w14:paraId="4DBE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9BEE8A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3BF00837">
            <w:pPr>
              <w:jc w:val="left"/>
              <w:rPr>
                <w:rFonts w:ascii="Times New Roman" w:hAnsi="Times New Roman" w:eastAsia="宋体" w:cs="Times New Roman"/>
                <w:szCs w:val="21"/>
              </w:rPr>
            </w:pPr>
          </w:p>
        </w:tc>
        <w:tc>
          <w:tcPr>
            <w:tcW w:w="0" w:type="auto"/>
            <w:vAlign w:val="center"/>
          </w:tcPr>
          <w:p w14:paraId="0277ECA4">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F2E8EC1">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（三）课程目标达成度计算方法</w:t>
      </w:r>
    </w:p>
    <w:p w14:paraId="08272DCD">
      <w:pPr>
        <w:spacing w:line="360" w:lineRule="auto"/>
        <w:ind w:firstLine="420" w:firstLineChars="200"/>
        <w:rPr>
          <w:rFonts w:hint="eastAsia" w:ascii="宋体" w:hAnsi="宋体" w:eastAsia="宋体" w:cs="宋体"/>
          <w:bCs/>
          <w:szCs w:val="21"/>
        </w:rPr>
      </w:pPr>
      <w:r>
        <w:rPr>
          <w:rFonts w:hint="eastAsia" w:ascii="宋体" w:hAnsi="宋体" w:eastAsia="宋体" w:cs="宋体"/>
          <w:bCs/>
          <w:szCs w:val="21"/>
        </w:rPr>
        <w:t>所有课程目标均需大于等于0.6，否则总评成绩不及格，需要补考或重修。每门课程目标总体达成度计算方法如下：</w:t>
      </w:r>
    </w:p>
    <w:p w14:paraId="6214C0FA">
      <w:pPr>
        <w:spacing w:line="360" w:lineRule="auto"/>
        <w:ind w:firstLine="420" w:firstLineChars="200"/>
        <w:rPr>
          <w:rFonts w:ascii="Times New Roman" w:hAnsi="Times New Roman" w:eastAsia="宋体" w:cs="Times New Roman"/>
          <w:b/>
          <w:sz w:val="24"/>
        </w:rPr>
      </w:pPr>
      <w:r>
        <w:rPr>
          <w:rFonts w:ascii="宋体" w:hAnsi="宋体" w:eastAsia="宋体" w:cs="Times New Roman"/>
          <w:szCs w:val="21"/>
        </w:rPr>
        <w:object>
          <v:shape id="_x0000_i1072"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72" DrawAspect="Content" ObjectID="_1468075772" r:id="rId60">
            <o:LockedField>false</o:LockedField>
          </o:OLEObject>
        </w:object>
      </w:r>
      <w:r>
        <w:rPr>
          <w:rFonts w:hint="eastAsia" w:ascii="Times New Roman" w:hAnsi="Times New Roman" w:eastAsia="宋体" w:cs="Times New Roman"/>
          <w:b/>
          <w:sz w:val="24"/>
        </w:rPr>
        <w:t>五、有关说明</w:t>
      </w:r>
    </w:p>
    <w:p w14:paraId="513C16CD">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（一）持续改进</w:t>
      </w:r>
    </w:p>
    <w:p w14:paraId="0943AA77">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本课程根据学生作业、课堂讨论、平时考核情况和学生、教学督导等的反馈，及时对教学中的不足之处进行改进，并在下一轮课程教学中整改完善，确保相应毕业要求指标点达成。</w:t>
      </w:r>
    </w:p>
    <w:p w14:paraId="03EF519B">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（二）建议教材</w:t>
      </w:r>
    </w:p>
    <w:p w14:paraId="0F1A4788">
      <w:pPr>
        <w:spacing w:line="360" w:lineRule="auto"/>
        <w:ind w:firstLine="420" w:firstLineChars="200"/>
        <w:rPr>
          <w:rFonts w:hint="eastAsia" w:ascii="宋体" w:hAnsi="宋体" w:eastAsia="宋体" w:cs="宋体"/>
          <w:szCs w:val="21"/>
        </w:rPr>
      </w:pPr>
      <w:r>
        <w:rPr>
          <w:rFonts w:hint="eastAsia" w:ascii="宋体" w:hAnsi="宋体" w:cs="宋体"/>
          <w:szCs w:val="21"/>
        </w:rPr>
        <w:t>程裕祯.中国文化要略</w:t>
      </w:r>
      <w:r>
        <w:rPr>
          <w:rFonts w:hint="eastAsia" w:ascii="宋体" w:hAnsi="宋体" w:eastAsia="宋体" w:cs="宋体"/>
          <w:szCs w:val="21"/>
        </w:rPr>
        <w:t>，</w:t>
      </w:r>
      <w:r>
        <w:rPr>
          <w:rFonts w:hint="eastAsia" w:ascii="宋体" w:hAnsi="宋体" w:cs="宋体"/>
          <w:szCs w:val="21"/>
        </w:rPr>
        <w:t>外语教学与研究出版社</w:t>
      </w:r>
      <w:r>
        <w:rPr>
          <w:rFonts w:hint="eastAsia" w:ascii="宋体" w:hAnsi="宋体" w:eastAsia="宋体" w:cs="宋体"/>
          <w:szCs w:val="21"/>
        </w:rPr>
        <w:t>，20</w:t>
      </w:r>
      <w:r>
        <w:rPr>
          <w:rFonts w:hint="eastAsia" w:ascii="宋体" w:hAnsi="宋体" w:cs="宋体"/>
          <w:szCs w:val="21"/>
        </w:rPr>
        <w:t>17年7月第4版</w:t>
      </w:r>
    </w:p>
    <w:p w14:paraId="7E36E3ED">
      <w:pPr>
        <w:spacing w:line="360" w:lineRule="auto"/>
        <w:ind w:firstLine="422" w:firstLineChars="200"/>
        <w:rPr>
          <w:rFonts w:hint="eastAsia" w:ascii="宋体" w:hAnsi="宋体" w:eastAsia="宋体" w:cs="宋体"/>
          <w:b/>
          <w:szCs w:val="21"/>
        </w:rPr>
      </w:pPr>
      <w:r>
        <w:rPr>
          <w:rFonts w:hint="eastAsia" w:ascii="宋体" w:hAnsi="宋体" w:eastAsia="宋体" w:cs="宋体"/>
          <w:b/>
          <w:szCs w:val="21"/>
        </w:rPr>
        <w:t>（二）参考书目</w:t>
      </w:r>
    </w:p>
    <w:p w14:paraId="1AD2EBCB">
      <w:pPr>
        <w:spacing w:line="360" w:lineRule="auto"/>
        <w:ind w:firstLine="420" w:firstLineChars="200"/>
        <w:rPr>
          <w:rFonts w:hint="eastAsia" w:ascii="宋体" w:hAnsi="宋体" w:eastAsia="宋体" w:cs="宋体"/>
          <w:b/>
          <w:kern w:val="0"/>
          <w:szCs w:val="21"/>
        </w:rPr>
      </w:pPr>
      <w:r>
        <w:rPr>
          <w:rFonts w:hint="eastAsia" w:ascii="宋体" w:hAnsi="宋体" w:eastAsia="宋体" w:cs="宋体"/>
          <w:szCs w:val="21"/>
        </w:rPr>
        <w:t>1.</w:t>
      </w:r>
      <w:r>
        <w:rPr>
          <w:rFonts w:hint="eastAsia" w:ascii="新宋体" w:hAnsi="新宋体" w:eastAsia="新宋体" w:cs="新宋体"/>
          <w:szCs w:val="21"/>
        </w:rPr>
        <w:t>张岂之主编.《中国传统文化》，高教出版社， 2001年</w:t>
      </w:r>
    </w:p>
    <w:p w14:paraId="28AC856B">
      <w:pPr>
        <w:spacing w:line="360" w:lineRule="auto"/>
        <w:ind w:firstLine="420" w:firstLineChars="200"/>
        <w:rPr>
          <w:rFonts w:hint="eastAsia" w:ascii="宋体" w:hAnsi="宋体" w:eastAsia="宋体" w:cs="宋体"/>
          <w:szCs w:val="21"/>
        </w:rPr>
      </w:pPr>
      <w:r>
        <w:rPr>
          <w:rFonts w:hint="eastAsia" w:ascii="宋体" w:hAnsi="宋体" w:cs="宋体"/>
          <w:szCs w:val="21"/>
        </w:rPr>
        <w:t>2.</w:t>
      </w:r>
      <w:r>
        <w:rPr>
          <w:rFonts w:hint="eastAsia" w:ascii="宋体" w:hAnsi="宋体" w:eastAsia="宋体" w:cs="宋体"/>
          <w:szCs w:val="21"/>
        </w:rPr>
        <w:t>周桂峰主编.《中国文化概论》.吉林教育出版社.2009年版.</w:t>
      </w:r>
    </w:p>
    <w:p w14:paraId="7D8715F6">
      <w:pPr>
        <w:spacing w:line="360" w:lineRule="auto"/>
        <w:ind w:firstLine="420" w:firstLineChars="200"/>
        <w:rPr>
          <w:rFonts w:hint="eastAsia" w:ascii="宋体" w:hAnsi="宋体" w:eastAsia="宋体" w:cs="宋体"/>
          <w:szCs w:val="21"/>
        </w:rPr>
      </w:pPr>
      <w:r>
        <w:rPr>
          <w:rFonts w:hint="eastAsia" w:ascii="宋体" w:hAnsi="宋体" w:cs="宋体"/>
          <w:szCs w:val="21"/>
        </w:rPr>
        <w:t>3</w:t>
      </w:r>
      <w:r>
        <w:rPr>
          <w:rFonts w:hint="eastAsia" w:ascii="宋体" w:hAnsi="宋体" w:eastAsia="宋体" w:cs="宋体"/>
          <w:szCs w:val="21"/>
        </w:rPr>
        <w:t>.《中华文明史》1——10卷.河北教育出版社.1989——1994年版.</w:t>
      </w:r>
    </w:p>
    <w:p w14:paraId="42627222">
      <w:pPr>
        <w:spacing w:line="360" w:lineRule="auto"/>
        <w:ind w:firstLine="420" w:firstLineChars="200"/>
        <w:rPr>
          <w:rFonts w:hint="eastAsia" w:ascii="宋体" w:hAnsi="宋体" w:eastAsia="宋体" w:cs="宋体"/>
          <w:szCs w:val="21"/>
        </w:rPr>
      </w:pPr>
      <w:r>
        <w:rPr>
          <w:rFonts w:hint="eastAsia" w:ascii="宋体" w:hAnsi="宋体" w:cs="宋体"/>
          <w:szCs w:val="21"/>
        </w:rPr>
        <w:t>4</w:t>
      </w:r>
      <w:r>
        <w:rPr>
          <w:rFonts w:hint="eastAsia" w:ascii="宋体" w:hAnsi="宋体" w:eastAsia="宋体" w:cs="宋体"/>
          <w:szCs w:val="21"/>
        </w:rPr>
        <w:t>. 阴法鲁等主编.《中国古代文化史》.北京大学出版社.1989年出版.</w:t>
      </w:r>
    </w:p>
    <w:p w14:paraId="55C14E41">
      <w:pPr>
        <w:spacing w:line="360" w:lineRule="auto"/>
        <w:ind w:firstLine="420" w:firstLineChars="200"/>
        <w:rPr>
          <w:rFonts w:hint="eastAsia" w:ascii="宋体" w:hAnsi="宋体" w:eastAsia="宋体" w:cs="宋体"/>
          <w:szCs w:val="21"/>
        </w:rPr>
      </w:pPr>
      <w:r>
        <w:rPr>
          <w:rFonts w:hint="eastAsia" w:ascii="宋体" w:hAnsi="宋体" w:cs="宋体"/>
          <w:szCs w:val="21"/>
        </w:rPr>
        <w:t>5</w:t>
      </w:r>
      <w:r>
        <w:rPr>
          <w:rFonts w:hint="eastAsia" w:ascii="宋体" w:hAnsi="宋体" w:eastAsia="宋体" w:cs="宋体"/>
          <w:szCs w:val="21"/>
        </w:rPr>
        <w:t>. 刘守华等主编.《文化学通论》.高等教育出版社.1992年出版.</w:t>
      </w:r>
    </w:p>
    <w:p w14:paraId="73E3ED86">
      <w:pPr>
        <w:spacing w:line="360" w:lineRule="auto"/>
        <w:ind w:firstLine="420" w:firstLineChars="200"/>
        <w:rPr>
          <w:rFonts w:hint="eastAsia" w:ascii="宋体" w:hAnsi="宋体" w:eastAsia="宋体" w:cs="宋体"/>
          <w:szCs w:val="21"/>
        </w:rPr>
      </w:pPr>
      <w:r>
        <w:rPr>
          <w:rFonts w:hint="eastAsia" w:ascii="宋体" w:hAnsi="宋体" w:cs="宋体"/>
          <w:szCs w:val="21"/>
        </w:rPr>
        <w:t>6</w:t>
      </w:r>
      <w:r>
        <w:rPr>
          <w:rFonts w:hint="eastAsia" w:ascii="宋体" w:hAnsi="宋体" w:eastAsia="宋体" w:cs="宋体"/>
          <w:szCs w:val="21"/>
        </w:rPr>
        <w:t>. 李宗桂著.《中国文化概论》.中山大学出版社.1988年出版.</w:t>
      </w:r>
    </w:p>
    <w:p w14:paraId="0A1C2CB0">
      <w:pPr>
        <w:spacing w:line="360" w:lineRule="auto"/>
        <w:ind w:firstLine="420" w:firstLineChars="200"/>
        <w:rPr>
          <w:rFonts w:hint="eastAsia" w:ascii="宋体" w:hAnsi="宋体" w:eastAsia="宋体" w:cs="宋体"/>
          <w:szCs w:val="21"/>
        </w:rPr>
      </w:pPr>
      <w:r>
        <w:rPr>
          <w:rFonts w:hint="eastAsia" w:ascii="宋体" w:hAnsi="宋体" w:cs="宋体"/>
          <w:szCs w:val="21"/>
        </w:rPr>
        <w:t>7</w:t>
      </w:r>
      <w:r>
        <w:rPr>
          <w:rFonts w:hint="eastAsia" w:ascii="宋体" w:hAnsi="宋体" w:eastAsia="宋体" w:cs="宋体"/>
          <w:szCs w:val="21"/>
        </w:rPr>
        <w:t>. 柳治徵著.《中国文化史》.中国大百科全书出版社.1988年版.</w:t>
      </w:r>
    </w:p>
    <w:p w14:paraId="75EB0AEA">
      <w:pPr>
        <w:spacing w:line="360" w:lineRule="auto"/>
        <w:ind w:firstLine="420" w:firstLineChars="200"/>
        <w:rPr>
          <w:rFonts w:hint="eastAsia" w:ascii="宋体" w:hAnsi="宋体" w:eastAsia="宋体" w:cs="宋体"/>
          <w:szCs w:val="21"/>
        </w:rPr>
      </w:pPr>
      <w:r>
        <w:rPr>
          <w:rFonts w:hint="eastAsia" w:ascii="宋体" w:hAnsi="宋体" w:cs="宋体"/>
          <w:szCs w:val="21"/>
        </w:rPr>
        <w:t>8</w:t>
      </w:r>
      <w:r>
        <w:rPr>
          <w:rFonts w:hint="eastAsia" w:ascii="宋体" w:hAnsi="宋体" w:eastAsia="宋体" w:cs="宋体"/>
          <w:szCs w:val="21"/>
        </w:rPr>
        <w:t>. 钱穆著.《中国文化史导论》.商务印书馆.1994年版.</w:t>
      </w:r>
    </w:p>
    <w:p w14:paraId="550EAEF0">
      <w:pPr>
        <w:spacing w:line="360" w:lineRule="auto"/>
        <w:ind w:firstLine="420" w:firstLineChars="200"/>
        <w:rPr>
          <w:rFonts w:hint="eastAsia" w:ascii="宋体" w:hAnsi="宋体" w:eastAsia="宋体" w:cs="宋体"/>
          <w:szCs w:val="21"/>
        </w:rPr>
      </w:pPr>
      <w:r>
        <w:rPr>
          <w:rFonts w:hint="eastAsia" w:ascii="宋体" w:hAnsi="宋体" w:cs="宋体"/>
          <w:szCs w:val="21"/>
        </w:rPr>
        <w:t>9</w:t>
      </w:r>
      <w:r>
        <w:rPr>
          <w:rFonts w:hint="eastAsia" w:ascii="宋体" w:hAnsi="宋体" w:eastAsia="宋体" w:cs="宋体"/>
          <w:szCs w:val="21"/>
        </w:rPr>
        <w:t>. 启良著.《中国文明史》.花城出版社.2001年版.</w:t>
      </w:r>
    </w:p>
    <w:p w14:paraId="2F5A17D0">
      <w:pPr>
        <w:spacing w:line="360" w:lineRule="auto"/>
        <w:ind w:firstLine="420" w:firstLineChars="200"/>
        <w:rPr>
          <w:rFonts w:hint="eastAsia" w:ascii="宋体" w:hAnsi="宋体" w:eastAsia="宋体" w:cs="宋体"/>
          <w:szCs w:val="21"/>
        </w:rPr>
      </w:pPr>
      <w:r>
        <w:rPr>
          <w:rFonts w:hint="eastAsia" w:ascii="宋体" w:hAnsi="宋体" w:cs="宋体"/>
          <w:szCs w:val="21"/>
        </w:rPr>
        <w:t>10</w:t>
      </w:r>
      <w:r>
        <w:rPr>
          <w:rFonts w:hint="eastAsia" w:ascii="宋体" w:hAnsi="宋体" w:eastAsia="宋体" w:cs="宋体"/>
          <w:szCs w:val="21"/>
        </w:rPr>
        <w:t>. 李泽厚著.《己卯五说》.中国电影出版社.1999年版.</w:t>
      </w:r>
    </w:p>
    <w:p w14:paraId="2E504C3F">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w:t>
      </w:r>
      <w:r>
        <w:rPr>
          <w:rFonts w:hint="eastAsia" w:ascii="宋体" w:hAnsi="宋体" w:cs="宋体"/>
          <w:szCs w:val="21"/>
        </w:rPr>
        <w:t>1</w:t>
      </w:r>
      <w:r>
        <w:rPr>
          <w:rFonts w:hint="eastAsia" w:ascii="宋体" w:hAnsi="宋体" w:eastAsia="宋体" w:cs="宋体"/>
          <w:szCs w:val="21"/>
        </w:rPr>
        <w:t>. 宗志罡主编.《明代思想与中国文化》.安徽人民出版社.1994年版.</w:t>
      </w:r>
    </w:p>
    <w:p w14:paraId="5989E3E1">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             </w:t>
      </w:r>
    </w:p>
    <w:p w14:paraId="19F80429">
      <w:pPr>
        <w:spacing w:line="360" w:lineRule="auto"/>
        <w:ind w:firstLine="4620" w:firstLineChars="2200"/>
        <w:rPr>
          <w:rFonts w:hint="eastAsia" w:ascii="宋体" w:hAnsi="宋体" w:eastAsia="宋体" w:cs="宋体"/>
          <w:szCs w:val="21"/>
        </w:rPr>
      </w:pPr>
      <w:r>
        <w:rPr>
          <w:rFonts w:hint="eastAsia" w:ascii="宋体" w:hAnsi="宋体" w:eastAsia="宋体" w:cs="宋体"/>
          <w:szCs w:val="21"/>
        </w:rPr>
        <w:t>制订人：</w:t>
      </w:r>
      <w:r>
        <w:rPr>
          <w:rFonts w:hint="eastAsia" w:ascii="宋体" w:hAnsi="宋体" w:cs="宋体"/>
          <w:szCs w:val="21"/>
        </w:rPr>
        <w:t>章燕、巫文胜</w:t>
      </w:r>
    </w:p>
    <w:p w14:paraId="5AC44F11">
      <w:pPr>
        <w:spacing w:line="360" w:lineRule="auto"/>
        <w:ind w:firstLine="4620" w:firstLineChars="2200"/>
        <w:rPr>
          <w:rFonts w:hint="eastAsia" w:ascii="宋体" w:hAnsi="宋体" w:eastAsia="宋体" w:cs="宋体"/>
          <w:szCs w:val="21"/>
        </w:rPr>
      </w:pPr>
      <w:r>
        <w:rPr>
          <w:rFonts w:hint="eastAsia" w:ascii="宋体" w:hAnsi="宋体" w:eastAsia="宋体" w:cs="宋体"/>
          <w:szCs w:val="21"/>
        </w:rPr>
        <w:t>审</w:t>
      </w:r>
      <w:r>
        <w:rPr>
          <w:rFonts w:hint="eastAsia" w:ascii="宋体" w:hAnsi="宋体" w:cs="宋体"/>
          <w:szCs w:val="21"/>
        </w:rPr>
        <w:t>定</w:t>
      </w:r>
      <w:r>
        <w:rPr>
          <w:rFonts w:hint="eastAsia" w:ascii="宋体" w:hAnsi="宋体" w:eastAsia="宋体" w:cs="宋体"/>
          <w:szCs w:val="21"/>
        </w:rPr>
        <w:t>人：王</w:t>
      </w:r>
      <w:r>
        <w:rPr>
          <w:rFonts w:hint="eastAsia" w:ascii="宋体" w:hAnsi="宋体" w:cs="宋体"/>
          <w:szCs w:val="21"/>
        </w:rPr>
        <w:t xml:space="preserve">  </w:t>
      </w:r>
      <w:r>
        <w:rPr>
          <w:rFonts w:hint="eastAsia" w:ascii="宋体" w:hAnsi="宋体" w:eastAsia="宋体" w:cs="宋体"/>
          <w:szCs w:val="21"/>
        </w:rPr>
        <w:t>健</w:t>
      </w:r>
    </w:p>
    <w:p w14:paraId="381A2587">
      <w:pPr>
        <w:spacing w:line="360" w:lineRule="auto"/>
        <w:ind w:firstLine="4620" w:firstLineChars="2200"/>
        <w:rPr>
          <w:rFonts w:hint="eastAsia" w:ascii="宋体" w:hAnsi="宋体" w:eastAsia="宋体" w:cs="宋体"/>
          <w:szCs w:val="21"/>
        </w:rPr>
      </w:pPr>
      <w:r>
        <w:rPr>
          <w:rFonts w:hint="eastAsia" w:ascii="宋体" w:hAnsi="宋体" w:cs="宋体"/>
          <w:szCs w:val="21"/>
        </w:rPr>
        <w:t>审批人：张志欣</w:t>
      </w:r>
    </w:p>
    <w:p w14:paraId="5E1E8A87">
      <w:pPr>
        <w:spacing w:line="360" w:lineRule="auto"/>
        <w:ind w:firstLine="4620" w:firstLineChars="2200"/>
        <w:rPr>
          <w:rFonts w:hint="eastAsia" w:ascii="宋体" w:hAnsi="宋体" w:eastAsia="宋体" w:cs="宋体"/>
          <w:szCs w:val="21"/>
        </w:rPr>
      </w:pPr>
      <w:r>
        <w:rPr>
          <w:rFonts w:hint="eastAsia" w:ascii="宋体" w:hAnsi="宋体" w:eastAsia="宋体" w:cs="宋体"/>
          <w:szCs w:val="21"/>
        </w:rPr>
        <w:t>批准时间：2025年7月1日</w:t>
      </w:r>
    </w:p>
    <w:p w14:paraId="54B538C1">
      <w:pPr>
        <w:rPr>
          <w:rFonts w:ascii="Times New Roman" w:hAnsi="Times New Roman" w:eastAsia="宋体" w:cs="Times New Roman"/>
          <w:kern w:val="0"/>
          <w:sz w:val="24"/>
          <w:szCs w:val="21"/>
        </w:rPr>
      </w:pPr>
    </w:p>
    <w:p w14:paraId="474F2A8A">
      <w:pPr>
        <w:rPr>
          <w:rFonts w:ascii="Times New Roman" w:hAnsi="Times New Roman" w:eastAsia="宋体" w:cs="Times New Roman"/>
          <w:kern w:val="0"/>
          <w:sz w:val="24"/>
          <w:szCs w:val="21"/>
        </w:rPr>
      </w:pPr>
      <w:r>
        <w:rPr>
          <w:rFonts w:ascii="Times New Roman" w:hAnsi="Times New Roman" w:eastAsia="宋体" w:cs="Times New Roman"/>
          <w:kern w:val="0"/>
          <w:sz w:val="24"/>
          <w:szCs w:val="21"/>
        </w:rPr>
        <w:br w:type="page"/>
      </w:r>
    </w:p>
    <w:p w14:paraId="431FD596">
      <w:pPr>
        <w:spacing w:line="360" w:lineRule="auto"/>
        <w:jc w:val="center"/>
        <w:outlineLvl w:val="0"/>
        <w:rPr>
          <w:rFonts w:ascii="Times New Roman" w:hAnsi="Times New Roman" w:eastAsia="宋体" w:cs="Times New Roman"/>
          <w:b/>
          <w:sz w:val="44"/>
          <w:szCs w:val="44"/>
        </w:rPr>
      </w:pPr>
      <w:bookmarkStart w:id="1662" w:name="_Toc1138"/>
      <w:bookmarkStart w:id="1663" w:name="_Toc20685"/>
      <w:bookmarkStart w:id="1664" w:name="_Toc4760"/>
      <w:bookmarkStart w:id="1665" w:name="_Toc6387"/>
      <w:r>
        <w:rPr>
          <w:rFonts w:hint="eastAsia" w:ascii="Times New Roman" w:hAnsi="Times New Roman" w:eastAsia="宋体" w:cs="Times New Roman"/>
          <w:b/>
          <w:sz w:val="44"/>
          <w:szCs w:val="44"/>
        </w:rPr>
        <w:t>《科学概论》课程教学大纲</w:t>
      </w:r>
      <w:bookmarkEnd w:id="1662"/>
      <w:bookmarkEnd w:id="1663"/>
      <w:bookmarkEnd w:id="1664"/>
      <w:bookmarkEnd w:id="1665"/>
    </w:p>
    <w:p w14:paraId="3751B316">
      <w:pPr>
        <w:spacing w:line="360" w:lineRule="auto"/>
        <w:jc w:val="center"/>
        <w:rPr>
          <w:rFonts w:ascii="Times New Roman" w:hAnsi="Times New Roman" w:eastAsia="宋体" w:cs="Times New Roman"/>
          <w:b/>
          <w:bCs/>
          <w:sz w:val="28"/>
          <w:szCs w:val="28"/>
        </w:rPr>
      </w:pPr>
      <w:bookmarkStart w:id="1666" w:name="_Toc27556"/>
      <w:bookmarkStart w:id="1667" w:name="_Toc21234"/>
      <w:bookmarkStart w:id="1668" w:name="_Toc25315"/>
      <w:bookmarkStart w:id="1669" w:name="_Toc18168"/>
      <w:bookmarkStart w:id="1670" w:name="_Toc6062"/>
      <w:bookmarkStart w:id="1671" w:name="_Toc9660"/>
      <w:bookmarkStart w:id="1672" w:name="_Toc20097"/>
      <w:r>
        <w:rPr>
          <w:rFonts w:ascii="Times New Roman" w:hAnsi="Times New Roman" w:eastAsia="宋体" w:cs="Times New Roman"/>
          <w:b/>
          <w:bCs/>
          <w:sz w:val="28"/>
          <w:szCs w:val="28"/>
        </w:rPr>
        <w:t>（Introduction to Science）</w:t>
      </w:r>
      <w:bookmarkEnd w:id="1666"/>
      <w:bookmarkEnd w:id="1667"/>
      <w:bookmarkEnd w:id="1668"/>
      <w:bookmarkEnd w:id="1669"/>
      <w:bookmarkEnd w:id="1670"/>
      <w:bookmarkEnd w:id="1671"/>
      <w:bookmarkEnd w:id="1672"/>
    </w:p>
    <w:p w14:paraId="5450136E">
      <w:pPr>
        <w:spacing w:line="360" w:lineRule="auto"/>
        <w:jc w:val="center"/>
        <w:rPr>
          <w:rFonts w:ascii="Times New Roman" w:hAnsi="Times New Roman" w:eastAsia="宋体" w:cs="Times New Roman"/>
          <w:bCs/>
          <w:szCs w:val="21"/>
        </w:rPr>
      </w:pPr>
    </w:p>
    <w:p w14:paraId="1F0644E5">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sz w:val="24"/>
        </w:rPr>
        <w:t>课程名称：</w:t>
      </w:r>
      <w:r>
        <w:rPr>
          <w:rFonts w:ascii="Times New Roman" w:hAnsi="Times New Roman" w:eastAsia="宋体" w:cs="Times New Roman"/>
          <w:b/>
          <w:bCs/>
          <w:sz w:val="24"/>
        </w:rPr>
        <w:t xml:space="preserve"> </w:t>
      </w:r>
      <w:r>
        <w:rPr>
          <w:rFonts w:hint="eastAsia" w:ascii="Times New Roman" w:hAnsi="Times New Roman" w:eastAsia="宋体" w:cs="Times New Roman"/>
          <w:b/>
          <w:sz w:val="24"/>
        </w:rPr>
        <w:t>科学概论</w:t>
      </w:r>
    </w:p>
    <w:p w14:paraId="4E8DC82D">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课程代码：</w:t>
      </w:r>
      <w:r>
        <w:rPr>
          <w:rFonts w:hint="eastAsia" w:ascii="Times New Roman" w:hAnsi="Times New Roman" w:eastAsia="宋体" w:cs="Times New Roman"/>
          <w:b/>
          <w:bCs/>
          <w:sz w:val="24"/>
        </w:rPr>
        <w:t>2401069</w:t>
      </w:r>
    </w:p>
    <w:p w14:paraId="30454F06">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学 分：</w:t>
      </w:r>
      <w:r>
        <w:rPr>
          <w:rFonts w:hint="eastAsia" w:ascii="Times New Roman" w:hAnsi="Times New Roman" w:eastAsia="宋体" w:cs="Times New Roman"/>
          <w:b/>
          <w:sz w:val="24"/>
        </w:rPr>
        <w:t>2</w:t>
      </w:r>
    </w:p>
    <w:p w14:paraId="6DF56980">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学 时：</w:t>
      </w:r>
      <w:r>
        <w:rPr>
          <w:rFonts w:hint="eastAsia" w:ascii="Times New Roman" w:hAnsi="Times New Roman" w:eastAsia="宋体" w:cs="Times New Roman"/>
          <w:b/>
          <w:sz w:val="24"/>
        </w:rPr>
        <w:t>32</w:t>
      </w:r>
      <w:r>
        <w:rPr>
          <w:rFonts w:ascii="Times New Roman" w:hAnsi="Times New Roman" w:eastAsia="宋体" w:cs="Times New Roman"/>
          <w:b/>
          <w:sz w:val="24"/>
        </w:rPr>
        <w:t>（其中：讲授学时</w:t>
      </w:r>
      <w:r>
        <w:rPr>
          <w:rFonts w:hint="eastAsia" w:ascii="Times New Roman" w:hAnsi="Times New Roman" w:eastAsia="宋体" w:cs="Times New Roman"/>
          <w:b/>
          <w:sz w:val="24"/>
        </w:rPr>
        <w:t>32</w:t>
      </w:r>
      <w:r>
        <w:rPr>
          <w:rFonts w:ascii="Times New Roman" w:hAnsi="Times New Roman" w:eastAsia="宋体" w:cs="Times New Roman"/>
          <w:b/>
          <w:sz w:val="24"/>
        </w:rPr>
        <w:t>）</w:t>
      </w:r>
    </w:p>
    <w:p w14:paraId="7ADD48E9">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先修课程：</w:t>
      </w:r>
      <w:r>
        <w:rPr>
          <w:rFonts w:ascii="Times New Roman" w:hAnsi="Times New Roman" w:eastAsia="宋体" w:cs="Times New Roman"/>
          <w:b/>
          <w:sz w:val="24"/>
        </w:rPr>
        <w:t>无</w:t>
      </w:r>
    </w:p>
    <w:p w14:paraId="164304C3">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适用专业：</w:t>
      </w:r>
      <w:r>
        <w:rPr>
          <w:rFonts w:ascii="Times New Roman" w:hAnsi="Times New Roman" w:eastAsia="宋体" w:cs="Times New Roman"/>
          <w:b/>
          <w:sz w:val="24"/>
        </w:rPr>
        <w:t>小学教育（文）</w:t>
      </w:r>
    </w:p>
    <w:p w14:paraId="241A78E5">
      <w:pPr>
        <w:spacing w:before="62" w:beforeLines="20" w:after="62" w:afterLines="20" w:line="360" w:lineRule="auto"/>
        <w:jc w:val="left"/>
        <w:rPr>
          <w:rFonts w:ascii="Times New Roman" w:hAnsi="Times New Roman" w:eastAsia="宋体" w:cs="Times New Roman"/>
          <w:b/>
          <w:sz w:val="24"/>
        </w:rPr>
      </w:pPr>
      <w:bookmarkStart w:id="1673" w:name="_Toc44"/>
      <w:bookmarkStart w:id="1674" w:name="_Toc25291"/>
      <w:bookmarkStart w:id="1675" w:name="_Toc12075"/>
      <w:bookmarkStart w:id="1676" w:name="_Toc5904"/>
      <w:bookmarkStart w:id="1677" w:name="_Toc15953"/>
      <w:bookmarkStart w:id="1678" w:name="_Toc27253"/>
      <w:bookmarkStart w:id="1679" w:name="_Toc9661"/>
      <w:r>
        <w:rPr>
          <w:rFonts w:ascii="Times New Roman" w:hAnsi="Times New Roman" w:eastAsia="宋体" w:cs="Times New Roman"/>
          <w:b/>
          <w:sz w:val="24"/>
        </w:rPr>
        <w:t>一、课程简介</w:t>
      </w:r>
      <w:bookmarkEnd w:id="1673"/>
      <w:bookmarkEnd w:id="1674"/>
      <w:bookmarkEnd w:id="1675"/>
      <w:bookmarkEnd w:id="1676"/>
      <w:bookmarkEnd w:id="1677"/>
      <w:bookmarkEnd w:id="1678"/>
      <w:bookmarkEnd w:id="1679"/>
    </w:p>
    <w:p w14:paraId="269CAAAE">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本课程是小学教育的专业基础必修课，以自然科学的基础知识、基本概念、基本原理和基本方法为基础，主线围绕人与自然的关系协调，核心关注学生发展，紧密联系小学科学教育教学实际。课程旨在培养具有一定科学素养的合格小学教师。掌握自然科学基础知识，学习自然科学的基本思想和方法，提高分析问题和解决问题的能力，开阔眼界，完善知识结构，培养科学态度，提高科学素养，以适应小学教师教育教学的需求。</w:t>
      </w:r>
    </w:p>
    <w:p w14:paraId="634CA59B">
      <w:pPr>
        <w:spacing w:before="62" w:beforeLines="20" w:after="62" w:afterLines="20" w:line="360" w:lineRule="auto"/>
        <w:jc w:val="left"/>
        <w:rPr>
          <w:rFonts w:ascii="Times New Roman" w:hAnsi="Times New Roman" w:eastAsia="宋体" w:cs="Times New Roman"/>
          <w:b/>
          <w:sz w:val="24"/>
        </w:rPr>
      </w:pPr>
      <w:bookmarkStart w:id="1680" w:name="_Toc3004"/>
      <w:bookmarkStart w:id="1681" w:name="_Toc25865"/>
      <w:bookmarkStart w:id="1682" w:name="_Toc31872"/>
      <w:bookmarkStart w:id="1683" w:name="_Toc12908"/>
      <w:bookmarkStart w:id="1684" w:name="_Toc27344"/>
      <w:bookmarkStart w:id="1685" w:name="_Toc5923"/>
      <w:bookmarkStart w:id="1686" w:name="_Toc5787"/>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1680"/>
      <w:bookmarkEnd w:id="1681"/>
      <w:bookmarkEnd w:id="1682"/>
      <w:bookmarkEnd w:id="1683"/>
      <w:bookmarkEnd w:id="1684"/>
      <w:bookmarkEnd w:id="1685"/>
      <w:bookmarkEnd w:id="1686"/>
    </w:p>
    <w:p w14:paraId="0E7A27B1">
      <w:pPr>
        <w:spacing w:line="360" w:lineRule="auto"/>
        <w:ind w:firstLine="422" w:firstLineChars="200"/>
        <w:outlineLvl w:val="1"/>
        <w:rPr>
          <w:rFonts w:hint="eastAsia" w:ascii="宋体" w:hAnsi="宋体" w:eastAsia="宋体" w:cs="Times New Roman"/>
          <w:b/>
          <w:szCs w:val="21"/>
        </w:rPr>
      </w:pPr>
      <w:bookmarkStart w:id="1687" w:name="_Toc24538"/>
      <w:r>
        <w:rPr>
          <w:rFonts w:hint="eastAsia" w:ascii="宋体" w:hAnsi="宋体" w:eastAsia="宋体" w:cs="Times New Roman"/>
          <w:b/>
          <w:szCs w:val="21"/>
        </w:rPr>
        <w:t>（一）课程具体目标</w:t>
      </w:r>
      <w:bookmarkEnd w:id="1687"/>
    </w:p>
    <w:p w14:paraId="7F5178DB">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 xml:space="preserve">目标1. </w:t>
      </w:r>
      <w:r>
        <w:rPr>
          <w:rFonts w:hint="eastAsia" w:ascii="宋体" w:hAnsi="宋体" w:eastAsia="宋体" w:cs="Times New Roman"/>
          <w:bCs/>
          <w:szCs w:val="21"/>
        </w:rPr>
        <w:t>掌握自然科学的基础知识、基本概念和基本原理，理解科学研究的基本方法，形成自然科学的整体认知和科学素养。</w:t>
      </w:r>
    </w:p>
    <w:p w14:paraId="7396554D">
      <w:pPr>
        <w:spacing w:line="360" w:lineRule="auto"/>
        <w:ind w:firstLine="422" w:firstLineChars="200"/>
        <w:rPr>
          <w:rFonts w:hint="eastAsia" w:ascii="宋体" w:hAnsi="宋体" w:eastAsia="宋体" w:cs="Times New Roman"/>
          <w:bCs/>
          <w:szCs w:val="21"/>
        </w:rPr>
      </w:pPr>
      <w:r>
        <w:rPr>
          <w:rFonts w:hint="eastAsia" w:ascii="宋体" w:hAnsi="宋体" w:eastAsia="宋体" w:cs="Times New Roman"/>
          <w:b/>
          <w:szCs w:val="21"/>
        </w:rPr>
        <w:t>目标2.</w:t>
      </w:r>
      <w:r>
        <w:rPr>
          <w:rFonts w:hint="eastAsia" w:ascii="宋体" w:hAnsi="宋体" w:eastAsia="宋体" w:cs="Times New Roman"/>
          <w:b/>
          <w:bCs/>
          <w:szCs w:val="21"/>
        </w:rPr>
        <w:t xml:space="preserve"> </w:t>
      </w:r>
      <w:r>
        <w:rPr>
          <w:rFonts w:ascii="宋体" w:hAnsi="宋体" w:eastAsia="宋体" w:cs="Times New Roman"/>
          <w:bCs/>
          <w:szCs w:val="21"/>
        </w:rPr>
        <w:t>熟悉小学科学教育的知识体系，掌握小学科学领域的核心概念、基本原理和主要技能；能够结合小学教育实际，理解自然科学与人文社会科学的交叉关系，为小学</w:t>
      </w:r>
      <w:r>
        <w:rPr>
          <w:rFonts w:hint="eastAsia" w:ascii="宋体" w:hAnsi="宋体" w:eastAsia="宋体" w:cs="Times New Roman"/>
          <w:bCs/>
          <w:szCs w:val="21"/>
        </w:rPr>
        <w:t>教育</w:t>
      </w:r>
      <w:r>
        <w:rPr>
          <w:rFonts w:ascii="宋体" w:hAnsi="宋体" w:eastAsia="宋体" w:cs="Times New Roman"/>
          <w:bCs/>
          <w:szCs w:val="21"/>
        </w:rPr>
        <w:t>提供扎实的学科支撑。</w:t>
      </w:r>
    </w:p>
    <w:p w14:paraId="695372F7">
      <w:pPr>
        <w:spacing w:line="360" w:lineRule="auto"/>
        <w:ind w:firstLine="422" w:firstLineChars="200"/>
        <w:rPr>
          <w:rFonts w:hint="eastAsia" w:ascii="宋体" w:hAnsi="宋体" w:eastAsia="宋体" w:cs="Times New Roman"/>
          <w:bCs/>
          <w:szCs w:val="21"/>
        </w:rPr>
      </w:pPr>
      <w:r>
        <w:rPr>
          <w:rFonts w:hint="eastAsia" w:ascii="宋体" w:hAnsi="宋体" w:eastAsia="宋体" w:cs="Times New Roman"/>
          <w:b/>
          <w:szCs w:val="21"/>
        </w:rPr>
        <w:t xml:space="preserve">目标3. </w:t>
      </w:r>
      <w:r>
        <w:rPr>
          <w:rFonts w:hint="eastAsia" w:ascii="宋体" w:hAnsi="宋体" w:eastAsia="宋体" w:cs="Times New Roman"/>
          <w:bCs/>
          <w:szCs w:val="21"/>
        </w:rPr>
        <w:t>具备科学知识的整合能力，能够联系小学其他学科及社会实践，开展跨学科综合性教学活动，提升小学教育的知识传授与实践能力。</w:t>
      </w:r>
    </w:p>
    <w:p w14:paraId="416E61A5">
      <w:pPr>
        <w:spacing w:line="360" w:lineRule="auto"/>
        <w:ind w:firstLine="422" w:firstLineChars="200"/>
        <w:jc w:val="left"/>
        <w:outlineLvl w:val="1"/>
        <w:rPr>
          <w:rFonts w:ascii="Times New Roman" w:hAnsi="Times New Roman" w:eastAsia="宋体" w:cs="Times New Roman"/>
          <w:b/>
          <w:bCs/>
          <w:szCs w:val="21"/>
        </w:rPr>
      </w:pPr>
      <w:bookmarkStart w:id="1688" w:name="_Toc26705"/>
      <w:r>
        <w:rPr>
          <w:rFonts w:hint="eastAsia" w:ascii="Times New Roman" w:hAnsi="Times New Roman" w:eastAsia="宋体" w:cs="Times New Roman"/>
          <w:b/>
          <w:bCs/>
          <w:szCs w:val="21"/>
        </w:rPr>
        <w:t>（二）课程目标及其对毕业要求指标点的支撑</w:t>
      </w:r>
      <w:bookmarkEnd w:id="1688"/>
    </w:p>
    <w:tbl>
      <w:tblPr>
        <w:tblStyle w:val="12"/>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419"/>
        <w:gridCol w:w="1198"/>
      </w:tblGrid>
      <w:tr w14:paraId="580D3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413" w:type="dxa"/>
            <w:vAlign w:val="center"/>
          </w:tcPr>
          <w:p w14:paraId="42A4D0B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419" w:type="dxa"/>
            <w:vAlign w:val="center"/>
          </w:tcPr>
          <w:p w14:paraId="47E77A7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8" w:type="dxa"/>
            <w:vAlign w:val="center"/>
          </w:tcPr>
          <w:p w14:paraId="1651B804">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4ED3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413" w:type="dxa"/>
            <w:vMerge w:val="restart"/>
            <w:vAlign w:val="center"/>
          </w:tcPr>
          <w:p w14:paraId="0F42629D">
            <w:pPr>
              <w:spacing w:line="276" w:lineRule="auto"/>
              <w:jc w:val="center"/>
              <w:rPr>
                <w:rFonts w:ascii="Times New Roman" w:hAnsi="Times New Roman" w:eastAsia="宋体" w:cs="Times New Roman"/>
                <w:szCs w:val="21"/>
              </w:rPr>
            </w:pPr>
            <w:r>
              <w:rPr>
                <w:rFonts w:ascii="Times New Roman" w:hAnsi="Times New Roman" w:eastAsia="宋体" w:cs="Times New Roman"/>
                <w:szCs w:val="21"/>
              </w:rPr>
              <w:t>毕业要求3：学科素养</w:t>
            </w:r>
          </w:p>
        </w:tc>
        <w:tc>
          <w:tcPr>
            <w:tcW w:w="6419" w:type="dxa"/>
            <w:vAlign w:val="center"/>
          </w:tcPr>
          <w:p w14:paraId="00CDDB42">
            <w:pPr>
              <w:spacing w:line="276" w:lineRule="auto"/>
              <w:jc w:val="left"/>
              <w:rPr>
                <w:rFonts w:hint="eastAsia" w:ascii="宋体" w:hAnsi="宋体" w:eastAsia="宋体" w:cs="Times New Roman"/>
                <w:szCs w:val="21"/>
              </w:rPr>
            </w:pPr>
            <w:r>
              <w:rPr>
                <w:rFonts w:hint="eastAsia" w:ascii="宋体" w:hAnsi="宋体" w:eastAsia="宋体" w:cs="宋体"/>
                <w:b/>
                <w:kern w:val="0"/>
                <w:sz w:val="20"/>
                <w:szCs w:val="20"/>
              </w:rPr>
              <w:t>指标点3-1</w:t>
            </w:r>
            <w:r>
              <w:rPr>
                <w:rFonts w:hint="eastAsia" w:ascii="宋体" w:hAnsi="宋体" w:eastAsia="宋体" w:cs="宋体"/>
                <w:sz w:val="20"/>
                <w:szCs w:val="20"/>
              </w:rPr>
              <w:t>：【通识知识广博】具有小学教育本科专业相应的自然科学和人文社会科学知识素养。</w:t>
            </w:r>
          </w:p>
        </w:tc>
        <w:tc>
          <w:tcPr>
            <w:tcW w:w="1198" w:type="dxa"/>
            <w:vAlign w:val="center"/>
          </w:tcPr>
          <w:p w14:paraId="74612B9F">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目标1</w:t>
            </w:r>
          </w:p>
        </w:tc>
      </w:tr>
      <w:tr w14:paraId="0D26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1413" w:type="dxa"/>
            <w:vMerge w:val="continue"/>
            <w:vAlign w:val="center"/>
          </w:tcPr>
          <w:p w14:paraId="1D05F806">
            <w:pPr>
              <w:spacing w:line="276" w:lineRule="auto"/>
              <w:jc w:val="left"/>
              <w:rPr>
                <w:rFonts w:ascii="Times New Roman" w:hAnsi="Times New Roman" w:eastAsia="宋体" w:cs="Times New Roman"/>
                <w:szCs w:val="21"/>
              </w:rPr>
            </w:pPr>
          </w:p>
        </w:tc>
        <w:tc>
          <w:tcPr>
            <w:tcW w:w="6419" w:type="dxa"/>
            <w:vAlign w:val="center"/>
          </w:tcPr>
          <w:p w14:paraId="0908C5D1">
            <w:pPr>
              <w:spacing w:line="276" w:lineRule="auto"/>
              <w:jc w:val="left"/>
              <w:rPr>
                <w:rFonts w:hint="eastAsia" w:ascii="宋体" w:hAnsi="宋体" w:eastAsia="宋体" w:cs="Times New Roman"/>
                <w:szCs w:val="21"/>
              </w:rPr>
            </w:pPr>
            <w:r>
              <w:rPr>
                <w:rFonts w:hint="eastAsia" w:ascii="宋体" w:hAnsi="宋体" w:eastAsia="宋体" w:cs="宋体"/>
                <w:b/>
                <w:kern w:val="0"/>
                <w:sz w:val="20"/>
                <w:szCs w:val="20"/>
              </w:rPr>
              <w:t>指标点3-2</w:t>
            </w:r>
            <w:r>
              <w:rPr>
                <w:rFonts w:hint="eastAsia" w:ascii="宋体" w:hAnsi="宋体" w:eastAsia="宋体" w:cs="宋体"/>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8" w:type="dxa"/>
            <w:vAlign w:val="center"/>
          </w:tcPr>
          <w:p w14:paraId="309988EA">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目标2</w:t>
            </w:r>
          </w:p>
        </w:tc>
      </w:tr>
      <w:tr w14:paraId="1F1AC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1413" w:type="dxa"/>
            <w:vMerge w:val="continue"/>
            <w:vAlign w:val="center"/>
          </w:tcPr>
          <w:p w14:paraId="12CC3A6E">
            <w:pPr>
              <w:spacing w:line="276" w:lineRule="auto"/>
              <w:jc w:val="left"/>
              <w:rPr>
                <w:rFonts w:ascii="Times New Roman" w:hAnsi="Times New Roman" w:eastAsia="宋体" w:cs="Times New Roman"/>
                <w:szCs w:val="21"/>
              </w:rPr>
            </w:pPr>
          </w:p>
        </w:tc>
        <w:tc>
          <w:tcPr>
            <w:tcW w:w="6419" w:type="dxa"/>
            <w:vAlign w:val="center"/>
          </w:tcPr>
          <w:p w14:paraId="3FEA3F1D">
            <w:pPr>
              <w:spacing w:line="276" w:lineRule="auto"/>
              <w:jc w:val="left"/>
              <w:rPr>
                <w:rFonts w:hint="eastAsia" w:ascii="宋体" w:hAnsi="宋体" w:eastAsia="宋体" w:cs="Times New Roman"/>
                <w:szCs w:val="21"/>
              </w:rPr>
            </w:pPr>
            <w:r>
              <w:rPr>
                <w:rFonts w:hint="eastAsia" w:ascii="宋体" w:hAnsi="宋体" w:eastAsia="宋体" w:cs="宋体"/>
                <w:b/>
                <w:kern w:val="0"/>
                <w:sz w:val="20"/>
                <w:szCs w:val="20"/>
              </w:rPr>
              <w:t>指标点3-3</w:t>
            </w:r>
            <w:r>
              <w:rPr>
                <w:rFonts w:hint="eastAsia" w:ascii="宋体" w:hAnsi="宋体" w:eastAsia="宋体" w:cs="宋体"/>
                <w:sz w:val="20"/>
                <w:szCs w:val="20"/>
              </w:rPr>
              <w:t>：【注重知识整合】了解所教学科与小学其他学科及与社会实践、小学生生活实践之间的联系，了解学科整合在小学教育中的价值，具有跨学科解决问题的意识和能力，能指导综合性学科教学活动。</w:t>
            </w:r>
          </w:p>
        </w:tc>
        <w:tc>
          <w:tcPr>
            <w:tcW w:w="1198" w:type="dxa"/>
            <w:vAlign w:val="center"/>
          </w:tcPr>
          <w:p w14:paraId="18841B5F">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目标3</w:t>
            </w:r>
          </w:p>
        </w:tc>
      </w:tr>
    </w:tbl>
    <w:p w14:paraId="61F24C80">
      <w:pPr>
        <w:spacing w:before="156" w:beforeLines="50" w:line="360" w:lineRule="auto"/>
        <w:ind w:firstLine="422" w:firstLineChars="200"/>
        <w:jc w:val="left"/>
        <w:outlineLvl w:val="1"/>
        <w:rPr>
          <w:rFonts w:hint="eastAsia" w:ascii="宋体" w:hAnsi="宋体" w:eastAsia="宋体" w:cs="Times New Roman"/>
          <w:b/>
          <w:szCs w:val="21"/>
        </w:rPr>
      </w:pPr>
      <w:bookmarkStart w:id="1689" w:name="_Toc11971"/>
      <w:r>
        <w:rPr>
          <w:rFonts w:hint="eastAsia" w:ascii="宋体" w:hAnsi="宋体" w:eastAsia="宋体" w:cs="Times New Roman"/>
          <w:b/>
          <w:szCs w:val="21"/>
        </w:rPr>
        <w:t>（三）课程思政目标</w:t>
      </w:r>
      <w:bookmarkEnd w:id="1689"/>
    </w:p>
    <w:p w14:paraId="276DB6B3">
      <w:pPr>
        <w:spacing w:line="360" w:lineRule="auto"/>
        <w:ind w:left="420" w:leftChars="200"/>
        <w:jc w:val="left"/>
        <w:outlineLvl w:val="2"/>
        <w:rPr>
          <w:rFonts w:hint="eastAsia" w:ascii="宋体" w:hAnsi="宋体" w:eastAsia="宋体" w:cs="Times New Roman"/>
          <w:szCs w:val="21"/>
        </w:rPr>
      </w:pPr>
      <w:bookmarkStart w:id="1690" w:name="_Toc25821"/>
      <w:r>
        <w:rPr>
          <w:rFonts w:hint="eastAsia" w:ascii="宋体" w:hAnsi="宋体" w:eastAsia="宋体" w:cs="Times New Roman"/>
          <w:szCs w:val="21"/>
        </w:rPr>
        <w:t xml:space="preserve">1. </w:t>
      </w:r>
      <w:r>
        <w:rPr>
          <w:rFonts w:ascii="宋体" w:hAnsi="宋体" w:eastAsia="宋体" w:cs="Times New Roman"/>
          <w:b/>
          <w:bCs/>
          <w:szCs w:val="21"/>
        </w:rPr>
        <w:t>培养科学精神与责任意识</w:t>
      </w:r>
      <w:bookmarkEnd w:id="1690"/>
    </w:p>
    <w:p w14:paraId="3706AF98">
      <w:pPr>
        <w:spacing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t>帮助学生树立尊重科学、崇尚探索的科学精神，认识科学技术对社会进步的重要意义，同时增强社会责任感，为培养具有科学素养的小学生打下思想基础。</w:t>
      </w:r>
    </w:p>
    <w:p w14:paraId="168B2766">
      <w:pPr>
        <w:spacing w:line="360" w:lineRule="auto"/>
        <w:ind w:left="420" w:leftChars="200"/>
        <w:jc w:val="left"/>
        <w:outlineLvl w:val="2"/>
        <w:rPr>
          <w:rFonts w:hint="eastAsia" w:ascii="宋体" w:hAnsi="宋体" w:eastAsia="宋体" w:cs="Times New Roman"/>
          <w:szCs w:val="21"/>
        </w:rPr>
      </w:pPr>
      <w:bookmarkStart w:id="1691" w:name="_Toc27503"/>
      <w:r>
        <w:rPr>
          <w:rFonts w:hint="eastAsia" w:ascii="宋体" w:hAnsi="宋体" w:eastAsia="宋体" w:cs="Times New Roman"/>
          <w:szCs w:val="21"/>
        </w:rPr>
        <w:t xml:space="preserve">2. </w:t>
      </w:r>
      <w:r>
        <w:rPr>
          <w:rFonts w:ascii="宋体" w:hAnsi="宋体" w:eastAsia="宋体" w:cs="Times New Roman"/>
          <w:b/>
          <w:bCs/>
          <w:szCs w:val="21"/>
        </w:rPr>
        <w:t>增强生态文明意识</w:t>
      </w:r>
      <w:bookmarkEnd w:id="1691"/>
    </w:p>
    <w:p w14:paraId="73732AF9">
      <w:pPr>
        <w:spacing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t>通过对自然科学知识的学习，引导学生树立人与自然和谐共生的理念，强化生态保护意识，践行可持续发展观。</w:t>
      </w:r>
    </w:p>
    <w:p w14:paraId="24449822">
      <w:pPr>
        <w:spacing w:line="360" w:lineRule="auto"/>
        <w:ind w:left="420" w:leftChars="200"/>
        <w:jc w:val="left"/>
        <w:outlineLvl w:val="2"/>
        <w:rPr>
          <w:rFonts w:hint="eastAsia" w:ascii="宋体" w:hAnsi="宋体" w:eastAsia="宋体" w:cs="Times New Roman"/>
          <w:szCs w:val="21"/>
        </w:rPr>
      </w:pPr>
      <w:bookmarkStart w:id="1692" w:name="_Toc19847"/>
      <w:r>
        <w:rPr>
          <w:rFonts w:hint="eastAsia" w:ascii="宋体" w:hAnsi="宋体" w:eastAsia="宋体" w:cs="Times New Roman"/>
          <w:szCs w:val="21"/>
        </w:rPr>
        <w:t xml:space="preserve">3. </w:t>
      </w:r>
      <w:r>
        <w:rPr>
          <w:rFonts w:ascii="宋体" w:hAnsi="宋体" w:eastAsia="宋体" w:cs="Times New Roman"/>
          <w:b/>
          <w:bCs/>
          <w:szCs w:val="21"/>
        </w:rPr>
        <w:t>弘扬科学伦理与价值观</w:t>
      </w:r>
      <w:bookmarkEnd w:id="1692"/>
    </w:p>
    <w:p w14:paraId="768D059F">
      <w:pPr>
        <w:spacing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t>帮助学生认识科技发展对社会的双重影响，正确看待科技进步中的伦理问题，形成对科学技术的理性态度和批判性思维。</w:t>
      </w:r>
    </w:p>
    <w:p w14:paraId="1B1DAA96">
      <w:pPr>
        <w:spacing w:line="360" w:lineRule="auto"/>
        <w:ind w:left="210" w:leftChars="100" w:firstLine="210" w:firstLineChars="100"/>
        <w:jc w:val="left"/>
        <w:outlineLvl w:val="2"/>
        <w:rPr>
          <w:rFonts w:hint="eastAsia" w:ascii="宋体" w:hAnsi="宋体" w:eastAsia="宋体" w:cs="Times New Roman"/>
          <w:szCs w:val="21"/>
        </w:rPr>
      </w:pPr>
      <w:bookmarkStart w:id="1693" w:name="_Toc13451"/>
      <w:r>
        <w:rPr>
          <w:rFonts w:hint="eastAsia" w:ascii="宋体" w:hAnsi="宋体" w:eastAsia="宋体" w:cs="Times New Roman"/>
          <w:szCs w:val="21"/>
        </w:rPr>
        <w:t xml:space="preserve">4. </w:t>
      </w:r>
      <w:r>
        <w:rPr>
          <w:rFonts w:ascii="宋体" w:hAnsi="宋体" w:eastAsia="宋体" w:cs="Times New Roman"/>
          <w:b/>
          <w:bCs/>
          <w:szCs w:val="21"/>
        </w:rPr>
        <w:t>激发爱国热情与家国情怀</w:t>
      </w:r>
      <w:bookmarkEnd w:id="1693"/>
      <w:r>
        <w:rPr>
          <w:rFonts w:hint="eastAsia" w:ascii="宋体" w:hAnsi="宋体" w:eastAsia="宋体" w:cs="Times New Roman"/>
          <w:szCs w:val="21"/>
        </w:rPr>
        <w:t xml:space="preserve"> </w:t>
      </w:r>
    </w:p>
    <w:p w14:paraId="5C25FFDA">
      <w:pPr>
        <w:spacing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t>结合科学发展史中的经典案例，引导学生认识中国科学技术的贡献，增强民族自信心和自豪感，为培养德才兼备的小学教师提供思想支撑。</w:t>
      </w:r>
    </w:p>
    <w:p w14:paraId="38D53359">
      <w:pPr>
        <w:spacing w:before="62" w:beforeLines="20" w:after="62" w:afterLines="20" w:line="360" w:lineRule="auto"/>
        <w:jc w:val="left"/>
        <w:rPr>
          <w:rFonts w:ascii="Times New Roman" w:hAnsi="Times New Roman" w:eastAsia="宋体" w:cs="Times New Roman"/>
          <w:b/>
          <w:sz w:val="24"/>
        </w:rPr>
      </w:pPr>
      <w:bookmarkStart w:id="1694" w:name="_Toc13139"/>
      <w:bookmarkStart w:id="1695" w:name="_Toc15736"/>
      <w:bookmarkStart w:id="1696" w:name="_Toc2968"/>
      <w:bookmarkStart w:id="1697" w:name="_Toc1920"/>
      <w:bookmarkStart w:id="1698" w:name="_Toc19338"/>
      <w:bookmarkStart w:id="1699" w:name="_Toc14602"/>
      <w:bookmarkStart w:id="1700" w:name="_Toc11284"/>
      <w:r>
        <w:rPr>
          <w:rFonts w:hint="eastAsia" w:ascii="Times New Roman" w:hAnsi="Times New Roman" w:eastAsia="宋体" w:cs="Times New Roman"/>
          <w:b/>
          <w:sz w:val="24"/>
        </w:rPr>
        <w:t>三、教学内容与预期学习成效</w:t>
      </w:r>
      <w:bookmarkEnd w:id="1694"/>
      <w:bookmarkEnd w:id="1695"/>
      <w:bookmarkEnd w:id="1696"/>
      <w:bookmarkEnd w:id="1697"/>
      <w:bookmarkEnd w:id="1698"/>
      <w:bookmarkEnd w:id="1699"/>
      <w:bookmarkEnd w:id="1700"/>
    </w:p>
    <w:tbl>
      <w:tblPr>
        <w:tblStyle w:val="12"/>
        <w:tblW w:w="9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716"/>
        <w:gridCol w:w="1144"/>
        <w:gridCol w:w="3716"/>
        <w:gridCol w:w="1147"/>
        <w:gridCol w:w="443"/>
      </w:tblGrid>
      <w:tr w14:paraId="2D27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216" w:type="dxa"/>
            <w:vAlign w:val="center"/>
          </w:tcPr>
          <w:p w14:paraId="661FBF69">
            <w:pPr>
              <w:jc w:val="center"/>
              <w:rPr>
                <w:rFonts w:hint="eastAsia" w:ascii="宋体" w:hAnsi="宋体" w:eastAsia="宋体" w:cs="Times New Roman"/>
                <w:b/>
                <w:szCs w:val="21"/>
              </w:rPr>
            </w:pPr>
            <w:r>
              <w:rPr>
                <w:rFonts w:hint="eastAsia" w:ascii="宋体" w:hAnsi="宋体" w:eastAsia="宋体" w:cs="Times New Roman"/>
                <w:b/>
                <w:szCs w:val="21"/>
              </w:rPr>
              <w:t>知识</w:t>
            </w:r>
          </w:p>
          <w:p w14:paraId="6AFF166E">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16" w:type="dxa"/>
            <w:vAlign w:val="center"/>
          </w:tcPr>
          <w:p w14:paraId="570C5A64">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44" w:type="dxa"/>
            <w:vAlign w:val="center"/>
          </w:tcPr>
          <w:p w14:paraId="0FF4A5D8">
            <w:pPr>
              <w:jc w:val="center"/>
              <w:rPr>
                <w:rFonts w:hint="eastAsia" w:ascii="宋体" w:hAnsi="宋体" w:eastAsia="宋体" w:cs="Times New Roman"/>
                <w:b/>
                <w:szCs w:val="21"/>
              </w:rPr>
            </w:pPr>
            <w:r>
              <w:rPr>
                <w:rFonts w:hint="eastAsia" w:ascii="宋体" w:hAnsi="宋体" w:eastAsia="宋体" w:cs="Times New Roman"/>
                <w:b/>
                <w:szCs w:val="21"/>
              </w:rPr>
              <w:t>对应</w:t>
            </w:r>
          </w:p>
          <w:p w14:paraId="378AF815">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716" w:type="dxa"/>
            <w:vAlign w:val="center"/>
          </w:tcPr>
          <w:p w14:paraId="695C0256">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147" w:type="dxa"/>
            <w:vAlign w:val="center"/>
          </w:tcPr>
          <w:p w14:paraId="09D28CBD">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43" w:type="dxa"/>
            <w:vAlign w:val="center"/>
          </w:tcPr>
          <w:p w14:paraId="6D6DECEC">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7C89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1216" w:type="dxa"/>
            <w:vMerge w:val="restart"/>
          </w:tcPr>
          <w:p w14:paraId="4FC781C2">
            <w:pPr>
              <w:spacing w:line="264" w:lineRule="auto"/>
              <w:jc w:val="center"/>
              <w:rPr>
                <w:rFonts w:hint="eastAsia" w:ascii="宋体" w:hAnsi="宋体" w:eastAsia="宋体" w:cs="Times New Roman"/>
                <w:szCs w:val="21"/>
              </w:rPr>
            </w:pPr>
            <w:r>
              <w:rPr>
                <w:rFonts w:hint="eastAsia" w:ascii="宋体" w:hAnsi="宋体" w:eastAsia="宋体" w:cs="Times New Roman"/>
                <w:szCs w:val="22"/>
              </w:rPr>
              <w:t>绪论</w:t>
            </w:r>
          </w:p>
        </w:tc>
        <w:tc>
          <w:tcPr>
            <w:tcW w:w="1716" w:type="dxa"/>
          </w:tcPr>
          <w:p w14:paraId="33C9DB39">
            <w:pPr>
              <w:spacing w:line="269" w:lineRule="auto"/>
              <w:jc w:val="left"/>
              <w:rPr>
                <w:rFonts w:hint="eastAsia" w:ascii="宋体" w:hAnsi="宋体" w:eastAsia="宋体" w:cs="Times New Roman"/>
                <w:szCs w:val="21"/>
              </w:rPr>
            </w:pPr>
            <w:r>
              <w:rPr>
                <w:rFonts w:hint="eastAsia" w:ascii="宋体" w:hAnsi="宋体" w:eastAsia="宋体" w:cs="Times New Roman"/>
                <w:szCs w:val="22"/>
              </w:rPr>
              <w:t>自然科学的基本概念与研究方法；科学教育课程标准</w:t>
            </w:r>
          </w:p>
        </w:tc>
        <w:tc>
          <w:tcPr>
            <w:tcW w:w="1144" w:type="dxa"/>
          </w:tcPr>
          <w:p w14:paraId="61EBFB30">
            <w:pPr>
              <w:spacing w:line="269" w:lineRule="auto"/>
              <w:jc w:val="center"/>
              <w:rPr>
                <w:rFonts w:hint="eastAsia" w:ascii="宋体" w:hAnsi="宋体" w:eastAsia="宋体" w:cs="Times New Roman"/>
                <w:szCs w:val="21"/>
              </w:rPr>
            </w:pPr>
            <w:r>
              <w:rPr>
                <w:rFonts w:hint="eastAsia" w:ascii="宋体" w:hAnsi="宋体" w:eastAsia="宋体" w:cs="Times New Roman"/>
                <w:szCs w:val="22"/>
              </w:rPr>
              <w:t>目标1</w:t>
            </w:r>
          </w:p>
        </w:tc>
        <w:tc>
          <w:tcPr>
            <w:tcW w:w="3716" w:type="dxa"/>
          </w:tcPr>
          <w:p w14:paraId="35104657">
            <w:pPr>
              <w:spacing w:line="269" w:lineRule="auto"/>
              <w:jc w:val="left"/>
              <w:rPr>
                <w:rFonts w:hint="eastAsia" w:ascii="宋体" w:hAnsi="宋体" w:eastAsia="宋体" w:cs="Times New Roman"/>
                <w:szCs w:val="21"/>
              </w:rPr>
            </w:pPr>
            <w:r>
              <w:rPr>
                <w:rFonts w:hint="eastAsia" w:ascii="宋体" w:hAnsi="宋体" w:eastAsia="宋体" w:cs="Times New Roman"/>
                <w:szCs w:val="22"/>
              </w:rPr>
              <w:t>理解自然科学的基本概念与研究方法，掌握科学教育的基本要求；增强科学学习的兴趣和信心。</w:t>
            </w:r>
          </w:p>
        </w:tc>
        <w:tc>
          <w:tcPr>
            <w:tcW w:w="1147" w:type="dxa"/>
            <w:vAlign w:val="center"/>
          </w:tcPr>
          <w:p w14:paraId="4C6752A5">
            <w:pPr>
              <w:spacing w:line="269" w:lineRule="auto"/>
              <w:jc w:val="center"/>
              <w:rPr>
                <w:rFonts w:hint="eastAsia" w:ascii="宋体" w:hAnsi="宋体" w:eastAsia="宋体" w:cs="Times New Roman"/>
                <w:szCs w:val="21"/>
              </w:rPr>
            </w:pPr>
            <w:r>
              <w:rPr>
                <w:rFonts w:hint="eastAsia" w:ascii="宋体" w:hAnsi="宋体" w:eastAsia="宋体" w:cs="Times New Roman"/>
                <w:szCs w:val="22"/>
              </w:rPr>
              <w:t>课堂讲授与案例讨论</w:t>
            </w:r>
          </w:p>
        </w:tc>
        <w:tc>
          <w:tcPr>
            <w:tcW w:w="443" w:type="dxa"/>
            <w:vAlign w:val="center"/>
          </w:tcPr>
          <w:p w14:paraId="32DA5205">
            <w:pPr>
              <w:spacing w:line="269" w:lineRule="auto"/>
              <w:jc w:val="center"/>
              <w:rPr>
                <w:rFonts w:hint="eastAsia" w:ascii="宋体" w:hAnsi="宋体" w:eastAsia="宋体" w:cs="Times New Roman"/>
                <w:szCs w:val="21"/>
              </w:rPr>
            </w:pPr>
            <w:r>
              <w:rPr>
                <w:rFonts w:hint="eastAsia" w:ascii="宋体" w:hAnsi="宋体" w:eastAsia="宋体" w:cs="Times New Roman"/>
                <w:szCs w:val="22"/>
              </w:rPr>
              <w:t>9</w:t>
            </w:r>
          </w:p>
        </w:tc>
      </w:tr>
      <w:tr w14:paraId="6D9C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398DE612">
            <w:pPr>
              <w:spacing w:line="264" w:lineRule="auto"/>
              <w:jc w:val="center"/>
              <w:rPr>
                <w:rFonts w:hint="eastAsia" w:ascii="宋体" w:hAnsi="宋体" w:eastAsia="宋体" w:cs="Times New Roman"/>
                <w:szCs w:val="21"/>
              </w:rPr>
            </w:pPr>
          </w:p>
        </w:tc>
        <w:tc>
          <w:tcPr>
            <w:tcW w:w="8166" w:type="dxa"/>
            <w:gridSpan w:val="5"/>
            <w:vAlign w:val="center"/>
          </w:tcPr>
          <w:p w14:paraId="13C020AD">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激发科学精神，增强对科学研究和科学教育的责任感。</w:t>
            </w:r>
          </w:p>
          <w:p w14:paraId="4CB2420C">
            <w:pPr>
              <w:spacing w:line="269" w:lineRule="auto"/>
              <w:jc w:val="left"/>
              <w:rPr>
                <w:rFonts w:hint="eastAsia" w:ascii="宋体" w:hAnsi="宋体" w:eastAsia="宋体" w:cs="Times New Roman"/>
                <w:szCs w:val="21"/>
              </w:rPr>
            </w:pPr>
          </w:p>
        </w:tc>
      </w:tr>
      <w:tr w14:paraId="2A9E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216" w:type="dxa"/>
            <w:vMerge w:val="restart"/>
          </w:tcPr>
          <w:p w14:paraId="2C86D887">
            <w:pPr>
              <w:spacing w:line="264" w:lineRule="auto"/>
              <w:jc w:val="center"/>
              <w:rPr>
                <w:rFonts w:hint="eastAsia" w:ascii="宋体" w:hAnsi="宋体" w:eastAsia="宋体" w:cs="Times New Roman"/>
                <w:szCs w:val="21"/>
              </w:rPr>
            </w:pPr>
            <w:r>
              <w:rPr>
                <w:rFonts w:hint="eastAsia" w:ascii="宋体" w:hAnsi="宋体" w:eastAsia="宋体" w:cs="Times New Roman"/>
                <w:szCs w:val="22"/>
              </w:rPr>
              <w:t>地球与宇宙</w:t>
            </w:r>
          </w:p>
        </w:tc>
        <w:tc>
          <w:tcPr>
            <w:tcW w:w="1716" w:type="dxa"/>
          </w:tcPr>
          <w:p w14:paraId="4C2D89E2">
            <w:pPr>
              <w:spacing w:line="269" w:lineRule="auto"/>
              <w:jc w:val="left"/>
              <w:rPr>
                <w:rFonts w:hint="eastAsia" w:ascii="宋体" w:hAnsi="宋体" w:eastAsia="宋体" w:cs="Times New Roman"/>
                <w:szCs w:val="21"/>
              </w:rPr>
            </w:pPr>
            <w:r>
              <w:rPr>
                <w:rFonts w:hint="eastAsia" w:ascii="宋体" w:hAnsi="宋体" w:eastAsia="宋体" w:cs="Times New Roman"/>
                <w:szCs w:val="22"/>
              </w:rPr>
              <w:t>太阳系结构、恒星的诞生与演化、宇宙的起源与演化</w:t>
            </w:r>
          </w:p>
        </w:tc>
        <w:tc>
          <w:tcPr>
            <w:tcW w:w="1144" w:type="dxa"/>
          </w:tcPr>
          <w:p w14:paraId="0A0F90F3">
            <w:pPr>
              <w:spacing w:line="269" w:lineRule="auto"/>
              <w:jc w:val="center"/>
              <w:rPr>
                <w:rFonts w:hint="eastAsia" w:ascii="宋体" w:hAnsi="宋体" w:eastAsia="宋体" w:cs="Times New Roman"/>
                <w:szCs w:val="21"/>
              </w:rPr>
            </w:pPr>
            <w:r>
              <w:rPr>
                <w:rFonts w:hint="eastAsia" w:ascii="宋体" w:hAnsi="宋体" w:eastAsia="宋体" w:cs="Times New Roman"/>
                <w:szCs w:val="22"/>
              </w:rPr>
              <w:t>目标1、目标2</w:t>
            </w:r>
          </w:p>
        </w:tc>
        <w:tc>
          <w:tcPr>
            <w:tcW w:w="3716" w:type="dxa"/>
          </w:tcPr>
          <w:p w14:paraId="123878B2">
            <w:pPr>
              <w:spacing w:line="269" w:lineRule="auto"/>
              <w:jc w:val="left"/>
              <w:rPr>
                <w:rFonts w:hint="eastAsia" w:ascii="宋体" w:hAnsi="宋体" w:eastAsia="宋体" w:cs="Times New Roman"/>
                <w:szCs w:val="21"/>
              </w:rPr>
            </w:pPr>
            <w:r>
              <w:rPr>
                <w:rFonts w:hint="eastAsia" w:ascii="宋体" w:hAnsi="宋体" w:eastAsia="宋体" w:cs="Times New Roman"/>
                <w:szCs w:val="22"/>
              </w:rPr>
              <w:t>掌握太阳系及宇宙的基本知识；理解恒星与宇宙演化的过程，形成自然科学整体认知；增强对人类探究宇宙的科学精神的敬意。</w:t>
            </w:r>
          </w:p>
        </w:tc>
        <w:tc>
          <w:tcPr>
            <w:tcW w:w="1147" w:type="dxa"/>
            <w:vAlign w:val="center"/>
          </w:tcPr>
          <w:p w14:paraId="1B7B03E8">
            <w:pPr>
              <w:spacing w:line="269" w:lineRule="auto"/>
              <w:jc w:val="left"/>
              <w:rPr>
                <w:rFonts w:hint="eastAsia" w:ascii="宋体" w:hAnsi="宋体" w:eastAsia="宋体" w:cs="Times New Roman"/>
                <w:szCs w:val="21"/>
              </w:rPr>
            </w:pPr>
            <w:r>
              <w:rPr>
                <w:rFonts w:hint="eastAsia" w:ascii="宋体" w:hAnsi="宋体" w:eastAsia="宋体" w:cs="Times New Roman"/>
                <w:szCs w:val="22"/>
              </w:rPr>
              <w:t>课堂讲授与问题研讨</w:t>
            </w:r>
          </w:p>
        </w:tc>
        <w:tc>
          <w:tcPr>
            <w:tcW w:w="443" w:type="dxa"/>
          </w:tcPr>
          <w:p w14:paraId="59519A72">
            <w:pPr>
              <w:spacing w:line="269" w:lineRule="auto"/>
              <w:jc w:val="center"/>
              <w:rPr>
                <w:rFonts w:hint="eastAsia" w:ascii="宋体" w:hAnsi="宋体" w:eastAsia="宋体" w:cs="Times New Roman"/>
                <w:szCs w:val="21"/>
              </w:rPr>
            </w:pPr>
            <w:r>
              <w:rPr>
                <w:rFonts w:hint="eastAsia" w:ascii="宋体" w:hAnsi="宋体" w:eastAsia="宋体" w:cs="Times New Roman"/>
                <w:szCs w:val="22"/>
              </w:rPr>
              <w:t>12</w:t>
            </w:r>
          </w:p>
        </w:tc>
      </w:tr>
      <w:tr w14:paraId="4F9D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2CE96424">
            <w:pPr>
              <w:spacing w:line="264" w:lineRule="auto"/>
              <w:jc w:val="center"/>
              <w:rPr>
                <w:rFonts w:hint="eastAsia" w:ascii="宋体" w:hAnsi="宋体" w:eastAsia="宋体" w:cs="Times New Roman"/>
                <w:szCs w:val="21"/>
              </w:rPr>
            </w:pPr>
          </w:p>
        </w:tc>
        <w:tc>
          <w:tcPr>
            <w:tcW w:w="8166" w:type="dxa"/>
            <w:gridSpan w:val="5"/>
            <w:vAlign w:val="center"/>
          </w:tcPr>
          <w:p w14:paraId="10B37506">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树立科学探索精神，激发对科技进步和宇宙奥秘的好奇心，培养爱国情怀（例如介绍中国航天成就）。</w:t>
            </w:r>
          </w:p>
        </w:tc>
      </w:tr>
      <w:tr w14:paraId="02D9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1216" w:type="dxa"/>
            <w:vMerge w:val="restart"/>
          </w:tcPr>
          <w:p w14:paraId="5AE05C02">
            <w:pPr>
              <w:spacing w:line="264" w:lineRule="auto"/>
              <w:jc w:val="center"/>
              <w:rPr>
                <w:rFonts w:hint="eastAsia" w:ascii="宋体" w:hAnsi="宋体" w:eastAsia="宋体" w:cs="Times New Roman"/>
                <w:szCs w:val="21"/>
              </w:rPr>
            </w:pPr>
            <w:r>
              <w:rPr>
                <w:rFonts w:hint="eastAsia" w:ascii="宋体" w:hAnsi="宋体" w:eastAsia="宋体" w:cs="Times New Roman"/>
                <w:szCs w:val="22"/>
              </w:rPr>
              <w:t>奇妙的生命世界</w:t>
            </w:r>
          </w:p>
        </w:tc>
        <w:tc>
          <w:tcPr>
            <w:tcW w:w="1716" w:type="dxa"/>
          </w:tcPr>
          <w:p w14:paraId="6C36B149">
            <w:pPr>
              <w:spacing w:line="269" w:lineRule="auto"/>
              <w:jc w:val="left"/>
              <w:rPr>
                <w:rFonts w:hint="eastAsia" w:ascii="宋体" w:hAnsi="宋体" w:eastAsia="宋体" w:cs="Times New Roman"/>
                <w:szCs w:val="21"/>
              </w:rPr>
            </w:pPr>
            <w:r>
              <w:rPr>
                <w:rFonts w:hint="eastAsia" w:ascii="宋体" w:hAnsi="宋体" w:eastAsia="宋体" w:cs="Times New Roman"/>
                <w:szCs w:val="22"/>
              </w:rPr>
              <w:t>生物多样性、生物结构与功能、生命系统的层次结构；生命进化</w:t>
            </w:r>
          </w:p>
        </w:tc>
        <w:tc>
          <w:tcPr>
            <w:tcW w:w="1144" w:type="dxa"/>
          </w:tcPr>
          <w:p w14:paraId="093C2154">
            <w:pPr>
              <w:spacing w:line="269" w:lineRule="auto"/>
              <w:jc w:val="center"/>
              <w:rPr>
                <w:rFonts w:hint="eastAsia" w:ascii="宋体" w:hAnsi="宋体" w:eastAsia="宋体" w:cs="Times New Roman"/>
                <w:szCs w:val="21"/>
              </w:rPr>
            </w:pPr>
            <w:r>
              <w:rPr>
                <w:rFonts w:hint="eastAsia" w:ascii="宋体" w:hAnsi="宋体" w:eastAsia="宋体" w:cs="Times New Roman"/>
                <w:szCs w:val="22"/>
              </w:rPr>
              <w:t>目标1、目标2</w:t>
            </w:r>
          </w:p>
        </w:tc>
        <w:tc>
          <w:tcPr>
            <w:tcW w:w="3716" w:type="dxa"/>
          </w:tcPr>
          <w:p w14:paraId="62D744E4">
            <w:pPr>
              <w:spacing w:line="269" w:lineRule="auto"/>
              <w:jc w:val="left"/>
              <w:rPr>
                <w:rFonts w:hint="eastAsia" w:ascii="宋体" w:hAnsi="宋体" w:eastAsia="宋体" w:cs="Times New Roman"/>
                <w:szCs w:val="21"/>
              </w:rPr>
            </w:pPr>
            <w:r>
              <w:rPr>
                <w:rFonts w:hint="eastAsia" w:ascii="宋体" w:hAnsi="宋体" w:eastAsia="宋体" w:cs="Times New Roman"/>
                <w:szCs w:val="22"/>
              </w:rPr>
              <w:t>了解生命现象的共性与差异，掌握生物多样性保护的重要性；理解生命进化的科学依据；培养学生生态保护的意识和对生命的敬畏。</w:t>
            </w:r>
          </w:p>
        </w:tc>
        <w:tc>
          <w:tcPr>
            <w:tcW w:w="1147" w:type="dxa"/>
            <w:vAlign w:val="center"/>
          </w:tcPr>
          <w:p w14:paraId="777AD390">
            <w:pPr>
              <w:spacing w:line="269" w:lineRule="auto"/>
              <w:jc w:val="left"/>
              <w:rPr>
                <w:rFonts w:hint="eastAsia" w:ascii="宋体" w:hAnsi="宋体" w:eastAsia="宋体" w:cs="Times New Roman"/>
                <w:szCs w:val="21"/>
              </w:rPr>
            </w:pPr>
            <w:r>
              <w:rPr>
                <w:rFonts w:hint="eastAsia" w:ascii="宋体" w:hAnsi="宋体" w:eastAsia="宋体" w:cs="Times New Roman"/>
                <w:szCs w:val="22"/>
              </w:rPr>
              <w:t>课堂讲授与演示</w:t>
            </w:r>
          </w:p>
        </w:tc>
        <w:tc>
          <w:tcPr>
            <w:tcW w:w="443" w:type="dxa"/>
          </w:tcPr>
          <w:p w14:paraId="3E133B5E">
            <w:pPr>
              <w:spacing w:line="269" w:lineRule="auto"/>
              <w:jc w:val="center"/>
              <w:rPr>
                <w:rFonts w:hint="eastAsia" w:ascii="宋体" w:hAnsi="宋体" w:eastAsia="宋体" w:cs="Times New Roman"/>
                <w:szCs w:val="21"/>
              </w:rPr>
            </w:pPr>
            <w:r>
              <w:rPr>
                <w:rFonts w:hint="eastAsia" w:ascii="宋体" w:hAnsi="宋体" w:eastAsia="宋体" w:cs="Times New Roman"/>
                <w:szCs w:val="22"/>
              </w:rPr>
              <w:t>9</w:t>
            </w:r>
          </w:p>
        </w:tc>
      </w:tr>
      <w:tr w14:paraId="1384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64D0C79A">
            <w:pPr>
              <w:spacing w:line="264" w:lineRule="auto"/>
              <w:jc w:val="center"/>
              <w:rPr>
                <w:rFonts w:hint="eastAsia" w:ascii="宋体" w:hAnsi="宋体" w:eastAsia="宋体" w:cs="Times New Roman"/>
                <w:szCs w:val="21"/>
              </w:rPr>
            </w:pPr>
          </w:p>
        </w:tc>
        <w:tc>
          <w:tcPr>
            <w:tcW w:w="8166" w:type="dxa"/>
            <w:gridSpan w:val="5"/>
            <w:vAlign w:val="center"/>
          </w:tcPr>
          <w:p w14:paraId="38864EAB">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强化生态文明理念，培养尊重生命、珍惜自然资源的责任感。</w:t>
            </w:r>
          </w:p>
        </w:tc>
      </w:tr>
      <w:tr w14:paraId="1D018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1216" w:type="dxa"/>
            <w:vMerge w:val="restart"/>
          </w:tcPr>
          <w:p w14:paraId="65DDC80F">
            <w:pPr>
              <w:spacing w:line="276" w:lineRule="auto"/>
              <w:jc w:val="center"/>
              <w:rPr>
                <w:rFonts w:hint="eastAsia" w:ascii="宋体" w:hAnsi="宋体" w:eastAsia="宋体" w:cs="Times New Roman"/>
                <w:szCs w:val="21"/>
              </w:rPr>
            </w:pPr>
            <w:r>
              <w:rPr>
                <w:rFonts w:hint="eastAsia" w:ascii="宋体" w:hAnsi="宋体" w:eastAsia="宋体" w:cs="Times New Roman"/>
                <w:szCs w:val="22"/>
              </w:rPr>
              <w:t>环境与我们</w:t>
            </w:r>
          </w:p>
        </w:tc>
        <w:tc>
          <w:tcPr>
            <w:tcW w:w="1716" w:type="dxa"/>
          </w:tcPr>
          <w:p w14:paraId="0850D72C">
            <w:pPr>
              <w:spacing w:line="276" w:lineRule="auto"/>
              <w:jc w:val="left"/>
              <w:rPr>
                <w:rFonts w:hint="eastAsia" w:ascii="宋体" w:hAnsi="宋体" w:eastAsia="宋体" w:cs="Times New Roman"/>
                <w:szCs w:val="21"/>
              </w:rPr>
            </w:pPr>
            <w:r>
              <w:rPr>
                <w:rFonts w:hint="eastAsia" w:ascii="宋体" w:hAnsi="宋体" w:eastAsia="宋体" w:cs="Times New Roman"/>
                <w:szCs w:val="22"/>
              </w:rPr>
              <w:t>生态系统的组成与功能、环境保护的意义与措施</w:t>
            </w:r>
          </w:p>
        </w:tc>
        <w:tc>
          <w:tcPr>
            <w:tcW w:w="1144" w:type="dxa"/>
          </w:tcPr>
          <w:p w14:paraId="205B5FCB">
            <w:pPr>
              <w:spacing w:line="276" w:lineRule="auto"/>
              <w:jc w:val="center"/>
              <w:rPr>
                <w:rFonts w:hint="eastAsia" w:ascii="宋体" w:hAnsi="宋体" w:eastAsia="宋体" w:cs="Times New Roman"/>
                <w:szCs w:val="21"/>
              </w:rPr>
            </w:pPr>
            <w:r>
              <w:rPr>
                <w:rFonts w:hint="eastAsia" w:ascii="宋体" w:hAnsi="宋体" w:eastAsia="宋体" w:cs="Times New Roman"/>
                <w:szCs w:val="22"/>
              </w:rPr>
              <w:t>目标3</w:t>
            </w:r>
          </w:p>
        </w:tc>
        <w:tc>
          <w:tcPr>
            <w:tcW w:w="3716" w:type="dxa"/>
          </w:tcPr>
          <w:p w14:paraId="6C76BA0C">
            <w:pPr>
              <w:spacing w:line="276" w:lineRule="auto"/>
              <w:jc w:val="left"/>
              <w:rPr>
                <w:rFonts w:hint="eastAsia" w:ascii="宋体" w:hAnsi="宋体" w:eastAsia="宋体" w:cs="Times New Roman"/>
                <w:szCs w:val="21"/>
              </w:rPr>
            </w:pPr>
            <w:r>
              <w:rPr>
                <w:rFonts w:hint="eastAsia" w:ascii="宋体" w:hAnsi="宋体" w:eastAsia="宋体" w:cs="Times New Roman"/>
                <w:szCs w:val="22"/>
              </w:rPr>
              <w:t>理解生态系统的基本结构与功能，掌握生态保护的主要措施；增强环保意识，践行可持续发展理念，关注人与自然的关系。</w:t>
            </w:r>
          </w:p>
        </w:tc>
        <w:tc>
          <w:tcPr>
            <w:tcW w:w="1147" w:type="dxa"/>
            <w:vAlign w:val="center"/>
          </w:tcPr>
          <w:p w14:paraId="21CC4D41">
            <w:pPr>
              <w:spacing w:line="276" w:lineRule="auto"/>
              <w:jc w:val="center"/>
              <w:rPr>
                <w:rFonts w:hint="eastAsia" w:ascii="宋体" w:hAnsi="宋体" w:eastAsia="宋体" w:cs="Times New Roman"/>
                <w:szCs w:val="21"/>
              </w:rPr>
            </w:pPr>
            <w:r>
              <w:rPr>
                <w:rFonts w:hint="eastAsia" w:ascii="宋体" w:hAnsi="宋体" w:eastAsia="宋体" w:cs="Times New Roman"/>
                <w:szCs w:val="22"/>
              </w:rPr>
              <w:t>情境教学与案例分析</w:t>
            </w:r>
          </w:p>
        </w:tc>
        <w:tc>
          <w:tcPr>
            <w:tcW w:w="443" w:type="dxa"/>
          </w:tcPr>
          <w:p w14:paraId="35BC89DC">
            <w:pPr>
              <w:spacing w:line="276" w:lineRule="auto"/>
              <w:jc w:val="center"/>
              <w:rPr>
                <w:rFonts w:hint="eastAsia" w:ascii="宋体" w:hAnsi="宋体" w:eastAsia="宋体" w:cs="Times New Roman"/>
                <w:szCs w:val="21"/>
              </w:rPr>
            </w:pPr>
            <w:r>
              <w:rPr>
                <w:rFonts w:hint="eastAsia" w:ascii="宋体" w:hAnsi="宋体" w:eastAsia="宋体" w:cs="Times New Roman"/>
                <w:szCs w:val="22"/>
              </w:rPr>
              <w:t>3</w:t>
            </w:r>
          </w:p>
        </w:tc>
      </w:tr>
      <w:tr w14:paraId="3E9A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5FDF3592">
            <w:pPr>
              <w:spacing w:line="276" w:lineRule="auto"/>
              <w:jc w:val="center"/>
              <w:rPr>
                <w:rFonts w:hint="eastAsia" w:ascii="宋体" w:hAnsi="宋体" w:eastAsia="宋体" w:cs="Times New Roman"/>
                <w:szCs w:val="21"/>
              </w:rPr>
            </w:pPr>
          </w:p>
        </w:tc>
        <w:tc>
          <w:tcPr>
            <w:tcW w:w="8166" w:type="dxa"/>
            <w:gridSpan w:val="5"/>
            <w:vAlign w:val="center"/>
          </w:tcPr>
          <w:p w14:paraId="11171C07">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树立可持续发展观念，增强学生生态保护的意识和实践能力。</w:t>
            </w:r>
          </w:p>
        </w:tc>
      </w:tr>
      <w:tr w14:paraId="2431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1216" w:type="dxa"/>
            <w:vMerge w:val="restart"/>
          </w:tcPr>
          <w:p w14:paraId="56B3E0A1">
            <w:pPr>
              <w:spacing w:line="276" w:lineRule="auto"/>
              <w:jc w:val="center"/>
              <w:rPr>
                <w:rFonts w:hint="eastAsia" w:ascii="宋体" w:hAnsi="宋体" w:eastAsia="宋体" w:cs="Times New Roman"/>
                <w:szCs w:val="21"/>
              </w:rPr>
            </w:pPr>
            <w:r>
              <w:rPr>
                <w:rFonts w:hint="eastAsia" w:ascii="宋体" w:hAnsi="宋体" w:eastAsia="宋体" w:cs="Times New Roman"/>
                <w:szCs w:val="22"/>
              </w:rPr>
              <w:t>多姿多彩的物质世界</w:t>
            </w:r>
          </w:p>
        </w:tc>
        <w:tc>
          <w:tcPr>
            <w:tcW w:w="1716" w:type="dxa"/>
          </w:tcPr>
          <w:p w14:paraId="4DBD55FB">
            <w:pPr>
              <w:spacing w:line="276" w:lineRule="auto"/>
              <w:jc w:val="left"/>
              <w:rPr>
                <w:rFonts w:hint="eastAsia" w:ascii="宋体" w:hAnsi="宋体" w:eastAsia="宋体" w:cs="Times New Roman"/>
                <w:szCs w:val="21"/>
              </w:rPr>
            </w:pPr>
            <w:r>
              <w:rPr>
                <w:rFonts w:hint="eastAsia" w:ascii="宋体" w:hAnsi="宋体" w:eastAsia="宋体" w:cs="Times New Roman"/>
                <w:szCs w:val="22"/>
              </w:rPr>
              <w:t>物质结构、能量与其转化、物体的运动</w:t>
            </w:r>
          </w:p>
        </w:tc>
        <w:tc>
          <w:tcPr>
            <w:tcW w:w="1144" w:type="dxa"/>
          </w:tcPr>
          <w:p w14:paraId="739861AF">
            <w:pPr>
              <w:spacing w:line="276" w:lineRule="auto"/>
              <w:jc w:val="center"/>
              <w:rPr>
                <w:rFonts w:hint="eastAsia" w:ascii="宋体" w:hAnsi="宋体" w:eastAsia="宋体" w:cs="Times New Roman"/>
                <w:szCs w:val="21"/>
              </w:rPr>
            </w:pPr>
            <w:r>
              <w:rPr>
                <w:rFonts w:hint="eastAsia" w:ascii="宋体" w:hAnsi="宋体" w:eastAsia="宋体" w:cs="Times New Roman"/>
                <w:szCs w:val="22"/>
              </w:rPr>
              <w:t>目标2、目标3</w:t>
            </w:r>
          </w:p>
        </w:tc>
        <w:tc>
          <w:tcPr>
            <w:tcW w:w="3716" w:type="dxa"/>
          </w:tcPr>
          <w:p w14:paraId="37E87F2B">
            <w:pPr>
              <w:spacing w:line="276" w:lineRule="auto"/>
              <w:jc w:val="left"/>
              <w:rPr>
                <w:rFonts w:hint="eastAsia" w:ascii="宋体" w:hAnsi="宋体" w:eastAsia="宋体" w:cs="Times New Roman"/>
                <w:szCs w:val="21"/>
              </w:rPr>
            </w:pPr>
            <w:r>
              <w:rPr>
                <w:rFonts w:hint="eastAsia" w:ascii="宋体" w:hAnsi="宋体" w:eastAsia="宋体" w:cs="Times New Roman"/>
                <w:szCs w:val="22"/>
              </w:rPr>
              <w:t>掌握物质与能量转化的基本知识；理解科学技术在生活实践中的应用，培养跨学科思维能力；激发学生对科学探索的热情。</w:t>
            </w:r>
          </w:p>
        </w:tc>
        <w:tc>
          <w:tcPr>
            <w:tcW w:w="1147" w:type="dxa"/>
            <w:vAlign w:val="center"/>
          </w:tcPr>
          <w:p w14:paraId="6D63738E">
            <w:pPr>
              <w:spacing w:line="276" w:lineRule="auto"/>
              <w:jc w:val="center"/>
              <w:rPr>
                <w:rFonts w:hint="eastAsia" w:ascii="宋体" w:hAnsi="宋体" w:eastAsia="宋体" w:cs="Times New Roman"/>
                <w:szCs w:val="21"/>
              </w:rPr>
            </w:pPr>
            <w:r>
              <w:rPr>
                <w:rFonts w:hint="eastAsia" w:ascii="宋体" w:hAnsi="宋体" w:eastAsia="宋体" w:cs="Times New Roman"/>
                <w:szCs w:val="22"/>
              </w:rPr>
              <w:t>实验演示与小组讨论</w:t>
            </w:r>
          </w:p>
        </w:tc>
        <w:tc>
          <w:tcPr>
            <w:tcW w:w="443" w:type="dxa"/>
          </w:tcPr>
          <w:p w14:paraId="1B54EDBF">
            <w:pPr>
              <w:spacing w:line="276" w:lineRule="auto"/>
              <w:jc w:val="center"/>
              <w:rPr>
                <w:rFonts w:hint="eastAsia" w:ascii="宋体" w:hAnsi="宋体" w:eastAsia="宋体" w:cs="Times New Roman"/>
                <w:szCs w:val="21"/>
              </w:rPr>
            </w:pPr>
            <w:r>
              <w:rPr>
                <w:rFonts w:hint="eastAsia" w:ascii="宋体" w:hAnsi="宋体" w:eastAsia="宋体" w:cs="Times New Roman"/>
                <w:szCs w:val="22"/>
              </w:rPr>
              <w:t>6</w:t>
            </w:r>
          </w:p>
        </w:tc>
      </w:tr>
      <w:tr w14:paraId="737E4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1AF7A170">
            <w:pPr>
              <w:spacing w:line="276" w:lineRule="auto"/>
              <w:jc w:val="center"/>
              <w:rPr>
                <w:rFonts w:hint="eastAsia" w:ascii="宋体" w:hAnsi="宋体" w:eastAsia="宋体" w:cs="Times New Roman"/>
                <w:szCs w:val="21"/>
              </w:rPr>
            </w:pPr>
          </w:p>
        </w:tc>
        <w:tc>
          <w:tcPr>
            <w:tcW w:w="8166" w:type="dxa"/>
            <w:gridSpan w:val="5"/>
            <w:vAlign w:val="center"/>
          </w:tcPr>
          <w:p w14:paraId="28F8FFE9">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理解科学知识的实际应用价值，培养科学技术服务社会的意识和实践能力。</w:t>
            </w:r>
          </w:p>
        </w:tc>
      </w:tr>
      <w:tr w14:paraId="5383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216" w:type="dxa"/>
            <w:vMerge w:val="restart"/>
          </w:tcPr>
          <w:p w14:paraId="4E5B6B02">
            <w:pPr>
              <w:spacing w:line="276" w:lineRule="auto"/>
              <w:jc w:val="center"/>
              <w:rPr>
                <w:rFonts w:hint="eastAsia" w:ascii="宋体" w:hAnsi="宋体" w:eastAsia="宋体" w:cs="Times New Roman"/>
                <w:szCs w:val="21"/>
              </w:rPr>
            </w:pPr>
            <w:r>
              <w:rPr>
                <w:rFonts w:hint="eastAsia" w:ascii="宋体" w:hAnsi="宋体" w:eastAsia="宋体" w:cs="Times New Roman"/>
                <w:szCs w:val="22"/>
              </w:rPr>
              <w:t>科学技术与人类</w:t>
            </w:r>
          </w:p>
        </w:tc>
        <w:tc>
          <w:tcPr>
            <w:tcW w:w="1716" w:type="dxa"/>
          </w:tcPr>
          <w:p w14:paraId="24251BBF">
            <w:pPr>
              <w:spacing w:line="276" w:lineRule="auto"/>
              <w:jc w:val="left"/>
              <w:rPr>
                <w:rFonts w:hint="eastAsia" w:ascii="宋体" w:hAnsi="宋体" w:eastAsia="宋体" w:cs="Times New Roman"/>
                <w:szCs w:val="21"/>
              </w:rPr>
            </w:pPr>
            <w:r>
              <w:rPr>
                <w:rFonts w:hint="eastAsia" w:ascii="宋体" w:hAnsi="宋体" w:eastAsia="宋体" w:cs="Times New Roman"/>
                <w:szCs w:val="22"/>
              </w:rPr>
              <w:t>科学技术的发展历程及其对社会的双重影响</w:t>
            </w:r>
          </w:p>
        </w:tc>
        <w:tc>
          <w:tcPr>
            <w:tcW w:w="1144" w:type="dxa"/>
          </w:tcPr>
          <w:p w14:paraId="3EA63711">
            <w:pPr>
              <w:spacing w:line="276" w:lineRule="auto"/>
              <w:jc w:val="center"/>
              <w:rPr>
                <w:rFonts w:hint="eastAsia" w:ascii="宋体" w:hAnsi="宋体" w:eastAsia="宋体" w:cs="Times New Roman"/>
                <w:szCs w:val="21"/>
              </w:rPr>
            </w:pPr>
            <w:r>
              <w:rPr>
                <w:rFonts w:hint="eastAsia" w:ascii="宋体" w:hAnsi="宋体" w:eastAsia="宋体" w:cs="Times New Roman"/>
                <w:szCs w:val="22"/>
              </w:rPr>
              <w:t>目标3</w:t>
            </w:r>
          </w:p>
        </w:tc>
        <w:tc>
          <w:tcPr>
            <w:tcW w:w="3716" w:type="dxa"/>
          </w:tcPr>
          <w:p w14:paraId="099B685D">
            <w:pPr>
              <w:spacing w:line="276" w:lineRule="auto"/>
              <w:jc w:val="left"/>
              <w:rPr>
                <w:rFonts w:hint="eastAsia" w:ascii="宋体" w:hAnsi="宋体" w:eastAsia="宋体" w:cs="Times New Roman"/>
                <w:szCs w:val="21"/>
              </w:rPr>
            </w:pPr>
            <w:r>
              <w:rPr>
                <w:rFonts w:hint="eastAsia" w:ascii="宋体" w:hAnsi="宋体" w:eastAsia="宋体" w:cs="Times New Roman"/>
                <w:szCs w:val="22"/>
              </w:rPr>
              <w:t>理解科技发展的历史与现状，认识科学技术对人类生活的积极作用及潜在影响；增强学生对科技伦理问题的关注和思考能力。</w:t>
            </w:r>
          </w:p>
        </w:tc>
        <w:tc>
          <w:tcPr>
            <w:tcW w:w="1147" w:type="dxa"/>
            <w:vAlign w:val="center"/>
          </w:tcPr>
          <w:p w14:paraId="29FF5B74">
            <w:pPr>
              <w:spacing w:line="276" w:lineRule="auto"/>
              <w:jc w:val="left"/>
              <w:rPr>
                <w:rFonts w:hint="eastAsia" w:ascii="宋体" w:hAnsi="宋体" w:eastAsia="宋体" w:cs="Times New Roman"/>
                <w:szCs w:val="21"/>
              </w:rPr>
            </w:pPr>
            <w:r>
              <w:rPr>
                <w:rFonts w:hint="eastAsia" w:ascii="宋体" w:hAnsi="宋体" w:eastAsia="宋体" w:cs="Times New Roman"/>
                <w:szCs w:val="21"/>
              </w:rPr>
              <w:t>小组汇报</w:t>
            </w:r>
          </w:p>
        </w:tc>
        <w:tc>
          <w:tcPr>
            <w:tcW w:w="443" w:type="dxa"/>
            <w:vAlign w:val="center"/>
          </w:tcPr>
          <w:p w14:paraId="4464364D">
            <w:pPr>
              <w:spacing w:line="276" w:lineRule="auto"/>
              <w:jc w:val="center"/>
              <w:rPr>
                <w:rFonts w:hint="eastAsia" w:ascii="宋体" w:hAnsi="宋体" w:eastAsia="宋体" w:cs="Times New Roman"/>
                <w:szCs w:val="21"/>
              </w:rPr>
            </w:pPr>
            <w:r>
              <w:rPr>
                <w:rFonts w:hint="eastAsia" w:ascii="宋体" w:hAnsi="宋体" w:eastAsia="宋体" w:cs="Times New Roman"/>
                <w:szCs w:val="21"/>
              </w:rPr>
              <w:t>9</w:t>
            </w:r>
          </w:p>
        </w:tc>
      </w:tr>
      <w:tr w14:paraId="0FD8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216" w:type="dxa"/>
            <w:vMerge w:val="continue"/>
            <w:vAlign w:val="center"/>
          </w:tcPr>
          <w:p w14:paraId="08499121">
            <w:pPr>
              <w:spacing w:line="276" w:lineRule="auto"/>
              <w:jc w:val="center"/>
              <w:rPr>
                <w:rFonts w:hint="eastAsia" w:ascii="宋体" w:hAnsi="宋体" w:eastAsia="宋体" w:cs="Times New Roman"/>
                <w:szCs w:val="21"/>
              </w:rPr>
            </w:pPr>
          </w:p>
        </w:tc>
        <w:tc>
          <w:tcPr>
            <w:tcW w:w="8166" w:type="dxa"/>
            <w:gridSpan w:val="5"/>
            <w:vAlign w:val="center"/>
          </w:tcPr>
          <w:p w14:paraId="0951528B">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ascii="宋体" w:hAnsi="宋体" w:eastAsia="宋体" w:cs="Times New Roman"/>
                <w:szCs w:val="21"/>
              </w:rPr>
              <w:t>正确看待科技进步的利弊，增强对科技伦理的思考能力，同时通过中国科技发展的成就案例，培养民族自豪感与爱国</w:t>
            </w:r>
          </w:p>
        </w:tc>
      </w:tr>
    </w:tbl>
    <w:p w14:paraId="789F9132">
      <w:pPr>
        <w:spacing w:before="62" w:beforeLines="20" w:after="62" w:afterLines="20" w:line="360" w:lineRule="auto"/>
        <w:jc w:val="left"/>
        <w:rPr>
          <w:rFonts w:ascii="Times New Roman" w:hAnsi="Times New Roman" w:eastAsia="宋体" w:cs="Times New Roman"/>
          <w:b/>
          <w:sz w:val="24"/>
        </w:rPr>
      </w:pPr>
      <w:bookmarkStart w:id="1701" w:name="_Toc16589"/>
      <w:bookmarkStart w:id="1702" w:name="_Toc5758"/>
      <w:bookmarkStart w:id="1703" w:name="_Toc19914"/>
      <w:bookmarkStart w:id="1704" w:name="_Toc8605"/>
      <w:bookmarkStart w:id="1705" w:name="_Toc4608"/>
      <w:bookmarkStart w:id="1706" w:name="_Toc23037"/>
      <w:bookmarkStart w:id="1707" w:name="_Toc1691"/>
      <w:r>
        <w:rPr>
          <w:rFonts w:hint="eastAsia" w:ascii="Times New Roman" w:hAnsi="Times New Roman" w:eastAsia="宋体" w:cs="Times New Roman"/>
          <w:b/>
          <w:sz w:val="24"/>
        </w:rPr>
        <w:t>四、目标评价与成绩评定</w:t>
      </w:r>
      <w:bookmarkEnd w:id="1701"/>
      <w:bookmarkEnd w:id="1702"/>
      <w:bookmarkEnd w:id="1703"/>
      <w:bookmarkEnd w:id="1704"/>
      <w:bookmarkEnd w:id="1705"/>
      <w:bookmarkEnd w:id="1706"/>
      <w:bookmarkEnd w:id="1707"/>
    </w:p>
    <w:p w14:paraId="1C922021">
      <w:pPr>
        <w:spacing w:line="360" w:lineRule="auto"/>
        <w:ind w:firstLine="422" w:firstLineChars="200"/>
        <w:jc w:val="left"/>
        <w:outlineLvl w:val="1"/>
        <w:rPr>
          <w:rFonts w:ascii="Times New Roman" w:hAnsi="Times New Roman" w:eastAsia="宋体" w:cs="Times New Roman"/>
          <w:b/>
          <w:szCs w:val="21"/>
        </w:rPr>
      </w:pPr>
      <w:bookmarkStart w:id="1708" w:name="_Toc26798"/>
      <w:r>
        <w:rPr>
          <w:rFonts w:hint="eastAsia" w:ascii="Times New Roman" w:hAnsi="Times New Roman" w:eastAsia="宋体" w:cs="Times New Roman"/>
          <w:b/>
          <w:szCs w:val="21"/>
        </w:rPr>
        <w:t>（一）课程目标评价方式</w:t>
      </w:r>
      <w:bookmarkEnd w:id="1708"/>
    </w:p>
    <w:p w14:paraId="2CE75A4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p w14:paraId="427FD3F3">
      <w:pPr>
        <w:spacing w:line="360" w:lineRule="auto"/>
        <w:ind w:firstLine="420" w:firstLineChars="200"/>
        <w:jc w:val="left"/>
        <w:rPr>
          <w:rFonts w:ascii="Times New Roman" w:hAnsi="Times New Roman" w:eastAsia="宋体" w:cs="Times New Roman"/>
          <w:szCs w:val="21"/>
        </w:rPr>
      </w:pPr>
    </w:p>
    <w:p w14:paraId="3CF2EFEA">
      <w:pPr>
        <w:spacing w:line="360" w:lineRule="auto"/>
        <w:ind w:firstLine="420" w:firstLineChars="200"/>
        <w:jc w:val="left"/>
        <w:rPr>
          <w:rFonts w:ascii="Times New Roman" w:hAnsi="Times New Roman" w:eastAsia="宋体" w:cs="Times New Roman"/>
          <w:szCs w:val="21"/>
        </w:rPr>
      </w:pPr>
    </w:p>
    <w:p w14:paraId="4EEAA74B">
      <w:pPr>
        <w:spacing w:line="360" w:lineRule="auto"/>
        <w:ind w:firstLine="420" w:firstLineChars="200"/>
        <w:jc w:val="left"/>
        <w:rPr>
          <w:rFonts w:ascii="Times New Roman" w:hAnsi="Times New Roman" w:eastAsia="宋体" w:cs="Times New Roman"/>
          <w:szCs w:val="21"/>
        </w:rPr>
      </w:pPr>
    </w:p>
    <w:p w14:paraId="1B20C66F">
      <w:pPr>
        <w:spacing w:line="360" w:lineRule="auto"/>
        <w:ind w:firstLine="420" w:firstLineChars="200"/>
        <w:jc w:val="left"/>
        <w:rPr>
          <w:rFonts w:ascii="Times New Roman" w:hAnsi="Times New Roman" w:eastAsia="宋体" w:cs="Times New Roman"/>
          <w:szCs w:val="21"/>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56"/>
        <w:gridCol w:w="1056"/>
        <w:gridCol w:w="1056"/>
        <w:gridCol w:w="1056"/>
        <w:gridCol w:w="1056"/>
        <w:gridCol w:w="636"/>
      </w:tblGrid>
      <w:tr w14:paraId="7156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5369502A">
            <w:pPr>
              <w:spacing w:line="360" w:lineRule="auto"/>
              <w:jc w:val="center"/>
              <w:rPr>
                <w:rFonts w:hint="eastAsia" w:ascii="宋体" w:hAnsi="宋体" w:eastAsia="宋体" w:cs="Times New Roman"/>
                <w:szCs w:val="21"/>
              </w:rPr>
            </w:pPr>
          </w:p>
          <w:p w14:paraId="0A352BC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5"/>
            <w:vAlign w:val="center"/>
          </w:tcPr>
          <w:p w14:paraId="34DE61CB">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525A680F">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9F2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2FD9655B">
            <w:pPr>
              <w:spacing w:line="360" w:lineRule="auto"/>
              <w:jc w:val="center"/>
              <w:rPr>
                <w:rFonts w:hint="eastAsia" w:ascii="宋体" w:hAnsi="宋体" w:eastAsia="宋体" w:cs="Times New Roman"/>
                <w:szCs w:val="21"/>
              </w:rPr>
            </w:pPr>
          </w:p>
        </w:tc>
        <w:tc>
          <w:tcPr>
            <w:tcW w:w="0" w:type="auto"/>
            <w:vAlign w:val="center"/>
          </w:tcPr>
          <w:p w14:paraId="421210D3">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4A1C5468">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3BDEE6E2">
            <w:pPr>
              <w:spacing w:line="360" w:lineRule="auto"/>
              <w:jc w:val="center"/>
              <w:rPr>
                <w:rFonts w:hint="eastAsia" w:ascii="宋体" w:hAnsi="宋体" w:eastAsia="宋体" w:cs="Times New Roman"/>
                <w:szCs w:val="21"/>
              </w:rPr>
            </w:pPr>
            <w:r>
              <w:rPr>
                <w:rFonts w:hint="eastAsia" w:ascii="宋体" w:hAnsi="宋体" w:eastAsia="宋体" w:cs="Times New Roman"/>
                <w:szCs w:val="21"/>
              </w:rPr>
              <w:t>期中测验</w:t>
            </w:r>
          </w:p>
        </w:tc>
        <w:tc>
          <w:tcPr>
            <w:tcW w:w="0" w:type="auto"/>
            <w:vAlign w:val="center"/>
          </w:tcPr>
          <w:p w14:paraId="714C426B">
            <w:pPr>
              <w:spacing w:line="360" w:lineRule="auto"/>
              <w:jc w:val="center"/>
              <w:rPr>
                <w:rFonts w:hint="eastAsia" w:ascii="宋体" w:hAnsi="宋体" w:eastAsia="宋体" w:cs="Times New Roman"/>
                <w:szCs w:val="21"/>
              </w:rPr>
            </w:pPr>
            <w:r>
              <w:rPr>
                <w:rFonts w:hint="eastAsia" w:ascii="宋体" w:hAnsi="宋体" w:eastAsia="宋体" w:cs="Times New Roman"/>
                <w:szCs w:val="21"/>
              </w:rPr>
              <w:t>小组汇报</w:t>
            </w:r>
          </w:p>
        </w:tc>
        <w:tc>
          <w:tcPr>
            <w:tcW w:w="0" w:type="auto"/>
            <w:vAlign w:val="center"/>
          </w:tcPr>
          <w:p w14:paraId="159CE64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3F3BF350">
            <w:pPr>
              <w:spacing w:line="360" w:lineRule="auto"/>
              <w:jc w:val="center"/>
              <w:rPr>
                <w:rFonts w:hint="eastAsia" w:ascii="宋体" w:hAnsi="宋体" w:eastAsia="宋体" w:cs="Times New Roman"/>
                <w:szCs w:val="21"/>
              </w:rPr>
            </w:pPr>
          </w:p>
        </w:tc>
      </w:tr>
      <w:tr w14:paraId="7E27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51C3F0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37A9B8C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5231CC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F133697">
            <w:pPr>
              <w:spacing w:line="360" w:lineRule="auto"/>
              <w:jc w:val="center"/>
              <w:rPr>
                <w:rFonts w:hint="eastAsia" w:ascii="宋体" w:hAnsi="宋体" w:eastAsia="宋体" w:cs="Times New Roman"/>
                <w:szCs w:val="21"/>
              </w:rPr>
            </w:pPr>
          </w:p>
        </w:tc>
        <w:tc>
          <w:tcPr>
            <w:tcW w:w="0" w:type="auto"/>
            <w:vAlign w:val="center"/>
          </w:tcPr>
          <w:p w14:paraId="0F21F8D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5548D4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7BD8F1A">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7CC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548A3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334676B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144CFB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7E1E17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F939CB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CEF4C4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34E241F">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783C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732FC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00FC283B">
            <w:pPr>
              <w:spacing w:line="360" w:lineRule="auto"/>
              <w:jc w:val="center"/>
              <w:rPr>
                <w:rFonts w:hint="eastAsia" w:ascii="宋体" w:hAnsi="宋体" w:eastAsia="宋体" w:cs="Times New Roman"/>
                <w:szCs w:val="21"/>
              </w:rPr>
            </w:pPr>
          </w:p>
        </w:tc>
        <w:tc>
          <w:tcPr>
            <w:tcW w:w="0" w:type="auto"/>
            <w:vAlign w:val="center"/>
          </w:tcPr>
          <w:p w14:paraId="64A0118F">
            <w:pPr>
              <w:spacing w:line="360" w:lineRule="auto"/>
              <w:jc w:val="center"/>
              <w:rPr>
                <w:rFonts w:hint="eastAsia" w:ascii="宋体" w:hAnsi="宋体" w:eastAsia="宋体" w:cs="Times New Roman"/>
                <w:szCs w:val="21"/>
              </w:rPr>
            </w:pPr>
          </w:p>
        </w:tc>
        <w:tc>
          <w:tcPr>
            <w:tcW w:w="0" w:type="auto"/>
            <w:vAlign w:val="center"/>
          </w:tcPr>
          <w:p w14:paraId="6BCE88A5">
            <w:pPr>
              <w:spacing w:line="360" w:lineRule="auto"/>
              <w:jc w:val="center"/>
              <w:rPr>
                <w:rFonts w:hint="eastAsia" w:ascii="宋体" w:hAnsi="宋体" w:eastAsia="宋体" w:cs="Times New Roman"/>
                <w:szCs w:val="21"/>
              </w:rPr>
            </w:pPr>
          </w:p>
        </w:tc>
        <w:tc>
          <w:tcPr>
            <w:tcW w:w="0" w:type="auto"/>
            <w:vAlign w:val="center"/>
          </w:tcPr>
          <w:p w14:paraId="6D5D043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478CAB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905A2A0">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45F89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AD0CF91">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47B7C5DE">
            <w:pPr>
              <w:spacing w:line="360" w:lineRule="auto"/>
              <w:jc w:val="center"/>
              <w:rPr>
                <w:rFonts w:hint="eastAsia" w:ascii="宋体" w:hAnsi="宋体" w:eastAsia="宋体" w:cs="Times New Roman"/>
                <w:szCs w:val="21"/>
              </w:rPr>
            </w:pPr>
          </w:p>
        </w:tc>
        <w:tc>
          <w:tcPr>
            <w:tcW w:w="0" w:type="auto"/>
            <w:vAlign w:val="center"/>
          </w:tcPr>
          <w:p w14:paraId="702EA778">
            <w:pPr>
              <w:spacing w:line="360" w:lineRule="auto"/>
              <w:jc w:val="center"/>
              <w:rPr>
                <w:rFonts w:hint="eastAsia" w:ascii="宋体" w:hAnsi="宋体" w:eastAsia="宋体" w:cs="Times New Roman"/>
                <w:szCs w:val="21"/>
              </w:rPr>
            </w:pPr>
          </w:p>
        </w:tc>
        <w:tc>
          <w:tcPr>
            <w:tcW w:w="0" w:type="auto"/>
            <w:vAlign w:val="center"/>
          </w:tcPr>
          <w:p w14:paraId="48DB8DEB">
            <w:pPr>
              <w:spacing w:line="360" w:lineRule="auto"/>
              <w:jc w:val="center"/>
              <w:rPr>
                <w:rFonts w:hint="eastAsia" w:ascii="宋体" w:hAnsi="宋体" w:eastAsia="宋体" w:cs="Times New Roman"/>
                <w:szCs w:val="21"/>
              </w:rPr>
            </w:pPr>
          </w:p>
        </w:tc>
        <w:tc>
          <w:tcPr>
            <w:tcW w:w="0" w:type="auto"/>
            <w:vAlign w:val="center"/>
          </w:tcPr>
          <w:p w14:paraId="29E05CCB">
            <w:pPr>
              <w:spacing w:line="360" w:lineRule="auto"/>
              <w:jc w:val="center"/>
              <w:rPr>
                <w:rFonts w:hint="eastAsia" w:ascii="宋体" w:hAnsi="宋体" w:eastAsia="宋体" w:cs="Times New Roman"/>
                <w:szCs w:val="21"/>
              </w:rPr>
            </w:pPr>
          </w:p>
        </w:tc>
        <w:tc>
          <w:tcPr>
            <w:tcW w:w="0" w:type="auto"/>
            <w:vAlign w:val="center"/>
          </w:tcPr>
          <w:p w14:paraId="1F54AB38">
            <w:pPr>
              <w:spacing w:line="360" w:lineRule="auto"/>
              <w:jc w:val="center"/>
              <w:rPr>
                <w:rFonts w:hint="eastAsia" w:ascii="宋体" w:hAnsi="宋体" w:eastAsia="宋体" w:cs="Times New Roman"/>
                <w:szCs w:val="21"/>
              </w:rPr>
            </w:pPr>
          </w:p>
        </w:tc>
        <w:tc>
          <w:tcPr>
            <w:tcW w:w="0" w:type="auto"/>
            <w:vAlign w:val="center"/>
          </w:tcPr>
          <w:p w14:paraId="0E394429">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BDD424B">
      <w:pPr>
        <w:spacing w:before="156" w:beforeLines="50" w:line="360" w:lineRule="auto"/>
        <w:ind w:firstLine="422" w:firstLineChars="200"/>
        <w:jc w:val="left"/>
        <w:outlineLvl w:val="1"/>
        <w:rPr>
          <w:rFonts w:ascii="Times New Roman" w:hAnsi="Times New Roman" w:eastAsia="宋体" w:cs="Times New Roman"/>
          <w:b/>
          <w:szCs w:val="21"/>
        </w:rPr>
      </w:pPr>
      <w:bookmarkStart w:id="1709" w:name="_Toc3668"/>
      <w:r>
        <w:rPr>
          <w:rFonts w:hint="eastAsia" w:ascii="Times New Roman" w:hAnsi="Times New Roman" w:eastAsia="宋体" w:cs="Times New Roman"/>
          <w:b/>
          <w:szCs w:val="21"/>
        </w:rPr>
        <w:t>（二）成绩评定细则</w:t>
      </w:r>
      <w:bookmarkEnd w:id="1709"/>
    </w:p>
    <w:p w14:paraId="224521C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6F0B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12E4DF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872328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008720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237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125C51E">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4107E58B">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平时作业共2次，以简答题形式，以回答内容的准确性、规范性、逻辑性、创新性及整洁性为评分的主要依据。</w:t>
            </w:r>
          </w:p>
        </w:tc>
        <w:tc>
          <w:tcPr>
            <w:tcW w:w="0" w:type="auto"/>
            <w:vAlign w:val="center"/>
          </w:tcPr>
          <w:p w14:paraId="66FDD092">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58C9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405E8F1">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41C61056">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66D8237">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w:t>
            </w:r>
            <w:r>
              <w:rPr>
                <w:rFonts w:hint="eastAsia" w:ascii="宋体" w:hAnsi="宋体" w:eastAsia="宋体" w:cs="宋体"/>
                <w:kern w:val="0"/>
                <w:szCs w:val="21"/>
                <w:lang w:bidi="ar"/>
              </w:rPr>
              <w:t>组织抢答</w:t>
            </w:r>
            <w:r>
              <w:rPr>
                <w:rFonts w:ascii="宋体" w:hAnsi="宋体" w:eastAsia="宋体" w:cs="宋体"/>
                <w:kern w:val="0"/>
                <w:szCs w:val="21"/>
                <w:lang w:bidi="ar"/>
              </w:rPr>
              <w:t>、课堂讨论等，观察学生参与程度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1229630E">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04F0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29EF79C">
            <w:pPr>
              <w:rPr>
                <w:rFonts w:ascii="Times New Roman" w:hAnsi="Times New Roman" w:eastAsia="宋体" w:cs="Times New Roman"/>
                <w:szCs w:val="21"/>
              </w:rPr>
            </w:pPr>
            <w:r>
              <w:rPr>
                <w:rFonts w:hint="eastAsia" w:ascii="Times New Roman" w:hAnsi="Times New Roman" w:eastAsia="宋体" w:cs="Times New Roman"/>
                <w:szCs w:val="21"/>
              </w:rPr>
              <w:t>期中检测</w:t>
            </w:r>
          </w:p>
        </w:tc>
        <w:tc>
          <w:tcPr>
            <w:tcW w:w="7141" w:type="dxa"/>
            <w:vAlign w:val="center"/>
          </w:tcPr>
          <w:p w14:paraId="378DF357">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期中</w:t>
            </w:r>
            <w:r>
              <w:rPr>
                <w:rFonts w:ascii="宋体" w:hAnsi="宋体" w:eastAsia="宋体" w:cs="宋体"/>
                <w:kern w:val="0"/>
                <w:szCs w:val="21"/>
                <w:lang w:bidi="ar"/>
              </w:rPr>
              <w:t>在线上进行测验，重点考察学生对基础科学知识、核心概念及基本原理的掌握情况，评分以题目正确率为依据。</w:t>
            </w:r>
          </w:p>
        </w:tc>
        <w:tc>
          <w:tcPr>
            <w:tcW w:w="0" w:type="auto"/>
            <w:vAlign w:val="center"/>
          </w:tcPr>
          <w:p w14:paraId="5BBD1803">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72079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3154947">
            <w:pPr>
              <w:rPr>
                <w:rFonts w:ascii="Times New Roman" w:hAnsi="Times New Roman" w:eastAsia="宋体" w:cs="Times New Roman"/>
                <w:szCs w:val="21"/>
              </w:rPr>
            </w:pPr>
            <w:r>
              <w:rPr>
                <w:rFonts w:hint="eastAsia" w:ascii="Times New Roman" w:hAnsi="Times New Roman" w:eastAsia="宋体" w:cs="Times New Roman"/>
                <w:szCs w:val="21"/>
              </w:rPr>
              <w:t>小组汇报</w:t>
            </w:r>
          </w:p>
        </w:tc>
        <w:tc>
          <w:tcPr>
            <w:tcW w:w="7141" w:type="dxa"/>
            <w:vAlign w:val="center"/>
          </w:tcPr>
          <w:p w14:paraId="12A90DF3">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学生以小组为单位完成任务，</w:t>
            </w:r>
            <w:r>
              <w:rPr>
                <w:rFonts w:hint="eastAsia" w:ascii="宋体" w:hAnsi="宋体" w:eastAsia="宋体" w:cs="宋体"/>
                <w:kern w:val="0"/>
                <w:szCs w:val="21"/>
                <w:lang w:bidi="ar"/>
              </w:rPr>
              <w:t>以</w:t>
            </w:r>
            <w:r>
              <w:rPr>
                <w:rFonts w:ascii="宋体" w:hAnsi="宋体" w:eastAsia="宋体" w:cs="宋体"/>
                <w:kern w:val="0"/>
                <w:szCs w:val="21"/>
                <w:lang w:bidi="ar"/>
              </w:rPr>
              <w:t>读书报告、科学家介绍、科技前沿介绍等</w:t>
            </w:r>
            <w:r>
              <w:rPr>
                <w:rFonts w:hint="eastAsia" w:ascii="宋体" w:hAnsi="宋体" w:eastAsia="宋体" w:cs="宋体"/>
                <w:kern w:val="0"/>
                <w:szCs w:val="21"/>
                <w:lang w:bidi="ar"/>
              </w:rPr>
              <w:t>为主题</w:t>
            </w:r>
            <w:r>
              <w:rPr>
                <w:rFonts w:ascii="宋体" w:hAnsi="宋体" w:eastAsia="宋体" w:cs="宋体"/>
                <w:kern w:val="0"/>
                <w:szCs w:val="21"/>
                <w:lang w:bidi="ar"/>
              </w:rPr>
              <w:t>。评分依据为报告内容的完整性、逻辑性、创新性，媒体制作的质量，以及学生表达的</w:t>
            </w:r>
            <w:r>
              <w:rPr>
                <w:rFonts w:hint="eastAsia" w:ascii="宋体" w:hAnsi="宋体" w:eastAsia="宋体" w:cs="宋体"/>
                <w:kern w:val="0"/>
                <w:szCs w:val="21"/>
                <w:lang w:bidi="ar"/>
              </w:rPr>
              <w:t>流畅</w:t>
            </w:r>
            <w:r>
              <w:rPr>
                <w:rFonts w:ascii="宋体" w:hAnsi="宋体" w:eastAsia="宋体" w:cs="宋体"/>
                <w:kern w:val="0"/>
                <w:szCs w:val="21"/>
                <w:lang w:bidi="ar"/>
              </w:rPr>
              <w:t>性、逻辑性和分析的深度，反映学生科学知识应用能力和团队合作意识。</w:t>
            </w:r>
          </w:p>
        </w:tc>
        <w:tc>
          <w:tcPr>
            <w:tcW w:w="0" w:type="auto"/>
            <w:vAlign w:val="center"/>
          </w:tcPr>
          <w:p w14:paraId="7A88ED61">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1AD7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E19264">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13B9D2AF">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科学核心概念、基础知识和基本原理和方法的题目占3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%；考核学生运用科学原理分析问题，设计问题可涉及科学知识的整合运用占</w:t>
            </w:r>
            <w:r>
              <w:rPr>
                <w:rFonts w:ascii="Times New Roman" w:hAnsi="Times New Roman" w:eastAsia="宋体" w:cs="Times New Roman"/>
                <w:szCs w:val="21"/>
              </w:rPr>
              <w:t>30</w:t>
            </w:r>
            <w:r>
              <w:rPr>
                <w:rFonts w:hint="eastAsia" w:ascii="Times New Roman" w:hAnsi="Times New Roman" w:eastAsia="宋体" w:cs="Times New Roman"/>
                <w:szCs w:val="21"/>
              </w:rPr>
              <w:t>%；考核学生结合小学教育实际的教学设计能力，题型占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%；考核学生设计跨学科综合性教学活动或研究性问题解决方案的题型占1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5AD43A92">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4EDC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65B8CFF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7E0E3061">
            <w:pPr>
              <w:jc w:val="left"/>
              <w:rPr>
                <w:rFonts w:ascii="Times New Roman" w:hAnsi="Times New Roman" w:eastAsia="宋体" w:cs="Times New Roman"/>
                <w:szCs w:val="21"/>
              </w:rPr>
            </w:pPr>
          </w:p>
        </w:tc>
        <w:tc>
          <w:tcPr>
            <w:tcW w:w="0" w:type="auto"/>
            <w:vAlign w:val="center"/>
          </w:tcPr>
          <w:p w14:paraId="016305A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5DCFF85">
      <w:pPr>
        <w:spacing w:line="360" w:lineRule="auto"/>
        <w:ind w:firstLine="422" w:firstLineChars="200"/>
        <w:jc w:val="left"/>
        <w:outlineLvl w:val="1"/>
        <w:rPr>
          <w:rFonts w:hint="eastAsia" w:ascii="宋体" w:hAnsi="宋体" w:eastAsia="宋体" w:cs="Times New Roman"/>
          <w:b/>
          <w:szCs w:val="21"/>
        </w:rPr>
      </w:pPr>
      <w:bookmarkStart w:id="1710" w:name="_Toc26805"/>
      <w:r>
        <w:rPr>
          <w:rFonts w:hint="eastAsia" w:ascii="宋体" w:hAnsi="宋体" w:eastAsia="宋体" w:cs="Times New Roman"/>
          <w:b/>
          <w:szCs w:val="21"/>
        </w:rPr>
        <w:t>（三）课程目标达成度计算方法</w:t>
      </w:r>
      <w:bookmarkEnd w:id="1710"/>
    </w:p>
    <w:p w14:paraId="0A43531B">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53D7F8B7">
      <w:pPr>
        <w:spacing w:before="156" w:beforeLines="50" w:line="360" w:lineRule="auto"/>
        <w:ind w:firstLine="420" w:firstLineChars="200"/>
        <w:jc w:val="left"/>
        <w:rPr>
          <w:rFonts w:ascii="Times New Roman" w:hAnsi="Times New Roman" w:eastAsia="宋体" w:cs="Times New Roman"/>
          <w:bCs/>
          <w:sz w:val="24"/>
        </w:rPr>
      </w:pPr>
      <w:r>
        <w:rPr>
          <w:rFonts w:ascii="宋体" w:hAnsi="宋体" w:eastAsia="宋体" w:cs="Times New Roman"/>
          <w:szCs w:val="21"/>
        </w:rPr>
        <w:object>
          <v:shape id="_x0000_i1073"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73" DrawAspect="Content" ObjectID="_1468075773" r:id="rId61">
            <o:LockedField>false</o:LockedField>
          </o:OLEObject>
        </w:object>
      </w:r>
      <w:bookmarkStart w:id="1711" w:name="_Toc23891"/>
      <w:bookmarkStart w:id="1712" w:name="_Toc30329"/>
      <w:bookmarkStart w:id="1713" w:name="_Toc10951"/>
      <w:bookmarkStart w:id="1714" w:name="_Toc26348"/>
      <w:bookmarkStart w:id="1715" w:name="_Toc27301"/>
      <w:bookmarkStart w:id="1716" w:name="_Toc16814"/>
      <w:bookmarkStart w:id="1717" w:name="_Toc13941"/>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bookmarkEnd w:id="1711"/>
      <w:bookmarkEnd w:id="1712"/>
      <w:bookmarkEnd w:id="1713"/>
      <w:bookmarkEnd w:id="1714"/>
      <w:bookmarkEnd w:id="1715"/>
      <w:bookmarkEnd w:id="1716"/>
      <w:bookmarkEnd w:id="1717"/>
    </w:p>
    <w:p w14:paraId="1F6D7061">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1159"/>
        <w:gridCol w:w="2741"/>
      </w:tblGrid>
      <w:tr w14:paraId="5CE17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447D024B">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0ACDD4E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1159" w:type="dxa"/>
            <w:vAlign w:val="center"/>
          </w:tcPr>
          <w:p w14:paraId="156DA412">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2741" w:type="dxa"/>
            <w:vAlign w:val="center"/>
          </w:tcPr>
          <w:p w14:paraId="2A3C0D93">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170D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212" w:type="dxa"/>
            <w:vAlign w:val="center"/>
          </w:tcPr>
          <w:p w14:paraId="5146C37A">
            <w:pPr>
              <w:spacing w:line="276" w:lineRule="auto"/>
              <w:jc w:val="center"/>
              <w:rPr>
                <w:rFonts w:hint="eastAsia" w:ascii="宋体" w:hAnsi="宋体" w:eastAsia="宋体" w:cs="宋体"/>
                <w:szCs w:val="21"/>
              </w:rPr>
            </w:pPr>
            <w:r>
              <w:rPr>
                <w:rFonts w:hint="eastAsia" w:ascii="宋体" w:hAnsi="宋体" w:eastAsia="宋体" w:cs="Times New Roman"/>
                <w:szCs w:val="22"/>
              </w:rPr>
              <w:t>讲解天宫计划</w:t>
            </w:r>
          </w:p>
        </w:tc>
        <w:tc>
          <w:tcPr>
            <w:tcW w:w="3407" w:type="dxa"/>
          </w:tcPr>
          <w:p w14:paraId="22C6029A">
            <w:pPr>
              <w:spacing w:line="276" w:lineRule="auto"/>
              <w:jc w:val="left"/>
              <w:rPr>
                <w:rFonts w:hint="eastAsia" w:ascii="宋体" w:hAnsi="宋体" w:eastAsia="宋体" w:cs="宋体"/>
                <w:szCs w:val="21"/>
              </w:rPr>
            </w:pPr>
            <w:r>
              <w:rPr>
                <w:rFonts w:hint="eastAsia" w:ascii="宋体" w:hAnsi="宋体" w:eastAsia="宋体" w:cs="Times New Roman"/>
                <w:szCs w:val="22"/>
              </w:rPr>
              <w:t>到小学为小学生讲解中国天宫计划的科技成就，介绍中国航天发展的历史与意义。</w:t>
            </w:r>
          </w:p>
        </w:tc>
        <w:tc>
          <w:tcPr>
            <w:tcW w:w="1159" w:type="dxa"/>
          </w:tcPr>
          <w:p w14:paraId="215E9B46">
            <w:pPr>
              <w:spacing w:line="276" w:lineRule="auto"/>
              <w:jc w:val="left"/>
              <w:rPr>
                <w:rFonts w:hint="eastAsia" w:ascii="宋体" w:hAnsi="宋体" w:eastAsia="宋体" w:cs="宋体"/>
                <w:szCs w:val="21"/>
              </w:rPr>
            </w:pPr>
            <w:r>
              <w:rPr>
                <w:rFonts w:hint="eastAsia" w:ascii="宋体" w:hAnsi="宋体" w:eastAsia="宋体" w:cs="Times New Roman"/>
                <w:szCs w:val="22"/>
              </w:rPr>
              <w:t>实地讲解与互动教学</w:t>
            </w:r>
          </w:p>
        </w:tc>
        <w:tc>
          <w:tcPr>
            <w:tcW w:w="2741" w:type="dxa"/>
          </w:tcPr>
          <w:p w14:paraId="4577914A">
            <w:pPr>
              <w:spacing w:line="276" w:lineRule="auto"/>
              <w:jc w:val="left"/>
              <w:rPr>
                <w:rFonts w:hint="eastAsia" w:ascii="宋体" w:hAnsi="宋体" w:eastAsia="宋体" w:cs="宋体"/>
                <w:szCs w:val="21"/>
              </w:rPr>
            </w:pPr>
            <w:r>
              <w:rPr>
                <w:rFonts w:hint="eastAsia" w:ascii="宋体" w:hAnsi="宋体" w:eastAsia="宋体" w:cs="Times New Roman"/>
                <w:szCs w:val="22"/>
              </w:rPr>
              <w:t>培养学生的家国情怀和民族自豪感，增强对科技发展的责任感和探索精神。</w:t>
            </w:r>
          </w:p>
        </w:tc>
      </w:tr>
      <w:tr w14:paraId="6AC1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7FFE38A9">
            <w:pPr>
              <w:spacing w:line="276" w:lineRule="auto"/>
              <w:jc w:val="center"/>
              <w:rPr>
                <w:rFonts w:hint="eastAsia" w:ascii="宋体" w:hAnsi="宋体" w:eastAsia="宋体" w:cs="宋体"/>
                <w:szCs w:val="21"/>
              </w:rPr>
            </w:pPr>
            <w:r>
              <w:rPr>
                <w:rFonts w:hint="eastAsia" w:ascii="宋体" w:hAnsi="宋体" w:eastAsia="宋体" w:cs="Times New Roman"/>
                <w:szCs w:val="22"/>
              </w:rPr>
              <w:t>科学实验体验活动</w:t>
            </w:r>
          </w:p>
        </w:tc>
        <w:tc>
          <w:tcPr>
            <w:tcW w:w="3407" w:type="dxa"/>
          </w:tcPr>
          <w:p w14:paraId="56D0AA2C">
            <w:pPr>
              <w:spacing w:line="276" w:lineRule="auto"/>
              <w:jc w:val="left"/>
              <w:rPr>
                <w:rFonts w:hint="eastAsia" w:ascii="宋体" w:hAnsi="宋体" w:eastAsia="宋体" w:cs="宋体"/>
                <w:szCs w:val="21"/>
              </w:rPr>
            </w:pPr>
            <w:r>
              <w:rPr>
                <w:rFonts w:hint="eastAsia" w:ascii="宋体" w:hAnsi="宋体" w:eastAsia="宋体" w:cs="Times New Roman"/>
                <w:szCs w:val="22"/>
              </w:rPr>
              <w:t>为小学生设计和演示基础科学实验，如水的净化实验、空气压力实验等，结合实验内容讲解相关的科学知识。</w:t>
            </w:r>
          </w:p>
        </w:tc>
        <w:tc>
          <w:tcPr>
            <w:tcW w:w="1159" w:type="dxa"/>
          </w:tcPr>
          <w:p w14:paraId="1E1D40B7">
            <w:pPr>
              <w:spacing w:line="276" w:lineRule="auto"/>
              <w:jc w:val="left"/>
              <w:rPr>
                <w:rFonts w:hint="eastAsia" w:ascii="宋体" w:hAnsi="宋体" w:eastAsia="宋体" w:cs="宋体"/>
                <w:szCs w:val="21"/>
              </w:rPr>
            </w:pPr>
            <w:r>
              <w:rPr>
                <w:rFonts w:hint="eastAsia" w:ascii="宋体" w:hAnsi="宋体" w:eastAsia="宋体" w:cs="Times New Roman"/>
                <w:szCs w:val="22"/>
              </w:rPr>
              <w:t>实验设计与互动演示</w:t>
            </w:r>
          </w:p>
        </w:tc>
        <w:tc>
          <w:tcPr>
            <w:tcW w:w="2741" w:type="dxa"/>
          </w:tcPr>
          <w:p w14:paraId="63486114">
            <w:pPr>
              <w:spacing w:line="276" w:lineRule="auto"/>
              <w:jc w:val="left"/>
              <w:rPr>
                <w:rFonts w:hint="eastAsia" w:ascii="宋体" w:hAnsi="宋体" w:eastAsia="宋体" w:cs="宋体"/>
                <w:szCs w:val="21"/>
              </w:rPr>
            </w:pPr>
            <w:r>
              <w:rPr>
                <w:rFonts w:hint="eastAsia" w:ascii="宋体" w:hAnsi="宋体" w:eastAsia="宋体" w:cs="Times New Roman"/>
                <w:szCs w:val="22"/>
              </w:rPr>
              <w:t>培养学生尊重科学和探索未知的精神，增强学生的社会责任感，关注科技对社会生活的实际影响。</w:t>
            </w:r>
          </w:p>
        </w:tc>
      </w:tr>
      <w:tr w14:paraId="785B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0F6AF99A">
            <w:pPr>
              <w:spacing w:line="276" w:lineRule="auto"/>
              <w:jc w:val="center"/>
              <w:rPr>
                <w:rFonts w:hint="eastAsia" w:ascii="宋体" w:hAnsi="宋体" w:eastAsia="宋体" w:cs="宋体"/>
                <w:szCs w:val="21"/>
              </w:rPr>
            </w:pPr>
            <w:r>
              <w:rPr>
                <w:rFonts w:hint="eastAsia" w:ascii="宋体" w:hAnsi="宋体" w:eastAsia="宋体" w:cs="Times New Roman"/>
                <w:szCs w:val="22"/>
              </w:rPr>
              <w:t>水与环境保护主题教育</w:t>
            </w:r>
          </w:p>
        </w:tc>
        <w:tc>
          <w:tcPr>
            <w:tcW w:w="3407" w:type="dxa"/>
          </w:tcPr>
          <w:p w14:paraId="15F6366E">
            <w:pPr>
              <w:spacing w:line="276" w:lineRule="auto"/>
              <w:jc w:val="left"/>
              <w:rPr>
                <w:rFonts w:hint="eastAsia" w:ascii="宋体" w:hAnsi="宋体" w:eastAsia="宋体" w:cs="宋体"/>
                <w:szCs w:val="21"/>
              </w:rPr>
            </w:pPr>
            <w:r>
              <w:rPr>
                <w:rFonts w:hint="eastAsia" w:ascii="宋体" w:hAnsi="宋体" w:eastAsia="宋体" w:cs="Times New Roman"/>
                <w:szCs w:val="22"/>
              </w:rPr>
              <w:t>通过活动讲解水资源的重要性和保护水环境的方法，结合案例分析水污染对生态系统的影响，并设计趣味实验让小学生参与。</w:t>
            </w:r>
          </w:p>
        </w:tc>
        <w:tc>
          <w:tcPr>
            <w:tcW w:w="1159" w:type="dxa"/>
          </w:tcPr>
          <w:p w14:paraId="2192D741">
            <w:pPr>
              <w:spacing w:line="276" w:lineRule="auto"/>
              <w:jc w:val="left"/>
              <w:rPr>
                <w:rFonts w:hint="eastAsia" w:ascii="宋体" w:hAnsi="宋体" w:eastAsia="宋体" w:cs="宋体"/>
                <w:szCs w:val="21"/>
              </w:rPr>
            </w:pPr>
            <w:r>
              <w:rPr>
                <w:rFonts w:hint="eastAsia" w:ascii="宋体" w:hAnsi="宋体" w:eastAsia="宋体" w:cs="Times New Roman"/>
                <w:szCs w:val="22"/>
              </w:rPr>
              <w:t>科学讲座、案例分析与实验演示</w:t>
            </w:r>
          </w:p>
        </w:tc>
        <w:tc>
          <w:tcPr>
            <w:tcW w:w="2741" w:type="dxa"/>
          </w:tcPr>
          <w:p w14:paraId="1958A26C">
            <w:pPr>
              <w:spacing w:line="276" w:lineRule="auto"/>
              <w:jc w:val="left"/>
              <w:rPr>
                <w:rFonts w:hint="eastAsia" w:ascii="宋体" w:hAnsi="宋体" w:eastAsia="宋体" w:cs="宋体"/>
                <w:szCs w:val="21"/>
              </w:rPr>
            </w:pPr>
            <w:r>
              <w:rPr>
                <w:rFonts w:hint="eastAsia" w:ascii="宋体" w:hAnsi="宋体" w:eastAsia="宋体" w:cs="Times New Roman"/>
                <w:szCs w:val="22"/>
              </w:rPr>
              <w:t>强化可持续发展理念，增强学生的环保意识和生态文明观念。</w:t>
            </w:r>
          </w:p>
        </w:tc>
      </w:tr>
      <w:tr w14:paraId="6AF8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71E7C959">
            <w:pPr>
              <w:spacing w:line="276" w:lineRule="auto"/>
              <w:jc w:val="center"/>
              <w:rPr>
                <w:rFonts w:hint="eastAsia" w:ascii="宋体" w:hAnsi="宋体" w:eastAsia="宋体" w:cs="宋体"/>
                <w:szCs w:val="21"/>
              </w:rPr>
            </w:pPr>
            <w:r>
              <w:rPr>
                <w:rFonts w:hint="eastAsia" w:ascii="宋体" w:hAnsi="宋体" w:eastAsia="宋体" w:cs="Times New Roman"/>
                <w:szCs w:val="22"/>
              </w:rPr>
              <w:t>小学科学教师讲座</w:t>
            </w:r>
          </w:p>
        </w:tc>
        <w:tc>
          <w:tcPr>
            <w:tcW w:w="3407" w:type="dxa"/>
          </w:tcPr>
          <w:p w14:paraId="64244C8C">
            <w:pPr>
              <w:spacing w:line="276" w:lineRule="auto"/>
              <w:jc w:val="left"/>
              <w:rPr>
                <w:rFonts w:hint="eastAsia" w:ascii="宋体" w:hAnsi="宋体" w:eastAsia="宋体" w:cs="宋体"/>
                <w:szCs w:val="21"/>
              </w:rPr>
            </w:pPr>
            <w:r>
              <w:rPr>
                <w:rFonts w:hint="eastAsia" w:ascii="宋体" w:hAnsi="宋体" w:eastAsia="宋体" w:cs="Times New Roman"/>
                <w:szCs w:val="22"/>
              </w:rPr>
              <w:t>邀请一线小学科学教师分享科学课程教学经验，探讨如何有效开展小学科学课程教学，交流融入思政教育的实际案例和方法。</w:t>
            </w:r>
          </w:p>
        </w:tc>
        <w:tc>
          <w:tcPr>
            <w:tcW w:w="1159" w:type="dxa"/>
          </w:tcPr>
          <w:p w14:paraId="5F998261">
            <w:pPr>
              <w:spacing w:line="276" w:lineRule="auto"/>
              <w:jc w:val="left"/>
              <w:rPr>
                <w:rFonts w:hint="eastAsia" w:ascii="宋体" w:hAnsi="宋体" w:eastAsia="宋体" w:cs="宋体"/>
                <w:szCs w:val="21"/>
              </w:rPr>
            </w:pPr>
            <w:r>
              <w:rPr>
                <w:rFonts w:hint="eastAsia" w:ascii="宋体" w:hAnsi="宋体" w:eastAsia="宋体" w:cs="Times New Roman"/>
                <w:szCs w:val="22"/>
              </w:rPr>
              <w:t>专家讲座与互动交流</w:t>
            </w:r>
          </w:p>
        </w:tc>
        <w:tc>
          <w:tcPr>
            <w:tcW w:w="2741" w:type="dxa"/>
          </w:tcPr>
          <w:p w14:paraId="1F2BB62E">
            <w:pPr>
              <w:spacing w:line="276" w:lineRule="auto"/>
              <w:jc w:val="left"/>
              <w:rPr>
                <w:rFonts w:hint="eastAsia" w:ascii="宋体" w:hAnsi="宋体" w:eastAsia="宋体" w:cs="宋体"/>
                <w:szCs w:val="21"/>
              </w:rPr>
            </w:pPr>
            <w:r>
              <w:rPr>
                <w:rFonts w:hint="eastAsia" w:ascii="宋体" w:hAnsi="宋体" w:eastAsia="宋体" w:cs="Times New Roman"/>
                <w:szCs w:val="22"/>
              </w:rPr>
              <w:t>提高学生的教学设计能力，帮助学生理解科学教育的育人价值和实践路径。</w:t>
            </w:r>
          </w:p>
        </w:tc>
      </w:tr>
    </w:tbl>
    <w:p w14:paraId="661B36F2">
      <w:pPr>
        <w:spacing w:before="62" w:beforeLines="20" w:after="62" w:afterLines="20" w:line="360" w:lineRule="auto"/>
        <w:jc w:val="left"/>
        <w:rPr>
          <w:rFonts w:ascii="Times New Roman" w:hAnsi="Times New Roman" w:eastAsia="宋体" w:cs="Times New Roman"/>
          <w:b/>
          <w:sz w:val="24"/>
        </w:rPr>
      </w:pPr>
      <w:bookmarkStart w:id="1718" w:name="_Toc13966"/>
      <w:bookmarkStart w:id="1719" w:name="_Toc26430"/>
      <w:bookmarkStart w:id="1720" w:name="_Toc14241"/>
      <w:bookmarkStart w:id="1721" w:name="_Toc27706"/>
      <w:bookmarkStart w:id="1722" w:name="_Toc1596"/>
      <w:bookmarkStart w:id="1723" w:name="_Toc6610"/>
      <w:bookmarkStart w:id="1724" w:name="_Toc5982"/>
      <w:r>
        <w:rPr>
          <w:rFonts w:hint="eastAsia" w:ascii="Times New Roman" w:hAnsi="Times New Roman" w:eastAsia="宋体" w:cs="Times New Roman"/>
          <w:b/>
          <w:sz w:val="24"/>
        </w:rPr>
        <w:t>六、有关说明</w:t>
      </w:r>
      <w:bookmarkEnd w:id="1718"/>
      <w:bookmarkEnd w:id="1719"/>
      <w:bookmarkEnd w:id="1720"/>
      <w:bookmarkEnd w:id="1721"/>
      <w:bookmarkEnd w:id="1722"/>
      <w:bookmarkEnd w:id="1723"/>
      <w:bookmarkEnd w:id="1724"/>
    </w:p>
    <w:p w14:paraId="3D17E0EB">
      <w:pPr>
        <w:spacing w:line="360" w:lineRule="auto"/>
        <w:ind w:firstLine="422" w:firstLineChars="200"/>
        <w:jc w:val="left"/>
        <w:outlineLvl w:val="1"/>
        <w:rPr>
          <w:rFonts w:ascii="Times New Roman" w:hAnsi="Times New Roman" w:eastAsia="宋体" w:cs="Times New Roman"/>
          <w:b/>
          <w:szCs w:val="21"/>
        </w:rPr>
      </w:pPr>
      <w:bookmarkStart w:id="1725" w:name="_Toc1511"/>
      <w:r>
        <w:rPr>
          <w:rFonts w:hint="eastAsia" w:ascii="Times New Roman" w:hAnsi="Times New Roman" w:eastAsia="宋体" w:cs="Times New Roman"/>
          <w:b/>
          <w:szCs w:val="21"/>
        </w:rPr>
        <w:t>（一）持续改进</w:t>
      </w:r>
      <w:bookmarkEnd w:id="1725"/>
    </w:p>
    <w:p w14:paraId="581C6CA3">
      <w:pPr>
        <w:spacing w:line="360" w:lineRule="auto"/>
        <w:ind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本课程结合学生学习过程中的反馈意见、课堂教学效果以及考核结果，持续优化课程内容与教学方法。定期总结教学中的不足之处，并根据以下方面进行改进：</w:t>
      </w:r>
    </w:p>
    <w:p w14:paraId="55809E2D">
      <w:pPr>
        <w:numPr>
          <w:ilvl w:val="0"/>
          <w:numId w:val="64"/>
        </w:numPr>
        <w:spacing w:line="360" w:lineRule="auto"/>
        <w:ind w:left="0"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依据学生平时作业、课堂表现、期中检测及期末考试的成绩分析，调整教学重点与难点。</w:t>
      </w:r>
    </w:p>
    <w:p w14:paraId="424112F1">
      <w:pPr>
        <w:numPr>
          <w:ilvl w:val="0"/>
          <w:numId w:val="64"/>
        </w:numPr>
        <w:spacing w:line="360" w:lineRule="auto"/>
        <w:ind w:left="0"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通过教师间的教学交流和教学督导意见，不断完善教学设计和活动组织。</w:t>
      </w:r>
    </w:p>
    <w:p w14:paraId="55808549">
      <w:pPr>
        <w:numPr>
          <w:ilvl w:val="0"/>
          <w:numId w:val="64"/>
        </w:numPr>
        <w:spacing w:line="360" w:lineRule="auto"/>
        <w:ind w:left="0" w:firstLine="420" w:firstLineChars="200"/>
        <w:jc w:val="left"/>
        <w:rPr>
          <w:rFonts w:ascii="Times New Roman" w:hAnsi="Times New Roman" w:eastAsia="宋体" w:cs="Times New Roman"/>
          <w:b/>
          <w:szCs w:val="21"/>
        </w:rPr>
      </w:pPr>
      <w:r>
        <w:rPr>
          <w:rFonts w:ascii="Times New Roman" w:hAnsi="Times New Roman" w:eastAsia="宋体" w:cs="Times New Roman"/>
          <w:bCs/>
          <w:szCs w:val="21"/>
        </w:rPr>
        <w:t>引入最新的科学教育研究成果，丰富教学案例，增强教学内容的实用性与前沿</w:t>
      </w:r>
      <w:r>
        <w:rPr>
          <w:rFonts w:ascii="Times New Roman" w:hAnsi="Times New Roman" w:eastAsia="宋体" w:cs="Times New Roman"/>
          <w:b/>
          <w:szCs w:val="21"/>
        </w:rPr>
        <w:t>性。</w:t>
      </w:r>
    </w:p>
    <w:p w14:paraId="3E862447">
      <w:pPr>
        <w:numPr>
          <w:ilvl w:val="0"/>
          <w:numId w:val="64"/>
        </w:numPr>
        <w:spacing w:line="360" w:lineRule="auto"/>
        <w:ind w:left="0" w:firstLine="420" w:firstLineChars="200"/>
        <w:jc w:val="left"/>
        <w:rPr>
          <w:rFonts w:ascii="Times New Roman" w:hAnsi="Times New Roman" w:eastAsia="宋体" w:cs="Times New Roman"/>
          <w:bCs/>
          <w:szCs w:val="21"/>
        </w:rPr>
      </w:pPr>
      <w:r>
        <w:rPr>
          <w:rFonts w:ascii="Times New Roman" w:hAnsi="Times New Roman" w:eastAsia="宋体" w:cs="Times New Roman"/>
          <w:bCs/>
          <w:szCs w:val="21"/>
        </w:rPr>
        <w:t>优化思政教育内容设计，更有效地融入课程教学，强化学生的社会责任感和科学素养。</w:t>
      </w:r>
    </w:p>
    <w:p w14:paraId="3B2A7AB4">
      <w:pPr>
        <w:spacing w:line="360" w:lineRule="auto"/>
        <w:ind w:firstLine="422" w:firstLineChars="200"/>
        <w:jc w:val="left"/>
        <w:outlineLvl w:val="1"/>
        <w:rPr>
          <w:rFonts w:ascii="Times New Roman" w:hAnsi="Times New Roman" w:eastAsia="宋体" w:cs="Times New Roman"/>
          <w:b/>
          <w:szCs w:val="21"/>
        </w:rPr>
      </w:pPr>
      <w:bookmarkStart w:id="1726" w:name="_Toc30546"/>
      <w:r>
        <w:rPr>
          <w:rFonts w:hint="eastAsia" w:ascii="Times New Roman" w:hAnsi="Times New Roman" w:eastAsia="宋体" w:cs="Times New Roman"/>
          <w:b/>
          <w:szCs w:val="21"/>
        </w:rPr>
        <w:t>（二）建议教材</w:t>
      </w:r>
      <w:bookmarkEnd w:id="1726"/>
    </w:p>
    <w:p w14:paraId="67B22D18">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刘金寿. 现代科学技术概论. 北京：高等教育出版社，2021.</w:t>
      </w:r>
    </w:p>
    <w:p w14:paraId="3978EC87">
      <w:pPr>
        <w:spacing w:line="360" w:lineRule="auto"/>
        <w:ind w:firstLine="422" w:firstLineChars="200"/>
        <w:jc w:val="left"/>
        <w:outlineLvl w:val="1"/>
        <w:rPr>
          <w:rFonts w:ascii="Times New Roman" w:hAnsi="Times New Roman" w:eastAsia="宋体" w:cs="Times New Roman"/>
          <w:b/>
          <w:szCs w:val="21"/>
        </w:rPr>
      </w:pPr>
      <w:bookmarkStart w:id="1727" w:name="_Toc7724"/>
      <w:r>
        <w:rPr>
          <w:rFonts w:hint="eastAsia" w:ascii="Times New Roman" w:hAnsi="Times New Roman" w:eastAsia="宋体" w:cs="Times New Roman"/>
          <w:b/>
          <w:szCs w:val="21"/>
        </w:rPr>
        <w:t>（三）参考书目</w:t>
      </w:r>
      <w:bookmarkEnd w:id="1727"/>
    </w:p>
    <w:p w14:paraId="6F16C5B7">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1.</w:t>
      </w:r>
      <w:r>
        <w:rPr>
          <w:rFonts w:ascii="宋体" w:hAnsi="宋体" w:eastAsia="宋体" w:cs="Times New Roman"/>
          <w:szCs w:val="22"/>
        </w:rPr>
        <w:t>吴国盛. 科学的历程（修订第4版）. 长沙：湖南科学技术出版社，2018.</w:t>
      </w:r>
    </w:p>
    <w:p w14:paraId="57ABF30B">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2.</w:t>
      </w:r>
      <w:r>
        <w:rPr>
          <w:rFonts w:ascii="宋体" w:hAnsi="宋体" w:eastAsia="宋体" w:cs="Times New Roman"/>
          <w:szCs w:val="22"/>
        </w:rPr>
        <w:t>张二庆，乔建生. 小学科学课程与教学论. 北京：北京师范大学出版社，2016.</w:t>
      </w:r>
    </w:p>
    <w:p w14:paraId="7A97C6AF">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3.</w:t>
      </w:r>
      <w:r>
        <w:rPr>
          <w:rFonts w:ascii="宋体" w:hAnsi="宋体" w:eastAsia="宋体" w:cs="Times New Roman"/>
          <w:szCs w:val="22"/>
        </w:rPr>
        <w:t>尹显明，王银铃. 科学技术概论. 北京：科学出版社，2018.</w:t>
      </w:r>
    </w:p>
    <w:p w14:paraId="2BAE11AD">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4.</w:t>
      </w:r>
      <w:r>
        <w:rPr>
          <w:rFonts w:ascii="宋体" w:hAnsi="宋体" w:eastAsia="宋体" w:cs="Times New Roman"/>
          <w:szCs w:val="22"/>
        </w:rPr>
        <w:t>毕毓俊. 自然科学基础知识. 北京：高等教育出版社，2008.</w:t>
      </w:r>
    </w:p>
    <w:p w14:paraId="4FE8D51E">
      <w:pPr>
        <w:spacing w:line="360" w:lineRule="auto"/>
        <w:ind w:firstLine="420" w:firstLineChars="200"/>
        <w:rPr>
          <w:rFonts w:hint="eastAsia" w:ascii="宋体" w:hAnsi="宋体" w:eastAsia="宋体" w:cs="Times New Roman"/>
          <w:szCs w:val="22"/>
        </w:rPr>
      </w:pPr>
      <w:r>
        <w:rPr>
          <w:rFonts w:ascii="宋体" w:hAnsi="宋体" w:eastAsia="宋体" w:cs="Times New Roman"/>
          <w:szCs w:val="22"/>
        </w:rPr>
        <w:t xml:space="preserve">  </w:t>
      </w:r>
      <w:r>
        <w:rPr>
          <w:rFonts w:hint="eastAsia" w:ascii="宋体" w:hAnsi="宋体" w:eastAsia="宋体" w:cs="Times New Roman"/>
          <w:szCs w:val="22"/>
        </w:rPr>
        <w:t>5.</w:t>
      </w:r>
      <w:r>
        <w:rPr>
          <w:rFonts w:ascii="宋体" w:hAnsi="宋体" w:eastAsia="宋体" w:cs="Times New Roman"/>
          <w:szCs w:val="22"/>
        </w:rPr>
        <w:t>叶勤. 人类与自然. 北京：高等教育出版社，2009.</w:t>
      </w:r>
    </w:p>
    <w:p w14:paraId="3244AD60">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金玉宏</w:t>
      </w:r>
    </w:p>
    <w:p w14:paraId="0FBC0EAD">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王  健</w:t>
      </w:r>
    </w:p>
    <w:p w14:paraId="3C8BAB4F">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5537D2D6">
      <w:pPr>
        <w:spacing w:line="360" w:lineRule="auto"/>
        <w:jc w:val="righ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59A02D1D">
      <w:pPr>
        <w:widowControl/>
        <w:jc w:val="left"/>
        <w:rPr>
          <w:rFonts w:hint="eastAsia" w:ascii="宋体" w:hAnsi="宋体" w:eastAsia="宋体" w:cs="Times New Roman"/>
          <w:kern w:val="0"/>
          <w:sz w:val="24"/>
          <w:szCs w:val="21"/>
        </w:rPr>
      </w:pPr>
      <w:r>
        <w:rPr>
          <w:rFonts w:ascii="宋体" w:hAnsi="宋体" w:eastAsia="宋体" w:cs="Times New Roman"/>
          <w:kern w:val="0"/>
          <w:sz w:val="24"/>
          <w:szCs w:val="21"/>
        </w:rPr>
        <w:br w:type="page"/>
      </w:r>
    </w:p>
    <w:p w14:paraId="70EF9569">
      <w:pPr>
        <w:spacing w:line="360" w:lineRule="auto"/>
        <w:jc w:val="center"/>
        <w:outlineLvl w:val="0"/>
        <w:rPr>
          <w:rFonts w:ascii="Times New Roman" w:hAnsi="Times New Roman" w:eastAsia="宋体" w:cs="Times New Roman"/>
          <w:b/>
          <w:sz w:val="44"/>
          <w:szCs w:val="44"/>
        </w:rPr>
      </w:pPr>
      <w:bookmarkStart w:id="1728" w:name="_Toc9730"/>
      <w:bookmarkStart w:id="1729" w:name="_Toc15737"/>
      <w:bookmarkStart w:id="1730" w:name="_Toc10074"/>
      <w:bookmarkStart w:id="1731" w:name="_Toc10125"/>
      <w:r>
        <w:rPr>
          <w:rFonts w:hint="eastAsia" w:ascii="Times New Roman" w:hAnsi="Times New Roman" w:eastAsia="宋体" w:cs="Times New Roman"/>
          <w:b/>
          <w:sz w:val="44"/>
          <w:szCs w:val="44"/>
        </w:rPr>
        <w:t>《STEAM课程设计》课程教学大纲</w:t>
      </w:r>
      <w:bookmarkEnd w:id="1728"/>
      <w:bookmarkEnd w:id="1729"/>
      <w:bookmarkEnd w:id="1730"/>
      <w:bookmarkEnd w:id="1731"/>
    </w:p>
    <w:p w14:paraId="3243E238">
      <w:pPr>
        <w:spacing w:line="360" w:lineRule="auto"/>
        <w:jc w:val="center"/>
        <w:rPr>
          <w:rFonts w:ascii="Times New Roman" w:hAnsi="Times New Roman" w:eastAsia="宋体" w:cs="Times New Roman"/>
          <w:b/>
          <w:bCs/>
          <w:sz w:val="28"/>
          <w:szCs w:val="28"/>
        </w:rPr>
      </w:pPr>
      <w:bookmarkStart w:id="1732" w:name="_Toc13900"/>
      <w:bookmarkStart w:id="1733" w:name="_Toc24990"/>
      <w:bookmarkStart w:id="1734" w:name="_Toc15994"/>
      <w:bookmarkStart w:id="1735" w:name="_Toc2782"/>
      <w:bookmarkStart w:id="1736" w:name="_Toc28367"/>
      <w:bookmarkStart w:id="1737" w:name="_Toc4623"/>
      <w:bookmarkStart w:id="1738" w:name="_Toc8260"/>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STEAM Course Design</w:t>
      </w:r>
      <w:r>
        <w:rPr>
          <w:rFonts w:ascii="Times New Roman" w:hAnsi="Times New Roman" w:eastAsia="宋体" w:cs="Times New Roman"/>
          <w:b/>
          <w:bCs/>
          <w:sz w:val="28"/>
          <w:szCs w:val="28"/>
        </w:rPr>
        <w:t>）</w:t>
      </w:r>
      <w:bookmarkEnd w:id="1732"/>
      <w:bookmarkEnd w:id="1733"/>
      <w:bookmarkEnd w:id="1734"/>
      <w:bookmarkEnd w:id="1735"/>
      <w:bookmarkEnd w:id="1736"/>
      <w:bookmarkEnd w:id="1737"/>
      <w:bookmarkEnd w:id="1738"/>
    </w:p>
    <w:p w14:paraId="714A4898">
      <w:pPr>
        <w:spacing w:line="360" w:lineRule="auto"/>
        <w:jc w:val="center"/>
        <w:rPr>
          <w:rFonts w:ascii="Times New Roman" w:hAnsi="Times New Roman" w:eastAsia="宋体" w:cs="Times New Roman"/>
          <w:bCs/>
          <w:szCs w:val="21"/>
        </w:rPr>
      </w:pPr>
    </w:p>
    <w:p w14:paraId="49CFEFA5">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 xml:space="preserve"> </w:t>
      </w:r>
      <w:r>
        <w:rPr>
          <w:rFonts w:hint="eastAsia" w:ascii="Times New Roman" w:hAnsi="Times New Roman" w:eastAsia="宋体" w:cs="Times New Roman"/>
          <w:b/>
          <w:sz w:val="24"/>
        </w:rPr>
        <w:t>STEAM课程设计</w:t>
      </w:r>
    </w:p>
    <w:p w14:paraId="492973A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课程代码：2401045</w:t>
      </w:r>
    </w:p>
    <w:p w14:paraId="56474215">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06BF0D1A">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时：32（其中：讲授学时16，课内实践学时16）</w:t>
      </w:r>
    </w:p>
    <w:p w14:paraId="6A66606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先修课程：科学概 论</w:t>
      </w:r>
    </w:p>
    <w:p w14:paraId="748C6372">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48CFF01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6C39AC7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文）、小学教育（理）专业的专业选修课程。通过本课程的学习，使学生掌握STEAM教育的基本理念和方法，能够设计和实施STEAM课程，培养学生跨学科整合能力和创新思维，提高STEAM教育实践能力。</w:t>
      </w:r>
    </w:p>
    <w:p w14:paraId="7B9B425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0E4C615E">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23400654">
      <w:pPr>
        <w:pStyle w:val="36"/>
        <w:spacing w:after="0" w:line="360" w:lineRule="auto"/>
        <w:ind w:firstLine="422" w:firstLineChars="200"/>
        <w:rPr>
          <w:rFonts w:hint="eastAsia" w:ascii="宋体" w:hAnsi="宋体"/>
          <w:sz w:val="21"/>
          <w:szCs w:val="21"/>
        </w:rPr>
      </w:pPr>
      <w:r>
        <w:rPr>
          <w:rFonts w:hint="eastAsia"/>
          <w:b/>
          <w:sz w:val="21"/>
          <w:szCs w:val="18"/>
        </w:rPr>
        <w:t>目标</w:t>
      </w:r>
      <w:r>
        <w:rPr>
          <w:b/>
          <w:sz w:val="21"/>
          <w:szCs w:val="18"/>
        </w:rPr>
        <w:t>1.</w:t>
      </w:r>
      <w:r>
        <w:rPr>
          <w:rFonts w:ascii="宋体" w:hAnsi="宋体"/>
          <w:sz w:val="21"/>
          <w:szCs w:val="21"/>
        </w:rPr>
        <w:t>掌握STEAM教育及艺术的基本理论和知识，具备广博的自然科学和人文社会科学知识素养，理解STEAM与小学其他学科及社会实践、小学生生活实践之间的联系，具备跨学科解决问题的能力，能够运用STEAM教育理论（包括艺术元素）指导教学实践，能指导综合性学科教学活动。</w:t>
      </w:r>
    </w:p>
    <w:p w14:paraId="6A3F7A50">
      <w:pPr>
        <w:spacing w:line="360" w:lineRule="auto"/>
        <w:ind w:firstLine="422" w:firstLineChars="200"/>
        <w:jc w:val="left"/>
        <w:rPr>
          <w:rFonts w:hint="eastAsia" w:ascii="宋体" w:hAnsi="宋体" w:eastAsia="宋体" w:cs="Times New Roman"/>
          <w:szCs w:val="21"/>
        </w:rPr>
      </w:pPr>
      <w:r>
        <w:rPr>
          <w:rFonts w:hint="eastAsia" w:ascii="宋体" w:hAnsi="宋体" w:eastAsia="宋体" w:cs="Times New Roman"/>
          <w:b/>
          <w:szCs w:val="21"/>
        </w:rPr>
        <w:t>目标2</w:t>
      </w:r>
      <w:r>
        <w:rPr>
          <w:rFonts w:ascii="宋体" w:hAnsi="宋体" w:eastAsia="宋体" w:cs="Times New Roman"/>
          <w:b/>
          <w:szCs w:val="21"/>
        </w:rPr>
        <w:t>.</w:t>
      </w:r>
      <w:r>
        <w:rPr>
          <w:rFonts w:ascii="宋体" w:hAnsi="宋体" w:eastAsia="宋体" w:cs="Times New Roman"/>
          <w:szCs w:val="21"/>
        </w:rPr>
        <w:t xml:space="preserve"> </w:t>
      </w:r>
      <w:r>
        <w:rPr>
          <w:rFonts w:ascii="宋体" w:hAnsi="宋体" w:eastAsia="宋体"/>
          <w:szCs w:val="21"/>
        </w:rPr>
        <w:t>掌握小学教师的基本技能，包括书写、沟通与表达、信息技术运用等，获得全面的小学教学体验，掌握STEAM课程设计与教学的方法和策略，能够独立进行STEAM课程的教学实施和评价，提升教学能力，促进学生的全面发展。</w:t>
      </w:r>
    </w:p>
    <w:p w14:paraId="204438F0">
      <w:pPr>
        <w:pStyle w:val="5"/>
        <w:spacing w:after="0" w:line="360" w:lineRule="auto"/>
        <w:ind w:firstLine="422" w:firstLineChars="200"/>
        <w:rPr>
          <w:rFonts w:hint="eastAsia" w:ascii="宋体" w:hAnsi="宋体"/>
          <w:sz w:val="21"/>
          <w:szCs w:val="21"/>
        </w:rPr>
      </w:pPr>
      <w:r>
        <w:rPr>
          <w:rFonts w:hint="eastAsia" w:ascii="宋体" w:hAnsi="宋体"/>
          <w:b/>
          <w:sz w:val="21"/>
          <w:szCs w:val="21"/>
        </w:rPr>
        <w:t>目标3．</w:t>
      </w:r>
      <w:r>
        <w:rPr>
          <w:rFonts w:ascii="宋体" w:hAnsi="宋体"/>
          <w:sz w:val="21"/>
          <w:szCs w:val="21"/>
        </w:rPr>
        <w:t xml:space="preserve"> 理解STEAM教育的育人价值，具备教书育人的意识，理解学科核心素养和STEAM课程的育人功能，能够结合课程内容挖掘育人要素与资源，合理设计育人目标、主题、内容和活动，将知识学习、能力发展与品德养成有机结合，促进小学生的全面、健康发展。</w:t>
      </w:r>
    </w:p>
    <w:p w14:paraId="74491BE9">
      <w:pPr>
        <w:spacing w:before="156" w:beforeLines="50" w:after="156" w:afterLines="50"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6089"/>
        <w:gridCol w:w="1327"/>
      </w:tblGrid>
      <w:tr w14:paraId="3243C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33C0B9D9">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w:t>
            </w:r>
          </w:p>
        </w:tc>
        <w:tc>
          <w:tcPr>
            <w:tcW w:w="6089" w:type="dxa"/>
            <w:vAlign w:val="center"/>
          </w:tcPr>
          <w:p w14:paraId="03A68B95">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毕业要求指标点</w:t>
            </w:r>
          </w:p>
        </w:tc>
        <w:tc>
          <w:tcPr>
            <w:tcW w:w="1327" w:type="dxa"/>
            <w:vAlign w:val="center"/>
          </w:tcPr>
          <w:p w14:paraId="27458D20">
            <w:pPr>
              <w:spacing w:line="360" w:lineRule="auto"/>
              <w:jc w:val="center"/>
              <w:rPr>
                <w:rFonts w:hint="eastAsia" w:ascii="宋体" w:hAnsi="宋体" w:eastAsia="宋体" w:cs="Times New Roman"/>
                <w:b/>
                <w:bCs/>
                <w:szCs w:val="21"/>
              </w:rPr>
            </w:pPr>
            <w:r>
              <w:rPr>
                <w:rFonts w:hint="eastAsia" w:ascii="宋体" w:hAnsi="宋体" w:eastAsia="宋体" w:cs="Times New Roman"/>
                <w:b/>
                <w:bCs/>
                <w:szCs w:val="21"/>
              </w:rPr>
              <w:t>课程目标</w:t>
            </w:r>
          </w:p>
        </w:tc>
      </w:tr>
      <w:tr w14:paraId="33D5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6E5EA80F">
            <w:pPr>
              <w:spacing w:line="276" w:lineRule="auto"/>
              <w:jc w:val="center"/>
              <w:rPr>
                <w:rFonts w:hint="eastAsia" w:ascii="宋体" w:hAnsi="宋体" w:eastAsia="宋体"/>
                <w:b/>
                <w:bCs/>
                <w:szCs w:val="21"/>
              </w:rPr>
            </w:pPr>
            <w:r>
              <w:rPr>
                <w:rFonts w:hint="eastAsia" w:ascii="宋体" w:hAnsi="宋体" w:eastAsia="宋体"/>
                <w:b/>
                <w:bCs/>
                <w:szCs w:val="21"/>
              </w:rPr>
              <w:t>毕业要求3</w:t>
            </w:r>
          </w:p>
          <w:p w14:paraId="40623645">
            <w:pPr>
              <w:spacing w:line="276" w:lineRule="auto"/>
              <w:jc w:val="center"/>
              <w:rPr>
                <w:rFonts w:hint="eastAsia" w:ascii="宋体" w:hAnsi="宋体" w:eastAsia="宋体" w:cs="Times New Roman"/>
                <w:b/>
                <w:bCs/>
                <w:szCs w:val="21"/>
              </w:rPr>
            </w:pPr>
            <w:r>
              <w:rPr>
                <w:rFonts w:hint="eastAsia" w:ascii="宋体" w:hAnsi="宋体" w:eastAsia="宋体"/>
                <w:b/>
                <w:bCs/>
                <w:szCs w:val="21"/>
              </w:rPr>
              <w:t>学科素养</w:t>
            </w:r>
          </w:p>
        </w:tc>
        <w:tc>
          <w:tcPr>
            <w:tcW w:w="6089" w:type="dxa"/>
            <w:vAlign w:val="center"/>
          </w:tcPr>
          <w:p w14:paraId="12C8C16C">
            <w:pPr>
              <w:spacing w:line="276" w:lineRule="auto"/>
              <w:jc w:val="left"/>
              <w:rPr>
                <w:rFonts w:hint="eastAsia" w:ascii="宋体" w:hAnsi="宋体" w:eastAsia="宋体" w:cs="Times New Roman"/>
                <w:szCs w:val="21"/>
              </w:rPr>
            </w:pPr>
            <w:r>
              <w:rPr>
                <w:rFonts w:hint="eastAsia" w:ascii="宋体" w:hAnsi="宋体" w:eastAsia="宋体"/>
                <w:b/>
                <w:szCs w:val="21"/>
              </w:rPr>
              <w:t>指标点3-3</w:t>
            </w:r>
            <w:r>
              <w:rPr>
                <w:rFonts w:hint="eastAsia" w:ascii="宋体" w:hAnsi="宋体" w:eastAsia="宋体"/>
                <w:szCs w:val="21"/>
              </w:rPr>
              <w:t>：【注重知识整合】了解所教学科与小学其他学科及与社会实践、小学生生活实践之间的联系，了解学科整合在小学教育中的价值，具有跨学科解决问题的意识和能力，能指导综合性学科教学活动。</w:t>
            </w:r>
          </w:p>
        </w:tc>
        <w:tc>
          <w:tcPr>
            <w:tcW w:w="1327" w:type="dxa"/>
            <w:vAlign w:val="center"/>
          </w:tcPr>
          <w:p w14:paraId="3AB1033B">
            <w:pPr>
              <w:spacing w:line="276" w:lineRule="auto"/>
              <w:jc w:val="left"/>
              <w:rPr>
                <w:rFonts w:hint="eastAsia" w:ascii="宋体" w:hAnsi="宋体" w:eastAsia="宋体" w:cs="Times New Roman"/>
                <w:szCs w:val="21"/>
              </w:rPr>
            </w:pPr>
            <w:r>
              <w:rPr>
                <w:rFonts w:hint="eastAsia" w:ascii="宋体" w:hAnsi="宋体" w:eastAsia="宋体"/>
                <w:szCs w:val="21"/>
              </w:rPr>
              <w:t>课程目标1</w:t>
            </w:r>
          </w:p>
        </w:tc>
      </w:tr>
      <w:tr w14:paraId="313D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2D4E21A3">
            <w:pPr>
              <w:spacing w:line="276" w:lineRule="auto"/>
              <w:jc w:val="center"/>
              <w:rPr>
                <w:rFonts w:hint="eastAsia" w:ascii="宋体" w:hAnsi="宋体" w:eastAsia="宋体"/>
                <w:b/>
                <w:bCs/>
                <w:szCs w:val="21"/>
              </w:rPr>
            </w:pPr>
            <w:r>
              <w:rPr>
                <w:rFonts w:hint="eastAsia" w:ascii="宋体" w:hAnsi="宋体" w:eastAsia="宋体"/>
                <w:b/>
                <w:bCs/>
                <w:szCs w:val="21"/>
              </w:rPr>
              <w:t>毕业要求4</w:t>
            </w:r>
          </w:p>
          <w:p w14:paraId="296D23B0">
            <w:pPr>
              <w:spacing w:line="276" w:lineRule="auto"/>
              <w:jc w:val="center"/>
              <w:rPr>
                <w:rFonts w:hint="eastAsia" w:ascii="宋体" w:hAnsi="宋体" w:eastAsia="宋体" w:cs="Times New Roman"/>
                <w:b/>
                <w:bCs/>
                <w:szCs w:val="21"/>
              </w:rPr>
            </w:pPr>
            <w:r>
              <w:rPr>
                <w:rFonts w:hint="eastAsia" w:ascii="宋体" w:hAnsi="宋体" w:eastAsia="宋体"/>
                <w:b/>
                <w:bCs/>
                <w:szCs w:val="21"/>
              </w:rPr>
              <w:t>教学能力</w:t>
            </w:r>
          </w:p>
        </w:tc>
        <w:tc>
          <w:tcPr>
            <w:tcW w:w="6089" w:type="dxa"/>
          </w:tcPr>
          <w:p w14:paraId="5AFED6A0">
            <w:pPr>
              <w:spacing w:line="276" w:lineRule="auto"/>
              <w:jc w:val="left"/>
              <w:rPr>
                <w:rFonts w:hint="eastAsia" w:ascii="宋体" w:hAnsi="宋体" w:eastAsia="宋体" w:cs="Times New Roman"/>
                <w:szCs w:val="21"/>
              </w:rPr>
            </w:pPr>
            <w:r>
              <w:rPr>
                <w:rFonts w:hint="eastAsia" w:ascii="宋体" w:hAnsi="宋体" w:eastAsia="宋体"/>
                <w:b/>
                <w:szCs w:val="21"/>
              </w:rPr>
              <w:t>指标点4-3</w:t>
            </w:r>
            <w:r>
              <w:rPr>
                <w:rFonts w:hint="eastAsia" w:ascii="宋体" w:hAnsi="宋体" w:eastAsia="宋体"/>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7D7CA119">
            <w:pPr>
              <w:spacing w:line="276" w:lineRule="auto"/>
              <w:jc w:val="left"/>
              <w:rPr>
                <w:rFonts w:hint="eastAsia" w:ascii="宋体" w:hAnsi="宋体" w:eastAsia="宋体" w:cs="Times New Roman"/>
                <w:szCs w:val="21"/>
              </w:rPr>
            </w:pPr>
            <w:r>
              <w:rPr>
                <w:rFonts w:hint="eastAsia" w:ascii="宋体" w:hAnsi="宋体" w:eastAsia="宋体"/>
                <w:szCs w:val="21"/>
              </w:rPr>
              <w:t>课程目标2</w:t>
            </w:r>
          </w:p>
        </w:tc>
      </w:tr>
      <w:tr w14:paraId="6B48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1" w:type="dxa"/>
            <w:vAlign w:val="center"/>
          </w:tcPr>
          <w:p w14:paraId="123F10B9">
            <w:pPr>
              <w:spacing w:line="276" w:lineRule="auto"/>
              <w:jc w:val="center"/>
              <w:rPr>
                <w:rFonts w:hint="eastAsia" w:ascii="宋体" w:hAnsi="宋体" w:eastAsia="宋体"/>
                <w:b/>
                <w:bCs/>
                <w:szCs w:val="21"/>
              </w:rPr>
            </w:pPr>
            <w:r>
              <w:rPr>
                <w:rFonts w:hint="eastAsia" w:ascii="宋体" w:hAnsi="宋体" w:eastAsia="宋体"/>
                <w:b/>
                <w:bCs/>
                <w:szCs w:val="21"/>
              </w:rPr>
              <w:t>毕业要求6</w:t>
            </w:r>
          </w:p>
          <w:p w14:paraId="18715663">
            <w:pPr>
              <w:spacing w:line="276" w:lineRule="auto"/>
              <w:jc w:val="center"/>
              <w:rPr>
                <w:rFonts w:hint="eastAsia" w:ascii="宋体" w:hAnsi="宋体" w:eastAsia="宋体" w:cs="Times New Roman"/>
                <w:b/>
                <w:bCs/>
                <w:szCs w:val="21"/>
              </w:rPr>
            </w:pPr>
            <w:r>
              <w:rPr>
                <w:rFonts w:hint="eastAsia" w:ascii="宋体" w:hAnsi="宋体" w:eastAsia="宋体"/>
                <w:b/>
                <w:bCs/>
                <w:szCs w:val="21"/>
              </w:rPr>
              <w:t>综合育人</w:t>
            </w:r>
          </w:p>
        </w:tc>
        <w:tc>
          <w:tcPr>
            <w:tcW w:w="6089" w:type="dxa"/>
            <w:vAlign w:val="center"/>
          </w:tcPr>
          <w:p w14:paraId="4F0BCAE3">
            <w:pPr>
              <w:spacing w:line="276" w:lineRule="auto"/>
              <w:jc w:val="left"/>
              <w:rPr>
                <w:rFonts w:hint="eastAsia" w:ascii="宋体" w:hAnsi="宋体" w:eastAsia="宋体" w:cs="Times New Roman"/>
                <w:szCs w:val="21"/>
              </w:rPr>
            </w:pPr>
            <w:r>
              <w:rPr>
                <w:rFonts w:hint="eastAsia" w:ascii="宋体" w:hAnsi="宋体" w:eastAsia="宋体" w:cs="宋体"/>
                <w:b/>
                <w:kern w:val="0"/>
                <w:szCs w:val="21"/>
              </w:rPr>
              <w:t>指标点6-2</w:t>
            </w:r>
            <w:r>
              <w:rPr>
                <w:rFonts w:hint="eastAsia" w:ascii="宋体" w:hAnsi="宋体" w:eastAsia="宋体" w:cs="宋体"/>
                <w:szCs w:val="21"/>
              </w:rPr>
              <w:t>：【胜任学科育人】具有教书育人的意识，理解学科核心素养和拟任教学科课程独特的育人功能，在教育教学实践中，能够</w:t>
            </w:r>
            <w:r>
              <w:rPr>
                <w:rFonts w:hint="eastAsia" w:ascii="宋体" w:hAnsi="宋体" w:eastAsia="宋体" w:cs="宋体"/>
                <w:bCs/>
                <w:kern w:val="0"/>
                <w:szCs w:val="21"/>
              </w:rPr>
              <w:t>结合课程内容与特点，挖掘课程的育人要素与资源，合理设计育人目标、主题、内容和活动，将知识学习、能力发展与品德养成有机结合。</w:t>
            </w:r>
          </w:p>
        </w:tc>
        <w:tc>
          <w:tcPr>
            <w:tcW w:w="1327" w:type="dxa"/>
            <w:vAlign w:val="center"/>
          </w:tcPr>
          <w:p w14:paraId="127345C7">
            <w:pPr>
              <w:spacing w:line="276" w:lineRule="auto"/>
              <w:jc w:val="left"/>
              <w:rPr>
                <w:rFonts w:hint="eastAsia" w:ascii="宋体" w:hAnsi="宋体" w:eastAsia="宋体" w:cs="Times New Roman"/>
                <w:szCs w:val="21"/>
              </w:rPr>
            </w:pPr>
            <w:r>
              <w:rPr>
                <w:rFonts w:hint="eastAsia" w:ascii="宋体" w:hAnsi="宋体" w:eastAsia="宋体"/>
                <w:szCs w:val="21"/>
              </w:rPr>
              <w:t>课程目标3</w:t>
            </w:r>
          </w:p>
        </w:tc>
      </w:tr>
    </w:tbl>
    <w:p w14:paraId="5B11D222">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55B74C13">
      <w:pPr>
        <w:spacing w:line="360" w:lineRule="auto"/>
        <w:ind w:firstLine="422" w:firstLineChars="200"/>
        <w:jc w:val="left"/>
        <w:rPr>
          <w:rFonts w:hint="eastAsia" w:ascii="宋体" w:hAnsi="宋体" w:eastAsia="宋体" w:cs="Times New Roman"/>
          <w:szCs w:val="21"/>
        </w:rPr>
      </w:pPr>
      <w:r>
        <w:rPr>
          <w:rFonts w:hint="eastAsia" w:ascii="宋体" w:hAnsi="宋体" w:eastAsia="宋体" w:cs="Times New Roman"/>
          <w:b/>
          <w:bCs/>
          <w:szCs w:val="21"/>
        </w:rPr>
        <w:t>目标1.</w:t>
      </w:r>
      <w:r>
        <w:rPr>
          <w:rFonts w:hint="eastAsia" w:ascii="宋体" w:hAnsi="宋体" w:eastAsia="宋体" w:cs="Times New Roman"/>
          <w:szCs w:val="21"/>
        </w:rPr>
        <w:t xml:space="preserve"> 培养学生的社会责任感和创新精神，理解科技与社会发展的关系，树立正确的价值观念，认识STEAM课程建设在社会变迁与经济发展中的重要作用。</w:t>
      </w:r>
    </w:p>
    <w:p w14:paraId="73EE5A0D">
      <w:pPr>
        <w:spacing w:line="360" w:lineRule="auto"/>
        <w:ind w:firstLine="422" w:firstLineChars="200"/>
        <w:jc w:val="left"/>
        <w:rPr>
          <w:rFonts w:hint="eastAsia" w:ascii="宋体" w:hAnsi="宋体" w:eastAsia="宋体" w:cs="Times New Roman"/>
          <w:szCs w:val="21"/>
        </w:rPr>
      </w:pPr>
      <w:r>
        <w:rPr>
          <w:rFonts w:hint="eastAsia" w:ascii="宋体" w:hAnsi="宋体" w:eastAsia="宋体" w:cs="Times New Roman"/>
          <w:b/>
          <w:bCs/>
          <w:szCs w:val="21"/>
        </w:rPr>
        <w:t>目标2.</w:t>
      </w:r>
      <w:r>
        <w:rPr>
          <w:rFonts w:hint="eastAsia" w:ascii="宋体" w:hAnsi="宋体" w:eastAsia="宋体" w:cs="Times New Roman"/>
          <w:szCs w:val="21"/>
        </w:rPr>
        <w:t xml:space="preserve"> 增强学生的团队合作意识和沟通能力，培养集体荣誉感和协作精神，促进跨学科整合与教学设计中的社会责任感和解决问题的能力。</w:t>
      </w:r>
    </w:p>
    <w:p w14:paraId="1A01AD2B">
      <w:pPr>
        <w:spacing w:line="360" w:lineRule="auto"/>
        <w:ind w:firstLine="422" w:firstLineChars="200"/>
        <w:jc w:val="left"/>
        <w:rPr>
          <w:rFonts w:hint="eastAsia" w:ascii="宋体" w:hAnsi="宋体" w:eastAsia="宋体" w:cs="Times New Roman"/>
          <w:szCs w:val="21"/>
        </w:rPr>
      </w:pPr>
      <w:r>
        <w:rPr>
          <w:rFonts w:hint="eastAsia" w:ascii="宋体" w:hAnsi="宋体" w:eastAsia="宋体" w:cs="Times New Roman"/>
          <w:b/>
          <w:bCs/>
          <w:szCs w:val="21"/>
        </w:rPr>
        <w:t>目标3.</w:t>
      </w:r>
      <w:r>
        <w:rPr>
          <w:rFonts w:hint="eastAsia" w:ascii="宋体" w:hAnsi="宋体" w:eastAsia="宋体" w:cs="Times New Roman"/>
          <w:szCs w:val="21"/>
        </w:rPr>
        <w:t xml:space="preserve"> 引导学生关注可持续发展和环保理念，培养绿色思维和可持续发展的实践能力，促进绿色教育理念在课程设计中的应用。</w:t>
      </w:r>
    </w:p>
    <w:p w14:paraId="4D5D1B9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008"/>
        <w:gridCol w:w="1244"/>
        <w:gridCol w:w="1985"/>
        <w:gridCol w:w="1495"/>
        <w:gridCol w:w="578"/>
      </w:tblGrid>
      <w:tr w14:paraId="6A80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88" w:type="dxa"/>
            <w:vAlign w:val="center"/>
          </w:tcPr>
          <w:p w14:paraId="07F963CE">
            <w:pPr>
              <w:jc w:val="center"/>
              <w:rPr>
                <w:rFonts w:hint="eastAsia" w:ascii="宋体" w:hAnsi="宋体" w:eastAsia="宋体" w:cs="Times New Roman"/>
                <w:b/>
                <w:szCs w:val="21"/>
              </w:rPr>
            </w:pPr>
            <w:r>
              <w:rPr>
                <w:rFonts w:hint="eastAsia" w:ascii="宋体" w:hAnsi="宋体" w:eastAsia="宋体" w:cs="Times New Roman"/>
                <w:b/>
                <w:szCs w:val="21"/>
              </w:rPr>
              <w:t>知识</w:t>
            </w:r>
          </w:p>
          <w:p w14:paraId="05767C6E">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3008" w:type="dxa"/>
            <w:vAlign w:val="center"/>
          </w:tcPr>
          <w:p w14:paraId="2D9029FB">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44" w:type="dxa"/>
            <w:vAlign w:val="center"/>
          </w:tcPr>
          <w:p w14:paraId="0EA7477F">
            <w:pPr>
              <w:jc w:val="center"/>
              <w:rPr>
                <w:rFonts w:hint="eastAsia" w:ascii="宋体" w:hAnsi="宋体" w:eastAsia="宋体" w:cs="Times New Roman"/>
                <w:b/>
                <w:szCs w:val="21"/>
              </w:rPr>
            </w:pPr>
            <w:r>
              <w:rPr>
                <w:rFonts w:hint="eastAsia" w:ascii="宋体" w:hAnsi="宋体" w:eastAsia="宋体" w:cs="Times New Roman"/>
                <w:b/>
                <w:szCs w:val="21"/>
              </w:rPr>
              <w:t>对应</w:t>
            </w:r>
          </w:p>
          <w:p w14:paraId="426E8749">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1985" w:type="dxa"/>
            <w:vAlign w:val="center"/>
          </w:tcPr>
          <w:p w14:paraId="2548E58C">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495" w:type="dxa"/>
            <w:vAlign w:val="center"/>
          </w:tcPr>
          <w:p w14:paraId="789AE028">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578" w:type="dxa"/>
            <w:vAlign w:val="center"/>
          </w:tcPr>
          <w:p w14:paraId="6896567D">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4B87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6FDB1A61">
            <w:pPr>
              <w:spacing w:line="276" w:lineRule="auto"/>
              <w:jc w:val="center"/>
              <w:rPr>
                <w:rFonts w:hint="eastAsia" w:ascii="宋体" w:hAnsi="宋体" w:eastAsia="宋体" w:cs="Times New Roman"/>
                <w:szCs w:val="21"/>
              </w:rPr>
            </w:pPr>
            <w:r>
              <w:rPr>
                <w:rFonts w:hint="eastAsia" w:ascii="宋体" w:hAnsi="宋体" w:eastAsia="宋体"/>
                <w:b/>
                <w:bCs/>
                <w:szCs w:val="21"/>
              </w:rPr>
              <w:t>第一章</w:t>
            </w:r>
            <w:r>
              <w:rPr>
                <w:rFonts w:ascii="宋体" w:hAnsi="宋体" w:eastAsia="宋体"/>
                <w:b/>
                <w:bCs/>
                <w:szCs w:val="21"/>
              </w:rPr>
              <w:t xml:space="preserve"> STEAM </w:t>
            </w:r>
            <w:r>
              <w:rPr>
                <w:rFonts w:hint="eastAsia" w:ascii="宋体" w:hAnsi="宋体" w:eastAsia="宋体"/>
                <w:b/>
                <w:bCs/>
                <w:szCs w:val="21"/>
              </w:rPr>
              <w:t>课程建设概述</w:t>
            </w:r>
          </w:p>
        </w:tc>
        <w:tc>
          <w:tcPr>
            <w:tcW w:w="3008" w:type="dxa"/>
            <w:vAlign w:val="center"/>
          </w:tcPr>
          <w:p w14:paraId="438FE8DC">
            <w:pPr>
              <w:spacing w:line="276" w:lineRule="auto"/>
              <w:jc w:val="left"/>
              <w:rPr>
                <w:rFonts w:hint="eastAsia" w:ascii="宋体" w:hAnsi="宋体" w:eastAsia="宋体" w:cs="Times New Roman"/>
                <w:szCs w:val="21"/>
              </w:rPr>
            </w:pPr>
            <w:r>
              <w:rPr>
                <w:rFonts w:hint="eastAsia" w:ascii="宋体" w:hAnsi="宋体" w:eastAsia="宋体"/>
                <w:szCs w:val="21"/>
              </w:rPr>
              <w:t>（1）STEAM</w:t>
            </w:r>
            <w:r>
              <w:rPr>
                <w:rFonts w:ascii="宋体" w:hAnsi="宋体" w:eastAsia="宋体"/>
                <w:szCs w:val="21"/>
              </w:rPr>
              <w:t xml:space="preserve"> </w:t>
            </w:r>
            <w:r>
              <w:rPr>
                <w:rFonts w:hint="eastAsia" w:ascii="宋体" w:hAnsi="宋体" w:eastAsia="宋体"/>
                <w:szCs w:val="21"/>
              </w:rPr>
              <w:t>课程建设的背景与挑战</w:t>
            </w:r>
            <w:r>
              <w:rPr>
                <w:rFonts w:ascii="宋体" w:hAnsi="宋体" w:eastAsia="宋体"/>
                <w:szCs w:val="21"/>
              </w:rPr>
              <w:br w:type="textWrapping"/>
            </w:r>
            <w:r>
              <w:rPr>
                <w:rFonts w:hint="eastAsia" w:ascii="宋体" w:hAnsi="宋体" w:eastAsia="宋体"/>
                <w:szCs w:val="21"/>
              </w:rPr>
              <w:t>（2）STEAM</w:t>
            </w:r>
            <w:r>
              <w:rPr>
                <w:rFonts w:ascii="宋体" w:hAnsi="宋体" w:eastAsia="宋体"/>
                <w:szCs w:val="21"/>
              </w:rPr>
              <w:t xml:space="preserve"> </w:t>
            </w:r>
            <w:r>
              <w:rPr>
                <w:rFonts w:hint="eastAsia" w:ascii="宋体" w:hAnsi="宋体" w:eastAsia="宋体"/>
                <w:szCs w:val="21"/>
              </w:rPr>
              <w:t>课程建设的本质、模式及特征</w:t>
            </w:r>
            <w:r>
              <w:rPr>
                <w:rFonts w:ascii="宋体" w:hAnsi="宋体" w:eastAsia="宋体"/>
                <w:szCs w:val="21"/>
              </w:rPr>
              <w:br w:type="textWrapping"/>
            </w:r>
            <w:r>
              <w:rPr>
                <w:rFonts w:hint="eastAsia" w:ascii="宋体" w:hAnsi="宋体" w:eastAsia="宋体"/>
                <w:szCs w:val="21"/>
              </w:rPr>
              <w:t>（3）STEAM</w:t>
            </w:r>
            <w:r>
              <w:rPr>
                <w:rFonts w:ascii="宋体" w:hAnsi="宋体" w:eastAsia="宋体"/>
                <w:szCs w:val="21"/>
              </w:rPr>
              <w:t xml:space="preserve"> </w:t>
            </w:r>
            <w:r>
              <w:rPr>
                <w:rFonts w:hint="eastAsia" w:ascii="宋体" w:hAnsi="宋体" w:eastAsia="宋体"/>
                <w:szCs w:val="21"/>
              </w:rPr>
              <w:t>课程建设的问题与对策</w:t>
            </w:r>
          </w:p>
        </w:tc>
        <w:tc>
          <w:tcPr>
            <w:tcW w:w="1244" w:type="dxa"/>
            <w:vAlign w:val="center"/>
          </w:tcPr>
          <w:p w14:paraId="02E50FE0">
            <w:pPr>
              <w:spacing w:line="276" w:lineRule="auto"/>
              <w:jc w:val="center"/>
              <w:rPr>
                <w:rFonts w:hint="eastAsia" w:ascii="宋体" w:hAnsi="宋体" w:eastAsia="宋体" w:cs="Times New Roman"/>
                <w:szCs w:val="21"/>
              </w:rPr>
            </w:pPr>
            <w:r>
              <w:rPr>
                <w:rFonts w:hint="eastAsia" w:ascii="宋体" w:hAnsi="宋体" w:eastAsia="宋体"/>
                <w:szCs w:val="21"/>
              </w:rPr>
              <w:t>目标1</w:t>
            </w:r>
          </w:p>
        </w:tc>
        <w:tc>
          <w:tcPr>
            <w:tcW w:w="1985" w:type="dxa"/>
          </w:tcPr>
          <w:p w14:paraId="289EB096">
            <w:pPr>
              <w:spacing w:line="276" w:lineRule="auto"/>
              <w:jc w:val="left"/>
              <w:rPr>
                <w:rFonts w:hint="eastAsia" w:ascii="宋体" w:hAnsi="宋体" w:eastAsia="宋体" w:cs="Times New Roman"/>
                <w:szCs w:val="21"/>
              </w:rPr>
            </w:pPr>
            <w:r>
              <w:rPr>
                <w:rFonts w:ascii="宋体" w:hAnsi="宋体" w:eastAsia="宋体" w:cs="Times New Roman"/>
                <w:szCs w:val="21"/>
              </w:rPr>
              <w:t>理解STEAM教育的背景与挑战，掌握课程建设的本质和特征，能够识别问题并提出对策</w:t>
            </w:r>
          </w:p>
        </w:tc>
        <w:tc>
          <w:tcPr>
            <w:tcW w:w="1495" w:type="dxa"/>
          </w:tcPr>
          <w:p w14:paraId="6AE92469">
            <w:pPr>
              <w:spacing w:line="276"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课堂讨论</w:t>
            </w:r>
          </w:p>
          <w:p w14:paraId="0D26D0A6">
            <w:pPr>
              <w:spacing w:line="276" w:lineRule="auto"/>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案例分析</w:t>
            </w:r>
          </w:p>
          <w:p w14:paraId="251F3790">
            <w:pPr>
              <w:spacing w:line="276" w:lineRule="auto"/>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小组活动</w:t>
            </w:r>
          </w:p>
        </w:tc>
        <w:tc>
          <w:tcPr>
            <w:tcW w:w="578" w:type="dxa"/>
            <w:vAlign w:val="center"/>
          </w:tcPr>
          <w:p w14:paraId="39A35F30">
            <w:pPr>
              <w:spacing w:line="276" w:lineRule="auto"/>
              <w:jc w:val="center"/>
              <w:rPr>
                <w:rFonts w:hint="eastAsia" w:ascii="宋体" w:hAnsi="宋体" w:eastAsia="宋体" w:cs="Times New Roman"/>
                <w:szCs w:val="21"/>
              </w:rPr>
            </w:pPr>
            <w:r>
              <w:rPr>
                <w:rFonts w:hint="eastAsia" w:ascii="宋体" w:hAnsi="宋体" w:eastAsia="宋体"/>
                <w:szCs w:val="21"/>
              </w:rPr>
              <w:t>2</w:t>
            </w:r>
          </w:p>
        </w:tc>
      </w:tr>
      <w:tr w14:paraId="5CDB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2847E40A">
            <w:pPr>
              <w:spacing w:line="276" w:lineRule="auto"/>
              <w:jc w:val="center"/>
              <w:rPr>
                <w:rFonts w:hint="eastAsia" w:ascii="宋体" w:hAnsi="宋体" w:eastAsia="宋体" w:cs="Times New Roman"/>
                <w:szCs w:val="21"/>
              </w:rPr>
            </w:pPr>
          </w:p>
        </w:tc>
        <w:tc>
          <w:tcPr>
            <w:tcW w:w="8310" w:type="dxa"/>
            <w:gridSpan w:val="5"/>
            <w:vAlign w:val="center"/>
          </w:tcPr>
          <w:p w14:paraId="69041664">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培养学生的社会责任感和创新精神，理解科技与社会发展的关系，树立正确的价值观念，认识STEAM课程建设在社会变迁与经济发展中的重要作用。</w:t>
            </w:r>
          </w:p>
        </w:tc>
      </w:tr>
      <w:tr w14:paraId="3B94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7D3E2F8D">
            <w:pPr>
              <w:spacing w:line="276" w:lineRule="auto"/>
              <w:jc w:val="center"/>
              <w:rPr>
                <w:rFonts w:hint="eastAsia" w:ascii="宋体" w:hAnsi="宋体" w:eastAsia="宋体" w:cs="Times New Roman"/>
                <w:szCs w:val="21"/>
              </w:rPr>
            </w:pPr>
            <w:r>
              <w:rPr>
                <w:rFonts w:hint="eastAsia" w:ascii="宋体" w:hAnsi="宋体" w:eastAsia="宋体"/>
                <w:b/>
                <w:bCs/>
                <w:szCs w:val="21"/>
              </w:rPr>
              <w:t>第二章</w:t>
            </w:r>
            <w:r>
              <w:rPr>
                <w:rFonts w:ascii="宋体" w:hAnsi="宋体" w:eastAsia="宋体"/>
                <w:b/>
                <w:bCs/>
                <w:szCs w:val="21"/>
              </w:rPr>
              <w:t xml:space="preserve"> STEAM </w:t>
            </w:r>
            <w:r>
              <w:rPr>
                <w:rFonts w:hint="eastAsia" w:ascii="宋体" w:hAnsi="宋体" w:eastAsia="宋体"/>
                <w:b/>
                <w:bCs/>
                <w:szCs w:val="21"/>
              </w:rPr>
              <w:t>课程目标设计</w:t>
            </w:r>
          </w:p>
        </w:tc>
        <w:tc>
          <w:tcPr>
            <w:tcW w:w="3008" w:type="dxa"/>
            <w:vAlign w:val="center"/>
          </w:tcPr>
          <w:p w14:paraId="55B32883">
            <w:pPr>
              <w:spacing w:line="276" w:lineRule="auto"/>
              <w:jc w:val="left"/>
              <w:rPr>
                <w:rFonts w:hint="eastAsia" w:ascii="宋体" w:hAnsi="宋体" w:eastAsia="宋体" w:cs="Times New Roman"/>
                <w:szCs w:val="21"/>
              </w:rPr>
            </w:pPr>
            <w:r>
              <w:rPr>
                <w:rFonts w:hint="eastAsia" w:ascii="宋体" w:hAnsi="宋体" w:eastAsia="宋体"/>
                <w:szCs w:val="21"/>
              </w:rPr>
              <w:t>（1）STEAM</w:t>
            </w:r>
            <w:r>
              <w:rPr>
                <w:rFonts w:ascii="宋体" w:hAnsi="宋体" w:eastAsia="宋体"/>
                <w:szCs w:val="21"/>
              </w:rPr>
              <w:t xml:space="preserve"> </w:t>
            </w:r>
            <w:r>
              <w:rPr>
                <w:rFonts w:hint="eastAsia" w:ascii="宋体" w:hAnsi="宋体" w:eastAsia="宋体"/>
                <w:szCs w:val="21"/>
              </w:rPr>
              <w:t>课程目标设计：依据及框架</w:t>
            </w:r>
            <w:r>
              <w:rPr>
                <w:rFonts w:ascii="宋体" w:hAnsi="宋体" w:eastAsia="宋体"/>
                <w:szCs w:val="21"/>
              </w:rPr>
              <w:br w:type="textWrapping"/>
            </w:r>
            <w:r>
              <w:rPr>
                <w:rFonts w:hint="eastAsia" w:ascii="宋体" w:hAnsi="宋体" w:eastAsia="宋体"/>
                <w:szCs w:val="21"/>
              </w:rPr>
              <w:t>（2）STEAM</w:t>
            </w:r>
            <w:r>
              <w:rPr>
                <w:rFonts w:ascii="宋体" w:hAnsi="宋体" w:eastAsia="宋体"/>
                <w:szCs w:val="21"/>
              </w:rPr>
              <w:t xml:space="preserve"> </w:t>
            </w:r>
            <w:r>
              <w:rPr>
                <w:rFonts w:hint="eastAsia" w:ascii="宋体" w:hAnsi="宋体" w:eastAsia="宋体"/>
                <w:szCs w:val="21"/>
              </w:rPr>
              <w:t>课程目标设计：原则及要求</w:t>
            </w:r>
            <w:r>
              <w:rPr>
                <w:rFonts w:ascii="宋体" w:hAnsi="宋体" w:eastAsia="宋体"/>
                <w:szCs w:val="21"/>
              </w:rPr>
              <w:br w:type="textWrapping"/>
            </w:r>
            <w:r>
              <w:rPr>
                <w:rFonts w:hint="eastAsia" w:ascii="宋体" w:hAnsi="宋体" w:eastAsia="宋体"/>
                <w:szCs w:val="21"/>
              </w:rPr>
              <w:t>（3）STEAM</w:t>
            </w:r>
            <w:r>
              <w:rPr>
                <w:rFonts w:ascii="宋体" w:hAnsi="宋体" w:eastAsia="宋体"/>
                <w:szCs w:val="21"/>
              </w:rPr>
              <w:t xml:space="preserve"> </w:t>
            </w:r>
            <w:r>
              <w:rPr>
                <w:rFonts w:hint="eastAsia" w:ascii="宋体" w:hAnsi="宋体" w:eastAsia="宋体"/>
                <w:szCs w:val="21"/>
              </w:rPr>
              <w:t>课程目标设计：案例及示范</w:t>
            </w:r>
          </w:p>
        </w:tc>
        <w:tc>
          <w:tcPr>
            <w:tcW w:w="1244" w:type="dxa"/>
            <w:vAlign w:val="center"/>
          </w:tcPr>
          <w:p w14:paraId="5525FFD5">
            <w:pPr>
              <w:spacing w:line="276" w:lineRule="auto"/>
              <w:jc w:val="center"/>
              <w:rPr>
                <w:rFonts w:hint="eastAsia" w:ascii="宋体" w:hAnsi="宋体" w:eastAsia="宋体" w:cs="Times New Roman"/>
                <w:szCs w:val="21"/>
              </w:rPr>
            </w:pPr>
            <w:r>
              <w:rPr>
                <w:rFonts w:hint="eastAsia" w:ascii="宋体" w:hAnsi="宋体" w:eastAsia="宋体"/>
                <w:szCs w:val="21"/>
              </w:rPr>
              <w:t>目标2</w:t>
            </w:r>
          </w:p>
        </w:tc>
        <w:tc>
          <w:tcPr>
            <w:tcW w:w="1985" w:type="dxa"/>
          </w:tcPr>
          <w:p w14:paraId="2DD46AD8">
            <w:pPr>
              <w:spacing w:line="276" w:lineRule="auto"/>
              <w:jc w:val="left"/>
              <w:rPr>
                <w:rFonts w:hint="eastAsia" w:ascii="宋体" w:hAnsi="宋体" w:eastAsia="宋体" w:cs="Times New Roman"/>
                <w:szCs w:val="21"/>
              </w:rPr>
            </w:pPr>
            <w:r>
              <w:rPr>
                <w:rFonts w:ascii="宋体" w:hAnsi="宋体" w:eastAsia="宋体" w:cs="Times New Roman"/>
                <w:szCs w:val="21"/>
              </w:rPr>
              <w:t>理解课程目标设计的依据和框架，掌握设计原则及要求，能够分析案例并进行示范</w:t>
            </w:r>
          </w:p>
        </w:tc>
        <w:tc>
          <w:tcPr>
            <w:tcW w:w="1495" w:type="dxa"/>
          </w:tcPr>
          <w:p w14:paraId="4913997D">
            <w:pPr>
              <w:spacing w:line="276"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课堂讲解</w:t>
            </w:r>
          </w:p>
          <w:p w14:paraId="0FF43305">
            <w:pPr>
              <w:spacing w:line="276" w:lineRule="auto"/>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小组讨论</w:t>
            </w:r>
          </w:p>
          <w:p w14:paraId="2655FBCB">
            <w:pPr>
              <w:spacing w:line="276" w:lineRule="auto"/>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案例分析</w:t>
            </w:r>
          </w:p>
        </w:tc>
        <w:tc>
          <w:tcPr>
            <w:tcW w:w="578" w:type="dxa"/>
          </w:tcPr>
          <w:p w14:paraId="4BA95E55">
            <w:pPr>
              <w:spacing w:line="276" w:lineRule="auto"/>
              <w:jc w:val="center"/>
              <w:rPr>
                <w:rFonts w:hint="eastAsia" w:ascii="宋体" w:hAnsi="宋体" w:eastAsia="宋体" w:cs="Times New Roman"/>
                <w:szCs w:val="21"/>
              </w:rPr>
            </w:pPr>
            <w:r>
              <w:rPr>
                <w:rFonts w:hint="eastAsia" w:ascii="宋体" w:hAnsi="宋体" w:eastAsia="宋体"/>
                <w:szCs w:val="21"/>
              </w:rPr>
              <w:t>3+2</w:t>
            </w:r>
          </w:p>
        </w:tc>
      </w:tr>
      <w:tr w14:paraId="50BA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532CFB1F">
            <w:pPr>
              <w:spacing w:line="276" w:lineRule="auto"/>
              <w:jc w:val="center"/>
              <w:rPr>
                <w:rFonts w:hint="eastAsia" w:ascii="宋体" w:hAnsi="宋体" w:eastAsia="宋体" w:cs="Times New Roman"/>
                <w:szCs w:val="21"/>
              </w:rPr>
            </w:pPr>
          </w:p>
        </w:tc>
        <w:tc>
          <w:tcPr>
            <w:tcW w:w="8310" w:type="dxa"/>
            <w:gridSpan w:val="5"/>
            <w:vAlign w:val="center"/>
          </w:tcPr>
          <w:p w14:paraId="7FAAA64E">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增强学生的团队合作意识和沟通能力，培养集体荣誉感和协作精神，促进跨学科整合与教学设计中的社会责任感和解决问题的能力。</w:t>
            </w:r>
          </w:p>
        </w:tc>
      </w:tr>
      <w:tr w14:paraId="1EA5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302B6CCF">
            <w:pPr>
              <w:spacing w:line="276" w:lineRule="auto"/>
              <w:jc w:val="center"/>
              <w:rPr>
                <w:rFonts w:hint="eastAsia" w:ascii="宋体" w:hAnsi="宋体" w:eastAsia="宋体" w:cs="Times New Roman"/>
                <w:szCs w:val="21"/>
              </w:rPr>
            </w:pPr>
            <w:r>
              <w:rPr>
                <w:rFonts w:hint="eastAsia" w:ascii="宋体" w:hAnsi="宋体" w:eastAsia="宋体"/>
                <w:b/>
                <w:bCs/>
                <w:szCs w:val="21"/>
              </w:rPr>
              <w:t>第三章</w:t>
            </w:r>
            <w:r>
              <w:rPr>
                <w:rFonts w:ascii="宋体" w:hAnsi="宋体" w:eastAsia="宋体"/>
                <w:b/>
                <w:bCs/>
                <w:szCs w:val="21"/>
              </w:rPr>
              <w:t xml:space="preserve"> STEAM </w:t>
            </w:r>
            <w:r>
              <w:rPr>
                <w:rFonts w:hint="eastAsia" w:ascii="宋体" w:hAnsi="宋体" w:eastAsia="宋体"/>
                <w:b/>
                <w:bCs/>
                <w:szCs w:val="21"/>
              </w:rPr>
              <w:t>课程内容开发</w:t>
            </w:r>
          </w:p>
          <w:p w14:paraId="0CFA1CC4">
            <w:pPr>
              <w:spacing w:line="276" w:lineRule="auto"/>
              <w:jc w:val="center"/>
              <w:rPr>
                <w:rFonts w:hint="eastAsia" w:ascii="宋体" w:hAnsi="宋体" w:eastAsia="宋体" w:cs="Times New Roman"/>
                <w:szCs w:val="21"/>
              </w:rPr>
            </w:pPr>
          </w:p>
          <w:p w14:paraId="722E3D54">
            <w:pPr>
              <w:spacing w:line="276" w:lineRule="auto"/>
              <w:rPr>
                <w:rFonts w:hint="eastAsia" w:ascii="宋体" w:hAnsi="宋体" w:eastAsia="宋体" w:cs="Times New Roman"/>
                <w:szCs w:val="21"/>
              </w:rPr>
            </w:pPr>
          </w:p>
        </w:tc>
        <w:tc>
          <w:tcPr>
            <w:tcW w:w="3008" w:type="dxa"/>
            <w:vAlign w:val="center"/>
          </w:tcPr>
          <w:p w14:paraId="72F3AD35">
            <w:pPr>
              <w:spacing w:line="276" w:lineRule="auto"/>
              <w:jc w:val="left"/>
              <w:rPr>
                <w:rFonts w:hint="eastAsia" w:ascii="宋体" w:hAnsi="宋体" w:eastAsia="宋体" w:cs="Times New Roman"/>
                <w:szCs w:val="21"/>
              </w:rPr>
            </w:pPr>
            <w:r>
              <w:rPr>
                <w:rFonts w:hint="eastAsia" w:ascii="宋体" w:hAnsi="宋体" w:eastAsia="宋体"/>
                <w:szCs w:val="21"/>
              </w:rPr>
              <w:t>（1）STEAM</w:t>
            </w:r>
            <w:r>
              <w:rPr>
                <w:rFonts w:ascii="宋体" w:hAnsi="宋体" w:eastAsia="宋体"/>
                <w:szCs w:val="21"/>
              </w:rPr>
              <w:t xml:space="preserve"> </w:t>
            </w:r>
            <w:r>
              <w:rPr>
                <w:rFonts w:hint="eastAsia" w:ascii="宋体" w:hAnsi="宋体" w:eastAsia="宋体"/>
                <w:szCs w:val="21"/>
              </w:rPr>
              <w:t>课程内容开发原则</w:t>
            </w:r>
            <w:r>
              <w:rPr>
                <w:rFonts w:ascii="宋体" w:hAnsi="宋体" w:eastAsia="宋体"/>
                <w:szCs w:val="21"/>
              </w:rPr>
              <w:br w:type="textWrapping"/>
            </w:r>
            <w:r>
              <w:rPr>
                <w:rFonts w:hint="eastAsia" w:ascii="宋体" w:hAnsi="宋体" w:eastAsia="宋体"/>
                <w:szCs w:val="21"/>
              </w:rPr>
              <w:t>（2）STEAM</w:t>
            </w:r>
            <w:r>
              <w:rPr>
                <w:rFonts w:ascii="宋体" w:hAnsi="宋体" w:eastAsia="宋体"/>
                <w:szCs w:val="21"/>
              </w:rPr>
              <w:t xml:space="preserve"> </w:t>
            </w:r>
            <w:r>
              <w:rPr>
                <w:rFonts w:hint="eastAsia" w:ascii="宋体" w:hAnsi="宋体" w:eastAsia="宋体"/>
                <w:szCs w:val="21"/>
              </w:rPr>
              <w:t>课程内容来源与转化</w:t>
            </w:r>
            <w:r>
              <w:rPr>
                <w:rFonts w:ascii="宋体" w:hAnsi="宋体" w:eastAsia="宋体"/>
                <w:szCs w:val="21"/>
              </w:rPr>
              <w:br w:type="textWrapping"/>
            </w:r>
            <w:r>
              <w:rPr>
                <w:rFonts w:hint="eastAsia" w:ascii="宋体" w:hAnsi="宋体" w:eastAsia="宋体"/>
                <w:szCs w:val="21"/>
              </w:rPr>
              <w:t>（3）STEAM</w:t>
            </w:r>
            <w:r>
              <w:rPr>
                <w:rFonts w:ascii="宋体" w:hAnsi="宋体" w:eastAsia="宋体"/>
                <w:szCs w:val="21"/>
              </w:rPr>
              <w:t xml:space="preserve"> </w:t>
            </w:r>
            <w:r>
              <w:rPr>
                <w:rFonts w:hint="eastAsia" w:ascii="宋体" w:hAnsi="宋体" w:eastAsia="宋体"/>
                <w:szCs w:val="21"/>
              </w:rPr>
              <w:t>课程内容组织与呈现</w:t>
            </w:r>
          </w:p>
        </w:tc>
        <w:tc>
          <w:tcPr>
            <w:tcW w:w="1244" w:type="dxa"/>
            <w:vAlign w:val="center"/>
          </w:tcPr>
          <w:p w14:paraId="0948C776">
            <w:pPr>
              <w:spacing w:line="276" w:lineRule="auto"/>
              <w:jc w:val="center"/>
              <w:rPr>
                <w:rFonts w:hint="eastAsia" w:ascii="宋体" w:hAnsi="宋体" w:eastAsia="宋体" w:cs="Times New Roman"/>
                <w:szCs w:val="21"/>
              </w:rPr>
            </w:pPr>
            <w:r>
              <w:rPr>
                <w:rFonts w:hint="eastAsia" w:ascii="宋体" w:hAnsi="宋体" w:eastAsia="宋体"/>
                <w:szCs w:val="21"/>
              </w:rPr>
              <w:t>目标1、3</w:t>
            </w:r>
          </w:p>
        </w:tc>
        <w:tc>
          <w:tcPr>
            <w:tcW w:w="1985" w:type="dxa"/>
            <w:vAlign w:val="center"/>
          </w:tcPr>
          <w:p w14:paraId="4818C16C">
            <w:pPr>
              <w:spacing w:line="276" w:lineRule="auto"/>
              <w:jc w:val="left"/>
              <w:rPr>
                <w:rFonts w:hint="eastAsia" w:ascii="宋体" w:hAnsi="宋体" w:eastAsia="宋体" w:cs="Times New Roman"/>
                <w:szCs w:val="21"/>
              </w:rPr>
            </w:pPr>
            <w:r>
              <w:rPr>
                <w:rFonts w:ascii="宋体" w:hAnsi="宋体" w:eastAsia="宋体" w:cs="Times New Roman"/>
                <w:szCs w:val="21"/>
              </w:rPr>
              <w:t>理解课程内容开发的基本原则，掌握内容来源与转化的方法，能够有效组织和呈现课程内容</w:t>
            </w:r>
          </w:p>
        </w:tc>
        <w:tc>
          <w:tcPr>
            <w:tcW w:w="1495" w:type="dxa"/>
            <w:vAlign w:val="center"/>
          </w:tcPr>
          <w:p w14:paraId="78C137FA">
            <w:pPr>
              <w:spacing w:line="276" w:lineRule="auto"/>
              <w:jc w:val="left"/>
              <w:rPr>
                <w:rFonts w:hint="eastAsia" w:ascii="宋体" w:hAnsi="宋体" w:eastAsia="宋体" w:cs="Times New Roman"/>
                <w:szCs w:val="21"/>
              </w:rPr>
            </w:pPr>
            <w:r>
              <w:rPr>
                <w:rFonts w:ascii="宋体" w:hAnsi="宋体" w:eastAsia="宋体"/>
              </w:rPr>
              <w:t>1.</w:t>
            </w:r>
            <w:r>
              <w:rPr>
                <w:rFonts w:hint="eastAsia" w:ascii="宋体" w:hAnsi="宋体" w:eastAsia="宋体"/>
              </w:rPr>
              <w:t>多媒体学习</w:t>
            </w:r>
            <w:r>
              <w:rPr>
                <w:rFonts w:ascii="宋体" w:hAnsi="宋体" w:eastAsia="宋体"/>
              </w:rPr>
              <w:br w:type="textWrapping"/>
            </w:r>
            <w:r>
              <w:rPr>
                <w:rFonts w:ascii="宋体" w:hAnsi="宋体" w:eastAsia="宋体" w:cs="Times New Roman"/>
                <w:szCs w:val="21"/>
              </w:rPr>
              <w:t xml:space="preserve">2.小组讨论 </w:t>
            </w:r>
          </w:p>
          <w:p w14:paraId="278D79AB">
            <w:pPr>
              <w:spacing w:line="276" w:lineRule="auto"/>
              <w:jc w:val="left"/>
              <w:rPr>
                <w:rFonts w:hint="eastAsia" w:ascii="宋体" w:hAnsi="宋体" w:eastAsia="宋体"/>
              </w:rPr>
            </w:pPr>
            <w:r>
              <w:rPr>
                <w:rFonts w:ascii="宋体" w:hAnsi="宋体" w:eastAsia="宋体" w:cs="Times New Roman"/>
                <w:szCs w:val="21"/>
              </w:rPr>
              <w:t>3.</w:t>
            </w:r>
            <w:r>
              <w:rPr>
                <w:rFonts w:ascii="宋体" w:hAnsi="宋体" w:eastAsia="宋体"/>
              </w:rPr>
              <w:t>调研展示</w:t>
            </w:r>
          </w:p>
          <w:p w14:paraId="798154BB">
            <w:pPr>
              <w:spacing w:line="276" w:lineRule="auto"/>
              <w:jc w:val="left"/>
              <w:rPr>
                <w:rFonts w:hint="eastAsia" w:ascii="宋体" w:hAnsi="宋体" w:eastAsia="宋体" w:cs="Times New Roman"/>
                <w:szCs w:val="21"/>
              </w:rPr>
            </w:pPr>
            <w:r>
              <w:rPr>
                <w:rFonts w:ascii="宋体" w:hAnsi="宋体" w:eastAsia="宋体" w:cs="Times New Roman"/>
                <w:szCs w:val="21"/>
              </w:rPr>
              <w:t>4.案例分析</w:t>
            </w:r>
          </w:p>
        </w:tc>
        <w:tc>
          <w:tcPr>
            <w:tcW w:w="578" w:type="dxa"/>
            <w:vAlign w:val="center"/>
          </w:tcPr>
          <w:p w14:paraId="719C924D">
            <w:pPr>
              <w:spacing w:line="276" w:lineRule="auto"/>
              <w:jc w:val="center"/>
              <w:rPr>
                <w:rFonts w:hint="eastAsia" w:ascii="宋体" w:hAnsi="宋体" w:eastAsia="宋体" w:cs="Times New Roman"/>
                <w:szCs w:val="21"/>
              </w:rPr>
            </w:pPr>
            <w:r>
              <w:rPr>
                <w:rFonts w:hint="eastAsia" w:ascii="宋体" w:hAnsi="宋体" w:eastAsia="宋体" w:cs="Times New Roman"/>
                <w:szCs w:val="21"/>
              </w:rPr>
              <w:t>3+3</w:t>
            </w:r>
          </w:p>
        </w:tc>
      </w:tr>
      <w:tr w14:paraId="3B57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4ED0EF83">
            <w:pPr>
              <w:spacing w:line="276" w:lineRule="auto"/>
              <w:jc w:val="center"/>
              <w:rPr>
                <w:rFonts w:hint="eastAsia" w:ascii="宋体" w:hAnsi="宋体" w:eastAsia="宋体" w:cs="Times New Roman"/>
                <w:szCs w:val="21"/>
              </w:rPr>
            </w:pPr>
          </w:p>
        </w:tc>
        <w:tc>
          <w:tcPr>
            <w:tcW w:w="8310" w:type="dxa"/>
            <w:gridSpan w:val="5"/>
            <w:vAlign w:val="center"/>
          </w:tcPr>
          <w:p w14:paraId="40814C42">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引导学生关注可持续发展和环保理念，培养绿色思维和可持续发展的实践能力，促进绿色教育理念在课程设计中的应用。</w:t>
            </w:r>
          </w:p>
        </w:tc>
      </w:tr>
      <w:tr w14:paraId="3FE4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1E5A586A">
            <w:pPr>
              <w:spacing w:line="276" w:lineRule="auto"/>
              <w:jc w:val="center"/>
              <w:rPr>
                <w:rFonts w:hint="eastAsia" w:ascii="宋体" w:hAnsi="宋体" w:eastAsia="宋体" w:cs="Times New Roman"/>
                <w:szCs w:val="21"/>
              </w:rPr>
            </w:pPr>
            <w:r>
              <w:rPr>
                <w:rFonts w:hint="eastAsia" w:ascii="宋体" w:hAnsi="宋体" w:eastAsia="宋体"/>
                <w:b/>
                <w:bCs/>
                <w:szCs w:val="21"/>
              </w:rPr>
              <w:t>第四章</w:t>
            </w:r>
            <w:r>
              <w:rPr>
                <w:rFonts w:ascii="宋体" w:hAnsi="宋体" w:eastAsia="宋体"/>
                <w:b/>
                <w:bCs/>
                <w:szCs w:val="21"/>
              </w:rPr>
              <w:t xml:space="preserve"> STEAM </w:t>
            </w:r>
            <w:r>
              <w:rPr>
                <w:rFonts w:hint="eastAsia" w:ascii="宋体" w:hAnsi="宋体" w:eastAsia="宋体"/>
                <w:b/>
                <w:bCs/>
                <w:szCs w:val="21"/>
              </w:rPr>
              <w:t>课程评价</w:t>
            </w:r>
          </w:p>
        </w:tc>
        <w:tc>
          <w:tcPr>
            <w:tcW w:w="3008" w:type="dxa"/>
          </w:tcPr>
          <w:p w14:paraId="0AFE9DDF">
            <w:pPr>
              <w:spacing w:line="276" w:lineRule="auto"/>
              <w:jc w:val="left"/>
              <w:rPr>
                <w:rFonts w:hint="eastAsia" w:ascii="宋体" w:hAnsi="宋体" w:eastAsia="宋体" w:cs="Times New Roman"/>
                <w:szCs w:val="21"/>
              </w:rPr>
            </w:pPr>
            <w:r>
              <w:rPr>
                <w:rFonts w:hint="eastAsia" w:ascii="宋体" w:hAnsi="宋体" w:eastAsia="宋体"/>
                <w:szCs w:val="21"/>
              </w:rPr>
              <w:t>（1）STEAM</w:t>
            </w:r>
            <w:r>
              <w:rPr>
                <w:rFonts w:ascii="宋体" w:hAnsi="宋体" w:eastAsia="宋体"/>
                <w:szCs w:val="21"/>
              </w:rPr>
              <w:t xml:space="preserve"> </w:t>
            </w:r>
            <w:r>
              <w:rPr>
                <w:rFonts w:hint="eastAsia" w:ascii="宋体" w:hAnsi="宋体" w:eastAsia="宋体"/>
                <w:szCs w:val="21"/>
              </w:rPr>
              <w:t>课程评价的特点和原则</w:t>
            </w:r>
            <w:r>
              <w:rPr>
                <w:rFonts w:ascii="宋体" w:hAnsi="宋体" w:eastAsia="宋体"/>
                <w:szCs w:val="21"/>
              </w:rPr>
              <w:br w:type="textWrapping"/>
            </w:r>
            <w:r>
              <w:rPr>
                <w:rFonts w:hint="eastAsia" w:ascii="宋体" w:hAnsi="宋体" w:eastAsia="宋体"/>
                <w:szCs w:val="21"/>
              </w:rPr>
              <w:t>（2）对课程的评价：提升教师课程知能</w:t>
            </w:r>
            <w:r>
              <w:rPr>
                <w:rFonts w:ascii="宋体" w:hAnsi="宋体" w:eastAsia="宋体"/>
                <w:szCs w:val="21"/>
              </w:rPr>
              <w:br w:type="textWrapping"/>
            </w:r>
            <w:r>
              <w:rPr>
                <w:rFonts w:hint="eastAsia" w:ascii="宋体" w:hAnsi="宋体" w:eastAsia="宋体"/>
                <w:szCs w:val="21"/>
              </w:rPr>
              <w:t>（3）对学生的评价：促进学生全面发展</w:t>
            </w:r>
          </w:p>
        </w:tc>
        <w:tc>
          <w:tcPr>
            <w:tcW w:w="1244" w:type="dxa"/>
            <w:vAlign w:val="center"/>
          </w:tcPr>
          <w:p w14:paraId="64FB32CD">
            <w:pPr>
              <w:spacing w:line="276" w:lineRule="auto"/>
              <w:jc w:val="center"/>
              <w:rPr>
                <w:rFonts w:hint="eastAsia" w:ascii="宋体" w:hAnsi="宋体" w:eastAsia="宋体" w:cs="Times New Roman"/>
                <w:szCs w:val="21"/>
              </w:rPr>
            </w:pPr>
            <w:r>
              <w:rPr>
                <w:rFonts w:hint="eastAsia" w:ascii="宋体" w:hAnsi="宋体" w:eastAsia="宋体"/>
                <w:szCs w:val="21"/>
              </w:rPr>
              <w:t>目标3</w:t>
            </w:r>
          </w:p>
        </w:tc>
        <w:tc>
          <w:tcPr>
            <w:tcW w:w="1985" w:type="dxa"/>
            <w:vAlign w:val="center"/>
          </w:tcPr>
          <w:p w14:paraId="13D8C48F">
            <w:pPr>
              <w:spacing w:line="276" w:lineRule="auto"/>
              <w:jc w:val="left"/>
              <w:rPr>
                <w:rFonts w:hint="eastAsia" w:ascii="宋体" w:hAnsi="宋体" w:eastAsia="宋体" w:cs="Times New Roman"/>
                <w:szCs w:val="21"/>
              </w:rPr>
            </w:pPr>
            <w:r>
              <w:rPr>
                <w:rFonts w:ascii="宋体" w:hAnsi="宋体" w:eastAsia="宋体" w:cs="Times New Roman"/>
                <w:szCs w:val="21"/>
              </w:rPr>
              <w:t>理解课程评价的特点和原则，掌握教师自我评价方法，能够设计有效的学生评价体系</w:t>
            </w:r>
          </w:p>
        </w:tc>
        <w:tc>
          <w:tcPr>
            <w:tcW w:w="1495" w:type="dxa"/>
            <w:vAlign w:val="center"/>
          </w:tcPr>
          <w:p w14:paraId="7DF94C81">
            <w:pPr>
              <w:spacing w:line="276" w:lineRule="auto"/>
              <w:jc w:val="left"/>
              <w:rPr>
                <w:rFonts w:hint="eastAsia" w:ascii="宋体" w:hAnsi="宋体" w:eastAsia="宋体"/>
              </w:rPr>
            </w:pPr>
            <w:r>
              <w:rPr>
                <w:rFonts w:ascii="宋体" w:hAnsi="宋体" w:eastAsia="宋体"/>
              </w:rPr>
              <w:t>1.评价案例分析</w:t>
            </w:r>
          </w:p>
          <w:p w14:paraId="5FF8F7A8">
            <w:pPr>
              <w:spacing w:line="276" w:lineRule="auto"/>
              <w:jc w:val="left"/>
              <w:rPr>
                <w:rFonts w:hint="eastAsia" w:ascii="宋体" w:hAnsi="宋体" w:eastAsia="宋体"/>
              </w:rPr>
            </w:pPr>
            <w:r>
              <w:rPr>
                <w:rFonts w:hint="eastAsia" w:ascii="宋体" w:hAnsi="宋体" w:eastAsia="宋体"/>
              </w:rPr>
              <w:t>2</w:t>
            </w:r>
            <w:r>
              <w:rPr>
                <w:rFonts w:ascii="宋体" w:hAnsi="宋体" w:eastAsia="宋体"/>
              </w:rPr>
              <w:t>.评价工具制作</w:t>
            </w:r>
          </w:p>
          <w:p w14:paraId="6D41DF8A">
            <w:pPr>
              <w:spacing w:line="276" w:lineRule="auto"/>
              <w:jc w:val="left"/>
              <w:rPr>
                <w:rFonts w:hint="eastAsia" w:ascii="宋体" w:hAnsi="宋体" w:eastAsia="宋体" w:cs="Times New Roman"/>
                <w:szCs w:val="21"/>
              </w:rPr>
            </w:pPr>
            <w:r>
              <w:rPr>
                <w:rFonts w:hint="eastAsia" w:ascii="宋体" w:hAnsi="宋体" w:eastAsia="宋体"/>
              </w:rPr>
              <w:t>3</w:t>
            </w:r>
            <w:r>
              <w:rPr>
                <w:rFonts w:ascii="宋体" w:hAnsi="宋体" w:eastAsia="宋体"/>
              </w:rPr>
              <w:t>.反馈改进</w:t>
            </w:r>
            <w:r>
              <w:rPr>
                <w:rFonts w:hint="eastAsia" w:ascii="宋体" w:hAnsi="宋体" w:eastAsia="宋体"/>
              </w:rPr>
              <w:t>机制</w:t>
            </w:r>
          </w:p>
        </w:tc>
        <w:tc>
          <w:tcPr>
            <w:tcW w:w="578" w:type="dxa"/>
            <w:vAlign w:val="center"/>
          </w:tcPr>
          <w:p w14:paraId="1329A679">
            <w:pPr>
              <w:spacing w:line="276" w:lineRule="auto"/>
              <w:jc w:val="center"/>
              <w:rPr>
                <w:rFonts w:hint="eastAsia" w:ascii="宋体" w:hAnsi="宋体" w:eastAsia="宋体" w:cs="Times New Roman"/>
                <w:szCs w:val="21"/>
              </w:rPr>
            </w:pPr>
            <w:r>
              <w:rPr>
                <w:rFonts w:hint="eastAsia" w:ascii="宋体" w:hAnsi="宋体" w:eastAsia="宋体" w:cs="Times New Roman"/>
                <w:szCs w:val="21"/>
              </w:rPr>
              <w:t>3+3</w:t>
            </w:r>
          </w:p>
        </w:tc>
      </w:tr>
      <w:tr w14:paraId="36F6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30CB0CFE">
            <w:pPr>
              <w:spacing w:line="276" w:lineRule="auto"/>
              <w:jc w:val="center"/>
              <w:rPr>
                <w:rFonts w:hint="eastAsia" w:ascii="宋体" w:hAnsi="宋体" w:eastAsia="宋体" w:cs="Times New Roman"/>
                <w:szCs w:val="21"/>
              </w:rPr>
            </w:pPr>
          </w:p>
        </w:tc>
        <w:tc>
          <w:tcPr>
            <w:tcW w:w="8310" w:type="dxa"/>
            <w:gridSpan w:val="5"/>
            <w:vAlign w:val="center"/>
          </w:tcPr>
          <w:p w14:paraId="78BE48A8">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引导学生关注可持续发展和环保理念，培养绿色思维和可持续发展的实践能力，促进绿色教育理念在课程设计中的应用。</w:t>
            </w:r>
          </w:p>
        </w:tc>
      </w:tr>
      <w:tr w14:paraId="40FD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vAlign w:val="center"/>
          </w:tcPr>
          <w:p w14:paraId="22FA12EE">
            <w:pPr>
              <w:spacing w:line="276" w:lineRule="auto"/>
              <w:jc w:val="center"/>
              <w:rPr>
                <w:rFonts w:hint="eastAsia" w:ascii="宋体" w:hAnsi="宋体" w:eastAsia="宋体" w:cs="Times New Roman"/>
                <w:szCs w:val="21"/>
              </w:rPr>
            </w:pPr>
            <w:r>
              <w:rPr>
                <w:rFonts w:hint="eastAsia" w:ascii="宋体" w:hAnsi="宋体" w:eastAsia="宋体"/>
                <w:b/>
                <w:bCs/>
                <w:szCs w:val="21"/>
              </w:rPr>
              <w:t>第五章</w:t>
            </w:r>
            <w:r>
              <w:rPr>
                <w:rFonts w:ascii="宋体" w:hAnsi="宋体" w:eastAsia="宋体"/>
                <w:b/>
                <w:bCs/>
                <w:szCs w:val="21"/>
              </w:rPr>
              <w:t xml:space="preserve"> STEAM </w:t>
            </w:r>
            <w:r>
              <w:rPr>
                <w:rFonts w:hint="eastAsia" w:ascii="宋体" w:hAnsi="宋体" w:eastAsia="宋体"/>
                <w:b/>
                <w:bCs/>
                <w:szCs w:val="21"/>
              </w:rPr>
              <w:t>课程设计与实施案例</w:t>
            </w:r>
          </w:p>
        </w:tc>
        <w:tc>
          <w:tcPr>
            <w:tcW w:w="3008" w:type="dxa"/>
          </w:tcPr>
          <w:p w14:paraId="6EB4E90F">
            <w:pPr>
              <w:spacing w:line="276" w:lineRule="auto"/>
              <w:jc w:val="left"/>
              <w:rPr>
                <w:rFonts w:hint="eastAsia" w:ascii="宋体" w:hAnsi="宋体" w:eastAsia="宋体" w:cs="Times New Roman"/>
                <w:szCs w:val="21"/>
              </w:rPr>
            </w:pPr>
            <w:r>
              <w:rPr>
                <w:rFonts w:hint="eastAsia" w:ascii="宋体" w:hAnsi="宋体" w:eastAsia="宋体"/>
                <w:szCs w:val="21"/>
              </w:rPr>
              <w:t>（1）创意设计与科技结合——设计制作互动艺术装置</w:t>
            </w:r>
            <w:r>
              <w:rPr>
                <w:rFonts w:ascii="宋体" w:hAnsi="宋体" w:eastAsia="宋体"/>
                <w:szCs w:val="21"/>
              </w:rPr>
              <w:br w:type="textWrapping"/>
            </w:r>
            <w:r>
              <w:rPr>
                <w:rFonts w:hint="eastAsia" w:ascii="宋体" w:hAnsi="宋体" w:eastAsia="宋体"/>
                <w:szCs w:val="21"/>
              </w:rPr>
              <w:t>（2）环境艺术与工程技术——设计一种智能环境监测艺术装置</w:t>
            </w:r>
            <w:r>
              <w:rPr>
                <w:rFonts w:ascii="宋体" w:hAnsi="宋体" w:eastAsia="宋体"/>
                <w:szCs w:val="21"/>
              </w:rPr>
              <w:br w:type="textWrapping"/>
            </w:r>
            <w:r>
              <w:rPr>
                <w:rFonts w:hint="eastAsia" w:ascii="宋体" w:hAnsi="宋体" w:eastAsia="宋体"/>
                <w:szCs w:val="21"/>
              </w:rPr>
              <w:t>（3）艺术与生物技术融合——设计与搭建生态艺术系统</w:t>
            </w:r>
          </w:p>
        </w:tc>
        <w:tc>
          <w:tcPr>
            <w:tcW w:w="1244" w:type="dxa"/>
            <w:vAlign w:val="center"/>
          </w:tcPr>
          <w:p w14:paraId="2D5DD1EC">
            <w:pPr>
              <w:spacing w:line="276" w:lineRule="auto"/>
              <w:jc w:val="center"/>
              <w:rPr>
                <w:rFonts w:hint="eastAsia" w:ascii="宋体" w:hAnsi="宋体" w:eastAsia="宋体" w:cs="Times New Roman"/>
                <w:szCs w:val="21"/>
              </w:rPr>
            </w:pPr>
            <w:r>
              <w:rPr>
                <w:rFonts w:hint="eastAsia" w:ascii="宋体" w:hAnsi="宋体" w:eastAsia="宋体"/>
                <w:szCs w:val="21"/>
              </w:rPr>
              <w:t>目标1、3</w:t>
            </w:r>
          </w:p>
        </w:tc>
        <w:tc>
          <w:tcPr>
            <w:tcW w:w="1985" w:type="dxa"/>
            <w:vAlign w:val="center"/>
          </w:tcPr>
          <w:p w14:paraId="034B0CC0">
            <w:pPr>
              <w:spacing w:line="276" w:lineRule="auto"/>
              <w:jc w:val="left"/>
              <w:rPr>
                <w:rFonts w:hint="eastAsia" w:ascii="宋体" w:hAnsi="宋体" w:eastAsia="宋体" w:cs="Times New Roman"/>
                <w:szCs w:val="21"/>
              </w:rPr>
            </w:pPr>
            <w:r>
              <w:rPr>
                <w:rFonts w:ascii="宋体" w:hAnsi="宋体" w:eastAsia="宋体" w:cs="Times New Roman"/>
                <w:szCs w:val="21"/>
              </w:rPr>
              <w:t>理解创意设计与科技、环境艺术与工程技术、艺术与生物技术的融合方法，能够进行跨学科的创新设计</w:t>
            </w:r>
          </w:p>
        </w:tc>
        <w:tc>
          <w:tcPr>
            <w:tcW w:w="1495" w:type="dxa"/>
            <w:vAlign w:val="center"/>
          </w:tcPr>
          <w:p w14:paraId="7134D632">
            <w:pPr>
              <w:spacing w:line="276" w:lineRule="auto"/>
              <w:jc w:val="left"/>
              <w:rPr>
                <w:rFonts w:hint="eastAsia" w:ascii="宋体" w:hAnsi="宋体" w:eastAsia="宋体"/>
              </w:rPr>
            </w:pPr>
            <w:r>
              <w:rPr>
                <w:rFonts w:ascii="宋体" w:hAnsi="宋体" w:eastAsia="宋体"/>
              </w:rPr>
              <w:t>1.</w:t>
            </w:r>
            <w:r>
              <w:rPr>
                <w:rFonts w:hint="eastAsia" w:ascii="宋体" w:hAnsi="宋体" w:eastAsia="宋体"/>
              </w:rPr>
              <w:t>小组</w:t>
            </w:r>
            <w:r>
              <w:rPr>
                <w:rFonts w:ascii="宋体" w:hAnsi="宋体" w:eastAsia="宋体"/>
              </w:rPr>
              <w:t xml:space="preserve">讨论 </w:t>
            </w:r>
          </w:p>
          <w:p w14:paraId="130A4211">
            <w:pPr>
              <w:spacing w:line="276" w:lineRule="auto"/>
              <w:jc w:val="left"/>
              <w:rPr>
                <w:rFonts w:hint="eastAsia" w:ascii="宋体" w:hAnsi="宋体" w:eastAsia="宋体"/>
              </w:rPr>
            </w:pPr>
            <w:r>
              <w:rPr>
                <w:rFonts w:ascii="宋体" w:hAnsi="宋体" w:eastAsia="宋体"/>
              </w:rPr>
              <w:t xml:space="preserve">2.方案展示 </w:t>
            </w:r>
          </w:p>
          <w:p w14:paraId="0B9540FF">
            <w:pPr>
              <w:spacing w:line="276" w:lineRule="auto"/>
              <w:jc w:val="left"/>
              <w:rPr>
                <w:rFonts w:hint="eastAsia" w:ascii="宋体" w:hAnsi="宋体" w:eastAsia="宋体"/>
              </w:rPr>
            </w:pPr>
            <w:r>
              <w:rPr>
                <w:rFonts w:ascii="宋体" w:hAnsi="宋体" w:eastAsia="宋体"/>
              </w:rPr>
              <w:t>3.</w:t>
            </w:r>
            <w:r>
              <w:rPr>
                <w:rFonts w:hint="eastAsia" w:ascii="宋体" w:hAnsi="宋体" w:eastAsia="宋体"/>
              </w:rPr>
              <w:t>STEAM</w:t>
            </w:r>
            <w:r>
              <w:rPr>
                <w:rFonts w:ascii="宋体" w:hAnsi="宋体" w:eastAsia="宋体"/>
              </w:rPr>
              <w:t xml:space="preserve">制作 </w:t>
            </w:r>
          </w:p>
          <w:p w14:paraId="77EB40AA">
            <w:pPr>
              <w:spacing w:line="276" w:lineRule="auto"/>
              <w:jc w:val="left"/>
              <w:rPr>
                <w:rFonts w:hint="eastAsia" w:ascii="宋体" w:hAnsi="宋体" w:eastAsia="宋体" w:cs="Times New Roman"/>
                <w:szCs w:val="21"/>
              </w:rPr>
            </w:pPr>
            <w:r>
              <w:rPr>
                <w:rFonts w:ascii="宋体" w:hAnsi="宋体" w:eastAsia="宋体"/>
              </w:rPr>
              <w:t>4.成果汇报与评价</w:t>
            </w:r>
          </w:p>
        </w:tc>
        <w:tc>
          <w:tcPr>
            <w:tcW w:w="578" w:type="dxa"/>
            <w:vAlign w:val="center"/>
          </w:tcPr>
          <w:p w14:paraId="171CA548">
            <w:pPr>
              <w:spacing w:line="276" w:lineRule="auto"/>
              <w:jc w:val="center"/>
              <w:rPr>
                <w:rFonts w:hint="eastAsia" w:ascii="宋体" w:hAnsi="宋体" w:eastAsia="宋体" w:cs="Times New Roman"/>
                <w:szCs w:val="21"/>
              </w:rPr>
            </w:pPr>
            <w:r>
              <w:rPr>
                <w:rFonts w:hint="eastAsia" w:ascii="宋体" w:hAnsi="宋体" w:eastAsia="宋体" w:cs="Times New Roman"/>
                <w:szCs w:val="21"/>
              </w:rPr>
              <w:t>5+8</w:t>
            </w:r>
          </w:p>
        </w:tc>
      </w:tr>
      <w:tr w14:paraId="353E3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continue"/>
            <w:vAlign w:val="center"/>
          </w:tcPr>
          <w:p w14:paraId="594FE312">
            <w:pPr>
              <w:spacing w:line="276" w:lineRule="auto"/>
              <w:jc w:val="center"/>
              <w:rPr>
                <w:rFonts w:hint="eastAsia" w:ascii="宋体" w:hAnsi="宋体" w:eastAsia="宋体" w:cs="Times New Roman"/>
                <w:szCs w:val="21"/>
              </w:rPr>
            </w:pPr>
          </w:p>
        </w:tc>
        <w:tc>
          <w:tcPr>
            <w:tcW w:w="8310" w:type="dxa"/>
            <w:gridSpan w:val="5"/>
            <w:vAlign w:val="center"/>
          </w:tcPr>
          <w:p w14:paraId="68C6FF54">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培养学生的社会责任感和创新精神，理解科技与社会发展的关系，树立正确的价值观念，认识STEAM课程建设在社会变迁与经济发展中的重要作用。引导学生关注可持续发展和环保理念，培养绿色思维和可持续发展的实践能力，促进绿色教育理念在课程设计中的应用。</w:t>
            </w:r>
          </w:p>
        </w:tc>
      </w:tr>
    </w:tbl>
    <w:p w14:paraId="2F197AF1">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4"/>
        </w:rPr>
        <w:t>四、目标评价与成绩评定</w:t>
      </w:r>
    </w:p>
    <w:p w14:paraId="7F8E298B">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BDCA9F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118"/>
        <w:gridCol w:w="1118"/>
        <w:gridCol w:w="1118"/>
        <w:gridCol w:w="1118"/>
        <w:gridCol w:w="1118"/>
        <w:gridCol w:w="1120"/>
        <w:gridCol w:w="569"/>
      </w:tblGrid>
      <w:tr w14:paraId="097A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restart"/>
            <w:vAlign w:val="center"/>
          </w:tcPr>
          <w:p w14:paraId="2B7134E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710" w:type="dxa"/>
            <w:gridSpan w:val="6"/>
            <w:vAlign w:val="center"/>
          </w:tcPr>
          <w:p w14:paraId="31088440">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2EC65368">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72AD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Merge w:val="continue"/>
            <w:vAlign w:val="center"/>
          </w:tcPr>
          <w:p w14:paraId="3E7B48BD">
            <w:pPr>
              <w:spacing w:line="360" w:lineRule="auto"/>
              <w:jc w:val="center"/>
              <w:rPr>
                <w:rFonts w:hint="eastAsia" w:ascii="宋体" w:hAnsi="宋体" w:eastAsia="宋体" w:cs="Times New Roman"/>
                <w:szCs w:val="21"/>
              </w:rPr>
            </w:pPr>
          </w:p>
        </w:tc>
        <w:tc>
          <w:tcPr>
            <w:tcW w:w="1118" w:type="dxa"/>
            <w:vAlign w:val="center"/>
          </w:tcPr>
          <w:p w14:paraId="1AA23D33">
            <w:pPr>
              <w:jc w:val="center"/>
              <w:rPr>
                <w:rFonts w:hint="eastAsia" w:ascii="宋体" w:hAnsi="宋体" w:eastAsia="宋体" w:cs="Times New Roman"/>
                <w:szCs w:val="21"/>
              </w:rPr>
            </w:pPr>
            <w:r>
              <w:rPr>
                <w:rFonts w:hint="eastAsia" w:ascii="宋体" w:hAnsi="宋体" w:eastAsia="宋体" w:cs="Times New Roman"/>
                <w:szCs w:val="21"/>
              </w:rPr>
              <w:t>课堂</w:t>
            </w:r>
          </w:p>
          <w:p w14:paraId="5D128C64">
            <w:pPr>
              <w:jc w:val="center"/>
              <w:rPr>
                <w:rFonts w:hint="eastAsia" w:ascii="宋体" w:hAnsi="宋体" w:eastAsia="宋体" w:cs="Times New Roman"/>
                <w:szCs w:val="21"/>
              </w:rPr>
            </w:pPr>
            <w:r>
              <w:rPr>
                <w:rFonts w:hint="eastAsia" w:ascii="宋体" w:hAnsi="宋体" w:eastAsia="宋体" w:cs="Times New Roman"/>
                <w:szCs w:val="21"/>
              </w:rPr>
              <w:t>表现</w:t>
            </w:r>
          </w:p>
        </w:tc>
        <w:tc>
          <w:tcPr>
            <w:tcW w:w="1118" w:type="dxa"/>
            <w:vAlign w:val="center"/>
          </w:tcPr>
          <w:p w14:paraId="2BA0C161">
            <w:pPr>
              <w:jc w:val="center"/>
              <w:rPr>
                <w:rFonts w:hint="eastAsia" w:ascii="宋体" w:hAnsi="宋体" w:eastAsia="宋体" w:cs="Times New Roman"/>
                <w:szCs w:val="21"/>
              </w:rPr>
            </w:pPr>
            <w:r>
              <w:rPr>
                <w:rFonts w:hint="eastAsia" w:ascii="宋体" w:hAnsi="宋体" w:eastAsia="宋体" w:cs="Times New Roman"/>
                <w:szCs w:val="21"/>
              </w:rPr>
              <w:t>实验</w:t>
            </w:r>
          </w:p>
          <w:p w14:paraId="5127730A">
            <w:pPr>
              <w:jc w:val="center"/>
              <w:rPr>
                <w:rFonts w:hint="eastAsia" w:ascii="宋体" w:hAnsi="宋体" w:eastAsia="宋体" w:cs="Times New Roman"/>
                <w:szCs w:val="21"/>
              </w:rPr>
            </w:pPr>
            <w:r>
              <w:rPr>
                <w:rFonts w:hint="eastAsia" w:ascii="宋体" w:hAnsi="宋体" w:eastAsia="宋体" w:cs="Times New Roman"/>
                <w:szCs w:val="21"/>
              </w:rPr>
              <w:t>报告</w:t>
            </w:r>
          </w:p>
        </w:tc>
        <w:tc>
          <w:tcPr>
            <w:tcW w:w="1118" w:type="dxa"/>
            <w:vAlign w:val="center"/>
          </w:tcPr>
          <w:p w14:paraId="71752770">
            <w:pPr>
              <w:jc w:val="center"/>
              <w:rPr>
                <w:rFonts w:hint="eastAsia" w:ascii="宋体" w:hAnsi="宋体" w:eastAsia="宋体" w:cs="Times New Roman"/>
                <w:szCs w:val="21"/>
              </w:rPr>
            </w:pPr>
            <w:r>
              <w:rPr>
                <w:rFonts w:hint="eastAsia" w:ascii="宋体" w:hAnsi="宋体" w:eastAsia="宋体" w:cs="Times New Roman"/>
                <w:szCs w:val="21"/>
              </w:rPr>
              <w:t>实验作品</w:t>
            </w:r>
          </w:p>
        </w:tc>
        <w:tc>
          <w:tcPr>
            <w:tcW w:w="1118" w:type="dxa"/>
            <w:vAlign w:val="center"/>
          </w:tcPr>
          <w:p w14:paraId="3676E79A">
            <w:pPr>
              <w:jc w:val="center"/>
              <w:rPr>
                <w:rFonts w:hint="eastAsia" w:ascii="宋体" w:hAnsi="宋体" w:eastAsia="宋体" w:cs="Times New Roman"/>
                <w:szCs w:val="21"/>
              </w:rPr>
            </w:pPr>
            <w:r>
              <w:rPr>
                <w:rFonts w:hint="eastAsia" w:ascii="宋体" w:hAnsi="宋体" w:eastAsia="宋体" w:cs="Times New Roman"/>
                <w:szCs w:val="21"/>
              </w:rPr>
              <w:t>实验课程设计</w:t>
            </w:r>
          </w:p>
        </w:tc>
        <w:tc>
          <w:tcPr>
            <w:tcW w:w="1118" w:type="dxa"/>
            <w:vAlign w:val="center"/>
          </w:tcPr>
          <w:p w14:paraId="0A9FD8CA">
            <w:pPr>
              <w:jc w:val="center"/>
              <w:rPr>
                <w:rFonts w:hint="eastAsia" w:ascii="宋体" w:hAnsi="宋体" w:eastAsia="宋体" w:cs="Times New Roman"/>
                <w:szCs w:val="21"/>
              </w:rPr>
            </w:pPr>
            <w:r>
              <w:rPr>
                <w:rFonts w:hint="eastAsia" w:ascii="宋体" w:hAnsi="宋体" w:eastAsia="宋体" w:cs="Times New Roman"/>
                <w:szCs w:val="21"/>
              </w:rPr>
              <w:t>实验教学演示</w:t>
            </w:r>
          </w:p>
        </w:tc>
        <w:tc>
          <w:tcPr>
            <w:tcW w:w="1120" w:type="dxa"/>
          </w:tcPr>
          <w:p w14:paraId="314C68B1">
            <w:pPr>
              <w:jc w:val="center"/>
              <w:rPr>
                <w:rFonts w:hint="eastAsia" w:ascii="宋体" w:hAnsi="宋体" w:eastAsia="宋体" w:cs="Times New Roman"/>
                <w:szCs w:val="21"/>
              </w:rPr>
            </w:pPr>
            <w:r>
              <w:rPr>
                <w:rFonts w:hint="eastAsia" w:ascii="宋体" w:hAnsi="宋体" w:eastAsia="宋体" w:cs="Times New Roman"/>
                <w:szCs w:val="21"/>
              </w:rPr>
              <w:t>期末</w:t>
            </w:r>
          </w:p>
          <w:p w14:paraId="5B5927B0">
            <w:pPr>
              <w:jc w:val="center"/>
              <w:rPr>
                <w:rFonts w:hint="eastAsia" w:ascii="宋体" w:hAnsi="宋体" w:eastAsia="宋体" w:cs="Times New Roman"/>
                <w:szCs w:val="21"/>
              </w:rPr>
            </w:pPr>
            <w:r>
              <w:rPr>
                <w:rFonts w:hint="eastAsia" w:ascii="宋体" w:hAnsi="宋体" w:eastAsia="宋体" w:cs="Times New Roman"/>
                <w:szCs w:val="21"/>
              </w:rPr>
              <w:t>考试</w:t>
            </w:r>
          </w:p>
        </w:tc>
        <w:tc>
          <w:tcPr>
            <w:tcW w:w="0" w:type="auto"/>
            <w:vMerge w:val="continue"/>
            <w:vAlign w:val="center"/>
          </w:tcPr>
          <w:p w14:paraId="06547F88">
            <w:pPr>
              <w:spacing w:line="360" w:lineRule="auto"/>
              <w:jc w:val="center"/>
              <w:rPr>
                <w:rFonts w:hint="eastAsia" w:ascii="宋体" w:hAnsi="宋体" w:eastAsia="宋体" w:cs="Times New Roman"/>
                <w:szCs w:val="21"/>
              </w:rPr>
            </w:pPr>
          </w:p>
        </w:tc>
      </w:tr>
      <w:tr w14:paraId="63E0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7829431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118" w:type="dxa"/>
            <w:vAlign w:val="center"/>
          </w:tcPr>
          <w:p w14:paraId="61FF840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8" w:type="dxa"/>
            <w:vAlign w:val="center"/>
          </w:tcPr>
          <w:p w14:paraId="2278BCB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8" w:type="dxa"/>
            <w:vAlign w:val="center"/>
          </w:tcPr>
          <w:p w14:paraId="0CEC667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8" w:type="dxa"/>
            <w:vAlign w:val="center"/>
          </w:tcPr>
          <w:p w14:paraId="6424911D">
            <w:pPr>
              <w:spacing w:line="360" w:lineRule="auto"/>
              <w:jc w:val="center"/>
              <w:rPr>
                <w:rFonts w:hint="eastAsia" w:ascii="宋体" w:hAnsi="宋体" w:eastAsia="宋体" w:cs="Times New Roman"/>
                <w:szCs w:val="21"/>
              </w:rPr>
            </w:pPr>
          </w:p>
        </w:tc>
        <w:tc>
          <w:tcPr>
            <w:tcW w:w="1118" w:type="dxa"/>
            <w:vAlign w:val="center"/>
          </w:tcPr>
          <w:p w14:paraId="69DFFF37">
            <w:pPr>
              <w:spacing w:line="360" w:lineRule="auto"/>
              <w:jc w:val="center"/>
              <w:rPr>
                <w:rFonts w:hint="eastAsia" w:ascii="宋体" w:hAnsi="宋体" w:eastAsia="宋体" w:cs="Times New Roman"/>
                <w:szCs w:val="21"/>
              </w:rPr>
            </w:pPr>
          </w:p>
        </w:tc>
        <w:tc>
          <w:tcPr>
            <w:tcW w:w="1120" w:type="dxa"/>
            <w:vAlign w:val="center"/>
          </w:tcPr>
          <w:p w14:paraId="514EE09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5A0A9AC8">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246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3FFED7E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118" w:type="dxa"/>
            <w:vAlign w:val="center"/>
          </w:tcPr>
          <w:p w14:paraId="2EAD541E">
            <w:pPr>
              <w:spacing w:line="360" w:lineRule="auto"/>
              <w:jc w:val="center"/>
              <w:rPr>
                <w:rFonts w:hint="eastAsia" w:ascii="宋体" w:hAnsi="宋体" w:eastAsia="宋体" w:cs="Times New Roman"/>
                <w:szCs w:val="21"/>
              </w:rPr>
            </w:pPr>
          </w:p>
        </w:tc>
        <w:tc>
          <w:tcPr>
            <w:tcW w:w="1118" w:type="dxa"/>
            <w:vAlign w:val="center"/>
          </w:tcPr>
          <w:p w14:paraId="4A80DA44">
            <w:pPr>
              <w:spacing w:line="360" w:lineRule="auto"/>
              <w:jc w:val="center"/>
              <w:rPr>
                <w:rFonts w:hint="eastAsia" w:ascii="宋体" w:hAnsi="宋体" w:eastAsia="宋体" w:cs="Times New Roman"/>
                <w:szCs w:val="21"/>
              </w:rPr>
            </w:pPr>
          </w:p>
        </w:tc>
        <w:tc>
          <w:tcPr>
            <w:tcW w:w="1118" w:type="dxa"/>
            <w:vAlign w:val="center"/>
          </w:tcPr>
          <w:p w14:paraId="4C42349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8" w:type="dxa"/>
            <w:vAlign w:val="center"/>
          </w:tcPr>
          <w:p w14:paraId="22E8BFE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8" w:type="dxa"/>
            <w:vAlign w:val="center"/>
          </w:tcPr>
          <w:p w14:paraId="5615DC99">
            <w:pPr>
              <w:spacing w:line="360" w:lineRule="auto"/>
              <w:jc w:val="center"/>
              <w:rPr>
                <w:rFonts w:hint="eastAsia" w:ascii="宋体" w:hAnsi="宋体" w:eastAsia="宋体" w:cs="Times New Roman"/>
                <w:szCs w:val="21"/>
              </w:rPr>
            </w:pPr>
          </w:p>
        </w:tc>
        <w:tc>
          <w:tcPr>
            <w:tcW w:w="1120" w:type="dxa"/>
            <w:vAlign w:val="center"/>
          </w:tcPr>
          <w:p w14:paraId="1FBCCCD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90A7C11">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588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311B517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118" w:type="dxa"/>
            <w:vAlign w:val="center"/>
          </w:tcPr>
          <w:p w14:paraId="00106FF7">
            <w:pPr>
              <w:spacing w:line="360" w:lineRule="auto"/>
              <w:jc w:val="center"/>
              <w:rPr>
                <w:rFonts w:hint="eastAsia" w:ascii="宋体" w:hAnsi="宋体" w:eastAsia="宋体" w:cs="Times New Roman"/>
                <w:szCs w:val="21"/>
              </w:rPr>
            </w:pPr>
          </w:p>
        </w:tc>
        <w:tc>
          <w:tcPr>
            <w:tcW w:w="1118" w:type="dxa"/>
            <w:vAlign w:val="center"/>
          </w:tcPr>
          <w:p w14:paraId="11A3F947">
            <w:pPr>
              <w:spacing w:line="360" w:lineRule="auto"/>
              <w:jc w:val="center"/>
              <w:rPr>
                <w:rFonts w:hint="eastAsia" w:ascii="宋体" w:hAnsi="宋体" w:eastAsia="宋体" w:cs="Times New Roman"/>
                <w:szCs w:val="21"/>
              </w:rPr>
            </w:pPr>
          </w:p>
        </w:tc>
        <w:tc>
          <w:tcPr>
            <w:tcW w:w="1118" w:type="dxa"/>
            <w:vAlign w:val="center"/>
          </w:tcPr>
          <w:p w14:paraId="5A9EC227">
            <w:pPr>
              <w:spacing w:line="360" w:lineRule="auto"/>
              <w:jc w:val="center"/>
              <w:rPr>
                <w:rFonts w:hint="eastAsia" w:ascii="宋体" w:hAnsi="宋体" w:eastAsia="宋体" w:cs="Times New Roman"/>
                <w:szCs w:val="21"/>
              </w:rPr>
            </w:pPr>
          </w:p>
        </w:tc>
        <w:tc>
          <w:tcPr>
            <w:tcW w:w="1118" w:type="dxa"/>
            <w:vAlign w:val="center"/>
          </w:tcPr>
          <w:p w14:paraId="178B43D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18" w:type="dxa"/>
            <w:vAlign w:val="center"/>
          </w:tcPr>
          <w:p w14:paraId="54B6E93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0" w:type="dxa"/>
            <w:vAlign w:val="center"/>
          </w:tcPr>
          <w:p w14:paraId="081E002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1F9C1B3">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1CE3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3" w:type="dxa"/>
            <w:vAlign w:val="center"/>
          </w:tcPr>
          <w:p w14:paraId="4859A1FE">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118" w:type="dxa"/>
            <w:vAlign w:val="center"/>
          </w:tcPr>
          <w:p w14:paraId="31A85BE0">
            <w:pPr>
              <w:spacing w:line="360" w:lineRule="auto"/>
              <w:jc w:val="center"/>
              <w:rPr>
                <w:rFonts w:hint="eastAsia" w:ascii="宋体" w:hAnsi="宋体" w:eastAsia="宋体" w:cs="Times New Roman"/>
                <w:szCs w:val="21"/>
              </w:rPr>
            </w:pPr>
          </w:p>
        </w:tc>
        <w:tc>
          <w:tcPr>
            <w:tcW w:w="1118" w:type="dxa"/>
            <w:vAlign w:val="center"/>
          </w:tcPr>
          <w:p w14:paraId="22D9689C">
            <w:pPr>
              <w:spacing w:line="360" w:lineRule="auto"/>
              <w:jc w:val="center"/>
              <w:rPr>
                <w:rFonts w:hint="eastAsia" w:ascii="宋体" w:hAnsi="宋体" w:eastAsia="宋体" w:cs="Times New Roman"/>
                <w:szCs w:val="21"/>
              </w:rPr>
            </w:pPr>
          </w:p>
        </w:tc>
        <w:tc>
          <w:tcPr>
            <w:tcW w:w="1118" w:type="dxa"/>
            <w:vAlign w:val="center"/>
          </w:tcPr>
          <w:p w14:paraId="098EE00C">
            <w:pPr>
              <w:spacing w:line="360" w:lineRule="auto"/>
              <w:jc w:val="center"/>
              <w:rPr>
                <w:rFonts w:hint="eastAsia" w:ascii="宋体" w:hAnsi="宋体" w:eastAsia="宋体" w:cs="Times New Roman"/>
                <w:szCs w:val="21"/>
              </w:rPr>
            </w:pPr>
          </w:p>
        </w:tc>
        <w:tc>
          <w:tcPr>
            <w:tcW w:w="1118" w:type="dxa"/>
            <w:vAlign w:val="center"/>
          </w:tcPr>
          <w:p w14:paraId="4935E8C0">
            <w:pPr>
              <w:spacing w:line="360" w:lineRule="auto"/>
              <w:jc w:val="center"/>
              <w:rPr>
                <w:rFonts w:hint="eastAsia" w:ascii="宋体" w:hAnsi="宋体" w:eastAsia="宋体" w:cs="Times New Roman"/>
                <w:szCs w:val="21"/>
              </w:rPr>
            </w:pPr>
          </w:p>
        </w:tc>
        <w:tc>
          <w:tcPr>
            <w:tcW w:w="1118" w:type="dxa"/>
            <w:vAlign w:val="center"/>
          </w:tcPr>
          <w:p w14:paraId="342EF706">
            <w:pPr>
              <w:spacing w:line="360" w:lineRule="auto"/>
              <w:jc w:val="center"/>
              <w:rPr>
                <w:rFonts w:hint="eastAsia" w:ascii="宋体" w:hAnsi="宋体" w:eastAsia="宋体" w:cs="Times New Roman"/>
                <w:szCs w:val="21"/>
              </w:rPr>
            </w:pPr>
          </w:p>
        </w:tc>
        <w:tc>
          <w:tcPr>
            <w:tcW w:w="1120" w:type="dxa"/>
          </w:tcPr>
          <w:p w14:paraId="08C782E4">
            <w:pPr>
              <w:spacing w:line="360" w:lineRule="auto"/>
              <w:jc w:val="center"/>
              <w:rPr>
                <w:rFonts w:hint="eastAsia" w:ascii="宋体" w:hAnsi="宋体" w:eastAsia="宋体" w:cs="Times New Roman"/>
                <w:szCs w:val="21"/>
              </w:rPr>
            </w:pPr>
          </w:p>
        </w:tc>
        <w:tc>
          <w:tcPr>
            <w:tcW w:w="0" w:type="auto"/>
            <w:vAlign w:val="center"/>
          </w:tcPr>
          <w:p w14:paraId="68F512E8">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559A6FFD">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0C7168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2122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B7F5D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7C5DEBF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A31BCB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CBC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7B11BE8">
            <w:pPr>
              <w:rPr>
                <w:rFonts w:hint="eastAsia" w:ascii="宋体" w:hAnsi="宋体" w:eastAsia="宋体" w:cs="Times New Roman"/>
                <w:szCs w:val="21"/>
              </w:rPr>
            </w:pPr>
            <w:r>
              <w:rPr>
                <w:rFonts w:hint="eastAsia" w:ascii="宋体" w:hAnsi="宋体" w:eastAsia="宋体"/>
              </w:rPr>
              <w:t>课堂表现</w:t>
            </w:r>
          </w:p>
        </w:tc>
        <w:tc>
          <w:tcPr>
            <w:tcW w:w="7141" w:type="dxa"/>
          </w:tcPr>
          <w:p w14:paraId="70886A6C">
            <w:pPr>
              <w:spacing w:line="264" w:lineRule="auto"/>
              <w:jc w:val="left"/>
              <w:rPr>
                <w:rFonts w:hint="eastAsia" w:ascii="宋体" w:hAnsi="宋体" w:eastAsia="宋体" w:cs="Times New Roman"/>
                <w:szCs w:val="21"/>
              </w:rPr>
            </w:pPr>
            <w:r>
              <w:rPr>
                <w:rFonts w:hint="eastAsia" w:ascii="宋体" w:hAnsi="宋体" w:eastAsia="宋体"/>
              </w:rPr>
              <w:t>包括课题考勤和课堂参与情况：迟到一次扣2分，无故缺席一次扣5分，累计达3次以上取消课程成绩；课堂参与情况通过实验操作、课堂讨论与交流表现进行综合评定。</w:t>
            </w:r>
          </w:p>
        </w:tc>
        <w:tc>
          <w:tcPr>
            <w:tcW w:w="0" w:type="auto"/>
            <w:vAlign w:val="center"/>
          </w:tcPr>
          <w:p w14:paraId="3C679497">
            <w:pPr>
              <w:jc w:val="center"/>
              <w:rPr>
                <w:rFonts w:hint="eastAsia" w:ascii="宋体" w:hAnsi="宋体" w:eastAsia="宋体" w:cs="Times New Roman"/>
                <w:szCs w:val="21"/>
              </w:rPr>
            </w:pPr>
            <w:r>
              <w:rPr>
                <w:rFonts w:hint="eastAsia" w:ascii="宋体" w:hAnsi="宋体" w:eastAsia="宋体"/>
              </w:rPr>
              <w:t>10%</w:t>
            </w:r>
          </w:p>
        </w:tc>
      </w:tr>
      <w:tr w14:paraId="01CD5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BEF0DA7">
            <w:pPr>
              <w:rPr>
                <w:rFonts w:hint="eastAsia" w:ascii="宋体" w:hAnsi="宋体" w:eastAsia="宋体" w:cs="Times New Roman"/>
                <w:szCs w:val="21"/>
              </w:rPr>
            </w:pPr>
            <w:r>
              <w:rPr>
                <w:rFonts w:hint="eastAsia" w:ascii="宋体" w:hAnsi="宋体" w:eastAsia="宋体"/>
              </w:rPr>
              <w:t>实验报告</w:t>
            </w:r>
          </w:p>
        </w:tc>
        <w:tc>
          <w:tcPr>
            <w:tcW w:w="7141" w:type="dxa"/>
          </w:tcPr>
          <w:p w14:paraId="6CEB68A7">
            <w:pPr>
              <w:widowControl/>
              <w:spacing w:line="264" w:lineRule="auto"/>
              <w:jc w:val="left"/>
              <w:rPr>
                <w:rFonts w:hint="eastAsia" w:ascii="宋体" w:hAnsi="宋体" w:eastAsia="宋体" w:cs="Times New Roman"/>
                <w:szCs w:val="21"/>
              </w:rPr>
            </w:pPr>
            <w:r>
              <w:rPr>
                <w:rFonts w:ascii="宋体" w:hAnsi="宋体" w:eastAsia="宋体"/>
              </w:rPr>
              <w:t>学生在项目过程中完成的实验报告，考核实验数据记录的完整性、分析的逻辑性及总结的科学性，报告需符合STEAM课程的目标和要求。</w:t>
            </w:r>
          </w:p>
        </w:tc>
        <w:tc>
          <w:tcPr>
            <w:tcW w:w="0" w:type="auto"/>
            <w:vAlign w:val="center"/>
          </w:tcPr>
          <w:p w14:paraId="1E1AB639">
            <w:pPr>
              <w:jc w:val="center"/>
              <w:rPr>
                <w:rFonts w:hint="eastAsia" w:ascii="宋体" w:hAnsi="宋体" w:eastAsia="宋体" w:cs="Times New Roman"/>
                <w:szCs w:val="21"/>
              </w:rPr>
            </w:pPr>
            <w:r>
              <w:rPr>
                <w:rFonts w:hint="eastAsia" w:ascii="宋体" w:hAnsi="宋体" w:eastAsia="宋体"/>
              </w:rPr>
              <w:t>15%</w:t>
            </w:r>
          </w:p>
        </w:tc>
      </w:tr>
      <w:tr w14:paraId="2BF3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E8446AD">
            <w:pPr>
              <w:rPr>
                <w:rFonts w:hint="eastAsia" w:ascii="宋体" w:hAnsi="宋体" w:eastAsia="宋体" w:cs="Times New Roman"/>
                <w:szCs w:val="21"/>
              </w:rPr>
            </w:pPr>
            <w:r>
              <w:rPr>
                <w:rFonts w:hint="eastAsia" w:ascii="宋体" w:hAnsi="宋体" w:eastAsia="宋体"/>
              </w:rPr>
              <w:t>实验作品</w:t>
            </w:r>
          </w:p>
        </w:tc>
        <w:tc>
          <w:tcPr>
            <w:tcW w:w="7141" w:type="dxa"/>
          </w:tcPr>
          <w:p w14:paraId="73983F07">
            <w:pPr>
              <w:widowControl/>
              <w:spacing w:line="264" w:lineRule="auto"/>
              <w:jc w:val="left"/>
              <w:rPr>
                <w:rFonts w:hint="eastAsia" w:ascii="宋体" w:hAnsi="宋体" w:eastAsia="宋体" w:cs="宋体"/>
                <w:kern w:val="0"/>
                <w:szCs w:val="21"/>
                <w:lang w:bidi="ar"/>
              </w:rPr>
            </w:pPr>
            <w:r>
              <w:rPr>
                <w:rFonts w:ascii="宋体" w:hAnsi="宋体" w:eastAsia="宋体"/>
              </w:rPr>
              <w:t>针对STEAM课程设计并完成的作品，考查学生作品的科学性、创新性及教学适用性，包括实验模型制作或实验展示等成果，评分注重作品对教学的实际指导意义。</w:t>
            </w:r>
          </w:p>
        </w:tc>
        <w:tc>
          <w:tcPr>
            <w:tcW w:w="0" w:type="auto"/>
            <w:vAlign w:val="center"/>
          </w:tcPr>
          <w:p w14:paraId="32B6DAC4">
            <w:pPr>
              <w:jc w:val="center"/>
              <w:rPr>
                <w:rFonts w:hint="eastAsia" w:ascii="宋体" w:hAnsi="宋体" w:eastAsia="宋体" w:cs="Times New Roman"/>
                <w:szCs w:val="21"/>
              </w:rPr>
            </w:pPr>
            <w:r>
              <w:rPr>
                <w:rFonts w:hint="eastAsia" w:ascii="宋体" w:hAnsi="宋体" w:eastAsia="宋体"/>
              </w:rPr>
              <w:t>15%</w:t>
            </w:r>
          </w:p>
        </w:tc>
      </w:tr>
      <w:tr w14:paraId="7261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F6DB53">
            <w:pPr>
              <w:rPr>
                <w:rFonts w:hint="eastAsia" w:ascii="宋体" w:hAnsi="宋体" w:eastAsia="宋体" w:cs="Times New Roman"/>
                <w:szCs w:val="21"/>
              </w:rPr>
            </w:pPr>
            <w:r>
              <w:rPr>
                <w:rFonts w:hint="eastAsia" w:ascii="宋体" w:hAnsi="宋体" w:eastAsia="宋体"/>
              </w:rPr>
              <w:t>实验教学设计</w:t>
            </w:r>
          </w:p>
        </w:tc>
        <w:tc>
          <w:tcPr>
            <w:tcW w:w="7141" w:type="dxa"/>
          </w:tcPr>
          <w:p w14:paraId="2048D373">
            <w:pPr>
              <w:widowControl/>
              <w:spacing w:line="264" w:lineRule="auto"/>
              <w:jc w:val="left"/>
              <w:rPr>
                <w:rFonts w:hint="eastAsia" w:ascii="宋体" w:hAnsi="宋体" w:eastAsia="宋体" w:cs="宋体"/>
                <w:kern w:val="0"/>
                <w:szCs w:val="21"/>
                <w:lang w:bidi="ar"/>
              </w:rPr>
            </w:pPr>
            <w:r>
              <w:rPr>
                <w:rFonts w:hint="eastAsia" w:ascii="宋体" w:hAnsi="宋体" w:eastAsia="宋体"/>
              </w:rPr>
              <w:t>根据实验内容完成小学科学实验的教学设计，评分依据为设计的科学性、合理性、创新性及其在小学课堂中的实际应用价值，考察学生科学知识与教学方法的整合能力。</w:t>
            </w:r>
          </w:p>
        </w:tc>
        <w:tc>
          <w:tcPr>
            <w:tcW w:w="0" w:type="auto"/>
            <w:vAlign w:val="center"/>
          </w:tcPr>
          <w:p w14:paraId="24E4A384">
            <w:pPr>
              <w:jc w:val="center"/>
              <w:rPr>
                <w:rFonts w:hint="eastAsia" w:ascii="宋体" w:hAnsi="宋体" w:eastAsia="宋体" w:cs="Times New Roman"/>
                <w:szCs w:val="21"/>
              </w:rPr>
            </w:pPr>
            <w:r>
              <w:rPr>
                <w:rFonts w:hint="eastAsia" w:ascii="宋体" w:hAnsi="宋体" w:eastAsia="宋体"/>
              </w:rPr>
              <w:t>20%</w:t>
            </w:r>
          </w:p>
        </w:tc>
      </w:tr>
      <w:tr w14:paraId="6FC1E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E6AB98F">
            <w:pPr>
              <w:rPr>
                <w:rFonts w:hint="eastAsia" w:ascii="宋体" w:hAnsi="宋体" w:eastAsia="宋体" w:cs="Times New Roman"/>
                <w:szCs w:val="21"/>
              </w:rPr>
            </w:pPr>
            <w:r>
              <w:rPr>
                <w:rFonts w:hint="eastAsia" w:ascii="宋体" w:hAnsi="宋体" w:eastAsia="宋体"/>
              </w:rPr>
              <w:t>实验教学演示</w:t>
            </w:r>
          </w:p>
        </w:tc>
        <w:tc>
          <w:tcPr>
            <w:tcW w:w="7141" w:type="dxa"/>
          </w:tcPr>
          <w:p w14:paraId="4F5D66E9">
            <w:pPr>
              <w:spacing w:line="264" w:lineRule="auto"/>
              <w:jc w:val="left"/>
              <w:rPr>
                <w:rFonts w:hint="eastAsia" w:ascii="宋体" w:hAnsi="宋体" w:eastAsia="宋体" w:cs="Times New Roman"/>
                <w:szCs w:val="21"/>
              </w:rPr>
            </w:pPr>
            <w:r>
              <w:rPr>
                <w:rFonts w:ascii="宋体" w:hAnsi="宋体" w:eastAsia="宋体"/>
              </w:rPr>
              <w:t>通过模拟课堂或实验指导环节进行演示，考察学生的课堂教学组织能力、实验指导能力及与学生互动的表现，注重教学语言、表达逻辑和实验操作演示的流畅性。</w:t>
            </w:r>
          </w:p>
        </w:tc>
        <w:tc>
          <w:tcPr>
            <w:tcW w:w="0" w:type="auto"/>
            <w:vAlign w:val="center"/>
          </w:tcPr>
          <w:p w14:paraId="4D41C8D1">
            <w:pPr>
              <w:jc w:val="center"/>
              <w:rPr>
                <w:rFonts w:hint="eastAsia" w:ascii="宋体" w:hAnsi="宋体" w:eastAsia="宋体" w:cs="Times New Roman"/>
                <w:szCs w:val="21"/>
              </w:rPr>
            </w:pPr>
            <w:r>
              <w:rPr>
                <w:rFonts w:hint="eastAsia" w:ascii="宋体" w:hAnsi="宋体" w:eastAsia="宋体"/>
              </w:rPr>
              <w:t>20%</w:t>
            </w:r>
          </w:p>
        </w:tc>
      </w:tr>
      <w:tr w14:paraId="4AA20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BF10056">
            <w:pPr>
              <w:rPr>
                <w:rFonts w:hint="eastAsia" w:ascii="宋体" w:hAnsi="宋体" w:eastAsia="宋体" w:cs="Times New Roman"/>
                <w:szCs w:val="21"/>
              </w:rPr>
            </w:pPr>
            <w:r>
              <w:rPr>
                <w:rFonts w:hint="eastAsia" w:ascii="宋体" w:hAnsi="宋体" w:eastAsia="宋体"/>
              </w:rPr>
              <w:t>期末考试</w:t>
            </w:r>
          </w:p>
        </w:tc>
        <w:tc>
          <w:tcPr>
            <w:tcW w:w="7141" w:type="dxa"/>
          </w:tcPr>
          <w:p w14:paraId="67A6CDDD">
            <w:pPr>
              <w:spacing w:line="264" w:lineRule="auto"/>
              <w:jc w:val="left"/>
              <w:rPr>
                <w:rFonts w:hint="eastAsia" w:ascii="宋体" w:hAnsi="宋体" w:eastAsia="宋体" w:cs="Times New Roman"/>
                <w:szCs w:val="21"/>
              </w:rPr>
            </w:pPr>
            <w:r>
              <w:rPr>
                <w:rFonts w:ascii="宋体" w:hAnsi="宋体" w:eastAsia="宋体"/>
              </w:rPr>
              <w:t>试卷题型包括STEAM课程设计、简答题和案例分析题，以卷面成绩的50%计入课程总成绩。具体分值分配如下：课程设计占60%，重点考核学生设计跨学科综合性课程的能力；</w:t>
            </w:r>
            <w:r>
              <w:rPr>
                <w:rFonts w:hint="eastAsia" w:ascii="宋体" w:hAnsi="宋体" w:eastAsia="宋体"/>
              </w:rPr>
              <w:t>简</w:t>
            </w:r>
            <w:r>
              <w:rPr>
                <w:rFonts w:ascii="宋体" w:hAnsi="宋体" w:eastAsia="宋体"/>
              </w:rPr>
              <w:t>答题占20%，重点考核学生对</w:t>
            </w:r>
            <w:r>
              <w:rPr>
                <w:rFonts w:hint="eastAsia" w:ascii="宋体" w:hAnsi="宋体" w:eastAsia="宋体"/>
              </w:rPr>
              <w:t>STEAM课程建设相关</w:t>
            </w:r>
            <w:r>
              <w:rPr>
                <w:rFonts w:ascii="宋体" w:hAnsi="宋体" w:eastAsia="宋体"/>
              </w:rPr>
              <w:t>知识、方法及其应用的理解；案例分析题占20%，评估学生的</w:t>
            </w:r>
            <w:r>
              <w:rPr>
                <w:rFonts w:hint="eastAsia" w:ascii="宋体" w:hAnsi="宋体" w:eastAsia="宋体"/>
              </w:rPr>
              <w:t>评价、</w:t>
            </w:r>
            <w:r>
              <w:rPr>
                <w:rFonts w:ascii="宋体" w:hAnsi="宋体" w:eastAsia="宋体"/>
              </w:rPr>
              <w:t>反思能力和设计优化能力。</w:t>
            </w:r>
          </w:p>
        </w:tc>
        <w:tc>
          <w:tcPr>
            <w:tcW w:w="0" w:type="auto"/>
            <w:vAlign w:val="center"/>
          </w:tcPr>
          <w:p w14:paraId="05348369">
            <w:pPr>
              <w:jc w:val="center"/>
              <w:rPr>
                <w:rFonts w:hint="eastAsia" w:ascii="宋体" w:hAnsi="宋体" w:eastAsia="宋体" w:cs="Times New Roman"/>
                <w:szCs w:val="21"/>
              </w:rPr>
            </w:pPr>
            <w:r>
              <w:rPr>
                <w:rFonts w:hint="eastAsia" w:ascii="宋体" w:hAnsi="宋体" w:eastAsia="宋体"/>
              </w:rPr>
              <w:t>30%</w:t>
            </w:r>
          </w:p>
        </w:tc>
      </w:tr>
      <w:tr w14:paraId="3733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4582EC5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4AB0E2B3">
            <w:pPr>
              <w:jc w:val="left"/>
              <w:rPr>
                <w:rFonts w:ascii="Times New Roman" w:hAnsi="Times New Roman" w:eastAsia="宋体" w:cs="Times New Roman"/>
                <w:szCs w:val="21"/>
              </w:rPr>
            </w:pPr>
          </w:p>
        </w:tc>
        <w:tc>
          <w:tcPr>
            <w:tcW w:w="0" w:type="auto"/>
            <w:vAlign w:val="center"/>
          </w:tcPr>
          <w:p w14:paraId="7EF5CFDB">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F433A35">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311CE603">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3CB0C400">
      <w:pPr>
        <w:spacing w:before="62" w:beforeLines="20" w:after="62" w:afterLines="20" w:line="360" w:lineRule="auto"/>
        <w:jc w:val="left"/>
        <w:rPr>
          <w:rFonts w:ascii="Times New Roman" w:hAnsi="Times New Roman" w:eastAsia="宋体" w:cs="Times New Roman"/>
          <w:b/>
          <w:sz w:val="24"/>
        </w:rPr>
      </w:pPr>
      <w:r>
        <w:rPr>
          <w:rFonts w:ascii="宋体" w:hAnsi="宋体" w:eastAsia="宋体" w:cs="Times New Roman"/>
          <w:szCs w:val="21"/>
        </w:rPr>
        <w:object>
          <v:shape id="_x0000_i1074" o:spt="75" type="#_x0000_t75" style="height:25.6pt;width:404.55pt;" o:ole="t" filled="f" o:preferrelative="t" stroked="f" coordsize="21600,21600">
            <v:path/>
            <v:fill on="f" focussize="0,0"/>
            <v:stroke on="f" joinstyle="miter"/>
            <v:imagedata r:id="rId12" o:title=""/>
            <o:lock v:ext="edit" aspectratio="t"/>
            <w10:wrap type="none"/>
            <w10:anchorlock/>
          </v:shape>
          <o:OLEObject Type="Embed" ProgID="Equation.3" ShapeID="_x0000_i1074" DrawAspect="Content" ObjectID="_1468075774" r:id="rId62">
            <o:LockedField>false</o:LockedField>
          </o:OLEObject>
        </w:object>
      </w:r>
      <w:r>
        <w:rPr>
          <w:rFonts w:hint="eastAsia" w:ascii="Times New Roman" w:hAnsi="Times New Roman" w:eastAsia="宋体" w:cs="Times New Roman"/>
          <w:b/>
          <w:sz w:val="24"/>
        </w:rPr>
        <w:t>五、课程实践</w:t>
      </w:r>
    </w:p>
    <w:p w14:paraId="645C15B4">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1613"/>
        <w:gridCol w:w="3122"/>
        <w:gridCol w:w="567"/>
        <w:gridCol w:w="1134"/>
        <w:gridCol w:w="567"/>
        <w:gridCol w:w="646"/>
      </w:tblGrid>
      <w:tr w14:paraId="0E762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blHeader/>
        </w:trPr>
        <w:tc>
          <w:tcPr>
            <w:tcW w:w="647" w:type="dxa"/>
            <w:tcBorders>
              <w:bottom w:val="single" w:color="auto" w:sz="0" w:space="0"/>
              <w:insideH w:val="single" w:sz="0" w:space="0"/>
            </w:tcBorders>
            <w:vAlign w:val="center"/>
          </w:tcPr>
          <w:p w14:paraId="3BB99533">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序号</w:t>
            </w:r>
          </w:p>
        </w:tc>
        <w:tc>
          <w:tcPr>
            <w:tcW w:w="1613" w:type="dxa"/>
            <w:tcBorders>
              <w:bottom w:val="single" w:color="auto" w:sz="0" w:space="0"/>
              <w:insideH w:val="single" w:sz="0" w:space="0"/>
            </w:tcBorders>
            <w:vAlign w:val="center"/>
          </w:tcPr>
          <w:p w14:paraId="599D9433">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实验项目名称</w:t>
            </w:r>
          </w:p>
        </w:tc>
        <w:tc>
          <w:tcPr>
            <w:tcW w:w="3122" w:type="dxa"/>
            <w:tcBorders>
              <w:bottom w:val="single" w:color="auto" w:sz="0" w:space="0"/>
              <w:insideH w:val="single" w:sz="0" w:space="0"/>
            </w:tcBorders>
            <w:vAlign w:val="center"/>
          </w:tcPr>
          <w:p w14:paraId="0D4B5E18">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实验内容及要求</w:t>
            </w:r>
          </w:p>
        </w:tc>
        <w:tc>
          <w:tcPr>
            <w:tcW w:w="567" w:type="dxa"/>
            <w:tcBorders>
              <w:bottom w:val="single" w:color="auto" w:sz="0" w:space="0"/>
              <w:insideH w:val="single" w:sz="0" w:space="0"/>
            </w:tcBorders>
            <w:vAlign w:val="center"/>
          </w:tcPr>
          <w:p w14:paraId="1F6571F9">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学时</w:t>
            </w:r>
          </w:p>
        </w:tc>
        <w:tc>
          <w:tcPr>
            <w:tcW w:w="1134" w:type="dxa"/>
            <w:tcBorders>
              <w:bottom w:val="single" w:color="auto" w:sz="0" w:space="0"/>
              <w:insideH w:val="single" w:sz="0" w:space="0"/>
            </w:tcBorders>
            <w:vAlign w:val="center"/>
          </w:tcPr>
          <w:p w14:paraId="11D21A3A">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对毕业要求的支撑</w:t>
            </w:r>
          </w:p>
        </w:tc>
        <w:tc>
          <w:tcPr>
            <w:tcW w:w="567" w:type="dxa"/>
            <w:tcBorders>
              <w:bottom w:val="single" w:color="auto" w:sz="0" w:space="0"/>
              <w:insideH w:val="single" w:sz="0" w:space="0"/>
            </w:tcBorders>
            <w:vAlign w:val="center"/>
          </w:tcPr>
          <w:p w14:paraId="4444E276">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类型</w:t>
            </w:r>
          </w:p>
        </w:tc>
        <w:tc>
          <w:tcPr>
            <w:tcW w:w="646" w:type="dxa"/>
            <w:tcBorders>
              <w:bottom w:val="single" w:color="auto" w:sz="0" w:space="0"/>
              <w:insideH w:val="single" w:sz="0" w:space="0"/>
            </w:tcBorders>
            <w:vAlign w:val="center"/>
          </w:tcPr>
          <w:p w14:paraId="21B095F8">
            <w:pPr>
              <w:pStyle w:val="37"/>
              <w:spacing w:before="0" w:after="0"/>
              <w:jc w:val="center"/>
              <w:rPr>
                <w:rFonts w:hint="eastAsia" w:ascii="宋体" w:hAnsi="宋体"/>
                <w:b/>
                <w:bCs/>
                <w:sz w:val="21"/>
                <w:szCs w:val="21"/>
                <w:lang w:eastAsia="en-US"/>
              </w:rPr>
            </w:pPr>
            <w:r>
              <w:rPr>
                <w:rFonts w:hint="eastAsia" w:ascii="宋体" w:hAnsi="宋体"/>
                <w:b/>
                <w:bCs/>
                <w:sz w:val="21"/>
                <w:szCs w:val="21"/>
                <w:lang w:eastAsia="en-US"/>
              </w:rPr>
              <w:t>备注</w:t>
            </w:r>
          </w:p>
        </w:tc>
      </w:tr>
      <w:tr w14:paraId="048A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64EC9C93">
            <w:pPr>
              <w:pStyle w:val="37"/>
              <w:spacing w:before="0" w:after="0"/>
              <w:jc w:val="center"/>
              <w:rPr>
                <w:rFonts w:hint="eastAsia" w:ascii="宋体" w:hAnsi="宋体"/>
                <w:sz w:val="21"/>
                <w:szCs w:val="21"/>
                <w:lang w:eastAsia="en-US"/>
              </w:rPr>
            </w:pPr>
            <w:r>
              <w:rPr>
                <w:rFonts w:hint="eastAsia" w:ascii="宋体" w:hAnsi="宋体"/>
                <w:sz w:val="21"/>
                <w:szCs w:val="21"/>
                <w:lang w:eastAsia="en-US"/>
              </w:rPr>
              <w:t>1</w:t>
            </w:r>
          </w:p>
        </w:tc>
        <w:tc>
          <w:tcPr>
            <w:tcW w:w="1613" w:type="dxa"/>
            <w:vAlign w:val="center"/>
          </w:tcPr>
          <w:p w14:paraId="643F8EAA">
            <w:pPr>
              <w:pStyle w:val="37"/>
              <w:spacing w:before="0" w:after="0"/>
              <w:jc w:val="center"/>
              <w:rPr>
                <w:rFonts w:hint="eastAsia" w:ascii="宋体" w:hAnsi="宋体"/>
                <w:sz w:val="21"/>
                <w:szCs w:val="21"/>
                <w:lang w:eastAsia="en-US"/>
              </w:rPr>
            </w:pPr>
            <w:r>
              <w:rPr>
                <w:rFonts w:hint="eastAsia" w:ascii="宋体" w:hAnsi="宋体"/>
                <w:sz w:val="21"/>
                <w:szCs w:val="21"/>
                <w:lang w:eastAsia="en-US"/>
              </w:rPr>
              <w:t>STEAM课程建设案例实施和分析</w:t>
            </w:r>
          </w:p>
        </w:tc>
        <w:tc>
          <w:tcPr>
            <w:tcW w:w="3122" w:type="dxa"/>
            <w:vAlign w:val="center"/>
          </w:tcPr>
          <w:p w14:paraId="7550F2BC">
            <w:pPr>
              <w:pStyle w:val="37"/>
              <w:spacing w:before="0" w:after="0"/>
              <w:rPr>
                <w:rFonts w:hint="eastAsia" w:ascii="宋体" w:hAnsi="宋体"/>
                <w:sz w:val="21"/>
                <w:szCs w:val="21"/>
                <w:lang w:eastAsia="en-US"/>
              </w:rPr>
            </w:pPr>
            <w:r>
              <w:rPr>
                <w:rFonts w:hint="eastAsia" w:ascii="宋体" w:hAnsi="宋体"/>
                <w:sz w:val="21"/>
                <w:szCs w:val="21"/>
                <w:lang w:eastAsia="en-US"/>
              </w:rPr>
              <w:t>实施和分析一个成功的STEAM课程建设案例，识别其关键成功因素和面临的挑战，并撰写实施和分析报告。</w:t>
            </w:r>
          </w:p>
        </w:tc>
        <w:tc>
          <w:tcPr>
            <w:tcW w:w="567" w:type="dxa"/>
            <w:vAlign w:val="center"/>
          </w:tcPr>
          <w:p w14:paraId="3D7D147A">
            <w:pPr>
              <w:pStyle w:val="37"/>
              <w:spacing w:before="0" w:after="0"/>
              <w:jc w:val="center"/>
              <w:rPr>
                <w:rFonts w:hint="eastAsia" w:ascii="宋体" w:hAnsi="宋体"/>
                <w:sz w:val="21"/>
                <w:szCs w:val="21"/>
                <w:lang w:eastAsia="en-US"/>
              </w:rPr>
            </w:pPr>
            <w:r>
              <w:rPr>
                <w:rFonts w:hint="eastAsia" w:ascii="宋体" w:hAnsi="宋体"/>
                <w:sz w:val="21"/>
                <w:szCs w:val="21"/>
                <w:lang w:eastAsia="en-US"/>
              </w:rPr>
              <w:t>6</w:t>
            </w:r>
          </w:p>
        </w:tc>
        <w:tc>
          <w:tcPr>
            <w:tcW w:w="1134" w:type="dxa"/>
            <w:vAlign w:val="center"/>
          </w:tcPr>
          <w:p w14:paraId="028761AB">
            <w:pPr>
              <w:pStyle w:val="37"/>
              <w:spacing w:before="0" w:after="0"/>
              <w:jc w:val="center"/>
              <w:rPr>
                <w:rFonts w:hint="eastAsia" w:ascii="宋体" w:hAnsi="宋体"/>
                <w:sz w:val="21"/>
                <w:szCs w:val="21"/>
                <w:lang w:eastAsia="en-US"/>
              </w:rPr>
            </w:pPr>
            <w:r>
              <w:rPr>
                <w:rFonts w:hint="eastAsia" w:ascii="宋体" w:hAnsi="宋体"/>
                <w:sz w:val="21"/>
                <w:szCs w:val="21"/>
                <w:lang w:eastAsia="en-US"/>
              </w:rPr>
              <w:t>3-3</w:t>
            </w:r>
            <w:r>
              <w:rPr>
                <w:rFonts w:ascii="宋体" w:hAnsi="宋体"/>
                <w:sz w:val="21"/>
                <w:szCs w:val="21"/>
                <w:lang w:eastAsia="en-US"/>
              </w:rPr>
              <w:br w:type="textWrapping"/>
            </w:r>
            <w:r>
              <w:rPr>
                <w:rFonts w:hint="eastAsia" w:ascii="宋体" w:hAnsi="宋体"/>
                <w:sz w:val="21"/>
                <w:szCs w:val="21"/>
                <w:lang w:eastAsia="en-US"/>
              </w:rPr>
              <w:t>6-2</w:t>
            </w:r>
          </w:p>
        </w:tc>
        <w:tc>
          <w:tcPr>
            <w:tcW w:w="567" w:type="dxa"/>
            <w:vAlign w:val="center"/>
          </w:tcPr>
          <w:p w14:paraId="1EBA8C54">
            <w:pPr>
              <w:pStyle w:val="37"/>
              <w:spacing w:before="0" w:after="0"/>
              <w:jc w:val="center"/>
              <w:rPr>
                <w:rFonts w:hint="eastAsia" w:ascii="宋体" w:hAnsi="宋体"/>
                <w:sz w:val="21"/>
                <w:szCs w:val="21"/>
                <w:lang w:eastAsia="en-US"/>
              </w:rPr>
            </w:pPr>
            <w:r>
              <w:rPr>
                <w:rFonts w:hint="eastAsia" w:ascii="宋体" w:hAnsi="宋体"/>
                <w:sz w:val="21"/>
                <w:szCs w:val="21"/>
                <w:lang w:eastAsia="en-US"/>
              </w:rPr>
              <w:t>综合性</w:t>
            </w:r>
          </w:p>
        </w:tc>
        <w:tc>
          <w:tcPr>
            <w:tcW w:w="646" w:type="dxa"/>
            <w:vAlign w:val="center"/>
          </w:tcPr>
          <w:p w14:paraId="75A636A0">
            <w:pPr>
              <w:pStyle w:val="37"/>
              <w:spacing w:before="0" w:after="0"/>
              <w:jc w:val="center"/>
              <w:rPr>
                <w:rFonts w:hint="eastAsia" w:ascii="宋体" w:hAnsi="宋体"/>
                <w:sz w:val="21"/>
                <w:szCs w:val="21"/>
                <w:lang w:eastAsia="en-US"/>
              </w:rPr>
            </w:pPr>
            <w:r>
              <w:rPr>
                <w:rFonts w:hint="eastAsia" w:ascii="宋体" w:hAnsi="宋体"/>
                <w:sz w:val="21"/>
                <w:szCs w:val="21"/>
                <w:lang w:eastAsia="en-US"/>
              </w:rPr>
              <w:t>必做</w:t>
            </w:r>
          </w:p>
        </w:tc>
      </w:tr>
      <w:tr w14:paraId="104A4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52593367">
            <w:pPr>
              <w:pStyle w:val="37"/>
              <w:spacing w:before="0" w:after="0"/>
              <w:jc w:val="center"/>
              <w:rPr>
                <w:rFonts w:hint="eastAsia" w:ascii="宋体" w:hAnsi="宋体"/>
                <w:sz w:val="21"/>
                <w:szCs w:val="21"/>
                <w:lang w:eastAsia="en-US"/>
              </w:rPr>
            </w:pPr>
            <w:r>
              <w:rPr>
                <w:rFonts w:hint="eastAsia" w:ascii="宋体" w:hAnsi="宋体"/>
                <w:sz w:val="21"/>
                <w:szCs w:val="21"/>
                <w:lang w:eastAsia="en-US"/>
              </w:rPr>
              <w:t>2</w:t>
            </w:r>
          </w:p>
        </w:tc>
        <w:tc>
          <w:tcPr>
            <w:tcW w:w="1613" w:type="dxa"/>
            <w:vAlign w:val="center"/>
          </w:tcPr>
          <w:p w14:paraId="4315D2E1">
            <w:pPr>
              <w:pStyle w:val="37"/>
              <w:spacing w:before="0" w:after="0"/>
              <w:jc w:val="center"/>
              <w:rPr>
                <w:rFonts w:hint="eastAsia" w:ascii="宋体" w:hAnsi="宋体"/>
                <w:sz w:val="21"/>
                <w:szCs w:val="21"/>
                <w:lang w:eastAsia="en-US"/>
              </w:rPr>
            </w:pPr>
            <w:r>
              <w:rPr>
                <w:rFonts w:hint="eastAsia" w:ascii="宋体" w:hAnsi="宋体"/>
                <w:sz w:val="21"/>
                <w:szCs w:val="21"/>
                <w:lang w:eastAsia="en-US"/>
              </w:rPr>
              <w:t>STEAM课程目标设计实践</w:t>
            </w:r>
          </w:p>
        </w:tc>
        <w:tc>
          <w:tcPr>
            <w:tcW w:w="3122" w:type="dxa"/>
            <w:vAlign w:val="center"/>
          </w:tcPr>
          <w:p w14:paraId="3747E11F">
            <w:pPr>
              <w:pStyle w:val="37"/>
              <w:spacing w:before="0" w:after="0"/>
              <w:rPr>
                <w:rFonts w:hint="eastAsia" w:ascii="宋体" w:hAnsi="宋体"/>
                <w:sz w:val="21"/>
                <w:szCs w:val="21"/>
                <w:lang w:eastAsia="en-US"/>
              </w:rPr>
            </w:pPr>
            <w:r>
              <w:rPr>
                <w:rFonts w:hint="eastAsia" w:ascii="宋体" w:hAnsi="宋体"/>
                <w:sz w:val="21"/>
                <w:szCs w:val="21"/>
                <w:lang w:eastAsia="en-US"/>
              </w:rPr>
              <w:t>根据课程设计原则，制定具体的STEAM课程目标，确保目标符合课程设计的框架和要求。</w:t>
            </w:r>
          </w:p>
        </w:tc>
        <w:tc>
          <w:tcPr>
            <w:tcW w:w="567" w:type="dxa"/>
            <w:vAlign w:val="center"/>
          </w:tcPr>
          <w:p w14:paraId="5B9444DE">
            <w:pPr>
              <w:pStyle w:val="37"/>
              <w:spacing w:before="0" w:after="0"/>
              <w:jc w:val="center"/>
              <w:rPr>
                <w:rFonts w:hint="eastAsia" w:ascii="宋体" w:hAnsi="宋体"/>
                <w:sz w:val="21"/>
                <w:szCs w:val="21"/>
                <w:lang w:eastAsia="en-US"/>
              </w:rPr>
            </w:pPr>
            <w:r>
              <w:rPr>
                <w:rFonts w:hint="eastAsia" w:ascii="宋体" w:hAnsi="宋体"/>
                <w:sz w:val="21"/>
                <w:szCs w:val="21"/>
                <w:lang w:eastAsia="en-US"/>
              </w:rPr>
              <w:t>4</w:t>
            </w:r>
          </w:p>
        </w:tc>
        <w:tc>
          <w:tcPr>
            <w:tcW w:w="1134" w:type="dxa"/>
            <w:vAlign w:val="center"/>
          </w:tcPr>
          <w:p w14:paraId="6222D3FC">
            <w:pPr>
              <w:pStyle w:val="37"/>
              <w:spacing w:before="0" w:after="0"/>
              <w:jc w:val="center"/>
              <w:rPr>
                <w:rFonts w:hint="eastAsia" w:ascii="宋体" w:hAnsi="宋体"/>
                <w:sz w:val="21"/>
                <w:szCs w:val="21"/>
                <w:lang w:eastAsia="en-US"/>
              </w:rPr>
            </w:pPr>
            <w:r>
              <w:rPr>
                <w:rFonts w:hint="eastAsia" w:ascii="宋体" w:hAnsi="宋体"/>
                <w:sz w:val="21"/>
                <w:szCs w:val="21"/>
                <w:lang w:eastAsia="en-US"/>
              </w:rPr>
              <w:t>4-3</w:t>
            </w:r>
          </w:p>
        </w:tc>
        <w:tc>
          <w:tcPr>
            <w:tcW w:w="567" w:type="dxa"/>
            <w:vAlign w:val="center"/>
          </w:tcPr>
          <w:p w14:paraId="6D2B547E">
            <w:pPr>
              <w:pStyle w:val="37"/>
              <w:spacing w:before="0" w:after="0"/>
              <w:jc w:val="center"/>
              <w:rPr>
                <w:rFonts w:hint="eastAsia" w:ascii="宋体" w:hAnsi="宋体"/>
                <w:sz w:val="21"/>
                <w:szCs w:val="21"/>
                <w:lang w:eastAsia="en-US"/>
              </w:rPr>
            </w:pPr>
            <w:r>
              <w:rPr>
                <w:rFonts w:hint="eastAsia" w:ascii="宋体" w:hAnsi="宋体"/>
                <w:sz w:val="21"/>
                <w:szCs w:val="21"/>
                <w:lang w:eastAsia="en-US"/>
              </w:rPr>
              <w:t>综合性</w:t>
            </w:r>
          </w:p>
        </w:tc>
        <w:tc>
          <w:tcPr>
            <w:tcW w:w="646" w:type="dxa"/>
            <w:vAlign w:val="center"/>
          </w:tcPr>
          <w:p w14:paraId="32555FD5">
            <w:pPr>
              <w:pStyle w:val="37"/>
              <w:spacing w:before="0" w:after="0"/>
              <w:jc w:val="center"/>
              <w:rPr>
                <w:rFonts w:hint="eastAsia" w:ascii="宋体" w:hAnsi="宋体"/>
                <w:sz w:val="21"/>
                <w:szCs w:val="21"/>
                <w:lang w:eastAsia="en-US"/>
              </w:rPr>
            </w:pPr>
            <w:r>
              <w:rPr>
                <w:rFonts w:hint="eastAsia" w:ascii="宋体" w:hAnsi="宋体"/>
                <w:sz w:val="21"/>
                <w:szCs w:val="21"/>
                <w:lang w:eastAsia="en-US"/>
              </w:rPr>
              <w:t>必做</w:t>
            </w:r>
          </w:p>
        </w:tc>
      </w:tr>
      <w:tr w14:paraId="694F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0C262501">
            <w:pPr>
              <w:pStyle w:val="37"/>
              <w:spacing w:before="0" w:after="0"/>
              <w:jc w:val="center"/>
              <w:rPr>
                <w:rFonts w:hint="eastAsia" w:ascii="宋体" w:hAnsi="宋体"/>
                <w:sz w:val="21"/>
                <w:szCs w:val="21"/>
                <w:lang w:eastAsia="en-US"/>
              </w:rPr>
            </w:pPr>
            <w:r>
              <w:rPr>
                <w:rFonts w:hint="eastAsia" w:ascii="宋体" w:hAnsi="宋体"/>
                <w:sz w:val="21"/>
                <w:szCs w:val="21"/>
                <w:lang w:eastAsia="en-US"/>
              </w:rPr>
              <w:t>3</w:t>
            </w:r>
          </w:p>
        </w:tc>
        <w:tc>
          <w:tcPr>
            <w:tcW w:w="1613" w:type="dxa"/>
            <w:vAlign w:val="center"/>
          </w:tcPr>
          <w:p w14:paraId="2E6642C0">
            <w:pPr>
              <w:pStyle w:val="37"/>
              <w:spacing w:before="0" w:after="0"/>
              <w:jc w:val="center"/>
              <w:rPr>
                <w:rFonts w:hint="eastAsia" w:ascii="宋体" w:hAnsi="宋体"/>
                <w:sz w:val="21"/>
                <w:szCs w:val="21"/>
                <w:lang w:eastAsia="en-US"/>
              </w:rPr>
            </w:pPr>
            <w:r>
              <w:rPr>
                <w:rFonts w:hint="eastAsia" w:ascii="宋体" w:hAnsi="宋体"/>
                <w:sz w:val="21"/>
                <w:szCs w:val="21"/>
                <w:lang w:eastAsia="en-US"/>
              </w:rPr>
              <w:t>STEAM课程内容开发实验</w:t>
            </w:r>
          </w:p>
        </w:tc>
        <w:tc>
          <w:tcPr>
            <w:tcW w:w="3122" w:type="dxa"/>
            <w:vAlign w:val="center"/>
          </w:tcPr>
          <w:p w14:paraId="241B79BF">
            <w:pPr>
              <w:pStyle w:val="37"/>
              <w:spacing w:before="0" w:after="0"/>
              <w:rPr>
                <w:rFonts w:hint="eastAsia" w:ascii="宋体" w:hAnsi="宋体"/>
                <w:sz w:val="21"/>
                <w:szCs w:val="21"/>
                <w:lang w:eastAsia="en-US"/>
              </w:rPr>
            </w:pPr>
            <w:r>
              <w:rPr>
                <w:rFonts w:hint="eastAsia" w:ascii="宋体" w:hAnsi="宋体"/>
                <w:sz w:val="21"/>
                <w:szCs w:val="21"/>
                <w:lang w:eastAsia="en-US"/>
              </w:rPr>
              <w:t>设计一个涵盖科学、技术、工程、艺术和数学五个方面的STEAM课程模块，并进行展示。</w:t>
            </w:r>
          </w:p>
        </w:tc>
        <w:tc>
          <w:tcPr>
            <w:tcW w:w="567" w:type="dxa"/>
            <w:vAlign w:val="center"/>
          </w:tcPr>
          <w:p w14:paraId="4D1A5E7E">
            <w:pPr>
              <w:pStyle w:val="37"/>
              <w:spacing w:before="0" w:after="0"/>
              <w:jc w:val="center"/>
              <w:rPr>
                <w:rFonts w:hint="eastAsia" w:ascii="宋体" w:hAnsi="宋体"/>
                <w:sz w:val="21"/>
                <w:szCs w:val="21"/>
                <w:lang w:eastAsia="en-US"/>
              </w:rPr>
            </w:pPr>
            <w:r>
              <w:rPr>
                <w:rFonts w:hint="eastAsia" w:ascii="宋体" w:hAnsi="宋体"/>
                <w:sz w:val="21"/>
                <w:szCs w:val="21"/>
                <w:lang w:eastAsia="en-US"/>
              </w:rPr>
              <w:t>4</w:t>
            </w:r>
          </w:p>
        </w:tc>
        <w:tc>
          <w:tcPr>
            <w:tcW w:w="1134" w:type="dxa"/>
            <w:vAlign w:val="center"/>
          </w:tcPr>
          <w:p w14:paraId="07A7D3E8">
            <w:pPr>
              <w:spacing w:after="0"/>
              <w:jc w:val="center"/>
              <w:rPr>
                <w:rFonts w:hint="eastAsia" w:ascii="宋体" w:hAnsi="宋体" w:eastAsia="宋体"/>
                <w:szCs w:val="21"/>
                <w:lang w:eastAsia="en-US"/>
              </w:rPr>
            </w:pPr>
            <w:r>
              <w:rPr>
                <w:rFonts w:hint="eastAsia" w:ascii="宋体" w:hAnsi="宋体" w:eastAsia="宋体"/>
                <w:szCs w:val="21"/>
                <w:lang w:eastAsia="en-US"/>
              </w:rPr>
              <w:t>3-3</w:t>
            </w:r>
          </w:p>
          <w:p w14:paraId="4C790D60">
            <w:pPr>
              <w:spacing w:after="0"/>
              <w:jc w:val="center"/>
              <w:rPr>
                <w:rFonts w:hint="eastAsia" w:ascii="宋体" w:hAnsi="宋体" w:eastAsia="宋体"/>
                <w:szCs w:val="21"/>
                <w:lang w:eastAsia="en-US"/>
              </w:rPr>
            </w:pPr>
            <w:r>
              <w:rPr>
                <w:rFonts w:hint="eastAsia" w:ascii="宋体" w:hAnsi="宋体" w:eastAsia="宋体"/>
                <w:szCs w:val="21"/>
                <w:lang w:eastAsia="en-US"/>
              </w:rPr>
              <w:t>6-2</w:t>
            </w:r>
          </w:p>
        </w:tc>
        <w:tc>
          <w:tcPr>
            <w:tcW w:w="567" w:type="dxa"/>
            <w:vAlign w:val="center"/>
          </w:tcPr>
          <w:p w14:paraId="5B02E827">
            <w:pPr>
              <w:pStyle w:val="37"/>
              <w:spacing w:before="0" w:after="0"/>
              <w:jc w:val="center"/>
              <w:rPr>
                <w:rFonts w:hint="eastAsia" w:ascii="宋体" w:hAnsi="宋体"/>
                <w:sz w:val="21"/>
                <w:szCs w:val="21"/>
                <w:lang w:eastAsia="en-US"/>
              </w:rPr>
            </w:pPr>
            <w:r>
              <w:rPr>
                <w:rFonts w:hint="eastAsia" w:ascii="宋体" w:hAnsi="宋体"/>
                <w:sz w:val="21"/>
                <w:szCs w:val="21"/>
                <w:lang w:eastAsia="en-US"/>
              </w:rPr>
              <w:t>综合性</w:t>
            </w:r>
          </w:p>
        </w:tc>
        <w:tc>
          <w:tcPr>
            <w:tcW w:w="646" w:type="dxa"/>
            <w:vAlign w:val="center"/>
          </w:tcPr>
          <w:p w14:paraId="1990F690">
            <w:pPr>
              <w:pStyle w:val="37"/>
              <w:spacing w:before="0" w:after="0"/>
              <w:jc w:val="center"/>
              <w:rPr>
                <w:rFonts w:hint="eastAsia" w:ascii="宋体" w:hAnsi="宋体"/>
                <w:sz w:val="21"/>
                <w:szCs w:val="21"/>
                <w:lang w:eastAsia="en-US"/>
              </w:rPr>
            </w:pPr>
            <w:r>
              <w:rPr>
                <w:rFonts w:hint="eastAsia" w:ascii="宋体" w:hAnsi="宋体"/>
                <w:sz w:val="21"/>
                <w:szCs w:val="21"/>
                <w:lang w:eastAsia="en-US"/>
              </w:rPr>
              <w:t>必做</w:t>
            </w:r>
          </w:p>
        </w:tc>
      </w:tr>
      <w:tr w14:paraId="6CB74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vAlign w:val="center"/>
          </w:tcPr>
          <w:p w14:paraId="32134B7A">
            <w:pPr>
              <w:pStyle w:val="37"/>
              <w:spacing w:before="0" w:after="0"/>
              <w:jc w:val="center"/>
              <w:rPr>
                <w:rFonts w:hint="eastAsia" w:ascii="宋体" w:hAnsi="宋体"/>
                <w:sz w:val="21"/>
                <w:szCs w:val="21"/>
                <w:lang w:eastAsia="en-US"/>
              </w:rPr>
            </w:pPr>
            <w:r>
              <w:rPr>
                <w:rFonts w:hint="eastAsia" w:ascii="宋体" w:hAnsi="宋体"/>
                <w:sz w:val="21"/>
                <w:szCs w:val="21"/>
                <w:lang w:eastAsia="en-US"/>
              </w:rPr>
              <w:t>4</w:t>
            </w:r>
          </w:p>
        </w:tc>
        <w:tc>
          <w:tcPr>
            <w:tcW w:w="1613" w:type="dxa"/>
            <w:vAlign w:val="center"/>
          </w:tcPr>
          <w:p w14:paraId="29434450">
            <w:pPr>
              <w:pStyle w:val="37"/>
              <w:spacing w:before="0" w:after="0"/>
              <w:jc w:val="center"/>
              <w:rPr>
                <w:rFonts w:hint="eastAsia" w:ascii="宋体" w:hAnsi="宋体"/>
                <w:sz w:val="21"/>
                <w:szCs w:val="21"/>
                <w:lang w:eastAsia="en-US"/>
              </w:rPr>
            </w:pPr>
            <w:r>
              <w:rPr>
                <w:rFonts w:hint="eastAsia" w:ascii="宋体" w:hAnsi="宋体"/>
                <w:sz w:val="21"/>
                <w:szCs w:val="21"/>
                <w:lang w:eastAsia="en-US"/>
              </w:rPr>
              <w:t>STEAM课程评价模拟</w:t>
            </w:r>
          </w:p>
        </w:tc>
        <w:tc>
          <w:tcPr>
            <w:tcW w:w="3122" w:type="dxa"/>
            <w:vAlign w:val="center"/>
          </w:tcPr>
          <w:p w14:paraId="14A0855C">
            <w:pPr>
              <w:pStyle w:val="37"/>
              <w:spacing w:before="0" w:after="0"/>
              <w:rPr>
                <w:rFonts w:hint="eastAsia" w:ascii="宋体" w:hAnsi="宋体"/>
                <w:sz w:val="21"/>
                <w:szCs w:val="21"/>
                <w:lang w:eastAsia="en-US"/>
              </w:rPr>
            </w:pPr>
            <w:r>
              <w:rPr>
                <w:rFonts w:hint="eastAsia" w:ascii="宋体" w:hAnsi="宋体"/>
                <w:sz w:val="21"/>
                <w:szCs w:val="21"/>
                <w:lang w:eastAsia="en-US"/>
              </w:rPr>
              <w:t>制定并应用一个STEAM课程评价方案，评估课程的实施效果，并提出改进建议。</w:t>
            </w:r>
          </w:p>
        </w:tc>
        <w:tc>
          <w:tcPr>
            <w:tcW w:w="567" w:type="dxa"/>
            <w:vAlign w:val="center"/>
          </w:tcPr>
          <w:p w14:paraId="6D28DB28">
            <w:pPr>
              <w:pStyle w:val="37"/>
              <w:spacing w:before="0" w:after="0"/>
              <w:jc w:val="center"/>
              <w:rPr>
                <w:rFonts w:hint="eastAsia" w:ascii="宋体" w:hAnsi="宋体"/>
                <w:sz w:val="21"/>
                <w:szCs w:val="21"/>
                <w:lang w:eastAsia="en-US"/>
              </w:rPr>
            </w:pPr>
            <w:r>
              <w:rPr>
                <w:rFonts w:hint="eastAsia" w:ascii="宋体" w:hAnsi="宋体"/>
                <w:sz w:val="21"/>
                <w:szCs w:val="21"/>
                <w:lang w:eastAsia="en-US"/>
              </w:rPr>
              <w:t>4</w:t>
            </w:r>
          </w:p>
        </w:tc>
        <w:tc>
          <w:tcPr>
            <w:tcW w:w="1134" w:type="dxa"/>
            <w:vAlign w:val="center"/>
          </w:tcPr>
          <w:p w14:paraId="536C8B56">
            <w:pPr>
              <w:pStyle w:val="37"/>
              <w:spacing w:before="0" w:after="0"/>
              <w:jc w:val="center"/>
              <w:rPr>
                <w:rFonts w:hint="eastAsia" w:ascii="宋体" w:hAnsi="宋体"/>
                <w:sz w:val="21"/>
                <w:szCs w:val="21"/>
                <w:lang w:eastAsia="en-US"/>
              </w:rPr>
            </w:pPr>
            <w:r>
              <w:rPr>
                <w:rFonts w:hint="eastAsia" w:ascii="宋体" w:hAnsi="宋体"/>
                <w:sz w:val="21"/>
                <w:szCs w:val="21"/>
                <w:lang w:eastAsia="en-US"/>
              </w:rPr>
              <w:t>6-2</w:t>
            </w:r>
          </w:p>
        </w:tc>
        <w:tc>
          <w:tcPr>
            <w:tcW w:w="567" w:type="dxa"/>
            <w:vAlign w:val="center"/>
          </w:tcPr>
          <w:p w14:paraId="062A3B30">
            <w:pPr>
              <w:pStyle w:val="37"/>
              <w:spacing w:before="0" w:after="0"/>
              <w:jc w:val="center"/>
              <w:rPr>
                <w:rFonts w:hint="eastAsia" w:ascii="宋体" w:hAnsi="宋体"/>
                <w:sz w:val="21"/>
                <w:szCs w:val="21"/>
                <w:lang w:eastAsia="en-US"/>
              </w:rPr>
            </w:pPr>
            <w:r>
              <w:rPr>
                <w:rFonts w:hint="eastAsia" w:ascii="宋体" w:hAnsi="宋体"/>
                <w:sz w:val="21"/>
                <w:szCs w:val="21"/>
                <w:lang w:eastAsia="en-US"/>
              </w:rPr>
              <w:t>综合性</w:t>
            </w:r>
          </w:p>
        </w:tc>
        <w:tc>
          <w:tcPr>
            <w:tcW w:w="646" w:type="dxa"/>
            <w:vAlign w:val="center"/>
          </w:tcPr>
          <w:p w14:paraId="1D2D44DB">
            <w:pPr>
              <w:pStyle w:val="37"/>
              <w:spacing w:before="0" w:after="0"/>
              <w:jc w:val="center"/>
              <w:rPr>
                <w:rFonts w:hint="eastAsia" w:ascii="宋体" w:hAnsi="宋体"/>
                <w:sz w:val="21"/>
                <w:szCs w:val="21"/>
                <w:lang w:eastAsia="en-US"/>
              </w:rPr>
            </w:pPr>
            <w:r>
              <w:rPr>
                <w:rFonts w:hint="eastAsia" w:ascii="宋体" w:hAnsi="宋体"/>
                <w:sz w:val="21"/>
                <w:szCs w:val="21"/>
                <w:lang w:eastAsia="en-US"/>
              </w:rPr>
              <w:t>必做</w:t>
            </w:r>
          </w:p>
        </w:tc>
      </w:tr>
    </w:tbl>
    <w:p w14:paraId="4DAC0D94">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5C91B66A">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D0FDD91">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本课程根据学生作业、实验环节和学生、教学督导等的反馈，及时对教学中的不足之处进行改进，并在下一轮课程教学中整改完善，确保相应毕业要求指标点达成。</w:t>
      </w:r>
    </w:p>
    <w:p w14:paraId="44B3F47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6B57B0D">
      <w:pPr>
        <w:spacing w:line="360" w:lineRule="auto"/>
        <w:ind w:firstLine="210" w:firstLineChars="100"/>
        <w:jc w:val="left"/>
        <w:rPr>
          <w:rFonts w:ascii="Times New Roman" w:hAnsi="Times New Roman" w:eastAsia="宋体" w:cs="Times New Roman"/>
          <w:bCs/>
          <w:szCs w:val="21"/>
        </w:rPr>
      </w:pPr>
      <w:r>
        <w:rPr>
          <w:rFonts w:ascii="Times New Roman" w:hAnsi="Times New Roman" w:eastAsia="宋体" w:cs="Times New Roman"/>
          <w:bCs/>
          <w:szCs w:val="21"/>
        </w:rPr>
        <w:t>印霞, 主编. 《STEAM课程的设计与实施》. 北京：华东师范大学出版社, 2021.</w:t>
      </w:r>
    </w:p>
    <w:p w14:paraId="3B3E800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7C38D39">
      <w:pPr>
        <w:numPr>
          <w:ilvl w:val="0"/>
          <w:numId w:val="65"/>
        </w:numPr>
        <w:spacing w:line="360" w:lineRule="auto"/>
        <w:jc w:val="left"/>
        <w:rPr>
          <w:rFonts w:hint="eastAsia" w:ascii="宋体" w:hAnsi="宋体" w:eastAsia="宋体"/>
        </w:rPr>
      </w:pPr>
      <w:r>
        <w:rPr>
          <w:rFonts w:ascii="宋体" w:hAnsi="宋体" w:eastAsia="宋体"/>
        </w:rPr>
        <w:t>范曾丽. 《设计实践创新STEAM课程案例》. 北京：中国纺织出版社, 2023.</w:t>
      </w:r>
    </w:p>
    <w:p w14:paraId="540DB260">
      <w:pPr>
        <w:numPr>
          <w:ilvl w:val="0"/>
          <w:numId w:val="65"/>
        </w:numPr>
        <w:spacing w:line="360" w:lineRule="auto"/>
        <w:jc w:val="left"/>
        <w:rPr>
          <w:rFonts w:hint="eastAsia" w:ascii="宋体" w:hAnsi="宋体" w:eastAsia="宋体"/>
        </w:rPr>
      </w:pPr>
      <w:r>
        <w:rPr>
          <w:rFonts w:ascii="宋体" w:hAnsi="宋体" w:eastAsia="宋体"/>
        </w:rPr>
        <w:t>管光海. 《STEM教学设计与评价》. 北京：教育科学出版社, 2022.</w:t>
      </w:r>
    </w:p>
    <w:p w14:paraId="2C80F195">
      <w:pPr>
        <w:numPr>
          <w:ilvl w:val="0"/>
          <w:numId w:val="65"/>
        </w:numPr>
        <w:spacing w:line="360" w:lineRule="auto"/>
        <w:jc w:val="left"/>
        <w:rPr>
          <w:rFonts w:hint="eastAsia" w:ascii="宋体" w:hAnsi="宋体" w:eastAsia="宋体"/>
        </w:rPr>
      </w:pPr>
      <w:r>
        <w:rPr>
          <w:rFonts w:ascii="宋体" w:hAnsi="宋体" w:eastAsia="宋体"/>
        </w:rPr>
        <w:t>王素, 李正福. 《STEM教育这样做》. 北京：教育科学出版社, 2019.</w:t>
      </w:r>
    </w:p>
    <w:p w14:paraId="69C09966">
      <w:pPr>
        <w:numPr>
          <w:ilvl w:val="0"/>
          <w:numId w:val="65"/>
        </w:numPr>
        <w:spacing w:line="360" w:lineRule="auto"/>
        <w:jc w:val="left"/>
        <w:rPr>
          <w:rFonts w:hint="eastAsia" w:ascii="宋体" w:hAnsi="宋体" w:eastAsia="宋体"/>
        </w:rPr>
      </w:pPr>
      <w:r>
        <w:rPr>
          <w:rFonts w:ascii="宋体" w:hAnsi="宋体" w:eastAsia="宋体"/>
        </w:rPr>
        <w:t>杜娟, 石雪飞, 邹丽娜. 《核心素养导向的STEM教育》. 北京：清华大学出版社, 2021.</w:t>
      </w:r>
    </w:p>
    <w:p w14:paraId="1CC9C7B5">
      <w:pPr>
        <w:spacing w:line="360" w:lineRule="auto"/>
        <w:jc w:val="right"/>
        <w:rPr>
          <w:rFonts w:hint="eastAsia" w:ascii="宋体" w:hAnsi="宋体" w:eastAsia="宋体"/>
          <w:szCs w:val="22"/>
        </w:rPr>
      </w:pPr>
      <w:r>
        <w:rPr>
          <w:rFonts w:hint="eastAsia" w:ascii="宋体" w:hAnsi="宋体" w:eastAsia="宋体"/>
          <w:szCs w:val="22"/>
        </w:rPr>
        <w:t xml:space="preserve">执笔人：金玉宏 </w:t>
      </w:r>
    </w:p>
    <w:p w14:paraId="03FF2294">
      <w:pPr>
        <w:spacing w:line="360" w:lineRule="auto"/>
        <w:jc w:val="right"/>
        <w:rPr>
          <w:rFonts w:hint="eastAsia" w:ascii="宋体" w:hAnsi="宋体" w:eastAsia="宋体"/>
          <w:szCs w:val="22"/>
        </w:rPr>
      </w:pPr>
      <w:r>
        <w:rPr>
          <w:rFonts w:hint="eastAsia" w:ascii="宋体" w:hAnsi="宋体" w:eastAsia="宋体"/>
          <w:szCs w:val="22"/>
        </w:rPr>
        <w:t>审定人：王  健</w:t>
      </w:r>
    </w:p>
    <w:p w14:paraId="6DDE479A">
      <w:pPr>
        <w:spacing w:line="360" w:lineRule="auto"/>
        <w:jc w:val="right"/>
        <w:rPr>
          <w:rFonts w:hint="eastAsia" w:ascii="宋体" w:hAnsi="宋体" w:eastAsia="宋体"/>
          <w:szCs w:val="22"/>
        </w:rPr>
      </w:pPr>
      <w:r>
        <w:rPr>
          <w:rFonts w:hint="eastAsia" w:ascii="宋体" w:hAnsi="宋体" w:eastAsia="宋体"/>
          <w:szCs w:val="22"/>
        </w:rPr>
        <w:t>审批人：张志欣</w:t>
      </w:r>
    </w:p>
    <w:p w14:paraId="036DD5DC">
      <w:pPr>
        <w:spacing w:line="360" w:lineRule="auto"/>
        <w:jc w:val="right"/>
        <w:rPr>
          <w:rFonts w:hint="eastAsia" w:ascii="宋体" w:hAnsi="宋体" w:eastAsia="宋体"/>
          <w:szCs w:val="22"/>
        </w:rPr>
      </w:pPr>
      <w:r>
        <w:rPr>
          <w:rFonts w:hint="eastAsia" w:ascii="宋体" w:hAnsi="宋体" w:eastAsia="宋体"/>
          <w:szCs w:val="22"/>
        </w:rPr>
        <w:t>批准时间：2025年7月1日</w:t>
      </w:r>
    </w:p>
    <w:p w14:paraId="27B21697">
      <w:pPr>
        <w:spacing w:line="360" w:lineRule="auto"/>
        <w:jc w:val="left"/>
        <w:rPr>
          <w:rFonts w:ascii="Times New Roman" w:hAnsi="Times New Roman" w:eastAsia="宋体" w:cs="Times New Roman"/>
          <w:b/>
          <w:sz w:val="24"/>
        </w:rPr>
      </w:pPr>
    </w:p>
    <w:p w14:paraId="76196523">
      <w:pPr>
        <w:spacing w:line="312" w:lineRule="auto"/>
        <w:jc w:val="right"/>
        <w:rPr>
          <w:rFonts w:hint="eastAsia" w:ascii="等线" w:hAnsi="等线" w:eastAsia="等线" w:cs="Times New Roman"/>
          <w:kern w:val="0"/>
          <w:szCs w:val="21"/>
        </w:rPr>
      </w:pPr>
      <w:r>
        <w:rPr>
          <w:rFonts w:hint="eastAsia" w:ascii="等线" w:hAnsi="等线" w:eastAsia="等线" w:cs="Times New Roman"/>
          <w:kern w:val="0"/>
          <w:szCs w:val="21"/>
        </w:rPr>
        <w:br w:type="page"/>
      </w:r>
    </w:p>
    <w:p w14:paraId="4749D817">
      <w:pPr>
        <w:spacing w:line="360" w:lineRule="auto"/>
        <w:jc w:val="center"/>
        <w:outlineLvl w:val="0"/>
        <w:rPr>
          <w:rFonts w:ascii="Times New Roman" w:hAnsi="Times New Roman" w:eastAsia="宋体" w:cs="Times New Roman"/>
          <w:b/>
          <w:sz w:val="44"/>
          <w:szCs w:val="44"/>
        </w:rPr>
      </w:pPr>
      <w:bookmarkStart w:id="1739" w:name="_Toc16144"/>
      <w:bookmarkStart w:id="1740" w:name="_Toc742"/>
      <w:bookmarkStart w:id="1741" w:name="_Toc32689"/>
      <w:bookmarkStart w:id="1742" w:name="_Toc783"/>
      <w:r>
        <w:rPr>
          <w:rFonts w:hint="eastAsia" w:ascii="Times New Roman" w:hAnsi="Times New Roman" w:eastAsia="宋体" w:cs="Times New Roman"/>
          <w:b/>
          <w:sz w:val="44"/>
          <w:szCs w:val="44"/>
        </w:rPr>
        <w:t>《综合实践活动设计》课程教学大纲</w:t>
      </w:r>
      <w:bookmarkEnd w:id="1739"/>
      <w:bookmarkEnd w:id="1740"/>
      <w:bookmarkEnd w:id="1741"/>
      <w:bookmarkEnd w:id="1742"/>
    </w:p>
    <w:p w14:paraId="76F3C53E">
      <w:pPr>
        <w:spacing w:line="360" w:lineRule="auto"/>
        <w:jc w:val="center"/>
        <w:rPr>
          <w:rFonts w:ascii="Times New Roman" w:hAnsi="Times New Roman" w:eastAsia="宋体" w:cs="Times New Roman"/>
          <w:b/>
          <w:bCs/>
          <w:sz w:val="28"/>
          <w:szCs w:val="28"/>
        </w:rPr>
      </w:pPr>
      <w:bookmarkStart w:id="1743" w:name="_Toc12944"/>
      <w:bookmarkStart w:id="1744" w:name="_Toc16710"/>
      <w:bookmarkStart w:id="1745" w:name="_Toc25329"/>
      <w:bookmarkStart w:id="1746" w:name="_Toc27564"/>
      <w:bookmarkStart w:id="1747" w:name="_Toc28008"/>
      <w:bookmarkStart w:id="1748" w:name="_Toc5508"/>
      <w:bookmarkStart w:id="1749" w:name="_Toc27205"/>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Comprehensive Activity Design</w:t>
      </w:r>
      <w:r>
        <w:rPr>
          <w:rFonts w:ascii="Times New Roman" w:hAnsi="Times New Roman" w:eastAsia="宋体" w:cs="Times New Roman"/>
          <w:b/>
          <w:bCs/>
          <w:sz w:val="28"/>
          <w:szCs w:val="28"/>
        </w:rPr>
        <w:t>）</w:t>
      </w:r>
      <w:bookmarkEnd w:id="1743"/>
      <w:bookmarkEnd w:id="1744"/>
      <w:bookmarkEnd w:id="1745"/>
      <w:bookmarkEnd w:id="1746"/>
      <w:bookmarkEnd w:id="1747"/>
      <w:bookmarkEnd w:id="1748"/>
      <w:bookmarkEnd w:id="1749"/>
    </w:p>
    <w:p w14:paraId="00E2C208">
      <w:pPr>
        <w:spacing w:line="360" w:lineRule="auto"/>
        <w:jc w:val="center"/>
        <w:rPr>
          <w:rFonts w:ascii="Times New Roman" w:hAnsi="Times New Roman" w:eastAsia="宋体" w:cs="Times New Roman"/>
          <w:bCs/>
          <w:szCs w:val="21"/>
        </w:rPr>
      </w:pPr>
    </w:p>
    <w:p w14:paraId="163A4C9B">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课程名称：综合实践活动设计</w:t>
      </w:r>
    </w:p>
    <w:p w14:paraId="5599836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w:t>
      </w:r>
      <w:r>
        <w:rPr>
          <w:rFonts w:hint="eastAsia" w:ascii="Times New Roman" w:hAnsi="Times New Roman" w:eastAsia="宋体" w:cs="Times New Roman"/>
          <w:b/>
          <w:sz w:val="24"/>
        </w:rPr>
        <w:t>24</w:t>
      </w:r>
    </w:p>
    <w:p w14:paraId="7D536C2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分：2</w:t>
      </w:r>
    </w:p>
    <w:p w14:paraId="046A342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时：32 （其中：讲授学时16， 实践学时16）</w:t>
      </w:r>
    </w:p>
    <w:p w14:paraId="7960417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先修课程：教育原理、教育心理学、课程与教学论</w:t>
      </w:r>
    </w:p>
    <w:p w14:paraId="7CBB747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适用专业：小学教育（文、理）</w:t>
      </w:r>
    </w:p>
    <w:p w14:paraId="3E71346F">
      <w:pPr>
        <w:spacing w:before="62" w:beforeLines="20" w:after="62" w:afterLines="20" w:line="360" w:lineRule="auto"/>
        <w:jc w:val="left"/>
        <w:rPr>
          <w:rFonts w:ascii="Times New Roman" w:hAnsi="Times New Roman" w:eastAsia="宋体" w:cs="Times New Roman"/>
          <w:sz w:val="22"/>
          <w:szCs w:val="22"/>
        </w:rPr>
      </w:pPr>
      <w:r>
        <w:rPr>
          <w:rFonts w:hint="eastAsia" w:ascii="Times New Roman" w:hAnsi="Times New Roman" w:eastAsia="宋体" w:cs="Times New Roman"/>
          <w:b/>
          <w:sz w:val="22"/>
          <w:szCs w:val="22"/>
        </w:rPr>
        <w:t>一、课程简介</w:t>
      </w:r>
    </w:p>
    <w:p w14:paraId="17F54963">
      <w:pPr>
        <w:spacing w:line="360" w:lineRule="auto"/>
        <w:ind w:firstLine="420" w:firstLineChars="200"/>
        <w:jc w:val="left"/>
        <w:rPr>
          <w:rFonts w:hint="eastAsia" w:ascii="宋体" w:hAnsi="宋体" w:eastAsia="宋体" w:cs="Times New Roman"/>
          <w:b/>
          <w:szCs w:val="21"/>
        </w:rPr>
      </w:pPr>
      <w:r>
        <w:rPr>
          <w:rFonts w:hint="eastAsia" w:ascii="Times New Roman" w:hAnsi="Times New Roman" w:eastAsia="宋体" w:cs="Times New Roman"/>
          <w:szCs w:val="21"/>
        </w:rPr>
        <w:t>本课程是小学教育（文、理）专业的一门专业选修课程。通过本课程的学习，全面认识综合实践活动课程在小学开设的重要意义，了解综合实践活动课程的基本内容，明确综合实践活动的理念、性质、目标和内容范围，掌握小学综合实践活动设计的基本原理和方法，激发从事实践活动的兴趣和意识，具有指导小学生开展综合实践活动的能力。</w:t>
      </w:r>
    </w:p>
    <w:p w14:paraId="380D243F">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2"/>
          <w:szCs w:val="22"/>
        </w:rPr>
        <w:t>二、课程目标</w:t>
      </w:r>
    </w:p>
    <w:p w14:paraId="6B345116">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5117AEC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1.理解综合实践活动课程产生的理论与社会背景，明确综合实践活动课程在基础教育课程体系中的作用，理解综合实践活动课程的现实意义。理解综合实践活动课程的特征与价值，理解综合实践活动课程的基本理念，明确综合实践活动课程的目标，了解综合实践活动课程的内容。</w:t>
      </w:r>
    </w:p>
    <w:p w14:paraId="1498F6D1">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目标2.理解小学综合实践活动设计的基本原则，明确小学综合实践活动设计的基本要求。能够运用所学理论独立设计综合实践活动方案，能够对综合实践活动方案进行全面的评价和优化。</w:t>
      </w:r>
    </w:p>
    <w:p w14:paraId="4B41605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目标3.明确综合实践活动课程实施的特点，明确综合实践活动指导教师的职责，能具体指导小学生开展综合实践活动，具备开发和利用综合实践活动课程资源的能力.</w:t>
      </w:r>
    </w:p>
    <w:p w14:paraId="26195D6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目标4.具有较强的合作与沟通能力，具有在活动中育人的意识和能力，具有一定的研究与反思能力。</w:t>
      </w:r>
    </w:p>
    <w:p w14:paraId="3620AE3B">
      <w:pPr>
        <w:spacing w:before="156" w:beforeLines="50" w:after="156" w:afterLines="50"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6290"/>
        <w:gridCol w:w="1327"/>
      </w:tblGrid>
      <w:tr w14:paraId="2829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 w:type="dxa"/>
            <w:vAlign w:val="center"/>
          </w:tcPr>
          <w:p w14:paraId="1EC8CC4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290" w:type="dxa"/>
            <w:vAlign w:val="center"/>
          </w:tcPr>
          <w:p w14:paraId="185268A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2C85E83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C3A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 w:type="dxa"/>
            <w:vAlign w:val="center"/>
          </w:tcPr>
          <w:p w14:paraId="60F76C02">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r>
              <w:rPr>
                <w:rFonts w:ascii="Times New Roman" w:hAnsi="Times New Roman" w:eastAsia="宋体" w:cs="Times New Roman"/>
                <w:b/>
                <w:bCs/>
                <w:szCs w:val="21"/>
              </w:rPr>
              <w:t>4. 教学能力</w:t>
            </w:r>
          </w:p>
        </w:tc>
        <w:tc>
          <w:tcPr>
            <w:tcW w:w="6290" w:type="dxa"/>
            <w:vAlign w:val="center"/>
          </w:tcPr>
          <w:p w14:paraId="0EF7627E">
            <w:pPr>
              <w:spacing w:line="276" w:lineRule="auto"/>
              <w:jc w:val="left"/>
              <w:rPr>
                <w:rFonts w:ascii="Times New Roman" w:hAnsi="Times New Roman" w:eastAsia="宋体" w:cs="Times New Roman"/>
                <w:szCs w:val="21"/>
              </w:rPr>
            </w:pPr>
            <w:r>
              <w:rPr>
                <w:rFonts w:hint="eastAsia" w:ascii="Times New Roman" w:hAnsi="Times New Roman" w:eastAsia="宋体" w:cs="Times New Roman"/>
                <w:b/>
                <w:szCs w:val="21"/>
              </w:rPr>
              <w:t>指标点4-3</w:t>
            </w:r>
            <w:r>
              <w:rPr>
                <w:rFonts w:hint="eastAsia" w:ascii="Times New Roman" w:hAnsi="Times New Roman" w:eastAsia="宋体" w:cs="Times New Roman"/>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438A467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p w14:paraId="2ABE93D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7EA3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 w:type="dxa"/>
            <w:vAlign w:val="center"/>
          </w:tcPr>
          <w:p w14:paraId="0CF346B6">
            <w:pPr>
              <w:spacing w:line="276"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r>
              <w:rPr>
                <w:rFonts w:ascii="Times New Roman" w:hAnsi="Times New Roman" w:eastAsia="宋体" w:cs="Times New Roman"/>
                <w:b/>
                <w:bCs/>
                <w:szCs w:val="21"/>
              </w:rPr>
              <w:t>6. 综合育人</w:t>
            </w:r>
          </w:p>
        </w:tc>
        <w:tc>
          <w:tcPr>
            <w:tcW w:w="6290" w:type="dxa"/>
            <w:vAlign w:val="center"/>
          </w:tcPr>
          <w:p w14:paraId="6BEC6E7C">
            <w:pPr>
              <w:spacing w:line="276" w:lineRule="auto"/>
              <w:jc w:val="left"/>
              <w:rPr>
                <w:rFonts w:ascii="Times New Roman" w:hAnsi="Times New Roman" w:eastAsia="宋体" w:cs="Times New Roman"/>
                <w:szCs w:val="21"/>
              </w:rPr>
            </w:pPr>
            <w:r>
              <w:rPr>
                <w:rFonts w:hint="eastAsia" w:ascii="宋体" w:hAnsi="宋体" w:eastAsia="宋体" w:cs="宋体"/>
                <w:b/>
                <w:kern w:val="0"/>
                <w:szCs w:val="21"/>
              </w:rPr>
              <w:t>指标点6-3</w:t>
            </w:r>
            <w:r>
              <w:rPr>
                <w:rFonts w:hint="eastAsia" w:ascii="宋体" w:hAnsi="宋体" w:eastAsia="宋体" w:cs="宋体"/>
                <w:kern w:val="0"/>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327" w:type="dxa"/>
            <w:vAlign w:val="center"/>
          </w:tcPr>
          <w:p w14:paraId="685777F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547493F7">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175D43AC">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养成严谨治学的态度，掌握科学、严谨的学习方法，注重创新精神和实践能力的提升，树立以学生为主体的设计理念和全面的评价理念，</w:t>
      </w:r>
      <w:r>
        <w:rPr>
          <w:rFonts w:ascii="宋体" w:hAnsi="宋体" w:eastAsia="宋体" w:cs="Times New Roman"/>
          <w:szCs w:val="21"/>
        </w:rPr>
        <w:t>增强专业自信心</w:t>
      </w:r>
      <w:r>
        <w:rPr>
          <w:rFonts w:hint="eastAsia" w:ascii="宋体" w:hAnsi="宋体" w:eastAsia="宋体" w:cs="Times New Roman"/>
          <w:szCs w:val="21"/>
        </w:rPr>
        <w:t>，</w:t>
      </w:r>
      <w:r>
        <w:rPr>
          <w:rFonts w:ascii="宋体" w:hAnsi="宋体" w:eastAsia="宋体" w:cs="Times New Roman"/>
          <w:szCs w:val="21"/>
        </w:rPr>
        <w:t>增强团队合作意识与沟通表达能力。</w:t>
      </w:r>
    </w:p>
    <w:p w14:paraId="6FF9E843">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2"/>
          <w:szCs w:val="22"/>
        </w:rPr>
        <w:t>三、教学内容与预期学习成效</w:t>
      </w:r>
    </w:p>
    <w:tbl>
      <w:tblPr>
        <w:tblStyle w:val="12"/>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2174"/>
        <w:gridCol w:w="1080"/>
        <w:gridCol w:w="2966"/>
        <w:gridCol w:w="1435"/>
        <w:gridCol w:w="438"/>
      </w:tblGrid>
      <w:tr w14:paraId="6680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Align w:val="center"/>
          </w:tcPr>
          <w:p w14:paraId="615036D1">
            <w:pPr>
              <w:jc w:val="center"/>
              <w:rPr>
                <w:rFonts w:hint="eastAsia" w:ascii="宋体" w:hAnsi="宋体" w:eastAsia="宋体" w:cs="Times New Roman"/>
                <w:b/>
                <w:szCs w:val="21"/>
              </w:rPr>
            </w:pPr>
            <w:r>
              <w:rPr>
                <w:rFonts w:hint="eastAsia" w:ascii="宋体" w:hAnsi="宋体" w:eastAsia="宋体" w:cs="Times New Roman"/>
                <w:b/>
                <w:szCs w:val="21"/>
              </w:rPr>
              <w:t>知识</w:t>
            </w:r>
          </w:p>
          <w:p w14:paraId="5D53E018">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174" w:type="dxa"/>
            <w:vAlign w:val="center"/>
          </w:tcPr>
          <w:p w14:paraId="75C8CF55">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080" w:type="dxa"/>
            <w:vAlign w:val="center"/>
          </w:tcPr>
          <w:p w14:paraId="33C6EF2F">
            <w:pPr>
              <w:jc w:val="center"/>
              <w:rPr>
                <w:rFonts w:hint="eastAsia" w:ascii="宋体" w:hAnsi="宋体" w:eastAsia="宋体" w:cs="Times New Roman"/>
                <w:b/>
                <w:szCs w:val="21"/>
              </w:rPr>
            </w:pPr>
            <w:r>
              <w:rPr>
                <w:rFonts w:hint="eastAsia" w:ascii="宋体" w:hAnsi="宋体" w:eastAsia="宋体" w:cs="Times New Roman"/>
                <w:b/>
                <w:szCs w:val="21"/>
              </w:rPr>
              <w:t>对应</w:t>
            </w:r>
          </w:p>
          <w:p w14:paraId="71D2A8ED">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966" w:type="dxa"/>
            <w:vAlign w:val="center"/>
          </w:tcPr>
          <w:p w14:paraId="39A7778C">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435" w:type="dxa"/>
            <w:vAlign w:val="center"/>
          </w:tcPr>
          <w:p w14:paraId="68A1FB9E">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293EBA5C">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7B62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5E406BC1">
            <w:pPr>
              <w:spacing w:line="264"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szCs w:val="21"/>
              </w:rPr>
              <w:t xml:space="preserve"> </w:t>
            </w:r>
            <w:r>
              <w:rPr>
                <w:rFonts w:hint="eastAsia" w:ascii="宋体" w:hAnsi="宋体" w:eastAsia="宋体" w:cs="Times New Roman"/>
                <w:szCs w:val="21"/>
              </w:rPr>
              <w:t>综合实践活动课程概述</w:t>
            </w:r>
          </w:p>
        </w:tc>
        <w:tc>
          <w:tcPr>
            <w:tcW w:w="2174" w:type="dxa"/>
            <w:vAlign w:val="center"/>
          </w:tcPr>
          <w:p w14:paraId="6872ADF1">
            <w:pPr>
              <w:spacing w:line="269" w:lineRule="auto"/>
              <w:jc w:val="left"/>
              <w:rPr>
                <w:rFonts w:hint="eastAsia" w:ascii="宋体" w:hAnsi="宋体" w:eastAsia="宋体" w:cs="Times New Roman"/>
                <w:szCs w:val="21"/>
              </w:rPr>
            </w:pPr>
            <w:r>
              <w:rPr>
                <w:rFonts w:hint="eastAsia" w:ascii="宋体" w:hAnsi="宋体" w:eastAsia="宋体" w:cs="Times New Roman"/>
                <w:szCs w:val="21"/>
              </w:rPr>
              <w:t>（1）综合实践活动课程产生的基础</w:t>
            </w:r>
          </w:p>
          <w:p w14:paraId="1287E6CC">
            <w:pPr>
              <w:spacing w:line="269" w:lineRule="auto"/>
              <w:jc w:val="left"/>
              <w:rPr>
                <w:rFonts w:hint="eastAsia" w:ascii="宋体" w:hAnsi="宋体" w:eastAsia="宋体" w:cs="Times New Roman"/>
                <w:szCs w:val="21"/>
              </w:rPr>
            </w:pPr>
            <w:r>
              <w:rPr>
                <w:rFonts w:hint="eastAsia" w:ascii="宋体" w:hAnsi="宋体" w:eastAsia="宋体" w:cs="Times New Roman"/>
                <w:szCs w:val="21"/>
              </w:rPr>
              <w:t>（2）综合实践活动课程的产生</w:t>
            </w:r>
          </w:p>
          <w:p w14:paraId="02ADD756">
            <w:pPr>
              <w:spacing w:line="269" w:lineRule="auto"/>
              <w:jc w:val="left"/>
              <w:rPr>
                <w:rFonts w:hint="eastAsia" w:ascii="宋体" w:hAnsi="宋体" w:eastAsia="宋体" w:cs="Times New Roman"/>
                <w:szCs w:val="21"/>
              </w:rPr>
            </w:pPr>
            <w:r>
              <w:rPr>
                <w:rFonts w:hint="eastAsia" w:ascii="宋体" w:hAnsi="宋体" w:eastAsia="宋体" w:cs="Times New Roman"/>
                <w:szCs w:val="21"/>
              </w:rPr>
              <w:t>（3）国外和我国台湾地区的综合实践活动课程</w:t>
            </w:r>
          </w:p>
        </w:tc>
        <w:tc>
          <w:tcPr>
            <w:tcW w:w="1080" w:type="dxa"/>
            <w:vAlign w:val="center"/>
          </w:tcPr>
          <w:p w14:paraId="622AACB2">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966" w:type="dxa"/>
            <w:vAlign w:val="center"/>
          </w:tcPr>
          <w:p w14:paraId="1A301A2F">
            <w:pPr>
              <w:spacing w:line="269" w:lineRule="auto"/>
              <w:jc w:val="left"/>
              <w:rPr>
                <w:rFonts w:hint="eastAsia" w:ascii="宋体" w:hAnsi="宋体" w:eastAsia="宋体" w:cs="Times New Roman"/>
                <w:szCs w:val="21"/>
              </w:rPr>
            </w:pPr>
            <w:r>
              <w:rPr>
                <w:rFonts w:hint="eastAsia" w:ascii="宋体" w:hAnsi="宋体" w:eastAsia="宋体" w:cs="Times New Roman"/>
                <w:szCs w:val="21"/>
              </w:rPr>
              <w:t>（1）理解综合实践活动课程产生的理论和社会背景</w:t>
            </w:r>
          </w:p>
          <w:p w14:paraId="42694EAC">
            <w:pPr>
              <w:spacing w:line="269" w:lineRule="auto"/>
              <w:jc w:val="left"/>
              <w:rPr>
                <w:rFonts w:hint="eastAsia" w:ascii="宋体" w:hAnsi="宋体" w:eastAsia="宋体" w:cs="Times New Roman"/>
                <w:szCs w:val="21"/>
              </w:rPr>
            </w:pPr>
            <w:r>
              <w:rPr>
                <w:rFonts w:hint="eastAsia" w:ascii="宋体" w:hAnsi="宋体" w:eastAsia="宋体" w:cs="Times New Roman"/>
                <w:szCs w:val="21"/>
              </w:rPr>
              <w:t>（2）初步熟悉综合实践活动课程的产生过程</w:t>
            </w:r>
          </w:p>
          <w:p w14:paraId="5CFBEEE7">
            <w:pPr>
              <w:spacing w:line="269" w:lineRule="auto"/>
              <w:jc w:val="left"/>
              <w:rPr>
                <w:rFonts w:hint="eastAsia" w:ascii="宋体" w:hAnsi="宋体" w:eastAsia="宋体" w:cs="Times New Roman"/>
                <w:szCs w:val="21"/>
              </w:rPr>
            </w:pPr>
            <w:r>
              <w:rPr>
                <w:rFonts w:hint="eastAsia" w:ascii="宋体" w:hAnsi="宋体" w:eastAsia="宋体" w:cs="Times New Roman"/>
                <w:szCs w:val="21"/>
              </w:rPr>
              <w:t>（3）了解国内外综合实践活动课程概况</w:t>
            </w:r>
          </w:p>
        </w:tc>
        <w:tc>
          <w:tcPr>
            <w:tcW w:w="1435" w:type="dxa"/>
            <w:vAlign w:val="center"/>
          </w:tcPr>
          <w:p w14:paraId="48090CA1">
            <w:pPr>
              <w:spacing w:line="269" w:lineRule="auto"/>
              <w:jc w:val="left"/>
              <w:rPr>
                <w:rFonts w:hint="eastAsia" w:ascii="宋体" w:hAnsi="宋体" w:eastAsia="宋体" w:cs="Times New Roman"/>
                <w:szCs w:val="21"/>
              </w:rPr>
            </w:pPr>
            <w:r>
              <w:rPr>
                <w:rFonts w:hint="eastAsia" w:ascii="宋体" w:hAnsi="宋体" w:eastAsia="宋体" w:cs="Times New Roman"/>
                <w:szCs w:val="21"/>
              </w:rPr>
              <w:t>1.理论讲解</w:t>
            </w:r>
          </w:p>
          <w:p w14:paraId="1E3647DE">
            <w:pPr>
              <w:spacing w:line="269"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236FDF26">
            <w:pPr>
              <w:spacing w:line="269" w:lineRule="auto"/>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38" w:type="dxa"/>
            <w:vAlign w:val="center"/>
          </w:tcPr>
          <w:p w14:paraId="15D083EF">
            <w:pPr>
              <w:spacing w:line="269" w:lineRule="auto"/>
              <w:jc w:val="center"/>
              <w:rPr>
                <w:rFonts w:hint="eastAsia" w:ascii="宋体" w:hAnsi="宋体" w:eastAsia="宋体" w:cs="Times New Roman"/>
                <w:szCs w:val="21"/>
              </w:rPr>
            </w:pPr>
            <w:r>
              <w:rPr>
                <w:rFonts w:hint="eastAsia" w:ascii="宋体" w:hAnsi="宋体" w:eastAsia="宋体" w:cs="Times New Roman"/>
                <w:szCs w:val="21"/>
              </w:rPr>
              <w:t>1</w:t>
            </w:r>
          </w:p>
        </w:tc>
      </w:tr>
      <w:tr w14:paraId="444A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7CAA370E">
            <w:pPr>
              <w:spacing w:line="264" w:lineRule="auto"/>
              <w:jc w:val="center"/>
              <w:rPr>
                <w:rFonts w:hint="eastAsia" w:ascii="宋体" w:hAnsi="宋体" w:eastAsia="宋体" w:cs="Times New Roman"/>
                <w:szCs w:val="21"/>
              </w:rPr>
            </w:pPr>
          </w:p>
        </w:tc>
        <w:tc>
          <w:tcPr>
            <w:tcW w:w="8093" w:type="dxa"/>
            <w:gridSpan w:val="5"/>
            <w:vAlign w:val="center"/>
          </w:tcPr>
          <w:p w14:paraId="290F1FFB">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养成严谨治学的态度，掌握科学、严谨的学习方法，注重创新精神和实践能力的提升，增强专业自信心；增强团队合作意识与沟通表达能力。</w:t>
            </w:r>
          </w:p>
        </w:tc>
      </w:tr>
      <w:tr w14:paraId="21F4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7CC783C9">
            <w:pPr>
              <w:spacing w:line="264" w:lineRule="auto"/>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szCs w:val="21"/>
              </w:rPr>
              <w:t xml:space="preserve"> </w:t>
            </w:r>
            <w:r>
              <w:rPr>
                <w:rFonts w:hint="eastAsia" w:ascii="宋体" w:hAnsi="宋体" w:eastAsia="宋体" w:cs="Times New Roman"/>
                <w:szCs w:val="21"/>
              </w:rPr>
              <w:t>综合实践活动课程的特性、价值及理念</w:t>
            </w:r>
          </w:p>
        </w:tc>
        <w:tc>
          <w:tcPr>
            <w:tcW w:w="2174" w:type="dxa"/>
            <w:vAlign w:val="center"/>
          </w:tcPr>
          <w:p w14:paraId="0D17BA92">
            <w:pPr>
              <w:spacing w:line="269" w:lineRule="auto"/>
              <w:jc w:val="left"/>
              <w:rPr>
                <w:rFonts w:hint="eastAsia" w:ascii="宋体" w:hAnsi="宋体" w:eastAsia="宋体" w:cs="Times New Roman"/>
                <w:szCs w:val="21"/>
              </w:rPr>
            </w:pPr>
            <w:r>
              <w:rPr>
                <w:rFonts w:hint="eastAsia" w:ascii="宋体" w:hAnsi="宋体" w:eastAsia="宋体" w:cs="Times New Roman"/>
                <w:szCs w:val="21"/>
              </w:rPr>
              <w:t>（1）综合实践活动课程的特性及价值</w:t>
            </w:r>
          </w:p>
          <w:p w14:paraId="625D32F3">
            <w:pPr>
              <w:spacing w:line="269" w:lineRule="auto"/>
              <w:jc w:val="left"/>
              <w:rPr>
                <w:rFonts w:hint="eastAsia" w:ascii="宋体" w:hAnsi="宋体" w:eastAsia="宋体" w:cs="Times New Roman"/>
                <w:szCs w:val="21"/>
              </w:rPr>
            </w:pPr>
            <w:r>
              <w:rPr>
                <w:rFonts w:hint="eastAsia" w:ascii="宋体" w:hAnsi="宋体" w:eastAsia="宋体" w:cs="Times New Roman"/>
                <w:szCs w:val="21"/>
              </w:rPr>
              <w:t>（2）综合实践活动课程的基本理念</w:t>
            </w:r>
          </w:p>
        </w:tc>
        <w:tc>
          <w:tcPr>
            <w:tcW w:w="1080" w:type="dxa"/>
            <w:vAlign w:val="center"/>
          </w:tcPr>
          <w:p w14:paraId="2C789229">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966" w:type="dxa"/>
            <w:vAlign w:val="center"/>
          </w:tcPr>
          <w:p w14:paraId="288BE85E">
            <w:pPr>
              <w:spacing w:line="269" w:lineRule="auto"/>
              <w:jc w:val="left"/>
              <w:rPr>
                <w:rFonts w:hint="eastAsia" w:ascii="宋体" w:hAnsi="宋体" w:eastAsia="宋体" w:cs="Times New Roman"/>
                <w:szCs w:val="21"/>
              </w:rPr>
            </w:pPr>
            <w:r>
              <w:rPr>
                <w:rFonts w:hint="eastAsia" w:ascii="宋体" w:hAnsi="宋体" w:eastAsia="宋体" w:cs="Times New Roman"/>
                <w:szCs w:val="21"/>
              </w:rPr>
              <w:t>（1）理解综合实践活动课程的特性和价值</w:t>
            </w:r>
          </w:p>
          <w:p w14:paraId="1A5E1DD7">
            <w:pPr>
              <w:spacing w:line="269" w:lineRule="auto"/>
              <w:jc w:val="left"/>
              <w:rPr>
                <w:rFonts w:hint="eastAsia" w:ascii="宋体" w:hAnsi="宋体" w:eastAsia="宋体" w:cs="Times New Roman"/>
                <w:szCs w:val="21"/>
              </w:rPr>
            </w:pPr>
            <w:r>
              <w:rPr>
                <w:rFonts w:hint="eastAsia" w:ascii="宋体" w:hAnsi="宋体" w:eastAsia="宋体" w:cs="Times New Roman"/>
                <w:szCs w:val="21"/>
              </w:rPr>
              <w:t>（2）掌握综合实践活动课程的理念</w:t>
            </w:r>
          </w:p>
        </w:tc>
        <w:tc>
          <w:tcPr>
            <w:tcW w:w="1435" w:type="dxa"/>
            <w:vAlign w:val="center"/>
          </w:tcPr>
          <w:p w14:paraId="27AB83B8">
            <w:pPr>
              <w:spacing w:line="269" w:lineRule="auto"/>
              <w:jc w:val="left"/>
              <w:rPr>
                <w:rFonts w:hint="eastAsia" w:ascii="宋体" w:hAnsi="宋体" w:eastAsia="宋体" w:cs="Times New Roman"/>
                <w:szCs w:val="21"/>
              </w:rPr>
            </w:pPr>
            <w:r>
              <w:rPr>
                <w:rFonts w:hint="eastAsia" w:ascii="宋体" w:hAnsi="宋体" w:eastAsia="宋体" w:cs="Times New Roman"/>
                <w:szCs w:val="21"/>
              </w:rPr>
              <w:t>1.理论讲解</w:t>
            </w:r>
          </w:p>
          <w:p w14:paraId="79E8EFAC">
            <w:pPr>
              <w:spacing w:line="269"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783FA4C6">
            <w:pPr>
              <w:spacing w:line="269" w:lineRule="auto"/>
              <w:jc w:val="left"/>
              <w:rPr>
                <w:rFonts w:hint="eastAsia" w:ascii="宋体" w:hAnsi="宋体" w:eastAsia="宋体" w:cs="Times New Roman"/>
                <w:szCs w:val="21"/>
              </w:rPr>
            </w:pPr>
            <w:r>
              <w:rPr>
                <w:rFonts w:hint="eastAsia" w:ascii="宋体" w:hAnsi="宋体" w:eastAsia="宋体" w:cs="Times New Roman"/>
                <w:szCs w:val="21"/>
              </w:rPr>
              <w:t>3.课内实践</w:t>
            </w:r>
          </w:p>
          <w:p w14:paraId="3CA1338B">
            <w:pPr>
              <w:spacing w:line="269" w:lineRule="auto"/>
              <w:jc w:val="left"/>
              <w:rPr>
                <w:rFonts w:hint="eastAsia" w:ascii="宋体" w:hAnsi="宋体" w:eastAsia="宋体" w:cs="Times New Roman"/>
                <w:szCs w:val="21"/>
              </w:rPr>
            </w:pPr>
            <w:r>
              <w:rPr>
                <w:rFonts w:hint="eastAsia" w:ascii="宋体" w:hAnsi="宋体" w:eastAsia="宋体" w:cs="Times New Roman"/>
                <w:szCs w:val="21"/>
              </w:rPr>
              <w:t>4.自主学习</w:t>
            </w:r>
          </w:p>
        </w:tc>
        <w:tc>
          <w:tcPr>
            <w:tcW w:w="438" w:type="dxa"/>
            <w:vAlign w:val="center"/>
          </w:tcPr>
          <w:p w14:paraId="0F433FD4">
            <w:pPr>
              <w:spacing w:line="269" w:lineRule="auto"/>
              <w:jc w:val="center"/>
              <w:rPr>
                <w:rFonts w:hint="eastAsia" w:ascii="宋体" w:hAnsi="宋体" w:eastAsia="宋体" w:cs="Times New Roman"/>
                <w:szCs w:val="21"/>
              </w:rPr>
            </w:pPr>
            <w:r>
              <w:rPr>
                <w:rFonts w:hint="eastAsia" w:ascii="宋体" w:hAnsi="宋体" w:eastAsia="宋体" w:cs="Times New Roman"/>
                <w:szCs w:val="21"/>
              </w:rPr>
              <w:t>5</w:t>
            </w:r>
          </w:p>
        </w:tc>
      </w:tr>
      <w:tr w14:paraId="265E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37A5D417">
            <w:pPr>
              <w:spacing w:line="264" w:lineRule="auto"/>
              <w:jc w:val="center"/>
              <w:rPr>
                <w:rFonts w:hint="eastAsia" w:ascii="宋体" w:hAnsi="宋体" w:eastAsia="宋体" w:cs="Times New Roman"/>
                <w:szCs w:val="21"/>
              </w:rPr>
            </w:pPr>
          </w:p>
        </w:tc>
        <w:tc>
          <w:tcPr>
            <w:tcW w:w="8093" w:type="dxa"/>
            <w:gridSpan w:val="5"/>
            <w:vAlign w:val="center"/>
          </w:tcPr>
          <w:p w14:paraId="6FC652AA">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养成严谨治学的态度，掌握科学、严谨的学习方法，注重创新精神和实践能力的提升，增强专业自信心；增强团队合作意识与沟通表达能力。</w:t>
            </w:r>
          </w:p>
        </w:tc>
      </w:tr>
      <w:tr w14:paraId="4C98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0820149A">
            <w:pPr>
              <w:spacing w:line="264" w:lineRule="auto"/>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szCs w:val="21"/>
              </w:rPr>
              <w:t xml:space="preserve"> </w:t>
            </w:r>
            <w:r>
              <w:rPr>
                <w:rFonts w:hint="eastAsia" w:ascii="宋体" w:hAnsi="宋体" w:eastAsia="宋体" w:cs="Times New Roman"/>
                <w:szCs w:val="21"/>
              </w:rPr>
              <w:t>小学综合实践活动课程的目标与内容</w:t>
            </w:r>
          </w:p>
        </w:tc>
        <w:tc>
          <w:tcPr>
            <w:tcW w:w="2174" w:type="dxa"/>
            <w:vAlign w:val="center"/>
          </w:tcPr>
          <w:p w14:paraId="51C31323">
            <w:pPr>
              <w:spacing w:line="269" w:lineRule="auto"/>
              <w:jc w:val="left"/>
              <w:rPr>
                <w:rFonts w:hint="eastAsia" w:ascii="宋体" w:hAnsi="宋体" w:eastAsia="宋体" w:cs="Times New Roman"/>
                <w:szCs w:val="21"/>
              </w:rPr>
            </w:pPr>
            <w:r>
              <w:rPr>
                <w:rFonts w:hint="eastAsia" w:ascii="宋体" w:hAnsi="宋体" w:eastAsia="宋体" w:cs="Times New Roman"/>
                <w:szCs w:val="21"/>
              </w:rPr>
              <w:t>（1）课程目标及其分类</w:t>
            </w:r>
          </w:p>
          <w:p w14:paraId="43C21296">
            <w:pPr>
              <w:spacing w:line="269" w:lineRule="auto"/>
              <w:jc w:val="left"/>
              <w:rPr>
                <w:rFonts w:hint="eastAsia" w:ascii="宋体" w:hAnsi="宋体" w:eastAsia="宋体" w:cs="Times New Roman"/>
                <w:szCs w:val="21"/>
              </w:rPr>
            </w:pPr>
            <w:r>
              <w:rPr>
                <w:rFonts w:hint="eastAsia" w:ascii="宋体" w:hAnsi="宋体" w:eastAsia="宋体" w:cs="Times New Roman"/>
                <w:szCs w:val="21"/>
              </w:rPr>
              <w:t>（2）小学综合实践活动课程的目标及具体化</w:t>
            </w:r>
          </w:p>
          <w:p w14:paraId="074FDB6A">
            <w:pPr>
              <w:spacing w:line="269" w:lineRule="auto"/>
              <w:jc w:val="left"/>
              <w:rPr>
                <w:rFonts w:hint="eastAsia" w:ascii="宋体" w:hAnsi="宋体" w:eastAsia="宋体" w:cs="Times New Roman"/>
                <w:szCs w:val="21"/>
              </w:rPr>
            </w:pPr>
            <w:r>
              <w:rPr>
                <w:rFonts w:hint="eastAsia" w:ascii="宋体" w:hAnsi="宋体" w:eastAsia="宋体" w:cs="Times New Roman"/>
                <w:szCs w:val="21"/>
              </w:rPr>
              <w:t>（3）小学综合实践活动课程的内容</w:t>
            </w:r>
          </w:p>
        </w:tc>
        <w:tc>
          <w:tcPr>
            <w:tcW w:w="1080" w:type="dxa"/>
            <w:vAlign w:val="center"/>
          </w:tcPr>
          <w:p w14:paraId="1DA11999">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966" w:type="dxa"/>
            <w:vAlign w:val="center"/>
          </w:tcPr>
          <w:p w14:paraId="485FBCE0">
            <w:pPr>
              <w:spacing w:line="269" w:lineRule="auto"/>
              <w:jc w:val="left"/>
              <w:rPr>
                <w:rFonts w:hint="eastAsia" w:ascii="宋体" w:hAnsi="宋体" w:eastAsia="宋体" w:cs="Times New Roman"/>
                <w:szCs w:val="21"/>
              </w:rPr>
            </w:pPr>
            <w:r>
              <w:rPr>
                <w:rFonts w:hint="eastAsia" w:ascii="宋体" w:hAnsi="宋体" w:eastAsia="宋体" w:cs="Times New Roman"/>
                <w:szCs w:val="21"/>
              </w:rPr>
              <w:t>（1）熟悉综合实践活动课程的总体目标与学段目标的具体要求</w:t>
            </w:r>
          </w:p>
          <w:p w14:paraId="1BDDC35B">
            <w:pPr>
              <w:spacing w:line="269" w:lineRule="auto"/>
              <w:jc w:val="left"/>
              <w:rPr>
                <w:rFonts w:hint="eastAsia" w:ascii="宋体" w:hAnsi="宋体" w:eastAsia="宋体" w:cs="Times New Roman"/>
                <w:szCs w:val="21"/>
              </w:rPr>
            </w:pPr>
            <w:r>
              <w:rPr>
                <w:rFonts w:hint="eastAsia" w:ascii="宋体" w:hAnsi="宋体" w:eastAsia="宋体" w:cs="Times New Roman"/>
                <w:szCs w:val="21"/>
              </w:rPr>
              <w:t>（2）初步具备设计小学综合实践活动课程具体目标的意识和能力</w:t>
            </w:r>
          </w:p>
          <w:p w14:paraId="259C35B4">
            <w:pPr>
              <w:spacing w:line="269" w:lineRule="auto"/>
              <w:jc w:val="left"/>
              <w:rPr>
                <w:rFonts w:hint="eastAsia" w:ascii="宋体" w:hAnsi="宋体" w:eastAsia="宋体" w:cs="Times New Roman"/>
                <w:szCs w:val="21"/>
              </w:rPr>
            </w:pPr>
            <w:r>
              <w:rPr>
                <w:rFonts w:hint="eastAsia" w:ascii="宋体" w:hAnsi="宋体" w:eastAsia="宋体" w:cs="Times New Roman"/>
                <w:szCs w:val="21"/>
              </w:rPr>
              <w:t>（3）熟悉小学综合实践活动课程各领域的基本内容及其开发</w:t>
            </w:r>
          </w:p>
        </w:tc>
        <w:tc>
          <w:tcPr>
            <w:tcW w:w="1435" w:type="dxa"/>
            <w:vAlign w:val="center"/>
          </w:tcPr>
          <w:p w14:paraId="74C50458">
            <w:pPr>
              <w:spacing w:line="269" w:lineRule="auto"/>
              <w:jc w:val="left"/>
              <w:rPr>
                <w:rFonts w:hint="eastAsia" w:ascii="宋体" w:hAnsi="宋体" w:eastAsia="宋体" w:cs="Times New Roman"/>
                <w:szCs w:val="21"/>
              </w:rPr>
            </w:pPr>
            <w:r>
              <w:rPr>
                <w:rFonts w:hint="eastAsia" w:ascii="宋体" w:hAnsi="宋体" w:eastAsia="宋体" w:cs="Times New Roman"/>
                <w:szCs w:val="21"/>
              </w:rPr>
              <w:t>1.理论讲解</w:t>
            </w:r>
          </w:p>
          <w:p w14:paraId="45448886">
            <w:pPr>
              <w:spacing w:line="269"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71364D86">
            <w:pPr>
              <w:spacing w:line="269" w:lineRule="auto"/>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38" w:type="dxa"/>
            <w:vAlign w:val="center"/>
          </w:tcPr>
          <w:p w14:paraId="4B490D82">
            <w:pPr>
              <w:spacing w:line="269"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3E42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7FB3FB9B">
            <w:pPr>
              <w:spacing w:line="264" w:lineRule="auto"/>
              <w:jc w:val="center"/>
              <w:rPr>
                <w:rFonts w:hint="eastAsia" w:ascii="宋体" w:hAnsi="宋体" w:eastAsia="宋体" w:cs="Times New Roman"/>
                <w:szCs w:val="21"/>
              </w:rPr>
            </w:pPr>
          </w:p>
        </w:tc>
        <w:tc>
          <w:tcPr>
            <w:tcW w:w="8093" w:type="dxa"/>
            <w:gridSpan w:val="5"/>
            <w:vAlign w:val="center"/>
          </w:tcPr>
          <w:p w14:paraId="36C853C8">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养成严谨治学的态度，掌握科学、严谨的学习方法，注重创新精神和实践能力的提升，增强专业自信心；增强团队合作意识与沟通表达能力。</w:t>
            </w:r>
          </w:p>
        </w:tc>
      </w:tr>
      <w:tr w14:paraId="7758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2B11074F">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szCs w:val="21"/>
              </w:rPr>
              <w:t xml:space="preserve"> </w:t>
            </w:r>
            <w:r>
              <w:rPr>
                <w:rFonts w:hint="eastAsia" w:ascii="宋体" w:hAnsi="宋体" w:eastAsia="宋体" w:cs="Times New Roman"/>
                <w:szCs w:val="21"/>
              </w:rPr>
              <w:t>小学综合实践活动设计的原则</w:t>
            </w:r>
          </w:p>
        </w:tc>
        <w:tc>
          <w:tcPr>
            <w:tcW w:w="2174" w:type="dxa"/>
            <w:vAlign w:val="center"/>
          </w:tcPr>
          <w:p w14:paraId="4752323F">
            <w:pPr>
              <w:spacing w:line="276" w:lineRule="auto"/>
              <w:jc w:val="left"/>
              <w:rPr>
                <w:rFonts w:hint="eastAsia" w:ascii="宋体" w:hAnsi="宋体" w:eastAsia="宋体" w:cs="Times New Roman"/>
                <w:szCs w:val="21"/>
              </w:rPr>
            </w:pPr>
            <w:r>
              <w:rPr>
                <w:rFonts w:hint="eastAsia" w:ascii="宋体" w:hAnsi="宋体" w:eastAsia="宋体" w:cs="Times New Roman"/>
                <w:szCs w:val="21"/>
              </w:rPr>
              <w:t>（1）影响小学综合实践活动设计的主要因素</w:t>
            </w:r>
          </w:p>
          <w:p w14:paraId="375E7ED8">
            <w:pPr>
              <w:spacing w:line="276" w:lineRule="auto"/>
              <w:jc w:val="left"/>
              <w:rPr>
                <w:rFonts w:hint="eastAsia" w:ascii="宋体" w:hAnsi="宋体" w:eastAsia="宋体" w:cs="Times New Roman"/>
                <w:szCs w:val="21"/>
              </w:rPr>
            </w:pPr>
            <w:r>
              <w:rPr>
                <w:rFonts w:hint="eastAsia" w:ascii="宋体" w:hAnsi="宋体" w:eastAsia="宋体" w:cs="Times New Roman"/>
                <w:szCs w:val="21"/>
              </w:rPr>
              <w:t>（2）小学综合实践活动设计的基本要求</w:t>
            </w:r>
          </w:p>
          <w:p w14:paraId="3F34E3C9">
            <w:pPr>
              <w:spacing w:line="276" w:lineRule="auto"/>
              <w:jc w:val="left"/>
              <w:rPr>
                <w:rFonts w:hint="eastAsia" w:ascii="宋体" w:hAnsi="宋体" w:eastAsia="宋体" w:cs="Times New Roman"/>
                <w:szCs w:val="21"/>
              </w:rPr>
            </w:pPr>
            <w:r>
              <w:rPr>
                <w:rFonts w:hint="eastAsia" w:ascii="宋体" w:hAnsi="宋体" w:eastAsia="宋体" w:cs="Times New Roman"/>
                <w:szCs w:val="21"/>
              </w:rPr>
              <w:t>（3）小学综合实践活动设计的一般原则</w:t>
            </w:r>
          </w:p>
        </w:tc>
        <w:tc>
          <w:tcPr>
            <w:tcW w:w="1080" w:type="dxa"/>
            <w:vAlign w:val="center"/>
          </w:tcPr>
          <w:p w14:paraId="6B135C26">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课程目标2、4</w:t>
            </w:r>
          </w:p>
        </w:tc>
        <w:tc>
          <w:tcPr>
            <w:tcW w:w="2966" w:type="dxa"/>
            <w:vAlign w:val="center"/>
          </w:tcPr>
          <w:p w14:paraId="60C31E9B">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（1）了解并能结合实例分析影响小学综合实践活动设计的主要因素</w:t>
            </w:r>
          </w:p>
          <w:p w14:paraId="387A0371">
            <w:pPr>
              <w:spacing w:line="276" w:lineRule="auto"/>
              <w:jc w:val="left"/>
              <w:rPr>
                <w:rFonts w:hint="eastAsia" w:ascii="宋体" w:hAnsi="宋体" w:eastAsia="宋体" w:cs="Times New Roman"/>
                <w:szCs w:val="21"/>
              </w:rPr>
            </w:pPr>
            <w:r>
              <w:rPr>
                <w:rFonts w:hint="eastAsia" w:ascii="宋体" w:hAnsi="宋体" w:eastAsia="宋体" w:cs="Times New Roman"/>
                <w:szCs w:val="21"/>
              </w:rPr>
              <w:t>（2）初步掌握小学综合实践活动设计的基本要求及一般原则</w:t>
            </w:r>
          </w:p>
        </w:tc>
        <w:tc>
          <w:tcPr>
            <w:tcW w:w="1435" w:type="dxa"/>
            <w:vAlign w:val="center"/>
          </w:tcPr>
          <w:p w14:paraId="3BE2C571">
            <w:pPr>
              <w:spacing w:line="269" w:lineRule="auto"/>
              <w:jc w:val="left"/>
              <w:rPr>
                <w:rFonts w:hint="eastAsia" w:ascii="宋体" w:hAnsi="宋体" w:eastAsia="宋体" w:cs="Times New Roman"/>
                <w:szCs w:val="21"/>
              </w:rPr>
            </w:pPr>
            <w:r>
              <w:rPr>
                <w:rFonts w:hint="eastAsia" w:ascii="宋体" w:hAnsi="宋体" w:eastAsia="宋体" w:cs="Times New Roman"/>
                <w:szCs w:val="21"/>
              </w:rPr>
              <w:t>1.理论讲解</w:t>
            </w:r>
          </w:p>
          <w:p w14:paraId="05BD4D28">
            <w:pPr>
              <w:spacing w:line="269"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4A45A77C">
            <w:pPr>
              <w:spacing w:line="269" w:lineRule="auto"/>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自主学习</w:t>
            </w:r>
          </w:p>
        </w:tc>
        <w:tc>
          <w:tcPr>
            <w:tcW w:w="438" w:type="dxa"/>
            <w:vAlign w:val="center"/>
          </w:tcPr>
          <w:p w14:paraId="6D372379">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1896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26C66943">
            <w:pPr>
              <w:spacing w:line="276" w:lineRule="auto"/>
              <w:jc w:val="center"/>
              <w:rPr>
                <w:rFonts w:hint="eastAsia" w:ascii="宋体" w:hAnsi="宋体" w:eastAsia="宋体" w:cs="Times New Roman"/>
                <w:szCs w:val="21"/>
              </w:rPr>
            </w:pPr>
          </w:p>
        </w:tc>
        <w:tc>
          <w:tcPr>
            <w:tcW w:w="8093" w:type="dxa"/>
            <w:gridSpan w:val="5"/>
            <w:vAlign w:val="center"/>
          </w:tcPr>
          <w:p w14:paraId="24C0EECE">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养成严谨治学的态度，掌握科学、严谨的学习方法，强化学习意识，注重创新精神和实践能力的提升，树立以学生为主体的设计理念，增强团队合作意识与沟通表达能力。</w:t>
            </w:r>
          </w:p>
        </w:tc>
      </w:tr>
      <w:tr w14:paraId="1F01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53AC1E7A">
            <w:pPr>
              <w:spacing w:line="276" w:lineRule="auto"/>
              <w:jc w:val="center"/>
              <w:rPr>
                <w:rFonts w:hint="eastAsia" w:ascii="宋体" w:hAnsi="宋体" w:eastAsia="宋体" w:cs="Times New Roman"/>
                <w:szCs w:val="21"/>
              </w:rPr>
            </w:pPr>
            <w:bookmarkStart w:id="1750" w:name="_Hlk183762484"/>
            <w:r>
              <w:rPr>
                <w:rFonts w:hint="eastAsia" w:ascii="宋体" w:hAnsi="宋体" w:eastAsia="宋体" w:cs="Times New Roman"/>
                <w:szCs w:val="21"/>
              </w:rPr>
              <w:t>5</w:t>
            </w:r>
            <w:r>
              <w:rPr>
                <w:rFonts w:ascii="宋体" w:hAnsi="宋体" w:eastAsia="宋体" w:cs="Times New Roman"/>
                <w:szCs w:val="21"/>
              </w:rPr>
              <w:t>.</w:t>
            </w:r>
            <w:r>
              <w:rPr>
                <w:rFonts w:hint="eastAsia"/>
                <w:szCs w:val="21"/>
              </w:rPr>
              <w:t xml:space="preserve"> </w:t>
            </w:r>
            <w:r>
              <w:rPr>
                <w:rFonts w:hint="eastAsia" w:ascii="宋体" w:hAnsi="宋体" w:eastAsia="宋体" w:cs="Times New Roman"/>
                <w:szCs w:val="21"/>
              </w:rPr>
              <w:t>小学综合实践活动设计的过程</w:t>
            </w:r>
          </w:p>
        </w:tc>
        <w:tc>
          <w:tcPr>
            <w:tcW w:w="2174" w:type="dxa"/>
            <w:vAlign w:val="center"/>
          </w:tcPr>
          <w:p w14:paraId="0D1A1221">
            <w:pPr>
              <w:spacing w:line="276" w:lineRule="auto"/>
              <w:jc w:val="left"/>
              <w:rPr>
                <w:rFonts w:hint="eastAsia" w:ascii="宋体" w:hAnsi="宋体" w:eastAsia="宋体" w:cs="Times New Roman"/>
                <w:szCs w:val="21"/>
              </w:rPr>
            </w:pPr>
            <w:r>
              <w:rPr>
                <w:rFonts w:hint="eastAsia" w:ascii="宋体" w:hAnsi="宋体" w:eastAsia="宋体" w:cs="Times New Roman"/>
                <w:szCs w:val="21"/>
              </w:rPr>
              <w:t>（1）小学综合实践活动设计的一般过程</w:t>
            </w:r>
          </w:p>
          <w:p w14:paraId="3C362D5E">
            <w:pPr>
              <w:spacing w:line="276" w:lineRule="auto"/>
              <w:jc w:val="left"/>
              <w:rPr>
                <w:rFonts w:hint="eastAsia" w:ascii="宋体" w:hAnsi="宋体" w:eastAsia="宋体" w:cs="Times New Roman"/>
                <w:szCs w:val="21"/>
              </w:rPr>
            </w:pPr>
            <w:r>
              <w:rPr>
                <w:rFonts w:hint="eastAsia" w:ascii="宋体" w:hAnsi="宋体" w:eastAsia="宋体" w:cs="Times New Roman"/>
                <w:szCs w:val="21"/>
              </w:rPr>
              <w:t>（2）小学综合实践活动方案的生成</w:t>
            </w:r>
          </w:p>
          <w:p w14:paraId="05773D87">
            <w:pPr>
              <w:spacing w:line="276" w:lineRule="auto"/>
              <w:jc w:val="left"/>
              <w:rPr>
                <w:rFonts w:hint="eastAsia" w:ascii="宋体" w:hAnsi="宋体" w:eastAsia="宋体" w:cs="Times New Roman"/>
                <w:szCs w:val="21"/>
              </w:rPr>
            </w:pPr>
            <w:r>
              <w:rPr>
                <w:rFonts w:hint="eastAsia" w:ascii="宋体" w:hAnsi="宋体" w:eastAsia="宋体" w:cs="Times New Roman"/>
                <w:szCs w:val="21"/>
              </w:rPr>
              <w:t>（3）小学综合实践活动方案的撰写及呈现形式</w:t>
            </w:r>
          </w:p>
        </w:tc>
        <w:tc>
          <w:tcPr>
            <w:tcW w:w="1080" w:type="dxa"/>
            <w:vAlign w:val="center"/>
          </w:tcPr>
          <w:p w14:paraId="4A80175E">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课程目标2、4</w:t>
            </w:r>
          </w:p>
        </w:tc>
        <w:tc>
          <w:tcPr>
            <w:tcW w:w="2966" w:type="dxa"/>
            <w:vAlign w:val="center"/>
          </w:tcPr>
          <w:p w14:paraId="2F0D5B40">
            <w:pPr>
              <w:spacing w:line="276" w:lineRule="auto"/>
              <w:jc w:val="left"/>
              <w:rPr>
                <w:rFonts w:hint="eastAsia" w:ascii="宋体" w:hAnsi="宋体" w:eastAsia="宋体" w:cs="Times New Roman"/>
                <w:szCs w:val="21"/>
              </w:rPr>
            </w:pPr>
            <w:r>
              <w:rPr>
                <w:rFonts w:hint="eastAsia" w:ascii="宋体" w:hAnsi="宋体" w:eastAsia="宋体" w:cs="Times New Roman"/>
                <w:szCs w:val="21"/>
              </w:rPr>
              <w:t>（1）理解小学综合实践活动设计的一般过程</w:t>
            </w:r>
          </w:p>
          <w:p w14:paraId="2E726185">
            <w:pPr>
              <w:spacing w:line="276" w:lineRule="auto"/>
              <w:jc w:val="left"/>
              <w:rPr>
                <w:rFonts w:hint="eastAsia" w:ascii="宋体" w:hAnsi="宋体" w:eastAsia="宋体" w:cs="Times New Roman"/>
                <w:szCs w:val="21"/>
              </w:rPr>
            </w:pPr>
            <w:r>
              <w:rPr>
                <w:rFonts w:hint="eastAsia" w:ascii="宋体" w:hAnsi="宋体" w:eastAsia="宋体" w:cs="Times New Roman"/>
                <w:szCs w:val="21"/>
              </w:rPr>
              <w:t>（2）掌握小学综合实践活动设计方案的设计方法</w:t>
            </w:r>
          </w:p>
          <w:p w14:paraId="7513F8CA">
            <w:pPr>
              <w:spacing w:line="276" w:lineRule="auto"/>
              <w:jc w:val="left"/>
              <w:rPr>
                <w:rFonts w:hint="eastAsia" w:ascii="宋体" w:hAnsi="宋体" w:eastAsia="宋体" w:cs="Times New Roman"/>
                <w:szCs w:val="21"/>
              </w:rPr>
            </w:pPr>
            <w:r>
              <w:rPr>
                <w:rFonts w:hint="eastAsia" w:ascii="宋体" w:hAnsi="宋体" w:eastAsia="宋体" w:cs="Times New Roman"/>
                <w:szCs w:val="21"/>
              </w:rPr>
              <w:t>（3）会独立撰写小学综合实践活动设计方案，并能用恰当的方式呈现</w:t>
            </w:r>
          </w:p>
        </w:tc>
        <w:tc>
          <w:tcPr>
            <w:tcW w:w="1435" w:type="dxa"/>
            <w:vAlign w:val="center"/>
          </w:tcPr>
          <w:p w14:paraId="1A3C568B">
            <w:pPr>
              <w:spacing w:line="269" w:lineRule="auto"/>
              <w:jc w:val="left"/>
              <w:rPr>
                <w:rFonts w:hint="eastAsia" w:ascii="宋体" w:hAnsi="宋体" w:eastAsia="宋体" w:cs="Times New Roman"/>
                <w:szCs w:val="21"/>
              </w:rPr>
            </w:pPr>
            <w:r>
              <w:rPr>
                <w:rFonts w:hint="eastAsia" w:ascii="宋体" w:hAnsi="宋体" w:eastAsia="宋体" w:cs="Times New Roman"/>
                <w:szCs w:val="21"/>
              </w:rPr>
              <w:t>1.理论讲解</w:t>
            </w:r>
          </w:p>
          <w:p w14:paraId="17D0E166">
            <w:pPr>
              <w:spacing w:line="269"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4363C3CC">
            <w:pPr>
              <w:spacing w:line="269" w:lineRule="auto"/>
              <w:jc w:val="left"/>
              <w:rPr>
                <w:rFonts w:hint="eastAsia" w:ascii="宋体" w:hAnsi="宋体" w:eastAsia="宋体" w:cs="Times New Roman"/>
                <w:szCs w:val="21"/>
              </w:rPr>
            </w:pPr>
            <w:r>
              <w:rPr>
                <w:rFonts w:hint="eastAsia" w:ascii="宋体" w:hAnsi="宋体" w:eastAsia="宋体" w:cs="Times New Roman"/>
                <w:szCs w:val="21"/>
              </w:rPr>
              <w:t>3.方案设计</w:t>
            </w:r>
          </w:p>
          <w:p w14:paraId="655B365C">
            <w:pPr>
              <w:spacing w:line="269" w:lineRule="auto"/>
              <w:jc w:val="left"/>
              <w:rPr>
                <w:rFonts w:hint="eastAsia" w:ascii="宋体" w:hAnsi="宋体" w:eastAsia="宋体" w:cs="Times New Roman"/>
                <w:szCs w:val="21"/>
              </w:rPr>
            </w:pPr>
            <w:r>
              <w:rPr>
                <w:rFonts w:hint="eastAsia" w:ascii="宋体" w:hAnsi="宋体" w:eastAsia="宋体" w:cs="Times New Roman"/>
                <w:szCs w:val="21"/>
              </w:rPr>
              <w:t>4.自主学习</w:t>
            </w:r>
          </w:p>
        </w:tc>
        <w:tc>
          <w:tcPr>
            <w:tcW w:w="438" w:type="dxa"/>
            <w:vAlign w:val="center"/>
          </w:tcPr>
          <w:p w14:paraId="77414BAC">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5757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0577C05C">
            <w:pPr>
              <w:spacing w:line="276" w:lineRule="auto"/>
              <w:jc w:val="center"/>
              <w:rPr>
                <w:rFonts w:hint="eastAsia" w:ascii="宋体" w:hAnsi="宋体" w:eastAsia="宋体" w:cs="Times New Roman"/>
                <w:szCs w:val="21"/>
              </w:rPr>
            </w:pPr>
          </w:p>
        </w:tc>
        <w:tc>
          <w:tcPr>
            <w:tcW w:w="8093" w:type="dxa"/>
            <w:gridSpan w:val="5"/>
            <w:vAlign w:val="center"/>
          </w:tcPr>
          <w:p w14:paraId="5E1B45F6">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养成严谨治学的态度，掌握科学、严谨的学习方法，强化学习意识，注重创新精神和实践能力的提升，树立以学生为主体的设计理念，增强团队合作意识与沟通表达能力。</w:t>
            </w:r>
          </w:p>
        </w:tc>
      </w:tr>
      <w:tr w14:paraId="1805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620F383A">
            <w:pPr>
              <w:spacing w:line="276" w:lineRule="auto"/>
              <w:jc w:val="center"/>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w:t>
            </w:r>
            <w:r>
              <w:rPr>
                <w:rFonts w:hint="eastAsia"/>
                <w:szCs w:val="21"/>
              </w:rPr>
              <w:t xml:space="preserve"> </w:t>
            </w:r>
            <w:r>
              <w:rPr>
                <w:rFonts w:hint="eastAsia" w:ascii="宋体" w:hAnsi="宋体" w:eastAsia="宋体" w:cs="Times New Roman"/>
                <w:szCs w:val="21"/>
              </w:rPr>
              <w:t>小学综合实践活动设计的方法</w:t>
            </w:r>
          </w:p>
        </w:tc>
        <w:tc>
          <w:tcPr>
            <w:tcW w:w="2174" w:type="dxa"/>
            <w:vAlign w:val="center"/>
          </w:tcPr>
          <w:p w14:paraId="7CED04A0">
            <w:pPr>
              <w:spacing w:line="276" w:lineRule="auto"/>
              <w:jc w:val="left"/>
              <w:rPr>
                <w:rFonts w:hint="eastAsia" w:ascii="宋体" w:hAnsi="宋体" w:eastAsia="宋体" w:cs="Times New Roman"/>
                <w:szCs w:val="21"/>
              </w:rPr>
            </w:pPr>
            <w:r>
              <w:rPr>
                <w:rFonts w:hint="eastAsia" w:ascii="宋体" w:hAnsi="宋体" w:eastAsia="宋体" w:cs="Times New Roman"/>
                <w:szCs w:val="21"/>
              </w:rPr>
              <w:t>（1）小学综合实践活动总体规划及其方法</w:t>
            </w:r>
          </w:p>
          <w:p w14:paraId="2BD75C1F">
            <w:pPr>
              <w:spacing w:line="276" w:lineRule="auto"/>
              <w:jc w:val="left"/>
              <w:rPr>
                <w:rFonts w:hint="eastAsia" w:ascii="宋体" w:hAnsi="宋体" w:eastAsia="宋体" w:cs="Times New Roman"/>
                <w:szCs w:val="21"/>
              </w:rPr>
            </w:pPr>
            <w:r>
              <w:rPr>
                <w:rFonts w:hint="eastAsia" w:ascii="宋体" w:hAnsi="宋体" w:eastAsia="宋体" w:cs="Times New Roman"/>
                <w:szCs w:val="21"/>
              </w:rPr>
              <w:t>（2）小学综合实践活动系列主题活动的设计</w:t>
            </w:r>
          </w:p>
          <w:p w14:paraId="7FF5DD9C">
            <w:pPr>
              <w:spacing w:line="276" w:lineRule="auto"/>
              <w:jc w:val="left"/>
              <w:rPr>
                <w:rFonts w:hint="eastAsia" w:ascii="宋体" w:hAnsi="宋体" w:eastAsia="宋体" w:cs="Times New Roman"/>
                <w:szCs w:val="21"/>
              </w:rPr>
            </w:pPr>
            <w:r>
              <w:rPr>
                <w:rFonts w:hint="eastAsia" w:ascii="宋体" w:hAnsi="宋体" w:eastAsia="宋体" w:cs="Times New Roman"/>
                <w:szCs w:val="21"/>
              </w:rPr>
              <w:t>（3）小学综合实践活动单一主题活动的设计</w:t>
            </w:r>
          </w:p>
        </w:tc>
        <w:tc>
          <w:tcPr>
            <w:tcW w:w="1080" w:type="dxa"/>
            <w:vAlign w:val="center"/>
          </w:tcPr>
          <w:p w14:paraId="1643AD66">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课程目标2、4</w:t>
            </w:r>
          </w:p>
        </w:tc>
        <w:tc>
          <w:tcPr>
            <w:tcW w:w="2966" w:type="dxa"/>
            <w:vAlign w:val="center"/>
          </w:tcPr>
          <w:p w14:paraId="3D5FE21E">
            <w:pPr>
              <w:spacing w:line="276" w:lineRule="auto"/>
              <w:jc w:val="left"/>
              <w:rPr>
                <w:rFonts w:hint="eastAsia" w:ascii="宋体" w:hAnsi="宋体" w:eastAsia="宋体" w:cs="Times New Roman"/>
                <w:szCs w:val="21"/>
              </w:rPr>
            </w:pPr>
            <w:r>
              <w:rPr>
                <w:rFonts w:hint="eastAsia" w:ascii="宋体" w:hAnsi="宋体" w:eastAsia="宋体" w:cs="Times New Roman"/>
                <w:szCs w:val="21"/>
              </w:rPr>
              <w:t>（1）理解综合实践活动总体规划的含义、内容及方法</w:t>
            </w:r>
          </w:p>
          <w:p w14:paraId="22727E5A">
            <w:pPr>
              <w:spacing w:line="276" w:lineRule="auto"/>
              <w:jc w:val="left"/>
              <w:rPr>
                <w:rFonts w:hint="eastAsia" w:ascii="宋体" w:hAnsi="宋体" w:eastAsia="宋体" w:cs="Times New Roman"/>
                <w:szCs w:val="21"/>
              </w:rPr>
            </w:pPr>
            <w:r>
              <w:rPr>
                <w:rFonts w:hint="eastAsia" w:ascii="宋体" w:hAnsi="宋体" w:eastAsia="宋体" w:cs="Times New Roman"/>
                <w:szCs w:val="21"/>
              </w:rPr>
              <w:t>（2）学会系列主题活动和单一主题活动方案的设计</w:t>
            </w:r>
          </w:p>
          <w:p w14:paraId="1D661A4A">
            <w:pPr>
              <w:spacing w:line="276" w:lineRule="auto"/>
              <w:jc w:val="left"/>
              <w:rPr>
                <w:rFonts w:hint="eastAsia" w:ascii="宋体" w:hAnsi="宋体" w:eastAsia="宋体" w:cs="Times New Roman"/>
                <w:szCs w:val="21"/>
              </w:rPr>
            </w:pPr>
            <w:r>
              <w:rPr>
                <w:rFonts w:hint="eastAsia" w:ascii="宋体" w:hAnsi="宋体" w:eastAsia="宋体" w:cs="Times New Roman"/>
                <w:szCs w:val="21"/>
              </w:rPr>
              <w:t>（3）理解综合实践主题活动设计的整合思路和方法</w:t>
            </w:r>
          </w:p>
        </w:tc>
        <w:tc>
          <w:tcPr>
            <w:tcW w:w="1435" w:type="dxa"/>
            <w:vAlign w:val="center"/>
          </w:tcPr>
          <w:p w14:paraId="710B4952">
            <w:pPr>
              <w:spacing w:line="269" w:lineRule="auto"/>
              <w:jc w:val="left"/>
              <w:rPr>
                <w:rFonts w:hint="eastAsia" w:ascii="宋体" w:hAnsi="宋体" w:eastAsia="宋体" w:cs="Times New Roman"/>
                <w:szCs w:val="21"/>
              </w:rPr>
            </w:pPr>
            <w:r>
              <w:rPr>
                <w:rFonts w:hint="eastAsia" w:ascii="宋体" w:hAnsi="宋体" w:eastAsia="宋体" w:cs="Times New Roman"/>
                <w:szCs w:val="21"/>
              </w:rPr>
              <w:t>1.理论讲解</w:t>
            </w:r>
          </w:p>
          <w:p w14:paraId="5908B0B8">
            <w:pPr>
              <w:spacing w:line="269"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3D706C45">
            <w:pPr>
              <w:spacing w:line="269" w:lineRule="auto"/>
              <w:jc w:val="left"/>
              <w:rPr>
                <w:rFonts w:hint="eastAsia" w:ascii="宋体" w:hAnsi="宋体" w:eastAsia="宋体" w:cs="Times New Roman"/>
                <w:szCs w:val="21"/>
              </w:rPr>
            </w:pPr>
            <w:r>
              <w:rPr>
                <w:rFonts w:hint="eastAsia" w:ascii="宋体" w:hAnsi="宋体" w:eastAsia="宋体" w:cs="Times New Roman"/>
                <w:szCs w:val="21"/>
              </w:rPr>
              <w:t>3.方案设计</w:t>
            </w:r>
          </w:p>
          <w:p w14:paraId="1CF65C59">
            <w:pPr>
              <w:spacing w:line="269" w:lineRule="auto"/>
              <w:jc w:val="left"/>
              <w:rPr>
                <w:rFonts w:hint="eastAsia" w:ascii="宋体" w:hAnsi="宋体" w:eastAsia="宋体" w:cs="Times New Roman"/>
                <w:szCs w:val="21"/>
              </w:rPr>
            </w:pPr>
            <w:r>
              <w:rPr>
                <w:rFonts w:hint="eastAsia" w:ascii="宋体" w:hAnsi="宋体" w:eastAsia="宋体" w:cs="Times New Roman"/>
                <w:szCs w:val="21"/>
              </w:rPr>
              <w:t>4.自主学习</w:t>
            </w:r>
          </w:p>
        </w:tc>
        <w:tc>
          <w:tcPr>
            <w:tcW w:w="438" w:type="dxa"/>
            <w:vAlign w:val="center"/>
          </w:tcPr>
          <w:p w14:paraId="32418E89">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bookmarkEnd w:id="1750"/>
      <w:tr w14:paraId="12E1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36695F52">
            <w:pPr>
              <w:spacing w:line="276" w:lineRule="auto"/>
              <w:jc w:val="center"/>
              <w:rPr>
                <w:rFonts w:hint="eastAsia" w:ascii="宋体" w:hAnsi="宋体" w:eastAsia="宋体" w:cs="Times New Roman"/>
                <w:szCs w:val="21"/>
              </w:rPr>
            </w:pPr>
          </w:p>
        </w:tc>
        <w:tc>
          <w:tcPr>
            <w:tcW w:w="8093" w:type="dxa"/>
            <w:gridSpan w:val="5"/>
            <w:vAlign w:val="center"/>
          </w:tcPr>
          <w:p w14:paraId="037AA38F">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养成严谨治学的态度，掌握科学、严谨的学习方法，强化学习意识，注重创新精神和实践能力的提升，树立以学生为主体的设计理念，增强团队合作意识与沟通表达能力。</w:t>
            </w:r>
          </w:p>
        </w:tc>
      </w:tr>
      <w:tr w14:paraId="77B8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6BFE48C4">
            <w:pPr>
              <w:spacing w:line="276" w:lineRule="auto"/>
              <w:jc w:val="center"/>
              <w:rPr>
                <w:rFonts w:hint="eastAsia" w:ascii="宋体" w:hAnsi="宋体" w:eastAsia="宋体" w:cs="Times New Roman"/>
                <w:szCs w:val="21"/>
              </w:rPr>
            </w:pPr>
            <w:r>
              <w:rPr>
                <w:rFonts w:hint="eastAsia" w:ascii="宋体" w:hAnsi="宋体" w:eastAsia="宋体" w:cs="Times New Roman"/>
                <w:szCs w:val="21"/>
              </w:rPr>
              <w:t>7</w:t>
            </w:r>
            <w:r>
              <w:rPr>
                <w:rFonts w:ascii="宋体" w:hAnsi="宋体" w:eastAsia="宋体" w:cs="Times New Roman"/>
                <w:szCs w:val="21"/>
              </w:rPr>
              <w:t>.</w:t>
            </w:r>
            <w:r>
              <w:rPr>
                <w:rFonts w:hint="eastAsia"/>
                <w:szCs w:val="21"/>
              </w:rPr>
              <w:t xml:space="preserve"> </w:t>
            </w:r>
            <w:r>
              <w:rPr>
                <w:rFonts w:hint="eastAsia" w:ascii="宋体" w:hAnsi="宋体" w:eastAsia="宋体" w:cs="Times New Roman"/>
                <w:szCs w:val="21"/>
              </w:rPr>
              <w:t>小学综合实践活动方案的优化</w:t>
            </w:r>
          </w:p>
        </w:tc>
        <w:tc>
          <w:tcPr>
            <w:tcW w:w="2174" w:type="dxa"/>
            <w:vAlign w:val="center"/>
          </w:tcPr>
          <w:p w14:paraId="153A6C6F">
            <w:pPr>
              <w:spacing w:line="276" w:lineRule="auto"/>
              <w:jc w:val="left"/>
              <w:rPr>
                <w:rFonts w:hint="eastAsia" w:ascii="宋体" w:hAnsi="宋体" w:eastAsia="宋体" w:cs="Times New Roman"/>
                <w:szCs w:val="21"/>
              </w:rPr>
            </w:pPr>
            <w:r>
              <w:rPr>
                <w:rFonts w:hint="eastAsia" w:ascii="宋体" w:hAnsi="宋体" w:eastAsia="宋体" w:cs="Times New Roman"/>
                <w:szCs w:val="21"/>
              </w:rPr>
              <w:t>（1）小学综合实践活动方案的评价</w:t>
            </w:r>
          </w:p>
          <w:p w14:paraId="7D5EA115">
            <w:pPr>
              <w:spacing w:line="276" w:lineRule="auto"/>
              <w:jc w:val="left"/>
              <w:rPr>
                <w:rFonts w:hint="eastAsia" w:ascii="宋体" w:hAnsi="宋体" w:eastAsia="宋体" w:cs="Times New Roman"/>
                <w:szCs w:val="21"/>
              </w:rPr>
            </w:pPr>
            <w:r>
              <w:rPr>
                <w:rFonts w:hint="eastAsia" w:ascii="宋体" w:hAnsi="宋体" w:eastAsia="宋体" w:cs="Times New Roman"/>
                <w:szCs w:val="21"/>
              </w:rPr>
              <w:t>（2）小学综合实践活动方案的优化</w:t>
            </w:r>
          </w:p>
        </w:tc>
        <w:tc>
          <w:tcPr>
            <w:tcW w:w="1080" w:type="dxa"/>
            <w:vAlign w:val="center"/>
          </w:tcPr>
          <w:p w14:paraId="32569CC3">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课程目标2、4</w:t>
            </w:r>
          </w:p>
        </w:tc>
        <w:tc>
          <w:tcPr>
            <w:tcW w:w="2966" w:type="dxa"/>
            <w:vAlign w:val="center"/>
          </w:tcPr>
          <w:p w14:paraId="3FC8C1AD">
            <w:pPr>
              <w:spacing w:line="276" w:lineRule="auto"/>
              <w:jc w:val="left"/>
              <w:rPr>
                <w:rFonts w:hint="eastAsia" w:ascii="宋体" w:hAnsi="宋体" w:eastAsia="宋体" w:cs="Times New Roman"/>
                <w:szCs w:val="21"/>
              </w:rPr>
            </w:pPr>
            <w:r>
              <w:rPr>
                <w:rFonts w:hint="eastAsia" w:ascii="宋体" w:hAnsi="宋体" w:eastAsia="宋体" w:cs="Times New Roman"/>
                <w:szCs w:val="21"/>
              </w:rPr>
              <w:t>（1）理解综合实践活动方案评价的依据、内容及方法</w:t>
            </w:r>
          </w:p>
          <w:p w14:paraId="13BAE5B6">
            <w:pPr>
              <w:spacing w:line="276" w:lineRule="auto"/>
              <w:jc w:val="left"/>
              <w:rPr>
                <w:rFonts w:hint="eastAsia" w:ascii="宋体" w:hAnsi="宋体" w:eastAsia="宋体" w:cs="Times New Roman"/>
                <w:szCs w:val="21"/>
              </w:rPr>
            </w:pPr>
            <w:r>
              <w:rPr>
                <w:rFonts w:hint="eastAsia" w:ascii="宋体" w:hAnsi="宋体" w:eastAsia="宋体" w:cs="Times New Roman"/>
                <w:szCs w:val="21"/>
              </w:rPr>
              <w:t>（2）能对综合实践活动方案进行优化处理</w:t>
            </w:r>
          </w:p>
        </w:tc>
        <w:tc>
          <w:tcPr>
            <w:tcW w:w="1435" w:type="dxa"/>
            <w:vAlign w:val="center"/>
          </w:tcPr>
          <w:p w14:paraId="040B451F">
            <w:pPr>
              <w:spacing w:line="269" w:lineRule="auto"/>
              <w:jc w:val="left"/>
              <w:rPr>
                <w:rFonts w:hint="eastAsia" w:ascii="宋体" w:hAnsi="宋体" w:eastAsia="宋体" w:cs="Times New Roman"/>
                <w:szCs w:val="21"/>
              </w:rPr>
            </w:pPr>
            <w:r>
              <w:rPr>
                <w:rFonts w:hint="eastAsia" w:ascii="宋体" w:hAnsi="宋体" w:eastAsia="宋体" w:cs="Times New Roman"/>
                <w:szCs w:val="21"/>
              </w:rPr>
              <w:t>1.理论讲解</w:t>
            </w:r>
          </w:p>
          <w:p w14:paraId="3F676D1C">
            <w:pPr>
              <w:spacing w:line="269"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7DD1A382">
            <w:pPr>
              <w:spacing w:line="269" w:lineRule="auto"/>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.方案设计</w:t>
            </w:r>
          </w:p>
          <w:p w14:paraId="6E7AB859">
            <w:pPr>
              <w:spacing w:line="269" w:lineRule="auto"/>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自主学习</w:t>
            </w:r>
          </w:p>
        </w:tc>
        <w:tc>
          <w:tcPr>
            <w:tcW w:w="438" w:type="dxa"/>
            <w:vAlign w:val="center"/>
          </w:tcPr>
          <w:p w14:paraId="74FF0D90">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4B25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73BF1B7E">
            <w:pPr>
              <w:spacing w:line="276" w:lineRule="auto"/>
              <w:jc w:val="center"/>
              <w:rPr>
                <w:rFonts w:hint="eastAsia" w:ascii="宋体" w:hAnsi="宋体" w:eastAsia="宋体" w:cs="Times New Roman"/>
                <w:szCs w:val="21"/>
              </w:rPr>
            </w:pPr>
          </w:p>
        </w:tc>
        <w:tc>
          <w:tcPr>
            <w:tcW w:w="8093" w:type="dxa"/>
            <w:gridSpan w:val="5"/>
            <w:vAlign w:val="center"/>
          </w:tcPr>
          <w:p w14:paraId="058E9CE6">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养成严谨治学的态度，掌握科学、严谨的学习方法，树立全面的评价理念，增强专业自信心；增强团队合作意识与沟通表达能力。</w:t>
            </w:r>
          </w:p>
        </w:tc>
      </w:tr>
      <w:tr w14:paraId="3198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06581857">
            <w:pPr>
              <w:spacing w:line="276" w:lineRule="auto"/>
              <w:jc w:val="center"/>
              <w:rPr>
                <w:rFonts w:hint="eastAsia" w:ascii="宋体" w:hAnsi="宋体" w:eastAsia="宋体" w:cs="Times New Roman"/>
                <w:szCs w:val="21"/>
              </w:rPr>
            </w:pPr>
            <w:r>
              <w:rPr>
                <w:rFonts w:hint="eastAsia" w:ascii="宋体" w:hAnsi="宋体" w:eastAsia="宋体" w:cs="Times New Roman"/>
                <w:szCs w:val="21"/>
              </w:rPr>
              <w:t>8</w:t>
            </w:r>
            <w:r>
              <w:rPr>
                <w:rFonts w:ascii="宋体" w:hAnsi="宋体" w:eastAsia="宋体" w:cs="Times New Roman"/>
                <w:szCs w:val="21"/>
              </w:rPr>
              <w:t>.</w:t>
            </w:r>
            <w:r>
              <w:rPr>
                <w:rFonts w:hint="eastAsia"/>
                <w:szCs w:val="21"/>
              </w:rPr>
              <w:t xml:space="preserve"> </w:t>
            </w:r>
            <w:r>
              <w:rPr>
                <w:rFonts w:hint="eastAsia" w:ascii="宋体" w:hAnsi="宋体" w:eastAsia="宋体" w:cs="Times New Roman"/>
                <w:szCs w:val="21"/>
              </w:rPr>
              <w:t>小学综合实践活动课程的实施</w:t>
            </w:r>
          </w:p>
        </w:tc>
        <w:tc>
          <w:tcPr>
            <w:tcW w:w="2174" w:type="dxa"/>
            <w:vAlign w:val="center"/>
          </w:tcPr>
          <w:p w14:paraId="7CAA7407">
            <w:pPr>
              <w:spacing w:line="276" w:lineRule="auto"/>
              <w:jc w:val="left"/>
              <w:rPr>
                <w:rFonts w:hint="eastAsia" w:ascii="宋体" w:hAnsi="宋体" w:eastAsia="宋体" w:cs="Times New Roman"/>
                <w:szCs w:val="21"/>
              </w:rPr>
            </w:pPr>
            <w:r>
              <w:rPr>
                <w:rFonts w:hint="eastAsia" w:ascii="宋体" w:hAnsi="宋体" w:eastAsia="宋体" w:cs="Times New Roman"/>
                <w:szCs w:val="21"/>
              </w:rPr>
              <w:t>（1）综合实践活动课程实施的特点</w:t>
            </w:r>
          </w:p>
          <w:p w14:paraId="32323A1D">
            <w:pPr>
              <w:spacing w:line="276" w:lineRule="auto"/>
              <w:jc w:val="left"/>
              <w:rPr>
                <w:rFonts w:hint="eastAsia" w:ascii="宋体" w:hAnsi="宋体" w:eastAsia="宋体" w:cs="Times New Roman"/>
                <w:szCs w:val="21"/>
              </w:rPr>
            </w:pPr>
            <w:r>
              <w:rPr>
                <w:rFonts w:hint="eastAsia" w:ascii="宋体" w:hAnsi="宋体" w:eastAsia="宋体" w:cs="Times New Roman"/>
                <w:szCs w:val="21"/>
              </w:rPr>
              <w:t>（2）小学综合实践活动课程实施的主体、任务及过程</w:t>
            </w:r>
          </w:p>
          <w:p w14:paraId="4BEC30E4">
            <w:pPr>
              <w:spacing w:line="276" w:lineRule="auto"/>
              <w:jc w:val="left"/>
              <w:rPr>
                <w:rFonts w:hint="eastAsia" w:ascii="宋体" w:hAnsi="宋体" w:eastAsia="宋体" w:cs="Times New Roman"/>
                <w:szCs w:val="21"/>
              </w:rPr>
            </w:pPr>
            <w:r>
              <w:rPr>
                <w:rFonts w:hint="eastAsia" w:ascii="宋体" w:hAnsi="宋体" w:eastAsia="宋体" w:cs="Times New Roman"/>
                <w:szCs w:val="21"/>
              </w:rPr>
              <w:t>（3）小学综合实践活动课程实施中的问题</w:t>
            </w:r>
          </w:p>
        </w:tc>
        <w:tc>
          <w:tcPr>
            <w:tcW w:w="1080" w:type="dxa"/>
            <w:vAlign w:val="center"/>
          </w:tcPr>
          <w:p w14:paraId="3F1C8A2C">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课程目标3、4</w:t>
            </w:r>
          </w:p>
        </w:tc>
        <w:tc>
          <w:tcPr>
            <w:tcW w:w="2966" w:type="dxa"/>
            <w:vAlign w:val="center"/>
          </w:tcPr>
          <w:p w14:paraId="44ED90AD">
            <w:pPr>
              <w:spacing w:line="276" w:lineRule="auto"/>
              <w:jc w:val="left"/>
              <w:rPr>
                <w:rFonts w:hint="eastAsia" w:ascii="宋体" w:hAnsi="宋体" w:eastAsia="宋体" w:cs="Times New Roman"/>
                <w:szCs w:val="21"/>
              </w:rPr>
            </w:pPr>
            <w:r>
              <w:rPr>
                <w:rFonts w:hint="eastAsia" w:ascii="宋体" w:hAnsi="宋体" w:eastAsia="宋体" w:cs="Times New Roman"/>
                <w:szCs w:val="21"/>
              </w:rPr>
              <w:t>（1）了解小学综合实践活动课程实施的特点、主体、任务与过程</w:t>
            </w:r>
          </w:p>
          <w:p w14:paraId="68D41CC1">
            <w:pPr>
              <w:spacing w:line="276" w:lineRule="auto"/>
              <w:jc w:val="left"/>
              <w:rPr>
                <w:rFonts w:hint="eastAsia" w:ascii="宋体" w:hAnsi="宋体" w:eastAsia="宋体" w:cs="Times New Roman"/>
                <w:szCs w:val="21"/>
              </w:rPr>
            </w:pPr>
            <w:r>
              <w:rPr>
                <w:rFonts w:hint="eastAsia" w:ascii="宋体" w:hAnsi="宋体" w:eastAsia="宋体" w:cs="Times New Roman"/>
                <w:szCs w:val="21"/>
              </w:rPr>
              <w:t>（2）正确对待小学综合实践活动课程中的问题</w:t>
            </w:r>
          </w:p>
          <w:p w14:paraId="2C600523">
            <w:pPr>
              <w:spacing w:line="276" w:lineRule="auto"/>
              <w:jc w:val="left"/>
              <w:rPr>
                <w:rFonts w:hint="eastAsia" w:ascii="宋体" w:hAnsi="宋体" w:eastAsia="宋体" w:cs="Times New Roman"/>
                <w:szCs w:val="21"/>
              </w:rPr>
            </w:pPr>
            <w:r>
              <w:rPr>
                <w:rFonts w:hint="eastAsia" w:ascii="宋体" w:hAnsi="宋体" w:eastAsia="宋体" w:cs="Times New Roman"/>
                <w:szCs w:val="21"/>
              </w:rPr>
              <w:t>（3）具备初步实施综合实践活动课程的能力</w:t>
            </w:r>
          </w:p>
        </w:tc>
        <w:tc>
          <w:tcPr>
            <w:tcW w:w="1435" w:type="dxa"/>
            <w:vAlign w:val="center"/>
          </w:tcPr>
          <w:p w14:paraId="7AB1CE34">
            <w:pPr>
              <w:spacing w:line="269" w:lineRule="auto"/>
              <w:jc w:val="left"/>
              <w:rPr>
                <w:rFonts w:hint="eastAsia" w:ascii="宋体" w:hAnsi="宋体" w:eastAsia="宋体" w:cs="Times New Roman"/>
                <w:szCs w:val="21"/>
              </w:rPr>
            </w:pPr>
            <w:r>
              <w:rPr>
                <w:rFonts w:hint="eastAsia" w:ascii="宋体" w:hAnsi="宋体" w:eastAsia="宋体" w:cs="Times New Roman"/>
                <w:szCs w:val="21"/>
              </w:rPr>
              <w:t>1.理论讲解</w:t>
            </w:r>
          </w:p>
          <w:p w14:paraId="12408D77">
            <w:pPr>
              <w:spacing w:line="269"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517FC959">
            <w:pPr>
              <w:spacing w:line="269" w:lineRule="auto"/>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.课内实践</w:t>
            </w:r>
          </w:p>
          <w:p w14:paraId="2E5C413C">
            <w:pPr>
              <w:spacing w:line="269" w:lineRule="auto"/>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宋体" w:hAnsi="宋体" w:eastAsia="宋体" w:cs="Times New Roman"/>
                <w:szCs w:val="21"/>
              </w:rPr>
              <w:t>自主学习</w:t>
            </w:r>
          </w:p>
        </w:tc>
        <w:tc>
          <w:tcPr>
            <w:tcW w:w="438" w:type="dxa"/>
            <w:vAlign w:val="center"/>
          </w:tcPr>
          <w:p w14:paraId="243F75D6">
            <w:pPr>
              <w:spacing w:line="276" w:lineRule="auto"/>
              <w:jc w:val="center"/>
              <w:rPr>
                <w:rFonts w:hint="eastAsia" w:ascii="宋体" w:hAnsi="宋体" w:eastAsia="宋体" w:cs="Times New Roman"/>
                <w:szCs w:val="21"/>
              </w:rPr>
            </w:pPr>
            <w:r>
              <w:rPr>
                <w:rFonts w:hint="eastAsia" w:ascii="宋体" w:hAnsi="宋体" w:eastAsia="宋体" w:cs="Times New Roman"/>
                <w:szCs w:val="21"/>
              </w:rPr>
              <w:t>14</w:t>
            </w:r>
          </w:p>
        </w:tc>
      </w:tr>
      <w:tr w14:paraId="57FD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3DC7161B">
            <w:pPr>
              <w:spacing w:line="276" w:lineRule="auto"/>
              <w:jc w:val="center"/>
              <w:rPr>
                <w:rFonts w:hint="eastAsia" w:ascii="宋体" w:hAnsi="宋体" w:eastAsia="宋体" w:cs="Times New Roman"/>
                <w:szCs w:val="21"/>
              </w:rPr>
            </w:pPr>
          </w:p>
        </w:tc>
        <w:tc>
          <w:tcPr>
            <w:tcW w:w="8093" w:type="dxa"/>
            <w:gridSpan w:val="5"/>
            <w:vAlign w:val="center"/>
          </w:tcPr>
          <w:p w14:paraId="19A7DE08">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养成严谨治学的态度，掌握科学、严谨的学习方法，注重创新精神和实践能力的提升，树立全面的评价理念，增强团队合作意识与沟通表达能力。</w:t>
            </w:r>
          </w:p>
        </w:tc>
      </w:tr>
      <w:tr w14:paraId="5755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restart"/>
            <w:vAlign w:val="center"/>
          </w:tcPr>
          <w:p w14:paraId="35F0D269">
            <w:pPr>
              <w:spacing w:line="276" w:lineRule="auto"/>
              <w:jc w:val="center"/>
              <w:rPr>
                <w:rFonts w:hint="eastAsia" w:ascii="宋体" w:hAnsi="宋体" w:eastAsia="宋体" w:cs="Times New Roman"/>
                <w:szCs w:val="21"/>
              </w:rPr>
            </w:pPr>
            <w:r>
              <w:rPr>
                <w:rFonts w:hint="eastAsia" w:ascii="宋体" w:hAnsi="宋体" w:eastAsia="宋体" w:cs="Times New Roman"/>
                <w:szCs w:val="21"/>
              </w:rPr>
              <w:t>9</w:t>
            </w:r>
            <w:r>
              <w:rPr>
                <w:rFonts w:ascii="宋体" w:hAnsi="宋体" w:eastAsia="宋体" w:cs="Times New Roman"/>
                <w:szCs w:val="21"/>
              </w:rPr>
              <w:t>.</w:t>
            </w:r>
            <w:r>
              <w:rPr>
                <w:rFonts w:hint="eastAsia" w:ascii="宋体" w:hAnsi="宋体" w:eastAsia="宋体" w:cs="Times New Roman"/>
                <w:szCs w:val="21"/>
              </w:rPr>
              <w:t xml:space="preserve"> 小学综合实践活动课程的管理</w:t>
            </w:r>
          </w:p>
        </w:tc>
        <w:tc>
          <w:tcPr>
            <w:tcW w:w="2174" w:type="dxa"/>
            <w:vAlign w:val="center"/>
          </w:tcPr>
          <w:p w14:paraId="72C4DEA2">
            <w:pPr>
              <w:spacing w:line="276" w:lineRule="auto"/>
              <w:jc w:val="left"/>
              <w:rPr>
                <w:rFonts w:hint="eastAsia" w:ascii="宋体" w:hAnsi="宋体" w:eastAsia="宋体" w:cs="Times New Roman"/>
                <w:szCs w:val="21"/>
              </w:rPr>
            </w:pPr>
            <w:r>
              <w:rPr>
                <w:rFonts w:hint="eastAsia" w:ascii="宋体" w:hAnsi="宋体" w:eastAsia="宋体" w:cs="Times New Roman"/>
                <w:szCs w:val="21"/>
              </w:rPr>
              <w:t>（1）综合实践活动管理概述</w:t>
            </w:r>
          </w:p>
          <w:p w14:paraId="059DDA8D">
            <w:pPr>
              <w:spacing w:line="276" w:lineRule="auto"/>
              <w:jc w:val="left"/>
              <w:rPr>
                <w:rFonts w:hint="eastAsia" w:ascii="宋体" w:hAnsi="宋体" w:eastAsia="宋体" w:cs="Times New Roman"/>
                <w:szCs w:val="21"/>
              </w:rPr>
            </w:pPr>
            <w:r>
              <w:rPr>
                <w:rFonts w:hint="eastAsia" w:ascii="宋体" w:hAnsi="宋体" w:eastAsia="宋体" w:cs="Times New Roman"/>
                <w:szCs w:val="21"/>
              </w:rPr>
              <w:t>（2）综合实践活动课程资源的开发与利用</w:t>
            </w:r>
          </w:p>
          <w:p w14:paraId="13D603B4">
            <w:pPr>
              <w:spacing w:line="276" w:lineRule="auto"/>
              <w:jc w:val="left"/>
              <w:rPr>
                <w:rFonts w:hint="eastAsia" w:ascii="宋体" w:hAnsi="宋体" w:eastAsia="宋体" w:cs="Times New Roman"/>
                <w:szCs w:val="21"/>
              </w:rPr>
            </w:pPr>
            <w:r>
              <w:rPr>
                <w:rFonts w:hint="eastAsia" w:ascii="宋体" w:hAnsi="宋体" w:eastAsia="宋体" w:cs="Times New Roman"/>
                <w:szCs w:val="21"/>
              </w:rPr>
              <w:t>（3）综合实践活动中的指导教师</w:t>
            </w:r>
          </w:p>
          <w:p w14:paraId="1458D7E0">
            <w:pPr>
              <w:spacing w:line="276" w:lineRule="auto"/>
              <w:jc w:val="left"/>
              <w:rPr>
                <w:rFonts w:hint="eastAsia" w:ascii="宋体" w:hAnsi="宋体" w:eastAsia="宋体" w:cs="Times New Roman"/>
                <w:szCs w:val="21"/>
              </w:rPr>
            </w:pPr>
            <w:r>
              <w:rPr>
                <w:rFonts w:hint="eastAsia" w:ascii="宋体" w:hAnsi="宋体" w:eastAsia="宋体" w:cs="Times New Roman"/>
                <w:szCs w:val="21"/>
              </w:rPr>
              <w:t>（4）小学综合实践活动课程的评价</w:t>
            </w:r>
          </w:p>
        </w:tc>
        <w:tc>
          <w:tcPr>
            <w:tcW w:w="1080" w:type="dxa"/>
            <w:vAlign w:val="center"/>
          </w:tcPr>
          <w:p w14:paraId="2F5E6ACB">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课程目标3、4</w:t>
            </w:r>
          </w:p>
        </w:tc>
        <w:tc>
          <w:tcPr>
            <w:tcW w:w="2966" w:type="dxa"/>
            <w:vAlign w:val="center"/>
          </w:tcPr>
          <w:p w14:paraId="5433ACFC">
            <w:pPr>
              <w:spacing w:line="276" w:lineRule="auto"/>
              <w:jc w:val="left"/>
              <w:rPr>
                <w:rFonts w:hint="eastAsia" w:ascii="宋体" w:hAnsi="宋体" w:eastAsia="宋体" w:cs="Times New Roman"/>
                <w:szCs w:val="21"/>
              </w:rPr>
            </w:pPr>
            <w:r>
              <w:rPr>
                <w:rFonts w:hint="eastAsia" w:ascii="宋体" w:hAnsi="宋体" w:eastAsia="宋体" w:cs="Times New Roman"/>
                <w:szCs w:val="21"/>
              </w:rPr>
              <w:t>（1）明确学校在综合实践活动管理中的作用及管理要求</w:t>
            </w:r>
          </w:p>
          <w:p w14:paraId="5D802513">
            <w:pPr>
              <w:spacing w:line="276" w:lineRule="auto"/>
              <w:jc w:val="left"/>
              <w:rPr>
                <w:rFonts w:hint="eastAsia" w:ascii="宋体" w:hAnsi="宋体" w:eastAsia="宋体" w:cs="Times New Roman"/>
                <w:szCs w:val="21"/>
              </w:rPr>
            </w:pPr>
            <w:r>
              <w:rPr>
                <w:rFonts w:hint="eastAsia" w:ascii="宋体" w:hAnsi="宋体" w:eastAsia="宋体" w:cs="Times New Roman"/>
                <w:szCs w:val="21"/>
              </w:rPr>
              <w:t>（2）知道如何进行综合实践活动课程资源的开发和利用</w:t>
            </w:r>
          </w:p>
          <w:p w14:paraId="181B2877">
            <w:pPr>
              <w:spacing w:line="276" w:lineRule="auto"/>
              <w:jc w:val="left"/>
              <w:rPr>
                <w:rFonts w:hint="eastAsia" w:ascii="宋体" w:hAnsi="宋体" w:eastAsia="宋体" w:cs="Times New Roman"/>
                <w:szCs w:val="21"/>
              </w:rPr>
            </w:pPr>
            <w:r>
              <w:rPr>
                <w:rFonts w:hint="eastAsia" w:ascii="宋体" w:hAnsi="宋体" w:eastAsia="宋体" w:cs="Times New Roman"/>
                <w:szCs w:val="21"/>
              </w:rPr>
              <w:t>（3）理解指导教师在综合实践活动中的职责和义务</w:t>
            </w:r>
          </w:p>
          <w:p w14:paraId="64EC198C">
            <w:pPr>
              <w:spacing w:line="276" w:lineRule="auto"/>
              <w:jc w:val="left"/>
              <w:rPr>
                <w:rFonts w:hint="eastAsia" w:ascii="宋体" w:hAnsi="宋体" w:eastAsia="宋体" w:cs="Times New Roman"/>
                <w:szCs w:val="21"/>
              </w:rPr>
            </w:pPr>
            <w:r>
              <w:rPr>
                <w:rFonts w:hint="eastAsia" w:ascii="宋体" w:hAnsi="宋体" w:eastAsia="宋体" w:cs="Times New Roman"/>
                <w:szCs w:val="21"/>
              </w:rPr>
              <w:t>（4）明确担任综合实践活动指导教师的资格条件</w:t>
            </w:r>
          </w:p>
        </w:tc>
        <w:tc>
          <w:tcPr>
            <w:tcW w:w="1435" w:type="dxa"/>
            <w:vAlign w:val="center"/>
          </w:tcPr>
          <w:p w14:paraId="509CF22A">
            <w:pPr>
              <w:spacing w:line="269" w:lineRule="auto"/>
              <w:jc w:val="left"/>
              <w:rPr>
                <w:rFonts w:hint="eastAsia" w:ascii="宋体" w:hAnsi="宋体" w:eastAsia="宋体" w:cs="Times New Roman"/>
                <w:szCs w:val="21"/>
              </w:rPr>
            </w:pPr>
            <w:r>
              <w:rPr>
                <w:rFonts w:hint="eastAsia" w:ascii="宋体" w:hAnsi="宋体" w:eastAsia="宋体" w:cs="Times New Roman"/>
                <w:szCs w:val="21"/>
              </w:rPr>
              <w:t>1.理论讲解</w:t>
            </w:r>
          </w:p>
          <w:p w14:paraId="30031B16">
            <w:pPr>
              <w:spacing w:line="269" w:lineRule="auto"/>
              <w:jc w:val="left"/>
              <w:rPr>
                <w:rFonts w:hint="eastAsia" w:ascii="宋体" w:hAnsi="宋体" w:eastAsia="宋体" w:cs="Times New Roman"/>
                <w:szCs w:val="21"/>
              </w:rPr>
            </w:pPr>
            <w:r>
              <w:rPr>
                <w:rFonts w:hint="eastAsia" w:ascii="宋体" w:hAnsi="宋体" w:eastAsia="宋体" w:cs="Times New Roman"/>
                <w:szCs w:val="21"/>
              </w:rPr>
              <w:t>2.课堂讨论</w:t>
            </w:r>
          </w:p>
          <w:p w14:paraId="0232EF11">
            <w:pPr>
              <w:spacing w:line="269" w:lineRule="auto"/>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38" w:type="dxa"/>
            <w:vAlign w:val="center"/>
          </w:tcPr>
          <w:p w14:paraId="770A0B01">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3610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vMerge w:val="continue"/>
            <w:vAlign w:val="center"/>
          </w:tcPr>
          <w:p w14:paraId="7A0D6339">
            <w:pPr>
              <w:spacing w:line="276" w:lineRule="auto"/>
              <w:jc w:val="center"/>
              <w:rPr>
                <w:rFonts w:hint="eastAsia" w:ascii="宋体" w:hAnsi="宋体" w:eastAsia="宋体" w:cs="Times New Roman"/>
                <w:szCs w:val="21"/>
              </w:rPr>
            </w:pPr>
          </w:p>
        </w:tc>
        <w:tc>
          <w:tcPr>
            <w:tcW w:w="8093" w:type="dxa"/>
            <w:gridSpan w:val="5"/>
            <w:vAlign w:val="center"/>
          </w:tcPr>
          <w:p w14:paraId="6EA47458">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养成严谨治学的态度，掌握科学、严谨的学习方法，注重创新精神和实践能力的提升，增强团队合作意识与沟通表达能力。</w:t>
            </w:r>
          </w:p>
        </w:tc>
      </w:tr>
    </w:tbl>
    <w:p w14:paraId="2AFB736C">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2"/>
          <w:szCs w:val="22"/>
        </w:rPr>
        <w:t>四、目标评价与成绩评定</w:t>
      </w:r>
    </w:p>
    <w:p w14:paraId="0B87CC1B">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3ADE16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5"/>
        <w:gridCol w:w="1545"/>
        <w:gridCol w:w="1405"/>
        <w:gridCol w:w="1405"/>
        <w:gridCol w:w="1405"/>
        <w:gridCol w:w="846"/>
      </w:tblGrid>
      <w:tr w14:paraId="09A69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70AE069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5F3F8939">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0" w:type="auto"/>
            <w:vMerge w:val="restart"/>
            <w:vAlign w:val="center"/>
          </w:tcPr>
          <w:p w14:paraId="23803CBB">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744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0" w:type="auto"/>
            <w:vMerge w:val="continue"/>
            <w:vAlign w:val="center"/>
          </w:tcPr>
          <w:p w14:paraId="55FF6BCE">
            <w:pPr>
              <w:spacing w:line="360" w:lineRule="auto"/>
              <w:jc w:val="center"/>
              <w:rPr>
                <w:rFonts w:hint="eastAsia" w:ascii="宋体" w:hAnsi="宋体" w:eastAsia="宋体" w:cs="Times New Roman"/>
                <w:szCs w:val="21"/>
              </w:rPr>
            </w:pPr>
          </w:p>
        </w:tc>
        <w:tc>
          <w:tcPr>
            <w:tcW w:w="0" w:type="auto"/>
            <w:vAlign w:val="center"/>
          </w:tcPr>
          <w:p w14:paraId="42D79F3E">
            <w:pPr>
              <w:spacing w:line="360" w:lineRule="auto"/>
              <w:jc w:val="center"/>
              <w:rPr>
                <w:rFonts w:hint="eastAsia" w:ascii="宋体" w:hAnsi="宋体" w:eastAsia="宋体" w:cs="Times New Roman"/>
                <w:szCs w:val="21"/>
              </w:rPr>
            </w:pPr>
            <w:r>
              <w:rPr>
                <w:rFonts w:hint="eastAsia" w:ascii="宋体" w:hAnsi="宋体" w:eastAsia="宋体" w:cs="Times New Roman"/>
                <w:szCs w:val="21"/>
              </w:rPr>
              <w:t>作业</w:t>
            </w:r>
            <w:r>
              <w:rPr>
                <w:rFonts w:ascii="宋体" w:hAnsi="宋体" w:eastAsia="宋体" w:cs="Times New Roman"/>
                <w:szCs w:val="21"/>
              </w:rPr>
              <w:t>+考勤</w:t>
            </w:r>
          </w:p>
        </w:tc>
        <w:tc>
          <w:tcPr>
            <w:tcW w:w="0" w:type="auto"/>
            <w:vAlign w:val="center"/>
          </w:tcPr>
          <w:p w14:paraId="6504EC75">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08F023AB">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0" w:type="auto"/>
            <w:vAlign w:val="center"/>
          </w:tcPr>
          <w:p w14:paraId="7F94FE74">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0" w:type="auto"/>
            <w:vMerge w:val="continue"/>
            <w:vAlign w:val="center"/>
          </w:tcPr>
          <w:p w14:paraId="11F2B635">
            <w:pPr>
              <w:spacing w:line="360" w:lineRule="auto"/>
              <w:jc w:val="center"/>
              <w:rPr>
                <w:rFonts w:hint="eastAsia" w:ascii="宋体" w:hAnsi="宋体" w:eastAsia="宋体" w:cs="Times New Roman"/>
                <w:szCs w:val="21"/>
              </w:rPr>
            </w:pPr>
          </w:p>
        </w:tc>
      </w:tr>
      <w:tr w14:paraId="3F6A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0" w:type="auto"/>
            <w:vAlign w:val="center"/>
          </w:tcPr>
          <w:p w14:paraId="162E37B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061D3AD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A66C9C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458C82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D03D56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71F1B66">
            <w:pPr>
              <w:spacing w:line="36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5</w:t>
            </w:r>
          </w:p>
        </w:tc>
      </w:tr>
      <w:tr w14:paraId="5AE3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052D8B9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3F51311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28D433C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FD2B0D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00D6B1E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7747CC8">
            <w:pPr>
              <w:spacing w:line="360" w:lineRule="auto"/>
              <w:jc w:val="center"/>
              <w:rPr>
                <w:rFonts w:hint="eastAsia" w:ascii="宋体" w:hAnsi="宋体" w:eastAsia="宋体" w:cs="Times New Roman"/>
                <w:szCs w:val="21"/>
              </w:rPr>
            </w:pPr>
            <w:r>
              <w:rPr>
                <w:rFonts w:ascii="宋体" w:hAnsi="宋体" w:eastAsia="宋体" w:cs="Times New Roman"/>
                <w:szCs w:val="21"/>
              </w:rPr>
              <w:t>35</w:t>
            </w:r>
          </w:p>
        </w:tc>
      </w:tr>
      <w:tr w14:paraId="4293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72433220">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16E6E19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2697AA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139445B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3A437BE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9F47759">
            <w:pPr>
              <w:spacing w:line="360" w:lineRule="auto"/>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5</w:t>
            </w:r>
          </w:p>
        </w:tc>
      </w:tr>
      <w:tr w14:paraId="662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2FC4E32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0" w:type="auto"/>
            <w:vAlign w:val="center"/>
          </w:tcPr>
          <w:p w14:paraId="2F4B22B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707F8E4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68817AA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0" w:type="auto"/>
            <w:vAlign w:val="center"/>
          </w:tcPr>
          <w:p w14:paraId="4A4A47AE">
            <w:pPr>
              <w:spacing w:line="360" w:lineRule="auto"/>
              <w:jc w:val="center"/>
              <w:rPr>
                <w:rFonts w:hint="eastAsia" w:ascii="宋体" w:hAnsi="宋体" w:eastAsia="宋体" w:cs="Times New Roman"/>
                <w:szCs w:val="21"/>
              </w:rPr>
            </w:pPr>
          </w:p>
        </w:tc>
        <w:tc>
          <w:tcPr>
            <w:tcW w:w="0" w:type="auto"/>
            <w:vAlign w:val="center"/>
          </w:tcPr>
          <w:p w14:paraId="1EACCC35">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1D17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Align w:val="center"/>
          </w:tcPr>
          <w:p w14:paraId="6202ECAB">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253E4266">
            <w:pPr>
              <w:spacing w:line="360" w:lineRule="auto"/>
              <w:jc w:val="center"/>
              <w:rPr>
                <w:rFonts w:hint="eastAsia" w:ascii="宋体" w:hAnsi="宋体" w:eastAsia="宋体" w:cs="Times New Roman"/>
                <w:szCs w:val="21"/>
              </w:rPr>
            </w:pPr>
            <w:r>
              <w:rPr>
                <w:rFonts w:ascii="宋体" w:hAnsi="宋体" w:eastAsia="宋体" w:cs="Times New Roman"/>
                <w:szCs w:val="21"/>
              </w:rPr>
              <w:t>20</w:t>
            </w:r>
          </w:p>
        </w:tc>
        <w:tc>
          <w:tcPr>
            <w:tcW w:w="0" w:type="auto"/>
            <w:vAlign w:val="center"/>
          </w:tcPr>
          <w:p w14:paraId="60861A92">
            <w:pPr>
              <w:spacing w:line="360" w:lineRule="auto"/>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p>
        </w:tc>
        <w:tc>
          <w:tcPr>
            <w:tcW w:w="0" w:type="auto"/>
            <w:vAlign w:val="center"/>
          </w:tcPr>
          <w:p w14:paraId="13B632E0">
            <w:pPr>
              <w:spacing w:line="360" w:lineRule="auto"/>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0" w:type="auto"/>
            <w:vAlign w:val="center"/>
          </w:tcPr>
          <w:p w14:paraId="4FCA7B10">
            <w:pPr>
              <w:spacing w:line="360" w:lineRule="auto"/>
              <w:jc w:val="center"/>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0</w:t>
            </w:r>
          </w:p>
        </w:tc>
        <w:tc>
          <w:tcPr>
            <w:tcW w:w="0" w:type="auto"/>
            <w:vAlign w:val="center"/>
          </w:tcPr>
          <w:p w14:paraId="25DFFDCA">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B00C6E9">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27DBA5D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924"/>
        <w:gridCol w:w="706"/>
      </w:tblGrid>
      <w:tr w14:paraId="5CD2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075469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924" w:type="dxa"/>
            <w:vAlign w:val="center"/>
          </w:tcPr>
          <w:p w14:paraId="1E2154B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FBBA5C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02F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B9916C4">
            <w:pPr>
              <w:rPr>
                <w:rFonts w:ascii="Times New Roman" w:hAnsi="Times New Roman" w:eastAsia="宋体" w:cs="Times New Roman"/>
                <w:szCs w:val="21"/>
              </w:rPr>
            </w:pPr>
            <w:r>
              <w:rPr>
                <w:rFonts w:hint="eastAsia" w:ascii="Times New Roman" w:hAnsi="Times New Roman" w:eastAsia="宋体" w:cs="Times New Roman"/>
                <w:szCs w:val="21"/>
              </w:rPr>
              <w:t>作业</w:t>
            </w:r>
            <w:r>
              <w:rPr>
                <w:rFonts w:ascii="Times New Roman" w:hAnsi="Times New Roman" w:eastAsia="宋体" w:cs="Times New Roman"/>
                <w:szCs w:val="21"/>
              </w:rPr>
              <w:t>+考勤</w:t>
            </w:r>
          </w:p>
        </w:tc>
        <w:tc>
          <w:tcPr>
            <w:tcW w:w="6924" w:type="dxa"/>
            <w:vAlign w:val="center"/>
          </w:tcPr>
          <w:p w14:paraId="5B0B1BF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平时作业共3次，平时总评</w:t>
            </w:r>
            <w:r>
              <w:rPr>
                <w:rFonts w:ascii="Times New Roman" w:hAnsi="Times New Roman" w:eastAsia="宋体" w:cs="Times New Roman"/>
                <w:szCs w:val="21"/>
              </w:rPr>
              <w:t>=作业平均—考勤扣分，旷课1次扣5分，事假一次扣2分，迟到1次扣1分，病假不扣分（但病假次数达本学期总授课学时的1/3以上者不得参加考核）。</w:t>
            </w:r>
          </w:p>
        </w:tc>
        <w:tc>
          <w:tcPr>
            <w:tcW w:w="0" w:type="auto"/>
            <w:vAlign w:val="center"/>
          </w:tcPr>
          <w:p w14:paraId="543DC15B">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7918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1BD9CD9E">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6924" w:type="dxa"/>
            <w:vAlign w:val="center"/>
          </w:tcPr>
          <w:p w14:paraId="0DB1F779">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课堂表现。</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按照对应的课程目标及权重给予评定</w:t>
            </w:r>
            <w:r>
              <w:rPr>
                <w:rFonts w:hint="eastAsia" w:ascii="宋体" w:hAnsi="宋体" w:eastAsia="宋体" w:cs="宋体"/>
                <w:kern w:val="0"/>
                <w:szCs w:val="21"/>
                <w:lang w:bidi="ar"/>
              </w:rPr>
              <w:t>。</w:t>
            </w:r>
          </w:p>
        </w:tc>
        <w:tc>
          <w:tcPr>
            <w:tcW w:w="0" w:type="auto"/>
            <w:vAlign w:val="center"/>
          </w:tcPr>
          <w:p w14:paraId="7F6FA4F6">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0BE2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373D3D12">
            <w:pPr>
              <w:rPr>
                <w:rFonts w:ascii="Times New Roman" w:hAnsi="Times New Roman" w:eastAsia="宋体" w:cs="Times New Roman"/>
                <w:szCs w:val="21"/>
              </w:rPr>
            </w:pPr>
            <w:r>
              <w:rPr>
                <w:rFonts w:hint="eastAsia" w:ascii="Times New Roman" w:hAnsi="Times New Roman" w:eastAsia="宋体" w:cs="Times New Roman"/>
                <w:szCs w:val="21"/>
              </w:rPr>
              <w:t>课内实践</w:t>
            </w:r>
          </w:p>
        </w:tc>
        <w:tc>
          <w:tcPr>
            <w:tcW w:w="6924" w:type="dxa"/>
            <w:vAlign w:val="center"/>
          </w:tcPr>
          <w:p w14:paraId="435C9D67">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认真完成</w:t>
            </w:r>
            <w:r>
              <w:rPr>
                <w:rFonts w:ascii="宋体" w:hAnsi="宋体" w:eastAsia="宋体" w:cs="宋体"/>
                <w:kern w:val="0"/>
                <w:szCs w:val="21"/>
                <w:lang w:bidi="ar"/>
              </w:rPr>
              <w:t>4个项目的课内实践，</w:t>
            </w:r>
            <w:r>
              <w:rPr>
                <w:rFonts w:hint="eastAsia" w:ascii="宋体" w:hAnsi="宋体" w:eastAsia="宋体" w:cs="宋体"/>
                <w:kern w:val="0"/>
                <w:szCs w:val="21"/>
                <w:lang w:bidi="ar"/>
              </w:rPr>
              <w:t>在认真学习综合实践设计理论的基础上</w:t>
            </w:r>
            <w:r>
              <w:rPr>
                <w:rFonts w:ascii="宋体" w:hAnsi="宋体" w:eastAsia="宋体" w:cs="宋体"/>
                <w:kern w:val="0"/>
                <w:szCs w:val="21"/>
                <w:lang w:bidi="ar"/>
              </w:rPr>
              <w:t>，尝试进行</w:t>
            </w:r>
            <w:r>
              <w:rPr>
                <w:rFonts w:hint="eastAsia" w:ascii="宋体" w:hAnsi="宋体" w:eastAsia="宋体" w:cs="宋体"/>
                <w:kern w:val="0"/>
                <w:szCs w:val="21"/>
                <w:lang w:bidi="ar"/>
              </w:rPr>
              <w:t>相关内容的综合实践活动设计并付诸实施</w:t>
            </w:r>
            <w:r>
              <w:rPr>
                <w:rFonts w:ascii="宋体" w:hAnsi="宋体" w:eastAsia="宋体" w:cs="宋体"/>
                <w:kern w:val="0"/>
                <w:szCs w:val="21"/>
                <w:lang w:bidi="ar"/>
              </w:rPr>
              <w:t>。</w:t>
            </w:r>
            <w:r>
              <w:rPr>
                <w:rFonts w:hint="eastAsia" w:ascii="宋体" w:hAnsi="宋体" w:eastAsia="宋体" w:cs="宋体"/>
                <w:kern w:val="0"/>
                <w:szCs w:val="21"/>
                <w:lang w:bidi="ar"/>
              </w:rPr>
              <w:t>实行组内互评与教师评价相结合的方式。</w:t>
            </w:r>
            <w:r>
              <w:rPr>
                <w:rFonts w:ascii="宋体" w:hAnsi="宋体" w:eastAsia="宋体" w:cs="宋体"/>
                <w:kern w:val="0"/>
                <w:szCs w:val="21"/>
                <w:lang w:bidi="ar"/>
              </w:rPr>
              <w:t>4个项目成绩取平均分作为课内实践分。</w:t>
            </w:r>
          </w:p>
        </w:tc>
        <w:tc>
          <w:tcPr>
            <w:tcW w:w="0" w:type="auto"/>
            <w:vAlign w:val="center"/>
          </w:tcPr>
          <w:p w14:paraId="530F454B">
            <w:pPr>
              <w:jc w:val="center"/>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0%</w:t>
            </w:r>
          </w:p>
        </w:tc>
      </w:tr>
      <w:tr w14:paraId="773A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vAlign w:val="center"/>
          </w:tcPr>
          <w:p w14:paraId="003F4D9D">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6924" w:type="dxa"/>
            <w:vAlign w:val="center"/>
          </w:tcPr>
          <w:p w14:paraId="179133D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本课程考核的方式为开卷笔试。有下列情况之一者，总评成绩为不及格：</w:t>
            </w:r>
          </w:p>
          <w:p w14:paraId="387D79B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（1）缺交作业次数达1/3以上者。</w:t>
            </w:r>
          </w:p>
          <w:p w14:paraId="40B46BA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（2）缺课次数达本学期总授课学时的1/3以上者。</w:t>
            </w:r>
          </w:p>
        </w:tc>
        <w:tc>
          <w:tcPr>
            <w:tcW w:w="0" w:type="auto"/>
            <w:vAlign w:val="center"/>
          </w:tcPr>
          <w:p w14:paraId="64930530">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5BFC3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2C3A924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5E09E5C9">
            <w:pPr>
              <w:jc w:val="left"/>
              <w:rPr>
                <w:rFonts w:ascii="Times New Roman" w:hAnsi="Times New Roman" w:eastAsia="宋体" w:cs="Times New Roman"/>
                <w:szCs w:val="21"/>
              </w:rPr>
            </w:pPr>
          </w:p>
        </w:tc>
        <w:tc>
          <w:tcPr>
            <w:tcW w:w="0" w:type="auto"/>
            <w:vAlign w:val="center"/>
          </w:tcPr>
          <w:p w14:paraId="3CC13ADE">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4F9BBC9">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2BA60AED">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1BFDF826">
      <w:pPr>
        <w:spacing w:before="156" w:beforeLines="50"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object>
          <v:shape id="_x0000_i1075"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75" DrawAspect="Content" ObjectID="_1468075775" r:id="rId63">
            <o:LockedField>false</o:LockedField>
          </o:OLEObject>
        </w:object>
      </w:r>
    </w:p>
    <w:p w14:paraId="7925794E">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2"/>
          <w:szCs w:val="22"/>
        </w:rPr>
        <w:t>五、课内实践</w:t>
      </w:r>
    </w:p>
    <w:p w14:paraId="2DABABAF">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本课程在理论教学的基础上，安排了4个课内实践项目（共</w:t>
      </w:r>
      <w:r>
        <w:rPr>
          <w:rFonts w:ascii="宋体" w:hAnsi="宋体" w:eastAsia="宋体"/>
          <w:szCs w:val="21"/>
        </w:rPr>
        <w:t>16</w:t>
      </w:r>
      <w:r>
        <w:rPr>
          <w:rFonts w:hint="eastAsia" w:ascii="宋体" w:hAnsi="宋体" w:eastAsia="宋体"/>
          <w:szCs w:val="21"/>
        </w:rPr>
        <w:t>学时），体现了理论与实践的结合，强化对学生的课程思政。</w:t>
      </w:r>
    </w:p>
    <w:tbl>
      <w:tblPr>
        <w:tblStyle w:val="16"/>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0"/>
        <w:gridCol w:w="2339"/>
        <w:gridCol w:w="740"/>
        <w:gridCol w:w="3160"/>
      </w:tblGrid>
      <w:tr w14:paraId="7806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280" w:type="dxa"/>
            <w:vAlign w:val="center"/>
          </w:tcPr>
          <w:p w14:paraId="2DE6264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2339" w:type="dxa"/>
            <w:vAlign w:val="center"/>
          </w:tcPr>
          <w:p w14:paraId="71573321">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395161D0">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022246E7">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32D9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2280" w:type="dxa"/>
            <w:vAlign w:val="center"/>
          </w:tcPr>
          <w:p w14:paraId="341A8C30">
            <w:pPr>
              <w:jc w:val="center"/>
              <w:rPr>
                <w:rFonts w:hint="eastAsia" w:ascii="宋体" w:hAnsi="宋体" w:eastAsia="宋体" w:cs="Times New Roman"/>
                <w:szCs w:val="21"/>
              </w:rPr>
            </w:pPr>
            <w:r>
              <w:rPr>
                <w:rFonts w:hint="eastAsia" w:ascii="宋体" w:hAnsi="宋体" w:eastAsia="宋体" w:cs="Times New Roman"/>
                <w:szCs w:val="21"/>
              </w:rPr>
              <w:t>《中小学综合实践活动课程指导纲要》研读</w:t>
            </w:r>
          </w:p>
        </w:tc>
        <w:tc>
          <w:tcPr>
            <w:tcW w:w="2339" w:type="dxa"/>
            <w:vAlign w:val="center"/>
          </w:tcPr>
          <w:p w14:paraId="7980E2C7">
            <w:pPr>
              <w:rPr>
                <w:rFonts w:hint="eastAsia" w:ascii="宋体" w:hAnsi="宋体" w:eastAsia="宋体" w:cs="Times New Roman"/>
                <w:szCs w:val="21"/>
              </w:rPr>
            </w:pPr>
            <w:r>
              <w:rPr>
                <w:rFonts w:hint="eastAsia" w:ascii="宋体" w:hAnsi="宋体" w:eastAsia="宋体" w:cs="Times New Roman"/>
                <w:szCs w:val="21"/>
              </w:rPr>
              <w:t>认真学习《中小学综合实践活动课程指导纲要》，</w:t>
            </w:r>
            <w:r>
              <w:rPr>
                <w:rFonts w:ascii="宋体" w:hAnsi="宋体" w:eastAsia="宋体" w:cs="Times New Roman"/>
                <w:szCs w:val="21"/>
              </w:rPr>
              <w:t>撰写一份</w:t>
            </w:r>
            <w:r>
              <w:rPr>
                <w:rFonts w:hint="eastAsia" w:ascii="宋体" w:hAnsi="宋体" w:eastAsia="宋体" w:cs="Times New Roman"/>
                <w:szCs w:val="21"/>
              </w:rPr>
              <w:t>学习报告</w:t>
            </w:r>
            <w:r>
              <w:rPr>
                <w:rFonts w:ascii="宋体" w:hAnsi="宋体" w:eastAsia="宋体" w:cs="Times New Roman"/>
                <w:szCs w:val="21"/>
              </w:rPr>
              <w:t>，并</w:t>
            </w:r>
            <w:r>
              <w:rPr>
                <w:rFonts w:hint="eastAsia" w:ascii="宋体" w:hAnsi="宋体" w:eastAsia="宋体" w:cs="Times New Roman"/>
                <w:szCs w:val="21"/>
              </w:rPr>
              <w:t>与</w:t>
            </w:r>
            <w:r>
              <w:rPr>
                <w:rFonts w:ascii="宋体" w:hAnsi="宋体" w:eastAsia="宋体" w:cs="Times New Roman"/>
                <w:szCs w:val="21"/>
              </w:rPr>
              <w:t>同学交流</w:t>
            </w:r>
          </w:p>
        </w:tc>
        <w:tc>
          <w:tcPr>
            <w:tcW w:w="740" w:type="dxa"/>
            <w:vAlign w:val="center"/>
          </w:tcPr>
          <w:p w14:paraId="6088E839">
            <w:pPr>
              <w:spacing w:line="276" w:lineRule="auto"/>
              <w:jc w:val="center"/>
              <w:rPr>
                <w:rFonts w:hint="eastAsia" w:ascii="宋体" w:hAnsi="宋体" w:eastAsia="宋体" w:cs="Times New Roman"/>
                <w:szCs w:val="21"/>
              </w:rPr>
            </w:pPr>
            <w:r>
              <w:rPr>
                <w:rFonts w:hint="eastAsia" w:ascii="宋体" w:hAnsi="宋体" w:eastAsia="宋体" w:cs="Times New Roman"/>
                <w:szCs w:val="21"/>
              </w:rPr>
              <w:t>研讨</w:t>
            </w:r>
          </w:p>
          <w:p w14:paraId="7F41BD54">
            <w:pPr>
              <w:spacing w:line="276" w:lineRule="auto"/>
              <w:jc w:val="center"/>
              <w:rPr>
                <w:rFonts w:hint="eastAsia" w:ascii="宋体" w:hAnsi="宋体" w:eastAsia="宋体" w:cs="Times New Roman"/>
                <w:szCs w:val="21"/>
              </w:rPr>
            </w:pPr>
            <w:r>
              <w:rPr>
                <w:rFonts w:hint="eastAsia" w:ascii="宋体" w:hAnsi="宋体" w:eastAsia="宋体" w:cs="Times New Roman"/>
                <w:szCs w:val="21"/>
              </w:rPr>
              <w:t>交流</w:t>
            </w:r>
          </w:p>
        </w:tc>
        <w:tc>
          <w:tcPr>
            <w:tcW w:w="3160" w:type="dxa"/>
          </w:tcPr>
          <w:p w14:paraId="18092B91">
            <w:pPr>
              <w:rPr>
                <w:rFonts w:hint="eastAsia" w:ascii="宋体" w:hAnsi="宋体" w:eastAsia="宋体" w:cs="Times New Roman"/>
                <w:szCs w:val="21"/>
              </w:rPr>
            </w:pPr>
            <w:r>
              <w:rPr>
                <w:rFonts w:hint="eastAsia" w:ascii="宋体" w:hAnsi="宋体" w:eastAsia="宋体" w:cs="Times New Roman"/>
                <w:szCs w:val="21"/>
              </w:rPr>
              <w:t>养成严谨治学的态度，掌握科学、严谨的学习方法，注重创新精神和实践能力的提升，增强专业自信心，增强团队合作意识与沟通表达能力。</w:t>
            </w:r>
          </w:p>
        </w:tc>
      </w:tr>
      <w:tr w14:paraId="4518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2280" w:type="dxa"/>
            <w:vAlign w:val="center"/>
          </w:tcPr>
          <w:p w14:paraId="4B72E77F">
            <w:pPr>
              <w:jc w:val="center"/>
              <w:rPr>
                <w:rFonts w:hint="eastAsia" w:ascii="宋体" w:hAnsi="宋体" w:eastAsia="宋体" w:cs="Times New Roman"/>
                <w:szCs w:val="21"/>
              </w:rPr>
            </w:pPr>
            <w:r>
              <w:rPr>
                <w:rFonts w:hint="eastAsia" w:ascii="宋体" w:hAnsi="宋体" w:eastAsia="宋体" w:cs="Times New Roman"/>
                <w:szCs w:val="21"/>
              </w:rPr>
              <w:t>研究性学习的设计</w:t>
            </w:r>
          </w:p>
          <w:p w14:paraId="1227C76F">
            <w:pPr>
              <w:jc w:val="center"/>
              <w:rPr>
                <w:rFonts w:hint="eastAsia" w:ascii="宋体" w:hAnsi="宋体" w:eastAsia="宋体" w:cs="Times New Roman"/>
                <w:szCs w:val="21"/>
              </w:rPr>
            </w:pPr>
            <w:r>
              <w:rPr>
                <w:rFonts w:hint="eastAsia" w:ascii="宋体" w:hAnsi="宋体" w:eastAsia="宋体" w:cs="Times New Roman"/>
                <w:szCs w:val="21"/>
              </w:rPr>
              <w:t>与实施</w:t>
            </w:r>
          </w:p>
        </w:tc>
        <w:tc>
          <w:tcPr>
            <w:tcW w:w="2339" w:type="dxa"/>
            <w:vAlign w:val="center"/>
          </w:tcPr>
          <w:p w14:paraId="1B1AAE11">
            <w:pPr>
              <w:rPr>
                <w:rFonts w:hint="eastAsia" w:ascii="宋体" w:hAnsi="宋体" w:eastAsia="宋体" w:cs="Times New Roman"/>
                <w:szCs w:val="21"/>
              </w:rPr>
            </w:pPr>
            <w:r>
              <w:rPr>
                <w:rFonts w:hint="eastAsia" w:ascii="宋体" w:hAnsi="宋体" w:eastAsia="宋体" w:cs="Times New Roman"/>
                <w:szCs w:val="21"/>
              </w:rPr>
              <w:t>选择</w:t>
            </w:r>
            <w:r>
              <w:rPr>
                <w:rFonts w:ascii="宋体" w:hAnsi="宋体" w:eastAsia="宋体" w:cs="Times New Roman"/>
                <w:szCs w:val="21"/>
              </w:rPr>
              <w:t>一个</w:t>
            </w:r>
            <w:r>
              <w:rPr>
                <w:rFonts w:hint="eastAsia" w:ascii="宋体" w:hAnsi="宋体" w:eastAsia="宋体" w:cs="Times New Roman"/>
                <w:szCs w:val="21"/>
              </w:rPr>
              <w:t>研究</w:t>
            </w:r>
            <w:r>
              <w:rPr>
                <w:rFonts w:ascii="宋体" w:hAnsi="宋体" w:eastAsia="宋体" w:cs="Times New Roman"/>
                <w:szCs w:val="21"/>
              </w:rPr>
              <w:t>性学习课题，</w:t>
            </w:r>
            <w:r>
              <w:rPr>
                <w:rFonts w:hint="eastAsia" w:ascii="宋体" w:hAnsi="宋体" w:eastAsia="宋体" w:cs="Times New Roman"/>
                <w:szCs w:val="21"/>
              </w:rPr>
              <w:t>设计</w:t>
            </w:r>
            <w:r>
              <w:rPr>
                <w:rFonts w:ascii="宋体" w:hAnsi="宋体" w:eastAsia="宋体" w:cs="Times New Roman"/>
                <w:szCs w:val="21"/>
              </w:rPr>
              <w:t>研究性学习方案，并具体开展</w:t>
            </w:r>
            <w:r>
              <w:rPr>
                <w:rFonts w:hint="eastAsia" w:ascii="宋体" w:hAnsi="宋体" w:eastAsia="宋体" w:cs="Times New Roman"/>
                <w:szCs w:val="21"/>
              </w:rPr>
              <w:t>进行一次专题研究</w:t>
            </w:r>
          </w:p>
        </w:tc>
        <w:tc>
          <w:tcPr>
            <w:tcW w:w="740" w:type="dxa"/>
            <w:vAlign w:val="center"/>
          </w:tcPr>
          <w:p w14:paraId="69947340">
            <w:pPr>
              <w:spacing w:line="276" w:lineRule="auto"/>
              <w:jc w:val="center"/>
              <w:rPr>
                <w:rFonts w:hint="eastAsia" w:ascii="宋体" w:hAnsi="宋体" w:eastAsia="宋体" w:cs="Times New Roman"/>
                <w:szCs w:val="21"/>
              </w:rPr>
            </w:pPr>
            <w:r>
              <w:rPr>
                <w:rFonts w:hint="eastAsia" w:ascii="宋体" w:hAnsi="宋体" w:eastAsia="宋体" w:cs="Times New Roman"/>
                <w:szCs w:val="21"/>
              </w:rPr>
              <w:t>设计</w:t>
            </w:r>
          </w:p>
          <w:p w14:paraId="7F165D7A">
            <w:pPr>
              <w:spacing w:line="276" w:lineRule="auto"/>
              <w:jc w:val="center"/>
              <w:rPr>
                <w:rFonts w:hint="eastAsia" w:ascii="宋体" w:hAnsi="宋体" w:eastAsia="宋体" w:cs="Times New Roman"/>
                <w:szCs w:val="21"/>
              </w:rPr>
            </w:pPr>
            <w:r>
              <w:rPr>
                <w:rFonts w:hint="eastAsia" w:ascii="宋体" w:hAnsi="宋体" w:eastAsia="宋体" w:cs="Times New Roman"/>
                <w:szCs w:val="21"/>
              </w:rPr>
              <w:t>实践</w:t>
            </w:r>
          </w:p>
        </w:tc>
        <w:tc>
          <w:tcPr>
            <w:tcW w:w="3160" w:type="dxa"/>
          </w:tcPr>
          <w:p w14:paraId="180CFB7F">
            <w:pPr>
              <w:rPr>
                <w:rFonts w:hint="eastAsia" w:ascii="宋体" w:hAnsi="宋体" w:eastAsia="宋体" w:cs="Times New Roman"/>
                <w:szCs w:val="21"/>
              </w:rPr>
            </w:pPr>
            <w:r>
              <w:rPr>
                <w:rFonts w:hint="eastAsia" w:ascii="宋体" w:hAnsi="宋体" w:eastAsia="宋体" w:cs="Times New Roman"/>
                <w:szCs w:val="21"/>
              </w:rPr>
              <w:t>注重创新精神和实践能力的提升，树立以学生为主体的设计理念和全面的评价理念，增强专业自信心，增强团队合作意识与沟通表达能力。</w:t>
            </w:r>
          </w:p>
        </w:tc>
      </w:tr>
      <w:tr w14:paraId="5B820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2280" w:type="dxa"/>
            <w:vAlign w:val="center"/>
          </w:tcPr>
          <w:p w14:paraId="6A268119">
            <w:pPr>
              <w:jc w:val="center"/>
              <w:rPr>
                <w:rFonts w:hint="eastAsia" w:ascii="宋体" w:hAnsi="宋体" w:eastAsia="宋体" w:cs="Times New Roman"/>
                <w:szCs w:val="21"/>
              </w:rPr>
            </w:pPr>
            <w:r>
              <w:rPr>
                <w:rFonts w:hint="eastAsia" w:ascii="宋体" w:hAnsi="宋体" w:eastAsia="宋体" w:cs="Times New Roman"/>
                <w:szCs w:val="21"/>
              </w:rPr>
              <w:t>社区服务与社会实践的设计与实施</w:t>
            </w:r>
          </w:p>
        </w:tc>
        <w:tc>
          <w:tcPr>
            <w:tcW w:w="2339" w:type="dxa"/>
            <w:vAlign w:val="center"/>
          </w:tcPr>
          <w:p w14:paraId="6233917E">
            <w:pPr>
              <w:rPr>
                <w:rFonts w:hint="eastAsia" w:ascii="宋体" w:hAnsi="宋体" w:eastAsia="宋体" w:cs="Times New Roman"/>
                <w:szCs w:val="21"/>
              </w:rPr>
            </w:pPr>
            <w:r>
              <w:rPr>
                <w:rFonts w:hint="eastAsia" w:ascii="宋体" w:hAnsi="宋体" w:eastAsia="宋体" w:cs="Times New Roman"/>
                <w:szCs w:val="21"/>
              </w:rPr>
              <w:t>选择</w:t>
            </w:r>
            <w:r>
              <w:rPr>
                <w:rFonts w:ascii="宋体" w:hAnsi="宋体" w:eastAsia="宋体" w:cs="Times New Roman"/>
                <w:szCs w:val="21"/>
              </w:rPr>
              <w:t>一个</w:t>
            </w:r>
            <w:r>
              <w:rPr>
                <w:rFonts w:hint="eastAsia" w:ascii="宋体" w:hAnsi="宋体" w:eastAsia="宋体" w:cs="Times New Roman"/>
                <w:szCs w:val="21"/>
              </w:rPr>
              <w:t>社区服务或社会实践活动主题</w:t>
            </w:r>
            <w:r>
              <w:rPr>
                <w:rFonts w:ascii="宋体" w:hAnsi="宋体" w:eastAsia="宋体" w:cs="Times New Roman"/>
                <w:szCs w:val="21"/>
              </w:rPr>
              <w:t>，设计活动方案并具体</w:t>
            </w:r>
            <w:r>
              <w:rPr>
                <w:rFonts w:hint="eastAsia" w:ascii="宋体" w:hAnsi="宋体" w:eastAsia="宋体" w:cs="Times New Roman"/>
                <w:szCs w:val="21"/>
              </w:rPr>
              <w:t>开展</w:t>
            </w:r>
            <w:r>
              <w:rPr>
                <w:rFonts w:ascii="宋体" w:hAnsi="宋体" w:eastAsia="宋体" w:cs="Times New Roman"/>
                <w:szCs w:val="21"/>
              </w:rPr>
              <w:t>活动</w:t>
            </w:r>
          </w:p>
        </w:tc>
        <w:tc>
          <w:tcPr>
            <w:tcW w:w="740" w:type="dxa"/>
            <w:vAlign w:val="center"/>
          </w:tcPr>
          <w:p w14:paraId="6F6180D0">
            <w:pPr>
              <w:spacing w:line="276" w:lineRule="auto"/>
              <w:jc w:val="center"/>
              <w:rPr>
                <w:rFonts w:hint="eastAsia" w:ascii="宋体" w:hAnsi="宋体" w:eastAsia="宋体" w:cs="Times New Roman"/>
                <w:szCs w:val="21"/>
              </w:rPr>
            </w:pPr>
            <w:r>
              <w:rPr>
                <w:rFonts w:hint="eastAsia" w:ascii="宋体" w:hAnsi="宋体" w:eastAsia="宋体" w:cs="Times New Roman"/>
                <w:szCs w:val="21"/>
              </w:rPr>
              <w:t>设计</w:t>
            </w:r>
          </w:p>
          <w:p w14:paraId="0A9796F0">
            <w:pPr>
              <w:spacing w:line="276" w:lineRule="auto"/>
              <w:jc w:val="center"/>
              <w:rPr>
                <w:rFonts w:hint="eastAsia" w:ascii="宋体" w:hAnsi="宋体" w:eastAsia="宋体" w:cs="Times New Roman"/>
                <w:szCs w:val="21"/>
              </w:rPr>
            </w:pPr>
            <w:r>
              <w:rPr>
                <w:rFonts w:hint="eastAsia" w:ascii="宋体" w:hAnsi="宋体" w:eastAsia="宋体" w:cs="Times New Roman"/>
                <w:szCs w:val="21"/>
              </w:rPr>
              <w:t>实践</w:t>
            </w:r>
          </w:p>
        </w:tc>
        <w:tc>
          <w:tcPr>
            <w:tcW w:w="3160" w:type="dxa"/>
          </w:tcPr>
          <w:p w14:paraId="748633E6">
            <w:pPr>
              <w:rPr>
                <w:rFonts w:hint="eastAsia" w:ascii="宋体" w:hAnsi="宋体" w:eastAsia="宋体" w:cs="Times New Roman"/>
                <w:szCs w:val="21"/>
              </w:rPr>
            </w:pPr>
            <w:r>
              <w:rPr>
                <w:rFonts w:hint="eastAsia" w:ascii="宋体" w:hAnsi="宋体" w:eastAsia="宋体" w:cs="Times New Roman"/>
                <w:szCs w:val="21"/>
              </w:rPr>
              <w:t>注重创新精神和实践能力的提升，树立以学生为主体的设计理念和全面的评价理念，增强专业自信心，增强团队合作意识与沟通表达能力。</w:t>
            </w:r>
          </w:p>
        </w:tc>
      </w:tr>
      <w:tr w14:paraId="59AD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2280" w:type="dxa"/>
            <w:vAlign w:val="center"/>
          </w:tcPr>
          <w:p w14:paraId="254807F4">
            <w:pPr>
              <w:jc w:val="center"/>
              <w:rPr>
                <w:rFonts w:hint="eastAsia" w:ascii="宋体" w:hAnsi="宋体" w:eastAsia="宋体" w:cs="Times New Roman"/>
                <w:szCs w:val="21"/>
              </w:rPr>
            </w:pPr>
            <w:r>
              <w:rPr>
                <w:rFonts w:hint="eastAsia" w:ascii="宋体" w:hAnsi="宋体" w:eastAsia="宋体" w:cs="Times New Roman"/>
                <w:szCs w:val="21"/>
              </w:rPr>
              <w:t>劳动与技术教育和信息技术教育的设计与实施</w:t>
            </w:r>
          </w:p>
        </w:tc>
        <w:tc>
          <w:tcPr>
            <w:tcW w:w="2339" w:type="dxa"/>
            <w:vAlign w:val="center"/>
          </w:tcPr>
          <w:p w14:paraId="5765D556">
            <w:pPr>
              <w:rPr>
                <w:rFonts w:hint="eastAsia" w:ascii="宋体" w:hAnsi="宋体" w:eastAsia="宋体" w:cs="Times New Roman"/>
                <w:szCs w:val="21"/>
              </w:rPr>
            </w:pPr>
            <w:r>
              <w:rPr>
                <w:rFonts w:hint="eastAsia" w:ascii="宋体" w:hAnsi="宋体" w:eastAsia="宋体" w:cs="Times New Roman"/>
                <w:szCs w:val="21"/>
              </w:rPr>
              <w:t>设计一份劳技制作活动方案并提交劳技</w:t>
            </w:r>
            <w:r>
              <w:rPr>
                <w:rFonts w:ascii="宋体" w:hAnsi="宋体" w:eastAsia="宋体" w:cs="Times New Roman"/>
                <w:szCs w:val="21"/>
              </w:rPr>
              <w:t>作品一件</w:t>
            </w:r>
          </w:p>
        </w:tc>
        <w:tc>
          <w:tcPr>
            <w:tcW w:w="740" w:type="dxa"/>
            <w:vAlign w:val="center"/>
          </w:tcPr>
          <w:p w14:paraId="78B618D5">
            <w:pPr>
              <w:spacing w:line="276" w:lineRule="auto"/>
              <w:jc w:val="center"/>
              <w:rPr>
                <w:rFonts w:hint="eastAsia" w:ascii="宋体" w:hAnsi="宋体" w:eastAsia="宋体" w:cs="Times New Roman"/>
                <w:szCs w:val="21"/>
              </w:rPr>
            </w:pPr>
            <w:r>
              <w:rPr>
                <w:rFonts w:hint="eastAsia" w:ascii="宋体" w:hAnsi="宋体" w:eastAsia="宋体" w:cs="Times New Roman"/>
                <w:szCs w:val="21"/>
              </w:rPr>
              <w:t>设计</w:t>
            </w:r>
          </w:p>
          <w:p w14:paraId="7CE3A65A">
            <w:pPr>
              <w:spacing w:line="276" w:lineRule="auto"/>
              <w:jc w:val="center"/>
              <w:rPr>
                <w:rFonts w:hint="eastAsia" w:ascii="宋体" w:hAnsi="宋体" w:eastAsia="宋体" w:cs="Times New Roman"/>
                <w:szCs w:val="21"/>
              </w:rPr>
            </w:pPr>
            <w:r>
              <w:rPr>
                <w:rFonts w:hint="eastAsia" w:ascii="宋体" w:hAnsi="宋体" w:eastAsia="宋体" w:cs="Times New Roman"/>
                <w:szCs w:val="21"/>
              </w:rPr>
              <w:t>实践</w:t>
            </w:r>
          </w:p>
        </w:tc>
        <w:tc>
          <w:tcPr>
            <w:tcW w:w="3160" w:type="dxa"/>
          </w:tcPr>
          <w:p w14:paraId="4471B804">
            <w:pPr>
              <w:rPr>
                <w:rFonts w:hint="eastAsia" w:ascii="宋体" w:hAnsi="宋体" w:eastAsia="宋体" w:cs="Times New Roman"/>
                <w:szCs w:val="21"/>
              </w:rPr>
            </w:pPr>
            <w:r>
              <w:rPr>
                <w:rFonts w:hint="eastAsia" w:ascii="宋体" w:hAnsi="宋体" w:eastAsia="宋体" w:cs="Times New Roman"/>
                <w:szCs w:val="21"/>
              </w:rPr>
              <w:t>注重创新精神和实践能力的提升，树立以学生为主体的设计理念和全面的评价理念，增强专业自信心，增强团队合作意识与沟通表达能力。</w:t>
            </w:r>
          </w:p>
        </w:tc>
      </w:tr>
    </w:tbl>
    <w:p w14:paraId="68454CE2">
      <w:pPr>
        <w:spacing w:line="360" w:lineRule="auto"/>
        <w:ind w:firstLine="413" w:firstLineChars="196"/>
        <w:jc w:val="left"/>
        <w:rPr>
          <w:rFonts w:hint="eastAsia" w:ascii="宋体" w:hAnsi="宋体" w:eastAsia="宋体" w:cs="Times New Roman"/>
          <w:b/>
          <w:szCs w:val="21"/>
        </w:rPr>
      </w:pPr>
    </w:p>
    <w:p w14:paraId="45A358E3">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2"/>
          <w:szCs w:val="22"/>
        </w:rPr>
        <w:t>六、有关说明</w:t>
      </w:r>
    </w:p>
    <w:p w14:paraId="2695CDB0">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5C00AEE1">
      <w:pPr>
        <w:spacing w:line="360" w:lineRule="auto"/>
        <w:ind w:firstLine="315" w:firstLineChars="1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本课程根据学生作业、课堂讨论、实践环节和学生、教学督导等的反馈，及时对教学中的不足之处进行改进，并在下一轮课程教学中整改完善，确保相应毕业要求指标点达成。</w:t>
      </w:r>
    </w:p>
    <w:p w14:paraId="2141D4B1">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758953CD">
      <w:pPr>
        <w:spacing w:line="360" w:lineRule="auto"/>
        <w:ind w:firstLine="525" w:firstLineChars="250"/>
        <w:jc w:val="left"/>
        <w:rPr>
          <w:rFonts w:ascii="Times New Roman" w:hAnsi="Times New Roman" w:eastAsia="宋体" w:cs="Times New Roman"/>
          <w:bCs/>
          <w:szCs w:val="21"/>
        </w:rPr>
      </w:pPr>
      <w:r>
        <w:rPr>
          <w:rFonts w:hint="eastAsia" w:ascii="Times New Roman" w:hAnsi="Times New Roman" w:eastAsia="宋体" w:cs="Times New Roman"/>
          <w:bCs/>
          <w:szCs w:val="21"/>
        </w:rPr>
        <w:t>顾建军．小学综合实践活动设计（第3版）．北京：高等教育出版社，2020．</w:t>
      </w:r>
    </w:p>
    <w:p w14:paraId="3060E6F2">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108894FA">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1.柳夕浪.</w:t>
      </w:r>
      <w:r>
        <w:rPr>
          <w:rFonts w:hint="eastAsia"/>
          <w:szCs w:val="21"/>
        </w:rPr>
        <w:t xml:space="preserve"> </w:t>
      </w:r>
      <w:r>
        <w:rPr>
          <w:rFonts w:hint="eastAsia" w:ascii="宋体" w:hAnsi="宋体" w:eastAsia="宋体" w:cs="Times New Roman"/>
          <w:szCs w:val="21"/>
        </w:rPr>
        <w:t>《中小学综合实践活动课程指导纲要》解读.石家庄：河北教育出版社，2019.</w:t>
      </w:r>
    </w:p>
    <w:p w14:paraId="62C8041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2.胡扬洋，白欣.综合实践活动课程与教学.北京：北京师范大学出版社，2023.</w:t>
      </w:r>
    </w:p>
    <w:p w14:paraId="2E5225A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3.刘道溶.中小学综合实践活动教学活动设计案例精选.北京：北京大学出版社，2012.</w:t>
      </w:r>
    </w:p>
    <w:p w14:paraId="207B20BB">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4.郭元祥．综合实践活动课程——设计与实施．首都师范大学出版社，2001．</w:t>
      </w:r>
    </w:p>
    <w:p w14:paraId="2EA36E1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5.郭元祥．综合实践活动课程的实施．高等教育出版社，2003．</w:t>
      </w:r>
    </w:p>
    <w:p w14:paraId="4EC33F1F">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6.教育部基础教育司．走进新课程——与课程实施者对话．北京师范大学出版社，2002．</w:t>
      </w:r>
    </w:p>
    <w:p w14:paraId="33596F24">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7.姜平．综合实践活动教学设计与特色案例评析．首都师范大学出版社，2003．</w:t>
      </w:r>
    </w:p>
    <w:p w14:paraId="09097A9E">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8.姜平．综合实践活动课程的整体推进与校本化实施．首都师范大学出版社，2006．</w:t>
      </w:r>
    </w:p>
    <w:p w14:paraId="4BB1BE43">
      <w:pPr>
        <w:rPr>
          <w:szCs w:val="21"/>
        </w:rPr>
      </w:pPr>
    </w:p>
    <w:p w14:paraId="7CDCF963">
      <w:pPr>
        <w:spacing w:line="360" w:lineRule="auto"/>
        <w:ind w:right="1200" w:firstLine="5040" w:firstLineChars="2400"/>
        <w:jc w:val="left"/>
        <w:rPr>
          <w:rFonts w:ascii="Times New Roman" w:hAnsi="Times New Roman" w:eastAsia="宋体" w:cs="Times New Roman"/>
          <w:szCs w:val="21"/>
        </w:rPr>
      </w:pPr>
      <w:r>
        <w:rPr>
          <w:rFonts w:hint="eastAsia" w:ascii="Times New Roman" w:hAnsi="Times New Roman" w:eastAsia="宋体" w:cs="Times New Roman"/>
          <w:szCs w:val="21"/>
        </w:rPr>
        <w:t>执 笔 人：谢国忠</w:t>
      </w:r>
    </w:p>
    <w:p w14:paraId="44583E21">
      <w:pPr>
        <w:spacing w:line="360" w:lineRule="auto"/>
        <w:ind w:right="1440" w:firstLine="5040" w:firstLineChars="2400"/>
        <w:jc w:val="left"/>
        <w:rPr>
          <w:rFonts w:ascii="Times New Roman" w:hAnsi="Times New Roman" w:eastAsia="宋体" w:cs="Times New Roman"/>
          <w:szCs w:val="21"/>
        </w:rPr>
      </w:pPr>
      <w:r>
        <w:rPr>
          <w:rFonts w:hint="eastAsia" w:ascii="Times New Roman" w:hAnsi="Times New Roman" w:eastAsia="宋体" w:cs="Times New Roman"/>
          <w:szCs w:val="21"/>
        </w:rPr>
        <w:t>审 定 人：王 健</w:t>
      </w:r>
    </w:p>
    <w:p w14:paraId="085458E0">
      <w:pPr>
        <w:spacing w:line="360" w:lineRule="auto"/>
        <w:ind w:right="1200" w:firstLine="5040" w:firstLineChars="2400"/>
        <w:jc w:val="left"/>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26E23788">
      <w:pPr>
        <w:spacing w:line="360" w:lineRule="auto"/>
        <w:ind w:firstLine="5040" w:firstLineChars="2400"/>
        <w:jc w:val="lef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4F79320C">
      <w:pPr>
        <w:spacing w:line="360" w:lineRule="auto"/>
        <w:jc w:val="right"/>
        <w:rPr>
          <w:rFonts w:ascii="Times New Roman" w:hAnsi="Times New Roman" w:eastAsia="宋体" w:cs="Times New Roman"/>
          <w:sz w:val="24"/>
        </w:rPr>
      </w:pPr>
    </w:p>
    <w:p w14:paraId="7781E7CC">
      <w:pPr>
        <w:rPr>
          <w:rFonts w:hint="eastAsia" w:ascii="等线" w:hAnsi="等线" w:eastAsia="等线" w:cs="Times New Roman"/>
          <w:szCs w:val="22"/>
        </w:rPr>
      </w:pPr>
    </w:p>
    <w:p w14:paraId="4DA67D76">
      <w:pPr>
        <w:rPr>
          <w:rFonts w:hint="eastAsia" w:ascii="等线" w:hAnsi="等线" w:eastAsia="等线" w:cs="Times New Roman"/>
          <w:szCs w:val="22"/>
        </w:rPr>
      </w:pPr>
    </w:p>
    <w:p w14:paraId="0727F78E">
      <w:pPr>
        <w:widowControl/>
        <w:jc w:val="left"/>
        <w:rPr>
          <w:rFonts w:ascii="Calibri" w:hAnsi="Calibri" w:eastAsia="宋体" w:cs="Times New Roman"/>
          <w:kern w:val="0"/>
          <w:sz w:val="24"/>
          <w:szCs w:val="21"/>
        </w:rPr>
      </w:pPr>
      <w:r>
        <w:rPr>
          <w:rFonts w:ascii="Calibri" w:hAnsi="Calibri" w:eastAsia="宋体" w:cs="Times New Roman"/>
          <w:kern w:val="0"/>
          <w:sz w:val="24"/>
          <w:szCs w:val="21"/>
        </w:rPr>
        <w:br w:type="page"/>
      </w:r>
    </w:p>
    <w:p w14:paraId="2350B457">
      <w:pPr>
        <w:spacing w:line="360" w:lineRule="auto"/>
        <w:jc w:val="center"/>
        <w:outlineLvl w:val="0"/>
        <w:rPr>
          <w:rFonts w:ascii="Times New Roman" w:hAnsi="Times New Roman" w:eastAsia="宋体" w:cs="Times New Roman"/>
          <w:b/>
          <w:sz w:val="44"/>
          <w:szCs w:val="44"/>
        </w:rPr>
      </w:pPr>
      <w:bookmarkStart w:id="1751" w:name="_Toc7421"/>
      <w:bookmarkStart w:id="1752" w:name="_Toc88340357"/>
      <w:bookmarkStart w:id="1753" w:name="_Toc6844"/>
      <w:bookmarkStart w:id="1754" w:name="_Toc4971"/>
      <w:bookmarkStart w:id="1755" w:name="_Toc86623530"/>
      <w:bookmarkStart w:id="1756" w:name="_Toc467181529"/>
      <w:bookmarkStart w:id="1757" w:name="_Toc13223"/>
      <w:r>
        <w:rPr>
          <w:rFonts w:hint="eastAsia" w:ascii="Times New Roman" w:hAnsi="Times New Roman" w:eastAsia="宋体" w:cs="Times New Roman"/>
          <w:b/>
          <w:sz w:val="44"/>
          <w:szCs w:val="44"/>
        </w:rPr>
        <w:t>《影视文学》课程教学大纲</w:t>
      </w:r>
      <w:bookmarkEnd w:id="1751"/>
      <w:bookmarkEnd w:id="1752"/>
      <w:bookmarkEnd w:id="1753"/>
      <w:bookmarkEnd w:id="1754"/>
      <w:bookmarkEnd w:id="1755"/>
      <w:bookmarkEnd w:id="1756"/>
      <w:bookmarkEnd w:id="1757"/>
    </w:p>
    <w:p w14:paraId="6A233875">
      <w:pPr>
        <w:spacing w:line="360" w:lineRule="auto"/>
        <w:jc w:val="center"/>
        <w:rPr>
          <w:rFonts w:ascii="Times New Roman" w:hAnsi="Times New Roman" w:eastAsia="宋体" w:cs="Times New Roman"/>
          <w:b/>
          <w:bCs/>
          <w:sz w:val="28"/>
          <w:szCs w:val="28"/>
        </w:rPr>
      </w:pPr>
      <w:bookmarkStart w:id="1758" w:name="_Toc30657"/>
      <w:bookmarkStart w:id="1759" w:name="_Toc28542"/>
      <w:bookmarkStart w:id="1760" w:name="_Toc32344"/>
      <w:bookmarkStart w:id="1761" w:name="_Toc1573577279"/>
      <w:bookmarkStart w:id="1762" w:name="_Toc22409"/>
      <w:bookmarkStart w:id="1763" w:name="_Toc31590"/>
      <w:bookmarkStart w:id="1764" w:name="_Toc29915"/>
      <w:bookmarkStart w:id="1765" w:name="_Toc17733"/>
      <w:r>
        <w:rPr>
          <w:rFonts w:ascii="Times New Roman" w:hAnsi="Times New Roman" w:eastAsia="宋体" w:cs="Times New Roman"/>
          <w:b/>
          <w:bCs/>
          <w:sz w:val="28"/>
          <w:szCs w:val="28"/>
        </w:rPr>
        <w:t>（Film and Television Literacy）</w:t>
      </w:r>
      <w:bookmarkEnd w:id="1758"/>
      <w:bookmarkEnd w:id="1759"/>
      <w:bookmarkEnd w:id="1760"/>
      <w:bookmarkEnd w:id="1761"/>
      <w:bookmarkEnd w:id="1762"/>
      <w:bookmarkEnd w:id="1763"/>
      <w:bookmarkEnd w:id="1764"/>
      <w:bookmarkEnd w:id="1765"/>
    </w:p>
    <w:p w14:paraId="6439CBF3">
      <w:pPr>
        <w:spacing w:line="360" w:lineRule="auto"/>
        <w:ind w:firstLine="422" w:firstLineChars="200"/>
        <w:rPr>
          <w:rFonts w:hint="eastAsia" w:ascii="宋体" w:hAnsi="宋体" w:eastAsia="宋体" w:cs="宋体"/>
          <w:b/>
          <w:bCs/>
          <w:kern w:val="0"/>
          <w:szCs w:val="20"/>
          <w:lang w:bidi="ar"/>
        </w:rPr>
      </w:pPr>
    </w:p>
    <w:p w14:paraId="18521540">
      <w:pPr>
        <w:spacing w:line="360" w:lineRule="auto"/>
        <w:ind w:firstLine="482" w:firstLineChars="200"/>
        <w:rPr>
          <w:rFonts w:hint="eastAsia" w:ascii="宋体" w:hAnsi="宋体" w:eastAsia="宋体" w:cs="宋体"/>
          <w:b/>
          <w:bCs/>
          <w:kern w:val="0"/>
          <w:sz w:val="24"/>
          <w:szCs w:val="22"/>
          <w:lang w:bidi="ar"/>
        </w:rPr>
      </w:pPr>
      <w:r>
        <w:rPr>
          <w:rFonts w:hint="eastAsia" w:ascii="宋体" w:hAnsi="宋体" w:eastAsia="宋体" w:cs="宋体"/>
          <w:b/>
          <w:bCs/>
          <w:kern w:val="0"/>
          <w:sz w:val="24"/>
          <w:szCs w:val="22"/>
          <w:lang w:bidi="ar"/>
        </w:rPr>
        <w:t>课程名称：影视文学</w:t>
      </w:r>
    </w:p>
    <w:p w14:paraId="20060847">
      <w:pPr>
        <w:spacing w:line="360" w:lineRule="auto"/>
        <w:ind w:firstLine="482" w:firstLineChars="200"/>
        <w:rPr>
          <w:rFonts w:hint="eastAsia" w:ascii="宋体" w:hAnsi="宋体" w:eastAsia="宋体" w:cs="宋体"/>
          <w:b/>
          <w:sz w:val="24"/>
          <w:szCs w:val="22"/>
        </w:rPr>
      </w:pPr>
      <w:r>
        <w:rPr>
          <w:rFonts w:hint="eastAsia" w:ascii="宋体" w:hAnsi="宋体" w:eastAsia="宋体" w:cs="宋体"/>
          <w:b/>
          <w:bCs/>
          <w:kern w:val="0"/>
          <w:sz w:val="24"/>
          <w:szCs w:val="22"/>
          <w:lang w:bidi="ar"/>
        </w:rPr>
        <w:t>课程代码</w:t>
      </w:r>
      <w:r>
        <w:rPr>
          <w:rFonts w:hint="eastAsia" w:ascii="宋体" w:hAnsi="宋体" w:eastAsia="宋体" w:cs="宋体"/>
          <w:b/>
          <w:kern w:val="0"/>
          <w:sz w:val="24"/>
          <w:szCs w:val="22"/>
          <w:lang w:bidi="ar"/>
        </w:rPr>
        <w:t>：0705078</w:t>
      </w:r>
    </w:p>
    <w:p w14:paraId="22783EF9">
      <w:pPr>
        <w:spacing w:line="360" w:lineRule="auto"/>
        <w:ind w:firstLine="482" w:firstLineChars="200"/>
        <w:rPr>
          <w:rFonts w:hint="eastAsia" w:ascii="宋体" w:hAnsi="宋体" w:eastAsia="宋体" w:cs="宋体"/>
          <w:b/>
          <w:kern w:val="0"/>
          <w:sz w:val="24"/>
          <w:szCs w:val="22"/>
        </w:rPr>
      </w:pPr>
      <w:r>
        <w:rPr>
          <w:rFonts w:hint="eastAsia" w:ascii="宋体" w:hAnsi="宋体" w:eastAsia="宋体" w:cs="宋体"/>
          <w:b/>
          <w:bCs/>
          <w:kern w:val="0"/>
          <w:sz w:val="24"/>
          <w:szCs w:val="22"/>
          <w:lang w:bidi="ar"/>
        </w:rPr>
        <w:t>学    分</w:t>
      </w:r>
      <w:r>
        <w:rPr>
          <w:rFonts w:hint="eastAsia" w:ascii="宋体" w:hAnsi="宋体" w:eastAsia="宋体" w:cs="宋体"/>
          <w:b/>
          <w:kern w:val="0"/>
          <w:sz w:val="24"/>
          <w:szCs w:val="22"/>
          <w:lang w:bidi="ar"/>
        </w:rPr>
        <w:t>：</w:t>
      </w:r>
      <w:r>
        <w:rPr>
          <w:rFonts w:hint="eastAsia" w:ascii="宋体" w:hAnsi="宋体" w:eastAsia="宋体" w:cs="宋体"/>
          <w:kern w:val="0"/>
          <w:sz w:val="24"/>
          <w:szCs w:val="22"/>
          <w:lang w:bidi="ar"/>
        </w:rPr>
        <w:t>2</w:t>
      </w:r>
    </w:p>
    <w:p w14:paraId="7A148C41">
      <w:pPr>
        <w:spacing w:line="360" w:lineRule="auto"/>
        <w:ind w:firstLine="482" w:firstLineChars="200"/>
        <w:rPr>
          <w:rFonts w:hint="eastAsia" w:ascii="宋体" w:hAnsi="宋体" w:eastAsia="宋体" w:cs="宋体"/>
          <w:kern w:val="0"/>
          <w:sz w:val="24"/>
          <w:szCs w:val="22"/>
          <w:lang w:bidi="ar"/>
        </w:rPr>
      </w:pPr>
      <w:r>
        <w:rPr>
          <w:rFonts w:hint="eastAsia" w:ascii="宋体" w:hAnsi="宋体" w:eastAsia="宋体" w:cs="宋体"/>
          <w:b/>
          <w:bCs/>
          <w:kern w:val="0"/>
          <w:sz w:val="24"/>
          <w:szCs w:val="22"/>
          <w:lang w:bidi="ar"/>
        </w:rPr>
        <w:t>学    时</w:t>
      </w:r>
      <w:r>
        <w:rPr>
          <w:rFonts w:hint="eastAsia" w:ascii="宋体" w:hAnsi="宋体" w:eastAsia="宋体" w:cs="宋体"/>
          <w:b/>
          <w:kern w:val="0"/>
          <w:sz w:val="24"/>
          <w:szCs w:val="22"/>
          <w:lang w:bidi="ar"/>
        </w:rPr>
        <w:t>：</w:t>
      </w:r>
      <w:r>
        <w:rPr>
          <w:rFonts w:hint="eastAsia" w:ascii="宋体" w:hAnsi="宋体" w:eastAsia="宋体" w:cs="宋体"/>
          <w:kern w:val="0"/>
          <w:sz w:val="24"/>
          <w:szCs w:val="22"/>
          <w:lang w:bidi="ar"/>
        </w:rPr>
        <w:t>32</w:t>
      </w:r>
    </w:p>
    <w:p w14:paraId="0155837E">
      <w:pPr>
        <w:spacing w:line="360" w:lineRule="auto"/>
        <w:ind w:firstLine="482" w:firstLineChars="200"/>
        <w:rPr>
          <w:rFonts w:hint="eastAsia" w:ascii="宋体" w:hAnsi="宋体" w:eastAsia="宋体" w:cs="宋体"/>
          <w:b/>
          <w:bCs/>
          <w:kern w:val="0"/>
          <w:sz w:val="24"/>
          <w:szCs w:val="22"/>
        </w:rPr>
      </w:pPr>
      <w:r>
        <w:rPr>
          <w:rFonts w:hint="eastAsia" w:ascii="宋体" w:hAnsi="宋体" w:eastAsia="宋体" w:cs="宋体"/>
          <w:b/>
          <w:bCs/>
          <w:kern w:val="0"/>
          <w:sz w:val="24"/>
          <w:szCs w:val="22"/>
          <w:lang w:bidi="ar"/>
        </w:rPr>
        <w:t>先修课程</w:t>
      </w:r>
      <w:r>
        <w:rPr>
          <w:rFonts w:hint="eastAsia" w:ascii="宋体" w:hAnsi="宋体" w:eastAsia="宋体" w:cs="宋体"/>
          <w:b/>
          <w:kern w:val="0"/>
          <w:sz w:val="24"/>
          <w:szCs w:val="22"/>
          <w:lang w:bidi="ar"/>
        </w:rPr>
        <w:t>：</w:t>
      </w:r>
      <w:r>
        <w:rPr>
          <w:rFonts w:hint="eastAsia" w:ascii="宋体" w:hAnsi="宋体" w:eastAsia="宋体" w:cs="宋体"/>
          <w:kern w:val="0"/>
          <w:sz w:val="24"/>
          <w:szCs w:val="22"/>
          <w:lang w:bidi="ar"/>
        </w:rPr>
        <w:t>无</w:t>
      </w:r>
    </w:p>
    <w:p w14:paraId="48A21F36">
      <w:pPr>
        <w:spacing w:line="360" w:lineRule="auto"/>
        <w:ind w:firstLine="482" w:firstLineChars="200"/>
        <w:rPr>
          <w:rFonts w:hint="eastAsia" w:ascii="宋体" w:hAnsi="宋体" w:eastAsia="宋体" w:cs="宋体"/>
          <w:kern w:val="0"/>
          <w:sz w:val="24"/>
          <w:szCs w:val="22"/>
        </w:rPr>
      </w:pPr>
      <w:r>
        <w:rPr>
          <w:rFonts w:hint="eastAsia" w:ascii="宋体" w:hAnsi="宋体" w:eastAsia="宋体" w:cs="宋体"/>
          <w:b/>
          <w:bCs/>
          <w:kern w:val="0"/>
          <w:sz w:val="24"/>
          <w:szCs w:val="22"/>
          <w:lang w:bidi="ar"/>
        </w:rPr>
        <w:t>适用专业</w:t>
      </w:r>
      <w:r>
        <w:rPr>
          <w:rFonts w:hint="eastAsia" w:ascii="宋体" w:hAnsi="宋体" w:eastAsia="宋体" w:cs="宋体"/>
          <w:b/>
          <w:kern w:val="0"/>
          <w:sz w:val="24"/>
          <w:szCs w:val="22"/>
          <w:lang w:bidi="ar"/>
        </w:rPr>
        <w:t>：</w:t>
      </w:r>
      <w:r>
        <w:rPr>
          <w:rFonts w:hint="eastAsia" w:ascii="宋体" w:hAnsi="宋体" w:eastAsia="宋体" w:cs="宋体"/>
          <w:kern w:val="0"/>
          <w:sz w:val="24"/>
          <w:lang w:bidi="ar"/>
        </w:rPr>
        <w:t>小学教育（文）专业</w:t>
      </w:r>
    </w:p>
    <w:p w14:paraId="0E943B6E">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一</w:t>
      </w:r>
      <w:r>
        <w:rPr>
          <w:rFonts w:hint="eastAsia" w:ascii="Times New Roman" w:hAnsi="Times New Roman" w:eastAsia="宋体" w:cs="Times New Roman"/>
          <w:b/>
          <w:sz w:val="24"/>
        </w:rPr>
        <w:t>、课程简介</w:t>
      </w:r>
    </w:p>
    <w:p w14:paraId="67B89D9C">
      <w:pPr>
        <w:spacing w:line="360" w:lineRule="auto"/>
        <w:ind w:firstLine="420" w:firstLineChars="200"/>
        <w:rPr>
          <w:rFonts w:hint="eastAsia" w:ascii="宋体" w:hAnsi="宋体" w:eastAsia="宋体" w:cs="Helvetica"/>
          <w:szCs w:val="20"/>
        </w:rPr>
      </w:pPr>
      <w:r>
        <w:rPr>
          <w:rFonts w:hint="eastAsia" w:ascii="宋体" w:hAnsi="宋体" w:eastAsia="宋体" w:cs="Helvetica"/>
          <w:szCs w:val="20"/>
          <w:lang w:bidi="ar"/>
        </w:rPr>
        <w:t>本课程是</w:t>
      </w:r>
      <w:r>
        <w:rPr>
          <w:rFonts w:hint="eastAsia" w:ascii="宋体" w:hAnsi="宋体" w:eastAsia="宋体" w:cs="宋体"/>
          <w:kern w:val="0"/>
          <w:szCs w:val="21"/>
          <w:lang w:bidi="ar"/>
        </w:rPr>
        <w:t>小学教育（文）</w:t>
      </w:r>
      <w:r>
        <w:rPr>
          <w:rFonts w:hint="eastAsia" w:ascii="宋体" w:hAnsi="宋体" w:eastAsia="宋体" w:cs="Helvetica"/>
          <w:szCs w:val="20"/>
          <w:lang w:bidi="ar"/>
        </w:rPr>
        <w:t>专业的专业选修课程。本课程从“历史”“本体”“语言”“创作”“接受”等方面建构影视文学的理论系统，从影视文学本质、影视语言艺术、影视创作技巧、影视接受理论等方面提高学生对影视文学的基本认知，重视理论与实践的结合。通过教学，使学生了解影视文学的本质及生产规律，培养学生影视文学方面的知识和技能，让学生学会鉴赏不同的影视作品，拓展学生的艺术思维空间，提高学生的综合素质。</w:t>
      </w:r>
    </w:p>
    <w:p w14:paraId="308361C8">
      <w:pPr>
        <w:spacing w:before="62" w:beforeLines="20" w:after="62" w:afterLines="20" w:line="360" w:lineRule="auto"/>
        <w:jc w:val="left"/>
        <w:rPr>
          <w:rFonts w:ascii="Times New Roman" w:hAnsi="Times New Roman" w:eastAsia="宋体" w:cs="Times New Roman"/>
          <w:b/>
          <w:sz w:val="24"/>
        </w:rPr>
      </w:pPr>
      <w:bookmarkStart w:id="1766" w:name="_Toc1614911993"/>
      <w:r>
        <w:rPr>
          <w:rFonts w:ascii="Times New Roman" w:hAnsi="Times New Roman" w:eastAsia="宋体" w:cs="Times New Roman"/>
          <w:b/>
          <w:sz w:val="24"/>
        </w:rPr>
        <w:t>二、</w:t>
      </w:r>
      <w:r>
        <w:rPr>
          <w:rFonts w:hint="eastAsia" w:ascii="Times New Roman" w:hAnsi="Times New Roman" w:eastAsia="宋体" w:cs="Times New Roman"/>
          <w:b/>
          <w:sz w:val="24"/>
        </w:rPr>
        <w:t>课程目标</w:t>
      </w:r>
      <w:bookmarkEnd w:id="1766"/>
    </w:p>
    <w:p w14:paraId="3B4B1604">
      <w:pPr>
        <w:spacing w:line="360" w:lineRule="auto"/>
        <w:ind w:firstLine="422" w:firstLineChars="200"/>
        <w:rPr>
          <w:rFonts w:hint="eastAsia" w:ascii="宋体" w:hAnsi="宋体" w:eastAsia="宋体" w:cs="宋体"/>
          <w:b/>
          <w:sz w:val="24"/>
          <w:szCs w:val="22"/>
          <w:lang w:bidi="ar"/>
        </w:rPr>
      </w:pPr>
      <w:r>
        <w:rPr>
          <w:rFonts w:hint="eastAsia" w:ascii="宋体" w:hAnsi="宋体" w:eastAsia="宋体" w:cs="Times New Roman"/>
          <w:b/>
          <w:szCs w:val="21"/>
        </w:rPr>
        <w:t>（一）课程具体目标</w:t>
      </w:r>
    </w:p>
    <w:p w14:paraId="4A98618F">
      <w:pPr>
        <w:spacing w:line="360" w:lineRule="auto"/>
        <w:ind w:firstLine="482"/>
        <w:jc w:val="left"/>
        <w:rPr>
          <w:rFonts w:hint="eastAsia" w:ascii="宋体" w:hAnsi="宋体" w:eastAsia="宋体" w:cs="宋体"/>
          <w:szCs w:val="20"/>
        </w:rPr>
      </w:pPr>
      <w:r>
        <w:rPr>
          <w:rFonts w:hint="eastAsia" w:ascii="宋体" w:hAnsi="宋体" w:eastAsia="宋体" w:cs="宋体"/>
          <w:szCs w:val="20"/>
          <w:lang w:bidi="ar"/>
        </w:rPr>
        <w:t>目标1. 了解</w:t>
      </w:r>
      <w:r>
        <w:rPr>
          <w:rFonts w:hint="eastAsia" w:ascii="宋体" w:hAnsi="宋体" w:eastAsia="宋体" w:cs="Helvetica"/>
          <w:szCs w:val="20"/>
          <w:lang w:bidi="ar"/>
        </w:rPr>
        <w:t>电影的基本原理、目标、原则和形式</w:t>
      </w:r>
      <w:r>
        <w:rPr>
          <w:rFonts w:hint="eastAsia" w:ascii="宋体" w:hAnsi="宋体" w:eastAsia="宋体" w:cs="宋体"/>
          <w:szCs w:val="20"/>
          <w:lang w:bidi="ar"/>
        </w:rPr>
        <w:t>。</w:t>
      </w:r>
    </w:p>
    <w:p w14:paraId="52E37713">
      <w:pPr>
        <w:spacing w:line="360" w:lineRule="auto"/>
        <w:ind w:firstLine="482"/>
        <w:jc w:val="left"/>
        <w:rPr>
          <w:rFonts w:hint="eastAsia" w:ascii="宋体" w:hAnsi="宋体" w:eastAsia="宋体" w:cs="宋体"/>
          <w:szCs w:val="20"/>
        </w:rPr>
      </w:pPr>
      <w:r>
        <w:rPr>
          <w:rFonts w:hint="eastAsia" w:ascii="宋体" w:hAnsi="宋体" w:eastAsia="宋体" w:cs="宋体"/>
          <w:szCs w:val="20"/>
          <w:lang w:bidi="ar"/>
        </w:rPr>
        <w:t>目标2. 掌握</w:t>
      </w:r>
      <w:r>
        <w:rPr>
          <w:rFonts w:hint="eastAsia" w:ascii="宋体" w:hAnsi="宋体" w:eastAsia="宋体" w:cs="Helvetica"/>
          <w:szCs w:val="20"/>
          <w:lang w:bidi="ar"/>
        </w:rPr>
        <w:t>欣赏电影</w:t>
      </w:r>
      <w:r>
        <w:rPr>
          <w:rFonts w:hint="eastAsia" w:ascii="宋体" w:hAnsi="宋体" w:eastAsia="宋体" w:cs="宋体"/>
          <w:szCs w:val="20"/>
          <w:lang w:bidi="ar"/>
        </w:rPr>
        <w:t>的要求规范、策略技能。</w:t>
      </w:r>
    </w:p>
    <w:p w14:paraId="7B5C02B8">
      <w:pPr>
        <w:spacing w:line="360" w:lineRule="auto"/>
        <w:ind w:firstLine="482"/>
        <w:jc w:val="left"/>
        <w:rPr>
          <w:rFonts w:hint="eastAsia" w:ascii="宋体" w:hAnsi="宋体" w:eastAsia="宋体" w:cs="宋体"/>
          <w:szCs w:val="20"/>
          <w:lang w:bidi="ar"/>
        </w:rPr>
      </w:pPr>
      <w:r>
        <w:rPr>
          <w:rFonts w:hint="eastAsia" w:ascii="宋体" w:hAnsi="宋体" w:eastAsia="宋体" w:cs="宋体"/>
          <w:szCs w:val="20"/>
          <w:lang w:bidi="ar"/>
        </w:rPr>
        <w:t>目标3. 培养学生的影视鉴赏、写作、拍摄等方面的能力。</w:t>
      </w:r>
    </w:p>
    <w:p w14:paraId="13E13F7D">
      <w:pPr>
        <w:spacing w:before="156" w:beforeLines="50" w:after="156" w:afterLines="50" w:line="360" w:lineRule="auto"/>
        <w:ind w:firstLine="422" w:firstLineChars="200"/>
        <w:jc w:val="left"/>
        <w:rPr>
          <w:rFonts w:hint="eastAsia" w:ascii="宋体" w:hAnsi="宋体" w:eastAsia="宋体" w:cs="宋体"/>
          <w:sz w:val="24"/>
          <w:szCs w:val="22"/>
          <w:lang w:bidi="ar"/>
        </w:rPr>
      </w:pPr>
      <w:r>
        <w:rPr>
          <w:rFonts w:hint="eastAsia" w:ascii="Times New Roman" w:hAnsi="Times New Roman" w:eastAsia="宋体" w:cs="Times New Roman"/>
          <w:b/>
          <w:bCs/>
          <w:szCs w:val="21"/>
        </w:rPr>
        <w:t>（二）课程目标及其对毕业要求指标点的支撑</w:t>
      </w:r>
    </w:p>
    <w:tbl>
      <w:tblPr>
        <w:tblStyle w:val="12"/>
        <w:tblW w:w="9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6619"/>
        <w:gridCol w:w="1228"/>
      </w:tblGrid>
      <w:tr w14:paraId="1FA4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Align w:val="center"/>
          </w:tcPr>
          <w:p w14:paraId="434D4E97">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619" w:type="dxa"/>
            <w:vAlign w:val="center"/>
          </w:tcPr>
          <w:p w14:paraId="07CCC8D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228" w:type="dxa"/>
            <w:vAlign w:val="center"/>
          </w:tcPr>
          <w:p w14:paraId="56413BE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15B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restart"/>
            <w:vAlign w:val="center"/>
          </w:tcPr>
          <w:p w14:paraId="00A179CA">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毕业要求3</w:t>
            </w:r>
          </w:p>
        </w:tc>
        <w:tc>
          <w:tcPr>
            <w:tcW w:w="6619" w:type="dxa"/>
            <w:vAlign w:val="center"/>
          </w:tcPr>
          <w:p w14:paraId="4DC9F846">
            <w:pPr>
              <w:autoSpaceDE w:val="0"/>
              <w:autoSpaceDN w:val="0"/>
              <w:adjustRightInd w:val="0"/>
              <w:snapToGrid w:val="0"/>
              <w:spacing w:line="336" w:lineRule="auto"/>
              <w:rPr>
                <w:rFonts w:hint="eastAsia" w:asciiTheme="minorEastAsia" w:hAnsiTheme="minorEastAsia" w:cstheme="minorEastAsia"/>
                <w:sz w:val="20"/>
                <w:szCs w:val="20"/>
              </w:rPr>
            </w:pPr>
            <w:r>
              <w:rPr>
                <w:rFonts w:hint="eastAsia" w:asciiTheme="minorEastAsia" w:hAnsiTheme="minorEastAsia" w:cstheme="minorEastAsia"/>
                <w:b/>
                <w:sz w:val="20"/>
                <w:szCs w:val="20"/>
              </w:rPr>
              <w:t>指标点3-1</w:t>
            </w:r>
            <w:r>
              <w:rPr>
                <w:rFonts w:hint="eastAsia" w:asciiTheme="minorEastAsia" w:hAnsiTheme="minorEastAsia" w:cstheme="minorEastAsia"/>
                <w:sz w:val="20"/>
                <w:szCs w:val="20"/>
              </w:rPr>
              <w:t>：【通识知识广博】具有小学教育本科专业相应的自然科学和人文社会科学知识素养。</w:t>
            </w:r>
          </w:p>
        </w:tc>
        <w:tc>
          <w:tcPr>
            <w:tcW w:w="1228" w:type="dxa"/>
            <w:vAlign w:val="center"/>
          </w:tcPr>
          <w:p w14:paraId="5846709E">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课程目标2</w:t>
            </w:r>
          </w:p>
        </w:tc>
      </w:tr>
      <w:tr w14:paraId="037F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8" w:type="dxa"/>
            <w:vMerge w:val="continue"/>
            <w:vAlign w:val="center"/>
          </w:tcPr>
          <w:p w14:paraId="456E194B">
            <w:pPr>
              <w:spacing w:line="276" w:lineRule="auto"/>
              <w:jc w:val="left"/>
              <w:rPr>
                <w:rFonts w:hint="eastAsia" w:asciiTheme="minorEastAsia" w:hAnsiTheme="minorEastAsia" w:cstheme="minorEastAsia"/>
                <w:sz w:val="20"/>
                <w:szCs w:val="20"/>
              </w:rPr>
            </w:pPr>
          </w:p>
        </w:tc>
        <w:tc>
          <w:tcPr>
            <w:tcW w:w="6619" w:type="dxa"/>
            <w:vAlign w:val="center"/>
          </w:tcPr>
          <w:p w14:paraId="2BCD3CDF">
            <w:pPr>
              <w:autoSpaceDE w:val="0"/>
              <w:autoSpaceDN w:val="0"/>
              <w:adjustRightInd w:val="0"/>
              <w:snapToGrid w:val="0"/>
              <w:spacing w:line="336" w:lineRule="auto"/>
              <w:rPr>
                <w:rFonts w:hint="eastAsia" w:asciiTheme="minorEastAsia" w:hAnsiTheme="minorEastAsia" w:cstheme="minorEastAsia"/>
                <w:sz w:val="20"/>
                <w:szCs w:val="20"/>
              </w:rPr>
            </w:pPr>
            <w:r>
              <w:rPr>
                <w:rFonts w:hint="eastAsia" w:asciiTheme="minorEastAsia" w:hAnsiTheme="minorEastAsia" w:cstheme="minorEastAsia"/>
                <w:b/>
                <w:spacing w:val="2"/>
                <w:kern w:val="0"/>
                <w:sz w:val="20"/>
                <w:szCs w:val="20"/>
              </w:rPr>
              <w:t>指标点3-2</w:t>
            </w:r>
            <w:r>
              <w:rPr>
                <w:rFonts w:hint="eastAsia" w:asciiTheme="minorEastAsia" w:hAnsiTheme="minorEastAsia" w:cstheme="minorEastAsia"/>
                <w:spacing w:val="2"/>
                <w:kern w:val="0"/>
                <w:sz w:val="20"/>
                <w:szCs w:val="20"/>
              </w:rPr>
              <w:t>：</w:t>
            </w:r>
            <w:r>
              <w:rPr>
                <w:rFonts w:hint="eastAsia" w:asciiTheme="minorEastAsia" w:hAnsiTheme="minorEastAsia" w:cstheme="minorEastAsia"/>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事业心，工作细心、耐心，做学生锤炼品格、学习知识、创新思维、奉献祖国的引路人。</w:t>
            </w:r>
          </w:p>
        </w:tc>
        <w:tc>
          <w:tcPr>
            <w:tcW w:w="1228" w:type="dxa"/>
            <w:vAlign w:val="center"/>
          </w:tcPr>
          <w:p w14:paraId="7BA4FCB1">
            <w:pPr>
              <w:spacing w:line="276" w:lineRule="auto"/>
              <w:jc w:val="left"/>
              <w:rPr>
                <w:rFonts w:hint="eastAsia" w:asciiTheme="minorEastAsia" w:hAnsiTheme="minorEastAsia" w:cstheme="minorEastAsia"/>
                <w:sz w:val="20"/>
                <w:szCs w:val="20"/>
              </w:rPr>
            </w:pPr>
            <w:r>
              <w:rPr>
                <w:rFonts w:hint="eastAsia" w:asciiTheme="minorEastAsia" w:hAnsiTheme="minorEastAsia" w:cstheme="minorEastAsia"/>
                <w:sz w:val="20"/>
                <w:szCs w:val="20"/>
              </w:rPr>
              <w:t>课程目标3</w:t>
            </w:r>
          </w:p>
        </w:tc>
      </w:tr>
    </w:tbl>
    <w:p w14:paraId="3C887586">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5A11792F">
      <w:pPr>
        <w:spacing w:line="360" w:lineRule="auto"/>
        <w:ind w:firstLine="411" w:firstLineChars="196"/>
        <w:jc w:val="left"/>
        <w:rPr>
          <w:rFonts w:hint="eastAsia" w:ascii="宋体" w:hAnsi="宋体" w:eastAsia="宋体" w:cs="宋体"/>
          <w:sz w:val="24"/>
          <w:szCs w:val="22"/>
        </w:rPr>
      </w:pPr>
      <w:r>
        <w:rPr>
          <w:rFonts w:hint="eastAsia" w:ascii="宋体" w:hAnsi="宋体" w:eastAsia="宋体" w:cs="Times New Roman"/>
          <w:szCs w:val="21"/>
        </w:rPr>
        <w:t>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B62E24E">
      <w:pPr>
        <w:spacing w:before="62" w:beforeLines="20" w:after="62" w:afterLines="20" w:line="360" w:lineRule="auto"/>
        <w:jc w:val="left"/>
        <w:rPr>
          <w:rFonts w:ascii="Times New Roman" w:hAnsi="Times New Roman" w:eastAsia="宋体" w:cs="Times New Roman"/>
          <w:b/>
          <w:sz w:val="24"/>
        </w:rPr>
      </w:pPr>
      <w:bookmarkStart w:id="1767" w:name="_Toc1927535565"/>
      <w:r>
        <w:rPr>
          <w:rFonts w:hint="eastAsia" w:ascii="Times New Roman" w:hAnsi="Times New Roman" w:eastAsia="宋体" w:cs="Times New Roman"/>
          <w:b/>
          <w:sz w:val="24"/>
        </w:rPr>
        <w:t>三、教学内容</w:t>
      </w:r>
      <w:bookmarkEnd w:id="1767"/>
      <w:r>
        <w:rPr>
          <w:rFonts w:hint="eastAsia" w:ascii="Times New Roman" w:hAnsi="Times New Roman" w:eastAsia="宋体" w:cs="Times New Roman"/>
          <w:b/>
          <w:sz w:val="24"/>
        </w:rPr>
        <w:t>与预期学习成效</w:t>
      </w:r>
    </w:p>
    <w:tbl>
      <w:tblPr>
        <w:tblStyle w:val="12"/>
        <w:tblpPr w:leftFromText="180" w:rightFromText="180" w:vertAnchor="text" w:horzAnchor="page" w:tblpX="179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2386"/>
        <w:gridCol w:w="875"/>
        <w:gridCol w:w="2329"/>
        <w:gridCol w:w="1440"/>
        <w:gridCol w:w="638"/>
      </w:tblGrid>
      <w:tr w14:paraId="163B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14:paraId="4B90A932">
            <w:pPr>
              <w:jc w:val="center"/>
              <w:rPr>
                <w:rFonts w:hint="eastAsia" w:ascii="宋体" w:hAnsi="宋体" w:eastAsia="宋体" w:cs="Times New Roman"/>
                <w:b/>
                <w:szCs w:val="21"/>
              </w:rPr>
            </w:pPr>
            <w:bookmarkStart w:id="1768" w:name="_Toc1299425960"/>
            <w:r>
              <w:rPr>
                <w:rFonts w:hint="eastAsia" w:ascii="宋体" w:hAnsi="宋体" w:eastAsia="宋体" w:cs="Times New Roman"/>
                <w:b/>
                <w:szCs w:val="21"/>
              </w:rPr>
              <w:t>知识</w:t>
            </w:r>
          </w:p>
          <w:p w14:paraId="07B7BB82">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386" w:type="dxa"/>
            <w:vAlign w:val="center"/>
          </w:tcPr>
          <w:p w14:paraId="2EA1239F">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875" w:type="dxa"/>
            <w:vAlign w:val="center"/>
          </w:tcPr>
          <w:p w14:paraId="76E069D8">
            <w:pPr>
              <w:jc w:val="center"/>
              <w:rPr>
                <w:rFonts w:hint="eastAsia" w:ascii="宋体" w:hAnsi="宋体" w:eastAsia="宋体" w:cs="Times New Roman"/>
                <w:b/>
                <w:szCs w:val="21"/>
              </w:rPr>
            </w:pPr>
            <w:r>
              <w:rPr>
                <w:rFonts w:hint="eastAsia" w:ascii="宋体" w:hAnsi="宋体" w:eastAsia="宋体" w:cs="Times New Roman"/>
                <w:b/>
                <w:szCs w:val="21"/>
              </w:rPr>
              <w:t>对应课程目标</w:t>
            </w:r>
          </w:p>
        </w:tc>
        <w:tc>
          <w:tcPr>
            <w:tcW w:w="2329" w:type="dxa"/>
            <w:vAlign w:val="center"/>
          </w:tcPr>
          <w:p w14:paraId="1A497091">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440" w:type="dxa"/>
            <w:vAlign w:val="center"/>
          </w:tcPr>
          <w:p w14:paraId="0E703023">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0" w:type="auto"/>
            <w:vAlign w:val="center"/>
          </w:tcPr>
          <w:p w14:paraId="00F370CE">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200E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restart"/>
            <w:vAlign w:val="center"/>
          </w:tcPr>
          <w:p w14:paraId="7B9C7B06">
            <w:pPr>
              <w:rPr>
                <w:rFonts w:hint="eastAsia" w:ascii="宋体" w:hAnsi="宋体" w:eastAsia="宋体" w:cs="宋体"/>
                <w:szCs w:val="21"/>
              </w:rPr>
            </w:pPr>
            <w:r>
              <w:rPr>
                <w:rFonts w:hint="eastAsia" w:ascii="宋体" w:hAnsi="宋体" w:eastAsia="宋体" w:cs="宋体"/>
                <w:szCs w:val="21"/>
                <w:lang w:bidi="ar"/>
              </w:rPr>
              <w:t>1．电影的诞生与发展</w:t>
            </w:r>
          </w:p>
          <w:p w14:paraId="3D289199">
            <w:pPr>
              <w:rPr>
                <w:rFonts w:hint="eastAsia" w:ascii="宋体" w:hAnsi="宋体" w:eastAsia="宋体" w:cs="Times New Roman"/>
                <w:szCs w:val="21"/>
              </w:rPr>
            </w:pPr>
          </w:p>
        </w:tc>
        <w:tc>
          <w:tcPr>
            <w:tcW w:w="2386" w:type="dxa"/>
            <w:vAlign w:val="center"/>
          </w:tcPr>
          <w:p w14:paraId="586678EA">
            <w:pPr>
              <w:rPr>
                <w:rFonts w:hint="eastAsia" w:ascii="宋体" w:hAnsi="宋体" w:eastAsia="宋体" w:cs="宋体"/>
                <w:szCs w:val="21"/>
              </w:rPr>
            </w:pPr>
            <w:r>
              <w:rPr>
                <w:rFonts w:hint="eastAsia" w:ascii="宋体" w:hAnsi="宋体" w:eastAsia="宋体" w:cs="宋体"/>
                <w:szCs w:val="21"/>
                <w:lang w:bidi="ar"/>
              </w:rPr>
              <w:t>（1）电影的概念</w:t>
            </w:r>
          </w:p>
          <w:p w14:paraId="6E399D25">
            <w:pPr>
              <w:rPr>
                <w:rFonts w:hint="eastAsia" w:ascii="宋体" w:hAnsi="宋体" w:eastAsia="宋体" w:cs="宋体"/>
                <w:szCs w:val="21"/>
              </w:rPr>
            </w:pPr>
            <w:r>
              <w:rPr>
                <w:rFonts w:hint="eastAsia" w:ascii="宋体" w:hAnsi="宋体" w:eastAsia="宋体" w:cs="宋体"/>
                <w:szCs w:val="21"/>
                <w:lang w:bidi="ar"/>
              </w:rPr>
              <w:t>（2）电影的发明和诞生。</w:t>
            </w:r>
          </w:p>
          <w:p w14:paraId="334E831D">
            <w:pPr>
              <w:rPr>
                <w:rFonts w:hint="eastAsia" w:ascii="宋体" w:hAnsi="宋体" w:eastAsia="宋体" w:cs="Times New Roman"/>
                <w:szCs w:val="21"/>
              </w:rPr>
            </w:pPr>
            <w:r>
              <w:rPr>
                <w:rFonts w:hint="eastAsia" w:ascii="宋体" w:hAnsi="宋体" w:eastAsia="宋体" w:cs="宋体"/>
                <w:szCs w:val="21"/>
                <w:lang w:bidi="ar"/>
              </w:rPr>
              <w:t>（3）电影的发展和特征。</w:t>
            </w:r>
          </w:p>
        </w:tc>
        <w:tc>
          <w:tcPr>
            <w:tcW w:w="875" w:type="dxa"/>
            <w:vAlign w:val="center"/>
          </w:tcPr>
          <w:p w14:paraId="6608ADF3">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329" w:type="dxa"/>
            <w:vAlign w:val="center"/>
          </w:tcPr>
          <w:p w14:paraId="760628E1">
            <w:pPr>
              <w:numPr>
                <w:ilvl w:val="0"/>
                <w:numId w:val="66"/>
              </w:numPr>
              <w:rPr>
                <w:rFonts w:hint="eastAsia" w:ascii="宋体" w:hAnsi="宋体" w:eastAsia="宋体" w:cs="宋体"/>
                <w:szCs w:val="21"/>
                <w:lang w:bidi="ar"/>
              </w:rPr>
            </w:pPr>
            <w:r>
              <w:rPr>
                <w:rFonts w:hint="eastAsia" w:ascii="宋体" w:hAnsi="宋体" w:eastAsia="宋体" w:cs="宋体"/>
                <w:szCs w:val="21"/>
                <w:lang w:bidi="ar"/>
              </w:rPr>
              <w:t>了解电影的发明者及诞生历程</w:t>
            </w:r>
          </w:p>
          <w:p w14:paraId="655B2544">
            <w:pPr>
              <w:numPr>
                <w:ilvl w:val="0"/>
                <w:numId w:val="66"/>
              </w:numPr>
              <w:rPr>
                <w:rFonts w:hint="eastAsia" w:ascii="宋体" w:hAnsi="宋体" w:eastAsia="宋体" w:cs="宋体"/>
                <w:szCs w:val="21"/>
              </w:rPr>
            </w:pPr>
            <w:r>
              <w:rPr>
                <w:rFonts w:hint="eastAsia" w:ascii="宋体" w:hAnsi="宋体" w:eastAsia="宋体" w:cs="宋体"/>
                <w:szCs w:val="21"/>
                <w:lang w:bidi="ar"/>
              </w:rPr>
              <w:t>熟悉电影诞生初期的重要作品</w:t>
            </w:r>
          </w:p>
          <w:p w14:paraId="74B18056">
            <w:pPr>
              <w:numPr>
                <w:ilvl w:val="0"/>
                <w:numId w:val="66"/>
              </w:numPr>
              <w:rPr>
                <w:rFonts w:hint="eastAsia" w:ascii="宋体" w:hAnsi="宋体" w:eastAsia="宋体" w:cs="Times New Roman"/>
                <w:szCs w:val="21"/>
              </w:rPr>
            </w:pPr>
            <w:r>
              <w:rPr>
                <w:rFonts w:hint="eastAsia" w:ascii="宋体" w:hAnsi="宋体" w:eastAsia="宋体" w:cs="宋体"/>
                <w:szCs w:val="21"/>
                <w:lang w:bidi="ar"/>
              </w:rPr>
              <w:t>掌握电影的各类概念。</w:t>
            </w:r>
          </w:p>
        </w:tc>
        <w:tc>
          <w:tcPr>
            <w:tcW w:w="1440" w:type="dxa"/>
            <w:vAlign w:val="center"/>
          </w:tcPr>
          <w:p w14:paraId="58954CE4">
            <w:pPr>
              <w:jc w:val="left"/>
              <w:rPr>
                <w:rFonts w:hint="eastAsia" w:ascii="宋体" w:hAnsi="宋体" w:eastAsia="宋体" w:cs="Times New Roman"/>
                <w:szCs w:val="21"/>
              </w:rPr>
            </w:pPr>
            <w:r>
              <w:rPr>
                <w:rFonts w:hint="eastAsia" w:ascii="宋体" w:hAnsi="宋体" w:eastAsia="宋体" w:cs="Times New Roman"/>
                <w:szCs w:val="21"/>
              </w:rPr>
              <w:t>1.线上学习</w:t>
            </w:r>
          </w:p>
          <w:p w14:paraId="72B3A529">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70D40A08">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0" w:type="auto"/>
            <w:vAlign w:val="center"/>
          </w:tcPr>
          <w:p w14:paraId="1191C3BA">
            <w:pPr>
              <w:jc w:val="center"/>
              <w:rPr>
                <w:rFonts w:hint="eastAsia" w:ascii="宋体" w:hAnsi="宋体" w:eastAsia="宋体" w:cs="Times New Roman"/>
                <w:szCs w:val="21"/>
              </w:rPr>
            </w:pPr>
            <w:r>
              <w:rPr>
                <w:rFonts w:hint="eastAsia" w:ascii="宋体" w:hAnsi="宋体" w:eastAsia="宋体" w:cs="Times New Roman"/>
                <w:szCs w:val="21"/>
              </w:rPr>
              <w:t>2</w:t>
            </w:r>
          </w:p>
        </w:tc>
      </w:tr>
      <w:tr w14:paraId="782A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continue"/>
            <w:vAlign w:val="center"/>
          </w:tcPr>
          <w:p w14:paraId="67C17518">
            <w:pPr>
              <w:jc w:val="center"/>
              <w:rPr>
                <w:rFonts w:hint="eastAsia" w:ascii="宋体" w:hAnsi="宋体" w:eastAsia="宋体" w:cs="Times New Roman"/>
                <w:szCs w:val="21"/>
              </w:rPr>
            </w:pPr>
          </w:p>
        </w:tc>
        <w:tc>
          <w:tcPr>
            <w:tcW w:w="7668" w:type="dxa"/>
            <w:gridSpan w:val="5"/>
            <w:vAlign w:val="center"/>
          </w:tcPr>
          <w:p w14:paraId="03B60000">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在马克思主义思想指导下学习和研究教育学，运用辩证唯物主义和历史唯物主义的思想方法，结合我国教育改革和发展的具体实践，与时俱进，开拓创新。</w:t>
            </w:r>
          </w:p>
        </w:tc>
      </w:tr>
      <w:tr w14:paraId="36AD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restart"/>
            <w:vAlign w:val="center"/>
          </w:tcPr>
          <w:p w14:paraId="18DB0501">
            <w:pPr>
              <w:rPr>
                <w:rFonts w:hint="eastAsia" w:ascii="宋体" w:hAnsi="宋体" w:eastAsia="宋体" w:cs="宋体"/>
                <w:szCs w:val="21"/>
              </w:rPr>
            </w:pPr>
            <w:r>
              <w:rPr>
                <w:rFonts w:hint="eastAsia" w:ascii="宋体" w:hAnsi="宋体" w:eastAsia="宋体" w:cs="宋体"/>
                <w:szCs w:val="21"/>
                <w:lang w:bidi="ar"/>
              </w:rPr>
              <w:t>2．世界电影的流派</w:t>
            </w:r>
          </w:p>
          <w:p w14:paraId="255BB721">
            <w:pPr>
              <w:rPr>
                <w:rFonts w:hint="eastAsia" w:ascii="宋体" w:hAnsi="宋体" w:eastAsia="宋体" w:cs="宋体"/>
                <w:szCs w:val="21"/>
              </w:rPr>
            </w:pPr>
          </w:p>
          <w:p w14:paraId="4A8D3691">
            <w:pPr>
              <w:jc w:val="center"/>
              <w:rPr>
                <w:rFonts w:hint="eastAsia" w:ascii="宋体" w:hAnsi="宋体" w:eastAsia="宋体" w:cs="Times New Roman"/>
                <w:szCs w:val="21"/>
              </w:rPr>
            </w:pPr>
          </w:p>
        </w:tc>
        <w:tc>
          <w:tcPr>
            <w:tcW w:w="2386" w:type="dxa"/>
            <w:vAlign w:val="center"/>
          </w:tcPr>
          <w:p w14:paraId="267340C1">
            <w:pPr>
              <w:rPr>
                <w:rFonts w:hint="eastAsia" w:ascii="宋体" w:hAnsi="宋体" w:eastAsia="宋体" w:cs="宋体"/>
                <w:szCs w:val="21"/>
              </w:rPr>
            </w:pPr>
            <w:r>
              <w:rPr>
                <w:rFonts w:hint="eastAsia" w:ascii="宋体" w:hAnsi="宋体" w:eastAsia="宋体" w:cs="宋体"/>
                <w:szCs w:val="21"/>
                <w:lang w:bidi="ar"/>
              </w:rPr>
              <w:t>（1）美国好莱坞电影。</w:t>
            </w:r>
          </w:p>
          <w:p w14:paraId="2E87EB0E">
            <w:pPr>
              <w:rPr>
                <w:rFonts w:hint="eastAsia" w:ascii="宋体" w:hAnsi="宋体" w:eastAsia="宋体" w:cs="宋体"/>
                <w:szCs w:val="21"/>
              </w:rPr>
            </w:pPr>
            <w:r>
              <w:rPr>
                <w:rFonts w:hint="eastAsia" w:ascii="宋体" w:hAnsi="宋体" w:eastAsia="宋体" w:cs="宋体"/>
                <w:szCs w:val="21"/>
                <w:lang w:bidi="ar"/>
              </w:rPr>
              <w:t>（2）法国新浪潮电影。</w:t>
            </w:r>
          </w:p>
          <w:p w14:paraId="2F5141BE">
            <w:pPr>
              <w:rPr>
                <w:rFonts w:hint="eastAsia" w:ascii="宋体" w:hAnsi="宋体" w:eastAsia="宋体" w:cs="宋体"/>
                <w:szCs w:val="21"/>
              </w:rPr>
            </w:pPr>
            <w:r>
              <w:rPr>
                <w:rFonts w:hint="eastAsia" w:ascii="宋体" w:hAnsi="宋体" w:eastAsia="宋体" w:cs="宋体"/>
                <w:szCs w:val="21"/>
                <w:lang w:bidi="ar"/>
              </w:rPr>
              <w:t>（3）意大利新现实主义电影。</w:t>
            </w:r>
          </w:p>
          <w:p w14:paraId="5B53DEB4">
            <w:pPr>
              <w:rPr>
                <w:rFonts w:hint="eastAsia" w:ascii="宋体" w:hAnsi="宋体" w:eastAsia="宋体" w:cs="宋体"/>
                <w:szCs w:val="21"/>
              </w:rPr>
            </w:pPr>
            <w:r>
              <w:rPr>
                <w:rFonts w:hint="eastAsia" w:ascii="宋体" w:hAnsi="宋体" w:eastAsia="宋体" w:cs="宋体"/>
                <w:szCs w:val="21"/>
                <w:lang w:bidi="ar"/>
              </w:rPr>
              <w:t>（4）德国表现主义电影。</w:t>
            </w:r>
          </w:p>
          <w:p w14:paraId="3B938093">
            <w:pPr>
              <w:rPr>
                <w:rFonts w:hint="eastAsia" w:ascii="宋体" w:hAnsi="宋体" w:eastAsia="宋体" w:cs="宋体"/>
                <w:szCs w:val="21"/>
              </w:rPr>
            </w:pPr>
            <w:r>
              <w:rPr>
                <w:rFonts w:hint="eastAsia" w:ascii="宋体" w:hAnsi="宋体" w:eastAsia="宋体" w:cs="宋体"/>
                <w:szCs w:val="21"/>
                <w:lang w:bidi="ar"/>
              </w:rPr>
              <w:t>（5）前苏联黄金时代的电影。</w:t>
            </w:r>
          </w:p>
          <w:p w14:paraId="24B8516F">
            <w:pPr>
              <w:rPr>
                <w:rFonts w:hint="eastAsia" w:ascii="宋体" w:hAnsi="宋体" w:eastAsia="宋体" w:cs="宋体"/>
                <w:szCs w:val="21"/>
              </w:rPr>
            </w:pPr>
            <w:r>
              <w:rPr>
                <w:rFonts w:hint="eastAsia" w:ascii="宋体" w:hAnsi="宋体" w:eastAsia="宋体" w:cs="宋体"/>
                <w:szCs w:val="21"/>
                <w:lang w:bidi="ar"/>
              </w:rPr>
              <w:t>（6）日本电影的三个流派。</w:t>
            </w:r>
          </w:p>
          <w:p w14:paraId="4E18D47C">
            <w:pPr>
              <w:jc w:val="left"/>
              <w:rPr>
                <w:rFonts w:hint="eastAsia" w:ascii="宋体" w:hAnsi="宋体" w:eastAsia="宋体" w:cs="Times New Roman"/>
                <w:szCs w:val="21"/>
              </w:rPr>
            </w:pPr>
          </w:p>
        </w:tc>
        <w:tc>
          <w:tcPr>
            <w:tcW w:w="875" w:type="dxa"/>
            <w:vAlign w:val="center"/>
          </w:tcPr>
          <w:p w14:paraId="299C65A0">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329" w:type="dxa"/>
            <w:vAlign w:val="center"/>
          </w:tcPr>
          <w:p w14:paraId="6FF37706">
            <w:pPr>
              <w:numPr>
                <w:ilvl w:val="0"/>
                <w:numId w:val="67"/>
              </w:numPr>
              <w:rPr>
                <w:rFonts w:hint="eastAsia" w:ascii="宋体" w:hAnsi="宋体" w:eastAsia="宋体" w:cs="宋体"/>
                <w:szCs w:val="21"/>
                <w:lang w:bidi="ar"/>
              </w:rPr>
            </w:pPr>
            <w:r>
              <w:rPr>
                <w:rFonts w:hint="eastAsia" w:ascii="宋体" w:hAnsi="宋体" w:eastAsia="宋体" w:cs="宋体"/>
                <w:szCs w:val="21"/>
                <w:lang w:bidi="ar"/>
              </w:rPr>
              <w:t>了解电影发展史上主要的电影流派</w:t>
            </w:r>
          </w:p>
          <w:p w14:paraId="6A2A2174">
            <w:pPr>
              <w:numPr>
                <w:ilvl w:val="0"/>
                <w:numId w:val="67"/>
              </w:numPr>
              <w:rPr>
                <w:rFonts w:hint="eastAsia" w:ascii="宋体" w:hAnsi="宋体" w:eastAsia="宋体" w:cs="宋体"/>
                <w:szCs w:val="21"/>
              </w:rPr>
            </w:pPr>
            <w:r>
              <w:rPr>
                <w:rFonts w:hint="eastAsia" w:ascii="宋体" w:hAnsi="宋体" w:eastAsia="宋体" w:cs="宋体"/>
                <w:szCs w:val="21"/>
                <w:lang w:bidi="ar"/>
              </w:rPr>
              <w:t>通过对电影流派的学习，加深对电影的理解。</w:t>
            </w:r>
          </w:p>
          <w:p w14:paraId="6D525E24">
            <w:pPr>
              <w:jc w:val="left"/>
              <w:rPr>
                <w:rFonts w:hint="eastAsia" w:ascii="宋体" w:hAnsi="宋体" w:eastAsia="宋体" w:cs="Times New Roman"/>
                <w:szCs w:val="21"/>
              </w:rPr>
            </w:pPr>
          </w:p>
        </w:tc>
        <w:tc>
          <w:tcPr>
            <w:tcW w:w="1440" w:type="dxa"/>
            <w:vAlign w:val="center"/>
          </w:tcPr>
          <w:p w14:paraId="0BF286B7">
            <w:pPr>
              <w:jc w:val="left"/>
              <w:rPr>
                <w:rFonts w:hint="eastAsia" w:ascii="宋体" w:hAnsi="宋体" w:eastAsia="宋体" w:cs="Times New Roman"/>
                <w:szCs w:val="21"/>
              </w:rPr>
            </w:pPr>
            <w:r>
              <w:rPr>
                <w:rFonts w:hint="eastAsia" w:ascii="宋体" w:hAnsi="宋体" w:eastAsia="宋体" w:cs="Times New Roman"/>
                <w:szCs w:val="21"/>
              </w:rPr>
              <w:t>1.线上学习</w:t>
            </w:r>
          </w:p>
          <w:p w14:paraId="7226C2DD">
            <w:pPr>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540E94D1">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0" w:type="auto"/>
            <w:vAlign w:val="center"/>
          </w:tcPr>
          <w:p w14:paraId="4E6FEB91">
            <w:pPr>
              <w:jc w:val="center"/>
              <w:rPr>
                <w:rFonts w:hint="eastAsia" w:ascii="宋体" w:hAnsi="宋体" w:eastAsia="宋体" w:cs="Times New Roman"/>
                <w:szCs w:val="21"/>
              </w:rPr>
            </w:pPr>
            <w:r>
              <w:rPr>
                <w:rFonts w:hint="eastAsia" w:ascii="宋体" w:hAnsi="宋体" w:eastAsia="宋体" w:cs="Times New Roman"/>
                <w:szCs w:val="21"/>
              </w:rPr>
              <w:t>4</w:t>
            </w:r>
          </w:p>
        </w:tc>
      </w:tr>
      <w:tr w14:paraId="7A7F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continue"/>
            <w:vAlign w:val="center"/>
          </w:tcPr>
          <w:p w14:paraId="279057E4">
            <w:pPr>
              <w:jc w:val="center"/>
              <w:rPr>
                <w:rFonts w:hint="eastAsia" w:ascii="宋体" w:hAnsi="宋体" w:eastAsia="宋体" w:cs="Times New Roman"/>
                <w:szCs w:val="21"/>
              </w:rPr>
            </w:pPr>
          </w:p>
        </w:tc>
        <w:tc>
          <w:tcPr>
            <w:tcW w:w="7668" w:type="dxa"/>
            <w:gridSpan w:val="5"/>
            <w:vAlign w:val="center"/>
          </w:tcPr>
          <w:p w14:paraId="67887F1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使学生形成对教育的阶级性和教育与社会意识形态关系的正确认知，明确社会主义教育的本质。</w:t>
            </w:r>
          </w:p>
        </w:tc>
      </w:tr>
      <w:tr w14:paraId="0CEE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restart"/>
            <w:vAlign w:val="center"/>
          </w:tcPr>
          <w:p w14:paraId="13EA3AB3">
            <w:pPr>
              <w:rPr>
                <w:rFonts w:hint="eastAsia" w:ascii="宋体" w:hAnsi="宋体" w:eastAsia="宋体" w:cs="宋体"/>
                <w:szCs w:val="21"/>
              </w:rPr>
            </w:pPr>
            <w:r>
              <w:rPr>
                <w:rFonts w:hint="eastAsia" w:ascii="宋体" w:hAnsi="宋体" w:eastAsia="宋体" w:cs="宋体"/>
                <w:szCs w:val="21"/>
                <w:lang w:bidi="ar"/>
              </w:rPr>
              <w:t>3．中国电影的历史步履</w:t>
            </w:r>
          </w:p>
          <w:p w14:paraId="1BDAA9E4">
            <w:pPr>
              <w:jc w:val="center"/>
              <w:rPr>
                <w:rFonts w:hint="eastAsia" w:ascii="宋体" w:hAnsi="宋体" w:eastAsia="宋体" w:cs="Times New Roman"/>
                <w:szCs w:val="21"/>
              </w:rPr>
            </w:pPr>
          </w:p>
        </w:tc>
        <w:tc>
          <w:tcPr>
            <w:tcW w:w="2386" w:type="dxa"/>
            <w:vAlign w:val="center"/>
          </w:tcPr>
          <w:p w14:paraId="2EB44088">
            <w:pPr>
              <w:numPr>
                <w:ilvl w:val="0"/>
                <w:numId w:val="68"/>
              </w:numPr>
              <w:rPr>
                <w:rFonts w:hint="eastAsia" w:ascii="宋体" w:hAnsi="宋体" w:eastAsia="宋体" w:cs="宋体"/>
                <w:szCs w:val="21"/>
                <w:lang w:bidi="ar"/>
              </w:rPr>
            </w:pPr>
            <w:r>
              <w:rPr>
                <w:rFonts w:hint="eastAsia" w:ascii="宋体" w:hAnsi="宋体" w:eastAsia="宋体" w:cs="宋体"/>
                <w:szCs w:val="21"/>
                <w:lang w:bidi="ar"/>
              </w:rPr>
              <w:t>早期电影。</w:t>
            </w:r>
          </w:p>
          <w:p w14:paraId="541C7DCB">
            <w:pPr>
              <w:rPr>
                <w:rFonts w:hint="eastAsia" w:ascii="宋体" w:hAnsi="宋体" w:eastAsia="宋体" w:cs="宋体"/>
                <w:szCs w:val="21"/>
              </w:rPr>
            </w:pPr>
            <w:r>
              <w:rPr>
                <w:rFonts w:hint="eastAsia" w:ascii="宋体" w:hAnsi="宋体" w:eastAsia="宋体" w:cs="宋体"/>
                <w:szCs w:val="21"/>
                <w:lang w:bidi="ar"/>
              </w:rPr>
              <w:t>（2）20世纪20年代的电影。</w:t>
            </w:r>
          </w:p>
          <w:p w14:paraId="6412AD29">
            <w:pPr>
              <w:rPr>
                <w:rFonts w:hint="eastAsia" w:ascii="宋体" w:hAnsi="宋体" w:eastAsia="宋体" w:cs="宋体"/>
                <w:szCs w:val="21"/>
              </w:rPr>
            </w:pPr>
            <w:r>
              <w:rPr>
                <w:rFonts w:hint="eastAsia" w:ascii="宋体" w:hAnsi="宋体" w:eastAsia="宋体" w:cs="宋体"/>
                <w:szCs w:val="21"/>
                <w:lang w:bidi="ar"/>
              </w:rPr>
              <w:t>（3）左翼电影运动。</w:t>
            </w:r>
          </w:p>
          <w:p w14:paraId="3B89E49F">
            <w:pPr>
              <w:rPr>
                <w:rFonts w:hint="eastAsia" w:ascii="宋体" w:hAnsi="宋体" w:eastAsia="宋体" w:cs="宋体"/>
                <w:szCs w:val="21"/>
              </w:rPr>
            </w:pPr>
            <w:r>
              <w:rPr>
                <w:rFonts w:hint="eastAsia" w:ascii="宋体" w:hAnsi="宋体" w:eastAsia="宋体" w:cs="宋体"/>
                <w:szCs w:val="21"/>
                <w:lang w:bidi="ar"/>
              </w:rPr>
              <w:t>（4）抗战时期电影。</w:t>
            </w:r>
          </w:p>
          <w:p w14:paraId="341482BA">
            <w:pPr>
              <w:rPr>
                <w:rFonts w:hint="eastAsia" w:ascii="宋体" w:hAnsi="宋体" w:eastAsia="宋体" w:cs="宋体"/>
                <w:szCs w:val="21"/>
              </w:rPr>
            </w:pPr>
            <w:r>
              <w:rPr>
                <w:rFonts w:hint="eastAsia" w:ascii="宋体" w:hAnsi="宋体" w:eastAsia="宋体" w:cs="宋体"/>
                <w:szCs w:val="21"/>
                <w:lang w:bidi="ar"/>
              </w:rPr>
              <w:t>（5）战后电影。</w:t>
            </w:r>
          </w:p>
          <w:p w14:paraId="11E7E0AE">
            <w:pPr>
              <w:rPr>
                <w:rFonts w:hint="eastAsia" w:ascii="宋体" w:hAnsi="宋体" w:eastAsia="宋体" w:cs="宋体"/>
                <w:szCs w:val="21"/>
              </w:rPr>
            </w:pPr>
            <w:r>
              <w:rPr>
                <w:rFonts w:hint="eastAsia" w:ascii="宋体" w:hAnsi="宋体" w:eastAsia="宋体" w:cs="宋体"/>
                <w:szCs w:val="21"/>
                <w:lang w:bidi="ar"/>
              </w:rPr>
              <w:t>（6）新中国电影。</w:t>
            </w:r>
          </w:p>
          <w:p w14:paraId="07A33527">
            <w:pPr>
              <w:rPr>
                <w:rFonts w:hint="eastAsia" w:ascii="宋体" w:hAnsi="宋体" w:eastAsia="宋体" w:cs="宋体"/>
                <w:szCs w:val="21"/>
              </w:rPr>
            </w:pPr>
            <w:r>
              <w:rPr>
                <w:rFonts w:hint="eastAsia" w:ascii="宋体" w:hAnsi="宋体" w:eastAsia="宋体" w:cs="宋体"/>
                <w:szCs w:val="21"/>
                <w:lang w:bidi="ar"/>
              </w:rPr>
              <w:t>（7）文化大革命时期电影。</w:t>
            </w:r>
          </w:p>
          <w:p w14:paraId="1B3AC6A7">
            <w:pPr>
              <w:rPr>
                <w:rFonts w:hint="eastAsia" w:ascii="宋体" w:hAnsi="宋体" w:eastAsia="宋体" w:cs="宋体"/>
                <w:szCs w:val="21"/>
              </w:rPr>
            </w:pPr>
            <w:r>
              <w:rPr>
                <w:rFonts w:hint="eastAsia" w:ascii="宋体" w:hAnsi="宋体" w:eastAsia="宋体" w:cs="宋体"/>
                <w:szCs w:val="21"/>
                <w:lang w:bidi="ar"/>
              </w:rPr>
              <w:t>（8）中国现代主义电影。</w:t>
            </w:r>
          </w:p>
          <w:p w14:paraId="38E3B1F6">
            <w:pPr>
              <w:rPr>
                <w:rFonts w:hint="eastAsia" w:ascii="宋体" w:hAnsi="宋体" w:eastAsia="宋体" w:cs="Times New Roman"/>
                <w:szCs w:val="21"/>
              </w:rPr>
            </w:pPr>
            <w:r>
              <w:rPr>
                <w:rFonts w:hint="eastAsia" w:ascii="宋体" w:hAnsi="宋体" w:eastAsia="宋体" w:cs="宋体"/>
                <w:szCs w:val="21"/>
                <w:lang w:bidi="ar"/>
              </w:rPr>
              <w:t>（9）当代多元化电影。</w:t>
            </w:r>
          </w:p>
        </w:tc>
        <w:tc>
          <w:tcPr>
            <w:tcW w:w="875" w:type="dxa"/>
            <w:vAlign w:val="center"/>
          </w:tcPr>
          <w:p w14:paraId="122EF42D">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329" w:type="dxa"/>
            <w:vAlign w:val="center"/>
          </w:tcPr>
          <w:p w14:paraId="2E5A129A">
            <w:pPr>
              <w:numPr>
                <w:ilvl w:val="0"/>
                <w:numId w:val="69"/>
              </w:numPr>
              <w:rPr>
                <w:rFonts w:hint="eastAsia" w:ascii="宋体" w:hAnsi="宋体" w:eastAsia="宋体" w:cs="宋体"/>
                <w:szCs w:val="21"/>
                <w:lang w:bidi="ar"/>
              </w:rPr>
            </w:pPr>
            <w:r>
              <w:rPr>
                <w:rFonts w:hint="eastAsia" w:ascii="宋体" w:hAnsi="宋体" w:eastAsia="宋体" w:cs="宋体"/>
                <w:szCs w:val="21"/>
                <w:lang w:bidi="ar"/>
              </w:rPr>
              <w:t>了解中国电影的发展历程</w:t>
            </w:r>
          </w:p>
          <w:p w14:paraId="508876E2">
            <w:pPr>
              <w:numPr>
                <w:ilvl w:val="0"/>
                <w:numId w:val="69"/>
              </w:numPr>
              <w:rPr>
                <w:rFonts w:hint="eastAsia" w:ascii="宋体" w:hAnsi="宋体" w:eastAsia="宋体" w:cs="宋体"/>
                <w:szCs w:val="21"/>
              </w:rPr>
            </w:pPr>
            <w:r>
              <w:rPr>
                <w:rFonts w:hint="eastAsia" w:ascii="宋体" w:hAnsi="宋体" w:eastAsia="宋体" w:cs="宋体"/>
                <w:szCs w:val="21"/>
                <w:lang w:bidi="ar"/>
              </w:rPr>
              <w:t>熟悉不同阶段的主要代表人物、作品</w:t>
            </w:r>
          </w:p>
          <w:p w14:paraId="1E45AD3F">
            <w:pPr>
              <w:numPr>
                <w:ilvl w:val="0"/>
                <w:numId w:val="69"/>
              </w:numPr>
              <w:rPr>
                <w:rFonts w:hint="eastAsia" w:ascii="宋体" w:hAnsi="宋体" w:eastAsia="宋体" w:cs="Times New Roman"/>
                <w:szCs w:val="21"/>
              </w:rPr>
            </w:pPr>
            <w:r>
              <w:rPr>
                <w:rFonts w:hint="eastAsia" w:ascii="宋体" w:hAnsi="宋体" w:eastAsia="宋体" w:cs="宋体"/>
                <w:szCs w:val="21"/>
                <w:lang w:bidi="ar"/>
              </w:rPr>
              <w:t>掌握不同电影发展阶段的相关概念，理解代表作品具有的时代特征。</w:t>
            </w:r>
          </w:p>
        </w:tc>
        <w:tc>
          <w:tcPr>
            <w:tcW w:w="1440" w:type="dxa"/>
            <w:vAlign w:val="center"/>
          </w:tcPr>
          <w:p w14:paraId="72140800">
            <w:pPr>
              <w:jc w:val="left"/>
              <w:rPr>
                <w:rFonts w:hint="eastAsia" w:ascii="宋体" w:hAnsi="宋体" w:eastAsia="宋体" w:cs="Times New Roman"/>
                <w:szCs w:val="21"/>
              </w:rPr>
            </w:pPr>
            <w:r>
              <w:rPr>
                <w:rFonts w:ascii="宋体" w:hAnsi="宋体" w:eastAsia="宋体" w:cs="Times New Roman"/>
                <w:szCs w:val="21"/>
              </w:rPr>
              <w:t>1.线上学习</w:t>
            </w:r>
          </w:p>
          <w:p w14:paraId="0583D819">
            <w:pPr>
              <w:jc w:val="left"/>
              <w:rPr>
                <w:rFonts w:hint="eastAsia" w:ascii="宋体" w:hAnsi="宋体" w:eastAsia="宋体" w:cs="Times New Roman"/>
                <w:szCs w:val="21"/>
              </w:rPr>
            </w:pPr>
            <w:r>
              <w:rPr>
                <w:rFonts w:ascii="宋体" w:hAnsi="宋体" w:eastAsia="宋体" w:cs="Times New Roman"/>
                <w:szCs w:val="21"/>
              </w:rPr>
              <w:t>2.多媒体教学3.课堂讨论</w:t>
            </w:r>
          </w:p>
          <w:p w14:paraId="2E05E05E">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327D5336">
            <w:pPr>
              <w:jc w:val="center"/>
              <w:rPr>
                <w:rFonts w:hint="eastAsia" w:ascii="宋体" w:hAnsi="宋体" w:eastAsia="宋体" w:cs="Times New Roman"/>
                <w:szCs w:val="21"/>
              </w:rPr>
            </w:pPr>
            <w:r>
              <w:rPr>
                <w:rFonts w:hint="eastAsia" w:ascii="宋体" w:hAnsi="宋体" w:eastAsia="宋体" w:cs="Times New Roman"/>
                <w:szCs w:val="21"/>
              </w:rPr>
              <w:t>3</w:t>
            </w:r>
          </w:p>
        </w:tc>
      </w:tr>
      <w:tr w14:paraId="16F5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continue"/>
            <w:vAlign w:val="center"/>
          </w:tcPr>
          <w:p w14:paraId="22DCECD2">
            <w:pPr>
              <w:jc w:val="center"/>
              <w:rPr>
                <w:rFonts w:hint="eastAsia" w:ascii="宋体" w:hAnsi="宋体" w:eastAsia="宋体" w:cs="Times New Roman"/>
                <w:szCs w:val="21"/>
              </w:rPr>
            </w:pPr>
          </w:p>
        </w:tc>
        <w:tc>
          <w:tcPr>
            <w:tcW w:w="7668" w:type="dxa"/>
            <w:gridSpan w:val="5"/>
            <w:vAlign w:val="center"/>
          </w:tcPr>
          <w:p w14:paraId="1075EC44">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从辩证思维的角度掌握教育与社会发展的关系在分析教育与经济、教育与政治、教育与文化的关系中，树立制度自信和文化自信。</w:t>
            </w:r>
          </w:p>
        </w:tc>
      </w:tr>
      <w:tr w14:paraId="3401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restart"/>
            <w:vAlign w:val="center"/>
          </w:tcPr>
          <w:p w14:paraId="66400B34">
            <w:pPr>
              <w:rPr>
                <w:rFonts w:hint="eastAsia" w:ascii="宋体" w:hAnsi="宋体" w:eastAsia="宋体" w:cs="宋体"/>
                <w:szCs w:val="21"/>
              </w:rPr>
            </w:pPr>
            <w:r>
              <w:rPr>
                <w:rFonts w:hint="eastAsia" w:ascii="宋体" w:hAnsi="宋体" w:eastAsia="宋体" w:cs="宋体"/>
                <w:szCs w:val="21"/>
                <w:lang w:bidi="ar"/>
              </w:rPr>
              <w:t>4.电视艺术与文化</w:t>
            </w:r>
          </w:p>
          <w:p w14:paraId="41FAAE98">
            <w:pPr>
              <w:jc w:val="center"/>
              <w:rPr>
                <w:rFonts w:hint="eastAsia" w:ascii="宋体" w:hAnsi="宋体" w:eastAsia="宋体" w:cs="Times New Roman"/>
                <w:szCs w:val="21"/>
              </w:rPr>
            </w:pPr>
          </w:p>
        </w:tc>
        <w:tc>
          <w:tcPr>
            <w:tcW w:w="2386" w:type="dxa"/>
            <w:vAlign w:val="center"/>
          </w:tcPr>
          <w:p w14:paraId="4908DBDA">
            <w:pPr>
              <w:rPr>
                <w:rFonts w:hint="eastAsia" w:ascii="宋体" w:hAnsi="宋体" w:eastAsia="宋体" w:cs="宋体"/>
                <w:szCs w:val="21"/>
              </w:rPr>
            </w:pPr>
            <w:r>
              <w:rPr>
                <w:rFonts w:hint="eastAsia" w:ascii="宋体" w:hAnsi="宋体" w:eastAsia="宋体" w:cs="Times New Roman"/>
                <w:szCs w:val="21"/>
              </w:rPr>
              <w:t>（1）</w:t>
            </w:r>
            <w:r>
              <w:rPr>
                <w:rFonts w:hint="eastAsia" w:ascii="宋体" w:hAnsi="宋体" w:eastAsia="宋体" w:cs="宋体"/>
                <w:szCs w:val="21"/>
                <w:lang w:bidi="ar"/>
              </w:rPr>
              <w:t>电视的诞生与发展成熟。</w:t>
            </w:r>
          </w:p>
          <w:p w14:paraId="73E723D7">
            <w:pPr>
              <w:rPr>
                <w:rFonts w:hint="eastAsia" w:ascii="宋体" w:hAnsi="宋体" w:eastAsia="宋体" w:cs="宋体"/>
                <w:szCs w:val="21"/>
              </w:rPr>
            </w:pPr>
            <w:r>
              <w:rPr>
                <w:rFonts w:hint="eastAsia" w:ascii="宋体" w:hAnsi="宋体" w:eastAsia="宋体" w:cs="宋体"/>
                <w:szCs w:val="21"/>
                <w:lang w:bidi="ar"/>
              </w:rPr>
              <w:t>（2）作为大众消费文化的电视艺术。</w:t>
            </w:r>
          </w:p>
          <w:p w14:paraId="0556F3A8">
            <w:pPr>
              <w:rPr>
                <w:rFonts w:hint="eastAsia" w:ascii="宋体" w:hAnsi="宋体" w:eastAsia="宋体" w:cs="宋体"/>
                <w:szCs w:val="21"/>
              </w:rPr>
            </w:pPr>
            <w:r>
              <w:rPr>
                <w:rFonts w:hint="eastAsia" w:ascii="宋体" w:hAnsi="宋体" w:eastAsia="宋体" w:cs="宋体"/>
                <w:szCs w:val="21"/>
                <w:lang w:bidi="ar"/>
              </w:rPr>
              <w:t>（3）电视文化对消费社会的引领和建构。</w:t>
            </w:r>
          </w:p>
          <w:p w14:paraId="73CE33F1">
            <w:pPr>
              <w:rPr>
                <w:rFonts w:hint="eastAsia" w:ascii="宋体" w:hAnsi="宋体" w:eastAsia="宋体" w:cs="宋体"/>
                <w:szCs w:val="21"/>
              </w:rPr>
            </w:pPr>
            <w:r>
              <w:rPr>
                <w:rFonts w:hint="eastAsia" w:ascii="宋体" w:hAnsi="宋体" w:eastAsia="宋体" w:cs="宋体"/>
                <w:szCs w:val="21"/>
                <w:lang w:bidi="ar"/>
              </w:rPr>
              <w:t>（4）电视艺术的接受。</w:t>
            </w:r>
          </w:p>
          <w:p w14:paraId="48ABA26E">
            <w:pPr>
              <w:rPr>
                <w:rFonts w:hint="eastAsia" w:ascii="宋体" w:hAnsi="宋体" w:eastAsia="宋体" w:cs="宋体"/>
                <w:szCs w:val="21"/>
              </w:rPr>
            </w:pPr>
            <w:r>
              <w:rPr>
                <w:rFonts w:hint="eastAsia" w:ascii="宋体" w:hAnsi="宋体" w:eastAsia="宋体" w:cs="宋体"/>
                <w:szCs w:val="21"/>
                <w:lang w:bidi="ar"/>
              </w:rPr>
              <w:t>（5）电视观众的接受动机。</w:t>
            </w:r>
          </w:p>
          <w:p w14:paraId="7B8335CA">
            <w:pPr>
              <w:rPr>
                <w:rFonts w:hint="eastAsia" w:ascii="宋体" w:hAnsi="宋体" w:eastAsia="宋体" w:cs="宋体"/>
                <w:szCs w:val="21"/>
              </w:rPr>
            </w:pPr>
            <w:r>
              <w:rPr>
                <w:rFonts w:hint="eastAsia" w:ascii="宋体" w:hAnsi="宋体" w:eastAsia="宋体" w:cs="宋体"/>
                <w:szCs w:val="21"/>
                <w:lang w:bidi="ar"/>
              </w:rPr>
              <w:t>（6）文本期待。</w:t>
            </w:r>
          </w:p>
          <w:p w14:paraId="73B392CC">
            <w:pPr>
              <w:rPr>
                <w:rFonts w:hint="eastAsia" w:ascii="宋体" w:hAnsi="宋体" w:eastAsia="宋体" w:cs="Times New Roman"/>
                <w:szCs w:val="21"/>
              </w:rPr>
            </w:pPr>
            <w:r>
              <w:rPr>
                <w:rFonts w:hint="eastAsia" w:ascii="宋体" w:hAnsi="宋体" w:eastAsia="宋体" w:cs="宋体"/>
                <w:szCs w:val="21"/>
                <w:lang w:bidi="ar"/>
              </w:rPr>
              <w:t>（7）电视观众接受心理的演变。</w:t>
            </w:r>
          </w:p>
        </w:tc>
        <w:tc>
          <w:tcPr>
            <w:tcW w:w="875" w:type="dxa"/>
            <w:vAlign w:val="center"/>
          </w:tcPr>
          <w:p w14:paraId="4B13853C">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29" w:type="dxa"/>
            <w:vAlign w:val="center"/>
          </w:tcPr>
          <w:p w14:paraId="46EB22A4">
            <w:pPr>
              <w:numPr>
                <w:ilvl w:val="0"/>
                <w:numId w:val="70"/>
              </w:numPr>
              <w:rPr>
                <w:rFonts w:hint="eastAsia" w:ascii="宋体" w:hAnsi="宋体" w:eastAsia="宋体" w:cs="宋体"/>
                <w:szCs w:val="21"/>
                <w:lang w:bidi="ar"/>
              </w:rPr>
            </w:pPr>
            <w:r>
              <w:rPr>
                <w:rFonts w:hint="eastAsia" w:ascii="宋体" w:hAnsi="宋体" w:eastAsia="宋体" w:cs="宋体"/>
                <w:szCs w:val="21"/>
                <w:lang w:bidi="ar"/>
              </w:rPr>
              <w:t>了解电视的诞生与发展成熟的过程，熟悉电视艺术的接受</w:t>
            </w:r>
          </w:p>
          <w:p w14:paraId="459CD13C">
            <w:pPr>
              <w:numPr>
                <w:ilvl w:val="0"/>
                <w:numId w:val="70"/>
              </w:numPr>
              <w:rPr>
                <w:rFonts w:hint="eastAsia" w:ascii="宋体" w:hAnsi="宋体" w:eastAsia="宋体" w:cs="Times New Roman"/>
                <w:szCs w:val="21"/>
              </w:rPr>
            </w:pPr>
            <w:r>
              <w:rPr>
                <w:rFonts w:hint="eastAsia" w:ascii="宋体" w:hAnsi="宋体" w:eastAsia="宋体" w:cs="宋体"/>
                <w:szCs w:val="21"/>
                <w:lang w:bidi="ar"/>
              </w:rPr>
              <w:t>掌握电视文化的概念，理解电视文化的大众消费特点。</w:t>
            </w:r>
          </w:p>
        </w:tc>
        <w:tc>
          <w:tcPr>
            <w:tcW w:w="1440" w:type="dxa"/>
            <w:vAlign w:val="center"/>
          </w:tcPr>
          <w:p w14:paraId="2C13B49A">
            <w:pPr>
              <w:jc w:val="left"/>
              <w:rPr>
                <w:rFonts w:hint="eastAsia" w:ascii="宋体" w:hAnsi="宋体" w:eastAsia="宋体" w:cs="Times New Roman"/>
                <w:szCs w:val="21"/>
              </w:rPr>
            </w:pPr>
            <w:r>
              <w:rPr>
                <w:rFonts w:ascii="宋体" w:hAnsi="宋体" w:eastAsia="宋体" w:cs="Times New Roman"/>
                <w:szCs w:val="21"/>
              </w:rPr>
              <w:t>1.线上学习</w:t>
            </w:r>
          </w:p>
          <w:p w14:paraId="0B044E91">
            <w:pPr>
              <w:jc w:val="left"/>
              <w:rPr>
                <w:rFonts w:hint="eastAsia" w:ascii="宋体" w:hAnsi="宋体" w:eastAsia="宋体" w:cs="Times New Roman"/>
                <w:szCs w:val="21"/>
              </w:rPr>
            </w:pPr>
            <w:r>
              <w:rPr>
                <w:rFonts w:ascii="宋体" w:hAnsi="宋体" w:eastAsia="宋体" w:cs="Times New Roman"/>
                <w:szCs w:val="21"/>
              </w:rPr>
              <w:t>2.多媒体教学3.课堂讨论</w:t>
            </w:r>
          </w:p>
          <w:p w14:paraId="3F46C341">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18BD5F65">
            <w:pPr>
              <w:jc w:val="center"/>
              <w:rPr>
                <w:rFonts w:hint="eastAsia" w:ascii="宋体" w:hAnsi="宋体" w:eastAsia="宋体" w:cs="Times New Roman"/>
                <w:szCs w:val="21"/>
              </w:rPr>
            </w:pPr>
            <w:r>
              <w:rPr>
                <w:rFonts w:hint="eastAsia" w:ascii="宋体" w:hAnsi="宋体" w:eastAsia="宋体" w:cs="Times New Roman"/>
                <w:szCs w:val="21"/>
              </w:rPr>
              <w:t>4</w:t>
            </w:r>
          </w:p>
        </w:tc>
      </w:tr>
      <w:tr w14:paraId="3EA3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continue"/>
            <w:vAlign w:val="center"/>
          </w:tcPr>
          <w:p w14:paraId="345EC5EE">
            <w:pPr>
              <w:jc w:val="center"/>
              <w:rPr>
                <w:rFonts w:hint="eastAsia" w:ascii="宋体" w:hAnsi="宋体" w:eastAsia="宋体" w:cs="Times New Roman"/>
                <w:szCs w:val="21"/>
              </w:rPr>
            </w:pPr>
          </w:p>
        </w:tc>
        <w:tc>
          <w:tcPr>
            <w:tcW w:w="7668" w:type="dxa"/>
            <w:gridSpan w:val="5"/>
            <w:vAlign w:val="center"/>
          </w:tcPr>
          <w:p w14:paraId="32DC0B1C">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学会遵循马克思主义的立场、观点和方法、遵循当代社会的伦理规范来实施教学，同时形成教育公平、民主、法治等的正确理念。</w:t>
            </w:r>
          </w:p>
        </w:tc>
      </w:tr>
      <w:tr w14:paraId="684D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restart"/>
            <w:vAlign w:val="center"/>
          </w:tcPr>
          <w:p w14:paraId="1065DE34">
            <w:pPr>
              <w:rPr>
                <w:rFonts w:hint="eastAsia" w:ascii="宋体" w:hAnsi="宋体" w:eastAsia="宋体" w:cs="宋体"/>
                <w:szCs w:val="21"/>
              </w:rPr>
            </w:pPr>
            <w:r>
              <w:rPr>
                <w:rFonts w:hint="eastAsia" w:ascii="宋体" w:hAnsi="宋体" w:eastAsia="宋体" w:cs="宋体"/>
                <w:szCs w:val="21"/>
                <w:lang w:bidi="ar"/>
              </w:rPr>
              <w:t>5.影视艺术的语言</w:t>
            </w:r>
          </w:p>
          <w:p w14:paraId="2F0A3287">
            <w:pPr>
              <w:jc w:val="center"/>
              <w:rPr>
                <w:rFonts w:hint="eastAsia" w:ascii="宋体" w:hAnsi="宋体" w:eastAsia="宋体" w:cs="Times New Roman"/>
                <w:szCs w:val="21"/>
              </w:rPr>
            </w:pPr>
          </w:p>
        </w:tc>
        <w:tc>
          <w:tcPr>
            <w:tcW w:w="2386" w:type="dxa"/>
            <w:vAlign w:val="center"/>
          </w:tcPr>
          <w:p w14:paraId="35414361">
            <w:pPr>
              <w:rPr>
                <w:rFonts w:hint="eastAsia" w:ascii="宋体" w:hAnsi="宋体" w:eastAsia="宋体" w:cs="宋体"/>
                <w:szCs w:val="21"/>
              </w:rPr>
            </w:pPr>
            <w:r>
              <w:rPr>
                <w:rFonts w:hint="eastAsia" w:ascii="宋体" w:hAnsi="宋体" w:eastAsia="宋体" w:cs="宋体"/>
                <w:szCs w:val="21"/>
                <w:lang w:bidi="ar"/>
              </w:rPr>
              <w:t>（1）影视的画面。</w:t>
            </w:r>
          </w:p>
          <w:p w14:paraId="23C2AE04">
            <w:pPr>
              <w:rPr>
                <w:rFonts w:hint="eastAsia" w:ascii="宋体" w:hAnsi="宋体" w:eastAsia="宋体" w:cs="宋体"/>
                <w:szCs w:val="21"/>
              </w:rPr>
            </w:pPr>
            <w:r>
              <w:rPr>
                <w:rFonts w:hint="eastAsia" w:ascii="宋体" w:hAnsi="宋体" w:eastAsia="宋体" w:cs="宋体"/>
                <w:szCs w:val="21"/>
                <w:lang w:bidi="ar"/>
              </w:rPr>
              <w:t>（2）影视的镜头。</w:t>
            </w:r>
          </w:p>
          <w:p w14:paraId="7E9A97C1">
            <w:pPr>
              <w:rPr>
                <w:rFonts w:hint="eastAsia" w:ascii="宋体" w:hAnsi="宋体" w:eastAsia="宋体" w:cs="宋体"/>
                <w:szCs w:val="21"/>
              </w:rPr>
            </w:pPr>
            <w:r>
              <w:rPr>
                <w:rFonts w:hint="eastAsia" w:ascii="宋体" w:hAnsi="宋体" w:eastAsia="宋体" w:cs="宋体"/>
                <w:szCs w:val="21"/>
                <w:lang w:bidi="ar"/>
              </w:rPr>
              <w:t>（3）影视的构图、光影与色彩。</w:t>
            </w:r>
          </w:p>
          <w:p w14:paraId="0BBCD22F">
            <w:pPr>
              <w:rPr>
                <w:rFonts w:hint="eastAsia" w:ascii="宋体" w:hAnsi="宋体" w:eastAsia="宋体" w:cs="宋体"/>
                <w:szCs w:val="21"/>
              </w:rPr>
            </w:pPr>
            <w:r>
              <w:rPr>
                <w:rFonts w:hint="eastAsia" w:ascii="宋体" w:hAnsi="宋体" w:eastAsia="宋体" w:cs="宋体"/>
                <w:szCs w:val="21"/>
                <w:lang w:bidi="ar"/>
              </w:rPr>
              <w:t>（4）影视的声音。</w:t>
            </w:r>
          </w:p>
          <w:p w14:paraId="65D80D58">
            <w:pPr>
              <w:rPr>
                <w:rFonts w:hint="eastAsia" w:ascii="宋体" w:hAnsi="宋体" w:eastAsia="宋体" w:cs="宋体"/>
                <w:szCs w:val="21"/>
              </w:rPr>
            </w:pPr>
            <w:r>
              <w:rPr>
                <w:rFonts w:hint="eastAsia" w:ascii="宋体" w:hAnsi="宋体" w:eastAsia="宋体" w:cs="宋体"/>
                <w:szCs w:val="21"/>
                <w:lang w:bidi="ar"/>
              </w:rPr>
              <w:t>（5）声与画的结合。</w:t>
            </w:r>
          </w:p>
          <w:p w14:paraId="2C84D29F">
            <w:pPr>
              <w:rPr>
                <w:rFonts w:hint="eastAsia" w:ascii="宋体" w:hAnsi="宋体" w:eastAsia="宋体" w:cs="宋体"/>
                <w:szCs w:val="21"/>
              </w:rPr>
            </w:pPr>
            <w:r>
              <w:rPr>
                <w:rFonts w:hint="eastAsia" w:ascii="宋体" w:hAnsi="宋体" w:eastAsia="宋体" w:cs="宋体"/>
                <w:szCs w:val="21"/>
                <w:lang w:bidi="ar"/>
              </w:rPr>
              <w:t>（6）蒙太奇的由来与发展。</w:t>
            </w:r>
          </w:p>
          <w:p w14:paraId="7E90D594">
            <w:pPr>
              <w:rPr>
                <w:rFonts w:hint="eastAsia" w:ascii="宋体" w:hAnsi="宋体" w:eastAsia="宋体" w:cs="Times New Roman"/>
                <w:szCs w:val="21"/>
              </w:rPr>
            </w:pPr>
            <w:r>
              <w:rPr>
                <w:rFonts w:hint="eastAsia" w:ascii="宋体" w:hAnsi="宋体" w:eastAsia="宋体" w:cs="宋体"/>
                <w:szCs w:val="21"/>
                <w:lang w:bidi="ar"/>
              </w:rPr>
              <w:t>（7）蒙太奇的分类。</w:t>
            </w:r>
          </w:p>
        </w:tc>
        <w:tc>
          <w:tcPr>
            <w:tcW w:w="875" w:type="dxa"/>
            <w:vAlign w:val="center"/>
          </w:tcPr>
          <w:p w14:paraId="155E9B56">
            <w:pPr>
              <w:jc w:val="center"/>
              <w:rPr>
                <w:rFonts w:hint="eastAsia" w:ascii="宋体" w:hAnsi="宋体" w:eastAsia="宋体" w:cs="Times New Roman"/>
                <w:szCs w:val="21"/>
              </w:rPr>
            </w:pPr>
            <w:r>
              <w:rPr>
                <w:rFonts w:hint="eastAsia" w:ascii="宋体" w:hAnsi="宋体" w:eastAsia="宋体" w:cs="Times New Roman"/>
                <w:szCs w:val="21"/>
              </w:rPr>
              <w:t>课程目标1、2、3</w:t>
            </w:r>
          </w:p>
          <w:p w14:paraId="6979DC6D">
            <w:pPr>
              <w:jc w:val="center"/>
              <w:rPr>
                <w:rFonts w:hint="eastAsia" w:ascii="宋体" w:hAnsi="宋体" w:eastAsia="宋体" w:cs="Times New Roman"/>
                <w:szCs w:val="21"/>
              </w:rPr>
            </w:pPr>
          </w:p>
        </w:tc>
        <w:tc>
          <w:tcPr>
            <w:tcW w:w="2329" w:type="dxa"/>
            <w:vAlign w:val="center"/>
          </w:tcPr>
          <w:p w14:paraId="030A258E">
            <w:pPr>
              <w:rPr>
                <w:rFonts w:hint="eastAsia" w:ascii="宋体" w:hAnsi="宋体" w:eastAsia="宋体" w:cs="宋体"/>
                <w:szCs w:val="21"/>
              </w:rPr>
            </w:pPr>
            <w:r>
              <w:rPr>
                <w:rFonts w:hint="eastAsia" w:ascii="宋体" w:hAnsi="宋体" w:eastAsia="宋体" w:cs="宋体"/>
                <w:szCs w:val="21"/>
                <w:lang w:bidi="ar"/>
              </w:rPr>
              <w:t>1.了解构图要素、色彩配置，2.熟悉声画结合的主要形式，理解决定光影造型的因素。</w:t>
            </w:r>
          </w:p>
          <w:p w14:paraId="374F77E7">
            <w:pPr>
              <w:jc w:val="left"/>
              <w:rPr>
                <w:rFonts w:hint="eastAsia" w:ascii="宋体" w:hAnsi="宋体" w:eastAsia="宋体" w:cs="Times New Roman"/>
                <w:szCs w:val="21"/>
              </w:rPr>
            </w:pPr>
          </w:p>
        </w:tc>
        <w:tc>
          <w:tcPr>
            <w:tcW w:w="1440" w:type="dxa"/>
            <w:vAlign w:val="center"/>
          </w:tcPr>
          <w:p w14:paraId="7EB79F0D">
            <w:pPr>
              <w:jc w:val="left"/>
              <w:rPr>
                <w:rFonts w:hint="eastAsia" w:ascii="宋体" w:hAnsi="宋体" w:eastAsia="宋体" w:cs="Times New Roman"/>
                <w:szCs w:val="21"/>
              </w:rPr>
            </w:pPr>
            <w:r>
              <w:rPr>
                <w:rFonts w:ascii="宋体" w:hAnsi="宋体" w:eastAsia="宋体" w:cs="Times New Roman"/>
                <w:szCs w:val="21"/>
              </w:rPr>
              <w:t>1.线上学习</w:t>
            </w:r>
          </w:p>
          <w:p w14:paraId="655DA72A">
            <w:pPr>
              <w:jc w:val="left"/>
              <w:rPr>
                <w:rFonts w:hint="eastAsia" w:ascii="宋体" w:hAnsi="宋体" w:eastAsia="宋体" w:cs="Times New Roman"/>
                <w:szCs w:val="21"/>
              </w:rPr>
            </w:pPr>
            <w:r>
              <w:rPr>
                <w:rFonts w:ascii="宋体" w:hAnsi="宋体" w:eastAsia="宋体" w:cs="Times New Roman"/>
                <w:szCs w:val="21"/>
              </w:rPr>
              <w:t>2.多媒体教学3.课堂讨论</w:t>
            </w:r>
          </w:p>
          <w:p w14:paraId="54E2D065">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1C61A03D">
            <w:pPr>
              <w:jc w:val="center"/>
              <w:rPr>
                <w:rFonts w:hint="eastAsia" w:ascii="宋体" w:hAnsi="宋体" w:eastAsia="宋体" w:cs="Times New Roman"/>
                <w:szCs w:val="21"/>
              </w:rPr>
            </w:pPr>
            <w:r>
              <w:rPr>
                <w:rFonts w:hint="eastAsia" w:ascii="宋体" w:hAnsi="宋体" w:eastAsia="宋体" w:cs="Times New Roman"/>
                <w:szCs w:val="21"/>
              </w:rPr>
              <w:t>4</w:t>
            </w:r>
          </w:p>
        </w:tc>
      </w:tr>
      <w:tr w14:paraId="6FC0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Merge w:val="continue"/>
            <w:vAlign w:val="center"/>
          </w:tcPr>
          <w:p w14:paraId="6EFB14E6">
            <w:pPr>
              <w:jc w:val="center"/>
              <w:rPr>
                <w:rFonts w:hint="eastAsia" w:ascii="宋体" w:hAnsi="宋体" w:eastAsia="宋体" w:cs="Times New Roman"/>
                <w:szCs w:val="21"/>
              </w:rPr>
            </w:pPr>
          </w:p>
        </w:tc>
        <w:tc>
          <w:tcPr>
            <w:tcW w:w="7668" w:type="dxa"/>
            <w:gridSpan w:val="5"/>
            <w:vAlign w:val="center"/>
          </w:tcPr>
          <w:p w14:paraId="315D9F9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实现知识转化，树立正确的教师观、学生观，并热爱教师职业、热爱学生，培养良好的师生关系。</w:t>
            </w:r>
          </w:p>
        </w:tc>
      </w:tr>
      <w:tr w14:paraId="562E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14:paraId="34608B2D">
            <w:pPr>
              <w:rPr>
                <w:rFonts w:hint="eastAsia" w:ascii="宋体" w:hAnsi="宋体" w:eastAsia="宋体" w:cs="宋体"/>
                <w:szCs w:val="21"/>
              </w:rPr>
            </w:pPr>
            <w:r>
              <w:rPr>
                <w:rFonts w:hint="eastAsia" w:ascii="宋体" w:hAnsi="宋体" w:eastAsia="宋体" w:cs="宋体"/>
                <w:szCs w:val="21"/>
                <w:lang w:bidi="ar"/>
              </w:rPr>
              <w:t>6.影视作品的内容配置</w:t>
            </w:r>
          </w:p>
          <w:p w14:paraId="76C81430">
            <w:pPr>
              <w:rPr>
                <w:rFonts w:hint="eastAsia" w:ascii="宋体" w:hAnsi="宋体" w:eastAsia="宋体" w:cs="宋体"/>
                <w:szCs w:val="21"/>
              </w:rPr>
            </w:pPr>
          </w:p>
          <w:p w14:paraId="74BB6348">
            <w:pPr>
              <w:jc w:val="center"/>
              <w:rPr>
                <w:rFonts w:hint="eastAsia" w:ascii="宋体" w:hAnsi="宋体" w:eastAsia="宋体" w:cs="Times New Roman"/>
                <w:szCs w:val="21"/>
              </w:rPr>
            </w:pPr>
          </w:p>
        </w:tc>
        <w:tc>
          <w:tcPr>
            <w:tcW w:w="2386" w:type="dxa"/>
            <w:vAlign w:val="center"/>
          </w:tcPr>
          <w:p w14:paraId="53DCA615">
            <w:pPr>
              <w:rPr>
                <w:rFonts w:hint="eastAsia" w:ascii="宋体" w:hAnsi="宋体" w:eastAsia="宋体" w:cs="宋体"/>
                <w:szCs w:val="21"/>
              </w:rPr>
            </w:pPr>
            <w:r>
              <w:rPr>
                <w:rFonts w:hint="eastAsia" w:ascii="宋体" w:hAnsi="宋体" w:eastAsia="宋体" w:cs="宋体"/>
                <w:szCs w:val="21"/>
                <w:lang w:bidi="ar"/>
              </w:rPr>
              <w:t>（1）商业美学。</w:t>
            </w:r>
          </w:p>
          <w:p w14:paraId="52DC673E">
            <w:pPr>
              <w:rPr>
                <w:rFonts w:hint="eastAsia" w:ascii="宋体" w:hAnsi="宋体" w:eastAsia="宋体" w:cs="宋体"/>
                <w:szCs w:val="21"/>
              </w:rPr>
            </w:pPr>
            <w:r>
              <w:rPr>
                <w:rFonts w:hint="eastAsia" w:ascii="宋体" w:hAnsi="宋体" w:eastAsia="宋体" w:cs="宋体"/>
                <w:szCs w:val="21"/>
                <w:lang w:bidi="ar"/>
              </w:rPr>
              <w:t>（2）大制作电影（大片）的创作。</w:t>
            </w:r>
          </w:p>
          <w:p w14:paraId="6C7199C6">
            <w:pPr>
              <w:rPr>
                <w:rFonts w:hint="eastAsia" w:ascii="宋体" w:hAnsi="宋体" w:eastAsia="宋体" w:cs="Times New Roman"/>
                <w:szCs w:val="21"/>
              </w:rPr>
            </w:pPr>
            <w:r>
              <w:rPr>
                <w:rFonts w:hint="eastAsia" w:ascii="宋体" w:hAnsi="宋体" w:eastAsia="宋体" w:cs="宋体"/>
                <w:szCs w:val="21"/>
                <w:lang w:bidi="ar"/>
              </w:rPr>
              <w:t>（3）母题。</w:t>
            </w:r>
          </w:p>
        </w:tc>
        <w:tc>
          <w:tcPr>
            <w:tcW w:w="875" w:type="dxa"/>
            <w:vAlign w:val="center"/>
          </w:tcPr>
          <w:p w14:paraId="5D25427B">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329" w:type="dxa"/>
            <w:vAlign w:val="center"/>
          </w:tcPr>
          <w:p w14:paraId="797444C4">
            <w:pPr>
              <w:rPr>
                <w:rFonts w:hint="eastAsia" w:ascii="宋体" w:hAnsi="宋体" w:eastAsia="宋体" w:cs="Times New Roman"/>
                <w:szCs w:val="21"/>
              </w:rPr>
            </w:pPr>
            <w:r>
              <w:rPr>
                <w:rFonts w:hint="eastAsia" w:ascii="宋体" w:hAnsi="宋体" w:eastAsia="宋体" w:cs="宋体"/>
                <w:szCs w:val="21"/>
                <w:lang w:bidi="ar"/>
              </w:rPr>
              <w:t>1.了解商业美学、大片的概念，理解母题的基本特征。</w:t>
            </w:r>
          </w:p>
        </w:tc>
        <w:tc>
          <w:tcPr>
            <w:tcW w:w="1440" w:type="dxa"/>
            <w:vAlign w:val="center"/>
          </w:tcPr>
          <w:p w14:paraId="7C7F1C78">
            <w:pPr>
              <w:jc w:val="left"/>
              <w:rPr>
                <w:rFonts w:hint="eastAsia" w:ascii="宋体" w:hAnsi="宋体" w:eastAsia="宋体" w:cs="Times New Roman"/>
                <w:szCs w:val="21"/>
              </w:rPr>
            </w:pPr>
            <w:r>
              <w:rPr>
                <w:rFonts w:ascii="宋体" w:hAnsi="宋体" w:eastAsia="宋体" w:cs="Times New Roman"/>
                <w:szCs w:val="21"/>
              </w:rPr>
              <w:t>1.线上学习</w:t>
            </w:r>
          </w:p>
          <w:p w14:paraId="33741ECE">
            <w:pPr>
              <w:jc w:val="left"/>
              <w:rPr>
                <w:rFonts w:hint="eastAsia" w:ascii="宋体" w:hAnsi="宋体" w:eastAsia="宋体" w:cs="Times New Roman"/>
                <w:szCs w:val="21"/>
              </w:rPr>
            </w:pPr>
            <w:r>
              <w:rPr>
                <w:rFonts w:ascii="宋体" w:hAnsi="宋体" w:eastAsia="宋体" w:cs="Times New Roman"/>
                <w:szCs w:val="21"/>
              </w:rPr>
              <w:t>2.多媒体教学3.课堂讨论</w:t>
            </w:r>
          </w:p>
          <w:p w14:paraId="08CE9E61">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799EA509">
            <w:pPr>
              <w:jc w:val="center"/>
              <w:rPr>
                <w:rFonts w:hint="eastAsia" w:ascii="宋体" w:hAnsi="宋体" w:eastAsia="宋体" w:cs="Times New Roman"/>
                <w:szCs w:val="21"/>
              </w:rPr>
            </w:pPr>
            <w:r>
              <w:rPr>
                <w:rFonts w:hint="eastAsia" w:ascii="宋体" w:hAnsi="宋体" w:eastAsia="宋体" w:cs="Times New Roman"/>
                <w:szCs w:val="21"/>
              </w:rPr>
              <w:t>4</w:t>
            </w:r>
          </w:p>
        </w:tc>
      </w:tr>
      <w:tr w14:paraId="3689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14:paraId="45933C3E">
            <w:pPr>
              <w:rPr>
                <w:rFonts w:hint="eastAsia" w:ascii="宋体" w:hAnsi="宋体" w:eastAsia="宋体" w:cs="宋体"/>
                <w:szCs w:val="21"/>
              </w:rPr>
            </w:pPr>
            <w:r>
              <w:rPr>
                <w:rFonts w:hint="eastAsia" w:ascii="宋体" w:hAnsi="宋体" w:eastAsia="宋体" w:cs="宋体"/>
                <w:szCs w:val="21"/>
                <w:lang w:bidi="ar"/>
              </w:rPr>
              <w:t>7.电影的类型</w:t>
            </w:r>
          </w:p>
          <w:p w14:paraId="3C7AF755">
            <w:pPr>
              <w:jc w:val="center"/>
              <w:rPr>
                <w:rFonts w:hint="eastAsia" w:ascii="宋体" w:hAnsi="宋体" w:eastAsia="宋体" w:cs="Times New Roman"/>
                <w:szCs w:val="21"/>
              </w:rPr>
            </w:pPr>
          </w:p>
        </w:tc>
        <w:tc>
          <w:tcPr>
            <w:tcW w:w="2386" w:type="dxa"/>
            <w:vAlign w:val="center"/>
          </w:tcPr>
          <w:p w14:paraId="546F456E">
            <w:pPr>
              <w:rPr>
                <w:rFonts w:hint="eastAsia" w:ascii="宋体" w:hAnsi="宋体" w:eastAsia="宋体" w:cs="宋体"/>
                <w:szCs w:val="21"/>
              </w:rPr>
            </w:pPr>
            <w:r>
              <w:rPr>
                <w:rFonts w:hint="eastAsia" w:ascii="宋体" w:hAnsi="宋体" w:eastAsia="宋体" w:cs="宋体"/>
                <w:szCs w:val="21"/>
                <w:lang w:bidi="ar"/>
              </w:rPr>
              <w:t>（1）纪录片的概念及特点。</w:t>
            </w:r>
          </w:p>
          <w:p w14:paraId="4BC766BA">
            <w:pPr>
              <w:rPr>
                <w:rFonts w:hint="eastAsia" w:ascii="宋体" w:hAnsi="宋体" w:eastAsia="宋体" w:cs="宋体"/>
                <w:szCs w:val="21"/>
              </w:rPr>
            </w:pPr>
            <w:r>
              <w:rPr>
                <w:rFonts w:hint="eastAsia" w:ascii="宋体" w:hAnsi="宋体" w:eastAsia="宋体" w:cs="宋体"/>
                <w:szCs w:val="21"/>
                <w:lang w:bidi="ar"/>
              </w:rPr>
              <w:t>（2）故事片的概念及分类。</w:t>
            </w:r>
          </w:p>
          <w:p w14:paraId="3BBCB846">
            <w:pPr>
              <w:rPr>
                <w:rFonts w:hint="eastAsia" w:ascii="宋体" w:hAnsi="宋体" w:eastAsia="宋体" w:cs="宋体"/>
                <w:szCs w:val="21"/>
              </w:rPr>
            </w:pPr>
            <w:r>
              <w:rPr>
                <w:rFonts w:hint="eastAsia" w:ascii="宋体" w:hAnsi="宋体" w:eastAsia="宋体" w:cs="宋体"/>
                <w:szCs w:val="21"/>
                <w:lang w:bidi="ar"/>
              </w:rPr>
              <w:t>（3）西部片、科幻片。</w:t>
            </w:r>
          </w:p>
          <w:p w14:paraId="51F632F0">
            <w:pPr>
              <w:rPr>
                <w:rFonts w:hint="eastAsia" w:ascii="宋体" w:hAnsi="宋体" w:eastAsia="宋体" w:cs="宋体"/>
                <w:szCs w:val="21"/>
              </w:rPr>
            </w:pPr>
            <w:r>
              <w:rPr>
                <w:rFonts w:hint="eastAsia" w:ascii="宋体" w:hAnsi="宋体" w:eastAsia="宋体" w:cs="宋体"/>
                <w:szCs w:val="21"/>
                <w:lang w:bidi="ar"/>
              </w:rPr>
              <w:t>（4）惊悚恐怖片。</w:t>
            </w:r>
          </w:p>
          <w:p w14:paraId="6D0D1566">
            <w:pPr>
              <w:rPr>
                <w:rFonts w:hint="eastAsia" w:ascii="宋体" w:hAnsi="宋体" w:eastAsia="宋体" w:cs="宋体"/>
                <w:szCs w:val="21"/>
              </w:rPr>
            </w:pPr>
            <w:r>
              <w:rPr>
                <w:rFonts w:hint="eastAsia" w:ascii="宋体" w:hAnsi="宋体" w:eastAsia="宋体" w:cs="宋体"/>
                <w:szCs w:val="21"/>
                <w:lang w:bidi="ar"/>
              </w:rPr>
              <w:t>（5）歌舞片、犯罪片、伦理片。</w:t>
            </w:r>
          </w:p>
          <w:p w14:paraId="29FADFB2">
            <w:pPr>
              <w:rPr>
                <w:rFonts w:hint="eastAsia" w:ascii="宋体" w:hAnsi="宋体" w:eastAsia="宋体" w:cs="Times New Roman"/>
                <w:szCs w:val="21"/>
              </w:rPr>
            </w:pPr>
            <w:r>
              <w:rPr>
                <w:rFonts w:hint="eastAsia" w:ascii="宋体" w:hAnsi="宋体" w:eastAsia="宋体" w:cs="宋体"/>
                <w:szCs w:val="21"/>
                <w:lang w:bidi="ar"/>
              </w:rPr>
              <w:t>（6）真人电影与动画片。</w:t>
            </w:r>
          </w:p>
        </w:tc>
        <w:tc>
          <w:tcPr>
            <w:tcW w:w="875" w:type="dxa"/>
            <w:vAlign w:val="center"/>
          </w:tcPr>
          <w:p w14:paraId="18646A09">
            <w:pPr>
              <w:jc w:val="center"/>
              <w:rPr>
                <w:rFonts w:hint="eastAsia" w:ascii="宋体" w:hAnsi="宋体" w:eastAsia="宋体" w:cs="Times New Roman"/>
                <w:szCs w:val="21"/>
              </w:rPr>
            </w:pPr>
            <w:r>
              <w:rPr>
                <w:rFonts w:hint="eastAsia" w:ascii="宋体" w:hAnsi="宋体" w:eastAsia="宋体" w:cs="Times New Roman"/>
                <w:szCs w:val="21"/>
              </w:rPr>
              <w:t>课程目标1、2、3</w:t>
            </w:r>
          </w:p>
          <w:p w14:paraId="5F44A1DA">
            <w:pPr>
              <w:jc w:val="center"/>
              <w:rPr>
                <w:rFonts w:hint="eastAsia" w:ascii="宋体" w:hAnsi="宋体" w:eastAsia="宋体" w:cs="Times New Roman"/>
                <w:szCs w:val="21"/>
              </w:rPr>
            </w:pPr>
          </w:p>
        </w:tc>
        <w:tc>
          <w:tcPr>
            <w:tcW w:w="2329" w:type="dxa"/>
            <w:vAlign w:val="center"/>
          </w:tcPr>
          <w:p w14:paraId="67020614">
            <w:pPr>
              <w:numPr>
                <w:ilvl w:val="0"/>
                <w:numId w:val="71"/>
              </w:numPr>
              <w:rPr>
                <w:rFonts w:hint="eastAsia" w:ascii="宋体" w:hAnsi="宋体" w:eastAsia="宋体" w:cs="宋体"/>
                <w:szCs w:val="21"/>
                <w:lang w:bidi="ar"/>
              </w:rPr>
            </w:pPr>
            <w:r>
              <w:rPr>
                <w:rFonts w:hint="eastAsia" w:ascii="宋体" w:hAnsi="宋体" w:eastAsia="宋体" w:cs="宋体"/>
                <w:szCs w:val="21"/>
                <w:lang w:bidi="ar"/>
              </w:rPr>
              <w:t>了解电影的类型，熟悉类型片的概念</w:t>
            </w:r>
          </w:p>
          <w:p w14:paraId="53B01DF5">
            <w:pPr>
              <w:numPr>
                <w:ilvl w:val="0"/>
                <w:numId w:val="71"/>
              </w:numPr>
              <w:rPr>
                <w:rFonts w:hint="eastAsia" w:ascii="宋体" w:hAnsi="宋体" w:eastAsia="宋体" w:cs="宋体"/>
                <w:szCs w:val="21"/>
              </w:rPr>
            </w:pPr>
            <w:r>
              <w:rPr>
                <w:rFonts w:hint="eastAsia" w:ascii="宋体" w:hAnsi="宋体" w:eastAsia="宋体" w:cs="宋体"/>
                <w:szCs w:val="21"/>
                <w:lang w:bidi="ar"/>
              </w:rPr>
              <w:t>掌握纪录片、故事片和动画片的概念及特点，理解类型片的特点。</w:t>
            </w:r>
          </w:p>
          <w:p w14:paraId="267A210A">
            <w:pPr>
              <w:jc w:val="left"/>
              <w:rPr>
                <w:rFonts w:hint="eastAsia" w:ascii="宋体" w:hAnsi="宋体" w:eastAsia="宋体" w:cs="Times New Roman"/>
                <w:szCs w:val="21"/>
              </w:rPr>
            </w:pPr>
          </w:p>
        </w:tc>
        <w:tc>
          <w:tcPr>
            <w:tcW w:w="1440" w:type="dxa"/>
            <w:vAlign w:val="center"/>
          </w:tcPr>
          <w:p w14:paraId="365238BA">
            <w:pPr>
              <w:jc w:val="left"/>
              <w:rPr>
                <w:rFonts w:hint="eastAsia" w:ascii="宋体" w:hAnsi="宋体" w:eastAsia="宋体" w:cs="Times New Roman"/>
                <w:szCs w:val="21"/>
              </w:rPr>
            </w:pPr>
            <w:r>
              <w:rPr>
                <w:rFonts w:ascii="宋体" w:hAnsi="宋体" w:eastAsia="宋体" w:cs="Times New Roman"/>
                <w:szCs w:val="21"/>
              </w:rPr>
              <w:t>1.线上学习</w:t>
            </w:r>
          </w:p>
          <w:p w14:paraId="0B5704FA">
            <w:pPr>
              <w:jc w:val="left"/>
              <w:rPr>
                <w:rFonts w:hint="eastAsia" w:ascii="宋体" w:hAnsi="宋体" w:eastAsia="宋体" w:cs="Times New Roman"/>
                <w:szCs w:val="21"/>
              </w:rPr>
            </w:pPr>
            <w:r>
              <w:rPr>
                <w:rFonts w:ascii="宋体" w:hAnsi="宋体" w:eastAsia="宋体" w:cs="Times New Roman"/>
                <w:szCs w:val="21"/>
              </w:rPr>
              <w:t>2.多媒体教学3.课堂讨论</w:t>
            </w:r>
          </w:p>
          <w:p w14:paraId="24669049">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0DBA1378">
            <w:pPr>
              <w:jc w:val="center"/>
              <w:rPr>
                <w:rFonts w:hint="eastAsia" w:ascii="宋体" w:hAnsi="宋体" w:eastAsia="宋体" w:cs="Times New Roman"/>
                <w:szCs w:val="21"/>
              </w:rPr>
            </w:pPr>
            <w:r>
              <w:rPr>
                <w:rFonts w:hint="eastAsia" w:ascii="宋体" w:hAnsi="宋体" w:eastAsia="宋体" w:cs="Times New Roman"/>
                <w:szCs w:val="21"/>
              </w:rPr>
              <w:t>4</w:t>
            </w:r>
          </w:p>
        </w:tc>
      </w:tr>
      <w:tr w14:paraId="729E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14:paraId="57BF1D2B">
            <w:pPr>
              <w:rPr>
                <w:rFonts w:hint="eastAsia" w:ascii="宋体" w:hAnsi="宋体" w:eastAsia="宋体" w:cs="宋体"/>
                <w:szCs w:val="21"/>
              </w:rPr>
            </w:pPr>
            <w:r>
              <w:rPr>
                <w:rFonts w:hint="eastAsia" w:ascii="宋体" w:hAnsi="宋体" w:eastAsia="宋体" w:cs="宋体"/>
                <w:szCs w:val="21"/>
                <w:lang w:bidi="ar"/>
              </w:rPr>
              <w:t>8.电视艺术节目分类</w:t>
            </w:r>
          </w:p>
          <w:p w14:paraId="59CECCBE">
            <w:pPr>
              <w:jc w:val="center"/>
              <w:rPr>
                <w:rFonts w:hint="eastAsia" w:ascii="宋体" w:hAnsi="宋体" w:eastAsia="宋体" w:cs="Times New Roman"/>
                <w:szCs w:val="21"/>
              </w:rPr>
            </w:pPr>
          </w:p>
        </w:tc>
        <w:tc>
          <w:tcPr>
            <w:tcW w:w="2386" w:type="dxa"/>
            <w:vAlign w:val="center"/>
          </w:tcPr>
          <w:p w14:paraId="6D9171DB">
            <w:pPr>
              <w:rPr>
                <w:rFonts w:hint="eastAsia" w:ascii="宋体" w:hAnsi="宋体" w:eastAsia="宋体" w:cs="宋体"/>
                <w:szCs w:val="21"/>
              </w:rPr>
            </w:pPr>
            <w:r>
              <w:rPr>
                <w:rFonts w:hint="eastAsia" w:ascii="宋体" w:hAnsi="宋体" w:eastAsia="宋体" w:cs="宋体"/>
                <w:szCs w:val="21"/>
                <w:lang w:bidi="ar"/>
              </w:rPr>
              <w:t>（1）电视剧。</w:t>
            </w:r>
          </w:p>
          <w:p w14:paraId="7FC9E0C8">
            <w:pPr>
              <w:rPr>
                <w:rFonts w:hint="eastAsia" w:ascii="宋体" w:hAnsi="宋体" w:eastAsia="宋体" w:cs="宋体"/>
                <w:szCs w:val="21"/>
              </w:rPr>
            </w:pPr>
            <w:r>
              <w:rPr>
                <w:rFonts w:hint="eastAsia" w:ascii="宋体" w:hAnsi="宋体" w:eastAsia="宋体" w:cs="宋体"/>
                <w:szCs w:val="21"/>
                <w:lang w:bidi="ar"/>
              </w:rPr>
              <w:t>（2）电视艺术节目。</w:t>
            </w:r>
          </w:p>
          <w:p w14:paraId="7EC14D2B">
            <w:pPr>
              <w:jc w:val="left"/>
              <w:rPr>
                <w:rFonts w:hint="eastAsia" w:ascii="宋体" w:hAnsi="宋体" w:eastAsia="宋体" w:cs="Times New Roman"/>
                <w:szCs w:val="21"/>
              </w:rPr>
            </w:pPr>
            <w:r>
              <w:rPr>
                <w:rFonts w:hint="eastAsia" w:ascii="宋体" w:hAnsi="宋体" w:eastAsia="宋体" w:cs="宋体"/>
                <w:szCs w:val="21"/>
                <w:lang w:bidi="ar"/>
              </w:rPr>
              <w:t>（3）电视纪实节目。</w:t>
            </w:r>
          </w:p>
        </w:tc>
        <w:tc>
          <w:tcPr>
            <w:tcW w:w="875" w:type="dxa"/>
            <w:vAlign w:val="center"/>
          </w:tcPr>
          <w:p w14:paraId="58BA55D8">
            <w:pPr>
              <w:jc w:val="center"/>
              <w:rPr>
                <w:rFonts w:hint="eastAsia" w:ascii="宋体" w:hAnsi="宋体" w:eastAsia="宋体" w:cs="Times New Roman"/>
                <w:szCs w:val="21"/>
              </w:rPr>
            </w:pPr>
            <w:r>
              <w:rPr>
                <w:rFonts w:hint="eastAsia" w:ascii="宋体" w:hAnsi="宋体" w:eastAsia="宋体" w:cs="Times New Roman"/>
                <w:szCs w:val="21"/>
              </w:rPr>
              <w:t>课程目标1、2、3</w:t>
            </w:r>
          </w:p>
          <w:p w14:paraId="7F7C169B">
            <w:pPr>
              <w:jc w:val="center"/>
              <w:rPr>
                <w:rFonts w:hint="eastAsia" w:ascii="宋体" w:hAnsi="宋体" w:eastAsia="宋体" w:cs="Times New Roman"/>
                <w:szCs w:val="21"/>
              </w:rPr>
            </w:pPr>
          </w:p>
        </w:tc>
        <w:tc>
          <w:tcPr>
            <w:tcW w:w="2329" w:type="dxa"/>
            <w:vAlign w:val="center"/>
          </w:tcPr>
          <w:p w14:paraId="567C4207">
            <w:pPr>
              <w:numPr>
                <w:ilvl w:val="0"/>
                <w:numId w:val="72"/>
              </w:numPr>
              <w:rPr>
                <w:rFonts w:hint="eastAsia" w:ascii="宋体" w:hAnsi="宋体" w:eastAsia="宋体" w:cs="宋体"/>
                <w:szCs w:val="21"/>
                <w:lang w:bidi="ar"/>
              </w:rPr>
            </w:pPr>
            <w:r>
              <w:rPr>
                <w:rFonts w:hint="eastAsia" w:ascii="宋体" w:hAnsi="宋体" w:eastAsia="宋体" w:cs="宋体"/>
                <w:szCs w:val="21"/>
                <w:lang w:bidi="ar"/>
              </w:rPr>
              <w:t>了解电视艺术节目的主要代表作品，掌握各类节目的特征</w:t>
            </w:r>
          </w:p>
          <w:p w14:paraId="77FDDAFC">
            <w:pPr>
              <w:numPr>
                <w:ilvl w:val="0"/>
                <w:numId w:val="72"/>
              </w:numPr>
              <w:rPr>
                <w:rFonts w:hint="eastAsia" w:ascii="宋体" w:hAnsi="宋体" w:eastAsia="宋体" w:cs="Times New Roman"/>
                <w:szCs w:val="21"/>
              </w:rPr>
            </w:pPr>
            <w:r>
              <w:rPr>
                <w:rFonts w:hint="eastAsia" w:ascii="宋体" w:hAnsi="宋体" w:eastAsia="宋体" w:cs="宋体"/>
                <w:szCs w:val="21"/>
                <w:lang w:bidi="ar"/>
              </w:rPr>
              <w:t>理解电视综艺节目的发展和演变。</w:t>
            </w:r>
          </w:p>
        </w:tc>
        <w:tc>
          <w:tcPr>
            <w:tcW w:w="1440" w:type="dxa"/>
            <w:vAlign w:val="center"/>
          </w:tcPr>
          <w:p w14:paraId="60C6EA95">
            <w:pPr>
              <w:jc w:val="left"/>
              <w:rPr>
                <w:rFonts w:hint="eastAsia" w:ascii="宋体" w:hAnsi="宋体" w:eastAsia="宋体" w:cs="Times New Roman"/>
                <w:szCs w:val="21"/>
              </w:rPr>
            </w:pPr>
            <w:r>
              <w:rPr>
                <w:rFonts w:ascii="宋体" w:hAnsi="宋体" w:eastAsia="宋体" w:cs="Times New Roman"/>
                <w:szCs w:val="21"/>
              </w:rPr>
              <w:t>1.线上学习</w:t>
            </w:r>
          </w:p>
          <w:p w14:paraId="4A224BD7">
            <w:pPr>
              <w:jc w:val="left"/>
              <w:rPr>
                <w:rFonts w:hint="eastAsia" w:ascii="宋体" w:hAnsi="宋体" w:eastAsia="宋体" w:cs="Times New Roman"/>
                <w:szCs w:val="21"/>
              </w:rPr>
            </w:pPr>
            <w:r>
              <w:rPr>
                <w:rFonts w:ascii="宋体" w:hAnsi="宋体" w:eastAsia="宋体" w:cs="Times New Roman"/>
                <w:szCs w:val="21"/>
              </w:rPr>
              <w:t>2.多媒体教学3.课堂讨论</w:t>
            </w:r>
          </w:p>
          <w:p w14:paraId="20C45EA9">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28702DEC">
            <w:pPr>
              <w:jc w:val="center"/>
              <w:rPr>
                <w:rFonts w:hint="eastAsia" w:ascii="宋体" w:hAnsi="宋体" w:eastAsia="宋体" w:cs="Times New Roman"/>
                <w:szCs w:val="21"/>
              </w:rPr>
            </w:pPr>
            <w:r>
              <w:rPr>
                <w:rFonts w:hint="eastAsia" w:ascii="宋体" w:hAnsi="宋体" w:eastAsia="宋体" w:cs="Times New Roman"/>
                <w:szCs w:val="21"/>
              </w:rPr>
              <w:t>4</w:t>
            </w:r>
          </w:p>
        </w:tc>
      </w:tr>
      <w:tr w14:paraId="4E08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vAlign w:val="center"/>
          </w:tcPr>
          <w:p w14:paraId="4443356F">
            <w:pPr>
              <w:rPr>
                <w:rFonts w:hint="eastAsia" w:ascii="宋体" w:hAnsi="宋体" w:eastAsia="宋体" w:cs="宋体"/>
                <w:szCs w:val="21"/>
              </w:rPr>
            </w:pPr>
            <w:r>
              <w:rPr>
                <w:rFonts w:hint="eastAsia" w:ascii="宋体" w:hAnsi="宋体" w:eastAsia="宋体" w:cs="宋体"/>
                <w:szCs w:val="21"/>
                <w:lang w:bidi="ar"/>
              </w:rPr>
              <w:t>9.新媒体与影视艺术的发展</w:t>
            </w:r>
          </w:p>
          <w:p w14:paraId="6165B6DE">
            <w:pPr>
              <w:jc w:val="center"/>
              <w:rPr>
                <w:rFonts w:hint="eastAsia" w:ascii="宋体" w:hAnsi="宋体" w:eastAsia="宋体" w:cs="Times New Roman"/>
                <w:szCs w:val="21"/>
              </w:rPr>
            </w:pPr>
          </w:p>
        </w:tc>
        <w:tc>
          <w:tcPr>
            <w:tcW w:w="2386" w:type="dxa"/>
            <w:vAlign w:val="center"/>
          </w:tcPr>
          <w:p w14:paraId="162550CC">
            <w:pPr>
              <w:rPr>
                <w:rFonts w:hint="eastAsia" w:ascii="宋体" w:hAnsi="宋体" w:eastAsia="宋体" w:cs="宋体"/>
                <w:szCs w:val="21"/>
              </w:rPr>
            </w:pPr>
            <w:r>
              <w:rPr>
                <w:rFonts w:hint="eastAsia" w:ascii="宋体" w:hAnsi="宋体" w:eastAsia="宋体" w:cs="宋体"/>
                <w:szCs w:val="21"/>
                <w:lang w:bidi="ar"/>
              </w:rPr>
              <w:t>（1）新媒体的概念。</w:t>
            </w:r>
          </w:p>
          <w:p w14:paraId="30995609">
            <w:pPr>
              <w:rPr>
                <w:rFonts w:hint="eastAsia" w:ascii="宋体" w:hAnsi="宋体" w:eastAsia="宋体" w:cs="宋体"/>
                <w:szCs w:val="21"/>
              </w:rPr>
            </w:pPr>
            <w:r>
              <w:rPr>
                <w:rFonts w:hint="eastAsia" w:ascii="宋体" w:hAnsi="宋体" w:eastAsia="宋体" w:cs="宋体"/>
                <w:szCs w:val="21"/>
                <w:lang w:bidi="ar"/>
              </w:rPr>
              <w:t>（2）新媒体给传统媒体带来的挑战。</w:t>
            </w:r>
          </w:p>
          <w:p w14:paraId="05866C64">
            <w:pPr>
              <w:rPr>
                <w:rFonts w:hint="eastAsia" w:ascii="宋体" w:hAnsi="宋体" w:eastAsia="宋体" w:cs="宋体"/>
                <w:szCs w:val="21"/>
              </w:rPr>
            </w:pPr>
            <w:r>
              <w:rPr>
                <w:rFonts w:hint="eastAsia" w:ascii="宋体" w:hAnsi="宋体" w:eastAsia="宋体" w:cs="宋体"/>
                <w:szCs w:val="21"/>
                <w:lang w:bidi="ar"/>
              </w:rPr>
              <w:t>（3）媒介融合。</w:t>
            </w:r>
          </w:p>
          <w:p w14:paraId="10F8F8FF">
            <w:pPr>
              <w:rPr>
                <w:rFonts w:hint="eastAsia" w:ascii="宋体" w:hAnsi="宋体" w:eastAsia="宋体" w:cs="Times New Roman"/>
                <w:szCs w:val="21"/>
              </w:rPr>
            </w:pPr>
            <w:r>
              <w:rPr>
                <w:rFonts w:hint="eastAsia" w:ascii="宋体" w:hAnsi="宋体" w:eastAsia="宋体" w:cs="宋体"/>
                <w:szCs w:val="21"/>
                <w:lang w:bidi="ar"/>
              </w:rPr>
              <w:t>（4）手机电视的概念与内容。</w:t>
            </w:r>
          </w:p>
        </w:tc>
        <w:tc>
          <w:tcPr>
            <w:tcW w:w="875" w:type="dxa"/>
            <w:vAlign w:val="center"/>
          </w:tcPr>
          <w:p w14:paraId="3A74F8BF">
            <w:pPr>
              <w:jc w:val="center"/>
              <w:rPr>
                <w:rFonts w:hint="eastAsia" w:ascii="宋体" w:hAnsi="宋体" w:eastAsia="宋体" w:cs="Times New Roman"/>
                <w:szCs w:val="21"/>
              </w:rPr>
            </w:pPr>
            <w:r>
              <w:rPr>
                <w:rFonts w:hint="eastAsia" w:ascii="宋体" w:hAnsi="宋体" w:eastAsia="宋体" w:cs="Times New Roman"/>
                <w:szCs w:val="21"/>
              </w:rPr>
              <w:t>课程目标1、2、3</w:t>
            </w:r>
          </w:p>
          <w:p w14:paraId="34779460">
            <w:pPr>
              <w:jc w:val="center"/>
              <w:rPr>
                <w:rFonts w:hint="eastAsia" w:ascii="宋体" w:hAnsi="宋体" w:eastAsia="宋体" w:cs="Times New Roman"/>
                <w:szCs w:val="21"/>
              </w:rPr>
            </w:pPr>
          </w:p>
        </w:tc>
        <w:tc>
          <w:tcPr>
            <w:tcW w:w="2329" w:type="dxa"/>
            <w:vAlign w:val="center"/>
          </w:tcPr>
          <w:p w14:paraId="6A83EA4F">
            <w:pPr>
              <w:rPr>
                <w:rFonts w:hint="eastAsia" w:ascii="宋体" w:hAnsi="宋体" w:eastAsia="宋体" w:cs="Times New Roman"/>
                <w:szCs w:val="21"/>
              </w:rPr>
            </w:pPr>
            <w:r>
              <w:rPr>
                <w:rFonts w:hint="eastAsia" w:ascii="宋体" w:hAnsi="宋体" w:eastAsia="宋体" w:cs="宋体"/>
                <w:szCs w:val="21"/>
                <w:lang w:bidi="ar"/>
              </w:rPr>
              <w:t>1.了解新媒体特征，掌握新媒体的概念和播客的特点。</w:t>
            </w:r>
          </w:p>
        </w:tc>
        <w:tc>
          <w:tcPr>
            <w:tcW w:w="1440" w:type="dxa"/>
            <w:vAlign w:val="center"/>
          </w:tcPr>
          <w:p w14:paraId="61C0C4D2">
            <w:pPr>
              <w:jc w:val="left"/>
              <w:rPr>
                <w:rFonts w:hint="eastAsia" w:ascii="宋体" w:hAnsi="宋体" w:eastAsia="宋体" w:cs="Times New Roman"/>
                <w:szCs w:val="21"/>
              </w:rPr>
            </w:pPr>
            <w:r>
              <w:rPr>
                <w:rFonts w:ascii="宋体" w:hAnsi="宋体" w:eastAsia="宋体" w:cs="Times New Roman"/>
                <w:szCs w:val="21"/>
              </w:rPr>
              <w:t>1.线上学习</w:t>
            </w:r>
          </w:p>
          <w:p w14:paraId="3B4B8A40">
            <w:pPr>
              <w:jc w:val="left"/>
              <w:rPr>
                <w:rFonts w:hint="eastAsia" w:ascii="宋体" w:hAnsi="宋体" w:eastAsia="宋体" w:cs="Times New Roman"/>
                <w:szCs w:val="21"/>
              </w:rPr>
            </w:pPr>
            <w:r>
              <w:rPr>
                <w:rFonts w:ascii="宋体" w:hAnsi="宋体" w:eastAsia="宋体" w:cs="Times New Roman"/>
                <w:szCs w:val="21"/>
              </w:rPr>
              <w:t>2.多媒体教学3.课堂讨论</w:t>
            </w:r>
          </w:p>
          <w:p w14:paraId="5C038A8C">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0EE6F9C6">
            <w:pPr>
              <w:jc w:val="center"/>
              <w:rPr>
                <w:rFonts w:hint="eastAsia" w:ascii="宋体" w:hAnsi="宋体" w:eastAsia="宋体" w:cs="Times New Roman"/>
                <w:szCs w:val="21"/>
              </w:rPr>
            </w:pPr>
            <w:r>
              <w:rPr>
                <w:rFonts w:hint="eastAsia" w:ascii="宋体" w:hAnsi="宋体" w:eastAsia="宋体" w:cs="Times New Roman"/>
                <w:szCs w:val="21"/>
              </w:rPr>
              <w:t>4</w:t>
            </w:r>
          </w:p>
        </w:tc>
      </w:tr>
      <w:bookmarkEnd w:id="1768"/>
    </w:tbl>
    <w:p w14:paraId="45225BEF">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522DBD69">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FC839F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628"/>
        <w:gridCol w:w="1628"/>
        <w:gridCol w:w="1628"/>
        <w:gridCol w:w="1182"/>
      </w:tblGrid>
      <w:tr w14:paraId="0594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14" w:type="dxa"/>
            <w:vMerge w:val="restart"/>
            <w:vAlign w:val="center"/>
          </w:tcPr>
          <w:p w14:paraId="7F6483E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168" w:type="dxa"/>
            <w:gridSpan w:val="3"/>
            <w:vAlign w:val="center"/>
          </w:tcPr>
          <w:p w14:paraId="4E24560F">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767" w:type="dxa"/>
            <w:vMerge w:val="restart"/>
            <w:vAlign w:val="center"/>
          </w:tcPr>
          <w:p w14:paraId="63065916">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6523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continue"/>
            <w:vAlign w:val="center"/>
          </w:tcPr>
          <w:p w14:paraId="2D10A55A">
            <w:pPr>
              <w:spacing w:line="360" w:lineRule="auto"/>
              <w:jc w:val="center"/>
              <w:rPr>
                <w:rFonts w:hint="eastAsia" w:ascii="宋体" w:hAnsi="宋体" w:eastAsia="宋体" w:cs="Times New Roman"/>
                <w:szCs w:val="21"/>
              </w:rPr>
            </w:pPr>
          </w:p>
        </w:tc>
        <w:tc>
          <w:tcPr>
            <w:tcW w:w="1056" w:type="dxa"/>
            <w:vAlign w:val="center"/>
          </w:tcPr>
          <w:p w14:paraId="72A444E9">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056" w:type="dxa"/>
            <w:vAlign w:val="center"/>
          </w:tcPr>
          <w:p w14:paraId="22F488F8">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1A376258">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767" w:type="dxa"/>
            <w:vMerge w:val="continue"/>
            <w:vAlign w:val="center"/>
          </w:tcPr>
          <w:p w14:paraId="59C4920C">
            <w:pPr>
              <w:spacing w:line="360" w:lineRule="auto"/>
              <w:jc w:val="center"/>
              <w:rPr>
                <w:rFonts w:hint="eastAsia" w:ascii="宋体" w:hAnsi="宋体" w:eastAsia="宋体" w:cs="Times New Roman"/>
                <w:szCs w:val="21"/>
              </w:rPr>
            </w:pPr>
          </w:p>
        </w:tc>
      </w:tr>
      <w:tr w14:paraId="769B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2969F55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056" w:type="dxa"/>
            <w:vAlign w:val="center"/>
          </w:tcPr>
          <w:p w14:paraId="60F4E69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2E3EF13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3FB9AED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517452DA">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CB9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42E2B38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056" w:type="dxa"/>
            <w:vAlign w:val="center"/>
          </w:tcPr>
          <w:p w14:paraId="0E0DEC3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472C510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0A2D38D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03EB160F">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4AC4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347384B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056" w:type="dxa"/>
            <w:vAlign w:val="center"/>
          </w:tcPr>
          <w:p w14:paraId="4EB7FF3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03C75999">
            <w:pPr>
              <w:spacing w:line="360" w:lineRule="auto"/>
              <w:jc w:val="center"/>
              <w:rPr>
                <w:rFonts w:hint="eastAsia" w:ascii="宋体" w:hAnsi="宋体" w:eastAsia="宋体" w:cs="Times New Roman"/>
                <w:szCs w:val="21"/>
              </w:rPr>
            </w:pPr>
          </w:p>
        </w:tc>
        <w:tc>
          <w:tcPr>
            <w:tcW w:w="1056" w:type="dxa"/>
            <w:vAlign w:val="center"/>
          </w:tcPr>
          <w:p w14:paraId="11C4E9E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4A4EC412">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F40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7B54010B">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056" w:type="dxa"/>
            <w:vAlign w:val="center"/>
          </w:tcPr>
          <w:p w14:paraId="60B8F02A">
            <w:pPr>
              <w:spacing w:line="360" w:lineRule="auto"/>
              <w:jc w:val="center"/>
              <w:rPr>
                <w:rFonts w:hint="eastAsia" w:ascii="宋体" w:hAnsi="宋体" w:eastAsia="宋体" w:cs="Times New Roman"/>
                <w:szCs w:val="21"/>
              </w:rPr>
            </w:pPr>
          </w:p>
        </w:tc>
        <w:tc>
          <w:tcPr>
            <w:tcW w:w="1056" w:type="dxa"/>
            <w:vAlign w:val="center"/>
          </w:tcPr>
          <w:p w14:paraId="31E26E20">
            <w:pPr>
              <w:spacing w:line="360" w:lineRule="auto"/>
              <w:jc w:val="center"/>
              <w:rPr>
                <w:rFonts w:hint="eastAsia" w:ascii="宋体" w:hAnsi="宋体" w:eastAsia="宋体" w:cs="Times New Roman"/>
                <w:szCs w:val="21"/>
              </w:rPr>
            </w:pPr>
          </w:p>
        </w:tc>
        <w:tc>
          <w:tcPr>
            <w:tcW w:w="1056" w:type="dxa"/>
            <w:vAlign w:val="center"/>
          </w:tcPr>
          <w:p w14:paraId="56A7868F">
            <w:pPr>
              <w:spacing w:line="360" w:lineRule="auto"/>
              <w:jc w:val="center"/>
              <w:rPr>
                <w:rFonts w:hint="eastAsia" w:ascii="宋体" w:hAnsi="宋体" w:eastAsia="宋体" w:cs="Times New Roman"/>
                <w:szCs w:val="21"/>
              </w:rPr>
            </w:pPr>
          </w:p>
        </w:tc>
        <w:tc>
          <w:tcPr>
            <w:tcW w:w="767" w:type="dxa"/>
            <w:vAlign w:val="center"/>
          </w:tcPr>
          <w:p w14:paraId="73E1F9FB">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7D1D481">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7D223A4">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518D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AE2F1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C501C2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3855E05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FA8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3E8D74">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CC55CC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7A851CA0">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14:paraId="4E39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046B28">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778FD02B">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331FE6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0FF8935A">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14:paraId="3E7B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30D1D4A">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9294E2F">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教育基本理论和知识型题目占3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%；考核学生运用基本理论知识进行分析能力的题型占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%；考核学生运用学与教的基本理论和知识进行教学设计的题型占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%；考核学生初步研究能力的题型占1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40A96B04">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0D6B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E60FE4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0A07BE3E">
            <w:pPr>
              <w:jc w:val="left"/>
              <w:rPr>
                <w:rFonts w:ascii="Times New Roman" w:hAnsi="Times New Roman" w:eastAsia="宋体" w:cs="Times New Roman"/>
                <w:szCs w:val="21"/>
              </w:rPr>
            </w:pPr>
          </w:p>
        </w:tc>
        <w:tc>
          <w:tcPr>
            <w:tcW w:w="0" w:type="auto"/>
            <w:vAlign w:val="center"/>
          </w:tcPr>
          <w:p w14:paraId="6619F8D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23A0F2B">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0864A164">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179038B9">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76"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76" DrawAspect="Content" ObjectID="_1468075776" r:id="rId64">
            <o:LockedField>false</o:LockedField>
          </o:OLEObject>
        </w:object>
      </w:r>
      <w:bookmarkStart w:id="1769" w:name="_Toc1361956488"/>
      <w:r>
        <w:rPr>
          <w:rFonts w:hint="eastAsia" w:ascii="Times New Roman" w:hAnsi="Times New Roman" w:eastAsia="宋体" w:cs="Times New Roman"/>
          <w:b/>
          <w:sz w:val="24"/>
        </w:rPr>
        <w:t>五、有关说明</w:t>
      </w:r>
      <w:bookmarkEnd w:id="1769"/>
    </w:p>
    <w:p w14:paraId="12DCCEF1">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（一）教学建议</w:t>
      </w:r>
    </w:p>
    <w:p w14:paraId="3BFBB18E">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1. 本课程的主要教学方法是理论联系实际的案例式教学和启发式教学，广泛应用小组讨论、小组辩论的方式进行。尽可能用生动具象的电影作品或影视片段来进行很好的说明。</w:t>
      </w:r>
    </w:p>
    <w:p w14:paraId="41D7670B">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2.指导学生阅读相关书籍和音像资料。结合思考题布置作业和训练。</w:t>
      </w:r>
    </w:p>
    <w:p w14:paraId="7F98FA0B">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3. 以培养专业能力为核心，将案例分析或赏析教学相结合，积极探索教学方法与成绩评价方法的创新，保证课程目标的实现。</w:t>
      </w:r>
    </w:p>
    <w:p w14:paraId="2ABD6B2A">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（二）教学参考书</w:t>
      </w:r>
    </w:p>
    <w:p w14:paraId="3FC4E4C7">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1．《影视艺术概论》，梁颐编著，北京大学出版社。</w:t>
      </w:r>
    </w:p>
    <w:p w14:paraId="7F897ACF">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2．《影视艺术概论》，张凤铸编著，北京广播学院出版社。</w:t>
      </w:r>
    </w:p>
    <w:p w14:paraId="58395334">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3．《中国电影文化史》，李道新编著，北京大学出版社。</w:t>
      </w:r>
    </w:p>
    <w:p w14:paraId="2A39E369">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4．《影视艺术欣赏与批评》，陈卫平编著，上海古籍出版社。</w:t>
      </w:r>
    </w:p>
    <w:p w14:paraId="09D5EDBE">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5.《影视鉴赏》，彭吉象编著，中国高校出版社。</w:t>
      </w:r>
    </w:p>
    <w:p w14:paraId="6F0E4725">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6.《影视类型学》，郝建编著，北京大学出版社。</w:t>
      </w:r>
    </w:p>
    <w:p w14:paraId="11CC4E54">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7.《影视艺术教程》 作者：王光祖编著，高等教育出版社。</w:t>
      </w:r>
    </w:p>
    <w:p w14:paraId="65E5B7F7">
      <w:pPr>
        <w:spacing w:line="360" w:lineRule="auto"/>
        <w:rPr>
          <w:rFonts w:hint="eastAsia" w:ascii="宋体" w:hAnsi="宋体" w:eastAsia="宋体" w:cs="宋体"/>
          <w:sz w:val="24"/>
          <w:szCs w:val="22"/>
        </w:rPr>
      </w:pPr>
    </w:p>
    <w:p w14:paraId="38CF7B90">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 xml:space="preserve">                                              执笔人：朱鹏杰</w:t>
      </w:r>
    </w:p>
    <w:p w14:paraId="0AC40E52">
      <w:pPr>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 xml:space="preserve">                                              审定人：曹子男</w:t>
      </w:r>
    </w:p>
    <w:p w14:paraId="1E660C73">
      <w:pPr>
        <w:spacing w:line="360" w:lineRule="auto"/>
        <w:ind w:firstLine="480" w:firstLineChars="200"/>
        <w:rPr>
          <w:rFonts w:hint="eastAsia" w:ascii="宋体" w:hAnsi="宋体" w:eastAsia="宋体" w:cs="宋体"/>
          <w:szCs w:val="21"/>
        </w:rPr>
      </w:pPr>
      <w:r>
        <w:rPr>
          <w:rFonts w:hint="eastAsia" w:ascii="宋体" w:hAnsi="宋体" w:eastAsia="宋体" w:cs="宋体"/>
          <w:sz w:val="24"/>
          <w:szCs w:val="22"/>
          <w:lang w:bidi="ar"/>
        </w:rPr>
        <w:t xml:space="preserve">                                              批准人：岳  芬</w:t>
      </w:r>
    </w:p>
    <w:p w14:paraId="4BF85525">
      <w:pPr>
        <w:jc w:val="right"/>
        <w:rPr>
          <w:rFonts w:ascii="Times New Roman" w:hAnsi="Times New Roman" w:eastAsia="宋体" w:cs="Times New Roman"/>
          <w:b/>
          <w:sz w:val="44"/>
          <w:szCs w:val="44"/>
        </w:rPr>
      </w:pPr>
      <w:r>
        <w:rPr>
          <w:rFonts w:hint="eastAsia" w:ascii="宋体" w:hAnsi="宋体" w:eastAsia="宋体" w:cs="宋体"/>
          <w:sz w:val="24"/>
        </w:rPr>
        <w:t>批准时间：2025年7月1日</w:t>
      </w:r>
      <w:r>
        <w:rPr>
          <w:rFonts w:hint="eastAsia" w:ascii="Times New Roman" w:hAnsi="Times New Roman" w:eastAsia="宋体" w:cs="Times New Roman"/>
          <w:b/>
          <w:sz w:val="44"/>
          <w:szCs w:val="44"/>
        </w:rPr>
        <w:br w:type="page"/>
      </w:r>
    </w:p>
    <w:p w14:paraId="10E73D38">
      <w:pPr>
        <w:spacing w:line="360" w:lineRule="auto"/>
        <w:jc w:val="center"/>
        <w:outlineLvl w:val="0"/>
        <w:rPr>
          <w:rFonts w:ascii="Times New Roman" w:hAnsi="Times New Roman" w:eastAsia="宋体" w:cs="Times New Roman"/>
          <w:b/>
          <w:sz w:val="44"/>
          <w:szCs w:val="44"/>
        </w:rPr>
      </w:pPr>
      <w:bookmarkStart w:id="1770" w:name="_Toc15242"/>
      <w:r>
        <w:rPr>
          <w:rFonts w:hint="eastAsia" w:ascii="Times New Roman" w:hAnsi="Times New Roman" w:eastAsia="宋体" w:cs="Times New Roman"/>
          <w:b/>
          <w:sz w:val="44"/>
          <w:szCs w:val="44"/>
        </w:rPr>
        <w:t>《美学基础》课程教学大纲</w:t>
      </w:r>
      <w:bookmarkEnd w:id="1770"/>
    </w:p>
    <w:p w14:paraId="1224397B">
      <w:pPr>
        <w:spacing w:line="360" w:lineRule="auto"/>
        <w:jc w:val="center"/>
      </w:pPr>
      <w:bookmarkStart w:id="1771" w:name="_Toc10098"/>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Syllabus of Esthetical Basic Theory Course</w:t>
      </w:r>
      <w:r>
        <w:rPr>
          <w:rFonts w:ascii="Times New Roman" w:hAnsi="Times New Roman" w:eastAsia="宋体" w:cs="Times New Roman"/>
          <w:b/>
          <w:bCs/>
          <w:sz w:val="28"/>
          <w:szCs w:val="28"/>
        </w:rPr>
        <w:t>）</w:t>
      </w:r>
      <w:bookmarkEnd w:id="1771"/>
    </w:p>
    <w:p w14:paraId="12BDD6A3">
      <w:pPr>
        <w:spacing w:line="360" w:lineRule="auto"/>
        <w:ind w:firstLine="422" w:firstLineChars="200"/>
        <w:jc w:val="left"/>
        <w:rPr>
          <w:rFonts w:ascii="Times New Roman" w:hAnsi="Times New Roman" w:eastAsia="宋体" w:cs="Times New Roman"/>
          <w:b/>
          <w:szCs w:val="21"/>
        </w:rPr>
      </w:pPr>
    </w:p>
    <w:p w14:paraId="17DFF27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课程名称：美学基础</w:t>
      </w:r>
    </w:p>
    <w:p w14:paraId="0565DBD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课程代码：0705040</w:t>
      </w:r>
    </w:p>
    <w:p w14:paraId="2FAF45FC">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721C929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4D306D9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先修课程：美术基础</w:t>
      </w:r>
    </w:p>
    <w:p w14:paraId="55EA1A3E">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适用专业：小学教育（文）</w:t>
      </w:r>
    </w:p>
    <w:p w14:paraId="10FDA02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6CF6CE8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本课程是小学教育（文）专业的专业基础选修课。通过本课程的学习，培养学生系统地理解和掌握美学的基本理论和基础知识，理解美学的基本特性与问题，把握与理解审美活动的结构与特点，了解美的类型或形态，体悟美的文化意蕴以及审美活动的人类学起源与宇宙学根据，从而增强学生的美学修养，开启学生的人文智慧。树立健康的审美观，正确地分析古今中外的各种文学现象，为学生学习其他文学课程、从事语文教育工作奠定初步的理论基础。</w:t>
      </w:r>
    </w:p>
    <w:p w14:paraId="535D749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w:t>
      </w:r>
      <w:r>
        <w:rPr>
          <w:rFonts w:ascii="Times New Roman" w:hAnsi="Times New Roman" w:eastAsia="宋体" w:cs="Times New Roman"/>
          <w:b/>
          <w:sz w:val="24"/>
        </w:rPr>
        <w:t>、课程目标</w:t>
      </w:r>
    </w:p>
    <w:p w14:paraId="434DDDFB">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1D49B0F7">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目标1. 系统学习美学理论的基础知识，梳理中西方美学史，了解美的本质。</w:t>
      </w:r>
    </w:p>
    <w:p w14:paraId="2F16B1D9">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目标2. 学生树立马克思主义的美学观。</w:t>
      </w:r>
    </w:p>
    <w:p w14:paraId="14B19B90">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目标3. 培养和提高审美鉴赏和艺术创造的能力。</w:t>
      </w:r>
    </w:p>
    <w:p w14:paraId="7CA9B2F5">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目标4. 学会体验和感悟生活中形形色色的美，并通过小组合作及课堂的讨论形式，交流自己对美的理解。</w:t>
      </w:r>
    </w:p>
    <w:p w14:paraId="1543646E">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目标5. 提高理论思维水平、审美情操，促进精神文明建设。</w:t>
      </w:r>
    </w:p>
    <w:p w14:paraId="55709A83">
      <w:pPr>
        <w:spacing w:line="360" w:lineRule="auto"/>
        <w:ind w:firstLine="420" w:firstLineChars="200"/>
        <w:jc w:val="left"/>
        <w:rPr>
          <w:rFonts w:ascii="Times New Roman" w:hAnsi="Times New Roman" w:eastAsia="宋体" w:cs="Times New Roman"/>
          <w:bCs/>
          <w:szCs w:val="21"/>
        </w:rPr>
      </w:pPr>
      <w:r>
        <w:rPr>
          <w:rFonts w:hint="eastAsia" w:ascii="Times New Roman" w:hAnsi="Times New Roman" w:eastAsia="宋体" w:cs="Times New Roman"/>
          <w:bCs/>
          <w:szCs w:val="21"/>
        </w:rPr>
        <w:t>目标6. 理解包括文学艺术在内的各种审美现象。</w:t>
      </w:r>
    </w:p>
    <w:p w14:paraId="5BE48987">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7834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697CD62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752FCB3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4594CAC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6588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CC4EDA1">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毕业要求1师德规范</w:t>
            </w:r>
          </w:p>
        </w:tc>
        <w:tc>
          <w:tcPr>
            <w:tcW w:w="5688" w:type="dxa"/>
            <w:vAlign w:val="center"/>
          </w:tcPr>
          <w:p w14:paraId="79DCFBF2">
            <w:pPr>
              <w:spacing w:line="276" w:lineRule="auto"/>
              <w:jc w:val="left"/>
              <w:rPr>
                <w:rFonts w:ascii="Times New Roman" w:hAnsi="Times New Roman" w:eastAsia="宋体" w:cs="Times New Roman"/>
                <w:szCs w:val="21"/>
              </w:rPr>
            </w:pPr>
            <w:r>
              <w:rPr>
                <w:rFonts w:hint="eastAsia" w:ascii="Times New Roman" w:hAnsi="Times New Roman" w:eastAsia="宋体" w:cs="Times New Roman"/>
                <w:b/>
                <w:szCs w:val="21"/>
              </w:rPr>
              <w:t>指标点1-1</w:t>
            </w:r>
            <w:r>
              <w:rPr>
                <w:rFonts w:hint="eastAsia" w:ascii="Times New Roman" w:hAnsi="Times New Roman" w:eastAsia="宋体" w:cs="Times New Roman"/>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2DBA778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38B9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7D83CB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4D9E3AEE">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指标点2-3</w:t>
            </w:r>
            <w:r>
              <w:rPr>
                <w:rFonts w:hint="eastAsia" w:ascii="宋体" w:hAnsi="宋体" w:eastAsia="宋体" w:cs="Times New Roman"/>
                <w:spacing w:val="2"/>
                <w:kern w:val="0"/>
                <w:szCs w:val="21"/>
              </w:rPr>
              <w:t>：【自身修养良好】具有较好的人文艺术底蕴与科学精神，言行举止符合教师职业标准，情感积极，人格健全，身心健康。</w:t>
            </w:r>
          </w:p>
        </w:tc>
        <w:tc>
          <w:tcPr>
            <w:tcW w:w="1191" w:type="dxa"/>
            <w:vAlign w:val="center"/>
          </w:tcPr>
          <w:p w14:paraId="4A479F5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课程目标1、5</w:t>
            </w:r>
          </w:p>
        </w:tc>
      </w:tr>
      <w:tr w14:paraId="35BF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5BB751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43883BA4">
            <w:pPr>
              <w:spacing w:line="276" w:lineRule="auto"/>
              <w:jc w:val="left"/>
              <w:rPr>
                <w:rFonts w:hint="eastAsia" w:ascii="宋体" w:hAnsi="宋体" w:eastAsia="宋体" w:cs="Times New Roman"/>
                <w:spacing w:val="2"/>
                <w:kern w:val="0"/>
                <w:szCs w:val="21"/>
              </w:rPr>
            </w:pPr>
            <w:r>
              <w:rPr>
                <w:rFonts w:hint="eastAsia" w:ascii="宋体" w:hAnsi="宋体" w:eastAsia="宋体" w:cs="Times New Roman"/>
                <w:b/>
                <w:spacing w:val="2"/>
                <w:kern w:val="0"/>
                <w:szCs w:val="21"/>
              </w:rPr>
              <w:t>指标点3-1</w:t>
            </w:r>
            <w:r>
              <w:rPr>
                <w:rFonts w:hint="eastAsia" w:ascii="宋体" w:hAnsi="宋体" w:eastAsia="宋体" w:cs="Times New Roman"/>
                <w:spacing w:val="2"/>
                <w:kern w:val="0"/>
                <w:szCs w:val="21"/>
              </w:rPr>
              <w:t>：【通识知识广博】具有小学教育本科专业相应的自然科学和人文社会科学知识素养。</w:t>
            </w:r>
          </w:p>
          <w:p w14:paraId="5C64CA35">
            <w:pPr>
              <w:spacing w:line="276" w:lineRule="auto"/>
              <w:jc w:val="left"/>
              <w:rPr>
                <w:rFonts w:ascii="Times New Roman" w:hAnsi="Times New Roman" w:eastAsia="宋体" w:cs="Times New Roman"/>
                <w:szCs w:val="21"/>
              </w:rPr>
            </w:pPr>
            <w:r>
              <w:rPr>
                <w:rFonts w:hint="eastAsia" w:ascii="宋体" w:hAnsi="宋体" w:cs="宋体"/>
                <w:b/>
                <w:kern w:val="0"/>
                <w:sz w:val="20"/>
                <w:szCs w:val="20"/>
              </w:rPr>
              <w:t>指标点3-2</w:t>
            </w:r>
            <w:r>
              <w:rPr>
                <w:rFonts w:hint="eastAsia" w:ascii="宋体" w:hAnsi="宋体" w:cs="宋体"/>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1" w:type="dxa"/>
            <w:vAlign w:val="center"/>
          </w:tcPr>
          <w:p w14:paraId="21AE45F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课程目标1、3、5、6</w:t>
            </w:r>
          </w:p>
        </w:tc>
      </w:tr>
      <w:tr w14:paraId="26DA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7F1A006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毕业要求6综合育人</w:t>
            </w:r>
          </w:p>
        </w:tc>
        <w:tc>
          <w:tcPr>
            <w:tcW w:w="5688" w:type="dxa"/>
            <w:vAlign w:val="center"/>
          </w:tcPr>
          <w:p w14:paraId="238EE064">
            <w:pPr>
              <w:spacing w:line="276" w:lineRule="auto"/>
              <w:jc w:val="left"/>
              <w:rPr>
                <w:rFonts w:hint="eastAsia" w:ascii="宋体" w:hAnsi="宋体" w:eastAsia="宋体" w:cs="Times New Roman"/>
                <w:kern w:val="0"/>
                <w:szCs w:val="21"/>
              </w:rPr>
            </w:pPr>
            <w:r>
              <w:rPr>
                <w:rFonts w:hint="eastAsia" w:ascii="宋体" w:hAnsi="宋体" w:eastAsia="宋体" w:cs="Times New Roman"/>
                <w:b/>
                <w:kern w:val="0"/>
                <w:szCs w:val="21"/>
              </w:rPr>
              <w:t>指标点6-2</w:t>
            </w:r>
            <w:r>
              <w:rPr>
                <w:rFonts w:hint="eastAsia" w:ascii="宋体" w:hAnsi="宋体" w:eastAsia="宋体" w:cs="Times New Roman"/>
                <w:kern w:val="0"/>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p w14:paraId="3B4315CC">
            <w:pPr>
              <w:spacing w:line="276" w:lineRule="auto"/>
              <w:jc w:val="left"/>
              <w:rPr>
                <w:rFonts w:hint="eastAsia" w:ascii="宋体" w:hAnsi="宋体" w:eastAsia="宋体" w:cs="Times New Roman"/>
                <w:kern w:val="0"/>
                <w:szCs w:val="21"/>
              </w:rPr>
            </w:pPr>
            <w:r>
              <w:rPr>
                <w:rFonts w:hint="eastAsia" w:ascii="宋体" w:hAnsi="宋体" w:cs="宋体"/>
                <w:b/>
                <w:kern w:val="0"/>
                <w:sz w:val="20"/>
                <w:szCs w:val="20"/>
              </w:rPr>
              <w:t>指标点6-3</w:t>
            </w:r>
            <w:r>
              <w:rPr>
                <w:rFonts w:hint="eastAsia" w:ascii="宋体" w:hAnsi="宋体" w:cs="宋体"/>
                <w:sz w:val="20"/>
                <w:szCs w:val="20"/>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191" w:type="dxa"/>
            <w:vAlign w:val="center"/>
          </w:tcPr>
          <w:p w14:paraId="17A8192A">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课程目标4</w:t>
            </w:r>
          </w:p>
        </w:tc>
      </w:tr>
    </w:tbl>
    <w:p w14:paraId="19788AD9">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40736566">
      <w:pPr>
        <w:spacing w:line="360" w:lineRule="auto"/>
        <w:ind w:firstLine="420" w:firstLineChars="200"/>
        <w:jc w:val="left"/>
        <w:rPr>
          <w:rFonts w:hint="eastAsia" w:ascii="宋体" w:hAnsi="宋体" w:eastAsia="宋体" w:cs="Times New Roman"/>
          <w:b/>
          <w:sz w:val="28"/>
          <w:szCs w:val="28"/>
        </w:rPr>
      </w:pPr>
      <w:r>
        <w:rPr>
          <w:rFonts w:hint="eastAsia" w:ascii="宋体" w:hAnsi="宋体" w:eastAsia="宋体" w:cs="Times New Roman"/>
          <w:szCs w:val="21"/>
        </w:rPr>
        <w:t>通过小学教育文美学基础的教学，引导学生认识和理解美学的基本原理，培养审美情趣和文化素养。结合小学教育实际，融入思政教育元素，培养学生热爱祖国文化的情感，增强文化自信。通过实践活动，锻炼学生的审美鉴赏和创造能力，树立正确的审美观念，为成为具有高尚品德、审美情趣和全面发展的社会主义建设者和接班人打下基础。</w:t>
      </w:r>
    </w:p>
    <w:p w14:paraId="2605C73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267"/>
        <w:gridCol w:w="1142"/>
        <w:gridCol w:w="2686"/>
        <w:gridCol w:w="1560"/>
        <w:gridCol w:w="438"/>
      </w:tblGrid>
      <w:tr w14:paraId="0C46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46B8FFB8">
            <w:pPr>
              <w:jc w:val="center"/>
              <w:rPr>
                <w:rFonts w:hint="eastAsia" w:ascii="宋体" w:hAnsi="宋体" w:eastAsia="宋体" w:cs="Times New Roman"/>
                <w:b/>
                <w:szCs w:val="21"/>
              </w:rPr>
            </w:pPr>
            <w:r>
              <w:rPr>
                <w:rFonts w:hint="eastAsia" w:ascii="宋体" w:hAnsi="宋体" w:eastAsia="宋体" w:cs="Times New Roman"/>
                <w:b/>
                <w:szCs w:val="21"/>
              </w:rPr>
              <w:t>知识</w:t>
            </w:r>
          </w:p>
          <w:p w14:paraId="42371527">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267" w:type="dxa"/>
            <w:vAlign w:val="center"/>
          </w:tcPr>
          <w:p w14:paraId="563354CE">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42" w:type="dxa"/>
            <w:vAlign w:val="center"/>
          </w:tcPr>
          <w:p w14:paraId="0A49424C">
            <w:pPr>
              <w:jc w:val="center"/>
              <w:rPr>
                <w:rFonts w:hint="eastAsia" w:ascii="宋体" w:hAnsi="宋体" w:eastAsia="宋体" w:cs="Times New Roman"/>
                <w:b/>
                <w:szCs w:val="21"/>
              </w:rPr>
            </w:pPr>
            <w:r>
              <w:rPr>
                <w:rFonts w:hint="eastAsia" w:ascii="宋体" w:hAnsi="宋体" w:eastAsia="宋体" w:cs="Times New Roman"/>
                <w:b/>
                <w:szCs w:val="21"/>
              </w:rPr>
              <w:t>对应</w:t>
            </w:r>
          </w:p>
          <w:p w14:paraId="378120D2">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686" w:type="dxa"/>
            <w:vAlign w:val="center"/>
          </w:tcPr>
          <w:p w14:paraId="6FD4EF81">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0" w:type="dxa"/>
            <w:vAlign w:val="center"/>
          </w:tcPr>
          <w:p w14:paraId="56F5122F">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38" w:type="dxa"/>
            <w:vAlign w:val="center"/>
          </w:tcPr>
          <w:p w14:paraId="12C78BB0">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1EF6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D823A9E">
            <w:pPr>
              <w:spacing w:line="264" w:lineRule="auto"/>
              <w:jc w:val="center"/>
              <w:rPr>
                <w:rFonts w:hint="eastAsia" w:ascii="宋体" w:hAnsi="宋体" w:eastAsia="宋体" w:cs="Times New Roman"/>
                <w:szCs w:val="21"/>
              </w:rPr>
            </w:pPr>
            <w:r>
              <w:rPr>
                <w:rFonts w:hint="eastAsia" w:ascii="宋体" w:hAnsi="宋体" w:eastAsia="宋体" w:cs="Times New Roman"/>
                <w:szCs w:val="21"/>
              </w:rPr>
              <w:t>1.导论</w:t>
            </w:r>
          </w:p>
        </w:tc>
        <w:tc>
          <w:tcPr>
            <w:tcW w:w="2267" w:type="dxa"/>
            <w:vAlign w:val="center"/>
          </w:tcPr>
          <w:p w14:paraId="580F8408">
            <w:pPr>
              <w:spacing w:line="269" w:lineRule="auto"/>
              <w:jc w:val="left"/>
              <w:rPr>
                <w:rFonts w:hint="eastAsia" w:ascii="宋体" w:hAnsi="宋体" w:eastAsia="宋体" w:cs="Times New Roman"/>
                <w:szCs w:val="21"/>
              </w:rPr>
            </w:pPr>
            <w:r>
              <w:rPr>
                <w:rFonts w:hint="eastAsia" w:ascii="宋体" w:hAnsi="宋体" w:eastAsia="宋体" w:cs="Times New Roman"/>
                <w:szCs w:val="21"/>
              </w:rPr>
              <w:t>（（1）美学的历史</w:t>
            </w:r>
          </w:p>
          <w:p w14:paraId="66490F6E">
            <w:pPr>
              <w:spacing w:line="269" w:lineRule="auto"/>
              <w:jc w:val="left"/>
              <w:rPr>
                <w:rFonts w:hint="eastAsia" w:ascii="宋体" w:hAnsi="宋体" w:eastAsia="宋体" w:cs="Times New Roman"/>
                <w:szCs w:val="21"/>
              </w:rPr>
            </w:pPr>
            <w:r>
              <w:rPr>
                <w:rFonts w:hint="eastAsia" w:ascii="宋体" w:hAnsi="宋体" w:eastAsia="宋体" w:cs="Times New Roman"/>
                <w:szCs w:val="21"/>
              </w:rPr>
              <w:t>（2）美学研究的对象</w:t>
            </w:r>
          </w:p>
          <w:p w14:paraId="1BE1D7B7">
            <w:pPr>
              <w:spacing w:line="269" w:lineRule="auto"/>
              <w:jc w:val="left"/>
              <w:rPr>
                <w:rFonts w:hint="eastAsia" w:ascii="宋体" w:hAnsi="宋体" w:eastAsia="宋体" w:cs="Times New Roman"/>
                <w:szCs w:val="21"/>
              </w:rPr>
            </w:pPr>
            <w:r>
              <w:rPr>
                <w:rFonts w:hint="eastAsia" w:ascii="宋体" w:hAnsi="宋体" w:eastAsia="宋体" w:cs="Times New Roman"/>
                <w:szCs w:val="21"/>
              </w:rPr>
              <w:t>（3）美学的学科特性</w:t>
            </w:r>
          </w:p>
          <w:p w14:paraId="421D3869">
            <w:pPr>
              <w:spacing w:line="269" w:lineRule="auto"/>
              <w:jc w:val="left"/>
              <w:rPr>
                <w:rFonts w:hint="eastAsia" w:ascii="宋体" w:hAnsi="宋体" w:eastAsia="宋体" w:cs="Times New Roman"/>
                <w:szCs w:val="21"/>
              </w:rPr>
            </w:pPr>
            <w:r>
              <w:rPr>
                <w:rFonts w:hint="eastAsia" w:ascii="宋体" w:hAnsi="宋体" w:eastAsia="宋体" w:cs="Times New Roman"/>
                <w:szCs w:val="21"/>
              </w:rPr>
              <w:t>（4）美学的研究方法</w:t>
            </w:r>
          </w:p>
        </w:tc>
        <w:tc>
          <w:tcPr>
            <w:tcW w:w="1142" w:type="dxa"/>
            <w:vAlign w:val="center"/>
          </w:tcPr>
          <w:p w14:paraId="7609DF12">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课程目标2、5</w:t>
            </w:r>
          </w:p>
        </w:tc>
        <w:tc>
          <w:tcPr>
            <w:tcW w:w="2686" w:type="dxa"/>
            <w:vAlign w:val="center"/>
          </w:tcPr>
          <w:p w14:paraId="73BFA7F4">
            <w:pPr>
              <w:spacing w:line="269" w:lineRule="auto"/>
              <w:jc w:val="left"/>
              <w:rPr>
                <w:rFonts w:hint="eastAsia" w:ascii="宋体" w:hAnsi="宋体" w:eastAsia="宋体" w:cs="Times New Roman"/>
                <w:szCs w:val="21"/>
              </w:rPr>
            </w:pPr>
            <w:r>
              <w:rPr>
                <w:rFonts w:hint="eastAsia" w:ascii="宋体" w:hAnsi="宋体" w:eastAsia="宋体" w:cs="Times New Roman"/>
                <w:szCs w:val="21"/>
              </w:rPr>
              <w:t>1.使学生明确美学课程的性质、学习美学的意义和方法。</w:t>
            </w:r>
          </w:p>
          <w:p w14:paraId="1A9B2392">
            <w:pPr>
              <w:spacing w:line="269" w:lineRule="auto"/>
              <w:jc w:val="left"/>
              <w:rPr>
                <w:rFonts w:hint="eastAsia" w:ascii="宋体" w:hAnsi="宋体" w:eastAsia="宋体" w:cs="Times New Roman"/>
                <w:szCs w:val="21"/>
              </w:rPr>
            </w:pPr>
            <w:r>
              <w:rPr>
                <w:rFonts w:hint="eastAsia" w:ascii="宋体" w:hAnsi="宋体" w:eastAsia="宋体" w:cs="Times New Roman"/>
                <w:szCs w:val="21"/>
              </w:rPr>
              <w:t>2.提高学生的学习兴趣，为学好美学课程奠定基础。</w:t>
            </w:r>
          </w:p>
          <w:p w14:paraId="4CB0491E">
            <w:pPr>
              <w:spacing w:line="269" w:lineRule="auto"/>
              <w:jc w:val="left"/>
              <w:rPr>
                <w:rFonts w:hint="eastAsia" w:ascii="宋体" w:hAnsi="宋体" w:eastAsia="宋体" w:cs="Times New Roman"/>
                <w:szCs w:val="21"/>
              </w:rPr>
            </w:pPr>
          </w:p>
        </w:tc>
        <w:tc>
          <w:tcPr>
            <w:tcW w:w="1560" w:type="dxa"/>
            <w:vAlign w:val="center"/>
          </w:tcPr>
          <w:p w14:paraId="21F1DCC4">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56AF0F03">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14DFCEB1">
            <w:pPr>
              <w:spacing w:line="269"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690925A7">
            <w:pPr>
              <w:spacing w:line="269"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19E8E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F61A331">
            <w:pPr>
              <w:spacing w:line="264" w:lineRule="auto"/>
              <w:jc w:val="center"/>
              <w:rPr>
                <w:rFonts w:hint="eastAsia" w:ascii="宋体" w:hAnsi="宋体" w:eastAsia="宋体" w:cs="Times New Roman"/>
                <w:szCs w:val="21"/>
              </w:rPr>
            </w:pPr>
          </w:p>
        </w:tc>
        <w:tc>
          <w:tcPr>
            <w:tcW w:w="8093" w:type="dxa"/>
            <w:gridSpan w:val="5"/>
            <w:vAlign w:val="center"/>
          </w:tcPr>
          <w:p w14:paraId="0FBE7DB3">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通过美学导论教学，使学生明确美学课程性质，理解学习美学的意义与方法。激发学生学习兴趣，奠定美学学习基础。重点引导学生认识美学作为古老又年轻学科的价值，理解马克思主义美学的重要性，培养学生辩证唯物主义思维，树立正确的美学观念，为全面发展奠定基础。</w:t>
            </w:r>
          </w:p>
        </w:tc>
      </w:tr>
      <w:tr w14:paraId="0ED3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3C04EB">
            <w:pPr>
              <w:spacing w:line="264" w:lineRule="auto"/>
              <w:jc w:val="center"/>
              <w:rPr>
                <w:rFonts w:hint="eastAsia" w:ascii="宋体" w:hAnsi="宋体" w:eastAsia="宋体" w:cs="Times New Roman"/>
                <w:szCs w:val="21"/>
              </w:rPr>
            </w:pPr>
            <w:r>
              <w:rPr>
                <w:rFonts w:hint="eastAsia" w:ascii="宋体" w:hAnsi="宋体" w:eastAsia="宋体" w:cs="Times New Roman"/>
                <w:szCs w:val="21"/>
              </w:rPr>
              <w:t>2.审美的本质</w:t>
            </w:r>
          </w:p>
        </w:tc>
        <w:tc>
          <w:tcPr>
            <w:tcW w:w="2267" w:type="dxa"/>
            <w:vAlign w:val="center"/>
          </w:tcPr>
          <w:p w14:paraId="74956FC7">
            <w:pPr>
              <w:spacing w:line="269" w:lineRule="auto"/>
              <w:jc w:val="left"/>
              <w:rPr>
                <w:rFonts w:hint="eastAsia" w:ascii="宋体" w:hAnsi="宋体" w:eastAsia="宋体" w:cs="Times New Roman"/>
                <w:szCs w:val="21"/>
              </w:rPr>
            </w:pPr>
            <w:r>
              <w:rPr>
                <w:rFonts w:hint="eastAsia" w:ascii="宋体" w:hAnsi="宋体" w:eastAsia="宋体" w:cs="Times New Roman"/>
                <w:szCs w:val="21"/>
              </w:rPr>
              <w:t>（1）西方关于美本质的追寻历史</w:t>
            </w:r>
          </w:p>
          <w:p w14:paraId="23EE1F47">
            <w:pPr>
              <w:spacing w:line="269" w:lineRule="auto"/>
              <w:jc w:val="left"/>
              <w:rPr>
                <w:rFonts w:hint="eastAsia" w:ascii="宋体" w:hAnsi="宋体" w:eastAsia="宋体" w:cs="Times New Roman"/>
                <w:szCs w:val="21"/>
              </w:rPr>
            </w:pPr>
            <w:r>
              <w:rPr>
                <w:rFonts w:hint="eastAsia" w:ascii="宋体" w:hAnsi="宋体" w:eastAsia="宋体" w:cs="Times New Roman"/>
                <w:szCs w:val="21"/>
              </w:rPr>
              <w:t>（2）中国关于美的本质问题的讨论</w:t>
            </w:r>
          </w:p>
          <w:p w14:paraId="0132B58C">
            <w:pPr>
              <w:spacing w:line="269" w:lineRule="auto"/>
              <w:jc w:val="left"/>
              <w:rPr>
                <w:rFonts w:hint="eastAsia" w:ascii="宋体" w:hAnsi="宋体" w:eastAsia="宋体" w:cs="Times New Roman"/>
                <w:szCs w:val="21"/>
              </w:rPr>
            </w:pPr>
            <w:r>
              <w:rPr>
                <w:rFonts w:hint="eastAsia" w:ascii="宋体" w:hAnsi="宋体" w:eastAsia="宋体" w:cs="Times New Roman"/>
                <w:szCs w:val="21"/>
              </w:rPr>
              <w:t>（3）言说美的几种新的方式</w:t>
            </w:r>
          </w:p>
        </w:tc>
        <w:tc>
          <w:tcPr>
            <w:tcW w:w="1142" w:type="dxa"/>
            <w:vAlign w:val="center"/>
          </w:tcPr>
          <w:p w14:paraId="116B6BAB">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w:t>
            </w:r>
          </w:p>
        </w:tc>
        <w:tc>
          <w:tcPr>
            <w:tcW w:w="2686" w:type="dxa"/>
            <w:vAlign w:val="center"/>
          </w:tcPr>
          <w:p w14:paraId="610E2E40">
            <w:pPr>
              <w:spacing w:line="269" w:lineRule="auto"/>
              <w:jc w:val="left"/>
              <w:rPr>
                <w:rFonts w:hint="eastAsia" w:ascii="宋体" w:hAnsi="宋体" w:eastAsia="宋体" w:cs="Times New Roman"/>
                <w:szCs w:val="21"/>
              </w:rPr>
            </w:pPr>
            <w:r>
              <w:rPr>
                <w:rFonts w:hint="eastAsia" w:ascii="宋体" w:hAnsi="宋体" w:eastAsia="宋体" w:cs="Times New Roman"/>
                <w:szCs w:val="21"/>
              </w:rPr>
              <w:t>1.使学生能从辩证唯物主义的实践观点去认识美根源于劳动。2.能够理解美是人的本质力量感性显现的实质，同时了解美的本质和人</w:t>
            </w:r>
          </w:p>
        </w:tc>
        <w:tc>
          <w:tcPr>
            <w:tcW w:w="1560" w:type="dxa"/>
            <w:vAlign w:val="center"/>
          </w:tcPr>
          <w:p w14:paraId="78113C41">
            <w:pPr>
              <w:spacing w:line="269" w:lineRule="auto"/>
              <w:jc w:val="left"/>
              <w:rPr>
                <w:rFonts w:hint="eastAsia" w:ascii="宋体" w:hAnsi="宋体" w:eastAsia="宋体" w:cs="Times New Roman"/>
                <w:szCs w:val="21"/>
              </w:rPr>
            </w:pPr>
            <w:r>
              <w:rPr>
                <w:rFonts w:hint="eastAsia" w:ascii="宋体" w:hAnsi="宋体" w:eastAsia="宋体" w:cs="Times New Roman"/>
                <w:szCs w:val="21"/>
              </w:rPr>
              <w:t>1.线上学习</w:t>
            </w:r>
          </w:p>
          <w:p w14:paraId="48417A75">
            <w:pPr>
              <w:spacing w:line="269" w:lineRule="auto"/>
              <w:jc w:val="left"/>
              <w:rPr>
                <w:rFonts w:hint="eastAsia" w:ascii="宋体" w:hAnsi="宋体" w:eastAsia="宋体" w:cs="Times New Roman"/>
                <w:szCs w:val="21"/>
              </w:rPr>
            </w:pPr>
            <w:r>
              <w:rPr>
                <w:rFonts w:hint="eastAsia" w:ascii="宋体" w:hAnsi="宋体" w:eastAsia="宋体" w:cs="Times New Roman"/>
                <w:szCs w:val="21"/>
              </w:rPr>
              <w:t>2.多媒体教学3.课堂讨论</w:t>
            </w:r>
          </w:p>
          <w:p w14:paraId="1303A343">
            <w:pPr>
              <w:spacing w:line="269" w:lineRule="auto"/>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38" w:type="dxa"/>
            <w:vAlign w:val="center"/>
          </w:tcPr>
          <w:p w14:paraId="0D9B0321">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20F6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EB51316">
            <w:pPr>
              <w:spacing w:line="264" w:lineRule="auto"/>
              <w:jc w:val="center"/>
              <w:rPr>
                <w:rFonts w:hint="eastAsia" w:ascii="宋体" w:hAnsi="宋体" w:eastAsia="宋体" w:cs="Times New Roman"/>
                <w:szCs w:val="21"/>
              </w:rPr>
            </w:pPr>
          </w:p>
        </w:tc>
        <w:tc>
          <w:tcPr>
            <w:tcW w:w="8093" w:type="dxa"/>
            <w:gridSpan w:val="5"/>
            <w:vAlign w:val="center"/>
          </w:tcPr>
          <w:p w14:paraId="33AA2269">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旨在引导学生从辩证唯物主义实践观点出发，认识美根源于劳动，理解美是人本质力量的感性显现。通过梳理中西方对美的本质的不同理解，培养学生跨文化视野和批判性思维。重点难点在于深化学生对美的本质的认识，树立文化自信，为成为具有深厚人文素养的人才打下基础。</w:t>
            </w:r>
          </w:p>
        </w:tc>
      </w:tr>
      <w:tr w14:paraId="4649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CF6E17F">
            <w:pPr>
              <w:spacing w:line="264" w:lineRule="auto"/>
              <w:jc w:val="center"/>
              <w:rPr>
                <w:rFonts w:hint="eastAsia" w:ascii="宋体" w:hAnsi="宋体" w:eastAsia="宋体" w:cs="Times New Roman"/>
                <w:szCs w:val="21"/>
              </w:rPr>
            </w:pPr>
            <w:r>
              <w:rPr>
                <w:rFonts w:hint="eastAsia" w:ascii="宋体" w:hAnsi="宋体" w:eastAsia="宋体" w:cs="Times New Roman"/>
                <w:szCs w:val="21"/>
              </w:rPr>
              <w:t>3.审美活动经验</w:t>
            </w:r>
          </w:p>
        </w:tc>
        <w:tc>
          <w:tcPr>
            <w:tcW w:w="2267" w:type="dxa"/>
            <w:vAlign w:val="center"/>
          </w:tcPr>
          <w:p w14:paraId="6635880C">
            <w:pPr>
              <w:spacing w:line="269" w:lineRule="auto"/>
              <w:jc w:val="left"/>
              <w:rPr>
                <w:rFonts w:hint="eastAsia" w:ascii="宋体" w:hAnsi="宋体" w:eastAsia="宋体" w:cs="Times New Roman"/>
                <w:szCs w:val="21"/>
              </w:rPr>
            </w:pPr>
            <w:r>
              <w:rPr>
                <w:rFonts w:hint="eastAsia" w:ascii="宋体" w:hAnsi="宋体" w:eastAsia="宋体" w:cs="Times New Roman"/>
                <w:szCs w:val="21"/>
              </w:rPr>
              <w:t>（1）审美经验的根源</w:t>
            </w:r>
          </w:p>
          <w:p w14:paraId="2EB11611">
            <w:pPr>
              <w:spacing w:line="269" w:lineRule="auto"/>
              <w:jc w:val="left"/>
              <w:rPr>
                <w:rFonts w:hint="eastAsia" w:ascii="宋体" w:hAnsi="宋体" w:eastAsia="宋体" w:cs="Times New Roman"/>
                <w:szCs w:val="21"/>
              </w:rPr>
            </w:pPr>
            <w:r>
              <w:rPr>
                <w:rFonts w:hint="eastAsia" w:ascii="宋体" w:hAnsi="宋体" w:eastAsia="宋体" w:cs="Times New Roman"/>
                <w:szCs w:val="21"/>
              </w:rPr>
              <w:t>（2）审美心理结构与审美感受特性</w:t>
            </w:r>
          </w:p>
          <w:p w14:paraId="5AA85E9E">
            <w:pPr>
              <w:spacing w:line="269" w:lineRule="auto"/>
              <w:jc w:val="left"/>
              <w:rPr>
                <w:rFonts w:hint="eastAsia" w:ascii="宋体" w:hAnsi="宋体" w:eastAsia="宋体" w:cs="Times New Roman"/>
                <w:szCs w:val="21"/>
              </w:rPr>
            </w:pPr>
            <w:r>
              <w:rPr>
                <w:rFonts w:hint="eastAsia" w:ascii="宋体" w:hAnsi="宋体" w:eastAsia="宋体" w:cs="Times New Roman"/>
                <w:szCs w:val="21"/>
              </w:rPr>
              <w:t>（3）审美心理要素</w:t>
            </w:r>
          </w:p>
          <w:p w14:paraId="0842C871">
            <w:pPr>
              <w:spacing w:line="269" w:lineRule="auto"/>
              <w:jc w:val="left"/>
              <w:rPr>
                <w:rFonts w:hint="eastAsia" w:ascii="宋体" w:hAnsi="宋体" w:eastAsia="宋体" w:cs="Times New Roman"/>
                <w:szCs w:val="21"/>
              </w:rPr>
            </w:pPr>
            <w:r>
              <w:rPr>
                <w:rFonts w:hint="eastAsia" w:ascii="宋体" w:hAnsi="宋体" w:eastAsia="宋体" w:cs="Times New Roman"/>
                <w:szCs w:val="21"/>
              </w:rPr>
              <w:t>（4）审美经验模式</w:t>
            </w:r>
          </w:p>
          <w:p w14:paraId="05103FE4">
            <w:pPr>
              <w:spacing w:line="269" w:lineRule="auto"/>
              <w:jc w:val="left"/>
              <w:rPr>
                <w:rFonts w:hint="eastAsia" w:ascii="宋体" w:hAnsi="宋体" w:eastAsia="宋体" w:cs="Times New Roman"/>
                <w:szCs w:val="21"/>
              </w:rPr>
            </w:pPr>
            <w:r>
              <w:rPr>
                <w:rFonts w:hint="eastAsia" w:ascii="宋体" w:hAnsi="宋体" w:eastAsia="宋体" w:cs="Times New Roman"/>
                <w:szCs w:val="21"/>
              </w:rPr>
              <w:t>（5）审美经验的历史演变与文化差异</w:t>
            </w:r>
          </w:p>
          <w:p w14:paraId="5B6FC114">
            <w:pPr>
              <w:spacing w:line="269" w:lineRule="auto"/>
              <w:jc w:val="left"/>
              <w:rPr>
                <w:rFonts w:hint="eastAsia" w:ascii="宋体" w:hAnsi="宋体" w:eastAsia="宋体" w:cs="Times New Roman"/>
                <w:szCs w:val="21"/>
              </w:rPr>
            </w:pPr>
          </w:p>
        </w:tc>
        <w:tc>
          <w:tcPr>
            <w:tcW w:w="1142" w:type="dxa"/>
            <w:vAlign w:val="center"/>
          </w:tcPr>
          <w:p w14:paraId="694EFF65">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686" w:type="dxa"/>
            <w:vAlign w:val="center"/>
          </w:tcPr>
          <w:p w14:paraId="16A8AB72">
            <w:pPr>
              <w:spacing w:line="269" w:lineRule="auto"/>
              <w:jc w:val="left"/>
              <w:rPr>
                <w:rFonts w:hint="eastAsia" w:ascii="宋体" w:hAnsi="宋体" w:eastAsia="宋体" w:cs="Times New Roman"/>
                <w:szCs w:val="21"/>
              </w:rPr>
            </w:pPr>
            <w:r>
              <w:rPr>
                <w:rFonts w:hint="eastAsia" w:ascii="宋体" w:hAnsi="宋体" w:eastAsia="宋体" w:cs="Times New Roman"/>
                <w:szCs w:val="21"/>
              </w:rPr>
              <w:t>1.使学生了解审美经验的根源和特性。</w:t>
            </w:r>
          </w:p>
          <w:p w14:paraId="5FC60183">
            <w:pPr>
              <w:spacing w:line="269" w:lineRule="auto"/>
              <w:jc w:val="left"/>
              <w:rPr>
                <w:rFonts w:hint="eastAsia" w:ascii="宋体" w:hAnsi="宋体" w:eastAsia="宋体" w:cs="Times New Roman"/>
                <w:szCs w:val="21"/>
              </w:rPr>
            </w:pPr>
            <w:r>
              <w:rPr>
                <w:rFonts w:hint="eastAsia" w:ascii="宋体" w:hAnsi="宋体" w:eastAsia="宋体" w:cs="Times New Roman"/>
                <w:szCs w:val="21"/>
              </w:rPr>
              <w:t>2.使学生了解审美经验的历史演变与文化差异。</w:t>
            </w:r>
          </w:p>
          <w:p w14:paraId="4A34FB45">
            <w:pPr>
              <w:spacing w:line="269" w:lineRule="auto"/>
              <w:jc w:val="left"/>
              <w:rPr>
                <w:rFonts w:hint="eastAsia" w:ascii="宋体" w:hAnsi="宋体" w:eastAsia="宋体" w:cs="Times New Roman"/>
                <w:szCs w:val="21"/>
              </w:rPr>
            </w:pPr>
          </w:p>
        </w:tc>
        <w:tc>
          <w:tcPr>
            <w:tcW w:w="1560" w:type="dxa"/>
            <w:vAlign w:val="center"/>
          </w:tcPr>
          <w:p w14:paraId="6D98697E">
            <w:pPr>
              <w:spacing w:line="269" w:lineRule="auto"/>
              <w:jc w:val="left"/>
              <w:rPr>
                <w:rFonts w:hint="eastAsia" w:ascii="宋体" w:hAnsi="宋体" w:eastAsia="宋体" w:cs="Times New Roman"/>
                <w:szCs w:val="21"/>
              </w:rPr>
            </w:pPr>
            <w:r>
              <w:rPr>
                <w:rFonts w:ascii="宋体" w:hAnsi="宋体" w:eastAsia="宋体" w:cs="Times New Roman"/>
                <w:szCs w:val="21"/>
              </w:rPr>
              <w:t>1.线上学习</w:t>
            </w:r>
          </w:p>
          <w:p w14:paraId="0B140867">
            <w:pPr>
              <w:spacing w:line="269" w:lineRule="auto"/>
              <w:jc w:val="left"/>
              <w:rPr>
                <w:rFonts w:hint="eastAsia" w:ascii="宋体" w:hAnsi="宋体" w:eastAsia="宋体" w:cs="Times New Roman"/>
                <w:szCs w:val="21"/>
              </w:rPr>
            </w:pPr>
            <w:r>
              <w:rPr>
                <w:rFonts w:ascii="宋体" w:hAnsi="宋体" w:eastAsia="宋体" w:cs="Times New Roman"/>
                <w:szCs w:val="21"/>
              </w:rPr>
              <w:t>2.多媒体教学3.课堂讨论</w:t>
            </w:r>
          </w:p>
          <w:p w14:paraId="1A931430">
            <w:pPr>
              <w:spacing w:line="269" w:lineRule="auto"/>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177A34D4">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11AB9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B453338">
            <w:pPr>
              <w:spacing w:line="264" w:lineRule="auto"/>
              <w:jc w:val="center"/>
              <w:rPr>
                <w:rFonts w:hint="eastAsia" w:ascii="宋体" w:hAnsi="宋体" w:eastAsia="宋体" w:cs="Times New Roman"/>
                <w:szCs w:val="21"/>
              </w:rPr>
            </w:pPr>
          </w:p>
        </w:tc>
        <w:tc>
          <w:tcPr>
            <w:tcW w:w="8093" w:type="dxa"/>
            <w:gridSpan w:val="5"/>
            <w:vAlign w:val="center"/>
          </w:tcPr>
          <w:p w14:paraId="78CAA868">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旨在使学生了解审美经验的根源、特性及历史演变与文化差异。通过深入学习审美心理结构与感受特性，培养学生敏锐的审美洞察力和审美鉴赏力。重点难点在于引导学生掌握审美经验的特性与模式，促进其在多元文化背景下形成独特的审美观念，为全面发展奠定坚实基础。</w:t>
            </w:r>
          </w:p>
        </w:tc>
      </w:tr>
      <w:tr w14:paraId="7DBCE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00F3BEA">
            <w:pPr>
              <w:spacing w:line="276" w:lineRule="auto"/>
              <w:jc w:val="center"/>
              <w:rPr>
                <w:rFonts w:hint="eastAsia" w:ascii="宋体" w:hAnsi="宋体" w:eastAsia="宋体" w:cs="Times New Roman"/>
                <w:szCs w:val="21"/>
              </w:rPr>
            </w:pPr>
            <w:r>
              <w:rPr>
                <w:rFonts w:hint="eastAsia" w:ascii="宋体" w:hAnsi="宋体" w:eastAsia="宋体" w:cs="Times New Roman"/>
                <w:szCs w:val="21"/>
              </w:rPr>
              <w:t>4.不同领域的审美活动</w:t>
            </w:r>
          </w:p>
        </w:tc>
        <w:tc>
          <w:tcPr>
            <w:tcW w:w="2267" w:type="dxa"/>
            <w:vAlign w:val="center"/>
          </w:tcPr>
          <w:p w14:paraId="637A3F65">
            <w:pPr>
              <w:spacing w:line="276" w:lineRule="auto"/>
              <w:jc w:val="left"/>
              <w:rPr>
                <w:rFonts w:hint="eastAsia" w:ascii="宋体" w:hAnsi="宋体" w:eastAsia="宋体" w:cs="Times New Roman"/>
                <w:szCs w:val="21"/>
              </w:rPr>
            </w:pPr>
            <w:r>
              <w:rPr>
                <w:rFonts w:hint="eastAsia" w:ascii="宋体" w:hAnsi="宋体" w:eastAsia="宋体" w:cs="Times New Roman"/>
                <w:szCs w:val="21"/>
              </w:rPr>
              <w:t>（1）形式美</w:t>
            </w:r>
          </w:p>
          <w:p w14:paraId="63DEF928">
            <w:pPr>
              <w:spacing w:line="276" w:lineRule="auto"/>
              <w:jc w:val="left"/>
              <w:rPr>
                <w:rFonts w:hint="eastAsia" w:ascii="宋体" w:hAnsi="宋体" w:eastAsia="宋体" w:cs="Times New Roman"/>
                <w:szCs w:val="21"/>
              </w:rPr>
            </w:pPr>
            <w:r>
              <w:rPr>
                <w:rFonts w:hint="eastAsia" w:ascii="宋体" w:hAnsi="宋体" w:eastAsia="宋体" w:cs="Times New Roman"/>
                <w:szCs w:val="21"/>
              </w:rPr>
              <w:t>（2）技术美</w:t>
            </w:r>
          </w:p>
          <w:p w14:paraId="7C09577B">
            <w:pPr>
              <w:spacing w:line="276" w:lineRule="auto"/>
              <w:jc w:val="left"/>
              <w:rPr>
                <w:rFonts w:hint="eastAsia" w:ascii="宋体" w:hAnsi="宋体" w:eastAsia="宋体" w:cs="Times New Roman"/>
                <w:szCs w:val="21"/>
              </w:rPr>
            </w:pPr>
            <w:r>
              <w:rPr>
                <w:rFonts w:hint="eastAsia" w:ascii="宋体" w:hAnsi="宋体" w:eastAsia="宋体" w:cs="Times New Roman"/>
                <w:szCs w:val="21"/>
              </w:rPr>
              <w:t>（3）社会美</w:t>
            </w:r>
          </w:p>
          <w:p w14:paraId="0D6E15BA">
            <w:pPr>
              <w:spacing w:line="276" w:lineRule="auto"/>
              <w:jc w:val="left"/>
              <w:rPr>
                <w:rFonts w:hint="eastAsia" w:ascii="宋体" w:hAnsi="宋体" w:eastAsia="宋体" w:cs="Times New Roman"/>
                <w:szCs w:val="21"/>
              </w:rPr>
            </w:pPr>
            <w:r>
              <w:rPr>
                <w:rFonts w:hint="eastAsia" w:ascii="宋体" w:hAnsi="宋体" w:eastAsia="宋体" w:cs="Times New Roman"/>
                <w:szCs w:val="21"/>
              </w:rPr>
              <w:t>（4）自然美</w:t>
            </w:r>
          </w:p>
          <w:p w14:paraId="534446C7">
            <w:pPr>
              <w:spacing w:line="276" w:lineRule="auto"/>
              <w:jc w:val="left"/>
              <w:rPr>
                <w:rFonts w:hint="eastAsia" w:ascii="宋体" w:hAnsi="宋体" w:eastAsia="宋体" w:cs="Times New Roman"/>
                <w:szCs w:val="21"/>
              </w:rPr>
            </w:pPr>
            <w:r>
              <w:rPr>
                <w:rFonts w:hint="eastAsia" w:ascii="宋体" w:hAnsi="宋体" w:eastAsia="宋体" w:cs="Times New Roman"/>
                <w:szCs w:val="21"/>
              </w:rPr>
              <w:t>（5）艺术美</w:t>
            </w:r>
          </w:p>
        </w:tc>
        <w:tc>
          <w:tcPr>
            <w:tcW w:w="1142" w:type="dxa"/>
            <w:vAlign w:val="center"/>
          </w:tcPr>
          <w:p w14:paraId="7D5C21B2">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课程目标1、4</w:t>
            </w:r>
          </w:p>
        </w:tc>
        <w:tc>
          <w:tcPr>
            <w:tcW w:w="2686" w:type="dxa"/>
            <w:vAlign w:val="center"/>
          </w:tcPr>
          <w:p w14:paraId="5285AEF6">
            <w:pPr>
              <w:spacing w:line="276" w:lineRule="auto"/>
              <w:jc w:val="left"/>
              <w:rPr>
                <w:rFonts w:hint="eastAsia" w:ascii="宋体" w:hAnsi="宋体" w:eastAsia="宋体" w:cs="Times New Roman"/>
                <w:szCs w:val="21"/>
              </w:rPr>
            </w:pPr>
            <w:r>
              <w:rPr>
                <w:rFonts w:hint="eastAsia" w:ascii="宋体" w:hAnsi="宋体" w:eastAsia="宋体" w:cs="Times New Roman"/>
                <w:szCs w:val="21"/>
              </w:rPr>
              <w:t>1.掌握不同的审美活动的内涵及特征。</w:t>
            </w:r>
          </w:p>
          <w:p w14:paraId="6D95F299">
            <w:pPr>
              <w:spacing w:line="276" w:lineRule="auto"/>
              <w:jc w:val="left"/>
              <w:rPr>
                <w:rFonts w:hint="eastAsia" w:ascii="宋体" w:hAnsi="宋体" w:eastAsia="宋体" w:cs="Times New Roman"/>
                <w:szCs w:val="21"/>
              </w:rPr>
            </w:pPr>
            <w:r>
              <w:rPr>
                <w:rFonts w:hint="eastAsia" w:ascii="宋体" w:hAnsi="宋体" w:eastAsia="宋体" w:cs="Times New Roman"/>
                <w:szCs w:val="21"/>
              </w:rPr>
              <w:t>2.能够联系生活和学习的实践辨别不同的审美活动。</w:t>
            </w:r>
          </w:p>
        </w:tc>
        <w:tc>
          <w:tcPr>
            <w:tcW w:w="1560" w:type="dxa"/>
            <w:vAlign w:val="center"/>
          </w:tcPr>
          <w:p w14:paraId="2C88D29E">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1804B4C4">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p w14:paraId="079793FB">
            <w:pPr>
              <w:spacing w:line="276" w:lineRule="auto"/>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5D14B051">
            <w:pPr>
              <w:spacing w:line="276" w:lineRule="auto"/>
              <w:jc w:val="center"/>
              <w:rPr>
                <w:rFonts w:hint="eastAsia" w:ascii="宋体" w:hAnsi="宋体" w:eastAsia="宋体" w:cs="Times New Roman"/>
                <w:szCs w:val="21"/>
              </w:rPr>
            </w:pPr>
            <w:r>
              <w:rPr>
                <w:rFonts w:hint="eastAsia" w:ascii="宋体" w:hAnsi="宋体" w:eastAsia="宋体" w:cs="Times New Roman"/>
                <w:szCs w:val="21"/>
              </w:rPr>
              <w:t>10</w:t>
            </w:r>
          </w:p>
        </w:tc>
      </w:tr>
      <w:tr w14:paraId="0C33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3D2FC48">
            <w:pPr>
              <w:spacing w:line="276" w:lineRule="auto"/>
              <w:jc w:val="center"/>
              <w:rPr>
                <w:rFonts w:hint="eastAsia" w:ascii="宋体" w:hAnsi="宋体" w:eastAsia="宋体" w:cs="Times New Roman"/>
                <w:szCs w:val="21"/>
              </w:rPr>
            </w:pPr>
          </w:p>
        </w:tc>
        <w:tc>
          <w:tcPr>
            <w:tcW w:w="8093" w:type="dxa"/>
            <w:gridSpan w:val="5"/>
            <w:vAlign w:val="center"/>
          </w:tcPr>
          <w:p w14:paraId="6025261A">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旨在使学生掌握不同审美活动的内涵及特征，能够联系生活实践辨别并欣赏形式美、技术美、社会美、自然美和艺术美。重点难点在于引导学生深入理解天然美作为中国美学核心自然美的范畴，以及艺术美与人生艺术化的内在联系，培养学生的审美情趣和创造力。</w:t>
            </w:r>
          </w:p>
        </w:tc>
      </w:tr>
      <w:tr w14:paraId="2DD3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568E586">
            <w:pPr>
              <w:spacing w:line="276" w:lineRule="auto"/>
              <w:jc w:val="center"/>
              <w:rPr>
                <w:rFonts w:hint="eastAsia" w:ascii="宋体" w:hAnsi="宋体" w:eastAsia="宋体" w:cs="Times New Roman"/>
                <w:szCs w:val="21"/>
              </w:rPr>
            </w:pPr>
            <w:r>
              <w:rPr>
                <w:rFonts w:hint="eastAsia" w:ascii="宋体" w:hAnsi="宋体" w:eastAsia="宋体" w:cs="Times New Roman"/>
                <w:szCs w:val="21"/>
              </w:rPr>
              <w:t>5.不同审美范畴</w:t>
            </w:r>
          </w:p>
        </w:tc>
        <w:tc>
          <w:tcPr>
            <w:tcW w:w="2267" w:type="dxa"/>
            <w:vAlign w:val="center"/>
          </w:tcPr>
          <w:p w14:paraId="143A08D2">
            <w:pPr>
              <w:spacing w:line="276" w:lineRule="auto"/>
              <w:jc w:val="left"/>
              <w:rPr>
                <w:rFonts w:hint="eastAsia" w:ascii="宋体" w:hAnsi="宋体" w:eastAsia="宋体" w:cs="Times New Roman"/>
                <w:szCs w:val="21"/>
              </w:rPr>
            </w:pPr>
            <w:r>
              <w:rPr>
                <w:rFonts w:hint="eastAsia" w:ascii="宋体" w:hAnsi="宋体" w:eastAsia="宋体" w:cs="Times New Roman"/>
                <w:szCs w:val="21"/>
              </w:rPr>
              <w:t>（1）作为审美范畴的优美与崇高</w:t>
            </w:r>
          </w:p>
          <w:p w14:paraId="11710A2D">
            <w:pPr>
              <w:spacing w:line="276" w:lineRule="auto"/>
              <w:jc w:val="left"/>
              <w:rPr>
                <w:rFonts w:hint="eastAsia" w:ascii="宋体" w:hAnsi="宋体" w:eastAsia="宋体" w:cs="Times New Roman"/>
                <w:szCs w:val="21"/>
              </w:rPr>
            </w:pPr>
            <w:r>
              <w:rPr>
                <w:rFonts w:hint="eastAsia" w:ascii="宋体" w:hAnsi="宋体" w:eastAsia="宋体" w:cs="Times New Roman"/>
                <w:szCs w:val="21"/>
              </w:rPr>
              <w:t>（2）作为审美范畴的悲剧与喜剧</w:t>
            </w:r>
          </w:p>
          <w:p w14:paraId="38A0286E">
            <w:pPr>
              <w:spacing w:line="276" w:lineRule="auto"/>
              <w:jc w:val="left"/>
              <w:rPr>
                <w:rFonts w:hint="eastAsia" w:ascii="宋体" w:hAnsi="宋体" w:eastAsia="宋体" w:cs="Times New Roman"/>
                <w:szCs w:val="21"/>
              </w:rPr>
            </w:pPr>
            <w:r>
              <w:rPr>
                <w:rFonts w:hint="eastAsia" w:ascii="宋体" w:hAnsi="宋体" w:eastAsia="宋体" w:cs="Times New Roman"/>
                <w:szCs w:val="21"/>
              </w:rPr>
              <w:t>（3）作为审美范畴的丑</w:t>
            </w:r>
          </w:p>
          <w:p w14:paraId="733BD3C2">
            <w:pPr>
              <w:spacing w:line="276" w:lineRule="auto"/>
              <w:jc w:val="left"/>
              <w:rPr>
                <w:rFonts w:hint="eastAsia" w:ascii="宋体" w:hAnsi="宋体" w:eastAsia="宋体" w:cs="Times New Roman"/>
                <w:szCs w:val="21"/>
              </w:rPr>
            </w:pPr>
            <w:r>
              <w:rPr>
                <w:rFonts w:hint="eastAsia" w:ascii="宋体" w:hAnsi="宋体" w:eastAsia="宋体" w:cs="Times New Roman"/>
                <w:szCs w:val="21"/>
              </w:rPr>
              <w:t>（4）作为审美范畴的意境</w:t>
            </w:r>
          </w:p>
        </w:tc>
        <w:tc>
          <w:tcPr>
            <w:tcW w:w="1142" w:type="dxa"/>
            <w:vAlign w:val="center"/>
          </w:tcPr>
          <w:p w14:paraId="5937A479">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课程目标3、4、6</w:t>
            </w:r>
          </w:p>
        </w:tc>
        <w:tc>
          <w:tcPr>
            <w:tcW w:w="2686" w:type="dxa"/>
            <w:vAlign w:val="center"/>
          </w:tcPr>
          <w:p w14:paraId="46AD9E7B">
            <w:pPr>
              <w:spacing w:line="276" w:lineRule="auto"/>
              <w:jc w:val="left"/>
              <w:rPr>
                <w:rFonts w:hint="eastAsia" w:ascii="宋体" w:hAnsi="宋体" w:eastAsia="宋体" w:cs="Times New Roman"/>
                <w:szCs w:val="21"/>
              </w:rPr>
            </w:pPr>
            <w:r>
              <w:rPr>
                <w:rFonts w:hint="eastAsia" w:ascii="宋体" w:hAnsi="宋体" w:eastAsia="宋体" w:cs="Times New Roman"/>
                <w:szCs w:val="21"/>
              </w:rPr>
              <w:t>1.理解不同审美范畴的本质及特征。</w:t>
            </w:r>
          </w:p>
          <w:p w14:paraId="0DA5BD70">
            <w:pPr>
              <w:spacing w:line="276" w:lineRule="auto"/>
              <w:jc w:val="left"/>
              <w:rPr>
                <w:rFonts w:hint="eastAsia" w:ascii="宋体" w:hAnsi="宋体" w:eastAsia="宋体" w:cs="Times New Roman"/>
                <w:szCs w:val="21"/>
              </w:rPr>
            </w:pPr>
            <w:r>
              <w:rPr>
                <w:rFonts w:hint="eastAsia" w:ascii="宋体" w:hAnsi="宋体" w:eastAsia="宋体" w:cs="Times New Roman"/>
                <w:szCs w:val="21"/>
              </w:rPr>
              <w:t>2.中西方侧重审美范畴的差异。</w:t>
            </w:r>
          </w:p>
          <w:p w14:paraId="2A61229E">
            <w:pPr>
              <w:spacing w:line="276" w:lineRule="auto"/>
              <w:jc w:val="left"/>
              <w:rPr>
                <w:rFonts w:hint="eastAsia" w:ascii="宋体" w:hAnsi="宋体" w:eastAsia="宋体" w:cs="Times New Roman"/>
                <w:szCs w:val="21"/>
              </w:rPr>
            </w:pPr>
          </w:p>
        </w:tc>
        <w:tc>
          <w:tcPr>
            <w:tcW w:w="1560" w:type="dxa"/>
            <w:vAlign w:val="center"/>
          </w:tcPr>
          <w:p w14:paraId="6B79D253">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3B86AC92">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p w14:paraId="38971E9A">
            <w:pPr>
              <w:spacing w:line="276" w:lineRule="auto"/>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187DD150">
            <w:pPr>
              <w:spacing w:line="276" w:lineRule="auto"/>
              <w:jc w:val="center"/>
              <w:rPr>
                <w:rFonts w:hint="eastAsia" w:ascii="宋体" w:hAnsi="宋体" w:eastAsia="宋体" w:cs="Times New Roman"/>
                <w:szCs w:val="21"/>
              </w:rPr>
            </w:pPr>
            <w:r>
              <w:rPr>
                <w:rFonts w:hint="eastAsia" w:ascii="宋体" w:hAnsi="宋体" w:eastAsia="宋体" w:cs="Times New Roman"/>
                <w:szCs w:val="21"/>
              </w:rPr>
              <w:t>8</w:t>
            </w:r>
          </w:p>
        </w:tc>
      </w:tr>
      <w:tr w14:paraId="1A285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EDE944D">
            <w:pPr>
              <w:spacing w:line="276" w:lineRule="auto"/>
              <w:jc w:val="center"/>
              <w:rPr>
                <w:rFonts w:hint="eastAsia" w:ascii="宋体" w:hAnsi="宋体" w:eastAsia="宋体" w:cs="Times New Roman"/>
                <w:szCs w:val="21"/>
              </w:rPr>
            </w:pPr>
          </w:p>
        </w:tc>
        <w:tc>
          <w:tcPr>
            <w:tcW w:w="8093" w:type="dxa"/>
            <w:gridSpan w:val="5"/>
            <w:vAlign w:val="center"/>
          </w:tcPr>
          <w:p w14:paraId="2BEC0FD6">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旨在使学生深入理解优美、崇高、悲剧、喜剧、丑和意境等不同审美范畴的本质及特征。通过比较中西方侧重审美范畴的差异，培养学生的跨文化交流能力和批判性思维。重点难点在于引导学生理解中西方对悲剧理解的异同，以及如何以丑为美，树立正确的审美价值观。</w:t>
            </w:r>
          </w:p>
        </w:tc>
      </w:tr>
      <w:tr w14:paraId="204B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7D0022D">
            <w:pPr>
              <w:spacing w:line="276" w:lineRule="auto"/>
              <w:jc w:val="center"/>
              <w:rPr>
                <w:rFonts w:hint="eastAsia" w:ascii="宋体" w:hAnsi="宋体" w:eastAsia="宋体" w:cs="Times New Roman"/>
                <w:szCs w:val="21"/>
              </w:rPr>
            </w:pPr>
            <w:r>
              <w:rPr>
                <w:rFonts w:hint="eastAsia" w:ascii="宋体" w:hAnsi="宋体" w:eastAsia="宋体" w:cs="Times New Roman"/>
                <w:szCs w:val="21"/>
              </w:rPr>
              <w:t>6.审美教育</w:t>
            </w:r>
          </w:p>
        </w:tc>
        <w:tc>
          <w:tcPr>
            <w:tcW w:w="2267" w:type="dxa"/>
            <w:vAlign w:val="center"/>
          </w:tcPr>
          <w:p w14:paraId="21F041C8">
            <w:pPr>
              <w:spacing w:line="276" w:lineRule="auto"/>
              <w:jc w:val="left"/>
              <w:rPr>
                <w:rFonts w:hint="eastAsia" w:ascii="宋体" w:hAnsi="宋体" w:eastAsia="宋体" w:cs="Times New Roman"/>
                <w:szCs w:val="21"/>
              </w:rPr>
            </w:pPr>
            <w:r>
              <w:rPr>
                <w:rFonts w:hint="eastAsia" w:ascii="宋体" w:hAnsi="宋体" w:eastAsia="宋体" w:cs="Times New Roman"/>
                <w:szCs w:val="21"/>
              </w:rPr>
              <w:t>（1）美育的内涵和功能</w:t>
            </w:r>
          </w:p>
          <w:p w14:paraId="1918496F">
            <w:pPr>
              <w:spacing w:line="276" w:lineRule="auto"/>
              <w:jc w:val="left"/>
              <w:rPr>
                <w:rFonts w:hint="eastAsia" w:ascii="宋体" w:hAnsi="宋体" w:eastAsia="宋体" w:cs="Times New Roman"/>
                <w:szCs w:val="21"/>
              </w:rPr>
            </w:pPr>
            <w:r>
              <w:rPr>
                <w:rFonts w:hint="eastAsia" w:ascii="宋体" w:hAnsi="宋体" w:eastAsia="宋体" w:cs="Times New Roman"/>
                <w:szCs w:val="21"/>
              </w:rPr>
              <w:t>（2）美育的实施途径</w:t>
            </w:r>
          </w:p>
        </w:tc>
        <w:tc>
          <w:tcPr>
            <w:tcW w:w="1142" w:type="dxa"/>
            <w:vAlign w:val="center"/>
          </w:tcPr>
          <w:p w14:paraId="53C5EE81">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课程目标3、5</w:t>
            </w:r>
          </w:p>
        </w:tc>
        <w:tc>
          <w:tcPr>
            <w:tcW w:w="2686" w:type="dxa"/>
            <w:vAlign w:val="center"/>
          </w:tcPr>
          <w:p w14:paraId="6B5BBA21">
            <w:pPr>
              <w:spacing w:line="276" w:lineRule="auto"/>
              <w:jc w:val="left"/>
              <w:rPr>
                <w:rFonts w:hint="eastAsia" w:ascii="宋体" w:hAnsi="宋体" w:eastAsia="宋体" w:cs="Times New Roman"/>
                <w:szCs w:val="21"/>
              </w:rPr>
            </w:pPr>
            <w:r>
              <w:rPr>
                <w:rFonts w:hint="eastAsia" w:ascii="宋体" w:hAnsi="宋体" w:eastAsia="宋体" w:cs="Times New Roman"/>
                <w:szCs w:val="21"/>
              </w:rPr>
              <w:t>1.使学生了解美育的内涵和功能。</w:t>
            </w:r>
          </w:p>
          <w:p w14:paraId="39007A13">
            <w:pPr>
              <w:spacing w:line="276" w:lineRule="auto"/>
              <w:jc w:val="left"/>
              <w:rPr>
                <w:rFonts w:hint="eastAsia" w:ascii="宋体" w:hAnsi="宋体" w:eastAsia="宋体" w:cs="Times New Roman"/>
                <w:szCs w:val="21"/>
              </w:rPr>
            </w:pPr>
            <w:r>
              <w:rPr>
                <w:rFonts w:hint="eastAsia" w:ascii="宋体" w:hAnsi="宋体" w:eastAsia="宋体" w:cs="Times New Roman"/>
                <w:szCs w:val="21"/>
              </w:rPr>
              <w:t>2.掌握美育的实施途径。</w:t>
            </w:r>
          </w:p>
        </w:tc>
        <w:tc>
          <w:tcPr>
            <w:tcW w:w="1560" w:type="dxa"/>
            <w:vAlign w:val="center"/>
          </w:tcPr>
          <w:p w14:paraId="62580EEE">
            <w:pPr>
              <w:spacing w:line="276" w:lineRule="auto"/>
              <w:jc w:val="left"/>
              <w:rPr>
                <w:rFonts w:hint="eastAsia" w:ascii="宋体" w:hAnsi="宋体" w:eastAsia="宋体" w:cs="Times New Roman"/>
                <w:szCs w:val="21"/>
              </w:rPr>
            </w:pPr>
            <w:r>
              <w:rPr>
                <w:rFonts w:ascii="宋体" w:hAnsi="宋体" w:eastAsia="宋体" w:cs="Times New Roman"/>
                <w:szCs w:val="21"/>
              </w:rPr>
              <w:t>1.线上学习</w:t>
            </w:r>
          </w:p>
          <w:p w14:paraId="6741AD1B">
            <w:pPr>
              <w:spacing w:line="276" w:lineRule="auto"/>
              <w:jc w:val="left"/>
              <w:rPr>
                <w:rFonts w:hint="eastAsia" w:ascii="宋体" w:hAnsi="宋体" w:eastAsia="宋体" w:cs="Times New Roman"/>
                <w:szCs w:val="21"/>
              </w:rPr>
            </w:pPr>
            <w:r>
              <w:rPr>
                <w:rFonts w:ascii="宋体" w:hAnsi="宋体" w:eastAsia="宋体" w:cs="Times New Roman"/>
                <w:szCs w:val="21"/>
              </w:rPr>
              <w:t>2.多媒体教学3.课堂讨论</w:t>
            </w:r>
          </w:p>
          <w:p w14:paraId="5D9ACD2F">
            <w:pPr>
              <w:spacing w:line="276" w:lineRule="auto"/>
              <w:jc w:val="left"/>
              <w:rPr>
                <w:rFonts w:hint="eastAsia" w:ascii="宋体" w:hAnsi="宋体" w:eastAsia="宋体" w:cs="Times New Roman"/>
                <w:szCs w:val="21"/>
              </w:rPr>
            </w:pPr>
            <w:r>
              <w:rPr>
                <w:rFonts w:ascii="宋体" w:hAnsi="宋体" w:eastAsia="宋体" w:cs="Times New Roman"/>
                <w:szCs w:val="21"/>
              </w:rPr>
              <w:t>4.单元测验</w:t>
            </w:r>
          </w:p>
        </w:tc>
        <w:tc>
          <w:tcPr>
            <w:tcW w:w="438" w:type="dxa"/>
            <w:vAlign w:val="center"/>
          </w:tcPr>
          <w:p w14:paraId="16BE5EE4">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41F3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9CB6C2D">
            <w:pPr>
              <w:spacing w:line="276" w:lineRule="auto"/>
              <w:jc w:val="center"/>
              <w:rPr>
                <w:rFonts w:hint="eastAsia" w:ascii="宋体" w:hAnsi="宋体" w:eastAsia="宋体" w:cs="Times New Roman"/>
                <w:szCs w:val="21"/>
              </w:rPr>
            </w:pPr>
          </w:p>
        </w:tc>
        <w:tc>
          <w:tcPr>
            <w:tcW w:w="8093" w:type="dxa"/>
            <w:gridSpan w:val="5"/>
            <w:vAlign w:val="center"/>
          </w:tcPr>
          <w:p w14:paraId="0C01F3CF">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旨在使学生了解美育的内涵和功能，掌握美育的实施途径。通过深入学习“以美育代宗教”的理念，培养学生的美学修养和人文精神。重点难点在于引导学生通过多种途径提升自我美学修养，将美育融入日常生活，成为具有高尚品德和审美情趣的社会主义建设者和接班人。</w:t>
            </w:r>
          </w:p>
        </w:tc>
      </w:tr>
    </w:tbl>
    <w:p w14:paraId="24D1044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019E8000">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8A12FC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1989"/>
        <w:gridCol w:w="1803"/>
        <w:gridCol w:w="2197"/>
      </w:tblGrid>
      <w:tr w14:paraId="7731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Merge w:val="restart"/>
            <w:vAlign w:val="center"/>
          </w:tcPr>
          <w:p w14:paraId="1AB3C75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792" w:type="dxa"/>
            <w:gridSpan w:val="2"/>
            <w:vAlign w:val="center"/>
          </w:tcPr>
          <w:p w14:paraId="7DF2D07B">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2197" w:type="dxa"/>
            <w:vMerge w:val="restart"/>
            <w:vAlign w:val="center"/>
          </w:tcPr>
          <w:p w14:paraId="6734FF42">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0D07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Merge w:val="continue"/>
            <w:vAlign w:val="center"/>
          </w:tcPr>
          <w:p w14:paraId="405B558F">
            <w:pPr>
              <w:spacing w:line="360" w:lineRule="auto"/>
              <w:jc w:val="center"/>
              <w:rPr>
                <w:rFonts w:hint="eastAsia" w:ascii="宋体" w:hAnsi="宋体" w:eastAsia="宋体" w:cs="Times New Roman"/>
                <w:szCs w:val="21"/>
              </w:rPr>
            </w:pPr>
          </w:p>
        </w:tc>
        <w:tc>
          <w:tcPr>
            <w:tcW w:w="1989" w:type="dxa"/>
            <w:vAlign w:val="center"/>
          </w:tcPr>
          <w:p w14:paraId="0AEE1F33">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803" w:type="dxa"/>
          </w:tcPr>
          <w:p w14:paraId="6C2FAF9B">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2197" w:type="dxa"/>
            <w:vMerge w:val="continue"/>
            <w:vAlign w:val="center"/>
          </w:tcPr>
          <w:p w14:paraId="7C70C378">
            <w:pPr>
              <w:spacing w:line="360" w:lineRule="auto"/>
              <w:jc w:val="center"/>
              <w:rPr>
                <w:rFonts w:hint="eastAsia" w:ascii="宋体" w:hAnsi="宋体" w:eastAsia="宋体" w:cs="Times New Roman"/>
                <w:szCs w:val="21"/>
              </w:rPr>
            </w:pPr>
          </w:p>
        </w:tc>
      </w:tr>
      <w:tr w14:paraId="050B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7D04125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989" w:type="dxa"/>
            <w:vAlign w:val="center"/>
          </w:tcPr>
          <w:p w14:paraId="203FE5C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03" w:type="dxa"/>
          </w:tcPr>
          <w:p w14:paraId="4E5DCA4B">
            <w:pPr>
              <w:spacing w:line="360" w:lineRule="auto"/>
              <w:rPr>
                <w:rFonts w:hint="eastAsia" w:ascii="宋体" w:hAnsi="宋体" w:eastAsia="宋体" w:cs="Times New Roman"/>
                <w:szCs w:val="21"/>
              </w:rPr>
            </w:pPr>
          </w:p>
        </w:tc>
        <w:tc>
          <w:tcPr>
            <w:tcW w:w="2197" w:type="dxa"/>
            <w:vAlign w:val="center"/>
          </w:tcPr>
          <w:p w14:paraId="7F268D63">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AFC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1462F59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989" w:type="dxa"/>
            <w:vAlign w:val="center"/>
          </w:tcPr>
          <w:p w14:paraId="33748FDA">
            <w:pPr>
              <w:spacing w:line="360" w:lineRule="auto"/>
              <w:jc w:val="center"/>
            </w:pPr>
            <w:r>
              <w:rPr>
                <w:rFonts w:ascii="宋体" w:hAnsi="宋体" w:eastAsia="宋体" w:cs="Times New Roman"/>
                <w:szCs w:val="21"/>
              </w:rPr>
              <w:sym w:font="Wingdings 2" w:char="F050"/>
            </w:r>
          </w:p>
        </w:tc>
        <w:tc>
          <w:tcPr>
            <w:tcW w:w="1803" w:type="dxa"/>
          </w:tcPr>
          <w:p w14:paraId="19BF6A8D">
            <w:pPr>
              <w:jc w:val="left"/>
              <w:rPr>
                <w:szCs w:val="22"/>
              </w:rPr>
            </w:pPr>
          </w:p>
        </w:tc>
        <w:tc>
          <w:tcPr>
            <w:tcW w:w="2197" w:type="dxa"/>
            <w:vAlign w:val="center"/>
          </w:tcPr>
          <w:p w14:paraId="5F675A38">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2970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724" w:type="dxa"/>
            <w:vAlign w:val="center"/>
          </w:tcPr>
          <w:p w14:paraId="7674374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989" w:type="dxa"/>
            <w:vAlign w:val="center"/>
          </w:tcPr>
          <w:p w14:paraId="63797EA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03" w:type="dxa"/>
          </w:tcPr>
          <w:p w14:paraId="46FBA64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7" w:type="dxa"/>
            <w:vAlign w:val="center"/>
          </w:tcPr>
          <w:p w14:paraId="3F25D531">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71A7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60D896AD">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989" w:type="dxa"/>
            <w:vAlign w:val="center"/>
          </w:tcPr>
          <w:p w14:paraId="70195ADD">
            <w:pPr>
              <w:spacing w:line="360" w:lineRule="auto"/>
              <w:jc w:val="center"/>
              <w:rPr>
                <w:rFonts w:hint="eastAsia" w:ascii="宋体" w:hAnsi="宋体" w:eastAsia="宋体" w:cs="Times New Roman"/>
                <w:szCs w:val="21"/>
              </w:rPr>
            </w:pPr>
          </w:p>
        </w:tc>
        <w:tc>
          <w:tcPr>
            <w:tcW w:w="1803" w:type="dxa"/>
          </w:tcPr>
          <w:p w14:paraId="17BFBF55">
            <w:pPr>
              <w:spacing w:line="360" w:lineRule="auto"/>
              <w:jc w:val="center"/>
              <w:rPr>
                <w:rFonts w:hint="eastAsia" w:ascii="宋体" w:hAnsi="宋体" w:eastAsia="宋体" w:cs="Times New Roman"/>
                <w:szCs w:val="21"/>
              </w:rPr>
            </w:pPr>
          </w:p>
        </w:tc>
        <w:tc>
          <w:tcPr>
            <w:tcW w:w="2197" w:type="dxa"/>
            <w:vAlign w:val="center"/>
          </w:tcPr>
          <w:p w14:paraId="321BDAD9">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15F2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441E0B6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课程目标5</w:t>
            </w:r>
          </w:p>
        </w:tc>
        <w:tc>
          <w:tcPr>
            <w:tcW w:w="1989" w:type="dxa"/>
            <w:vAlign w:val="center"/>
          </w:tcPr>
          <w:p w14:paraId="4FA7C8BA">
            <w:pPr>
              <w:spacing w:line="360" w:lineRule="auto"/>
              <w:jc w:val="center"/>
              <w:rPr>
                <w:rFonts w:hint="eastAsia" w:ascii="宋体" w:hAnsi="宋体" w:eastAsia="宋体" w:cs="Times New Roman"/>
                <w:szCs w:val="21"/>
              </w:rPr>
            </w:pPr>
          </w:p>
        </w:tc>
        <w:tc>
          <w:tcPr>
            <w:tcW w:w="1803" w:type="dxa"/>
          </w:tcPr>
          <w:p w14:paraId="72CC79C2">
            <w:pPr>
              <w:spacing w:line="360" w:lineRule="auto"/>
              <w:jc w:val="center"/>
              <w:rPr>
                <w:rFonts w:hint="eastAsia" w:ascii="宋体" w:hAnsi="宋体" w:eastAsia="宋体" w:cs="Times New Roman"/>
                <w:szCs w:val="21"/>
              </w:rPr>
            </w:pPr>
          </w:p>
        </w:tc>
        <w:tc>
          <w:tcPr>
            <w:tcW w:w="2197" w:type="dxa"/>
            <w:vAlign w:val="center"/>
          </w:tcPr>
          <w:p w14:paraId="296800CA">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6F90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25B4DC6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课程目标6</w:t>
            </w:r>
          </w:p>
        </w:tc>
        <w:tc>
          <w:tcPr>
            <w:tcW w:w="1989" w:type="dxa"/>
            <w:vAlign w:val="center"/>
          </w:tcPr>
          <w:p w14:paraId="2678E93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03" w:type="dxa"/>
          </w:tcPr>
          <w:p w14:paraId="0798800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197" w:type="dxa"/>
            <w:vAlign w:val="center"/>
          </w:tcPr>
          <w:p w14:paraId="0073A512">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255EA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4" w:type="dxa"/>
            <w:vAlign w:val="center"/>
          </w:tcPr>
          <w:p w14:paraId="104A1BEA">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989" w:type="dxa"/>
            <w:vAlign w:val="center"/>
          </w:tcPr>
          <w:p w14:paraId="061D8BFF">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c>
          <w:tcPr>
            <w:tcW w:w="1803" w:type="dxa"/>
          </w:tcPr>
          <w:p w14:paraId="36905AA7">
            <w:pPr>
              <w:spacing w:line="360" w:lineRule="auto"/>
              <w:jc w:val="center"/>
              <w:rPr>
                <w:rFonts w:hint="eastAsia" w:ascii="宋体" w:hAnsi="宋体" w:eastAsia="宋体" w:cs="Times New Roman"/>
                <w:szCs w:val="21"/>
              </w:rPr>
            </w:pPr>
            <w:r>
              <w:rPr>
                <w:rFonts w:hint="eastAsia" w:ascii="宋体" w:hAnsi="宋体" w:eastAsia="宋体" w:cs="Times New Roman"/>
                <w:szCs w:val="21"/>
              </w:rPr>
              <w:t>60</w:t>
            </w:r>
          </w:p>
        </w:tc>
        <w:tc>
          <w:tcPr>
            <w:tcW w:w="2197" w:type="dxa"/>
            <w:vAlign w:val="center"/>
          </w:tcPr>
          <w:p w14:paraId="5AF2882A">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B7C7A09">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31626C2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4799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DC1FE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2C0FE4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0E761A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728E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754B815">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826E00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后完成3次作业，主要考核学生对重要知识点的理解和掌握程度，计算全部以分组形式，在部分章节内容中进行课堂讨论，主要考核学生课堂的听课效果和课后及时复习消化本章知识的能力，结合平时考勤，最后按20%计入课程总成绩。</w:t>
            </w:r>
          </w:p>
          <w:p w14:paraId="366C9986">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作业的平均成绩再按20%计入总成绩。</w:t>
            </w:r>
          </w:p>
        </w:tc>
        <w:tc>
          <w:tcPr>
            <w:tcW w:w="0" w:type="auto"/>
            <w:vAlign w:val="center"/>
          </w:tcPr>
          <w:p w14:paraId="7F4A79A0">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49318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5B67E2">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78AD1A2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以命题论文的形式进行，综合考核学生对于基本理论的理解和掌握、运用程度。</w:t>
            </w:r>
          </w:p>
        </w:tc>
        <w:tc>
          <w:tcPr>
            <w:tcW w:w="0" w:type="auto"/>
            <w:vAlign w:val="center"/>
          </w:tcPr>
          <w:p w14:paraId="23D1F85B">
            <w:pPr>
              <w:jc w:val="center"/>
              <w:rPr>
                <w:rFonts w:ascii="Times New Roman" w:hAnsi="Times New Roman" w:eastAsia="宋体" w:cs="Times New Roman"/>
                <w:szCs w:val="21"/>
              </w:rPr>
            </w:pPr>
            <w:r>
              <w:rPr>
                <w:rFonts w:hint="eastAsia" w:ascii="Times New Roman" w:hAnsi="Times New Roman" w:eastAsia="宋体" w:cs="Times New Roman"/>
                <w:szCs w:val="21"/>
              </w:rPr>
              <w:t>60%</w:t>
            </w:r>
          </w:p>
        </w:tc>
      </w:tr>
      <w:tr w14:paraId="1A79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0BA06A7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2420C82C">
            <w:pPr>
              <w:jc w:val="left"/>
              <w:rPr>
                <w:rFonts w:ascii="Times New Roman" w:hAnsi="Times New Roman" w:eastAsia="宋体" w:cs="Times New Roman"/>
                <w:szCs w:val="21"/>
              </w:rPr>
            </w:pPr>
          </w:p>
        </w:tc>
        <w:tc>
          <w:tcPr>
            <w:tcW w:w="0" w:type="auto"/>
            <w:vAlign w:val="center"/>
          </w:tcPr>
          <w:p w14:paraId="18AC0645">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39A8A514">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15D1CFCD">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2D1DB5A7">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77"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77" DrawAspect="Content" ObjectID="_1468075777" r:id="rId65">
            <o:LockedField>false</o:LockedField>
          </o:OLEObject>
        </w:object>
      </w:r>
      <w:r>
        <w:rPr>
          <w:rFonts w:hint="eastAsia" w:ascii="Times New Roman" w:hAnsi="Times New Roman" w:eastAsia="宋体" w:cs="Times New Roman"/>
          <w:b/>
          <w:sz w:val="24"/>
        </w:rPr>
        <w:t>五、课程实践</w:t>
      </w:r>
      <w:r>
        <w:rPr>
          <w:rFonts w:hint="eastAsia" w:ascii="Times New Roman" w:hAnsi="Times New Roman" w:eastAsia="宋体" w:cs="Times New Roman"/>
          <w:bCs/>
          <w:sz w:val="24"/>
        </w:rPr>
        <w:t>（利用第二课堂，不占总学时）</w:t>
      </w:r>
    </w:p>
    <w:p w14:paraId="67CE9AC3">
      <w:pPr>
        <w:spacing w:after="156" w:afterLines="50" w:line="360" w:lineRule="auto"/>
        <w:ind w:firstLine="420" w:firstLineChars="200"/>
        <w:rPr>
          <w:rFonts w:hint="eastAsia" w:ascii="宋体" w:hAnsi="宋体" w:eastAsia="宋体"/>
          <w:szCs w:val="21"/>
        </w:rPr>
      </w:pPr>
      <w:r>
        <w:rPr>
          <w:rFonts w:hint="eastAsia" w:ascii="宋体" w:hAnsi="宋体" w:eastAsia="宋体"/>
          <w:szCs w:val="21"/>
        </w:rPr>
        <w:t>本课程在系统教学的基础上，以学生为主题，整合各类教育资源，科学设计实践活动，丰富教育教学形式，提升教育教学效果，从而实现思政育人。</w:t>
      </w:r>
    </w:p>
    <w:p w14:paraId="7C141589">
      <w:pPr>
        <w:spacing w:line="276" w:lineRule="auto"/>
        <w:ind w:firstLine="422" w:firstLineChars="200"/>
        <w:jc w:val="center"/>
        <w:rPr>
          <w:rFonts w:hint="eastAsia" w:ascii="宋体" w:hAnsi="宋体" w:eastAsia="宋体" w:cs="宋体"/>
          <w:b/>
          <w:bCs/>
          <w:szCs w:val="21"/>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407"/>
        <w:gridCol w:w="740"/>
        <w:gridCol w:w="3160"/>
      </w:tblGrid>
      <w:tr w14:paraId="70C5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298B1BC9">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407" w:type="dxa"/>
            <w:vAlign w:val="center"/>
          </w:tcPr>
          <w:p w14:paraId="58B5C0F7">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740" w:type="dxa"/>
            <w:vAlign w:val="center"/>
          </w:tcPr>
          <w:p w14:paraId="4FB8A07E">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3160" w:type="dxa"/>
            <w:vAlign w:val="center"/>
          </w:tcPr>
          <w:p w14:paraId="78F1D6AA">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08A5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57D8975C">
            <w:pPr>
              <w:spacing w:line="276" w:lineRule="auto"/>
              <w:jc w:val="left"/>
              <w:rPr>
                <w:rFonts w:hint="eastAsia" w:ascii="宋体" w:hAnsi="宋体" w:eastAsia="宋体" w:cs="宋体"/>
                <w:szCs w:val="21"/>
              </w:rPr>
            </w:pPr>
            <w:r>
              <w:rPr>
                <w:rFonts w:hint="eastAsia" w:ascii="宋体" w:hAnsi="宋体" w:eastAsia="宋体" w:cs="宋体"/>
                <w:szCs w:val="21"/>
              </w:rPr>
              <w:t>教育家精神与传统纹样艺术创作</w:t>
            </w:r>
          </w:p>
        </w:tc>
        <w:tc>
          <w:tcPr>
            <w:tcW w:w="3407" w:type="dxa"/>
            <w:vAlign w:val="center"/>
          </w:tcPr>
          <w:p w14:paraId="2B33805C">
            <w:pPr>
              <w:spacing w:line="276" w:lineRule="auto"/>
              <w:jc w:val="left"/>
              <w:rPr>
                <w:rFonts w:hint="eastAsia" w:ascii="宋体" w:hAnsi="宋体" w:eastAsia="宋体" w:cs="宋体"/>
                <w:szCs w:val="21"/>
              </w:rPr>
            </w:pPr>
            <w:r>
              <w:rPr>
                <w:rFonts w:hint="eastAsia" w:ascii="宋体" w:hAnsi="宋体" w:eastAsia="宋体" w:cs="宋体"/>
                <w:szCs w:val="21"/>
              </w:rPr>
              <w:t xml:space="preserve">阅读陶行知、叶圣陶等教育家的经典著作，结合传统纹样（如剪纸、青花瓷纹饰）设计“教育家精神”主题文创作品。  </w:t>
            </w:r>
          </w:p>
        </w:tc>
        <w:tc>
          <w:tcPr>
            <w:tcW w:w="740" w:type="dxa"/>
            <w:vAlign w:val="center"/>
          </w:tcPr>
          <w:p w14:paraId="71D01E63">
            <w:pPr>
              <w:spacing w:line="276" w:lineRule="auto"/>
              <w:jc w:val="center"/>
              <w:rPr>
                <w:rFonts w:hint="eastAsia" w:ascii="宋体" w:hAnsi="宋体" w:eastAsia="宋体" w:cs="宋体"/>
                <w:szCs w:val="21"/>
              </w:rPr>
            </w:pPr>
            <w:r>
              <w:rPr>
                <w:rFonts w:hint="eastAsia" w:ascii="宋体" w:hAnsi="宋体" w:eastAsia="宋体" w:cs="宋体"/>
                <w:szCs w:val="21"/>
              </w:rPr>
              <w:t>文创作品</w:t>
            </w:r>
          </w:p>
        </w:tc>
        <w:tc>
          <w:tcPr>
            <w:tcW w:w="3160" w:type="dxa"/>
            <w:vAlign w:val="center"/>
          </w:tcPr>
          <w:p w14:paraId="582ABB6B">
            <w:pPr>
              <w:spacing w:line="276" w:lineRule="auto"/>
              <w:jc w:val="left"/>
              <w:rPr>
                <w:rFonts w:hint="eastAsia" w:ascii="宋体" w:hAnsi="宋体" w:eastAsia="宋体" w:cs="宋体"/>
                <w:szCs w:val="21"/>
              </w:rPr>
            </w:pPr>
            <w:r>
              <w:rPr>
                <w:rFonts w:hint="eastAsia" w:ascii="宋体" w:hAnsi="宋体" w:eastAsia="宋体" w:cs="宋体"/>
                <w:szCs w:val="21"/>
              </w:rPr>
              <w:t xml:space="preserve">感悟教育家“以美育人”的初心，培养“四有”好教师的理想信念  </w:t>
            </w:r>
          </w:p>
          <w:p w14:paraId="7A64D0A8">
            <w:pPr>
              <w:spacing w:line="276" w:lineRule="auto"/>
              <w:jc w:val="left"/>
              <w:rPr>
                <w:rFonts w:hint="eastAsia" w:ascii="宋体" w:hAnsi="宋体" w:eastAsia="宋体" w:cs="宋体"/>
                <w:szCs w:val="21"/>
              </w:rPr>
            </w:pPr>
            <w:r>
              <w:rPr>
                <w:rFonts w:hint="eastAsia" w:ascii="宋体" w:hAnsi="宋体" w:eastAsia="宋体" w:cs="宋体"/>
                <w:szCs w:val="21"/>
              </w:rPr>
              <w:t xml:space="preserve">，通过艺术实践强化对师德内涵的具象化理解  </w:t>
            </w:r>
          </w:p>
        </w:tc>
      </w:tr>
      <w:tr w14:paraId="6711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5AC0C84D">
            <w:pPr>
              <w:spacing w:line="276" w:lineRule="auto"/>
              <w:jc w:val="left"/>
              <w:rPr>
                <w:rFonts w:hint="eastAsia" w:ascii="宋体" w:hAnsi="宋体" w:eastAsia="宋体" w:cs="宋体"/>
                <w:szCs w:val="21"/>
              </w:rPr>
            </w:pPr>
            <w:r>
              <w:rPr>
                <w:rFonts w:hint="eastAsia" w:ascii="宋体" w:hAnsi="宋体" w:eastAsia="宋体" w:cs="宋体"/>
                <w:szCs w:val="21"/>
              </w:rPr>
              <w:t>最美教师故事绘本创作</w:t>
            </w:r>
          </w:p>
        </w:tc>
        <w:tc>
          <w:tcPr>
            <w:tcW w:w="3407" w:type="dxa"/>
            <w:vAlign w:val="center"/>
          </w:tcPr>
          <w:p w14:paraId="30D12151">
            <w:pPr>
              <w:spacing w:line="276" w:lineRule="auto"/>
              <w:jc w:val="left"/>
              <w:rPr>
                <w:rFonts w:hint="eastAsia" w:ascii="宋体" w:hAnsi="宋体" w:eastAsia="宋体" w:cs="宋体"/>
                <w:szCs w:val="21"/>
              </w:rPr>
            </w:pPr>
            <w:r>
              <w:rPr>
                <w:rFonts w:hint="eastAsia" w:ascii="宋体" w:hAnsi="宋体" w:eastAsia="宋体" w:cs="宋体"/>
                <w:szCs w:val="21"/>
              </w:rPr>
              <w:t xml:space="preserve">访谈基础教育一线优秀教师，将其教育故事改编为儿童绘本，融入地方非遗艺术元素（如年画、泥塑）。  </w:t>
            </w:r>
          </w:p>
        </w:tc>
        <w:tc>
          <w:tcPr>
            <w:tcW w:w="740" w:type="dxa"/>
            <w:vAlign w:val="center"/>
          </w:tcPr>
          <w:p w14:paraId="61F7F71E">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00D019D0">
            <w:pPr>
              <w:spacing w:line="276" w:lineRule="auto"/>
              <w:jc w:val="left"/>
              <w:rPr>
                <w:rFonts w:hint="eastAsia" w:ascii="宋体" w:hAnsi="宋体" w:eastAsia="宋体" w:cs="宋体"/>
                <w:szCs w:val="21"/>
              </w:rPr>
            </w:pPr>
            <w:r>
              <w:rPr>
                <w:rFonts w:hint="eastAsia" w:ascii="宋体" w:hAnsi="宋体" w:eastAsia="宋体" w:cs="宋体"/>
                <w:szCs w:val="21"/>
              </w:rPr>
              <w:t xml:space="preserve">通过真实事迹增强职业认同感，树立“扎根基层”的教育志向  </w:t>
            </w:r>
          </w:p>
          <w:p w14:paraId="4A7AE0DB">
            <w:pPr>
              <w:spacing w:line="276" w:lineRule="auto"/>
              <w:jc w:val="left"/>
              <w:rPr>
                <w:rFonts w:hint="eastAsia" w:ascii="宋体" w:hAnsi="宋体" w:eastAsia="宋体" w:cs="宋体"/>
                <w:szCs w:val="21"/>
              </w:rPr>
            </w:pPr>
            <w:r>
              <w:rPr>
                <w:rFonts w:hint="eastAsia" w:ascii="宋体" w:hAnsi="宋体" w:eastAsia="宋体" w:cs="宋体"/>
                <w:szCs w:val="21"/>
              </w:rPr>
              <w:t xml:space="preserve">，在艺术转化中体会“仁爱之心”的美学表达方式  </w:t>
            </w:r>
          </w:p>
        </w:tc>
      </w:tr>
      <w:tr w14:paraId="7AAF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1595B22F">
            <w:pPr>
              <w:spacing w:line="276" w:lineRule="auto"/>
              <w:jc w:val="left"/>
              <w:rPr>
                <w:rFonts w:hint="eastAsia" w:ascii="宋体" w:hAnsi="宋体" w:eastAsia="宋体" w:cs="宋体"/>
                <w:szCs w:val="21"/>
              </w:rPr>
            </w:pPr>
            <w:r>
              <w:rPr>
                <w:rFonts w:hint="eastAsia" w:ascii="宋体" w:hAnsi="宋体" w:eastAsia="宋体" w:cs="宋体"/>
                <w:szCs w:val="21"/>
              </w:rPr>
              <w:t>师范生教育誓言艺术墙设计</w:t>
            </w:r>
          </w:p>
        </w:tc>
        <w:tc>
          <w:tcPr>
            <w:tcW w:w="3407" w:type="dxa"/>
            <w:vAlign w:val="center"/>
          </w:tcPr>
          <w:p w14:paraId="2AE1681A">
            <w:pPr>
              <w:spacing w:line="276" w:lineRule="auto"/>
              <w:jc w:val="left"/>
              <w:rPr>
                <w:rFonts w:hint="eastAsia" w:ascii="宋体" w:hAnsi="宋体" w:eastAsia="宋体" w:cs="宋体"/>
                <w:szCs w:val="21"/>
              </w:rPr>
            </w:pPr>
            <w:r>
              <w:rPr>
                <w:rFonts w:hint="eastAsia" w:ascii="宋体" w:hAnsi="宋体" w:eastAsia="宋体" w:cs="宋体"/>
                <w:szCs w:val="21"/>
              </w:rPr>
              <w:t xml:space="preserve">以班级为单位，共同设计校园文化墙，用书法、篆刻、壁画等形式呈现教师誓词与中华美育经典语句。  </w:t>
            </w:r>
          </w:p>
        </w:tc>
        <w:tc>
          <w:tcPr>
            <w:tcW w:w="740" w:type="dxa"/>
            <w:vAlign w:val="center"/>
          </w:tcPr>
          <w:p w14:paraId="24637BAC">
            <w:pPr>
              <w:spacing w:line="276" w:lineRule="auto"/>
              <w:jc w:val="center"/>
              <w:rPr>
                <w:rFonts w:hint="eastAsia" w:ascii="宋体" w:hAnsi="宋体" w:eastAsia="宋体" w:cs="宋体"/>
                <w:szCs w:val="21"/>
              </w:rPr>
            </w:pPr>
            <w:r>
              <w:rPr>
                <w:rFonts w:hint="eastAsia" w:ascii="宋体" w:hAnsi="宋体" w:eastAsia="宋体" w:cs="宋体"/>
                <w:szCs w:val="21"/>
              </w:rPr>
              <w:t>课程实践作业</w:t>
            </w:r>
          </w:p>
        </w:tc>
        <w:tc>
          <w:tcPr>
            <w:tcW w:w="3160" w:type="dxa"/>
            <w:vAlign w:val="center"/>
          </w:tcPr>
          <w:p w14:paraId="178C413D">
            <w:pPr>
              <w:spacing w:line="276" w:lineRule="auto"/>
              <w:jc w:val="left"/>
              <w:rPr>
                <w:rFonts w:hint="eastAsia" w:ascii="宋体" w:hAnsi="宋体" w:eastAsia="宋体" w:cs="宋体"/>
                <w:szCs w:val="21"/>
              </w:rPr>
            </w:pPr>
            <w:r>
              <w:rPr>
                <w:rFonts w:hint="eastAsia" w:ascii="宋体" w:hAnsi="宋体" w:eastAsia="宋体" w:cs="宋体"/>
                <w:szCs w:val="21"/>
              </w:rPr>
              <w:t xml:space="preserve">通过艺术仪式强化职业神圣感与使命感  ，在协作中践行“以文化人、以美铸魂”的教育理念  </w:t>
            </w:r>
          </w:p>
        </w:tc>
      </w:tr>
    </w:tbl>
    <w:p w14:paraId="3BC6589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六、有关说明</w:t>
      </w:r>
    </w:p>
    <w:p w14:paraId="4341BA2D">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4B902CF5">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本课程根据学生作业、课堂讨论、平时考核情况和学生、教学督导等的反馈，及时对教学中的不足之处进行改进，并在下一轮课程教学中整改完善，确保相应毕业要求指标点达成。</w:t>
      </w:r>
    </w:p>
    <w:p w14:paraId="7519A052">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（二）参考书目</w:t>
      </w:r>
    </w:p>
    <w:p w14:paraId="73286A83">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 [美]赫伯特·马尔库塞：《审美之维》，桂林：广西师范大学出版社，2001年10月。</w:t>
      </w:r>
    </w:p>
    <w:p w14:paraId="708B2630">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 王国维：《人间词话》，上海：上海古籍出版社，2009年8月。</w:t>
      </w:r>
    </w:p>
    <w:p w14:paraId="2544F05B">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3. [古希腊]亚里士多德、[古罗马]贺拉斯：《诗学·诗艺》，北京：中国社会科学出版社，2009年12月。</w:t>
      </w:r>
    </w:p>
    <w:p w14:paraId="60C5A2B5">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4. [古希腊]柏拉图：《柏拉图文艺对话集》，北京：商务印书馆，2013年5月。</w:t>
      </w:r>
    </w:p>
    <w:p w14:paraId="18FFD6D1">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5. 李泽厚：《美的历程》，北京：生活·读书·新知三联书店，2014年3月。</w:t>
      </w:r>
    </w:p>
    <w:p w14:paraId="29E0DA55">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6. 朱光潜:《朱光潜全集》，上海：华东师范大学出版社，2016年12月。</w:t>
      </w:r>
    </w:p>
    <w:p w14:paraId="3224B084">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7. [德]康德：《判断力批判》，北京：人民出版社，2017年1月。</w:t>
      </w:r>
    </w:p>
    <w:p w14:paraId="4494964A">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8. 宗白华：《美学散步》，上海：上海人民出版社，2017年3月。</w:t>
      </w:r>
    </w:p>
    <w:p w14:paraId="135662A9">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9. 叶朗：《美学原理》，北京：北京大学出版社，2018年7月。</w:t>
      </w:r>
    </w:p>
    <w:p w14:paraId="7413B5B3">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10. [德国]黑格尔：《美学》，北京：外语教学与研究出版社，2018年11月。</w:t>
      </w:r>
    </w:p>
    <w:p w14:paraId="332E78BB"/>
    <w:p w14:paraId="18DA7C92">
      <w:pPr>
        <w:jc w:val="right"/>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 xml:space="preserve"> 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岳  芬</w:t>
      </w:r>
    </w:p>
    <w:p w14:paraId="10E9B054">
      <w:pPr>
        <w:wordWrap w:val="0"/>
        <w:jc w:val="right"/>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谢燕红</w:t>
      </w:r>
    </w:p>
    <w:p w14:paraId="701E3E56">
      <w:pPr>
        <w:jc w:val="right"/>
        <w:rPr>
          <w:rFonts w:ascii="Times New Roman" w:hAnsi="Times New Roman" w:eastAsia="宋体" w:cs="Times New Roman"/>
          <w:szCs w:val="21"/>
        </w:rPr>
      </w:pPr>
      <w:r>
        <w:rPr>
          <w:rFonts w:hint="eastAsia" w:ascii="Times New Roman" w:hAnsi="Times New Roman" w:eastAsia="宋体" w:cs="Times New Roman"/>
          <w:szCs w:val="21"/>
        </w:rPr>
        <w:t xml:space="preserve">                              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534A4F72">
      <w:pPr>
        <w:jc w:val="right"/>
        <w:rPr>
          <w:rFonts w:eastAsia="宋体"/>
          <w:szCs w:val="21"/>
        </w:rPr>
      </w:pPr>
      <w:r>
        <w:rPr>
          <w:rFonts w:hint="eastAsia" w:ascii="Times New Roman" w:hAnsi="Times New Roman" w:eastAsia="宋体" w:cs="Times New Roman"/>
          <w:szCs w:val="21"/>
        </w:rPr>
        <w:t xml:space="preserve">                             批准时间：2025年7月1日</w:t>
      </w:r>
    </w:p>
    <w:p w14:paraId="64D698F6">
      <w:pPr>
        <w:jc w:val="right"/>
        <w:rPr>
          <w:rFonts w:hint="eastAsia" w:ascii="宋体" w:hAnsi="宋体" w:eastAsia="宋体" w:cs="宋体"/>
          <w:sz w:val="24"/>
        </w:rPr>
      </w:pPr>
    </w:p>
    <w:p w14:paraId="17B6F953">
      <w:pPr>
        <w:widowControl/>
        <w:jc w:val="left"/>
        <w:rPr>
          <w:rFonts w:hint="eastAsia" w:ascii="宋体" w:hAnsi="宋体" w:eastAsia="宋体" w:cs="宋体"/>
          <w:sz w:val="24"/>
          <w:szCs w:val="22"/>
        </w:rPr>
      </w:pPr>
      <w:r>
        <w:rPr>
          <w:rFonts w:ascii="宋体" w:hAnsi="宋体" w:eastAsia="宋体" w:cs="宋体"/>
          <w:sz w:val="24"/>
          <w:szCs w:val="22"/>
        </w:rPr>
        <w:br w:type="page"/>
      </w:r>
    </w:p>
    <w:p w14:paraId="6187A477">
      <w:pPr>
        <w:spacing w:line="360" w:lineRule="auto"/>
        <w:jc w:val="center"/>
        <w:outlineLvl w:val="0"/>
        <w:rPr>
          <w:rFonts w:ascii="Times New Roman" w:hAnsi="Times New Roman" w:eastAsia="宋体" w:cs="Times New Roman"/>
          <w:b/>
          <w:sz w:val="44"/>
          <w:szCs w:val="44"/>
        </w:rPr>
      </w:pPr>
      <w:bookmarkStart w:id="1772" w:name="_Toc86623525"/>
      <w:bookmarkStart w:id="1773" w:name="_Toc15144"/>
      <w:bookmarkStart w:id="1774" w:name="_Toc17308"/>
      <w:bookmarkStart w:id="1775" w:name="_Toc11878"/>
      <w:bookmarkStart w:id="1776" w:name="_Toc27016"/>
      <w:r>
        <w:rPr>
          <w:rFonts w:hint="eastAsia" w:ascii="Times New Roman" w:hAnsi="Times New Roman" w:eastAsia="宋体" w:cs="Times New Roman"/>
          <w:b/>
          <w:sz w:val="44"/>
          <w:szCs w:val="44"/>
        </w:rPr>
        <w:t>《中国古代文学名家选讲》课程教学大纲</w:t>
      </w:r>
      <w:bookmarkEnd w:id="1772"/>
      <w:bookmarkEnd w:id="1773"/>
      <w:bookmarkEnd w:id="1774"/>
      <w:bookmarkEnd w:id="1775"/>
      <w:bookmarkEnd w:id="1776"/>
    </w:p>
    <w:p w14:paraId="2BBD55BA">
      <w:pPr>
        <w:spacing w:line="360" w:lineRule="auto"/>
        <w:jc w:val="center"/>
        <w:rPr>
          <w:rFonts w:ascii="Times New Roman" w:hAnsi="Times New Roman" w:eastAsia="宋体" w:cs="Times New Roman"/>
          <w:b/>
          <w:bCs/>
          <w:sz w:val="28"/>
          <w:szCs w:val="28"/>
        </w:rPr>
      </w:pPr>
      <w:bookmarkStart w:id="1777" w:name="_Toc306852097"/>
      <w:bookmarkStart w:id="1778" w:name="_Toc17317"/>
      <w:bookmarkStart w:id="1779" w:name="_Toc26201"/>
      <w:bookmarkStart w:id="1780" w:name="_Toc27621"/>
      <w:bookmarkStart w:id="1781" w:name="_Toc31525"/>
      <w:bookmarkStart w:id="1782" w:name="_Toc18554"/>
      <w:bookmarkStart w:id="1783" w:name="_Toc7948"/>
      <w:bookmarkStart w:id="1784" w:name="_Toc5539"/>
      <w:r>
        <w:rPr>
          <w:rFonts w:ascii="Times New Roman" w:hAnsi="Times New Roman" w:eastAsia="宋体" w:cs="Times New Roman"/>
          <w:b/>
          <w:bCs/>
          <w:sz w:val="28"/>
          <w:szCs w:val="28"/>
        </w:rPr>
        <w:t>（Selected Studies of Ancient Litterateurs）</w:t>
      </w:r>
      <w:bookmarkEnd w:id="1777"/>
      <w:bookmarkEnd w:id="1778"/>
      <w:bookmarkEnd w:id="1779"/>
      <w:bookmarkEnd w:id="1780"/>
      <w:bookmarkEnd w:id="1781"/>
      <w:bookmarkEnd w:id="1782"/>
      <w:bookmarkEnd w:id="1783"/>
      <w:bookmarkEnd w:id="1784"/>
    </w:p>
    <w:p w14:paraId="198E9B03">
      <w:pPr>
        <w:spacing w:line="276" w:lineRule="auto"/>
        <w:jc w:val="center"/>
        <w:rPr>
          <w:rFonts w:hint="eastAsia" w:ascii="宋体" w:hAnsi="宋体" w:eastAsia="宋体" w:cs="宋体"/>
        </w:rPr>
      </w:pPr>
    </w:p>
    <w:p w14:paraId="0EDD7EC9">
      <w:pPr>
        <w:adjustRightInd w:val="0"/>
        <w:snapToGrid w:val="0"/>
        <w:spacing w:line="360" w:lineRule="auto"/>
        <w:ind w:firstLine="482" w:firstLineChars="200"/>
        <w:rPr>
          <w:rFonts w:hint="eastAsia" w:ascii="宋体" w:hAnsi="宋体" w:eastAsia="宋体" w:cs="宋体"/>
          <w:b/>
          <w:kern w:val="0"/>
          <w:sz w:val="24"/>
          <w:lang w:bidi="ar"/>
        </w:rPr>
      </w:pPr>
      <w:r>
        <w:rPr>
          <w:rFonts w:hint="eastAsia" w:ascii="宋体" w:hAnsi="宋体" w:eastAsia="宋体" w:cs="宋体"/>
          <w:b/>
          <w:kern w:val="0"/>
          <w:sz w:val="24"/>
          <w:lang w:bidi="ar"/>
        </w:rPr>
        <w:t>课程名称：中国古代文学名家选讲</w:t>
      </w:r>
    </w:p>
    <w:p w14:paraId="62559D70">
      <w:pPr>
        <w:adjustRightInd w:val="0"/>
        <w:snapToGrid w:val="0"/>
        <w:spacing w:line="360" w:lineRule="auto"/>
        <w:ind w:firstLine="482" w:firstLineChars="200"/>
        <w:rPr>
          <w:rFonts w:hint="eastAsia" w:ascii="宋体" w:hAnsi="宋体" w:eastAsia="宋体" w:cs="宋体"/>
          <w:b/>
          <w:kern w:val="0"/>
          <w:sz w:val="24"/>
        </w:rPr>
      </w:pPr>
      <w:r>
        <w:rPr>
          <w:rFonts w:hint="eastAsia" w:ascii="宋体" w:hAnsi="宋体" w:eastAsia="宋体" w:cs="宋体"/>
          <w:b/>
          <w:kern w:val="0"/>
          <w:sz w:val="24"/>
          <w:lang w:bidi="ar"/>
        </w:rPr>
        <w:t>课程代码：0705076</w:t>
      </w:r>
    </w:p>
    <w:p w14:paraId="0985C947">
      <w:pPr>
        <w:adjustRightInd w:val="0"/>
        <w:snapToGrid w:val="0"/>
        <w:spacing w:line="360" w:lineRule="auto"/>
        <w:ind w:firstLine="482" w:firstLineChars="200"/>
        <w:rPr>
          <w:rFonts w:hint="eastAsia" w:ascii="宋体" w:hAnsi="宋体" w:eastAsia="宋体" w:cs="宋体"/>
          <w:b/>
          <w:kern w:val="0"/>
          <w:sz w:val="24"/>
        </w:rPr>
      </w:pPr>
      <w:r>
        <w:rPr>
          <w:rFonts w:hint="eastAsia" w:ascii="宋体" w:hAnsi="宋体" w:eastAsia="宋体" w:cs="宋体"/>
          <w:b/>
          <w:kern w:val="0"/>
          <w:sz w:val="24"/>
          <w:lang w:bidi="ar"/>
        </w:rPr>
        <w:t>学　　分：2</w:t>
      </w:r>
    </w:p>
    <w:p w14:paraId="6C87585F">
      <w:pPr>
        <w:adjustRightInd w:val="0"/>
        <w:snapToGrid w:val="0"/>
        <w:spacing w:line="360" w:lineRule="auto"/>
        <w:ind w:firstLine="482" w:firstLineChars="200"/>
        <w:rPr>
          <w:rFonts w:hint="eastAsia" w:ascii="宋体" w:hAnsi="宋体" w:eastAsia="宋体" w:cs="宋体"/>
          <w:b/>
          <w:kern w:val="0"/>
          <w:sz w:val="24"/>
        </w:rPr>
      </w:pPr>
      <w:r>
        <w:rPr>
          <w:rFonts w:hint="eastAsia" w:ascii="宋体" w:hAnsi="宋体" w:eastAsia="宋体" w:cs="宋体"/>
          <w:b/>
          <w:kern w:val="0"/>
          <w:sz w:val="24"/>
          <w:lang w:bidi="ar"/>
        </w:rPr>
        <w:t>学　　时：32（其中：讲授学时32，实验学时0，上机学时0）</w:t>
      </w:r>
    </w:p>
    <w:p w14:paraId="1F561B77">
      <w:pPr>
        <w:adjustRightInd w:val="0"/>
        <w:snapToGrid w:val="0"/>
        <w:spacing w:line="360" w:lineRule="auto"/>
        <w:ind w:firstLine="482" w:firstLineChars="200"/>
        <w:rPr>
          <w:rFonts w:hint="eastAsia" w:ascii="宋体" w:hAnsi="宋体" w:eastAsia="宋体" w:cs="宋体"/>
          <w:b/>
          <w:kern w:val="0"/>
          <w:sz w:val="24"/>
        </w:rPr>
      </w:pPr>
      <w:r>
        <w:rPr>
          <w:rFonts w:hint="eastAsia" w:ascii="宋体" w:hAnsi="宋体" w:eastAsia="宋体" w:cs="宋体"/>
          <w:b/>
          <w:kern w:val="0"/>
          <w:sz w:val="24"/>
          <w:lang w:bidi="ar"/>
        </w:rPr>
        <w:t>先修课程：无</w:t>
      </w:r>
    </w:p>
    <w:p w14:paraId="45686DE3">
      <w:pPr>
        <w:adjustRightInd w:val="0"/>
        <w:snapToGrid w:val="0"/>
        <w:spacing w:line="360" w:lineRule="auto"/>
        <w:ind w:firstLine="482" w:firstLineChars="200"/>
        <w:rPr>
          <w:rFonts w:hint="eastAsia" w:ascii="宋体" w:hAnsi="宋体" w:eastAsia="宋体" w:cs="宋体"/>
          <w:b/>
          <w:kern w:val="0"/>
          <w:sz w:val="24"/>
        </w:rPr>
      </w:pPr>
      <w:r>
        <w:rPr>
          <w:rFonts w:hint="eastAsia" w:ascii="宋体" w:hAnsi="宋体" w:eastAsia="宋体" w:cs="宋体"/>
          <w:b/>
          <w:kern w:val="0"/>
          <w:sz w:val="24"/>
          <w:lang w:bidi="ar"/>
        </w:rPr>
        <w:t>适用专业：小学教育（文）</w:t>
      </w:r>
    </w:p>
    <w:p w14:paraId="524C6625">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57F77A9F">
      <w:pPr>
        <w:autoSpaceDE w:val="0"/>
        <w:autoSpaceDN w:val="0"/>
        <w:adjustRightInd w:val="0"/>
        <w:snapToGrid w:val="0"/>
        <w:spacing w:line="360" w:lineRule="auto"/>
        <w:ind w:firstLine="480" w:firstLineChars="200"/>
        <w:jc w:val="left"/>
        <w:rPr>
          <w:rFonts w:hint="eastAsia" w:ascii="宋体" w:hAnsi="宋体" w:eastAsia="宋体" w:cs="宋体"/>
          <w:smallCaps/>
          <w:kern w:val="44"/>
          <w:sz w:val="24"/>
          <w:szCs w:val="22"/>
        </w:rPr>
      </w:pPr>
      <w:r>
        <w:rPr>
          <w:rFonts w:hint="eastAsia" w:ascii="宋体" w:hAnsi="宋体" w:eastAsia="宋体" w:cs="宋体"/>
          <w:smallCaps/>
          <w:kern w:val="44"/>
          <w:sz w:val="24"/>
          <w:szCs w:val="22"/>
          <w:lang w:bidi="ar"/>
        </w:rPr>
        <w:t>本课程为小学教育（文）专业本科生专业选修课。课程秉持立德树人的教育理念，将课程思政与专业教学有机结合，注意将知识传授、能力培养和价值观引领有机统一。</w:t>
      </w:r>
    </w:p>
    <w:p w14:paraId="4C281627">
      <w:pPr>
        <w:autoSpaceDE w:val="0"/>
        <w:autoSpaceDN w:val="0"/>
        <w:adjustRightInd w:val="0"/>
        <w:snapToGrid w:val="0"/>
        <w:spacing w:line="360" w:lineRule="auto"/>
        <w:ind w:firstLine="480" w:firstLineChars="200"/>
        <w:jc w:val="left"/>
        <w:rPr>
          <w:rFonts w:hint="eastAsia" w:ascii="宋体" w:hAnsi="宋体" w:eastAsia="宋体" w:cs="宋体"/>
          <w:smallCaps/>
          <w:kern w:val="44"/>
          <w:sz w:val="24"/>
          <w:szCs w:val="22"/>
        </w:rPr>
      </w:pPr>
      <w:r>
        <w:rPr>
          <w:rFonts w:hint="eastAsia" w:ascii="宋体" w:hAnsi="宋体" w:eastAsia="宋体" w:cs="宋体"/>
          <w:smallCaps/>
          <w:kern w:val="44"/>
          <w:sz w:val="24"/>
          <w:szCs w:val="22"/>
          <w:lang w:bidi="ar"/>
        </w:rPr>
        <w:t>本课程旨在使学生通过学习唐宋诗词知识以及相关理论，以获得较为全面系统的知识框架，从而更好地传承并弘扬中国文化，进一步坚定文化自信，增强中华民族的向心力和凝聚力。</w:t>
      </w:r>
    </w:p>
    <w:p w14:paraId="38E6C1B1">
      <w:pPr>
        <w:adjustRightInd w:val="0"/>
        <w:snapToGrid w:val="0"/>
        <w:spacing w:line="360" w:lineRule="auto"/>
        <w:ind w:firstLine="480" w:firstLineChars="200"/>
        <w:rPr>
          <w:rFonts w:hint="eastAsia" w:ascii="宋体" w:hAnsi="宋体" w:eastAsia="宋体" w:cs="宋体"/>
          <w:sz w:val="24"/>
          <w:szCs w:val="22"/>
        </w:rPr>
      </w:pPr>
      <w:r>
        <w:rPr>
          <w:rFonts w:hint="eastAsia" w:ascii="宋体" w:hAnsi="宋体" w:eastAsia="宋体" w:cs="宋体"/>
          <w:sz w:val="24"/>
          <w:szCs w:val="22"/>
          <w:lang w:bidi="ar"/>
        </w:rPr>
        <w:t>通过学习，使学生了解中国唐诗宋词中的名家名篇名作，对古代诗歌批评有一定的认识，掌握唐诗宋词的文化意蕴、审美属性及审美特点，从而提高自身的诗歌研究能力及人文素质。</w:t>
      </w:r>
    </w:p>
    <w:p w14:paraId="07A16FE2">
      <w:pPr>
        <w:spacing w:before="62" w:beforeLines="20" w:after="62" w:afterLines="20" w:line="360" w:lineRule="auto"/>
        <w:jc w:val="left"/>
        <w:rPr>
          <w:rFonts w:ascii="Times New Roman" w:hAnsi="Times New Roman" w:eastAsia="宋体" w:cs="Times New Roman"/>
          <w:b/>
          <w:sz w:val="24"/>
        </w:rPr>
      </w:pPr>
      <w:bookmarkStart w:id="1785" w:name="_Toc271597191"/>
      <w:r>
        <w:rPr>
          <w:rFonts w:hint="eastAsia" w:ascii="Times New Roman" w:hAnsi="Times New Roman" w:eastAsia="宋体" w:cs="Times New Roman"/>
          <w:b/>
          <w:sz w:val="24"/>
        </w:rPr>
        <w:t>二</w:t>
      </w:r>
      <w:r>
        <w:rPr>
          <w:rFonts w:ascii="Times New Roman" w:hAnsi="Times New Roman" w:eastAsia="宋体" w:cs="Times New Roman"/>
          <w:b/>
          <w:sz w:val="24"/>
        </w:rPr>
        <w:t>、</w:t>
      </w:r>
      <w:r>
        <w:rPr>
          <w:rFonts w:hint="eastAsia" w:ascii="Times New Roman" w:hAnsi="Times New Roman" w:eastAsia="宋体" w:cs="Times New Roman"/>
          <w:b/>
          <w:sz w:val="24"/>
        </w:rPr>
        <w:t>课程目标</w:t>
      </w:r>
      <w:bookmarkEnd w:id="1785"/>
    </w:p>
    <w:p w14:paraId="574DD6A4">
      <w:pPr>
        <w:spacing w:line="360" w:lineRule="auto"/>
        <w:ind w:firstLine="422" w:firstLineChars="200"/>
        <w:rPr>
          <w:rFonts w:hint="eastAsia" w:ascii="宋体" w:hAnsi="宋体" w:eastAsia="宋体" w:cs="宋体"/>
          <w:b/>
          <w:sz w:val="28"/>
          <w:szCs w:val="28"/>
          <w:lang w:bidi="ar"/>
        </w:rPr>
      </w:pPr>
      <w:r>
        <w:rPr>
          <w:rFonts w:hint="eastAsia" w:ascii="宋体" w:hAnsi="宋体" w:eastAsia="宋体" w:cs="Times New Roman"/>
          <w:b/>
          <w:szCs w:val="21"/>
        </w:rPr>
        <w:t>（一）课程具体目标</w:t>
      </w:r>
    </w:p>
    <w:p w14:paraId="60302B7E">
      <w:pPr>
        <w:autoSpaceDE w:val="0"/>
        <w:autoSpaceDN w:val="0"/>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lang w:bidi="ar"/>
        </w:rPr>
        <w:t>目标1. 能对唐诗宋词的发展历程和脉络有清晰的了解，培养学生对中华优秀传统文化的热爱和文化自信。</w:t>
      </w:r>
    </w:p>
    <w:p w14:paraId="3301596A">
      <w:pPr>
        <w:autoSpaceDE w:val="0"/>
        <w:autoSpaceDN w:val="0"/>
        <w:adjustRightInd w:val="0"/>
        <w:snapToGrid w:val="0"/>
        <w:spacing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lang w:bidi="ar"/>
        </w:rPr>
        <w:t>目标2. 能对唐宋诗歌史上的重要文学现象、代表性作家、作品有重点的掌握，提升学生的人文素养和传承中华优秀传统文化的自觉性。</w:t>
      </w:r>
    </w:p>
    <w:p w14:paraId="55D00CC6">
      <w:pPr>
        <w:autoSpaceDE w:val="0"/>
        <w:autoSpaceDN w:val="0"/>
        <w:adjustRightInd w:val="0"/>
        <w:snapToGrid w:val="0"/>
        <w:spacing w:line="360" w:lineRule="auto"/>
        <w:ind w:firstLine="480" w:firstLineChars="200"/>
        <w:jc w:val="left"/>
        <w:rPr>
          <w:rFonts w:hint="eastAsia" w:ascii="宋体" w:hAnsi="宋体" w:eastAsia="宋体" w:cs="宋体"/>
          <w:kern w:val="0"/>
          <w:sz w:val="24"/>
          <w:lang w:bidi="ar"/>
        </w:rPr>
      </w:pPr>
      <w:r>
        <w:rPr>
          <w:rFonts w:hint="eastAsia" w:ascii="宋体" w:hAnsi="宋体" w:eastAsia="宋体" w:cs="宋体"/>
          <w:kern w:val="0"/>
          <w:sz w:val="24"/>
          <w:lang w:bidi="ar"/>
        </w:rPr>
        <w:t xml:space="preserve">目标3. 能阅读、欣赏、评析以及进一步研究唐诗宋词的名家名篇，理解作品的基本内容、艺术特点和艺术价值等， 能运用多种批评方法阅读、分析作品，开展初步的学术研究。 </w:t>
      </w:r>
    </w:p>
    <w:p w14:paraId="2986FCE5">
      <w:pPr>
        <w:spacing w:before="156" w:beforeLines="50" w:after="156" w:afterLines="50" w:line="360" w:lineRule="auto"/>
        <w:ind w:firstLine="422" w:firstLineChars="200"/>
        <w:jc w:val="left"/>
        <w:rPr>
          <w:rFonts w:hint="eastAsia" w:ascii="宋体" w:hAnsi="宋体" w:eastAsia="宋体" w:cs="宋体"/>
          <w:kern w:val="0"/>
          <w:sz w:val="24"/>
          <w:lang w:bidi="ar"/>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3ED9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AA0A56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3FF6FDF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0179F5D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0E4C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36884084">
            <w:pPr>
              <w:spacing w:line="276" w:lineRule="auto"/>
              <w:jc w:val="left"/>
              <w:rPr>
                <w:rFonts w:hint="eastAsia" w:asciiTheme="minorEastAsia" w:hAnsiTheme="minorEastAsia" w:cstheme="minorEastAsia"/>
                <w:szCs w:val="21"/>
              </w:rPr>
            </w:pPr>
            <w:r>
              <w:rPr>
                <w:rFonts w:hint="eastAsia" w:asciiTheme="minorEastAsia" w:hAnsiTheme="minorEastAsia" w:cstheme="minorEastAsia"/>
                <w:szCs w:val="21"/>
              </w:rPr>
              <w:t>毕业要求2教育情怀</w:t>
            </w:r>
          </w:p>
        </w:tc>
        <w:tc>
          <w:tcPr>
            <w:tcW w:w="5688" w:type="dxa"/>
            <w:vAlign w:val="center"/>
          </w:tcPr>
          <w:p w14:paraId="241FE7DD">
            <w:pPr>
              <w:spacing w:line="276" w:lineRule="auto"/>
              <w:jc w:val="left"/>
              <w:rPr>
                <w:rFonts w:hint="eastAsia" w:asciiTheme="minorEastAsia" w:hAnsiTheme="minorEastAsia" w:cstheme="minorEastAsia"/>
                <w:szCs w:val="21"/>
              </w:rPr>
            </w:pPr>
            <w:r>
              <w:rPr>
                <w:rFonts w:hint="eastAsia" w:asciiTheme="minorEastAsia" w:hAnsiTheme="minorEastAsia" w:cstheme="minorEastAsia"/>
                <w:b/>
                <w:spacing w:val="2"/>
                <w:kern w:val="0"/>
                <w:szCs w:val="21"/>
              </w:rPr>
              <w:t>指标点2-3</w:t>
            </w:r>
            <w:r>
              <w:rPr>
                <w:rFonts w:hint="eastAsia" w:asciiTheme="minorEastAsia" w:hAnsiTheme="minorEastAsia" w:cstheme="minorEastAsia"/>
                <w:spacing w:val="2"/>
                <w:kern w:val="0"/>
                <w:szCs w:val="21"/>
              </w:rPr>
              <w:t>：</w:t>
            </w:r>
            <w:r>
              <w:rPr>
                <w:rFonts w:hint="eastAsia" w:asciiTheme="minorEastAsia" w:hAnsiTheme="minorEastAsia" w:cstheme="minorEastAsia"/>
                <w:sz w:val="20"/>
                <w:szCs w:val="20"/>
              </w:rPr>
              <w:t>【自身修养良好】具有较好的人文艺术底蕴与科学精神，言行举止符合教师职业标准，情感积极，人格健全，身心健康。</w:t>
            </w:r>
          </w:p>
        </w:tc>
        <w:tc>
          <w:tcPr>
            <w:tcW w:w="1191" w:type="dxa"/>
            <w:vAlign w:val="center"/>
          </w:tcPr>
          <w:p w14:paraId="770ECFF1">
            <w:pPr>
              <w:spacing w:line="276" w:lineRule="auto"/>
              <w:jc w:val="left"/>
              <w:rPr>
                <w:rFonts w:hint="eastAsia" w:asciiTheme="minorEastAsia" w:hAnsiTheme="minorEastAsia" w:cstheme="minorEastAsia"/>
                <w:szCs w:val="21"/>
              </w:rPr>
            </w:pPr>
            <w:r>
              <w:rPr>
                <w:rFonts w:hint="eastAsia" w:asciiTheme="minorEastAsia" w:hAnsiTheme="minorEastAsia" w:cstheme="minorEastAsia"/>
                <w:szCs w:val="21"/>
              </w:rPr>
              <w:t>课程目标3</w:t>
            </w:r>
          </w:p>
        </w:tc>
      </w:tr>
      <w:tr w14:paraId="2505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CA99D24">
            <w:pPr>
              <w:spacing w:line="276" w:lineRule="auto"/>
              <w:jc w:val="left"/>
              <w:rPr>
                <w:rFonts w:hint="eastAsia" w:asciiTheme="minorEastAsia" w:hAnsiTheme="minorEastAsia" w:cstheme="minorEastAsia"/>
                <w:szCs w:val="21"/>
              </w:rPr>
            </w:pPr>
            <w:r>
              <w:rPr>
                <w:rFonts w:hint="eastAsia" w:asciiTheme="minorEastAsia" w:hAnsiTheme="minorEastAsia" w:cstheme="minorEastAsia"/>
                <w:szCs w:val="21"/>
              </w:rPr>
              <w:t>毕业要求3学科素养</w:t>
            </w:r>
          </w:p>
        </w:tc>
        <w:tc>
          <w:tcPr>
            <w:tcW w:w="5688" w:type="dxa"/>
            <w:vAlign w:val="center"/>
          </w:tcPr>
          <w:p w14:paraId="31FE370F">
            <w:pPr>
              <w:spacing w:line="276" w:lineRule="auto"/>
              <w:jc w:val="left"/>
              <w:rPr>
                <w:rFonts w:hint="eastAsia" w:asciiTheme="minorEastAsia" w:hAnsiTheme="minorEastAsia" w:cstheme="minorEastAsia"/>
                <w:szCs w:val="21"/>
              </w:rPr>
            </w:pPr>
            <w:r>
              <w:rPr>
                <w:rFonts w:hint="eastAsia" w:asciiTheme="minorEastAsia" w:hAnsiTheme="minorEastAsia" w:cstheme="minorEastAsia"/>
                <w:b/>
                <w:spacing w:val="2"/>
                <w:kern w:val="0"/>
                <w:szCs w:val="21"/>
              </w:rPr>
              <w:t>指标点3-2</w:t>
            </w:r>
            <w:r>
              <w:rPr>
                <w:rFonts w:hint="eastAsia" w:asciiTheme="minorEastAsia" w:hAnsiTheme="minorEastAsia" w:cstheme="minorEastAsia"/>
                <w:spacing w:val="2"/>
                <w:kern w:val="0"/>
                <w:szCs w:val="21"/>
              </w:rPr>
              <w:t>：</w:t>
            </w:r>
            <w:r>
              <w:rPr>
                <w:rFonts w:hint="eastAsia" w:asciiTheme="minorEastAsia" w:hAnsiTheme="minorEastAsia" w:cstheme="minorEastAsia"/>
                <w:sz w:val="20"/>
                <w:szCs w:val="20"/>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1" w:type="dxa"/>
            <w:vAlign w:val="center"/>
          </w:tcPr>
          <w:p w14:paraId="00931125">
            <w:pPr>
              <w:spacing w:line="276" w:lineRule="auto"/>
              <w:jc w:val="left"/>
              <w:rPr>
                <w:rFonts w:hint="eastAsia" w:asciiTheme="minorEastAsia" w:hAnsiTheme="minorEastAsia" w:cstheme="minorEastAsia"/>
                <w:szCs w:val="21"/>
              </w:rPr>
            </w:pPr>
            <w:r>
              <w:rPr>
                <w:rFonts w:hint="eastAsia" w:asciiTheme="minorEastAsia" w:hAnsiTheme="minorEastAsia" w:cstheme="minorEastAsia"/>
                <w:szCs w:val="21"/>
              </w:rPr>
              <w:t>课程目标1</w:t>
            </w:r>
          </w:p>
        </w:tc>
      </w:tr>
      <w:tr w14:paraId="3B28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5CF2BD91">
            <w:pPr>
              <w:spacing w:line="276" w:lineRule="auto"/>
              <w:jc w:val="left"/>
              <w:rPr>
                <w:rFonts w:hint="eastAsia" w:asciiTheme="minorEastAsia" w:hAnsiTheme="minorEastAsia" w:cstheme="minorEastAsia"/>
                <w:szCs w:val="21"/>
              </w:rPr>
            </w:pPr>
            <w:r>
              <w:rPr>
                <w:rFonts w:hint="eastAsia" w:asciiTheme="minorEastAsia" w:hAnsiTheme="minorEastAsia" w:cstheme="minorEastAsia"/>
                <w:szCs w:val="21"/>
              </w:rPr>
              <w:t>毕业要求4教学能力</w:t>
            </w:r>
          </w:p>
        </w:tc>
        <w:tc>
          <w:tcPr>
            <w:tcW w:w="5688" w:type="dxa"/>
            <w:vAlign w:val="center"/>
          </w:tcPr>
          <w:p w14:paraId="675F5407">
            <w:pPr>
              <w:spacing w:line="276" w:lineRule="auto"/>
              <w:jc w:val="left"/>
              <w:rPr>
                <w:rFonts w:hint="eastAsia" w:asciiTheme="minorEastAsia" w:hAnsiTheme="minorEastAsia" w:cstheme="minorEastAsia"/>
                <w:szCs w:val="21"/>
              </w:rPr>
            </w:pPr>
            <w:r>
              <w:rPr>
                <w:rFonts w:hint="eastAsia" w:asciiTheme="minorEastAsia" w:hAnsiTheme="minorEastAsia" w:cstheme="minorEastAsia"/>
                <w:b/>
                <w:kern w:val="0"/>
                <w:szCs w:val="21"/>
              </w:rPr>
              <w:t>指标点4-1</w:t>
            </w:r>
            <w:r>
              <w:rPr>
                <w:rFonts w:hint="eastAsia" w:asciiTheme="minorEastAsia" w:hAnsiTheme="minorEastAsia" w:cstheme="minorEastAsia"/>
                <w:kern w:val="0"/>
                <w:szCs w:val="21"/>
              </w:rPr>
              <w:t>：</w:t>
            </w:r>
            <w:r>
              <w:rPr>
                <w:rFonts w:hint="eastAsia" w:asciiTheme="minorEastAsia" w:hAnsiTheme="minorEastAsia" w:cstheme="minorEastAsia"/>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4F278BB9">
            <w:pPr>
              <w:spacing w:line="276" w:lineRule="auto"/>
              <w:jc w:val="left"/>
              <w:rPr>
                <w:rFonts w:hint="eastAsia" w:asciiTheme="minorEastAsia" w:hAnsiTheme="minorEastAsia" w:cstheme="minorEastAsia"/>
                <w:szCs w:val="21"/>
              </w:rPr>
            </w:pPr>
            <w:r>
              <w:rPr>
                <w:rFonts w:hint="eastAsia" w:asciiTheme="minorEastAsia" w:hAnsiTheme="minorEastAsia" w:cstheme="minorEastAsia"/>
                <w:szCs w:val="21"/>
              </w:rPr>
              <w:t>课程目标2</w:t>
            </w:r>
          </w:p>
        </w:tc>
      </w:tr>
    </w:tbl>
    <w:p w14:paraId="0ED57F2B">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2F7C49BF">
      <w:pPr>
        <w:spacing w:line="360" w:lineRule="auto"/>
        <w:ind w:firstLine="411" w:firstLineChars="196"/>
        <w:jc w:val="left"/>
        <w:rPr>
          <w:rFonts w:hint="eastAsia" w:ascii="宋体" w:hAnsi="宋体" w:eastAsia="宋体" w:cs="宋体"/>
          <w:sz w:val="24"/>
          <w:szCs w:val="22"/>
        </w:rPr>
      </w:pPr>
      <w:r>
        <w:rPr>
          <w:rFonts w:hint="eastAsia"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4E25F5E8">
      <w:pPr>
        <w:spacing w:before="62" w:beforeLines="20" w:after="62" w:afterLines="20" w:line="360" w:lineRule="auto"/>
        <w:jc w:val="left"/>
        <w:rPr>
          <w:rFonts w:hint="eastAsia" w:ascii="等线" w:hAnsi="等线" w:eastAsia="等线" w:cs="Times New Roman"/>
          <w:sz w:val="24"/>
        </w:rPr>
      </w:pPr>
      <w:bookmarkStart w:id="1786" w:name="_Toc1331239262"/>
      <w:r>
        <w:rPr>
          <w:rFonts w:hint="eastAsia" w:ascii="Times New Roman" w:hAnsi="Times New Roman" w:eastAsia="宋体" w:cs="Times New Roman"/>
          <w:b/>
          <w:sz w:val="24"/>
        </w:rPr>
        <w:t>三、课程内容</w:t>
      </w:r>
      <w:bookmarkEnd w:id="1786"/>
      <w:r>
        <w:rPr>
          <w:rFonts w:hint="eastAsia" w:ascii="Times New Roman" w:hAnsi="Times New Roman" w:eastAsia="宋体" w:cs="Times New Roman"/>
          <w:b/>
          <w:sz w:val="24"/>
        </w:rPr>
        <w:t>与预期学习成果</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387"/>
        <w:gridCol w:w="1144"/>
        <w:gridCol w:w="2018"/>
        <w:gridCol w:w="1482"/>
        <w:gridCol w:w="638"/>
      </w:tblGrid>
      <w:tr w14:paraId="5B4E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Align w:val="center"/>
          </w:tcPr>
          <w:p w14:paraId="2157B719">
            <w:pPr>
              <w:jc w:val="center"/>
              <w:rPr>
                <w:rFonts w:hint="eastAsia" w:ascii="宋体" w:hAnsi="宋体" w:eastAsia="宋体" w:cs="Times New Roman"/>
                <w:b/>
                <w:szCs w:val="21"/>
              </w:rPr>
            </w:pPr>
            <w:r>
              <w:rPr>
                <w:rFonts w:hint="eastAsia" w:ascii="宋体" w:hAnsi="宋体" w:eastAsia="宋体" w:cs="Times New Roman"/>
                <w:b/>
                <w:szCs w:val="21"/>
              </w:rPr>
              <w:t>知识</w:t>
            </w:r>
          </w:p>
          <w:p w14:paraId="3D18108D">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387" w:type="dxa"/>
            <w:vAlign w:val="center"/>
          </w:tcPr>
          <w:p w14:paraId="5F3FBC39">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44" w:type="dxa"/>
            <w:vAlign w:val="center"/>
          </w:tcPr>
          <w:p w14:paraId="2B24D018">
            <w:pPr>
              <w:jc w:val="center"/>
              <w:rPr>
                <w:rFonts w:hint="eastAsia" w:ascii="宋体" w:hAnsi="宋体" w:eastAsia="宋体" w:cs="Times New Roman"/>
                <w:b/>
                <w:szCs w:val="21"/>
              </w:rPr>
            </w:pPr>
            <w:r>
              <w:rPr>
                <w:rFonts w:hint="eastAsia" w:ascii="宋体" w:hAnsi="宋体" w:eastAsia="宋体" w:cs="Times New Roman"/>
                <w:b/>
                <w:szCs w:val="21"/>
              </w:rPr>
              <w:t>对应</w:t>
            </w:r>
          </w:p>
          <w:p w14:paraId="3E4FE616">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018" w:type="dxa"/>
            <w:vAlign w:val="center"/>
          </w:tcPr>
          <w:p w14:paraId="1A3AAAC4">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482" w:type="dxa"/>
            <w:vAlign w:val="center"/>
          </w:tcPr>
          <w:p w14:paraId="57B5F3B3">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0" w:type="auto"/>
            <w:vAlign w:val="center"/>
          </w:tcPr>
          <w:p w14:paraId="7A52F357">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49E2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63B60704">
            <w:pPr>
              <w:jc w:val="center"/>
              <w:rPr>
                <w:rFonts w:hint="eastAsia" w:ascii="宋体" w:hAnsi="宋体" w:eastAsia="宋体" w:cs="Times New Roman"/>
                <w:szCs w:val="21"/>
              </w:rPr>
            </w:pPr>
            <w:r>
              <w:rPr>
                <w:rFonts w:hint="eastAsia" w:ascii="宋体" w:hAnsi="宋体" w:eastAsia="宋体" w:cs="Times New Roman"/>
                <w:szCs w:val="21"/>
              </w:rPr>
              <w:t>1.</w:t>
            </w:r>
            <w:r>
              <w:rPr>
                <w:rFonts w:hint="eastAsia" w:ascii="宋体" w:hAnsi="宋体" w:eastAsia="宋体" w:cs="宋体"/>
                <w:b/>
                <w:bCs/>
                <w:szCs w:val="21"/>
                <w:lang w:bidi="ar"/>
              </w:rPr>
              <w:t>唐诗概述</w:t>
            </w:r>
          </w:p>
        </w:tc>
        <w:tc>
          <w:tcPr>
            <w:tcW w:w="2387" w:type="dxa"/>
            <w:vAlign w:val="center"/>
          </w:tcPr>
          <w:p w14:paraId="59381D63">
            <w:pPr>
              <w:adjustRightInd w:val="0"/>
              <w:snapToGrid w:val="0"/>
              <w:rPr>
                <w:rFonts w:hint="eastAsia" w:ascii="宋体" w:hAnsi="宋体" w:eastAsia="宋体" w:cs="宋体"/>
                <w:szCs w:val="21"/>
              </w:rPr>
            </w:pPr>
            <w:r>
              <w:rPr>
                <w:rFonts w:hint="eastAsia" w:ascii="宋体" w:hAnsi="宋体" w:eastAsia="宋体" w:cs="宋体"/>
                <w:szCs w:val="21"/>
                <w:lang w:bidi="ar"/>
              </w:rPr>
              <w:t>（1）唐朝的历史概况。</w:t>
            </w:r>
          </w:p>
          <w:p w14:paraId="58CC3F3F">
            <w:pPr>
              <w:adjustRightInd w:val="0"/>
              <w:snapToGrid w:val="0"/>
              <w:rPr>
                <w:rFonts w:hint="eastAsia" w:ascii="宋体" w:hAnsi="宋体" w:eastAsia="宋体" w:cs="宋体"/>
                <w:szCs w:val="21"/>
              </w:rPr>
            </w:pPr>
            <w:r>
              <w:rPr>
                <w:rFonts w:hint="eastAsia" w:ascii="宋体" w:hAnsi="宋体" w:eastAsia="宋体" w:cs="宋体"/>
                <w:szCs w:val="21"/>
                <w:lang w:bidi="ar"/>
              </w:rPr>
              <w:t>（2）唐代诗歌发展概况。</w:t>
            </w:r>
          </w:p>
          <w:p w14:paraId="2EA33D63">
            <w:pPr>
              <w:adjustRightInd w:val="0"/>
              <w:snapToGrid w:val="0"/>
              <w:rPr>
                <w:rFonts w:hint="eastAsia" w:ascii="宋体" w:hAnsi="宋体" w:eastAsia="宋体" w:cs="Times New Roman"/>
                <w:szCs w:val="21"/>
              </w:rPr>
            </w:pPr>
            <w:r>
              <w:rPr>
                <w:rFonts w:hint="eastAsia" w:ascii="宋体" w:hAnsi="宋体" w:eastAsia="宋体" w:cs="宋体"/>
                <w:szCs w:val="21"/>
                <w:lang w:bidi="ar"/>
              </w:rPr>
              <w:t>（3）唐诗繁荣的原因。</w:t>
            </w:r>
          </w:p>
        </w:tc>
        <w:tc>
          <w:tcPr>
            <w:tcW w:w="1144" w:type="dxa"/>
            <w:vAlign w:val="center"/>
          </w:tcPr>
          <w:p w14:paraId="4776CF37">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2018" w:type="dxa"/>
            <w:vAlign w:val="center"/>
          </w:tcPr>
          <w:p w14:paraId="33F83910">
            <w:pPr>
              <w:adjustRightInd w:val="0"/>
              <w:snapToGrid w:val="0"/>
              <w:rPr>
                <w:rFonts w:hint="eastAsia" w:ascii="宋体" w:hAnsi="宋体" w:eastAsia="宋体" w:cs="宋体"/>
                <w:szCs w:val="21"/>
              </w:rPr>
            </w:pPr>
            <w:r>
              <w:rPr>
                <w:rFonts w:hint="eastAsia" w:ascii="宋体" w:hAnsi="宋体" w:eastAsia="宋体" w:cs="宋体"/>
                <w:szCs w:val="21"/>
                <w:lang w:bidi="ar"/>
              </w:rPr>
              <w:t>（1）了解唐诗的艺术特征及发展脉络。</w:t>
            </w:r>
          </w:p>
          <w:p w14:paraId="54B1EA9C">
            <w:pPr>
              <w:adjustRightInd w:val="0"/>
              <w:snapToGrid w:val="0"/>
              <w:rPr>
                <w:rFonts w:hint="eastAsia" w:ascii="宋体" w:hAnsi="宋体" w:eastAsia="宋体" w:cs="Times New Roman"/>
                <w:szCs w:val="21"/>
              </w:rPr>
            </w:pPr>
            <w:r>
              <w:rPr>
                <w:rFonts w:hint="eastAsia" w:ascii="宋体" w:hAnsi="宋体" w:eastAsia="宋体" w:cs="宋体"/>
                <w:szCs w:val="21"/>
                <w:lang w:bidi="ar"/>
              </w:rPr>
              <w:t>（2）掌握唐诗繁荣的原因。</w:t>
            </w:r>
          </w:p>
        </w:tc>
        <w:tc>
          <w:tcPr>
            <w:tcW w:w="1482" w:type="dxa"/>
            <w:vAlign w:val="center"/>
          </w:tcPr>
          <w:p w14:paraId="48824DAB">
            <w:pPr>
              <w:jc w:val="left"/>
              <w:rPr>
                <w:rFonts w:hint="eastAsia" w:ascii="宋体" w:hAnsi="宋体" w:eastAsia="宋体" w:cs="Times New Roman"/>
                <w:szCs w:val="21"/>
              </w:rPr>
            </w:pPr>
            <w:r>
              <w:rPr>
                <w:rFonts w:hint="eastAsia" w:ascii="宋体" w:hAnsi="宋体" w:eastAsia="宋体" w:cs="Times New Roman"/>
                <w:szCs w:val="21"/>
              </w:rPr>
              <w:t>1.线上学习</w:t>
            </w:r>
          </w:p>
          <w:p w14:paraId="49EA81A5">
            <w:pPr>
              <w:jc w:val="left"/>
              <w:rPr>
                <w:rFonts w:hint="eastAsia" w:ascii="宋体" w:hAnsi="宋体" w:eastAsia="宋体" w:cs="Times New Roman"/>
                <w:szCs w:val="21"/>
              </w:rPr>
            </w:pPr>
            <w:r>
              <w:rPr>
                <w:rFonts w:hint="eastAsia" w:ascii="宋体" w:hAnsi="宋体" w:eastAsia="宋体" w:cs="Times New Roman"/>
                <w:szCs w:val="21"/>
              </w:rPr>
              <w:t>2.多媒体教学</w:t>
            </w:r>
          </w:p>
          <w:p w14:paraId="447C7FB1">
            <w:pPr>
              <w:jc w:val="left"/>
              <w:rPr>
                <w:rFonts w:hint="eastAsia" w:ascii="宋体" w:hAnsi="宋体" w:eastAsia="宋体" w:cs="Times New Roman"/>
                <w:szCs w:val="21"/>
              </w:rPr>
            </w:pPr>
            <w:r>
              <w:rPr>
                <w:rFonts w:hint="eastAsia" w:ascii="宋体" w:hAnsi="宋体" w:eastAsia="宋体" w:cs="Times New Roman"/>
                <w:szCs w:val="21"/>
              </w:rPr>
              <w:t>3.课堂讨论</w:t>
            </w:r>
          </w:p>
          <w:p w14:paraId="773B8097">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0" w:type="auto"/>
            <w:vAlign w:val="center"/>
          </w:tcPr>
          <w:p w14:paraId="40C11226">
            <w:pPr>
              <w:jc w:val="center"/>
              <w:rPr>
                <w:rFonts w:hint="eastAsia" w:ascii="宋体" w:hAnsi="宋体" w:eastAsia="宋体" w:cs="Times New Roman"/>
                <w:szCs w:val="21"/>
              </w:rPr>
            </w:pPr>
            <w:r>
              <w:rPr>
                <w:rFonts w:hint="eastAsia" w:ascii="宋体" w:hAnsi="宋体" w:eastAsia="宋体" w:cs="Times New Roman"/>
                <w:szCs w:val="21"/>
              </w:rPr>
              <w:t>2</w:t>
            </w:r>
          </w:p>
        </w:tc>
      </w:tr>
      <w:tr w14:paraId="1CA5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7F544468">
            <w:pPr>
              <w:jc w:val="center"/>
              <w:rPr>
                <w:rFonts w:hint="eastAsia" w:ascii="宋体" w:hAnsi="宋体" w:eastAsia="宋体" w:cs="Times New Roman"/>
                <w:szCs w:val="21"/>
              </w:rPr>
            </w:pPr>
          </w:p>
        </w:tc>
        <w:tc>
          <w:tcPr>
            <w:tcW w:w="7669" w:type="dxa"/>
            <w:gridSpan w:val="5"/>
            <w:vAlign w:val="center"/>
          </w:tcPr>
          <w:p w14:paraId="5ED1408B">
            <w:pPr>
              <w:autoSpaceDE w:val="0"/>
              <w:autoSpaceDN w:val="0"/>
              <w:adjustRightInd w:val="0"/>
              <w:snapToGrid w:val="0"/>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kern w:val="0"/>
                <w:szCs w:val="21"/>
                <w:lang w:bidi="ar"/>
              </w:rPr>
              <w:t>将马克思主义文艺理论及方法论融入课程内容，对古代文学作品进行深入分析。对学生进行信念教育，让学生充分感受中华民族悠久的历史和灿烂的文化，树立文化的自信心和自豪感。</w:t>
            </w:r>
          </w:p>
        </w:tc>
      </w:tr>
      <w:tr w14:paraId="4F07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24257162">
            <w:pPr>
              <w:adjustRightInd w:val="0"/>
              <w:snapToGrid w:val="0"/>
              <w:rPr>
                <w:rFonts w:hint="eastAsia" w:ascii="宋体" w:hAnsi="宋体" w:eastAsia="宋体" w:cs="宋体"/>
                <w:b/>
                <w:bCs/>
                <w:szCs w:val="21"/>
              </w:rPr>
            </w:pPr>
            <w:r>
              <w:rPr>
                <w:rFonts w:hint="eastAsia" w:ascii="宋体" w:hAnsi="宋体" w:eastAsia="宋体" w:cs="Times New Roman"/>
                <w:szCs w:val="21"/>
              </w:rPr>
              <w:t>2.</w:t>
            </w:r>
            <w:r>
              <w:rPr>
                <w:rFonts w:hint="eastAsia" w:ascii="宋体" w:hAnsi="宋体" w:eastAsia="宋体" w:cs="宋体"/>
                <w:b/>
                <w:bCs/>
                <w:szCs w:val="21"/>
                <w:lang w:bidi="ar"/>
              </w:rPr>
              <w:t>开启唐诗高峰的奇葩——初唐诗</w:t>
            </w:r>
          </w:p>
          <w:p w14:paraId="4B7B7DDD">
            <w:pPr>
              <w:jc w:val="center"/>
              <w:rPr>
                <w:rFonts w:hint="eastAsia" w:ascii="宋体" w:hAnsi="宋体" w:eastAsia="宋体" w:cs="Times New Roman"/>
                <w:szCs w:val="21"/>
              </w:rPr>
            </w:pPr>
          </w:p>
        </w:tc>
        <w:tc>
          <w:tcPr>
            <w:tcW w:w="2387" w:type="dxa"/>
            <w:vAlign w:val="center"/>
          </w:tcPr>
          <w:p w14:paraId="5B986924">
            <w:pPr>
              <w:adjustRightInd w:val="0"/>
              <w:snapToGrid w:val="0"/>
              <w:rPr>
                <w:rFonts w:hint="eastAsia" w:ascii="宋体" w:hAnsi="宋体" w:eastAsia="宋体" w:cs="宋体"/>
                <w:szCs w:val="21"/>
              </w:rPr>
            </w:pPr>
            <w:r>
              <w:rPr>
                <w:rFonts w:hint="eastAsia" w:ascii="宋体" w:hAnsi="宋体" w:eastAsia="宋体" w:cs="宋体"/>
                <w:szCs w:val="21"/>
                <w:lang w:bidi="ar"/>
              </w:rPr>
              <w:t>（1）初唐诗概述。</w:t>
            </w:r>
          </w:p>
          <w:p w14:paraId="01066C77">
            <w:pPr>
              <w:adjustRightInd w:val="0"/>
              <w:snapToGrid w:val="0"/>
              <w:rPr>
                <w:rFonts w:hint="eastAsia" w:ascii="宋体" w:hAnsi="宋体" w:eastAsia="宋体" w:cs="宋体"/>
                <w:szCs w:val="21"/>
              </w:rPr>
            </w:pPr>
            <w:r>
              <w:rPr>
                <w:rFonts w:hint="eastAsia" w:ascii="宋体" w:hAnsi="宋体" w:eastAsia="宋体" w:cs="宋体"/>
                <w:szCs w:val="21"/>
                <w:lang w:bidi="ar"/>
              </w:rPr>
              <w:t>（2）王绩与初唐四杰。</w:t>
            </w:r>
          </w:p>
          <w:p w14:paraId="6E7BB14C">
            <w:pPr>
              <w:adjustRightInd w:val="0"/>
              <w:snapToGrid w:val="0"/>
              <w:rPr>
                <w:rFonts w:hint="eastAsia" w:ascii="宋体" w:hAnsi="宋体" w:eastAsia="宋体" w:cs="宋体"/>
                <w:szCs w:val="21"/>
              </w:rPr>
            </w:pPr>
            <w:r>
              <w:rPr>
                <w:rFonts w:hint="eastAsia" w:ascii="宋体" w:hAnsi="宋体" w:eastAsia="宋体" w:cs="宋体"/>
                <w:szCs w:val="21"/>
                <w:lang w:bidi="ar"/>
              </w:rPr>
              <w:t>（3）从文章四友到吴中四杰。</w:t>
            </w:r>
          </w:p>
          <w:p w14:paraId="1A4DA6ED">
            <w:pPr>
              <w:adjustRightInd w:val="0"/>
              <w:snapToGrid w:val="0"/>
              <w:rPr>
                <w:rFonts w:hint="eastAsia" w:ascii="宋体" w:hAnsi="宋体" w:eastAsia="宋体" w:cs="宋体"/>
                <w:szCs w:val="21"/>
              </w:rPr>
            </w:pPr>
            <w:r>
              <w:rPr>
                <w:rFonts w:hint="eastAsia" w:ascii="宋体" w:hAnsi="宋体" w:eastAsia="宋体" w:cs="宋体"/>
                <w:szCs w:val="21"/>
                <w:lang w:bidi="ar"/>
              </w:rPr>
              <w:t>（4）陈子昂与张说。</w:t>
            </w:r>
          </w:p>
          <w:p w14:paraId="300989EC">
            <w:pPr>
              <w:jc w:val="left"/>
              <w:rPr>
                <w:rFonts w:hint="eastAsia" w:ascii="宋体" w:hAnsi="宋体" w:eastAsia="宋体" w:cs="Times New Roman"/>
                <w:szCs w:val="21"/>
              </w:rPr>
            </w:pPr>
          </w:p>
        </w:tc>
        <w:tc>
          <w:tcPr>
            <w:tcW w:w="1144" w:type="dxa"/>
            <w:vAlign w:val="center"/>
          </w:tcPr>
          <w:p w14:paraId="78FCE292">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2018" w:type="dxa"/>
            <w:vAlign w:val="center"/>
          </w:tcPr>
          <w:p w14:paraId="188CF1F4">
            <w:pPr>
              <w:adjustRightInd w:val="0"/>
              <w:snapToGrid w:val="0"/>
              <w:rPr>
                <w:rFonts w:hint="eastAsia" w:ascii="宋体" w:hAnsi="宋体" w:eastAsia="宋体" w:cs="宋体"/>
                <w:szCs w:val="21"/>
              </w:rPr>
            </w:pPr>
            <w:r>
              <w:rPr>
                <w:rFonts w:hint="eastAsia" w:ascii="宋体" w:hAnsi="宋体" w:eastAsia="宋体" w:cs="宋体"/>
                <w:szCs w:val="21"/>
                <w:lang w:bidi="ar"/>
              </w:rPr>
              <w:t>（1）了解唐代律诗的体式及诗歌鉴赏的相关理论。</w:t>
            </w:r>
          </w:p>
          <w:p w14:paraId="722ADB4E">
            <w:pPr>
              <w:adjustRightInd w:val="0"/>
              <w:snapToGrid w:val="0"/>
              <w:rPr>
                <w:rFonts w:hint="eastAsia" w:ascii="宋体" w:hAnsi="宋体" w:eastAsia="宋体" w:cs="宋体"/>
                <w:szCs w:val="21"/>
              </w:rPr>
            </w:pPr>
            <w:r>
              <w:rPr>
                <w:rFonts w:hint="eastAsia" w:ascii="宋体" w:hAnsi="宋体" w:eastAsia="宋体" w:cs="宋体"/>
                <w:szCs w:val="21"/>
                <w:lang w:bidi="ar"/>
              </w:rPr>
              <w:t>（2）了解初唐四杰及陈子昂诗歌的思想性及艺术特征。</w:t>
            </w:r>
          </w:p>
          <w:p w14:paraId="712C2BFB">
            <w:pPr>
              <w:adjustRightInd w:val="0"/>
              <w:snapToGrid w:val="0"/>
              <w:rPr>
                <w:rFonts w:hint="eastAsia" w:ascii="宋体" w:hAnsi="宋体" w:eastAsia="宋体" w:cs="宋体"/>
                <w:szCs w:val="21"/>
              </w:rPr>
            </w:pPr>
            <w:r>
              <w:rPr>
                <w:rFonts w:hint="eastAsia" w:ascii="宋体" w:hAnsi="宋体" w:eastAsia="宋体" w:cs="宋体"/>
                <w:szCs w:val="21"/>
                <w:lang w:bidi="ar"/>
              </w:rPr>
              <w:t>（3）认真阅读诗歌作品，尤其是王绩、初唐四杰及陈子昂的作品及相关的研究论著。</w:t>
            </w:r>
          </w:p>
          <w:p w14:paraId="46A024B5">
            <w:pPr>
              <w:adjustRightInd w:val="0"/>
              <w:snapToGrid w:val="0"/>
              <w:rPr>
                <w:rFonts w:hint="eastAsia" w:ascii="宋体" w:hAnsi="宋体" w:eastAsia="宋体" w:cs="Times New Roman"/>
                <w:szCs w:val="21"/>
              </w:rPr>
            </w:pPr>
            <w:r>
              <w:rPr>
                <w:rFonts w:hint="eastAsia" w:ascii="宋体" w:hAnsi="宋体" w:eastAsia="宋体" w:cs="宋体"/>
                <w:szCs w:val="21"/>
                <w:lang w:bidi="ar"/>
              </w:rPr>
              <w:t>（4）讨论积极，提高诗歌鉴赏研究的能力。</w:t>
            </w:r>
          </w:p>
        </w:tc>
        <w:tc>
          <w:tcPr>
            <w:tcW w:w="1482" w:type="dxa"/>
            <w:vAlign w:val="center"/>
          </w:tcPr>
          <w:p w14:paraId="08AD1C95">
            <w:pPr>
              <w:jc w:val="left"/>
              <w:rPr>
                <w:rFonts w:hint="eastAsia" w:ascii="宋体" w:hAnsi="宋体" w:eastAsia="宋体" w:cs="Times New Roman"/>
                <w:szCs w:val="21"/>
              </w:rPr>
            </w:pPr>
            <w:r>
              <w:rPr>
                <w:rFonts w:hint="eastAsia" w:ascii="宋体" w:hAnsi="宋体" w:eastAsia="宋体" w:cs="Times New Roman"/>
                <w:szCs w:val="21"/>
              </w:rPr>
              <w:t>1.线上学习</w:t>
            </w:r>
          </w:p>
          <w:p w14:paraId="742E3806">
            <w:pPr>
              <w:jc w:val="left"/>
              <w:rPr>
                <w:rFonts w:hint="eastAsia" w:ascii="宋体" w:hAnsi="宋体" w:eastAsia="宋体" w:cs="Times New Roman"/>
                <w:szCs w:val="21"/>
              </w:rPr>
            </w:pPr>
            <w:r>
              <w:rPr>
                <w:rFonts w:hint="eastAsia" w:ascii="宋体" w:hAnsi="宋体" w:eastAsia="宋体" w:cs="Times New Roman"/>
                <w:szCs w:val="21"/>
              </w:rPr>
              <w:t>2.多媒体教学</w:t>
            </w:r>
          </w:p>
          <w:p w14:paraId="2C282B5A">
            <w:pPr>
              <w:jc w:val="left"/>
              <w:rPr>
                <w:rFonts w:hint="eastAsia" w:ascii="宋体" w:hAnsi="宋体" w:eastAsia="宋体" w:cs="Times New Roman"/>
                <w:szCs w:val="21"/>
              </w:rPr>
            </w:pPr>
            <w:r>
              <w:rPr>
                <w:rFonts w:hint="eastAsia" w:ascii="宋体" w:hAnsi="宋体" w:eastAsia="宋体" w:cs="Times New Roman"/>
                <w:szCs w:val="21"/>
              </w:rPr>
              <w:t>3.课堂讨论</w:t>
            </w:r>
          </w:p>
          <w:p w14:paraId="1C13E833">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0" w:type="auto"/>
            <w:vAlign w:val="center"/>
          </w:tcPr>
          <w:p w14:paraId="42BFB176">
            <w:pPr>
              <w:jc w:val="center"/>
              <w:rPr>
                <w:rFonts w:hint="eastAsia" w:ascii="宋体" w:hAnsi="宋体" w:eastAsia="宋体" w:cs="Times New Roman"/>
                <w:szCs w:val="21"/>
              </w:rPr>
            </w:pPr>
            <w:r>
              <w:rPr>
                <w:rFonts w:hint="eastAsia" w:ascii="宋体" w:hAnsi="宋体" w:eastAsia="宋体" w:cs="Times New Roman"/>
                <w:szCs w:val="21"/>
              </w:rPr>
              <w:t>4</w:t>
            </w:r>
          </w:p>
        </w:tc>
      </w:tr>
      <w:tr w14:paraId="49079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7B3F4B2E">
            <w:pPr>
              <w:jc w:val="center"/>
              <w:rPr>
                <w:rFonts w:hint="eastAsia" w:ascii="宋体" w:hAnsi="宋体" w:eastAsia="宋体" w:cs="Times New Roman"/>
                <w:szCs w:val="21"/>
              </w:rPr>
            </w:pPr>
          </w:p>
        </w:tc>
        <w:tc>
          <w:tcPr>
            <w:tcW w:w="7669" w:type="dxa"/>
            <w:gridSpan w:val="5"/>
            <w:vAlign w:val="center"/>
          </w:tcPr>
          <w:p w14:paraId="463422DD">
            <w:pPr>
              <w:adjustRightInd w:val="0"/>
              <w:snapToGrid w:val="0"/>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宋体"/>
                <w:szCs w:val="21"/>
                <w:lang w:bidi="ar"/>
              </w:rPr>
              <w:t>结合陈子昂的诗学理论对其诗歌创作进行细致深入的分析，使学生进一步认识艺术源于生活的艺术观念，树立以诗歌反映社会现实的马克思主义诗学观。</w:t>
            </w:r>
          </w:p>
          <w:p w14:paraId="592A5B90">
            <w:pPr>
              <w:jc w:val="left"/>
              <w:rPr>
                <w:rFonts w:hint="eastAsia" w:ascii="宋体" w:hAnsi="宋体" w:eastAsia="宋体" w:cs="Times New Roman"/>
                <w:szCs w:val="21"/>
              </w:rPr>
            </w:pPr>
          </w:p>
        </w:tc>
      </w:tr>
      <w:tr w14:paraId="45405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4338C639">
            <w:pPr>
              <w:adjustRightInd w:val="0"/>
              <w:snapToGrid w:val="0"/>
              <w:rPr>
                <w:rFonts w:hint="eastAsia" w:ascii="宋体" w:hAnsi="宋体" w:eastAsia="宋体" w:cs="宋体"/>
                <w:b/>
                <w:bCs/>
                <w:szCs w:val="21"/>
              </w:rPr>
            </w:pPr>
            <w:r>
              <w:rPr>
                <w:rFonts w:hint="eastAsia" w:ascii="宋体" w:hAnsi="宋体" w:eastAsia="宋体" w:cs="Times New Roman"/>
                <w:szCs w:val="21"/>
              </w:rPr>
              <w:t>3.</w:t>
            </w:r>
            <w:r>
              <w:rPr>
                <w:rFonts w:hint="eastAsia" w:ascii="宋体" w:hAnsi="宋体" w:eastAsia="宋体" w:cs="宋体"/>
                <w:b/>
                <w:bCs/>
                <w:szCs w:val="21"/>
                <w:lang w:bidi="ar"/>
              </w:rPr>
              <w:t>盛唐气象——山水田园诗与边塞诗</w:t>
            </w:r>
          </w:p>
          <w:p w14:paraId="74194FC5">
            <w:pPr>
              <w:jc w:val="center"/>
              <w:rPr>
                <w:rFonts w:hint="eastAsia" w:ascii="宋体" w:hAnsi="宋体" w:eastAsia="宋体" w:cs="Times New Roman"/>
                <w:szCs w:val="21"/>
              </w:rPr>
            </w:pPr>
          </w:p>
        </w:tc>
        <w:tc>
          <w:tcPr>
            <w:tcW w:w="2387" w:type="dxa"/>
            <w:vAlign w:val="center"/>
          </w:tcPr>
          <w:p w14:paraId="0A163B52">
            <w:pPr>
              <w:adjustRightInd w:val="0"/>
              <w:snapToGrid w:val="0"/>
              <w:rPr>
                <w:rFonts w:hint="eastAsia" w:ascii="宋体" w:hAnsi="宋体" w:eastAsia="宋体" w:cs="宋体"/>
                <w:szCs w:val="21"/>
              </w:rPr>
            </w:pPr>
            <w:r>
              <w:rPr>
                <w:rFonts w:hint="eastAsia" w:ascii="宋体" w:hAnsi="宋体" w:eastAsia="宋体" w:cs="宋体"/>
                <w:szCs w:val="21"/>
                <w:lang w:bidi="ar"/>
              </w:rPr>
              <w:t>（1）盛唐诗概述。</w:t>
            </w:r>
          </w:p>
          <w:p w14:paraId="11EE6AEB">
            <w:pPr>
              <w:adjustRightInd w:val="0"/>
              <w:snapToGrid w:val="0"/>
              <w:rPr>
                <w:rFonts w:hint="eastAsia" w:ascii="宋体" w:hAnsi="宋体" w:eastAsia="宋体" w:cs="宋体"/>
                <w:szCs w:val="21"/>
              </w:rPr>
            </w:pPr>
            <w:r>
              <w:rPr>
                <w:rFonts w:hint="eastAsia" w:ascii="宋体" w:hAnsi="宋体" w:eastAsia="宋体" w:cs="宋体"/>
                <w:szCs w:val="21"/>
                <w:lang w:bidi="ar"/>
              </w:rPr>
              <w:t>（2）盛唐山水田园诗歌与边塞诗歌产生的原因，及诗歌的内容、体裁、总体风貌。</w:t>
            </w:r>
          </w:p>
          <w:p w14:paraId="028880B5">
            <w:pPr>
              <w:adjustRightInd w:val="0"/>
              <w:snapToGrid w:val="0"/>
              <w:rPr>
                <w:rFonts w:hint="eastAsia" w:ascii="宋体" w:hAnsi="宋体" w:eastAsia="宋体" w:cs="宋体"/>
                <w:szCs w:val="21"/>
              </w:rPr>
            </w:pPr>
            <w:r>
              <w:rPr>
                <w:rFonts w:hint="eastAsia" w:ascii="宋体" w:hAnsi="宋体" w:eastAsia="宋体" w:cs="宋体"/>
                <w:szCs w:val="21"/>
                <w:lang w:bidi="ar"/>
              </w:rPr>
              <w:t>（3）山水田园诗派及其诗歌创作。</w:t>
            </w:r>
          </w:p>
          <w:p w14:paraId="49BE503B">
            <w:pPr>
              <w:adjustRightInd w:val="0"/>
              <w:snapToGrid w:val="0"/>
              <w:rPr>
                <w:rFonts w:hint="eastAsia" w:ascii="宋体" w:hAnsi="宋体" w:eastAsia="宋体" w:cs="Times New Roman"/>
                <w:szCs w:val="21"/>
              </w:rPr>
            </w:pPr>
            <w:r>
              <w:rPr>
                <w:rFonts w:hint="eastAsia" w:ascii="宋体" w:hAnsi="宋体" w:eastAsia="宋体" w:cs="宋体"/>
                <w:szCs w:val="21"/>
                <w:lang w:bidi="ar"/>
              </w:rPr>
              <w:t>（4）边塞诗派及其诗歌创作。</w:t>
            </w:r>
          </w:p>
        </w:tc>
        <w:tc>
          <w:tcPr>
            <w:tcW w:w="1144" w:type="dxa"/>
            <w:vAlign w:val="center"/>
          </w:tcPr>
          <w:p w14:paraId="2518D548">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2018" w:type="dxa"/>
            <w:vAlign w:val="center"/>
          </w:tcPr>
          <w:p w14:paraId="44BB0093">
            <w:pPr>
              <w:adjustRightInd w:val="0"/>
              <w:snapToGrid w:val="0"/>
              <w:rPr>
                <w:rFonts w:hint="eastAsia" w:ascii="宋体" w:hAnsi="宋体" w:eastAsia="宋体" w:cs="宋体"/>
                <w:szCs w:val="21"/>
              </w:rPr>
            </w:pPr>
            <w:r>
              <w:rPr>
                <w:rFonts w:hint="eastAsia" w:ascii="宋体" w:hAnsi="宋体" w:eastAsia="宋体" w:cs="宋体"/>
                <w:szCs w:val="21"/>
                <w:lang w:bidi="ar"/>
              </w:rPr>
              <w:t>（1）了解诗歌鉴赏的相关理论。</w:t>
            </w:r>
          </w:p>
          <w:p w14:paraId="5511E3F0">
            <w:pPr>
              <w:adjustRightInd w:val="0"/>
              <w:snapToGrid w:val="0"/>
              <w:rPr>
                <w:rFonts w:hint="eastAsia" w:ascii="宋体" w:hAnsi="宋体" w:eastAsia="宋体" w:cs="宋体"/>
                <w:szCs w:val="21"/>
              </w:rPr>
            </w:pPr>
            <w:r>
              <w:rPr>
                <w:rFonts w:hint="eastAsia" w:ascii="宋体" w:hAnsi="宋体" w:eastAsia="宋体" w:cs="宋体"/>
                <w:szCs w:val="21"/>
                <w:lang w:bidi="ar"/>
              </w:rPr>
              <w:t>（2）了解盛唐诗的划定及艺术特征；掌握山水田园诗派、边塞诗派的诗风。</w:t>
            </w:r>
          </w:p>
          <w:p w14:paraId="2A62548B">
            <w:pPr>
              <w:adjustRightInd w:val="0"/>
              <w:snapToGrid w:val="0"/>
              <w:rPr>
                <w:rFonts w:hint="eastAsia" w:ascii="宋体" w:hAnsi="宋体" w:eastAsia="宋体" w:cs="宋体"/>
                <w:szCs w:val="21"/>
              </w:rPr>
            </w:pPr>
            <w:r>
              <w:rPr>
                <w:rFonts w:hint="eastAsia" w:ascii="宋体" w:hAnsi="宋体" w:eastAsia="宋体" w:cs="宋体"/>
                <w:szCs w:val="21"/>
                <w:lang w:bidi="ar"/>
              </w:rPr>
              <w:t>（3）认真阅读诗歌作品，尤其是孟浩然、王维、高适、岑参等盛唐诗人的作品及相关的研究论著。</w:t>
            </w:r>
          </w:p>
          <w:p w14:paraId="1952109F">
            <w:pPr>
              <w:adjustRightInd w:val="0"/>
              <w:snapToGrid w:val="0"/>
              <w:rPr>
                <w:rFonts w:hint="eastAsia" w:ascii="宋体" w:hAnsi="宋体" w:eastAsia="宋体" w:cs="Times New Roman"/>
                <w:szCs w:val="21"/>
              </w:rPr>
            </w:pPr>
            <w:r>
              <w:rPr>
                <w:rFonts w:hint="eastAsia" w:ascii="宋体" w:hAnsi="宋体" w:eastAsia="宋体" w:cs="宋体"/>
                <w:szCs w:val="21"/>
                <w:lang w:bidi="ar"/>
              </w:rPr>
              <w:t>（4）讨论积极，提高诗歌鉴赏能力。</w:t>
            </w:r>
          </w:p>
        </w:tc>
        <w:tc>
          <w:tcPr>
            <w:tcW w:w="1482" w:type="dxa"/>
            <w:vAlign w:val="center"/>
          </w:tcPr>
          <w:p w14:paraId="7C54591B">
            <w:pPr>
              <w:jc w:val="left"/>
              <w:rPr>
                <w:rFonts w:hint="eastAsia" w:ascii="宋体" w:hAnsi="宋体" w:eastAsia="宋体" w:cs="Times New Roman"/>
                <w:szCs w:val="21"/>
              </w:rPr>
            </w:pPr>
            <w:r>
              <w:rPr>
                <w:rFonts w:ascii="宋体" w:hAnsi="宋体" w:eastAsia="宋体" w:cs="Times New Roman"/>
                <w:szCs w:val="21"/>
              </w:rPr>
              <w:t>1.线上学习</w:t>
            </w:r>
          </w:p>
          <w:p w14:paraId="4AEB6D99">
            <w:pPr>
              <w:jc w:val="left"/>
              <w:rPr>
                <w:rFonts w:hint="eastAsia" w:ascii="宋体" w:hAnsi="宋体" w:eastAsia="宋体" w:cs="Times New Roman"/>
                <w:szCs w:val="21"/>
              </w:rPr>
            </w:pPr>
            <w:r>
              <w:rPr>
                <w:rFonts w:ascii="宋体" w:hAnsi="宋体" w:eastAsia="宋体" w:cs="Times New Roman"/>
                <w:szCs w:val="21"/>
              </w:rPr>
              <w:t>2.多媒体教学</w:t>
            </w:r>
          </w:p>
          <w:p w14:paraId="44D86C1C">
            <w:pPr>
              <w:jc w:val="left"/>
              <w:rPr>
                <w:rFonts w:hint="eastAsia" w:ascii="宋体" w:hAnsi="宋体" w:eastAsia="宋体" w:cs="Times New Roman"/>
                <w:szCs w:val="21"/>
              </w:rPr>
            </w:pPr>
            <w:r>
              <w:rPr>
                <w:rFonts w:ascii="宋体" w:hAnsi="宋体" w:eastAsia="宋体" w:cs="Times New Roman"/>
                <w:szCs w:val="21"/>
              </w:rPr>
              <w:t>3.课堂讨论</w:t>
            </w:r>
          </w:p>
          <w:p w14:paraId="3DB84CBB">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6264849D">
            <w:pPr>
              <w:jc w:val="center"/>
              <w:rPr>
                <w:rFonts w:hint="eastAsia" w:ascii="宋体" w:hAnsi="宋体" w:eastAsia="宋体" w:cs="Times New Roman"/>
                <w:szCs w:val="21"/>
              </w:rPr>
            </w:pPr>
            <w:r>
              <w:rPr>
                <w:rFonts w:hint="eastAsia" w:ascii="宋体" w:hAnsi="宋体" w:eastAsia="宋体" w:cs="Times New Roman"/>
                <w:szCs w:val="21"/>
              </w:rPr>
              <w:t>3</w:t>
            </w:r>
          </w:p>
        </w:tc>
      </w:tr>
      <w:tr w14:paraId="04FE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5149B86F">
            <w:pPr>
              <w:jc w:val="center"/>
              <w:rPr>
                <w:rFonts w:hint="eastAsia" w:ascii="宋体" w:hAnsi="宋体" w:eastAsia="宋体" w:cs="Times New Roman"/>
                <w:szCs w:val="21"/>
              </w:rPr>
            </w:pPr>
          </w:p>
        </w:tc>
        <w:tc>
          <w:tcPr>
            <w:tcW w:w="7669" w:type="dxa"/>
            <w:gridSpan w:val="5"/>
            <w:vAlign w:val="center"/>
          </w:tcPr>
          <w:p w14:paraId="14354E66">
            <w:pPr>
              <w:adjustRightInd w:val="0"/>
              <w:snapToGrid w:val="0"/>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宋体"/>
                <w:szCs w:val="21"/>
                <w:lang w:bidi="ar"/>
              </w:rPr>
              <w:t>让学生充分理解古代诗人关注人民生活状态，重视人民意愿的人文情怀，从而培养学生正确的世界观、人生观与价值观。</w:t>
            </w:r>
          </w:p>
          <w:p w14:paraId="5C0D4AE3">
            <w:pPr>
              <w:jc w:val="left"/>
              <w:rPr>
                <w:rFonts w:hint="eastAsia" w:ascii="宋体" w:hAnsi="宋体" w:eastAsia="宋体" w:cs="Times New Roman"/>
                <w:szCs w:val="21"/>
              </w:rPr>
            </w:pPr>
          </w:p>
        </w:tc>
      </w:tr>
      <w:tr w14:paraId="065A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3DA290CF">
            <w:pPr>
              <w:jc w:val="center"/>
              <w:rPr>
                <w:rFonts w:hint="eastAsia" w:ascii="宋体" w:hAnsi="宋体" w:eastAsia="宋体" w:cs="Times New Roman"/>
                <w:szCs w:val="21"/>
              </w:rPr>
            </w:pPr>
            <w:r>
              <w:rPr>
                <w:rFonts w:hint="eastAsia" w:ascii="宋体" w:hAnsi="宋体" w:eastAsia="宋体" w:cs="Times New Roman"/>
                <w:szCs w:val="21"/>
              </w:rPr>
              <w:t>4.</w:t>
            </w:r>
            <w:r>
              <w:rPr>
                <w:rFonts w:hint="eastAsia" w:ascii="宋体" w:hAnsi="宋体" w:eastAsia="宋体" w:cs="宋体"/>
                <w:b/>
                <w:bCs/>
                <w:szCs w:val="21"/>
                <w:lang w:bidi="ar"/>
              </w:rPr>
              <w:t>盛唐诗歌的双子星座——李白与杜甫</w:t>
            </w:r>
          </w:p>
        </w:tc>
        <w:tc>
          <w:tcPr>
            <w:tcW w:w="2387" w:type="dxa"/>
            <w:vAlign w:val="center"/>
          </w:tcPr>
          <w:p w14:paraId="209A2394">
            <w:pPr>
              <w:adjustRightInd w:val="0"/>
              <w:snapToGrid w:val="0"/>
              <w:rPr>
                <w:rFonts w:hint="eastAsia" w:ascii="宋体" w:hAnsi="宋体" w:eastAsia="宋体" w:cs="宋体"/>
                <w:szCs w:val="21"/>
              </w:rPr>
            </w:pPr>
            <w:r>
              <w:rPr>
                <w:rFonts w:hint="eastAsia" w:ascii="宋体" w:hAnsi="宋体" w:eastAsia="宋体" w:cs="宋体"/>
                <w:szCs w:val="21"/>
                <w:lang w:bidi="ar"/>
              </w:rPr>
              <w:t>（1）李白及其诗歌创作。</w:t>
            </w:r>
          </w:p>
          <w:p w14:paraId="54539817">
            <w:pPr>
              <w:adjustRightInd w:val="0"/>
              <w:snapToGrid w:val="0"/>
              <w:rPr>
                <w:rFonts w:hint="eastAsia" w:ascii="宋体" w:hAnsi="宋体" w:eastAsia="宋体" w:cs="Times New Roman"/>
                <w:szCs w:val="21"/>
              </w:rPr>
            </w:pPr>
            <w:r>
              <w:rPr>
                <w:rFonts w:hint="eastAsia" w:ascii="宋体" w:hAnsi="宋体" w:eastAsia="宋体" w:cs="宋体"/>
                <w:szCs w:val="21"/>
                <w:lang w:bidi="ar"/>
              </w:rPr>
              <w:t>（2）杜甫及其诗歌创作。</w:t>
            </w:r>
          </w:p>
        </w:tc>
        <w:tc>
          <w:tcPr>
            <w:tcW w:w="1144" w:type="dxa"/>
            <w:vAlign w:val="center"/>
          </w:tcPr>
          <w:p w14:paraId="25FE9475">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018" w:type="dxa"/>
            <w:vAlign w:val="center"/>
          </w:tcPr>
          <w:p w14:paraId="329207C6">
            <w:pPr>
              <w:adjustRightInd w:val="0"/>
              <w:snapToGrid w:val="0"/>
              <w:rPr>
                <w:rFonts w:hint="eastAsia" w:ascii="宋体" w:hAnsi="宋体" w:eastAsia="宋体" w:cs="宋体"/>
                <w:szCs w:val="21"/>
              </w:rPr>
            </w:pPr>
            <w:r>
              <w:rPr>
                <w:rFonts w:hint="eastAsia" w:ascii="宋体" w:hAnsi="宋体" w:eastAsia="宋体" w:cs="宋体"/>
                <w:szCs w:val="21"/>
                <w:lang w:bidi="ar"/>
              </w:rPr>
              <w:t>（1）了解诗歌鉴赏的相关理论。</w:t>
            </w:r>
          </w:p>
          <w:p w14:paraId="27410468">
            <w:pPr>
              <w:adjustRightInd w:val="0"/>
              <w:snapToGrid w:val="0"/>
              <w:rPr>
                <w:rFonts w:hint="eastAsia" w:ascii="宋体" w:hAnsi="宋体" w:eastAsia="宋体" w:cs="宋体"/>
                <w:szCs w:val="21"/>
              </w:rPr>
            </w:pPr>
            <w:r>
              <w:rPr>
                <w:rFonts w:hint="eastAsia" w:ascii="宋体" w:hAnsi="宋体" w:eastAsia="宋体" w:cs="宋体"/>
                <w:szCs w:val="21"/>
                <w:lang w:bidi="ar"/>
              </w:rPr>
              <w:t>（2）了解李白、杜甫的生平思想与诗歌创作的关系。</w:t>
            </w:r>
          </w:p>
          <w:p w14:paraId="0452DC95">
            <w:pPr>
              <w:adjustRightInd w:val="0"/>
              <w:snapToGrid w:val="0"/>
              <w:rPr>
                <w:rFonts w:hint="eastAsia" w:ascii="宋体" w:hAnsi="宋体" w:eastAsia="宋体" w:cs="宋体"/>
                <w:szCs w:val="21"/>
              </w:rPr>
            </w:pPr>
            <w:r>
              <w:rPr>
                <w:rFonts w:hint="eastAsia" w:ascii="宋体" w:hAnsi="宋体" w:eastAsia="宋体" w:cs="宋体"/>
                <w:szCs w:val="21"/>
                <w:lang w:bidi="ar"/>
              </w:rPr>
              <w:t>（3）认真阅读李白、杜甫诗歌作品及相关的研究论著。</w:t>
            </w:r>
          </w:p>
          <w:p w14:paraId="79E4E896">
            <w:pPr>
              <w:adjustRightInd w:val="0"/>
              <w:snapToGrid w:val="0"/>
              <w:rPr>
                <w:rFonts w:hint="eastAsia" w:ascii="宋体" w:hAnsi="宋体" w:eastAsia="宋体" w:cs="Times New Roman"/>
                <w:szCs w:val="21"/>
              </w:rPr>
            </w:pPr>
            <w:r>
              <w:rPr>
                <w:rFonts w:hint="eastAsia" w:ascii="宋体" w:hAnsi="宋体" w:eastAsia="宋体" w:cs="宋体"/>
                <w:szCs w:val="21"/>
                <w:lang w:bidi="ar"/>
              </w:rPr>
              <w:t>（4）讨论积极，提高诗歌鉴赏能力。</w:t>
            </w:r>
          </w:p>
        </w:tc>
        <w:tc>
          <w:tcPr>
            <w:tcW w:w="1482" w:type="dxa"/>
            <w:vAlign w:val="center"/>
          </w:tcPr>
          <w:p w14:paraId="5DBBC5FD">
            <w:pPr>
              <w:jc w:val="left"/>
              <w:rPr>
                <w:rFonts w:hint="eastAsia" w:ascii="宋体" w:hAnsi="宋体" w:eastAsia="宋体" w:cs="Times New Roman"/>
                <w:szCs w:val="21"/>
              </w:rPr>
            </w:pPr>
            <w:r>
              <w:rPr>
                <w:rFonts w:ascii="宋体" w:hAnsi="宋体" w:eastAsia="宋体" w:cs="Times New Roman"/>
                <w:szCs w:val="21"/>
              </w:rPr>
              <w:t>1.线上学习</w:t>
            </w:r>
          </w:p>
          <w:p w14:paraId="07A772B9">
            <w:pPr>
              <w:jc w:val="left"/>
              <w:rPr>
                <w:rFonts w:hint="eastAsia" w:ascii="宋体" w:hAnsi="宋体" w:eastAsia="宋体" w:cs="Times New Roman"/>
                <w:szCs w:val="21"/>
              </w:rPr>
            </w:pPr>
            <w:r>
              <w:rPr>
                <w:rFonts w:ascii="宋体" w:hAnsi="宋体" w:eastAsia="宋体" w:cs="Times New Roman"/>
                <w:szCs w:val="21"/>
              </w:rPr>
              <w:t>2.多媒体教学</w:t>
            </w:r>
          </w:p>
          <w:p w14:paraId="3DE8E7B1">
            <w:pPr>
              <w:jc w:val="left"/>
              <w:rPr>
                <w:rFonts w:hint="eastAsia" w:ascii="宋体" w:hAnsi="宋体" w:eastAsia="宋体" w:cs="Times New Roman"/>
                <w:szCs w:val="21"/>
              </w:rPr>
            </w:pPr>
            <w:r>
              <w:rPr>
                <w:rFonts w:ascii="宋体" w:hAnsi="宋体" w:eastAsia="宋体" w:cs="Times New Roman"/>
                <w:szCs w:val="21"/>
              </w:rPr>
              <w:t>3.课堂讨论</w:t>
            </w:r>
          </w:p>
          <w:p w14:paraId="2B0D4BE4">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38253475">
            <w:pPr>
              <w:jc w:val="center"/>
              <w:rPr>
                <w:rFonts w:hint="eastAsia" w:ascii="宋体" w:hAnsi="宋体" w:eastAsia="宋体" w:cs="Times New Roman"/>
                <w:szCs w:val="21"/>
              </w:rPr>
            </w:pPr>
            <w:r>
              <w:rPr>
                <w:rFonts w:hint="eastAsia" w:ascii="宋体" w:hAnsi="宋体" w:eastAsia="宋体" w:cs="Times New Roman"/>
                <w:szCs w:val="21"/>
              </w:rPr>
              <w:t>3</w:t>
            </w:r>
          </w:p>
        </w:tc>
      </w:tr>
      <w:tr w14:paraId="35B02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4FCAF555">
            <w:pPr>
              <w:jc w:val="center"/>
              <w:rPr>
                <w:rFonts w:hint="eastAsia" w:ascii="宋体" w:hAnsi="宋体" w:eastAsia="宋体" w:cs="Times New Roman"/>
                <w:szCs w:val="21"/>
              </w:rPr>
            </w:pPr>
          </w:p>
        </w:tc>
        <w:tc>
          <w:tcPr>
            <w:tcW w:w="7669" w:type="dxa"/>
            <w:gridSpan w:val="5"/>
            <w:vAlign w:val="center"/>
          </w:tcPr>
          <w:p w14:paraId="38328CC7">
            <w:pPr>
              <w:adjustRightInd w:val="0"/>
              <w:snapToGrid w:val="0"/>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宋体"/>
                <w:szCs w:val="21"/>
                <w:lang w:bidi="ar"/>
              </w:rPr>
              <w:t>通过学习李白、杜甫诗歌，培养学生蔑视权贵的独立人格与兼济天下的</w:t>
            </w:r>
            <w:r>
              <w:rPr>
                <w:rFonts w:hint="eastAsia" w:ascii="宋体" w:hAnsi="宋体" w:eastAsia="宋体" w:cs="宋体"/>
                <w:kern w:val="0"/>
                <w:szCs w:val="21"/>
                <w:lang w:bidi="ar"/>
              </w:rPr>
              <w:t>社会责任感。</w:t>
            </w:r>
          </w:p>
          <w:p w14:paraId="064F9267">
            <w:pPr>
              <w:jc w:val="left"/>
              <w:rPr>
                <w:rFonts w:hint="eastAsia" w:ascii="宋体" w:hAnsi="宋体" w:eastAsia="宋体" w:cs="Times New Roman"/>
                <w:szCs w:val="21"/>
              </w:rPr>
            </w:pPr>
          </w:p>
        </w:tc>
      </w:tr>
      <w:tr w14:paraId="7C2B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40D43497">
            <w:pPr>
              <w:adjustRightInd w:val="0"/>
              <w:snapToGrid w:val="0"/>
              <w:rPr>
                <w:rFonts w:hint="eastAsia" w:ascii="宋体" w:hAnsi="宋体" w:eastAsia="宋体" w:cs="宋体"/>
                <w:b/>
                <w:bCs/>
                <w:szCs w:val="21"/>
              </w:rPr>
            </w:pPr>
            <w:r>
              <w:rPr>
                <w:rFonts w:hint="eastAsia" w:ascii="宋体" w:hAnsi="宋体" w:eastAsia="宋体" w:cs="Times New Roman"/>
                <w:szCs w:val="21"/>
              </w:rPr>
              <w:t>5.</w:t>
            </w:r>
            <w:r>
              <w:rPr>
                <w:rFonts w:hint="eastAsia" w:ascii="宋体" w:hAnsi="宋体" w:eastAsia="宋体" w:cs="宋体"/>
                <w:b/>
                <w:bCs/>
                <w:szCs w:val="21"/>
                <w:lang w:bidi="ar"/>
              </w:rPr>
              <w:t>诗风大变的中唐诗坛——元白乐府与韩孟诗派</w:t>
            </w:r>
          </w:p>
          <w:p w14:paraId="27F2600C">
            <w:pPr>
              <w:jc w:val="center"/>
              <w:rPr>
                <w:rFonts w:hint="eastAsia" w:ascii="宋体" w:hAnsi="宋体" w:eastAsia="宋体" w:cs="Times New Roman"/>
                <w:szCs w:val="21"/>
              </w:rPr>
            </w:pPr>
          </w:p>
        </w:tc>
        <w:tc>
          <w:tcPr>
            <w:tcW w:w="2387" w:type="dxa"/>
            <w:vAlign w:val="center"/>
          </w:tcPr>
          <w:p w14:paraId="185B6203">
            <w:pPr>
              <w:adjustRightInd w:val="0"/>
              <w:snapToGrid w:val="0"/>
              <w:rPr>
                <w:rFonts w:hint="eastAsia" w:ascii="宋体" w:hAnsi="宋体" w:eastAsia="宋体" w:cs="宋体"/>
                <w:szCs w:val="21"/>
              </w:rPr>
            </w:pPr>
            <w:r>
              <w:rPr>
                <w:rFonts w:hint="eastAsia" w:ascii="宋体" w:hAnsi="宋体" w:eastAsia="宋体" w:cs="宋体"/>
                <w:szCs w:val="21"/>
                <w:lang w:bidi="ar"/>
              </w:rPr>
              <w:t>（1）中唐诗歌概况。</w:t>
            </w:r>
          </w:p>
          <w:p w14:paraId="04CBC2AB">
            <w:pPr>
              <w:adjustRightInd w:val="0"/>
              <w:snapToGrid w:val="0"/>
              <w:rPr>
                <w:rFonts w:hint="eastAsia" w:ascii="宋体" w:hAnsi="宋体" w:eastAsia="宋体" w:cs="宋体"/>
                <w:szCs w:val="21"/>
              </w:rPr>
            </w:pPr>
            <w:r>
              <w:rPr>
                <w:rFonts w:hint="eastAsia" w:ascii="宋体" w:hAnsi="宋体" w:eastAsia="宋体" w:cs="宋体"/>
                <w:szCs w:val="21"/>
                <w:lang w:bidi="ar"/>
              </w:rPr>
              <w:t>（2）柳宗元及其诗歌创作。</w:t>
            </w:r>
          </w:p>
          <w:p w14:paraId="17F7C8BB">
            <w:pPr>
              <w:adjustRightInd w:val="0"/>
              <w:snapToGrid w:val="0"/>
              <w:rPr>
                <w:rFonts w:hint="eastAsia" w:ascii="宋体" w:hAnsi="宋体" w:eastAsia="宋体" w:cs="宋体"/>
                <w:szCs w:val="21"/>
              </w:rPr>
            </w:pPr>
            <w:r>
              <w:rPr>
                <w:rFonts w:hint="eastAsia" w:ascii="宋体" w:hAnsi="宋体" w:eastAsia="宋体" w:cs="宋体"/>
                <w:szCs w:val="21"/>
                <w:lang w:bidi="ar"/>
              </w:rPr>
              <w:t>（3）韦应物及其诗歌创作。</w:t>
            </w:r>
          </w:p>
          <w:p w14:paraId="17DC60AA">
            <w:pPr>
              <w:adjustRightInd w:val="0"/>
              <w:snapToGrid w:val="0"/>
              <w:rPr>
                <w:rFonts w:hint="eastAsia" w:ascii="宋体" w:hAnsi="宋体" w:eastAsia="宋体" w:cs="宋体"/>
                <w:szCs w:val="21"/>
              </w:rPr>
            </w:pPr>
            <w:r>
              <w:rPr>
                <w:rFonts w:hint="eastAsia" w:ascii="宋体" w:hAnsi="宋体" w:eastAsia="宋体" w:cs="宋体"/>
                <w:szCs w:val="21"/>
                <w:lang w:bidi="ar"/>
              </w:rPr>
              <w:t>（4）刘禹锡及其诗歌创作。</w:t>
            </w:r>
          </w:p>
          <w:p w14:paraId="7C750C1B">
            <w:pPr>
              <w:adjustRightInd w:val="0"/>
              <w:snapToGrid w:val="0"/>
              <w:rPr>
                <w:rFonts w:hint="eastAsia" w:ascii="宋体" w:hAnsi="宋体" w:eastAsia="宋体" w:cs="宋体"/>
                <w:szCs w:val="21"/>
              </w:rPr>
            </w:pPr>
            <w:r>
              <w:rPr>
                <w:rFonts w:hint="eastAsia" w:ascii="宋体" w:hAnsi="宋体" w:eastAsia="宋体" w:cs="宋体"/>
                <w:szCs w:val="21"/>
                <w:lang w:bidi="ar"/>
              </w:rPr>
              <w:t>（5）白居易及其诗歌创作。</w:t>
            </w:r>
          </w:p>
          <w:p w14:paraId="315E6A69">
            <w:pPr>
              <w:adjustRightInd w:val="0"/>
              <w:snapToGrid w:val="0"/>
              <w:rPr>
                <w:rFonts w:hint="eastAsia" w:ascii="宋体" w:hAnsi="宋体" w:eastAsia="宋体" w:cs="宋体"/>
                <w:szCs w:val="21"/>
              </w:rPr>
            </w:pPr>
            <w:r>
              <w:rPr>
                <w:rFonts w:hint="eastAsia" w:ascii="宋体" w:hAnsi="宋体" w:eastAsia="宋体" w:cs="宋体"/>
                <w:szCs w:val="21"/>
                <w:lang w:bidi="ar"/>
              </w:rPr>
              <w:t>（6）元稹及其诗歌创作。</w:t>
            </w:r>
          </w:p>
          <w:p w14:paraId="0E2508B4">
            <w:pPr>
              <w:adjustRightInd w:val="0"/>
              <w:snapToGrid w:val="0"/>
              <w:rPr>
                <w:rFonts w:hint="eastAsia" w:ascii="宋体" w:hAnsi="宋体" w:eastAsia="宋体" w:cs="宋体"/>
                <w:szCs w:val="21"/>
              </w:rPr>
            </w:pPr>
            <w:r>
              <w:rPr>
                <w:rFonts w:hint="eastAsia" w:ascii="宋体" w:hAnsi="宋体" w:eastAsia="宋体" w:cs="宋体"/>
                <w:szCs w:val="21"/>
                <w:lang w:bidi="ar"/>
              </w:rPr>
              <w:t>（7）韩孟诗派及其诗歌创作。</w:t>
            </w:r>
          </w:p>
          <w:p w14:paraId="3DCB8A9A">
            <w:pPr>
              <w:adjustRightInd w:val="0"/>
              <w:snapToGrid w:val="0"/>
              <w:rPr>
                <w:rFonts w:hint="eastAsia" w:ascii="宋体" w:hAnsi="宋体" w:eastAsia="宋体" w:cs="Times New Roman"/>
                <w:szCs w:val="21"/>
              </w:rPr>
            </w:pPr>
            <w:r>
              <w:rPr>
                <w:rFonts w:hint="eastAsia" w:ascii="宋体" w:hAnsi="宋体" w:eastAsia="宋体" w:cs="宋体"/>
                <w:szCs w:val="21"/>
                <w:lang w:bidi="ar"/>
              </w:rPr>
              <w:t>（8）李贺及其诗歌创作。</w:t>
            </w:r>
          </w:p>
        </w:tc>
        <w:tc>
          <w:tcPr>
            <w:tcW w:w="1144" w:type="dxa"/>
            <w:vAlign w:val="center"/>
          </w:tcPr>
          <w:p w14:paraId="44910C0A">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018" w:type="dxa"/>
            <w:vAlign w:val="center"/>
          </w:tcPr>
          <w:p w14:paraId="0B87AA29">
            <w:pPr>
              <w:adjustRightInd w:val="0"/>
              <w:snapToGrid w:val="0"/>
              <w:rPr>
                <w:rFonts w:hint="eastAsia" w:ascii="宋体" w:hAnsi="宋体" w:eastAsia="宋体" w:cs="宋体"/>
                <w:szCs w:val="21"/>
              </w:rPr>
            </w:pPr>
            <w:r>
              <w:rPr>
                <w:rFonts w:hint="eastAsia" w:ascii="宋体" w:hAnsi="宋体" w:eastAsia="宋体" w:cs="宋体"/>
                <w:szCs w:val="21"/>
                <w:lang w:bidi="ar"/>
              </w:rPr>
              <w:t>（1）了解诗歌鉴赏的相关理论。</w:t>
            </w:r>
          </w:p>
          <w:p w14:paraId="6E97A828">
            <w:pPr>
              <w:adjustRightInd w:val="0"/>
              <w:snapToGrid w:val="0"/>
              <w:rPr>
                <w:rFonts w:hint="eastAsia" w:ascii="宋体" w:hAnsi="宋体" w:eastAsia="宋体" w:cs="宋体"/>
                <w:szCs w:val="21"/>
              </w:rPr>
            </w:pPr>
            <w:r>
              <w:rPr>
                <w:rFonts w:hint="eastAsia" w:ascii="宋体" w:hAnsi="宋体" w:eastAsia="宋体" w:cs="宋体"/>
                <w:szCs w:val="21"/>
                <w:lang w:bidi="ar"/>
              </w:rPr>
              <w:t>（2）了解中唐诗的艺术特征。</w:t>
            </w:r>
          </w:p>
          <w:p w14:paraId="4B1AE863">
            <w:pPr>
              <w:adjustRightInd w:val="0"/>
              <w:snapToGrid w:val="0"/>
              <w:rPr>
                <w:rFonts w:hint="eastAsia" w:ascii="宋体" w:hAnsi="宋体" w:eastAsia="宋体" w:cs="宋体"/>
                <w:szCs w:val="21"/>
              </w:rPr>
            </w:pPr>
            <w:r>
              <w:rPr>
                <w:rFonts w:hint="eastAsia" w:ascii="宋体" w:hAnsi="宋体" w:eastAsia="宋体" w:cs="宋体"/>
                <w:szCs w:val="21"/>
                <w:lang w:bidi="ar"/>
              </w:rPr>
              <w:t>（3）认真阅读诗歌作品，尤其是柳宗元、白居易、韩愈、李贺等盛唐诗人的作品及相关的研究论著。</w:t>
            </w:r>
          </w:p>
          <w:p w14:paraId="6252007E">
            <w:pPr>
              <w:adjustRightInd w:val="0"/>
              <w:snapToGrid w:val="0"/>
              <w:rPr>
                <w:rFonts w:hint="eastAsia" w:ascii="宋体" w:hAnsi="宋体" w:eastAsia="宋体" w:cs="Times New Roman"/>
                <w:szCs w:val="21"/>
              </w:rPr>
            </w:pPr>
            <w:r>
              <w:rPr>
                <w:rFonts w:hint="eastAsia" w:ascii="宋体" w:hAnsi="宋体" w:eastAsia="宋体" w:cs="宋体"/>
                <w:szCs w:val="21"/>
                <w:lang w:bidi="ar"/>
              </w:rPr>
              <w:t>（4）讨论积极，提高诗歌鉴赏能力。</w:t>
            </w:r>
          </w:p>
        </w:tc>
        <w:tc>
          <w:tcPr>
            <w:tcW w:w="1482" w:type="dxa"/>
            <w:vAlign w:val="center"/>
          </w:tcPr>
          <w:p w14:paraId="7EE9DC81">
            <w:pPr>
              <w:jc w:val="left"/>
              <w:rPr>
                <w:rFonts w:hint="eastAsia" w:ascii="宋体" w:hAnsi="宋体" w:eastAsia="宋体" w:cs="Times New Roman"/>
                <w:szCs w:val="21"/>
              </w:rPr>
            </w:pPr>
            <w:r>
              <w:rPr>
                <w:rFonts w:ascii="宋体" w:hAnsi="宋体" w:eastAsia="宋体" w:cs="Times New Roman"/>
                <w:szCs w:val="21"/>
              </w:rPr>
              <w:t>1.线上学习</w:t>
            </w:r>
          </w:p>
          <w:p w14:paraId="6CBD2EEE">
            <w:pPr>
              <w:jc w:val="left"/>
              <w:rPr>
                <w:rFonts w:hint="eastAsia" w:ascii="宋体" w:hAnsi="宋体" w:eastAsia="宋体" w:cs="Times New Roman"/>
                <w:szCs w:val="21"/>
              </w:rPr>
            </w:pPr>
            <w:r>
              <w:rPr>
                <w:rFonts w:ascii="宋体" w:hAnsi="宋体" w:eastAsia="宋体" w:cs="Times New Roman"/>
                <w:szCs w:val="21"/>
              </w:rPr>
              <w:t>2.多媒体教学</w:t>
            </w:r>
          </w:p>
          <w:p w14:paraId="30BE5A38">
            <w:pPr>
              <w:jc w:val="left"/>
              <w:rPr>
                <w:rFonts w:hint="eastAsia" w:ascii="宋体" w:hAnsi="宋体" w:eastAsia="宋体" w:cs="Times New Roman"/>
                <w:szCs w:val="21"/>
              </w:rPr>
            </w:pPr>
            <w:r>
              <w:rPr>
                <w:rFonts w:ascii="宋体" w:hAnsi="宋体" w:eastAsia="宋体" w:cs="Times New Roman"/>
                <w:szCs w:val="21"/>
              </w:rPr>
              <w:t>3.课堂讨论</w:t>
            </w:r>
          </w:p>
          <w:p w14:paraId="1197F6A1">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0DDD41A1">
            <w:pPr>
              <w:jc w:val="center"/>
              <w:rPr>
                <w:rFonts w:hint="eastAsia" w:ascii="宋体" w:hAnsi="宋体" w:eastAsia="宋体" w:cs="Times New Roman"/>
                <w:szCs w:val="21"/>
              </w:rPr>
            </w:pPr>
            <w:r>
              <w:rPr>
                <w:rFonts w:hint="eastAsia" w:ascii="宋体" w:hAnsi="宋体" w:eastAsia="宋体" w:cs="Times New Roman"/>
                <w:szCs w:val="21"/>
              </w:rPr>
              <w:t>4</w:t>
            </w:r>
          </w:p>
        </w:tc>
      </w:tr>
      <w:tr w14:paraId="3CBA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282995F5">
            <w:pPr>
              <w:jc w:val="center"/>
              <w:rPr>
                <w:rFonts w:hint="eastAsia" w:ascii="宋体" w:hAnsi="宋体" w:eastAsia="宋体" w:cs="Times New Roman"/>
                <w:szCs w:val="21"/>
              </w:rPr>
            </w:pPr>
          </w:p>
        </w:tc>
        <w:tc>
          <w:tcPr>
            <w:tcW w:w="7669" w:type="dxa"/>
            <w:gridSpan w:val="5"/>
            <w:vAlign w:val="center"/>
          </w:tcPr>
          <w:p w14:paraId="5E6AA7F3">
            <w:pPr>
              <w:adjustRightInd w:val="0"/>
              <w:snapToGrid w:val="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lang w:bidi="ar"/>
              </w:rPr>
              <w:t>培养学生马克思主义历史观，正确认识个人利益和国家利益的关系，把个人前途和祖国命运联系起来，时刻关注国家命运及民生疾苦，并自觉承担社会责任。</w:t>
            </w:r>
          </w:p>
        </w:tc>
      </w:tr>
      <w:tr w14:paraId="21A3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48C00DE6">
            <w:pPr>
              <w:adjustRightInd w:val="0"/>
              <w:snapToGrid w:val="0"/>
              <w:rPr>
                <w:rFonts w:hint="eastAsia" w:ascii="宋体" w:hAnsi="宋体" w:eastAsia="宋体" w:cs="宋体"/>
                <w:b/>
                <w:bCs/>
                <w:szCs w:val="21"/>
              </w:rPr>
            </w:pPr>
            <w:r>
              <w:rPr>
                <w:rFonts w:hint="eastAsia" w:ascii="宋体" w:hAnsi="宋体" w:eastAsia="宋体" w:cs="Times New Roman"/>
                <w:szCs w:val="21"/>
              </w:rPr>
              <w:t>6.</w:t>
            </w:r>
            <w:r>
              <w:rPr>
                <w:rFonts w:hint="eastAsia" w:ascii="宋体" w:hAnsi="宋体" w:eastAsia="宋体" w:cs="宋体"/>
                <w:b/>
                <w:bCs/>
                <w:szCs w:val="21"/>
                <w:lang w:bidi="ar"/>
              </w:rPr>
              <w:t>末世哀音，惆怅彩笔——咏古诗与讽喻诗</w:t>
            </w:r>
          </w:p>
          <w:p w14:paraId="0AE21A0F">
            <w:pPr>
              <w:jc w:val="center"/>
              <w:rPr>
                <w:rFonts w:hint="eastAsia" w:ascii="宋体" w:hAnsi="宋体" w:eastAsia="宋体" w:cs="Times New Roman"/>
                <w:szCs w:val="21"/>
              </w:rPr>
            </w:pPr>
          </w:p>
        </w:tc>
        <w:tc>
          <w:tcPr>
            <w:tcW w:w="2387" w:type="dxa"/>
            <w:vAlign w:val="center"/>
          </w:tcPr>
          <w:p w14:paraId="1F0E5B56">
            <w:pPr>
              <w:adjustRightInd w:val="0"/>
              <w:snapToGrid w:val="0"/>
              <w:rPr>
                <w:rFonts w:hint="eastAsia" w:ascii="宋体" w:hAnsi="宋体" w:eastAsia="宋体" w:cs="宋体"/>
                <w:szCs w:val="21"/>
              </w:rPr>
            </w:pPr>
            <w:r>
              <w:rPr>
                <w:rFonts w:hint="eastAsia" w:ascii="宋体" w:hAnsi="宋体" w:eastAsia="宋体" w:cs="宋体"/>
                <w:szCs w:val="21"/>
                <w:lang w:bidi="ar"/>
              </w:rPr>
              <w:t>（1）晚唐诗歌概况。</w:t>
            </w:r>
          </w:p>
          <w:p w14:paraId="04D2BA54">
            <w:pPr>
              <w:adjustRightInd w:val="0"/>
              <w:snapToGrid w:val="0"/>
              <w:rPr>
                <w:rFonts w:hint="eastAsia" w:ascii="宋体" w:hAnsi="宋体" w:eastAsia="宋体" w:cs="宋体"/>
                <w:szCs w:val="21"/>
              </w:rPr>
            </w:pPr>
            <w:r>
              <w:rPr>
                <w:rFonts w:hint="eastAsia" w:ascii="宋体" w:hAnsi="宋体" w:eastAsia="宋体" w:cs="宋体"/>
                <w:szCs w:val="21"/>
                <w:lang w:bidi="ar"/>
              </w:rPr>
              <w:t>（2）杜牧及其诗歌创作。</w:t>
            </w:r>
          </w:p>
          <w:p w14:paraId="2342D1F4">
            <w:pPr>
              <w:adjustRightInd w:val="0"/>
              <w:snapToGrid w:val="0"/>
              <w:rPr>
                <w:rFonts w:hint="eastAsia" w:ascii="宋体" w:hAnsi="宋体" w:eastAsia="宋体" w:cs="宋体"/>
                <w:szCs w:val="21"/>
              </w:rPr>
            </w:pPr>
            <w:r>
              <w:rPr>
                <w:rFonts w:hint="eastAsia" w:ascii="宋体" w:hAnsi="宋体" w:eastAsia="宋体" w:cs="宋体"/>
                <w:szCs w:val="21"/>
                <w:lang w:bidi="ar"/>
              </w:rPr>
              <w:t>（3）温庭筠及其诗歌创作。</w:t>
            </w:r>
          </w:p>
          <w:p w14:paraId="557D4246">
            <w:pPr>
              <w:adjustRightInd w:val="0"/>
              <w:snapToGrid w:val="0"/>
              <w:rPr>
                <w:rFonts w:hint="eastAsia" w:ascii="宋体" w:hAnsi="宋体" w:eastAsia="宋体" w:cs="宋体"/>
                <w:szCs w:val="21"/>
              </w:rPr>
            </w:pPr>
            <w:r>
              <w:rPr>
                <w:rFonts w:hint="eastAsia" w:ascii="宋体" w:hAnsi="宋体" w:eastAsia="宋体" w:cs="宋体"/>
                <w:szCs w:val="21"/>
                <w:lang w:bidi="ar"/>
              </w:rPr>
              <w:t>（4）李商隐及其诗歌创作。</w:t>
            </w:r>
          </w:p>
          <w:p w14:paraId="41645FF4">
            <w:pPr>
              <w:jc w:val="left"/>
              <w:rPr>
                <w:rFonts w:hint="eastAsia" w:ascii="宋体" w:hAnsi="宋体" w:eastAsia="宋体" w:cs="Times New Roman"/>
                <w:szCs w:val="21"/>
              </w:rPr>
            </w:pPr>
          </w:p>
        </w:tc>
        <w:tc>
          <w:tcPr>
            <w:tcW w:w="1144" w:type="dxa"/>
            <w:vAlign w:val="center"/>
          </w:tcPr>
          <w:p w14:paraId="42C1FC64">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018" w:type="dxa"/>
            <w:vAlign w:val="center"/>
          </w:tcPr>
          <w:p w14:paraId="26FC5F9F">
            <w:pPr>
              <w:adjustRightInd w:val="0"/>
              <w:snapToGrid w:val="0"/>
              <w:rPr>
                <w:rFonts w:hint="eastAsia" w:ascii="宋体" w:hAnsi="宋体" w:eastAsia="宋体" w:cs="宋体"/>
                <w:szCs w:val="21"/>
              </w:rPr>
            </w:pPr>
            <w:r>
              <w:rPr>
                <w:rFonts w:hint="eastAsia" w:ascii="宋体" w:hAnsi="宋体" w:eastAsia="宋体" w:cs="宋体"/>
                <w:szCs w:val="21"/>
                <w:lang w:bidi="ar"/>
              </w:rPr>
              <w:t>（1）了解诗歌鉴赏的相关理论。</w:t>
            </w:r>
          </w:p>
          <w:p w14:paraId="3AED21B1">
            <w:pPr>
              <w:adjustRightInd w:val="0"/>
              <w:snapToGrid w:val="0"/>
              <w:rPr>
                <w:rFonts w:hint="eastAsia" w:ascii="宋体" w:hAnsi="宋体" w:eastAsia="宋体" w:cs="宋体"/>
                <w:szCs w:val="21"/>
              </w:rPr>
            </w:pPr>
            <w:r>
              <w:rPr>
                <w:rFonts w:hint="eastAsia" w:ascii="宋体" w:hAnsi="宋体" w:eastAsia="宋体" w:cs="宋体"/>
                <w:szCs w:val="21"/>
                <w:lang w:bidi="ar"/>
              </w:rPr>
              <w:t>（2）了解晚唐诗的艺术特征。</w:t>
            </w:r>
          </w:p>
          <w:p w14:paraId="36324F5B">
            <w:pPr>
              <w:adjustRightInd w:val="0"/>
              <w:snapToGrid w:val="0"/>
              <w:rPr>
                <w:rFonts w:hint="eastAsia" w:ascii="宋体" w:hAnsi="宋体" w:eastAsia="宋体" w:cs="宋体"/>
                <w:szCs w:val="21"/>
              </w:rPr>
            </w:pPr>
            <w:r>
              <w:rPr>
                <w:rFonts w:hint="eastAsia" w:ascii="宋体" w:hAnsi="宋体" w:eastAsia="宋体" w:cs="宋体"/>
                <w:szCs w:val="21"/>
                <w:lang w:bidi="ar"/>
              </w:rPr>
              <w:t>（3）认真阅读诗歌作品，尤其是杜牧、李商隐等盛唐诗人的作品及相关的研究论著。</w:t>
            </w:r>
          </w:p>
          <w:p w14:paraId="431B178C">
            <w:pPr>
              <w:adjustRightInd w:val="0"/>
              <w:snapToGrid w:val="0"/>
              <w:rPr>
                <w:rFonts w:hint="eastAsia" w:ascii="宋体" w:hAnsi="宋体" w:eastAsia="宋体" w:cs="Times New Roman"/>
                <w:szCs w:val="21"/>
              </w:rPr>
            </w:pPr>
            <w:r>
              <w:rPr>
                <w:rFonts w:hint="eastAsia" w:ascii="宋体" w:hAnsi="宋体" w:eastAsia="宋体" w:cs="宋体"/>
                <w:szCs w:val="21"/>
                <w:lang w:bidi="ar"/>
              </w:rPr>
              <w:t>（4）讨论积极，提高诗歌鉴赏能力。</w:t>
            </w:r>
          </w:p>
        </w:tc>
        <w:tc>
          <w:tcPr>
            <w:tcW w:w="1482" w:type="dxa"/>
            <w:vAlign w:val="center"/>
          </w:tcPr>
          <w:p w14:paraId="01632643">
            <w:pPr>
              <w:jc w:val="left"/>
              <w:rPr>
                <w:rFonts w:hint="eastAsia" w:ascii="宋体" w:hAnsi="宋体" w:eastAsia="宋体" w:cs="Times New Roman"/>
                <w:szCs w:val="21"/>
              </w:rPr>
            </w:pPr>
            <w:r>
              <w:rPr>
                <w:rFonts w:ascii="宋体" w:hAnsi="宋体" w:eastAsia="宋体" w:cs="Times New Roman"/>
                <w:szCs w:val="21"/>
              </w:rPr>
              <w:t>1.线上学习</w:t>
            </w:r>
          </w:p>
          <w:p w14:paraId="53BF87FE">
            <w:pPr>
              <w:jc w:val="left"/>
              <w:rPr>
                <w:rFonts w:hint="eastAsia" w:ascii="宋体" w:hAnsi="宋体" w:eastAsia="宋体" w:cs="Times New Roman"/>
                <w:szCs w:val="21"/>
              </w:rPr>
            </w:pPr>
            <w:r>
              <w:rPr>
                <w:rFonts w:ascii="宋体" w:hAnsi="宋体" w:eastAsia="宋体" w:cs="Times New Roman"/>
                <w:szCs w:val="21"/>
              </w:rPr>
              <w:t>2.多媒体教学</w:t>
            </w:r>
          </w:p>
          <w:p w14:paraId="75D10931">
            <w:pPr>
              <w:jc w:val="left"/>
              <w:rPr>
                <w:rFonts w:hint="eastAsia" w:ascii="宋体" w:hAnsi="宋体" w:eastAsia="宋体" w:cs="Times New Roman"/>
                <w:szCs w:val="21"/>
              </w:rPr>
            </w:pPr>
            <w:r>
              <w:rPr>
                <w:rFonts w:ascii="宋体" w:hAnsi="宋体" w:eastAsia="宋体" w:cs="Times New Roman"/>
                <w:szCs w:val="21"/>
              </w:rPr>
              <w:t>3.课堂讨论</w:t>
            </w:r>
          </w:p>
          <w:p w14:paraId="6F5A9402">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00ED10A2">
            <w:pPr>
              <w:jc w:val="center"/>
              <w:rPr>
                <w:rFonts w:hint="eastAsia" w:ascii="宋体" w:hAnsi="宋体" w:eastAsia="宋体" w:cs="Times New Roman"/>
                <w:szCs w:val="21"/>
              </w:rPr>
            </w:pPr>
            <w:r>
              <w:rPr>
                <w:rFonts w:hint="eastAsia" w:ascii="宋体" w:hAnsi="宋体" w:eastAsia="宋体" w:cs="Times New Roman"/>
                <w:szCs w:val="21"/>
              </w:rPr>
              <w:t>2</w:t>
            </w:r>
          </w:p>
        </w:tc>
      </w:tr>
      <w:tr w14:paraId="12F1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23F1C60D">
            <w:pPr>
              <w:jc w:val="center"/>
              <w:rPr>
                <w:rFonts w:hint="eastAsia" w:ascii="宋体" w:hAnsi="宋体" w:eastAsia="宋体" w:cs="Times New Roman"/>
                <w:szCs w:val="21"/>
              </w:rPr>
            </w:pPr>
          </w:p>
        </w:tc>
        <w:tc>
          <w:tcPr>
            <w:tcW w:w="7669" w:type="dxa"/>
            <w:gridSpan w:val="5"/>
            <w:vAlign w:val="center"/>
          </w:tcPr>
          <w:p w14:paraId="0D47B4D5">
            <w:pPr>
              <w:adjustRightInd w:val="0"/>
              <w:snapToGrid w:val="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lang w:bidi="ar"/>
              </w:rPr>
              <w:t>运用马克思主义文艺理论批评晚唐诗人的作品，加深对作品主旨的认识。由此培养学生的忧患意识，增强其历史责任感。</w:t>
            </w:r>
          </w:p>
        </w:tc>
      </w:tr>
      <w:tr w14:paraId="1FCA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4547B34D">
            <w:pPr>
              <w:adjustRightInd w:val="0"/>
              <w:snapToGrid w:val="0"/>
              <w:rPr>
                <w:rFonts w:hint="eastAsia" w:ascii="宋体" w:hAnsi="宋体" w:eastAsia="宋体" w:cs="宋体"/>
                <w:b/>
                <w:bCs/>
                <w:szCs w:val="21"/>
              </w:rPr>
            </w:pPr>
            <w:r>
              <w:rPr>
                <w:rFonts w:hint="eastAsia" w:ascii="宋体" w:hAnsi="宋体" w:eastAsia="宋体" w:cs="Times New Roman"/>
                <w:szCs w:val="21"/>
              </w:rPr>
              <w:t>7.</w:t>
            </w:r>
            <w:r>
              <w:rPr>
                <w:rFonts w:hint="eastAsia" w:ascii="宋体" w:hAnsi="宋体" w:eastAsia="宋体" w:cs="宋体"/>
                <w:b/>
                <w:bCs/>
                <w:szCs w:val="21"/>
                <w:lang w:bidi="ar"/>
              </w:rPr>
              <w:t>唐五代两宋词概述</w:t>
            </w:r>
          </w:p>
          <w:p w14:paraId="6AB668E6">
            <w:pPr>
              <w:jc w:val="center"/>
              <w:rPr>
                <w:rFonts w:hint="eastAsia" w:ascii="宋体" w:hAnsi="宋体" w:eastAsia="宋体" w:cs="Times New Roman"/>
                <w:szCs w:val="21"/>
              </w:rPr>
            </w:pPr>
          </w:p>
        </w:tc>
        <w:tc>
          <w:tcPr>
            <w:tcW w:w="2387" w:type="dxa"/>
            <w:vAlign w:val="center"/>
          </w:tcPr>
          <w:p w14:paraId="72E3327E">
            <w:pPr>
              <w:adjustRightInd w:val="0"/>
              <w:snapToGrid w:val="0"/>
              <w:rPr>
                <w:rFonts w:hint="eastAsia" w:ascii="宋体" w:hAnsi="宋体" w:eastAsia="宋体" w:cs="宋体"/>
                <w:szCs w:val="21"/>
              </w:rPr>
            </w:pPr>
            <w:r>
              <w:rPr>
                <w:rFonts w:hint="eastAsia" w:ascii="宋体" w:hAnsi="宋体" w:eastAsia="宋体" w:cs="宋体"/>
                <w:szCs w:val="21"/>
                <w:lang w:bidi="ar"/>
              </w:rPr>
              <w:t>（1）词的界义、分类。</w:t>
            </w:r>
          </w:p>
          <w:p w14:paraId="1114FE0B">
            <w:pPr>
              <w:adjustRightInd w:val="0"/>
              <w:snapToGrid w:val="0"/>
              <w:rPr>
                <w:rFonts w:hint="eastAsia" w:ascii="宋体" w:hAnsi="宋体" w:eastAsia="宋体" w:cs="宋体"/>
                <w:szCs w:val="21"/>
              </w:rPr>
            </w:pPr>
            <w:r>
              <w:rPr>
                <w:rFonts w:hint="eastAsia" w:ascii="宋体" w:hAnsi="宋体" w:eastAsia="宋体" w:cs="宋体"/>
                <w:szCs w:val="21"/>
                <w:lang w:bidi="ar"/>
              </w:rPr>
              <w:t>（2）词的发展阶段。</w:t>
            </w:r>
          </w:p>
          <w:p w14:paraId="6D629F9F">
            <w:pPr>
              <w:adjustRightInd w:val="0"/>
              <w:snapToGrid w:val="0"/>
              <w:rPr>
                <w:rFonts w:hint="eastAsia" w:ascii="宋体" w:hAnsi="宋体" w:eastAsia="宋体" w:cs="宋体"/>
                <w:szCs w:val="21"/>
              </w:rPr>
            </w:pPr>
            <w:r>
              <w:rPr>
                <w:rFonts w:hint="eastAsia" w:ascii="宋体" w:hAnsi="宋体" w:eastAsia="宋体" w:cs="宋体"/>
                <w:szCs w:val="21"/>
                <w:lang w:bidi="ar"/>
              </w:rPr>
              <w:t>（3）宋词兴盛的原因。</w:t>
            </w:r>
          </w:p>
          <w:p w14:paraId="7B92765E">
            <w:pPr>
              <w:jc w:val="left"/>
              <w:rPr>
                <w:rFonts w:hint="eastAsia" w:ascii="宋体" w:hAnsi="宋体" w:eastAsia="宋体" w:cs="Times New Roman"/>
                <w:szCs w:val="21"/>
              </w:rPr>
            </w:pPr>
          </w:p>
        </w:tc>
        <w:tc>
          <w:tcPr>
            <w:tcW w:w="1144" w:type="dxa"/>
            <w:vAlign w:val="center"/>
          </w:tcPr>
          <w:p w14:paraId="3CD3EBA9">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018" w:type="dxa"/>
            <w:vAlign w:val="center"/>
          </w:tcPr>
          <w:p w14:paraId="29048172">
            <w:pPr>
              <w:adjustRightInd w:val="0"/>
              <w:snapToGrid w:val="0"/>
              <w:rPr>
                <w:rFonts w:hint="eastAsia" w:ascii="宋体" w:hAnsi="宋体" w:eastAsia="宋体" w:cs="宋体"/>
                <w:szCs w:val="21"/>
              </w:rPr>
            </w:pPr>
            <w:r>
              <w:rPr>
                <w:rFonts w:hint="eastAsia" w:ascii="宋体" w:hAnsi="宋体" w:eastAsia="宋体" w:cs="宋体"/>
                <w:szCs w:val="21"/>
                <w:lang w:bidi="ar"/>
              </w:rPr>
              <w:t>（1）了解词的艺术特征及发展脉络。</w:t>
            </w:r>
          </w:p>
          <w:p w14:paraId="2CE6BE18">
            <w:pPr>
              <w:adjustRightInd w:val="0"/>
              <w:snapToGrid w:val="0"/>
              <w:rPr>
                <w:rFonts w:hint="eastAsia" w:ascii="宋体" w:hAnsi="宋体" w:eastAsia="宋体" w:cs="Times New Roman"/>
                <w:szCs w:val="21"/>
              </w:rPr>
            </w:pPr>
            <w:r>
              <w:rPr>
                <w:rFonts w:hint="eastAsia" w:ascii="宋体" w:hAnsi="宋体" w:eastAsia="宋体" w:cs="宋体"/>
                <w:szCs w:val="21"/>
                <w:lang w:bidi="ar"/>
              </w:rPr>
              <w:t>（2）了解词在宋代的演变及其原因。</w:t>
            </w:r>
          </w:p>
        </w:tc>
        <w:tc>
          <w:tcPr>
            <w:tcW w:w="1482" w:type="dxa"/>
            <w:vAlign w:val="center"/>
          </w:tcPr>
          <w:p w14:paraId="2B1763BB">
            <w:pPr>
              <w:jc w:val="left"/>
              <w:rPr>
                <w:rFonts w:hint="eastAsia" w:ascii="宋体" w:hAnsi="宋体" w:eastAsia="宋体" w:cs="Times New Roman"/>
                <w:szCs w:val="21"/>
              </w:rPr>
            </w:pPr>
            <w:r>
              <w:rPr>
                <w:rFonts w:ascii="宋体" w:hAnsi="宋体" w:eastAsia="宋体" w:cs="Times New Roman"/>
                <w:szCs w:val="21"/>
              </w:rPr>
              <w:t>1.线上学习</w:t>
            </w:r>
          </w:p>
          <w:p w14:paraId="3B59BB93">
            <w:pPr>
              <w:jc w:val="left"/>
              <w:rPr>
                <w:rFonts w:hint="eastAsia" w:ascii="宋体" w:hAnsi="宋体" w:eastAsia="宋体" w:cs="Times New Roman"/>
                <w:szCs w:val="21"/>
              </w:rPr>
            </w:pPr>
            <w:r>
              <w:rPr>
                <w:rFonts w:ascii="宋体" w:hAnsi="宋体" w:eastAsia="宋体" w:cs="Times New Roman"/>
                <w:szCs w:val="21"/>
              </w:rPr>
              <w:t>2.多媒体教学</w:t>
            </w:r>
          </w:p>
          <w:p w14:paraId="7C7DCA8B">
            <w:pPr>
              <w:jc w:val="left"/>
              <w:rPr>
                <w:rFonts w:hint="eastAsia" w:ascii="宋体" w:hAnsi="宋体" w:eastAsia="宋体" w:cs="Times New Roman"/>
                <w:szCs w:val="21"/>
              </w:rPr>
            </w:pPr>
            <w:r>
              <w:rPr>
                <w:rFonts w:ascii="宋体" w:hAnsi="宋体" w:eastAsia="宋体" w:cs="Times New Roman"/>
                <w:szCs w:val="21"/>
              </w:rPr>
              <w:t>3.课堂讨论</w:t>
            </w:r>
          </w:p>
          <w:p w14:paraId="00D03607">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4EB56403">
            <w:pPr>
              <w:jc w:val="center"/>
              <w:rPr>
                <w:rFonts w:hint="eastAsia" w:ascii="宋体" w:hAnsi="宋体" w:eastAsia="宋体" w:cs="Times New Roman"/>
                <w:szCs w:val="21"/>
              </w:rPr>
            </w:pPr>
            <w:r>
              <w:rPr>
                <w:rFonts w:hint="eastAsia" w:ascii="宋体" w:hAnsi="宋体" w:eastAsia="宋体" w:cs="Times New Roman"/>
                <w:szCs w:val="21"/>
              </w:rPr>
              <w:t>2</w:t>
            </w:r>
          </w:p>
        </w:tc>
      </w:tr>
      <w:tr w14:paraId="10B2A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3D613284">
            <w:pPr>
              <w:jc w:val="center"/>
              <w:rPr>
                <w:rFonts w:hint="eastAsia" w:ascii="宋体" w:hAnsi="宋体" w:eastAsia="宋体" w:cs="Times New Roman"/>
                <w:szCs w:val="21"/>
              </w:rPr>
            </w:pPr>
          </w:p>
        </w:tc>
        <w:tc>
          <w:tcPr>
            <w:tcW w:w="7669" w:type="dxa"/>
            <w:gridSpan w:val="5"/>
            <w:vAlign w:val="center"/>
          </w:tcPr>
          <w:p w14:paraId="54DBD622">
            <w:pPr>
              <w:adjustRightInd w:val="0"/>
              <w:snapToGrid w:val="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kern w:val="0"/>
                <w:szCs w:val="21"/>
                <w:lang w:bidi="ar"/>
              </w:rPr>
              <w:t>将马克思主义文艺理论及方法论融入课程内容，对古代文学作品进行深入分析。对学生进行信念教育，让学生充分</w:t>
            </w:r>
            <w:r>
              <w:rPr>
                <w:rFonts w:hint="eastAsia" w:ascii="宋体" w:hAnsi="宋体" w:eastAsia="宋体" w:cs="宋体"/>
                <w:szCs w:val="21"/>
                <w:lang w:bidi="ar"/>
              </w:rPr>
              <w:t>感受两宋词独特的艺术魅力，增强文化自信力与自豪感。</w:t>
            </w:r>
          </w:p>
        </w:tc>
      </w:tr>
      <w:tr w14:paraId="277A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3146832C">
            <w:pPr>
              <w:adjustRightInd w:val="0"/>
              <w:snapToGrid w:val="0"/>
              <w:rPr>
                <w:rFonts w:hint="eastAsia" w:ascii="宋体" w:hAnsi="宋体" w:eastAsia="宋体" w:cs="宋体"/>
                <w:b/>
                <w:bCs/>
                <w:szCs w:val="21"/>
              </w:rPr>
            </w:pPr>
            <w:r>
              <w:rPr>
                <w:rFonts w:hint="eastAsia" w:ascii="宋体" w:hAnsi="宋体" w:eastAsia="宋体" w:cs="Times New Roman"/>
                <w:szCs w:val="21"/>
              </w:rPr>
              <w:t>8.</w:t>
            </w:r>
            <w:r>
              <w:rPr>
                <w:rFonts w:hint="eastAsia" w:ascii="宋体" w:hAnsi="宋体" w:eastAsia="宋体" w:cs="宋体"/>
                <w:b/>
                <w:bCs/>
                <w:szCs w:val="21"/>
                <w:lang w:bidi="ar"/>
              </w:rPr>
              <w:t>从花间低吟走向自抒性灵——花间词派与李煜</w:t>
            </w:r>
          </w:p>
          <w:p w14:paraId="79230A8B">
            <w:pPr>
              <w:jc w:val="center"/>
              <w:rPr>
                <w:rFonts w:hint="eastAsia" w:ascii="宋体" w:hAnsi="宋体" w:eastAsia="宋体" w:cs="Times New Roman"/>
                <w:szCs w:val="21"/>
              </w:rPr>
            </w:pPr>
          </w:p>
        </w:tc>
        <w:tc>
          <w:tcPr>
            <w:tcW w:w="2387" w:type="dxa"/>
            <w:vAlign w:val="center"/>
          </w:tcPr>
          <w:p w14:paraId="50587559">
            <w:pPr>
              <w:adjustRightInd w:val="0"/>
              <w:snapToGrid w:val="0"/>
              <w:rPr>
                <w:rFonts w:hint="eastAsia" w:ascii="宋体" w:hAnsi="宋体" w:eastAsia="宋体" w:cs="宋体"/>
                <w:szCs w:val="21"/>
              </w:rPr>
            </w:pPr>
            <w:r>
              <w:rPr>
                <w:rFonts w:hint="eastAsia" w:ascii="宋体" w:hAnsi="宋体" w:eastAsia="宋体" w:cs="宋体"/>
                <w:szCs w:val="21"/>
                <w:lang w:bidi="ar"/>
              </w:rPr>
              <w:t>（1）唐五代词概述。</w:t>
            </w:r>
          </w:p>
          <w:p w14:paraId="6C9AC519">
            <w:pPr>
              <w:adjustRightInd w:val="0"/>
              <w:snapToGrid w:val="0"/>
              <w:rPr>
                <w:rFonts w:hint="eastAsia" w:ascii="宋体" w:hAnsi="宋体" w:eastAsia="宋体" w:cs="宋体"/>
                <w:szCs w:val="21"/>
              </w:rPr>
            </w:pPr>
            <w:r>
              <w:rPr>
                <w:rFonts w:hint="eastAsia" w:ascii="宋体" w:hAnsi="宋体" w:eastAsia="宋体" w:cs="宋体"/>
                <w:szCs w:val="21"/>
                <w:lang w:bidi="ar"/>
              </w:rPr>
              <w:t>（2）花间词派及其创作。</w:t>
            </w:r>
          </w:p>
          <w:p w14:paraId="08885442">
            <w:pPr>
              <w:adjustRightInd w:val="0"/>
              <w:snapToGrid w:val="0"/>
              <w:rPr>
                <w:rFonts w:hint="eastAsia" w:ascii="宋体" w:hAnsi="宋体" w:eastAsia="宋体" w:cs="Times New Roman"/>
                <w:szCs w:val="21"/>
              </w:rPr>
            </w:pPr>
            <w:r>
              <w:rPr>
                <w:rFonts w:hint="eastAsia" w:ascii="宋体" w:hAnsi="宋体" w:eastAsia="宋体" w:cs="宋体"/>
                <w:szCs w:val="21"/>
                <w:lang w:bidi="ar"/>
              </w:rPr>
              <w:t>（3）李煜及其词的创作。</w:t>
            </w:r>
          </w:p>
        </w:tc>
        <w:tc>
          <w:tcPr>
            <w:tcW w:w="1144" w:type="dxa"/>
            <w:vAlign w:val="center"/>
          </w:tcPr>
          <w:p w14:paraId="71152B56">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018" w:type="dxa"/>
            <w:vAlign w:val="center"/>
          </w:tcPr>
          <w:p w14:paraId="542C6765">
            <w:pPr>
              <w:adjustRightInd w:val="0"/>
              <w:snapToGrid w:val="0"/>
              <w:rPr>
                <w:rFonts w:hint="eastAsia" w:ascii="宋体" w:hAnsi="宋体" w:eastAsia="宋体" w:cs="宋体"/>
                <w:szCs w:val="21"/>
              </w:rPr>
            </w:pPr>
            <w:r>
              <w:rPr>
                <w:rFonts w:hint="eastAsia" w:ascii="宋体" w:hAnsi="宋体" w:eastAsia="宋体" w:cs="宋体"/>
                <w:szCs w:val="21"/>
                <w:lang w:bidi="ar"/>
              </w:rPr>
              <w:t>（1）了解词的鉴赏的相关理论。</w:t>
            </w:r>
          </w:p>
          <w:p w14:paraId="46876FEC">
            <w:pPr>
              <w:adjustRightInd w:val="0"/>
              <w:snapToGrid w:val="0"/>
              <w:rPr>
                <w:rFonts w:hint="eastAsia" w:ascii="宋体" w:hAnsi="宋体" w:eastAsia="宋体" w:cs="宋体"/>
                <w:szCs w:val="21"/>
              </w:rPr>
            </w:pPr>
            <w:r>
              <w:rPr>
                <w:rFonts w:hint="eastAsia" w:ascii="宋体" w:hAnsi="宋体" w:eastAsia="宋体" w:cs="宋体"/>
                <w:szCs w:val="21"/>
                <w:lang w:bidi="ar"/>
              </w:rPr>
              <w:t>（2）了解唐五代词的发展。</w:t>
            </w:r>
          </w:p>
          <w:p w14:paraId="54DD8F98">
            <w:pPr>
              <w:adjustRightInd w:val="0"/>
              <w:snapToGrid w:val="0"/>
              <w:rPr>
                <w:rFonts w:hint="eastAsia" w:ascii="宋体" w:hAnsi="宋体" w:eastAsia="宋体" w:cs="宋体"/>
                <w:szCs w:val="21"/>
              </w:rPr>
            </w:pPr>
            <w:r>
              <w:rPr>
                <w:rFonts w:hint="eastAsia" w:ascii="宋体" w:hAnsi="宋体" w:eastAsia="宋体" w:cs="宋体"/>
                <w:szCs w:val="21"/>
                <w:lang w:bidi="ar"/>
              </w:rPr>
              <w:t>（3）认真阅读冯延巳、温庭筠、韦庄、李璟、李煜等词人的作品及相关的研究论著。</w:t>
            </w:r>
          </w:p>
          <w:p w14:paraId="52DA9269">
            <w:pPr>
              <w:adjustRightInd w:val="0"/>
              <w:snapToGrid w:val="0"/>
              <w:rPr>
                <w:rFonts w:hint="eastAsia" w:ascii="宋体" w:hAnsi="宋体" w:eastAsia="宋体" w:cs="Times New Roman"/>
                <w:szCs w:val="21"/>
              </w:rPr>
            </w:pPr>
            <w:r>
              <w:rPr>
                <w:rFonts w:hint="eastAsia" w:ascii="宋体" w:hAnsi="宋体" w:eastAsia="宋体" w:cs="宋体"/>
                <w:szCs w:val="21"/>
                <w:lang w:bidi="ar"/>
              </w:rPr>
              <w:t>（4）认真讨论，提高诗歌鉴赏能力。</w:t>
            </w:r>
          </w:p>
        </w:tc>
        <w:tc>
          <w:tcPr>
            <w:tcW w:w="1482" w:type="dxa"/>
            <w:vAlign w:val="center"/>
          </w:tcPr>
          <w:p w14:paraId="262F97F8">
            <w:pPr>
              <w:jc w:val="left"/>
              <w:rPr>
                <w:rFonts w:hint="eastAsia" w:ascii="宋体" w:hAnsi="宋体" w:eastAsia="宋体" w:cs="Times New Roman"/>
                <w:szCs w:val="21"/>
              </w:rPr>
            </w:pPr>
            <w:r>
              <w:rPr>
                <w:rFonts w:ascii="宋体" w:hAnsi="宋体" w:eastAsia="宋体" w:cs="Times New Roman"/>
                <w:szCs w:val="21"/>
              </w:rPr>
              <w:t>1.线上学习</w:t>
            </w:r>
          </w:p>
          <w:p w14:paraId="0AE5C60F">
            <w:pPr>
              <w:jc w:val="left"/>
              <w:rPr>
                <w:rFonts w:hint="eastAsia" w:ascii="宋体" w:hAnsi="宋体" w:eastAsia="宋体" w:cs="Times New Roman"/>
                <w:szCs w:val="21"/>
              </w:rPr>
            </w:pPr>
            <w:r>
              <w:rPr>
                <w:rFonts w:ascii="宋体" w:hAnsi="宋体" w:eastAsia="宋体" w:cs="Times New Roman"/>
                <w:szCs w:val="21"/>
              </w:rPr>
              <w:t>2.多媒体教学</w:t>
            </w:r>
          </w:p>
          <w:p w14:paraId="2BEBF36F">
            <w:pPr>
              <w:jc w:val="left"/>
              <w:rPr>
                <w:rFonts w:hint="eastAsia" w:ascii="宋体" w:hAnsi="宋体" w:eastAsia="宋体" w:cs="Times New Roman"/>
                <w:szCs w:val="21"/>
              </w:rPr>
            </w:pPr>
            <w:r>
              <w:rPr>
                <w:rFonts w:ascii="宋体" w:hAnsi="宋体" w:eastAsia="宋体" w:cs="Times New Roman"/>
                <w:szCs w:val="21"/>
              </w:rPr>
              <w:t>3.课堂讨论</w:t>
            </w:r>
          </w:p>
          <w:p w14:paraId="15E6B5D4">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4EDA4AF3">
            <w:pPr>
              <w:jc w:val="center"/>
              <w:rPr>
                <w:rFonts w:hint="eastAsia" w:ascii="宋体" w:hAnsi="宋体" w:eastAsia="宋体" w:cs="Times New Roman"/>
                <w:szCs w:val="21"/>
              </w:rPr>
            </w:pPr>
            <w:r>
              <w:rPr>
                <w:rFonts w:hint="eastAsia" w:ascii="宋体" w:hAnsi="宋体" w:eastAsia="宋体" w:cs="Times New Roman"/>
                <w:szCs w:val="21"/>
              </w:rPr>
              <w:t>4</w:t>
            </w:r>
          </w:p>
        </w:tc>
      </w:tr>
      <w:tr w14:paraId="14C2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14B61755">
            <w:pPr>
              <w:jc w:val="center"/>
              <w:rPr>
                <w:rFonts w:hint="eastAsia" w:ascii="宋体" w:hAnsi="宋体" w:eastAsia="宋体" w:cs="Times New Roman"/>
                <w:szCs w:val="21"/>
              </w:rPr>
            </w:pPr>
          </w:p>
        </w:tc>
        <w:tc>
          <w:tcPr>
            <w:tcW w:w="7669" w:type="dxa"/>
            <w:gridSpan w:val="5"/>
            <w:vAlign w:val="center"/>
          </w:tcPr>
          <w:p w14:paraId="28A9CA4F">
            <w:pPr>
              <w:adjustRightInd w:val="0"/>
              <w:snapToGrid w:val="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lang w:bidi="ar"/>
              </w:rPr>
              <w:t>让学生充分感受李煜词的家国情怀，从而培养学生深沉的文化使命感与关怀现实的人文情怀。</w:t>
            </w:r>
          </w:p>
        </w:tc>
      </w:tr>
      <w:tr w14:paraId="0228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16529BDB">
            <w:pPr>
              <w:adjustRightInd w:val="0"/>
              <w:snapToGrid w:val="0"/>
              <w:rPr>
                <w:rFonts w:hint="eastAsia" w:ascii="宋体" w:hAnsi="宋体" w:eastAsia="宋体" w:cs="宋体"/>
                <w:b/>
                <w:bCs/>
                <w:szCs w:val="21"/>
              </w:rPr>
            </w:pPr>
            <w:r>
              <w:rPr>
                <w:rFonts w:hint="eastAsia" w:ascii="宋体" w:hAnsi="宋体" w:eastAsia="宋体" w:cs="Times New Roman"/>
                <w:szCs w:val="21"/>
              </w:rPr>
              <w:t>9.</w:t>
            </w:r>
            <w:r>
              <w:rPr>
                <w:rFonts w:hint="eastAsia" w:ascii="宋体" w:hAnsi="宋体" w:eastAsia="宋体" w:cs="宋体"/>
                <w:b/>
                <w:bCs/>
                <w:szCs w:val="21"/>
                <w:lang w:bidi="ar"/>
              </w:rPr>
              <w:t>从慢词到赋化之词——柳永、秦观与周邦彦</w:t>
            </w:r>
          </w:p>
          <w:p w14:paraId="7A31E989">
            <w:pPr>
              <w:rPr>
                <w:rFonts w:hint="eastAsia" w:ascii="宋体" w:hAnsi="宋体" w:eastAsia="宋体" w:cs="Times New Roman"/>
                <w:szCs w:val="21"/>
              </w:rPr>
            </w:pPr>
          </w:p>
        </w:tc>
        <w:tc>
          <w:tcPr>
            <w:tcW w:w="2387" w:type="dxa"/>
            <w:vAlign w:val="center"/>
          </w:tcPr>
          <w:p w14:paraId="67D929D3">
            <w:pPr>
              <w:adjustRightInd w:val="0"/>
              <w:snapToGrid w:val="0"/>
              <w:rPr>
                <w:rFonts w:hint="eastAsia" w:ascii="宋体" w:hAnsi="宋体" w:eastAsia="宋体" w:cs="宋体"/>
                <w:szCs w:val="21"/>
              </w:rPr>
            </w:pPr>
            <w:r>
              <w:rPr>
                <w:rFonts w:hint="eastAsia" w:ascii="宋体" w:hAnsi="宋体" w:eastAsia="宋体" w:cs="宋体"/>
                <w:szCs w:val="21"/>
                <w:lang w:bidi="ar"/>
              </w:rPr>
              <w:t>（1）北宋词概述。</w:t>
            </w:r>
          </w:p>
          <w:p w14:paraId="112663A3">
            <w:pPr>
              <w:adjustRightInd w:val="0"/>
              <w:snapToGrid w:val="0"/>
              <w:rPr>
                <w:rFonts w:hint="eastAsia" w:ascii="宋体" w:hAnsi="宋体" w:eastAsia="宋体" w:cs="宋体"/>
                <w:szCs w:val="21"/>
              </w:rPr>
            </w:pPr>
            <w:r>
              <w:rPr>
                <w:rFonts w:hint="eastAsia" w:ascii="宋体" w:hAnsi="宋体" w:eastAsia="宋体" w:cs="宋体"/>
                <w:szCs w:val="21"/>
                <w:lang w:bidi="ar"/>
              </w:rPr>
              <w:t>（2）柳永及其词的创作。</w:t>
            </w:r>
          </w:p>
          <w:p w14:paraId="08C931D8">
            <w:pPr>
              <w:adjustRightInd w:val="0"/>
              <w:snapToGrid w:val="0"/>
              <w:rPr>
                <w:rFonts w:hint="eastAsia" w:ascii="宋体" w:hAnsi="宋体" w:eastAsia="宋体" w:cs="宋体"/>
                <w:szCs w:val="21"/>
              </w:rPr>
            </w:pPr>
            <w:r>
              <w:rPr>
                <w:rFonts w:hint="eastAsia" w:ascii="宋体" w:hAnsi="宋体" w:eastAsia="宋体" w:cs="宋体"/>
                <w:szCs w:val="21"/>
                <w:lang w:bidi="ar"/>
              </w:rPr>
              <w:t>（3）秦观及其词的创作。</w:t>
            </w:r>
          </w:p>
          <w:p w14:paraId="2989E5D7">
            <w:pPr>
              <w:adjustRightInd w:val="0"/>
              <w:snapToGrid w:val="0"/>
              <w:rPr>
                <w:rFonts w:hint="eastAsia" w:ascii="宋体" w:hAnsi="宋体" w:eastAsia="宋体" w:cs="Times New Roman"/>
                <w:szCs w:val="21"/>
              </w:rPr>
            </w:pPr>
            <w:r>
              <w:rPr>
                <w:rFonts w:hint="eastAsia" w:ascii="宋体" w:hAnsi="宋体" w:eastAsia="宋体" w:cs="宋体"/>
                <w:szCs w:val="21"/>
                <w:lang w:bidi="ar"/>
              </w:rPr>
              <w:t>（4）周邦彦及其词的创作。</w:t>
            </w:r>
          </w:p>
        </w:tc>
        <w:tc>
          <w:tcPr>
            <w:tcW w:w="1144" w:type="dxa"/>
            <w:vAlign w:val="center"/>
          </w:tcPr>
          <w:p w14:paraId="2A432FB1">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018" w:type="dxa"/>
            <w:vAlign w:val="center"/>
          </w:tcPr>
          <w:p w14:paraId="6E8950D2">
            <w:pPr>
              <w:adjustRightInd w:val="0"/>
              <w:snapToGrid w:val="0"/>
              <w:rPr>
                <w:rFonts w:hint="eastAsia" w:ascii="宋体" w:hAnsi="宋体" w:eastAsia="宋体" w:cs="宋体"/>
                <w:szCs w:val="21"/>
              </w:rPr>
            </w:pPr>
            <w:r>
              <w:rPr>
                <w:rFonts w:hint="eastAsia" w:ascii="宋体" w:hAnsi="宋体" w:eastAsia="宋体" w:cs="宋体"/>
                <w:szCs w:val="21"/>
                <w:lang w:bidi="ar"/>
              </w:rPr>
              <w:t>（1）了解词的鉴赏的相关理论。</w:t>
            </w:r>
          </w:p>
          <w:p w14:paraId="24EE78FC">
            <w:pPr>
              <w:adjustRightInd w:val="0"/>
              <w:snapToGrid w:val="0"/>
              <w:rPr>
                <w:rFonts w:hint="eastAsia" w:ascii="宋体" w:hAnsi="宋体" w:eastAsia="宋体" w:cs="宋体"/>
                <w:szCs w:val="21"/>
              </w:rPr>
            </w:pPr>
            <w:r>
              <w:rPr>
                <w:rFonts w:hint="eastAsia" w:ascii="宋体" w:hAnsi="宋体" w:eastAsia="宋体" w:cs="宋体"/>
                <w:szCs w:val="21"/>
                <w:lang w:bidi="ar"/>
              </w:rPr>
              <w:t>（2）了解宋代初中期词的发展。</w:t>
            </w:r>
          </w:p>
          <w:p w14:paraId="6BA41637">
            <w:pPr>
              <w:adjustRightInd w:val="0"/>
              <w:snapToGrid w:val="0"/>
              <w:rPr>
                <w:rFonts w:hint="eastAsia" w:ascii="宋体" w:hAnsi="宋体" w:eastAsia="宋体" w:cs="宋体"/>
                <w:szCs w:val="21"/>
              </w:rPr>
            </w:pPr>
            <w:r>
              <w:rPr>
                <w:rFonts w:hint="eastAsia" w:ascii="宋体" w:hAnsi="宋体" w:eastAsia="宋体" w:cs="宋体"/>
                <w:szCs w:val="21"/>
                <w:lang w:bidi="ar"/>
              </w:rPr>
              <w:t>（3）认真阅读柳永、秦观、周邦彦等词人的作品及相关的研究论著。</w:t>
            </w:r>
          </w:p>
          <w:p w14:paraId="10F51E71">
            <w:pPr>
              <w:adjustRightInd w:val="0"/>
              <w:snapToGrid w:val="0"/>
              <w:rPr>
                <w:rFonts w:hint="eastAsia" w:ascii="宋体" w:hAnsi="宋体" w:eastAsia="宋体" w:cs="Times New Roman"/>
                <w:szCs w:val="21"/>
              </w:rPr>
            </w:pPr>
            <w:r>
              <w:rPr>
                <w:rFonts w:hint="eastAsia" w:ascii="宋体" w:hAnsi="宋体" w:eastAsia="宋体" w:cs="宋体"/>
                <w:szCs w:val="21"/>
                <w:lang w:bidi="ar"/>
              </w:rPr>
              <w:t>（4）认真讨论，提高诗歌鉴赏能力。</w:t>
            </w:r>
          </w:p>
        </w:tc>
        <w:tc>
          <w:tcPr>
            <w:tcW w:w="1482" w:type="dxa"/>
            <w:vAlign w:val="center"/>
          </w:tcPr>
          <w:p w14:paraId="269D7C3D">
            <w:pPr>
              <w:jc w:val="left"/>
              <w:rPr>
                <w:rFonts w:hint="eastAsia" w:ascii="宋体" w:hAnsi="宋体" w:eastAsia="宋体" w:cs="Times New Roman"/>
                <w:szCs w:val="21"/>
              </w:rPr>
            </w:pPr>
            <w:r>
              <w:rPr>
                <w:rFonts w:ascii="宋体" w:hAnsi="宋体" w:eastAsia="宋体" w:cs="Times New Roman"/>
                <w:szCs w:val="21"/>
              </w:rPr>
              <w:t>1.线上学习</w:t>
            </w:r>
          </w:p>
          <w:p w14:paraId="02B409EE">
            <w:pPr>
              <w:jc w:val="left"/>
              <w:rPr>
                <w:rFonts w:hint="eastAsia" w:ascii="宋体" w:hAnsi="宋体" w:eastAsia="宋体" w:cs="Times New Roman"/>
                <w:szCs w:val="21"/>
              </w:rPr>
            </w:pPr>
            <w:r>
              <w:rPr>
                <w:rFonts w:ascii="宋体" w:hAnsi="宋体" w:eastAsia="宋体" w:cs="Times New Roman"/>
                <w:szCs w:val="21"/>
              </w:rPr>
              <w:t>2.多媒体教学</w:t>
            </w:r>
          </w:p>
          <w:p w14:paraId="4FED93CD">
            <w:pPr>
              <w:jc w:val="left"/>
              <w:rPr>
                <w:rFonts w:hint="eastAsia" w:ascii="宋体" w:hAnsi="宋体" w:eastAsia="宋体" w:cs="Times New Roman"/>
                <w:szCs w:val="21"/>
              </w:rPr>
            </w:pPr>
            <w:r>
              <w:rPr>
                <w:rFonts w:ascii="宋体" w:hAnsi="宋体" w:eastAsia="宋体" w:cs="Times New Roman"/>
                <w:szCs w:val="21"/>
              </w:rPr>
              <w:t>3.课堂讨论</w:t>
            </w:r>
          </w:p>
          <w:p w14:paraId="684BFCFC">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46353466">
            <w:pPr>
              <w:jc w:val="center"/>
              <w:rPr>
                <w:rFonts w:hint="eastAsia" w:ascii="宋体" w:hAnsi="宋体" w:eastAsia="宋体" w:cs="Times New Roman"/>
                <w:szCs w:val="21"/>
              </w:rPr>
            </w:pPr>
            <w:r>
              <w:rPr>
                <w:rFonts w:hint="eastAsia" w:ascii="宋体" w:hAnsi="宋体" w:eastAsia="宋体" w:cs="Times New Roman"/>
                <w:szCs w:val="21"/>
              </w:rPr>
              <w:t>4</w:t>
            </w:r>
          </w:p>
        </w:tc>
      </w:tr>
      <w:tr w14:paraId="499D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576BF088">
            <w:pPr>
              <w:jc w:val="center"/>
              <w:rPr>
                <w:rFonts w:hint="eastAsia" w:ascii="宋体" w:hAnsi="宋体" w:eastAsia="宋体" w:cs="Times New Roman"/>
                <w:szCs w:val="21"/>
              </w:rPr>
            </w:pPr>
          </w:p>
        </w:tc>
        <w:tc>
          <w:tcPr>
            <w:tcW w:w="7669" w:type="dxa"/>
            <w:gridSpan w:val="5"/>
            <w:vAlign w:val="center"/>
          </w:tcPr>
          <w:p w14:paraId="62F77057">
            <w:pPr>
              <w:adjustRightInd w:val="0"/>
              <w:snapToGrid w:val="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lang w:bidi="ar"/>
              </w:rPr>
              <w:t>通过对周、柳羁旅词思想意蕴的深入分析，让学生体会古代社会才人倦客的悲怨心绪，认识个人命运与社会环境的复杂关系，从而培养学生的历史使命感与社会责任感。</w:t>
            </w:r>
          </w:p>
        </w:tc>
      </w:tr>
      <w:tr w14:paraId="50B9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416CDD33">
            <w:pPr>
              <w:adjustRightInd w:val="0"/>
              <w:snapToGrid w:val="0"/>
              <w:rPr>
                <w:rFonts w:hint="eastAsia" w:ascii="宋体" w:hAnsi="宋体" w:eastAsia="宋体" w:cs="宋体"/>
                <w:b/>
                <w:bCs/>
                <w:szCs w:val="21"/>
              </w:rPr>
            </w:pPr>
            <w:r>
              <w:rPr>
                <w:rFonts w:hint="eastAsia" w:ascii="宋体" w:hAnsi="宋体" w:eastAsia="宋体" w:cs="Times New Roman"/>
                <w:szCs w:val="21"/>
              </w:rPr>
              <w:t>10.</w:t>
            </w:r>
            <w:r>
              <w:rPr>
                <w:rFonts w:hint="eastAsia" w:ascii="宋体" w:hAnsi="宋体" w:eastAsia="宋体" w:cs="宋体"/>
                <w:b/>
                <w:bCs/>
                <w:szCs w:val="21"/>
                <w:lang w:bidi="ar"/>
              </w:rPr>
              <w:t>从诗化之词到文化之词——苏轼与辛弃疾</w:t>
            </w:r>
          </w:p>
          <w:p w14:paraId="086ED60E">
            <w:pPr>
              <w:jc w:val="center"/>
              <w:rPr>
                <w:rFonts w:hint="eastAsia" w:ascii="宋体" w:hAnsi="宋体" w:eastAsia="宋体" w:cs="Times New Roman"/>
                <w:szCs w:val="21"/>
              </w:rPr>
            </w:pPr>
          </w:p>
        </w:tc>
        <w:tc>
          <w:tcPr>
            <w:tcW w:w="2387" w:type="dxa"/>
            <w:vAlign w:val="center"/>
          </w:tcPr>
          <w:p w14:paraId="1F16997A">
            <w:pPr>
              <w:adjustRightInd w:val="0"/>
              <w:snapToGrid w:val="0"/>
              <w:rPr>
                <w:rFonts w:hint="eastAsia" w:ascii="宋体" w:hAnsi="宋体" w:eastAsia="宋体" w:cs="宋体"/>
                <w:szCs w:val="21"/>
              </w:rPr>
            </w:pPr>
            <w:r>
              <w:rPr>
                <w:rFonts w:hint="eastAsia" w:ascii="宋体" w:hAnsi="宋体" w:eastAsia="宋体" w:cs="宋体"/>
                <w:szCs w:val="21"/>
                <w:lang w:bidi="ar"/>
              </w:rPr>
              <w:t>（1）苏轼及其词的创作。</w:t>
            </w:r>
          </w:p>
          <w:p w14:paraId="410A8E40">
            <w:pPr>
              <w:adjustRightInd w:val="0"/>
              <w:snapToGrid w:val="0"/>
              <w:rPr>
                <w:rFonts w:hint="eastAsia" w:ascii="宋体" w:hAnsi="宋体" w:eastAsia="宋体" w:cs="宋体"/>
                <w:szCs w:val="21"/>
              </w:rPr>
            </w:pPr>
            <w:r>
              <w:rPr>
                <w:rFonts w:hint="eastAsia" w:ascii="宋体" w:hAnsi="宋体" w:eastAsia="宋体" w:cs="宋体"/>
                <w:szCs w:val="21"/>
                <w:lang w:bidi="ar"/>
              </w:rPr>
              <w:t>（2）辛弃疾及其词的创作。</w:t>
            </w:r>
          </w:p>
          <w:p w14:paraId="4CFFF82E">
            <w:pPr>
              <w:adjustRightInd w:val="0"/>
              <w:snapToGrid w:val="0"/>
              <w:rPr>
                <w:rFonts w:hint="eastAsia" w:ascii="宋体" w:hAnsi="宋体" w:eastAsia="宋体" w:cs="Times New Roman"/>
                <w:szCs w:val="21"/>
              </w:rPr>
            </w:pPr>
            <w:r>
              <w:rPr>
                <w:rFonts w:hint="eastAsia" w:ascii="宋体" w:hAnsi="宋体" w:eastAsia="宋体" w:cs="宋体"/>
                <w:szCs w:val="21"/>
                <w:lang w:bidi="ar"/>
              </w:rPr>
              <w:t>（3）辛派词人及其创作。</w:t>
            </w:r>
          </w:p>
        </w:tc>
        <w:tc>
          <w:tcPr>
            <w:tcW w:w="1144" w:type="dxa"/>
            <w:vAlign w:val="center"/>
          </w:tcPr>
          <w:p w14:paraId="12E0C8C4">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018" w:type="dxa"/>
            <w:vAlign w:val="center"/>
          </w:tcPr>
          <w:p w14:paraId="5482C8B1">
            <w:pPr>
              <w:adjustRightInd w:val="0"/>
              <w:snapToGrid w:val="0"/>
              <w:rPr>
                <w:rFonts w:hint="eastAsia" w:ascii="宋体" w:hAnsi="宋体" w:eastAsia="宋体" w:cs="宋体"/>
                <w:szCs w:val="21"/>
              </w:rPr>
            </w:pPr>
            <w:r>
              <w:rPr>
                <w:rFonts w:hint="eastAsia" w:ascii="宋体" w:hAnsi="宋体" w:eastAsia="宋体" w:cs="宋体"/>
                <w:szCs w:val="21"/>
                <w:lang w:bidi="ar"/>
              </w:rPr>
              <w:t>（1）了解词的鉴赏的相关理论。</w:t>
            </w:r>
          </w:p>
          <w:p w14:paraId="3859FEB3">
            <w:pPr>
              <w:adjustRightInd w:val="0"/>
              <w:snapToGrid w:val="0"/>
              <w:rPr>
                <w:rFonts w:hint="eastAsia" w:ascii="宋体" w:hAnsi="宋体" w:eastAsia="宋体" w:cs="宋体"/>
                <w:szCs w:val="21"/>
              </w:rPr>
            </w:pPr>
            <w:r>
              <w:rPr>
                <w:rFonts w:hint="eastAsia" w:ascii="宋体" w:hAnsi="宋体" w:eastAsia="宋体" w:cs="宋体"/>
                <w:szCs w:val="21"/>
                <w:lang w:bidi="ar"/>
              </w:rPr>
              <w:t>（2）了解两宋词的发展。</w:t>
            </w:r>
          </w:p>
          <w:p w14:paraId="6F8CEF0B">
            <w:pPr>
              <w:adjustRightInd w:val="0"/>
              <w:snapToGrid w:val="0"/>
              <w:rPr>
                <w:rFonts w:hint="eastAsia" w:ascii="宋体" w:hAnsi="宋体" w:eastAsia="宋体" w:cs="宋体"/>
                <w:szCs w:val="21"/>
              </w:rPr>
            </w:pPr>
            <w:r>
              <w:rPr>
                <w:rFonts w:hint="eastAsia" w:ascii="宋体" w:hAnsi="宋体" w:eastAsia="宋体" w:cs="宋体"/>
                <w:szCs w:val="21"/>
                <w:lang w:bidi="ar"/>
              </w:rPr>
              <w:t>（3）认真阅读苏轼、辛弃疾、刘辰翁等词人的作品及相关的研究论著。</w:t>
            </w:r>
          </w:p>
          <w:p w14:paraId="0CBB66EB">
            <w:pPr>
              <w:adjustRightInd w:val="0"/>
              <w:snapToGrid w:val="0"/>
              <w:rPr>
                <w:rFonts w:hint="eastAsia" w:ascii="宋体" w:hAnsi="宋体" w:eastAsia="宋体" w:cs="Times New Roman"/>
                <w:szCs w:val="21"/>
              </w:rPr>
            </w:pPr>
            <w:r>
              <w:rPr>
                <w:rFonts w:hint="eastAsia" w:ascii="宋体" w:hAnsi="宋体" w:eastAsia="宋体" w:cs="宋体"/>
                <w:szCs w:val="21"/>
                <w:lang w:bidi="ar"/>
              </w:rPr>
              <w:t>（4）认真讨论，提高诗歌鉴赏能力。</w:t>
            </w:r>
          </w:p>
        </w:tc>
        <w:tc>
          <w:tcPr>
            <w:tcW w:w="1482" w:type="dxa"/>
            <w:vAlign w:val="center"/>
          </w:tcPr>
          <w:p w14:paraId="0C680AD5">
            <w:pPr>
              <w:jc w:val="left"/>
              <w:rPr>
                <w:rFonts w:hint="eastAsia" w:ascii="宋体" w:hAnsi="宋体" w:eastAsia="宋体" w:cs="Times New Roman"/>
                <w:szCs w:val="21"/>
              </w:rPr>
            </w:pPr>
            <w:r>
              <w:rPr>
                <w:rFonts w:ascii="宋体" w:hAnsi="宋体" w:eastAsia="宋体" w:cs="Times New Roman"/>
                <w:szCs w:val="21"/>
              </w:rPr>
              <w:t>1.线上学习</w:t>
            </w:r>
          </w:p>
          <w:p w14:paraId="0E744F78">
            <w:pPr>
              <w:jc w:val="left"/>
              <w:rPr>
                <w:rFonts w:hint="eastAsia" w:ascii="宋体" w:hAnsi="宋体" w:eastAsia="宋体" w:cs="Times New Roman"/>
                <w:szCs w:val="21"/>
              </w:rPr>
            </w:pPr>
            <w:r>
              <w:rPr>
                <w:rFonts w:ascii="宋体" w:hAnsi="宋体" w:eastAsia="宋体" w:cs="Times New Roman"/>
                <w:szCs w:val="21"/>
              </w:rPr>
              <w:t>2.多媒体教学</w:t>
            </w:r>
          </w:p>
          <w:p w14:paraId="1F196A04">
            <w:pPr>
              <w:jc w:val="left"/>
              <w:rPr>
                <w:rFonts w:hint="eastAsia" w:ascii="宋体" w:hAnsi="宋体" w:eastAsia="宋体" w:cs="Times New Roman"/>
                <w:szCs w:val="21"/>
              </w:rPr>
            </w:pPr>
            <w:r>
              <w:rPr>
                <w:rFonts w:ascii="宋体" w:hAnsi="宋体" w:eastAsia="宋体" w:cs="Times New Roman"/>
                <w:szCs w:val="21"/>
              </w:rPr>
              <w:t>3.课堂讨论</w:t>
            </w:r>
          </w:p>
          <w:p w14:paraId="2D04D081">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2CBFAF6B">
            <w:pPr>
              <w:jc w:val="center"/>
              <w:rPr>
                <w:rFonts w:hint="eastAsia" w:ascii="宋体" w:hAnsi="宋体" w:eastAsia="宋体" w:cs="Times New Roman"/>
                <w:szCs w:val="21"/>
              </w:rPr>
            </w:pPr>
            <w:r>
              <w:rPr>
                <w:rFonts w:hint="eastAsia" w:ascii="宋体" w:hAnsi="宋体" w:eastAsia="宋体" w:cs="Times New Roman"/>
                <w:szCs w:val="21"/>
              </w:rPr>
              <w:t>4</w:t>
            </w:r>
          </w:p>
        </w:tc>
      </w:tr>
      <w:tr w14:paraId="3BC6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745BCA81">
            <w:pPr>
              <w:jc w:val="center"/>
              <w:rPr>
                <w:rFonts w:hint="eastAsia" w:ascii="宋体" w:hAnsi="宋体" w:eastAsia="宋体" w:cs="Times New Roman"/>
                <w:szCs w:val="21"/>
              </w:rPr>
            </w:pPr>
          </w:p>
        </w:tc>
        <w:tc>
          <w:tcPr>
            <w:tcW w:w="7669" w:type="dxa"/>
            <w:gridSpan w:val="5"/>
            <w:vAlign w:val="center"/>
          </w:tcPr>
          <w:p w14:paraId="0074ABC1">
            <w:pPr>
              <w:adjustRightInd w:val="0"/>
              <w:snapToGrid w:val="0"/>
              <w:rPr>
                <w:rFonts w:hint="eastAsia" w:ascii="宋体" w:hAnsi="宋体" w:eastAsia="宋体" w:cs="宋体"/>
                <w:szCs w:val="21"/>
              </w:rPr>
            </w:pPr>
            <w:r>
              <w:rPr>
                <w:rFonts w:hint="eastAsia" w:ascii="宋体" w:hAnsi="宋体" w:eastAsia="宋体" w:cs="Times New Roman"/>
                <w:b/>
                <w:szCs w:val="21"/>
              </w:rPr>
              <w:t>课程思政目标：</w:t>
            </w:r>
            <w:r>
              <w:rPr>
                <w:rFonts w:hint="eastAsia" w:ascii="宋体" w:hAnsi="宋体" w:eastAsia="宋体" w:cs="宋体"/>
                <w:kern w:val="0"/>
                <w:szCs w:val="21"/>
                <w:lang w:bidi="ar"/>
              </w:rPr>
              <w:t>让学生</w:t>
            </w:r>
            <w:r>
              <w:rPr>
                <w:rFonts w:hint="eastAsia" w:ascii="宋体" w:hAnsi="宋体" w:eastAsia="宋体" w:cs="宋体"/>
                <w:szCs w:val="21"/>
                <w:lang w:bidi="ar"/>
              </w:rPr>
              <w:t>感受苏轼虽身处逆境却能积极进取人格魅力与人生智慧；通过学习陆游、辛弃疾等人的作品，努力塑造高尚的人格、美好的情操和自觉的爱国主义精神。</w:t>
            </w:r>
          </w:p>
          <w:p w14:paraId="16EDCC61">
            <w:pPr>
              <w:jc w:val="left"/>
              <w:rPr>
                <w:rFonts w:hint="eastAsia" w:ascii="宋体" w:hAnsi="宋体" w:eastAsia="宋体" w:cs="Times New Roman"/>
                <w:szCs w:val="21"/>
              </w:rPr>
            </w:pPr>
          </w:p>
        </w:tc>
      </w:tr>
      <w:tr w14:paraId="424A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4479D3D1">
            <w:pPr>
              <w:adjustRightInd w:val="0"/>
              <w:snapToGrid w:val="0"/>
              <w:rPr>
                <w:rFonts w:hint="eastAsia" w:ascii="宋体" w:hAnsi="宋体" w:eastAsia="宋体" w:cs="宋体"/>
                <w:b/>
                <w:bCs/>
                <w:szCs w:val="21"/>
              </w:rPr>
            </w:pPr>
            <w:r>
              <w:rPr>
                <w:rFonts w:hint="eastAsia" w:ascii="宋体" w:hAnsi="宋体" w:eastAsia="宋体" w:cs="Times New Roman"/>
                <w:szCs w:val="21"/>
              </w:rPr>
              <w:t>11.</w:t>
            </w:r>
            <w:r>
              <w:rPr>
                <w:rFonts w:hint="eastAsia" w:ascii="宋体" w:hAnsi="宋体" w:eastAsia="宋体" w:cs="宋体"/>
                <w:b/>
                <w:bCs/>
                <w:szCs w:val="21"/>
                <w:lang w:bidi="ar"/>
              </w:rPr>
              <w:t>别是一家之词——李清照</w:t>
            </w:r>
          </w:p>
          <w:p w14:paraId="10BFCE0C">
            <w:pPr>
              <w:rPr>
                <w:rFonts w:hint="eastAsia" w:ascii="宋体" w:hAnsi="宋体" w:eastAsia="宋体" w:cs="Times New Roman"/>
                <w:szCs w:val="21"/>
              </w:rPr>
            </w:pPr>
          </w:p>
        </w:tc>
        <w:tc>
          <w:tcPr>
            <w:tcW w:w="2387" w:type="dxa"/>
            <w:vAlign w:val="center"/>
          </w:tcPr>
          <w:p w14:paraId="29506306">
            <w:pPr>
              <w:adjustRightInd w:val="0"/>
              <w:snapToGrid w:val="0"/>
              <w:rPr>
                <w:rFonts w:hint="eastAsia" w:ascii="宋体" w:hAnsi="宋体" w:eastAsia="宋体" w:cs="宋体"/>
                <w:szCs w:val="21"/>
              </w:rPr>
            </w:pPr>
            <w:r>
              <w:rPr>
                <w:rFonts w:hint="eastAsia" w:ascii="宋体" w:hAnsi="宋体" w:eastAsia="宋体" w:cs="宋体"/>
                <w:szCs w:val="21"/>
                <w:lang w:bidi="ar"/>
              </w:rPr>
              <w:t>（1）李清照及其词的创作。</w:t>
            </w:r>
          </w:p>
          <w:p w14:paraId="0BF3ADA8">
            <w:pPr>
              <w:adjustRightInd w:val="0"/>
              <w:snapToGrid w:val="0"/>
              <w:rPr>
                <w:rFonts w:hint="eastAsia" w:ascii="宋体" w:hAnsi="宋体" w:eastAsia="宋体" w:cs="Times New Roman"/>
                <w:szCs w:val="21"/>
              </w:rPr>
            </w:pPr>
            <w:r>
              <w:rPr>
                <w:rFonts w:hint="eastAsia" w:ascii="宋体" w:hAnsi="宋体" w:eastAsia="宋体" w:cs="宋体"/>
                <w:szCs w:val="21"/>
                <w:lang w:bidi="ar"/>
              </w:rPr>
              <w:t>（2）李清照词论。</w:t>
            </w:r>
          </w:p>
        </w:tc>
        <w:tc>
          <w:tcPr>
            <w:tcW w:w="1144" w:type="dxa"/>
            <w:vAlign w:val="center"/>
          </w:tcPr>
          <w:p w14:paraId="1E59BCA8">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2018" w:type="dxa"/>
            <w:vAlign w:val="center"/>
          </w:tcPr>
          <w:p w14:paraId="73A73C77">
            <w:pPr>
              <w:adjustRightInd w:val="0"/>
              <w:snapToGrid w:val="0"/>
              <w:rPr>
                <w:rFonts w:hint="eastAsia" w:ascii="宋体" w:hAnsi="宋体" w:eastAsia="宋体" w:cs="宋体"/>
                <w:szCs w:val="21"/>
              </w:rPr>
            </w:pPr>
            <w:r>
              <w:rPr>
                <w:rFonts w:hint="eastAsia" w:ascii="宋体" w:hAnsi="宋体" w:eastAsia="宋体" w:cs="宋体"/>
                <w:szCs w:val="21"/>
                <w:lang w:bidi="ar"/>
              </w:rPr>
              <w:t>（1）了解词的鉴赏的相关理论。</w:t>
            </w:r>
          </w:p>
          <w:p w14:paraId="71C78D59">
            <w:pPr>
              <w:adjustRightInd w:val="0"/>
              <w:snapToGrid w:val="0"/>
              <w:rPr>
                <w:rFonts w:hint="eastAsia" w:ascii="宋体" w:hAnsi="宋体" w:eastAsia="宋体" w:cs="宋体"/>
                <w:szCs w:val="21"/>
              </w:rPr>
            </w:pPr>
            <w:r>
              <w:rPr>
                <w:rFonts w:hint="eastAsia" w:ascii="宋体" w:hAnsi="宋体" w:eastAsia="宋体" w:cs="宋体"/>
                <w:szCs w:val="21"/>
                <w:lang w:bidi="ar"/>
              </w:rPr>
              <w:t>（2）掌握李清照的词论。</w:t>
            </w:r>
          </w:p>
          <w:p w14:paraId="0F8693BC">
            <w:pPr>
              <w:adjustRightInd w:val="0"/>
              <w:snapToGrid w:val="0"/>
              <w:rPr>
                <w:rFonts w:hint="eastAsia" w:ascii="宋体" w:hAnsi="宋体" w:eastAsia="宋体" w:cs="宋体"/>
                <w:szCs w:val="21"/>
              </w:rPr>
            </w:pPr>
            <w:r>
              <w:rPr>
                <w:rFonts w:hint="eastAsia" w:ascii="宋体" w:hAnsi="宋体" w:eastAsia="宋体" w:cs="宋体"/>
                <w:szCs w:val="21"/>
                <w:lang w:bidi="ar"/>
              </w:rPr>
              <w:t>（3）认真阅读李清照的诗与词作品，结合其诗歌创作，理解其“诗词之别”的主张及相关的研究论著。</w:t>
            </w:r>
          </w:p>
          <w:p w14:paraId="38DE4546">
            <w:pPr>
              <w:adjustRightInd w:val="0"/>
              <w:snapToGrid w:val="0"/>
              <w:rPr>
                <w:rFonts w:hint="eastAsia" w:ascii="宋体" w:hAnsi="宋体" w:eastAsia="宋体" w:cs="Times New Roman"/>
                <w:szCs w:val="21"/>
              </w:rPr>
            </w:pPr>
            <w:r>
              <w:rPr>
                <w:rFonts w:hint="eastAsia" w:ascii="宋体" w:hAnsi="宋体" w:eastAsia="宋体" w:cs="宋体"/>
                <w:szCs w:val="21"/>
                <w:lang w:bidi="ar"/>
              </w:rPr>
              <w:t>（4）认真讨论，提高诗歌鉴赏能力。</w:t>
            </w:r>
          </w:p>
        </w:tc>
        <w:tc>
          <w:tcPr>
            <w:tcW w:w="1482" w:type="dxa"/>
            <w:vAlign w:val="center"/>
          </w:tcPr>
          <w:p w14:paraId="42146E30">
            <w:pPr>
              <w:jc w:val="left"/>
              <w:rPr>
                <w:rFonts w:hint="eastAsia" w:ascii="宋体" w:hAnsi="宋体" w:eastAsia="宋体" w:cs="Times New Roman"/>
                <w:szCs w:val="21"/>
              </w:rPr>
            </w:pPr>
            <w:r>
              <w:rPr>
                <w:rFonts w:ascii="宋体" w:hAnsi="宋体" w:eastAsia="宋体" w:cs="Times New Roman"/>
                <w:szCs w:val="21"/>
              </w:rPr>
              <w:t>1.线上学习</w:t>
            </w:r>
          </w:p>
          <w:p w14:paraId="24D40686">
            <w:pPr>
              <w:jc w:val="left"/>
              <w:rPr>
                <w:rFonts w:hint="eastAsia" w:ascii="宋体" w:hAnsi="宋体" w:eastAsia="宋体" w:cs="Times New Roman"/>
                <w:szCs w:val="21"/>
              </w:rPr>
            </w:pPr>
            <w:r>
              <w:rPr>
                <w:rFonts w:ascii="宋体" w:hAnsi="宋体" w:eastAsia="宋体" w:cs="Times New Roman"/>
                <w:szCs w:val="21"/>
              </w:rPr>
              <w:t>2.多媒体教学</w:t>
            </w:r>
          </w:p>
          <w:p w14:paraId="750B0969">
            <w:pPr>
              <w:jc w:val="left"/>
              <w:rPr>
                <w:rFonts w:hint="eastAsia" w:ascii="宋体" w:hAnsi="宋体" w:eastAsia="宋体" w:cs="Times New Roman"/>
                <w:szCs w:val="21"/>
              </w:rPr>
            </w:pPr>
            <w:r>
              <w:rPr>
                <w:rFonts w:ascii="宋体" w:hAnsi="宋体" w:eastAsia="宋体" w:cs="Times New Roman"/>
                <w:szCs w:val="21"/>
              </w:rPr>
              <w:t>3.课堂讨论</w:t>
            </w:r>
          </w:p>
          <w:p w14:paraId="4374ECF7">
            <w:pPr>
              <w:jc w:val="left"/>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77B3A841">
            <w:pPr>
              <w:jc w:val="center"/>
              <w:rPr>
                <w:rFonts w:hint="eastAsia" w:ascii="宋体" w:hAnsi="宋体" w:eastAsia="宋体" w:cs="Times New Roman"/>
                <w:szCs w:val="21"/>
              </w:rPr>
            </w:pPr>
            <w:r>
              <w:rPr>
                <w:rFonts w:hint="eastAsia" w:ascii="宋体" w:hAnsi="宋体" w:eastAsia="宋体" w:cs="Times New Roman"/>
                <w:szCs w:val="21"/>
              </w:rPr>
              <w:t>4</w:t>
            </w:r>
          </w:p>
        </w:tc>
      </w:tr>
      <w:tr w14:paraId="37B0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460FFD3A">
            <w:pPr>
              <w:jc w:val="center"/>
              <w:rPr>
                <w:rFonts w:hint="eastAsia" w:ascii="宋体" w:hAnsi="宋体" w:eastAsia="宋体" w:cs="Times New Roman"/>
                <w:szCs w:val="21"/>
              </w:rPr>
            </w:pPr>
          </w:p>
        </w:tc>
        <w:tc>
          <w:tcPr>
            <w:tcW w:w="7669" w:type="dxa"/>
            <w:gridSpan w:val="5"/>
            <w:vAlign w:val="center"/>
          </w:tcPr>
          <w:p w14:paraId="6E7272EF">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lang w:bidi="ar"/>
              </w:rPr>
              <w:t>通过对比李清照前后期的作品，让学生认识个人与国家的紧密关系，培养学生的爱国主义情操。</w:t>
            </w:r>
          </w:p>
        </w:tc>
      </w:tr>
      <w:tr w14:paraId="7EB6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14:paraId="7B88334F">
            <w:pPr>
              <w:adjustRightInd w:val="0"/>
              <w:snapToGrid w:val="0"/>
              <w:rPr>
                <w:rFonts w:hint="eastAsia" w:ascii="宋体" w:hAnsi="宋体" w:eastAsia="宋体" w:cs="宋体"/>
                <w:b/>
                <w:bCs/>
                <w:szCs w:val="21"/>
              </w:rPr>
            </w:pPr>
            <w:r>
              <w:rPr>
                <w:rFonts w:hint="eastAsia" w:ascii="宋体" w:hAnsi="宋体" w:eastAsia="宋体" w:cs="Times New Roman"/>
                <w:szCs w:val="21"/>
              </w:rPr>
              <w:t>12.</w:t>
            </w:r>
            <w:r>
              <w:rPr>
                <w:rFonts w:hint="eastAsia" w:ascii="宋体" w:hAnsi="宋体" w:eastAsia="宋体" w:cs="宋体"/>
                <w:b/>
                <w:bCs/>
                <w:szCs w:val="21"/>
                <w:lang w:bidi="ar"/>
              </w:rPr>
              <w:t>南宋词的雅化——姜夔与吴文英</w:t>
            </w:r>
          </w:p>
          <w:p w14:paraId="33255463">
            <w:pPr>
              <w:rPr>
                <w:rFonts w:hint="eastAsia" w:ascii="宋体" w:hAnsi="宋体" w:eastAsia="宋体" w:cs="Times New Roman"/>
                <w:szCs w:val="21"/>
              </w:rPr>
            </w:pPr>
          </w:p>
        </w:tc>
        <w:tc>
          <w:tcPr>
            <w:tcW w:w="2387" w:type="dxa"/>
            <w:vAlign w:val="center"/>
          </w:tcPr>
          <w:p w14:paraId="3A232904">
            <w:pPr>
              <w:adjustRightInd w:val="0"/>
              <w:snapToGrid w:val="0"/>
              <w:rPr>
                <w:rFonts w:hint="eastAsia" w:ascii="宋体" w:hAnsi="宋体" w:eastAsia="宋体" w:cs="宋体"/>
                <w:szCs w:val="21"/>
              </w:rPr>
            </w:pPr>
            <w:r>
              <w:rPr>
                <w:rFonts w:hint="eastAsia" w:ascii="宋体" w:hAnsi="宋体" w:eastAsia="宋体" w:cs="宋体"/>
                <w:szCs w:val="21"/>
                <w:lang w:bidi="ar"/>
              </w:rPr>
              <w:t>（1）南宋词的新发展。</w:t>
            </w:r>
          </w:p>
          <w:p w14:paraId="71E94A21">
            <w:pPr>
              <w:adjustRightInd w:val="0"/>
              <w:snapToGrid w:val="0"/>
              <w:rPr>
                <w:rFonts w:hint="eastAsia" w:ascii="宋体" w:hAnsi="宋体" w:eastAsia="宋体" w:cs="宋体"/>
                <w:szCs w:val="21"/>
              </w:rPr>
            </w:pPr>
            <w:r>
              <w:rPr>
                <w:rFonts w:hint="eastAsia" w:ascii="宋体" w:hAnsi="宋体" w:eastAsia="宋体" w:cs="宋体"/>
                <w:szCs w:val="21"/>
                <w:lang w:bidi="ar"/>
              </w:rPr>
              <w:t>（2）格律词派的创作风貌。</w:t>
            </w:r>
          </w:p>
          <w:p w14:paraId="1DCDBF5D">
            <w:pPr>
              <w:adjustRightInd w:val="0"/>
              <w:snapToGrid w:val="0"/>
              <w:rPr>
                <w:rFonts w:hint="eastAsia" w:ascii="宋体" w:hAnsi="宋体" w:eastAsia="宋体" w:cs="宋体"/>
                <w:szCs w:val="21"/>
              </w:rPr>
            </w:pPr>
            <w:r>
              <w:rPr>
                <w:rFonts w:hint="eastAsia" w:ascii="宋体" w:hAnsi="宋体" w:eastAsia="宋体" w:cs="宋体"/>
                <w:szCs w:val="21"/>
                <w:lang w:bidi="ar"/>
              </w:rPr>
              <w:t>（3）姜夔及其词的创作。</w:t>
            </w:r>
          </w:p>
          <w:p w14:paraId="7933117F">
            <w:pPr>
              <w:adjustRightInd w:val="0"/>
              <w:snapToGrid w:val="0"/>
              <w:rPr>
                <w:rFonts w:hint="eastAsia" w:ascii="宋体" w:hAnsi="宋体" w:eastAsia="宋体" w:cs="Times New Roman"/>
                <w:szCs w:val="21"/>
              </w:rPr>
            </w:pPr>
            <w:r>
              <w:rPr>
                <w:rFonts w:hint="eastAsia" w:ascii="宋体" w:hAnsi="宋体" w:eastAsia="宋体" w:cs="宋体"/>
                <w:szCs w:val="21"/>
                <w:lang w:bidi="ar"/>
              </w:rPr>
              <w:t>（4）吴文英及其词的创作。</w:t>
            </w:r>
          </w:p>
        </w:tc>
        <w:tc>
          <w:tcPr>
            <w:tcW w:w="1144" w:type="dxa"/>
            <w:vAlign w:val="center"/>
          </w:tcPr>
          <w:p w14:paraId="3733369D">
            <w:pPr>
              <w:jc w:val="center"/>
              <w:rPr>
                <w:rFonts w:hint="eastAsia" w:ascii="宋体" w:hAnsi="宋体" w:eastAsia="宋体" w:cs="Times New Roman"/>
                <w:szCs w:val="21"/>
              </w:rPr>
            </w:pPr>
            <w:r>
              <w:rPr>
                <w:rFonts w:hint="eastAsia" w:ascii="宋体" w:hAnsi="宋体" w:eastAsia="宋体" w:cs="Times New Roman"/>
                <w:szCs w:val="21"/>
              </w:rPr>
              <w:t>课程目标1、2、3</w:t>
            </w:r>
          </w:p>
          <w:p w14:paraId="42C2FA14">
            <w:pPr>
              <w:jc w:val="center"/>
              <w:rPr>
                <w:rFonts w:hint="eastAsia" w:ascii="宋体" w:hAnsi="宋体" w:eastAsia="宋体" w:cs="Times New Roman"/>
                <w:szCs w:val="21"/>
              </w:rPr>
            </w:pPr>
          </w:p>
        </w:tc>
        <w:tc>
          <w:tcPr>
            <w:tcW w:w="2018" w:type="dxa"/>
            <w:vAlign w:val="center"/>
          </w:tcPr>
          <w:p w14:paraId="4D00B153">
            <w:pPr>
              <w:adjustRightInd w:val="0"/>
              <w:snapToGrid w:val="0"/>
              <w:rPr>
                <w:rFonts w:hint="eastAsia" w:ascii="宋体" w:hAnsi="宋体" w:eastAsia="宋体" w:cs="宋体"/>
                <w:szCs w:val="21"/>
              </w:rPr>
            </w:pPr>
            <w:r>
              <w:rPr>
                <w:rFonts w:hint="eastAsia" w:ascii="宋体" w:hAnsi="宋体" w:eastAsia="宋体" w:cs="宋体"/>
                <w:szCs w:val="21"/>
                <w:lang w:bidi="ar"/>
              </w:rPr>
              <w:t>（1）了解词的鉴赏的相关理论。</w:t>
            </w:r>
          </w:p>
          <w:p w14:paraId="2E9F91BF">
            <w:pPr>
              <w:adjustRightInd w:val="0"/>
              <w:snapToGrid w:val="0"/>
              <w:rPr>
                <w:rFonts w:hint="eastAsia" w:ascii="宋体" w:hAnsi="宋体" w:eastAsia="宋体" w:cs="宋体"/>
                <w:szCs w:val="21"/>
              </w:rPr>
            </w:pPr>
            <w:r>
              <w:rPr>
                <w:rFonts w:hint="eastAsia" w:ascii="宋体" w:hAnsi="宋体" w:eastAsia="宋体" w:cs="宋体"/>
                <w:szCs w:val="21"/>
                <w:lang w:bidi="ar"/>
              </w:rPr>
              <w:t>（2）了解南宋词的发展。</w:t>
            </w:r>
          </w:p>
          <w:p w14:paraId="3AA72900">
            <w:pPr>
              <w:adjustRightInd w:val="0"/>
              <w:snapToGrid w:val="0"/>
              <w:rPr>
                <w:rFonts w:hint="eastAsia" w:ascii="宋体" w:hAnsi="宋体" w:eastAsia="宋体" w:cs="宋体"/>
                <w:szCs w:val="21"/>
              </w:rPr>
            </w:pPr>
            <w:r>
              <w:rPr>
                <w:rFonts w:hint="eastAsia" w:ascii="宋体" w:hAnsi="宋体" w:eastAsia="宋体" w:cs="宋体"/>
                <w:szCs w:val="21"/>
                <w:lang w:bidi="ar"/>
              </w:rPr>
              <w:t>（3）认真阅读姜夔、吴文英等词人的作品及相关的研究论著。</w:t>
            </w:r>
          </w:p>
          <w:p w14:paraId="39DCABF5">
            <w:pPr>
              <w:adjustRightInd w:val="0"/>
              <w:snapToGrid w:val="0"/>
              <w:rPr>
                <w:rFonts w:hint="eastAsia" w:ascii="宋体" w:hAnsi="宋体" w:eastAsia="宋体" w:cs="Times New Roman"/>
                <w:szCs w:val="21"/>
              </w:rPr>
            </w:pPr>
            <w:r>
              <w:rPr>
                <w:rFonts w:hint="eastAsia" w:ascii="宋体" w:hAnsi="宋体" w:eastAsia="宋体" w:cs="宋体"/>
                <w:szCs w:val="21"/>
                <w:lang w:bidi="ar"/>
              </w:rPr>
              <w:t>（4）认真讨论，提高诗歌鉴赏能力。</w:t>
            </w:r>
          </w:p>
        </w:tc>
        <w:tc>
          <w:tcPr>
            <w:tcW w:w="1482" w:type="dxa"/>
            <w:vAlign w:val="center"/>
          </w:tcPr>
          <w:p w14:paraId="61BDB05E">
            <w:pPr>
              <w:jc w:val="left"/>
              <w:rPr>
                <w:rFonts w:hint="eastAsia" w:ascii="宋体" w:hAnsi="宋体" w:eastAsia="宋体" w:cs="Times New Roman"/>
                <w:szCs w:val="21"/>
              </w:rPr>
            </w:pPr>
            <w:r>
              <w:rPr>
                <w:rFonts w:ascii="宋体" w:hAnsi="宋体" w:eastAsia="宋体" w:cs="Times New Roman"/>
                <w:szCs w:val="21"/>
              </w:rPr>
              <w:t>1.线上学习</w:t>
            </w:r>
          </w:p>
          <w:p w14:paraId="4523E23C">
            <w:pPr>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多媒体教学</w:t>
            </w:r>
          </w:p>
          <w:p w14:paraId="0CAAFAB5">
            <w:pPr>
              <w:jc w:val="left"/>
              <w:rPr>
                <w:rFonts w:hint="eastAsia" w:ascii="宋体" w:hAnsi="宋体" w:eastAsia="宋体" w:cs="Times New Roman"/>
                <w:szCs w:val="21"/>
              </w:rPr>
            </w:pPr>
            <w:r>
              <w:rPr>
                <w:rFonts w:ascii="宋体" w:hAnsi="宋体" w:eastAsia="宋体" w:cs="Times New Roman"/>
                <w:szCs w:val="21"/>
              </w:rPr>
              <w:t>3.课堂讨论</w:t>
            </w:r>
          </w:p>
          <w:p w14:paraId="16609C3E">
            <w:pPr>
              <w:adjustRightInd w:val="0"/>
              <w:snapToGrid w:val="0"/>
              <w:rPr>
                <w:rFonts w:hint="eastAsia" w:ascii="宋体" w:hAnsi="宋体" w:eastAsia="宋体" w:cs="Times New Roman"/>
                <w:szCs w:val="21"/>
              </w:rPr>
            </w:pPr>
            <w:r>
              <w:rPr>
                <w:rFonts w:ascii="宋体" w:hAnsi="宋体" w:eastAsia="宋体" w:cs="Times New Roman"/>
                <w:szCs w:val="21"/>
              </w:rPr>
              <w:t>4.单元测验</w:t>
            </w:r>
          </w:p>
        </w:tc>
        <w:tc>
          <w:tcPr>
            <w:tcW w:w="0" w:type="auto"/>
            <w:vAlign w:val="center"/>
          </w:tcPr>
          <w:p w14:paraId="1356A9A1">
            <w:pPr>
              <w:jc w:val="center"/>
              <w:rPr>
                <w:rFonts w:hint="eastAsia" w:ascii="宋体" w:hAnsi="宋体" w:eastAsia="宋体" w:cs="Times New Roman"/>
                <w:szCs w:val="21"/>
              </w:rPr>
            </w:pPr>
            <w:r>
              <w:rPr>
                <w:rFonts w:hint="eastAsia" w:ascii="宋体" w:hAnsi="宋体" w:eastAsia="宋体" w:cs="Times New Roman"/>
                <w:szCs w:val="21"/>
              </w:rPr>
              <w:t>4</w:t>
            </w:r>
          </w:p>
        </w:tc>
      </w:tr>
      <w:tr w14:paraId="6756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14:paraId="2F01F56C">
            <w:pPr>
              <w:jc w:val="center"/>
              <w:rPr>
                <w:rFonts w:hint="eastAsia" w:ascii="宋体" w:hAnsi="宋体" w:eastAsia="宋体" w:cs="Times New Roman"/>
                <w:szCs w:val="21"/>
              </w:rPr>
            </w:pPr>
          </w:p>
        </w:tc>
        <w:tc>
          <w:tcPr>
            <w:tcW w:w="7669" w:type="dxa"/>
            <w:gridSpan w:val="5"/>
            <w:vAlign w:val="center"/>
          </w:tcPr>
          <w:p w14:paraId="7930FC95">
            <w:pPr>
              <w:adjustRightInd w:val="0"/>
              <w:snapToGrid w:val="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lang w:bidi="ar"/>
              </w:rPr>
              <w:t>将江湖词人在南宋灭亡前后的词作进行比对分析，让学生认识世变与文学创作的关系，从而树立舍弃小我，成就大我的价值观。</w:t>
            </w:r>
          </w:p>
        </w:tc>
      </w:tr>
    </w:tbl>
    <w:p w14:paraId="0B7008A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6407A13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3C0929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628"/>
        <w:gridCol w:w="1628"/>
        <w:gridCol w:w="1628"/>
        <w:gridCol w:w="1182"/>
      </w:tblGrid>
      <w:tr w14:paraId="28D5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restart"/>
            <w:vAlign w:val="center"/>
          </w:tcPr>
          <w:p w14:paraId="5DC3D1D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168" w:type="dxa"/>
            <w:gridSpan w:val="3"/>
            <w:vAlign w:val="center"/>
          </w:tcPr>
          <w:p w14:paraId="3C56070A">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767" w:type="dxa"/>
            <w:vMerge w:val="restart"/>
            <w:vAlign w:val="center"/>
          </w:tcPr>
          <w:p w14:paraId="4B58CD9E">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68F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continue"/>
            <w:vAlign w:val="center"/>
          </w:tcPr>
          <w:p w14:paraId="10B01C3B">
            <w:pPr>
              <w:spacing w:line="360" w:lineRule="auto"/>
              <w:jc w:val="center"/>
              <w:rPr>
                <w:rFonts w:hint="eastAsia" w:ascii="宋体" w:hAnsi="宋体" w:eastAsia="宋体" w:cs="Times New Roman"/>
                <w:szCs w:val="21"/>
              </w:rPr>
            </w:pPr>
          </w:p>
        </w:tc>
        <w:tc>
          <w:tcPr>
            <w:tcW w:w="1056" w:type="dxa"/>
            <w:vAlign w:val="center"/>
          </w:tcPr>
          <w:p w14:paraId="4F37AC1E">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056" w:type="dxa"/>
            <w:vAlign w:val="center"/>
          </w:tcPr>
          <w:p w14:paraId="25D2ECF1">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27D89E90">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767" w:type="dxa"/>
            <w:vMerge w:val="continue"/>
            <w:vAlign w:val="center"/>
          </w:tcPr>
          <w:p w14:paraId="3C47B8F4">
            <w:pPr>
              <w:spacing w:line="360" w:lineRule="auto"/>
              <w:jc w:val="center"/>
              <w:rPr>
                <w:rFonts w:hint="eastAsia" w:ascii="宋体" w:hAnsi="宋体" w:eastAsia="宋体" w:cs="Times New Roman"/>
                <w:szCs w:val="21"/>
              </w:rPr>
            </w:pPr>
          </w:p>
        </w:tc>
      </w:tr>
      <w:tr w14:paraId="5992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601BC42F">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056" w:type="dxa"/>
            <w:vAlign w:val="center"/>
          </w:tcPr>
          <w:p w14:paraId="24421EC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17A2D09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5C29221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310CF7FD">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7BFAB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610D405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056" w:type="dxa"/>
            <w:vAlign w:val="center"/>
          </w:tcPr>
          <w:p w14:paraId="546A232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06D31E9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6C49E3D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69B5BC03">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1282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5D8971E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056" w:type="dxa"/>
            <w:vAlign w:val="center"/>
          </w:tcPr>
          <w:p w14:paraId="7CE41DE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565C4FCE">
            <w:pPr>
              <w:spacing w:line="360" w:lineRule="auto"/>
              <w:jc w:val="center"/>
              <w:rPr>
                <w:rFonts w:hint="eastAsia" w:ascii="宋体" w:hAnsi="宋体" w:eastAsia="宋体" w:cs="Times New Roman"/>
                <w:szCs w:val="21"/>
              </w:rPr>
            </w:pPr>
          </w:p>
        </w:tc>
        <w:tc>
          <w:tcPr>
            <w:tcW w:w="1056" w:type="dxa"/>
            <w:vAlign w:val="center"/>
          </w:tcPr>
          <w:p w14:paraId="2E6E7BD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5F928195">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CDD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266F29C7">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056" w:type="dxa"/>
            <w:vAlign w:val="center"/>
          </w:tcPr>
          <w:p w14:paraId="11A289A4">
            <w:pPr>
              <w:spacing w:line="360" w:lineRule="auto"/>
              <w:jc w:val="center"/>
              <w:rPr>
                <w:rFonts w:hint="eastAsia" w:ascii="宋体" w:hAnsi="宋体" w:eastAsia="宋体" w:cs="Times New Roman"/>
                <w:szCs w:val="21"/>
              </w:rPr>
            </w:pPr>
          </w:p>
        </w:tc>
        <w:tc>
          <w:tcPr>
            <w:tcW w:w="1056" w:type="dxa"/>
            <w:vAlign w:val="center"/>
          </w:tcPr>
          <w:p w14:paraId="238723F5">
            <w:pPr>
              <w:spacing w:line="360" w:lineRule="auto"/>
              <w:jc w:val="center"/>
              <w:rPr>
                <w:rFonts w:hint="eastAsia" w:ascii="宋体" w:hAnsi="宋体" w:eastAsia="宋体" w:cs="Times New Roman"/>
                <w:szCs w:val="21"/>
              </w:rPr>
            </w:pPr>
          </w:p>
        </w:tc>
        <w:tc>
          <w:tcPr>
            <w:tcW w:w="1056" w:type="dxa"/>
            <w:vAlign w:val="center"/>
          </w:tcPr>
          <w:p w14:paraId="127B3D82">
            <w:pPr>
              <w:spacing w:line="360" w:lineRule="auto"/>
              <w:jc w:val="center"/>
              <w:rPr>
                <w:rFonts w:hint="eastAsia" w:ascii="宋体" w:hAnsi="宋体" w:eastAsia="宋体" w:cs="Times New Roman"/>
                <w:szCs w:val="21"/>
              </w:rPr>
            </w:pPr>
          </w:p>
        </w:tc>
        <w:tc>
          <w:tcPr>
            <w:tcW w:w="767" w:type="dxa"/>
            <w:vAlign w:val="center"/>
          </w:tcPr>
          <w:p w14:paraId="1CF34CFD">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29B26D7">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652DC51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1235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7F006E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3E44F70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76C582B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F5D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C46F9D">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4FAAF74">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0029D1AE">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14:paraId="7CA2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AA34304">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544EB430">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6A637711">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04DBBB05">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14:paraId="3E46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B937512">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62FF3709">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教育基本理论和知识型题目占3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%；考核学生运用基本理论知识进行分析能力的题型占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%；考核学生运用学与教的基本理论和知识进行教学设计的题型占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%；考核学生初步研究能力的题型占1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73EF4C14">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10F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3293E14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E3612FE">
            <w:pPr>
              <w:jc w:val="left"/>
              <w:rPr>
                <w:rFonts w:ascii="Times New Roman" w:hAnsi="Times New Roman" w:eastAsia="宋体" w:cs="Times New Roman"/>
                <w:szCs w:val="21"/>
              </w:rPr>
            </w:pPr>
          </w:p>
        </w:tc>
        <w:tc>
          <w:tcPr>
            <w:tcW w:w="0" w:type="auto"/>
            <w:vAlign w:val="center"/>
          </w:tcPr>
          <w:p w14:paraId="2B838EF0">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5E2155E">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7D5ABAA5">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1CB743C1">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78"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78" DrawAspect="Content" ObjectID="_1468075778" r:id="rId66">
            <o:LockedField>false</o:LockedField>
          </o:OLEObject>
        </w:object>
      </w:r>
      <w:bookmarkStart w:id="1787" w:name="_Toc1035491389"/>
      <w:r>
        <w:rPr>
          <w:rFonts w:hint="eastAsia" w:ascii="Times New Roman" w:hAnsi="Times New Roman" w:eastAsia="宋体" w:cs="Times New Roman"/>
          <w:b/>
          <w:sz w:val="24"/>
        </w:rPr>
        <w:t>五、有关说明</w:t>
      </w:r>
      <w:bookmarkEnd w:id="1787"/>
    </w:p>
    <w:p w14:paraId="3DAF07AC">
      <w:pPr>
        <w:adjustRightInd w:val="0"/>
        <w:snapToGrid w:val="0"/>
        <w:spacing w:line="360" w:lineRule="auto"/>
        <w:ind w:firstLine="422" w:firstLineChars="200"/>
        <w:rPr>
          <w:rFonts w:hint="eastAsia" w:ascii="宋体" w:hAnsi="宋体" w:eastAsia="宋体" w:cs="宋体"/>
          <w:b/>
          <w:szCs w:val="21"/>
        </w:rPr>
      </w:pPr>
      <w:r>
        <w:rPr>
          <w:rFonts w:hint="eastAsia" w:ascii="宋体" w:hAnsi="宋体" w:eastAsia="宋体" w:cs="宋体"/>
          <w:b/>
          <w:szCs w:val="21"/>
          <w:lang w:bidi="ar"/>
        </w:rPr>
        <w:t>（一）持续改进</w:t>
      </w:r>
    </w:p>
    <w:p w14:paraId="7EC6330A">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lang w:bidi="ar"/>
        </w:rPr>
        <w:t>本课程根据学生作业、课堂讨论情况和学生、教学督导等方面的反馈意见，及时对唐诗宋词研究教学中的不足之处进行改进，并在下一轮课程教学中整改完善，确保相应毕业要求指标点达成。</w:t>
      </w:r>
    </w:p>
    <w:p w14:paraId="14A0F382">
      <w:pPr>
        <w:adjustRightInd w:val="0"/>
        <w:snapToGrid w:val="0"/>
        <w:spacing w:line="360" w:lineRule="auto"/>
        <w:ind w:firstLine="422" w:firstLineChars="200"/>
        <w:rPr>
          <w:rFonts w:hint="eastAsia" w:ascii="宋体" w:hAnsi="宋体" w:eastAsia="宋体" w:cs="宋体"/>
          <w:b/>
          <w:bCs/>
          <w:szCs w:val="21"/>
        </w:rPr>
      </w:pPr>
      <w:r>
        <w:rPr>
          <w:rFonts w:hint="eastAsia" w:ascii="宋体" w:hAnsi="宋体" w:eastAsia="宋体" w:cs="宋体"/>
          <w:b/>
          <w:bCs/>
          <w:szCs w:val="21"/>
          <w:lang w:bidi="ar"/>
        </w:rPr>
        <w:t>（二）建议教材</w:t>
      </w:r>
    </w:p>
    <w:p w14:paraId="7DAA72DA">
      <w:pPr>
        <w:adjustRightInd w:val="0"/>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0"/>
          <w:lang w:bidi="ar"/>
        </w:rPr>
        <w:t>葛晓音编：《唐诗宋词十五讲》，北京：北京大学出版社，2003.6</w:t>
      </w:r>
    </w:p>
    <w:p w14:paraId="0F0510FB">
      <w:pPr>
        <w:adjustRightInd w:val="0"/>
        <w:snapToGrid w:val="0"/>
        <w:spacing w:line="360" w:lineRule="auto"/>
        <w:ind w:firstLine="422" w:firstLineChars="200"/>
        <w:rPr>
          <w:rFonts w:hint="eastAsia" w:ascii="宋体" w:hAnsi="宋体" w:eastAsia="宋体" w:cs="宋体"/>
          <w:b/>
          <w:szCs w:val="21"/>
        </w:rPr>
      </w:pPr>
      <w:r>
        <w:rPr>
          <w:rFonts w:hint="eastAsia" w:ascii="宋体" w:hAnsi="宋体" w:eastAsia="宋体" w:cs="宋体"/>
          <w:b/>
          <w:szCs w:val="21"/>
          <w:lang w:bidi="ar"/>
        </w:rPr>
        <w:t>（三）参考书目及学习资料</w:t>
      </w:r>
    </w:p>
    <w:p w14:paraId="5069235B">
      <w:pPr>
        <w:adjustRightInd w:val="0"/>
        <w:snapToGrid w:val="0"/>
        <w:spacing w:line="360" w:lineRule="auto"/>
        <w:ind w:firstLine="420" w:firstLineChars="200"/>
        <w:rPr>
          <w:rFonts w:hint="eastAsia" w:ascii="宋体" w:hAnsi="宋体" w:eastAsia="宋体" w:cs="宋体"/>
          <w:szCs w:val="20"/>
        </w:rPr>
      </w:pPr>
      <w:r>
        <w:rPr>
          <w:rFonts w:hint="eastAsia" w:ascii="宋体" w:hAnsi="宋体" w:eastAsia="宋体" w:cs="宋体"/>
          <w:szCs w:val="20"/>
          <w:lang w:bidi="ar"/>
        </w:rPr>
        <w:t>1.萧涤非著：《</w:t>
      </w:r>
      <w:r>
        <w:rPr>
          <w:rFonts w:hint="eastAsia" w:ascii="宋体" w:hAnsi="宋体" w:eastAsia="宋体" w:cs="宋体"/>
          <w:szCs w:val="21"/>
          <w:lang w:bidi="ar"/>
        </w:rPr>
        <w:t>唐诗</w:t>
      </w:r>
      <w:r>
        <w:rPr>
          <w:rFonts w:hint="eastAsia" w:ascii="宋体" w:hAnsi="宋体" w:eastAsia="宋体" w:cs="宋体"/>
          <w:szCs w:val="20"/>
          <w:lang w:bidi="ar"/>
        </w:rPr>
        <w:t>鉴赏大辞典》，上海：上海辞书出版社，2005.3</w:t>
      </w:r>
    </w:p>
    <w:p w14:paraId="6C7E4069">
      <w:pPr>
        <w:adjustRightInd w:val="0"/>
        <w:snapToGrid w:val="0"/>
        <w:spacing w:line="360" w:lineRule="auto"/>
        <w:ind w:firstLine="420" w:firstLineChars="200"/>
        <w:rPr>
          <w:rFonts w:hint="eastAsia" w:ascii="宋体" w:hAnsi="宋体" w:eastAsia="宋体" w:cs="宋体"/>
          <w:szCs w:val="20"/>
        </w:rPr>
      </w:pPr>
      <w:r>
        <w:rPr>
          <w:rFonts w:hint="eastAsia" w:ascii="宋体" w:hAnsi="宋体" w:eastAsia="宋体" w:cs="宋体"/>
          <w:szCs w:val="20"/>
          <w:lang w:bidi="ar"/>
        </w:rPr>
        <w:t>2.唐圭璋编：《</w:t>
      </w:r>
      <w:r>
        <w:rPr>
          <w:rFonts w:hint="eastAsia" w:ascii="宋体" w:hAnsi="宋体" w:eastAsia="宋体" w:cs="宋体"/>
          <w:szCs w:val="21"/>
          <w:lang w:bidi="ar"/>
        </w:rPr>
        <w:t>唐宋词</w:t>
      </w:r>
      <w:r>
        <w:rPr>
          <w:rFonts w:hint="eastAsia" w:ascii="宋体" w:hAnsi="宋体" w:eastAsia="宋体" w:cs="宋体"/>
          <w:szCs w:val="20"/>
          <w:lang w:bidi="ar"/>
        </w:rPr>
        <w:t>鉴赏辞典》，南京：江苏古籍出版社，1997.5</w:t>
      </w:r>
    </w:p>
    <w:p w14:paraId="4279DAA1">
      <w:pPr>
        <w:adjustRightInd w:val="0"/>
        <w:snapToGrid w:val="0"/>
        <w:spacing w:line="360" w:lineRule="auto"/>
        <w:ind w:firstLine="420" w:firstLineChars="200"/>
        <w:rPr>
          <w:rFonts w:hint="eastAsia" w:ascii="宋体" w:hAnsi="宋体" w:eastAsia="宋体" w:cs="宋体"/>
          <w:szCs w:val="20"/>
        </w:rPr>
      </w:pPr>
      <w:r>
        <w:rPr>
          <w:rFonts w:hint="eastAsia" w:ascii="宋体" w:hAnsi="宋体" w:eastAsia="宋体" w:cs="宋体"/>
          <w:szCs w:val="20"/>
          <w:lang w:bidi="ar"/>
        </w:rPr>
        <w:t>3.袁行霈著：《中国</w:t>
      </w:r>
      <w:r>
        <w:rPr>
          <w:rFonts w:hint="eastAsia" w:ascii="宋体" w:hAnsi="宋体" w:eastAsia="宋体" w:cs="宋体"/>
          <w:szCs w:val="21"/>
          <w:lang w:bidi="ar"/>
        </w:rPr>
        <w:t>诗歌</w:t>
      </w:r>
      <w:r>
        <w:rPr>
          <w:rFonts w:hint="eastAsia" w:ascii="宋体" w:hAnsi="宋体" w:eastAsia="宋体" w:cs="宋体"/>
          <w:szCs w:val="20"/>
          <w:lang w:bidi="ar"/>
        </w:rPr>
        <w:t>艺术研究》，北京：北京大学出版社，1987.1</w:t>
      </w:r>
    </w:p>
    <w:p w14:paraId="57C52E46">
      <w:pPr>
        <w:adjustRightInd w:val="0"/>
        <w:snapToGrid w:val="0"/>
        <w:spacing w:line="360" w:lineRule="auto"/>
        <w:ind w:firstLine="420" w:firstLineChars="200"/>
        <w:rPr>
          <w:rFonts w:hint="eastAsia" w:ascii="宋体" w:hAnsi="宋体" w:eastAsia="宋体" w:cs="宋体"/>
          <w:szCs w:val="20"/>
        </w:rPr>
      </w:pPr>
      <w:r>
        <w:rPr>
          <w:rFonts w:hint="eastAsia" w:ascii="宋体" w:hAnsi="宋体" w:eastAsia="宋体" w:cs="宋体"/>
          <w:szCs w:val="20"/>
          <w:lang w:bidi="ar"/>
        </w:rPr>
        <w:t>4.吴调公著：《古典</w:t>
      </w:r>
      <w:r>
        <w:rPr>
          <w:rFonts w:hint="eastAsia" w:ascii="宋体" w:hAnsi="宋体" w:eastAsia="宋体" w:cs="宋体"/>
          <w:szCs w:val="21"/>
          <w:lang w:bidi="ar"/>
        </w:rPr>
        <w:t>文论</w:t>
      </w:r>
      <w:r>
        <w:rPr>
          <w:rFonts w:hint="eastAsia" w:ascii="宋体" w:hAnsi="宋体" w:eastAsia="宋体" w:cs="宋体"/>
          <w:szCs w:val="20"/>
          <w:lang w:bidi="ar"/>
        </w:rPr>
        <w:t>与审美鉴赏》，济南：齐鲁书社，1985.8</w:t>
      </w:r>
    </w:p>
    <w:p w14:paraId="428D20D3">
      <w:pPr>
        <w:spacing w:line="360" w:lineRule="auto"/>
        <w:ind w:left="420" w:leftChars="200" w:firstLine="5760" w:firstLineChars="2400"/>
        <w:rPr>
          <w:rFonts w:hint="eastAsia" w:ascii="宋体" w:hAnsi="宋体" w:eastAsia="宋体" w:cs="宋体"/>
          <w:sz w:val="24"/>
          <w:szCs w:val="22"/>
        </w:rPr>
      </w:pPr>
      <w:r>
        <w:rPr>
          <w:rFonts w:hint="eastAsia" w:ascii="宋体" w:hAnsi="宋体" w:eastAsia="宋体" w:cs="宋体"/>
          <w:sz w:val="24"/>
          <w:szCs w:val="22"/>
          <w:lang w:bidi="ar"/>
        </w:rPr>
        <w:t>执笔人：周焕卿</w:t>
      </w:r>
    </w:p>
    <w:p w14:paraId="3B311FFC">
      <w:pPr>
        <w:spacing w:line="360" w:lineRule="auto"/>
        <w:ind w:left="420" w:leftChars="200" w:firstLine="5760" w:firstLineChars="2400"/>
        <w:rPr>
          <w:rFonts w:hint="eastAsia" w:ascii="宋体" w:hAnsi="宋体" w:eastAsia="宋体" w:cs="宋体"/>
          <w:sz w:val="24"/>
          <w:szCs w:val="22"/>
        </w:rPr>
      </w:pPr>
      <w:r>
        <w:rPr>
          <w:rFonts w:hint="eastAsia" w:ascii="宋体" w:hAnsi="宋体" w:eastAsia="宋体" w:cs="宋体"/>
          <w:sz w:val="24"/>
          <w:szCs w:val="22"/>
          <w:lang w:bidi="ar"/>
        </w:rPr>
        <w:t>审定人：曹子男</w:t>
      </w:r>
    </w:p>
    <w:p w14:paraId="66A4DE83">
      <w:pPr>
        <w:spacing w:line="360" w:lineRule="auto"/>
        <w:ind w:left="420" w:leftChars="200" w:firstLine="5760" w:firstLineChars="2400"/>
        <w:rPr>
          <w:rFonts w:hint="eastAsia" w:ascii="宋体" w:hAnsi="宋体" w:eastAsia="宋体" w:cs="宋体"/>
          <w:sz w:val="24"/>
          <w:szCs w:val="22"/>
        </w:rPr>
      </w:pPr>
      <w:r>
        <w:rPr>
          <w:rFonts w:hint="eastAsia" w:ascii="宋体" w:hAnsi="宋体" w:eastAsia="宋体" w:cs="宋体"/>
          <w:sz w:val="24"/>
          <w:szCs w:val="22"/>
          <w:lang w:bidi="ar"/>
        </w:rPr>
        <w:t>批准人：岳  芬</w:t>
      </w:r>
    </w:p>
    <w:p w14:paraId="5DF92ADE">
      <w:pPr>
        <w:spacing w:line="360" w:lineRule="auto"/>
        <w:jc w:val="right"/>
        <w:rPr>
          <w:rFonts w:ascii="Times New Roman" w:hAnsi="Times New Roman" w:eastAsia="宋体" w:cs="Times New Roman"/>
          <w:sz w:val="24"/>
        </w:rPr>
      </w:pPr>
      <w:r>
        <w:rPr>
          <w:rFonts w:hint="eastAsia" w:ascii="Times New Roman" w:hAnsi="Times New Roman" w:eastAsia="宋体" w:cs="Times New Roman"/>
          <w:sz w:val="24"/>
        </w:rPr>
        <w:t>批准时间：2025年7月1日</w:t>
      </w:r>
    </w:p>
    <w:p w14:paraId="3AEE7A57">
      <w:pPr>
        <w:widowControl/>
        <w:jc w:val="left"/>
        <w:rPr>
          <w:rFonts w:hint="eastAsia" w:ascii="宋体" w:hAnsi="宋体" w:eastAsia="宋体" w:cs="宋体"/>
          <w:sz w:val="24"/>
          <w:szCs w:val="22"/>
        </w:rPr>
      </w:pPr>
      <w:r>
        <w:rPr>
          <w:rFonts w:ascii="宋体" w:hAnsi="宋体" w:eastAsia="宋体" w:cs="宋体"/>
          <w:sz w:val="24"/>
          <w:szCs w:val="22"/>
        </w:rPr>
        <w:br w:type="page"/>
      </w:r>
    </w:p>
    <w:p w14:paraId="69D82076">
      <w:pPr>
        <w:spacing w:line="360" w:lineRule="auto"/>
        <w:jc w:val="center"/>
        <w:outlineLvl w:val="0"/>
        <w:rPr>
          <w:rFonts w:ascii="Times New Roman" w:hAnsi="Times New Roman" w:eastAsia="宋体" w:cs="Times New Roman"/>
          <w:b/>
          <w:sz w:val="44"/>
          <w:szCs w:val="44"/>
        </w:rPr>
      </w:pPr>
      <w:bookmarkStart w:id="1788" w:name="_Toc16806"/>
      <w:bookmarkStart w:id="1789" w:name="_Toc399584737"/>
      <w:bookmarkStart w:id="1790" w:name="_Toc27501"/>
      <w:bookmarkStart w:id="1791" w:name="_Toc88340356"/>
      <w:bookmarkStart w:id="1792" w:name="_Toc30768"/>
      <w:bookmarkStart w:id="1793" w:name="_Toc21424"/>
      <w:bookmarkStart w:id="1794" w:name="_Toc16721"/>
      <w:r>
        <w:rPr>
          <w:rFonts w:hint="eastAsia" w:ascii="Times New Roman" w:hAnsi="Times New Roman" w:eastAsia="宋体" w:cs="Times New Roman"/>
          <w:b/>
          <w:sz w:val="44"/>
          <w:szCs w:val="44"/>
        </w:rPr>
        <w:t>《中国现当代文学名家选讲》课程教学大纲</w:t>
      </w:r>
      <w:bookmarkEnd w:id="1788"/>
      <w:bookmarkEnd w:id="1789"/>
      <w:bookmarkEnd w:id="1790"/>
      <w:bookmarkEnd w:id="1791"/>
      <w:bookmarkEnd w:id="1792"/>
      <w:bookmarkEnd w:id="1793"/>
      <w:bookmarkEnd w:id="1794"/>
    </w:p>
    <w:p w14:paraId="23624C4D">
      <w:pPr>
        <w:spacing w:line="360" w:lineRule="auto"/>
        <w:jc w:val="center"/>
        <w:rPr>
          <w:rFonts w:ascii="Times New Roman" w:hAnsi="Times New Roman" w:eastAsia="宋体" w:cs="Times New Roman"/>
          <w:b/>
          <w:bCs/>
          <w:sz w:val="28"/>
          <w:szCs w:val="28"/>
        </w:rPr>
      </w:pPr>
      <w:bookmarkStart w:id="1795" w:name="_Toc19111"/>
      <w:bookmarkStart w:id="1796" w:name="_Toc27302"/>
      <w:bookmarkStart w:id="1797" w:name="_Toc10781"/>
      <w:bookmarkStart w:id="1798" w:name="_Toc7333"/>
      <w:bookmarkStart w:id="1799" w:name="_Toc28602"/>
      <w:bookmarkStart w:id="1800" w:name="_Toc12993"/>
      <w:bookmarkStart w:id="1801" w:name="_Toc143"/>
      <w:r>
        <w:rPr>
          <w:rFonts w:hint="eastAsia" w:ascii="Times New Roman" w:hAnsi="Times New Roman" w:eastAsia="宋体" w:cs="Times New Roman"/>
          <w:b/>
          <w:bCs/>
          <w:sz w:val="28"/>
          <w:szCs w:val="28"/>
        </w:rPr>
        <w:t>（Selected Studies of Contemporary Litterateurs）</w:t>
      </w:r>
      <w:bookmarkEnd w:id="1795"/>
      <w:bookmarkEnd w:id="1796"/>
      <w:bookmarkEnd w:id="1797"/>
      <w:bookmarkEnd w:id="1798"/>
      <w:bookmarkEnd w:id="1799"/>
      <w:bookmarkEnd w:id="1800"/>
      <w:bookmarkEnd w:id="1801"/>
    </w:p>
    <w:p w14:paraId="0D15DC00">
      <w:pPr>
        <w:spacing w:line="360" w:lineRule="auto"/>
        <w:jc w:val="center"/>
        <w:rPr>
          <w:rFonts w:ascii="Times New Roman" w:hAnsi="Times New Roman" w:eastAsia="宋体" w:cs="Times New Roman"/>
          <w:szCs w:val="21"/>
        </w:rPr>
      </w:pPr>
    </w:p>
    <w:p w14:paraId="1AA59E0E">
      <w:pPr>
        <w:spacing w:line="360" w:lineRule="auto"/>
        <w:ind w:firstLine="562" w:firstLineChars="200"/>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课程名称：中国现当代文学名家选讲</w:t>
      </w:r>
    </w:p>
    <w:p w14:paraId="5EAD3F7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kern w:val="0"/>
          <w:sz w:val="24"/>
        </w:rPr>
        <w:t>课程代码：</w:t>
      </w:r>
      <w:r>
        <w:rPr>
          <w:rFonts w:hint="eastAsia" w:ascii="Times New Roman" w:hAnsi="Times New Roman" w:eastAsia="宋体" w:cs="Times New Roman"/>
          <w:b/>
          <w:sz w:val="24"/>
        </w:rPr>
        <w:t>0705077</w:t>
      </w:r>
    </w:p>
    <w:p w14:paraId="3767F9BE">
      <w:pPr>
        <w:spacing w:line="360" w:lineRule="auto"/>
        <w:ind w:firstLine="482" w:firstLineChars="200"/>
        <w:jc w:val="left"/>
        <w:rPr>
          <w:rFonts w:ascii="Times New Roman" w:hAnsi="Times New Roman" w:eastAsia="宋体" w:cs="Times New Roman"/>
          <w:b/>
          <w:kern w:val="0"/>
          <w:sz w:val="24"/>
        </w:rPr>
      </w:pPr>
      <w:r>
        <w:rPr>
          <w:rFonts w:hint="eastAsia" w:ascii="Times New Roman" w:hAnsi="Times New Roman" w:eastAsia="宋体" w:cs="Times New Roman"/>
          <w:b/>
          <w:kern w:val="0"/>
          <w:sz w:val="24"/>
        </w:rPr>
        <w:t>学</w:t>
      </w:r>
      <w:r>
        <w:rPr>
          <w:rFonts w:ascii="Times New Roman" w:hAnsi="Times New Roman" w:eastAsia="宋体" w:cs="Times New Roman"/>
          <w:b/>
          <w:kern w:val="0"/>
          <w:sz w:val="24"/>
        </w:rPr>
        <w:t xml:space="preserve">    </w:t>
      </w:r>
      <w:r>
        <w:rPr>
          <w:rFonts w:hint="eastAsia" w:ascii="Times New Roman" w:hAnsi="Times New Roman" w:eastAsia="宋体" w:cs="Times New Roman"/>
          <w:b/>
          <w:kern w:val="0"/>
          <w:sz w:val="24"/>
        </w:rPr>
        <w:t>分：</w:t>
      </w:r>
      <w:r>
        <w:rPr>
          <w:rFonts w:ascii="Times New Roman" w:hAnsi="Times New Roman" w:eastAsia="宋体" w:cs="Times New Roman"/>
          <w:b/>
          <w:kern w:val="0"/>
          <w:sz w:val="24"/>
        </w:rPr>
        <w:t>2</w:t>
      </w:r>
    </w:p>
    <w:p w14:paraId="2AE4B522">
      <w:pPr>
        <w:spacing w:line="360" w:lineRule="auto"/>
        <w:ind w:firstLine="482" w:firstLineChars="200"/>
        <w:jc w:val="left"/>
        <w:rPr>
          <w:rFonts w:ascii="Times New Roman" w:hAnsi="Times New Roman" w:eastAsia="宋体" w:cs="Times New Roman"/>
          <w:b/>
          <w:kern w:val="0"/>
          <w:sz w:val="24"/>
        </w:rPr>
      </w:pPr>
      <w:r>
        <w:rPr>
          <w:rFonts w:hint="eastAsia" w:ascii="Times New Roman" w:hAnsi="Times New Roman" w:eastAsia="宋体" w:cs="Times New Roman"/>
          <w:b/>
          <w:kern w:val="0"/>
          <w:sz w:val="24"/>
        </w:rPr>
        <w:t>学</w:t>
      </w:r>
      <w:r>
        <w:rPr>
          <w:rFonts w:ascii="Times New Roman" w:hAnsi="Times New Roman" w:eastAsia="宋体" w:cs="Times New Roman"/>
          <w:b/>
          <w:kern w:val="0"/>
          <w:sz w:val="24"/>
        </w:rPr>
        <w:t xml:space="preserve">    </w:t>
      </w:r>
      <w:r>
        <w:rPr>
          <w:rFonts w:hint="eastAsia" w:ascii="Times New Roman" w:hAnsi="Times New Roman" w:eastAsia="宋体" w:cs="Times New Roman"/>
          <w:b/>
          <w:kern w:val="0"/>
          <w:sz w:val="24"/>
        </w:rPr>
        <w:t>时：</w:t>
      </w:r>
      <w:r>
        <w:rPr>
          <w:rFonts w:ascii="Times New Roman" w:hAnsi="Times New Roman" w:eastAsia="宋体" w:cs="Times New Roman"/>
          <w:b/>
          <w:kern w:val="0"/>
          <w:sz w:val="24"/>
        </w:rPr>
        <w:t>32</w:t>
      </w:r>
    </w:p>
    <w:p w14:paraId="23059B4A">
      <w:pPr>
        <w:spacing w:line="360" w:lineRule="auto"/>
        <w:ind w:firstLine="482" w:firstLineChars="200"/>
        <w:jc w:val="left"/>
        <w:rPr>
          <w:rFonts w:ascii="Times New Roman" w:hAnsi="Times New Roman" w:eastAsia="宋体" w:cs="Times New Roman"/>
          <w:b/>
          <w:kern w:val="0"/>
          <w:sz w:val="24"/>
        </w:rPr>
      </w:pPr>
      <w:r>
        <w:rPr>
          <w:rFonts w:hint="eastAsia" w:ascii="Times New Roman" w:hAnsi="Times New Roman" w:eastAsia="宋体" w:cs="Times New Roman"/>
          <w:b/>
          <w:kern w:val="0"/>
          <w:sz w:val="24"/>
        </w:rPr>
        <w:t>先修课程：中国现当代文学I，中国现当代文学II</w:t>
      </w:r>
    </w:p>
    <w:p w14:paraId="292339BB">
      <w:pPr>
        <w:spacing w:line="360" w:lineRule="auto"/>
        <w:ind w:firstLine="482" w:firstLineChars="200"/>
        <w:jc w:val="left"/>
        <w:rPr>
          <w:rFonts w:ascii="Times New Roman" w:hAnsi="Times New Roman" w:eastAsia="宋体" w:cs="Times New Roman"/>
          <w:b/>
          <w:kern w:val="0"/>
          <w:sz w:val="24"/>
        </w:rPr>
      </w:pPr>
      <w:r>
        <w:rPr>
          <w:rFonts w:hint="eastAsia" w:ascii="Times New Roman" w:hAnsi="Times New Roman" w:eastAsia="宋体" w:cs="Times New Roman"/>
          <w:b/>
          <w:kern w:val="0"/>
          <w:sz w:val="24"/>
        </w:rPr>
        <w:t>适用专业：小学教育（文）</w:t>
      </w:r>
      <w:r>
        <w:rPr>
          <w:rFonts w:ascii="Times New Roman" w:hAnsi="Times New Roman" w:eastAsia="宋体" w:cs="Times New Roman"/>
          <w:b/>
          <w:kern w:val="0"/>
          <w:sz w:val="24"/>
        </w:rPr>
        <w:t xml:space="preserve">                       </w:t>
      </w:r>
    </w:p>
    <w:p w14:paraId="476A783A">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一、</w:t>
      </w:r>
      <w:r>
        <w:rPr>
          <w:rFonts w:hint="eastAsia" w:ascii="Times New Roman" w:hAnsi="Times New Roman" w:eastAsia="宋体" w:cs="Times New Roman"/>
          <w:b/>
          <w:sz w:val="24"/>
        </w:rPr>
        <w:t>课程简介</w:t>
      </w:r>
    </w:p>
    <w:p w14:paraId="5A9312E0">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kern w:val="0"/>
          <w:szCs w:val="21"/>
        </w:rPr>
        <w:t>本</w:t>
      </w:r>
      <w:r>
        <w:rPr>
          <w:rFonts w:hint="eastAsia" w:ascii="Times New Roman" w:hAnsi="Times New Roman" w:eastAsia="宋体" w:cs="Times New Roman"/>
          <w:szCs w:val="21"/>
        </w:rPr>
        <w:t>课程是</w:t>
      </w:r>
      <w:r>
        <w:rPr>
          <w:rFonts w:hint="eastAsia" w:ascii="Times New Roman" w:hAnsi="Times New Roman" w:eastAsia="宋体" w:cs="Times New Roman"/>
          <w:kern w:val="0"/>
          <w:szCs w:val="21"/>
        </w:rPr>
        <w:t>小学教育（文）</w:t>
      </w:r>
      <w:r>
        <w:rPr>
          <w:rFonts w:ascii="Times New Roman" w:hAnsi="Times New Roman" w:eastAsia="宋体" w:cs="Times New Roman"/>
          <w:kern w:val="0"/>
          <w:szCs w:val="21"/>
        </w:rPr>
        <w:t xml:space="preserve"> </w:t>
      </w:r>
      <w:r>
        <w:rPr>
          <w:rFonts w:hint="eastAsia" w:ascii="Times New Roman" w:hAnsi="Times New Roman" w:eastAsia="宋体" w:cs="Times New Roman"/>
          <w:szCs w:val="21"/>
        </w:rPr>
        <w:t>专业本科生的一门专业选修课程。</w:t>
      </w:r>
      <w:r>
        <w:rPr>
          <w:rFonts w:ascii="Times New Roman" w:hAnsi="Times New Roman" w:eastAsia="宋体" w:cs="Times New Roman"/>
          <w:szCs w:val="21"/>
        </w:rPr>
        <w:t>课程秉持立德树人的教育理念，将思政</w:t>
      </w:r>
      <w:r>
        <w:rPr>
          <w:rFonts w:hint="eastAsia" w:ascii="Times New Roman" w:hAnsi="Times New Roman" w:eastAsia="宋体" w:cs="Times New Roman"/>
          <w:szCs w:val="21"/>
        </w:rPr>
        <w:t>元素</w:t>
      </w:r>
      <w:r>
        <w:rPr>
          <w:rFonts w:ascii="Times New Roman" w:hAnsi="Times New Roman" w:eastAsia="宋体" w:cs="Times New Roman"/>
          <w:szCs w:val="21"/>
        </w:rPr>
        <w:t>与专业教学有机结合，注</w:t>
      </w:r>
      <w:r>
        <w:rPr>
          <w:rFonts w:hint="eastAsia" w:ascii="Times New Roman" w:hAnsi="Times New Roman" w:eastAsia="宋体" w:cs="Times New Roman"/>
          <w:szCs w:val="21"/>
        </w:rPr>
        <w:t>重</w:t>
      </w:r>
      <w:r>
        <w:rPr>
          <w:rFonts w:ascii="Times New Roman" w:hAnsi="Times New Roman" w:eastAsia="宋体" w:cs="Times New Roman"/>
          <w:szCs w:val="21"/>
        </w:rPr>
        <w:t>知识传授、能力培养和价值观引领</w:t>
      </w:r>
      <w:r>
        <w:rPr>
          <w:rFonts w:hint="eastAsia" w:ascii="Times New Roman" w:hAnsi="Times New Roman" w:eastAsia="宋体" w:cs="Times New Roman"/>
          <w:szCs w:val="21"/>
        </w:rPr>
        <w:t>的</w:t>
      </w:r>
      <w:r>
        <w:rPr>
          <w:rFonts w:ascii="Times New Roman" w:hAnsi="Times New Roman" w:eastAsia="宋体" w:cs="Times New Roman"/>
          <w:szCs w:val="21"/>
        </w:rPr>
        <w:t>有机统一。</w:t>
      </w:r>
      <w:r>
        <w:rPr>
          <w:rFonts w:hint="eastAsia" w:ascii="Times New Roman" w:hAnsi="Times New Roman" w:eastAsia="宋体" w:cs="Times New Roman"/>
          <w:szCs w:val="21"/>
        </w:rPr>
        <w:t>通过本课程的学习，首先，使学生深度感悟名家名作的思想艺术魅力，提升文学审美能力；研讨有关现当代经典作家作品的重要研究文献，了解中国现当代文学名家创作批评概况；学会从不同的视角（视域）评论现当代重要作家及其作品，初步训练学生的学术能力，为今后专业学术研究夯实基础；加强现代中国先进文化教育，引导学生厚植爱国主义情怀，弘扬中国现代文学优秀传统，培育大学生人文精神。</w:t>
      </w:r>
    </w:p>
    <w:p w14:paraId="5747F1FE">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二、课程目标</w:t>
      </w:r>
    </w:p>
    <w:p w14:paraId="7E1B7636">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7E92E6C1">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目标1：深度把握中国现当代经典（重要）作家的文学成就及其文学史意义，领略中国现当代文学创作的艺术经验，传承中国现代文学创作的优秀传统，弘扬中华民族坚强不屈、锐意进取和改革创新的时代精神。</w:t>
      </w:r>
    </w:p>
    <w:p w14:paraId="64AB851A">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目标2：了解有关中国现当代经典（重要）作家创作的批评概况。具备基本的文学批评能力。</w:t>
      </w:r>
    </w:p>
    <w:p w14:paraId="231E348D">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 xml:space="preserve">目标3：正学会确运用马克思主义文艺思想和方法，能从不同角度（视域）评论现当代重要作家及其作品。   </w:t>
      </w:r>
    </w:p>
    <w:p w14:paraId="58D2D399">
      <w:pPr>
        <w:numPr>
          <w:ilvl w:val="0"/>
          <w:numId w:val="37"/>
        </w:num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课程目标及其对毕业要求指标点的支撑</w:t>
      </w:r>
    </w:p>
    <w:p w14:paraId="2B0C6E46">
      <w:pPr>
        <w:spacing w:line="360" w:lineRule="auto"/>
        <w:ind w:left="420" w:leftChars="200"/>
        <w:jc w:val="left"/>
        <w:rPr>
          <w:rFonts w:ascii="Times New Roman" w:hAnsi="Times New Roman" w:eastAsia="宋体" w:cs="Times New Roman"/>
          <w:b/>
          <w:bCs/>
          <w:szCs w:val="21"/>
        </w:rPr>
      </w:pP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5688"/>
        <w:gridCol w:w="1191"/>
      </w:tblGrid>
      <w:tr w14:paraId="5C26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16EF372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5688" w:type="dxa"/>
            <w:vAlign w:val="center"/>
          </w:tcPr>
          <w:p w14:paraId="722427E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701B234D">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5567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196B8F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毕业要求2教育情怀</w:t>
            </w:r>
          </w:p>
        </w:tc>
        <w:tc>
          <w:tcPr>
            <w:tcW w:w="5688" w:type="dxa"/>
            <w:vAlign w:val="center"/>
          </w:tcPr>
          <w:p w14:paraId="4E43C423">
            <w:pPr>
              <w:spacing w:line="276" w:lineRule="auto"/>
              <w:jc w:val="left"/>
              <w:rPr>
                <w:rFonts w:hint="eastAsia" w:ascii="宋体" w:hAnsi="宋体" w:eastAsia="宋体" w:cs="宋体"/>
                <w:szCs w:val="21"/>
              </w:rPr>
            </w:pPr>
            <w:r>
              <w:rPr>
                <w:rFonts w:hint="eastAsia" w:ascii="宋体" w:hAnsi="宋体" w:eastAsia="宋体" w:cs="宋体"/>
                <w:b/>
                <w:spacing w:val="2"/>
                <w:kern w:val="0"/>
                <w:szCs w:val="21"/>
              </w:rPr>
              <w:t>指标点2-3</w:t>
            </w:r>
            <w:r>
              <w:rPr>
                <w:rFonts w:hint="eastAsia" w:ascii="宋体" w:hAnsi="宋体" w:eastAsia="宋体" w:cs="宋体"/>
                <w:spacing w:val="2"/>
                <w:kern w:val="0"/>
                <w:szCs w:val="21"/>
              </w:rPr>
              <w:t>：</w:t>
            </w:r>
            <w:r>
              <w:rPr>
                <w:rFonts w:hint="eastAsia" w:ascii="宋体" w:hAnsi="宋体" w:eastAsia="宋体" w:cs="宋体"/>
                <w:szCs w:val="21"/>
              </w:rPr>
              <w:t>【自身修养良好】具有较好的人文艺术底蕴与科学精神，言行举止符合教师职业标准，情感积极，人格健全，身心健康。</w:t>
            </w:r>
          </w:p>
        </w:tc>
        <w:tc>
          <w:tcPr>
            <w:tcW w:w="1191" w:type="dxa"/>
            <w:vAlign w:val="center"/>
          </w:tcPr>
          <w:p w14:paraId="18C840B8">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4E69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001A23A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毕业要求3学科素养</w:t>
            </w:r>
          </w:p>
        </w:tc>
        <w:tc>
          <w:tcPr>
            <w:tcW w:w="5688" w:type="dxa"/>
            <w:vAlign w:val="center"/>
          </w:tcPr>
          <w:p w14:paraId="05D62A57">
            <w:pPr>
              <w:spacing w:line="276" w:lineRule="auto"/>
              <w:jc w:val="left"/>
              <w:rPr>
                <w:rFonts w:hint="eastAsia" w:ascii="宋体" w:hAnsi="宋体" w:eastAsia="宋体" w:cs="宋体"/>
                <w:szCs w:val="21"/>
              </w:rPr>
            </w:pPr>
            <w:r>
              <w:rPr>
                <w:rFonts w:hint="eastAsia" w:ascii="宋体" w:hAnsi="宋体" w:eastAsia="宋体" w:cs="宋体"/>
                <w:b/>
                <w:spacing w:val="2"/>
                <w:kern w:val="0"/>
                <w:szCs w:val="21"/>
              </w:rPr>
              <w:t>指标点3-2</w:t>
            </w:r>
            <w:r>
              <w:rPr>
                <w:rFonts w:hint="eastAsia" w:ascii="宋体" w:hAnsi="宋体" w:eastAsia="宋体" w:cs="宋体"/>
                <w:spacing w:val="2"/>
                <w:kern w:val="0"/>
                <w:szCs w:val="21"/>
              </w:rPr>
              <w:t>：</w:t>
            </w:r>
            <w:r>
              <w:rPr>
                <w:rFonts w:hint="eastAsia" w:ascii="宋体" w:hAnsi="宋体" w:eastAsia="宋体" w:cs="宋体"/>
                <w:szCs w:val="21"/>
              </w:rPr>
              <w:t>【学科知识扎实】具有学科专业能力，牢固掌握小学语文学科的基本知识、原理和技能。熟悉小学道德与法治学科的知识体系，掌握小学道德与法治学科的基本知识、原理和技能。并具备一定的文学学科基本知识，对学习社会科学相关知识有一定的了解。</w:t>
            </w:r>
          </w:p>
        </w:tc>
        <w:tc>
          <w:tcPr>
            <w:tcW w:w="1191" w:type="dxa"/>
            <w:vAlign w:val="center"/>
          </w:tcPr>
          <w:p w14:paraId="04230455">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2B3F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vAlign w:val="center"/>
          </w:tcPr>
          <w:p w14:paraId="4EB4A6E7">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毕业要求4教学能力</w:t>
            </w:r>
          </w:p>
        </w:tc>
        <w:tc>
          <w:tcPr>
            <w:tcW w:w="5688" w:type="dxa"/>
            <w:vAlign w:val="center"/>
          </w:tcPr>
          <w:p w14:paraId="0373C456">
            <w:pPr>
              <w:spacing w:line="276" w:lineRule="auto"/>
              <w:jc w:val="left"/>
              <w:rPr>
                <w:rFonts w:hint="eastAsia" w:ascii="宋体" w:hAnsi="宋体" w:eastAsia="宋体" w:cs="宋体"/>
                <w:szCs w:val="21"/>
              </w:rPr>
            </w:pPr>
            <w:r>
              <w:rPr>
                <w:rFonts w:hint="eastAsia" w:ascii="宋体" w:hAnsi="宋体" w:eastAsia="宋体" w:cs="宋体"/>
                <w:b/>
                <w:kern w:val="0"/>
                <w:szCs w:val="21"/>
              </w:rPr>
              <w:t>指标点4-1</w:t>
            </w:r>
            <w:r>
              <w:rPr>
                <w:rFonts w:hint="eastAsia" w:ascii="宋体" w:hAnsi="宋体" w:eastAsia="宋体" w:cs="宋体"/>
                <w:kern w:val="0"/>
                <w:szCs w:val="21"/>
              </w:rPr>
              <w:t>：</w:t>
            </w:r>
            <w:r>
              <w:rPr>
                <w:rFonts w:hint="eastAsia" w:ascii="宋体" w:hAnsi="宋体" w:eastAsia="宋体" w:cs="宋体"/>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tc>
        <w:tc>
          <w:tcPr>
            <w:tcW w:w="1191" w:type="dxa"/>
            <w:vAlign w:val="center"/>
          </w:tcPr>
          <w:p w14:paraId="0B3FD79C">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322BB48A">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51B9D412">
      <w:pPr>
        <w:spacing w:line="360" w:lineRule="auto"/>
        <w:ind w:firstLine="411" w:firstLineChars="196"/>
        <w:jc w:val="left"/>
        <w:rPr>
          <w:rFonts w:ascii="Times New Roman" w:hAnsi="Times New Roman" w:eastAsia="宋体" w:cs="Times New Roman"/>
          <w:sz w:val="24"/>
        </w:rPr>
      </w:pPr>
      <w:r>
        <w:rPr>
          <w:rFonts w:hint="eastAsia" w:ascii="宋体" w:hAnsi="宋体" w:eastAsia="宋体" w:cs="Times New Roman"/>
          <w:szCs w:val="21"/>
        </w:rPr>
        <w:t>促使学生在扎实掌握学科知识体系、思想与方法的基础上，践行社会主义核心价值观，认同中国特色社会主义，贯彻党的教育方针，以立德树人为己任，认同教师工作的意义和专业性，遵守小学教师职业道德规范，具有积极的情感、端正的态度、正确的价值观，具有人文底蕴和科学精神，依法执教，富有爱心、责任心、事业心，立志成为有理想信念、有道德情操、有扎实学习、有仁爱之心的新时代大国良师。</w:t>
      </w:r>
    </w:p>
    <w:p w14:paraId="61098A6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三、课程内容与预期学习</w:t>
      </w:r>
    </w:p>
    <w:tbl>
      <w:tblPr>
        <w:tblStyle w:val="12"/>
        <w:tblW w:w="87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425"/>
        <w:gridCol w:w="881"/>
        <w:gridCol w:w="3030"/>
        <w:gridCol w:w="1328"/>
        <w:gridCol w:w="427"/>
      </w:tblGrid>
      <w:tr w14:paraId="371E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Align w:val="center"/>
          </w:tcPr>
          <w:p w14:paraId="460EB542">
            <w:pPr>
              <w:jc w:val="center"/>
              <w:rPr>
                <w:rFonts w:hint="eastAsia" w:ascii="宋体" w:hAnsi="宋体" w:eastAsia="宋体" w:cs="Times New Roman"/>
                <w:b/>
                <w:szCs w:val="21"/>
              </w:rPr>
            </w:pPr>
            <w:r>
              <w:rPr>
                <w:rFonts w:hint="eastAsia" w:ascii="宋体" w:hAnsi="宋体" w:eastAsia="宋体" w:cs="Times New Roman"/>
                <w:b/>
                <w:szCs w:val="21"/>
              </w:rPr>
              <w:t>知识</w:t>
            </w:r>
          </w:p>
          <w:p w14:paraId="3D4C6EC8">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425" w:type="dxa"/>
            <w:vAlign w:val="center"/>
          </w:tcPr>
          <w:p w14:paraId="3842C546">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881" w:type="dxa"/>
            <w:vAlign w:val="center"/>
          </w:tcPr>
          <w:p w14:paraId="7496E75E">
            <w:pPr>
              <w:jc w:val="left"/>
              <w:rPr>
                <w:rFonts w:hint="eastAsia" w:ascii="宋体" w:hAnsi="宋体" w:eastAsia="宋体" w:cs="Times New Roman"/>
                <w:b/>
                <w:szCs w:val="21"/>
              </w:rPr>
            </w:pPr>
            <w:r>
              <w:rPr>
                <w:rFonts w:hint="eastAsia" w:ascii="宋体" w:hAnsi="宋体" w:eastAsia="宋体" w:cs="Times New Roman"/>
                <w:b/>
                <w:szCs w:val="21"/>
              </w:rPr>
              <w:t>对应课程目标</w:t>
            </w:r>
          </w:p>
        </w:tc>
        <w:tc>
          <w:tcPr>
            <w:tcW w:w="3030" w:type="dxa"/>
            <w:vAlign w:val="center"/>
          </w:tcPr>
          <w:p w14:paraId="5C36F24A">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328" w:type="dxa"/>
            <w:vAlign w:val="center"/>
          </w:tcPr>
          <w:p w14:paraId="42F9E583">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27" w:type="dxa"/>
            <w:vAlign w:val="center"/>
          </w:tcPr>
          <w:p w14:paraId="07E6AA42">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325F0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2557266A">
            <w:pPr>
              <w:jc w:val="center"/>
              <w:rPr>
                <w:rFonts w:hint="eastAsia" w:ascii="宋体" w:hAnsi="宋体" w:eastAsia="宋体" w:cs="Times New Roman"/>
                <w:szCs w:val="21"/>
              </w:rPr>
            </w:pPr>
            <w:r>
              <w:rPr>
                <w:rFonts w:hint="eastAsia" w:ascii="宋体" w:hAnsi="宋体" w:eastAsia="宋体" w:cs="Times New Roman"/>
                <w:szCs w:val="21"/>
              </w:rPr>
              <w:t>1.鲁迅</w:t>
            </w:r>
          </w:p>
        </w:tc>
        <w:tc>
          <w:tcPr>
            <w:tcW w:w="2425" w:type="dxa"/>
            <w:vAlign w:val="center"/>
          </w:tcPr>
          <w:p w14:paraId="1B6973DF">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鲁迅小说《呐喊》与《彷徨》</w:t>
            </w:r>
          </w:p>
          <w:p w14:paraId="378EF0CD">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鲁迅散文《野草》与《朝花夕拾》</w:t>
            </w:r>
          </w:p>
          <w:p w14:paraId="01B8CA8F">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有关鲁迅研究之重要文献介绍</w:t>
            </w:r>
          </w:p>
        </w:tc>
        <w:tc>
          <w:tcPr>
            <w:tcW w:w="881" w:type="dxa"/>
            <w:vAlign w:val="center"/>
          </w:tcPr>
          <w:p w14:paraId="293F7A83">
            <w:pPr>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030" w:type="dxa"/>
            <w:vAlign w:val="center"/>
          </w:tcPr>
          <w:p w14:paraId="034BADAA">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了解《呐喊》与《彷徨》对中国传统小说的革命性突破</w:t>
            </w:r>
          </w:p>
          <w:p w14:paraId="09521479">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把握鲁迅散文的思想意涵和艺术风格</w:t>
            </w:r>
          </w:p>
          <w:p w14:paraId="2CE824E7">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理解鲁迅对传统的“偏激</w:t>
            </w:r>
            <w:r>
              <w:rPr>
                <w:rFonts w:ascii="宋体" w:hAnsi="宋体" w:eastAsia="宋体" w:cs="宋体"/>
                <w:szCs w:val="21"/>
              </w:rPr>
              <w:t xml:space="preserve"> </w:t>
            </w:r>
            <w:r>
              <w:rPr>
                <w:rFonts w:hint="eastAsia" w:ascii="宋体" w:hAnsi="宋体" w:eastAsia="宋体" w:cs="宋体"/>
                <w:szCs w:val="21"/>
              </w:rPr>
              <w:t>”与时代语境</w:t>
            </w:r>
          </w:p>
          <w:p w14:paraId="60DC6C33">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了解鲁迅的国民性批判思想与启蒙精神</w:t>
            </w:r>
          </w:p>
        </w:tc>
        <w:tc>
          <w:tcPr>
            <w:tcW w:w="1328" w:type="dxa"/>
            <w:vAlign w:val="center"/>
          </w:tcPr>
          <w:p w14:paraId="032FDDA0">
            <w:pPr>
              <w:jc w:val="left"/>
              <w:rPr>
                <w:rFonts w:hint="eastAsia" w:ascii="宋体" w:hAnsi="宋体" w:eastAsia="宋体" w:cs="Times New Roman"/>
                <w:szCs w:val="21"/>
              </w:rPr>
            </w:pPr>
            <w:r>
              <w:rPr>
                <w:rFonts w:hint="eastAsia" w:ascii="宋体" w:hAnsi="宋体" w:eastAsia="宋体" w:cs="Times New Roman"/>
                <w:szCs w:val="21"/>
              </w:rPr>
              <w:t>1.线上学习</w:t>
            </w:r>
          </w:p>
          <w:p w14:paraId="5E55ECEF">
            <w:pPr>
              <w:jc w:val="left"/>
              <w:rPr>
                <w:rFonts w:hint="eastAsia" w:ascii="宋体" w:hAnsi="宋体" w:eastAsia="宋体" w:cs="Times New Roman"/>
                <w:szCs w:val="21"/>
              </w:rPr>
            </w:pPr>
            <w:r>
              <w:rPr>
                <w:rFonts w:hint="eastAsia" w:ascii="宋体" w:hAnsi="宋体" w:eastAsia="宋体" w:cs="Times New Roman"/>
                <w:szCs w:val="21"/>
              </w:rPr>
              <w:t>2.多媒体教学</w:t>
            </w:r>
          </w:p>
          <w:p w14:paraId="216F744E">
            <w:pPr>
              <w:jc w:val="left"/>
              <w:rPr>
                <w:rFonts w:hint="eastAsia" w:ascii="宋体" w:hAnsi="宋体" w:eastAsia="宋体" w:cs="Times New Roman"/>
                <w:szCs w:val="21"/>
              </w:rPr>
            </w:pPr>
            <w:r>
              <w:rPr>
                <w:rFonts w:hint="eastAsia" w:ascii="宋体" w:hAnsi="宋体" w:eastAsia="宋体" w:cs="Times New Roman"/>
                <w:szCs w:val="21"/>
              </w:rPr>
              <w:t>3.课堂讨论</w:t>
            </w:r>
          </w:p>
          <w:p w14:paraId="4BCD98E5">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27" w:type="dxa"/>
            <w:vAlign w:val="center"/>
          </w:tcPr>
          <w:p w14:paraId="296F6AC0">
            <w:pPr>
              <w:jc w:val="center"/>
              <w:rPr>
                <w:rFonts w:hint="eastAsia" w:ascii="宋体" w:hAnsi="宋体" w:eastAsia="宋体" w:cs="Times New Roman"/>
                <w:szCs w:val="21"/>
              </w:rPr>
            </w:pPr>
            <w:r>
              <w:rPr>
                <w:rFonts w:hint="eastAsia" w:ascii="宋体" w:hAnsi="宋体" w:eastAsia="宋体" w:cs="Times New Roman"/>
                <w:szCs w:val="21"/>
              </w:rPr>
              <w:t>2</w:t>
            </w:r>
          </w:p>
        </w:tc>
      </w:tr>
      <w:tr w14:paraId="14D3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03B2D0E6">
            <w:pPr>
              <w:jc w:val="center"/>
              <w:rPr>
                <w:rFonts w:hint="eastAsia" w:ascii="宋体" w:hAnsi="宋体" w:eastAsia="宋体" w:cs="Times New Roman"/>
                <w:szCs w:val="21"/>
              </w:rPr>
            </w:pPr>
          </w:p>
        </w:tc>
        <w:tc>
          <w:tcPr>
            <w:tcW w:w="8091" w:type="dxa"/>
            <w:gridSpan w:val="5"/>
            <w:vAlign w:val="center"/>
          </w:tcPr>
          <w:p w14:paraId="7E04AFA3">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让学生充分理解鲁迅关注民众的生活状态和精神面貌，关心人民疾苦的博大胸怀,从而培养学生正确的世界观、人生观与价值观。</w:t>
            </w:r>
          </w:p>
        </w:tc>
      </w:tr>
      <w:tr w14:paraId="77A7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7EC96EEC">
            <w:pPr>
              <w:jc w:val="center"/>
              <w:rPr>
                <w:rFonts w:hint="eastAsia" w:ascii="宋体" w:hAnsi="宋体" w:eastAsia="宋体" w:cs="Times New Roman"/>
                <w:szCs w:val="21"/>
              </w:rPr>
            </w:pPr>
            <w:r>
              <w:rPr>
                <w:rFonts w:hint="eastAsia" w:ascii="宋体" w:hAnsi="宋体" w:eastAsia="宋体" w:cs="Times New Roman"/>
                <w:szCs w:val="21"/>
              </w:rPr>
              <w:t>2.周作人</w:t>
            </w:r>
          </w:p>
        </w:tc>
        <w:tc>
          <w:tcPr>
            <w:tcW w:w="2425" w:type="dxa"/>
            <w:vAlign w:val="center"/>
          </w:tcPr>
          <w:p w14:paraId="10B143AE">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周作人的文学观：“人的文学”</w:t>
            </w:r>
          </w:p>
          <w:p w14:paraId="7B7E2C12">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“言志”和“自己的园地”：对“载道文学”的否定</w:t>
            </w:r>
          </w:p>
          <w:p w14:paraId="326DA1C8">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周作人散文的涩味、简单味和趣味</w:t>
            </w:r>
          </w:p>
          <w:p w14:paraId="32E43738">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周作人对中国现代散文的影响</w:t>
            </w:r>
          </w:p>
          <w:p w14:paraId="782736B5">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5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⑸</w:t>
            </w:r>
            <w:r>
              <w:rPr>
                <w:rFonts w:ascii="宋体" w:hAnsi="宋体" w:eastAsia="宋体" w:cs="宋体"/>
                <w:szCs w:val="21"/>
              </w:rPr>
              <w:fldChar w:fldCharType="end"/>
            </w:r>
            <w:r>
              <w:rPr>
                <w:rFonts w:hint="eastAsia" w:ascii="宋体" w:hAnsi="宋体" w:eastAsia="宋体" w:cs="宋体"/>
                <w:szCs w:val="21"/>
              </w:rPr>
              <w:t>郁达夫等对周作人散文的评价</w:t>
            </w:r>
          </w:p>
        </w:tc>
        <w:tc>
          <w:tcPr>
            <w:tcW w:w="881" w:type="dxa"/>
            <w:vAlign w:val="center"/>
          </w:tcPr>
          <w:p w14:paraId="136AB604">
            <w:pPr>
              <w:jc w:val="center"/>
              <w:rPr>
                <w:rFonts w:hint="eastAsia" w:ascii="宋体" w:hAnsi="宋体" w:eastAsia="宋体" w:cs="Times New Roman"/>
                <w:szCs w:val="21"/>
              </w:rPr>
            </w:pPr>
            <w:r>
              <w:rPr>
                <w:rFonts w:hint="eastAsia" w:ascii="宋体" w:hAnsi="宋体" w:eastAsia="宋体" w:cs="Times New Roman"/>
                <w:szCs w:val="21"/>
              </w:rPr>
              <w:t>课程目标1、3</w:t>
            </w:r>
          </w:p>
        </w:tc>
        <w:tc>
          <w:tcPr>
            <w:tcW w:w="3030" w:type="dxa"/>
            <w:vAlign w:val="center"/>
          </w:tcPr>
          <w:p w14:paraId="7FD57F75">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了解周作人“人的文学”之文学观</w:t>
            </w:r>
          </w:p>
          <w:p w14:paraId="3C879AB3">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理解并掌握周作人散文“言志”意涵</w:t>
            </w:r>
          </w:p>
          <w:p w14:paraId="39468DC9">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了解周作人散文涩味、简单味和趣味的个性特质</w:t>
            </w:r>
          </w:p>
        </w:tc>
        <w:tc>
          <w:tcPr>
            <w:tcW w:w="1328" w:type="dxa"/>
            <w:vAlign w:val="center"/>
          </w:tcPr>
          <w:p w14:paraId="62BA19CE">
            <w:pPr>
              <w:jc w:val="left"/>
              <w:rPr>
                <w:rFonts w:hint="eastAsia" w:ascii="宋体" w:hAnsi="宋体" w:eastAsia="宋体" w:cs="Times New Roman"/>
                <w:szCs w:val="21"/>
              </w:rPr>
            </w:pPr>
            <w:r>
              <w:rPr>
                <w:rFonts w:hint="eastAsia" w:ascii="宋体" w:hAnsi="宋体" w:eastAsia="宋体" w:cs="Times New Roman"/>
                <w:szCs w:val="21"/>
              </w:rPr>
              <w:t>1.线上学习</w:t>
            </w:r>
          </w:p>
          <w:p w14:paraId="187CE01C">
            <w:pPr>
              <w:jc w:val="left"/>
              <w:rPr>
                <w:rFonts w:hint="eastAsia" w:ascii="宋体" w:hAnsi="宋体" w:eastAsia="宋体" w:cs="Times New Roman"/>
                <w:szCs w:val="21"/>
              </w:rPr>
            </w:pPr>
            <w:r>
              <w:rPr>
                <w:rFonts w:hint="eastAsia" w:ascii="宋体" w:hAnsi="宋体" w:eastAsia="宋体" w:cs="Times New Roman"/>
                <w:szCs w:val="21"/>
              </w:rPr>
              <w:t>2.多媒体教学</w:t>
            </w:r>
          </w:p>
          <w:p w14:paraId="09AE57B5">
            <w:pPr>
              <w:jc w:val="left"/>
              <w:rPr>
                <w:rFonts w:hint="eastAsia" w:ascii="宋体" w:hAnsi="宋体" w:eastAsia="宋体" w:cs="Times New Roman"/>
                <w:szCs w:val="21"/>
              </w:rPr>
            </w:pPr>
            <w:r>
              <w:rPr>
                <w:rFonts w:hint="eastAsia" w:ascii="宋体" w:hAnsi="宋体" w:eastAsia="宋体" w:cs="Times New Roman"/>
                <w:szCs w:val="21"/>
              </w:rPr>
              <w:t>3.课堂讨论</w:t>
            </w:r>
          </w:p>
          <w:p w14:paraId="006783D0">
            <w:pPr>
              <w:jc w:val="left"/>
              <w:rPr>
                <w:rFonts w:hint="eastAsia" w:ascii="宋体" w:hAnsi="宋体" w:eastAsia="宋体" w:cs="Times New Roman"/>
                <w:szCs w:val="21"/>
              </w:rPr>
            </w:pPr>
            <w:r>
              <w:rPr>
                <w:rFonts w:hint="eastAsia" w:ascii="宋体" w:hAnsi="宋体" w:eastAsia="宋体" w:cs="Times New Roman"/>
                <w:szCs w:val="21"/>
              </w:rPr>
              <w:t>4.单元测验</w:t>
            </w:r>
          </w:p>
        </w:tc>
        <w:tc>
          <w:tcPr>
            <w:tcW w:w="427" w:type="dxa"/>
            <w:vAlign w:val="center"/>
          </w:tcPr>
          <w:p w14:paraId="1E3879DD">
            <w:pPr>
              <w:jc w:val="center"/>
              <w:rPr>
                <w:rFonts w:hint="eastAsia" w:ascii="宋体" w:hAnsi="宋体" w:eastAsia="宋体" w:cs="Times New Roman"/>
                <w:szCs w:val="21"/>
              </w:rPr>
            </w:pPr>
            <w:r>
              <w:rPr>
                <w:rFonts w:hint="eastAsia" w:ascii="宋体" w:hAnsi="宋体" w:eastAsia="宋体" w:cs="Times New Roman"/>
                <w:szCs w:val="21"/>
              </w:rPr>
              <w:t>4</w:t>
            </w:r>
          </w:p>
        </w:tc>
      </w:tr>
      <w:tr w14:paraId="4105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7ACBC388">
            <w:pPr>
              <w:jc w:val="center"/>
              <w:rPr>
                <w:rFonts w:hint="eastAsia" w:ascii="宋体" w:hAnsi="宋体" w:eastAsia="宋体" w:cs="Times New Roman"/>
                <w:szCs w:val="21"/>
              </w:rPr>
            </w:pPr>
          </w:p>
        </w:tc>
        <w:tc>
          <w:tcPr>
            <w:tcW w:w="8091" w:type="dxa"/>
            <w:gridSpan w:val="5"/>
            <w:vAlign w:val="center"/>
          </w:tcPr>
          <w:p w14:paraId="76193B4E">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使学生形成对教育的阶级性和教育与社会意识形态关系的正确认知，明确社会主义教育的本质。</w:t>
            </w:r>
          </w:p>
        </w:tc>
      </w:tr>
      <w:tr w14:paraId="4E6E2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78BAEF5D">
            <w:pPr>
              <w:jc w:val="center"/>
              <w:rPr>
                <w:rFonts w:hint="eastAsia" w:ascii="宋体" w:hAnsi="宋体" w:eastAsia="宋体" w:cs="Times New Roman"/>
                <w:szCs w:val="21"/>
              </w:rPr>
            </w:pPr>
            <w:r>
              <w:rPr>
                <w:rFonts w:hint="eastAsia" w:ascii="宋体" w:hAnsi="宋体" w:eastAsia="宋体" w:cs="Times New Roman"/>
                <w:szCs w:val="21"/>
              </w:rPr>
              <w:t>3.巴金</w:t>
            </w:r>
          </w:p>
        </w:tc>
        <w:tc>
          <w:tcPr>
            <w:tcW w:w="2425" w:type="dxa"/>
            <w:vAlign w:val="center"/>
          </w:tcPr>
          <w:p w14:paraId="367DC7B5">
            <w:pPr>
              <w:ind w:firstLine="420" w:firstLineChars="200"/>
              <w:jc w:val="left"/>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从青春激情到悲哀忧郁：巴金的前后期小说</w:t>
            </w:r>
          </w:p>
          <w:p w14:paraId="12634D96">
            <w:pPr>
              <w:ind w:firstLine="420" w:firstLineChars="200"/>
              <w:jc w:val="left"/>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《激流三部曲》与《红楼梦》的比较</w:t>
            </w:r>
          </w:p>
          <w:p w14:paraId="06A43D60">
            <w:pPr>
              <w:ind w:firstLine="420" w:firstLineChars="200"/>
              <w:jc w:val="left"/>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“家”和“激流”的寓意及文学中“家”的叙事向度</w:t>
            </w:r>
          </w:p>
          <w:p w14:paraId="65D34318">
            <w:pPr>
              <w:ind w:firstLine="420" w:firstLineChars="200"/>
              <w:jc w:val="left"/>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一部说真话的大书：《随想录》</w:t>
            </w:r>
          </w:p>
          <w:p w14:paraId="74C1EAE6">
            <w:pPr>
              <w:ind w:firstLine="420" w:firstLineChars="200"/>
              <w:jc w:val="left"/>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5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⑸</w:t>
            </w:r>
            <w:r>
              <w:rPr>
                <w:rFonts w:ascii="宋体" w:hAnsi="宋体" w:eastAsia="宋体" w:cs="宋体"/>
                <w:szCs w:val="21"/>
              </w:rPr>
              <w:fldChar w:fldCharType="end"/>
            </w:r>
            <w:r>
              <w:rPr>
                <w:rFonts w:hint="eastAsia" w:ascii="宋体" w:hAnsi="宋体" w:eastAsia="宋体" w:cs="宋体"/>
                <w:szCs w:val="21"/>
              </w:rPr>
              <w:t>陈思和等当代学者的巴金研究概况</w:t>
            </w:r>
          </w:p>
        </w:tc>
        <w:tc>
          <w:tcPr>
            <w:tcW w:w="881" w:type="dxa"/>
            <w:vAlign w:val="center"/>
          </w:tcPr>
          <w:p w14:paraId="4E5D6B12">
            <w:pPr>
              <w:jc w:val="center"/>
              <w:rPr>
                <w:rFonts w:hint="eastAsia" w:ascii="宋体" w:hAnsi="宋体" w:eastAsia="宋体" w:cs="Times New Roman"/>
                <w:szCs w:val="21"/>
              </w:rPr>
            </w:pPr>
            <w:r>
              <w:rPr>
                <w:rFonts w:hint="eastAsia" w:ascii="宋体" w:hAnsi="宋体" w:eastAsia="宋体" w:cs="Times New Roman"/>
                <w:szCs w:val="21"/>
              </w:rPr>
              <w:t>课程目标2、3</w:t>
            </w:r>
          </w:p>
        </w:tc>
        <w:tc>
          <w:tcPr>
            <w:tcW w:w="3030" w:type="dxa"/>
            <w:vAlign w:val="center"/>
          </w:tcPr>
          <w:p w14:paraId="70E17292">
            <w:pPr>
              <w:ind w:firstLine="420" w:firstLineChars="200"/>
              <w:jc w:val="left"/>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理解“家”的寓意及文学中“家”的叙事向度</w:t>
            </w:r>
          </w:p>
          <w:p w14:paraId="13F52D7F">
            <w:pPr>
              <w:ind w:firstLine="420" w:firstLineChars="200"/>
              <w:jc w:val="left"/>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了解巴金的前后期小说创作风格的转变</w:t>
            </w:r>
          </w:p>
          <w:p w14:paraId="3FDF2EB0">
            <w:pPr>
              <w:ind w:firstLine="420" w:firstLineChars="200"/>
              <w:jc w:val="left"/>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理解《随想录》对历史的反思与自省意识</w:t>
            </w:r>
          </w:p>
        </w:tc>
        <w:tc>
          <w:tcPr>
            <w:tcW w:w="1328" w:type="dxa"/>
            <w:vAlign w:val="center"/>
          </w:tcPr>
          <w:p w14:paraId="700EEFB3">
            <w:pPr>
              <w:jc w:val="left"/>
              <w:rPr>
                <w:rFonts w:hint="eastAsia" w:ascii="宋体" w:hAnsi="宋体" w:eastAsia="宋体" w:cs="Times New Roman"/>
                <w:szCs w:val="21"/>
              </w:rPr>
            </w:pPr>
            <w:r>
              <w:rPr>
                <w:rFonts w:ascii="宋体" w:hAnsi="宋体" w:eastAsia="宋体" w:cs="Times New Roman"/>
                <w:szCs w:val="21"/>
              </w:rPr>
              <w:t>1.线上学习</w:t>
            </w:r>
          </w:p>
          <w:p w14:paraId="080E9719">
            <w:pPr>
              <w:jc w:val="left"/>
              <w:rPr>
                <w:rFonts w:hint="eastAsia" w:ascii="宋体" w:hAnsi="宋体" w:eastAsia="宋体" w:cs="Times New Roman"/>
                <w:szCs w:val="21"/>
              </w:rPr>
            </w:pPr>
            <w:r>
              <w:rPr>
                <w:rFonts w:ascii="宋体" w:hAnsi="宋体" w:eastAsia="宋体" w:cs="Times New Roman"/>
                <w:szCs w:val="21"/>
              </w:rPr>
              <w:t>2.多媒体教学</w:t>
            </w:r>
          </w:p>
          <w:p w14:paraId="32C7514E">
            <w:pPr>
              <w:jc w:val="left"/>
              <w:rPr>
                <w:rFonts w:hint="eastAsia" w:ascii="宋体" w:hAnsi="宋体" w:eastAsia="宋体" w:cs="Times New Roman"/>
                <w:szCs w:val="21"/>
              </w:rPr>
            </w:pPr>
            <w:r>
              <w:rPr>
                <w:rFonts w:ascii="宋体" w:hAnsi="宋体" w:eastAsia="宋体" w:cs="Times New Roman"/>
                <w:szCs w:val="21"/>
              </w:rPr>
              <w:t>3.课堂讨论</w:t>
            </w:r>
          </w:p>
          <w:p w14:paraId="2386F228">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0B04B3B0">
            <w:pPr>
              <w:jc w:val="center"/>
              <w:rPr>
                <w:rFonts w:hint="eastAsia" w:ascii="宋体" w:hAnsi="宋体" w:eastAsia="宋体" w:cs="Times New Roman"/>
                <w:szCs w:val="21"/>
              </w:rPr>
            </w:pPr>
            <w:r>
              <w:rPr>
                <w:rFonts w:hint="eastAsia" w:ascii="宋体" w:hAnsi="宋体" w:eastAsia="宋体" w:cs="Times New Roman"/>
                <w:szCs w:val="21"/>
              </w:rPr>
              <w:t>3</w:t>
            </w:r>
          </w:p>
        </w:tc>
      </w:tr>
      <w:tr w14:paraId="59A6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720939E4">
            <w:pPr>
              <w:jc w:val="center"/>
              <w:rPr>
                <w:rFonts w:hint="eastAsia" w:ascii="宋体" w:hAnsi="宋体" w:eastAsia="宋体" w:cs="Times New Roman"/>
                <w:szCs w:val="21"/>
              </w:rPr>
            </w:pPr>
          </w:p>
        </w:tc>
        <w:tc>
          <w:tcPr>
            <w:tcW w:w="8091" w:type="dxa"/>
            <w:gridSpan w:val="5"/>
            <w:vAlign w:val="center"/>
          </w:tcPr>
          <w:p w14:paraId="66FED7B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从辩证思维的角度掌握教育与社会发展的关系在分析教育与经济、教育与政治、教育与文化的关系中，树立制度自信和文化自信。</w:t>
            </w:r>
          </w:p>
        </w:tc>
      </w:tr>
      <w:tr w14:paraId="775F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5CC8714A">
            <w:pPr>
              <w:jc w:val="center"/>
              <w:rPr>
                <w:rFonts w:hint="eastAsia" w:ascii="宋体" w:hAnsi="宋体" w:eastAsia="宋体" w:cs="Times New Roman"/>
                <w:szCs w:val="21"/>
              </w:rPr>
            </w:pPr>
            <w:r>
              <w:rPr>
                <w:rFonts w:hint="eastAsia" w:ascii="宋体" w:hAnsi="宋体" w:eastAsia="宋体" w:cs="Times New Roman"/>
                <w:szCs w:val="21"/>
              </w:rPr>
              <w:t>4.老舍</w:t>
            </w:r>
          </w:p>
        </w:tc>
        <w:tc>
          <w:tcPr>
            <w:tcW w:w="2425" w:type="dxa"/>
            <w:vAlign w:val="center"/>
          </w:tcPr>
          <w:p w14:paraId="10AF1541">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老舍的市民世界和文化反思</w:t>
            </w:r>
          </w:p>
          <w:p w14:paraId="27CF0B46">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《骆驼祥子》：</w:t>
            </w:r>
            <w:r>
              <w:rPr>
                <w:rFonts w:ascii="宋体" w:hAnsi="宋体" w:eastAsia="宋体" w:cs="宋体"/>
                <w:szCs w:val="21"/>
              </w:rPr>
              <w:t>Nothing</w:t>
            </w:r>
            <w:r>
              <w:rPr>
                <w:rFonts w:hint="eastAsia" w:ascii="宋体" w:hAnsi="宋体" w:eastAsia="宋体" w:cs="宋体"/>
                <w:szCs w:val="21"/>
              </w:rPr>
              <w:t>：康拉德式的主题结构</w:t>
            </w:r>
          </w:p>
          <w:p w14:paraId="4CF039CC">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老舍作品的京味和幽默</w:t>
            </w:r>
          </w:p>
          <w:p w14:paraId="36E617E2">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《茶馆》与老舍的戏剧观</w:t>
            </w:r>
          </w:p>
        </w:tc>
        <w:tc>
          <w:tcPr>
            <w:tcW w:w="881" w:type="dxa"/>
            <w:vAlign w:val="center"/>
          </w:tcPr>
          <w:p w14:paraId="342F0B99">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0" w:type="dxa"/>
            <w:vAlign w:val="center"/>
          </w:tcPr>
          <w:p w14:paraId="0BDCC5E6">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了解《骆驼祥子》的主题意涵</w:t>
            </w:r>
          </w:p>
          <w:p w14:paraId="2FA0CFD0">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理解《茶馆》戏剧结构和老舍的戏剧观</w:t>
            </w:r>
          </w:p>
          <w:p w14:paraId="47512E70">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GB1</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⒊</w:t>
            </w:r>
            <w:r>
              <w:rPr>
                <w:rFonts w:ascii="宋体" w:hAnsi="宋体" w:eastAsia="宋体" w:cs="宋体"/>
                <w:szCs w:val="21"/>
              </w:rPr>
              <w:fldChar w:fldCharType="end"/>
            </w:r>
            <w:r>
              <w:rPr>
                <w:rFonts w:hint="eastAsia" w:ascii="宋体" w:hAnsi="宋体" w:eastAsia="宋体" w:cs="宋体"/>
                <w:szCs w:val="21"/>
              </w:rPr>
              <w:t>课程思政育人目标</w:t>
            </w:r>
          </w:p>
          <w:p w14:paraId="106F4A4B">
            <w:pPr>
              <w:jc w:val="left"/>
              <w:rPr>
                <w:rFonts w:hint="eastAsia" w:ascii="宋体" w:hAnsi="宋体" w:eastAsia="宋体" w:cs="Times New Roman"/>
                <w:szCs w:val="21"/>
              </w:rPr>
            </w:pPr>
          </w:p>
        </w:tc>
        <w:tc>
          <w:tcPr>
            <w:tcW w:w="1328" w:type="dxa"/>
            <w:vAlign w:val="center"/>
          </w:tcPr>
          <w:p w14:paraId="1881DD4A">
            <w:pPr>
              <w:jc w:val="left"/>
              <w:rPr>
                <w:rFonts w:hint="eastAsia" w:ascii="宋体" w:hAnsi="宋体" w:eastAsia="宋体" w:cs="Times New Roman"/>
                <w:szCs w:val="21"/>
              </w:rPr>
            </w:pPr>
            <w:r>
              <w:rPr>
                <w:rFonts w:ascii="宋体" w:hAnsi="宋体" w:eastAsia="宋体" w:cs="Times New Roman"/>
                <w:szCs w:val="21"/>
              </w:rPr>
              <w:t>1.线上学习</w:t>
            </w:r>
          </w:p>
          <w:p w14:paraId="491322A5">
            <w:pPr>
              <w:jc w:val="left"/>
              <w:rPr>
                <w:rFonts w:hint="eastAsia" w:ascii="宋体" w:hAnsi="宋体" w:eastAsia="宋体" w:cs="Times New Roman"/>
                <w:szCs w:val="21"/>
              </w:rPr>
            </w:pPr>
            <w:r>
              <w:rPr>
                <w:rFonts w:ascii="宋体" w:hAnsi="宋体" w:eastAsia="宋体" w:cs="Times New Roman"/>
                <w:szCs w:val="21"/>
              </w:rPr>
              <w:t>2.多媒体教学</w:t>
            </w:r>
          </w:p>
          <w:p w14:paraId="7E24E7B5">
            <w:pPr>
              <w:jc w:val="left"/>
              <w:rPr>
                <w:rFonts w:hint="eastAsia" w:ascii="宋体" w:hAnsi="宋体" w:eastAsia="宋体" w:cs="Times New Roman"/>
                <w:szCs w:val="21"/>
              </w:rPr>
            </w:pPr>
            <w:r>
              <w:rPr>
                <w:rFonts w:ascii="宋体" w:hAnsi="宋体" w:eastAsia="宋体" w:cs="Times New Roman"/>
                <w:szCs w:val="21"/>
              </w:rPr>
              <w:t>3.课堂讨论</w:t>
            </w:r>
          </w:p>
          <w:p w14:paraId="68DA0DCD">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105065D7">
            <w:pPr>
              <w:jc w:val="center"/>
              <w:rPr>
                <w:rFonts w:hint="eastAsia" w:ascii="宋体" w:hAnsi="宋体" w:eastAsia="宋体" w:cs="Times New Roman"/>
                <w:szCs w:val="21"/>
              </w:rPr>
            </w:pPr>
            <w:r>
              <w:rPr>
                <w:rFonts w:hint="eastAsia" w:ascii="宋体" w:hAnsi="宋体" w:eastAsia="宋体" w:cs="Times New Roman"/>
                <w:szCs w:val="21"/>
              </w:rPr>
              <w:t>3</w:t>
            </w:r>
          </w:p>
        </w:tc>
      </w:tr>
      <w:tr w14:paraId="7C9B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2A882BFC">
            <w:pPr>
              <w:jc w:val="center"/>
              <w:rPr>
                <w:rFonts w:hint="eastAsia" w:ascii="宋体" w:hAnsi="宋体" w:eastAsia="宋体" w:cs="Times New Roman"/>
                <w:szCs w:val="21"/>
              </w:rPr>
            </w:pPr>
          </w:p>
        </w:tc>
        <w:tc>
          <w:tcPr>
            <w:tcW w:w="8091" w:type="dxa"/>
            <w:gridSpan w:val="5"/>
            <w:vAlign w:val="center"/>
          </w:tcPr>
          <w:p w14:paraId="450C1C04">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让学生充分认识老舍对下层平民生活的关心，树立社会主义理想，增强社会主义使命意识和社会责任感。</w:t>
            </w:r>
          </w:p>
        </w:tc>
      </w:tr>
      <w:tr w14:paraId="20C3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7B0F5CD6">
            <w:pPr>
              <w:jc w:val="center"/>
              <w:rPr>
                <w:rFonts w:hint="eastAsia" w:ascii="宋体" w:hAnsi="宋体" w:eastAsia="宋体" w:cs="Times New Roman"/>
                <w:szCs w:val="21"/>
              </w:rPr>
            </w:pPr>
            <w:r>
              <w:rPr>
                <w:rFonts w:hint="eastAsia" w:ascii="宋体" w:hAnsi="宋体" w:eastAsia="宋体" w:cs="Times New Roman"/>
                <w:szCs w:val="21"/>
              </w:rPr>
              <w:t>5.沈从文</w:t>
            </w:r>
          </w:p>
        </w:tc>
        <w:tc>
          <w:tcPr>
            <w:tcW w:w="2425" w:type="dxa"/>
            <w:vAlign w:val="center"/>
          </w:tcPr>
          <w:p w14:paraId="17696A04">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沈从文与“京派文学”</w:t>
            </w:r>
          </w:p>
          <w:p w14:paraId="4214E110">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沈从文的“湘西世界”小说创作</w:t>
            </w:r>
          </w:p>
          <w:p w14:paraId="360AF2D6">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沈从文散文《湘行散记》和《湘西》</w:t>
            </w:r>
          </w:p>
          <w:p w14:paraId="5D12D548">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沈从文的文体风格和语言特征</w:t>
            </w:r>
          </w:p>
        </w:tc>
        <w:tc>
          <w:tcPr>
            <w:tcW w:w="881" w:type="dxa"/>
            <w:vAlign w:val="center"/>
          </w:tcPr>
          <w:p w14:paraId="368D0752">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0" w:type="dxa"/>
            <w:vAlign w:val="center"/>
          </w:tcPr>
          <w:p w14:paraId="5B5E984C">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了解沈从文及“京派”的文学观</w:t>
            </w:r>
          </w:p>
          <w:p w14:paraId="57058EB3">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理解沈从文的“湘西世界”审美及其文学理想</w:t>
            </w:r>
          </w:p>
          <w:p w14:paraId="0B4042DF">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了解沈从文的文体风格和语言特征</w:t>
            </w:r>
          </w:p>
        </w:tc>
        <w:tc>
          <w:tcPr>
            <w:tcW w:w="1328" w:type="dxa"/>
            <w:vAlign w:val="center"/>
          </w:tcPr>
          <w:p w14:paraId="3B521052">
            <w:pPr>
              <w:jc w:val="left"/>
              <w:rPr>
                <w:rFonts w:hint="eastAsia" w:ascii="宋体" w:hAnsi="宋体" w:eastAsia="宋体" w:cs="Times New Roman"/>
                <w:szCs w:val="21"/>
              </w:rPr>
            </w:pPr>
            <w:r>
              <w:rPr>
                <w:rFonts w:ascii="宋体" w:hAnsi="宋体" w:eastAsia="宋体" w:cs="Times New Roman"/>
                <w:szCs w:val="21"/>
              </w:rPr>
              <w:t>1.线上学习</w:t>
            </w:r>
          </w:p>
          <w:p w14:paraId="5648F32D">
            <w:pPr>
              <w:jc w:val="left"/>
              <w:rPr>
                <w:rFonts w:hint="eastAsia" w:ascii="宋体" w:hAnsi="宋体" w:eastAsia="宋体" w:cs="Times New Roman"/>
                <w:szCs w:val="21"/>
              </w:rPr>
            </w:pPr>
            <w:r>
              <w:rPr>
                <w:rFonts w:ascii="宋体" w:hAnsi="宋体" w:eastAsia="宋体" w:cs="Times New Roman"/>
                <w:szCs w:val="21"/>
              </w:rPr>
              <w:t>2.多媒体教学</w:t>
            </w:r>
          </w:p>
          <w:p w14:paraId="47A5F9F0">
            <w:pPr>
              <w:jc w:val="left"/>
              <w:rPr>
                <w:rFonts w:hint="eastAsia" w:ascii="宋体" w:hAnsi="宋体" w:eastAsia="宋体" w:cs="Times New Roman"/>
                <w:szCs w:val="21"/>
              </w:rPr>
            </w:pPr>
            <w:r>
              <w:rPr>
                <w:rFonts w:ascii="宋体" w:hAnsi="宋体" w:eastAsia="宋体" w:cs="Times New Roman"/>
                <w:szCs w:val="21"/>
              </w:rPr>
              <w:t>3.课堂讨论</w:t>
            </w:r>
          </w:p>
          <w:p w14:paraId="457237F1">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49D8E487">
            <w:pPr>
              <w:jc w:val="center"/>
              <w:rPr>
                <w:rFonts w:hint="eastAsia" w:ascii="宋体" w:hAnsi="宋体" w:eastAsia="宋体" w:cs="Times New Roman"/>
                <w:szCs w:val="21"/>
              </w:rPr>
            </w:pPr>
            <w:r>
              <w:rPr>
                <w:rFonts w:hint="eastAsia" w:ascii="宋体" w:hAnsi="宋体" w:eastAsia="宋体" w:cs="Times New Roman"/>
                <w:szCs w:val="21"/>
              </w:rPr>
              <w:t>4</w:t>
            </w:r>
          </w:p>
        </w:tc>
      </w:tr>
      <w:tr w14:paraId="483C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17D82B9F">
            <w:pPr>
              <w:jc w:val="center"/>
              <w:rPr>
                <w:rFonts w:hint="eastAsia" w:ascii="宋体" w:hAnsi="宋体" w:eastAsia="宋体" w:cs="Times New Roman"/>
                <w:szCs w:val="21"/>
              </w:rPr>
            </w:pPr>
          </w:p>
        </w:tc>
        <w:tc>
          <w:tcPr>
            <w:tcW w:w="8091" w:type="dxa"/>
            <w:gridSpan w:val="5"/>
            <w:vAlign w:val="center"/>
          </w:tcPr>
          <w:p w14:paraId="5B0E220A">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把绿水青山就是金山银山的重要发展理念和习近平总书记关于生态文明的重要论述与授课内容有机融合，加强生态文明教育，引导学生树立崇尚自然、尊重自然的理念，切实增强学生投身生态文明建设的责任感、使命感。</w:t>
            </w:r>
          </w:p>
        </w:tc>
      </w:tr>
      <w:tr w14:paraId="2127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5F4771E4">
            <w:pPr>
              <w:jc w:val="center"/>
              <w:rPr>
                <w:rFonts w:hint="eastAsia" w:ascii="宋体" w:hAnsi="宋体" w:eastAsia="宋体" w:cs="Times New Roman"/>
                <w:szCs w:val="21"/>
              </w:rPr>
            </w:pPr>
            <w:r>
              <w:rPr>
                <w:rFonts w:hint="eastAsia" w:ascii="宋体" w:hAnsi="宋体" w:eastAsia="宋体" w:cs="Times New Roman"/>
                <w:szCs w:val="21"/>
              </w:rPr>
              <w:t>6.曹禺</w:t>
            </w:r>
          </w:p>
        </w:tc>
        <w:tc>
          <w:tcPr>
            <w:tcW w:w="2425" w:type="dxa"/>
            <w:vAlign w:val="center"/>
          </w:tcPr>
          <w:p w14:paraId="52E91770">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曹禺的人生阅历和艺术渊源</w:t>
            </w:r>
          </w:p>
          <w:p w14:paraId="5334F4D6">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《雷雨》创作的“本意”与“误读”</w:t>
            </w:r>
          </w:p>
          <w:p w14:paraId="31A184B8">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《日出》及曹禺戏剧风格的转型</w:t>
            </w:r>
          </w:p>
          <w:p w14:paraId="1C6D4B8E">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曹禺研究中的不同视角和观点</w:t>
            </w:r>
          </w:p>
        </w:tc>
        <w:tc>
          <w:tcPr>
            <w:tcW w:w="881" w:type="dxa"/>
            <w:vAlign w:val="center"/>
          </w:tcPr>
          <w:p w14:paraId="27F84FB8">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0" w:type="dxa"/>
            <w:vAlign w:val="center"/>
          </w:tcPr>
          <w:p w14:paraId="7C17041B">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了解《雷雨》创作的“本意”与“误读”</w:t>
            </w:r>
          </w:p>
          <w:p w14:paraId="1A057DD7">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了解曹禺戏剧风格的转型</w:t>
            </w:r>
          </w:p>
          <w:p w14:paraId="5FB968A9">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了解曹禺话剧创作对中国现代话剧的巨大贡献</w:t>
            </w:r>
          </w:p>
          <w:p w14:paraId="66F10724">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了解曹禺研究中的不同视角和观点</w:t>
            </w:r>
          </w:p>
        </w:tc>
        <w:tc>
          <w:tcPr>
            <w:tcW w:w="1328" w:type="dxa"/>
            <w:vAlign w:val="center"/>
          </w:tcPr>
          <w:p w14:paraId="47ABD18F">
            <w:pPr>
              <w:jc w:val="left"/>
              <w:rPr>
                <w:rFonts w:hint="eastAsia" w:ascii="宋体" w:hAnsi="宋体" w:eastAsia="宋体" w:cs="Times New Roman"/>
                <w:szCs w:val="21"/>
              </w:rPr>
            </w:pPr>
            <w:r>
              <w:rPr>
                <w:rFonts w:ascii="宋体" w:hAnsi="宋体" w:eastAsia="宋体" w:cs="Times New Roman"/>
                <w:szCs w:val="21"/>
              </w:rPr>
              <w:t>1.线上学习</w:t>
            </w:r>
          </w:p>
          <w:p w14:paraId="259340DB">
            <w:pPr>
              <w:jc w:val="left"/>
              <w:rPr>
                <w:rFonts w:hint="eastAsia" w:ascii="宋体" w:hAnsi="宋体" w:eastAsia="宋体" w:cs="Times New Roman"/>
                <w:szCs w:val="21"/>
              </w:rPr>
            </w:pPr>
            <w:r>
              <w:rPr>
                <w:rFonts w:ascii="宋体" w:hAnsi="宋体" w:eastAsia="宋体" w:cs="Times New Roman"/>
                <w:szCs w:val="21"/>
              </w:rPr>
              <w:t>2.多媒体教学</w:t>
            </w:r>
          </w:p>
          <w:p w14:paraId="1D2BC63C">
            <w:pPr>
              <w:jc w:val="left"/>
              <w:rPr>
                <w:rFonts w:hint="eastAsia" w:ascii="宋体" w:hAnsi="宋体" w:eastAsia="宋体" w:cs="Times New Roman"/>
                <w:szCs w:val="21"/>
              </w:rPr>
            </w:pPr>
            <w:r>
              <w:rPr>
                <w:rFonts w:ascii="宋体" w:hAnsi="宋体" w:eastAsia="宋体" w:cs="Times New Roman"/>
                <w:szCs w:val="21"/>
              </w:rPr>
              <w:t>3.课堂讨论</w:t>
            </w:r>
          </w:p>
          <w:p w14:paraId="3360B9E0">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20C78431">
            <w:pPr>
              <w:jc w:val="center"/>
              <w:rPr>
                <w:rFonts w:hint="eastAsia" w:ascii="宋体" w:hAnsi="宋体" w:eastAsia="宋体" w:cs="Times New Roman"/>
                <w:szCs w:val="21"/>
              </w:rPr>
            </w:pPr>
            <w:r>
              <w:rPr>
                <w:rFonts w:hint="eastAsia" w:ascii="宋体" w:hAnsi="宋体" w:eastAsia="宋体" w:cs="Times New Roman"/>
                <w:szCs w:val="21"/>
              </w:rPr>
              <w:t>2</w:t>
            </w:r>
          </w:p>
        </w:tc>
      </w:tr>
      <w:tr w14:paraId="5029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75043FF2">
            <w:pPr>
              <w:jc w:val="center"/>
              <w:rPr>
                <w:rFonts w:hint="eastAsia" w:ascii="宋体" w:hAnsi="宋体" w:eastAsia="宋体" w:cs="Times New Roman"/>
                <w:szCs w:val="21"/>
              </w:rPr>
            </w:pPr>
          </w:p>
        </w:tc>
        <w:tc>
          <w:tcPr>
            <w:tcW w:w="8091" w:type="dxa"/>
            <w:gridSpan w:val="5"/>
            <w:vAlign w:val="center"/>
          </w:tcPr>
          <w:p w14:paraId="3F1628D7">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通过对曹禺现代戏剧冲突和戏剧人物分析，培育学生的国家意识、法治意识、社会责任意识和个人诚信意识，从而提升自身的社会公德、职业道德、家庭美德和个人品德。</w:t>
            </w:r>
          </w:p>
        </w:tc>
      </w:tr>
      <w:tr w14:paraId="39B55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66D5ACA7">
            <w:pPr>
              <w:jc w:val="center"/>
              <w:rPr>
                <w:rFonts w:hint="eastAsia" w:ascii="宋体" w:hAnsi="宋体" w:eastAsia="宋体" w:cs="Times New Roman"/>
                <w:szCs w:val="21"/>
              </w:rPr>
            </w:pPr>
            <w:r>
              <w:rPr>
                <w:rFonts w:hint="eastAsia" w:ascii="宋体" w:hAnsi="宋体" w:eastAsia="宋体" w:cs="Times New Roman"/>
                <w:szCs w:val="21"/>
              </w:rPr>
              <w:t>7.戴望舒</w:t>
            </w:r>
          </w:p>
        </w:tc>
        <w:tc>
          <w:tcPr>
            <w:tcW w:w="2425" w:type="dxa"/>
            <w:vAlign w:val="center"/>
          </w:tcPr>
          <w:p w14:paraId="2E4D77A2">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戴望舒和现代诗派</w:t>
            </w:r>
          </w:p>
          <w:p w14:paraId="6CF34A14">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从《雨巷》到《我的记忆》</w:t>
            </w:r>
          </w:p>
          <w:p w14:paraId="4C6DE55D">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《寻梦者》和《乐园鸟》的内蕴</w:t>
            </w:r>
          </w:p>
          <w:p w14:paraId="2F05039E">
            <w:pPr>
              <w:jc w:val="left"/>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西方象征派诗歌与中国传统诗学的融合</w:t>
            </w:r>
          </w:p>
        </w:tc>
        <w:tc>
          <w:tcPr>
            <w:tcW w:w="881" w:type="dxa"/>
            <w:vAlign w:val="center"/>
          </w:tcPr>
          <w:p w14:paraId="6E688E46">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0" w:type="dxa"/>
            <w:vAlign w:val="center"/>
          </w:tcPr>
          <w:p w14:paraId="3C271761">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了解戴望舒和现代诗派的诗艺探索</w:t>
            </w:r>
          </w:p>
          <w:p w14:paraId="42B8B922">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理解《寻梦者》和《乐园鸟》的内蕴</w:t>
            </w:r>
          </w:p>
          <w:p w14:paraId="43A31F79">
            <w:pPr>
              <w:jc w:val="left"/>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理解西方象征派诗歌与中国传统诗学的融合</w:t>
            </w:r>
          </w:p>
        </w:tc>
        <w:tc>
          <w:tcPr>
            <w:tcW w:w="1328" w:type="dxa"/>
            <w:vAlign w:val="center"/>
          </w:tcPr>
          <w:p w14:paraId="63FB41CB">
            <w:pPr>
              <w:jc w:val="left"/>
              <w:rPr>
                <w:rFonts w:hint="eastAsia" w:ascii="宋体" w:hAnsi="宋体" w:eastAsia="宋体" w:cs="Times New Roman"/>
                <w:szCs w:val="21"/>
              </w:rPr>
            </w:pPr>
            <w:r>
              <w:rPr>
                <w:rFonts w:ascii="宋体" w:hAnsi="宋体" w:eastAsia="宋体" w:cs="Times New Roman"/>
                <w:szCs w:val="21"/>
              </w:rPr>
              <w:t>1.线上学习</w:t>
            </w:r>
          </w:p>
          <w:p w14:paraId="3917E49C">
            <w:pPr>
              <w:jc w:val="left"/>
              <w:rPr>
                <w:rFonts w:hint="eastAsia" w:ascii="宋体" w:hAnsi="宋体" w:eastAsia="宋体" w:cs="Times New Roman"/>
                <w:szCs w:val="21"/>
              </w:rPr>
            </w:pPr>
            <w:r>
              <w:rPr>
                <w:rFonts w:ascii="宋体" w:hAnsi="宋体" w:eastAsia="宋体" w:cs="Times New Roman"/>
                <w:szCs w:val="21"/>
              </w:rPr>
              <w:t>2.多媒体教学</w:t>
            </w:r>
          </w:p>
          <w:p w14:paraId="64AA02AC">
            <w:pPr>
              <w:jc w:val="left"/>
              <w:rPr>
                <w:rFonts w:hint="eastAsia" w:ascii="宋体" w:hAnsi="宋体" w:eastAsia="宋体" w:cs="Times New Roman"/>
                <w:szCs w:val="21"/>
              </w:rPr>
            </w:pPr>
            <w:r>
              <w:rPr>
                <w:rFonts w:ascii="宋体" w:hAnsi="宋体" w:eastAsia="宋体" w:cs="Times New Roman"/>
                <w:szCs w:val="21"/>
              </w:rPr>
              <w:t>3.课堂讨论</w:t>
            </w:r>
          </w:p>
          <w:p w14:paraId="69355DB1">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3F584E01">
            <w:pPr>
              <w:jc w:val="center"/>
              <w:rPr>
                <w:rFonts w:hint="eastAsia" w:ascii="宋体" w:hAnsi="宋体" w:eastAsia="宋体" w:cs="Times New Roman"/>
                <w:szCs w:val="21"/>
              </w:rPr>
            </w:pPr>
            <w:r>
              <w:rPr>
                <w:rFonts w:hint="eastAsia" w:ascii="宋体" w:hAnsi="宋体" w:eastAsia="宋体" w:cs="Times New Roman"/>
                <w:szCs w:val="21"/>
              </w:rPr>
              <w:t>2</w:t>
            </w:r>
          </w:p>
        </w:tc>
      </w:tr>
      <w:tr w14:paraId="23794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7D9BF058">
            <w:pPr>
              <w:jc w:val="center"/>
              <w:rPr>
                <w:rFonts w:hint="eastAsia" w:ascii="宋体" w:hAnsi="宋体" w:eastAsia="宋体" w:cs="Times New Roman"/>
                <w:szCs w:val="21"/>
              </w:rPr>
            </w:pPr>
          </w:p>
        </w:tc>
        <w:tc>
          <w:tcPr>
            <w:tcW w:w="8091" w:type="dxa"/>
            <w:gridSpan w:val="5"/>
            <w:vAlign w:val="center"/>
          </w:tcPr>
          <w:p w14:paraId="62604D10">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结合现代诗学理论对现代派诗歌创作进行细致深入的分析，使学生进一步认识艺术源于生活的艺术观念，树立以诗歌反映社会现实的马克思主义诗学观。</w:t>
            </w:r>
          </w:p>
        </w:tc>
      </w:tr>
      <w:tr w14:paraId="115A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7F31114C">
            <w:pPr>
              <w:jc w:val="center"/>
              <w:rPr>
                <w:rFonts w:hint="eastAsia" w:ascii="宋体" w:hAnsi="宋体" w:eastAsia="宋体" w:cs="Times New Roman"/>
                <w:szCs w:val="21"/>
              </w:rPr>
            </w:pPr>
            <w:r>
              <w:rPr>
                <w:rFonts w:hint="eastAsia" w:ascii="宋体" w:hAnsi="宋体" w:eastAsia="宋体" w:cs="Times New Roman"/>
                <w:szCs w:val="21"/>
              </w:rPr>
              <w:t>8.张爱玲</w:t>
            </w:r>
          </w:p>
        </w:tc>
        <w:tc>
          <w:tcPr>
            <w:tcW w:w="2425" w:type="dxa"/>
            <w:vAlign w:val="center"/>
          </w:tcPr>
          <w:p w14:paraId="187198C2">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张爱玲的《传奇》和《流言》</w:t>
            </w:r>
          </w:p>
          <w:p w14:paraId="58FDFF99">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《金锁记》的人性原欲叙述</w:t>
            </w:r>
          </w:p>
          <w:p w14:paraId="23438878">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张爱玲小说艺术的“创新”与“袭旧”</w:t>
            </w:r>
          </w:p>
          <w:p w14:paraId="70D72F0B">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“张爱玲热”与张爱玲研究概况</w:t>
            </w:r>
          </w:p>
        </w:tc>
        <w:tc>
          <w:tcPr>
            <w:tcW w:w="881" w:type="dxa"/>
            <w:vAlign w:val="center"/>
          </w:tcPr>
          <w:p w14:paraId="0A34B5D5">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0" w:type="dxa"/>
            <w:vAlign w:val="center"/>
          </w:tcPr>
          <w:p w14:paraId="2330512C">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了解张爱玲的《传奇》和《流言》概况</w:t>
            </w:r>
          </w:p>
          <w:p w14:paraId="0FA6BF95">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把握《金锁记》的主题意蕴和艺术特质</w:t>
            </w:r>
          </w:p>
          <w:p w14:paraId="0B106C42">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理解张爱玲小说艺术的“创新”和“袭旧”</w:t>
            </w:r>
          </w:p>
        </w:tc>
        <w:tc>
          <w:tcPr>
            <w:tcW w:w="1328" w:type="dxa"/>
            <w:vAlign w:val="center"/>
          </w:tcPr>
          <w:p w14:paraId="1015CB23">
            <w:pPr>
              <w:jc w:val="left"/>
              <w:rPr>
                <w:rFonts w:hint="eastAsia" w:ascii="宋体" w:hAnsi="宋体" w:eastAsia="宋体" w:cs="Times New Roman"/>
                <w:szCs w:val="21"/>
              </w:rPr>
            </w:pPr>
            <w:r>
              <w:rPr>
                <w:rFonts w:ascii="宋体" w:hAnsi="宋体" w:eastAsia="宋体" w:cs="Times New Roman"/>
                <w:szCs w:val="21"/>
              </w:rPr>
              <w:t>1.线上学习</w:t>
            </w:r>
          </w:p>
          <w:p w14:paraId="2F1EC92B">
            <w:pPr>
              <w:jc w:val="left"/>
              <w:rPr>
                <w:rFonts w:hint="eastAsia" w:ascii="宋体" w:hAnsi="宋体" w:eastAsia="宋体" w:cs="Times New Roman"/>
                <w:szCs w:val="21"/>
              </w:rPr>
            </w:pPr>
            <w:r>
              <w:rPr>
                <w:rFonts w:ascii="宋体" w:hAnsi="宋体" w:eastAsia="宋体" w:cs="Times New Roman"/>
                <w:szCs w:val="21"/>
              </w:rPr>
              <w:t>2.多媒体教学</w:t>
            </w:r>
          </w:p>
          <w:p w14:paraId="4B184D17">
            <w:pPr>
              <w:jc w:val="left"/>
              <w:rPr>
                <w:rFonts w:hint="eastAsia" w:ascii="宋体" w:hAnsi="宋体" w:eastAsia="宋体" w:cs="Times New Roman"/>
                <w:szCs w:val="21"/>
              </w:rPr>
            </w:pPr>
            <w:r>
              <w:rPr>
                <w:rFonts w:ascii="宋体" w:hAnsi="宋体" w:eastAsia="宋体" w:cs="Times New Roman"/>
                <w:szCs w:val="21"/>
              </w:rPr>
              <w:t>3.课堂讨论</w:t>
            </w:r>
          </w:p>
          <w:p w14:paraId="7E52365B">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32FC3A72">
            <w:pPr>
              <w:jc w:val="center"/>
              <w:rPr>
                <w:rFonts w:hint="eastAsia" w:ascii="宋体" w:hAnsi="宋体" w:eastAsia="宋体" w:cs="Times New Roman"/>
                <w:szCs w:val="21"/>
              </w:rPr>
            </w:pPr>
            <w:r>
              <w:rPr>
                <w:rFonts w:hint="eastAsia" w:ascii="宋体" w:hAnsi="宋体" w:eastAsia="宋体" w:cs="Times New Roman"/>
                <w:szCs w:val="21"/>
              </w:rPr>
              <w:t>4</w:t>
            </w:r>
          </w:p>
        </w:tc>
      </w:tr>
      <w:tr w14:paraId="753AF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67079D6D">
            <w:pPr>
              <w:jc w:val="center"/>
              <w:rPr>
                <w:rFonts w:hint="eastAsia" w:ascii="宋体" w:hAnsi="宋体" w:eastAsia="宋体" w:cs="Times New Roman"/>
                <w:szCs w:val="21"/>
              </w:rPr>
            </w:pPr>
          </w:p>
        </w:tc>
        <w:tc>
          <w:tcPr>
            <w:tcW w:w="8091" w:type="dxa"/>
            <w:gridSpan w:val="5"/>
            <w:vAlign w:val="center"/>
          </w:tcPr>
          <w:p w14:paraId="2A2F5775">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培养学生马克思主义历史观，正确认识个人利益和国家利益的关系，把个人前途和祖国命运联系起来，时刻关注国家命运及民生疾苦，并自觉承担社会责任。</w:t>
            </w:r>
          </w:p>
        </w:tc>
      </w:tr>
      <w:tr w14:paraId="284A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7301CB8B">
            <w:pPr>
              <w:jc w:val="center"/>
              <w:rPr>
                <w:rFonts w:hint="eastAsia" w:ascii="宋体" w:hAnsi="宋体" w:eastAsia="宋体" w:cs="Times New Roman"/>
                <w:szCs w:val="21"/>
              </w:rPr>
            </w:pPr>
            <w:r>
              <w:rPr>
                <w:rFonts w:hint="eastAsia" w:ascii="宋体" w:hAnsi="宋体" w:eastAsia="宋体" w:cs="Times New Roman"/>
                <w:szCs w:val="21"/>
              </w:rPr>
              <w:t>9.汪曾祺</w:t>
            </w:r>
          </w:p>
        </w:tc>
        <w:tc>
          <w:tcPr>
            <w:tcW w:w="2425" w:type="dxa"/>
            <w:vAlign w:val="center"/>
          </w:tcPr>
          <w:p w14:paraId="26EA89CF">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汪曾祺小说的审美世界</w:t>
            </w:r>
          </w:p>
          <w:p w14:paraId="0EB59CD9">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《受戒》和《大淖记事》</w:t>
            </w:r>
          </w:p>
          <w:p w14:paraId="684EF1B8">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汪曾祺小说的文学史意义</w:t>
            </w:r>
          </w:p>
          <w:p w14:paraId="379C0539">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从平淡到苍凉：艺术风格的转型</w:t>
            </w:r>
          </w:p>
        </w:tc>
        <w:tc>
          <w:tcPr>
            <w:tcW w:w="881" w:type="dxa"/>
            <w:vAlign w:val="center"/>
          </w:tcPr>
          <w:p w14:paraId="77812C54">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0" w:type="dxa"/>
            <w:vAlign w:val="center"/>
          </w:tcPr>
          <w:p w14:paraId="318E7D71">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把握《受戒》《大淖记事》等呈现的汪曾祺小说审美世界</w:t>
            </w:r>
          </w:p>
          <w:p w14:paraId="426F1352">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了解汪曾祺小说的文学史意义</w:t>
            </w:r>
          </w:p>
          <w:p w14:paraId="3A44FE44">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了解汪曾祺前后期小说艺术风格的转型</w:t>
            </w:r>
          </w:p>
          <w:p w14:paraId="03DB4981">
            <w:pPr>
              <w:jc w:val="left"/>
              <w:rPr>
                <w:rFonts w:hint="eastAsia" w:ascii="宋体" w:hAnsi="宋体" w:eastAsia="宋体" w:cs="Times New Roman"/>
                <w:szCs w:val="21"/>
              </w:rPr>
            </w:pPr>
          </w:p>
        </w:tc>
        <w:tc>
          <w:tcPr>
            <w:tcW w:w="1328" w:type="dxa"/>
            <w:vAlign w:val="center"/>
          </w:tcPr>
          <w:p w14:paraId="0E9F8254">
            <w:pPr>
              <w:jc w:val="left"/>
              <w:rPr>
                <w:rFonts w:hint="eastAsia" w:ascii="宋体" w:hAnsi="宋体" w:eastAsia="宋体" w:cs="Times New Roman"/>
                <w:szCs w:val="21"/>
              </w:rPr>
            </w:pPr>
            <w:r>
              <w:rPr>
                <w:rFonts w:ascii="宋体" w:hAnsi="宋体" w:eastAsia="宋体" w:cs="Times New Roman"/>
                <w:szCs w:val="21"/>
              </w:rPr>
              <w:t>1.线上学习</w:t>
            </w:r>
          </w:p>
          <w:p w14:paraId="1857874A">
            <w:pPr>
              <w:jc w:val="left"/>
              <w:rPr>
                <w:rFonts w:hint="eastAsia" w:ascii="宋体" w:hAnsi="宋体" w:eastAsia="宋体" w:cs="Times New Roman"/>
                <w:szCs w:val="21"/>
              </w:rPr>
            </w:pPr>
            <w:r>
              <w:rPr>
                <w:rFonts w:ascii="宋体" w:hAnsi="宋体" w:eastAsia="宋体" w:cs="Times New Roman"/>
                <w:szCs w:val="21"/>
              </w:rPr>
              <w:t>2.多媒体教学</w:t>
            </w:r>
          </w:p>
          <w:p w14:paraId="70EDF341">
            <w:pPr>
              <w:jc w:val="left"/>
              <w:rPr>
                <w:rFonts w:hint="eastAsia" w:ascii="宋体" w:hAnsi="宋体" w:eastAsia="宋体" w:cs="Times New Roman"/>
                <w:szCs w:val="21"/>
              </w:rPr>
            </w:pPr>
            <w:r>
              <w:rPr>
                <w:rFonts w:ascii="宋体" w:hAnsi="宋体" w:eastAsia="宋体" w:cs="Times New Roman"/>
                <w:szCs w:val="21"/>
              </w:rPr>
              <w:t>3.课堂讨论</w:t>
            </w:r>
          </w:p>
          <w:p w14:paraId="7399E87D">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7279088E">
            <w:pPr>
              <w:jc w:val="center"/>
              <w:rPr>
                <w:rFonts w:hint="eastAsia" w:ascii="宋体" w:hAnsi="宋体" w:eastAsia="宋体" w:cs="Times New Roman"/>
                <w:szCs w:val="21"/>
              </w:rPr>
            </w:pPr>
            <w:r>
              <w:rPr>
                <w:rFonts w:hint="eastAsia" w:ascii="宋体" w:hAnsi="宋体" w:eastAsia="宋体" w:cs="Times New Roman"/>
                <w:szCs w:val="21"/>
              </w:rPr>
              <w:t>4</w:t>
            </w:r>
          </w:p>
        </w:tc>
      </w:tr>
      <w:tr w14:paraId="66BE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3FD078E0">
            <w:pPr>
              <w:jc w:val="center"/>
              <w:rPr>
                <w:rFonts w:hint="eastAsia" w:ascii="宋体" w:hAnsi="宋体" w:eastAsia="宋体" w:cs="Times New Roman"/>
                <w:szCs w:val="21"/>
              </w:rPr>
            </w:pPr>
          </w:p>
        </w:tc>
        <w:tc>
          <w:tcPr>
            <w:tcW w:w="8091" w:type="dxa"/>
            <w:gridSpan w:val="5"/>
            <w:vAlign w:val="center"/>
          </w:tcPr>
          <w:p w14:paraId="3BB9ECD0">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引导学生树立崇尚自然、尊重自然的理念，切实增强学生投身生态文明建设的责任感、使命感。</w:t>
            </w:r>
          </w:p>
        </w:tc>
      </w:tr>
      <w:tr w14:paraId="6854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3C0C00C0">
            <w:pPr>
              <w:jc w:val="center"/>
              <w:rPr>
                <w:rFonts w:hint="eastAsia" w:ascii="宋体" w:hAnsi="宋体" w:eastAsia="宋体" w:cs="Times New Roman"/>
                <w:szCs w:val="21"/>
              </w:rPr>
            </w:pPr>
            <w:r>
              <w:rPr>
                <w:rFonts w:hint="eastAsia" w:ascii="宋体" w:hAnsi="宋体" w:eastAsia="宋体" w:cs="Times New Roman"/>
                <w:szCs w:val="21"/>
              </w:rPr>
              <w:t>10.莫言</w:t>
            </w:r>
          </w:p>
        </w:tc>
        <w:tc>
          <w:tcPr>
            <w:tcW w:w="2425" w:type="dxa"/>
            <w:vAlign w:val="center"/>
          </w:tcPr>
          <w:p w14:paraId="3385970C">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“高密东北乡”：莫言的中国民间故事和历史</w:t>
            </w:r>
          </w:p>
          <w:p w14:paraId="27008446">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《红高粱》和《丰乳肥臀》</w:t>
            </w:r>
          </w:p>
          <w:p w14:paraId="59DF2DE5">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《蛙》</w:t>
            </w:r>
          </w:p>
          <w:p w14:paraId="61F09A6F">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莫言小说的艺术贡献</w:t>
            </w:r>
          </w:p>
        </w:tc>
        <w:tc>
          <w:tcPr>
            <w:tcW w:w="881" w:type="dxa"/>
            <w:vAlign w:val="center"/>
          </w:tcPr>
          <w:p w14:paraId="666171E8">
            <w:pPr>
              <w:jc w:val="center"/>
              <w:rPr>
                <w:rFonts w:hint="eastAsia" w:ascii="宋体" w:hAnsi="宋体" w:eastAsia="宋体" w:cs="Times New Roman"/>
                <w:szCs w:val="21"/>
              </w:rPr>
            </w:pPr>
            <w:r>
              <w:rPr>
                <w:rFonts w:hint="eastAsia" w:ascii="宋体" w:hAnsi="宋体" w:eastAsia="宋体" w:cs="Times New Roman"/>
                <w:szCs w:val="21"/>
              </w:rPr>
              <w:t>课程目标1、2、3</w:t>
            </w:r>
          </w:p>
          <w:p w14:paraId="435BCC77">
            <w:pPr>
              <w:jc w:val="center"/>
              <w:rPr>
                <w:rFonts w:hint="eastAsia" w:ascii="宋体" w:hAnsi="宋体" w:eastAsia="宋体" w:cs="Times New Roman"/>
                <w:szCs w:val="21"/>
              </w:rPr>
            </w:pPr>
          </w:p>
        </w:tc>
        <w:tc>
          <w:tcPr>
            <w:tcW w:w="3030" w:type="dxa"/>
            <w:vAlign w:val="center"/>
          </w:tcPr>
          <w:p w14:paraId="33BFBC62">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了解“高密东北乡</w:t>
            </w:r>
            <w:r>
              <w:rPr>
                <w:rFonts w:ascii="宋体" w:hAnsi="宋体" w:eastAsia="宋体" w:cs="宋体"/>
                <w:szCs w:val="21"/>
              </w:rPr>
              <w:t>”</w:t>
            </w:r>
            <w:r>
              <w:rPr>
                <w:rFonts w:hint="eastAsia" w:ascii="宋体" w:hAnsi="宋体" w:eastAsia="宋体" w:cs="宋体"/>
                <w:szCs w:val="21"/>
              </w:rPr>
              <w:t>对莫言创作的影响</w:t>
            </w:r>
          </w:p>
          <w:p w14:paraId="5DAADC8F">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理解《红高粱》和《丰乳肥臀》的思想意蕴</w:t>
            </w:r>
          </w:p>
          <w:p w14:paraId="7EDC356F">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理解《蛙》中乡土蛮荒的文学景观和人性的畸变</w:t>
            </w:r>
          </w:p>
          <w:p w14:paraId="60FADB35">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知晓莫言小说的艺术贡献：“以魔幻现实主义融合民间故事、历史和现实”</w:t>
            </w:r>
          </w:p>
        </w:tc>
        <w:tc>
          <w:tcPr>
            <w:tcW w:w="1328" w:type="dxa"/>
            <w:vAlign w:val="center"/>
          </w:tcPr>
          <w:p w14:paraId="12B87213">
            <w:pPr>
              <w:jc w:val="left"/>
              <w:rPr>
                <w:rFonts w:hint="eastAsia" w:ascii="宋体" w:hAnsi="宋体" w:eastAsia="宋体" w:cs="Times New Roman"/>
                <w:szCs w:val="21"/>
              </w:rPr>
            </w:pPr>
            <w:r>
              <w:rPr>
                <w:rFonts w:ascii="宋体" w:hAnsi="宋体" w:eastAsia="宋体" w:cs="Times New Roman"/>
                <w:szCs w:val="21"/>
              </w:rPr>
              <w:t>1.线上学习</w:t>
            </w:r>
          </w:p>
          <w:p w14:paraId="48FCF302">
            <w:pPr>
              <w:jc w:val="left"/>
              <w:rPr>
                <w:rFonts w:hint="eastAsia" w:ascii="宋体" w:hAnsi="宋体" w:eastAsia="宋体" w:cs="Times New Roman"/>
                <w:szCs w:val="21"/>
              </w:rPr>
            </w:pPr>
            <w:r>
              <w:rPr>
                <w:rFonts w:ascii="宋体" w:hAnsi="宋体" w:eastAsia="宋体" w:cs="Times New Roman"/>
                <w:szCs w:val="21"/>
              </w:rPr>
              <w:t>2.多媒体教学</w:t>
            </w:r>
          </w:p>
          <w:p w14:paraId="2B035EBB">
            <w:pPr>
              <w:jc w:val="left"/>
              <w:rPr>
                <w:rFonts w:hint="eastAsia" w:ascii="宋体" w:hAnsi="宋体" w:eastAsia="宋体" w:cs="Times New Roman"/>
                <w:szCs w:val="21"/>
              </w:rPr>
            </w:pPr>
            <w:r>
              <w:rPr>
                <w:rFonts w:ascii="宋体" w:hAnsi="宋体" w:eastAsia="宋体" w:cs="Times New Roman"/>
                <w:szCs w:val="21"/>
              </w:rPr>
              <w:t>3.课堂讨论</w:t>
            </w:r>
          </w:p>
          <w:p w14:paraId="3B55FEF4">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6D22BA5E">
            <w:pPr>
              <w:jc w:val="center"/>
              <w:rPr>
                <w:rFonts w:hint="eastAsia" w:ascii="宋体" w:hAnsi="宋体" w:eastAsia="宋体" w:cs="Times New Roman"/>
                <w:szCs w:val="21"/>
              </w:rPr>
            </w:pPr>
            <w:r>
              <w:rPr>
                <w:rFonts w:hint="eastAsia" w:ascii="宋体" w:hAnsi="宋体" w:eastAsia="宋体" w:cs="Times New Roman"/>
                <w:szCs w:val="21"/>
              </w:rPr>
              <w:t>4</w:t>
            </w:r>
          </w:p>
        </w:tc>
      </w:tr>
      <w:tr w14:paraId="4B03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116F862B">
            <w:pPr>
              <w:jc w:val="center"/>
              <w:rPr>
                <w:rFonts w:hint="eastAsia" w:ascii="宋体" w:hAnsi="宋体" w:eastAsia="宋体" w:cs="Times New Roman"/>
                <w:szCs w:val="21"/>
              </w:rPr>
            </w:pPr>
          </w:p>
        </w:tc>
        <w:tc>
          <w:tcPr>
            <w:tcW w:w="8091" w:type="dxa"/>
            <w:gridSpan w:val="5"/>
            <w:vAlign w:val="center"/>
          </w:tcPr>
          <w:p w14:paraId="7E7AE081">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通过对莫言小说的深入解读，让学生认识个人与国家的紧密关系，培养学生的爱国主义情操。</w:t>
            </w:r>
          </w:p>
        </w:tc>
      </w:tr>
      <w:tr w14:paraId="2077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6A00CB01">
            <w:pPr>
              <w:jc w:val="center"/>
              <w:rPr>
                <w:rFonts w:hint="eastAsia" w:ascii="宋体" w:hAnsi="宋体" w:eastAsia="宋体" w:cs="Times New Roman"/>
                <w:szCs w:val="21"/>
              </w:rPr>
            </w:pPr>
            <w:r>
              <w:rPr>
                <w:rFonts w:hint="eastAsia" w:ascii="宋体" w:hAnsi="宋体" w:eastAsia="宋体" w:cs="Times New Roman"/>
                <w:szCs w:val="21"/>
              </w:rPr>
              <w:t>11.贾平凹</w:t>
            </w:r>
          </w:p>
        </w:tc>
        <w:tc>
          <w:tcPr>
            <w:tcW w:w="2425" w:type="dxa"/>
            <w:vAlign w:val="center"/>
          </w:tcPr>
          <w:p w14:paraId="3B78D741">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《商州初录》</w:t>
            </w:r>
          </w:p>
          <w:p w14:paraId="25E6B60D">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《废都》</w:t>
            </w:r>
          </w:p>
          <w:p w14:paraId="1EE2D79B">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《秦腔》</w:t>
            </w:r>
          </w:p>
          <w:p w14:paraId="7F7628B3">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《带灯》</w:t>
            </w:r>
          </w:p>
        </w:tc>
        <w:tc>
          <w:tcPr>
            <w:tcW w:w="881" w:type="dxa"/>
            <w:vAlign w:val="center"/>
          </w:tcPr>
          <w:p w14:paraId="73046199">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0" w:type="dxa"/>
            <w:vAlign w:val="center"/>
          </w:tcPr>
          <w:p w14:paraId="0A210D1E">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理解《商州初录》有关陕南山区风土人情的诗性叙写</w:t>
            </w:r>
          </w:p>
          <w:p w14:paraId="3100E5FB">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了解《废都》有关古城西京的生活世相叙述和“世纪末”意蕴</w:t>
            </w:r>
          </w:p>
          <w:p w14:paraId="0A839CDD">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了解《秦腔》对中国乡村和传统文化的哀歌表现</w:t>
            </w:r>
          </w:p>
          <w:p w14:paraId="7625731E">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理解《带灯》的“在现实与梦境中穿行”之人生形式</w:t>
            </w:r>
          </w:p>
        </w:tc>
        <w:tc>
          <w:tcPr>
            <w:tcW w:w="1328" w:type="dxa"/>
            <w:vAlign w:val="center"/>
          </w:tcPr>
          <w:p w14:paraId="15BE45E1">
            <w:pPr>
              <w:jc w:val="left"/>
              <w:rPr>
                <w:rFonts w:hint="eastAsia" w:ascii="宋体" w:hAnsi="宋体" w:eastAsia="宋体" w:cs="Times New Roman"/>
                <w:szCs w:val="21"/>
              </w:rPr>
            </w:pPr>
            <w:r>
              <w:rPr>
                <w:rFonts w:ascii="宋体" w:hAnsi="宋体" w:eastAsia="宋体" w:cs="Times New Roman"/>
                <w:szCs w:val="21"/>
              </w:rPr>
              <w:t>1.线上学习</w:t>
            </w:r>
          </w:p>
          <w:p w14:paraId="3F8B8581">
            <w:pPr>
              <w:jc w:val="left"/>
              <w:rPr>
                <w:rFonts w:hint="eastAsia" w:ascii="宋体" w:hAnsi="宋体" w:eastAsia="宋体" w:cs="Times New Roman"/>
                <w:szCs w:val="21"/>
              </w:rPr>
            </w:pPr>
            <w:r>
              <w:rPr>
                <w:rFonts w:ascii="宋体" w:hAnsi="宋体" w:eastAsia="宋体" w:cs="Times New Roman"/>
                <w:szCs w:val="21"/>
              </w:rPr>
              <w:t>2.多媒体教学</w:t>
            </w:r>
          </w:p>
          <w:p w14:paraId="668D8B9D">
            <w:pPr>
              <w:jc w:val="left"/>
              <w:rPr>
                <w:rFonts w:hint="eastAsia" w:ascii="宋体" w:hAnsi="宋体" w:eastAsia="宋体" w:cs="Times New Roman"/>
                <w:szCs w:val="21"/>
              </w:rPr>
            </w:pPr>
            <w:r>
              <w:rPr>
                <w:rFonts w:ascii="宋体" w:hAnsi="宋体" w:eastAsia="宋体" w:cs="Times New Roman"/>
                <w:szCs w:val="21"/>
              </w:rPr>
              <w:t>3.课堂讨论</w:t>
            </w:r>
          </w:p>
          <w:p w14:paraId="5F31F980">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1B3D79D2">
            <w:pPr>
              <w:jc w:val="center"/>
              <w:rPr>
                <w:rFonts w:hint="eastAsia" w:ascii="宋体" w:hAnsi="宋体" w:eastAsia="宋体" w:cs="Times New Roman"/>
                <w:szCs w:val="21"/>
              </w:rPr>
            </w:pPr>
            <w:r>
              <w:rPr>
                <w:rFonts w:hint="eastAsia" w:ascii="宋体" w:hAnsi="宋体" w:eastAsia="宋体" w:cs="Times New Roman"/>
                <w:szCs w:val="21"/>
              </w:rPr>
              <w:t>4</w:t>
            </w:r>
          </w:p>
        </w:tc>
      </w:tr>
      <w:tr w14:paraId="61CE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16A0C053">
            <w:pPr>
              <w:jc w:val="center"/>
              <w:rPr>
                <w:rFonts w:hint="eastAsia" w:ascii="宋体" w:hAnsi="宋体" w:eastAsia="宋体" w:cs="Times New Roman"/>
                <w:szCs w:val="21"/>
              </w:rPr>
            </w:pPr>
          </w:p>
        </w:tc>
        <w:tc>
          <w:tcPr>
            <w:tcW w:w="8091" w:type="dxa"/>
            <w:gridSpan w:val="5"/>
            <w:vAlign w:val="center"/>
          </w:tcPr>
          <w:p w14:paraId="2FFEECC5">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通过对贾平凹重要小说的析评，让学生感受文本中人物积极进取的人格魅力与人生智慧，从而努力塑造高尚的人格、美好的情操和自觉的爱国主义精神。</w:t>
            </w:r>
          </w:p>
        </w:tc>
      </w:tr>
      <w:tr w14:paraId="72EA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3AB099F2">
            <w:pPr>
              <w:jc w:val="center"/>
              <w:rPr>
                <w:rFonts w:hint="eastAsia" w:ascii="宋体" w:hAnsi="宋体" w:eastAsia="宋体" w:cs="Times New Roman"/>
                <w:szCs w:val="21"/>
              </w:rPr>
            </w:pPr>
            <w:r>
              <w:rPr>
                <w:rFonts w:hint="eastAsia" w:ascii="宋体" w:hAnsi="宋体" w:eastAsia="宋体" w:cs="Times New Roman"/>
                <w:szCs w:val="21"/>
              </w:rPr>
              <w:t>12.余华</w:t>
            </w:r>
          </w:p>
        </w:tc>
        <w:tc>
          <w:tcPr>
            <w:tcW w:w="2425" w:type="dxa"/>
            <w:vAlign w:val="center"/>
          </w:tcPr>
          <w:p w14:paraId="240EAE7C">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余华与中国先锋小说的艺术探索</w:t>
            </w:r>
          </w:p>
          <w:p w14:paraId="62488F28">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《十八岁出门远行》和《现实一种》</w:t>
            </w:r>
          </w:p>
          <w:p w14:paraId="14A8CFA5">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 xml:space="preserve"> 20世纪</w:t>
            </w:r>
            <w:r>
              <w:rPr>
                <w:rFonts w:ascii="宋体" w:hAnsi="宋体" w:eastAsia="宋体" w:cs="宋体"/>
                <w:szCs w:val="21"/>
              </w:rPr>
              <w:t>90</w:t>
            </w:r>
            <w:r>
              <w:rPr>
                <w:rFonts w:hint="eastAsia" w:ascii="宋体" w:hAnsi="宋体" w:eastAsia="宋体" w:cs="宋体"/>
                <w:szCs w:val="21"/>
              </w:rPr>
              <w:t>年代余华小说的转型</w:t>
            </w:r>
          </w:p>
          <w:p w14:paraId="2B32A5D0">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《活着》和《许三观卖血记》</w:t>
            </w:r>
          </w:p>
        </w:tc>
        <w:tc>
          <w:tcPr>
            <w:tcW w:w="881" w:type="dxa"/>
            <w:vAlign w:val="center"/>
          </w:tcPr>
          <w:p w14:paraId="510FF13B">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030" w:type="dxa"/>
            <w:vAlign w:val="center"/>
          </w:tcPr>
          <w:p w14:paraId="6BA64803">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了解当代中国先锋小说的艺术探索概况</w:t>
            </w:r>
          </w:p>
          <w:p w14:paraId="6525844A">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理解余华早期小说的创作主旨和艺术特征</w:t>
            </w:r>
          </w:p>
          <w:p w14:paraId="6B50E59E">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了解20世纪</w:t>
            </w:r>
            <w:r>
              <w:rPr>
                <w:rFonts w:ascii="宋体" w:hAnsi="宋体" w:eastAsia="宋体" w:cs="宋体"/>
                <w:szCs w:val="21"/>
              </w:rPr>
              <w:t>90</w:t>
            </w:r>
            <w:r>
              <w:rPr>
                <w:rFonts w:hint="eastAsia" w:ascii="宋体" w:hAnsi="宋体" w:eastAsia="宋体" w:cs="宋体"/>
                <w:szCs w:val="21"/>
              </w:rPr>
              <w:t>年代余华小说的转型情况及其意义</w:t>
            </w:r>
          </w:p>
          <w:p w14:paraId="1985DD54">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理解《活着》和《许三观卖血记》叙事主题和艺术特征</w:t>
            </w:r>
          </w:p>
        </w:tc>
        <w:tc>
          <w:tcPr>
            <w:tcW w:w="1328" w:type="dxa"/>
            <w:vAlign w:val="center"/>
          </w:tcPr>
          <w:p w14:paraId="3F88ADF7">
            <w:pPr>
              <w:jc w:val="left"/>
              <w:rPr>
                <w:rFonts w:hint="eastAsia" w:ascii="宋体" w:hAnsi="宋体" w:eastAsia="宋体" w:cs="Times New Roman"/>
                <w:szCs w:val="21"/>
              </w:rPr>
            </w:pPr>
            <w:r>
              <w:rPr>
                <w:rFonts w:ascii="宋体" w:hAnsi="宋体" w:eastAsia="宋体" w:cs="Times New Roman"/>
                <w:szCs w:val="21"/>
              </w:rPr>
              <w:t>1.线上学习</w:t>
            </w:r>
          </w:p>
          <w:p w14:paraId="7986BD63">
            <w:pPr>
              <w:jc w:val="left"/>
              <w:rPr>
                <w:rFonts w:hint="eastAsia" w:ascii="宋体" w:hAnsi="宋体" w:eastAsia="宋体" w:cs="Times New Roman"/>
                <w:szCs w:val="21"/>
              </w:rPr>
            </w:pPr>
            <w:r>
              <w:rPr>
                <w:rFonts w:ascii="宋体" w:hAnsi="宋体" w:eastAsia="宋体" w:cs="Times New Roman"/>
                <w:szCs w:val="21"/>
              </w:rPr>
              <w:t>2.多媒体教学3.课堂讨论</w:t>
            </w:r>
          </w:p>
          <w:p w14:paraId="411C64F1">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795953A1">
            <w:pPr>
              <w:jc w:val="center"/>
              <w:rPr>
                <w:rFonts w:hint="eastAsia" w:ascii="宋体" w:hAnsi="宋体" w:eastAsia="宋体" w:cs="Times New Roman"/>
                <w:szCs w:val="21"/>
              </w:rPr>
            </w:pPr>
            <w:r>
              <w:rPr>
                <w:rFonts w:hint="eastAsia" w:ascii="宋体" w:hAnsi="宋体" w:eastAsia="宋体" w:cs="Times New Roman"/>
                <w:szCs w:val="21"/>
              </w:rPr>
              <w:t>4</w:t>
            </w:r>
          </w:p>
        </w:tc>
      </w:tr>
      <w:tr w14:paraId="772F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1F77125D">
            <w:pPr>
              <w:jc w:val="center"/>
              <w:rPr>
                <w:rFonts w:hint="eastAsia" w:ascii="宋体" w:hAnsi="宋体" w:eastAsia="宋体" w:cs="Times New Roman"/>
                <w:szCs w:val="21"/>
              </w:rPr>
            </w:pPr>
          </w:p>
        </w:tc>
        <w:tc>
          <w:tcPr>
            <w:tcW w:w="8091" w:type="dxa"/>
            <w:gridSpan w:val="5"/>
            <w:vAlign w:val="center"/>
          </w:tcPr>
          <w:p w14:paraId="36084AEF">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通过对余华重要小说的深入分析，让学生认识到个人命运与社会环境的复杂关系，从而培养学生的历史使命感与社会责任感。</w:t>
            </w:r>
          </w:p>
        </w:tc>
      </w:tr>
      <w:tr w14:paraId="3A85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restart"/>
            <w:vAlign w:val="center"/>
          </w:tcPr>
          <w:p w14:paraId="74935A2E">
            <w:pPr>
              <w:jc w:val="center"/>
              <w:rPr>
                <w:rFonts w:hint="eastAsia" w:ascii="宋体" w:hAnsi="宋体" w:eastAsia="宋体" w:cs="Times New Roman"/>
                <w:szCs w:val="21"/>
              </w:rPr>
            </w:pPr>
            <w:r>
              <w:rPr>
                <w:rFonts w:hint="eastAsia" w:ascii="宋体" w:hAnsi="宋体" w:eastAsia="宋体" w:cs="Times New Roman"/>
                <w:szCs w:val="21"/>
              </w:rPr>
              <w:t>13.阎连科</w:t>
            </w:r>
          </w:p>
        </w:tc>
        <w:tc>
          <w:tcPr>
            <w:tcW w:w="2425" w:type="dxa"/>
            <w:vAlign w:val="center"/>
          </w:tcPr>
          <w:p w14:paraId="53F78647">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 xml:space="preserve"> 阎连科——“上天和生活选定那个感受黑暗的人”</w:t>
            </w:r>
          </w:p>
          <w:p w14:paraId="59E73D77">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《日光流年》</w:t>
            </w:r>
          </w:p>
          <w:p w14:paraId="172DD8BF">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《受活》</w:t>
            </w:r>
          </w:p>
          <w:p w14:paraId="54E0DB0C">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4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⑷</w:t>
            </w:r>
            <w:r>
              <w:rPr>
                <w:rFonts w:ascii="宋体" w:hAnsi="宋体" w:eastAsia="宋体" w:cs="宋体"/>
                <w:szCs w:val="21"/>
              </w:rPr>
              <w:fldChar w:fldCharType="end"/>
            </w:r>
            <w:r>
              <w:rPr>
                <w:rFonts w:hint="eastAsia" w:ascii="宋体" w:hAnsi="宋体" w:eastAsia="宋体" w:cs="宋体"/>
                <w:szCs w:val="21"/>
              </w:rPr>
              <w:t xml:space="preserve"> 阎连科小说的美学风貌</w:t>
            </w:r>
          </w:p>
        </w:tc>
        <w:tc>
          <w:tcPr>
            <w:tcW w:w="881" w:type="dxa"/>
            <w:vAlign w:val="center"/>
          </w:tcPr>
          <w:p w14:paraId="51403606">
            <w:pPr>
              <w:jc w:val="center"/>
              <w:rPr>
                <w:rFonts w:hint="eastAsia" w:ascii="宋体" w:hAnsi="宋体" w:eastAsia="宋体" w:cs="Times New Roman"/>
                <w:szCs w:val="21"/>
              </w:rPr>
            </w:pPr>
            <w:r>
              <w:rPr>
                <w:rFonts w:hint="eastAsia" w:ascii="宋体" w:hAnsi="宋体" w:eastAsia="宋体" w:cs="Times New Roman"/>
                <w:szCs w:val="21"/>
              </w:rPr>
              <w:t>课程目标1、2、3</w:t>
            </w:r>
          </w:p>
          <w:p w14:paraId="276555C7">
            <w:pPr>
              <w:jc w:val="center"/>
              <w:rPr>
                <w:rFonts w:hint="eastAsia" w:ascii="宋体" w:hAnsi="宋体" w:eastAsia="宋体" w:cs="Times New Roman"/>
                <w:szCs w:val="21"/>
              </w:rPr>
            </w:pPr>
          </w:p>
        </w:tc>
        <w:tc>
          <w:tcPr>
            <w:tcW w:w="3030" w:type="dxa"/>
            <w:vAlign w:val="center"/>
          </w:tcPr>
          <w:p w14:paraId="759885B6">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1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⑴</w:t>
            </w:r>
            <w:r>
              <w:rPr>
                <w:rFonts w:ascii="宋体" w:hAnsi="宋体" w:eastAsia="宋体" w:cs="宋体"/>
                <w:szCs w:val="21"/>
              </w:rPr>
              <w:fldChar w:fldCharType="end"/>
            </w:r>
            <w:r>
              <w:rPr>
                <w:rFonts w:hint="eastAsia" w:ascii="宋体" w:hAnsi="宋体" w:eastAsia="宋体" w:cs="宋体"/>
                <w:szCs w:val="21"/>
              </w:rPr>
              <w:t>理解《日光流年》中有关中国农民苦难命运的极致书写</w:t>
            </w:r>
          </w:p>
          <w:p w14:paraId="774E8FD3">
            <w:pPr>
              <w:ind w:firstLine="420" w:firstLineChars="200"/>
              <w:rPr>
                <w:rFonts w:hint="eastAsia" w:ascii="宋体" w:hAnsi="宋体" w:eastAsia="宋体" w:cs="宋体"/>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2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⑵</w:t>
            </w:r>
            <w:r>
              <w:rPr>
                <w:rFonts w:ascii="宋体" w:hAnsi="宋体" w:eastAsia="宋体" w:cs="宋体"/>
                <w:szCs w:val="21"/>
              </w:rPr>
              <w:fldChar w:fldCharType="end"/>
            </w:r>
            <w:r>
              <w:rPr>
                <w:rFonts w:hint="eastAsia" w:ascii="宋体" w:hAnsi="宋体" w:eastAsia="宋体" w:cs="宋体"/>
                <w:szCs w:val="21"/>
              </w:rPr>
              <w:t>了解《受活》的寓言化写作与“荒诞现实主义”特点</w:t>
            </w:r>
          </w:p>
          <w:p w14:paraId="1BF08379">
            <w:pPr>
              <w:ind w:firstLine="420" w:firstLineChars="200"/>
              <w:rPr>
                <w:rFonts w:hint="eastAsia" w:ascii="宋体" w:hAnsi="宋体" w:eastAsia="宋体" w:cs="Times New Roman"/>
                <w:szCs w:val="21"/>
              </w:rPr>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 3 \* GB2</w:instrText>
            </w:r>
            <w:r>
              <w:rPr>
                <w:rFonts w:ascii="宋体" w:hAnsi="宋体" w:eastAsia="宋体" w:cs="宋体"/>
                <w:szCs w:val="21"/>
              </w:rPr>
              <w:instrText xml:space="preserve"> </w:instrText>
            </w:r>
            <w:r>
              <w:rPr>
                <w:rFonts w:ascii="宋体" w:hAnsi="宋体" w:eastAsia="宋体" w:cs="宋体"/>
                <w:szCs w:val="21"/>
              </w:rPr>
              <w:fldChar w:fldCharType="separate"/>
            </w:r>
            <w:r>
              <w:rPr>
                <w:rFonts w:hint="eastAsia" w:ascii="宋体" w:hAnsi="宋体" w:eastAsia="宋体" w:cs="宋体"/>
                <w:szCs w:val="21"/>
              </w:rPr>
              <w:t>⑶</w:t>
            </w:r>
            <w:r>
              <w:rPr>
                <w:rFonts w:ascii="宋体" w:hAnsi="宋体" w:eastAsia="宋体" w:cs="宋体"/>
                <w:szCs w:val="21"/>
              </w:rPr>
              <w:fldChar w:fldCharType="end"/>
            </w:r>
            <w:r>
              <w:rPr>
                <w:rFonts w:hint="eastAsia" w:ascii="宋体" w:hAnsi="宋体" w:eastAsia="宋体" w:cs="宋体"/>
                <w:szCs w:val="21"/>
              </w:rPr>
              <w:t>了解阎连科小说的美学风貌——“接地气的想象”</w:t>
            </w:r>
          </w:p>
        </w:tc>
        <w:tc>
          <w:tcPr>
            <w:tcW w:w="1328" w:type="dxa"/>
            <w:vAlign w:val="center"/>
          </w:tcPr>
          <w:p w14:paraId="74F06922">
            <w:pPr>
              <w:jc w:val="left"/>
              <w:rPr>
                <w:rFonts w:hint="eastAsia" w:ascii="宋体" w:hAnsi="宋体" w:eastAsia="宋体" w:cs="Times New Roman"/>
                <w:szCs w:val="21"/>
              </w:rPr>
            </w:pPr>
            <w:r>
              <w:rPr>
                <w:rFonts w:ascii="宋体" w:hAnsi="宋体" w:eastAsia="宋体" w:cs="Times New Roman"/>
                <w:szCs w:val="21"/>
              </w:rPr>
              <w:t>1.线上学习</w:t>
            </w:r>
          </w:p>
          <w:p w14:paraId="45FE35B0">
            <w:pPr>
              <w:jc w:val="left"/>
              <w:rPr>
                <w:rFonts w:hint="eastAsia" w:ascii="宋体" w:hAnsi="宋体" w:eastAsia="宋体" w:cs="Times New Roman"/>
                <w:szCs w:val="21"/>
              </w:rPr>
            </w:pPr>
            <w:r>
              <w:rPr>
                <w:rFonts w:ascii="宋体" w:hAnsi="宋体" w:eastAsia="宋体" w:cs="Times New Roman"/>
                <w:szCs w:val="21"/>
              </w:rPr>
              <w:t>2.多媒体教学3.课堂讨论</w:t>
            </w:r>
          </w:p>
          <w:p w14:paraId="445E6FFD">
            <w:pPr>
              <w:jc w:val="left"/>
              <w:rPr>
                <w:rFonts w:hint="eastAsia" w:ascii="宋体" w:hAnsi="宋体" w:eastAsia="宋体" w:cs="Times New Roman"/>
                <w:szCs w:val="21"/>
              </w:rPr>
            </w:pPr>
            <w:r>
              <w:rPr>
                <w:rFonts w:ascii="宋体" w:hAnsi="宋体" w:eastAsia="宋体" w:cs="Times New Roman"/>
                <w:szCs w:val="21"/>
              </w:rPr>
              <w:t>4.单元测验</w:t>
            </w:r>
          </w:p>
        </w:tc>
        <w:tc>
          <w:tcPr>
            <w:tcW w:w="427" w:type="dxa"/>
            <w:vAlign w:val="center"/>
          </w:tcPr>
          <w:p w14:paraId="75FB0896">
            <w:pPr>
              <w:jc w:val="center"/>
              <w:rPr>
                <w:rFonts w:hint="eastAsia" w:ascii="宋体" w:hAnsi="宋体" w:eastAsia="宋体" w:cs="Times New Roman"/>
                <w:szCs w:val="21"/>
              </w:rPr>
            </w:pPr>
            <w:r>
              <w:rPr>
                <w:rFonts w:hint="eastAsia" w:ascii="宋体" w:hAnsi="宋体" w:eastAsia="宋体" w:cs="Times New Roman"/>
                <w:szCs w:val="21"/>
              </w:rPr>
              <w:t>4</w:t>
            </w:r>
          </w:p>
        </w:tc>
      </w:tr>
      <w:tr w14:paraId="3A00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 w:type="dxa"/>
            <w:vMerge w:val="continue"/>
            <w:vAlign w:val="center"/>
          </w:tcPr>
          <w:p w14:paraId="2708FC5E">
            <w:pPr>
              <w:jc w:val="center"/>
              <w:rPr>
                <w:rFonts w:hint="eastAsia" w:ascii="宋体" w:hAnsi="宋体" w:eastAsia="宋体" w:cs="Times New Roman"/>
                <w:szCs w:val="21"/>
              </w:rPr>
            </w:pPr>
          </w:p>
        </w:tc>
        <w:tc>
          <w:tcPr>
            <w:tcW w:w="8091" w:type="dxa"/>
            <w:gridSpan w:val="5"/>
            <w:vAlign w:val="center"/>
          </w:tcPr>
          <w:p w14:paraId="1EC656E6">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宋体"/>
                <w:szCs w:val="21"/>
              </w:rPr>
              <w:t>通过解读作品，帮助学生了解中国社会发展的苦难历程，加强革命文化和社会主义先进文化教育，引导学生厚植爱国主义情怀和社会主义使命感。</w:t>
            </w:r>
          </w:p>
        </w:tc>
      </w:tr>
    </w:tbl>
    <w:p w14:paraId="41D1EFA4">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2DE33B2C">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0161E39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1628"/>
        <w:gridCol w:w="1628"/>
        <w:gridCol w:w="1628"/>
        <w:gridCol w:w="1182"/>
      </w:tblGrid>
      <w:tr w14:paraId="658A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restart"/>
            <w:vAlign w:val="center"/>
          </w:tcPr>
          <w:p w14:paraId="23652B8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3168" w:type="dxa"/>
            <w:gridSpan w:val="3"/>
            <w:vAlign w:val="center"/>
          </w:tcPr>
          <w:p w14:paraId="7B44277F">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767" w:type="dxa"/>
            <w:vMerge w:val="restart"/>
            <w:vAlign w:val="center"/>
          </w:tcPr>
          <w:p w14:paraId="00AC1ABB">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31D3F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Merge w:val="continue"/>
            <w:vAlign w:val="center"/>
          </w:tcPr>
          <w:p w14:paraId="7E8285E7">
            <w:pPr>
              <w:spacing w:line="360" w:lineRule="auto"/>
              <w:jc w:val="center"/>
              <w:rPr>
                <w:rFonts w:hint="eastAsia" w:ascii="宋体" w:hAnsi="宋体" w:eastAsia="宋体" w:cs="Times New Roman"/>
                <w:szCs w:val="21"/>
              </w:rPr>
            </w:pPr>
          </w:p>
        </w:tc>
        <w:tc>
          <w:tcPr>
            <w:tcW w:w="1056" w:type="dxa"/>
            <w:vAlign w:val="center"/>
          </w:tcPr>
          <w:p w14:paraId="7057F3FD">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1056" w:type="dxa"/>
            <w:vAlign w:val="center"/>
          </w:tcPr>
          <w:p w14:paraId="79382186">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1056" w:type="dxa"/>
            <w:vAlign w:val="center"/>
          </w:tcPr>
          <w:p w14:paraId="796B122E">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767" w:type="dxa"/>
            <w:vMerge w:val="continue"/>
            <w:vAlign w:val="center"/>
          </w:tcPr>
          <w:p w14:paraId="1BA55C55">
            <w:pPr>
              <w:spacing w:line="360" w:lineRule="auto"/>
              <w:jc w:val="center"/>
              <w:rPr>
                <w:rFonts w:hint="eastAsia" w:ascii="宋体" w:hAnsi="宋体" w:eastAsia="宋体" w:cs="Times New Roman"/>
                <w:szCs w:val="21"/>
              </w:rPr>
            </w:pPr>
          </w:p>
        </w:tc>
      </w:tr>
      <w:tr w14:paraId="5EA1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2BFDAF9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056" w:type="dxa"/>
            <w:vAlign w:val="center"/>
          </w:tcPr>
          <w:p w14:paraId="3E45EDC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1BBFAE6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2393823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6CF719B2">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308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7D1604B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056" w:type="dxa"/>
            <w:vAlign w:val="center"/>
          </w:tcPr>
          <w:p w14:paraId="50C01CB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7519E3A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7D3F7BB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07794996">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5765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127886BB">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056" w:type="dxa"/>
            <w:vAlign w:val="center"/>
          </w:tcPr>
          <w:p w14:paraId="34D56F5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056" w:type="dxa"/>
            <w:vAlign w:val="center"/>
          </w:tcPr>
          <w:p w14:paraId="7B1DAB1B">
            <w:pPr>
              <w:spacing w:line="360" w:lineRule="auto"/>
              <w:jc w:val="center"/>
              <w:rPr>
                <w:rFonts w:hint="eastAsia" w:ascii="宋体" w:hAnsi="宋体" w:eastAsia="宋体" w:cs="Times New Roman"/>
                <w:szCs w:val="21"/>
              </w:rPr>
            </w:pPr>
          </w:p>
        </w:tc>
        <w:tc>
          <w:tcPr>
            <w:tcW w:w="1056" w:type="dxa"/>
            <w:vAlign w:val="center"/>
          </w:tcPr>
          <w:p w14:paraId="3C3A1BB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67" w:type="dxa"/>
            <w:vAlign w:val="center"/>
          </w:tcPr>
          <w:p w14:paraId="1C467E39">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14FD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4" w:type="dxa"/>
            <w:vAlign w:val="center"/>
          </w:tcPr>
          <w:p w14:paraId="59D9EB2F">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056" w:type="dxa"/>
            <w:vAlign w:val="center"/>
          </w:tcPr>
          <w:p w14:paraId="18205214">
            <w:pPr>
              <w:spacing w:line="360" w:lineRule="auto"/>
              <w:jc w:val="center"/>
              <w:rPr>
                <w:rFonts w:hint="eastAsia" w:ascii="宋体" w:hAnsi="宋体" w:eastAsia="宋体" w:cs="Times New Roman"/>
                <w:szCs w:val="21"/>
              </w:rPr>
            </w:pPr>
          </w:p>
        </w:tc>
        <w:tc>
          <w:tcPr>
            <w:tcW w:w="1056" w:type="dxa"/>
            <w:vAlign w:val="center"/>
          </w:tcPr>
          <w:p w14:paraId="2AF9813D">
            <w:pPr>
              <w:spacing w:line="360" w:lineRule="auto"/>
              <w:jc w:val="center"/>
              <w:rPr>
                <w:rFonts w:hint="eastAsia" w:ascii="宋体" w:hAnsi="宋体" w:eastAsia="宋体" w:cs="Times New Roman"/>
                <w:szCs w:val="21"/>
              </w:rPr>
            </w:pPr>
          </w:p>
        </w:tc>
        <w:tc>
          <w:tcPr>
            <w:tcW w:w="1056" w:type="dxa"/>
            <w:vAlign w:val="center"/>
          </w:tcPr>
          <w:p w14:paraId="40DFCEF0">
            <w:pPr>
              <w:spacing w:line="360" w:lineRule="auto"/>
              <w:jc w:val="center"/>
              <w:rPr>
                <w:rFonts w:hint="eastAsia" w:ascii="宋体" w:hAnsi="宋体" w:eastAsia="宋体" w:cs="Times New Roman"/>
                <w:szCs w:val="21"/>
              </w:rPr>
            </w:pPr>
          </w:p>
        </w:tc>
        <w:tc>
          <w:tcPr>
            <w:tcW w:w="767" w:type="dxa"/>
            <w:vAlign w:val="center"/>
          </w:tcPr>
          <w:p w14:paraId="6512957E">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6BA611F4">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D0BA74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706"/>
      </w:tblGrid>
      <w:tr w14:paraId="72C7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31DA03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4298521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68933791">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1E1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E7A59DF">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66D6A9B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平时作业共3次，一为读书笔记，学期初即提供阅读书目，要求每位学生至少选择一本认真阅读并作读书笔记，读书笔记完成情况将作为评分的主要依据。二为两次小论文，以小论文的规范性、逻辑性、创新性及整洁性为评分的主要依据。</w:t>
            </w:r>
          </w:p>
        </w:tc>
        <w:tc>
          <w:tcPr>
            <w:tcW w:w="0" w:type="auto"/>
            <w:vAlign w:val="center"/>
          </w:tcPr>
          <w:p w14:paraId="543A7686">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14:paraId="7E15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B761BD">
            <w:pPr>
              <w:rPr>
                <w:rFonts w:ascii="Times New Roman" w:hAnsi="Times New Roman" w:eastAsia="宋体" w:cs="Times New Roman"/>
                <w:szCs w:val="21"/>
              </w:rPr>
            </w:pPr>
            <w:r>
              <w:rPr>
                <w:rFonts w:hint="eastAsia" w:ascii="Times New Roman" w:hAnsi="Times New Roman" w:eastAsia="宋体" w:cs="Times New Roman"/>
                <w:szCs w:val="21"/>
              </w:rPr>
              <w:t>课堂表现</w:t>
            </w:r>
          </w:p>
        </w:tc>
        <w:tc>
          <w:tcPr>
            <w:tcW w:w="7141" w:type="dxa"/>
            <w:vAlign w:val="center"/>
          </w:tcPr>
          <w:p w14:paraId="062D4A1C">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一是课题考勤情况</w:t>
            </w:r>
            <w:r>
              <w:rPr>
                <w:rFonts w:ascii="宋体" w:hAnsi="宋体" w:eastAsia="宋体" w:cs="宋体"/>
                <w:kern w:val="0"/>
                <w:szCs w:val="21"/>
                <w:lang w:bidi="ar"/>
              </w:rPr>
              <w:t>。</w:t>
            </w:r>
            <w:r>
              <w:rPr>
                <w:rFonts w:hint="eastAsia" w:ascii="Times New Roman" w:hAnsi="Times New Roman" w:eastAsia="宋体" w:cs="Times New Roman"/>
                <w:szCs w:val="21"/>
              </w:rPr>
              <w:t>迟到一次扣2分，无故缺席一次扣5分，累计达</w:t>
            </w:r>
            <w:r>
              <w:rPr>
                <w:rFonts w:ascii="Times New Roman" w:hAnsi="Times New Roman" w:eastAsia="宋体" w:cs="Times New Roman"/>
                <w:szCs w:val="21"/>
              </w:rPr>
              <w:t>3</w:t>
            </w:r>
            <w:r>
              <w:rPr>
                <w:rFonts w:hint="eastAsia" w:ascii="Times New Roman" w:hAnsi="Times New Roman" w:eastAsia="宋体" w:cs="Times New Roman"/>
                <w:szCs w:val="21"/>
              </w:rPr>
              <w:t>次以上（不含</w:t>
            </w:r>
            <w:r>
              <w:rPr>
                <w:rFonts w:ascii="Times New Roman" w:hAnsi="Times New Roman" w:eastAsia="宋体" w:cs="Times New Roman"/>
                <w:szCs w:val="21"/>
              </w:rPr>
              <w:t>3</w:t>
            </w:r>
            <w:r>
              <w:rPr>
                <w:rFonts w:hint="eastAsia" w:ascii="Times New Roman" w:hAnsi="Times New Roman" w:eastAsia="宋体" w:cs="Times New Roman"/>
                <w:szCs w:val="21"/>
              </w:rPr>
              <w:t>次）取消课程成绩。</w:t>
            </w:r>
          </w:p>
          <w:p w14:paraId="1280BB5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二是</w:t>
            </w:r>
            <w:r>
              <w:rPr>
                <w:rFonts w:ascii="宋体" w:hAnsi="宋体" w:eastAsia="宋体" w:cs="宋体"/>
                <w:kern w:val="0"/>
                <w:szCs w:val="21"/>
                <w:lang w:bidi="ar"/>
              </w:rPr>
              <w:t>课堂参与</w:t>
            </w:r>
            <w:r>
              <w:rPr>
                <w:rFonts w:hint="eastAsia" w:ascii="宋体" w:hAnsi="宋体" w:eastAsia="宋体" w:cs="宋体"/>
                <w:kern w:val="0"/>
                <w:szCs w:val="21"/>
                <w:lang w:bidi="ar"/>
              </w:rPr>
              <w:t>情况。</w:t>
            </w:r>
            <w:r>
              <w:rPr>
                <w:rFonts w:ascii="宋体" w:hAnsi="宋体" w:eastAsia="宋体" w:cs="宋体"/>
                <w:kern w:val="0"/>
                <w:szCs w:val="21"/>
                <w:lang w:bidi="ar"/>
              </w:rPr>
              <w:t>主要指课上教师随机提问、组织课堂讨论等，观察学生参与程度</w:t>
            </w:r>
            <w:r>
              <w:rPr>
                <w:rFonts w:hint="eastAsia" w:ascii="宋体" w:hAnsi="宋体" w:eastAsia="宋体" w:cs="宋体"/>
                <w:kern w:val="0"/>
                <w:szCs w:val="21"/>
                <w:lang w:bidi="ar"/>
              </w:rPr>
              <w:t>，</w:t>
            </w:r>
            <w:r>
              <w:rPr>
                <w:rFonts w:ascii="宋体" w:hAnsi="宋体" w:eastAsia="宋体" w:cs="宋体"/>
                <w:kern w:val="0"/>
                <w:szCs w:val="21"/>
                <w:lang w:bidi="ar"/>
              </w:rPr>
              <w:t>表现良好，按照对应的课程目标及权重给予评定</w:t>
            </w:r>
            <w:r>
              <w:rPr>
                <w:rFonts w:hint="eastAsia" w:ascii="宋体" w:hAnsi="宋体" w:eastAsia="宋体" w:cs="宋体"/>
                <w:kern w:val="0"/>
                <w:szCs w:val="21"/>
                <w:lang w:bidi="ar"/>
              </w:rPr>
              <w:t>。</w:t>
            </w:r>
          </w:p>
        </w:tc>
        <w:tc>
          <w:tcPr>
            <w:tcW w:w="0" w:type="auto"/>
            <w:vAlign w:val="center"/>
          </w:tcPr>
          <w:p w14:paraId="6FA0922F">
            <w:pPr>
              <w:jc w:val="center"/>
              <w:rPr>
                <w:rFonts w:ascii="Times New Roman" w:hAnsi="Times New Roman" w:eastAsia="宋体" w:cs="Times New Roman"/>
                <w:szCs w:val="21"/>
              </w:rPr>
            </w:pPr>
            <w:r>
              <w:rPr>
                <w:rFonts w:hint="eastAsia" w:ascii="Times New Roman" w:hAnsi="Times New Roman" w:eastAsia="宋体" w:cs="Times New Roman"/>
                <w:szCs w:val="21"/>
              </w:rPr>
              <w:t>25%</w:t>
            </w:r>
          </w:p>
        </w:tc>
      </w:tr>
      <w:tr w14:paraId="362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79970AB">
            <w:pPr>
              <w:rPr>
                <w:rFonts w:ascii="Times New Roman" w:hAnsi="Times New Roman" w:eastAsia="宋体" w:cs="Times New Roman"/>
                <w:szCs w:val="21"/>
              </w:rPr>
            </w:pPr>
            <w:r>
              <w:rPr>
                <w:rFonts w:hint="eastAsia" w:ascii="Times New Roman" w:hAnsi="Times New Roman" w:eastAsia="宋体" w:cs="Times New Roman"/>
                <w:szCs w:val="21"/>
              </w:rPr>
              <w:t>期末考试</w:t>
            </w:r>
          </w:p>
        </w:tc>
        <w:tc>
          <w:tcPr>
            <w:tcW w:w="7141" w:type="dxa"/>
            <w:vAlign w:val="center"/>
          </w:tcPr>
          <w:p w14:paraId="2483FEA7">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试卷题型包括</w:t>
            </w:r>
            <w:r>
              <w:rPr>
                <w:rFonts w:hint="eastAsia" w:ascii="Times New Roman" w:hAnsi="Times New Roman" w:eastAsia="宋体" w:cs="Times New Roman"/>
                <w:szCs w:val="21"/>
              </w:rPr>
              <w:t>选择题</w:t>
            </w:r>
            <w:r>
              <w:rPr>
                <w:rFonts w:ascii="Times New Roman" w:hAnsi="Times New Roman" w:eastAsia="宋体" w:cs="Times New Roman"/>
                <w:szCs w:val="21"/>
              </w:rPr>
              <w:t>、</w:t>
            </w:r>
            <w:r>
              <w:rPr>
                <w:rFonts w:hint="eastAsia" w:ascii="Times New Roman" w:hAnsi="Times New Roman" w:eastAsia="宋体" w:cs="Times New Roman"/>
                <w:szCs w:val="21"/>
              </w:rPr>
              <w:t>辨析</w:t>
            </w:r>
            <w:r>
              <w:rPr>
                <w:rFonts w:ascii="Times New Roman" w:hAnsi="Times New Roman" w:eastAsia="宋体" w:cs="Times New Roman"/>
                <w:szCs w:val="21"/>
              </w:rPr>
              <w:t>、</w:t>
            </w:r>
            <w:r>
              <w:rPr>
                <w:rFonts w:hint="eastAsia" w:ascii="Times New Roman" w:hAnsi="Times New Roman" w:eastAsia="宋体" w:cs="Times New Roman"/>
                <w:szCs w:val="21"/>
              </w:rPr>
              <w:t>简答题、论述题</w:t>
            </w:r>
            <w:r>
              <w:rPr>
                <w:rFonts w:ascii="Times New Roman" w:hAnsi="Times New Roman" w:eastAsia="宋体" w:cs="Times New Roman"/>
                <w:szCs w:val="21"/>
              </w:rPr>
              <w:t>等，以卷面成绩的50%计入课程总成绩。其中考核</w:t>
            </w:r>
            <w:r>
              <w:rPr>
                <w:rFonts w:hint="eastAsia" w:ascii="Times New Roman" w:hAnsi="Times New Roman" w:eastAsia="宋体" w:cs="Times New Roman"/>
                <w:szCs w:val="21"/>
              </w:rPr>
              <w:t>教育基本理论和知识型题目占3</w:t>
            </w:r>
            <w:r>
              <w:rPr>
                <w:rFonts w:ascii="Times New Roman" w:hAnsi="Times New Roman" w:eastAsia="宋体" w:cs="Times New Roman"/>
                <w:szCs w:val="21"/>
              </w:rPr>
              <w:t>0</w:t>
            </w:r>
            <w:r>
              <w:rPr>
                <w:rFonts w:hint="eastAsia" w:ascii="Times New Roman" w:hAnsi="Times New Roman" w:eastAsia="宋体" w:cs="Times New Roman"/>
                <w:szCs w:val="21"/>
              </w:rPr>
              <w:t>%；考核学生运用基本理论知识进行分析能力的题型占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%；考核学生运用学与教的基本理论和知识进行教学设计的题型占</w:t>
            </w:r>
            <w:r>
              <w:rPr>
                <w:rFonts w:ascii="Times New Roman" w:hAnsi="Times New Roman" w:eastAsia="宋体" w:cs="Times New Roman"/>
                <w:szCs w:val="21"/>
              </w:rPr>
              <w:t>30</w:t>
            </w:r>
            <w:r>
              <w:rPr>
                <w:rFonts w:hint="eastAsia" w:ascii="Times New Roman" w:hAnsi="Times New Roman" w:eastAsia="宋体" w:cs="Times New Roman"/>
                <w:szCs w:val="21"/>
              </w:rPr>
              <w:t>%；考核学生初步研究能力的题型占1</w:t>
            </w:r>
            <w:r>
              <w:rPr>
                <w:rFonts w:ascii="Times New Roman" w:hAnsi="Times New Roman" w:eastAsia="宋体" w:cs="Times New Roman"/>
                <w:szCs w:val="21"/>
              </w:rPr>
              <w:t>0</w:t>
            </w:r>
            <w:r>
              <w:rPr>
                <w:rFonts w:hint="eastAsia" w:ascii="Times New Roman" w:hAnsi="Times New Roman" w:eastAsia="宋体" w:cs="Times New Roman"/>
                <w:szCs w:val="21"/>
              </w:rPr>
              <w:t>%。</w:t>
            </w:r>
          </w:p>
        </w:tc>
        <w:tc>
          <w:tcPr>
            <w:tcW w:w="0" w:type="auto"/>
            <w:vAlign w:val="center"/>
          </w:tcPr>
          <w:p w14:paraId="76CD1EC9">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1219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78FF284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0" w:type="auto"/>
            <w:vAlign w:val="center"/>
          </w:tcPr>
          <w:p w14:paraId="6FB9271F">
            <w:pPr>
              <w:jc w:val="left"/>
              <w:rPr>
                <w:rFonts w:ascii="Times New Roman" w:hAnsi="Times New Roman" w:eastAsia="宋体" w:cs="Times New Roman"/>
                <w:szCs w:val="21"/>
              </w:rPr>
            </w:pPr>
          </w:p>
        </w:tc>
        <w:tc>
          <w:tcPr>
            <w:tcW w:w="0" w:type="auto"/>
            <w:vAlign w:val="center"/>
          </w:tcPr>
          <w:p w14:paraId="2D1ECFDE">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C86A60D">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049D2E32">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1D01F62E">
      <w:pPr>
        <w:spacing w:line="360" w:lineRule="auto"/>
        <w:rPr>
          <w:rFonts w:ascii="Times New Roman" w:hAnsi="Times New Roman" w:eastAsia="宋体" w:cs="Times New Roman"/>
          <w:sz w:val="24"/>
        </w:rPr>
      </w:pPr>
      <w:r>
        <w:rPr>
          <w:rFonts w:ascii="宋体" w:hAnsi="宋体" w:eastAsia="宋体" w:cs="Times New Roman"/>
          <w:szCs w:val="21"/>
        </w:rPr>
        <w:object>
          <v:shape id="_x0000_i1079"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79" DrawAspect="Content" ObjectID="_1468075779" r:id="rId67">
            <o:LockedField>false</o:LockedField>
          </o:OLEObject>
        </w:object>
      </w:r>
    </w:p>
    <w:p w14:paraId="6F4DF728">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w:t>
      </w:r>
      <w:r>
        <w:rPr>
          <w:rFonts w:ascii="Times New Roman" w:hAnsi="Times New Roman" w:eastAsia="宋体" w:cs="Times New Roman"/>
          <w:b/>
          <w:sz w:val="24"/>
        </w:rPr>
        <w:t>、</w:t>
      </w:r>
      <w:r>
        <w:rPr>
          <w:rFonts w:hint="eastAsia" w:ascii="Times New Roman" w:hAnsi="Times New Roman" w:eastAsia="宋体" w:cs="Times New Roman"/>
          <w:b/>
          <w:sz w:val="24"/>
        </w:rPr>
        <w:t>有关说明</w:t>
      </w:r>
    </w:p>
    <w:p w14:paraId="1D0FBF6E">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（一）持续改进</w:t>
      </w:r>
    </w:p>
    <w:p w14:paraId="002FA938">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本课程根据学生作业、课堂讨论情况和学生、教学督导等方面</w:t>
      </w:r>
      <w:r>
        <w:rPr>
          <w:rFonts w:hint="eastAsia" w:ascii="宋体" w:hAnsi="宋体" w:eastAsia="宋体" w:cs="Times New Roman"/>
          <w:szCs w:val="21"/>
        </w:rPr>
        <w:t>的</w:t>
      </w:r>
      <w:r>
        <w:rPr>
          <w:rFonts w:ascii="宋体" w:hAnsi="宋体" w:eastAsia="宋体" w:cs="Times New Roman"/>
          <w:szCs w:val="21"/>
        </w:rPr>
        <w:t>反馈意见及时对教学中</w:t>
      </w:r>
      <w:r>
        <w:rPr>
          <w:rFonts w:hint="eastAsia" w:ascii="宋体" w:hAnsi="宋体" w:eastAsia="宋体" w:cs="Times New Roman"/>
          <w:szCs w:val="21"/>
        </w:rPr>
        <w:t>的</w:t>
      </w:r>
      <w:r>
        <w:rPr>
          <w:rFonts w:ascii="宋体" w:hAnsi="宋体" w:eastAsia="宋体" w:cs="Times New Roman"/>
          <w:szCs w:val="21"/>
        </w:rPr>
        <w:t>不足之处进行改进，并在下一轮课程教学中</w:t>
      </w:r>
      <w:r>
        <w:rPr>
          <w:rFonts w:hint="eastAsia" w:ascii="宋体" w:hAnsi="宋体" w:eastAsia="宋体" w:cs="Times New Roman"/>
          <w:szCs w:val="21"/>
        </w:rPr>
        <w:t>整改完善</w:t>
      </w:r>
      <w:r>
        <w:rPr>
          <w:rFonts w:ascii="宋体" w:hAnsi="宋体" w:eastAsia="宋体" w:cs="Times New Roman"/>
          <w:szCs w:val="21"/>
        </w:rPr>
        <w:t>，确保相应毕业要求指标点达成。</w:t>
      </w:r>
    </w:p>
    <w:p w14:paraId="3F7B7D0B">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（二）</w:t>
      </w:r>
      <w:r>
        <w:rPr>
          <w:rFonts w:ascii="宋体" w:hAnsi="宋体" w:eastAsia="宋体" w:cs="Times New Roman"/>
          <w:b/>
          <w:szCs w:val="21"/>
        </w:rPr>
        <w:t>参考书目及学习资料</w:t>
      </w:r>
    </w:p>
    <w:p w14:paraId="7F78F592">
      <w:pPr>
        <w:spacing w:line="360" w:lineRule="auto"/>
        <w:ind w:firstLine="420" w:firstLineChars="200"/>
        <w:rPr>
          <w:rFonts w:hint="eastAsia" w:ascii="宋体" w:hAnsi="宋体" w:eastAsia="宋体" w:cs="Times New Roman"/>
          <w:szCs w:val="21"/>
        </w:rPr>
      </w:pPr>
      <w:r>
        <w:rPr>
          <w:rFonts w:hint="eastAsia" w:ascii="宋体" w:hAnsi="宋体" w:eastAsia="宋体" w:cs="宋体"/>
          <w:szCs w:val="21"/>
        </w:rPr>
        <w:t>夏志清：《中国现代小说史》，复旦大学出版社，</w:t>
      </w:r>
      <w:r>
        <w:rPr>
          <w:rFonts w:ascii="宋体" w:hAnsi="宋体" w:eastAsia="宋体" w:cs="宋体"/>
          <w:szCs w:val="21"/>
        </w:rPr>
        <w:t>2005</w:t>
      </w:r>
      <w:r>
        <w:rPr>
          <w:rFonts w:hint="eastAsia" w:ascii="宋体" w:hAnsi="宋体" w:eastAsia="宋体" w:cs="宋体"/>
          <w:szCs w:val="21"/>
        </w:rPr>
        <w:t>年版。</w:t>
      </w:r>
    </w:p>
    <w:p w14:paraId="5E71E3D0">
      <w:pPr>
        <w:spacing w:line="360" w:lineRule="auto"/>
        <w:ind w:right="1320" w:firstLine="4320"/>
        <w:jc w:val="right"/>
        <w:rPr>
          <w:rFonts w:hint="eastAsia" w:ascii="宋体" w:hAnsi="宋体" w:eastAsia="宋体" w:cs="Times New Roman"/>
          <w:sz w:val="20"/>
          <w:szCs w:val="20"/>
        </w:rPr>
      </w:pPr>
      <w:r>
        <w:rPr>
          <w:rFonts w:hint="eastAsia" w:ascii="宋体" w:hAnsi="宋体" w:eastAsia="宋体" w:cs="Times New Roman"/>
          <w:sz w:val="20"/>
          <w:szCs w:val="20"/>
        </w:rPr>
        <w:t>执笔人：钱亚玲</w:t>
      </w:r>
    </w:p>
    <w:p w14:paraId="523D937B">
      <w:pPr>
        <w:spacing w:line="360" w:lineRule="auto"/>
        <w:ind w:right="1320" w:firstLine="4320"/>
        <w:jc w:val="right"/>
        <w:rPr>
          <w:rFonts w:hint="eastAsia" w:ascii="宋体" w:hAnsi="宋体" w:eastAsia="宋体" w:cs="Times New Roman"/>
          <w:sz w:val="20"/>
          <w:szCs w:val="20"/>
        </w:rPr>
      </w:pPr>
      <w:r>
        <w:rPr>
          <w:rFonts w:hint="eastAsia" w:ascii="宋体" w:hAnsi="宋体" w:eastAsia="宋体" w:cs="Times New Roman"/>
          <w:sz w:val="20"/>
          <w:szCs w:val="20"/>
        </w:rPr>
        <w:t>审定人：曹子男</w:t>
      </w:r>
    </w:p>
    <w:p w14:paraId="1F4FA542">
      <w:pPr>
        <w:spacing w:line="360" w:lineRule="auto"/>
        <w:ind w:right="1320" w:firstLine="4320"/>
        <w:jc w:val="right"/>
        <w:rPr>
          <w:rFonts w:hint="eastAsia" w:ascii="宋体" w:hAnsi="宋体" w:eastAsia="宋体" w:cs="Times New Roman"/>
          <w:sz w:val="20"/>
          <w:szCs w:val="20"/>
        </w:rPr>
      </w:pPr>
      <w:r>
        <w:rPr>
          <w:rFonts w:hint="eastAsia" w:ascii="宋体" w:hAnsi="宋体" w:eastAsia="宋体" w:cs="Times New Roman"/>
          <w:sz w:val="20"/>
          <w:szCs w:val="20"/>
        </w:rPr>
        <w:t>审批人：岳  芬</w:t>
      </w:r>
    </w:p>
    <w:p w14:paraId="4D83AB12">
      <w:pPr>
        <w:widowControl/>
        <w:jc w:val="left"/>
        <w:rPr>
          <w:rFonts w:hint="eastAsia" w:ascii="宋体" w:hAnsi="宋体" w:eastAsia="宋体" w:cs="宋体"/>
          <w:sz w:val="24"/>
          <w:szCs w:val="22"/>
        </w:rPr>
      </w:pPr>
      <w:r>
        <w:rPr>
          <w:rFonts w:hint="eastAsia" w:ascii="等线" w:hAnsi="等线" w:eastAsia="等线" w:cs="等线"/>
          <w:sz w:val="20"/>
          <w:szCs w:val="20"/>
        </w:rPr>
        <w:t xml:space="preserve">                                                     批准时间：2025年7月1日</w:t>
      </w:r>
      <w:r>
        <w:rPr>
          <w:rFonts w:ascii="宋体" w:hAnsi="宋体" w:eastAsia="宋体" w:cs="宋体"/>
          <w:sz w:val="24"/>
          <w:szCs w:val="22"/>
        </w:rPr>
        <w:br w:type="page"/>
      </w:r>
    </w:p>
    <w:p w14:paraId="4F46A010">
      <w:pPr>
        <w:spacing w:line="360" w:lineRule="auto"/>
        <w:jc w:val="center"/>
        <w:outlineLvl w:val="0"/>
        <w:rPr>
          <w:rFonts w:ascii="Times New Roman" w:hAnsi="Times New Roman" w:eastAsia="宋体" w:cs="Times New Roman"/>
          <w:b/>
          <w:sz w:val="40"/>
          <w:szCs w:val="40"/>
        </w:rPr>
      </w:pPr>
      <w:bookmarkStart w:id="1802" w:name="_Toc28317"/>
      <w:bookmarkStart w:id="1803" w:name="_Toc29492"/>
      <w:bookmarkStart w:id="1804" w:name="_Toc10695"/>
      <w:bookmarkStart w:id="1805" w:name="_Toc3382"/>
      <w:r>
        <w:rPr>
          <w:rFonts w:hint="eastAsia" w:ascii="Times New Roman" w:hAnsi="Times New Roman" w:eastAsia="宋体" w:cs="Times New Roman"/>
          <w:b/>
          <w:sz w:val="40"/>
          <w:szCs w:val="40"/>
        </w:rPr>
        <w:t>《小学道德与法治教学案例研究》课程教学大纲</w:t>
      </w:r>
      <w:bookmarkEnd w:id="1802"/>
      <w:bookmarkEnd w:id="1803"/>
      <w:bookmarkEnd w:id="1804"/>
      <w:bookmarkEnd w:id="1805"/>
    </w:p>
    <w:p w14:paraId="63776D70">
      <w:pPr>
        <w:spacing w:line="360" w:lineRule="auto"/>
        <w:jc w:val="center"/>
        <w:rPr>
          <w:rFonts w:ascii="Times New Roman" w:hAnsi="Times New Roman" w:eastAsia="宋体" w:cs="Times New Roman"/>
          <w:b/>
          <w:bCs/>
          <w:sz w:val="28"/>
          <w:szCs w:val="28"/>
        </w:rPr>
      </w:pPr>
      <w:bookmarkStart w:id="1806" w:name="_Toc18093"/>
      <w:bookmarkStart w:id="1807" w:name="_Toc5825"/>
      <w:bookmarkStart w:id="1808" w:name="_Toc4279"/>
      <w:bookmarkStart w:id="1809" w:name="_Toc29194"/>
      <w:bookmarkStart w:id="1810" w:name="_Toc19776"/>
      <w:bookmarkStart w:id="1811" w:name="_Toc29577"/>
      <w:bookmarkStart w:id="1812" w:name="_Toc24217"/>
      <w:r>
        <w:rPr>
          <w:rFonts w:hint="eastAsia" w:ascii="Times New Roman" w:hAnsi="Times New Roman" w:eastAsia="宋体" w:cs="Times New Roman"/>
          <w:b/>
          <w:bCs/>
          <w:sz w:val="28"/>
          <w:szCs w:val="28"/>
        </w:rPr>
        <w:t>（</w:t>
      </w:r>
      <w:r>
        <w:rPr>
          <w:rFonts w:ascii="Times New Roman" w:hAnsi="Times New Roman" w:eastAsia="宋体" w:cs="Times New Roman"/>
          <w:b/>
          <w:bCs/>
          <w:sz w:val="28"/>
          <w:szCs w:val="28"/>
        </w:rPr>
        <w:t>Case Study of Moral and Rule of Law Teaching in Primary Schools</w:t>
      </w:r>
      <w:r>
        <w:rPr>
          <w:rFonts w:hint="eastAsia" w:ascii="Times New Roman" w:hAnsi="Times New Roman" w:eastAsia="宋体" w:cs="Times New Roman"/>
          <w:b/>
          <w:bCs/>
          <w:sz w:val="28"/>
          <w:szCs w:val="28"/>
        </w:rPr>
        <w:t>）</w:t>
      </w:r>
      <w:bookmarkEnd w:id="1806"/>
      <w:bookmarkEnd w:id="1807"/>
      <w:bookmarkEnd w:id="1808"/>
      <w:bookmarkEnd w:id="1809"/>
      <w:bookmarkEnd w:id="1810"/>
      <w:bookmarkEnd w:id="1811"/>
      <w:bookmarkEnd w:id="1812"/>
    </w:p>
    <w:p w14:paraId="77AE438A">
      <w:pPr>
        <w:spacing w:line="360" w:lineRule="auto"/>
        <w:ind w:firstLine="422" w:firstLineChars="200"/>
        <w:rPr>
          <w:rFonts w:hint="eastAsia" w:ascii="宋体" w:hAnsi="宋体" w:eastAsia="宋体" w:cs="Times New Roman"/>
          <w:b/>
          <w:szCs w:val="21"/>
        </w:rPr>
      </w:pPr>
    </w:p>
    <w:p w14:paraId="73620DE0">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课程名称：小学道德与法治教学案例研究</w:t>
      </w:r>
    </w:p>
    <w:p w14:paraId="13BB3740">
      <w:pPr>
        <w:spacing w:line="360" w:lineRule="auto"/>
        <w:ind w:firstLine="482" w:firstLineChars="200"/>
        <w:rPr>
          <w:rFonts w:hint="eastAsia" w:ascii="宋体" w:hAnsi="等线" w:eastAsia="宋体" w:cs="Times New Roman"/>
          <w:b/>
          <w:bCs/>
          <w:kern w:val="0"/>
          <w:sz w:val="24"/>
          <w:szCs w:val="22"/>
        </w:rPr>
      </w:pPr>
      <w:r>
        <w:rPr>
          <w:rFonts w:hint="eastAsia" w:ascii="宋体" w:hAnsi="宋体" w:eastAsia="宋体" w:cs="Times New Roman"/>
          <w:b/>
          <w:bCs/>
          <w:kern w:val="0"/>
          <w:sz w:val="24"/>
        </w:rPr>
        <w:t>课程代码：</w:t>
      </w:r>
      <w:r>
        <w:rPr>
          <w:rFonts w:ascii="宋体" w:hAnsi="宋体" w:eastAsia="宋体" w:cs="Times New Roman"/>
          <w:b/>
          <w:bCs/>
          <w:kern w:val="0"/>
          <w:sz w:val="24"/>
          <w:szCs w:val="22"/>
        </w:rPr>
        <w:t>2401070</w:t>
      </w:r>
    </w:p>
    <w:p w14:paraId="104342E2">
      <w:pPr>
        <w:spacing w:line="360" w:lineRule="auto"/>
        <w:ind w:firstLine="482" w:firstLineChars="200"/>
        <w:rPr>
          <w:rFonts w:hint="eastAsia" w:ascii="宋体" w:hAnsi="等线" w:eastAsia="宋体" w:cs="Times New Roman"/>
          <w:b/>
          <w:bCs/>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分：</w:t>
      </w:r>
      <w:r>
        <w:rPr>
          <w:rFonts w:ascii="宋体" w:hAnsi="宋体" w:eastAsia="宋体" w:cs="Times New Roman"/>
          <w:b/>
          <w:bCs/>
          <w:kern w:val="0"/>
          <w:sz w:val="24"/>
          <w:szCs w:val="22"/>
        </w:rPr>
        <w:t>2</w:t>
      </w:r>
    </w:p>
    <w:p w14:paraId="7F698727">
      <w:pPr>
        <w:spacing w:line="360" w:lineRule="auto"/>
        <w:ind w:firstLine="482" w:firstLineChars="200"/>
        <w:rPr>
          <w:rFonts w:hint="eastAsia" w:ascii="宋体" w:hAnsi="宋体" w:eastAsia="宋体" w:cs="Times New Roman"/>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时：</w:t>
      </w:r>
      <w:r>
        <w:rPr>
          <w:rFonts w:ascii="宋体" w:hAnsi="宋体" w:eastAsia="宋体" w:cs="Times New Roman"/>
          <w:b/>
          <w:bCs/>
          <w:kern w:val="0"/>
          <w:sz w:val="24"/>
        </w:rPr>
        <w:t>32</w:t>
      </w:r>
      <w:r>
        <w:rPr>
          <w:rFonts w:hint="eastAsia" w:ascii="宋体" w:hAnsi="宋体" w:eastAsia="宋体" w:cs="Times New Roman"/>
          <w:b/>
          <w:bCs/>
          <w:kern w:val="0"/>
          <w:sz w:val="24"/>
        </w:rPr>
        <w:t>（其中，讲授学时1</w:t>
      </w:r>
      <w:r>
        <w:rPr>
          <w:rFonts w:ascii="宋体" w:hAnsi="宋体" w:eastAsia="宋体" w:cs="Times New Roman"/>
          <w:b/>
          <w:bCs/>
          <w:kern w:val="0"/>
          <w:sz w:val="24"/>
        </w:rPr>
        <w:t>6</w:t>
      </w:r>
      <w:r>
        <w:rPr>
          <w:rFonts w:hint="eastAsia" w:ascii="宋体" w:hAnsi="宋体" w:eastAsia="宋体" w:cs="Times New Roman"/>
          <w:b/>
          <w:bCs/>
          <w:kern w:val="0"/>
          <w:sz w:val="24"/>
        </w:rPr>
        <w:t>，课内实践学时1</w:t>
      </w:r>
      <w:r>
        <w:rPr>
          <w:rFonts w:ascii="宋体" w:hAnsi="宋体" w:eastAsia="宋体" w:cs="Times New Roman"/>
          <w:b/>
          <w:bCs/>
          <w:kern w:val="0"/>
          <w:sz w:val="24"/>
        </w:rPr>
        <w:t>6</w:t>
      </w:r>
      <w:r>
        <w:rPr>
          <w:rFonts w:hint="eastAsia" w:ascii="宋体" w:hAnsi="宋体" w:eastAsia="宋体" w:cs="Times New Roman"/>
          <w:b/>
          <w:bCs/>
          <w:kern w:val="0"/>
          <w:sz w:val="24"/>
        </w:rPr>
        <w:t>）</w:t>
      </w:r>
    </w:p>
    <w:p w14:paraId="0E72E612">
      <w:pPr>
        <w:spacing w:line="360" w:lineRule="auto"/>
        <w:ind w:firstLine="482" w:firstLineChars="200"/>
        <w:jc w:val="left"/>
        <w:rPr>
          <w:rFonts w:hint="eastAsia" w:ascii="宋体" w:hAnsi="等线" w:eastAsia="宋体" w:cs="Times New Roman"/>
          <w:b/>
          <w:sz w:val="24"/>
          <w:szCs w:val="22"/>
        </w:rPr>
      </w:pPr>
      <w:r>
        <w:rPr>
          <w:rFonts w:hint="eastAsia" w:ascii="宋体" w:hAnsi="宋体" w:eastAsia="宋体" w:cs="Times New Roman"/>
          <w:b/>
          <w:bCs/>
          <w:kern w:val="0"/>
          <w:sz w:val="24"/>
        </w:rPr>
        <w:t>先修课程</w:t>
      </w:r>
      <w:r>
        <w:rPr>
          <w:rFonts w:hint="eastAsia" w:ascii="宋体" w:hAnsi="宋体" w:eastAsia="宋体" w:cs="Times New Roman"/>
          <w:b/>
          <w:kern w:val="0"/>
          <w:sz w:val="24"/>
        </w:rPr>
        <w:t>：小学道德与法治课程与教学论</w:t>
      </w:r>
    </w:p>
    <w:p w14:paraId="68F1009A">
      <w:pPr>
        <w:spacing w:line="360" w:lineRule="auto"/>
        <w:ind w:firstLine="482" w:firstLineChars="200"/>
        <w:rPr>
          <w:rFonts w:hint="eastAsia" w:ascii="宋体" w:hAnsi="等线" w:eastAsia="宋体" w:cs="Times New Roman"/>
          <w:kern w:val="0"/>
          <w:sz w:val="24"/>
        </w:rPr>
      </w:pPr>
      <w:r>
        <w:rPr>
          <w:rFonts w:hint="eastAsia" w:ascii="宋体" w:hAnsi="宋体" w:eastAsia="宋体" w:cs="Times New Roman"/>
          <w:b/>
          <w:bCs/>
          <w:kern w:val="0"/>
          <w:sz w:val="24"/>
        </w:rPr>
        <w:t>适用专业</w:t>
      </w:r>
      <w:r>
        <w:rPr>
          <w:rFonts w:hint="eastAsia" w:ascii="宋体" w:hAnsi="宋体" w:eastAsia="宋体" w:cs="Times New Roman"/>
          <w:b/>
          <w:kern w:val="0"/>
          <w:sz w:val="24"/>
        </w:rPr>
        <w:t>：</w:t>
      </w:r>
      <w:r>
        <w:rPr>
          <w:rFonts w:hint="eastAsia" w:ascii="宋体" w:hAnsi="宋体" w:eastAsia="宋体" w:cs="Times New Roman"/>
          <w:b/>
          <w:bCs/>
          <w:kern w:val="0"/>
          <w:sz w:val="24"/>
        </w:rPr>
        <w:t>小学教育（文）</w:t>
      </w:r>
    </w:p>
    <w:p w14:paraId="00B0F967">
      <w:pPr>
        <w:spacing w:before="62" w:beforeLines="20" w:after="62" w:afterLines="20" w:line="360" w:lineRule="auto"/>
        <w:jc w:val="left"/>
        <w:rPr>
          <w:rFonts w:ascii="Times New Roman" w:hAnsi="Times New Roman" w:eastAsia="宋体" w:cs="Times New Roman"/>
          <w:b/>
          <w:sz w:val="24"/>
        </w:rPr>
      </w:pPr>
      <w:bookmarkStart w:id="1813" w:name="_Toc12139"/>
      <w:bookmarkStart w:id="1814" w:name="_Toc1091"/>
      <w:bookmarkStart w:id="1815" w:name="_Toc19968"/>
      <w:bookmarkStart w:id="1816" w:name="_Toc5886"/>
      <w:bookmarkStart w:id="1817" w:name="_Toc26021"/>
      <w:bookmarkStart w:id="1818" w:name="_Toc11182"/>
      <w:bookmarkStart w:id="1819" w:name="_Toc13671"/>
      <w:r>
        <w:rPr>
          <w:rFonts w:hint="eastAsia" w:ascii="Times New Roman" w:hAnsi="Times New Roman" w:eastAsia="宋体" w:cs="Times New Roman"/>
          <w:b/>
          <w:sz w:val="24"/>
        </w:rPr>
        <w:t>一、课程简介</w:t>
      </w:r>
      <w:bookmarkEnd w:id="1813"/>
      <w:bookmarkEnd w:id="1814"/>
      <w:bookmarkEnd w:id="1815"/>
      <w:bookmarkEnd w:id="1816"/>
      <w:bookmarkEnd w:id="1817"/>
      <w:bookmarkEnd w:id="1818"/>
      <w:bookmarkEnd w:id="1819"/>
    </w:p>
    <w:p w14:paraId="205C95A6">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本课程是小学教育专业选修课程。课程的主要任务是通过研析小学道德与法治经典教学案例，组织小学道德与法治模拟教学等活动，帮助学生掌握小学道德与法治教学的基本规律、特点和方式方法，提高学生独立设计教学、反思教学的能力，培养学生主动的德育意识和开展小学生道德教育的能力，以及养成将理论学习与实际相结合的思维习惯，能主动分析和反思实践教学中的各种问题，提高教学研究能力。</w:t>
      </w:r>
    </w:p>
    <w:p w14:paraId="1AE5C1BF">
      <w:pPr>
        <w:spacing w:before="62" w:beforeLines="20" w:after="62" w:afterLines="20" w:line="360" w:lineRule="auto"/>
        <w:jc w:val="left"/>
        <w:rPr>
          <w:rFonts w:ascii="Times New Roman" w:hAnsi="Times New Roman" w:eastAsia="宋体" w:cs="Times New Roman"/>
          <w:b/>
          <w:sz w:val="24"/>
        </w:rPr>
      </w:pPr>
      <w:bookmarkStart w:id="1820" w:name="_Toc30878"/>
      <w:bookmarkStart w:id="1821" w:name="_Toc27298"/>
      <w:bookmarkStart w:id="1822" w:name="_Toc19884"/>
      <w:bookmarkStart w:id="1823" w:name="_Toc7640"/>
      <w:bookmarkStart w:id="1824" w:name="_Toc3066"/>
      <w:bookmarkStart w:id="1825" w:name="_Toc26707"/>
      <w:bookmarkStart w:id="1826" w:name="_Toc4386"/>
      <w:r>
        <w:rPr>
          <w:rFonts w:hint="eastAsia" w:ascii="Times New Roman" w:hAnsi="Times New Roman" w:eastAsia="宋体" w:cs="Times New Roman"/>
          <w:b/>
          <w:sz w:val="24"/>
        </w:rPr>
        <w:t>二、课程目标</w:t>
      </w:r>
      <w:bookmarkEnd w:id="1820"/>
      <w:bookmarkEnd w:id="1821"/>
      <w:bookmarkEnd w:id="1822"/>
      <w:bookmarkEnd w:id="1823"/>
      <w:bookmarkEnd w:id="1824"/>
      <w:bookmarkEnd w:id="1825"/>
      <w:bookmarkEnd w:id="1826"/>
    </w:p>
    <w:p w14:paraId="7B468374">
      <w:pPr>
        <w:spacing w:line="360" w:lineRule="auto"/>
        <w:ind w:firstLine="422" w:firstLineChars="200"/>
        <w:outlineLvl w:val="1"/>
        <w:rPr>
          <w:rFonts w:hint="eastAsia" w:ascii="宋体" w:hAnsi="等线" w:eastAsia="宋体" w:cs="Times New Roman"/>
          <w:b/>
          <w:szCs w:val="20"/>
        </w:rPr>
      </w:pPr>
      <w:bookmarkStart w:id="1827" w:name="_Toc14840"/>
      <w:r>
        <w:rPr>
          <w:rFonts w:hint="eastAsia" w:ascii="宋体" w:hAnsi="宋体" w:eastAsia="宋体" w:cs="Times New Roman"/>
          <w:b/>
          <w:szCs w:val="20"/>
        </w:rPr>
        <w:t>（一）课程具体目标</w:t>
      </w:r>
      <w:bookmarkEnd w:id="1827"/>
    </w:p>
    <w:p w14:paraId="5B2DF123">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目标</w:t>
      </w:r>
      <w:r>
        <w:rPr>
          <w:rFonts w:ascii="宋体" w:hAnsi="宋体" w:eastAsia="宋体" w:cs="Times New Roman"/>
          <w:sz w:val="24"/>
          <w:szCs w:val="22"/>
        </w:rPr>
        <w:t>1.</w:t>
      </w:r>
      <w:r>
        <w:rPr>
          <w:rFonts w:hint="eastAsia" w:ascii="宋体" w:hAnsi="宋体" w:eastAsia="宋体" w:cs="Times New Roman"/>
          <w:sz w:val="24"/>
          <w:szCs w:val="22"/>
        </w:rPr>
        <w:t>进一步认识小学道德与法治课程的性质、目的、任务和根本特点，熟悉小学道德与法治教学的基本要求与流程。</w:t>
      </w:r>
    </w:p>
    <w:p w14:paraId="0C88B4D8">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目标</w:t>
      </w:r>
      <w:r>
        <w:rPr>
          <w:rFonts w:ascii="宋体" w:hAnsi="宋体" w:eastAsia="宋体" w:cs="Times New Roman"/>
          <w:sz w:val="24"/>
          <w:szCs w:val="22"/>
        </w:rPr>
        <w:t>2.</w:t>
      </w:r>
      <w:r>
        <w:rPr>
          <w:rFonts w:hint="eastAsia" w:ascii="宋体" w:hAnsi="宋体" w:eastAsia="宋体" w:cs="Times New Roman"/>
          <w:sz w:val="24"/>
          <w:szCs w:val="22"/>
        </w:rPr>
        <w:t>掌握小学道德与法治基本的教学主题，熟悉课程标准，明确教学目标设计要求。</w:t>
      </w:r>
    </w:p>
    <w:p w14:paraId="738E6FDF">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目标</w:t>
      </w:r>
      <w:r>
        <w:rPr>
          <w:rFonts w:ascii="宋体" w:hAnsi="宋体" w:eastAsia="宋体" w:cs="Times New Roman"/>
          <w:sz w:val="24"/>
          <w:szCs w:val="22"/>
        </w:rPr>
        <w:t>3.</w:t>
      </w:r>
      <w:r>
        <w:rPr>
          <w:rFonts w:hint="eastAsia" w:ascii="宋体" w:hAnsi="宋体" w:eastAsia="宋体" w:cs="Times New Roman"/>
          <w:sz w:val="24"/>
          <w:szCs w:val="22"/>
        </w:rPr>
        <w:t>掌握小学道德与法治教学过程的组织、实施等环节，有独立开展教学和分析教学的能力。</w:t>
      </w:r>
    </w:p>
    <w:p w14:paraId="3A66C110">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目标4</w:t>
      </w:r>
      <w:r>
        <w:rPr>
          <w:rFonts w:ascii="宋体" w:hAnsi="宋体" w:eastAsia="宋体" w:cs="Times New Roman"/>
          <w:sz w:val="24"/>
          <w:szCs w:val="22"/>
        </w:rPr>
        <w:t>.</w:t>
      </w:r>
      <w:r>
        <w:rPr>
          <w:rFonts w:hint="eastAsia" w:ascii="宋体" w:hAnsi="宋体" w:eastAsia="宋体" w:cs="Times New Roman"/>
          <w:sz w:val="24"/>
          <w:szCs w:val="22"/>
        </w:rPr>
        <w:t>掌握小学道德与法治主要教学方法，具备拓展资源的意识，会创造性的设计适宜的教学过程。</w:t>
      </w:r>
    </w:p>
    <w:p w14:paraId="130950D1">
      <w:pPr>
        <w:spacing w:line="360" w:lineRule="auto"/>
        <w:ind w:firstLine="480" w:firstLineChars="200"/>
        <w:rPr>
          <w:rFonts w:hint="eastAsia" w:ascii="宋体" w:hAnsi="宋体" w:eastAsia="宋体" w:cs="Times New Roman"/>
          <w:sz w:val="24"/>
          <w:szCs w:val="22"/>
        </w:rPr>
      </w:pPr>
      <w:r>
        <w:rPr>
          <w:rFonts w:hint="eastAsia" w:ascii="宋体" w:hAnsi="宋体" w:eastAsia="宋体" w:cs="Times New Roman"/>
          <w:sz w:val="24"/>
          <w:szCs w:val="22"/>
        </w:rPr>
        <w:t>目标</w:t>
      </w:r>
      <w:r>
        <w:rPr>
          <w:rFonts w:ascii="宋体" w:hAnsi="宋体" w:eastAsia="宋体" w:cs="Times New Roman"/>
          <w:sz w:val="24"/>
          <w:szCs w:val="22"/>
        </w:rPr>
        <w:t>5.</w:t>
      </w:r>
      <w:r>
        <w:rPr>
          <w:rFonts w:hint="eastAsia" w:ascii="宋体" w:hAnsi="宋体" w:eastAsia="宋体" w:cs="Times New Roman"/>
          <w:sz w:val="24"/>
          <w:szCs w:val="22"/>
        </w:rPr>
        <w:t>养成反思性学习的习惯，有研究教学和改进教学的意识。善于通过合作扩展对问题的认识深度。</w:t>
      </w:r>
    </w:p>
    <w:p w14:paraId="676E18C5">
      <w:pPr>
        <w:spacing w:line="360" w:lineRule="auto"/>
        <w:ind w:firstLine="422" w:firstLineChars="200"/>
        <w:outlineLvl w:val="1"/>
        <w:rPr>
          <w:rFonts w:hint="eastAsia" w:ascii="宋体" w:hAnsi="宋体" w:eastAsia="宋体" w:cs="Times New Roman"/>
          <w:b/>
          <w:szCs w:val="20"/>
        </w:rPr>
      </w:pPr>
      <w:bookmarkStart w:id="1828" w:name="_Toc31950"/>
      <w:r>
        <w:rPr>
          <w:rFonts w:hint="eastAsia" w:ascii="宋体" w:hAnsi="宋体" w:eastAsia="宋体" w:cs="Times New Roman"/>
          <w:b/>
          <w:szCs w:val="20"/>
        </w:rPr>
        <w:t>（二）课程目标与专业毕业要求的关系</w:t>
      </w:r>
      <w:bookmarkEnd w:id="1828"/>
    </w:p>
    <w:tbl>
      <w:tblPr>
        <w:tblStyle w:val="12"/>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6030"/>
        <w:gridCol w:w="1372"/>
      </w:tblGrid>
      <w:tr w14:paraId="0E76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454" w:type="dxa"/>
            <w:vAlign w:val="center"/>
          </w:tcPr>
          <w:p w14:paraId="05B93C46">
            <w:pPr>
              <w:spacing w:line="276" w:lineRule="auto"/>
              <w:jc w:val="center"/>
              <w:rPr>
                <w:rFonts w:hint="eastAsia" w:ascii="宋体" w:hAnsi="等线" w:eastAsia="宋体" w:cs="Times New Roman"/>
                <w:b/>
                <w:kern w:val="0"/>
                <w:sz w:val="24"/>
              </w:rPr>
            </w:pPr>
            <w:r>
              <w:rPr>
                <w:rFonts w:hint="eastAsia" w:ascii="宋体" w:hAnsi="等线" w:eastAsia="宋体" w:cs="Times New Roman"/>
                <w:b/>
                <w:kern w:val="0"/>
                <w:sz w:val="24"/>
              </w:rPr>
              <w:t>毕业要求</w:t>
            </w:r>
          </w:p>
        </w:tc>
        <w:tc>
          <w:tcPr>
            <w:tcW w:w="6030" w:type="dxa"/>
            <w:vAlign w:val="center"/>
          </w:tcPr>
          <w:p w14:paraId="2E4A02D3">
            <w:pPr>
              <w:spacing w:line="276" w:lineRule="auto"/>
              <w:jc w:val="center"/>
              <w:rPr>
                <w:rFonts w:hint="eastAsia" w:ascii="宋体" w:hAnsi="等线" w:eastAsia="宋体" w:cs="Times New Roman"/>
                <w:b/>
                <w:kern w:val="0"/>
                <w:sz w:val="24"/>
              </w:rPr>
            </w:pPr>
            <w:r>
              <w:rPr>
                <w:rFonts w:hint="eastAsia" w:ascii="宋体" w:hAnsi="等线" w:eastAsia="宋体" w:cs="Times New Roman"/>
                <w:b/>
                <w:kern w:val="0"/>
                <w:sz w:val="24"/>
              </w:rPr>
              <w:t>毕业要求指标点</w:t>
            </w:r>
          </w:p>
        </w:tc>
        <w:tc>
          <w:tcPr>
            <w:tcW w:w="1372" w:type="dxa"/>
            <w:vAlign w:val="center"/>
          </w:tcPr>
          <w:p w14:paraId="685B37BC">
            <w:pPr>
              <w:spacing w:line="276" w:lineRule="auto"/>
              <w:jc w:val="center"/>
              <w:rPr>
                <w:rFonts w:hint="eastAsia" w:ascii="宋体" w:hAnsi="等线" w:eastAsia="宋体" w:cs="Times New Roman"/>
                <w:b/>
                <w:kern w:val="0"/>
                <w:sz w:val="24"/>
              </w:rPr>
            </w:pPr>
            <w:r>
              <w:rPr>
                <w:rFonts w:hint="eastAsia" w:ascii="宋体" w:hAnsi="等线" w:eastAsia="宋体" w:cs="Times New Roman"/>
                <w:b/>
                <w:kern w:val="0"/>
                <w:sz w:val="24"/>
              </w:rPr>
              <w:t>课程目标</w:t>
            </w:r>
          </w:p>
        </w:tc>
      </w:tr>
      <w:tr w14:paraId="2EA4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9" w:hRule="atLeast"/>
          <w:jc w:val="center"/>
        </w:trPr>
        <w:tc>
          <w:tcPr>
            <w:tcW w:w="1454" w:type="dxa"/>
            <w:vAlign w:val="center"/>
          </w:tcPr>
          <w:p w14:paraId="62F92C26">
            <w:pPr>
              <w:spacing w:line="276" w:lineRule="auto"/>
              <w:jc w:val="center"/>
              <w:rPr>
                <w:rFonts w:hint="eastAsia" w:asciiTheme="minorEastAsia" w:hAnsiTheme="minorEastAsia" w:cstheme="minorEastAsia"/>
                <w:b/>
                <w:kern w:val="0"/>
                <w:szCs w:val="21"/>
              </w:rPr>
            </w:pPr>
            <w:r>
              <w:rPr>
                <w:rFonts w:hint="eastAsia" w:asciiTheme="minorEastAsia" w:hAnsiTheme="minorEastAsia" w:cstheme="minorEastAsia"/>
                <w:b/>
                <w:kern w:val="0"/>
                <w:szCs w:val="21"/>
              </w:rPr>
              <w:t>毕业要求4</w:t>
            </w:r>
          </w:p>
          <w:p w14:paraId="0C1F9642">
            <w:pPr>
              <w:spacing w:line="276" w:lineRule="auto"/>
              <w:jc w:val="center"/>
              <w:rPr>
                <w:rFonts w:hint="eastAsia" w:asciiTheme="minorEastAsia" w:hAnsiTheme="minorEastAsia" w:cstheme="minorEastAsia"/>
                <w:b/>
                <w:kern w:val="0"/>
                <w:szCs w:val="21"/>
              </w:rPr>
            </w:pPr>
            <w:r>
              <w:rPr>
                <w:rFonts w:hint="eastAsia" w:asciiTheme="minorEastAsia" w:hAnsiTheme="minorEastAsia" w:cstheme="minorEastAsia"/>
                <w:b/>
                <w:kern w:val="0"/>
                <w:szCs w:val="21"/>
              </w:rPr>
              <w:t>教学能力</w:t>
            </w:r>
          </w:p>
        </w:tc>
        <w:tc>
          <w:tcPr>
            <w:tcW w:w="6030" w:type="dxa"/>
          </w:tcPr>
          <w:p w14:paraId="32D41D65">
            <w:pPr>
              <w:widowControl/>
              <w:jc w:val="left"/>
              <w:rPr>
                <w:rFonts w:hint="eastAsia" w:asciiTheme="minorEastAsia" w:hAnsiTheme="minorEastAsia" w:cstheme="minorEastAsia"/>
                <w:bCs/>
                <w:kern w:val="0"/>
                <w:sz w:val="20"/>
                <w:szCs w:val="20"/>
              </w:rPr>
            </w:pPr>
            <w:r>
              <w:rPr>
                <w:rFonts w:hint="eastAsia" w:asciiTheme="minorEastAsia" w:hAnsiTheme="minorEastAsia" w:cstheme="minorEastAsia"/>
                <w:b/>
                <w:bCs/>
                <w:kern w:val="0"/>
                <w:sz w:val="20"/>
                <w:szCs w:val="20"/>
              </w:rPr>
              <w:t>指标点4-1</w:t>
            </w:r>
            <w:r>
              <w:rPr>
                <w:rFonts w:hint="eastAsia" w:asciiTheme="minorEastAsia" w:hAnsiTheme="minorEastAsia" w:cstheme="minorEastAsia"/>
                <w:bCs/>
                <w:kern w:val="0"/>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p w14:paraId="0E78871B">
            <w:pPr>
              <w:widowControl/>
              <w:jc w:val="left"/>
              <w:rPr>
                <w:rFonts w:hint="eastAsia" w:asciiTheme="minorEastAsia" w:hAnsiTheme="minorEastAsia" w:cstheme="minorEastAsia"/>
                <w:bCs/>
                <w:kern w:val="0"/>
                <w:sz w:val="20"/>
                <w:szCs w:val="20"/>
              </w:rPr>
            </w:pPr>
            <w:r>
              <w:rPr>
                <w:rFonts w:hint="eastAsia" w:asciiTheme="minorEastAsia" w:hAnsiTheme="minorEastAsia" w:cstheme="minorEastAsia"/>
                <w:b/>
                <w:bCs/>
                <w:kern w:val="0"/>
                <w:sz w:val="20"/>
                <w:szCs w:val="20"/>
              </w:rPr>
              <w:t>指标点4-3</w:t>
            </w:r>
            <w:r>
              <w:rPr>
                <w:rFonts w:hint="eastAsia" w:asciiTheme="minorEastAsia" w:hAnsiTheme="minorEastAsia" w:cstheme="minorEastAsia"/>
                <w:bCs/>
                <w:kern w:val="0"/>
                <w:sz w:val="20"/>
                <w:szCs w:val="20"/>
              </w:rPr>
              <w:t>：【教学实施与评价科学】掌握小学教师基本功技能，包括书写技能、沟通与表达技能、信息技术运用技能等。获得全面的小学教学体验，掌握学科教学的基本方法与策略，能独立进行教学实施和评价。</w:t>
            </w:r>
          </w:p>
        </w:tc>
        <w:tc>
          <w:tcPr>
            <w:tcW w:w="1372" w:type="dxa"/>
            <w:vAlign w:val="center"/>
          </w:tcPr>
          <w:p w14:paraId="40E3E15D">
            <w:pPr>
              <w:spacing w:line="276" w:lineRule="auto"/>
              <w:jc w:val="center"/>
              <w:rPr>
                <w:rFonts w:hint="eastAsia" w:asciiTheme="minorEastAsia" w:hAnsiTheme="minorEastAsia" w:cstheme="minorEastAsia"/>
                <w:bCs/>
                <w:kern w:val="0"/>
                <w:sz w:val="20"/>
                <w:szCs w:val="20"/>
              </w:rPr>
            </w:pPr>
            <w:r>
              <w:rPr>
                <w:rFonts w:hint="eastAsia" w:asciiTheme="minorEastAsia" w:hAnsiTheme="minorEastAsia" w:cstheme="minorEastAsia"/>
                <w:bCs/>
                <w:kern w:val="0"/>
                <w:sz w:val="20"/>
                <w:szCs w:val="20"/>
              </w:rPr>
              <w:t>课程目标1</w:t>
            </w:r>
          </w:p>
          <w:p w14:paraId="01497C5D">
            <w:pPr>
              <w:spacing w:line="276" w:lineRule="auto"/>
              <w:jc w:val="center"/>
              <w:rPr>
                <w:rFonts w:hint="eastAsia" w:asciiTheme="minorEastAsia" w:hAnsiTheme="minorEastAsia" w:cstheme="minorEastAsia"/>
                <w:bCs/>
                <w:kern w:val="0"/>
                <w:sz w:val="20"/>
                <w:szCs w:val="20"/>
              </w:rPr>
            </w:pPr>
            <w:r>
              <w:rPr>
                <w:rFonts w:hint="eastAsia" w:asciiTheme="minorEastAsia" w:hAnsiTheme="minorEastAsia" w:cstheme="minorEastAsia"/>
                <w:bCs/>
                <w:kern w:val="0"/>
                <w:sz w:val="20"/>
                <w:szCs w:val="20"/>
              </w:rPr>
              <w:t>课程目标2</w:t>
            </w:r>
          </w:p>
          <w:p w14:paraId="7B34AB83">
            <w:pPr>
              <w:spacing w:line="276" w:lineRule="auto"/>
              <w:jc w:val="center"/>
              <w:rPr>
                <w:rFonts w:hint="eastAsia" w:asciiTheme="minorEastAsia" w:hAnsiTheme="minorEastAsia" w:cstheme="minorEastAsia"/>
                <w:bCs/>
                <w:kern w:val="0"/>
                <w:sz w:val="20"/>
                <w:szCs w:val="20"/>
              </w:rPr>
            </w:pPr>
            <w:r>
              <w:rPr>
                <w:rFonts w:hint="eastAsia" w:asciiTheme="minorEastAsia" w:hAnsiTheme="minorEastAsia" w:cstheme="minorEastAsia"/>
                <w:bCs/>
                <w:kern w:val="0"/>
                <w:sz w:val="20"/>
                <w:szCs w:val="20"/>
              </w:rPr>
              <w:t>课程目标3</w:t>
            </w:r>
          </w:p>
        </w:tc>
      </w:tr>
      <w:tr w14:paraId="31AF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jc w:val="center"/>
        </w:trPr>
        <w:tc>
          <w:tcPr>
            <w:tcW w:w="1454" w:type="dxa"/>
            <w:vAlign w:val="center"/>
          </w:tcPr>
          <w:p w14:paraId="7FD2FC7B">
            <w:pPr>
              <w:spacing w:line="276" w:lineRule="auto"/>
              <w:jc w:val="center"/>
              <w:rPr>
                <w:rFonts w:hint="eastAsia" w:asciiTheme="minorEastAsia" w:hAnsiTheme="minorEastAsia" w:cstheme="minorEastAsia"/>
                <w:b/>
                <w:kern w:val="0"/>
                <w:szCs w:val="21"/>
              </w:rPr>
            </w:pPr>
            <w:r>
              <w:rPr>
                <w:rFonts w:hint="eastAsia" w:asciiTheme="minorEastAsia" w:hAnsiTheme="minorEastAsia" w:cstheme="minorEastAsia"/>
                <w:b/>
                <w:kern w:val="0"/>
                <w:szCs w:val="21"/>
              </w:rPr>
              <w:t>毕业要求6</w:t>
            </w:r>
          </w:p>
          <w:p w14:paraId="5C2D01DA">
            <w:pPr>
              <w:spacing w:line="276" w:lineRule="auto"/>
              <w:jc w:val="center"/>
              <w:rPr>
                <w:rFonts w:hint="eastAsia" w:asciiTheme="minorEastAsia" w:hAnsiTheme="minorEastAsia" w:cstheme="minorEastAsia"/>
                <w:b/>
                <w:kern w:val="0"/>
                <w:szCs w:val="21"/>
              </w:rPr>
            </w:pPr>
            <w:r>
              <w:rPr>
                <w:rFonts w:hint="eastAsia" w:asciiTheme="minorEastAsia" w:hAnsiTheme="minorEastAsia" w:cstheme="minorEastAsia"/>
                <w:b/>
                <w:kern w:val="0"/>
                <w:szCs w:val="21"/>
              </w:rPr>
              <w:t>综合育人</w:t>
            </w:r>
          </w:p>
        </w:tc>
        <w:tc>
          <w:tcPr>
            <w:tcW w:w="6030" w:type="dxa"/>
          </w:tcPr>
          <w:p w14:paraId="45ACFC1C">
            <w:pPr>
              <w:widowControl/>
              <w:jc w:val="left"/>
              <w:rPr>
                <w:rFonts w:hint="eastAsia" w:asciiTheme="minorEastAsia" w:hAnsiTheme="minorEastAsia" w:cstheme="minorEastAsia"/>
                <w:kern w:val="0"/>
                <w:sz w:val="20"/>
                <w:szCs w:val="20"/>
              </w:rPr>
            </w:pPr>
            <w:r>
              <w:rPr>
                <w:rFonts w:hint="eastAsia" w:ascii="宋体" w:hAnsi="宋体" w:cs="宋体"/>
                <w:b/>
                <w:kern w:val="0"/>
                <w:sz w:val="20"/>
                <w:szCs w:val="20"/>
              </w:rPr>
              <w:t>指标点6-2</w:t>
            </w:r>
            <w:r>
              <w:rPr>
                <w:rFonts w:hint="eastAsia" w:ascii="宋体" w:hAnsi="宋体" w:cs="宋体"/>
                <w:sz w:val="20"/>
                <w:szCs w:val="20"/>
              </w:rPr>
              <w:t>：【胜任学科育人】具有教书育人的意识，理解学科核心素养和拟任教学科课程独特的育人功能，在教育教学实践中，能够</w:t>
            </w:r>
            <w:r>
              <w:rPr>
                <w:rFonts w:hint="eastAsia" w:ascii="宋体" w:hAnsi="宋体" w:cs="宋体"/>
                <w:bCs/>
                <w:kern w:val="0"/>
                <w:sz w:val="20"/>
                <w:szCs w:val="20"/>
              </w:rPr>
              <w:t>结合课程内容与特点，挖掘课程的育人要素与资源，合理设计育人目标、主题、内容和活动，将知识学习、能力发展与品德养成有机结合。</w:t>
            </w:r>
          </w:p>
        </w:tc>
        <w:tc>
          <w:tcPr>
            <w:tcW w:w="1372" w:type="dxa"/>
            <w:vAlign w:val="center"/>
          </w:tcPr>
          <w:p w14:paraId="185097F0">
            <w:pPr>
              <w:spacing w:line="276" w:lineRule="auto"/>
              <w:jc w:val="center"/>
              <w:rPr>
                <w:rFonts w:hint="eastAsia" w:asciiTheme="minorEastAsia" w:hAnsiTheme="minorEastAsia" w:cstheme="minorEastAsia"/>
                <w:bCs/>
                <w:kern w:val="0"/>
                <w:sz w:val="20"/>
                <w:szCs w:val="20"/>
              </w:rPr>
            </w:pPr>
            <w:r>
              <w:rPr>
                <w:rFonts w:hint="eastAsia" w:asciiTheme="minorEastAsia" w:hAnsiTheme="minorEastAsia" w:cstheme="minorEastAsia"/>
                <w:bCs/>
                <w:kern w:val="0"/>
                <w:sz w:val="20"/>
                <w:szCs w:val="20"/>
              </w:rPr>
              <w:t>课程目标2</w:t>
            </w:r>
          </w:p>
          <w:p w14:paraId="66E19CE4">
            <w:pPr>
              <w:spacing w:line="276" w:lineRule="auto"/>
              <w:jc w:val="center"/>
              <w:rPr>
                <w:rFonts w:hint="eastAsia" w:asciiTheme="minorEastAsia" w:hAnsiTheme="minorEastAsia" w:cstheme="minorEastAsia"/>
                <w:bCs/>
                <w:kern w:val="0"/>
                <w:sz w:val="20"/>
                <w:szCs w:val="20"/>
              </w:rPr>
            </w:pPr>
            <w:r>
              <w:rPr>
                <w:rFonts w:hint="eastAsia" w:asciiTheme="minorEastAsia" w:hAnsiTheme="minorEastAsia" w:cstheme="minorEastAsia"/>
                <w:bCs/>
                <w:kern w:val="0"/>
                <w:sz w:val="20"/>
                <w:szCs w:val="20"/>
              </w:rPr>
              <w:t>课程目标3</w:t>
            </w:r>
          </w:p>
          <w:p w14:paraId="784CB456">
            <w:pPr>
              <w:spacing w:line="276" w:lineRule="auto"/>
              <w:jc w:val="center"/>
              <w:rPr>
                <w:rFonts w:hint="eastAsia" w:asciiTheme="minorEastAsia" w:hAnsiTheme="minorEastAsia" w:cstheme="minorEastAsia"/>
                <w:bCs/>
                <w:kern w:val="0"/>
                <w:sz w:val="20"/>
                <w:szCs w:val="20"/>
              </w:rPr>
            </w:pPr>
            <w:r>
              <w:rPr>
                <w:rFonts w:hint="eastAsia" w:asciiTheme="minorEastAsia" w:hAnsiTheme="minorEastAsia" w:cstheme="minorEastAsia"/>
                <w:bCs/>
                <w:kern w:val="0"/>
                <w:sz w:val="20"/>
                <w:szCs w:val="20"/>
              </w:rPr>
              <w:t>课程目标4</w:t>
            </w:r>
          </w:p>
        </w:tc>
      </w:tr>
      <w:tr w14:paraId="5D4B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1454" w:type="dxa"/>
            <w:vAlign w:val="center"/>
          </w:tcPr>
          <w:p w14:paraId="2A88C6DB">
            <w:pPr>
              <w:spacing w:line="276" w:lineRule="auto"/>
              <w:jc w:val="center"/>
              <w:rPr>
                <w:rFonts w:hint="eastAsia" w:asciiTheme="minorEastAsia" w:hAnsiTheme="minorEastAsia" w:cstheme="minorEastAsia"/>
                <w:b/>
                <w:kern w:val="0"/>
                <w:szCs w:val="21"/>
              </w:rPr>
            </w:pPr>
            <w:r>
              <w:rPr>
                <w:rFonts w:hint="eastAsia" w:asciiTheme="minorEastAsia" w:hAnsiTheme="minorEastAsia" w:cstheme="minorEastAsia"/>
                <w:b/>
                <w:kern w:val="0"/>
                <w:szCs w:val="21"/>
              </w:rPr>
              <w:t>毕业要求7</w:t>
            </w:r>
          </w:p>
          <w:p w14:paraId="5C4180BF">
            <w:pPr>
              <w:spacing w:line="276" w:lineRule="auto"/>
              <w:jc w:val="center"/>
              <w:rPr>
                <w:rFonts w:hint="eastAsia" w:asciiTheme="minorEastAsia" w:hAnsiTheme="minorEastAsia" w:cstheme="minorEastAsia"/>
                <w:b/>
                <w:kern w:val="0"/>
                <w:szCs w:val="21"/>
              </w:rPr>
            </w:pPr>
            <w:r>
              <w:rPr>
                <w:rFonts w:hint="eastAsia" w:asciiTheme="minorEastAsia" w:hAnsiTheme="minorEastAsia" w:cstheme="minorEastAsia"/>
                <w:b/>
                <w:kern w:val="0"/>
                <w:szCs w:val="21"/>
              </w:rPr>
              <w:t>学会反思</w:t>
            </w:r>
          </w:p>
        </w:tc>
        <w:tc>
          <w:tcPr>
            <w:tcW w:w="6030" w:type="dxa"/>
            <w:vAlign w:val="center"/>
          </w:tcPr>
          <w:p w14:paraId="57F4FA46">
            <w:pPr>
              <w:spacing w:line="276" w:lineRule="auto"/>
              <w:rPr>
                <w:rFonts w:hint="eastAsia" w:asciiTheme="minorEastAsia" w:hAnsiTheme="minorEastAsia" w:cstheme="minorEastAsia"/>
                <w:bCs/>
                <w:kern w:val="0"/>
                <w:sz w:val="20"/>
                <w:szCs w:val="20"/>
              </w:rPr>
            </w:pPr>
            <w:r>
              <w:rPr>
                <w:rFonts w:hint="eastAsia" w:asciiTheme="minorEastAsia" w:hAnsiTheme="minorEastAsia" w:cstheme="minorEastAsia"/>
                <w:b/>
                <w:bCs/>
                <w:kern w:val="0"/>
                <w:sz w:val="20"/>
                <w:szCs w:val="20"/>
              </w:rPr>
              <w:t>指标点7-3</w:t>
            </w:r>
            <w:r>
              <w:rPr>
                <w:rFonts w:hint="eastAsia" w:asciiTheme="minorEastAsia" w:hAnsiTheme="minorEastAsia" w:cstheme="minorEastAsia"/>
                <w:bCs/>
                <w:kern w:val="0"/>
                <w:sz w:val="20"/>
                <w:szCs w:val="20"/>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72" w:type="dxa"/>
            <w:vAlign w:val="center"/>
          </w:tcPr>
          <w:p w14:paraId="6C3235EE">
            <w:pPr>
              <w:spacing w:line="276" w:lineRule="auto"/>
              <w:jc w:val="center"/>
              <w:rPr>
                <w:rFonts w:hint="eastAsia" w:asciiTheme="minorEastAsia" w:hAnsiTheme="minorEastAsia" w:cstheme="minorEastAsia"/>
                <w:bCs/>
                <w:kern w:val="0"/>
                <w:sz w:val="20"/>
                <w:szCs w:val="20"/>
              </w:rPr>
            </w:pPr>
            <w:r>
              <w:rPr>
                <w:rFonts w:hint="eastAsia" w:asciiTheme="minorEastAsia" w:hAnsiTheme="minorEastAsia" w:cstheme="minorEastAsia"/>
                <w:bCs/>
                <w:kern w:val="0"/>
                <w:sz w:val="20"/>
                <w:szCs w:val="20"/>
              </w:rPr>
              <w:t>课程目标5</w:t>
            </w:r>
          </w:p>
        </w:tc>
      </w:tr>
    </w:tbl>
    <w:p w14:paraId="41A5CCA6">
      <w:pPr>
        <w:adjustRightInd w:val="0"/>
        <w:snapToGrid w:val="0"/>
        <w:spacing w:line="360" w:lineRule="auto"/>
        <w:ind w:firstLine="482" w:firstLineChars="200"/>
        <w:outlineLvl w:val="1"/>
        <w:rPr>
          <w:rFonts w:hint="eastAsia" w:ascii="宋体" w:hAnsi="宋体" w:eastAsia="宋体" w:cs="Times New Roman"/>
          <w:b/>
          <w:sz w:val="24"/>
        </w:rPr>
      </w:pPr>
      <w:bookmarkStart w:id="1829" w:name="_Toc26"/>
      <w:r>
        <w:rPr>
          <w:rFonts w:hint="eastAsia" w:ascii="宋体" w:hAnsi="宋体" w:eastAsia="宋体" w:cs="Times New Roman"/>
          <w:b/>
          <w:sz w:val="24"/>
        </w:rPr>
        <w:t>（三）课程思政目标</w:t>
      </w:r>
      <w:bookmarkEnd w:id="1829"/>
    </w:p>
    <w:p w14:paraId="10A8C417">
      <w:pPr>
        <w:adjustRightInd w:val="0"/>
        <w:snapToGrid w:val="0"/>
        <w:spacing w:line="360" w:lineRule="auto"/>
        <w:ind w:firstLine="480" w:firstLineChars="200"/>
        <w:rPr>
          <w:rFonts w:hint="eastAsia" w:ascii="宋体" w:hAnsi="宋体" w:eastAsia="宋体" w:cs="Times New Roman"/>
          <w:bCs/>
          <w:sz w:val="24"/>
        </w:rPr>
      </w:pPr>
      <w:r>
        <w:rPr>
          <w:rFonts w:hint="eastAsia" w:ascii="宋体" w:hAnsi="宋体" w:eastAsia="宋体" w:cs="Times New Roman"/>
          <w:bCs/>
          <w:sz w:val="24"/>
        </w:rPr>
        <w:t>加深对儿童道德发展规律的认识，学会科学开展教育教学工作，巩固专业思想，增强社会责任感和教育情怀，在更高的知识层面上理解教育的本质。</w:t>
      </w:r>
    </w:p>
    <w:p w14:paraId="35775A48">
      <w:pPr>
        <w:spacing w:before="62" w:beforeLines="20" w:after="62" w:afterLines="20" w:line="360" w:lineRule="auto"/>
        <w:jc w:val="left"/>
        <w:rPr>
          <w:rFonts w:ascii="Times New Roman" w:hAnsi="Times New Roman" w:eastAsia="宋体" w:cs="Times New Roman"/>
          <w:b/>
          <w:sz w:val="24"/>
        </w:rPr>
      </w:pPr>
      <w:bookmarkStart w:id="1830" w:name="_Toc1075"/>
      <w:bookmarkStart w:id="1831" w:name="_Toc20291"/>
      <w:bookmarkStart w:id="1832" w:name="_Toc16633"/>
      <w:bookmarkStart w:id="1833" w:name="_Toc7801"/>
      <w:bookmarkStart w:id="1834" w:name="_Toc8148"/>
      <w:bookmarkStart w:id="1835" w:name="_Toc16394"/>
      <w:bookmarkStart w:id="1836" w:name="_Toc18289"/>
      <w:r>
        <w:rPr>
          <w:rFonts w:hint="eastAsia" w:ascii="Times New Roman" w:hAnsi="Times New Roman" w:eastAsia="宋体" w:cs="Times New Roman"/>
          <w:b/>
          <w:sz w:val="24"/>
        </w:rPr>
        <w:t>三、教学内容与预期学习成效</w:t>
      </w:r>
      <w:bookmarkEnd w:id="1830"/>
      <w:bookmarkEnd w:id="1831"/>
      <w:bookmarkEnd w:id="1832"/>
      <w:bookmarkEnd w:id="1833"/>
      <w:bookmarkEnd w:id="1834"/>
      <w:bookmarkEnd w:id="1835"/>
      <w:bookmarkEnd w:id="1836"/>
    </w:p>
    <w:tbl>
      <w:tblPr>
        <w:tblStyle w:val="1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2312"/>
        <w:gridCol w:w="1559"/>
        <w:gridCol w:w="1985"/>
        <w:gridCol w:w="1559"/>
        <w:gridCol w:w="709"/>
      </w:tblGrid>
      <w:tr w14:paraId="5B51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27" w:type="dxa"/>
            <w:vAlign w:val="center"/>
          </w:tcPr>
          <w:p w14:paraId="3ECF5146">
            <w:pPr>
              <w:adjustRightInd w:val="0"/>
              <w:snapToGrid w:val="0"/>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知识单元</w:t>
            </w:r>
          </w:p>
        </w:tc>
        <w:tc>
          <w:tcPr>
            <w:tcW w:w="2312" w:type="dxa"/>
            <w:vAlign w:val="center"/>
          </w:tcPr>
          <w:p w14:paraId="326DD175">
            <w:pPr>
              <w:adjustRightInd w:val="0"/>
              <w:snapToGrid w:val="0"/>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知识点</w:t>
            </w:r>
          </w:p>
        </w:tc>
        <w:tc>
          <w:tcPr>
            <w:tcW w:w="1559" w:type="dxa"/>
            <w:vAlign w:val="center"/>
          </w:tcPr>
          <w:p w14:paraId="3A0945FA">
            <w:pPr>
              <w:adjustRightInd w:val="0"/>
              <w:snapToGrid w:val="0"/>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对应课程目标</w:t>
            </w:r>
          </w:p>
        </w:tc>
        <w:tc>
          <w:tcPr>
            <w:tcW w:w="1985" w:type="dxa"/>
            <w:vAlign w:val="center"/>
          </w:tcPr>
          <w:p w14:paraId="10CE64CF">
            <w:pPr>
              <w:adjustRightInd w:val="0"/>
              <w:snapToGrid w:val="0"/>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预期学习成效</w:t>
            </w:r>
          </w:p>
        </w:tc>
        <w:tc>
          <w:tcPr>
            <w:tcW w:w="1559" w:type="dxa"/>
            <w:vAlign w:val="center"/>
          </w:tcPr>
          <w:p w14:paraId="58FE1CA2">
            <w:pPr>
              <w:adjustRightInd w:val="0"/>
              <w:snapToGrid w:val="0"/>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实现环节</w:t>
            </w:r>
          </w:p>
        </w:tc>
        <w:tc>
          <w:tcPr>
            <w:tcW w:w="709" w:type="dxa"/>
            <w:vAlign w:val="center"/>
          </w:tcPr>
          <w:p w14:paraId="279D5EFA">
            <w:pPr>
              <w:adjustRightInd w:val="0"/>
              <w:snapToGrid w:val="0"/>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学时</w:t>
            </w:r>
          </w:p>
        </w:tc>
      </w:tr>
      <w:tr w14:paraId="133E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restart"/>
            <w:vAlign w:val="center"/>
          </w:tcPr>
          <w:p w14:paraId="5A205E2B">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第一章</w:t>
            </w:r>
          </w:p>
          <w:p w14:paraId="26C97489">
            <w:pPr>
              <w:adjustRightInd w:val="0"/>
              <w:snapToGrid w:val="0"/>
              <w:spacing w:line="276" w:lineRule="auto"/>
              <w:jc w:val="center"/>
              <w:rPr>
                <w:rFonts w:hint="eastAsia" w:ascii="宋体" w:hAnsi="宋体" w:eastAsia="宋体" w:cs="Times New Roman"/>
                <w:bCs/>
                <w:kern w:val="0"/>
                <w:szCs w:val="21"/>
              </w:rPr>
            </w:pPr>
            <w:r>
              <w:rPr>
                <w:rFonts w:ascii="宋体" w:hAnsi="宋体" w:eastAsia="宋体" w:cs="Times New Roman"/>
                <w:bCs/>
                <w:kern w:val="0"/>
                <w:szCs w:val="21"/>
              </w:rPr>
              <w:t>小学道德与法治教学设计概述</w:t>
            </w:r>
          </w:p>
        </w:tc>
        <w:tc>
          <w:tcPr>
            <w:tcW w:w="2312" w:type="dxa"/>
          </w:tcPr>
          <w:p w14:paraId="1988683D">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.小学道德与法治教学设计的内涵与特点</w:t>
            </w:r>
          </w:p>
          <w:p w14:paraId="2113B60B">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.小学道德与法治教学设计的理论依据</w:t>
            </w:r>
          </w:p>
          <w:p w14:paraId="0C3B7B39">
            <w:pPr>
              <w:adjustRightInd w:val="0"/>
              <w:snapToGrid w:val="0"/>
              <w:spacing w:line="276" w:lineRule="auto"/>
              <w:rPr>
                <w:rFonts w:hint="eastAsia" w:ascii="宋体" w:hAnsi="宋体" w:eastAsia="宋体" w:cs="Times New Roman"/>
                <w:bCs/>
                <w:kern w:val="0"/>
                <w:szCs w:val="21"/>
              </w:rPr>
            </w:pPr>
            <w:r>
              <w:rPr>
                <w:rFonts w:ascii="宋体" w:hAnsi="宋体" w:eastAsia="宋体" w:cs="Times New Roman"/>
                <w:bCs/>
                <w:kern w:val="0"/>
                <w:szCs w:val="21"/>
              </w:rPr>
              <w:t>3.小学道德与法治教学设计的原则</w:t>
            </w:r>
          </w:p>
          <w:p w14:paraId="60F2E829">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4</w:t>
            </w:r>
            <w:r>
              <w:rPr>
                <w:rFonts w:ascii="宋体" w:hAnsi="宋体" w:eastAsia="宋体" w:cs="Times New Roman"/>
                <w:bCs/>
                <w:kern w:val="0"/>
                <w:szCs w:val="21"/>
              </w:rPr>
              <w:t>.小学道德与法治教学设计的内容与方法</w:t>
            </w:r>
          </w:p>
        </w:tc>
        <w:tc>
          <w:tcPr>
            <w:tcW w:w="1559" w:type="dxa"/>
            <w:vAlign w:val="center"/>
          </w:tcPr>
          <w:p w14:paraId="61C15E69">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课程目标1</w:t>
            </w:r>
          </w:p>
        </w:tc>
        <w:tc>
          <w:tcPr>
            <w:tcW w:w="1985" w:type="dxa"/>
          </w:tcPr>
          <w:p w14:paraId="524FC31A">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.了解小学道德与法治学科的性质、目的、根本任务</w:t>
            </w:r>
            <w:r>
              <w:rPr>
                <w:rFonts w:hint="eastAsia" w:ascii="宋体" w:hAnsi="宋体" w:eastAsia="宋体" w:cs="Times New Roman"/>
                <w:bCs/>
                <w:kern w:val="0"/>
                <w:szCs w:val="21"/>
              </w:rPr>
              <w:t>。</w:t>
            </w:r>
          </w:p>
          <w:p w14:paraId="58FC97EE">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.理解小学道德与法治教学设计的原则和要求</w:t>
            </w:r>
            <w:r>
              <w:rPr>
                <w:rFonts w:hint="eastAsia" w:ascii="宋体" w:hAnsi="宋体" w:eastAsia="宋体" w:cs="Times New Roman"/>
                <w:bCs/>
                <w:kern w:val="0"/>
                <w:szCs w:val="21"/>
              </w:rPr>
              <w:t>。</w:t>
            </w:r>
          </w:p>
          <w:p w14:paraId="6D5D7D58">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3</w:t>
            </w:r>
            <w:r>
              <w:rPr>
                <w:rFonts w:ascii="宋体" w:hAnsi="宋体" w:eastAsia="宋体" w:cs="Times New Roman"/>
                <w:bCs/>
                <w:kern w:val="0"/>
                <w:szCs w:val="21"/>
              </w:rPr>
              <w:t>.掌握小学道德与法治教学设计的内容和基本方法</w:t>
            </w:r>
            <w:r>
              <w:rPr>
                <w:rFonts w:hint="eastAsia" w:ascii="宋体" w:hAnsi="宋体" w:eastAsia="宋体" w:cs="Times New Roman"/>
                <w:bCs/>
                <w:kern w:val="0"/>
                <w:szCs w:val="21"/>
              </w:rPr>
              <w:t>。</w:t>
            </w:r>
          </w:p>
        </w:tc>
        <w:tc>
          <w:tcPr>
            <w:tcW w:w="1559" w:type="dxa"/>
            <w:vAlign w:val="center"/>
          </w:tcPr>
          <w:p w14:paraId="369E8AC9">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1.多媒体教学</w:t>
            </w:r>
          </w:p>
          <w:p w14:paraId="7B3F178F">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2.课堂讨论</w:t>
            </w:r>
          </w:p>
        </w:tc>
        <w:tc>
          <w:tcPr>
            <w:tcW w:w="709" w:type="dxa"/>
            <w:vAlign w:val="center"/>
          </w:tcPr>
          <w:p w14:paraId="3E77C149">
            <w:pPr>
              <w:adjustRightInd w:val="0"/>
              <w:snapToGrid w:val="0"/>
              <w:spacing w:line="360"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2</w:t>
            </w:r>
          </w:p>
        </w:tc>
      </w:tr>
      <w:tr w14:paraId="010E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continue"/>
            <w:vAlign w:val="center"/>
          </w:tcPr>
          <w:p w14:paraId="6DA098B7">
            <w:pPr>
              <w:adjustRightInd w:val="0"/>
              <w:snapToGrid w:val="0"/>
              <w:spacing w:line="360" w:lineRule="auto"/>
              <w:jc w:val="center"/>
              <w:rPr>
                <w:rFonts w:hint="eastAsia" w:ascii="宋体" w:hAnsi="宋体" w:eastAsia="宋体" w:cs="Times New Roman"/>
                <w:b/>
                <w:kern w:val="0"/>
                <w:sz w:val="20"/>
                <w:szCs w:val="21"/>
              </w:rPr>
            </w:pPr>
          </w:p>
        </w:tc>
        <w:tc>
          <w:tcPr>
            <w:tcW w:w="8124" w:type="dxa"/>
            <w:gridSpan w:val="5"/>
            <w:vAlign w:val="center"/>
          </w:tcPr>
          <w:p w14:paraId="450F8FDA">
            <w:pPr>
              <w:widowControl/>
              <w:tabs>
                <w:tab w:val="left" w:pos="312"/>
              </w:tabs>
              <w:adjustRightInd w:val="0"/>
              <w:snapToGrid w:val="0"/>
              <w:spacing w:line="276" w:lineRule="auto"/>
              <w:jc w:val="left"/>
              <w:rPr>
                <w:rFonts w:hint="eastAsia" w:ascii="宋体" w:hAnsi="宋体" w:eastAsia="宋体" w:cs="宋体"/>
                <w:b/>
                <w:bCs/>
                <w:kern w:val="0"/>
                <w:sz w:val="24"/>
              </w:rPr>
            </w:pPr>
            <w:r>
              <w:rPr>
                <w:rFonts w:hint="eastAsia" w:ascii="宋体" w:hAnsi="宋体" w:eastAsia="宋体" w:cs="宋体"/>
                <w:b/>
                <w:bCs/>
                <w:kern w:val="0"/>
                <w:szCs w:val="21"/>
              </w:rPr>
              <w:t>课程思政目标：</w:t>
            </w:r>
            <w:r>
              <w:rPr>
                <w:rFonts w:hint="eastAsia" w:ascii="宋体" w:hAnsi="宋体" w:eastAsia="宋体" w:cs="宋体"/>
                <w:kern w:val="0"/>
                <w:szCs w:val="21"/>
              </w:rPr>
              <w:t>通过本章内容学习，使学生理解道德与法治学习在人的发展过程中的作用，逐步加深对儿童道德教育的价值认识，能够在更高的知识层面上理解教育的本质。</w:t>
            </w:r>
          </w:p>
        </w:tc>
      </w:tr>
      <w:tr w14:paraId="617E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27" w:type="dxa"/>
            <w:vMerge w:val="restart"/>
            <w:vAlign w:val="center"/>
          </w:tcPr>
          <w:p w14:paraId="24CEEF8B">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第二章</w:t>
            </w:r>
          </w:p>
          <w:p w14:paraId="31C87C8B">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小学道德与法治教学微观设计</w:t>
            </w:r>
          </w:p>
        </w:tc>
        <w:tc>
          <w:tcPr>
            <w:tcW w:w="2312" w:type="dxa"/>
          </w:tcPr>
          <w:p w14:paraId="735EA5B1">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.教学一般流程</w:t>
            </w:r>
          </w:p>
          <w:p w14:paraId="11075A8C">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.导入环节设计</w:t>
            </w:r>
          </w:p>
          <w:p w14:paraId="622963A1">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3</w:t>
            </w:r>
            <w:r>
              <w:rPr>
                <w:rFonts w:ascii="宋体" w:hAnsi="宋体" w:eastAsia="宋体" w:cs="Times New Roman"/>
                <w:bCs/>
                <w:kern w:val="0"/>
                <w:szCs w:val="21"/>
              </w:rPr>
              <w:t>.提问设计设计</w:t>
            </w:r>
          </w:p>
          <w:p w14:paraId="68E00F39">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4</w:t>
            </w:r>
            <w:r>
              <w:rPr>
                <w:rFonts w:ascii="宋体" w:hAnsi="宋体" w:eastAsia="宋体" w:cs="Times New Roman"/>
                <w:bCs/>
                <w:kern w:val="0"/>
                <w:szCs w:val="21"/>
              </w:rPr>
              <w:t>.评价环节设计</w:t>
            </w:r>
          </w:p>
          <w:p w14:paraId="76B4E195">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5</w:t>
            </w:r>
            <w:r>
              <w:rPr>
                <w:rFonts w:ascii="宋体" w:hAnsi="宋体" w:eastAsia="宋体" w:cs="Times New Roman"/>
                <w:bCs/>
                <w:kern w:val="0"/>
                <w:szCs w:val="21"/>
              </w:rPr>
              <w:t>.实践环节设计</w:t>
            </w:r>
          </w:p>
        </w:tc>
        <w:tc>
          <w:tcPr>
            <w:tcW w:w="1559" w:type="dxa"/>
            <w:vAlign w:val="center"/>
          </w:tcPr>
          <w:p w14:paraId="143F1634">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课程目标2</w:t>
            </w:r>
          </w:p>
        </w:tc>
        <w:tc>
          <w:tcPr>
            <w:tcW w:w="1985" w:type="dxa"/>
          </w:tcPr>
          <w:p w14:paraId="53439325">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.掌握小学道德与法治教学设计的一般流程</w:t>
            </w:r>
            <w:r>
              <w:rPr>
                <w:rFonts w:hint="eastAsia" w:ascii="宋体" w:hAnsi="宋体" w:eastAsia="宋体" w:cs="Times New Roman"/>
                <w:bCs/>
                <w:kern w:val="0"/>
                <w:szCs w:val="21"/>
              </w:rPr>
              <w:t>。</w:t>
            </w:r>
          </w:p>
          <w:p w14:paraId="6270CC81">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.掌握教学过程中重点环节的灵活智慧处理</w:t>
            </w:r>
            <w:r>
              <w:rPr>
                <w:rFonts w:hint="eastAsia" w:ascii="宋体" w:hAnsi="宋体" w:eastAsia="宋体" w:cs="Times New Roman"/>
                <w:bCs/>
                <w:kern w:val="0"/>
                <w:szCs w:val="21"/>
              </w:rPr>
              <w:t>。</w:t>
            </w:r>
          </w:p>
        </w:tc>
        <w:tc>
          <w:tcPr>
            <w:tcW w:w="1559" w:type="dxa"/>
            <w:vAlign w:val="center"/>
          </w:tcPr>
          <w:p w14:paraId="1C625771">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03C15715">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教学观摩</w:t>
            </w:r>
          </w:p>
        </w:tc>
        <w:tc>
          <w:tcPr>
            <w:tcW w:w="709" w:type="dxa"/>
            <w:vAlign w:val="center"/>
          </w:tcPr>
          <w:p w14:paraId="2B36699E">
            <w:pPr>
              <w:adjustRightInd w:val="0"/>
              <w:snapToGrid w:val="0"/>
              <w:spacing w:line="360"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2</w:t>
            </w:r>
          </w:p>
        </w:tc>
      </w:tr>
      <w:tr w14:paraId="496A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continue"/>
            <w:vAlign w:val="center"/>
          </w:tcPr>
          <w:p w14:paraId="4FF0BC61">
            <w:pPr>
              <w:adjustRightInd w:val="0"/>
              <w:snapToGrid w:val="0"/>
              <w:spacing w:line="360" w:lineRule="auto"/>
              <w:jc w:val="center"/>
              <w:rPr>
                <w:rFonts w:hint="eastAsia" w:ascii="宋体" w:hAnsi="宋体" w:eastAsia="宋体" w:cs="Times New Roman"/>
                <w:b/>
                <w:kern w:val="0"/>
                <w:szCs w:val="21"/>
              </w:rPr>
            </w:pPr>
          </w:p>
        </w:tc>
        <w:tc>
          <w:tcPr>
            <w:tcW w:w="8124" w:type="dxa"/>
            <w:gridSpan w:val="5"/>
            <w:vAlign w:val="center"/>
          </w:tcPr>
          <w:p w14:paraId="6177BBBD">
            <w:pPr>
              <w:adjustRightInd w:val="0"/>
              <w:snapToGrid w:val="0"/>
              <w:spacing w:line="276" w:lineRule="auto"/>
              <w:jc w:val="left"/>
              <w:rPr>
                <w:rFonts w:hint="eastAsia" w:ascii="宋体" w:hAnsi="宋体" w:eastAsia="宋体" w:cs="Times New Roman"/>
                <w:b/>
                <w:kern w:val="0"/>
                <w:szCs w:val="21"/>
              </w:rPr>
            </w:pPr>
            <w:r>
              <w:rPr>
                <w:rFonts w:ascii="宋体" w:hAnsi="宋体" w:eastAsia="宋体" w:cs="Times New Roman"/>
                <w:b/>
                <w:kern w:val="0"/>
                <w:szCs w:val="21"/>
              </w:rPr>
              <w:t>课程思政目标</w:t>
            </w:r>
            <w:r>
              <w:rPr>
                <w:rFonts w:hint="eastAsia" w:ascii="宋体" w:hAnsi="宋体" w:eastAsia="宋体" w:cs="Times New Roman"/>
                <w:b/>
                <w:kern w:val="0"/>
                <w:szCs w:val="21"/>
              </w:rPr>
              <w:t>：</w:t>
            </w:r>
            <w:r>
              <w:rPr>
                <w:rFonts w:ascii="宋体" w:hAnsi="宋体" w:eastAsia="宋体" w:cs="Times New Roman"/>
                <w:bCs/>
                <w:kern w:val="0"/>
                <w:szCs w:val="21"/>
              </w:rPr>
              <w:t>通过本章内容的学习，使学生辩证认识道德与法治课程与其他课程在设计上的差异，把马克思主义经典理论和习近平新时代中国特色社会主义思想等马克思主义中国化的最新理论成果融入到课程理解中。</w:t>
            </w:r>
          </w:p>
        </w:tc>
      </w:tr>
      <w:tr w14:paraId="2780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restart"/>
            <w:vAlign w:val="center"/>
          </w:tcPr>
          <w:p w14:paraId="0976AF1A">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第三章</w:t>
            </w:r>
          </w:p>
          <w:p w14:paraId="29283943">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习惯养成课教学设计与案例研究</w:t>
            </w:r>
          </w:p>
        </w:tc>
        <w:tc>
          <w:tcPr>
            <w:tcW w:w="2312" w:type="dxa"/>
          </w:tcPr>
          <w:p w14:paraId="07297764">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.习惯养成课的内涵</w:t>
            </w:r>
          </w:p>
          <w:p w14:paraId="5CD5E5B5">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.习惯养成课的特点</w:t>
            </w:r>
          </w:p>
          <w:p w14:paraId="14DA3B4E">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3</w:t>
            </w:r>
            <w:r>
              <w:rPr>
                <w:rFonts w:ascii="宋体" w:hAnsi="宋体" w:eastAsia="宋体" w:cs="Times New Roman"/>
                <w:bCs/>
                <w:kern w:val="0"/>
                <w:szCs w:val="21"/>
              </w:rPr>
              <w:t>.习惯养成课的设计过程与注意事项</w:t>
            </w:r>
          </w:p>
          <w:p w14:paraId="1321DE0E">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4</w:t>
            </w:r>
            <w:r>
              <w:rPr>
                <w:rFonts w:ascii="宋体" w:hAnsi="宋体" w:eastAsia="宋体" w:cs="Times New Roman"/>
                <w:bCs/>
                <w:kern w:val="0"/>
                <w:szCs w:val="21"/>
              </w:rPr>
              <w:t>.习惯养成课精品案例研究</w:t>
            </w:r>
          </w:p>
        </w:tc>
        <w:tc>
          <w:tcPr>
            <w:tcW w:w="1559" w:type="dxa"/>
            <w:vAlign w:val="center"/>
          </w:tcPr>
          <w:p w14:paraId="155073D7">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w:t>
            </w:r>
            <w:r>
              <w:rPr>
                <w:rFonts w:ascii="宋体" w:hAnsi="宋体" w:eastAsia="宋体" w:cs="Times New Roman"/>
                <w:bCs/>
                <w:kern w:val="0"/>
                <w:szCs w:val="21"/>
              </w:rPr>
              <w:t>3</w:t>
            </w:r>
          </w:p>
          <w:p w14:paraId="4A78ADC9">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课程目标4</w:t>
            </w:r>
          </w:p>
        </w:tc>
        <w:tc>
          <w:tcPr>
            <w:tcW w:w="1985" w:type="dxa"/>
          </w:tcPr>
          <w:p w14:paraId="12AFD815">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.掌握习惯养成课的教学特点与一般流程</w:t>
            </w:r>
            <w:r>
              <w:rPr>
                <w:rFonts w:hint="eastAsia" w:ascii="宋体" w:hAnsi="宋体" w:eastAsia="宋体" w:cs="Times New Roman"/>
                <w:bCs/>
                <w:kern w:val="0"/>
                <w:szCs w:val="21"/>
              </w:rPr>
              <w:t>。</w:t>
            </w:r>
          </w:p>
          <w:p w14:paraId="7F014BDB">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.掌握习惯养成课教学设计注意方面</w:t>
            </w:r>
            <w:r>
              <w:rPr>
                <w:rFonts w:hint="eastAsia" w:ascii="宋体" w:hAnsi="宋体" w:eastAsia="宋体" w:cs="Times New Roman"/>
                <w:bCs/>
                <w:kern w:val="0"/>
                <w:szCs w:val="21"/>
              </w:rPr>
              <w:t>。</w:t>
            </w:r>
          </w:p>
        </w:tc>
        <w:tc>
          <w:tcPr>
            <w:tcW w:w="1559" w:type="dxa"/>
            <w:vAlign w:val="center"/>
          </w:tcPr>
          <w:p w14:paraId="6FC81388">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69A235B9">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教学观摩</w:t>
            </w:r>
          </w:p>
          <w:p w14:paraId="0EF3FB03">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教学设计</w:t>
            </w:r>
          </w:p>
          <w:p w14:paraId="40F15EC8">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kern w:val="0"/>
                <w:szCs w:val="21"/>
              </w:rPr>
              <w:t>5</w:t>
            </w:r>
            <w:r>
              <w:rPr>
                <w:rFonts w:ascii="宋体" w:hAnsi="宋体" w:eastAsia="宋体" w:cs="Times New Roman"/>
                <w:kern w:val="0"/>
                <w:szCs w:val="21"/>
              </w:rPr>
              <w:t>.</w:t>
            </w:r>
            <w:r>
              <w:rPr>
                <w:rFonts w:hint="eastAsia" w:ascii="宋体" w:hAnsi="宋体" w:eastAsia="宋体" w:cs="Times New Roman"/>
                <w:kern w:val="0"/>
                <w:szCs w:val="21"/>
              </w:rPr>
              <w:t>课内实践</w:t>
            </w:r>
          </w:p>
        </w:tc>
        <w:tc>
          <w:tcPr>
            <w:tcW w:w="709" w:type="dxa"/>
            <w:vAlign w:val="center"/>
          </w:tcPr>
          <w:p w14:paraId="06CDFD72">
            <w:pPr>
              <w:adjustRightInd w:val="0"/>
              <w:snapToGrid w:val="0"/>
              <w:spacing w:line="360"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6</w:t>
            </w:r>
          </w:p>
        </w:tc>
      </w:tr>
      <w:tr w14:paraId="7A4E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continue"/>
            <w:vAlign w:val="center"/>
          </w:tcPr>
          <w:p w14:paraId="0DEAB860">
            <w:pPr>
              <w:adjustRightInd w:val="0"/>
              <w:snapToGrid w:val="0"/>
              <w:spacing w:line="360" w:lineRule="auto"/>
              <w:jc w:val="center"/>
              <w:rPr>
                <w:rFonts w:hint="eastAsia" w:ascii="宋体" w:hAnsi="宋体" w:eastAsia="宋体" w:cs="Times New Roman"/>
                <w:b/>
                <w:kern w:val="0"/>
                <w:sz w:val="20"/>
                <w:szCs w:val="21"/>
              </w:rPr>
            </w:pPr>
          </w:p>
        </w:tc>
        <w:tc>
          <w:tcPr>
            <w:tcW w:w="8124" w:type="dxa"/>
            <w:gridSpan w:val="5"/>
            <w:vAlign w:val="center"/>
          </w:tcPr>
          <w:p w14:paraId="00AFFB78">
            <w:pPr>
              <w:adjustRightInd w:val="0"/>
              <w:snapToGrid w:val="0"/>
              <w:spacing w:line="276" w:lineRule="auto"/>
              <w:jc w:val="left"/>
              <w:rPr>
                <w:rFonts w:hint="eastAsia" w:ascii="宋体" w:hAnsi="宋体" w:eastAsia="宋体" w:cs="Times New Roman"/>
                <w:b/>
                <w:kern w:val="0"/>
                <w:szCs w:val="21"/>
              </w:rPr>
            </w:pPr>
            <w:r>
              <w:rPr>
                <w:rFonts w:ascii="宋体" w:hAnsi="宋体" w:eastAsia="宋体" w:cs="Times New Roman"/>
                <w:b/>
                <w:kern w:val="0"/>
                <w:szCs w:val="21"/>
              </w:rPr>
              <w:t>课程思政目标</w:t>
            </w:r>
            <w:r>
              <w:rPr>
                <w:rFonts w:hint="eastAsia" w:ascii="宋体" w:hAnsi="宋体" w:eastAsia="宋体" w:cs="Times New Roman"/>
                <w:b/>
                <w:kern w:val="0"/>
                <w:szCs w:val="21"/>
              </w:rPr>
              <w:t>：</w:t>
            </w:r>
            <w:r>
              <w:rPr>
                <w:rFonts w:ascii="宋体" w:hAnsi="宋体" w:eastAsia="宋体" w:cs="Times New Roman"/>
                <w:bCs/>
                <w:kern w:val="0"/>
                <w:szCs w:val="21"/>
              </w:rPr>
              <w:t>通过本章内容的学习，使学生增强在生活中培养儿童道德与法治观念的意识，理解道德与法治教学的基本原理和方法，提高独立思考能力和教学设计能力，具备基本的创新意识和创新能力。</w:t>
            </w:r>
          </w:p>
        </w:tc>
      </w:tr>
      <w:tr w14:paraId="0F75F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restart"/>
            <w:vAlign w:val="center"/>
          </w:tcPr>
          <w:p w14:paraId="3C378668">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第四章 游戏活动课教学设计与案例研究</w:t>
            </w:r>
          </w:p>
        </w:tc>
        <w:tc>
          <w:tcPr>
            <w:tcW w:w="2312" w:type="dxa"/>
          </w:tcPr>
          <w:p w14:paraId="392C1262">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.游戏活动课的内涵</w:t>
            </w:r>
          </w:p>
          <w:p w14:paraId="6ACA01D5">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.游戏活动课的特点</w:t>
            </w:r>
          </w:p>
          <w:p w14:paraId="62B5261D">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3</w:t>
            </w:r>
            <w:r>
              <w:rPr>
                <w:rFonts w:ascii="宋体" w:hAnsi="宋体" w:eastAsia="宋体" w:cs="Times New Roman"/>
                <w:bCs/>
                <w:kern w:val="0"/>
                <w:szCs w:val="21"/>
              </w:rPr>
              <w:t>.游戏活动课的设计过程与注意事项</w:t>
            </w:r>
          </w:p>
          <w:p w14:paraId="5A84095D">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4</w:t>
            </w:r>
            <w:r>
              <w:rPr>
                <w:rFonts w:ascii="宋体" w:hAnsi="宋体" w:eastAsia="宋体" w:cs="Times New Roman"/>
                <w:bCs/>
                <w:kern w:val="0"/>
                <w:szCs w:val="21"/>
              </w:rPr>
              <w:t>.游戏活动课精品案例研究</w:t>
            </w:r>
          </w:p>
        </w:tc>
        <w:tc>
          <w:tcPr>
            <w:tcW w:w="1559" w:type="dxa"/>
            <w:vAlign w:val="center"/>
          </w:tcPr>
          <w:p w14:paraId="16682508">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w:t>
            </w:r>
            <w:r>
              <w:rPr>
                <w:rFonts w:ascii="宋体" w:hAnsi="宋体" w:eastAsia="宋体" w:cs="Times New Roman"/>
                <w:bCs/>
                <w:kern w:val="0"/>
                <w:szCs w:val="21"/>
              </w:rPr>
              <w:t>3</w:t>
            </w:r>
          </w:p>
          <w:p w14:paraId="34615B21">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课程目标4</w:t>
            </w:r>
          </w:p>
        </w:tc>
        <w:tc>
          <w:tcPr>
            <w:tcW w:w="1985" w:type="dxa"/>
          </w:tcPr>
          <w:p w14:paraId="15F1D5CF">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.掌握游戏活动课的教学特点与一般流程</w:t>
            </w:r>
            <w:r>
              <w:rPr>
                <w:rFonts w:hint="eastAsia" w:ascii="宋体" w:hAnsi="宋体" w:eastAsia="宋体" w:cs="Times New Roman"/>
                <w:bCs/>
                <w:kern w:val="0"/>
                <w:szCs w:val="21"/>
              </w:rPr>
              <w:t>。</w:t>
            </w:r>
          </w:p>
          <w:p w14:paraId="79A43159">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.掌握游戏活动课教学设计注意方面</w:t>
            </w:r>
            <w:r>
              <w:rPr>
                <w:rFonts w:hint="eastAsia" w:ascii="宋体" w:hAnsi="宋体" w:eastAsia="宋体" w:cs="Times New Roman"/>
                <w:bCs/>
                <w:kern w:val="0"/>
                <w:szCs w:val="21"/>
              </w:rPr>
              <w:t>。</w:t>
            </w:r>
          </w:p>
        </w:tc>
        <w:tc>
          <w:tcPr>
            <w:tcW w:w="1559" w:type="dxa"/>
            <w:vAlign w:val="center"/>
          </w:tcPr>
          <w:p w14:paraId="2B062AA7">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269F244F">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教学观摩</w:t>
            </w:r>
          </w:p>
          <w:p w14:paraId="4240A3CB">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教学设计</w:t>
            </w:r>
          </w:p>
          <w:p w14:paraId="44D88C52">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kern w:val="0"/>
                <w:szCs w:val="21"/>
              </w:rPr>
              <w:t>5</w:t>
            </w:r>
            <w:r>
              <w:rPr>
                <w:rFonts w:ascii="宋体" w:hAnsi="宋体" w:eastAsia="宋体" w:cs="Times New Roman"/>
                <w:kern w:val="0"/>
                <w:szCs w:val="21"/>
              </w:rPr>
              <w:t>.</w:t>
            </w:r>
            <w:r>
              <w:rPr>
                <w:rFonts w:hint="eastAsia" w:ascii="宋体" w:hAnsi="宋体" w:eastAsia="宋体" w:cs="Times New Roman"/>
                <w:kern w:val="0"/>
                <w:szCs w:val="21"/>
              </w:rPr>
              <w:t>课内实践</w:t>
            </w:r>
          </w:p>
        </w:tc>
        <w:tc>
          <w:tcPr>
            <w:tcW w:w="709" w:type="dxa"/>
            <w:vAlign w:val="center"/>
          </w:tcPr>
          <w:p w14:paraId="428BFD01">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6</w:t>
            </w:r>
          </w:p>
        </w:tc>
      </w:tr>
      <w:tr w14:paraId="3D1C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continue"/>
            <w:vAlign w:val="center"/>
          </w:tcPr>
          <w:p w14:paraId="3BF8A51D">
            <w:pPr>
              <w:adjustRightInd w:val="0"/>
              <w:snapToGrid w:val="0"/>
              <w:spacing w:line="360" w:lineRule="auto"/>
              <w:jc w:val="center"/>
              <w:rPr>
                <w:rFonts w:hint="eastAsia" w:ascii="宋体" w:hAnsi="宋体" w:eastAsia="宋体" w:cs="Times New Roman"/>
                <w:b/>
                <w:kern w:val="0"/>
                <w:sz w:val="20"/>
                <w:szCs w:val="21"/>
              </w:rPr>
            </w:pPr>
          </w:p>
        </w:tc>
        <w:tc>
          <w:tcPr>
            <w:tcW w:w="8124" w:type="dxa"/>
            <w:gridSpan w:val="5"/>
            <w:vAlign w:val="center"/>
          </w:tcPr>
          <w:p w14:paraId="4CE30AA6">
            <w:pPr>
              <w:adjustRightInd w:val="0"/>
              <w:snapToGrid w:val="0"/>
              <w:spacing w:line="276" w:lineRule="auto"/>
              <w:rPr>
                <w:rFonts w:hint="eastAsia" w:ascii="宋体" w:hAnsi="宋体" w:eastAsia="宋体" w:cs="Times New Roman"/>
                <w:bCs/>
                <w:kern w:val="0"/>
                <w:szCs w:val="21"/>
              </w:rPr>
            </w:pPr>
            <w:r>
              <w:rPr>
                <w:rFonts w:ascii="宋体" w:hAnsi="宋体" w:eastAsia="宋体" w:cs="Times New Roman"/>
                <w:b/>
                <w:kern w:val="0"/>
                <w:szCs w:val="21"/>
              </w:rPr>
              <w:t>课程思政目标</w:t>
            </w:r>
            <w:r>
              <w:rPr>
                <w:rFonts w:hint="eastAsia" w:ascii="宋体" w:hAnsi="宋体" w:eastAsia="宋体" w:cs="Times New Roman"/>
                <w:bCs/>
                <w:kern w:val="0"/>
                <w:szCs w:val="21"/>
              </w:rPr>
              <w:t>：</w:t>
            </w:r>
            <w:r>
              <w:rPr>
                <w:rFonts w:ascii="宋体" w:hAnsi="宋体" w:eastAsia="宋体" w:cs="Times New Roman"/>
                <w:bCs/>
                <w:kern w:val="0"/>
                <w:szCs w:val="21"/>
              </w:rPr>
              <w:t>通过本章内容的学习，使学生增强在生活中培养儿童道德与法治观念的意识，理解道德与法治教学的基本原理和方法，提高独立思考能力和教学设计能力，具备基本的创新意识和创新能力。</w:t>
            </w:r>
          </w:p>
        </w:tc>
      </w:tr>
      <w:tr w14:paraId="0EB4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restart"/>
            <w:vAlign w:val="center"/>
          </w:tcPr>
          <w:p w14:paraId="0324B356">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第五章 社会探究课教学设计与案例研究</w:t>
            </w:r>
          </w:p>
        </w:tc>
        <w:tc>
          <w:tcPr>
            <w:tcW w:w="2312" w:type="dxa"/>
          </w:tcPr>
          <w:p w14:paraId="32008990">
            <w:pPr>
              <w:widowControl/>
              <w:adjustRightInd w:val="0"/>
              <w:snapToGrid w:val="0"/>
              <w:spacing w:line="276" w:lineRule="auto"/>
              <w:jc w:val="left"/>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w:t>
            </w:r>
            <w:r>
              <w:rPr>
                <w:rFonts w:hint="eastAsia" w:ascii="宋体" w:hAnsi="宋体" w:eastAsia="宋体" w:cs="Times New Roman"/>
                <w:bCs/>
                <w:kern w:val="0"/>
                <w:szCs w:val="21"/>
              </w:rPr>
              <w:t>社会探究课的内涵</w:t>
            </w:r>
          </w:p>
          <w:p w14:paraId="59AA304E">
            <w:pPr>
              <w:widowControl/>
              <w:adjustRightInd w:val="0"/>
              <w:snapToGrid w:val="0"/>
              <w:spacing w:line="276" w:lineRule="auto"/>
              <w:jc w:val="left"/>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w:t>
            </w:r>
            <w:r>
              <w:rPr>
                <w:rFonts w:hint="eastAsia" w:ascii="宋体" w:hAnsi="宋体" w:eastAsia="宋体" w:cs="Times New Roman"/>
                <w:bCs/>
                <w:kern w:val="0"/>
                <w:szCs w:val="21"/>
              </w:rPr>
              <w:t>社会探究课的特点</w:t>
            </w:r>
          </w:p>
          <w:p w14:paraId="710C0CC1">
            <w:pPr>
              <w:widowControl/>
              <w:adjustRightInd w:val="0"/>
              <w:snapToGrid w:val="0"/>
              <w:spacing w:line="276" w:lineRule="auto"/>
              <w:jc w:val="left"/>
              <w:rPr>
                <w:rFonts w:hint="eastAsia" w:ascii="宋体" w:hAnsi="宋体" w:eastAsia="宋体" w:cs="Times New Roman"/>
                <w:bCs/>
                <w:kern w:val="0"/>
                <w:szCs w:val="21"/>
              </w:rPr>
            </w:pPr>
            <w:r>
              <w:rPr>
                <w:rFonts w:hint="eastAsia" w:ascii="宋体" w:hAnsi="宋体" w:eastAsia="宋体" w:cs="Times New Roman"/>
                <w:bCs/>
                <w:kern w:val="0"/>
                <w:szCs w:val="21"/>
              </w:rPr>
              <w:t>3</w:t>
            </w:r>
            <w:r>
              <w:rPr>
                <w:rFonts w:ascii="宋体" w:hAnsi="宋体" w:eastAsia="宋体" w:cs="Times New Roman"/>
                <w:bCs/>
                <w:kern w:val="0"/>
                <w:szCs w:val="21"/>
              </w:rPr>
              <w:t>.</w:t>
            </w:r>
            <w:r>
              <w:rPr>
                <w:rFonts w:hint="eastAsia" w:ascii="宋体" w:hAnsi="宋体" w:eastAsia="宋体" w:cs="Times New Roman"/>
                <w:bCs/>
                <w:kern w:val="0"/>
                <w:szCs w:val="21"/>
              </w:rPr>
              <w:t>社会探究课的设计过程与注意事项</w:t>
            </w:r>
          </w:p>
          <w:p w14:paraId="765241F2">
            <w:pPr>
              <w:widowControl/>
              <w:adjustRightInd w:val="0"/>
              <w:snapToGrid w:val="0"/>
              <w:spacing w:line="276" w:lineRule="auto"/>
              <w:jc w:val="left"/>
              <w:rPr>
                <w:rFonts w:hint="eastAsia" w:ascii="宋体" w:hAnsi="宋体" w:eastAsia="宋体" w:cs="Times New Roman"/>
                <w:bCs/>
                <w:kern w:val="0"/>
                <w:szCs w:val="21"/>
              </w:rPr>
            </w:pPr>
            <w:r>
              <w:rPr>
                <w:rFonts w:hint="eastAsia" w:ascii="宋体" w:hAnsi="宋体" w:eastAsia="宋体" w:cs="Times New Roman"/>
                <w:bCs/>
                <w:kern w:val="0"/>
                <w:szCs w:val="21"/>
              </w:rPr>
              <w:t>4</w:t>
            </w:r>
            <w:r>
              <w:rPr>
                <w:rFonts w:ascii="宋体" w:hAnsi="宋体" w:eastAsia="宋体" w:cs="Times New Roman"/>
                <w:bCs/>
                <w:kern w:val="0"/>
                <w:szCs w:val="21"/>
              </w:rPr>
              <w:t>.</w:t>
            </w:r>
            <w:r>
              <w:rPr>
                <w:rFonts w:hint="eastAsia" w:ascii="宋体" w:hAnsi="宋体" w:eastAsia="宋体" w:cs="Times New Roman"/>
                <w:bCs/>
                <w:kern w:val="0"/>
                <w:szCs w:val="21"/>
              </w:rPr>
              <w:t>社会探究课精品案例研究</w:t>
            </w:r>
          </w:p>
        </w:tc>
        <w:tc>
          <w:tcPr>
            <w:tcW w:w="1559" w:type="dxa"/>
            <w:vAlign w:val="center"/>
          </w:tcPr>
          <w:p w14:paraId="4CB8C83D">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w:t>
            </w:r>
            <w:r>
              <w:rPr>
                <w:rFonts w:ascii="宋体" w:hAnsi="宋体" w:eastAsia="宋体" w:cs="Times New Roman"/>
                <w:bCs/>
                <w:kern w:val="0"/>
                <w:szCs w:val="21"/>
              </w:rPr>
              <w:t>3</w:t>
            </w:r>
          </w:p>
          <w:p w14:paraId="67E6B894">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课程目标4</w:t>
            </w:r>
          </w:p>
        </w:tc>
        <w:tc>
          <w:tcPr>
            <w:tcW w:w="1985" w:type="dxa"/>
          </w:tcPr>
          <w:p w14:paraId="1943FF9A">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w:t>
            </w:r>
            <w:r>
              <w:rPr>
                <w:rFonts w:hint="eastAsia" w:ascii="宋体" w:hAnsi="宋体" w:eastAsia="宋体" w:cs="Times New Roman"/>
                <w:bCs/>
                <w:kern w:val="0"/>
                <w:szCs w:val="21"/>
              </w:rPr>
              <w:t>掌握社会探究课的教学特点与一般流程。</w:t>
            </w:r>
          </w:p>
          <w:p w14:paraId="60B177C2">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w:t>
            </w:r>
            <w:r>
              <w:rPr>
                <w:rFonts w:hint="eastAsia" w:ascii="宋体" w:hAnsi="宋体" w:eastAsia="宋体" w:cs="Times New Roman"/>
                <w:bCs/>
                <w:kern w:val="0"/>
                <w:szCs w:val="21"/>
              </w:rPr>
              <w:t>掌握社会探究课教学设计注意方面。</w:t>
            </w:r>
          </w:p>
        </w:tc>
        <w:tc>
          <w:tcPr>
            <w:tcW w:w="1559" w:type="dxa"/>
            <w:vAlign w:val="center"/>
          </w:tcPr>
          <w:p w14:paraId="134C2BE4">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6C3C7835">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教学观摩</w:t>
            </w:r>
          </w:p>
          <w:p w14:paraId="66DC73CD">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教学设计</w:t>
            </w:r>
          </w:p>
          <w:p w14:paraId="325364B4">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kern w:val="0"/>
                <w:szCs w:val="21"/>
              </w:rPr>
              <w:t>5</w:t>
            </w:r>
            <w:r>
              <w:rPr>
                <w:rFonts w:ascii="宋体" w:hAnsi="宋体" w:eastAsia="宋体" w:cs="Times New Roman"/>
                <w:kern w:val="0"/>
                <w:szCs w:val="21"/>
              </w:rPr>
              <w:t>.</w:t>
            </w:r>
            <w:r>
              <w:rPr>
                <w:rFonts w:hint="eastAsia" w:ascii="宋体" w:hAnsi="宋体" w:eastAsia="宋体" w:cs="Times New Roman"/>
                <w:kern w:val="0"/>
                <w:szCs w:val="21"/>
              </w:rPr>
              <w:t>课内实践</w:t>
            </w:r>
          </w:p>
        </w:tc>
        <w:tc>
          <w:tcPr>
            <w:tcW w:w="709" w:type="dxa"/>
            <w:vAlign w:val="center"/>
          </w:tcPr>
          <w:p w14:paraId="444B1014">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6</w:t>
            </w:r>
          </w:p>
        </w:tc>
      </w:tr>
      <w:tr w14:paraId="2B34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continue"/>
            <w:vAlign w:val="center"/>
          </w:tcPr>
          <w:p w14:paraId="41D418FC">
            <w:pPr>
              <w:adjustRightInd w:val="0"/>
              <w:snapToGrid w:val="0"/>
              <w:spacing w:line="360" w:lineRule="auto"/>
              <w:jc w:val="center"/>
              <w:rPr>
                <w:rFonts w:hint="eastAsia" w:ascii="宋体" w:hAnsi="宋体" w:eastAsia="宋体" w:cs="Times New Roman"/>
                <w:b/>
                <w:kern w:val="0"/>
                <w:sz w:val="20"/>
                <w:szCs w:val="21"/>
              </w:rPr>
            </w:pPr>
          </w:p>
        </w:tc>
        <w:tc>
          <w:tcPr>
            <w:tcW w:w="8124" w:type="dxa"/>
            <w:gridSpan w:val="5"/>
            <w:vAlign w:val="center"/>
          </w:tcPr>
          <w:p w14:paraId="00CF491A">
            <w:pPr>
              <w:adjustRightInd w:val="0"/>
              <w:snapToGrid w:val="0"/>
              <w:spacing w:line="276" w:lineRule="auto"/>
              <w:jc w:val="left"/>
              <w:rPr>
                <w:rFonts w:hint="eastAsia" w:ascii="宋体" w:hAnsi="宋体" w:eastAsia="宋体" w:cs="Times New Roman"/>
                <w:bCs/>
                <w:kern w:val="0"/>
                <w:szCs w:val="21"/>
              </w:rPr>
            </w:pPr>
            <w:r>
              <w:rPr>
                <w:rFonts w:ascii="宋体" w:hAnsi="宋体" w:eastAsia="宋体" w:cs="Times New Roman"/>
                <w:b/>
                <w:kern w:val="0"/>
                <w:szCs w:val="21"/>
              </w:rPr>
              <w:t>课程思政目标</w:t>
            </w:r>
            <w:r>
              <w:rPr>
                <w:rFonts w:hint="eastAsia" w:ascii="宋体" w:hAnsi="宋体" w:eastAsia="宋体" w:cs="Times New Roman"/>
                <w:b/>
                <w:kern w:val="0"/>
                <w:szCs w:val="21"/>
              </w:rPr>
              <w:t>：</w:t>
            </w:r>
            <w:r>
              <w:rPr>
                <w:rFonts w:ascii="宋体" w:hAnsi="宋体" w:eastAsia="宋体" w:cs="Times New Roman"/>
                <w:bCs/>
                <w:kern w:val="0"/>
                <w:szCs w:val="21"/>
              </w:rPr>
              <w:t>通过本章内容的学习，使学生增强在生活中培养儿童道德与法治观念的意识，理解道德与法治教学的基本原理和方法，提高独立思考能力和教学设计能力，具备基本的创新意识和创新能力。</w:t>
            </w:r>
          </w:p>
        </w:tc>
      </w:tr>
      <w:tr w14:paraId="4E30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restart"/>
            <w:vAlign w:val="center"/>
          </w:tcPr>
          <w:p w14:paraId="0969D88A">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宋体"/>
                <w:kern w:val="0"/>
                <w:szCs w:val="21"/>
              </w:rPr>
              <w:t>第六章 思辨说理课教学设计与案例研究</w:t>
            </w:r>
          </w:p>
        </w:tc>
        <w:tc>
          <w:tcPr>
            <w:tcW w:w="2312" w:type="dxa"/>
          </w:tcPr>
          <w:p w14:paraId="3CA4E8C8">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.思辨说理课的内涵</w:t>
            </w:r>
          </w:p>
          <w:p w14:paraId="1D831D28">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.思辨说理课的特点</w:t>
            </w:r>
          </w:p>
          <w:p w14:paraId="4A025741">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.思辨说理课的设计过程与注意事项</w:t>
            </w:r>
          </w:p>
          <w:p w14:paraId="56DA3CA4">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4</w:t>
            </w:r>
            <w:r>
              <w:rPr>
                <w:rFonts w:ascii="宋体" w:hAnsi="宋体" w:eastAsia="宋体" w:cs="Times New Roman"/>
                <w:kern w:val="0"/>
                <w:szCs w:val="21"/>
              </w:rPr>
              <w:t>.思辨说理课精品案例研究</w:t>
            </w:r>
          </w:p>
        </w:tc>
        <w:tc>
          <w:tcPr>
            <w:tcW w:w="1559" w:type="dxa"/>
            <w:vAlign w:val="center"/>
          </w:tcPr>
          <w:p w14:paraId="0D554C3A">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w:t>
            </w:r>
            <w:r>
              <w:rPr>
                <w:rFonts w:ascii="宋体" w:hAnsi="宋体" w:eastAsia="宋体" w:cs="Times New Roman"/>
                <w:bCs/>
                <w:kern w:val="0"/>
                <w:szCs w:val="21"/>
              </w:rPr>
              <w:t>3</w:t>
            </w:r>
          </w:p>
          <w:p w14:paraId="1C5A0F16">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bCs/>
                <w:kern w:val="0"/>
                <w:szCs w:val="21"/>
              </w:rPr>
              <w:t>课程目标4</w:t>
            </w:r>
          </w:p>
        </w:tc>
        <w:tc>
          <w:tcPr>
            <w:tcW w:w="1985" w:type="dxa"/>
          </w:tcPr>
          <w:p w14:paraId="46017371">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.掌握思辨说理课的教学特点与一般流程</w:t>
            </w:r>
            <w:r>
              <w:rPr>
                <w:rFonts w:hint="eastAsia" w:ascii="宋体" w:hAnsi="宋体" w:eastAsia="宋体" w:cs="Times New Roman"/>
                <w:kern w:val="0"/>
                <w:szCs w:val="21"/>
              </w:rPr>
              <w:t>。</w:t>
            </w:r>
          </w:p>
          <w:p w14:paraId="40B69596">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.掌握思辨说理课教学设计注意方面</w:t>
            </w:r>
            <w:r>
              <w:rPr>
                <w:rFonts w:hint="eastAsia" w:ascii="宋体" w:hAnsi="宋体" w:eastAsia="宋体" w:cs="Times New Roman"/>
                <w:kern w:val="0"/>
                <w:szCs w:val="21"/>
              </w:rPr>
              <w:t>。</w:t>
            </w:r>
          </w:p>
        </w:tc>
        <w:tc>
          <w:tcPr>
            <w:tcW w:w="1559" w:type="dxa"/>
            <w:vAlign w:val="center"/>
          </w:tcPr>
          <w:p w14:paraId="379565AC">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796A4A94">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教学观摩</w:t>
            </w:r>
          </w:p>
          <w:p w14:paraId="7DBBFA76">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教学设计</w:t>
            </w:r>
          </w:p>
          <w:p w14:paraId="2F8473E2">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5</w:t>
            </w:r>
            <w:r>
              <w:rPr>
                <w:rFonts w:ascii="宋体" w:hAnsi="宋体" w:eastAsia="宋体" w:cs="Times New Roman"/>
                <w:kern w:val="0"/>
                <w:szCs w:val="21"/>
              </w:rPr>
              <w:t>.</w:t>
            </w:r>
            <w:r>
              <w:rPr>
                <w:rFonts w:hint="eastAsia" w:ascii="宋体" w:hAnsi="宋体" w:eastAsia="宋体" w:cs="Times New Roman"/>
                <w:kern w:val="0"/>
                <w:szCs w:val="21"/>
              </w:rPr>
              <w:t>课内实践</w:t>
            </w:r>
          </w:p>
        </w:tc>
        <w:tc>
          <w:tcPr>
            <w:tcW w:w="709" w:type="dxa"/>
            <w:vAlign w:val="center"/>
          </w:tcPr>
          <w:p w14:paraId="075E780D">
            <w:pPr>
              <w:adjustRightInd w:val="0"/>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6</w:t>
            </w:r>
          </w:p>
        </w:tc>
      </w:tr>
      <w:tr w14:paraId="365F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continue"/>
            <w:vAlign w:val="center"/>
          </w:tcPr>
          <w:p w14:paraId="2C3F1728">
            <w:pPr>
              <w:adjustRightInd w:val="0"/>
              <w:snapToGrid w:val="0"/>
              <w:spacing w:line="276" w:lineRule="auto"/>
              <w:jc w:val="center"/>
              <w:rPr>
                <w:rFonts w:hint="eastAsia" w:ascii="宋体" w:hAnsi="宋体" w:eastAsia="宋体" w:cs="Times New Roman"/>
                <w:kern w:val="0"/>
                <w:szCs w:val="21"/>
              </w:rPr>
            </w:pPr>
          </w:p>
        </w:tc>
        <w:tc>
          <w:tcPr>
            <w:tcW w:w="8124" w:type="dxa"/>
            <w:gridSpan w:val="5"/>
            <w:vAlign w:val="center"/>
          </w:tcPr>
          <w:p w14:paraId="0B682BA8">
            <w:pPr>
              <w:adjustRightInd w:val="0"/>
              <w:snapToGrid w:val="0"/>
              <w:spacing w:line="276" w:lineRule="auto"/>
              <w:jc w:val="left"/>
              <w:rPr>
                <w:rFonts w:hint="eastAsia" w:ascii="宋体" w:hAnsi="宋体" w:eastAsia="宋体" w:cs="Times New Roman"/>
                <w:kern w:val="0"/>
                <w:szCs w:val="21"/>
              </w:rPr>
            </w:pPr>
            <w:r>
              <w:rPr>
                <w:rFonts w:ascii="宋体" w:hAnsi="宋体" w:eastAsia="宋体" w:cs="Times New Roman"/>
                <w:b/>
                <w:bCs/>
                <w:kern w:val="0"/>
                <w:szCs w:val="21"/>
              </w:rPr>
              <w:t>课程思政目标</w:t>
            </w:r>
            <w:r>
              <w:rPr>
                <w:rFonts w:hint="eastAsia" w:ascii="宋体" w:hAnsi="宋体" w:eastAsia="宋体" w:cs="Times New Roman"/>
                <w:b/>
                <w:bCs/>
                <w:kern w:val="0"/>
                <w:szCs w:val="21"/>
              </w:rPr>
              <w:t>：</w:t>
            </w:r>
            <w:r>
              <w:rPr>
                <w:rFonts w:ascii="宋体" w:hAnsi="宋体" w:eastAsia="宋体" w:cs="Times New Roman"/>
                <w:kern w:val="0"/>
                <w:szCs w:val="21"/>
              </w:rPr>
              <w:t>通过本章内容的学习，使学生增强在生活中培养儿童道德与法治观念的意识，理解道德与法治教学的基本原理和方法，提高独立思考能力和教学设计能力，具备基本的创新意识和创新能力。</w:t>
            </w:r>
          </w:p>
        </w:tc>
      </w:tr>
      <w:tr w14:paraId="134B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restart"/>
            <w:vAlign w:val="center"/>
          </w:tcPr>
          <w:p w14:paraId="091E6ABB">
            <w:pPr>
              <w:adjustRightInd w:val="0"/>
              <w:snapToGrid w:val="0"/>
              <w:spacing w:line="276" w:lineRule="auto"/>
              <w:jc w:val="center"/>
              <w:rPr>
                <w:rFonts w:hint="eastAsia" w:ascii="宋体" w:hAnsi="宋体" w:eastAsia="宋体" w:cs="Times New Roman"/>
                <w:bCs/>
                <w:kern w:val="0"/>
                <w:szCs w:val="21"/>
              </w:rPr>
            </w:pPr>
            <w:r>
              <w:rPr>
                <w:rFonts w:ascii="宋体" w:hAnsi="宋体" w:eastAsia="宋体" w:cs="Times New Roman"/>
                <w:bCs/>
                <w:kern w:val="0"/>
                <w:szCs w:val="21"/>
              </w:rPr>
              <w:t>第七章 小学道德与法治典型教学模式</w:t>
            </w:r>
          </w:p>
        </w:tc>
        <w:tc>
          <w:tcPr>
            <w:tcW w:w="2312" w:type="dxa"/>
          </w:tcPr>
          <w:p w14:paraId="6EF12F91">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.议题式教学</w:t>
            </w:r>
          </w:p>
          <w:p w14:paraId="35BAD140">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.项目式教学</w:t>
            </w:r>
          </w:p>
          <w:p w14:paraId="5AFA5C97">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3</w:t>
            </w:r>
            <w:r>
              <w:rPr>
                <w:rFonts w:ascii="宋体" w:hAnsi="宋体" w:eastAsia="宋体" w:cs="Times New Roman"/>
                <w:bCs/>
                <w:kern w:val="0"/>
                <w:szCs w:val="21"/>
              </w:rPr>
              <w:t>.体验式教学</w:t>
            </w:r>
          </w:p>
          <w:p w14:paraId="51BEEC9D">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4</w:t>
            </w:r>
            <w:r>
              <w:rPr>
                <w:rFonts w:ascii="宋体" w:hAnsi="宋体" w:eastAsia="宋体" w:cs="Times New Roman"/>
                <w:bCs/>
                <w:kern w:val="0"/>
                <w:szCs w:val="21"/>
              </w:rPr>
              <w:t>.精品案例评析</w:t>
            </w:r>
          </w:p>
        </w:tc>
        <w:tc>
          <w:tcPr>
            <w:tcW w:w="1559" w:type="dxa"/>
            <w:vAlign w:val="center"/>
          </w:tcPr>
          <w:p w14:paraId="2488221F">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课程目标4</w:t>
            </w:r>
          </w:p>
          <w:p w14:paraId="1591C5FF">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课程目标5</w:t>
            </w:r>
          </w:p>
        </w:tc>
        <w:tc>
          <w:tcPr>
            <w:tcW w:w="1985" w:type="dxa"/>
          </w:tcPr>
          <w:p w14:paraId="14658D19">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.掌握不同教学模式的特点与操作方式</w:t>
            </w:r>
            <w:r>
              <w:rPr>
                <w:rFonts w:hint="eastAsia" w:ascii="宋体" w:hAnsi="宋体" w:eastAsia="宋体" w:cs="Times New Roman"/>
                <w:bCs/>
                <w:kern w:val="0"/>
                <w:szCs w:val="21"/>
              </w:rPr>
              <w:t>。</w:t>
            </w:r>
          </w:p>
          <w:p w14:paraId="16E2BA2C">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.掌握不同教学模式的优点，灵活运用于教学设计中</w:t>
            </w:r>
            <w:r>
              <w:rPr>
                <w:rFonts w:hint="eastAsia" w:ascii="宋体" w:hAnsi="宋体" w:eastAsia="宋体" w:cs="Times New Roman"/>
                <w:bCs/>
                <w:kern w:val="0"/>
                <w:szCs w:val="21"/>
              </w:rPr>
              <w:t>。</w:t>
            </w:r>
          </w:p>
        </w:tc>
        <w:tc>
          <w:tcPr>
            <w:tcW w:w="1559" w:type="dxa"/>
            <w:vAlign w:val="center"/>
          </w:tcPr>
          <w:p w14:paraId="130CE568">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70C97BD4">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教学观摩</w:t>
            </w:r>
          </w:p>
          <w:p w14:paraId="7CA064EE">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kern w:val="0"/>
                <w:szCs w:val="21"/>
              </w:rPr>
              <w:t>4</w:t>
            </w:r>
            <w:r>
              <w:rPr>
                <w:rFonts w:ascii="宋体" w:hAnsi="宋体" w:eastAsia="宋体" w:cs="Times New Roman"/>
                <w:kern w:val="0"/>
                <w:szCs w:val="21"/>
              </w:rPr>
              <w:t>.</w:t>
            </w:r>
            <w:r>
              <w:rPr>
                <w:rFonts w:hint="eastAsia" w:ascii="宋体" w:hAnsi="宋体" w:eastAsia="宋体" w:cs="Times New Roman"/>
                <w:kern w:val="0"/>
                <w:szCs w:val="21"/>
              </w:rPr>
              <w:t>教学设计</w:t>
            </w:r>
          </w:p>
        </w:tc>
        <w:tc>
          <w:tcPr>
            <w:tcW w:w="709" w:type="dxa"/>
            <w:vAlign w:val="center"/>
          </w:tcPr>
          <w:p w14:paraId="304CF479">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2</w:t>
            </w:r>
          </w:p>
        </w:tc>
      </w:tr>
      <w:tr w14:paraId="21C0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continue"/>
            <w:vAlign w:val="center"/>
          </w:tcPr>
          <w:p w14:paraId="57BCA117">
            <w:pPr>
              <w:adjustRightInd w:val="0"/>
              <w:snapToGrid w:val="0"/>
              <w:spacing w:line="276" w:lineRule="auto"/>
              <w:jc w:val="center"/>
              <w:rPr>
                <w:rFonts w:hint="eastAsia" w:ascii="宋体" w:hAnsi="宋体" w:eastAsia="宋体" w:cs="Times New Roman"/>
                <w:bCs/>
                <w:kern w:val="0"/>
                <w:szCs w:val="21"/>
              </w:rPr>
            </w:pPr>
          </w:p>
        </w:tc>
        <w:tc>
          <w:tcPr>
            <w:tcW w:w="8124" w:type="dxa"/>
            <w:gridSpan w:val="5"/>
            <w:vAlign w:val="center"/>
          </w:tcPr>
          <w:p w14:paraId="7A7CD33B">
            <w:pPr>
              <w:adjustRightInd w:val="0"/>
              <w:snapToGrid w:val="0"/>
              <w:spacing w:line="276" w:lineRule="auto"/>
              <w:jc w:val="left"/>
              <w:rPr>
                <w:rFonts w:hint="eastAsia" w:ascii="宋体" w:hAnsi="宋体" w:eastAsia="宋体" w:cs="Times New Roman"/>
                <w:bCs/>
                <w:kern w:val="0"/>
                <w:szCs w:val="21"/>
              </w:rPr>
            </w:pPr>
            <w:r>
              <w:rPr>
                <w:rFonts w:ascii="宋体" w:hAnsi="宋体" w:eastAsia="宋体" w:cs="Times New Roman"/>
                <w:b/>
                <w:kern w:val="0"/>
                <w:szCs w:val="21"/>
              </w:rPr>
              <w:t>课程思政目标</w:t>
            </w:r>
            <w:r>
              <w:rPr>
                <w:rFonts w:hint="eastAsia" w:ascii="宋体" w:hAnsi="宋体" w:eastAsia="宋体" w:cs="Times New Roman"/>
                <w:b/>
                <w:kern w:val="0"/>
                <w:szCs w:val="21"/>
              </w:rPr>
              <w:t>：</w:t>
            </w:r>
            <w:r>
              <w:rPr>
                <w:rFonts w:ascii="宋体" w:hAnsi="宋体" w:eastAsia="宋体" w:cs="Times New Roman"/>
                <w:bCs/>
                <w:kern w:val="0"/>
                <w:szCs w:val="21"/>
              </w:rPr>
              <w:t>通过本章内容的学习，使学生了解不同教学模式背后的育人指向，增强对道德与法治教学模式的思想理念的认识，提高人文素养和文化底蕴，增强教育智慧，具备根据不同道德与法治教学主题设计形成适宜教学风格的能力。</w:t>
            </w:r>
          </w:p>
        </w:tc>
      </w:tr>
      <w:tr w14:paraId="2A89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restart"/>
            <w:vAlign w:val="center"/>
          </w:tcPr>
          <w:p w14:paraId="7181DC7A">
            <w:pPr>
              <w:adjustRightInd w:val="0"/>
              <w:snapToGrid w:val="0"/>
              <w:spacing w:line="276" w:lineRule="auto"/>
              <w:jc w:val="center"/>
              <w:rPr>
                <w:rFonts w:hint="eastAsia" w:ascii="宋体" w:hAnsi="宋体" w:eastAsia="宋体" w:cs="Times New Roman"/>
                <w:bCs/>
                <w:kern w:val="0"/>
                <w:szCs w:val="21"/>
              </w:rPr>
            </w:pPr>
            <w:r>
              <w:rPr>
                <w:rFonts w:ascii="宋体" w:hAnsi="宋体" w:eastAsia="宋体" w:cs="Times New Roman"/>
                <w:bCs/>
                <w:kern w:val="0"/>
                <w:szCs w:val="21"/>
              </w:rPr>
              <w:t>第八章 小学道德与法治教学资源的搜集和利用</w:t>
            </w:r>
          </w:p>
        </w:tc>
        <w:tc>
          <w:tcPr>
            <w:tcW w:w="2312" w:type="dxa"/>
          </w:tcPr>
          <w:p w14:paraId="1DF434C0">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.小学道德与法治教学资源的类型</w:t>
            </w:r>
          </w:p>
          <w:p w14:paraId="3C986A1D">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.小学道德与法治教学资源开发路径</w:t>
            </w:r>
          </w:p>
          <w:p w14:paraId="3E2BB580">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3</w:t>
            </w:r>
            <w:r>
              <w:rPr>
                <w:rFonts w:ascii="宋体" w:hAnsi="宋体" w:eastAsia="宋体" w:cs="Times New Roman"/>
                <w:bCs/>
                <w:kern w:val="0"/>
                <w:szCs w:val="21"/>
              </w:rPr>
              <w:t>.小学道德与法治教学资源使用方式</w:t>
            </w:r>
          </w:p>
        </w:tc>
        <w:tc>
          <w:tcPr>
            <w:tcW w:w="1559" w:type="dxa"/>
            <w:vAlign w:val="center"/>
          </w:tcPr>
          <w:p w14:paraId="2DDEB69C">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课程目标4</w:t>
            </w:r>
          </w:p>
          <w:p w14:paraId="5410409C">
            <w:pPr>
              <w:adjustRightInd w:val="0"/>
              <w:snapToGrid w:val="0"/>
              <w:spacing w:line="276"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课程目标5</w:t>
            </w:r>
          </w:p>
        </w:tc>
        <w:tc>
          <w:tcPr>
            <w:tcW w:w="1985" w:type="dxa"/>
          </w:tcPr>
          <w:p w14:paraId="0E8B7485">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.掌握不同教学资源的选用方式与教学设计</w:t>
            </w:r>
            <w:r>
              <w:rPr>
                <w:rFonts w:hint="eastAsia" w:ascii="宋体" w:hAnsi="宋体" w:eastAsia="宋体" w:cs="Times New Roman"/>
                <w:bCs/>
                <w:kern w:val="0"/>
                <w:szCs w:val="21"/>
              </w:rPr>
              <w:t>。</w:t>
            </w:r>
          </w:p>
          <w:p w14:paraId="1701CF9C">
            <w:pPr>
              <w:adjustRightInd w:val="0"/>
              <w:snapToGrid w:val="0"/>
              <w:spacing w:line="276" w:lineRule="auto"/>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.掌握开发多样化教学资源的途径，能根据教学需要灵活开发</w:t>
            </w:r>
            <w:r>
              <w:rPr>
                <w:rFonts w:hint="eastAsia" w:ascii="宋体" w:hAnsi="宋体" w:eastAsia="宋体" w:cs="Times New Roman"/>
                <w:bCs/>
                <w:kern w:val="0"/>
                <w:szCs w:val="21"/>
              </w:rPr>
              <w:t>。</w:t>
            </w:r>
          </w:p>
        </w:tc>
        <w:tc>
          <w:tcPr>
            <w:tcW w:w="1559" w:type="dxa"/>
            <w:vAlign w:val="center"/>
          </w:tcPr>
          <w:p w14:paraId="3B865D7A">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1.多媒体教学2.课堂讨论</w:t>
            </w:r>
          </w:p>
          <w:p w14:paraId="2CBCE7F0">
            <w:pPr>
              <w:adjustRightInd w:val="0"/>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教学观摩</w:t>
            </w:r>
          </w:p>
        </w:tc>
        <w:tc>
          <w:tcPr>
            <w:tcW w:w="709" w:type="dxa"/>
            <w:vAlign w:val="center"/>
          </w:tcPr>
          <w:p w14:paraId="661ABB20">
            <w:pPr>
              <w:adjustRightInd w:val="0"/>
              <w:snapToGrid w:val="0"/>
              <w:spacing w:line="360" w:lineRule="auto"/>
              <w:jc w:val="center"/>
              <w:rPr>
                <w:rFonts w:hint="eastAsia" w:ascii="宋体" w:hAnsi="宋体" w:eastAsia="宋体" w:cs="Times New Roman"/>
                <w:bCs/>
                <w:kern w:val="0"/>
                <w:sz w:val="20"/>
                <w:szCs w:val="21"/>
              </w:rPr>
            </w:pPr>
            <w:r>
              <w:rPr>
                <w:rFonts w:hint="eastAsia" w:ascii="宋体" w:hAnsi="宋体" w:eastAsia="宋体" w:cs="Times New Roman"/>
                <w:bCs/>
                <w:kern w:val="0"/>
                <w:sz w:val="20"/>
                <w:szCs w:val="21"/>
              </w:rPr>
              <w:t>2</w:t>
            </w:r>
          </w:p>
        </w:tc>
      </w:tr>
      <w:tr w14:paraId="1AA4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227" w:type="dxa"/>
            <w:vMerge w:val="continue"/>
          </w:tcPr>
          <w:p w14:paraId="7E8F62AE">
            <w:pPr>
              <w:adjustRightInd w:val="0"/>
              <w:snapToGrid w:val="0"/>
              <w:spacing w:line="360" w:lineRule="auto"/>
              <w:rPr>
                <w:rFonts w:hint="eastAsia" w:ascii="宋体" w:hAnsi="宋体" w:eastAsia="宋体" w:cs="Times New Roman"/>
                <w:b/>
                <w:kern w:val="0"/>
                <w:sz w:val="20"/>
                <w:szCs w:val="21"/>
              </w:rPr>
            </w:pPr>
          </w:p>
        </w:tc>
        <w:tc>
          <w:tcPr>
            <w:tcW w:w="8124" w:type="dxa"/>
            <w:gridSpan w:val="5"/>
            <w:vAlign w:val="center"/>
          </w:tcPr>
          <w:p w14:paraId="5DC99D4D">
            <w:pPr>
              <w:adjustRightInd w:val="0"/>
              <w:snapToGrid w:val="0"/>
              <w:spacing w:line="276" w:lineRule="auto"/>
              <w:jc w:val="left"/>
              <w:rPr>
                <w:rFonts w:hint="eastAsia" w:ascii="宋体" w:hAnsi="宋体" w:eastAsia="宋体" w:cs="Times New Roman"/>
                <w:bCs/>
                <w:kern w:val="0"/>
                <w:szCs w:val="21"/>
              </w:rPr>
            </w:pPr>
            <w:r>
              <w:rPr>
                <w:rFonts w:ascii="宋体" w:hAnsi="宋体" w:eastAsia="宋体" w:cs="Times New Roman"/>
                <w:bCs/>
                <w:kern w:val="0"/>
                <w:szCs w:val="21"/>
              </w:rPr>
              <w:t>课程思政目标</w:t>
            </w:r>
            <w:r>
              <w:rPr>
                <w:rFonts w:hint="eastAsia" w:ascii="宋体" w:hAnsi="宋体" w:eastAsia="宋体" w:cs="Times New Roman"/>
                <w:bCs/>
                <w:kern w:val="0"/>
                <w:szCs w:val="21"/>
              </w:rPr>
              <w:t>：</w:t>
            </w:r>
            <w:r>
              <w:rPr>
                <w:rFonts w:ascii="宋体" w:hAnsi="宋体" w:eastAsia="宋体" w:cs="Times New Roman"/>
                <w:bCs/>
                <w:kern w:val="0"/>
                <w:szCs w:val="21"/>
              </w:rPr>
              <w:t>通过本章内容的学习，使学生掌握使用联系的观点看问题，能够看到不同资源内在的教育价值联系，善于将生活中的事物事件转化为有效教学资源，增益教学设计。</w:t>
            </w:r>
          </w:p>
        </w:tc>
      </w:tr>
    </w:tbl>
    <w:p w14:paraId="3528089C">
      <w:pPr>
        <w:spacing w:before="62" w:beforeLines="20" w:after="62" w:afterLines="20" w:line="360" w:lineRule="auto"/>
        <w:jc w:val="left"/>
        <w:rPr>
          <w:rFonts w:ascii="Times New Roman" w:hAnsi="Times New Roman" w:eastAsia="宋体" w:cs="Times New Roman"/>
          <w:b/>
          <w:sz w:val="24"/>
        </w:rPr>
      </w:pPr>
      <w:bookmarkStart w:id="1837" w:name="_Toc26501"/>
      <w:bookmarkStart w:id="1838" w:name="_Toc27779"/>
      <w:bookmarkStart w:id="1839" w:name="_Toc2587"/>
      <w:bookmarkStart w:id="1840" w:name="_Toc9881"/>
      <w:bookmarkStart w:id="1841" w:name="_Toc18935"/>
      <w:bookmarkStart w:id="1842" w:name="_Toc13745"/>
      <w:bookmarkStart w:id="1843" w:name="_Toc10316"/>
      <w:r>
        <w:rPr>
          <w:rFonts w:hint="eastAsia" w:ascii="Times New Roman" w:hAnsi="Times New Roman" w:eastAsia="宋体" w:cs="Times New Roman"/>
          <w:b/>
          <w:sz w:val="24"/>
        </w:rPr>
        <w:t>四、目标评价与成绩评定</w:t>
      </w:r>
      <w:bookmarkEnd w:id="1837"/>
      <w:bookmarkEnd w:id="1838"/>
      <w:bookmarkEnd w:id="1839"/>
      <w:bookmarkEnd w:id="1840"/>
      <w:bookmarkEnd w:id="1841"/>
      <w:bookmarkEnd w:id="1842"/>
      <w:bookmarkEnd w:id="1843"/>
    </w:p>
    <w:p w14:paraId="5BDF1313">
      <w:pPr>
        <w:adjustRightInd w:val="0"/>
        <w:snapToGrid w:val="0"/>
        <w:spacing w:line="360" w:lineRule="auto"/>
        <w:ind w:firstLine="422" w:firstLineChars="200"/>
        <w:outlineLvl w:val="1"/>
        <w:rPr>
          <w:rFonts w:hint="eastAsia" w:ascii="宋体" w:hAnsi="宋体" w:eastAsia="宋体" w:cs="Times New Roman"/>
          <w:b/>
          <w:szCs w:val="21"/>
        </w:rPr>
      </w:pPr>
      <w:bookmarkStart w:id="1844" w:name="_Toc2328"/>
      <w:r>
        <w:rPr>
          <w:rFonts w:hint="eastAsia" w:ascii="宋体" w:hAnsi="宋体" w:eastAsia="宋体" w:cs="Times New Roman"/>
          <w:b/>
          <w:szCs w:val="21"/>
        </w:rPr>
        <w:t>（一）课程目标评价方式</w:t>
      </w:r>
      <w:bookmarkEnd w:id="1844"/>
    </w:p>
    <w:p w14:paraId="17EBA7E8">
      <w:pPr>
        <w:adjustRightInd w:val="0"/>
        <w:snapToGrid w:val="0"/>
        <w:spacing w:line="360" w:lineRule="auto"/>
        <w:ind w:firstLine="480" w:firstLineChars="200"/>
        <w:rPr>
          <w:rFonts w:hint="eastAsia" w:ascii="宋体" w:hAnsi="宋体" w:eastAsia="宋体" w:cs="Times New Roman"/>
          <w:bCs/>
          <w:sz w:val="24"/>
        </w:rPr>
      </w:pPr>
      <w:r>
        <w:rPr>
          <w:rFonts w:hint="eastAsia" w:ascii="宋体" w:hAnsi="宋体" w:eastAsia="宋体" w:cs="Times New Roman"/>
          <w:bCs/>
          <w:sz w:val="24"/>
        </w:rPr>
        <w:t>根据总体设计，用于评价各课程目标的评价方式如下表所示。</w:t>
      </w:r>
    </w:p>
    <w:tbl>
      <w:tblPr>
        <w:tblStyle w:val="12"/>
        <w:tblW w:w="8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1456"/>
        <w:gridCol w:w="1456"/>
        <w:gridCol w:w="1456"/>
        <w:gridCol w:w="1458"/>
        <w:gridCol w:w="1402"/>
      </w:tblGrid>
      <w:tr w14:paraId="3E07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56" w:type="dxa"/>
            <w:vMerge w:val="restart"/>
            <w:vAlign w:val="center"/>
          </w:tcPr>
          <w:p w14:paraId="46952741">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w:t>
            </w:r>
          </w:p>
        </w:tc>
        <w:tc>
          <w:tcPr>
            <w:tcW w:w="5826" w:type="dxa"/>
            <w:gridSpan w:val="4"/>
            <w:vAlign w:val="center"/>
          </w:tcPr>
          <w:p w14:paraId="630FB663">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评价与成绩评定方法</w:t>
            </w:r>
          </w:p>
        </w:tc>
        <w:tc>
          <w:tcPr>
            <w:tcW w:w="1402" w:type="dxa"/>
            <w:vMerge w:val="restart"/>
            <w:vAlign w:val="center"/>
          </w:tcPr>
          <w:p w14:paraId="6CD4E2A2">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分值</w:t>
            </w:r>
          </w:p>
        </w:tc>
      </w:tr>
      <w:tr w14:paraId="6105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56" w:type="dxa"/>
            <w:vMerge w:val="continue"/>
            <w:vAlign w:val="center"/>
          </w:tcPr>
          <w:p w14:paraId="38043739">
            <w:pPr>
              <w:adjustRightInd w:val="0"/>
              <w:snapToGrid w:val="0"/>
              <w:spacing w:line="312" w:lineRule="auto"/>
              <w:jc w:val="center"/>
              <w:rPr>
                <w:rFonts w:hint="eastAsia" w:ascii="宋体" w:hAnsi="宋体" w:eastAsia="宋体" w:cs="Times New Roman"/>
                <w:bCs/>
                <w:kern w:val="0"/>
                <w:szCs w:val="21"/>
              </w:rPr>
            </w:pPr>
          </w:p>
        </w:tc>
        <w:tc>
          <w:tcPr>
            <w:tcW w:w="1456" w:type="dxa"/>
            <w:vAlign w:val="center"/>
          </w:tcPr>
          <w:p w14:paraId="14C748FF">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平时作业</w:t>
            </w:r>
          </w:p>
        </w:tc>
        <w:tc>
          <w:tcPr>
            <w:tcW w:w="1456" w:type="dxa"/>
            <w:vAlign w:val="center"/>
          </w:tcPr>
          <w:p w14:paraId="3C481675">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课堂表现</w:t>
            </w:r>
          </w:p>
        </w:tc>
        <w:tc>
          <w:tcPr>
            <w:tcW w:w="1456" w:type="dxa"/>
            <w:vAlign w:val="center"/>
          </w:tcPr>
          <w:p w14:paraId="34926CB5">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课内实践</w:t>
            </w:r>
          </w:p>
        </w:tc>
        <w:tc>
          <w:tcPr>
            <w:tcW w:w="1457" w:type="dxa"/>
            <w:vAlign w:val="center"/>
          </w:tcPr>
          <w:p w14:paraId="70612C4D">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期末考试</w:t>
            </w:r>
          </w:p>
        </w:tc>
        <w:tc>
          <w:tcPr>
            <w:tcW w:w="1402" w:type="dxa"/>
            <w:vMerge w:val="continue"/>
            <w:vAlign w:val="center"/>
          </w:tcPr>
          <w:p w14:paraId="5AED69ED">
            <w:pPr>
              <w:adjustRightInd w:val="0"/>
              <w:snapToGrid w:val="0"/>
              <w:spacing w:line="312" w:lineRule="auto"/>
              <w:jc w:val="center"/>
              <w:rPr>
                <w:rFonts w:hint="eastAsia" w:ascii="宋体" w:hAnsi="宋体" w:eastAsia="宋体" w:cs="Times New Roman"/>
                <w:bCs/>
                <w:kern w:val="0"/>
                <w:szCs w:val="21"/>
              </w:rPr>
            </w:pPr>
          </w:p>
        </w:tc>
      </w:tr>
      <w:tr w14:paraId="5498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56" w:type="dxa"/>
            <w:vAlign w:val="center"/>
          </w:tcPr>
          <w:p w14:paraId="2D48EE2B">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课程目标1</w:t>
            </w:r>
          </w:p>
        </w:tc>
        <w:tc>
          <w:tcPr>
            <w:tcW w:w="1456" w:type="dxa"/>
            <w:vAlign w:val="center"/>
          </w:tcPr>
          <w:p w14:paraId="61E5B9D1">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6" w:type="dxa"/>
            <w:vAlign w:val="center"/>
          </w:tcPr>
          <w:p w14:paraId="45166ABB">
            <w:pPr>
              <w:adjustRightInd w:val="0"/>
              <w:snapToGrid w:val="0"/>
              <w:spacing w:line="312" w:lineRule="auto"/>
              <w:jc w:val="center"/>
              <w:rPr>
                <w:rFonts w:hint="eastAsia" w:ascii="宋体" w:hAnsi="宋体" w:eastAsia="宋体" w:cs="Times New Roman"/>
                <w:bCs/>
                <w:kern w:val="0"/>
                <w:szCs w:val="21"/>
              </w:rPr>
            </w:pPr>
          </w:p>
        </w:tc>
        <w:tc>
          <w:tcPr>
            <w:tcW w:w="1456" w:type="dxa"/>
            <w:vAlign w:val="center"/>
          </w:tcPr>
          <w:p w14:paraId="08095FAE">
            <w:pPr>
              <w:adjustRightInd w:val="0"/>
              <w:snapToGrid w:val="0"/>
              <w:spacing w:line="312" w:lineRule="auto"/>
              <w:jc w:val="center"/>
              <w:rPr>
                <w:rFonts w:hint="eastAsia" w:ascii="宋体" w:hAnsi="宋体" w:eastAsia="宋体" w:cs="Times New Roman"/>
                <w:bCs/>
                <w:kern w:val="0"/>
                <w:szCs w:val="21"/>
              </w:rPr>
            </w:pPr>
          </w:p>
        </w:tc>
        <w:tc>
          <w:tcPr>
            <w:tcW w:w="1457" w:type="dxa"/>
            <w:vAlign w:val="center"/>
          </w:tcPr>
          <w:p w14:paraId="6AA83E38">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02" w:type="dxa"/>
            <w:vAlign w:val="center"/>
          </w:tcPr>
          <w:p w14:paraId="5367EA65">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t>10</w:t>
            </w:r>
          </w:p>
        </w:tc>
      </w:tr>
      <w:tr w14:paraId="7D778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56" w:type="dxa"/>
            <w:vAlign w:val="center"/>
          </w:tcPr>
          <w:p w14:paraId="687C3D03">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课程目标2</w:t>
            </w:r>
          </w:p>
        </w:tc>
        <w:tc>
          <w:tcPr>
            <w:tcW w:w="1456" w:type="dxa"/>
            <w:vAlign w:val="center"/>
          </w:tcPr>
          <w:p w14:paraId="013D8FEF">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6" w:type="dxa"/>
            <w:vAlign w:val="center"/>
          </w:tcPr>
          <w:p w14:paraId="31C77042">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6" w:type="dxa"/>
            <w:vAlign w:val="center"/>
          </w:tcPr>
          <w:p w14:paraId="4B2A62CD">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7" w:type="dxa"/>
            <w:vAlign w:val="center"/>
          </w:tcPr>
          <w:p w14:paraId="341D3B1C">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02" w:type="dxa"/>
            <w:vAlign w:val="center"/>
          </w:tcPr>
          <w:p w14:paraId="6071813A">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2</w:t>
            </w:r>
            <w:r>
              <w:rPr>
                <w:rFonts w:ascii="宋体" w:hAnsi="宋体" w:eastAsia="宋体" w:cs="Times New Roman"/>
                <w:bCs/>
                <w:kern w:val="0"/>
                <w:szCs w:val="21"/>
              </w:rPr>
              <w:t>0</w:t>
            </w:r>
          </w:p>
        </w:tc>
      </w:tr>
      <w:tr w14:paraId="664A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56" w:type="dxa"/>
            <w:vAlign w:val="center"/>
          </w:tcPr>
          <w:p w14:paraId="6DD0AE27">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课程目标3</w:t>
            </w:r>
          </w:p>
        </w:tc>
        <w:tc>
          <w:tcPr>
            <w:tcW w:w="1456" w:type="dxa"/>
            <w:vAlign w:val="center"/>
          </w:tcPr>
          <w:p w14:paraId="79B5FB7C">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6" w:type="dxa"/>
            <w:vAlign w:val="center"/>
          </w:tcPr>
          <w:p w14:paraId="557DC4D9">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6" w:type="dxa"/>
            <w:vAlign w:val="center"/>
          </w:tcPr>
          <w:p w14:paraId="54F59BF6">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7" w:type="dxa"/>
            <w:vAlign w:val="center"/>
          </w:tcPr>
          <w:p w14:paraId="6D6D121E">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02" w:type="dxa"/>
            <w:vAlign w:val="center"/>
          </w:tcPr>
          <w:p w14:paraId="0C5CFC5E">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t>30</w:t>
            </w:r>
          </w:p>
        </w:tc>
      </w:tr>
      <w:tr w14:paraId="21A4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56" w:type="dxa"/>
            <w:vAlign w:val="center"/>
          </w:tcPr>
          <w:p w14:paraId="4C3F72BF">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课程目标4</w:t>
            </w:r>
          </w:p>
        </w:tc>
        <w:tc>
          <w:tcPr>
            <w:tcW w:w="1456" w:type="dxa"/>
            <w:vAlign w:val="center"/>
          </w:tcPr>
          <w:p w14:paraId="3921E087">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6" w:type="dxa"/>
            <w:vAlign w:val="center"/>
          </w:tcPr>
          <w:p w14:paraId="63AF7E65">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6" w:type="dxa"/>
            <w:vAlign w:val="center"/>
          </w:tcPr>
          <w:p w14:paraId="5E90E359">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7" w:type="dxa"/>
            <w:vAlign w:val="center"/>
          </w:tcPr>
          <w:p w14:paraId="776EB46E">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02" w:type="dxa"/>
            <w:vAlign w:val="center"/>
          </w:tcPr>
          <w:p w14:paraId="6D0CDDC3">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t>30</w:t>
            </w:r>
          </w:p>
        </w:tc>
      </w:tr>
      <w:tr w14:paraId="1F68E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456" w:type="dxa"/>
            <w:vAlign w:val="center"/>
          </w:tcPr>
          <w:p w14:paraId="3EFB334C">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课程目标5</w:t>
            </w:r>
          </w:p>
        </w:tc>
        <w:tc>
          <w:tcPr>
            <w:tcW w:w="1456" w:type="dxa"/>
            <w:vAlign w:val="center"/>
          </w:tcPr>
          <w:p w14:paraId="45EBAFB1">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56" w:type="dxa"/>
            <w:vAlign w:val="center"/>
          </w:tcPr>
          <w:p w14:paraId="7DC00545">
            <w:pPr>
              <w:adjustRightInd w:val="0"/>
              <w:snapToGrid w:val="0"/>
              <w:spacing w:line="312" w:lineRule="auto"/>
              <w:jc w:val="center"/>
              <w:rPr>
                <w:rFonts w:hint="eastAsia" w:ascii="宋体" w:hAnsi="宋体" w:eastAsia="宋体" w:cs="Times New Roman"/>
                <w:bCs/>
                <w:kern w:val="0"/>
                <w:szCs w:val="21"/>
              </w:rPr>
            </w:pPr>
          </w:p>
        </w:tc>
        <w:tc>
          <w:tcPr>
            <w:tcW w:w="1456" w:type="dxa"/>
            <w:vAlign w:val="center"/>
          </w:tcPr>
          <w:p w14:paraId="4A971E74">
            <w:pPr>
              <w:adjustRightInd w:val="0"/>
              <w:snapToGrid w:val="0"/>
              <w:spacing w:line="312" w:lineRule="auto"/>
              <w:jc w:val="center"/>
              <w:rPr>
                <w:rFonts w:hint="eastAsia" w:ascii="宋体" w:hAnsi="宋体" w:eastAsia="宋体" w:cs="Times New Roman"/>
                <w:bCs/>
                <w:kern w:val="0"/>
                <w:szCs w:val="21"/>
              </w:rPr>
            </w:pPr>
          </w:p>
        </w:tc>
        <w:tc>
          <w:tcPr>
            <w:tcW w:w="1457" w:type="dxa"/>
            <w:vAlign w:val="center"/>
          </w:tcPr>
          <w:p w14:paraId="227821AF">
            <w:pPr>
              <w:adjustRightInd w:val="0"/>
              <w:snapToGrid w:val="0"/>
              <w:spacing w:line="312" w:lineRule="auto"/>
              <w:jc w:val="center"/>
              <w:rPr>
                <w:rFonts w:hint="eastAsia" w:ascii="宋体" w:hAnsi="宋体" w:eastAsia="宋体" w:cs="Times New Roman"/>
                <w:bCs/>
                <w:kern w:val="0"/>
                <w:szCs w:val="21"/>
              </w:rPr>
            </w:pPr>
            <w:r>
              <w:rPr>
                <w:rFonts w:ascii="宋体" w:hAnsi="宋体" w:eastAsia="宋体" w:cs="Times New Roman"/>
                <w:bCs/>
                <w:kern w:val="0"/>
                <w:szCs w:val="21"/>
              </w:rPr>
              <w:sym w:font="Wingdings 2" w:char="F050"/>
            </w:r>
          </w:p>
        </w:tc>
        <w:tc>
          <w:tcPr>
            <w:tcW w:w="1402" w:type="dxa"/>
            <w:vAlign w:val="center"/>
          </w:tcPr>
          <w:p w14:paraId="75B0EC5F">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0</w:t>
            </w:r>
          </w:p>
        </w:tc>
      </w:tr>
      <w:tr w14:paraId="17A2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56" w:type="dxa"/>
            <w:vAlign w:val="center"/>
          </w:tcPr>
          <w:p w14:paraId="15C1BCC5">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合计</w:t>
            </w:r>
          </w:p>
        </w:tc>
        <w:tc>
          <w:tcPr>
            <w:tcW w:w="1456" w:type="dxa"/>
            <w:vAlign w:val="center"/>
          </w:tcPr>
          <w:p w14:paraId="44738C03">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0</w:t>
            </w:r>
          </w:p>
        </w:tc>
        <w:tc>
          <w:tcPr>
            <w:tcW w:w="1456" w:type="dxa"/>
            <w:vAlign w:val="center"/>
          </w:tcPr>
          <w:p w14:paraId="1FCF1CA5">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0</w:t>
            </w:r>
          </w:p>
        </w:tc>
        <w:tc>
          <w:tcPr>
            <w:tcW w:w="1456" w:type="dxa"/>
            <w:vAlign w:val="center"/>
          </w:tcPr>
          <w:p w14:paraId="678A9957">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3</w:t>
            </w:r>
            <w:r>
              <w:rPr>
                <w:rFonts w:ascii="宋体" w:hAnsi="宋体" w:eastAsia="宋体" w:cs="Times New Roman"/>
                <w:bCs/>
                <w:kern w:val="0"/>
                <w:szCs w:val="21"/>
              </w:rPr>
              <w:t>0</w:t>
            </w:r>
          </w:p>
        </w:tc>
        <w:tc>
          <w:tcPr>
            <w:tcW w:w="1457" w:type="dxa"/>
            <w:vAlign w:val="center"/>
          </w:tcPr>
          <w:p w14:paraId="4B298FAC">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5</w:t>
            </w:r>
            <w:r>
              <w:rPr>
                <w:rFonts w:ascii="宋体" w:hAnsi="宋体" w:eastAsia="宋体" w:cs="Times New Roman"/>
                <w:bCs/>
                <w:kern w:val="0"/>
                <w:szCs w:val="21"/>
              </w:rPr>
              <w:t>0</w:t>
            </w:r>
          </w:p>
        </w:tc>
        <w:tc>
          <w:tcPr>
            <w:tcW w:w="1402" w:type="dxa"/>
            <w:vAlign w:val="center"/>
          </w:tcPr>
          <w:p w14:paraId="147996FF">
            <w:pPr>
              <w:adjustRightInd w:val="0"/>
              <w:snapToGrid w:val="0"/>
              <w:spacing w:line="312" w:lineRule="auto"/>
              <w:jc w:val="center"/>
              <w:rPr>
                <w:rFonts w:hint="eastAsia" w:ascii="宋体" w:hAnsi="宋体" w:eastAsia="宋体" w:cs="Times New Roman"/>
                <w:bCs/>
                <w:kern w:val="0"/>
                <w:szCs w:val="21"/>
              </w:rPr>
            </w:pPr>
            <w:r>
              <w:rPr>
                <w:rFonts w:hint="eastAsia" w:ascii="宋体" w:hAnsi="宋体" w:eastAsia="宋体" w:cs="Times New Roman"/>
                <w:bCs/>
                <w:kern w:val="0"/>
                <w:szCs w:val="21"/>
              </w:rPr>
              <w:t>1</w:t>
            </w:r>
            <w:r>
              <w:rPr>
                <w:rFonts w:ascii="宋体" w:hAnsi="宋体" w:eastAsia="宋体" w:cs="Times New Roman"/>
                <w:bCs/>
                <w:kern w:val="0"/>
                <w:szCs w:val="21"/>
              </w:rPr>
              <w:t>00</w:t>
            </w:r>
          </w:p>
        </w:tc>
      </w:tr>
    </w:tbl>
    <w:p w14:paraId="5074C4AF">
      <w:pPr>
        <w:widowControl/>
        <w:spacing w:line="360" w:lineRule="auto"/>
        <w:ind w:firstLine="422" w:firstLineChars="200"/>
        <w:jc w:val="left"/>
        <w:outlineLvl w:val="1"/>
        <w:rPr>
          <w:rFonts w:ascii="Calibri" w:hAnsi="Calibri" w:eastAsia="宋体" w:cs="Times New Roman"/>
          <w:b/>
          <w:szCs w:val="21"/>
        </w:rPr>
      </w:pPr>
      <w:bookmarkStart w:id="1845" w:name="_Toc12971"/>
      <w:r>
        <w:rPr>
          <w:rFonts w:hint="eastAsia" w:ascii="Calibri" w:hAnsi="Calibri" w:eastAsia="宋体" w:cs="Times New Roman"/>
          <w:b/>
          <w:szCs w:val="21"/>
        </w:rPr>
        <w:t>（二）成绩评定细则</w:t>
      </w:r>
      <w:bookmarkEnd w:id="1845"/>
    </w:p>
    <w:p w14:paraId="2AAA4E29">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6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6611"/>
        <w:gridCol w:w="729"/>
      </w:tblGrid>
      <w:tr w14:paraId="5EDF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333" w:type="dxa"/>
            <w:vAlign w:val="center"/>
          </w:tcPr>
          <w:p w14:paraId="6285338A">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评价方式</w:t>
            </w:r>
          </w:p>
        </w:tc>
        <w:tc>
          <w:tcPr>
            <w:tcW w:w="6611" w:type="dxa"/>
            <w:vAlign w:val="center"/>
          </w:tcPr>
          <w:p w14:paraId="2B171B43">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评定细则</w:t>
            </w:r>
          </w:p>
        </w:tc>
        <w:tc>
          <w:tcPr>
            <w:tcW w:w="0" w:type="auto"/>
            <w:vAlign w:val="center"/>
          </w:tcPr>
          <w:p w14:paraId="307DA2EC">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占比</w:t>
            </w:r>
          </w:p>
        </w:tc>
      </w:tr>
      <w:tr w14:paraId="29E5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33" w:type="dxa"/>
            <w:tcBorders>
              <w:top w:val="single" w:color="auto" w:sz="4" w:space="0"/>
              <w:left w:val="single" w:color="auto" w:sz="4" w:space="0"/>
              <w:bottom w:val="single" w:color="auto" w:sz="4" w:space="0"/>
              <w:right w:val="single" w:color="auto" w:sz="4" w:space="0"/>
            </w:tcBorders>
            <w:vAlign w:val="center"/>
          </w:tcPr>
          <w:p w14:paraId="51716FB7">
            <w:pPr>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平时作业</w:t>
            </w:r>
          </w:p>
        </w:tc>
        <w:tc>
          <w:tcPr>
            <w:tcW w:w="6611" w:type="dxa"/>
            <w:tcBorders>
              <w:top w:val="single" w:color="auto" w:sz="4" w:space="0"/>
              <w:left w:val="single" w:color="auto" w:sz="4" w:space="0"/>
              <w:bottom w:val="single" w:color="auto" w:sz="4" w:space="0"/>
              <w:right w:val="single" w:color="auto" w:sz="4" w:space="0"/>
            </w:tcBorders>
            <w:vAlign w:val="center"/>
          </w:tcPr>
          <w:p w14:paraId="07D7AF81">
            <w:pPr>
              <w:snapToGrid w:val="0"/>
              <w:spacing w:line="276" w:lineRule="auto"/>
              <w:rPr>
                <w:rFonts w:hint="eastAsia" w:ascii="宋体" w:hAnsi="宋体" w:eastAsia="宋体" w:cs="Times New Roman"/>
                <w:kern w:val="0"/>
                <w:szCs w:val="21"/>
              </w:rPr>
            </w:pPr>
            <w:r>
              <w:rPr>
                <w:rFonts w:ascii="宋体" w:hAnsi="宋体" w:eastAsia="宋体" w:cs="Times New Roman"/>
                <w:kern w:val="0"/>
                <w:szCs w:val="21"/>
              </w:rPr>
              <w:t>主要考核学生</w:t>
            </w:r>
            <w:r>
              <w:rPr>
                <w:rFonts w:hint="eastAsia" w:ascii="宋体" w:hAnsi="宋体" w:eastAsia="宋体" w:cs="Times New Roman"/>
                <w:kern w:val="0"/>
                <w:szCs w:val="21"/>
              </w:rPr>
              <w:t>对道德与法治教学目标、教材解读和教学方法的理解与掌握情况，本课程安排不少于3次的书面作业。</w:t>
            </w:r>
          </w:p>
        </w:tc>
        <w:tc>
          <w:tcPr>
            <w:tcW w:w="0" w:type="auto"/>
            <w:tcBorders>
              <w:top w:val="single" w:color="auto" w:sz="4" w:space="0"/>
              <w:left w:val="single" w:color="auto" w:sz="4" w:space="0"/>
              <w:bottom w:val="single" w:color="auto" w:sz="4" w:space="0"/>
              <w:right w:val="single" w:color="auto" w:sz="4" w:space="0"/>
            </w:tcBorders>
            <w:vAlign w:val="center"/>
          </w:tcPr>
          <w:p w14:paraId="78748A2D">
            <w:pPr>
              <w:snapToGrid w:val="0"/>
              <w:spacing w:line="276" w:lineRule="auto"/>
              <w:rPr>
                <w:rFonts w:hint="eastAsia" w:ascii="宋体" w:hAnsi="宋体" w:eastAsia="宋体" w:cs="Times New Roman"/>
                <w:kern w:val="0"/>
                <w:szCs w:val="21"/>
              </w:rPr>
            </w:pPr>
            <w:r>
              <w:rPr>
                <w:rFonts w:ascii="宋体" w:hAnsi="宋体" w:eastAsia="宋体" w:cs="Times New Roman"/>
                <w:kern w:val="0"/>
                <w:szCs w:val="21"/>
              </w:rPr>
              <w:t>10%</w:t>
            </w:r>
          </w:p>
        </w:tc>
      </w:tr>
      <w:tr w14:paraId="6F58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33" w:type="dxa"/>
            <w:tcBorders>
              <w:top w:val="single" w:color="auto" w:sz="4" w:space="0"/>
              <w:left w:val="single" w:color="auto" w:sz="4" w:space="0"/>
              <w:bottom w:val="single" w:color="auto" w:sz="4" w:space="0"/>
              <w:right w:val="single" w:color="auto" w:sz="4" w:space="0"/>
            </w:tcBorders>
            <w:vAlign w:val="center"/>
          </w:tcPr>
          <w:p w14:paraId="73FE064B">
            <w:pPr>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课堂表现</w:t>
            </w:r>
          </w:p>
        </w:tc>
        <w:tc>
          <w:tcPr>
            <w:tcW w:w="6611" w:type="dxa"/>
            <w:tcBorders>
              <w:top w:val="single" w:color="auto" w:sz="4" w:space="0"/>
              <w:left w:val="single" w:color="auto" w:sz="4" w:space="0"/>
              <w:bottom w:val="single" w:color="auto" w:sz="4" w:space="0"/>
              <w:right w:val="single" w:color="auto" w:sz="4" w:space="0"/>
            </w:tcBorders>
            <w:vAlign w:val="center"/>
          </w:tcPr>
          <w:p w14:paraId="73445DBC">
            <w:pPr>
              <w:widowControl/>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根据章节内容的学习需要，组织课堂讨论，</w:t>
            </w:r>
            <w:r>
              <w:rPr>
                <w:rFonts w:ascii="宋体" w:hAnsi="宋体" w:eastAsia="宋体" w:cs="宋体"/>
                <w:kern w:val="0"/>
                <w:szCs w:val="21"/>
              </w:rPr>
              <w:t>主要考核学生</w:t>
            </w:r>
            <w:r>
              <w:rPr>
                <w:rFonts w:hint="eastAsia" w:ascii="宋体" w:hAnsi="宋体" w:eastAsia="宋体" w:cs="宋体"/>
                <w:kern w:val="0"/>
                <w:szCs w:val="21"/>
              </w:rPr>
              <w:t>对知识</w:t>
            </w:r>
            <w:r>
              <w:rPr>
                <w:rFonts w:ascii="宋体" w:hAnsi="宋体" w:eastAsia="宋体" w:cs="宋体"/>
                <w:kern w:val="0"/>
                <w:szCs w:val="21"/>
              </w:rPr>
              <w:t>的</w:t>
            </w:r>
            <w:r>
              <w:rPr>
                <w:rFonts w:hint="eastAsia" w:ascii="宋体" w:hAnsi="宋体" w:eastAsia="宋体" w:cs="宋体"/>
                <w:kern w:val="0"/>
                <w:szCs w:val="21"/>
              </w:rPr>
              <w:t>理解与思考情况，根据学生回答质量进行相应评分。</w:t>
            </w:r>
          </w:p>
        </w:tc>
        <w:tc>
          <w:tcPr>
            <w:tcW w:w="0" w:type="auto"/>
            <w:tcBorders>
              <w:top w:val="single" w:color="auto" w:sz="4" w:space="0"/>
              <w:left w:val="single" w:color="auto" w:sz="4" w:space="0"/>
              <w:bottom w:val="single" w:color="auto" w:sz="4" w:space="0"/>
              <w:right w:val="single" w:color="auto" w:sz="4" w:space="0"/>
            </w:tcBorders>
            <w:vAlign w:val="center"/>
          </w:tcPr>
          <w:p w14:paraId="20CCE41E">
            <w:pPr>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w:t>
            </w:r>
          </w:p>
        </w:tc>
      </w:tr>
      <w:tr w14:paraId="62E6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33" w:type="dxa"/>
            <w:tcBorders>
              <w:top w:val="single" w:color="auto" w:sz="4" w:space="0"/>
              <w:left w:val="single" w:color="auto" w:sz="4" w:space="0"/>
              <w:bottom w:val="single" w:color="auto" w:sz="4" w:space="0"/>
              <w:right w:val="single" w:color="auto" w:sz="4" w:space="0"/>
            </w:tcBorders>
            <w:vAlign w:val="center"/>
          </w:tcPr>
          <w:p w14:paraId="22B3B79D">
            <w:pPr>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课内实践</w:t>
            </w:r>
          </w:p>
        </w:tc>
        <w:tc>
          <w:tcPr>
            <w:tcW w:w="6611" w:type="dxa"/>
            <w:tcBorders>
              <w:top w:val="single" w:color="auto" w:sz="4" w:space="0"/>
              <w:left w:val="single" w:color="auto" w:sz="4" w:space="0"/>
              <w:bottom w:val="single" w:color="auto" w:sz="4" w:space="0"/>
              <w:right w:val="single" w:color="auto" w:sz="4" w:space="0"/>
            </w:tcBorders>
            <w:vAlign w:val="center"/>
          </w:tcPr>
          <w:p w14:paraId="6397C219">
            <w:pPr>
              <w:snapToGrid w:val="0"/>
              <w:spacing w:line="276" w:lineRule="auto"/>
              <w:rPr>
                <w:rFonts w:hint="eastAsia" w:ascii="宋体" w:hAnsi="宋体" w:eastAsia="宋体" w:cs="Times New Roman"/>
                <w:kern w:val="0"/>
                <w:szCs w:val="21"/>
              </w:rPr>
            </w:pPr>
            <w:r>
              <w:rPr>
                <w:rFonts w:ascii="宋体" w:hAnsi="宋体" w:eastAsia="宋体" w:cs="宋体"/>
                <w:kern w:val="0"/>
                <w:szCs w:val="21"/>
              </w:rPr>
              <w:t>考核学生</w:t>
            </w:r>
            <w:r>
              <w:rPr>
                <w:rFonts w:hint="eastAsia" w:ascii="宋体" w:hAnsi="宋体" w:eastAsia="宋体" w:cs="宋体"/>
                <w:kern w:val="0"/>
                <w:szCs w:val="21"/>
              </w:rPr>
              <w:t>运用小学道德与法治教学理论开展教学设计、教学实施、教学评价和反思的综合能力，</w:t>
            </w:r>
            <w:r>
              <w:rPr>
                <w:rFonts w:ascii="宋体" w:hAnsi="宋体" w:eastAsia="宋体" w:cs="宋体"/>
                <w:kern w:val="0"/>
                <w:szCs w:val="21"/>
              </w:rPr>
              <w:t>完成</w:t>
            </w:r>
            <w:r>
              <w:rPr>
                <w:rFonts w:hint="eastAsia" w:ascii="宋体" w:hAnsi="宋体" w:eastAsia="宋体" w:cs="宋体"/>
                <w:kern w:val="0"/>
                <w:szCs w:val="21"/>
              </w:rPr>
              <w:t>至少4</w:t>
            </w:r>
            <w:r>
              <w:rPr>
                <w:rFonts w:ascii="宋体" w:hAnsi="宋体" w:eastAsia="宋体" w:cs="宋体"/>
                <w:kern w:val="0"/>
                <w:szCs w:val="21"/>
              </w:rPr>
              <w:t>个</w:t>
            </w:r>
            <w:r>
              <w:rPr>
                <w:rFonts w:hint="eastAsia" w:ascii="宋体" w:hAnsi="宋体" w:eastAsia="宋体" w:cs="宋体"/>
                <w:kern w:val="0"/>
                <w:szCs w:val="21"/>
              </w:rPr>
              <w:t>实践主题活动。</w:t>
            </w:r>
          </w:p>
        </w:tc>
        <w:tc>
          <w:tcPr>
            <w:tcW w:w="0" w:type="auto"/>
            <w:tcBorders>
              <w:top w:val="single" w:color="auto" w:sz="4" w:space="0"/>
              <w:left w:val="single" w:color="auto" w:sz="4" w:space="0"/>
              <w:bottom w:val="single" w:color="auto" w:sz="4" w:space="0"/>
              <w:right w:val="single" w:color="auto" w:sz="4" w:space="0"/>
            </w:tcBorders>
            <w:vAlign w:val="center"/>
          </w:tcPr>
          <w:p w14:paraId="4FFE1E89">
            <w:pPr>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0%</w:t>
            </w:r>
          </w:p>
        </w:tc>
      </w:tr>
      <w:tr w14:paraId="1FCB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33" w:type="dxa"/>
            <w:tcBorders>
              <w:top w:val="single" w:color="auto" w:sz="4" w:space="0"/>
              <w:left w:val="single" w:color="auto" w:sz="4" w:space="0"/>
              <w:bottom w:val="single" w:color="auto" w:sz="4" w:space="0"/>
              <w:right w:val="single" w:color="auto" w:sz="4" w:space="0"/>
            </w:tcBorders>
            <w:vAlign w:val="center"/>
          </w:tcPr>
          <w:p w14:paraId="36FFC139">
            <w:pPr>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期末考试</w:t>
            </w:r>
          </w:p>
        </w:tc>
        <w:tc>
          <w:tcPr>
            <w:tcW w:w="6611" w:type="dxa"/>
            <w:tcBorders>
              <w:top w:val="single" w:color="auto" w:sz="4" w:space="0"/>
              <w:left w:val="single" w:color="auto" w:sz="4" w:space="0"/>
              <w:bottom w:val="single" w:color="auto" w:sz="4" w:space="0"/>
              <w:right w:val="single" w:color="auto" w:sz="4" w:space="0"/>
            </w:tcBorders>
            <w:vAlign w:val="center"/>
          </w:tcPr>
          <w:p w14:paraId="0CA489A4">
            <w:pPr>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考试形式由教师确定。</w:t>
            </w:r>
            <w:r>
              <w:rPr>
                <w:rFonts w:ascii="宋体" w:hAnsi="宋体" w:eastAsia="宋体" w:cs="Times New Roman"/>
                <w:kern w:val="0"/>
                <w:szCs w:val="21"/>
              </w:rPr>
              <w:t>试卷题型包括填空题、简答题、论述题和教学设计题等，其中：考核基本概念知识型题目</w:t>
            </w:r>
            <w:r>
              <w:rPr>
                <w:rFonts w:hint="eastAsia" w:ascii="宋体" w:hAnsi="宋体" w:eastAsia="宋体" w:cs="Times New Roman"/>
                <w:kern w:val="0"/>
                <w:szCs w:val="21"/>
              </w:rPr>
              <w:t>不少于</w:t>
            </w:r>
            <w:r>
              <w:rPr>
                <w:rFonts w:ascii="宋体" w:hAnsi="宋体" w:eastAsia="宋体" w:cs="Times New Roman"/>
                <w:kern w:val="0"/>
                <w:szCs w:val="21"/>
              </w:rPr>
              <w:t>30%；考核道德与法治学习方式</w:t>
            </w:r>
            <w:r>
              <w:rPr>
                <w:rFonts w:hint="eastAsia" w:ascii="宋体" w:hAnsi="宋体" w:eastAsia="宋体" w:cs="Times New Roman"/>
                <w:kern w:val="0"/>
                <w:szCs w:val="21"/>
              </w:rPr>
              <w:t>不少于</w:t>
            </w:r>
            <w:r>
              <w:rPr>
                <w:rFonts w:ascii="宋体" w:hAnsi="宋体" w:eastAsia="宋体" w:cs="Times New Roman"/>
                <w:kern w:val="0"/>
                <w:szCs w:val="21"/>
              </w:rPr>
              <w:t>30%；考核教材分析与教学设计</w:t>
            </w:r>
            <w:r>
              <w:rPr>
                <w:rFonts w:hint="eastAsia" w:ascii="宋体" w:hAnsi="宋体" w:eastAsia="宋体" w:cs="Times New Roman"/>
                <w:kern w:val="0"/>
                <w:szCs w:val="21"/>
              </w:rPr>
              <w:t>不少于</w:t>
            </w:r>
            <w:r>
              <w:rPr>
                <w:rFonts w:ascii="宋体" w:hAnsi="宋体" w:eastAsia="宋体" w:cs="Times New Roman"/>
                <w:kern w:val="0"/>
                <w:szCs w:val="21"/>
              </w:rPr>
              <w:t>40%。</w:t>
            </w:r>
          </w:p>
        </w:tc>
        <w:tc>
          <w:tcPr>
            <w:tcW w:w="0" w:type="auto"/>
            <w:tcBorders>
              <w:top w:val="single" w:color="auto" w:sz="4" w:space="0"/>
              <w:left w:val="single" w:color="auto" w:sz="4" w:space="0"/>
              <w:bottom w:val="single" w:color="auto" w:sz="4" w:space="0"/>
              <w:right w:val="single" w:color="auto" w:sz="4" w:space="0"/>
            </w:tcBorders>
            <w:vAlign w:val="center"/>
          </w:tcPr>
          <w:p w14:paraId="1F411B91">
            <w:pPr>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5</w:t>
            </w:r>
            <w:r>
              <w:rPr>
                <w:rFonts w:ascii="宋体" w:hAnsi="宋体" w:eastAsia="宋体" w:cs="Times New Roman"/>
                <w:kern w:val="0"/>
                <w:szCs w:val="21"/>
              </w:rPr>
              <w:t>0</w:t>
            </w:r>
            <w:r>
              <w:rPr>
                <w:rFonts w:hint="eastAsia" w:ascii="宋体" w:hAnsi="宋体" w:eastAsia="宋体" w:cs="Times New Roman"/>
                <w:kern w:val="0"/>
                <w:szCs w:val="21"/>
              </w:rPr>
              <w:t>%</w:t>
            </w:r>
          </w:p>
        </w:tc>
      </w:tr>
      <w:tr w14:paraId="5BA2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333" w:type="dxa"/>
            <w:tcBorders>
              <w:top w:val="single" w:color="auto" w:sz="4" w:space="0"/>
              <w:left w:val="single" w:color="auto" w:sz="4" w:space="0"/>
              <w:bottom w:val="single" w:color="auto" w:sz="4" w:space="0"/>
              <w:right w:val="single" w:color="auto" w:sz="4" w:space="0"/>
            </w:tcBorders>
            <w:vAlign w:val="center"/>
          </w:tcPr>
          <w:p w14:paraId="552EF93B">
            <w:pPr>
              <w:snapToGrid w:val="0"/>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合计</w:t>
            </w:r>
          </w:p>
        </w:tc>
        <w:tc>
          <w:tcPr>
            <w:tcW w:w="6611" w:type="dxa"/>
            <w:tcBorders>
              <w:top w:val="single" w:color="auto" w:sz="4" w:space="0"/>
              <w:left w:val="single" w:color="auto" w:sz="4" w:space="0"/>
              <w:bottom w:val="single" w:color="auto" w:sz="4" w:space="0"/>
              <w:right w:val="single" w:color="auto" w:sz="4" w:space="0"/>
            </w:tcBorders>
            <w:vAlign w:val="center"/>
          </w:tcPr>
          <w:p w14:paraId="061C41DA">
            <w:pPr>
              <w:snapToGrid w:val="0"/>
              <w:spacing w:line="276" w:lineRule="auto"/>
              <w:rPr>
                <w:rFonts w:hint="eastAsia" w:ascii="宋体" w:hAnsi="宋体" w:eastAsia="宋体" w:cs="Times New Roman"/>
                <w:kern w:val="0"/>
                <w:szCs w:val="21"/>
              </w:rPr>
            </w:pPr>
          </w:p>
        </w:tc>
        <w:tc>
          <w:tcPr>
            <w:tcW w:w="0" w:type="auto"/>
            <w:tcBorders>
              <w:top w:val="single" w:color="auto" w:sz="4" w:space="0"/>
              <w:left w:val="single" w:color="auto" w:sz="4" w:space="0"/>
              <w:bottom w:val="single" w:color="auto" w:sz="4" w:space="0"/>
              <w:right w:val="single" w:color="auto" w:sz="4" w:space="0"/>
            </w:tcBorders>
            <w:vAlign w:val="center"/>
          </w:tcPr>
          <w:p w14:paraId="0516ED83">
            <w:pPr>
              <w:snapToGrid w:val="0"/>
              <w:spacing w:line="276" w:lineRule="auto"/>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00%</w:t>
            </w:r>
          </w:p>
        </w:tc>
      </w:tr>
    </w:tbl>
    <w:p w14:paraId="0405F597">
      <w:pPr>
        <w:widowControl/>
        <w:spacing w:line="360" w:lineRule="auto"/>
        <w:ind w:firstLine="422" w:firstLineChars="200"/>
        <w:jc w:val="left"/>
        <w:outlineLvl w:val="1"/>
        <w:rPr>
          <w:rFonts w:ascii="Calibri" w:hAnsi="Calibri" w:eastAsia="宋体" w:cs="Times New Roman"/>
          <w:b/>
          <w:szCs w:val="21"/>
        </w:rPr>
      </w:pPr>
      <w:bookmarkStart w:id="1846" w:name="_Toc15804"/>
      <w:r>
        <w:rPr>
          <w:rFonts w:hint="eastAsia" w:ascii="Calibri" w:hAnsi="Calibri" w:eastAsia="宋体" w:cs="Times New Roman"/>
          <w:b/>
          <w:szCs w:val="21"/>
        </w:rPr>
        <w:t>（三）课程目标达成度计算方法</w:t>
      </w:r>
      <w:bookmarkEnd w:id="1846"/>
    </w:p>
    <w:p w14:paraId="73AB4FA2">
      <w:pPr>
        <w:spacing w:line="360" w:lineRule="auto"/>
        <w:ind w:firstLine="480" w:firstLineChars="200"/>
        <w:rPr>
          <w:rFonts w:ascii="Calibri" w:hAnsi="Calibri" w:eastAsia="宋体" w:cs="Times New Roman"/>
          <w:sz w:val="24"/>
        </w:rPr>
      </w:pPr>
      <w:r>
        <w:rPr>
          <w:rFonts w:hint="eastAsia" w:ascii="Calibri" w:hAnsi="Calibri" w:eastAsia="宋体" w:cs="Times New Roman"/>
          <w:sz w:val="24"/>
        </w:rPr>
        <w:t>所有课程目标均需大于等</w:t>
      </w:r>
      <w:r>
        <w:rPr>
          <w:rFonts w:hint="eastAsia" w:ascii="宋体" w:hAnsi="宋体" w:eastAsia="宋体" w:cs="Times New Roman"/>
          <w:sz w:val="24"/>
        </w:rPr>
        <w:t>于0</w:t>
      </w:r>
      <w:r>
        <w:rPr>
          <w:rFonts w:ascii="宋体" w:hAnsi="宋体" w:eastAsia="宋体" w:cs="Times New Roman"/>
          <w:sz w:val="24"/>
        </w:rPr>
        <w:t>.6</w:t>
      </w:r>
      <w:r>
        <w:rPr>
          <w:rFonts w:hint="eastAsia" w:ascii="Calibri" w:hAnsi="Calibri" w:eastAsia="宋体" w:cs="Times New Roman"/>
          <w:sz w:val="24"/>
        </w:rPr>
        <w:t>，否则总评成绩不及格，需要补考或重修。每门课程目标总体达成度计算方法如下：</w:t>
      </w:r>
    </w:p>
    <w:p w14:paraId="0E1AF962">
      <w:pPr>
        <w:spacing w:line="360" w:lineRule="auto"/>
        <w:rPr>
          <w:rFonts w:ascii="Calibri" w:hAnsi="Calibri" w:eastAsia="宋体" w:cs="Times New Roman"/>
          <w:szCs w:val="21"/>
        </w:rPr>
      </w:pPr>
      <w:r>
        <w:rPr>
          <w:rFonts w:hint="eastAsia" w:ascii="Calibri" w:hAnsi="Calibri" w:eastAsia="宋体" w:cs="Times New Roman"/>
          <w:szCs w:val="21"/>
        </w:rPr>
        <w:t>课程目标达成度=</w:t>
      </w:r>
      <m:oMath>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课程子目标的权重值（</m:t>
        </m:r>
        <m:r>
          <m:rPr/>
          <w:rPr>
            <w:rFonts w:ascii="Cambria Math" w:hAnsi="Cambria Math" w:eastAsia="宋体" w:cs="Times New Roman"/>
            <w:szCs w:val="21"/>
          </w:rPr>
          <m:t>a</m:t>
        </m:r>
        <m:r>
          <m:rPr>
            <m:sty m:val="p"/>
          </m:rPr>
          <w:rPr>
            <w:rFonts w:hint="eastAsia" w:ascii="Cambria Math" w:hAnsi="Cambria Math" w:eastAsia="宋体" w:cs="Times New Roman"/>
            <w:szCs w:val="21"/>
          </w:rPr>
          <m:t>）</m:t>
        </m:r>
        <m:r>
          <m:rPr>
            <m:sty m:val="p"/>
          </m:rPr>
          <w:rPr>
            <w:rFonts w:ascii="Cambria Math" w:hAnsi="Cambria Math" w:eastAsia="宋体" w:cs="Times New Roman"/>
            <w:szCs w:val="21"/>
          </w:rPr>
          <m:t>×Σ</m:t>
        </m:r>
        <m:r>
          <m:rPr>
            <m:sty m:val="p"/>
          </m:rPr>
          <w:rPr>
            <w:rFonts w:hint="eastAsia" w:ascii="Cambria Math" w:hAnsi="Cambria Math" w:eastAsia="宋体" w:cs="Times New Roman"/>
            <w:szCs w:val="21"/>
          </w:rPr>
          <m:t>课程考核目标的权重值（</m:t>
        </m:r>
        <m:r>
          <m:rPr/>
          <w:rPr>
            <w:rFonts w:ascii="Cambria Math" w:hAnsi="Cambria Math" w:eastAsia="宋体" w:cs="Times New Roman"/>
            <w:szCs w:val="21"/>
          </w:rPr>
          <m:t>b</m:t>
        </m:r>
        <m:r>
          <m:rPr>
            <m:sty m:val="p"/>
          </m:rPr>
          <w:rPr>
            <w:rFonts w:hint="eastAsia" w:ascii="Cambria Math" w:hAnsi="Cambria Math" w:eastAsia="宋体" w:cs="Times New Roman"/>
            <w:szCs w:val="21"/>
          </w:rPr>
          <m:t>）</m:t>
        </m:r>
        <m:f>
          <m:fPr>
            <m:ctrlPr>
              <w:rPr>
                <w:rFonts w:ascii="Cambria Math" w:hAnsi="Cambria Math" w:eastAsia="宋体" w:cs="Times New Roman"/>
                <w:szCs w:val="21"/>
              </w:rPr>
            </m:ctrlPr>
          </m:fPr>
          <m:num>
            <m:r>
              <m:rPr/>
              <w:rPr>
                <w:rFonts w:hint="eastAsia" w:ascii="Cambria Math" w:hAnsi="Cambria Math" w:eastAsia="宋体" w:cs="Times New Roman"/>
                <w:szCs w:val="21"/>
              </w:rPr>
              <m:t>考核项目平均分</m:t>
            </m:r>
            <m:ctrlPr>
              <w:rPr>
                <w:rFonts w:ascii="Cambria Math" w:hAnsi="Cambria Math" w:eastAsia="宋体" w:cs="Times New Roman"/>
                <w:szCs w:val="21"/>
              </w:rPr>
            </m:ctrlPr>
          </m:num>
          <m:den>
            <m:r>
              <m:rPr/>
              <w:rPr>
                <w:rFonts w:hint="eastAsia" w:ascii="Cambria Math" w:hAnsi="Cambria Math" w:eastAsia="宋体" w:cs="Times New Roman"/>
                <w:szCs w:val="21"/>
              </w:rPr>
              <m:t>考核项目总分</m:t>
            </m:r>
            <m:ctrlPr>
              <w:rPr>
                <w:rFonts w:ascii="Cambria Math" w:hAnsi="Cambria Math" w:eastAsia="宋体" w:cs="Times New Roman"/>
                <w:szCs w:val="21"/>
              </w:rPr>
            </m:ctrlPr>
          </m:den>
        </m:f>
      </m:oMath>
    </w:p>
    <w:p w14:paraId="3BDDDE12">
      <w:pPr>
        <w:spacing w:before="62" w:beforeLines="20" w:after="62" w:afterLines="20" w:line="360" w:lineRule="auto"/>
        <w:jc w:val="left"/>
        <w:rPr>
          <w:rFonts w:ascii="Times New Roman" w:hAnsi="Times New Roman" w:eastAsia="宋体" w:cs="Times New Roman"/>
          <w:b/>
          <w:sz w:val="24"/>
        </w:rPr>
      </w:pPr>
      <w:bookmarkStart w:id="1847" w:name="_Toc4523"/>
      <w:bookmarkStart w:id="1848" w:name="_Toc32610"/>
      <w:bookmarkStart w:id="1849" w:name="_Toc5790"/>
      <w:bookmarkStart w:id="1850" w:name="_Toc11548"/>
      <w:bookmarkStart w:id="1851" w:name="_Toc711"/>
      <w:bookmarkStart w:id="1852" w:name="_Toc31058"/>
      <w:bookmarkStart w:id="1853" w:name="_Toc2764"/>
      <w:r>
        <w:rPr>
          <w:rFonts w:hint="eastAsia" w:ascii="Times New Roman" w:hAnsi="Times New Roman" w:eastAsia="宋体" w:cs="Times New Roman"/>
          <w:b/>
          <w:sz w:val="24"/>
        </w:rPr>
        <w:t>五、课内实践</w:t>
      </w:r>
      <w:bookmarkEnd w:id="1847"/>
      <w:bookmarkEnd w:id="1848"/>
      <w:bookmarkEnd w:id="1849"/>
      <w:bookmarkEnd w:id="1850"/>
      <w:bookmarkEnd w:id="1851"/>
      <w:bookmarkEnd w:id="1852"/>
      <w:bookmarkEnd w:id="1853"/>
    </w:p>
    <w:p w14:paraId="499D3E97">
      <w:pPr>
        <w:spacing w:line="360" w:lineRule="auto"/>
        <w:ind w:firstLine="480" w:firstLineChars="200"/>
        <w:rPr>
          <w:rFonts w:ascii="Calibri" w:hAnsi="Calibri" w:eastAsia="宋体" w:cs="Times New Roman"/>
          <w:bCs/>
          <w:sz w:val="24"/>
        </w:rPr>
      </w:pPr>
      <w:r>
        <w:rPr>
          <w:rFonts w:hint="eastAsia" w:ascii="Calibri" w:hAnsi="Calibri" w:eastAsia="宋体" w:cs="Times New Roman"/>
          <w:bCs/>
          <w:sz w:val="24"/>
        </w:rPr>
        <w:t>本课程含有课内教学实践16学时，根据章节教学主题，安排如下：</w:t>
      </w:r>
    </w:p>
    <w:tbl>
      <w:tblPr>
        <w:tblStyle w:val="12"/>
        <w:tblW w:w="8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317"/>
        <w:gridCol w:w="4473"/>
        <w:gridCol w:w="649"/>
        <w:gridCol w:w="1464"/>
      </w:tblGrid>
      <w:tr w14:paraId="2248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26" w:type="dxa"/>
            <w:vAlign w:val="center"/>
          </w:tcPr>
          <w:p w14:paraId="30770FD5">
            <w:pPr>
              <w:spacing w:line="276" w:lineRule="auto"/>
              <w:jc w:val="center"/>
              <w:rPr>
                <w:rFonts w:ascii="Calibri" w:hAnsi="Calibri" w:eastAsia="宋体" w:cs="Times New Roman"/>
                <w:b/>
                <w:kern w:val="0"/>
                <w:szCs w:val="21"/>
              </w:rPr>
            </w:pPr>
            <w:r>
              <w:rPr>
                <w:rFonts w:hint="eastAsia" w:ascii="Calibri" w:hAnsi="Calibri" w:eastAsia="宋体" w:cs="Times New Roman"/>
                <w:b/>
                <w:kern w:val="0"/>
                <w:szCs w:val="21"/>
              </w:rPr>
              <w:t>序号</w:t>
            </w:r>
          </w:p>
        </w:tc>
        <w:tc>
          <w:tcPr>
            <w:tcW w:w="1317" w:type="dxa"/>
            <w:vAlign w:val="center"/>
          </w:tcPr>
          <w:p w14:paraId="62A72436">
            <w:pPr>
              <w:spacing w:line="276" w:lineRule="auto"/>
              <w:jc w:val="center"/>
              <w:rPr>
                <w:rFonts w:ascii="Calibri" w:hAnsi="Calibri" w:eastAsia="宋体" w:cs="Times New Roman"/>
                <w:b/>
                <w:kern w:val="0"/>
                <w:szCs w:val="21"/>
              </w:rPr>
            </w:pPr>
            <w:r>
              <w:rPr>
                <w:rFonts w:hint="eastAsia" w:ascii="Calibri" w:hAnsi="Calibri" w:eastAsia="宋体" w:cs="Times New Roman"/>
                <w:b/>
                <w:kern w:val="0"/>
                <w:szCs w:val="21"/>
              </w:rPr>
              <w:t>实践项目</w:t>
            </w:r>
          </w:p>
          <w:p w14:paraId="4125108C">
            <w:pPr>
              <w:spacing w:line="276" w:lineRule="auto"/>
              <w:jc w:val="center"/>
              <w:rPr>
                <w:rFonts w:ascii="Calibri" w:hAnsi="Calibri" w:eastAsia="宋体" w:cs="Times New Roman"/>
                <w:b/>
                <w:kern w:val="0"/>
                <w:szCs w:val="21"/>
              </w:rPr>
            </w:pPr>
            <w:r>
              <w:rPr>
                <w:rFonts w:hint="eastAsia" w:ascii="Calibri" w:hAnsi="Calibri" w:eastAsia="宋体" w:cs="Times New Roman"/>
                <w:b/>
                <w:kern w:val="0"/>
                <w:szCs w:val="21"/>
              </w:rPr>
              <w:t>主题</w:t>
            </w:r>
          </w:p>
        </w:tc>
        <w:tc>
          <w:tcPr>
            <w:tcW w:w="4473" w:type="dxa"/>
            <w:vAlign w:val="center"/>
          </w:tcPr>
          <w:p w14:paraId="45F89809">
            <w:pPr>
              <w:spacing w:line="276" w:lineRule="auto"/>
              <w:jc w:val="center"/>
              <w:rPr>
                <w:rFonts w:ascii="Calibri" w:hAnsi="Calibri" w:eastAsia="宋体" w:cs="Times New Roman"/>
                <w:b/>
                <w:kern w:val="0"/>
                <w:szCs w:val="21"/>
              </w:rPr>
            </w:pPr>
            <w:r>
              <w:rPr>
                <w:rFonts w:hint="eastAsia" w:ascii="Calibri" w:hAnsi="Calibri" w:eastAsia="宋体" w:cs="Times New Roman"/>
                <w:b/>
                <w:kern w:val="0"/>
                <w:szCs w:val="21"/>
              </w:rPr>
              <w:t>实践内容及要求</w:t>
            </w:r>
          </w:p>
        </w:tc>
        <w:tc>
          <w:tcPr>
            <w:tcW w:w="649" w:type="dxa"/>
            <w:vAlign w:val="center"/>
          </w:tcPr>
          <w:p w14:paraId="6CED6E8E">
            <w:pPr>
              <w:spacing w:line="276" w:lineRule="auto"/>
              <w:jc w:val="center"/>
              <w:rPr>
                <w:rFonts w:ascii="Calibri" w:hAnsi="Calibri" w:eastAsia="宋体" w:cs="Times New Roman"/>
                <w:b/>
                <w:kern w:val="0"/>
                <w:szCs w:val="21"/>
              </w:rPr>
            </w:pPr>
            <w:r>
              <w:rPr>
                <w:rFonts w:hint="eastAsia" w:ascii="Calibri" w:hAnsi="Calibri" w:eastAsia="宋体" w:cs="Times New Roman"/>
                <w:b/>
                <w:kern w:val="0"/>
                <w:szCs w:val="21"/>
              </w:rPr>
              <w:t>学时</w:t>
            </w:r>
          </w:p>
        </w:tc>
        <w:tc>
          <w:tcPr>
            <w:tcW w:w="1464" w:type="dxa"/>
            <w:vAlign w:val="center"/>
          </w:tcPr>
          <w:p w14:paraId="6BB71CE4">
            <w:pPr>
              <w:spacing w:line="276" w:lineRule="auto"/>
              <w:jc w:val="center"/>
              <w:rPr>
                <w:rFonts w:ascii="Calibri" w:hAnsi="Calibri" w:eastAsia="宋体" w:cs="Times New Roman"/>
                <w:b/>
                <w:kern w:val="0"/>
                <w:szCs w:val="21"/>
              </w:rPr>
            </w:pPr>
            <w:r>
              <w:rPr>
                <w:rFonts w:hint="eastAsia" w:ascii="Calibri" w:hAnsi="Calibri" w:eastAsia="宋体" w:cs="Times New Roman"/>
                <w:b/>
                <w:kern w:val="0"/>
                <w:szCs w:val="21"/>
              </w:rPr>
              <w:t>对应</w:t>
            </w:r>
          </w:p>
          <w:p w14:paraId="6ADC58D4">
            <w:pPr>
              <w:spacing w:line="276" w:lineRule="auto"/>
              <w:jc w:val="center"/>
              <w:rPr>
                <w:rFonts w:ascii="Calibri" w:hAnsi="Calibri" w:eastAsia="宋体" w:cs="Times New Roman"/>
                <w:b/>
                <w:kern w:val="0"/>
                <w:szCs w:val="21"/>
              </w:rPr>
            </w:pPr>
            <w:r>
              <w:rPr>
                <w:rFonts w:hint="eastAsia" w:ascii="Calibri" w:hAnsi="Calibri" w:eastAsia="宋体" w:cs="Times New Roman"/>
                <w:b/>
                <w:kern w:val="0"/>
                <w:szCs w:val="21"/>
              </w:rPr>
              <w:t>课程目标</w:t>
            </w:r>
          </w:p>
        </w:tc>
      </w:tr>
      <w:tr w14:paraId="2568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726" w:type="dxa"/>
            <w:vAlign w:val="center"/>
          </w:tcPr>
          <w:p w14:paraId="56AA977A">
            <w:pPr>
              <w:spacing w:line="276" w:lineRule="auto"/>
              <w:jc w:val="center"/>
              <w:rPr>
                <w:rFonts w:ascii="Calibri" w:hAnsi="Calibri" w:eastAsia="宋体" w:cs="Times New Roman"/>
                <w:b/>
                <w:kern w:val="0"/>
                <w:szCs w:val="21"/>
              </w:rPr>
            </w:pPr>
            <w:r>
              <w:rPr>
                <w:rFonts w:ascii="宋体" w:hAnsi="宋体" w:eastAsia="宋体" w:cs="Times New Roman"/>
                <w:bCs/>
                <w:kern w:val="0"/>
                <w:szCs w:val="21"/>
              </w:rPr>
              <w:t>1</w:t>
            </w:r>
          </w:p>
        </w:tc>
        <w:tc>
          <w:tcPr>
            <w:tcW w:w="1317" w:type="dxa"/>
            <w:vAlign w:val="center"/>
          </w:tcPr>
          <w:p w14:paraId="6981FD62">
            <w:pPr>
              <w:spacing w:line="276" w:lineRule="auto"/>
              <w:jc w:val="center"/>
              <w:rPr>
                <w:rFonts w:ascii="Calibri" w:hAnsi="Calibri" w:eastAsia="宋体" w:cs="Times New Roman"/>
                <w:b/>
                <w:kern w:val="0"/>
                <w:szCs w:val="21"/>
              </w:rPr>
            </w:pPr>
            <w:r>
              <w:rPr>
                <w:rFonts w:hint="eastAsia" w:ascii="宋体" w:hAnsi="宋体" w:eastAsia="宋体" w:cs="宋体"/>
                <w:kern w:val="0"/>
                <w:szCs w:val="21"/>
              </w:rPr>
              <w:t>习惯养成课案例研究</w:t>
            </w:r>
          </w:p>
        </w:tc>
        <w:tc>
          <w:tcPr>
            <w:tcW w:w="4473" w:type="dxa"/>
            <w:vAlign w:val="center"/>
          </w:tcPr>
          <w:p w14:paraId="3AE27F2E">
            <w:pPr>
              <w:adjustRightInd w:val="0"/>
              <w:snapToGrid w:val="0"/>
              <w:spacing w:line="276" w:lineRule="auto"/>
              <w:rPr>
                <w:rFonts w:hint="eastAsia" w:ascii="宋体" w:hAnsi="宋体" w:eastAsia="宋体" w:cs="Times New Roman"/>
                <w:b/>
                <w:bCs/>
                <w:kern w:val="0"/>
                <w:szCs w:val="21"/>
              </w:rPr>
            </w:pPr>
            <w:r>
              <w:rPr>
                <w:rFonts w:hint="eastAsia" w:ascii="宋体" w:hAnsi="宋体" w:eastAsia="宋体" w:cs="Times New Roman"/>
                <w:b/>
                <w:bCs/>
                <w:kern w:val="0"/>
                <w:szCs w:val="21"/>
              </w:rPr>
              <w:t>实践</w:t>
            </w:r>
            <w:r>
              <w:rPr>
                <w:rFonts w:ascii="宋体" w:hAnsi="宋体" w:eastAsia="宋体" w:cs="Times New Roman"/>
                <w:b/>
                <w:bCs/>
                <w:kern w:val="0"/>
                <w:szCs w:val="21"/>
              </w:rPr>
              <w:t>内容</w:t>
            </w:r>
            <w:r>
              <w:rPr>
                <w:rFonts w:hint="eastAsia" w:ascii="宋体" w:hAnsi="宋体" w:eastAsia="宋体" w:cs="Times New Roman"/>
                <w:b/>
                <w:bCs/>
                <w:kern w:val="0"/>
                <w:szCs w:val="21"/>
              </w:rPr>
              <w:t>：</w:t>
            </w:r>
            <w:r>
              <w:rPr>
                <w:rFonts w:hint="eastAsia" w:ascii="宋体" w:hAnsi="宋体" w:eastAsia="宋体" w:cs="Times New Roman"/>
                <w:kern w:val="0"/>
                <w:szCs w:val="21"/>
              </w:rPr>
              <w:t>在课例包中选择一节习惯养成课，分别从教学目标、教学方法、教学过程、教学评价、板书设计等方面进行评析。</w:t>
            </w:r>
          </w:p>
          <w:p w14:paraId="1E35D4BD">
            <w:pPr>
              <w:spacing w:line="276" w:lineRule="auto"/>
              <w:rPr>
                <w:rFonts w:ascii="Calibri" w:hAnsi="Calibri" w:eastAsia="宋体" w:cs="Times New Roman"/>
                <w:b/>
                <w:kern w:val="0"/>
                <w:szCs w:val="21"/>
              </w:rPr>
            </w:pPr>
            <w:r>
              <w:rPr>
                <w:rFonts w:hint="eastAsia" w:ascii="宋体" w:hAnsi="宋体" w:eastAsia="宋体" w:cs="Times New Roman"/>
                <w:b/>
                <w:bCs/>
                <w:kern w:val="0"/>
                <w:szCs w:val="21"/>
              </w:rPr>
              <w:t>实践要求：</w:t>
            </w:r>
            <w:r>
              <w:rPr>
                <w:rFonts w:hint="eastAsia" w:ascii="宋体" w:hAnsi="宋体" w:eastAsia="宋体" w:cs="Times New Roman"/>
                <w:bCs/>
                <w:kern w:val="0"/>
                <w:szCs w:val="21"/>
              </w:rPr>
              <w:t>小组合作，完成对若干节课例的分析，形成分析报告。</w:t>
            </w:r>
          </w:p>
        </w:tc>
        <w:tc>
          <w:tcPr>
            <w:tcW w:w="649" w:type="dxa"/>
            <w:vAlign w:val="center"/>
          </w:tcPr>
          <w:p w14:paraId="122F2603">
            <w:pPr>
              <w:spacing w:line="276" w:lineRule="auto"/>
              <w:jc w:val="center"/>
              <w:rPr>
                <w:rFonts w:ascii="Calibri" w:hAnsi="Calibri" w:eastAsia="宋体" w:cs="Times New Roman"/>
                <w:b/>
                <w:kern w:val="0"/>
                <w:szCs w:val="21"/>
              </w:rPr>
            </w:pPr>
            <w:r>
              <w:rPr>
                <w:rFonts w:ascii="宋体" w:hAnsi="宋体" w:eastAsia="宋体" w:cs="Times New Roman"/>
                <w:bCs/>
                <w:kern w:val="0"/>
                <w:szCs w:val="21"/>
              </w:rPr>
              <w:t>4</w:t>
            </w:r>
          </w:p>
        </w:tc>
        <w:tc>
          <w:tcPr>
            <w:tcW w:w="1464" w:type="dxa"/>
            <w:vAlign w:val="center"/>
          </w:tcPr>
          <w:p w14:paraId="35D20247">
            <w:pPr>
              <w:spacing w:line="276" w:lineRule="auto"/>
              <w:jc w:val="center"/>
              <w:rPr>
                <w:rFonts w:ascii="Calibri" w:hAnsi="Calibri" w:eastAsia="宋体" w:cs="Times New Roman"/>
                <w:bCs/>
                <w:kern w:val="0"/>
                <w:szCs w:val="21"/>
              </w:rPr>
            </w:pPr>
            <w:r>
              <w:rPr>
                <w:rFonts w:hint="eastAsia" w:ascii="Calibri" w:hAnsi="Calibri" w:eastAsia="宋体" w:cs="Times New Roman"/>
                <w:bCs/>
                <w:kern w:val="0"/>
                <w:szCs w:val="21"/>
              </w:rPr>
              <w:t>课程目标2</w:t>
            </w:r>
          </w:p>
          <w:p w14:paraId="54AE38AE">
            <w:pPr>
              <w:spacing w:line="276" w:lineRule="auto"/>
              <w:jc w:val="center"/>
              <w:rPr>
                <w:rFonts w:ascii="Calibri" w:hAnsi="Calibri" w:eastAsia="宋体" w:cs="Times New Roman"/>
                <w:bCs/>
                <w:kern w:val="0"/>
                <w:szCs w:val="21"/>
              </w:rPr>
            </w:pPr>
            <w:r>
              <w:rPr>
                <w:rFonts w:hint="eastAsia" w:ascii="Calibri" w:hAnsi="Calibri" w:eastAsia="宋体" w:cs="Times New Roman"/>
                <w:bCs/>
                <w:kern w:val="0"/>
                <w:szCs w:val="21"/>
              </w:rPr>
              <w:t>课程目标3</w:t>
            </w:r>
          </w:p>
          <w:p w14:paraId="3AC151B7">
            <w:pPr>
              <w:spacing w:line="276" w:lineRule="auto"/>
              <w:jc w:val="center"/>
              <w:rPr>
                <w:rFonts w:ascii="Calibri" w:hAnsi="Calibri" w:eastAsia="宋体" w:cs="Times New Roman"/>
                <w:b/>
                <w:kern w:val="0"/>
                <w:szCs w:val="21"/>
              </w:rPr>
            </w:pPr>
            <w:r>
              <w:rPr>
                <w:rFonts w:hint="eastAsia" w:ascii="Calibri" w:hAnsi="Calibri" w:eastAsia="宋体" w:cs="Times New Roman"/>
                <w:bCs/>
                <w:kern w:val="0"/>
                <w:szCs w:val="21"/>
              </w:rPr>
              <w:t>课程目标4</w:t>
            </w:r>
          </w:p>
        </w:tc>
      </w:tr>
      <w:tr w14:paraId="045AF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trPr>
        <w:tc>
          <w:tcPr>
            <w:tcW w:w="726" w:type="dxa"/>
            <w:vAlign w:val="center"/>
          </w:tcPr>
          <w:p w14:paraId="39BD449B">
            <w:pPr>
              <w:spacing w:line="276" w:lineRule="auto"/>
              <w:jc w:val="center"/>
              <w:rPr>
                <w:rFonts w:ascii="Calibri" w:hAnsi="Calibri" w:eastAsia="宋体" w:cs="Times New Roman"/>
                <w:b/>
                <w:kern w:val="0"/>
                <w:szCs w:val="21"/>
              </w:rPr>
            </w:pPr>
            <w:r>
              <w:rPr>
                <w:rFonts w:hint="eastAsia" w:ascii="宋体" w:hAnsi="宋体" w:eastAsia="宋体" w:cs="宋体"/>
                <w:kern w:val="0"/>
                <w:szCs w:val="21"/>
              </w:rPr>
              <w:t>2</w:t>
            </w:r>
          </w:p>
        </w:tc>
        <w:tc>
          <w:tcPr>
            <w:tcW w:w="1317" w:type="dxa"/>
            <w:vAlign w:val="center"/>
          </w:tcPr>
          <w:p w14:paraId="2CFDAF20">
            <w:pPr>
              <w:spacing w:line="276" w:lineRule="auto"/>
              <w:jc w:val="center"/>
              <w:rPr>
                <w:rFonts w:ascii="Calibri" w:hAnsi="Calibri" w:eastAsia="宋体" w:cs="Times New Roman"/>
                <w:b/>
                <w:kern w:val="0"/>
                <w:szCs w:val="21"/>
              </w:rPr>
            </w:pPr>
            <w:r>
              <w:rPr>
                <w:rFonts w:hint="eastAsia" w:ascii="宋体" w:hAnsi="宋体" w:eastAsia="宋体" w:cs="宋体"/>
                <w:kern w:val="0"/>
                <w:szCs w:val="21"/>
              </w:rPr>
              <w:t>游戏活动课案例研究</w:t>
            </w:r>
          </w:p>
        </w:tc>
        <w:tc>
          <w:tcPr>
            <w:tcW w:w="4473" w:type="dxa"/>
            <w:vAlign w:val="center"/>
          </w:tcPr>
          <w:p w14:paraId="1B3416AD">
            <w:pPr>
              <w:adjustRightInd w:val="0"/>
              <w:snapToGrid w:val="0"/>
              <w:spacing w:line="276" w:lineRule="auto"/>
              <w:rPr>
                <w:rFonts w:hint="eastAsia" w:ascii="宋体" w:hAnsi="宋体" w:eastAsia="宋体" w:cs="Times New Roman"/>
                <w:b/>
                <w:bCs/>
                <w:kern w:val="0"/>
                <w:szCs w:val="21"/>
              </w:rPr>
            </w:pPr>
            <w:r>
              <w:rPr>
                <w:rFonts w:hint="eastAsia" w:ascii="宋体" w:hAnsi="宋体" w:eastAsia="宋体" w:cs="Times New Roman"/>
                <w:b/>
                <w:bCs/>
                <w:kern w:val="0"/>
                <w:szCs w:val="21"/>
              </w:rPr>
              <w:t>实践</w:t>
            </w:r>
            <w:r>
              <w:rPr>
                <w:rFonts w:ascii="宋体" w:hAnsi="宋体" w:eastAsia="宋体" w:cs="Times New Roman"/>
                <w:b/>
                <w:bCs/>
                <w:kern w:val="0"/>
                <w:szCs w:val="21"/>
              </w:rPr>
              <w:t>内容</w:t>
            </w:r>
            <w:r>
              <w:rPr>
                <w:rFonts w:hint="eastAsia" w:ascii="宋体" w:hAnsi="宋体" w:eastAsia="宋体" w:cs="Times New Roman"/>
                <w:b/>
                <w:bCs/>
                <w:kern w:val="0"/>
                <w:szCs w:val="21"/>
              </w:rPr>
              <w:t>：</w:t>
            </w:r>
            <w:r>
              <w:rPr>
                <w:rFonts w:hint="eastAsia" w:ascii="宋体" w:hAnsi="宋体" w:eastAsia="宋体" w:cs="Times New Roman"/>
                <w:kern w:val="0"/>
                <w:szCs w:val="21"/>
              </w:rPr>
              <w:t>在课例包中选择一节游戏活动课，分别从教学目标、教学方法、教学过程、教学评价、板书设计等方面进行评析。</w:t>
            </w:r>
          </w:p>
          <w:p w14:paraId="3856993B">
            <w:pPr>
              <w:spacing w:line="276" w:lineRule="auto"/>
              <w:rPr>
                <w:rFonts w:ascii="Calibri" w:hAnsi="Calibri" w:eastAsia="宋体" w:cs="Times New Roman"/>
                <w:b/>
                <w:kern w:val="0"/>
                <w:szCs w:val="21"/>
              </w:rPr>
            </w:pPr>
            <w:r>
              <w:rPr>
                <w:rFonts w:hint="eastAsia" w:ascii="宋体" w:hAnsi="宋体" w:eastAsia="宋体" w:cs="Times New Roman"/>
                <w:b/>
                <w:bCs/>
                <w:kern w:val="0"/>
                <w:szCs w:val="21"/>
              </w:rPr>
              <w:t>实践要求：</w:t>
            </w:r>
            <w:r>
              <w:rPr>
                <w:rFonts w:hint="eastAsia" w:ascii="宋体" w:hAnsi="宋体" w:eastAsia="宋体" w:cs="Times New Roman"/>
                <w:bCs/>
                <w:kern w:val="0"/>
                <w:szCs w:val="21"/>
              </w:rPr>
              <w:t>小组合作，完成对若干节课例的分析，形成分析报告。</w:t>
            </w:r>
          </w:p>
        </w:tc>
        <w:tc>
          <w:tcPr>
            <w:tcW w:w="649" w:type="dxa"/>
            <w:vAlign w:val="center"/>
          </w:tcPr>
          <w:p w14:paraId="6D41309E">
            <w:pPr>
              <w:spacing w:line="276" w:lineRule="auto"/>
              <w:jc w:val="center"/>
              <w:rPr>
                <w:rFonts w:ascii="Calibri" w:hAnsi="Calibri" w:eastAsia="宋体" w:cs="Times New Roman"/>
                <w:b/>
                <w:kern w:val="0"/>
                <w:szCs w:val="21"/>
              </w:rPr>
            </w:pPr>
            <w:r>
              <w:rPr>
                <w:rFonts w:ascii="宋体" w:hAnsi="宋体" w:eastAsia="宋体" w:cs="宋体"/>
                <w:kern w:val="0"/>
                <w:szCs w:val="21"/>
              </w:rPr>
              <w:t>4</w:t>
            </w:r>
          </w:p>
        </w:tc>
        <w:tc>
          <w:tcPr>
            <w:tcW w:w="1464" w:type="dxa"/>
            <w:vAlign w:val="center"/>
          </w:tcPr>
          <w:p w14:paraId="78F30279">
            <w:pPr>
              <w:spacing w:line="276" w:lineRule="auto"/>
              <w:jc w:val="center"/>
              <w:rPr>
                <w:rFonts w:ascii="Calibri" w:hAnsi="Calibri" w:eastAsia="宋体" w:cs="Times New Roman"/>
                <w:bCs/>
                <w:kern w:val="0"/>
                <w:szCs w:val="21"/>
              </w:rPr>
            </w:pPr>
            <w:r>
              <w:rPr>
                <w:rFonts w:hint="eastAsia" w:ascii="Calibri" w:hAnsi="Calibri" w:eastAsia="宋体" w:cs="Times New Roman"/>
                <w:bCs/>
                <w:kern w:val="0"/>
                <w:szCs w:val="21"/>
              </w:rPr>
              <w:t>课程目标2</w:t>
            </w:r>
          </w:p>
          <w:p w14:paraId="1DB2DD83">
            <w:pPr>
              <w:spacing w:line="276" w:lineRule="auto"/>
              <w:jc w:val="center"/>
              <w:rPr>
                <w:rFonts w:ascii="Calibri" w:hAnsi="Calibri" w:eastAsia="宋体" w:cs="Times New Roman"/>
                <w:bCs/>
                <w:kern w:val="0"/>
                <w:szCs w:val="21"/>
              </w:rPr>
            </w:pPr>
            <w:r>
              <w:rPr>
                <w:rFonts w:hint="eastAsia" w:ascii="Calibri" w:hAnsi="Calibri" w:eastAsia="宋体" w:cs="Times New Roman"/>
                <w:bCs/>
                <w:kern w:val="0"/>
                <w:szCs w:val="21"/>
              </w:rPr>
              <w:t>课程目标3</w:t>
            </w:r>
          </w:p>
          <w:p w14:paraId="71E8A050">
            <w:pPr>
              <w:spacing w:line="276" w:lineRule="auto"/>
              <w:jc w:val="center"/>
              <w:rPr>
                <w:rFonts w:ascii="Calibri" w:hAnsi="Calibri" w:eastAsia="宋体" w:cs="Times New Roman"/>
                <w:b/>
                <w:kern w:val="0"/>
                <w:szCs w:val="21"/>
              </w:rPr>
            </w:pPr>
            <w:r>
              <w:rPr>
                <w:rFonts w:hint="eastAsia" w:ascii="Calibri" w:hAnsi="Calibri" w:eastAsia="宋体" w:cs="Times New Roman"/>
                <w:bCs/>
                <w:kern w:val="0"/>
                <w:szCs w:val="21"/>
              </w:rPr>
              <w:t>课程目标4</w:t>
            </w:r>
          </w:p>
        </w:tc>
      </w:tr>
      <w:tr w14:paraId="7C32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26" w:type="dxa"/>
            <w:vAlign w:val="center"/>
          </w:tcPr>
          <w:p w14:paraId="321A9DF1">
            <w:pPr>
              <w:spacing w:line="276" w:lineRule="auto"/>
              <w:jc w:val="center"/>
              <w:rPr>
                <w:rFonts w:ascii="Calibri" w:hAnsi="Calibri" w:eastAsia="宋体" w:cs="Times New Roman"/>
                <w:b/>
                <w:kern w:val="0"/>
                <w:szCs w:val="21"/>
              </w:rPr>
            </w:pPr>
            <w:r>
              <w:rPr>
                <w:rFonts w:hint="eastAsia" w:ascii="宋体" w:hAnsi="宋体" w:eastAsia="宋体" w:cs="宋体"/>
                <w:kern w:val="0"/>
                <w:szCs w:val="21"/>
              </w:rPr>
              <w:t>3</w:t>
            </w:r>
          </w:p>
        </w:tc>
        <w:tc>
          <w:tcPr>
            <w:tcW w:w="1317" w:type="dxa"/>
            <w:vAlign w:val="center"/>
          </w:tcPr>
          <w:p w14:paraId="422A0004">
            <w:pPr>
              <w:spacing w:line="276" w:lineRule="auto"/>
              <w:jc w:val="center"/>
              <w:rPr>
                <w:rFonts w:ascii="Calibri" w:hAnsi="Calibri" w:eastAsia="宋体" w:cs="Times New Roman"/>
                <w:b/>
                <w:kern w:val="0"/>
                <w:szCs w:val="21"/>
              </w:rPr>
            </w:pPr>
            <w:r>
              <w:rPr>
                <w:rFonts w:hint="eastAsia" w:ascii="宋体" w:hAnsi="宋体" w:eastAsia="宋体" w:cs="宋体"/>
                <w:kern w:val="0"/>
                <w:szCs w:val="21"/>
              </w:rPr>
              <w:t>社会探究课案例研究</w:t>
            </w:r>
          </w:p>
        </w:tc>
        <w:tc>
          <w:tcPr>
            <w:tcW w:w="4473" w:type="dxa"/>
            <w:vAlign w:val="center"/>
          </w:tcPr>
          <w:p w14:paraId="604F6EA5">
            <w:pPr>
              <w:adjustRightInd w:val="0"/>
              <w:snapToGrid w:val="0"/>
              <w:spacing w:line="276" w:lineRule="auto"/>
              <w:rPr>
                <w:rFonts w:hint="eastAsia" w:ascii="宋体" w:hAnsi="宋体" w:eastAsia="宋体" w:cs="Times New Roman"/>
                <w:b/>
                <w:bCs/>
                <w:kern w:val="0"/>
                <w:szCs w:val="21"/>
              </w:rPr>
            </w:pPr>
            <w:r>
              <w:rPr>
                <w:rFonts w:hint="eastAsia" w:ascii="宋体" w:hAnsi="宋体" w:eastAsia="宋体" w:cs="Times New Roman"/>
                <w:b/>
                <w:bCs/>
                <w:kern w:val="0"/>
                <w:szCs w:val="21"/>
              </w:rPr>
              <w:t>实践</w:t>
            </w:r>
            <w:r>
              <w:rPr>
                <w:rFonts w:ascii="宋体" w:hAnsi="宋体" w:eastAsia="宋体" w:cs="Times New Roman"/>
                <w:b/>
                <w:bCs/>
                <w:kern w:val="0"/>
                <w:szCs w:val="21"/>
              </w:rPr>
              <w:t>内容</w:t>
            </w:r>
            <w:r>
              <w:rPr>
                <w:rFonts w:hint="eastAsia" w:ascii="宋体" w:hAnsi="宋体" w:eastAsia="宋体" w:cs="Times New Roman"/>
                <w:b/>
                <w:bCs/>
                <w:kern w:val="0"/>
                <w:szCs w:val="21"/>
              </w:rPr>
              <w:t>：</w:t>
            </w:r>
            <w:r>
              <w:rPr>
                <w:rFonts w:hint="eastAsia" w:ascii="宋体" w:hAnsi="宋体" w:eastAsia="宋体" w:cs="Times New Roman"/>
                <w:kern w:val="0"/>
                <w:szCs w:val="21"/>
              </w:rPr>
              <w:t>在课例包中选择一节社会探究课，分别从教学目标、教学方法、教学过程、教学评价、板书设计等方面进行评析。</w:t>
            </w:r>
          </w:p>
          <w:p w14:paraId="62549DEF">
            <w:pPr>
              <w:spacing w:line="276" w:lineRule="auto"/>
              <w:rPr>
                <w:rFonts w:ascii="Calibri" w:hAnsi="Calibri" w:eastAsia="宋体" w:cs="Times New Roman"/>
                <w:b/>
                <w:kern w:val="0"/>
                <w:szCs w:val="21"/>
              </w:rPr>
            </w:pPr>
            <w:r>
              <w:rPr>
                <w:rFonts w:hint="eastAsia" w:ascii="宋体" w:hAnsi="宋体" w:eastAsia="宋体" w:cs="Times New Roman"/>
                <w:b/>
                <w:bCs/>
                <w:kern w:val="0"/>
                <w:szCs w:val="21"/>
              </w:rPr>
              <w:t>实践要求：</w:t>
            </w:r>
            <w:r>
              <w:rPr>
                <w:rFonts w:hint="eastAsia" w:ascii="宋体" w:hAnsi="宋体" w:eastAsia="宋体" w:cs="Times New Roman"/>
                <w:bCs/>
                <w:kern w:val="0"/>
                <w:szCs w:val="21"/>
              </w:rPr>
              <w:t>小组合作，完成对若干节课例的分析，形成分析报告。</w:t>
            </w:r>
          </w:p>
        </w:tc>
        <w:tc>
          <w:tcPr>
            <w:tcW w:w="649" w:type="dxa"/>
            <w:vAlign w:val="center"/>
          </w:tcPr>
          <w:p w14:paraId="633BCC8A">
            <w:pPr>
              <w:spacing w:line="276" w:lineRule="auto"/>
              <w:jc w:val="center"/>
              <w:rPr>
                <w:rFonts w:ascii="Calibri" w:hAnsi="Calibri" w:eastAsia="宋体" w:cs="Times New Roman"/>
                <w:b/>
                <w:kern w:val="0"/>
                <w:szCs w:val="21"/>
              </w:rPr>
            </w:pPr>
            <w:r>
              <w:rPr>
                <w:rFonts w:ascii="宋体" w:hAnsi="宋体" w:eastAsia="宋体" w:cs="宋体"/>
                <w:kern w:val="0"/>
                <w:szCs w:val="21"/>
              </w:rPr>
              <w:t>4</w:t>
            </w:r>
          </w:p>
        </w:tc>
        <w:tc>
          <w:tcPr>
            <w:tcW w:w="1464" w:type="dxa"/>
            <w:vAlign w:val="center"/>
          </w:tcPr>
          <w:p w14:paraId="0822A77F">
            <w:pPr>
              <w:spacing w:line="276" w:lineRule="auto"/>
              <w:jc w:val="center"/>
              <w:rPr>
                <w:rFonts w:ascii="Calibri" w:hAnsi="Calibri" w:eastAsia="宋体" w:cs="Times New Roman"/>
                <w:bCs/>
                <w:kern w:val="0"/>
                <w:szCs w:val="21"/>
              </w:rPr>
            </w:pPr>
            <w:r>
              <w:rPr>
                <w:rFonts w:hint="eastAsia" w:ascii="Calibri" w:hAnsi="Calibri" w:eastAsia="宋体" w:cs="Times New Roman"/>
                <w:bCs/>
                <w:kern w:val="0"/>
                <w:szCs w:val="21"/>
              </w:rPr>
              <w:t>课程目标2</w:t>
            </w:r>
          </w:p>
          <w:p w14:paraId="3480730D">
            <w:pPr>
              <w:spacing w:line="276" w:lineRule="auto"/>
              <w:jc w:val="center"/>
              <w:rPr>
                <w:rFonts w:ascii="Calibri" w:hAnsi="Calibri" w:eastAsia="宋体" w:cs="Times New Roman"/>
                <w:bCs/>
                <w:kern w:val="0"/>
                <w:szCs w:val="21"/>
              </w:rPr>
            </w:pPr>
            <w:r>
              <w:rPr>
                <w:rFonts w:hint="eastAsia" w:ascii="Calibri" w:hAnsi="Calibri" w:eastAsia="宋体" w:cs="Times New Roman"/>
                <w:bCs/>
                <w:kern w:val="0"/>
                <w:szCs w:val="21"/>
              </w:rPr>
              <w:t>课程目标3</w:t>
            </w:r>
          </w:p>
          <w:p w14:paraId="3ECA913D">
            <w:pPr>
              <w:spacing w:line="276" w:lineRule="auto"/>
              <w:jc w:val="center"/>
              <w:rPr>
                <w:rFonts w:ascii="Calibri" w:hAnsi="Calibri" w:eastAsia="宋体" w:cs="Times New Roman"/>
                <w:b/>
                <w:kern w:val="0"/>
                <w:szCs w:val="21"/>
              </w:rPr>
            </w:pPr>
            <w:r>
              <w:rPr>
                <w:rFonts w:hint="eastAsia" w:ascii="Calibri" w:hAnsi="Calibri" w:eastAsia="宋体" w:cs="Times New Roman"/>
                <w:bCs/>
                <w:kern w:val="0"/>
                <w:szCs w:val="21"/>
              </w:rPr>
              <w:t>课程目标4</w:t>
            </w:r>
          </w:p>
        </w:tc>
      </w:tr>
      <w:tr w14:paraId="3A79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726" w:type="dxa"/>
            <w:vAlign w:val="center"/>
          </w:tcPr>
          <w:p w14:paraId="3FBCE653">
            <w:pPr>
              <w:spacing w:line="276" w:lineRule="auto"/>
              <w:jc w:val="center"/>
              <w:rPr>
                <w:rFonts w:hint="eastAsia" w:ascii="宋体" w:hAnsi="宋体" w:eastAsia="宋体" w:cs="宋体"/>
                <w:kern w:val="0"/>
                <w:szCs w:val="21"/>
              </w:rPr>
            </w:pPr>
            <w:r>
              <w:rPr>
                <w:rFonts w:hint="eastAsia" w:ascii="宋体" w:hAnsi="宋体" w:eastAsia="宋体" w:cs="宋体"/>
                <w:kern w:val="0"/>
                <w:szCs w:val="21"/>
              </w:rPr>
              <w:t>4</w:t>
            </w:r>
          </w:p>
        </w:tc>
        <w:tc>
          <w:tcPr>
            <w:tcW w:w="1317" w:type="dxa"/>
            <w:vAlign w:val="center"/>
          </w:tcPr>
          <w:p w14:paraId="4CDCE747">
            <w:pPr>
              <w:spacing w:line="276" w:lineRule="auto"/>
              <w:jc w:val="center"/>
              <w:rPr>
                <w:rFonts w:hint="eastAsia" w:ascii="宋体" w:hAnsi="宋体" w:eastAsia="宋体" w:cs="宋体"/>
                <w:kern w:val="0"/>
                <w:szCs w:val="21"/>
              </w:rPr>
            </w:pPr>
            <w:r>
              <w:rPr>
                <w:rFonts w:hint="eastAsia" w:ascii="宋体" w:hAnsi="宋体" w:eastAsia="宋体" w:cs="宋体"/>
                <w:kern w:val="0"/>
                <w:szCs w:val="21"/>
              </w:rPr>
              <w:t>思辨说理课案例研究</w:t>
            </w:r>
          </w:p>
        </w:tc>
        <w:tc>
          <w:tcPr>
            <w:tcW w:w="4473" w:type="dxa"/>
            <w:vAlign w:val="center"/>
          </w:tcPr>
          <w:p w14:paraId="51A16290">
            <w:pPr>
              <w:adjustRightInd w:val="0"/>
              <w:snapToGrid w:val="0"/>
              <w:spacing w:line="276" w:lineRule="auto"/>
              <w:rPr>
                <w:rFonts w:hint="eastAsia" w:ascii="宋体" w:hAnsi="宋体" w:eastAsia="宋体" w:cs="Times New Roman"/>
                <w:b/>
                <w:bCs/>
                <w:kern w:val="0"/>
                <w:szCs w:val="21"/>
              </w:rPr>
            </w:pPr>
            <w:r>
              <w:rPr>
                <w:rFonts w:hint="eastAsia" w:ascii="宋体" w:hAnsi="宋体" w:eastAsia="宋体" w:cs="Times New Roman"/>
                <w:b/>
                <w:bCs/>
                <w:kern w:val="0"/>
                <w:szCs w:val="21"/>
              </w:rPr>
              <w:t>实践</w:t>
            </w:r>
            <w:r>
              <w:rPr>
                <w:rFonts w:ascii="宋体" w:hAnsi="宋体" w:eastAsia="宋体" w:cs="Times New Roman"/>
                <w:b/>
                <w:bCs/>
                <w:kern w:val="0"/>
                <w:szCs w:val="21"/>
              </w:rPr>
              <w:t>内容</w:t>
            </w:r>
            <w:r>
              <w:rPr>
                <w:rFonts w:hint="eastAsia" w:ascii="宋体" w:hAnsi="宋体" w:eastAsia="宋体" w:cs="Times New Roman"/>
                <w:b/>
                <w:bCs/>
                <w:kern w:val="0"/>
                <w:szCs w:val="21"/>
              </w:rPr>
              <w:t>：</w:t>
            </w:r>
            <w:r>
              <w:rPr>
                <w:rFonts w:hint="eastAsia" w:ascii="宋体" w:hAnsi="宋体" w:eastAsia="宋体" w:cs="Times New Roman"/>
                <w:kern w:val="0"/>
                <w:szCs w:val="21"/>
              </w:rPr>
              <w:t>在课例包中选择一节思辨说理课，分别从教学目标、教学方法、教学过程、教学评价、板书设计等方面进行评析。</w:t>
            </w:r>
          </w:p>
          <w:p w14:paraId="374F0B00">
            <w:pPr>
              <w:adjustRightInd w:val="0"/>
              <w:snapToGrid w:val="0"/>
              <w:spacing w:line="276" w:lineRule="auto"/>
              <w:rPr>
                <w:rFonts w:hint="eastAsia" w:ascii="宋体" w:hAnsi="宋体" w:eastAsia="宋体" w:cs="Times New Roman"/>
                <w:b/>
                <w:bCs/>
                <w:kern w:val="0"/>
                <w:szCs w:val="21"/>
              </w:rPr>
            </w:pPr>
            <w:r>
              <w:rPr>
                <w:rFonts w:hint="eastAsia" w:ascii="宋体" w:hAnsi="宋体" w:eastAsia="宋体" w:cs="Times New Roman"/>
                <w:b/>
                <w:bCs/>
                <w:kern w:val="0"/>
                <w:szCs w:val="21"/>
              </w:rPr>
              <w:t>实践要求：</w:t>
            </w:r>
            <w:r>
              <w:rPr>
                <w:rFonts w:hint="eastAsia" w:ascii="宋体" w:hAnsi="宋体" w:eastAsia="宋体" w:cs="Times New Roman"/>
                <w:bCs/>
                <w:kern w:val="0"/>
                <w:szCs w:val="21"/>
              </w:rPr>
              <w:t>小组合作，完成对若干节课例的分析，形成分析报告。</w:t>
            </w:r>
          </w:p>
        </w:tc>
        <w:tc>
          <w:tcPr>
            <w:tcW w:w="649" w:type="dxa"/>
            <w:vAlign w:val="center"/>
          </w:tcPr>
          <w:p w14:paraId="6E65CCEC">
            <w:pPr>
              <w:spacing w:line="276" w:lineRule="auto"/>
              <w:jc w:val="center"/>
              <w:rPr>
                <w:rFonts w:hint="eastAsia" w:ascii="宋体" w:hAnsi="宋体" w:eastAsia="宋体" w:cs="宋体"/>
                <w:kern w:val="0"/>
                <w:szCs w:val="21"/>
              </w:rPr>
            </w:pPr>
            <w:r>
              <w:rPr>
                <w:rFonts w:ascii="宋体" w:hAnsi="宋体" w:eastAsia="宋体" w:cs="宋体"/>
                <w:kern w:val="0"/>
                <w:szCs w:val="21"/>
              </w:rPr>
              <w:t>4</w:t>
            </w:r>
          </w:p>
        </w:tc>
        <w:tc>
          <w:tcPr>
            <w:tcW w:w="1464" w:type="dxa"/>
            <w:vAlign w:val="center"/>
          </w:tcPr>
          <w:p w14:paraId="52737657">
            <w:pPr>
              <w:spacing w:line="276" w:lineRule="auto"/>
              <w:jc w:val="center"/>
              <w:rPr>
                <w:rFonts w:ascii="Calibri" w:hAnsi="Calibri" w:eastAsia="宋体" w:cs="Times New Roman"/>
                <w:bCs/>
                <w:kern w:val="0"/>
                <w:szCs w:val="21"/>
              </w:rPr>
            </w:pPr>
            <w:r>
              <w:rPr>
                <w:rFonts w:hint="eastAsia" w:ascii="Calibri" w:hAnsi="Calibri" w:eastAsia="宋体" w:cs="Times New Roman"/>
                <w:bCs/>
                <w:kern w:val="0"/>
                <w:szCs w:val="21"/>
              </w:rPr>
              <w:t>课程目标2</w:t>
            </w:r>
          </w:p>
          <w:p w14:paraId="328FC425">
            <w:pPr>
              <w:spacing w:line="276" w:lineRule="auto"/>
              <w:jc w:val="center"/>
              <w:rPr>
                <w:rFonts w:ascii="Calibri" w:hAnsi="Calibri" w:eastAsia="宋体" w:cs="Times New Roman"/>
                <w:bCs/>
                <w:kern w:val="0"/>
                <w:szCs w:val="21"/>
              </w:rPr>
            </w:pPr>
            <w:r>
              <w:rPr>
                <w:rFonts w:hint="eastAsia" w:ascii="Calibri" w:hAnsi="Calibri" w:eastAsia="宋体" w:cs="Times New Roman"/>
                <w:bCs/>
                <w:kern w:val="0"/>
                <w:szCs w:val="21"/>
              </w:rPr>
              <w:t>课程目标3</w:t>
            </w:r>
          </w:p>
          <w:p w14:paraId="50647F6E">
            <w:pPr>
              <w:spacing w:line="276" w:lineRule="auto"/>
              <w:jc w:val="center"/>
              <w:rPr>
                <w:rFonts w:ascii="Calibri" w:hAnsi="Calibri" w:eastAsia="宋体" w:cs="Times New Roman"/>
                <w:b/>
                <w:kern w:val="0"/>
                <w:szCs w:val="21"/>
              </w:rPr>
            </w:pPr>
            <w:r>
              <w:rPr>
                <w:rFonts w:hint="eastAsia" w:ascii="Calibri" w:hAnsi="Calibri" w:eastAsia="宋体" w:cs="Times New Roman"/>
                <w:bCs/>
                <w:kern w:val="0"/>
                <w:szCs w:val="21"/>
              </w:rPr>
              <w:t>课程目标4</w:t>
            </w:r>
          </w:p>
        </w:tc>
      </w:tr>
    </w:tbl>
    <w:p w14:paraId="61CE5A20">
      <w:pPr>
        <w:spacing w:before="62" w:beforeLines="20" w:after="62" w:afterLines="20" w:line="360" w:lineRule="auto"/>
        <w:jc w:val="left"/>
        <w:rPr>
          <w:rFonts w:ascii="Times New Roman" w:hAnsi="Times New Roman" w:eastAsia="宋体" w:cs="Times New Roman"/>
          <w:b/>
          <w:sz w:val="24"/>
        </w:rPr>
      </w:pPr>
      <w:bookmarkStart w:id="1854" w:name="_Toc11239"/>
      <w:bookmarkStart w:id="1855" w:name="_Toc12224"/>
      <w:bookmarkStart w:id="1856" w:name="_Toc16708"/>
      <w:bookmarkStart w:id="1857" w:name="_Toc29185"/>
      <w:bookmarkStart w:id="1858" w:name="_Toc17084"/>
      <w:bookmarkStart w:id="1859" w:name="_Toc30065"/>
      <w:bookmarkStart w:id="1860" w:name="_Toc21923"/>
      <w:r>
        <w:rPr>
          <w:rFonts w:hint="eastAsia" w:ascii="Times New Roman" w:hAnsi="Times New Roman" w:eastAsia="宋体" w:cs="Times New Roman"/>
          <w:b/>
          <w:sz w:val="24"/>
        </w:rPr>
        <w:t>六</w:t>
      </w:r>
      <w:r>
        <w:rPr>
          <w:rFonts w:ascii="Times New Roman" w:hAnsi="Times New Roman" w:eastAsia="宋体" w:cs="Times New Roman"/>
          <w:b/>
          <w:sz w:val="24"/>
        </w:rPr>
        <w:t>、</w:t>
      </w:r>
      <w:r>
        <w:rPr>
          <w:rFonts w:hint="eastAsia" w:ascii="Times New Roman" w:hAnsi="Times New Roman" w:eastAsia="宋体" w:cs="Times New Roman"/>
          <w:b/>
          <w:sz w:val="24"/>
        </w:rPr>
        <w:t>有关说明</w:t>
      </w:r>
      <w:bookmarkEnd w:id="1854"/>
      <w:bookmarkEnd w:id="1855"/>
      <w:bookmarkEnd w:id="1856"/>
      <w:bookmarkEnd w:id="1857"/>
      <w:bookmarkEnd w:id="1858"/>
      <w:bookmarkEnd w:id="1859"/>
      <w:bookmarkEnd w:id="1860"/>
    </w:p>
    <w:p w14:paraId="4464640D">
      <w:pPr>
        <w:spacing w:line="360" w:lineRule="auto"/>
        <w:ind w:firstLine="422" w:firstLineChars="200"/>
        <w:outlineLvl w:val="1"/>
        <w:rPr>
          <w:rFonts w:ascii="Calibri" w:hAnsi="Calibri" w:eastAsia="宋体" w:cs="Times New Roman"/>
          <w:b/>
          <w:szCs w:val="21"/>
        </w:rPr>
      </w:pPr>
      <w:bookmarkStart w:id="1861" w:name="_Toc16521"/>
      <w:r>
        <w:rPr>
          <w:rFonts w:hint="eastAsia" w:ascii="Calibri" w:hAnsi="Calibri" w:eastAsia="宋体" w:cs="Times New Roman"/>
          <w:b/>
          <w:szCs w:val="21"/>
        </w:rPr>
        <w:t>（一）持续改进</w:t>
      </w:r>
      <w:bookmarkEnd w:id="1861"/>
    </w:p>
    <w:p w14:paraId="5A5F2C2D">
      <w:pPr>
        <w:spacing w:line="360" w:lineRule="auto"/>
        <w:ind w:firstLine="420" w:firstLineChars="200"/>
        <w:rPr>
          <w:rFonts w:ascii="Calibri" w:hAnsi="Calibri" w:eastAsia="宋体" w:cs="Times New Roman"/>
          <w:szCs w:val="21"/>
        </w:rPr>
      </w:pPr>
      <w:r>
        <w:rPr>
          <w:rFonts w:ascii="Calibri" w:hAnsi="Calibri" w:eastAsia="宋体" w:cs="Times New Roman"/>
          <w:szCs w:val="21"/>
        </w:rPr>
        <w:t>本课程根据学生作业、课堂讨论、</w:t>
      </w:r>
      <w:r>
        <w:rPr>
          <w:rFonts w:hint="eastAsia" w:ascii="Calibri" w:hAnsi="Calibri" w:eastAsia="宋体" w:cs="Times New Roman"/>
          <w:szCs w:val="21"/>
        </w:rPr>
        <w:t>教学</w:t>
      </w:r>
      <w:r>
        <w:rPr>
          <w:rFonts w:ascii="Calibri" w:hAnsi="Calibri" w:eastAsia="宋体" w:cs="Times New Roman"/>
          <w:szCs w:val="21"/>
        </w:rPr>
        <w:t>环节、平时考核情况和学生、教学督导等</w:t>
      </w:r>
      <w:r>
        <w:rPr>
          <w:rFonts w:hint="eastAsia" w:ascii="Calibri" w:hAnsi="Calibri" w:eastAsia="宋体" w:cs="Times New Roman"/>
          <w:szCs w:val="21"/>
        </w:rPr>
        <w:t>的</w:t>
      </w:r>
      <w:r>
        <w:rPr>
          <w:rFonts w:ascii="Calibri" w:hAnsi="Calibri" w:eastAsia="宋体" w:cs="Times New Roman"/>
          <w:szCs w:val="21"/>
        </w:rPr>
        <w:t>反馈，及时对教学中</w:t>
      </w:r>
      <w:r>
        <w:rPr>
          <w:rFonts w:hint="eastAsia" w:ascii="Calibri" w:hAnsi="Calibri" w:eastAsia="宋体" w:cs="Times New Roman"/>
          <w:szCs w:val="21"/>
        </w:rPr>
        <w:t>的</w:t>
      </w:r>
      <w:r>
        <w:rPr>
          <w:rFonts w:ascii="Calibri" w:hAnsi="Calibri" w:eastAsia="宋体" w:cs="Times New Roman"/>
          <w:szCs w:val="21"/>
        </w:rPr>
        <w:t>不足之处进行改进，并在下一轮课程教学中</w:t>
      </w:r>
      <w:r>
        <w:rPr>
          <w:rFonts w:hint="eastAsia" w:ascii="Calibri" w:hAnsi="Calibri" w:eastAsia="宋体" w:cs="Times New Roman"/>
          <w:szCs w:val="21"/>
        </w:rPr>
        <w:t>整改完善</w:t>
      </w:r>
      <w:r>
        <w:rPr>
          <w:rFonts w:ascii="Calibri" w:hAnsi="Calibri" w:eastAsia="宋体" w:cs="Times New Roman"/>
          <w:szCs w:val="21"/>
        </w:rPr>
        <w:t>，确保相应毕业要求指标点达成。</w:t>
      </w:r>
    </w:p>
    <w:p w14:paraId="102E91F1">
      <w:pPr>
        <w:spacing w:line="360" w:lineRule="auto"/>
        <w:ind w:firstLine="422" w:firstLineChars="200"/>
        <w:outlineLvl w:val="1"/>
        <w:rPr>
          <w:rFonts w:ascii="Calibri" w:hAnsi="Calibri" w:eastAsia="宋体" w:cs="Times New Roman"/>
          <w:b/>
          <w:szCs w:val="21"/>
        </w:rPr>
      </w:pPr>
      <w:bookmarkStart w:id="1862" w:name="_Toc31917"/>
      <w:r>
        <w:rPr>
          <w:rFonts w:hint="eastAsia" w:ascii="Calibri" w:hAnsi="Calibri" w:eastAsia="宋体" w:cs="Times New Roman"/>
          <w:b/>
          <w:szCs w:val="21"/>
        </w:rPr>
        <w:t>（二）建议教材</w:t>
      </w:r>
      <w:bookmarkEnd w:id="1862"/>
    </w:p>
    <w:p w14:paraId="65A18AF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bCs/>
          <w:kern w:val="0"/>
          <w:szCs w:val="21"/>
        </w:rPr>
        <w:t>陈美兰</w:t>
      </w:r>
      <w:r>
        <w:rPr>
          <w:rFonts w:hint="eastAsia" w:ascii="宋体" w:hAnsi="宋体" w:eastAsia="宋体" w:cs="Times New Roman"/>
          <w:kern w:val="0"/>
          <w:szCs w:val="21"/>
        </w:rPr>
        <w:t>《小学道德与法治教学设计及案例研究</w:t>
      </w:r>
      <w:r>
        <w:rPr>
          <w:rFonts w:hint="eastAsia" w:ascii="宋体" w:hAnsi="宋体" w:eastAsia="宋体" w:cs="Times New Roman"/>
          <w:szCs w:val="21"/>
        </w:rPr>
        <w:t>》，北京师范大学出版社，2</w:t>
      </w:r>
      <w:r>
        <w:rPr>
          <w:rFonts w:ascii="宋体" w:hAnsi="宋体" w:eastAsia="宋体" w:cs="Times New Roman"/>
          <w:szCs w:val="21"/>
        </w:rPr>
        <w:t>023</w:t>
      </w:r>
      <w:r>
        <w:rPr>
          <w:rFonts w:hint="eastAsia" w:ascii="宋体" w:hAnsi="宋体" w:eastAsia="宋体" w:cs="Times New Roman"/>
          <w:szCs w:val="21"/>
        </w:rPr>
        <w:t>年4月。</w:t>
      </w:r>
    </w:p>
    <w:p w14:paraId="015DEDD8">
      <w:pPr>
        <w:spacing w:line="360" w:lineRule="auto"/>
        <w:ind w:firstLine="422" w:firstLineChars="200"/>
        <w:outlineLvl w:val="1"/>
        <w:rPr>
          <w:rFonts w:hint="eastAsia" w:ascii="宋体" w:hAnsi="宋体" w:eastAsia="宋体" w:cs="Times New Roman"/>
          <w:b/>
          <w:bCs/>
          <w:szCs w:val="21"/>
        </w:rPr>
      </w:pPr>
      <w:bookmarkStart w:id="1863" w:name="_Toc4845"/>
      <w:r>
        <w:rPr>
          <w:rFonts w:hint="eastAsia" w:ascii="宋体" w:hAnsi="宋体" w:eastAsia="宋体" w:cs="Times New Roman"/>
          <w:b/>
          <w:bCs/>
          <w:szCs w:val="21"/>
        </w:rPr>
        <w:t>（三）参考书目</w:t>
      </w:r>
      <w:bookmarkEnd w:id="1863"/>
    </w:p>
    <w:p w14:paraId="0B7A3A75">
      <w:pPr>
        <w:spacing w:line="360" w:lineRule="auto"/>
        <w:ind w:firstLine="420" w:firstLineChars="200"/>
        <w:rPr>
          <w:rFonts w:hint="eastAsia" w:ascii="宋体" w:hAnsi="宋体" w:eastAsia="宋体" w:cs="宋体"/>
          <w:kern w:val="0"/>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宋体" w:hAnsi="宋体" w:eastAsia="宋体" w:cs="Times New Roman"/>
          <w:szCs w:val="21"/>
        </w:rPr>
        <w:t>教育部编.义务教育小学品德与生活、品德与社会课程标准.2011.</w:t>
      </w:r>
    </w:p>
    <w:p w14:paraId="6B215CD0">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宋体" w:hAnsi="宋体" w:eastAsia="宋体" w:cs="Times New Roman"/>
          <w:szCs w:val="21"/>
        </w:rPr>
        <w:t>张茂聪.儿童品德发展与道德教育.济南：山东人民出版社.2012.</w:t>
      </w:r>
    </w:p>
    <w:p w14:paraId="79F299BF">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宋体" w:hAnsi="宋体" w:eastAsia="宋体" w:cs="Times New Roman"/>
          <w:szCs w:val="21"/>
        </w:rPr>
        <w:t>沈</w:t>
      </w:r>
      <w:r>
        <w:rPr>
          <w:rFonts w:hint="eastAsia" w:ascii="Calibri" w:hAnsi="Calibri" w:eastAsia="宋体" w:cs="Times New Roman"/>
          <w:szCs w:val="21"/>
        </w:rPr>
        <w:t>晓敏.小学品德与社会（生活）课程研究.上海：华东师</w:t>
      </w:r>
      <w:r>
        <w:rPr>
          <w:rFonts w:hint="eastAsia" w:ascii="宋体" w:hAnsi="宋体" w:eastAsia="宋体" w:cs="Times New Roman"/>
          <w:szCs w:val="21"/>
        </w:rPr>
        <w:t>范大学出版社.2016.</w:t>
      </w:r>
    </w:p>
    <w:p w14:paraId="6B01387C">
      <w:pPr>
        <w:spacing w:line="360" w:lineRule="auto"/>
        <w:ind w:firstLine="480" w:firstLineChars="200"/>
        <w:rPr>
          <w:rFonts w:hint="eastAsia" w:ascii="宋体" w:hAnsi="宋体" w:eastAsia="宋体" w:cs="Times New Roman"/>
          <w:sz w:val="24"/>
        </w:rPr>
      </w:pPr>
    </w:p>
    <w:p w14:paraId="28E0CFE1">
      <w:pPr>
        <w:autoSpaceDE w:val="0"/>
        <w:autoSpaceDN w:val="0"/>
        <w:adjustRightInd w:val="0"/>
        <w:spacing w:line="360" w:lineRule="auto"/>
        <w:ind w:firstLine="5250" w:firstLineChars="2500"/>
        <w:jc w:val="right"/>
        <w:rPr>
          <w:rFonts w:ascii="Calibri" w:hAnsi="Calibri" w:eastAsia="宋体" w:cs="Times New Roman"/>
          <w:kern w:val="0"/>
          <w:szCs w:val="21"/>
        </w:rPr>
      </w:pPr>
      <w:r>
        <w:rPr>
          <w:rFonts w:ascii="Calibri" w:hAnsi="Calibri" w:eastAsia="宋体" w:cs="Times New Roman"/>
          <w:kern w:val="0"/>
          <w:szCs w:val="21"/>
        </w:rPr>
        <w:t>执笔人：</w:t>
      </w:r>
      <w:r>
        <w:rPr>
          <w:rFonts w:hint="eastAsia" w:ascii="Calibri" w:hAnsi="Calibri" w:eastAsia="宋体" w:cs="Times New Roman"/>
          <w:kern w:val="0"/>
          <w:szCs w:val="21"/>
        </w:rPr>
        <w:t>王雅丽</w:t>
      </w:r>
      <w:r>
        <w:rPr>
          <w:rFonts w:ascii="Calibri" w:hAnsi="Calibri" w:eastAsia="宋体" w:cs="Times New Roman"/>
          <w:kern w:val="0"/>
          <w:szCs w:val="21"/>
        </w:rPr>
        <w:t xml:space="preserve"> </w:t>
      </w:r>
    </w:p>
    <w:p w14:paraId="5393B4B1">
      <w:pPr>
        <w:autoSpaceDE w:val="0"/>
        <w:autoSpaceDN w:val="0"/>
        <w:adjustRightInd w:val="0"/>
        <w:spacing w:line="360" w:lineRule="auto"/>
        <w:ind w:firstLine="5250" w:firstLineChars="2500"/>
        <w:jc w:val="right"/>
        <w:rPr>
          <w:rFonts w:ascii="Calibri" w:hAnsi="Calibri" w:eastAsia="宋体" w:cs="Times New Roman"/>
          <w:kern w:val="0"/>
          <w:szCs w:val="21"/>
        </w:rPr>
      </w:pPr>
      <w:r>
        <w:rPr>
          <w:rFonts w:ascii="Calibri" w:hAnsi="Calibri" w:eastAsia="宋体" w:cs="Times New Roman"/>
          <w:kern w:val="0"/>
          <w:szCs w:val="21"/>
        </w:rPr>
        <w:t>审定人：</w:t>
      </w:r>
      <w:r>
        <w:rPr>
          <w:rFonts w:hint="eastAsia" w:ascii="Calibri" w:hAnsi="Calibri" w:eastAsia="宋体" w:cs="Times New Roman"/>
          <w:kern w:val="0"/>
          <w:szCs w:val="21"/>
        </w:rPr>
        <w:t>王  健</w:t>
      </w:r>
      <w:r>
        <w:rPr>
          <w:rFonts w:ascii="Calibri" w:hAnsi="Calibri" w:eastAsia="宋体" w:cs="Times New Roman"/>
          <w:kern w:val="0"/>
          <w:szCs w:val="21"/>
        </w:rPr>
        <w:t xml:space="preserve"> </w:t>
      </w:r>
    </w:p>
    <w:p w14:paraId="6487CEDA">
      <w:pPr>
        <w:autoSpaceDE w:val="0"/>
        <w:autoSpaceDN w:val="0"/>
        <w:adjustRightInd w:val="0"/>
        <w:spacing w:line="360" w:lineRule="auto"/>
        <w:ind w:firstLine="5250" w:firstLineChars="2500"/>
        <w:jc w:val="right"/>
        <w:rPr>
          <w:rFonts w:ascii="Calibri" w:hAnsi="Calibri" w:eastAsia="宋体" w:cs="Times New Roman"/>
          <w:kern w:val="0"/>
          <w:szCs w:val="21"/>
        </w:rPr>
      </w:pPr>
      <w:r>
        <w:rPr>
          <w:rFonts w:hint="eastAsia" w:ascii="Calibri" w:hAnsi="Calibri" w:eastAsia="宋体" w:cs="Times New Roman"/>
          <w:kern w:val="0"/>
          <w:szCs w:val="21"/>
        </w:rPr>
        <w:t>审批</w:t>
      </w:r>
      <w:r>
        <w:rPr>
          <w:rFonts w:ascii="Calibri" w:hAnsi="Calibri" w:eastAsia="宋体" w:cs="Times New Roman"/>
          <w:kern w:val="0"/>
          <w:szCs w:val="21"/>
        </w:rPr>
        <w:t>人：</w:t>
      </w:r>
      <w:r>
        <w:rPr>
          <w:rFonts w:hint="eastAsia" w:ascii="Calibri" w:hAnsi="Calibri" w:eastAsia="宋体" w:cs="Times New Roman"/>
          <w:kern w:val="0"/>
          <w:szCs w:val="21"/>
        </w:rPr>
        <w:t>张志欣</w:t>
      </w:r>
    </w:p>
    <w:p w14:paraId="49177842">
      <w:pPr>
        <w:ind w:firstLine="5250" w:firstLineChars="2500"/>
        <w:jc w:val="right"/>
        <w:rPr>
          <w:rFonts w:hint="eastAsia" w:ascii="宋体" w:hAnsi="宋体" w:eastAsia="宋体" w:cs="Times New Roman"/>
          <w:szCs w:val="21"/>
        </w:rPr>
      </w:pPr>
      <w:r>
        <w:rPr>
          <w:rFonts w:hint="eastAsia" w:ascii="宋体" w:hAnsi="宋体" w:eastAsia="宋体" w:cs="Times New Roman"/>
          <w:kern w:val="0"/>
          <w:szCs w:val="21"/>
        </w:rPr>
        <w:t>批准时间：2025年7月1日</w:t>
      </w:r>
    </w:p>
    <w:p w14:paraId="246D4782">
      <w:pPr>
        <w:rPr>
          <w:rFonts w:hint="eastAsia" w:ascii="等线" w:hAnsi="等线" w:eastAsia="等线" w:cs="Times New Roman"/>
          <w:kern w:val="0"/>
          <w:szCs w:val="21"/>
        </w:rPr>
      </w:pPr>
      <w:r>
        <w:rPr>
          <w:rFonts w:hint="eastAsia" w:ascii="等线" w:hAnsi="等线" w:eastAsia="等线" w:cs="Times New Roman"/>
          <w:kern w:val="0"/>
          <w:szCs w:val="21"/>
        </w:rPr>
        <w:br w:type="page"/>
      </w:r>
    </w:p>
    <w:p w14:paraId="0F5CFD4D">
      <w:pPr>
        <w:spacing w:line="360" w:lineRule="auto"/>
        <w:jc w:val="center"/>
        <w:outlineLvl w:val="0"/>
      </w:pPr>
      <w:bookmarkStart w:id="1864" w:name="_Toc18263"/>
      <w:bookmarkStart w:id="1865" w:name="_Toc24635"/>
      <w:bookmarkStart w:id="1866" w:name="_Toc11939"/>
      <w:bookmarkStart w:id="1867" w:name="_Toc17209"/>
      <w:r>
        <w:rPr>
          <w:rFonts w:hint="eastAsia" w:ascii="Times New Roman" w:hAnsi="Times New Roman" w:eastAsia="宋体" w:cs="Times New Roman"/>
          <w:b/>
          <w:sz w:val="44"/>
          <w:szCs w:val="44"/>
        </w:rPr>
        <w:t>《小学语文教学案例研究》课程教学大纲</w:t>
      </w:r>
      <w:bookmarkEnd w:id="1864"/>
      <w:bookmarkEnd w:id="1865"/>
      <w:bookmarkEnd w:id="1866"/>
      <w:bookmarkEnd w:id="1867"/>
    </w:p>
    <w:p w14:paraId="7D6E39DA">
      <w:pPr>
        <w:spacing w:line="360" w:lineRule="auto"/>
        <w:jc w:val="center"/>
      </w:pPr>
      <w:bookmarkStart w:id="1868" w:name="_Toc29812"/>
      <w:bookmarkStart w:id="1869" w:name="_Toc7369"/>
      <w:bookmarkStart w:id="1870" w:name="_Toc22764"/>
      <w:bookmarkStart w:id="1871" w:name="_Toc21155"/>
      <w:bookmarkStart w:id="1872" w:name="_Toc32519"/>
      <w:bookmarkStart w:id="1873" w:name="_Toc20835"/>
      <w:bookmarkStart w:id="1874" w:name="_Toc30968"/>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Case Studies in Primary School Chinese Language Teaching</w:t>
      </w:r>
      <w:r>
        <w:rPr>
          <w:rFonts w:ascii="Times New Roman" w:hAnsi="Times New Roman" w:eastAsia="宋体" w:cs="Times New Roman"/>
          <w:b/>
          <w:bCs/>
          <w:sz w:val="28"/>
          <w:szCs w:val="28"/>
        </w:rPr>
        <w:t>）</w:t>
      </w:r>
      <w:bookmarkEnd w:id="1868"/>
      <w:bookmarkEnd w:id="1869"/>
      <w:bookmarkEnd w:id="1870"/>
      <w:bookmarkEnd w:id="1871"/>
      <w:bookmarkEnd w:id="1872"/>
      <w:bookmarkEnd w:id="1873"/>
      <w:bookmarkEnd w:id="1874"/>
    </w:p>
    <w:p w14:paraId="08AE59F5">
      <w:pPr>
        <w:spacing w:line="360" w:lineRule="auto"/>
        <w:jc w:val="center"/>
        <w:rPr>
          <w:rFonts w:ascii="Times New Roman" w:hAnsi="Times New Roman" w:eastAsia="宋体" w:cs="Times New Roman"/>
          <w:bCs/>
          <w:szCs w:val="21"/>
        </w:rPr>
      </w:pPr>
    </w:p>
    <w:p w14:paraId="23BDC5E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w:t>
      </w:r>
      <w:r>
        <w:rPr>
          <w:rFonts w:ascii="Times New Roman" w:hAnsi="Times New Roman" w:eastAsia="宋体" w:cs="Times New Roman"/>
          <w:b/>
          <w:sz w:val="24"/>
        </w:rPr>
        <w:t xml:space="preserve"> </w:t>
      </w:r>
      <w:r>
        <w:rPr>
          <w:rFonts w:hint="eastAsia" w:ascii="Times New Roman" w:hAnsi="Times New Roman" w:eastAsia="宋体" w:cs="Times New Roman"/>
          <w:b/>
          <w:sz w:val="24"/>
        </w:rPr>
        <w:t>小学语文教学案例研究</w:t>
      </w:r>
    </w:p>
    <w:p w14:paraId="425ED83C">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宋体" w:hAnsi="宋体" w:eastAsia="宋体" w:cs="Times New Roman"/>
          <w:kern w:val="0"/>
          <w:sz w:val="24"/>
          <w:szCs w:val="22"/>
        </w:rPr>
        <w:t>24010</w:t>
      </w:r>
      <w:r>
        <w:rPr>
          <w:rFonts w:hint="eastAsia" w:ascii="宋体" w:hAnsi="宋体" w:eastAsia="宋体" w:cs="Times New Roman"/>
          <w:kern w:val="0"/>
          <w:sz w:val="24"/>
          <w:szCs w:val="22"/>
        </w:rPr>
        <w:t>56</w:t>
      </w:r>
    </w:p>
    <w:p w14:paraId="4B9A460B">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分：2</w:t>
      </w:r>
    </w:p>
    <w:p w14:paraId="787E0270">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时：32</w:t>
      </w:r>
    </w:p>
    <w:p w14:paraId="153078DA">
      <w:pPr>
        <w:spacing w:line="360" w:lineRule="auto"/>
        <w:ind w:firstLine="482" w:firstLineChars="200"/>
        <w:jc w:val="left"/>
        <w:rPr>
          <w:rFonts w:hint="eastAsia" w:ascii="宋体" w:hAnsi="宋体" w:eastAsia="宋体" w:cs="Calibri"/>
          <w:kern w:val="0"/>
          <w:sz w:val="24"/>
          <w:szCs w:val="21"/>
        </w:rPr>
      </w:pPr>
      <w:r>
        <w:rPr>
          <w:rFonts w:hint="eastAsia" w:ascii="Times New Roman" w:hAnsi="Times New Roman" w:eastAsia="宋体" w:cs="Times New Roman"/>
          <w:b/>
          <w:sz w:val="24"/>
        </w:rPr>
        <w:t>先修课程：</w:t>
      </w:r>
      <w:r>
        <w:rPr>
          <w:rFonts w:ascii="宋体" w:hAnsi="宋体" w:eastAsia="宋体" w:cs="Calibri"/>
          <w:kern w:val="0"/>
          <w:sz w:val="24"/>
          <w:szCs w:val="21"/>
        </w:rPr>
        <w:t>课程与教学论</w:t>
      </w:r>
      <w:r>
        <w:rPr>
          <w:rFonts w:hint="eastAsia" w:ascii="宋体" w:hAnsi="宋体" w:eastAsia="宋体" w:cs="Calibri"/>
          <w:kern w:val="0"/>
          <w:sz w:val="24"/>
          <w:szCs w:val="21"/>
        </w:rPr>
        <w:t>、小学语文课程标准与教材分析、小学语文教学设计与实施</w:t>
      </w:r>
    </w:p>
    <w:p w14:paraId="7F9907E7">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2CD1186A">
      <w:pPr>
        <w:spacing w:before="62" w:beforeLines="20" w:after="62" w:afterLines="20" w:line="360" w:lineRule="auto"/>
        <w:jc w:val="left"/>
        <w:rPr>
          <w:rFonts w:ascii="Times New Roman" w:hAnsi="Times New Roman" w:eastAsia="宋体" w:cs="Times New Roman"/>
          <w:b/>
          <w:sz w:val="24"/>
        </w:rPr>
      </w:pPr>
      <w:bookmarkStart w:id="1875" w:name="_Toc21688"/>
      <w:bookmarkStart w:id="1876" w:name="_Toc27106"/>
      <w:bookmarkStart w:id="1877" w:name="_Toc27828"/>
      <w:bookmarkStart w:id="1878" w:name="_Toc30564"/>
      <w:bookmarkStart w:id="1879" w:name="_Toc18508"/>
      <w:bookmarkStart w:id="1880" w:name="_Toc23244"/>
      <w:bookmarkStart w:id="1881" w:name="_Toc11777"/>
      <w:r>
        <w:rPr>
          <w:rFonts w:hint="eastAsia" w:ascii="Times New Roman" w:hAnsi="Times New Roman" w:eastAsia="宋体" w:cs="Times New Roman"/>
          <w:b/>
          <w:sz w:val="24"/>
        </w:rPr>
        <w:t>一、课程简介</w:t>
      </w:r>
      <w:bookmarkEnd w:id="1875"/>
      <w:bookmarkEnd w:id="1876"/>
      <w:bookmarkEnd w:id="1877"/>
      <w:bookmarkEnd w:id="1878"/>
      <w:bookmarkEnd w:id="1879"/>
      <w:bookmarkEnd w:id="1880"/>
      <w:bookmarkEnd w:id="1881"/>
    </w:p>
    <w:p w14:paraId="6CA258C5">
      <w:pPr>
        <w:spacing w:line="360" w:lineRule="auto"/>
        <w:ind w:firstLine="420" w:firstLineChars="200"/>
        <w:jc w:val="left"/>
        <w:rPr>
          <w:rFonts w:hint="eastAsia" w:ascii="宋体" w:hAnsi="宋体" w:eastAsia="宋体" w:cs="Times New Roman"/>
          <w:b/>
          <w:szCs w:val="21"/>
        </w:rPr>
      </w:pPr>
      <w:r>
        <w:rPr>
          <w:rFonts w:hint="eastAsia" w:ascii="Times New Roman" w:hAnsi="Times New Roman" w:eastAsia="宋体" w:cs="Times New Roman"/>
          <w:szCs w:val="21"/>
        </w:rPr>
        <w:t>本课程是面向大四师范生的专业选修课程，本课程的性质在于将理论与实践相结合，通过深入分析和研究小学语文教学案例，进一步提升教学设计、实施与评价能力。课程的主要任务是学生能够通过小学语文教学的基本理论和方法的学习，提高对教学案例的分析与应用能力，从而为将来从事小学语文教学工作打下坚实的基础，使他们能够更加自信和有效地应对实际教学中的挑战。</w:t>
      </w:r>
    </w:p>
    <w:p w14:paraId="2B347B99">
      <w:pPr>
        <w:spacing w:before="62" w:beforeLines="20" w:after="62" w:afterLines="20" w:line="360" w:lineRule="auto"/>
        <w:jc w:val="left"/>
        <w:rPr>
          <w:rFonts w:ascii="Times New Roman" w:hAnsi="Times New Roman" w:eastAsia="宋体" w:cs="Times New Roman"/>
          <w:b/>
          <w:sz w:val="24"/>
        </w:rPr>
      </w:pPr>
      <w:bookmarkStart w:id="1882" w:name="_Toc8800"/>
      <w:bookmarkStart w:id="1883" w:name="_Toc383"/>
      <w:bookmarkStart w:id="1884" w:name="_Toc11076"/>
      <w:bookmarkStart w:id="1885" w:name="_Toc10514"/>
      <w:bookmarkStart w:id="1886" w:name="_Toc24521"/>
      <w:bookmarkStart w:id="1887" w:name="_Toc25888"/>
      <w:bookmarkStart w:id="1888" w:name="_Toc9419"/>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1882"/>
      <w:bookmarkEnd w:id="1883"/>
      <w:bookmarkEnd w:id="1884"/>
      <w:bookmarkEnd w:id="1885"/>
      <w:bookmarkEnd w:id="1886"/>
      <w:bookmarkEnd w:id="1887"/>
      <w:bookmarkEnd w:id="1888"/>
    </w:p>
    <w:p w14:paraId="17766424">
      <w:pPr>
        <w:spacing w:line="360" w:lineRule="auto"/>
        <w:ind w:firstLine="422" w:firstLineChars="200"/>
        <w:outlineLvl w:val="1"/>
        <w:rPr>
          <w:rFonts w:hint="eastAsia" w:ascii="宋体" w:hAnsi="宋体" w:eastAsia="宋体" w:cs="Times New Roman"/>
          <w:b/>
          <w:szCs w:val="21"/>
        </w:rPr>
      </w:pPr>
      <w:bookmarkStart w:id="1889" w:name="_Toc18506"/>
      <w:r>
        <w:rPr>
          <w:rFonts w:hint="eastAsia" w:ascii="宋体" w:hAnsi="宋体" w:eastAsia="宋体" w:cs="Times New Roman"/>
          <w:b/>
          <w:szCs w:val="21"/>
        </w:rPr>
        <w:t>（一）课程具体目标</w:t>
      </w:r>
      <w:bookmarkEnd w:id="1889"/>
    </w:p>
    <w:p w14:paraId="33EC7E76">
      <w:pPr>
        <w:autoSpaceDE w:val="0"/>
        <w:autoSpaceDN w:val="0"/>
        <w:adjustRightInd w:val="0"/>
        <w:spacing w:line="360" w:lineRule="auto"/>
        <w:ind w:firstLine="422" w:firstLineChars="200"/>
        <w:jc w:val="left"/>
        <w:rPr>
          <w:rFonts w:hint="eastAsia" w:ascii="宋体" w:hAnsi="宋体" w:eastAsia="宋体" w:cs="Times New Roman"/>
          <w:kern w:val="0"/>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hint="eastAsia" w:ascii="Times New Roman" w:hAnsi="Times New Roman" w:eastAsia="宋体" w:cs="Times New Roman"/>
          <w:b/>
          <w:szCs w:val="21"/>
        </w:rPr>
        <w:t xml:space="preserve"> </w:t>
      </w:r>
      <w:r>
        <w:rPr>
          <w:rFonts w:hint="eastAsia" w:ascii="宋体" w:hAnsi="宋体" w:eastAsia="宋体" w:cs="Times New Roman"/>
          <w:kern w:val="0"/>
          <w:szCs w:val="21"/>
        </w:rPr>
        <w:t>能正确</w:t>
      </w:r>
      <w:r>
        <w:rPr>
          <w:rFonts w:ascii="宋体" w:hAnsi="宋体" w:eastAsia="宋体" w:cs="Times New Roman"/>
          <w:kern w:val="0"/>
          <w:szCs w:val="21"/>
        </w:rPr>
        <w:t>理解和</w:t>
      </w:r>
      <w:r>
        <w:rPr>
          <w:rFonts w:hint="eastAsia" w:ascii="宋体" w:hAnsi="宋体" w:eastAsia="宋体" w:cs="Times New Roman"/>
          <w:kern w:val="0"/>
          <w:szCs w:val="21"/>
        </w:rPr>
        <w:t>运用</w:t>
      </w:r>
      <w:r>
        <w:rPr>
          <w:rFonts w:ascii="宋体" w:hAnsi="宋体" w:eastAsia="宋体" w:cs="Times New Roman"/>
          <w:kern w:val="0"/>
          <w:szCs w:val="21"/>
        </w:rPr>
        <w:t>小学语文教学设计的基本原则和方法，包括确定教学目标、设计教学活动、选择教学资源和评估教学效果。根据</w:t>
      </w:r>
      <w:r>
        <w:rPr>
          <w:rFonts w:hint="eastAsia" w:ascii="宋体" w:hAnsi="宋体" w:eastAsia="宋体" w:cs="Times New Roman"/>
          <w:kern w:val="0"/>
          <w:szCs w:val="21"/>
        </w:rPr>
        <w:t>课标、教材及学情</w:t>
      </w:r>
      <w:r>
        <w:rPr>
          <w:rFonts w:ascii="宋体" w:hAnsi="宋体" w:eastAsia="宋体" w:cs="Times New Roman"/>
          <w:kern w:val="0"/>
          <w:szCs w:val="21"/>
        </w:rPr>
        <w:t>，制定切实可行的教学计划，并能够整合多种教学手段和策略，以提高教学</w:t>
      </w:r>
      <w:r>
        <w:rPr>
          <w:rFonts w:hint="eastAsia" w:ascii="宋体" w:hAnsi="宋体" w:eastAsia="宋体" w:cs="Times New Roman"/>
          <w:kern w:val="0"/>
          <w:szCs w:val="21"/>
        </w:rPr>
        <w:t>有效性</w:t>
      </w:r>
      <w:r>
        <w:rPr>
          <w:rFonts w:ascii="宋体" w:hAnsi="宋体" w:eastAsia="宋体" w:cs="Times New Roman"/>
          <w:kern w:val="0"/>
          <w:szCs w:val="21"/>
        </w:rPr>
        <w:t>。</w:t>
      </w:r>
    </w:p>
    <w:p w14:paraId="12BC565A">
      <w:pPr>
        <w:autoSpaceDE w:val="0"/>
        <w:autoSpaceDN w:val="0"/>
        <w:adjustRightInd w:val="0"/>
        <w:spacing w:line="360" w:lineRule="auto"/>
        <w:ind w:firstLine="422" w:firstLineChars="200"/>
        <w:jc w:val="left"/>
        <w:rPr>
          <w:rFonts w:hint="eastAsia" w:ascii="宋体" w:hAnsi="宋体" w:eastAsia="宋体" w:cs="Times New Roman"/>
          <w:kern w:val="0"/>
          <w:szCs w:val="21"/>
        </w:rPr>
      </w:pPr>
      <w:r>
        <w:rPr>
          <w:rFonts w:hint="eastAsia" w:ascii="宋体" w:hAnsi="宋体" w:eastAsia="宋体" w:cs="Times New Roman"/>
          <w:b/>
          <w:bCs/>
          <w:kern w:val="0"/>
          <w:szCs w:val="21"/>
        </w:rPr>
        <w:t>目标2.</w:t>
      </w:r>
      <w:r>
        <w:rPr>
          <w:rFonts w:hint="eastAsia" w:ascii="宋体" w:hAnsi="宋体" w:eastAsia="宋体" w:cs="Times New Roman"/>
          <w:kern w:val="0"/>
          <w:szCs w:val="21"/>
        </w:rPr>
        <w:t>具有</w:t>
      </w:r>
      <w:r>
        <w:rPr>
          <w:rFonts w:ascii="宋体" w:hAnsi="宋体" w:eastAsia="宋体" w:cs="Times New Roman"/>
          <w:kern w:val="0"/>
          <w:szCs w:val="21"/>
        </w:rPr>
        <w:t>将教学设计方案有效转化为课堂教学实践的能力。通过模拟教学、微格教学等实践活动，学会运用多样化的教学方法</w:t>
      </w:r>
      <w:r>
        <w:rPr>
          <w:rFonts w:hint="eastAsia" w:ascii="宋体" w:hAnsi="宋体" w:eastAsia="宋体" w:cs="Times New Roman"/>
          <w:kern w:val="0"/>
          <w:szCs w:val="21"/>
        </w:rPr>
        <w:t>，提升教学实施能力</w:t>
      </w:r>
      <w:r>
        <w:rPr>
          <w:rFonts w:ascii="宋体" w:hAnsi="宋体" w:eastAsia="宋体" w:cs="Times New Roman"/>
          <w:kern w:val="0"/>
          <w:szCs w:val="21"/>
        </w:rPr>
        <w:t>。</w:t>
      </w:r>
    </w:p>
    <w:p w14:paraId="5E497A3C">
      <w:pPr>
        <w:autoSpaceDE w:val="0"/>
        <w:autoSpaceDN w:val="0"/>
        <w:adjustRightInd w:val="0"/>
        <w:spacing w:line="360" w:lineRule="auto"/>
        <w:ind w:firstLine="422" w:firstLineChars="200"/>
        <w:jc w:val="left"/>
        <w:rPr>
          <w:rFonts w:hint="eastAsia" w:ascii="宋体" w:hAnsi="宋体" w:eastAsia="宋体" w:cs="Times New Roman"/>
          <w:kern w:val="0"/>
          <w:szCs w:val="21"/>
        </w:rPr>
      </w:pPr>
      <w:r>
        <w:rPr>
          <w:rFonts w:hint="eastAsia" w:ascii="宋体" w:hAnsi="宋体" w:eastAsia="宋体" w:cs="Times New Roman"/>
          <w:b/>
          <w:bCs/>
          <w:kern w:val="0"/>
          <w:szCs w:val="21"/>
        </w:rPr>
        <w:t>目标3.</w:t>
      </w:r>
      <w:r>
        <w:rPr>
          <w:rFonts w:ascii="宋体" w:hAnsi="宋体" w:eastAsia="宋体" w:cs="Times New Roman"/>
          <w:kern w:val="0"/>
          <w:szCs w:val="21"/>
        </w:rPr>
        <w:t>通过</w:t>
      </w:r>
      <w:r>
        <w:rPr>
          <w:rFonts w:hint="eastAsia" w:ascii="宋体" w:hAnsi="宋体" w:eastAsia="宋体" w:cs="Times New Roman"/>
          <w:kern w:val="0"/>
          <w:szCs w:val="21"/>
        </w:rPr>
        <w:t>小学语文教学</w:t>
      </w:r>
      <w:r>
        <w:rPr>
          <w:rFonts w:ascii="宋体" w:hAnsi="宋体" w:eastAsia="宋体" w:cs="Times New Roman"/>
          <w:kern w:val="0"/>
          <w:szCs w:val="21"/>
        </w:rPr>
        <w:t>案例研究和</w:t>
      </w:r>
      <w:r>
        <w:rPr>
          <w:rFonts w:hint="eastAsia" w:ascii="宋体" w:hAnsi="宋体" w:eastAsia="宋体" w:cs="Times New Roman"/>
          <w:kern w:val="0"/>
          <w:szCs w:val="21"/>
        </w:rPr>
        <w:t>小组</w:t>
      </w:r>
      <w:r>
        <w:rPr>
          <w:rFonts w:ascii="宋体" w:hAnsi="宋体" w:eastAsia="宋体" w:cs="Times New Roman"/>
          <w:kern w:val="0"/>
          <w:szCs w:val="21"/>
        </w:rPr>
        <w:t>评议，</w:t>
      </w:r>
      <w:r>
        <w:rPr>
          <w:rFonts w:hint="eastAsia" w:ascii="宋体" w:hAnsi="宋体" w:eastAsia="宋体" w:cs="Times New Roman"/>
          <w:kern w:val="0"/>
          <w:szCs w:val="21"/>
        </w:rPr>
        <w:t>提升</w:t>
      </w:r>
      <w:r>
        <w:rPr>
          <w:rFonts w:ascii="宋体" w:hAnsi="宋体" w:eastAsia="宋体" w:cs="Times New Roman"/>
          <w:kern w:val="0"/>
          <w:szCs w:val="21"/>
        </w:rPr>
        <w:t>批判性思维能力，以促进自身教学实践的持续改进和专业成长。</w:t>
      </w:r>
    </w:p>
    <w:p w14:paraId="43E32AD6">
      <w:pPr>
        <w:numPr>
          <w:ilvl w:val="0"/>
          <w:numId w:val="23"/>
        </w:numPr>
        <w:spacing w:line="360" w:lineRule="auto"/>
        <w:ind w:firstLine="422" w:firstLineChars="200"/>
        <w:jc w:val="left"/>
        <w:outlineLvl w:val="1"/>
        <w:rPr>
          <w:rFonts w:ascii="Times New Roman" w:hAnsi="Times New Roman" w:eastAsia="宋体" w:cs="Times New Roman"/>
          <w:b/>
          <w:bCs/>
          <w:szCs w:val="21"/>
        </w:rPr>
      </w:pPr>
      <w:bookmarkStart w:id="1890" w:name="_Toc18550"/>
      <w:r>
        <w:rPr>
          <w:rFonts w:hint="eastAsia" w:ascii="Times New Roman" w:hAnsi="Times New Roman" w:eastAsia="宋体" w:cs="Times New Roman"/>
          <w:b/>
          <w:bCs/>
          <w:szCs w:val="21"/>
        </w:rPr>
        <w:t>课程目标及其对毕业要求指标点的支撑</w:t>
      </w:r>
      <w:bookmarkEnd w:id="1890"/>
    </w:p>
    <w:p w14:paraId="7CEF21D0">
      <w:pPr>
        <w:spacing w:line="360" w:lineRule="auto"/>
        <w:jc w:val="left"/>
        <w:outlineLvl w:val="1"/>
        <w:rPr>
          <w:rFonts w:ascii="Times New Roman" w:hAnsi="Times New Roman" w:eastAsia="宋体" w:cs="Times New Roman"/>
          <w:b/>
          <w:bCs/>
          <w:szCs w:val="21"/>
        </w:rPr>
      </w:pPr>
    </w:p>
    <w:p w14:paraId="7CF1331A">
      <w:pPr>
        <w:spacing w:line="360" w:lineRule="auto"/>
        <w:jc w:val="left"/>
        <w:outlineLvl w:val="1"/>
        <w:rPr>
          <w:rFonts w:ascii="Times New Roman" w:hAnsi="Times New Roman" w:eastAsia="宋体" w:cs="Times New Roman"/>
          <w:b/>
          <w:bCs/>
          <w:szCs w:val="21"/>
        </w:rPr>
      </w:pP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9"/>
        <w:gridCol w:w="6417"/>
        <w:gridCol w:w="1191"/>
      </w:tblGrid>
      <w:tr w14:paraId="0764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4C42671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417" w:type="dxa"/>
            <w:vAlign w:val="center"/>
          </w:tcPr>
          <w:p w14:paraId="2A7A37A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2DB4AD2C">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C97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2CD3DB1F">
            <w:pPr>
              <w:spacing w:line="276" w:lineRule="auto"/>
              <w:jc w:val="center"/>
              <w:rPr>
                <w:rFonts w:ascii="Times New Roman" w:hAnsi="Times New Roman" w:eastAsia="宋体" w:cs="Times New Roman"/>
                <w:szCs w:val="21"/>
              </w:rPr>
            </w:pPr>
            <w:r>
              <w:rPr>
                <w:rFonts w:hint="eastAsia" w:ascii="宋体" w:hAnsi="宋体" w:eastAsia="宋体" w:cs="Times New Roman"/>
                <w:kern w:val="0"/>
                <w:szCs w:val="21"/>
              </w:rPr>
              <w:t>毕业要求</w:t>
            </w:r>
            <w:r>
              <w:rPr>
                <w:rFonts w:ascii="宋体" w:hAnsi="宋体" w:eastAsia="宋体" w:cs="Times New Roman"/>
                <w:kern w:val="0"/>
                <w:szCs w:val="21"/>
              </w:rPr>
              <w:t>4.教学能力</w:t>
            </w:r>
          </w:p>
        </w:tc>
        <w:tc>
          <w:tcPr>
            <w:tcW w:w="6417" w:type="dxa"/>
            <w:vAlign w:val="center"/>
          </w:tcPr>
          <w:p w14:paraId="5689F2FA">
            <w:pPr>
              <w:spacing w:line="276" w:lineRule="auto"/>
              <w:jc w:val="left"/>
              <w:rPr>
                <w:rFonts w:hint="eastAsia" w:ascii="宋体" w:hAnsi="宋体" w:cs="宋体"/>
                <w:sz w:val="20"/>
                <w:szCs w:val="20"/>
              </w:rPr>
            </w:pPr>
            <w:r>
              <w:rPr>
                <w:rFonts w:hint="eastAsia" w:ascii="宋体" w:hAnsi="宋体" w:cs="宋体"/>
                <w:b/>
                <w:kern w:val="0"/>
                <w:sz w:val="20"/>
                <w:szCs w:val="20"/>
              </w:rPr>
              <w:t>指标点4-1</w:t>
            </w:r>
            <w:r>
              <w:rPr>
                <w:rFonts w:hint="eastAsia" w:ascii="宋体" w:hAnsi="宋体" w:cs="宋体"/>
                <w:kern w:val="0"/>
                <w:sz w:val="20"/>
                <w:szCs w:val="20"/>
              </w:rPr>
              <w:t>：</w:t>
            </w:r>
            <w:r>
              <w:rPr>
                <w:rFonts w:hint="eastAsia" w:ascii="宋体" w:hAnsi="宋体" w:cs="宋体"/>
                <w:sz w:val="20"/>
                <w:szCs w:val="20"/>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p>
          <w:p w14:paraId="053B3BF0">
            <w:pPr>
              <w:spacing w:line="276" w:lineRule="auto"/>
              <w:jc w:val="left"/>
              <w:rPr>
                <w:sz w:val="20"/>
                <w:szCs w:val="20"/>
              </w:rPr>
            </w:pPr>
            <w:r>
              <w:rPr>
                <w:rFonts w:hint="eastAsia" w:ascii="宋体" w:hAnsi="宋体" w:cs="宋体"/>
                <w:b/>
                <w:sz w:val="20"/>
                <w:szCs w:val="20"/>
              </w:rPr>
              <w:t>指标点4-2</w:t>
            </w:r>
            <w:r>
              <w:rPr>
                <w:rFonts w:hint="eastAsia" w:ascii="宋体" w:hAnsi="宋体" w:cs="宋体"/>
                <w:sz w:val="20"/>
                <w:szCs w:val="20"/>
              </w:rPr>
              <w:t>：</w:t>
            </w:r>
            <w:r>
              <w:rPr>
                <w:rFonts w:hint="eastAsia"/>
                <w:sz w:val="20"/>
                <w:szCs w:val="20"/>
              </w:rPr>
              <w:t>【教学设计恰当】</w:t>
            </w:r>
            <w:r>
              <w:rPr>
                <w:rFonts w:hint="eastAsia" w:ascii="宋体" w:hAnsi="宋体" w:cs="宋体"/>
                <w:sz w:val="20"/>
                <w:szCs w:val="20"/>
              </w:rPr>
              <w:t>能针对小学生已有的知识水平、学习经验和兴趣特点，依据课标确定恰当的学习目标和学习重点，设计学习活动。</w:t>
            </w:r>
            <w:r>
              <w:rPr>
                <w:rFonts w:hint="eastAsia"/>
                <w:sz w:val="20"/>
                <w:szCs w:val="20"/>
              </w:rPr>
              <w:t>能依据单元内容进行整体设计，科学合理地依据教学目标及内容设计作业。</w:t>
            </w:r>
          </w:p>
          <w:p w14:paraId="4C7714DE">
            <w:pPr>
              <w:spacing w:line="276" w:lineRule="auto"/>
              <w:jc w:val="left"/>
              <w:rPr>
                <w:rFonts w:hint="eastAsia" w:ascii="宋体" w:hAnsi="宋体" w:eastAsia="宋体" w:cs="Times New Roman"/>
                <w:kern w:val="0"/>
                <w:szCs w:val="21"/>
              </w:rPr>
            </w:pPr>
            <w:r>
              <w:rPr>
                <w:rFonts w:hint="eastAsia" w:ascii="宋体" w:hAnsi="宋体" w:cs="宋体"/>
                <w:b/>
                <w:sz w:val="20"/>
                <w:szCs w:val="20"/>
              </w:rPr>
              <w:t>指标点4-3</w:t>
            </w:r>
            <w:r>
              <w:rPr>
                <w:rFonts w:hint="eastAsia" w:ascii="宋体" w:hAnsi="宋体" w:cs="宋体"/>
                <w:sz w:val="20"/>
                <w:szCs w:val="20"/>
              </w:rPr>
              <w:t>：【教学实施与评价科学】掌握小学教师基本功技能，包括书写技能、沟通与表达技能、信息技术运用技能等。获得全面的小学教学体验，掌握学科教学的基本方法与策略，能独立进行教学实施和评价。</w:t>
            </w:r>
          </w:p>
        </w:tc>
        <w:tc>
          <w:tcPr>
            <w:tcW w:w="1191" w:type="dxa"/>
            <w:vAlign w:val="center"/>
          </w:tcPr>
          <w:p w14:paraId="0F6868B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p w14:paraId="3385BC59">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r w14:paraId="2BB5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4AEDD0DF">
            <w:pPr>
              <w:spacing w:line="276" w:lineRule="auto"/>
              <w:jc w:val="center"/>
              <w:rPr>
                <w:rFonts w:ascii="Times New Roman" w:hAnsi="Times New Roman" w:eastAsia="宋体" w:cs="Times New Roman"/>
                <w:szCs w:val="21"/>
              </w:rPr>
            </w:pPr>
            <w:r>
              <w:rPr>
                <w:rFonts w:hint="eastAsia" w:ascii="宋体" w:hAnsi="宋体" w:eastAsia="宋体" w:cs="Times New Roman"/>
                <w:spacing w:val="2"/>
                <w:kern w:val="0"/>
                <w:szCs w:val="21"/>
              </w:rPr>
              <w:t>毕业要求8.学会反思</w:t>
            </w:r>
          </w:p>
        </w:tc>
        <w:tc>
          <w:tcPr>
            <w:tcW w:w="6417" w:type="dxa"/>
            <w:vAlign w:val="center"/>
          </w:tcPr>
          <w:p w14:paraId="2072D561">
            <w:pPr>
              <w:spacing w:line="276" w:lineRule="auto"/>
              <w:jc w:val="left"/>
              <w:rPr>
                <w:rFonts w:ascii="Times New Roman" w:hAnsi="Times New Roman" w:eastAsia="宋体" w:cs="Times New Roman"/>
                <w:szCs w:val="21"/>
              </w:rPr>
            </w:pPr>
            <w:r>
              <w:rPr>
                <w:rFonts w:hint="eastAsia" w:ascii="宋体" w:hAnsi="宋体" w:eastAsia="宋体" w:cs="Times New Roman"/>
                <w:b/>
                <w:kern w:val="0"/>
                <w:szCs w:val="21"/>
              </w:rPr>
              <w:t>指标点8-1</w:t>
            </w:r>
            <w:r>
              <w:rPr>
                <w:rFonts w:hint="eastAsia" w:ascii="宋体" w:hAnsi="宋体" w:eastAsia="宋体" w:cs="Times New Roman"/>
                <w:kern w:val="0"/>
                <w:szCs w:val="21"/>
              </w:rPr>
              <w:t>：【善于团队合作】理解学习共同体的本质和价值，掌握团队协作的基本策略，在课堂学习与教育实践中获得合作学习体验，形成团队协作精神。</w:t>
            </w:r>
          </w:p>
        </w:tc>
        <w:tc>
          <w:tcPr>
            <w:tcW w:w="1191" w:type="dxa"/>
            <w:vAlign w:val="center"/>
          </w:tcPr>
          <w:p w14:paraId="70709FF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课程目标3</w:t>
            </w:r>
          </w:p>
        </w:tc>
      </w:tr>
      <w:tr w14:paraId="34085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6D79E546">
            <w:pPr>
              <w:spacing w:line="276" w:lineRule="auto"/>
              <w:jc w:val="center"/>
              <w:rPr>
                <w:rFonts w:hint="eastAsia" w:ascii="宋体" w:hAnsi="宋体" w:eastAsia="宋体" w:cs="Times New Roman"/>
                <w:spacing w:val="2"/>
                <w:kern w:val="0"/>
                <w:szCs w:val="21"/>
              </w:rPr>
            </w:pPr>
            <w:bookmarkStart w:id="1891" w:name="_Toc4601"/>
            <w:r>
              <w:rPr>
                <w:rFonts w:hint="eastAsia" w:ascii="宋体" w:hAnsi="宋体" w:eastAsia="宋体" w:cs="Times New Roman"/>
                <w:spacing w:val="2"/>
                <w:kern w:val="0"/>
                <w:szCs w:val="21"/>
              </w:rPr>
              <w:t>毕业要求6综合育人</w:t>
            </w:r>
          </w:p>
        </w:tc>
        <w:tc>
          <w:tcPr>
            <w:tcW w:w="6417" w:type="dxa"/>
            <w:vAlign w:val="center"/>
          </w:tcPr>
          <w:p w14:paraId="785DAE41">
            <w:pPr>
              <w:spacing w:line="276" w:lineRule="auto"/>
              <w:jc w:val="left"/>
              <w:rPr>
                <w:rFonts w:hint="eastAsia" w:ascii="宋体" w:hAnsi="宋体" w:eastAsia="宋体" w:cs="Times New Roman"/>
                <w:kern w:val="0"/>
                <w:szCs w:val="21"/>
              </w:rPr>
            </w:pPr>
            <w:r>
              <w:rPr>
                <w:rFonts w:hint="eastAsia" w:ascii="宋体" w:hAnsi="宋体" w:cs="宋体"/>
                <w:b/>
                <w:kern w:val="0"/>
                <w:sz w:val="20"/>
                <w:szCs w:val="20"/>
              </w:rPr>
              <w:t>指标点6-2</w:t>
            </w:r>
            <w:r>
              <w:rPr>
                <w:rFonts w:hint="eastAsia" w:ascii="宋体" w:hAnsi="宋体" w:cs="宋体"/>
                <w:sz w:val="20"/>
                <w:szCs w:val="20"/>
              </w:rPr>
              <w:t>：【胜任学科育人】具有教书育人的意识，理解学科核心素养和拟任教学科课程独特的育人功能，在教育教学实践中，能够</w:t>
            </w:r>
            <w:r>
              <w:rPr>
                <w:rFonts w:hint="eastAsia" w:ascii="宋体" w:hAnsi="宋体" w:cs="宋体"/>
                <w:bCs/>
                <w:kern w:val="0"/>
                <w:sz w:val="20"/>
                <w:szCs w:val="20"/>
              </w:rPr>
              <w:t>结合课程内容与特点，挖掘课程的育人要素与资源，合理设计育人目标、主题、内容和活动，将知识学习、能力发展与品德养成有机结合。</w:t>
            </w:r>
          </w:p>
        </w:tc>
        <w:tc>
          <w:tcPr>
            <w:tcW w:w="1191" w:type="dxa"/>
            <w:vAlign w:val="center"/>
          </w:tcPr>
          <w:p w14:paraId="3CF2EF52">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w:t>
            </w:r>
          </w:p>
          <w:p w14:paraId="4ED3F26E">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2、3</w:t>
            </w:r>
          </w:p>
        </w:tc>
      </w:tr>
      <w:tr w14:paraId="2CC4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9" w:type="dxa"/>
            <w:vAlign w:val="center"/>
          </w:tcPr>
          <w:p w14:paraId="3F0DE468">
            <w:pPr>
              <w:spacing w:line="276" w:lineRule="auto"/>
              <w:jc w:val="center"/>
              <w:rPr>
                <w:rFonts w:hint="eastAsia" w:ascii="宋体" w:hAnsi="宋体" w:eastAsia="宋体" w:cs="Times New Roman"/>
                <w:spacing w:val="2"/>
                <w:kern w:val="0"/>
                <w:szCs w:val="21"/>
              </w:rPr>
            </w:pPr>
            <w:r>
              <w:rPr>
                <w:rFonts w:hint="eastAsia" w:ascii="宋体" w:hAnsi="宋体" w:eastAsia="宋体" w:cs="Times New Roman"/>
                <w:spacing w:val="2"/>
                <w:kern w:val="0"/>
                <w:szCs w:val="21"/>
              </w:rPr>
              <w:t>毕业要求7学会反思</w:t>
            </w:r>
          </w:p>
        </w:tc>
        <w:tc>
          <w:tcPr>
            <w:tcW w:w="6417" w:type="dxa"/>
            <w:vAlign w:val="center"/>
          </w:tcPr>
          <w:p w14:paraId="13004965">
            <w:pPr>
              <w:spacing w:line="276" w:lineRule="auto"/>
              <w:jc w:val="left"/>
              <w:rPr>
                <w:rFonts w:hint="eastAsia" w:ascii="宋体" w:hAnsi="宋体" w:cs="宋体"/>
                <w:kern w:val="0"/>
                <w:sz w:val="20"/>
                <w:szCs w:val="20"/>
              </w:rPr>
            </w:pPr>
            <w:r>
              <w:rPr>
                <w:rFonts w:hint="eastAsia" w:ascii="宋体" w:hAnsi="宋体" w:cs="宋体"/>
                <w:b/>
                <w:kern w:val="0"/>
                <w:sz w:val="20"/>
                <w:szCs w:val="20"/>
              </w:rPr>
              <w:t>指标点7-3</w:t>
            </w:r>
            <w:r>
              <w:rPr>
                <w:rFonts w:hint="eastAsia" w:ascii="宋体" w:hAnsi="宋体" w:cs="宋体"/>
                <w:sz w:val="20"/>
                <w:szCs w:val="20"/>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191" w:type="dxa"/>
            <w:vAlign w:val="center"/>
          </w:tcPr>
          <w:p w14:paraId="0D0C527B">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课程目标3</w:t>
            </w:r>
          </w:p>
        </w:tc>
      </w:tr>
    </w:tbl>
    <w:p w14:paraId="1803E552">
      <w:pPr>
        <w:spacing w:before="156" w:beforeLines="50" w:line="360" w:lineRule="auto"/>
        <w:ind w:firstLine="422" w:firstLineChars="200"/>
        <w:jc w:val="left"/>
        <w:outlineLvl w:val="1"/>
        <w:rPr>
          <w:rFonts w:hint="eastAsia" w:ascii="宋体" w:hAnsi="宋体" w:eastAsia="宋体" w:cs="宋体"/>
          <w:b/>
          <w:szCs w:val="21"/>
        </w:rPr>
      </w:pPr>
      <w:r>
        <w:rPr>
          <w:rFonts w:hint="eastAsia" w:ascii="宋体" w:hAnsi="宋体" w:eastAsia="宋体" w:cs="宋体"/>
          <w:b/>
          <w:szCs w:val="21"/>
        </w:rPr>
        <w:t>（三）课程思政目标</w:t>
      </w:r>
      <w:bookmarkEnd w:id="1891"/>
    </w:p>
    <w:p w14:paraId="688143EB">
      <w:pPr>
        <w:spacing w:line="360" w:lineRule="auto"/>
        <w:ind w:firstLine="420" w:firstLineChars="200"/>
        <w:jc w:val="left"/>
        <w:rPr>
          <w:rFonts w:hint="eastAsia" w:ascii="宋体" w:hAnsi="宋体" w:eastAsia="宋体" w:cs="宋体"/>
          <w:kern w:val="0"/>
          <w:szCs w:val="21"/>
        </w:rPr>
      </w:pPr>
      <w:r>
        <w:rPr>
          <w:rFonts w:hint="eastAsia" w:ascii="宋体" w:hAnsi="宋体" w:eastAsia="宋体" w:cs="宋体"/>
          <w:kern w:val="0"/>
          <w:szCs w:val="21"/>
        </w:rPr>
        <w:t>深入理解和掌握小学语文教学内容中的思政教育元素，学习如何巧妙地将社会主义核心价值观融入到普通阅读、阅读策略、习作和口语交际等教学单元的设计中。学生将通过案例分析，提升在教学实践中引导小学生形成正面价值观的能力。学会设计具有教育意义的教学活动，以培养学生的道德素养、文化自信、批判性思维和团队合作精神，为成为具有教育家精神的小学语文教师打下坚实的基础。</w:t>
      </w:r>
    </w:p>
    <w:p w14:paraId="42177300">
      <w:pPr>
        <w:spacing w:before="62" w:beforeLines="20" w:after="62" w:afterLines="20" w:line="360" w:lineRule="auto"/>
        <w:ind w:left="-2" w:leftChars="-1"/>
        <w:jc w:val="left"/>
        <w:rPr>
          <w:rFonts w:ascii="Times New Roman" w:hAnsi="Times New Roman" w:eastAsia="宋体" w:cs="Times New Roman"/>
          <w:b/>
          <w:sz w:val="24"/>
        </w:rPr>
      </w:pPr>
      <w:bookmarkStart w:id="1892" w:name="_Toc21094"/>
      <w:bookmarkStart w:id="1893" w:name="_Toc24509"/>
      <w:bookmarkStart w:id="1894" w:name="_Toc13574"/>
      <w:bookmarkStart w:id="1895" w:name="_Toc14312"/>
      <w:bookmarkStart w:id="1896" w:name="_Toc16463"/>
      <w:bookmarkStart w:id="1897" w:name="_Toc26152"/>
      <w:bookmarkStart w:id="1898" w:name="_Toc5245"/>
      <w:r>
        <w:rPr>
          <w:rFonts w:hint="eastAsia" w:ascii="Times New Roman" w:hAnsi="Times New Roman" w:eastAsia="宋体" w:cs="Times New Roman"/>
          <w:b/>
          <w:sz w:val="24"/>
        </w:rPr>
        <w:t>三、教学内容与预期学习成效</w:t>
      </w:r>
      <w:bookmarkEnd w:id="1892"/>
      <w:bookmarkEnd w:id="1893"/>
      <w:bookmarkEnd w:id="1894"/>
      <w:bookmarkEnd w:id="1895"/>
      <w:bookmarkEnd w:id="1896"/>
      <w:bookmarkEnd w:id="1897"/>
      <w:bookmarkEnd w:id="1898"/>
    </w:p>
    <w:p w14:paraId="18A39EAB">
      <w:pPr>
        <w:spacing w:before="62" w:beforeLines="20" w:after="62" w:afterLines="20" w:line="360" w:lineRule="auto"/>
        <w:jc w:val="left"/>
        <w:rPr>
          <w:rFonts w:ascii="Times New Roman" w:hAnsi="Times New Roman" w:eastAsia="宋体" w:cs="Times New Roman"/>
          <w:b/>
          <w:sz w:val="24"/>
        </w:rPr>
      </w:pPr>
    </w:p>
    <w:p w14:paraId="580ACD87">
      <w:pPr>
        <w:spacing w:before="62" w:beforeLines="20" w:after="62" w:afterLines="20" w:line="360" w:lineRule="auto"/>
        <w:jc w:val="left"/>
        <w:rPr>
          <w:rFonts w:ascii="Times New Roman" w:hAnsi="Times New Roman" w:eastAsia="宋体" w:cs="Times New Roman"/>
          <w:b/>
          <w:sz w:val="24"/>
        </w:rPr>
      </w:pPr>
    </w:p>
    <w:p w14:paraId="317B91DB">
      <w:pPr>
        <w:spacing w:before="62" w:beforeLines="20" w:after="62" w:afterLines="20" w:line="360" w:lineRule="auto"/>
        <w:jc w:val="left"/>
        <w:rPr>
          <w:rFonts w:ascii="Times New Roman" w:hAnsi="Times New Roman" w:eastAsia="宋体" w:cs="Times New Roman"/>
          <w:b/>
          <w:sz w:val="24"/>
        </w:rPr>
      </w:pPr>
    </w:p>
    <w:tbl>
      <w:tblPr>
        <w:tblStyle w:val="12"/>
        <w:tblW w:w="9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592"/>
        <w:gridCol w:w="1140"/>
        <w:gridCol w:w="3464"/>
        <w:gridCol w:w="1307"/>
        <w:gridCol w:w="658"/>
      </w:tblGrid>
      <w:tr w14:paraId="11FB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6C9741EB">
            <w:pPr>
              <w:jc w:val="center"/>
              <w:rPr>
                <w:rFonts w:hint="eastAsia" w:ascii="宋体" w:hAnsi="宋体" w:eastAsia="宋体" w:cs="Times New Roman"/>
                <w:b/>
                <w:szCs w:val="21"/>
              </w:rPr>
            </w:pPr>
            <w:r>
              <w:rPr>
                <w:rFonts w:hint="eastAsia" w:ascii="宋体" w:hAnsi="宋体" w:eastAsia="宋体" w:cs="Times New Roman"/>
                <w:b/>
                <w:szCs w:val="21"/>
              </w:rPr>
              <w:t>知识</w:t>
            </w:r>
          </w:p>
          <w:p w14:paraId="01C8B987">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592" w:type="dxa"/>
            <w:vAlign w:val="center"/>
          </w:tcPr>
          <w:p w14:paraId="0C822BEA">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40" w:type="dxa"/>
            <w:vAlign w:val="center"/>
          </w:tcPr>
          <w:p w14:paraId="78DB6881">
            <w:pPr>
              <w:jc w:val="center"/>
              <w:rPr>
                <w:rFonts w:hint="eastAsia" w:ascii="宋体" w:hAnsi="宋体" w:eastAsia="宋体" w:cs="Times New Roman"/>
                <w:b/>
                <w:szCs w:val="21"/>
              </w:rPr>
            </w:pPr>
            <w:r>
              <w:rPr>
                <w:rFonts w:hint="eastAsia" w:ascii="宋体" w:hAnsi="宋体" w:eastAsia="宋体" w:cs="Times New Roman"/>
                <w:b/>
                <w:szCs w:val="21"/>
              </w:rPr>
              <w:t>对应</w:t>
            </w:r>
          </w:p>
          <w:p w14:paraId="14450C0D">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464" w:type="dxa"/>
            <w:vAlign w:val="center"/>
          </w:tcPr>
          <w:p w14:paraId="37EC0858">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307" w:type="dxa"/>
            <w:vAlign w:val="center"/>
          </w:tcPr>
          <w:p w14:paraId="7508E597">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658" w:type="dxa"/>
            <w:vAlign w:val="center"/>
          </w:tcPr>
          <w:p w14:paraId="715CD8F3">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A09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7" w:hRule="atLeast"/>
          <w:jc w:val="center"/>
        </w:trPr>
        <w:tc>
          <w:tcPr>
            <w:tcW w:w="1205" w:type="dxa"/>
            <w:vMerge w:val="restart"/>
            <w:vAlign w:val="center"/>
          </w:tcPr>
          <w:p w14:paraId="044C7B8B">
            <w:pPr>
              <w:spacing w:line="264" w:lineRule="auto"/>
              <w:jc w:val="center"/>
              <w:rPr>
                <w:rFonts w:hint="eastAsia" w:ascii="宋体" w:hAnsi="宋体" w:eastAsia="宋体" w:cs="Times New Roman"/>
                <w:szCs w:val="21"/>
              </w:rPr>
            </w:pPr>
            <w:r>
              <w:rPr>
                <w:rFonts w:hint="eastAsia" w:ascii="宋体" w:hAnsi="宋体" w:eastAsia="宋体" w:cs="Times New Roman"/>
                <w:szCs w:val="21"/>
              </w:rPr>
              <w:t>第一章</w:t>
            </w:r>
          </w:p>
          <w:p w14:paraId="052C2A50">
            <w:pPr>
              <w:spacing w:line="264" w:lineRule="auto"/>
              <w:jc w:val="center"/>
              <w:rPr>
                <w:rFonts w:hint="eastAsia" w:ascii="宋体" w:hAnsi="宋体" w:eastAsia="宋体" w:cs="Times New Roman"/>
                <w:szCs w:val="21"/>
              </w:rPr>
            </w:pPr>
            <w:r>
              <w:rPr>
                <w:rFonts w:hint="eastAsia" w:ascii="宋体" w:hAnsi="宋体" w:eastAsia="宋体" w:cs="宋体"/>
                <w:kern w:val="0"/>
                <w:sz w:val="24"/>
              </w:rPr>
              <w:t>小学语文教学案例分析概述</w:t>
            </w:r>
          </w:p>
          <w:p w14:paraId="0A5FF5FD">
            <w:pPr>
              <w:spacing w:line="264" w:lineRule="auto"/>
              <w:jc w:val="center"/>
              <w:rPr>
                <w:rFonts w:hint="eastAsia" w:ascii="宋体" w:hAnsi="宋体" w:eastAsia="宋体" w:cs="Times New Roman"/>
                <w:szCs w:val="21"/>
              </w:rPr>
            </w:pPr>
          </w:p>
        </w:tc>
        <w:tc>
          <w:tcPr>
            <w:tcW w:w="1592" w:type="dxa"/>
            <w:vAlign w:val="center"/>
          </w:tcPr>
          <w:p w14:paraId="1E6CA3DC">
            <w:pPr>
              <w:spacing w:line="269" w:lineRule="auto"/>
              <w:jc w:val="left"/>
              <w:rPr>
                <w:rFonts w:hint="eastAsia" w:ascii="宋体" w:hAnsi="宋体" w:eastAsia="宋体" w:cs="Times New Roman"/>
                <w:szCs w:val="21"/>
              </w:rPr>
            </w:pPr>
            <w:r>
              <w:rPr>
                <w:rFonts w:hint="eastAsia" w:ascii="宋体" w:hAnsi="宋体" w:eastAsia="宋体" w:cs="Times New Roman"/>
                <w:szCs w:val="21"/>
              </w:rPr>
              <w:t>1.单元统整的教学设计与案例分析</w:t>
            </w:r>
          </w:p>
          <w:p w14:paraId="48D6E432">
            <w:pPr>
              <w:spacing w:line="269" w:lineRule="auto"/>
              <w:jc w:val="left"/>
              <w:rPr>
                <w:rFonts w:hint="eastAsia" w:ascii="宋体" w:hAnsi="宋体" w:eastAsia="宋体" w:cs="Times New Roman"/>
                <w:szCs w:val="21"/>
              </w:rPr>
            </w:pPr>
            <w:r>
              <w:rPr>
                <w:rFonts w:hint="eastAsia" w:ascii="宋体" w:hAnsi="宋体" w:eastAsia="宋体" w:cs="Times New Roman"/>
                <w:szCs w:val="21"/>
              </w:rPr>
              <w:t>2.教师说课设计与案例分析</w:t>
            </w:r>
          </w:p>
        </w:tc>
        <w:tc>
          <w:tcPr>
            <w:tcW w:w="1140" w:type="dxa"/>
            <w:vAlign w:val="center"/>
          </w:tcPr>
          <w:p w14:paraId="76FD319F">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p>
          <w:p w14:paraId="6A658A55">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3464" w:type="dxa"/>
            <w:vAlign w:val="center"/>
          </w:tcPr>
          <w:p w14:paraId="5478DC88">
            <w:pPr>
              <w:spacing w:line="269" w:lineRule="auto"/>
              <w:jc w:val="left"/>
              <w:rPr>
                <w:rFonts w:hint="eastAsia" w:ascii="宋体" w:hAnsi="宋体" w:eastAsia="宋体" w:cs="Times New Roman"/>
                <w:szCs w:val="21"/>
              </w:rPr>
            </w:pPr>
            <w:r>
              <w:rPr>
                <w:rFonts w:hint="eastAsia" w:ascii="宋体" w:hAnsi="宋体" w:eastAsia="宋体" w:cs="Times New Roman"/>
                <w:szCs w:val="21"/>
              </w:rPr>
              <w:t>1.能够熟练地设计单元统整的方案，明确教学目标，合理设计单元情境任务，有效整合教学内容和活动。</w:t>
            </w:r>
          </w:p>
          <w:p w14:paraId="3BB13EB3">
            <w:pPr>
              <w:spacing w:line="269" w:lineRule="auto"/>
              <w:jc w:val="left"/>
              <w:rPr>
                <w:rFonts w:hint="eastAsia" w:ascii="宋体" w:hAnsi="宋体" w:eastAsia="宋体" w:cs="Times New Roman"/>
                <w:szCs w:val="21"/>
              </w:rPr>
            </w:pPr>
            <w:r>
              <w:rPr>
                <w:rFonts w:hint="eastAsia" w:ascii="宋体" w:hAnsi="宋体" w:eastAsia="宋体" w:cs="Times New Roman"/>
                <w:szCs w:val="21"/>
              </w:rPr>
              <w:t>2.掌握清晰表达教学设计意图的能力，并能有效地使用辅助材料来增强说课的说服力。学会系统地说教材、学情、教学目标、教学方法和教学流程等，并设计评价标准。通过案例分析，学生能够进一步提升说课技巧，确保在真实教学环境中能够自信且专业地展示和辩护自己的教学设计。</w:t>
            </w:r>
          </w:p>
        </w:tc>
        <w:tc>
          <w:tcPr>
            <w:tcW w:w="1307" w:type="dxa"/>
            <w:vAlign w:val="center"/>
          </w:tcPr>
          <w:p w14:paraId="19BF2515">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w:t>
            </w:r>
          </w:p>
          <w:p w14:paraId="54FE581E">
            <w:pPr>
              <w:spacing w:line="269" w:lineRule="auto"/>
              <w:jc w:val="left"/>
              <w:rPr>
                <w:rFonts w:hint="eastAsia" w:ascii="宋体" w:hAnsi="宋体" w:eastAsia="宋体" w:cs="Times New Roman"/>
                <w:szCs w:val="21"/>
              </w:rPr>
            </w:pPr>
            <w:r>
              <w:rPr>
                <w:rFonts w:hint="eastAsia" w:ascii="宋体" w:hAnsi="宋体" w:eastAsia="宋体" w:cs="Times New Roman"/>
                <w:szCs w:val="21"/>
              </w:rPr>
              <w:t>2.案例教学</w:t>
            </w:r>
          </w:p>
          <w:p w14:paraId="3C87474C">
            <w:pPr>
              <w:spacing w:line="269" w:lineRule="auto"/>
              <w:jc w:val="left"/>
              <w:rPr>
                <w:rFonts w:hint="eastAsia" w:ascii="宋体" w:hAnsi="宋体" w:eastAsia="宋体" w:cs="Times New Roman"/>
                <w:szCs w:val="21"/>
              </w:rPr>
            </w:pPr>
            <w:r>
              <w:rPr>
                <w:rFonts w:hint="eastAsia" w:ascii="宋体" w:hAnsi="宋体" w:eastAsia="宋体" w:cs="Times New Roman"/>
                <w:szCs w:val="21"/>
              </w:rPr>
              <w:t>3.小组学习</w:t>
            </w:r>
          </w:p>
        </w:tc>
        <w:tc>
          <w:tcPr>
            <w:tcW w:w="658" w:type="dxa"/>
            <w:vAlign w:val="center"/>
          </w:tcPr>
          <w:p w14:paraId="2CC704A1">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010D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1205" w:type="dxa"/>
            <w:vMerge w:val="continue"/>
            <w:vAlign w:val="center"/>
          </w:tcPr>
          <w:p w14:paraId="041CFDBF">
            <w:pPr>
              <w:spacing w:line="264" w:lineRule="auto"/>
              <w:jc w:val="center"/>
              <w:rPr>
                <w:rFonts w:hint="eastAsia" w:ascii="宋体" w:hAnsi="宋体" w:eastAsia="宋体" w:cs="Times New Roman"/>
                <w:szCs w:val="21"/>
              </w:rPr>
            </w:pPr>
          </w:p>
        </w:tc>
        <w:tc>
          <w:tcPr>
            <w:tcW w:w="8161" w:type="dxa"/>
            <w:gridSpan w:val="5"/>
            <w:vAlign w:val="center"/>
          </w:tcPr>
          <w:p w14:paraId="673F4381">
            <w:pPr>
              <w:ind w:firstLine="422" w:firstLineChars="200"/>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通过单元统整的教学设计和教师说课技能的培养，强化对小学语文教学中德育元素的融入和价值引领能力</w:t>
            </w:r>
            <w:r>
              <w:rPr>
                <w:rFonts w:hint="eastAsia" w:ascii="宋体" w:hAnsi="宋体" w:eastAsia="宋体" w:cs="Times New Roman"/>
                <w:sz w:val="24"/>
                <w:szCs w:val="22"/>
              </w:rPr>
              <w:t>。</w:t>
            </w:r>
          </w:p>
        </w:tc>
      </w:tr>
      <w:tr w14:paraId="3C7A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09DE73F">
            <w:pPr>
              <w:spacing w:line="264" w:lineRule="auto"/>
              <w:jc w:val="center"/>
              <w:rPr>
                <w:rFonts w:hint="eastAsia" w:ascii="宋体" w:hAnsi="宋体" w:eastAsia="宋体" w:cs="宋体"/>
                <w:kern w:val="0"/>
                <w:sz w:val="24"/>
              </w:rPr>
            </w:pPr>
            <w:r>
              <w:rPr>
                <w:rFonts w:hint="eastAsia" w:ascii="宋体" w:hAnsi="宋体" w:eastAsia="宋体" w:cs="宋体"/>
                <w:kern w:val="0"/>
                <w:sz w:val="24"/>
              </w:rPr>
              <w:t>第2章</w:t>
            </w:r>
          </w:p>
          <w:p w14:paraId="44BD039A">
            <w:pPr>
              <w:spacing w:line="264" w:lineRule="auto"/>
              <w:jc w:val="center"/>
              <w:rPr>
                <w:rFonts w:hint="eastAsia" w:ascii="宋体" w:hAnsi="宋体" w:eastAsia="宋体" w:cs="Times New Roman"/>
                <w:szCs w:val="21"/>
              </w:rPr>
            </w:pPr>
            <w:r>
              <w:rPr>
                <w:rFonts w:hint="eastAsia" w:ascii="宋体" w:hAnsi="宋体" w:eastAsia="宋体" w:cs="宋体"/>
                <w:kern w:val="0"/>
                <w:sz w:val="24"/>
              </w:rPr>
              <w:t>识字教学设计案例</w:t>
            </w:r>
          </w:p>
        </w:tc>
        <w:tc>
          <w:tcPr>
            <w:tcW w:w="1592" w:type="dxa"/>
            <w:vAlign w:val="center"/>
          </w:tcPr>
          <w:p w14:paraId="223FF443">
            <w:pPr>
              <w:spacing w:line="269" w:lineRule="auto"/>
              <w:jc w:val="left"/>
              <w:rPr>
                <w:rFonts w:hint="eastAsia" w:ascii="宋体" w:hAnsi="宋体" w:eastAsia="宋体" w:cs="Times New Roman"/>
                <w:szCs w:val="21"/>
              </w:rPr>
            </w:pPr>
            <w:r>
              <w:rPr>
                <w:rFonts w:hint="eastAsia" w:ascii="宋体" w:hAnsi="宋体" w:eastAsia="宋体" w:cs="Times New Roman"/>
                <w:szCs w:val="21"/>
              </w:rPr>
              <w:t>1.汉语拼音教学设计案例</w:t>
            </w:r>
          </w:p>
          <w:p w14:paraId="0A8A7A3F">
            <w:pPr>
              <w:spacing w:line="269" w:lineRule="auto"/>
              <w:jc w:val="left"/>
              <w:rPr>
                <w:rFonts w:hint="eastAsia" w:ascii="宋体" w:hAnsi="宋体" w:eastAsia="宋体" w:cs="Times New Roman"/>
                <w:szCs w:val="21"/>
              </w:rPr>
            </w:pPr>
            <w:r>
              <w:rPr>
                <w:rFonts w:hint="eastAsia" w:ascii="宋体" w:hAnsi="宋体" w:eastAsia="宋体" w:cs="Times New Roman"/>
                <w:szCs w:val="21"/>
              </w:rPr>
              <w:t>2.识字写字教学设计案例</w:t>
            </w:r>
          </w:p>
        </w:tc>
        <w:tc>
          <w:tcPr>
            <w:tcW w:w="1140" w:type="dxa"/>
            <w:vAlign w:val="center"/>
          </w:tcPr>
          <w:p w14:paraId="7D80766F">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课程目标1课程目标2</w:t>
            </w:r>
          </w:p>
          <w:p w14:paraId="444C7F54">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464" w:type="dxa"/>
            <w:vAlign w:val="center"/>
          </w:tcPr>
          <w:p w14:paraId="45BD8EDC">
            <w:pPr>
              <w:numPr>
                <w:ilvl w:val="0"/>
                <w:numId w:val="73"/>
              </w:numPr>
              <w:spacing w:line="269" w:lineRule="auto"/>
              <w:jc w:val="left"/>
              <w:rPr>
                <w:rFonts w:hint="eastAsia" w:ascii="宋体" w:hAnsi="宋体" w:eastAsia="宋体" w:cs="Times New Roman"/>
                <w:szCs w:val="21"/>
              </w:rPr>
            </w:pPr>
            <w:r>
              <w:rPr>
                <w:rFonts w:hint="eastAsia" w:ascii="宋体" w:hAnsi="宋体" w:eastAsia="宋体" w:cs="Times New Roman"/>
                <w:szCs w:val="21"/>
              </w:rPr>
              <w:t>能够独立设计出符合小学生认知特点的教学方案。掌握汉语拼音教学的系统方法，以及如何有效引导学生识字和写字。</w:t>
            </w:r>
          </w:p>
          <w:p w14:paraId="141E637E">
            <w:pPr>
              <w:numPr>
                <w:ilvl w:val="0"/>
                <w:numId w:val="73"/>
              </w:numPr>
              <w:spacing w:line="269" w:lineRule="auto"/>
              <w:jc w:val="left"/>
              <w:rPr>
                <w:rFonts w:hint="eastAsia" w:ascii="宋体" w:hAnsi="宋体" w:eastAsia="宋体" w:cs="Times New Roman"/>
                <w:szCs w:val="21"/>
              </w:rPr>
            </w:pPr>
            <w:r>
              <w:rPr>
                <w:rFonts w:hint="eastAsia" w:ascii="宋体" w:hAnsi="宋体" w:eastAsia="宋体" w:cs="Times New Roman"/>
                <w:szCs w:val="21"/>
              </w:rPr>
              <w:t>能够通过案例分析，评估教学策略的效果，并针对发现的问题提出创新的解决方案，提升教学质量。</w:t>
            </w:r>
          </w:p>
        </w:tc>
        <w:tc>
          <w:tcPr>
            <w:tcW w:w="1307" w:type="dxa"/>
            <w:vAlign w:val="center"/>
          </w:tcPr>
          <w:p w14:paraId="6CDB9CE1">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w:t>
            </w:r>
          </w:p>
          <w:p w14:paraId="401E6836">
            <w:pPr>
              <w:spacing w:line="269" w:lineRule="auto"/>
              <w:jc w:val="left"/>
              <w:rPr>
                <w:rFonts w:hint="eastAsia" w:ascii="宋体" w:hAnsi="宋体" w:eastAsia="宋体" w:cs="Times New Roman"/>
                <w:szCs w:val="21"/>
              </w:rPr>
            </w:pPr>
            <w:r>
              <w:rPr>
                <w:rFonts w:hint="eastAsia" w:ascii="宋体" w:hAnsi="宋体" w:eastAsia="宋体" w:cs="Times New Roman"/>
                <w:szCs w:val="21"/>
              </w:rPr>
              <w:t>2.案例教学</w:t>
            </w:r>
          </w:p>
          <w:p w14:paraId="6990BED9">
            <w:pPr>
              <w:spacing w:line="269" w:lineRule="auto"/>
              <w:jc w:val="left"/>
              <w:rPr>
                <w:rFonts w:hint="eastAsia" w:ascii="宋体" w:hAnsi="宋体" w:eastAsia="宋体" w:cs="Times New Roman"/>
                <w:szCs w:val="21"/>
              </w:rPr>
            </w:pPr>
            <w:r>
              <w:rPr>
                <w:rFonts w:hint="eastAsia" w:ascii="宋体" w:hAnsi="宋体" w:eastAsia="宋体" w:cs="Times New Roman"/>
                <w:szCs w:val="21"/>
              </w:rPr>
              <w:t>3.小组学习</w:t>
            </w:r>
          </w:p>
        </w:tc>
        <w:tc>
          <w:tcPr>
            <w:tcW w:w="658" w:type="dxa"/>
            <w:vAlign w:val="center"/>
          </w:tcPr>
          <w:p w14:paraId="70F685DD">
            <w:pPr>
              <w:spacing w:line="269"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6E18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BC9D18F">
            <w:pPr>
              <w:spacing w:line="264" w:lineRule="auto"/>
              <w:jc w:val="center"/>
              <w:rPr>
                <w:rFonts w:hint="eastAsia" w:ascii="宋体" w:hAnsi="宋体" w:eastAsia="宋体" w:cs="Times New Roman"/>
                <w:szCs w:val="21"/>
              </w:rPr>
            </w:pPr>
          </w:p>
        </w:tc>
        <w:tc>
          <w:tcPr>
            <w:tcW w:w="8161" w:type="dxa"/>
            <w:gridSpan w:val="5"/>
            <w:vAlign w:val="center"/>
          </w:tcPr>
          <w:p w14:paraId="48793CA8">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通过汉语拼音、识字与写字教学案例的分析，培养热爱祖国语言言文字的情感，形成传承汉字文化的使命感，坚持文化自信。</w:t>
            </w:r>
          </w:p>
        </w:tc>
      </w:tr>
      <w:tr w14:paraId="0DB0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88F8FFF">
            <w:pPr>
              <w:spacing w:line="264" w:lineRule="auto"/>
              <w:jc w:val="center"/>
              <w:rPr>
                <w:rFonts w:hint="eastAsia" w:ascii="宋体" w:hAnsi="宋体" w:eastAsia="宋体" w:cs="宋体"/>
                <w:kern w:val="0"/>
                <w:sz w:val="24"/>
              </w:rPr>
            </w:pPr>
            <w:r>
              <w:rPr>
                <w:rFonts w:hint="eastAsia" w:ascii="宋体" w:hAnsi="宋体" w:eastAsia="宋体" w:cs="宋体"/>
                <w:kern w:val="0"/>
                <w:sz w:val="24"/>
              </w:rPr>
              <w:t>第3章</w:t>
            </w:r>
          </w:p>
          <w:p w14:paraId="4693F8FC">
            <w:pPr>
              <w:spacing w:line="264" w:lineRule="auto"/>
              <w:jc w:val="center"/>
              <w:rPr>
                <w:rFonts w:hint="eastAsia" w:ascii="宋体" w:hAnsi="宋体" w:eastAsia="宋体" w:cs="宋体"/>
                <w:kern w:val="0"/>
                <w:sz w:val="24"/>
              </w:rPr>
            </w:pPr>
            <w:r>
              <w:rPr>
                <w:rFonts w:hint="eastAsia" w:ascii="宋体" w:hAnsi="宋体" w:eastAsia="宋体" w:cs="宋体"/>
                <w:kern w:val="0"/>
                <w:sz w:val="24"/>
              </w:rPr>
              <w:t>阅读教学设计与案例分析</w:t>
            </w:r>
          </w:p>
          <w:p w14:paraId="35C3C319">
            <w:pPr>
              <w:spacing w:line="264" w:lineRule="auto"/>
              <w:jc w:val="center"/>
              <w:rPr>
                <w:rFonts w:hint="eastAsia" w:ascii="宋体" w:hAnsi="宋体" w:eastAsia="宋体" w:cs="Times New Roman"/>
                <w:szCs w:val="21"/>
              </w:rPr>
            </w:pPr>
          </w:p>
        </w:tc>
        <w:tc>
          <w:tcPr>
            <w:tcW w:w="1592" w:type="dxa"/>
            <w:vAlign w:val="center"/>
          </w:tcPr>
          <w:p w14:paraId="322070F9">
            <w:pPr>
              <w:spacing w:line="269" w:lineRule="auto"/>
              <w:jc w:val="left"/>
              <w:rPr>
                <w:rFonts w:hint="eastAsia" w:ascii="宋体" w:hAnsi="宋体" w:eastAsia="宋体" w:cs="Times New Roman"/>
                <w:szCs w:val="21"/>
              </w:rPr>
            </w:pPr>
            <w:r>
              <w:rPr>
                <w:rFonts w:hint="eastAsia" w:ascii="宋体" w:hAnsi="宋体" w:eastAsia="宋体" w:cs="Times New Roman"/>
                <w:szCs w:val="21"/>
              </w:rPr>
              <w:t>1.普通阅读单元的教学设计与案例分析</w:t>
            </w:r>
          </w:p>
          <w:p w14:paraId="219AC099">
            <w:pPr>
              <w:spacing w:line="269" w:lineRule="auto"/>
              <w:jc w:val="left"/>
              <w:rPr>
                <w:rFonts w:hint="eastAsia" w:ascii="宋体" w:hAnsi="宋体" w:eastAsia="宋体" w:cs="Times New Roman"/>
                <w:szCs w:val="21"/>
              </w:rPr>
            </w:pPr>
            <w:r>
              <w:rPr>
                <w:rFonts w:hint="eastAsia" w:ascii="宋体" w:hAnsi="宋体" w:eastAsia="宋体" w:cs="Times New Roman"/>
                <w:szCs w:val="21"/>
              </w:rPr>
              <w:t>2.阅读策略单元的教学设计与案例分析</w:t>
            </w:r>
          </w:p>
          <w:p w14:paraId="48DB73A4">
            <w:pPr>
              <w:spacing w:line="269" w:lineRule="auto"/>
              <w:jc w:val="left"/>
              <w:rPr>
                <w:rFonts w:hint="eastAsia" w:ascii="宋体" w:hAnsi="宋体" w:eastAsia="宋体" w:cs="Times New Roman"/>
                <w:szCs w:val="21"/>
              </w:rPr>
            </w:pPr>
            <w:r>
              <w:rPr>
                <w:rFonts w:hint="eastAsia" w:ascii="宋体" w:hAnsi="宋体" w:eastAsia="宋体" w:cs="Times New Roman"/>
                <w:szCs w:val="21"/>
              </w:rPr>
              <w:t>3.习作单元教学设计与案例分析</w:t>
            </w:r>
          </w:p>
        </w:tc>
        <w:tc>
          <w:tcPr>
            <w:tcW w:w="1140" w:type="dxa"/>
            <w:vAlign w:val="center"/>
          </w:tcPr>
          <w:p w14:paraId="25F02E0D">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课程目标1课程目标2</w:t>
            </w:r>
          </w:p>
          <w:p w14:paraId="0A23698A">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464" w:type="dxa"/>
            <w:vAlign w:val="center"/>
          </w:tcPr>
          <w:p w14:paraId="0B948B2F">
            <w:pPr>
              <w:numPr>
                <w:ilvl w:val="0"/>
                <w:numId w:val="74"/>
              </w:numPr>
              <w:spacing w:line="269" w:lineRule="auto"/>
              <w:jc w:val="left"/>
              <w:rPr>
                <w:rFonts w:hint="eastAsia" w:ascii="宋体" w:hAnsi="宋体" w:eastAsia="宋体" w:cs="Times New Roman"/>
                <w:szCs w:val="21"/>
              </w:rPr>
            </w:pPr>
            <w:r>
              <w:rPr>
                <w:rFonts w:hint="eastAsia" w:ascii="宋体" w:hAnsi="宋体" w:eastAsia="宋体" w:cs="Times New Roman"/>
                <w:szCs w:val="21"/>
              </w:rPr>
              <w:t>掌握普通阅读、阅读策略和习作单元的教学设计与案例分析能力。能够根据学情，设计单元统整和单篇课文教学方案。</w:t>
            </w:r>
          </w:p>
          <w:p w14:paraId="5CAC3874">
            <w:pPr>
              <w:numPr>
                <w:ilvl w:val="0"/>
                <w:numId w:val="74"/>
              </w:numPr>
              <w:spacing w:line="269" w:lineRule="auto"/>
              <w:jc w:val="left"/>
              <w:rPr>
                <w:rFonts w:hint="eastAsia" w:ascii="宋体" w:hAnsi="宋体" w:eastAsia="宋体" w:cs="Times New Roman"/>
                <w:szCs w:val="21"/>
              </w:rPr>
            </w:pPr>
            <w:r>
              <w:rPr>
                <w:rFonts w:hint="eastAsia" w:ascii="宋体" w:hAnsi="宋体" w:eastAsia="宋体" w:cs="Times New Roman"/>
                <w:szCs w:val="21"/>
              </w:rPr>
              <w:t>设计不同的阅读策略单元和习作教学方案。通过案例分析，评估和优化教学方案，提高教学的互动性和有效性。</w:t>
            </w:r>
          </w:p>
        </w:tc>
        <w:tc>
          <w:tcPr>
            <w:tcW w:w="1307" w:type="dxa"/>
            <w:vAlign w:val="center"/>
          </w:tcPr>
          <w:p w14:paraId="55FEA4B0">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w:t>
            </w:r>
          </w:p>
          <w:p w14:paraId="2500D905">
            <w:pPr>
              <w:spacing w:line="269" w:lineRule="auto"/>
              <w:jc w:val="left"/>
              <w:rPr>
                <w:rFonts w:hint="eastAsia" w:ascii="宋体" w:hAnsi="宋体" w:eastAsia="宋体" w:cs="Times New Roman"/>
                <w:szCs w:val="21"/>
              </w:rPr>
            </w:pPr>
            <w:r>
              <w:rPr>
                <w:rFonts w:hint="eastAsia" w:ascii="宋体" w:hAnsi="宋体" w:eastAsia="宋体" w:cs="Times New Roman"/>
                <w:szCs w:val="21"/>
              </w:rPr>
              <w:t>2.案例教学</w:t>
            </w:r>
          </w:p>
          <w:p w14:paraId="2C924991">
            <w:pPr>
              <w:spacing w:line="269" w:lineRule="auto"/>
              <w:jc w:val="left"/>
              <w:rPr>
                <w:rFonts w:hint="eastAsia" w:ascii="宋体" w:hAnsi="宋体" w:eastAsia="宋体" w:cs="Times New Roman"/>
                <w:szCs w:val="21"/>
              </w:rPr>
            </w:pPr>
            <w:r>
              <w:rPr>
                <w:rFonts w:hint="eastAsia" w:ascii="宋体" w:hAnsi="宋体" w:eastAsia="宋体" w:cs="Times New Roman"/>
                <w:szCs w:val="21"/>
              </w:rPr>
              <w:t>3.小组学习</w:t>
            </w:r>
          </w:p>
        </w:tc>
        <w:tc>
          <w:tcPr>
            <w:tcW w:w="658" w:type="dxa"/>
            <w:vAlign w:val="center"/>
          </w:tcPr>
          <w:p w14:paraId="031D14B9">
            <w:pPr>
              <w:spacing w:line="269" w:lineRule="auto"/>
              <w:jc w:val="center"/>
              <w:rPr>
                <w:rFonts w:hint="eastAsia" w:ascii="宋体" w:hAnsi="宋体" w:eastAsia="宋体" w:cs="Times New Roman"/>
                <w:szCs w:val="21"/>
              </w:rPr>
            </w:pPr>
            <w:r>
              <w:rPr>
                <w:rFonts w:hint="eastAsia" w:ascii="宋体" w:hAnsi="宋体" w:eastAsia="宋体" w:cs="Times New Roman"/>
                <w:szCs w:val="21"/>
              </w:rPr>
              <w:t>16</w:t>
            </w:r>
          </w:p>
        </w:tc>
      </w:tr>
      <w:tr w14:paraId="0E16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F659084">
            <w:pPr>
              <w:spacing w:line="264" w:lineRule="auto"/>
              <w:jc w:val="center"/>
              <w:rPr>
                <w:rFonts w:hint="eastAsia" w:ascii="宋体" w:hAnsi="宋体" w:eastAsia="宋体" w:cs="Times New Roman"/>
                <w:szCs w:val="21"/>
              </w:rPr>
            </w:pPr>
          </w:p>
        </w:tc>
        <w:tc>
          <w:tcPr>
            <w:tcW w:w="8161" w:type="dxa"/>
            <w:gridSpan w:val="5"/>
            <w:vAlign w:val="center"/>
          </w:tcPr>
          <w:p w14:paraId="0665E535">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通过阅读教学设计与案例分析，理解和传承中华优秀传统文化，学会在阅读教学中自然融入思想政治教育，引导学生形成正确的世界观、人生观和价值观。</w:t>
            </w:r>
          </w:p>
        </w:tc>
      </w:tr>
      <w:tr w14:paraId="5F5E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1205" w:type="dxa"/>
            <w:vMerge w:val="restart"/>
            <w:vAlign w:val="center"/>
          </w:tcPr>
          <w:p w14:paraId="1EA1C6A2">
            <w:pPr>
              <w:spacing w:line="276" w:lineRule="auto"/>
              <w:jc w:val="center"/>
              <w:rPr>
                <w:rFonts w:hint="eastAsia" w:ascii="宋体" w:hAnsi="宋体" w:eastAsia="宋体" w:cs="宋体"/>
                <w:kern w:val="0"/>
                <w:sz w:val="24"/>
              </w:rPr>
            </w:pPr>
            <w:r>
              <w:rPr>
                <w:rFonts w:hint="eastAsia" w:ascii="宋体" w:hAnsi="宋体" w:eastAsia="宋体" w:cs="宋体"/>
                <w:kern w:val="0"/>
                <w:sz w:val="24"/>
              </w:rPr>
              <w:t>第4章</w:t>
            </w:r>
          </w:p>
          <w:p w14:paraId="3F4DEA80">
            <w:pPr>
              <w:spacing w:line="276" w:lineRule="auto"/>
              <w:jc w:val="center"/>
              <w:rPr>
                <w:rFonts w:hint="eastAsia" w:ascii="宋体" w:hAnsi="宋体" w:eastAsia="宋体" w:cs="Times New Roman"/>
                <w:szCs w:val="21"/>
              </w:rPr>
            </w:pPr>
            <w:r>
              <w:rPr>
                <w:rFonts w:hint="eastAsia" w:ascii="宋体" w:hAnsi="宋体" w:eastAsia="宋体" w:cs="Times New Roman"/>
                <w:szCs w:val="21"/>
              </w:rPr>
              <w:t>写话和习作教学设计与案例分析</w:t>
            </w:r>
          </w:p>
        </w:tc>
        <w:tc>
          <w:tcPr>
            <w:tcW w:w="1592" w:type="dxa"/>
            <w:vAlign w:val="center"/>
          </w:tcPr>
          <w:p w14:paraId="2B2A0C70">
            <w:pPr>
              <w:spacing w:line="276" w:lineRule="auto"/>
              <w:jc w:val="left"/>
              <w:rPr>
                <w:rFonts w:hint="eastAsia" w:ascii="宋体" w:hAnsi="宋体" w:eastAsia="宋体" w:cs="Times New Roman"/>
                <w:szCs w:val="21"/>
              </w:rPr>
            </w:pPr>
            <w:r>
              <w:rPr>
                <w:rFonts w:hint="eastAsia" w:ascii="宋体" w:hAnsi="宋体" w:eastAsia="宋体" w:cs="Times New Roman"/>
                <w:szCs w:val="21"/>
              </w:rPr>
              <w:t>1.写话教学设计与案例分析</w:t>
            </w:r>
          </w:p>
          <w:p w14:paraId="072BF9A9">
            <w:pPr>
              <w:spacing w:line="276" w:lineRule="auto"/>
              <w:jc w:val="left"/>
              <w:rPr>
                <w:rFonts w:hint="eastAsia" w:ascii="宋体" w:hAnsi="宋体" w:eastAsia="宋体" w:cs="Times New Roman"/>
                <w:szCs w:val="21"/>
              </w:rPr>
            </w:pPr>
            <w:r>
              <w:rPr>
                <w:rFonts w:hint="eastAsia" w:ascii="宋体" w:hAnsi="宋体" w:eastAsia="宋体" w:cs="Times New Roman"/>
                <w:szCs w:val="21"/>
              </w:rPr>
              <w:t>2.习作教学设计与案例分析</w:t>
            </w:r>
          </w:p>
        </w:tc>
        <w:tc>
          <w:tcPr>
            <w:tcW w:w="1140" w:type="dxa"/>
            <w:vAlign w:val="center"/>
          </w:tcPr>
          <w:p w14:paraId="3D157B1F">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课程目标1课程目标2</w:t>
            </w:r>
          </w:p>
          <w:p w14:paraId="7C212CF9">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464" w:type="dxa"/>
            <w:vAlign w:val="center"/>
          </w:tcPr>
          <w:p w14:paraId="1FC74F0F">
            <w:pPr>
              <w:numPr>
                <w:ilvl w:val="0"/>
                <w:numId w:val="75"/>
              </w:numPr>
              <w:spacing w:line="276" w:lineRule="auto"/>
              <w:jc w:val="left"/>
              <w:rPr>
                <w:rFonts w:hint="eastAsia" w:ascii="宋体" w:hAnsi="宋体" w:eastAsia="宋体" w:cs="Times New Roman"/>
                <w:szCs w:val="21"/>
              </w:rPr>
            </w:pPr>
            <w:r>
              <w:rPr>
                <w:rFonts w:hint="eastAsia" w:ascii="宋体" w:hAnsi="宋体" w:eastAsia="宋体" w:cs="Times New Roman"/>
                <w:szCs w:val="21"/>
              </w:rPr>
              <w:t>能够熟练设计写话和习作教学方案，掌握引导小学生从基础表达到复杂写作的技巧。学会如何激发学生的写作兴趣，提供有效的写作支架，并评估学生的写作发展。</w:t>
            </w:r>
          </w:p>
          <w:p w14:paraId="3C30BD01">
            <w:pPr>
              <w:numPr>
                <w:ilvl w:val="0"/>
                <w:numId w:val="75"/>
              </w:numPr>
              <w:spacing w:line="276" w:lineRule="auto"/>
              <w:jc w:val="left"/>
              <w:rPr>
                <w:rFonts w:hint="eastAsia" w:ascii="宋体" w:hAnsi="宋体" w:eastAsia="宋体" w:cs="Times New Roman"/>
                <w:szCs w:val="21"/>
              </w:rPr>
            </w:pPr>
            <w:r>
              <w:rPr>
                <w:rFonts w:hint="eastAsia" w:ascii="宋体" w:hAnsi="宋体" w:eastAsia="宋体" w:cs="Times New Roman"/>
                <w:szCs w:val="21"/>
              </w:rPr>
              <w:t>通过案例分析，识别并改进教学中的问题，提高写话和习作教学的针对性和趣味性，从而有效提升学生的语言表达和书面写作能力。</w:t>
            </w:r>
          </w:p>
        </w:tc>
        <w:tc>
          <w:tcPr>
            <w:tcW w:w="1307" w:type="dxa"/>
            <w:vAlign w:val="center"/>
          </w:tcPr>
          <w:p w14:paraId="34CF9EF0">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w:t>
            </w:r>
          </w:p>
          <w:p w14:paraId="1C113348">
            <w:pPr>
              <w:spacing w:line="269" w:lineRule="auto"/>
              <w:jc w:val="left"/>
              <w:rPr>
                <w:rFonts w:hint="eastAsia" w:ascii="宋体" w:hAnsi="宋体" w:eastAsia="宋体" w:cs="Times New Roman"/>
                <w:szCs w:val="21"/>
              </w:rPr>
            </w:pPr>
            <w:r>
              <w:rPr>
                <w:rFonts w:hint="eastAsia" w:ascii="宋体" w:hAnsi="宋体" w:eastAsia="宋体" w:cs="Times New Roman"/>
                <w:szCs w:val="21"/>
              </w:rPr>
              <w:t>2.案例教学</w:t>
            </w:r>
          </w:p>
          <w:p w14:paraId="5AE91FAE">
            <w:pPr>
              <w:spacing w:line="276" w:lineRule="auto"/>
              <w:jc w:val="left"/>
              <w:rPr>
                <w:rFonts w:hint="eastAsia" w:ascii="宋体" w:hAnsi="宋体" w:eastAsia="宋体" w:cs="Times New Roman"/>
                <w:szCs w:val="21"/>
              </w:rPr>
            </w:pPr>
            <w:r>
              <w:rPr>
                <w:rFonts w:hint="eastAsia" w:ascii="宋体" w:hAnsi="宋体" w:eastAsia="宋体" w:cs="Times New Roman"/>
                <w:szCs w:val="21"/>
              </w:rPr>
              <w:t>3.小组学习</w:t>
            </w:r>
          </w:p>
        </w:tc>
        <w:tc>
          <w:tcPr>
            <w:tcW w:w="658" w:type="dxa"/>
            <w:vAlign w:val="center"/>
          </w:tcPr>
          <w:p w14:paraId="3C713DD6">
            <w:pPr>
              <w:spacing w:line="276" w:lineRule="auto"/>
              <w:jc w:val="center"/>
              <w:rPr>
                <w:rFonts w:hint="eastAsia" w:ascii="宋体" w:hAnsi="宋体" w:eastAsia="宋体" w:cs="Times New Roman"/>
                <w:szCs w:val="21"/>
              </w:rPr>
            </w:pPr>
            <w:r>
              <w:rPr>
                <w:rFonts w:hint="eastAsia" w:ascii="宋体" w:hAnsi="宋体" w:eastAsia="宋体" w:cs="Times New Roman"/>
                <w:szCs w:val="21"/>
              </w:rPr>
              <w:t>4</w:t>
            </w:r>
          </w:p>
        </w:tc>
      </w:tr>
      <w:tr w14:paraId="06CC9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87BFBF7">
            <w:pPr>
              <w:spacing w:line="276" w:lineRule="auto"/>
              <w:jc w:val="center"/>
              <w:rPr>
                <w:rFonts w:hint="eastAsia" w:ascii="宋体" w:hAnsi="宋体" w:eastAsia="宋体" w:cs="Times New Roman"/>
                <w:szCs w:val="21"/>
              </w:rPr>
            </w:pPr>
          </w:p>
        </w:tc>
        <w:tc>
          <w:tcPr>
            <w:tcW w:w="8161" w:type="dxa"/>
            <w:gridSpan w:val="5"/>
            <w:vAlign w:val="center"/>
          </w:tcPr>
          <w:p w14:paraId="077DF92B">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在写话与习作教学设计与案例分析过程中学习在习作教学中有效融入思政元素的方法，促进学生形成积极向上的人生观和价值观。</w:t>
            </w:r>
          </w:p>
        </w:tc>
      </w:tr>
      <w:tr w14:paraId="4A93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jc w:val="center"/>
        </w:trPr>
        <w:tc>
          <w:tcPr>
            <w:tcW w:w="1205" w:type="dxa"/>
            <w:vMerge w:val="restart"/>
            <w:vAlign w:val="center"/>
          </w:tcPr>
          <w:p w14:paraId="70C513D2">
            <w:pPr>
              <w:spacing w:line="276" w:lineRule="auto"/>
              <w:jc w:val="center"/>
              <w:rPr>
                <w:rFonts w:hint="eastAsia" w:ascii="宋体" w:hAnsi="宋体" w:eastAsia="宋体" w:cs="宋体"/>
                <w:kern w:val="0"/>
                <w:sz w:val="24"/>
              </w:rPr>
            </w:pPr>
            <w:r>
              <w:rPr>
                <w:rFonts w:hint="eastAsia" w:ascii="宋体" w:hAnsi="宋体" w:eastAsia="宋体" w:cs="宋体"/>
                <w:kern w:val="0"/>
                <w:sz w:val="24"/>
              </w:rPr>
              <w:t>第5章</w:t>
            </w:r>
          </w:p>
          <w:p w14:paraId="539665EF">
            <w:pPr>
              <w:spacing w:line="276" w:lineRule="auto"/>
              <w:jc w:val="center"/>
              <w:rPr>
                <w:rFonts w:hint="eastAsia" w:ascii="宋体" w:hAnsi="宋体" w:eastAsia="宋体" w:cs="Times New Roman"/>
                <w:szCs w:val="21"/>
              </w:rPr>
            </w:pPr>
            <w:r>
              <w:rPr>
                <w:rFonts w:hint="eastAsia" w:ascii="宋体" w:hAnsi="宋体" w:eastAsia="宋体" w:cs="Times New Roman"/>
                <w:szCs w:val="21"/>
              </w:rPr>
              <w:t>口语交际教学设计与案例分析</w:t>
            </w:r>
          </w:p>
        </w:tc>
        <w:tc>
          <w:tcPr>
            <w:tcW w:w="1592" w:type="dxa"/>
            <w:vAlign w:val="center"/>
          </w:tcPr>
          <w:p w14:paraId="4BD16B66">
            <w:pPr>
              <w:spacing w:line="276" w:lineRule="auto"/>
              <w:jc w:val="left"/>
              <w:rPr>
                <w:rFonts w:hint="eastAsia" w:ascii="宋体" w:hAnsi="宋体" w:eastAsia="宋体" w:cs="Times New Roman"/>
                <w:szCs w:val="21"/>
              </w:rPr>
            </w:pPr>
            <w:r>
              <w:rPr>
                <w:rFonts w:hint="eastAsia" w:ascii="宋体" w:hAnsi="宋体" w:eastAsia="宋体" w:cs="Times New Roman"/>
                <w:szCs w:val="21"/>
              </w:rPr>
              <w:t>1.口语交际教学设计</w:t>
            </w:r>
          </w:p>
          <w:p w14:paraId="3C11FF46">
            <w:pPr>
              <w:spacing w:line="276" w:lineRule="auto"/>
              <w:jc w:val="left"/>
              <w:rPr>
                <w:rFonts w:hint="eastAsia" w:ascii="宋体" w:hAnsi="宋体" w:eastAsia="宋体" w:cs="Times New Roman"/>
                <w:szCs w:val="21"/>
              </w:rPr>
            </w:pPr>
            <w:r>
              <w:rPr>
                <w:rFonts w:hint="eastAsia" w:ascii="宋体" w:hAnsi="宋体" w:eastAsia="宋体" w:cs="Times New Roman"/>
                <w:szCs w:val="21"/>
              </w:rPr>
              <w:t>2.口语交际教学案例分析</w:t>
            </w:r>
          </w:p>
        </w:tc>
        <w:tc>
          <w:tcPr>
            <w:tcW w:w="1140" w:type="dxa"/>
            <w:vAlign w:val="center"/>
          </w:tcPr>
          <w:p w14:paraId="197AE464">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课程目标1课程目标2</w:t>
            </w:r>
          </w:p>
          <w:p w14:paraId="1A98A081">
            <w:pPr>
              <w:spacing w:line="276"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464" w:type="dxa"/>
            <w:vAlign w:val="center"/>
          </w:tcPr>
          <w:p w14:paraId="6C5235F9">
            <w:pPr>
              <w:numPr>
                <w:ilvl w:val="0"/>
                <w:numId w:val="76"/>
              </w:numPr>
              <w:spacing w:line="276" w:lineRule="auto"/>
              <w:jc w:val="left"/>
              <w:rPr>
                <w:rFonts w:hint="eastAsia" w:ascii="宋体" w:hAnsi="宋体" w:eastAsia="宋体" w:cs="Times New Roman"/>
                <w:szCs w:val="21"/>
              </w:rPr>
            </w:pPr>
            <w:r>
              <w:rPr>
                <w:rFonts w:hint="eastAsia" w:ascii="宋体" w:hAnsi="宋体" w:eastAsia="宋体" w:cs="Times New Roman"/>
                <w:szCs w:val="21"/>
              </w:rPr>
              <w:t>掌握口语交际教学的设计原则和方法。</w:t>
            </w:r>
          </w:p>
          <w:p w14:paraId="28ED8BBE">
            <w:pPr>
              <w:numPr>
                <w:ilvl w:val="0"/>
                <w:numId w:val="76"/>
              </w:numPr>
              <w:spacing w:line="276" w:lineRule="auto"/>
              <w:jc w:val="left"/>
              <w:rPr>
                <w:rFonts w:hint="eastAsia" w:ascii="宋体" w:hAnsi="宋体" w:eastAsia="宋体" w:cs="Times New Roman"/>
                <w:szCs w:val="21"/>
              </w:rPr>
            </w:pPr>
            <w:r>
              <w:rPr>
                <w:rFonts w:hint="eastAsia" w:ascii="宋体" w:hAnsi="宋体" w:eastAsia="宋体" w:cs="Times New Roman"/>
                <w:szCs w:val="21"/>
              </w:rPr>
              <w:t>学会通过案例分析评估教学策略的有效性，并提出改进措施。</w:t>
            </w:r>
          </w:p>
        </w:tc>
        <w:tc>
          <w:tcPr>
            <w:tcW w:w="1307" w:type="dxa"/>
            <w:vAlign w:val="center"/>
          </w:tcPr>
          <w:p w14:paraId="3C16BC49">
            <w:pPr>
              <w:spacing w:line="269" w:lineRule="auto"/>
              <w:jc w:val="left"/>
              <w:rPr>
                <w:rFonts w:hint="eastAsia" w:ascii="宋体" w:hAnsi="宋体" w:eastAsia="宋体" w:cs="Times New Roman"/>
                <w:szCs w:val="21"/>
              </w:rPr>
            </w:pPr>
            <w:r>
              <w:rPr>
                <w:rFonts w:hint="eastAsia" w:ascii="宋体" w:hAnsi="宋体" w:eastAsia="宋体" w:cs="Times New Roman"/>
                <w:szCs w:val="21"/>
              </w:rPr>
              <w:t>1.多媒体教学</w:t>
            </w:r>
          </w:p>
          <w:p w14:paraId="4F420234">
            <w:pPr>
              <w:spacing w:line="269" w:lineRule="auto"/>
              <w:jc w:val="left"/>
              <w:rPr>
                <w:rFonts w:hint="eastAsia" w:ascii="宋体" w:hAnsi="宋体" w:eastAsia="宋体" w:cs="Times New Roman"/>
                <w:szCs w:val="21"/>
              </w:rPr>
            </w:pPr>
            <w:r>
              <w:rPr>
                <w:rFonts w:hint="eastAsia" w:ascii="宋体" w:hAnsi="宋体" w:eastAsia="宋体" w:cs="Times New Roman"/>
                <w:szCs w:val="21"/>
              </w:rPr>
              <w:t>2.案例教学</w:t>
            </w:r>
          </w:p>
          <w:p w14:paraId="325B5BE2">
            <w:pPr>
              <w:spacing w:line="276" w:lineRule="auto"/>
              <w:jc w:val="left"/>
              <w:rPr>
                <w:rFonts w:hint="eastAsia" w:ascii="宋体" w:hAnsi="宋体" w:eastAsia="宋体" w:cs="Times New Roman"/>
                <w:szCs w:val="21"/>
              </w:rPr>
            </w:pPr>
            <w:r>
              <w:rPr>
                <w:rFonts w:hint="eastAsia" w:ascii="宋体" w:hAnsi="宋体" w:eastAsia="宋体" w:cs="Times New Roman"/>
                <w:szCs w:val="21"/>
              </w:rPr>
              <w:t>3.小组学习</w:t>
            </w:r>
          </w:p>
        </w:tc>
        <w:tc>
          <w:tcPr>
            <w:tcW w:w="658" w:type="dxa"/>
            <w:vAlign w:val="center"/>
          </w:tcPr>
          <w:p w14:paraId="75E0C284">
            <w:pPr>
              <w:spacing w:line="276" w:lineRule="auto"/>
              <w:jc w:val="center"/>
              <w:rPr>
                <w:rFonts w:hint="eastAsia" w:ascii="宋体" w:hAnsi="宋体" w:eastAsia="宋体" w:cs="Times New Roman"/>
                <w:szCs w:val="21"/>
              </w:rPr>
            </w:pPr>
            <w:r>
              <w:rPr>
                <w:rFonts w:hint="eastAsia" w:ascii="宋体" w:hAnsi="宋体" w:eastAsia="宋体" w:cs="Times New Roman"/>
                <w:szCs w:val="21"/>
              </w:rPr>
              <w:t>2</w:t>
            </w:r>
          </w:p>
        </w:tc>
      </w:tr>
      <w:tr w14:paraId="22B67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EC545A0">
            <w:pPr>
              <w:spacing w:line="276" w:lineRule="auto"/>
              <w:jc w:val="center"/>
              <w:rPr>
                <w:rFonts w:hint="eastAsia" w:ascii="宋体" w:hAnsi="宋体" w:eastAsia="宋体" w:cs="Times New Roman"/>
                <w:szCs w:val="21"/>
              </w:rPr>
            </w:pPr>
          </w:p>
        </w:tc>
        <w:tc>
          <w:tcPr>
            <w:tcW w:w="8161" w:type="dxa"/>
            <w:gridSpan w:val="5"/>
            <w:vAlign w:val="center"/>
          </w:tcPr>
          <w:p w14:paraId="410CCA37">
            <w:pPr>
              <w:spacing w:line="276"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掌握有效的口语交际教学方法，能够案例分析强化立德树人意识，在教学中引导小学生形成正确的价值观念和社会责任感。</w:t>
            </w:r>
          </w:p>
        </w:tc>
      </w:tr>
    </w:tbl>
    <w:p w14:paraId="4D1602D7">
      <w:pPr>
        <w:spacing w:before="62" w:beforeLines="20" w:after="62" w:afterLines="20" w:line="360" w:lineRule="auto"/>
        <w:jc w:val="left"/>
        <w:rPr>
          <w:rFonts w:ascii="Times New Roman" w:hAnsi="Times New Roman" w:eastAsia="宋体" w:cs="Times New Roman"/>
          <w:b/>
          <w:sz w:val="24"/>
        </w:rPr>
      </w:pPr>
      <w:bookmarkStart w:id="1899" w:name="_Toc27124"/>
      <w:bookmarkStart w:id="1900" w:name="_Toc9611"/>
      <w:bookmarkStart w:id="1901" w:name="_Toc23352"/>
      <w:bookmarkStart w:id="1902" w:name="_Toc9931"/>
      <w:bookmarkStart w:id="1903" w:name="_Toc15961"/>
      <w:bookmarkStart w:id="1904" w:name="_Toc4551"/>
      <w:bookmarkStart w:id="1905" w:name="_Toc6623"/>
      <w:r>
        <w:rPr>
          <w:rFonts w:hint="eastAsia" w:ascii="Times New Roman" w:hAnsi="Times New Roman" w:eastAsia="宋体" w:cs="Times New Roman"/>
          <w:b/>
          <w:sz w:val="24"/>
        </w:rPr>
        <w:t>四、目标评价与成绩评定</w:t>
      </w:r>
      <w:bookmarkEnd w:id="1899"/>
      <w:bookmarkEnd w:id="1900"/>
      <w:bookmarkEnd w:id="1901"/>
      <w:bookmarkEnd w:id="1902"/>
      <w:bookmarkEnd w:id="1903"/>
      <w:bookmarkEnd w:id="1904"/>
      <w:bookmarkEnd w:id="1905"/>
    </w:p>
    <w:p w14:paraId="6077D409">
      <w:pPr>
        <w:spacing w:line="360" w:lineRule="auto"/>
        <w:ind w:firstLine="422" w:firstLineChars="200"/>
        <w:jc w:val="left"/>
        <w:outlineLvl w:val="1"/>
        <w:rPr>
          <w:rFonts w:ascii="Times New Roman" w:hAnsi="Times New Roman" w:eastAsia="宋体" w:cs="Times New Roman"/>
          <w:b/>
          <w:szCs w:val="21"/>
        </w:rPr>
      </w:pPr>
      <w:bookmarkStart w:id="1906" w:name="_Toc4075"/>
      <w:r>
        <w:rPr>
          <w:rFonts w:hint="eastAsia" w:ascii="Times New Roman" w:hAnsi="Times New Roman" w:eastAsia="宋体" w:cs="Times New Roman"/>
          <w:b/>
          <w:szCs w:val="21"/>
        </w:rPr>
        <w:t>（一）课程目标评价方式</w:t>
      </w:r>
      <w:bookmarkEnd w:id="1906"/>
    </w:p>
    <w:p w14:paraId="700E469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4"/>
        <w:gridCol w:w="1569"/>
        <w:gridCol w:w="1569"/>
        <w:gridCol w:w="1569"/>
        <w:gridCol w:w="1056"/>
        <w:gridCol w:w="937"/>
      </w:tblGrid>
      <w:tr w14:paraId="2FF2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EB8041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0" w:type="auto"/>
            <w:gridSpan w:val="4"/>
            <w:vAlign w:val="center"/>
          </w:tcPr>
          <w:p w14:paraId="24811D4D">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937" w:type="dxa"/>
            <w:vMerge w:val="restart"/>
            <w:vAlign w:val="center"/>
          </w:tcPr>
          <w:p w14:paraId="084DE912">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2907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18485DA8">
            <w:pPr>
              <w:spacing w:line="360" w:lineRule="auto"/>
              <w:jc w:val="center"/>
              <w:rPr>
                <w:rFonts w:hint="eastAsia" w:ascii="宋体" w:hAnsi="宋体" w:eastAsia="宋体" w:cs="Times New Roman"/>
                <w:szCs w:val="21"/>
              </w:rPr>
            </w:pPr>
          </w:p>
        </w:tc>
        <w:tc>
          <w:tcPr>
            <w:tcW w:w="0" w:type="auto"/>
            <w:vAlign w:val="center"/>
          </w:tcPr>
          <w:p w14:paraId="2B3DB187">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平时作业</w:t>
            </w:r>
          </w:p>
        </w:tc>
        <w:tc>
          <w:tcPr>
            <w:tcW w:w="0" w:type="auto"/>
            <w:vAlign w:val="center"/>
          </w:tcPr>
          <w:p w14:paraId="78D0440F">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课堂表现</w:t>
            </w:r>
          </w:p>
        </w:tc>
        <w:tc>
          <w:tcPr>
            <w:tcW w:w="0" w:type="auto"/>
            <w:vAlign w:val="center"/>
          </w:tcPr>
          <w:p w14:paraId="68CFE03E">
            <w:pPr>
              <w:spacing w:line="360" w:lineRule="auto"/>
              <w:jc w:val="center"/>
              <w:rPr>
                <w:rFonts w:hint="eastAsia" w:ascii="宋体" w:hAnsi="宋体" w:eastAsia="宋体" w:cs="Times New Roman"/>
                <w:szCs w:val="21"/>
              </w:rPr>
            </w:pPr>
            <w:r>
              <w:rPr>
                <w:rFonts w:hint="eastAsia" w:ascii="宋体" w:hAnsi="宋体" w:eastAsia="宋体" w:cs="Times New Roman"/>
                <w:szCs w:val="21"/>
              </w:rPr>
              <w:t>课内实践</w:t>
            </w:r>
          </w:p>
        </w:tc>
        <w:tc>
          <w:tcPr>
            <w:tcW w:w="0" w:type="auto"/>
            <w:vAlign w:val="center"/>
          </w:tcPr>
          <w:p w14:paraId="09DAA0D7">
            <w:pPr>
              <w:spacing w:line="360" w:lineRule="auto"/>
              <w:jc w:val="center"/>
              <w:rPr>
                <w:rFonts w:hint="eastAsia" w:ascii="宋体" w:hAnsi="宋体" w:eastAsia="宋体" w:cs="Times New Roman"/>
                <w:szCs w:val="21"/>
              </w:rPr>
            </w:pPr>
            <w:r>
              <w:rPr>
                <w:rFonts w:hint="eastAsia" w:ascii="宋体" w:hAnsi="宋体" w:eastAsia="宋体" w:cs="Times New Roman"/>
                <w:szCs w:val="21"/>
              </w:rPr>
              <w:t>期末考试</w:t>
            </w:r>
          </w:p>
        </w:tc>
        <w:tc>
          <w:tcPr>
            <w:tcW w:w="937" w:type="dxa"/>
            <w:vMerge w:val="continue"/>
            <w:vAlign w:val="center"/>
          </w:tcPr>
          <w:p w14:paraId="23590451">
            <w:pPr>
              <w:spacing w:line="360" w:lineRule="auto"/>
              <w:jc w:val="center"/>
              <w:rPr>
                <w:rFonts w:hint="eastAsia" w:ascii="宋体" w:hAnsi="宋体" w:eastAsia="宋体" w:cs="Times New Roman"/>
                <w:szCs w:val="21"/>
              </w:rPr>
            </w:pPr>
          </w:p>
        </w:tc>
      </w:tr>
      <w:tr w14:paraId="24DD2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8C8867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0" w:type="auto"/>
            <w:vAlign w:val="center"/>
          </w:tcPr>
          <w:p w14:paraId="5FDB79D7">
            <w:pPr>
              <w:spacing w:line="360" w:lineRule="auto"/>
              <w:jc w:val="center"/>
              <w:rPr>
                <w:rFonts w:hint="eastAsia" w:ascii="宋体" w:hAnsi="宋体" w:eastAsia="宋体" w:cs="Times New Roman"/>
                <w:szCs w:val="21"/>
              </w:rPr>
            </w:pPr>
            <w:r>
              <w:rPr>
                <w:rFonts w:ascii="Arial" w:hAnsi="Arial" w:eastAsia="宋体" w:cs="Arial"/>
                <w:szCs w:val="21"/>
              </w:rPr>
              <w:t>√</w:t>
            </w:r>
          </w:p>
        </w:tc>
        <w:tc>
          <w:tcPr>
            <w:tcW w:w="0" w:type="auto"/>
            <w:vAlign w:val="center"/>
          </w:tcPr>
          <w:p w14:paraId="01DE1B8E">
            <w:pPr>
              <w:spacing w:line="360" w:lineRule="auto"/>
              <w:jc w:val="center"/>
              <w:rPr>
                <w:rFonts w:hint="eastAsia" w:ascii="宋体" w:hAnsi="宋体" w:eastAsia="宋体" w:cs="Times New Roman"/>
                <w:szCs w:val="21"/>
              </w:rPr>
            </w:pPr>
            <w:r>
              <w:rPr>
                <w:rFonts w:ascii="Arial" w:hAnsi="Arial" w:eastAsia="宋体" w:cs="Arial"/>
                <w:szCs w:val="21"/>
              </w:rPr>
              <w:t>√</w:t>
            </w:r>
          </w:p>
        </w:tc>
        <w:tc>
          <w:tcPr>
            <w:tcW w:w="0" w:type="auto"/>
            <w:vAlign w:val="center"/>
          </w:tcPr>
          <w:p w14:paraId="40D3C006">
            <w:pPr>
              <w:spacing w:line="360" w:lineRule="auto"/>
              <w:jc w:val="center"/>
              <w:rPr>
                <w:rFonts w:hint="eastAsia" w:ascii="宋体" w:hAnsi="宋体" w:eastAsia="宋体" w:cs="Times New Roman"/>
                <w:szCs w:val="21"/>
              </w:rPr>
            </w:pPr>
            <w:r>
              <w:rPr>
                <w:rFonts w:ascii="Arial" w:hAnsi="Arial" w:eastAsia="宋体" w:cs="Arial"/>
                <w:szCs w:val="21"/>
              </w:rPr>
              <w:t>√</w:t>
            </w:r>
          </w:p>
        </w:tc>
        <w:tc>
          <w:tcPr>
            <w:tcW w:w="0" w:type="auto"/>
            <w:vAlign w:val="center"/>
          </w:tcPr>
          <w:p w14:paraId="167A6AD2">
            <w:pPr>
              <w:spacing w:line="360" w:lineRule="auto"/>
              <w:jc w:val="center"/>
              <w:rPr>
                <w:rFonts w:hint="eastAsia" w:ascii="宋体" w:hAnsi="宋体" w:eastAsia="宋体" w:cs="Times New Roman"/>
                <w:szCs w:val="21"/>
              </w:rPr>
            </w:pPr>
            <w:r>
              <w:rPr>
                <w:rFonts w:ascii="Arial" w:hAnsi="Arial" w:eastAsia="宋体" w:cs="Arial"/>
                <w:szCs w:val="21"/>
              </w:rPr>
              <w:t>√</w:t>
            </w:r>
          </w:p>
        </w:tc>
        <w:tc>
          <w:tcPr>
            <w:tcW w:w="937" w:type="dxa"/>
            <w:vAlign w:val="center"/>
          </w:tcPr>
          <w:p w14:paraId="7160AD16">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136A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3C8F6D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0" w:type="auto"/>
            <w:vAlign w:val="center"/>
          </w:tcPr>
          <w:p w14:paraId="5FB1CE79">
            <w:pPr>
              <w:spacing w:line="360" w:lineRule="auto"/>
              <w:jc w:val="center"/>
              <w:rPr>
                <w:rFonts w:hint="eastAsia" w:ascii="宋体" w:hAnsi="宋体" w:eastAsia="宋体" w:cs="Times New Roman"/>
                <w:szCs w:val="21"/>
              </w:rPr>
            </w:pPr>
            <w:r>
              <w:rPr>
                <w:rFonts w:ascii="Arial" w:hAnsi="Arial" w:eastAsia="宋体" w:cs="Arial"/>
                <w:szCs w:val="21"/>
              </w:rPr>
              <w:t>√</w:t>
            </w:r>
          </w:p>
        </w:tc>
        <w:tc>
          <w:tcPr>
            <w:tcW w:w="0" w:type="auto"/>
            <w:vAlign w:val="center"/>
          </w:tcPr>
          <w:p w14:paraId="434ADF49">
            <w:pPr>
              <w:spacing w:line="360" w:lineRule="auto"/>
              <w:jc w:val="center"/>
              <w:rPr>
                <w:rFonts w:hint="eastAsia" w:ascii="宋体" w:hAnsi="宋体" w:eastAsia="宋体" w:cs="Times New Roman"/>
                <w:szCs w:val="21"/>
              </w:rPr>
            </w:pPr>
            <w:r>
              <w:rPr>
                <w:rFonts w:ascii="Arial" w:hAnsi="Arial" w:eastAsia="宋体" w:cs="Arial"/>
                <w:szCs w:val="21"/>
              </w:rPr>
              <w:t>√</w:t>
            </w:r>
          </w:p>
        </w:tc>
        <w:tc>
          <w:tcPr>
            <w:tcW w:w="0" w:type="auto"/>
            <w:vAlign w:val="center"/>
          </w:tcPr>
          <w:p w14:paraId="2A64B981">
            <w:pPr>
              <w:spacing w:line="360" w:lineRule="auto"/>
              <w:jc w:val="center"/>
              <w:rPr>
                <w:rFonts w:hint="eastAsia" w:ascii="宋体" w:hAnsi="宋体" w:eastAsia="宋体" w:cs="Times New Roman"/>
                <w:szCs w:val="21"/>
              </w:rPr>
            </w:pPr>
            <w:r>
              <w:rPr>
                <w:rFonts w:ascii="Arial" w:hAnsi="Arial" w:eastAsia="宋体" w:cs="Arial"/>
                <w:szCs w:val="21"/>
              </w:rPr>
              <w:t>√</w:t>
            </w:r>
          </w:p>
        </w:tc>
        <w:tc>
          <w:tcPr>
            <w:tcW w:w="0" w:type="auto"/>
            <w:vAlign w:val="center"/>
          </w:tcPr>
          <w:p w14:paraId="752D565D">
            <w:pPr>
              <w:spacing w:line="360" w:lineRule="auto"/>
              <w:jc w:val="center"/>
              <w:rPr>
                <w:rFonts w:hint="eastAsia" w:ascii="宋体" w:hAnsi="宋体" w:eastAsia="宋体" w:cs="Times New Roman"/>
                <w:szCs w:val="21"/>
              </w:rPr>
            </w:pPr>
            <w:r>
              <w:rPr>
                <w:rFonts w:ascii="Arial" w:hAnsi="Arial" w:eastAsia="宋体" w:cs="Arial"/>
                <w:szCs w:val="21"/>
              </w:rPr>
              <w:t>√</w:t>
            </w:r>
          </w:p>
        </w:tc>
        <w:tc>
          <w:tcPr>
            <w:tcW w:w="937" w:type="dxa"/>
            <w:vAlign w:val="center"/>
          </w:tcPr>
          <w:p w14:paraId="67571915">
            <w:pPr>
              <w:spacing w:line="360"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0D62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8410A0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0" w:type="auto"/>
            <w:vAlign w:val="center"/>
          </w:tcPr>
          <w:p w14:paraId="222A60F9">
            <w:pPr>
              <w:spacing w:line="360" w:lineRule="auto"/>
              <w:jc w:val="center"/>
              <w:rPr>
                <w:rFonts w:hint="eastAsia" w:ascii="宋体" w:hAnsi="宋体" w:eastAsia="宋体" w:cs="Times New Roman"/>
                <w:szCs w:val="21"/>
              </w:rPr>
            </w:pPr>
            <w:r>
              <w:rPr>
                <w:rFonts w:ascii="Arial" w:hAnsi="Arial" w:eastAsia="宋体" w:cs="Arial"/>
                <w:szCs w:val="21"/>
              </w:rPr>
              <w:t>√</w:t>
            </w:r>
          </w:p>
        </w:tc>
        <w:tc>
          <w:tcPr>
            <w:tcW w:w="0" w:type="auto"/>
            <w:vAlign w:val="center"/>
          </w:tcPr>
          <w:p w14:paraId="4ED6ED4C">
            <w:pPr>
              <w:spacing w:line="360" w:lineRule="auto"/>
              <w:jc w:val="center"/>
              <w:rPr>
                <w:rFonts w:hint="eastAsia" w:ascii="宋体" w:hAnsi="宋体" w:eastAsia="宋体" w:cs="Times New Roman"/>
                <w:szCs w:val="21"/>
              </w:rPr>
            </w:pPr>
            <w:r>
              <w:rPr>
                <w:rFonts w:ascii="Arial" w:hAnsi="Arial" w:eastAsia="宋体" w:cs="Arial"/>
                <w:szCs w:val="21"/>
              </w:rPr>
              <w:t>√</w:t>
            </w:r>
          </w:p>
        </w:tc>
        <w:tc>
          <w:tcPr>
            <w:tcW w:w="0" w:type="auto"/>
            <w:vAlign w:val="center"/>
          </w:tcPr>
          <w:p w14:paraId="265A6955">
            <w:pPr>
              <w:spacing w:line="360" w:lineRule="auto"/>
              <w:jc w:val="center"/>
              <w:rPr>
                <w:rFonts w:hint="eastAsia" w:ascii="宋体" w:hAnsi="宋体" w:eastAsia="宋体" w:cs="Times New Roman"/>
                <w:szCs w:val="21"/>
              </w:rPr>
            </w:pPr>
            <w:r>
              <w:rPr>
                <w:rFonts w:ascii="Arial" w:hAnsi="Arial" w:eastAsia="宋体" w:cs="Arial"/>
                <w:szCs w:val="21"/>
              </w:rPr>
              <w:t>√</w:t>
            </w:r>
          </w:p>
        </w:tc>
        <w:tc>
          <w:tcPr>
            <w:tcW w:w="0" w:type="auto"/>
            <w:vAlign w:val="center"/>
          </w:tcPr>
          <w:p w14:paraId="7587AADB">
            <w:pPr>
              <w:spacing w:line="360" w:lineRule="auto"/>
              <w:jc w:val="center"/>
              <w:rPr>
                <w:rFonts w:hint="eastAsia" w:ascii="宋体" w:hAnsi="宋体" w:eastAsia="宋体" w:cs="Times New Roman"/>
                <w:szCs w:val="21"/>
              </w:rPr>
            </w:pPr>
            <w:r>
              <w:rPr>
                <w:rFonts w:ascii="Arial" w:hAnsi="Arial" w:eastAsia="宋体" w:cs="Arial"/>
                <w:szCs w:val="21"/>
              </w:rPr>
              <w:t>√</w:t>
            </w:r>
          </w:p>
        </w:tc>
        <w:tc>
          <w:tcPr>
            <w:tcW w:w="937" w:type="dxa"/>
            <w:vAlign w:val="center"/>
          </w:tcPr>
          <w:p w14:paraId="70B2909C">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1A47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1F140885">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0" w:type="auto"/>
            <w:vAlign w:val="center"/>
          </w:tcPr>
          <w:p w14:paraId="5E9797A7">
            <w:pPr>
              <w:spacing w:line="360" w:lineRule="auto"/>
              <w:jc w:val="center"/>
              <w:rPr>
                <w:rFonts w:hint="eastAsia" w:ascii="宋体" w:hAnsi="宋体" w:eastAsia="宋体" w:cs="Times New Roman"/>
                <w:szCs w:val="21"/>
              </w:rPr>
            </w:pPr>
          </w:p>
        </w:tc>
        <w:tc>
          <w:tcPr>
            <w:tcW w:w="0" w:type="auto"/>
            <w:vAlign w:val="center"/>
          </w:tcPr>
          <w:p w14:paraId="78A1CA7D">
            <w:pPr>
              <w:spacing w:line="360" w:lineRule="auto"/>
              <w:jc w:val="center"/>
              <w:rPr>
                <w:rFonts w:hint="eastAsia" w:ascii="宋体" w:hAnsi="宋体" w:eastAsia="宋体" w:cs="Times New Roman"/>
                <w:szCs w:val="21"/>
              </w:rPr>
            </w:pPr>
          </w:p>
        </w:tc>
        <w:tc>
          <w:tcPr>
            <w:tcW w:w="0" w:type="auto"/>
            <w:vAlign w:val="center"/>
          </w:tcPr>
          <w:p w14:paraId="71E22208">
            <w:pPr>
              <w:spacing w:line="360" w:lineRule="auto"/>
              <w:jc w:val="center"/>
              <w:rPr>
                <w:rFonts w:hint="eastAsia" w:ascii="宋体" w:hAnsi="宋体" w:eastAsia="宋体" w:cs="Times New Roman"/>
                <w:szCs w:val="21"/>
              </w:rPr>
            </w:pPr>
          </w:p>
        </w:tc>
        <w:tc>
          <w:tcPr>
            <w:tcW w:w="1056" w:type="dxa"/>
            <w:vAlign w:val="center"/>
          </w:tcPr>
          <w:p w14:paraId="0B407A3B">
            <w:pPr>
              <w:spacing w:line="360" w:lineRule="auto"/>
              <w:jc w:val="center"/>
              <w:rPr>
                <w:rFonts w:hint="eastAsia" w:ascii="宋体" w:hAnsi="宋体" w:eastAsia="宋体" w:cs="Times New Roman"/>
                <w:szCs w:val="21"/>
              </w:rPr>
            </w:pPr>
          </w:p>
        </w:tc>
        <w:tc>
          <w:tcPr>
            <w:tcW w:w="937" w:type="dxa"/>
            <w:vAlign w:val="center"/>
          </w:tcPr>
          <w:p w14:paraId="439DDD82">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9E953F1">
      <w:pPr>
        <w:spacing w:before="156" w:beforeLines="50" w:line="360" w:lineRule="auto"/>
        <w:ind w:firstLine="422" w:firstLineChars="200"/>
        <w:jc w:val="left"/>
        <w:outlineLvl w:val="1"/>
        <w:rPr>
          <w:rFonts w:ascii="Times New Roman" w:hAnsi="Times New Roman" w:eastAsia="宋体" w:cs="Times New Roman"/>
          <w:b/>
          <w:szCs w:val="21"/>
        </w:rPr>
      </w:pPr>
      <w:bookmarkStart w:id="1907" w:name="_Toc21570"/>
      <w:r>
        <w:rPr>
          <w:rFonts w:hint="eastAsia" w:ascii="Times New Roman" w:hAnsi="Times New Roman" w:eastAsia="宋体" w:cs="Times New Roman"/>
          <w:b/>
          <w:szCs w:val="21"/>
        </w:rPr>
        <w:t>（二）成绩评定细则</w:t>
      </w:r>
      <w:bookmarkEnd w:id="1907"/>
    </w:p>
    <w:p w14:paraId="174615C7">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5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6745"/>
        <w:gridCol w:w="706"/>
      </w:tblGrid>
      <w:tr w14:paraId="3B12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87" w:type="dxa"/>
            <w:vAlign w:val="center"/>
          </w:tcPr>
          <w:p w14:paraId="76BE22D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745" w:type="dxa"/>
            <w:vAlign w:val="center"/>
          </w:tcPr>
          <w:p w14:paraId="774CABF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36DEC6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8D88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87" w:type="dxa"/>
            <w:vAlign w:val="center"/>
          </w:tcPr>
          <w:p w14:paraId="4A2F2CFE">
            <w:pPr>
              <w:rPr>
                <w:rFonts w:ascii="Times New Roman" w:hAnsi="Times New Roman" w:eastAsia="宋体" w:cs="Times New Roman"/>
                <w:szCs w:val="21"/>
              </w:rPr>
            </w:pPr>
            <w:r>
              <w:rPr>
                <w:rFonts w:hint="eastAsia" w:ascii="宋体" w:hAnsi="宋体" w:eastAsia="宋体" w:cs="Times New Roman"/>
                <w:szCs w:val="21"/>
              </w:rPr>
              <w:t>平时作业</w:t>
            </w:r>
          </w:p>
        </w:tc>
        <w:tc>
          <w:tcPr>
            <w:tcW w:w="6745" w:type="dxa"/>
            <w:vAlign w:val="center"/>
          </w:tcPr>
          <w:p w14:paraId="0EDDF88C">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三次阅读教学设计：</w:t>
            </w:r>
          </w:p>
          <w:p w14:paraId="7494D864">
            <w:pPr>
              <w:spacing w:line="264" w:lineRule="auto"/>
              <w:jc w:val="left"/>
              <w:rPr>
                <w:rFonts w:ascii="Times New Roman" w:hAnsi="Times New Roman" w:eastAsia="宋体" w:cs="Times New Roman"/>
                <w:szCs w:val="21"/>
              </w:rPr>
            </w:pPr>
            <w:r>
              <w:rPr>
                <w:rFonts w:hint="eastAsia" w:ascii="Times New Roman" w:hAnsi="Times New Roman" w:eastAsia="宋体" w:cs="Times New Roman"/>
                <w:b/>
                <w:bCs/>
                <w:szCs w:val="21"/>
              </w:rPr>
              <w:t>1.</w:t>
            </w:r>
            <w:r>
              <w:rPr>
                <w:rFonts w:ascii="Times New Roman" w:hAnsi="Times New Roman" w:eastAsia="宋体" w:cs="Times New Roman"/>
                <w:b/>
                <w:bCs/>
                <w:szCs w:val="21"/>
              </w:rPr>
              <w:t>普通阅读单元课文教学设计评分标准：</w:t>
            </w:r>
          </w:p>
          <w:p w14:paraId="0D3E63C0">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教学目标的明确性和对课程标准的符合度（20%）：目标具体、可衡量，与课程标准紧密对应。</w:t>
            </w:r>
          </w:p>
          <w:p w14:paraId="2D857420">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教学内容的组织逻辑性和覆盖度（20%）：内容逻辑清晰，全面覆盖必要的教学点。</w:t>
            </w:r>
          </w:p>
          <w:p w14:paraId="73C4AC04">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教学方法和活动创新性及学生兴趣激发效果（20%）：方法和活动创新，有效提升学生兴趣。</w:t>
            </w:r>
          </w:p>
          <w:p w14:paraId="5B07FEBA">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学生参与度和互动性的设计质量（20%）：设计促进学生积极参与和有效互动。</w:t>
            </w:r>
          </w:p>
          <w:p w14:paraId="5CC4075A">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评估和反馈机制的明确性和实用性（20%）：评价标准明确，反馈策略实用。</w:t>
            </w:r>
          </w:p>
          <w:p w14:paraId="675AE31B">
            <w:pPr>
              <w:spacing w:line="264"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2.</w:t>
            </w:r>
            <w:r>
              <w:rPr>
                <w:rFonts w:ascii="Times New Roman" w:hAnsi="Times New Roman" w:eastAsia="宋体" w:cs="Times New Roman"/>
                <w:b/>
                <w:bCs/>
                <w:szCs w:val="21"/>
              </w:rPr>
              <w:t>阅读策略单元单篇课文教学设计评分标准：</w:t>
            </w:r>
          </w:p>
          <w:p w14:paraId="24C773BA">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阅读策略</w:t>
            </w:r>
            <w:r>
              <w:rPr>
                <w:rFonts w:hint="eastAsia" w:ascii="Times New Roman" w:hAnsi="Times New Roman" w:eastAsia="宋体" w:cs="Times New Roman"/>
                <w:szCs w:val="21"/>
              </w:rPr>
              <w:t>重点突出</w:t>
            </w:r>
            <w:r>
              <w:rPr>
                <w:rFonts w:ascii="Times New Roman" w:hAnsi="Times New Roman" w:eastAsia="宋体" w:cs="Times New Roman"/>
                <w:szCs w:val="21"/>
              </w:rPr>
              <w:t>和教学清晰度（25%）：</w:t>
            </w:r>
            <w:r>
              <w:rPr>
                <w:rFonts w:hint="eastAsia" w:ascii="Times New Roman" w:hAnsi="Times New Roman" w:eastAsia="宋体" w:cs="Times New Roman"/>
                <w:szCs w:val="21"/>
              </w:rPr>
              <w:t>紧扣阅读</w:t>
            </w:r>
            <w:r>
              <w:rPr>
                <w:rFonts w:ascii="Times New Roman" w:hAnsi="Times New Roman" w:eastAsia="宋体" w:cs="Times New Roman"/>
                <w:szCs w:val="21"/>
              </w:rPr>
              <w:t>策略</w:t>
            </w:r>
            <w:r>
              <w:rPr>
                <w:rFonts w:hint="eastAsia" w:ascii="Times New Roman" w:hAnsi="Times New Roman" w:eastAsia="宋体" w:cs="Times New Roman"/>
                <w:szCs w:val="21"/>
              </w:rPr>
              <w:t>目标</w:t>
            </w:r>
            <w:r>
              <w:rPr>
                <w:rFonts w:ascii="Times New Roman" w:hAnsi="Times New Roman" w:eastAsia="宋体" w:cs="Times New Roman"/>
                <w:szCs w:val="21"/>
              </w:rPr>
              <w:t>和</w:t>
            </w:r>
            <w:r>
              <w:rPr>
                <w:rFonts w:hint="eastAsia" w:ascii="Times New Roman" w:hAnsi="Times New Roman" w:eastAsia="宋体" w:cs="Times New Roman"/>
                <w:szCs w:val="21"/>
              </w:rPr>
              <w:t>学情</w:t>
            </w:r>
            <w:r>
              <w:rPr>
                <w:rFonts w:ascii="Times New Roman" w:hAnsi="Times New Roman" w:eastAsia="宋体" w:cs="Times New Roman"/>
                <w:szCs w:val="21"/>
              </w:rPr>
              <w:t>，教学步骤清晰。</w:t>
            </w:r>
          </w:p>
          <w:p w14:paraId="12AF7626">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实施步骤详细性和可操作性（25%）：步骤详细，易于实施。</w:t>
            </w:r>
          </w:p>
          <w:p w14:paraId="70543F88">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学生参与和实践机会的提供程度（20%）：学生有充分机会实践和应用阅读策略。</w:t>
            </w:r>
          </w:p>
          <w:p w14:paraId="6B16394B">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教学材料和资源的利用效率（15%）：材料和资源得到高效利用。</w:t>
            </w:r>
          </w:p>
          <w:p w14:paraId="4EA0D9DF">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评估方法的合理性和有效性（15%）：评估方法准确反映学生对策略的掌握。</w:t>
            </w:r>
          </w:p>
          <w:p w14:paraId="0BD321F2">
            <w:pPr>
              <w:spacing w:line="264" w:lineRule="auto"/>
              <w:jc w:val="left"/>
              <w:rPr>
                <w:rFonts w:ascii="Times New Roman" w:hAnsi="Times New Roman" w:eastAsia="宋体" w:cs="Times New Roman"/>
                <w:b/>
                <w:bCs/>
                <w:szCs w:val="21"/>
              </w:rPr>
            </w:pPr>
            <w:r>
              <w:rPr>
                <w:rFonts w:hint="eastAsia" w:ascii="Times New Roman" w:hAnsi="Times New Roman" w:eastAsia="宋体" w:cs="Times New Roman"/>
                <w:b/>
                <w:bCs/>
                <w:szCs w:val="21"/>
              </w:rPr>
              <w:t>3.</w:t>
            </w:r>
            <w:r>
              <w:rPr>
                <w:rFonts w:ascii="Times New Roman" w:hAnsi="Times New Roman" w:eastAsia="宋体" w:cs="Times New Roman"/>
                <w:b/>
                <w:bCs/>
                <w:szCs w:val="21"/>
              </w:rPr>
              <w:t>习作单元单篇课文教学设计评分标准：</w:t>
            </w:r>
          </w:p>
          <w:p w14:paraId="3DCA03E7">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教学目标的相关性和实现可能性（25%）：</w:t>
            </w:r>
            <w:r>
              <w:rPr>
                <w:rFonts w:hint="eastAsia" w:ascii="Times New Roman" w:hAnsi="Times New Roman" w:eastAsia="宋体" w:cs="Times New Roman"/>
                <w:szCs w:val="21"/>
              </w:rPr>
              <w:t>教学</w:t>
            </w:r>
            <w:r>
              <w:rPr>
                <w:rFonts w:ascii="Times New Roman" w:hAnsi="Times New Roman" w:eastAsia="宋体" w:cs="Times New Roman"/>
                <w:szCs w:val="21"/>
              </w:rPr>
              <w:t>目标</w:t>
            </w:r>
            <w:r>
              <w:rPr>
                <w:rFonts w:hint="eastAsia" w:ascii="Times New Roman" w:hAnsi="Times New Roman" w:eastAsia="宋体" w:cs="Times New Roman"/>
                <w:szCs w:val="21"/>
              </w:rPr>
              <w:t>指向习作方法，</w:t>
            </w:r>
            <w:r>
              <w:rPr>
                <w:rFonts w:ascii="Times New Roman" w:hAnsi="Times New Roman" w:eastAsia="宋体" w:cs="Times New Roman"/>
                <w:szCs w:val="21"/>
              </w:rPr>
              <w:t>与学生</w:t>
            </w:r>
            <w:r>
              <w:rPr>
                <w:rFonts w:hint="eastAsia" w:ascii="Times New Roman" w:hAnsi="Times New Roman" w:eastAsia="宋体" w:cs="Times New Roman"/>
                <w:szCs w:val="21"/>
              </w:rPr>
              <w:t>习作</w:t>
            </w:r>
            <w:r>
              <w:rPr>
                <w:rFonts w:ascii="Times New Roman" w:hAnsi="Times New Roman" w:eastAsia="宋体" w:cs="Times New Roman"/>
                <w:szCs w:val="21"/>
              </w:rPr>
              <w:t>能力发展紧密相关，切实可行。</w:t>
            </w:r>
          </w:p>
          <w:p w14:paraId="0A04773C">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过程的指导和支持力度（25%）：教学设计提供清晰的</w:t>
            </w:r>
            <w:r>
              <w:rPr>
                <w:rFonts w:hint="eastAsia" w:ascii="Times New Roman" w:hAnsi="Times New Roman" w:eastAsia="宋体" w:cs="Times New Roman"/>
                <w:szCs w:val="21"/>
              </w:rPr>
              <w:t>习作</w:t>
            </w:r>
            <w:r>
              <w:rPr>
                <w:rFonts w:ascii="Times New Roman" w:hAnsi="Times New Roman" w:eastAsia="宋体" w:cs="Times New Roman"/>
                <w:szCs w:val="21"/>
              </w:rPr>
              <w:t>指导和充分支持。</w:t>
            </w:r>
          </w:p>
          <w:p w14:paraId="685EE2C1">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学生创造力和表达能力的培养效果（20%）：设计有效促进学生创造力和表达。</w:t>
            </w:r>
          </w:p>
          <w:p w14:paraId="1B2DFB87">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反馈和修改机制的实用性和有效性（15%）：反馈和修改策略有助于学生</w:t>
            </w:r>
            <w:r>
              <w:rPr>
                <w:rFonts w:hint="eastAsia" w:ascii="Times New Roman" w:hAnsi="Times New Roman" w:eastAsia="宋体" w:cs="Times New Roman"/>
                <w:szCs w:val="21"/>
              </w:rPr>
              <w:t>习作</w:t>
            </w:r>
            <w:r>
              <w:rPr>
                <w:rFonts w:ascii="Times New Roman" w:hAnsi="Times New Roman" w:eastAsia="宋体" w:cs="Times New Roman"/>
                <w:szCs w:val="21"/>
              </w:rPr>
              <w:t>改进。</w:t>
            </w:r>
          </w:p>
          <w:p w14:paraId="4E1735B8">
            <w:pPr>
              <w:spacing w:line="264" w:lineRule="auto"/>
              <w:jc w:val="left"/>
              <w:rPr>
                <w:rFonts w:ascii="Times New Roman" w:hAnsi="Times New Roman" w:eastAsia="宋体" w:cs="Times New Roman"/>
                <w:szCs w:val="21"/>
              </w:rPr>
            </w:pPr>
            <w:r>
              <w:rPr>
                <w:rFonts w:ascii="Times New Roman" w:hAnsi="Times New Roman" w:eastAsia="宋体" w:cs="Times New Roman"/>
                <w:szCs w:val="21"/>
              </w:rPr>
              <w:t>教学活动和评估的创新性和吸引力（15%）：活动和评估方法新颖，能够吸引学生参与。</w:t>
            </w:r>
          </w:p>
        </w:tc>
        <w:tc>
          <w:tcPr>
            <w:tcW w:w="0" w:type="auto"/>
            <w:vAlign w:val="center"/>
          </w:tcPr>
          <w:p w14:paraId="6B74BF37">
            <w:pPr>
              <w:jc w:val="center"/>
              <w:rPr>
                <w:rFonts w:ascii="Times New Roman" w:hAnsi="Times New Roman" w:eastAsia="宋体" w:cs="Times New Roman"/>
                <w:szCs w:val="21"/>
              </w:rPr>
            </w:pPr>
          </w:p>
        </w:tc>
      </w:tr>
      <w:tr w14:paraId="6E08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87" w:type="dxa"/>
            <w:vAlign w:val="center"/>
          </w:tcPr>
          <w:p w14:paraId="2598E8B1">
            <w:pPr>
              <w:rPr>
                <w:rFonts w:ascii="Times New Roman" w:hAnsi="Times New Roman" w:eastAsia="宋体" w:cs="Times New Roman"/>
                <w:szCs w:val="21"/>
              </w:rPr>
            </w:pPr>
            <w:r>
              <w:rPr>
                <w:rFonts w:hint="eastAsia" w:ascii="宋体" w:hAnsi="宋体" w:eastAsia="宋体" w:cs="Times New Roman"/>
                <w:szCs w:val="21"/>
              </w:rPr>
              <w:t>课堂表现</w:t>
            </w:r>
          </w:p>
        </w:tc>
        <w:tc>
          <w:tcPr>
            <w:tcW w:w="6745" w:type="dxa"/>
            <w:vAlign w:val="center"/>
          </w:tcPr>
          <w:p w14:paraId="7623A78A">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1.出勤情况（30%）：</w:t>
            </w:r>
          </w:p>
          <w:p w14:paraId="50DF3FC9">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准时出席每次课程，无迟到、早退现象。</w:t>
            </w:r>
          </w:p>
          <w:p w14:paraId="1F9ED62B">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缺勤次数极少，病假和事假有正当理由并提前告知。</w:t>
            </w:r>
          </w:p>
          <w:p w14:paraId="2B8AE26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2.课堂参与讨论（25%）：</w:t>
            </w:r>
          </w:p>
          <w:p w14:paraId="0A1D28EC">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在课堂上积极参与讨论，展现出对课程内容的理解和思考。</w:t>
            </w:r>
          </w:p>
          <w:p w14:paraId="1BB7977D">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能够提出有深度的问题或见解，促进课堂交流。</w:t>
            </w:r>
          </w:p>
          <w:p w14:paraId="6D3B6143">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3.参与提问情况（20%）：</w:t>
            </w:r>
          </w:p>
          <w:p w14:paraId="1A0F32CA">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主动提出问题，表现出对教学内容的深入探究和好奇心。</w:t>
            </w:r>
          </w:p>
          <w:p w14:paraId="541C352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提出的问题具有相关性和建设性，有助于深化课堂讨论。</w:t>
            </w:r>
          </w:p>
          <w:p w14:paraId="592F8409">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4.小组学习情况（25%）：</w:t>
            </w:r>
          </w:p>
          <w:p w14:paraId="0EE944EF">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在小组备课中积极参与，贡献想法和资源。</w:t>
            </w:r>
          </w:p>
          <w:p w14:paraId="26063B60">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与小组成员有效合作，共同完成备课任务，展现出团队精神和协作能力。</w:t>
            </w:r>
          </w:p>
          <w:p w14:paraId="58208E57">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评分细则：</w:t>
            </w:r>
          </w:p>
          <w:p w14:paraId="74018FD8">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每个类别的评分基于学生在课堂上的具体表现和参与度。</w:t>
            </w:r>
          </w:p>
          <w:p w14:paraId="7AF8556A">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出勤情况将根据实际出勤记录进行评分。</w:t>
            </w:r>
          </w:p>
          <w:p w14:paraId="23F1BEC4">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课堂参与讨论和提问情况将根据学生的主动性、问题的质量以及对课堂讨论的贡献进行评分。</w:t>
            </w:r>
          </w:p>
          <w:p w14:paraId="0C303767">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小组学习情况将根据学生在小组中的角色、参与度和小组最终表现进行评分。</w:t>
            </w:r>
          </w:p>
          <w:p w14:paraId="30CA27DC">
            <w:pPr>
              <w:widowControl/>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教师将根据这些标准，结合学生的实际表现，给出综合评分。</w:t>
            </w:r>
          </w:p>
        </w:tc>
        <w:tc>
          <w:tcPr>
            <w:tcW w:w="0" w:type="auto"/>
            <w:vAlign w:val="center"/>
          </w:tcPr>
          <w:p w14:paraId="5667FAA9">
            <w:pPr>
              <w:jc w:val="center"/>
              <w:rPr>
                <w:rFonts w:ascii="Times New Roman" w:hAnsi="Times New Roman" w:eastAsia="宋体" w:cs="Times New Roman"/>
                <w:szCs w:val="21"/>
              </w:rPr>
            </w:pPr>
          </w:p>
        </w:tc>
      </w:tr>
      <w:tr w14:paraId="71B8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87" w:type="dxa"/>
            <w:vAlign w:val="center"/>
          </w:tcPr>
          <w:p w14:paraId="47DF640A">
            <w:pPr>
              <w:rPr>
                <w:rFonts w:ascii="Times New Roman" w:hAnsi="Times New Roman" w:eastAsia="宋体" w:cs="Times New Roman"/>
                <w:szCs w:val="21"/>
              </w:rPr>
            </w:pPr>
            <w:r>
              <w:rPr>
                <w:rFonts w:hint="eastAsia" w:ascii="宋体" w:hAnsi="宋体" w:eastAsia="宋体" w:cs="Times New Roman"/>
                <w:szCs w:val="21"/>
              </w:rPr>
              <w:t>课内实践</w:t>
            </w:r>
          </w:p>
        </w:tc>
        <w:tc>
          <w:tcPr>
            <w:tcW w:w="6745" w:type="dxa"/>
            <w:vAlign w:val="center"/>
          </w:tcPr>
          <w:p w14:paraId="600DBDCE">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1.微格教学的教学设计（60%）：</w:t>
            </w:r>
          </w:p>
          <w:p w14:paraId="0A377070">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目标明确性与内容适切性（20%）：教学目标具体明确，内容与学生实际水平和学习需求相匹配。</w:t>
            </w:r>
          </w:p>
          <w:p w14:paraId="0BE1420C">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设计创新性与教学策略（20%）：教学方法新颖，策略运用得当，能有效促进学生学习。</w:t>
            </w:r>
          </w:p>
          <w:p w14:paraId="5BAF732A">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评估与反馈机制（20%）：包含有效的评估工具和反馈方法，以促进学生学习进步。</w:t>
            </w:r>
          </w:p>
          <w:p w14:paraId="74E203EC">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2.表现力（40%）：</w:t>
            </w:r>
          </w:p>
          <w:p w14:paraId="1DBD63A1">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语言表达清晰度（15%）：语言准确，表达流畅，发音清晰，语速适中。</w:t>
            </w:r>
          </w:p>
          <w:p w14:paraId="05A3EABD">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教学互动与课堂管理（15%）：互动自然，能够有效引导学生参与，课堂管理得当。</w:t>
            </w:r>
          </w:p>
          <w:p w14:paraId="7C710091">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非语言沟通与教态（10%）：肢体语言得体，教态自然，能够吸引和维持学生注意力。</w:t>
            </w:r>
          </w:p>
          <w:p w14:paraId="162FA574">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评分细则：</w:t>
            </w:r>
          </w:p>
          <w:p w14:paraId="3CEB0079">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教学设计的评分基于教案的完整性、创新性以及教学策略的适应性和有效性。</w:t>
            </w:r>
          </w:p>
          <w:p w14:paraId="1E7DF7AD">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表现力的评分基于教师在模拟教学过程中的语言表达、互动能力、课堂管理和非语言沟通技巧。</w:t>
            </w:r>
          </w:p>
        </w:tc>
        <w:tc>
          <w:tcPr>
            <w:tcW w:w="0" w:type="auto"/>
            <w:vAlign w:val="center"/>
          </w:tcPr>
          <w:p w14:paraId="619379E4">
            <w:pPr>
              <w:jc w:val="center"/>
              <w:rPr>
                <w:rFonts w:ascii="Times New Roman" w:hAnsi="Times New Roman" w:eastAsia="宋体" w:cs="Times New Roman"/>
                <w:szCs w:val="21"/>
              </w:rPr>
            </w:pPr>
          </w:p>
        </w:tc>
      </w:tr>
      <w:tr w14:paraId="7413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087" w:type="dxa"/>
            <w:vAlign w:val="center"/>
          </w:tcPr>
          <w:p w14:paraId="3F194B6F">
            <w:pPr>
              <w:rPr>
                <w:rFonts w:ascii="Times New Roman" w:hAnsi="Times New Roman" w:eastAsia="宋体" w:cs="Times New Roman"/>
                <w:szCs w:val="21"/>
              </w:rPr>
            </w:pPr>
            <w:r>
              <w:rPr>
                <w:rFonts w:hint="eastAsia" w:ascii="宋体" w:hAnsi="宋体" w:eastAsia="宋体" w:cs="Times New Roman"/>
                <w:szCs w:val="21"/>
              </w:rPr>
              <w:t>期末考试</w:t>
            </w:r>
          </w:p>
        </w:tc>
        <w:tc>
          <w:tcPr>
            <w:tcW w:w="6745" w:type="dxa"/>
            <w:vAlign w:val="center"/>
          </w:tcPr>
          <w:p w14:paraId="486FAF06">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期末教学设计考核评分标准：</w:t>
            </w:r>
            <w:r>
              <w:rPr>
                <w:rFonts w:hint="eastAsia" w:ascii="宋体" w:hAnsi="宋体" w:eastAsia="宋体" w:cs="宋体"/>
                <w:kern w:val="0"/>
                <w:szCs w:val="21"/>
                <w:lang w:bidi="ar"/>
              </w:rPr>
              <w:t>中高段</w:t>
            </w:r>
            <w:r>
              <w:rPr>
                <w:rFonts w:ascii="宋体" w:hAnsi="宋体" w:eastAsia="宋体" w:cs="宋体"/>
                <w:kern w:val="0"/>
                <w:szCs w:val="21"/>
                <w:lang w:bidi="ar"/>
              </w:rPr>
              <w:t>阅读单元单篇课文教学设计</w:t>
            </w:r>
          </w:p>
          <w:p w14:paraId="7F9A60E0">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1.</w:t>
            </w:r>
            <w:r>
              <w:rPr>
                <w:rFonts w:ascii="宋体" w:hAnsi="宋体" w:eastAsia="宋体" w:cs="宋体"/>
                <w:kern w:val="0"/>
                <w:szCs w:val="21"/>
                <w:lang w:bidi="ar"/>
              </w:rPr>
              <w:t>教学目标设定（20%）：</w:t>
            </w:r>
          </w:p>
          <w:p w14:paraId="60838090">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目标明确、具体，与五年级学生的认知水平和学习需求相符。</w:t>
            </w:r>
          </w:p>
          <w:p w14:paraId="2FE7F2A6">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目标涵盖</w:t>
            </w:r>
            <w:r>
              <w:rPr>
                <w:rFonts w:hint="eastAsia" w:ascii="宋体" w:hAnsi="宋体" w:eastAsia="宋体" w:cs="宋体"/>
                <w:kern w:val="0"/>
                <w:szCs w:val="21"/>
                <w:lang w:bidi="ar"/>
              </w:rPr>
              <w:t>核心素养</w:t>
            </w:r>
            <w:r>
              <w:rPr>
                <w:rFonts w:ascii="宋体" w:hAnsi="宋体" w:eastAsia="宋体" w:cs="宋体"/>
                <w:kern w:val="0"/>
                <w:szCs w:val="21"/>
                <w:lang w:bidi="ar"/>
              </w:rPr>
              <w:t>多个维度。</w:t>
            </w:r>
          </w:p>
          <w:p w14:paraId="70549814">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2.</w:t>
            </w:r>
            <w:r>
              <w:rPr>
                <w:rFonts w:ascii="宋体" w:hAnsi="宋体" w:eastAsia="宋体" w:cs="宋体"/>
                <w:kern w:val="0"/>
                <w:szCs w:val="21"/>
                <w:lang w:bidi="ar"/>
              </w:rPr>
              <w:t>教学内容分析（20%）：</w:t>
            </w:r>
          </w:p>
          <w:p w14:paraId="785B25EE">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对课文内容的分析深入，能够准确把握文本的核心思想和教育价值。</w:t>
            </w:r>
          </w:p>
          <w:p w14:paraId="5BCB269A">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教学内容安排合理，重点突出，难点得到有效处理。</w:t>
            </w:r>
          </w:p>
          <w:p w14:paraId="1B94C7A0">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3.</w:t>
            </w:r>
            <w:r>
              <w:rPr>
                <w:rFonts w:ascii="宋体" w:hAnsi="宋体" w:eastAsia="宋体" w:cs="宋体"/>
                <w:kern w:val="0"/>
                <w:szCs w:val="21"/>
                <w:lang w:bidi="ar"/>
              </w:rPr>
              <w:t>教学策略与方法（20%）：</w:t>
            </w:r>
          </w:p>
          <w:p w14:paraId="35BB0B42">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采用的教学策略和方法能够有效促进学生的阅读理解和思维发展。</w:t>
            </w:r>
          </w:p>
          <w:p w14:paraId="63ABBD6A">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教学活动设计创新，能够激发学生的阅读兴趣和参与度。</w:t>
            </w:r>
          </w:p>
          <w:p w14:paraId="4E8E6E90">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4.</w:t>
            </w:r>
            <w:r>
              <w:rPr>
                <w:rFonts w:ascii="宋体" w:hAnsi="宋体" w:eastAsia="宋体" w:cs="宋体"/>
                <w:kern w:val="0"/>
                <w:szCs w:val="21"/>
                <w:lang w:bidi="ar"/>
              </w:rPr>
              <w:t>学生参与度与互动性（15%）：</w:t>
            </w:r>
          </w:p>
          <w:p w14:paraId="49346919">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教学设计中包含多种互动环节，鼓励学生积极参与和表达。</w:t>
            </w:r>
          </w:p>
          <w:p w14:paraId="7AB0B54D">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考虑不同学习风格的学生，设计多样化的学习活动。</w:t>
            </w:r>
          </w:p>
          <w:p w14:paraId="68284747">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5.</w:t>
            </w:r>
            <w:r>
              <w:rPr>
                <w:rFonts w:ascii="宋体" w:hAnsi="宋体" w:eastAsia="宋体" w:cs="宋体"/>
                <w:kern w:val="0"/>
                <w:szCs w:val="21"/>
                <w:lang w:bidi="ar"/>
              </w:rPr>
              <w:t>评估与反馈（15%）：</w:t>
            </w:r>
          </w:p>
          <w:p w14:paraId="6C4355D1">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设计包含有效的评估工具和方法，能够全面评价学生的学习成果。</w:t>
            </w:r>
          </w:p>
          <w:p w14:paraId="6E4029C2">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提供明确、及时的反馈，帮助学生理解学习进展和改进方向。</w:t>
            </w:r>
          </w:p>
          <w:p w14:paraId="2E8EFAFA">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6.教材分析与学情分析</w:t>
            </w:r>
            <w:r>
              <w:rPr>
                <w:rFonts w:ascii="宋体" w:hAnsi="宋体" w:eastAsia="宋体" w:cs="宋体"/>
                <w:kern w:val="0"/>
                <w:szCs w:val="21"/>
                <w:lang w:bidi="ar"/>
              </w:rPr>
              <w:t>（10%）：</w:t>
            </w:r>
          </w:p>
          <w:p w14:paraId="3E3F1A45">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立足单元进行整体分析、单篇课文分析结构完整、内容准确</w:t>
            </w:r>
            <w:r>
              <w:rPr>
                <w:rFonts w:ascii="宋体" w:hAnsi="宋体" w:eastAsia="宋体" w:cs="宋体"/>
                <w:kern w:val="0"/>
                <w:szCs w:val="21"/>
                <w:lang w:bidi="ar"/>
              </w:rPr>
              <w:t>。</w:t>
            </w:r>
          </w:p>
          <w:p w14:paraId="15DF8D8E">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依据学生相关知识基础和生活经验等进行准确分析</w:t>
            </w:r>
            <w:r>
              <w:rPr>
                <w:rFonts w:ascii="宋体" w:hAnsi="宋体" w:eastAsia="宋体" w:cs="宋体"/>
                <w:kern w:val="0"/>
                <w:szCs w:val="21"/>
                <w:lang w:bidi="ar"/>
              </w:rPr>
              <w:t>。</w:t>
            </w:r>
          </w:p>
          <w:p w14:paraId="3C4634D0">
            <w:pPr>
              <w:widowControl/>
              <w:spacing w:line="264" w:lineRule="auto"/>
              <w:jc w:val="left"/>
              <w:rPr>
                <w:rFonts w:hint="eastAsia" w:ascii="宋体" w:hAnsi="宋体" w:eastAsia="宋体" w:cs="宋体"/>
                <w:kern w:val="0"/>
                <w:szCs w:val="21"/>
                <w:lang w:bidi="ar"/>
              </w:rPr>
            </w:pPr>
            <w:r>
              <w:rPr>
                <w:rFonts w:ascii="宋体" w:hAnsi="宋体" w:eastAsia="宋体" w:cs="宋体"/>
                <w:kern w:val="0"/>
                <w:szCs w:val="21"/>
                <w:lang w:bidi="ar"/>
              </w:rPr>
              <w:t>教师将根据学生的教学设计文档和可能的教学实践展示，结合上述标准，给出综合评分。</w:t>
            </w:r>
          </w:p>
        </w:tc>
        <w:tc>
          <w:tcPr>
            <w:tcW w:w="0" w:type="auto"/>
            <w:vAlign w:val="center"/>
          </w:tcPr>
          <w:p w14:paraId="6C64DA30">
            <w:pPr>
              <w:jc w:val="center"/>
              <w:rPr>
                <w:rFonts w:ascii="Times New Roman" w:hAnsi="Times New Roman" w:eastAsia="宋体" w:cs="Times New Roman"/>
                <w:szCs w:val="21"/>
              </w:rPr>
            </w:pPr>
          </w:p>
        </w:tc>
      </w:tr>
      <w:tr w14:paraId="25AD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087" w:type="dxa"/>
            <w:vAlign w:val="center"/>
          </w:tcPr>
          <w:p w14:paraId="2663E20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745" w:type="dxa"/>
            <w:vAlign w:val="center"/>
          </w:tcPr>
          <w:p w14:paraId="60E28965">
            <w:pPr>
              <w:jc w:val="left"/>
              <w:rPr>
                <w:rFonts w:ascii="Times New Roman" w:hAnsi="Times New Roman" w:eastAsia="宋体" w:cs="Times New Roman"/>
                <w:szCs w:val="21"/>
              </w:rPr>
            </w:pPr>
          </w:p>
        </w:tc>
        <w:tc>
          <w:tcPr>
            <w:tcW w:w="0" w:type="auto"/>
            <w:vAlign w:val="center"/>
          </w:tcPr>
          <w:p w14:paraId="6DBDCEA4">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064D4B9A">
      <w:pPr>
        <w:spacing w:line="360" w:lineRule="auto"/>
        <w:ind w:firstLine="422" w:firstLineChars="200"/>
        <w:jc w:val="left"/>
        <w:outlineLvl w:val="1"/>
        <w:rPr>
          <w:rFonts w:hint="eastAsia" w:ascii="宋体" w:hAnsi="宋体" w:eastAsia="宋体" w:cs="Times New Roman"/>
          <w:b/>
          <w:szCs w:val="21"/>
        </w:rPr>
      </w:pPr>
      <w:bookmarkStart w:id="1908" w:name="_Toc18362"/>
      <w:r>
        <w:rPr>
          <w:rFonts w:hint="eastAsia" w:ascii="宋体" w:hAnsi="宋体" w:eastAsia="宋体" w:cs="Times New Roman"/>
          <w:b/>
          <w:szCs w:val="21"/>
        </w:rPr>
        <w:t>（三）课程目标达成度计算方法</w:t>
      </w:r>
      <w:bookmarkEnd w:id="1908"/>
    </w:p>
    <w:p w14:paraId="5E59F69C">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3C56AA32">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80"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80" DrawAspect="Content" ObjectID="_1468075780" r:id="rId68">
            <o:LockedField>false</o:LockedField>
          </o:OLEObject>
        </w:object>
      </w:r>
      <w:r>
        <w:rPr>
          <w:rFonts w:hint="eastAsia" w:ascii="Times New Roman" w:hAnsi="Times New Roman" w:eastAsia="宋体" w:cs="Times New Roman"/>
          <w:b/>
          <w:sz w:val="24"/>
        </w:rPr>
        <w:t>五、课程实践</w:t>
      </w:r>
    </w:p>
    <w:p w14:paraId="63CC0CBD">
      <w:pPr>
        <w:spacing w:after="156" w:afterLines="50"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本课程在系统教学的基础上，以学生为主题，整合各类教育资源，科学设计实践活动，丰富教育教学形式，提升教育教学效果，从而实现思政育人。</w:t>
      </w:r>
    </w:p>
    <w:p w14:paraId="2611A0ED">
      <w:pPr>
        <w:spacing w:line="276" w:lineRule="auto"/>
        <w:ind w:firstLine="422" w:firstLineChars="200"/>
        <w:jc w:val="center"/>
        <w:outlineLvl w:val="1"/>
        <w:rPr>
          <w:rFonts w:hint="eastAsia" w:ascii="宋体" w:hAnsi="宋体" w:eastAsia="宋体" w:cs="宋体"/>
          <w:b/>
          <w:bCs/>
          <w:szCs w:val="21"/>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3629"/>
        <w:gridCol w:w="1142"/>
        <w:gridCol w:w="2536"/>
      </w:tblGrid>
      <w:tr w14:paraId="7514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212" w:type="dxa"/>
            <w:vAlign w:val="center"/>
          </w:tcPr>
          <w:p w14:paraId="0D577E04">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活动主题</w:t>
            </w:r>
          </w:p>
        </w:tc>
        <w:tc>
          <w:tcPr>
            <w:tcW w:w="3629" w:type="dxa"/>
            <w:vAlign w:val="center"/>
          </w:tcPr>
          <w:p w14:paraId="708A11BA">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活动内容</w:t>
            </w:r>
          </w:p>
        </w:tc>
        <w:tc>
          <w:tcPr>
            <w:tcW w:w="1142" w:type="dxa"/>
            <w:vAlign w:val="center"/>
          </w:tcPr>
          <w:p w14:paraId="7BD70833">
            <w:pPr>
              <w:spacing w:line="240" w:lineRule="exact"/>
              <w:jc w:val="center"/>
              <w:rPr>
                <w:rFonts w:hint="eastAsia" w:ascii="宋体" w:hAnsi="宋体" w:eastAsia="宋体" w:cs="宋体"/>
                <w:b/>
                <w:bCs/>
                <w:szCs w:val="21"/>
              </w:rPr>
            </w:pPr>
            <w:r>
              <w:rPr>
                <w:rFonts w:hint="eastAsia" w:ascii="宋体" w:hAnsi="宋体" w:eastAsia="宋体" w:cs="宋体"/>
                <w:b/>
                <w:bCs/>
                <w:szCs w:val="21"/>
              </w:rPr>
              <w:t>活动方式</w:t>
            </w:r>
          </w:p>
        </w:tc>
        <w:tc>
          <w:tcPr>
            <w:tcW w:w="2536" w:type="dxa"/>
            <w:vAlign w:val="center"/>
          </w:tcPr>
          <w:p w14:paraId="036281A5">
            <w:pPr>
              <w:spacing w:line="240" w:lineRule="exact"/>
              <w:jc w:val="center"/>
              <w:rPr>
                <w:rFonts w:hint="eastAsia" w:ascii="宋体" w:hAnsi="宋体" w:eastAsia="宋体" w:cs="宋体"/>
                <w:b/>
                <w:bCs/>
                <w:szCs w:val="21"/>
              </w:rPr>
            </w:pPr>
            <w:r>
              <w:rPr>
                <w:rFonts w:hint="eastAsia" w:ascii="宋体" w:hAnsi="宋体" w:eastAsia="宋体" w:cs="宋体"/>
                <w:b/>
                <w:bCs/>
                <w:szCs w:val="21"/>
              </w:rPr>
              <w:t>思政目标</w:t>
            </w:r>
          </w:p>
        </w:tc>
      </w:tr>
      <w:tr w14:paraId="7E39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212" w:type="dxa"/>
            <w:vAlign w:val="center"/>
          </w:tcPr>
          <w:p w14:paraId="25EDC2C1">
            <w:pPr>
              <w:spacing w:line="276" w:lineRule="auto"/>
              <w:jc w:val="center"/>
              <w:rPr>
                <w:rFonts w:hint="eastAsia" w:ascii="宋体" w:hAnsi="宋体" w:eastAsia="宋体" w:cs="宋体"/>
                <w:szCs w:val="21"/>
              </w:rPr>
            </w:pPr>
            <w:r>
              <w:rPr>
                <w:rFonts w:hint="eastAsia" w:ascii="宋体" w:hAnsi="宋体" w:eastAsia="宋体" w:cs="宋体"/>
                <w:kern w:val="0"/>
                <w:szCs w:val="21"/>
              </w:rPr>
              <w:t>单元统整教学设计</w:t>
            </w:r>
          </w:p>
        </w:tc>
        <w:tc>
          <w:tcPr>
            <w:tcW w:w="3629" w:type="dxa"/>
            <w:vAlign w:val="center"/>
          </w:tcPr>
          <w:p w14:paraId="2D551F49">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hint="eastAsia" w:ascii="宋体" w:hAnsi="宋体" w:eastAsia="宋体" w:cs="Times New Roman"/>
                <w:szCs w:val="21"/>
              </w:rPr>
              <w:t>以三上第一单元为例，进行单元统整教学设计</w:t>
            </w:r>
          </w:p>
          <w:p w14:paraId="359DFDB3">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Times New Roman"/>
                <w:szCs w:val="21"/>
              </w:rPr>
              <w:t>小组汇报：以说课形式汇报；基本内容：单元教材分析、学情分析、单元目标、情境任务设计，单篇课文教学设计。</w:t>
            </w:r>
          </w:p>
        </w:tc>
        <w:tc>
          <w:tcPr>
            <w:tcW w:w="1142" w:type="dxa"/>
            <w:vAlign w:val="center"/>
          </w:tcPr>
          <w:p w14:paraId="091A8F20">
            <w:pPr>
              <w:spacing w:line="276" w:lineRule="auto"/>
              <w:jc w:val="center"/>
              <w:rPr>
                <w:rFonts w:hint="eastAsia" w:ascii="宋体" w:hAnsi="宋体" w:eastAsia="宋体" w:cs="宋体"/>
                <w:szCs w:val="21"/>
              </w:rPr>
            </w:pPr>
            <w:r>
              <w:rPr>
                <w:rFonts w:hint="eastAsia" w:ascii="宋体" w:hAnsi="宋体" w:eastAsia="宋体" w:cs="宋体"/>
                <w:szCs w:val="21"/>
              </w:rPr>
              <w:t>小组备课</w:t>
            </w:r>
          </w:p>
        </w:tc>
        <w:tc>
          <w:tcPr>
            <w:tcW w:w="2536" w:type="dxa"/>
            <w:vAlign w:val="center"/>
          </w:tcPr>
          <w:p w14:paraId="5AF182F5">
            <w:pPr>
              <w:spacing w:line="276" w:lineRule="auto"/>
              <w:jc w:val="left"/>
              <w:rPr>
                <w:rFonts w:hint="eastAsia" w:ascii="宋体" w:hAnsi="宋体" w:eastAsia="宋体" w:cs="宋体"/>
                <w:szCs w:val="21"/>
              </w:rPr>
            </w:pPr>
            <w:r>
              <w:rPr>
                <w:rFonts w:hint="eastAsia" w:ascii="宋体" w:hAnsi="宋体" w:eastAsia="宋体" w:cs="宋体"/>
                <w:szCs w:val="21"/>
              </w:rPr>
              <w:t>学会在单元统整教学设计中融入社会主义核心价值观，通过备课和汇报展示其设计体现小学语文普通阅读单元教学目标的教学活动的能力。练习如何在教学中传递正能量，以立德树人。</w:t>
            </w:r>
          </w:p>
        </w:tc>
      </w:tr>
      <w:tr w14:paraId="0EFD3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0DED66B1">
            <w:pPr>
              <w:spacing w:line="276" w:lineRule="auto"/>
              <w:jc w:val="center"/>
              <w:rPr>
                <w:rFonts w:hint="eastAsia" w:ascii="宋体" w:hAnsi="宋体" w:eastAsia="宋体" w:cs="宋体"/>
                <w:kern w:val="0"/>
                <w:szCs w:val="21"/>
              </w:rPr>
            </w:pPr>
            <w:r>
              <w:rPr>
                <w:rFonts w:hint="eastAsia" w:ascii="宋体" w:hAnsi="宋体" w:eastAsia="宋体" w:cs="宋体"/>
                <w:kern w:val="0"/>
                <w:szCs w:val="21"/>
              </w:rPr>
              <w:t>识字、写字教学设计与案例分析</w:t>
            </w:r>
          </w:p>
        </w:tc>
        <w:tc>
          <w:tcPr>
            <w:tcW w:w="3629" w:type="dxa"/>
            <w:vAlign w:val="center"/>
          </w:tcPr>
          <w:p w14:paraId="678943E1">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ascii="宋体" w:hAnsi="宋体" w:eastAsia="宋体" w:cs="Times New Roman"/>
                <w:szCs w:val="21"/>
              </w:rPr>
              <w:t>观摩</w:t>
            </w:r>
            <w:r>
              <w:rPr>
                <w:rFonts w:hint="eastAsia" w:ascii="宋体" w:hAnsi="宋体" w:eastAsia="宋体" w:cs="Times New Roman"/>
                <w:szCs w:val="21"/>
              </w:rPr>
              <w:t>名师课例。选择一二年级课文，小组备课，</w:t>
            </w:r>
          </w:p>
          <w:p w14:paraId="17FDF5B1">
            <w:pPr>
              <w:spacing w:line="276" w:lineRule="auto"/>
              <w:jc w:val="left"/>
              <w:rPr>
                <w:rFonts w:hint="eastAsia" w:ascii="宋体" w:hAnsi="宋体" w:eastAsia="宋体" w:cs="Times New Roman"/>
                <w:b/>
                <w:bCs/>
                <w:szCs w:val="21"/>
              </w:rPr>
            </w:pPr>
            <w:r>
              <w:rPr>
                <w:rFonts w:hint="eastAsia" w:ascii="宋体" w:hAnsi="宋体" w:eastAsia="宋体" w:cs="Times New Roman"/>
                <w:b/>
                <w:bCs/>
                <w:szCs w:val="21"/>
              </w:rPr>
              <w:t>实践要求：</w:t>
            </w:r>
            <w:r>
              <w:rPr>
                <w:rFonts w:hint="eastAsia" w:ascii="宋体" w:hAnsi="宋体" w:eastAsia="宋体" w:cs="Times New Roman"/>
                <w:bCs/>
                <w:szCs w:val="21"/>
              </w:rPr>
              <w:t>每人</w:t>
            </w:r>
            <w:r>
              <w:rPr>
                <w:rFonts w:hint="eastAsia" w:ascii="宋体" w:hAnsi="宋体" w:eastAsia="宋体" w:cs="Times New Roman"/>
                <w:szCs w:val="21"/>
              </w:rPr>
              <w:t>提交一节试讲视频，教学</w:t>
            </w:r>
            <w:r>
              <w:rPr>
                <w:rFonts w:hint="eastAsia" w:ascii="宋体" w:hAnsi="宋体" w:eastAsia="宋体" w:cs="宋体"/>
                <w:kern w:val="0"/>
                <w:szCs w:val="21"/>
              </w:rPr>
              <w:t>设计方案</w:t>
            </w:r>
            <w:r>
              <w:rPr>
                <w:rFonts w:ascii="宋体" w:hAnsi="宋体" w:eastAsia="宋体" w:cs="宋体"/>
                <w:kern w:val="0"/>
                <w:szCs w:val="21"/>
              </w:rPr>
              <w:t>。</w:t>
            </w:r>
          </w:p>
        </w:tc>
        <w:tc>
          <w:tcPr>
            <w:tcW w:w="1142" w:type="dxa"/>
            <w:vAlign w:val="center"/>
          </w:tcPr>
          <w:p w14:paraId="04C750CF">
            <w:pPr>
              <w:spacing w:line="276" w:lineRule="auto"/>
              <w:jc w:val="center"/>
              <w:rPr>
                <w:rFonts w:hint="eastAsia" w:ascii="宋体" w:hAnsi="宋体" w:eastAsia="宋体" w:cs="宋体"/>
                <w:szCs w:val="21"/>
              </w:rPr>
            </w:pPr>
            <w:r>
              <w:rPr>
                <w:rFonts w:hint="eastAsia" w:ascii="宋体" w:hAnsi="宋体" w:eastAsia="宋体" w:cs="宋体"/>
                <w:szCs w:val="21"/>
              </w:rPr>
              <w:t>小组备课</w:t>
            </w:r>
          </w:p>
        </w:tc>
        <w:tc>
          <w:tcPr>
            <w:tcW w:w="2536" w:type="dxa"/>
            <w:vAlign w:val="center"/>
          </w:tcPr>
          <w:p w14:paraId="6D73CFF1">
            <w:pPr>
              <w:spacing w:line="276" w:lineRule="auto"/>
              <w:jc w:val="left"/>
              <w:rPr>
                <w:rFonts w:hint="eastAsia" w:ascii="宋体" w:hAnsi="宋体" w:eastAsia="宋体" w:cs="宋体"/>
                <w:szCs w:val="21"/>
              </w:rPr>
            </w:pPr>
            <w:r>
              <w:rPr>
                <w:rFonts w:hint="eastAsia" w:ascii="宋体" w:hAnsi="宋体" w:eastAsia="宋体" w:cs="宋体"/>
                <w:szCs w:val="21"/>
              </w:rPr>
              <w:t>学习将文化自信融入识字写字教学中，同时培养自己的教育家精神。</w:t>
            </w:r>
          </w:p>
        </w:tc>
      </w:tr>
      <w:tr w14:paraId="629D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212" w:type="dxa"/>
            <w:vAlign w:val="center"/>
          </w:tcPr>
          <w:p w14:paraId="23A5F52D">
            <w:pPr>
              <w:spacing w:line="276" w:lineRule="auto"/>
              <w:jc w:val="center"/>
              <w:rPr>
                <w:rFonts w:hint="eastAsia" w:ascii="宋体" w:hAnsi="宋体" w:eastAsia="宋体" w:cs="宋体"/>
                <w:szCs w:val="21"/>
              </w:rPr>
            </w:pPr>
            <w:r>
              <w:rPr>
                <w:rFonts w:hint="eastAsia" w:ascii="宋体" w:hAnsi="宋体" w:eastAsia="宋体" w:cs="宋体"/>
                <w:kern w:val="0"/>
                <w:szCs w:val="21"/>
              </w:rPr>
              <w:t>阅读教学设计与案例分析</w:t>
            </w:r>
          </w:p>
        </w:tc>
        <w:tc>
          <w:tcPr>
            <w:tcW w:w="3629" w:type="dxa"/>
            <w:vAlign w:val="center"/>
          </w:tcPr>
          <w:p w14:paraId="30BB9285">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ascii="宋体" w:hAnsi="宋体" w:eastAsia="宋体" w:cs="Times New Roman"/>
                <w:szCs w:val="21"/>
              </w:rPr>
              <w:t>观摩</w:t>
            </w:r>
            <w:r>
              <w:rPr>
                <w:rFonts w:hint="eastAsia" w:ascii="宋体" w:hAnsi="宋体" w:eastAsia="宋体" w:cs="Times New Roman"/>
                <w:szCs w:val="21"/>
              </w:rPr>
              <w:t>名师阅读课。小组备课，普通阅读单元、阅读策略单元、习作单元，每人设计一节阅读课教案，在微格教室</w:t>
            </w:r>
            <w:r>
              <w:rPr>
                <w:rFonts w:ascii="宋体" w:hAnsi="宋体" w:eastAsia="宋体" w:cs="Times New Roman"/>
                <w:szCs w:val="21"/>
              </w:rPr>
              <w:t>完成试讲后评课</w:t>
            </w:r>
            <w:r>
              <w:rPr>
                <w:rFonts w:hint="eastAsia" w:ascii="宋体" w:hAnsi="宋体" w:eastAsia="宋体" w:cs="Times New Roman"/>
                <w:szCs w:val="21"/>
              </w:rPr>
              <w:t>。</w:t>
            </w:r>
          </w:p>
          <w:p w14:paraId="26F0C39F">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Times New Roman"/>
                <w:bCs/>
                <w:szCs w:val="21"/>
              </w:rPr>
              <w:t>每人</w:t>
            </w:r>
            <w:r>
              <w:rPr>
                <w:rFonts w:hint="eastAsia" w:ascii="宋体" w:hAnsi="宋体" w:eastAsia="宋体" w:cs="Times New Roman"/>
                <w:szCs w:val="21"/>
              </w:rPr>
              <w:t>提交一节试讲</w:t>
            </w:r>
            <w:r>
              <w:rPr>
                <w:rFonts w:ascii="宋体" w:hAnsi="宋体" w:eastAsia="宋体" w:cs="Times New Roman"/>
                <w:szCs w:val="21"/>
              </w:rPr>
              <w:t>教学</w:t>
            </w:r>
            <w:r>
              <w:rPr>
                <w:rFonts w:hint="eastAsia" w:ascii="宋体" w:hAnsi="宋体" w:eastAsia="宋体" w:cs="Times New Roman"/>
                <w:szCs w:val="21"/>
              </w:rPr>
              <w:t>视频，阅读教学</w:t>
            </w:r>
            <w:r>
              <w:rPr>
                <w:rFonts w:hint="eastAsia" w:ascii="宋体" w:hAnsi="宋体" w:eastAsia="宋体" w:cs="宋体"/>
                <w:kern w:val="0"/>
                <w:szCs w:val="21"/>
              </w:rPr>
              <w:t>设计方案</w:t>
            </w:r>
            <w:r>
              <w:rPr>
                <w:rFonts w:ascii="宋体" w:hAnsi="宋体" w:eastAsia="宋体" w:cs="宋体"/>
                <w:kern w:val="0"/>
                <w:szCs w:val="21"/>
              </w:rPr>
              <w:t>。</w:t>
            </w:r>
          </w:p>
        </w:tc>
        <w:tc>
          <w:tcPr>
            <w:tcW w:w="1142" w:type="dxa"/>
            <w:vAlign w:val="center"/>
          </w:tcPr>
          <w:p w14:paraId="7D8D734A">
            <w:pPr>
              <w:spacing w:line="276" w:lineRule="auto"/>
              <w:jc w:val="center"/>
              <w:rPr>
                <w:rFonts w:hint="eastAsia" w:ascii="宋体" w:hAnsi="宋体" w:eastAsia="宋体" w:cs="宋体"/>
                <w:szCs w:val="21"/>
              </w:rPr>
            </w:pPr>
            <w:r>
              <w:rPr>
                <w:rFonts w:hint="eastAsia" w:ascii="宋体" w:hAnsi="宋体" w:eastAsia="宋体" w:cs="宋体"/>
                <w:szCs w:val="21"/>
              </w:rPr>
              <w:t>小组备课</w:t>
            </w:r>
          </w:p>
          <w:p w14:paraId="368CD77E">
            <w:pPr>
              <w:spacing w:line="276" w:lineRule="auto"/>
              <w:jc w:val="center"/>
              <w:rPr>
                <w:rFonts w:hint="eastAsia" w:ascii="宋体" w:hAnsi="宋体" w:eastAsia="宋体" w:cs="宋体"/>
                <w:szCs w:val="21"/>
              </w:rPr>
            </w:pPr>
            <w:r>
              <w:rPr>
                <w:rFonts w:hint="eastAsia" w:ascii="宋体" w:hAnsi="宋体" w:eastAsia="宋体" w:cs="宋体"/>
                <w:szCs w:val="21"/>
              </w:rPr>
              <w:t>微格教学</w:t>
            </w:r>
          </w:p>
        </w:tc>
        <w:tc>
          <w:tcPr>
            <w:tcW w:w="2536" w:type="dxa"/>
            <w:vAlign w:val="center"/>
          </w:tcPr>
          <w:p w14:paraId="5433CF1E">
            <w:pPr>
              <w:spacing w:line="276" w:lineRule="auto"/>
              <w:jc w:val="left"/>
              <w:rPr>
                <w:rFonts w:hint="eastAsia" w:ascii="宋体" w:hAnsi="宋体" w:eastAsia="宋体" w:cs="宋体"/>
                <w:szCs w:val="21"/>
              </w:rPr>
            </w:pPr>
            <w:r>
              <w:rPr>
                <w:rFonts w:hint="eastAsia" w:ascii="宋体" w:hAnsi="宋体" w:eastAsia="宋体" w:cs="宋体"/>
                <w:szCs w:val="21"/>
              </w:rPr>
              <w:t>学习有效地将思政元素融入语文课堂。练习设计和实施能够提升小学生文化自信的教学活动，同时培养自己的教育家精神。</w:t>
            </w:r>
          </w:p>
        </w:tc>
      </w:tr>
      <w:tr w14:paraId="5114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12" w:type="dxa"/>
            <w:vAlign w:val="center"/>
          </w:tcPr>
          <w:p w14:paraId="549B9A13">
            <w:pPr>
              <w:spacing w:line="276" w:lineRule="auto"/>
              <w:jc w:val="center"/>
              <w:rPr>
                <w:rFonts w:hint="eastAsia" w:ascii="宋体" w:hAnsi="宋体" w:eastAsia="宋体" w:cs="宋体"/>
                <w:szCs w:val="21"/>
              </w:rPr>
            </w:pPr>
            <w:r>
              <w:rPr>
                <w:rFonts w:hint="eastAsia" w:ascii="宋体" w:hAnsi="宋体" w:eastAsia="宋体" w:cs="宋体"/>
                <w:kern w:val="0"/>
                <w:szCs w:val="21"/>
              </w:rPr>
              <w:t>写话和习作教学设计与案例分析</w:t>
            </w:r>
          </w:p>
        </w:tc>
        <w:tc>
          <w:tcPr>
            <w:tcW w:w="3629" w:type="dxa"/>
            <w:vAlign w:val="center"/>
          </w:tcPr>
          <w:p w14:paraId="7072C063">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ascii="宋体" w:hAnsi="宋体" w:eastAsia="宋体" w:cs="Times New Roman"/>
                <w:szCs w:val="21"/>
              </w:rPr>
              <w:t>观摩</w:t>
            </w:r>
            <w:r>
              <w:rPr>
                <w:rFonts w:hint="eastAsia" w:ascii="宋体" w:hAnsi="宋体" w:eastAsia="宋体" w:cs="Times New Roman"/>
                <w:szCs w:val="21"/>
              </w:rPr>
              <w:t>习作教学。</w:t>
            </w:r>
            <w:r>
              <w:rPr>
                <w:rFonts w:ascii="宋体" w:hAnsi="宋体" w:eastAsia="宋体" w:cs="Times New Roman"/>
                <w:szCs w:val="21"/>
              </w:rPr>
              <w:t>小组</w:t>
            </w:r>
            <w:r>
              <w:rPr>
                <w:rFonts w:hint="eastAsia" w:ascii="宋体" w:hAnsi="宋体" w:eastAsia="宋体" w:cs="Times New Roman"/>
                <w:szCs w:val="21"/>
              </w:rPr>
              <w:t>合作完成</w:t>
            </w:r>
            <w:r>
              <w:rPr>
                <w:rFonts w:ascii="宋体" w:hAnsi="宋体" w:eastAsia="宋体" w:cs="Times New Roman"/>
                <w:szCs w:val="21"/>
              </w:rPr>
              <w:t>习作教学</w:t>
            </w:r>
            <w:r>
              <w:rPr>
                <w:rFonts w:hint="eastAsia" w:ascii="宋体" w:hAnsi="宋体" w:eastAsia="宋体" w:cs="Times New Roman"/>
                <w:szCs w:val="21"/>
              </w:rPr>
              <w:t>设计。</w:t>
            </w:r>
          </w:p>
          <w:p w14:paraId="7D4B8EF8">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Times New Roman"/>
                <w:bCs/>
                <w:szCs w:val="21"/>
              </w:rPr>
              <w:t>小组</w:t>
            </w:r>
            <w:r>
              <w:rPr>
                <w:rFonts w:hint="eastAsia" w:ascii="宋体" w:hAnsi="宋体" w:eastAsia="宋体" w:cs="Times New Roman"/>
                <w:szCs w:val="21"/>
              </w:rPr>
              <w:t>提交教学设计方案</w:t>
            </w:r>
            <w:r>
              <w:rPr>
                <w:rFonts w:ascii="宋体" w:hAnsi="宋体" w:eastAsia="宋体" w:cs="宋体"/>
                <w:kern w:val="0"/>
                <w:szCs w:val="21"/>
              </w:rPr>
              <w:t>。</w:t>
            </w:r>
          </w:p>
        </w:tc>
        <w:tc>
          <w:tcPr>
            <w:tcW w:w="1142" w:type="dxa"/>
            <w:vAlign w:val="center"/>
          </w:tcPr>
          <w:p w14:paraId="56B8CDC8">
            <w:pPr>
              <w:spacing w:line="276" w:lineRule="auto"/>
              <w:jc w:val="center"/>
              <w:rPr>
                <w:rFonts w:hint="eastAsia" w:ascii="宋体" w:hAnsi="宋体" w:eastAsia="宋体" w:cs="宋体"/>
                <w:szCs w:val="21"/>
              </w:rPr>
            </w:pPr>
            <w:r>
              <w:rPr>
                <w:rFonts w:hint="eastAsia" w:ascii="宋体" w:hAnsi="宋体" w:eastAsia="宋体" w:cs="宋体"/>
                <w:szCs w:val="21"/>
              </w:rPr>
              <w:t>小组备课</w:t>
            </w:r>
          </w:p>
        </w:tc>
        <w:tc>
          <w:tcPr>
            <w:tcW w:w="2536" w:type="dxa"/>
            <w:vAlign w:val="center"/>
          </w:tcPr>
          <w:p w14:paraId="0ABB5E15">
            <w:pPr>
              <w:spacing w:line="276" w:lineRule="auto"/>
              <w:jc w:val="left"/>
              <w:rPr>
                <w:rFonts w:hint="eastAsia" w:ascii="宋体" w:hAnsi="宋体" w:eastAsia="宋体" w:cs="宋体"/>
                <w:szCs w:val="21"/>
              </w:rPr>
            </w:pPr>
            <w:r>
              <w:rPr>
                <w:rFonts w:hint="eastAsia" w:ascii="宋体" w:hAnsi="宋体" w:eastAsia="宋体" w:cs="宋体"/>
                <w:szCs w:val="21"/>
              </w:rPr>
              <w:t>学会在写话与习作教学中融入思政元素。练习引导小学生通过写作表达正面价值观，培养社会责任感。</w:t>
            </w:r>
          </w:p>
        </w:tc>
      </w:tr>
      <w:tr w14:paraId="5549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12" w:type="dxa"/>
            <w:vAlign w:val="center"/>
          </w:tcPr>
          <w:p w14:paraId="2C972B7A">
            <w:pPr>
              <w:spacing w:line="276" w:lineRule="auto"/>
              <w:jc w:val="left"/>
              <w:rPr>
                <w:rFonts w:hint="eastAsia" w:ascii="宋体" w:hAnsi="宋体" w:eastAsia="宋体" w:cs="宋体"/>
                <w:szCs w:val="21"/>
              </w:rPr>
            </w:pPr>
            <w:r>
              <w:rPr>
                <w:rFonts w:hint="eastAsia" w:ascii="宋体" w:hAnsi="宋体" w:eastAsia="宋体" w:cs="宋体"/>
                <w:kern w:val="0"/>
                <w:szCs w:val="21"/>
              </w:rPr>
              <w:t>口语交际教学设计与案例分析（选做）</w:t>
            </w:r>
          </w:p>
        </w:tc>
        <w:tc>
          <w:tcPr>
            <w:tcW w:w="3629" w:type="dxa"/>
            <w:vAlign w:val="center"/>
          </w:tcPr>
          <w:p w14:paraId="3E6B9F5E">
            <w:pPr>
              <w:adjustRightInd w:val="0"/>
              <w:snapToGrid w:val="0"/>
              <w:spacing w:line="276" w:lineRule="auto"/>
              <w:rPr>
                <w:rFonts w:hint="eastAsia" w:ascii="宋体" w:hAnsi="宋体" w:eastAsia="宋体" w:cs="Times New Roman"/>
                <w:szCs w:val="21"/>
              </w:rPr>
            </w:pPr>
            <w:r>
              <w:rPr>
                <w:rFonts w:hint="eastAsia" w:ascii="宋体" w:hAnsi="宋体" w:eastAsia="宋体" w:cs="Times New Roman"/>
                <w:b/>
                <w:bCs/>
                <w:szCs w:val="21"/>
              </w:rPr>
              <w:t>实践</w:t>
            </w:r>
            <w:r>
              <w:rPr>
                <w:rFonts w:ascii="宋体" w:hAnsi="宋体" w:eastAsia="宋体" w:cs="Times New Roman"/>
                <w:b/>
                <w:bCs/>
                <w:szCs w:val="21"/>
              </w:rPr>
              <w:t>内容</w:t>
            </w:r>
            <w:r>
              <w:rPr>
                <w:rFonts w:hint="eastAsia" w:ascii="宋体" w:hAnsi="宋体" w:eastAsia="宋体" w:cs="Times New Roman"/>
                <w:b/>
                <w:bCs/>
                <w:szCs w:val="21"/>
              </w:rPr>
              <w:t>：</w:t>
            </w:r>
            <w:r>
              <w:rPr>
                <w:rFonts w:ascii="宋体" w:hAnsi="宋体" w:eastAsia="宋体" w:cs="Times New Roman"/>
                <w:szCs w:val="21"/>
              </w:rPr>
              <w:t>观摩</w:t>
            </w:r>
            <w:r>
              <w:rPr>
                <w:rFonts w:hint="eastAsia" w:ascii="宋体" w:hAnsi="宋体" w:eastAsia="宋体" w:cs="Times New Roman"/>
                <w:szCs w:val="21"/>
              </w:rPr>
              <w:t>口语交际教学。</w:t>
            </w:r>
            <w:r>
              <w:rPr>
                <w:rFonts w:ascii="宋体" w:hAnsi="宋体" w:eastAsia="宋体" w:cs="Times New Roman"/>
                <w:szCs w:val="21"/>
              </w:rPr>
              <w:t>小组</w:t>
            </w:r>
            <w:r>
              <w:rPr>
                <w:rFonts w:hint="eastAsia" w:ascii="宋体" w:hAnsi="宋体" w:eastAsia="宋体" w:cs="Times New Roman"/>
                <w:szCs w:val="21"/>
              </w:rPr>
              <w:t>合作完成</w:t>
            </w:r>
            <w:r>
              <w:rPr>
                <w:rFonts w:ascii="宋体" w:hAnsi="宋体" w:eastAsia="宋体" w:cs="Times New Roman"/>
                <w:szCs w:val="21"/>
              </w:rPr>
              <w:t>教学</w:t>
            </w:r>
            <w:r>
              <w:rPr>
                <w:rFonts w:hint="eastAsia" w:ascii="宋体" w:hAnsi="宋体" w:eastAsia="宋体" w:cs="Times New Roman"/>
                <w:szCs w:val="21"/>
              </w:rPr>
              <w:t>设计。</w:t>
            </w:r>
          </w:p>
          <w:p w14:paraId="41CDADE4">
            <w:pPr>
              <w:spacing w:line="276" w:lineRule="auto"/>
              <w:jc w:val="left"/>
              <w:rPr>
                <w:rFonts w:hint="eastAsia" w:ascii="宋体" w:hAnsi="宋体" w:eastAsia="宋体" w:cs="宋体"/>
                <w:szCs w:val="21"/>
              </w:rPr>
            </w:pPr>
            <w:r>
              <w:rPr>
                <w:rFonts w:hint="eastAsia" w:ascii="宋体" w:hAnsi="宋体" w:eastAsia="宋体" w:cs="Times New Roman"/>
                <w:b/>
                <w:bCs/>
                <w:szCs w:val="21"/>
              </w:rPr>
              <w:t>实践要求：</w:t>
            </w:r>
            <w:r>
              <w:rPr>
                <w:rFonts w:hint="eastAsia" w:ascii="宋体" w:hAnsi="宋体" w:eastAsia="宋体" w:cs="Times New Roman"/>
                <w:bCs/>
                <w:szCs w:val="21"/>
              </w:rPr>
              <w:t>小组</w:t>
            </w:r>
            <w:r>
              <w:rPr>
                <w:rFonts w:hint="eastAsia" w:ascii="宋体" w:hAnsi="宋体" w:eastAsia="宋体" w:cs="Times New Roman"/>
                <w:szCs w:val="21"/>
              </w:rPr>
              <w:t>提交教学设计方案</w:t>
            </w:r>
            <w:r>
              <w:rPr>
                <w:rFonts w:ascii="宋体" w:hAnsi="宋体" w:eastAsia="宋体" w:cs="宋体"/>
                <w:kern w:val="0"/>
                <w:szCs w:val="21"/>
              </w:rPr>
              <w:t>。</w:t>
            </w:r>
          </w:p>
        </w:tc>
        <w:tc>
          <w:tcPr>
            <w:tcW w:w="1142" w:type="dxa"/>
            <w:vAlign w:val="center"/>
          </w:tcPr>
          <w:p w14:paraId="0A94EE61">
            <w:pPr>
              <w:spacing w:line="276" w:lineRule="auto"/>
              <w:jc w:val="center"/>
              <w:rPr>
                <w:rFonts w:hint="eastAsia" w:ascii="宋体" w:hAnsi="宋体" w:eastAsia="宋体" w:cs="宋体"/>
                <w:szCs w:val="21"/>
              </w:rPr>
            </w:pPr>
            <w:r>
              <w:rPr>
                <w:rFonts w:hint="eastAsia" w:ascii="宋体" w:hAnsi="宋体" w:eastAsia="宋体" w:cs="宋体"/>
                <w:szCs w:val="21"/>
              </w:rPr>
              <w:t>小组备课</w:t>
            </w:r>
          </w:p>
        </w:tc>
        <w:tc>
          <w:tcPr>
            <w:tcW w:w="2536" w:type="dxa"/>
            <w:vAlign w:val="center"/>
          </w:tcPr>
          <w:p w14:paraId="0E89BDF5">
            <w:pPr>
              <w:spacing w:line="276" w:lineRule="auto"/>
              <w:jc w:val="left"/>
              <w:rPr>
                <w:rFonts w:hint="eastAsia" w:ascii="宋体" w:hAnsi="宋体" w:eastAsia="宋体" w:cs="宋体"/>
                <w:szCs w:val="21"/>
              </w:rPr>
            </w:pPr>
            <w:r>
              <w:rPr>
                <w:rFonts w:hint="eastAsia" w:ascii="宋体" w:hAnsi="宋体" w:eastAsia="宋体" w:cs="宋体"/>
                <w:szCs w:val="21"/>
              </w:rPr>
              <w:t>学习将社会主义核心价值观融入口语教学中。小组合作设计促进学生沟通能力和团队精神的教学活动，同时在实践中提升自己的思政教学能力。</w:t>
            </w:r>
          </w:p>
        </w:tc>
      </w:tr>
    </w:tbl>
    <w:p w14:paraId="6FAE0528">
      <w:pPr>
        <w:spacing w:before="62" w:beforeLines="20" w:after="62" w:afterLines="20" w:line="360" w:lineRule="auto"/>
        <w:jc w:val="left"/>
        <w:rPr>
          <w:rFonts w:ascii="Times New Roman" w:hAnsi="Times New Roman" w:eastAsia="宋体" w:cs="Times New Roman"/>
          <w:b/>
          <w:sz w:val="24"/>
        </w:rPr>
      </w:pPr>
      <w:bookmarkStart w:id="1909" w:name="_Toc16569"/>
      <w:bookmarkStart w:id="1910" w:name="_Toc29533"/>
      <w:bookmarkStart w:id="1911" w:name="_Toc19205"/>
      <w:bookmarkStart w:id="1912" w:name="_Toc5326"/>
      <w:bookmarkStart w:id="1913" w:name="_Toc24651"/>
      <w:bookmarkStart w:id="1914" w:name="_Toc4068"/>
      <w:bookmarkStart w:id="1915" w:name="_Toc25155"/>
      <w:r>
        <w:rPr>
          <w:rFonts w:hint="eastAsia" w:ascii="Times New Roman" w:hAnsi="Times New Roman" w:eastAsia="宋体" w:cs="Times New Roman"/>
          <w:b/>
          <w:sz w:val="24"/>
        </w:rPr>
        <w:t>六、有关说明</w:t>
      </w:r>
      <w:bookmarkEnd w:id="1909"/>
      <w:bookmarkEnd w:id="1910"/>
      <w:bookmarkEnd w:id="1911"/>
      <w:bookmarkEnd w:id="1912"/>
      <w:bookmarkEnd w:id="1913"/>
      <w:bookmarkEnd w:id="1914"/>
      <w:bookmarkEnd w:id="1915"/>
    </w:p>
    <w:p w14:paraId="0208AF98">
      <w:pPr>
        <w:spacing w:line="360" w:lineRule="auto"/>
        <w:ind w:firstLine="422" w:firstLineChars="200"/>
        <w:outlineLvl w:val="1"/>
        <w:rPr>
          <w:rFonts w:hint="eastAsia" w:ascii="宋体" w:hAnsi="宋体" w:eastAsia="宋体" w:cs="Times New Roman"/>
          <w:b/>
          <w:szCs w:val="21"/>
        </w:rPr>
      </w:pPr>
      <w:bookmarkStart w:id="1916" w:name="_Toc28600"/>
      <w:r>
        <w:rPr>
          <w:rFonts w:hint="eastAsia" w:ascii="宋体" w:hAnsi="宋体" w:eastAsia="宋体" w:cs="Times New Roman"/>
          <w:b/>
          <w:szCs w:val="21"/>
        </w:rPr>
        <w:t>（一）持续改进</w:t>
      </w:r>
      <w:bookmarkEnd w:id="1916"/>
    </w:p>
    <w:p w14:paraId="2245089A">
      <w:pPr>
        <w:spacing w:line="360" w:lineRule="auto"/>
        <w:ind w:firstLine="420" w:firstLineChars="200"/>
        <w:rPr>
          <w:rFonts w:hint="eastAsia" w:ascii="宋体" w:hAnsi="宋体" w:eastAsia="宋体" w:cs="Times New Roman"/>
          <w:szCs w:val="21"/>
        </w:rPr>
      </w:pPr>
      <w:r>
        <w:rPr>
          <w:rFonts w:ascii="宋体" w:hAnsi="宋体" w:eastAsia="宋体" w:cs="Times New Roman"/>
          <w:szCs w:val="21"/>
        </w:rPr>
        <w:t>本课程根据学生作业、课堂讨论、模拟教学、说课、平时考核情况和学生、教学督导等</w:t>
      </w:r>
      <w:r>
        <w:rPr>
          <w:rFonts w:hint="eastAsia" w:ascii="宋体" w:hAnsi="宋体" w:eastAsia="宋体" w:cs="Times New Roman"/>
          <w:szCs w:val="21"/>
        </w:rPr>
        <w:t>的</w:t>
      </w:r>
      <w:r>
        <w:rPr>
          <w:rFonts w:ascii="宋体" w:hAnsi="宋体" w:eastAsia="宋体" w:cs="Times New Roman"/>
          <w:szCs w:val="21"/>
        </w:rPr>
        <w:t>反馈，及时对教学中</w:t>
      </w:r>
      <w:r>
        <w:rPr>
          <w:rFonts w:hint="eastAsia" w:ascii="宋体" w:hAnsi="宋体" w:eastAsia="宋体" w:cs="Times New Roman"/>
          <w:szCs w:val="21"/>
        </w:rPr>
        <w:t>的</w:t>
      </w:r>
      <w:r>
        <w:rPr>
          <w:rFonts w:ascii="宋体" w:hAnsi="宋体" w:eastAsia="宋体" w:cs="Times New Roman"/>
          <w:szCs w:val="21"/>
        </w:rPr>
        <w:t>不足之处进行改进，并在下一轮课程教学中</w:t>
      </w:r>
      <w:r>
        <w:rPr>
          <w:rFonts w:hint="eastAsia" w:ascii="宋体" w:hAnsi="宋体" w:eastAsia="宋体" w:cs="Times New Roman"/>
          <w:szCs w:val="21"/>
        </w:rPr>
        <w:t>整改完善</w:t>
      </w:r>
      <w:r>
        <w:rPr>
          <w:rFonts w:ascii="宋体" w:hAnsi="宋体" w:eastAsia="宋体" w:cs="Times New Roman"/>
          <w:szCs w:val="21"/>
        </w:rPr>
        <w:t>，确保相应毕业要求指标点达成。</w:t>
      </w:r>
    </w:p>
    <w:p w14:paraId="4D67C022">
      <w:pPr>
        <w:spacing w:line="360" w:lineRule="auto"/>
        <w:ind w:firstLine="422" w:firstLineChars="200"/>
        <w:outlineLvl w:val="1"/>
        <w:rPr>
          <w:rFonts w:hint="eastAsia" w:ascii="宋体" w:hAnsi="宋体" w:eastAsia="宋体" w:cs="Times New Roman"/>
          <w:b/>
          <w:szCs w:val="21"/>
        </w:rPr>
      </w:pPr>
      <w:bookmarkStart w:id="1917" w:name="_Toc27164"/>
      <w:r>
        <w:rPr>
          <w:rFonts w:hint="eastAsia" w:ascii="宋体" w:hAnsi="宋体" w:eastAsia="宋体" w:cs="Times New Roman"/>
          <w:b/>
          <w:szCs w:val="21"/>
        </w:rPr>
        <w:t>（二）</w:t>
      </w:r>
      <w:r>
        <w:rPr>
          <w:rFonts w:ascii="宋体" w:hAnsi="宋体" w:eastAsia="宋体" w:cs="Times New Roman"/>
          <w:b/>
          <w:szCs w:val="21"/>
        </w:rPr>
        <w:t>参考书目及学习资料</w:t>
      </w:r>
      <w:bookmarkEnd w:id="1917"/>
    </w:p>
    <w:p w14:paraId="2042AE12">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1.吴忠豪、丁炜主编.小学语文教学设计.中国人民大学</w:t>
      </w:r>
      <w:r>
        <w:rPr>
          <w:rFonts w:ascii="宋体" w:hAnsi="宋体" w:eastAsia="宋体" w:cs="Times New Roman"/>
          <w:szCs w:val="21"/>
        </w:rPr>
        <w:t>出版社，</w:t>
      </w:r>
      <w:r>
        <w:rPr>
          <w:rFonts w:ascii="宋体" w:hAnsi="宋体" w:eastAsia="宋体" w:cs="Times New Roman"/>
          <w:kern w:val="0"/>
          <w:szCs w:val="21"/>
        </w:rPr>
        <w:t>20</w:t>
      </w:r>
      <w:r>
        <w:rPr>
          <w:rFonts w:hint="eastAsia" w:ascii="宋体" w:hAnsi="宋体" w:eastAsia="宋体" w:cs="Times New Roman"/>
          <w:kern w:val="0"/>
          <w:szCs w:val="21"/>
        </w:rPr>
        <w:t>23.</w:t>
      </w:r>
    </w:p>
    <w:p w14:paraId="391CBA96">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夏家发</w:t>
      </w:r>
      <w:r>
        <w:rPr>
          <w:rFonts w:hint="eastAsia" w:ascii="宋体" w:hAnsi="宋体" w:eastAsia="宋体" w:cs="Times New Roman"/>
          <w:szCs w:val="21"/>
        </w:rPr>
        <w:t>.小学语文教学设计与案例研究.北京：科学出版社，2018.</w:t>
      </w:r>
    </w:p>
    <w:p w14:paraId="1E2EE25D">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3.汪潮.小学语文部编版教材文本解读及学习设计.福山：福建教育出版社，2017.</w:t>
      </w:r>
    </w:p>
    <w:p w14:paraId="07AEC369">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4.孙建龙.小学语文教学案例.中国人民大学出版社，2017年.</w:t>
      </w:r>
    </w:p>
    <w:p w14:paraId="568B3A68">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5.罗晓辉.方法与案例 语文经典篇目文本解读.华东师范大学出版社，2022年.</w:t>
      </w:r>
    </w:p>
    <w:p w14:paraId="364C8884">
      <w:pPr>
        <w:spacing w:line="360" w:lineRule="auto"/>
        <w:ind w:left="1260" w:firstLine="3708" w:firstLineChars="1766"/>
        <w:rPr>
          <w:rFonts w:ascii="Times New Roman" w:hAnsi="Times New Roman" w:eastAsia="宋体" w:cs="Times New Roman"/>
          <w:szCs w:val="21"/>
        </w:rPr>
      </w:pPr>
      <w:r>
        <w:rPr>
          <w:rFonts w:hint="eastAsia" w:ascii="Times New Roman" w:hAnsi="Times New Roman" w:eastAsia="宋体" w:cs="Times New Roman"/>
          <w:szCs w:val="21"/>
        </w:rPr>
        <w:t>执 笔 人：</w:t>
      </w:r>
      <w:r>
        <w:rPr>
          <w:rFonts w:ascii="Times New Roman" w:hAnsi="Times New Roman" w:eastAsia="宋体" w:cs="Times New Roman"/>
          <w:szCs w:val="21"/>
        </w:rPr>
        <w:t xml:space="preserve"> </w:t>
      </w:r>
      <w:r>
        <w:rPr>
          <w:rFonts w:hint="eastAsia" w:ascii="Times New Roman" w:hAnsi="Times New Roman" w:eastAsia="宋体" w:cs="Times New Roman"/>
          <w:szCs w:val="21"/>
        </w:rPr>
        <w:t>周冬梅</w:t>
      </w:r>
    </w:p>
    <w:p w14:paraId="311DF689">
      <w:pPr>
        <w:spacing w:line="360" w:lineRule="auto"/>
        <w:ind w:left="1260" w:firstLine="3708" w:firstLineChars="1766"/>
        <w:rPr>
          <w:rFonts w:ascii="Times New Roman" w:hAnsi="Times New Roman" w:eastAsia="宋体" w:cs="Times New Roman"/>
          <w:szCs w:val="21"/>
        </w:rPr>
      </w:pPr>
      <w:r>
        <w:rPr>
          <w:rFonts w:hint="eastAsia" w:ascii="Times New Roman" w:hAnsi="Times New Roman" w:eastAsia="宋体" w:cs="Times New Roman"/>
          <w:szCs w:val="21"/>
        </w:rPr>
        <w:t>审 定 人：</w:t>
      </w:r>
      <w:r>
        <w:rPr>
          <w:rFonts w:ascii="Times New Roman" w:hAnsi="Times New Roman" w:eastAsia="宋体" w:cs="Times New Roman"/>
          <w:szCs w:val="21"/>
        </w:rPr>
        <w:t xml:space="preserve"> </w:t>
      </w:r>
      <w:r>
        <w:rPr>
          <w:rFonts w:hint="eastAsia" w:ascii="Times New Roman" w:hAnsi="Times New Roman" w:eastAsia="宋体" w:cs="Times New Roman"/>
          <w:szCs w:val="21"/>
        </w:rPr>
        <w:t>王  健</w:t>
      </w:r>
    </w:p>
    <w:p w14:paraId="6587C3A7">
      <w:pPr>
        <w:spacing w:line="360" w:lineRule="auto"/>
        <w:ind w:left="1260" w:firstLine="3708" w:firstLineChars="1766"/>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2469CE5D">
      <w:pPr>
        <w:spacing w:line="360" w:lineRule="auto"/>
        <w:ind w:firstLine="4830" w:firstLineChars="2300"/>
        <w:rPr>
          <w:rFonts w:hint="eastAsia" w:ascii="等线" w:hAnsi="等线" w:eastAsia="等线" w:cs="Times New Roman"/>
          <w:szCs w:val="21"/>
        </w:rPr>
      </w:pPr>
      <w:r>
        <w:rPr>
          <w:rFonts w:hint="eastAsia" w:ascii="Times New Roman" w:hAnsi="Times New Roman" w:eastAsia="宋体" w:cs="Times New Roman"/>
          <w:szCs w:val="21"/>
        </w:rPr>
        <w:t>批准时间： 2025</w:t>
      </w:r>
      <w:r>
        <w:rPr>
          <w:rFonts w:ascii="Times New Roman" w:hAnsi="Times New Roman" w:eastAsia="宋体" w:cs="Times New Roman"/>
          <w:szCs w:val="21"/>
        </w:rPr>
        <w:t>年</w:t>
      </w:r>
      <w:r>
        <w:rPr>
          <w:rFonts w:hint="eastAsia" w:ascii="Times New Roman" w:hAnsi="Times New Roman" w:eastAsia="宋体" w:cs="Times New Roman"/>
          <w:szCs w:val="21"/>
        </w:rPr>
        <w:t xml:space="preserve"> 7</w:t>
      </w:r>
      <w:r>
        <w:rPr>
          <w:rFonts w:ascii="Times New Roman" w:hAnsi="Times New Roman" w:eastAsia="宋体" w:cs="Times New Roman"/>
          <w:szCs w:val="21"/>
        </w:rPr>
        <w:t>月</w:t>
      </w:r>
    </w:p>
    <w:p w14:paraId="0A1E8075">
      <w:pPr>
        <w:widowControl/>
        <w:ind w:firstLine="4800" w:firstLineChars="2000"/>
        <w:jc w:val="left"/>
        <w:rPr>
          <w:rFonts w:hint="eastAsia" w:ascii="宋体" w:hAnsi="宋体" w:eastAsia="宋体" w:cs="Times New Roman"/>
          <w:kern w:val="0"/>
          <w:sz w:val="24"/>
          <w:szCs w:val="21"/>
        </w:rPr>
      </w:pPr>
      <w:r>
        <w:rPr>
          <w:rFonts w:ascii="宋体" w:hAnsi="宋体" w:eastAsia="宋体" w:cs="Times New Roman"/>
          <w:kern w:val="0"/>
          <w:sz w:val="24"/>
          <w:szCs w:val="21"/>
        </w:rPr>
        <w:br w:type="page"/>
      </w:r>
    </w:p>
    <w:p w14:paraId="4F32C499">
      <w:pPr>
        <w:spacing w:line="360" w:lineRule="auto"/>
        <w:jc w:val="center"/>
        <w:outlineLvl w:val="0"/>
        <w:rPr>
          <w:rFonts w:ascii="Times New Roman" w:hAnsi="Times New Roman" w:eastAsia="宋体" w:cs="Times New Roman"/>
          <w:b/>
          <w:sz w:val="44"/>
          <w:szCs w:val="44"/>
        </w:rPr>
      </w:pPr>
      <w:bookmarkStart w:id="1918" w:name="_Toc2366"/>
      <w:bookmarkStart w:id="1919" w:name="_Toc5383"/>
      <w:bookmarkStart w:id="1920" w:name="_Toc4077"/>
      <w:bookmarkStart w:id="1921" w:name="_Toc16487"/>
      <w:r>
        <w:rPr>
          <w:rFonts w:hint="eastAsia" w:ascii="Times New Roman" w:hAnsi="Times New Roman" w:eastAsia="宋体" w:cs="Times New Roman"/>
          <w:b/>
          <w:sz w:val="44"/>
          <w:szCs w:val="44"/>
        </w:rPr>
        <w:t>《认知实习》课程教学大纲</w:t>
      </w:r>
      <w:bookmarkEnd w:id="1918"/>
      <w:bookmarkEnd w:id="1919"/>
      <w:bookmarkEnd w:id="1920"/>
      <w:bookmarkEnd w:id="1921"/>
    </w:p>
    <w:p w14:paraId="69ACEEFB">
      <w:pPr>
        <w:spacing w:line="360" w:lineRule="auto"/>
        <w:jc w:val="center"/>
        <w:rPr>
          <w:rFonts w:ascii="Times New Roman" w:hAnsi="Times New Roman" w:eastAsia="宋体" w:cs="Times New Roman"/>
          <w:b/>
          <w:bCs/>
          <w:sz w:val="28"/>
          <w:szCs w:val="28"/>
        </w:rPr>
      </w:pPr>
      <w:bookmarkStart w:id="1922" w:name="_Toc15010"/>
      <w:bookmarkStart w:id="1923" w:name="_Toc12171"/>
      <w:bookmarkStart w:id="1924" w:name="_Toc20264"/>
      <w:bookmarkStart w:id="1925" w:name="_Toc1502"/>
      <w:bookmarkStart w:id="1926" w:name="_Toc5294"/>
      <w:bookmarkStart w:id="1927" w:name="_Toc19207"/>
      <w:bookmarkStart w:id="1928" w:name="_Toc22042"/>
      <w:r>
        <w:rPr>
          <w:rFonts w:ascii="Times New Roman" w:hAnsi="Times New Roman" w:eastAsia="宋体" w:cs="Times New Roman"/>
          <w:b/>
          <w:bCs/>
          <w:sz w:val="28"/>
          <w:szCs w:val="28"/>
        </w:rPr>
        <w:t>（</w:t>
      </w:r>
      <w:r>
        <w:rPr>
          <w:rFonts w:hint="eastAsia" w:ascii="Times New Roman" w:hAnsi="Times New Roman" w:eastAsia="宋体" w:cs="Times New Roman"/>
          <w:b/>
          <w:bCs/>
          <w:sz w:val="28"/>
          <w:szCs w:val="28"/>
        </w:rPr>
        <w:t>Cognitive Practice</w:t>
      </w:r>
      <w:r>
        <w:rPr>
          <w:rFonts w:ascii="Times New Roman" w:hAnsi="Times New Roman" w:eastAsia="宋体" w:cs="Times New Roman"/>
          <w:b/>
          <w:bCs/>
          <w:sz w:val="28"/>
          <w:szCs w:val="28"/>
        </w:rPr>
        <w:t>）</w:t>
      </w:r>
      <w:bookmarkEnd w:id="1922"/>
      <w:bookmarkEnd w:id="1923"/>
      <w:bookmarkEnd w:id="1924"/>
      <w:bookmarkEnd w:id="1925"/>
      <w:bookmarkEnd w:id="1926"/>
      <w:bookmarkEnd w:id="1927"/>
      <w:bookmarkEnd w:id="1928"/>
    </w:p>
    <w:p w14:paraId="2A590560">
      <w:pPr>
        <w:spacing w:line="360" w:lineRule="auto"/>
        <w:rPr>
          <w:rFonts w:ascii="Times New Roman" w:hAnsi="Times New Roman" w:eastAsia="宋体" w:cs="Times New Roman"/>
          <w:bCs/>
          <w:szCs w:val="21"/>
        </w:rPr>
      </w:pPr>
    </w:p>
    <w:p w14:paraId="343006D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课程名称：认知实习</w:t>
      </w:r>
    </w:p>
    <w:p w14:paraId="3182830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hint="eastAsia" w:ascii="宋体" w:hAnsi="宋体" w:eastAsia="宋体" w:cs="Times New Roman"/>
          <w:kern w:val="0"/>
          <w:sz w:val="24"/>
        </w:rPr>
        <w:t>2401066</w:t>
      </w:r>
    </w:p>
    <w:p w14:paraId="76EA5E9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分：不计入总学分</w:t>
      </w:r>
    </w:p>
    <w:p w14:paraId="183CA58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时：两周</w:t>
      </w:r>
    </w:p>
    <w:p w14:paraId="69A6BC26">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先修课程：无</w:t>
      </w:r>
    </w:p>
    <w:p w14:paraId="3C8D000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084700E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26FAA17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认知实习》是师范类专业重要的实践教学环节。本课程通过名师讲座、教学基本功训练、教学观摩等活动，旨在帮助学生建立对教育教学工作的初步认知与实践感知，为后续专业课程的学习奠定坚实基础，初步形成教育教学思维与实践能力体系，培养学生对教育事业的热爱与责任感，逐步具备成为一名合格教育工作者的基本素养。</w:t>
      </w:r>
    </w:p>
    <w:p w14:paraId="7812371C">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6DD9334B">
      <w:pPr>
        <w:spacing w:line="360" w:lineRule="auto"/>
        <w:ind w:firstLine="422" w:firstLineChars="200"/>
        <w:rPr>
          <w:rFonts w:hint="eastAsia" w:ascii="宋体" w:hAnsi="宋体" w:eastAsia="宋体" w:cs="Times New Roman"/>
          <w:b/>
          <w:szCs w:val="21"/>
        </w:rPr>
      </w:pPr>
      <w:r>
        <w:rPr>
          <w:rFonts w:hint="eastAsia" w:ascii="宋体" w:hAnsi="宋体" w:eastAsia="宋体" w:cs="Times New Roman"/>
          <w:b/>
          <w:szCs w:val="21"/>
        </w:rPr>
        <w:t>（一）课程具体目标</w:t>
      </w:r>
    </w:p>
    <w:p w14:paraId="4091A37B">
      <w:pPr>
        <w:autoSpaceDE w:val="0"/>
        <w:autoSpaceDN w:val="0"/>
        <w:adjustRightInd w:val="0"/>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w:t>
      </w:r>
      <w:r>
        <w:rPr>
          <w:rFonts w:ascii="Times New Roman" w:hAnsi="Times New Roman" w:eastAsia="宋体" w:cs="Times New Roman"/>
          <w:b/>
          <w:szCs w:val="21"/>
        </w:rPr>
        <w:t>1.</w:t>
      </w:r>
      <w:r>
        <w:rPr>
          <w:rFonts w:ascii="Times New Roman" w:hAnsi="Times New Roman" w:eastAsia="宋体" w:cs="Times New Roman"/>
          <w:szCs w:val="21"/>
        </w:rPr>
        <w:t>理解前沿教育理念、教学方法及职业素养要求，通过名师讲座及教学观摩，积累</w:t>
      </w:r>
      <w:r>
        <w:rPr>
          <w:rFonts w:hint="eastAsia" w:ascii="Times New Roman" w:hAnsi="Times New Roman" w:eastAsia="宋体" w:cs="Times New Roman"/>
          <w:szCs w:val="21"/>
        </w:rPr>
        <w:t>丰富的</w:t>
      </w:r>
      <w:r>
        <w:rPr>
          <w:rFonts w:ascii="Times New Roman" w:hAnsi="Times New Roman" w:eastAsia="宋体" w:cs="Times New Roman"/>
          <w:szCs w:val="21"/>
        </w:rPr>
        <w:t>教育教学理论知识</w:t>
      </w:r>
      <w:r>
        <w:rPr>
          <w:rFonts w:hint="eastAsia" w:ascii="Times New Roman" w:hAnsi="Times New Roman" w:eastAsia="宋体" w:cs="Times New Roman"/>
          <w:szCs w:val="21"/>
        </w:rPr>
        <w:t>与案例知识，培养教育教学反思能力</w:t>
      </w:r>
      <w:r>
        <w:rPr>
          <w:rFonts w:ascii="Times New Roman" w:hAnsi="Times New Roman" w:eastAsia="宋体" w:cs="Times New Roman"/>
          <w:szCs w:val="21"/>
        </w:rPr>
        <w:t>。</w:t>
      </w:r>
    </w:p>
    <w:p w14:paraId="2E397A6E">
      <w:pPr>
        <w:autoSpaceDE w:val="0"/>
        <w:autoSpaceDN w:val="0"/>
        <w:adjustRightInd w:val="0"/>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目标2</w:t>
      </w:r>
      <w:r>
        <w:rPr>
          <w:rFonts w:ascii="Times New Roman" w:hAnsi="Times New Roman" w:eastAsia="宋体" w:cs="Times New Roman"/>
          <w:b/>
          <w:szCs w:val="21"/>
        </w:rPr>
        <w:t>.</w:t>
      </w:r>
      <w:r>
        <w:rPr>
          <w:rFonts w:hint="eastAsia" w:ascii="Times New Roman" w:hAnsi="Times New Roman" w:eastAsia="宋体" w:cs="Times New Roman"/>
          <w:szCs w:val="21"/>
        </w:rPr>
        <w:t>学习</w:t>
      </w:r>
      <w:r>
        <w:rPr>
          <w:rFonts w:ascii="Times New Roman" w:hAnsi="Times New Roman" w:eastAsia="宋体" w:cs="Times New Roman"/>
          <w:szCs w:val="21"/>
        </w:rPr>
        <w:t>掌握课堂表达、</w:t>
      </w:r>
      <w:r>
        <w:rPr>
          <w:rFonts w:hint="eastAsia" w:ascii="Times New Roman" w:hAnsi="Times New Roman" w:eastAsia="宋体" w:cs="Times New Roman"/>
          <w:szCs w:val="21"/>
        </w:rPr>
        <w:t>钢笔字、粉笔字</w:t>
      </w:r>
      <w:r>
        <w:rPr>
          <w:rFonts w:ascii="Times New Roman" w:hAnsi="Times New Roman" w:eastAsia="宋体" w:cs="Times New Roman"/>
          <w:szCs w:val="21"/>
        </w:rPr>
        <w:t>书写等教学基本功，在教学基本功训练过程中不断打磨自身教学技能。</w:t>
      </w:r>
    </w:p>
    <w:p w14:paraId="6E1A9225">
      <w:pPr>
        <w:autoSpaceDE w:val="0"/>
        <w:autoSpaceDN w:val="0"/>
        <w:adjustRightInd w:val="0"/>
        <w:spacing w:line="360"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szCs w:val="21"/>
        </w:rPr>
        <w:t>目标3</w:t>
      </w:r>
      <w:r>
        <w:rPr>
          <w:rFonts w:ascii="Times New Roman" w:hAnsi="Times New Roman" w:eastAsia="宋体" w:cs="Times New Roman"/>
          <w:b/>
          <w:szCs w:val="21"/>
        </w:rPr>
        <w:t>.</w:t>
      </w:r>
      <w:r>
        <w:rPr>
          <w:rFonts w:ascii="Times New Roman" w:hAnsi="Times New Roman" w:eastAsia="宋体" w:cs="Times New Roman"/>
          <w:szCs w:val="21"/>
        </w:rPr>
        <w:t xml:space="preserve"> 建立对教育教学工作的正确认知与情感认同，培养教育教学思维，增强对教育事业的热爱与责任感，塑造积极向上的</w:t>
      </w:r>
      <w:r>
        <w:rPr>
          <w:rFonts w:hint="eastAsia" w:ascii="Times New Roman" w:hAnsi="Times New Roman" w:eastAsia="宋体" w:cs="Times New Roman"/>
          <w:szCs w:val="21"/>
        </w:rPr>
        <w:t>教师家</w:t>
      </w:r>
      <w:r>
        <w:rPr>
          <w:rFonts w:ascii="Times New Roman" w:hAnsi="Times New Roman" w:eastAsia="宋体" w:cs="Times New Roman"/>
          <w:szCs w:val="21"/>
        </w:rPr>
        <w:t>精神与道德素养，为投身教育事业做好充分的心理与思想准备。</w:t>
      </w:r>
    </w:p>
    <w:p w14:paraId="0C657A86">
      <w:pPr>
        <w:spacing w:line="360" w:lineRule="auto"/>
        <w:ind w:firstLine="422" w:firstLineChars="200"/>
        <w:jc w:val="left"/>
        <w:rPr>
          <w:rFonts w:ascii="Times New Roman" w:hAnsi="Times New Roman" w:eastAsia="宋体" w:cs="Times New Roman"/>
          <w:b/>
          <w:bCs/>
          <w:szCs w:val="21"/>
        </w:rPr>
      </w:pPr>
      <w:r>
        <w:rPr>
          <w:rFonts w:hint="eastAsia" w:ascii="Times New Roman" w:hAnsi="Times New Roman" w:eastAsia="宋体" w:cs="Times New Roman"/>
          <w:b/>
          <w:bCs/>
          <w:szCs w:val="21"/>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6484"/>
        <w:gridCol w:w="1191"/>
      </w:tblGrid>
      <w:tr w14:paraId="4174A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2C1A1B8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484" w:type="dxa"/>
            <w:vAlign w:val="center"/>
          </w:tcPr>
          <w:p w14:paraId="009DFFE1">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191" w:type="dxa"/>
            <w:vAlign w:val="center"/>
          </w:tcPr>
          <w:p w14:paraId="486E1050">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6AF3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3278F176">
            <w:pPr>
              <w:spacing w:line="276" w:lineRule="auto"/>
              <w:jc w:val="center"/>
              <w:rPr>
                <w:rFonts w:hint="eastAsia" w:ascii="宋体" w:hAnsi="宋体" w:eastAsia="宋体" w:cs="宋体"/>
                <w:b/>
                <w:bCs/>
                <w:szCs w:val="21"/>
              </w:rPr>
            </w:pPr>
            <w:r>
              <w:rPr>
                <w:rFonts w:hint="eastAsia" w:ascii="宋体" w:hAnsi="宋体" w:eastAsia="宋体" w:cs="宋体"/>
                <w:b/>
                <w:bCs/>
                <w:szCs w:val="21"/>
              </w:rPr>
              <w:t>毕业要求1</w:t>
            </w:r>
          </w:p>
          <w:p w14:paraId="64D40C90">
            <w:pPr>
              <w:spacing w:line="276" w:lineRule="auto"/>
              <w:jc w:val="center"/>
              <w:rPr>
                <w:rFonts w:hint="eastAsia" w:ascii="宋体" w:hAnsi="宋体" w:eastAsia="宋体" w:cs="宋体"/>
                <w:b/>
                <w:bCs/>
                <w:szCs w:val="21"/>
              </w:rPr>
            </w:pPr>
            <w:r>
              <w:rPr>
                <w:rFonts w:hint="eastAsia" w:ascii="宋体" w:hAnsi="宋体" w:eastAsia="宋体" w:cs="宋体"/>
                <w:b/>
                <w:bCs/>
                <w:szCs w:val="21"/>
              </w:rPr>
              <w:t>师德规范</w:t>
            </w:r>
          </w:p>
        </w:tc>
        <w:tc>
          <w:tcPr>
            <w:tcW w:w="6484" w:type="dxa"/>
            <w:vAlign w:val="center"/>
          </w:tcPr>
          <w:p w14:paraId="35F2E234">
            <w:pPr>
              <w:spacing w:line="276" w:lineRule="auto"/>
              <w:jc w:val="left"/>
              <w:rPr>
                <w:rFonts w:ascii="Times New Roman" w:hAnsi="Times New Roman" w:eastAsia="宋体" w:cs="Times New Roman"/>
                <w:szCs w:val="21"/>
              </w:rPr>
            </w:pPr>
            <w:r>
              <w:rPr>
                <w:rFonts w:hint="eastAsia" w:ascii="宋体" w:hAnsi="宋体" w:eastAsia="宋体" w:cs="宋体"/>
                <w:b/>
                <w:kern w:val="0"/>
                <w:szCs w:val="21"/>
              </w:rPr>
              <w:t>指标点1-1</w:t>
            </w:r>
            <w:r>
              <w:rPr>
                <w:rFonts w:hint="eastAsia" w:ascii="宋体" w:hAnsi="宋体" w:eastAsia="宋体" w:cs="宋体"/>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191" w:type="dxa"/>
            <w:vAlign w:val="center"/>
          </w:tcPr>
          <w:p w14:paraId="41DCC254">
            <w:pPr>
              <w:spacing w:line="276" w:lineRule="auto"/>
              <w:jc w:val="left"/>
              <w:rPr>
                <w:rFonts w:ascii="Times New Roman" w:hAnsi="Times New Roman" w:eastAsia="宋体" w:cs="Times New Roman"/>
                <w:szCs w:val="21"/>
              </w:rPr>
            </w:pPr>
          </w:p>
          <w:p w14:paraId="4D17D766">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课程目标1</w:t>
            </w:r>
          </w:p>
        </w:tc>
      </w:tr>
      <w:tr w14:paraId="203A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302" w:type="dxa"/>
            <w:vAlign w:val="center"/>
          </w:tcPr>
          <w:p w14:paraId="2AEF16FD">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毕业要求2</w:t>
            </w:r>
          </w:p>
          <w:p w14:paraId="3151A414">
            <w:pPr>
              <w:spacing w:line="276" w:lineRule="auto"/>
              <w:jc w:val="center"/>
              <w:rPr>
                <w:rFonts w:hint="eastAsia" w:ascii="宋体" w:hAnsi="宋体" w:eastAsia="宋体" w:cs="Times New Roman"/>
                <w:b/>
                <w:bCs/>
                <w:szCs w:val="21"/>
              </w:rPr>
            </w:pPr>
            <w:r>
              <w:rPr>
                <w:rFonts w:hint="eastAsia" w:ascii="宋体" w:hAnsi="宋体" w:eastAsia="宋体" w:cs="Times New Roman"/>
                <w:b/>
                <w:bCs/>
                <w:szCs w:val="21"/>
              </w:rPr>
              <w:t>教育情怀</w:t>
            </w:r>
          </w:p>
          <w:p w14:paraId="241067A3">
            <w:pPr>
              <w:spacing w:line="276" w:lineRule="auto"/>
              <w:jc w:val="center"/>
              <w:rPr>
                <w:rFonts w:ascii="Times New Roman" w:hAnsi="Times New Roman" w:eastAsia="宋体" w:cs="Times New Roman"/>
                <w:b/>
                <w:bCs/>
                <w:szCs w:val="21"/>
              </w:rPr>
            </w:pPr>
          </w:p>
        </w:tc>
        <w:tc>
          <w:tcPr>
            <w:tcW w:w="6484" w:type="dxa"/>
            <w:vAlign w:val="center"/>
          </w:tcPr>
          <w:p w14:paraId="24649FEC">
            <w:pPr>
              <w:spacing w:line="276" w:lineRule="auto"/>
              <w:jc w:val="left"/>
              <w:rPr>
                <w:rFonts w:ascii="Times New Roman" w:hAnsi="Times New Roman" w:eastAsia="宋体" w:cs="Times New Roman"/>
                <w:szCs w:val="21"/>
              </w:rPr>
            </w:pPr>
            <w:r>
              <w:rPr>
                <w:rFonts w:hint="eastAsia" w:ascii="宋体" w:hAnsi="宋体" w:eastAsia="宋体" w:cs="宋体"/>
                <w:b/>
                <w:kern w:val="0"/>
                <w:szCs w:val="21"/>
              </w:rPr>
              <w:t>指标点2-1</w:t>
            </w:r>
            <w:r>
              <w:rPr>
                <w:rFonts w:hint="eastAsia" w:ascii="宋体" w:hAnsi="宋体" w:cs="宋体"/>
                <w:sz w:val="20"/>
                <w:szCs w:val="20"/>
              </w:rPr>
              <w:t>：</w:t>
            </w:r>
            <w:r>
              <w:rPr>
                <w:rFonts w:hint="eastAsia" w:ascii="宋体" w:hAnsi="宋体" w:eastAsia="宋体" w:cs="Times New Roman"/>
                <w:szCs w:val="21"/>
              </w:rPr>
              <w:t>【职业认同感强】具有家国情怀，乐于从教，热爱教育事业，具有较高的教师职业认同感，认同教师职业的专业性与意义性。</w:t>
            </w:r>
          </w:p>
        </w:tc>
        <w:tc>
          <w:tcPr>
            <w:tcW w:w="1191" w:type="dxa"/>
            <w:vAlign w:val="center"/>
          </w:tcPr>
          <w:p w14:paraId="4357F40E">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课程目标2</w:t>
            </w:r>
          </w:p>
        </w:tc>
      </w:tr>
    </w:tbl>
    <w:p w14:paraId="02A5D4CF">
      <w:pPr>
        <w:spacing w:before="156" w:beforeLines="50"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（三）课程思政目标</w:t>
      </w:r>
    </w:p>
    <w:p w14:paraId="2EE1B6D5">
      <w:pPr>
        <w:spacing w:line="276" w:lineRule="auto"/>
        <w:ind w:firstLine="420" w:firstLineChars="200"/>
        <w:rPr>
          <w:rFonts w:hint="eastAsia" w:ascii="宋体" w:hAnsi="宋体" w:eastAsia="宋体" w:cs="Times New Roman"/>
          <w:szCs w:val="21"/>
        </w:rPr>
      </w:pPr>
      <w:r>
        <w:rPr>
          <w:rFonts w:hint="eastAsia" w:ascii="宋体" w:hAnsi="宋体" w:eastAsia="宋体" w:cs="Times New Roman"/>
          <w:szCs w:val="21"/>
        </w:rPr>
        <w:t>领会教育对国家、民族与个人的意义，激发投身教育使命感，树立长期从教信念，融入教育强国梦，在实习里感悟教育魅力，增强职业认同与归属。在教育教学观摩和名师讲座中自觉树立文化自信和民族自豪感，了解中华文化的博大精深和独特魅力。</w:t>
      </w:r>
    </w:p>
    <w:p w14:paraId="242FD49C">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2"/>
          <w:szCs w:val="22"/>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445"/>
        <w:gridCol w:w="1080"/>
        <w:gridCol w:w="733"/>
      </w:tblGrid>
      <w:tr w14:paraId="4312C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59FC3D3C">
            <w:pPr>
              <w:jc w:val="center"/>
              <w:rPr>
                <w:rFonts w:hint="eastAsia" w:ascii="宋体" w:hAnsi="宋体" w:eastAsia="宋体" w:cs="Times New Roman"/>
                <w:b/>
                <w:szCs w:val="21"/>
              </w:rPr>
            </w:pPr>
            <w:r>
              <w:rPr>
                <w:rFonts w:hint="eastAsia" w:ascii="宋体" w:hAnsi="宋体" w:eastAsia="宋体" w:cs="Times New Roman"/>
                <w:b/>
                <w:szCs w:val="21"/>
              </w:rPr>
              <w:t>知识</w:t>
            </w:r>
          </w:p>
          <w:p w14:paraId="3CC61B76">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1" w:type="dxa"/>
            <w:vAlign w:val="center"/>
          </w:tcPr>
          <w:p w14:paraId="17185097">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4" w:type="dxa"/>
            <w:vAlign w:val="center"/>
          </w:tcPr>
          <w:p w14:paraId="1AD878B7">
            <w:pPr>
              <w:jc w:val="center"/>
              <w:rPr>
                <w:rFonts w:hint="eastAsia" w:ascii="宋体" w:hAnsi="宋体" w:eastAsia="宋体" w:cs="Times New Roman"/>
                <w:b/>
                <w:szCs w:val="21"/>
              </w:rPr>
            </w:pPr>
            <w:r>
              <w:rPr>
                <w:rFonts w:hint="eastAsia" w:ascii="宋体" w:hAnsi="宋体" w:eastAsia="宋体" w:cs="Times New Roman"/>
                <w:b/>
                <w:szCs w:val="21"/>
              </w:rPr>
              <w:t>对应</w:t>
            </w:r>
          </w:p>
          <w:p w14:paraId="7D9BBF5F">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445" w:type="dxa"/>
            <w:vAlign w:val="center"/>
          </w:tcPr>
          <w:p w14:paraId="5B0996DF">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080" w:type="dxa"/>
            <w:vAlign w:val="center"/>
          </w:tcPr>
          <w:p w14:paraId="19EDD07E">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733" w:type="dxa"/>
            <w:vAlign w:val="center"/>
          </w:tcPr>
          <w:p w14:paraId="53641F54">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6539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1FB5EC3">
            <w:pPr>
              <w:spacing w:line="264" w:lineRule="auto"/>
              <w:rPr>
                <w:rFonts w:hint="eastAsia" w:ascii="宋体" w:hAnsi="宋体" w:eastAsia="宋体" w:cs="Times New Roman"/>
                <w:szCs w:val="21"/>
              </w:rPr>
            </w:pPr>
            <w:r>
              <w:rPr>
                <w:rFonts w:hint="eastAsia" w:ascii="宋体" w:hAnsi="宋体" w:eastAsia="宋体" w:cs="宋体"/>
                <w:kern w:val="0"/>
                <w:szCs w:val="21"/>
              </w:rPr>
              <w:t>小学教育教学观摩</w:t>
            </w:r>
          </w:p>
        </w:tc>
        <w:tc>
          <w:tcPr>
            <w:tcW w:w="1701" w:type="dxa"/>
            <w:vAlign w:val="center"/>
          </w:tcPr>
          <w:p w14:paraId="636F35D4">
            <w:pPr>
              <w:spacing w:line="269" w:lineRule="auto"/>
              <w:jc w:val="left"/>
              <w:rPr>
                <w:rFonts w:hint="eastAsia" w:ascii="宋体" w:hAnsi="宋体" w:eastAsia="宋体" w:cs="Times New Roman"/>
                <w:szCs w:val="21"/>
              </w:rPr>
            </w:pPr>
            <w:r>
              <w:rPr>
                <w:rFonts w:hint="eastAsia" w:ascii="宋体" w:hAnsi="宋体" w:eastAsia="宋体" w:cs="Times New Roman"/>
                <w:szCs w:val="21"/>
              </w:rPr>
              <w:t>（1）课堂教学观摩</w:t>
            </w:r>
          </w:p>
          <w:p w14:paraId="3C7101CC">
            <w:pPr>
              <w:spacing w:line="269" w:lineRule="auto"/>
              <w:jc w:val="left"/>
              <w:rPr>
                <w:rFonts w:hint="eastAsia" w:ascii="宋体" w:hAnsi="宋体" w:eastAsia="宋体" w:cs="Times New Roman"/>
                <w:szCs w:val="21"/>
              </w:rPr>
            </w:pPr>
            <w:r>
              <w:rPr>
                <w:rFonts w:hint="eastAsia" w:ascii="宋体" w:hAnsi="宋体" w:eastAsia="宋体" w:cs="Times New Roman"/>
                <w:szCs w:val="21"/>
              </w:rPr>
              <w:t>（2）教育经典影视作品赏析</w:t>
            </w:r>
          </w:p>
        </w:tc>
        <w:tc>
          <w:tcPr>
            <w:tcW w:w="1134" w:type="dxa"/>
            <w:vAlign w:val="center"/>
          </w:tcPr>
          <w:p w14:paraId="565ECBA5">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445" w:type="dxa"/>
            <w:vAlign w:val="center"/>
          </w:tcPr>
          <w:p w14:paraId="0DB75F4C">
            <w:pPr>
              <w:spacing w:line="269" w:lineRule="auto"/>
              <w:jc w:val="left"/>
              <w:rPr>
                <w:rFonts w:hint="eastAsia" w:ascii="宋体" w:hAnsi="宋体" w:eastAsia="宋体" w:cs="Times New Roman"/>
                <w:szCs w:val="21"/>
              </w:rPr>
            </w:pPr>
            <w:r>
              <w:rPr>
                <w:rFonts w:hint="eastAsia" w:ascii="宋体" w:hAnsi="宋体" w:eastAsia="宋体" w:cs="Times New Roman"/>
                <w:szCs w:val="21"/>
              </w:rPr>
              <w:t>在课堂教学观摩中，深入理解小学教育教学的核心要素，明晰教师角色重要性，坚定从业信念；赏析教育经典影视作品时，感知教育多元呈现与深远影响，强化教育情怀。内化教育精神品质，将其转化为行动驱力，传承教育精神，并挖掘教育文化内涵，融入教学实践，推动文化传承与创新，为小学教育事业筑牢根基。</w:t>
            </w:r>
          </w:p>
        </w:tc>
        <w:tc>
          <w:tcPr>
            <w:tcW w:w="1080" w:type="dxa"/>
            <w:vAlign w:val="center"/>
          </w:tcPr>
          <w:p w14:paraId="4ECF9EBB">
            <w:pPr>
              <w:spacing w:line="269" w:lineRule="auto"/>
              <w:jc w:val="left"/>
              <w:rPr>
                <w:rFonts w:hint="eastAsia" w:ascii="宋体" w:hAnsi="宋体" w:eastAsia="宋体" w:cs="Times New Roman"/>
                <w:szCs w:val="21"/>
              </w:rPr>
            </w:pPr>
            <w:r>
              <w:rPr>
                <w:rFonts w:hint="eastAsia" w:ascii="宋体" w:hAnsi="宋体" w:eastAsia="宋体" w:cs="Times New Roman"/>
                <w:szCs w:val="21"/>
              </w:rPr>
              <w:t>案例分析</w:t>
            </w:r>
          </w:p>
          <w:p w14:paraId="0E0947A6">
            <w:pPr>
              <w:spacing w:line="269" w:lineRule="auto"/>
              <w:jc w:val="left"/>
              <w:rPr>
                <w:rFonts w:hint="eastAsia" w:ascii="宋体" w:hAnsi="宋体" w:eastAsia="宋体" w:cs="Times New Roman"/>
                <w:szCs w:val="21"/>
              </w:rPr>
            </w:pPr>
            <w:r>
              <w:rPr>
                <w:rFonts w:hint="eastAsia" w:ascii="宋体" w:hAnsi="宋体" w:eastAsia="宋体" w:cs="Times New Roman"/>
                <w:szCs w:val="21"/>
              </w:rPr>
              <w:t>直观教学</w:t>
            </w:r>
          </w:p>
        </w:tc>
        <w:tc>
          <w:tcPr>
            <w:tcW w:w="733" w:type="dxa"/>
            <w:vAlign w:val="center"/>
          </w:tcPr>
          <w:p w14:paraId="150E6B5F">
            <w:pPr>
              <w:spacing w:line="269" w:lineRule="auto"/>
              <w:jc w:val="center"/>
              <w:rPr>
                <w:rFonts w:hint="eastAsia" w:ascii="宋体" w:hAnsi="宋体" w:eastAsia="宋体" w:cs="Times New Roman"/>
                <w:szCs w:val="21"/>
              </w:rPr>
            </w:pPr>
            <w:r>
              <w:rPr>
                <w:rFonts w:hint="eastAsia" w:ascii="宋体" w:hAnsi="宋体" w:eastAsia="宋体" w:cs="Times New Roman"/>
                <w:szCs w:val="21"/>
              </w:rPr>
              <w:t>10</w:t>
            </w:r>
          </w:p>
        </w:tc>
      </w:tr>
      <w:tr w14:paraId="6FBF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77841D89">
            <w:pPr>
              <w:spacing w:line="264" w:lineRule="auto"/>
              <w:jc w:val="center"/>
              <w:rPr>
                <w:rFonts w:hint="eastAsia" w:ascii="宋体" w:hAnsi="宋体" w:eastAsia="宋体" w:cs="Times New Roman"/>
                <w:szCs w:val="21"/>
              </w:rPr>
            </w:pPr>
          </w:p>
        </w:tc>
        <w:tc>
          <w:tcPr>
            <w:tcW w:w="8093" w:type="dxa"/>
            <w:gridSpan w:val="5"/>
            <w:vAlign w:val="center"/>
          </w:tcPr>
          <w:p w14:paraId="226DF793">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借课堂观摩领会小学教育教学常规，坚定执教信念，明确使命担当；赏教育经典影视，梳理以生为本的教育观，形成立德树人的责任感。</w:t>
            </w:r>
          </w:p>
        </w:tc>
      </w:tr>
      <w:tr w14:paraId="01C9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20507C72">
            <w:pPr>
              <w:spacing w:line="264" w:lineRule="auto"/>
              <w:jc w:val="center"/>
              <w:rPr>
                <w:rFonts w:hint="eastAsia" w:ascii="宋体" w:hAnsi="宋体" w:eastAsia="宋体" w:cs="Times New Roman"/>
                <w:szCs w:val="21"/>
              </w:rPr>
            </w:pPr>
            <w:r>
              <w:rPr>
                <w:rFonts w:hint="eastAsia" w:ascii="宋体" w:hAnsi="宋体" w:eastAsia="宋体" w:cs="Times New Roman"/>
                <w:szCs w:val="21"/>
              </w:rPr>
              <w:t>“三字一话”教学基本功训练</w:t>
            </w:r>
          </w:p>
        </w:tc>
        <w:tc>
          <w:tcPr>
            <w:tcW w:w="1701" w:type="dxa"/>
            <w:vAlign w:val="center"/>
          </w:tcPr>
          <w:p w14:paraId="4AC2E3E0">
            <w:pPr>
              <w:spacing w:line="269" w:lineRule="auto"/>
              <w:jc w:val="left"/>
              <w:rPr>
                <w:rFonts w:hint="eastAsia" w:ascii="宋体" w:hAnsi="宋体" w:eastAsia="宋体" w:cs="Times New Roman"/>
                <w:szCs w:val="21"/>
              </w:rPr>
            </w:pPr>
          </w:p>
          <w:p w14:paraId="31ACE6A3">
            <w:pPr>
              <w:spacing w:line="269" w:lineRule="auto"/>
              <w:jc w:val="left"/>
              <w:rPr>
                <w:rFonts w:hint="eastAsia" w:ascii="宋体" w:hAnsi="宋体" w:eastAsia="宋体" w:cs="Times New Roman"/>
                <w:szCs w:val="21"/>
              </w:rPr>
            </w:pPr>
            <w:r>
              <w:rPr>
                <w:rFonts w:hint="eastAsia" w:ascii="宋体" w:hAnsi="宋体" w:eastAsia="宋体" w:cs="Times New Roman"/>
                <w:szCs w:val="21"/>
              </w:rPr>
              <w:t>（1）粉笔字训练</w:t>
            </w:r>
          </w:p>
          <w:p w14:paraId="5118C205">
            <w:pPr>
              <w:spacing w:line="269" w:lineRule="auto"/>
              <w:jc w:val="left"/>
              <w:rPr>
                <w:rFonts w:hint="eastAsia" w:ascii="宋体" w:hAnsi="宋体" w:eastAsia="宋体" w:cs="Times New Roman"/>
                <w:szCs w:val="21"/>
              </w:rPr>
            </w:pPr>
            <w:r>
              <w:rPr>
                <w:rFonts w:hint="eastAsia" w:ascii="宋体" w:hAnsi="宋体" w:eastAsia="宋体" w:cs="Times New Roman"/>
                <w:szCs w:val="21"/>
              </w:rPr>
              <w:t>（2）钢笔字训练</w:t>
            </w:r>
          </w:p>
          <w:p w14:paraId="3DD82C9B">
            <w:pPr>
              <w:spacing w:line="269" w:lineRule="auto"/>
              <w:jc w:val="left"/>
              <w:rPr>
                <w:rFonts w:hint="eastAsia" w:ascii="宋体" w:hAnsi="宋体" w:eastAsia="宋体" w:cs="Times New Roman"/>
                <w:szCs w:val="21"/>
              </w:rPr>
            </w:pPr>
            <w:r>
              <w:rPr>
                <w:rFonts w:hint="eastAsia" w:ascii="宋体" w:hAnsi="宋体" w:eastAsia="宋体" w:cs="Times New Roman"/>
                <w:szCs w:val="21"/>
              </w:rPr>
              <w:t>（3）主题演讲</w:t>
            </w:r>
          </w:p>
          <w:p w14:paraId="29341AA4">
            <w:pPr>
              <w:spacing w:line="269" w:lineRule="auto"/>
              <w:jc w:val="left"/>
              <w:rPr>
                <w:rFonts w:hint="eastAsia" w:ascii="宋体" w:hAnsi="宋体" w:eastAsia="宋体" w:cs="Times New Roman"/>
                <w:szCs w:val="21"/>
              </w:rPr>
            </w:pPr>
          </w:p>
          <w:p w14:paraId="4EEEC15F">
            <w:pPr>
              <w:spacing w:line="269" w:lineRule="auto"/>
              <w:jc w:val="left"/>
              <w:rPr>
                <w:rFonts w:hint="eastAsia" w:ascii="宋体" w:hAnsi="宋体" w:eastAsia="宋体" w:cs="Times New Roman"/>
                <w:szCs w:val="21"/>
              </w:rPr>
            </w:pPr>
          </w:p>
        </w:tc>
        <w:tc>
          <w:tcPr>
            <w:tcW w:w="1134" w:type="dxa"/>
            <w:vAlign w:val="center"/>
          </w:tcPr>
          <w:p w14:paraId="387D3167">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3445" w:type="dxa"/>
            <w:vAlign w:val="center"/>
          </w:tcPr>
          <w:p w14:paraId="35DD18BB">
            <w:pPr>
              <w:spacing w:line="269" w:lineRule="auto"/>
              <w:jc w:val="left"/>
              <w:rPr>
                <w:rFonts w:hint="eastAsia" w:ascii="宋体" w:hAnsi="宋体" w:eastAsia="宋体" w:cs="Times New Roman"/>
                <w:szCs w:val="21"/>
              </w:rPr>
            </w:pPr>
            <w:r>
              <w:rPr>
                <w:rFonts w:hint="eastAsia" w:ascii="宋体" w:hAnsi="宋体" w:eastAsia="宋体" w:cs="Times New Roman"/>
                <w:szCs w:val="21"/>
              </w:rPr>
              <w:t>通过粉笔字与钢笔字训练，学生能够熟练掌握汉字书写规范与技巧，粉笔字书写时笔画清晰、结构合理、板面布局美观，钢笔字则达到字体端正、书写流畅、富有美感的水平，显著提升教师基本功中的书写能力，为教学板书和书面交流奠定良好基础。而通过主题演讲训练，学生能够克服怯场心理，具备清晰的逻辑思维与出色的语言表达能力，能够以饱满的情感、恰当的语速语调，围绕教育相关主题展开有深度、有感染力的演讲，增强在教育教学中的沟通与引导能力。</w:t>
            </w:r>
          </w:p>
        </w:tc>
        <w:tc>
          <w:tcPr>
            <w:tcW w:w="1080" w:type="dxa"/>
            <w:vAlign w:val="center"/>
          </w:tcPr>
          <w:p w14:paraId="7E0A8F61">
            <w:pPr>
              <w:spacing w:line="269" w:lineRule="auto"/>
              <w:jc w:val="left"/>
              <w:rPr>
                <w:rFonts w:hint="eastAsia" w:ascii="宋体" w:hAnsi="宋体" w:eastAsia="宋体" w:cs="Times New Roman"/>
                <w:szCs w:val="21"/>
              </w:rPr>
            </w:pPr>
            <w:r>
              <w:rPr>
                <w:rFonts w:hint="eastAsia" w:ascii="宋体" w:hAnsi="宋体" w:eastAsia="宋体" w:cs="Times New Roman"/>
                <w:szCs w:val="21"/>
              </w:rPr>
              <w:t>实践教学</w:t>
            </w:r>
          </w:p>
          <w:p w14:paraId="762B6715">
            <w:pPr>
              <w:spacing w:line="269" w:lineRule="auto"/>
              <w:jc w:val="left"/>
              <w:rPr>
                <w:rFonts w:hint="eastAsia" w:ascii="宋体" w:hAnsi="宋体" w:eastAsia="宋体" w:cs="Times New Roman"/>
                <w:szCs w:val="21"/>
              </w:rPr>
            </w:pPr>
            <w:r>
              <w:rPr>
                <w:rFonts w:hint="eastAsia" w:ascii="宋体" w:hAnsi="宋体" w:eastAsia="宋体" w:cs="Times New Roman"/>
                <w:szCs w:val="21"/>
              </w:rPr>
              <w:t>小组学习</w:t>
            </w:r>
          </w:p>
        </w:tc>
        <w:tc>
          <w:tcPr>
            <w:tcW w:w="733" w:type="dxa"/>
            <w:vAlign w:val="center"/>
          </w:tcPr>
          <w:p w14:paraId="7A1E91BA">
            <w:pPr>
              <w:spacing w:line="269" w:lineRule="auto"/>
              <w:jc w:val="center"/>
              <w:rPr>
                <w:rFonts w:hint="eastAsia" w:ascii="宋体" w:hAnsi="宋体" w:eastAsia="宋体" w:cs="Times New Roman"/>
                <w:szCs w:val="21"/>
              </w:rPr>
            </w:pPr>
            <w:r>
              <w:rPr>
                <w:rFonts w:hint="eastAsia" w:ascii="宋体" w:hAnsi="宋体" w:eastAsia="宋体" w:cs="Times New Roman"/>
                <w:szCs w:val="21"/>
              </w:rPr>
              <w:t>10</w:t>
            </w:r>
          </w:p>
        </w:tc>
      </w:tr>
      <w:tr w14:paraId="5DCB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BFC5BBF">
            <w:pPr>
              <w:spacing w:line="264" w:lineRule="auto"/>
              <w:jc w:val="center"/>
              <w:rPr>
                <w:rFonts w:hint="eastAsia" w:ascii="宋体" w:hAnsi="宋体" w:eastAsia="宋体" w:cs="Times New Roman"/>
                <w:szCs w:val="21"/>
              </w:rPr>
            </w:pPr>
          </w:p>
        </w:tc>
        <w:tc>
          <w:tcPr>
            <w:tcW w:w="8093" w:type="dxa"/>
            <w:gridSpan w:val="5"/>
            <w:vAlign w:val="center"/>
          </w:tcPr>
          <w:p w14:paraId="0B5883F6">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通过钢笔字、粉笔字训练，培养严谨认真、专注执着的学习态度与审美情趣，使其领悟汉字书写背后的文化底蕴，传承中华书法文化。主题演讲中，引导学生树立正确价值观，以自信表达传播正能量，增强社会责任感与教育使命感，塑造积极向上的教育者形象。</w:t>
            </w:r>
          </w:p>
        </w:tc>
      </w:tr>
      <w:tr w14:paraId="2BD9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5F538F1">
            <w:pPr>
              <w:spacing w:line="264" w:lineRule="auto"/>
              <w:rPr>
                <w:rFonts w:hint="eastAsia" w:ascii="宋体" w:hAnsi="宋体" w:eastAsia="宋体" w:cs="Times New Roman"/>
                <w:szCs w:val="21"/>
              </w:rPr>
            </w:pPr>
            <w:r>
              <w:rPr>
                <w:rFonts w:hint="eastAsia" w:ascii="宋体" w:hAnsi="宋体" w:eastAsia="宋体" w:cs="Times New Roman"/>
                <w:szCs w:val="21"/>
              </w:rPr>
              <w:t>名师专题讲座</w:t>
            </w:r>
          </w:p>
        </w:tc>
        <w:tc>
          <w:tcPr>
            <w:tcW w:w="1701" w:type="dxa"/>
            <w:vAlign w:val="center"/>
          </w:tcPr>
          <w:p w14:paraId="3B96559C">
            <w:pPr>
              <w:spacing w:line="269" w:lineRule="auto"/>
              <w:jc w:val="left"/>
              <w:rPr>
                <w:rFonts w:hint="eastAsia" w:ascii="宋体" w:hAnsi="宋体" w:eastAsia="宋体" w:cs="Times New Roman"/>
                <w:szCs w:val="21"/>
              </w:rPr>
            </w:pPr>
            <w:r>
              <w:rPr>
                <w:rFonts w:hint="eastAsia" w:ascii="宋体" w:hAnsi="宋体" w:eastAsia="宋体" w:cs="Times New Roman"/>
                <w:szCs w:val="21"/>
              </w:rPr>
              <w:t>（1）教育观主题</w:t>
            </w:r>
          </w:p>
          <w:p w14:paraId="115F1645">
            <w:pPr>
              <w:spacing w:line="269" w:lineRule="auto"/>
              <w:jc w:val="left"/>
              <w:rPr>
                <w:rFonts w:hint="eastAsia" w:ascii="宋体" w:hAnsi="宋体" w:eastAsia="宋体" w:cs="Times New Roman"/>
                <w:szCs w:val="21"/>
              </w:rPr>
            </w:pPr>
            <w:r>
              <w:rPr>
                <w:rFonts w:hint="eastAsia" w:ascii="宋体" w:hAnsi="宋体" w:eastAsia="宋体" w:cs="Times New Roman"/>
                <w:szCs w:val="21"/>
              </w:rPr>
              <w:t>（2）教师职业主题</w:t>
            </w:r>
          </w:p>
          <w:p w14:paraId="07E60B51">
            <w:pPr>
              <w:spacing w:line="269" w:lineRule="auto"/>
              <w:jc w:val="left"/>
              <w:rPr>
                <w:rFonts w:hint="eastAsia" w:ascii="宋体" w:hAnsi="宋体" w:eastAsia="宋体" w:cs="Times New Roman"/>
                <w:szCs w:val="21"/>
              </w:rPr>
            </w:pPr>
            <w:r>
              <w:rPr>
                <w:rFonts w:hint="eastAsia" w:ascii="宋体" w:hAnsi="宋体" w:eastAsia="宋体" w:cs="Times New Roman"/>
                <w:szCs w:val="21"/>
              </w:rPr>
              <w:t>（3）教育强国主题</w:t>
            </w:r>
          </w:p>
        </w:tc>
        <w:tc>
          <w:tcPr>
            <w:tcW w:w="1134" w:type="dxa"/>
            <w:vAlign w:val="center"/>
          </w:tcPr>
          <w:p w14:paraId="1F4CE963">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445" w:type="dxa"/>
            <w:vAlign w:val="center"/>
          </w:tcPr>
          <w:p w14:paraId="64A22EF7">
            <w:pPr>
              <w:spacing w:line="269" w:lineRule="auto"/>
              <w:jc w:val="left"/>
              <w:rPr>
                <w:rFonts w:hint="eastAsia" w:ascii="宋体" w:hAnsi="宋体" w:eastAsia="宋体" w:cs="Times New Roman"/>
                <w:szCs w:val="21"/>
              </w:rPr>
            </w:pPr>
            <w:r>
              <w:rPr>
                <w:rFonts w:hint="eastAsia" w:ascii="宋体" w:hAnsi="宋体" w:eastAsia="宋体" w:cs="Times New Roman"/>
                <w:szCs w:val="21"/>
              </w:rPr>
              <w:t>在名师专题讲座中，学生能深刻理解并形成科学全面的教育观，明晰教师角色定位与职业道德要求，树立敬业爱生、奉献担当的职业精神，提升职业认同感与归属感。可洞察教育在国家发展战略中的核心地位，激发为教育事业拼搏的热情，积极探索创新教育模式与方法，以助力国家教育现代化进程，为培养德智体美劳全面发展的时代新人而努力。</w:t>
            </w:r>
          </w:p>
        </w:tc>
        <w:tc>
          <w:tcPr>
            <w:tcW w:w="1080" w:type="dxa"/>
            <w:vAlign w:val="center"/>
          </w:tcPr>
          <w:p w14:paraId="3CF095D1">
            <w:pPr>
              <w:spacing w:line="269" w:lineRule="auto"/>
              <w:jc w:val="left"/>
              <w:rPr>
                <w:rFonts w:hint="eastAsia" w:ascii="宋体" w:hAnsi="宋体" w:eastAsia="宋体" w:cs="Times New Roman"/>
                <w:szCs w:val="21"/>
              </w:rPr>
            </w:pPr>
            <w:r>
              <w:rPr>
                <w:rFonts w:hint="eastAsia" w:ascii="宋体" w:hAnsi="宋体" w:eastAsia="宋体" w:cs="Times New Roman"/>
                <w:szCs w:val="21"/>
              </w:rPr>
              <w:t>实践教学</w:t>
            </w:r>
          </w:p>
        </w:tc>
        <w:tc>
          <w:tcPr>
            <w:tcW w:w="733" w:type="dxa"/>
            <w:vAlign w:val="center"/>
          </w:tcPr>
          <w:p w14:paraId="74B055D4">
            <w:pPr>
              <w:spacing w:line="269" w:lineRule="auto"/>
              <w:jc w:val="center"/>
              <w:rPr>
                <w:rFonts w:hint="eastAsia" w:ascii="宋体" w:hAnsi="宋体" w:eastAsia="宋体" w:cs="Times New Roman"/>
                <w:szCs w:val="21"/>
              </w:rPr>
            </w:pPr>
            <w:r>
              <w:rPr>
                <w:rFonts w:hint="eastAsia" w:ascii="宋体" w:hAnsi="宋体" w:eastAsia="宋体" w:cs="Times New Roman"/>
                <w:szCs w:val="21"/>
              </w:rPr>
              <w:t>10</w:t>
            </w:r>
          </w:p>
        </w:tc>
      </w:tr>
      <w:tr w14:paraId="3DF2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5671939C">
            <w:pPr>
              <w:spacing w:line="264" w:lineRule="auto"/>
              <w:jc w:val="center"/>
              <w:rPr>
                <w:rFonts w:hint="eastAsia" w:ascii="宋体" w:hAnsi="宋体" w:eastAsia="宋体" w:cs="Times New Roman"/>
                <w:szCs w:val="21"/>
              </w:rPr>
            </w:pPr>
          </w:p>
        </w:tc>
        <w:tc>
          <w:tcPr>
            <w:tcW w:w="8093" w:type="dxa"/>
            <w:gridSpan w:val="5"/>
            <w:vAlign w:val="center"/>
          </w:tcPr>
          <w:p w14:paraId="5E38A3D5">
            <w:pPr>
              <w:spacing w:line="269"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 xml:space="preserve"> 通过教育观主题学习，引导学生树立以人为本、全面发展的教育理念，厚植教育情怀。教师职业主题助力学生形成高尚师德与职业操守，增强使命感。教育强国主题则激发学生爱国情与报国志，使其明白教育担当，为教育强国梦努力奋进。</w:t>
            </w:r>
          </w:p>
        </w:tc>
      </w:tr>
    </w:tbl>
    <w:p w14:paraId="09CCE658">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2"/>
          <w:szCs w:val="22"/>
        </w:rPr>
        <w:t>四、目标评价与成绩评定</w:t>
      </w:r>
    </w:p>
    <w:p w14:paraId="14AD7173">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5CE5F41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764"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323"/>
        <w:gridCol w:w="984"/>
        <w:gridCol w:w="944"/>
        <w:gridCol w:w="1215"/>
        <w:gridCol w:w="1104"/>
        <w:gridCol w:w="1356"/>
        <w:gridCol w:w="649"/>
      </w:tblGrid>
      <w:tr w14:paraId="6EB9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restart"/>
            <w:vAlign w:val="center"/>
          </w:tcPr>
          <w:p w14:paraId="7CD1C961">
            <w:pPr>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926" w:type="dxa"/>
            <w:gridSpan w:val="6"/>
            <w:vAlign w:val="center"/>
          </w:tcPr>
          <w:p w14:paraId="172782D4">
            <w:pPr>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649" w:type="dxa"/>
            <w:vMerge w:val="restart"/>
            <w:vAlign w:val="center"/>
          </w:tcPr>
          <w:p w14:paraId="61D2CAC4">
            <w:pPr>
              <w:jc w:val="center"/>
              <w:rPr>
                <w:rFonts w:hint="eastAsia" w:ascii="宋体" w:hAnsi="宋体" w:eastAsia="宋体" w:cs="Times New Roman"/>
                <w:szCs w:val="21"/>
              </w:rPr>
            </w:pPr>
            <w:r>
              <w:rPr>
                <w:rFonts w:hint="eastAsia" w:ascii="宋体" w:hAnsi="宋体" w:eastAsia="宋体" w:cs="Times New Roman"/>
                <w:szCs w:val="21"/>
              </w:rPr>
              <w:t>分值</w:t>
            </w:r>
          </w:p>
        </w:tc>
      </w:tr>
      <w:tr w14:paraId="1FA5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vAlign w:val="center"/>
          </w:tcPr>
          <w:p w14:paraId="6529BC60">
            <w:pPr>
              <w:jc w:val="center"/>
              <w:rPr>
                <w:rFonts w:hint="eastAsia" w:ascii="宋体" w:hAnsi="宋体" w:eastAsia="宋体" w:cs="Times New Roman"/>
                <w:szCs w:val="21"/>
              </w:rPr>
            </w:pPr>
          </w:p>
        </w:tc>
        <w:tc>
          <w:tcPr>
            <w:tcW w:w="1323" w:type="dxa"/>
            <w:vAlign w:val="center"/>
          </w:tcPr>
          <w:p w14:paraId="0D2CA9D6">
            <w:pPr>
              <w:jc w:val="center"/>
              <w:rPr>
                <w:rFonts w:hint="eastAsia" w:ascii="宋体" w:hAnsi="宋体" w:eastAsia="宋体" w:cs="Times New Roman"/>
                <w:szCs w:val="21"/>
              </w:rPr>
            </w:pPr>
            <w:r>
              <w:rPr>
                <w:rFonts w:hint="eastAsia" w:ascii="宋体" w:hAnsi="宋体" w:eastAsia="宋体" w:cs="Times New Roman"/>
                <w:szCs w:val="21"/>
              </w:rPr>
              <w:t>教育类视频观看心得</w:t>
            </w:r>
          </w:p>
        </w:tc>
        <w:tc>
          <w:tcPr>
            <w:tcW w:w="984" w:type="dxa"/>
            <w:vAlign w:val="center"/>
          </w:tcPr>
          <w:p w14:paraId="057C2CFF">
            <w:pPr>
              <w:jc w:val="center"/>
              <w:rPr>
                <w:rFonts w:hint="eastAsia" w:ascii="宋体" w:hAnsi="宋体" w:eastAsia="宋体" w:cs="Times New Roman"/>
                <w:szCs w:val="21"/>
              </w:rPr>
            </w:pPr>
            <w:r>
              <w:rPr>
                <w:rFonts w:hint="eastAsia" w:ascii="宋体" w:hAnsi="宋体" w:eastAsia="宋体" w:cs="Times New Roman"/>
                <w:szCs w:val="21"/>
              </w:rPr>
              <w:t>钢笔字</w:t>
            </w:r>
          </w:p>
          <w:p w14:paraId="07D6D33C">
            <w:pPr>
              <w:jc w:val="center"/>
              <w:rPr>
                <w:rFonts w:hint="eastAsia" w:ascii="宋体" w:hAnsi="宋体" w:eastAsia="宋体" w:cs="Times New Roman"/>
                <w:szCs w:val="21"/>
              </w:rPr>
            </w:pPr>
            <w:r>
              <w:rPr>
                <w:rFonts w:hint="eastAsia" w:ascii="宋体" w:hAnsi="宋体" w:eastAsia="宋体" w:cs="Times New Roman"/>
                <w:szCs w:val="21"/>
              </w:rPr>
              <w:t>书写</w:t>
            </w:r>
          </w:p>
        </w:tc>
        <w:tc>
          <w:tcPr>
            <w:tcW w:w="944" w:type="dxa"/>
            <w:vAlign w:val="center"/>
          </w:tcPr>
          <w:p w14:paraId="577258CC">
            <w:pPr>
              <w:jc w:val="center"/>
              <w:rPr>
                <w:rFonts w:hint="eastAsia" w:ascii="宋体" w:hAnsi="宋体" w:eastAsia="宋体" w:cs="Times New Roman"/>
                <w:szCs w:val="21"/>
              </w:rPr>
            </w:pPr>
            <w:r>
              <w:rPr>
                <w:rFonts w:hint="eastAsia" w:ascii="宋体" w:hAnsi="宋体" w:eastAsia="宋体" w:cs="Times New Roman"/>
                <w:szCs w:val="21"/>
              </w:rPr>
              <w:t>粉笔字</w:t>
            </w:r>
          </w:p>
          <w:p w14:paraId="58C56632">
            <w:pPr>
              <w:jc w:val="center"/>
              <w:rPr>
                <w:rFonts w:hint="eastAsia" w:ascii="宋体" w:hAnsi="宋体" w:eastAsia="宋体" w:cs="Times New Roman"/>
                <w:szCs w:val="21"/>
              </w:rPr>
            </w:pPr>
            <w:r>
              <w:rPr>
                <w:rFonts w:hint="eastAsia" w:ascii="宋体" w:hAnsi="宋体" w:eastAsia="宋体" w:cs="Times New Roman"/>
                <w:szCs w:val="21"/>
              </w:rPr>
              <w:t>书写</w:t>
            </w:r>
          </w:p>
        </w:tc>
        <w:tc>
          <w:tcPr>
            <w:tcW w:w="1215" w:type="dxa"/>
            <w:vAlign w:val="center"/>
          </w:tcPr>
          <w:p w14:paraId="27EE6F12">
            <w:pPr>
              <w:jc w:val="center"/>
              <w:rPr>
                <w:rFonts w:hint="eastAsia" w:ascii="宋体" w:hAnsi="宋体" w:eastAsia="宋体" w:cs="Times New Roman"/>
                <w:szCs w:val="21"/>
              </w:rPr>
            </w:pPr>
            <w:r>
              <w:rPr>
                <w:rFonts w:hint="eastAsia" w:ascii="宋体" w:hAnsi="宋体" w:eastAsia="宋体" w:cs="Times New Roman"/>
                <w:szCs w:val="21"/>
              </w:rPr>
              <w:t>主题演讲提纲</w:t>
            </w:r>
          </w:p>
        </w:tc>
        <w:tc>
          <w:tcPr>
            <w:tcW w:w="1104" w:type="dxa"/>
            <w:vAlign w:val="center"/>
          </w:tcPr>
          <w:p w14:paraId="0127D664">
            <w:pPr>
              <w:jc w:val="center"/>
              <w:rPr>
                <w:rFonts w:hint="eastAsia" w:ascii="宋体" w:hAnsi="宋体" w:eastAsia="宋体" w:cs="Times New Roman"/>
                <w:szCs w:val="21"/>
              </w:rPr>
            </w:pPr>
            <w:r>
              <w:rPr>
                <w:rFonts w:hint="eastAsia" w:ascii="宋体" w:hAnsi="宋体" w:eastAsia="宋体" w:cs="Times New Roman"/>
                <w:szCs w:val="21"/>
              </w:rPr>
              <w:t>名师专题讲座记录</w:t>
            </w:r>
          </w:p>
        </w:tc>
        <w:tc>
          <w:tcPr>
            <w:tcW w:w="1356" w:type="dxa"/>
            <w:vAlign w:val="center"/>
          </w:tcPr>
          <w:p w14:paraId="70586D6D">
            <w:pPr>
              <w:jc w:val="center"/>
              <w:rPr>
                <w:rFonts w:hint="eastAsia" w:ascii="宋体" w:hAnsi="宋体" w:eastAsia="宋体" w:cs="Times New Roman"/>
                <w:szCs w:val="21"/>
              </w:rPr>
            </w:pPr>
            <w:r>
              <w:rPr>
                <w:rFonts w:hint="eastAsia" w:ascii="宋体" w:hAnsi="宋体" w:eastAsia="宋体" w:cs="Times New Roman"/>
                <w:szCs w:val="21"/>
              </w:rPr>
              <w:t>认知实习日记和总结</w:t>
            </w:r>
          </w:p>
        </w:tc>
        <w:tc>
          <w:tcPr>
            <w:tcW w:w="649" w:type="dxa"/>
            <w:vMerge w:val="continue"/>
            <w:vAlign w:val="center"/>
          </w:tcPr>
          <w:p w14:paraId="0B6AEA29">
            <w:pPr>
              <w:jc w:val="center"/>
              <w:rPr>
                <w:rFonts w:hint="eastAsia" w:ascii="宋体" w:hAnsi="宋体" w:eastAsia="宋体" w:cs="Times New Roman"/>
                <w:szCs w:val="21"/>
              </w:rPr>
            </w:pPr>
          </w:p>
        </w:tc>
      </w:tr>
      <w:tr w14:paraId="0EA9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89" w:type="dxa"/>
            <w:vAlign w:val="center"/>
          </w:tcPr>
          <w:p w14:paraId="37BA4B91">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323" w:type="dxa"/>
            <w:vAlign w:val="center"/>
          </w:tcPr>
          <w:p w14:paraId="00F1BE17">
            <w:pPr>
              <w:spacing w:line="312" w:lineRule="auto"/>
              <w:jc w:val="center"/>
              <w:rPr>
                <w:rFonts w:hint="eastAsia" w:ascii="宋体" w:hAnsi="宋体" w:eastAsia="宋体" w:cs="Times New Roman"/>
                <w:szCs w:val="21"/>
              </w:rPr>
            </w:pPr>
            <w:r>
              <w:rPr>
                <w:rFonts w:ascii="Arial" w:hAnsi="Arial" w:eastAsia="宋体" w:cs="Arial"/>
                <w:szCs w:val="21"/>
              </w:rPr>
              <w:t>√</w:t>
            </w:r>
          </w:p>
        </w:tc>
        <w:tc>
          <w:tcPr>
            <w:tcW w:w="984" w:type="dxa"/>
            <w:vAlign w:val="center"/>
          </w:tcPr>
          <w:p w14:paraId="5516259C">
            <w:pPr>
              <w:spacing w:line="312" w:lineRule="auto"/>
              <w:jc w:val="center"/>
              <w:rPr>
                <w:rFonts w:hint="eastAsia" w:ascii="宋体" w:hAnsi="宋体" w:eastAsia="宋体" w:cs="Times New Roman"/>
                <w:szCs w:val="21"/>
              </w:rPr>
            </w:pPr>
          </w:p>
        </w:tc>
        <w:tc>
          <w:tcPr>
            <w:tcW w:w="944" w:type="dxa"/>
            <w:vAlign w:val="center"/>
          </w:tcPr>
          <w:p w14:paraId="4DADC6C9">
            <w:pPr>
              <w:spacing w:line="312" w:lineRule="auto"/>
              <w:jc w:val="center"/>
              <w:rPr>
                <w:rFonts w:hint="eastAsia" w:ascii="宋体" w:hAnsi="宋体" w:eastAsia="宋体" w:cs="Times New Roman"/>
                <w:szCs w:val="21"/>
              </w:rPr>
            </w:pPr>
          </w:p>
        </w:tc>
        <w:tc>
          <w:tcPr>
            <w:tcW w:w="1215" w:type="dxa"/>
            <w:vAlign w:val="center"/>
          </w:tcPr>
          <w:p w14:paraId="1EAFEEA7">
            <w:pPr>
              <w:spacing w:line="312" w:lineRule="auto"/>
              <w:jc w:val="center"/>
              <w:rPr>
                <w:rFonts w:hint="eastAsia" w:ascii="宋体" w:hAnsi="宋体" w:eastAsia="宋体" w:cs="Times New Roman"/>
                <w:szCs w:val="21"/>
              </w:rPr>
            </w:pPr>
          </w:p>
        </w:tc>
        <w:tc>
          <w:tcPr>
            <w:tcW w:w="1104" w:type="dxa"/>
            <w:vAlign w:val="center"/>
          </w:tcPr>
          <w:p w14:paraId="5E634A24">
            <w:pPr>
              <w:spacing w:line="312" w:lineRule="auto"/>
              <w:jc w:val="center"/>
              <w:rPr>
                <w:rFonts w:hint="eastAsia" w:ascii="宋体" w:hAnsi="宋体" w:eastAsia="宋体" w:cs="Times New Roman"/>
                <w:szCs w:val="21"/>
              </w:rPr>
            </w:pPr>
          </w:p>
        </w:tc>
        <w:tc>
          <w:tcPr>
            <w:tcW w:w="1356" w:type="dxa"/>
            <w:vAlign w:val="center"/>
          </w:tcPr>
          <w:p w14:paraId="2220403D">
            <w:pPr>
              <w:spacing w:line="312" w:lineRule="auto"/>
              <w:jc w:val="center"/>
              <w:rPr>
                <w:rFonts w:hint="eastAsia" w:ascii="宋体" w:hAnsi="宋体" w:eastAsia="宋体" w:cs="Times New Roman"/>
                <w:szCs w:val="21"/>
              </w:rPr>
            </w:pPr>
            <w:r>
              <w:rPr>
                <w:rFonts w:ascii="Arial" w:hAnsi="Arial" w:eastAsia="宋体" w:cs="Arial"/>
                <w:szCs w:val="21"/>
              </w:rPr>
              <w:t>√</w:t>
            </w:r>
          </w:p>
        </w:tc>
        <w:tc>
          <w:tcPr>
            <w:tcW w:w="649" w:type="dxa"/>
            <w:vAlign w:val="center"/>
          </w:tcPr>
          <w:p w14:paraId="4A4D32FC">
            <w:pPr>
              <w:spacing w:line="312" w:lineRule="auto"/>
              <w:jc w:val="center"/>
              <w:rPr>
                <w:rFonts w:hint="eastAsia" w:ascii="宋体" w:hAnsi="宋体" w:eastAsia="宋体" w:cs="Times New Roman"/>
                <w:szCs w:val="21"/>
              </w:rPr>
            </w:pPr>
            <w:r>
              <w:rPr>
                <w:rFonts w:hint="eastAsia" w:ascii="宋体" w:hAnsi="宋体" w:eastAsia="宋体" w:cs="Times New Roman"/>
                <w:kern w:val="0"/>
                <w:szCs w:val="21"/>
              </w:rPr>
              <w:t>30%</w:t>
            </w:r>
          </w:p>
        </w:tc>
      </w:tr>
      <w:tr w14:paraId="7C48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22D16CF3">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323" w:type="dxa"/>
            <w:vAlign w:val="center"/>
          </w:tcPr>
          <w:p w14:paraId="574D63CB">
            <w:pPr>
              <w:spacing w:line="312" w:lineRule="auto"/>
              <w:jc w:val="center"/>
              <w:rPr>
                <w:rFonts w:hint="eastAsia" w:ascii="宋体" w:hAnsi="宋体" w:eastAsia="宋体" w:cs="Times New Roman"/>
                <w:szCs w:val="21"/>
              </w:rPr>
            </w:pPr>
          </w:p>
        </w:tc>
        <w:tc>
          <w:tcPr>
            <w:tcW w:w="984" w:type="dxa"/>
            <w:vAlign w:val="center"/>
          </w:tcPr>
          <w:p w14:paraId="4EFA4174">
            <w:pPr>
              <w:spacing w:line="312" w:lineRule="auto"/>
              <w:jc w:val="center"/>
              <w:rPr>
                <w:rFonts w:hint="eastAsia" w:ascii="宋体" w:hAnsi="宋体" w:eastAsia="宋体" w:cs="Times New Roman"/>
                <w:szCs w:val="21"/>
              </w:rPr>
            </w:pPr>
            <w:r>
              <w:rPr>
                <w:rFonts w:ascii="Arial" w:hAnsi="Arial" w:eastAsia="宋体" w:cs="Arial"/>
                <w:szCs w:val="21"/>
              </w:rPr>
              <w:t>√</w:t>
            </w:r>
          </w:p>
        </w:tc>
        <w:tc>
          <w:tcPr>
            <w:tcW w:w="944" w:type="dxa"/>
            <w:vAlign w:val="center"/>
          </w:tcPr>
          <w:p w14:paraId="71ADEFC1">
            <w:pPr>
              <w:spacing w:line="312" w:lineRule="auto"/>
              <w:jc w:val="center"/>
              <w:rPr>
                <w:rFonts w:hint="eastAsia" w:ascii="宋体" w:hAnsi="宋体" w:eastAsia="宋体" w:cs="Times New Roman"/>
                <w:szCs w:val="21"/>
              </w:rPr>
            </w:pPr>
            <w:r>
              <w:rPr>
                <w:rFonts w:ascii="Arial" w:hAnsi="Arial" w:eastAsia="宋体" w:cs="Arial"/>
                <w:szCs w:val="21"/>
              </w:rPr>
              <w:t>√</w:t>
            </w:r>
          </w:p>
        </w:tc>
        <w:tc>
          <w:tcPr>
            <w:tcW w:w="1215" w:type="dxa"/>
            <w:vAlign w:val="center"/>
          </w:tcPr>
          <w:p w14:paraId="38D3BF8B">
            <w:pPr>
              <w:spacing w:line="312" w:lineRule="auto"/>
              <w:jc w:val="center"/>
              <w:rPr>
                <w:rFonts w:hint="eastAsia" w:ascii="宋体" w:hAnsi="宋体" w:eastAsia="宋体" w:cs="Times New Roman"/>
                <w:szCs w:val="21"/>
              </w:rPr>
            </w:pPr>
            <w:r>
              <w:rPr>
                <w:rFonts w:ascii="Arial" w:hAnsi="Arial" w:eastAsia="宋体" w:cs="Arial"/>
                <w:szCs w:val="21"/>
              </w:rPr>
              <w:t>√</w:t>
            </w:r>
          </w:p>
        </w:tc>
        <w:tc>
          <w:tcPr>
            <w:tcW w:w="1104" w:type="dxa"/>
            <w:vAlign w:val="center"/>
          </w:tcPr>
          <w:p w14:paraId="2E67F7DC">
            <w:pPr>
              <w:spacing w:line="312" w:lineRule="auto"/>
              <w:jc w:val="center"/>
              <w:rPr>
                <w:rFonts w:hint="eastAsia" w:ascii="宋体" w:hAnsi="宋体" w:eastAsia="宋体" w:cs="Times New Roman"/>
                <w:szCs w:val="21"/>
              </w:rPr>
            </w:pPr>
          </w:p>
        </w:tc>
        <w:tc>
          <w:tcPr>
            <w:tcW w:w="1356" w:type="dxa"/>
            <w:vAlign w:val="center"/>
          </w:tcPr>
          <w:p w14:paraId="659C8DE2">
            <w:pPr>
              <w:spacing w:line="312" w:lineRule="auto"/>
              <w:jc w:val="center"/>
              <w:rPr>
                <w:rFonts w:hint="eastAsia" w:ascii="宋体" w:hAnsi="宋体" w:eastAsia="宋体" w:cs="Times New Roman"/>
                <w:szCs w:val="21"/>
              </w:rPr>
            </w:pPr>
            <w:r>
              <w:rPr>
                <w:rFonts w:ascii="Arial" w:hAnsi="Arial" w:eastAsia="宋体" w:cs="Arial"/>
                <w:szCs w:val="21"/>
              </w:rPr>
              <w:t>√</w:t>
            </w:r>
          </w:p>
        </w:tc>
        <w:tc>
          <w:tcPr>
            <w:tcW w:w="649" w:type="dxa"/>
            <w:vAlign w:val="center"/>
          </w:tcPr>
          <w:p w14:paraId="41FC0492">
            <w:pPr>
              <w:spacing w:line="312" w:lineRule="auto"/>
              <w:jc w:val="center"/>
              <w:rPr>
                <w:rFonts w:hint="eastAsia" w:ascii="宋体" w:hAnsi="宋体" w:eastAsia="宋体" w:cs="Times New Roman"/>
                <w:szCs w:val="21"/>
              </w:rPr>
            </w:pPr>
            <w:r>
              <w:rPr>
                <w:rFonts w:hint="eastAsia" w:ascii="宋体" w:hAnsi="宋体" w:eastAsia="宋体" w:cs="Times New Roman"/>
                <w:kern w:val="0"/>
                <w:szCs w:val="21"/>
              </w:rPr>
              <w:t>40%</w:t>
            </w:r>
          </w:p>
        </w:tc>
      </w:tr>
      <w:tr w14:paraId="3F0C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7A660672">
            <w:pPr>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323" w:type="dxa"/>
            <w:vAlign w:val="center"/>
          </w:tcPr>
          <w:p w14:paraId="37124D82">
            <w:pPr>
              <w:spacing w:line="312" w:lineRule="auto"/>
              <w:jc w:val="center"/>
              <w:rPr>
                <w:rFonts w:hint="eastAsia" w:ascii="宋体" w:hAnsi="宋体" w:eastAsia="宋体" w:cs="Times New Roman"/>
                <w:szCs w:val="21"/>
              </w:rPr>
            </w:pPr>
          </w:p>
        </w:tc>
        <w:tc>
          <w:tcPr>
            <w:tcW w:w="984" w:type="dxa"/>
            <w:vAlign w:val="center"/>
          </w:tcPr>
          <w:p w14:paraId="54344513">
            <w:pPr>
              <w:spacing w:line="312" w:lineRule="auto"/>
              <w:jc w:val="center"/>
              <w:rPr>
                <w:rFonts w:hint="eastAsia" w:ascii="宋体" w:hAnsi="宋体" w:eastAsia="宋体" w:cs="Times New Roman"/>
                <w:szCs w:val="21"/>
              </w:rPr>
            </w:pPr>
          </w:p>
        </w:tc>
        <w:tc>
          <w:tcPr>
            <w:tcW w:w="944" w:type="dxa"/>
            <w:vAlign w:val="center"/>
          </w:tcPr>
          <w:p w14:paraId="744AC35D">
            <w:pPr>
              <w:spacing w:line="312" w:lineRule="auto"/>
              <w:jc w:val="center"/>
              <w:rPr>
                <w:rFonts w:hint="eastAsia" w:ascii="宋体" w:hAnsi="宋体" w:eastAsia="宋体" w:cs="Times New Roman"/>
                <w:szCs w:val="21"/>
              </w:rPr>
            </w:pPr>
          </w:p>
        </w:tc>
        <w:tc>
          <w:tcPr>
            <w:tcW w:w="1215" w:type="dxa"/>
            <w:vAlign w:val="center"/>
          </w:tcPr>
          <w:p w14:paraId="7335C257">
            <w:pPr>
              <w:spacing w:line="312" w:lineRule="auto"/>
              <w:jc w:val="center"/>
              <w:rPr>
                <w:rFonts w:hint="eastAsia" w:ascii="宋体" w:hAnsi="宋体" w:eastAsia="宋体" w:cs="Times New Roman"/>
                <w:szCs w:val="21"/>
              </w:rPr>
            </w:pPr>
          </w:p>
        </w:tc>
        <w:tc>
          <w:tcPr>
            <w:tcW w:w="1104" w:type="dxa"/>
            <w:vAlign w:val="center"/>
          </w:tcPr>
          <w:p w14:paraId="706D71AC">
            <w:pPr>
              <w:spacing w:line="312" w:lineRule="auto"/>
              <w:jc w:val="center"/>
              <w:rPr>
                <w:rFonts w:hint="eastAsia" w:ascii="宋体" w:hAnsi="宋体" w:eastAsia="宋体" w:cs="Times New Roman"/>
                <w:szCs w:val="21"/>
              </w:rPr>
            </w:pPr>
            <w:r>
              <w:rPr>
                <w:rFonts w:ascii="Arial" w:hAnsi="Arial" w:eastAsia="宋体" w:cs="Arial"/>
                <w:szCs w:val="21"/>
              </w:rPr>
              <w:t>√</w:t>
            </w:r>
          </w:p>
        </w:tc>
        <w:tc>
          <w:tcPr>
            <w:tcW w:w="1356" w:type="dxa"/>
            <w:vAlign w:val="center"/>
          </w:tcPr>
          <w:p w14:paraId="31AECD3E">
            <w:pPr>
              <w:spacing w:line="312" w:lineRule="auto"/>
              <w:jc w:val="center"/>
              <w:rPr>
                <w:rFonts w:hint="eastAsia" w:ascii="宋体" w:hAnsi="宋体" w:eastAsia="宋体" w:cs="Times New Roman"/>
                <w:szCs w:val="21"/>
              </w:rPr>
            </w:pPr>
            <w:r>
              <w:rPr>
                <w:rFonts w:ascii="Arial" w:hAnsi="Arial" w:eastAsia="宋体" w:cs="Arial"/>
                <w:szCs w:val="21"/>
              </w:rPr>
              <w:t>√</w:t>
            </w:r>
          </w:p>
        </w:tc>
        <w:tc>
          <w:tcPr>
            <w:tcW w:w="649" w:type="dxa"/>
            <w:vAlign w:val="center"/>
          </w:tcPr>
          <w:p w14:paraId="1A04A3CF">
            <w:pPr>
              <w:spacing w:line="312" w:lineRule="auto"/>
              <w:jc w:val="center"/>
              <w:rPr>
                <w:rFonts w:hint="eastAsia" w:ascii="宋体" w:hAnsi="宋体" w:eastAsia="宋体" w:cs="Times New Roman"/>
                <w:szCs w:val="21"/>
              </w:rPr>
            </w:pPr>
            <w:r>
              <w:rPr>
                <w:rFonts w:hint="eastAsia" w:ascii="宋体" w:hAnsi="宋体" w:eastAsia="宋体" w:cs="Times New Roman"/>
                <w:kern w:val="0"/>
                <w:szCs w:val="21"/>
              </w:rPr>
              <w:t>30%</w:t>
            </w:r>
          </w:p>
        </w:tc>
      </w:tr>
      <w:tr w14:paraId="7588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Align w:val="center"/>
          </w:tcPr>
          <w:p w14:paraId="70AC567D">
            <w:pPr>
              <w:spacing w:line="312"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323" w:type="dxa"/>
            <w:vAlign w:val="center"/>
          </w:tcPr>
          <w:p w14:paraId="1E7EE7DB">
            <w:pPr>
              <w:spacing w:line="312" w:lineRule="auto"/>
              <w:jc w:val="center"/>
              <w:rPr>
                <w:rFonts w:hint="eastAsia" w:ascii="宋体" w:hAnsi="宋体" w:eastAsia="宋体" w:cs="Times New Roman"/>
                <w:szCs w:val="21"/>
              </w:rPr>
            </w:pPr>
          </w:p>
        </w:tc>
        <w:tc>
          <w:tcPr>
            <w:tcW w:w="984" w:type="dxa"/>
            <w:vAlign w:val="center"/>
          </w:tcPr>
          <w:p w14:paraId="05918C83">
            <w:pPr>
              <w:spacing w:line="312" w:lineRule="auto"/>
              <w:jc w:val="center"/>
              <w:rPr>
                <w:rFonts w:hint="eastAsia" w:ascii="宋体" w:hAnsi="宋体" w:eastAsia="宋体" w:cs="Times New Roman"/>
                <w:szCs w:val="21"/>
              </w:rPr>
            </w:pPr>
          </w:p>
        </w:tc>
        <w:tc>
          <w:tcPr>
            <w:tcW w:w="944" w:type="dxa"/>
            <w:vAlign w:val="center"/>
          </w:tcPr>
          <w:p w14:paraId="3BC829CC">
            <w:pPr>
              <w:spacing w:line="312" w:lineRule="auto"/>
              <w:jc w:val="center"/>
              <w:rPr>
                <w:rFonts w:hint="eastAsia" w:ascii="宋体" w:hAnsi="宋体" w:eastAsia="宋体" w:cs="Times New Roman"/>
                <w:szCs w:val="21"/>
              </w:rPr>
            </w:pPr>
          </w:p>
        </w:tc>
        <w:tc>
          <w:tcPr>
            <w:tcW w:w="1215" w:type="dxa"/>
            <w:vAlign w:val="center"/>
          </w:tcPr>
          <w:p w14:paraId="08F85765">
            <w:pPr>
              <w:spacing w:line="312" w:lineRule="auto"/>
              <w:jc w:val="center"/>
              <w:rPr>
                <w:rFonts w:hint="eastAsia" w:ascii="宋体" w:hAnsi="宋体" w:eastAsia="宋体" w:cs="Times New Roman"/>
                <w:szCs w:val="21"/>
              </w:rPr>
            </w:pPr>
          </w:p>
        </w:tc>
        <w:tc>
          <w:tcPr>
            <w:tcW w:w="1104" w:type="dxa"/>
            <w:vAlign w:val="center"/>
          </w:tcPr>
          <w:p w14:paraId="3A3D80D4">
            <w:pPr>
              <w:spacing w:line="312" w:lineRule="auto"/>
              <w:jc w:val="center"/>
              <w:rPr>
                <w:rFonts w:hint="eastAsia" w:ascii="宋体" w:hAnsi="宋体" w:eastAsia="宋体" w:cs="Times New Roman"/>
                <w:szCs w:val="21"/>
              </w:rPr>
            </w:pPr>
          </w:p>
        </w:tc>
        <w:tc>
          <w:tcPr>
            <w:tcW w:w="1356" w:type="dxa"/>
            <w:vAlign w:val="center"/>
          </w:tcPr>
          <w:p w14:paraId="64841543">
            <w:pPr>
              <w:spacing w:line="312" w:lineRule="auto"/>
              <w:jc w:val="center"/>
              <w:rPr>
                <w:rFonts w:hint="eastAsia" w:ascii="宋体" w:hAnsi="宋体" w:eastAsia="宋体" w:cs="Times New Roman"/>
                <w:szCs w:val="21"/>
              </w:rPr>
            </w:pPr>
          </w:p>
        </w:tc>
        <w:tc>
          <w:tcPr>
            <w:tcW w:w="649" w:type="dxa"/>
            <w:vAlign w:val="center"/>
          </w:tcPr>
          <w:p w14:paraId="3A3099C9">
            <w:pPr>
              <w:spacing w:line="312"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135D3ED">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90FED42">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6608"/>
        <w:gridCol w:w="706"/>
      </w:tblGrid>
      <w:tr w14:paraId="2FDB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530DE5B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608" w:type="dxa"/>
            <w:vAlign w:val="center"/>
          </w:tcPr>
          <w:p w14:paraId="5732E7DC">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56F5D436">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70BF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01B630C3">
            <w:pPr>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观看教育类视频</w:t>
            </w:r>
          </w:p>
        </w:tc>
        <w:tc>
          <w:tcPr>
            <w:tcW w:w="6608" w:type="dxa"/>
            <w:vAlign w:val="center"/>
          </w:tcPr>
          <w:p w14:paraId="457952E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1.理解深度：能够准确理解视频资源所传达的教育理念、教学方法等核心内容，并进行深入分析。</w:t>
            </w:r>
          </w:p>
          <w:p w14:paraId="5A6D3165">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2.结合实际：心得紧密结合自身认知实习经历或未来教育教学实践，阐述视频内容对自身的启发与应用价值。</w:t>
            </w:r>
          </w:p>
          <w:p w14:paraId="2A0CCE4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3.思考与感悟：有独立的思考与感悟，能够对视频中的观点提出自己的见解或疑问，并进行一定的反思。</w:t>
            </w:r>
          </w:p>
          <w:p w14:paraId="48514FE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4.文字表达：语言通顺、表达清晰，无明显语病和错别字。</w:t>
            </w:r>
          </w:p>
        </w:tc>
        <w:tc>
          <w:tcPr>
            <w:tcW w:w="0" w:type="auto"/>
            <w:vAlign w:val="center"/>
          </w:tcPr>
          <w:p w14:paraId="72743FC4">
            <w:pPr>
              <w:jc w:val="center"/>
              <w:rPr>
                <w:rFonts w:ascii="Times New Roman" w:hAnsi="Times New Roman" w:eastAsia="宋体" w:cs="Times New Roman"/>
                <w:szCs w:val="21"/>
              </w:rPr>
            </w:pPr>
            <w:r>
              <w:rPr>
                <w:rFonts w:hint="eastAsia" w:ascii="宋体" w:hAnsi="宋体" w:eastAsia="宋体" w:cs="Times New Roman"/>
                <w:sz w:val="24"/>
              </w:rPr>
              <w:t>10%</w:t>
            </w:r>
          </w:p>
        </w:tc>
      </w:tr>
      <w:tr w14:paraId="6B22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706F8F0C">
            <w:pPr>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钢笔字</w:t>
            </w:r>
          </w:p>
          <w:p w14:paraId="02CFBEF7">
            <w:pPr>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书写</w:t>
            </w:r>
          </w:p>
        </w:tc>
        <w:tc>
          <w:tcPr>
            <w:tcW w:w="6608" w:type="dxa"/>
            <w:vAlign w:val="center"/>
          </w:tcPr>
          <w:p w14:paraId="76DDCA17">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1.书写规范：笔画清晰、笔顺正确，字体结构合理，无错别字、潦草字。符合汉字书写规范要求。</w:t>
            </w:r>
          </w:p>
          <w:p w14:paraId="359ED5A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2.整体美观：行列整齐，字间距、行间距适中，页面整洁，整体视觉效果舒适。</w:t>
            </w:r>
          </w:p>
          <w:p w14:paraId="297878C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3.书写速度：在规定时间内完成规定字数，书写速度适中，不影响书写质量。</w:t>
            </w:r>
          </w:p>
          <w:p w14:paraId="0DBD90A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4.书写风格：字体风格统一，有一定的个性与艺术性，能够展现对书法美感的基本把握。</w:t>
            </w:r>
          </w:p>
        </w:tc>
        <w:tc>
          <w:tcPr>
            <w:tcW w:w="0" w:type="auto"/>
            <w:vAlign w:val="center"/>
          </w:tcPr>
          <w:p w14:paraId="3C6433C2">
            <w:pPr>
              <w:jc w:val="center"/>
              <w:rPr>
                <w:rFonts w:ascii="Times New Roman" w:hAnsi="Times New Roman" w:eastAsia="宋体" w:cs="Times New Roman"/>
                <w:szCs w:val="21"/>
              </w:rPr>
            </w:pPr>
            <w:r>
              <w:rPr>
                <w:rFonts w:hint="eastAsia" w:ascii="宋体" w:hAnsi="宋体" w:eastAsia="宋体" w:cs="Times New Roman"/>
                <w:sz w:val="24"/>
              </w:rPr>
              <w:t>20</w:t>
            </w:r>
            <w:r>
              <w:rPr>
                <w:rFonts w:ascii="宋体" w:hAnsi="宋体" w:eastAsia="宋体" w:cs="Times New Roman"/>
                <w:sz w:val="24"/>
              </w:rPr>
              <w:t>%</w:t>
            </w:r>
          </w:p>
        </w:tc>
      </w:tr>
      <w:tr w14:paraId="1D8EA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2532CAA4">
            <w:pPr>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粉笔字</w:t>
            </w:r>
          </w:p>
          <w:p w14:paraId="2894BBCA">
            <w:pPr>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书写</w:t>
            </w:r>
          </w:p>
        </w:tc>
        <w:tc>
          <w:tcPr>
            <w:tcW w:w="6608" w:type="dxa"/>
            <w:vAlign w:val="center"/>
          </w:tcPr>
          <w:p w14:paraId="6CF4EF6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1.笔画与结构：粉笔字笔画起止分明、粗细得当，在黑板上能够清晰呈现。字体结构严谨、重心平稳，每个字的间架结构合理。</w:t>
            </w:r>
          </w:p>
          <w:p w14:paraId="0B920789">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2.书写力度与流畅性： 书写时力度均匀，线条流畅自然，无明显断点或颤抖痕迹。</w:t>
            </w:r>
          </w:p>
          <w:p w14:paraId="7C37CBA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3.板面布局：在黑板规定区域内书写，排版整齐，字的大小适中、行列整齐。</w:t>
            </w:r>
          </w:p>
          <w:p w14:paraId="038C274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4.书写熟练程度：能够较为熟练地在黑板上书写，无需频繁停顿思考笔画或结构。</w:t>
            </w:r>
          </w:p>
        </w:tc>
        <w:tc>
          <w:tcPr>
            <w:tcW w:w="0" w:type="auto"/>
            <w:vAlign w:val="center"/>
          </w:tcPr>
          <w:p w14:paraId="32CA7F9E">
            <w:pPr>
              <w:jc w:val="center"/>
              <w:rPr>
                <w:rFonts w:ascii="Times New Roman" w:hAnsi="Times New Roman" w:eastAsia="宋体" w:cs="Times New Roman"/>
                <w:szCs w:val="21"/>
              </w:rPr>
            </w:pPr>
            <w:r>
              <w:rPr>
                <w:rFonts w:hint="eastAsia" w:ascii="宋体" w:hAnsi="宋体" w:eastAsia="宋体" w:cs="Times New Roman"/>
                <w:sz w:val="24"/>
              </w:rPr>
              <w:t>20</w:t>
            </w:r>
            <w:r>
              <w:rPr>
                <w:rFonts w:ascii="宋体" w:hAnsi="宋体" w:eastAsia="宋体" w:cs="Times New Roman"/>
                <w:sz w:val="24"/>
              </w:rPr>
              <w:t>%</w:t>
            </w:r>
          </w:p>
        </w:tc>
      </w:tr>
      <w:tr w14:paraId="27D6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03C9E77C">
            <w:pPr>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主题演讲</w:t>
            </w:r>
          </w:p>
        </w:tc>
        <w:tc>
          <w:tcPr>
            <w:tcW w:w="6608" w:type="dxa"/>
            <w:vAlign w:val="center"/>
          </w:tcPr>
          <w:p w14:paraId="73C232F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1.主题明确：演讲主题清晰突出，能够准确概括演讲核心内容，不偏离教育相关主题范围。</w:t>
            </w:r>
          </w:p>
          <w:p w14:paraId="7C2B4E41">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2.逻辑结构：提纲具有清晰的逻辑层次，开场、主体内容和结尾各部分衔接自然，论点与论据合理搭配，能够有条理地展开论述。</w:t>
            </w:r>
          </w:p>
          <w:p w14:paraId="246609ED">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3.内容完整性：涵盖演讲所需的关键要素，如主要观点、支撑事例、数据等，内容丰富完整，能够支撑起整个演讲的架构。</w:t>
            </w:r>
          </w:p>
          <w:p w14:paraId="79979BBE">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4.创新性： 在观点或论述方式上有一定的创新性，能够展现对主题独特的思考与见解。</w:t>
            </w:r>
          </w:p>
        </w:tc>
        <w:tc>
          <w:tcPr>
            <w:tcW w:w="0" w:type="auto"/>
            <w:vAlign w:val="center"/>
          </w:tcPr>
          <w:p w14:paraId="483EAF46">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0C31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7CA6968F">
            <w:pPr>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专题讲座笔记</w:t>
            </w:r>
          </w:p>
        </w:tc>
        <w:tc>
          <w:tcPr>
            <w:tcW w:w="6608" w:type="dxa"/>
            <w:vAlign w:val="center"/>
          </w:tcPr>
          <w:p w14:paraId="1DEAF4F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讲座笔记记录完整、层次清晰、页面整洁、有反思或心得。</w:t>
            </w:r>
          </w:p>
        </w:tc>
        <w:tc>
          <w:tcPr>
            <w:tcW w:w="0" w:type="auto"/>
            <w:vAlign w:val="center"/>
          </w:tcPr>
          <w:p w14:paraId="59C596A7">
            <w:pPr>
              <w:jc w:val="center"/>
              <w:rPr>
                <w:rFonts w:ascii="Times New Roman" w:hAnsi="Times New Roman" w:eastAsia="宋体" w:cs="Times New Roman"/>
                <w:szCs w:val="21"/>
              </w:rPr>
            </w:pPr>
            <w:r>
              <w:rPr>
                <w:rFonts w:hint="eastAsia" w:ascii="宋体" w:hAnsi="宋体" w:eastAsia="宋体" w:cs="Times New Roman"/>
                <w:sz w:val="24"/>
              </w:rPr>
              <w:t>15</w:t>
            </w:r>
            <w:r>
              <w:rPr>
                <w:rFonts w:ascii="宋体" w:hAnsi="宋体" w:eastAsia="宋体" w:cs="Times New Roman"/>
                <w:sz w:val="24"/>
              </w:rPr>
              <w:t>%</w:t>
            </w:r>
          </w:p>
        </w:tc>
      </w:tr>
      <w:tr w14:paraId="6DD5F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8" w:type="dxa"/>
            <w:vAlign w:val="center"/>
          </w:tcPr>
          <w:p w14:paraId="5FDAB22D">
            <w:pPr>
              <w:spacing w:line="264" w:lineRule="auto"/>
              <w:jc w:val="center"/>
              <w:rPr>
                <w:rFonts w:ascii="Times New Roman" w:hAnsi="Times New Roman" w:eastAsia="宋体" w:cs="Times New Roman"/>
                <w:szCs w:val="21"/>
              </w:rPr>
            </w:pPr>
            <w:r>
              <w:rPr>
                <w:rFonts w:hint="eastAsia" w:ascii="Times New Roman" w:hAnsi="Times New Roman" w:eastAsia="宋体" w:cs="Times New Roman"/>
                <w:szCs w:val="21"/>
              </w:rPr>
              <w:t>认知实习日记和总结</w:t>
            </w:r>
          </w:p>
        </w:tc>
        <w:tc>
          <w:tcPr>
            <w:tcW w:w="6608" w:type="dxa"/>
            <w:vAlign w:val="center"/>
          </w:tcPr>
          <w:p w14:paraId="63F2614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1.记录完整性：每天如实记录实习过程中的重要事件、活动、观察与思考，内容完整无明显遗漏。</w:t>
            </w:r>
          </w:p>
          <w:p w14:paraId="648AE77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2.细节与感悟：对实习细节有详细描述，包括实习场景、人物互动等，并能在记录过程中融入自己的感悟、收获与疑问，展现出对实习经历的深度体验与思考。</w:t>
            </w:r>
          </w:p>
          <w:p w14:paraId="3FDD9D3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3.书写规范：文字书写规范、工整，格式统一。</w:t>
            </w:r>
          </w:p>
          <w:p w14:paraId="33E40AB0">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4.全面性：总结涵盖整个认知实习过程的各个方面，包括实习内容、收获体会、自我反思以及对未来学习和职业发展的影响等，内容全面系统。</w:t>
            </w:r>
          </w:p>
          <w:p w14:paraId="4E7ACA05">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5.语言表达：语言流畅、条理清晰，能够准确传达总结意图，无明显语病和错别字。</w:t>
            </w:r>
          </w:p>
        </w:tc>
        <w:tc>
          <w:tcPr>
            <w:tcW w:w="0" w:type="auto"/>
            <w:vAlign w:val="center"/>
          </w:tcPr>
          <w:p w14:paraId="57A4F19D">
            <w:pPr>
              <w:jc w:val="center"/>
              <w:rPr>
                <w:rFonts w:ascii="Times New Roman" w:hAnsi="Times New Roman" w:eastAsia="宋体" w:cs="Times New Roman"/>
                <w:szCs w:val="21"/>
              </w:rPr>
            </w:pPr>
            <w:r>
              <w:rPr>
                <w:rFonts w:hint="eastAsia" w:ascii="宋体" w:hAnsi="宋体" w:eastAsia="宋体" w:cs="Times New Roman"/>
                <w:sz w:val="24"/>
              </w:rPr>
              <w:t>15%</w:t>
            </w:r>
          </w:p>
        </w:tc>
      </w:tr>
      <w:tr w14:paraId="66D7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08" w:type="dxa"/>
            <w:vAlign w:val="center"/>
          </w:tcPr>
          <w:p w14:paraId="45A5BE6E">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608" w:type="dxa"/>
            <w:vAlign w:val="center"/>
          </w:tcPr>
          <w:p w14:paraId="02876ACA">
            <w:pPr>
              <w:jc w:val="left"/>
              <w:rPr>
                <w:rFonts w:ascii="Times New Roman" w:hAnsi="Times New Roman" w:eastAsia="宋体" w:cs="Times New Roman"/>
                <w:szCs w:val="21"/>
              </w:rPr>
            </w:pPr>
          </w:p>
        </w:tc>
        <w:tc>
          <w:tcPr>
            <w:tcW w:w="0" w:type="auto"/>
            <w:vAlign w:val="center"/>
          </w:tcPr>
          <w:p w14:paraId="20187F48">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7C1FEE28">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70007628">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5CC1BFA9">
      <w:pPr>
        <w:spacing w:before="156" w:beforeLines="50" w:line="360" w:lineRule="auto"/>
        <w:ind w:firstLine="420" w:firstLineChars="200"/>
        <w:jc w:val="left"/>
        <w:rPr>
          <w:rFonts w:ascii="Times New Roman" w:hAnsi="Times New Roman" w:eastAsia="宋体" w:cs="Times New Roman"/>
          <w:b/>
          <w:sz w:val="22"/>
          <w:szCs w:val="22"/>
        </w:rPr>
      </w:pPr>
      <w:r>
        <w:rPr>
          <w:rFonts w:ascii="宋体" w:hAnsi="宋体" w:eastAsia="宋体" w:cs="Times New Roman"/>
          <w:szCs w:val="21"/>
        </w:rPr>
        <w:object>
          <v:shape id="_x0000_i1081"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81" DrawAspect="Content" ObjectID="_1468075781" r:id="rId69">
            <o:LockedField>false</o:LockedField>
          </o:OLEObject>
        </w:object>
      </w:r>
      <w:r>
        <w:rPr>
          <w:rFonts w:hint="eastAsia" w:ascii="Times New Roman" w:hAnsi="Times New Roman" w:eastAsia="宋体" w:cs="Times New Roman"/>
          <w:b/>
          <w:sz w:val="22"/>
          <w:szCs w:val="22"/>
        </w:rPr>
        <w:t>五、有关说明</w:t>
      </w:r>
    </w:p>
    <w:p w14:paraId="0FE29C3A">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3900AC8">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 提倡改革教学方法，强调应用现代化教学手段，如课件、互联网教学和网络答疑。</w:t>
      </w:r>
    </w:p>
    <w:p w14:paraId="47FA467D">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 xml:space="preserve"> </w:t>
      </w:r>
      <w:r>
        <w:rPr>
          <w:rFonts w:ascii="Times New Roman" w:hAnsi="Times New Roman" w:eastAsia="宋体" w:cs="Times New Roman"/>
          <w:sz w:val="24"/>
        </w:rPr>
        <w:t>合理安排课时，加强小组讨论等旨在督促学生自主学习的教学环节</w:t>
      </w:r>
      <w:r>
        <w:rPr>
          <w:rFonts w:hint="eastAsia" w:ascii="Times New Roman" w:hAnsi="Times New Roman" w:eastAsia="宋体" w:cs="Times New Roman"/>
          <w:sz w:val="24"/>
        </w:rPr>
        <w:t>，完成理论学习。有条件情况下到小学</w:t>
      </w:r>
      <w:r>
        <w:rPr>
          <w:rFonts w:ascii="Times New Roman" w:hAnsi="Times New Roman" w:eastAsia="宋体" w:cs="Times New Roman"/>
          <w:sz w:val="24"/>
        </w:rPr>
        <w:t>观摩语文教学</w:t>
      </w:r>
      <w:r>
        <w:rPr>
          <w:rFonts w:hint="eastAsia" w:ascii="Times New Roman" w:hAnsi="Times New Roman" w:eastAsia="宋体" w:cs="Times New Roman"/>
          <w:sz w:val="24"/>
        </w:rPr>
        <w:t>，进行现场教学</w:t>
      </w:r>
      <w:r>
        <w:rPr>
          <w:rFonts w:ascii="Times New Roman" w:hAnsi="Times New Roman" w:eastAsia="宋体" w:cs="Times New Roman"/>
          <w:sz w:val="24"/>
        </w:rPr>
        <w:t>。</w:t>
      </w:r>
    </w:p>
    <w:p w14:paraId="676F0D36">
      <w:pPr>
        <w:spacing w:line="360" w:lineRule="auto"/>
        <w:ind w:firstLine="480" w:firstLineChars="200"/>
        <w:rPr>
          <w:rFonts w:ascii="Times New Roman" w:hAnsi="Times New Roman" w:eastAsia="宋体" w:cs="Times New Roman"/>
          <w:b/>
          <w:szCs w:val="21"/>
        </w:rPr>
      </w:pPr>
      <w:r>
        <w:rPr>
          <w:rFonts w:ascii="Times New Roman" w:hAnsi="Times New Roman" w:eastAsia="宋体" w:cs="Times New Roman"/>
          <w:sz w:val="24"/>
        </w:rPr>
        <w:t>3．</w:t>
      </w:r>
      <w:r>
        <w:rPr>
          <w:rFonts w:hint="eastAsia" w:ascii="Times New Roman" w:hAnsi="Times New Roman" w:eastAsia="宋体" w:cs="Times New Roman"/>
          <w:sz w:val="24"/>
        </w:rPr>
        <w:t>实习</w:t>
      </w:r>
      <w:r>
        <w:rPr>
          <w:rFonts w:ascii="Times New Roman" w:hAnsi="Times New Roman" w:eastAsia="宋体" w:cs="Times New Roman"/>
          <w:sz w:val="24"/>
        </w:rPr>
        <w:t>内容密切联系</w:t>
      </w:r>
      <w:r>
        <w:rPr>
          <w:rFonts w:hint="eastAsia" w:ascii="Times New Roman" w:hAnsi="Times New Roman" w:eastAsia="宋体" w:cs="Times New Roman"/>
          <w:sz w:val="24"/>
        </w:rPr>
        <w:t>当前</w:t>
      </w:r>
      <w:r>
        <w:rPr>
          <w:rFonts w:ascii="Times New Roman" w:hAnsi="Times New Roman" w:eastAsia="宋体" w:cs="Times New Roman"/>
          <w:sz w:val="24"/>
        </w:rPr>
        <w:t>的社会热点。</w:t>
      </w:r>
    </w:p>
    <w:p w14:paraId="2A5ACEB9">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（二）参考资源</w:t>
      </w:r>
    </w:p>
    <w:p w14:paraId="78B95D94">
      <w:pPr>
        <w:jc w:val="left"/>
        <w:rPr>
          <w:rFonts w:ascii="Times New Roman" w:hAnsi="Times New Roman" w:cs="Times New Roman"/>
        </w:rPr>
      </w:pPr>
      <w:r>
        <w:rPr>
          <w:rFonts w:hint="eastAsia"/>
        </w:rPr>
        <w:t xml:space="preserve">     </w:t>
      </w:r>
      <w:r>
        <w:rPr>
          <w:rFonts w:hint="eastAsia" w:ascii="Times New Roman" w:hAnsi="Times New Roman" w:eastAsia="宋体" w:cs="Times New Roman"/>
          <w:sz w:val="24"/>
        </w:rPr>
        <w:t>1.《放牛班的春天》</w:t>
      </w:r>
      <w:r>
        <w:rPr>
          <w:rFonts w:ascii="Times New Roman" w:hAnsi="Times New Roman" w:cs="Times New Roman"/>
        </w:rPr>
        <w:t>https://www.bilibili.com/video/BV1rZ421M7QS/?spm_id_from=333.337.search-card.all.click</w:t>
      </w:r>
    </w:p>
    <w:p w14:paraId="7A47F6D1">
      <w:pPr>
        <w:jc w:val="left"/>
        <w:rPr>
          <w:rFonts w:ascii="Times New Roman" w:hAnsi="Times New Roman" w:eastAsia="宋体" w:cs="Times New Roman"/>
          <w:sz w:val="24"/>
        </w:rPr>
      </w:pPr>
      <w:r>
        <w:rPr>
          <w:rFonts w:hint="eastAsia" w:ascii="Times New Roman" w:hAnsi="Times New Roman" w:cs="Times New Roman"/>
        </w:rPr>
        <w:t xml:space="preserve">     </w:t>
      </w:r>
      <w:r>
        <w:rPr>
          <w:rFonts w:hint="eastAsia" w:ascii="Times New Roman" w:hAnsi="Times New Roman" w:eastAsia="宋体" w:cs="Times New Roman"/>
          <w:sz w:val="24"/>
        </w:rPr>
        <w:t>2.《</w:t>
      </w:r>
      <w:r>
        <w:rPr>
          <w:rFonts w:ascii="Times New Roman" w:hAnsi="Times New Roman" w:eastAsia="宋体" w:cs="Times New Roman"/>
          <w:sz w:val="24"/>
        </w:rPr>
        <w:t>风雨哈佛路</w:t>
      </w:r>
      <w:r>
        <w:rPr>
          <w:rFonts w:hint="eastAsia" w:ascii="Times New Roman" w:hAnsi="Times New Roman" w:eastAsia="宋体" w:cs="Times New Roman"/>
          <w:sz w:val="24"/>
        </w:rPr>
        <w:t>》</w:t>
      </w:r>
    </w:p>
    <w:p w14:paraId="35D49A1A">
      <w:pPr>
        <w:jc w:val="left"/>
        <w:rPr>
          <w:rFonts w:ascii="Times New Roman" w:hAnsi="Times New Roman" w:cs="Times New Roman"/>
        </w:rPr>
      </w:pPr>
      <w:r>
        <w:rPr>
          <w:rFonts w:hint="eastAsia" w:ascii="Times New Roman" w:hAnsi="Times New Roman" w:cs="Times New Roman"/>
        </w:rPr>
        <w:t>https://www.bilibili.com/video/BV1w7yWYRESs/?spm_id_from=333.337.search-card.all.click</w:t>
      </w:r>
    </w:p>
    <w:p w14:paraId="382899C2">
      <w:pPr>
        <w:jc w:val="left"/>
        <w:rPr>
          <w:rFonts w:ascii="Times New Roman" w:hAnsi="Times New Roman" w:cs="Times New Roman"/>
        </w:rPr>
      </w:pPr>
      <w:r>
        <w:rPr>
          <w:rFonts w:hint="eastAsia" w:ascii="Times New Roman" w:hAnsi="Times New Roman" w:cs="Times New Roman"/>
        </w:rPr>
        <w:t xml:space="preserve">     </w:t>
      </w:r>
      <w:r>
        <w:rPr>
          <w:rFonts w:hint="eastAsia" w:ascii="Times New Roman" w:hAnsi="Times New Roman" w:eastAsia="宋体" w:cs="Times New Roman"/>
          <w:sz w:val="24"/>
        </w:rPr>
        <w:t>3.《美丽的大脚》</w:t>
      </w:r>
    </w:p>
    <w:p w14:paraId="089F77CE">
      <w:pPr>
        <w:jc w:val="left"/>
        <w:rPr>
          <w:rFonts w:ascii="Times New Roman" w:hAnsi="Times New Roman" w:cs="Times New Roman"/>
        </w:rPr>
      </w:pPr>
      <w:r>
        <w:rPr>
          <w:rFonts w:hint="eastAsia" w:ascii="Times New Roman" w:hAnsi="Times New Roman" w:cs="Times New Roman"/>
        </w:rPr>
        <w:t>https://www.bilibili.com/video/BV1Zu4y1z7DN/?spm_id_from=333.337.search-card.all.click</w:t>
      </w:r>
    </w:p>
    <w:p w14:paraId="68C3C285">
      <w:pPr>
        <w:ind w:left="525"/>
        <w:jc w:val="left"/>
        <w:rPr>
          <w:rFonts w:ascii="Times New Roman" w:hAnsi="Times New Roman" w:cs="Times New Roman"/>
        </w:rPr>
      </w:pPr>
      <w:r>
        <w:rPr>
          <w:rFonts w:hint="eastAsia" w:ascii="Times New Roman" w:hAnsi="Times New Roman" w:cs="Times New Roman"/>
          <w:szCs w:val="22"/>
        </w:rPr>
        <w:t>4.</w:t>
      </w:r>
      <w:r>
        <w:rPr>
          <w:rFonts w:hint="eastAsia" w:ascii="Times New Roman" w:hAnsi="Times New Roman" w:cs="Times New Roman"/>
        </w:rPr>
        <w:t>《一个都不能少》</w:t>
      </w:r>
    </w:p>
    <w:p w14:paraId="390A5A5C">
      <w:pPr>
        <w:jc w:val="left"/>
        <w:rPr>
          <w:rFonts w:ascii="Times New Roman" w:hAnsi="Times New Roman" w:cs="Times New Roman"/>
        </w:rPr>
      </w:pPr>
      <w:r>
        <w:rPr>
          <w:rFonts w:ascii="Times New Roman" w:hAnsi="Times New Roman" w:cs="Times New Roman"/>
        </w:rPr>
        <w:t>https://www.bilibili.com/video/BV1mo4y1S74L/?spm_id_from=333.337.search-card.all.click</w:t>
      </w:r>
    </w:p>
    <w:p w14:paraId="5D39406E">
      <w:pPr>
        <w:ind w:left="525"/>
        <w:jc w:val="left"/>
        <w:rPr>
          <w:rFonts w:ascii="Times New Roman" w:hAnsi="Times New Roman" w:cs="Times New Roman"/>
        </w:rPr>
      </w:pPr>
      <w:r>
        <w:rPr>
          <w:rFonts w:hint="eastAsia" w:ascii="Times New Roman" w:hAnsi="Times New Roman" w:cs="Times New Roman"/>
          <w:szCs w:val="22"/>
        </w:rPr>
        <w:t>5.</w:t>
      </w:r>
      <w:r>
        <w:rPr>
          <w:rFonts w:hint="eastAsia" w:ascii="Times New Roman" w:hAnsi="Times New Roman" w:cs="Times New Roman"/>
        </w:rPr>
        <w:t>《大先生——中国教育名家列传》</w:t>
      </w:r>
    </w:p>
    <w:p w14:paraId="7869A0F6">
      <w:pPr>
        <w:jc w:val="left"/>
        <w:rPr>
          <w:rFonts w:ascii="Times New Roman" w:hAnsi="Times New Roman" w:cs="Times New Roman"/>
        </w:rPr>
      </w:pPr>
      <w:r>
        <w:rPr>
          <w:rFonts w:ascii="Times New Roman" w:hAnsi="Times New Roman" w:cs="Times New Roman"/>
        </w:rPr>
        <w:t>https://tv.cctv.com/2024/09/02/VIDAGbvf42qxA4rNvKWdHujS240902.shtml</w:t>
      </w:r>
    </w:p>
    <w:p w14:paraId="0750F7E1">
      <w:pPr>
        <w:ind w:left="5880" w:firstLine="420"/>
        <w:rPr>
          <w:rFonts w:hint="eastAsia" w:ascii="宋体" w:hAnsi="宋体" w:eastAsia="宋体" w:cs="宋体"/>
        </w:rPr>
      </w:pPr>
    </w:p>
    <w:p w14:paraId="4842259D">
      <w:pPr>
        <w:spacing w:line="360" w:lineRule="auto"/>
        <w:ind w:firstLine="5145" w:firstLineChars="2450"/>
        <w:rPr>
          <w:rFonts w:hint="eastAsia" w:ascii="宋体" w:hAnsi="宋体" w:eastAsia="宋体" w:cs="宋体"/>
          <w:szCs w:val="21"/>
        </w:rPr>
      </w:pPr>
      <w:r>
        <w:rPr>
          <w:rFonts w:hint="eastAsia" w:ascii="宋体" w:hAnsi="宋体" w:eastAsia="宋体" w:cs="宋体"/>
          <w:szCs w:val="21"/>
        </w:rPr>
        <w:t>执 笔 人：周冬梅</w:t>
      </w:r>
    </w:p>
    <w:p w14:paraId="2CA9DEB0">
      <w:pPr>
        <w:spacing w:line="360" w:lineRule="auto"/>
        <w:ind w:firstLine="5145" w:firstLineChars="2450"/>
        <w:rPr>
          <w:rFonts w:hint="eastAsia" w:ascii="宋体" w:hAnsi="宋体" w:eastAsia="宋体" w:cs="宋体"/>
          <w:szCs w:val="21"/>
        </w:rPr>
      </w:pPr>
      <w:r>
        <w:rPr>
          <w:rFonts w:hint="eastAsia" w:ascii="宋体" w:hAnsi="宋体" w:eastAsia="宋体" w:cs="宋体"/>
          <w:szCs w:val="21"/>
        </w:rPr>
        <w:t>审 定 人：王  健</w:t>
      </w:r>
    </w:p>
    <w:p w14:paraId="0BD0D9F0">
      <w:pPr>
        <w:spacing w:line="360" w:lineRule="auto"/>
        <w:ind w:firstLine="5145" w:firstLineChars="2450"/>
        <w:rPr>
          <w:rFonts w:hint="eastAsia" w:ascii="宋体" w:hAnsi="宋体" w:eastAsia="宋体" w:cs="宋体"/>
          <w:szCs w:val="21"/>
        </w:rPr>
      </w:pPr>
      <w:r>
        <w:rPr>
          <w:rFonts w:hint="eastAsia" w:ascii="宋体" w:hAnsi="宋体" w:eastAsia="宋体" w:cs="宋体"/>
          <w:szCs w:val="21"/>
        </w:rPr>
        <w:t>审 批 人：张志欣</w:t>
      </w:r>
    </w:p>
    <w:p w14:paraId="6645710D">
      <w:pPr>
        <w:spacing w:line="360" w:lineRule="auto"/>
        <w:ind w:firstLine="5145" w:firstLineChars="2450"/>
        <w:rPr>
          <w:rFonts w:hint="eastAsia" w:ascii="宋体" w:hAnsi="宋体" w:eastAsia="宋体" w:cs="宋体"/>
          <w:szCs w:val="21"/>
        </w:rPr>
      </w:pPr>
      <w:r>
        <w:rPr>
          <w:rFonts w:hint="eastAsia" w:ascii="宋体" w:hAnsi="宋体" w:eastAsia="宋体" w:cs="宋体"/>
          <w:szCs w:val="21"/>
        </w:rPr>
        <w:t>批准时间：2025年7月1日</w:t>
      </w:r>
    </w:p>
    <w:p w14:paraId="110EE7A7">
      <w:pPr>
        <w:spacing w:line="360" w:lineRule="auto"/>
        <w:jc w:val="center"/>
        <w:outlineLvl w:val="0"/>
        <w:rPr>
          <w:rFonts w:ascii="Times New Roman" w:hAnsi="Times New Roman" w:eastAsia="宋体" w:cs="Times New Roman"/>
          <w:b/>
          <w:sz w:val="44"/>
          <w:szCs w:val="44"/>
        </w:rPr>
      </w:pPr>
      <w:r>
        <w:rPr>
          <w:rFonts w:hint="eastAsia" w:ascii="宋体" w:hAnsi="宋体" w:eastAsia="宋体" w:cs="宋体"/>
        </w:rPr>
        <w:br w:type="page"/>
      </w:r>
      <w:bookmarkStart w:id="1929" w:name="_Toc28697"/>
      <w:bookmarkStart w:id="1930" w:name="_Toc8985"/>
      <w:bookmarkStart w:id="1931" w:name="_Toc1633"/>
      <w:bookmarkStart w:id="1932" w:name="_Toc26010"/>
      <w:r>
        <w:rPr>
          <w:rFonts w:hint="eastAsia" w:ascii="Times New Roman" w:hAnsi="Times New Roman" w:eastAsia="宋体" w:cs="Times New Roman"/>
          <w:b/>
          <w:sz w:val="44"/>
          <w:szCs w:val="44"/>
        </w:rPr>
        <w:t>《教育见习I》课程教学大纲</w:t>
      </w:r>
      <w:bookmarkEnd w:id="1929"/>
      <w:bookmarkEnd w:id="1930"/>
      <w:bookmarkEnd w:id="1931"/>
      <w:bookmarkEnd w:id="1932"/>
    </w:p>
    <w:p w14:paraId="03D9A2AD">
      <w:pPr>
        <w:spacing w:line="360" w:lineRule="auto"/>
        <w:jc w:val="center"/>
        <w:rPr>
          <w:rFonts w:ascii="Times New Roman" w:hAnsi="Times New Roman" w:eastAsia="宋体" w:cs="Times New Roman"/>
          <w:b/>
          <w:bCs/>
          <w:sz w:val="28"/>
          <w:szCs w:val="28"/>
        </w:rPr>
      </w:pPr>
      <w:bookmarkStart w:id="1933" w:name="_Toc17355"/>
      <w:bookmarkStart w:id="1934" w:name="_Toc19874"/>
      <w:bookmarkStart w:id="1935" w:name="_Toc29807"/>
      <w:bookmarkStart w:id="1936" w:name="_Toc2146"/>
      <w:bookmarkStart w:id="1937" w:name="_Toc13655"/>
      <w:bookmarkStart w:id="1938" w:name="_Toc27847454"/>
      <w:r>
        <w:rPr>
          <w:rFonts w:ascii="Times New Roman" w:hAnsi="Times New Roman" w:eastAsia="宋体" w:cs="Times New Roman"/>
          <w:b/>
          <w:bCs/>
          <w:sz w:val="28"/>
          <w:szCs w:val="28"/>
        </w:rPr>
        <w:t>（Educational Probation I）</w:t>
      </w:r>
      <w:bookmarkEnd w:id="1933"/>
      <w:bookmarkEnd w:id="1934"/>
      <w:bookmarkEnd w:id="1935"/>
      <w:bookmarkEnd w:id="1936"/>
      <w:bookmarkEnd w:id="1937"/>
      <w:bookmarkEnd w:id="1938"/>
    </w:p>
    <w:p w14:paraId="4F427261">
      <w:pPr>
        <w:spacing w:line="360" w:lineRule="auto"/>
        <w:ind w:firstLine="422" w:firstLineChars="200"/>
        <w:rPr>
          <w:rFonts w:hint="eastAsia" w:ascii="宋体" w:hAnsi="宋体" w:eastAsia="宋体" w:cs="Times New Roman"/>
          <w:b/>
          <w:szCs w:val="21"/>
        </w:rPr>
      </w:pPr>
    </w:p>
    <w:p w14:paraId="432AE188">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课程名称：教育见习</w:t>
      </w:r>
      <w:r>
        <w:rPr>
          <w:rFonts w:ascii="宋体" w:hAnsi="宋体" w:eastAsia="宋体" w:cs="Times New Roman"/>
          <w:b/>
          <w:sz w:val="24"/>
        </w:rPr>
        <w:t>I</w:t>
      </w:r>
    </w:p>
    <w:p w14:paraId="5F1B06A1">
      <w:pPr>
        <w:spacing w:line="360" w:lineRule="auto"/>
        <w:ind w:firstLine="482" w:firstLineChars="200"/>
        <w:rPr>
          <w:rFonts w:ascii="宋体" w:hAnsi="Times New Roman" w:eastAsia="宋体" w:cs="Times New Roman"/>
          <w:b/>
          <w:sz w:val="24"/>
        </w:rPr>
      </w:pPr>
      <w:r>
        <w:rPr>
          <w:rFonts w:hint="eastAsia" w:ascii="宋体" w:hAnsi="宋体" w:eastAsia="宋体" w:cs="Times New Roman"/>
          <w:b/>
          <w:bCs/>
          <w:kern w:val="0"/>
          <w:sz w:val="24"/>
        </w:rPr>
        <w:t>课程代码</w:t>
      </w:r>
      <w:r>
        <w:rPr>
          <w:rFonts w:hint="eastAsia" w:ascii="宋体" w:hAnsi="宋体" w:eastAsia="宋体" w:cs="Times New Roman"/>
          <w:b/>
          <w:kern w:val="0"/>
          <w:sz w:val="24"/>
        </w:rPr>
        <w:t>：2401046</w:t>
      </w:r>
    </w:p>
    <w:p w14:paraId="2ADA41BB">
      <w:pPr>
        <w:spacing w:line="360" w:lineRule="auto"/>
        <w:ind w:firstLine="482" w:firstLineChars="200"/>
        <w:rPr>
          <w:rFonts w:hint="eastAsia" w:ascii="宋体" w:hAnsi="宋体" w:eastAsia="宋体" w:cs="Times New Roman"/>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分：</w:t>
      </w:r>
      <w:r>
        <w:rPr>
          <w:rFonts w:hint="eastAsia" w:ascii="宋体" w:hAnsi="宋体" w:eastAsia="宋体" w:cs="Times New Roman"/>
          <w:b/>
          <w:kern w:val="0"/>
          <w:sz w:val="24"/>
        </w:rPr>
        <w:t>1</w:t>
      </w:r>
    </w:p>
    <w:p w14:paraId="12186459">
      <w:pPr>
        <w:spacing w:line="360" w:lineRule="auto"/>
        <w:ind w:firstLine="482" w:firstLineChars="200"/>
        <w:rPr>
          <w:rFonts w:ascii="宋体" w:hAnsi="Times New Roman" w:eastAsia="宋体" w:cs="Times New Roman"/>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时：2周</w:t>
      </w:r>
    </w:p>
    <w:p w14:paraId="4CCE73C3">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先修课程：</w:t>
      </w:r>
      <w:r>
        <w:rPr>
          <w:rFonts w:ascii="宋体" w:hAnsi="宋体" w:eastAsia="宋体" w:cs="Times New Roman"/>
          <w:b/>
          <w:bCs/>
          <w:kern w:val="0"/>
          <w:sz w:val="24"/>
        </w:rPr>
        <w:t xml:space="preserve">小学心理学、 </w:t>
      </w:r>
      <w:r>
        <w:rPr>
          <w:rFonts w:hint="eastAsia" w:ascii="宋体" w:hAnsi="宋体" w:eastAsia="宋体" w:cs="Times New Roman"/>
          <w:b/>
          <w:bCs/>
          <w:kern w:val="0"/>
          <w:sz w:val="24"/>
        </w:rPr>
        <w:t>书</w:t>
      </w:r>
      <w:r>
        <w:rPr>
          <w:rFonts w:ascii="宋体" w:hAnsi="宋体" w:eastAsia="宋体" w:cs="Times New Roman"/>
          <w:b/>
          <w:bCs/>
          <w:kern w:val="0"/>
          <w:sz w:val="24"/>
        </w:rPr>
        <w:t>写技能、教育原理、 教师职业道德，以及部分数学/中文类课程</w:t>
      </w:r>
    </w:p>
    <w:p w14:paraId="273BD9FB">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适用专业：小学教育</w:t>
      </w:r>
    </w:p>
    <w:p w14:paraId="3E26395E">
      <w:pPr>
        <w:spacing w:before="62" w:beforeLines="20" w:after="62" w:afterLines="20" w:line="360" w:lineRule="auto"/>
        <w:jc w:val="left"/>
        <w:rPr>
          <w:rFonts w:ascii="Times New Roman" w:hAnsi="Times New Roman" w:eastAsia="宋体" w:cs="Times New Roman"/>
          <w:b/>
          <w:sz w:val="24"/>
        </w:rPr>
      </w:pPr>
      <w:bookmarkStart w:id="1939" w:name="_Toc8401"/>
      <w:bookmarkStart w:id="1940" w:name="_Toc5235"/>
      <w:bookmarkStart w:id="1941" w:name="_Toc5857"/>
      <w:bookmarkStart w:id="1942" w:name="_Toc26306"/>
      <w:bookmarkStart w:id="1943" w:name="_Toc9770"/>
      <w:bookmarkStart w:id="1944" w:name="_Toc5914"/>
      <w:bookmarkStart w:id="1945" w:name="_Toc11706"/>
      <w:r>
        <w:rPr>
          <w:rFonts w:hint="eastAsia" w:ascii="Times New Roman" w:hAnsi="Times New Roman" w:eastAsia="宋体" w:cs="Times New Roman"/>
          <w:b/>
          <w:sz w:val="24"/>
        </w:rPr>
        <w:t>一、课程简介</w:t>
      </w:r>
      <w:bookmarkEnd w:id="1939"/>
      <w:bookmarkEnd w:id="1940"/>
      <w:bookmarkEnd w:id="1941"/>
      <w:bookmarkEnd w:id="1942"/>
      <w:bookmarkEnd w:id="1943"/>
      <w:bookmarkEnd w:id="1944"/>
      <w:bookmarkEnd w:id="1945"/>
    </w:p>
    <w:p w14:paraId="5B73940D">
      <w:pPr>
        <w:spacing w:line="360" w:lineRule="auto"/>
        <w:ind w:firstLine="480" w:firstLineChars="200"/>
        <w:rPr>
          <w:rFonts w:ascii="宋体" w:hAnsi="Times New Roman" w:eastAsia="宋体" w:cs="Times New Roman"/>
          <w:kern w:val="0"/>
          <w:sz w:val="24"/>
        </w:rPr>
      </w:pPr>
      <w:r>
        <w:rPr>
          <w:rFonts w:hint="eastAsia" w:ascii="宋体" w:hAnsi="宋体" w:eastAsia="宋体" w:cs="Times New Roman"/>
          <w:kern w:val="0"/>
          <w:sz w:val="24"/>
        </w:rPr>
        <w:t>教育见习</w:t>
      </w:r>
      <w:r>
        <w:rPr>
          <w:rFonts w:ascii="宋体" w:hAnsi="宋体" w:eastAsia="宋体" w:cs="Times New Roman"/>
          <w:kern w:val="0"/>
          <w:sz w:val="24"/>
        </w:rPr>
        <w:t>I</w:t>
      </w:r>
      <w:r>
        <w:rPr>
          <w:rFonts w:hint="eastAsia" w:ascii="宋体" w:hAnsi="宋体" w:eastAsia="宋体" w:cs="Times New Roman"/>
          <w:kern w:val="0"/>
          <w:sz w:val="24"/>
        </w:rPr>
        <w:t>是小学教育专业重要的实践类课程。本课程的任务和目的是使学生充分接触小学日常生活，了解小学教育教学工作的特点，体会教师职业价值，树立从教理想；初步训练听课、评课和小学班主任工作的技能，巩固所学的专业知识和技能；培养研究小学教育教学问题的兴趣，养成正确的专业态度。</w:t>
      </w:r>
    </w:p>
    <w:p w14:paraId="7C03ACCE">
      <w:pPr>
        <w:spacing w:before="62" w:beforeLines="20" w:after="62" w:afterLines="20" w:line="360" w:lineRule="auto"/>
        <w:jc w:val="left"/>
        <w:rPr>
          <w:rFonts w:ascii="Times New Roman" w:hAnsi="Times New Roman" w:eastAsia="宋体" w:cs="Times New Roman"/>
          <w:b/>
          <w:sz w:val="24"/>
        </w:rPr>
      </w:pPr>
      <w:bookmarkStart w:id="1946" w:name="_Toc16035"/>
      <w:bookmarkStart w:id="1947" w:name="_Toc5975"/>
      <w:bookmarkStart w:id="1948" w:name="_Toc17692"/>
      <w:bookmarkStart w:id="1949" w:name="_Toc15561"/>
      <w:bookmarkStart w:id="1950" w:name="_Toc26136"/>
      <w:bookmarkStart w:id="1951" w:name="_Toc19480"/>
      <w:bookmarkStart w:id="1952" w:name="_Toc17922"/>
      <w:r>
        <w:rPr>
          <w:rFonts w:hint="eastAsia" w:ascii="Times New Roman" w:hAnsi="Times New Roman" w:eastAsia="宋体" w:cs="Times New Roman"/>
          <w:b/>
          <w:sz w:val="24"/>
        </w:rPr>
        <w:t>二、课程目标</w:t>
      </w:r>
      <w:bookmarkEnd w:id="1946"/>
      <w:bookmarkEnd w:id="1947"/>
      <w:bookmarkEnd w:id="1948"/>
      <w:bookmarkEnd w:id="1949"/>
      <w:bookmarkEnd w:id="1950"/>
      <w:bookmarkEnd w:id="1951"/>
      <w:bookmarkEnd w:id="1952"/>
    </w:p>
    <w:p w14:paraId="3409653B">
      <w:pPr>
        <w:spacing w:line="360" w:lineRule="auto"/>
        <w:ind w:firstLine="422" w:firstLineChars="200"/>
        <w:jc w:val="left"/>
        <w:outlineLvl w:val="1"/>
        <w:rPr>
          <w:rFonts w:hint="eastAsia" w:ascii="宋体" w:hAnsi="宋体" w:eastAsia="宋体" w:cs="Times New Roman"/>
          <w:b/>
          <w:bCs/>
          <w:szCs w:val="21"/>
        </w:rPr>
      </w:pPr>
      <w:bookmarkStart w:id="1953" w:name="_Toc22011"/>
      <w:r>
        <w:rPr>
          <w:rFonts w:hint="eastAsia" w:ascii="宋体" w:hAnsi="宋体" w:eastAsia="宋体" w:cs="Times New Roman"/>
          <w:b/>
          <w:bCs/>
          <w:szCs w:val="21"/>
        </w:rPr>
        <w:t>（一）课程具体目标</w:t>
      </w:r>
      <w:bookmarkEnd w:id="1953"/>
    </w:p>
    <w:p w14:paraId="677D4ECA">
      <w:pPr>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目标</w:t>
      </w:r>
      <w:r>
        <w:rPr>
          <w:rFonts w:ascii="宋体" w:hAnsi="宋体" w:eastAsia="宋体" w:cs="Times New Roman"/>
          <w:sz w:val="24"/>
        </w:rPr>
        <w:t>1.</w:t>
      </w:r>
      <w:r>
        <w:rPr>
          <w:rFonts w:hint="eastAsia" w:ascii="宋体" w:hAnsi="宋体" w:eastAsia="宋体" w:cs="Times New Roman"/>
          <w:sz w:val="24"/>
        </w:rPr>
        <w:t>了解小学日常生活，体验教师工作岗位，初步具有教师角色意识，认同教师职业，具有良好的学生观，尊重学生、关心学生，具有从事教师的理想信念。</w:t>
      </w:r>
    </w:p>
    <w:p w14:paraId="4D448ABA">
      <w:pPr>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目标</w:t>
      </w:r>
      <w:r>
        <w:rPr>
          <w:rFonts w:ascii="宋体" w:hAnsi="宋体" w:eastAsia="宋体" w:cs="Times New Roman"/>
          <w:sz w:val="24"/>
        </w:rPr>
        <w:t>2.</w:t>
      </w:r>
      <w:r>
        <w:rPr>
          <w:rFonts w:hint="eastAsia" w:ascii="宋体" w:hAnsi="宋体" w:eastAsia="宋体" w:cs="Times New Roman"/>
          <w:sz w:val="24"/>
        </w:rPr>
        <w:t>通过课堂教学和班队工作见习，了解小学教学与管理过程，理解所学知识与实践的关系，形成主动研究教育教学问题的意识。了解班级管理与班队活动的内容，认识到小学生德育工作、心理健康教育工作的重要性。</w:t>
      </w:r>
    </w:p>
    <w:p w14:paraId="598AD843">
      <w:pPr>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目标</w:t>
      </w:r>
      <w:r>
        <w:rPr>
          <w:rFonts w:ascii="宋体" w:hAnsi="宋体" w:eastAsia="宋体" w:cs="Times New Roman"/>
          <w:sz w:val="24"/>
        </w:rPr>
        <w:t>3.</w:t>
      </w:r>
      <w:r>
        <w:rPr>
          <w:rFonts w:hint="eastAsia" w:ascii="宋体" w:hAnsi="宋体" w:eastAsia="宋体" w:cs="Times New Roman"/>
          <w:sz w:val="24"/>
        </w:rPr>
        <w:t>通过与小学生相处，了解小学生心理发展的特点，愿意亲近学生，理解学科育人、管理育人、活动育人，建立综合育人的基本观念。</w:t>
      </w:r>
    </w:p>
    <w:p w14:paraId="3E976240">
      <w:pPr>
        <w:spacing w:line="360" w:lineRule="auto"/>
        <w:ind w:firstLine="480" w:firstLineChars="200"/>
        <w:jc w:val="left"/>
        <w:rPr>
          <w:rFonts w:hint="eastAsia" w:ascii="宋体" w:hAnsi="宋体" w:eastAsia="宋体" w:cs="Times New Roman"/>
          <w:sz w:val="24"/>
        </w:rPr>
      </w:pPr>
      <w:r>
        <w:rPr>
          <w:rFonts w:hint="eastAsia" w:ascii="宋体" w:hAnsi="宋体" w:eastAsia="宋体" w:cs="Times New Roman"/>
          <w:sz w:val="24"/>
        </w:rPr>
        <w:t>目标</w:t>
      </w:r>
      <w:r>
        <w:rPr>
          <w:rFonts w:ascii="宋体" w:hAnsi="宋体" w:eastAsia="宋体" w:cs="Times New Roman"/>
          <w:sz w:val="24"/>
        </w:rPr>
        <w:t>4.</w:t>
      </w:r>
      <w:r>
        <w:rPr>
          <w:rFonts w:hint="eastAsia" w:ascii="宋体" w:hAnsi="宋体" w:eastAsia="宋体" w:cs="Times New Roman"/>
          <w:sz w:val="24"/>
        </w:rPr>
        <w:t>通过分组实习，主动与他人合作学习，主动与指导教师、小学生、学生家长进行积极沟通，了解沟通交流的一些方法。</w:t>
      </w:r>
    </w:p>
    <w:p w14:paraId="50A0F7E8">
      <w:pPr>
        <w:spacing w:line="360" w:lineRule="auto"/>
        <w:ind w:firstLine="422" w:firstLineChars="200"/>
        <w:jc w:val="left"/>
        <w:outlineLvl w:val="1"/>
        <w:rPr>
          <w:rFonts w:hint="eastAsia" w:ascii="宋体" w:hAnsi="宋体" w:eastAsia="宋体" w:cs="Times New Roman"/>
          <w:b/>
          <w:bCs/>
          <w:szCs w:val="21"/>
        </w:rPr>
      </w:pPr>
      <w:bookmarkStart w:id="1954" w:name="_Toc328"/>
      <w:r>
        <w:rPr>
          <w:rFonts w:hint="eastAsia" w:ascii="宋体" w:hAnsi="宋体" w:eastAsia="宋体" w:cs="Times New Roman"/>
          <w:b/>
          <w:bCs/>
          <w:szCs w:val="21"/>
        </w:rPr>
        <w:t>（二）课程目标及其对毕业要求指标点的支撑</w:t>
      </w:r>
      <w:bookmarkEnd w:id="1954"/>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34CD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4A536422">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w:t>
            </w:r>
          </w:p>
        </w:tc>
        <w:tc>
          <w:tcPr>
            <w:tcW w:w="6095" w:type="dxa"/>
            <w:vAlign w:val="center"/>
          </w:tcPr>
          <w:p w14:paraId="7C3558EB">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毕业要求指标点</w:t>
            </w:r>
          </w:p>
        </w:tc>
        <w:tc>
          <w:tcPr>
            <w:tcW w:w="1327" w:type="dxa"/>
            <w:vAlign w:val="center"/>
          </w:tcPr>
          <w:p w14:paraId="25A13725">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课程目标</w:t>
            </w:r>
          </w:p>
        </w:tc>
      </w:tr>
      <w:tr w14:paraId="4BC7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40F73540">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毕业要求1</w:t>
            </w:r>
            <w:r>
              <w:rPr>
                <w:rFonts w:ascii="宋体" w:hAnsi="宋体" w:eastAsia="宋体" w:cs="Times New Roman"/>
                <w:kern w:val="0"/>
                <w:szCs w:val="21"/>
              </w:rPr>
              <w:t>：</w:t>
            </w:r>
          </w:p>
        </w:tc>
        <w:tc>
          <w:tcPr>
            <w:tcW w:w="6095" w:type="dxa"/>
            <w:vAlign w:val="center"/>
          </w:tcPr>
          <w:p w14:paraId="66C2A5F3">
            <w:pPr>
              <w:widowControl/>
              <w:spacing w:before="100" w:beforeAutospacing="1" w:after="100" w:afterAutospacing="1"/>
              <w:rPr>
                <w:rFonts w:hint="eastAsia" w:ascii="宋体" w:hAnsi="宋体" w:eastAsia="宋体" w:cs="宋体"/>
                <w:kern w:val="0"/>
                <w:szCs w:val="21"/>
              </w:rPr>
            </w:pPr>
            <w:r>
              <w:rPr>
                <w:rFonts w:hint="eastAsia" w:ascii="宋体" w:hAnsi="宋体" w:eastAsia="宋体" w:cs="Times New Roman"/>
                <w:b/>
                <w:spacing w:val="2"/>
                <w:kern w:val="0"/>
                <w:szCs w:val="21"/>
              </w:rPr>
              <w:t>指标点1-2</w:t>
            </w:r>
            <w:r>
              <w:rPr>
                <w:rFonts w:ascii="宋体" w:hAnsi="宋体" w:eastAsia="宋体" w:cs="宋体"/>
                <w:spacing w:val="2"/>
                <w:kern w:val="0"/>
                <w:szCs w:val="21"/>
              </w:rPr>
              <w:t>:</w:t>
            </w:r>
            <w:r>
              <w:rPr>
                <w:rFonts w:hint="eastAsia" w:ascii="宋体" w:hAnsi="宋体" w:eastAsia="宋体" w:cs="宋体"/>
                <w:kern w:val="0"/>
                <w:szCs w:val="21"/>
              </w:rPr>
              <w:t xml:space="preserve"> 【职业修养良好】以立德树人为己任，掌握立德树 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 </w:t>
            </w:r>
          </w:p>
        </w:tc>
        <w:tc>
          <w:tcPr>
            <w:tcW w:w="1327" w:type="dxa"/>
            <w:vAlign w:val="center"/>
          </w:tcPr>
          <w:p w14:paraId="546542FA">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r>
      <w:tr w14:paraId="5C5A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39C6ED34">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毕业要求2</w:t>
            </w:r>
            <w:r>
              <w:rPr>
                <w:rFonts w:ascii="宋体" w:hAnsi="宋体" w:eastAsia="宋体" w:cs="Times New Roman"/>
                <w:kern w:val="0"/>
                <w:szCs w:val="21"/>
              </w:rPr>
              <w:t>:</w:t>
            </w:r>
          </w:p>
        </w:tc>
        <w:tc>
          <w:tcPr>
            <w:tcW w:w="6095" w:type="dxa"/>
            <w:vAlign w:val="center"/>
          </w:tcPr>
          <w:p w14:paraId="1F86AAB3">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spacing w:val="2"/>
                <w:kern w:val="0"/>
                <w:szCs w:val="21"/>
              </w:rPr>
              <w:t>指标点2-2</w:t>
            </w:r>
            <w:r>
              <w:rPr>
                <w:rFonts w:hint="eastAsia" w:ascii="宋体" w:hAnsi="宋体" w:eastAsia="宋体" w:cs="宋体"/>
                <w:spacing w:val="2"/>
                <w:kern w:val="0"/>
                <w:szCs w:val="21"/>
              </w:rPr>
              <w:t>：</w:t>
            </w:r>
            <w:r>
              <w:rPr>
                <w:rFonts w:hint="eastAsia" w:ascii="宋体" w:hAnsi="宋体" w:eastAsia="宋体" w:cs="宋体"/>
                <w:kern w:val="0"/>
                <w:szCs w:val="21"/>
              </w:rPr>
              <w:t xml:space="preserve">【仁爱之心深厚】关爱学生，用心从教。具有正确 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 </w:t>
            </w:r>
          </w:p>
        </w:tc>
        <w:tc>
          <w:tcPr>
            <w:tcW w:w="1327" w:type="dxa"/>
            <w:vAlign w:val="center"/>
          </w:tcPr>
          <w:p w14:paraId="0C4F6175">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31B3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55" w:type="dxa"/>
            <w:vMerge w:val="restart"/>
            <w:vAlign w:val="center"/>
          </w:tcPr>
          <w:p w14:paraId="177274C1">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毕业要求4</w:t>
            </w:r>
            <w:r>
              <w:rPr>
                <w:rFonts w:ascii="宋体" w:hAnsi="宋体" w:eastAsia="宋体" w:cs="Times New Roman"/>
                <w:kern w:val="0"/>
                <w:szCs w:val="21"/>
              </w:rPr>
              <w:t>:</w:t>
            </w:r>
          </w:p>
        </w:tc>
        <w:tc>
          <w:tcPr>
            <w:tcW w:w="6095" w:type="dxa"/>
            <w:vAlign w:val="center"/>
          </w:tcPr>
          <w:p w14:paraId="1CF5C1A5">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指标点4-2</w:t>
            </w:r>
            <w:r>
              <w:rPr>
                <w:rFonts w:hint="eastAsia" w:ascii="宋体" w:hAnsi="宋体" w:eastAsia="宋体" w:cs="宋体"/>
                <w:spacing w:val="2"/>
                <w:kern w:val="0"/>
                <w:szCs w:val="21"/>
              </w:rPr>
              <w:t>：</w:t>
            </w:r>
            <w:r>
              <w:rPr>
                <w:rFonts w:hint="eastAsia" w:ascii="宋体" w:hAnsi="宋体" w:eastAsia="宋体" w:cs="宋体"/>
                <w:kern w:val="0"/>
                <w:szCs w:val="21"/>
              </w:rPr>
              <w:t>【教学设计恰当】能针对小学生已有的知识水平、 学习经验和兴趣特点，依据课标确定恰当的学习目标和学习重 点，设计学习活动。能依据单元内容进行整体设计，科学合理地依据教学目标及内容设计作业。</w:t>
            </w:r>
          </w:p>
        </w:tc>
        <w:tc>
          <w:tcPr>
            <w:tcW w:w="1327" w:type="dxa"/>
            <w:vMerge w:val="restart"/>
            <w:vAlign w:val="center"/>
          </w:tcPr>
          <w:p w14:paraId="1B128CE4">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2015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55" w:type="dxa"/>
            <w:vMerge w:val="continue"/>
            <w:vAlign w:val="center"/>
          </w:tcPr>
          <w:p w14:paraId="5B7CE047">
            <w:pPr>
              <w:spacing w:line="276" w:lineRule="auto"/>
              <w:jc w:val="center"/>
              <w:rPr>
                <w:rFonts w:hint="eastAsia" w:ascii="宋体" w:hAnsi="宋体" w:eastAsia="宋体" w:cs="Times New Roman"/>
                <w:kern w:val="0"/>
                <w:szCs w:val="21"/>
              </w:rPr>
            </w:pPr>
          </w:p>
        </w:tc>
        <w:tc>
          <w:tcPr>
            <w:tcW w:w="6095" w:type="dxa"/>
            <w:vAlign w:val="center"/>
          </w:tcPr>
          <w:p w14:paraId="60B4DE61">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指标点4-3</w:t>
            </w:r>
            <w:r>
              <w:rPr>
                <w:rFonts w:hint="eastAsia" w:ascii="宋体" w:hAnsi="宋体" w:eastAsia="宋体" w:cs="宋体"/>
                <w:spacing w:val="2"/>
                <w:kern w:val="0"/>
                <w:szCs w:val="21"/>
              </w:rPr>
              <w:t>：</w:t>
            </w:r>
            <w:r>
              <w:rPr>
                <w:rFonts w:hint="eastAsia" w:ascii="宋体" w:hAnsi="宋体" w:eastAsia="宋体" w:cs="宋体"/>
                <w:kern w:val="0"/>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Merge w:val="continue"/>
            <w:vAlign w:val="center"/>
          </w:tcPr>
          <w:p w14:paraId="15C4203C">
            <w:pPr>
              <w:spacing w:line="276" w:lineRule="auto"/>
              <w:jc w:val="left"/>
              <w:rPr>
                <w:rFonts w:hint="eastAsia" w:ascii="宋体" w:hAnsi="宋体" w:eastAsia="宋体" w:cs="Times New Roman"/>
                <w:kern w:val="0"/>
                <w:szCs w:val="21"/>
              </w:rPr>
            </w:pPr>
          </w:p>
        </w:tc>
      </w:tr>
      <w:tr w14:paraId="1D8C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6C5D41CA">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毕业要求5</w:t>
            </w:r>
            <w:r>
              <w:rPr>
                <w:rFonts w:ascii="宋体" w:hAnsi="宋体" w:eastAsia="宋体" w:cs="Times New Roman"/>
                <w:kern w:val="0"/>
                <w:szCs w:val="21"/>
              </w:rPr>
              <w:t>:</w:t>
            </w:r>
          </w:p>
        </w:tc>
        <w:tc>
          <w:tcPr>
            <w:tcW w:w="6095" w:type="dxa"/>
            <w:vAlign w:val="center"/>
          </w:tcPr>
          <w:p w14:paraId="50B1D7A5">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指标点5-1</w:t>
            </w:r>
            <w:r>
              <w:rPr>
                <w:rFonts w:ascii="宋体" w:hAnsi="宋体" w:eastAsia="宋体" w:cs="宋体"/>
                <w:spacing w:val="2"/>
                <w:kern w:val="0"/>
                <w:szCs w:val="21"/>
              </w:rPr>
              <w:t>:</w:t>
            </w:r>
            <w:r>
              <w:rPr>
                <w:rFonts w:hint="eastAsia" w:ascii="宋体" w:hAnsi="宋体" w:eastAsia="宋体" w:cs="宋体"/>
                <w:kern w:val="0"/>
                <w:szCs w:val="21"/>
              </w:rPr>
              <w:t xml:space="preserve">【擅长班队管理】具有小学德育工作体验，树立育 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 </w:t>
            </w:r>
          </w:p>
        </w:tc>
        <w:tc>
          <w:tcPr>
            <w:tcW w:w="1327" w:type="dxa"/>
            <w:vAlign w:val="center"/>
          </w:tcPr>
          <w:p w14:paraId="51AAB91F">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6BCAB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390E84D1">
            <w:pPr>
              <w:spacing w:line="276" w:lineRule="auto"/>
              <w:jc w:val="center"/>
              <w:rPr>
                <w:rFonts w:hint="eastAsia" w:ascii="宋体" w:hAnsi="宋体" w:eastAsia="宋体" w:cs="Times New Roman"/>
                <w:kern w:val="0"/>
                <w:szCs w:val="21"/>
              </w:rPr>
            </w:pPr>
          </w:p>
        </w:tc>
        <w:tc>
          <w:tcPr>
            <w:tcW w:w="6095" w:type="dxa"/>
            <w:vAlign w:val="center"/>
          </w:tcPr>
          <w:p w14:paraId="7D0A217C">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spacing w:val="2"/>
                <w:kern w:val="0"/>
                <w:szCs w:val="21"/>
              </w:rPr>
              <w:t>指标点5-2</w:t>
            </w:r>
            <w:r>
              <w:rPr>
                <w:rFonts w:ascii="宋体" w:hAnsi="宋体" w:eastAsia="宋体" w:cs="宋体"/>
                <w:spacing w:val="2"/>
                <w:kern w:val="0"/>
                <w:szCs w:val="21"/>
              </w:rPr>
              <w:t>:</w:t>
            </w:r>
            <w:r>
              <w:rPr>
                <w:rFonts w:hint="eastAsia" w:ascii="宋体" w:hAnsi="宋体" w:eastAsia="宋体" w:cs="宋体"/>
                <w:kern w:val="0"/>
                <w:szCs w:val="21"/>
              </w:rPr>
              <w:t>【重视身心健康教育】了解小学生身体、情感发展 的特性和差异性，包括小学生日常卫生保健、传染病预防、意外 伤害事故处理等相关知识，掌握面临特殊事件发生时保护学生的基本方法。获得小学心理健康教育指导体验，在教育教学实践中， 参与组织与指导对小学生心理健康教育的科普宣传及心理辅导， 掌握小学心理健康教育的基本方法。</w:t>
            </w:r>
          </w:p>
        </w:tc>
        <w:tc>
          <w:tcPr>
            <w:tcW w:w="1327" w:type="dxa"/>
            <w:vAlign w:val="center"/>
          </w:tcPr>
          <w:p w14:paraId="08B390E7">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61F1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5A9B0EF6">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毕业要求6</w:t>
            </w:r>
            <w:r>
              <w:rPr>
                <w:rFonts w:ascii="宋体" w:hAnsi="宋体" w:eastAsia="宋体" w:cs="Times New Roman"/>
                <w:kern w:val="0"/>
                <w:szCs w:val="21"/>
              </w:rPr>
              <w:t>:</w:t>
            </w:r>
          </w:p>
        </w:tc>
        <w:tc>
          <w:tcPr>
            <w:tcW w:w="6095" w:type="dxa"/>
            <w:vAlign w:val="center"/>
          </w:tcPr>
          <w:p w14:paraId="0999DD18">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指标点6-1</w:t>
            </w:r>
            <w:r>
              <w:rPr>
                <w:rFonts w:ascii="宋体" w:hAnsi="宋体" w:eastAsia="宋体" w:cs="宋体"/>
                <w:spacing w:val="2"/>
                <w:kern w:val="0"/>
                <w:szCs w:val="21"/>
              </w:rPr>
              <w:t>:</w:t>
            </w:r>
            <w:r>
              <w:rPr>
                <w:rFonts w:hint="eastAsia" w:ascii="宋体" w:hAnsi="宋体" w:eastAsia="宋体" w:cs="宋体"/>
                <w:kern w:val="0"/>
                <w:szCs w:val="21"/>
              </w:rPr>
              <w:t>【遵循身心规律】了解不同年龄以及有特殊需要的小学生的身心发展特点和规律、不同年龄小学生学习的特点，掌 握小学生良好行为习惯养成的知识。</w:t>
            </w:r>
          </w:p>
        </w:tc>
        <w:tc>
          <w:tcPr>
            <w:tcW w:w="1327" w:type="dxa"/>
            <w:vAlign w:val="center"/>
          </w:tcPr>
          <w:p w14:paraId="6EC3A082">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5B97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086110B3">
            <w:pPr>
              <w:spacing w:line="276" w:lineRule="auto"/>
              <w:jc w:val="center"/>
              <w:rPr>
                <w:rFonts w:hint="eastAsia" w:ascii="宋体" w:hAnsi="宋体" w:eastAsia="宋体" w:cs="Times New Roman"/>
                <w:kern w:val="0"/>
                <w:szCs w:val="21"/>
              </w:rPr>
            </w:pPr>
          </w:p>
        </w:tc>
        <w:tc>
          <w:tcPr>
            <w:tcW w:w="6095" w:type="dxa"/>
            <w:vAlign w:val="center"/>
          </w:tcPr>
          <w:p w14:paraId="0ECA6412">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指标点6-2</w:t>
            </w:r>
            <w:r>
              <w:rPr>
                <w:rFonts w:ascii="宋体" w:hAnsi="宋体" w:eastAsia="宋体" w:cs="宋体"/>
                <w:spacing w:val="2"/>
                <w:kern w:val="0"/>
                <w:szCs w:val="21"/>
              </w:rPr>
              <w:t>:</w:t>
            </w:r>
            <w:r>
              <w:rPr>
                <w:rFonts w:hint="eastAsia" w:ascii="宋体" w:hAnsi="宋体" w:eastAsia="宋体" w:cs="宋体"/>
                <w:kern w:val="0"/>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056DAD22">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课程目标1</w:t>
            </w:r>
          </w:p>
        </w:tc>
      </w:tr>
      <w:tr w14:paraId="468F2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60FD68D2">
            <w:pPr>
              <w:spacing w:line="276" w:lineRule="auto"/>
              <w:jc w:val="center"/>
              <w:rPr>
                <w:rFonts w:hint="eastAsia" w:ascii="宋体" w:hAnsi="宋体" w:eastAsia="宋体" w:cs="Times New Roman"/>
                <w:kern w:val="0"/>
                <w:szCs w:val="21"/>
              </w:rPr>
            </w:pPr>
          </w:p>
        </w:tc>
        <w:tc>
          <w:tcPr>
            <w:tcW w:w="6095" w:type="dxa"/>
            <w:vAlign w:val="center"/>
          </w:tcPr>
          <w:p w14:paraId="74AB1ACD">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指标点6-3</w:t>
            </w:r>
            <w:r>
              <w:rPr>
                <w:rFonts w:ascii="宋体" w:hAnsi="宋体" w:eastAsia="宋体" w:cs="宋体"/>
                <w:spacing w:val="2"/>
                <w:kern w:val="0"/>
                <w:szCs w:val="21"/>
              </w:rPr>
              <w:t>:</w:t>
            </w:r>
            <w:r>
              <w:rPr>
                <w:rFonts w:hint="eastAsia" w:ascii="宋体" w:hAnsi="宋体" w:eastAsia="宋体" w:cs="宋体"/>
                <w:kern w:val="0"/>
                <w:szCs w:val="21"/>
              </w:rPr>
              <w:t xml:space="preserve"> 【善于文化与活动育人】了解课外活动组织和管理 知识，掌握学校文化和各类课外教育活动的育人内涵和方法，在 教育教学实践中，参与组织主题教育、少先队活动和社团活动， 促进小学生全面、健康发展。</w:t>
            </w:r>
          </w:p>
        </w:tc>
        <w:tc>
          <w:tcPr>
            <w:tcW w:w="1327" w:type="dxa"/>
            <w:vAlign w:val="center"/>
          </w:tcPr>
          <w:p w14:paraId="6330147F">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4F46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7CD337F0">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毕业要求7</w:t>
            </w:r>
            <w:r>
              <w:rPr>
                <w:rFonts w:ascii="宋体" w:hAnsi="宋体" w:eastAsia="宋体" w:cs="Times New Roman"/>
                <w:kern w:val="0"/>
                <w:szCs w:val="21"/>
              </w:rPr>
              <w:t>:</w:t>
            </w:r>
          </w:p>
        </w:tc>
        <w:tc>
          <w:tcPr>
            <w:tcW w:w="6095" w:type="dxa"/>
            <w:vAlign w:val="center"/>
          </w:tcPr>
          <w:p w14:paraId="4E15E6DA">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spacing w:val="2"/>
                <w:kern w:val="0"/>
                <w:szCs w:val="21"/>
              </w:rPr>
              <w:t>指标点7-3</w:t>
            </w:r>
            <w:r>
              <w:rPr>
                <w:rFonts w:hint="eastAsia" w:ascii="宋体" w:hAnsi="宋体" w:eastAsia="宋体" w:cs="宋体"/>
                <w:spacing w:val="2"/>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39460BFE">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7CCD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6CC34237">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毕业要求8</w:t>
            </w:r>
            <w:r>
              <w:rPr>
                <w:rFonts w:ascii="宋体" w:hAnsi="宋体" w:eastAsia="宋体" w:cs="Times New Roman"/>
                <w:kern w:val="0"/>
                <w:szCs w:val="21"/>
              </w:rPr>
              <w:t>:</w:t>
            </w:r>
          </w:p>
        </w:tc>
        <w:tc>
          <w:tcPr>
            <w:tcW w:w="6095" w:type="dxa"/>
            <w:vAlign w:val="center"/>
          </w:tcPr>
          <w:p w14:paraId="19D02FB8">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spacing w:val="2"/>
                <w:kern w:val="0"/>
                <w:szCs w:val="21"/>
              </w:rPr>
              <w:t>指标点8-1</w:t>
            </w:r>
            <w:r>
              <w:rPr>
                <w:rFonts w:ascii="宋体" w:hAnsi="宋体" w:eastAsia="宋体" w:cs="宋体"/>
                <w:spacing w:val="2"/>
                <w:kern w:val="0"/>
                <w:szCs w:val="21"/>
              </w:rPr>
              <w:t>:</w:t>
            </w:r>
            <w:r>
              <w:rPr>
                <w:rFonts w:hint="eastAsia" w:ascii="宋体" w:hAnsi="宋体" w:eastAsia="宋体" w:cs="宋体"/>
                <w:kern w:val="0"/>
                <w:szCs w:val="21"/>
              </w:rPr>
              <w:t xml:space="preserve"> 【善于团队合作】理解学习共同体的本质和价值， 掌握团队协作的基本策略，在课堂学习与教育实践中获得合作学 习体验，形成团队协作精神。</w:t>
            </w:r>
          </w:p>
        </w:tc>
        <w:tc>
          <w:tcPr>
            <w:tcW w:w="1327" w:type="dxa"/>
            <w:vAlign w:val="center"/>
          </w:tcPr>
          <w:p w14:paraId="62C36382">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课程目标4</w:t>
            </w:r>
          </w:p>
        </w:tc>
      </w:tr>
      <w:tr w14:paraId="2E26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6DBD7962">
            <w:pPr>
              <w:spacing w:line="276" w:lineRule="auto"/>
              <w:jc w:val="center"/>
              <w:rPr>
                <w:rFonts w:hint="eastAsia" w:ascii="宋体" w:hAnsi="宋体" w:eastAsia="宋体" w:cs="Times New Roman"/>
                <w:kern w:val="0"/>
                <w:szCs w:val="21"/>
              </w:rPr>
            </w:pPr>
          </w:p>
        </w:tc>
        <w:tc>
          <w:tcPr>
            <w:tcW w:w="6095" w:type="dxa"/>
            <w:vAlign w:val="center"/>
          </w:tcPr>
          <w:p w14:paraId="18E6A5DB">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spacing w:val="2"/>
                <w:kern w:val="0"/>
                <w:szCs w:val="21"/>
              </w:rPr>
              <w:t>指标点8-2</w:t>
            </w:r>
            <w:r>
              <w:rPr>
                <w:rFonts w:ascii="宋体" w:hAnsi="宋体" w:eastAsia="宋体" w:cs="宋体"/>
                <w:spacing w:val="2"/>
                <w:kern w:val="0"/>
                <w:szCs w:val="21"/>
              </w:rPr>
              <w:t>:</w:t>
            </w:r>
            <w:r>
              <w:rPr>
                <w:rFonts w:hint="eastAsia" w:ascii="宋体" w:hAnsi="宋体" w:eastAsia="宋体" w:cs="宋体"/>
                <w:kern w:val="0"/>
                <w:szCs w:val="21"/>
              </w:rPr>
              <w:t xml:space="preserve"> 【学会沟通交流】掌握人际沟通合作技能与方法， 在教育教学实践中，能与学生和家长以及同行、同事、专家进行 有效沟通与合作，实现共同发展。</w:t>
            </w:r>
          </w:p>
        </w:tc>
        <w:tc>
          <w:tcPr>
            <w:tcW w:w="1327" w:type="dxa"/>
            <w:vAlign w:val="center"/>
          </w:tcPr>
          <w:p w14:paraId="637582C5">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课程目标4</w:t>
            </w:r>
          </w:p>
        </w:tc>
      </w:tr>
    </w:tbl>
    <w:p w14:paraId="1DAC305B">
      <w:pPr>
        <w:spacing w:line="360" w:lineRule="auto"/>
        <w:ind w:firstLine="422" w:firstLineChars="200"/>
        <w:jc w:val="left"/>
        <w:outlineLvl w:val="1"/>
        <w:rPr>
          <w:rFonts w:hint="eastAsia" w:ascii="宋体" w:hAnsi="宋体" w:eastAsia="宋体" w:cs="Times New Roman"/>
          <w:b/>
          <w:bCs/>
          <w:szCs w:val="21"/>
        </w:rPr>
      </w:pPr>
      <w:bookmarkStart w:id="1955" w:name="_Toc8232"/>
      <w:r>
        <w:rPr>
          <w:rFonts w:hint="eastAsia" w:ascii="宋体" w:hAnsi="宋体" w:eastAsia="宋体" w:cs="Times New Roman"/>
          <w:b/>
          <w:bCs/>
          <w:szCs w:val="21"/>
        </w:rPr>
        <w:t>（三）课程思政目标</w:t>
      </w:r>
      <w:bookmarkEnd w:id="1955"/>
    </w:p>
    <w:p w14:paraId="71C7D43E">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坚定教育理念，增强教育情怀，在工作和实践中善于学习，正确认识教育规律，关心关爱学生，</w:t>
      </w:r>
      <w:r>
        <w:rPr>
          <w:rFonts w:ascii="宋体" w:hAnsi="宋体" w:eastAsia="宋体" w:cs="Times New Roman"/>
          <w:szCs w:val="21"/>
        </w:rPr>
        <w:t>形成学科育人的意识，</w:t>
      </w:r>
      <w:r>
        <w:rPr>
          <w:rFonts w:hint="eastAsia" w:ascii="宋体" w:hAnsi="宋体" w:eastAsia="宋体" w:cs="Times New Roman"/>
          <w:szCs w:val="21"/>
        </w:rPr>
        <w:t>初步</w:t>
      </w:r>
      <w:r>
        <w:rPr>
          <w:rFonts w:ascii="宋体" w:hAnsi="宋体" w:eastAsia="宋体" w:cs="Times New Roman"/>
          <w:szCs w:val="21"/>
        </w:rPr>
        <w:t>掌握</w:t>
      </w:r>
      <w:r>
        <w:rPr>
          <w:rFonts w:hint="eastAsia" w:ascii="宋体" w:hAnsi="宋体" w:eastAsia="宋体" w:cs="Times New Roman"/>
          <w:szCs w:val="21"/>
        </w:rPr>
        <w:t>教书</w:t>
      </w:r>
      <w:r>
        <w:rPr>
          <w:rFonts w:ascii="宋体" w:hAnsi="宋体" w:eastAsia="宋体" w:cs="Times New Roman"/>
          <w:szCs w:val="21"/>
        </w:rPr>
        <w:t>育人的方法。</w:t>
      </w:r>
    </w:p>
    <w:p w14:paraId="1A264FC7">
      <w:pPr>
        <w:spacing w:before="62" w:beforeLines="20" w:after="62" w:afterLines="20" w:line="360" w:lineRule="auto"/>
        <w:jc w:val="left"/>
        <w:rPr>
          <w:rFonts w:ascii="Times New Roman" w:hAnsi="Times New Roman" w:eastAsia="宋体" w:cs="Times New Roman"/>
          <w:b/>
          <w:sz w:val="24"/>
        </w:rPr>
      </w:pPr>
      <w:bookmarkStart w:id="1956" w:name="_Toc21617"/>
      <w:bookmarkStart w:id="1957" w:name="_Toc7254"/>
      <w:bookmarkStart w:id="1958" w:name="_Toc22179"/>
      <w:bookmarkStart w:id="1959" w:name="_Toc752"/>
      <w:bookmarkStart w:id="1960" w:name="_Toc8542"/>
      <w:bookmarkStart w:id="1961" w:name="_Toc4319"/>
      <w:bookmarkStart w:id="1962" w:name="_Toc18151"/>
      <w:r>
        <w:rPr>
          <w:rFonts w:hint="eastAsia" w:ascii="Times New Roman" w:hAnsi="Times New Roman" w:eastAsia="宋体" w:cs="Times New Roman"/>
          <w:b/>
          <w:sz w:val="24"/>
        </w:rPr>
        <w:t>三、教学内容与预期学习成效</w:t>
      </w:r>
      <w:bookmarkEnd w:id="1956"/>
      <w:bookmarkEnd w:id="1957"/>
      <w:bookmarkEnd w:id="1958"/>
      <w:bookmarkEnd w:id="1959"/>
      <w:bookmarkEnd w:id="1960"/>
      <w:bookmarkEnd w:id="1961"/>
      <w:bookmarkEnd w:id="1962"/>
    </w:p>
    <w:tbl>
      <w:tblPr>
        <w:tblStyle w:val="12"/>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758"/>
        <w:gridCol w:w="1276"/>
        <w:gridCol w:w="2071"/>
        <w:gridCol w:w="1563"/>
        <w:gridCol w:w="442"/>
      </w:tblGrid>
      <w:tr w14:paraId="0142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4ACF4582">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知识</w:t>
            </w:r>
          </w:p>
          <w:p w14:paraId="0CAA5942">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单元</w:t>
            </w:r>
          </w:p>
        </w:tc>
        <w:tc>
          <w:tcPr>
            <w:tcW w:w="2758" w:type="dxa"/>
            <w:vAlign w:val="center"/>
          </w:tcPr>
          <w:p w14:paraId="7E2EE1F5">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知识点</w:t>
            </w:r>
          </w:p>
        </w:tc>
        <w:tc>
          <w:tcPr>
            <w:tcW w:w="1276" w:type="dxa"/>
            <w:vAlign w:val="center"/>
          </w:tcPr>
          <w:p w14:paraId="679F81EA">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对应</w:t>
            </w:r>
          </w:p>
          <w:p w14:paraId="6D47EF68">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课程目标</w:t>
            </w:r>
          </w:p>
        </w:tc>
        <w:tc>
          <w:tcPr>
            <w:tcW w:w="2071" w:type="dxa"/>
            <w:vAlign w:val="center"/>
          </w:tcPr>
          <w:p w14:paraId="7BB85D37">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预期学习成效</w:t>
            </w:r>
          </w:p>
        </w:tc>
        <w:tc>
          <w:tcPr>
            <w:tcW w:w="1563" w:type="dxa"/>
            <w:vAlign w:val="center"/>
          </w:tcPr>
          <w:p w14:paraId="6ADD11AC">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实现环节</w:t>
            </w:r>
          </w:p>
        </w:tc>
        <w:tc>
          <w:tcPr>
            <w:tcW w:w="442" w:type="dxa"/>
            <w:vAlign w:val="center"/>
          </w:tcPr>
          <w:p w14:paraId="3DFBD5B7">
            <w:pPr>
              <w:jc w:val="center"/>
              <w:rPr>
                <w:rFonts w:hint="eastAsia" w:ascii="宋体" w:hAnsi="宋体" w:eastAsia="宋体" w:cs="Times New Roman"/>
                <w:b/>
                <w:kern w:val="0"/>
                <w:sz w:val="20"/>
                <w:szCs w:val="21"/>
              </w:rPr>
            </w:pPr>
            <w:r>
              <w:rPr>
                <w:rFonts w:hint="eastAsia" w:ascii="宋体" w:hAnsi="宋体" w:eastAsia="宋体" w:cs="Times New Roman"/>
                <w:b/>
                <w:kern w:val="0"/>
                <w:sz w:val="20"/>
                <w:szCs w:val="21"/>
              </w:rPr>
              <w:t>学时</w:t>
            </w:r>
          </w:p>
        </w:tc>
      </w:tr>
      <w:tr w14:paraId="7350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75DD3DAA">
            <w:pPr>
              <w:spacing w:line="26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w:t>
            </w:r>
            <w:r>
              <w:rPr>
                <w:rFonts w:hint="eastAsia" w:ascii="Times New Roman" w:hAnsi="Times New Roman" w:eastAsia="宋体" w:cs="Times New Roman"/>
                <w:kern w:val="0"/>
                <w:sz w:val="20"/>
                <w:szCs w:val="22"/>
              </w:rPr>
              <w:t>学校考察</w:t>
            </w:r>
          </w:p>
        </w:tc>
        <w:tc>
          <w:tcPr>
            <w:tcW w:w="2758" w:type="dxa"/>
            <w:vAlign w:val="center"/>
          </w:tcPr>
          <w:p w14:paraId="439396D3">
            <w:pPr>
              <w:spacing w:line="269" w:lineRule="auto"/>
              <w:jc w:val="left"/>
              <w:rPr>
                <w:rFonts w:hint="eastAsia" w:ascii="宋体" w:hAnsi="宋体" w:eastAsia="宋体" w:cs="Times New Roman"/>
                <w:kern w:val="0"/>
                <w:sz w:val="20"/>
                <w:szCs w:val="21"/>
              </w:rPr>
            </w:pPr>
            <w:r>
              <w:rPr>
                <w:rFonts w:ascii="宋体" w:hAnsi="宋体" w:eastAsia="宋体" w:cs="Times New Roman"/>
                <w:kern w:val="0"/>
                <w:sz w:val="20"/>
                <w:szCs w:val="21"/>
              </w:rPr>
              <w:t>观察学校空间、师生日常活动，体会学校校园文化和办学理念；聆听学校负责人介绍学校建设情况、教育教学理念、特色文化；采用观察法或访谈法，聚焦一个主题开展教育调查，分析和总结见习学校的教育教学改革情况</w:t>
            </w:r>
            <w:r>
              <w:rPr>
                <w:rFonts w:hint="eastAsia" w:ascii="宋体" w:hAnsi="宋体" w:eastAsia="宋体" w:cs="Times New Roman"/>
                <w:kern w:val="0"/>
                <w:sz w:val="20"/>
                <w:szCs w:val="21"/>
              </w:rPr>
              <w:t>。</w:t>
            </w:r>
          </w:p>
        </w:tc>
        <w:tc>
          <w:tcPr>
            <w:tcW w:w="1276" w:type="dxa"/>
            <w:vAlign w:val="center"/>
          </w:tcPr>
          <w:p w14:paraId="100DE99B">
            <w:pPr>
              <w:spacing w:line="269"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课程目标1、3</w:t>
            </w:r>
          </w:p>
        </w:tc>
        <w:tc>
          <w:tcPr>
            <w:tcW w:w="2071" w:type="dxa"/>
            <w:vAlign w:val="center"/>
          </w:tcPr>
          <w:p w14:paraId="00C7A7B2">
            <w:pPr>
              <w:spacing w:line="269" w:lineRule="auto"/>
              <w:jc w:val="left"/>
              <w:rPr>
                <w:rFonts w:hint="eastAsia" w:ascii="宋体" w:hAnsi="宋体" w:eastAsia="宋体" w:cs="Times New Roman"/>
                <w:kern w:val="0"/>
                <w:sz w:val="20"/>
                <w:szCs w:val="21"/>
              </w:rPr>
            </w:pPr>
            <w:r>
              <w:rPr>
                <w:rFonts w:ascii="宋体" w:hAnsi="宋体" w:eastAsia="宋体" w:cs="Times New Roman"/>
                <w:kern w:val="0"/>
                <w:sz w:val="20"/>
                <w:szCs w:val="21"/>
              </w:rPr>
              <w:t>认真考察校园文化，听取学校专题介绍，与指导教师深入交流；完成1份教育调查报告</w:t>
            </w:r>
            <w:r>
              <w:rPr>
                <w:rFonts w:hint="eastAsia" w:ascii="宋体" w:hAnsi="宋体" w:eastAsia="宋体" w:cs="Times New Roman"/>
                <w:kern w:val="0"/>
                <w:sz w:val="20"/>
                <w:szCs w:val="21"/>
              </w:rPr>
              <w:t>，</w:t>
            </w:r>
            <w:r>
              <w:rPr>
                <w:rFonts w:ascii="宋体" w:hAnsi="宋体" w:eastAsia="宋体" w:cs="Times New Roman"/>
                <w:kern w:val="0"/>
                <w:sz w:val="20"/>
                <w:szCs w:val="21"/>
              </w:rPr>
              <w:t>报告内容完整、方法合理，重点突出，数据和内容真实。</w:t>
            </w:r>
          </w:p>
        </w:tc>
        <w:tc>
          <w:tcPr>
            <w:tcW w:w="1563" w:type="dxa"/>
            <w:vAlign w:val="center"/>
          </w:tcPr>
          <w:p w14:paraId="0678F69D">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1.跟岗学习</w:t>
            </w:r>
          </w:p>
          <w:p w14:paraId="6999992F">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2.交流研讨</w:t>
            </w:r>
          </w:p>
          <w:p w14:paraId="44969598">
            <w:pPr>
              <w:spacing w:line="269" w:lineRule="auto"/>
              <w:jc w:val="left"/>
              <w:rPr>
                <w:rFonts w:hint="eastAsia" w:ascii="宋体" w:hAnsi="宋体" w:eastAsia="宋体" w:cs="Times New Roman"/>
                <w:kern w:val="0"/>
                <w:sz w:val="20"/>
                <w:szCs w:val="21"/>
              </w:rPr>
            </w:pPr>
            <w:r>
              <w:rPr>
                <w:rFonts w:ascii="宋体" w:hAnsi="宋体" w:eastAsia="宋体" w:cs="Times New Roman"/>
                <w:kern w:val="0"/>
                <w:sz w:val="20"/>
                <w:szCs w:val="21"/>
              </w:rPr>
              <w:t>3</w:t>
            </w:r>
            <w:r>
              <w:rPr>
                <w:rFonts w:hint="eastAsia" w:ascii="宋体" w:hAnsi="宋体" w:eastAsia="宋体" w:cs="Times New Roman"/>
                <w:kern w:val="0"/>
                <w:sz w:val="20"/>
                <w:szCs w:val="21"/>
              </w:rPr>
              <w:t>.自主实践</w:t>
            </w:r>
          </w:p>
        </w:tc>
        <w:tc>
          <w:tcPr>
            <w:tcW w:w="442" w:type="dxa"/>
            <w:vAlign w:val="center"/>
          </w:tcPr>
          <w:p w14:paraId="5FF5C9EC">
            <w:pPr>
              <w:spacing w:line="269"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2</w:t>
            </w:r>
            <w:r>
              <w:rPr>
                <w:rFonts w:hint="eastAsia" w:ascii="宋体" w:hAnsi="宋体" w:eastAsia="宋体" w:cs="Times New Roman"/>
                <w:kern w:val="0"/>
                <w:sz w:val="20"/>
                <w:szCs w:val="21"/>
              </w:rPr>
              <w:t>天</w:t>
            </w:r>
          </w:p>
        </w:tc>
      </w:tr>
      <w:tr w14:paraId="4269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6D216C2B">
            <w:pPr>
              <w:spacing w:line="264" w:lineRule="auto"/>
              <w:jc w:val="center"/>
              <w:rPr>
                <w:rFonts w:hint="eastAsia" w:ascii="宋体" w:hAnsi="宋体" w:eastAsia="宋体" w:cs="Times New Roman"/>
                <w:kern w:val="0"/>
                <w:sz w:val="20"/>
                <w:szCs w:val="21"/>
              </w:rPr>
            </w:pPr>
          </w:p>
        </w:tc>
        <w:tc>
          <w:tcPr>
            <w:tcW w:w="8110" w:type="dxa"/>
            <w:gridSpan w:val="5"/>
            <w:vAlign w:val="center"/>
          </w:tcPr>
          <w:p w14:paraId="363FA356">
            <w:pPr>
              <w:spacing w:line="269" w:lineRule="auto"/>
              <w:jc w:val="left"/>
              <w:rPr>
                <w:rFonts w:hint="eastAsia" w:ascii="宋体" w:hAnsi="宋体" w:eastAsia="宋体" w:cs="Times New Roman"/>
                <w:kern w:val="0"/>
                <w:sz w:val="20"/>
                <w:szCs w:val="21"/>
              </w:rPr>
            </w:pPr>
            <w:r>
              <w:rPr>
                <w:rFonts w:hint="eastAsia" w:ascii="宋体" w:hAnsi="宋体" w:eastAsia="宋体" w:cs="Times New Roman"/>
                <w:b/>
                <w:kern w:val="0"/>
                <w:sz w:val="20"/>
                <w:szCs w:val="21"/>
              </w:rPr>
              <w:t>课程思政目标：</w:t>
            </w:r>
            <w:r>
              <w:rPr>
                <w:rFonts w:ascii="宋体" w:hAnsi="宋体" w:eastAsia="宋体" w:cs="Times New Roman"/>
                <w:kern w:val="0"/>
                <w:sz w:val="20"/>
                <w:szCs w:val="21"/>
              </w:rPr>
              <w:t>把“立德树人”教育目标融入实践过程中，领悟教师职业的价值，树立职业理想，立志成为有理想信念、有道德情操、有扎实学识、有仁爱之心的好教师。</w:t>
            </w:r>
          </w:p>
        </w:tc>
      </w:tr>
      <w:tr w14:paraId="62DE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7216C5B8">
            <w:pPr>
              <w:spacing w:line="26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w:t>
            </w:r>
            <w:r>
              <w:rPr>
                <w:rFonts w:hint="eastAsia" w:ascii="Times New Roman" w:hAnsi="Times New Roman" w:eastAsia="宋体" w:cs="Times New Roman"/>
                <w:kern w:val="0"/>
                <w:sz w:val="20"/>
                <w:szCs w:val="22"/>
              </w:rPr>
              <w:t xml:space="preserve"> 教学观摩与研习</w:t>
            </w:r>
          </w:p>
        </w:tc>
        <w:tc>
          <w:tcPr>
            <w:tcW w:w="2758" w:type="dxa"/>
            <w:vAlign w:val="center"/>
          </w:tcPr>
          <w:p w14:paraId="6EAC0639">
            <w:pPr>
              <w:spacing w:line="269" w:lineRule="auto"/>
              <w:jc w:val="left"/>
              <w:rPr>
                <w:rFonts w:hint="eastAsia" w:ascii="宋体" w:hAnsi="宋体" w:eastAsia="宋体" w:cs="Times New Roman"/>
                <w:kern w:val="0"/>
                <w:sz w:val="20"/>
                <w:szCs w:val="21"/>
              </w:rPr>
            </w:pPr>
            <w:r>
              <w:rPr>
                <w:rFonts w:ascii="宋体" w:hAnsi="宋体" w:eastAsia="宋体" w:cs="Times New Roman"/>
                <w:kern w:val="0"/>
                <w:sz w:val="20"/>
                <w:szCs w:val="21"/>
              </w:rPr>
              <w:t>认真研读教材，备课，撰写教案，善于运用教学材料钻研教材，设计出形式要素齐全、比较规范合理的教案，认真学习实践导师的教学方法与教学经验。聆听学校优秀教师、优秀班主任(辅导员)工作教育教学经验的介绍。</w:t>
            </w:r>
          </w:p>
        </w:tc>
        <w:tc>
          <w:tcPr>
            <w:tcW w:w="1276" w:type="dxa"/>
            <w:vAlign w:val="center"/>
          </w:tcPr>
          <w:p w14:paraId="5877A594">
            <w:pPr>
              <w:spacing w:line="269"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课程目标1、2</w:t>
            </w:r>
          </w:p>
        </w:tc>
        <w:tc>
          <w:tcPr>
            <w:tcW w:w="2071" w:type="dxa"/>
            <w:vAlign w:val="center"/>
          </w:tcPr>
          <w:p w14:paraId="0117F5C3">
            <w:pPr>
              <w:spacing w:line="269"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.每天听课2-3节，总听课数不少于10节</w:t>
            </w:r>
            <w:r>
              <w:rPr>
                <w:rFonts w:hint="eastAsia" w:ascii="宋体" w:hAnsi="宋体" w:eastAsia="宋体" w:cs="Times New Roman"/>
                <w:kern w:val="0"/>
                <w:sz w:val="20"/>
                <w:szCs w:val="21"/>
              </w:rPr>
              <w:t>。</w:t>
            </w:r>
          </w:p>
          <w:p w14:paraId="0F3BE8E6">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w:t>
            </w:r>
            <w:r>
              <w:rPr>
                <w:rFonts w:hint="eastAsia" w:ascii="宋体" w:hAnsi="宋体" w:eastAsia="宋体" w:cs="Times New Roman"/>
                <w:kern w:val="0"/>
                <w:sz w:val="20"/>
                <w:szCs w:val="21"/>
              </w:rPr>
              <w:t>撰写</w:t>
            </w:r>
            <w:r>
              <w:rPr>
                <w:rFonts w:ascii="宋体" w:hAnsi="宋体" w:eastAsia="宋体" w:cs="Times New Roman"/>
                <w:kern w:val="0"/>
                <w:sz w:val="20"/>
                <w:szCs w:val="21"/>
              </w:rPr>
              <w:t>教案</w:t>
            </w:r>
            <w:r>
              <w:rPr>
                <w:rFonts w:hint="eastAsia" w:ascii="宋体" w:hAnsi="宋体" w:eastAsia="宋体" w:cs="Times New Roman"/>
                <w:kern w:val="0"/>
                <w:sz w:val="20"/>
                <w:szCs w:val="21"/>
              </w:rPr>
              <w:t>1篇。</w:t>
            </w:r>
          </w:p>
        </w:tc>
        <w:tc>
          <w:tcPr>
            <w:tcW w:w="1563" w:type="dxa"/>
            <w:vAlign w:val="center"/>
          </w:tcPr>
          <w:p w14:paraId="086275BC">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1.跟岗学习</w:t>
            </w:r>
          </w:p>
          <w:p w14:paraId="444B526D">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2.交流研讨</w:t>
            </w:r>
          </w:p>
          <w:p w14:paraId="18A5E65F">
            <w:pPr>
              <w:spacing w:line="269" w:lineRule="auto"/>
              <w:jc w:val="left"/>
              <w:rPr>
                <w:rFonts w:hint="eastAsia" w:ascii="宋体" w:hAnsi="宋体" w:eastAsia="宋体" w:cs="Times New Roman"/>
                <w:kern w:val="0"/>
                <w:sz w:val="20"/>
                <w:szCs w:val="21"/>
              </w:rPr>
            </w:pPr>
            <w:r>
              <w:rPr>
                <w:rFonts w:ascii="宋体" w:hAnsi="宋体" w:eastAsia="宋体" w:cs="Times New Roman"/>
                <w:kern w:val="0"/>
                <w:sz w:val="20"/>
                <w:szCs w:val="21"/>
              </w:rPr>
              <w:t>3</w:t>
            </w:r>
            <w:r>
              <w:rPr>
                <w:rFonts w:hint="eastAsia" w:ascii="宋体" w:hAnsi="宋体" w:eastAsia="宋体" w:cs="Times New Roman"/>
                <w:kern w:val="0"/>
                <w:sz w:val="20"/>
                <w:szCs w:val="21"/>
              </w:rPr>
              <w:t>.自主实践</w:t>
            </w:r>
          </w:p>
        </w:tc>
        <w:tc>
          <w:tcPr>
            <w:tcW w:w="442" w:type="dxa"/>
            <w:vAlign w:val="center"/>
          </w:tcPr>
          <w:p w14:paraId="2F838050">
            <w:pPr>
              <w:spacing w:line="269"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4天</w:t>
            </w:r>
          </w:p>
        </w:tc>
      </w:tr>
      <w:tr w14:paraId="15F9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06" w:type="dxa"/>
            <w:vMerge w:val="continue"/>
            <w:vAlign w:val="center"/>
          </w:tcPr>
          <w:p w14:paraId="03601422">
            <w:pPr>
              <w:spacing w:line="264" w:lineRule="auto"/>
              <w:jc w:val="center"/>
              <w:rPr>
                <w:rFonts w:hint="eastAsia" w:ascii="宋体" w:hAnsi="宋体" w:eastAsia="宋体" w:cs="Times New Roman"/>
                <w:kern w:val="0"/>
                <w:sz w:val="20"/>
                <w:szCs w:val="21"/>
              </w:rPr>
            </w:pPr>
          </w:p>
        </w:tc>
        <w:tc>
          <w:tcPr>
            <w:tcW w:w="8110" w:type="dxa"/>
            <w:gridSpan w:val="5"/>
            <w:vAlign w:val="center"/>
          </w:tcPr>
          <w:p w14:paraId="17F10FD4">
            <w:pPr>
              <w:spacing w:line="276" w:lineRule="auto"/>
              <w:jc w:val="left"/>
              <w:rPr>
                <w:rFonts w:hint="eastAsia" w:ascii="宋体" w:hAnsi="宋体" w:eastAsia="宋体" w:cs="Times New Roman"/>
                <w:kern w:val="0"/>
                <w:sz w:val="24"/>
              </w:rPr>
            </w:pPr>
            <w:r>
              <w:rPr>
                <w:rFonts w:hint="eastAsia" w:ascii="宋体" w:hAnsi="宋体" w:eastAsia="宋体" w:cs="Times New Roman"/>
                <w:b/>
                <w:kern w:val="0"/>
                <w:sz w:val="20"/>
                <w:szCs w:val="21"/>
              </w:rPr>
              <w:t>课程思政目标：</w:t>
            </w:r>
            <w:r>
              <w:rPr>
                <w:rFonts w:hint="eastAsia" w:ascii="宋体" w:hAnsi="宋体" w:eastAsia="宋体" w:cs="Times New Roman"/>
                <w:kern w:val="0"/>
                <w:szCs w:val="21"/>
              </w:rPr>
              <w:t>树立辩证统一的思维，能够科学合理的分析和评价教学，吸取教学中的经验与教训；理解教师工作的本质，认同教师工作的科学性和专业性。</w:t>
            </w:r>
          </w:p>
        </w:tc>
      </w:tr>
      <w:tr w14:paraId="7FAAB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0DF57E55">
            <w:pPr>
              <w:spacing w:line="264"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w:t>
            </w:r>
            <w:r>
              <w:rPr>
                <w:rFonts w:hint="eastAsia" w:ascii="宋体" w:hAnsi="宋体" w:eastAsia="宋体" w:cs="Times New Roman"/>
                <w:kern w:val="0"/>
                <w:sz w:val="20"/>
                <w:szCs w:val="21"/>
              </w:rPr>
              <w:t>班级管理和班队工作见习</w:t>
            </w:r>
          </w:p>
        </w:tc>
        <w:tc>
          <w:tcPr>
            <w:tcW w:w="2758" w:type="dxa"/>
            <w:vAlign w:val="center"/>
          </w:tcPr>
          <w:p w14:paraId="1DFC2ABE">
            <w:pPr>
              <w:spacing w:line="269" w:lineRule="auto"/>
              <w:jc w:val="left"/>
              <w:rPr>
                <w:rFonts w:hint="eastAsia" w:ascii="宋体" w:hAnsi="宋体" w:eastAsia="宋体" w:cs="Times New Roman"/>
                <w:kern w:val="0"/>
                <w:sz w:val="20"/>
                <w:szCs w:val="21"/>
              </w:rPr>
            </w:pPr>
            <w:r>
              <w:rPr>
                <w:rFonts w:ascii="宋体" w:hAnsi="宋体" w:eastAsia="宋体" w:cs="Times New Roman"/>
                <w:kern w:val="0"/>
                <w:sz w:val="20"/>
                <w:szCs w:val="21"/>
              </w:rPr>
              <w:t>全面观察班级常规管理工作，了解班主任日常工作的内容和方法，主动协助班主任进行班级管理；在班主任指导下尝试组织有主题的班会或班队活动</w:t>
            </w:r>
            <w:r>
              <w:rPr>
                <w:rFonts w:hint="eastAsia" w:ascii="宋体" w:hAnsi="宋体" w:eastAsia="宋体" w:cs="Times New Roman"/>
                <w:kern w:val="0"/>
                <w:sz w:val="20"/>
                <w:szCs w:val="21"/>
              </w:rPr>
              <w:t>。</w:t>
            </w:r>
          </w:p>
        </w:tc>
        <w:tc>
          <w:tcPr>
            <w:tcW w:w="1276" w:type="dxa"/>
            <w:vAlign w:val="center"/>
          </w:tcPr>
          <w:p w14:paraId="6E0086C6">
            <w:pPr>
              <w:spacing w:line="269"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课程目标1、3、4</w:t>
            </w:r>
          </w:p>
        </w:tc>
        <w:tc>
          <w:tcPr>
            <w:tcW w:w="2071" w:type="dxa"/>
            <w:vAlign w:val="center"/>
          </w:tcPr>
          <w:p w14:paraId="253F4C46">
            <w:pPr>
              <w:spacing w:line="269" w:lineRule="auto"/>
              <w:jc w:val="left"/>
              <w:rPr>
                <w:rFonts w:hint="eastAsia" w:ascii="宋体" w:hAnsi="宋体" w:eastAsia="宋体" w:cs="Times New Roman"/>
                <w:kern w:val="0"/>
                <w:sz w:val="20"/>
                <w:szCs w:val="21"/>
              </w:rPr>
            </w:pPr>
            <w:r>
              <w:rPr>
                <w:rFonts w:ascii="宋体" w:hAnsi="宋体" w:eastAsia="宋体" w:cs="Times New Roman"/>
                <w:kern w:val="0"/>
                <w:sz w:val="20"/>
                <w:szCs w:val="21"/>
              </w:rPr>
              <w:t>掌握小学生生活特点、心理特点</w:t>
            </w:r>
            <w:r>
              <w:rPr>
                <w:rFonts w:hint="eastAsia" w:ascii="宋体" w:hAnsi="宋体" w:eastAsia="宋体" w:cs="Times New Roman"/>
                <w:kern w:val="0"/>
                <w:sz w:val="20"/>
                <w:szCs w:val="21"/>
              </w:rPr>
              <w:t>，</w:t>
            </w:r>
            <w:r>
              <w:rPr>
                <w:rFonts w:ascii="宋体" w:hAnsi="宋体" w:eastAsia="宋体" w:cs="Times New Roman"/>
                <w:kern w:val="0"/>
                <w:sz w:val="20"/>
                <w:szCs w:val="21"/>
              </w:rPr>
              <w:t>善于在</w:t>
            </w:r>
            <w:r>
              <w:rPr>
                <w:rFonts w:hint="eastAsia" w:ascii="宋体" w:hAnsi="宋体" w:eastAsia="宋体" w:cs="Times New Roman"/>
                <w:kern w:val="0"/>
                <w:sz w:val="20"/>
                <w:szCs w:val="21"/>
              </w:rPr>
              <w:t>班级</w:t>
            </w:r>
            <w:r>
              <w:rPr>
                <w:rFonts w:ascii="宋体" w:hAnsi="宋体" w:eastAsia="宋体" w:cs="Times New Roman"/>
                <w:kern w:val="0"/>
                <w:sz w:val="20"/>
                <w:szCs w:val="21"/>
              </w:rPr>
              <w:t>管理案例中总结经验与教训。</w:t>
            </w:r>
            <w:r>
              <w:rPr>
                <w:rFonts w:hint="eastAsia" w:ascii="宋体" w:hAnsi="宋体" w:eastAsia="宋体" w:cs="Times New Roman"/>
                <w:kern w:val="0"/>
                <w:sz w:val="20"/>
                <w:szCs w:val="21"/>
              </w:rPr>
              <w:t>完成</w:t>
            </w:r>
            <w:r>
              <w:rPr>
                <w:rFonts w:ascii="宋体" w:hAnsi="宋体" w:eastAsia="宋体" w:cs="Times New Roman"/>
                <w:kern w:val="0"/>
                <w:sz w:val="20"/>
                <w:szCs w:val="21"/>
              </w:rPr>
              <w:t>班队活动观察记录1份。</w:t>
            </w:r>
          </w:p>
        </w:tc>
        <w:tc>
          <w:tcPr>
            <w:tcW w:w="1563" w:type="dxa"/>
            <w:vAlign w:val="center"/>
          </w:tcPr>
          <w:p w14:paraId="085DD41A">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1.跟岗学习</w:t>
            </w:r>
          </w:p>
          <w:p w14:paraId="129EA58A">
            <w:pPr>
              <w:spacing w:line="269" w:lineRule="auto"/>
              <w:jc w:val="left"/>
              <w:rPr>
                <w:rFonts w:hint="eastAsia" w:ascii="宋体" w:hAnsi="宋体" w:eastAsia="宋体" w:cs="Times New Roman"/>
                <w:kern w:val="0"/>
                <w:sz w:val="20"/>
                <w:szCs w:val="21"/>
              </w:rPr>
            </w:pPr>
            <w:r>
              <w:rPr>
                <w:rFonts w:hint="eastAsia" w:ascii="宋体" w:hAnsi="宋体" w:eastAsia="宋体" w:cs="Times New Roman"/>
                <w:kern w:val="0"/>
                <w:sz w:val="20"/>
                <w:szCs w:val="21"/>
              </w:rPr>
              <w:t>2.交流研讨</w:t>
            </w:r>
          </w:p>
          <w:p w14:paraId="6B416C88">
            <w:pPr>
              <w:spacing w:line="269" w:lineRule="auto"/>
              <w:jc w:val="left"/>
              <w:rPr>
                <w:rFonts w:hint="eastAsia" w:ascii="宋体" w:hAnsi="宋体" w:eastAsia="宋体" w:cs="Times New Roman"/>
                <w:kern w:val="0"/>
                <w:sz w:val="20"/>
                <w:szCs w:val="21"/>
              </w:rPr>
            </w:pPr>
            <w:r>
              <w:rPr>
                <w:rFonts w:ascii="宋体" w:hAnsi="宋体" w:eastAsia="宋体" w:cs="Times New Roman"/>
                <w:kern w:val="0"/>
                <w:sz w:val="20"/>
                <w:szCs w:val="21"/>
              </w:rPr>
              <w:t>3</w:t>
            </w:r>
            <w:r>
              <w:rPr>
                <w:rFonts w:hint="eastAsia" w:ascii="宋体" w:hAnsi="宋体" w:eastAsia="宋体" w:cs="Times New Roman"/>
                <w:kern w:val="0"/>
                <w:sz w:val="20"/>
                <w:szCs w:val="21"/>
              </w:rPr>
              <w:t>.自主实践</w:t>
            </w:r>
          </w:p>
        </w:tc>
        <w:tc>
          <w:tcPr>
            <w:tcW w:w="442" w:type="dxa"/>
            <w:vAlign w:val="center"/>
          </w:tcPr>
          <w:p w14:paraId="47ED8F99">
            <w:pPr>
              <w:spacing w:line="269"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4天</w:t>
            </w:r>
          </w:p>
        </w:tc>
      </w:tr>
      <w:tr w14:paraId="3DC4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06" w:type="dxa"/>
            <w:vMerge w:val="continue"/>
            <w:vAlign w:val="center"/>
          </w:tcPr>
          <w:p w14:paraId="52B61ECE">
            <w:pPr>
              <w:spacing w:line="264" w:lineRule="auto"/>
              <w:jc w:val="center"/>
              <w:rPr>
                <w:rFonts w:hint="eastAsia" w:ascii="宋体" w:hAnsi="宋体" w:eastAsia="宋体" w:cs="Times New Roman"/>
                <w:kern w:val="0"/>
                <w:sz w:val="20"/>
                <w:szCs w:val="21"/>
              </w:rPr>
            </w:pPr>
          </w:p>
        </w:tc>
        <w:tc>
          <w:tcPr>
            <w:tcW w:w="8110" w:type="dxa"/>
            <w:gridSpan w:val="5"/>
            <w:vAlign w:val="center"/>
          </w:tcPr>
          <w:p w14:paraId="2FC899E2">
            <w:pPr>
              <w:spacing w:line="276" w:lineRule="auto"/>
              <w:ind w:firstLine="422" w:firstLineChars="200"/>
              <w:rPr>
                <w:rFonts w:hint="eastAsia" w:ascii="宋体" w:hAnsi="宋体" w:eastAsia="宋体" w:cs="Times New Roman"/>
                <w:b/>
                <w:bCs/>
                <w:kern w:val="0"/>
                <w:szCs w:val="21"/>
              </w:rPr>
            </w:pPr>
            <w:r>
              <w:rPr>
                <w:rFonts w:hint="eastAsia" w:ascii="宋体" w:hAnsi="宋体" w:eastAsia="宋体" w:cs="Times New Roman"/>
                <w:b/>
                <w:bCs/>
                <w:kern w:val="0"/>
                <w:szCs w:val="21"/>
              </w:rPr>
              <w:t>课程思政目标：</w:t>
            </w:r>
            <w:r>
              <w:rPr>
                <w:rFonts w:hint="eastAsia" w:ascii="宋体" w:hAnsi="宋体" w:eastAsia="宋体" w:cs="Times New Roman"/>
                <w:kern w:val="0"/>
                <w:szCs w:val="21"/>
              </w:rPr>
              <w:t>理解培养全面发展的人这一教育理念，认识教育管理、班队活动的育人价值，提高教育修养，增强在教育过程中挖掘各个因素进行教育的意识和能力。</w:t>
            </w:r>
          </w:p>
        </w:tc>
      </w:tr>
    </w:tbl>
    <w:p w14:paraId="29F762B5">
      <w:pPr>
        <w:spacing w:before="62" w:beforeLines="20" w:after="62" w:afterLines="20" w:line="360" w:lineRule="auto"/>
        <w:jc w:val="left"/>
        <w:rPr>
          <w:rFonts w:ascii="Times New Roman" w:hAnsi="Times New Roman" w:eastAsia="宋体" w:cs="Times New Roman"/>
          <w:b/>
          <w:sz w:val="24"/>
        </w:rPr>
      </w:pPr>
      <w:bookmarkStart w:id="1963" w:name="_Toc7241"/>
      <w:bookmarkStart w:id="1964" w:name="_Toc29828"/>
      <w:bookmarkStart w:id="1965" w:name="_Toc32493"/>
      <w:bookmarkStart w:id="1966" w:name="_Toc1955"/>
      <w:bookmarkStart w:id="1967" w:name="_Toc16271"/>
      <w:bookmarkStart w:id="1968" w:name="_Toc25601"/>
      <w:bookmarkStart w:id="1969" w:name="_Toc12576"/>
      <w:r>
        <w:rPr>
          <w:rFonts w:hint="eastAsia" w:ascii="Times New Roman" w:hAnsi="Times New Roman" w:eastAsia="宋体" w:cs="Times New Roman"/>
          <w:b/>
          <w:sz w:val="24"/>
        </w:rPr>
        <w:t>四、目标评价与成绩评定</w:t>
      </w:r>
      <w:bookmarkEnd w:id="1963"/>
      <w:bookmarkEnd w:id="1964"/>
      <w:bookmarkEnd w:id="1965"/>
      <w:bookmarkEnd w:id="1966"/>
      <w:bookmarkEnd w:id="1967"/>
      <w:bookmarkEnd w:id="1968"/>
      <w:bookmarkEnd w:id="1969"/>
    </w:p>
    <w:p w14:paraId="12927001">
      <w:pPr>
        <w:spacing w:line="360" w:lineRule="auto"/>
        <w:ind w:firstLine="422" w:firstLineChars="200"/>
        <w:jc w:val="left"/>
        <w:outlineLvl w:val="1"/>
        <w:rPr>
          <w:rFonts w:ascii="Times New Roman" w:hAnsi="Times New Roman" w:eastAsia="宋体" w:cs="Times New Roman"/>
          <w:b/>
          <w:szCs w:val="21"/>
        </w:rPr>
      </w:pPr>
      <w:bookmarkStart w:id="1970" w:name="_Toc30155"/>
      <w:r>
        <w:rPr>
          <w:rFonts w:hint="eastAsia" w:ascii="Times New Roman" w:hAnsi="Times New Roman" w:eastAsia="宋体" w:cs="Times New Roman"/>
          <w:b/>
          <w:szCs w:val="21"/>
        </w:rPr>
        <w:t>（一）课程目标评价方式</w:t>
      </w:r>
      <w:bookmarkEnd w:id="1970"/>
    </w:p>
    <w:p w14:paraId="16DF9D53">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73"/>
        <w:gridCol w:w="1268"/>
        <w:gridCol w:w="1661"/>
        <w:gridCol w:w="1843"/>
        <w:gridCol w:w="1255"/>
      </w:tblGrid>
      <w:tr w14:paraId="4704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Merge w:val="restart"/>
            <w:vAlign w:val="center"/>
          </w:tcPr>
          <w:p w14:paraId="1BA32D2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045" w:type="dxa"/>
            <w:gridSpan w:val="4"/>
          </w:tcPr>
          <w:p w14:paraId="5E080D4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1255" w:type="dxa"/>
            <w:vMerge w:val="restart"/>
            <w:vAlign w:val="center"/>
          </w:tcPr>
          <w:p w14:paraId="75F1598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5D89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05" w:type="dxa"/>
            <w:vMerge w:val="continue"/>
            <w:vAlign w:val="center"/>
          </w:tcPr>
          <w:p w14:paraId="028668CD">
            <w:pPr>
              <w:spacing w:line="360" w:lineRule="auto"/>
              <w:jc w:val="center"/>
              <w:rPr>
                <w:rFonts w:hint="eastAsia" w:ascii="宋体" w:hAnsi="宋体" w:eastAsia="宋体" w:cs="Times New Roman"/>
                <w:kern w:val="0"/>
                <w:sz w:val="20"/>
                <w:szCs w:val="21"/>
              </w:rPr>
            </w:pPr>
          </w:p>
        </w:tc>
        <w:tc>
          <w:tcPr>
            <w:tcW w:w="1273" w:type="dxa"/>
            <w:vAlign w:val="center"/>
          </w:tcPr>
          <w:p w14:paraId="796F3645">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1268" w:type="dxa"/>
            <w:vAlign w:val="center"/>
          </w:tcPr>
          <w:p w14:paraId="3A81DEF1">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学校考察</w:t>
            </w:r>
          </w:p>
          <w:p w14:paraId="2352A748">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1661" w:type="dxa"/>
            <w:vAlign w:val="center"/>
          </w:tcPr>
          <w:p w14:paraId="34E845EE">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1843" w:type="dxa"/>
            <w:vAlign w:val="center"/>
          </w:tcPr>
          <w:p w14:paraId="4DCF8DF5">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1255" w:type="dxa"/>
            <w:vMerge w:val="continue"/>
            <w:vAlign w:val="center"/>
          </w:tcPr>
          <w:p w14:paraId="2E85C952">
            <w:pPr>
              <w:spacing w:line="360" w:lineRule="auto"/>
              <w:jc w:val="center"/>
              <w:rPr>
                <w:rFonts w:hint="eastAsia" w:ascii="宋体" w:hAnsi="宋体" w:eastAsia="宋体" w:cs="Times New Roman"/>
                <w:kern w:val="0"/>
                <w:sz w:val="20"/>
                <w:szCs w:val="21"/>
              </w:rPr>
            </w:pPr>
          </w:p>
        </w:tc>
      </w:tr>
      <w:tr w14:paraId="42AB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05" w:type="dxa"/>
            <w:vAlign w:val="center"/>
          </w:tcPr>
          <w:p w14:paraId="6F1F9A3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273" w:type="dxa"/>
          </w:tcPr>
          <w:p w14:paraId="2A6CBB6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285E1C8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3D797D8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78D0672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6E11F9D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20</w:t>
            </w:r>
          </w:p>
        </w:tc>
      </w:tr>
      <w:tr w14:paraId="35EA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48FB8E8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273" w:type="dxa"/>
          </w:tcPr>
          <w:p w14:paraId="7598213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683E459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37FFB3C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679FB20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747E8CB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3C849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718263B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273" w:type="dxa"/>
          </w:tcPr>
          <w:p w14:paraId="3238882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3DCCE36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783D34C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5F1E4C8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286B6EC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20F0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45CA6F4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273" w:type="dxa"/>
          </w:tcPr>
          <w:p w14:paraId="021B21D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tcPr>
          <w:p w14:paraId="65ED763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tcPr>
          <w:p w14:paraId="61DDF32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tcPr>
          <w:p w14:paraId="1AC60CB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3AE2916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r>
      <w:tr w14:paraId="0A07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3EA10DF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273" w:type="dxa"/>
          </w:tcPr>
          <w:p w14:paraId="43A1A96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w:t>
            </w:r>
          </w:p>
        </w:tc>
        <w:tc>
          <w:tcPr>
            <w:tcW w:w="1268" w:type="dxa"/>
            <w:vAlign w:val="center"/>
          </w:tcPr>
          <w:p w14:paraId="2BEBB04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c>
          <w:tcPr>
            <w:tcW w:w="1661" w:type="dxa"/>
            <w:vAlign w:val="center"/>
          </w:tcPr>
          <w:p w14:paraId="0BD5621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50</w:t>
            </w:r>
          </w:p>
        </w:tc>
        <w:tc>
          <w:tcPr>
            <w:tcW w:w="1843" w:type="dxa"/>
            <w:vAlign w:val="center"/>
          </w:tcPr>
          <w:p w14:paraId="141FDF5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20</w:t>
            </w:r>
          </w:p>
        </w:tc>
        <w:tc>
          <w:tcPr>
            <w:tcW w:w="1255" w:type="dxa"/>
            <w:vAlign w:val="center"/>
          </w:tcPr>
          <w:p w14:paraId="25C8238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5023C345">
      <w:pPr>
        <w:spacing w:before="156" w:beforeLines="50" w:line="360" w:lineRule="auto"/>
        <w:ind w:firstLine="422" w:firstLineChars="200"/>
        <w:jc w:val="left"/>
        <w:outlineLvl w:val="1"/>
        <w:rPr>
          <w:rFonts w:ascii="Times New Roman" w:hAnsi="Times New Roman" w:eastAsia="宋体" w:cs="Times New Roman"/>
          <w:b/>
          <w:szCs w:val="21"/>
        </w:rPr>
      </w:pPr>
      <w:bookmarkStart w:id="1971" w:name="_Toc27754"/>
      <w:r>
        <w:rPr>
          <w:rFonts w:hint="eastAsia" w:ascii="Times New Roman" w:hAnsi="Times New Roman" w:eastAsia="宋体" w:cs="Times New Roman"/>
          <w:b/>
          <w:szCs w:val="21"/>
        </w:rPr>
        <w:t>（二）成绩评定细则</w:t>
      </w:r>
      <w:bookmarkEnd w:id="1971"/>
    </w:p>
    <w:p w14:paraId="0707211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109"/>
        <w:gridCol w:w="682"/>
      </w:tblGrid>
      <w:tr w14:paraId="155A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71" w:type="dxa"/>
            <w:vAlign w:val="center"/>
          </w:tcPr>
          <w:p w14:paraId="378CF580">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7109" w:type="dxa"/>
            <w:vAlign w:val="center"/>
          </w:tcPr>
          <w:p w14:paraId="35B3054B">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2FDEE743">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19B8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56947759">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7109" w:type="dxa"/>
            <w:tcBorders>
              <w:top w:val="single" w:color="auto" w:sz="4" w:space="0"/>
              <w:left w:val="single" w:color="auto" w:sz="4" w:space="0"/>
              <w:bottom w:val="single" w:color="auto" w:sz="4" w:space="0"/>
              <w:right w:val="single" w:color="auto" w:sz="4" w:space="0"/>
            </w:tcBorders>
            <w:vAlign w:val="center"/>
          </w:tcPr>
          <w:p w14:paraId="18B381CD">
            <w:pPr>
              <w:snapToGrid w:val="0"/>
              <w:spacing w:line="276" w:lineRule="auto"/>
              <w:rPr>
                <w:rFonts w:hint="eastAsia" w:ascii="宋体" w:hAnsi="宋体" w:eastAsia="宋体" w:cs="Times New Roman"/>
                <w:kern w:val="0"/>
                <w:sz w:val="20"/>
                <w:szCs w:val="21"/>
              </w:rPr>
            </w:pPr>
            <w:r>
              <w:rPr>
                <w:rFonts w:hint="eastAsia" w:ascii="Times New Roman" w:hAnsi="Times New Roman" w:eastAsia="宋体" w:cs="Times New Roman"/>
                <w:kern w:val="0"/>
                <w:sz w:val="20"/>
                <w:szCs w:val="21"/>
              </w:rPr>
              <w:t>根据学生在见习过程中的参与程度、主动学习情况等，结合</w:t>
            </w:r>
            <w:r>
              <w:rPr>
                <w:rFonts w:hint="eastAsia" w:ascii="宋体" w:hAnsi="宋体" w:eastAsia="宋体" w:cs="Times New Roman"/>
                <w:kern w:val="0"/>
                <w:sz w:val="20"/>
                <w:szCs w:val="21"/>
              </w:rPr>
              <w:t>学生小组考勤以及实践导师反馈进行评分。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3987619A">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10%</w:t>
            </w:r>
          </w:p>
        </w:tc>
      </w:tr>
      <w:tr w14:paraId="4CC2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71" w:type="dxa"/>
            <w:tcBorders>
              <w:top w:val="single" w:color="auto" w:sz="4" w:space="0"/>
              <w:left w:val="single" w:color="auto" w:sz="4" w:space="0"/>
              <w:bottom w:val="single" w:color="auto" w:sz="4" w:space="0"/>
              <w:right w:val="single" w:color="auto" w:sz="4" w:space="0"/>
            </w:tcBorders>
            <w:vAlign w:val="center"/>
          </w:tcPr>
          <w:p w14:paraId="46B350B2">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学校考察调查报告</w:t>
            </w:r>
          </w:p>
        </w:tc>
        <w:tc>
          <w:tcPr>
            <w:tcW w:w="7109" w:type="dxa"/>
            <w:tcBorders>
              <w:top w:val="single" w:color="auto" w:sz="4" w:space="0"/>
              <w:left w:val="single" w:color="auto" w:sz="4" w:space="0"/>
              <w:bottom w:val="single" w:color="auto" w:sz="4" w:space="0"/>
              <w:right w:val="single" w:color="auto" w:sz="4" w:space="0"/>
            </w:tcBorders>
            <w:vAlign w:val="center"/>
          </w:tcPr>
          <w:p w14:paraId="682B930E">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根据考察情况，结合实际认识与思考，撰写教育调查报告。</w:t>
            </w:r>
            <w:r>
              <w:rPr>
                <w:rFonts w:hint="eastAsia" w:ascii="Times New Roman" w:hAnsi="Times New Roman" w:eastAsia="宋体" w:cs="Times New Roman"/>
                <w:kern w:val="0"/>
                <w:sz w:val="20"/>
                <w:szCs w:val="21"/>
              </w:rPr>
              <w:t>选题属于教育领域，问题意识清晰、方法设计可行，资料充实，内容撰写结构合理，形成明确的结论与观点。</w:t>
            </w:r>
            <w:r>
              <w:rPr>
                <w:rFonts w:hint="eastAsia" w:ascii="宋体" w:hAnsi="宋体" w:eastAsia="宋体" w:cs="Times New Roman"/>
                <w:kern w:val="0"/>
                <w:sz w:val="20"/>
                <w:szCs w:val="21"/>
              </w:rPr>
              <w:t>根据学生调查报告写作情况以及实践导师反馈进行评分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6AB56A7B">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20%</w:t>
            </w:r>
          </w:p>
        </w:tc>
      </w:tr>
      <w:tr w14:paraId="33EA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tcBorders>
              <w:top w:val="single" w:color="auto" w:sz="4" w:space="0"/>
              <w:left w:val="single" w:color="auto" w:sz="4" w:space="0"/>
              <w:bottom w:val="single" w:color="auto" w:sz="4" w:space="0"/>
              <w:right w:val="single" w:color="auto" w:sz="4" w:space="0"/>
            </w:tcBorders>
            <w:vAlign w:val="center"/>
          </w:tcPr>
          <w:p w14:paraId="6D388ACA">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w:t>
            </w:r>
          </w:p>
          <w:p w14:paraId="2D31620B">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见习</w:t>
            </w:r>
          </w:p>
        </w:tc>
        <w:tc>
          <w:tcPr>
            <w:tcW w:w="7109" w:type="dxa"/>
            <w:tcBorders>
              <w:top w:val="single" w:color="auto" w:sz="4" w:space="0"/>
              <w:left w:val="single" w:color="auto" w:sz="4" w:space="0"/>
              <w:bottom w:val="single" w:color="auto" w:sz="4" w:space="0"/>
              <w:right w:val="single" w:color="auto" w:sz="4" w:space="0"/>
            </w:tcBorders>
            <w:vAlign w:val="center"/>
          </w:tcPr>
          <w:p w14:paraId="5A8B00CF">
            <w:pPr>
              <w:adjustRightInd w:val="0"/>
              <w:snapToGrid w:val="0"/>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认真观摩教学，做好听课记录，善于思考，总结教学经验与心得；与指导教师保持积极交流，虚心请教教学方法与教学经验；教案设计要素完整、表述规范，具备可操作性。</w:t>
            </w:r>
            <w:r>
              <w:rPr>
                <w:rFonts w:hint="eastAsia" w:ascii="宋体" w:hAnsi="宋体" w:eastAsia="宋体" w:cs="Times New Roman"/>
                <w:kern w:val="0"/>
                <w:sz w:val="20"/>
                <w:szCs w:val="21"/>
              </w:rPr>
              <w:t>根据学生教案设计情况以及实践导师反馈进行评分。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21AAE39C">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5</w:t>
            </w:r>
            <w:r>
              <w:rPr>
                <w:rFonts w:ascii="宋体" w:hAnsi="宋体" w:eastAsia="宋体" w:cs="Times New Roman"/>
                <w:kern w:val="0"/>
                <w:sz w:val="20"/>
                <w:szCs w:val="21"/>
              </w:rPr>
              <w:t>0%</w:t>
            </w:r>
          </w:p>
        </w:tc>
      </w:tr>
      <w:tr w14:paraId="6781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4CE5490E">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1330832B">
            <w:pPr>
              <w:adjustRightInd w:val="0"/>
              <w:snapToGrid w:val="0"/>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主动与小学生加深交流，掌握小学生心理特点；认真观察，主动与实践导师沟通班级管理的经验，善于在管理案例中总结经验与教训。</w:t>
            </w:r>
            <w:r>
              <w:rPr>
                <w:rFonts w:hint="eastAsia" w:ascii="宋体" w:hAnsi="宋体" w:eastAsia="宋体" w:cs="Times New Roman"/>
                <w:kern w:val="0"/>
                <w:sz w:val="20"/>
                <w:szCs w:val="21"/>
              </w:rPr>
              <w:t>根据学生撰写情况以及实践导师反馈进行评分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4724BD5F">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r>
      <w:tr w14:paraId="554E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71" w:type="dxa"/>
            <w:tcBorders>
              <w:top w:val="single" w:color="auto" w:sz="4" w:space="0"/>
              <w:left w:val="single" w:color="auto" w:sz="4" w:space="0"/>
              <w:bottom w:val="single" w:color="auto" w:sz="4" w:space="0"/>
              <w:right w:val="single" w:color="auto" w:sz="4" w:space="0"/>
            </w:tcBorders>
            <w:vAlign w:val="center"/>
          </w:tcPr>
          <w:p w14:paraId="76DEB9A4">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7791" w:type="dxa"/>
            <w:gridSpan w:val="2"/>
            <w:tcBorders>
              <w:top w:val="single" w:color="auto" w:sz="4" w:space="0"/>
              <w:left w:val="single" w:color="auto" w:sz="4" w:space="0"/>
              <w:bottom w:val="single" w:color="auto" w:sz="4" w:space="0"/>
              <w:right w:val="single" w:color="auto" w:sz="4" w:space="0"/>
            </w:tcBorders>
            <w:vAlign w:val="center"/>
          </w:tcPr>
          <w:p w14:paraId="5984C389">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bl>
    <w:p w14:paraId="354BC56E">
      <w:pPr>
        <w:spacing w:line="360" w:lineRule="auto"/>
        <w:ind w:firstLine="422" w:firstLineChars="200"/>
        <w:jc w:val="left"/>
        <w:outlineLvl w:val="1"/>
        <w:rPr>
          <w:rFonts w:hint="eastAsia" w:ascii="宋体" w:hAnsi="宋体" w:eastAsia="宋体" w:cs="Times New Roman"/>
          <w:b/>
          <w:szCs w:val="21"/>
        </w:rPr>
      </w:pPr>
      <w:bookmarkStart w:id="1972" w:name="_Toc23547"/>
      <w:r>
        <w:rPr>
          <w:rFonts w:hint="eastAsia" w:ascii="宋体" w:hAnsi="宋体" w:eastAsia="宋体" w:cs="Times New Roman"/>
          <w:b/>
          <w:szCs w:val="21"/>
        </w:rPr>
        <w:t>（三）课程目标达成度计算方法</w:t>
      </w:r>
      <w:bookmarkEnd w:id="1972"/>
    </w:p>
    <w:p w14:paraId="36E1E334">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12D61E5B">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82" o:spt="75" type="#_x0000_t75" style="height:25.5pt;width:404.65pt;" o:ole="t" filled="f" o:preferrelative="t" stroked="f" coordsize="21600,21600">
            <v:path/>
            <v:fill on="f" focussize="0,0"/>
            <v:stroke on="f" joinstyle="miter"/>
            <v:imagedata r:id="rId12" o:title=""/>
            <o:lock v:ext="edit" aspectratio="t"/>
            <w10:wrap type="none"/>
            <w10:anchorlock/>
          </v:shape>
          <o:OLEObject Type="Embed" ProgID="Equation.3" ShapeID="_x0000_i1082" DrawAspect="Content" ObjectID="_1468075782" r:id="rId70">
            <o:LockedField>false</o:LockedField>
          </o:OLEObject>
        </w:object>
      </w:r>
      <w:bookmarkStart w:id="1973" w:name="_Toc22568"/>
      <w:bookmarkStart w:id="1974" w:name="_Toc3822"/>
      <w:bookmarkStart w:id="1975" w:name="_Toc12551"/>
      <w:bookmarkStart w:id="1976" w:name="_Toc25102"/>
      <w:bookmarkStart w:id="1977" w:name="_Toc659"/>
      <w:bookmarkStart w:id="1978" w:name="_Toc6679"/>
      <w:bookmarkStart w:id="1979" w:name="_Toc2403"/>
      <w:r>
        <w:rPr>
          <w:rFonts w:hint="eastAsia" w:ascii="Times New Roman" w:hAnsi="Times New Roman" w:eastAsia="宋体" w:cs="Times New Roman"/>
          <w:b/>
          <w:sz w:val="24"/>
        </w:rPr>
        <w:t>五、课内实践</w:t>
      </w:r>
      <w:bookmarkEnd w:id="1973"/>
      <w:bookmarkEnd w:id="1974"/>
      <w:bookmarkEnd w:id="1975"/>
      <w:bookmarkEnd w:id="1976"/>
      <w:bookmarkEnd w:id="1977"/>
      <w:bookmarkEnd w:id="1978"/>
      <w:bookmarkEnd w:id="1979"/>
    </w:p>
    <w:p w14:paraId="3B574214">
      <w:pPr>
        <w:spacing w:line="360" w:lineRule="auto"/>
        <w:ind w:firstLine="411" w:firstLineChars="196"/>
        <w:jc w:val="left"/>
        <w:rPr>
          <w:rFonts w:ascii="Times New Roman" w:hAnsi="Times New Roman" w:eastAsia="宋体" w:cs="Times New Roman"/>
          <w:szCs w:val="21"/>
        </w:rPr>
      </w:pPr>
      <w:r>
        <w:rPr>
          <w:rFonts w:hint="eastAsia" w:ascii="Times New Roman" w:hAnsi="Times New Roman" w:eastAsia="宋体" w:cs="Times New Roman"/>
          <w:szCs w:val="21"/>
        </w:rPr>
        <w:t>无</w:t>
      </w:r>
    </w:p>
    <w:p w14:paraId="1D8EDBE0">
      <w:pPr>
        <w:spacing w:before="62" w:beforeLines="20" w:after="62" w:afterLines="20" w:line="360" w:lineRule="auto"/>
        <w:jc w:val="left"/>
        <w:rPr>
          <w:rFonts w:ascii="Times New Roman" w:hAnsi="Times New Roman" w:eastAsia="宋体" w:cs="Times New Roman"/>
          <w:b/>
          <w:sz w:val="24"/>
        </w:rPr>
      </w:pPr>
      <w:bookmarkStart w:id="1980" w:name="_Toc2337"/>
      <w:bookmarkStart w:id="1981" w:name="_Toc14781"/>
      <w:bookmarkStart w:id="1982" w:name="_Toc15700"/>
      <w:bookmarkStart w:id="1983" w:name="_Toc22753"/>
      <w:bookmarkStart w:id="1984" w:name="_Toc30681"/>
      <w:bookmarkStart w:id="1985" w:name="_Toc3475"/>
      <w:bookmarkStart w:id="1986" w:name="_Toc5490"/>
      <w:r>
        <w:rPr>
          <w:rFonts w:hint="eastAsia" w:ascii="Times New Roman" w:hAnsi="Times New Roman" w:eastAsia="宋体" w:cs="Times New Roman"/>
          <w:b/>
          <w:sz w:val="24"/>
        </w:rPr>
        <w:t>六、</w:t>
      </w:r>
      <w:bookmarkStart w:id="1987" w:name="_Hlk523329700"/>
      <w:bookmarkStart w:id="1988" w:name="_Toc31564"/>
      <w:r>
        <w:rPr>
          <w:rFonts w:hint="eastAsia" w:ascii="Times New Roman" w:hAnsi="Times New Roman" w:eastAsia="宋体" w:cs="Times New Roman"/>
          <w:b/>
          <w:sz w:val="24"/>
        </w:rPr>
        <w:t>有关说明</w:t>
      </w:r>
      <w:bookmarkEnd w:id="1980"/>
      <w:bookmarkEnd w:id="1981"/>
      <w:bookmarkEnd w:id="1982"/>
      <w:bookmarkEnd w:id="1983"/>
      <w:bookmarkEnd w:id="1984"/>
      <w:bookmarkEnd w:id="1985"/>
      <w:bookmarkEnd w:id="1986"/>
    </w:p>
    <w:p w14:paraId="0C95D55A">
      <w:pPr>
        <w:spacing w:line="360" w:lineRule="auto"/>
        <w:ind w:firstLine="422" w:firstLineChars="200"/>
        <w:jc w:val="left"/>
        <w:outlineLvl w:val="1"/>
        <w:rPr>
          <w:rFonts w:ascii="Times New Roman" w:hAnsi="Times New Roman" w:eastAsia="宋体" w:cs="Times New Roman"/>
          <w:b/>
          <w:szCs w:val="21"/>
        </w:rPr>
      </w:pPr>
      <w:bookmarkStart w:id="1989" w:name="_Toc14289"/>
      <w:r>
        <w:rPr>
          <w:rFonts w:hint="eastAsia" w:ascii="Times New Roman" w:hAnsi="Times New Roman" w:eastAsia="宋体" w:cs="Times New Roman"/>
          <w:b/>
          <w:szCs w:val="21"/>
        </w:rPr>
        <w:t>（一）持续改进</w:t>
      </w:r>
      <w:bookmarkEnd w:id="1989"/>
    </w:p>
    <w:p w14:paraId="6B26A147">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本课程根据学生见习情况、实践学校教师的反馈等，及时对教学见习中的不足之处进行改进，并在下一轮课程实施中整改完善，确保相应毕业要求指标点达成。</w:t>
      </w:r>
    </w:p>
    <w:p w14:paraId="44061ADA">
      <w:pPr>
        <w:spacing w:line="360" w:lineRule="auto"/>
        <w:ind w:firstLine="527" w:firstLineChars="250"/>
        <w:jc w:val="left"/>
        <w:outlineLvl w:val="1"/>
        <w:rPr>
          <w:rFonts w:ascii="Times New Roman" w:hAnsi="Times New Roman" w:eastAsia="宋体" w:cs="Times New Roman"/>
          <w:b/>
          <w:szCs w:val="21"/>
        </w:rPr>
      </w:pPr>
      <w:bookmarkStart w:id="1990" w:name="_Toc25853"/>
      <w:r>
        <w:rPr>
          <w:rFonts w:hint="eastAsia" w:ascii="Times New Roman" w:hAnsi="Times New Roman" w:eastAsia="宋体" w:cs="Times New Roman"/>
          <w:b/>
          <w:szCs w:val="21"/>
        </w:rPr>
        <w:t>（二）建议教材</w:t>
      </w:r>
      <w:bookmarkEnd w:id="1990"/>
    </w:p>
    <w:p w14:paraId="3940F2FD">
      <w:pPr>
        <w:spacing w:line="360" w:lineRule="auto"/>
        <w:ind w:firstLine="525" w:firstLineChars="250"/>
        <w:jc w:val="left"/>
        <w:rPr>
          <w:rFonts w:ascii="Times New Roman" w:hAnsi="Times New Roman" w:eastAsia="宋体" w:cs="Times New Roman"/>
          <w:bCs/>
          <w:szCs w:val="21"/>
        </w:rPr>
      </w:pPr>
      <w:r>
        <w:rPr>
          <w:rFonts w:hint="eastAsia" w:ascii="Times New Roman" w:hAnsi="Times New Roman" w:eastAsia="宋体" w:cs="Times New Roman"/>
          <w:bCs/>
          <w:szCs w:val="21"/>
        </w:rPr>
        <w:t>教学见习手册（自编）</w:t>
      </w:r>
    </w:p>
    <w:p w14:paraId="0BB6ACEE">
      <w:pPr>
        <w:spacing w:line="360" w:lineRule="auto"/>
        <w:ind w:firstLine="527" w:firstLineChars="250"/>
        <w:jc w:val="left"/>
        <w:outlineLvl w:val="1"/>
        <w:rPr>
          <w:rFonts w:ascii="Times New Roman" w:hAnsi="Times New Roman" w:eastAsia="宋体" w:cs="Times New Roman"/>
          <w:b/>
          <w:szCs w:val="21"/>
        </w:rPr>
      </w:pPr>
      <w:bookmarkStart w:id="1991" w:name="_Toc10739"/>
      <w:r>
        <w:rPr>
          <w:rFonts w:hint="eastAsia" w:ascii="Times New Roman" w:hAnsi="Times New Roman" w:eastAsia="宋体" w:cs="Times New Roman"/>
          <w:b/>
          <w:szCs w:val="21"/>
        </w:rPr>
        <w:t>（三）参考书目</w:t>
      </w:r>
      <w:bookmarkEnd w:id="1991"/>
    </w:p>
    <w:bookmarkEnd w:id="1987"/>
    <w:p w14:paraId="7A14D1D7">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义务教育小学语文/数学学科课程标准，最新版。</w:t>
      </w:r>
    </w:p>
    <w:p w14:paraId="0BC32BD4">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部编版小学语文/数学各年级教材。</w:t>
      </w:r>
    </w:p>
    <w:bookmarkEnd w:id="1988"/>
    <w:p w14:paraId="59752E45">
      <w:pPr>
        <w:spacing w:line="360" w:lineRule="auto"/>
        <w:ind w:firstLine="480" w:firstLineChars="200"/>
        <w:rPr>
          <w:rFonts w:ascii="宋体" w:hAnsi="Times New Roman" w:eastAsia="宋体" w:cs="Times New Roman"/>
          <w:sz w:val="24"/>
        </w:rPr>
      </w:pPr>
      <w:bookmarkStart w:id="1992" w:name="_Toc9564"/>
      <w:r>
        <w:rPr>
          <w:rFonts w:ascii="宋体" w:hAnsi="宋体" w:eastAsia="宋体" w:cs="Times New Roman"/>
          <w:sz w:val="24"/>
        </w:rPr>
        <w:t>3.</w:t>
      </w:r>
      <w:r>
        <w:rPr>
          <w:rFonts w:hint="eastAsia" w:ascii="宋体" w:hAnsi="宋体" w:eastAsia="宋体" w:cs="Times New Roman"/>
          <w:sz w:val="24"/>
        </w:rPr>
        <w:t>陈文涛、刘霄主编：《教育实习的实践与创新》，河南大学出版社，</w:t>
      </w:r>
      <w:r>
        <w:rPr>
          <w:rFonts w:ascii="宋体" w:hAnsi="宋体" w:eastAsia="宋体" w:cs="Times New Roman"/>
          <w:sz w:val="24"/>
        </w:rPr>
        <w:t>2015</w:t>
      </w:r>
      <w:bookmarkEnd w:id="1992"/>
    </w:p>
    <w:p w14:paraId="7F7CE720">
      <w:pPr>
        <w:spacing w:line="360" w:lineRule="auto"/>
        <w:rPr>
          <w:rFonts w:hint="eastAsia" w:ascii="宋体" w:hAnsi="宋体" w:eastAsia="宋体" w:cs="Times New Roman"/>
          <w:sz w:val="24"/>
        </w:rPr>
      </w:pPr>
    </w:p>
    <w:p w14:paraId="75BBC390">
      <w:pPr>
        <w:spacing w:line="360" w:lineRule="auto"/>
        <w:rPr>
          <w:rFonts w:hint="eastAsia" w:ascii="宋体" w:hAnsi="宋体" w:eastAsia="宋体" w:cs="Times New Roman"/>
          <w:sz w:val="24"/>
        </w:rPr>
      </w:pPr>
    </w:p>
    <w:p w14:paraId="3F4A5EC7">
      <w:pPr>
        <w:spacing w:line="360" w:lineRule="auto"/>
        <w:rPr>
          <w:rFonts w:ascii="宋体" w:hAnsi="Times New Roman" w:eastAsia="宋体" w:cs="Times New Roman"/>
          <w:sz w:val="24"/>
        </w:rPr>
      </w:pPr>
      <w:r>
        <w:rPr>
          <w:rFonts w:ascii="宋体" w:hAnsi="宋体" w:eastAsia="宋体" w:cs="Times New Roman"/>
          <w:sz w:val="24"/>
        </w:rPr>
        <w:t xml:space="preserve">                                            </w:t>
      </w:r>
      <w:r>
        <w:rPr>
          <w:rFonts w:hint="eastAsia" w:ascii="宋体" w:hAnsi="宋体" w:eastAsia="宋体" w:cs="Times New Roman"/>
          <w:sz w:val="24"/>
        </w:rPr>
        <w:t>执笔人：王雅丽</w:t>
      </w:r>
      <w:r>
        <w:rPr>
          <w:rFonts w:ascii="宋体" w:hAnsi="Times New Roman" w:eastAsia="宋体" w:cs="Times New Roman"/>
          <w:sz w:val="24"/>
        </w:rPr>
        <w:t xml:space="preserve"> </w:t>
      </w:r>
    </w:p>
    <w:p w14:paraId="2322CEB0">
      <w:pPr>
        <w:spacing w:line="360" w:lineRule="auto"/>
        <w:rPr>
          <w:rFonts w:hint="eastAsia" w:ascii="宋体" w:hAnsi="宋体" w:eastAsia="宋体" w:cs="Times New Roman"/>
          <w:sz w:val="24"/>
        </w:rPr>
      </w:pPr>
      <w:r>
        <w:rPr>
          <w:rFonts w:ascii="宋体" w:hAnsi="宋体" w:eastAsia="宋体" w:cs="Times New Roman"/>
          <w:sz w:val="24"/>
        </w:rPr>
        <w:t xml:space="preserve">                                            </w:t>
      </w:r>
      <w:r>
        <w:rPr>
          <w:rFonts w:hint="eastAsia" w:ascii="宋体" w:hAnsi="宋体" w:eastAsia="宋体" w:cs="Times New Roman"/>
          <w:sz w:val="24"/>
        </w:rPr>
        <w:t>审定人：王健</w:t>
      </w:r>
    </w:p>
    <w:p w14:paraId="095FF9FA">
      <w:pPr>
        <w:spacing w:line="360" w:lineRule="auto"/>
        <w:rPr>
          <w:rFonts w:ascii="宋体" w:hAnsi="Times New Roman" w:eastAsia="宋体" w:cs="Times New Roman"/>
          <w:sz w:val="24"/>
        </w:rPr>
      </w:pPr>
      <w:r>
        <w:rPr>
          <w:rFonts w:ascii="宋体" w:hAnsi="宋体" w:eastAsia="宋体" w:cs="Times New Roman"/>
          <w:sz w:val="24"/>
        </w:rPr>
        <w:t xml:space="preserve">                                            </w:t>
      </w:r>
      <w:r>
        <w:rPr>
          <w:rFonts w:hint="eastAsia" w:ascii="宋体" w:hAnsi="宋体" w:eastAsia="宋体" w:cs="Times New Roman"/>
          <w:sz w:val="24"/>
        </w:rPr>
        <w:t>审批人：张志欣</w:t>
      </w:r>
    </w:p>
    <w:p w14:paraId="42059C99">
      <w:pPr>
        <w:spacing w:line="360" w:lineRule="auto"/>
        <w:rPr>
          <w:rFonts w:hint="eastAsia" w:ascii="宋体" w:hAnsi="宋体" w:eastAsia="宋体" w:cs="Times New Roman"/>
          <w:sz w:val="24"/>
        </w:rPr>
      </w:pPr>
      <w:r>
        <w:rPr>
          <w:rFonts w:ascii="宋体" w:hAnsi="宋体" w:eastAsia="宋体" w:cs="Times New Roman"/>
          <w:sz w:val="24"/>
        </w:rPr>
        <w:t xml:space="preserve">                                            </w:t>
      </w:r>
      <w:r>
        <w:rPr>
          <w:rFonts w:hint="eastAsia" w:ascii="宋体" w:hAnsi="宋体" w:eastAsia="宋体" w:cs="Times New Roman"/>
          <w:sz w:val="24"/>
        </w:rPr>
        <w:t>批准时间：2025年7月1日</w:t>
      </w:r>
    </w:p>
    <w:p w14:paraId="6C557CEF">
      <w:pPr>
        <w:rPr>
          <w:rFonts w:hint="eastAsia" w:ascii="宋体" w:hAnsi="宋体" w:eastAsia="宋体" w:cs="Times New Roman"/>
          <w:sz w:val="24"/>
        </w:rPr>
      </w:pPr>
    </w:p>
    <w:p w14:paraId="26A6D77C">
      <w:pPr>
        <w:rPr>
          <w:rFonts w:hint="eastAsia" w:ascii="宋体" w:hAnsi="宋体" w:eastAsia="宋体" w:cs="Times New Roman"/>
          <w:sz w:val="24"/>
        </w:rPr>
      </w:pPr>
      <w:r>
        <w:rPr>
          <w:rFonts w:ascii="宋体" w:hAnsi="宋体" w:eastAsia="宋体" w:cs="Times New Roman"/>
          <w:sz w:val="24"/>
        </w:rPr>
        <w:br w:type="page"/>
      </w:r>
    </w:p>
    <w:p w14:paraId="69A570DC">
      <w:pPr>
        <w:spacing w:line="360" w:lineRule="auto"/>
        <w:jc w:val="center"/>
        <w:outlineLvl w:val="0"/>
        <w:rPr>
          <w:rFonts w:ascii="Times New Roman" w:hAnsi="Times New Roman" w:eastAsia="宋体" w:cs="Times New Roman"/>
          <w:b/>
          <w:sz w:val="44"/>
          <w:szCs w:val="44"/>
        </w:rPr>
      </w:pPr>
      <w:bookmarkStart w:id="1993" w:name="_Toc28829"/>
      <w:bookmarkStart w:id="1994" w:name="_Toc11800"/>
      <w:bookmarkStart w:id="1995" w:name="_Toc3370"/>
      <w:bookmarkStart w:id="1996" w:name="_Toc28162"/>
      <w:bookmarkStart w:id="1997" w:name="_Toc57017209"/>
      <w:r>
        <w:rPr>
          <w:rFonts w:hint="eastAsia" w:ascii="Times New Roman" w:hAnsi="Times New Roman" w:eastAsia="宋体" w:cs="Times New Roman"/>
          <w:b/>
          <w:sz w:val="44"/>
          <w:szCs w:val="44"/>
        </w:rPr>
        <w:t>《教育见习Ⅱ》教学大纲</w:t>
      </w:r>
      <w:bookmarkEnd w:id="1993"/>
      <w:bookmarkEnd w:id="1994"/>
      <w:bookmarkEnd w:id="1995"/>
      <w:bookmarkEnd w:id="1996"/>
    </w:p>
    <w:p w14:paraId="0AE78656">
      <w:pPr>
        <w:spacing w:line="360" w:lineRule="auto"/>
        <w:jc w:val="center"/>
        <w:rPr>
          <w:rFonts w:ascii="Times New Roman" w:hAnsi="Times New Roman" w:eastAsia="宋体" w:cs="Times New Roman"/>
          <w:b/>
          <w:bCs/>
          <w:sz w:val="28"/>
          <w:szCs w:val="28"/>
        </w:rPr>
      </w:pPr>
      <w:bookmarkStart w:id="1998" w:name="_Toc18363"/>
      <w:bookmarkStart w:id="1999" w:name="_Toc15028"/>
      <w:bookmarkStart w:id="2000" w:name="_Toc901"/>
      <w:bookmarkStart w:id="2001" w:name="_Toc7035"/>
      <w:bookmarkStart w:id="2002" w:name="_Toc31184"/>
      <w:bookmarkStart w:id="2003" w:name="_Toc839"/>
      <w:bookmarkStart w:id="2004" w:name="_Toc28479"/>
      <w:r>
        <w:rPr>
          <w:rFonts w:hint="eastAsia" w:ascii="Times New Roman" w:hAnsi="Times New Roman" w:eastAsia="宋体" w:cs="Times New Roman"/>
          <w:b/>
          <w:bCs/>
          <w:sz w:val="28"/>
          <w:szCs w:val="28"/>
        </w:rPr>
        <w:t>（Educational Probation Ⅱ）</w:t>
      </w:r>
      <w:bookmarkEnd w:id="1998"/>
      <w:bookmarkEnd w:id="1999"/>
      <w:bookmarkEnd w:id="2000"/>
      <w:bookmarkEnd w:id="2001"/>
      <w:bookmarkEnd w:id="2002"/>
      <w:bookmarkEnd w:id="2003"/>
      <w:bookmarkEnd w:id="2004"/>
    </w:p>
    <w:p w14:paraId="6F193F9F">
      <w:pPr>
        <w:spacing w:line="360" w:lineRule="auto"/>
        <w:ind w:firstLine="422" w:firstLineChars="200"/>
        <w:rPr>
          <w:rFonts w:hint="eastAsia" w:ascii="宋体" w:hAnsi="宋体" w:eastAsia="宋体" w:cs="Times New Roman"/>
          <w:b/>
          <w:szCs w:val="21"/>
        </w:rPr>
      </w:pPr>
    </w:p>
    <w:p w14:paraId="36AAA150">
      <w:pPr>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课程名称：教育见习</w:t>
      </w:r>
      <w:r>
        <w:rPr>
          <w:rFonts w:ascii="宋体" w:hAnsi="宋体" w:eastAsia="宋体" w:cs="Times New Roman"/>
          <w:b/>
          <w:sz w:val="24"/>
        </w:rPr>
        <w:t>II</w:t>
      </w:r>
    </w:p>
    <w:p w14:paraId="4AFB38ED">
      <w:pPr>
        <w:spacing w:line="360" w:lineRule="auto"/>
        <w:ind w:firstLine="482" w:firstLineChars="200"/>
        <w:rPr>
          <w:rFonts w:ascii="宋体" w:hAnsi="Times New Roman" w:eastAsia="宋体" w:cs="Times New Roman"/>
          <w:b/>
          <w:sz w:val="24"/>
        </w:rPr>
      </w:pPr>
      <w:r>
        <w:rPr>
          <w:rFonts w:hint="eastAsia" w:ascii="宋体" w:hAnsi="宋体" w:eastAsia="宋体" w:cs="Times New Roman"/>
          <w:b/>
          <w:bCs/>
          <w:kern w:val="0"/>
          <w:sz w:val="24"/>
        </w:rPr>
        <w:t>课程代码</w:t>
      </w:r>
      <w:r>
        <w:rPr>
          <w:rFonts w:hint="eastAsia" w:ascii="宋体" w:hAnsi="宋体" w:eastAsia="宋体" w:cs="Times New Roman"/>
          <w:b/>
          <w:kern w:val="0"/>
          <w:sz w:val="24"/>
        </w:rPr>
        <w:t>：240104</w:t>
      </w:r>
      <w:r>
        <w:rPr>
          <w:rFonts w:ascii="宋体" w:hAnsi="宋体" w:eastAsia="宋体" w:cs="Times New Roman"/>
          <w:b/>
          <w:kern w:val="0"/>
          <w:sz w:val="24"/>
        </w:rPr>
        <w:t>7</w:t>
      </w:r>
    </w:p>
    <w:p w14:paraId="22C3C526">
      <w:pPr>
        <w:spacing w:line="360" w:lineRule="auto"/>
        <w:ind w:firstLine="482" w:firstLineChars="200"/>
        <w:rPr>
          <w:rFonts w:hint="eastAsia" w:ascii="宋体" w:hAnsi="宋体" w:eastAsia="宋体" w:cs="Times New Roman"/>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分：</w:t>
      </w:r>
      <w:r>
        <w:rPr>
          <w:rFonts w:hint="eastAsia" w:ascii="宋体" w:hAnsi="宋体" w:eastAsia="宋体" w:cs="Times New Roman"/>
          <w:kern w:val="0"/>
          <w:sz w:val="24"/>
        </w:rPr>
        <w:t>1</w:t>
      </w:r>
    </w:p>
    <w:p w14:paraId="4B6F0F9B">
      <w:pPr>
        <w:spacing w:line="360" w:lineRule="auto"/>
        <w:ind w:firstLine="482" w:firstLineChars="200"/>
        <w:rPr>
          <w:rFonts w:ascii="宋体" w:hAnsi="Times New Roman" w:eastAsia="宋体" w:cs="Times New Roman"/>
          <w:kern w:val="0"/>
          <w:sz w:val="24"/>
        </w:rPr>
      </w:pPr>
      <w:r>
        <w:rPr>
          <w:rFonts w:hint="eastAsia" w:ascii="宋体" w:hAnsi="宋体" w:eastAsia="宋体" w:cs="Times New Roman"/>
          <w:b/>
          <w:bCs/>
          <w:kern w:val="0"/>
          <w:sz w:val="24"/>
        </w:rPr>
        <w:t>学</w:t>
      </w:r>
      <w:r>
        <w:rPr>
          <w:rFonts w:ascii="宋体" w:hAnsi="宋体" w:eastAsia="宋体" w:cs="Times New Roman"/>
          <w:b/>
          <w:bCs/>
          <w:kern w:val="0"/>
          <w:sz w:val="24"/>
        </w:rPr>
        <w:t xml:space="preserve">    </w:t>
      </w:r>
      <w:r>
        <w:rPr>
          <w:rFonts w:hint="eastAsia" w:ascii="宋体" w:hAnsi="宋体" w:eastAsia="宋体" w:cs="Times New Roman"/>
          <w:b/>
          <w:bCs/>
          <w:kern w:val="0"/>
          <w:sz w:val="24"/>
        </w:rPr>
        <w:t>时：2周</w:t>
      </w:r>
    </w:p>
    <w:p w14:paraId="7EB68E1D">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先修课程：</w:t>
      </w:r>
      <w:r>
        <w:rPr>
          <w:rFonts w:ascii="宋体" w:hAnsi="宋体" w:eastAsia="宋体" w:cs="Times New Roman"/>
          <w:b/>
          <w:bCs/>
          <w:kern w:val="0"/>
          <w:sz w:val="24"/>
        </w:rPr>
        <w:t>小学心理学、</w:t>
      </w:r>
      <w:r>
        <w:rPr>
          <w:rFonts w:hint="eastAsia" w:ascii="宋体" w:hAnsi="宋体" w:eastAsia="宋体" w:cs="Times New Roman"/>
          <w:b/>
          <w:bCs/>
          <w:kern w:val="0"/>
          <w:sz w:val="24"/>
        </w:rPr>
        <w:t>书</w:t>
      </w:r>
      <w:r>
        <w:rPr>
          <w:rFonts w:ascii="宋体" w:hAnsi="宋体" w:eastAsia="宋体" w:cs="Times New Roman"/>
          <w:b/>
          <w:bCs/>
          <w:kern w:val="0"/>
          <w:sz w:val="24"/>
        </w:rPr>
        <w:t>写技能、教育原理、教师职业道德，以及部分数学/中文类课程</w:t>
      </w:r>
    </w:p>
    <w:p w14:paraId="3C76E273">
      <w:pPr>
        <w:spacing w:line="360" w:lineRule="auto"/>
        <w:ind w:firstLine="482" w:firstLineChars="200"/>
        <w:rPr>
          <w:rFonts w:hint="eastAsia" w:ascii="宋体" w:hAnsi="宋体" w:eastAsia="宋体" w:cs="Times New Roman"/>
          <w:b/>
          <w:bCs/>
          <w:kern w:val="0"/>
          <w:sz w:val="24"/>
        </w:rPr>
      </w:pPr>
      <w:r>
        <w:rPr>
          <w:rFonts w:hint="eastAsia" w:ascii="宋体" w:hAnsi="宋体" w:eastAsia="宋体" w:cs="Times New Roman"/>
          <w:b/>
          <w:bCs/>
          <w:kern w:val="0"/>
          <w:sz w:val="24"/>
        </w:rPr>
        <w:t>适用专业：小学教育（文）、小学教育（理）</w:t>
      </w:r>
      <w:r>
        <w:rPr>
          <w:rFonts w:ascii="宋体" w:hAnsi="宋体" w:eastAsia="宋体" w:cs="Times New Roman"/>
          <w:b/>
          <w:bCs/>
          <w:kern w:val="0"/>
          <w:sz w:val="24"/>
        </w:rPr>
        <w:t xml:space="preserve"> </w:t>
      </w:r>
    </w:p>
    <w:p w14:paraId="37DA2F9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48619212">
      <w:pPr>
        <w:spacing w:line="360" w:lineRule="auto"/>
        <w:ind w:firstLine="420" w:firstLineChars="200"/>
        <w:rPr>
          <w:rFonts w:hint="eastAsia" w:ascii="宋体" w:hAnsi="宋体" w:eastAsia="宋体" w:cs="Times New Roman"/>
          <w:kern w:val="0"/>
          <w:szCs w:val="21"/>
        </w:rPr>
      </w:pPr>
      <w:r>
        <w:rPr>
          <w:rFonts w:hint="eastAsia" w:ascii="宋体" w:hAnsi="宋体" w:eastAsia="宋体" w:cs="Times New Roman"/>
          <w:kern w:val="0"/>
          <w:szCs w:val="21"/>
        </w:rPr>
        <w:t>教育见习</w:t>
      </w:r>
      <w:r>
        <w:rPr>
          <w:rFonts w:ascii="宋体" w:hAnsi="宋体" w:eastAsia="宋体" w:cs="Times New Roman"/>
          <w:kern w:val="0"/>
          <w:szCs w:val="21"/>
        </w:rPr>
        <w:t>II</w:t>
      </w:r>
      <w:r>
        <w:rPr>
          <w:rFonts w:hint="eastAsia" w:ascii="宋体" w:hAnsi="宋体" w:eastAsia="宋体" w:cs="Times New Roman"/>
          <w:kern w:val="0"/>
          <w:szCs w:val="21"/>
        </w:rPr>
        <w:t>是小学教育专业重要的实践性环节。本课程的任务和目的是通过教育见习，使学生充分接触教育教学实际，</w:t>
      </w:r>
      <w:r>
        <w:rPr>
          <w:rFonts w:ascii="宋体" w:hAnsi="宋体" w:eastAsia="宋体" w:cs="Times New Roman"/>
          <w:kern w:val="0"/>
          <w:szCs w:val="21"/>
        </w:rPr>
        <w:t>适应学校日常生活，熟悉教师岗位职责，增强对教师职业价值和工作复杂性的认识</w:t>
      </w:r>
      <w:r>
        <w:rPr>
          <w:rFonts w:hint="eastAsia" w:ascii="宋体" w:hAnsi="宋体" w:eastAsia="宋体" w:cs="Times New Roman"/>
          <w:kern w:val="0"/>
          <w:szCs w:val="21"/>
        </w:rPr>
        <w:t>；进一步训练学生听课、上课、评课等教学技能、班级管理和班队活动组织的技能，</w:t>
      </w:r>
      <w:r>
        <w:rPr>
          <w:rFonts w:ascii="宋体" w:hAnsi="宋体" w:eastAsia="宋体" w:cs="Times New Roman"/>
          <w:kern w:val="0"/>
          <w:szCs w:val="21"/>
        </w:rPr>
        <w:t>将专业学习与实践学习建立</w:t>
      </w:r>
      <w:r>
        <w:rPr>
          <w:rFonts w:hint="eastAsia" w:ascii="宋体" w:hAnsi="宋体" w:eastAsia="宋体" w:cs="Times New Roman"/>
          <w:kern w:val="0"/>
          <w:szCs w:val="21"/>
        </w:rPr>
        <w:t>紧密</w:t>
      </w:r>
      <w:r>
        <w:rPr>
          <w:rFonts w:ascii="宋体" w:hAnsi="宋体" w:eastAsia="宋体" w:cs="Times New Roman"/>
          <w:kern w:val="0"/>
          <w:szCs w:val="21"/>
        </w:rPr>
        <w:t>联系</w:t>
      </w:r>
      <w:r>
        <w:rPr>
          <w:rFonts w:hint="eastAsia" w:ascii="宋体" w:hAnsi="宋体" w:eastAsia="宋体" w:cs="Times New Roman"/>
          <w:kern w:val="0"/>
          <w:szCs w:val="21"/>
        </w:rPr>
        <w:t>，巩固专业知识和职业技能；培养学生研究小学教育问题的兴趣，提升</w:t>
      </w:r>
      <w:r>
        <w:rPr>
          <w:rFonts w:ascii="宋体" w:hAnsi="宋体" w:eastAsia="宋体" w:cs="Times New Roman"/>
          <w:kern w:val="0"/>
          <w:szCs w:val="21"/>
        </w:rPr>
        <w:t>综合育人的意识</w:t>
      </w:r>
      <w:r>
        <w:rPr>
          <w:rFonts w:hint="eastAsia" w:ascii="宋体" w:hAnsi="宋体" w:eastAsia="宋体" w:cs="Times New Roman"/>
          <w:kern w:val="0"/>
          <w:szCs w:val="21"/>
        </w:rPr>
        <w:t>与能力</w:t>
      </w:r>
      <w:r>
        <w:rPr>
          <w:rFonts w:ascii="宋体" w:hAnsi="宋体" w:eastAsia="宋体" w:cs="Times New Roman"/>
          <w:kern w:val="0"/>
          <w:szCs w:val="21"/>
        </w:rPr>
        <w:t>。</w:t>
      </w:r>
    </w:p>
    <w:p w14:paraId="622D95ED">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09DD99B1">
      <w:pPr>
        <w:spacing w:line="360" w:lineRule="auto"/>
        <w:ind w:firstLine="482" w:firstLineChars="200"/>
        <w:jc w:val="left"/>
        <w:rPr>
          <w:rFonts w:hint="eastAsia" w:ascii="宋体" w:hAnsi="宋体" w:eastAsia="宋体" w:cs="Times New Roman"/>
          <w:b/>
          <w:bCs/>
          <w:sz w:val="24"/>
        </w:rPr>
      </w:pPr>
      <w:r>
        <w:rPr>
          <w:rFonts w:hint="eastAsia" w:ascii="宋体" w:hAnsi="宋体" w:eastAsia="宋体" w:cs="Times New Roman"/>
          <w:b/>
          <w:bCs/>
          <w:sz w:val="24"/>
        </w:rPr>
        <w:t>（一）课程具体目标</w:t>
      </w:r>
    </w:p>
    <w:p w14:paraId="155DC0B1">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1.</w:t>
      </w:r>
      <w:r>
        <w:rPr>
          <w:rFonts w:hint="eastAsia" w:ascii="宋体" w:hAnsi="宋体" w:eastAsia="宋体" w:cs="Times New Roman"/>
          <w:szCs w:val="21"/>
        </w:rPr>
        <w:t>通过教育见习</w:t>
      </w:r>
      <w:r>
        <w:rPr>
          <w:rFonts w:ascii="宋体" w:hAnsi="宋体" w:eastAsia="宋体" w:cs="Times New Roman"/>
          <w:szCs w:val="21"/>
        </w:rPr>
        <w:t>II</w:t>
      </w:r>
      <w:r>
        <w:rPr>
          <w:rFonts w:hint="eastAsia" w:ascii="宋体" w:hAnsi="宋体" w:eastAsia="宋体" w:cs="Times New Roman"/>
          <w:szCs w:val="21"/>
        </w:rPr>
        <w:t>，进一步</w:t>
      </w:r>
      <w:r>
        <w:rPr>
          <w:rFonts w:ascii="宋体" w:hAnsi="宋体" w:eastAsia="宋体" w:cs="Times New Roman"/>
          <w:szCs w:val="21"/>
        </w:rPr>
        <w:t>适应学校日常生活，熟悉教师岗位职责，</w:t>
      </w:r>
      <w:r>
        <w:rPr>
          <w:rFonts w:hint="eastAsia" w:ascii="宋体" w:hAnsi="宋体" w:eastAsia="宋体" w:cs="Times New Roman"/>
          <w:szCs w:val="21"/>
        </w:rPr>
        <w:t>体验和感受教师职业的光荣感、幸福感，</w:t>
      </w:r>
      <w:r>
        <w:rPr>
          <w:rFonts w:ascii="宋体" w:hAnsi="宋体" w:eastAsia="宋体" w:cs="Times New Roman"/>
          <w:szCs w:val="21"/>
        </w:rPr>
        <w:t>增强对教师职业</w:t>
      </w:r>
      <w:r>
        <w:rPr>
          <w:rFonts w:hint="eastAsia" w:ascii="宋体" w:hAnsi="宋体" w:eastAsia="宋体" w:cs="Times New Roman"/>
          <w:szCs w:val="21"/>
        </w:rPr>
        <w:t>的责任感，充分认识教师</w:t>
      </w:r>
      <w:r>
        <w:rPr>
          <w:rFonts w:ascii="宋体" w:hAnsi="宋体" w:eastAsia="宋体" w:cs="Times New Roman"/>
          <w:szCs w:val="21"/>
        </w:rPr>
        <w:t>工作</w:t>
      </w:r>
      <w:r>
        <w:rPr>
          <w:rFonts w:hint="eastAsia" w:ascii="宋体" w:hAnsi="宋体" w:eastAsia="宋体" w:cs="Times New Roman"/>
          <w:szCs w:val="21"/>
        </w:rPr>
        <w:t>内容的</w:t>
      </w:r>
      <w:r>
        <w:rPr>
          <w:rFonts w:ascii="宋体" w:hAnsi="宋体" w:eastAsia="宋体" w:cs="Times New Roman"/>
          <w:szCs w:val="21"/>
        </w:rPr>
        <w:t>复杂性</w:t>
      </w:r>
      <w:r>
        <w:rPr>
          <w:rFonts w:hint="eastAsia" w:ascii="宋体" w:hAnsi="宋体" w:eastAsia="宋体" w:cs="Times New Roman"/>
          <w:szCs w:val="21"/>
        </w:rPr>
        <w:t>。</w:t>
      </w:r>
    </w:p>
    <w:p w14:paraId="48B61247">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2.</w:t>
      </w:r>
      <w:r>
        <w:rPr>
          <w:rFonts w:hint="eastAsia" w:ascii="宋体" w:hAnsi="宋体" w:eastAsia="宋体" w:cs="Times New Roman"/>
          <w:szCs w:val="21"/>
        </w:rPr>
        <w:t>通过课堂教学和班队工作见习，增进小学教学体验，积累课堂教学和班级管理的经验与方法，进一步了解小学生心理健康教育指导的要求，形成综合育人的意识。</w:t>
      </w:r>
    </w:p>
    <w:p w14:paraId="0BE80EAE">
      <w:pPr>
        <w:spacing w:line="360" w:lineRule="auto"/>
        <w:ind w:firstLine="420" w:firstLineChars="200"/>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3.</w:t>
      </w:r>
      <w:r>
        <w:rPr>
          <w:rFonts w:hint="eastAsia" w:ascii="宋体" w:hAnsi="宋体" w:eastAsia="宋体" w:cs="Times New Roman"/>
          <w:szCs w:val="21"/>
        </w:rPr>
        <w:t>通过听课、上课等环节，熟悉小学教育工作规律，将</w:t>
      </w:r>
      <w:r>
        <w:rPr>
          <w:rFonts w:ascii="宋体" w:hAnsi="宋体" w:eastAsia="宋体" w:cs="Times New Roman"/>
          <w:szCs w:val="21"/>
        </w:rPr>
        <w:t>专业学习与实践学习建立</w:t>
      </w:r>
      <w:r>
        <w:rPr>
          <w:rFonts w:hint="eastAsia" w:ascii="宋体" w:hAnsi="宋体" w:eastAsia="宋体" w:cs="Times New Roman"/>
          <w:szCs w:val="21"/>
        </w:rPr>
        <w:t>紧密</w:t>
      </w:r>
      <w:r>
        <w:rPr>
          <w:rFonts w:ascii="宋体" w:hAnsi="宋体" w:eastAsia="宋体" w:cs="Times New Roman"/>
          <w:szCs w:val="21"/>
        </w:rPr>
        <w:t>联系，</w:t>
      </w:r>
      <w:r>
        <w:rPr>
          <w:rFonts w:hint="eastAsia" w:ascii="宋体" w:hAnsi="宋体" w:eastAsia="宋体" w:cs="Times New Roman"/>
          <w:szCs w:val="21"/>
        </w:rPr>
        <w:t>初步形成独立编写</w:t>
      </w:r>
      <w:r>
        <w:rPr>
          <w:rFonts w:ascii="宋体" w:hAnsi="宋体" w:eastAsia="宋体" w:cs="Times New Roman"/>
          <w:szCs w:val="21"/>
        </w:rPr>
        <w:t>教案</w:t>
      </w:r>
      <w:r>
        <w:rPr>
          <w:rFonts w:hint="eastAsia" w:ascii="宋体" w:hAnsi="宋体" w:eastAsia="宋体" w:cs="Times New Roman"/>
          <w:szCs w:val="21"/>
        </w:rPr>
        <w:t>和开展教学的能力，主动进行</w:t>
      </w:r>
      <w:r>
        <w:rPr>
          <w:rFonts w:ascii="宋体" w:hAnsi="宋体" w:eastAsia="宋体" w:cs="Times New Roman"/>
          <w:szCs w:val="21"/>
        </w:rPr>
        <w:t>教学反思</w:t>
      </w:r>
      <w:r>
        <w:rPr>
          <w:rFonts w:hint="eastAsia" w:ascii="宋体" w:hAnsi="宋体" w:eastAsia="宋体" w:cs="Times New Roman"/>
          <w:szCs w:val="21"/>
        </w:rPr>
        <w:t>，巩固已学的知识与能力。</w:t>
      </w:r>
    </w:p>
    <w:p w14:paraId="6087D75D">
      <w:pPr>
        <w:spacing w:line="360" w:lineRule="auto"/>
        <w:ind w:firstLine="420" w:firstLineChars="200"/>
        <w:rPr>
          <w:rFonts w:hint="eastAsia" w:ascii="宋体" w:hAnsi="宋体" w:eastAsia="宋体" w:cs="Times New Roman"/>
          <w:b/>
          <w:bCs/>
          <w:szCs w:val="21"/>
        </w:rPr>
      </w:pPr>
      <w:r>
        <w:rPr>
          <w:rFonts w:hint="eastAsia" w:ascii="宋体" w:hAnsi="宋体" w:eastAsia="宋体" w:cs="Times New Roman"/>
          <w:szCs w:val="21"/>
        </w:rPr>
        <w:t>目标</w:t>
      </w:r>
      <w:r>
        <w:rPr>
          <w:rFonts w:ascii="宋体" w:hAnsi="宋体" w:eastAsia="宋体" w:cs="Times New Roman"/>
          <w:szCs w:val="21"/>
        </w:rPr>
        <w:t>4.</w:t>
      </w:r>
      <w:r>
        <w:rPr>
          <w:rFonts w:hint="eastAsia" w:ascii="宋体" w:hAnsi="宋体" w:eastAsia="宋体" w:cs="Times New Roman"/>
          <w:szCs w:val="21"/>
        </w:rPr>
        <w:t>通过分组见习，学会与不同的交往对象和谐相处，了解课外活动组织和管理的知识，学会与其他教师、学生、家长沟通的方法，发展沟通合作的意识。</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095"/>
        <w:gridCol w:w="1327"/>
      </w:tblGrid>
      <w:tr w14:paraId="306E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565E06CA">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w:t>
            </w:r>
          </w:p>
        </w:tc>
        <w:tc>
          <w:tcPr>
            <w:tcW w:w="6095" w:type="dxa"/>
            <w:vAlign w:val="center"/>
          </w:tcPr>
          <w:p w14:paraId="703764D2">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毕业要求指标点</w:t>
            </w:r>
          </w:p>
        </w:tc>
        <w:tc>
          <w:tcPr>
            <w:tcW w:w="1327" w:type="dxa"/>
            <w:vAlign w:val="center"/>
          </w:tcPr>
          <w:p w14:paraId="1823CCA5">
            <w:pPr>
              <w:spacing w:line="360" w:lineRule="auto"/>
              <w:jc w:val="center"/>
              <w:rPr>
                <w:rFonts w:hint="eastAsia" w:ascii="宋体" w:hAnsi="宋体" w:eastAsia="宋体" w:cs="Times New Roman"/>
                <w:b/>
                <w:bCs/>
                <w:kern w:val="0"/>
                <w:szCs w:val="21"/>
              </w:rPr>
            </w:pPr>
            <w:r>
              <w:rPr>
                <w:rFonts w:hint="eastAsia" w:ascii="宋体" w:hAnsi="宋体" w:eastAsia="宋体" w:cs="Times New Roman"/>
                <w:b/>
                <w:bCs/>
                <w:kern w:val="0"/>
                <w:szCs w:val="21"/>
              </w:rPr>
              <w:t>课程目标</w:t>
            </w:r>
          </w:p>
        </w:tc>
      </w:tr>
      <w:tr w14:paraId="017E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1C7AD575">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毕业要求1</w:t>
            </w:r>
          </w:p>
          <w:p w14:paraId="2F5BB45C">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师德规范</w:t>
            </w:r>
          </w:p>
        </w:tc>
        <w:tc>
          <w:tcPr>
            <w:tcW w:w="6095" w:type="dxa"/>
            <w:vAlign w:val="center"/>
          </w:tcPr>
          <w:p w14:paraId="6C22F281">
            <w:pPr>
              <w:widowControl/>
              <w:spacing w:before="100" w:beforeAutospacing="1" w:after="100" w:afterAutospacing="1"/>
              <w:rPr>
                <w:rFonts w:hint="eastAsia" w:ascii="宋体" w:hAnsi="宋体" w:eastAsia="宋体" w:cs="宋体"/>
                <w:kern w:val="0"/>
                <w:szCs w:val="21"/>
              </w:rPr>
            </w:pPr>
            <w:r>
              <w:rPr>
                <w:rFonts w:hint="eastAsia" w:ascii="宋体" w:hAnsi="宋体" w:eastAsia="宋体" w:cs="Times New Roman"/>
                <w:b/>
                <w:spacing w:val="2"/>
                <w:kern w:val="0"/>
                <w:szCs w:val="21"/>
              </w:rPr>
              <w:t>指标点1-2</w:t>
            </w:r>
            <w:r>
              <w:rPr>
                <w:rFonts w:ascii="宋体" w:hAnsi="宋体" w:eastAsia="宋体" w:cs="宋体"/>
                <w:spacing w:val="2"/>
                <w:kern w:val="0"/>
                <w:szCs w:val="21"/>
              </w:rPr>
              <w:t>:</w:t>
            </w:r>
            <w:r>
              <w:rPr>
                <w:rFonts w:hint="eastAsia" w:ascii="宋体" w:hAnsi="宋体" w:eastAsia="宋体" w:cs="宋体"/>
                <w:kern w:val="0"/>
                <w:szCs w:val="21"/>
              </w:rPr>
              <w:t xml:space="preserve"> 【职业修养良好】以立德树人为己任，掌握立德树 人的途径和方法，着眼于学生的全面发展，实施素质教育，培养学生的核心素养；理解教师职业道德规范内涵与要求，遵守《新时代中小学教师职业行为十项准则》，依法执教，教育实践中能履行应尽义务，自觉维护学生和自身的合法权益。 </w:t>
            </w:r>
          </w:p>
        </w:tc>
        <w:tc>
          <w:tcPr>
            <w:tcW w:w="1327" w:type="dxa"/>
            <w:vAlign w:val="center"/>
          </w:tcPr>
          <w:p w14:paraId="13BE2AD7">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w:t>
            </w:r>
            <w:r>
              <w:rPr>
                <w:rFonts w:ascii="宋体" w:hAnsi="宋体" w:eastAsia="宋体" w:cs="Times New Roman"/>
                <w:kern w:val="0"/>
                <w:szCs w:val="21"/>
              </w:rPr>
              <w:t>1</w:t>
            </w:r>
          </w:p>
        </w:tc>
      </w:tr>
      <w:tr w14:paraId="5D12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5F31CF9D">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毕业要求2</w:t>
            </w:r>
          </w:p>
          <w:p w14:paraId="14F69214">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w:t>
            </w:r>
            <w:r>
              <w:rPr>
                <w:rFonts w:hint="eastAsia" w:ascii="宋体" w:hAnsi="宋体" w:eastAsia="宋体" w:cs="Times New Roman"/>
                <w:kern w:val="0"/>
                <w:szCs w:val="21"/>
              </w:rPr>
              <w:t>教育情怀</w:t>
            </w:r>
          </w:p>
        </w:tc>
        <w:tc>
          <w:tcPr>
            <w:tcW w:w="6095" w:type="dxa"/>
            <w:vAlign w:val="center"/>
          </w:tcPr>
          <w:p w14:paraId="524ED89D">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spacing w:val="2"/>
                <w:kern w:val="0"/>
                <w:szCs w:val="21"/>
              </w:rPr>
              <w:t>指标点2-2</w:t>
            </w:r>
            <w:r>
              <w:rPr>
                <w:rFonts w:hint="eastAsia" w:ascii="宋体" w:hAnsi="宋体" w:eastAsia="宋体" w:cs="宋体"/>
                <w:spacing w:val="2"/>
                <w:kern w:val="0"/>
                <w:szCs w:val="21"/>
              </w:rPr>
              <w:t>：</w:t>
            </w:r>
            <w:r>
              <w:rPr>
                <w:rFonts w:hint="eastAsia" w:ascii="宋体" w:hAnsi="宋体" w:eastAsia="宋体" w:cs="宋体"/>
                <w:kern w:val="0"/>
                <w:szCs w:val="21"/>
              </w:rPr>
              <w:t xml:space="preserve">【仁爱之心深厚】关爱学生，用心从教。具有正确 的儿童观，理解、尊重、关爱、保护学生，以儿童发展为教育的中心。爱岗敬业，在教育实践中能认真履行教育教学职责与班主任工作职责，富有爱心、责任心、工作细心、耐心，做学生学习的促进者、道德品质和创新思维的培养者，奉献祖国的引路人。 </w:t>
            </w:r>
          </w:p>
        </w:tc>
        <w:tc>
          <w:tcPr>
            <w:tcW w:w="1327" w:type="dxa"/>
            <w:vAlign w:val="center"/>
          </w:tcPr>
          <w:p w14:paraId="35D8E696">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466B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55" w:type="dxa"/>
            <w:vMerge w:val="restart"/>
            <w:vAlign w:val="center"/>
          </w:tcPr>
          <w:p w14:paraId="38A9E6BE">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毕业要求4</w:t>
            </w:r>
            <w:r>
              <w:rPr>
                <w:rFonts w:ascii="宋体" w:hAnsi="宋体" w:eastAsia="宋体" w:cs="Times New Roman"/>
                <w:kern w:val="0"/>
                <w:szCs w:val="21"/>
              </w:rPr>
              <w:t>:</w:t>
            </w:r>
          </w:p>
          <w:p w14:paraId="6905CD14">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教学能力</w:t>
            </w:r>
          </w:p>
        </w:tc>
        <w:tc>
          <w:tcPr>
            <w:tcW w:w="6095" w:type="dxa"/>
            <w:vAlign w:val="center"/>
          </w:tcPr>
          <w:p w14:paraId="1E99721A">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指标点4-2</w:t>
            </w:r>
            <w:r>
              <w:rPr>
                <w:rFonts w:hint="eastAsia" w:ascii="宋体" w:hAnsi="宋体" w:eastAsia="宋体" w:cs="宋体"/>
                <w:spacing w:val="2"/>
                <w:kern w:val="0"/>
                <w:szCs w:val="21"/>
              </w:rPr>
              <w:t>：</w:t>
            </w:r>
            <w:r>
              <w:rPr>
                <w:rFonts w:hint="eastAsia" w:ascii="宋体" w:hAnsi="宋体" w:eastAsia="宋体" w:cs="宋体"/>
                <w:kern w:val="0"/>
                <w:szCs w:val="21"/>
              </w:rPr>
              <w:t>【教学设计恰当】能针对小学生已有的知识水平、 学习经验和兴趣特点，依据课标确定恰当的学习目标和学习重 点，设计学习活动。能依据单元内容进行整体设计，科学合理地依据教学目标及内容设计作业。</w:t>
            </w:r>
          </w:p>
        </w:tc>
        <w:tc>
          <w:tcPr>
            <w:tcW w:w="1327" w:type="dxa"/>
            <w:vMerge w:val="restart"/>
            <w:vAlign w:val="center"/>
          </w:tcPr>
          <w:p w14:paraId="7FBB1041">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3325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555" w:type="dxa"/>
            <w:vMerge w:val="continue"/>
            <w:vAlign w:val="center"/>
          </w:tcPr>
          <w:p w14:paraId="27DBB4B6">
            <w:pPr>
              <w:spacing w:line="276" w:lineRule="auto"/>
              <w:jc w:val="center"/>
              <w:rPr>
                <w:rFonts w:hint="eastAsia" w:ascii="宋体" w:hAnsi="宋体" w:eastAsia="宋体" w:cs="Times New Roman"/>
                <w:kern w:val="0"/>
                <w:szCs w:val="21"/>
              </w:rPr>
            </w:pPr>
          </w:p>
        </w:tc>
        <w:tc>
          <w:tcPr>
            <w:tcW w:w="6095" w:type="dxa"/>
            <w:vAlign w:val="center"/>
          </w:tcPr>
          <w:p w14:paraId="32B06E4E">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指标点4-3</w:t>
            </w:r>
            <w:r>
              <w:rPr>
                <w:rFonts w:hint="eastAsia" w:ascii="宋体" w:hAnsi="宋体" w:eastAsia="宋体" w:cs="宋体"/>
                <w:spacing w:val="2"/>
                <w:kern w:val="0"/>
                <w:szCs w:val="21"/>
              </w:rPr>
              <w:t>：</w:t>
            </w:r>
            <w:r>
              <w:rPr>
                <w:rFonts w:hint="eastAsia" w:ascii="宋体" w:hAnsi="宋体" w:eastAsia="宋体" w:cs="宋体"/>
                <w:kern w:val="0"/>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Merge w:val="continue"/>
            <w:vAlign w:val="center"/>
          </w:tcPr>
          <w:p w14:paraId="3584650D">
            <w:pPr>
              <w:spacing w:line="276" w:lineRule="auto"/>
              <w:jc w:val="left"/>
              <w:rPr>
                <w:rFonts w:hint="eastAsia" w:ascii="宋体" w:hAnsi="宋体" w:eastAsia="宋体" w:cs="Times New Roman"/>
                <w:kern w:val="0"/>
                <w:szCs w:val="21"/>
              </w:rPr>
            </w:pPr>
          </w:p>
        </w:tc>
      </w:tr>
      <w:tr w14:paraId="75F44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407FACC9">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毕业要求5</w:t>
            </w:r>
            <w:r>
              <w:rPr>
                <w:rFonts w:ascii="宋体" w:hAnsi="宋体" w:eastAsia="宋体" w:cs="Times New Roman"/>
                <w:kern w:val="0"/>
                <w:szCs w:val="21"/>
              </w:rPr>
              <w:t>:</w:t>
            </w:r>
          </w:p>
          <w:p w14:paraId="7D147B1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班级管理</w:t>
            </w:r>
          </w:p>
        </w:tc>
        <w:tc>
          <w:tcPr>
            <w:tcW w:w="6095" w:type="dxa"/>
            <w:vAlign w:val="center"/>
          </w:tcPr>
          <w:p w14:paraId="15C282DD">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指标点5-1</w:t>
            </w:r>
            <w:r>
              <w:rPr>
                <w:rFonts w:ascii="宋体" w:hAnsi="宋体" w:eastAsia="宋体" w:cs="宋体"/>
                <w:spacing w:val="2"/>
                <w:kern w:val="0"/>
                <w:szCs w:val="21"/>
              </w:rPr>
              <w:t>:</w:t>
            </w:r>
            <w:r>
              <w:rPr>
                <w:rFonts w:hint="eastAsia" w:ascii="宋体" w:hAnsi="宋体" w:eastAsia="宋体" w:cs="宋体"/>
                <w:kern w:val="0"/>
                <w:szCs w:val="21"/>
              </w:rPr>
              <w:t xml:space="preserve">【擅长班队管理】具有小学德育工作体验，树立育 人为本、德育为先的理念，熟悉小学德育的基本原理与方法。获得小学班队组织与建设的体验。掌握小学班队组织与建设的工作规律和基本方法，具有班队建设和管理的基本能力。能够在工作实践中，利用技术手段收集学生成长过程的关键信息，建立学生成长电子档案，对学生进行综合素质评价，指导学生成长，关注学生生活，运用德育的理论和方法组织与指导班队活动。 </w:t>
            </w:r>
          </w:p>
        </w:tc>
        <w:tc>
          <w:tcPr>
            <w:tcW w:w="1327" w:type="dxa"/>
            <w:vAlign w:val="center"/>
          </w:tcPr>
          <w:p w14:paraId="62230E9B">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236F6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36F877D3">
            <w:pPr>
              <w:spacing w:line="276" w:lineRule="auto"/>
              <w:jc w:val="center"/>
              <w:rPr>
                <w:rFonts w:hint="eastAsia" w:ascii="宋体" w:hAnsi="宋体" w:eastAsia="宋体" w:cs="Times New Roman"/>
                <w:kern w:val="0"/>
                <w:szCs w:val="21"/>
              </w:rPr>
            </w:pPr>
          </w:p>
        </w:tc>
        <w:tc>
          <w:tcPr>
            <w:tcW w:w="6095" w:type="dxa"/>
            <w:vAlign w:val="center"/>
          </w:tcPr>
          <w:p w14:paraId="7519B630">
            <w:pPr>
              <w:widowControl/>
              <w:spacing w:before="100" w:beforeAutospacing="1" w:after="100" w:afterAutospacing="1"/>
              <w:jc w:val="left"/>
              <w:rPr>
                <w:rFonts w:hint="eastAsia" w:ascii="宋体" w:hAnsi="宋体" w:eastAsia="宋体" w:cs="宋体"/>
                <w:kern w:val="0"/>
                <w:szCs w:val="21"/>
              </w:rPr>
            </w:pPr>
            <w:r>
              <w:rPr>
                <w:rFonts w:hint="eastAsia" w:ascii="宋体" w:hAnsi="宋体" w:cs="宋体"/>
                <w:b/>
                <w:kern w:val="0"/>
                <w:sz w:val="20"/>
                <w:szCs w:val="20"/>
              </w:rPr>
              <w:t>指标点5-2</w:t>
            </w:r>
            <w:r>
              <w:rPr>
                <w:rFonts w:hint="eastAsia" w:ascii="宋体" w:hAnsi="宋体" w:cs="宋体"/>
                <w:sz w:val="20"/>
                <w:szCs w:val="20"/>
              </w:rPr>
              <w:t>：【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327" w:type="dxa"/>
            <w:vAlign w:val="center"/>
          </w:tcPr>
          <w:p w14:paraId="766F35C9">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051A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0383342E">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毕业要求6</w:t>
            </w:r>
            <w:r>
              <w:rPr>
                <w:rFonts w:ascii="宋体" w:hAnsi="宋体" w:eastAsia="宋体" w:cs="Times New Roman"/>
                <w:kern w:val="0"/>
                <w:szCs w:val="21"/>
              </w:rPr>
              <w:t>:</w:t>
            </w:r>
            <w:r>
              <w:rPr>
                <w:rFonts w:hint="eastAsia" w:ascii="宋体" w:hAnsi="宋体" w:eastAsia="宋体" w:cs="Times New Roman"/>
                <w:kern w:val="0"/>
                <w:szCs w:val="21"/>
              </w:rPr>
              <w:t>综合育人</w:t>
            </w:r>
          </w:p>
        </w:tc>
        <w:tc>
          <w:tcPr>
            <w:tcW w:w="6095" w:type="dxa"/>
            <w:vAlign w:val="center"/>
          </w:tcPr>
          <w:p w14:paraId="5B758780">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指标点6-1</w:t>
            </w:r>
            <w:r>
              <w:rPr>
                <w:rFonts w:ascii="宋体" w:hAnsi="宋体" w:eastAsia="宋体" w:cs="宋体"/>
                <w:spacing w:val="2"/>
                <w:kern w:val="0"/>
                <w:szCs w:val="21"/>
              </w:rPr>
              <w:t>:</w:t>
            </w:r>
            <w:r>
              <w:rPr>
                <w:rFonts w:hint="eastAsia" w:ascii="宋体" w:hAnsi="宋体" w:eastAsia="宋体" w:cs="宋体"/>
                <w:kern w:val="0"/>
                <w:szCs w:val="21"/>
              </w:rPr>
              <w:t>【遵循身心规律】了解不同年龄以及有特殊需要的小学生的身心发展特点和规律、不同年龄小学生学习的特点，掌 握小学生良好行为习惯养成的知识。</w:t>
            </w:r>
          </w:p>
        </w:tc>
        <w:tc>
          <w:tcPr>
            <w:tcW w:w="1327" w:type="dxa"/>
            <w:vAlign w:val="center"/>
          </w:tcPr>
          <w:p w14:paraId="46DC1B95">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课程目标3</w:t>
            </w:r>
          </w:p>
        </w:tc>
      </w:tr>
      <w:tr w14:paraId="6D66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76117727">
            <w:pPr>
              <w:spacing w:line="276" w:lineRule="auto"/>
              <w:jc w:val="center"/>
              <w:rPr>
                <w:rFonts w:hint="eastAsia" w:ascii="宋体" w:hAnsi="宋体" w:eastAsia="宋体" w:cs="Times New Roman"/>
                <w:kern w:val="0"/>
                <w:szCs w:val="21"/>
              </w:rPr>
            </w:pPr>
          </w:p>
        </w:tc>
        <w:tc>
          <w:tcPr>
            <w:tcW w:w="6095" w:type="dxa"/>
            <w:vAlign w:val="center"/>
          </w:tcPr>
          <w:p w14:paraId="17150A9B">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指标点6-2</w:t>
            </w:r>
            <w:r>
              <w:rPr>
                <w:rFonts w:ascii="宋体" w:hAnsi="宋体" w:eastAsia="宋体" w:cs="宋体"/>
                <w:spacing w:val="2"/>
                <w:kern w:val="0"/>
                <w:szCs w:val="21"/>
              </w:rPr>
              <w:t>:</w:t>
            </w:r>
            <w:r>
              <w:rPr>
                <w:rFonts w:hint="eastAsia" w:ascii="宋体" w:hAnsi="宋体" w:eastAsia="宋体" w:cs="宋体"/>
                <w:kern w:val="0"/>
                <w:szCs w:val="21"/>
              </w:rPr>
              <w:t>【胜任学科育人】具有教书育人的意识，理解学科核心素养和拟任教学科课程独特的育人功能，在教育教学实践中，能够结合课程内容与特点，挖掘课程的育人要素与资源，合理设计育人目标、主题、内容和活动，将知识学习、能力发展与品德养成有机结合。</w:t>
            </w:r>
          </w:p>
        </w:tc>
        <w:tc>
          <w:tcPr>
            <w:tcW w:w="1327" w:type="dxa"/>
            <w:vAlign w:val="center"/>
          </w:tcPr>
          <w:p w14:paraId="1D44A478">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课程目标1</w:t>
            </w:r>
          </w:p>
        </w:tc>
      </w:tr>
      <w:tr w14:paraId="0F91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06B20084">
            <w:pPr>
              <w:spacing w:line="276" w:lineRule="auto"/>
              <w:jc w:val="center"/>
              <w:rPr>
                <w:rFonts w:hint="eastAsia" w:ascii="宋体" w:hAnsi="宋体" w:eastAsia="宋体" w:cs="Times New Roman"/>
                <w:kern w:val="0"/>
                <w:szCs w:val="21"/>
              </w:rPr>
            </w:pPr>
          </w:p>
        </w:tc>
        <w:tc>
          <w:tcPr>
            <w:tcW w:w="6095" w:type="dxa"/>
            <w:vAlign w:val="center"/>
          </w:tcPr>
          <w:p w14:paraId="75CA8A90">
            <w:pPr>
              <w:widowControl/>
              <w:spacing w:before="100" w:beforeAutospacing="1" w:after="100" w:afterAutospacing="1"/>
              <w:rPr>
                <w:rFonts w:hint="eastAsia" w:ascii="宋体" w:hAnsi="宋体" w:eastAsia="宋体" w:cs="宋体"/>
                <w:kern w:val="0"/>
                <w:szCs w:val="21"/>
              </w:rPr>
            </w:pPr>
            <w:r>
              <w:rPr>
                <w:rFonts w:hint="eastAsia" w:ascii="宋体" w:hAnsi="宋体" w:eastAsia="宋体" w:cs="宋体"/>
                <w:b/>
                <w:spacing w:val="2"/>
                <w:kern w:val="0"/>
                <w:szCs w:val="21"/>
              </w:rPr>
              <w:t>指标点6-3</w:t>
            </w:r>
            <w:r>
              <w:rPr>
                <w:rFonts w:hint="eastAsia" w:ascii="宋体" w:hAnsi="宋体" w:eastAsia="宋体" w:cs="宋体"/>
                <w:spacing w:val="2"/>
                <w:kern w:val="0"/>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327" w:type="dxa"/>
            <w:vAlign w:val="center"/>
          </w:tcPr>
          <w:p w14:paraId="7632A282">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1AB4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5170DDC8">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毕业要求7</w:t>
            </w:r>
            <w:r>
              <w:rPr>
                <w:rFonts w:ascii="宋体" w:hAnsi="宋体" w:eastAsia="宋体" w:cs="Times New Roman"/>
                <w:kern w:val="0"/>
                <w:szCs w:val="21"/>
              </w:rPr>
              <w:t>:</w:t>
            </w:r>
            <w:r>
              <w:rPr>
                <w:rFonts w:hint="eastAsia" w:ascii="宋体" w:hAnsi="宋体" w:eastAsia="宋体" w:cs="Times New Roman"/>
                <w:kern w:val="0"/>
                <w:szCs w:val="21"/>
              </w:rPr>
              <w:t>学会反思</w:t>
            </w:r>
          </w:p>
        </w:tc>
        <w:tc>
          <w:tcPr>
            <w:tcW w:w="6095" w:type="dxa"/>
            <w:vAlign w:val="center"/>
          </w:tcPr>
          <w:p w14:paraId="71F925E8">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spacing w:val="2"/>
                <w:kern w:val="0"/>
                <w:szCs w:val="21"/>
              </w:rPr>
              <w:t>指标点7-3</w:t>
            </w:r>
            <w:r>
              <w:rPr>
                <w:rFonts w:hint="eastAsia" w:ascii="宋体" w:hAnsi="宋体" w:eastAsia="宋体" w:cs="宋体"/>
                <w:spacing w:val="2"/>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7E3036D4">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课程目标2</w:t>
            </w:r>
          </w:p>
        </w:tc>
      </w:tr>
      <w:tr w14:paraId="0EAA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restart"/>
            <w:vAlign w:val="center"/>
          </w:tcPr>
          <w:p w14:paraId="15A56937">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毕业要求8</w:t>
            </w:r>
            <w:r>
              <w:rPr>
                <w:rFonts w:ascii="宋体" w:hAnsi="宋体" w:eastAsia="宋体" w:cs="Times New Roman"/>
                <w:kern w:val="0"/>
                <w:szCs w:val="21"/>
              </w:rPr>
              <w:t>:</w:t>
            </w:r>
            <w:r>
              <w:rPr>
                <w:rFonts w:hint="eastAsia" w:ascii="宋体" w:hAnsi="宋体" w:eastAsia="宋体" w:cs="Times New Roman"/>
                <w:kern w:val="0"/>
                <w:szCs w:val="21"/>
              </w:rPr>
              <w:t>沟通合作</w:t>
            </w:r>
          </w:p>
        </w:tc>
        <w:tc>
          <w:tcPr>
            <w:tcW w:w="6095" w:type="dxa"/>
            <w:vAlign w:val="center"/>
          </w:tcPr>
          <w:p w14:paraId="05C21470">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spacing w:val="2"/>
                <w:kern w:val="0"/>
                <w:szCs w:val="21"/>
              </w:rPr>
              <w:t>指标点8-1</w:t>
            </w:r>
            <w:r>
              <w:rPr>
                <w:rFonts w:ascii="宋体" w:hAnsi="宋体" w:eastAsia="宋体" w:cs="宋体"/>
                <w:spacing w:val="2"/>
                <w:kern w:val="0"/>
                <w:szCs w:val="21"/>
              </w:rPr>
              <w:t>:</w:t>
            </w:r>
            <w:r>
              <w:rPr>
                <w:rFonts w:hint="eastAsia" w:ascii="宋体" w:hAnsi="宋体" w:eastAsia="宋体" w:cs="宋体"/>
                <w:kern w:val="0"/>
                <w:szCs w:val="21"/>
              </w:rPr>
              <w:t xml:space="preserve"> 【善于团队合作】理解学习共同体的本质和价值， 掌握团队协作的基本策略，在课堂学习与教育实践中获得合作学 习体验，形成团队协作精神。</w:t>
            </w:r>
          </w:p>
        </w:tc>
        <w:tc>
          <w:tcPr>
            <w:tcW w:w="1327" w:type="dxa"/>
            <w:vAlign w:val="center"/>
          </w:tcPr>
          <w:p w14:paraId="0196BBAC">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课程目标4</w:t>
            </w:r>
          </w:p>
        </w:tc>
      </w:tr>
      <w:tr w14:paraId="78D6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Merge w:val="continue"/>
            <w:vAlign w:val="center"/>
          </w:tcPr>
          <w:p w14:paraId="39E59E6A">
            <w:pPr>
              <w:spacing w:line="276" w:lineRule="auto"/>
              <w:jc w:val="center"/>
              <w:rPr>
                <w:rFonts w:hint="eastAsia" w:ascii="宋体" w:hAnsi="宋体" w:eastAsia="宋体" w:cs="Times New Roman"/>
                <w:kern w:val="0"/>
                <w:szCs w:val="21"/>
              </w:rPr>
            </w:pPr>
          </w:p>
        </w:tc>
        <w:tc>
          <w:tcPr>
            <w:tcW w:w="6095" w:type="dxa"/>
            <w:vAlign w:val="center"/>
          </w:tcPr>
          <w:p w14:paraId="38FB0BC2">
            <w:pPr>
              <w:widowControl/>
              <w:spacing w:before="100" w:beforeAutospacing="1" w:after="100" w:afterAutospacing="1"/>
              <w:jc w:val="left"/>
              <w:rPr>
                <w:rFonts w:hint="eastAsia" w:ascii="宋体" w:hAnsi="宋体" w:eastAsia="宋体" w:cs="宋体"/>
                <w:kern w:val="0"/>
                <w:szCs w:val="21"/>
              </w:rPr>
            </w:pPr>
            <w:r>
              <w:rPr>
                <w:rFonts w:hint="eastAsia" w:ascii="宋体" w:hAnsi="宋体" w:eastAsia="宋体" w:cs="宋体"/>
                <w:b/>
                <w:spacing w:val="2"/>
                <w:kern w:val="0"/>
                <w:szCs w:val="21"/>
              </w:rPr>
              <w:t>指标点8-2</w:t>
            </w:r>
            <w:r>
              <w:rPr>
                <w:rFonts w:ascii="宋体" w:hAnsi="宋体" w:eastAsia="宋体" w:cs="宋体"/>
                <w:spacing w:val="2"/>
                <w:kern w:val="0"/>
                <w:szCs w:val="21"/>
              </w:rPr>
              <w:t>:</w:t>
            </w:r>
            <w:r>
              <w:rPr>
                <w:rFonts w:hint="eastAsia" w:ascii="宋体" w:hAnsi="宋体" w:eastAsia="宋体" w:cs="宋体"/>
                <w:kern w:val="0"/>
                <w:szCs w:val="21"/>
              </w:rPr>
              <w:t xml:space="preserve"> 【学会沟通交流】掌握人际沟通合作技能与方法， 在教育教学实践中，能与学生和家长以及同行、同事、专家进行 有效沟通与合作，实现共同发展。</w:t>
            </w:r>
          </w:p>
        </w:tc>
        <w:tc>
          <w:tcPr>
            <w:tcW w:w="1327" w:type="dxa"/>
            <w:vAlign w:val="center"/>
          </w:tcPr>
          <w:p w14:paraId="11FED8F6">
            <w:pPr>
              <w:spacing w:line="276" w:lineRule="auto"/>
              <w:jc w:val="left"/>
              <w:rPr>
                <w:rFonts w:hint="eastAsia" w:ascii="宋体" w:hAnsi="宋体" w:eastAsia="宋体" w:cs="Times New Roman"/>
                <w:kern w:val="0"/>
                <w:szCs w:val="21"/>
              </w:rPr>
            </w:pPr>
            <w:r>
              <w:rPr>
                <w:rFonts w:hint="eastAsia" w:ascii="宋体" w:hAnsi="宋体" w:eastAsia="宋体" w:cs="Times New Roman"/>
                <w:kern w:val="0"/>
                <w:szCs w:val="21"/>
              </w:rPr>
              <w:t>课程目标4</w:t>
            </w:r>
          </w:p>
        </w:tc>
      </w:tr>
    </w:tbl>
    <w:p w14:paraId="47C1C542">
      <w:pPr>
        <w:spacing w:line="360" w:lineRule="auto"/>
        <w:jc w:val="center"/>
        <w:rPr>
          <w:rFonts w:hint="eastAsia" w:ascii="宋体" w:hAnsi="宋体" w:eastAsia="宋体" w:cs="Times New Roman"/>
          <w:b/>
          <w:bCs/>
          <w:sz w:val="24"/>
        </w:rPr>
      </w:pPr>
    </w:p>
    <w:p w14:paraId="6FB95A80">
      <w:pPr>
        <w:spacing w:line="360" w:lineRule="auto"/>
        <w:ind w:firstLine="482" w:firstLineChars="200"/>
        <w:jc w:val="left"/>
        <w:rPr>
          <w:rFonts w:hint="eastAsia" w:ascii="宋体" w:hAnsi="宋体" w:eastAsia="宋体" w:cs="Times New Roman"/>
          <w:b/>
          <w:bCs/>
          <w:sz w:val="24"/>
        </w:rPr>
      </w:pPr>
      <w:r>
        <w:rPr>
          <w:rFonts w:hint="eastAsia" w:ascii="宋体" w:hAnsi="宋体" w:eastAsia="宋体" w:cs="Times New Roman"/>
          <w:b/>
          <w:bCs/>
          <w:sz w:val="24"/>
        </w:rPr>
        <w:t>（三）课程思政目标</w:t>
      </w:r>
    </w:p>
    <w:p w14:paraId="34D1E56C">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坚定教育理念，增强教育情怀，在工作和实践中善于学习，正确认识教育规律，关心关爱学生，</w:t>
      </w:r>
      <w:r>
        <w:rPr>
          <w:rFonts w:ascii="宋体" w:hAnsi="宋体" w:eastAsia="宋体" w:cs="Times New Roman"/>
          <w:szCs w:val="21"/>
        </w:rPr>
        <w:t>形成学科育人的意识，</w:t>
      </w:r>
      <w:r>
        <w:rPr>
          <w:rFonts w:hint="eastAsia" w:ascii="宋体" w:hAnsi="宋体" w:eastAsia="宋体" w:cs="Times New Roman"/>
          <w:szCs w:val="21"/>
        </w:rPr>
        <w:t>初步</w:t>
      </w:r>
      <w:r>
        <w:rPr>
          <w:rFonts w:ascii="宋体" w:hAnsi="宋体" w:eastAsia="宋体" w:cs="Times New Roman"/>
          <w:szCs w:val="21"/>
        </w:rPr>
        <w:t>掌握</w:t>
      </w:r>
      <w:r>
        <w:rPr>
          <w:rFonts w:hint="eastAsia" w:ascii="宋体" w:hAnsi="宋体" w:eastAsia="宋体" w:cs="Times New Roman"/>
          <w:szCs w:val="21"/>
        </w:rPr>
        <w:t>教书</w:t>
      </w:r>
      <w:r>
        <w:rPr>
          <w:rFonts w:ascii="宋体" w:hAnsi="宋体" w:eastAsia="宋体" w:cs="Times New Roman"/>
          <w:szCs w:val="21"/>
        </w:rPr>
        <w:t>育人的方法。</w:t>
      </w:r>
    </w:p>
    <w:p w14:paraId="735B4310">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2824"/>
        <w:gridCol w:w="1184"/>
        <w:gridCol w:w="2294"/>
        <w:gridCol w:w="1366"/>
        <w:gridCol w:w="760"/>
      </w:tblGrid>
      <w:tr w14:paraId="595D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0F28AD0F">
            <w:pPr>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知识</w:t>
            </w:r>
          </w:p>
          <w:p w14:paraId="2683CFD3">
            <w:pPr>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单元</w:t>
            </w:r>
          </w:p>
        </w:tc>
        <w:tc>
          <w:tcPr>
            <w:tcW w:w="2824" w:type="dxa"/>
            <w:vAlign w:val="center"/>
          </w:tcPr>
          <w:p w14:paraId="29C88E0C">
            <w:pPr>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知识点</w:t>
            </w:r>
          </w:p>
        </w:tc>
        <w:tc>
          <w:tcPr>
            <w:tcW w:w="1184" w:type="dxa"/>
            <w:vAlign w:val="center"/>
          </w:tcPr>
          <w:p w14:paraId="0DFE2546">
            <w:pPr>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对应</w:t>
            </w:r>
          </w:p>
          <w:p w14:paraId="69E8A9C5">
            <w:pPr>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课程目标</w:t>
            </w:r>
          </w:p>
        </w:tc>
        <w:tc>
          <w:tcPr>
            <w:tcW w:w="2294" w:type="dxa"/>
            <w:vAlign w:val="center"/>
          </w:tcPr>
          <w:p w14:paraId="1DC5E560">
            <w:pPr>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预期学习成效</w:t>
            </w:r>
          </w:p>
        </w:tc>
        <w:tc>
          <w:tcPr>
            <w:tcW w:w="1366" w:type="dxa"/>
            <w:vAlign w:val="center"/>
          </w:tcPr>
          <w:p w14:paraId="4BFD628D">
            <w:pPr>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实现环节</w:t>
            </w:r>
          </w:p>
        </w:tc>
        <w:tc>
          <w:tcPr>
            <w:tcW w:w="760" w:type="dxa"/>
            <w:vAlign w:val="center"/>
          </w:tcPr>
          <w:p w14:paraId="52BA8A6C">
            <w:pPr>
              <w:spacing w:line="276" w:lineRule="auto"/>
              <w:jc w:val="center"/>
              <w:rPr>
                <w:rFonts w:hint="eastAsia" w:ascii="宋体" w:hAnsi="宋体" w:eastAsia="宋体" w:cs="Times New Roman"/>
                <w:b/>
                <w:kern w:val="0"/>
                <w:szCs w:val="21"/>
              </w:rPr>
            </w:pPr>
            <w:r>
              <w:rPr>
                <w:rFonts w:hint="eastAsia" w:ascii="宋体" w:hAnsi="宋体" w:eastAsia="宋体" w:cs="Times New Roman"/>
                <w:b/>
                <w:kern w:val="0"/>
                <w:szCs w:val="21"/>
              </w:rPr>
              <w:t>学时</w:t>
            </w:r>
          </w:p>
        </w:tc>
      </w:tr>
      <w:tr w14:paraId="124E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6641A9F6">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w:t>
            </w:r>
            <w:r>
              <w:rPr>
                <w:rFonts w:hint="eastAsia" w:ascii="Times New Roman" w:hAnsi="Times New Roman" w:eastAsia="宋体" w:cs="Times New Roman"/>
                <w:kern w:val="0"/>
                <w:szCs w:val="21"/>
              </w:rPr>
              <w:t>学校考察</w:t>
            </w:r>
          </w:p>
        </w:tc>
        <w:tc>
          <w:tcPr>
            <w:tcW w:w="2824" w:type="dxa"/>
            <w:vAlign w:val="center"/>
          </w:tcPr>
          <w:p w14:paraId="00222820">
            <w:pPr>
              <w:jc w:val="left"/>
              <w:rPr>
                <w:rFonts w:hint="eastAsia" w:ascii="宋体" w:hAnsi="宋体" w:eastAsia="宋体" w:cs="Times New Roman"/>
                <w:kern w:val="0"/>
                <w:szCs w:val="21"/>
              </w:rPr>
            </w:pPr>
            <w:r>
              <w:rPr>
                <w:rFonts w:ascii="宋体" w:hAnsi="宋体" w:eastAsia="宋体" w:cs="Times New Roman"/>
                <w:kern w:val="0"/>
                <w:szCs w:val="21"/>
              </w:rPr>
              <w:t>观察学校空间、师生日常活动，体会学校校园文化和办学理念；聆听学校负责人介绍学校建设情况、教育教学理念、特色文化；采用观察法或访谈法，聚焦一个主题开展教育调查，分析和总结见习学校的教育教学改革情况</w:t>
            </w:r>
            <w:r>
              <w:rPr>
                <w:rFonts w:hint="eastAsia" w:ascii="宋体" w:hAnsi="宋体" w:eastAsia="宋体" w:cs="Times New Roman"/>
                <w:kern w:val="0"/>
                <w:szCs w:val="21"/>
              </w:rPr>
              <w:t>。</w:t>
            </w:r>
          </w:p>
        </w:tc>
        <w:tc>
          <w:tcPr>
            <w:tcW w:w="1184" w:type="dxa"/>
            <w:vAlign w:val="center"/>
          </w:tcPr>
          <w:p w14:paraId="3969FA5D">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课程目标1、3</w:t>
            </w:r>
          </w:p>
        </w:tc>
        <w:tc>
          <w:tcPr>
            <w:tcW w:w="2294" w:type="dxa"/>
            <w:vAlign w:val="center"/>
          </w:tcPr>
          <w:p w14:paraId="31B6981B">
            <w:pPr>
              <w:jc w:val="left"/>
              <w:rPr>
                <w:rFonts w:hint="eastAsia" w:ascii="宋体" w:hAnsi="宋体" w:eastAsia="宋体" w:cs="Times New Roman"/>
                <w:kern w:val="0"/>
                <w:szCs w:val="21"/>
              </w:rPr>
            </w:pPr>
            <w:r>
              <w:rPr>
                <w:rFonts w:ascii="宋体" w:hAnsi="宋体" w:eastAsia="宋体" w:cs="Times New Roman"/>
                <w:kern w:val="0"/>
                <w:szCs w:val="21"/>
              </w:rPr>
              <w:t>认真考察校园文化，听取学校专题介绍，与指导教师深入交流</w:t>
            </w:r>
            <w:r>
              <w:rPr>
                <w:rFonts w:hint="eastAsia" w:ascii="宋体" w:hAnsi="宋体" w:eastAsia="宋体" w:cs="Times New Roman"/>
                <w:kern w:val="0"/>
                <w:szCs w:val="21"/>
              </w:rPr>
              <w:t>，</w:t>
            </w:r>
            <w:r>
              <w:rPr>
                <w:rFonts w:ascii="宋体" w:hAnsi="宋体" w:eastAsia="宋体" w:cs="Times New Roman"/>
                <w:kern w:val="0"/>
                <w:szCs w:val="21"/>
              </w:rPr>
              <w:t>完成1份教育调查报告。调查报告内容完整、方法合理，重点突出，数据和内容真实。</w:t>
            </w:r>
          </w:p>
        </w:tc>
        <w:tc>
          <w:tcPr>
            <w:tcW w:w="1366" w:type="dxa"/>
            <w:vAlign w:val="center"/>
          </w:tcPr>
          <w:p w14:paraId="44F60F43">
            <w:pPr>
              <w:jc w:val="left"/>
              <w:rPr>
                <w:rFonts w:hint="eastAsia" w:ascii="宋体" w:hAnsi="宋体" w:eastAsia="宋体" w:cs="Times New Roman"/>
                <w:kern w:val="0"/>
                <w:szCs w:val="21"/>
              </w:rPr>
            </w:pPr>
            <w:r>
              <w:rPr>
                <w:rFonts w:hint="eastAsia" w:ascii="宋体" w:hAnsi="宋体" w:eastAsia="宋体" w:cs="Times New Roman"/>
                <w:kern w:val="0"/>
                <w:szCs w:val="21"/>
              </w:rPr>
              <w:t>1.跟岗学习</w:t>
            </w:r>
          </w:p>
          <w:p w14:paraId="2EB453CF">
            <w:pPr>
              <w:jc w:val="left"/>
              <w:rPr>
                <w:rFonts w:hint="eastAsia" w:ascii="宋体" w:hAnsi="宋体" w:eastAsia="宋体" w:cs="Times New Roman"/>
                <w:kern w:val="0"/>
                <w:szCs w:val="21"/>
              </w:rPr>
            </w:pPr>
            <w:r>
              <w:rPr>
                <w:rFonts w:hint="eastAsia" w:ascii="宋体" w:hAnsi="宋体" w:eastAsia="宋体" w:cs="Times New Roman"/>
                <w:kern w:val="0"/>
                <w:szCs w:val="21"/>
              </w:rPr>
              <w:t>2.交流研讨</w:t>
            </w:r>
          </w:p>
          <w:p w14:paraId="56FFF734">
            <w:pPr>
              <w:jc w:val="left"/>
              <w:rPr>
                <w:rFonts w:hint="eastAsia" w:ascii="宋体" w:hAnsi="宋体" w:eastAsia="宋体" w:cs="Times New Roman"/>
                <w:kern w:val="0"/>
                <w:szCs w:val="21"/>
              </w:rPr>
            </w:pPr>
            <w:r>
              <w:rPr>
                <w:rFonts w:ascii="宋体" w:hAnsi="宋体" w:eastAsia="宋体" w:cs="Times New Roman"/>
                <w:kern w:val="0"/>
                <w:szCs w:val="21"/>
              </w:rPr>
              <w:t>3</w:t>
            </w:r>
            <w:r>
              <w:rPr>
                <w:rFonts w:hint="eastAsia" w:ascii="宋体" w:hAnsi="宋体" w:eastAsia="宋体" w:cs="Times New Roman"/>
                <w:kern w:val="0"/>
                <w:szCs w:val="21"/>
              </w:rPr>
              <w:t>.自主实践</w:t>
            </w:r>
          </w:p>
        </w:tc>
        <w:tc>
          <w:tcPr>
            <w:tcW w:w="760" w:type="dxa"/>
            <w:vAlign w:val="center"/>
          </w:tcPr>
          <w:p w14:paraId="34BB58EA">
            <w:pPr>
              <w:spacing w:line="276" w:lineRule="auto"/>
              <w:jc w:val="center"/>
              <w:rPr>
                <w:rFonts w:hint="eastAsia" w:ascii="宋体" w:hAnsi="宋体" w:eastAsia="宋体" w:cs="Times New Roman"/>
                <w:kern w:val="0"/>
                <w:szCs w:val="21"/>
              </w:rPr>
            </w:pPr>
            <w:r>
              <w:rPr>
                <w:rFonts w:ascii="宋体" w:hAnsi="宋体" w:eastAsia="宋体" w:cs="Times New Roman"/>
                <w:kern w:val="0"/>
                <w:szCs w:val="21"/>
              </w:rPr>
              <w:t>2</w:t>
            </w:r>
            <w:r>
              <w:rPr>
                <w:rFonts w:hint="eastAsia" w:ascii="宋体" w:hAnsi="宋体" w:eastAsia="宋体" w:cs="Times New Roman"/>
                <w:kern w:val="0"/>
                <w:szCs w:val="21"/>
              </w:rPr>
              <w:t>天</w:t>
            </w:r>
          </w:p>
        </w:tc>
      </w:tr>
      <w:tr w14:paraId="1285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206" w:type="dxa"/>
            <w:vMerge w:val="continue"/>
            <w:vAlign w:val="center"/>
          </w:tcPr>
          <w:p w14:paraId="731D21A5">
            <w:pPr>
              <w:spacing w:line="276" w:lineRule="auto"/>
              <w:jc w:val="center"/>
              <w:rPr>
                <w:rFonts w:hint="eastAsia" w:ascii="宋体" w:hAnsi="宋体" w:eastAsia="宋体" w:cs="Times New Roman"/>
                <w:kern w:val="0"/>
                <w:szCs w:val="21"/>
              </w:rPr>
            </w:pPr>
          </w:p>
        </w:tc>
        <w:tc>
          <w:tcPr>
            <w:tcW w:w="8428" w:type="dxa"/>
            <w:gridSpan w:val="5"/>
            <w:vAlign w:val="center"/>
          </w:tcPr>
          <w:p w14:paraId="3FA0AFCD">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ascii="宋体" w:hAnsi="宋体" w:eastAsia="宋体" w:cs="Times New Roman"/>
                <w:kern w:val="0"/>
                <w:szCs w:val="21"/>
              </w:rPr>
              <w:t>把“立德树人”教育目标融入实践过程中，领悟教师职业的价值，树立职业理想，立志成为有理想信念、有道德情操、有扎实学识、有仁爱之心的好教师。</w:t>
            </w:r>
          </w:p>
        </w:tc>
      </w:tr>
      <w:tr w14:paraId="2A76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18E40083">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2</w:t>
            </w:r>
            <w:r>
              <w:rPr>
                <w:rFonts w:ascii="宋体" w:hAnsi="宋体" w:eastAsia="宋体" w:cs="Times New Roman"/>
                <w:kern w:val="0"/>
                <w:szCs w:val="21"/>
              </w:rPr>
              <w:t>.</w:t>
            </w:r>
            <w:r>
              <w:rPr>
                <w:rFonts w:hint="eastAsia" w:ascii="Times New Roman" w:hAnsi="Times New Roman" w:eastAsia="宋体" w:cs="Times New Roman"/>
                <w:kern w:val="0"/>
                <w:szCs w:val="21"/>
              </w:rPr>
              <w:t xml:space="preserve"> 教学观摩与研习</w:t>
            </w:r>
          </w:p>
        </w:tc>
        <w:tc>
          <w:tcPr>
            <w:tcW w:w="2824" w:type="dxa"/>
            <w:vAlign w:val="center"/>
          </w:tcPr>
          <w:p w14:paraId="7DF46D57">
            <w:pPr>
              <w:jc w:val="left"/>
              <w:rPr>
                <w:rFonts w:hint="eastAsia" w:ascii="宋体" w:hAnsi="宋体" w:eastAsia="宋体" w:cs="Times New Roman"/>
                <w:kern w:val="0"/>
                <w:szCs w:val="21"/>
              </w:rPr>
            </w:pPr>
            <w:r>
              <w:rPr>
                <w:rFonts w:ascii="宋体" w:hAnsi="宋体" w:eastAsia="宋体" w:cs="Times New Roman"/>
                <w:kern w:val="0"/>
                <w:szCs w:val="21"/>
              </w:rPr>
              <w:t>研读教材，备课，撰写教案，在实践导师指导下完成教案</w:t>
            </w:r>
            <w:r>
              <w:rPr>
                <w:rFonts w:hint="eastAsia" w:ascii="宋体" w:hAnsi="宋体" w:eastAsia="宋体" w:cs="Times New Roman"/>
                <w:kern w:val="0"/>
                <w:szCs w:val="21"/>
              </w:rPr>
              <w:t>设计</w:t>
            </w:r>
            <w:r>
              <w:rPr>
                <w:rFonts w:ascii="宋体" w:hAnsi="宋体" w:eastAsia="宋体" w:cs="Times New Roman"/>
                <w:kern w:val="0"/>
                <w:szCs w:val="21"/>
              </w:rPr>
              <w:t>，与导师合作实施教学</w:t>
            </w:r>
            <w:r>
              <w:rPr>
                <w:rFonts w:hint="eastAsia" w:ascii="宋体" w:hAnsi="宋体" w:eastAsia="宋体" w:cs="Times New Roman"/>
                <w:kern w:val="0"/>
                <w:szCs w:val="21"/>
              </w:rPr>
              <w:t>；</w:t>
            </w:r>
          </w:p>
          <w:p w14:paraId="251394F3">
            <w:pPr>
              <w:jc w:val="left"/>
              <w:rPr>
                <w:rFonts w:hint="eastAsia" w:ascii="宋体" w:hAnsi="宋体" w:eastAsia="宋体" w:cs="Times New Roman"/>
                <w:kern w:val="0"/>
                <w:szCs w:val="21"/>
              </w:rPr>
            </w:pPr>
            <w:r>
              <w:rPr>
                <w:rFonts w:ascii="宋体" w:hAnsi="宋体" w:eastAsia="宋体" w:cs="Times New Roman"/>
                <w:kern w:val="0"/>
                <w:szCs w:val="21"/>
              </w:rPr>
              <w:t>了解兼教课程的特点，体验兼教课程的教学过程；</w:t>
            </w:r>
          </w:p>
          <w:p w14:paraId="7B45E8F1">
            <w:pPr>
              <w:jc w:val="left"/>
              <w:rPr>
                <w:rFonts w:hint="eastAsia" w:ascii="宋体" w:hAnsi="宋体" w:eastAsia="宋体" w:cs="Times New Roman"/>
                <w:kern w:val="0"/>
                <w:szCs w:val="21"/>
              </w:rPr>
            </w:pPr>
            <w:r>
              <w:rPr>
                <w:rFonts w:ascii="宋体" w:hAnsi="宋体" w:eastAsia="宋体" w:cs="Times New Roman"/>
                <w:kern w:val="0"/>
                <w:szCs w:val="21"/>
              </w:rPr>
              <w:t>全面体验小学校本课程、校际教研、校园建设等活动。</w:t>
            </w:r>
          </w:p>
        </w:tc>
        <w:tc>
          <w:tcPr>
            <w:tcW w:w="1184" w:type="dxa"/>
            <w:vAlign w:val="center"/>
          </w:tcPr>
          <w:p w14:paraId="44066E5F">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课程目标1、2</w:t>
            </w:r>
          </w:p>
        </w:tc>
        <w:tc>
          <w:tcPr>
            <w:tcW w:w="2294" w:type="dxa"/>
            <w:vAlign w:val="center"/>
          </w:tcPr>
          <w:p w14:paraId="45C50010">
            <w:pPr>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.善于观察，主动思考与提问，总结教学观摩心得，在实践导师帮助下形成对规范的课堂教学的系统认识；</w:t>
            </w:r>
          </w:p>
          <w:p w14:paraId="31A03F94">
            <w:pPr>
              <w:rPr>
                <w:rFonts w:hint="eastAsia" w:ascii="宋体" w:hAnsi="宋体" w:eastAsia="宋体" w:cs="Times New Roman"/>
                <w:kern w:val="0"/>
                <w:szCs w:val="21"/>
              </w:rPr>
            </w:pPr>
            <w:r>
              <w:rPr>
                <w:rFonts w:ascii="宋体" w:hAnsi="宋体" w:eastAsia="宋体" w:cs="Times New Roman"/>
                <w:kern w:val="0"/>
                <w:szCs w:val="21"/>
              </w:rPr>
              <w:t>2.能运用教学材料钻研教材，设计出比较规范、具备可操作性的教案；</w:t>
            </w:r>
          </w:p>
          <w:p w14:paraId="6BB3DB77">
            <w:pPr>
              <w:rPr>
                <w:rFonts w:hint="eastAsia" w:ascii="宋体" w:hAnsi="宋体" w:eastAsia="宋体" w:cs="Times New Roman"/>
                <w:kern w:val="0"/>
                <w:szCs w:val="21"/>
              </w:rPr>
            </w:pPr>
            <w:r>
              <w:rPr>
                <w:rFonts w:ascii="宋体" w:hAnsi="宋体" w:eastAsia="宋体" w:cs="Times New Roman"/>
                <w:kern w:val="0"/>
                <w:szCs w:val="21"/>
              </w:rPr>
              <w:t>3.有主动学习的意识，获得教师专业发展的体验。</w:t>
            </w:r>
          </w:p>
          <w:p w14:paraId="6DF7681A">
            <w:pPr>
              <w:rPr>
                <w:rFonts w:hint="eastAsia" w:ascii="宋体" w:hAnsi="宋体" w:eastAsia="宋体" w:cs="Times New Roman"/>
                <w:kern w:val="0"/>
                <w:szCs w:val="21"/>
              </w:rPr>
            </w:pPr>
            <w:r>
              <w:rPr>
                <w:rFonts w:ascii="宋体" w:hAnsi="宋体" w:eastAsia="宋体" w:cs="Times New Roman"/>
                <w:kern w:val="0"/>
                <w:szCs w:val="21"/>
              </w:rPr>
              <w:t>4.每天听课2-3节，见习期总听课数不少于15节</w:t>
            </w:r>
            <w:r>
              <w:rPr>
                <w:rFonts w:hint="eastAsia" w:ascii="宋体" w:hAnsi="宋体" w:eastAsia="宋体" w:cs="Times New Roman"/>
                <w:kern w:val="0"/>
                <w:szCs w:val="21"/>
              </w:rPr>
              <w:t>。撰写</w:t>
            </w:r>
            <w:r>
              <w:rPr>
                <w:rFonts w:ascii="宋体" w:hAnsi="宋体" w:eastAsia="宋体" w:cs="Times New Roman"/>
                <w:kern w:val="0"/>
                <w:szCs w:val="21"/>
              </w:rPr>
              <w:t>教案</w:t>
            </w:r>
            <w:r>
              <w:rPr>
                <w:rFonts w:hint="eastAsia" w:ascii="宋体" w:hAnsi="宋体" w:eastAsia="宋体" w:cs="Times New Roman"/>
                <w:kern w:val="0"/>
                <w:szCs w:val="21"/>
              </w:rPr>
              <w:t>1篇。</w:t>
            </w:r>
          </w:p>
        </w:tc>
        <w:tc>
          <w:tcPr>
            <w:tcW w:w="1366" w:type="dxa"/>
            <w:vAlign w:val="center"/>
          </w:tcPr>
          <w:p w14:paraId="4761A1A9">
            <w:pPr>
              <w:jc w:val="left"/>
              <w:rPr>
                <w:rFonts w:hint="eastAsia" w:ascii="宋体" w:hAnsi="宋体" w:eastAsia="宋体" w:cs="Times New Roman"/>
                <w:kern w:val="0"/>
                <w:szCs w:val="21"/>
              </w:rPr>
            </w:pPr>
            <w:r>
              <w:rPr>
                <w:rFonts w:hint="eastAsia" w:ascii="宋体" w:hAnsi="宋体" w:eastAsia="宋体" w:cs="Times New Roman"/>
                <w:kern w:val="0"/>
                <w:szCs w:val="21"/>
              </w:rPr>
              <w:t>1.跟岗学习</w:t>
            </w:r>
          </w:p>
          <w:p w14:paraId="07839FBF">
            <w:pPr>
              <w:jc w:val="left"/>
              <w:rPr>
                <w:rFonts w:hint="eastAsia" w:ascii="宋体" w:hAnsi="宋体" w:eastAsia="宋体" w:cs="Times New Roman"/>
                <w:kern w:val="0"/>
                <w:szCs w:val="21"/>
              </w:rPr>
            </w:pPr>
            <w:r>
              <w:rPr>
                <w:rFonts w:hint="eastAsia" w:ascii="宋体" w:hAnsi="宋体" w:eastAsia="宋体" w:cs="Times New Roman"/>
                <w:kern w:val="0"/>
                <w:szCs w:val="21"/>
              </w:rPr>
              <w:t>2.交流研讨</w:t>
            </w:r>
          </w:p>
          <w:p w14:paraId="5F942393">
            <w:pPr>
              <w:jc w:val="left"/>
              <w:rPr>
                <w:rFonts w:hint="eastAsia" w:ascii="宋体" w:hAnsi="宋体" w:eastAsia="宋体" w:cs="Times New Roman"/>
                <w:kern w:val="0"/>
                <w:szCs w:val="21"/>
              </w:rPr>
            </w:pPr>
            <w:r>
              <w:rPr>
                <w:rFonts w:ascii="宋体" w:hAnsi="宋体" w:eastAsia="宋体" w:cs="Times New Roman"/>
                <w:kern w:val="0"/>
                <w:szCs w:val="21"/>
              </w:rPr>
              <w:t>3</w:t>
            </w:r>
            <w:r>
              <w:rPr>
                <w:rFonts w:hint="eastAsia" w:ascii="宋体" w:hAnsi="宋体" w:eastAsia="宋体" w:cs="Times New Roman"/>
                <w:kern w:val="0"/>
                <w:szCs w:val="21"/>
              </w:rPr>
              <w:t>.自主实践</w:t>
            </w:r>
          </w:p>
        </w:tc>
        <w:tc>
          <w:tcPr>
            <w:tcW w:w="760" w:type="dxa"/>
            <w:vAlign w:val="center"/>
          </w:tcPr>
          <w:p w14:paraId="5125994A">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4天</w:t>
            </w:r>
          </w:p>
        </w:tc>
      </w:tr>
      <w:tr w14:paraId="53D2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06" w:type="dxa"/>
            <w:vMerge w:val="continue"/>
            <w:vAlign w:val="center"/>
          </w:tcPr>
          <w:p w14:paraId="21DAA606">
            <w:pPr>
              <w:spacing w:line="276" w:lineRule="auto"/>
              <w:jc w:val="center"/>
              <w:rPr>
                <w:rFonts w:hint="eastAsia" w:ascii="宋体" w:hAnsi="宋体" w:eastAsia="宋体" w:cs="Times New Roman"/>
                <w:kern w:val="0"/>
                <w:szCs w:val="21"/>
              </w:rPr>
            </w:pPr>
          </w:p>
        </w:tc>
        <w:tc>
          <w:tcPr>
            <w:tcW w:w="8428" w:type="dxa"/>
            <w:gridSpan w:val="5"/>
            <w:vAlign w:val="center"/>
          </w:tcPr>
          <w:p w14:paraId="5C2007A6">
            <w:pPr>
              <w:jc w:val="left"/>
              <w:rPr>
                <w:rFonts w:hint="eastAsia" w:ascii="宋体" w:hAnsi="宋体" w:eastAsia="宋体" w:cs="Times New Roman"/>
                <w:kern w:val="0"/>
                <w:szCs w:val="21"/>
              </w:rPr>
            </w:pPr>
            <w:r>
              <w:rPr>
                <w:rFonts w:hint="eastAsia" w:ascii="宋体" w:hAnsi="宋体" w:eastAsia="宋体" w:cs="Times New Roman"/>
                <w:b/>
                <w:kern w:val="0"/>
                <w:szCs w:val="21"/>
              </w:rPr>
              <w:t>课程思政目标：</w:t>
            </w:r>
            <w:r>
              <w:rPr>
                <w:rFonts w:ascii="宋体" w:hAnsi="宋体" w:eastAsia="宋体" w:cs="Times New Roman"/>
                <w:kern w:val="0"/>
                <w:szCs w:val="21"/>
              </w:rPr>
              <w:t>在教育实践中，充分运用自身所掌握的教育教学方法、学生心理规律，实事求是，从实践中总结发现，增进对所学知识的理解与认识。不忘初心，把立德树人作为教育使命，主动研究教育教学，积极影响小学生的发展。</w:t>
            </w:r>
          </w:p>
        </w:tc>
      </w:tr>
      <w:tr w14:paraId="7777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06" w:type="dxa"/>
            <w:vMerge w:val="restart"/>
            <w:vAlign w:val="center"/>
          </w:tcPr>
          <w:p w14:paraId="46B31718">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3</w:t>
            </w:r>
            <w:r>
              <w:rPr>
                <w:rFonts w:ascii="宋体" w:hAnsi="宋体" w:eastAsia="宋体" w:cs="Times New Roman"/>
                <w:kern w:val="0"/>
                <w:szCs w:val="21"/>
              </w:rPr>
              <w:t>.</w:t>
            </w:r>
            <w:r>
              <w:rPr>
                <w:rFonts w:hint="eastAsia" w:ascii="宋体" w:hAnsi="宋体" w:eastAsia="宋体" w:cs="Times New Roman"/>
                <w:kern w:val="0"/>
                <w:szCs w:val="21"/>
              </w:rPr>
              <w:t>班级管理和班队工作见习</w:t>
            </w:r>
          </w:p>
        </w:tc>
        <w:tc>
          <w:tcPr>
            <w:tcW w:w="2824" w:type="dxa"/>
            <w:vAlign w:val="center"/>
          </w:tcPr>
          <w:p w14:paraId="5F89C876">
            <w:pPr>
              <w:jc w:val="left"/>
              <w:rPr>
                <w:rFonts w:hint="eastAsia" w:ascii="宋体" w:hAnsi="宋体" w:eastAsia="宋体" w:cs="Times New Roman"/>
                <w:kern w:val="0"/>
                <w:szCs w:val="21"/>
              </w:rPr>
            </w:pPr>
            <w:r>
              <w:rPr>
                <w:rFonts w:ascii="宋体" w:hAnsi="宋体" w:eastAsia="宋体" w:cs="Times New Roman"/>
                <w:kern w:val="0"/>
                <w:szCs w:val="21"/>
              </w:rPr>
              <w:t>全面观察班级常规管理工作，了解班主任日常工作的内容和方法，协助班主任进行班级管理；在班主任指导下尝试组织有主题的班会或班队活动</w:t>
            </w:r>
            <w:r>
              <w:rPr>
                <w:rFonts w:hint="eastAsia" w:ascii="宋体" w:hAnsi="宋体" w:eastAsia="宋体" w:cs="Times New Roman"/>
                <w:kern w:val="0"/>
                <w:szCs w:val="21"/>
              </w:rPr>
              <w:t>。</w:t>
            </w:r>
          </w:p>
        </w:tc>
        <w:tc>
          <w:tcPr>
            <w:tcW w:w="1184" w:type="dxa"/>
            <w:vAlign w:val="center"/>
          </w:tcPr>
          <w:p w14:paraId="43DC416A">
            <w:pPr>
              <w:jc w:val="center"/>
              <w:rPr>
                <w:rFonts w:hint="eastAsia" w:ascii="宋体" w:hAnsi="宋体" w:eastAsia="宋体" w:cs="Times New Roman"/>
                <w:kern w:val="0"/>
                <w:szCs w:val="21"/>
              </w:rPr>
            </w:pPr>
            <w:r>
              <w:rPr>
                <w:rFonts w:hint="eastAsia" w:ascii="宋体" w:hAnsi="宋体" w:eastAsia="宋体" w:cs="Times New Roman"/>
                <w:kern w:val="0"/>
                <w:szCs w:val="21"/>
              </w:rPr>
              <w:t>课程目标1、3、4</w:t>
            </w:r>
          </w:p>
        </w:tc>
        <w:tc>
          <w:tcPr>
            <w:tcW w:w="2294" w:type="dxa"/>
            <w:vAlign w:val="center"/>
          </w:tcPr>
          <w:p w14:paraId="73C66495">
            <w:pPr>
              <w:jc w:val="left"/>
              <w:rPr>
                <w:rFonts w:hint="eastAsia" w:ascii="宋体" w:hAnsi="宋体" w:eastAsia="宋体" w:cs="Times New Roman"/>
                <w:kern w:val="0"/>
                <w:szCs w:val="21"/>
              </w:rPr>
            </w:pPr>
            <w:r>
              <w:rPr>
                <w:rFonts w:hint="eastAsia" w:ascii="宋体" w:hAnsi="宋体" w:eastAsia="宋体" w:cs="Times New Roman"/>
                <w:kern w:val="0"/>
                <w:szCs w:val="21"/>
              </w:rPr>
              <w:t>1</w:t>
            </w:r>
            <w:r>
              <w:rPr>
                <w:rFonts w:ascii="宋体" w:hAnsi="宋体" w:eastAsia="宋体" w:cs="Times New Roman"/>
                <w:kern w:val="0"/>
                <w:szCs w:val="21"/>
              </w:rPr>
              <w:t>.主动与小学生加深交流，掌握小学生生活特点、心理发展特点；</w:t>
            </w:r>
          </w:p>
          <w:p w14:paraId="1D0DA99C">
            <w:pPr>
              <w:jc w:val="left"/>
              <w:rPr>
                <w:rFonts w:hint="eastAsia" w:ascii="宋体" w:hAnsi="宋体" w:eastAsia="宋体" w:cs="Times New Roman"/>
                <w:kern w:val="0"/>
                <w:szCs w:val="21"/>
              </w:rPr>
            </w:pPr>
            <w:r>
              <w:rPr>
                <w:rFonts w:ascii="宋体" w:hAnsi="宋体" w:eastAsia="宋体" w:cs="Times New Roman"/>
                <w:kern w:val="0"/>
                <w:szCs w:val="21"/>
              </w:rPr>
              <w:t>2.认真观察教育实践，与实践导师开展积极的沟通，学习班级管理经验，善于在管理案例中总结教育教学规律。</w:t>
            </w:r>
          </w:p>
          <w:p w14:paraId="3030745A">
            <w:pPr>
              <w:jc w:val="left"/>
              <w:rPr>
                <w:rFonts w:hint="eastAsia" w:ascii="宋体" w:hAnsi="宋体" w:eastAsia="宋体" w:cs="Times New Roman"/>
                <w:kern w:val="0"/>
                <w:szCs w:val="21"/>
              </w:rPr>
            </w:pPr>
            <w:r>
              <w:rPr>
                <w:rFonts w:ascii="宋体" w:hAnsi="宋体" w:eastAsia="宋体" w:cs="Times New Roman"/>
                <w:kern w:val="0"/>
                <w:szCs w:val="21"/>
              </w:rPr>
              <w:t>3.</w:t>
            </w:r>
            <w:r>
              <w:rPr>
                <w:rFonts w:hint="eastAsia" w:ascii="宋体" w:hAnsi="宋体" w:eastAsia="宋体" w:cs="Times New Roman"/>
                <w:kern w:val="0"/>
                <w:szCs w:val="21"/>
              </w:rPr>
              <w:t>完成</w:t>
            </w:r>
            <w:r>
              <w:rPr>
                <w:rFonts w:ascii="宋体" w:hAnsi="宋体" w:eastAsia="宋体" w:cs="Times New Roman"/>
                <w:kern w:val="0"/>
                <w:szCs w:val="21"/>
              </w:rPr>
              <w:t>班队活动观察记录1份。</w:t>
            </w:r>
          </w:p>
        </w:tc>
        <w:tc>
          <w:tcPr>
            <w:tcW w:w="1366" w:type="dxa"/>
            <w:vAlign w:val="center"/>
          </w:tcPr>
          <w:p w14:paraId="4DEC80C1">
            <w:pPr>
              <w:jc w:val="left"/>
              <w:rPr>
                <w:rFonts w:hint="eastAsia" w:ascii="宋体" w:hAnsi="宋体" w:eastAsia="宋体" w:cs="Times New Roman"/>
                <w:kern w:val="0"/>
                <w:szCs w:val="21"/>
              </w:rPr>
            </w:pPr>
            <w:r>
              <w:rPr>
                <w:rFonts w:hint="eastAsia" w:ascii="宋体" w:hAnsi="宋体" w:eastAsia="宋体" w:cs="Times New Roman"/>
                <w:kern w:val="0"/>
                <w:szCs w:val="21"/>
              </w:rPr>
              <w:t>1.跟岗学习</w:t>
            </w:r>
          </w:p>
          <w:p w14:paraId="051440B6">
            <w:pPr>
              <w:jc w:val="left"/>
              <w:rPr>
                <w:rFonts w:hint="eastAsia" w:ascii="宋体" w:hAnsi="宋体" w:eastAsia="宋体" w:cs="Times New Roman"/>
                <w:kern w:val="0"/>
                <w:szCs w:val="21"/>
              </w:rPr>
            </w:pPr>
            <w:r>
              <w:rPr>
                <w:rFonts w:hint="eastAsia" w:ascii="宋体" w:hAnsi="宋体" w:eastAsia="宋体" w:cs="Times New Roman"/>
                <w:kern w:val="0"/>
                <w:szCs w:val="21"/>
              </w:rPr>
              <w:t>2.交流研讨</w:t>
            </w:r>
          </w:p>
          <w:p w14:paraId="75033C5D">
            <w:pPr>
              <w:jc w:val="left"/>
              <w:rPr>
                <w:rFonts w:hint="eastAsia" w:ascii="宋体" w:hAnsi="宋体" w:eastAsia="宋体" w:cs="Times New Roman"/>
                <w:kern w:val="0"/>
                <w:szCs w:val="21"/>
              </w:rPr>
            </w:pPr>
            <w:r>
              <w:rPr>
                <w:rFonts w:ascii="宋体" w:hAnsi="宋体" w:eastAsia="宋体" w:cs="Times New Roman"/>
                <w:kern w:val="0"/>
                <w:szCs w:val="21"/>
              </w:rPr>
              <w:t>3</w:t>
            </w:r>
            <w:r>
              <w:rPr>
                <w:rFonts w:hint="eastAsia" w:ascii="宋体" w:hAnsi="宋体" w:eastAsia="宋体" w:cs="Times New Roman"/>
                <w:kern w:val="0"/>
                <w:szCs w:val="21"/>
              </w:rPr>
              <w:t>.自主实践</w:t>
            </w:r>
          </w:p>
        </w:tc>
        <w:tc>
          <w:tcPr>
            <w:tcW w:w="760" w:type="dxa"/>
            <w:vAlign w:val="center"/>
          </w:tcPr>
          <w:p w14:paraId="182FA91C">
            <w:pPr>
              <w:spacing w:line="276" w:lineRule="auto"/>
              <w:jc w:val="center"/>
              <w:rPr>
                <w:rFonts w:hint="eastAsia" w:ascii="宋体" w:hAnsi="宋体" w:eastAsia="宋体" w:cs="Times New Roman"/>
                <w:kern w:val="0"/>
                <w:szCs w:val="21"/>
              </w:rPr>
            </w:pPr>
            <w:r>
              <w:rPr>
                <w:rFonts w:hint="eastAsia" w:ascii="宋体" w:hAnsi="宋体" w:eastAsia="宋体" w:cs="Times New Roman"/>
                <w:kern w:val="0"/>
                <w:szCs w:val="21"/>
              </w:rPr>
              <w:t>4天</w:t>
            </w:r>
          </w:p>
        </w:tc>
      </w:tr>
      <w:tr w14:paraId="470DA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206" w:type="dxa"/>
            <w:vMerge w:val="continue"/>
            <w:vAlign w:val="center"/>
          </w:tcPr>
          <w:p w14:paraId="368E92F1">
            <w:pPr>
              <w:spacing w:line="276" w:lineRule="auto"/>
              <w:jc w:val="center"/>
              <w:rPr>
                <w:rFonts w:hint="eastAsia" w:ascii="宋体" w:hAnsi="宋体" w:eastAsia="宋体" w:cs="Times New Roman"/>
                <w:kern w:val="0"/>
                <w:szCs w:val="21"/>
              </w:rPr>
            </w:pPr>
          </w:p>
        </w:tc>
        <w:tc>
          <w:tcPr>
            <w:tcW w:w="8428" w:type="dxa"/>
            <w:gridSpan w:val="5"/>
            <w:vAlign w:val="center"/>
          </w:tcPr>
          <w:p w14:paraId="16A8067D">
            <w:pPr>
              <w:spacing w:line="276" w:lineRule="auto"/>
              <w:ind w:firstLine="422" w:firstLineChars="200"/>
              <w:rPr>
                <w:rFonts w:hint="eastAsia" w:ascii="宋体" w:hAnsi="宋体" w:eastAsia="宋体" w:cs="Times New Roman"/>
                <w:b/>
                <w:bCs/>
                <w:kern w:val="0"/>
                <w:szCs w:val="21"/>
              </w:rPr>
            </w:pPr>
            <w:r>
              <w:rPr>
                <w:rFonts w:hint="eastAsia" w:ascii="宋体" w:hAnsi="宋体" w:eastAsia="宋体" w:cs="Times New Roman"/>
                <w:b/>
                <w:bCs/>
                <w:kern w:val="0"/>
                <w:szCs w:val="21"/>
              </w:rPr>
              <w:t>课程思政目标：</w:t>
            </w:r>
            <w:r>
              <w:rPr>
                <w:rFonts w:hint="eastAsia" w:ascii="宋体" w:hAnsi="宋体" w:eastAsia="宋体" w:cs="Times New Roman"/>
                <w:kern w:val="0"/>
                <w:szCs w:val="21"/>
              </w:rPr>
              <w:t>理解培养全面发展的人这一教育理念，认识教育管理、班队活动的育人价值，提高教育修养，增强在教育过程中挖掘各个因素进行教育的意识和能力。</w:t>
            </w:r>
          </w:p>
        </w:tc>
      </w:tr>
    </w:tbl>
    <w:p w14:paraId="711498F4">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3E3CB058">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945E26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1273"/>
        <w:gridCol w:w="1268"/>
        <w:gridCol w:w="1661"/>
        <w:gridCol w:w="1843"/>
        <w:gridCol w:w="1255"/>
      </w:tblGrid>
      <w:tr w14:paraId="7F51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Merge w:val="restart"/>
            <w:vAlign w:val="center"/>
          </w:tcPr>
          <w:p w14:paraId="490C743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045" w:type="dxa"/>
            <w:gridSpan w:val="4"/>
          </w:tcPr>
          <w:p w14:paraId="7DD3758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1255" w:type="dxa"/>
            <w:vMerge w:val="restart"/>
            <w:vAlign w:val="center"/>
          </w:tcPr>
          <w:p w14:paraId="3450156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7B5A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605" w:type="dxa"/>
            <w:vMerge w:val="continue"/>
            <w:vAlign w:val="center"/>
          </w:tcPr>
          <w:p w14:paraId="63A8B2D4">
            <w:pPr>
              <w:spacing w:line="360" w:lineRule="auto"/>
              <w:jc w:val="center"/>
              <w:rPr>
                <w:rFonts w:hint="eastAsia" w:ascii="宋体" w:hAnsi="宋体" w:eastAsia="宋体" w:cs="Times New Roman"/>
                <w:kern w:val="0"/>
                <w:sz w:val="20"/>
                <w:szCs w:val="21"/>
              </w:rPr>
            </w:pPr>
          </w:p>
        </w:tc>
        <w:tc>
          <w:tcPr>
            <w:tcW w:w="1273" w:type="dxa"/>
            <w:vAlign w:val="center"/>
          </w:tcPr>
          <w:p w14:paraId="59E16D6B">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1268" w:type="dxa"/>
            <w:vAlign w:val="center"/>
          </w:tcPr>
          <w:p w14:paraId="382F8C1F">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学校考察</w:t>
            </w:r>
          </w:p>
          <w:p w14:paraId="131F4A78">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1661" w:type="dxa"/>
            <w:vAlign w:val="center"/>
          </w:tcPr>
          <w:p w14:paraId="3278A2D4">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教学工作见习</w:t>
            </w:r>
          </w:p>
        </w:tc>
        <w:tc>
          <w:tcPr>
            <w:tcW w:w="1843" w:type="dxa"/>
            <w:vAlign w:val="center"/>
          </w:tcPr>
          <w:p w14:paraId="590B728F">
            <w:pPr>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1255" w:type="dxa"/>
            <w:vMerge w:val="continue"/>
            <w:vAlign w:val="center"/>
          </w:tcPr>
          <w:p w14:paraId="2736C618">
            <w:pPr>
              <w:spacing w:line="360" w:lineRule="auto"/>
              <w:jc w:val="center"/>
              <w:rPr>
                <w:rFonts w:hint="eastAsia" w:ascii="宋体" w:hAnsi="宋体" w:eastAsia="宋体" w:cs="Times New Roman"/>
                <w:kern w:val="0"/>
                <w:sz w:val="20"/>
                <w:szCs w:val="21"/>
              </w:rPr>
            </w:pPr>
          </w:p>
        </w:tc>
      </w:tr>
      <w:tr w14:paraId="4D04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05" w:type="dxa"/>
            <w:vAlign w:val="center"/>
          </w:tcPr>
          <w:p w14:paraId="55485ED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273" w:type="dxa"/>
          </w:tcPr>
          <w:p w14:paraId="546B6B7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3807B79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1B1BB8A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1187EED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26E2272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20</w:t>
            </w:r>
          </w:p>
        </w:tc>
      </w:tr>
      <w:tr w14:paraId="2180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383E892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273" w:type="dxa"/>
          </w:tcPr>
          <w:p w14:paraId="52202D5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3778B887">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2D4BDCE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52672752">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5A5C499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1918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610C6F9C">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273" w:type="dxa"/>
          </w:tcPr>
          <w:p w14:paraId="35228F2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vAlign w:val="center"/>
          </w:tcPr>
          <w:p w14:paraId="09DAE96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vAlign w:val="center"/>
          </w:tcPr>
          <w:p w14:paraId="2E39795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vAlign w:val="center"/>
          </w:tcPr>
          <w:p w14:paraId="6DF03B9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342C0DC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0A97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6C07AD4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273" w:type="dxa"/>
          </w:tcPr>
          <w:p w14:paraId="7D907C59">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68" w:type="dxa"/>
          </w:tcPr>
          <w:p w14:paraId="2AFF5BA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661" w:type="dxa"/>
          </w:tcPr>
          <w:p w14:paraId="216B7F6B">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843" w:type="dxa"/>
          </w:tcPr>
          <w:p w14:paraId="3403E15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55" w:type="dxa"/>
            <w:vAlign w:val="center"/>
          </w:tcPr>
          <w:p w14:paraId="13E9C78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w:t>
            </w:r>
            <w:r>
              <w:rPr>
                <w:rFonts w:ascii="宋体" w:hAnsi="宋体" w:eastAsia="宋体" w:cs="Times New Roman"/>
                <w:kern w:val="0"/>
                <w:sz w:val="20"/>
                <w:szCs w:val="21"/>
              </w:rPr>
              <w:t>0</w:t>
            </w:r>
          </w:p>
        </w:tc>
      </w:tr>
      <w:tr w14:paraId="22A2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605" w:type="dxa"/>
            <w:vAlign w:val="center"/>
          </w:tcPr>
          <w:p w14:paraId="7C2595CF">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273" w:type="dxa"/>
          </w:tcPr>
          <w:p w14:paraId="48F12C5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268" w:type="dxa"/>
            <w:vAlign w:val="center"/>
          </w:tcPr>
          <w:p w14:paraId="673E250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w:t>
            </w:r>
          </w:p>
        </w:tc>
        <w:tc>
          <w:tcPr>
            <w:tcW w:w="1661" w:type="dxa"/>
            <w:vAlign w:val="center"/>
          </w:tcPr>
          <w:p w14:paraId="561F2BD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843" w:type="dxa"/>
            <w:vAlign w:val="center"/>
          </w:tcPr>
          <w:p w14:paraId="04E2076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w:t>
            </w:r>
            <w:r>
              <w:rPr>
                <w:rFonts w:ascii="宋体" w:hAnsi="宋体" w:eastAsia="宋体" w:cs="Times New Roman"/>
                <w:kern w:val="0"/>
                <w:sz w:val="20"/>
                <w:szCs w:val="21"/>
              </w:rPr>
              <w:t>0</w:t>
            </w:r>
          </w:p>
        </w:tc>
        <w:tc>
          <w:tcPr>
            <w:tcW w:w="1255" w:type="dxa"/>
            <w:vAlign w:val="center"/>
          </w:tcPr>
          <w:p w14:paraId="6E433057">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4E4A4A65">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1314D9F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p w14:paraId="21FA80F8">
      <w:pPr>
        <w:spacing w:line="360" w:lineRule="auto"/>
        <w:ind w:firstLine="420" w:firstLineChars="200"/>
        <w:jc w:val="left"/>
        <w:rPr>
          <w:rFonts w:ascii="Times New Roman" w:hAnsi="Times New Roman" w:eastAsia="宋体" w:cs="Times New Roman"/>
          <w:szCs w:val="21"/>
        </w:rPr>
      </w:pPr>
    </w:p>
    <w:p w14:paraId="22327254">
      <w:pPr>
        <w:spacing w:line="360" w:lineRule="auto"/>
        <w:ind w:firstLine="420" w:firstLineChars="200"/>
        <w:jc w:val="left"/>
        <w:rPr>
          <w:rFonts w:ascii="Times New Roman" w:hAnsi="Times New Roman" w:eastAsia="宋体" w:cs="Times New Roman"/>
          <w:szCs w:val="21"/>
        </w:rPr>
      </w:pPr>
    </w:p>
    <w:tbl>
      <w:tblPr>
        <w:tblStyle w:val="12"/>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7109"/>
        <w:gridCol w:w="682"/>
      </w:tblGrid>
      <w:tr w14:paraId="2661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71" w:type="dxa"/>
            <w:vAlign w:val="center"/>
          </w:tcPr>
          <w:p w14:paraId="0458B7E4">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评价方式</w:t>
            </w:r>
          </w:p>
        </w:tc>
        <w:tc>
          <w:tcPr>
            <w:tcW w:w="7109" w:type="dxa"/>
            <w:vAlign w:val="center"/>
          </w:tcPr>
          <w:p w14:paraId="5A936238">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评定细则</w:t>
            </w:r>
          </w:p>
        </w:tc>
        <w:tc>
          <w:tcPr>
            <w:tcW w:w="0" w:type="auto"/>
            <w:vAlign w:val="center"/>
          </w:tcPr>
          <w:p w14:paraId="632BE79E">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占比</w:t>
            </w:r>
          </w:p>
        </w:tc>
      </w:tr>
      <w:tr w14:paraId="00F1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04963242">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见习态度</w:t>
            </w:r>
          </w:p>
        </w:tc>
        <w:tc>
          <w:tcPr>
            <w:tcW w:w="7109" w:type="dxa"/>
            <w:tcBorders>
              <w:top w:val="single" w:color="auto" w:sz="4" w:space="0"/>
              <w:left w:val="single" w:color="auto" w:sz="4" w:space="0"/>
              <w:bottom w:val="single" w:color="auto" w:sz="4" w:space="0"/>
              <w:right w:val="single" w:color="auto" w:sz="4" w:space="0"/>
            </w:tcBorders>
            <w:vAlign w:val="center"/>
          </w:tcPr>
          <w:p w14:paraId="1112B64B">
            <w:pPr>
              <w:snapToGrid w:val="0"/>
              <w:spacing w:line="276" w:lineRule="auto"/>
              <w:rPr>
                <w:rFonts w:hint="eastAsia" w:ascii="宋体" w:hAnsi="宋体" w:eastAsia="宋体" w:cs="Times New Roman"/>
                <w:kern w:val="0"/>
                <w:sz w:val="20"/>
                <w:szCs w:val="21"/>
              </w:rPr>
            </w:pPr>
            <w:r>
              <w:rPr>
                <w:rFonts w:hint="eastAsia" w:ascii="Times New Roman" w:hAnsi="Times New Roman" w:eastAsia="宋体" w:cs="Times New Roman"/>
                <w:kern w:val="0"/>
                <w:sz w:val="20"/>
                <w:szCs w:val="21"/>
              </w:rPr>
              <w:t>按要求参加见习，思想端正，学习态度积极；主动参与教学和班级管理，能够虚心请教、勤恳好学；与小学生交往热情，关爱小学生；见习总结认真，形成对自身教育实践比较全面客观的认识。结合</w:t>
            </w:r>
            <w:r>
              <w:rPr>
                <w:rFonts w:hint="eastAsia" w:ascii="宋体" w:hAnsi="宋体" w:eastAsia="宋体" w:cs="Times New Roman"/>
                <w:kern w:val="0"/>
                <w:sz w:val="20"/>
                <w:szCs w:val="21"/>
              </w:rPr>
              <w:t>学生小组考勤以及实践导师反馈进行评分。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15E80416">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1022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71" w:type="dxa"/>
            <w:tcBorders>
              <w:top w:val="single" w:color="auto" w:sz="4" w:space="0"/>
              <w:left w:val="single" w:color="auto" w:sz="4" w:space="0"/>
              <w:bottom w:val="single" w:color="auto" w:sz="4" w:space="0"/>
              <w:right w:val="single" w:color="auto" w:sz="4" w:space="0"/>
            </w:tcBorders>
            <w:vAlign w:val="center"/>
          </w:tcPr>
          <w:p w14:paraId="49DEF4A7">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学校考察</w:t>
            </w:r>
          </w:p>
          <w:p w14:paraId="095C906D">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7109" w:type="dxa"/>
            <w:tcBorders>
              <w:top w:val="single" w:color="auto" w:sz="4" w:space="0"/>
              <w:left w:val="single" w:color="auto" w:sz="4" w:space="0"/>
              <w:bottom w:val="single" w:color="auto" w:sz="4" w:space="0"/>
              <w:right w:val="single" w:color="auto" w:sz="4" w:space="0"/>
            </w:tcBorders>
            <w:vAlign w:val="center"/>
          </w:tcPr>
          <w:p w14:paraId="3F1D57CD">
            <w:pPr>
              <w:snapToGrid w:val="0"/>
              <w:spacing w:line="276" w:lineRule="auto"/>
              <w:rPr>
                <w:rFonts w:hint="eastAsia" w:ascii="宋体" w:hAnsi="宋体" w:eastAsia="宋体" w:cs="Times New Roman"/>
                <w:kern w:val="0"/>
                <w:sz w:val="20"/>
                <w:szCs w:val="21"/>
              </w:rPr>
            </w:pPr>
            <w:r>
              <w:rPr>
                <w:rFonts w:hint="eastAsia" w:ascii="宋体" w:hAnsi="宋体" w:eastAsia="宋体" w:cs="Times New Roman"/>
                <w:kern w:val="0"/>
                <w:sz w:val="20"/>
                <w:szCs w:val="21"/>
              </w:rPr>
              <w:t>根据考察情况，结合实际认识与思考，撰写教育调查报告。</w:t>
            </w:r>
            <w:r>
              <w:rPr>
                <w:rFonts w:hint="eastAsia" w:ascii="Times New Roman" w:hAnsi="Times New Roman" w:eastAsia="宋体" w:cs="Times New Roman"/>
                <w:kern w:val="0"/>
                <w:sz w:val="20"/>
                <w:szCs w:val="21"/>
              </w:rPr>
              <w:t>题属于教育领域，问题意识清晰、方法设计可行，资料充实，内容撰写结构合理，形成明确的结论与观点。</w:t>
            </w:r>
            <w:r>
              <w:rPr>
                <w:rFonts w:hint="eastAsia" w:ascii="宋体" w:hAnsi="宋体" w:eastAsia="宋体" w:cs="Times New Roman"/>
                <w:kern w:val="0"/>
                <w:sz w:val="20"/>
                <w:szCs w:val="21"/>
              </w:rPr>
              <w:t>根据学生调查报告写作情况以及实践导师反馈进行评分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63BE21C5">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10%</w:t>
            </w:r>
          </w:p>
        </w:tc>
      </w:tr>
      <w:tr w14:paraId="2E4D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271" w:type="dxa"/>
            <w:tcBorders>
              <w:top w:val="single" w:color="auto" w:sz="4" w:space="0"/>
              <w:left w:val="single" w:color="auto" w:sz="4" w:space="0"/>
              <w:bottom w:val="single" w:color="auto" w:sz="4" w:space="0"/>
              <w:right w:val="single" w:color="auto" w:sz="4" w:space="0"/>
            </w:tcBorders>
            <w:vAlign w:val="center"/>
          </w:tcPr>
          <w:p w14:paraId="15EE7D87">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w:t>
            </w:r>
          </w:p>
          <w:p w14:paraId="79525EEF">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见习</w:t>
            </w:r>
          </w:p>
        </w:tc>
        <w:tc>
          <w:tcPr>
            <w:tcW w:w="7109" w:type="dxa"/>
            <w:tcBorders>
              <w:top w:val="single" w:color="auto" w:sz="4" w:space="0"/>
              <w:left w:val="single" w:color="auto" w:sz="4" w:space="0"/>
              <w:bottom w:val="single" w:color="auto" w:sz="4" w:space="0"/>
              <w:right w:val="single" w:color="auto" w:sz="4" w:space="0"/>
            </w:tcBorders>
            <w:vAlign w:val="center"/>
          </w:tcPr>
          <w:p w14:paraId="6810EE2F">
            <w:pPr>
              <w:adjustRightInd w:val="0"/>
              <w:snapToGrid w:val="0"/>
              <w:rPr>
                <w:rFonts w:ascii="Times New Roman" w:hAnsi="Times New Roman" w:eastAsia="宋体" w:cs="Times New Roman"/>
                <w:kern w:val="0"/>
                <w:sz w:val="20"/>
                <w:szCs w:val="21"/>
              </w:rPr>
            </w:pPr>
            <w:r>
              <w:rPr>
                <w:rFonts w:ascii="Times New Roman" w:hAnsi="Times New Roman" w:eastAsia="宋体" w:cs="Times New Roman"/>
                <w:kern w:val="0"/>
                <w:sz w:val="20"/>
                <w:szCs w:val="21"/>
              </w:rPr>
              <w:t>听课认真，记录完整，深入思考和总结教学，主动向实践导师请教教学方法与教学经验；教案设计要素完整、表述规范，具备可操作性；积极参与教研活动，主动拓宽学科知识范围。</w:t>
            </w:r>
            <w:r>
              <w:rPr>
                <w:rFonts w:hint="eastAsia" w:ascii="宋体" w:hAnsi="宋体" w:eastAsia="宋体" w:cs="Times New Roman"/>
                <w:kern w:val="0"/>
                <w:sz w:val="20"/>
                <w:szCs w:val="21"/>
              </w:rPr>
              <w:t>根据学生教案设计情况以及实践导师反馈进行评分。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6C8E688C">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15AF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71" w:type="dxa"/>
            <w:tcBorders>
              <w:top w:val="single" w:color="auto" w:sz="4" w:space="0"/>
              <w:left w:val="single" w:color="auto" w:sz="4" w:space="0"/>
              <w:bottom w:val="single" w:color="auto" w:sz="4" w:space="0"/>
              <w:right w:val="single" w:color="auto" w:sz="4" w:space="0"/>
            </w:tcBorders>
            <w:vAlign w:val="center"/>
          </w:tcPr>
          <w:p w14:paraId="775DF8B3">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班主任工作见习</w:t>
            </w:r>
          </w:p>
        </w:tc>
        <w:tc>
          <w:tcPr>
            <w:tcW w:w="7109" w:type="dxa"/>
            <w:tcBorders>
              <w:top w:val="single" w:color="auto" w:sz="4" w:space="0"/>
              <w:left w:val="single" w:color="auto" w:sz="4" w:space="0"/>
              <w:bottom w:val="single" w:color="auto" w:sz="4" w:space="0"/>
              <w:right w:val="single" w:color="auto" w:sz="4" w:space="0"/>
            </w:tcBorders>
            <w:vAlign w:val="center"/>
          </w:tcPr>
          <w:p w14:paraId="6B1AD712">
            <w:pP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熟悉小学班级管理事务，掌握小学生生活特点、心理特点；主动积累班级管理的经验，善于总结和反思教育管理案例。</w:t>
            </w:r>
            <w:r>
              <w:rPr>
                <w:rFonts w:hint="eastAsia" w:ascii="宋体" w:hAnsi="宋体" w:eastAsia="宋体" w:cs="Times New Roman"/>
                <w:kern w:val="0"/>
                <w:sz w:val="20"/>
                <w:szCs w:val="21"/>
              </w:rPr>
              <w:t>根据学生撰写情况以及实践导师反馈进行评分。</w:t>
            </w:r>
          </w:p>
        </w:tc>
        <w:tc>
          <w:tcPr>
            <w:tcW w:w="0" w:type="auto"/>
            <w:tcBorders>
              <w:top w:val="single" w:color="auto" w:sz="4" w:space="0"/>
              <w:left w:val="single" w:color="auto" w:sz="4" w:space="0"/>
              <w:bottom w:val="single" w:color="auto" w:sz="4" w:space="0"/>
              <w:right w:val="single" w:color="auto" w:sz="4" w:space="0"/>
            </w:tcBorders>
            <w:vAlign w:val="center"/>
          </w:tcPr>
          <w:p w14:paraId="7FB9CB0A">
            <w:pPr>
              <w:snapToGrid w:val="0"/>
              <w:spacing w:line="276" w:lineRule="auto"/>
              <w:rPr>
                <w:rFonts w:hint="eastAsia" w:ascii="宋体" w:hAnsi="宋体" w:eastAsia="宋体" w:cs="Times New Roman"/>
                <w:kern w:val="0"/>
                <w:sz w:val="20"/>
                <w:szCs w:val="21"/>
              </w:rPr>
            </w:pPr>
            <w:r>
              <w:rPr>
                <w:rFonts w:ascii="宋体" w:hAnsi="宋体" w:eastAsia="宋体" w:cs="Times New Roman"/>
                <w:kern w:val="0"/>
                <w:sz w:val="20"/>
                <w:szCs w:val="21"/>
              </w:rPr>
              <w:t>30%</w:t>
            </w:r>
          </w:p>
        </w:tc>
      </w:tr>
      <w:tr w14:paraId="12812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271" w:type="dxa"/>
            <w:tcBorders>
              <w:top w:val="single" w:color="auto" w:sz="4" w:space="0"/>
              <w:left w:val="single" w:color="auto" w:sz="4" w:space="0"/>
              <w:bottom w:val="single" w:color="auto" w:sz="4" w:space="0"/>
              <w:right w:val="single" w:color="auto" w:sz="4" w:space="0"/>
            </w:tcBorders>
            <w:vAlign w:val="center"/>
          </w:tcPr>
          <w:p w14:paraId="007A58F0">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7791" w:type="dxa"/>
            <w:gridSpan w:val="2"/>
            <w:tcBorders>
              <w:top w:val="single" w:color="auto" w:sz="4" w:space="0"/>
              <w:left w:val="single" w:color="auto" w:sz="4" w:space="0"/>
              <w:bottom w:val="single" w:color="auto" w:sz="4" w:space="0"/>
              <w:right w:val="single" w:color="auto" w:sz="4" w:space="0"/>
            </w:tcBorders>
            <w:vAlign w:val="center"/>
          </w:tcPr>
          <w:p w14:paraId="70B2B2C5">
            <w:pPr>
              <w:snapToGrid w:val="0"/>
              <w:spacing w:line="276"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w:t>
            </w:r>
            <w:r>
              <w:rPr>
                <w:rFonts w:ascii="宋体" w:hAnsi="宋体" w:eastAsia="宋体" w:cs="Times New Roman"/>
                <w:kern w:val="0"/>
                <w:sz w:val="20"/>
                <w:szCs w:val="21"/>
              </w:rPr>
              <w:t>00%</w:t>
            </w:r>
          </w:p>
        </w:tc>
      </w:tr>
    </w:tbl>
    <w:p w14:paraId="0026C076">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69B22078">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71947EDF">
      <w:pPr>
        <w:spacing w:line="360" w:lineRule="auto"/>
        <w:ind w:firstLine="411" w:firstLineChars="196"/>
        <w:jc w:val="left"/>
        <w:rPr>
          <w:rFonts w:ascii="Times New Roman" w:hAnsi="Times New Roman" w:eastAsia="宋体" w:cs="Times New Roman"/>
          <w:b/>
          <w:sz w:val="24"/>
        </w:rPr>
      </w:pPr>
      <w:r>
        <w:rPr>
          <w:rFonts w:ascii="宋体" w:hAnsi="宋体" w:eastAsia="宋体" w:cs="Times New Roman"/>
          <w:szCs w:val="21"/>
        </w:rPr>
        <w:object>
          <v:shape id="_x0000_i1083" o:spt="75" type="#_x0000_t75" style="height:25.5pt;width:404.65pt;" o:ole="t" filled="f" o:preferrelative="t" stroked="f" coordsize="21600,21600">
            <v:path/>
            <v:fill on="f" focussize="0,0"/>
            <v:stroke on="f" joinstyle="miter"/>
            <v:imagedata r:id="rId12" o:title=""/>
            <o:lock v:ext="edit" aspectratio="t"/>
            <w10:wrap type="none"/>
            <w10:anchorlock/>
          </v:shape>
          <o:OLEObject Type="Embed" ProgID="Equation.3" ShapeID="_x0000_i1083" DrawAspect="Content" ObjectID="_1468075783" r:id="rId71">
            <o:LockedField>false</o:LockedField>
          </o:OLEObject>
        </w:object>
      </w:r>
      <w:r>
        <w:rPr>
          <w:rFonts w:hint="eastAsia" w:ascii="Times New Roman" w:hAnsi="Times New Roman" w:eastAsia="宋体" w:cs="Times New Roman"/>
          <w:b/>
          <w:sz w:val="24"/>
        </w:rPr>
        <w:t>五、有关说明</w:t>
      </w:r>
    </w:p>
    <w:p w14:paraId="68D4331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2FB8B96C">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本课程根据学生见习情况、实践学校教师的反馈等，及时对教学见习中的不足之处进行改进，并在下一轮课程实施中整改完善，确保相应毕业要求指标点达成。</w:t>
      </w:r>
    </w:p>
    <w:p w14:paraId="5CAE2353">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1F8DFEBF">
      <w:pPr>
        <w:spacing w:line="360" w:lineRule="auto"/>
        <w:ind w:firstLine="525" w:firstLineChars="250"/>
        <w:jc w:val="left"/>
        <w:rPr>
          <w:rFonts w:ascii="Times New Roman" w:hAnsi="Times New Roman" w:eastAsia="宋体" w:cs="Times New Roman"/>
          <w:bCs/>
          <w:szCs w:val="21"/>
        </w:rPr>
      </w:pPr>
      <w:r>
        <w:rPr>
          <w:rFonts w:hint="eastAsia" w:ascii="Times New Roman" w:hAnsi="Times New Roman" w:eastAsia="宋体" w:cs="Times New Roman"/>
          <w:bCs/>
          <w:szCs w:val="21"/>
        </w:rPr>
        <w:t>教学见习手册（自编）</w:t>
      </w:r>
    </w:p>
    <w:p w14:paraId="2572A5D4">
      <w:pPr>
        <w:spacing w:line="360" w:lineRule="auto"/>
        <w:ind w:firstLine="527" w:firstLineChars="25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3A507196">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1.</w:t>
      </w:r>
      <w:r>
        <w:rPr>
          <w:rFonts w:hint="eastAsia" w:ascii="宋体" w:hAnsi="宋体" w:eastAsia="宋体" w:cs="Times New Roman"/>
          <w:sz w:val="24"/>
        </w:rPr>
        <w:t>义务教育小学语文/数学学科课程标准，最新版。</w:t>
      </w:r>
    </w:p>
    <w:p w14:paraId="3B224A7B">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部编版小学语文/数学各年级教材。</w:t>
      </w:r>
    </w:p>
    <w:p w14:paraId="2D9012FF">
      <w:pPr>
        <w:spacing w:line="360" w:lineRule="auto"/>
        <w:ind w:firstLine="480" w:firstLineChars="200"/>
        <w:rPr>
          <w:rFonts w:hint="eastAsia" w:ascii="宋体" w:hAnsi="宋体" w:eastAsia="宋体" w:cs="Times New Roman"/>
          <w:sz w:val="24"/>
        </w:rPr>
      </w:pPr>
      <w:r>
        <w:rPr>
          <w:rFonts w:ascii="宋体" w:hAnsi="宋体" w:eastAsia="宋体" w:cs="Times New Roman"/>
          <w:sz w:val="24"/>
        </w:rPr>
        <w:t>3.</w:t>
      </w:r>
      <w:r>
        <w:rPr>
          <w:rFonts w:hint="eastAsia" w:ascii="宋体" w:hAnsi="宋体" w:eastAsia="宋体" w:cs="Times New Roman"/>
          <w:sz w:val="24"/>
        </w:rPr>
        <w:t>陈文涛、刘霄主编：《教育实习的实践与创新》，河南大学出版社，</w:t>
      </w:r>
      <w:r>
        <w:rPr>
          <w:rFonts w:ascii="宋体" w:hAnsi="宋体" w:eastAsia="宋体" w:cs="Times New Roman"/>
          <w:sz w:val="24"/>
        </w:rPr>
        <w:t>2015</w:t>
      </w:r>
    </w:p>
    <w:p w14:paraId="0B3590F7">
      <w:pPr>
        <w:spacing w:line="360" w:lineRule="auto"/>
        <w:rPr>
          <w:rFonts w:ascii="宋体" w:hAnsi="Times New Roman" w:eastAsia="宋体" w:cs="Times New Roman"/>
          <w:sz w:val="24"/>
        </w:rPr>
      </w:pPr>
      <w:r>
        <w:rPr>
          <w:rFonts w:ascii="宋体" w:hAnsi="宋体" w:eastAsia="宋体" w:cs="Times New Roman"/>
          <w:sz w:val="24"/>
        </w:rPr>
        <w:t xml:space="preserve">                                            </w:t>
      </w:r>
      <w:r>
        <w:rPr>
          <w:rFonts w:hint="eastAsia" w:ascii="宋体" w:hAnsi="宋体" w:eastAsia="宋体" w:cs="Times New Roman"/>
          <w:sz w:val="24"/>
        </w:rPr>
        <w:t>执笔人：王雅丽</w:t>
      </w:r>
      <w:r>
        <w:rPr>
          <w:rFonts w:ascii="宋体" w:hAnsi="Times New Roman" w:eastAsia="宋体" w:cs="Times New Roman"/>
          <w:sz w:val="24"/>
        </w:rPr>
        <w:t xml:space="preserve"> </w:t>
      </w:r>
    </w:p>
    <w:p w14:paraId="2106FC6B">
      <w:pPr>
        <w:spacing w:line="360" w:lineRule="auto"/>
        <w:rPr>
          <w:rFonts w:hint="eastAsia" w:ascii="宋体" w:hAnsi="宋体" w:eastAsia="宋体" w:cs="Times New Roman"/>
          <w:sz w:val="24"/>
        </w:rPr>
      </w:pPr>
      <w:r>
        <w:rPr>
          <w:rFonts w:ascii="宋体" w:hAnsi="宋体" w:eastAsia="宋体" w:cs="Times New Roman"/>
          <w:sz w:val="24"/>
        </w:rPr>
        <w:t xml:space="preserve">                                            </w:t>
      </w:r>
      <w:r>
        <w:rPr>
          <w:rFonts w:hint="eastAsia" w:ascii="宋体" w:hAnsi="宋体" w:eastAsia="宋体" w:cs="Times New Roman"/>
          <w:sz w:val="24"/>
        </w:rPr>
        <w:t>审定人：王  健</w:t>
      </w:r>
    </w:p>
    <w:p w14:paraId="240E608D">
      <w:pPr>
        <w:spacing w:line="360" w:lineRule="auto"/>
        <w:rPr>
          <w:rFonts w:ascii="宋体" w:hAnsi="Times New Roman" w:eastAsia="宋体" w:cs="Times New Roman"/>
          <w:sz w:val="24"/>
        </w:rPr>
      </w:pPr>
      <w:r>
        <w:rPr>
          <w:rFonts w:ascii="宋体" w:hAnsi="宋体" w:eastAsia="宋体" w:cs="Times New Roman"/>
          <w:sz w:val="24"/>
        </w:rPr>
        <w:t xml:space="preserve">                                            </w:t>
      </w:r>
      <w:r>
        <w:rPr>
          <w:rFonts w:hint="eastAsia" w:ascii="宋体" w:hAnsi="宋体" w:eastAsia="宋体" w:cs="Times New Roman"/>
          <w:sz w:val="24"/>
        </w:rPr>
        <w:t>审批人：张志欣</w:t>
      </w:r>
    </w:p>
    <w:p w14:paraId="569AC63B">
      <w:pPr>
        <w:spacing w:line="360" w:lineRule="auto"/>
        <w:rPr>
          <w:rFonts w:hint="eastAsia" w:ascii="宋体" w:hAnsi="宋体" w:eastAsia="宋体" w:cs="Times New Roman"/>
          <w:sz w:val="24"/>
        </w:rPr>
      </w:pPr>
      <w:r>
        <w:rPr>
          <w:rFonts w:ascii="宋体" w:hAnsi="宋体" w:eastAsia="宋体" w:cs="Times New Roman"/>
          <w:sz w:val="24"/>
        </w:rPr>
        <w:t xml:space="preserve">                                            </w:t>
      </w:r>
      <w:r>
        <w:rPr>
          <w:rFonts w:hint="eastAsia" w:ascii="宋体" w:hAnsi="宋体" w:eastAsia="宋体" w:cs="Times New Roman"/>
          <w:sz w:val="24"/>
        </w:rPr>
        <w:t>批准时间：2025年7月1日</w:t>
      </w:r>
    </w:p>
    <w:p w14:paraId="0AB3AA71">
      <w:pPr>
        <w:rPr>
          <w:rFonts w:hint="eastAsia" w:ascii="宋体" w:hAnsi="宋体" w:eastAsia="宋体" w:cs="Times New Roman"/>
          <w:b/>
          <w:bCs/>
          <w:sz w:val="30"/>
        </w:rPr>
      </w:pPr>
      <w:r>
        <w:rPr>
          <w:rFonts w:hint="eastAsia" w:ascii="宋体" w:hAnsi="宋体" w:eastAsia="宋体" w:cs="Times New Roman"/>
          <w:b/>
          <w:bCs/>
          <w:sz w:val="30"/>
        </w:rPr>
        <w:br w:type="page"/>
      </w:r>
    </w:p>
    <w:bookmarkEnd w:id="1997"/>
    <w:p w14:paraId="299E5ED5">
      <w:pPr>
        <w:spacing w:line="360" w:lineRule="auto"/>
        <w:jc w:val="center"/>
        <w:outlineLvl w:val="0"/>
        <w:rPr>
          <w:rFonts w:ascii="Times New Roman" w:hAnsi="Times New Roman" w:eastAsia="宋体" w:cs="Times New Roman"/>
          <w:b/>
          <w:sz w:val="44"/>
          <w:szCs w:val="44"/>
        </w:rPr>
      </w:pPr>
      <w:bookmarkStart w:id="2005" w:name="_Toc10722"/>
      <w:bookmarkStart w:id="2006" w:name="_Toc18163"/>
      <w:bookmarkStart w:id="2007" w:name="_Toc2600"/>
      <w:bookmarkStart w:id="2008" w:name="_Toc8057"/>
      <w:r>
        <w:rPr>
          <w:rFonts w:hint="eastAsia" w:ascii="Times New Roman" w:hAnsi="Times New Roman" w:eastAsia="宋体" w:cs="Times New Roman"/>
          <w:b/>
          <w:sz w:val="44"/>
          <w:szCs w:val="44"/>
        </w:rPr>
        <w:t>《教学实训》课程教学大纲</w:t>
      </w:r>
      <w:bookmarkEnd w:id="2005"/>
      <w:bookmarkEnd w:id="2006"/>
      <w:bookmarkEnd w:id="2007"/>
      <w:bookmarkEnd w:id="2008"/>
    </w:p>
    <w:p w14:paraId="3BA8EA8B">
      <w:pPr>
        <w:spacing w:line="360" w:lineRule="auto"/>
        <w:jc w:val="center"/>
        <w:rPr>
          <w:rFonts w:ascii="Times New Roman" w:hAnsi="Times New Roman" w:eastAsia="宋体" w:cs="Times New Roman"/>
          <w:b/>
          <w:bCs/>
          <w:sz w:val="28"/>
          <w:szCs w:val="28"/>
        </w:rPr>
      </w:pPr>
      <w:bookmarkStart w:id="2009" w:name="_Toc18647"/>
      <w:bookmarkStart w:id="2010" w:name="_Toc30143"/>
      <w:bookmarkStart w:id="2011" w:name="_Toc27768"/>
      <w:bookmarkStart w:id="2012" w:name="_Toc28227"/>
      <w:bookmarkStart w:id="2013" w:name="_Toc15280"/>
      <w:bookmarkStart w:id="2014" w:name="_Toc5381"/>
      <w:bookmarkStart w:id="2015" w:name="_Toc29158"/>
      <w:r>
        <w:rPr>
          <w:rFonts w:ascii="Times New Roman" w:hAnsi="Times New Roman" w:eastAsia="宋体" w:cs="Times New Roman"/>
          <w:b/>
          <w:bCs/>
          <w:sz w:val="28"/>
          <w:szCs w:val="28"/>
        </w:rPr>
        <w:t>（Teaching Practice）</w:t>
      </w:r>
      <w:bookmarkEnd w:id="2009"/>
      <w:bookmarkEnd w:id="2010"/>
      <w:bookmarkEnd w:id="2011"/>
      <w:bookmarkEnd w:id="2012"/>
      <w:bookmarkEnd w:id="2013"/>
      <w:bookmarkEnd w:id="2014"/>
      <w:bookmarkEnd w:id="2015"/>
    </w:p>
    <w:p w14:paraId="5A3AB62E">
      <w:pPr>
        <w:spacing w:line="360" w:lineRule="auto"/>
        <w:jc w:val="center"/>
        <w:rPr>
          <w:rFonts w:ascii="Times New Roman" w:hAnsi="Times New Roman" w:eastAsia="宋体" w:cs="Times New Roman"/>
          <w:bCs/>
          <w:sz w:val="30"/>
          <w:szCs w:val="30"/>
        </w:rPr>
      </w:pPr>
    </w:p>
    <w:p w14:paraId="196BDAD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课程名称：教学实训</w:t>
      </w:r>
    </w:p>
    <w:p w14:paraId="59B6C1DE">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w:t>
      </w:r>
      <w:r>
        <w:rPr>
          <w:rFonts w:ascii="Times New Roman" w:hAnsi="Times New Roman" w:eastAsia="宋体" w:cs="Times New Roman"/>
          <w:b/>
          <w:sz w:val="24"/>
        </w:rPr>
        <w:t>2401067</w:t>
      </w:r>
    </w:p>
    <w:p w14:paraId="53384D18">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分：1</w:t>
      </w:r>
      <w:r>
        <w:rPr>
          <w:rFonts w:hint="eastAsia" w:ascii="Times New Roman" w:hAnsi="Times New Roman" w:eastAsia="宋体" w:cs="Times New Roman"/>
          <w:b/>
          <w:sz w:val="24"/>
        </w:rPr>
        <w:t>（不计入总学分）</w:t>
      </w:r>
    </w:p>
    <w:p w14:paraId="31F27DB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w:t>
      </w:r>
      <w:r>
        <w:rPr>
          <w:rFonts w:ascii="Times New Roman" w:hAnsi="Times New Roman" w:eastAsia="宋体" w:cs="Times New Roman"/>
          <w:b/>
          <w:sz w:val="24"/>
        </w:rPr>
        <w:t xml:space="preserve">    时：2</w:t>
      </w:r>
      <w:r>
        <w:rPr>
          <w:rFonts w:hint="eastAsia" w:ascii="Times New Roman" w:hAnsi="Times New Roman" w:eastAsia="宋体" w:cs="Times New Roman"/>
          <w:b/>
          <w:sz w:val="24"/>
        </w:rPr>
        <w:t>周</w:t>
      </w:r>
    </w:p>
    <w:p w14:paraId="3ECCBF53">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先修课程：无</w:t>
      </w:r>
    </w:p>
    <w:p w14:paraId="4FD4ACB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2CF1DE77">
      <w:pPr>
        <w:spacing w:before="62" w:beforeLines="20" w:after="62" w:afterLines="20" w:line="360" w:lineRule="auto"/>
        <w:jc w:val="left"/>
        <w:rPr>
          <w:rFonts w:ascii="Times New Roman" w:hAnsi="Times New Roman" w:eastAsia="宋体" w:cs="Times New Roman"/>
          <w:b/>
          <w:sz w:val="24"/>
        </w:rPr>
      </w:pPr>
      <w:bookmarkStart w:id="2016" w:name="_Toc18416"/>
      <w:bookmarkStart w:id="2017" w:name="_Toc3361"/>
      <w:bookmarkStart w:id="2018" w:name="_Toc12008"/>
      <w:bookmarkStart w:id="2019" w:name="_Toc25368"/>
      <w:bookmarkStart w:id="2020" w:name="_Toc21585"/>
      <w:bookmarkStart w:id="2021" w:name="_Toc19816"/>
      <w:bookmarkStart w:id="2022" w:name="_Toc4051"/>
      <w:r>
        <w:rPr>
          <w:rFonts w:hint="eastAsia" w:ascii="Times New Roman" w:hAnsi="Times New Roman" w:eastAsia="宋体" w:cs="Times New Roman"/>
          <w:b/>
          <w:sz w:val="24"/>
        </w:rPr>
        <w:t>一、课程简介</w:t>
      </w:r>
      <w:bookmarkEnd w:id="2016"/>
      <w:bookmarkEnd w:id="2017"/>
      <w:bookmarkEnd w:id="2018"/>
      <w:bookmarkEnd w:id="2019"/>
      <w:bookmarkEnd w:id="2020"/>
      <w:bookmarkEnd w:id="2021"/>
      <w:bookmarkEnd w:id="2022"/>
    </w:p>
    <w:p w14:paraId="55F03EB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教学实训是小学教育专业的实践性教学课程。本课程旨在使学生在学习了相关教育理论和学科知识的基础上，掌握小学课堂教学的一般流程和基本技能，具备较强的课堂教学能力，为将来从事小学教学工作做好准备。</w:t>
      </w:r>
    </w:p>
    <w:p w14:paraId="7CA3CBBF">
      <w:pPr>
        <w:spacing w:before="62" w:beforeLines="20" w:after="62" w:afterLines="20" w:line="360" w:lineRule="auto"/>
        <w:jc w:val="left"/>
        <w:rPr>
          <w:rFonts w:ascii="Times New Roman" w:hAnsi="Times New Roman" w:eastAsia="宋体" w:cs="Times New Roman"/>
          <w:b/>
          <w:sz w:val="24"/>
        </w:rPr>
      </w:pPr>
      <w:bookmarkStart w:id="2023" w:name="_Toc8568"/>
      <w:bookmarkStart w:id="2024" w:name="_Toc11917"/>
      <w:bookmarkStart w:id="2025" w:name="_Toc14101"/>
      <w:bookmarkStart w:id="2026" w:name="_Toc14601"/>
      <w:bookmarkStart w:id="2027" w:name="_Toc28613"/>
      <w:bookmarkStart w:id="2028" w:name="_Toc22517"/>
      <w:bookmarkStart w:id="2029" w:name="_Toc24766"/>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2023"/>
      <w:bookmarkEnd w:id="2024"/>
      <w:bookmarkEnd w:id="2025"/>
      <w:bookmarkEnd w:id="2026"/>
      <w:bookmarkEnd w:id="2027"/>
      <w:bookmarkEnd w:id="2028"/>
      <w:bookmarkEnd w:id="2029"/>
    </w:p>
    <w:p w14:paraId="32CC5E97">
      <w:pPr>
        <w:spacing w:line="360" w:lineRule="auto"/>
        <w:ind w:firstLine="422" w:firstLineChars="200"/>
        <w:outlineLvl w:val="1"/>
        <w:rPr>
          <w:rFonts w:hint="eastAsia" w:ascii="宋体" w:hAnsi="宋体" w:eastAsia="宋体" w:cs="Times New Roman"/>
          <w:b/>
          <w:szCs w:val="21"/>
        </w:rPr>
      </w:pPr>
      <w:bookmarkStart w:id="2030" w:name="_Toc10048"/>
      <w:r>
        <w:rPr>
          <w:rFonts w:hint="eastAsia" w:ascii="宋体" w:hAnsi="宋体" w:eastAsia="宋体" w:cs="Times New Roman"/>
          <w:b/>
          <w:szCs w:val="21"/>
        </w:rPr>
        <w:t>（一）课程具体目标</w:t>
      </w:r>
      <w:bookmarkEnd w:id="2030"/>
    </w:p>
    <w:p w14:paraId="6555989A">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1.具备依据课程标准理念进行教学设计的能力，能够独立完成教学方案和说课稿</w:t>
      </w:r>
      <w:r>
        <w:rPr>
          <w:rFonts w:hint="eastAsia" w:ascii="Times New Roman" w:hAnsi="Times New Roman" w:eastAsia="宋体" w:cs="Times New Roman"/>
          <w:szCs w:val="21"/>
        </w:rPr>
        <w:t>的撰写</w:t>
      </w:r>
      <w:r>
        <w:rPr>
          <w:rFonts w:ascii="Times New Roman" w:hAnsi="Times New Roman" w:eastAsia="宋体" w:cs="Times New Roman"/>
          <w:szCs w:val="21"/>
        </w:rPr>
        <w:t>。</w:t>
      </w:r>
    </w:p>
    <w:p w14:paraId="1FCC2C4E">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2.能够依据说课稿和教学方案进行说课和课堂教学，基本掌握说课与课堂教学的基本流程，形成基本的说课与课堂教学技能。</w:t>
      </w:r>
    </w:p>
    <w:p w14:paraId="76CC7670">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目标</w:t>
      </w:r>
      <w:r>
        <w:rPr>
          <w:rFonts w:ascii="Times New Roman" w:hAnsi="Times New Roman" w:eastAsia="宋体" w:cs="Times New Roman"/>
          <w:szCs w:val="21"/>
        </w:rPr>
        <w:t>3.能对自己的说课与课堂教学进行正确的评价</w:t>
      </w:r>
      <w:r>
        <w:rPr>
          <w:rFonts w:hint="eastAsia" w:ascii="Times New Roman" w:hAnsi="Times New Roman" w:eastAsia="宋体" w:cs="Times New Roman"/>
          <w:szCs w:val="21"/>
        </w:rPr>
        <w:t>，</w:t>
      </w:r>
      <w:r>
        <w:rPr>
          <w:rFonts w:ascii="Times New Roman" w:hAnsi="Times New Roman" w:eastAsia="宋体" w:cs="Times New Roman"/>
          <w:szCs w:val="21"/>
        </w:rPr>
        <w:t>并作出相应的</w:t>
      </w:r>
      <w:r>
        <w:rPr>
          <w:rFonts w:hint="eastAsia" w:ascii="Times New Roman" w:hAnsi="Times New Roman" w:eastAsia="宋体" w:cs="Times New Roman"/>
          <w:szCs w:val="21"/>
        </w:rPr>
        <w:t>反思和</w:t>
      </w:r>
      <w:r>
        <w:rPr>
          <w:rFonts w:ascii="Times New Roman" w:hAnsi="Times New Roman" w:eastAsia="宋体" w:cs="Times New Roman"/>
          <w:szCs w:val="21"/>
        </w:rPr>
        <w:t>改进，以提升自己的教学能力。</w:t>
      </w:r>
    </w:p>
    <w:p w14:paraId="1CE8992E">
      <w:pPr>
        <w:spacing w:before="156" w:beforeLines="50" w:after="156" w:afterLines="50" w:line="360" w:lineRule="auto"/>
        <w:ind w:firstLine="422" w:firstLineChars="200"/>
        <w:jc w:val="left"/>
        <w:outlineLvl w:val="1"/>
        <w:rPr>
          <w:rFonts w:ascii="Times New Roman" w:hAnsi="Times New Roman" w:eastAsia="宋体" w:cs="Times New Roman"/>
          <w:b/>
          <w:bCs/>
          <w:szCs w:val="21"/>
        </w:rPr>
      </w:pPr>
      <w:bookmarkStart w:id="2031" w:name="_Toc22728"/>
      <w:r>
        <w:rPr>
          <w:rFonts w:hint="eastAsia" w:ascii="Times New Roman" w:hAnsi="Times New Roman" w:eastAsia="宋体" w:cs="Times New Roman"/>
          <w:b/>
          <w:bCs/>
          <w:szCs w:val="21"/>
        </w:rPr>
        <w:t>（二）课程目标及其对毕业要求指标点的支撑</w:t>
      </w:r>
      <w:bookmarkEnd w:id="2031"/>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6237"/>
        <w:gridCol w:w="1327"/>
      </w:tblGrid>
      <w:tr w14:paraId="46F0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2249422B">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w:t>
            </w:r>
          </w:p>
        </w:tc>
        <w:tc>
          <w:tcPr>
            <w:tcW w:w="6237" w:type="dxa"/>
            <w:vAlign w:val="center"/>
          </w:tcPr>
          <w:p w14:paraId="6F7C37E5">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毕业要求指标点</w:t>
            </w:r>
          </w:p>
        </w:tc>
        <w:tc>
          <w:tcPr>
            <w:tcW w:w="1327" w:type="dxa"/>
            <w:vAlign w:val="center"/>
          </w:tcPr>
          <w:p w14:paraId="0B7948F3">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课程目标</w:t>
            </w:r>
          </w:p>
        </w:tc>
      </w:tr>
      <w:tr w14:paraId="26A8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vAlign w:val="center"/>
          </w:tcPr>
          <w:p w14:paraId="0D2EF214">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4：教学能力</w:t>
            </w:r>
          </w:p>
        </w:tc>
        <w:tc>
          <w:tcPr>
            <w:tcW w:w="6237" w:type="dxa"/>
            <w:vAlign w:val="center"/>
          </w:tcPr>
          <w:p w14:paraId="5D09A222">
            <w:pPr>
              <w:spacing w:line="276" w:lineRule="auto"/>
              <w:jc w:val="left"/>
              <w:rPr>
                <w:rFonts w:hint="eastAsia" w:ascii="宋体" w:hAnsi="宋体" w:eastAsia="宋体" w:cs="Times New Roman"/>
                <w:spacing w:val="2"/>
                <w:kern w:val="0"/>
                <w:szCs w:val="21"/>
              </w:rPr>
            </w:pPr>
            <w:r>
              <w:rPr>
                <w:rFonts w:hint="eastAsia" w:ascii="宋体" w:hAnsi="宋体" w:cs="宋体"/>
                <w:b/>
                <w:sz w:val="20"/>
                <w:szCs w:val="20"/>
              </w:rPr>
              <w:t>指标点4-2</w:t>
            </w:r>
            <w:r>
              <w:rPr>
                <w:rFonts w:hint="eastAsia" w:ascii="宋体" w:hAnsi="宋体" w:cs="宋体"/>
                <w:sz w:val="20"/>
                <w:szCs w:val="20"/>
              </w:rPr>
              <w:t>：</w:t>
            </w:r>
            <w:r>
              <w:rPr>
                <w:rFonts w:hint="eastAsia"/>
                <w:sz w:val="20"/>
                <w:szCs w:val="20"/>
              </w:rPr>
              <w:t>【教学设计恰当】</w:t>
            </w:r>
            <w:r>
              <w:rPr>
                <w:rFonts w:hint="eastAsia" w:ascii="宋体" w:hAnsi="宋体" w:cs="宋体"/>
                <w:sz w:val="20"/>
                <w:szCs w:val="20"/>
              </w:rPr>
              <w:t>能针对小学生已有的知识水平、学习经验和兴趣特点，依据课标确定恰当的学习目标和学习重点，设计学习活动。</w:t>
            </w:r>
            <w:r>
              <w:rPr>
                <w:rFonts w:hint="eastAsia"/>
                <w:sz w:val="20"/>
                <w:szCs w:val="20"/>
              </w:rPr>
              <w:t>能依据单元内容进行整体设计，科学合理地依据教学目标及内容设计作业。</w:t>
            </w:r>
          </w:p>
        </w:tc>
        <w:tc>
          <w:tcPr>
            <w:tcW w:w="1327" w:type="dxa"/>
            <w:vAlign w:val="center"/>
          </w:tcPr>
          <w:p w14:paraId="559DED62">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1</w:t>
            </w:r>
          </w:p>
        </w:tc>
      </w:tr>
      <w:tr w14:paraId="05A9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vAlign w:val="center"/>
          </w:tcPr>
          <w:p w14:paraId="2FE249E9">
            <w:pPr>
              <w:spacing w:line="276" w:lineRule="auto"/>
              <w:jc w:val="center"/>
              <w:rPr>
                <w:rFonts w:ascii="Times New Roman" w:hAnsi="Times New Roman" w:eastAsia="宋体" w:cs="Times New Roman"/>
                <w:szCs w:val="21"/>
              </w:rPr>
            </w:pPr>
          </w:p>
        </w:tc>
        <w:tc>
          <w:tcPr>
            <w:tcW w:w="6237" w:type="dxa"/>
            <w:vAlign w:val="center"/>
          </w:tcPr>
          <w:p w14:paraId="173A4A63">
            <w:pPr>
              <w:spacing w:line="276" w:lineRule="auto"/>
              <w:jc w:val="left"/>
              <w:rPr>
                <w:rFonts w:hint="eastAsia" w:ascii="宋体" w:hAnsi="宋体" w:eastAsia="宋体" w:cs="Times New Roman"/>
                <w:spacing w:val="2"/>
                <w:kern w:val="0"/>
                <w:szCs w:val="21"/>
              </w:rPr>
            </w:pPr>
            <w:r>
              <w:rPr>
                <w:rFonts w:hint="eastAsia" w:ascii="宋体" w:hAnsi="宋体" w:eastAsia="宋体" w:cs="Times New Roman"/>
                <w:b/>
                <w:spacing w:val="2"/>
                <w:kern w:val="0"/>
                <w:szCs w:val="21"/>
              </w:rPr>
              <w:t>指标点4-3</w:t>
            </w:r>
            <w:r>
              <w:rPr>
                <w:rFonts w:hint="eastAsia" w:ascii="宋体" w:hAnsi="宋体" w:eastAsia="宋体" w:cs="Times New Roman"/>
                <w:spacing w:val="2"/>
                <w:kern w:val="0"/>
                <w:szCs w:val="21"/>
              </w:rPr>
              <w:t>：【教学实施与评价科学】掌握小学教师基本功技能，包括书写技能、沟通与表达技能、信息技术运用技能等。获得全面的小学教学体验，掌握学科教学的基本方法与策略，能独立进行教学实施和评价。</w:t>
            </w:r>
          </w:p>
        </w:tc>
        <w:tc>
          <w:tcPr>
            <w:tcW w:w="1327" w:type="dxa"/>
            <w:vAlign w:val="center"/>
          </w:tcPr>
          <w:p w14:paraId="32446A2B">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2</w:t>
            </w:r>
          </w:p>
        </w:tc>
      </w:tr>
      <w:tr w14:paraId="0E9DF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14:paraId="5C814D74">
            <w:pPr>
              <w:spacing w:line="276" w:lineRule="auto"/>
              <w:jc w:val="center"/>
              <w:rPr>
                <w:rFonts w:ascii="Times New Roman" w:hAnsi="Times New Roman" w:eastAsia="宋体" w:cs="Times New Roman"/>
                <w:szCs w:val="21"/>
              </w:rPr>
            </w:pPr>
            <w:r>
              <w:rPr>
                <w:rFonts w:hint="eastAsia" w:ascii="Times New Roman" w:hAnsi="Times New Roman" w:eastAsia="宋体" w:cs="Times New Roman"/>
                <w:szCs w:val="21"/>
              </w:rPr>
              <w:t>毕业要求</w:t>
            </w:r>
            <w:r>
              <w:rPr>
                <w:rFonts w:ascii="Times New Roman" w:hAnsi="Times New Roman" w:eastAsia="宋体" w:cs="Times New Roman"/>
                <w:szCs w:val="21"/>
              </w:rPr>
              <w:t>7</w:t>
            </w:r>
            <w:r>
              <w:rPr>
                <w:rFonts w:hint="eastAsia" w:ascii="Times New Roman" w:hAnsi="Times New Roman" w:eastAsia="宋体" w:cs="Times New Roman"/>
                <w:szCs w:val="21"/>
              </w:rPr>
              <w:t>：</w:t>
            </w:r>
            <w:r>
              <w:rPr>
                <w:rFonts w:ascii="Times New Roman" w:hAnsi="Times New Roman" w:eastAsia="宋体" w:cs="Times New Roman"/>
                <w:szCs w:val="21"/>
              </w:rPr>
              <w:t>学会反思</w:t>
            </w:r>
          </w:p>
        </w:tc>
        <w:tc>
          <w:tcPr>
            <w:tcW w:w="6237" w:type="dxa"/>
            <w:vAlign w:val="center"/>
          </w:tcPr>
          <w:p w14:paraId="6785495C">
            <w:pPr>
              <w:spacing w:line="276" w:lineRule="auto"/>
              <w:jc w:val="left"/>
              <w:rPr>
                <w:rFonts w:ascii="Times New Roman" w:hAnsi="Times New Roman" w:eastAsia="宋体" w:cs="Times New Roman"/>
                <w:szCs w:val="21"/>
              </w:rPr>
            </w:pPr>
            <w:r>
              <w:rPr>
                <w:rFonts w:hint="eastAsia" w:ascii="宋体" w:hAnsi="宋体" w:eastAsia="宋体" w:cs="Times New Roman"/>
                <w:b/>
                <w:spacing w:val="2"/>
                <w:kern w:val="0"/>
                <w:szCs w:val="21"/>
              </w:rPr>
              <w:t>指标点7-3</w:t>
            </w:r>
            <w:r>
              <w:rPr>
                <w:rFonts w:ascii="宋体" w:hAnsi="宋体" w:eastAsia="宋体" w:cs="Times New Roman"/>
                <w:spacing w:val="2"/>
                <w:kern w:val="0"/>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327" w:type="dxa"/>
            <w:vAlign w:val="center"/>
          </w:tcPr>
          <w:p w14:paraId="7F5C2FAD">
            <w:pPr>
              <w:spacing w:line="276" w:lineRule="auto"/>
              <w:jc w:val="left"/>
              <w:rPr>
                <w:rFonts w:ascii="Times New Roman" w:hAnsi="Times New Roman" w:eastAsia="宋体" w:cs="Times New Roman"/>
                <w:szCs w:val="21"/>
              </w:rPr>
            </w:pPr>
            <w:r>
              <w:rPr>
                <w:rFonts w:hint="eastAsia" w:ascii="Times New Roman" w:hAnsi="Times New Roman" w:eastAsia="宋体" w:cs="Times New Roman"/>
                <w:szCs w:val="21"/>
              </w:rPr>
              <w:t>课程目标</w:t>
            </w:r>
            <w:r>
              <w:rPr>
                <w:rFonts w:ascii="Times New Roman" w:hAnsi="Times New Roman" w:eastAsia="宋体" w:cs="Times New Roman"/>
                <w:szCs w:val="21"/>
              </w:rPr>
              <w:t>3</w:t>
            </w:r>
          </w:p>
        </w:tc>
      </w:tr>
    </w:tbl>
    <w:p w14:paraId="5D2193BA">
      <w:pPr>
        <w:spacing w:before="156" w:beforeLines="50" w:line="360" w:lineRule="auto"/>
        <w:ind w:firstLine="422" w:firstLineChars="200"/>
        <w:jc w:val="left"/>
        <w:outlineLvl w:val="1"/>
        <w:rPr>
          <w:rFonts w:hint="eastAsia" w:ascii="宋体" w:hAnsi="宋体" w:eastAsia="宋体" w:cs="Times New Roman"/>
          <w:b/>
          <w:szCs w:val="21"/>
        </w:rPr>
      </w:pPr>
      <w:bookmarkStart w:id="2032" w:name="_Toc6583"/>
      <w:r>
        <w:rPr>
          <w:rFonts w:hint="eastAsia" w:ascii="宋体" w:hAnsi="宋体" w:eastAsia="宋体" w:cs="Times New Roman"/>
          <w:b/>
          <w:szCs w:val="21"/>
        </w:rPr>
        <w:t>（三）课程思政目标</w:t>
      </w:r>
      <w:bookmarkEnd w:id="2032"/>
    </w:p>
    <w:p w14:paraId="6C2D40DA">
      <w:pPr>
        <w:spacing w:line="360" w:lineRule="auto"/>
        <w:ind w:firstLine="420" w:firstLineChars="200"/>
        <w:jc w:val="left"/>
        <w:rPr>
          <w:rFonts w:hint="eastAsia" w:ascii="宋体" w:hAnsi="宋体" w:eastAsia="宋体" w:cs="Times New Roman"/>
          <w:szCs w:val="21"/>
        </w:rPr>
      </w:pPr>
      <w:r>
        <w:rPr>
          <w:rFonts w:ascii="宋体" w:hAnsi="宋体" w:eastAsia="宋体" w:cs="Times New Roman"/>
          <w:szCs w:val="21"/>
        </w:rPr>
        <w:t>巩固专业思想，树立正确</w:t>
      </w:r>
      <w:r>
        <w:rPr>
          <w:rFonts w:hint="eastAsia" w:ascii="宋体" w:hAnsi="宋体" w:eastAsia="宋体" w:cs="Times New Roman"/>
          <w:szCs w:val="21"/>
        </w:rPr>
        <w:t>的</w:t>
      </w:r>
      <w:r>
        <w:rPr>
          <w:rFonts w:ascii="宋体" w:hAnsi="宋体" w:eastAsia="宋体" w:cs="Times New Roman"/>
          <w:szCs w:val="21"/>
        </w:rPr>
        <w:t>教育</w:t>
      </w:r>
      <w:r>
        <w:rPr>
          <w:rFonts w:hint="eastAsia" w:ascii="宋体" w:hAnsi="宋体" w:eastAsia="宋体" w:cs="Times New Roman"/>
          <w:szCs w:val="21"/>
        </w:rPr>
        <w:t>理</w:t>
      </w:r>
      <w:r>
        <w:rPr>
          <w:rFonts w:ascii="宋体" w:hAnsi="宋体" w:eastAsia="宋体" w:cs="Times New Roman"/>
          <w:szCs w:val="21"/>
        </w:rPr>
        <w:t>念</w:t>
      </w:r>
      <w:r>
        <w:rPr>
          <w:rFonts w:hint="eastAsia" w:ascii="宋体" w:hAnsi="宋体" w:eastAsia="宋体" w:cs="Times New Roman"/>
          <w:szCs w:val="21"/>
        </w:rPr>
        <w:t>；增强</w:t>
      </w:r>
      <w:r>
        <w:rPr>
          <w:rFonts w:ascii="宋体" w:hAnsi="宋体" w:eastAsia="宋体" w:cs="Times New Roman"/>
          <w:szCs w:val="21"/>
        </w:rPr>
        <w:t>社会责任感</w:t>
      </w:r>
      <w:r>
        <w:rPr>
          <w:rFonts w:hint="eastAsia" w:ascii="宋体" w:hAnsi="宋体" w:eastAsia="宋体" w:cs="Times New Roman"/>
          <w:szCs w:val="21"/>
        </w:rPr>
        <w:t>和</w:t>
      </w:r>
      <w:r>
        <w:rPr>
          <w:rFonts w:ascii="宋体" w:hAnsi="宋体" w:eastAsia="宋体" w:cs="Times New Roman"/>
          <w:szCs w:val="21"/>
        </w:rPr>
        <w:t>教育情怀</w:t>
      </w:r>
      <w:r>
        <w:rPr>
          <w:rFonts w:hint="eastAsia" w:ascii="宋体" w:hAnsi="宋体" w:eastAsia="宋体" w:cs="Times New Roman"/>
          <w:szCs w:val="21"/>
        </w:rPr>
        <w:t>，养成虚心、严谨的学习态度，增强</w:t>
      </w:r>
      <w:r>
        <w:rPr>
          <w:rFonts w:ascii="宋体" w:hAnsi="宋体" w:eastAsia="宋体" w:cs="Times New Roman"/>
          <w:szCs w:val="21"/>
        </w:rPr>
        <w:t>团队</w:t>
      </w:r>
      <w:r>
        <w:rPr>
          <w:rFonts w:hint="eastAsia" w:ascii="宋体" w:hAnsi="宋体" w:eastAsia="宋体" w:cs="Times New Roman"/>
          <w:szCs w:val="21"/>
        </w:rPr>
        <w:t>合作意识；</w:t>
      </w:r>
      <w:r>
        <w:rPr>
          <w:rFonts w:ascii="宋体" w:hAnsi="宋体" w:eastAsia="宋体" w:cs="Times New Roman"/>
          <w:szCs w:val="21"/>
        </w:rPr>
        <w:t>形成学科育人的意识，</w:t>
      </w:r>
      <w:r>
        <w:rPr>
          <w:rFonts w:hint="eastAsia" w:ascii="宋体" w:hAnsi="宋体" w:eastAsia="宋体" w:cs="Times New Roman"/>
          <w:szCs w:val="21"/>
        </w:rPr>
        <w:t>初步</w:t>
      </w:r>
      <w:r>
        <w:rPr>
          <w:rFonts w:ascii="宋体" w:hAnsi="宋体" w:eastAsia="宋体" w:cs="Times New Roman"/>
          <w:szCs w:val="21"/>
        </w:rPr>
        <w:t>掌握学科育人的方法。</w:t>
      </w:r>
    </w:p>
    <w:p w14:paraId="1F1DD5D2">
      <w:pPr>
        <w:spacing w:line="360" w:lineRule="auto"/>
        <w:jc w:val="left"/>
        <w:rPr>
          <w:rFonts w:hint="eastAsia" w:ascii="宋体" w:hAnsi="宋体" w:eastAsia="宋体" w:cs="Times New Roman"/>
          <w:b/>
          <w:sz w:val="24"/>
        </w:rPr>
      </w:pPr>
      <w:bookmarkStart w:id="2033" w:name="_Toc29618"/>
      <w:bookmarkStart w:id="2034" w:name="_Toc8614"/>
      <w:bookmarkStart w:id="2035" w:name="_Toc12323"/>
      <w:bookmarkStart w:id="2036" w:name="_Toc32262"/>
      <w:bookmarkStart w:id="2037" w:name="_Toc2244"/>
      <w:bookmarkStart w:id="2038" w:name="_Toc16840"/>
      <w:bookmarkStart w:id="2039" w:name="_Toc587"/>
      <w:bookmarkStart w:id="2040" w:name="_Toc10405"/>
      <w:bookmarkStart w:id="2041" w:name="_Toc14621"/>
      <w:r>
        <w:rPr>
          <w:rFonts w:hint="eastAsia" w:ascii="宋体" w:hAnsi="宋体" w:eastAsia="宋体" w:cs="Times New Roman"/>
          <w:b/>
          <w:sz w:val="24"/>
        </w:rPr>
        <w:t>三、教学内容与预期学习成效</w:t>
      </w:r>
      <w:bookmarkEnd w:id="2033"/>
      <w:bookmarkEnd w:id="2034"/>
      <w:bookmarkEnd w:id="2035"/>
      <w:bookmarkEnd w:id="2036"/>
      <w:bookmarkEnd w:id="2037"/>
      <w:bookmarkEnd w:id="2038"/>
      <w:bookmarkEnd w:id="2039"/>
      <w:bookmarkEnd w:id="2040"/>
      <w:bookmarkEnd w:id="2041"/>
    </w:p>
    <w:tbl>
      <w:tblPr>
        <w:tblStyle w:val="12"/>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704"/>
        <w:gridCol w:w="1135"/>
        <w:gridCol w:w="3266"/>
        <w:gridCol w:w="1563"/>
        <w:gridCol w:w="442"/>
      </w:tblGrid>
      <w:tr w14:paraId="0CDD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06" w:type="dxa"/>
            <w:vAlign w:val="center"/>
          </w:tcPr>
          <w:p w14:paraId="56A09F0C">
            <w:pPr>
              <w:jc w:val="center"/>
              <w:rPr>
                <w:rFonts w:hint="eastAsia" w:ascii="宋体" w:hAnsi="宋体" w:eastAsia="宋体" w:cs="Times New Roman"/>
                <w:b/>
                <w:szCs w:val="21"/>
              </w:rPr>
            </w:pPr>
            <w:r>
              <w:rPr>
                <w:rFonts w:hint="eastAsia" w:ascii="宋体" w:hAnsi="宋体" w:eastAsia="宋体" w:cs="Times New Roman"/>
                <w:b/>
                <w:szCs w:val="21"/>
              </w:rPr>
              <w:t>知识</w:t>
            </w:r>
          </w:p>
          <w:p w14:paraId="6B026D51">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704" w:type="dxa"/>
            <w:vAlign w:val="center"/>
          </w:tcPr>
          <w:p w14:paraId="5728B416">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135" w:type="dxa"/>
            <w:vAlign w:val="center"/>
          </w:tcPr>
          <w:p w14:paraId="4F918CFA">
            <w:pPr>
              <w:jc w:val="center"/>
              <w:rPr>
                <w:rFonts w:hint="eastAsia" w:ascii="宋体" w:hAnsi="宋体" w:eastAsia="宋体" w:cs="Times New Roman"/>
                <w:b/>
                <w:szCs w:val="21"/>
              </w:rPr>
            </w:pPr>
            <w:r>
              <w:rPr>
                <w:rFonts w:hint="eastAsia" w:ascii="宋体" w:hAnsi="宋体" w:eastAsia="宋体" w:cs="Times New Roman"/>
                <w:b/>
                <w:szCs w:val="21"/>
              </w:rPr>
              <w:t>对应</w:t>
            </w:r>
          </w:p>
          <w:p w14:paraId="1DDA3C9F">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266" w:type="dxa"/>
            <w:vAlign w:val="center"/>
          </w:tcPr>
          <w:p w14:paraId="58546585">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63" w:type="dxa"/>
            <w:vAlign w:val="center"/>
          </w:tcPr>
          <w:p w14:paraId="38C77D47">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42" w:type="dxa"/>
            <w:vAlign w:val="center"/>
          </w:tcPr>
          <w:p w14:paraId="581DDE17">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237A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jc w:val="center"/>
        </w:trPr>
        <w:tc>
          <w:tcPr>
            <w:tcW w:w="1206" w:type="dxa"/>
            <w:vMerge w:val="restart"/>
            <w:vAlign w:val="center"/>
          </w:tcPr>
          <w:p w14:paraId="3A171489">
            <w:pPr>
              <w:jc w:val="center"/>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w:t>
            </w:r>
            <w:r>
              <w:rPr>
                <w:rFonts w:hint="eastAsia" w:ascii="等线" w:hAnsi="等线" w:eastAsia="等线" w:cs="Times New Roman"/>
                <w:szCs w:val="22"/>
              </w:rPr>
              <w:t xml:space="preserve"> </w:t>
            </w:r>
            <w:r>
              <w:rPr>
                <w:rFonts w:hint="eastAsia" w:ascii="宋体" w:hAnsi="宋体" w:eastAsia="宋体" w:cs="Times New Roman"/>
                <w:szCs w:val="21"/>
              </w:rPr>
              <w:t>教学设计实训</w:t>
            </w:r>
          </w:p>
        </w:tc>
        <w:tc>
          <w:tcPr>
            <w:tcW w:w="1704" w:type="dxa"/>
            <w:vAlign w:val="center"/>
          </w:tcPr>
          <w:p w14:paraId="227B95A7">
            <w:pPr>
              <w:jc w:val="left"/>
              <w:rPr>
                <w:rFonts w:hint="eastAsia" w:ascii="宋体" w:hAnsi="宋体" w:eastAsia="宋体" w:cs="Times New Roman"/>
                <w:szCs w:val="21"/>
              </w:rPr>
            </w:pPr>
            <w:r>
              <w:rPr>
                <w:rFonts w:hint="eastAsia" w:ascii="宋体" w:hAnsi="宋体" w:eastAsia="宋体" w:cs="Times New Roman"/>
                <w:szCs w:val="21"/>
              </w:rPr>
              <w:t>选择不少于</w:t>
            </w:r>
            <w:r>
              <w:rPr>
                <w:rFonts w:ascii="宋体" w:hAnsi="宋体" w:eastAsia="宋体" w:cs="Times New Roman"/>
                <w:szCs w:val="21"/>
              </w:rPr>
              <w:t>8个小学教学内容，在研读课程标准、认真钻研教材的基础上，进行教学设计。</w:t>
            </w:r>
          </w:p>
        </w:tc>
        <w:tc>
          <w:tcPr>
            <w:tcW w:w="1135" w:type="dxa"/>
            <w:vAlign w:val="center"/>
          </w:tcPr>
          <w:p w14:paraId="7A28DEE3">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6" w:type="dxa"/>
            <w:vAlign w:val="center"/>
          </w:tcPr>
          <w:p w14:paraId="0CFBA5A7">
            <w:pPr>
              <w:jc w:val="left"/>
              <w:rPr>
                <w:rFonts w:hint="eastAsia" w:ascii="宋体" w:hAnsi="宋体" w:eastAsia="宋体" w:cs="Times New Roman"/>
                <w:szCs w:val="21"/>
              </w:rPr>
            </w:pPr>
            <w:r>
              <w:rPr>
                <w:rFonts w:ascii="宋体" w:hAnsi="宋体" w:eastAsia="宋体" w:cs="Times New Roman"/>
                <w:szCs w:val="21"/>
              </w:rPr>
              <w:t>1.完成不少于3个说课稿。</w:t>
            </w:r>
          </w:p>
          <w:p w14:paraId="2D0E9C76">
            <w:pPr>
              <w:jc w:val="left"/>
              <w:rPr>
                <w:rFonts w:hint="eastAsia" w:ascii="宋体" w:hAnsi="宋体" w:eastAsia="宋体" w:cs="Times New Roman"/>
                <w:szCs w:val="21"/>
              </w:rPr>
            </w:pPr>
            <w:r>
              <w:rPr>
                <w:rFonts w:ascii="宋体" w:hAnsi="宋体" w:eastAsia="宋体" w:cs="Times New Roman"/>
                <w:szCs w:val="21"/>
              </w:rPr>
              <w:t>2.完成不少于8个教案。</w:t>
            </w:r>
          </w:p>
        </w:tc>
        <w:tc>
          <w:tcPr>
            <w:tcW w:w="1563" w:type="dxa"/>
            <w:vAlign w:val="center"/>
          </w:tcPr>
          <w:p w14:paraId="24951577">
            <w:pPr>
              <w:jc w:val="left"/>
              <w:rPr>
                <w:rFonts w:hint="eastAsia" w:ascii="宋体" w:hAnsi="宋体" w:eastAsia="宋体" w:cs="Times New Roman"/>
                <w:szCs w:val="21"/>
              </w:rPr>
            </w:pPr>
            <w:r>
              <w:rPr>
                <w:rFonts w:hint="eastAsia" w:ascii="宋体" w:hAnsi="宋体" w:eastAsia="宋体" w:cs="Times New Roman"/>
                <w:szCs w:val="21"/>
              </w:rPr>
              <w:t>1.集中训练</w:t>
            </w:r>
          </w:p>
          <w:p w14:paraId="06652B5C">
            <w:pPr>
              <w:jc w:val="left"/>
              <w:rPr>
                <w:rFonts w:hint="eastAsia" w:ascii="宋体" w:hAnsi="宋体" w:eastAsia="宋体" w:cs="Times New Roman"/>
                <w:szCs w:val="21"/>
              </w:rPr>
            </w:pPr>
            <w:r>
              <w:rPr>
                <w:rFonts w:hint="eastAsia" w:ascii="宋体" w:hAnsi="宋体" w:eastAsia="宋体" w:cs="Times New Roman"/>
                <w:szCs w:val="21"/>
              </w:rPr>
              <w:t>2.交流研讨</w:t>
            </w:r>
          </w:p>
          <w:p w14:paraId="723D1394">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42" w:type="dxa"/>
            <w:vAlign w:val="center"/>
          </w:tcPr>
          <w:p w14:paraId="2C250695">
            <w:pPr>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天</w:t>
            </w:r>
          </w:p>
        </w:tc>
      </w:tr>
      <w:tr w14:paraId="7BB4F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206" w:type="dxa"/>
            <w:vMerge w:val="continue"/>
            <w:vAlign w:val="center"/>
          </w:tcPr>
          <w:p w14:paraId="27A89075">
            <w:pPr>
              <w:jc w:val="center"/>
              <w:rPr>
                <w:rFonts w:hint="eastAsia" w:ascii="宋体" w:hAnsi="宋体" w:eastAsia="宋体" w:cs="Times New Roman"/>
                <w:szCs w:val="21"/>
              </w:rPr>
            </w:pPr>
          </w:p>
        </w:tc>
        <w:tc>
          <w:tcPr>
            <w:tcW w:w="8110" w:type="dxa"/>
            <w:gridSpan w:val="5"/>
            <w:vAlign w:val="center"/>
          </w:tcPr>
          <w:p w14:paraId="08BAA76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巩固专业思想，树立正确的教育理念，增强社会责任感和教育情怀，养成虚心、严谨的学习态度，形成学科育人的意识，初步掌握学科育人的方法。</w:t>
            </w:r>
          </w:p>
        </w:tc>
      </w:tr>
      <w:tr w14:paraId="6486E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206" w:type="dxa"/>
            <w:vMerge w:val="restart"/>
            <w:vAlign w:val="center"/>
          </w:tcPr>
          <w:p w14:paraId="699527EE">
            <w:pPr>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w:t>
            </w:r>
            <w:r>
              <w:rPr>
                <w:rFonts w:hint="eastAsia" w:ascii="等线" w:hAnsi="等线" w:eastAsia="等线" w:cs="Times New Roman"/>
                <w:szCs w:val="22"/>
              </w:rPr>
              <w:t xml:space="preserve"> </w:t>
            </w:r>
            <w:r>
              <w:rPr>
                <w:rFonts w:hint="eastAsia" w:ascii="宋体" w:hAnsi="宋体" w:eastAsia="宋体" w:cs="Times New Roman"/>
                <w:szCs w:val="21"/>
              </w:rPr>
              <w:t>说课实训</w:t>
            </w:r>
          </w:p>
        </w:tc>
        <w:tc>
          <w:tcPr>
            <w:tcW w:w="1704" w:type="dxa"/>
            <w:vAlign w:val="center"/>
          </w:tcPr>
          <w:p w14:paraId="1A29B9CB">
            <w:pPr>
              <w:jc w:val="left"/>
              <w:rPr>
                <w:rFonts w:hint="eastAsia" w:ascii="宋体" w:hAnsi="宋体" w:eastAsia="宋体" w:cs="Times New Roman"/>
                <w:szCs w:val="21"/>
              </w:rPr>
            </w:pPr>
            <w:r>
              <w:rPr>
                <w:rFonts w:hint="eastAsia" w:ascii="宋体" w:hAnsi="宋体" w:eastAsia="宋体" w:cs="Times New Roman"/>
                <w:szCs w:val="21"/>
              </w:rPr>
              <w:t>依据说课稿进行说课训练</w:t>
            </w:r>
          </w:p>
        </w:tc>
        <w:tc>
          <w:tcPr>
            <w:tcW w:w="1135" w:type="dxa"/>
            <w:vAlign w:val="center"/>
          </w:tcPr>
          <w:p w14:paraId="4DC95C8A">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6" w:type="dxa"/>
            <w:vAlign w:val="center"/>
          </w:tcPr>
          <w:p w14:paraId="40EFF206">
            <w:pPr>
              <w:jc w:val="left"/>
              <w:rPr>
                <w:rFonts w:hint="eastAsia" w:ascii="宋体" w:hAnsi="宋体" w:eastAsia="宋体" w:cs="Times New Roman"/>
                <w:szCs w:val="21"/>
              </w:rPr>
            </w:pPr>
            <w:r>
              <w:rPr>
                <w:rFonts w:hint="eastAsia" w:ascii="宋体" w:hAnsi="宋体" w:eastAsia="宋体" w:cs="Times New Roman"/>
                <w:szCs w:val="21"/>
              </w:rPr>
              <w:t>提交不少于</w:t>
            </w:r>
            <w:r>
              <w:rPr>
                <w:rFonts w:ascii="宋体" w:hAnsi="宋体" w:eastAsia="宋体" w:cs="Times New Roman"/>
                <w:szCs w:val="21"/>
              </w:rPr>
              <w:t>2个说课视频。</w:t>
            </w:r>
          </w:p>
        </w:tc>
        <w:tc>
          <w:tcPr>
            <w:tcW w:w="1563" w:type="dxa"/>
            <w:vAlign w:val="center"/>
          </w:tcPr>
          <w:p w14:paraId="5024AC7E">
            <w:pPr>
              <w:jc w:val="left"/>
              <w:rPr>
                <w:rFonts w:hint="eastAsia" w:ascii="宋体" w:hAnsi="宋体" w:eastAsia="宋体" w:cs="Times New Roman"/>
                <w:szCs w:val="21"/>
              </w:rPr>
            </w:pPr>
            <w:r>
              <w:rPr>
                <w:rFonts w:hint="eastAsia" w:ascii="宋体" w:hAnsi="宋体" w:eastAsia="宋体" w:cs="Times New Roman"/>
                <w:szCs w:val="21"/>
              </w:rPr>
              <w:t>1.集中训练</w:t>
            </w:r>
          </w:p>
          <w:p w14:paraId="29FA2F39">
            <w:pPr>
              <w:jc w:val="left"/>
              <w:rPr>
                <w:rFonts w:hint="eastAsia" w:ascii="宋体" w:hAnsi="宋体" w:eastAsia="宋体" w:cs="Times New Roman"/>
                <w:szCs w:val="21"/>
              </w:rPr>
            </w:pPr>
            <w:r>
              <w:rPr>
                <w:rFonts w:hint="eastAsia" w:ascii="宋体" w:hAnsi="宋体" w:eastAsia="宋体" w:cs="Times New Roman"/>
                <w:szCs w:val="21"/>
              </w:rPr>
              <w:t>2.交流研讨</w:t>
            </w:r>
          </w:p>
          <w:p w14:paraId="7DF26230">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42" w:type="dxa"/>
            <w:vAlign w:val="center"/>
          </w:tcPr>
          <w:p w14:paraId="56ADCC63">
            <w:pPr>
              <w:jc w:val="center"/>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天</w:t>
            </w:r>
          </w:p>
        </w:tc>
      </w:tr>
      <w:tr w14:paraId="3D3B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206" w:type="dxa"/>
            <w:vMerge w:val="continue"/>
            <w:vAlign w:val="center"/>
          </w:tcPr>
          <w:p w14:paraId="25C0876B">
            <w:pPr>
              <w:jc w:val="center"/>
              <w:rPr>
                <w:rFonts w:hint="eastAsia" w:ascii="宋体" w:hAnsi="宋体" w:eastAsia="宋体" w:cs="Times New Roman"/>
                <w:szCs w:val="21"/>
              </w:rPr>
            </w:pPr>
          </w:p>
        </w:tc>
        <w:tc>
          <w:tcPr>
            <w:tcW w:w="8110" w:type="dxa"/>
            <w:gridSpan w:val="5"/>
            <w:vAlign w:val="center"/>
          </w:tcPr>
          <w:p w14:paraId="6617E1B8">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养成虚心、严谨的学习态度，增强团队合作意识，形成学科育人的意识，初步掌握学科育人的方法。</w:t>
            </w:r>
          </w:p>
        </w:tc>
      </w:tr>
      <w:tr w14:paraId="000EC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1206" w:type="dxa"/>
            <w:vMerge w:val="restart"/>
            <w:vAlign w:val="center"/>
          </w:tcPr>
          <w:p w14:paraId="25E56045">
            <w:pPr>
              <w:jc w:val="center"/>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w:t>
            </w:r>
            <w:r>
              <w:rPr>
                <w:rFonts w:hint="eastAsia" w:ascii="等线" w:hAnsi="等线" w:eastAsia="等线" w:cs="Times New Roman"/>
                <w:szCs w:val="22"/>
              </w:rPr>
              <w:t xml:space="preserve"> 课堂教学实训</w:t>
            </w:r>
          </w:p>
        </w:tc>
        <w:tc>
          <w:tcPr>
            <w:tcW w:w="1704" w:type="dxa"/>
            <w:vAlign w:val="center"/>
          </w:tcPr>
          <w:p w14:paraId="6BAAEFB6">
            <w:pPr>
              <w:jc w:val="left"/>
              <w:rPr>
                <w:rFonts w:hint="eastAsia" w:ascii="宋体" w:hAnsi="宋体" w:eastAsia="宋体" w:cs="Times New Roman"/>
                <w:szCs w:val="21"/>
              </w:rPr>
            </w:pPr>
            <w:r>
              <w:rPr>
                <w:rFonts w:hint="eastAsia" w:ascii="宋体" w:hAnsi="宋体" w:eastAsia="宋体" w:cs="Times New Roman"/>
                <w:szCs w:val="21"/>
              </w:rPr>
              <w:t>依据教学设计进行课堂教学（模拟教学）训练</w:t>
            </w:r>
          </w:p>
        </w:tc>
        <w:tc>
          <w:tcPr>
            <w:tcW w:w="1135" w:type="dxa"/>
            <w:vAlign w:val="center"/>
          </w:tcPr>
          <w:p w14:paraId="17BAFF3F">
            <w:pPr>
              <w:jc w:val="center"/>
              <w:rPr>
                <w:rFonts w:hint="eastAsia" w:ascii="宋体" w:hAnsi="宋体" w:eastAsia="宋体" w:cs="Times New Roman"/>
                <w:szCs w:val="21"/>
              </w:rPr>
            </w:pPr>
            <w:r>
              <w:rPr>
                <w:rFonts w:hint="eastAsia" w:ascii="宋体" w:hAnsi="宋体" w:eastAsia="宋体" w:cs="Times New Roman"/>
                <w:szCs w:val="21"/>
              </w:rPr>
              <w:t>课程目标</w:t>
            </w:r>
            <w:r>
              <w:rPr>
                <w:rFonts w:ascii="宋体" w:hAnsi="宋体" w:eastAsia="宋体" w:cs="Times New Roman"/>
                <w:szCs w:val="21"/>
              </w:rPr>
              <w:t>1</w:t>
            </w:r>
            <w:r>
              <w:rPr>
                <w:rFonts w:hint="eastAsia" w:ascii="宋体" w:hAnsi="宋体" w:eastAsia="宋体" w:cs="Times New Roman"/>
                <w:szCs w:val="21"/>
              </w:rPr>
              <w:t>、2、3</w:t>
            </w:r>
          </w:p>
        </w:tc>
        <w:tc>
          <w:tcPr>
            <w:tcW w:w="3266" w:type="dxa"/>
            <w:vAlign w:val="center"/>
          </w:tcPr>
          <w:p w14:paraId="7BDEDD8A">
            <w:pPr>
              <w:jc w:val="left"/>
              <w:rPr>
                <w:rFonts w:hint="eastAsia" w:ascii="宋体" w:hAnsi="宋体" w:eastAsia="宋体" w:cs="Times New Roman"/>
                <w:szCs w:val="21"/>
              </w:rPr>
            </w:pPr>
            <w:r>
              <w:rPr>
                <w:rFonts w:hint="eastAsia" w:ascii="宋体" w:hAnsi="宋体" w:eastAsia="宋体" w:cs="Times New Roman"/>
                <w:szCs w:val="21"/>
              </w:rPr>
              <w:t>提交不少于</w:t>
            </w:r>
            <w:r>
              <w:rPr>
                <w:rFonts w:ascii="宋体" w:hAnsi="宋体" w:eastAsia="宋体" w:cs="Times New Roman"/>
                <w:szCs w:val="21"/>
              </w:rPr>
              <w:t>5个课堂教学（模拟教学）视频。</w:t>
            </w:r>
          </w:p>
        </w:tc>
        <w:tc>
          <w:tcPr>
            <w:tcW w:w="1563" w:type="dxa"/>
            <w:vAlign w:val="center"/>
          </w:tcPr>
          <w:p w14:paraId="2FE5E62E">
            <w:pPr>
              <w:jc w:val="left"/>
              <w:rPr>
                <w:rFonts w:hint="eastAsia" w:ascii="宋体" w:hAnsi="宋体" w:eastAsia="宋体" w:cs="Times New Roman"/>
                <w:szCs w:val="21"/>
              </w:rPr>
            </w:pPr>
            <w:r>
              <w:rPr>
                <w:rFonts w:hint="eastAsia" w:ascii="宋体" w:hAnsi="宋体" w:eastAsia="宋体" w:cs="Times New Roman"/>
                <w:szCs w:val="21"/>
              </w:rPr>
              <w:t>1.集中训练</w:t>
            </w:r>
          </w:p>
          <w:p w14:paraId="21BC2DAF">
            <w:pPr>
              <w:jc w:val="left"/>
              <w:rPr>
                <w:rFonts w:hint="eastAsia" w:ascii="宋体" w:hAnsi="宋体" w:eastAsia="宋体" w:cs="Times New Roman"/>
                <w:szCs w:val="21"/>
              </w:rPr>
            </w:pPr>
            <w:r>
              <w:rPr>
                <w:rFonts w:hint="eastAsia" w:ascii="宋体" w:hAnsi="宋体" w:eastAsia="宋体" w:cs="Times New Roman"/>
                <w:szCs w:val="21"/>
              </w:rPr>
              <w:t>2.交流研讨</w:t>
            </w:r>
          </w:p>
          <w:p w14:paraId="4B31442D">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42" w:type="dxa"/>
            <w:vAlign w:val="center"/>
          </w:tcPr>
          <w:p w14:paraId="3C1155A1">
            <w:pPr>
              <w:jc w:val="center"/>
              <w:rPr>
                <w:rFonts w:hint="eastAsia" w:ascii="宋体" w:hAnsi="宋体" w:eastAsia="宋体" w:cs="Times New Roman"/>
                <w:szCs w:val="21"/>
              </w:rPr>
            </w:pPr>
            <w:r>
              <w:rPr>
                <w:rFonts w:ascii="宋体" w:hAnsi="宋体" w:eastAsia="宋体" w:cs="Times New Roman"/>
                <w:szCs w:val="21"/>
              </w:rPr>
              <w:t>5</w:t>
            </w:r>
            <w:r>
              <w:rPr>
                <w:rFonts w:hint="eastAsia" w:ascii="宋体" w:hAnsi="宋体" w:eastAsia="宋体" w:cs="Times New Roman"/>
                <w:szCs w:val="21"/>
              </w:rPr>
              <w:t>天</w:t>
            </w:r>
          </w:p>
        </w:tc>
      </w:tr>
      <w:tr w14:paraId="0144E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206" w:type="dxa"/>
            <w:vMerge w:val="continue"/>
            <w:vAlign w:val="center"/>
          </w:tcPr>
          <w:p w14:paraId="5320ECC9">
            <w:pPr>
              <w:jc w:val="center"/>
              <w:rPr>
                <w:rFonts w:hint="eastAsia" w:ascii="宋体" w:hAnsi="宋体" w:eastAsia="宋体" w:cs="Times New Roman"/>
                <w:szCs w:val="21"/>
              </w:rPr>
            </w:pPr>
          </w:p>
        </w:tc>
        <w:tc>
          <w:tcPr>
            <w:tcW w:w="8110" w:type="dxa"/>
            <w:gridSpan w:val="5"/>
            <w:vAlign w:val="center"/>
          </w:tcPr>
          <w:p w14:paraId="3128B217">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养成虚心、严谨的学习态度，增强团队合作意识，形成学科育人的意识，初步掌握学科育人的方法。</w:t>
            </w:r>
          </w:p>
        </w:tc>
      </w:tr>
      <w:tr w14:paraId="33E0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1206" w:type="dxa"/>
            <w:vMerge w:val="restart"/>
            <w:vAlign w:val="center"/>
          </w:tcPr>
          <w:p w14:paraId="4A52D41E">
            <w:pPr>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w:t>
            </w:r>
            <w:r>
              <w:rPr>
                <w:rFonts w:hint="eastAsia" w:ascii="等线" w:hAnsi="等线" w:eastAsia="等线" w:cs="Times New Roman"/>
                <w:szCs w:val="22"/>
              </w:rPr>
              <w:t xml:space="preserve"> </w:t>
            </w:r>
            <w:r>
              <w:rPr>
                <w:rFonts w:hint="eastAsia" w:ascii="宋体" w:hAnsi="宋体" w:eastAsia="宋体" w:cs="Times New Roman"/>
                <w:szCs w:val="21"/>
              </w:rPr>
              <w:t>教学实训成果汇报</w:t>
            </w:r>
          </w:p>
        </w:tc>
        <w:tc>
          <w:tcPr>
            <w:tcW w:w="1704" w:type="dxa"/>
            <w:vAlign w:val="center"/>
          </w:tcPr>
          <w:p w14:paraId="66A0547F">
            <w:pPr>
              <w:jc w:val="left"/>
              <w:rPr>
                <w:rFonts w:hint="eastAsia" w:ascii="宋体" w:hAnsi="宋体" w:eastAsia="宋体" w:cs="Times New Roman"/>
                <w:szCs w:val="21"/>
              </w:rPr>
            </w:pPr>
            <w:r>
              <w:rPr>
                <w:rFonts w:hint="eastAsia" w:ascii="宋体" w:hAnsi="宋体" w:eastAsia="宋体" w:cs="Times New Roman"/>
                <w:szCs w:val="21"/>
              </w:rPr>
              <w:t>开展教学实训成果汇报；总结交流教学实训情况</w:t>
            </w:r>
          </w:p>
        </w:tc>
        <w:tc>
          <w:tcPr>
            <w:tcW w:w="1135" w:type="dxa"/>
            <w:vAlign w:val="center"/>
          </w:tcPr>
          <w:p w14:paraId="2FD66A06">
            <w:pPr>
              <w:jc w:val="center"/>
              <w:rPr>
                <w:rFonts w:hint="eastAsia" w:ascii="宋体" w:hAnsi="宋体" w:eastAsia="宋体" w:cs="Times New Roman"/>
                <w:szCs w:val="21"/>
              </w:rPr>
            </w:pPr>
            <w:r>
              <w:rPr>
                <w:rFonts w:hint="eastAsia" w:ascii="宋体" w:hAnsi="宋体" w:eastAsia="宋体" w:cs="Times New Roman"/>
                <w:szCs w:val="21"/>
              </w:rPr>
              <w:t>课程目标1、2、3</w:t>
            </w:r>
          </w:p>
        </w:tc>
        <w:tc>
          <w:tcPr>
            <w:tcW w:w="3266" w:type="dxa"/>
            <w:vAlign w:val="center"/>
          </w:tcPr>
          <w:p w14:paraId="4FAE3282">
            <w:pPr>
              <w:jc w:val="left"/>
              <w:rPr>
                <w:rFonts w:hint="eastAsia" w:ascii="宋体" w:hAnsi="宋体" w:eastAsia="宋体" w:cs="Times New Roman"/>
                <w:szCs w:val="21"/>
              </w:rPr>
            </w:pPr>
            <w:r>
              <w:rPr>
                <w:rFonts w:hint="eastAsia" w:ascii="宋体" w:hAnsi="宋体" w:eastAsia="宋体" w:cs="Times New Roman"/>
                <w:szCs w:val="21"/>
              </w:rPr>
              <w:t>完成教学实训汇报，提交</w:t>
            </w:r>
            <w:r>
              <w:rPr>
                <w:rFonts w:ascii="宋体" w:hAnsi="宋体" w:eastAsia="宋体" w:cs="Times New Roman"/>
                <w:szCs w:val="21"/>
              </w:rPr>
              <w:t>1份教学实训总结</w:t>
            </w:r>
          </w:p>
        </w:tc>
        <w:tc>
          <w:tcPr>
            <w:tcW w:w="1563" w:type="dxa"/>
            <w:vAlign w:val="center"/>
          </w:tcPr>
          <w:p w14:paraId="68D48642">
            <w:pPr>
              <w:jc w:val="left"/>
              <w:rPr>
                <w:rFonts w:hint="eastAsia" w:ascii="宋体" w:hAnsi="宋体" w:eastAsia="宋体" w:cs="Times New Roman"/>
                <w:szCs w:val="21"/>
              </w:rPr>
            </w:pPr>
            <w:r>
              <w:rPr>
                <w:rFonts w:hint="eastAsia" w:ascii="宋体" w:hAnsi="宋体" w:eastAsia="宋体" w:cs="Times New Roman"/>
                <w:szCs w:val="21"/>
              </w:rPr>
              <w:t>1.成果汇报</w:t>
            </w:r>
          </w:p>
          <w:p w14:paraId="3C2F746F">
            <w:pPr>
              <w:jc w:val="left"/>
              <w:rPr>
                <w:rFonts w:hint="eastAsia" w:ascii="宋体" w:hAnsi="宋体" w:eastAsia="宋体" w:cs="Times New Roman"/>
                <w:szCs w:val="21"/>
              </w:rPr>
            </w:pPr>
            <w:r>
              <w:rPr>
                <w:rFonts w:hint="eastAsia" w:ascii="宋体" w:hAnsi="宋体" w:eastAsia="宋体" w:cs="Times New Roman"/>
                <w:szCs w:val="21"/>
              </w:rPr>
              <w:t>2.交流研讨</w:t>
            </w:r>
          </w:p>
          <w:p w14:paraId="039293BB">
            <w:pPr>
              <w:jc w:val="left"/>
              <w:rPr>
                <w:rFonts w:hint="eastAsia" w:ascii="宋体" w:hAnsi="宋体" w:eastAsia="宋体" w:cs="Times New Roman"/>
                <w:szCs w:val="21"/>
              </w:rPr>
            </w:pPr>
            <w:r>
              <w:rPr>
                <w:rFonts w:ascii="宋体" w:hAnsi="宋体" w:eastAsia="宋体" w:cs="Times New Roman"/>
                <w:szCs w:val="21"/>
              </w:rPr>
              <w:t>3</w:t>
            </w:r>
            <w:r>
              <w:rPr>
                <w:rFonts w:hint="eastAsia" w:ascii="宋体" w:hAnsi="宋体" w:eastAsia="宋体" w:cs="Times New Roman"/>
                <w:szCs w:val="21"/>
              </w:rPr>
              <w:t>.自主学习</w:t>
            </w:r>
          </w:p>
        </w:tc>
        <w:tc>
          <w:tcPr>
            <w:tcW w:w="442" w:type="dxa"/>
            <w:vAlign w:val="center"/>
          </w:tcPr>
          <w:p w14:paraId="293A1266">
            <w:pPr>
              <w:jc w:val="center"/>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天</w:t>
            </w:r>
          </w:p>
        </w:tc>
      </w:tr>
      <w:tr w14:paraId="6DF5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06" w:type="dxa"/>
            <w:vMerge w:val="continue"/>
            <w:vAlign w:val="center"/>
          </w:tcPr>
          <w:p w14:paraId="4C4D2AC3">
            <w:pPr>
              <w:jc w:val="center"/>
              <w:rPr>
                <w:rFonts w:hint="eastAsia" w:ascii="宋体" w:hAnsi="宋体" w:eastAsia="宋体" w:cs="Times New Roman"/>
                <w:szCs w:val="21"/>
              </w:rPr>
            </w:pPr>
          </w:p>
        </w:tc>
        <w:tc>
          <w:tcPr>
            <w:tcW w:w="8110" w:type="dxa"/>
            <w:gridSpan w:val="5"/>
            <w:vAlign w:val="center"/>
          </w:tcPr>
          <w:p w14:paraId="476E4FBC">
            <w:pPr>
              <w:jc w:val="left"/>
              <w:rPr>
                <w:rFonts w:hint="eastAsia" w:ascii="宋体" w:hAnsi="宋体" w:eastAsia="宋体" w:cs="Times New Roman"/>
                <w:szCs w:val="21"/>
              </w:rPr>
            </w:pPr>
            <w:r>
              <w:rPr>
                <w:rFonts w:hint="eastAsia" w:ascii="宋体" w:hAnsi="宋体" w:eastAsia="宋体" w:cs="Times New Roman"/>
                <w:b/>
                <w:szCs w:val="21"/>
              </w:rPr>
              <w:t>课程思政目标：进一步</w:t>
            </w:r>
            <w:r>
              <w:rPr>
                <w:rFonts w:hint="eastAsia" w:ascii="宋体" w:hAnsi="宋体" w:eastAsia="宋体" w:cs="Times New Roman"/>
                <w:szCs w:val="21"/>
              </w:rPr>
              <w:t>巩固专业思想，增强社会责任感和教育情怀，养成虚心、严谨的学习态度，增强团队合作意识。</w:t>
            </w:r>
          </w:p>
        </w:tc>
      </w:tr>
    </w:tbl>
    <w:p w14:paraId="05A432B6">
      <w:pPr>
        <w:spacing w:before="62" w:beforeLines="20" w:after="62" w:afterLines="20" w:line="360" w:lineRule="auto"/>
        <w:jc w:val="left"/>
        <w:rPr>
          <w:rFonts w:ascii="Times New Roman" w:hAnsi="Times New Roman" w:eastAsia="宋体" w:cs="Times New Roman"/>
          <w:b/>
          <w:sz w:val="24"/>
        </w:rPr>
      </w:pPr>
      <w:bookmarkStart w:id="2042" w:name="_Toc12220"/>
      <w:bookmarkStart w:id="2043" w:name="_Toc9395"/>
      <w:bookmarkStart w:id="2044" w:name="_Toc21227"/>
      <w:bookmarkStart w:id="2045" w:name="_Toc18340"/>
      <w:bookmarkStart w:id="2046" w:name="_Toc17486"/>
      <w:bookmarkStart w:id="2047" w:name="_Toc8154"/>
      <w:bookmarkStart w:id="2048" w:name="_Toc7867"/>
      <w:r>
        <w:rPr>
          <w:rFonts w:hint="eastAsia" w:ascii="Times New Roman" w:hAnsi="Times New Roman" w:eastAsia="宋体" w:cs="Times New Roman"/>
          <w:b/>
          <w:sz w:val="24"/>
        </w:rPr>
        <w:t>四、目标评价与成绩评定</w:t>
      </w:r>
      <w:bookmarkEnd w:id="2042"/>
      <w:bookmarkEnd w:id="2043"/>
      <w:bookmarkEnd w:id="2044"/>
      <w:bookmarkEnd w:id="2045"/>
      <w:bookmarkEnd w:id="2046"/>
      <w:bookmarkEnd w:id="2047"/>
      <w:bookmarkEnd w:id="2048"/>
    </w:p>
    <w:p w14:paraId="073A25B2">
      <w:pPr>
        <w:spacing w:line="360" w:lineRule="auto"/>
        <w:ind w:firstLine="422" w:firstLineChars="200"/>
        <w:jc w:val="left"/>
        <w:outlineLvl w:val="1"/>
        <w:rPr>
          <w:rFonts w:ascii="Times New Roman" w:hAnsi="Times New Roman" w:eastAsia="宋体" w:cs="Times New Roman"/>
          <w:b/>
          <w:szCs w:val="21"/>
        </w:rPr>
      </w:pPr>
      <w:bookmarkStart w:id="2049" w:name="_Toc6932"/>
      <w:r>
        <w:rPr>
          <w:rFonts w:hint="eastAsia" w:ascii="Times New Roman" w:hAnsi="Times New Roman" w:eastAsia="宋体" w:cs="Times New Roman"/>
          <w:b/>
          <w:szCs w:val="21"/>
        </w:rPr>
        <w:t>（一）课程目标评价方式</w:t>
      </w:r>
      <w:bookmarkEnd w:id="2049"/>
    </w:p>
    <w:p w14:paraId="5CC4CC4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47"/>
        <w:gridCol w:w="29"/>
        <w:gridCol w:w="1218"/>
        <w:gridCol w:w="1248"/>
        <w:gridCol w:w="1247"/>
        <w:gridCol w:w="1248"/>
        <w:gridCol w:w="788"/>
      </w:tblGrid>
      <w:tr w14:paraId="31A9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Merge w:val="restart"/>
            <w:vAlign w:val="center"/>
          </w:tcPr>
          <w:p w14:paraId="04DD4C2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1276" w:type="dxa"/>
            <w:gridSpan w:val="2"/>
          </w:tcPr>
          <w:p w14:paraId="38BF733F">
            <w:pPr>
              <w:spacing w:line="360" w:lineRule="auto"/>
              <w:jc w:val="center"/>
              <w:rPr>
                <w:rFonts w:hint="eastAsia" w:ascii="宋体" w:hAnsi="宋体" w:eastAsia="宋体" w:cs="Times New Roman"/>
                <w:szCs w:val="21"/>
              </w:rPr>
            </w:pPr>
          </w:p>
        </w:tc>
        <w:tc>
          <w:tcPr>
            <w:tcW w:w="4961" w:type="dxa"/>
            <w:gridSpan w:val="4"/>
            <w:vAlign w:val="center"/>
          </w:tcPr>
          <w:p w14:paraId="23B51420">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788" w:type="dxa"/>
            <w:vMerge w:val="restart"/>
            <w:vAlign w:val="center"/>
          </w:tcPr>
          <w:p w14:paraId="74D1DA1A">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FAF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71" w:type="dxa"/>
            <w:vMerge w:val="continue"/>
            <w:vAlign w:val="center"/>
          </w:tcPr>
          <w:p w14:paraId="3C67EACC">
            <w:pPr>
              <w:spacing w:line="360" w:lineRule="auto"/>
              <w:jc w:val="center"/>
              <w:rPr>
                <w:rFonts w:hint="eastAsia" w:ascii="宋体" w:hAnsi="宋体" w:eastAsia="宋体" w:cs="Times New Roman"/>
                <w:szCs w:val="21"/>
              </w:rPr>
            </w:pPr>
          </w:p>
        </w:tc>
        <w:tc>
          <w:tcPr>
            <w:tcW w:w="1247" w:type="dxa"/>
            <w:vAlign w:val="center"/>
          </w:tcPr>
          <w:p w14:paraId="79A7693A">
            <w:pPr>
              <w:spacing w:line="360" w:lineRule="auto"/>
              <w:jc w:val="center"/>
              <w:rPr>
                <w:rFonts w:hint="eastAsia" w:ascii="宋体" w:hAnsi="宋体" w:eastAsia="宋体" w:cs="Times New Roman"/>
                <w:szCs w:val="21"/>
              </w:rPr>
            </w:pPr>
            <w:r>
              <w:rPr>
                <w:rFonts w:hint="eastAsia" w:ascii="宋体" w:hAnsi="宋体" w:eastAsia="宋体" w:cs="Times New Roman"/>
                <w:szCs w:val="21"/>
              </w:rPr>
              <w:t>教学实训</w:t>
            </w:r>
          </w:p>
          <w:p w14:paraId="267CBD19">
            <w:pPr>
              <w:spacing w:line="360" w:lineRule="auto"/>
              <w:jc w:val="center"/>
              <w:rPr>
                <w:rFonts w:hint="eastAsia" w:ascii="宋体" w:hAnsi="宋体" w:eastAsia="宋体" w:cs="Times New Roman"/>
                <w:szCs w:val="21"/>
              </w:rPr>
            </w:pPr>
            <w:r>
              <w:rPr>
                <w:rFonts w:hint="eastAsia" w:ascii="宋体" w:hAnsi="宋体" w:eastAsia="宋体" w:cs="Times New Roman"/>
                <w:szCs w:val="21"/>
              </w:rPr>
              <w:t>态度</w:t>
            </w:r>
          </w:p>
        </w:tc>
        <w:tc>
          <w:tcPr>
            <w:tcW w:w="1247" w:type="dxa"/>
            <w:gridSpan w:val="2"/>
            <w:vAlign w:val="center"/>
          </w:tcPr>
          <w:p w14:paraId="1A6F38A2">
            <w:pPr>
              <w:spacing w:line="360" w:lineRule="auto"/>
              <w:jc w:val="center"/>
              <w:rPr>
                <w:rFonts w:hint="eastAsia" w:ascii="宋体" w:hAnsi="宋体" w:eastAsia="宋体" w:cs="Times New Roman"/>
                <w:szCs w:val="21"/>
              </w:rPr>
            </w:pPr>
            <w:r>
              <w:rPr>
                <w:rFonts w:hint="eastAsia" w:ascii="宋体" w:hAnsi="宋体" w:eastAsia="宋体" w:cs="Times New Roman"/>
                <w:szCs w:val="21"/>
              </w:rPr>
              <w:t>教学设计</w:t>
            </w:r>
          </w:p>
          <w:p w14:paraId="37DC5C72">
            <w:pPr>
              <w:spacing w:line="360" w:lineRule="auto"/>
              <w:jc w:val="center"/>
              <w:rPr>
                <w:rFonts w:hint="eastAsia" w:ascii="宋体" w:hAnsi="宋体" w:eastAsia="宋体" w:cs="Times New Roman"/>
                <w:szCs w:val="21"/>
              </w:rPr>
            </w:pPr>
            <w:r>
              <w:rPr>
                <w:rFonts w:hint="eastAsia" w:ascii="宋体" w:hAnsi="宋体" w:eastAsia="宋体" w:cs="Times New Roman"/>
                <w:szCs w:val="21"/>
              </w:rPr>
              <w:t>实训</w:t>
            </w:r>
          </w:p>
        </w:tc>
        <w:tc>
          <w:tcPr>
            <w:tcW w:w="1248" w:type="dxa"/>
            <w:vAlign w:val="center"/>
          </w:tcPr>
          <w:p w14:paraId="1BD340BB">
            <w:pPr>
              <w:spacing w:line="360" w:lineRule="auto"/>
              <w:jc w:val="center"/>
              <w:rPr>
                <w:rFonts w:hint="eastAsia" w:ascii="宋体" w:hAnsi="宋体" w:eastAsia="宋体" w:cs="Times New Roman"/>
                <w:szCs w:val="21"/>
              </w:rPr>
            </w:pPr>
            <w:r>
              <w:rPr>
                <w:rFonts w:hint="eastAsia" w:ascii="宋体" w:hAnsi="宋体" w:eastAsia="宋体" w:cs="Times New Roman"/>
                <w:szCs w:val="21"/>
              </w:rPr>
              <w:t>说课实训</w:t>
            </w:r>
          </w:p>
        </w:tc>
        <w:tc>
          <w:tcPr>
            <w:tcW w:w="1247" w:type="dxa"/>
            <w:vAlign w:val="center"/>
          </w:tcPr>
          <w:p w14:paraId="12670C12">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课堂教学</w:t>
            </w:r>
          </w:p>
          <w:p w14:paraId="1646C29E">
            <w:pPr>
              <w:spacing w:line="360" w:lineRule="auto"/>
              <w:jc w:val="center"/>
              <w:rPr>
                <w:rFonts w:hint="eastAsia" w:ascii="宋体" w:hAnsi="宋体" w:eastAsia="宋体" w:cs="Times New Roman"/>
                <w:szCs w:val="21"/>
              </w:rPr>
            </w:pPr>
            <w:r>
              <w:rPr>
                <w:rFonts w:hint="eastAsia" w:ascii="宋体" w:hAnsi="宋体" w:eastAsia="宋体" w:cs="Times New Roman"/>
                <w:szCs w:val="21"/>
              </w:rPr>
              <w:t>实训</w:t>
            </w:r>
          </w:p>
        </w:tc>
        <w:tc>
          <w:tcPr>
            <w:tcW w:w="1248" w:type="dxa"/>
            <w:vAlign w:val="center"/>
          </w:tcPr>
          <w:p w14:paraId="33A4E417">
            <w:pPr>
              <w:spacing w:line="360" w:lineRule="auto"/>
              <w:jc w:val="center"/>
              <w:rPr>
                <w:rFonts w:hint="eastAsia" w:ascii="宋体" w:hAnsi="宋体" w:eastAsia="宋体" w:cs="Times New Roman"/>
                <w:szCs w:val="21"/>
              </w:rPr>
            </w:pPr>
            <w:r>
              <w:rPr>
                <w:rFonts w:hint="eastAsia" w:ascii="宋体" w:hAnsi="宋体" w:eastAsia="宋体" w:cs="Times New Roman"/>
                <w:szCs w:val="21"/>
              </w:rPr>
              <w:t>教学实训</w:t>
            </w:r>
          </w:p>
          <w:p w14:paraId="57CF2523">
            <w:pPr>
              <w:spacing w:line="360" w:lineRule="auto"/>
              <w:jc w:val="center"/>
              <w:rPr>
                <w:rFonts w:hint="eastAsia" w:ascii="宋体" w:hAnsi="宋体" w:eastAsia="宋体" w:cs="Times New Roman"/>
                <w:szCs w:val="21"/>
              </w:rPr>
            </w:pPr>
            <w:r>
              <w:rPr>
                <w:rFonts w:hint="eastAsia" w:ascii="宋体" w:hAnsi="宋体" w:eastAsia="宋体" w:cs="Times New Roman"/>
                <w:szCs w:val="21"/>
              </w:rPr>
              <w:t>成果汇报</w:t>
            </w:r>
          </w:p>
        </w:tc>
        <w:tc>
          <w:tcPr>
            <w:tcW w:w="788" w:type="dxa"/>
            <w:vMerge w:val="continue"/>
            <w:vAlign w:val="center"/>
          </w:tcPr>
          <w:p w14:paraId="40D0A74D">
            <w:pPr>
              <w:spacing w:line="360" w:lineRule="auto"/>
              <w:jc w:val="center"/>
              <w:rPr>
                <w:rFonts w:hint="eastAsia" w:ascii="宋体" w:hAnsi="宋体" w:eastAsia="宋体" w:cs="Times New Roman"/>
                <w:szCs w:val="21"/>
              </w:rPr>
            </w:pPr>
          </w:p>
        </w:tc>
      </w:tr>
      <w:tr w14:paraId="3184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271" w:type="dxa"/>
            <w:vAlign w:val="center"/>
          </w:tcPr>
          <w:p w14:paraId="194299F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247" w:type="dxa"/>
            <w:vAlign w:val="center"/>
          </w:tcPr>
          <w:p w14:paraId="2B193BE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7" w:type="dxa"/>
            <w:gridSpan w:val="2"/>
            <w:vAlign w:val="center"/>
          </w:tcPr>
          <w:p w14:paraId="021ABB1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5689575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7" w:type="dxa"/>
            <w:vAlign w:val="center"/>
          </w:tcPr>
          <w:p w14:paraId="6DE7D46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71CD898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88" w:type="dxa"/>
            <w:vAlign w:val="center"/>
          </w:tcPr>
          <w:p w14:paraId="7521ECC3">
            <w:pPr>
              <w:spacing w:line="360" w:lineRule="auto"/>
              <w:jc w:val="center"/>
              <w:rPr>
                <w:rFonts w:hint="eastAsia" w:ascii="宋体" w:hAnsi="宋体" w:eastAsia="宋体" w:cs="Times New Roman"/>
                <w:szCs w:val="21"/>
              </w:rPr>
            </w:pPr>
            <w:r>
              <w:rPr>
                <w:rFonts w:ascii="宋体" w:hAnsi="宋体" w:eastAsia="宋体" w:cs="Times New Roman"/>
                <w:szCs w:val="21"/>
              </w:rPr>
              <w:t>40</w:t>
            </w:r>
          </w:p>
        </w:tc>
      </w:tr>
      <w:tr w14:paraId="47A4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523595B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247" w:type="dxa"/>
            <w:vAlign w:val="center"/>
          </w:tcPr>
          <w:p w14:paraId="6CBD49D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7" w:type="dxa"/>
            <w:gridSpan w:val="2"/>
            <w:vAlign w:val="center"/>
          </w:tcPr>
          <w:p w14:paraId="34C7D94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71E7A74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7" w:type="dxa"/>
            <w:vAlign w:val="center"/>
          </w:tcPr>
          <w:p w14:paraId="5F0A106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2023708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88" w:type="dxa"/>
            <w:vAlign w:val="center"/>
          </w:tcPr>
          <w:p w14:paraId="0AA06DE5">
            <w:pPr>
              <w:spacing w:line="360" w:lineRule="auto"/>
              <w:jc w:val="center"/>
              <w:rPr>
                <w:rFonts w:hint="eastAsia" w:ascii="宋体" w:hAnsi="宋体" w:eastAsia="宋体" w:cs="Times New Roman"/>
                <w:szCs w:val="21"/>
              </w:rPr>
            </w:pPr>
            <w:r>
              <w:rPr>
                <w:rFonts w:ascii="宋体" w:hAnsi="宋体" w:eastAsia="宋体" w:cs="Times New Roman"/>
                <w:szCs w:val="21"/>
              </w:rPr>
              <w:t>40</w:t>
            </w:r>
          </w:p>
        </w:tc>
      </w:tr>
      <w:tr w14:paraId="24E85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10B1C14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247" w:type="dxa"/>
            <w:vAlign w:val="center"/>
          </w:tcPr>
          <w:p w14:paraId="0E4FE89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7" w:type="dxa"/>
            <w:gridSpan w:val="2"/>
            <w:vAlign w:val="center"/>
          </w:tcPr>
          <w:p w14:paraId="2A9B3DCE">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209EC3D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7" w:type="dxa"/>
            <w:vAlign w:val="center"/>
          </w:tcPr>
          <w:p w14:paraId="05CC6EF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248" w:type="dxa"/>
            <w:vAlign w:val="center"/>
          </w:tcPr>
          <w:p w14:paraId="0ECAD63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788" w:type="dxa"/>
            <w:vAlign w:val="center"/>
          </w:tcPr>
          <w:p w14:paraId="16891B48">
            <w:pPr>
              <w:spacing w:line="360" w:lineRule="auto"/>
              <w:jc w:val="center"/>
              <w:rPr>
                <w:rFonts w:hint="eastAsia" w:ascii="宋体" w:hAnsi="宋体" w:eastAsia="宋体" w:cs="Times New Roman"/>
                <w:szCs w:val="21"/>
              </w:rPr>
            </w:pPr>
            <w:r>
              <w:rPr>
                <w:rFonts w:ascii="宋体" w:hAnsi="宋体" w:eastAsia="宋体" w:cs="Times New Roman"/>
                <w:szCs w:val="21"/>
              </w:rPr>
              <w:t>20</w:t>
            </w:r>
          </w:p>
        </w:tc>
      </w:tr>
      <w:tr w14:paraId="5EB9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271" w:type="dxa"/>
            <w:vAlign w:val="center"/>
          </w:tcPr>
          <w:p w14:paraId="7FC7E966">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247" w:type="dxa"/>
            <w:vAlign w:val="center"/>
          </w:tcPr>
          <w:p w14:paraId="3351E4AB">
            <w:pPr>
              <w:spacing w:line="360" w:lineRule="auto"/>
              <w:jc w:val="center"/>
              <w:rPr>
                <w:rFonts w:hint="eastAsia" w:ascii="宋体" w:hAnsi="宋体" w:eastAsia="宋体" w:cs="Times New Roman"/>
                <w:szCs w:val="21"/>
              </w:rPr>
            </w:pPr>
            <w:r>
              <w:rPr>
                <w:rFonts w:ascii="宋体" w:hAnsi="宋体" w:eastAsia="宋体" w:cs="Times New Roman"/>
                <w:szCs w:val="21"/>
              </w:rPr>
              <w:t>10</w:t>
            </w:r>
          </w:p>
        </w:tc>
        <w:tc>
          <w:tcPr>
            <w:tcW w:w="1247" w:type="dxa"/>
            <w:gridSpan w:val="2"/>
            <w:vAlign w:val="center"/>
          </w:tcPr>
          <w:p w14:paraId="67BE3C46">
            <w:pPr>
              <w:spacing w:line="360" w:lineRule="auto"/>
              <w:jc w:val="center"/>
              <w:rPr>
                <w:rFonts w:hint="eastAsia" w:ascii="宋体" w:hAnsi="宋体" w:eastAsia="宋体" w:cs="Times New Roman"/>
                <w:szCs w:val="21"/>
              </w:rPr>
            </w:pPr>
            <w:r>
              <w:rPr>
                <w:rFonts w:ascii="宋体" w:hAnsi="宋体" w:eastAsia="宋体" w:cs="Times New Roman"/>
                <w:szCs w:val="21"/>
              </w:rPr>
              <w:t>20</w:t>
            </w:r>
          </w:p>
        </w:tc>
        <w:tc>
          <w:tcPr>
            <w:tcW w:w="1248" w:type="dxa"/>
            <w:vAlign w:val="center"/>
          </w:tcPr>
          <w:p w14:paraId="081B4690">
            <w:pPr>
              <w:spacing w:line="360" w:lineRule="auto"/>
              <w:jc w:val="center"/>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c>
          <w:tcPr>
            <w:tcW w:w="1247" w:type="dxa"/>
            <w:vAlign w:val="center"/>
          </w:tcPr>
          <w:p w14:paraId="196EC2D4">
            <w:pPr>
              <w:spacing w:line="360" w:lineRule="auto"/>
              <w:jc w:val="center"/>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0</w:t>
            </w:r>
          </w:p>
        </w:tc>
        <w:tc>
          <w:tcPr>
            <w:tcW w:w="1248" w:type="dxa"/>
            <w:vAlign w:val="center"/>
          </w:tcPr>
          <w:p w14:paraId="4935018D">
            <w:pPr>
              <w:spacing w:line="360" w:lineRule="auto"/>
              <w:jc w:val="center"/>
              <w:rPr>
                <w:rFonts w:hint="eastAsia" w:ascii="宋体" w:hAnsi="宋体" w:eastAsia="宋体" w:cs="Times New Roman"/>
                <w:szCs w:val="21"/>
              </w:rPr>
            </w:pPr>
            <w:r>
              <w:rPr>
                <w:rFonts w:ascii="宋体" w:hAnsi="宋体" w:eastAsia="宋体" w:cs="Times New Roman"/>
                <w:szCs w:val="21"/>
              </w:rPr>
              <w:t>10</w:t>
            </w:r>
          </w:p>
        </w:tc>
        <w:tc>
          <w:tcPr>
            <w:tcW w:w="788" w:type="dxa"/>
            <w:vAlign w:val="center"/>
          </w:tcPr>
          <w:p w14:paraId="11896374">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7E6D60D0">
      <w:pPr>
        <w:spacing w:before="156" w:beforeLines="50" w:line="360" w:lineRule="auto"/>
        <w:ind w:firstLine="422" w:firstLineChars="200"/>
        <w:jc w:val="left"/>
        <w:outlineLvl w:val="1"/>
        <w:rPr>
          <w:rFonts w:ascii="Times New Roman" w:hAnsi="Times New Roman" w:eastAsia="宋体" w:cs="Times New Roman"/>
          <w:b/>
          <w:szCs w:val="21"/>
        </w:rPr>
      </w:pPr>
      <w:bookmarkStart w:id="2050" w:name="_Toc2341"/>
      <w:r>
        <w:rPr>
          <w:rFonts w:hint="eastAsia" w:ascii="Times New Roman" w:hAnsi="Times New Roman" w:eastAsia="宋体" w:cs="Times New Roman"/>
          <w:b/>
          <w:szCs w:val="21"/>
        </w:rPr>
        <w:t>（二）成绩评定细则</w:t>
      </w:r>
      <w:bookmarkEnd w:id="2050"/>
    </w:p>
    <w:p w14:paraId="452812BC">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5921"/>
        <w:gridCol w:w="706"/>
      </w:tblGrid>
      <w:tr w14:paraId="55B00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vAlign w:val="center"/>
          </w:tcPr>
          <w:p w14:paraId="2D6383D9">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5921" w:type="dxa"/>
            <w:vAlign w:val="center"/>
          </w:tcPr>
          <w:p w14:paraId="5DC5F598">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0" w:type="auto"/>
            <w:vAlign w:val="center"/>
          </w:tcPr>
          <w:p w14:paraId="0E6BB94A">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630B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vAlign w:val="center"/>
          </w:tcPr>
          <w:p w14:paraId="5C7117C1">
            <w:pPr>
              <w:snapToGrid w:val="0"/>
              <w:spacing w:line="360" w:lineRule="auto"/>
              <w:jc w:val="center"/>
              <w:rPr>
                <w:rFonts w:hint="eastAsia" w:ascii="宋体" w:hAnsi="宋体" w:eastAsia="宋体" w:cs="Times New Roman"/>
                <w:szCs w:val="21"/>
              </w:rPr>
            </w:pPr>
            <w:r>
              <w:rPr>
                <w:rFonts w:hint="eastAsia" w:ascii="宋体" w:hAnsi="宋体" w:eastAsia="宋体" w:cs="Times New Roman"/>
                <w:szCs w:val="21"/>
              </w:rPr>
              <w:t>教学实训态度</w:t>
            </w:r>
          </w:p>
        </w:tc>
        <w:tc>
          <w:tcPr>
            <w:tcW w:w="5921" w:type="dxa"/>
            <w:tcBorders>
              <w:top w:val="single" w:color="auto" w:sz="4" w:space="0"/>
              <w:left w:val="single" w:color="auto" w:sz="4" w:space="0"/>
              <w:bottom w:val="single" w:color="auto" w:sz="4" w:space="0"/>
              <w:right w:val="single" w:color="auto" w:sz="4" w:space="0"/>
            </w:tcBorders>
            <w:vAlign w:val="center"/>
          </w:tcPr>
          <w:p w14:paraId="79A93CBF">
            <w:pPr>
              <w:snapToGrid w:val="0"/>
              <w:spacing w:line="312" w:lineRule="auto"/>
              <w:rPr>
                <w:rFonts w:hint="eastAsia" w:ascii="宋体" w:hAnsi="宋体" w:eastAsia="宋体" w:cs="Times New Roman"/>
                <w:szCs w:val="21"/>
              </w:rPr>
            </w:pPr>
            <w:r>
              <w:rPr>
                <w:rFonts w:hint="eastAsia" w:ascii="宋体" w:hAnsi="宋体" w:eastAsia="宋体" w:cs="Times New Roman"/>
                <w:szCs w:val="21"/>
              </w:rPr>
              <w:t>根据学生出勤情况及实训</w:t>
            </w:r>
            <w:r>
              <w:rPr>
                <w:rFonts w:ascii="宋体" w:hAnsi="宋体" w:eastAsia="宋体" w:cs="Times New Roman"/>
                <w:szCs w:val="21"/>
              </w:rPr>
              <w:t>态度，</w:t>
            </w:r>
            <w:r>
              <w:rPr>
                <w:rFonts w:hint="eastAsia" w:ascii="宋体" w:hAnsi="宋体" w:eastAsia="宋体" w:cs="Times New Roman"/>
                <w:szCs w:val="21"/>
              </w:rPr>
              <w:t>遵守学校教学常规制度，教学实训手册填写等进行评分。采取学生自主和教师评价相结合的方式。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6C8C7255">
            <w:pPr>
              <w:snapToGrid w:val="0"/>
              <w:spacing w:line="360" w:lineRule="auto"/>
              <w:rPr>
                <w:rFonts w:hint="eastAsia" w:ascii="宋体" w:hAnsi="宋体" w:eastAsia="宋体" w:cs="Times New Roman"/>
                <w:szCs w:val="21"/>
              </w:rPr>
            </w:pPr>
            <w:r>
              <w:rPr>
                <w:rFonts w:ascii="宋体" w:hAnsi="宋体" w:eastAsia="宋体" w:cs="Times New Roman"/>
                <w:szCs w:val="21"/>
              </w:rPr>
              <w:t>10%</w:t>
            </w:r>
          </w:p>
        </w:tc>
      </w:tr>
      <w:tr w14:paraId="6FE12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vAlign w:val="center"/>
          </w:tcPr>
          <w:p w14:paraId="38F09B8A">
            <w:pPr>
              <w:snapToGrid w:val="0"/>
              <w:spacing w:line="360" w:lineRule="auto"/>
              <w:jc w:val="center"/>
              <w:rPr>
                <w:rFonts w:hint="eastAsia" w:ascii="宋体" w:hAnsi="宋体" w:eastAsia="宋体" w:cs="Times New Roman"/>
                <w:szCs w:val="21"/>
              </w:rPr>
            </w:pPr>
            <w:r>
              <w:rPr>
                <w:rFonts w:hint="eastAsia" w:ascii="宋体" w:hAnsi="宋体" w:eastAsia="宋体" w:cs="Times New Roman"/>
                <w:szCs w:val="21"/>
              </w:rPr>
              <w:t>教学设计实训</w:t>
            </w:r>
          </w:p>
        </w:tc>
        <w:tc>
          <w:tcPr>
            <w:tcW w:w="5921" w:type="dxa"/>
            <w:tcBorders>
              <w:top w:val="single" w:color="auto" w:sz="4" w:space="0"/>
              <w:left w:val="single" w:color="auto" w:sz="4" w:space="0"/>
              <w:bottom w:val="single" w:color="auto" w:sz="4" w:space="0"/>
              <w:right w:val="single" w:color="auto" w:sz="4" w:space="0"/>
            </w:tcBorders>
            <w:vAlign w:val="center"/>
          </w:tcPr>
          <w:p w14:paraId="018BC990">
            <w:pPr>
              <w:snapToGrid w:val="0"/>
              <w:spacing w:line="312" w:lineRule="auto"/>
              <w:rPr>
                <w:rFonts w:hint="eastAsia" w:ascii="宋体" w:hAnsi="宋体" w:eastAsia="宋体" w:cs="Times New Roman"/>
                <w:szCs w:val="21"/>
              </w:rPr>
            </w:pPr>
            <w:r>
              <w:rPr>
                <w:rFonts w:hint="eastAsia" w:ascii="宋体" w:hAnsi="宋体" w:eastAsia="宋体" w:cs="Times New Roman"/>
                <w:szCs w:val="21"/>
              </w:rPr>
              <w:t>根据教学方案、说课稿撰写情况进行评分。采取学生自主和教师评价相结合的方式。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6AC05747">
            <w:pPr>
              <w:snapToGrid w:val="0"/>
              <w:spacing w:line="360" w:lineRule="auto"/>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5228B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vAlign w:val="center"/>
          </w:tcPr>
          <w:p w14:paraId="2AB9EDA2">
            <w:pPr>
              <w:snapToGrid w:val="0"/>
              <w:spacing w:line="360" w:lineRule="auto"/>
              <w:jc w:val="center"/>
              <w:rPr>
                <w:rFonts w:hint="eastAsia" w:ascii="宋体" w:hAnsi="宋体" w:eastAsia="宋体" w:cs="Times New Roman"/>
                <w:szCs w:val="21"/>
              </w:rPr>
            </w:pPr>
            <w:r>
              <w:rPr>
                <w:rFonts w:hint="eastAsia" w:ascii="宋体" w:hAnsi="宋体" w:eastAsia="宋体" w:cs="Times New Roman"/>
                <w:szCs w:val="21"/>
              </w:rPr>
              <w:t>说课实训</w:t>
            </w:r>
          </w:p>
        </w:tc>
        <w:tc>
          <w:tcPr>
            <w:tcW w:w="5921" w:type="dxa"/>
            <w:tcBorders>
              <w:top w:val="single" w:color="auto" w:sz="4" w:space="0"/>
              <w:left w:val="single" w:color="auto" w:sz="4" w:space="0"/>
              <w:bottom w:val="single" w:color="auto" w:sz="4" w:space="0"/>
              <w:right w:val="single" w:color="auto" w:sz="4" w:space="0"/>
            </w:tcBorders>
            <w:vAlign w:val="center"/>
          </w:tcPr>
          <w:p w14:paraId="39DE344C">
            <w:pPr>
              <w:snapToGrid w:val="0"/>
              <w:spacing w:line="312" w:lineRule="auto"/>
              <w:rPr>
                <w:rFonts w:hint="eastAsia" w:ascii="宋体" w:hAnsi="宋体" w:eastAsia="宋体" w:cs="Times New Roman"/>
                <w:szCs w:val="21"/>
              </w:rPr>
            </w:pPr>
            <w:r>
              <w:rPr>
                <w:rFonts w:hint="eastAsia" w:ascii="宋体" w:hAnsi="宋体" w:eastAsia="宋体" w:cs="Times New Roman"/>
                <w:szCs w:val="21"/>
              </w:rPr>
              <w:t>根据说课实际情况进行评分。采取学生自主和教师评价相结合的方式。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1C891649">
            <w:pPr>
              <w:snapToGrid w:val="0"/>
              <w:spacing w:line="360" w:lineRule="auto"/>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0%</w:t>
            </w:r>
          </w:p>
        </w:tc>
      </w:tr>
      <w:tr w14:paraId="4885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vAlign w:val="center"/>
          </w:tcPr>
          <w:p w14:paraId="00031576">
            <w:pPr>
              <w:snapToGrid w:val="0"/>
              <w:spacing w:line="360" w:lineRule="auto"/>
              <w:jc w:val="center"/>
              <w:rPr>
                <w:rFonts w:hint="eastAsia" w:ascii="宋体" w:hAnsi="宋体" w:eastAsia="宋体" w:cs="Times New Roman"/>
                <w:szCs w:val="21"/>
              </w:rPr>
            </w:pPr>
            <w:r>
              <w:rPr>
                <w:rFonts w:hint="eastAsia" w:ascii="宋体" w:hAnsi="宋体" w:eastAsia="宋体" w:cs="Times New Roman"/>
                <w:szCs w:val="21"/>
              </w:rPr>
              <w:t>课堂教学实训</w:t>
            </w:r>
          </w:p>
        </w:tc>
        <w:tc>
          <w:tcPr>
            <w:tcW w:w="5921" w:type="dxa"/>
            <w:tcBorders>
              <w:top w:val="single" w:color="auto" w:sz="4" w:space="0"/>
              <w:left w:val="single" w:color="auto" w:sz="4" w:space="0"/>
              <w:bottom w:val="single" w:color="auto" w:sz="4" w:space="0"/>
              <w:right w:val="single" w:color="auto" w:sz="4" w:space="0"/>
            </w:tcBorders>
            <w:vAlign w:val="center"/>
          </w:tcPr>
          <w:p w14:paraId="115B0CA3">
            <w:pPr>
              <w:snapToGrid w:val="0"/>
              <w:spacing w:line="312" w:lineRule="auto"/>
              <w:rPr>
                <w:rFonts w:hint="eastAsia" w:ascii="宋体" w:hAnsi="宋体" w:eastAsia="宋体" w:cs="Times New Roman"/>
                <w:szCs w:val="21"/>
              </w:rPr>
            </w:pPr>
            <w:r>
              <w:rPr>
                <w:rFonts w:hint="eastAsia" w:ascii="宋体" w:hAnsi="宋体" w:eastAsia="宋体" w:cs="Times New Roman"/>
                <w:szCs w:val="21"/>
              </w:rPr>
              <w:t>根据课堂教学（模拟教学）实际情况进行评分。采取学生自主和教师评价相结合的方式。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6D00889A">
            <w:pPr>
              <w:snapToGrid w:val="0"/>
              <w:spacing w:line="360" w:lineRule="auto"/>
              <w:rPr>
                <w:rFonts w:hint="eastAsia" w:ascii="宋体" w:hAnsi="宋体" w:eastAsia="宋体" w:cs="Times New Roman"/>
                <w:szCs w:val="21"/>
              </w:rPr>
            </w:pPr>
            <w:r>
              <w:rPr>
                <w:rFonts w:ascii="宋体" w:hAnsi="宋体" w:eastAsia="宋体" w:cs="Times New Roman"/>
                <w:szCs w:val="21"/>
              </w:rPr>
              <w:t>40%</w:t>
            </w:r>
          </w:p>
        </w:tc>
      </w:tr>
      <w:tr w14:paraId="53C4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9" w:type="dxa"/>
            <w:tcBorders>
              <w:top w:val="single" w:color="auto" w:sz="4" w:space="0"/>
              <w:left w:val="single" w:color="auto" w:sz="4" w:space="0"/>
              <w:bottom w:val="single" w:color="auto" w:sz="4" w:space="0"/>
              <w:right w:val="single" w:color="auto" w:sz="4" w:space="0"/>
            </w:tcBorders>
            <w:vAlign w:val="center"/>
          </w:tcPr>
          <w:p w14:paraId="44223DA4">
            <w:pPr>
              <w:snapToGrid w:val="0"/>
              <w:spacing w:line="360" w:lineRule="auto"/>
              <w:jc w:val="center"/>
              <w:rPr>
                <w:rFonts w:hint="eastAsia" w:ascii="宋体" w:hAnsi="宋体" w:eastAsia="宋体" w:cs="Times New Roman"/>
                <w:szCs w:val="21"/>
              </w:rPr>
            </w:pPr>
            <w:r>
              <w:rPr>
                <w:rFonts w:hint="eastAsia" w:ascii="宋体" w:hAnsi="宋体" w:eastAsia="宋体" w:cs="Times New Roman"/>
                <w:szCs w:val="21"/>
              </w:rPr>
              <w:t>教学实训成果汇报</w:t>
            </w:r>
          </w:p>
        </w:tc>
        <w:tc>
          <w:tcPr>
            <w:tcW w:w="5921" w:type="dxa"/>
            <w:tcBorders>
              <w:top w:val="single" w:color="auto" w:sz="4" w:space="0"/>
              <w:left w:val="single" w:color="auto" w:sz="4" w:space="0"/>
              <w:bottom w:val="single" w:color="auto" w:sz="4" w:space="0"/>
              <w:right w:val="single" w:color="auto" w:sz="4" w:space="0"/>
            </w:tcBorders>
            <w:vAlign w:val="center"/>
          </w:tcPr>
          <w:p w14:paraId="70A3840F">
            <w:pPr>
              <w:snapToGrid w:val="0"/>
              <w:spacing w:line="312" w:lineRule="auto"/>
              <w:rPr>
                <w:rFonts w:hint="eastAsia" w:ascii="宋体" w:hAnsi="宋体" w:eastAsia="宋体" w:cs="Times New Roman"/>
                <w:szCs w:val="21"/>
              </w:rPr>
            </w:pPr>
            <w:r>
              <w:rPr>
                <w:rFonts w:hint="eastAsia" w:ascii="宋体" w:hAnsi="宋体" w:eastAsia="宋体" w:cs="Times New Roman"/>
                <w:szCs w:val="21"/>
              </w:rPr>
              <w:t>根据学生的教学实训成果汇报情况进行评分。采取学生自主和教师评价相结合的方式。</w:t>
            </w:r>
          </w:p>
        </w:tc>
        <w:tc>
          <w:tcPr>
            <w:tcW w:w="0" w:type="auto"/>
            <w:tcBorders>
              <w:top w:val="single" w:color="auto" w:sz="4" w:space="0"/>
              <w:left w:val="single" w:color="auto" w:sz="4" w:space="0"/>
              <w:bottom w:val="single" w:color="auto" w:sz="4" w:space="0"/>
              <w:right w:val="single" w:color="auto" w:sz="4" w:space="0"/>
            </w:tcBorders>
            <w:vAlign w:val="center"/>
          </w:tcPr>
          <w:p w14:paraId="4C0E183A">
            <w:pPr>
              <w:snapToGrid w:val="0"/>
              <w:spacing w:line="360" w:lineRule="auto"/>
              <w:rPr>
                <w:rFonts w:hint="eastAsia" w:ascii="宋体" w:hAnsi="宋体" w:eastAsia="宋体" w:cs="Times New Roman"/>
                <w:szCs w:val="21"/>
              </w:rPr>
            </w:pPr>
            <w:r>
              <w:rPr>
                <w:rFonts w:ascii="宋体" w:hAnsi="宋体" w:eastAsia="宋体" w:cs="Times New Roman"/>
                <w:szCs w:val="21"/>
              </w:rPr>
              <w:t>10%</w:t>
            </w:r>
          </w:p>
        </w:tc>
      </w:tr>
      <w:tr w14:paraId="3B5F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669" w:type="dxa"/>
            <w:vAlign w:val="center"/>
          </w:tcPr>
          <w:p w14:paraId="2D0DE1E2">
            <w:pPr>
              <w:spacing w:line="360" w:lineRule="auto"/>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5921" w:type="dxa"/>
            <w:vAlign w:val="center"/>
          </w:tcPr>
          <w:p w14:paraId="089F758B">
            <w:pPr>
              <w:spacing w:line="360" w:lineRule="auto"/>
              <w:jc w:val="left"/>
              <w:rPr>
                <w:rFonts w:ascii="Times New Roman" w:hAnsi="Times New Roman" w:eastAsia="宋体" w:cs="Times New Roman"/>
                <w:szCs w:val="21"/>
              </w:rPr>
            </w:pPr>
          </w:p>
        </w:tc>
        <w:tc>
          <w:tcPr>
            <w:tcW w:w="0" w:type="auto"/>
            <w:vAlign w:val="center"/>
          </w:tcPr>
          <w:p w14:paraId="686D1230">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5DAC4DEE">
      <w:pPr>
        <w:spacing w:line="360" w:lineRule="auto"/>
        <w:ind w:firstLine="422" w:firstLineChars="200"/>
        <w:jc w:val="left"/>
        <w:outlineLvl w:val="1"/>
        <w:rPr>
          <w:rFonts w:hint="eastAsia" w:ascii="宋体" w:hAnsi="宋体" w:eastAsia="宋体" w:cs="Times New Roman"/>
          <w:b/>
          <w:szCs w:val="21"/>
        </w:rPr>
      </w:pPr>
      <w:bookmarkStart w:id="2051" w:name="_Toc23046"/>
      <w:r>
        <w:rPr>
          <w:rFonts w:hint="eastAsia" w:ascii="宋体" w:hAnsi="宋体" w:eastAsia="宋体" w:cs="Times New Roman"/>
          <w:b/>
          <w:szCs w:val="21"/>
        </w:rPr>
        <w:t>（三）课程目标达成度计算方法</w:t>
      </w:r>
      <w:bookmarkEnd w:id="2051"/>
    </w:p>
    <w:p w14:paraId="36367968">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2DC4B5E">
      <w:pPr>
        <w:spacing w:before="156" w:beforeLines="50" w:line="360" w:lineRule="auto"/>
        <w:ind w:firstLine="420" w:firstLineChars="200"/>
        <w:jc w:val="left"/>
        <w:rPr>
          <w:rFonts w:ascii="Times New Roman" w:hAnsi="Times New Roman" w:eastAsia="宋体" w:cs="Times New Roman"/>
          <w:b/>
          <w:sz w:val="24"/>
        </w:rPr>
      </w:pPr>
      <w:r>
        <w:rPr>
          <w:rFonts w:ascii="宋体" w:hAnsi="宋体" w:eastAsia="宋体" w:cs="Times New Roman"/>
          <w:szCs w:val="21"/>
        </w:rPr>
        <w:object>
          <v:shape id="_x0000_i1084"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84" DrawAspect="Content" ObjectID="_1468075784" r:id="rId72">
            <o:LockedField>false</o:LockedField>
          </o:OLEObject>
        </w:object>
      </w:r>
      <w:bookmarkStart w:id="2052" w:name="_Toc25881"/>
      <w:bookmarkStart w:id="2053" w:name="_Toc17633"/>
      <w:bookmarkStart w:id="2054" w:name="_Toc10773"/>
      <w:bookmarkStart w:id="2055" w:name="_Toc25449"/>
      <w:bookmarkStart w:id="2056" w:name="_Toc5024"/>
      <w:bookmarkStart w:id="2057" w:name="_Toc19488"/>
      <w:bookmarkStart w:id="2058" w:name="_Toc6122"/>
      <w:r>
        <w:rPr>
          <w:rFonts w:hint="eastAsia" w:ascii="Times New Roman" w:hAnsi="Times New Roman" w:eastAsia="宋体" w:cs="Times New Roman"/>
          <w:b/>
          <w:sz w:val="24"/>
        </w:rPr>
        <w:t>五、课内实践</w:t>
      </w:r>
      <w:bookmarkEnd w:id="2052"/>
      <w:bookmarkEnd w:id="2053"/>
      <w:bookmarkEnd w:id="2054"/>
      <w:bookmarkEnd w:id="2055"/>
      <w:bookmarkEnd w:id="2056"/>
      <w:bookmarkEnd w:id="2057"/>
      <w:bookmarkEnd w:id="2058"/>
    </w:p>
    <w:p w14:paraId="38444504">
      <w:pPr>
        <w:spacing w:line="360" w:lineRule="auto"/>
        <w:ind w:firstLine="411" w:firstLineChars="196"/>
        <w:jc w:val="left"/>
        <w:rPr>
          <w:rFonts w:ascii="Times New Roman" w:hAnsi="Times New Roman" w:eastAsia="宋体" w:cs="Times New Roman"/>
          <w:szCs w:val="21"/>
        </w:rPr>
      </w:pPr>
      <w:r>
        <w:rPr>
          <w:rFonts w:hint="eastAsia" w:ascii="Times New Roman" w:hAnsi="Times New Roman" w:eastAsia="宋体" w:cs="Times New Roman"/>
          <w:szCs w:val="21"/>
        </w:rPr>
        <w:t>无</w:t>
      </w:r>
    </w:p>
    <w:p w14:paraId="2E188B90">
      <w:pPr>
        <w:spacing w:before="62" w:beforeLines="20" w:after="62" w:afterLines="20" w:line="360" w:lineRule="auto"/>
        <w:jc w:val="left"/>
        <w:rPr>
          <w:rFonts w:ascii="Times New Roman" w:hAnsi="Times New Roman" w:eastAsia="宋体" w:cs="Times New Roman"/>
          <w:b/>
          <w:sz w:val="24"/>
        </w:rPr>
      </w:pPr>
      <w:bookmarkStart w:id="2059" w:name="_Toc4225"/>
      <w:bookmarkStart w:id="2060" w:name="_Toc663"/>
      <w:bookmarkStart w:id="2061" w:name="_Toc15747"/>
      <w:bookmarkStart w:id="2062" w:name="_Toc8046"/>
      <w:bookmarkStart w:id="2063" w:name="_Toc30818"/>
      <w:bookmarkStart w:id="2064" w:name="_Toc22926"/>
      <w:bookmarkStart w:id="2065" w:name="_Toc30208"/>
      <w:r>
        <w:rPr>
          <w:rFonts w:hint="eastAsia" w:ascii="Times New Roman" w:hAnsi="Times New Roman" w:eastAsia="宋体" w:cs="Times New Roman"/>
          <w:b/>
          <w:sz w:val="24"/>
        </w:rPr>
        <w:t>六、有关说明</w:t>
      </w:r>
      <w:bookmarkEnd w:id="2059"/>
      <w:bookmarkEnd w:id="2060"/>
      <w:bookmarkEnd w:id="2061"/>
      <w:bookmarkEnd w:id="2062"/>
      <w:bookmarkEnd w:id="2063"/>
      <w:bookmarkEnd w:id="2064"/>
      <w:bookmarkEnd w:id="2065"/>
    </w:p>
    <w:p w14:paraId="7EAED65F">
      <w:pPr>
        <w:spacing w:line="360" w:lineRule="auto"/>
        <w:ind w:firstLine="422" w:firstLineChars="200"/>
        <w:jc w:val="left"/>
        <w:outlineLvl w:val="1"/>
        <w:rPr>
          <w:rFonts w:ascii="Times New Roman" w:hAnsi="Times New Roman" w:eastAsia="宋体" w:cs="Times New Roman"/>
          <w:b/>
          <w:szCs w:val="21"/>
        </w:rPr>
      </w:pPr>
      <w:bookmarkStart w:id="2066" w:name="_Toc4461"/>
      <w:r>
        <w:rPr>
          <w:rFonts w:hint="eastAsia" w:ascii="Times New Roman" w:hAnsi="Times New Roman" w:eastAsia="宋体" w:cs="Times New Roman"/>
          <w:b/>
          <w:szCs w:val="21"/>
        </w:rPr>
        <w:t>（一）持续改进</w:t>
      </w:r>
      <w:bookmarkEnd w:id="2066"/>
    </w:p>
    <w:p w14:paraId="1462EA28">
      <w:pPr>
        <w:spacing w:line="360" w:lineRule="auto"/>
        <w:ind w:firstLine="525" w:firstLineChars="250"/>
        <w:jc w:val="left"/>
        <w:rPr>
          <w:rFonts w:ascii="Times New Roman" w:hAnsi="Times New Roman" w:eastAsia="宋体" w:cs="Times New Roman"/>
          <w:szCs w:val="21"/>
        </w:rPr>
      </w:pPr>
      <w:r>
        <w:rPr>
          <w:rFonts w:hint="eastAsia" w:ascii="Times New Roman" w:hAnsi="Times New Roman" w:eastAsia="宋体" w:cs="Times New Roman"/>
          <w:szCs w:val="21"/>
        </w:rPr>
        <w:t>本课程根据学生实训情况、教学督导反馈等，及时对教学实训中的不足之处进行改进，并在下一轮课程实施中整改完善，确保相应毕业要求指标点达成。</w:t>
      </w:r>
    </w:p>
    <w:p w14:paraId="31BDCCE2">
      <w:pPr>
        <w:spacing w:line="360" w:lineRule="auto"/>
        <w:ind w:firstLine="527" w:firstLineChars="250"/>
        <w:jc w:val="left"/>
        <w:outlineLvl w:val="1"/>
        <w:rPr>
          <w:rFonts w:ascii="Times New Roman" w:hAnsi="Times New Roman" w:eastAsia="宋体" w:cs="Times New Roman"/>
          <w:b/>
          <w:szCs w:val="21"/>
        </w:rPr>
      </w:pPr>
      <w:bookmarkStart w:id="2067" w:name="_Toc26444"/>
      <w:r>
        <w:rPr>
          <w:rFonts w:hint="eastAsia" w:ascii="Times New Roman" w:hAnsi="Times New Roman" w:eastAsia="宋体" w:cs="Times New Roman"/>
          <w:b/>
          <w:szCs w:val="21"/>
        </w:rPr>
        <w:t>（二）建议教材</w:t>
      </w:r>
      <w:bookmarkEnd w:id="2067"/>
    </w:p>
    <w:p w14:paraId="5969D776">
      <w:pPr>
        <w:spacing w:line="360" w:lineRule="auto"/>
        <w:ind w:firstLine="525" w:firstLineChars="250"/>
        <w:jc w:val="left"/>
        <w:rPr>
          <w:rFonts w:ascii="Times New Roman" w:hAnsi="Times New Roman" w:eastAsia="宋体" w:cs="Times New Roman"/>
          <w:bCs/>
          <w:szCs w:val="21"/>
        </w:rPr>
      </w:pPr>
      <w:r>
        <w:rPr>
          <w:rFonts w:hint="eastAsia" w:ascii="Times New Roman" w:hAnsi="Times New Roman" w:eastAsia="宋体" w:cs="Times New Roman"/>
          <w:bCs/>
          <w:szCs w:val="21"/>
        </w:rPr>
        <w:t>教学实训手册（自编）</w:t>
      </w:r>
    </w:p>
    <w:p w14:paraId="4C7BB025">
      <w:pPr>
        <w:spacing w:line="360" w:lineRule="auto"/>
        <w:ind w:firstLine="527" w:firstLineChars="250"/>
        <w:jc w:val="left"/>
        <w:outlineLvl w:val="1"/>
        <w:rPr>
          <w:rFonts w:ascii="Times New Roman" w:hAnsi="Times New Roman" w:eastAsia="宋体" w:cs="Times New Roman"/>
          <w:b/>
          <w:szCs w:val="21"/>
        </w:rPr>
      </w:pPr>
      <w:bookmarkStart w:id="2068" w:name="_Toc15403"/>
      <w:r>
        <w:rPr>
          <w:rFonts w:hint="eastAsia" w:ascii="Times New Roman" w:hAnsi="Times New Roman" w:eastAsia="宋体" w:cs="Times New Roman"/>
          <w:b/>
          <w:szCs w:val="21"/>
        </w:rPr>
        <w:t>（三）参考书目</w:t>
      </w:r>
      <w:bookmarkEnd w:id="2068"/>
    </w:p>
    <w:p w14:paraId="402152F5">
      <w:pPr>
        <w:spacing w:line="360" w:lineRule="auto"/>
        <w:ind w:firstLine="525" w:firstLineChars="250"/>
        <w:jc w:val="left"/>
        <w:rPr>
          <w:rFonts w:hint="eastAsia" w:ascii="宋体" w:hAnsi="宋体" w:eastAsia="宋体" w:cs="Times New Roman"/>
          <w:szCs w:val="21"/>
        </w:rPr>
      </w:pPr>
      <w:r>
        <w:rPr>
          <w:rFonts w:ascii="宋体" w:hAnsi="宋体" w:eastAsia="宋体" w:cs="Times New Roman"/>
          <w:szCs w:val="21"/>
        </w:rPr>
        <w:t>1．相关学科课程标准</w:t>
      </w:r>
    </w:p>
    <w:p w14:paraId="597860D6">
      <w:pPr>
        <w:spacing w:line="360" w:lineRule="auto"/>
        <w:ind w:firstLine="525" w:firstLineChars="250"/>
        <w:jc w:val="left"/>
        <w:rPr>
          <w:rFonts w:hint="eastAsia" w:ascii="宋体" w:hAnsi="宋体" w:eastAsia="宋体" w:cs="Times New Roman"/>
          <w:szCs w:val="21"/>
        </w:rPr>
      </w:pPr>
      <w:r>
        <w:rPr>
          <w:rFonts w:ascii="宋体" w:hAnsi="宋体" w:eastAsia="宋体" w:cs="Times New Roman"/>
          <w:szCs w:val="21"/>
        </w:rPr>
        <w:t>2．相关学科小学各年级教材。</w:t>
      </w:r>
    </w:p>
    <w:p w14:paraId="7A27D7CB">
      <w:pPr>
        <w:rPr>
          <w:rFonts w:hint="eastAsia" w:ascii="等线" w:hAnsi="等线" w:eastAsia="等线" w:cs="Times New Roman"/>
          <w:szCs w:val="22"/>
        </w:rPr>
      </w:pPr>
    </w:p>
    <w:p w14:paraId="658E6FB8">
      <w:pPr>
        <w:spacing w:line="360" w:lineRule="auto"/>
        <w:ind w:right="1200" w:firstLine="5250" w:firstLineChars="2500"/>
        <w:rPr>
          <w:rFonts w:ascii="Times New Roman" w:hAnsi="Times New Roman" w:eastAsia="宋体" w:cs="Times New Roman"/>
          <w:szCs w:val="21"/>
        </w:rPr>
      </w:pPr>
      <w:r>
        <w:rPr>
          <w:rFonts w:hint="eastAsia" w:ascii="Times New Roman" w:hAnsi="Times New Roman" w:eastAsia="宋体" w:cs="Times New Roman"/>
          <w:szCs w:val="21"/>
        </w:rPr>
        <w:t>执 笔 人：谢国忠</w:t>
      </w:r>
    </w:p>
    <w:p w14:paraId="2460D21E">
      <w:pPr>
        <w:wordWrap w:val="0"/>
        <w:spacing w:line="360" w:lineRule="auto"/>
        <w:ind w:right="1440" w:firstLine="5250" w:firstLineChars="2500"/>
        <w:rPr>
          <w:rFonts w:ascii="Times New Roman" w:hAnsi="Times New Roman" w:eastAsia="宋体" w:cs="Times New Roman"/>
          <w:szCs w:val="21"/>
        </w:rPr>
      </w:pPr>
      <w:r>
        <w:rPr>
          <w:rFonts w:hint="eastAsia" w:ascii="Times New Roman" w:hAnsi="Times New Roman" w:eastAsia="宋体" w:cs="Times New Roman"/>
          <w:szCs w:val="21"/>
        </w:rPr>
        <w:t>审 定 人：王 健</w:t>
      </w:r>
    </w:p>
    <w:p w14:paraId="31698E6F">
      <w:pPr>
        <w:spacing w:line="360" w:lineRule="auto"/>
        <w:ind w:right="1200" w:firstLine="5250" w:firstLineChars="2500"/>
        <w:rPr>
          <w:rFonts w:ascii="Times New Roman" w:hAnsi="Times New Roman" w:eastAsia="宋体" w:cs="Times New Roman"/>
          <w:szCs w:val="21"/>
        </w:rPr>
      </w:pPr>
      <w:r>
        <w:rPr>
          <w:rFonts w:hint="eastAsia" w:ascii="Times New Roman" w:hAnsi="Times New Roman" w:eastAsia="宋体" w:cs="Times New Roman"/>
          <w:szCs w:val="21"/>
        </w:rPr>
        <w:t>审 批 人：</w:t>
      </w:r>
      <w:r>
        <w:rPr>
          <w:rFonts w:ascii="Times New Roman" w:hAnsi="Times New Roman" w:eastAsia="宋体" w:cs="Times New Roman"/>
          <w:szCs w:val="21"/>
        </w:rPr>
        <w:t xml:space="preserve"> </w:t>
      </w:r>
      <w:r>
        <w:rPr>
          <w:rFonts w:hint="eastAsia" w:ascii="Times New Roman" w:hAnsi="Times New Roman" w:eastAsia="宋体" w:cs="Times New Roman"/>
          <w:szCs w:val="21"/>
        </w:rPr>
        <w:t>张志欣</w:t>
      </w:r>
    </w:p>
    <w:p w14:paraId="398A0161">
      <w:pPr>
        <w:spacing w:line="360" w:lineRule="auto"/>
        <w:ind w:firstLine="5250" w:firstLineChars="2500"/>
        <w:rPr>
          <w:rFonts w:ascii="Times New Roman" w:hAnsi="Times New Roman" w:eastAsia="宋体" w:cs="Times New Roman"/>
          <w:sz w:val="24"/>
        </w:rPr>
      </w:pPr>
      <w:r>
        <w:rPr>
          <w:rFonts w:hint="eastAsia" w:ascii="Times New Roman" w:hAnsi="Times New Roman" w:eastAsia="宋体" w:cs="Times New Roman"/>
          <w:szCs w:val="21"/>
        </w:rPr>
        <w:t>批准时间：2025年7月1日</w:t>
      </w:r>
    </w:p>
    <w:p w14:paraId="7E63C3E5">
      <w:pPr>
        <w:rPr>
          <w:rFonts w:hint="eastAsia" w:ascii="等线" w:hAnsi="等线" w:eastAsia="等线" w:cs="Times New Roman"/>
          <w:kern w:val="0"/>
          <w:szCs w:val="21"/>
        </w:rPr>
      </w:pPr>
      <w:r>
        <w:rPr>
          <w:rFonts w:hint="eastAsia" w:ascii="等线" w:hAnsi="等线" w:eastAsia="等线" w:cs="Times New Roman"/>
          <w:kern w:val="0"/>
          <w:szCs w:val="21"/>
        </w:rPr>
        <w:br w:type="page"/>
      </w:r>
    </w:p>
    <w:p w14:paraId="545F2A57">
      <w:pPr>
        <w:spacing w:line="360" w:lineRule="auto"/>
        <w:jc w:val="center"/>
        <w:outlineLvl w:val="0"/>
        <w:rPr>
          <w:rFonts w:ascii="Times New Roman" w:hAnsi="Times New Roman" w:eastAsia="宋体" w:cs="Times New Roman"/>
          <w:b/>
          <w:sz w:val="44"/>
          <w:szCs w:val="44"/>
        </w:rPr>
      </w:pPr>
      <w:bookmarkStart w:id="2069" w:name="_Toc13284"/>
      <w:bookmarkStart w:id="2070" w:name="_Toc31570"/>
      <w:bookmarkStart w:id="2071" w:name="_Toc29356"/>
      <w:bookmarkStart w:id="2072" w:name="_Toc32732"/>
      <w:r>
        <w:rPr>
          <w:rFonts w:hint="eastAsia" w:ascii="Times New Roman" w:hAnsi="Times New Roman" w:eastAsia="宋体" w:cs="Times New Roman"/>
          <w:b/>
          <w:sz w:val="44"/>
          <w:szCs w:val="44"/>
        </w:rPr>
        <w:t>《教育实习I》课程教学大纲</w:t>
      </w:r>
      <w:bookmarkEnd w:id="2069"/>
      <w:bookmarkEnd w:id="2070"/>
      <w:bookmarkEnd w:id="2071"/>
      <w:bookmarkEnd w:id="2072"/>
    </w:p>
    <w:p w14:paraId="61E83913">
      <w:pPr>
        <w:spacing w:line="360" w:lineRule="auto"/>
        <w:jc w:val="center"/>
      </w:pPr>
      <w:bookmarkStart w:id="2073" w:name="_Toc4137"/>
      <w:bookmarkStart w:id="2074" w:name="_Toc28327"/>
      <w:bookmarkStart w:id="2075" w:name="_Toc17545"/>
      <w:bookmarkStart w:id="2076" w:name="_Toc28261"/>
      <w:bookmarkStart w:id="2077" w:name="_Toc11288"/>
      <w:bookmarkStart w:id="2078" w:name="_Toc17671"/>
      <w:bookmarkStart w:id="2079" w:name="_Toc7095"/>
      <w:r>
        <w:rPr>
          <w:rFonts w:hint="eastAsia" w:ascii="Times New Roman" w:hAnsi="Times New Roman" w:eastAsia="宋体" w:cs="Times New Roman"/>
          <w:b/>
          <w:bCs/>
          <w:sz w:val="28"/>
          <w:szCs w:val="28"/>
        </w:rPr>
        <w:t>（Educational Practice I）</w:t>
      </w:r>
      <w:bookmarkEnd w:id="2073"/>
      <w:bookmarkEnd w:id="2074"/>
      <w:bookmarkEnd w:id="2075"/>
      <w:bookmarkEnd w:id="2076"/>
      <w:bookmarkEnd w:id="2077"/>
      <w:bookmarkEnd w:id="2078"/>
      <w:bookmarkEnd w:id="2079"/>
    </w:p>
    <w:p w14:paraId="24E27634">
      <w:pPr>
        <w:spacing w:line="360" w:lineRule="auto"/>
        <w:ind w:firstLine="422" w:firstLineChars="200"/>
        <w:jc w:val="left"/>
        <w:rPr>
          <w:rFonts w:ascii="Times New Roman" w:hAnsi="Times New Roman" w:eastAsia="宋体" w:cs="Times New Roman"/>
          <w:b/>
          <w:szCs w:val="21"/>
        </w:rPr>
      </w:pPr>
    </w:p>
    <w:p w14:paraId="1EDD7CBD">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课程名称：教育实习I</w:t>
      </w:r>
    </w:p>
    <w:p w14:paraId="32071BF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课程代码：2401050</w:t>
      </w:r>
    </w:p>
    <w:p w14:paraId="55C82972">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分：2</w:t>
      </w:r>
    </w:p>
    <w:p w14:paraId="7AEAD107">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时：4周</w:t>
      </w:r>
    </w:p>
    <w:p w14:paraId="1D61F8D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先修课程：小学心理学、教育原理、中国教育史、书写技能、普通话训练、课程与教学论、教育心理学、认知实习、教育见习等。</w:t>
      </w:r>
    </w:p>
    <w:p w14:paraId="529467A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225A9006">
      <w:pPr>
        <w:spacing w:before="62" w:beforeLines="20" w:after="62" w:afterLines="20" w:line="360" w:lineRule="auto"/>
        <w:jc w:val="left"/>
        <w:rPr>
          <w:rFonts w:ascii="Times New Roman" w:hAnsi="Times New Roman" w:eastAsia="宋体" w:cs="Times New Roman"/>
          <w:b/>
          <w:sz w:val="24"/>
        </w:rPr>
      </w:pPr>
      <w:bookmarkStart w:id="2080" w:name="_Toc3942"/>
      <w:r>
        <w:rPr>
          <w:rFonts w:hint="eastAsia" w:ascii="Times New Roman" w:hAnsi="Times New Roman" w:eastAsia="宋体" w:cs="Times New Roman"/>
          <w:b/>
          <w:sz w:val="24"/>
        </w:rPr>
        <w:t>一、课程简介</w:t>
      </w:r>
      <w:bookmarkEnd w:id="2080"/>
    </w:p>
    <w:p w14:paraId="0753FBCB">
      <w:pPr>
        <w:spacing w:before="156" w:beforeLines="50"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教育实习Ⅰ是小学教育专业重要的实践性环节。本课程旨在为师范生提供将教育理论转化为教育实践的平台。学生在教育实习活动中巩固和加深对教育教学理论知识的理解，磨练专业技能，形成良好的师生观念与教学观念，深厚从事教师职业的情感，初步具有独立从事教育、教学工作和教育科学研究的能力，完成由师范生向一名准教师的转变。</w:t>
      </w:r>
    </w:p>
    <w:p w14:paraId="3BEF4468">
      <w:pPr>
        <w:spacing w:before="62" w:beforeLines="20" w:after="62" w:afterLines="20" w:line="360" w:lineRule="auto"/>
        <w:jc w:val="left"/>
        <w:rPr>
          <w:rFonts w:ascii="Times New Roman" w:hAnsi="Times New Roman" w:eastAsia="宋体" w:cs="Times New Roman"/>
          <w:b/>
          <w:sz w:val="24"/>
        </w:rPr>
      </w:pPr>
      <w:bookmarkStart w:id="2081" w:name="_Toc21705"/>
      <w:r>
        <w:rPr>
          <w:rFonts w:hint="eastAsia" w:ascii="Times New Roman" w:hAnsi="Times New Roman" w:eastAsia="宋体" w:cs="Times New Roman"/>
          <w:b/>
          <w:sz w:val="24"/>
        </w:rPr>
        <w:t>二、课程目标</w:t>
      </w:r>
      <w:bookmarkEnd w:id="2081"/>
    </w:p>
    <w:p w14:paraId="65202352">
      <w:pPr>
        <w:spacing w:line="360" w:lineRule="auto"/>
        <w:ind w:firstLine="422" w:firstLineChars="200"/>
        <w:outlineLvl w:val="2"/>
        <w:rPr>
          <w:rFonts w:ascii="Times New Roman" w:hAnsi="Times New Roman" w:eastAsia="宋体" w:cs="Times New Roman"/>
          <w:b/>
          <w:bCs/>
          <w:szCs w:val="21"/>
        </w:rPr>
      </w:pPr>
      <w:bookmarkStart w:id="2082" w:name="_Toc10541"/>
      <w:r>
        <w:rPr>
          <w:rFonts w:hint="eastAsia" w:ascii="Times New Roman" w:hAnsi="Times New Roman" w:eastAsia="宋体" w:cs="Times New Roman"/>
          <w:b/>
          <w:bCs/>
          <w:szCs w:val="21"/>
        </w:rPr>
        <w:t>（一）课程具体目标</w:t>
      </w:r>
      <w:bookmarkEnd w:id="2082"/>
    </w:p>
    <w:p w14:paraId="1CF7DCF4">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目标1. 在实践中增进对儿童的认识，体验和感受教师职业的光荣感和责任感；接受职业道德教育和训练，自觉加强师德修养，养成和坚定献身小学教育事业的专业信念。</w:t>
      </w:r>
    </w:p>
    <w:p w14:paraId="6BE44026">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目标2. 通过课堂教学实习，获得对教育实践情境的认知，将在理论课程中习得的文化科学知识、教育理论知识与实践相融合；进一步理解学科核心素养和学科课程独特的育人功能，在开展教学设计、教学实施、教学评价、教学反思的过程中，提升教育实践能力、学科育人能力和教学研究能力。</w:t>
      </w:r>
    </w:p>
    <w:p w14:paraId="2E7DE4E5">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目标3. 通过班队工作实习，进一步体会文化、活动的育人价值，加深理解和综合运用小学班队组织与建设的工作规律与方法，学会处理日常教育教学工作中的突发性事件，具备独立从事班级管理的实践能力。</w:t>
      </w:r>
    </w:p>
    <w:p w14:paraId="2EC2FF08">
      <w:pPr>
        <w:spacing w:line="360" w:lineRule="auto"/>
        <w:ind w:firstLine="420" w:firstLineChars="200"/>
        <w:rPr>
          <w:rFonts w:ascii="Times New Roman" w:hAnsi="Times New Roman" w:eastAsia="宋体" w:cs="Times New Roman"/>
          <w:b/>
          <w:bCs/>
          <w:szCs w:val="21"/>
        </w:rPr>
      </w:pPr>
      <w:r>
        <w:rPr>
          <w:rFonts w:hint="eastAsia" w:ascii="Times New Roman" w:hAnsi="Times New Roman" w:eastAsia="宋体" w:cs="Times New Roman"/>
          <w:szCs w:val="21"/>
        </w:rPr>
        <w:t>目标4.了解学校的文化建构、课程设置、教师日常工作的基本流程，认真观察并记录实习学校中有关的教育教学现象，并有针对性的结合相关理论进行反思，习得与教师、学生、家长进行有效沟通技能和方法。</w:t>
      </w:r>
    </w:p>
    <w:p w14:paraId="09BEA795">
      <w:pPr>
        <w:numPr>
          <w:ilvl w:val="0"/>
          <w:numId w:val="77"/>
        </w:numPr>
        <w:spacing w:line="360" w:lineRule="auto"/>
        <w:ind w:firstLine="482" w:firstLineChars="200"/>
        <w:outlineLvl w:val="2"/>
        <w:rPr>
          <w:rFonts w:ascii="Times New Roman" w:hAnsi="Times New Roman" w:eastAsia="宋体" w:cs="Times New Roman"/>
          <w:b/>
          <w:bCs/>
          <w:sz w:val="24"/>
          <w:szCs w:val="28"/>
        </w:rPr>
      </w:pPr>
      <w:bookmarkStart w:id="2083" w:name="_Toc8904"/>
      <w:r>
        <w:rPr>
          <w:rFonts w:hint="eastAsia" w:ascii="Times New Roman" w:hAnsi="Times New Roman" w:eastAsia="宋体" w:cs="Times New Roman"/>
          <w:b/>
          <w:bCs/>
          <w:sz w:val="24"/>
          <w:szCs w:val="28"/>
        </w:rPr>
        <w:t>课程目标与专业毕业要求的关系</w:t>
      </w:r>
      <w:bookmarkEnd w:id="2083"/>
    </w:p>
    <w:tbl>
      <w:tblPr>
        <w:tblStyle w:val="11"/>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6335"/>
        <w:gridCol w:w="1286"/>
      </w:tblGrid>
      <w:tr w14:paraId="3A9BE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7" w:type="dxa"/>
            <w:vAlign w:val="center"/>
          </w:tcPr>
          <w:p w14:paraId="722FB227">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毕业要求</w:t>
            </w:r>
          </w:p>
        </w:tc>
        <w:tc>
          <w:tcPr>
            <w:tcW w:w="6335" w:type="dxa"/>
            <w:vAlign w:val="center"/>
          </w:tcPr>
          <w:p w14:paraId="2AD276C2">
            <w:pPr>
              <w:adjustRightInd w:val="0"/>
              <w:snapToGrid w:val="0"/>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286" w:type="dxa"/>
            <w:vAlign w:val="center"/>
          </w:tcPr>
          <w:p w14:paraId="6722BC3A">
            <w:pPr>
              <w:adjustRightInd w:val="0"/>
              <w:snapToGrid w:val="0"/>
              <w:rPr>
                <w:rFonts w:hint="eastAsia" w:ascii="宋体" w:hAnsi="宋体" w:eastAsia="宋体" w:cs="宋体"/>
                <w:b/>
                <w:bCs/>
                <w:szCs w:val="21"/>
              </w:rPr>
            </w:pPr>
            <w:r>
              <w:rPr>
                <w:rFonts w:hint="eastAsia" w:ascii="宋体" w:hAnsi="宋体" w:eastAsia="宋体" w:cs="宋体"/>
                <w:b/>
                <w:bCs/>
                <w:szCs w:val="21"/>
              </w:rPr>
              <w:t>课程目标</w:t>
            </w:r>
          </w:p>
        </w:tc>
      </w:tr>
      <w:tr w14:paraId="0E3C8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7" w:type="dxa"/>
            <w:vAlign w:val="center"/>
          </w:tcPr>
          <w:p w14:paraId="0B3C7008">
            <w:pPr>
              <w:adjustRightInd w:val="0"/>
              <w:snapToGrid w:val="0"/>
              <w:jc w:val="center"/>
              <w:rPr>
                <w:rFonts w:hint="eastAsia" w:ascii="宋体" w:hAnsi="宋体" w:eastAsia="宋体" w:cs="宋体"/>
                <w:bCs/>
                <w:szCs w:val="21"/>
              </w:rPr>
            </w:pPr>
            <w:r>
              <w:rPr>
                <w:rFonts w:hint="eastAsia" w:ascii="宋体" w:hAnsi="宋体" w:eastAsia="宋体" w:cs="宋体"/>
                <w:bCs/>
                <w:szCs w:val="21"/>
              </w:rPr>
              <w:t>毕业要求1</w:t>
            </w:r>
          </w:p>
          <w:p w14:paraId="28A29110">
            <w:pPr>
              <w:adjustRightInd w:val="0"/>
              <w:snapToGrid w:val="0"/>
              <w:jc w:val="center"/>
              <w:rPr>
                <w:rFonts w:hint="eastAsia" w:ascii="宋体" w:hAnsi="宋体" w:eastAsia="宋体" w:cs="宋体"/>
                <w:bCs/>
                <w:szCs w:val="21"/>
              </w:rPr>
            </w:pPr>
            <w:r>
              <w:rPr>
                <w:rFonts w:hint="eastAsia" w:ascii="宋体" w:hAnsi="宋体" w:eastAsia="宋体" w:cs="宋体"/>
                <w:bCs/>
                <w:szCs w:val="21"/>
              </w:rPr>
              <w:t>师德规范</w:t>
            </w:r>
          </w:p>
        </w:tc>
        <w:tc>
          <w:tcPr>
            <w:tcW w:w="6335" w:type="dxa"/>
            <w:vAlign w:val="center"/>
          </w:tcPr>
          <w:p w14:paraId="7FA3E874">
            <w:pPr>
              <w:adjustRightInd w:val="0"/>
              <w:snapToGrid w:val="0"/>
              <w:rPr>
                <w:rFonts w:hint="eastAsia" w:ascii="宋体" w:hAnsi="宋体" w:eastAsia="宋体" w:cs="宋体"/>
                <w:szCs w:val="21"/>
              </w:rPr>
            </w:pPr>
            <w:r>
              <w:rPr>
                <w:rFonts w:hint="eastAsia" w:ascii="宋体" w:hAnsi="宋体" w:eastAsia="宋体" w:cs="宋体"/>
                <w:b/>
                <w:kern w:val="0"/>
                <w:szCs w:val="21"/>
              </w:rPr>
              <w:t>指标点1-1</w:t>
            </w:r>
            <w:r>
              <w:rPr>
                <w:rFonts w:hint="eastAsia" w:ascii="宋体" w:hAnsi="宋体" w:eastAsia="宋体" w:cs="宋体"/>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p w14:paraId="4E199B95">
            <w:pPr>
              <w:adjustRightInd w:val="0"/>
              <w:snapToGrid w:val="0"/>
              <w:rPr>
                <w:rFonts w:hint="eastAsia" w:ascii="宋体" w:hAnsi="宋体" w:eastAsia="宋体" w:cs="宋体"/>
                <w:szCs w:val="21"/>
              </w:rPr>
            </w:pPr>
            <w:r>
              <w:rPr>
                <w:rFonts w:hint="eastAsia" w:ascii="宋体" w:hAnsi="宋体" w:eastAsia="宋体" w:cs="宋体"/>
                <w:b/>
                <w:szCs w:val="21"/>
              </w:rPr>
              <w:t>指标点1-2</w:t>
            </w:r>
            <w:r>
              <w:rPr>
                <w:rFonts w:hint="eastAsia" w:ascii="宋体" w:hAnsi="宋体" w:eastAsia="宋体" w:cs="宋体"/>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286" w:type="dxa"/>
            <w:vAlign w:val="center"/>
          </w:tcPr>
          <w:p w14:paraId="47727D44">
            <w:pPr>
              <w:adjustRightInd w:val="0"/>
              <w:snapToGrid w:val="0"/>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课程目标1</w:t>
            </w:r>
          </w:p>
        </w:tc>
      </w:tr>
      <w:tr w14:paraId="24B5B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7" w:type="dxa"/>
            <w:vAlign w:val="center"/>
          </w:tcPr>
          <w:p w14:paraId="431D6B28">
            <w:pPr>
              <w:adjustRightInd w:val="0"/>
              <w:snapToGrid w:val="0"/>
              <w:jc w:val="center"/>
              <w:rPr>
                <w:rFonts w:hint="eastAsia" w:ascii="宋体" w:hAnsi="宋体" w:eastAsia="宋体" w:cs="宋体"/>
                <w:bCs/>
                <w:szCs w:val="21"/>
              </w:rPr>
            </w:pPr>
            <w:r>
              <w:rPr>
                <w:rFonts w:hint="eastAsia" w:ascii="宋体" w:hAnsi="宋体" w:eastAsia="宋体" w:cs="宋体"/>
                <w:bCs/>
                <w:szCs w:val="21"/>
              </w:rPr>
              <w:t>毕业要求2</w:t>
            </w:r>
          </w:p>
          <w:p w14:paraId="5AA4AD41">
            <w:pPr>
              <w:adjustRightInd w:val="0"/>
              <w:snapToGrid w:val="0"/>
              <w:jc w:val="center"/>
              <w:rPr>
                <w:rFonts w:hint="eastAsia" w:ascii="宋体" w:hAnsi="宋体" w:eastAsia="宋体" w:cs="宋体"/>
                <w:bCs/>
                <w:szCs w:val="21"/>
              </w:rPr>
            </w:pPr>
            <w:r>
              <w:rPr>
                <w:rFonts w:hint="eastAsia" w:ascii="宋体" w:hAnsi="宋体" w:eastAsia="宋体" w:cs="宋体"/>
                <w:bCs/>
                <w:szCs w:val="21"/>
              </w:rPr>
              <w:t>教育情怀</w:t>
            </w:r>
          </w:p>
        </w:tc>
        <w:tc>
          <w:tcPr>
            <w:tcW w:w="6335" w:type="dxa"/>
            <w:vAlign w:val="center"/>
          </w:tcPr>
          <w:p w14:paraId="7A977AA4">
            <w:pPr>
              <w:adjustRightInd w:val="0"/>
              <w:snapToGrid w:val="0"/>
              <w:rPr>
                <w:rFonts w:hint="eastAsia" w:ascii="宋体" w:hAnsi="宋体" w:eastAsia="宋体" w:cs="宋体"/>
                <w:szCs w:val="21"/>
              </w:rPr>
            </w:pPr>
            <w:r>
              <w:rPr>
                <w:rFonts w:hint="eastAsia" w:ascii="宋体" w:hAnsi="宋体" w:eastAsia="宋体" w:cs="宋体"/>
                <w:b/>
                <w:kern w:val="0"/>
                <w:szCs w:val="21"/>
              </w:rPr>
              <w:t>指标点2-2</w:t>
            </w:r>
            <w:r>
              <w:rPr>
                <w:rFonts w:hint="eastAsia" w:ascii="宋体" w:hAnsi="宋体" w:eastAsia="宋体" w:cs="宋体"/>
                <w:szCs w:val="21"/>
              </w:rPr>
              <w:t>：【仁爱之心深厚】关爱学生，用心从教。具有正确的儿童观，理解、尊重、关爱、保护学生，以儿童发展为教育的中心。爱岗敬业，在教育实践中能认真履行教育教学职责与班主任工作职责，富有爱心、责任心、工作细心、耐心，</w:t>
            </w:r>
            <w:r>
              <w:rPr>
                <w:rFonts w:hint="eastAsia" w:ascii="宋体" w:hAnsi="宋体" w:eastAsia="宋体" w:cs="宋体"/>
                <w:kern w:val="0"/>
                <w:szCs w:val="21"/>
                <w:lang w:bidi="ar"/>
              </w:rPr>
              <w:t>立志成为学生学习的促进者、道德品质和创新思维的培养者，奉献祖国的引路人。</w:t>
            </w:r>
          </w:p>
        </w:tc>
        <w:tc>
          <w:tcPr>
            <w:tcW w:w="1286" w:type="dxa"/>
            <w:vAlign w:val="center"/>
          </w:tcPr>
          <w:p w14:paraId="2048D23A">
            <w:pPr>
              <w:adjustRightInd w:val="0"/>
              <w:snapToGrid w:val="0"/>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课程目标1</w:t>
            </w:r>
          </w:p>
        </w:tc>
      </w:tr>
      <w:tr w14:paraId="51770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7" w:type="dxa"/>
            <w:vAlign w:val="center"/>
          </w:tcPr>
          <w:p w14:paraId="6B29692E">
            <w:pPr>
              <w:adjustRightInd w:val="0"/>
              <w:snapToGrid w:val="0"/>
              <w:jc w:val="center"/>
              <w:rPr>
                <w:rFonts w:hint="eastAsia" w:ascii="宋体" w:hAnsi="宋体" w:eastAsia="宋体" w:cs="宋体"/>
                <w:bCs/>
                <w:szCs w:val="21"/>
              </w:rPr>
            </w:pPr>
            <w:r>
              <w:rPr>
                <w:rFonts w:hint="eastAsia" w:ascii="宋体" w:hAnsi="宋体" w:eastAsia="宋体" w:cs="宋体"/>
                <w:bCs/>
                <w:szCs w:val="21"/>
              </w:rPr>
              <w:t>毕业要求3</w:t>
            </w:r>
          </w:p>
          <w:p w14:paraId="2EB5075E">
            <w:pPr>
              <w:adjustRightInd w:val="0"/>
              <w:snapToGrid w:val="0"/>
              <w:jc w:val="center"/>
              <w:rPr>
                <w:rFonts w:hint="eastAsia" w:ascii="宋体" w:hAnsi="宋体" w:eastAsia="宋体" w:cs="宋体"/>
                <w:bCs/>
                <w:szCs w:val="21"/>
              </w:rPr>
            </w:pPr>
            <w:r>
              <w:rPr>
                <w:rFonts w:hint="eastAsia" w:ascii="宋体" w:hAnsi="宋体" w:eastAsia="宋体" w:cs="宋体"/>
                <w:bCs/>
                <w:szCs w:val="21"/>
              </w:rPr>
              <w:t>学科素养</w:t>
            </w:r>
          </w:p>
        </w:tc>
        <w:tc>
          <w:tcPr>
            <w:tcW w:w="6335" w:type="dxa"/>
            <w:vAlign w:val="center"/>
          </w:tcPr>
          <w:p w14:paraId="71E86C26">
            <w:pPr>
              <w:adjustRightInd w:val="0"/>
              <w:snapToGrid w:val="0"/>
              <w:rPr>
                <w:rFonts w:hint="eastAsia" w:ascii="宋体" w:hAnsi="宋体" w:eastAsia="宋体" w:cs="宋体"/>
                <w:kern w:val="0"/>
                <w:szCs w:val="21"/>
              </w:rPr>
            </w:pPr>
            <w:r>
              <w:rPr>
                <w:rFonts w:hint="eastAsia" w:ascii="宋体" w:hAnsi="宋体" w:eastAsia="宋体" w:cs="宋体"/>
                <w:b/>
                <w:kern w:val="0"/>
                <w:szCs w:val="21"/>
              </w:rPr>
              <w:t>指标点3-3</w:t>
            </w:r>
            <w:r>
              <w:rPr>
                <w:rFonts w:hint="eastAsia" w:ascii="宋体" w:hAnsi="宋体" w:eastAsia="宋体" w:cs="宋体"/>
                <w:szCs w:val="21"/>
              </w:rPr>
              <w:t>：【注重知识整合】了解所教学科与小学其他学科及与社会实践、小学生生活实践之间的联系，了解学科整合在小学教育中的价值，具有跨学科解决问题的意识和能力，能指导综合性学科教学活动。</w:t>
            </w:r>
          </w:p>
        </w:tc>
        <w:tc>
          <w:tcPr>
            <w:tcW w:w="1286" w:type="dxa"/>
            <w:vAlign w:val="center"/>
          </w:tcPr>
          <w:p w14:paraId="7C89E72F">
            <w:pPr>
              <w:adjustRightInd w:val="0"/>
              <w:snapToGrid w:val="0"/>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课程目标2</w:t>
            </w:r>
          </w:p>
        </w:tc>
      </w:tr>
      <w:tr w14:paraId="1FC211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7" w:type="dxa"/>
            <w:vAlign w:val="center"/>
          </w:tcPr>
          <w:p w14:paraId="5D4E4278">
            <w:pPr>
              <w:adjustRightInd w:val="0"/>
              <w:snapToGrid w:val="0"/>
              <w:jc w:val="center"/>
              <w:rPr>
                <w:rFonts w:hint="eastAsia" w:ascii="宋体" w:hAnsi="宋体" w:eastAsia="宋体" w:cs="宋体"/>
                <w:bCs/>
                <w:szCs w:val="21"/>
              </w:rPr>
            </w:pPr>
            <w:r>
              <w:rPr>
                <w:rFonts w:hint="eastAsia" w:ascii="宋体" w:hAnsi="宋体" w:eastAsia="宋体" w:cs="宋体"/>
                <w:bCs/>
                <w:szCs w:val="21"/>
              </w:rPr>
              <w:t>毕业要求4</w:t>
            </w:r>
          </w:p>
          <w:p w14:paraId="1E58CF0F">
            <w:pPr>
              <w:adjustRightInd w:val="0"/>
              <w:snapToGrid w:val="0"/>
              <w:jc w:val="center"/>
              <w:rPr>
                <w:rFonts w:hint="eastAsia" w:ascii="宋体" w:hAnsi="宋体" w:eastAsia="宋体" w:cs="宋体"/>
                <w:bCs/>
                <w:szCs w:val="21"/>
              </w:rPr>
            </w:pPr>
            <w:r>
              <w:rPr>
                <w:rFonts w:hint="eastAsia" w:ascii="宋体" w:hAnsi="宋体" w:eastAsia="宋体" w:cs="宋体"/>
                <w:bCs/>
                <w:szCs w:val="21"/>
              </w:rPr>
              <w:t>教学能力</w:t>
            </w:r>
          </w:p>
        </w:tc>
        <w:tc>
          <w:tcPr>
            <w:tcW w:w="6335" w:type="dxa"/>
            <w:vAlign w:val="center"/>
          </w:tcPr>
          <w:p w14:paraId="500C47A4">
            <w:pPr>
              <w:adjustRightInd w:val="0"/>
              <w:snapToGrid w:val="0"/>
              <w:rPr>
                <w:rFonts w:hint="eastAsia" w:ascii="宋体" w:hAnsi="宋体" w:eastAsia="宋体" w:cs="宋体"/>
                <w:kern w:val="0"/>
                <w:szCs w:val="21"/>
              </w:rPr>
            </w:pPr>
            <w:r>
              <w:rPr>
                <w:rFonts w:hint="eastAsia" w:ascii="宋体" w:hAnsi="宋体" w:eastAsia="宋体" w:cs="宋体"/>
                <w:b/>
                <w:kern w:val="0"/>
                <w:szCs w:val="21"/>
              </w:rPr>
              <w:t>指标点4-1</w:t>
            </w:r>
            <w:r>
              <w:rPr>
                <w:rFonts w:hint="eastAsia" w:ascii="宋体" w:hAnsi="宋体" w:eastAsia="宋体" w:cs="宋体"/>
                <w:kern w:val="0"/>
                <w:szCs w:val="21"/>
              </w:rPr>
              <w:t>：</w:t>
            </w:r>
            <w:r>
              <w:rPr>
                <w:rFonts w:hint="eastAsia" w:ascii="宋体" w:hAnsi="宋体" w:eastAsia="宋体" w:cs="宋体"/>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r>
              <w:rPr>
                <w:rFonts w:hint="eastAsia" w:ascii="宋体" w:hAnsi="宋体" w:eastAsia="宋体" w:cs="宋体"/>
                <w:kern w:val="0"/>
                <w:szCs w:val="21"/>
              </w:rPr>
              <w:t>。</w:t>
            </w:r>
          </w:p>
          <w:p w14:paraId="02254C94">
            <w:pPr>
              <w:adjustRightInd w:val="0"/>
              <w:snapToGrid w:val="0"/>
              <w:rPr>
                <w:rFonts w:hint="eastAsia" w:ascii="宋体" w:hAnsi="宋体" w:eastAsia="宋体" w:cs="宋体"/>
                <w:szCs w:val="21"/>
              </w:rPr>
            </w:pPr>
            <w:r>
              <w:rPr>
                <w:rFonts w:hint="eastAsia" w:ascii="宋体" w:hAnsi="宋体" w:eastAsia="宋体" w:cs="宋体"/>
                <w:b/>
                <w:szCs w:val="21"/>
              </w:rPr>
              <w:t>指标点4-2</w:t>
            </w:r>
            <w:r>
              <w:rPr>
                <w:rFonts w:hint="eastAsia" w:ascii="宋体" w:hAnsi="宋体" w:eastAsia="宋体" w:cs="宋体"/>
                <w:szCs w:val="21"/>
              </w:rPr>
              <w:t>：【教学设计恰当】能针对小学生已有的知识水平、学习经验和兴趣特点，依据课标确定恰当的学习目标和学习重点，设计学习活动。能依据单元内容进行整体设计，科学合理地依据教学目标及内容设计作业。</w:t>
            </w:r>
          </w:p>
          <w:p w14:paraId="6BF76FC0">
            <w:pPr>
              <w:adjustRightInd w:val="0"/>
              <w:snapToGrid w:val="0"/>
              <w:rPr>
                <w:rFonts w:hint="eastAsia" w:ascii="宋体" w:hAnsi="宋体" w:eastAsia="宋体" w:cs="宋体"/>
                <w:szCs w:val="21"/>
              </w:rPr>
            </w:pPr>
            <w:r>
              <w:rPr>
                <w:rFonts w:hint="eastAsia" w:ascii="宋体" w:hAnsi="宋体" w:eastAsia="宋体" w:cs="宋体"/>
                <w:b/>
                <w:szCs w:val="21"/>
              </w:rPr>
              <w:t>指标点4-3</w:t>
            </w:r>
            <w:r>
              <w:rPr>
                <w:rFonts w:hint="eastAsia" w:ascii="宋体" w:hAnsi="宋体" w:eastAsia="宋体" w:cs="宋体"/>
                <w:szCs w:val="21"/>
              </w:rPr>
              <w:t>：【教学实施与评价科学】掌握小学教师基本功技能，包括书写技能、沟通与表达技能、信息技术运用技能等。获得全面的小学教学体验，掌握学科教学的基本方法与策略，能独立进行教学实施和评价。</w:t>
            </w:r>
          </w:p>
          <w:p w14:paraId="0E871C7B">
            <w:pPr>
              <w:adjustRightInd w:val="0"/>
              <w:snapToGrid w:val="0"/>
              <w:rPr>
                <w:rFonts w:hint="eastAsia" w:ascii="宋体" w:hAnsi="宋体" w:eastAsia="宋体" w:cs="宋体"/>
                <w:szCs w:val="21"/>
              </w:rPr>
            </w:pPr>
            <w:r>
              <w:rPr>
                <w:rFonts w:hint="eastAsia" w:ascii="宋体" w:hAnsi="宋体" w:eastAsia="宋体" w:cs="宋体"/>
                <w:b/>
                <w:kern w:val="0"/>
                <w:szCs w:val="21"/>
              </w:rPr>
              <w:t>指标点4-4</w:t>
            </w:r>
            <w:r>
              <w:rPr>
                <w:rFonts w:hint="eastAsia" w:ascii="宋体" w:hAnsi="宋体" w:eastAsia="宋体" w:cs="宋体"/>
                <w:szCs w:val="21"/>
              </w:rPr>
              <w:t>：【具备教学研究能力】掌握教育研究的基本方法，在教育教学实践中，结合小学教育教学实践进行研究，具有一定的教学研究能力。</w:t>
            </w:r>
          </w:p>
        </w:tc>
        <w:tc>
          <w:tcPr>
            <w:tcW w:w="1286" w:type="dxa"/>
            <w:vAlign w:val="center"/>
          </w:tcPr>
          <w:p w14:paraId="705C4B4F">
            <w:pPr>
              <w:adjustRightInd w:val="0"/>
              <w:snapToGrid w:val="0"/>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课程目标2</w:t>
            </w:r>
          </w:p>
        </w:tc>
      </w:tr>
      <w:tr w14:paraId="03AC9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7" w:type="dxa"/>
            <w:vAlign w:val="center"/>
          </w:tcPr>
          <w:p w14:paraId="73257838">
            <w:pPr>
              <w:adjustRightInd w:val="0"/>
              <w:snapToGrid w:val="0"/>
              <w:jc w:val="center"/>
              <w:rPr>
                <w:rFonts w:hint="eastAsia" w:ascii="宋体" w:hAnsi="宋体" w:eastAsia="宋体" w:cs="宋体"/>
                <w:bCs/>
                <w:szCs w:val="21"/>
              </w:rPr>
            </w:pPr>
            <w:r>
              <w:rPr>
                <w:rFonts w:hint="eastAsia" w:ascii="宋体" w:hAnsi="宋体" w:eastAsia="宋体" w:cs="宋体"/>
                <w:bCs/>
                <w:szCs w:val="21"/>
              </w:rPr>
              <w:t>毕业要求5</w:t>
            </w:r>
          </w:p>
          <w:p w14:paraId="7F81E2B1">
            <w:pPr>
              <w:adjustRightInd w:val="0"/>
              <w:snapToGrid w:val="0"/>
              <w:jc w:val="center"/>
              <w:rPr>
                <w:rFonts w:hint="eastAsia" w:ascii="宋体" w:hAnsi="宋体" w:eastAsia="宋体" w:cs="宋体"/>
                <w:bCs/>
                <w:szCs w:val="21"/>
              </w:rPr>
            </w:pPr>
            <w:r>
              <w:rPr>
                <w:rFonts w:hint="eastAsia" w:ascii="宋体" w:hAnsi="宋体" w:eastAsia="宋体" w:cs="宋体"/>
                <w:bCs/>
                <w:szCs w:val="21"/>
              </w:rPr>
              <w:t>班级管理</w:t>
            </w:r>
          </w:p>
        </w:tc>
        <w:tc>
          <w:tcPr>
            <w:tcW w:w="6335" w:type="dxa"/>
            <w:vAlign w:val="center"/>
          </w:tcPr>
          <w:p w14:paraId="34E2A54D">
            <w:pPr>
              <w:adjustRightInd w:val="0"/>
              <w:snapToGrid w:val="0"/>
              <w:rPr>
                <w:rFonts w:hint="eastAsia" w:ascii="宋体" w:hAnsi="宋体" w:eastAsia="宋体" w:cs="宋体"/>
                <w:kern w:val="0"/>
                <w:szCs w:val="21"/>
              </w:rPr>
            </w:pPr>
            <w:r>
              <w:rPr>
                <w:rFonts w:hint="eastAsia" w:ascii="宋体" w:hAnsi="宋体" w:eastAsia="宋体" w:cs="宋体"/>
                <w:b/>
                <w:kern w:val="0"/>
                <w:szCs w:val="21"/>
              </w:rPr>
              <w:t>指标点5-1</w:t>
            </w:r>
            <w:r>
              <w:rPr>
                <w:rFonts w:hint="eastAsia" w:ascii="宋体" w:hAnsi="宋体" w:eastAsia="宋体" w:cs="宋体"/>
                <w:kern w:val="0"/>
                <w:szCs w:val="21"/>
              </w:rPr>
              <w:t>：【擅长班队管理】具有小学德育工作体验，树立德育为先的理念，熟悉小学德育的基本原理与方法。获得小学班队组织与建设的体验。掌握小学班队组织与建设的工作规律和基本方法，具有班队建设和管理的基本能力。</w:t>
            </w:r>
          </w:p>
          <w:p w14:paraId="75EC3E55">
            <w:pPr>
              <w:adjustRightInd w:val="0"/>
              <w:snapToGrid w:val="0"/>
              <w:rPr>
                <w:rFonts w:hint="eastAsia" w:ascii="宋体" w:hAnsi="宋体" w:eastAsia="宋体" w:cs="宋体"/>
                <w:kern w:val="0"/>
                <w:szCs w:val="21"/>
              </w:rPr>
            </w:pPr>
            <w:r>
              <w:rPr>
                <w:rFonts w:hint="eastAsia" w:ascii="宋体" w:hAnsi="宋体" w:eastAsia="宋体" w:cs="宋体"/>
                <w:b/>
                <w:kern w:val="0"/>
                <w:szCs w:val="21"/>
              </w:rPr>
              <w:t>指标点5-2</w:t>
            </w:r>
            <w:r>
              <w:rPr>
                <w:rFonts w:hint="eastAsia" w:ascii="宋体" w:hAnsi="宋体" w:eastAsia="宋体" w:cs="宋体"/>
                <w:szCs w:val="21"/>
              </w:rPr>
              <w:t>：【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286" w:type="dxa"/>
            <w:vAlign w:val="center"/>
          </w:tcPr>
          <w:p w14:paraId="03202809">
            <w:pPr>
              <w:adjustRightInd w:val="0"/>
              <w:snapToGrid w:val="0"/>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课程目标3</w:t>
            </w:r>
          </w:p>
        </w:tc>
      </w:tr>
      <w:tr w14:paraId="1056A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327" w:type="dxa"/>
            <w:vAlign w:val="center"/>
          </w:tcPr>
          <w:p w14:paraId="10152694">
            <w:pPr>
              <w:adjustRightInd w:val="0"/>
              <w:snapToGrid w:val="0"/>
              <w:jc w:val="center"/>
              <w:rPr>
                <w:rFonts w:hint="eastAsia" w:ascii="宋体" w:hAnsi="宋体" w:eastAsia="宋体" w:cs="宋体"/>
                <w:bCs/>
                <w:szCs w:val="21"/>
              </w:rPr>
            </w:pPr>
            <w:r>
              <w:rPr>
                <w:rFonts w:hint="eastAsia" w:ascii="宋体" w:hAnsi="宋体" w:eastAsia="宋体" w:cs="宋体"/>
                <w:bCs/>
                <w:szCs w:val="21"/>
              </w:rPr>
              <w:t>毕业要求6</w:t>
            </w:r>
          </w:p>
          <w:p w14:paraId="1675C497">
            <w:pPr>
              <w:adjustRightInd w:val="0"/>
              <w:snapToGrid w:val="0"/>
              <w:jc w:val="center"/>
              <w:rPr>
                <w:rFonts w:hint="eastAsia" w:ascii="宋体" w:hAnsi="宋体" w:eastAsia="宋体" w:cs="宋体"/>
                <w:bCs/>
                <w:szCs w:val="21"/>
              </w:rPr>
            </w:pPr>
            <w:r>
              <w:rPr>
                <w:rFonts w:hint="eastAsia" w:ascii="宋体" w:hAnsi="宋体" w:eastAsia="宋体" w:cs="宋体"/>
                <w:bCs/>
                <w:szCs w:val="21"/>
              </w:rPr>
              <w:t>综合育人</w:t>
            </w:r>
          </w:p>
        </w:tc>
        <w:tc>
          <w:tcPr>
            <w:tcW w:w="6335" w:type="dxa"/>
            <w:vAlign w:val="center"/>
          </w:tcPr>
          <w:p w14:paraId="3F038E5D">
            <w:pPr>
              <w:adjustRightInd w:val="0"/>
              <w:snapToGrid w:val="0"/>
              <w:rPr>
                <w:rFonts w:hint="eastAsia" w:ascii="宋体" w:hAnsi="宋体" w:eastAsia="宋体" w:cs="宋体"/>
                <w:kern w:val="0"/>
                <w:szCs w:val="21"/>
              </w:rPr>
            </w:pPr>
            <w:r>
              <w:rPr>
                <w:rFonts w:hint="eastAsia" w:ascii="宋体" w:hAnsi="宋体" w:eastAsia="宋体" w:cs="宋体"/>
                <w:b/>
                <w:kern w:val="0"/>
                <w:szCs w:val="21"/>
              </w:rPr>
              <w:t>指标点6-1</w:t>
            </w:r>
            <w:r>
              <w:rPr>
                <w:rFonts w:hint="eastAsia" w:ascii="宋体" w:hAnsi="宋体" w:eastAsia="宋体" w:cs="宋体"/>
                <w:kern w:val="0"/>
                <w:szCs w:val="21"/>
              </w:rPr>
              <w:t>：【遵循身心规律】了解不同年龄以及有特殊需要的小学生的身心发展特点和规律、不同年龄小学生学习的特点，掌握小学生良好行为习惯养成的知识。</w:t>
            </w:r>
          </w:p>
          <w:p w14:paraId="06795C25">
            <w:pPr>
              <w:adjustRightInd w:val="0"/>
              <w:snapToGrid w:val="0"/>
              <w:rPr>
                <w:rFonts w:hint="eastAsia" w:ascii="宋体" w:hAnsi="宋体" w:eastAsia="宋体" w:cs="宋体"/>
                <w:bCs/>
                <w:kern w:val="0"/>
                <w:szCs w:val="21"/>
              </w:rPr>
            </w:pPr>
            <w:r>
              <w:rPr>
                <w:rFonts w:hint="eastAsia" w:ascii="宋体" w:hAnsi="宋体" w:eastAsia="宋体" w:cs="宋体"/>
                <w:b/>
                <w:kern w:val="0"/>
                <w:szCs w:val="21"/>
              </w:rPr>
              <w:t>指标点6-2</w:t>
            </w:r>
            <w:r>
              <w:rPr>
                <w:rFonts w:hint="eastAsia" w:ascii="宋体" w:hAnsi="宋体" w:eastAsia="宋体" w:cs="宋体"/>
                <w:szCs w:val="21"/>
              </w:rPr>
              <w:t>：【胜任学科育人】具有教书育人的意识，理解学科核心素养和拟任教学科课程独特的育人功能，在教育教学实践中，能够</w:t>
            </w:r>
            <w:r>
              <w:rPr>
                <w:rFonts w:hint="eastAsia" w:ascii="宋体" w:hAnsi="宋体" w:eastAsia="宋体" w:cs="宋体"/>
                <w:bCs/>
                <w:kern w:val="0"/>
                <w:szCs w:val="21"/>
              </w:rPr>
              <w:t>结合课程内容与特点，挖掘课程的育人要素与资源，合理设计育人目标、主题、内容和活动，将知识学习、能力发展与品德养成有机结合。</w:t>
            </w:r>
          </w:p>
          <w:p w14:paraId="78D0A4D8">
            <w:pPr>
              <w:adjustRightInd w:val="0"/>
              <w:snapToGrid w:val="0"/>
              <w:rPr>
                <w:rFonts w:hint="eastAsia" w:ascii="宋体" w:hAnsi="宋体" w:eastAsia="宋体" w:cs="宋体"/>
                <w:kern w:val="0"/>
                <w:szCs w:val="21"/>
              </w:rPr>
            </w:pPr>
            <w:r>
              <w:rPr>
                <w:rFonts w:hint="eastAsia" w:ascii="宋体" w:hAnsi="宋体" w:eastAsia="宋体" w:cs="宋体"/>
                <w:b/>
                <w:kern w:val="0"/>
                <w:szCs w:val="21"/>
              </w:rPr>
              <w:t>指标点6-3</w:t>
            </w:r>
            <w:r>
              <w:rPr>
                <w:rFonts w:hint="eastAsia" w:ascii="宋体" w:hAnsi="宋体" w:eastAsia="宋体" w:cs="宋体"/>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286" w:type="dxa"/>
            <w:vAlign w:val="center"/>
          </w:tcPr>
          <w:p w14:paraId="7750F584">
            <w:pPr>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课程目标2</w:t>
            </w:r>
          </w:p>
          <w:p w14:paraId="77E7BD50">
            <w:pPr>
              <w:adjustRightInd w:val="0"/>
              <w:snapToGrid w:val="0"/>
              <w:jc w:val="left"/>
              <w:rPr>
                <w:rFonts w:hint="eastAsia" w:ascii="宋体" w:hAnsi="宋体" w:eastAsia="宋体" w:cs="宋体"/>
                <w:spacing w:val="2"/>
                <w:kern w:val="0"/>
                <w:szCs w:val="21"/>
              </w:rPr>
            </w:pPr>
            <w:r>
              <w:rPr>
                <w:rFonts w:hint="eastAsia" w:ascii="宋体" w:hAnsi="宋体" w:eastAsia="宋体" w:cs="宋体"/>
                <w:kern w:val="0"/>
                <w:szCs w:val="21"/>
              </w:rPr>
              <w:t>课程目标3</w:t>
            </w:r>
          </w:p>
        </w:tc>
      </w:tr>
      <w:tr w14:paraId="6C409F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27" w:type="dxa"/>
            <w:vAlign w:val="center"/>
          </w:tcPr>
          <w:p w14:paraId="67B98A80">
            <w:pPr>
              <w:adjustRightInd w:val="0"/>
              <w:snapToGrid w:val="0"/>
              <w:jc w:val="center"/>
              <w:rPr>
                <w:rFonts w:hint="eastAsia" w:ascii="宋体" w:hAnsi="宋体" w:eastAsia="宋体" w:cs="宋体"/>
                <w:szCs w:val="21"/>
              </w:rPr>
            </w:pPr>
            <w:r>
              <w:rPr>
                <w:rFonts w:hint="eastAsia" w:ascii="宋体" w:hAnsi="宋体" w:eastAsia="宋体" w:cs="宋体"/>
                <w:szCs w:val="21"/>
              </w:rPr>
              <w:t>毕业要求7</w:t>
            </w:r>
          </w:p>
          <w:p w14:paraId="5403331B">
            <w:pPr>
              <w:adjustRightInd w:val="0"/>
              <w:snapToGrid w:val="0"/>
              <w:jc w:val="center"/>
              <w:rPr>
                <w:rFonts w:hint="eastAsia" w:ascii="宋体" w:hAnsi="宋体" w:eastAsia="宋体" w:cs="宋体"/>
                <w:szCs w:val="21"/>
              </w:rPr>
            </w:pPr>
            <w:r>
              <w:rPr>
                <w:rFonts w:hint="eastAsia" w:ascii="宋体" w:hAnsi="宋体" w:eastAsia="宋体" w:cs="宋体"/>
                <w:szCs w:val="21"/>
              </w:rPr>
              <w:t>学会反思</w:t>
            </w:r>
          </w:p>
        </w:tc>
        <w:tc>
          <w:tcPr>
            <w:tcW w:w="6335" w:type="dxa"/>
            <w:vAlign w:val="center"/>
          </w:tcPr>
          <w:p w14:paraId="19CC6E26">
            <w:pPr>
              <w:adjustRightInd w:val="0"/>
              <w:snapToGrid w:val="0"/>
              <w:rPr>
                <w:rFonts w:hint="eastAsia" w:ascii="宋体" w:hAnsi="宋体" w:eastAsia="宋体" w:cs="宋体"/>
                <w:kern w:val="0"/>
                <w:szCs w:val="21"/>
              </w:rPr>
            </w:pPr>
            <w:r>
              <w:rPr>
                <w:rFonts w:hint="eastAsia" w:ascii="宋体" w:hAnsi="宋体" w:eastAsia="宋体" w:cs="宋体"/>
                <w:b/>
                <w:szCs w:val="21"/>
              </w:rPr>
              <w:t>指标点7-3</w:t>
            </w:r>
            <w:r>
              <w:rPr>
                <w:rFonts w:hint="eastAsia" w:ascii="宋体" w:hAnsi="宋体" w:eastAsia="宋体" w:cs="宋体"/>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286" w:type="dxa"/>
            <w:vAlign w:val="center"/>
          </w:tcPr>
          <w:p w14:paraId="52AA6B64">
            <w:pPr>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课程目标2</w:t>
            </w:r>
          </w:p>
          <w:p w14:paraId="6EE6AF05">
            <w:pPr>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课程目标3</w:t>
            </w:r>
          </w:p>
          <w:p w14:paraId="22D54EE6">
            <w:pPr>
              <w:adjustRightInd w:val="0"/>
              <w:snapToGrid w:val="0"/>
              <w:jc w:val="left"/>
              <w:rPr>
                <w:rFonts w:hint="eastAsia" w:ascii="宋体" w:hAnsi="宋体" w:eastAsia="宋体" w:cs="宋体"/>
                <w:kern w:val="0"/>
                <w:szCs w:val="21"/>
              </w:rPr>
            </w:pPr>
            <w:r>
              <w:rPr>
                <w:rFonts w:hint="eastAsia" w:ascii="宋体" w:hAnsi="宋体" w:eastAsia="宋体" w:cs="宋体"/>
                <w:kern w:val="0"/>
                <w:szCs w:val="21"/>
              </w:rPr>
              <w:t>课程目标4</w:t>
            </w:r>
          </w:p>
        </w:tc>
      </w:tr>
      <w:tr w14:paraId="46720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27" w:type="dxa"/>
            <w:vAlign w:val="center"/>
          </w:tcPr>
          <w:p w14:paraId="0637ACD1">
            <w:pPr>
              <w:adjustRightInd w:val="0"/>
              <w:snapToGrid w:val="0"/>
              <w:jc w:val="center"/>
              <w:rPr>
                <w:rFonts w:hint="eastAsia" w:ascii="宋体" w:hAnsi="宋体" w:eastAsia="宋体" w:cs="宋体"/>
                <w:szCs w:val="21"/>
              </w:rPr>
            </w:pPr>
            <w:r>
              <w:rPr>
                <w:rFonts w:hint="eastAsia" w:ascii="宋体" w:hAnsi="宋体" w:eastAsia="宋体" w:cs="宋体"/>
                <w:szCs w:val="21"/>
              </w:rPr>
              <w:t>毕业要求8</w:t>
            </w:r>
          </w:p>
          <w:p w14:paraId="20ED87B3">
            <w:pPr>
              <w:adjustRightInd w:val="0"/>
              <w:snapToGrid w:val="0"/>
              <w:jc w:val="center"/>
              <w:rPr>
                <w:rFonts w:hint="eastAsia" w:ascii="宋体" w:hAnsi="宋体" w:eastAsia="宋体" w:cs="宋体"/>
                <w:szCs w:val="21"/>
              </w:rPr>
            </w:pPr>
            <w:r>
              <w:rPr>
                <w:rFonts w:hint="eastAsia" w:ascii="宋体" w:hAnsi="宋体" w:eastAsia="宋体" w:cs="宋体"/>
                <w:szCs w:val="21"/>
              </w:rPr>
              <w:t>沟通能力</w:t>
            </w:r>
          </w:p>
        </w:tc>
        <w:tc>
          <w:tcPr>
            <w:tcW w:w="6335" w:type="dxa"/>
            <w:vAlign w:val="center"/>
          </w:tcPr>
          <w:p w14:paraId="537B933A">
            <w:pPr>
              <w:adjustRightInd w:val="0"/>
              <w:snapToGrid w:val="0"/>
              <w:rPr>
                <w:rFonts w:hint="eastAsia" w:ascii="宋体" w:hAnsi="宋体" w:eastAsia="宋体" w:cs="宋体"/>
                <w:szCs w:val="21"/>
              </w:rPr>
            </w:pPr>
            <w:r>
              <w:rPr>
                <w:rFonts w:hint="eastAsia" w:ascii="宋体" w:hAnsi="宋体" w:eastAsia="宋体" w:cs="宋体"/>
                <w:b/>
                <w:szCs w:val="21"/>
              </w:rPr>
              <w:t>指标点8-1</w:t>
            </w:r>
            <w:r>
              <w:rPr>
                <w:rFonts w:hint="eastAsia" w:ascii="宋体" w:hAnsi="宋体" w:eastAsia="宋体" w:cs="宋体"/>
                <w:szCs w:val="21"/>
              </w:rPr>
              <w:t>：【善于团队合作】理解学习共同体的本质和价值，掌握团队协作的基本策略，在课堂学习与教育实践中获得合作学习体验，形成团队协作精神。</w:t>
            </w:r>
          </w:p>
          <w:p w14:paraId="46CBF08F">
            <w:pPr>
              <w:adjustRightInd w:val="0"/>
              <w:snapToGrid w:val="0"/>
              <w:rPr>
                <w:rFonts w:hint="eastAsia" w:ascii="宋体" w:hAnsi="宋体" w:eastAsia="宋体" w:cs="宋体"/>
                <w:spacing w:val="2"/>
                <w:kern w:val="0"/>
                <w:szCs w:val="21"/>
              </w:rPr>
            </w:pPr>
            <w:r>
              <w:rPr>
                <w:rFonts w:hint="eastAsia" w:ascii="宋体" w:hAnsi="宋体" w:eastAsia="宋体" w:cs="宋体"/>
                <w:b/>
                <w:szCs w:val="21"/>
              </w:rPr>
              <w:t>指标点8-2</w:t>
            </w:r>
            <w:r>
              <w:rPr>
                <w:rFonts w:hint="eastAsia" w:ascii="宋体" w:hAnsi="宋体" w:eastAsia="宋体" w:cs="宋体"/>
                <w:szCs w:val="21"/>
              </w:rPr>
              <w:t>：【学会沟通交流】掌握人际沟通合作技能与方法，在教育教学实践中，能与学生和家长以及同行、同事、专家进行有效沟通与合作，实现共同发展。</w:t>
            </w:r>
          </w:p>
        </w:tc>
        <w:tc>
          <w:tcPr>
            <w:tcW w:w="1286" w:type="dxa"/>
            <w:vAlign w:val="center"/>
          </w:tcPr>
          <w:p w14:paraId="18D88BA6">
            <w:pPr>
              <w:adjustRightInd w:val="0"/>
              <w:snapToGrid w:val="0"/>
              <w:jc w:val="left"/>
              <w:rPr>
                <w:rFonts w:hint="eastAsia" w:ascii="宋体" w:hAnsi="宋体" w:eastAsia="宋体" w:cs="宋体"/>
                <w:szCs w:val="21"/>
              </w:rPr>
            </w:pPr>
            <w:r>
              <w:rPr>
                <w:rFonts w:hint="eastAsia" w:ascii="宋体" w:hAnsi="宋体" w:eastAsia="宋体" w:cs="宋体"/>
                <w:szCs w:val="21"/>
              </w:rPr>
              <w:t>课程目标4</w:t>
            </w:r>
          </w:p>
        </w:tc>
      </w:tr>
    </w:tbl>
    <w:p w14:paraId="20D45981">
      <w:pPr>
        <w:spacing w:line="360" w:lineRule="auto"/>
        <w:ind w:firstLine="422" w:firstLineChars="200"/>
        <w:outlineLvl w:val="2"/>
        <w:rPr>
          <w:rFonts w:ascii="Times New Roman" w:hAnsi="Times New Roman" w:eastAsia="宋体" w:cs="Times New Roman"/>
          <w:b/>
          <w:bCs/>
          <w:szCs w:val="21"/>
        </w:rPr>
      </w:pPr>
      <w:bookmarkStart w:id="2084" w:name="_Toc25687"/>
      <w:r>
        <w:rPr>
          <w:rFonts w:hint="eastAsia" w:ascii="Times New Roman" w:hAnsi="Times New Roman" w:eastAsia="宋体" w:cs="Times New Roman"/>
          <w:b/>
          <w:bCs/>
          <w:szCs w:val="21"/>
        </w:rPr>
        <w:t>（三）课程思政目标</w:t>
      </w:r>
      <w:bookmarkEnd w:id="2084"/>
    </w:p>
    <w:p w14:paraId="0D7A6848">
      <w:pPr>
        <w:spacing w:line="360" w:lineRule="auto"/>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自觉践行社会主义核心价值观，进一步领会立德树人根本任务，增强学科育人、文化育人、活动育人意识；在实践中增进对儿童的认识，体验和感受教师职业的光荣感和责任感；接受职业道德教育和训练，自觉加强师德修养，养成和坚定献身小学教育事业的专业信念。</w:t>
      </w:r>
    </w:p>
    <w:p w14:paraId="2BFF5166">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t>三、</w:t>
      </w:r>
      <w:r>
        <w:rPr>
          <w:rFonts w:hint="eastAsia" w:ascii="Times New Roman" w:hAnsi="Times New Roman" w:eastAsia="宋体" w:cs="Times New Roman"/>
          <w:b/>
          <w:sz w:val="24"/>
        </w:rPr>
        <w:t>教学内容与预期学习成效</w:t>
      </w:r>
    </w:p>
    <w:tbl>
      <w:tblPr>
        <w:tblStyle w:val="12"/>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676"/>
        <w:gridCol w:w="1250"/>
        <w:gridCol w:w="3325"/>
        <w:gridCol w:w="867"/>
        <w:gridCol w:w="438"/>
      </w:tblGrid>
      <w:tr w14:paraId="7E3C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7CE27537">
            <w:pPr>
              <w:jc w:val="center"/>
              <w:rPr>
                <w:rFonts w:hint="eastAsia" w:ascii="宋体" w:hAnsi="宋体" w:eastAsia="宋体" w:cs="Times New Roman"/>
                <w:b/>
                <w:szCs w:val="21"/>
              </w:rPr>
            </w:pPr>
            <w:r>
              <w:rPr>
                <w:rFonts w:hint="eastAsia" w:ascii="宋体" w:hAnsi="宋体" w:eastAsia="宋体" w:cs="Times New Roman"/>
                <w:b/>
                <w:szCs w:val="21"/>
              </w:rPr>
              <w:t>知识</w:t>
            </w:r>
          </w:p>
          <w:p w14:paraId="16B7C3E8">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676" w:type="dxa"/>
            <w:vAlign w:val="center"/>
          </w:tcPr>
          <w:p w14:paraId="22E357C0">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250" w:type="dxa"/>
            <w:vAlign w:val="center"/>
          </w:tcPr>
          <w:p w14:paraId="06AA2AA2">
            <w:pPr>
              <w:jc w:val="center"/>
              <w:rPr>
                <w:rFonts w:hint="eastAsia" w:ascii="宋体" w:hAnsi="宋体" w:eastAsia="宋体" w:cs="Times New Roman"/>
                <w:b/>
                <w:szCs w:val="21"/>
              </w:rPr>
            </w:pPr>
            <w:r>
              <w:rPr>
                <w:rFonts w:hint="eastAsia" w:ascii="宋体" w:hAnsi="宋体" w:eastAsia="宋体" w:cs="Times New Roman"/>
                <w:b/>
                <w:szCs w:val="21"/>
              </w:rPr>
              <w:t>对应</w:t>
            </w:r>
          </w:p>
          <w:p w14:paraId="49324013">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325" w:type="dxa"/>
            <w:vAlign w:val="center"/>
          </w:tcPr>
          <w:p w14:paraId="27D0EDB9">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867" w:type="dxa"/>
            <w:vAlign w:val="center"/>
          </w:tcPr>
          <w:p w14:paraId="153C9D5D">
            <w:pPr>
              <w:jc w:val="center"/>
              <w:rPr>
                <w:rFonts w:hint="eastAsia" w:ascii="宋体" w:hAnsi="宋体" w:eastAsia="宋体" w:cs="Times New Roman"/>
                <w:b/>
                <w:szCs w:val="21"/>
              </w:rPr>
            </w:pPr>
            <w:r>
              <w:rPr>
                <w:rFonts w:hint="eastAsia" w:ascii="宋体" w:hAnsi="宋体" w:eastAsia="宋体" w:cs="Times New Roman"/>
                <w:b/>
                <w:szCs w:val="21"/>
              </w:rPr>
              <w:t>实现</w:t>
            </w:r>
          </w:p>
          <w:p w14:paraId="516DB361">
            <w:pPr>
              <w:jc w:val="center"/>
              <w:rPr>
                <w:rFonts w:hint="eastAsia" w:ascii="宋体" w:hAnsi="宋体" w:eastAsia="宋体" w:cs="Times New Roman"/>
                <w:b/>
                <w:szCs w:val="21"/>
              </w:rPr>
            </w:pPr>
            <w:r>
              <w:rPr>
                <w:rFonts w:hint="eastAsia" w:ascii="宋体" w:hAnsi="宋体" w:eastAsia="宋体" w:cs="Times New Roman"/>
                <w:b/>
                <w:szCs w:val="21"/>
              </w:rPr>
              <w:t>环节</w:t>
            </w:r>
          </w:p>
        </w:tc>
        <w:tc>
          <w:tcPr>
            <w:tcW w:w="438" w:type="dxa"/>
            <w:vAlign w:val="center"/>
          </w:tcPr>
          <w:p w14:paraId="78876BB9">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5BDF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7470B42B">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1.课堂教学实习</w:t>
            </w:r>
          </w:p>
        </w:tc>
        <w:tc>
          <w:tcPr>
            <w:tcW w:w="2676" w:type="dxa"/>
            <w:vAlign w:val="center"/>
          </w:tcPr>
          <w:p w14:paraId="22BCD287">
            <w:pPr>
              <w:adjustRightInd w:val="0"/>
              <w:snapToGrid w:val="0"/>
              <w:jc w:val="left"/>
              <w:rPr>
                <w:rFonts w:hint="eastAsia" w:ascii="宋体" w:hAnsi="宋体" w:eastAsia="宋体" w:cs="Times New Roman"/>
                <w:szCs w:val="21"/>
              </w:rPr>
            </w:pPr>
            <w:r>
              <w:rPr>
                <w:rFonts w:ascii="宋体" w:hAnsi="宋体" w:eastAsia="宋体" w:cs="Times New Roman"/>
                <w:szCs w:val="21"/>
              </w:rPr>
              <w:t>在实习学校指导</w:t>
            </w:r>
            <w:r>
              <w:rPr>
                <w:rFonts w:hint="eastAsia" w:ascii="宋体" w:hAnsi="宋体" w:eastAsia="宋体" w:cs="Times New Roman"/>
                <w:szCs w:val="21"/>
              </w:rPr>
              <w:t>教</w:t>
            </w:r>
            <w:r>
              <w:rPr>
                <w:rFonts w:ascii="宋体" w:hAnsi="宋体" w:eastAsia="宋体" w:cs="Times New Roman"/>
                <w:szCs w:val="21"/>
              </w:rPr>
              <w:t>师和本校带队老师的指导下，从事备课、上课、听课、评课、说课、课后辅导、批改作业与讲评、组织第二课堂活动、课件制作等教学工作实践。</w:t>
            </w:r>
          </w:p>
        </w:tc>
        <w:tc>
          <w:tcPr>
            <w:tcW w:w="1250" w:type="dxa"/>
            <w:vAlign w:val="center"/>
          </w:tcPr>
          <w:p w14:paraId="40E55717">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课程目标1、2、4</w:t>
            </w:r>
          </w:p>
        </w:tc>
        <w:tc>
          <w:tcPr>
            <w:tcW w:w="3325" w:type="dxa"/>
            <w:vAlign w:val="center"/>
          </w:tcPr>
          <w:p w14:paraId="394AE339">
            <w:pPr>
              <w:adjustRightInd w:val="0"/>
              <w:snapToGrid w:val="0"/>
              <w:jc w:val="left"/>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每个实习生按照实习计划认真备课，独立编写教案，在上课前三天将教案递交指导师审阅，并通过反复试教再正式上课。要求保质保量地完成教学任务；</w:t>
            </w:r>
          </w:p>
          <w:p w14:paraId="08FBE1B2">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2.听课不少于20节，并做好听课记录、评课记录、反思等相关材料，提交听课记录10节；</w:t>
            </w:r>
          </w:p>
          <w:p w14:paraId="420E10ED">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3.设计教案4份，试教至少4次，留有过程性材料。</w:t>
            </w:r>
          </w:p>
        </w:tc>
        <w:tc>
          <w:tcPr>
            <w:tcW w:w="867" w:type="dxa"/>
            <w:vAlign w:val="center"/>
          </w:tcPr>
          <w:p w14:paraId="30AC34D5">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1.编写教案</w:t>
            </w:r>
          </w:p>
          <w:p w14:paraId="597395F6">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2.上课</w:t>
            </w:r>
          </w:p>
          <w:p w14:paraId="424CDC41">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3.听课</w:t>
            </w:r>
          </w:p>
          <w:p w14:paraId="19AA73F2">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4.评课</w:t>
            </w:r>
          </w:p>
          <w:p w14:paraId="3B2EC595">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5.教学反思</w:t>
            </w:r>
          </w:p>
          <w:p w14:paraId="0C5EC797">
            <w:pPr>
              <w:adjustRightInd w:val="0"/>
              <w:snapToGrid w:val="0"/>
              <w:jc w:val="left"/>
              <w:rPr>
                <w:rFonts w:hint="eastAsia" w:ascii="宋体" w:hAnsi="宋体" w:eastAsia="宋体" w:cs="Times New Roman"/>
                <w:szCs w:val="21"/>
              </w:rPr>
            </w:pPr>
          </w:p>
        </w:tc>
        <w:tc>
          <w:tcPr>
            <w:tcW w:w="438" w:type="dxa"/>
            <w:vAlign w:val="center"/>
          </w:tcPr>
          <w:p w14:paraId="2B1B92E5">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80</w:t>
            </w:r>
          </w:p>
        </w:tc>
      </w:tr>
      <w:tr w14:paraId="2FD0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1AE8BDC4">
            <w:pPr>
              <w:adjustRightInd w:val="0"/>
              <w:snapToGrid w:val="0"/>
              <w:jc w:val="center"/>
              <w:rPr>
                <w:rFonts w:hint="eastAsia" w:ascii="宋体" w:hAnsi="宋体" w:eastAsia="宋体" w:cs="Times New Roman"/>
                <w:szCs w:val="21"/>
              </w:rPr>
            </w:pPr>
          </w:p>
        </w:tc>
        <w:tc>
          <w:tcPr>
            <w:tcW w:w="8556" w:type="dxa"/>
            <w:gridSpan w:val="5"/>
            <w:vAlign w:val="center"/>
          </w:tcPr>
          <w:p w14:paraId="6DC4BE99">
            <w:pPr>
              <w:adjustRightInd w:val="0"/>
              <w:snapToGrid w:val="0"/>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自觉践行社会主义核心价值观，进一步领会立德树人根本任务，增强学科育人的意识；在实践中增进对儿童的认识，体验和感受教师职业的光荣感和责任感；接受职业道德教育和训练，自觉加强师德修养，养成和坚定献身小学教育事业的专业信念。</w:t>
            </w:r>
          </w:p>
        </w:tc>
      </w:tr>
      <w:tr w14:paraId="46C8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7D67804C">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2.班队工作实习</w:t>
            </w:r>
          </w:p>
        </w:tc>
        <w:tc>
          <w:tcPr>
            <w:tcW w:w="2676" w:type="dxa"/>
            <w:vAlign w:val="center"/>
          </w:tcPr>
          <w:p w14:paraId="06B1EDC8">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（1）在班主任和辅导员的指导下，根据班队计划，学做学生的思想工作，从事日常管理和组织班队活动等工作；</w:t>
            </w:r>
          </w:p>
          <w:p w14:paraId="72FBC308">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（2）主动配合实习学校开展各项活动。</w:t>
            </w:r>
          </w:p>
        </w:tc>
        <w:tc>
          <w:tcPr>
            <w:tcW w:w="1250" w:type="dxa"/>
            <w:vAlign w:val="center"/>
          </w:tcPr>
          <w:p w14:paraId="3F75FEA5">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课程目标1、3、4</w:t>
            </w:r>
          </w:p>
        </w:tc>
        <w:tc>
          <w:tcPr>
            <w:tcW w:w="3325" w:type="dxa"/>
            <w:vAlign w:val="center"/>
          </w:tcPr>
          <w:p w14:paraId="2CB6D9C8">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1.做好班队活动或班级管理观察记录4份；</w:t>
            </w:r>
          </w:p>
          <w:p w14:paraId="7DCD9F53">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2.设计主题班会或班队活动2份，实施至少1次。</w:t>
            </w:r>
          </w:p>
        </w:tc>
        <w:tc>
          <w:tcPr>
            <w:tcW w:w="867" w:type="dxa"/>
            <w:vAlign w:val="center"/>
          </w:tcPr>
          <w:p w14:paraId="546632E7">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1.班队活动</w:t>
            </w:r>
          </w:p>
          <w:p w14:paraId="6FBBBC94">
            <w:pPr>
              <w:adjustRightInd w:val="0"/>
              <w:snapToGrid w:val="0"/>
              <w:jc w:val="left"/>
              <w:rPr>
                <w:rFonts w:hint="eastAsia" w:ascii="宋体" w:hAnsi="宋体" w:eastAsia="宋体" w:cs="Times New Roman"/>
                <w:szCs w:val="21"/>
              </w:rPr>
            </w:pPr>
            <w:r>
              <w:rPr>
                <w:rFonts w:hint="eastAsia" w:ascii="宋体" w:hAnsi="宋体" w:eastAsia="宋体" w:cs="Times New Roman"/>
                <w:szCs w:val="21"/>
              </w:rPr>
              <w:t>2.班级日常管理</w:t>
            </w:r>
          </w:p>
        </w:tc>
        <w:tc>
          <w:tcPr>
            <w:tcW w:w="438" w:type="dxa"/>
            <w:vAlign w:val="center"/>
          </w:tcPr>
          <w:p w14:paraId="103E72DA">
            <w:pPr>
              <w:adjustRightInd w:val="0"/>
              <w:snapToGrid w:val="0"/>
              <w:jc w:val="center"/>
              <w:rPr>
                <w:rFonts w:hint="eastAsia" w:ascii="宋体" w:hAnsi="宋体" w:eastAsia="宋体" w:cs="Times New Roman"/>
                <w:szCs w:val="21"/>
              </w:rPr>
            </w:pPr>
            <w:r>
              <w:rPr>
                <w:rFonts w:hint="eastAsia" w:ascii="宋体" w:hAnsi="宋体" w:eastAsia="宋体" w:cs="Times New Roman"/>
                <w:szCs w:val="21"/>
              </w:rPr>
              <w:t>60</w:t>
            </w:r>
          </w:p>
        </w:tc>
      </w:tr>
      <w:tr w14:paraId="0BB8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42" w:type="dxa"/>
            <w:vMerge w:val="continue"/>
            <w:vAlign w:val="center"/>
          </w:tcPr>
          <w:p w14:paraId="22D51CFB">
            <w:pPr>
              <w:adjustRightInd w:val="0"/>
              <w:snapToGrid w:val="0"/>
              <w:jc w:val="center"/>
              <w:rPr>
                <w:rFonts w:hint="eastAsia" w:ascii="宋体" w:hAnsi="宋体" w:eastAsia="宋体" w:cs="Times New Roman"/>
                <w:szCs w:val="21"/>
              </w:rPr>
            </w:pPr>
          </w:p>
        </w:tc>
        <w:tc>
          <w:tcPr>
            <w:tcW w:w="8556" w:type="dxa"/>
            <w:gridSpan w:val="5"/>
            <w:vAlign w:val="center"/>
          </w:tcPr>
          <w:p w14:paraId="64C59A2E">
            <w:pPr>
              <w:adjustRightInd w:val="0"/>
              <w:snapToGrid w:val="0"/>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自觉践行社会主义核心价值观，进一步领会立德树人根本任务，增强文化育人、活动育人的意识；在实践中增进对儿童的认识，体验和感受教师职业的光荣感和责任感；接受职业道德教育和训练，自觉加强师德修养，养成和坚定献身小学教育事业的专业信念。</w:t>
            </w:r>
          </w:p>
        </w:tc>
      </w:tr>
      <w:tr w14:paraId="4F59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14:paraId="49622B7C">
            <w:pPr>
              <w:jc w:val="center"/>
              <w:rPr>
                <w:rFonts w:hint="eastAsia" w:ascii="宋体" w:hAnsi="宋体" w:eastAsia="宋体" w:cs="Times New Roman"/>
                <w:szCs w:val="21"/>
              </w:rPr>
            </w:pPr>
            <w:r>
              <w:rPr>
                <w:rFonts w:hint="eastAsia" w:ascii="宋体" w:hAnsi="宋体" w:eastAsia="宋体" w:cs="Times New Roman"/>
                <w:szCs w:val="21"/>
              </w:rPr>
              <w:t>3教育调查</w:t>
            </w:r>
          </w:p>
        </w:tc>
        <w:tc>
          <w:tcPr>
            <w:tcW w:w="2676" w:type="dxa"/>
            <w:vAlign w:val="center"/>
          </w:tcPr>
          <w:p w14:paraId="562B22CA">
            <w:pPr>
              <w:jc w:val="left"/>
              <w:rPr>
                <w:rFonts w:hint="eastAsia" w:ascii="宋体" w:hAnsi="宋体" w:eastAsia="宋体" w:cs="Times New Roman"/>
                <w:szCs w:val="21"/>
              </w:rPr>
            </w:pPr>
            <w:r>
              <w:rPr>
                <w:rFonts w:hint="eastAsia" w:ascii="宋体" w:hAnsi="宋体" w:eastAsia="宋体" w:cs="Times New Roman"/>
                <w:szCs w:val="21"/>
              </w:rPr>
              <w:t>（1）了解实习学校的历史、现状及贯彻党的教育方针和政策的情况。</w:t>
            </w:r>
          </w:p>
          <w:p w14:paraId="4FE28B0E">
            <w:pPr>
              <w:jc w:val="left"/>
              <w:rPr>
                <w:rFonts w:hint="eastAsia" w:ascii="宋体" w:hAnsi="宋体" w:eastAsia="宋体" w:cs="Times New Roman"/>
                <w:szCs w:val="21"/>
              </w:rPr>
            </w:pPr>
            <w:r>
              <w:rPr>
                <w:rFonts w:hint="eastAsia" w:ascii="宋体" w:hAnsi="宋体" w:eastAsia="宋体" w:cs="Times New Roman"/>
                <w:szCs w:val="21"/>
              </w:rPr>
              <w:t>（2）调查优秀教师的先进事迹、教育教学经验及教育改革的情况。</w:t>
            </w:r>
          </w:p>
          <w:p w14:paraId="40FD7299">
            <w:pPr>
              <w:jc w:val="left"/>
              <w:rPr>
                <w:rFonts w:hint="eastAsia" w:ascii="宋体" w:hAnsi="宋体" w:eastAsia="宋体" w:cs="Times New Roman"/>
                <w:szCs w:val="21"/>
              </w:rPr>
            </w:pPr>
            <w:r>
              <w:rPr>
                <w:rFonts w:hint="eastAsia" w:ascii="宋体" w:hAnsi="宋体" w:eastAsia="宋体" w:cs="Times New Roman"/>
                <w:szCs w:val="21"/>
              </w:rPr>
              <w:t>（3）研究教育对象的思想情况、心理特点、学习态度和方法、知识结构和智能水平等德智体美劳情况。</w:t>
            </w:r>
          </w:p>
        </w:tc>
        <w:tc>
          <w:tcPr>
            <w:tcW w:w="1250" w:type="dxa"/>
            <w:vAlign w:val="center"/>
          </w:tcPr>
          <w:p w14:paraId="5622419B">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3325" w:type="dxa"/>
            <w:vAlign w:val="center"/>
          </w:tcPr>
          <w:p w14:paraId="7B3BB1F8">
            <w:pPr>
              <w:jc w:val="left"/>
              <w:rPr>
                <w:rFonts w:hint="eastAsia" w:ascii="宋体" w:hAnsi="宋体" w:eastAsia="宋体" w:cs="Times New Roman"/>
                <w:szCs w:val="21"/>
              </w:rPr>
            </w:pPr>
            <w:r>
              <w:rPr>
                <w:rFonts w:hint="eastAsia" w:ascii="宋体" w:hAnsi="宋体" w:eastAsia="宋体" w:cs="Times New Roman"/>
                <w:szCs w:val="21"/>
              </w:rPr>
              <w:t>结合以上调查的开展，撰写教育调查报告1份。</w:t>
            </w:r>
          </w:p>
        </w:tc>
        <w:tc>
          <w:tcPr>
            <w:tcW w:w="867" w:type="dxa"/>
            <w:vAlign w:val="center"/>
          </w:tcPr>
          <w:p w14:paraId="3C276F0E">
            <w:pPr>
              <w:jc w:val="left"/>
              <w:rPr>
                <w:rFonts w:hint="eastAsia" w:ascii="宋体" w:hAnsi="宋体" w:eastAsia="宋体" w:cs="Times New Roman"/>
                <w:szCs w:val="21"/>
              </w:rPr>
            </w:pPr>
            <w:r>
              <w:rPr>
                <w:rFonts w:hint="eastAsia" w:ascii="宋体" w:hAnsi="宋体" w:eastAsia="宋体" w:cs="Times New Roman"/>
                <w:szCs w:val="21"/>
              </w:rPr>
              <w:t>教育调查</w:t>
            </w:r>
          </w:p>
        </w:tc>
        <w:tc>
          <w:tcPr>
            <w:tcW w:w="438" w:type="dxa"/>
            <w:vAlign w:val="center"/>
          </w:tcPr>
          <w:p w14:paraId="4FDC3E95">
            <w:pPr>
              <w:jc w:val="center"/>
              <w:rPr>
                <w:rFonts w:hint="eastAsia" w:ascii="宋体" w:hAnsi="宋体" w:eastAsia="宋体" w:cs="Times New Roman"/>
                <w:szCs w:val="21"/>
              </w:rPr>
            </w:pPr>
            <w:r>
              <w:rPr>
                <w:rFonts w:hint="eastAsia" w:ascii="宋体" w:hAnsi="宋体" w:eastAsia="宋体" w:cs="Times New Roman"/>
                <w:szCs w:val="21"/>
              </w:rPr>
              <w:t>20</w:t>
            </w:r>
          </w:p>
        </w:tc>
      </w:tr>
      <w:tr w14:paraId="55D9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14:paraId="3F45E3AC">
            <w:pPr>
              <w:jc w:val="center"/>
              <w:rPr>
                <w:rFonts w:hint="eastAsia" w:ascii="宋体" w:hAnsi="宋体" w:eastAsia="宋体" w:cs="Times New Roman"/>
                <w:szCs w:val="21"/>
              </w:rPr>
            </w:pPr>
          </w:p>
        </w:tc>
        <w:tc>
          <w:tcPr>
            <w:tcW w:w="8556" w:type="dxa"/>
            <w:gridSpan w:val="5"/>
            <w:vAlign w:val="center"/>
          </w:tcPr>
          <w:p w14:paraId="773C0D5B">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自觉践行社会主义核心价值观，进一步领会立德树人根本任务，增强学科育人、文化育人、活动育人意识；在实践中增进对儿童的认识，体验和感受教师职业的光荣感和责任感；接受职业道德教育和训练，自觉加强师德修养，养成和坚定献身小学教育事业的专业信念。</w:t>
            </w:r>
          </w:p>
        </w:tc>
      </w:tr>
    </w:tbl>
    <w:p w14:paraId="0C9320A9">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0358BD21">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7E5C444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525"/>
        <w:gridCol w:w="1608"/>
        <w:gridCol w:w="1767"/>
        <w:gridCol w:w="1520"/>
        <w:gridCol w:w="1140"/>
      </w:tblGrid>
      <w:tr w14:paraId="76BC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34B40E7E">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4"/>
            <w:vAlign w:val="center"/>
          </w:tcPr>
          <w:p w14:paraId="7A9CC253">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6AD7E016">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1C18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3E9CD21E">
            <w:pPr>
              <w:spacing w:line="360" w:lineRule="auto"/>
              <w:jc w:val="center"/>
              <w:rPr>
                <w:rFonts w:hint="eastAsia" w:ascii="宋体" w:hAnsi="宋体" w:eastAsia="宋体" w:cs="Times New Roman"/>
                <w:szCs w:val="21"/>
              </w:rPr>
            </w:pPr>
          </w:p>
        </w:tc>
        <w:tc>
          <w:tcPr>
            <w:tcW w:w="1525" w:type="dxa"/>
            <w:vAlign w:val="center"/>
          </w:tcPr>
          <w:p w14:paraId="2135AF54">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平时成绩</w:t>
            </w:r>
          </w:p>
        </w:tc>
        <w:tc>
          <w:tcPr>
            <w:tcW w:w="1608" w:type="dxa"/>
            <w:vAlign w:val="center"/>
          </w:tcPr>
          <w:p w14:paraId="2393E89B">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课堂教学实习</w:t>
            </w:r>
          </w:p>
        </w:tc>
        <w:tc>
          <w:tcPr>
            <w:tcW w:w="1767" w:type="dxa"/>
            <w:vAlign w:val="center"/>
          </w:tcPr>
          <w:p w14:paraId="7C4F59E5">
            <w:pPr>
              <w:spacing w:line="360" w:lineRule="auto"/>
              <w:jc w:val="center"/>
              <w:rPr>
                <w:rFonts w:hint="eastAsia" w:ascii="宋体" w:hAnsi="宋体" w:eastAsia="宋体" w:cs="Times New Roman"/>
                <w:szCs w:val="21"/>
              </w:rPr>
            </w:pPr>
            <w:r>
              <w:rPr>
                <w:rFonts w:hint="eastAsia" w:ascii="宋体" w:hAnsi="宋体" w:eastAsia="宋体" w:cs="Times New Roman"/>
                <w:szCs w:val="21"/>
              </w:rPr>
              <w:t>班主任工作实习</w:t>
            </w:r>
          </w:p>
        </w:tc>
        <w:tc>
          <w:tcPr>
            <w:tcW w:w="1520" w:type="dxa"/>
            <w:vAlign w:val="center"/>
          </w:tcPr>
          <w:p w14:paraId="0B38B35C">
            <w:pPr>
              <w:spacing w:line="360" w:lineRule="auto"/>
              <w:jc w:val="center"/>
              <w:rPr>
                <w:rFonts w:hint="eastAsia" w:ascii="宋体" w:hAnsi="宋体" w:eastAsia="宋体" w:cs="Times New Roman"/>
                <w:szCs w:val="21"/>
              </w:rPr>
            </w:pPr>
            <w:r>
              <w:rPr>
                <w:rFonts w:hint="eastAsia" w:ascii="宋体" w:hAnsi="宋体" w:eastAsia="宋体" w:cs="Times New Roman"/>
                <w:szCs w:val="21"/>
              </w:rPr>
              <w:t>教育调查报告</w:t>
            </w:r>
          </w:p>
        </w:tc>
        <w:tc>
          <w:tcPr>
            <w:tcW w:w="1140" w:type="dxa"/>
            <w:vMerge w:val="continue"/>
            <w:vAlign w:val="center"/>
          </w:tcPr>
          <w:p w14:paraId="19458BFE">
            <w:pPr>
              <w:spacing w:line="360" w:lineRule="auto"/>
              <w:jc w:val="center"/>
              <w:rPr>
                <w:rFonts w:hint="eastAsia" w:ascii="宋体" w:hAnsi="宋体" w:eastAsia="宋体" w:cs="Times New Roman"/>
                <w:szCs w:val="21"/>
              </w:rPr>
            </w:pPr>
          </w:p>
        </w:tc>
      </w:tr>
      <w:tr w14:paraId="7633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6C1896A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525" w:type="dxa"/>
            <w:vAlign w:val="center"/>
          </w:tcPr>
          <w:p w14:paraId="065854F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vAlign w:val="center"/>
          </w:tcPr>
          <w:p w14:paraId="05C1635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7" w:type="dxa"/>
            <w:vAlign w:val="center"/>
          </w:tcPr>
          <w:p w14:paraId="670C32D4">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0" w:type="dxa"/>
            <w:vAlign w:val="center"/>
          </w:tcPr>
          <w:p w14:paraId="5A06DA6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53F4ECF8">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7FED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397C8F5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525" w:type="dxa"/>
            <w:vAlign w:val="center"/>
          </w:tcPr>
          <w:p w14:paraId="7A9342FB">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vAlign w:val="center"/>
          </w:tcPr>
          <w:p w14:paraId="7E7DA39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7" w:type="dxa"/>
            <w:vAlign w:val="center"/>
          </w:tcPr>
          <w:p w14:paraId="34FA0DB5">
            <w:pPr>
              <w:spacing w:line="360" w:lineRule="auto"/>
              <w:jc w:val="center"/>
              <w:rPr>
                <w:rFonts w:hint="eastAsia" w:ascii="宋体" w:hAnsi="宋体" w:eastAsia="宋体" w:cs="Times New Roman"/>
                <w:szCs w:val="21"/>
              </w:rPr>
            </w:pPr>
          </w:p>
        </w:tc>
        <w:tc>
          <w:tcPr>
            <w:tcW w:w="1520" w:type="dxa"/>
            <w:vAlign w:val="center"/>
          </w:tcPr>
          <w:p w14:paraId="77ECAC9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4DA64D3C">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3618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64C82816">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525" w:type="dxa"/>
            <w:vAlign w:val="center"/>
          </w:tcPr>
          <w:p w14:paraId="6DB6CB3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vAlign w:val="center"/>
          </w:tcPr>
          <w:p w14:paraId="189E635C">
            <w:pPr>
              <w:spacing w:line="360" w:lineRule="auto"/>
              <w:jc w:val="center"/>
              <w:rPr>
                <w:rFonts w:hint="eastAsia" w:ascii="宋体" w:hAnsi="宋体" w:eastAsia="宋体" w:cs="Times New Roman"/>
                <w:szCs w:val="21"/>
              </w:rPr>
            </w:pPr>
          </w:p>
        </w:tc>
        <w:tc>
          <w:tcPr>
            <w:tcW w:w="1767" w:type="dxa"/>
            <w:vAlign w:val="center"/>
          </w:tcPr>
          <w:p w14:paraId="0F566F6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0" w:type="dxa"/>
            <w:vAlign w:val="center"/>
          </w:tcPr>
          <w:p w14:paraId="01FC97F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525F8905">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5B8B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60981455">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525" w:type="dxa"/>
            <w:vAlign w:val="center"/>
          </w:tcPr>
          <w:p w14:paraId="4550F2D8">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vAlign w:val="center"/>
          </w:tcPr>
          <w:p w14:paraId="4D812CD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767" w:type="dxa"/>
            <w:vAlign w:val="center"/>
          </w:tcPr>
          <w:p w14:paraId="6FA3502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520" w:type="dxa"/>
            <w:vAlign w:val="center"/>
          </w:tcPr>
          <w:p w14:paraId="6746227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08A5CBE3">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623C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10AC69BC">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525" w:type="dxa"/>
            <w:vAlign w:val="center"/>
          </w:tcPr>
          <w:p w14:paraId="41610825">
            <w:pPr>
              <w:spacing w:line="360" w:lineRule="auto"/>
              <w:jc w:val="center"/>
              <w:rPr>
                <w:rFonts w:hint="eastAsia" w:ascii="宋体" w:hAnsi="宋体" w:eastAsia="宋体" w:cs="Times New Roman"/>
                <w:szCs w:val="21"/>
              </w:rPr>
            </w:pPr>
          </w:p>
        </w:tc>
        <w:tc>
          <w:tcPr>
            <w:tcW w:w="1608" w:type="dxa"/>
            <w:vAlign w:val="center"/>
          </w:tcPr>
          <w:p w14:paraId="42824BC8">
            <w:pPr>
              <w:spacing w:line="360" w:lineRule="auto"/>
              <w:jc w:val="center"/>
              <w:rPr>
                <w:rFonts w:hint="eastAsia" w:ascii="宋体" w:hAnsi="宋体" w:eastAsia="宋体" w:cs="Times New Roman"/>
                <w:szCs w:val="21"/>
              </w:rPr>
            </w:pPr>
          </w:p>
        </w:tc>
        <w:tc>
          <w:tcPr>
            <w:tcW w:w="1767" w:type="dxa"/>
            <w:vAlign w:val="center"/>
          </w:tcPr>
          <w:p w14:paraId="1BA2176B">
            <w:pPr>
              <w:spacing w:line="360" w:lineRule="auto"/>
              <w:jc w:val="center"/>
              <w:rPr>
                <w:rFonts w:hint="eastAsia" w:ascii="宋体" w:hAnsi="宋体" w:eastAsia="宋体" w:cs="Times New Roman"/>
                <w:szCs w:val="21"/>
              </w:rPr>
            </w:pPr>
          </w:p>
        </w:tc>
        <w:tc>
          <w:tcPr>
            <w:tcW w:w="1520" w:type="dxa"/>
            <w:vAlign w:val="center"/>
          </w:tcPr>
          <w:p w14:paraId="34691C98">
            <w:pPr>
              <w:spacing w:line="360" w:lineRule="auto"/>
              <w:jc w:val="center"/>
              <w:rPr>
                <w:rFonts w:hint="eastAsia" w:ascii="宋体" w:hAnsi="宋体" w:eastAsia="宋体" w:cs="Times New Roman"/>
                <w:szCs w:val="21"/>
              </w:rPr>
            </w:pPr>
          </w:p>
        </w:tc>
        <w:tc>
          <w:tcPr>
            <w:tcW w:w="1140" w:type="dxa"/>
            <w:vAlign w:val="center"/>
          </w:tcPr>
          <w:p w14:paraId="3F7AB9F4">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47B12688">
      <w:pPr>
        <w:spacing w:line="312"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220112F">
      <w:pPr>
        <w:spacing w:line="312"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6549"/>
        <w:gridCol w:w="1136"/>
      </w:tblGrid>
      <w:tr w14:paraId="1E2D6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14:paraId="534039D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6549" w:type="dxa"/>
            <w:vAlign w:val="center"/>
          </w:tcPr>
          <w:p w14:paraId="61F82AB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136" w:type="dxa"/>
            <w:vAlign w:val="center"/>
          </w:tcPr>
          <w:p w14:paraId="088CD754">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2A5B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14:paraId="4DF87C69">
            <w:pPr>
              <w:jc w:val="cente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6549" w:type="dxa"/>
            <w:vAlign w:val="center"/>
          </w:tcPr>
          <w:p w14:paraId="50C9AFC5">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学生出勤情况及工作态度，遵守实习学校规章制度，各类实习报告填写等。依据学生的出勤情况，平时工作的进展情况，实习任务完成情况，实习日记、听课记录等实习手册填写等进行评价。</w:t>
            </w:r>
          </w:p>
        </w:tc>
        <w:tc>
          <w:tcPr>
            <w:tcW w:w="1136" w:type="dxa"/>
            <w:vAlign w:val="center"/>
          </w:tcPr>
          <w:p w14:paraId="6468FA6C">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00BB8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14:paraId="2237EAD5">
            <w:pPr>
              <w:jc w:val="center"/>
              <w:rPr>
                <w:rFonts w:ascii="Times New Roman" w:hAnsi="Times New Roman" w:eastAsia="宋体" w:cs="Times New Roman"/>
                <w:szCs w:val="21"/>
              </w:rPr>
            </w:pPr>
            <w:r>
              <w:rPr>
                <w:rFonts w:hint="eastAsia" w:ascii="Times New Roman" w:hAnsi="Times New Roman" w:eastAsia="宋体" w:cs="Times New Roman"/>
                <w:szCs w:val="21"/>
              </w:rPr>
              <w:t>课堂教学</w:t>
            </w:r>
          </w:p>
          <w:p w14:paraId="5638BD54">
            <w:pPr>
              <w:jc w:val="center"/>
              <w:rPr>
                <w:rFonts w:ascii="Times New Roman" w:hAnsi="Times New Roman" w:eastAsia="宋体" w:cs="Times New Roman"/>
                <w:szCs w:val="21"/>
              </w:rPr>
            </w:pPr>
            <w:r>
              <w:rPr>
                <w:rFonts w:hint="eastAsia" w:ascii="Times New Roman" w:hAnsi="Times New Roman" w:eastAsia="宋体" w:cs="Times New Roman"/>
                <w:szCs w:val="21"/>
              </w:rPr>
              <w:t>实习</w:t>
            </w:r>
          </w:p>
        </w:tc>
        <w:tc>
          <w:tcPr>
            <w:tcW w:w="6549" w:type="dxa"/>
            <w:vAlign w:val="center"/>
          </w:tcPr>
          <w:p w14:paraId="59C41216">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根据学科填写课堂听课记录，并能做出评价，同时在指导教师指导下写出教案，并能实施。由实习学校学科指导教师根据学生的听课、批改作业、课堂评价及试教情况进行评价。</w:t>
            </w:r>
          </w:p>
        </w:tc>
        <w:tc>
          <w:tcPr>
            <w:tcW w:w="1136" w:type="dxa"/>
            <w:vAlign w:val="center"/>
          </w:tcPr>
          <w:p w14:paraId="51F6B646">
            <w:pPr>
              <w:jc w:val="center"/>
              <w:rPr>
                <w:rFonts w:ascii="Times New Roman" w:hAnsi="Times New Roman" w:eastAsia="宋体" w:cs="Times New Roman"/>
                <w:szCs w:val="21"/>
              </w:rPr>
            </w:pPr>
            <w:r>
              <w:rPr>
                <w:rFonts w:hint="eastAsia" w:ascii="Times New Roman" w:hAnsi="Times New Roman" w:eastAsia="宋体" w:cs="Times New Roman"/>
                <w:szCs w:val="21"/>
              </w:rPr>
              <w:t>40%</w:t>
            </w:r>
          </w:p>
        </w:tc>
      </w:tr>
      <w:tr w14:paraId="53B6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14:paraId="34E76EB6">
            <w:pPr>
              <w:jc w:val="center"/>
              <w:rPr>
                <w:rFonts w:ascii="Times New Roman" w:hAnsi="Times New Roman" w:eastAsia="宋体" w:cs="Times New Roman"/>
                <w:szCs w:val="21"/>
              </w:rPr>
            </w:pPr>
            <w:r>
              <w:rPr>
                <w:rFonts w:hint="eastAsia" w:ascii="Times New Roman" w:hAnsi="Times New Roman" w:eastAsia="宋体" w:cs="Times New Roman"/>
                <w:szCs w:val="21"/>
              </w:rPr>
              <w:t>班主任工作实习</w:t>
            </w:r>
          </w:p>
        </w:tc>
        <w:tc>
          <w:tcPr>
            <w:tcW w:w="6549" w:type="dxa"/>
            <w:vAlign w:val="center"/>
          </w:tcPr>
          <w:p w14:paraId="2D8F0433">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根据实习班主任（少先队）工作情况。由实习学校班主任指导教师根据学生在校的班主任实习工作评价，对学生一日常规、思品课及与小学生互动中表现的学生观以及学生工作的能力进行评价。</w:t>
            </w:r>
          </w:p>
        </w:tc>
        <w:tc>
          <w:tcPr>
            <w:tcW w:w="1136" w:type="dxa"/>
            <w:vAlign w:val="center"/>
          </w:tcPr>
          <w:p w14:paraId="62A0F3D3">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4211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center"/>
          </w:tcPr>
          <w:p w14:paraId="29A14F83">
            <w:pPr>
              <w:jc w:val="center"/>
              <w:rPr>
                <w:rFonts w:ascii="Times New Roman" w:hAnsi="Times New Roman" w:eastAsia="宋体" w:cs="Times New Roman"/>
                <w:szCs w:val="21"/>
              </w:rPr>
            </w:pPr>
            <w:r>
              <w:rPr>
                <w:rFonts w:hint="eastAsia" w:ascii="Times New Roman" w:hAnsi="Times New Roman" w:eastAsia="宋体" w:cs="Times New Roman"/>
                <w:szCs w:val="21"/>
              </w:rPr>
              <w:t>教育调查</w:t>
            </w:r>
          </w:p>
          <w:p w14:paraId="2C741375">
            <w:pPr>
              <w:jc w:val="center"/>
              <w:rPr>
                <w:rFonts w:ascii="Times New Roman" w:hAnsi="Times New Roman" w:eastAsia="宋体" w:cs="Times New Roman"/>
                <w:szCs w:val="21"/>
              </w:rPr>
            </w:pPr>
            <w:r>
              <w:rPr>
                <w:rFonts w:hint="eastAsia" w:ascii="Times New Roman" w:hAnsi="Times New Roman" w:eastAsia="宋体" w:cs="Times New Roman"/>
                <w:szCs w:val="21"/>
              </w:rPr>
              <w:t>报告</w:t>
            </w:r>
          </w:p>
        </w:tc>
        <w:tc>
          <w:tcPr>
            <w:tcW w:w="6549" w:type="dxa"/>
            <w:vAlign w:val="center"/>
          </w:tcPr>
          <w:p w14:paraId="7C1B3230">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学生根据对实习学校的调查研究，结合文献检索及查阅资料，写出调查报告。本校带队教师根据调查报告内容是否符合教育实习要求，能否就学校中的教育现象展开调查，内容是否明确，方法是否正确，条理是否清楚，是否有自己的观点等进行评价。</w:t>
            </w:r>
          </w:p>
        </w:tc>
        <w:tc>
          <w:tcPr>
            <w:tcW w:w="1136" w:type="dxa"/>
            <w:vAlign w:val="center"/>
          </w:tcPr>
          <w:p w14:paraId="3A614E9A">
            <w:pPr>
              <w:jc w:val="center"/>
              <w:rPr>
                <w:rFonts w:ascii="Times New Roman" w:hAnsi="Times New Roman" w:eastAsia="宋体" w:cs="Times New Roman"/>
                <w:szCs w:val="21"/>
              </w:rPr>
            </w:pPr>
            <w:r>
              <w:rPr>
                <w:rFonts w:hint="eastAsia" w:ascii="Times New Roman" w:hAnsi="Times New Roman" w:eastAsia="宋体" w:cs="Times New Roman"/>
                <w:szCs w:val="21"/>
              </w:rPr>
              <w:t>10%</w:t>
            </w:r>
          </w:p>
        </w:tc>
      </w:tr>
      <w:tr w14:paraId="2761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67" w:type="dxa"/>
            <w:vAlign w:val="center"/>
          </w:tcPr>
          <w:p w14:paraId="2C707B89">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6549" w:type="dxa"/>
            <w:vAlign w:val="center"/>
          </w:tcPr>
          <w:p w14:paraId="72400C69">
            <w:pPr>
              <w:jc w:val="left"/>
              <w:rPr>
                <w:rFonts w:ascii="Times New Roman" w:hAnsi="Times New Roman" w:eastAsia="宋体" w:cs="Times New Roman"/>
                <w:szCs w:val="21"/>
              </w:rPr>
            </w:pPr>
          </w:p>
        </w:tc>
        <w:tc>
          <w:tcPr>
            <w:tcW w:w="1136" w:type="dxa"/>
            <w:vAlign w:val="center"/>
          </w:tcPr>
          <w:p w14:paraId="1E290997">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64FA308">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182E592D">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451FE312">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85"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85" DrawAspect="Content" ObjectID="_1468075785" r:id="rId73">
            <o:LockedField>false</o:LockedField>
          </o:OLEObject>
        </w:object>
      </w:r>
      <w:r>
        <w:rPr>
          <w:rFonts w:hint="eastAsia" w:ascii="Times New Roman" w:hAnsi="Times New Roman" w:eastAsia="宋体" w:cs="Times New Roman"/>
          <w:b/>
          <w:sz w:val="24"/>
        </w:rPr>
        <w:t>五、课程参考书</w:t>
      </w:r>
    </w:p>
    <w:p w14:paraId="73570D91">
      <w:pPr>
        <w:spacing w:line="312" w:lineRule="auto"/>
        <w:ind w:firstLine="420" w:firstLineChars="200"/>
        <w:rPr>
          <w:rFonts w:hint="eastAsia" w:ascii="宋体" w:hAnsi="宋体" w:eastAsia="宋体" w:cs="Times New Roman"/>
          <w:bCs/>
          <w:szCs w:val="21"/>
        </w:rPr>
      </w:pPr>
      <w:r>
        <w:rPr>
          <w:rFonts w:hint="eastAsia" w:ascii="宋体" w:hAnsi="宋体" w:eastAsia="宋体" w:cs="Times New Roman"/>
          <w:bCs/>
          <w:szCs w:val="21"/>
        </w:rPr>
        <w:t>1．义务教育各学科课程标准，2022</w:t>
      </w:r>
    </w:p>
    <w:p w14:paraId="6DB06052">
      <w:pPr>
        <w:spacing w:line="312" w:lineRule="auto"/>
        <w:ind w:firstLine="420" w:firstLineChars="200"/>
        <w:rPr>
          <w:rFonts w:hint="eastAsia" w:ascii="宋体" w:hAnsi="宋体" w:eastAsia="宋体" w:cs="Times New Roman"/>
          <w:bCs/>
          <w:szCs w:val="21"/>
        </w:rPr>
      </w:pPr>
      <w:r>
        <w:rPr>
          <w:rFonts w:hint="eastAsia" w:ascii="宋体" w:hAnsi="宋体" w:eastAsia="宋体" w:cs="Times New Roman"/>
          <w:bCs/>
          <w:szCs w:val="21"/>
        </w:rPr>
        <w:t>2．部编版小学各年级教材。</w:t>
      </w:r>
    </w:p>
    <w:p w14:paraId="226C1251">
      <w:pPr>
        <w:spacing w:line="312" w:lineRule="auto"/>
        <w:ind w:firstLine="420" w:firstLineChars="200"/>
        <w:rPr>
          <w:rFonts w:hint="eastAsia" w:ascii="宋体" w:hAnsi="宋体" w:eastAsia="宋体" w:cs="Times New Roman"/>
          <w:bCs/>
          <w:szCs w:val="21"/>
        </w:rPr>
      </w:pPr>
      <w:r>
        <w:rPr>
          <w:rFonts w:hint="eastAsia" w:ascii="宋体" w:hAnsi="宋体" w:eastAsia="宋体" w:cs="Times New Roman"/>
          <w:bCs/>
          <w:szCs w:val="21"/>
        </w:rPr>
        <w:t>3．苗凤华．教育实习指南．科学出版社，2018.</w:t>
      </w:r>
    </w:p>
    <w:p w14:paraId="27076FE4">
      <w:pPr>
        <w:spacing w:line="312" w:lineRule="auto"/>
        <w:ind w:firstLine="420" w:firstLineChars="200"/>
        <w:rPr>
          <w:rFonts w:hint="eastAsia" w:ascii="宋体" w:hAnsi="宋体" w:eastAsia="宋体" w:cs="Times New Roman"/>
          <w:kern w:val="0"/>
          <w:szCs w:val="18"/>
        </w:rPr>
      </w:pPr>
      <w:r>
        <w:rPr>
          <w:rFonts w:hint="eastAsia" w:ascii="宋体" w:hAnsi="宋体" w:eastAsia="宋体" w:cs="Times New Roman"/>
          <w:bCs/>
          <w:szCs w:val="21"/>
        </w:rPr>
        <w:t>4. 侯宏业，薛微微.小学教育实习手册.南京大学出版社，2021.</w:t>
      </w:r>
    </w:p>
    <w:p w14:paraId="635C35B9">
      <w:pPr>
        <w:autoSpaceDE w:val="0"/>
        <w:autoSpaceDN w:val="0"/>
        <w:adjustRightInd w:val="0"/>
        <w:spacing w:line="312" w:lineRule="auto"/>
        <w:jc w:val="right"/>
        <w:rPr>
          <w:rFonts w:hint="eastAsia" w:ascii="宋体" w:hAnsi="宋体" w:eastAsia="宋体" w:cs="Times New Roman"/>
          <w:kern w:val="0"/>
          <w:szCs w:val="18"/>
        </w:rPr>
      </w:pPr>
      <w:r>
        <w:rPr>
          <w:rFonts w:ascii="宋体" w:hAnsi="宋体" w:eastAsia="宋体" w:cs="Times New Roman"/>
          <w:kern w:val="0"/>
          <w:szCs w:val="18"/>
        </w:rPr>
        <w:t>执笔人：</w:t>
      </w:r>
      <w:r>
        <w:rPr>
          <w:rFonts w:hint="eastAsia" w:ascii="宋体" w:hAnsi="宋体" w:eastAsia="宋体" w:cs="Times New Roman"/>
          <w:kern w:val="0"/>
          <w:szCs w:val="18"/>
        </w:rPr>
        <w:t>姚玉香</w:t>
      </w:r>
    </w:p>
    <w:p w14:paraId="6385E760">
      <w:pPr>
        <w:autoSpaceDE w:val="0"/>
        <w:autoSpaceDN w:val="0"/>
        <w:adjustRightInd w:val="0"/>
        <w:spacing w:line="312" w:lineRule="auto"/>
        <w:jc w:val="right"/>
        <w:rPr>
          <w:rFonts w:hint="eastAsia" w:ascii="宋体" w:hAnsi="宋体" w:eastAsia="宋体" w:cs="Times New Roman"/>
          <w:kern w:val="0"/>
          <w:szCs w:val="18"/>
        </w:rPr>
      </w:pPr>
      <w:r>
        <w:rPr>
          <w:rFonts w:hint="eastAsia" w:ascii="宋体" w:hAnsi="宋体" w:eastAsia="宋体" w:cs="Times New Roman"/>
          <w:kern w:val="0"/>
          <w:szCs w:val="18"/>
        </w:rPr>
        <w:t>审定人：王  健</w:t>
      </w:r>
    </w:p>
    <w:p w14:paraId="230A40AB">
      <w:pPr>
        <w:autoSpaceDE w:val="0"/>
        <w:autoSpaceDN w:val="0"/>
        <w:adjustRightInd w:val="0"/>
        <w:spacing w:line="312" w:lineRule="auto"/>
        <w:jc w:val="right"/>
        <w:rPr>
          <w:rFonts w:hint="eastAsia" w:ascii="宋体" w:hAnsi="宋体" w:eastAsia="宋体" w:cs="Times New Roman"/>
          <w:kern w:val="0"/>
          <w:szCs w:val="18"/>
        </w:rPr>
      </w:pPr>
      <w:r>
        <w:rPr>
          <w:rFonts w:hint="eastAsia" w:ascii="宋体" w:hAnsi="宋体" w:eastAsia="宋体" w:cs="Times New Roman"/>
          <w:kern w:val="0"/>
          <w:szCs w:val="18"/>
        </w:rPr>
        <w:t>审批人：张志欣</w:t>
      </w:r>
    </w:p>
    <w:p w14:paraId="5B5F9E16">
      <w:pPr>
        <w:spacing w:line="312" w:lineRule="auto"/>
        <w:jc w:val="right"/>
        <w:rPr>
          <w:rFonts w:hint="eastAsia" w:ascii="宋体" w:hAnsi="宋体" w:eastAsia="宋体" w:cs="Times New Roman"/>
          <w:kern w:val="0"/>
          <w:szCs w:val="18"/>
        </w:rPr>
      </w:pPr>
      <w:r>
        <w:rPr>
          <w:rFonts w:hint="eastAsia" w:ascii="宋体" w:hAnsi="宋体" w:eastAsia="宋体" w:cs="Times New Roman"/>
          <w:kern w:val="0"/>
          <w:szCs w:val="18"/>
        </w:rPr>
        <w:t>批准时间：2025年7月1日</w:t>
      </w:r>
    </w:p>
    <w:p w14:paraId="7E409425">
      <w:pPr>
        <w:rPr>
          <w:rFonts w:ascii="Times New Roman" w:hAnsi="Times New Roman" w:eastAsia="宋体" w:cs="Times New Roman"/>
          <w:b/>
          <w:bCs/>
          <w:sz w:val="30"/>
        </w:rPr>
      </w:pPr>
      <w:bookmarkStart w:id="2085" w:name="_Toc88424559"/>
      <w:bookmarkStart w:id="2086" w:name="_Toc57017207"/>
      <w:r>
        <w:rPr>
          <w:rFonts w:hint="eastAsia" w:ascii="Times New Roman" w:hAnsi="Times New Roman" w:eastAsia="宋体" w:cs="Times New Roman"/>
          <w:b/>
          <w:bCs/>
          <w:sz w:val="30"/>
        </w:rPr>
        <w:br w:type="page"/>
      </w:r>
    </w:p>
    <w:p w14:paraId="0E804DB3">
      <w:pPr>
        <w:spacing w:line="360" w:lineRule="auto"/>
        <w:jc w:val="center"/>
        <w:outlineLvl w:val="0"/>
        <w:rPr>
          <w:rFonts w:ascii="Times New Roman" w:hAnsi="Times New Roman" w:eastAsia="宋体" w:cs="Times New Roman"/>
          <w:b/>
          <w:sz w:val="44"/>
          <w:szCs w:val="44"/>
        </w:rPr>
      </w:pPr>
      <w:bookmarkStart w:id="2087" w:name="_Toc23256"/>
      <w:r>
        <w:rPr>
          <w:rFonts w:hint="eastAsia" w:ascii="Times New Roman" w:hAnsi="Times New Roman" w:eastAsia="宋体" w:cs="Times New Roman"/>
          <w:b/>
          <w:sz w:val="44"/>
          <w:szCs w:val="44"/>
        </w:rPr>
        <w:t>《教育研习》课程教学大纲</w:t>
      </w:r>
      <w:bookmarkEnd w:id="2085"/>
      <w:bookmarkEnd w:id="2086"/>
      <w:bookmarkEnd w:id="2087"/>
    </w:p>
    <w:p w14:paraId="6B31820C">
      <w:pPr>
        <w:spacing w:line="360" w:lineRule="auto"/>
        <w:jc w:val="center"/>
        <w:rPr>
          <w:rFonts w:ascii="Times New Roman" w:hAnsi="Times New Roman" w:eastAsia="宋体" w:cs="Times New Roman"/>
          <w:b/>
          <w:bCs/>
          <w:sz w:val="28"/>
          <w:szCs w:val="28"/>
        </w:rPr>
      </w:pPr>
      <w:bookmarkStart w:id="2088" w:name="_Toc1544"/>
      <w:bookmarkStart w:id="2089" w:name="_Toc20821"/>
      <w:r>
        <w:rPr>
          <w:rFonts w:ascii="Times New Roman" w:hAnsi="Times New Roman" w:eastAsia="宋体" w:cs="Times New Roman"/>
          <w:b/>
          <w:bCs/>
          <w:sz w:val="28"/>
          <w:szCs w:val="28"/>
        </w:rPr>
        <w:t>（Research in Education）</w:t>
      </w:r>
      <w:bookmarkEnd w:id="2088"/>
      <w:bookmarkEnd w:id="2089"/>
    </w:p>
    <w:p w14:paraId="65570523">
      <w:pPr>
        <w:spacing w:line="360" w:lineRule="auto"/>
        <w:ind w:firstLine="422" w:firstLineChars="200"/>
        <w:rPr>
          <w:rFonts w:ascii="Times New Roman" w:hAnsi="Times New Roman" w:eastAsia="宋体" w:cs="Times New Roman"/>
          <w:b/>
          <w:bCs/>
          <w:kern w:val="0"/>
          <w:szCs w:val="21"/>
        </w:rPr>
      </w:pPr>
      <w:r>
        <w:rPr>
          <w:rFonts w:ascii="Times New Roman" w:hAnsi="Times New Roman" w:eastAsia="宋体" w:cs="Times New Roman"/>
          <w:b/>
          <w:bCs/>
          <w:kern w:val="0"/>
          <w:szCs w:val="21"/>
        </w:rPr>
        <w:t>课程名称：教育研习</w:t>
      </w:r>
    </w:p>
    <w:p w14:paraId="566CF671">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kern w:val="0"/>
          <w:sz w:val="24"/>
        </w:rPr>
        <w:t>课程代码：2401068</w:t>
      </w:r>
    </w:p>
    <w:p w14:paraId="2D372804">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分：1</w:t>
      </w:r>
    </w:p>
    <w:p w14:paraId="3806E890">
      <w:pPr>
        <w:spacing w:line="360" w:lineRule="auto"/>
        <w:ind w:firstLine="482" w:firstLineChars="200"/>
        <w:rPr>
          <w:rFonts w:ascii="Times New Roman" w:hAnsi="Times New Roman" w:eastAsia="宋体" w:cs="Times New Roman"/>
          <w:b/>
          <w:bCs/>
          <w:kern w:val="0"/>
          <w:sz w:val="24"/>
        </w:rPr>
      </w:pPr>
      <w:r>
        <w:rPr>
          <w:rFonts w:ascii="Times New Roman" w:hAnsi="Times New Roman" w:eastAsia="宋体" w:cs="Times New Roman"/>
          <w:b/>
          <w:bCs/>
          <w:kern w:val="0"/>
          <w:sz w:val="24"/>
        </w:rPr>
        <w:t>学    时：2周</w:t>
      </w:r>
    </w:p>
    <w:p w14:paraId="7C149E3F">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kern w:val="0"/>
          <w:sz w:val="24"/>
        </w:rPr>
        <w:t>先修课程：现代教育技术、教育哲学、教育社会学，以及部分数学/中文类课程、教育研习Ⅰ、教育研习Ⅱ、教学实训等。</w:t>
      </w:r>
    </w:p>
    <w:p w14:paraId="3E07D118">
      <w:pPr>
        <w:spacing w:line="360" w:lineRule="auto"/>
        <w:ind w:firstLine="482" w:firstLineChars="200"/>
        <w:rPr>
          <w:rFonts w:ascii="Times New Roman" w:hAnsi="Times New Roman" w:eastAsia="宋体" w:cs="Times New Roman"/>
          <w:b/>
          <w:bCs/>
          <w:kern w:val="0"/>
          <w:szCs w:val="21"/>
        </w:rPr>
      </w:pPr>
      <w:r>
        <w:rPr>
          <w:rFonts w:ascii="Times New Roman" w:hAnsi="Times New Roman" w:eastAsia="宋体" w:cs="Times New Roman"/>
          <w:b/>
          <w:bCs/>
          <w:kern w:val="0"/>
          <w:sz w:val="24"/>
        </w:rPr>
        <w:t>适用专业：小学教育</w:t>
      </w:r>
    </w:p>
    <w:p w14:paraId="4CED697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一、课程简介</w:t>
      </w:r>
    </w:p>
    <w:p w14:paraId="4AF3318D">
      <w:pPr>
        <w:spacing w:line="360" w:lineRule="auto"/>
        <w:ind w:firstLine="420" w:firstLineChars="200"/>
        <w:rPr>
          <w:rFonts w:hint="eastAsia" w:ascii="华文楷体" w:hAnsi="华文楷体" w:eastAsia="华文楷体" w:cs="宋体"/>
          <w:kern w:val="0"/>
          <w:sz w:val="16"/>
          <w:szCs w:val="16"/>
        </w:rPr>
      </w:pPr>
      <w:r>
        <w:rPr>
          <w:rFonts w:hint="eastAsia" w:ascii="宋体" w:hAnsi="宋体" w:eastAsia="宋体" w:cs="Times New Roman"/>
          <w:kern w:val="0"/>
          <w:szCs w:val="21"/>
        </w:rPr>
        <w:t>教育研习是小学教育专业集中实践教学的一门可成。本课程的任务和目的是使学生全面获得教育教学体验，对教师职</w:t>
      </w:r>
      <w:r>
        <w:rPr>
          <w:rFonts w:ascii="宋体" w:hAnsi="宋体" w:eastAsia="宋体" w:cs="Times New Roman"/>
          <w:kern w:val="0"/>
          <w:szCs w:val="21"/>
        </w:rPr>
        <w:t>业的专业化过程中出现的有关问题进行分析、探讨和研究，在理论和实践的互动中提高反思能力和研究能力，进而提升自己的职业技能水平，以便更好地适应将来的教师工作。它是以实践为基础、以研究为主要特点的学习活动，贯穿在“实践中研究、在研究中实践”这一基本原则。</w:t>
      </w:r>
      <w:r>
        <w:rPr>
          <w:rFonts w:hint="eastAsia" w:ascii="宋体" w:hAnsi="宋体" w:eastAsia="宋体" w:cs="Times New Roman"/>
          <w:kern w:val="0"/>
          <w:szCs w:val="21"/>
        </w:rPr>
        <w:t>建立正确的教学评价观、团队协作观，坚持综合育人、全面发展的教育理念。</w:t>
      </w:r>
    </w:p>
    <w:p w14:paraId="6EC0C0B7">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二、课程目标</w:t>
      </w:r>
    </w:p>
    <w:p w14:paraId="73AE2C28">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（一）课程具体目标</w:t>
      </w:r>
    </w:p>
    <w:p w14:paraId="7BE0E826">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 xml:space="preserve">1. </w:t>
      </w:r>
      <w:r>
        <w:rPr>
          <w:rFonts w:hint="eastAsia" w:ascii="宋体" w:hAnsi="宋体" w:eastAsia="宋体" w:cs="Times New Roman"/>
          <w:szCs w:val="21"/>
        </w:rPr>
        <w:t>通过教育研习，初步掌握反思方法与技能，具有一定创新意识，能够运用批判性思维方法</w:t>
      </w:r>
      <w:r>
        <w:rPr>
          <w:rFonts w:ascii="宋体" w:hAnsi="宋体" w:eastAsia="宋体" w:cs="Times New Roman"/>
          <w:szCs w:val="21"/>
        </w:rPr>
        <w:t>发现、分析和解决教育</w:t>
      </w:r>
      <w:r>
        <w:rPr>
          <w:rFonts w:hint="eastAsia" w:ascii="宋体" w:hAnsi="宋体" w:eastAsia="宋体" w:cs="Times New Roman"/>
          <w:szCs w:val="21"/>
        </w:rPr>
        <w:t>学习和</w:t>
      </w:r>
      <w:r>
        <w:rPr>
          <w:rFonts w:ascii="宋体" w:hAnsi="宋体" w:eastAsia="宋体" w:cs="Times New Roman"/>
          <w:szCs w:val="21"/>
        </w:rPr>
        <w:t>研习过程中小学教育教学中存在的实际问题。</w:t>
      </w:r>
    </w:p>
    <w:p w14:paraId="7E36F01D">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2.</w:t>
      </w:r>
      <w:r>
        <w:rPr>
          <w:rFonts w:hint="eastAsia"/>
          <w:szCs w:val="21"/>
        </w:rPr>
        <w:t xml:space="preserve"> </w:t>
      </w:r>
      <w:r>
        <w:rPr>
          <w:rFonts w:hint="eastAsia" w:ascii="宋体" w:hAnsi="宋体" w:eastAsia="宋体" w:cs="Times New Roman"/>
          <w:szCs w:val="21"/>
        </w:rPr>
        <w:t>通过现场评课学会运用教育科研的基本方法，去分析和解决小学教育教学中出现的各种现实问题，掌握学科教学必备的知识与技能，在教材研读和教学设计上具备基本能力，乐于钻研教育教学问题。</w:t>
      </w:r>
    </w:p>
    <w:p w14:paraId="1CA6818C">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3.</w:t>
      </w:r>
      <w:r>
        <w:rPr>
          <w:rFonts w:hint="eastAsia"/>
          <w:szCs w:val="21"/>
        </w:rPr>
        <w:t xml:space="preserve"> </w:t>
      </w:r>
      <w:r>
        <w:rPr>
          <w:rFonts w:hint="eastAsia" w:ascii="宋体" w:hAnsi="宋体" w:eastAsia="宋体" w:cs="Times New Roman"/>
          <w:szCs w:val="21"/>
        </w:rPr>
        <w:t>通过课堂教学和班队工作研习，使学生加深理解和综合运用所学的文化科学知识、教育理论知识和技能，初步掌握科学的教育教学方法和小学班队组织与建设的工作规律与方法，培养从事教学教育教学工作和班队建设与管理的能力。</w:t>
      </w:r>
    </w:p>
    <w:p w14:paraId="3AC498D3">
      <w:pPr>
        <w:spacing w:line="360" w:lineRule="auto"/>
        <w:ind w:firstLine="420" w:firstLineChars="200"/>
        <w:jc w:val="left"/>
        <w:rPr>
          <w:rFonts w:hint="eastAsia" w:ascii="宋体" w:hAnsi="宋体" w:eastAsia="宋体" w:cs="Times New Roman"/>
          <w:szCs w:val="21"/>
        </w:rPr>
      </w:pPr>
      <w:r>
        <w:rPr>
          <w:rFonts w:hint="eastAsia" w:ascii="宋体" w:hAnsi="宋体" w:eastAsia="宋体" w:cs="Times New Roman"/>
          <w:szCs w:val="21"/>
        </w:rPr>
        <w:t>目标</w:t>
      </w:r>
      <w:r>
        <w:rPr>
          <w:rFonts w:ascii="宋体" w:hAnsi="宋体" w:eastAsia="宋体" w:cs="Times New Roman"/>
          <w:szCs w:val="21"/>
        </w:rPr>
        <w:t>4.</w:t>
      </w:r>
      <w:r>
        <w:rPr>
          <w:rFonts w:hint="eastAsia"/>
          <w:szCs w:val="21"/>
        </w:rPr>
        <w:t xml:space="preserve"> </w:t>
      </w:r>
      <w:r>
        <w:rPr>
          <w:rFonts w:hint="eastAsia" w:ascii="宋体" w:hAnsi="宋体" w:eastAsia="宋体" w:cs="Times New Roman"/>
          <w:szCs w:val="21"/>
        </w:rPr>
        <w:t>通过教育研习</w:t>
      </w:r>
      <w:r>
        <w:rPr>
          <w:rFonts w:ascii="宋体" w:hAnsi="宋体" w:eastAsia="宋体" w:cs="Times New Roman"/>
          <w:szCs w:val="21"/>
        </w:rPr>
        <w:t>，使学生初步掌握小学教育工作规律，了解当前小学教育、教学改革动态，为今后投身教育改革和教育科研工作，提高教育教学质量打下基础。</w:t>
      </w:r>
    </w:p>
    <w:p w14:paraId="23279CA3">
      <w:pPr>
        <w:spacing w:before="156" w:beforeLines="50" w:after="156" w:afterLines="50" w:line="360" w:lineRule="auto"/>
        <w:ind w:firstLine="442" w:firstLineChars="200"/>
        <w:jc w:val="left"/>
        <w:rPr>
          <w:rFonts w:ascii="Times New Roman" w:hAnsi="Times New Roman" w:eastAsia="宋体" w:cs="Times New Roman"/>
          <w:b/>
          <w:bCs/>
          <w:sz w:val="22"/>
          <w:szCs w:val="22"/>
        </w:rPr>
      </w:pPr>
      <w:r>
        <w:rPr>
          <w:rFonts w:hint="eastAsia" w:ascii="Times New Roman" w:hAnsi="Times New Roman" w:eastAsia="宋体" w:cs="Times New Roman"/>
          <w:b/>
          <w:bCs/>
          <w:sz w:val="22"/>
          <w:szCs w:val="22"/>
        </w:rPr>
        <w:t>（二）课程目标及其对毕业要求指标点的支撑</w:t>
      </w:r>
    </w:p>
    <w:tbl>
      <w:tblPr>
        <w:tblStyle w:val="12"/>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6326"/>
        <w:gridCol w:w="1191"/>
      </w:tblGrid>
      <w:tr w14:paraId="0DFF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41B0E5B8">
            <w:pPr>
              <w:spacing w:line="360" w:lineRule="auto"/>
              <w:jc w:val="center"/>
              <w:rPr>
                <w:rFonts w:ascii="Times New Roman" w:hAnsi="Times New Roman" w:eastAsia="宋体" w:cs="Times New Roman"/>
                <w:b/>
                <w:bCs/>
                <w:kern w:val="0"/>
                <w:szCs w:val="22"/>
              </w:rPr>
            </w:pPr>
            <w:r>
              <w:rPr>
                <w:rFonts w:hint="eastAsia" w:ascii="Times New Roman" w:hAnsi="Times New Roman" w:eastAsia="宋体" w:cs="Times New Roman"/>
                <w:b/>
                <w:bCs/>
                <w:kern w:val="0"/>
                <w:szCs w:val="22"/>
              </w:rPr>
              <w:t>毕业要求</w:t>
            </w:r>
          </w:p>
        </w:tc>
        <w:tc>
          <w:tcPr>
            <w:tcW w:w="6326" w:type="dxa"/>
            <w:vAlign w:val="center"/>
          </w:tcPr>
          <w:p w14:paraId="3A6988C7">
            <w:pPr>
              <w:spacing w:line="360" w:lineRule="auto"/>
              <w:jc w:val="center"/>
              <w:rPr>
                <w:rFonts w:ascii="Times New Roman" w:hAnsi="Times New Roman" w:eastAsia="宋体" w:cs="Times New Roman"/>
                <w:b/>
                <w:bCs/>
                <w:kern w:val="0"/>
                <w:szCs w:val="22"/>
              </w:rPr>
            </w:pPr>
            <w:r>
              <w:rPr>
                <w:rFonts w:hint="eastAsia" w:ascii="Times New Roman" w:hAnsi="Times New Roman" w:eastAsia="宋体" w:cs="Times New Roman"/>
                <w:b/>
                <w:bCs/>
                <w:kern w:val="0"/>
                <w:szCs w:val="22"/>
              </w:rPr>
              <w:t>毕业要求指标点</w:t>
            </w:r>
          </w:p>
        </w:tc>
        <w:tc>
          <w:tcPr>
            <w:tcW w:w="1191" w:type="dxa"/>
            <w:vAlign w:val="center"/>
          </w:tcPr>
          <w:p w14:paraId="7DB11853">
            <w:pPr>
              <w:spacing w:line="360" w:lineRule="auto"/>
              <w:jc w:val="center"/>
              <w:rPr>
                <w:rFonts w:ascii="Times New Roman" w:hAnsi="Times New Roman" w:eastAsia="宋体" w:cs="Times New Roman"/>
                <w:b/>
                <w:bCs/>
                <w:kern w:val="0"/>
                <w:szCs w:val="22"/>
              </w:rPr>
            </w:pPr>
            <w:r>
              <w:rPr>
                <w:rFonts w:hint="eastAsia" w:ascii="Times New Roman" w:hAnsi="Times New Roman" w:eastAsia="宋体" w:cs="Times New Roman"/>
                <w:b/>
                <w:bCs/>
                <w:kern w:val="0"/>
                <w:szCs w:val="22"/>
              </w:rPr>
              <w:t>课程目标</w:t>
            </w:r>
          </w:p>
        </w:tc>
      </w:tr>
      <w:tr w14:paraId="59EF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107F9F99">
            <w:pPr>
              <w:spacing w:line="276" w:lineRule="auto"/>
              <w:jc w:val="center"/>
              <w:rPr>
                <w:rFonts w:ascii="Times New Roman" w:hAnsi="Times New Roman" w:eastAsia="宋体" w:cs="Times New Roman"/>
                <w:b/>
                <w:bCs/>
                <w:kern w:val="0"/>
                <w:szCs w:val="22"/>
              </w:rPr>
            </w:pPr>
            <w:r>
              <w:rPr>
                <w:rFonts w:hint="eastAsia" w:ascii="Times New Roman" w:hAnsi="Times New Roman" w:eastAsia="宋体" w:cs="Times New Roman"/>
                <w:b/>
                <w:bCs/>
                <w:kern w:val="0"/>
                <w:szCs w:val="22"/>
              </w:rPr>
              <w:t>毕业要求 4</w:t>
            </w:r>
          </w:p>
          <w:p w14:paraId="0B1A7B5D">
            <w:pPr>
              <w:spacing w:line="276" w:lineRule="auto"/>
              <w:jc w:val="center"/>
              <w:rPr>
                <w:rFonts w:ascii="Times New Roman" w:hAnsi="Times New Roman" w:eastAsia="宋体" w:cs="Times New Roman"/>
                <w:b/>
                <w:bCs/>
                <w:kern w:val="0"/>
                <w:szCs w:val="22"/>
              </w:rPr>
            </w:pPr>
            <w:r>
              <w:rPr>
                <w:rFonts w:hint="eastAsia" w:ascii="Times New Roman" w:hAnsi="Times New Roman" w:eastAsia="宋体" w:cs="Times New Roman"/>
                <w:b/>
                <w:bCs/>
                <w:kern w:val="0"/>
                <w:szCs w:val="22"/>
              </w:rPr>
              <w:t>教学能力</w:t>
            </w:r>
          </w:p>
        </w:tc>
        <w:tc>
          <w:tcPr>
            <w:tcW w:w="6326" w:type="dxa"/>
            <w:vAlign w:val="center"/>
          </w:tcPr>
          <w:p w14:paraId="11FB5CE7">
            <w:pPr>
              <w:spacing w:line="276" w:lineRule="auto"/>
              <w:jc w:val="left"/>
              <w:rPr>
                <w:rFonts w:ascii="Times New Roman" w:hAnsi="Times New Roman" w:eastAsia="宋体" w:cs="Times New Roman"/>
                <w:kern w:val="0"/>
                <w:szCs w:val="22"/>
              </w:rPr>
            </w:pPr>
            <w:r>
              <w:rPr>
                <w:rFonts w:hint="eastAsia" w:ascii="Times New Roman" w:hAnsi="Times New Roman" w:eastAsia="宋体" w:cs="Times New Roman"/>
                <w:b/>
                <w:kern w:val="0"/>
                <w:szCs w:val="22"/>
              </w:rPr>
              <w:t>指标点4-4</w:t>
            </w:r>
            <w:r>
              <w:rPr>
                <w:rFonts w:hint="eastAsia" w:ascii="Times New Roman" w:hAnsi="Times New Roman" w:eastAsia="宋体" w:cs="Times New Roman"/>
                <w:kern w:val="0"/>
                <w:szCs w:val="22"/>
              </w:rPr>
              <w:t>：【</w:t>
            </w:r>
            <w:r>
              <w:rPr>
                <w:rFonts w:hint="eastAsia" w:ascii="Times New Roman" w:hAnsi="Times New Roman" w:eastAsia="宋体" w:cs="Times New Roman"/>
                <w:kern w:val="0"/>
                <w:szCs w:val="22"/>
                <w:lang w:eastAsia="zh"/>
              </w:rPr>
              <w:t>具备</w:t>
            </w:r>
            <w:r>
              <w:rPr>
                <w:rFonts w:hint="eastAsia" w:ascii="Times New Roman" w:hAnsi="Times New Roman" w:eastAsia="宋体" w:cs="Times New Roman"/>
                <w:kern w:val="0"/>
                <w:szCs w:val="22"/>
              </w:rPr>
              <w:t>教学研究能力】掌握教育研究的基本方法，</w:t>
            </w:r>
            <w:r>
              <w:rPr>
                <w:rFonts w:hint="eastAsia" w:ascii="Times New Roman" w:hAnsi="Times New Roman" w:eastAsia="宋体" w:cs="Times New Roman"/>
                <w:kern w:val="0"/>
                <w:szCs w:val="22"/>
                <w:lang w:eastAsia="zh"/>
              </w:rPr>
              <w:t>在教育教学实践中</w:t>
            </w:r>
            <w:r>
              <w:rPr>
                <w:rFonts w:hint="eastAsia" w:ascii="Times New Roman" w:hAnsi="Times New Roman" w:eastAsia="宋体" w:cs="Times New Roman"/>
                <w:kern w:val="0"/>
                <w:szCs w:val="22"/>
              </w:rPr>
              <w:t>结合小学教育教学实践进行研究，具有一定的教学研究能力。</w:t>
            </w:r>
          </w:p>
        </w:tc>
        <w:tc>
          <w:tcPr>
            <w:tcW w:w="1191" w:type="dxa"/>
            <w:vAlign w:val="center"/>
          </w:tcPr>
          <w:p w14:paraId="7327D3A5">
            <w:pPr>
              <w:spacing w:line="276" w:lineRule="auto"/>
              <w:jc w:val="center"/>
              <w:rPr>
                <w:rFonts w:ascii="Times New Roman" w:hAnsi="Times New Roman" w:eastAsia="宋体" w:cs="Times New Roman"/>
                <w:kern w:val="0"/>
                <w:szCs w:val="22"/>
              </w:rPr>
            </w:pPr>
            <w:r>
              <w:rPr>
                <w:rFonts w:hint="eastAsia" w:ascii="Times New Roman" w:hAnsi="Times New Roman" w:eastAsia="宋体" w:cs="Times New Roman"/>
                <w:kern w:val="0"/>
                <w:szCs w:val="22"/>
              </w:rPr>
              <w:t>课程目标2、4</w:t>
            </w:r>
          </w:p>
        </w:tc>
      </w:tr>
      <w:tr w14:paraId="67C3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4DE7ABC7">
            <w:pPr>
              <w:spacing w:line="276" w:lineRule="auto"/>
              <w:jc w:val="center"/>
              <w:rPr>
                <w:rFonts w:ascii="Times New Roman" w:hAnsi="Times New Roman" w:eastAsia="宋体" w:cs="Times New Roman"/>
                <w:b/>
                <w:bCs/>
                <w:kern w:val="0"/>
                <w:szCs w:val="22"/>
              </w:rPr>
            </w:pPr>
            <w:r>
              <w:rPr>
                <w:rFonts w:hint="eastAsia" w:ascii="Times New Roman" w:hAnsi="Times New Roman" w:eastAsia="宋体" w:cs="Times New Roman"/>
                <w:b/>
                <w:bCs/>
                <w:kern w:val="0"/>
                <w:szCs w:val="22"/>
              </w:rPr>
              <w:t>毕业要求7</w:t>
            </w:r>
          </w:p>
          <w:p w14:paraId="4BB5C2AA">
            <w:pPr>
              <w:spacing w:line="276" w:lineRule="auto"/>
              <w:jc w:val="center"/>
              <w:rPr>
                <w:rFonts w:ascii="Times New Roman" w:hAnsi="Times New Roman" w:eastAsia="宋体" w:cs="Times New Roman"/>
                <w:b/>
                <w:bCs/>
                <w:kern w:val="0"/>
                <w:szCs w:val="22"/>
              </w:rPr>
            </w:pPr>
            <w:r>
              <w:rPr>
                <w:rFonts w:hint="eastAsia" w:ascii="Times New Roman" w:hAnsi="Times New Roman" w:eastAsia="宋体" w:cs="Times New Roman"/>
                <w:b/>
                <w:bCs/>
                <w:kern w:val="0"/>
                <w:szCs w:val="22"/>
              </w:rPr>
              <w:t>学会反思</w:t>
            </w:r>
          </w:p>
        </w:tc>
        <w:tc>
          <w:tcPr>
            <w:tcW w:w="6326" w:type="dxa"/>
            <w:vAlign w:val="center"/>
          </w:tcPr>
          <w:p w14:paraId="16F9D7A4">
            <w:pPr>
              <w:spacing w:line="276" w:lineRule="auto"/>
              <w:jc w:val="left"/>
              <w:rPr>
                <w:rFonts w:ascii="Times New Roman" w:hAnsi="Times New Roman" w:eastAsia="宋体" w:cs="Times New Roman"/>
                <w:kern w:val="0"/>
                <w:szCs w:val="22"/>
              </w:rPr>
            </w:pPr>
            <w:r>
              <w:rPr>
                <w:rFonts w:hint="eastAsia" w:ascii="宋体" w:hAnsi="宋体" w:eastAsia="宋体" w:cs="Times New Roman"/>
                <w:b/>
                <w:spacing w:val="2"/>
                <w:kern w:val="0"/>
                <w:szCs w:val="22"/>
              </w:rPr>
              <w:t>指标点7-3</w:t>
            </w:r>
            <w:r>
              <w:rPr>
                <w:rFonts w:hint="eastAsia" w:ascii="宋体" w:hAnsi="宋体" w:eastAsia="宋体" w:cs="Times New Roman"/>
                <w:spacing w:val="2"/>
                <w:kern w:val="0"/>
                <w:szCs w:val="22"/>
              </w:rPr>
              <w:t>：【反思改进良好】具有反思意识和批判性思维素养，初步掌握反思方法和技能，具有一定创新意识，主动收集和挖掘教育教学实践中的案例、关键事件等，不断进行反思，以改进教育教学工作。对在日常学习和教育实践中发现的教育现象和问题，进行探索和研究，有自己的思考和见解。</w:t>
            </w:r>
          </w:p>
        </w:tc>
        <w:tc>
          <w:tcPr>
            <w:tcW w:w="1191" w:type="dxa"/>
            <w:vAlign w:val="center"/>
          </w:tcPr>
          <w:p w14:paraId="09D266EE">
            <w:pPr>
              <w:spacing w:line="276" w:lineRule="auto"/>
              <w:jc w:val="center"/>
              <w:rPr>
                <w:rFonts w:ascii="Times New Roman" w:hAnsi="Times New Roman" w:eastAsia="宋体" w:cs="Times New Roman"/>
                <w:kern w:val="0"/>
                <w:szCs w:val="22"/>
              </w:rPr>
            </w:pPr>
            <w:r>
              <w:rPr>
                <w:rFonts w:hint="eastAsia" w:ascii="Times New Roman" w:hAnsi="Times New Roman" w:eastAsia="宋体" w:cs="Times New Roman"/>
                <w:kern w:val="0"/>
                <w:szCs w:val="22"/>
              </w:rPr>
              <w:t>课程目标1</w:t>
            </w:r>
          </w:p>
        </w:tc>
      </w:tr>
      <w:tr w14:paraId="6A94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0" w:type="dxa"/>
            <w:vAlign w:val="center"/>
          </w:tcPr>
          <w:p w14:paraId="4CBAC2C2">
            <w:pPr>
              <w:spacing w:line="276" w:lineRule="auto"/>
              <w:jc w:val="center"/>
              <w:rPr>
                <w:rFonts w:ascii="Times New Roman" w:hAnsi="Times New Roman" w:eastAsia="宋体" w:cs="Times New Roman"/>
                <w:b/>
                <w:bCs/>
                <w:kern w:val="0"/>
                <w:szCs w:val="22"/>
              </w:rPr>
            </w:pPr>
            <w:r>
              <w:rPr>
                <w:rFonts w:hint="eastAsia" w:ascii="Times New Roman" w:hAnsi="Times New Roman" w:eastAsia="宋体" w:cs="Times New Roman"/>
                <w:b/>
                <w:bCs/>
                <w:kern w:val="0"/>
                <w:szCs w:val="22"/>
              </w:rPr>
              <w:t>毕业要求8</w:t>
            </w:r>
          </w:p>
          <w:p w14:paraId="33CE730E">
            <w:pPr>
              <w:spacing w:line="276" w:lineRule="auto"/>
              <w:jc w:val="center"/>
              <w:rPr>
                <w:rFonts w:ascii="Times New Roman" w:hAnsi="Times New Roman" w:eastAsia="宋体" w:cs="Times New Roman"/>
                <w:b/>
                <w:bCs/>
                <w:kern w:val="0"/>
                <w:szCs w:val="22"/>
              </w:rPr>
            </w:pPr>
            <w:r>
              <w:rPr>
                <w:rFonts w:hint="eastAsia" w:ascii="Times New Roman" w:hAnsi="Times New Roman" w:eastAsia="宋体" w:cs="Times New Roman"/>
                <w:b/>
                <w:bCs/>
                <w:kern w:val="0"/>
                <w:szCs w:val="22"/>
              </w:rPr>
              <w:t>沟通合作</w:t>
            </w:r>
          </w:p>
        </w:tc>
        <w:tc>
          <w:tcPr>
            <w:tcW w:w="6326" w:type="dxa"/>
            <w:vAlign w:val="center"/>
          </w:tcPr>
          <w:p w14:paraId="1220AD1E">
            <w:pPr>
              <w:spacing w:line="276" w:lineRule="auto"/>
              <w:jc w:val="left"/>
              <w:rPr>
                <w:rFonts w:ascii="Times New Roman" w:hAnsi="Times New Roman" w:eastAsia="宋体" w:cs="Times New Roman"/>
                <w:kern w:val="0"/>
                <w:szCs w:val="22"/>
              </w:rPr>
            </w:pPr>
            <w:r>
              <w:rPr>
                <w:rFonts w:hint="eastAsia" w:ascii="宋体" w:hAnsi="宋体" w:eastAsia="宋体" w:cs="Times New Roman"/>
                <w:b/>
                <w:spacing w:val="2"/>
                <w:kern w:val="0"/>
                <w:szCs w:val="22"/>
              </w:rPr>
              <w:t>指标点8-1</w:t>
            </w:r>
            <w:r>
              <w:rPr>
                <w:rFonts w:hint="eastAsia" w:ascii="宋体" w:hAnsi="宋体" w:eastAsia="宋体" w:cs="Times New Roman"/>
                <w:spacing w:val="2"/>
                <w:kern w:val="0"/>
                <w:szCs w:val="22"/>
              </w:rPr>
              <w:t>：【善于团队合作】理解学习共同体的本质和价值，掌握团队协作的基本策略，在课堂学习与教育实践中获得合作学习体验，形成团队协作精神。</w:t>
            </w:r>
          </w:p>
        </w:tc>
        <w:tc>
          <w:tcPr>
            <w:tcW w:w="1191" w:type="dxa"/>
            <w:vAlign w:val="center"/>
          </w:tcPr>
          <w:p w14:paraId="0A9E00E3">
            <w:pPr>
              <w:spacing w:line="276" w:lineRule="auto"/>
              <w:jc w:val="center"/>
              <w:rPr>
                <w:rFonts w:ascii="Times New Roman" w:hAnsi="Times New Roman" w:eastAsia="宋体" w:cs="Times New Roman"/>
                <w:kern w:val="0"/>
                <w:szCs w:val="22"/>
              </w:rPr>
            </w:pPr>
            <w:r>
              <w:rPr>
                <w:rFonts w:hint="eastAsia" w:ascii="Times New Roman" w:hAnsi="Times New Roman" w:eastAsia="宋体" w:cs="Times New Roman"/>
                <w:kern w:val="0"/>
                <w:szCs w:val="22"/>
              </w:rPr>
              <w:t>课程目标3</w:t>
            </w:r>
          </w:p>
        </w:tc>
      </w:tr>
    </w:tbl>
    <w:p w14:paraId="686F728E">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2"/>
          <w:szCs w:val="22"/>
        </w:rPr>
        <w:t>三、教学内容与预期学习成效</w:t>
      </w:r>
    </w:p>
    <w:tbl>
      <w:tblPr>
        <w:tblStyle w:val="12"/>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701"/>
        <w:gridCol w:w="1134"/>
        <w:gridCol w:w="3260"/>
        <w:gridCol w:w="1998"/>
      </w:tblGrid>
      <w:tr w14:paraId="2D2D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168A9817">
            <w:pPr>
              <w:jc w:val="center"/>
              <w:rPr>
                <w:rFonts w:hint="eastAsia" w:ascii="宋体" w:hAnsi="宋体" w:eastAsia="宋体" w:cs="宋体"/>
                <w:b/>
                <w:kern w:val="0"/>
                <w:szCs w:val="21"/>
              </w:rPr>
            </w:pPr>
            <w:r>
              <w:rPr>
                <w:rFonts w:hint="eastAsia" w:ascii="宋体" w:hAnsi="宋体" w:eastAsia="宋体" w:cs="宋体"/>
                <w:b/>
                <w:kern w:val="0"/>
                <w:szCs w:val="21"/>
              </w:rPr>
              <w:t>知识</w:t>
            </w:r>
          </w:p>
          <w:p w14:paraId="5DF97069">
            <w:pPr>
              <w:jc w:val="center"/>
              <w:rPr>
                <w:rFonts w:hint="eastAsia" w:ascii="宋体" w:hAnsi="宋体" w:eastAsia="宋体" w:cs="宋体"/>
                <w:b/>
                <w:kern w:val="0"/>
                <w:szCs w:val="21"/>
              </w:rPr>
            </w:pPr>
            <w:r>
              <w:rPr>
                <w:rFonts w:hint="eastAsia" w:ascii="宋体" w:hAnsi="宋体" w:eastAsia="宋体" w:cs="宋体"/>
                <w:b/>
                <w:kern w:val="0"/>
                <w:szCs w:val="21"/>
              </w:rPr>
              <w:t>单元</w:t>
            </w:r>
          </w:p>
        </w:tc>
        <w:tc>
          <w:tcPr>
            <w:tcW w:w="1701" w:type="dxa"/>
            <w:vAlign w:val="center"/>
          </w:tcPr>
          <w:p w14:paraId="455A65FA">
            <w:pPr>
              <w:jc w:val="center"/>
              <w:rPr>
                <w:rFonts w:hint="eastAsia" w:ascii="宋体" w:hAnsi="宋体" w:eastAsia="宋体" w:cs="宋体"/>
                <w:b/>
                <w:kern w:val="0"/>
                <w:szCs w:val="21"/>
              </w:rPr>
            </w:pPr>
            <w:r>
              <w:rPr>
                <w:rFonts w:hint="eastAsia" w:ascii="宋体" w:hAnsi="宋体" w:eastAsia="宋体" w:cs="宋体"/>
                <w:b/>
                <w:kern w:val="0"/>
                <w:szCs w:val="21"/>
              </w:rPr>
              <w:t>知识点</w:t>
            </w:r>
          </w:p>
        </w:tc>
        <w:tc>
          <w:tcPr>
            <w:tcW w:w="1134" w:type="dxa"/>
            <w:vAlign w:val="center"/>
          </w:tcPr>
          <w:p w14:paraId="38070EFF">
            <w:pPr>
              <w:jc w:val="center"/>
              <w:rPr>
                <w:rFonts w:hint="eastAsia" w:ascii="宋体" w:hAnsi="宋体" w:eastAsia="宋体" w:cs="宋体"/>
                <w:b/>
                <w:kern w:val="0"/>
                <w:szCs w:val="21"/>
              </w:rPr>
            </w:pPr>
            <w:r>
              <w:rPr>
                <w:rFonts w:hint="eastAsia" w:ascii="宋体" w:hAnsi="宋体" w:eastAsia="宋体" w:cs="宋体"/>
                <w:b/>
                <w:kern w:val="0"/>
                <w:szCs w:val="21"/>
              </w:rPr>
              <w:t>对应</w:t>
            </w:r>
          </w:p>
          <w:p w14:paraId="01D72B0D">
            <w:pPr>
              <w:jc w:val="center"/>
              <w:rPr>
                <w:rFonts w:hint="eastAsia" w:ascii="宋体" w:hAnsi="宋体" w:eastAsia="宋体" w:cs="宋体"/>
                <w:b/>
                <w:kern w:val="0"/>
                <w:szCs w:val="21"/>
              </w:rPr>
            </w:pPr>
            <w:r>
              <w:rPr>
                <w:rFonts w:hint="eastAsia" w:ascii="宋体" w:hAnsi="宋体" w:eastAsia="宋体" w:cs="宋体"/>
                <w:b/>
                <w:kern w:val="0"/>
                <w:szCs w:val="21"/>
              </w:rPr>
              <w:t>课程目标</w:t>
            </w:r>
          </w:p>
        </w:tc>
        <w:tc>
          <w:tcPr>
            <w:tcW w:w="3260" w:type="dxa"/>
            <w:vAlign w:val="center"/>
          </w:tcPr>
          <w:p w14:paraId="369B401B">
            <w:pPr>
              <w:jc w:val="center"/>
              <w:rPr>
                <w:rFonts w:hint="eastAsia" w:ascii="宋体" w:hAnsi="宋体" w:eastAsia="宋体" w:cs="宋体"/>
                <w:b/>
                <w:kern w:val="0"/>
                <w:szCs w:val="21"/>
              </w:rPr>
            </w:pPr>
            <w:r>
              <w:rPr>
                <w:rFonts w:hint="eastAsia" w:ascii="宋体" w:hAnsi="宋体" w:eastAsia="宋体" w:cs="宋体"/>
                <w:b/>
                <w:kern w:val="0"/>
                <w:szCs w:val="21"/>
              </w:rPr>
              <w:t>要求</w:t>
            </w:r>
          </w:p>
        </w:tc>
        <w:tc>
          <w:tcPr>
            <w:tcW w:w="1998" w:type="dxa"/>
            <w:vAlign w:val="center"/>
          </w:tcPr>
          <w:p w14:paraId="7CF70FFE">
            <w:pPr>
              <w:jc w:val="center"/>
              <w:rPr>
                <w:rFonts w:hint="eastAsia" w:ascii="宋体" w:hAnsi="宋体" w:eastAsia="宋体" w:cs="宋体"/>
                <w:b/>
                <w:kern w:val="0"/>
                <w:szCs w:val="21"/>
              </w:rPr>
            </w:pPr>
            <w:r>
              <w:rPr>
                <w:rFonts w:hint="eastAsia" w:ascii="宋体" w:hAnsi="宋体" w:eastAsia="宋体" w:cs="宋体"/>
                <w:b/>
                <w:kern w:val="0"/>
                <w:szCs w:val="21"/>
              </w:rPr>
              <w:t>预期学习成效</w:t>
            </w:r>
          </w:p>
        </w:tc>
      </w:tr>
      <w:tr w14:paraId="697B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57B981B">
            <w:pPr>
              <w:jc w:val="center"/>
              <w:rPr>
                <w:rFonts w:hint="eastAsia" w:ascii="宋体" w:hAnsi="宋体" w:eastAsia="宋体" w:cs="宋体"/>
                <w:kern w:val="0"/>
                <w:szCs w:val="21"/>
              </w:rPr>
            </w:pPr>
            <w:r>
              <w:rPr>
                <w:rFonts w:hint="eastAsia" w:ascii="宋体" w:hAnsi="宋体" w:eastAsia="宋体" w:cs="宋体"/>
                <w:kern w:val="0"/>
                <w:szCs w:val="21"/>
              </w:rPr>
              <w:t>1教学工作研习</w:t>
            </w:r>
          </w:p>
        </w:tc>
        <w:tc>
          <w:tcPr>
            <w:tcW w:w="1701" w:type="dxa"/>
            <w:vAlign w:val="center"/>
          </w:tcPr>
          <w:p w14:paraId="318719AD">
            <w:pPr>
              <w:jc w:val="left"/>
              <w:rPr>
                <w:rFonts w:hint="eastAsia" w:ascii="宋体" w:hAnsi="宋体" w:eastAsia="宋体" w:cs="宋体"/>
                <w:kern w:val="0"/>
                <w:szCs w:val="21"/>
              </w:rPr>
            </w:pPr>
            <w:r>
              <w:rPr>
                <w:rFonts w:hint="eastAsia" w:ascii="宋体" w:hAnsi="宋体" w:eastAsia="宋体" w:cs="宋体"/>
                <w:kern w:val="0"/>
                <w:szCs w:val="21"/>
              </w:rPr>
              <w:t>（1）教学设计文本研习</w:t>
            </w:r>
          </w:p>
          <w:p w14:paraId="26F0E1D5">
            <w:pPr>
              <w:rPr>
                <w:rFonts w:hint="eastAsia" w:ascii="宋体" w:hAnsi="宋体" w:eastAsia="宋体" w:cs="宋体"/>
                <w:kern w:val="0"/>
                <w:szCs w:val="21"/>
              </w:rPr>
            </w:pPr>
            <w:r>
              <w:rPr>
                <w:rFonts w:hint="eastAsia" w:ascii="宋体" w:hAnsi="宋体" w:eastAsia="宋体" w:cs="宋体"/>
                <w:kern w:val="0"/>
                <w:szCs w:val="21"/>
              </w:rPr>
              <w:t>（2）课堂教学观察研习</w:t>
            </w:r>
          </w:p>
        </w:tc>
        <w:tc>
          <w:tcPr>
            <w:tcW w:w="1134" w:type="dxa"/>
            <w:vAlign w:val="center"/>
          </w:tcPr>
          <w:p w14:paraId="02147602">
            <w:pPr>
              <w:jc w:val="center"/>
              <w:rPr>
                <w:rFonts w:hint="eastAsia" w:ascii="宋体" w:hAnsi="宋体" w:eastAsia="宋体" w:cs="宋体"/>
                <w:kern w:val="0"/>
                <w:szCs w:val="21"/>
              </w:rPr>
            </w:pPr>
            <w:r>
              <w:rPr>
                <w:rFonts w:hint="eastAsia" w:ascii="宋体" w:hAnsi="宋体" w:eastAsia="宋体" w:cs="宋体"/>
                <w:kern w:val="0"/>
                <w:szCs w:val="21"/>
              </w:rPr>
              <w:t>课程目标2、3</w:t>
            </w:r>
          </w:p>
        </w:tc>
        <w:tc>
          <w:tcPr>
            <w:tcW w:w="3260" w:type="dxa"/>
            <w:vAlign w:val="center"/>
          </w:tcPr>
          <w:p w14:paraId="65FFE518">
            <w:pPr>
              <w:jc w:val="left"/>
              <w:rPr>
                <w:rFonts w:hint="eastAsia" w:ascii="宋体" w:hAnsi="宋体" w:eastAsia="宋体" w:cs="宋体"/>
                <w:kern w:val="0"/>
                <w:szCs w:val="21"/>
              </w:rPr>
            </w:pPr>
            <w:r>
              <w:rPr>
                <w:rFonts w:hint="eastAsia" w:ascii="宋体" w:hAnsi="宋体" w:eastAsia="宋体" w:cs="宋体"/>
                <w:kern w:val="0"/>
                <w:szCs w:val="21"/>
              </w:rPr>
              <w:t>（1）掌握并钻研小学语文（数学）课程标准，分析研读相关教材，按照大纲要求结合事宜，认真研习教学设计文本。</w:t>
            </w:r>
          </w:p>
          <w:p w14:paraId="2504B6AB">
            <w:pPr>
              <w:rPr>
                <w:rFonts w:hint="eastAsia" w:ascii="宋体" w:hAnsi="宋体" w:eastAsia="宋体" w:cs="宋体"/>
                <w:kern w:val="0"/>
                <w:szCs w:val="21"/>
              </w:rPr>
            </w:pPr>
            <w:r>
              <w:rPr>
                <w:rFonts w:hint="eastAsia" w:ascii="宋体" w:hAnsi="宋体" w:eastAsia="宋体" w:cs="宋体"/>
                <w:kern w:val="0"/>
                <w:szCs w:val="21"/>
              </w:rPr>
              <w:t>（2）听课不少于15节课，并做好听课记录、评课记录、反思等材料，其中提交听课记录10节，评课记录2节，认真研习教学理念与方法。</w:t>
            </w:r>
          </w:p>
          <w:p w14:paraId="40E08CA5">
            <w:pPr>
              <w:rPr>
                <w:rFonts w:hint="eastAsia" w:ascii="宋体" w:hAnsi="宋体" w:eastAsia="宋体" w:cs="宋体"/>
                <w:kern w:val="0"/>
                <w:szCs w:val="21"/>
              </w:rPr>
            </w:pPr>
            <w:r>
              <w:rPr>
                <w:rFonts w:hint="eastAsia" w:ascii="宋体" w:hAnsi="宋体" w:eastAsia="宋体" w:cs="宋体"/>
                <w:kern w:val="0"/>
                <w:szCs w:val="21"/>
              </w:rPr>
              <w:t>（3）以分组形式充分准备全面、深入、客观评价研讨对象，主动邀请指导教师参与，虚心接受指导教师意见。</w:t>
            </w:r>
          </w:p>
        </w:tc>
        <w:tc>
          <w:tcPr>
            <w:tcW w:w="1998" w:type="dxa"/>
            <w:vAlign w:val="center"/>
          </w:tcPr>
          <w:p w14:paraId="01807D92">
            <w:pPr>
              <w:jc w:val="left"/>
              <w:rPr>
                <w:rFonts w:hint="eastAsia" w:ascii="宋体" w:hAnsi="宋体" w:eastAsia="宋体" w:cs="宋体"/>
                <w:kern w:val="0"/>
                <w:szCs w:val="21"/>
              </w:rPr>
            </w:pPr>
            <w:r>
              <w:rPr>
                <w:rFonts w:hint="eastAsia" w:ascii="宋体" w:hAnsi="宋体" w:eastAsia="宋体" w:cs="宋体"/>
                <w:kern w:val="0"/>
                <w:szCs w:val="21"/>
              </w:rPr>
              <w:t>（1）学会分析和评价教学设计文本，能发现教学设计文本中的不足并提出改进措施。</w:t>
            </w:r>
          </w:p>
          <w:p w14:paraId="395E0588">
            <w:pPr>
              <w:jc w:val="left"/>
              <w:rPr>
                <w:rFonts w:hint="eastAsia" w:ascii="宋体" w:hAnsi="宋体" w:eastAsia="宋体" w:cs="宋体"/>
                <w:kern w:val="0"/>
                <w:szCs w:val="21"/>
              </w:rPr>
            </w:pPr>
            <w:r>
              <w:rPr>
                <w:rFonts w:hint="eastAsia" w:ascii="宋体" w:hAnsi="宋体" w:eastAsia="宋体" w:cs="宋体"/>
                <w:kern w:val="0"/>
                <w:szCs w:val="21"/>
              </w:rPr>
              <w:t>（2）能够通过观摩课堂，对教师的教学理念和方法给出恰当的评估。</w:t>
            </w:r>
          </w:p>
          <w:p w14:paraId="670714C9">
            <w:pPr>
              <w:jc w:val="left"/>
              <w:rPr>
                <w:rFonts w:hint="eastAsia" w:ascii="宋体" w:hAnsi="宋体" w:eastAsia="宋体" w:cs="宋体"/>
                <w:kern w:val="0"/>
                <w:szCs w:val="21"/>
              </w:rPr>
            </w:pPr>
            <w:r>
              <w:rPr>
                <w:rFonts w:hint="eastAsia" w:ascii="宋体" w:hAnsi="宋体" w:eastAsia="宋体" w:cs="宋体"/>
                <w:kern w:val="0"/>
                <w:szCs w:val="21"/>
              </w:rPr>
              <w:t>（3）能够初步掌握教学研究的基本原理和方法，教学研究能力得到提高</w:t>
            </w:r>
          </w:p>
          <w:p w14:paraId="15B55B48">
            <w:pPr>
              <w:jc w:val="center"/>
              <w:rPr>
                <w:rFonts w:hint="eastAsia" w:ascii="宋体" w:hAnsi="宋体" w:eastAsia="宋体" w:cs="宋体"/>
                <w:kern w:val="0"/>
                <w:szCs w:val="21"/>
              </w:rPr>
            </w:pPr>
          </w:p>
        </w:tc>
      </w:tr>
      <w:tr w14:paraId="715D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6DFB138">
            <w:pPr>
              <w:jc w:val="center"/>
              <w:rPr>
                <w:rFonts w:hint="eastAsia" w:ascii="宋体" w:hAnsi="宋体" w:eastAsia="宋体" w:cs="宋体"/>
                <w:kern w:val="0"/>
                <w:szCs w:val="21"/>
              </w:rPr>
            </w:pPr>
          </w:p>
        </w:tc>
        <w:tc>
          <w:tcPr>
            <w:tcW w:w="8093" w:type="dxa"/>
            <w:gridSpan w:val="4"/>
            <w:vAlign w:val="center"/>
          </w:tcPr>
          <w:p w14:paraId="0E9E7E39">
            <w:pPr>
              <w:jc w:val="left"/>
              <w:rPr>
                <w:rFonts w:hint="eastAsia" w:ascii="宋体" w:hAnsi="宋体" w:eastAsia="宋体" w:cs="宋体"/>
                <w:kern w:val="0"/>
                <w:szCs w:val="21"/>
              </w:rPr>
            </w:pPr>
            <w:r>
              <w:rPr>
                <w:rFonts w:hint="eastAsia" w:ascii="宋体" w:hAnsi="宋体" w:eastAsia="宋体" w:cs="宋体"/>
                <w:b/>
                <w:kern w:val="0"/>
                <w:szCs w:val="21"/>
              </w:rPr>
              <w:t>课程思政目标：</w:t>
            </w:r>
            <w:r>
              <w:rPr>
                <w:rFonts w:hint="eastAsia" w:ascii="宋体" w:hAnsi="宋体" w:eastAsia="宋体" w:cs="宋体"/>
                <w:kern w:val="0"/>
                <w:szCs w:val="21"/>
              </w:rPr>
              <w:t>把“立德树人”教育目标融入实践过程中，领悟教师职业的价值，树立职业理想，立志成为有理想信念、有道德情操、有扎实学识、有仁爱之心的好教师。</w:t>
            </w:r>
          </w:p>
        </w:tc>
      </w:tr>
      <w:tr w14:paraId="27B6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A8CF8B2">
            <w:pPr>
              <w:jc w:val="center"/>
              <w:rPr>
                <w:rFonts w:hint="eastAsia" w:ascii="宋体" w:hAnsi="宋体" w:eastAsia="宋体" w:cs="宋体"/>
                <w:kern w:val="0"/>
                <w:szCs w:val="21"/>
              </w:rPr>
            </w:pPr>
            <w:r>
              <w:rPr>
                <w:rFonts w:hint="eastAsia" w:ascii="宋体" w:hAnsi="宋体" w:eastAsia="宋体" w:cs="宋体"/>
                <w:kern w:val="0"/>
                <w:szCs w:val="21"/>
              </w:rPr>
              <w:t>2.班主任工作研习</w:t>
            </w:r>
          </w:p>
        </w:tc>
        <w:tc>
          <w:tcPr>
            <w:tcW w:w="1701" w:type="dxa"/>
            <w:vAlign w:val="center"/>
          </w:tcPr>
          <w:p w14:paraId="2D2D7871">
            <w:pPr>
              <w:jc w:val="left"/>
              <w:rPr>
                <w:rFonts w:hint="eastAsia" w:ascii="宋体" w:hAnsi="宋体" w:eastAsia="宋体" w:cs="宋体"/>
                <w:kern w:val="0"/>
                <w:szCs w:val="21"/>
              </w:rPr>
            </w:pPr>
            <w:r>
              <w:rPr>
                <w:rFonts w:hint="eastAsia" w:ascii="宋体" w:hAnsi="宋体" w:eastAsia="宋体" w:cs="宋体"/>
                <w:kern w:val="0"/>
                <w:szCs w:val="21"/>
              </w:rPr>
              <w:t>（1）优秀班主任成长经验研习</w:t>
            </w:r>
          </w:p>
          <w:p w14:paraId="44724E3C">
            <w:pPr>
              <w:jc w:val="left"/>
              <w:rPr>
                <w:rFonts w:hint="eastAsia" w:ascii="宋体" w:hAnsi="宋体" w:eastAsia="宋体" w:cs="宋体"/>
                <w:kern w:val="0"/>
                <w:szCs w:val="21"/>
              </w:rPr>
            </w:pPr>
            <w:r>
              <w:rPr>
                <w:rFonts w:hint="eastAsia" w:ascii="宋体" w:hAnsi="宋体" w:eastAsia="宋体" w:cs="宋体"/>
                <w:kern w:val="0"/>
                <w:szCs w:val="21"/>
              </w:rPr>
              <w:t>（2）班主任各班级管理方法研习</w:t>
            </w:r>
          </w:p>
          <w:p w14:paraId="70301CB3">
            <w:pPr>
              <w:jc w:val="left"/>
              <w:rPr>
                <w:rFonts w:hint="eastAsia" w:ascii="宋体" w:hAnsi="宋体" w:eastAsia="宋体" w:cs="宋体"/>
                <w:kern w:val="0"/>
                <w:szCs w:val="21"/>
              </w:rPr>
            </w:pPr>
            <w:r>
              <w:rPr>
                <w:rFonts w:hint="eastAsia" w:ascii="宋体" w:hAnsi="宋体" w:eastAsia="宋体" w:cs="宋体"/>
                <w:kern w:val="0"/>
                <w:szCs w:val="21"/>
              </w:rPr>
              <w:t>（3）主题班会研习</w:t>
            </w:r>
          </w:p>
          <w:p w14:paraId="00C9F51E">
            <w:pPr>
              <w:jc w:val="left"/>
              <w:rPr>
                <w:rFonts w:hint="eastAsia" w:ascii="宋体" w:hAnsi="宋体" w:eastAsia="宋体" w:cs="宋体"/>
                <w:kern w:val="0"/>
                <w:szCs w:val="21"/>
              </w:rPr>
            </w:pPr>
          </w:p>
        </w:tc>
        <w:tc>
          <w:tcPr>
            <w:tcW w:w="1134" w:type="dxa"/>
            <w:vAlign w:val="center"/>
          </w:tcPr>
          <w:p w14:paraId="5ECD3D90">
            <w:pPr>
              <w:jc w:val="center"/>
              <w:rPr>
                <w:rFonts w:hint="eastAsia" w:ascii="宋体" w:hAnsi="宋体" w:eastAsia="宋体" w:cs="宋体"/>
                <w:kern w:val="0"/>
                <w:szCs w:val="21"/>
              </w:rPr>
            </w:pPr>
            <w:r>
              <w:rPr>
                <w:rFonts w:hint="eastAsia" w:ascii="宋体" w:hAnsi="宋体" w:eastAsia="宋体" w:cs="宋体"/>
                <w:kern w:val="0"/>
                <w:szCs w:val="21"/>
              </w:rPr>
              <w:t>课程目标1、3、4</w:t>
            </w:r>
          </w:p>
        </w:tc>
        <w:tc>
          <w:tcPr>
            <w:tcW w:w="3260" w:type="dxa"/>
            <w:vAlign w:val="center"/>
          </w:tcPr>
          <w:p w14:paraId="02BFA9F7">
            <w:pPr>
              <w:jc w:val="left"/>
              <w:rPr>
                <w:rFonts w:hint="eastAsia" w:ascii="宋体" w:hAnsi="宋体" w:eastAsia="宋体" w:cs="宋体"/>
                <w:kern w:val="0"/>
                <w:szCs w:val="21"/>
              </w:rPr>
            </w:pPr>
            <w:r>
              <w:rPr>
                <w:rFonts w:hint="eastAsia" w:ascii="宋体" w:hAnsi="宋体" w:eastAsia="宋体" w:cs="宋体"/>
                <w:kern w:val="0"/>
                <w:szCs w:val="21"/>
              </w:rPr>
              <w:t>（1）研习生根据研习学校的工作安排和原班主任工作计划，制定班主任工作研习计划，计划需经过原班主任同意后执行。</w:t>
            </w:r>
          </w:p>
          <w:p w14:paraId="0DE80FD9">
            <w:pPr>
              <w:rPr>
                <w:rFonts w:hint="eastAsia" w:ascii="宋体" w:hAnsi="宋体" w:eastAsia="宋体" w:cs="宋体"/>
                <w:kern w:val="0"/>
                <w:szCs w:val="21"/>
              </w:rPr>
            </w:pPr>
            <w:r>
              <w:rPr>
                <w:rFonts w:hint="eastAsia" w:ascii="宋体" w:hAnsi="宋体" w:eastAsia="宋体" w:cs="宋体"/>
                <w:kern w:val="0"/>
                <w:szCs w:val="21"/>
              </w:rPr>
              <w:t>（2）研习生需虚心向原班主任学习，听取原班主任对个人成长经历经验、研习班级基本情况、学生思想和学习情况的介绍。</w:t>
            </w:r>
          </w:p>
          <w:p w14:paraId="1AB4A445">
            <w:pPr>
              <w:rPr>
                <w:rFonts w:hint="eastAsia" w:ascii="宋体" w:hAnsi="宋体" w:eastAsia="宋体" w:cs="宋体"/>
                <w:kern w:val="0"/>
                <w:szCs w:val="21"/>
              </w:rPr>
            </w:pPr>
            <w:r>
              <w:rPr>
                <w:rFonts w:hint="eastAsia" w:ascii="宋体" w:hAnsi="宋体" w:eastAsia="宋体" w:cs="宋体"/>
                <w:kern w:val="0"/>
                <w:szCs w:val="21"/>
              </w:rPr>
              <w:t>（3）研习生在研习期间需参加至少2次主题班会，1个班级管理案例或少先队（班队）工作案例分析，了解主题班会的策划、组织和管理。</w:t>
            </w:r>
          </w:p>
          <w:p w14:paraId="1F0EAA88">
            <w:pPr>
              <w:rPr>
                <w:rFonts w:hint="eastAsia" w:ascii="宋体" w:hAnsi="宋体" w:eastAsia="宋体" w:cs="宋体"/>
                <w:kern w:val="0"/>
                <w:szCs w:val="21"/>
              </w:rPr>
            </w:pPr>
            <w:r>
              <w:rPr>
                <w:rFonts w:hint="eastAsia" w:ascii="宋体" w:hAnsi="宋体" w:eastAsia="宋体" w:cs="宋体"/>
                <w:kern w:val="0"/>
                <w:szCs w:val="21"/>
              </w:rPr>
              <w:t>（4）研习生需每天深入班级，了解原班主任如何开展日常管理工作，如何处理班级发生的突发事件，维护班级正常的教学秩序。</w:t>
            </w:r>
          </w:p>
          <w:p w14:paraId="10B0F77B">
            <w:pPr>
              <w:rPr>
                <w:rFonts w:hint="eastAsia" w:ascii="宋体" w:hAnsi="宋体" w:eastAsia="宋体" w:cs="宋体"/>
                <w:kern w:val="0"/>
                <w:szCs w:val="21"/>
              </w:rPr>
            </w:pPr>
            <w:r>
              <w:rPr>
                <w:rFonts w:hint="eastAsia" w:ascii="宋体" w:hAnsi="宋体" w:eastAsia="宋体" w:cs="宋体"/>
                <w:kern w:val="0"/>
                <w:szCs w:val="21"/>
              </w:rPr>
              <w:t>（5）研习生在需要的时候应协助原班主任做好班主任日常管理工作。</w:t>
            </w:r>
          </w:p>
        </w:tc>
        <w:tc>
          <w:tcPr>
            <w:tcW w:w="1998" w:type="dxa"/>
            <w:vAlign w:val="center"/>
          </w:tcPr>
          <w:p w14:paraId="7012D584">
            <w:pPr>
              <w:jc w:val="center"/>
              <w:rPr>
                <w:rFonts w:hint="eastAsia" w:ascii="宋体" w:hAnsi="宋体" w:eastAsia="宋体" w:cs="宋体"/>
                <w:kern w:val="0"/>
                <w:szCs w:val="21"/>
              </w:rPr>
            </w:pPr>
            <w:r>
              <w:rPr>
                <w:rFonts w:hint="eastAsia" w:ascii="宋体" w:hAnsi="宋体" w:eastAsia="宋体" w:cs="宋体"/>
                <w:kern w:val="0"/>
                <w:szCs w:val="21"/>
              </w:rPr>
              <w:t>（1）能够通过优秀班主任成长经历获得具有启发性的思考，对班主任成长过程和成长规律具有一定的理性认识。</w:t>
            </w:r>
          </w:p>
          <w:p w14:paraId="1D960CC3">
            <w:pPr>
              <w:rPr>
                <w:rFonts w:hint="eastAsia" w:ascii="宋体" w:hAnsi="宋体" w:eastAsia="宋体" w:cs="宋体"/>
                <w:kern w:val="0"/>
                <w:szCs w:val="21"/>
              </w:rPr>
            </w:pPr>
            <w:r>
              <w:rPr>
                <w:rFonts w:hint="eastAsia" w:ascii="宋体" w:hAnsi="宋体" w:eastAsia="宋体" w:cs="宋体"/>
                <w:kern w:val="0"/>
                <w:szCs w:val="21"/>
              </w:rPr>
              <w:t>（2）学会通过多种方法对班主任日常管理工作成效、主题班会成效进行评估，能够反思日常管理工作和主题班会中的问题并提出改进措施。</w:t>
            </w:r>
          </w:p>
          <w:p w14:paraId="20744638">
            <w:pPr>
              <w:rPr>
                <w:rFonts w:hint="eastAsia" w:ascii="宋体" w:hAnsi="宋体" w:eastAsia="宋体" w:cs="宋体"/>
                <w:kern w:val="0"/>
                <w:szCs w:val="21"/>
              </w:rPr>
            </w:pPr>
            <w:r>
              <w:rPr>
                <w:rFonts w:hint="eastAsia" w:ascii="宋体" w:hAnsi="宋体" w:eastAsia="宋体" w:cs="宋体"/>
                <w:kern w:val="0"/>
                <w:szCs w:val="21"/>
              </w:rPr>
              <w:t>（3）掌握班主任工作的一般规律和方法，初步具备班级管理能力。</w:t>
            </w:r>
          </w:p>
        </w:tc>
      </w:tr>
      <w:tr w14:paraId="7964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4408C89">
            <w:pPr>
              <w:jc w:val="center"/>
              <w:rPr>
                <w:rFonts w:hint="eastAsia" w:ascii="宋体" w:hAnsi="宋体" w:eastAsia="宋体" w:cs="宋体"/>
                <w:kern w:val="0"/>
                <w:szCs w:val="21"/>
              </w:rPr>
            </w:pPr>
          </w:p>
        </w:tc>
        <w:tc>
          <w:tcPr>
            <w:tcW w:w="8093" w:type="dxa"/>
            <w:gridSpan w:val="4"/>
            <w:vAlign w:val="center"/>
          </w:tcPr>
          <w:p w14:paraId="5B5C2781">
            <w:pPr>
              <w:jc w:val="left"/>
              <w:rPr>
                <w:rFonts w:hint="eastAsia" w:ascii="宋体" w:hAnsi="宋体" w:eastAsia="宋体" w:cs="宋体"/>
                <w:kern w:val="0"/>
                <w:szCs w:val="21"/>
              </w:rPr>
            </w:pPr>
            <w:r>
              <w:rPr>
                <w:rFonts w:hint="eastAsia" w:ascii="宋体" w:hAnsi="宋体" w:eastAsia="宋体" w:cs="宋体"/>
                <w:b/>
                <w:kern w:val="0"/>
                <w:szCs w:val="21"/>
              </w:rPr>
              <w:t>课程思政目标：</w:t>
            </w:r>
            <w:r>
              <w:rPr>
                <w:rFonts w:hint="eastAsia" w:ascii="宋体" w:hAnsi="宋体" w:eastAsia="宋体" w:cs="宋体"/>
                <w:kern w:val="0"/>
                <w:szCs w:val="21"/>
              </w:rPr>
              <w:t>在教育实践中，坚持科学正确的教育观、学生观，充分尊重学生心理规律，实事求是，将理论知识与实践知识相结合，增进对专业的认知与认同。把立德树人作为教育使命，主动研究教育教学问题。</w:t>
            </w:r>
          </w:p>
        </w:tc>
      </w:tr>
      <w:tr w14:paraId="7424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1AFD129D">
            <w:pPr>
              <w:jc w:val="center"/>
              <w:rPr>
                <w:rFonts w:hint="eastAsia" w:ascii="宋体" w:hAnsi="宋体" w:eastAsia="宋体" w:cs="宋体"/>
                <w:kern w:val="0"/>
                <w:szCs w:val="21"/>
              </w:rPr>
            </w:pPr>
            <w:r>
              <w:rPr>
                <w:rFonts w:hint="eastAsia" w:ascii="宋体" w:hAnsi="宋体" w:eastAsia="宋体" w:cs="宋体"/>
                <w:kern w:val="0"/>
                <w:szCs w:val="21"/>
              </w:rPr>
              <w:t>3.教育教学调研</w:t>
            </w:r>
          </w:p>
        </w:tc>
        <w:tc>
          <w:tcPr>
            <w:tcW w:w="1701" w:type="dxa"/>
            <w:vAlign w:val="center"/>
          </w:tcPr>
          <w:p w14:paraId="79BFE3FA">
            <w:pPr>
              <w:jc w:val="left"/>
              <w:rPr>
                <w:rFonts w:hint="eastAsia" w:ascii="宋体" w:hAnsi="宋体" w:eastAsia="宋体" w:cs="宋体"/>
                <w:kern w:val="0"/>
                <w:szCs w:val="21"/>
              </w:rPr>
            </w:pPr>
            <w:r>
              <w:rPr>
                <w:rFonts w:hint="eastAsia" w:ascii="宋体" w:hAnsi="宋体" w:eastAsia="宋体" w:cs="宋体"/>
                <w:kern w:val="0"/>
                <w:szCs w:val="21"/>
              </w:rPr>
              <w:t>选其一</w:t>
            </w:r>
          </w:p>
          <w:p w14:paraId="5199F0F2">
            <w:pPr>
              <w:jc w:val="left"/>
              <w:rPr>
                <w:rFonts w:hint="eastAsia" w:ascii="宋体" w:hAnsi="宋体" w:eastAsia="宋体" w:cs="宋体"/>
                <w:kern w:val="0"/>
                <w:szCs w:val="21"/>
              </w:rPr>
            </w:pPr>
            <w:r>
              <w:rPr>
                <w:rFonts w:hint="eastAsia" w:ascii="宋体" w:hAnsi="宋体" w:eastAsia="宋体" w:cs="宋体"/>
                <w:kern w:val="0"/>
                <w:szCs w:val="21"/>
              </w:rPr>
              <w:t>（1）小学教育教学改革情况</w:t>
            </w:r>
          </w:p>
          <w:p w14:paraId="19BD48F6">
            <w:pPr>
              <w:jc w:val="left"/>
              <w:rPr>
                <w:rFonts w:hint="eastAsia" w:ascii="宋体" w:hAnsi="宋体" w:eastAsia="宋体" w:cs="宋体"/>
                <w:kern w:val="0"/>
                <w:szCs w:val="21"/>
              </w:rPr>
            </w:pPr>
            <w:r>
              <w:rPr>
                <w:rFonts w:hint="eastAsia" w:ascii="宋体" w:hAnsi="宋体" w:eastAsia="宋体" w:cs="宋体"/>
                <w:kern w:val="0"/>
                <w:szCs w:val="21"/>
              </w:rPr>
              <w:t>（2）小学生素质教育实施情况。</w:t>
            </w:r>
          </w:p>
          <w:p w14:paraId="0DA4BF11">
            <w:pPr>
              <w:jc w:val="left"/>
              <w:rPr>
                <w:rFonts w:hint="eastAsia" w:ascii="宋体" w:hAnsi="宋体" w:eastAsia="宋体" w:cs="宋体"/>
                <w:kern w:val="0"/>
                <w:szCs w:val="21"/>
              </w:rPr>
            </w:pPr>
            <w:r>
              <w:rPr>
                <w:rFonts w:hint="eastAsia" w:ascii="宋体" w:hAnsi="宋体" w:eastAsia="宋体" w:cs="宋体"/>
                <w:kern w:val="0"/>
                <w:szCs w:val="21"/>
              </w:rPr>
              <w:t>（3）小学生思想、心理问题、行为问题等</w:t>
            </w:r>
          </w:p>
          <w:p w14:paraId="04429D69">
            <w:pPr>
              <w:jc w:val="left"/>
              <w:rPr>
                <w:rFonts w:hint="eastAsia" w:ascii="宋体" w:hAnsi="宋体" w:eastAsia="宋体" w:cs="宋体"/>
                <w:kern w:val="0"/>
                <w:szCs w:val="21"/>
              </w:rPr>
            </w:pPr>
            <w:r>
              <w:rPr>
                <w:rFonts w:hint="eastAsia" w:ascii="宋体" w:hAnsi="宋体" w:eastAsia="宋体" w:cs="宋体"/>
                <w:kern w:val="0"/>
                <w:szCs w:val="21"/>
              </w:rPr>
              <w:t>（3）小学教师队伍建设、专业发展、教学方法、设计等状况。</w:t>
            </w:r>
          </w:p>
        </w:tc>
        <w:tc>
          <w:tcPr>
            <w:tcW w:w="1134" w:type="dxa"/>
            <w:vAlign w:val="center"/>
          </w:tcPr>
          <w:p w14:paraId="0A9D7B65">
            <w:pPr>
              <w:jc w:val="center"/>
              <w:rPr>
                <w:rFonts w:hint="eastAsia" w:ascii="宋体" w:hAnsi="宋体" w:eastAsia="宋体" w:cs="宋体"/>
                <w:kern w:val="0"/>
                <w:szCs w:val="21"/>
              </w:rPr>
            </w:pPr>
            <w:r>
              <w:rPr>
                <w:rFonts w:hint="eastAsia" w:ascii="宋体" w:hAnsi="宋体" w:eastAsia="宋体" w:cs="宋体"/>
                <w:kern w:val="0"/>
                <w:szCs w:val="21"/>
              </w:rPr>
              <w:t>课程目标1、2、3、4</w:t>
            </w:r>
          </w:p>
        </w:tc>
        <w:tc>
          <w:tcPr>
            <w:tcW w:w="3260" w:type="dxa"/>
            <w:vAlign w:val="center"/>
          </w:tcPr>
          <w:p w14:paraId="569398A6">
            <w:pPr>
              <w:jc w:val="left"/>
              <w:rPr>
                <w:rFonts w:hint="eastAsia" w:ascii="宋体" w:hAnsi="宋体" w:eastAsia="宋体" w:cs="宋体"/>
                <w:kern w:val="0"/>
                <w:szCs w:val="21"/>
              </w:rPr>
            </w:pPr>
            <w:r>
              <w:rPr>
                <w:rFonts w:hint="eastAsia" w:ascii="宋体" w:hAnsi="宋体" w:eastAsia="宋体" w:cs="宋体"/>
                <w:kern w:val="0"/>
                <w:szCs w:val="21"/>
              </w:rPr>
              <w:t>（1）根据任务点选择其中一个主题撰写调查报告</w:t>
            </w:r>
          </w:p>
          <w:p w14:paraId="7753F2AA">
            <w:pPr>
              <w:jc w:val="left"/>
              <w:rPr>
                <w:rFonts w:hint="eastAsia" w:ascii="宋体" w:hAnsi="宋体" w:eastAsia="宋体" w:cs="宋体"/>
                <w:kern w:val="0"/>
                <w:szCs w:val="21"/>
              </w:rPr>
            </w:pPr>
            <w:r>
              <w:rPr>
                <w:rFonts w:hint="eastAsia" w:ascii="宋体" w:hAnsi="宋体" w:eastAsia="宋体" w:cs="宋体"/>
                <w:kern w:val="0"/>
                <w:szCs w:val="21"/>
              </w:rPr>
              <w:t>（2）研习生认真设计问卷调查或访谈提纲。分组讨论问卷和访谈应包括那哪些内容和相关指标</w:t>
            </w:r>
          </w:p>
          <w:p w14:paraId="6A916635">
            <w:pPr>
              <w:jc w:val="left"/>
              <w:rPr>
                <w:rFonts w:hint="eastAsia" w:ascii="宋体" w:hAnsi="宋体" w:eastAsia="宋体" w:cs="宋体"/>
                <w:kern w:val="0"/>
                <w:szCs w:val="21"/>
              </w:rPr>
            </w:pPr>
            <w:r>
              <w:rPr>
                <w:rFonts w:hint="eastAsia" w:ascii="宋体" w:hAnsi="宋体" w:eastAsia="宋体" w:cs="宋体"/>
                <w:kern w:val="0"/>
                <w:szCs w:val="21"/>
              </w:rPr>
              <w:t>（3）研习生需要使用信息技术工具对调查数据进行整理分析，得出相关结论，并撰写调查报告。</w:t>
            </w:r>
          </w:p>
        </w:tc>
        <w:tc>
          <w:tcPr>
            <w:tcW w:w="1998" w:type="dxa"/>
            <w:vAlign w:val="center"/>
          </w:tcPr>
          <w:p w14:paraId="670AE23B">
            <w:pPr>
              <w:jc w:val="left"/>
              <w:rPr>
                <w:rFonts w:hint="eastAsia" w:ascii="宋体" w:hAnsi="宋体" w:eastAsia="宋体" w:cs="宋体"/>
                <w:kern w:val="0"/>
                <w:szCs w:val="21"/>
              </w:rPr>
            </w:pPr>
            <w:r>
              <w:rPr>
                <w:rFonts w:hint="eastAsia" w:ascii="宋体" w:hAnsi="宋体" w:eastAsia="宋体" w:cs="宋体"/>
                <w:kern w:val="0"/>
                <w:szCs w:val="21"/>
              </w:rPr>
              <w:t>（1）学会在教育教学实践中发现有价值的问题，具有问题意思和反思精神。</w:t>
            </w:r>
          </w:p>
          <w:p w14:paraId="2795EF9D">
            <w:pPr>
              <w:rPr>
                <w:rFonts w:hint="eastAsia" w:ascii="宋体" w:hAnsi="宋体" w:eastAsia="宋体" w:cs="宋体"/>
                <w:kern w:val="0"/>
                <w:szCs w:val="21"/>
              </w:rPr>
            </w:pPr>
            <w:r>
              <w:rPr>
                <w:rFonts w:hint="eastAsia" w:ascii="宋体" w:hAnsi="宋体" w:eastAsia="宋体" w:cs="宋体"/>
                <w:kern w:val="0"/>
                <w:szCs w:val="21"/>
              </w:rPr>
              <w:t>（2）学会调查问卷、制作访谈，能够通过多种方法对相关问题进行调查，学会撰写调研报告。</w:t>
            </w:r>
          </w:p>
          <w:p w14:paraId="3E162F61">
            <w:pPr>
              <w:rPr>
                <w:rFonts w:hint="eastAsia" w:ascii="宋体" w:hAnsi="宋体" w:eastAsia="宋体" w:cs="宋体"/>
                <w:kern w:val="0"/>
                <w:szCs w:val="21"/>
              </w:rPr>
            </w:pPr>
            <w:r>
              <w:rPr>
                <w:rFonts w:hint="eastAsia" w:ascii="宋体" w:hAnsi="宋体" w:eastAsia="宋体" w:cs="宋体"/>
                <w:kern w:val="0"/>
                <w:szCs w:val="21"/>
              </w:rPr>
              <w:t>（3）学会与他人有效合作，共同展开教学研讨活动。</w:t>
            </w:r>
          </w:p>
        </w:tc>
      </w:tr>
      <w:tr w14:paraId="1DA4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52ED64F">
            <w:pPr>
              <w:jc w:val="center"/>
              <w:rPr>
                <w:rFonts w:hint="eastAsia" w:ascii="宋体" w:hAnsi="宋体" w:eastAsia="宋体" w:cs="宋体"/>
                <w:kern w:val="0"/>
                <w:szCs w:val="21"/>
              </w:rPr>
            </w:pPr>
          </w:p>
        </w:tc>
        <w:tc>
          <w:tcPr>
            <w:tcW w:w="8093" w:type="dxa"/>
            <w:gridSpan w:val="4"/>
            <w:vAlign w:val="center"/>
          </w:tcPr>
          <w:p w14:paraId="60E072E2">
            <w:pPr>
              <w:jc w:val="left"/>
              <w:rPr>
                <w:rFonts w:hint="eastAsia" w:ascii="宋体" w:hAnsi="宋体" w:eastAsia="宋体" w:cs="宋体"/>
                <w:kern w:val="0"/>
                <w:szCs w:val="21"/>
              </w:rPr>
            </w:pPr>
            <w:r>
              <w:rPr>
                <w:rFonts w:hint="eastAsia" w:ascii="宋体" w:hAnsi="宋体" w:eastAsia="宋体" w:cs="宋体"/>
                <w:b/>
                <w:kern w:val="0"/>
                <w:szCs w:val="21"/>
              </w:rPr>
              <w:t>课程思政目标：</w:t>
            </w:r>
            <w:r>
              <w:rPr>
                <w:rFonts w:hint="eastAsia" w:ascii="宋体" w:hAnsi="宋体" w:eastAsia="宋体" w:cs="宋体"/>
                <w:kern w:val="0"/>
                <w:szCs w:val="21"/>
              </w:rPr>
              <w:t>了解学生、教学等问题，促进学生在知识、技能与思想政治素养方面的协同发展，培养德智体美劳全面发展的社会主义建设者和接班人。</w:t>
            </w:r>
          </w:p>
        </w:tc>
      </w:tr>
      <w:tr w14:paraId="4E81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3E9136E2">
            <w:pPr>
              <w:jc w:val="center"/>
              <w:rPr>
                <w:rFonts w:hint="eastAsia" w:ascii="宋体" w:hAnsi="宋体" w:eastAsia="宋体" w:cs="宋体"/>
                <w:kern w:val="0"/>
                <w:szCs w:val="21"/>
              </w:rPr>
            </w:pPr>
            <w:r>
              <w:rPr>
                <w:rFonts w:hint="eastAsia" w:ascii="宋体" w:hAnsi="宋体" w:eastAsia="宋体" w:cs="宋体"/>
                <w:kern w:val="0"/>
                <w:szCs w:val="21"/>
              </w:rPr>
              <w:t>4.教育与人的发展</w:t>
            </w:r>
          </w:p>
        </w:tc>
        <w:tc>
          <w:tcPr>
            <w:tcW w:w="1701" w:type="dxa"/>
            <w:vAlign w:val="center"/>
          </w:tcPr>
          <w:p w14:paraId="63F3600E">
            <w:pPr>
              <w:jc w:val="left"/>
              <w:rPr>
                <w:rFonts w:hint="eastAsia" w:ascii="宋体" w:hAnsi="宋体" w:eastAsia="宋体" w:cs="宋体"/>
                <w:kern w:val="0"/>
                <w:szCs w:val="21"/>
              </w:rPr>
            </w:pPr>
            <w:r>
              <w:rPr>
                <w:rFonts w:hint="eastAsia" w:ascii="宋体" w:hAnsi="宋体" w:eastAsia="宋体" w:cs="宋体"/>
                <w:kern w:val="0"/>
                <w:szCs w:val="21"/>
              </w:rPr>
              <w:t>（1）研习经验交流、成果展览；</w:t>
            </w:r>
          </w:p>
          <w:p w14:paraId="0AB8DEC4">
            <w:pPr>
              <w:jc w:val="left"/>
              <w:rPr>
                <w:rFonts w:hint="eastAsia" w:ascii="宋体" w:hAnsi="宋体" w:eastAsia="宋体" w:cs="宋体"/>
                <w:kern w:val="0"/>
                <w:szCs w:val="21"/>
              </w:rPr>
            </w:pPr>
            <w:r>
              <w:rPr>
                <w:rFonts w:hint="eastAsia" w:ascii="宋体" w:hAnsi="宋体" w:eastAsia="宋体" w:cs="宋体"/>
                <w:kern w:val="0"/>
                <w:szCs w:val="21"/>
              </w:rPr>
              <w:t xml:space="preserve">（2）召开专业教育实习交流会 </w:t>
            </w:r>
          </w:p>
        </w:tc>
        <w:tc>
          <w:tcPr>
            <w:tcW w:w="1134" w:type="dxa"/>
            <w:vAlign w:val="center"/>
          </w:tcPr>
          <w:p w14:paraId="7146CB55">
            <w:pPr>
              <w:jc w:val="center"/>
              <w:rPr>
                <w:rFonts w:hint="eastAsia" w:ascii="宋体" w:hAnsi="宋体" w:eastAsia="宋体" w:cs="宋体"/>
                <w:kern w:val="0"/>
                <w:szCs w:val="21"/>
              </w:rPr>
            </w:pPr>
            <w:r>
              <w:rPr>
                <w:rFonts w:hint="eastAsia" w:ascii="宋体" w:hAnsi="宋体" w:eastAsia="宋体" w:cs="宋体"/>
                <w:kern w:val="0"/>
                <w:szCs w:val="21"/>
              </w:rPr>
              <w:t>课程目标1、2、3、4</w:t>
            </w:r>
          </w:p>
        </w:tc>
        <w:tc>
          <w:tcPr>
            <w:tcW w:w="3260" w:type="dxa"/>
            <w:vAlign w:val="center"/>
          </w:tcPr>
          <w:p w14:paraId="43F37CAE">
            <w:pPr>
              <w:jc w:val="left"/>
              <w:rPr>
                <w:rFonts w:hint="eastAsia" w:ascii="宋体" w:hAnsi="宋体" w:eastAsia="宋体" w:cs="宋体"/>
                <w:kern w:val="0"/>
                <w:szCs w:val="21"/>
              </w:rPr>
            </w:pPr>
            <w:r>
              <w:rPr>
                <w:rFonts w:hint="eastAsia" w:ascii="宋体" w:hAnsi="宋体" w:eastAsia="宋体" w:cs="宋体"/>
                <w:kern w:val="0"/>
                <w:szCs w:val="21"/>
              </w:rPr>
              <w:t>（1）以班级为单位，对研习总结、评课记录、教学后记、教学案例进行研习。</w:t>
            </w:r>
          </w:p>
          <w:p w14:paraId="6F030257">
            <w:pPr>
              <w:jc w:val="left"/>
              <w:rPr>
                <w:rFonts w:hint="eastAsia" w:ascii="宋体" w:hAnsi="宋体" w:eastAsia="宋体" w:cs="宋体"/>
                <w:kern w:val="0"/>
                <w:szCs w:val="21"/>
              </w:rPr>
            </w:pPr>
            <w:r>
              <w:rPr>
                <w:rFonts w:hint="eastAsia" w:ascii="宋体" w:hAnsi="宋体" w:eastAsia="宋体" w:cs="宋体"/>
                <w:kern w:val="0"/>
                <w:szCs w:val="21"/>
              </w:rPr>
              <w:t>（2）进行教育研习总结，提交图文并茂PPT一份。</w:t>
            </w:r>
          </w:p>
        </w:tc>
        <w:tc>
          <w:tcPr>
            <w:tcW w:w="1998" w:type="dxa"/>
            <w:vAlign w:val="center"/>
          </w:tcPr>
          <w:p w14:paraId="617DA95B">
            <w:pPr>
              <w:jc w:val="center"/>
              <w:rPr>
                <w:rFonts w:hint="eastAsia" w:ascii="宋体" w:hAnsi="宋体" w:eastAsia="宋体" w:cs="宋体"/>
                <w:kern w:val="0"/>
                <w:szCs w:val="21"/>
              </w:rPr>
            </w:pPr>
            <w:r>
              <w:rPr>
                <w:rFonts w:hint="eastAsia" w:ascii="宋体" w:hAnsi="宋体" w:eastAsia="宋体" w:cs="宋体"/>
                <w:kern w:val="0"/>
                <w:szCs w:val="21"/>
              </w:rPr>
              <w:t>（1）学会用反思和批判思维总结教育研习收获与成果。</w:t>
            </w:r>
          </w:p>
          <w:p w14:paraId="2CD6FBAD">
            <w:pPr>
              <w:jc w:val="center"/>
              <w:rPr>
                <w:rFonts w:hint="eastAsia" w:ascii="宋体" w:hAnsi="宋体" w:eastAsia="宋体" w:cs="宋体"/>
                <w:kern w:val="0"/>
                <w:szCs w:val="21"/>
              </w:rPr>
            </w:pPr>
            <w:r>
              <w:rPr>
                <w:rFonts w:hint="eastAsia" w:ascii="宋体" w:hAnsi="宋体" w:eastAsia="宋体" w:cs="宋体"/>
                <w:kern w:val="0"/>
                <w:szCs w:val="21"/>
              </w:rPr>
              <w:t>（2）掌握与他人交流和合作的技巧和能力。</w:t>
            </w:r>
          </w:p>
        </w:tc>
      </w:tr>
      <w:tr w14:paraId="5887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668B02D9">
            <w:pPr>
              <w:jc w:val="center"/>
              <w:rPr>
                <w:rFonts w:hint="eastAsia" w:ascii="宋体" w:hAnsi="宋体" w:eastAsia="宋体" w:cs="宋体"/>
                <w:kern w:val="0"/>
                <w:szCs w:val="21"/>
              </w:rPr>
            </w:pPr>
          </w:p>
        </w:tc>
        <w:tc>
          <w:tcPr>
            <w:tcW w:w="8093" w:type="dxa"/>
            <w:gridSpan w:val="4"/>
            <w:vAlign w:val="center"/>
          </w:tcPr>
          <w:p w14:paraId="7DF91AD7">
            <w:pPr>
              <w:jc w:val="left"/>
              <w:rPr>
                <w:rFonts w:hint="eastAsia" w:ascii="宋体" w:hAnsi="宋体" w:eastAsia="宋体" w:cs="宋体"/>
                <w:kern w:val="0"/>
                <w:szCs w:val="21"/>
              </w:rPr>
            </w:pPr>
            <w:r>
              <w:rPr>
                <w:rFonts w:hint="eastAsia" w:ascii="宋体" w:hAnsi="宋体" w:eastAsia="宋体" w:cs="宋体"/>
                <w:b/>
                <w:kern w:val="0"/>
                <w:szCs w:val="21"/>
              </w:rPr>
              <w:t>课程思政目标：</w:t>
            </w:r>
            <w:r>
              <w:rPr>
                <w:rFonts w:hint="eastAsia" w:ascii="宋体" w:hAnsi="宋体" w:eastAsia="宋体" w:cs="宋体"/>
                <w:kern w:val="0"/>
                <w:szCs w:val="21"/>
              </w:rPr>
              <w:t>理解培养全面发展的人这一教育理念，认识教育管理、班队活动的育人价值，提高教育修养，增强在教育过程中挖掘各个因素进行教育的意识和能力。</w:t>
            </w:r>
          </w:p>
        </w:tc>
      </w:tr>
    </w:tbl>
    <w:p w14:paraId="67EDE6D3">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2CBD0CB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6B9D76B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1251"/>
        <w:gridCol w:w="1276"/>
        <w:gridCol w:w="1559"/>
        <w:gridCol w:w="1134"/>
        <w:gridCol w:w="1134"/>
        <w:gridCol w:w="788"/>
      </w:tblGrid>
      <w:tr w14:paraId="79EB3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restart"/>
            <w:vAlign w:val="center"/>
          </w:tcPr>
          <w:p w14:paraId="12E000B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w:t>
            </w:r>
          </w:p>
        </w:tc>
        <w:tc>
          <w:tcPr>
            <w:tcW w:w="6354" w:type="dxa"/>
            <w:gridSpan w:val="5"/>
            <w:vAlign w:val="center"/>
          </w:tcPr>
          <w:p w14:paraId="3688CCE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评价与成绩评定方法</w:t>
            </w:r>
          </w:p>
        </w:tc>
        <w:tc>
          <w:tcPr>
            <w:tcW w:w="788" w:type="dxa"/>
            <w:vMerge w:val="restart"/>
            <w:vAlign w:val="center"/>
          </w:tcPr>
          <w:p w14:paraId="39292131">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分值</w:t>
            </w:r>
          </w:p>
        </w:tc>
      </w:tr>
      <w:tr w14:paraId="7B80B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Merge w:val="continue"/>
            <w:vAlign w:val="center"/>
          </w:tcPr>
          <w:p w14:paraId="4EBF575F">
            <w:pPr>
              <w:spacing w:line="360" w:lineRule="auto"/>
              <w:jc w:val="center"/>
              <w:rPr>
                <w:rFonts w:hint="eastAsia" w:ascii="宋体" w:hAnsi="宋体" w:eastAsia="宋体" w:cs="Times New Roman"/>
                <w:kern w:val="0"/>
                <w:sz w:val="20"/>
                <w:szCs w:val="21"/>
              </w:rPr>
            </w:pPr>
          </w:p>
        </w:tc>
        <w:tc>
          <w:tcPr>
            <w:tcW w:w="1251" w:type="dxa"/>
            <w:vAlign w:val="center"/>
          </w:tcPr>
          <w:p w14:paraId="1D87A85D">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平时成绩</w:t>
            </w:r>
          </w:p>
        </w:tc>
        <w:tc>
          <w:tcPr>
            <w:tcW w:w="1276" w:type="dxa"/>
            <w:vAlign w:val="center"/>
          </w:tcPr>
          <w:p w14:paraId="7852AAE2">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调查报告</w:t>
            </w:r>
          </w:p>
        </w:tc>
        <w:tc>
          <w:tcPr>
            <w:tcW w:w="1559" w:type="dxa"/>
            <w:vAlign w:val="center"/>
          </w:tcPr>
          <w:p w14:paraId="16729BA9">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班主任工作</w:t>
            </w:r>
          </w:p>
        </w:tc>
        <w:tc>
          <w:tcPr>
            <w:tcW w:w="1134" w:type="dxa"/>
            <w:vAlign w:val="center"/>
          </w:tcPr>
          <w:p w14:paraId="45CA6A1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教学工作</w:t>
            </w:r>
          </w:p>
        </w:tc>
        <w:tc>
          <w:tcPr>
            <w:tcW w:w="1134" w:type="dxa"/>
            <w:vAlign w:val="center"/>
          </w:tcPr>
          <w:p w14:paraId="01553AC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研习态度</w:t>
            </w:r>
          </w:p>
        </w:tc>
        <w:tc>
          <w:tcPr>
            <w:tcW w:w="788" w:type="dxa"/>
            <w:vMerge w:val="continue"/>
            <w:vAlign w:val="center"/>
          </w:tcPr>
          <w:p w14:paraId="3DBC4A71">
            <w:pPr>
              <w:spacing w:line="360" w:lineRule="auto"/>
              <w:jc w:val="center"/>
              <w:rPr>
                <w:rFonts w:hint="eastAsia" w:ascii="宋体" w:hAnsi="宋体" w:eastAsia="宋体" w:cs="Times New Roman"/>
                <w:kern w:val="0"/>
                <w:sz w:val="20"/>
                <w:szCs w:val="21"/>
              </w:rPr>
            </w:pPr>
          </w:p>
        </w:tc>
      </w:tr>
      <w:tr w14:paraId="588D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141453DA">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课程目标1</w:t>
            </w:r>
          </w:p>
        </w:tc>
        <w:tc>
          <w:tcPr>
            <w:tcW w:w="1251" w:type="dxa"/>
            <w:vAlign w:val="center"/>
          </w:tcPr>
          <w:p w14:paraId="6AE1958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6B334DBD">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59" w:type="dxa"/>
            <w:vAlign w:val="center"/>
          </w:tcPr>
          <w:p w14:paraId="2A3A2DE5">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14FF62C4">
            <w:pPr>
              <w:spacing w:line="360" w:lineRule="auto"/>
              <w:jc w:val="center"/>
              <w:rPr>
                <w:rFonts w:hint="eastAsia" w:ascii="宋体" w:hAnsi="宋体" w:eastAsia="宋体" w:cs="Times New Roman"/>
                <w:kern w:val="0"/>
                <w:sz w:val="20"/>
                <w:szCs w:val="21"/>
              </w:rPr>
            </w:pPr>
          </w:p>
        </w:tc>
        <w:tc>
          <w:tcPr>
            <w:tcW w:w="1134" w:type="dxa"/>
            <w:vAlign w:val="center"/>
          </w:tcPr>
          <w:p w14:paraId="247CB200">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5EC577B3">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743C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5918C96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课程目标2</w:t>
            </w:r>
          </w:p>
        </w:tc>
        <w:tc>
          <w:tcPr>
            <w:tcW w:w="1251" w:type="dxa"/>
            <w:vAlign w:val="center"/>
          </w:tcPr>
          <w:p w14:paraId="26F305F4">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54382872">
            <w:pPr>
              <w:spacing w:line="360" w:lineRule="auto"/>
              <w:jc w:val="center"/>
              <w:rPr>
                <w:rFonts w:hint="eastAsia" w:ascii="宋体" w:hAnsi="宋体" w:eastAsia="宋体" w:cs="Times New Roman"/>
                <w:kern w:val="0"/>
                <w:sz w:val="20"/>
                <w:szCs w:val="21"/>
              </w:rPr>
            </w:pPr>
          </w:p>
        </w:tc>
        <w:tc>
          <w:tcPr>
            <w:tcW w:w="1559" w:type="dxa"/>
            <w:vAlign w:val="center"/>
          </w:tcPr>
          <w:p w14:paraId="09749035">
            <w:pPr>
              <w:spacing w:line="360" w:lineRule="auto"/>
              <w:jc w:val="center"/>
              <w:rPr>
                <w:rFonts w:hint="eastAsia" w:ascii="宋体" w:hAnsi="宋体" w:eastAsia="宋体" w:cs="Times New Roman"/>
                <w:kern w:val="0"/>
                <w:sz w:val="20"/>
                <w:szCs w:val="21"/>
              </w:rPr>
            </w:pPr>
          </w:p>
        </w:tc>
        <w:tc>
          <w:tcPr>
            <w:tcW w:w="1134" w:type="dxa"/>
            <w:vAlign w:val="center"/>
          </w:tcPr>
          <w:p w14:paraId="57CCFF38">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6E67E97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2375AB6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20</w:t>
            </w:r>
          </w:p>
        </w:tc>
      </w:tr>
      <w:tr w14:paraId="190A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61F7FFE5">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课程目标3</w:t>
            </w:r>
          </w:p>
        </w:tc>
        <w:tc>
          <w:tcPr>
            <w:tcW w:w="1251" w:type="dxa"/>
            <w:vAlign w:val="center"/>
          </w:tcPr>
          <w:p w14:paraId="0220DAEC">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417B4456">
            <w:pPr>
              <w:spacing w:line="360" w:lineRule="auto"/>
              <w:jc w:val="center"/>
              <w:rPr>
                <w:rFonts w:hint="eastAsia" w:ascii="宋体" w:hAnsi="宋体" w:eastAsia="宋体" w:cs="Times New Roman"/>
                <w:kern w:val="0"/>
                <w:sz w:val="20"/>
                <w:szCs w:val="21"/>
              </w:rPr>
            </w:pPr>
          </w:p>
        </w:tc>
        <w:tc>
          <w:tcPr>
            <w:tcW w:w="1559" w:type="dxa"/>
            <w:vAlign w:val="center"/>
          </w:tcPr>
          <w:p w14:paraId="30F95E5A">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69A57BA2">
            <w:pPr>
              <w:spacing w:line="360" w:lineRule="auto"/>
              <w:jc w:val="center"/>
              <w:rPr>
                <w:rFonts w:hint="eastAsia" w:ascii="宋体" w:hAnsi="宋体" w:eastAsia="宋体" w:cs="Times New Roman"/>
                <w:kern w:val="0"/>
                <w:sz w:val="20"/>
                <w:szCs w:val="21"/>
              </w:rPr>
            </w:pPr>
          </w:p>
        </w:tc>
        <w:tc>
          <w:tcPr>
            <w:tcW w:w="1134" w:type="dxa"/>
            <w:vAlign w:val="center"/>
          </w:tcPr>
          <w:p w14:paraId="0C84E6FF">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619E82C0">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07BA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53A0011E">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课程目标4</w:t>
            </w:r>
          </w:p>
        </w:tc>
        <w:tc>
          <w:tcPr>
            <w:tcW w:w="1251" w:type="dxa"/>
            <w:vAlign w:val="center"/>
          </w:tcPr>
          <w:p w14:paraId="3C57B8F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276" w:type="dxa"/>
            <w:vAlign w:val="center"/>
          </w:tcPr>
          <w:p w14:paraId="0C5F7FC6">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559" w:type="dxa"/>
            <w:vAlign w:val="center"/>
          </w:tcPr>
          <w:p w14:paraId="46B59091">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3E77E903">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1134" w:type="dxa"/>
            <w:vAlign w:val="center"/>
          </w:tcPr>
          <w:p w14:paraId="1932E5DE">
            <w:pPr>
              <w:spacing w:line="360" w:lineRule="auto"/>
              <w:jc w:val="center"/>
              <w:rPr>
                <w:rFonts w:hint="eastAsia" w:ascii="宋体" w:hAnsi="宋体" w:eastAsia="宋体" w:cs="Times New Roman"/>
                <w:kern w:val="0"/>
                <w:sz w:val="20"/>
                <w:szCs w:val="21"/>
              </w:rPr>
            </w:pPr>
            <w:r>
              <w:rPr>
                <w:rFonts w:ascii="宋体" w:hAnsi="宋体" w:eastAsia="宋体" w:cs="Times New Roman"/>
                <w:kern w:val="0"/>
                <w:sz w:val="20"/>
                <w:szCs w:val="21"/>
              </w:rPr>
              <w:sym w:font="Wingdings 2" w:char="F050"/>
            </w:r>
          </w:p>
        </w:tc>
        <w:tc>
          <w:tcPr>
            <w:tcW w:w="788" w:type="dxa"/>
            <w:vAlign w:val="center"/>
          </w:tcPr>
          <w:p w14:paraId="50A93DF4">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30</w:t>
            </w:r>
          </w:p>
        </w:tc>
      </w:tr>
      <w:tr w14:paraId="1C78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14:paraId="1D59749B">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合计</w:t>
            </w:r>
          </w:p>
        </w:tc>
        <w:tc>
          <w:tcPr>
            <w:tcW w:w="1251" w:type="dxa"/>
            <w:vAlign w:val="center"/>
          </w:tcPr>
          <w:p w14:paraId="0BDB2199">
            <w:pPr>
              <w:spacing w:line="360" w:lineRule="auto"/>
              <w:jc w:val="center"/>
              <w:rPr>
                <w:rFonts w:hint="eastAsia" w:ascii="宋体" w:hAnsi="宋体" w:eastAsia="宋体" w:cs="Times New Roman"/>
                <w:kern w:val="0"/>
                <w:sz w:val="20"/>
                <w:szCs w:val="21"/>
              </w:rPr>
            </w:pPr>
          </w:p>
        </w:tc>
        <w:tc>
          <w:tcPr>
            <w:tcW w:w="1276" w:type="dxa"/>
            <w:vAlign w:val="center"/>
          </w:tcPr>
          <w:p w14:paraId="70A4A267">
            <w:pPr>
              <w:spacing w:line="360" w:lineRule="auto"/>
              <w:jc w:val="center"/>
              <w:rPr>
                <w:rFonts w:hint="eastAsia" w:ascii="宋体" w:hAnsi="宋体" w:eastAsia="宋体" w:cs="Times New Roman"/>
                <w:kern w:val="0"/>
                <w:sz w:val="20"/>
                <w:szCs w:val="21"/>
              </w:rPr>
            </w:pPr>
          </w:p>
        </w:tc>
        <w:tc>
          <w:tcPr>
            <w:tcW w:w="1559" w:type="dxa"/>
            <w:vAlign w:val="center"/>
          </w:tcPr>
          <w:p w14:paraId="76F72F9E">
            <w:pPr>
              <w:spacing w:line="360" w:lineRule="auto"/>
              <w:jc w:val="center"/>
              <w:rPr>
                <w:rFonts w:hint="eastAsia" w:ascii="宋体" w:hAnsi="宋体" w:eastAsia="宋体" w:cs="Times New Roman"/>
                <w:kern w:val="0"/>
                <w:sz w:val="20"/>
                <w:szCs w:val="21"/>
              </w:rPr>
            </w:pPr>
          </w:p>
        </w:tc>
        <w:tc>
          <w:tcPr>
            <w:tcW w:w="1134" w:type="dxa"/>
            <w:vAlign w:val="center"/>
          </w:tcPr>
          <w:p w14:paraId="03EAB750">
            <w:pPr>
              <w:spacing w:line="360" w:lineRule="auto"/>
              <w:jc w:val="center"/>
              <w:rPr>
                <w:rFonts w:hint="eastAsia" w:ascii="宋体" w:hAnsi="宋体" w:eastAsia="宋体" w:cs="Times New Roman"/>
                <w:kern w:val="0"/>
                <w:sz w:val="20"/>
                <w:szCs w:val="21"/>
              </w:rPr>
            </w:pPr>
          </w:p>
        </w:tc>
        <w:tc>
          <w:tcPr>
            <w:tcW w:w="1134" w:type="dxa"/>
            <w:vAlign w:val="center"/>
          </w:tcPr>
          <w:p w14:paraId="5E8735BA">
            <w:pPr>
              <w:spacing w:line="360" w:lineRule="auto"/>
              <w:jc w:val="center"/>
              <w:rPr>
                <w:rFonts w:hint="eastAsia" w:ascii="宋体" w:hAnsi="宋体" w:eastAsia="宋体" w:cs="Times New Roman"/>
                <w:kern w:val="0"/>
                <w:sz w:val="20"/>
                <w:szCs w:val="21"/>
              </w:rPr>
            </w:pPr>
          </w:p>
        </w:tc>
        <w:tc>
          <w:tcPr>
            <w:tcW w:w="788" w:type="dxa"/>
            <w:vAlign w:val="center"/>
          </w:tcPr>
          <w:p w14:paraId="04250D38">
            <w:pPr>
              <w:spacing w:line="360" w:lineRule="auto"/>
              <w:jc w:val="center"/>
              <w:rPr>
                <w:rFonts w:hint="eastAsia" w:ascii="宋体" w:hAnsi="宋体" w:eastAsia="宋体" w:cs="Times New Roman"/>
                <w:kern w:val="0"/>
                <w:sz w:val="20"/>
                <w:szCs w:val="21"/>
              </w:rPr>
            </w:pPr>
            <w:r>
              <w:rPr>
                <w:rFonts w:hint="eastAsia" w:ascii="宋体" w:hAnsi="宋体" w:eastAsia="宋体" w:cs="Times New Roman"/>
                <w:kern w:val="0"/>
                <w:sz w:val="20"/>
                <w:szCs w:val="21"/>
              </w:rPr>
              <w:t>100</w:t>
            </w:r>
          </w:p>
        </w:tc>
      </w:tr>
    </w:tbl>
    <w:p w14:paraId="641D80DF">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AE5CA8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p w14:paraId="3C98270A">
      <w:pPr>
        <w:spacing w:line="360" w:lineRule="auto"/>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1. 本课程设计成绩分优、良、中、及格和不及格五个档次。</w:t>
      </w:r>
    </w:p>
    <w:p w14:paraId="341E7DB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 xml:space="preserve">. </w:t>
      </w:r>
      <w:r>
        <w:rPr>
          <w:rFonts w:hint="eastAsia" w:ascii="Times New Roman" w:hAnsi="Times New Roman" w:eastAsia="宋体" w:cs="Times New Roman"/>
          <w:szCs w:val="21"/>
        </w:rPr>
        <w:t>课程设计考核方式：采用研习平时表现、研习报告、教学工作研习、班主任工作研习、教育研习态度五个部分组成。</w:t>
      </w:r>
    </w:p>
    <w:p w14:paraId="10CA334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其中，</w:t>
      </w:r>
      <w:r>
        <w:rPr>
          <w:rFonts w:ascii="Times New Roman" w:hAnsi="Times New Roman" w:eastAsia="宋体" w:cs="Times New Roman"/>
          <w:szCs w:val="21"/>
        </w:rPr>
        <w:t>平时</w:t>
      </w:r>
      <w:r>
        <w:rPr>
          <w:rFonts w:hint="eastAsia" w:ascii="Times New Roman" w:hAnsi="Times New Roman" w:eastAsia="宋体" w:cs="Times New Roman"/>
          <w:szCs w:val="21"/>
        </w:rPr>
        <w:t>表现的</w:t>
      </w:r>
      <w:r>
        <w:rPr>
          <w:rFonts w:ascii="Times New Roman" w:hAnsi="Times New Roman" w:eastAsia="宋体" w:cs="Times New Roman"/>
          <w:szCs w:val="21"/>
        </w:rPr>
        <w:t>成绩由我校</w:t>
      </w:r>
      <w:r>
        <w:rPr>
          <w:rFonts w:hint="eastAsia" w:ascii="Times New Roman" w:hAnsi="Times New Roman" w:eastAsia="宋体" w:cs="Times New Roman"/>
          <w:szCs w:val="21"/>
        </w:rPr>
        <w:t>学业导师综合研习</w:t>
      </w:r>
      <w:r>
        <w:rPr>
          <w:rFonts w:ascii="Times New Roman" w:hAnsi="Times New Roman" w:eastAsia="宋体" w:cs="Times New Roman"/>
          <w:szCs w:val="21"/>
        </w:rPr>
        <w:t>手册</w:t>
      </w:r>
      <w:r>
        <w:rPr>
          <w:rFonts w:hint="eastAsia" w:ascii="Times New Roman" w:hAnsi="Times New Roman" w:eastAsia="宋体" w:cs="Times New Roman"/>
          <w:szCs w:val="21"/>
        </w:rPr>
        <w:t>完成情况、实践导师反馈情况和日常巡视情况</w:t>
      </w:r>
      <w:r>
        <w:rPr>
          <w:rFonts w:ascii="Times New Roman" w:hAnsi="Times New Roman" w:eastAsia="宋体" w:cs="Times New Roman"/>
          <w:szCs w:val="21"/>
        </w:rPr>
        <w:t>进行考核</w:t>
      </w:r>
      <w:r>
        <w:rPr>
          <w:rFonts w:hint="eastAsia" w:ascii="Times New Roman" w:hAnsi="Times New Roman" w:eastAsia="宋体" w:cs="Times New Roman"/>
          <w:szCs w:val="21"/>
        </w:rPr>
        <w:t>评估，满分</w:t>
      </w:r>
      <w:r>
        <w:rPr>
          <w:rFonts w:ascii="Times New Roman" w:hAnsi="Times New Roman" w:eastAsia="宋体" w:cs="Times New Roman"/>
          <w:szCs w:val="21"/>
        </w:rPr>
        <w:t>100</w:t>
      </w:r>
      <w:r>
        <w:rPr>
          <w:rFonts w:hint="eastAsia" w:ascii="Times New Roman" w:hAnsi="Times New Roman" w:eastAsia="宋体" w:cs="Times New Roman"/>
          <w:szCs w:val="21"/>
        </w:rPr>
        <w:t>分；</w:t>
      </w:r>
    </w:p>
    <w:p w14:paraId="381DAAB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调查报告、教学工作研习、班主任工作研习、教育研习态度合计满分1</w:t>
      </w:r>
      <w:r>
        <w:rPr>
          <w:rFonts w:ascii="Times New Roman" w:hAnsi="Times New Roman" w:eastAsia="宋体" w:cs="Times New Roman"/>
          <w:szCs w:val="21"/>
        </w:rPr>
        <w:t>00</w:t>
      </w:r>
      <w:r>
        <w:rPr>
          <w:rFonts w:hint="eastAsia" w:ascii="Times New Roman" w:hAnsi="Times New Roman" w:eastAsia="宋体" w:cs="Times New Roman"/>
          <w:szCs w:val="21"/>
        </w:rPr>
        <w:t>分，调查报告成绩占比1</w:t>
      </w:r>
      <w:r>
        <w:rPr>
          <w:rFonts w:ascii="Times New Roman" w:hAnsi="Times New Roman" w:eastAsia="宋体" w:cs="Times New Roman"/>
          <w:szCs w:val="21"/>
        </w:rPr>
        <w:t>0%</w:t>
      </w:r>
      <w:r>
        <w:rPr>
          <w:rFonts w:hint="eastAsia" w:ascii="Times New Roman" w:hAnsi="Times New Roman" w:eastAsia="宋体" w:cs="Times New Roman"/>
          <w:szCs w:val="21"/>
        </w:rPr>
        <w:t>、</w:t>
      </w:r>
      <w:r>
        <w:rPr>
          <w:rFonts w:ascii="Times New Roman" w:hAnsi="Times New Roman" w:eastAsia="宋体" w:cs="Times New Roman"/>
          <w:szCs w:val="21"/>
        </w:rPr>
        <w:t>教学工作</w:t>
      </w:r>
      <w:r>
        <w:rPr>
          <w:rFonts w:hint="eastAsia" w:ascii="Times New Roman" w:hAnsi="Times New Roman" w:eastAsia="宋体" w:cs="Times New Roman"/>
          <w:szCs w:val="21"/>
        </w:rPr>
        <w:t>成绩占比3</w:t>
      </w:r>
      <w:r>
        <w:rPr>
          <w:rFonts w:ascii="Times New Roman" w:hAnsi="Times New Roman" w:eastAsia="宋体" w:cs="Times New Roman"/>
          <w:szCs w:val="21"/>
        </w:rPr>
        <w:t>0%</w:t>
      </w:r>
      <w:r>
        <w:rPr>
          <w:rFonts w:hint="eastAsia" w:ascii="Times New Roman" w:hAnsi="Times New Roman" w:eastAsia="宋体" w:cs="Times New Roman"/>
          <w:szCs w:val="21"/>
        </w:rPr>
        <w:t>，</w:t>
      </w:r>
      <w:r>
        <w:rPr>
          <w:rFonts w:ascii="Times New Roman" w:hAnsi="Times New Roman" w:eastAsia="宋体" w:cs="Times New Roman"/>
          <w:szCs w:val="21"/>
        </w:rPr>
        <w:t>班主任工作</w:t>
      </w:r>
      <w:r>
        <w:rPr>
          <w:rFonts w:hint="eastAsia" w:ascii="Times New Roman" w:hAnsi="Times New Roman" w:eastAsia="宋体" w:cs="Times New Roman"/>
          <w:szCs w:val="21"/>
        </w:rPr>
        <w:t>成绩占比3</w:t>
      </w:r>
      <w:r>
        <w:rPr>
          <w:rFonts w:ascii="Times New Roman" w:hAnsi="Times New Roman" w:eastAsia="宋体" w:cs="Times New Roman"/>
          <w:szCs w:val="21"/>
        </w:rPr>
        <w:t>0%</w:t>
      </w:r>
      <w:r>
        <w:rPr>
          <w:rFonts w:hint="eastAsia" w:ascii="Times New Roman" w:hAnsi="Times New Roman" w:eastAsia="宋体" w:cs="Times New Roman"/>
          <w:szCs w:val="21"/>
        </w:rPr>
        <w:t>，教育研习态度占比3</w:t>
      </w:r>
      <w:r>
        <w:rPr>
          <w:rFonts w:ascii="Times New Roman" w:hAnsi="Times New Roman" w:eastAsia="宋体" w:cs="Times New Roman"/>
          <w:szCs w:val="21"/>
        </w:rPr>
        <w:t>0%</w:t>
      </w:r>
      <w:r>
        <w:rPr>
          <w:rFonts w:hint="eastAsia" w:ascii="Times New Roman" w:hAnsi="Times New Roman" w:eastAsia="宋体" w:cs="Times New Roman"/>
          <w:szCs w:val="21"/>
        </w:rPr>
        <w:t>。</w:t>
      </w:r>
    </w:p>
    <w:p w14:paraId="652B27B6">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课程总评成绩=平时成绩</w:t>
      </w:r>
      <w:r>
        <w:rPr>
          <w:rFonts w:ascii="Times New Roman" w:hAnsi="Times New Roman" w:eastAsia="宋体" w:cs="Times New Roman"/>
          <w:szCs w:val="21"/>
        </w:rPr>
        <w:t>30%+</w:t>
      </w:r>
      <w:r>
        <w:rPr>
          <w:rFonts w:hint="eastAsia" w:ascii="Times New Roman" w:hAnsi="Times New Roman" w:eastAsia="宋体" w:cs="Times New Roman"/>
          <w:szCs w:val="21"/>
        </w:rPr>
        <w:t>（报告+教学工作+班主任工作+研习态度）</w:t>
      </w:r>
      <w:r>
        <w:rPr>
          <w:rFonts w:ascii="Times New Roman" w:hAnsi="Times New Roman" w:eastAsia="宋体" w:cs="Times New Roman"/>
          <w:szCs w:val="21"/>
        </w:rPr>
        <w:t>70%</w:t>
      </w:r>
    </w:p>
    <w:p w14:paraId="439F6D46">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具体</w:t>
      </w:r>
      <w:r>
        <w:rPr>
          <w:rFonts w:hint="eastAsia" w:ascii="Times New Roman" w:hAnsi="Times New Roman" w:eastAsia="宋体" w:cs="Times New Roman"/>
          <w:sz w:val="24"/>
        </w:rPr>
        <w:t>考核</w:t>
      </w:r>
      <w:r>
        <w:rPr>
          <w:rFonts w:ascii="Times New Roman" w:hAnsi="Times New Roman" w:eastAsia="宋体" w:cs="Times New Roman"/>
          <w:sz w:val="24"/>
        </w:rPr>
        <w:t>内容和比例</w:t>
      </w:r>
      <w:r>
        <w:rPr>
          <w:rFonts w:hint="eastAsia" w:ascii="Times New Roman" w:hAnsi="Times New Roman" w:eastAsia="宋体" w:cs="Times New Roman"/>
          <w:sz w:val="24"/>
        </w:rPr>
        <w:t>如表所示。</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2890"/>
        <w:gridCol w:w="3681"/>
        <w:gridCol w:w="810"/>
      </w:tblGrid>
      <w:tr w14:paraId="2159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69" w:type="pct"/>
            <w:tcBorders>
              <w:top w:val="single" w:color="auto" w:sz="4" w:space="0"/>
              <w:left w:val="single" w:color="auto" w:sz="4" w:space="0"/>
              <w:bottom w:val="single" w:color="auto" w:sz="4" w:space="0"/>
              <w:right w:val="single" w:color="auto" w:sz="4" w:space="0"/>
            </w:tcBorders>
            <w:shd w:val="clear" w:color="auto" w:fill="FFFFFF"/>
            <w:vAlign w:val="center"/>
          </w:tcPr>
          <w:p w14:paraId="562FEF7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1695" w:type="pct"/>
            <w:tcBorders>
              <w:top w:val="single" w:color="auto" w:sz="4" w:space="0"/>
              <w:left w:val="single" w:color="auto" w:sz="4" w:space="0"/>
              <w:bottom w:val="single" w:color="auto" w:sz="4" w:space="0"/>
              <w:right w:val="single" w:color="auto" w:sz="4" w:space="0"/>
            </w:tcBorders>
            <w:shd w:val="clear" w:color="auto" w:fill="FFFFFF"/>
            <w:vAlign w:val="center"/>
          </w:tcPr>
          <w:p w14:paraId="0801BA2A">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考核/评价环节</w:t>
            </w:r>
          </w:p>
        </w:tc>
        <w:tc>
          <w:tcPr>
            <w:tcW w:w="2159" w:type="pct"/>
            <w:tcBorders>
              <w:top w:val="single" w:color="auto" w:sz="4" w:space="0"/>
              <w:left w:val="single" w:color="auto" w:sz="4" w:space="0"/>
              <w:bottom w:val="single" w:color="auto" w:sz="4" w:space="0"/>
              <w:right w:val="single" w:color="auto" w:sz="4" w:space="0"/>
            </w:tcBorders>
            <w:shd w:val="clear" w:color="auto" w:fill="FFFFFF"/>
            <w:vAlign w:val="center"/>
          </w:tcPr>
          <w:p w14:paraId="454F9741">
            <w:pPr>
              <w:jc w:val="center"/>
              <w:rPr>
                <w:rFonts w:ascii="Times New Roman" w:hAnsi="Times New Roman" w:eastAsia="宋体" w:cs="Times New Roman"/>
                <w:b/>
                <w:bCs/>
                <w:szCs w:val="21"/>
              </w:rPr>
            </w:pPr>
            <w:r>
              <w:rPr>
                <w:rFonts w:ascii="Times New Roman" w:hAnsi="Times New Roman" w:eastAsia="宋体" w:cs="Times New Roman"/>
                <w:b/>
                <w:bCs/>
                <w:szCs w:val="21"/>
              </w:rPr>
              <w:t>考核/评价细则</w:t>
            </w:r>
          </w:p>
        </w:tc>
        <w:tc>
          <w:tcPr>
            <w:tcW w:w="475" w:type="pct"/>
            <w:tcBorders>
              <w:top w:val="single" w:color="auto" w:sz="4" w:space="0"/>
              <w:left w:val="single" w:color="auto" w:sz="4" w:space="0"/>
              <w:bottom w:val="single" w:color="auto" w:sz="4" w:space="0"/>
              <w:right w:val="single" w:color="auto" w:sz="4" w:space="0"/>
            </w:tcBorders>
            <w:shd w:val="clear" w:color="auto" w:fill="FFFFFF"/>
            <w:vAlign w:val="center"/>
          </w:tcPr>
          <w:p w14:paraId="196A62B8">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权重</w:t>
            </w:r>
          </w:p>
        </w:tc>
      </w:tr>
      <w:tr w14:paraId="1374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669" w:type="pct"/>
            <w:tcBorders>
              <w:top w:val="single" w:color="auto" w:sz="4" w:space="0"/>
              <w:left w:val="single" w:color="auto" w:sz="4" w:space="0"/>
              <w:bottom w:val="single" w:color="auto" w:sz="4" w:space="0"/>
              <w:right w:val="single" w:color="auto" w:sz="4" w:space="0"/>
            </w:tcBorders>
            <w:vAlign w:val="center"/>
          </w:tcPr>
          <w:p w14:paraId="13B130EA">
            <w:pPr>
              <w:jc w:val="center"/>
              <w:rPr>
                <w:rFonts w:ascii="Times New Roman" w:hAnsi="Times New Roman" w:eastAsia="宋体" w:cs="Times New Roman"/>
                <w:szCs w:val="21"/>
              </w:rPr>
            </w:pPr>
            <w:r>
              <w:rPr>
                <w:rFonts w:ascii="Times New Roman" w:hAnsi="Times New Roman" w:eastAsia="宋体" w:cs="Times New Roman"/>
                <w:szCs w:val="21"/>
              </w:rPr>
              <w:t>平时成绩</w:t>
            </w:r>
          </w:p>
        </w:tc>
        <w:tc>
          <w:tcPr>
            <w:tcW w:w="1695" w:type="pct"/>
            <w:tcBorders>
              <w:top w:val="single" w:color="auto" w:sz="4" w:space="0"/>
              <w:left w:val="single" w:color="auto" w:sz="4" w:space="0"/>
              <w:bottom w:val="single" w:color="auto" w:sz="4" w:space="0"/>
              <w:right w:val="single" w:color="auto" w:sz="4" w:space="0"/>
            </w:tcBorders>
            <w:vAlign w:val="center"/>
          </w:tcPr>
          <w:p w14:paraId="0FAE4D4A">
            <w:pPr>
              <w:rPr>
                <w:rFonts w:ascii="Times New Roman" w:hAnsi="Times New Roman" w:eastAsia="宋体" w:cs="Times New Roman"/>
                <w:szCs w:val="21"/>
              </w:rPr>
            </w:pPr>
            <w:r>
              <w:rPr>
                <w:rFonts w:hint="eastAsia" w:ascii="Times New Roman" w:hAnsi="Times New Roman" w:eastAsia="宋体" w:cs="Times New Roman"/>
                <w:szCs w:val="21"/>
              </w:rPr>
              <w:t>学生出勤情况</w:t>
            </w:r>
            <w:r>
              <w:rPr>
                <w:rFonts w:ascii="Times New Roman" w:hAnsi="Times New Roman" w:eastAsia="宋体" w:cs="Times New Roman"/>
                <w:szCs w:val="21"/>
              </w:rPr>
              <w:t>，</w:t>
            </w:r>
            <w:r>
              <w:rPr>
                <w:rFonts w:hint="eastAsia" w:ascii="Times New Roman" w:hAnsi="Times New Roman" w:eastAsia="宋体" w:cs="Times New Roman"/>
                <w:szCs w:val="21"/>
              </w:rPr>
              <w:t>遵守规章制度情况，各类研习报告材料填写情况</w:t>
            </w:r>
          </w:p>
        </w:tc>
        <w:tc>
          <w:tcPr>
            <w:tcW w:w="2159" w:type="pct"/>
            <w:tcBorders>
              <w:top w:val="single" w:color="auto" w:sz="4" w:space="0"/>
              <w:left w:val="single" w:color="auto" w:sz="4" w:space="0"/>
              <w:bottom w:val="single" w:color="auto" w:sz="4" w:space="0"/>
              <w:right w:val="single" w:color="auto" w:sz="4" w:space="0"/>
            </w:tcBorders>
            <w:vAlign w:val="center"/>
          </w:tcPr>
          <w:p w14:paraId="2CD7BFEA">
            <w:pPr>
              <w:rPr>
                <w:rFonts w:ascii="Times New Roman" w:hAnsi="Times New Roman" w:eastAsia="宋体" w:cs="Times New Roman"/>
                <w:szCs w:val="21"/>
              </w:rPr>
            </w:pPr>
            <w:r>
              <w:rPr>
                <w:rFonts w:hint="eastAsia" w:ascii="Times New Roman" w:hAnsi="Times New Roman" w:eastAsia="宋体" w:cs="Times New Roman"/>
                <w:szCs w:val="21"/>
              </w:rPr>
              <w:t>按时</w:t>
            </w:r>
            <w:r>
              <w:rPr>
                <w:rFonts w:ascii="Times New Roman" w:hAnsi="Times New Roman" w:eastAsia="宋体" w:cs="Times New Roman"/>
                <w:szCs w:val="21"/>
              </w:rPr>
              <w:t>出勤</w:t>
            </w:r>
            <w:r>
              <w:rPr>
                <w:rFonts w:hint="eastAsia" w:ascii="Times New Roman" w:hAnsi="Times New Roman" w:eastAsia="宋体" w:cs="Times New Roman"/>
                <w:szCs w:val="21"/>
              </w:rPr>
              <w:t>，遵照研习学校安排开展研习，研习相关材料填写认真规范</w:t>
            </w:r>
            <w:r>
              <w:rPr>
                <w:rFonts w:ascii="Times New Roman" w:hAnsi="Times New Roman" w:eastAsia="宋体" w:cs="Times New Roman"/>
                <w:szCs w:val="21"/>
              </w:rPr>
              <w:t>。</w:t>
            </w:r>
          </w:p>
        </w:tc>
        <w:tc>
          <w:tcPr>
            <w:tcW w:w="475" w:type="pct"/>
            <w:tcBorders>
              <w:top w:val="single" w:color="auto" w:sz="4" w:space="0"/>
              <w:left w:val="single" w:color="auto" w:sz="4" w:space="0"/>
              <w:bottom w:val="single" w:color="auto" w:sz="4" w:space="0"/>
              <w:right w:val="single" w:color="auto" w:sz="4" w:space="0"/>
            </w:tcBorders>
            <w:vAlign w:val="center"/>
          </w:tcPr>
          <w:p w14:paraId="6BEA380A">
            <w:pPr>
              <w:jc w:val="center"/>
              <w:rPr>
                <w:rFonts w:ascii="Times New Roman" w:hAnsi="Times New Roman" w:eastAsia="宋体" w:cs="Times New Roman"/>
                <w:szCs w:val="21"/>
              </w:rPr>
            </w:pPr>
            <w:r>
              <w:rPr>
                <w:rFonts w:ascii="Times New Roman" w:hAnsi="Times New Roman" w:eastAsia="宋体" w:cs="Times New Roman"/>
                <w:szCs w:val="21"/>
              </w:rPr>
              <w:t>30%</w:t>
            </w:r>
          </w:p>
        </w:tc>
      </w:tr>
      <w:tr w14:paraId="10BC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9" w:type="pct"/>
            <w:tcBorders>
              <w:top w:val="single" w:color="auto" w:sz="4" w:space="0"/>
              <w:left w:val="single" w:color="auto" w:sz="4" w:space="0"/>
              <w:bottom w:val="single" w:color="auto" w:sz="4" w:space="0"/>
              <w:right w:val="single" w:color="auto" w:sz="4" w:space="0"/>
            </w:tcBorders>
            <w:vAlign w:val="center"/>
          </w:tcPr>
          <w:p w14:paraId="04218326">
            <w:pPr>
              <w:jc w:val="center"/>
              <w:rPr>
                <w:rFonts w:ascii="Times New Roman" w:hAnsi="Times New Roman" w:eastAsia="宋体" w:cs="Times New Roman"/>
                <w:szCs w:val="21"/>
              </w:rPr>
            </w:pPr>
            <w:r>
              <w:rPr>
                <w:rFonts w:hint="eastAsia" w:ascii="Times New Roman" w:hAnsi="Times New Roman" w:eastAsia="宋体" w:cs="Times New Roman"/>
                <w:szCs w:val="21"/>
              </w:rPr>
              <w:t>调查报告</w:t>
            </w:r>
          </w:p>
        </w:tc>
        <w:tc>
          <w:tcPr>
            <w:tcW w:w="1695" w:type="pct"/>
            <w:tcBorders>
              <w:top w:val="single" w:color="auto" w:sz="4" w:space="0"/>
              <w:left w:val="single" w:color="auto" w:sz="4" w:space="0"/>
              <w:bottom w:val="single" w:color="auto" w:sz="4" w:space="0"/>
              <w:right w:val="single" w:color="auto" w:sz="4" w:space="0"/>
            </w:tcBorders>
            <w:vAlign w:val="center"/>
          </w:tcPr>
          <w:p w14:paraId="14B0FDB5">
            <w:pPr>
              <w:rPr>
                <w:rFonts w:ascii="Times New Roman" w:hAnsi="Times New Roman" w:eastAsia="宋体" w:cs="Times New Roman"/>
                <w:szCs w:val="21"/>
              </w:rPr>
            </w:pPr>
            <w:r>
              <w:rPr>
                <w:rFonts w:hint="eastAsia" w:ascii="Times New Roman" w:hAnsi="Times New Roman" w:eastAsia="宋体" w:cs="Times New Roman"/>
                <w:szCs w:val="21"/>
              </w:rPr>
              <w:t>对研习学校开展研习研究，结合</w:t>
            </w:r>
            <w:r>
              <w:rPr>
                <w:rFonts w:ascii="Times New Roman" w:hAnsi="Times New Roman" w:eastAsia="宋体" w:cs="Times New Roman"/>
                <w:szCs w:val="21"/>
              </w:rPr>
              <w:t>文献资料</w:t>
            </w:r>
            <w:r>
              <w:rPr>
                <w:rFonts w:hint="eastAsia" w:ascii="Times New Roman" w:hAnsi="Times New Roman" w:eastAsia="宋体" w:cs="Times New Roman"/>
                <w:szCs w:val="21"/>
              </w:rPr>
              <w:t>，完成调查报告</w:t>
            </w:r>
          </w:p>
        </w:tc>
        <w:tc>
          <w:tcPr>
            <w:tcW w:w="2159" w:type="pct"/>
            <w:tcBorders>
              <w:top w:val="single" w:color="auto" w:sz="4" w:space="0"/>
              <w:left w:val="single" w:color="auto" w:sz="4" w:space="0"/>
              <w:bottom w:val="single" w:color="auto" w:sz="4" w:space="0"/>
              <w:right w:val="single" w:color="auto" w:sz="4" w:space="0"/>
            </w:tcBorders>
            <w:vAlign w:val="center"/>
          </w:tcPr>
          <w:p w14:paraId="6501C55E">
            <w:pPr>
              <w:rPr>
                <w:rFonts w:ascii="Times New Roman" w:hAnsi="Times New Roman" w:eastAsia="宋体" w:cs="Times New Roman"/>
                <w:szCs w:val="21"/>
              </w:rPr>
            </w:pPr>
            <w:r>
              <w:rPr>
                <w:rFonts w:hint="eastAsia" w:ascii="Times New Roman" w:hAnsi="Times New Roman" w:eastAsia="宋体" w:cs="Times New Roman"/>
                <w:szCs w:val="21"/>
              </w:rPr>
              <w:t>选题属于教育领域，问题意识清晰、方法设计可行，资料充实，内容撰写结构合理，形成明确的结论与观点。</w:t>
            </w:r>
          </w:p>
        </w:tc>
        <w:tc>
          <w:tcPr>
            <w:tcW w:w="475" w:type="pct"/>
            <w:tcBorders>
              <w:top w:val="single" w:color="auto" w:sz="4" w:space="0"/>
              <w:left w:val="single" w:color="auto" w:sz="4" w:space="0"/>
              <w:bottom w:val="single" w:color="auto" w:sz="4" w:space="0"/>
              <w:right w:val="single" w:color="auto" w:sz="4" w:space="0"/>
            </w:tcBorders>
            <w:vAlign w:val="center"/>
          </w:tcPr>
          <w:p w14:paraId="0FFDA555">
            <w:pPr>
              <w:jc w:val="center"/>
              <w:rPr>
                <w:rFonts w:ascii="Times New Roman" w:hAnsi="Times New Roman" w:eastAsia="宋体" w:cs="Times New Roman"/>
                <w:szCs w:val="21"/>
              </w:rPr>
            </w:pPr>
            <w:r>
              <w:rPr>
                <w:rFonts w:ascii="Times New Roman" w:hAnsi="Times New Roman" w:eastAsia="宋体" w:cs="Times New Roman"/>
                <w:szCs w:val="21"/>
              </w:rPr>
              <w:t>7%</w:t>
            </w:r>
          </w:p>
        </w:tc>
      </w:tr>
      <w:tr w14:paraId="1CBC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9" w:type="pct"/>
            <w:tcBorders>
              <w:top w:val="single" w:color="auto" w:sz="4" w:space="0"/>
              <w:left w:val="single" w:color="auto" w:sz="4" w:space="0"/>
              <w:bottom w:val="single" w:color="auto" w:sz="4" w:space="0"/>
              <w:right w:val="single" w:color="auto" w:sz="4" w:space="0"/>
            </w:tcBorders>
            <w:vAlign w:val="center"/>
          </w:tcPr>
          <w:p w14:paraId="2543397E">
            <w:pPr>
              <w:jc w:val="center"/>
              <w:rPr>
                <w:rFonts w:ascii="Times New Roman" w:hAnsi="Times New Roman" w:eastAsia="宋体" w:cs="Times New Roman"/>
                <w:szCs w:val="21"/>
              </w:rPr>
            </w:pPr>
            <w:r>
              <w:rPr>
                <w:rFonts w:hint="eastAsia" w:ascii="Times New Roman" w:hAnsi="Times New Roman" w:eastAsia="宋体" w:cs="Times New Roman"/>
                <w:szCs w:val="21"/>
              </w:rPr>
              <w:t>教学工作研习</w:t>
            </w:r>
          </w:p>
        </w:tc>
        <w:tc>
          <w:tcPr>
            <w:tcW w:w="1695" w:type="pct"/>
            <w:tcBorders>
              <w:top w:val="single" w:color="auto" w:sz="4" w:space="0"/>
              <w:left w:val="single" w:color="auto" w:sz="4" w:space="0"/>
              <w:bottom w:val="single" w:color="auto" w:sz="4" w:space="0"/>
              <w:right w:val="single" w:color="auto" w:sz="4" w:space="0"/>
            </w:tcBorders>
            <w:vAlign w:val="center"/>
          </w:tcPr>
          <w:p w14:paraId="1F015AE3">
            <w:pPr>
              <w:rPr>
                <w:rFonts w:ascii="Times New Roman" w:hAnsi="Times New Roman" w:eastAsia="宋体" w:cs="Times New Roman"/>
                <w:szCs w:val="21"/>
              </w:rPr>
            </w:pPr>
            <w:r>
              <w:rPr>
                <w:rFonts w:hint="eastAsia" w:ascii="Times New Roman" w:hAnsi="Times New Roman" w:eastAsia="宋体" w:cs="Times New Roman"/>
                <w:szCs w:val="21"/>
              </w:rPr>
              <w:t>进行教学观摩，撰写教学设计，了解兼教课程和多个课型的教学设计；参与评课等教研活动</w:t>
            </w:r>
          </w:p>
        </w:tc>
        <w:tc>
          <w:tcPr>
            <w:tcW w:w="2159" w:type="pct"/>
            <w:tcBorders>
              <w:top w:val="single" w:color="auto" w:sz="4" w:space="0"/>
              <w:left w:val="single" w:color="auto" w:sz="4" w:space="0"/>
              <w:bottom w:val="single" w:color="auto" w:sz="4" w:space="0"/>
              <w:right w:val="single" w:color="auto" w:sz="4" w:space="0"/>
            </w:tcBorders>
            <w:vAlign w:val="center"/>
          </w:tcPr>
          <w:p w14:paraId="12086E37">
            <w:pPr>
              <w:rPr>
                <w:rFonts w:ascii="Times New Roman" w:hAnsi="Times New Roman" w:eastAsia="宋体" w:cs="Times New Roman"/>
                <w:szCs w:val="21"/>
              </w:rPr>
            </w:pPr>
            <w:r>
              <w:rPr>
                <w:rFonts w:hint="eastAsia" w:ascii="Times New Roman" w:hAnsi="Times New Roman" w:eastAsia="宋体" w:cs="Times New Roman"/>
                <w:szCs w:val="21"/>
              </w:rPr>
              <w:t>全面认识教学过程，熟练进行教学设计，教案规范合理，具备教学的体验；</w:t>
            </w:r>
          </w:p>
          <w:p w14:paraId="6878ECD9">
            <w:pPr>
              <w:rPr>
                <w:rFonts w:ascii="Times New Roman" w:hAnsi="Times New Roman" w:eastAsia="宋体" w:cs="Times New Roman"/>
                <w:szCs w:val="21"/>
              </w:rPr>
            </w:pPr>
            <w:r>
              <w:rPr>
                <w:rFonts w:hint="eastAsia" w:ascii="Times New Roman" w:hAnsi="Times New Roman" w:eastAsia="宋体" w:cs="Times New Roman"/>
                <w:szCs w:val="21"/>
              </w:rPr>
              <w:t>积极参与教研活动，积极了解其他相关学科知识，主动拓宽知识范围。</w:t>
            </w:r>
          </w:p>
        </w:tc>
        <w:tc>
          <w:tcPr>
            <w:tcW w:w="475" w:type="pct"/>
            <w:tcBorders>
              <w:top w:val="single" w:color="auto" w:sz="4" w:space="0"/>
              <w:left w:val="single" w:color="auto" w:sz="4" w:space="0"/>
              <w:bottom w:val="single" w:color="auto" w:sz="4" w:space="0"/>
              <w:right w:val="single" w:color="auto" w:sz="4" w:space="0"/>
            </w:tcBorders>
            <w:vAlign w:val="center"/>
          </w:tcPr>
          <w:p w14:paraId="02233BDE">
            <w:pPr>
              <w:jc w:val="center"/>
              <w:rPr>
                <w:rFonts w:ascii="Times New Roman" w:hAnsi="Times New Roman" w:eastAsia="宋体" w:cs="Times New Roman"/>
                <w:szCs w:val="21"/>
              </w:rPr>
            </w:pPr>
            <w:r>
              <w:rPr>
                <w:rFonts w:ascii="Times New Roman" w:hAnsi="Times New Roman" w:eastAsia="宋体" w:cs="Times New Roman"/>
                <w:szCs w:val="21"/>
              </w:rPr>
              <w:t>21%</w:t>
            </w:r>
          </w:p>
        </w:tc>
      </w:tr>
      <w:tr w14:paraId="150E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669" w:type="pct"/>
            <w:tcBorders>
              <w:top w:val="single" w:color="auto" w:sz="4" w:space="0"/>
              <w:left w:val="single" w:color="auto" w:sz="4" w:space="0"/>
              <w:bottom w:val="single" w:color="auto" w:sz="4" w:space="0"/>
              <w:right w:val="single" w:color="auto" w:sz="4" w:space="0"/>
            </w:tcBorders>
            <w:vAlign w:val="center"/>
          </w:tcPr>
          <w:p w14:paraId="0442B77E">
            <w:pPr>
              <w:jc w:val="center"/>
              <w:rPr>
                <w:rFonts w:ascii="Times New Roman" w:hAnsi="Times New Roman" w:eastAsia="宋体" w:cs="Times New Roman"/>
                <w:szCs w:val="21"/>
              </w:rPr>
            </w:pPr>
            <w:r>
              <w:rPr>
                <w:rFonts w:hint="eastAsia" w:ascii="Times New Roman" w:hAnsi="Times New Roman" w:eastAsia="宋体" w:cs="Times New Roman"/>
                <w:szCs w:val="21"/>
              </w:rPr>
              <w:t>班主任工作研习</w:t>
            </w:r>
          </w:p>
        </w:tc>
        <w:tc>
          <w:tcPr>
            <w:tcW w:w="1695" w:type="pct"/>
            <w:tcBorders>
              <w:top w:val="single" w:color="auto" w:sz="4" w:space="0"/>
              <w:left w:val="single" w:color="auto" w:sz="4" w:space="0"/>
              <w:bottom w:val="single" w:color="auto" w:sz="4" w:space="0"/>
              <w:right w:val="single" w:color="auto" w:sz="4" w:space="0"/>
            </w:tcBorders>
            <w:vAlign w:val="center"/>
          </w:tcPr>
          <w:p w14:paraId="0E8601CB">
            <w:pPr>
              <w:rPr>
                <w:rFonts w:ascii="Times New Roman" w:hAnsi="Times New Roman" w:eastAsia="宋体" w:cs="Times New Roman"/>
                <w:szCs w:val="21"/>
              </w:rPr>
            </w:pPr>
            <w:r>
              <w:rPr>
                <w:rFonts w:hint="eastAsia" w:ascii="Times New Roman" w:hAnsi="Times New Roman" w:eastAsia="宋体" w:cs="Times New Roman"/>
                <w:szCs w:val="21"/>
              </w:rPr>
              <w:t>研习班主任（少先队）工作情况</w:t>
            </w:r>
          </w:p>
        </w:tc>
        <w:tc>
          <w:tcPr>
            <w:tcW w:w="2159" w:type="pct"/>
            <w:tcBorders>
              <w:top w:val="single" w:color="auto" w:sz="4" w:space="0"/>
              <w:left w:val="single" w:color="auto" w:sz="4" w:space="0"/>
              <w:bottom w:val="single" w:color="auto" w:sz="4" w:space="0"/>
              <w:right w:val="single" w:color="auto" w:sz="4" w:space="0"/>
            </w:tcBorders>
            <w:vAlign w:val="center"/>
          </w:tcPr>
          <w:p w14:paraId="45FF71E2">
            <w:pPr>
              <w:rPr>
                <w:rFonts w:ascii="Times New Roman" w:hAnsi="Times New Roman" w:eastAsia="宋体" w:cs="Times New Roman"/>
                <w:szCs w:val="21"/>
              </w:rPr>
            </w:pPr>
            <w:r>
              <w:rPr>
                <w:rFonts w:hint="eastAsia" w:ascii="Times New Roman" w:hAnsi="Times New Roman" w:eastAsia="宋体" w:cs="Times New Roman"/>
                <w:szCs w:val="21"/>
              </w:rPr>
              <w:t>熟悉小学班级管理事务，掌握小学生心理特点；</w:t>
            </w:r>
          </w:p>
          <w:p w14:paraId="73C0BA39">
            <w:pPr>
              <w:rPr>
                <w:rFonts w:ascii="Times New Roman" w:hAnsi="Times New Roman" w:eastAsia="宋体" w:cs="Times New Roman"/>
                <w:szCs w:val="21"/>
              </w:rPr>
            </w:pPr>
            <w:r>
              <w:rPr>
                <w:rFonts w:hint="eastAsia" w:ascii="Times New Roman" w:hAnsi="Times New Roman" w:eastAsia="宋体" w:cs="Times New Roman"/>
                <w:szCs w:val="21"/>
              </w:rPr>
              <w:t>主动积累班级管理的经验，建立管理育人的观念。</w:t>
            </w:r>
          </w:p>
        </w:tc>
        <w:tc>
          <w:tcPr>
            <w:tcW w:w="475" w:type="pct"/>
            <w:tcBorders>
              <w:top w:val="single" w:color="auto" w:sz="4" w:space="0"/>
              <w:left w:val="single" w:color="auto" w:sz="4" w:space="0"/>
              <w:bottom w:val="single" w:color="auto" w:sz="4" w:space="0"/>
              <w:right w:val="single" w:color="auto" w:sz="4" w:space="0"/>
            </w:tcBorders>
            <w:vAlign w:val="center"/>
          </w:tcPr>
          <w:p w14:paraId="43B515B7">
            <w:pPr>
              <w:jc w:val="center"/>
              <w:rPr>
                <w:rFonts w:ascii="Times New Roman" w:hAnsi="Times New Roman" w:eastAsia="宋体" w:cs="Times New Roman"/>
                <w:szCs w:val="21"/>
              </w:rPr>
            </w:pPr>
            <w:r>
              <w:rPr>
                <w:rFonts w:ascii="Times New Roman" w:hAnsi="Times New Roman" w:eastAsia="宋体" w:cs="Times New Roman"/>
                <w:szCs w:val="21"/>
              </w:rPr>
              <w:t>21%</w:t>
            </w:r>
          </w:p>
        </w:tc>
      </w:tr>
      <w:tr w14:paraId="2FF1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669" w:type="pct"/>
            <w:tcBorders>
              <w:top w:val="single" w:color="auto" w:sz="4" w:space="0"/>
              <w:left w:val="single" w:color="auto" w:sz="4" w:space="0"/>
              <w:bottom w:val="single" w:color="auto" w:sz="4" w:space="0"/>
              <w:right w:val="single" w:color="auto" w:sz="4" w:space="0"/>
            </w:tcBorders>
            <w:vAlign w:val="center"/>
          </w:tcPr>
          <w:p w14:paraId="79D26F2E">
            <w:pPr>
              <w:jc w:val="center"/>
              <w:rPr>
                <w:rFonts w:ascii="Times New Roman" w:hAnsi="Times New Roman" w:eastAsia="宋体" w:cs="Times New Roman"/>
                <w:szCs w:val="21"/>
              </w:rPr>
            </w:pPr>
            <w:r>
              <w:rPr>
                <w:rFonts w:hint="eastAsia" w:ascii="Times New Roman" w:hAnsi="Times New Roman" w:eastAsia="宋体" w:cs="Times New Roman"/>
                <w:szCs w:val="21"/>
              </w:rPr>
              <w:t>教育研习态度</w:t>
            </w:r>
          </w:p>
        </w:tc>
        <w:tc>
          <w:tcPr>
            <w:tcW w:w="1695" w:type="pct"/>
            <w:tcBorders>
              <w:top w:val="single" w:color="auto" w:sz="4" w:space="0"/>
              <w:left w:val="single" w:color="auto" w:sz="4" w:space="0"/>
              <w:bottom w:val="single" w:color="auto" w:sz="4" w:space="0"/>
              <w:right w:val="single" w:color="auto" w:sz="4" w:space="0"/>
            </w:tcBorders>
            <w:vAlign w:val="center"/>
          </w:tcPr>
          <w:p w14:paraId="19002A94">
            <w:pPr>
              <w:rPr>
                <w:rFonts w:ascii="Times New Roman" w:hAnsi="Times New Roman" w:eastAsia="宋体" w:cs="Times New Roman"/>
                <w:szCs w:val="21"/>
              </w:rPr>
            </w:pPr>
            <w:r>
              <w:rPr>
                <w:rFonts w:hint="eastAsia" w:ascii="Times New Roman" w:hAnsi="Times New Roman" w:eastAsia="宋体" w:cs="Times New Roman"/>
                <w:szCs w:val="21"/>
              </w:rPr>
              <w:t>研习过程中的参与程度、主动学习情况等</w:t>
            </w:r>
          </w:p>
        </w:tc>
        <w:tc>
          <w:tcPr>
            <w:tcW w:w="2159" w:type="pct"/>
            <w:tcBorders>
              <w:top w:val="single" w:color="auto" w:sz="4" w:space="0"/>
              <w:left w:val="single" w:color="auto" w:sz="4" w:space="0"/>
              <w:bottom w:val="single" w:color="auto" w:sz="4" w:space="0"/>
              <w:right w:val="single" w:color="auto" w:sz="4" w:space="0"/>
            </w:tcBorders>
            <w:vAlign w:val="center"/>
          </w:tcPr>
          <w:p w14:paraId="366E34C7">
            <w:pPr>
              <w:rPr>
                <w:rFonts w:ascii="Times New Roman" w:hAnsi="Times New Roman" w:eastAsia="宋体" w:cs="Times New Roman"/>
                <w:szCs w:val="21"/>
              </w:rPr>
            </w:pPr>
            <w:r>
              <w:rPr>
                <w:rFonts w:hint="eastAsia" w:ascii="Times New Roman" w:hAnsi="Times New Roman" w:eastAsia="宋体" w:cs="Times New Roman"/>
                <w:szCs w:val="21"/>
              </w:rPr>
              <w:t>按要求参加研习，思想端正，学习态度积极；主动参与教学和班级管理，能够虚心请教、勤恳好学；与小学生交往热情，关爱小学生；研习总结认真，形成对自身教育实践比较全面客观的认识。</w:t>
            </w:r>
          </w:p>
        </w:tc>
        <w:tc>
          <w:tcPr>
            <w:tcW w:w="475" w:type="pct"/>
            <w:tcBorders>
              <w:top w:val="single" w:color="auto" w:sz="4" w:space="0"/>
              <w:left w:val="single" w:color="auto" w:sz="4" w:space="0"/>
              <w:bottom w:val="single" w:color="auto" w:sz="4" w:space="0"/>
              <w:right w:val="single" w:color="auto" w:sz="4" w:space="0"/>
            </w:tcBorders>
            <w:vAlign w:val="center"/>
          </w:tcPr>
          <w:p w14:paraId="3CEB74EF">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p>
        </w:tc>
      </w:tr>
    </w:tbl>
    <w:p w14:paraId="69B7AB42">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五、研习实施</w:t>
      </w:r>
    </w:p>
    <w:p w14:paraId="4631E2A9">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（一）研习要求</w:t>
      </w:r>
    </w:p>
    <w:p w14:paraId="02D14584">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1.遵守研习学校各项规章制度，不迟到，不早退，虚心接受研习学校领导、指导教师的指导。</w:t>
      </w:r>
    </w:p>
    <w:p w14:paraId="31647D72">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2.文明礼貌，为人师表，爱护学生，尊重研习学校的师生员工，积极协助研习学校教师做力所能及的工作。</w:t>
      </w:r>
    </w:p>
    <w:p w14:paraId="772D437F">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3.同学之间团结友爱，注意安全。认真完成各项研习任务，做好每次的研习笔记，认真填写《小学教育专业学生研习手册》。</w:t>
      </w:r>
    </w:p>
    <w:p w14:paraId="1E83621D">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4.研习组长负责与研习学校领导的联系以及研习活动的组织、考勤工作。所有学生必须全程参加研习活动，不得无故缺席。</w:t>
      </w:r>
    </w:p>
    <w:p w14:paraId="3157B97E">
      <w:pPr>
        <w:spacing w:line="360" w:lineRule="auto"/>
        <w:ind w:firstLine="420" w:firstLineChars="200"/>
        <w:rPr>
          <w:rFonts w:ascii="Times New Roman" w:hAnsi="Times New Roman" w:eastAsia="宋体" w:cs="Times New Roman"/>
          <w:b/>
          <w:szCs w:val="21"/>
        </w:rPr>
      </w:pPr>
      <w:r>
        <w:rPr>
          <w:rFonts w:hint="eastAsia" w:ascii="Times New Roman" w:hAnsi="Times New Roman" w:eastAsia="宋体" w:cs="Times New Roman"/>
          <w:bCs/>
          <w:szCs w:val="21"/>
        </w:rPr>
        <w:t>（二）</w:t>
      </w:r>
      <w:r>
        <w:rPr>
          <w:rFonts w:ascii="Times New Roman" w:hAnsi="Times New Roman" w:eastAsia="宋体" w:cs="Times New Roman"/>
          <w:bCs/>
          <w:szCs w:val="21"/>
        </w:rPr>
        <w:t>主要</w:t>
      </w:r>
      <w:r>
        <w:rPr>
          <w:rFonts w:hint="eastAsia" w:ascii="Times New Roman" w:hAnsi="Times New Roman" w:eastAsia="宋体" w:cs="Times New Roman"/>
          <w:bCs/>
          <w:szCs w:val="21"/>
        </w:rPr>
        <w:t>教学</w:t>
      </w:r>
      <w:r>
        <w:rPr>
          <w:rFonts w:ascii="Times New Roman" w:hAnsi="Times New Roman" w:eastAsia="宋体" w:cs="Times New Roman"/>
          <w:bCs/>
          <w:szCs w:val="21"/>
        </w:rPr>
        <w:t>环节</w:t>
      </w:r>
      <w:r>
        <w:rPr>
          <w:rFonts w:hint="eastAsia" w:ascii="Times New Roman" w:hAnsi="Times New Roman" w:eastAsia="宋体" w:cs="Times New Roman"/>
          <w:bCs/>
          <w:szCs w:val="21"/>
        </w:rPr>
        <w:t>的</w:t>
      </w:r>
      <w:r>
        <w:rPr>
          <w:rFonts w:ascii="Times New Roman" w:hAnsi="Times New Roman" w:eastAsia="宋体" w:cs="Times New Roman"/>
          <w:bCs/>
          <w:szCs w:val="21"/>
        </w:rPr>
        <w:t>质量要求</w:t>
      </w:r>
      <w:r>
        <w:rPr>
          <w:rFonts w:hint="eastAsia" w:ascii="Times New Roman" w:hAnsi="Times New Roman" w:eastAsia="宋体" w:cs="Times New Roman"/>
          <w:bCs/>
          <w:szCs w:val="21"/>
        </w:rPr>
        <w:t>如表所示</w:t>
      </w:r>
    </w:p>
    <w:tbl>
      <w:tblPr>
        <w:tblStyle w:val="11"/>
        <w:tblW w:w="93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431"/>
        <w:gridCol w:w="7005"/>
      </w:tblGrid>
      <w:tr w14:paraId="189046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301" w:type="dxa"/>
            <w:gridSpan w:val="2"/>
            <w:vAlign w:val="center"/>
          </w:tcPr>
          <w:p w14:paraId="0D73F124">
            <w:pPr>
              <w:snapToGrid w:val="0"/>
              <w:jc w:val="center"/>
              <w:rPr>
                <w:rFonts w:ascii="Times New Roman" w:hAnsi="Times New Roman" w:eastAsia="宋体" w:cs="Times New Roman"/>
                <w:b/>
                <w:bCs/>
              </w:rPr>
            </w:pPr>
            <w:r>
              <w:rPr>
                <w:rFonts w:ascii="Times New Roman" w:hAnsi="Times New Roman" w:eastAsia="宋体" w:cs="Times New Roman"/>
                <w:b/>
                <w:bCs/>
              </w:rPr>
              <w:t>主要</w:t>
            </w:r>
            <w:r>
              <w:rPr>
                <w:rFonts w:hint="eastAsia" w:ascii="Times New Roman" w:hAnsi="Times New Roman" w:eastAsia="宋体" w:cs="Times New Roman"/>
                <w:b/>
                <w:bCs/>
              </w:rPr>
              <w:t>教学</w:t>
            </w:r>
            <w:r>
              <w:rPr>
                <w:rFonts w:ascii="Times New Roman" w:hAnsi="Times New Roman" w:eastAsia="宋体" w:cs="Times New Roman"/>
                <w:b/>
                <w:bCs/>
              </w:rPr>
              <w:t>环节</w:t>
            </w:r>
          </w:p>
        </w:tc>
        <w:tc>
          <w:tcPr>
            <w:tcW w:w="7005" w:type="dxa"/>
            <w:vAlign w:val="center"/>
          </w:tcPr>
          <w:p w14:paraId="33F6A7CE">
            <w:pPr>
              <w:snapToGrid w:val="0"/>
              <w:jc w:val="center"/>
              <w:rPr>
                <w:rFonts w:ascii="Times New Roman" w:hAnsi="Times New Roman" w:eastAsia="宋体" w:cs="Times New Roman"/>
                <w:b/>
                <w:bCs/>
              </w:rPr>
            </w:pPr>
            <w:r>
              <w:rPr>
                <w:rFonts w:ascii="Times New Roman" w:hAnsi="Times New Roman" w:eastAsia="宋体" w:cs="Times New Roman"/>
                <w:b/>
                <w:bCs/>
              </w:rPr>
              <w:t>质量要求</w:t>
            </w:r>
          </w:p>
        </w:tc>
      </w:tr>
      <w:tr w14:paraId="192DE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870" w:type="dxa"/>
            <w:vMerge w:val="restart"/>
            <w:vAlign w:val="center"/>
          </w:tcPr>
          <w:p w14:paraId="71E8C815">
            <w:pPr>
              <w:jc w:val="center"/>
              <w:rPr>
                <w:rFonts w:ascii="Times New Roman" w:hAnsi="Times New Roman" w:eastAsia="宋体" w:cs="Times New Roman"/>
                <w:szCs w:val="21"/>
              </w:rPr>
            </w:pPr>
            <w:r>
              <w:rPr>
                <w:rFonts w:ascii="Times New Roman" w:hAnsi="Times New Roman" w:eastAsia="宋体" w:cs="Times New Roman"/>
                <w:szCs w:val="21"/>
              </w:rPr>
              <w:t>准备</w:t>
            </w:r>
          </w:p>
          <w:p w14:paraId="0A50CD76">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31" w:type="dxa"/>
            <w:vAlign w:val="center"/>
          </w:tcPr>
          <w:p w14:paraId="58E6D6D9">
            <w:pPr>
              <w:rPr>
                <w:rFonts w:ascii="Times New Roman" w:hAnsi="Times New Roman" w:eastAsia="宋体" w:cs="Times New Roman"/>
                <w:szCs w:val="21"/>
              </w:rPr>
            </w:pPr>
            <w:r>
              <w:rPr>
                <w:rFonts w:ascii="Times New Roman" w:hAnsi="Times New Roman" w:eastAsia="宋体" w:cs="Times New Roman"/>
                <w:szCs w:val="21"/>
              </w:rPr>
              <w:t>1.实践计划</w:t>
            </w:r>
          </w:p>
        </w:tc>
        <w:tc>
          <w:tcPr>
            <w:tcW w:w="7005" w:type="dxa"/>
            <w:vAlign w:val="center"/>
          </w:tcPr>
          <w:p w14:paraId="2ACD1867">
            <w:pPr>
              <w:rPr>
                <w:rFonts w:ascii="Times New Roman" w:hAnsi="Times New Roman" w:eastAsia="宋体" w:cs="Times New Roman"/>
                <w:szCs w:val="21"/>
              </w:rPr>
            </w:pPr>
            <w:r>
              <w:rPr>
                <w:rFonts w:ascii="Times New Roman" w:hAnsi="Times New Roman" w:eastAsia="宋体" w:cs="Times New Roman"/>
                <w:szCs w:val="21"/>
              </w:rPr>
              <w:t>根据学校要求及专业人才培养方案制定详实可行的</w:t>
            </w:r>
            <w:r>
              <w:rPr>
                <w:rFonts w:hint="eastAsia" w:ascii="Times New Roman" w:hAnsi="Times New Roman" w:eastAsia="宋体" w:cs="Times New Roman"/>
                <w:szCs w:val="21"/>
              </w:rPr>
              <w:t>研习</w:t>
            </w:r>
            <w:r>
              <w:rPr>
                <w:rFonts w:ascii="Times New Roman" w:hAnsi="Times New Roman" w:eastAsia="宋体" w:cs="Times New Roman"/>
                <w:szCs w:val="21"/>
              </w:rPr>
              <w:t>计划</w:t>
            </w:r>
            <w:r>
              <w:rPr>
                <w:rFonts w:hint="eastAsia" w:ascii="Times New Roman" w:hAnsi="Times New Roman" w:eastAsia="宋体" w:cs="Times New Roman"/>
                <w:szCs w:val="21"/>
              </w:rPr>
              <w:t>，选择相应的研习学校，并</w:t>
            </w:r>
            <w:r>
              <w:rPr>
                <w:rFonts w:ascii="Times New Roman" w:hAnsi="Times New Roman" w:eastAsia="宋体" w:cs="Times New Roman"/>
                <w:szCs w:val="21"/>
              </w:rPr>
              <w:t>在</w:t>
            </w:r>
            <w:r>
              <w:rPr>
                <w:rFonts w:hint="eastAsia" w:ascii="Times New Roman" w:hAnsi="Times New Roman" w:eastAsia="宋体" w:cs="Times New Roman"/>
                <w:szCs w:val="21"/>
              </w:rPr>
              <w:t>研习开始前制定研习方案</w:t>
            </w:r>
            <w:r>
              <w:rPr>
                <w:rFonts w:ascii="Times New Roman" w:hAnsi="Times New Roman" w:eastAsia="宋体" w:cs="Times New Roman"/>
                <w:szCs w:val="21"/>
              </w:rPr>
              <w:t>。</w:t>
            </w:r>
          </w:p>
        </w:tc>
      </w:tr>
      <w:tr w14:paraId="2870E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870" w:type="dxa"/>
            <w:vMerge w:val="continue"/>
            <w:vAlign w:val="center"/>
          </w:tcPr>
          <w:p w14:paraId="11B17828">
            <w:pPr>
              <w:jc w:val="center"/>
              <w:rPr>
                <w:rFonts w:ascii="Times New Roman" w:hAnsi="Times New Roman" w:eastAsia="宋体" w:cs="Times New Roman"/>
                <w:szCs w:val="21"/>
              </w:rPr>
            </w:pPr>
          </w:p>
        </w:tc>
        <w:tc>
          <w:tcPr>
            <w:tcW w:w="1431" w:type="dxa"/>
            <w:vAlign w:val="center"/>
          </w:tcPr>
          <w:p w14:paraId="605B4F66">
            <w:pPr>
              <w:snapToGrid w:val="0"/>
              <w:rPr>
                <w:rFonts w:ascii="Times New Roman" w:hAnsi="Times New Roman" w:eastAsia="宋体" w:cs="Times New Roman"/>
                <w:szCs w:val="21"/>
              </w:rPr>
            </w:pPr>
            <w:r>
              <w:rPr>
                <w:rFonts w:ascii="Times New Roman" w:hAnsi="Times New Roman" w:eastAsia="宋体" w:cs="Times New Roman"/>
                <w:szCs w:val="21"/>
              </w:rPr>
              <w:t>2.指导老师</w:t>
            </w:r>
          </w:p>
        </w:tc>
        <w:tc>
          <w:tcPr>
            <w:tcW w:w="7005" w:type="dxa"/>
            <w:vAlign w:val="center"/>
          </w:tcPr>
          <w:p w14:paraId="2A01F717">
            <w:pPr>
              <w:snapToGrid w:val="0"/>
              <w:rPr>
                <w:rFonts w:ascii="Times New Roman" w:hAnsi="Times New Roman" w:eastAsia="宋体" w:cs="Times New Roman"/>
                <w:szCs w:val="21"/>
              </w:rPr>
            </w:pPr>
            <w:r>
              <w:rPr>
                <w:rFonts w:ascii="Times New Roman" w:hAnsi="Times New Roman" w:eastAsia="宋体" w:cs="Times New Roman"/>
                <w:szCs w:val="21"/>
              </w:rPr>
              <w:t>指导教师</w:t>
            </w:r>
            <w:r>
              <w:rPr>
                <w:rFonts w:hint="eastAsia" w:ascii="Times New Roman" w:hAnsi="Times New Roman" w:eastAsia="宋体" w:cs="Times New Roman"/>
                <w:szCs w:val="21"/>
              </w:rPr>
              <w:t>应</w:t>
            </w:r>
            <w:r>
              <w:rPr>
                <w:rFonts w:ascii="Times New Roman" w:hAnsi="Times New Roman" w:eastAsia="宋体" w:cs="Times New Roman"/>
                <w:szCs w:val="21"/>
              </w:rPr>
              <w:t>具备扎实的理论知识和丰富的实践经验</w:t>
            </w:r>
            <w:r>
              <w:rPr>
                <w:rFonts w:hint="eastAsia" w:ascii="Times New Roman" w:hAnsi="Times New Roman" w:eastAsia="宋体" w:cs="Times New Roman"/>
                <w:szCs w:val="21"/>
              </w:rPr>
              <w:t>。</w:t>
            </w:r>
            <w:r>
              <w:rPr>
                <w:rFonts w:ascii="Times New Roman" w:hAnsi="Times New Roman" w:eastAsia="宋体" w:cs="Times New Roman"/>
                <w:szCs w:val="21"/>
              </w:rPr>
              <w:t>指导教师</w:t>
            </w:r>
            <w:r>
              <w:rPr>
                <w:rFonts w:hint="eastAsia" w:ascii="Times New Roman" w:hAnsi="Times New Roman" w:eastAsia="宋体" w:cs="Times New Roman"/>
                <w:szCs w:val="21"/>
              </w:rPr>
              <w:t>在研习开始前开好研习动员大会，提出相应研习要求</w:t>
            </w:r>
            <w:r>
              <w:rPr>
                <w:rFonts w:ascii="Times New Roman" w:hAnsi="Times New Roman" w:eastAsia="宋体" w:cs="Times New Roman"/>
                <w:szCs w:val="21"/>
              </w:rPr>
              <w:t>。</w:t>
            </w:r>
          </w:p>
        </w:tc>
      </w:tr>
      <w:tr w14:paraId="69BEED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70" w:type="dxa"/>
            <w:vMerge w:val="continue"/>
            <w:vAlign w:val="center"/>
          </w:tcPr>
          <w:p w14:paraId="0EE3CC3E">
            <w:pPr>
              <w:jc w:val="center"/>
              <w:rPr>
                <w:rFonts w:ascii="Times New Roman" w:hAnsi="Times New Roman" w:eastAsia="宋体" w:cs="Times New Roman"/>
                <w:szCs w:val="21"/>
              </w:rPr>
            </w:pPr>
          </w:p>
        </w:tc>
        <w:tc>
          <w:tcPr>
            <w:tcW w:w="1431" w:type="dxa"/>
            <w:vAlign w:val="center"/>
          </w:tcPr>
          <w:p w14:paraId="541F1AE6">
            <w:pPr>
              <w:snapToGrid w:val="0"/>
              <w:rPr>
                <w:rFonts w:ascii="Times New Roman" w:hAnsi="Times New Roman" w:eastAsia="宋体" w:cs="Times New Roman"/>
                <w:szCs w:val="21"/>
              </w:rPr>
            </w:pPr>
            <w:r>
              <w:rPr>
                <w:rFonts w:ascii="Times New Roman" w:hAnsi="Times New Roman" w:eastAsia="宋体" w:cs="Times New Roman"/>
                <w:szCs w:val="21"/>
              </w:rPr>
              <w:t>3.组织管理</w:t>
            </w:r>
          </w:p>
        </w:tc>
        <w:tc>
          <w:tcPr>
            <w:tcW w:w="7005" w:type="dxa"/>
            <w:vAlign w:val="center"/>
          </w:tcPr>
          <w:p w14:paraId="4857C21F">
            <w:pPr>
              <w:snapToGrid w:val="0"/>
              <w:rPr>
                <w:rFonts w:ascii="Times New Roman" w:hAnsi="Times New Roman" w:eastAsia="宋体" w:cs="Times New Roman"/>
                <w:szCs w:val="21"/>
              </w:rPr>
            </w:pPr>
            <w:r>
              <w:rPr>
                <w:rFonts w:hint="eastAsia" w:ascii="Times New Roman" w:hAnsi="Times New Roman" w:eastAsia="宋体" w:cs="Times New Roman"/>
                <w:szCs w:val="21"/>
              </w:rPr>
              <w:t>做好学生的分组工作，强调小组成员之间的合作沟通，对每位同学都提出明确的研习纪律和责任。</w:t>
            </w:r>
          </w:p>
        </w:tc>
      </w:tr>
      <w:tr w14:paraId="5E3F6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70" w:type="dxa"/>
            <w:vMerge w:val="restart"/>
            <w:vAlign w:val="center"/>
          </w:tcPr>
          <w:p w14:paraId="5CAC8008">
            <w:pPr>
              <w:jc w:val="center"/>
              <w:rPr>
                <w:rFonts w:ascii="Times New Roman" w:hAnsi="Times New Roman" w:eastAsia="宋体" w:cs="Times New Roman"/>
                <w:szCs w:val="21"/>
              </w:rPr>
            </w:pPr>
            <w:r>
              <w:rPr>
                <w:rFonts w:ascii="Times New Roman" w:hAnsi="Times New Roman" w:eastAsia="宋体" w:cs="Times New Roman"/>
                <w:szCs w:val="21"/>
              </w:rPr>
              <w:t>实施</w:t>
            </w:r>
          </w:p>
          <w:p w14:paraId="60B8A120">
            <w:pPr>
              <w:jc w:val="center"/>
              <w:rPr>
                <w:rFonts w:ascii="Times New Roman" w:hAnsi="Times New Roman" w:eastAsia="宋体" w:cs="Times New Roman"/>
                <w:szCs w:val="21"/>
              </w:rPr>
            </w:pPr>
            <w:r>
              <w:rPr>
                <w:rFonts w:ascii="Times New Roman" w:hAnsi="Times New Roman" w:eastAsia="宋体" w:cs="Times New Roman"/>
                <w:szCs w:val="21"/>
              </w:rPr>
              <w:t>阶段</w:t>
            </w:r>
          </w:p>
        </w:tc>
        <w:tc>
          <w:tcPr>
            <w:tcW w:w="1431" w:type="dxa"/>
            <w:vAlign w:val="center"/>
          </w:tcPr>
          <w:p w14:paraId="260A29E2">
            <w:pPr>
              <w:rPr>
                <w:rFonts w:ascii="Times New Roman" w:hAnsi="Times New Roman" w:eastAsia="宋体" w:cs="Times New Roman"/>
                <w:szCs w:val="21"/>
              </w:rPr>
            </w:pPr>
            <w:r>
              <w:rPr>
                <w:rFonts w:ascii="Times New Roman" w:hAnsi="Times New Roman" w:eastAsia="宋体" w:cs="Times New Roman"/>
                <w:szCs w:val="21"/>
              </w:rPr>
              <w:t>1.计划执行</w:t>
            </w:r>
          </w:p>
        </w:tc>
        <w:tc>
          <w:tcPr>
            <w:tcW w:w="7005" w:type="dxa"/>
            <w:vAlign w:val="center"/>
          </w:tcPr>
          <w:p w14:paraId="6EF59419">
            <w:pPr>
              <w:rPr>
                <w:rFonts w:ascii="Times New Roman" w:hAnsi="Times New Roman" w:eastAsia="宋体" w:cs="Times New Roman"/>
                <w:szCs w:val="21"/>
              </w:rPr>
            </w:pPr>
            <w:r>
              <w:rPr>
                <w:rFonts w:hint="eastAsia" w:ascii="Times New Roman" w:hAnsi="Times New Roman" w:eastAsia="宋体" w:cs="Times New Roman"/>
                <w:szCs w:val="21"/>
              </w:rPr>
              <w:t>按照研习计划在校内和校外研习</w:t>
            </w:r>
            <w:r>
              <w:rPr>
                <w:rFonts w:ascii="Times New Roman" w:hAnsi="Times New Roman" w:eastAsia="宋体" w:cs="Times New Roman"/>
                <w:szCs w:val="21"/>
              </w:rPr>
              <w:t xml:space="preserve">。 </w:t>
            </w:r>
          </w:p>
        </w:tc>
      </w:tr>
      <w:tr w14:paraId="73AA6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41E4E400">
            <w:pPr>
              <w:jc w:val="center"/>
              <w:rPr>
                <w:rFonts w:ascii="Times New Roman" w:hAnsi="Times New Roman" w:eastAsia="宋体" w:cs="Times New Roman"/>
                <w:szCs w:val="21"/>
              </w:rPr>
            </w:pPr>
          </w:p>
        </w:tc>
        <w:tc>
          <w:tcPr>
            <w:tcW w:w="1431" w:type="dxa"/>
            <w:vAlign w:val="center"/>
          </w:tcPr>
          <w:p w14:paraId="050B9C62">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过程</w:t>
            </w:r>
            <w:r>
              <w:rPr>
                <w:rFonts w:ascii="Times New Roman" w:hAnsi="Times New Roman" w:eastAsia="宋体" w:cs="Times New Roman"/>
                <w:szCs w:val="21"/>
              </w:rPr>
              <w:t>指导</w:t>
            </w:r>
          </w:p>
        </w:tc>
        <w:tc>
          <w:tcPr>
            <w:tcW w:w="7005" w:type="dxa"/>
            <w:vAlign w:val="center"/>
          </w:tcPr>
          <w:p w14:paraId="297B20E9">
            <w:pPr>
              <w:snapToGrid w:val="0"/>
              <w:rPr>
                <w:rFonts w:ascii="Times New Roman" w:hAnsi="Times New Roman" w:eastAsia="宋体" w:cs="Times New Roman"/>
                <w:szCs w:val="21"/>
              </w:rPr>
            </w:pPr>
            <w:r>
              <w:rPr>
                <w:rFonts w:hint="eastAsia" w:ascii="Times New Roman" w:hAnsi="Times New Roman" w:eastAsia="宋体" w:cs="Times New Roman"/>
                <w:szCs w:val="21"/>
              </w:rPr>
              <w:t>指导教师及时了解学生在校内和校外研习情况。</w:t>
            </w:r>
          </w:p>
        </w:tc>
      </w:tr>
      <w:tr w14:paraId="344F1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70" w:type="dxa"/>
            <w:vMerge w:val="continue"/>
            <w:vAlign w:val="center"/>
          </w:tcPr>
          <w:p w14:paraId="6AF7998D">
            <w:pPr>
              <w:jc w:val="center"/>
              <w:rPr>
                <w:rFonts w:ascii="Times New Roman" w:hAnsi="Times New Roman" w:eastAsia="宋体" w:cs="Times New Roman"/>
                <w:szCs w:val="21"/>
              </w:rPr>
            </w:pPr>
          </w:p>
        </w:tc>
        <w:tc>
          <w:tcPr>
            <w:tcW w:w="1431" w:type="dxa"/>
            <w:vAlign w:val="center"/>
          </w:tcPr>
          <w:p w14:paraId="37CAB753">
            <w:pPr>
              <w:snapToGrid w:val="0"/>
              <w:rPr>
                <w:rFonts w:ascii="Times New Roman" w:hAnsi="Times New Roman" w:eastAsia="宋体" w:cs="Times New Roman"/>
                <w:szCs w:val="21"/>
              </w:rPr>
            </w:pPr>
            <w:r>
              <w:rPr>
                <w:rFonts w:ascii="Times New Roman" w:hAnsi="Times New Roman" w:eastAsia="宋体" w:cs="Times New Roman"/>
                <w:szCs w:val="21"/>
              </w:rPr>
              <w:t>3.学生管理</w:t>
            </w:r>
          </w:p>
        </w:tc>
        <w:tc>
          <w:tcPr>
            <w:tcW w:w="7005" w:type="dxa"/>
            <w:vAlign w:val="center"/>
          </w:tcPr>
          <w:p w14:paraId="76E7C3CA">
            <w:pPr>
              <w:snapToGrid w:val="0"/>
              <w:rPr>
                <w:rFonts w:ascii="Times New Roman" w:hAnsi="Times New Roman" w:eastAsia="宋体" w:cs="Times New Roman"/>
                <w:szCs w:val="21"/>
              </w:rPr>
            </w:pPr>
            <w:r>
              <w:rPr>
                <w:rFonts w:ascii="Times New Roman" w:hAnsi="Times New Roman" w:eastAsia="宋体" w:cs="Times New Roman"/>
                <w:szCs w:val="21"/>
              </w:rPr>
              <w:t>严格进行考勤，认真记录</w:t>
            </w:r>
            <w:r>
              <w:rPr>
                <w:rFonts w:hint="eastAsia" w:ascii="Times New Roman" w:hAnsi="Times New Roman" w:eastAsia="宋体" w:cs="Times New Roman"/>
                <w:szCs w:val="21"/>
              </w:rPr>
              <w:t>学生工作</w:t>
            </w:r>
            <w:r>
              <w:rPr>
                <w:rFonts w:ascii="Times New Roman" w:hAnsi="Times New Roman" w:eastAsia="宋体" w:cs="Times New Roman"/>
                <w:szCs w:val="21"/>
              </w:rPr>
              <w:t>情况；对迟到、早退和无故缺勤等违纪情况及时处理。</w:t>
            </w:r>
          </w:p>
        </w:tc>
      </w:tr>
      <w:tr w14:paraId="09704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59592034">
            <w:pPr>
              <w:jc w:val="center"/>
              <w:rPr>
                <w:rFonts w:ascii="Times New Roman" w:hAnsi="Times New Roman" w:eastAsia="宋体" w:cs="Times New Roman"/>
                <w:szCs w:val="21"/>
              </w:rPr>
            </w:pPr>
          </w:p>
        </w:tc>
        <w:tc>
          <w:tcPr>
            <w:tcW w:w="1431" w:type="dxa"/>
            <w:vAlign w:val="center"/>
          </w:tcPr>
          <w:p w14:paraId="4B35410F">
            <w:pPr>
              <w:snapToGrid w:val="0"/>
              <w:rPr>
                <w:rFonts w:ascii="Times New Roman" w:hAnsi="Times New Roman" w:eastAsia="宋体" w:cs="Times New Roman"/>
                <w:szCs w:val="21"/>
              </w:rPr>
            </w:pPr>
            <w:r>
              <w:rPr>
                <w:rFonts w:ascii="Times New Roman" w:hAnsi="Times New Roman" w:eastAsia="宋体" w:cs="Times New Roman"/>
                <w:szCs w:val="21"/>
              </w:rPr>
              <w:t>4.教学检查</w:t>
            </w:r>
          </w:p>
        </w:tc>
        <w:tc>
          <w:tcPr>
            <w:tcW w:w="7005" w:type="dxa"/>
            <w:vAlign w:val="center"/>
          </w:tcPr>
          <w:p w14:paraId="550DB1F1">
            <w:pPr>
              <w:snapToGrid w:val="0"/>
              <w:rPr>
                <w:rFonts w:ascii="Times New Roman" w:hAnsi="Times New Roman" w:eastAsia="宋体" w:cs="Times New Roman"/>
                <w:szCs w:val="21"/>
              </w:rPr>
            </w:pPr>
            <w:r>
              <w:rPr>
                <w:rFonts w:ascii="Times New Roman" w:hAnsi="Times New Roman" w:eastAsia="宋体" w:cs="Times New Roman"/>
                <w:szCs w:val="21"/>
              </w:rPr>
              <w:t>学院有计划地开展督导检查，并及时反馈检查情况。</w:t>
            </w:r>
          </w:p>
        </w:tc>
      </w:tr>
      <w:tr w14:paraId="68046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restart"/>
            <w:vAlign w:val="center"/>
          </w:tcPr>
          <w:p w14:paraId="346F5151">
            <w:pPr>
              <w:jc w:val="center"/>
              <w:rPr>
                <w:rFonts w:ascii="Times New Roman" w:hAnsi="Times New Roman" w:eastAsia="宋体" w:cs="Times New Roman"/>
                <w:szCs w:val="21"/>
              </w:rPr>
            </w:pPr>
            <w:r>
              <w:rPr>
                <w:rFonts w:ascii="Times New Roman" w:hAnsi="Times New Roman" w:eastAsia="宋体" w:cs="Times New Roman"/>
                <w:szCs w:val="21"/>
              </w:rPr>
              <w:t>总结</w:t>
            </w:r>
          </w:p>
          <w:p w14:paraId="2D8F6F49">
            <w:pPr>
              <w:jc w:val="center"/>
              <w:rPr>
                <w:rFonts w:ascii="Times New Roman" w:hAnsi="Times New Roman" w:eastAsia="宋体" w:cs="Times New Roman"/>
                <w:szCs w:val="21"/>
              </w:rPr>
            </w:pPr>
            <w:r>
              <w:rPr>
                <w:rFonts w:ascii="Times New Roman" w:hAnsi="Times New Roman" w:eastAsia="宋体" w:cs="Times New Roman"/>
                <w:szCs w:val="21"/>
              </w:rPr>
              <w:t>考核</w:t>
            </w:r>
          </w:p>
        </w:tc>
        <w:tc>
          <w:tcPr>
            <w:tcW w:w="1431" w:type="dxa"/>
            <w:vAlign w:val="center"/>
          </w:tcPr>
          <w:p w14:paraId="72AD1BB5">
            <w:pPr>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研习</w:t>
            </w:r>
            <w:r>
              <w:rPr>
                <w:rFonts w:ascii="Times New Roman" w:hAnsi="Times New Roman" w:eastAsia="宋体" w:cs="Times New Roman"/>
                <w:szCs w:val="21"/>
              </w:rPr>
              <w:t>报告</w:t>
            </w:r>
          </w:p>
        </w:tc>
        <w:tc>
          <w:tcPr>
            <w:tcW w:w="7005" w:type="dxa"/>
            <w:vAlign w:val="center"/>
          </w:tcPr>
          <w:p w14:paraId="760CE6F0">
            <w:pPr>
              <w:rPr>
                <w:rFonts w:ascii="Times New Roman" w:hAnsi="Times New Roman" w:eastAsia="宋体" w:cs="Times New Roman"/>
                <w:szCs w:val="21"/>
              </w:rPr>
            </w:pPr>
            <w:r>
              <w:rPr>
                <w:rFonts w:ascii="Times New Roman" w:hAnsi="Times New Roman" w:eastAsia="宋体" w:cs="Times New Roman"/>
                <w:szCs w:val="21"/>
              </w:rPr>
              <w:t>结束后，及时按要求</w:t>
            </w:r>
            <w:r>
              <w:rPr>
                <w:rFonts w:hint="eastAsia" w:ascii="Times New Roman" w:hAnsi="Times New Roman" w:eastAsia="宋体" w:cs="Times New Roman"/>
                <w:szCs w:val="21"/>
              </w:rPr>
              <w:t>教育叙事、教育研习手册和研习考核表</w:t>
            </w:r>
            <w:r>
              <w:rPr>
                <w:rFonts w:ascii="Times New Roman" w:hAnsi="Times New Roman" w:eastAsia="宋体" w:cs="Times New Roman"/>
                <w:szCs w:val="21"/>
              </w:rPr>
              <w:t>。</w:t>
            </w:r>
          </w:p>
        </w:tc>
      </w:tr>
      <w:tr w14:paraId="06E57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70" w:type="dxa"/>
            <w:vMerge w:val="continue"/>
            <w:vAlign w:val="center"/>
          </w:tcPr>
          <w:p w14:paraId="0CC3CA04">
            <w:pPr>
              <w:rPr>
                <w:rFonts w:ascii="Times New Roman" w:hAnsi="Times New Roman" w:eastAsia="宋体" w:cs="Times New Roman"/>
                <w:szCs w:val="21"/>
              </w:rPr>
            </w:pPr>
          </w:p>
        </w:tc>
        <w:tc>
          <w:tcPr>
            <w:tcW w:w="1431" w:type="dxa"/>
            <w:vAlign w:val="center"/>
          </w:tcPr>
          <w:p w14:paraId="4E29A88F">
            <w:pPr>
              <w:snapToGrid w:val="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成绩</w:t>
            </w:r>
            <w:r>
              <w:rPr>
                <w:rFonts w:ascii="Times New Roman" w:hAnsi="Times New Roman" w:eastAsia="宋体" w:cs="Times New Roman"/>
                <w:szCs w:val="21"/>
              </w:rPr>
              <w:t>考核</w:t>
            </w:r>
          </w:p>
        </w:tc>
        <w:tc>
          <w:tcPr>
            <w:tcW w:w="7005" w:type="dxa"/>
            <w:vAlign w:val="center"/>
          </w:tcPr>
          <w:p w14:paraId="2F345D20">
            <w:pPr>
              <w:snapToGrid w:val="0"/>
              <w:rPr>
                <w:rFonts w:ascii="Times New Roman" w:hAnsi="Times New Roman" w:eastAsia="宋体" w:cs="Times New Roman"/>
                <w:szCs w:val="21"/>
              </w:rPr>
            </w:pPr>
            <w:r>
              <w:rPr>
                <w:rFonts w:ascii="Times New Roman" w:hAnsi="Times New Roman" w:eastAsia="宋体" w:cs="Times New Roman"/>
                <w:szCs w:val="21"/>
              </w:rPr>
              <w:t>根据考核内容及要求对每位学生</w:t>
            </w:r>
            <w:r>
              <w:rPr>
                <w:rFonts w:hint="eastAsia" w:ascii="Times New Roman" w:hAnsi="Times New Roman" w:eastAsia="宋体" w:cs="Times New Roman"/>
                <w:szCs w:val="21"/>
              </w:rPr>
              <w:t>研习情况</w:t>
            </w:r>
            <w:r>
              <w:rPr>
                <w:rFonts w:ascii="Times New Roman" w:hAnsi="Times New Roman" w:eastAsia="宋体" w:cs="Times New Roman"/>
                <w:szCs w:val="21"/>
              </w:rPr>
              <w:t>进行考核，合理评价，并按照学校有关规定登记成绩。</w:t>
            </w:r>
          </w:p>
        </w:tc>
      </w:tr>
      <w:tr w14:paraId="57C8B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70" w:type="dxa"/>
            <w:vMerge w:val="continue"/>
            <w:vAlign w:val="center"/>
          </w:tcPr>
          <w:p w14:paraId="2B7AF504">
            <w:pPr>
              <w:rPr>
                <w:rFonts w:ascii="Times New Roman" w:hAnsi="Times New Roman" w:eastAsia="宋体" w:cs="Times New Roman"/>
                <w:szCs w:val="21"/>
              </w:rPr>
            </w:pPr>
          </w:p>
        </w:tc>
        <w:tc>
          <w:tcPr>
            <w:tcW w:w="1431" w:type="dxa"/>
            <w:vAlign w:val="center"/>
          </w:tcPr>
          <w:p w14:paraId="27165EA4">
            <w:pPr>
              <w:snapToGrid w:val="0"/>
              <w:rPr>
                <w:rFonts w:ascii="Times New Roman" w:hAnsi="Times New Roman" w:eastAsia="宋体" w:cs="Times New Roman"/>
                <w:szCs w:val="21"/>
              </w:rPr>
            </w:pPr>
            <w:r>
              <w:rPr>
                <w:rFonts w:ascii="Times New Roman" w:hAnsi="Times New Roman" w:eastAsia="宋体" w:cs="Times New Roman"/>
                <w:szCs w:val="21"/>
              </w:rPr>
              <w:t>3.总结归档</w:t>
            </w:r>
          </w:p>
        </w:tc>
        <w:tc>
          <w:tcPr>
            <w:tcW w:w="7005" w:type="dxa"/>
            <w:vAlign w:val="center"/>
          </w:tcPr>
          <w:p w14:paraId="2039784C">
            <w:pPr>
              <w:snapToGrid w:val="0"/>
              <w:rPr>
                <w:rFonts w:ascii="Times New Roman" w:hAnsi="Times New Roman" w:eastAsia="宋体" w:cs="Times New Roman"/>
                <w:szCs w:val="21"/>
              </w:rPr>
            </w:pPr>
            <w:r>
              <w:rPr>
                <w:rFonts w:ascii="Times New Roman" w:hAnsi="Times New Roman" w:eastAsia="宋体" w:cs="Times New Roman"/>
                <w:szCs w:val="21"/>
              </w:rPr>
              <w:t>及时总结交流经验与体会，按要求做好材料归档。</w:t>
            </w:r>
          </w:p>
        </w:tc>
      </w:tr>
    </w:tbl>
    <w:p w14:paraId="49228E77">
      <w:pPr>
        <w:spacing w:before="62" w:beforeLines="20" w:after="62" w:afterLines="20" w:line="360" w:lineRule="auto"/>
        <w:jc w:val="left"/>
        <w:rPr>
          <w:rFonts w:ascii="Times New Roman" w:hAnsi="Times New Roman" w:eastAsia="宋体" w:cs="Times New Roman"/>
          <w:b/>
          <w:sz w:val="22"/>
          <w:szCs w:val="22"/>
        </w:rPr>
      </w:pPr>
      <w:r>
        <w:rPr>
          <w:rFonts w:hint="eastAsia" w:ascii="Times New Roman" w:hAnsi="Times New Roman" w:eastAsia="宋体" w:cs="Times New Roman"/>
          <w:b/>
          <w:sz w:val="22"/>
          <w:szCs w:val="22"/>
        </w:rPr>
        <w:t>六、课程考核</w:t>
      </w:r>
    </w:p>
    <w:p w14:paraId="4DC04B4A">
      <w:pPr>
        <w:spacing w:line="360" w:lineRule="auto"/>
        <w:ind w:firstLine="482" w:firstLineChars="200"/>
        <w:rPr>
          <w:rFonts w:ascii="Times New Roman" w:hAnsi="Times New Roman" w:eastAsia="宋体" w:cs="Times New Roman"/>
          <w:b/>
          <w:sz w:val="24"/>
        </w:rPr>
      </w:pPr>
      <w:r>
        <w:rPr>
          <w:rFonts w:hint="eastAsia" w:ascii="Times New Roman" w:hAnsi="Times New Roman" w:eastAsia="宋体" w:cs="Times New Roman"/>
          <w:b/>
          <w:sz w:val="24"/>
        </w:rPr>
        <w:t>（一）</w:t>
      </w:r>
      <w:r>
        <w:rPr>
          <w:rFonts w:ascii="Times New Roman" w:hAnsi="Times New Roman" w:eastAsia="宋体" w:cs="Times New Roman"/>
          <w:b/>
          <w:sz w:val="24"/>
        </w:rPr>
        <w:t>考核资料要求</w:t>
      </w:r>
    </w:p>
    <w:p w14:paraId="65152A7A">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1.教育研习手册填写完整。</w:t>
      </w:r>
    </w:p>
    <w:p w14:paraId="780B66EE">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2.教育研习案例分析报告一份。</w:t>
      </w:r>
    </w:p>
    <w:p w14:paraId="6878A5C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教育研习总结P</w:t>
      </w:r>
      <w:r>
        <w:rPr>
          <w:rFonts w:ascii="Times New Roman" w:hAnsi="Times New Roman" w:eastAsia="宋体" w:cs="Times New Roman"/>
          <w:sz w:val="24"/>
        </w:rPr>
        <w:t>PT</w:t>
      </w:r>
      <w:r>
        <w:rPr>
          <w:rFonts w:hint="eastAsia" w:ascii="Times New Roman" w:hAnsi="Times New Roman" w:eastAsia="宋体" w:cs="Times New Roman"/>
          <w:sz w:val="24"/>
        </w:rPr>
        <w:t>一份。</w:t>
      </w:r>
    </w:p>
    <w:p w14:paraId="777CC417">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w:t>
      </w:r>
      <w:r>
        <w:rPr>
          <w:rFonts w:hint="eastAsia" w:ascii="Times New Roman" w:hAnsi="Times New Roman" w:eastAsia="宋体" w:cs="Times New Roman"/>
          <w:sz w:val="24"/>
        </w:rPr>
        <w:t>.教育研习鉴定表每人一份，</w:t>
      </w:r>
      <w:r>
        <w:rPr>
          <w:rFonts w:ascii="Times New Roman" w:hAnsi="Times New Roman" w:eastAsia="宋体" w:cs="Times New Roman"/>
          <w:sz w:val="24"/>
        </w:rPr>
        <w:t>有</w:t>
      </w:r>
      <w:r>
        <w:rPr>
          <w:rFonts w:hint="eastAsia" w:ascii="Times New Roman" w:hAnsi="Times New Roman" w:eastAsia="宋体" w:cs="Times New Roman"/>
          <w:sz w:val="24"/>
        </w:rPr>
        <w:t>研习</w:t>
      </w:r>
      <w:r>
        <w:rPr>
          <w:rFonts w:ascii="Times New Roman" w:hAnsi="Times New Roman" w:eastAsia="宋体" w:cs="Times New Roman"/>
          <w:sz w:val="24"/>
        </w:rPr>
        <w:t>学校</w:t>
      </w:r>
      <w:r>
        <w:rPr>
          <w:rFonts w:hint="eastAsia" w:ascii="Times New Roman" w:hAnsi="Times New Roman" w:eastAsia="宋体" w:cs="Times New Roman"/>
          <w:sz w:val="24"/>
        </w:rPr>
        <w:t>实践导师</w:t>
      </w:r>
      <w:r>
        <w:rPr>
          <w:rFonts w:ascii="Times New Roman" w:hAnsi="Times New Roman" w:eastAsia="宋体" w:cs="Times New Roman"/>
          <w:sz w:val="24"/>
        </w:rPr>
        <w:t>和班主任的评语及打分，并有</w:t>
      </w:r>
      <w:r>
        <w:rPr>
          <w:rFonts w:hint="eastAsia" w:ascii="Times New Roman" w:hAnsi="Times New Roman" w:eastAsia="宋体" w:cs="Times New Roman"/>
          <w:sz w:val="24"/>
        </w:rPr>
        <w:t>研习</w:t>
      </w:r>
      <w:r>
        <w:rPr>
          <w:rFonts w:ascii="Times New Roman" w:hAnsi="Times New Roman" w:eastAsia="宋体" w:cs="Times New Roman"/>
          <w:sz w:val="24"/>
        </w:rPr>
        <w:t>学校的意见</w:t>
      </w:r>
      <w:r>
        <w:rPr>
          <w:rFonts w:hint="eastAsia" w:ascii="Times New Roman" w:hAnsi="Times New Roman" w:eastAsia="宋体" w:cs="Times New Roman"/>
          <w:sz w:val="24"/>
        </w:rPr>
        <w:t>和</w:t>
      </w:r>
      <w:r>
        <w:rPr>
          <w:rFonts w:ascii="Times New Roman" w:hAnsi="Times New Roman" w:eastAsia="宋体" w:cs="Times New Roman"/>
          <w:sz w:val="24"/>
        </w:rPr>
        <w:t>本校指导教师的</w:t>
      </w:r>
      <w:r>
        <w:rPr>
          <w:rFonts w:hint="eastAsia" w:ascii="Times New Roman" w:hAnsi="Times New Roman" w:eastAsia="宋体" w:cs="Times New Roman"/>
          <w:sz w:val="24"/>
        </w:rPr>
        <w:t>评语评分</w:t>
      </w:r>
      <w:r>
        <w:rPr>
          <w:rFonts w:ascii="Times New Roman" w:hAnsi="Times New Roman" w:eastAsia="宋体" w:cs="Times New Roman"/>
          <w:sz w:val="24"/>
        </w:rPr>
        <w:t>及签字。</w:t>
      </w:r>
    </w:p>
    <w:p w14:paraId="087BAFC7">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（二）课程目标达成度计算方法</w:t>
      </w:r>
    </w:p>
    <w:p w14:paraId="0C131DDE">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546D8671">
      <w:pPr>
        <w:spacing w:before="156" w:beforeLines="50" w:line="360" w:lineRule="auto"/>
        <w:ind w:firstLine="420" w:firstLineChars="200"/>
        <w:jc w:val="left"/>
        <w:rPr>
          <w:rFonts w:ascii="Times New Roman" w:hAnsi="Times New Roman" w:eastAsia="宋体" w:cs="Times New Roman"/>
          <w:b/>
          <w:sz w:val="22"/>
          <w:szCs w:val="22"/>
        </w:rPr>
      </w:pPr>
      <w:r>
        <w:rPr>
          <w:rFonts w:ascii="宋体" w:hAnsi="宋体" w:eastAsia="宋体" w:cs="Times New Roman"/>
          <w:szCs w:val="21"/>
        </w:rPr>
        <w:object>
          <v:shape id="_x0000_i1086" o:spt="75" type="#_x0000_t75" style="height:25.1pt;width:404.55pt;" o:ole="t" filled="f" o:preferrelative="t" stroked="f" coordsize="21600,21600">
            <v:path/>
            <v:fill on="f" focussize="0,0"/>
            <v:stroke on="f" joinstyle="miter"/>
            <v:imagedata r:id="rId12" o:title=""/>
            <o:lock v:ext="edit" aspectratio="t"/>
            <w10:wrap type="none"/>
            <w10:anchorlock/>
          </v:shape>
          <o:OLEObject Type="Embed" ProgID="Equation.3" ShapeID="_x0000_i1086" DrawAspect="Content" ObjectID="_1468075786" r:id="rId74">
            <o:LockedField>false</o:LockedField>
          </o:OLEObject>
        </w:object>
      </w:r>
      <w:r>
        <w:rPr>
          <w:rFonts w:hint="eastAsia" w:ascii="Times New Roman" w:hAnsi="Times New Roman" w:eastAsia="宋体" w:cs="Times New Roman"/>
          <w:b/>
          <w:sz w:val="22"/>
          <w:szCs w:val="22"/>
        </w:rPr>
        <w:t>七、有关说明</w:t>
      </w:r>
    </w:p>
    <w:p w14:paraId="08CB911E">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048AED3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根据学生研习情况、研习学校反馈、学生作业、见习态度、调查报告、文本研读情况及时发现和改进教学中的不足之处，确保相应毕业要求指标点达成。</w:t>
      </w:r>
    </w:p>
    <w:p w14:paraId="60BBFF9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274A5506">
      <w:pPr>
        <w:spacing w:line="336"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1.</w:t>
      </w:r>
      <w:r>
        <w:rPr>
          <w:rFonts w:hint="eastAsia" w:ascii="Times New Roman" w:hAnsi="Times New Roman" w:eastAsia="宋体" w:cs="Times New Roman"/>
          <w:bCs/>
          <w:szCs w:val="21"/>
        </w:rPr>
        <w:t>义务教育小学语文/数学学科课程标准，最新版。</w:t>
      </w:r>
    </w:p>
    <w:p w14:paraId="69AC8DFC">
      <w:pPr>
        <w:spacing w:line="336"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2.</w:t>
      </w:r>
      <w:r>
        <w:rPr>
          <w:rFonts w:hint="eastAsia" w:ascii="Times New Roman" w:hAnsi="Times New Roman" w:eastAsia="宋体" w:cs="Times New Roman"/>
          <w:bCs/>
          <w:szCs w:val="21"/>
        </w:rPr>
        <w:t>部编版小学语文/数学各年级教材。</w:t>
      </w:r>
    </w:p>
    <w:p w14:paraId="1BCFEF57">
      <w:pPr>
        <w:spacing w:line="336" w:lineRule="auto"/>
        <w:ind w:firstLine="420" w:firstLineChars="200"/>
        <w:rPr>
          <w:rFonts w:ascii="Times New Roman" w:hAnsi="Times New Roman" w:eastAsia="宋体" w:cs="Times New Roman"/>
          <w:bCs/>
          <w:szCs w:val="21"/>
        </w:rPr>
      </w:pPr>
      <w:r>
        <w:rPr>
          <w:rFonts w:ascii="Times New Roman" w:hAnsi="Times New Roman" w:eastAsia="宋体" w:cs="Times New Roman"/>
          <w:bCs/>
          <w:szCs w:val="21"/>
        </w:rPr>
        <w:t>3.《中小学教育专业见习实习研习实用手册》，金建生、刘雄英编著, 上海 交大出版社，2020年12月.</w:t>
      </w:r>
    </w:p>
    <w:p w14:paraId="131D9A93">
      <w:pPr>
        <w:spacing w:line="336"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4</w:t>
      </w:r>
      <w:r>
        <w:rPr>
          <w:rFonts w:ascii="Times New Roman" w:hAnsi="Times New Roman" w:eastAsia="宋体" w:cs="Times New Roman"/>
          <w:bCs/>
          <w:szCs w:val="21"/>
        </w:rPr>
        <w:t>.陈国庆等编著. 教育研究方法[M].武汉：华中师范大学出版社，2018.</w:t>
      </w:r>
    </w:p>
    <w:p w14:paraId="71BFB531">
      <w:pPr>
        <w:adjustRightInd w:val="0"/>
        <w:snapToGrid w:val="0"/>
        <w:spacing w:line="360" w:lineRule="auto"/>
        <w:jc w:val="right"/>
        <w:rPr>
          <w:rFonts w:ascii="宋体" w:hAnsi="Times New Roman" w:eastAsia="宋体" w:cs="Times New Roman"/>
          <w:szCs w:val="21"/>
        </w:rPr>
      </w:pPr>
      <w:r>
        <w:rPr>
          <w:rFonts w:ascii="宋体" w:hAnsi="宋体" w:eastAsia="宋体" w:cs="Times New Roman"/>
          <w:sz w:val="24"/>
        </w:rPr>
        <w:t xml:space="preserve">                                           </w:t>
      </w:r>
      <w:r>
        <w:rPr>
          <w:rFonts w:ascii="宋体" w:hAnsi="宋体" w:eastAsia="宋体" w:cs="Times New Roman"/>
          <w:szCs w:val="21"/>
        </w:rPr>
        <w:t xml:space="preserve"> </w:t>
      </w:r>
      <w:r>
        <w:rPr>
          <w:rFonts w:hint="eastAsia" w:ascii="宋体" w:hAnsi="宋体" w:eastAsia="宋体" w:cs="Times New Roman"/>
          <w:szCs w:val="21"/>
        </w:rPr>
        <w:t>执笔人：</w:t>
      </w:r>
      <w:r>
        <w:rPr>
          <w:rFonts w:ascii="宋体" w:hAnsi="Times New Roman" w:eastAsia="宋体" w:cs="Times New Roman"/>
          <w:szCs w:val="21"/>
        </w:rPr>
        <w:t xml:space="preserve"> </w:t>
      </w:r>
      <w:r>
        <w:rPr>
          <w:rFonts w:hint="eastAsia" w:ascii="宋体" w:hAnsi="Times New Roman" w:eastAsia="宋体" w:cs="Times New Roman"/>
          <w:szCs w:val="21"/>
        </w:rPr>
        <w:t>刘  丽</w:t>
      </w:r>
    </w:p>
    <w:p w14:paraId="6297170E">
      <w:pPr>
        <w:adjustRightInd w:val="0"/>
        <w:snapToGrid w:val="0"/>
        <w:spacing w:line="360" w:lineRule="auto"/>
        <w:jc w:val="right"/>
        <w:rPr>
          <w:rFonts w:hint="eastAsia"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审定人：</w:t>
      </w:r>
      <w:r>
        <w:rPr>
          <w:rFonts w:ascii="宋体" w:hAnsi="宋体" w:eastAsia="宋体" w:cs="Times New Roman"/>
          <w:szCs w:val="21"/>
        </w:rPr>
        <w:t xml:space="preserve"> </w:t>
      </w:r>
      <w:r>
        <w:rPr>
          <w:rFonts w:hint="eastAsia" w:ascii="宋体" w:hAnsi="宋体" w:eastAsia="宋体" w:cs="Times New Roman"/>
          <w:szCs w:val="21"/>
        </w:rPr>
        <w:t>王  健</w:t>
      </w:r>
    </w:p>
    <w:p w14:paraId="595C5079">
      <w:pPr>
        <w:adjustRightInd w:val="0"/>
        <w:snapToGrid w:val="0"/>
        <w:spacing w:line="360" w:lineRule="auto"/>
        <w:jc w:val="right"/>
        <w:rPr>
          <w:rFonts w:ascii="宋体" w:hAnsi="Times New Roman"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审批人：</w:t>
      </w:r>
      <w:r>
        <w:rPr>
          <w:rFonts w:ascii="宋体" w:hAnsi="Times New Roman" w:eastAsia="宋体" w:cs="Times New Roman"/>
          <w:szCs w:val="21"/>
        </w:rPr>
        <w:t xml:space="preserve"> </w:t>
      </w:r>
      <w:r>
        <w:rPr>
          <w:rFonts w:hint="eastAsia" w:ascii="宋体" w:hAnsi="Times New Roman" w:eastAsia="宋体" w:cs="Times New Roman"/>
          <w:szCs w:val="21"/>
        </w:rPr>
        <w:t>张志欣</w:t>
      </w:r>
    </w:p>
    <w:p w14:paraId="45880A5F">
      <w:pPr>
        <w:spacing w:line="360" w:lineRule="auto"/>
        <w:jc w:val="right"/>
        <w:rPr>
          <w:rFonts w:hint="eastAsia" w:ascii="宋体" w:hAnsi="宋体" w:eastAsia="宋体" w:cs="Times New Roman"/>
          <w:szCs w:val="21"/>
        </w:rPr>
      </w:pPr>
      <w:r>
        <w:rPr>
          <w:rFonts w:ascii="宋体" w:hAnsi="宋体" w:eastAsia="宋体" w:cs="Times New Roman"/>
          <w:szCs w:val="21"/>
        </w:rPr>
        <w:t xml:space="preserve">                                           </w:t>
      </w:r>
      <w:r>
        <w:rPr>
          <w:rFonts w:hint="eastAsia" w:ascii="宋体" w:hAnsi="宋体" w:eastAsia="宋体" w:cs="Times New Roman"/>
          <w:szCs w:val="21"/>
        </w:rPr>
        <w:t>批准时间：2025年7月1日</w:t>
      </w:r>
    </w:p>
    <w:p w14:paraId="0F02C53E">
      <w:pPr>
        <w:jc w:val="right"/>
        <w:rPr>
          <w:rFonts w:hint="eastAsia" w:ascii="宋体" w:hAnsi="宋体" w:eastAsia="宋体" w:cs="Times New Roman"/>
          <w:kern w:val="0"/>
          <w:sz w:val="24"/>
          <w:szCs w:val="21"/>
        </w:rPr>
      </w:pPr>
    </w:p>
    <w:p w14:paraId="7855901F">
      <w:pPr>
        <w:widowControl/>
        <w:ind w:left="5280" w:hanging="5280" w:hangingChars="2200"/>
        <w:jc w:val="left"/>
        <w:rPr>
          <w:rFonts w:hint="eastAsia" w:ascii="宋体" w:hAnsi="宋体" w:eastAsia="宋体" w:cs="Times New Roman"/>
          <w:sz w:val="24"/>
        </w:rPr>
      </w:pPr>
    </w:p>
    <w:p w14:paraId="0586E2BC">
      <w:pPr>
        <w:widowControl/>
        <w:jc w:val="left"/>
        <w:rPr>
          <w:rFonts w:hint="eastAsia" w:ascii="宋体" w:hAnsi="宋体" w:eastAsia="宋体" w:cs="Times New Roman"/>
          <w:sz w:val="24"/>
        </w:rPr>
      </w:pPr>
      <w:r>
        <w:rPr>
          <w:rFonts w:ascii="宋体" w:hAnsi="宋体" w:eastAsia="宋体" w:cs="Times New Roman"/>
          <w:sz w:val="24"/>
        </w:rPr>
        <w:br w:type="page"/>
      </w:r>
    </w:p>
    <w:p w14:paraId="22B50850">
      <w:pPr>
        <w:spacing w:line="360" w:lineRule="auto"/>
        <w:jc w:val="center"/>
        <w:outlineLvl w:val="0"/>
        <w:rPr>
          <w:rFonts w:ascii="Times New Roman" w:hAnsi="Times New Roman" w:eastAsia="宋体" w:cs="Times New Roman"/>
          <w:b/>
          <w:sz w:val="44"/>
          <w:szCs w:val="44"/>
        </w:rPr>
      </w:pPr>
      <w:bookmarkStart w:id="2090" w:name="_Toc25298"/>
      <w:bookmarkStart w:id="2091" w:name="_Toc11951"/>
      <w:bookmarkStart w:id="2092" w:name="_Toc8425"/>
      <w:bookmarkStart w:id="2093" w:name="_Toc7286"/>
      <w:r>
        <w:rPr>
          <w:rFonts w:hint="eastAsia" w:ascii="Times New Roman" w:hAnsi="Times New Roman" w:eastAsia="宋体" w:cs="Times New Roman"/>
          <w:b/>
          <w:sz w:val="44"/>
          <w:szCs w:val="44"/>
        </w:rPr>
        <w:t>《教育实习II》课程教学大纲</w:t>
      </w:r>
      <w:bookmarkEnd w:id="2090"/>
      <w:bookmarkEnd w:id="2091"/>
      <w:bookmarkEnd w:id="2092"/>
      <w:bookmarkEnd w:id="2093"/>
    </w:p>
    <w:p w14:paraId="160C9984">
      <w:pPr>
        <w:spacing w:line="360" w:lineRule="auto"/>
        <w:jc w:val="center"/>
        <w:rPr>
          <w:rFonts w:ascii="Times New Roman" w:hAnsi="Times New Roman" w:eastAsia="宋体" w:cs="Times New Roman"/>
          <w:b/>
          <w:bCs/>
          <w:sz w:val="28"/>
          <w:szCs w:val="28"/>
        </w:rPr>
      </w:pPr>
      <w:bookmarkStart w:id="2094" w:name="_Toc25966"/>
      <w:bookmarkStart w:id="2095" w:name="_Toc9702"/>
      <w:bookmarkStart w:id="2096" w:name="_Toc21696"/>
      <w:bookmarkStart w:id="2097" w:name="_Toc14755"/>
      <w:bookmarkStart w:id="2098" w:name="_Toc19801"/>
      <w:bookmarkStart w:id="2099" w:name="_Toc15793"/>
      <w:bookmarkStart w:id="2100" w:name="_Toc23505"/>
      <w:r>
        <w:rPr>
          <w:rFonts w:hint="eastAsia" w:ascii="Times New Roman" w:hAnsi="Times New Roman" w:eastAsia="宋体" w:cs="Times New Roman"/>
          <w:b/>
          <w:bCs/>
          <w:sz w:val="28"/>
          <w:szCs w:val="28"/>
        </w:rPr>
        <w:t>（Educational Practice II）</w:t>
      </w:r>
      <w:bookmarkEnd w:id="2094"/>
      <w:bookmarkEnd w:id="2095"/>
      <w:bookmarkEnd w:id="2096"/>
      <w:bookmarkEnd w:id="2097"/>
      <w:bookmarkEnd w:id="2098"/>
      <w:bookmarkEnd w:id="2099"/>
      <w:bookmarkEnd w:id="2100"/>
    </w:p>
    <w:p w14:paraId="7C6A161F">
      <w:pPr>
        <w:spacing w:line="360" w:lineRule="auto"/>
        <w:ind w:firstLine="422" w:firstLineChars="200"/>
        <w:jc w:val="left"/>
        <w:rPr>
          <w:rFonts w:ascii="Times New Roman" w:hAnsi="Times New Roman" w:eastAsia="宋体" w:cs="Times New Roman"/>
          <w:b/>
          <w:szCs w:val="21"/>
        </w:rPr>
      </w:pPr>
    </w:p>
    <w:p w14:paraId="0CDF93C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课程名称：教育实习II</w:t>
      </w:r>
    </w:p>
    <w:p w14:paraId="7836191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课程代码：2401051</w:t>
      </w:r>
    </w:p>
    <w:p w14:paraId="4E6D0CE6">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分：2</w:t>
      </w:r>
    </w:p>
    <w:p w14:paraId="4894BE7A">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学    时：8周</w:t>
      </w:r>
    </w:p>
    <w:p w14:paraId="0D5C2FE1">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先修课程：小学心理学、教育原理、中国教育史、书写技能、普通话训练、课程与教学论、教育心理学、教育见习Ⅰ、教育见习Ⅱ、教育实习Ⅰ等。</w:t>
      </w:r>
    </w:p>
    <w:p w14:paraId="24A5913F">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适用专业：小学教育</w:t>
      </w:r>
    </w:p>
    <w:p w14:paraId="7EC1F4CD">
      <w:pPr>
        <w:spacing w:before="62" w:beforeLines="20" w:after="62" w:afterLines="20" w:line="360" w:lineRule="auto"/>
        <w:jc w:val="left"/>
        <w:rPr>
          <w:rFonts w:ascii="Times New Roman" w:hAnsi="Times New Roman" w:eastAsia="宋体" w:cs="Times New Roman"/>
          <w:b/>
          <w:sz w:val="24"/>
        </w:rPr>
      </w:pPr>
      <w:bookmarkStart w:id="2101" w:name="_Toc21829"/>
      <w:bookmarkStart w:id="2102" w:name="_Toc15268"/>
      <w:bookmarkStart w:id="2103" w:name="_Toc70"/>
      <w:bookmarkStart w:id="2104" w:name="_Toc23923"/>
      <w:bookmarkStart w:id="2105" w:name="_Toc8792"/>
      <w:bookmarkStart w:id="2106" w:name="_Toc23443"/>
      <w:bookmarkStart w:id="2107" w:name="_Toc10652"/>
      <w:r>
        <w:rPr>
          <w:rFonts w:hint="eastAsia" w:ascii="Times New Roman" w:hAnsi="Times New Roman" w:eastAsia="宋体" w:cs="Times New Roman"/>
          <w:b/>
          <w:sz w:val="24"/>
        </w:rPr>
        <w:t>一、课程简介</w:t>
      </w:r>
      <w:bookmarkEnd w:id="2101"/>
      <w:bookmarkEnd w:id="2102"/>
      <w:bookmarkEnd w:id="2103"/>
      <w:bookmarkEnd w:id="2104"/>
      <w:bookmarkEnd w:id="2105"/>
      <w:bookmarkEnd w:id="2106"/>
      <w:bookmarkEnd w:id="2107"/>
    </w:p>
    <w:p w14:paraId="71D95148">
      <w:pPr>
        <w:spacing w:before="156" w:beforeLines="50" w:line="360" w:lineRule="auto"/>
        <w:ind w:firstLine="420" w:firstLineChars="200"/>
        <w:rPr>
          <w:rFonts w:ascii="Times New Roman" w:hAnsi="Times New Roman" w:eastAsia="宋体" w:cs="Times New Roman"/>
          <w:kern w:val="0"/>
          <w:szCs w:val="21"/>
        </w:rPr>
      </w:pPr>
      <w:r>
        <w:rPr>
          <w:rFonts w:hint="eastAsia" w:ascii="Times New Roman" w:hAnsi="Times New Roman" w:eastAsia="宋体" w:cs="Times New Roman"/>
          <w:kern w:val="0"/>
          <w:szCs w:val="21"/>
        </w:rPr>
        <w:t>教育实习Ⅱ是小学教育专业重要的实践性环节。本课程的任务和目的是通过本次教育实习，学生能在活动中实现教学体验深刻化，教师角色的丰富化，专业与教育知识的情境化，教学基本技能的程序化，提升独立从事教学、班级管理及科研的能力，增强专业认同感，完成由师范生向一名准教师的转变。</w:t>
      </w:r>
    </w:p>
    <w:p w14:paraId="39103E41">
      <w:pPr>
        <w:spacing w:before="62" w:beforeLines="20" w:after="62" w:afterLines="20" w:line="360" w:lineRule="auto"/>
        <w:jc w:val="left"/>
        <w:rPr>
          <w:rFonts w:ascii="Times New Roman" w:hAnsi="Times New Roman" w:eastAsia="宋体" w:cs="Times New Roman"/>
          <w:b/>
          <w:sz w:val="24"/>
        </w:rPr>
      </w:pPr>
      <w:bookmarkStart w:id="2108" w:name="_Toc32006"/>
      <w:bookmarkStart w:id="2109" w:name="_Toc6567"/>
      <w:bookmarkStart w:id="2110" w:name="_Toc30745"/>
      <w:bookmarkStart w:id="2111" w:name="_Toc19948"/>
      <w:bookmarkStart w:id="2112" w:name="_Toc13389"/>
      <w:bookmarkStart w:id="2113" w:name="_Toc650"/>
      <w:bookmarkStart w:id="2114" w:name="_Toc17165"/>
      <w:r>
        <w:rPr>
          <w:rFonts w:hint="eastAsia" w:ascii="Times New Roman" w:hAnsi="Times New Roman" w:eastAsia="宋体" w:cs="Times New Roman"/>
          <w:b/>
          <w:sz w:val="24"/>
        </w:rPr>
        <w:t>二、课程目标</w:t>
      </w:r>
      <w:bookmarkEnd w:id="2108"/>
      <w:bookmarkEnd w:id="2109"/>
      <w:bookmarkEnd w:id="2110"/>
      <w:bookmarkEnd w:id="2111"/>
      <w:bookmarkEnd w:id="2112"/>
      <w:bookmarkEnd w:id="2113"/>
      <w:bookmarkEnd w:id="2114"/>
    </w:p>
    <w:p w14:paraId="3F310A45">
      <w:pPr>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（一）课程具体目标</w:t>
      </w:r>
    </w:p>
    <w:p w14:paraId="5763DDEB">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目标1. 通过参与式的实习，深刻了解小学生和小学教育工作，增强教育职业认同感，坚定献身小学教育事业的专业信念。</w:t>
      </w:r>
    </w:p>
    <w:p w14:paraId="2D456CF2">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目标2. 在实习指导老师的指导下，进一步发展教学设计、教学实施、教学评价及教学反思能力。</w:t>
      </w:r>
    </w:p>
    <w:p w14:paraId="5B713AF5">
      <w:pPr>
        <w:spacing w:line="360" w:lineRule="auto"/>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目标3. 通过参与班级管理活动，深入了解小学生班级管理的基本方法和规律，学会处理日常教育教学工作中的突发性事件，具备独立从事班级管理的实践能力和智慧，理解小学生德育途径，增强小学生心理健康教育意识。</w:t>
      </w:r>
    </w:p>
    <w:p w14:paraId="21EFA7F1">
      <w:pPr>
        <w:spacing w:line="360" w:lineRule="auto"/>
        <w:ind w:firstLine="420" w:firstLineChars="200"/>
        <w:rPr>
          <w:rFonts w:ascii="Times New Roman" w:hAnsi="Times New Roman" w:eastAsia="宋体" w:cs="Times New Roman"/>
          <w:b/>
          <w:bCs/>
          <w:szCs w:val="21"/>
        </w:rPr>
      </w:pPr>
      <w:r>
        <w:rPr>
          <w:rFonts w:hint="eastAsia" w:ascii="Times New Roman" w:hAnsi="Times New Roman" w:eastAsia="宋体" w:cs="Times New Roman"/>
          <w:szCs w:val="21"/>
        </w:rPr>
        <w:t>目标4.了解学校的文化建构、课程设置、教师日常工作的基本流程，认真观察并记录实习学校中有关的教育教学现象，并有针对性的结合相关理论进行反思，并习得与教师、学生、家长进行有效沟通技能和方法。</w:t>
      </w:r>
    </w:p>
    <w:p w14:paraId="020A815A">
      <w:pPr>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（二）课程目标与专业毕业要求的关系</w:t>
      </w:r>
    </w:p>
    <w:tbl>
      <w:tblPr>
        <w:tblStyle w:val="11"/>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6202"/>
        <w:gridCol w:w="1286"/>
      </w:tblGrid>
      <w:tr w14:paraId="09389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60" w:type="dxa"/>
            <w:vAlign w:val="center"/>
          </w:tcPr>
          <w:p w14:paraId="68110108">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毕业要求</w:t>
            </w:r>
          </w:p>
        </w:tc>
        <w:tc>
          <w:tcPr>
            <w:tcW w:w="6202" w:type="dxa"/>
            <w:vAlign w:val="center"/>
          </w:tcPr>
          <w:p w14:paraId="6F61779B">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286" w:type="dxa"/>
            <w:vAlign w:val="center"/>
          </w:tcPr>
          <w:p w14:paraId="09367524">
            <w:pPr>
              <w:adjustRightInd w:val="0"/>
              <w:snapToGrid w:val="0"/>
              <w:spacing w:line="276" w:lineRule="auto"/>
              <w:rPr>
                <w:rFonts w:hint="eastAsia" w:ascii="宋体" w:hAnsi="宋体" w:eastAsia="宋体" w:cs="宋体"/>
                <w:b/>
                <w:bCs/>
                <w:szCs w:val="21"/>
              </w:rPr>
            </w:pPr>
            <w:r>
              <w:rPr>
                <w:rFonts w:hint="eastAsia" w:ascii="宋体" w:hAnsi="宋体" w:eastAsia="宋体" w:cs="宋体"/>
                <w:b/>
                <w:bCs/>
                <w:szCs w:val="21"/>
              </w:rPr>
              <w:t>课程目标</w:t>
            </w:r>
          </w:p>
        </w:tc>
      </w:tr>
      <w:tr w14:paraId="25065D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60" w:type="dxa"/>
            <w:vAlign w:val="center"/>
          </w:tcPr>
          <w:p w14:paraId="5ABB3604">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毕业要求1</w:t>
            </w:r>
          </w:p>
          <w:p w14:paraId="5B1421ED">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师德规范</w:t>
            </w:r>
          </w:p>
        </w:tc>
        <w:tc>
          <w:tcPr>
            <w:tcW w:w="6202" w:type="dxa"/>
            <w:vAlign w:val="center"/>
          </w:tcPr>
          <w:p w14:paraId="2E665F36">
            <w:pPr>
              <w:adjustRightInd w:val="0"/>
              <w:snapToGrid w:val="0"/>
              <w:spacing w:line="276" w:lineRule="auto"/>
              <w:rPr>
                <w:rFonts w:hint="eastAsia" w:ascii="宋体" w:hAnsi="宋体" w:eastAsia="宋体" w:cs="宋体"/>
                <w:szCs w:val="21"/>
              </w:rPr>
            </w:pPr>
            <w:r>
              <w:rPr>
                <w:rFonts w:hint="eastAsia" w:ascii="宋体" w:hAnsi="宋体" w:eastAsia="宋体" w:cs="宋体"/>
                <w:b/>
                <w:kern w:val="0"/>
                <w:szCs w:val="21"/>
              </w:rPr>
              <w:t>指标点1-1</w:t>
            </w:r>
            <w:r>
              <w:rPr>
                <w:rFonts w:hint="eastAsia" w:ascii="宋体" w:hAnsi="宋体" w:eastAsia="宋体" w:cs="宋体"/>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p w14:paraId="285F537D">
            <w:pPr>
              <w:adjustRightInd w:val="0"/>
              <w:snapToGrid w:val="0"/>
              <w:spacing w:line="276" w:lineRule="auto"/>
              <w:rPr>
                <w:rFonts w:hint="eastAsia" w:ascii="宋体" w:hAnsi="宋体" w:eastAsia="宋体" w:cs="宋体"/>
                <w:szCs w:val="21"/>
              </w:rPr>
            </w:pPr>
            <w:r>
              <w:rPr>
                <w:rFonts w:hint="eastAsia" w:ascii="宋体" w:hAnsi="宋体" w:eastAsia="宋体" w:cs="宋体"/>
                <w:b/>
                <w:szCs w:val="21"/>
              </w:rPr>
              <w:t>指标点1-2</w:t>
            </w:r>
            <w:r>
              <w:rPr>
                <w:rFonts w:hint="eastAsia" w:ascii="宋体" w:hAnsi="宋体" w:eastAsia="宋体" w:cs="宋体"/>
                <w:szCs w:val="21"/>
              </w:rPr>
              <w:t>：【职业修养良好】以立德树人为己任，掌握立德树人的途径和方法，着眼于学生的全面发展，实施素质教育，培养学生的核心素养；理解教师职业道德规范内涵与要求，遵守《新时代中小学教师职业行为十项准则》，依法执教， 教育实践中能履行应尽义务，自觉维护学生和自身的合法权益。</w:t>
            </w:r>
          </w:p>
        </w:tc>
        <w:tc>
          <w:tcPr>
            <w:tcW w:w="1286" w:type="dxa"/>
            <w:vAlign w:val="center"/>
          </w:tcPr>
          <w:p w14:paraId="6C12B714">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课程目标1</w:t>
            </w:r>
          </w:p>
        </w:tc>
      </w:tr>
      <w:tr w14:paraId="1C0C5E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60" w:type="dxa"/>
            <w:vAlign w:val="center"/>
          </w:tcPr>
          <w:p w14:paraId="004B10BF">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毕业要求2</w:t>
            </w:r>
          </w:p>
          <w:p w14:paraId="5ACE2ABB">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教育情怀</w:t>
            </w:r>
          </w:p>
        </w:tc>
        <w:tc>
          <w:tcPr>
            <w:tcW w:w="6202" w:type="dxa"/>
            <w:vAlign w:val="center"/>
          </w:tcPr>
          <w:p w14:paraId="324A1C61">
            <w:pPr>
              <w:adjustRightInd w:val="0"/>
              <w:snapToGrid w:val="0"/>
              <w:spacing w:line="276" w:lineRule="auto"/>
              <w:rPr>
                <w:rFonts w:hint="eastAsia" w:ascii="宋体" w:hAnsi="宋体" w:eastAsia="宋体" w:cs="宋体"/>
                <w:szCs w:val="21"/>
              </w:rPr>
            </w:pPr>
            <w:r>
              <w:rPr>
                <w:rFonts w:hint="eastAsia" w:ascii="宋体" w:hAnsi="宋体" w:eastAsia="宋体" w:cs="宋体"/>
                <w:b/>
                <w:kern w:val="0"/>
                <w:szCs w:val="21"/>
              </w:rPr>
              <w:t>指标点2-2</w:t>
            </w:r>
            <w:r>
              <w:rPr>
                <w:rFonts w:hint="eastAsia" w:ascii="宋体" w:hAnsi="宋体" w:eastAsia="宋体" w:cs="宋体"/>
                <w:szCs w:val="21"/>
              </w:rPr>
              <w:t>：【仁爱之心深厚】关爱学生，用心从教。具有正确的儿童观，理解、尊重、关爱、保护学生，以儿童发展为教育的中心。爱岗敬业，在教育实践中能认真履行教育教学职责与班主任工作职责，富有爱心、责任心、工作细心、耐心，</w:t>
            </w:r>
            <w:r>
              <w:rPr>
                <w:rFonts w:hint="eastAsia" w:ascii="宋体" w:hAnsi="宋体" w:eastAsia="宋体" w:cs="宋体"/>
                <w:kern w:val="0"/>
                <w:szCs w:val="21"/>
                <w:lang w:bidi="ar"/>
              </w:rPr>
              <w:t>立志成为学生学习的促进者、道德品质和创新思维的培养者，奉献祖国的引路人。</w:t>
            </w:r>
          </w:p>
        </w:tc>
        <w:tc>
          <w:tcPr>
            <w:tcW w:w="1286" w:type="dxa"/>
            <w:vAlign w:val="center"/>
          </w:tcPr>
          <w:p w14:paraId="602F924C">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课程目标1</w:t>
            </w:r>
          </w:p>
        </w:tc>
      </w:tr>
      <w:tr w14:paraId="26988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60" w:type="dxa"/>
            <w:vAlign w:val="center"/>
          </w:tcPr>
          <w:p w14:paraId="218D70E1">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毕业要求3</w:t>
            </w:r>
          </w:p>
          <w:p w14:paraId="4A301FB6">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学科素养</w:t>
            </w:r>
          </w:p>
        </w:tc>
        <w:tc>
          <w:tcPr>
            <w:tcW w:w="6202" w:type="dxa"/>
            <w:vAlign w:val="center"/>
          </w:tcPr>
          <w:p w14:paraId="333D56E5">
            <w:pPr>
              <w:adjustRightInd w:val="0"/>
              <w:snapToGrid w:val="0"/>
              <w:spacing w:line="276" w:lineRule="auto"/>
              <w:rPr>
                <w:rFonts w:hint="eastAsia" w:ascii="宋体" w:hAnsi="宋体" w:eastAsia="宋体" w:cs="宋体"/>
                <w:kern w:val="0"/>
                <w:szCs w:val="21"/>
              </w:rPr>
            </w:pPr>
            <w:r>
              <w:rPr>
                <w:rFonts w:hint="eastAsia" w:ascii="宋体" w:hAnsi="宋体" w:eastAsia="宋体" w:cs="宋体"/>
                <w:b/>
                <w:kern w:val="0"/>
                <w:szCs w:val="21"/>
              </w:rPr>
              <w:t>指标点3-3</w:t>
            </w:r>
            <w:r>
              <w:rPr>
                <w:rFonts w:hint="eastAsia" w:ascii="宋体" w:hAnsi="宋体" w:eastAsia="宋体" w:cs="宋体"/>
                <w:szCs w:val="21"/>
              </w:rPr>
              <w:t>：【注重知识整合】了解所教学科与小学其他学科及与社会实践、小学生生活实践之间的联系，了解学科整合在小学教育中的价值，具有跨学科解决问题的意识和能力，能指导综合性学科教学活动。</w:t>
            </w:r>
          </w:p>
        </w:tc>
        <w:tc>
          <w:tcPr>
            <w:tcW w:w="1286" w:type="dxa"/>
            <w:vAlign w:val="center"/>
          </w:tcPr>
          <w:p w14:paraId="533B577F">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课程目标2</w:t>
            </w:r>
          </w:p>
        </w:tc>
      </w:tr>
      <w:tr w14:paraId="62EC8D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60" w:type="dxa"/>
            <w:vAlign w:val="center"/>
          </w:tcPr>
          <w:p w14:paraId="44A021BD">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毕业要求4</w:t>
            </w:r>
          </w:p>
          <w:p w14:paraId="4E3B394F">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教学能力</w:t>
            </w:r>
          </w:p>
        </w:tc>
        <w:tc>
          <w:tcPr>
            <w:tcW w:w="6202" w:type="dxa"/>
            <w:vAlign w:val="center"/>
          </w:tcPr>
          <w:p w14:paraId="511269E2">
            <w:pPr>
              <w:adjustRightInd w:val="0"/>
              <w:snapToGrid w:val="0"/>
              <w:spacing w:line="276" w:lineRule="auto"/>
              <w:rPr>
                <w:rFonts w:hint="eastAsia" w:ascii="宋体" w:hAnsi="宋体" w:eastAsia="宋体" w:cs="宋体"/>
                <w:kern w:val="0"/>
                <w:szCs w:val="21"/>
              </w:rPr>
            </w:pPr>
            <w:r>
              <w:rPr>
                <w:rFonts w:hint="eastAsia" w:ascii="宋体" w:hAnsi="宋体" w:eastAsia="宋体" w:cs="宋体"/>
                <w:b/>
                <w:kern w:val="0"/>
                <w:szCs w:val="21"/>
              </w:rPr>
              <w:t>指标点4-1</w:t>
            </w:r>
            <w:r>
              <w:rPr>
                <w:rFonts w:hint="eastAsia" w:ascii="宋体" w:hAnsi="宋体" w:eastAsia="宋体" w:cs="宋体"/>
                <w:kern w:val="0"/>
                <w:szCs w:val="21"/>
              </w:rPr>
              <w:t>：</w:t>
            </w:r>
            <w:r>
              <w:rPr>
                <w:rFonts w:hint="eastAsia" w:ascii="宋体" w:hAnsi="宋体" w:eastAsia="宋体" w:cs="宋体"/>
                <w:szCs w:val="21"/>
              </w:rPr>
              <w:t>【教育教学知识牢固】掌握教育教学基本理论知识，熟悉所教学科课程标准和教材、教学内容。掌握教师教育知识、学科教学知识和现代信息技术，具有主动适应信息化、人工智能等新技术变革积极有效开展教育教学的意识</w:t>
            </w:r>
            <w:r>
              <w:rPr>
                <w:rFonts w:hint="eastAsia" w:ascii="宋体" w:hAnsi="宋体" w:eastAsia="宋体" w:cs="宋体"/>
                <w:kern w:val="0"/>
                <w:szCs w:val="21"/>
              </w:rPr>
              <w:t>。</w:t>
            </w:r>
          </w:p>
          <w:p w14:paraId="4A74E94E">
            <w:pPr>
              <w:adjustRightInd w:val="0"/>
              <w:snapToGrid w:val="0"/>
              <w:spacing w:line="276" w:lineRule="auto"/>
              <w:rPr>
                <w:rFonts w:hint="eastAsia" w:ascii="宋体" w:hAnsi="宋体" w:eastAsia="宋体" w:cs="宋体"/>
                <w:szCs w:val="21"/>
              </w:rPr>
            </w:pPr>
            <w:r>
              <w:rPr>
                <w:rFonts w:hint="eastAsia" w:ascii="宋体" w:hAnsi="宋体" w:eastAsia="宋体" w:cs="宋体"/>
                <w:b/>
                <w:szCs w:val="21"/>
              </w:rPr>
              <w:t>指标点4-2</w:t>
            </w:r>
            <w:r>
              <w:rPr>
                <w:rFonts w:hint="eastAsia" w:ascii="宋体" w:hAnsi="宋体" w:eastAsia="宋体" w:cs="宋体"/>
                <w:szCs w:val="21"/>
              </w:rPr>
              <w:t>：【教学设计恰当】能针对小学生已有的知识水平、学习经验和兴趣特点，依据课标确定恰当的学习目标和学习重点，设计学习活动。能依据单元内容进行整体设计，科学合理地依据教学目标及内容设计作业。</w:t>
            </w:r>
          </w:p>
          <w:p w14:paraId="022725E3">
            <w:pPr>
              <w:adjustRightInd w:val="0"/>
              <w:snapToGrid w:val="0"/>
              <w:spacing w:line="276" w:lineRule="auto"/>
              <w:rPr>
                <w:rFonts w:hint="eastAsia" w:ascii="宋体" w:hAnsi="宋体" w:eastAsia="宋体" w:cs="宋体"/>
                <w:szCs w:val="21"/>
              </w:rPr>
            </w:pPr>
            <w:r>
              <w:rPr>
                <w:rFonts w:hint="eastAsia" w:ascii="宋体" w:hAnsi="宋体" w:eastAsia="宋体" w:cs="宋体"/>
                <w:b/>
                <w:szCs w:val="21"/>
              </w:rPr>
              <w:t>指标点4-3</w:t>
            </w:r>
            <w:r>
              <w:rPr>
                <w:rFonts w:hint="eastAsia" w:ascii="宋体" w:hAnsi="宋体" w:eastAsia="宋体" w:cs="宋体"/>
                <w:szCs w:val="21"/>
              </w:rPr>
              <w:t>：【教学实施与评价科学】掌握小学教师基本功技能，包括书写技能、沟通与表达技能、信息技术运用技能等。获得全面的小学教学体验，掌握学科教学的基本方法与策略，能独立进行教学实施和评价。</w:t>
            </w:r>
          </w:p>
          <w:p w14:paraId="32E5330F">
            <w:pPr>
              <w:adjustRightInd w:val="0"/>
              <w:snapToGrid w:val="0"/>
              <w:spacing w:line="276" w:lineRule="auto"/>
              <w:rPr>
                <w:rFonts w:hint="eastAsia" w:ascii="宋体" w:hAnsi="宋体" w:eastAsia="宋体" w:cs="宋体"/>
                <w:szCs w:val="21"/>
              </w:rPr>
            </w:pPr>
            <w:r>
              <w:rPr>
                <w:rFonts w:hint="eastAsia" w:ascii="宋体" w:hAnsi="宋体" w:eastAsia="宋体" w:cs="宋体"/>
                <w:b/>
                <w:kern w:val="0"/>
                <w:szCs w:val="21"/>
              </w:rPr>
              <w:t>指标点4-4</w:t>
            </w:r>
            <w:r>
              <w:rPr>
                <w:rFonts w:hint="eastAsia" w:ascii="宋体" w:hAnsi="宋体" w:eastAsia="宋体" w:cs="宋体"/>
                <w:szCs w:val="21"/>
              </w:rPr>
              <w:t>：【具备教学研究能力】掌握教育研究的基本方法，在教育教学实践中，结合小学教育教学实践进行研究，具有一定的教学研究能力。</w:t>
            </w:r>
          </w:p>
        </w:tc>
        <w:tc>
          <w:tcPr>
            <w:tcW w:w="1286" w:type="dxa"/>
            <w:vAlign w:val="center"/>
          </w:tcPr>
          <w:p w14:paraId="1DE485C5">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课程目标2</w:t>
            </w:r>
          </w:p>
        </w:tc>
      </w:tr>
      <w:tr w14:paraId="28605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60" w:type="dxa"/>
            <w:vAlign w:val="center"/>
          </w:tcPr>
          <w:p w14:paraId="27F713FB">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毕业要求5</w:t>
            </w:r>
          </w:p>
          <w:p w14:paraId="4CC641B3">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班级管理</w:t>
            </w:r>
          </w:p>
        </w:tc>
        <w:tc>
          <w:tcPr>
            <w:tcW w:w="6202" w:type="dxa"/>
            <w:vAlign w:val="center"/>
          </w:tcPr>
          <w:p w14:paraId="6CD34EBC">
            <w:pPr>
              <w:adjustRightInd w:val="0"/>
              <w:snapToGrid w:val="0"/>
              <w:spacing w:line="276" w:lineRule="auto"/>
              <w:rPr>
                <w:rFonts w:hint="eastAsia" w:ascii="宋体" w:hAnsi="宋体" w:eastAsia="宋体" w:cs="宋体"/>
                <w:kern w:val="0"/>
                <w:szCs w:val="21"/>
              </w:rPr>
            </w:pPr>
            <w:r>
              <w:rPr>
                <w:rFonts w:hint="eastAsia" w:ascii="宋体" w:hAnsi="宋体" w:eastAsia="宋体" w:cs="宋体"/>
                <w:b/>
                <w:kern w:val="0"/>
                <w:szCs w:val="21"/>
              </w:rPr>
              <w:t>指标点5-1</w:t>
            </w:r>
            <w:r>
              <w:rPr>
                <w:rFonts w:hint="eastAsia" w:ascii="宋体" w:hAnsi="宋体" w:eastAsia="宋体" w:cs="宋体"/>
                <w:kern w:val="0"/>
                <w:szCs w:val="21"/>
              </w:rPr>
              <w:t>：【擅长班队管理】具有小学德育工作体验，树立德育为先的理念，熟悉小学德育的基本原理与方法。获得小学班队组织与建设的体验。掌握小学班队组织与建设的工作规律和基本方法，具有班队建设和管理的基本能力。</w:t>
            </w:r>
          </w:p>
          <w:p w14:paraId="018072EB">
            <w:pPr>
              <w:adjustRightInd w:val="0"/>
              <w:snapToGrid w:val="0"/>
              <w:spacing w:line="276" w:lineRule="auto"/>
              <w:rPr>
                <w:rFonts w:hint="eastAsia" w:ascii="宋体" w:hAnsi="宋体" w:eastAsia="宋体" w:cs="宋体"/>
                <w:kern w:val="0"/>
                <w:szCs w:val="21"/>
              </w:rPr>
            </w:pPr>
            <w:r>
              <w:rPr>
                <w:rFonts w:hint="eastAsia" w:ascii="宋体" w:hAnsi="宋体" w:eastAsia="宋体" w:cs="宋体"/>
                <w:b/>
                <w:kern w:val="0"/>
                <w:szCs w:val="21"/>
              </w:rPr>
              <w:t>指标点5-2</w:t>
            </w:r>
            <w:r>
              <w:rPr>
                <w:rFonts w:hint="eastAsia" w:ascii="宋体" w:hAnsi="宋体" w:eastAsia="宋体" w:cs="宋体"/>
                <w:szCs w:val="21"/>
              </w:rPr>
              <w:t>：【重视身心健康教育】了解小学生身体、情感发展的特性和差异性，包括小学生日常卫生保健、传染病预防、意外伤害事故处理等相关知识，掌握面临特殊事件发生时保护学生的基本方法。获得小学心理健康教育指导体验，在教育教学实践中，参与组织与指导对小学生心理健康教育的科普宣传及心理辅导，掌握小学心理健康教育的基本方法。</w:t>
            </w:r>
          </w:p>
        </w:tc>
        <w:tc>
          <w:tcPr>
            <w:tcW w:w="1286" w:type="dxa"/>
            <w:vAlign w:val="center"/>
          </w:tcPr>
          <w:p w14:paraId="37C55526">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课程目标3</w:t>
            </w:r>
          </w:p>
        </w:tc>
      </w:tr>
      <w:tr w14:paraId="1C067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60" w:type="dxa"/>
            <w:vAlign w:val="center"/>
          </w:tcPr>
          <w:p w14:paraId="13691348">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毕业要求6</w:t>
            </w:r>
          </w:p>
          <w:p w14:paraId="411578DD">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综合育人</w:t>
            </w:r>
          </w:p>
        </w:tc>
        <w:tc>
          <w:tcPr>
            <w:tcW w:w="6202" w:type="dxa"/>
            <w:vAlign w:val="center"/>
          </w:tcPr>
          <w:p w14:paraId="6FCA899A">
            <w:pPr>
              <w:adjustRightInd w:val="0"/>
              <w:snapToGrid w:val="0"/>
              <w:spacing w:line="276" w:lineRule="auto"/>
              <w:rPr>
                <w:rFonts w:hint="eastAsia" w:ascii="宋体" w:hAnsi="宋体" w:eastAsia="宋体" w:cs="宋体"/>
                <w:kern w:val="0"/>
                <w:szCs w:val="21"/>
              </w:rPr>
            </w:pPr>
            <w:r>
              <w:rPr>
                <w:rFonts w:hint="eastAsia" w:ascii="宋体" w:hAnsi="宋体" w:eastAsia="宋体" w:cs="宋体"/>
                <w:b/>
                <w:kern w:val="0"/>
                <w:szCs w:val="21"/>
              </w:rPr>
              <w:t>指标点6-1</w:t>
            </w:r>
            <w:r>
              <w:rPr>
                <w:rFonts w:hint="eastAsia" w:ascii="宋体" w:hAnsi="宋体" w:eastAsia="宋体" w:cs="宋体"/>
                <w:kern w:val="0"/>
                <w:szCs w:val="21"/>
              </w:rPr>
              <w:t>：【遵循身心规律】了解不同年龄以及有特殊需要的小学生的身心发展特点和规律、不同年龄小学生学习的特点，掌握小学生良好行为习惯养成的知识。</w:t>
            </w:r>
          </w:p>
          <w:p w14:paraId="480DD88C">
            <w:pPr>
              <w:adjustRightInd w:val="0"/>
              <w:snapToGrid w:val="0"/>
              <w:spacing w:line="276" w:lineRule="auto"/>
              <w:rPr>
                <w:rFonts w:hint="eastAsia" w:ascii="宋体" w:hAnsi="宋体" w:eastAsia="宋体" w:cs="宋体"/>
                <w:bCs/>
                <w:kern w:val="0"/>
                <w:szCs w:val="21"/>
              </w:rPr>
            </w:pPr>
            <w:r>
              <w:rPr>
                <w:rFonts w:hint="eastAsia" w:ascii="宋体" w:hAnsi="宋体" w:eastAsia="宋体" w:cs="宋体"/>
                <w:b/>
                <w:kern w:val="0"/>
                <w:szCs w:val="21"/>
              </w:rPr>
              <w:t>指标点6-2</w:t>
            </w:r>
            <w:r>
              <w:rPr>
                <w:rFonts w:hint="eastAsia" w:ascii="宋体" w:hAnsi="宋体" w:eastAsia="宋体" w:cs="宋体"/>
                <w:kern w:val="0"/>
                <w:szCs w:val="21"/>
              </w:rPr>
              <w:t>：【胜任学科育人】具有教书育人的意识，理解学科核心素养和拟任教学科课程独特的育人功能，在教育教学实践中，能够</w:t>
            </w:r>
            <w:r>
              <w:rPr>
                <w:rFonts w:hint="eastAsia" w:ascii="宋体" w:hAnsi="宋体" w:eastAsia="宋体" w:cs="宋体"/>
                <w:bCs/>
                <w:kern w:val="0"/>
                <w:szCs w:val="21"/>
              </w:rPr>
              <w:t>结合课程内容与特点，挖掘课程的育人要素与资源，合理设计育人目标、主题、内容和活动，将知识学习、能力发展与品德养成有机结合。</w:t>
            </w:r>
          </w:p>
          <w:p w14:paraId="56395996">
            <w:pPr>
              <w:adjustRightInd w:val="0"/>
              <w:snapToGrid w:val="0"/>
              <w:spacing w:line="276" w:lineRule="auto"/>
              <w:rPr>
                <w:rFonts w:hint="eastAsia" w:ascii="宋体" w:hAnsi="宋体" w:eastAsia="宋体" w:cs="宋体"/>
                <w:kern w:val="0"/>
                <w:szCs w:val="21"/>
              </w:rPr>
            </w:pPr>
            <w:r>
              <w:rPr>
                <w:rFonts w:hint="eastAsia" w:ascii="宋体" w:hAnsi="宋体" w:eastAsia="宋体" w:cs="宋体"/>
                <w:b/>
                <w:kern w:val="0"/>
                <w:szCs w:val="21"/>
              </w:rPr>
              <w:t>指标点6-3</w:t>
            </w:r>
            <w:r>
              <w:rPr>
                <w:rFonts w:hint="eastAsia" w:ascii="宋体" w:hAnsi="宋体" w:eastAsia="宋体" w:cs="宋体"/>
                <w:kern w:val="0"/>
                <w:szCs w:val="21"/>
              </w:rPr>
              <w:t>：【善于文化与活动育人】了解课外活动组织和管理知识，掌握学校文化和各类课外教育活动的育人内涵和方法，在教育教学实践中，参与组织主题教育、少先队活动和社团活动，促进小学生全面、健康发展。</w:t>
            </w:r>
          </w:p>
        </w:tc>
        <w:tc>
          <w:tcPr>
            <w:tcW w:w="1286" w:type="dxa"/>
            <w:vAlign w:val="center"/>
          </w:tcPr>
          <w:p w14:paraId="712EAA74">
            <w:pPr>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课程目标2</w:t>
            </w:r>
          </w:p>
          <w:p w14:paraId="264E119D">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kern w:val="0"/>
                <w:szCs w:val="21"/>
              </w:rPr>
              <w:t>课程目标3</w:t>
            </w:r>
          </w:p>
        </w:tc>
      </w:tr>
      <w:tr w14:paraId="4561C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460" w:type="dxa"/>
            <w:vAlign w:val="center"/>
          </w:tcPr>
          <w:p w14:paraId="3EEB852C">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毕业要求7</w:t>
            </w:r>
          </w:p>
          <w:p w14:paraId="6C60C884">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学会反思</w:t>
            </w:r>
          </w:p>
        </w:tc>
        <w:tc>
          <w:tcPr>
            <w:tcW w:w="6202" w:type="dxa"/>
            <w:vAlign w:val="center"/>
          </w:tcPr>
          <w:p w14:paraId="57F9607F">
            <w:pPr>
              <w:adjustRightInd w:val="0"/>
              <w:snapToGrid w:val="0"/>
              <w:spacing w:line="276" w:lineRule="auto"/>
              <w:rPr>
                <w:rFonts w:hint="eastAsia" w:ascii="宋体" w:hAnsi="宋体" w:eastAsia="宋体" w:cs="宋体"/>
                <w:kern w:val="0"/>
                <w:szCs w:val="21"/>
              </w:rPr>
            </w:pPr>
            <w:r>
              <w:rPr>
                <w:rFonts w:hint="eastAsia" w:ascii="宋体" w:hAnsi="宋体" w:eastAsia="宋体" w:cs="宋体"/>
                <w:b/>
                <w:kern w:val="0"/>
                <w:szCs w:val="21"/>
              </w:rPr>
              <w:t>指标点7-3</w:t>
            </w:r>
            <w:r>
              <w:rPr>
                <w:rFonts w:hint="eastAsia" w:ascii="宋体" w:hAnsi="宋体" w:eastAsia="宋体" w:cs="宋体"/>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286" w:type="dxa"/>
            <w:vAlign w:val="center"/>
          </w:tcPr>
          <w:p w14:paraId="14F7BB63">
            <w:pPr>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课程目标2</w:t>
            </w:r>
          </w:p>
          <w:p w14:paraId="7EDC70DF">
            <w:pPr>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课程目标3</w:t>
            </w:r>
          </w:p>
          <w:p w14:paraId="69E305C8">
            <w:pPr>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课程目标4</w:t>
            </w:r>
          </w:p>
        </w:tc>
      </w:tr>
      <w:tr w14:paraId="2908F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60" w:type="dxa"/>
            <w:vAlign w:val="center"/>
          </w:tcPr>
          <w:p w14:paraId="529E1933">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毕业要求8</w:t>
            </w:r>
          </w:p>
          <w:p w14:paraId="16398B94">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沟通能力</w:t>
            </w:r>
          </w:p>
        </w:tc>
        <w:tc>
          <w:tcPr>
            <w:tcW w:w="6202" w:type="dxa"/>
            <w:vAlign w:val="center"/>
          </w:tcPr>
          <w:p w14:paraId="38AC5C45">
            <w:pPr>
              <w:adjustRightInd w:val="0"/>
              <w:snapToGrid w:val="0"/>
              <w:spacing w:line="276" w:lineRule="auto"/>
              <w:rPr>
                <w:rFonts w:hint="eastAsia" w:ascii="宋体" w:hAnsi="宋体" w:eastAsia="宋体" w:cs="宋体"/>
                <w:szCs w:val="21"/>
              </w:rPr>
            </w:pPr>
            <w:r>
              <w:rPr>
                <w:rFonts w:hint="eastAsia" w:ascii="宋体" w:hAnsi="宋体" w:eastAsia="宋体" w:cs="宋体"/>
                <w:b/>
                <w:szCs w:val="21"/>
              </w:rPr>
              <w:t>指标点8-1</w:t>
            </w:r>
            <w:r>
              <w:rPr>
                <w:rFonts w:hint="eastAsia" w:ascii="宋体" w:hAnsi="宋体" w:eastAsia="宋体" w:cs="宋体"/>
                <w:szCs w:val="21"/>
              </w:rPr>
              <w:t>：【善于团队合作】理解学习共同体的本质和价值，掌握团队协作的基本策略，在课堂学习与教育实践中获得合作学习体验，形成团队协作精神。</w:t>
            </w:r>
          </w:p>
          <w:p w14:paraId="475CA30D">
            <w:pPr>
              <w:adjustRightInd w:val="0"/>
              <w:snapToGrid w:val="0"/>
              <w:spacing w:line="276" w:lineRule="auto"/>
              <w:rPr>
                <w:rFonts w:hint="eastAsia" w:ascii="宋体" w:hAnsi="宋体" w:eastAsia="宋体" w:cs="宋体"/>
                <w:spacing w:val="2"/>
                <w:kern w:val="0"/>
                <w:szCs w:val="21"/>
              </w:rPr>
            </w:pPr>
            <w:r>
              <w:rPr>
                <w:rFonts w:hint="eastAsia" w:ascii="宋体" w:hAnsi="宋体" w:eastAsia="宋体" w:cs="宋体"/>
                <w:b/>
                <w:kern w:val="0"/>
                <w:szCs w:val="21"/>
              </w:rPr>
              <w:t>指标点8-2</w:t>
            </w:r>
            <w:r>
              <w:rPr>
                <w:rFonts w:hint="eastAsia" w:ascii="宋体" w:hAnsi="宋体" w:eastAsia="宋体" w:cs="宋体"/>
                <w:szCs w:val="21"/>
              </w:rPr>
              <w:t>：【学会沟通交流】掌握人际沟通合作技能与方法，在教育教学实践中，能与学生和家长以及同行、同事、专家进行有效沟通与合作，实现共同发展。</w:t>
            </w:r>
          </w:p>
        </w:tc>
        <w:tc>
          <w:tcPr>
            <w:tcW w:w="1286" w:type="dxa"/>
            <w:vAlign w:val="center"/>
          </w:tcPr>
          <w:p w14:paraId="47E7F759">
            <w:pPr>
              <w:adjustRightInd w:val="0"/>
              <w:snapToGrid w:val="0"/>
              <w:spacing w:line="276" w:lineRule="auto"/>
              <w:jc w:val="left"/>
              <w:rPr>
                <w:rFonts w:hint="eastAsia" w:ascii="宋体" w:hAnsi="宋体" w:eastAsia="宋体" w:cs="宋体"/>
                <w:szCs w:val="21"/>
              </w:rPr>
            </w:pPr>
            <w:r>
              <w:rPr>
                <w:rFonts w:hint="eastAsia" w:ascii="宋体" w:hAnsi="宋体" w:eastAsia="宋体" w:cs="宋体"/>
                <w:szCs w:val="21"/>
              </w:rPr>
              <w:t>课程目标4</w:t>
            </w:r>
          </w:p>
        </w:tc>
      </w:tr>
    </w:tbl>
    <w:p w14:paraId="573B3CC2">
      <w:pPr>
        <w:spacing w:line="360" w:lineRule="auto"/>
        <w:ind w:firstLine="422" w:firstLineChars="200"/>
        <w:rPr>
          <w:rFonts w:ascii="Times New Roman" w:hAnsi="Times New Roman" w:eastAsia="宋体" w:cs="Times New Roman"/>
          <w:b/>
          <w:bCs/>
          <w:szCs w:val="21"/>
        </w:rPr>
      </w:pPr>
      <w:r>
        <w:rPr>
          <w:rFonts w:hint="eastAsia" w:ascii="Times New Roman" w:hAnsi="Times New Roman" w:eastAsia="宋体" w:cs="Times New Roman"/>
          <w:b/>
          <w:bCs/>
          <w:szCs w:val="21"/>
        </w:rPr>
        <w:t>（三）课程思政目标</w:t>
      </w:r>
    </w:p>
    <w:p w14:paraId="1696BC5D">
      <w:pPr>
        <w:spacing w:line="360" w:lineRule="auto"/>
        <w:rPr>
          <w:rFonts w:ascii="Times New Roman" w:hAnsi="Times New Roman" w:eastAsia="宋体" w:cs="Times New Roman"/>
          <w:szCs w:val="21"/>
        </w:rPr>
      </w:pPr>
      <w:r>
        <w:rPr>
          <w:rFonts w:hint="eastAsia" w:ascii="Times New Roman" w:hAnsi="Times New Roman" w:eastAsia="宋体" w:cs="Times New Roman"/>
          <w:sz w:val="24"/>
        </w:rPr>
        <w:t xml:space="preserve">     </w:t>
      </w:r>
      <w:r>
        <w:rPr>
          <w:rFonts w:hint="eastAsia" w:ascii="Times New Roman" w:hAnsi="Times New Roman" w:eastAsia="宋体" w:cs="Times New Roman"/>
          <w:szCs w:val="21"/>
        </w:rPr>
        <w:t>自觉践行社会主义核心价值观，进一步领会立德树人根本任务，增强学科育人、文化育人、活动育人意识；通过参与式的实习，深刻了解小学生和小学教育工作，增强教育职业认同感，坚定献身小学教育事业的专业信念。</w:t>
      </w:r>
    </w:p>
    <w:p w14:paraId="2FC5061E">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三、教学内容与预期学习成效</w:t>
      </w:r>
    </w:p>
    <w:tbl>
      <w:tblPr>
        <w:tblStyle w:val="12"/>
        <w:tblpPr w:leftFromText="181" w:rightFromText="181" w:vertAnchor="text" w:horzAnchor="page" w:tblpX="1424" w:tblpY="1"/>
        <w:tblOverlap w:val="never"/>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2211"/>
        <w:gridCol w:w="1342"/>
        <w:gridCol w:w="2948"/>
        <w:gridCol w:w="1530"/>
        <w:gridCol w:w="531"/>
      </w:tblGrid>
      <w:tr w14:paraId="078F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Align w:val="center"/>
          </w:tcPr>
          <w:p w14:paraId="34886791">
            <w:pPr>
              <w:jc w:val="center"/>
              <w:rPr>
                <w:rFonts w:hint="eastAsia" w:ascii="宋体" w:hAnsi="宋体" w:eastAsia="宋体" w:cs="Times New Roman"/>
                <w:b/>
                <w:szCs w:val="21"/>
              </w:rPr>
            </w:pPr>
            <w:r>
              <w:rPr>
                <w:rFonts w:hint="eastAsia" w:ascii="宋体" w:hAnsi="宋体" w:eastAsia="宋体" w:cs="Times New Roman"/>
                <w:b/>
                <w:szCs w:val="21"/>
              </w:rPr>
              <w:t>知识</w:t>
            </w:r>
          </w:p>
          <w:p w14:paraId="6FFA0821">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2211" w:type="dxa"/>
            <w:vAlign w:val="center"/>
          </w:tcPr>
          <w:p w14:paraId="6616CDC0">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342" w:type="dxa"/>
            <w:vAlign w:val="center"/>
          </w:tcPr>
          <w:p w14:paraId="13E03105">
            <w:pPr>
              <w:jc w:val="center"/>
              <w:rPr>
                <w:rFonts w:hint="eastAsia" w:ascii="宋体" w:hAnsi="宋体" w:eastAsia="宋体" w:cs="Times New Roman"/>
                <w:b/>
                <w:szCs w:val="21"/>
              </w:rPr>
            </w:pPr>
            <w:r>
              <w:rPr>
                <w:rFonts w:hint="eastAsia" w:ascii="宋体" w:hAnsi="宋体" w:eastAsia="宋体" w:cs="Times New Roman"/>
                <w:b/>
                <w:szCs w:val="21"/>
              </w:rPr>
              <w:t>对应</w:t>
            </w:r>
          </w:p>
          <w:p w14:paraId="1AC5405F">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2948" w:type="dxa"/>
            <w:vAlign w:val="center"/>
          </w:tcPr>
          <w:p w14:paraId="1C432ECB">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30" w:type="dxa"/>
            <w:vAlign w:val="center"/>
          </w:tcPr>
          <w:p w14:paraId="5866D0A6">
            <w:pPr>
              <w:jc w:val="center"/>
              <w:rPr>
                <w:rFonts w:hint="eastAsia" w:ascii="宋体" w:hAnsi="宋体" w:eastAsia="宋体" w:cs="Times New Roman"/>
                <w:b/>
                <w:szCs w:val="21"/>
              </w:rPr>
            </w:pPr>
            <w:r>
              <w:rPr>
                <w:rFonts w:hint="eastAsia" w:ascii="宋体" w:hAnsi="宋体" w:eastAsia="宋体" w:cs="Times New Roman"/>
                <w:b/>
                <w:szCs w:val="21"/>
              </w:rPr>
              <w:t>实现</w:t>
            </w:r>
          </w:p>
          <w:p w14:paraId="7B5F6544">
            <w:pPr>
              <w:jc w:val="center"/>
              <w:rPr>
                <w:rFonts w:hint="eastAsia" w:ascii="宋体" w:hAnsi="宋体" w:eastAsia="宋体" w:cs="Times New Roman"/>
                <w:b/>
                <w:szCs w:val="21"/>
              </w:rPr>
            </w:pPr>
            <w:r>
              <w:rPr>
                <w:rFonts w:hint="eastAsia" w:ascii="宋体" w:hAnsi="宋体" w:eastAsia="宋体" w:cs="Times New Roman"/>
                <w:b/>
                <w:szCs w:val="21"/>
              </w:rPr>
              <w:t>环节</w:t>
            </w:r>
          </w:p>
        </w:tc>
        <w:tc>
          <w:tcPr>
            <w:tcW w:w="531" w:type="dxa"/>
            <w:vAlign w:val="center"/>
          </w:tcPr>
          <w:p w14:paraId="15BCD04D">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124D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14:paraId="335EFFBA">
            <w:pPr>
              <w:adjustRightInd w:val="0"/>
              <w:snapToGrid w:val="0"/>
              <w:spacing w:line="312" w:lineRule="auto"/>
              <w:jc w:val="center"/>
              <w:rPr>
                <w:rFonts w:hint="eastAsia" w:ascii="宋体" w:hAnsi="宋体" w:eastAsia="宋体" w:cs="Times New Roman"/>
                <w:szCs w:val="21"/>
              </w:rPr>
            </w:pPr>
            <w:r>
              <w:rPr>
                <w:rFonts w:hint="eastAsia" w:ascii="宋体" w:hAnsi="宋体" w:eastAsia="宋体" w:cs="Times New Roman"/>
                <w:szCs w:val="21"/>
              </w:rPr>
              <w:t>1.课堂教学实习</w:t>
            </w:r>
          </w:p>
        </w:tc>
        <w:tc>
          <w:tcPr>
            <w:tcW w:w="2211" w:type="dxa"/>
            <w:vAlign w:val="center"/>
          </w:tcPr>
          <w:p w14:paraId="5E85457B">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备课与教学设计；</w:t>
            </w:r>
          </w:p>
          <w:p w14:paraId="39C76164">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（2）</w:t>
            </w:r>
            <w:r>
              <w:rPr>
                <w:rFonts w:ascii="宋体" w:hAnsi="宋体" w:eastAsia="宋体" w:cs="Times New Roman"/>
                <w:szCs w:val="21"/>
              </w:rPr>
              <w:t>说课；</w:t>
            </w:r>
          </w:p>
          <w:p w14:paraId="30F00DC6">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试讲与磨课；</w:t>
            </w:r>
          </w:p>
          <w:p w14:paraId="044D339C">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（4）</w:t>
            </w:r>
            <w:r>
              <w:rPr>
                <w:rFonts w:ascii="宋体" w:hAnsi="宋体" w:eastAsia="宋体" w:cs="Times New Roman"/>
                <w:szCs w:val="21"/>
              </w:rPr>
              <w:t>上课；</w:t>
            </w:r>
          </w:p>
          <w:p w14:paraId="20C19083">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教育教学评价；</w:t>
            </w:r>
          </w:p>
          <w:p w14:paraId="3CD1A4D7">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（6）</w:t>
            </w:r>
            <w:r>
              <w:rPr>
                <w:rFonts w:ascii="宋体" w:hAnsi="宋体" w:eastAsia="宋体" w:cs="Times New Roman"/>
                <w:szCs w:val="21"/>
              </w:rPr>
              <w:t>参加教研活动。</w:t>
            </w:r>
          </w:p>
        </w:tc>
        <w:tc>
          <w:tcPr>
            <w:tcW w:w="1342" w:type="dxa"/>
            <w:vAlign w:val="center"/>
          </w:tcPr>
          <w:p w14:paraId="51ADAF3C">
            <w:pPr>
              <w:adjustRightInd w:val="0"/>
              <w:snapToGrid w:val="0"/>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课程目标1、2、4</w:t>
            </w:r>
          </w:p>
        </w:tc>
        <w:tc>
          <w:tcPr>
            <w:tcW w:w="2948" w:type="dxa"/>
            <w:vAlign w:val="center"/>
          </w:tcPr>
          <w:p w14:paraId="0F28768E">
            <w:pPr>
              <w:adjustRightInd w:val="0"/>
              <w:snapToGrid w:val="0"/>
              <w:spacing w:line="312" w:lineRule="auto"/>
              <w:jc w:val="left"/>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每个实习生按照实习计划认真备课，独立编写教案，在上课前三天将教案递交指导师审阅，并通过反复试教再正式上课。要求保质保量地完成教学任务；</w:t>
            </w:r>
          </w:p>
          <w:p w14:paraId="1E58CC54">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2.听课不少于40节，并做好听课记录、评课记录、反思等相关材料，提交课堂实录20节；</w:t>
            </w:r>
          </w:p>
          <w:p w14:paraId="4FA36278">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3.说课稿4份；教育教学评价（试卷）1份；</w:t>
            </w:r>
          </w:p>
          <w:p w14:paraId="4A057906">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4.参与或组织评课活动，交教研活动记录1篇。</w:t>
            </w:r>
          </w:p>
        </w:tc>
        <w:tc>
          <w:tcPr>
            <w:tcW w:w="1530" w:type="dxa"/>
            <w:vAlign w:val="center"/>
          </w:tcPr>
          <w:p w14:paraId="4F00B671">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1.编写教案</w:t>
            </w:r>
          </w:p>
          <w:p w14:paraId="6963F007">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2.说课上课</w:t>
            </w:r>
          </w:p>
          <w:p w14:paraId="39FC3AB9">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3.听课</w:t>
            </w:r>
          </w:p>
          <w:p w14:paraId="1C65A08E">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4.评课</w:t>
            </w:r>
          </w:p>
          <w:p w14:paraId="01CD16CB">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5.教学反思</w:t>
            </w:r>
          </w:p>
          <w:p w14:paraId="33F02DDB">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6.评阅作业试卷</w:t>
            </w:r>
          </w:p>
          <w:p w14:paraId="201C08AC">
            <w:pPr>
              <w:adjustRightInd w:val="0"/>
              <w:snapToGrid w:val="0"/>
              <w:spacing w:line="312" w:lineRule="auto"/>
              <w:jc w:val="left"/>
              <w:rPr>
                <w:rFonts w:hint="eastAsia" w:ascii="宋体" w:hAnsi="宋体" w:eastAsia="宋体" w:cs="Times New Roman"/>
                <w:szCs w:val="21"/>
              </w:rPr>
            </w:pPr>
          </w:p>
        </w:tc>
        <w:tc>
          <w:tcPr>
            <w:tcW w:w="531" w:type="dxa"/>
            <w:vAlign w:val="center"/>
          </w:tcPr>
          <w:p w14:paraId="6E857E5B">
            <w:pPr>
              <w:adjustRightInd w:val="0"/>
              <w:snapToGrid w:val="0"/>
              <w:spacing w:line="312" w:lineRule="auto"/>
              <w:jc w:val="center"/>
              <w:rPr>
                <w:rFonts w:hint="eastAsia" w:ascii="宋体" w:hAnsi="宋体" w:eastAsia="宋体" w:cs="Times New Roman"/>
                <w:szCs w:val="21"/>
              </w:rPr>
            </w:pPr>
            <w:r>
              <w:rPr>
                <w:rFonts w:hint="eastAsia" w:ascii="宋体" w:hAnsi="宋体" w:eastAsia="宋体" w:cs="Times New Roman"/>
                <w:szCs w:val="21"/>
              </w:rPr>
              <w:t>160</w:t>
            </w:r>
          </w:p>
        </w:tc>
      </w:tr>
      <w:tr w14:paraId="0DC8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14:paraId="3CA9D9A9">
            <w:pPr>
              <w:adjustRightInd w:val="0"/>
              <w:snapToGrid w:val="0"/>
              <w:spacing w:line="312" w:lineRule="auto"/>
              <w:jc w:val="center"/>
              <w:rPr>
                <w:rFonts w:hint="eastAsia" w:ascii="宋体" w:hAnsi="宋体" w:eastAsia="宋体" w:cs="Times New Roman"/>
                <w:szCs w:val="21"/>
              </w:rPr>
            </w:pPr>
          </w:p>
        </w:tc>
        <w:tc>
          <w:tcPr>
            <w:tcW w:w="8562" w:type="dxa"/>
            <w:gridSpan w:val="5"/>
            <w:vAlign w:val="center"/>
          </w:tcPr>
          <w:p w14:paraId="5B0FF21F">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自觉践行社会主义核心价值观，进一步领会立德树人根本任务，增强学科育人的意识；在实践中增进对儿童的认识，体验和感受教师职业的光荣感和责任感，坚定献身小学教育事业的专业信念。</w:t>
            </w:r>
          </w:p>
        </w:tc>
      </w:tr>
      <w:tr w14:paraId="6B0A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14:paraId="60ADAB7D">
            <w:pPr>
              <w:adjustRightInd w:val="0"/>
              <w:snapToGrid w:val="0"/>
              <w:spacing w:line="312" w:lineRule="auto"/>
              <w:jc w:val="center"/>
              <w:rPr>
                <w:rFonts w:hint="eastAsia" w:ascii="宋体" w:hAnsi="宋体" w:eastAsia="宋体" w:cs="Times New Roman"/>
                <w:szCs w:val="21"/>
              </w:rPr>
            </w:pPr>
            <w:r>
              <w:rPr>
                <w:rFonts w:hint="eastAsia" w:ascii="宋体" w:hAnsi="宋体" w:eastAsia="宋体" w:cs="Times New Roman"/>
                <w:szCs w:val="21"/>
              </w:rPr>
              <w:t>2.班队工作实习</w:t>
            </w:r>
          </w:p>
        </w:tc>
        <w:tc>
          <w:tcPr>
            <w:tcW w:w="2211" w:type="dxa"/>
            <w:vAlign w:val="center"/>
          </w:tcPr>
          <w:p w14:paraId="0198CB2E">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（1）拟订班队方案；</w:t>
            </w:r>
          </w:p>
          <w:p w14:paraId="5DB76559">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 xml:space="preserve">（2）召开主题班会； </w:t>
            </w:r>
          </w:p>
          <w:p w14:paraId="5FB7E5AB">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（3）开展班队活动；</w:t>
            </w:r>
          </w:p>
          <w:p w14:paraId="2CF2AA5D">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（4）组织课外活动；</w:t>
            </w:r>
          </w:p>
          <w:p w14:paraId="747E7212">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（5）掌握个别谈话技能；</w:t>
            </w:r>
          </w:p>
          <w:p w14:paraId="31EB16E6">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（6）学会家校合作。</w:t>
            </w:r>
          </w:p>
        </w:tc>
        <w:tc>
          <w:tcPr>
            <w:tcW w:w="1342" w:type="dxa"/>
            <w:vAlign w:val="center"/>
          </w:tcPr>
          <w:p w14:paraId="22DA40DC">
            <w:pPr>
              <w:adjustRightInd w:val="0"/>
              <w:snapToGrid w:val="0"/>
              <w:spacing w:line="312" w:lineRule="auto"/>
              <w:jc w:val="center"/>
              <w:rPr>
                <w:rFonts w:hint="eastAsia" w:ascii="宋体" w:hAnsi="宋体" w:eastAsia="宋体" w:cs="Times New Roman"/>
                <w:szCs w:val="21"/>
              </w:rPr>
            </w:pPr>
            <w:r>
              <w:rPr>
                <w:rFonts w:hint="eastAsia" w:ascii="宋体" w:hAnsi="宋体" w:eastAsia="宋体" w:cs="Times New Roman"/>
                <w:szCs w:val="21"/>
              </w:rPr>
              <w:t>课程目标1、3、4</w:t>
            </w:r>
          </w:p>
        </w:tc>
        <w:tc>
          <w:tcPr>
            <w:tcW w:w="2948" w:type="dxa"/>
            <w:vAlign w:val="center"/>
          </w:tcPr>
          <w:p w14:paraId="29F70074">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1.班级活动方案1个；</w:t>
            </w:r>
          </w:p>
          <w:p w14:paraId="03D93564">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2.少先队活动方案1份；</w:t>
            </w:r>
          </w:p>
          <w:p w14:paraId="3EE1E93D">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3.学生典型个案分析1篇；</w:t>
            </w:r>
          </w:p>
          <w:p w14:paraId="7BBD8D91">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4.家校沟通记录1份。</w:t>
            </w:r>
          </w:p>
        </w:tc>
        <w:tc>
          <w:tcPr>
            <w:tcW w:w="1530" w:type="dxa"/>
            <w:vAlign w:val="center"/>
          </w:tcPr>
          <w:p w14:paraId="31ECEDA9">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1.班队活动</w:t>
            </w:r>
          </w:p>
          <w:p w14:paraId="69663B24">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szCs w:val="21"/>
              </w:rPr>
              <w:t>2.班级日常管理</w:t>
            </w:r>
          </w:p>
        </w:tc>
        <w:tc>
          <w:tcPr>
            <w:tcW w:w="531" w:type="dxa"/>
            <w:vAlign w:val="center"/>
          </w:tcPr>
          <w:p w14:paraId="11F7D09D">
            <w:pPr>
              <w:adjustRightInd w:val="0"/>
              <w:snapToGrid w:val="0"/>
              <w:spacing w:line="312" w:lineRule="auto"/>
              <w:jc w:val="center"/>
              <w:rPr>
                <w:rFonts w:hint="eastAsia" w:ascii="宋体" w:hAnsi="宋体" w:eastAsia="宋体" w:cs="Times New Roman"/>
                <w:szCs w:val="21"/>
              </w:rPr>
            </w:pPr>
            <w:r>
              <w:rPr>
                <w:rFonts w:hint="eastAsia" w:ascii="宋体" w:hAnsi="宋体" w:eastAsia="宋体" w:cs="Times New Roman"/>
                <w:szCs w:val="21"/>
              </w:rPr>
              <w:t>120</w:t>
            </w:r>
          </w:p>
        </w:tc>
      </w:tr>
      <w:tr w14:paraId="2A48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736" w:type="dxa"/>
            <w:vMerge w:val="continue"/>
            <w:vAlign w:val="center"/>
          </w:tcPr>
          <w:p w14:paraId="17611CC4">
            <w:pPr>
              <w:adjustRightInd w:val="0"/>
              <w:snapToGrid w:val="0"/>
              <w:spacing w:line="312" w:lineRule="auto"/>
              <w:jc w:val="center"/>
              <w:rPr>
                <w:rFonts w:hint="eastAsia" w:ascii="宋体" w:hAnsi="宋体" w:eastAsia="宋体" w:cs="Times New Roman"/>
                <w:szCs w:val="21"/>
              </w:rPr>
            </w:pPr>
          </w:p>
        </w:tc>
        <w:tc>
          <w:tcPr>
            <w:tcW w:w="8562" w:type="dxa"/>
            <w:gridSpan w:val="5"/>
            <w:vAlign w:val="center"/>
          </w:tcPr>
          <w:p w14:paraId="03994713">
            <w:pPr>
              <w:adjustRightInd w:val="0"/>
              <w:snapToGrid w:val="0"/>
              <w:spacing w:line="312"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自觉践行社会主义核心价值观，进一步领会立德树人根本任务，增强文化育人、活动育人的意识；在实践中增进对儿童的认识，体验和感受教师职业的光荣感和责任感；坚定献身小学教育事业的专业信念。</w:t>
            </w:r>
          </w:p>
        </w:tc>
      </w:tr>
      <w:tr w14:paraId="2DB0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restart"/>
            <w:vAlign w:val="center"/>
          </w:tcPr>
          <w:p w14:paraId="350D8D3F">
            <w:pPr>
              <w:spacing w:line="264" w:lineRule="auto"/>
              <w:jc w:val="center"/>
              <w:rPr>
                <w:rFonts w:hint="eastAsia" w:ascii="宋体" w:hAnsi="宋体" w:eastAsia="宋体" w:cs="Times New Roman"/>
                <w:szCs w:val="21"/>
              </w:rPr>
            </w:pPr>
            <w:r>
              <w:rPr>
                <w:rFonts w:hint="eastAsia" w:ascii="宋体" w:hAnsi="宋体" w:eastAsia="宋体" w:cs="Times New Roman"/>
                <w:szCs w:val="21"/>
              </w:rPr>
              <w:t>3.实习成果汇报</w:t>
            </w:r>
          </w:p>
        </w:tc>
        <w:tc>
          <w:tcPr>
            <w:tcW w:w="2211" w:type="dxa"/>
            <w:vAlign w:val="center"/>
          </w:tcPr>
          <w:p w14:paraId="63F07BB5">
            <w:pPr>
              <w:spacing w:line="269" w:lineRule="auto"/>
              <w:jc w:val="left"/>
              <w:rPr>
                <w:rFonts w:hint="eastAsia" w:ascii="宋体" w:hAnsi="宋体" w:eastAsia="宋体" w:cs="Times New Roman"/>
                <w:szCs w:val="21"/>
              </w:rPr>
            </w:pPr>
            <w:r>
              <w:rPr>
                <w:rFonts w:hint="eastAsia" w:ascii="宋体" w:hAnsi="宋体" w:eastAsia="宋体" w:cs="Times New Roman"/>
                <w:szCs w:val="21"/>
              </w:rPr>
              <w:t>（1）上实习汇报课；</w:t>
            </w:r>
          </w:p>
          <w:p w14:paraId="1BC6B615">
            <w:pPr>
              <w:spacing w:line="269" w:lineRule="auto"/>
              <w:jc w:val="left"/>
              <w:rPr>
                <w:rFonts w:hint="eastAsia" w:ascii="宋体" w:hAnsi="宋体" w:eastAsia="宋体" w:cs="Times New Roman"/>
                <w:szCs w:val="21"/>
              </w:rPr>
            </w:pPr>
            <w:r>
              <w:rPr>
                <w:rFonts w:hint="eastAsia" w:ascii="宋体" w:hAnsi="宋体" w:eastAsia="宋体" w:cs="Times New Roman"/>
                <w:szCs w:val="21"/>
              </w:rPr>
              <w:t>（2）上班活动课</w:t>
            </w:r>
          </w:p>
          <w:p w14:paraId="3144099D">
            <w:pPr>
              <w:spacing w:line="269" w:lineRule="auto"/>
              <w:jc w:val="left"/>
              <w:rPr>
                <w:rFonts w:hint="eastAsia" w:ascii="宋体" w:hAnsi="宋体" w:eastAsia="宋体" w:cs="Times New Roman"/>
                <w:szCs w:val="21"/>
              </w:rPr>
            </w:pPr>
            <w:r>
              <w:rPr>
                <w:rFonts w:hint="eastAsia" w:ascii="宋体" w:hAnsi="宋体" w:eastAsia="宋体" w:cs="Times New Roman"/>
                <w:szCs w:val="21"/>
              </w:rPr>
              <w:t>（3）做好教育调查。</w:t>
            </w:r>
          </w:p>
        </w:tc>
        <w:tc>
          <w:tcPr>
            <w:tcW w:w="1342" w:type="dxa"/>
            <w:vAlign w:val="center"/>
          </w:tcPr>
          <w:p w14:paraId="1A31988A">
            <w:pPr>
              <w:spacing w:line="269" w:lineRule="auto"/>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2948" w:type="dxa"/>
            <w:vAlign w:val="center"/>
          </w:tcPr>
          <w:p w14:paraId="7BB5AB10">
            <w:pPr>
              <w:spacing w:line="269" w:lineRule="auto"/>
              <w:jc w:val="left"/>
              <w:rPr>
                <w:rFonts w:hint="eastAsia" w:ascii="宋体" w:hAnsi="宋体" w:eastAsia="宋体" w:cs="Times New Roman"/>
                <w:szCs w:val="21"/>
              </w:rPr>
            </w:pPr>
            <w:r>
              <w:rPr>
                <w:rFonts w:hint="eastAsia" w:ascii="宋体" w:hAnsi="宋体" w:eastAsia="宋体" w:cs="Times New Roman"/>
                <w:szCs w:val="21"/>
              </w:rPr>
              <w:t>提交汇报课教学活动设计、班队活动设计各1份，提供实习教学视频不少于4个（按要求上传系统）；提交调查报告1份。</w:t>
            </w:r>
          </w:p>
        </w:tc>
        <w:tc>
          <w:tcPr>
            <w:tcW w:w="1530" w:type="dxa"/>
            <w:vAlign w:val="center"/>
          </w:tcPr>
          <w:p w14:paraId="03708937">
            <w:pPr>
              <w:numPr>
                <w:ilvl w:val="0"/>
                <w:numId w:val="78"/>
              </w:numPr>
              <w:spacing w:line="269" w:lineRule="auto"/>
              <w:jc w:val="left"/>
              <w:rPr>
                <w:rFonts w:hint="eastAsia" w:ascii="宋体" w:hAnsi="宋体" w:eastAsia="宋体" w:cs="Times New Roman"/>
                <w:szCs w:val="21"/>
              </w:rPr>
            </w:pPr>
            <w:r>
              <w:rPr>
                <w:rFonts w:hint="eastAsia" w:ascii="宋体" w:hAnsi="宋体" w:eastAsia="宋体" w:cs="Times New Roman"/>
                <w:szCs w:val="21"/>
              </w:rPr>
              <w:t>课堂教学</w:t>
            </w:r>
          </w:p>
          <w:p w14:paraId="0F4CB4F6">
            <w:pPr>
              <w:numPr>
                <w:ilvl w:val="0"/>
                <w:numId w:val="78"/>
              </w:numPr>
              <w:spacing w:line="269" w:lineRule="auto"/>
              <w:jc w:val="left"/>
              <w:rPr>
                <w:rFonts w:hint="eastAsia" w:ascii="宋体" w:hAnsi="宋体" w:eastAsia="宋体" w:cs="Times New Roman"/>
                <w:szCs w:val="21"/>
              </w:rPr>
            </w:pPr>
            <w:r>
              <w:rPr>
                <w:rFonts w:hint="eastAsia" w:ascii="宋体" w:hAnsi="宋体" w:eastAsia="宋体" w:cs="Times New Roman"/>
                <w:szCs w:val="21"/>
              </w:rPr>
              <w:t>班队活动</w:t>
            </w:r>
          </w:p>
          <w:p w14:paraId="0CC6FAC4">
            <w:pPr>
              <w:spacing w:line="269" w:lineRule="auto"/>
              <w:jc w:val="left"/>
              <w:rPr>
                <w:rFonts w:hint="eastAsia" w:ascii="宋体" w:hAnsi="宋体" w:eastAsia="宋体" w:cs="Times New Roman"/>
                <w:szCs w:val="21"/>
              </w:rPr>
            </w:pPr>
            <w:r>
              <w:rPr>
                <w:rFonts w:hint="eastAsia" w:ascii="宋体" w:hAnsi="宋体" w:eastAsia="宋体" w:cs="Times New Roman"/>
                <w:szCs w:val="21"/>
              </w:rPr>
              <w:t>3.教育调查</w:t>
            </w:r>
          </w:p>
        </w:tc>
        <w:tc>
          <w:tcPr>
            <w:tcW w:w="531" w:type="dxa"/>
            <w:vAlign w:val="center"/>
          </w:tcPr>
          <w:p w14:paraId="488EE9EC">
            <w:pPr>
              <w:spacing w:line="269" w:lineRule="auto"/>
              <w:jc w:val="center"/>
              <w:rPr>
                <w:rFonts w:hint="eastAsia" w:ascii="宋体" w:hAnsi="宋体" w:eastAsia="宋体" w:cs="Times New Roman"/>
                <w:szCs w:val="21"/>
              </w:rPr>
            </w:pPr>
            <w:r>
              <w:rPr>
                <w:rFonts w:hint="eastAsia" w:ascii="宋体" w:hAnsi="宋体" w:eastAsia="宋体" w:cs="Times New Roman"/>
                <w:szCs w:val="21"/>
              </w:rPr>
              <w:t>40</w:t>
            </w:r>
          </w:p>
        </w:tc>
      </w:tr>
      <w:tr w14:paraId="67B9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vMerge w:val="continue"/>
            <w:vAlign w:val="center"/>
          </w:tcPr>
          <w:p w14:paraId="77ED83D6">
            <w:pPr>
              <w:spacing w:line="264" w:lineRule="auto"/>
              <w:jc w:val="center"/>
              <w:rPr>
                <w:rFonts w:hint="eastAsia" w:ascii="宋体" w:hAnsi="宋体" w:eastAsia="宋体" w:cs="Times New Roman"/>
                <w:szCs w:val="21"/>
              </w:rPr>
            </w:pPr>
          </w:p>
        </w:tc>
        <w:tc>
          <w:tcPr>
            <w:tcW w:w="8562" w:type="dxa"/>
            <w:gridSpan w:val="5"/>
            <w:vAlign w:val="center"/>
          </w:tcPr>
          <w:p w14:paraId="6DE79131">
            <w:pPr>
              <w:spacing w:line="312" w:lineRule="auto"/>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自觉践行社会主义核心价值观，进一步领会立德树人根本任务，增强学科育人、文化育人、活动育人意识；在实践中增进对儿童的认识，体验和感受教师职业的光荣感和责任感；坚定献身小学教育事业的专业信念。</w:t>
            </w:r>
          </w:p>
        </w:tc>
      </w:tr>
    </w:tbl>
    <w:p w14:paraId="61D57D5B">
      <w:pPr>
        <w:spacing w:before="62" w:beforeLines="20" w:after="62" w:afterLines="20" w:line="360" w:lineRule="auto"/>
        <w:jc w:val="left"/>
        <w:rPr>
          <w:rFonts w:ascii="Times New Roman" w:hAnsi="Times New Roman" w:eastAsia="宋体" w:cs="Times New Roman"/>
          <w:b/>
          <w:sz w:val="24"/>
        </w:rPr>
      </w:pPr>
      <w:r>
        <w:rPr>
          <w:rFonts w:hint="eastAsia" w:ascii="Times New Roman" w:hAnsi="Times New Roman" w:eastAsia="宋体" w:cs="Times New Roman"/>
          <w:b/>
          <w:sz w:val="24"/>
        </w:rPr>
        <w:t>四、目标评价与成绩评定</w:t>
      </w:r>
    </w:p>
    <w:p w14:paraId="5636FBB3">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1662F498">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525"/>
        <w:gridCol w:w="1608"/>
        <w:gridCol w:w="1800"/>
        <w:gridCol w:w="1487"/>
        <w:gridCol w:w="1140"/>
      </w:tblGrid>
      <w:tr w14:paraId="7398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restart"/>
            <w:vAlign w:val="center"/>
          </w:tcPr>
          <w:p w14:paraId="6D4E3AA4">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420" w:type="dxa"/>
            <w:gridSpan w:val="4"/>
            <w:vAlign w:val="center"/>
          </w:tcPr>
          <w:p w14:paraId="6D2C9418">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40" w:type="dxa"/>
            <w:vMerge w:val="restart"/>
            <w:vAlign w:val="center"/>
          </w:tcPr>
          <w:p w14:paraId="623A59EC">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5769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Merge w:val="continue"/>
            <w:vAlign w:val="center"/>
          </w:tcPr>
          <w:p w14:paraId="4158126A">
            <w:pPr>
              <w:spacing w:line="360" w:lineRule="auto"/>
              <w:jc w:val="center"/>
              <w:rPr>
                <w:rFonts w:hint="eastAsia" w:ascii="宋体" w:hAnsi="宋体" w:eastAsia="宋体" w:cs="Times New Roman"/>
                <w:szCs w:val="21"/>
              </w:rPr>
            </w:pPr>
          </w:p>
        </w:tc>
        <w:tc>
          <w:tcPr>
            <w:tcW w:w="1525" w:type="dxa"/>
            <w:vAlign w:val="center"/>
          </w:tcPr>
          <w:p w14:paraId="6AC74E23">
            <w:pPr>
              <w:spacing w:line="360" w:lineRule="auto"/>
              <w:jc w:val="center"/>
              <w:rPr>
                <w:rFonts w:hint="eastAsia" w:ascii="宋体" w:hAnsi="宋体" w:eastAsia="宋体" w:cs="Times New Roman"/>
                <w:szCs w:val="21"/>
              </w:rPr>
            </w:pPr>
            <w:r>
              <w:rPr>
                <w:rFonts w:hint="eastAsia" w:ascii="宋体" w:hAnsi="宋体" w:eastAsia="宋体" w:cs="Times New Roman"/>
                <w:szCs w:val="21"/>
              </w:rPr>
              <w:t>平时成绩</w:t>
            </w:r>
          </w:p>
        </w:tc>
        <w:tc>
          <w:tcPr>
            <w:tcW w:w="1608" w:type="dxa"/>
            <w:vAlign w:val="center"/>
          </w:tcPr>
          <w:p w14:paraId="7B0D888D">
            <w:pPr>
              <w:spacing w:line="360" w:lineRule="auto"/>
              <w:jc w:val="center"/>
              <w:rPr>
                <w:rFonts w:hint="eastAsia" w:ascii="宋体" w:hAnsi="宋体" w:eastAsia="宋体" w:cs="Times New Roman"/>
                <w:szCs w:val="21"/>
              </w:rPr>
            </w:pPr>
            <w:r>
              <w:rPr>
                <w:rFonts w:hint="eastAsia" w:ascii="宋体" w:hAnsi="宋体" w:eastAsia="宋体" w:cs="Times New Roman"/>
                <w:szCs w:val="21"/>
              </w:rPr>
              <w:t>课堂教学实习</w:t>
            </w:r>
          </w:p>
        </w:tc>
        <w:tc>
          <w:tcPr>
            <w:tcW w:w="1800" w:type="dxa"/>
            <w:vAlign w:val="center"/>
          </w:tcPr>
          <w:p w14:paraId="513C8288">
            <w:pPr>
              <w:spacing w:line="360" w:lineRule="auto"/>
              <w:jc w:val="center"/>
              <w:rPr>
                <w:rFonts w:hint="eastAsia" w:ascii="宋体" w:hAnsi="宋体" w:eastAsia="宋体" w:cs="Times New Roman"/>
                <w:szCs w:val="21"/>
              </w:rPr>
            </w:pPr>
            <w:r>
              <w:rPr>
                <w:rFonts w:hint="eastAsia" w:ascii="宋体" w:hAnsi="宋体" w:eastAsia="宋体" w:cs="Times New Roman"/>
                <w:szCs w:val="21"/>
              </w:rPr>
              <w:t>班主任工作实习</w:t>
            </w:r>
          </w:p>
        </w:tc>
        <w:tc>
          <w:tcPr>
            <w:tcW w:w="1487" w:type="dxa"/>
            <w:vAlign w:val="center"/>
          </w:tcPr>
          <w:p w14:paraId="1968783F">
            <w:pPr>
              <w:spacing w:line="360" w:lineRule="auto"/>
              <w:jc w:val="center"/>
              <w:rPr>
                <w:rFonts w:hint="eastAsia" w:ascii="宋体" w:hAnsi="宋体" w:eastAsia="宋体" w:cs="Times New Roman"/>
                <w:szCs w:val="21"/>
              </w:rPr>
            </w:pPr>
            <w:r>
              <w:rPr>
                <w:rFonts w:hint="eastAsia" w:ascii="宋体" w:hAnsi="宋体" w:eastAsia="宋体" w:cs="Times New Roman"/>
                <w:szCs w:val="21"/>
              </w:rPr>
              <w:t>实习成果汇报</w:t>
            </w:r>
          </w:p>
        </w:tc>
        <w:tc>
          <w:tcPr>
            <w:tcW w:w="1140" w:type="dxa"/>
            <w:vMerge w:val="continue"/>
            <w:vAlign w:val="center"/>
          </w:tcPr>
          <w:p w14:paraId="57D9BE62">
            <w:pPr>
              <w:spacing w:line="360" w:lineRule="auto"/>
              <w:jc w:val="center"/>
              <w:rPr>
                <w:rFonts w:hint="eastAsia" w:ascii="宋体" w:hAnsi="宋体" w:eastAsia="宋体" w:cs="Times New Roman"/>
                <w:szCs w:val="21"/>
              </w:rPr>
            </w:pPr>
          </w:p>
        </w:tc>
      </w:tr>
      <w:tr w14:paraId="3609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0BAA45F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1525" w:type="dxa"/>
            <w:vAlign w:val="center"/>
          </w:tcPr>
          <w:p w14:paraId="1E4A06E5">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vAlign w:val="center"/>
          </w:tcPr>
          <w:p w14:paraId="18F7389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00" w:type="dxa"/>
            <w:vAlign w:val="center"/>
          </w:tcPr>
          <w:p w14:paraId="5F42B19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87" w:type="dxa"/>
            <w:vAlign w:val="center"/>
          </w:tcPr>
          <w:p w14:paraId="1CA3418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3E1490F5">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0612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363416EC">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1525" w:type="dxa"/>
            <w:vAlign w:val="center"/>
          </w:tcPr>
          <w:p w14:paraId="07603727">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vAlign w:val="center"/>
          </w:tcPr>
          <w:p w14:paraId="1130775D">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00" w:type="dxa"/>
            <w:vAlign w:val="center"/>
          </w:tcPr>
          <w:p w14:paraId="0B5FD400">
            <w:pPr>
              <w:spacing w:line="360" w:lineRule="auto"/>
              <w:jc w:val="center"/>
              <w:rPr>
                <w:rFonts w:hint="eastAsia" w:ascii="宋体" w:hAnsi="宋体" w:eastAsia="宋体" w:cs="Times New Roman"/>
                <w:szCs w:val="21"/>
              </w:rPr>
            </w:pPr>
          </w:p>
        </w:tc>
        <w:tc>
          <w:tcPr>
            <w:tcW w:w="1487" w:type="dxa"/>
            <w:vAlign w:val="center"/>
          </w:tcPr>
          <w:p w14:paraId="7654B3B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2A7FDB76">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693C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1D276D9">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1525" w:type="dxa"/>
            <w:vAlign w:val="center"/>
          </w:tcPr>
          <w:p w14:paraId="22261EDA">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vAlign w:val="center"/>
          </w:tcPr>
          <w:p w14:paraId="2B7A57A1">
            <w:pPr>
              <w:spacing w:line="360" w:lineRule="auto"/>
              <w:jc w:val="center"/>
              <w:rPr>
                <w:rFonts w:hint="eastAsia" w:ascii="宋体" w:hAnsi="宋体" w:eastAsia="宋体" w:cs="Times New Roman"/>
                <w:szCs w:val="21"/>
              </w:rPr>
            </w:pPr>
          </w:p>
        </w:tc>
        <w:tc>
          <w:tcPr>
            <w:tcW w:w="1800" w:type="dxa"/>
            <w:vAlign w:val="center"/>
          </w:tcPr>
          <w:p w14:paraId="0F808B7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87" w:type="dxa"/>
            <w:vAlign w:val="center"/>
          </w:tcPr>
          <w:p w14:paraId="51721A4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21663643">
            <w:pPr>
              <w:spacing w:line="360" w:lineRule="auto"/>
              <w:jc w:val="center"/>
              <w:rPr>
                <w:rFonts w:hint="eastAsia" w:ascii="宋体" w:hAnsi="宋体" w:eastAsia="宋体" w:cs="Times New Roman"/>
                <w:szCs w:val="21"/>
              </w:rPr>
            </w:pPr>
            <w:r>
              <w:rPr>
                <w:rFonts w:hint="eastAsia" w:ascii="宋体" w:hAnsi="宋体" w:eastAsia="宋体" w:cs="Times New Roman"/>
                <w:szCs w:val="21"/>
              </w:rPr>
              <w:t>30</w:t>
            </w:r>
          </w:p>
        </w:tc>
      </w:tr>
      <w:tr w14:paraId="4585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4DF3F791">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1525" w:type="dxa"/>
            <w:vAlign w:val="center"/>
          </w:tcPr>
          <w:p w14:paraId="236D641F">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608" w:type="dxa"/>
            <w:vAlign w:val="center"/>
          </w:tcPr>
          <w:p w14:paraId="36A6C910">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800" w:type="dxa"/>
            <w:vAlign w:val="center"/>
          </w:tcPr>
          <w:p w14:paraId="377C2F73">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487" w:type="dxa"/>
            <w:vAlign w:val="center"/>
          </w:tcPr>
          <w:p w14:paraId="323510F1">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40" w:type="dxa"/>
            <w:vAlign w:val="center"/>
          </w:tcPr>
          <w:p w14:paraId="38D7AFF0">
            <w:pPr>
              <w:spacing w:line="360" w:lineRule="auto"/>
              <w:jc w:val="center"/>
              <w:rPr>
                <w:rFonts w:hint="eastAsia" w:ascii="宋体" w:hAnsi="宋体" w:eastAsia="宋体" w:cs="Times New Roman"/>
                <w:szCs w:val="21"/>
              </w:rPr>
            </w:pPr>
            <w:r>
              <w:rPr>
                <w:rFonts w:hint="eastAsia" w:ascii="宋体" w:hAnsi="宋体" w:eastAsia="宋体" w:cs="Times New Roman"/>
                <w:szCs w:val="21"/>
              </w:rPr>
              <w:t>20</w:t>
            </w:r>
          </w:p>
        </w:tc>
      </w:tr>
      <w:tr w14:paraId="622A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14:paraId="28F9769D">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1525" w:type="dxa"/>
            <w:vAlign w:val="center"/>
          </w:tcPr>
          <w:p w14:paraId="05483117">
            <w:pPr>
              <w:spacing w:line="360" w:lineRule="auto"/>
              <w:jc w:val="center"/>
              <w:rPr>
                <w:rFonts w:hint="eastAsia" w:ascii="宋体" w:hAnsi="宋体" w:eastAsia="宋体" w:cs="Times New Roman"/>
                <w:szCs w:val="21"/>
              </w:rPr>
            </w:pPr>
          </w:p>
        </w:tc>
        <w:tc>
          <w:tcPr>
            <w:tcW w:w="1608" w:type="dxa"/>
            <w:vAlign w:val="center"/>
          </w:tcPr>
          <w:p w14:paraId="3D9000D8">
            <w:pPr>
              <w:spacing w:line="360" w:lineRule="auto"/>
              <w:jc w:val="center"/>
              <w:rPr>
                <w:rFonts w:hint="eastAsia" w:ascii="宋体" w:hAnsi="宋体" w:eastAsia="宋体" w:cs="Times New Roman"/>
                <w:szCs w:val="21"/>
              </w:rPr>
            </w:pPr>
          </w:p>
        </w:tc>
        <w:tc>
          <w:tcPr>
            <w:tcW w:w="1800" w:type="dxa"/>
            <w:vAlign w:val="center"/>
          </w:tcPr>
          <w:p w14:paraId="587D2EDE">
            <w:pPr>
              <w:spacing w:line="360" w:lineRule="auto"/>
              <w:jc w:val="center"/>
              <w:rPr>
                <w:rFonts w:hint="eastAsia" w:ascii="宋体" w:hAnsi="宋体" w:eastAsia="宋体" w:cs="Times New Roman"/>
                <w:szCs w:val="21"/>
              </w:rPr>
            </w:pPr>
          </w:p>
        </w:tc>
        <w:tc>
          <w:tcPr>
            <w:tcW w:w="1487" w:type="dxa"/>
            <w:vAlign w:val="center"/>
          </w:tcPr>
          <w:p w14:paraId="557BD0AA">
            <w:pPr>
              <w:spacing w:line="360" w:lineRule="auto"/>
              <w:jc w:val="center"/>
              <w:rPr>
                <w:rFonts w:hint="eastAsia" w:ascii="宋体" w:hAnsi="宋体" w:eastAsia="宋体" w:cs="Times New Roman"/>
                <w:szCs w:val="21"/>
              </w:rPr>
            </w:pPr>
          </w:p>
        </w:tc>
        <w:tc>
          <w:tcPr>
            <w:tcW w:w="1140" w:type="dxa"/>
            <w:vAlign w:val="center"/>
          </w:tcPr>
          <w:p w14:paraId="0A00F7AE">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166D0FB4">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71002BE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141"/>
        <w:gridCol w:w="1136"/>
      </w:tblGrid>
      <w:tr w14:paraId="426E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EA22480">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141" w:type="dxa"/>
            <w:vAlign w:val="center"/>
          </w:tcPr>
          <w:p w14:paraId="1D5F10A7">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1136" w:type="dxa"/>
            <w:vAlign w:val="center"/>
          </w:tcPr>
          <w:p w14:paraId="630E9B7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5DB1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60E1AB">
            <w:pPr>
              <w:rPr>
                <w:rFonts w:ascii="Times New Roman" w:hAnsi="Times New Roman" w:eastAsia="宋体" w:cs="Times New Roman"/>
                <w:szCs w:val="21"/>
              </w:rPr>
            </w:pPr>
            <w:r>
              <w:rPr>
                <w:rFonts w:hint="eastAsia" w:ascii="Times New Roman" w:hAnsi="Times New Roman" w:eastAsia="宋体" w:cs="Times New Roman"/>
                <w:szCs w:val="21"/>
              </w:rPr>
              <w:t>平时作业</w:t>
            </w:r>
          </w:p>
        </w:tc>
        <w:tc>
          <w:tcPr>
            <w:tcW w:w="7141" w:type="dxa"/>
            <w:vAlign w:val="center"/>
          </w:tcPr>
          <w:p w14:paraId="33BE352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学生出勤情况及工作态度，遵守实习学校规章制度，各类实习报告填写等。依据学生的出勤情况，平时工作的进展情况，实习任务完成情况，实习日记、听课记录等实习手册填写等进行评价。</w:t>
            </w:r>
          </w:p>
        </w:tc>
        <w:tc>
          <w:tcPr>
            <w:tcW w:w="1136" w:type="dxa"/>
            <w:vAlign w:val="center"/>
          </w:tcPr>
          <w:p w14:paraId="230A5025">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51ED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96EF989">
            <w:pPr>
              <w:rPr>
                <w:rFonts w:ascii="Times New Roman" w:hAnsi="Times New Roman" w:eastAsia="宋体" w:cs="Times New Roman"/>
                <w:szCs w:val="21"/>
              </w:rPr>
            </w:pPr>
            <w:r>
              <w:rPr>
                <w:rFonts w:hint="eastAsia" w:ascii="Times New Roman" w:hAnsi="Times New Roman" w:eastAsia="宋体" w:cs="Times New Roman"/>
                <w:szCs w:val="21"/>
              </w:rPr>
              <w:t>课堂教学实习</w:t>
            </w:r>
          </w:p>
        </w:tc>
        <w:tc>
          <w:tcPr>
            <w:tcW w:w="7141" w:type="dxa"/>
            <w:vAlign w:val="center"/>
          </w:tcPr>
          <w:p w14:paraId="3167F6AE">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根据学科填写课堂听课记录，并能做出评价，同时在指导教师指导下写出教案，并能实施。由实习学校学科指导教师根据学生的听课、批改作业、课堂评价及试教情况进行评价。</w:t>
            </w:r>
          </w:p>
        </w:tc>
        <w:tc>
          <w:tcPr>
            <w:tcW w:w="1136" w:type="dxa"/>
            <w:vAlign w:val="center"/>
          </w:tcPr>
          <w:p w14:paraId="7C6F3910">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4211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14ECD7A">
            <w:pPr>
              <w:rPr>
                <w:rFonts w:ascii="Times New Roman" w:hAnsi="Times New Roman" w:eastAsia="宋体" w:cs="Times New Roman"/>
                <w:szCs w:val="21"/>
              </w:rPr>
            </w:pPr>
            <w:r>
              <w:rPr>
                <w:rFonts w:hint="eastAsia" w:ascii="Times New Roman" w:hAnsi="Times New Roman" w:eastAsia="宋体" w:cs="Times New Roman"/>
                <w:szCs w:val="21"/>
              </w:rPr>
              <w:t>班主任工作实习</w:t>
            </w:r>
          </w:p>
        </w:tc>
        <w:tc>
          <w:tcPr>
            <w:tcW w:w="7141" w:type="dxa"/>
            <w:vAlign w:val="center"/>
          </w:tcPr>
          <w:p w14:paraId="172D69EF">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根据实习班主任（少先队）工作情况。由实习学校班主任指导教师根据学生在校的班主任实习工作评价，对学生一日常规、思品课及与小学生互动中表现的学生观以及学生工作的能力进行评价。</w:t>
            </w:r>
          </w:p>
        </w:tc>
        <w:tc>
          <w:tcPr>
            <w:tcW w:w="1136" w:type="dxa"/>
            <w:vAlign w:val="center"/>
          </w:tcPr>
          <w:p w14:paraId="4445BA89">
            <w:pPr>
              <w:jc w:val="center"/>
              <w:rPr>
                <w:rFonts w:ascii="Times New Roman" w:hAnsi="Times New Roman" w:eastAsia="宋体" w:cs="Times New Roman"/>
                <w:szCs w:val="21"/>
              </w:rPr>
            </w:pPr>
            <w:r>
              <w:rPr>
                <w:rFonts w:hint="eastAsia" w:ascii="Times New Roman" w:hAnsi="Times New Roman" w:eastAsia="宋体" w:cs="Times New Roman"/>
                <w:szCs w:val="21"/>
              </w:rPr>
              <w:t>20%</w:t>
            </w:r>
          </w:p>
        </w:tc>
      </w:tr>
      <w:tr w14:paraId="6564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33A762F">
            <w:pPr>
              <w:rPr>
                <w:rFonts w:ascii="Times New Roman" w:hAnsi="Times New Roman" w:eastAsia="宋体" w:cs="Times New Roman"/>
                <w:szCs w:val="21"/>
              </w:rPr>
            </w:pPr>
            <w:r>
              <w:rPr>
                <w:rFonts w:hint="eastAsia" w:ascii="Times New Roman" w:hAnsi="Times New Roman" w:eastAsia="宋体" w:cs="Times New Roman"/>
                <w:szCs w:val="21"/>
              </w:rPr>
              <w:t>教育调查报告</w:t>
            </w:r>
          </w:p>
        </w:tc>
        <w:tc>
          <w:tcPr>
            <w:tcW w:w="7141" w:type="dxa"/>
            <w:vAlign w:val="center"/>
          </w:tcPr>
          <w:p w14:paraId="34D4C0BE">
            <w:pPr>
              <w:widowControl/>
              <w:spacing w:line="264" w:lineRule="auto"/>
              <w:jc w:val="left"/>
              <w:rPr>
                <w:rFonts w:ascii="Times New Roman" w:hAnsi="Times New Roman" w:eastAsia="宋体" w:cs="Times New Roman"/>
                <w:szCs w:val="21"/>
              </w:rPr>
            </w:pPr>
            <w:r>
              <w:rPr>
                <w:rFonts w:hint="eastAsia" w:ascii="宋体" w:hAnsi="宋体" w:eastAsia="宋体" w:cs="宋体"/>
                <w:kern w:val="0"/>
                <w:szCs w:val="21"/>
                <w:lang w:bidi="ar"/>
              </w:rPr>
              <w:t>学生根据对实习学校的调查研究，结合文献检索及查阅资料，写出调查报告。本校带队教师根据调查报告内容是否符合教育实习要求，能否就学校中的教育现象展开调查，内容是否明确，方法是否正确，条理是否清楚，是否有自己的观点等进行评价。</w:t>
            </w:r>
          </w:p>
        </w:tc>
        <w:tc>
          <w:tcPr>
            <w:tcW w:w="1136" w:type="dxa"/>
            <w:vAlign w:val="center"/>
          </w:tcPr>
          <w:p w14:paraId="60F3006E">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r>
      <w:tr w14:paraId="7D30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55D4C44A">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141" w:type="dxa"/>
            <w:vAlign w:val="center"/>
          </w:tcPr>
          <w:p w14:paraId="5E7B3009">
            <w:pPr>
              <w:jc w:val="left"/>
              <w:rPr>
                <w:rFonts w:ascii="Times New Roman" w:hAnsi="Times New Roman" w:eastAsia="宋体" w:cs="Times New Roman"/>
                <w:szCs w:val="21"/>
              </w:rPr>
            </w:pPr>
          </w:p>
        </w:tc>
        <w:tc>
          <w:tcPr>
            <w:tcW w:w="1136" w:type="dxa"/>
            <w:vAlign w:val="center"/>
          </w:tcPr>
          <w:p w14:paraId="36EEAB5A">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45C3C9D5">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0322C188">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7672704">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87"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87" DrawAspect="Content" ObjectID="_1468075787" r:id="rId75">
            <o:LockedField>false</o:LockedField>
          </o:OLEObject>
        </w:object>
      </w:r>
      <w:r>
        <w:rPr>
          <w:rFonts w:hint="eastAsia" w:ascii="Times New Roman" w:hAnsi="Times New Roman" w:eastAsia="宋体" w:cs="Times New Roman"/>
          <w:b/>
          <w:sz w:val="24"/>
        </w:rPr>
        <w:t>五、课程参考书</w:t>
      </w:r>
    </w:p>
    <w:p w14:paraId="7B50AF86">
      <w:pPr>
        <w:spacing w:line="336" w:lineRule="auto"/>
        <w:ind w:firstLine="420" w:firstLineChars="200"/>
        <w:rPr>
          <w:rFonts w:hint="eastAsia" w:ascii="宋体" w:hAnsi="宋体" w:eastAsia="宋体" w:cs="Times New Roman"/>
          <w:bCs/>
          <w:szCs w:val="21"/>
        </w:rPr>
      </w:pPr>
      <w:r>
        <w:rPr>
          <w:rFonts w:hint="eastAsia" w:ascii="宋体" w:hAnsi="宋体" w:eastAsia="宋体" w:cs="Times New Roman"/>
          <w:bCs/>
          <w:szCs w:val="21"/>
        </w:rPr>
        <w:t>1．义务教育各学科课程标准，2022</w:t>
      </w:r>
    </w:p>
    <w:p w14:paraId="616AAE2D">
      <w:pPr>
        <w:spacing w:line="336" w:lineRule="auto"/>
        <w:ind w:firstLine="420" w:firstLineChars="200"/>
        <w:rPr>
          <w:rFonts w:hint="eastAsia" w:ascii="宋体" w:hAnsi="宋体" w:eastAsia="宋体" w:cs="Times New Roman"/>
          <w:bCs/>
          <w:szCs w:val="21"/>
        </w:rPr>
      </w:pPr>
      <w:r>
        <w:rPr>
          <w:rFonts w:hint="eastAsia" w:ascii="宋体" w:hAnsi="宋体" w:eastAsia="宋体" w:cs="Times New Roman"/>
          <w:bCs/>
          <w:szCs w:val="21"/>
        </w:rPr>
        <w:t>2．部编版小学各年级教材。</w:t>
      </w:r>
    </w:p>
    <w:p w14:paraId="54A8CFFC">
      <w:pPr>
        <w:spacing w:line="336" w:lineRule="auto"/>
        <w:ind w:firstLine="420" w:firstLineChars="200"/>
        <w:rPr>
          <w:rFonts w:hint="eastAsia" w:ascii="宋体" w:hAnsi="宋体" w:eastAsia="宋体" w:cs="Times New Roman"/>
          <w:bCs/>
          <w:szCs w:val="21"/>
        </w:rPr>
      </w:pPr>
      <w:r>
        <w:rPr>
          <w:rFonts w:hint="eastAsia" w:ascii="宋体" w:hAnsi="宋体" w:eastAsia="宋体" w:cs="Times New Roman"/>
          <w:bCs/>
          <w:szCs w:val="21"/>
        </w:rPr>
        <w:t>3．苗凤华．教育实习指南．科学出版社，2018.</w:t>
      </w:r>
    </w:p>
    <w:p w14:paraId="6B3FD601">
      <w:pPr>
        <w:spacing w:line="336" w:lineRule="auto"/>
        <w:ind w:firstLine="420" w:firstLineChars="200"/>
        <w:rPr>
          <w:rFonts w:hint="eastAsia" w:ascii="宋体" w:hAnsi="宋体" w:eastAsia="宋体" w:cs="Times New Roman"/>
          <w:kern w:val="0"/>
          <w:szCs w:val="18"/>
        </w:rPr>
      </w:pPr>
      <w:r>
        <w:rPr>
          <w:rFonts w:hint="eastAsia" w:ascii="宋体" w:hAnsi="宋体" w:eastAsia="宋体" w:cs="Times New Roman"/>
          <w:bCs/>
          <w:szCs w:val="21"/>
        </w:rPr>
        <w:t>4. 侯宏业，薛微微.小学教育实习手册.南京大学出版社，2021.</w:t>
      </w:r>
    </w:p>
    <w:p w14:paraId="0B01CDF1">
      <w:pPr>
        <w:autoSpaceDE w:val="0"/>
        <w:autoSpaceDN w:val="0"/>
        <w:adjustRightInd w:val="0"/>
        <w:spacing w:line="360" w:lineRule="auto"/>
        <w:jc w:val="right"/>
        <w:rPr>
          <w:rFonts w:hint="eastAsia" w:ascii="宋体" w:hAnsi="宋体" w:eastAsia="宋体" w:cs="Times New Roman"/>
          <w:kern w:val="0"/>
          <w:szCs w:val="18"/>
        </w:rPr>
      </w:pPr>
      <w:r>
        <w:rPr>
          <w:rFonts w:hint="eastAsia" w:ascii="宋体" w:hAnsi="宋体" w:eastAsia="宋体" w:cs="Times New Roman"/>
          <w:kern w:val="0"/>
          <w:szCs w:val="18"/>
        </w:rPr>
        <w:t xml:space="preserve">                                                       执笔人：姚玉香</w:t>
      </w:r>
    </w:p>
    <w:p w14:paraId="5F46477A">
      <w:pPr>
        <w:autoSpaceDE w:val="0"/>
        <w:autoSpaceDN w:val="0"/>
        <w:adjustRightInd w:val="0"/>
        <w:spacing w:line="360" w:lineRule="auto"/>
        <w:jc w:val="right"/>
        <w:rPr>
          <w:rFonts w:hint="eastAsia" w:ascii="宋体" w:hAnsi="宋体" w:eastAsia="宋体" w:cs="Times New Roman"/>
          <w:kern w:val="0"/>
          <w:szCs w:val="18"/>
        </w:rPr>
      </w:pPr>
      <w:r>
        <w:rPr>
          <w:rFonts w:hint="eastAsia" w:ascii="宋体" w:hAnsi="宋体" w:eastAsia="宋体" w:cs="Times New Roman"/>
          <w:kern w:val="0"/>
          <w:szCs w:val="18"/>
        </w:rPr>
        <w:t xml:space="preserve">                                                       审定人：王  健</w:t>
      </w:r>
    </w:p>
    <w:p w14:paraId="2631049D">
      <w:pPr>
        <w:autoSpaceDE w:val="0"/>
        <w:autoSpaceDN w:val="0"/>
        <w:adjustRightInd w:val="0"/>
        <w:spacing w:line="360" w:lineRule="auto"/>
        <w:jc w:val="right"/>
        <w:rPr>
          <w:rFonts w:hint="eastAsia" w:ascii="宋体" w:hAnsi="宋体" w:eastAsia="宋体" w:cs="Times New Roman"/>
          <w:kern w:val="0"/>
          <w:szCs w:val="18"/>
        </w:rPr>
      </w:pPr>
      <w:r>
        <w:rPr>
          <w:rFonts w:hint="eastAsia" w:ascii="宋体" w:hAnsi="宋体" w:eastAsia="宋体" w:cs="Times New Roman"/>
          <w:kern w:val="0"/>
          <w:szCs w:val="18"/>
        </w:rPr>
        <w:t>审批人：张志欣</w:t>
      </w:r>
    </w:p>
    <w:p w14:paraId="418AC716">
      <w:pPr>
        <w:jc w:val="right"/>
        <w:rPr>
          <w:rFonts w:hint="eastAsia" w:ascii="宋体" w:hAnsi="宋体" w:eastAsia="宋体" w:cs="Times New Roman"/>
          <w:kern w:val="0"/>
          <w:sz w:val="24"/>
          <w:szCs w:val="21"/>
        </w:rPr>
      </w:pPr>
      <w:r>
        <w:rPr>
          <w:rFonts w:hint="eastAsia" w:ascii="宋体" w:hAnsi="宋体" w:eastAsia="宋体" w:cs="Times New Roman"/>
          <w:kern w:val="0"/>
          <w:szCs w:val="18"/>
        </w:rPr>
        <w:t>批准时间：2025年7月1日</w:t>
      </w:r>
    </w:p>
    <w:p w14:paraId="04047ED9">
      <w:pPr>
        <w:rPr>
          <w:rFonts w:hint="eastAsia" w:ascii="宋体" w:hAnsi="宋体" w:eastAsia="宋体" w:cs="Times New Roman"/>
          <w:kern w:val="0"/>
          <w:sz w:val="24"/>
          <w:szCs w:val="21"/>
        </w:rPr>
      </w:pPr>
      <w:r>
        <w:rPr>
          <w:rFonts w:hint="eastAsia" w:ascii="宋体" w:hAnsi="宋体" w:eastAsia="宋体" w:cs="Times New Roman"/>
          <w:kern w:val="0"/>
          <w:sz w:val="24"/>
          <w:szCs w:val="21"/>
        </w:rPr>
        <w:br w:type="page"/>
      </w:r>
    </w:p>
    <w:p w14:paraId="3B82F4DE">
      <w:pPr>
        <w:spacing w:line="360" w:lineRule="auto"/>
        <w:jc w:val="center"/>
        <w:outlineLvl w:val="0"/>
        <w:rPr>
          <w:rFonts w:ascii="Times New Roman" w:hAnsi="Times New Roman" w:eastAsia="宋体" w:cs="Times New Roman"/>
          <w:b/>
          <w:sz w:val="44"/>
          <w:szCs w:val="44"/>
        </w:rPr>
      </w:pPr>
      <w:bookmarkStart w:id="2115" w:name="_Toc3403"/>
      <w:bookmarkStart w:id="2116" w:name="_Toc26550"/>
      <w:bookmarkStart w:id="2117" w:name="_Toc28306"/>
      <w:bookmarkStart w:id="2118" w:name="_Toc8479"/>
      <w:bookmarkStart w:id="2119" w:name="_Toc14227"/>
      <w:bookmarkStart w:id="2120" w:name="_Toc88340369"/>
      <w:bookmarkStart w:id="2121" w:name="_Toc30326"/>
      <w:r>
        <w:rPr>
          <w:rFonts w:hint="eastAsia" w:ascii="Times New Roman" w:hAnsi="Times New Roman" w:eastAsia="宋体" w:cs="Times New Roman"/>
          <w:b/>
          <w:sz w:val="44"/>
          <w:szCs w:val="44"/>
        </w:rPr>
        <w:t>《毕业论文》课程教学大纲</w:t>
      </w:r>
      <w:bookmarkEnd w:id="2115"/>
      <w:bookmarkEnd w:id="2116"/>
      <w:bookmarkEnd w:id="2117"/>
      <w:bookmarkEnd w:id="2118"/>
      <w:bookmarkEnd w:id="2119"/>
      <w:bookmarkEnd w:id="2120"/>
      <w:bookmarkEnd w:id="2121"/>
    </w:p>
    <w:p w14:paraId="29F8BEAB">
      <w:pPr>
        <w:spacing w:line="360" w:lineRule="auto"/>
        <w:jc w:val="center"/>
        <w:rPr>
          <w:rFonts w:ascii="Times New Roman" w:hAnsi="Times New Roman" w:eastAsia="宋体" w:cs="Times New Roman"/>
          <w:b/>
          <w:bCs/>
          <w:sz w:val="28"/>
          <w:szCs w:val="28"/>
        </w:rPr>
      </w:pPr>
      <w:bookmarkStart w:id="2122" w:name="_Toc9745"/>
      <w:bookmarkStart w:id="2123" w:name="_Toc28133"/>
      <w:bookmarkStart w:id="2124" w:name="_Toc16746"/>
      <w:bookmarkStart w:id="2125" w:name="_Toc31193"/>
      <w:bookmarkStart w:id="2126" w:name="_Toc28960"/>
      <w:bookmarkStart w:id="2127" w:name="_Toc5964"/>
      <w:bookmarkStart w:id="2128" w:name="_Toc20309"/>
      <w:r>
        <w:rPr>
          <w:rFonts w:ascii="Times New Roman" w:hAnsi="Times New Roman" w:eastAsia="宋体" w:cs="Times New Roman"/>
          <w:b/>
          <w:bCs/>
          <w:sz w:val="28"/>
          <w:szCs w:val="28"/>
        </w:rPr>
        <w:t>（Graduation T</w:t>
      </w:r>
      <w:r>
        <w:rPr>
          <w:rFonts w:hint="eastAsia" w:ascii="Times New Roman" w:hAnsi="Times New Roman" w:eastAsia="宋体" w:cs="Times New Roman"/>
          <w:b/>
          <w:bCs/>
          <w:sz w:val="28"/>
          <w:szCs w:val="28"/>
        </w:rPr>
        <w:t>hesis</w:t>
      </w:r>
      <w:r>
        <w:rPr>
          <w:rFonts w:ascii="Times New Roman" w:hAnsi="Times New Roman" w:eastAsia="宋体" w:cs="Times New Roman"/>
          <w:b/>
          <w:bCs/>
          <w:sz w:val="28"/>
          <w:szCs w:val="28"/>
        </w:rPr>
        <w:t>）</w:t>
      </w:r>
      <w:bookmarkEnd w:id="2122"/>
      <w:bookmarkEnd w:id="2123"/>
      <w:bookmarkEnd w:id="2124"/>
      <w:bookmarkEnd w:id="2125"/>
      <w:bookmarkEnd w:id="2126"/>
      <w:bookmarkEnd w:id="2127"/>
      <w:bookmarkEnd w:id="2128"/>
    </w:p>
    <w:p w14:paraId="46B76DAD">
      <w:pPr>
        <w:spacing w:line="360" w:lineRule="auto"/>
        <w:ind w:firstLine="482" w:firstLineChars="200"/>
        <w:jc w:val="left"/>
        <w:rPr>
          <w:rFonts w:ascii="Times New Roman" w:hAnsi="Times New Roman" w:eastAsia="宋体" w:cs="Times New Roman"/>
          <w:b/>
          <w:sz w:val="24"/>
        </w:rPr>
      </w:pPr>
    </w:p>
    <w:p w14:paraId="05F77199">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课程名称：毕业论文</w:t>
      </w:r>
    </w:p>
    <w:p w14:paraId="00CDB5B4">
      <w:pPr>
        <w:spacing w:line="360" w:lineRule="auto"/>
        <w:ind w:firstLine="482" w:firstLineChars="200"/>
        <w:jc w:val="left"/>
        <w:rPr>
          <w:rFonts w:ascii="Times New Roman" w:hAnsi="Times New Roman" w:eastAsia="宋体" w:cs="Times New Roman"/>
          <w:b/>
          <w:sz w:val="24"/>
        </w:rPr>
      </w:pPr>
      <w:r>
        <w:rPr>
          <w:rFonts w:hint="eastAsia" w:ascii="Times New Roman" w:hAnsi="Times New Roman" w:eastAsia="宋体" w:cs="Times New Roman"/>
          <w:b/>
          <w:sz w:val="24"/>
        </w:rPr>
        <w:t>课程代码：2401052</w:t>
      </w:r>
    </w:p>
    <w:p w14:paraId="6EC079ED">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分：8</w:t>
      </w:r>
    </w:p>
    <w:p w14:paraId="69127A7F">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 xml:space="preserve">学 </w:t>
      </w:r>
      <w:r>
        <w:rPr>
          <w:rFonts w:ascii="Times New Roman" w:hAnsi="Times New Roman" w:eastAsia="宋体" w:cs="Times New Roman"/>
          <w:b/>
          <w:sz w:val="24"/>
        </w:rPr>
        <w:t xml:space="preserve">   </w:t>
      </w:r>
      <w:r>
        <w:rPr>
          <w:rFonts w:hint="eastAsia" w:ascii="Times New Roman" w:hAnsi="Times New Roman" w:eastAsia="宋体" w:cs="Times New Roman"/>
          <w:b/>
          <w:sz w:val="24"/>
        </w:rPr>
        <w:t>时：8周</w:t>
      </w:r>
    </w:p>
    <w:p w14:paraId="04F25A31">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先修课程：小学教育专业人才培养方案中的所有其他课程</w:t>
      </w:r>
    </w:p>
    <w:p w14:paraId="607ACD89">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sz w:val="24"/>
        </w:rPr>
        <w:t>适用专业：小学教育</w:t>
      </w:r>
    </w:p>
    <w:p w14:paraId="622BE266">
      <w:pPr>
        <w:spacing w:before="62" w:beforeLines="20" w:after="62" w:afterLines="20" w:line="360" w:lineRule="auto"/>
        <w:jc w:val="left"/>
        <w:rPr>
          <w:rFonts w:ascii="Times New Roman" w:hAnsi="Times New Roman" w:eastAsia="宋体" w:cs="Times New Roman"/>
          <w:b/>
          <w:sz w:val="24"/>
        </w:rPr>
      </w:pPr>
      <w:bookmarkStart w:id="2129" w:name="_Toc6985"/>
      <w:bookmarkStart w:id="2130" w:name="_Toc514"/>
      <w:bookmarkStart w:id="2131" w:name="_Toc28635"/>
      <w:bookmarkStart w:id="2132" w:name="_Toc8432"/>
      <w:bookmarkStart w:id="2133" w:name="_Toc30507"/>
      <w:bookmarkStart w:id="2134" w:name="_Toc29123"/>
      <w:bookmarkStart w:id="2135" w:name="_Toc11447"/>
      <w:r>
        <w:rPr>
          <w:rFonts w:hint="eastAsia" w:ascii="Times New Roman" w:hAnsi="Times New Roman" w:eastAsia="宋体" w:cs="Times New Roman"/>
          <w:b/>
          <w:sz w:val="24"/>
        </w:rPr>
        <w:t>一、课程简介</w:t>
      </w:r>
      <w:bookmarkEnd w:id="2129"/>
      <w:bookmarkEnd w:id="2130"/>
      <w:bookmarkEnd w:id="2131"/>
      <w:bookmarkEnd w:id="2132"/>
      <w:bookmarkEnd w:id="2133"/>
      <w:bookmarkEnd w:id="2134"/>
      <w:bookmarkEnd w:id="2135"/>
    </w:p>
    <w:p w14:paraId="489956E5">
      <w:pPr>
        <w:autoSpaceDE w:val="0"/>
        <w:autoSpaceDN w:val="0"/>
        <w:adjustRightInd w:val="0"/>
        <w:spacing w:line="348" w:lineRule="auto"/>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毕业论文工作是学生综合运用所学的基础理论、基本知识和基本技能，分析和解决教育教学、社会实践中的实际问题的实践锻炼过程，也是学生在校学习期间学习成果的综合性总结，是整个人才培养过程中不可或缺的重要环节，对于培养学生的科学研究能力、创新能力具有重要意义。</w:t>
      </w:r>
    </w:p>
    <w:p w14:paraId="3DA761FD">
      <w:pPr>
        <w:spacing w:before="62" w:beforeLines="20" w:after="62" w:afterLines="20" w:line="360" w:lineRule="auto"/>
        <w:jc w:val="left"/>
        <w:rPr>
          <w:rFonts w:ascii="Times New Roman" w:hAnsi="Times New Roman" w:eastAsia="宋体" w:cs="Times New Roman"/>
          <w:b/>
          <w:sz w:val="24"/>
        </w:rPr>
      </w:pPr>
      <w:bookmarkStart w:id="2136" w:name="_Toc16668"/>
      <w:bookmarkStart w:id="2137" w:name="_Toc20765"/>
      <w:bookmarkStart w:id="2138" w:name="_Toc14672"/>
      <w:bookmarkStart w:id="2139" w:name="_Toc22671"/>
      <w:bookmarkStart w:id="2140" w:name="_Toc16033"/>
      <w:bookmarkStart w:id="2141" w:name="_Toc21546"/>
      <w:bookmarkStart w:id="2142" w:name="_Toc1002"/>
      <w:r>
        <w:rPr>
          <w:rFonts w:hint="eastAsia" w:ascii="Times New Roman" w:hAnsi="Times New Roman" w:eastAsia="宋体" w:cs="Times New Roman"/>
          <w:b/>
          <w:sz w:val="24"/>
        </w:rPr>
        <w:t>二</w:t>
      </w:r>
      <w:r>
        <w:rPr>
          <w:rFonts w:ascii="Times New Roman" w:hAnsi="Times New Roman" w:eastAsia="宋体" w:cs="Times New Roman"/>
          <w:b/>
          <w:sz w:val="24"/>
        </w:rPr>
        <w:t>、课程目标</w:t>
      </w:r>
      <w:bookmarkEnd w:id="2136"/>
      <w:bookmarkEnd w:id="2137"/>
      <w:bookmarkEnd w:id="2138"/>
      <w:bookmarkEnd w:id="2139"/>
      <w:bookmarkEnd w:id="2140"/>
      <w:bookmarkEnd w:id="2141"/>
      <w:bookmarkEnd w:id="2142"/>
    </w:p>
    <w:p w14:paraId="5966F5BC">
      <w:pPr>
        <w:spacing w:line="348" w:lineRule="auto"/>
        <w:jc w:val="left"/>
        <w:outlineLvl w:val="1"/>
        <w:rPr>
          <w:rFonts w:ascii="Times New Roman" w:hAnsi="Times New Roman" w:eastAsia="宋体" w:cs="Times New Roman"/>
          <w:b/>
          <w:bCs/>
          <w:szCs w:val="21"/>
        </w:rPr>
      </w:pPr>
      <w:bookmarkStart w:id="2143" w:name="_Toc3334"/>
      <w:r>
        <w:rPr>
          <w:rFonts w:hint="eastAsia" w:ascii="Times New Roman" w:hAnsi="Times New Roman" w:eastAsia="宋体" w:cs="Times New Roman"/>
          <w:b/>
          <w:bCs/>
          <w:szCs w:val="21"/>
        </w:rPr>
        <w:t>（一）课程具体目标</w:t>
      </w:r>
      <w:bookmarkEnd w:id="2143"/>
    </w:p>
    <w:p w14:paraId="5DEE0A6E">
      <w:pPr>
        <w:spacing w:line="348"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bCs/>
          <w:szCs w:val="21"/>
        </w:rPr>
        <w:t>目标</w:t>
      </w:r>
      <w:r>
        <w:rPr>
          <w:rFonts w:ascii="Times New Roman" w:hAnsi="Times New Roman" w:eastAsia="宋体" w:cs="Times New Roman"/>
          <w:b/>
          <w:bCs/>
          <w:szCs w:val="21"/>
        </w:rPr>
        <w:t>1.</w:t>
      </w:r>
      <w:r>
        <w:rPr>
          <w:rFonts w:hint="eastAsia" w:ascii="Times New Roman" w:hAnsi="Times New Roman" w:eastAsia="宋体" w:cs="Times New Roman"/>
          <w:szCs w:val="21"/>
        </w:rPr>
        <w:t xml:space="preserve"> 通过大量的文献阅读，结合以往课程中教学观摩、教育见习实习等经验，进一步综合已学习的小学教育教学基本理论及学科教学知识等，确定有价值的研究问题，制定科学的研究计划，在导师指导下，独立完成毕业论文的撰写。</w:t>
      </w:r>
    </w:p>
    <w:p w14:paraId="101315B3">
      <w:pPr>
        <w:spacing w:line="348" w:lineRule="auto"/>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bCs/>
          <w:szCs w:val="21"/>
        </w:rPr>
        <w:t>目标2</w:t>
      </w:r>
      <w:r>
        <w:rPr>
          <w:rFonts w:ascii="Times New Roman" w:hAnsi="Times New Roman" w:eastAsia="宋体" w:cs="Times New Roman"/>
          <w:b/>
          <w:bCs/>
          <w:szCs w:val="21"/>
        </w:rPr>
        <w:t xml:space="preserve">. </w:t>
      </w:r>
      <w:r>
        <w:rPr>
          <w:rFonts w:hint="eastAsia" w:ascii="Times New Roman" w:hAnsi="Times New Roman" w:eastAsia="宋体" w:cs="Times New Roman"/>
          <w:szCs w:val="21"/>
        </w:rPr>
        <w:t>能够运用较科学的研究方法，设计逻辑清晰的研究过程，批判性分析小学教育、教学的问题，培养严谨的思维品质，提高反思意识以及综合分析问题、解决问题的能力。</w:t>
      </w:r>
    </w:p>
    <w:p w14:paraId="4734318B">
      <w:pPr>
        <w:spacing w:line="348"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目标3.</w:t>
      </w:r>
      <w:r>
        <w:rPr>
          <w:rFonts w:ascii="Times New Roman" w:hAnsi="Times New Roman" w:eastAsia="宋体" w:cs="Times New Roman"/>
          <w:b/>
          <w:bCs/>
          <w:szCs w:val="21"/>
        </w:rPr>
        <w:t xml:space="preserve"> </w:t>
      </w:r>
      <w:r>
        <w:rPr>
          <w:rFonts w:hint="eastAsia" w:ascii="Times New Roman" w:hAnsi="Times New Roman" w:eastAsia="宋体" w:cs="Times New Roman"/>
          <w:szCs w:val="21"/>
        </w:rPr>
        <w:t>掌握信息获取和处理等方面的方法，具备阅读理解、语言与文字表达、交流沟通的技能，提升人际沟通能力。</w:t>
      </w:r>
    </w:p>
    <w:p w14:paraId="385D8035">
      <w:pPr>
        <w:spacing w:line="348" w:lineRule="auto"/>
        <w:ind w:firstLine="422" w:firstLineChars="200"/>
        <w:rPr>
          <w:rFonts w:ascii="Times New Roman" w:hAnsi="Times New Roman" w:eastAsia="宋体" w:cs="Times New Roman"/>
          <w:szCs w:val="21"/>
        </w:rPr>
      </w:pPr>
      <w:r>
        <w:rPr>
          <w:rFonts w:hint="eastAsia" w:ascii="Times New Roman" w:hAnsi="Times New Roman" w:eastAsia="宋体" w:cs="Times New Roman"/>
          <w:b/>
          <w:bCs/>
          <w:szCs w:val="21"/>
        </w:rPr>
        <w:t xml:space="preserve">目标4. </w:t>
      </w:r>
      <w:r>
        <w:rPr>
          <w:rFonts w:hint="eastAsia" w:ascii="Times New Roman" w:hAnsi="Times New Roman" w:eastAsia="宋体" w:cs="Times New Roman"/>
          <w:szCs w:val="21"/>
        </w:rPr>
        <w:t>理解教育研究的准则和规范，能够遵守研究伦理，恪守学术道德。</w:t>
      </w:r>
    </w:p>
    <w:p w14:paraId="760C3B81">
      <w:pPr>
        <w:spacing w:before="156" w:beforeLines="50" w:after="156" w:afterLines="50" w:line="360" w:lineRule="auto"/>
        <w:jc w:val="left"/>
        <w:outlineLvl w:val="1"/>
        <w:rPr>
          <w:rFonts w:ascii="Times New Roman" w:hAnsi="Times New Roman" w:eastAsia="宋体" w:cs="Times New Roman"/>
          <w:b/>
          <w:bCs/>
          <w:szCs w:val="21"/>
        </w:rPr>
      </w:pPr>
      <w:bookmarkStart w:id="2144" w:name="_Toc24283"/>
      <w:r>
        <w:rPr>
          <w:rFonts w:hint="eastAsia" w:ascii="Times New Roman" w:hAnsi="Times New Roman" w:eastAsia="宋体" w:cs="Times New Roman"/>
          <w:b/>
          <w:bCs/>
          <w:szCs w:val="21"/>
        </w:rPr>
        <w:t>（二）课程目标及其对毕业要求指标点的支撑</w:t>
      </w:r>
      <w:bookmarkEnd w:id="2144"/>
    </w:p>
    <w:tbl>
      <w:tblPr>
        <w:tblStyle w:val="11"/>
        <w:tblW w:w="89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5914"/>
        <w:gridCol w:w="1286"/>
      </w:tblGrid>
      <w:tr w14:paraId="1B721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4E53C44A">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毕业要求</w:t>
            </w:r>
          </w:p>
        </w:tc>
        <w:tc>
          <w:tcPr>
            <w:tcW w:w="5914" w:type="dxa"/>
            <w:vAlign w:val="center"/>
          </w:tcPr>
          <w:p w14:paraId="7E9E319B">
            <w:pPr>
              <w:adjustRightInd w:val="0"/>
              <w:snapToGrid w:val="0"/>
              <w:spacing w:line="276" w:lineRule="auto"/>
              <w:jc w:val="center"/>
              <w:rPr>
                <w:rFonts w:hint="eastAsia" w:ascii="宋体" w:hAnsi="宋体" w:eastAsia="宋体" w:cs="宋体"/>
                <w:b/>
                <w:bCs/>
                <w:szCs w:val="21"/>
              </w:rPr>
            </w:pPr>
            <w:r>
              <w:rPr>
                <w:rFonts w:hint="eastAsia" w:ascii="宋体" w:hAnsi="宋体" w:eastAsia="宋体" w:cs="宋体"/>
                <w:b/>
                <w:bCs/>
                <w:szCs w:val="21"/>
              </w:rPr>
              <w:t>毕业要求指标点</w:t>
            </w:r>
          </w:p>
        </w:tc>
        <w:tc>
          <w:tcPr>
            <w:tcW w:w="1286" w:type="dxa"/>
            <w:vAlign w:val="center"/>
          </w:tcPr>
          <w:p w14:paraId="15E208A3">
            <w:pPr>
              <w:adjustRightInd w:val="0"/>
              <w:snapToGrid w:val="0"/>
              <w:spacing w:line="276" w:lineRule="auto"/>
              <w:rPr>
                <w:rFonts w:hint="eastAsia" w:ascii="宋体" w:hAnsi="宋体" w:eastAsia="宋体" w:cs="宋体"/>
                <w:b/>
                <w:bCs/>
                <w:szCs w:val="21"/>
              </w:rPr>
            </w:pPr>
            <w:r>
              <w:rPr>
                <w:rFonts w:hint="eastAsia" w:ascii="宋体" w:hAnsi="宋体" w:eastAsia="宋体" w:cs="宋体"/>
                <w:b/>
                <w:bCs/>
                <w:szCs w:val="21"/>
              </w:rPr>
              <w:t>课程目标</w:t>
            </w:r>
          </w:p>
        </w:tc>
      </w:tr>
      <w:tr w14:paraId="0712F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03BB1DD6">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毕业要求1</w:t>
            </w:r>
          </w:p>
          <w:p w14:paraId="3C743FFB">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师德规范</w:t>
            </w:r>
          </w:p>
        </w:tc>
        <w:tc>
          <w:tcPr>
            <w:tcW w:w="5914" w:type="dxa"/>
            <w:vAlign w:val="center"/>
          </w:tcPr>
          <w:p w14:paraId="52C76496">
            <w:pPr>
              <w:adjustRightInd w:val="0"/>
              <w:snapToGrid w:val="0"/>
              <w:spacing w:line="276" w:lineRule="auto"/>
              <w:rPr>
                <w:rFonts w:hint="eastAsia" w:ascii="宋体" w:hAnsi="宋体" w:eastAsia="宋体" w:cs="宋体"/>
                <w:kern w:val="0"/>
                <w:szCs w:val="21"/>
              </w:rPr>
            </w:pPr>
            <w:r>
              <w:rPr>
                <w:rFonts w:hint="eastAsia" w:ascii="宋体" w:hAnsi="宋体" w:eastAsia="宋体" w:cs="宋体"/>
                <w:b/>
                <w:kern w:val="0"/>
                <w:szCs w:val="21"/>
              </w:rPr>
              <w:t>指标点1-1</w:t>
            </w:r>
            <w:r>
              <w:rPr>
                <w:rFonts w:hint="eastAsia" w:ascii="宋体" w:hAnsi="宋体" w:eastAsia="宋体" w:cs="宋体"/>
                <w:kern w:val="0"/>
                <w:szCs w:val="21"/>
              </w:rPr>
              <w:t>：【理想信念坚定】了解我国国情及国际局势，深刻理解新时代中国特色社会主义思想内涵，高度认识其对中国式现代化建设的指导意义；认同中国特色社会主义，贯彻党的教育方针，自觉践行社会主义核心价值观；认同教师劳动的价值，树立职业理想，立志成为有理想信念、有道德情操、有扎实学识、有仁爱之心受学生爱戴的好老师。</w:t>
            </w:r>
          </w:p>
        </w:tc>
        <w:tc>
          <w:tcPr>
            <w:tcW w:w="1286" w:type="dxa"/>
            <w:vAlign w:val="center"/>
          </w:tcPr>
          <w:p w14:paraId="466AB79E">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课程目标4</w:t>
            </w:r>
          </w:p>
        </w:tc>
      </w:tr>
      <w:tr w14:paraId="66514F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48" w:type="dxa"/>
            <w:vAlign w:val="center"/>
          </w:tcPr>
          <w:p w14:paraId="7E60DA4E">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毕业要求4</w:t>
            </w:r>
          </w:p>
          <w:p w14:paraId="64A3D69F">
            <w:pPr>
              <w:adjustRightInd w:val="0"/>
              <w:snapToGrid w:val="0"/>
              <w:spacing w:line="276" w:lineRule="auto"/>
              <w:jc w:val="center"/>
              <w:rPr>
                <w:rFonts w:hint="eastAsia" w:ascii="宋体" w:hAnsi="宋体" w:eastAsia="宋体" w:cs="宋体"/>
                <w:bCs/>
                <w:szCs w:val="21"/>
              </w:rPr>
            </w:pPr>
            <w:r>
              <w:rPr>
                <w:rFonts w:hint="eastAsia" w:ascii="宋体" w:hAnsi="宋体" w:eastAsia="宋体" w:cs="宋体"/>
                <w:bCs/>
                <w:szCs w:val="21"/>
              </w:rPr>
              <w:t>教学能力</w:t>
            </w:r>
          </w:p>
        </w:tc>
        <w:tc>
          <w:tcPr>
            <w:tcW w:w="5914" w:type="dxa"/>
            <w:vAlign w:val="center"/>
          </w:tcPr>
          <w:p w14:paraId="7C6D8E5D">
            <w:pPr>
              <w:adjustRightInd w:val="0"/>
              <w:snapToGrid w:val="0"/>
              <w:spacing w:line="276" w:lineRule="auto"/>
              <w:rPr>
                <w:rFonts w:hint="eastAsia" w:ascii="宋体" w:hAnsi="宋体" w:eastAsia="宋体" w:cs="宋体"/>
                <w:szCs w:val="21"/>
              </w:rPr>
            </w:pPr>
            <w:r>
              <w:rPr>
                <w:rFonts w:hint="eastAsia" w:ascii="宋体" w:hAnsi="宋体" w:eastAsia="宋体" w:cs="宋体"/>
                <w:b/>
                <w:szCs w:val="21"/>
              </w:rPr>
              <w:t>指标点4-3</w:t>
            </w:r>
            <w:r>
              <w:rPr>
                <w:rFonts w:hint="eastAsia" w:ascii="宋体" w:hAnsi="宋体" w:eastAsia="宋体" w:cs="宋体"/>
                <w:szCs w:val="21"/>
              </w:rPr>
              <w:t>：【教学实施与评价科学】掌握小学教师基本功技能，包括书写技能、沟通与表达技能、信息技术运用技能等。获得全面的小学教学体验，掌握学科教学的基本方法与策略，能独立进行教学实施和评价。</w:t>
            </w:r>
          </w:p>
          <w:p w14:paraId="11FB889D">
            <w:pPr>
              <w:adjustRightInd w:val="0"/>
              <w:snapToGrid w:val="0"/>
              <w:spacing w:line="276" w:lineRule="auto"/>
              <w:rPr>
                <w:rFonts w:hint="eastAsia" w:ascii="宋体" w:hAnsi="宋体" w:eastAsia="宋体" w:cs="宋体"/>
                <w:szCs w:val="21"/>
              </w:rPr>
            </w:pPr>
            <w:r>
              <w:rPr>
                <w:rFonts w:hint="eastAsia" w:ascii="宋体" w:hAnsi="宋体" w:eastAsia="宋体" w:cs="宋体"/>
                <w:b/>
                <w:kern w:val="0"/>
                <w:szCs w:val="21"/>
              </w:rPr>
              <w:t>指标点4-4</w:t>
            </w:r>
            <w:r>
              <w:rPr>
                <w:rFonts w:hint="eastAsia" w:ascii="宋体" w:hAnsi="宋体" w:eastAsia="宋体" w:cs="宋体"/>
                <w:szCs w:val="21"/>
              </w:rPr>
              <w:t>：【具备教学研究能力】掌握教育研究的基本方法，在教育教学实践中，结合小学教育教学实践进行研究，具有一定的教学研究能力。</w:t>
            </w:r>
          </w:p>
        </w:tc>
        <w:tc>
          <w:tcPr>
            <w:tcW w:w="1286" w:type="dxa"/>
            <w:vAlign w:val="center"/>
          </w:tcPr>
          <w:p w14:paraId="79B4A834">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课程目标1</w:t>
            </w:r>
          </w:p>
          <w:p w14:paraId="22A5C36F">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课程目标2</w:t>
            </w:r>
          </w:p>
          <w:p w14:paraId="4C474C92">
            <w:pPr>
              <w:adjustRightInd w:val="0"/>
              <w:snapToGrid w:val="0"/>
              <w:spacing w:line="276" w:lineRule="auto"/>
              <w:jc w:val="left"/>
              <w:rPr>
                <w:rFonts w:hint="eastAsia" w:ascii="宋体" w:hAnsi="宋体" w:eastAsia="宋体" w:cs="宋体"/>
                <w:spacing w:val="2"/>
                <w:kern w:val="0"/>
                <w:szCs w:val="21"/>
              </w:rPr>
            </w:pPr>
            <w:r>
              <w:rPr>
                <w:rFonts w:hint="eastAsia" w:ascii="宋体" w:hAnsi="宋体" w:eastAsia="宋体" w:cs="宋体"/>
                <w:spacing w:val="2"/>
                <w:kern w:val="0"/>
                <w:szCs w:val="21"/>
              </w:rPr>
              <w:t>课程目标3</w:t>
            </w:r>
          </w:p>
        </w:tc>
      </w:tr>
      <w:tr w14:paraId="0E56EE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748" w:type="dxa"/>
            <w:vAlign w:val="center"/>
          </w:tcPr>
          <w:p w14:paraId="585C7479">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毕业要求7</w:t>
            </w:r>
          </w:p>
          <w:p w14:paraId="6DED1993">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学会反思</w:t>
            </w:r>
          </w:p>
        </w:tc>
        <w:tc>
          <w:tcPr>
            <w:tcW w:w="5914" w:type="dxa"/>
            <w:vAlign w:val="center"/>
          </w:tcPr>
          <w:p w14:paraId="3BFB1184">
            <w:pPr>
              <w:adjustRightInd w:val="0"/>
              <w:snapToGrid w:val="0"/>
              <w:spacing w:line="276" w:lineRule="auto"/>
              <w:rPr>
                <w:rFonts w:hint="eastAsia" w:ascii="宋体" w:hAnsi="宋体" w:eastAsia="宋体" w:cs="宋体"/>
                <w:kern w:val="0"/>
                <w:szCs w:val="21"/>
              </w:rPr>
            </w:pPr>
            <w:r>
              <w:rPr>
                <w:rFonts w:hint="eastAsia" w:ascii="宋体" w:hAnsi="宋体" w:eastAsia="宋体" w:cs="宋体"/>
                <w:b/>
                <w:kern w:val="0"/>
                <w:szCs w:val="21"/>
              </w:rPr>
              <w:t>指标点7-1</w:t>
            </w:r>
            <w:r>
              <w:rPr>
                <w:rFonts w:hint="eastAsia" w:ascii="宋体" w:hAnsi="宋体" w:eastAsia="宋体" w:cs="宋体"/>
                <w:kern w:val="0"/>
                <w:szCs w:val="21"/>
              </w:rPr>
              <w:t>：【教育视野开阔】积极关注基础教育领域的国内外交流进展，了解国内外基础教育改革发展的动态，具有宽广的教育视野，能够主动适应新时代和教育发展需求。</w:t>
            </w:r>
          </w:p>
          <w:p w14:paraId="29DBCB33">
            <w:pPr>
              <w:adjustRightInd w:val="0"/>
              <w:snapToGrid w:val="0"/>
              <w:spacing w:line="276" w:lineRule="auto"/>
              <w:rPr>
                <w:rFonts w:hint="eastAsia" w:ascii="宋体" w:hAnsi="宋体" w:eastAsia="宋体" w:cs="宋体"/>
                <w:kern w:val="0"/>
                <w:szCs w:val="21"/>
              </w:rPr>
            </w:pPr>
            <w:r>
              <w:rPr>
                <w:rFonts w:hint="eastAsia" w:ascii="宋体" w:hAnsi="宋体" w:eastAsia="宋体" w:cs="宋体"/>
                <w:b/>
                <w:szCs w:val="21"/>
              </w:rPr>
              <w:t>指标点7-3</w:t>
            </w:r>
            <w:r>
              <w:rPr>
                <w:rFonts w:hint="eastAsia" w:ascii="宋体" w:hAnsi="宋体" w:eastAsia="宋体" w:cs="宋体"/>
                <w:szCs w:val="21"/>
              </w:rPr>
              <w:t>：【反思改进良好】具有反思意识和批判性思维素养，初步掌握反思方法和技能，具有一定创新意识，掌握收集和挖掘教育教学实践中的案例、关键事件的方法，不断进行反思，启发教育教学工作。对在日常学习和教育实践中发现的教育现象和问题，进行探索和研究，有自己的思考和见解。</w:t>
            </w:r>
          </w:p>
        </w:tc>
        <w:tc>
          <w:tcPr>
            <w:tcW w:w="1286" w:type="dxa"/>
            <w:vAlign w:val="center"/>
          </w:tcPr>
          <w:p w14:paraId="700F199F">
            <w:pPr>
              <w:adjustRightInd w:val="0"/>
              <w:snapToGrid w:val="0"/>
              <w:spacing w:line="276" w:lineRule="auto"/>
              <w:jc w:val="left"/>
              <w:rPr>
                <w:rFonts w:hint="eastAsia" w:ascii="宋体" w:hAnsi="宋体" w:eastAsia="宋体" w:cs="宋体"/>
                <w:kern w:val="0"/>
                <w:szCs w:val="21"/>
              </w:rPr>
            </w:pPr>
            <w:r>
              <w:rPr>
                <w:rFonts w:hint="eastAsia" w:ascii="宋体" w:hAnsi="宋体" w:eastAsia="宋体" w:cs="宋体"/>
                <w:kern w:val="0"/>
                <w:szCs w:val="21"/>
              </w:rPr>
              <w:t>课程目标2</w:t>
            </w:r>
          </w:p>
        </w:tc>
      </w:tr>
      <w:tr w14:paraId="79F93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8" w:type="dxa"/>
            <w:vAlign w:val="center"/>
          </w:tcPr>
          <w:p w14:paraId="3808D3E8">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毕业要求8</w:t>
            </w:r>
          </w:p>
          <w:p w14:paraId="45B64D96">
            <w:pPr>
              <w:adjustRightInd w:val="0"/>
              <w:snapToGrid w:val="0"/>
              <w:spacing w:line="276" w:lineRule="auto"/>
              <w:jc w:val="center"/>
              <w:rPr>
                <w:rFonts w:hint="eastAsia" w:ascii="宋体" w:hAnsi="宋体" w:eastAsia="宋体" w:cs="宋体"/>
                <w:szCs w:val="21"/>
              </w:rPr>
            </w:pPr>
            <w:r>
              <w:rPr>
                <w:rFonts w:hint="eastAsia" w:ascii="宋体" w:hAnsi="宋体" w:eastAsia="宋体" w:cs="宋体"/>
                <w:szCs w:val="21"/>
              </w:rPr>
              <w:t>沟通能力</w:t>
            </w:r>
          </w:p>
        </w:tc>
        <w:tc>
          <w:tcPr>
            <w:tcW w:w="5914" w:type="dxa"/>
            <w:vAlign w:val="center"/>
          </w:tcPr>
          <w:p w14:paraId="7DCB5951">
            <w:pPr>
              <w:adjustRightInd w:val="0"/>
              <w:snapToGrid w:val="0"/>
              <w:spacing w:line="276" w:lineRule="auto"/>
              <w:rPr>
                <w:rFonts w:hint="eastAsia" w:ascii="宋体" w:hAnsi="宋体" w:eastAsia="宋体" w:cs="宋体"/>
                <w:spacing w:val="2"/>
                <w:kern w:val="0"/>
                <w:szCs w:val="21"/>
              </w:rPr>
            </w:pPr>
            <w:r>
              <w:rPr>
                <w:rFonts w:hint="eastAsia" w:ascii="宋体" w:hAnsi="宋体" w:eastAsia="宋体" w:cs="宋体"/>
                <w:b/>
                <w:kern w:val="0"/>
                <w:szCs w:val="21"/>
              </w:rPr>
              <w:t>指标点8-2</w:t>
            </w:r>
            <w:r>
              <w:rPr>
                <w:rFonts w:hint="eastAsia" w:ascii="宋体" w:hAnsi="宋体" w:eastAsia="宋体" w:cs="宋体"/>
                <w:szCs w:val="21"/>
              </w:rPr>
              <w:t>：【学会沟通交流】掌握人际沟通合作技能与方法，在教育教学实践中，能与学生和家长以及同行、同事、专家进行有效沟通与合作，实现共同发展。</w:t>
            </w:r>
          </w:p>
        </w:tc>
        <w:tc>
          <w:tcPr>
            <w:tcW w:w="1286" w:type="dxa"/>
            <w:vAlign w:val="center"/>
          </w:tcPr>
          <w:p w14:paraId="7D2E72DB">
            <w:pPr>
              <w:adjustRightInd w:val="0"/>
              <w:snapToGrid w:val="0"/>
              <w:spacing w:line="276" w:lineRule="auto"/>
              <w:jc w:val="left"/>
              <w:rPr>
                <w:rFonts w:hint="eastAsia" w:ascii="宋体" w:hAnsi="宋体" w:eastAsia="宋体" w:cs="宋体"/>
                <w:szCs w:val="21"/>
              </w:rPr>
            </w:pPr>
            <w:r>
              <w:rPr>
                <w:rFonts w:hint="eastAsia" w:ascii="宋体" w:hAnsi="宋体" w:eastAsia="宋体" w:cs="宋体"/>
                <w:szCs w:val="21"/>
              </w:rPr>
              <w:t>课程目标3</w:t>
            </w:r>
          </w:p>
        </w:tc>
      </w:tr>
    </w:tbl>
    <w:p w14:paraId="68570684">
      <w:pPr>
        <w:adjustRightInd w:val="0"/>
        <w:snapToGrid w:val="0"/>
        <w:spacing w:before="156" w:beforeLines="50" w:line="360" w:lineRule="auto"/>
        <w:jc w:val="left"/>
        <w:outlineLvl w:val="1"/>
        <w:rPr>
          <w:rFonts w:hint="eastAsia" w:ascii="宋体" w:hAnsi="宋体" w:eastAsia="宋体" w:cs="Times New Roman"/>
          <w:b/>
          <w:sz w:val="24"/>
        </w:rPr>
      </w:pPr>
      <w:bookmarkStart w:id="2145" w:name="_Toc5628"/>
      <w:r>
        <w:rPr>
          <w:rFonts w:hint="eastAsia" w:ascii="宋体" w:hAnsi="宋体" w:eastAsia="宋体" w:cs="Times New Roman"/>
          <w:b/>
          <w:szCs w:val="21"/>
        </w:rPr>
        <w:t>（三）课程思政目标</w:t>
      </w:r>
      <w:bookmarkEnd w:id="2145"/>
    </w:p>
    <w:p w14:paraId="6DA1F2DB">
      <w:pPr>
        <w:adjustRightInd w:val="0"/>
        <w:snapToGrid w:val="0"/>
        <w:spacing w:line="348"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坚定理想信念，自觉践行社会主义核心价值观；坚守学术道德和科研伦理，践行学术规范，让学术道德和科学精神内化于心、外化于行，自觉维护风清气正、严谨求是的科研环境。</w:t>
      </w:r>
    </w:p>
    <w:p w14:paraId="78EEB3E4">
      <w:pPr>
        <w:spacing w:before="62" w:beforeLines="20" w:after="62" w:afterLines="20" w:line="360" w:lineRule="auto"/>
        <w:jc w:val="left"/>
        <w:rPr>
          <w:rFonts w:ascii="Times New Roman" w:hAnsi="Times New Roman" w:eastAsia="宋体" w:cs="Times New Roman"/>
          <w:b/>
          <w:sz w:val="24"/>
        </w:rPr>
      </w:pPr>
      <w:bookmarkStart w:id="2146" w:name="_Toc7979"/>
      <w:bookmarkStart w:id="2147" w:name="_Toc3758"/>
      <w:bookmarkStart w:id="2148" w:name="_Toc8451"/>
      <w:bookmarkStart w:id="2149" w:name="_Toc25756"/>
      <w:bookmarkStart w:id="2150" w:name="_Toc32681"/>
      <w:bookmarkStart w:id="2151" w:name="_Toc8155"/>
      <w:bookmarkStart w:id="2152" w:name="_Toc6538"/>
      <w:r>
        <w:rPr>
          <w:rFonts w:hint="eastAsia" w:ascii="Times New Roman" w:hAnsi="Times New Roman" w:eastAsia="宋体" w:cs="Times New Roman"/>
          <w:b/>
          <w:sz w:val="24"/>
        </w:rPr>
        <w:t>三、教学内容与预期学习成效</w:t>
      </w:r>
      <w:bookmarkEnd w:id="2146"/>
      <w:bookmarkEnd w:id="2147"/>
      <w:bookmarkEnd w:id="2148"/>
      <w:bookmarkEnd w:id="2149"/>
      <w:bookmarkEnd w:id="2150"/>
      <w:bookmarkEnd w:id="2151"/>
      <w:bookmarkEnd w:id="2152"/>
    </w:p>
    <w:tbl>
      <w:tblPr>
        <w:tblStyle w:val="12"/>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1531"/>
        <w:gridCol w:w="1304"/>
        <w:gridCol w:w="3372"/>
        <w:gridCol w:w="1516"/>
        <w:gridCol w:w="451"/>
      </w:tblGrid>
      <w:tr w14:paraId="0A84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14:paraId="7878273D">
            <w:pPr>
              <w:jc w:val="center"/>
              <w:rPr>
                <w:rFonts w:hint="eastAsia" w:ascii="宋体" w:hAnsi="宋体" w:eastAsia="宋体" w:cs="Times New Roman"/>
                <w:b/>
                <w:szCs w:val="21"/>
              </w:rPr>
            </w:pPr>
            <w:r>
              <w:rPr>
                <w:rFonts w:hint="eastAsia" w:ascii="宋体" w:hAnsi="宋体" w:eastAsia="宋体" w:cs="Times New Roman"/>
                <w:b/>
                <w:szCs w:val="21"/>
              </w:rPr>
              <w:t>知识</w:t>
            </w:r>
          </w:p>
          <w:p w14:paraId="34864147">
            <w:pPr>
              <w:jc w:val="center"/>
              <w:rPr>
                <w:rFonts w:hint="eastAsia" w:ascii="宋体" w:hAnsi="宋体" w:eastAsia="宋体" w:cs="Times New Roman"/>
                <w:b/>
                <w:szCs w:val="21"/>
              </w:rPr>
            </w:pPr>
            <w:r>
              <w:rPr>
                <w:rFonts w:hint="eastAsia" w:ascii="宋体" w:hAnsi="宋体" w:eastAsia="宋体" w:cs="Times New Roman"/>
                <w:b/>
                <w:szCs w:val="21"/>
              </w:rPr>
              <w:t>单元</w:t>
            </w:r>
          </w:p>
        </w:tc>
        <w:tc>
          <w:tcPr>
            <w:tcW w:w="1531" w:type="dxa"/>
            <w:vAlign w:val="center"/>
          </w:tcPr>
          <w:p w14:paraId="1D830CD9">
            <w:pPr>
              <w:jc w:val="center"/>
              <w:rPr>
                <w:rFonts w:hint="eastAsia" w:ascii="宋体" w:hAnsi="宋体" w:eastAsia="宋体" w:cs="Times New Roman"/>
                <w:b/>
                <w:szCs w:val="21"/>
              </w:rPr>
            </w:pPr>
            <w:r>
              <w:rPr>
                <w:rFonts w:hint="eastAsia" w:ascii="宋体" w:hAnsi="宋体" w:eastAsia="宋体" w:cs="Times New Roman"/>
                <w:b/>
                <w:szCs w:val="21"/>
              </w:rPr>
              <w:t>知识点</w:t>
            </w:r>
          </w:p>
        </w:tc>
        <w:tc>
          <w:tcPr>
            <w:tcW w:w="1304" w:type="dxa"/>
            <w:vAlign w:val="center"/>
          </w:tcPr>
          <w:p w14:paraId="4790A252">
            <w:pPr>
              <w:jc w:val="center"/>
              <w:rPr>
                <w:rFonts w:hint="eastAsia" w:ascii="宋体" w:hAnsi="宋体" w:eastAsia="宋体" w:cs="Times New Roman"/>
                <w:b/>
                <w:szCs w:val="21"/>
              </w:rPr>
            </w:pPr>
            <w:r>
              <w:rPr>
                <w:rFonts w:hint="eastAsia" w:ascii="宋体" w:hAnsi="宋体" w:eastAsia="宋体" w:cs="Times New Roman"/>
                <w:b/>
                <w:szCs w:val="21"/>
              </w:rPr>
              <w:t>对应</w:t>
            </w:r>
          </w:p>
          <w:p w14:paraId="12AFF431">
            <w:pPr>
              <w:jc w:val="center"/>
              <w:rPr>
                <w:rFonts w:hint="eastAsia" w:ascii="宋体" w:hAnsi="宋体" w:eastAsia="宋体" w:cs="Times New Roman"/>
                <w:b/>
                <w:szCs w:val="21"/>
              </w:rPr>
            </w:pPr>
            <w:r>
              <w:rPr>
                <w:rFonts w:hint="eastAsia" w:ascii="宋体" w:hAnsi="宋体" w:eastAsia="宋体" w:cs="Times New Roman"/>
                <w:b/>
                <w:szCs w:val="21"/>
              </w:rPr>
              <w:t>课程目标</w:t>
            </w:r>
          </w:p>
        </w:tc>
        <w:tc>
          <w:tcPr>
            <w:tcW w:w="3372" w:type="dxa"/>
            <w:vAlign w:val="center"/>
          </w:tcPr>
          <w:p w14:paraId="0337AB76">
            <w:pPr>
              <w:jc w:val="center"/>
              <w:rPr>
                <w:rFonts w:hint="eastAsia" w:ascii="宋体" w:hAnsi="宋体" w:eastAsia="宋体" w:cs="Times New Roman"/>
                <w:b/>
                <w:szCs w:val="21"/>
              </w:rPr>
            </w:pPr>
            <w:r>
              <w:rPr>
                <w:rFonts w:hint="eastAsia" w:ascii="宋体" w:hAnsi="宋体" w:eastAsia="宋体" w:cs="Times New Roman"/>
                <w:b/>
                <w:szCs w:val="21"/>
              </w:rPr>
              <w:t>预期学习成效</w:t>
            </w:r>
          </w:p>
        </w:tc>
        <w:tc>
          <w:tcPr>
            <w:tcW w:w="1516" w:type="dxa"/>
            <w:vAlign w:val="center"/>
          </w:tcPr>
          <w:p w14:paraId="09B96F10">
            <w:pPr>
              <w:jc w:val="center"/>
              <w:rPr>
                <w:rFonts w:hint="eastAsia" w:ascii="宋体" w:hAnsi="宋体" w:eastAsia="宋体" w:cs="Times New Roman"/>
                <w:b/>
                <w:szCs w:val="21"/>
              </w:rPr>
            </w:pPr>
            <w:r>
              <w:rPr>
                <w:rFonts w:hint="eastAsia" w:ascii="宋体" w:hAnsi="宋体" w:eastAsia="宋体" w:cs="Times New Roman"/>
                <w:b/>
                <w:szCs w:val="21"/>
              </w:rPr>
              <w:t>实现环节</w:t>
            </w:r>
          </w:p>
        </w:tc>
        <w:tc>
          <w:tcPr>
            <w:tcW w:w="451" w:type="dxa"/>
            <w:vAlign w:val="center"/>
          </w:tcPr>
          <w:p w14:paraId="29E67E33">
            <w:pPr>
              <w:jc w:val="center"/>
              <w:rPr>
                <w:rFonts w:hint="eastAsia" w:ascii="宋体" w:hAnsi="宋体" w:eastAsia="宋体" w:cs="Times New Roman"/>
                <w:b/>
                <w:szCs w:val="21"/>
              </w:rPr>
            </w:pPr>
            <w:r>
              <w:rPr>
                <w:rFonts w:hint="eastAsia" w:ascii="宋体" w:hAnsi="宋体" w:eastAsia="宋体" w:cs="Times New Roman"/>
                <w:b/>
                <w:szCs w:val="21"/>
              </w:rPr>
              <w:t>学时</w:t>
            </w:r>
          </w:p>
        </w:tc>
      </w:tr>
      <w:tr w14:paraId="10EF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E172D2B">
            <w:pPr>
              <w:spacing w:line="264" w:lineRule="auto"/>
              <w:jc w:val="center"/>
              <w:rPr>
                <w:rFonts w:hint="eastAsia" w:ascii="宋体" w:hAnsi="宋体" w:eastAsia="宋体" w:cs="Times New Roman"/>
                <w:szCs w:val="21"/>
              </w:rPr>
            </w:pPr>
            <w:r>
              <w:rPr>
                <w:rFonts w:hint="eastAsia" w:ascii="宋体" w:hAnsi="宋体" w:eastAsia="宋体" w:cs="Times New Roman"/>
                <w:szCs w:val="21"/>
              </w:rPr>
              <w:t>1.选题</w:t>
            </w:r>
          </w:p>
        </w:tc>
        <w:tc>
          <w:tcPr>
            <w:tcW w:w="1531" w:type="dxa"/>
            <w:vAlign w:val="center"/>
          </w:tcPr>
          <w:p w14:paraId="2A2C94B0">
            <w:pPr>
              <w:jc w:val="left"/>
              <w:rPr>
                <w:rFonts w:hint="eastAsia" w:ascii="宋体" w:hAnsi="宋体" w:eastAsia="宋体" w:cs="Times New Roman"/>
                <w:szCs w:val="21"/>
              </w:rPr>
            </w:pPr>
            <w:r>
              <w:rPr>
                <w:rFonts w:hint="eastAsia" w:ascii="宋体" w:hAnsi="宋体" w:eastAsia="宋体" w:cs="Times New Roman"/>
                <w:szCs w:val="21"/>
              </w:rPr>
              <w:t>（1）毕业论文写作动员</w:t>
            </w:r>
          </w:p>
          <w:p w14:paraId="0B50FFC4">
            <w:pPr>
              <w:jc w:val="left"/>
              <w:rPr>
                <w:rFonts w:hint="eastAsia" w:ascii="宋体" w:hAnsi="宋体" w:eastAsia="宋体" w:cs="Times New Roman"/>
                <w:szCs w:val="21"/>
              </w:rPr>
            </w:pPr>
            <w:r>
              <w:rPr>
                <w:rFonts w:hint="eastAsia" w:ascii="宋体" w:hAnsi="宋体" w:eastAsia="宋体" w:cs="Times New Roman"/>
                <w:szCs w:val="21"/>
              </w:rPr>
              <w:t>（2）学生选题，并填写毕业论文选题申报表</w:t>
            </w:r>
          </w:p>
          <w:p w14:paraId="3D70B98A">
            <w:pPr>
              <w:jc w:val="left"/>
              <w:rPr>
                <w:rFonts w:hint="eastAsia" w:ascii="宋体" w:hAnsi="宋体" w:eastAsia="宋体" w:cs="Times New Roman"/>
                <w:szCs w:val="21"/>
              </w:rPr>
            </w:pPr>
            <w:r>
              <w:rPr>
                <w:rFonts w:hint="eastAsia" w:ascii="宋体" w:hAnsi="宋体" w:eastAsia="宋体" w:cs="Times New Roman"/>
                <w:szCs w:val="21"/>
              </w:rPr>
              <w:t>（3）文献检索</w:t>
            </w:r>
          </w:p>
        </w:tc>
        <w:tc>
          <w:tcPr>
            <w:tcW w:w="1304" w:type="dxa"/>
            <w:vAlign w:val="center"/>
          </w:tcPr>
          <w:p w14:paraId="288AAF39">
            <w:pPr>
              <w:jc w:val="center"/>
              <w:rPr>
                <w:rFonts w:hint="eastAsia" w:ascii="宋体" w:hAnsi="宋体" w:eastAsia="宋体" w:cs="Times New Roman"/>
                <w:szCs w:val="21"/>
              </w:rPr>
            </w:pPr>
            <w:r>
              <w:rPr>
                <w:rFonts w:hint="eastAsia" w:ascii="宋体" w:hAnsi="宋体" w:eastAsia="宋体" w:cs="Times New Roman"/>
                <w:szCs w:val="21"/>
              </w:rPr>
              <w:t>课程目标</w:t>
            </w:r>
          </w:p>
          <w:p w14:paraId="6B70F5D2">
            <w:pPr>
              <w:jc w:val="center"/>
              <w:rPr>
                <w:rFonts w:hint="eastAsia" w:ascii="宋体" w:hAnsi="宋体" w:eastAsia="宋体" w:cs="Times New Roman"/>
                <w:szCs w:val="21"/>
              </w:rPr>
            </w:pPr>
            <w:r>
              <w:rPr>
                <w:rFonts w:hint="eastAsia" w:ascii="宋体" w:hAnsi="宋体" w:eastAsia="宋体" w:cs="Times New Roman"/>
                <w:szCs w:val="21"/>
              </w:rPr>
              <w:t>1、4</w:t>
            </w:r>
          </w:p>
        </w:tc>
        <w:tc>
          <w:tcPr>
            <w:tcW w:w="3372" w:type="dxa"/>
            <w:vAlign w:val="center"/>
          </w:tcPr>
          <w:p w14:paraId="67936A81">
            <w:pPr>
              <w:jc w:val="left"/>
              <w:rPr>
                <w:rFonts w:hint="eastAsia" w:ascii="宋体" w:hAnsi="宋体" w:eastAsia="宋体" w:cs="Times New Roman"/>
                <w:szCs w:val="21"/>
              </w:rPr>
            </w:pPr>
            <w:r>
              <w:rPr>
                <w:rFonts w:hint="eastAsia" w:ascii="宋体" w:hAnsi="宋体" w:eastAsia="宋体" w:cs="Times New Roman"/>
                <w:szCs w:val="21"/>
              </w:rPr>
              <w:t>1.明确毕业论文的重要性，选定指导教师；</w:t>
            </w:r>
          </w:p>
          <w:p w14:paraId="1D69C263">
            <w:pPr>
              <w:jc w:val="left"/>
              <w:rPr>
                <w:rFonts w:hint="eastAsia" w:ascii="宋体" w:hAnsi="宋体" w:eastAsia="宋体" w:cs="Times New Roman"/>
                <w:szCs w:val="21"/>
              </w:rPr>
            </w:pPr>
            <w:r>
              <w:rPr>
                <w:rFonts w:hint="eastAsia" w:ascii="宋体" w:hAnsi="宋体" w:eastAsia="宋体" w:cs="Times New Roman"/>
                <w:szCs w:val="21"/>
              </w:rPr>
              <w:t>2.与指导老师协商确定论文题目；</w:t>
            </w:r>
          </w:p>
          <w:p w14:paraId="7D531C8A">
            <w:pPr>
              <w:jc w:val="left"/>
              <w:rPr>
                <w:rFonts w:hint="eastAsia" w:ascii="宋体" w:hAnsi="宋体" w:eastAsia="宋体" w:cs="Times New Roman"/>
                <w:szCs w:val="21"/>
              </w:rPr>
            </w:pPr>
            <w:r>
              <w:rPr>
                <w:rFonts w:hint="eastAsia" w:ascii="宋体" w:hAnsi="宋体" w:eastAsia="宋体" w:cs="Times New Roman"/>
                <w:szCs w:val="21"/>
              </w:rPr>
              <w:t>3.题目确定后，按要求填报毕业论文选题申报表，并上传至学校毕业论文（设计）系统；</w:t>
            </w:r>
          </w:p>
          <w:p w14:paraId="787ACC65">
            <w:pPr>
              <w:jc w:val="left"/>
              <w:rPr>
                <w:rFonts w:hint="eastAsia" w:ascii="宋体" w:hAnsi="宋体" w:eastAsia="宋体" w:cs="Times New Roman"/>
                <w:szCs w:val="21"/>
              </w:rPr>
            </w:pPr>
            <w:r>
              <w:rPr>
                <w:rFonts w:hint="eastAsia" w:ascii="宋体" w:hAnsi="宋体" w:eastAsia="宋体" w:cs="Times New Roman"/>
                <w:szCs w:val="21"/>
              </w:rPr>
              <w:t>4.在指导教师指导下进行文献检索，撰写文献综述。</w:t>
            </w:r>
          </w:p>
        </w:tc>
        <w:tc>
          <w:tcPr>
            <w:tcW w:w="1516" w:type="dxa"/>
            <w:vAlign w:val="center"/>
          </w:tcPr>
          <w:p w14:paraId="1A003F0C">
            <w:pPr>
              <w:jc w:val="left"/>
              <w:rPr>
                <w:rFonts w:hint="eastAsia" w:ascii="宋体" w:hAnsi="宋体" w:eastAsia="宋体" w:cs="Times New Roman"/>
                <w:szCs w:val="21"/>
              </w:rPr>
            </w:pPr>
            <w:r>
              <w:rPr>
                <w:rFonts w:hint="eastAsia" w:ascii="宋体" w:hAnsi="宋体" w:eastAsia="宋体" w:cs="Times New Roman"/>
                <w:szCs w:val="21"/>
              </w:rPr>
              <w:t>1.选题申报表</w:t>
            </w:r>
          </w:p>
          <w:p w14:paraId="167F68AF">
            <w:pPr>
              <w:jc w:val="left"/>
              <w:rPr>
                <w:rFonts w:hint="eastAsia" w:ascii="宋体" w:hAnsi="宋体" w:eastAsia="宋体" w:cs="Times New Roman"/>
                <w:szCs w:val="21"/>
              </w:rPr>
            </w:pPr>
            <w:r>
              <w:rPr>
                <w:rFonts w:hint="eastAsia" w:ascii="宋体" w:hAnsi="宋体" w:eastAsia="宋体" w:cs="Times New Roman"/>
                <w:szCs w:val="21"/>
              </w:rPr>
              <w:t>2.文献综述</w:t>
            </w:r>
          </w:p>
        </w:tc>
        <w:tc>
          <w:tcPr>
            <w:tcW w:w="451" w:type="dxa"/>
            <w:vAlign w:val="center"/>
          </w:tcPr>
          <w:p w14:paraId="30DFB354">
            <w:pPr>
              <w:jc w:val="center"/>
              <w:rPr>
                <w:rFonts w:hint="eastAsia" w:ascii="宋体" w:hAnsi="宋体" w:eastAsia="宋体" w:cs="Times New Roman"/>
                <w:szCs w:val="21"/>
              </w:rPr>
            </w:pPr>
            <w:r>
              <w:rPr>
                <w:rFonts w:hint="eastAsia" w:ascii="宋体" w:hAnsi="宋体" w:eastAsia="宋体" w:cs="Times New Roman"/>
                <w:szCs w:val="21"/>
              </w:rPr>
              <w:t>1</w:t>
            </w:r>
          </w:p>
        </w:tc>
      </w:tr>
      <w:tr w14:paraId="507B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4B83C998">
            <w:pPr>
              <w:spacing w:line="264" w:lineRule="auto"/>
              <w:jc w:val="center"/>
              <w:rPr>
                <w:rFonts w:hint="eastAsia" w:ascii="宋体" w:hAnsi="宋体" w:eastAsia="宋体" w:cs="Times New Roman"/>
                <w:szCs w:val="21"/>
              </w:rPr>
            </w:pPr>
          </w:p>
        </w:tc>
        <w:tc>
          <w:tcPr>
            <w:tcW w:w="8174" w:type="dxa"/>
            <w:gridSpan w:val="5"/>
            <w:vAlign w:val="center"/>
          </w:tcPr>
          <w:p w14:paraId="19D9B831">
            <w:pPr>
              <w:jc w:val="left"/>
              <w:rPr>
                <w:rFonts w:hint="eastAsia" w:ascii="宋体" w:hAnsi="宋体" w:eastAsia="宋体" w:cs="Times New Roman"/>
                <w:szCs w:val="21"/>
              </w:rPr>
            </w:pPr>
            <w:r>
              <w:rPr>
                <w:rFonts w:hint="eastAsia" w:ascii="宋体" w:hAnsi="宋体" w:eastAsia="宋体" w:cs="Times New Roman"/>
                <w:bCs/>
                <w:szCs w:val="21"/>
              </w:rPr>
              <w:t>以习近平总书记关于教育工作的重要论述为指导，理解毕业论文写作的价值和意义；坚持“立德树人”，树立正确的世界观、价值观和人生观；热爱小学教育，理解基础教育改革的意义，具有一定的创新意识，学会发现和分析教育实践中的问题和基础教育改革的热点和难点问题。</w:t>
            </w:r>
          </w:p>
        </w:tc>
      </w:tr>
      <w:tr w14:paraId="44DA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40121B31">
            <w:pPr>
              <w:spacing w:line="264" w:lineRule="auto"/>
              <w:jc w:val="center"/>
              <w:rPr>
                <w:rFonts w:hint="eastAsia" w:ascii="宋体" w:hAnsi="宋体" w:eastAsia="宋体" w:cs="Times New Roman"/>
                <w:szCs w:val="21"/>
              </w:rPr>
            </w:pPr>
            <w:r>
              <w:rPr>
                <w:rFonts w:hint="eastAsia" w:ascii="宋体" w:hAnsi="宋体" w:eastAsia="宋体" w:cs="Times New Roman"/>
                <w:szCs w:val="21"/>
              </w:rPr>
              <w:t>2.开题</w:t>
            </w:r>
          </w:p>
        </w:tc>
        <w:tc>
          <w:tcPr>
            <w:tcW w:w="1531" w:type="dxa"/>
            <w:vAlign w:val="center"/>
          </w:tcPr>
          <w:p w14:paraId="11AA02F7">
            <w:pPr>
              <w:jc w:val="left"/>
              <w:rPr>
                <w:rFonts w:hint="eastAsia" w:ascii="宋体" w:hAnsi="宋体" w:eastAsia="宋体" w:cs="Times New Roman"/>
                <w:szCs w:val="21"/>
              </w:rPr>
            </w:pPr>
            <w:r>
              <w:rPr>
                <w:rFonts w:hint="eastAsia" w:ascii="宋体" w:hAnsi="宋体" w:eastAsia="宋体" w:cs="Times New Roman"/>
                <w:szCs w:val="21"/>
              </w:rPr>
              <w:t>（1）教师下达毕业论文任务书</w:t>
            </w:r>
          </w:p>
          <w:p w14:paraId="4240813E">
            <w:pPr>
              <w:jc w:val="left"/>
              <w:rPr>
                <w:rFonts w:hint="eastAsia" w:ascii="宋体" w:hAnsi="宋体" w:eastAsia="宋体" w:cs="Times New Roman"/>
                <w:szCs w:val="21"/>
              </w:rPr>
            </w:pPr>
            <w:r>
              <w:rPr>
                <w:rFonts w:hint="eastAsia" w:ascii="宋体" w:hAnsi="宋体" w:eastAsia="宋体" w:cs="Times New Roman"/>
                <w:szCs w:val="21"/>
              </w:rPr>
              <w:t>（2）撰写开题报告</w:t>
            </w:r>
          </w:p>
          <w:p w14:paraId="3FAAF440">
            <w:pPr>
              <w:jc w:val="left"/>
              <w:rPr>
                <w:rFonts w:hint="eastAsia" w:ascii="宋体" w:hAnsi="宋体" w:eastAsia="宋体" w:cs="Times New Roman"/>
                <w:szCs w:val="21"/>
              </w:rPr>
            </w:pPr>
            <w:r>
              <w:rPr>
                <w:rFonts w:hint="eastAsia" w:ascii="宋体" w:hAnsi="宋体" w:eastAsia="宋体" w:cs="Times New Roman"/>
                <w:szCs w:val="21"/>
              </w:rPr>
              <w:t>（3）开题报告会</w:t>
            </w:r>
          </w:p>
        </w:tc>
        <w:tc>
          <w:tcPr>
            <w:tcW w:w="1304" w:type="dxa"/>
            <w:vAlign w:val="center"/>
          </w:tcPr>
          <w:p w14:paraId="1C691517">
            <w:pPr>
              <w:jc w:val="center"/>
              <w:rPr>
                <w:rFonts w:hint="eastAsia" w:ascii="宋体" w:hAnsi="宋体" w:eastAsia="宋体" w:cs="Times New Roman"/>
                <w:szCs w:val="21"/>
              </w:rPr>
            </w:pPr>
            <w:r>
              <w:rPr>
                <w:rFonts w:hint="eastAsia" w:ascii="宋体" w:hAnsi="宋体" w:eastAsia="宋体" w:cs="Times New Roman"/>
                <w:szCs w:val="21"/>
              </w:rPr>
              <w:t>课程目标</w:t>
            </w:r>
          </w:p>
          <w:p w14:paraId="065AE508">
            <w:pPr>
              <w:jc w:val="center"/>
              <w:rPr>
                <w:rFonts w:hint="eastAsia" w:ascii="宋体" w:hAnsi="宋体" w:eastAsia="宋体" w:cs="Times New Roman"/>
                <w:szCs w:val="21"/>
              </w:rPr>
            </w:pPr>
            <w:r>
              <w:rPr>
                <w:rFonts w:hint="eastAsia" w:ascii="宋体" w:hAnsi="宋体" w:eastAsia="宋体" w:cs="Times New Roman"/>
                <w:szCs w:val="21"/>
              </w:rPr>
              <w:t>1、4</w:t>
            </w:r>
          </w:p>
        </w:tc>
        <w:tc>
          <w:tcPr>
            <w:tcW w:w="3372" w:type="dxa"/>
            <w:vAlign w:val="center"/>
          </w:tcPr>
          <w:p w14:paraId="681116EE">
            <w:pPr>
              <w:jc w:val="left"/>
              <w:rPr>
                <w:rFonts w:hint="eastAsia" w:ascii="宋体" w:hAnsi="宋体" w:eastAsia="宋体" w:cs="Times New Roman"/>
                <w:szCs w:val="21"/>
              </w:rPr>
            </w:pPr>
            <w:r>
              <w:rPr>
                <w:rFonts w:hint="eastAsia" w:ascii="宋体" w:hAnsi="宋体" w:eastAsia="宋体" w:cs="Times New Roman"/>
                <w:szCs w:val="21"/>
              </w:rPr>
              <w:t>1.学习领会任务书，明确内容、任务和目标、研究进度及基本要求等；</w:t>
            </w:r>
          </w:p>
          <w:p w14:paraId="72A99D0C">
            <w:pPr>
              <w:jc w:val="left"/>
              <w:rPr>
                <w:rFonts w:hint="eastAsia" w:ascii="宋体" w:hAnsi="宋体" w:eastAsia="宋体" w:cs="Times New Roman"/>
                <w:szCs w:val="21"/>
              </w:rPr>
            </w:pPr>
            <w:r>
              <w:rPr>
                <w:rFonts w:hint="eastAsia" w:ascii="宋体" w:hAnsi="宋体" w:eastAsia="宋体" w:cs="Times New Roman"/>
                <w:szCs w:val="21"/>
              </w:rPr>
              <w:t>2.写出开题报告，做好开题准备；</w:t>
            </w:r>
          </w:p>
          <w:p w14:paraId="6FFAC779">
            <w:pPr>
              <w:jc w:val="left"/>
              <w:rPr>
                <w:rFonts w:hint="eastAsia" w:ascii="宋体" w:hAnsi="宋体" w:eastAsia="宋体" w:cs="Times New Roman"/>
                <w:szCs w:val="21"/>
              </w:rPr>
            </w:pPr>
            <w:r>
              <w:rPr>
                <w:rFonts w:hint="eastAsia" w:ascii="宋体" w:hAnsi="宋体" w:eastAsia="宋体" w:cs="Times New Roman"/>
                <w:szCs w:val="21"/>
              </w:rPr>
              <w:t>3.参加开题答辩，根据答辩会上老师的意见进行修改，将修改后的开题报告上传至系统。</w:t>
            </w:r>
          </w:p>
        </w:tc>
        <w:tc>
          <w:tcPr>
            <w:tcW w:w="1516" w:type="dxa"/>
            <w:vAlign w:val="center"/>
          </w:tcPr>
          <w:p w14:paraId="02C35F60">
            <w:pPr>
              <w:jc w:val="left"/>
              <w:rPr>
                <w:rFonts w:hint="eastAsia" w:ascii="宋体" w:hAnsi="宋体" w:eastAsia="宋体" w:cs="Times New Roman"/>
                <w:szCs w:val="21"/>
              </w:rPr>
            </w:pPr>
            <w:r>
              <w:rPr>
                <w:rFonts w:hint="eastAsia" w:ascii="宋体" w:hAnsi="宋体" w:eastAsia="宋体" w:cs="Times New Roman"/>
                <w:szCs w:val="21"/>
              </w:rPr>
              <w:t>1.开题报告</w:t>
            </w:r>
          </w:p>
        </w:tc>
        <w:tc>
          <w:tcPr>
            <w:tcW w:w="451" w:type="dxa"/>
            <w:vAlign w:val="center"/>
          </w:tcPr>
          <w:p w14:paraId="1C2EA771">
            <w:pPr>
              <w:jc w:val="center"/>
              <w:rPr>
                <w:rFonts w:hint="eastAsia" w:ascii="宋体" w:hAnsi="宋体" w:eastAsia="宋体" w:cs="Times New Roman"/>
                <w:szCs w:val="21"/>
              </w:rPr>
            </w:pPr>
            <w:r>
              <w:rPr>
                <w:rFonts w:hint="eastAsia" w:ascii="宋体" w:hAnsi="宋体" w:eastAsia="宋体" w:cs="Times New Roman"/>
                <w:szCs w:val="21"/>
              </w:rPr>
              <w:t>1</w:t>
            </w:r>
          </w:p>
        </w:tc>
      </w:tr>
      <w:tr w14:paraId="46E1D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7E40FD">
            <w:pPr>
              <w:spacing w:line="264" w:lineRule="auto"/>
              <w:jc w:val="center"/>
              <w:rPr>
                <w:rFonts w:hint="eastAsia" w:ascii="宋体" w:hAnsi="宋体" w:eastAsia="宋体" w:cs="Times New Roman"/>
                <w:szCs w:val="21"/>
              </w:rPr>
            </w:pPr>
          </w:p>
        </w:tc>
        <w:tc>
          <w:tcPr>
            <w:tcW w:w="8174" w:type="dxa"/>
            <w:gridSpan w:val="5"/>
            <w:vAlign w:val="center"/>
          </w:tcPr>
          <w:p w14:paraId="578FE8C6">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坚定理想信念，自觉践行社会主义核心价值观；虚心学习，实事求是；坚守学术道德和科研伦理，践行学术规范。</w:t>
            </w:r>
          </w:p>
        </w:tc>
      </w:tr>
      <w:tr w14:paraId="7F74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61E755FC">
            <w:pPr>
              <w:spacing w:line="264" w:lineRule="auto"/>
              <w:jc w:val="center"/>
              <w:rPr>
                <w:rFonts w:hint="eastAsia" w:ascii="宋体" w:hAnsi="宋体" w:eastAsia="宋体" w:cs="Times New Roman"/>
                <w:szCs w:val="21"/>
              </w:rPr>
            </w:pPr>
            <w:r>
              <w:rPr>
                <w:rFonts w:hint="eastAsia" w:ascii="宋体" w:hAnsi="宋体" w:eastAsia="宋体" w:cs="Times New Roman"/>
                <w:szCs w:val="21"/>
              </w:rPr>
              <w:t>3.研究</w:t>
            </w:r>
          </w:p>
          <w:p w14:paraId="02DA855C">
            <w:pPr>
              <w:spacing w:line="264" w:lineRule="auto"/>
              <w:jc w:val="center"/>
              <w:rPr>
                <w:rFonts w:hint="eastAsia" w:ascii="宋体" w:hAnsi="宋体" w:eastAsia="宋体" w:cs="Times New Roman"/>
                <w:szCs w:val="21"/>
              </w:rPr>
            </w:pPr>
            <w:r>
              <w:rPr>
                <w:rFonts w:hint="eastAsia" w:ascii="宋体" w:hAnsi="宋体" w:eastAsia="宋体" w:cs="Times New Roman"/>
                <w:szCs w:val="21"/>
              </w:rPr>
              <w:t>实施</w:t>
            </w:r>
          </w:p>
        </w:tc>
        <w:tc>
          <w:tcPr>
            <w:tcW w:w="1531" w:type="dxa"/>
            <w:vAlign w:val="center"/>
          </w:tcPr>
          <w:p w14:paraId="143AC19D">
            <w:pPr>
              <w:jc w:val="left"/>
              <w:rPr>
                <w:rFonts w:hint="eastAsia" w:ascii="宋体" w:hAnsi="宋体" w:eastAsia="宋体" w:cs="Times New Roman"/>
                <w:szCs w:val="21"/>
              </w:rPr>
            </w:pPr>
            <w:r>
              <w:rPr>
                <w:rFonts w:hint="eastAsia" w:ascii="宋体" w:hAnsi="宋体" w:eastAsia="宋体" w:cs="Times New Roman"/>
                <w:szCs w:val="21"/>
              </w:rPr>
              <w:t>（1）研究方法的具体运用</w:t>
            </w:r>
          </w:p>
          <w:p w14:paraId="2D225771">
            <w:pPr>
              <w:jc w:val="left"/>
              <w:rPr>
                <w:rFonts w:hint="eastAsia" w:ascii="宋体" w:hAnsi="宋体" w:eastAsia="宋体" w:cs="Times New Roman"/>
                <w:szCs w:val="21"/>
              </w:rPr>
            </w:pPr>
            <w:r>
              <w:rPr>
                <w:rFonts w:hint="eastAsia" w:ascii="宋体" w:hAnsi="宋体" w:eastAsia="宋体" w:cs="Times New Roman"/>
                <w:szCs w:val="21"/>
              </w:rPr>
              <w:t>（2）数据的分析及整理</w:t>
            </w:r>
          </w:p>
        </w:tc>
        <w:tc>
          <w:tcPr>
            <w:tcW w:w="1304" w:type="dxa"/>
            <w:vAlign w:val="center"/>
          </w:tcPr>
          <w:p w14:paraId="19814566">
            <w:pPr>
              <w:jc w:val="center"/>
              <w:rPr>
                <w:rFonts w:hint="eastAsia" w:ascii="宋体" w:hAnsi="宋体" w:eastAsia="宋体" w:cs="Times New Roman"/>
                <w:szCs w:val="21"/>
              </w:rPr>
            </w:pPr>
            <w:r>
              <w:rPr>
                <w:rFonts w:hint="eastAsia" w:ascii="宋体" w:hAnsi="宋体" w:eastAsia="宋体" w:cs="Times New Roman"/>
                <w:szCs w:val="21"/>
              </w:rPr>
              <w:t>课程目标</w:t>
            </w:r>
          </w:p>
          <w:p w14:paraId="0F500824">
            <w:pPr>
              <w:jc w:val="center"/>
              <w:rPr>
                <w:rFonts w:hint="eastAsia" w:ascii="宋体" w:hAnsi="宋体" w:eastAsia="宋体" w:cs="Times New Roman"/>
                <w:szCs w:val="21"/>
              </w:rPr>
            </w:pPr>
            <w:r>
              <w:rPr>
                <w:rFonts w:hint="eastAsia" w:ascii="宋体" w:hAnsi="宋体" w:eastAsia="宋体" w:cs="Times New Roman"/>
                <w:szCs w:val="21"/>
              </w:rPr>
              <w:t>1、2、3、4</w:t>
            </w:r>
          </w:p>
        </w:tc>
        <w:tc>
          <w:tcPr>
            <w:tcW w:w="3372" w:type="dxa"/>
            <w:vAlign w:val="center"/>
          </w:tcPr>
          <w:p w14:paraId="0C54F565">
            <w:pPr>
              <w:jc w:val="left"/>
              <w:rPr>
                <w:rFonts w:hint="eastAsia" w:ascii="宋体" w:hAnsi="宋体" w:eastAsia="宋体" w:cs="Times New Roman"/>
                <w:szCs w:val="21"/>
              </w:rPr>
            </w:pPr>
            <w:r>
              <w:rPr>
                <w:rFonts w:hint="eastAsia" w:ascii="宋体" w:hAnsi="宋体" w:eastAsia="宋体" w:cs="Times New Roman"/>
                <w:szCs w:val="21"/>
              </w:rPr>
              <w:t>1.根据研究计划，通过既定的研究方法，规范科学合理地展开研究；</w:t>
            </w:r>
          </w:p>
          <w:p w14:paraId="3256CC87">
            <w:pPr>
              <w:jc w:val="left"/>
              <w:rPr>
                <w:rFonts w:hint="eastAsia" w:ascii="宋体" w:hAnsi="宋体" w:eastAsia="宋体" w:cs="Times New Roman"/>
                <w:szCs w:val="21"/>
              </w:rPr>
            </w:pPr>
            <w:r>
              <w:rPr>
                <w:rFonts w:hint="eastAsia" w:ascii="宋体" w:hAnsi="宋体" w:eastAsia="宋体" w:cs="Times New Roman"/>
                <w:szCs w:val="21"/>
              </w:rPr>
              <w:t>2.对研究中搜集的数据进行分析整理；</w:t>
            </w:r>
          </w:p>
          <w:p w14:paraId="46F130A8">
            <w:pPr>
              <w:jc w:val="left"/>
              <w:rPr>
                <w:rFonts w:hint="eastAsia" w:ascii="宋体" w:hAnsi="宋体" w:eastAsia="宋体" w:cs="Times New Roman"/>
                <w:szCs w:val="21"/>
              </w:rPr>
            </w:pPr>
            <w:r>
              <w:rPr>
                <w:rFonts w:hint="eastAsia" w:ascii="宋体" w:hAnsi="宋体" w:eastAsia="宋体" w:cs="Times New Roman"/>
                <w:szCs w:val="21"/>
              </w:rPr>
              <w:t>3.在过程中及时与导师沟通。</w:t>
            </w:r>
          </w:p>
        </w:tc>
        <w:tc>
          <w:tcPr>
            <w:tcW w:w="1516" w:type="dxa"/>
            <w:vAlign w:val="center"/>
          </w:tcPr>
          <w:p w14:paraId="2DE4802A">
            <w:pPr>
              <w:jc w:val="left"/>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研究过程性资料</w:t>
            </w:r>
          </w:p>
        </w:tc>
        <w:tc>
          <w:tcPr>
            <w:tcW w:w="451" w:type="dxa"/>
            <w:vAlign w:val="center"/>
          </w:tcPr>
          <w:p w14:paraId="32158AA6">
            <w:pPr>
              <w:jc w:val="center"/>
              <w:rPr>
                <w:rFonts w:hint="eastAsia" w:ascii="宋体" w:hAnsi="宋体" w:eastAsia="宋体" w:cs="Times New Roman"/>
                <w:szCs w:val="21"/>
              </w:rPr>
            </w:pPr>
            <w:r>
              <w:rPr>
                <w:rFonts w:hint="eastAsia" w:ascii="宋体" w:hAnsi="宋体" w:eastAsia="宋体" w:cs="Times New Roman"/>
                <w:szCs w:val="21"/>
              </w:rPr>
              <w:t>3</w:t>
            </w:r>
          </w:p>
        </w:tc>
      </w:tr>
      <w:tr w14:paraId="1D44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3F459F19">
            <w:pPr>
              <w:spacing w:line="264" w:lineRule="auto"/>
              <w:jc w:val="center"/>
              <w:rPr>
                <w:rFonts w:hint="eastAsia" w:ascii="宋体" w:hAnsi="宋体" w:eastAsia="宋体" w:cs="Times New Roman"/>
                <w:szCs w:val="21"/>
              </w:rPr>
            </w:pPr>
          </w:p>
        </w:tc>
        <w:tc>
          <w:tcPr>
            <w:tcW w:w="8174" w:type="dxa"/>
            <w:gridSpan w:val="5"/>
            <w:vAlign w:val="center"/>
          </w:tcPr>
          <w:p w14:paraId="6CF56582">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坚定理想信念，自觉践行社会主义核心价值观；虚心学习，实事求是；坚守学术道德和科研伦理，践行学术规范，增强批判创新精神，形成科学严谨的工作作风。</w:t>
            </w:r>
          </w:p>
        </w:tc>
      </w:tr>
      <w:tr w14:paraId="4F18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5B9FE753">
            <w:pPr>
              <w:spacing w:line="276" w:lineRule="auto"/>
              <w:jc w:val="center"/>
              <w:rPr>
                <w:rFonts w:hint="eastAsia" w:ascii="宋体" w:hAnsi="宋体" w:eastAsia="宋体" w:cs="Times New Roman"/>
                <w:szCs w:val="21"/>
              </w:rPr>
            </w:pPr>
            <w:r>
              <w:rPr>
                <w:rFonts w:hint="eastAsia" w:ascii="宋体" w:hAnsi="宋体" w:eastAsia="宋体" w:cs="Times New Roman"/>
                <w:szCs w:val="21"/>
              </w:rPr>
              <w:t>4.论文</w:t>
            </w:r>
          </w:p>
          <w:p w14:paraId="207A40E8">
            <w:pPr>
              <w:spacing w:line="276" w:lineRule="auto"/>
              <w:jc w:val="center"/>
              <w:rPr>
                <w:rFonts w:hint="eastAsia" w:ascii="宋体" w:hAnsi="宋体" w:eastAsia="宋体" w:cs="Times New Roman"/>
                <w:szCs w:val="21"/>
              </w:rPr>
            </w:pPr>
            <w:r>
              <w:rPr>
                <w:rFonts w:hint="eastAsia" w:ascii="宋体" w:hAnsi="宋体" w:eastAsia="宋体" w:cs="Times New Roman"/>
                <w:szCs w:val="21"/>
              </w:rPr>
              <w:t>撰写</w:t>
            </w:r>
          </w:p>
        </w:tc>
        <w:tc>
          <w:tcPr>
            <w:tcW w:w="1531" w:type="dxa"/>
            <w:vAlign w:val="center"/>
          </w:tcPr>
          <w:p w14:paraId="0D18D163">
            <w:pPr>
              <w:jc w:val="left"/>
              <w:rPr>
                <w:rFonts w:hint="eastAsia" w:ascii="宋体" w:hAnsi="宋体" w:eastAsia="宋体" w:cs="Times New Roman"/>
                <w:szCs w:val="21"/>
              </w:rPr>
            </w:pPr>
            <w:r>
              <w:rPr>
                <w:rFonts w:hint="eastAsia" w:ascii="宋体" w:hAnsi="宋体" w:eastAsia="宋体" w:cs="Times New Roman"/>
                <w:szCs w:val="21"/>
              </w:rPr>
              <w:t>（1）毕业论文的基本构成要素</w:t>
            </w:r>
          </w:p>
          <w:p w14:paraId="0C2572EC">
            <w:pPr>
              <w:jc w:val="left"/>
              <w:rPr>
                <w:rFonts w:hint="eastAsia" w:ascii="宋体" w:hAnsi="宋体" w:eastAsia="宋体" w:cs="Times New Roman"/>
                <w:szCs w:val="21"/>
              </w:rPr>
            </w:pPr>
            <w:r>
              <w:rPr>
                <w:rFonts w:hint="eastAsia" w:ascii="宋体" w:hAnsi="宋体" w:eastAsia="宋体" w:cs="Times New Roman"/>
                <w:szCs w:val="21"/>
              </w:rPr>
              <w:t>（2）毕业论文写作方法</w:t>
            </w:r>
          </w:p>
          <w:p w14:paraId="13B684CE">
            <w:pPr>
              <w:jc w:val="left"/>
              <w:rPr>
                <w:rFonts w:hint="eastAsia" w:ascii="宋体" w:hAnsi="宋体" w:eastAsia="宋体" w:cs="Times New Roman"/>
                <w:szCs w:val="21"/>
              </w:rPr>
            </w:pPr>
            <w:r>
              <w:rPr>
                <w:rFonts w:hint="eastAsia" w:ascii="宋体" w:hAnsi="宋体" w:eastAsia="宋体" w:cs="Times New Roman"/>
                <w:szCs w:val="21"/>
              </w:rPr>
              <w:t>（3）毕业论文撰写规范</w:t>
            </w:r>
          </w:p>
        </w:tc>
        <w:tc>
          <w:tcPr>
            <w:tcW w:w="1304" w:type="dxa"/>
            <w:vAlign w:val="center"/>
          </w:tcPr>
          <w:p w14:paraId="5C1187BC">
            <w:pPr>
              <w:jc w:val="center"/>
              <w:rPr>
                <w:rFonts w:hint="eastAsia" w:ascii="宋体" w:hAnsi="宋体" w:eastAsia="宋体" w:cs="Times New Roman"/>
                <w:szCs w:val="21"/>
              </w:rPr>
            </w:pPr>
            <w:r>
              <w:rPr>
                <w:rFonts w:hint="eastAsia" w:ascii="宋体" w:hAnsi="宋体" w:eastAsia="宋体" w:cs="Times New Roman"/>
                <w:szCs w:val="21"/>
              </w:rPr>
              <w:t>课程目标</w:t>
            </w:r>
          </w:p>
          <w:p w14:paraId="27911A47">
            <w:pPr>
              <w:jc w:val="center"/>
              <w:rPr>
                <w:rFonts w:hint="eastAsia" w:ascii="宋体" w:hAnsi="宋体" w:eastAsia="宋体" w:cs="Times New Roman"/>
                <w:szCs w:val="21"/>
              </w:rPr>
            </w:pPr>
            <w:r>
              <w:rPr>
                <w:rFonts w:hint="eastAsia" w:ascii="宋体" w:hAnsi="宋体" w:eastAsia="宋体" w:cs="Times New Roman"/>
                <w:szCs w:val="21"/>
              </w:rPr>
              <w:t>1、2、3、4</w:t>
            </w:r>
          </w:p>
        </w:tc>
        <w:tc>
          <w:tcPr>
            <w:tcW w:w="3372" w:type="dxa"/>
            <w:vAlign w:val="center"/>
          </w:tcPr>
          <w:p w14:paraId="04A9ED9D">
            <w:pPr>
              <w:jc w:val="left"/>
              <w:rPr>
                <w:rFonts w:hint="eastAsia" w:ascii="宋体" w:hAnsi="宋体" w:eastAsia="宋体" w:cs="Times New Roman"/>
                <w:szCs w:val="21"/>
              </w:rPr>
            </w:pPr>
            <w:r>
              <w:rPr>
                <w:rFonts w:hint="eastAsia" w:ascii="宋体" w:hAnsi="宋体" w:eastAsia="宋体" w:cs="Times New Roman"/>
                <w:szCs w:val="21"/>
              </w:rPr>
              <w:t>1.在教师的指导下按照毕业论文的基本构成要素和《常州工学院毕业设计说明书（论文）基本构成及要求》撰写毕业论文文本，完成一稿、二稿、三稿和定稿，并交指导教师修改、审定。同时上传至系统。</w:t>
            </w:r>
          </w:p>
          <w:p w14:paraId="060D4F05">
            <w:pPr>
              <w:jc w:val="left"/>
              <w:rPr>
                <w:rFonts w:hint="eastAsia" w:ascii="宋体" w:hAnsi="宋体" w:eastAsia="宋体" w:cs="Times New Roman"/>
                <w:szCs w:val="21"/>
              </w:rPr>
            </w:pPr>
            <w:r>
              <w:rPr>
                <w:rFonts w:hint="eastAsia" w:ascii="宋体" w:hAnsi="宋体" w:eastAsia="宋体" w:cs="Times New Roman"/>
                <w:szCs w:val="21"/>
              </w:rPr>
              <w:t>（2）在论文撰写过程中，学生每周填写周进展情况，反思自己在写作过程中遇到的问题等，并完成中期检查表。</w:t>
            </w:r>
          </w:p>
          <w:p w14:paraId="479D2205">
            <w:pPr>
              <w:jc w:val="left"/>
              <w:rPr>
                <w:rFonts w:hint="eastAsia" w:ascii="宋体" w:hAnsi="宋体" w:eastAsia="宋体" w:cs="Times New Roman"/>
                <w:szCs w:val="21"/>
              </w:rPr>
            </w:pPr>
            <w:r>
              <w:rPr>
                <w:rFonts w:hint="eastAsia" w:ascii="宋体" w:hAnsi="宋体" w:eastAsia="宋体" w:cs="Times New Roman"/>
                <w:szCs w:val="21"/>
              </w:rPr>
              <w:t>（3）学生论文定稿完成后，按相关要求打印装订上交。</w:t>
            </w:r>
          </w:p>
        </w:tc>
        <w:tc>
          <w:tcPr>
            <w:tcW w:w="1516" w:type="dxa"/>
            <w:vAlign w:val="center"/>
          </w:tcPr>
          <w:p w14:paraId="722F0449">
            <w:pPr>
              <w:jc w:val="left"/>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中期检查表</w:t>
            </w:r>
          </w:p>
          <w:p w14:paraId="10C468FF">
            <w:pPr>
              <w:jc w:val="left"/>
              <w:rPr>
                <w:rFonts w:hint="eastAsia" w:ascii="宋体" w:hAnsi="宋体" w:eastAsia="宋体" w:cs="Times New Roman"/>
                <w:szCs w:val="21"/>
              </w:rPr>
            </w:pPr>
            <w:r>
              <w:rPr>
                <w:rFonts w:hint="eastAsia" w:ascii="宋体" w:hAnsi="宋体" w:eastAsia="宋体" w:cs="Times New Roman"/>
                <w:szCs w:val="21"/>
              </w:rPr>
              <w:t>2.论文一稿、二稿、三稿、定稿</w:t>
            </w:r>
          </w:p>
        </w:tc>
        <w:tc>
          <w:tcPr>
            <w:tcW w:w="451" w:type="dxa"/>
            <w:vAlign w:val="center"/>
          </w:tcPr>
          <w:p w14:paraId="59FCB782">
            <w:pPr>
              <w:jc w:val="center"/>
              <w:rPr>
                <w:rFonts w:hint="eastAsia" w:ascii="宋体" w:hAnsi="宋体" w:eastAsia="宋体" w:cs="Times New Roman"/>
                <w:szCs w:val="21"/>
              </w:rPr>
            </w:pPr>
            <w:r>
              <w:rPr>
                <w:rFonts w:hint="eastAsia" w:ascii="宋体" w:hAnsi="宋体" w:eastAsia="宋体" w:cs="Times New Roman"/>
                <w:szCs w:val="21"/>
              </w:rPr>
              <w:t>2</w:t>
            </w:r>
          </w:p>
        </w:tc>
      </w:tr>
      <w:tr w14:paraId="2AA7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052C96C6">
            <w:pPr>
              <w:spacing w:line="276" w:lineRule="auto"/>
              <w:jc w:val="center"/>
              <w:rPr>
                <w:rFonts w:hint="eastAsia" w:ascii="宋体" w:hAnsi="宋体" w:eastAsia="宋体" w:cs="Times New Roman"/>
                <w:szCs w:val="21"/>
              </w:rPr>
            </w:pPr>
          </w:p>
        </w:tc>
        <w:tc>
          <w:tcPr>
            <w:tcW w:w="8174" w:type="dxa"/>
            <w:gridSpan w:val="5"/>
            <w:vAlign w:val="center"/>
          </w:tcPr>
          <w:p w14:paraId="1AA0ECC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bCs/>
                <w:szCs w:val="21"/>
              </w:rPr>
              <w:t>增强</w:t>
            </w:r>
            <w:r>
              <w:rPr>
                <w:rFonts w:hint="eastAsia" w:ascii="宋体" w:hAnsi="宋体" w:eastAsia="宋体" w:cs="Times New Roman"/>
                <w:szCs w:val="21"/>
              </w:rPr>
              <w:t>培养投身基础教育科学研究的责任感和使命感；形成诚信务实、脚踏实地、实事求是的科研素养；遵守学术规范，恪守学术诚信。</w:t>
            </w:r>
          </w:p>
        </w:tc>
      </w:tr>
      <w:tr w14:paraId="464A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14:paraId="0892F71F">
            <w:pPr>
              <w:spacing w:line="276" w:lineRule="auto"/>
              <w:jc w:val="center"/>
              <w:rPr>
                <w:rFonts w:hint="eastAsia" w:ascii="宋体" w:hAnsi="宋体" w:eastAsia="宋体" w:cs="Times New Roman"/>
                <w:szCs w:val="21"/>
              </w:rPr>
            </w:pPr>
            <w:r>
              <w:rPr>
                <w:rFonts w:hint="eastAsia" w:ascii="宋体" w:hAnsi="宋体" w:eastAsia="宋体" w:cs="Times New Roman"/>
                <w:szCs w:val="21"/>
              </w:rPr>
              <w:t>5.答辩</w:t>
            </w:r>
          </w:p>
        </w:tc>
        <w:tc>
          <w:tcPr>
            <w:tcW w:w="1531" w:type="dxa"/>
            <w:vAlign w:val="center"/>
          </w:tcPr>
          <w:p w14:paraId="091F0834">
            <w:pPr>
              <w:jc w:val="left"/>
              <w:rPr>
                <w:rFonts w:hint="eastAsia" w:ascii="宋体" w:hAnsi="宋体" w:eastAsia="宋体" w:cs="Times New Roman"/>
                <w:szCs w:val="21"/>
              </w:rPr>
            </w:pPr>
            <w:r>
              <w:rPr>
                <w:rFonts w:hint="eastAsia" w:ascii="宋体" w:hAnsi="宋体" w:eastAsia="宋体" w:cs="Times New Roman"/>
                <w:szCs w:val="21"/>
              </w:rPr>
              <w:t>（1）论文评阅</w:t>
            </w:r>
          </w:p>
          <w:p w14:paraId="068A5F41">
            <w:pPr>
              <w:jc w:val="left"/>
              <w:rPr>
                <w:rFonts w:hint="eastAsia" w:ascii="宋体" w:hAnsi="宋体" w:eastAsia="宋体" w:cs="Times New Roman"/>
                <w:szCs w:val="21"/>
              </w:rPr>
            </w:pPr>
            <w:r>
              <w:rPr>
                <w:rFonts w:hint="eastAsia" w:ascii="宋体" w:hAnsi="宋体" w:eastAsia="宋体" w:cs="Times New Roman"/>
                <w:szCs w:val="21"/>
              </w:rPr>
              <w:t>（2）论文答辩</w:t>
            </w:r>
          </w:p>
        </w:tc>
        <w:tc>
          <w:tcPr>
            <w:tcW w:w="1304" w:type="dxa"/>
            <w:vAlign w:val="center"/>
          </w:tcPr>
          <w:p w14:paraId="0574E21C">
            <w:pPr>
              <w:jc w:val="center"/>
              <w:rPr>
                <w:rFonts w:hint="eastAsia" w:ascii="宋体" w:hAnsi="宋体" w:eastAsia="宋体" w:cs="Times New Roman"/>
                <w:szCs w:val="21"/>
              </w:rPr>
            </w:pPr>
            <w:r>
              <w:rPr>
                <w:rFonts w:hint="eastAsia" w:ascii="宋体" w:hAnsi="宋体" w:eastAsia="宋体" w:cs="Times New Roman"/>
                <w:szCs w:val="21"/>
              </w:rPr>
              <w:t>课程目标1、2、3、4</w:t>
            </w:r>
          </w:p>
        </w:tc>
        <w:tc>
          <w:tcPr>
            <w:tcW w:w="3372" w:type="dxa"/>
            <w:vAlign w:val="center"/>
          </w:tcPr>
          <w:p w14:paraId="70130710">
            <w:pPr>
              <w:jc w:val="left"/>
              <w:rPr>
                <w:rFonts w:hint="eastAsia" w:ascii="宋体" w:hAnsi="宋体" w:eastAsia="宋体" w:cs="Times New Roman"/>
                <w:szCs w:val="21"/>
              </w:rPr>
            </w:pPr>
            <w:r>
              <w:rPr>
                <w:rFonts w:hint="eastAsia" w:ascii="宋体" w:hAnsi="宋体" w:eastAsia="宋体" w:cs="Times New Roman"/>
                <w:szCs w:val="21"/>
              </w:rPr>
              <w:t>1.定稿论文交由指导教师和评阅教师分别进行审阅，写出评语和评分后交给答辩小组。</w:t>
            </w:r>
          </w:p>
          <w:p w14:paraId="2502E82D">
            <w:pPr>
              <w:jc w:val="left"/>
              <w:rPr>
                <w:rFonts w:hint="eastAsia" w:ascii="宋体" w:hAnsi="宋体" w:eastAsia="宋体" w:cs="Times New Roman"/>
                <w:szCs w:val="21"/>
              </w:rPr>
            </w:pPr>
            <w:r>
              <w:rPr>
                <w:rFonts w:hint="eastAsia" w:ascii="宋体" w:hAnsi="宋体" w:eastAsia="宋体" w:cs="Times New Roman"/>
                <w:szCs w:val="21"/>
              </w:rPr>
              <w:t>（2）参加答辩，报告毕业论文主要内容，并回答答辩小组成员提出的问题。</w:t>
            </w:r>
          </w:p>
        </w:tc>
        <w:tc>
          <w:tcPr>
            <w:tcW w:w="1516" w:type="dxa"/>
            <w:vAlign w:val="center"/>
          </w:tcPr>
          <w:p w14:paraId="7B91C775">
            <w:pPr>
              <w:jc w:val="left"/>
              <w:rPr>
                <w:rFonts w:hint="eastAsia"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答辩记录</w:t>
            </w:r>
          </w:p>
          <w:p w14:paraId="229DCDCA">
            <w:pPr>
              <w:jc w:val="left"/>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答辩情况登记表</w:t>
            </w:r>
          </w:p>
          <w:p w14:paraId="1AEC82A5">
            <w:pPr>
              <w:jc w:val="left"/>
              <w:rPr>
                <w:rFonts w:hint="eastAsia" w:ascii="宋体" w:hAnsi="宋体" w:eastAsia="宋体" w:cs="Times New Roman"/>
                <w:szCs w:val="21"/>
              </w:rPr>
            </w:pPr>
            <w:r>
              <w:rPr>
                <w:rFonts w:hint="eastAsia" w:ascii="宋体" w:hAnsi="宋体" w:eastAsia="宋体" w:cs="Times New Roman"/>
                <w:szCs w:val="21"/>
              </w:rPr>
              <w:t>3.论文最终稿</w:t>
            </w:r>
          </w:p>
        </w:tc>
        <w:tc>
          <w:tcPr>
            <w:tcW w:w="451" w:type="dxa"/>
            <w:vAlign w:val="center"/>
          </w:tcPr>
          <w:p w14:paraId="7E5CB99F">
            <w:pPr>
              <w:jc w:val="center"/>
              <w:rPr>
                <w:rFonts w:hint="eastAsia" w:ascii="宋体" w:hAnsi="宋体" w:eastAsia="宋体" w:cs="Times New Roman"/>
                <w:szCs w:val="21"/>
              </w:rPr>
            </w:pPr>
            <w:r>
              <w:rPr>
                <w:rFonts w:hint="eastAsia" w:ascii="宋体" w:hAnsi="宋体" w:eastAsia="宋体" w:cs="Times New Roman"/>
                <w:szCs w:val="21"/>
              </w:rPr>
              <w:t>1</w:t>
            </w:r>
          </w:p>
        </w:tc>
      </w:tr>
      <w:tr w14:paraId="7527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14:paraId="20D98265">
            <w:pPr>
              <w:spacing w:line="276" w:lineRule="auto"/>
              <w:jc w:val="center"/>
              <w:rPr>
                <w:rFonts w:hint="eastAsia" w:ascii="宋体" w:hAnsi="宋体" w:eastAsia="宋体" w:cs="Times New Roman"/>
                <w:szCs w:val="21"/>
              </w:rPr>
            </w:pPr>
          </w:p>
        </w:tc>
        <w:tc>
          <w:tcPr>
            <w:tcW w:w="8174" w:type="dxa"/>
            <w:gridSpan w:val="5"/>
            <w:vAlign w:val="center"/>
          </w:tcPr>
          <w:p w14:paraId="536C19D5">
            <w:pPr>
              <w:jc w:val="left"/>
              <w:rPr>
                <w:rFonts w:hint="eastAsia" w:ascii="宋体" w:hAnsi="宋体" w:eastAsia="宋体" w:cs="Times New Roman"/>
                <w:szCs w:val="21"/>
              </w:rPr>
            </w:pPr>
            <w:r>
              <w:rPr>
                <w:rFonts w:hint="eastAsia" w:ascii="宋体" w:hAnsi="宋体" w:eastAsia="宋体" w:cs="Times New Roman"/>
                <w:b/>
                <w:szCs w:val="21"/>
              </w:rPr>
              <w:t>课程思政目标：</w:t>
            </w:r>
            <w:r>
              <w:rPr>
                <w:rFonts w:hint="eastAsia" w:ascii="宋体" w:hAnsi="宋体" w:eastAsia="宋体" w:cs="Times New Roman"/>
                <w:szCs w:val="21"/>
              </w:rPr>
              <w:t>虚心学习，实事求是，形成诚信务实、脚踏实地、实事求是的科研素养。</w:t>
            </w:r>
          </w:p>
        </w:tc>
      </w:tr>
    </w:tbl>
    <w:p w14:paraId="162D5989">
      <w:pPr>
        <w:spacing w:before="62" w:beforeLines="20" w:after="62" w:afterLines="20" w:line="360" w:lineRule="auto"/>
        <w:jc w:val="left"/>
        <w:rPr>
          <w:rFonts w:ascii="Times New Roman" w:hAnsi="Times New Roman" w:eastAsia="宋体" w:cs="Times New Roman"/>
          <w:b/>
          <w:sz w:val="24"/>
        </w:rPr>
      </w:pPr>
      <w:bookmarkStart w:id="2153" w:name="_Toc4575"/>
      <w:bookmarkStart w:id="2154" w:name="_Toc30944"/>
      <w:bookmarkStart w:id="2155" w:name="_Toc27244"/>
      <w:bookmarkStart w:id="2156" w:name="_Toc27984"/>
      <w:bookmarkStart w:id="2157" w:name="_Toc26294"/>
      <w:bookmarkStart w:id="2158" w:name="_Toc17091"/>
      <w:bookmarkStart w:id="2159" w:name="_Toc5798"/>
      <w:r>
        <w:rPr>
          <w:rFonts w:hint="eastAsia" w:ascii="Times New Roman" w:hAnsi="Times New Roman" w:eastAsia="宋体" w:cs="Times New Roman"/>
          <w:b/>
          <w:sz w:val="24"/>
        </w:rPr>
        <w:t>四、目标评价与成绩评定</w:t>
      </w:r>
      <w:bookmarkEnd w:id="2153"/>
      <w:bookmarkEnd w:id="2154"/>
      <w:bookmarkEnd w:id="2155"/>
      <w:bookmarkEnd w:id="2156"/>
      <w:bookmarkEnd w:id="2157"/>
      <w:bookmarkEnd w:id="2158"/>
      <w:bookmarkEnd w:id="2159"/>
    </w:p>
    <w:p w14:paraId="64D08EBF">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（一）课程目标评价方式</w:t>
      </w:r>
    </w:p>
    <w:p w14:paraId="30011525">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根据总体设计，用于评价各课程目标的评价方式如下表所示</w:t>
      </w:r>
      <w:r>
        <w:rPr>
          <w:rFonts w:ascii="Times New Roman" w:hAnsi="Times New Roman" w:eastAsia="宋体" w:cs="Times New Roman"/>
          <w:szCs w:val="21"/>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3493"/>
        <w:gridCol w:w="2675"/>
        <w:gridCol w:w="1125"/>
      </w:tblGrid>
      <w:tr w14:paraId="3E348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14:paraId="34950B87">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w:t>
            </w:r>
          </w:p>
        </w:tc>
        <w:tc>
          <w:tcPr>
            <w:tcW w:w="6168" w:type="dxa"/>
            <w:gridSpan w:val="2"/>
            <w:vAlign w:val="center"/>
          </w:tcPr>
          <w:p w14:paraId="54E800C6">
            <w:pPr>
              <w:spacing w:line="360" w:lineRule="auto"/>
              <w:jc w:val="center"/>
              <w:rPr>
                <w:rFonts w:hint="eastAsia" w:ascii="宋体" w:hAnsi="宋体" w:eastAsia="宋体" w:cs="Times New Roman"/>
                <w:szCs w:val="21"/>
              </w:rPr>
            </w:pPr>
            <w:r>
              <w:rPr>
                <w:rFonts w:hint="eastAsia" w:ascii="宋体" w:hAnsi="宋体" w:eastAsia="宋体" w:cs="Times New Roman"/>
                <w:szCs w:val="21"/>
              </w:rPr>
              <w:t>评价与成绩评定方法</w:t>
            </w:r>
          </w:p>
        </w:tc>
        <w:tc>
          <w:tcPr>
            <w:tcW w:w="1125" w:type="dxa"/>
            <w:vMerge w:val="restart"/>
            <w:vAlign w:val="center"/>
          </w:tcPr>
          <w:p w14:paraId="637297C0">
            <w:pPr>
              <w:spacing w:line="360" w:lineRule="auto"/>
              <w:jc w:val="center"/>
              <w:rPr>
                <w:rFonts w:hint="eastAsia" w:ascii="宋体" w:hAnsi="宋体" w:eastAsia="宋体" w:cs="Times New Roman"/>
                <w:szCs w:val="21"/>
              </w:rPr>
            </w:pPr>
            <w:r>
              <w:rPr>
                <w:rFonts w:hint="eastAsia" w:ascii="宋体" w:hAnsi="宋体" w:eastAsia="宋体" w:cs="Times New Roman"/>
                <w:szCs w:val="21"/>
              </w:rPr>
              <w:t>分值</w:t>
            </w:r>
          </w:p>
        </w:tc>
      </w:tr>
      <w:tr w14:paraId="4F371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14:paraId="00804B50">
            <w:pPr>
              <w:spacing w:line="360" w:lineRule="auto"/>
              <w:jc w:val="center"/>
              <w:rPr>
                <w:rFonts w:hint="eastAsia" w:ascii="宋体" w:hAnsi="宋体" w:eastAsia="宋体" w:cs="Times New Roman"/>
                <w:szCs w:val="21"/>
              </w:rPr>
            </w:pPr>
          </w:p>
        </w:tc>
        <w:tc>
          <w:tcPr>
            <w:tcW w:w="3493" w:type="dxa"/>
            <w:vAlign w:val="center"/>
          </w:tcPr>
          <w:p w14:paraId="54D5F11C">
            <w:pPr>
              <w:spacing w:line="360" w:lineRule="auto"/>
              <w:jc w:val="center"/>
              <w:rPr>
                <w:rFonts w:hint="eastAsia" w:ascii="宋体" w:hAnsi="宋体" w:eastAsia="宋体" w:cs="Times New Roman"/>
                <w:szCs w:val="21"/>
              </w:rPr>
            </w:pPr>
            <w:r>
              <w:rPr>
                <w:rFonts w:hint="eastAsia" w:ascii="宋体" w:hAnsi="宋体" w:eastAsia="宋体" w:cs="Times New Roman"/>
                <w:szCs w:val="21"/>
              </w:rPr>
              <w:t>毕业论文</w:t>
            </w:r>
          </w:p>
        </w:tc>
        <w:tc>
          <w:tcPr>
            <w:tcW w:w="2675" w:type="dxa"/>
            <w:vAlign w:val="center"/>
          </w:tcPr>
          <w:p w14:paraId="2E8FB017">
            <w:pPr>
              <w:spacing w:line="360" w:lineRule="auto"/>
              <w:jc w:val="center"/>
              <w:rPr>
                <w:rFonts w:hint="eastAsia" w:ascii="宋体" w:hAnsi="宋体" w:eastAsia="宋体" w:cs="Times New Roman"/>
                <w:szCs w:val="21"/>
              </w:rPr>
            </w:pPr>
            <w:r>
              <w:rPr>
                <w:rFonts w:hint="eastAsia" w:ascii="宋体" w:hAnsi="宋体" w:eastAsia="宋体" w:cs="Times New Roman"/>
                <w:szCs w:val="21"/>
              </w:rPr>
              <w:t>论文答辩</w:t>
            </w:r>
          </w:p>
        </w:tc>
        <w:tc>
          <w:tcPr>
            <w:tcW w:w="1125" w:type="dxa"/>
            <w:vMerge w:val="continue"/>
            <w:vAlign w:val="center"/>
          </w:tcPr>
          <w:p w14:paraId="59633D64">
            <w:pPr>
              <w:spacing w:line="360" w:lineRule="auto"/>
              <w:jc w:val="center"/>
              <w:rPr>
                <w:rFonts w:hint="eastAsia" w:ascii="宋体" w:hAnsi="宋体" w:eastAsia="宋体" w:cs="Times New Roman"/>
                <w:szCs w:val="21"/>
              </w:rPr>
            </w:pPr>
          </w:p>
        </w:tc>
      </w:tr>
      <w:tr w14:paraId="56B2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FE45863">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课程目标1</w:t>
            </w:r>
          </w:p>
        </w:tc>
        <w:tc>
          <w:tcPr>
            <w:tcW w:w="3493" w:type="dxa"/>
            <w:vAlign w:val="center"/>
          </w:tcPr>
          <w:p w14:paraId="461F7BD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675" w:type="dxa"/>
            <w:vAlign w:val="center"/>
          </w:tcPr>
          <w:p w14:paraId="40DE076C">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20CF95CD">
            <w:pPr>
              <w:spacing w:line="360" w:lineRule="auto"/>
              <w:jc w:val="center"/>
              <w:rPr>
                <w:rFonts w:hint="eastAsia" w:ascii="宋体" w:hAnsi="宋体" w:eastAsia="宋体" w:cs="Times New Roman"/>
                <w:szCs w:val="21"/>
              </w:rPr>
            </w:pPr>
            <w:r>
              <w:rPr>
                <w:rFonts w:hint="eastAsia" w:ascii="宋体" w:hAnsi="宋体" w:eastAsia="宋体" w:cs="Times New Roman"/>
                <w:szCs w:val="21"/>
              </w:rPr>
              <w:t>35</w:t>
            </w:r>
          </w:p>
        </w:tc>
      </w:tr>
      <w:tr w14:paraId="2924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1AA25A48">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课程目标2</w:t>
            </w:r>
          </w:p>
        </w:tc>
        <w:tc>
          <w:tcPr>
            <w:tcW w:w="3493" w:type="dxa"/>
            <w:vAlign w:val="center"/>
          </w:tcPr>
          <w:p w14:paraId="616E2CA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675" w:type="dxa"/>
            <w:vAlign w:val="center"/>
          </w:tcPr>
          <w:p w14:paraId="5AB330B2">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27600172">
            <w:pPr>
              <w:spacing w:line="360" w:lineRule="auto"/>
              <w:jc w:val="center"/>
              <w:rPr>
                <w:rFonts w:hint="eastAsia" w:ascii="宋体" w:hAnsi="宋体" w:eastAsia="宋体" w:cs="Times New Roman"/>
                <w:szCs w:val="21"/>
              </w:rPr>
            </w:pPr>
            <w:r>
              <w:rPr>
                <w:rFonts w:hint="eastAsia" w:ascii="宋体" w:hAnsi="宋体" w:eastAsia="宋体" w:cs="Times New Roman"/>
                <w:szCs w:val="21"/>
              </w:rPr>
              <w:t>35</w:t>
            </w:r>
          </w:p>
        </w:tc>
      </w:tr>
      <w:tr w14:paraId="67E2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C91B932">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课程目标3</w:t>
            </w:r>
          </w:p>
        </w:tc>
        <w:tc>
          <w:tcPr>
            <w:tcW w:w="3493" w:type="dxa"/>
            <w:vAlign w:val="center"/>
          </w:tcPr>
          <w:p w14:paraId="2D7A91BA">
            <w:pPr>
              <w:spacing w:line="360" w:lineRule="auto"/>
              <w:jc w:val="center"/>
              <w:rPr>
                <w:rFonts w:hint="eastAsia" w:ascii="宋体" w:hAnsi="宋体" w:eastAsia="宋体" w:cs="Times New Roman"/>
                <w:szCs w:val="21"/>
              </w:rPr>
            </w:pPr>
          </w:p>
        </w:tc>
        <w:tc>
          <w:tcPr>
            <w:tcW w:w="2675" w:type="dxa"/>
            <w:vAlign w:val="center"/>
          </w:tcPr>
          <w:p w14:paraId="52354909">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1125" w:type="dxa"/>
            <w:vAlign w:val="center"/>
          </w:tcPr>
          <w:p w14:paraId="613FCE83">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16B4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0EA742A">
            <w:pPr>
              <w:spacing w:line="360" w:lineRule="auto"/>
              <w:jc w:val="center"/>
              <w:rPr>
                <w:rFonts w:hint="eastAsia" w:ascii="宋体" w:hAnsi="宋体" w:eastAsia="宋体" w:cs="Times New Roman"/>
                <w:szCs w:val="21"/>
              </w:rPr>
            </w:pPr>
            <w:r>
              <w:rPr>
                <w:rFonts w:hint="eastAsia" w:ascii="宋体" w:hAnsi="宋体" w:eastAsia="宋体" w:cs="Times New Roman"/>
                <w:szCs w:val="21"/>
              </w:rPr>
              <w:t>课程目标4</w:t>
            </w:r>
          </w:p>
        </w:tc>
        <w:tc>
          <w:tcPr>
            <w:tcW w:w="3493" w:type="dxa"/>
            <w:vAlign w:val="center"/>
          </w:tcPr>
          <w:p w14:paraId="6D7760C6">
            <w:pPr>
              <w:spacing w:line="360" w:lineRule="auto"/>
              <w:jc w:val="center"/>
              <w:rPr>
                <w:rFonts w:hint="eastAsia" w:ascii="宋体" w:hAnsi="宋体" w:eastAsia="宋体" w:cs="Times New Roman"/>
                <w:szCs w:val="21"/>
              </w:rPr>
            </w:pPr>
            <w:r>
              <w:rPr>
                <w:rFonts w:ascii="宋体" w:hAnsi="宋体" w:eastAsia="宋体" w:cs="Times New Roman"/>
                <w:szCs w:val="21"/>
              </w:rPr>
              <w:sym w:font="Wingdings 2" w:char="F050"/>
            </w:r>
          </w:p>
        </w:tc>
        <w:tc>
          <w:tcPr>
            <w:tcW w:w="2675" w:type="dxa"/>
            <w:vAlign w:val="center"/>
          </w:tcPr>
          <w:p w14:paraId="17C86CF7">
            <w:pPr>
              <w:spacing w:line="360" w:lineRule="auto"/>
              <w:jc w:val="center"/>
              <w:rPr>
                <w:rFonts w:hint="eastAsia" w:ascii="宋体" w:hAnsi="宋体" w:eastAsia="宋体" w:cs="Times New Roman"/>
                <w:szCs w:val="21"/>
              </w:rPr>
            </w:pPr>
          </w:p>
        </w:tc>
        <w:tc>
          <w:tcPr>
            <w:tcW w:w="1125" w:type="dxa"/>
            <w:vAlign w:val="center"/>
          </w:tcPr>
          <w:p w14:paraId="7F08FBE5">
            <w:pPr>
              <w:spacing w:line="360" w:lineRule="auto"/>
              <w:jc w:val="center"/>
              <w:rPr>
                <w:rFonts w:hint="eastAsia" w:ascii="宋体" w:hAnsi="宋体" w:eastAsia="宋体" w:cs="Times New Roman"/>
                <w:szCs w:val="21"/>
              </w:rPr>
            </w:pPr>
            <w:r>
              <w:rPr>
                <w:rFonts w:hint="eastAsia" w:ascii="宋体" w:hAnsi="宋体" w:eastAsia="宋体" w:cs="Times New Roman"/>
                <w:szCs w:val="21"/>
              </w:rPr>
              <w:t>15</w:t>
            </w:r>
          </w:p>
        </w:tc>
      </w:tr>
      <w:tr w14:paraId="427F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4DC9DF5">
            <w:pPr>
              <w:spacing w:line="360" w:lineRule="auto"/>
              <w:jc w:val="center"/>
              <w:rPr>
                <w:rFonts w:hint="eastAsia" w:ascii="宋体" w:hAnsi="宋体" w:eastAsia="宋体" w:cs="Times New Roman"/>
                <w:szCs w:val="21"/>
              </w:rPr>
            </w:pPr>
            <w:r>
              <w:rPr>
                <w:rFonts w:hint="eastAsia" w:ascii="宋体" w:hAnsi="宋体" w:eastAsia="宋体" w:cs="Times New Roman"/>
                <w:szCs w:val="21"/>
              </w:rPr>
              <w:t>合计</w:t>
            </w:r>
          </w:p>
        </w:tc>
        <w:tc>
          <w:tcPr>
            <w:tcW w:w="3493" w:type="dxa"/>
            <w:vAlign w:val="center"/>
          </w:tcPr>
          <w:p w14:paraId="3EA47AE6">
            <w:pPr>
              <w:spacing w:line="360" w:lineRule="auto"/>
              <w:jc w:val="center"/>
              <w:rPr>
                <w:rFonts w:hint="eastAsia" w:ascii="宋体" w:hAnsi="宋体" w:eastAsia="宋体" w:cs="Times New Roman"/>
                <w:szCs w:val="21"/>
              </w:rPr>
            </w:pPr>
          </w:p>
        </w:tc>
        <w:tc>
          <w:tcPr>
            <w:tcW w:w="2675" w:type="dxa"/>
            <w:vAlign w:val="center"/>
          </w:tcPr>
          <w:p w14:paraId="470B9A8D">
            <w:pPr>
              <w:spacing w:line="360" w:lineRule="auto"/>
              <w:jc w:val="center"/>
              <w:rPr>
                <w:rFonts w:hint="eastAsia" w:ascii="宋体" w:hAnsi="宋体" w:eastAsia="宋体" w:cs="Times New Roman"/>
                <w:szCs w:val="21"/>
              </w:rPr>
            </w:pPr>
          </w:p>
        </w:tc>
        <w:tc>
          <w:tcPr>
            <w:tcW w:w="1125" w:type="dxa"/>
            <w:vAlign w:val="center"/>
          </w:tcPr>
          <w:p w14:paraId="2334FAA0">
            <w:pPr>
              <w:spacing w:line="360" w:lineRule="auto"/>
              <w:jc w:val="center"/>
              <w:rPr>
                <w:rFonts w:hint="eastAsia" w:ascii="宋体" w:hAnsi="宋体" w:eastAsia="宋体" w:cs="Times New Roman"/>
                <w:szCs w:val="21"/>
              </w:rPr>
            </w:pPr>
            <w:r>
              <w:rPr>
                <w:rFonts w:hint="eastAsia" w:ascii="宋体" w:hAnsi="宋体" w:eastAsia="宋体" w:cs="Times New Roman"/>
                <w:szCs w:val="21"/>
              </w:rPr>
              <w:t>100</w:t>
            </w:r>
          </w:p>
        </w:tc>
      </w:tr>
    </w:tbl>
    <w:p w14:paraId="34205CA6">
      <w:pPr>
        <w:spacing w:before="156" w:beforeLines="50"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（二）成绩评定细则</w:t>
      </w:r>
    </w:p>
    <w:p w14:paraId="588F119D">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各部分的评价方式和成绩评定的细则如下表所示。</w:t>
      </w:r>
    </w:p>
    <w:tbl>
      <w:tblPr>
        <w:tblStyle w:val="12"/>
        <w:tblW w:w="8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7332"/>
        <w:gridCol w:w="750"/>
      </w:tblGrid>
      <w:tr w14:paraId="3C84D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03A38E8D">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评价方式</w:t>
            </w:r>
          </w:p>
        </w:tc>
        <w:tc>
          <w:tcPr>
            <w:tcW w:w="7332" w:type="dxa"/>
            <w:vAlign w:val="center"/>
          </w:tcPr>
          <w:p w14:paraId="34A07AE2">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评定细则</w:t>
            </w:r>
          </w:p>
        </w:tc>
        <w:tc>
          <w:tcPr>
            <w:tcW w:w="750" w:type="dxa"/>
            <w:vAlign w:val="center"/>
          </w:tcPr>
          <w:p w14:paraId="0B970AC5">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占比</w:t>
            </w:r>
          </w:p>
        </w:tc>
      </w:tr>
      <w:tr w14:paraId="3494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E97D4E5">
            <w:pPr>
              <w:rPr>
                <w:rFonts w:ascii="Times New Roman" w:hAnsi="Times New Roman" w:eastAsia="宋体" w:cs="Times New Roman"/>
                <w:szCs w:val="21"/>
              </w:rPr>
            </w:pPr>
            <w:r>
              <w:rPr>
                <w:rFonts w:hint="eastAsia" w:ascii="Times New Roman" w:hAnsi="Times New Roman" w:eastAsia="宋体" w:cs="Times New Roman"/>
                <w:szCs w:val="21"/>
              </w:rPr>
              <w:t>毕业论文</w:t>
            </w:r>
          </w:p>
        </w:tc>
        <w:tc>
          <w:tcPr>
            <w:tcW w:w="7332" w:type="dxa"/>
            <w:vAlign w:val="center"/>
          </w:tcPr>
          <w:p w14:paraId="31CF278A">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由指导教师和评阅教师对学生的毕业论文进行评价。</w:t>
            </w:r>
          </w:p>
          <w:p w14:paraId="732CA482">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指导教师着重从学生的日常表现、独立工作能力和论文完成质量等方面给出考核评语和评定成绩（百分制），评阅成绩占毕业论文的60%；</w:t>
            </w:r>
          </w:p>
          <w:p w14:paraId="12B00518">
            <w:pPr>
              <w:spacing w:line="264" w:lineRule="auto"/>
              <w:jc w:val="left"/>
              <w:rPr>
                <w:rFonts w:ascii="Times New Roman" w:hAnsi="Times New Roman" w:eastAsia="宋体" w:cs="Times New Roman"/>
                <w:szCs w:val="21"/>
              </w:rPr>
            </w:pPr>
            <w:r>
              <w:rPr>
                <w:rFonts w:hint="eastAsia" w:ascii="Times New Roman" w:hAnsi="Times New Roman" w:eastAsia="宋体" w:cs="Times New Roman"/>
                <w:szCs w:val="21"/>
              </w:rPr>
              <w:t>评阅教师着重从毕业设计选题的意义和价值、论文的工作量和难度、学生论文完成的水平、论文的撰写质量等方面进行考评，并给出考核评语和评定成绩（百分制），评阅成绩占毕业论文的40%</w:t>
            </w:r>
          </w:p>
        </w:tc>
        <w:tc>
          <w:tcPr>
            <w:tcW w:w="750" w:type="dxa"/>
            <w:vAlign w:val="center"/>
          </w:tcPr>
          <w:p w14:paraId="05C0128F">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26EA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678A6A8">
            <w:pPr>
              <w:rPr>
                <w:rFonts w:ascii="Times New Roman" w:hAnsi="Times New Roman" w:eastAsia="宋体" w:cs="Times New Roman"/>
                <w:szCs w:val="21"/>
              </w:rPr>
            </w:pPr>
            <w:r>
              <w:rPr>
                <w:rFonts w:hint="eastAsia" w:ascii="Times New Roman" w:hAnsi="Times New Roman" w:eastAsia="宋体" w:cs="Times New Roman"/>
                <w:szCs w:val="21"/>
              </w:rPr>
              <w:t>论文答辩</w:t>
            </w:r>
          </w:p>
        </w:tc>
        <w:tc>
          <w:tcPr>
            <w:tcW w:w="7332" w:type="dxa"/>
            <w:vAlign w:val="center"/>
          </w:tcPr>
          <w:p w14:paraId="1D9E60C9">
            <w:pPr>
              <w:widowControl/>
              <w:spacing w:line="264" w:lineRule="auto"/>
              <w:jc w:val="left"/>
              <w:rPr>
                <w:rFonts w:hint="eastAsia" w:ascii="宋体" w:hAnsi="宋体" w:eastAsia="宋体" w:cs="宋体"/>
                <w:kern w:val="0"/>
                <w:szCs w:val="21"/>
                <w:lang w:bidi="ar"/>
              </w:rPr>
            </w:pPr>
            <w:r>
              <w:rPr>
                <w:rFonts w:hint="eastAsia" w:ascii="宋体" w:hAnsi="宋体" w:eastAsia="宋体" w:cs="宋体"/>
                <w:kern w:val="0"/>
                <w:szCs w:val="21"/>
                <w:lang w:bidi="ar"/>
              </w:rPr>
              <w:t>由答辩委员会针对论文整体情况、学生陈述问题的清楚程度以及对专家提出问题的回答情况给出评阅成绩（百分制）。</w:t>
            </w:r>
          </w:p>
        </w:tc>
        <w:tc>
          <w:tcPr>
            <w:tcW w:w="750" w:type="dxa"/>
            <w:vAlign w:val="center"/>
          </w:tcPr>
          <w:p w14:paraId="5FF3CC1E">
            <w:pPr>
              <w:jc w:val="center"/>
              <w:rPr>
                <w:rFonts w:ascii="Times New Roman" w:hAnsi="Times New Roman" w:eastAsia="宋体" w:cs="Times New Roman"/>
                <w:szCs w:val="21"/>
              </w:rPr>
            </w:pPr>
            <w:r>
              <w:rPr>
                <w:rFonts w:hint="eastAsia" w:ascii="Times New Roman" w:hAnsi="Times New Roman" w:eastAsia="宋体" w:cs="Times New Roman"/>
                <w:szCs w:val="21"/>
              </w:rPr>
              <w:t>50%</w:t>
            </w:r>
          </w:p>
        </w:tc>
      </w:tr>
      <w:tr w14:paraId="72FCD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0" w:type="auto"/>
            <w:vAlign w:val="center"/>
          </w:tcPr>
          <w:p w14:paraId="10C5EC33">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合计</w:t>
            </w:r>
          </w:p>
        </w:tc>
        <w:tc>
          <w:tcPr>
            <w:tcW w:w="7332" w:type="dxa"/>
            <w:vAlign w:val="center"/>
          </w:tcPr>
          <w:p w14:paraId="1403156E">
            <w:pPr>
              <w:jc w:val="left"/>
              <w:rPr>
                <w:rFonts w:ascii="Times New Roman" w:hAnsi="Times New Roman" w:eastAsia="宋体" w:cs="Times New Roman"/>
                <w:szCs w:val="21"/>
              </w:rPr>
            </w:pPr>
          </w:p>
        </w:tc>
        <w:tc>
          <w:tcPr>
            <w:tcW w:w="750" w:type="dxa"/>
            <w:vAlign w:val="center"/>
          </w:tcPr>
          <w:p w14:paraId="5559D994">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r>
    </w:tbl>
    <w:p w14:paraId="695A5B78">
      <w:pPr>
        <w:spacing w:line="360" w:lineRule="auto"/>
        <w:ind w:firstLine="422" w:firstLineChars="200"/>
        <w:jc w:val="left"/>
        <w:rPr>
          <w:rFonts w:hint="eastAsia" w:ascii="宋体" w:hAnsi="宋体" w:eastAsia="宋体" w:cs="Times New Roman"/>
          <w:b/>
          <w:szCs w:val="21"/>
        </w:rPr>
      </w:pPr>
      <w:r>
        <w:rPr>
          <w:rFonts w:hint="eastAsia" w:ascii="宋体" w:hAnsi="宋体" w:eastAsia="宋体" w:cs="Times New Roman"/>
          <w:b/>
          <w:szCs w:val="21"/>
        </w:rPr>
        <w:t>（三）课程目标达成度计算方法</w:t>
      </w:r>
    </w:p>
    <w:p w14:paraId="4A74069A">
      <w:pPr>
        <w:spacing w:line="360" w:lineRule="auto"/>
        <w:ind w:firstLine="411" w:firstLineChars="196"/>
        <w:jc w:val="left"/>
        <w:rPr>
          <w:rFonts w:hint="eastAsia" w:ascii="宋体" w:hAnsi="宋体" w:eastAsia="宋体" w:cs="Times New Roman"/>
          <w:szCs w:val="21"/>
        </w:rPr>
      </w:pPr>
      <w:r>
        <w:rPr>
          <w:rFonts w:hint="eastAsia" w:ascii="宋体" w:hAnsi="宋体" w:eastAsia="宋体" w:cs="Times New Roman"/>
          <w:szCs w:val="21"/>
        </w:rPr>
        <w:t>所有课程目标均需大于等于</w:t>
      </w:r>
      <w:r>
        <w:rPr>
          <w:rFonts w:ascii="宋体" w:hAnsi="宋体" w:eastAsia="宋体" w:cs="Times New Roman"/>
          <w:szCs w:val="21"/>
        </w:rPr>
        <w:t>0.6，否则总评成绩不及格，需要补考或重修。每门课程目标总体达成度计算方法如下：</w:t>
      </w:r>
    </w:p>
    <w:p w14:paraId="602E0D06">
      <w:pPr>
        <w:spacing w:before="62" w:beforeLines="20" w:after="62" w:afterLines="20" w:line="360" w:lineRule="auto"/>
        <w:jc w:val="left"/>
        <w:rPr>
          <w:rFonts w:ascii="Times New Roman" w:hAnsi="Times New Roman" w:eastAsia="宋体" w:cs="Times New Roman"/>
          <w:b/>
          <w:sz w:val="24"/>
        </w:rPr>
      </w:pPr>
      <w:r>
        <w:rPr>
          <w:rFonts w:ascii="Times New Roman" w:hAnsi="Times New Roman" w:eastAsia="宋体" w:cs="Times New Roman"/>
          <w:b/>
          <w:sz w:val="24"/>
        </w:rPr>
        <w:object>
          <v:shape id="_x0000_i1088" o:spt="75" type="#_x0000_t75" style="height:25.15pt;width:404.65pt;" o:ole="t" filled="f" o:preferrelative="t" stroked="f" coordsize="21600,21600">
            <v:path/>
            <v:fill on="f" focussize="0,0"/>
            <v:stroke on="f" joinstyle="miter"/>
            <v:imagedata r:id="rId12" o:title=""/>
            <o:lock v:ext="edit" aspectratio="t"/>
            <w10:wrap type="none"/>
            <w10:anchorlock/>
          </v:shape>
          <o:OLEObject Type="Embed" ProgID="Equation.3" ShapeID="_x0000_i1088" DrawAspect="Content" ObjectID="_1468075788" r:id="rId76">
            <o:LockedField>false</o:LockedField>
          </o:OLEObject>
        </w:object>
      </w:r>
      <w:r>
        <w:rPr>
          <w:rFonts w:hint="eastAsia" w:ascii="Times New Roman" w:hAnsi="Times New Roman" w:eastAsia="宋体" w:cs="Times New Roman"/>
          <w:b/>
          <w:sz w:val="24"/>
        </w:rPr>
        <w:t>五、有关说明</w:t>
      </w:r>
    </w:p>
    <w:p w14:paraId="61B6792B">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（一）持续改进</w:t>
      </w:r>
    </w:p>
    <w:p w14:paraId="3053463B">
      <w:pPr>
        <w:spacing w:line="360" w:lineRule="auto"/>
        <w:ind w:firstLine="420" w:firstLineChars="200"/>
        <w:jc w:val="left"/>
        <w:rPr>
          <w:rFonts w:ascii="Times New Roman" w:hAnsi="Times New Roman" w:eastAsia="宋体" w:cs="Times New Roman"/>
          <w:szCs w:val="21"/>
        </w:rPr>
      </w:pPr>
      <w:r>
        <w:rPr>
          <w:rFonts w:hint="eastAsia" w:ascii="Times New Roman" w:hAnsi="Times New Roman" w:eastAsia="宋体" w:cs="Times New Roman"/>
          <w:szCs w:val="21"/>
        </w:rPr>
        <w:t>根据学生选题情况、论文写作过程中的情况、论文质量、答辩情况等，及时对毕业论文过程中的不足之处进行改进，并在下一轮教学中整改完善，确保相应毕业要求指标点的达成。</w:t>
      </w:r>
    </w:p>
    <w:p w14:paraId="05BA1696">
      <w:pPr>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（二）建议教材</w:t>
      </w:r>
    </w:p>
    <w:p w14:paraId="4F01211A">
      <w:pPr>
        <w:spacing w:line="336" w:lineRule="auto"/>
        <w:ind w:firstLine="420" w:firstLineChars="200"/>
        <w:rPr>
          <w:rFonts w:ascii="Times New Roman" w:hAnsi="Times New Roman" w:eastAsia="宋体" w:cs="Times New Roman"/>
          <w:szCs w:val="21"/>
        </w:rPr>
      </w:pPr>
      <w:r>
        <w:rPr>
          <w:rFonts w:hint="eastAsia" w:ascii="Times New Roman" w:hAnsi="Times New Roman" w:eastAsia="宋体" w:cs="Times New Roman"/>
          <w:bCs/>
          <w:szCs w:val="21"/>
        </w:rPr>
        <w:t>张肇丰.从实践到文本 中小学教师科研写作方法导论（第3版）.上海：华东师范大学出版社，2021.</w:t>
      </w:r>
    </w:p>
    <w:p w14:paraId="795FCD84">
      <w:pPr>
        <w:tabs>
          <w:tab w:val="left" w:pos="374"/>
        </w:tabs>
        <w:spacing w:line="360" w:lineRule="auto"/>
        <w:ind w:firstLine="422" w:firstLineChars="200"/>
        <w:jc w:val="left"/>
        <w:rPr>
          <w:rFonts w:ascii="Times New Roman" w:hAnsi="Times New Roman" w:eastAsia="宋体" w:cs="Times New Roman"/>
          <w:b/>
          <w:szCs w:val="21"/>
        </w:rPr>
      </w:pPr>
      <w:r>
        <w:rPr>
          <w:rFonts w:hint="eastAsia" w:ascii="Times New Roman" w:hAnsi="Times New Roman" w:eastAsia="宋体" w:cs="Times New Roman"/>
          <w:b/>
          <w:szCs w:val="21"/>
        </w:rPr>
        <w:t>（三）参考书目</w:t>
      </w:r>
    </w:p>
    <w:p w14:paraId="6B5C3072">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1.常州工学院毕业设计（论文）工作管理办法</w:t>
      </w:r>
    </w:p>
    <w:p w14:paraId="4ABB6A0B">
      <w:pPr>
        <w:spacing w:line="360" w:lineRule="auto"/>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2.常州工学院教育与人文学院小学教育专业毕业论文指导书</w:t>
      </w:r>
    </w:p>
    <w:p w14:paraId="12DFFFBD">
      <w:pPr>
        <w:ind w:firstLine="420" w:firstLineChars="200"/>
        <w:rPr>
          <w:rFonts w:hint="eastAsia" w:ascii="等线" w:hAnsi="等线" w:eastAsia="等线" w:cs="Times New Roman"/>
          <w:szCs w:val="22"/>
        </w:rPr>
      </w:pPr>
      <w:r>
        <w:rPr>
          <w:rFonts w:hint="eastAsia" w:ascii="Times New Roman" w:hAnsi="Times New Roman" w:eastAsia="宋体" w:cs="Times New Roman"/>
          <w:bCs/>
          <w:szCs w:val="21"/>
        </w:rPr>
        <w:t>3.其他资料由各指导教师根据题目给定</w:t>
      </w:r>
    </w:p>
    <w:p w14:paraId="3662C409">
      <w:pPr>
        <w:spacing w:line="360" w:lineRule="auto"/>
        <w:ind w:firstLine="5250" w:firstLineChars="2500"/>
        <w:jc w:val="left"/>
        <w:rPr>
          <w:rFonts w:ascii="Times New Roman" w:hAnsi="Times New Roman" w:eastAsia="宋体" w:cs="Times New Roman"/>
          <w:szCs w:val="21"/>
        </w:rPr>
      </w:pPr>
      <w:r>
        <w:rPr>
          <w:rFonts w:hint="eastAsia" w:ascii="Times New Roman" w:hAnsi="Times New Roman" w:eastAsia="宋体" w:cs="Times New Roman"/>
          <w:szCs w:val="21"/>
        </w:rPr>
        <w:t>执 笔 人： 姚玉香</w:t>
      </w:r>
    </w:p>
    <w:p w14:paraId="060766F6">
      <w:pPr>
        <w:spacing w:line="360" w:lineRule="auto"/>
        <w:ind w:firstLine="5250" w:firstLineChars="2500"/>
        <w:jc w:val="left"/>
        <w:rPr>
          <w:rFonts w:ascii="Times New Roman" w:hAnsi="Times New Roman" w:eastAsia="宋体" w:cs="Times New Roman"/>
          <w:szCs w:val="21"/>
        </w:rPr>
      </w:pPr>
      <w:r>
        <w:rPr>
          <w:rFonts w:hint="eastAsia" w:ascii="Times New Roman" w:hAnsi="Times New Roman" w:eastAsia="宋体" w:cs="Times New Roman"/>
          <w:szCs w:val="21"/>
        </w:rPr>
        <w:t xml:space="preserve">  审 定 人： 王  健</w:t>
      </w:r>
    </w:p>
    <w:p w14:paraId="6505AF1A">
      <w:pPr>
        <w:spacing w:line="360" w:lineRule="auto"/>
        <w:ind w:firstLine="5250" w:firstLineChars="2500"/>
        <w:jc w:val="left"/>
        <w:rPr>
          <w:rFonts w:ascii="Times New Roman" w:hAnsi="Times New Roman" w:eastAsia="宋体" w:cs="Times New Roman"/>
          <w:szCs w:val="21"/>
        </w:rPr>
      </w:pPr>
      <w:r>
        <w:rPr>
          <w:rFonts w:hint="eastAsia" w:ascii="Times New Roman" w:hAnsi="Times New Roman" w:eastAsia="宋体" w:cs="Times New Roman"/>
          <w:szCs w:val="21"/>
        </w:rPr>
        <w:t>审 批 人： 张志欣</w:t>
      </w:r>
    </w:p>
    <w:p w14:paraId="261B5A14">
      <w:pPr>
        <w:spacing w:line="360" w:lineRule="auto"/>
        <w:ind w:firstLine="5250" w:firstLineChars="2500"/>
        <w:jc w:val="left"/>
        <w:rPr>
          <w:rFonts w:ascii="Times New Roman" w:hAnsi="Times New Roman" w:eastAsia="宋体" w:cs="Times New Roman"/>
          <w:szCs w:val="21"/>
        </w:rPr>
      </w:pPr>
      <w:r>
        <w:rPr>
          <w:rFonts w:hint="eastAsia" w:ascii="Times New Roman" w:hAnsi="Times New Roman" w:eastAsia="宋体" w:cs="Times New Roman"/>
          <w:szCs w:val="21"/>
        </w:rPr>
        <w:t>批准时间：2025年7月1日</w:t>
      </w:r>
    </w:p>
    <w:p w14:paraId="025B7EBF">
      <w:pPr>
        <w:rPr>
          <w:rFonts w:hint="eastAsia" w:ascii="等线" w:hAnsi="等线" w:eastAsia="等线" w:cs="Times New Roman"/>
          <w:kern w:val="0"/>
          <w:szCs w:val="21"/>
        </w:rPr>
      </w:pPr>
    </w:p>
    <w:p w14:paraId="0B1A11D3">
      <w:pPr>
        <w:rPr>
          <w:rFonts w:hint="eastAsia" w:ascii="等线" w:hAnsi="等线" w:eastAsia="等线" w:cs="Times New Roman"/>
          <w:kern w:val="0"/>
          <w:szCs w:val="21"/>
        </w:rPr>
      </w:pPr>
    </w:p>
    <w:sectPr>
      <w:footerReference r:id="rId9"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0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CE14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785B1">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09D8E">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AF13F">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9BAF13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C1EC">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E397B">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DD57A">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23DD57A">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9A4FC">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09802">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24BFF"/>
    <w:multiLevelType w:val="singleLevel"/>
    <w:tmpl w:val="85624BFF"/>
    <w:lvl w:ilvl="0" w:tentative="0">
      <w:start w:val="1"/>
      <w:numFmt w:val="decimal"/>
      <w:lvlText w:val="%1."/>
      <w:lvlJc w:val="left"/>
      <w:pPr>
        <w:tabs>
          <w:tab w:val="left" w:pos="312"/>
        </w:tabs>
      </w:pPr>
    </w:lvl>
  </w:abstractNum>
  <w:abstractNum w:abstractNumId="1">
    <w:nsid w:val="89796333"/>
    <w:multiLevelType w:val="singleLevel"/>
    <w:tmpl w:val="89796333"/>
    <w:lvl w:ilvl="0" w:tentative="0">
      <w:start w:val="4"/>
      <w:numFmt w:val="chineseCounting"/>
      <w:suff w:val="nothing"/>
      <w:lvlText w:val="（%1）"/>
      <w:lvlJc w:val="left"/>
      <w:rPr>
        <w:rFonts w:hint="eastAsia"/>
      </w:rPr>
    </w:lvl>
  </w:abstractNum>
  <w:abstractNum w:abstractNumId="2">
    <w:nsid w:val="89EF7BFB"/>
    <w:multiLevelType w:val="singleLevel"/>
    <w:tmpl w:val="89EF7BFB"/>
    <w:lvl w:ilvl="0" w:tentative="0">
      <w:start w:val="2"/>
      <w:numFmt w:val="chineseCounting"/>
      <w:suff w:val="nothing"/>
      <w:lvlText w:val="（%1）"/>
      <w:lvlJc w:val="left"/>
      <w:rPr>
        <w:rFonts w:hint="eastAsia"/>
      </w:rPr>
    </w:lvl>
  </w:abstractNum>
  <w:abstractNum w:abstractNumId="3">
    <w:nsid w:val="8B7EFE20"/>
    <w:multiLevelType w:val="singleLevel"/>
    <w:tmpl w:val="8B7EFE20"/>
    <w:lvl w:ilvl="0" w:tentative="0">
      <w:start w:val="1"/>
      <w:numFmt w:val="decimal"/>
      <w:suff w:val="nothing"/>
      <w:lvlText w:val="（%1）"/>
      <w:lvlJc w:val="left"/>
    </w:lvl>
  </w:abstractNum>
  <w:abstractNum w:abstractNumId="4">
    <w:nsid w:val="8C6D6CD6"/>
    <w:multiLevelType w:val="singleLevel"/>
    <w:tmpl w:val="8C6D6CD6"/>
    <w:lvl w:ilvl="0" w:tentative="0">
      <w:start w:val="1"/>
      <w:numFmt w:val="decimal"/>
      <w:lvlText w:val="%1."/>
      <w:lvlJc w:val="left"/>
      <w:pPr>
        <w:tabs>
          <w:tab w:val="left" w:pos="312"/>
        </w:tabs>
      </w:pPr>
    </w:lvl>
  </w:abstractNum>
  <w:abstractNum w:abstractNumId="5">
    <w:nsid w:val="8DFA43CB"/>
    <w:multiLevelType w:val="singleLevel"/>
    <w:tmpl w:val="8DFA43CB"/>
    <w:lvl w:ilvl="0" w:tentative="0">
      <w:start w:val="1"/>
      <w:numFmt w:val="decimal"/>
      <w:lvlText w:val="%1."/>
      <w:lvlJc w:val="left"/>
      <w:pPr>
        <w:tabs>
          <w:tab w:val="left" w:pos="312"/>
        </w:tabs>
      </w:pPr>
    </w:lvl>
  </w:abstractNum>
  <w:abstractNum w:abstractNumId="6">
    <w:nsid w:val="92A17B83"/>
    <w:multiLevelType w:val="singleLevel"/>
    <w:tmpl w:val="92A17B83"/>
    <w:lvl w:ilvl="0" w:tentative="0">
      <w:start w:val="1"/>
      <w:numFmt w:val="decimal"/>
      <w:lvlText w:val="%1."/>
      <w:lvlJc w:val="left"/>
      <w:pPr>
        <w:tabs>
          <w:tab w:val="left" w:pos="312"/>
        </w:tabs>
      </w:pPr>
    </w:lvl>
  </w:abstractNum>
  <w:abstractNum w:abstractNumId="7">
    <w:nsid w:val="931BD83D"/>
    <w:multiLevelType w:val="singleLevel"/>
    <w:tmpl w:val="931BD83D"/>
    <w:lvl w:ilvl="0" w:tentative="0">
      <w:start w:val="1"/>
      <w:numFmt w:val="decimal"/>
      <w:suff w:val="nothing"/>
      <w:lvlText w:val="（%1）"/>
      <w:lvlJc w:val="left"/>
    </w:lvl>
  </w:abstractNum>
  <w:abstractNum w:abstractNumId="8">
    <w:nsid w:val="94BB5A1C"/>
    <w:multiLevelType w:val="singleLevel"/>
    <w:tmpl w:val="94BB5A1C"/>
    <w:lvl w:ilvl="0" w:tentative="0">
      <w:start w:val="1"/>
      <w:numFmt w:val="decimal"/>
      <w:lvlText w:val="%1."/>
      <w:lvlJc w:val="left"/>
      <w:pPr>
        <w:tabs>
          <w:tab w:val="left" w:pos="312"/>
        </w:tabs>
      </w:pPr>
    </w:lvl>
  </w:abstractNum>
  <w:abstractNum w:abstractNumId="9">
    <w:nsid w:val="96B481ED"/>
    <w:multiLevelType w:val="singleLevel"/>
    <w:tmpl w:val="96B481ED"/>
    <w:lvl w:ilvl="0" w:tentative="0">
      <w:start w:val="1"/>
      <w:numFmt w:val="decimal"/>
      <w:suff w:val="nothing"/>
      <w:lvlText w:val="（%1）"/>
      <w:lvlJc w:val="left"/>
    </w:lvl>
  </w:abstractNum>
  <w:abstractNum w:abstractNumId="10">
    <w:nsid w:val="9AD7572B"/>
    <w:multiLevelType w:val="singleLevel"/>
    <w:tmpl w:val="9AD7572B"/>
    <w:lvl w:ilvl="0" w:tentative="0">
      <w:start w:val="1"/>
      <w:numFmt w:val="decimal"/>
      <w:lvlText w:val="%1."/>
      <w:lvlJc w:val="left"/>
      <w:pPr>
        <w:tabs>
          <w:tab w:val="left" w:pos="312"/>
        </w:tabs>
      </w:pPr>
    </w:lvl>
  </w:abstractNum>
  <w:abstractNum w:abstractNumId="11">
    <w:nsid w:val="A177FFB7"/>
    <w:multiLevelType w:val="singleLevel"/>
    <w:tmpl w:val="A177FFB7"/>
    <w:lvl w:ilvl="0" w:tentative="0">
      <w:start w:val="1"/>
      <w:numFmt w:val="decimal"/>
      <w:suff w:val="nothing"/>
      <w:lvlText w:val="（%1）"/>
      <w:lvlJc w:val="left"/>
    </w:lvl>
  </w:abstractNum>
  <w:abstractNum w:abstractNumId="12">
    <w:nsid w:val="AA3F8CA6"/>
    <w:multiLevelType w:val="singleLevel"/>
    <w:tmpl w:val="AA3F8CA6"/>
    <w:lvl w:ilvl="0" w:tentative="0">
      <w:start w:val="1"/>
      <w:numFmt w:val="decimal"/>
      <w:suff w:val="nothing"/>
      <w:lvlText w:val="（%1）"/>
      <w:lvlJc w:val="left"/>
    </w:lvl>
  </w:abstractNum>
  <w:abstractNum w:abstractNumId="13">
    <w:nsid w:val="AEB7DC9A"/>
    <w:multiLevelType w:val="singleLevel"/>
    <w:tmpl w:val="AEB7DC9A"/>
    <w:lvl w:ilvl="0" w:tentative="0">
      <w:start w:val="1"/>
      <w:numFmt w:val="decimal"/>
      <w:lvlText w:val="%1."/>
      <w:lvlJc w:val="left"/>
      <w:pPr>
        <w:tabs>
          <w:tab w:val="left" w:pos="312"/>
        </w:tabs>
      </w:pPr>
    </w:lvl>
  </w:abstractNum>
  <w:abstractNum w:abstractNumId="14">
    <w:nsid w:val="B003677F"/>
    <w:multiLevelType w:val="singleLevel"/>
    <w:tmpl w:val="B003677F"/>
    <w:lvl w:ilvl="0" w:tentative="0">
      <w:start w:val="1"/>
      <w:numFmt w:val="decimal"/>
      <w:lvlText w:val="%1."/>
      <w:lvlJc w:val="left"/>
      <w:pPr>
        <w:tabs>
          <w:tab w:val="left" w:pos="312"/>
        </w:tabs>
      </w:pPr>
    </w:lvl>
  </w:abstractNum>
  <w:abstractNum w:abstractNumId="15">
    <w:nsid w:val="B4795469"/>
    <w:multiLevelType w:val="singleLevel"/>
    <w:tmpl w:val="B4795469"/>
    <w:lvl w:ilvl="0" w:tentative="0">
      <w:start w:val="1"/>
      <w:numFmt w:val="decimal"/>
      <w:lvlText w:val="%1."/>
      <w:lvlJc w:val="left"/>
      <w:pPr>
        <w:tabs>
          <w:tab w:val="left" w:pos="312"/>
        </w:tabs>
      </w:pPr>
    </w:lvl>
  </w:abstractNum>
  <w:abstractNum w:abstractNumId="16">
    <w:nsid w:val="C1C8C849"/>
    <w:multiLevelType w:val="singleLevel"/>
    <w:tmpl w:val="C1C8C849"/>
    <w:lvl w:ilvl="0" w:tentative="0">
      <w:start w:val="1"/>
      <w:numFmt w:val="decimal"/>
      <w:lvlText w:val="%1."/>
      <w:lvlJc w:val="left"/>
      <w:pPr>
        <w:tabs>
          <w:tab w:val="left" w:pos="312"/>
        </w:tabs>
      </w:pPr>
    </w:lvl>
  </w:abstractNum>
  <w:abstractNum w:abstractNumId="17">
    <w:nsid w:val="C9423CA1"/>
    <w:multiLevelType w:val="singleLevel"/>
    <w:tmpl w:val="C9423CA1"/>
    <w:lvl w:ilvl="0" w:tentative="0">
      <w:start w:val="1"/>
      <w:numFmt w:val="decimal"/>
      <w:lvlText w:val="%1."/>
      <w:lvlJc w:val="left"/>
      <w:pPr>
        <w:tabs>
          <w:tab w:val="left" w:pos="312"/>
        </w:tabs>
      </w:pPr>
    </w:lvl>
  </w:abstractNum>
  <w:abstractNum w:abstractNumId="18">
    <w:nsid w:val="CF39D1F0"/>
    <w:multiLevelType w:val="singleLevel"/>
    <w:tmpl w:val="CF39D1F0"/>
    <w:lvl w:ilvl="0" w:tentative="0">
      <w:start w:val="1"/>
      <w:numFmt w:val="decimal"/>
      <w:suff w:val="nothing"/>
      <w:lvlText w:val="（%1）"/>
      <w:lvlJc w:val="left"/>
    </w:lvl>
  </w:abstractNum>
  <w:abstractNum w:abstractNumId="19">
    <w:nsid w:val="D0AED7A7"/>
    <w:multiLevelType w:val="singleLevel"/>
    <w:tmpl w:val="D0AED7A7"/>
    <w:lvl w:ilvl="0" w:tentative="0">
      <w:start w:val="1"/>
      <w:numFmt w:val="decimal"/>
      <w:lvlText w:val="%1."/>
      <w:lvlJc w:val="left"/>
      <w:pPr>
        <w:tabs>
          <w:tab w:val="left" w:pos="312"/>
        </w:tabs>
      </w:pPr>
    </w:lvl>
  </w:abstractNum>
  <w:abstractNum w:abstractNumId="20">
    <w:nsid w:val="D692B9DB"/>
    <w:multiLevelType w:val="singleLevel"/>
    <w:tmpl w:val="D692B9DB"/>
    <w:lvl w:ilvl="0" w:tentative="0">
      <w:start w:val="1"/>
      <w:numFmt w:val="decimal"/>
      <w:suff w:val="space"/>
      <w:lvlText w:val="%1."/>
      <w:lvlJc w:val="left"/>
    </w:lvl>
  </w:abstractNum>
  <w:abstractNum w:abstractNumId="21">
    <w:nsid w:val="DB4AD74D"/>
    <w:multiLevelType w:val="singleLevel"/>
    <w:tmpl w:val="DB4AD74D"/>
    <w:lvl w:ilvl="0" w:tentative="0">
      <w:start w:val="1"/>
      <w:numFmt w:val="decimal"/>
      <w:lvlText w:val="%1."/>
      <w:lvlJc w:val="left"/>
      <w:pPr>
        <w:tabs>
          <w:tab w:val="left" w:pos="312"/>
        </w:tabs>
      </w:pPr>
    </w:lvl>
  </w:abstractNum>
  <w:abstractNum w:abstractNumId="22">
    <w:nsid w:val="E5C46D5E"/>
    <w:multiLevelType w:val="singleLevel"/>
    <w:tmpl w:val="E5C46D5E"/>
    <w:lvl w:ilvl="0" w:tentative="0">
      <w:start w:val="1"/>
      <w:numFmt w:val="decimal"/>
      <w:suff w:val="nothing"/>
      <w:lvlText w:val="（%1）"/>
      <w:lvlJc w:val="left"/>
    </w:lvl>
  </w:abstractNum>
  <w:abstractNum w:abstractNumId="23">
    <w:nsid w:val="EDE8D889"/>
    <w:multiLevelType w:val="singleLevel"/>
    <w:tmpl w:val="EDE8D889"/>
    <w:lvl w:ilvl="0" w:tentative="0">
      <w:start w:val="1"/>
      <w:numFmt w:val="decimal"/>
      <w:lvlText w:val="%1."/>
      <w:lvlJc w:val="left"/>
      <w:pPr>
        <w:tabs>
          <w:tab w:val="left" w:pos="312"/>
        </w:tabs>
      </w:pPr>
    </w:lvl>
  </w:abstractNum>
  <w:abstractNum w:abstractNumId="24">
    <w:nsid w:val="EF3FA2B3"/>
    <w:multiLevelType w:val="singleLevel"/>
    <w:tmpl w:val="EF3FA2B3"/>
    <w:lvl w:ilvl="0" w:tentative="0">
      <w:start w:val="1"/>
      <w:numFmt w:val="decimal"/>
      <w:lvlText w:val="%1."/>
      <w:lvlJc w:val="left"/>
      <w:pPr>
        <w:tabs>
          <w:tab w:val="left" w:pos="312"/>
        </w:tabs>
      </w:pPr>
    </w:lvl>
  </w:abstractNum>
  <w:abstractNum w:abstractNumId="25">
    <w:nsid w:val="EF97219F"/>
    <w:multiLevelType w:val="singleLevel"/>
    <w:tmpl w:val="EF97219F"/>
    <w:lvl w:ilvl="0" w:tentative="0">
      <w:start w:val="1"/>
      <w:numFmt w:val="decimal"/>
      <w:lvlText w:val="%1."/>
      <w:lvlJc w:val="left"/>
      <w:pPr>
        <w:tabs>
          <w:tab w:val="left" w:pos="312"/>
        </w:tabs>
      </w:pPr>
    </w:lvl>
  </w:abstractNum>
  <w:abstractNum w:abstractNumId="26">
    <w:nsid w:val="F3BA6A46"/>
    <w:multiLevelType w:val="singleLevel"/>
    <w:tmpl w:val="F3BA6A46"/>
    <w:lvl w:ilvl="0" w:tentative="0">
      <w:start w:val="1"/>
      <w:numFmt w:val="decimal"/>
      <w:lvlText w:val="%1."/>
      <w:lvlJc w:val="left"/>
      <w:pPr>
        <w:tabs>
          <w:tab w:val="left" w:pos="312"/>
        </w:tabs>
      </w:pPr>
    </w:lvl>
  </w:abstractNum>
  <w:abstractNum w:abstractNumId="27">
    <w:nsid w:val="FA77ABB9"/>
    <w:multiLevelType w:val="singleLevel"/>
    <w:tmpl w:val="FA77ABB9"/>
    <w:lvl w:ilvl="0" w:tentative="0">
      <w:start w:val="1"/>
      <w:numFmt w:val="decimal"/>
      <w:lvlText w:val="%1."/>
      <w:lvlJc w:val="left"/>
      <w:pPr>
        <w:tabs>
          <w:tab w:val="left" w:pos="312"/>
        </w:tabs>
      </w:pPr>
    </w:lvl>
  </w:abstractNum>
  <w:abstractNum w:abstractNumId="28">
    <w:nsid w:val="FA8A2A73"/>
    <w:multiLevelType w:val="singleLevel"/>
    <w:tmpl w:val="FA8A2A73"/>
    <w:lvl w:ilvl="0" w:tentative="0">
      <w:start w:val="1"/>
      <w:numFmt w:val="decimal"/>
      <w:lvlText w:val="%1."/>
      <w:lvlJc w:val="left"/>
      <w:pPr>
        <w:tabs>
          <w:tab w:val="left" w:pos="312"/>
        </w:tabs>
      </w:pPr>
    </w:lvl>
  </w:abstractNum>
  <w:abstractNum w:abstractNumId="29">
    <w:nsid w:val="FBA0D4D7"/>
    <w:multiLevelType w:val="singleLevel"/>
    <w:tmpl w:val="FBA0D4D7"/>
    <w:lvl w:ilvl="0" w:tentative="0">
      <w:start w:val="1"/>
      <w:numFmt w:val="decimal"/>
      <w:suff w:val="nothing"/>
      <w:lvlText w:val="（%1）"/>
      <w:lvlJc w:val="left"/>
    </w:lvl>
  </w:abstractNum>
  <w:abstractNum w:abstractNumId="30">
    <w:nsid w:val="02ADC399"/>
    <w:multiLevelType w:val="singleLevel"/>
    <w:tmpl w:val="02ADC399"/>
    <w:lvl w:ilvl="0" w:tentative="0">
      <w:start w:val="1"/>
      <w:numFmt w:val="decimal"/>
      <w:lvlText w:val="%1."/>
      <w:lvlJc w:val="left"/>
      <w:pPr>
        <w:tabs>
          <w:tab w:val="left" w:pos="312"/>
        </w:tabs>
      </w:pPr>
    </w:lvl>
  </w:abstractNum>
  <w:abstractNum w:abstractNumId="31">
    <w:nsid w:val="0386C207"/>
    <w:multiLevelType w:val="singleLevel"/>
    <w:tmpl w:val="0386C207"/>
    <w:lvl w:ilvl="0" w:tentative="0">
      <w:start w:val="1"/>
      <w:numFmt w:val="decimal"/>
      <w:lvlText w:val="%1."/>
      <w:lvlJc w:val="left"/>
      <w:pPr>
        <w:tabs>
          <w:tab w:val="left" w:pos="312"/>
        </w:tabs>
      </w:pPr>
    </w:lvl>
  </w:abstractNum>
  <w:abstractNum w:abstractNumId="32">
    <w:nsid w:val="05BECDBA"/>
    <w:multiLevelType w:val="singleLevel"/>
    <w:tmpl w:val="05BECDBA"/>
    <w:lvl w:ilvl="0" w:tentative="0">
      <w:start w:val="1"/>
      <w:numFmt w:val="decimal"/>
      <w:suff w:val="nothing"/>
      <w:lvlText w:val="（%1）"/>
      <w:lvlJc w:val="left"/>
    </w:lvl>
  </w:abstractNum>
  <w:abstractNum w:abstractNumId="33">
    <w:nsid w:val="07F9825D"/>
    <w:multiLevelType w:val="singleLevel"/>
    <w:tmpl w:val="07F9825D"/>
    <w:lvl w:ilvl="0" w:tentative="0">
      <w:start w:val="2"/>
      <w:numFmt w:val="chineseCounting"/>
      <w:suff w:val="nothing"/>
      <w:lvlText w:val="（%1）"/>
      <w:lvlJc w:val="left"/>
      <w:rPr>
        <w:rFonts w:hint="eastAsia"/>
      </w:rPr>
    </w:lvl>
  </w:abstractNum>
  <w:abstractNum w:abstractNumId="34">
    <w:nsid w:val="0C685783"/>
    <w:multiLevelType w:val="singleLevel"/>
    <w:tmpl w:val="0C685783"/>
    <w:lvl w:ilvl="0" w:tentative="0">
      <w:start w:val="1"/>
      <w:numFmt w:val="decimal"/>
      <w:lvlText w:val="%1."/>
      <w:lvlJc w:val="left"/>
      <w:pPr>
        <w:tabs>
          <w:tab w:val="left" w:pos="312"/>
        </w:tabs>
      </w:pPr>
    </w:lvl>
  </w:abstractNum>
  <w:abstractNum w:abstractNumId="35">
    <w:nsid w:val="0ED13326"/>
    <w:multiLevelType w:val="singleLevel"/>
    <w:tmpl w:val="0ED13326"/>
    <w:lvl w:ilvl="0" w:tentative="0">
      <w:start w:val="1"/>
      <w:numFmt w:val="decimal"/>
      <w:lvlText w:val="%1."/>
      <w:lvlJc w:val="left"/>
      <w:pPr>
        <w:tabs>
          <w:tab w:val="left" w:pos="312"/>
        </w:tabs>
      </w:pPr>
    </w:lvl>
  </w:abstractNum>
  <w:abstractNum w:abstractNumId="36">
    <w:nsid w:val="1219FB32"/>
    <w:multiLevelType w:val="singleLevel"/>
    <w:tmpl w:val="1219FB32"/>
    <w:lvl w:ilvl="0" w:tentative="0">
      <w:start w:val="1"/>
      <w:numFmt w:val="decimal"/>
      <w:suff w:val="nothing"/>
      <w:lvlText w:val="（%1）"/>
      <w:lvlJc w:val="left"/>
    </w:lvl>
  </w:abstractNum>
  <w:abstractNum w:abstractNumId="37">
    <w:nsid w:val="147E79BA"/>
    <w:multiLevelType w:val="singleLevel"/>
    <w:tmpl w:val="147E79BA"/>
    <w:lvl w:ilvl="0" w:tentative="0">
      <w:start w:val="1"/>
      <w:numFmt w:val="decimal"/>
      <w:lvlText w:val="%1."/>
      <w:lvlJc w:val="left"/>
      <w:pPr>
        <w:tabs>
          <w:tab w:val="left" w:pos="312"/>
        </w:tabs>
      </w:pPr>
    </w:lvl>
  </w:abstractNum>
  <w:abstractNum w:abstractNumId="38">
    <w:nsid w:val="17BB3F12"/>
    <w:multiLevelType w:val="singleLevel"/>
    <w:tmpl w:val="17BB3F12"/>
    <w:lvl w:ilvl="0" w:tentative="0">
      <w:start w:val="1"/>
      <w:numFmt w:val="decimal"/>
      <w:suff w:val="nothing"/>
      <w:lvlText w:val="（%1）"/>
      <w:lvlJc w:val="left"/>
    </w:lvl>
  </w:abstractNum>
  <w:abstractNum w:abstractNumId="39">
    <w:nsid w:val="19C092FC"/>
    <w:multiLevelType w:val="singleLevel"/>
    <w:tmpl w:val="19C092FC"/>
    <w:lvl w:ilvl="0" w:tentative="0">
      <w:start w:val="1"/>
      <w:numFmt w:val="decimal"/>
      <w:lvlText w:val="%1."/>
      <w:lvlJc w:val="left"/>
      <w:pPr>
        <w:tabs>
          <w:tab w:val="left" w:pos="312"/>
        </w:tabs>
      </w:pPr>
    </w:lvl>
  </w:abstractNum>
  <w:abstractNum w:abstractNumId="40">
    <w:nsid w:val="1C7FB586"/>
    <w:multiLevelType w:val="singleLevel"/>
    <w:tmpl w:val="1C7FB586"/>
    <w:lvl w:ilvl="0" w:tentative="0">
      <w:start w:val="1"/>
      <w:numFmt w:val="decimal"/>
      <w:suff w:val="nothing"/>
      <w:lvlText w:val="（%1）"/>
      <w:lvlJc w:val="left"/>
    </w:lvl>
  </w:abstractNum>
  <w:abstractNum w:abstractNumId="41">
    <w:nsid w:val="1CCDDCBC"/>
    <w:multiLevelType w:val="singleLevel"/>
    <w:tmpl w:val="1CCDDCBC"/>
    <w:lvl w:ilvl="0" w:tentative="0">
      <w:start w:val="1"/>
      <w:numFmt w:val="decimal"/>
      <w:lvlText w:val="%1."/>
      <w:lvlJc w:val="left"/>
      <w:pPr>
        <w:tabs>
          <w:tab w:val="left" w:pos="312"/>
        </w:tabs>
      </w:pPr>
    </w:lvl>
  </w:abstractNum>
  <w:abstractNum w:abstractNumId="42">
    <w:nsid w:val="1DD63913"/>
    <w:multiLevelType w:val="singleLevel"/>
    <w:tmpl w:val="1DD63913"/>
    <w:lvl w:ilvl="0" w:tentative="0">
      <w:start w:val="3"/>
      <w:numFmt w:val="chineseCounting"/>
      <w:suff w:val="nothing"/>
      <w:lvlText w:val="%1、"/>
      <w:lvlJc w:val="left"/>
      <w:rPr>
        <w:rFonts w:hint="eastAsia"/>
      </w:rPr>
    </w:lvl>
  </w:abstractNum>
  <w:abstractNum w:abstractNumId="43">
    <w:nsid w:val="1F169693"/>
    <w:multiLevelType w:val="singleLevel"/>
    <w:tmpl w:val="1F169693"/>
    <w:lvl w:ilvl="0" w:tentative="0">
      <w:start w:val="1"/>
      <w:numFmt w:val="decimal"/>
      <w:suff w:val="nothing"/>
      <w:lvlText w:val="（%1）"/>
      <w:lvlJc w:val="left"/>
    </w:lvl>
  </w:abstractNum>
  <w:abstractNum w:abstractNumId="44">
    <w:nsid w:val="24371659"/>
    <w:multiLevelType w:val="multilevel"/>
    <w:tmpl w:val="24371659"/>
    <w:lvl w:ilvl="0" w:tentative="0">
      <w:start w:val="1"/>
      <w:numFmt w:val="decimal"/>
      <w:lvlText w:val="%1."/>
      <w:lvlJc w:val="left"/>
      <w:pPr>
        <w:tabs>
          <w:tab w:val="left" w:pos="720"/>
        </w:tabs>
        <w:ind w:left="720" w:hanging="360"/>
      </w:pPr>
      <w:rPr>
        <w:b w:val="0"/>
        <w:bC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5">
    <w:nsid w:val="27E88C8B"/>
    <w:multiLevelType w:val="singleLevel"/>
    <w:tmpl w:val="27E88C8B"/>
    <w:lvl w:ilvl="0" w:tentative="0">
      <w:start w:val="1"/>
      <w:numFmt w:val="decimal"/>
      <w:lvlText w:val="%1."/>
      <w:lvlJc w:val="left"/>
      <w:pPr>
        <w:tabs>
          <w:tab w:val="left" w:pos="312"/>
        </w:tabs>
      </w:pPr>
    </w:lvl>
  </w:abstractNum>
  <w:abstractNum w:abstractNumId="46">
    <w:nsid w:val="2FAA56B4"/>
    <w:multiLevelType w:val="singleLevel"/>
    <w:tmpl w:val="2FAA56B4"/>
    <w:lvl w:ilvl="0" w:tentative="0">
      <w:start w:val="1"/>
      <w:numFmt w:val="decimal"/>
      <w:suff w:val="nothing"/>
      <w:lvlText w:val="（%1）"/>
      <w:lvlJc w:val="left"/>
    </w:lvl>
  </w:abstractNum>
  <w:abstractNum w:abstractNumId="47">
    <w:nsid w:val="300E5A4C"/>
    <w:multiLevelType w:val="singleLevel"/>
    <w:tmpl w:val="300E5A4C"/>
    <w:lvl w:ilvl="0" w:tentative="0">
      <w:start w:val="1"/>
      <w:numFmt w:val="chineseCounting"/>
      <w:suff w:val="nothing"/>
      <w:lvlText w:val="%1、"/>
      <w:lvlJc w:val="left"/>
      <w:rPr>
        <w:rFonts w:hint="eastAsia"/>
      </w:rPr>
    </w:lvl>
  </w:abstractNum>
  <w:abstractNum w:abstractNumId="48">
    <w:nsid w:val="36AEB368"/>
    <w:multiLevelType w:val="singleLevel"/>
    <w:tmpl w:val="36AEB368"/>
    <w:lvl w:ilvl="0" w:tentative="0">
      <w:start w:val="1"/>
      <w:numFmt w:val="decimal"/>
      <w:lvlText w:val="%1."/>
      <w:lvlJc w:val="left"/>
      <w:pPr>
        <w:tabs>
          <w:tab w:val="left" w:pos="312"/>
        </w:tabs>
      </w:pPr>
    </w:lvl>
  </w:abstractNum>
  <w:abstractNum w:abstractNumId="49">
    <w:nsid w:val="3756C913"/>
    <w:multiLevelType w:val="singleLevel"/>
    <w:tmpl w:val="3756C913"/>
    <w:lvl w:ilvl="0" w:tentative="0">
      <w:start w:val="2"/>
      <w:numFmt w:val="chineseCounting"/>
      <w:suff w:val="nothing"/>
      <w:lvlText w:val="（%1）"/>
      <w:lvlJc w:val="left"/>
      <w:rPr>
        <w:rFonts w:hint="eastAsia"/>
      </w:rPr>
    </w:lvl>
  </w:abstractNum>
  <w:abstractNum w:abstractNumId="50">
    <w:nsid w:val="38F69340"/>
    <w:multiLevelType w:val="singleLevel"/>
    <w:tmpl w:val="38F69340"/>
    <w:lvl w:ilvl="0" w:tentative="0">
      <w:start w:val="1"/>
      <w:numFmt w:val="decimal"/>
      <w:suff w:val="nothing"/>
      <w:lvlText w:val="（%1）"/>
      <w:lvlJc w:val="left"/>
    </w:lvl>
  </w:abstractNum>
  <w:abstractNum w:abstractNumId="51">
    <w:nsid w:val="3B959A63"/>
    <w:multiLevelType w:val="singleLevel"/>
    <w:tmpl w:val="3B959A63"/>
    <w:lvl w:ilvl="0" w:tentative="0">
      <w:start w:val="1"/>
      <w:numFmt w:val="decimal"/>
      <w:lvlText w:val="%1."/>
      <w:lvlJc w:val="left"/>
      <w:pPr>
        <w:tabs>
          <w:tab w:val="left" w:pos="312"/>
        </w:tabs>
      </w:pPr>
    </w:lvl>
  </w:abstractNum>
  <w:abstractNum w:abstractNumId="52">
    <w:nsid w:val="3F0F2547"/>
    <w:multiLevelType w:val="singleLevel"/>
    <w:tmpl w:val="3F0F2547"/>
    <w:lvl w:ilvl="0" w:tentative="0">
      <w:start w:val="1"/>
      <w:numFmt w:val="decimal"/>
      <w:suff w:val="nothing"/>
      <w:lvlText w:val="（%1）"/>
      <w:lvlJc w:val="left"/>
    </w:lvl>
  </w:abstractNum>
  <w:abstractNum w:abstractNumId="53">
    <w:nsid w:val="3F3C2B2E"/>
    <w:multiLevelType w:val="multilevel"/>
    <w:tmpl w:val="3F3C2B2E"/>
    <w:lvl w:ilvl="0" w:tentative="0">
      <w:start w:val="2"/>
      <w:numFmt w:val="japaneseCounting"/>
      <w:lvlText w:val="%1、"/>
      <w:lvlJc w:val="left"/>
      <w:pPr>
        <w:ind w:left="420" w:hanging="4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4">
    <w:nsid w:val="43889757"/>
    <w:multiLevelType w:val="singleLevel"/>
    <w:tmpl w:val="43889757"/>
    <w:lvl w:ilvl="0" w:tentative="0">
      <w:start w:val="1"/>
      <w:numFmt w:val="decimal"/>
      <w:suff w:val="nothing"/>
      <w:lvlText w:val="（%1）"/>
      <w:lvlJc w:val="left"/>
    </w:lvl>
  </w:abstractNum>
  <w:abstractNum w:abstractNumId="55">
    <w:nsid w:val="4389B54A"/>
    <w:multiLevelType w:val="singleLevel"/>
    <w:tmpl w:val="4389B54A"/>
    <w:lvl w:ilvl="0" w:tentative="0">
      <w:start w:val="1"/>
      <w:numFmt w:val="decimal"/>
      <w:lvlText w:val="%1."/>
      <w:lvlJc w:val="left"/>
      <w:pPr>
        <w:tabs>
          <w:tab w:val="left" w:pos="312"/>
        </w:tabs>
      </w:pPr>
    </w:lvl>
  </w:abstractNum>
  <w:abstractNum w:abstractNumId="56">
    <w:nsid w:val="45674FB3"/>
    <w:multiLevelType w:val="multilevel"/>
    <w:tmpl w:val="45674FB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7">
    <w:nsid w:val="468C8BD2"/>
    <w:multiLevelType w:val="singleLevel"/>
    <w:tmpl w:val="468C8BD2"/>
    <w:lvl w:ilvl="0" w:tentative="0">
      <w:start w:val="1"/>
      <w:numFmt w:val="decimal"/>
      <w:suff w:val="nothing"/>
      <w:lvlText w:val="（%1）"/>
      <w:lvlJc w:val="left"/>
    </w:lvl>
  </w:abstractNum>
  <w:abstractNum w:abstractNumId="58">
    <w:nsid w:val="4B3554C1"/>
    <w:multiLevelType w:val="singleLevel"/>
    <w:tmpl w:val="4B3554C1"/>
    <w:lvl w:ilvl="0" w:tentative="0">
      <w:start w:val="1"/>
      <w:numFmt w:val="decimal"/>
      <w:lvlText w:val="%1."/>
      <w:lvlJc w:val="left"/>
      <w:pPr>
        <w:tabs>
          <w:tab w:val="left" w:pos="312"/>
        </w:tabs>
      </w:pPr>
    </w:lvl>
  </w:abstractNum>
  <w:abstractNum w:abstractNumId="59">
    <w:nsid w:val="4B5A5194"/>
    <w:multiLevelType w:val="singleLevel"/>
    <w:tmpl w:val="4B5A5194"/>
    <w:lvl w:ilvl="0" w:tentative="0">
      <w:start w:val="1"/>
      <w:numFmt w:val="decimal"/>
      <w:lvlText w:val="%1."/>
      <w:lvlJc w:val="left"/>
      <w:pPr>
        <w:tabs>
          <w:tab w:val="left" w:pos="312"/>
        </w:tabs>
      </w:pPr>
    </w:lvl>
  </w:abstractNum>
  <w:abstractNum w:abstractNumId="60">
    <w:nsid w:val="4DFA5D9C"/>
    <w:multiLevelType w:val="singleLevel"/>
    <w:tmpl w:val="4DFA5D9C"/>
    <w:lvl w:ilvl="0" w:tentative="0">
      <w:start w:val="2"/>
      <w:numFmt w:val="chineseCounting"/>
      <w:suff w:val="nothing"/>
      <w:lvlText w:val="（%1）"/>
      <w:lvlJc w:val="left"/>
      <w:rPr>
        <w:rFonts w:hint="eastAsia"/>
      </w:rPr>
    </w:lvl>
  </w:abstractNum>
  <w:abstractNum w:abstractNumId="61">
    <w:nsid w:val="52C84D34"/>
    <w:multiLevelType w:val="singleLevel"/>
    <w:tmpl w:val="52C84D34"/>
    <w:lvl w:ilvl="0" w:tentative="0">
      <w:start w:val="1"/>
      <w:numFmt w:val="decimal"/>
      <w:lvlText w:val="%1."/>
      <w:lvlJc w:val="left"/>
      <w:pPr>
        <w:tabs>
          <w:tab w:val="left" w:pos="312"/>
        </w:tabs>
      </w:pPr>
    </w:lvl>
  </w:abstractNum>
  <w:abstractNum w:abstractNumId="62">
    <w:nsid w:val="53730CC6"/>
    <w:multiLevelType w:val="singleLevel"/>
    <w:tmpl w:val="53730CC6"/>
    <w:lvl w:ilvl="0" w:tentative="0">
      <w:start w:val="1"/>
      <w:numFmt w:val="decimal"/>
      <w:suff w:val="nothing"/>
      <w:lvlText w:val="（%1）"/>
      <w:lvlJc w:val="left"/>
    </w:lvl>
  </w:abstractNum>
  <w:abstractNum w:abstractNumId="63">
    <w:nsid w:val="57D99B17"/>
    <w:multiLevelType w:val="singleLevel"/>
    <w:tmpl w:val="57D99B17"/>
    <w:lvl w:ilvl="0" w:tentative="0">
      <w:start w:val="1"/>
      <w:numFmt w:val="decimal"/>
      <w:lvlText w:val="%1."/>
      <w:lvlJc w:val="left"/>
      <w:pPr>
        <w:tabs>
          <w:tab w:val="left" w:pos="312"/>
        </w:tabs>
      </w:pPr>
    </w:lvl>
  </w:abstractNum>
  <w:abstractNum w:abstractNumId="64">
    <w:nsid w:val="5EB1EC58"/>
    <w:multiLevelType w:val="singleLevel"/>
    <w:tmpl w:val="5EB1EC58"/>
    <w:lvl w:ilvl="0" w:tentative="0">
      <w:start w:val="1"/>
      <w:numFmt w:val="decimal"/>
      <w:suff w:val="nothing"/>
      <w:lvlText w:val="（%1）"/>
      <w:lvlJc w:val="left"/>
    </w:lvl>
  </w:abstractNum>
  <w:abstractNum w:abstractNumId="65">
    <w:nsid w:val="5EF28268"/>
    <w:multiLevelType w:val="singleLevel"/>
    <w:tmpl w:val="5EF28268"/>
    <w:lvl w:ilvl="0" w:tentative="0">
      <w:start w:val="1"/>
      <w:numFmt w:val="decimal"/>
      <w:lvlText w:val="%1."/>
      <w:lvlJc w:val="left"/>
      <w:pPr>
        <w:tabs>
          <w:tab w:val="left" w:pos="312"/>
        </w:tabs>
      </w:pPr>
    </w:lvl>
  </w:abstractNum>
  <w:abstractNum w:abstractNumId="66">
    <w:nsid w:val="5FB1098B"/>
    <w:multiLevelType w:val="singleLevel"/>
    <w:tmpl w:val="5FB1098B"/>
    <w:lvl w:ilvl="0" w:tentative="0">
      <w:start w:val="2"/>
      <w:numFmt w:val="chineseCounting"/>
      <w:suff w:val="nothing"/>
      <w:lvlText w:val="（%1）"/>
      <w:lvlJc w:val="left"/>
      <w:rPr>
        <w:rFonts w:hint="eastAsia"/>
      </w:rPr>
    </w:lvl>
  </w:abstractNum>
  <w:abstractNum w:abstractNumId="67">
    <w:nsid w:val="5FEAA70E"/>
    <w:multiLevelType w:val="singleLevel"/>
    <w:tmpl w:val="5FEAA70E"/>
    <w:lvl w:ilvl="0" w:tentative="0">
      <w:start w:val="1"/>
      <w:numFmt w:val="decimal"/>
      <w:suff w:val="nothing"/>
      <w:lvlText w:val="（%1）"/>
      <w:lvlJc w:val="left"/>
    </w:lvl>
  </w:abstractNum>
  <w:abstractNum w:abstractNumId="68">
    <w:nsid w:val="606D2A83"/>
    <w:multiLevelType w:val="singleLevel"/>
    <w:tmpl w:val="606D2A83"/>
    <w:lvl w:ilvl="0" w:tentative="0">
      <w:start w:val="1"/>
      <w:numFmt w:val="decimal"/>
      <w:suff w:val="nothing"/>
      <w:lvlText w:val="（%1）"/>
      <w:lvlJc w:val="left"/>
    </w:lvl>
  </w:abstractNum>
  <w:abstractNum w:abstractNumId="69">
    <w:nsid w:val="668A618C"/>
    <w:multiLevelType w:val="singleLevel"/>
    <w:tmpl w:val="668A618C"/>
    <w:lvl w:ilvl="0" w:tentative="0">
      <w:start w:val="1"/>
      <w:numFmt w:val="decimal"/>
      <w:lvlText w:val="%1."/>
      <w:lvlJc w:val="left"/>
      <w:pPr>
        <w:tabs>
          <w:tab w:val="left" w:pos="312"/>
        </w:tabs>
      </w:pPr>
    </w:lvl>
  </w:abstractNum>
  <w:abstractNum w:abstractNumId="70">
    <w:nsid w:val="6A7E319D"/>
    <w:multiLevelType w:val="singleLevel"/>
    <w:tmpl w:val="6A7E319D"/>
    <w:lvl w:ilvl="0" w:tentative="0">
      <w:start w:val="1"/>
      <w:numFmt w:val="decimal"/>
      <w:suff w:val="nothing"/>
      <w:lvlText w:val="（%1）"/>
      <w:lvlJc w:val="left"/>
    </w:lvl>
  </w:abstractNum>
  <w:abstractNum w:abstractNumId="71">
    <w:nsid w:val="6C53CEBE"/>
    <w:multiLevelType w:val="singleLevel"/>
    <w:tmpl w:val="6C53CEBE"/>
    <w:lvl w:ilvl="0" w:tentative="0">
      <w:start w:val="1"/>
      <w:numFmt w:val="decimal"/>
      <w:lvlText w:val="%1."/>
      <w:lvlJc w:val="left"/>
      <w:pPr>
        <w:tabs>
          <w:tab w:val="left" w:pos="312"/>
        </w:tabs>
      </w:pPr>
    </w:lvl>
  </w:abstractNum>
  <w:abstractNum w:abstractNumId="72">
    <w:nsid w:val="6FD1ABA6"/>
    <w:multiLevelType w:val="singleLevel"/>
    <w:tmpl w:val="6FD1ABA6"/>
    <w:lvl w:ilvl="0" w:tentative="0">
      <w:start w:val="1"/>
      <w:numFmt w:val="decimal"/>
      <w:lvlText w:val="%1."/>
      <w:lvlJc w:val="left"/>
      <w:pPr>
        <w:tabs>
          <w:tab w:val="left" w:pos="312"/>
        </w:tabs>
      </w:pPr>
    </w:lvl>
  </w:abstractNum>
  <w:abstractNum w:abstractNumId="73">
    <w:nsid w:val="6FEF9E1A"/>
    <w:multiLevelType w:val="singleLevel"/>
    <w:tmpl w:val="6FEF9E1A"/>
    <w:lvl w:ilvl="0" w:tentative="0">
      <w:start w:val="1"/>
      <w:numFmt w:val="decimal"/>
      <w:lvlText w:val="%1."/>
      <w:lvlJc w:val="left"/>
      <w:pPr>
        <w:tabs>
          <w:tab w:val="left" w:pos="312"/>
        </w:tabs>
      </w:pPr>
    </w:lvl>
  </w:abstractNum>
  <w:abstractNum w:abstractNumId="74">
    <w:nsid w:val="70BE6B66"/>
    <w:multiLevelType w:val="singleLevel"/>
    <w:tmpl w:val="70BE6B66"/>
    <w:lvl w:ilvl="0" w:tentative="0">
      <w:start w:val="2"/>
      <w:numFmt w:val="chineseCounting"/>
      <w:suff w:val="nothing"/>
      <w:lvlText w:val="（%1）"/>
      <w:lvlJc w:val="left"/>
      <w:rPr>
        <w:rFonts w:hint="eastAsia"/>
      </w:rPr>
    </w:lvl>
  </w:abstractNum>
  <w:abstractNum w:abstractNumId="75">
    <w:nsid w:val="71059BB1"/>
    <w:multiLevelType w:val="singleLevel"/>
    <w:tmpl w:val="71059BB1"/>
    <w:lvl w:ilvl="0" w:tentative="0">
      <w:start w:val="2"/>
      <w:numFmt w:val="chineseCounting"/>
      <w:suff w:val="nothing"/>
      <w:lvlText w:val="（%1）"/>
      <w:lvlJc w:val="left"/>
      <w:rPr>
        <w:rFonts w:hint="eastAsia"/>
      </w:rPr>
    </w:lvl>
  </w:abstractNum>
  <w:abstractNum w:abstractNumId="76">
    <w:nsid w:val="74365B1F"/>
    <w:multiLevelType w:val="singleLevel"/>
    <w:tmpl w:val="74365B1F"/>
    <w:lvl w:ilvl="0" w:tentative="0">
      <w:start w:val="1"/>
      <w:numFmt w:val="decimal"/>
      <w:lvlText w:val="%1."/>
      <w:lvlJc w:val="left"/>
      <w:pPr>
        <w:tabs>
          <w:tab w:val="left" w:pos="312"/>
        </w:tabs>
      </w:pPr>
    </w:lvl>
  </w:abstractNum>
  <w:abstractNum w:abstractNumId="77">
    <w:nsid w:val="7E27EFB5"/>
    <w:multiLevelType w:val="singleLevel"/>
    <w:tmpl w:val="7E27EFB5"/>
    <w:lvl w:ilvl="0" w:tentative="0">
      <w:start w:val="1"/>
      <w:numFmt w:val="decimal"/>
      <w:lvlText w:val="%1."/>
      <w:lvlJc w:val="left"/>
      <w:pPr>
        <w:tabs>
          <w:tab w:val="left" w:pos="312"/>
        </w:tabs>
      </w:pPr>
    </w:lvl>
  </w:abstractNum>
  <w:num w:numId="1">
    <w:abstractNumId w:val="76"/>
  </w:num>
  <w:num w:numId="2">
    <w:abstractNumId w:val="23"/>
  </w:num>
  <w:num w:numId="3">
    <w:abstractNumId w:val="48"/>
  </w:num>
  <w:num w:numId="4">
    <w:abstractNumId w:val="10"/>
  </w:num>
  <w:num w:numId="5">
    <w:abstractNumId w:val="31"/>
  </w:num>
  <w:num w:numId="6">
    <w:abstractNumId w:val="42"/>
  </w:num>
  <w:num w:numId="7">
    <w:abstractNumId w:val="47"/>
  </w:num>
  <w:num w:numId="8">
    <w:abstractNumId w:val="68"/>
  </w:num>
  <w:num w:numId="9">
    <w:abstractNumId w:val="53"/>
  </w:num>
  <w:num w:numId="10">
    <w:abstractNumId w:val="1"/>
  </w:num>
  <w:num w:numId="11">
    <w:abstractNumId w:val="66"/>
  </w:num>
  <w:num w:numId="12">
    <w:abstractNumId w:val="64"/>
  </w:num>
  <w:num w:numId="13">
    <w:abstractNumId w:val="18"/>
  </w:num>
  <w:num w:numId="14">
    <w:abstractNumId w:val="3"/>
  </w:num>
  <w:num w:numId="15">
    <w:abstractNumId w:val="60"/>
  </w:num>
  <w:num w:numId="16">
    <w:abstractNumId w:val="75"/>
  </w:num>
  <w:num w:numId="17">
    <w:abstractNumId w:val="20"/>
  </w:num>
  <w:num w:numId="18">
    <w:abstractNumId w:val="12"/>
  </w:num>
  <w:num w:numId="19">
    <w:abstractNumId w:val="54"/>
  </w:num>
  <w:num w:numId="20">
    <w:abstractNumId w:val="57"/>
  </w:num>
  <w:num w:numId="21">
    <w:abstractNumId w:val="9"/>
  </w:num>
  <w:num w:numId="22">
    <w:abstractNumId w:val="62"/>
  </w:num>
  <w:num w:numId="23">
    <w:abstractNumId w:val="33"/>
  </w:num>
  <w:num w:numId="24">
    <w:abstractNumId w:val="29"/>
  </w:num>
  <w:num w:numId="25">
    <w:abstractNumId w:val="67"/>
  </w:num>
  <w:num w:numId="26">
    <w:abstractNumId w:val="46"/>
  </w:num>
  <w:num w:numId="27">
    <w:abstractNumId w:val="40"/>
  </w:num>
  <w:num w:numId="28">
    <w:abstractNumId w:val="43"/>
  </w:num>
  <w:num w:numId="29">
    <w:abstractNumId w:val="22"/>
  </w:num>
  <w:num w:numId="30">
    <w:abstractNumId w:val="7"/>
  </w:num>
  <w:num w:numId="31">
    <w:abstractNumId w:val="32"/>
  </w:num>
  <w:num w:numId="32">
    <w:abstractNumId w:val="70"/>
  </w:num>
  <w:num w:numId="33">
    <w:abstractNumId w:val="36"/>
  </w:num>
  <w:num w:numId="34">
    <w:abstractNumId w:val="11"/>
  </w:num>
  <w:num w:numId="35">
    <w:abstractNumId w:val="52"/>
  </w:num>
  <w:num w:numId="36">
    <w:abstractNumId w:val="50"/>
  </w:num>
  <w:num w:numId="37">
    <w:abstractNumId w:val="49"/>
  </w:num>
  <w:num w:numId="38">
    <w:abstractNumId w:val="69"/>
  </w:num>
  <w:num w:numId="39">
    <w:abstractNumId w:val="14"/>
  </w:num>
  <w:num w:numId="40">
    <w:abstractNumId w:val="15"/>
  </w:num>
  <w:num w:numId="41">
    <w:abstractNumId w:val="13"/>
  </w:num>
  <w:num w:numId="42">
    <w:abstractNumId w:val="41"/>
  </w:num>
  <w:num w:numId="43">
    <w:abstractNumId w:val="39"/>
  </w:num>
  <w:num w:numId="44">
    <w:abstractNumId w:val="59"/>
  </w:num>
  <w:num w:numId="45">
    <w:abstractNumId w:val="0"/>
  </w:num>
  <w:num w:numId="46">
    <w:abstractNumId w:val="21"/>
  </w:num>
  <w:num w:numId="47">
    <w:abstractNumId w:val="26"/>
  </w:num>
  <w:num w:numId="48">
    <w:abstractNumId w:val="6"/>
  </w:num>
  <w:num w:numId="49">
    <w:abstractNumId w:val="55"/>
  </w:num>
  <w:num w:numId="50">
    <w:abstractNumId w:val="19"/>
  </w:num>
  <w:num w:numId="51">
    <w:abstractNumId w:val="17"/>
  </w:num>
  <w:num w:numId="52">
    <w:abstractNumId w:val="24"/>
  </w:num>
  <w:num w:numId="53">
    <w:abstractNumId w:val="63"/>
  </w:num>
  <w:num w:numId="54">
    <w:abstractNumId w:val="25"/>
  </w:num>
  <w:num w:numId="55">
    <w:abstractNumId w:val="2"/>
  </w:num>
  <w:num w:numId="56">
    <w:abstractNumId w:val="73"/>
  </w:num>
  <w:num w:numId="57">
    <w:abstractNumId w:val="61"/>
  </w:num>
  <w:num w:numId="58">
    <w:abstractNumId w:val="51"/>
  </w:num>
  <w:num w:numId="59">
    <w:abstractNumId w:val="37"/>
  </w:num>
  <w:num w:numId="60">
    <w:abstractNumId w:val="8"/>
  </w:num>
  <w:num w:numId="61">
    <w:abstractNumId w:val="34"/>
  </w:num>
  <w:num w:numId="62">
    <w:abstractNumId w:val="35"/>
  </w:num>
  <w:num w:numId="63">
    <w:abstractNumId w:val="58"/>
  </w:num>
  <w:num w:numId="64">
    <w:abstractNumId w:val="44"/>
  </w:num>
  <w:num w:numId="65">
    <w:abstractNumId w:val="56"/>
  </w:num>
  <w:num w:numId="66">
    <w:abstractNumId w:val="30"/>
  </w:num>
  <w:num w:numId="67">
    <w:abstractNumId w:val="45"/>
  </w:num>
  <w:num w:numId="68">
    <w:abstractNumId w:val="38"/>
  </w:num>
  <w:num w:numId="69">
    <w:abstractNumId w:val="77"/>
  </w:num>
  <w:num w:numId="70">
    <w:abstractNumId w:val="65"/>
  </w:num>
  <w:num w:numId="71">
    <w:abstractNumId w:val="71"/>
  </w:num>
  <w:num w:numId="72">
    <w:abstractNumId w:val="72"/>
  </w:num>
  <w:num w:numId="73">
    <w:abstractNumId w:val="5"/>
  </w:num>
  <w:num w:numId="74">
    <w:abstractNumId w:val="28"/>
  </w:num>
  <w:num w:numId="75">
    <w:abstractNumId w:val="16"/>
  </w:num>
  <w:num w:numId="76">
    <w:abstractNumId w:val="27"/>
  </w:num>
  <w:num w:numId="77">
    <w:abstractNumId w:val="74"/>
  </w:num>
  <w:num w:numId="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4"/>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1NzQwZDQzMTJkZjFlYjNiMTY5MjI3NmIxMjVjNTgifQ=="/>
    <w:docVar w:name="KSO_WPS_MARK_KEY" w:val="1b490c89-5b0b-4b41-8daa-42452009468b"/>
  </w:docVars>
  <w:rsids>
    <w:rsidRoot w:val="028E7847"/>
    <w:rsid w:val="000426B0"/>
    <w:rsid w:val="000764A1"/>
    <w:rsid w:val="000813C0"/>
    <w:rsid w:val="000C3B19"/>
    <w:rsid w:val="00185EF2"/>
    <w:rsid w:val="001E03C3"/>
    <w:rsid w:val="00224AE6"/>
    <w:rsid w:val="00440515"/>
    <w:rsid w:val="00446ADC"/>
    <w:rsid w:val="004715E2"/>
    <w:rsid w:val="004722E3"/>
    <w:rsid w:val="005023EE"/>
    <w:rsid w:val="0058613A"/>
    <w:rsid w:val="005A27AC"/>
    <w:rsid w:val="005D1D0F"/>
    <w:rsid w:val="005F3632"/>
    <w:rsid w:val="006350CB"/>
    <w:rsid w:val="00690063"/>
    <w:rsid w:val="006B5FA9"/>
    <w:rsid w:val="006B64B9"/>
    <w:rsid w:val="00747FE9"/>
    <w:rsid w:val="00754643"/>
    <w:rsid w:val="007D6ABB"/>
    <w:rsid w:val="00807167"/>
    <w:rsid w:val="008422D4"/>
    <w:rsid w:val="00864AAB"/>
    <w:rsid w:val="00873BAC"/>
    <w:rsid w:val="008762D2"/>
    <w:rsid w:val="008A3528"/>
    <w:rsid w:val="0098585D"/>
    <w:rsid w:val="00A01B19"/>
    <w:rsid w:val="00A16FA2"/>
    <w:rsid w:val="00A3125F"/>
    <w:rsid w:val="00A313C7"/>
    <w:rsid w:val="00AB203B"/>
    <w:rsid w:val="00AE7C69"/>
    <w:rsid w:val="00B358DA"/>
    <w:rsid w:val="00BC1B44"/>
    <w:rsid w:val="00C02E6D"/>
    <w:rsid w:val="00C03772"/>
    <w:rsid w:val="00C207D4"/>
    <w:rsid w:val="00C30E0B"/>
    <w:rsid w:val="00C41486"/>
    <w:rsid w:val="00C83383"/>
    <w:rsid w:val="00CA3BC3"/>
    <w:rsid w:val="00CA75B5"/>
    <w:rsid w:val="00D048DB"/>
    <w:rsid w:val="00D56895"/>
    <w:rsid w:val="00D974E9"/>
    <w:rsid w:val="00DB2C46"/>
    <w:rsid w:val="00DE4F59"/>
    <w:rsid w:val="00E05ADB"/>
    <w:rsid w:val="00ED01A5"/>
    <w:rsid w:val="00ED1876"/>
    <w:rsid w:val="00F55746"/>
    <w:rsid w:val="01070468"/>
    <w:rsid w:val="028E7847"/>
    <w:rsid w:val="02AA6E19"/>
    <w:rsid w:val="02EA2241"/>
    <w:rsid w:val="03233C35"/>
    <w:rsid w:val="034465A8"/>
    <w:rsid w:val="046D0729"/>
    <w:rsid w:val="07FE4728"/>
    <w:rsid w:val="090F363B"/>
    <w:rsid w:val="0CAB13B5"/>
    <w:rsid w:val="0D3D04F5"/>
    <w:rsid w:val="10750C5F"/>
    <w:rsid w:val="12A06CFD"/>
    <w:rsid w:val="12A2595A"/>
    <w:rsid w:val="12ED7A68"/>
    <w:rsid w:val="15973875"/>
    <w:rsid w:val="15BE4C17"/>
    <w:rsid w:val="18893D8F"/>
    <w:rsid w:val="188B5D59"/>
    <w:rsid w:val="1D714CAA"/>
    <w:rsid w:val="1E8A4196"/>
    <w:rsid w:val="1F175496"/>
    <w:rsid w:val="1F554316"/>
    <w:rsid w:val="203F7912"/>
    <w:rsid w:val="222D02C1"/>
    <w:rsid w:val="22636D16"/>
    <w:rsid w:val="22702575"/>
    <w:rsid w:val="264A156F"/>
    <w:rsid w:val="275F0B71"/>
    <w:rsid w:val="27CB2E92"/>
    <w:rsid w:val="28402B5E"/>
    <w:rsid w:val="2A9668FD"/>
    <w:rsid w:val="2DE23B44"/>
    <w:rsid w:val="2E7B3D22"/>
    <w:rsid w:val="2F10794D"/>
    <w:rsid w:val="2F7C539A"/>
    <w:rsid w:val="30FB0467"/>
    <w:rsid w:val="35643762"/>
    <w:rsid w:val="365E41FC"/>
    <w:rsid w:val="379C6A84"/>
    <w:rsid w:val="389E6F8B"/>
    <w:rsid w:val="3958538C"/>
    <w:rsid w:val="39D32C64"/>
    <w:rsid w:val="3C3E7065"/>
    <w:rsid w:val="3CC64312"/>
    <w:rsid w:val="3DE9514C"/>
    <w:rsid w:val="3E7A069A"/>
    <w:rsid w:val="3F883018"/>
    <w:rsid w:val="41B83642"/>
    <w:rsid w:val="425F7631"/>
    <w:rsid w:val="42697E84"/>
    <w:rsid w:val="42CD0765"/>
    <w:rsid w:val="43E727DF"/>
    <w:rsid w:val="43E86BE9"/>
    <w:rsid w:val="43F05578"/>
    <w:rsid w:val="44A7762E"/>
    <w:rsid w:val="464E3D9E"/>
    <w:rsid w:val="472D35B8"/>
    <w:rsid w:val="48566025"/>
    <w:rsid w:val="485807A8"/>
    <w:rsid w:val="48A15266"/>
    <w:rsid w:val="48BE226D"/>
    <w:rsid w:val="496E4757"/>
    <w:rsid w:val="4B107A36"/>
    <w:rsid w:val="4B1751BF"/>
    <w:rsid w:val="4B4A0F33"/>
    <w:rsid w:val="4B737336"/>
    <w:rsid w:val="4BE30F30"/>
    <w:rsid w:val="4C3A6497"/>
    <w:rsid w:val="4C5E4EDD"/>
    <w:rsid w:val="4D2E66D8"/>
    <w:rsid w:val="4DF1455C"/>
    <w:rsid w:val="4E107BBE"/>
    <w:rsid w:val="4FC6139D"/>
    <w:rsid w:val="50573F85"/>
    <w:rsid w:val="519C0917"/>
    <w:rsid w:val="52597BF2"/>
    <w:rsid w:val="54C6369A"/>
    <w:rsid w:val="55EC5708"/>
    <w:rsid w:val="579F1BB9"/>
    <w:rsid w:val="57AB345D"/>
    <w:rsid w:val="583714BC"/>
    <w:rsid w:val="595F1BFF"/>
    <w:rsid w:val="598F4575"/>
    <w:rsid w:val="59E14F4A"/>
    <w:rsid w:val="5A9525FB"/>
    <w:rsid w:val="5A960CED"/>
    <w:rsid w:val="5B31707C"/>
    <w:rsid w:val="5C1774B1"/>
    <w:rsid w:val="5C594DF3"/>
    <w:rsid w:val="5CF30EF2"/>
    <w:rsid w:val="5D042D30"/>
    <w:rsid w:val="5D3D63DE"/>
    <w:rsid w:val="5DF036DF"/>
    <w:rsid w:val="5E7A5FEE"/>
    <w:rsid w:val="5F494BF7"/>
    <w:rsid w:val="5FDC1911"/>
    <w:rsid w:val="60E25CC3"/>
    <w:rsid w:val="619F4F24"/>
    <w:rsid w:val="63071B51"/>
    <w:rsid w:val="644D7D82"/>
    <w:rsid w:val="6AD96CE4"/>
    <w:rsid w:val="6B113937"/>
    <w:rsid w:val="6B90297C"/>
    <w:rsid w:val="6F124059"/>
    <w:rsid w:val="6FB528CA"/>
    <w:rsid w:val="70AD686D"/>
    <w:rsid w:val="70F80BA8"/>
    <w:rsid w:val="72FA0305"/>
    <w:rsid w:val="751B3AC4"/>
    <w:rsid w:val="75EA2F8C"/>
    <w:rsid w:val="769A6C15"/>
    <w:rsid w:val="77BC26C8"/>
    <w:rsid w:val="78A522D0"/>
    <w:rsid w:val="7B702572"/>
    <w:rsid w:val="7C7A4BE6"/>
    <w:rsid w:val="7C7C2D85"/>
    <w:rsid w:val="7DD33242"/>
    <w:rsid w:val="7DDC7D0F"/>
    <w:rsid w:val="7E211079"/>
    <w:rsid w:val="7E931A61"/>
    <w:rsid w:val="7F3122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3"/>
    <w:link w:val="35"/>
    <w:qFormat/>
    <w:uiPriority w:val="0"/>
    <w:pPr>
      <w:keepNext/>
      <w:keepLines/>
      <w:spacing w:before="340" w:after="330" w:line="850" w:lineRule="exact"/>
    </w:pPr>
    <w:rPr>
      <w:rFonts w:ascii="Times New Roman" w:hAnsi="Times New Roman" w:eastAsia="宋体"/>
      <w:kern w:val="44"/>
      <w:sz w:val="44"/>
      <w:szCs w:val="28"/>
    </w:rPr>
  </w:style>
  <w:style w:type="paragraph" w:styleId="4">
    <w:name w:val="heading 5"/>
    <w:basedOn w:val="1"/>
    <w:next w:val="1"/>
    <w:qFormat/>
    <w:uiPriority w:val="9"/>
    <w:pPr>
      <w:widowControl/>
      <w:spacing w:before="100" w:beforeAutospacing="1" w:after="100" w:afterAutospacing="1"/>
      <w:jc w:val="left"/>
      <w:outlineLvl w:val="4"/>
    </w:pPr>
    <w:rPr>
      <w:rFonts w:ascii="宋体" w:hAnsi="宋体" w:eastAsia="宋体" w:cs="宋体"/>
      <w:b/>
      <w:bCs/>
      <w:kern w:val="0"/>
      <w:sz w:val="20"/>
      <w:szCs w:val="20"/>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Title"/>
    <w:basedOn w:val="1"/>
    <w:next w:val="1"/>
    <w:qFormat/>
    <w:uiPriority w:val="0"/>
    <w:pPr>
      <w:spacing w:before="240" w:after="60"/>
      <w:jc w:val="center"/>
      <w:outlineLvl w:val="0"/>
    </w:pPr>
    <w:rPr>
      <w:rFonts w:ascii="Arial" w:hAnsi="Arial"/>
      <w:b/>
      <w:sz w:val="32"/>
    </w:rPr>
  </w:style>
  <w:style w:type="paragraph" w:styleId="5">
    <w:name w:val="Body Text"/>
    <w:basedOn w:val="1"/>
    <w:qFormat/>
    <w:uiPriority w:val="0"/>
    <w:pPr>
      <w:spacing w:after="120"/>
    </w:pPr>
    <w:rPr>
      <w:rFonts w:ascii="Book Antiqua" w:hAnsi="Book Antiqua" w:eastAsia="宋体" w:cs="Times New Roman"/>
      <w:sz w:val="24"/>
    </w:rPr>
  </w:style>
  <w:style w:type="paragraph" w:styleId="6">
    <w:name w:val="Body Text Indent"/>
    <w:basedOn w:val="1"/>
    <w:qFormat/>
    <w:uiPriority w:val="0"/>
    <w:pPr>
      <w:spacing w:line="360" w:lineRule="auto"/>
      <w:ind w:firstLine="420" w:firstLineChars="200"/>
    </w:pPr>
    <w:rPr>
      <w:rFonts w:ascii="Calibri" w:hAnsi="Calibri" w:eastAsia="宋体" w:cs="Times New Roman"/>
      <w:lang w:val="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Normal (Web)"/>
    <w:basedOn w:val="1"/>
    <w:qFormat/>
    <w:uiPriority w:val="0"/>
    <w:rPr>
      <w:sz w:val="24"/>
    </w:rPr>
  </w:style>
  <w:style w:type="table" w:styleId="12">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4">
    <w:name w:val="Strong"/>
    <w:basedOn w:val="13"/>
    <w:qFormat/>
    <w:uiPriority w:val="22"/>
    <w:rPr>
      <w:b/>
      <w:bCs/>
    </w:rPr>
  </w:style>
  <w:style w:type="character" w:styleId="15">
    <w:name w:val="Hyperlink"/>
    <w:basedOn w:val="13"/>
    <w:qFormat/>
    <w:uiPriority w:val="99"/>
    <w:rPr>
      <w:color w:val="262626"/>
      <w:sz w:val="18"/>
      <w:szCs w:val="18"/>
      <w:u w:val="none"/>
    </w:rPr>
  </w:style>
  <w:style w:type="table" w:customStyle="1" w:styleId="16">
    <w:name w:val="网格型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7">
    <w:name w:val="Table Normal"/>
    <w:unhideWhenUsed/>
    <w:qFormat/>
    <w:uiPriority w:val="0"/>
    <w:tblPr>
      <w:tblCellMar>
        <w:top w:w="0" w:type="dxa"/>
        <w:left w:w="0" w:type="dxa"/>
        <w:bottom w:w="0" w:type="dxa"/>
        <w:right w:w="0" w:type="dxa"/>
      </w:tblCellMar>
    </w:tblPr>
  </w:style>
  <w:style w:type="table" w:customStyle="1" w:styleId="18">
    <w:name w:val="网格型1"/>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19">
    <w:name w:val="网格型1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0">
    <w:name w:val="网格型17"/>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1">
    <w:name w:val="网格型18"/>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2">
    <w:name w:val="网格型1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3">
    <w:name w:val="网格型2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4">
    <w:name w:val="网格型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5">
    <w:name w:val="网格型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6">
    <w:name w:val="网格型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7">
    <w:name w:val="网格型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8">
    <w:name w:val="网格型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customStyle="1" w:styleId="29">
    <w:name w:val="Table"/>
    <w:semiHidden/>
    <w:unhideWhenUsed/>
    <w:qFormat/>
    <w:uiPriority w:val="0"/>
    <w:pPr>
      <w:spacing w:after="200"/>
    </w:pPr>
    <w:rPr>
      <w:rFonts w:ascii="等线" w:hAnsi="等线" w:eastAsia="等线"/>
      <w:sz w:val="24"/>
      <w:szCs w:val="24"/>
      <w:lang w:eastAsia="en-US"/>
    </w:rPr>
    <w:tblPr>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30">
    <w:name w:val="在表格内文字"/>
    <w:basedOn w:val="1"/>
    <w:qFormat/>
    <w:uiPriority w:val="0"/>
    <w:rPr>
      <w:rFonts w:eastAsia="楷体"/>
    </w:rPr>
  </w:style>
  <w:style w:type="paragraph" w:styleId="31">
    <w:name w:val="List Paragraph"/>
    <w:basedOn w:val="1"/>
    <w:unhideWhenUsed/>
    <w:qFormat/>
    <w:uiPriority w:val="99"/>
    <w:pPr>
      <w:ind w:firstLine="420" w:firstLineChars="200"/>
    </w:pPr>
  </w:style>
  <w:style w:type="character" w:customStyle="1" w:styleId="32">
    <w:name w:val="font-symbol"/>
    <w:basedOn w:val="13"/>
    <w:qFormat/>
    <w:uiPriority w:val="0"/>
  </w:style>
  <w:style w:type="paragraph" w:customStyle="1" w:styleId="33">
    <w:name w:val="列出段落1"/>
    <w:basedOn w:val="1"/>
    <w:qFormat/>
    <w:uiPriority w:val="99"/>
    <w:pPr>
      <w:ind w:firstLine="420" w:firstLineChars="200"/>
    </w:pPr>
    <w:rPr>
      <w:rFonts w:ascii="Calibri" w:hAnsi="Calibri" w:eastAsia="宋体" w:cs="Times New Roman"/>
    </w:rPr>
  </w:style>
  <w:style w:type="paragraph" w:customStyle="1" w:styleId="34">
    <w:name w:val="Table Text"/>
    <w:basedOn w:val="1"/>
    <w:semiHidden/>
    <w:qFormat/>
    <w:uiPriority w:val="0"/>
    <w:pPr>
      <w:widowControl/>
      <w:kinsoku w:val="0"/>
      <w:autoSpaceDE w:val="0"/>
      <w:autoSpaceDN w:val="0"/>
      <w:adjustRightInd w:val="0"/>
      <w:snapToGrid w:val="0"/>
      <w:spacing w:after="160"/>
      <w:jc w:val="left"/>
      <w:textAlignment w:val="baseline"/>
    </w:pPr>
    <w:rPr>
      <w:rFonts w:ascii="宋体" w:hAnsi="宋体" w:eastAsia="宋体" w:cs="宋体"/>
      <w:snapToGrid w:val="0"/>
      <w:color w:val="000000"/>
      <w:kern w:val="0"/>
      <w:szCs w:val="21"/>
      <w:lang w:eastAsia="en-US"/>
    </w:rPr>
  </w:style>
  <w:style w:type="character" w:customStyle="1" w:styleId="35">
    <w:name w:val="标题 1 字符"/>
    <w:link w:val="2"/>
    <w:qFormat/>
    <w:uiPriority w:val="0"/>
    <w:rPr>
      <w:rFonts w:ascii="Times New Roman" w:hAnsi="Times New Roman" w:eastAsia="宋体"/>
      <w:kern w:val="44"/>
      <w:sz w:val="44"/>
      <w:szCs w:val="28"/>
    </w:rPr>
  </w:style>
  <w:style w:type="paragraph" w:customStyle="1" w:styleId="36">
    <w:name w:val="First Paragraph"/>
    <w:basedOn w:val="5"/>
    <w:next w:val="5"/>
    <w:qFormat/>
    <w:uiPriority w:val="0"/>
  </w:style>
  <w:style w:type="paragraph" w:customStyle="1" w:styleId="37">
    <w:name w:val="Compact"/>
    <w:basedOn w:val="5"/>
    <w:qFormat/>
    <w:uiPriority w:val="0"/>
    <w:pPr>
      <w:spacing w:before="36" w:after="36"/>
    </w:pPr>
  </w:style>
  <w:style w:type="paragraph" w:customStyle="1" w:styleId="38">
    <w:name w:val="Default"/>
    <w:autoRedefine/>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oleObject" Target="embeddings/oleObject64.bin"/><Relationship Id="rId75" Type="http://schemas.openxmlformats.org/officeDocument/2006/relationships/oleObject" Target="embeddings/oleObject63.bin"/><Relationship Id="rId74" Type="http://schemas.openxmlformats.org/officeDocument/2006/relationships/oleObject" Target="embeddings/oleObject62.bin"/><Relationship Id="rId73" Type="http://schemas.openxmlformats.org/officeDocument/2006/relationships/oleObject" Target="embeddings/oleObject61.bin"/><Relationship Id="rId72" Type="http://schemas.openxmlformats.org/officeDocument/2006/relationships/oleObject" Target="embeddings/oleObject60.bin"/><Relationship Id="rId71" Type="http://schemas.openxmlformats.org/officeDocument/2006/relationships/oleObject" Target="embeddings/oleObject59.bin"/><Relationship Id="rId70" Type="http://schemas.openxmlformats.org/officeDocument/2006/relationships/oleObject" Target="embeddings/oleObject58.bin"/><Relationship Id="rId7" Type="http://schemas.openxmlformats.org/officeDocument/2006/relationships/footer" Target="footer3.xml"/><Relationship Id="rId69" Type="http://schemas.openxmlformats.org/officeDocument/2006/relationships/oleObject" Target="embeddings/oleObject57.bin"/><Relationship Id="rId68" Type="http://schemas.openxmlformats.org/officeDocument/2006/relationships/oleObject" Target="embeddings/oleObject56.bin"/><Relationship Id="rId67" Type="http://schemas.openxmlformats.org/officeDocument/2006/relationships/oleObject" Target="embeddings/oleObject55.bin"/><Relationship Id="rId66" Type="http://schemas.openxmlformats.org/officeDocument/2006/relationships/oleObject" Target="embeddings/oleObject54.bin"/><Relationship Id="rId65" Type="http://schemas.openxmlformats.org/officeDocument/2006/relationships/oleObject" Target="embeddings/oleObject53.bin"/><Relationship Id="rId64" Type="http://schemas.openxmlformats.org/officeDocument/2006/relationships/oleObject" Target="embeddings/oleObject52.bin"/><Relationship Id="rId63" Type="http://schemas.openxmlformats.org/officeDocument/2006/relationships/oleObject" Target="embeddings/oleObject51.bin"/><Relationship Id="rId62" Type="http://schemas.openxmlformats.org/officeDocument/2006/relationships/oleObject" Target="embeddings/oleObject50.bin"/><Relationship Id="rId61" Type="http://schemas.openxmlformats.org/officeDocument/2006/relationships/oleObject" Target="embeddings/oleObject49.bin"/><Relationship Id="rId60" Type="http://schemas.openxmlformats.org/officeDocument/2006/relationships/oleObject" Target="embeddings/oleObject48.bin"/><Relationship Id="rId6" Type="http://schemas.openxmlformats.org/officeDocument/2006/relationships/footer" Target="footer2.xml"/><Relationship Id="rId59" Type="http://schemas.openxmlformats.org/officeDocument/2006/relationships/oleObject" Target="embeddings/oleObject47.bin"/><Relationship Id="rId58" Type="http://schemas.openxmlformats.org/officeDocument/2006/relationships/oleObject" Target="embeddings/oleObject46.bin"/><Relationship Id="rId57" Type="http://schemas.openxmlformats.org/officeDocument/2006/relationships/oleObject" Target="embeddings/oleObject45.bin"/><Relationship Id="rId56" Type="http://schemas.openxmlformats.org/officeDocument/2006/relationships/oleObject" Target="embeddings/oleObject44.bin"/><Relationship Id="rId55" Type="http://schemas.openxmlformats.org/officeDocument/2006/relationships/oleObject" Target="embeddings/oleObject43.bin"/><Relationship Id="rId54" Type="http://schemas.openxmlformats.org/officeDocument/2006/relationships/oleObject" Target="embeddings/oleObject42.bin"/><Relationship Id="rId53" Type="http://schemas.openxmlformats.org/officeDocument/2006/relationships/oleObject" Target="embeddings/oleObject41.bin"/><Relationship Id="rId52" Type="http://schemas.openxmlformats.org/officeDocument/2006/relationships/oleObject" Target="embeddings/oleObject40.bin"/><Relationship Id="rId51" Type="http://schemas.openxmlformats.org/officeDocument/2006/relationships/oleObject" Target="embeddings/oleObject39.bin"/><Relationship Id="rId50" Type="http://schemas.openxmlformats.org/officeDocument/2006/relationships/oleObject" Target="embeddings/oleObject38.bin"/><Relationship Id="rId5" Type="http://schemas.openxmlformats.org/officeDocument/2006/relationships/footer" Target="footer1.xml"/><Relationship Id="rId49" Type="http://schemas.openxmlformats.org/officeDocument/2006/relationships/oleObject" Target="embeddings/oleObject37.bin"/><Relationship Id="rId48" Type="http://schemas.openxmlformats.org/officeDocument/2006/relationships/oleObject" Target="embeddings/oleObject36.bin"/><Relationship Id="rId47" Type="http://schemas.openxmlformats.org/officeDocument/2006/relationships/oleObject" Target="embeddings/oleObject35.bin"/><Relationship Id="rId46" Type="http://schemas.openxmlformats.org/officeDocument/2006/relationships/oleObject" Target="embeddings/oleObject34.bin"/><Relationship Id="rId45" Type="http://schemas.openxmlformats.org/officeDocument/2006/relationships/oleObject" Target="embeddings/oleObject33.bin"/><Relationship Id="rId44" Type="http://schemas.openxmlformats.org/officeDocument/2006/relationships/oleObject" Target="embeddings/oleObject32.bin"/><Relationship Id="rId43" Type="http://schemas.openxmlformats.org/officeDocument/2006/relationships/oleObject" Target="embeddings/oleObject31.bin"/><Relationship Id="rId42" Type="http://schemas.openxmlformats.org/officeDocument/2006/relationships/oleObject" Target="embeddings/oleObject30.bin"/><Relationship Id="rId41" Type="http://schemas.openxmlformats.org/officeDocument/2006/relationships/oleObject" Target="embeddings/oleObject29.bin"/><Relationship Id="rId40" Type="http://schemas.openxmlformats.org/officeDocument/2006/relationships/oleObject" Target="embeddings/oleObject28.bin"/><Relationship Id="rId4" Type="http://schemas.openxmlformats.org/officeDocument/2006/relationships/header" Target="header2.xml"/><Relationship Id="rId39" Type="http://schemas.openxmlformats.org/officeDocument/2006/relationships/oleObject" Target="embeddings/oleObject27.bin"/><Relationship Id="rId38" Type="http://schemas.openxmlformats.org/officeDocument/2006/relationships/oleObject" Target="embeddings/oleObject26.bin"/><Relationship Id="rId37" Type="http://schemas.openxmlformats.org/officeDocument/2006/relationships/oleObject" Target="embeddings/oleObject25.bin"/><Relationship Id="rId36" Type="http://schemas.openxmlformats.org/officeDocument/2006/relationships/oleObject" Target="embeddings/oleObject24.bin"/><Relationship Id="rId35" Type="http://schemas.openxmlformats.org/officeDocument/2006/relationships/oleObject" Target="embeddings/oleObject23.bin"/><Relationship Id="rId34" Type="http://schemas.openxmlformats.org/officeDocument/2006/relationships/oleObject" Target="embeddings/oleObject22.bin"/><Relationship Id="rId33" Type="http://schemas.openxmlformats.org/officeDocument/2006/relationships/oleObject" Target="embeddings/oleObject21.bin"/><Relationship Id="rId32" Type="http://schemas.openxmlformats.org/officeDocument/2006/relationships/oleObject" Target="embeddings/oleObject20.bin"/><Relationship Id="rId31" Type="http://schemas.openxmlformats.org/officeDocument/2006/relationships/oleObject" Target="embeddings/oleObject19.bin"/><Relationship Id="rId30" Type="http://schemas.openxmlformats.org/officeDocument/2006/relationships/oleObject" Target="embeddings/oleObject18.bin"/><Relationship Id="rId3" Type="http://schemas.openxmlformats.org/officeDocument/2006/relationships/header" Target="header1.xml"/><Relationship Id="rId29" Type="http://schemas.openxmlformats.org/officeDocument/2006/relationships/oleObject" Target="embeddings/oleObject17.bin"/><Relationship Id="rId28" Type="http://schemas.openxmlformats.org/officeDocument/2006/relationships/oleObject" Target="embeddings/oleObject16.bin"/><Relationship Id="rId27" Type="http://schemas.openxmlformats.org/officeDocument/2006/relationships/oleObject" Target="embeddings/oleObject15.bin"/><Relationship Id="rId26" Type="http://schemas.openxmlformats.org/officeDocument/2006/relationships/oleObject" Target="embeddings/oleObject14.bin"/><Relationship Id="rId25" Type="http://schemas.openxmlformats.org/officeDocument/2006/relationships/oleObject" Target="embeddings/oleObject13.bin"/><Relationship Id="rId24" Type="http://schemas.openxmlformats.org/officeDocument/2006/relationships/oleObject" Target="embeddings/oleObject12.bin"/><Relationship Id="rId23" Type="http://schemas.openxmlformats.org/officeDocument/2006/relationships/oleObject" Target="embeddings/oleObject11.bin"/><Relationship Id="rId22" Type="http://schemas.openxmlformats.org/officeDocument/2006/relationships/image" Target="media/image2.png"/><Relationship Id="rId21" Type="http://schemas.openxmlformats.org/officeDocument/2006/relationships/oleObject" Target="embeddings/oleObject10.bin"/><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oleObject" Target="embeddings/oleObject3.bin"/><Relationship Id="rId13" Type="http://schemas.openxmlformats.org/officeDocument/2006/relationships/oleObject" Target="embeddings/oleObject2.bin"/><Relationship Id="rId12" Type="http://schemas.openxmlformats.org/officeDocument/2006/relationships/image" Target="media/image1.w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523</Pages>
  <Words>3834</Words>
  <Characters>4083</Characters>
  <Lines>2997</Lines>
  <Paragraphs>843</Paragraphs>
  <TotalTime>0</TotalTime>
  <ScaleCrop>false</ScaleCrop>
  <LinksUpToDate>false</LinksUpToDate>
  <CharactersWithSpaces>4205</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2025-04-28T03:40:00Z</dcterms:created>
  <dc:creator>灿宝努力又争气</dc:creator>
  <cp:lastModifiedBy>靖南栀子</cp:lastModifiedBy>
  <dcterms:modified xsi:type="dcterms:W3CDTF">2025-10-14T06:10:23Z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E828F982BAC644E4A727EAE4F829A3AA_13</vt:lpwstr>
  </property>
  <property fmtid="{D5CDD505-2E9C-101B-9397-08002B2CF9AE}" pid="4" name="KSOTemplateDocerSaveRecord">
    <vt:lpwstr>eyJoZGlkIjoiMzEwNTM5NzYwMDRjMzkwZTVkZjY2ODkwMGIxNGU0OTUiLCJ1c2VySWQiOiIyODE3NzkyMzgifQ==</vt:lpwstr>
  </property>
</Properties>
</file>